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F83339">
        <w:trPr>
          <w:trHeight w:hRule="exact" w:val="851"/>
        </w:trPr>
        <w:tc>
          <w:tcPr>
            <w:tcW w:w="1276" w:type="dxa"/>
            <w:tcBorders>
              <w:bottom w:val="single" w:sz="4" w:space="0" w:color="auto"/>
            </w:tcBorders>
            <w:vAlign w:val="bottom"/>
          </w:tcPr>
          <w:p w:rsidR="00890D9A" w:rsidRPr="007E74A5" w:rsidRDefault="00890D9A" w:rsidP="006B4FA1">
            <w:pPr>
              <w:spacing w:line="20" w:lineRule="exact"/>
              <w:rPr>
                <w:u w:val="single"/>
              </w:rPr>
            </w:pPr>
            <w:bookmarkStart w:id="0" w:name="_GoBack"/>
            <w:bookmarkEnd w:id="0"/>
          </w:p>
        </w:tc>
        <w:tc>
          <w:tcPr>
            <w:tcW w:w="1985" w:type="dxa"/>
            <w:tcBorders>
              <w:bottom w:val="single" w:sz="4" w:space="0" w:color="auto"/>
            </w:tcBorders>
            <w:vAlign w:val="bottom"/>
          </w:tcPr>
          <w:p w:rsidR="004876DE" w:rsidRPr="00C07884" w:rsidRDefault="004876DE" w:rsidP="004876DE">
            <w:pPr>
              <w:spacing w:after="80" w:line="300" w:lineRule="exact"/>
              <w:rPr>
                <w:b/>
                <w:sz w:val="24"/>
                <w:szCs w:val="24"/>
              </w:rPr>
            </w:pPr>
            <w:r w:rsidRPr="00C07884">
              <w:rPr>
                <w:sz w:val="28"/>
                <w:szCs w:val="28"/>
              </w:rPr>
              <w:t>United Nations</w:t>
            </w:r>
          </w:p>
        </w:tc>
        <w:tc>
          <w:tcPr>
            <w:tcW w:w="6378" w:type="dxa"/>
            <w:gridSpan w:val="2"/>
            <w:tcBorders>
              <w:bottom w:val="single" w:sz="4" w:space="0" w:color="auto"/>
            </w:tcBorders>
            <w:vAlign w:val="bottom"/>
          </w:tcPr>
          <w:p w:rsidR="004876DE" w:rsidRPr="00F83339" w:rsidRDefault="004876DE" w:rsidP="00BE6500">
            <w:pPr>
              <w:jc w:val="right"/>
              <w:rPr>
                <w:lang w:val="fr-CH"/>
              </w:rPr>
            </w:pPr>
            <w:r w:rsidRPr="00F83339">
              <w:rPr>
                <w:sz w:val="40"/>
                <w:lang w:val="fr-CH"/>
              </w:rPr>
              <w:t>CAT</w:t>
            </w:r>
            <w:r w:rsidR="007A5D50" w:rsidRPr="00F83339">
              <w:rPr>
                <w:lang w:val="fr-CH"/>
              </w:rPr>
              <w:t>/C/5</w:t>
            </w:r>
            <w:r w:rsidR="00EE18DA">
              <w:rPr>
                <w:lang w:val="fr-CH"/>
              </w:rPr>
              <w:t>8</w:t>
            </w:r>
            <w:r w:rsidR="007A5D50" w:rsidRPr="00F83339">
              <w:rPr>
                <w:lang w:val="fr-CH"/>
              </w:rPr>
              <w:t>/D/</w:t>
            </w:r>
            <w:r w:rsidR="00F10C76">
              <w:rPr>
                <w:lang w:val="fr-CH"/>
              </w:rPr>
              <w:t>599</w:t>
            </w:r>
            <w:r w:rsidR="007A5D50" w:rsidRPr="00F83339">
              <w:rPr>
                <w:lang w:val="fr-CH"/>
              </w:rPr>
              <w:t>/</w:t>
            </w:r>
            <w:r w:rsidR="00F10C76">
              <w:rPr>
                <w:lang w:val="fr-CH"/>
              </w:rPr>
              <w:t>2014</w:t>
            </w:r>
          </w:p>
        </w:tc>
      </w:tr>
      <w:tr w:rsidR="004876DE" w:rsidRPr="00C07884">
        <w:trPr>
          <w:cantSplit/>
          <w:trHeight w:hRule="exact" w:val="2835"/>
        </w:trPr>
        <w:tc>
          <w:tcPr>
            <w:tcW w:w="1276" w:type="dxa"/>
            <w:tcBorders>
              <w:top w:val="single" w:sz="4" w:space="0" w:color="auto"/>
              <w:bottom w:val="single" w:sz="12" w:space="0" w:color="auto"/>
            </w:tcBorders>
          </w:tcPr>
          <w:p w:rsidR="004876DE" w:rsidRPr="00C07884" w:rsidRDefault="004A4CFD" w:rsidP="004876DE">
            <w:pPr>
              <w:spacing w:before="120"/>
            </w:pPr>
            <w:r>
              <w:rPr>
                <w:noProof/>
                <w:lang w:val="en-US"/>
              </w:rPr>
              <w:drawing>
                <wp:inline distT="0" distB="0" distL="0" distR="0" wp14:anchorId="762A6795" wp14:editId="53D4C2C8">
                  <wp:extent cx="716280" cy="586740"/>
                  <wp:effectExtent l="0" t="0" r="762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76DE" w:rsidRDefault="004876DE" w:rsidP="004876DE">
            <w:pPr>
              <w:spacing w:before="120" w:line="380" w:lineRule="exact"/>
              <w:rPr>
                <w:b/>
                <w:sz w:val="34"/>
                <w:szCs w:val="40"/>
              </w:rPr>
            </w:pPr>
            <w:r w:rsidRPr="00C07884">
              <w:rPr>
                <w:b/>
                <w:sz w:val="34"/>
                <w:szCs w:val="40"/>
              </w:rPr>
              <w:t>Convention against Torture</w:t>
            </w:r>
            <w:r w:rsidRPr="00C07884">
              <w:rPr>
                <w:b/>
                <w:sz w:val="34"/>
                <w:szCs w:val="40"/>
              </w:rPr>
              <w:br/>
              <w:t>and Other Cruel, Inhuman</w:t>
            </w:r>
            <w:r w:rsidRPr="00C07884">
              <w:rPr>
                <w:b/>
                <w:sz w:val="34"/>
                <w:szCs w:val="40"/>
              </w:rPr>
              <w:br/>
              <w:t>or Degrading Treatment</w:t>
            </w:r>
            <w:r w:rsidRPr="00C07884">
              <w:rPr>
                <w:b/>
                <w:sz w:val="34"/>
                <w:szCs w:val="40"/>
              </w:rPr>
              <w:br/>
              <w:t>or Punishment</w:t>
            </w:r>
          </w:p>
          <w:p w:rsidR="005C0A90" w:rsidRPr="00FE41FA" w:rsidRDefault="005C0A90" w:rsidP="004876DE">
            <w:pPr>
              <w:spacing w:before="120" w:line="380" w:lineRule="exact"/>
              <w:rPr>
                <w:sz w:val="34"/>
              </w:rPr>
            </w:pPr>
          </w:p>
        </w:tc>
        <w:tc>
          <w:tcPr>
            <w:tcW w:w="2835" w:type="dxa"/>
            <w:tcBorders>
              <w:top w:val="single" w:sz="4" w:space="0" w:color="auto"/>
              <w:bottom w:val="single" w:sz="12" w:space="0" w:color="auto"/>
            </w:tcBorders>
          </w:tcPr>
          <w:p w:rsidR="004876DE" w:rsidRPr="00C07884" w:rsidRDefault="004876DE" w:rsidP="004876DE">
            <w:pPr>
              <w:spacing w:before="240" w:line="240" w:lineRule="exact"/>
            </w:pPr>
            <w:r w:rsidRPr="00C07884">
              <w:t xml:space="preserve">Distr.: </w:t>
            </w:r>
            <w:r w:rsidR="00BE6500">
              <w:t>General</w:t>
            </w:r>
          </w:p>
          <w:p w:rsidR="004876DE" w:rsidRPr="00C07884" w:rsidRDefault="00FE41FA" w:rsidP="005C0A90">
            <w:pPr>
              <w:spacing w:line="240" w:lineRule="exact"/>
            </w:pPr>
            <w:r>
              <w:t>1</w:t>
            </w:r>
            <w:r w:rsidR="006319A6">
              <w:t>9</w:t>
            </w:r>
            <w:r w:rsidR="00BF7FD1">
              <w:t xml:space="preserve"> September</w:t>
            </w:r>
            <w:r w:rsidR="00703393">
              <w:t xml:space="preserve"> </w:t>
            </w:r>
            <w:r w:rsidR="007A5D50" w:rsidRPr="00C07884">
              <w:t>201</w:t>
            </w:r>
            <w:r w:rsidR="00F86222">
              <w:t>6</w:t>
            </w:r>
          </w:p>
          <w:p w:rsidR="004876DE" w:rsidRPr="00C07884" w:rsidRDefault="004876DE" w:rsidP="004876DE">
            <w:pPr>
              <w:spacing w:line="240" w:lineRule="exact"/>
            </w:pPr>
          </w:p>
          <w:p w:rsidR="004876DE" w:rsidRDefault="004876DE" w:rsidP="004876DE">
            <w:pPr>
              <w:spacing w:line="240" w:lineRule="exact"/>
            </w:pPr>
            <w:r w:rsidRPr="00C07884">
              <w:t>Original: English</w:t>
            </w:r>
          </w:p>
          <w:p w:rsidR="004876DE" w:rsidRPr="00C07884" w:rsidRDefault="004876DE" w:rsidP="00ED12D0">
            <w:pPr>
              <w:spacing w:line="240" w:lineRule="exact"/>
            </w:pPr>
          </w:p>
        </w:tc>
      </w:tr>
    </w:tbl>
    <w:p w:rsidR="004876DE" w:rsidRPr="00C07884" w:rsidRDefault="004876DE" w:rsidP="008078E6">
      <w:pPr>
        <w:spacing w:before="120"/>
        <w:rPr>
          <w:b/>
        </w:rPr>
      </w:pPr>
      <w:r w:rsidRPr="00C07884">
        <w:rPr>
          <w:b/>
          <w:sz w:val="24"/>
          <w:szCs w:val="24"/>
        </w:rPr>
        <w:t>Committee against Torture</w:t>
      </w:r>
    </w:p>
    <w:p w:rsidR="004876DE" w:rsidRPr="008078E6" w:rsidRDefault="004876DE" w:rsidP="008078E6">
      <w:pPr>
        <w:pStyle w:val="HChG"/>
        <w:rPr>
          <w:b w:val="0"/>
          <w:bCs/>
          <w:vertAlign w:val="superscript"/>
        </w:rPr>
      </w:pPr>
      <w:r w:rsidRPr="00C07884">
        <w:tab/>
      </w:r>
      <w:r w:rsidRPr="00C07884">
        <w:tab/>
      </w:r>
      <w:r w:rsidR="00BE6500" w:rsidRPr="003D6252">
        <w:rPr>
          <w:szCs w:val="24"/>
        </w:rPr>
        <w:t xml:space="preserve">Decision adopted by the Committee </w:t>
      </w:r>
      <w:r w:rsidR="005C0A90">
        <w:rPr>
          <w:szCs w:val="24"/>
        </w:rPr>
        <w:t>under article 22 of the Convention, concerning c</w:t>
      </w:r>
      <w:r w:rsidR="005C0A90" w:rsidRPr="005C0A90">
        <w:rPr>
          <w:szCs w:val="24"/>
        </w:rPr>
        <w:t>ommunication No. 599/2014</w:t>
      </w:r>
      <w:r w:rsidR="005C0A90" w:rsidRPr="008078E6">
        <w:rPr>
          <w:rStyle w:val="FootnoteReference"/>
          <w:b w:val="0"/>
          <w:sz w:val="20"/>
          <w:szCs w:val="24"/>
          <w:vertAlign w:val="baseline"/>
        </w:rPr>
        <w:footnoteReference w:customMarkFollows="1" w:id="2"/>
        <w:t>*</w:t>
      </w:r>
      <w:r w:rsidR="005C0A90" w:rsidRPr="008078E6">
        <w:rPr>
          <w:rStyle w:val="FootnoteReference"/>
          <w:b w:val="0"/>
          <w:bCs/>
          <w:position w:val="4"/>
          <w:sz w:val="20"/>
          <w:szCs w:val="24"/>
          <w:vertAlign w:val="baseline"/>
        </w:rPr>
        <w:t>,</w:t>
      </w:r>
      <w:r w:rsidR="005C0A90" w:rsidRPr="008078E6">
        <w:rPr>
          <w:rStyle w:val="FootnoteReference"/>
          <w:b w:val="0"/>
          <w:bCs/>
          <w:sz w:val="20"/>
          <w:szCs w:val="24"/>
          <w:vertAlign w:val="baseline"/>
        </w:rPr>
        <w:t xml:space="preserve"> </w:t>
      </w:r>
      <w:r w:rsidR="005C0A90" w:rsidRPr="008078E6">
        <w:rPr>
          <w:rStyle w:val="FootnoteReference"/>
          <w:b w:val="0"/>
          <w:sz w:val="20"/>
          <w:szCs w:val="24"/>
          <w:vertAlign w:val="baseline"/>
        </w:rPr>
        <w:footnoteReference w:customMarkFollows="1" w:id="3"/>
        <w:t>**</w:t>
      </w:r>
      <w:r w:rsidR="00BE6500" w:rsidRPr="006B6369">
        <w:rPr>
          <w:b w:val="0"/>
          <w:bCs/>
        </w:rPr>
        <w:t xml:space="preserve"> </w:t>
      </w:r>
    </w:p>
    <w:p w:rsidR="00712926" w:rsidRPr="00ED656C" w:rsidRDefault="002D2327">
      <w:pPr>
        <w:pStyle w:val="SingleTxtG"/>
        <w:ind w:left="4536" w:hanging="3402"/>
        <w:rPr>
          <w:lang w:val="en-GB"/>
        </w:rPr>
      </w:pPr>
      <w:r>
        <w:rPr>
          <w:i/>
          <w:lang w:val="en-GB"/>
        </w:rPr>
        <w:t>Communication s</w:t>
      </w:r>
      <w:r w:rsidR="004876DE" w:rsidRPr="00C07884">
        <w:rPr>
          <w:i/>
          <w:lang w:val="en-GB"/>
        </w:rPr>
        <w:t>ubmitted by:</w:t>
      </w:r>
      <w:r w:rsidR="004876DE" w:rsidRPr="00C07884">
        <w:rPr>
          <w:i/>
          <w:lang w:val="en-GB"/>
        </w:rPr>
        <w:tab/>
      </w:r>
      <w:r w:rsidR="00ED656C" w:rsidRPr="00ED656C">
        <w:rPr>
          <w:lang w:val="en-GB"/>
        </w:rPr>
        <w:t>T (represented by Michaela Byers,</w:t>
      </w:r>
      <w:r w:rsidR="00ED12D0">
        <w:rPr>
          <w:lang w:val="en-GB"/>
        </w:rPr>
        <w:t xml:space="preserve"> </w:t>
      </w:r>
      <w:r w:rsidR="00033FC8">
        <w:rPr>
          <w:lang w:val="en-GB"/>
        </w:rPr>
        <w:t>s</w:t>
      </w:r>
      <w:r w:rsidR="00ED12D0">
        <w:rPr>
          <w:lang w:val="en-GB"/>
        </w:rPr>
        <w:t>olicitor and Migration Agent)</w:t>
      </w:r>
    </w:p>
    <w:p w:rsidR="004876DE" w:rsidRPr="00ED656C" w:rsidRDefault="00243943">
      <w:pPr>
        <w:pStyle w:val="SingleTxtG"/>
        <w:ind w:left="4536" w:hanging="3402"/>
        <w:rPr>
          <w:lang w:val="en-GB"/>
        </w:rPr>
      </w:pPr>
      <w:r w:rsidRPr="008078E6">
        <w:rPr>
          <w:i/>
          <w:iCs/>
          <w:lang w:val="en-GB"/>
        </w:rPr>
        <w:t>Alleged victim</w:t>
      </w:r>
      <w:r w:rsidR="004876DE" w:rsidRPr="008078E6">
        <w:rPr>
          <w:i/>
          <w:iCs/>
          <w:lang w:val="en-GB"/>
        </w:rPr>
        <w:t>:</w:t>
      </w:r>
      <w:r w:rsidR="004876DE" w:rsidRPr="00ED656C">
        <w:rPr>
          <w:lang w:val="en-GB"/>
        </w:rPr>
        <w:tab/>
      </w:r>
      <w:r w:rsidR="002D2327">
        <w:rPr>
          <w:lang w:val="en-GB"/>
        </w:rPr>
        <w:t>The complainant</w:t>
      </w:r>
    </w:p>
    <w:p w:rsidR="004876DE" w:rsidRPr="001B7017" w:rsidRDefault="004876DE" w:rsidP="004876DE">
      <w:pPr>
        <w:pStyle w:val="SingleTxtG"/>
        <w:ind w:left="4536" w:hanging="3402"/>
        <w:rPr>
          <w:lang w:val="en-GB"/>
        </w:rPr>
      </w:pPr>
      <w:r w:rsidRPr="00C07884">
        <w:rPr>
          <w:i/>
          <w:lang w:val="en-GB"/>
        </w:rPr>
        <w:t>State party:</w:t>
      </w:r>
      <w:r w:rsidRPr="00C07884">
        <w:rPr>
          <w:i/>
          <w:lang w:val="en-GB"/>
        </w:rPr>
        <w:tab/>
      </w:r>
      <w:r w:rsidR="001B7017" w:rsidRPr="001B7017">
        <w:rPr>
          <w:lang w:val="en-GB"/>
        </w:rPr>
        <w:t>Australia</w:t>
      </w:r>
    </w:p>
    <w:p w:rsidR="004876DE" w:rsidRPr="00ED656C" w:rsidRDefault="004876DE" w:rsidP="004876DE">
      <w:pPr>
        <w:pStyle w:val="SingleTxtG"/>
        <w:ind w:left="4536" w:hanging="3402"/>
        <w:rPr>
          <w:lang w:val="en-GB"/>
        </w:rPr>
      </w:pPr>
      <w:r w:rsidRPr="00C07884">
        <w:rPr>
          <w:i/>
          <w:lang w:val="en-GB"/>
        </w:rPr>
        <w:t>Date of complaint:</w:t>
      </w:r>
      <w:r w:rsidRPr="00C07884">
        <w:rPr>
          <w:i/>
          <w:lang w:val="en-GB"/>
        </w:rPr>
        <w:tab/>
      </w:r>
      <w:r w:rsidR="00ED656C" w:rsidRPr="00ED656C">
        <w:rPr>
          <w:lang w:val="en-GB"/>
        </w:rPr>
        <w:t>30 April 2014 (initial submission)</w:t>
      </w:r>
    </w:p>
    <w:p w:rsidR="004876DE" w:rsidRPr="008E5F0C" w:rsidRDefault="004876DE" w:rsidP="004876DE">
      <w:pPr>
        <w:pStyle w:val="SingleTxtG"/>
        <w:ind w:left="4536" w:hanging="3402"/>
        <w:rPr>
          <w:lang w:val="en-GB"/>
        </w:rPr>
      </w:pPr>
      <w:r w:rsidRPr="00C07884">
        <w:rPr>
          <w:i/>
          <w:lang w:val="en-GB"/>
        </w:rPr>
        <w:t>Date of present decision:</w:t>
      </w:r>
      <w:r w:rsidRPr="00C07884">
        <w:rPr>
          <w:i/>
          <w:lang w:val="en-GB"/>
        </w:rPr>
        <w:tab/>
      </w:r>
      <w:r w:rsidR="008E5F0C" w:rsidRPr="008E5F0C">
        <w:rPr>
          <w:lang w:val="en-GB"/>
        </w:rPr>
        <w:t>3 August 2</w:t>
      </w:r>
      <w:r w:rsidR="00CF6197" w:rsidRPr="008E5F0C">
        <w:rPr>
          <w:lang w:val="en-GB"/>
        </w:rPr>
        <w:t>01</w:t>
      </w:r>
      <w:r w:rsidR="00F86222" w:rsidRPr="008E5F0C">
        <w:rPr>
          <w:lang w:val="en-GB"/>
        </w:rPr>
        <w:t>6</w:t>
      </w:r>
    </w:p>
    <w:p w:rsidR="004876DE" w:rsidRPr="00ED656C" w:rsidRDefault="004876DE" w:rsidP="002D2327">
      <w:pPr>
        <w:pStyle w:val="SingleTxtG"/>
        <w:ind w:left="4536" w:hanging="3402"/>
        <w:rPr>
          <w:lang w:val="en-GB"/>
        </w:rPr>
      </w:pPr>
      <w:r w:rsidRPr="00C07884">
        <w:rPr>
          <w:i/>
          <w:iCs/>
          <w:lang w:val="en-GB"/>
        </w:rPr>
        <w:t>Subject matter:</w:t>
      </w:r>
      <w:r w:rsidRPr="00C07884">
        <w:rPr>
          <w:i/>
          <w:lang w:val="en-GB"/>
        </w:rPr>
        <w:tab/>
      </w:r>
      <w:r w:rsidR="00ED656C" w:rsidRPr="00ED656C">
        <w:rPr>
          <w:lang w:val="en-GB"/>
        </w:rPr>
        <w:t xml:space="preserve">Deportation </w:t>
      </w:r>
    </w:p>
    <w:p w:rsidR="00E3333E" w:rsidRPr="00BB7A07" w:rsidRDefault="004876DE" w:rsidP="002D2327">
      <w:pPr>
        <w:pStyle w:val="SingleTxtG"/>
        <w:ind w:left="4536" w:hanging="3402"/>
        <w:rPr>
          <w:iCs/>
          <w:highlight w:val="yellow"/>
          <w:lang w:val="en-GB"/>
        </w:rPr>
      </w:pPr>
      <w:r w:rsidRPr="00C07884">
        <w:rPr>
          <w:i/>
          <w:iCs/>
          <w:lang w:val="en-GB"/>
        </w:rPr>
        <w:t>Substantive issue</w:t>
      </w:r>
      <w:r w:rsidR="00E9345C" w:rsidRPr="00C07884">
        <w:rPr>
          <w:i/>
          <w:iCs/>
          <w:lang w:val="en-GB"/>
        </w:rPr>
        <w:t>s</w:t>
      </w:r>
      <w:r w:rsidRPr="00C07884">
        <w:rPr>
          <w:i/>
          <w:iCs/>
          <w:lang w:val="en-GB"/>
        </w:rPr>
        <w:t>:</w:t>
      </w:r>
      <w:r w:rsidRPr="00C07884">
        <w:rPr>
          <w:i/>
          <w:iCs/>
          <w:lang w:val="en-GB"/>
        </w:rPr>
        <w:tab/>
      </w:r>
      <w:r w:rsidR="00BB7A07" w:rsidRPr="00BB7A07">
        <w:rPr>
          <w:iCs/>
          <w:lang w:val="en-GB"/>
        </w:rPr>
        <w:t xml:space="preserve">Risk of torture </w:t>
      </w:r>
      <w:r w:rsidR="00BB7A07">
        <w:rPr>
          <w:iCs/>
          <w:lang w:val="en-GB"/>
        </w:rPr>
        <w:t xml:space="preserve">upon return to </w:t>
      </w:r>
      <w:r w:rsidR="002D2327">
        <w:rPr>
          <w:iCs/>
          <w:lang w:val="en-GB"/>
        </w:rPr>
        <w:t>country of origin</w:t>
      </w:r>
      <w:r w:rsidR="00E3333E" w:rsidRPr="00BB7A07">
        <w:rPr>
          <w:iCs/>
          <w:highlight w:val="yellow"/>
          <w:lang w:val="en-GB"/>
        </w:rPr>
        <w:t xml:space="preserve"> </w:t>
      </w:r>
    </w:p>
    <w:p w:rsidR="00A51329" w:rsidRPr="009B218C" w:rsidRDefault="00E3333E">
      <w:pPr>
        <w:pStyle w:val="SingleTxtG"/>
        <w:ind w:left="4536" w:hanging="3402"/>
        <w:rPr>
          <w:iCs/>
          <w:lang w:val="en-GB"/>
        </w:rPr>
      </w:pPr>
      <w:r w:rsidRPr="009B218C">
        <w:rPr>
          <w:i/>
          <w:iCs/>
          <w:lang w:val="en-GB"/>
        </w:rPr>
        <w:t>Procedural issues</w:t>
      </w:r>
      <w:r w:rsidRPr="009B218C">
        <w:rPr>
          <w:i/>
          <w:lang w:val="en-GB"/>
        </w:rPr>
        <w:t>:</w:t>
      </w:r>
      <w:r w:rsidR="00D75AAB" w:rsidRPr="009B218C">
        <w:rPr>
          <w:lang w:val="en-GB"/>
        </w:rPr>
        <w:tab/>
      </w:r>
      <w:r w:rsidR="00EE18DA">
        <w:rPr>
          <w:lang w:val="en-GB"/>
        </w:rPr>
        <w:t>Admissibility</w:t>
      </w:r>
      <w:r w:rsidR="002D2327">
        <w:rPr>
          <w:lang w:val="en-GB"/>
        </w:rPr>
        <w:t xml:space="preserve"> </w:t>
      </w:r>
      <w:r w:rsidR="00EE18DA">
        <w:rPr>
          <w:lang w:val="en-GB"/>
        </w:rPr>
        <w:t xml:space="preserve">- manifestly </w:t>
      </w:r>
      <w:r w:rsidR="002F61A9">
        <w:rPr>
          <w:lang w:val="en-GB"/>
        </w:rPr>
        <w:t>un</w:t>
      </w:r>
      <w:r w:rsidR="00EE18DA">
        <w:rPr>
          <w:lang w:val="en-GB"/>
        </w:rPr>
        <w:t>founded</w:t>
      </w:r>
    </w:p>
    <w:p w:rsidR="004876DE" w:rsidRPr="00E47195" w:rsidRDefault="004876DE" w:rsidP="002D2327">
      <w:pPr>
        <w:pStyle w:val="SingleTxtG"/>
        <w:ind w:left="4536" w:hanging="3402"/>
        <w:rPr>
          <w:lang w:val="en-GB"/>
        </w:rPr>
      </w:pPr>
      <w:r w:rsidRPr="00C07884">
        <w:rPr>
          <w:i/>
          <w:iCs/>
          <w:lang w:val="en-GB"/>
        </w:rPr>
        <w:t>Article</w:t>
      </w:r>
      <w:r w:rsidR="00E9345C" w:rsidRPr="00C07884">
        <w:rPr>
          <w:i/>
          <w:iCs/>
          <w:lang w:val="en-GB"/>
        </w:rPr>
        <w:t>s</w:t>
      </w:r>
      <w:r w:rsidRPr="00C07884">
        <w:rPr>
          <w:i/>
          <w:iCs/>
          <w:lang w:val="en-GB"/>
        </w:rPr>
        <w:t xml:space="preserve"> of the Convention</w:t>
      </w:r>
      <w:r w:rsidRPr="00C07884">
        <w:rPr>
          <w:i/>
          <w:lang w:val="en-GB"/>
        </w:rPr>
        <w:t>:</w:t>
      </w:r>
      <w:r w:rsidRPr="00C07884">
        <w:rPr>
          <w:i/>
          <w:iCs/>
          <w:lang w:val="en-GB"/>
        </w:rPr>
        <w:tab/>
      </w:r>
      <w:r w:rsidR="00E47195" w:rsidRPr="00ED656C">
        <w:rPr>
          <w:iCs/>
          <w:lang w:val="en-GB"/>
        </w:rPr>
        <w:t>3</w:t>
      </w:r>
      <w:r w:rsidR="002D2327">
        <w:rPr>
          <w:iCs/>
          <w:lang w:val="en-GB"/>
        </w:rPr>
        <w:t xml:space="preserve"> and</w:t>
      </w:r>
      <w:r w:rsidR="002C2092" w:rsidRPr="00ED656C">
        <w:rPr>
          <w:iCs/>
          <w:lang w:val="en-GB"/>
        </w:rPr>
        <w:t xml:space="preserve"> 22</w:t>
      </w:r>
    </w:p>
    <w:p w:rsidR="00F020BC" w:rsidRPr="00F020BC" w:rsidRDefault="00F020BC" w:rsidP="008078E6"/>
    <w:p w:rsidR="001B7017" w:rsidRDefault="004F5298">
      <w:pPr>
        <w:pStyle w:val="SingleTxtG"/>
        <w:rPr>
          <w:lang w:val="en-GB"/>
        </w:rPr>
      </w:pPr>
      <w:r>
        <w:rPr>
          <w:lang w:val="en-GB"/>
        </w:rPr>
        <w:t>1.1</w:t>
      </w:r>
      <w:r>
        <w:rPr>
          <w:lang w:val="en-GB"/>
        </w:rPr>
        <w:tab/>
      </w:r>
      <w:r w:rsidR="001B7017">
        <w:rPr>
          <w:lang w:val="en-GB"/>
        </w:rPr>
        <w:t xml:space="preserve">The complainant </w:t>
      </w:r>
      <w:r w:rsidR="003241F3">
        <w:rPr>
          <w:lang w:val="en-GB"/>
        </w:rPr>
        <w:t xml:space="preserve">is </w:t>
      </w:r>
      <w:r w:rsidR="001B7017">
        <w:rPr>
          <w:lang w:val="en-GB"/>
        </w:rPr>
        <w:t xml:space="preserve">T, a Sri Lankan national born in </w:t>
      </w:r>
      <w:r w:rsidR="00FB1A9D">
        <w:rPr>
          <w:lang w:val="en-GB"/>
        </w:rPr>
        <w:t xml:space="preserve">Batticaloa in </w:t>
      </w:r>
      <w:r w:rsidR="001B7017">
        <w:rPr>
          <w:lang w:val="en-GB"/>
        </w:rPr>
        <w:t xml:space="preserve">1988. He claims that his deportation to Sri Lanka would constitute a violation by Australia of article 3 of the Convention. The complainant is represented by </w:t>
      </w:r>
      <w:r w:rsidR="00EE18DA">
        <w:rPr>
          <w:lang w:val="en-GB"/>
        </w:rPr>
        <w:t xml:space="preserve">counsel, </w:t>
      </w:r>
      <w:r w:rsidR="001B7017">
        <w:rPr>
          <w:lang w:val="en-GB"/>
        </w:rPr>
        <w:t xml:space="preserve">Michaela Byers. Australia made the declaration under article 22 of the Convention on 28 January 1993. </w:t>
      </w:r>
    </w:p>
    <w:p w:rsidR="00F020BC" w:rsidRDefault="004F5298">
      <w:pPr>
        <w:pStyle w:val="SingleTxtG"/>
        <w:rPr>
          <w:lang w:val="en-GB"/>
        </w:rPr>
      </w:pPr>
      <w:r>
        <w:rPr>
          <w:lang w:val="en-GB"/>
        </w:rPr>
        <w:t>1.2</w:t>
      </w:r>
      <w:r>
        <w:rPr>
          <w:lang w:val="en-GB"/>
        </w:rPr>
        <w:tab/>
      </w:r>
      <w:r w:rsidR="0043385B">
        <w:rPr>
          <w:lang w:val="en-GB"/>
        </w:rPr>
        <w:t>On 2 May 2014, in application of rule 114</w:t>
      </w:r>
      <w:r w:rsidR="002D2327">
        <w:rPr>
          <w:lang w:val="en-GB"/>
        </w:rPr>
        <w:t xml:space="preserve"> (</w:t>
      </w:r>
      <w:r w:rsidR="0043385B">
        <w:rPr>
          <w:lang w:val="en-GB"/>
        </w:rPr>
        <w:t>1</w:t>
      </w:r>
      <w:r w:rsidR="002D2327">
        <w:rPr>
          <w:lang w:val="en-GB"/>
        </w:rPr>
        <w:t>)</w:t>
      </w:r>
      <w:r w:rsidR="0043385B">
        <w:rPr>
          <w:lang w:val="en-GB"/>
        </w:rPr>
        <w:t xml:space="preserve"> of its rules of procedure, the Committee requested the State party not to deport the complainant to Sri Lanka while </w:t>
      </w:r>
      <w:r w:rsidR="002D2327">
        <w:rPr>
          <w:lang w:val="en-GB"/>
        </w:rPr>
        <w:t>his</w:t>
      </w:r>
      <w:r w:rsidR="0043385B">
        <w:rPr>
          <w:lang w:val="en-GB"/>
        </w:rPr>
        <w:t xml:space="preserve"> complaint was being considered by the Committee. On 21 May 2015, the State party requested the Committee to lift </w:t>
      </w:r>
      <w:r w:rsidR="002D2327">
        <w:rPr>
          <w:lang w:val="en-GB"/>
        </w:rPr>
        <w:t xml:space="preserve">the </w:t>
      </w:r>
      <w:r w:rsidR="0043385B">
        <w:rPr>
          <w:lang w:val="en-GB"/>
        </w:rPr>
        <w:t xml:space="preserve">interim measures. </w:t>
      </w:r>
      <w:r w:rsidR="00CB44B3">
        <w:rPr>
          <w:lang w:val="en-GB"/>
        </w:rPr>
        <w:t xml:space="preserve">On 26 October 2015, the Committee denied the State party’s request to lift the interim measures. On 25 February 2016, the State party requested that the communication be </w:t>
      </w:r>
      <w:r w:rsidR="00FB1A9D">
        <w:rPr>
          <w:lang w:val="en-GB"/>
        </w:rPr>
        <w:t>considered by the Committee as soon as possible</w:t>
      </w:r>
      <w:r w:rsidR="00CB44B3">
        <w:rPr>
          <w:lang w:val="en-GB"/>
        </w:rPr>
        <w:t>.</w:t>
      </w:r>
    </w:p>
    <w:p w:rsidR="002D2327" w:rsidRDefault="002D2327">
      <w:pPr>
        <w:pStyle w:val="SingleTxtG"/>
        <w:rPr>
          <w:lang w:val="en-GB"/>
        </w:rPr>
      </w:pPr>
    </w:p>
    <w:p w:rsidR="002D2327" w:rsidRDefault="002D2327">
      <w:pPr>
        <w:pStyle w:val="SingleTxtG"/>
        <w:rPr>
          <w:lang w:val="en-GB"/>
        </w:rPr>
      </w:pPr>
    </w:p>
    <w:p w:rsidR="00CB44B3" w:rsidRPr="00F020BC" w:rsidRDefault="00CB678E" w:rsidP="008078E6">
      <w:pPr>
        <w:pStyle w:val="H23G"/>
      </w:pPr>
      <w:r>
        <w:tab/>
      </w:r>
      <w:r>
        <w:tab/>
      </w:r>
      <w:r w:rsidR="003241F3" w:rsidRPr="003241F3">
        <w:t>F</w:t>
      </w:r>
      <w:r w:rsidR="00CB44B3" w:rsidRPr="003241F3">
        <w:t>acts as presented by the complainant</w:t>
      </w:r>
    </w:p>
    <w:p w:rsidR="00104653" w:rsidRDefault="00CB44B3" w:rsidP="002D2327">
      <w:pPr>
        <w:pStyle w:val="SingleTxtG"/>
        <w:rPr>
          <w:lang w:val="en-GB"/>
        </w:rPr>
      </w:pPr>
      <w:r>
        <w:rPr>
          <w:lang w:val="en-GB"/>
        </w:rPr>
        <w:t>2.1</w:t>
      </w:r>
      <w:r w:rsidR="00104653">
        <w:rPr>
          <w:lang w:val="en-GB"/>
        </w:rPr>
        <w:tab/>
        <w:t>In 1998, the complainant left school as some children had been abducted and recruited by the L</w:t>
      </w:r>
      <w:r w:rsidR="003241F3">
        <w:rPr>
          <w:lang w:val="en-GB"/>
        </w:rPr>
        <w:t>iberation Tigers of Tamil Eelam (</w:t>
      </w:r>
      <w:r w:rsidR="002D2327">
        <w:rPr>
          <w:lang w:val="en-GB"/>
        </w:rPr>
        <w:t>L</w:t>
      </w:r>
      <w:r w:rsidR="00104653">
        <w:rPr>
          <w:lang w:val="en-GB"/>
        </w:rPr>
        <w:t>TTE</w:t>
      </w:r>
      <w:r w:rsidR="003241F3">
        <w:rPr>
          <w:lang w:val="en-GB"/>
        </w:rPr>
        <w:t>)</w:t>
      </w:r>
      <w:r w:rsidR="00104653">
        <w:rPr>
          <w:lang w:val="en-GB"/>
        </w:rPr>
        <w:t>.</w:t>
      </w:r>
    </w:p>
    <w:p w:rsidR="00FB1A9D" w:rsidRDefault="00104653" w:rsidP="00625C35">
      <w:pPr>
        <w:pStyle w:val="SingleTxtG"/>
        <w:rPr>
          <w:lang w:val="en-GB"/>
        </w:rPr>
      </w:pPr>
      <w:r>
        <w:rPr>
          <w:lang w:val="en-GB"/>
        </w:rPr>
        <w:t>2.2</w:t>
      </w:r>
      <w:r>
        <w:rPr>
          <w:lang w:val="en-GB"/>
        </w:rPr>
        <w:tab/>
      </w:r>
      <w:r w:rsidR="00FB1A9D">
        <w:rPr>
          <w:lang w:val="en-GB"/>
        </w:rPr>
        <w:t xml:space="preserve">He </w:t>
      </w:r>
      <w:r w:rsidR="002D2327">
        <w:rPr>
          <w:lang w:val="en-GB"/>
        </w:rPr>
        <w:t xml:space="preserve">found </w:t>
      </w:r>
      <w:r w:rsidR="00FB1A9D">
        <w:rPr>
          <w:lang w:val="en-GB"/>
        </w:rPr>
        <w:t xml:space="preserve">employment as a </w:t>
      </w:r>
      <w:r w:rsidR="00FB1A9D" w:rsidRPr="00FB1A9D">
        <w:rPr>
          <w:lang w:val="en-GB"/>
        </w:rPr>
        <w:t>jeweller in Colombo</w:t>
      </w:r>
      <w:r w:rsidR="002D2327">
        <w:rPr>
          <w:lang w:val="en-GB"/>
        </w:rPr>
        <w:t>,</w:t>
      </w:r>
      <w:r w:rsidR="00FB1A9D" w:rsidRPr="00FB1A9D">
        <w:rPr>
          <w:lang w:val="en-GB"/>
        </w:rPr>
        <w:t xml:space="preserve"> from 2004 to 2012 </w:t>
      </w:r>
      <w:r w:rsidR="00FB1A9D">
        <w:rPr>
          <w:lang w:val="en-GB"/>
        </w:rPr>
        <w:t>(</w:t>
      </w:r>
      <w:r w:rsidR="00FB1A9D" w:rsidRPr="00FB1A9D">
        <w:rPr>
          <w:lang w:val="en-GB"/>
        </w:rPr>
        <w:t>age 16 to 24</w:t>
      </w:r>
      <w:r w:rsidR="00CB678E">
        <w:rPr>
          <w:lang w:val="en-GB"/>
        </w:rPr>
        <w:t> </w:t>
      </w:r>
      <w:r w:rsidR="00FB1A9D" w:rsidRPr="00FB1A9D">
        <w:rPr>
          <w:lang w:val="en-GB"/>
        </w:rPr>
        <w:t>years</w:t>
      </w:r>
      <w:r w:rsidR="00FB1A9D">
        <w:rPr>
          <w:lang w:val="en-GB"/>
        </w:rPr>
        <w:t xml:space="preserve">). During this time, </w:t>
      </w:r>
      <w:r w:rsidR="00FB1A9D" w:rsidRPr="00FB1A9D">
        <w:rPr>
          <w:lang w:val="en-GB"/>
        </w:rPr>
        <w:t xml:space="preserve">army officers would come to the </w:t>
      </w:r>
      <w:r w:rsidR="00FB1A9D">
        <w:rPr>
          <w:lang w:val="en-GB"/>
        </w:rPr>
        <w:t xml:space="preserve">jewellery </w:t>
      </w:r>
      <w:r w:rsidR="00FB1A9D" w:rsidRPr="00FB1A9D">
        <w:rPr>
          <w:lang w:val="en-GB"/>
        </w:rPr>
        <w:t xml:space="preserve">shop three or four times a month to check </w:t>
      </w:r>
      <w:r w:rsidR="00625C35">
        <w:rPr>
          <w:lang w:val="en-GB"/>
        </w:rPr>
        <w:t>his</w:t>
      </w:r>
      <w:r w:rsidR="00FB1A9D" w:rsidRPr="00FB1A9D">
        <w:rPr>
          <w:lang w:val="en-GB"/>
        </w:rPr>
        <w:t xml:space="preserve"> identification registration and </w:t>
      </w:r>
      <w:r w:rsidR="00625C35">
        <w:rPr>
          <w:lang w:val="en-GB"/>
        </w:rPr>
        <w:t xml:space="preserve">would </w:t>
      </w:r>
      <w:r w:rsidR="00FB1A9D" w:rsidRPr="00FB1A9D">
        <w:rPr>
          <w:lang w:val="en-GB"/>
        </w:rPr>
        <w:t>throw his equipment around.</w:t>
      </w:r>
    </w:p>
    <w:p w:rsidR="00104653" w:rsidRDefault="00FB1A9D" w:rsidP="00625C35">
      <w:pPr>
        <w:pStyle w:val="SingleTxtG"/>
        <w:rPr>
          <w:lang w:val="en-GB"/>
        </w:rPr>
      </w:pPr>
      <w:r>
        <w:rPr>
          <w:lang w:val="en-GB"/>
        </w:rPr>
        <w:t>2.3</w:t>
      </w:r>
      <w:r>
        <w:rPr>
          <w:lang w:val="en-GB"/>
        </w:rPr>
        <w:tab/>
      </w:r>
      <w:r w:rsidR="00104653">
        <w:rPr>
          <w:lang w:val="en-GB"/>
        </w:rPr>
        <w:t xml:space="preserve">In 2006, </w:t>
      </w:r>
      <w:r w:rsidR="00625C35">
        <w:rPr>
          <w:lang w:val="en-GB"/>
        </w:rPr>
        <w:t>the complainant’s</w:t>
      </w:r>
      <w:r w:rsidR="00104653">
        <w:rPr>
          <w:lang w:val="en-GB"/>
        </w:rPr>
        <w:t xml:space="preserve"> brother was abducted by LTTE and </w:t>
      </w:r>
      <w:r w:rsidR="00625C35">
        <w:rPr>
          <w:lang w:val="en-GB"/>
        </w:rPr>
        <w:t>his</w:t>
      </w:r>
      <w:r w:rsidR="00104653">
        <w:rPr>
          <w:lang w:val="en-GB"/>
        </w:rPr>
        <w:t xml:space="preserve"> family has not seen him since.</w:t>
      </w:r>
    </w:p>
    <w:p w:rsidR="00104653" w:rsidRDefault="00104653">
      <w:pPr>
        <w:pStyle w:val="SingleTxtG"/>
        <w:rPr>
          <w:lang w:val="en-GB"/>
        </w:rPr>
      </w:pPr>
      <w:r>
        <w:rPr>
          <w:lang w:val="en-GB"/>
        </w:rPr>
        <w:t>2.</w:t>
      </w:r>
      <w:r w:rsidR="00110CC7">
        <w:rPr>
          <w:lang w:val="en-GB"/>
        </w:rPr>
        <w:t>4</w:t>
      </w:r>
      <w:r>
        <w:rPr>
          <w:lang w:val="en-GB"/>
        </w:rPr>
        <w:tab/>
        <w:t xml:space="preserve">Between 2007 and 2008, the complainant </w:t>
      </w:r>
      <w:r w:rsidR="00F351E6">
        <w:rPr>
          <w:lang w:val="en-GB"/>
        </w:rPr>
        <w:t xml:space="preserve">returned to Batticaloa to register with his family in an army camp after his family was displaced by fighting. On his way back to Colombo, </w:t>
      </w:r>
      <w:r w:rsidR="00625C35">
        <w:rPr>
          <w:lang w:val="en-GB"/>
        </w:rPr>
        <w:t>he</w:t>
      </w:r>
      <w:r w:rsidR="00F351E6">
        <w:rPr>
          <w:lang w:val="en-GB"/>
        </w:rPr>
        <w:t xml:space="preserve"> </w:t>
      </w:r>
      <w:r>
        <w:rPr>
          <w:lang w:val="en-GB"/>
        </w:rPr>
        <w:t xml:space="preserve">was abducted by five men in a white van. </w:t>
      </w:r>
      <w:r w:rsidR="00625C35">
        <w:rPr>
          <w:lang w:val="en-GB"/>
        </w:rPr>
        <w:t>H</w:t>
      </w:r>
      <w:r>
        <w:rPr>
          <w:lang w:val="en-GB"/>
        </w:rPr>
        <w:t>e</w:t>
      </w:r>
      <w:r w:rsidR="00625C35">
        <w:rPr>
          <w:lang w:val="en-GB"/>
        </w:rPr>
        <w:t xml:space="preserve"> st</w:t>
      </w:r>
      <w:r w:rsidR="00033FC8">
        <w:rPr>
          <w:lang w:val="en-GB"/>
        </w:rPr>
        <w:t>a</w:t>
      </w:r>
      <w:r w:rsidR="00625C35">
        <w:rPr>
          <w:lang w:val="en-GB"/>
        </w:rPr>
        <w:t>tes that he</w:t>
      </w:r>
      <w:r>
        <w:rPr>
          <w:lang w:val="en-GB"/>
        </w:rPr>
        <w:t xml:space="preserve"> was abducted because the men in question mistook him for his brother who was an LTTE member. He was </w:t>
      </w:r>
      <w:r w:rsidR="00625C35">
        <w:rPr>
          <w:lang w:val="en-GB"/>
        </w:rPr>
        <w:t>held</w:t>
      </w:r>
      <w:r>
        <w:rPr>
          <w:lang w:val="en-GB"/>
        </w:rPr>
        <w:t xml:space="preserve"> for one day, beaten and interrogated regarding LTTE involvement. He was released later </w:t>
      </w:r>
      <w:r w:rsidR="00625C35">
        <w:rPr>
          <w:lang w:val="en-GB"/>
        </w:rPr>
        <w:t>in the</w:t>
      </w:r>
      <w:r>
        <w:rPr>
          <w:lang w:val="en-GB"/>
        </w:rPr>
        <w:t xml:space="preserve"> day and spent three months in hospital. </w:t>
      </w:r>
    </w:p>
    <w:p w:rsidR="00104653" w:rsidRDefault="00104653" w:rsidP="00625C35">
      <w:pPr>
        <w:pStyle w:val="SingleTxtG"/>
        <w:rPr>
          <w:lang w:val="en-GB"/>
        </w:rPr>
      </w:pPr>
      <w:r>
        <w:rPr>
          <w:lang w:val="en-GB"/>
        </w:rPr>
        <w:t>2.</w:t>
      </w:r>
      <w:r w:rsidR="00110CC7">
        <w:rPr>
          <w:lang w:val="en-GB"/>
        </w:rPr>
        <w:t>5</w:t>
      </w:r>
      <w:r>
        <w:rPr>
          <w:lang w:val="en-GB"/>
        </w:rPr>
        <w:tab/>
      </w:r>
      <w:r w:rsidR="008B45DF">
        <w:rPr>
          <w:lang w:val="en-GB"/>
        </w:rPr>
        <w:t>In February 2012, the complain</w:t>
      </w:r>
      <w:r w:rsidR="00625C35">
        <w:rPr>
          <w:lang w:val="en-GB"/>
        </w:rPr>
        <w:t>an</w:t>
      </w:r>
      <w:r w:rsidR="008B45DF">
        <w:rPr>
          <w:lang w:val="en-GB"/>
        </w:rPr>
        <w:t>t became sick and returned home. On</w:t>
      </w:r>
      <w:r w:rsidR="00AF1B85">
        <w:rPr>
          <w:lang w:val="en-GB"/>
        </w:rPr>
        <w:t>e</w:t>
      </w:r>
      <w:r w:rsidR="008B45DF">
        <w:rPr>
          <w:lang w:val="en-GB"/>
        </w:rPr>
        <w:t xml:space="preserve"> day, five men came to the complainant’s house and demanded that he attend a rally </w:t>
      </w:r>
      <w:r w:rsidR="00625C35">
        <w:rPr>
          <w:lang w:val="en-GB"/>
        </w:rPr>
        <w:t>protesting</w:t>
      </w:r>
      <w:r w:rsidR="008B45DF">
        <w:rPr>
          <w:lang w:val="en-GB"/>
        </w:rPr>
        <w:t xml:space="preserve"> United Nations findings on Sri Lanka. The complainant refused because he was sick</w:t>
      </w:r>
      <w:r w:rsidR="00625C35">
        <w:rPr>
          <w:lang w:val="en-GB"/>
        </w:rPr>
        <w:t>. T</w:t>
      </w:r>
      <w:r w:rsidR="008B45DF">
        <w:rPr>
          <w:lang w:val="en-GB"/>
        </w:rPr>
        <w:t>he men in question accused him of belonging to an LTTE family and slapped him twice and told him to be careful.</w:t>
      </w:r>
    </w:p>
    <w:p w:rsidR="008B45DF" w:rsidRDefault="008B45DF" w:rsidP="00625C35">
      <w:pPr>
        <w:pStyle w:val="SingleTxtG"/>
        <w:rPr>
          <w:lang w:val="en-GB"/>
        </w:rPr>
      </w:pPr>
      <w:r>
        <w:rPr>
          <w:lang w:val="en-GB"/>
        </w:rPr>
        <w:t>2.</w:t>
      </w:r>
      <w:r w:rsidR="00110CC7">
        <w:rPr>
          <w:lang w:val="en-GB"/>
        </w:rPr>
        <w:t>6</w:t>
      </w:r>
      <w:r>
        <w:rPr>
          <w:lang w:val="en-GB"/>
        </w:rPr>
        <w:tab/>
        <w:t xml:space="preserve">The complainant </w:t>
      </w:r>
      <w:r w:rsidR="00625C35">
        <w:rPr>
          <w:lang w:val="en-GB"/>
        </w:rPr>
        <w:t xml:space="preserve">then </w:t>
      </w:r>
      <w:r>
        <w:rPr>
          <w:lang w:val="en-GB"/>
        </w:rPr>
        <w:t xml:space="preserve">hid at </w:t>
      </w:r>
      <w:r w:rsidR="00625C35">
        <w:rPr>
          <w:lang w:val="en-GB"/>
        </w:rPr>
        <w:t xml:space="preserve">the houses of </w:t>
      </w:r>
      <w:r>
        <w:rPr>
          <w:lang w:val="en-GB"/>
        </w:rPr>
        <w:t>various friends and relatives until fleeing to Australia.</w:t>
      </w:r>
    </w:p>
    <w:p w:rsidR="005B50A4" w:rsidRDefault="005B50A4" w:rsidP="00A4010B">
      <w:pPr>
        <w:pStyle w:val="SingleTxtG"/>
        <w:rPr>
          <w:lang w:val="en-GB"/>
        </w:rPr>
      </w:pPr>
      <w:r>
        <w:rPr>
          <w:lang w:val="en-GB"/>
        </w:rPr>
        <w:t>2.</w:t>
      </w:r>
      <w:r w:rsidR="00110CC7">
        <w:rPr>
          <w:lang w:val="en-GB"/>
        </w:rPr>
        <w:t>7</w:t>
      </w:r>
      <w:r>
        <w:rPr>
          <w:lang w:val="en-GB"/>
        </w:rPr>
        <w:tab/>
        <w:t>The complainant left Sri Lanka illegally by boat on 25 March 2012 from Beruwela</w:t>
      </w:r>
      <w:r w:rsidR="00625C35">
        <w:rPr>
          <w:lang w:val="en-GB"/>
        </w:rPr>
        <w:t xml:space="preserve">, Western Province, </w:t>
      </w:r>
      <w:r>
        <w:rPr>
          <w:lang w:val="en-GB"/>
        </w:rPr>
        <w:t>and arrived at Christmas Island</w:t>
      </w:r>
      <w:r w:rsidR="00625C35">
        <w:rPr>
          <w:lang w:val="en-GB"/>
        </w:rPr>
        <w:t>, an excised Australian migration zone,</w:t>
      </w:r>
      <w:r>
        <w:rPr>
          <w:lang w:val="en-GB"/>
        </w:rPr>
        <w:t xml:space="preserve"> on 11 April 2012.</w:t>
      </w:r>
    </w:p>
    <w:p w:rsidR="002E1B00" w:rsidRDefault="00623727">
      <w:pPr>
        <w:pStyle w:val="SingleTxtG"/>
        <w:rPr>
          <w:lang w:val="en-GB"/>
        </w:rPr>
      </w:pPr>
      <w:r>
        <w:rPr>
          <w:lang w:val="en-GB"/>
        </w:rPr>
        <w:t>2.</w:t>
      </w:r>
      <w:r w:rsidR="00110CC7">
        <w:rPr>
          <w:lang w:val="en-GB"/>
        </w:rPr>
        <w:t>8</w:t>
      </w:r>
      <w:r>
        <w:rPr>
          <w:lang w:val="en-GB"/>
        </w:rPr>
        <w:tab/>
        <w:t>On 30 June 2012, the complainant applied for a protection visa</w:t>
      </w:r>
      <w:r w:rsidR="003C41C1">
        <w:rPr>
          <w:lang w:val="en-GB"/>
        </w:rPr>
        <w:t xml:space="preserve"> and was interviewed by an officer of the Department </w:t>
      </w:r>
      <w:r w:rsidR="00114092">
        <w:rPr>
          <w:lang w:val="en-GB"/>
        </w:rPr>
        <w:t>of Immigration</w:t>
      </w:r>
      <w:r w:rsidR="00A4010B">
        <w:rPr>
          <w:lang w:val="en-GB"/>
        </w:rPr>
        <w:t xml:space="preserve"> and Citizenship</w:t>
      </w:r>
      <w:r w:rsidR="00114092">
        <w:rPr>
          <w:lang w:val="en-GB"/>
        </w:rPr>
        <w:t xml:space="preserve"> </w:t>
      </w:r>
      <w:r w:rsidR="003C41C1">
        <w:rPr>
          <w:lang w:val="en-GB"/>
        </w:rPr>
        <w:t>on 30 June 2012 at Scherger Immigration Detention Centre in Queensland. The complainant</w:t>
      </w:r>
      <w:r w:rsidR="00E75F84">
        <w:rPr>
          <w:lang w:val="en-GB"/>
        </w:rPr>
        <w:t>’</w:t>
      </w:r>
      <w:r w:rsidR="003C41C1">
        <w:rPr>
          <w:lang w:val="en-GB"/>
        </w:rPr>
        <w:t xml:space="preserve">s </w:t>
      </w:r>
      <w:r w:rsidR="00A4010B">
        <w:rPr>
          <w:lang w:val="en-GB"/>
        </w:rPr>
        <w:t>application</w:t>
      </w:r>
      <w:r w:rsidR="00033FC8">
        <w:rPr>
          <w:lang w:val="en-GB"/>
        </w:rPr>
        <w:t xml:space="preserve"> was rejected</w:t>
      </w:r>
      <w:r w:rsidR="00A4010B">
        <w:rPr>
          <w:lang w:val="en-GB"/>
        </w:rPr>
        <w:t xml:space="preserve">, </w:t>
      </w:r>
      <w:r w:rsidR="003C41C1">
        <w:rPr>
          <w:lang w:val="en-GB"/>
        </w:rPr>
        <w:t xml:space="preserve">as detailed in </w:t>
      </w:r>
      <w:r w:rsidR="00A4010B">
        <w:rPr>
          <w:lang w:val="en-GB"/>
        </w:rPr>
        <w:t>the</w:t>
      </w:r>
      <w:r w:rsidR="003C41C1">
        <w:rPr>
          <w:lang w:val="en-GB"/>
        </w:rPr>
        <w:t xml:space="preserve"> written decision date</w:t>
      </w:r>
      <w:r w:rsidR="00E75F84">
        <w:rPr>
          <w:lang w:val="en-GB"/>
        </w:rPr>
        <w:t>d</w:t>
      </w:r>
      <w:r w:rsidR="003C41C1">
        <w:rPr>
          <w:lang w:val="en-GB"/>
        </w:rPr>
        <w:t xml:space="preserve"> 17 August 2012</w:t>
      </w:r>
      <w:r>
        <w:rPr>
          <w:lang w:val="en-GB"/>
        </w:rPr>
        <w:t xml:space="preserve">. </w:t>
      </w:r>
      <w:r w:rsidR="004848B0">
        <w:rPr>
          <w:lang w:val="en-GB"/>
        </w:rPr>
        <w:t xml:space="preserve">The </w:t>
      </w:r>
      <w:r>
        <w:rPr>
          <w:lang w:val="en-GB"/>
        </w:rPr>
        <w:t>complainant applied to the Refugee Review Tribunal for a review of th</w:t>
      </w:r>
      <w:r w:rsidR="00A4010B">
        <w:rPr>
          <w:lang w:val="en-GB"/>
        </w:rPr>
        <w:t>e</w:t>
      </w:r>
      <w:r>
        <w:rPr>
          <w:lang w:val="en-GB"/>
        </w:rPr>
        <w:t xml:space="preserve"> decision</w:t>
      </w:r>
      <w:r w:rsidR="00A4010B">
        <w:rPr>
          <w:lang w:val="en-GB"/>
        </w:rPr>
        <w:t xml:space="preserve"> and</w:t>
      </w:r>
      <w:r w:rsidR="003C41C1">
        <w:rPr>
          <w:lang w:val="en-GB"/>
        </w:rPr>
        <w:t xml:space="preserve"> was interviewed by the </w:t>
      </w:r>
      <w:r w:rsidR="00033FC8">
        <w:rPr>
          <w:lang w:val="en-GB"/>
        </w:rPr>
        <w:t xml:space="preserve">a member of the </w:t>
      </w:r>
      <w:r w:rsidR="003C41C1">
        <w:rPr>
          <w:lang w:val="en-GB"/>
        </w:rPr>
        <w:t xml:space="preserve">Tribunal on 20 November </w:t>
      </w:r>
      <w:r w:rsidR="00AB5878">
        <w:rPr>
          <w:lang w:val="en-GB"/>
        </w:rPr>
        <w:t>2</w:t>
      </w:r>
      <w:r w:rsidR="003C41C1">
        <w:rPr>
          <w:lang w:val="en-GB"/>
        </w:rPr>
        <w:t xml:space="preserve">012. </w:t>
      </w:r>
      <w:r>
        <w:rPr>
          <w:lang w:val="en-GB"/>
        </w:rPr>
        <w:t xml:space="preserve">On 1 May 2013, the Refugee Review Tribunal affirmed the decision not </w:t>
      </w:r>
      <w:r w:rsidR="003C41C1">
        <w:rPr>
          <w:lang w:val="en-GB"/>
        </w:rPr>
        <w:t xml:space="preserve">to </w:t>
      </w:r>
      <w:r>
        <w:rPr>
          <w:lang w:val="en-GB"/>
        </w:rPr>
        <w:t xml:space="preserve">grant </w:t>
      </w:r>
      <w:r w:rsidR="00A4010B">
        <w:rPr>
          <w:lang w:val="en-GB"/>
        </w:rPr>
        <w:t xml:space="preserve">the complainant </w:t>
      </w:r>
      <w:r w:rsidR="003C41C1">
        <w:rPr>
          <w:lang w:val="en-GB"/>
        </w:rPr>
        <w:t xml:space="preserve">a protection visa. </w:t>
      </w:r>
      <w:r>
        <w:rPr>
          <w:lang w:val="en-GB"/>
        </w:rPr>
        <w:t>On 13 May 2013</w:t>
      </w:r>
      <w:r w:rsidR="00E174F6">
        <w:rPr>
          <w:lang w:val="en-GB"/>
        </w:rPr>
        <w:t xml:space="preserve">, the complainant applied to the Federal Circuit Court for </w:t>
      </w:r>
      <w:r w:rsidR="00A4010B">
        <w:rPr>
          <w:lang w:val="en-GB"/>
        </w:rPr>
        <w:t xml:space="preserve">a </w:t>
      </w:r>
      <w:r w:rsidR="00E174F6">
        <w:rPr>
          <w:lang w:val="en-GB"/>
        </w:rPr>
        <w:t>review of the Tribunal</w:t>
      </w:r>
      <w:r w:rsidR="00A4010B">
        <w:rPr>
          <w:lang w:val="en-GB"/>
        </w:rPr>
        <w:t>’s</w:t>
      </w:r>
      <w:r w:rsidR="00E174F6">
        <w:rPr>
          <w:lang w:val="en-GB"/>
        </w:rPr>
        <w:t xml:space="preserve"> decision. </w:t>
      </w:r>
      <w:r w:rsidR="00C909CF">
        <w:rPr>
          <w:lang w:val="en-GB"/>
        </w:rPr>
        <w:t>On 22 November 2013, the Federal Circuit Court dismissed the complainant’s application and awarded legal costs of $2,500 against him.</w:t>
      </w:r>
      <w:r w:rsidR="00CB678E">
        <w:rPr>
          <w:lang w:val="en-GB"/>
        </w:rPr>
        <w:t xml:space="preserve"> </w:t>
      </w:r>
      <w:r w:rsidR="00C909CF">
        <w:rPr>
          <w:lang w:val="en-GB"/>
        </w:rPr>
        <w:t xml:space="preserve">On 11 December 2013, the complainant </w:t>
      </w:r>
      <w:r w:rsidR="006E4F72">
        <w:rPr>
          <w:lang w:val="en-GB"/>
        </w:rPr>
        <w:t>requested</w:t>
      </w:r>
      <w:r w:rsidR="00C909CF">
        <w:rPr>
          <w:lang w:val="en-GB"/>
        </w:rPr>
        <w:t xml:space="preserve"> the Minister for Immigration and Border Protection </w:t>
      </w:r>
      <w:r w:rsidR="006E4F72">
        <w:rPr>
          <w:lang w:val="en-GB"/>
        </w:rPr>
        <w:t xml:space="preserve">to </w:t>
      </w:r>
      <w:r w:rsidR="00C909CF">
        <w:rPr>
          <w:lang w:val="en-GB"/>
        </w:rPr>
        <w:t>exercise his public interest power</w:t>
      </w:r>
      <w:r w:rsidR="006E4F72">
        <w:rPr>
          <w:lang w:val="en-GB"/>
        </w:rPr>
        <w:t>s</w:t>
      </w:r>
      <w:r w:rsidR="00C909CF">
        <w:rPr>
          <w:lang w:val="en-GB"/>
        </w:rPr>
        <w:t xml:space="preserve"> under section 417 of th</w:t>
      </w:r>
      <w:r w:rsidR="00AB5878">
        <w:rPr>
          <w:lang w:val="en-GB"/>
        </w:rPr>
        <w:t>e</w:t>
      </w:r>
      <w:r w:rsidR="00C909CF">
        <w:rPr>
          <w:lang w:val="en-GB"/>
        </w:rPr>
        <w:t xml:space="preserve"> Migration Act.</w:t>
      </w:r>
      <w:r w:rsidR="00A90943">
        <w:rPr>
          <w:lang w:val="en-GB"/>
        </w:rPr>
        <w:t xml:space="preserve"> </w:t>
      </w:r>
      <w:r w:rsidR="003C41C1">
        <w:rPr>
          <w:lang w:val="en-GB"/>
        </w:rPr>
        <w:t>On 3 M</w:t>
      </w:r>
      <w:r w:rsidR="00A90943">
        <w:rPr>
          <w:lang w:val="en-GB"/>
        </w:rPr>
        <w:t>arch 2014, the Assistant Minister for Immigration and Border Protection declined to intervene</w:t>
      </w:r>
      <w:r w:rsidR="00AB5878">
        <w:rPr>
          <w:lang w:val="en-GB"/>
        </w:rPr>
        <w:t xml:space="preserve">. As the </w:t>
      </w:r>
      <w:r w:rsidR="00A90943">
        <w:rPr>
          <w:lang w:val="en-GB"/>
        </w:rPr>
        <w:t>complainant</w:t>
      </w:r>
      <w:r w:rsidR="00AB5878">
        <w:rPr>
          <w:lang w:val="en-GB"/>
        </w:rPr>
        <w:t xml:space="preserve">’s bridging visa </w:t>
      </w:r>
      <w:r w:rsidR="006E4F72">
        <w:rPr>
          <w:lang w:val="en-GB"/>
        </w:rPr>
        <w:t xml:space="preserve">had </w:t>
      </w:r>
      <w:r w:rsidR="00A90943">
        <w:rPr>
          <w:lang w:val="en-GB"/>
        </w:rPr>
        <w:t>expired</w:t>
      </w:r>
      <w:r w:rsidR="00AB5878">
        <w:rPr>
          <w:lang w:val="en-GB"/>
        </w:rPr>
        <w:t>, t</w:t>
      </w:r>
      <w:r w:rsidR="00A90943">
        <w:rPr>
          <w:lang w:val="en-GB"/>
        </w:rPr>
        <w:t>he Department of Immigr</w:t>
      </w:r>
      <w:r w:rsidR="00AB5878">
        <w:rPr>
          <w:lang w:val="en-GB"/>
        </w:rPr>
        <w:t xml:space="preserve">ation and Border Protection </w:t>
      </w:r>
      <w:r w:rsidR="00A90943">
        <w:rPr>
          <w:lang w:val="en-GB"/>
        </w:rPr>
        <w:t xml:space="preserve">scheduled a bridging visa interview for 2 May 2014. </w:t>
      </w:r>
      <w:r w:rsidR="004848B0">
        <w:rPr>
          <w:lang w:val="en-GB"/>
        </w:rPr>
        <w:t>At the time of submitting the</w:t>
      </w:r>
      <w:r w:rsidR="00033FC8">
        <w:rPr>
          <w:lang w:val="en-GB"/>
        </w:rPr>
        <w:t xml:space="preserve"> present</w:t>
      </w:r>
      <w:r w:rsidR="004848B0">
        <w:rPr>
          <w:lang w:val="en-GB"/>
        </w:rPr>
        <w:t xml:space="preserve"> communication, t</w:t>
      </w:r>
      <w:r w:rsidR="00A90943">
        <w:rPr>
          <w:lang w:val="en-GB"/>
        </w:rPr>
        <w:t>he complainant fear</w:t>
      </w:r>
      <w:r w:rsidR="004848B0">
        <w:rPr>
          <w:lang w:val="en-GB"/>
        </w:rPr>
        <w:t>ed</w:t>
      </w:r>
      <w:r w:rsidR="00A90943">
        <w:rPr>
          <w:lang w:val="en-GB"/>
        </w:rPr>
        <w:t xml:space="preserve"> that he w</w:t>
      </w:r>
      <w:r w:rsidR="004848B0">
        <w:rPr>
          <w:lang w:val="en-GB"/>
        </w:rPr>
        <w:t xml:space="preserve">ould be </w:t>
      </w:r>
      <w:r w:rsidR="00A90943">
        <w:rPr>
          <w:lang w:val="en-GB"/>
        </w:rPr>
        <w:t xml:space="preserve">arrested at the interview </w:t>
      </w:r>
      <w:r w:rsidR="003241F3">
        <w:rPr>
          <w:lang w:val="en-GB"/>
        </w:rPr>
        <w:t xml:space="preserve">and </w:t>
      </w:r>
      <w:r w:rsidR="00A90943">
        <w:rPr>
          <w:lang w:val="en-GB"/>
        </w:rPr>
        <w:t>redetained for the purpose of removal to Sri Lanka.</w:t>
      </w:r>
      <w:r w:rsidR="00C909CF">
        <w:rPr>
          <w:lang w:val="en-GB"/>
        </w:rPr>
        <w:t xml:space="preserve"> </w:t>
      </w:r>
    </w:p>
    <w:p w:rsidR="005B50A4" w:rsidRPr="002053B3" w:rsidRDefault="00CB678E" w:rsidP="008078E6">
      <w:pPr>
        <w:pStyle w:val="H23G"/>
      </w:pPr>
      <w:r>
        <w:lastRenderedPageBreak/>
        <w:tab/>
      </w:r>
      <w:r>
        <w:tab/>
      </w:r>
      <w:r w:rsidR="002053B3" w:rsidRPr="002053B3">
        <w:t>The complaint</w:t>
      </w:r>
    </w:p>
    <w:p w:rsidR="002E1B00" w:rsidRDefault="00C73F4E">
      <w:pPr>
        <w:pStyle w:val="SingleTxtG"/>
        <w:rPr>
          <w:lang w:val="en-GB"/>
        </w:rPr>
      </w:pPr>
      <w:r>
        <w:rPr>
          <w:lang w:val="en-GB"/>
        </w:rPr>
        <w:t>3.</w:t>
      </w:r>
      <w:r w:rsidR="002053B3">
        <w:rPr>
          <w:lang w:val="en-GB"/>
        </w:rPr>
        <w:tab/>
        <w:t xml:space="preserve">The complainant claims that he will be arrested and detained under </w:t>
      </w:r>
      <w:r w:rsidR="006E4F72">
        <w:rPr>
          <w:lang w:val="en-GB"/>
        </w:rPr>
        <w:t xml:space="preserve">the </w:t>
      </w:r>
      <w:r w:rsidR="002053B3">
        <w:rPr>
          <w:lang w:val="en-GB"/>
        </w:rPr>
        <w:t xml:space="preserve">Sri Lanka </w:t>
      </w:r>
      <w:r w:rsidR="006E4F72">
        <w:rPr>
          <w:lang w:val="en-GB"/>
        </w:rPr>
        <w:t xml:space="preserve">Immigrants and </w:t>
      </w:r>
      <w:r w:rsidR="002053B3">
        <w:rPr>
          <w:lang w:val="en-GB"/>
        </w:rPr>
        <w:t>Emigrant</w:t>
      </w:r>
      <w:r w:rsidR="006E4F72">
        <w:rPr>
          <w:lang w:val="en-GB"/>
        </w:rPr>
        <w:t>s</w:t>
      </w:r>
      <w:r w:rsidR="002053B3">
        <w:rPr>
          <w:lang w:val="en-GB"/>
        </w:rPr>
        <w:t xml:space="preserve"> Act upon return to Sri Lanka. He </w:t>
      </w:r>
      <w:r w:rsidR="00033FC8">
        <w:rPr>
          <w:lang w:val="en-GB"/>
        </w:rPr>
        <w:t xml:space="preserve">claims that he </w:t>
      </w:r>
      <w:r w:rsidR="002053B3">
        <w:rPr>
          <w:lang w:val="en-GB"/>
        </w:rPr>
        <w:t>w</w:t>
      </w:r>
      <w:r w:rsidR="00033FC8">
        <w:rPr>
          <w:lang w:val="en-GB"/>
        </w:rPr>
        <w:t>ill</w:t>
      </w:r>
      <w:r w:rsidR="002053B3">
        <w:rPr>
          <w:lang w:val="en-GB"/>
        </w:rPr>
        <w:t xml:space="preserve"> be held </w:t>
      </w:r>
      <w:r w:rsidR="00033FC8">
        <w:rPr>
          <w:lang w:val="en-GB"/>
        </w:rPr>
        <w:t xml:space="preserve">in remand </w:t>
      </w:r>
      <w:r w:rsidR="002053B3">
        <w:rPr>
          <w:lang w:val="en-GB"/>
        </w:rPr>
        <w:t xml:space="preserve">at Negombo </w:t>
      </w:r>
      <w:r w:rsidR="00033FC8">
        <w:rPr>
          <w:lang w:val="en-GB"/>
        </w:rPr>
        <w:t>Prison</w:t>
      </w:r>
      <w:r w:rsidR="002053B3">
        <w:rPr>
          <w:lang w:val="en-GB"/>
        </w:rPr>
        <w:t xml:space="preserve"> and face a real risk of significant harm </w:t>
      </w:r>
      <w:r w:rsidR="006E4F72">
        <w:rPr>
          <w:lang w:val="en-GB"/>
        </w:rPr>
        <w:t xml:space="preserve">consisting </w:t>
      </w:r>
      <w:r w:rsidR="002053B3">
        <w:rPr>
          <w:lang w:val="en-GB"/>
        </w:rPr>
        <w:t>of prolonged detention</w:t>
      </w:r>
      <w:r w:rsidR="006E4F72">
        <w:rPr>
          <w:lang w:val="en-GB"/>
        </w:rPr>
        <w:t>,</w:t>
      </w:r>
      <w:r w:rsidR="002053B3">
        <w:rPr>
          <w:lang w:val="en-GB"/>
        </w:rPr>
        <w:t xml:space="preserve"> interrogation and torture</w:t>
      </w:r>
      <w:r w:rsidR="00033FC8">
        <w:rPr>
          <w:lang w:val="en-GB"/>
        </w:rPr>
        <w:t>,</w:t>
      </w:r>
      <w:r w:rsidR="002053B3">
        <w:rPr>
          <w:lang w:val="en-GB"/>
        </w:rPr>
        <w:t xml:space="preserve"> </w:t>
      </w:r>
      <w:r w:rsidR="006E4F72">
        <w:rPr>
          <w:lang w:val="en-GB"/>
        </w:rPr>
        <w:t>because</w:t>
      </w:r>
      <w:r w:rsidR="002053B3">
        <w:rPr>
          <w:lang w:val="en-GB"/>
        </w:rPr>
        <w:t xml:space="preserve"> his brother was an LTTE member and the co</w:t>
      </w:r>
      <w:r w:rsidR="003241F3">
        <w:rPr>
          <w:lang w:val="en-GB"/>
        </w:rPr>
        <w:t>mplainant has had contact with T</w:t>
      </w:r>
      <w:r w:rsidR="002053B3">
        <w:rPr>
          <w:lang w:val="en-GB"/>
        </w:rPr>
        <w:t xml:space="preserve">amil Congress members in Australia. In addition, the conditions of detention </w:t>
      </w:r>
      <w:r w:rsidR="00033FC8">
        <w:rPr>
          <w:lang w:val="en-GB"/>
        </w:rPr>
        <w:t>at</w:t>
      </w:r>
      <w:r w:rsidR="002053B3">
        <w:rPr>
          <w:lang w:val="en-GB"/>
        </w:rPr>
        <w:t xml:space="preserve"> Negombo </w:t>
      </w:r>
      <w:r w:rsidR="00033FC8">
        <w:rPr>
          <w:lang w:val="en-GB"/>
        </w:rPr>
        <w:t>Prison</w:t>
      </w:r>
      <w:r w:rsidR="002053B3">
        <w:rPr>
          <w:lang w:val="en-GB"/>
        </w:rPr>
        <w:t xml:space="preserve"> constitute degrading treatment.</w:t>
      </w:r>
    </w:p>
    <w:p w:rsidR="005B50A4" w:rsidRDefault="00CB678E" w:rsidP="008078E6">
      <w:pPr>
        <w:pStyle w:val="H23G"/>
      </w:pPr>
      <w:r>
        <w:tab/>
      </w:r>
      <w:r>
        <w:tab/>
      </w:r>
      <w:r w:rsidR="002053B3" w:rsidRPr="002053B3">
        <w:t>State party’s observations on admissibility and the merits</w:t>
      </w:r>
    </w:p>
    <w:p w:rsidR="002053B3" w:rsidRDefault="002053B3" w:rsidP="003C44F1">
      <w:pPr>
        <w:pStyle w:val="SingleTxtG"/>
        <w:rPr>
          <w:lang w:val="en-GB"/>
        </w:rPr>
      </w:pPr>
      <w:r w:rsidRPr="00B3630C">
        <w:rPr>
          <w:lang w:val="en-GB"/>
        </w:rPr>
        <w:t xml:space="preserve">4.1 </w:t>
      </w:r>
      <w:r w:rsidR="003455B3">
        <w:rPr>
          <w:lang w:val="en-GB"/>
        </w:rPr>
        <w:tab/>
      </w:r>
      <w:r w:rsidR="00B3630C" w:rsidRPr="00B3630C">
        <w:rPr>
          <w:lang w:val="en-GB"/>
        </w:rPr>
        <w:t xml:space="preserve">On 7 November 2014, the State party submitted its </w:t>
      </w:r>
      <w:r w:rsidR="002F007D">
        <w:rPr>
          <w:lang w:val="en-GB"/>
        </w:rPr>
        <w:t>observation</w:t>
      </w:r>
      <w:r w:rsidR="006E4F72">
        <w:rPr>
          <w:lang w:val="en-GB"/>
        </w:rPr>
        <w:t>s</w:t>
      </w:r>
      <w:r w:rsidR="002F007D">
        <w:rPr>
          <w:lang w:val="en-GB"/>
        </w:rPr>
        <w:t xml:space="preserve"> </w:t>
      </w:r>
      <w:r w:rsidR="00597404">
        <w:rPr>
          <w:lang w:val="en-GB"/>
        </w:rPr>
        <w:t>on admissibility and</w:t>
      </w:r>
      <w:r w:rsidR="006E4F72">
        <w:rPr>
          <w:lang w:val="en-GB"/>
        </w:rPr>
        <w:t xml:space="preserve"> the</w:t>
      </w:r>
      <w:r w:rsidR="00597404">
        <w:rPr>
          <w:lang w:val="en-GB"/>
        </w:rPr>
        <w:t xml:space="preserve"> merits</w:t>
      </w:r>
      <w:r w:rsidR="006E4F72">
        <w:rPr>
          <w:lang w:val="en-GB"/>
        </w:rPr>
        <w:t>,</w:t>
      </w:r>
      <w:r w:rsidR="00597404">
        <w:rPr>
          <w:lang w:val="en-GB"/>
        </w:rPr>
        <w:t xml:space="preserve"> in which it </w:t>
      </w:r>
      <w:r w:rsidR="006E4F72">
        <w:rPr>
          <w:lang w:val="en-GB"/>
        </w:rPr>
        <w:t>recalled</w:t>
      </w:r>
      <w:r w:rsidR="00597404">
        <w:rPr>
          <w:lang w:val="en-GB"/>
        </w:rPr>
        <w:t xml:space="preserve"> that a</w:t>
      </w:r>
      <w:r w:rsidR="00B3630C" w:rsidRPr="00B3630C">
        <w:rPr>
          <w:lang w:val="en-GB"/>
        </w:rPr>
        <w:t>rticle 3 provide</w:t>
      </w:r>
      <w:r w:rsidR="006E4F72">
        <w:rPr>
          <w:lang w:val="en-GB"/>
        </w:rPr>
        <w:t>d</w:t>
      </w:r>
      <w:r w:rsidR="00B3630C" w:rsidRPr="00B3630C">
        <w:rPr>
          <w:lang w:val="en-GB"/>
        </w:rPr>
        <w:t xml:space="preserve"> that States parties </w:t>
      </w:r>
      <w:r w:rsidR="00597404">
        <w:rPr>
          <w:lang w:val="en-GB"/>
        </w:rPr>
        <w:t>ha</w:t>
      </w:r>
      <w:r w:rsidR="006E4F72">
        <w:rPr>
          <w:lang w:val="en-GB"/>
        </w:rPr>
        <w:t>d</w:t>
      </w:r>
      <w:r w:rsidR="00597404">
        <w:rPr>
          <w:lang w:val="en-GB"/>
        </w:rPr>
        <w:t xml:space="preserve"> an obligation not to return a person to another State where there are substantial grounds for believing that the person would be in danger of being subjected to torture.</w:t>
      </w:r>
      <w:r w:rsidR="002E1B00" w:rsidRPr="00153A7F">
        <w:rPr>
          <w:rStyle w:val="FootnoteReference"/>
        </w:rPr>
        <w:footnoteReference w:id="4"/>
      </w:r>
      <w:r w:rsidR="00597404">
        <w:rPr>
          <w:lang w:val="en-GB"/>
        </w:rPr>
        <w:t xml:space="preserve"> </w:t>
      </w:r>
      <w:r w:rsidR="006E4F72">
        <w:rPr>
          <w:lang w:val="en-GB"/>
        </w:rPr>
        <w:t>It also recalled that, i</w:t>
      </w:r>
      <w:r w:rsidR="00597404">
        <w:rPr>
          <w:lang w:val="en-GB"/>
        </w:rPr>
        <w:t xml:space="preserve">n its views concerning </w:t>
      </w:r>
      <w:r w:rsidR="00597404" w:rsidRPr="00532AB4">
        <w:rPr>
          <w:i/>
          <w:lang w:val="en-GB"/>
        </w:rPr>
        <w:t>G.R.B. v Sweden</w:t>
      </w:r>
      <w:r w:rsidR="00597404">
        <w:rPr>
          <w:lang w:val="en-GB"/>
        </w:rPr>
        <w:t xml:space="preserve">, the Committee </w:t>
      </w:r>
      <w:r w:rsidR="00021EDC">
        <w:rPr>
          <w:lang w:val="en-GB"/>
        </w:rPr>
        <w:t xml:space="preserve">had </w:t>
      </w:r>
      <w:r w:rsidR="00597404">
        <w:rPr>
          <w:lang w:val="en-GB"/>
        </w:rPr>
        <w:t xml:space="preserve">confirmed that the obligation under article 3 </w:t>
      </w:r>
      <w:r w:rsidR="00021EDC">
        <w:rPr>
          <w:lang w:val="en-GB"/>
        </w:rPr>
        <w:t>wa</w:t>
      </w:r>
      <w:r w:rsidR="00597404">
        <w:rPr>
          <w:lang w:val="en-GB"/>
        </w:rPr>
        <w:t>s directly linked to the definition of torture set out in article 1 of the C</w:t>
      </w:r>
      <w:r w:rsidR="00EA61B0">
        <w:rPr>
          <w:lang w:val="en-GB"/>
        </w:rPr>
        <w:t>onvention.</w:t>
      </w:r>
      <w:r w:rsidR="002E1B00" w:rsidRPr="00153A7F">
        <w:rPr>
          <w:rStyle w:val="FootnoteReference"/>
        </w:rPr>
        <w:footnoteReference w:id="5"/>
      </w:r>
      <w:r w:rsidR="00CB678E">
        <w:rPr>
          <w:lang w:val="en-GB"/>
        </w:rPr>
        <w:t xml:space="preserve"> </w:t>
      </w:r>
      <w:r w:rsidR="00EA61B0">
        <w:rPr>
          <w:lang w:val="en-GB"/>
        </w:rPr>
        <w:t xml:space="preserve">The Committee </w:t>
      </w:r>
      <w:r w:rsidR="00021EDC">
        <w:rPr>
          <w:lang w:val="en-GB"/>
        </w:rPr>
        <w:t xml:space="preserve">has </w:t>
      </w:r>
      <w:r w:rsidR="00EA61B0">
        <w:rPr>
          <w:lang w:val="en-GB"/>
        </w:rPr>
        <w:t xml:space="preserve">also noted </w:t>
      </w:r>
      <w:r w:rsidR="005375D8">
        <w:rPr>
          <w:lang w:val="en-GB"/>
        </w:rPr>
        <w:t xml:space="preserve">that several </w:t>
      </w:r>
      <w:r w:rsidR="005F5CA3">
        <w:rPr>
          <w:lang w:val="en-GB"/>
        </w:rPr>
        <w:t>elements must exist for an act to constitute torture: the act must cause a person severe pain or suffering, which may be mental or physical; the act must be intentionally inflicted on a person or on a third person for the purposes of obtaining information, extracting a confession, punishment for an act that the person or a third person allegedly committed, intimidation or coercion, or for any reason based on discrimination of any kind; and the act must be inflicted by, or at the instigation of, or with the consent or acquiescence of, a public official or other person acting in an official capacity.</w:t>
      </w:r>
      <w:r w:rsidR="00860DED" w:rsidRPr="00153A7F">
        <w:rPr>
          <w:rStyle w:val="FootnoteReference"/>
        </w:rPr>
        <w:footnoteReference w:id="6"/>
      </w:r>
    </w:p>
    <w:p w:rsidR="003455B3" w:rsidRPr="003455B3" w:rsidRDefault="008F1F32">
      <w:pPr>
        <w:pStyle w:val="SingleTxtG"/>
      </w:pPr>
      <w:r w:rsidRPr="003455B3">
        <w:t>4.2</w:t>
      </w:r>
      <w:r w:rsidR="003455B3" w:rsidRPr="003455B3">
        <w:tab/>
      </w:r>
      <w:r w:rsidRPr="003455B3">
        <w:t xml:space="preserve">The State party notes that each case must be assessed </w:t>
      </w:r>
      <w:r w:rsidR="00C955D7">
        <w:rPr>
          <w:lang w:val="en-US"/>
        </w:rPr>
        <w:t xml:space="preserve">according to </w:t>
      </w:r>
      <w:r w:rsidRPr="003455B3">
        <w:t>its own facts. Whether conduct amounts to torture will depend on the nature of the alleged act</w:t>
      </w:r>
      <w:r w:rsidR="00C73BBF">
        <w:t xml:space="preserve">. </w:t>
      </w:r>
      <w:r w:rsidRPr="003455B3">
        <w:t>Furthermore, if it is establ</w:t>
      </w:r>
      <w:r w:rsidR="00F10C76">
        <w:t xml:space="preserve">ished that the alleged acts </w:t>
      </w:r>
      <w:r w:rsidRPr="003455B3">
        <w:t>constitute torture, article 3</w:t>
      </w:r>
      <w:r w:rsidR="003C44F1">
        <w:rPr>
          <w:lang w:val="en-US"/>
        </w:rPr>
        <w:t xml:space="preserve"> of the Convention</w:t>
      </w:r>
      <w:r w:rsidRPr="003455B3">
        <w:t xml:space="preserve"> also requires that there </w:t>
      </w:r>
      <w:r w:rsidR="002F61A9">
        <w:rPr>
          <w:lang w:val="en-US"/>
        </w:rPr>
        <w:t>must be</w:t>
      </w:r>
      <w:r w:rsidRPr="003455B3">
        <w:t xml:space="preserve"> substantial grounds for believing that </w:t>
      </w:r>
      <w:r w:rsidR="003C44F1">
        <w:rPr>
          <w:lang w:val="en-US"/>
        </w:rPr>
        <w:t>an individual</w:t>
      </w:r>
      <w:r w:rsidRPr="003455B3">
        <w:t xml:space="preserve"> would be in danger of being subjected to torture</w:t>
      </w:r>
      <w:r w:rsidR="002F61A9">
        <w:rPr>
          <w:lang w:val="en-US"/>
        </w:rPr>
        <w:t>,</w:t>
      </w:r>
      <w:r w:rsidR="003C44F1">
        <w:rPr>
          <w:lang w:val="en-US"/>
        </w:rPr>
        <w:t xml:space="preserve"> </w:t>
      </w:r>
      <w:r w:rsidR="003C44F1" w:rsidRPr="008078E6">
        <w:rPr>
          <w:lang w:val="en-GB"/>
        </w:rPr>
        <w:t>t</w:t>
      </w:r>
      <w:r w:rsidRPr="008078E6">
        <w:rPr>
          <w:lang w:val="en-GB"/>
        </w:rPr>
        <w:t xml:space="preserve">hat </w:t>
      </w:r>
      <w:r w:rsidRPr="003455B3">
        <w:t>is, at a fores</w:t>
      </w:r>
      <w:r w:rsidR="00EE18DA">
        <w:t>e</w:t>
      </w:r>
      <w:r w:rsidRPr="003455B3">
        <w:t>eable, real and personal risk of being subjected to torture.</w:t>
      </w:r>
      <w:r w:rsidR="00860DED" w:rsidRPr="00153A7F">
        <w:rPr>
          <w:rStyle w:val="FootnoteReference"/>
        </w:rPr>
        <w:footnoteReference w:id="7"/>
      </w:r>
      <w:r w:rsidR="00F36F4E">
        <w:t xml:space="preserve"> </w:t>
      </w:r>
      <w:r w:rsidR="00C06462" w:rsidRPr="003455B3">
        <w:t>The Committee has also stated that the danger must be personal and present.</w:t>
      </w:r>
      <w:r w:rsidR="00860DED" w:rsidRPr="00153A7F">
        <w:rPr>
          <w:rStyle w:val="FootnoteReference"/>
        </w:rPr>
        <w:footnoteReference w:id="8"/>
      </w:r>
      <w:r w:rsidR="003455B3" w:rsidRPr="003455B3">
        <w:t xml:space="preserve"> In order to show that a State party would be in breach </w:t>
      </w:r>
      <w:r w:rsidR="003455B3">
        <w:t xml:space="preserve">of its non-refoulement obligations under article 3 of the Convention, an individual must be personally at risk of such treatment should he or she be returned to a country. In addition, the onus of proving that there is a foreseeable, real and personal risk of being subjected to torture upon extradition or deportation rests on the complainant. </w:t>
      </w:r>
      <w:r w:rsidR="003C44F1">
        <w:rPr>
          <w:lang w:val="en-US"/>
        </w:rPr>
        <w:t xml:space="preserve">The Committee </w:t>
      </w:r>
      <w:r w:rsidR="002F61A9">
        <w:rPr>
          <w:lang w:val="en-US"/>
        </w:rPr>
        <w:t xml:space="preserve">has </w:t>
      </w:r>
      <w:r w:rsidR="003C44F1">
        <w:rPr>
          <w:lang w:val="en-US"/>
        </w:rPr>
        <w:t>also state</w:t>
      </w:r>
      <w:r w:rsidR="002F61A9">
        <w:rPr>
          <w:lang w:val="en-US"/>
        </w:rPr>
        <w:t>d</w:t>
      </w:r>
      <w:r w:rsidR="003C44F1">
        <w:rPr>
          <w:lang w:val="en-US"/>
        </w:rPr>
        <w:t xml:space="preserve"> that </w:t>
      </w:r>
      <w:r w:rsidR="003C44F1" w:rsidRPr="008078E6">
        <w:rPr>
          <w:lang w:val="en-GB"/>
        </w:rPr>
        <w:t>t</w:t>
      </w:r>
      <w:r w:rsidR="003455B3" w:rsidRPr="008078E6">
        <w:rPr>
          <w:lang w:val="en-GB"/>
        </w:rPr>
        <w:t>he</w:t>
      </w:r>
      <w:r w:rsidR="003455B3">
        <w:t xml:space="preserve"> risk must be assessed on grounds that go beyond mere theory and suspicion.</w:t>
      </w:r>
      <w:r w:rsidR="005F0D5D" w:rsidRPr="00153A7F">
        <w:rPr>
          <w:rStyle w:val="FootnoteReference"/>
        </w:rPr>
        <w:footnoteReference w:id="9"/>
      </w:r>
    </w:p>
    <w:p w:rsidR="00143350" w:rsidRDefault="00143350" w:rsidP="008C77A3">
      <w:pPr>
        <w:pStyle w:val="SingleTxtG"/>
        <w:rPr>
          <w:lang w:val="en-GB"/>
        </w:rPr>
      </w:pPr>
      <w:r w:rsidRPr="00143350">
        <w:rPr>
          <w:lang w:val="en-GB"/>
        </w:rPr>
        <w:t>4.3</w:t>
      </w:r>
      <w:r w:rsidRPr="00143350">
        <w:rPr>
          <w:lang w:val="en-GB"/>
        </w:rPr>
        <w:tab/>
      </w:r>
      <w:r w:rsidR="002B3CDA">
        <w:rPr>
          <w:lang w:val="en-GB"/>
        </w:rPr>
        <w:t xml:space="preserve">In the light of the above, the State party submits that the complainant’s claims are inadmissible pursuant to rule 113 (b) </w:t>
      </w:r>
      <w:r w:rsidR="00744F4E">
        <w:rPr>
          <w:lang w:val="en-GB"/>
        </w:rPr>
        <w:t>of the Committee’s rules of procedures on the grounds that the</w:t>
      </w:r>
      <w:r w:rsidR="00E1415E">
        <w:rPr>
          <w:lang w:val="en-GB"/>
        </w:rPr>
        <w:t xml:space="preserve">y </w:t>
      </w:r>
      <w:r w:rsidR="00744F4E">
        <w:rPr>
          <w:lang w:val="en-GB"/>
        </w:rPr>
        <w:t xml:space="preserve">are manifestly unfounded. </w:t>
      </w:r>
      <w:r w:rsidR="003C44F1">
        <w:rPr>
          <w:lang w:val="en-GB"/>
        </w:rPr>
        <w:t>In its general comment No. 1, t</w:t>
      </w:r>
      <w:r w:rsidR="00744F4E">
        <w:rPr>
          <w:lang w:val="en-GB"/>
        </w:rPr>
        <w:t xml:space="preserve">he Committee </w:t>
      </w:r>
      <w:r w:rsidR="00BD6BF1">
        <w:rPr>
          <w:lang w:val="en-GB"/>
        </w:rPr>
        <w:t xml:space="preserve">stated that it is the responsibility of the complainant to establish a prima facie case that there is a foreseeable, real and personal risk </w:t>
      </w:r>
      <w:r w:rsidR="00E1415E">
        <w:rPr>
          <w:lang w:val="en-GB"/>
        </w:rPr>
        <w:t xml:space="preserve">that </w:t>
      </w:r>
      <w:r w:rsidR="00BD6BF1">
        <w:rPr>
          <w:lang w:val="en-GB"/>
        </w:rPr>
        <w:t>he would be subjected to torture by the authorities</w:t>
      </w:r>
      <w:r w:rsidR="003C44F1">
        <w:rPr>
          <w:lang w:val="en-GB"/>
        </w:rPr>
        <w:t xml:space="preserve"> of </w:t>
      </w:r>
      <w:r w:rsidR="003C44F1">
        <w:rPr>
          <w:lang w:val="en-GB"/>
        </w:rPr>
        <w:lastRenderedPageBreak/>
        <w:t xml:space="preserve">the country to which he is to be </w:t>
      </w:r>
      <w:r w:rsidR="00BD6BF1">
        <w:rPr>
          <w:lang w:val="en-GB"/>
        </w:rPr>
        <w:t>returned.</w:t>
      </w:r>
      <w:r w:rsidR="005F0D5D" w:rsidRPr="00153A7F">
        <w:rPr>
          <w:rStyle w:val="FootnoteReference"/>
        </w:rPr>
        <w:footnoteReference w:id="10"/>
      </w:r>
      <w:r w:rsidR="00BD6BF1">
        <w:rPr>
          <w:lang w:val="en-GB"/>
        </w:rPr>
        <w:t xml:space="preserve"> In this connection, the State party maintains that the complainant has failed to </w:t>
      </w:r>
      <w:r w:rsidR="008C77A3">
        <w:rPr>
          <w:lang w:val="en-GB"/>
        </w:rPr>
        <w:t>establish such risk</w:t>
      </w:r>
      <w:r w:rsidR="00BD6BF1">
        <w:rPr>
          <w:lang w:val="en-GB"/>
        </w:rPr>
        <w:t xml:space="preserve">. </w:t>
      </w:r>
      <w:r w:rsidR="008C77A3">
        <w:rPr>
          <w:lang w:val="en-GB"/>
        </w:rPr>
        <w:t>Should the Committee consider the communication admissible</w:t>
      </w:r>
      <w:r w:rsidR="00BD6BF1">
        <w:rPr>
          <w:lang w:val="en-GB"/>
        </w:rPr>
        <w:t xml:space="preserve">, the State party submits that the complainant’s claims are without merit. </w:t>
      </w:r>
    </w:p>
    <w:p w:rsidR="00C254CB" w:rsidRDefault="00BD6BF1">
      <w:pPr>
        <w:pStyle w:val="SingleTxtG"/>
        <w:rPr>
          <w:lang w:val="en-GB"/>
        </w:rPr>
      </w:pPr>
      <w:r>
        <w:rPr>
          <w:lang w:val="en-GB"/>
        </w:rPr>
        <w:t>4.4</w:t>
      </w:r>
      <w:r>
        <w:rPr>
          <w:lang w:val="en-GB"/>
        </w:rPr>
        <w:tab/>
        <w:t xml:space="preserve">The State party </w:t>
      </w:r>
      <w:r w:rsidR="008C77A3">
        <w:rPr>
          <w:lang w:val="en-GB"/>
        </w:rPr>
        <w:t>argues</w:t>
      </w:r>
      <w:r>
        <w:rPr>
          <w:lang w:val="en-GB"/>
        </w:rPr>
        <w:t xml:space="preserve"> that the complainant’s claims </w:t>
      </w:r>
      <w:r w:rsidR="008C77A3">
        <w:rPr>
          <w:lang w:val="en-GB"/>
        </w:rPr>
        <w:t>were</w:t>
      </w:r>
      <w:r>
        <w:rPr>
          <w:lang w:val="en-GB"/>
        </w:rPr>
        <w:t xml:space="preserve"> thoroughly considered by a number of domestic </w:t>
      </w:r>
      <w:r w:rsidR="008C77A3">
        <w:rPr>
          <w:lang w:val="en-GB"/>
        </w:rPr>
        <w:t xml:space="preserve">decision makers </w:t>
      </w:r>
      <w:r>
        <w:rPr>
          <w:lang w:val="en-GB"/>
        </w:rPr>
        <w:t xml:space="preserve">and review bodies, </w:t>
      </w:r>
      <w:r w:rsidR="00C10183">
        <w:rPr>
          <w:lang w:val="en-GB"/>
        </w:rPr>
        <w:t xml:space="preserve">including the Federal Circuit Court. Each body specifically considered the </w:t>
      </w:r>
      <w:r w:rsidR="008C77A3">
        <w:rPr>
          <w:lang w:val="en-GB"/>
        </w:rPr>
        <w:t xml:space="preserve">complainant’s </w:t>
      </w:r>
      <w:r w:rsidR="00C10183">
        <w:rPr>
          <w:lang w:val="en-GB"/>
        </w:rPr>
        <w:t xml:space="preserve">claims and determined that </w:t>
      </w:r>
      <w:r w:rsidR="008C77A3">
        <w:rPr>
          <w:lang w:val="en-GB"/>
        </w:rPr>
        <w:t>he</w:t>
      </w:r>
      <w:r w:rsidR="00C10183">
        <w:rPr>
          <w:lang w:val="en-GB"/>
        </w:rPr>
        <w:t xml:space="preserve"> was not at a foreseeable, real or personal risk of torture under article 3 of the Convention if returned to Sri Lanka. In particular, the complainant’s claims were assessed under the complementary protection provisions </w:t>
      </w:r>
      <w:r w:rsidR="008C77A3">
        <w:rPr>
          <w:lang w:val="en-GB"/>
        </w:rPr>
        <w:t>of section</w:t>
      </w:r>
      <w:r w:rsidR="00C10183">
        <w:rPr>
          <w:lang w:val="en-GB"/>
        </w:rPr>
        <w:t xml:space="preserve"> 36 (2) (aa) of the Migration Act, which contain</w:t>
      </w:r>
      <w:r w:rsidR="008C77A3">
        <w:rPr>
          <w:lang w:val="en-GB"/>
        </w:rPr>
        <w:t>s</w:t>
      </w:r>
      <w:r w:rsidR="00C10183">
        <w:rPr>
          <w:lang w:val="en-GB"/>
        </w:rPr>
        <w:t xml:space="preserve"> the State party’s non-refoulement obligations under, inter alia, the Convention. </w:t>
      </w:r>
      <w:r w:rsidR="008C77A3">
        <w:rPr>
          <w:lang w:val="en-GB"/>
        </w:rPr>
        <w:t xml:space="preserve">The State party </w:t>
      </w:r>
      <w:r w:rsidR="00C10183">
        <w:rPr>
          <w:lang w:val="en-GB"/>
        </w:rPr>
        <w:t>notes that the complainant has not provided any relevant new evidence in his submissions to the Committee that ha</w:t>
      </w:r>
      <w:r w:rsidR="008C77A3">
        <w:rPr>
          <w:lang w:val="en-GB"/>
        </w:rPr>
        <w:t>s</w:t>
      </w:r>
      <w:r w:rsidR="00C10183">
        <w:rPr>
          <w:lang w:val="en-GB"/>
        </w:rPr>
        <w:t xml:space="preserve"> not already been considered </w:t>
      </w:r>
      <w:r w:rsidR="008C77A3">
        <w:rPr>
          <w:lang w:val="en-GB"/>
        </w:rPr>
        <w:t>in</w:t>
      </w:r>
      <w:r w:rsidR="00C10183">
        <w:rPr>
          <w:lang w:val="en-GB"/>
        </w:rPr>
        <w:t xml:space="preserve"> the domestic administrative and judicial proceedings. </w:t>
      </w:r>
      <w:r w:rsidR="00655B36">
        <w:rPr>
          <w:lang w:val="en-GB"/>
        </w:rPr>
        <w:t>In this regard, the State party refers to the Committee’s general</w:t>
      </w:r>
      <w:r w:rsidR="00C254CB">
        <w:rPr>
          <w:lang w:val="en-GB"/>
        </w:rPr>
        <w:t xml:space="preserve"> comment No. 1, in which it is stated that the Committee is not an appellate or judicial body and that it gives considerable weight to findings of fact that are made by the organs of the </w:t>
      </w:r>
      <w:r w:rsidR="008C77A3">
        <w:rPr>
          <w:lang w:val="en-GB"/>
        </w:rPr>
        <w:t>S</w:t>
      </w:r>
      <w:r w:rsidR="00C254CB">
        <w:rPr>
          <w:lang w:val="en-GB"/>
        </w:rPr>
        <w:t>tate party concerned.</w:t>
      </w:r>
      <w:r w:rsidR="00CB678E">
        <w:rPr>
          <w:lang w:val="en-GB"/>
        </w:rPr>
        <w:t xml:space="preserve"> </w:t>
      </w:r>
    </w:p>
    <w:p w:rsidR="004844DE" w:rsidRDefault="00C254CB">
      <w:pPr>
        <w:pStyle w:val="SingleTxtG"/>
        <w:rPr>
          <w:lang w:val="en-GB"/>
        </w:rPr>
      </w:pPr>
      <w:r>
        <w:rPr>
          <w:lang w:val="en-GB"/>
        </w:rPr>
        <w:t>4.5</w:t>
      </w:r>
      <w:r>
        <w:rPr>
          <w:lang w:val="en-GB"/>
        </w:rPr>
        <w:tab/>
        <w:t xml:space="preserve">The State party acknowledges that complete accuracy can seldom be </w:t>
      </w:r>
      <w:r w:rsidR="00335F7B">
        <w:rPr>
          <w:lang w:val="en-GB"/>
        </w:rPr>
        <w:t>expe</w:t>
      </w:r>
      <w:r>
        <w:rPr>
          <w:lang w:val="en-GB"/>
        </w:rPr>
        <w:t xml:space="preserve">cted </w:t>
      </w:r>
      <w:r w:rsidR="00335F7B">
        <w:rPr>
          <w:lang w:val="en-GB"/>
        </w:rPr>
        <w:t>from</w:t>
      </w:r>
      <w:r>
        <w:rPr>
          <w:lang w:val="en-GB"/>
        </w:rPr>
        <w:t xml:space="preserve"> victims of torture</w:t>
      </w:r>
      <w:r w:rsidR="005F0D5D">
        <w:rPr>
          <w:lang w:val="en-GB"/>
        </w:rPr>
        <w:t>,</w:t>
      </w:r>
      <w:r w:rsidR="005F0D5D" w:rsidRPr="00153A7F">
        <w:rPr>
          <w:rStyle w:val="FootnoteReference"/>
        </w:rPr>
        <w:footnoteReference w:id="11"/>
      </w:r>
      <w:r w:rsidR="00C10183">
        <w:rPr>
          <w:lang w:val="en-GB"/>
        </w:rPr>
        <w:t xml:space="preserve"> </w:t>
      </w:r>
      <w:r w:rsidR="004844DE">
        <w:rPr>
          <w:lang w:val="en-GB"/>
        </w:rPr>
        <w:t xml:space="preserve">however, that factor was taken into consideration by the domestic authorities </w:t>
      </w:r>
      <w:r w:rsidR="00DC58CF">
        <w:rPr>
          <w:lang w:val="en-GB"/>
        </w:rPr>
        <w:t>when</w:t>
      </w:r>
      <w:r w:rsidR="004844DE">
        <w:rPr>
          <w:lang w:val="en-GB"/>
        </w:rPr>
        <w:t xml:space="preserve"> forming the</w:t>
      </w:r>
      <w:r w:rsidR="00DC58CF">
        <w:rPr>
          <w:lang w:val="en-GB"/>
        </w:rPr>
        <w:t>ir</w:t>
      </w:r>
      <w:r w:rsidR="004844DE">
        <w:rPr>
          <w:lang w:val="en-GB"/>
        </w:rPr>
        <w:t xml:space="preserve"> views on the complainant’s credibility. </w:t>
      </w:r>
      <w:r w:rsidR="00DC58CF">
        <w:rPr>
          <w:lang w:val="en-GB"/>
        </w:rPr>
        <w:t>I</w:t>
      </w:r>
      <w:r w:rsidR="004844DE">
        <w:rPr>
          <w:lang w:val="en-GB"/>
        </w:rPr>
        <w:t>n assessing the complainant’s protection visa application, a reasonable margin of appreciation was given to flaws and inconsistencies in his testimony.</w:t>
      </w:r>
    </w:p>
    <w:p w:rsidR="00610B3E" w:rsidRDefault="004844DE">
      <w:pPr>
        <w:pStyle w:val="SingleTxtG"/>
        <w:rPr>
          <w:lang w:val="en-GB"/>
        </w:rPr>
      </w:pPr>
      <w:r>
        <w:rPr>
          <w:lang w:val="en-GB"/>
        </w:rPr>
        <w:t>4.6</w:t>
      </w:r>
      <w:r>
        <w:rPr>
          <w:lang w:val="en-GB"/>
        </w:rPr>
        <w:tab/>
      </w:r>
      <w:r w:rsidR="00610B3E">
        <w:rPr>
          <w:lang w:val="en-GB"/>
        </w:rPr>
        <w:t xml:space="preserve">The State party notes that the complainant’s claims were considered during the protection visa proceedings as well as in the </w:t>
      </w:r>
      <w:r w:rsidR="00335F7B">
        <w:rPr>
          <w:lang w:val="en-GB"/>
        </w:rPr>
        <w:t>independent</w:t>
      </w:r>
      <w:r w:rsidR="00610B3E">
        <w:rPr>
          <w:lang w:val="en-GB"/>
        </w:rPr>
        <w:t xml:space="preserve"> merits review by the Refugee Review Tribunal, the judicial review by the Federal Circuit Court, the review of the complainant’s appeal of the Federal Circuit Court’s decision before the Federal Court</w:t>
      </w:r>
      <w:r w:rsidR="00DC58CF">
        <w:rPr>
          <w:lang w:val="en-GB"/>
        </w:rPr>
        <w:t xml:space="preserve"> of Australia</w:t>
      </w:r>
      <w:r w:rsidR="00610B3E">
        <w:rPr>
          <w:lang w:val="en-GB"/>
        </w:rPr>
        <w:t xml:space="preserve"> and the review of his request for ministerial intervention of 11 December 2013.</w:t>
      </w:r>
    </w:p>
    <w:p w:rsidR="009A76CA" w:rsidRDefault="009A76CA" w:rsidP="00DC58CF">
      <w:pPr>
        <w:pStyle w:val="SingleTxtG"/>
        <w:rPr>
          <w:lang w:val="en-GB"/>
        </w:rPr>
      </w:pPr>
      <w:r>
        <w:rPr>
          <w:lang w:val="en-GB"/>
        </w:rPr>
        <w:t>4.7</w:t>
      </w:r>
      <w:r>
        <w:rPr>
          <w:lang w:val="en-GB"/>
        </w:rPr>
        <w:tab/>
        <w:t xml:space="preserve">In particular, the complainant lodged an application for a protection visa on 30 June 2012. He was granted a </w:t>
      </w:r>
      <w:r w:rsidR="00C73BBF">
        <w:rPr>
          <w:lang w:val="en-GB"/>
        </w:rPr>
        <w:t>b</w:t>
      </w:r>
      <w:r>
        <w:rPr>
          <w:lang w:val="en-GB"/>
        </w:rPr>
        <w:t xml:space="preserve">ridging </w:t>
      </w:r>
      <w:r w:rsidR="00C73BBF">
        <w:rPr>
          <w:lang w:val="en-GB"/>
        </w:rPr>
        <w:t>v</w:t>
      </w:r>
      <w:r>
        <w:rPr>
          <w:lang w:val="en-GB"/>
        </w:rPr>
        <w:t xml:space="preserve">isa on 16 August 2012 while his protection visa application was </w:t>
      </w:r>
      <w:r w:rsidR="00DC58CF">
        <w:rPr>
          <w:lang w:val="en-GB"/>
        </w:rPr>
        <w:t>being</w:t>
      </w:r>
      <w:r>
        <w:rPr>
          <w:lang w:val="en-GB"/>
        </w:rPr>
        <w:t xml:space="preserve"> consider</w:t>
      </w:r>
      <w:r w:rsidR="00DC58CF">
        <w:rPr>
          <w:lang w:val="en-GB"/>
        </w:rPr>
        <w:t>ed</w:t>
      </w:r>
      <w:r>
        <w:rPr>
          <w:lang w:val="en-GB"/>
        </w:rPr>
        <w:t xml:space="preserve"> by the Department of Immigration and Border Protection.</w:t>
      </w:r>
      <w:r w:rsidR="00CB678E">
        <w:rPr>
          <w:lang w:val="en-GB"/>
        </w:rPr>
        <w:t xml:space="preserve"> </w:t>
      </w:r>
      <w:r w:rsidR="00841DEE">
        <w:rPr>
          <w:lang w:val="en-GB"/>
        </w:rPr>
        <w:t xml:space="preserve">On 16 August 2012, the complainant’s protection visa </w:t>
      </w:r>
      <w:r w:rsidR="00DC58CF">
        <w:rPr>
          <w:lang w:val="en-GB"/>
        </w:rPr>
        <w:t xml:space="preserve">application </w:t>
      </w:r>
      <w:r w:rsidR="00841DEE">
        <w:rPr>
          <w:lang w:val="en-GB"/>
        </w:rPr>
        <w:t>was refused.</w:t>
      </w:r>
      <w:r>
        <w:rPr>
          <w:lang w:val="en-GB"/>
        </w:rPr>
        <w:t xml:space="preserve"> </w:t>
      </w:r>
      <w:r w:rsidR="00841DEE">
        <w:rPr>
          <w:lang w:val="en-GB"/>
        </w:rPr>
        <w:t xml:space="preserve">The complainant was granted additional </w:t>
      </w:r>
      <w:r w:rsidR="007F755B">
        <w:rPr>
          <w:lang w:val="en-GB"/>
        </w:rPr>
        <w:t>b</w:t>
      </w:r>
      <w:r w:rsidR="00841DEE">
        <w:rPr>
          <w:lang w:val="en-GB"/>
        </w:rPr>
        <w:t xml:space="preserve">ridging </w:t>
      </w:r>
      <w:r w:rsidR="007F755B">
        <w:rPr>
          <w:lang w:val="en-GB"/>
        </w:rPr>
        <w:t>v</w:t>
      </w:r>
      <w:r w:rsidR="00841DEE">
        <w:rPr>
          <w:lang w:val="en-GB"/>
        </w:rPr>
        <w:t>isas on 13 June</w:t>
      </w:r>
      <w:r w:rsidR="00DC58CF">
        <w:rPr>
          <w:lang w:val="en-GB"/>
        </w:rPr>
        <w:t xml:space="preserve"> 2013</w:t>
      </w:r>
      <w:r w:rsidR="00841DEE">
        <w:rPr>
          <w:lang w:val="en-GB"/>
        </w:rPr>
        <w:t xml:space="preserve"> and 14 August 2013 through </w:t>
      </w:r>
      <w:r w:rsidR="00DC58CF">
        <w:rPr>
          <w:lang w:val="en-GB"/>
        </w:rPr>
        <w:t>m</w:t>
      </w:r>
      <w:r w:rsidR="00841DEE">
        <w:rPr>
          <w:lang w:val="en-GB"/>
        </w:rPr>
        <w:t xml:space="preserve">inisterial </w:t>
      </w:r>
      <w:r w:rsidR="00DC58CF">
        <w:rPr>
          <w:lang w:val="en-GB"/>
        </w:rPr>
        <w:t>i</w:t>
      </w:r>
      <w:r w:rsidR="00841DEE">
        <w:rPr>
          <w:lang w:val="en-GB"/>
        </w:rPr>
        <w:t>ntervention under section 195A of the Migration Act.</w:t>
      </w:r>
      <w:r w:rsidR="00CB678E">
        <w:rPr>
          <w:lang w:val="en-GB"/>
        </w:rPr>
        <w:t xml:space="preserve"> </w:t>
      </w:r>
    </w:p>
    <w:p w:rsidR="00841DEE" w:rsidRDefault="00841DEE">
      <w:pPr>
        <w:pStyle w:val="SingleTxtG"/>
        <w:rPr>
          <w:lang w:val="en-GB"/>
        </w:rPr>
      </w:pPr>
      <w:r>
        <w:rPr>
          <w:lang w:val="en-GB"/>
        </w:rPr>
        <w:t>4.8</w:t>
      </w:r>
      <w:r w:rsidR="00B31268">
        <w:rPr>
          <w:lang w:val="en-GB"/>
        </w:rPr>
        <w:tab/>
        <w:t>The State party submits that the authorities interviewed the complainant (with</w:t>
      </w:r>
      <w:r w:rsidR="00DC58CF">
        <w:rPr>
          <w:lang w:val="en-GB"/>
        </w:rPr>
        <w:t xml:space="preserve"> the</w:t>
      </w:r>
      <w:r w:rsidR="00B31268">
        <w:rPr>
          <w:lang w:val="en-GB"/>
        </w:rPr>
        <w:t xml:space="preserve"> </w:t>
      </w:r>
      <w:r w:rsidR="00A441A9">
        <w:rPr>
          <w:lang w:val="en-GB"/>
        </w:rPr>
        <w:t>assistance of an interpreter) and also considered other relevant material, such as country information provided by the Australian Department of Foreign Affairs</w:t>
      </w:r>
      <w:r w:rsidR="00335F7B">
        <w:rPr>
          <w:lang w:val="en-GB"/>
        </w:rPr>
        <w:t xml:space="preserve"> Trade</w:t>
      </w:r>
      <w:r w:rsidR="00A441A9">
        <w:rPr>
          <w:lang w:val="en-GB"/>
        </w:rPr>
        <w:t xml:space="preserve"> and </w:t>
      </w:r>
      <w:r w:rsidR="004B6092">
        <w:rPr>
          <w:lang w:val="en-GB"/>
        </w:rPr>
        <w:t xml:space="preserve">by </w:t>
      </w:r>
      <w:r w:rsidR="00A441A9">
        <w:rPr>
          <w:lang w:val="en-GB"/>
        </w:rPr>
        <w:t xml:space="preserve">non-governmental organizations such as Amnesty International. The authorities </w:t>
      </w:r>
      <w:r w:rsidR="004B6092">
        <w:rPr>
          <w:lang w:val="en-GB"/>
        </w:rPr>
        <w:t xml:space="preserve">had </w:t>
      </w:r>
      <w:r w:rsidR="00A441A9">
        <w:rPr>
          <w:lang w:val="en-GB"/>
        </w:rPr>
        <w:t>considered all of the claims made by the complainant in his submissions to the Committee, except the claim relatin</w:t>
      </w:r>
      <w:r w:rsidR="00DC58CF">
        <w:rPr>
          <w:lang w:val="en-GB"/>
        </w:rPr>
        <w:t>g</w:t>
      </w:r>
      <w:r w:rsidR="00A441A9">
        <w:rPr>
          <w:lang w:val="en-GB"/>
        </w:rPr>
        <w:t xml:space="preserve"> to </w:t>
      </w:r>
      <w:r w:rsidR="00DC58CF">
        <w:rPr>
          <w:lang w:val="en-GB"/>
        </w:rPr>
        <w:t>his</w:t>
      </w:r>
      <w:r w:rsidR="00A441A9">
        <w:rPr>
          <w:lang w:val="en-GB"/>
        </w:rPr>
        <w:t xml:space="preserve"> activities in Australia, which had not been raised by the complainant at that </w:t>
      </w:r>
      <w:r w:rsidR="004B6092">
        <w:rPr>
          <w:lang w:val="en-GB"/>
        </w:rPr>
        <w:t xml:space="preserve">any </w:t>
      </w:r>
      <w:r w:rsidR="00A441A9">
        <w:rPr>
          <w:lang w:val="en-GB"/>
        </w:rPr>
        <w:t>stage. The authorities found that the complainant</w:t>
      </w:r>
      <w:r w:rsidR="00DC58CF">
        <w:rPr>
          <w:lang w:val="en-GB"/>
        </w:rPr>
        <w:t xml:space="preserve">’s claims that he </w:t>
      </w:r>
      <w:r w:rsidR="00A441A9">
        <w:rPr>
          <w:lang w:val="en-GB"/>
        </w:rPr>
        <w:t xml:space="preserve">left school when he was </w:t>
      </w:r>
      <w:r w:rsidR="00DC58CF">
        <w:rPr>
          <w:lang w:val="en-GB"/>
        </w:rPr>
        <w:t>10</w:t>
      </w:r>
      <w:r w:rsidR="00A441A9">
        <w:rPr>
          <w:lang w:val="en-GB"/>
        </w:rPr>
        <w:t xml:space="preserve"> years old </w:t>
      </w:r>
      <w:r w:rsidR="00DC58CF">
        <w:rPr>
          <w:lang w:val="en-GB"/>
        </w:rPr>
        <w:t xml:space="preserve">because school </w:t>
      </w:r>
      <w:r w:rsidR="00A441A9">
        <w:rPr>
          <w:lang w:val="en-GB"/>
        </w:rPr>
        <w:t xml:space="preserve">attendance </w:t>
      </w:r>
      <w:r w:rsidR="00DC58CF">
        <w:rPr>
          <w:lang w:val="en-GB"/>
        </w:rPr>
        <w:t xml:space="preserve">was </w:t>
      </w:r>
      <w:r w:rsidR="00A441A9">
        <w:rPr>
          <w:lang w:val="en-GB"/>
        </w:rPr>
        <w:t xml:space="preserve">too dangerous and </w:t>
      </w:r>
      <w:r w:rsidR="004B6092">
        <w:rPr>
          <w:lang w:val="en-GB"/>
        </w:rPr>
        <w:t>that he sub</w:t>
      </w:r>
      <w:r w:rsidR="00A441A9">
        <w:rPr>
          <w:lang w:val="en-GB"/>
        </w:rPr>
        <w:t>sequently spen</w:t>
      </w:r>
      <w:r w:rsidR="004B6092">
        <w:rPr>
          <w:lang w:val="en-GB"/>
        </w:rPr>
        <w:t>t</w:t>
      </w:r>
      <w:r w:rsidR="00A441A9">
        <w:rPr>
          <w:lang w:val="en-GB"/>
        </w:rPr>
        <w:t xml:space="preserve"> six years </w:t>
      </w:r>
      <w:r w:rsidR="00DC58CF">
        <w:rPr>
          <w:lang w:val="en-GB"/>
        </w:rPr>
        <w:t>living with</w:t>
      </w:r>
      <w:r w:rsidR="00A441A9">
        <w:rPr>
          <w:lang w:val="en-GB"/>
        </w:rPr>
        <w:t xml:space="preserve"> family and friends in Colombo were not credible. The authorities also concluded that the difficulties experienced by the complainant at the hands of the </w:t>
      </w:r>
      <w:r w:rsidR="00E957D1">
        <w:rPr>
          <w:lang w:val="en-GB"/>
        </w:rPr>
        <w:t>a</w:t>
      </w:r>
      <w:r w:rsidR="00A441A9">
        <w:rPr>
          <w:lang w:val="en-GB"/>
        </w:rPr>
        <w:t xml:space="preserve">rmy officers </w:t>
      </w:r>
      <w:r w:rsidR="002E5262">
        <w:rPr>
          <w:lang w:val="en-GB"/>
        </w:rPr>
        <w:t xml:space="preserve">while </w:t>
      </w:r>
      <w:r w:rsidR="00E957D1">
        <w:rPr>
          <w:lang w:val="en-GB"/>
        </w:rPr>
        <w:t xml:space="preserve">he was </w:t>
      </w:r>
      <w:r w:rsidR="002E5262">
        <w:rPr>
          <w:lang w:val="en-GB"/>
        </w:rPr>
        <w:t xml:space="preserve">employed as a jeweller in Colombo </w:t>
      </w:r>
      <w:r w:rsidR="00A441A9">
        <w:rPr>
          <w:lang w:val="en-GB"/>
        </w:rPr>
        <w:t xml:space="preserve">were not serious enough to constitute serious harm and therefore did not amount to persecution. The authorities further concluded that </w:t>
      </w:r>
      <w:r w:rsidR="00E957D1">
        <w:rPr>
          <w:lang w:val="en-GB"/>
        </w:rPr>
        <w:t>his</w:t>
      </w:r>
      <w:r w:rsidR="00A441A9">
        <w:rPr>
          <w:lang w:val="en-GB"/>
        </w:rPr>
        <w:t xml:space="preserve"> past experiences of harassment d</w:t>
      </w:r>
      <w:r w:rsidR="00E957D1">
        <w:rPr>
          <w:lang w:val="en-GB"/>
        </w:rPr>
        <w:t>id</w:t>
      </w:r>
      <w:r w:rsidR="00A441A9">
        <w:rPr>
          <w:lang w:val="en-GB"/>
        </w:rPr>
        <w:t xml:space="preserve"> not provide evidence that he would </w:t>
      </w:r>
      <w:r w:rsidR="00A441A9">
        <w:rPr>
          <w:lang w:val="en-GB"/>
        </w:rPr>
        <w:lastRenderedPageBreak/>
        <w:t xml:space="preserve">face persecution or significant harm if returned to Colombo, and that there was no indication that </w:t>
      </w:r>
      <w:r w:rsidR="00E957D1">
        <w:rPr>
          <w:lang w:val="en-GB"/>
        </w:rPr>
        <w:t>any</w:t>
      </w:r>
      <w:r w:rsidR="00A441A9">
        <w:rPr>
          <w:lang w:val="en-GB"/>
        </w:rPr>
        <w:t xml:space="preserve"> harm </w:t>
      </w:r>
      <w:r w:rsidR="00E957D1">
        <w:rPr>
          <w:lang w:val="en-GB"/>
        </w:rPr>
        <w:t>would</w:t>
      </w:r>
      <w:r w:rsidR="00A441A9">
        <w:rPr>
          <w:lang w:val="en-GB"/>
        </w:rPr>
        <w:t xml:space="preserve"> escalate to a level that would constitute persecution or significant harm in the future. In addition, the authorities </w:t>
      </w:r>
      <w:r w:rsidR="004D5189">
        <w:rPr>
          <w:lang w:val="en-GB"/>
        </w:rPr>
        <w:t>inferred</w:t>
      </w:r>
      <w:r w:rsidR="00A441A9">
        <w:rPr>
          <w:lang w:val="en-GB"/>
        </w:rPr>
        <w:t xml:space="preserve"> that there </w:t>
      </w:r>
      <w:r w:rsidR="00E957D1">
        <w:rPr>
          <w:lang w:val="en-GB"/>
        </w:rPr>
        <w:t>wa</w:t>
      </w:r>
      <w:r w:rsidR="00A441A9">
        <w:rPr>
          <w:lang w:val="en-GB"/>
        </w:rPr>
        <w:t xml:space="preserve">s not a real chance of the complainant facing persecution for suspected links to LTTE as he </w:t>
      </w:r>
      <w:r w:rsidR="00E957D1">
        <w:rPr>
          <w:lang w:val="en-GB"/>
        </w:rPr>
        <w:t>had</w:t>
      </w:r>
      <w:r w:rsidR="00A441A9">
        <w:rPr>
          <w:lang w:val="en-GB"/>
        </w:rPr>
        <w:t xml:space="preserve"> not experience</w:t>
      </w:r>
      <w:r w:rsidR="00E957D1">
        <w:rPr>
          <w:lang w:val="en-GB"/>
        </w:rPr>
        <w:t>d</w:t>
      </w:r>
      <w:r w:rsidR="00A441A9">
        <w:rPr>
          <w:lang w:val="en-GB"/>
        </w:rPr>
        <w:t xml:space="preserve"> any harassment between 2007 and 2012 and </w:t>
      </w:r>
      <w:r w:rsidR="00E957D1">
        <w:rPr>
          <w:lang w:val="en-GB"/>
        </w:rPr>
        <w:t xml:space="preserve">he </w:t>
      </w:r>
      <w:r w:rsidR="00CA237D">
        <w:rPr>
          <w:lang w:val="en-GB"/>
        </w:rPr>
        <w:t>left</w:t>
      </w:r>
      <w:r w:rsidR="00A441A9">
        <w:rPr>
          <w:lang w:val="en-GB"/>
        </w:rPr>
        <w:t xml:space="preserve"> Colombo </w:t>
      </w:r>
      <w:r w:rsidR="00E957D1">
        <w:rPr>
          <w:lang w:val="en-GB"/>
        </w:rPr>
        <w:t>because of</w:t>
      </w:r>
      <w:r w:rsidR="00A441A9">
        <w:rPr>
          <w:lang w:val="en-GB"/>
        </w:rPr>
        <w:t xml:space="preserve"> illness, not </w:t>
      </w:r>
      <w:r w:rsidR="004B6092">
        <w:rPr>
          <w:lang w:val="en-GB"/>
        </w:rPr>
        <w:t xml:space="preserve">out of </w:t>
      </w:r>
      <w:r w:rsidR="00A441A9">
        <w:rPr>
          <w:lang w:val="en-GB"/>
        </w:rPr>
        <w:t xml:space="preserve">fear. </w:t>
      </w:r>
      <w:r w:rsidR="00E957D1">
        <w:rPr>
          <w:lang w:val="en-GB"/>
        </w:rPr>
        <w:t>Moreover, the authorities</w:t>
      </w:r>
      <w:r w:rsidR="004C756D">
        <w:rPr>
          <w:lang w:val="en-GB"/>
        </w:rPr>
        <w:t xml:space="preserve"> concluded that the complainant’s fear of being persecuted by the United People’s Freedom Alliance or </w:t>
      </w:r>
      <w:r w:rsidR="00E957D1">
        <w:rPr>
          <w:lang w:val="en-GB"/>
        </w:rPr>
        <w:t xml:space="preserve">by </w:t>
      </w:r>
      <w:r w:rsidR="004C756D">
        <w:rPr>
          <w:lang w:val="en-GB"/>
        </w:rPr>
        <w:t xml:space="preserve">government forces </w:t>
      </w:r>
      <w:r w:rsidR="00E957D1">
        <w:rPr>
          <w:lang w:val="en-GB"/>
        </w:rPr>
        <w:t>because he refused</w:t>
      </w:r>
      <w:r w:rsidR="004C756D">
        <w:rPr>
          <w:lang w:val="en-GB"/>
        </w:rPr>
        <w:t xml:space="preserve"> to attend a rally </w:t>
      </w:r>
      <w:r w:rsidR="00E957D1">
        <w:rPr>
          <w:lang w:val="en-GB"/>
        </w:rPr>
        <w:t xml:space="preserve">protesting </w:t>
      </w:r>
      <w:r w:rsidR="004C756D">
        <w:rPr>
          <w:lang w:val="en-GB"/>
        </w:rPr>
        <w:t>the U</w:t>
      </w:r>
      <w:r w:rsidR="00E957D1">
        <w:rPr>
          <w:lang w:val="en-GB"/>
        </w:rPr>
        <w:t xml:space="preserve">nited </w:t>
      </w:r>
      <w:r w:rsidR="004C756D">
        <w:rPr>
          <w:lang w:val="en-GB"/>
        </w:rPr>
        <w:t>N</w:t>
      </w:r>
      <w:r w:rsidR="00E957D1">
        <w:rPr>
          <w:lang w:val="en-GB"/>
        </w:rPr>
        <w:t>ation</w:t>
      </w:r>
      <w:r w:rsidR="004C756D">
        <w:rPr>
          <w:lang w:val="en-GB"/>
        </w:rPr>
        <w:t xml:space="preserve">’s findings </w:t>
      </w:r>
      <w:r w:rsidR="00DF31C1">
        <w:rPr>
          <w:lang w:val="en-GB"/>
        </w:rPr>
        <w:t xml:space="preserve">on </w:t>
      </w:r>
      <w:r w:rsidR="004C756D">
        <w:rPr>
          <w:lang w:val="en-GB"/>
        </w:rPr>
        <w:t xml:space="preserve">Sri Lanka </w:t>
      </w:r>
      <w:r w:rsidR="00E957D1">
        <w:rPr>
          <w:lang w:val="en-GB"/>
        </w:rPr>
        <w:t>wa</w:t>
      </w:r>
      <w:r w:rsidR="004C756D">
        <w:rPr>
          <w:lang w:val="en-GB"/>
        </w:rPr>
        <w:t>s not well-founded</w:t>
      </w:r>
      <w:r w:rsidR="00A441A9">
        <w:rPr>
          <w:lang w:val="en-GB"/>
        </w:rPr>
        <w:t xml:space="preserve"> </w:t>
      </w:r>
      <w:r w:rsidR="004C756D">
        <w:rPr>
          <w:lang w:val="en-GB"/>
        </w:rPr>
        <w:t xml:space="preserve">as there were no further threats </w:t>
      </w:r>
      <w:r w:rsidR="00E957D1">
        <w:rPr>
          <w:lang w:val="en-GB"/>
        </w:rPr>
        <w:t xml:space="preserve">to him </w:t>
      </w:r>
      <w:r w:rsidR="004C756D">
        <w:rPr>
          <w:lang w:val="en-GB"/>
        </w:rPr>
        <w:t xml:space="preserve">or </w:t>
      </w:r>
      <w:r w:rsidR="00E957D1">
        <w:rPr>
          <w:lang w:val="en-GB"/>
        </w:rPr>
        <w:t>visits to his</w:t>
      </w:r>
      <w:r w:rsidR="004C756D">
        <w:rPr>
          <w:lang w:val="en-GB"/>
        </w:rPr>
        <w:t xml:space="preserve"> house since that time; he did not have an </w:t>
      </w:r>
      <w:r w:rsidR="007912AB">
        <w:rPr>
          <w:lang w:val="en-GB"/>
        </w:rPr>
        <w:t xml:space="preserve">United People’s Freedom Alliance </w:t>
      </w:r>
      <w:r w:rsidR="004C756D">
        <w:rPr>
          <w:lang w:val="en-GB"/>
        </w:rPr>
        <w:t>profile and w</w:t>
      </w:r>
      <w:r w:rsidR="00E957D1">
        <w:rPr>
          <w:lang w:val="en-GB"/>
        </w:rPr>
        <w:t>as</w:t>
      </w:r>
      <w:r w:rsidR="004C756D">
        <w:rPr>
          <w:lang w:val="en-GB"/>
        </w:rPr>
        <w:t xml:space="preserve"> not </w:t>
      </w:r>
      <w:r w:rsidR="00E957D1">
        <w:rPr>
          <w:lang w:val="en-GB"/>
        </w:rPr>
        <w:t>obliged</w:t>
      </w:r>
      <w:r w:rsidR="004C756D">
        <w:rPr>
          <w:lang w:val="en-GB"/>
        </w:rPr>
        <w:t xml:space="preserve"> to live in Batticaloa; and it is unlikely that the </w:t>
      </w:r>
      <w:r w:rsidR="007912AB">
        <w:rPr>
          <w:lang w:val="en-GB"/>
        </w:rPr>
        <w:t>United People’s Freedom Alliance</w:t>
      </w:r>
      <w:r w:rsidR="004C756D">
        <w:rPr>
          <w:lang w:val="en-GB"/>
        </w:rPr>
        <w:t xml:space="preserve"> would </w:t>
      </w:r>
      <w:r w:rsidR="00E957D1">
        <w:rPr>
          <w:lang w:val="en-GB"/>
        </w:rPr>
        <w:t xml:space="preserve">have </w:t>
      </w:r>
      <w:r w:rsidR="004C756D">
        <w:rPr>
          <w:lang w:val="en-GB"/>
        </w:rPr>
        <w:t>record</w:t>
      </w:r>
      <w:r w:rsidR="00E957D1">
        <w:rPr>
          <w:lang w:val="en-GB"/>
        </w:rPr>
        <w:t>ed</w:t>
      </w:r>
      <w:r w:rsidR="004C756D">
        <w:rPr>
          <w:lang w:val="en-GB"/>
        </w:rPr>
        <w:t xml:space="preserve"> </w:t>
      </w:r>
      <w:r w:rsidR="00E957D1">
        <w:rPr>
          <w:lang w:val="en-GB"/>
        </w:rPr>
        <w:t>his</w:t>
      </w:r>
      <w:r w:rsidR="004C756D">
        <w:rPr>
          <w:lang w:val="en-GB"/>
        </w:rPr>
        <w:t xml:space="preserve"> name and share</w:t>
      </w:r>
      <w:r w:rsidR="00E957D1">
        <w:rPr>
          <w:lang w:val="en-GB"/>
        </w:rPr>
        <w:t>d</w:t>
      </w:r>
      <w:r w:rsidR="004C756D">
        <w:rPr>
          <w:lang w:val="en-GB"/>
        </w:rPr>
        <w:t xml:space="preserve"> it with the authorities in Colombo </w:t>
      </w:r>
      <w:r w:rsidR="004B6092">
        <w:rPr>
          <w:lang w:val="en-GB"/>
        </w:rPr>
        <w:t xml:space="preserve">that would enable them </w:t>
      </w:r>
      <w:r w:rsidR="004C756D">
        <w:rPr>
          <w:lang w:val="en-GB"/>
        </w:rPr>
        <w:t xml:space="preserve">to locate the complainant on his return. The </w:t>
      </w:r>
      <w:r w:rsidR="00E957D1">
        <w:rPr>
          <w:lang w:val="en-GB"/>
        </w:rPr>
        <w:t xml:space="preserve">domestic </w:t>
      </w:r>
      <w:r w:rsidR="004C756D">
        <w:rPr>
          <w:lang w:val="en-GB"/>
        </w:rPr>
        <w:t>authorities also concluded that the complainant did not fear any kind of harm in Colombo, but merely want</w:t>
      </w:r>
      <w:r w:rsidR="00BB3239">
        <w:rPr>
          <w:lang w:val="en-GB"/>
        </w:rPr>
        <w:t>ed</w:t>
      </w:r>
      <w:r w:rsidR="004C756D">
        <w:rPr>
          <w:lang w:val="en-GB"/>
        </w:rPr>
        <w:t xml:space="preserve"> to avoid employment difficulties, and </w:t>
      </w:r>
      <w:r w:rsidR="004D5189">
        <w:rPr>
          <w:lang w:val="en-GB"/>
        </w:rPr>
        <w:t xml:space="preserve">that </w:t>
      </w:r>
      <w:r w:rsidR="00E957D1">
        <w:rPr>
          <w:lang w:val="en-GB"/>
        </w:rPr>
        <w:t>his</w:t>
      </w:r>
      <w:r w:rsidR="004D5189">
        <w:rPr>
          <w:lang w:val="en-GB"/>
        </w:rPr>
        <w:t xml:space="preserve"> fear of being persecuted by the Sri Lankan authorities </w:t>
      </w:r>
      <w:r w:rsidR="00E957D1">
        <w:rPr>
          <w:lang w:val="en-GB"/>
        </w:rPr>
        <w:t>because</w:t>
      </w:r>
      <w:r w:rsidR="00CB678E">
        <w:rPr>
          <w:lang w:val="en-GB"/>
        </w:rPr>
        <w:t xml:space="preserve"> </w:t>
      </w:r>
      <w:r w:rsidR="00E957D1">
        <w:rPr>
          <w:lang w:val="en-GB"/>
        </w:rPr>
        <w:t>he would be</w:t>
      </w:r>
      <w:r w:rsidR="004D5189">
        <w:rPr>
          <w:lang w:val="en-GB"/>
        </w:rPr>
        <w:t xml:space="preserve"> a returned Tamil asylum seeker was not well-founded as he did not have a </w:t>
      </w:r>
      <w:r w:rsidR="00950A12">
        <w:rPr>
          <w:lang w:val="en-GB"/>
        </w:rPr>
        <w:t xml:space="preserve">criminal record </w:t>
      </w:r>
      <w:r w:rsidR="00E957D1">
        <w:rPr>
          <w:lang w:val="en-GB"/>
        </w:rPr>
        <w:t>nor</w:t>
      </w:r>
      <w:r w:rsidR="00950A12">
        <w:rPr>
          <w:lang w:val="en-GB"/>
        </w:rPr>
        <w:t xml:space="preserve"> </w:t>
      </w:r>
      <w:r w:rsidR="00BB3239">
        <w:rPr>
          <w:lang w:val="en-GB"/>
        </w:rPr>
        <w:t>was</w:t>
      </w:r>
      <w:r w:rsidR="00E957D1">
        <w:rPr>
          <w:lang w:val="en-GB"/>
        </w:rPr>
        <w:t xml:space="preserve"> he</w:t>
      </w:r>
      <w:r w:rsidR="00BB3239">
        <w:rPr>
          <w:lang w:val="en-GB"/>
        </w:rPr>
        <w:t xml:space="preserve"> suspected of </w:t>
      </w:r>
      <w:r w:rsidR="003B68FB">
        <w:rPr>
          <w:lang w:val="en-GB"/>
        </w:rPr>
        <w:t>LTTE</w:t>
      </w:r>
      <w:r w:rsidR="00950A12">
        <w:rPr>
          <w:lang w:val="en-GB"/>
        </w:rPr>
        <w:t xml:space="preserve"> involvement</w:t>
      </w:r>
      <w:r w:rsidR="00BB3239">
        <w:rPr>
          <w:lang w:val="en-GB"/>
        </w:rPr>
        <w:t xml:space="preserve"> by the security forces</w:t>
      </w:r>
      <w:r w:rsidR="00950A12">
        <w:rPr>
          <w:lang w:val="en-GB"/>
        </w:rPr>
        <w:t xml:space="preserve">. Therefore, given that </w:t>
      </w:r>
      <w:r w:rsidR="00437653">
        <w:rPr>
          <w:lang w:val="en-GB"/>
        </w:rPr>
        <w:t xml:space="preserve">there were no </w:t>
      </w:r>
      <w:r w:rsidR="00950A12">
        <w:rPr>
          <w:lang w:val="en-GB"/>
        </w:rPr>
        <w:t xml:space="preserve">substantial grounds for believing that the complainant would face a foreseeable, real and personal risk of being subjected to torture, the </w:t>
      </w:r>
      <w:r w:rsidR="000B4261">
        <w:rPr>
          <w:lang w:val="en-GB"/>
        </w:rPr>
        <w:t xml:space="preserve">Australian </w:t>
      </w:r>
      <w:r w:rsidR="00950A12">
        <w:rPr>
          <w:lang w:val="en-GB"/>
        </w:rPr>
        <w:t xml:space="preserve">authorities rejected his protection visa application. </w:t>
      </w:r>
    </w:p>
    <w:p w:rsidR="00BD6BF1" w:rsidRDefault="003B68FB">
      <w:pPr>
        <w:pStyle w:val="SingleTxtG"/>
        <w:rPr>
          <w:lang w:val="en-GB"/>
        </w:rPr>
      </w:pPr>
      <w:r>
        <w:rPr>
          <w:lang w:val="en-GB"/>
        </w:rPr>
        <w:t>4.9</w:t>
      </w:r>
      <w:r>
        <w:rPr>
          <w:lang w:val="en-GB"/>
        </w:rPr>
        <w:tab/>
        <w:t xml:space="preserve">The </w:t>
      </w:r>
      <w:r w:rsidR="00565A55">
        <w:rPr>
          <w:lang w:val="en-GB"/>
        </w:rPr>
        <w:t xml:space="preserve">complainant subsequently filed an application for an </w:t>
      </w:r>
      <w:r w:rsidR="004B6092">
        <w:rPr>
          <w:lang w:val="en-GB"/>
        </w:rPr>
        <w:t xml:space="preserve">independent </w:t>
      </w:r>
      <w:r w:rsidR="00565A55">
        <w:rPr>
          <w:lang w:val="en-GB"/>
        </w:rPr>
        <w:t>merits review with the Refugee Review Tribunal</w:t>
      </w:r>
      <w:r w:rsidR="000B4261">
        <w:rPr>
          <w:lang w:val="en-GB"/>
        </w:rPr>
        <w:t xml:space="preserve"> —</w:t>
      </w:r>
      <w:r w:rsidR="00565A55">
        <w:rPr>
          <w:lang w:val="en-GB"/>
        </w:rPr>
        <w:t xml:space="preserve"> an external review body that provides </w:t>
      </w:r>
      <w:r w:rsidR="000B4261">
        <w:rPr>
          <w:lang w:val="en-GB"/>
        </w:rPr>
        <w:t xml:space="preserve">a </w:t>
      </w:r>
      <w:r w:rsidR="00565A55">
        <w:rPr>
          <w:lang w:val="en-GB"/>
        </w:rPr>
        <w:t>full and independent merits review of decisions concerning protection visas.</w:t>
      </w:r>
      <w:r w:rsidR="00CB678E">
        <w:rPr>
          <w:lang w:val="en-GB"/>
        </w:rPr>
        <w:t xml:space="preserve"> </w:t>
      </w:r>
      <w:r w:rsidR="00565A55">
        <w:rPr>
          <w:lang w:val="en-GB"/>
        </w:rPr>
        <w:t xml:space="preserve">On 1 May 2013, the Tribunal affirmed the decision of the Department of Immigration and Border Protection not </w:t>
      </w:r>
      <w:r w:rsidR="000B4261">
        <w:rPr>
          <w:lang w:val="en-GB"/>
        </w:rPr>
        <w:t xml:space="preserve">to </w:t>
      </w:r>
      <w:r w:rsidR="00565A55">
        <w:rPr>
          <w:lang w:val="en-GB"/>
        </w:rPr>
        <w:t>grant the complainant a protection visa. In this regard, the State party notes that the complainant was physically present at the Tribunal hearing and was represented by a registered migration officer.</w:t>
      </w:r>
      <w:r w:rsidR="004844DE">
        <w:rPr>
          <w:lang w:val="en-GB"/>
        </w:rPr>
        <w:t xml:space="preserve"> </w:t>
      </w:r>
      <w:r w:rsidR="003D4087">
        <w:rPr>
          <w:lang w:val="en-GB"/>
        </w:rPr>
        <w:t xml:space="preserve">He was able to make oral submissions with the assistance of an interpreter. </w:t>
      </w:r>
    </w:p>
    <w:p w:rsidR="00071615" w:rsidRDefault="00071615">
      <w:pPr>
        <w:pStyle w:val="SingleTxtG"/>
        <w:rPr>
          <w:lang w:val="en-GB"/>
        </w:rPr>
      </w:pPr>
      <w:r>
        <w:rPr>
          <w:lang w:val="en-GB"/>
        </w:rPr>
        <w:t>4.10</w:t>
      </w:r>
      <w:r>
        <w:rPr>
          <w:lang w:val="en-GB"/>
        </w:rPr>
        <w:tab/>
        <w:t xml:space="preserve">The </w:t>
      </w:r>
      <w:r w:rsidR="000B4261">
        <w:rPr>
          <w:lang w:val="en-GB"/>
        </w:rPr>
        <w:t xml:space="preserve">Refugee Review </w:t>
      </w:r>
      <w:r>
        <w:rPr>
          <w:lang w:val="en-GB"/>
        </w:rPr>
        <w:t xml:space="preserve">Tribunal accepted that the complainant had been abducted, beaten and released the same day and that this </w:t>
      </w:r>
      <w:r w:rsidR="000B4261">
        <w:rPr>
          <w:lang w:val="en-GB"/>
        </w:rPr>
        <w:t xml:space="preserve">had </w:t>
      </w:r>
      <w:r>
        <w:rPr>
          <w:lang w:val="en-GB"/>
        </w:rPr>
        <w:t xml:space="preserve">occurred due to mistaken identity; the mistake of identity </w:t>
      </w:r>
      <w:r w:rsidR="000B4261">
        <w:rPr>
          <w:lang w:val="en-GB"/>
        </w:rPr>
        <w:t>had been</w:t>
      </w:r>
      <w:r>
        <w:rPr>
          <w:lang w:val="en-GB"/>
        </w:rPr>
        <w:t xml:space="preserve"> quickly rectified; the complainant’s brother </w:t>
      </w:r>
      <w:r w:rsidR="000B4261">
        <w:rPr>
          <w:lang w:val="en-GB"/>
        </w:rPr>
        <w:t>had been</w:t>
      </w:r>
      <w:r>
        <w:rPr>
          <w:lang w:val="en-GB"/>
        </w:rPr>
        <w:t xml:space="preserve"> abducted; there </w:t>
      </w:r>
      <w:r w:rsidR="000B4261">
        <w:rPr>
          <w:lang w:val="en-GB"/>
        </w:rPr>
        <w:t>had been</w:t>
      </w:r>
      <w:r>
        <w:rPr>
          <w:lang w:val="en-GB"/>
        </w:rPr>
        <w:t xml:space="preserve"> some degree of security checking at the complainant’s workplace by </w:t>
      </w:r>
      <w:r w:rsidR="004B6092">
        <w:rPr>
          <w:lang w:val="en-GB"/>
        </w:rPr>
        <w:t xml:space="preserve">soldiers of </w:t>
      </w:r>
      <w:r>
        <w:rPr>
          <w:lang w:val="en-GB"/>
        </w:rPr>
        <w:t xml:space="preserve">the Sri Lanka </w:t>
      </w:r>
      <w:r w:rsidR="004B6092">
        <w:rPr>
          <w:lang w:val="en-GB"/>
        </w:rPr>
        <w:t>A</w:t>
      </w:r>
      <w:r>
        <w:rPr>
          <w:lang w:val="en-GB"/>
        </w:rPr>
        <w:t>rmy; and tighter procedures ha</w:t>
      </w:r>
      <w:r w:rsidR="000B4261">
        <w:rPr>
          <w:lang w:val="en-GB"/>
        </w:rPr>
        <w:t>d</w:t>
      </w:r>
      <w:r>
        <w:rPr>
          <w:lang w:val="en-GB"/>
        </w:rPr>
        <w:t xml:space="preserve"> recently been adopted for those returning to Sri Lanka in breach of immigration laws. </w:t>
      </w:r>
      <w:r w:rsidR="000B4261">
        <w:rPr>
          <w:lang w:val="en-GB"/>
        </w:rPr>
        <w:t>However, t</w:t>
      </w:r>
      <w:r>
        <w:rPr>
          <w:lang w:val="en-GB"/>
        </w:rPr>
        <w:t xml:space="preserve">he Refugee Review Tribunal did not accept </w:t>
      </w:r>
      <w:r w:rsidR="00FC458A">
        <w:rPr>
          <w:lang w:val="en-GB"/>
        </w:rPr>
        <w:t xml:space="preserve">the following </w:t>
      </w:r>
      <w:r>
        <w:rPr>
          <w:lang w:val="en-GB"/>
        </w:rPr>
        <w:t>as credible</w:t>
      </w:r>
      <w:r w:rsidR="00FC458A">
        <w:rPr>
          <w:lang w:val="en-GB"/>
        </w:rPr>
        <w:t>:</w:t>
      </w:r>
      <w:r>
        <w:rPr>
          <w:lang w:val="en-GB"/>
        </w:rPr>
        <w:t xml:space="preserve"> that the abduction of the complainant’s brother in and of itself had led </w:t>
      </w:r>
      <w:r w:rsidR="00DF31C1">
        <w:rPr>
          <w:lang w:val="en-GB"/>
        </w:rPr>
        <w:t xml:space="preserve">the </w:t>
      </w:r>
      <w:r>
        <w:rPr>
          <w:lang w:val="en-GB"/>
        </w:rPr>
        <w:t xml:space="preserve">authorities to identify the complainant as being </w:t>
      </w:r>
      <w:r w:rsidR="004B6092">
        <w:rPr>
          <w:lang w:val="en-GB"/>
        </w:rPr>
        <w:t xml:space="preserve">an LTTE </w:t>
      </w:r>
      <w:r>
        <w:rPr>
          <w:lang w:val="en-GB"/>
        </w:rPr>
        <w:t>support</w:t>
      </w:r>
      <w:r w:rsidR="004B6092">
        <w:rPr>
          <w:lang w:val="en-GB"/>
        </w:rPr>
        <w:t>er</w:t>
      </w:r>
      <w:r>
        <w:rPr>
          <w:lang w:val="en-GB"/>
        </w:rPr>
        <w:t xml:space="preserve">; </w:t>
      </w:r>
      <w:r w:rsidR="00FC458A">
        <w:rPr>
          <w:lang w:val="en-GB"/>
        </w:rPr>
        <w:t xml:space="preserve">that </w:t>
      </w:r>
      <w:r>
        <w:rPr>
          <w:lang w:val="en-GB"/>
        </w:rPr>
        <w:t>the complainant</w:t>
      </w:r>
      <w:r w:rsidR="009A41A1">
        <w:rPr>
          <w:lang w:val="en-GB"/>
        </w:rPr>
        <w:t xml:space="preserve"> had been imputed with a pro-LTTE political opinion </w:t>
      </w:r>
      <w:r w:rsidR="00DF31C1">
        <w:rPr>
          <w:lang w:val="en-GB"/>
        </w:rPr>
        <w:t xml:space="preserve">owing </w:t>
      </w:r>
      <w:r w:rsidR="009A41A1">
        <w:rPr>
          <w:lang w:val="en-GB"/>
        </w:rPr>
        <w:t xml:space="preserve">to his brother’s involvement with LTTE; </w:t>
      </w:r>
      <w:r w:rsidR="00FC458A">
        <w:rPr>
          <w:lang w:val="en-GB"/>
        </w:rPr>
        <w:t xml:space="preserve">that </w:t>
      </w:r>
      <w:r w:rsidR="009A41A1">
        <w:rPr>
          <w:lang w:val="en-GB"/>
        </w:rPr>
        <w:t xml:space="preserve">five unidentified men </w:t>
      </w:r>
      <w:r w:rsidR="00C955D7">
        <w:rPr>
          <w:lang w:val="en-GB"/>
        </w:rPr>
        <w:t>came to</w:t>
      </w:r>
      <w:r w:rsidR="009A41A1">
        <w:rPr>
          <w:lang w:val="en-GB"/>
        </w:rPr>
        <w:t xml:space="preserve"> his home to demand</w:t>
      </w:r>
      <w:r w:rsidR="00DF31C1">
        <w:rPr>
          <w:lang w:val="en-GB"/>
        </w:rPr>
        <w:t xml:space="preserve"> that</w:t>
      </w:r>
      <w:r w:rsidR="009A41A1">
        <w:rPr>
          <w:lang w:val="en-GB"/>
        </w:rPr>
        <w:t xml:space="preserve"> he attend a rally </w:t>
      </w:r>
      <w:r w:rsidR="00DF31C1">
        <w:rPr>
          <w:lang w:val="en-GB"/>
        </w:rPr>
        <w:t>protesting</w:t>
      </w:r>
      <w:r w:rsidR="009A41A1">
        <w:rPr>
          <w:lang w:val="en-GB"/>
        </w:rPr>
        <w:t xml:space="preserve"> the U</w:t>
      </w:r>
      <w:r w:rsidR="00DF31C1">
        <w:rPr>
          <w:lang w:val="en-GB"/>
        </w:rPr>
        <w:t xml:space="preserve">nited </w:t>
      </w:r>
      <w:r w:rsidR="009A41A1">
        <w:rPr>
          <w:lang w:val="en-GB"/>
        </w:rPr>
        <w:t>N</w:t>
      </w:r>
      <w:r w:rsidR="00DF31C1">
        <w:rPr>
          <w:lang w:val="en-GB"/>
        </w:rPr>
        <w:t>ations</w:t>
      </w:r>
      <w:r w:rsidR="009A41A1">
        <w:rPr>
          <w:lang w:val="en-GB"/>
        </w:rPr>
        <w:t xml:space="preserve"> findings on Sri Lanka and </w:t>
      </w:r>
      <w:r w:rsidR="00DF31C1">
        <w:rPr>
          <w:lang w:val="en-GB"/>
        </w:rPr>
        <w:t xml:space="preserve">that </w:t>
      </w:r>
      <w:r w:rsidR="00FC458A">
        <w:rPr>
          <w:lang w:val="en-GB"/>
        </w:rPr>
        <w:t>when he</w:t>
      </w:r>
      <w:r w:rsidR="009A41A1">
        <w:rPr>
          <w:lang w:val="en-GB"/>
        </w:rPr>
        <w:t xml:space="preserve"> refus</w:t>
      </w:r>
      <w:r w:rsidR="00FC458A">
        <w:rPr>
          <w:lang w:val="en-GB"/>
        </w:rPr>
        <w:t>ed</w:t>
      </w:r>
      <w:r w:rsidR="00DF31C1">
        <w:rPr>
          <w:lang w:val="en-GB"/>
        </w:rPr>
        <w:t>,</w:t>
      </w:r>
      <w:r w:rsidR="009A41A1">
        <w:rPr>
          <w:lang w:val="en-GB"/>
        </w:rPr>
        <w:t xml:space="preserve"> he was slapped and told to be careful; </w:t>
      </w:r>
      <w:r w:rsidR="00FC458A">
        <w:rPr>
          <w:lang w:val="en-GB"/>
        </w:rPr>
        <w:t xml:space="preserve">that </w:t>
      </w:r>
      <w:r w:rsidR="009A41A1">
        <w:rPr>
          <w:lang w:val="en-GB"/>
        </w:rPr>
        <w:t>the alleged intruders subsequently returned to his house after</w:t>
      </w:r>
      <w:r w:rsidR="00DF31C1">
        <w:rPr>
          <w:lang w:val="en-GB"/>
        </w:rPr>
        <w:t xml:space="preserve"> he had</w:t>
      </w:r>
      <w:r w:rsidR="009A41A1">
        <w:rPr>
          <w:lang w:val="en-GB"/>
        </w:rPr>
        <w:t xml:space="preserve"> left</w:t>
      </w:r>
      <w:r w:rsidR="00FC458A">
        <w:rPr>
          <w:lang w:val="en-GB"/>
        </w:rPr>
        <w:t xml:space="preserve"> the country</w:t>
      </w:r>
      <w:r w:rsidR="009A41A1">
        <w:rPr>
          <w:lang w:val="en-GB"/>
        </w:rPr>
        <w:t xml:space="preserve">; </w:t>
      </w:r>
      <w:r w:rsidR="00FC458A">
        <w:rPr>
          <w:lang w:val="en-GB"/>
        </w:rPr>
        <w:t xml:space="preserve">that </w:t>
      </w:r>
      <w:r w:rsidR="009A41A1">
        <w:rPr>
          <w:lang w:val="en-GB"/>
        </w:rPr>
        <w:t xml:space="preserve">the admonition </w:t>
      </w:r>
      <w:r w:rsidR="00DF31C1">
        <w:rPr>
          <w:lang w:val="en-GB"/>
        </w:rPr>
        <w:t xml:space="preserve">to </w:t>
      </w:r>
      <w:r w:rsidR="009A41A1">
        <w:rPr>
          <w:lang w:val="en-GB"/>
        </w:rPr>
        <w:t>be careful and the incident relatin</w:t>
      </w:r>
      <w:r w:rsidR="00DF31C1">
        <w:rPr>
          <w:lang w:val="en-GB"/>
        </w:rPr>
        <w:t>g</w:t>
      </w:r>
      <w:r w:rsidR="009A41A1">
        <w:rPr>
          <w:lang w:val="en-GB"/>
        </w:rPr>
        <w:t xml:space="preserve"> to </w:t>
      </w:r>
      <w:r w:rsidR="00DF31C1">
        <w:rPr>
          <w:lang w:val="en-GB"/>
        </w:rPr>
        <w:t>his refusal</w:t>
      </w:r>
      <w:r w:rsidR="009A41A1">
        <w:rPr>
          <w:lang w:val="en-GB"/>
        </w:rPr>
        <w:t xml:space="preserve"> to attend the rally </w:t>
      </w:r>
      <w:r w:rsidR="00DF31C1">
        <w:rPr>
          <w:lang w:val="en-GB"/>
        </w:rPr>
        <w:t xml:space="preserve">protesting </w:t>
      </w:r>
      <w:r w:rsidR="009A41A1">
        <w:rPr>
          <w:lang w:val="en-GB"/>
        </w:rPr>
        <w:t>the U</w:t>
      </w:r>
      <w:r w:rsidR="00DF31C1">
        <w:rPr>
          <w:lang w:val="en-GB"/>
        </w:rPr>
        <w:t xml:space="preserve">nited </w:t>
      </w:r>
      <w:r w:rsidR="009A41A1">
        <w:rPr>
          <w:lang w:val="en-GB"/>
        </w:rPr>
        <w:t>N</w:t>
      </w:r>
      <w:r w:rsidR="00DF31C1">
        <w:rPr>
          <w:lang w:val="en-GB"/>
        </w:rPr>
        <w:t>ations</w:t>
      </w:r>
      <w:r w:rsidR="009A41A1">
        <w:rPr>
          <w:lang w:val="en-GB"/>
        </w:rPr>
        <w:t xml:space="preserve"> findings </w:t>
      </w:r>
      <w:r w:rsidR="00DF31C1">
        <w:rPr>
          <w:lang w:val="en-GB"/>
        </w:rPr>
        <w:t>on</w:t>
      </w:r>
      <w:r w:rsidR="009A41A1">
        <w:rPr>
          <w:lang w:val="en-GB"/>
        </w:rPr>
        <w:t xml:space="preserve"> Sri Lanka </w:t>
      </w:r>
      <w:r w:rsidR="00DF31C1">
        <w:rPr>
          <w:lang w:val="en-GB"/>
        </w:rPr>
        <w:t xml:space="preserve">had </w:t>
      </w:r>
      <w:r w:rsidR="009A41A1">
        <w:rPr>
          <w:lang w:val="en-GB"/>
        </w:rPr>
        <w:t xml:space="preserve">caused </w:t>
      </w:r>
      <w:r w:rsidR="00DF31C1">
        <w:rPr>
          <w:lang w:val="en-GB"/>
        </w:rPr>
        <w:t>him</w:t>
      </w:r>
      <w:r w:rsidR="009A41A1">
        <w:rPr>
          <w:lang w:val="en-GB"/>
        </w:rPr>
        <w:t xml:space="preserve"> to go into hiding for some time and precipitated his decision to leave Sri Lanka; </w:t>
      </w:r>
      <w:r w:rsidR="00FC458A">
        <w:rPr>
          <w:lang w:val="en-GB"/>
        </w:rPr>
        <w:t xml:space="preserve">that </w:t>
      </w:r>
      <w:r w:rsidR="004B6092">
        <w:rPr>
          <w:lang w:val="en-GB"/>
        </w:rPr>
        <w:t>he</w:t>
      </w:r>
      <w:r w:rsidR="009A41A1">
        <w:rPr>
          <w:lang w:val="en-GB"/>
        </w:rPr>
        <w:t xml:space="preserve"> would be harmed on his return</w:t>
      </w:r>
      <w:r w:rsidR="00DF31C1">
        <w:rPr>
          <w:lang w:val="en-GB"/>
        </w:rPr>
        <w:t xml:space="preserve"> to Sri Lanka because of the pro-LTTE political opinion with which he </w:t>
      </w:r>
      <w:r w:rsidR="00FC458A">
        <w:rPr>
          <w:lang w:val="en-GB"/>
        </w:rPr>
        <w:t>is supposedly</w:t>
      </w:r>
      <w:r w:rsidR="00DF31C1">
        <w:rPr>
          <w:lang w:val="en-GB"/>
        </w:rPr>
        <w:t xml:space="preserve"> imputed</w:t>
      </w:r>
      <w:r w:rsidR="009A41A1">
        <w:rPr>
          <w:lang w:val="en-GB"/>
        </w:rPr>
        <w:t xml:space="preserve">; </w:t>
      </w:r>
      <w:r w:rsidR="00FC458A">
        <w:rPr>
          <w:lang w:val="en-GB"/>
        </w:rPr>
        <w:t xml:space="preserve">that </w:t>
      </w:r>
      <w:r w:rsidR="009A41A1">
        <w:rPr>
          <w:lang w:val="en-GB"/>
        </w:rPr>
        <w:t xml:space="preserve">the security checks at the complainant’s workplace </w:t>
      </w:r>
      <w:r w:rsidR="0044273D">
        <w:rPr>
          <w:lang w:val="en-GB"/>
        </w:rPr>
        <w:t xml:space="preserve">in Colombo </w:t>
      </w:r>
      <w:r w:rsidR="009A41A1">
        <w:rPr>
          <w:lang w:val="en-GB"/>
        </w:rPr>
        <w:t xml:space="preserve">were carried out with the frequency or degree of harassment claimed; </w:t>
      </w:r>
      <w:r w:rsidR="00FC458A">
        <w:rPr>
          <w:lang w:val="en-GB"/>
        </w:rPr>
        <w:t xml:space="preserve">that </w:t>
      </w:r>
      <w:r w:rsidR="004B6092">
        <w:rPr>
          <w:lang w:val="en-GB"/>
        </w:rPr>
        <w:t>he</w:t>
      </w:r>
      <w:r w:rsidR="009A41A1">
        <w:rPr>
          <w:lang w:val="en-GB"/>
        </w:rPr>
        <w:t xml:space="preserve"> was under suspicion for LTTE involvement; </w:t>
      </w:r>
      <w:r w:rsidR="00FC458A">
        <w:rPr>
          <w:lang w:val="en-GB"/>
        </w:rPr>
        <w:t xml:space="preserve">that </w:t>
      </w:r>
      <w:r w:rsidR="004B6092">
        <w:rPr>
          <w:lang w:val="en-GB"/>
        </w:rPr>
        <w:t xml:space="preserve">he </w:t>
      </w:r>
      <w:r w:rsidR="00DF31C1">
        <w:rPr>
          <w:lang w:val="en-GB"/>
        </w:rPr>
        <w:t xml:space="preserve">had </w:t>
      </w:r>
      <w:r w:rsidR="007E0E7F">
        <w:rPr>
          <w:lang w:val="en-GB"/>
        </w:rPr>
        <w:t xml:space="preserve">encountered </w:t>
      </w:r>
      <w:r w:rsidR="00DF31C1">
        <w:rPr>
          <w:lang w:val="en-GB"/>
        </w:rPr>
        <w:t xml:space="preserve">any </w:t>
      </w:r>
      <w:r w:rsidR="007E0E7F">
        <w:rPr>
          <w:lang w:val="en-GB"/>
        </w:rPr>
        <w:t xml:space="preserve">particular or unusual difficulties registering with the local police; </w:t>
      </w:r>
      <w:r w:rsidR="00FC458A">
        <w:rPr>
          <w:lang w:val="en-GB"/>
        </w:rPr>
        <w:t xml:space="preserve">that </w:t>
      </w:r>
      <w:r w:rsidR="007E0E7F">
        <w:rPr>
          <w:lang w:val="en-GB"/>
        </w:rPr>
        <w:t xml:space="preserve">the complainant </w:t>
      </w:r>
      <w:r w:rsidR="00DF31C1">
        <w:rPr>
          <w:lang w:val="en-GB"/>
        </w:rPr>
        <w:t xml:space="preserve">had </w:t>
      </w:r>
      <w:r w:rsidR="007E0E7F">
        <w:rPr>
          <w:lang w:val="en-GB"/>
        </w:rPr>
        <w:t xml:space="preserve">suffered serious or significant harm because of his Tamil ethnicity; </w:t>
      </w:r>
      <w:r w:rsidR="00FC458A">
        <w:rPr>
          <w:lang w:val="en-GB"/>
        </w:rPr>
        <w:t xml:space="preserve">that </w:t>
      </w:r>
      <w:r w:rsidR="007E0E7F">
        <w:rPr>
          <w:lang w:val="en-GB"/>
        </w:rPr>
        <w:t>he</w:t>
      </w:r>
      <w:r w:rsidR="00CB678E">
        <w:rPr>
          <w:lang w:val="en-GB"/>
        </w:rPr>
        <w:t xml:space="preserve"> </w:t>
      </w:r>
      <w:r w:rsidR="007E0E7F">
        <w:rPr>
          <w:lang w:val="en-GB"/>
        </w:rPr>
        <w:t xml:space="preserve">would suffer harm or persecution on return to Sri Lanka because </w:t>
      </w:r>
      <w:r w:rsidR="00465F91">
        <w:rPr>
          <w:lang w:val="en-GB"/>
        </w:rPr>
        <w:t>he was part of</w:t>
      </w:r>
      <w:r w:rsidR="007E0E7F">
        <w:rPr>
          <w:lang w:val="en-GB"/>
        </w:rPr>
        <w:t xml:space="preserve"> </w:t>
      </w:r>
      <w:r w:rsidR="004B6092">
        <w:rPr>
          <w:lang w:val="en-GB"/>
        </w:rPr>
        <w:t>the</w:t>
      </w:r>
      <w:r w:rsidR="007E0E7F">
        <w:rPr>
          <w:lang w:val="en-GB"/>
        </w:rPr>
        <w:t xml:space="preserve"> particular social group </w:t>
      </w:r>
      <w:r w:rsidR="004B6092">
        <w:rPr>
          <w:lang w:val="en-GB"/>
        </w:rPr>
        <w:t>of</w:t>
      </w:r>
      <w:r w:rsidR="007E0E7F">
        <w:rPr>
          <w:lang w:val="en-GB"/>
        </w:rPr>
        <w:t xml:space="preserve"> failed asylum seekers</w:t>
      </w:r>
      <w:r w:rsidR="00881C3D">
        <w:rPr>
          <w:lang w:val="en-GB"/>
        </w:rPr>
        <w:t xml:space="preserve">; </w:t>
      </w:r>
      <w:r w:rsidR="007E0E7F">
        <w:rPr>
          <w:lang w:val="en-GB"/>
        </w:rPr>
        <w:t xml:space="preserve">and </w:t>
      </w:r>
      <w:r w:rsidR="00FC458A">
        <w:rPr>
          <w:lang w:val="en-GB"/>
        </w:rPr>
        <w:t xml:space="preserve">that </w:t>
      </w:r>
      <w:r w:rsidR="002B1BCC">
        <w:rPr>
          <w:lang w:val="en-GB"/>
        </w:rPr>
        <w:t>his being</w:t>
      </w:r>
      <w:r w:rsidR="007E0E7F">
        <w:rPr>
          <w:lang w:val="en-GB"/>
        </w:rPr>
        <w:t xml:space="preserve"> charged, fined or held on remand on his return</w:t>
      </w:r>
      <w:r w:rsidR="002B1BCC">
        <w:rPr>
          <w:lang w:val="en-GB"/>
        </w:rPr>
        <w:t xml:space="preserve"> </w:t>
      </w:r>
      <w:r w:rsidR="007E0E7F">
        <w:rPr>
          <w:lang w:val="en-GB"/>
        </w:rPr>
        <w:t xml:space="preserve">would amount to serious harm. </w:t>
      </w:r>
      <w:r w:rsidR="00A6740A">
        <w:rPr>
          <w:lang w:val="en-GB"/>
        </w:rPr>
        <w:t xml:space="preserve">The </w:t>
      </w:r>
      <w:r w:rsidR="00E71BA9">
        <w:rPr>
          <w:lang w:val="en-GB"/>
        </w:rPr>
        <w:t xml:space="preserve">Refugee </w:t>
      </w:r>
      <w:r w:rsidR="00E71BA9">
        <w:rPr>
          <w:lang w:val="en-GB"/>
        </w:rPr>
        <w:lastRenderedPageBreak/>
        <w:t xml:space="preserve">Review </w:t>
      </w:r>
      <w:r w:rsidR="00A6740A">
        <w:rPr>
          <w:lang w:val="en-GB"/>
        </w:rPr>
        <w:t xml:space="preserve">Tribunal stipulated that the </w:t>
      </w:r>
      <w:r w:rsidR="00532AB4">
        <w:rPr>
          <w:lang w:val="en-GB"/>
        </w:rPr>
        <w:t>complainant would likely face a</w:t>
      </w:r>
      <w:r w:rsidR="00A6740A">
        <w:rPr>
          <w:lang w:val="en-GB"/>
        </w:rPr>
        <w:t>rrest on charges of leaving the country illegally</w:t>
      </w:r>
      <w:r w:rsidR="00FC458A">
        <w:rPr>
          <w:lang w:val="en-GB"/>
        </w:rPr>
        <w:t xml:space="preserve"> and</w:t>
      </w:r>
      <w:r w:rsidR="00E71BA9">
        <w:rPr>
          <w:lang w:val="en-GB"/>
        </w:rPr>
        <w:t xml:space="preserve"> that he</w:t>
      </w:r>
      <w:r w:rsidR="00A6740A">
        <w:rPr>
          <w:lang w:val="en-GB"/>
        </w:rPr>
        <w:t xml:space="preserve"> could be placed in remand for a brief period while awaiting a bail hearing and may later be fined. However, the Tribunal concluded that there were no substantial grounds for believing that there was a real risk of the complainant being subjected to torture if removed to Sri Lanka.</w:t>
      </w:r>
      <w:r w:rsidR="00CB678E">
        <w:rPr>
          <w:lang w:val="en-GB"/>
        </w:rPr>
        <w:t xml:space="preserve"> </w:t>
      </w:r>
    </w:p>
    <w:p w:rsidR="006C4C44" w:rsidRDefault="006C4C44">
      <w:pPr>
        <w:pStyle w:val="SingleTxtG"/>
        <w:rPr>
          <w:lang w:val="en-GB"/>
        </w:rPr>
      </w:pPr>
      <w:r>
        <w:rPr>
          <w:lang w:val="en-GB"/>
        </w:rPr>
        <w:t xml:space="preserve">4.11 </w:t>
      </w:r>
      <w:r w:rsidR="00F23FBE">
        <w:rPr>
          <w:lang w:val="en-GB"/>
        </w:rPr>
        <w:tab/>
      </w:r>
      <w:r w:rsidRPr="007912AB">
        <w:rPr>
          <w:lang w:val="en-GB"/>
        </w:rPr>
        <w:t>The State party also notes</w:t>
      </w:r>
      <w:r>
        <w:rPr>
          <w:lang w:val="en-GB"/>
        </w:rPr>
        <w:t xml:space="preserve"> that</w:t>
      </w:r>
      <w:r w:rsidR="007912AB">
        <w:rPr>
          <w:lang w:val="en-GB"/>
        </w:rPr>
        <w:t>,</w:t>
      </w:r>
      <w:r>
        <w:rPr>
          <w:lang w:val="en-GB"/>
        </w:rPr>
        <w:t xml:space="preserve"> on 22 November 2013, the Federal Circuit Court dismissed the complainant’s application for judicial review of the Refugee Review Tribunal’s decision.</w:t>
      </w:r>
      <w:r w:rsidR="00CB678E">
        <w:rPr>
          <w:lang w:val="en-GB"/>
        </w:rPr>
        <w:t xml:space="preserve"> </w:t>
      </w:r>
      <w:r>
        <w:rPr>
          <w:lang w:val="en-GB"/>
        </w:rPr>
        <w:t xml:space="preserve">The complainant was present at the Circuit Court hearing and made submissions. In particular, the Circuit Court concluded that the complainant was </w:t>
      </w:r>
      <w:r w:rsidR="00FC458A">
        <w:rPr>
          <w:lang w:val="en-GB"/>
        </w:rPr>
        <w:t>un</w:t>
      </w:r>
      <w:r>
        <w:rPr>
          <w:lang w:val="en-GB"/>
        </w:rPr>
        <w:t>able to point to any legal error by the Tribunal</w:t>
      </w:r>
      <w:r w:rsidR="00E71BA9">
        <w:rPr>
          <w:lang w:val="en-GB"/>
        </w:rPr>
        <w:t xml:space="preserve"> and </w:t>
      </w:r>
      <w:r w:rsidR="00FC458A">
        <w:rPr>
          <w:lang w:val="en-GB"/>
        </w:rPr>
        <w:t>the court</w:t>
      </w:r>
      <w:r>
        <w:rPr>
          <w:lang w:val="en-GB"/>
        </w:rPr>
        <w:t xml:space="preserve"> could </w:t>
      </w:r>
      <w:r w:rsidR="00E71BA9">
        <w:rPr>
          <w:lang w:val="en-GB"/>
        </w:rPr>
        <w:t>not</w:t>
      </w:r>
      <w:r>
        <w:rPr>
          <w:lang w:val="en-GB"/>
        </w:rPr>
        <w:t xml:space="preserve"> find any</w:t>
      </w:r>
      <w:r w:rsidR="007912AB">
        <w:rPr>
          <w:lang w:val="en-GB"/>
        </w:rPr>
        <w:t>thing</w:t>
      </w:r>
      <w:r>
        <w:rPr>
          <w:lang w:val="en-GB"/>
        </w:rPr>
        <w:t xml:space="preserve"> illogical or irrational in its analysis. </w:t>
      </w:r>
    </w:p>
    <w:p w:rsidR="00497498" w:rsidRDefault="006C4C44">
      <w:pPr>
        <w:pStyle w:val="SingleTxtG"/>
        <w:rPr>
          <w:lang w:val="en-GB"/>
        </w:rPr>
      </w:pPr>
      <w:r>
        <w:rPr>
          <w:lang w:val="en-GB"/>
        </w:rPr>
        <w:t>4.12</w:t>
      </w:r>
      <w:r w:rsidR="00CB678E">
        <w:rPr>
          <w:lang w:val="en-GB"/>
        </w:rPr>
        <w:t xml:space="preserve"> </w:t>
      </w:r>
      <w:r w:rsidR="00F23FBE">
        <w:rPr>
          <w:lang w:val="en-GB"/>
        </w:rPr>
        <w:tab/>
      </w:r>
      <w:r>
        <w:rPr>
          <w:lang w:val="en-GB"/>
        </w:rPr>
        <w:t xml:space="preserve">On 11 December 2013, the complainant filed a request for ministerial intervention under sections 48B and 417 of the Migration Act. The claims made by the complainant were </w:t>
      </w:r>
      <w:r w:rsidR="00FC458A">
        <w:rPr>
          <w:lang w:val="en-GB"/>
        </w:rPr>
        <w:t xml:space="preserve">again </w:t>
      </w:r>
      <w:r>
        <w:rPr>
          <w:lang w:val="en-GB"/>
        </w:rPr>
        <w:t xml:space="preserve">assessed in full with consideration also given to the decisions of the Refugee Review Tribunal and the Federal Circuit Court. </w:t>
      </w:r>
      <w:r w:rsidR="009C2E05">
        <w:rPr>
          <w:lang w:val="en-GB"/>
        </w:rPr>
        <w:t>However, t</w:t>
      </w:r>
      <w:r w:rsidR="00497498">
        <w:rPr>
          <w:lang w:val="en-GB"/>
        </w:rPr>
        <w:t xml:space="preserve">he complainant’s request for ministerial intervention was rejected as he </w:t>
      </w:r>
      <w:r w:rsidR="009C2E05">
        <w:rPr>
          <w:lang w:val="en-GB"/>
        </w:rPr>
        <w:t>did</w:t>
      </w:r>
      <w:r w:rsidR="00497498">
        <w:rPr>
          <w:lang w:val="en-GB"/>
        </w:rPr>
        <w:t xml:space="preserve"> not provide any further information to justify </w:t>
      </w:r>
      <w:r w:rsidR="00FC458A">
        <w:rPr>
          <w:lang w:val="en-GB"/>
        </w:rPr>
        <w:t>such</w:t>
      </w:r>
      <w:r w:rsidR="00497498">
        <w:rPr>
          <w:lang w:val="en-GB"/>
        </w:rPr>
        <w:t xml:space="preserve"> intervention. In this regard, the </w:t>
      </w:r>
      <w:r>
        <w:rPr>
          <w:lang w:val="en-GB"/>
        </w:rPr>
        <w:t>decision</w:t>
      </w:r>
      <w:r w:rsidR="009C2E05">
        <w:rPr>
          <w:lang w:val="en-GB"/>
        </w:rPr>
        <w:t xml:space="preserve"> </w:t>
      </w:r>
      <w:r>
        <w:rPr>
          <w:lang w:val="en-GB"/>
        </w:rPr>
        <w:t xml:space="preserve">maker </w:t>
      </w:r>
      <w:r w:rsidR="00497498">
        <w:rPr>
          <w:lang w:val="en-GB"/>
        </w:rPr>
        <w:t xml:space="preserve">noted that the Tribunal was not satisfied </w:t>
      </w:r>
      <w:r w:rsidR="009C2E05">
        <w:rPr>
          <w:lang w:val="en-GB"/>
        </w:rPr>
        <w:t>with</w:t>
      </w:r>
      <w:r w:rsidR="00497498">
        <w:rPr>
          <w:lang w:val="en-GB"/>
        </w:rPr>
        <w:t xml:space="preserve"> the complainant’s claims that he would be harmed upon return to Sri Lanka because </w:t>
      </w:r>
      <w:r w:rsidR="009C2E05">
        <w:rPr>
          <w:lang w:val="en-GB"/>
        </w:rPr>
        <w:t xml:space="preserve">he was </w:t>
      </w:r>
      <w:r w:rsidR="00465F91">
        <w:rPr>
          <w:lang w:val="en-GB"/>
        </w:rPr>
        <w:t>part of the</w:t>
      </w:r>
      <w:r w:rsidR="009C2E05">
        <w:rPr>
          <w:lang w:val="en-GB"/>
        </w:rPr>
        <w:t xml:space="preserve"> </w:t>
      </w:r>
      <w:r w:rsidR="00497498">
        <w:rPr>
          <w:lang w:val="en-GB"/>
        </w:rPr>
        <w:t>particular social group of failed asylum seekers. The decision</w:t>
      </w:r>
      <w:r w:rsidR="009C2E05">
        <w:rPr>
          <w:lang w:val="en-GB"/>
        </w:rPr>
        <w:t xml:space="preserve"> </w:t>
      </w:r>
      <w:r w:rsidR="00497498">
        <w:rPr>
          <w:lang w:val="en-GB"/>
        </w:rPr>
        <w:t>maker also noted that</w:t>
      </w:r>
      <w:r w:rsidR="009C2E05">
        <w:rPr>
          <w:lang w:val="en-GB"/>
        </w:rPr>
        <w:t>,</w:t>
      </w:r>
      <w:r w:rsidR="00497498">
        <w:rPr>
          <w:lang w:val="en-GB"/>
        </w:rPr>
        <w:t xml:space="preserve"> while the Tribunal accepted that the complainant was likely to face arrest </w:t>
      </w:r>
      <w:r w:rsidR="009C2E05">
        <w:rPr>
          <w:lang w:val="en-GB"/>
        </w:rPr>
        <w:t>because he left</w:t>
      </w:r>
      <w:r w:rsidR="00497498">
        <w:rPr>
          <w:lang w:val="en-GB"/>
        </w:rPr>
        <w:t xml:space="preserve"> the country illegally and </w:t>
      </w:r>
      <w:r w:rsidR="009C2E05">
        <w:rPr>
          <w:lang w:val="en-GB"/>
        </w:rPr>
        <w:t xml:space="preserve">that he </w:t>
      </w:r>
      <w:r w:rsidR="00497498">
        <w:rPr>
          <w:lang w:val="en-GB"/>
        </w:rPr>
        <w:t>m</w:t>
      </w:r>
      <w:r w:rsidR="009C2E05">
        <w:rPr>
          <w:lang w:val="en-GB"/>
        </w:rPr>
        <w:t>ight</w:t>
      </w:r>
      <w:r w:rsidR="00497498">
        <w:rPr>
          <w:lang w:val="en-GB"/>
        </w:rPr>
        <w:t xml:space="preserve"> be placed in remand and fined, it was not satisfied that this treatment could reasonabl</w:t>
      </w:r>
      <w:r w:rsidR="009C2E05">
        <w:rPr>
          <w:lang w:val="en-GB"/>
        </w:rPr>
        <w:t>y</w:t>
      </w:r>
      <w:r w:rsidR="00497498">
        <w:rPr>
          <w:lang w:val="en-GB"/>
        </w:rPr>
        <w:t xml:space="preserve"> be said to amount to serious or significant harm under section 36</w:t>
      </w:r>
      <w:r w:rsidR="009C2E05">
        <w:rPr>
          <w:lang w:val="en-GB"/>
        </w:rPr>
        <w:t xml:space="preserve"> </w:t>
      </w:r>
      <w:r w:rsidR="00497498">
        <w:rPr>
          <w:lang w:val="en-GB"/>
        </w:rPr>
        <w:t>(2)</w:t>
      </w:r>
      <w:r w:rsidR="009C2E05">
        <w:rPr>
          <w:lang w:val="en-GB"/>
        </w:rPr>
        <w:t xml:space="preserve"> </w:t>
      </w:r>
      <w:r w:rsidR="00497498">
        <w:rPr>
          <w:lang w:val="en-GB"/>
        </w:rPr>
        <w:t>(aa) of the Migration Act.</w:t>
      </w:r>
      <w:r w:rsidR="00CB678E">
        <w:rPr>
          <w:lang w:val="en-GB"/>
        </w:rPr>
        <w:t xml:space="preserve"> </w:t>
      </w:r>
    </w:p>
    <w:p w:rsidR="00497498" w:rsidRDefault="00497498">
      <w:pPr>
        <w:pStyle w:val="SingleTxtG"/>
        <w:rPr>
          <w:lang w:val="en-GB"/>
        </w:rPr>
      </w:pPr>
      <w:r>
        <w:rPr>
          <w:lang w:val="en-GB"/>
        </w:rPr>
        <w:t>4.13</w:t>
      </w:r>
      <w:r>
        <w:rPr>
          <w:lang w:val="en-GB"/>
        </w:rPr>
        <w:tab/>
        <w:t xml:space="preserve">In the light of the above, the State party maintains that all of the complainant’s claims were considered and all </w:t>
      </w:r>
      <w:r w:rsidR="009C2E05">
        <w:rPr>
          <w:lang w:val="en-GB"/>
        </w:rPr>
        <w:t xml:space="preserve">the </w:t>
      </w:r>
      <w:r>
        <w:rPr>
          <w:lang w:val="en-GB"/>
        </w:rPr>
        <w:t xml:space="preserve">evidence provided was verified by the domestic authorities at every stage of the process. All of the processes concluded that there </w:t>
      </w:r>
      <w:r w:rsidR="009C2E05">
        <w:rPr>
          <w:lang w:val="en-GB"/>
        </w:rPr>
        <w:t>we</w:t>
      </w:r>
      <w:r>
        <w:rPr>
          <w:lang w:val="en-GB"/>
        </w:rPr>
        <w:t xml:space="preserve">re no substantial grounds for believing that the complainant </w:t>
      </w:r>
      <w:r w:rsidR="009C2E05">
        <w:rPr>
          <w:lang w:val="en-GB"/>
        </w:rPr>
        <w:t>wa</w:t>
      </w:r>
      <w:r>
        <w:rPr>
          <w:lang w:val="en-GB"/>
        </w:rPr>
        <w:t>s at a foreseeable, real and personal risk of torture if retu</w:t>
      </w:r>
      <w:r w:rsidR="005A7EF4">
        <w:rPr>
          <w:lang w:val="en-GB"/>
        </w:rPr>
        <w:t>rned to Sri L</w:t>
      </w:r>
      <w:r>
        <w:rPr>
          <w:lang w:val="en-GB"/>
        </w:rPr>
        <w:t xml:space="preserve">anka. </w:t>
      </w:r>
    </w:p>
    <w:p w:rsidR="005A7EF4" w:rsidRDefault="005A7EF4">
      <w:pPr>
        <w:pStyle w:val="SingleTxtG"/>
        <w:rPr>
          <w:lang w:val="en-GB"/>
        </w:rPr>
      </w:pPr>
      <w:r>
        <w:rPr>
          <w:lang w:val="en-GB"/>
        </w:rPr>
        <w:t>4.14</w:t>
      </w:r>
      <w:r>
        <w:rPr>
          <w:lang w:val="en-GB"/>
        </w:rPr>
        <w:tab/>
        <w:t xml:space="preserve">Regarding the complainant’s alleged activities in Australia, the State party notes that the complainant </w:t>
      </w:r>
      <w:r w:rsidR="009C2E05">
        <w:rPr>
          <w:lang w:val="en-GB"/>
        </w:rPr>
        <w:t>did</w:t>
      </w:r>
      <w:r>
        <w:rPr>
          <w:lang w:val="en-GB"/>
        </w:rPr>
        <w:t xml:space="preserve"> not provide evidence to substantiate his new claims regarding his activities with the Tamil Congress in Australia</w:t>
      </w:r>
      <w:r w:rsidR="0026723E">
        <w:rPr>
          <w:lang w:val="en-GB"/>
        </w:rPr>
        <w:t xml:space="preserve">. </w:t>
      </w:r>
      <w:r>
        <w:rPr>
          <w:lang w:val="en-GB"/>
        </w:rPr>
        <w:t>The complainant submitted that while he was in immigration detention</w:t>
      </w:r>
      <w:r w:rsidR="00CE27A0">
        <w:rPr>
          <w:lang w:val="en-GB"/>
        </w:rPr>
        <w:t>,</w:t>
      </w:r>
      <w:r>
        <w:rPr>
          <w:lang w:val="en-GB"/>
        </w:rPr>
        <w:t xml:space="preserve"> he </w:t>
      </w:r>
      <w:r w:rsidR="00CE27A0">
        <w:rPr>
          <w:lang w:val="en-GB"/>
        </w:rPr>
        <w:t>had been</w:t>
      </w:r>
      <w:r>
        <w:rPr>
          <w:lang w:val="en-GB"/>
        </w:rPr>
        <w:t xml:space="preserve"> approached by members of the Tamil Congress who were willing to provide assistance regarding his protection visa application. The complainant claims that</w:t>
      </w:r>
      <w:r w:rsidR="00CE27A0">
        <w:rPr>
          <w:lang w:val="en-GB"/>
        </w:rPr>
        <w:t>,</w:t>
      </w:r>
      <w:r>
        <w:rPr>
          <w:lang w:val="en-GB"/>
        </w:rPr>
        <w:t xml:space="preserve"> </w:t>
      </w:r>
      <w:r w:rsidR="00CE27A0">
        <w:rPr>
          <w:lang w:val="en-GB"/>
        </w:rPr>
        <w:t xml:space="preserve">if he were forcibly returned to Sri Lanka, </w:t>
      </w:r>
      <w:r w:rsidR="00E71BA9">
        <w:rPr>
          <w:lang w:val="en-GB"/>
        </w:rPr>
        <w:t>the fact that he had been in</w:t>
      </w:r>
      <w:r>
        <w:rPr>
          <w:lang w:val="en-GB"/>
        </w:rPr>
        <w:t xml:space="preserve"> contact with the Tamil Congress</w:t>
      </w:r>
      <w:r w:rsidR="00CE27A0">
        <w:rPr>
          <w:lang w:val="en-GB"/>
        </w:rPr>
        <w:t xml:space="preserve"> </w:t>
      </w:r>
      <w:r>
        <w:rPr>
          <w:lang w:val="en-GB"/>
        </w:rPr>
        <w:t>would result in hi</w:t>
      </w:r>
      <w:r w:rsidR="00CE27A0">
        <w:rPr>
          <w:lang w:val="en-GB"/>
        </w:rPr>
        <w:t>s</w:t>
      </w:r>
      <w:r>
        <w:rPr>
          <w:lang w:val="en-GB"/>
        </w:rPr>
        <w:t xml:space="preserve"> being arbitrarily detained and interrogated on the regrouping of LTTE abroad</w:t>
      </w:r>
      <w:r w:rsidRPr="00572C05">
        <w:rPr>
          <w:lang w:val="en-GB"/>
        </w:rPr>
        <w:t>.</w:t>
      </w:r>
      <w:r w:rsidR="00CB678E">
        <w:rPr>
          <w:lang w:val="en-GB"/>
        </w:rPr>
        <w:t xml:space="preserve"> </w:t>
      </w:r>
      <w:r w:rsidRPr="00572C05">
        <w:rPr>
          <w:lang w:val="en-GB"/>
        </w:rPr>
        <w:t>In this regard</w:t>
      </w:r>
      <w:r>
        <w:rPr>
          <w:lang w:val="en-GB"/>
        </w:rPr>
        <w:t xml:space="preserve">, the State party </w:t>
      </w:r>
      <w:r w:rsidR="001A7652">
        <w:rPr>
          <w:lang w:val="en-GB"/>
        </w:rPr>
        <w:t>submits that the complainant did not explain how or why th</w:t>
      </w:r>
      <w:r w:rsidR="00CE27A0">
        <w:rPr>
          <w:lang w:val="en-GB"/>
        </w:rPr>
        <w:t xml:space="preserve">at </w:t>
      </w:r>
      <w:r w:rsidR="001A7652">
        <w:rPr>
          <w:lang w:val="en-GB"/>
        </w:rPr>
        <w:t xml:space="preserve">would put him at risk of torture. The State party </w:t>
      </w:r>
      <w:r w:rsidR="005667F0">
        <w:rPr>
          <w:lang w:val="en-GB"/>
        </w:rPr>
        <w:t>also</w:t>
      </w:r>
      <w:r w:rsidR="001A7652">
        <w:rPr>
          <w:lang w:val="en-GB"/>
        </w:rPr>
        <w:t xml:space="preserve"> submits that the complainant’s Tamil ethnicity and alleged links with LTTE were thoroughly assessed and both the </w:t>
      </w:r>
      <w:r w:rsidR="005667F0">
        <w:rPr>
          <w:lang w:val="en-GB"/>
        </w:rPr>
        <w:t xml:space="preserve">Department of Immigration and Border Protection </w:t>
      </w:r>
      <w:r w:rsidR="001A7652">
        <w:rPr>
          <w:lang w:val="en-GB"/>
        </w:rPr>
        <w:t>and</w:t>
      </w:r>
      <w:r w:rsidR="005667F0">
        <w:rPr>
          <w:lang w:val="en-GB"/>
        </w:rPr>
        <w:t xml:space="preserve"> the Refugee Review</w:t>
      </w:r>
      <w:r w:rsidR="001A7652">
        <w:rPr>
          <w:lang w:val="en-GB"/>
        </w:rPr>
        <w:t xml:space="preserve"> Tribunal found that the </w:t>
      </w:r>
      <w:r w:rsidR="005667F0">
        <w:rPr>
          <w:lang w:val="en-GB"/>
        </w:rPr>
        <w:t>complainant</w:t>
      </w:r>
      <w:r w:rsidR="001A7652">
        <w:rPr>
          <w:lang w:val="en-GB"/>
        </w:rPr>
        <w:t xml:space="preserve"> did not have any form of connection with LTTE </w:t>
      </w:r>
      <w:r w:rsidR="005667F0">
        <w:rPr>
          <w:lang w:val="en-GB"/>
        </w:rPr>
        <w:t xml:space="preserve">nor </w:t>
      </w:r>
      <w:r w:rsidR="001A7652">
        <w:rPr>
          <w:lang w:val="en-GB"/>
        </w:rPr>
        <w:t xml:space="preserve">was </w:t>
      </w:r>
      <w:r w:rsidR="005667F0">
        <w:rPr>
          <w:lang w:val="en-GB"/>
        </w:rPr>
        <w:t>he</w:t>
      </w:r>
      <w:r w:rsidR="001A7652">
        <w:rPr>
          <w:lang w:val="en-GB"/>
        </w:rPr>
        <w:t xml:space="preserve"> suspected of such links </w:t>
      </w:r>
      <w:r w:rsidR="005667F0">
        <w:rPr>
          <w:lang w:val="en-GB"/>
        </w:rPr>
        <w:t>or</w:t>
      </w:r>
      <w:r w:rsidR="00E71BA9">
        <w:rPr>
          <w:lang w:val="en-GB"/>
        </w:rPr>
        <w:t xml:space="preserve"> </w:t>
      </w:r>
      <w:r w:rsidR="001A7652">
        <w:rPr>
          <w:lang w:val="en-GB"/>
        </w:rPr>
        <w:t>a criminal suspect.</w:t>
      </w:r>
    </w:p>
    <w:p w:rsidR="008D31E2" w:rsidRDefault="0026723E" w:rsidP="005667F0">
      <w:pPr>
        <w:pStyle w:val="SingleTxtG"/>
        <w:rPr>
          <w:lang w:val="en-GB"/>
        </w:rPr>
      </w:pPr>
      <w:r>
        <w:rPr>
          <w:lang w:val="en-GB"/>
        </w:rPr>
        <w:t>4.1</w:t>
      </w:r>
      <w:r w:rsidR="004F5298">
        <w:rPr>
          <w:lang w:val="en-GB"/>
        </w:rPr>
        <w:t>5</w:t>
      </w:r>
      <w:r>
        <w:rPr>
          <w:lang w:val="en-GB"/>
        </w:rPr>
        <w:tab/>
      </w:r>
      <w:r w:rsidR="00820A41">
        <w:rPr>
          <w:lang w:val="en-GB"/>
        </w:rPr>
        <w:t xml:space="preserve">Finally, with regard to the </w:t>
      </w:r>
      <w:r>
        <w:rPr>
          <w:lang w:val="en-GB"/>
        </w:rPr>
        <w:t>complainant’s claim that</w:t>
      </w:r>
      <w:r w:rsidR="00E71BA9">
        <w:rPr>
          <w:lang w:val="en-GB"/>
        </w:rPr>
        <w:t>,</w:t>
      </w:r>
      <w:r>
        <w:rPr>
          <w:lang w:val="en-GB"/>
        </w:rPr>
        <w:t xml:space="preserve"> </w:t>
      </w:r>
      <w:r w:rsidR="00820A41">
        <w:rPr>
          <w:lang w:val="en-GB"/>
        </w:rPr>
        <w:t xml:space="preserve">because he is </w:t>
      </w:r>
      <w:r>
        <w:rPr>
          <w:lang w:val="en-GB"/>
        </w:rPr>
        <w:t xml:space="preserve">a failed asylum seeker, he </w:t>
      </w:r>
      <w:r w:rsidR="00820A41">
        <w:rPr>
          <w:lang w:val="en-GB"/>
        </w:rPr>
        <w:t>w</w:t>
      </w:r>
      <w:r w:rsidR="005667F0">
        <w:rPr>
          <w:lang w:val="en-GB"/>
        </w:rPr>
        <w:t>ould</w:t>
      </w:r>
      <w:r w:rsidR="00820A41">
        <w:rPr>
          <w:lang w:val="en-GB"/>
        </w:rPr>
        <w:t xml:space="preserve"> be subjected to </w:t>
      </w:r>
      <w:r>
        <w:rPr>
          <w:lang w:val="en-GB"/>
        </w:rPr>
        <w:t>torture</w:t>
      </w:r>
      <w:r w:rsidR="00820A41">
        <w:rPr>
          <w:lang w:val="en-GB"/>
        </w:rPr>
        <w:t xml:space="preserve"> and </w:t>
      </w:r>
      <w:r>
        <w:rPr>
          <w:lang w:val="en-GB"/>
        </w:rPr>
        <w:t xml:space="preserve">killed if returned to Sri Lanka, the State party </w:t>
      </w:r>
      <w:r w:rsidR="00820A41">
        <w:rPr>
          <w:lang w:val="en-GB"/>
        </w:rPr>
        <w:t xml:space="preserve">notes </w:t>
      </w:r>
      <w:r>
        <w:rPr>
          <w:lang w:val="en-GB"/>
        </w:rPr>
        <w:t xml:space="preserve">that the complainant has not </w:t>
      </w:r>
      <w:r w:rsidR="00820A41">
        <w:rPr>
          <w:lang w:val="en-GB"/>
        </w:rPr>
        <w:t xml:space="preserve">provided any information in support of that claim. </w:t>
      </w:r>
      <w:r w:rsidR="005667F0">
        <w:rPr>
          <w:lang w:val="en-GB"/>
        </w:rPr>
        <w:t>T</w:t>
      </w:r>
      <w:r w:rsidR="00820A41">
        <w:rPr>
          <w:lang w:val="en-GB"/>
        </w:rPr>
        <w:t xml:space="preserve">he State party </w:t>
      </w:r>
      <w:r>
        <w:rPr>
          <w:lang w:val="en-GB"/>
        </w:rPr>
        <w:t>acknowledges that article 3</w:t>
      </w:r>
      <w:r w:rsidR="005667F0">
        <w:rPr>
          <w:lang w:val="en-GB"/>
        </w:rPr>
        <w:t xml:space="preserve"> </w:t>
      </w:r>
      <w:r>
        <w:rPr>
          <w:lang w:val="en-GB"/>
        </w:rPr>
        <w:t xml:space="preserve">(2) of the Convention requires </w:t>
      </w:r>
      <w:r w:rsidR="005667F0">
        <w:rPr>
          <w:lang w:val="en-GB"/>
        </w:rPr>
        <w:t xml:space="preserve">that </w:t>
      </w:r>
      <w:r>
        <w:rPr>
          <w:lang w:val="en-GB"/>
        </w:rPr>
        <w:t>all relevant considerations be taken into account when determining whether article 3</w:t>
      </w:r>
      <w:r w:rsidR="005667F0">
        <w:rPr>
          <w:lang w:val="en-GB"/>
        </w:rPr>
        <w:t xml:space="preserve"> </w:t>
      </w:r>
      <w:r>
        <w:rPr>
          <w:lang w:val="en-GB"/>
        </w:rPr>
        <w:t xml:space="preserve">(1) is engaged, including the existence in the State concerned of a consistent pattern of gross, flagrant or mass violations of human rights. </w:t>
      </w:r>
      <w:r w:rsidR="00820A41">
        <w:rPr>
          <w:lang w:val="en-GB"/>
        </w:rPr>
        <w:t xml:space="preserve">However, the State party notes that the existence of a general risk of violation does not constitute sufficient grounds for determining that a particular person would be in danger of being subjected to torture upon return to </w:t>
      </w:r>
      <w:r w:rsidR="005667F0">
        <w:rPr>
          <w:lang w:val="en-GB"/>
        </w:rPr>
        <w:t>a</w:t>
      </w:r>
      <w:r w:rsidR="00820A41">
        <w:rPr>
          <w:lang w:val="en-GB"/>
        </w:rPr>
        <w:t xml:space="preserve"> country.</w:t>
      </w:r>
      <w:r w:rsidR="00CB678E">
        <w:rPr>
          <w:lang w:val="en-GB"/>
        </w:rPr>
        <w:t xml:space="preserve"> </w:t>
      </w:r>
      <w:r w:rsidR="00820A41">
        <w:rPr>
          <w:lang w:val="en-GB"/>
        </w:rPr>
        <w:t xml:space="preserve">Additional grounds must exist to show </w:t>
      </w:r>
      <w:r w:rsidR="005667F0">
        <w:rPr>
          <w:lang w:val="en-GB"/>
        </w:rPr>
        <w:t xml:space="preserve">that </w:t>
      </w:r>
      <w:r w:rsidR="00820A41">
        <w:rPr>
          <w:lang w:val="en-GB"/>
        </w:rPr>
        <w:t xml:space="preserve">the individual concerned would be personally at </w:t>
      </w:r>
      <w:r w:rsidR="00820A41">
        <w:rPr>
          <w:lang w:val="en-GB"/>
        </w:rPr>
        <w:lastRenderedPageBreak/>
        <w:t>risk of torture.</w:t>
      </w:r>
      <w:r w:rsidR="006A15BC" w:rsidRPr="00153A7F">
        <w:rPr>
          <w:rStyle w:val="FootnoteReference"/>
        </w:rPr>
        <w:footnoteReference w:id="12"/>
      </w:r>
      <w:r w:rsidR="00D957D1">
        <w:rPr>
          <w:lang w:val="en-GB"/>
        </w:rPr>
        <w:t xml:space="preserve"> </w:t>
      </w:r>
      <w:r w:rsidR="005667F0">
        <w:rPr>
          <w:lang w:val="en-GB"/>
        </w:rPr>
        <w:t>T</w:t>
      </w:r>
      <w:r w:rsidR="008D31E2">
        <w:rPr>
          <w:lang w:val="en-GB"/>
        </w:rPr>
        <w:t>he State party maintains that the complainant has not established the existence of additional grounds to show that he is at a foreseeable, real and personal risk of torture if returned to Sri Lanka.</w:t>
      </w:r>
    </w:p>
    <w:p w:rsidR="008D31E2" w:rsidRDefault="008D31E2">
      <w:pPr>
        <w:pStyle w:val="SingleTxtG"/>
        <w:rPr>
          <w:lang w:val="en-GB"/>
        </w:rPr>
      </w:pPr>
      <w:r>
        <w:rPr>
          <w:lang w:val="en-GB"/>
        </w:rPr>
        <w:t>4.1</w:t>
      </w:r>
      <w:r w:rsidR="004F5298">
        <w:rPr>
          <w:lang w:val="en-GB"/>
        </w:rPr>
        <w:t>6</w:t>
      </w:r>
      <w:r>
        <w:rPr>
          <w:lang w:val="en-GB"/>
        </w:rPr>
        <w:tab/>
        <w:t xml:space="preserve">In addition, the State party submits that </w:t>
      </w:r>
      <w:r w:rsidR="00820A41">
        <w:rPr>
          <w:lang w:val="en-GB"/>
        </w:rPr>
        <w:t xml:space="preserve">the issues raised by the complainant relating to the human rights violations in and the </w:t>
      </w:r>
      <w:r w:rsidR="00E71BA9">
        <w:rPr>
          <w:lang w:val="en-GB"/>
        </w:rPr>
        <w:t>treatment of failed</w:t>
      </w:r>
      <w:r w:rsidR="00820A41">
        <w:rPr>
          <w:lang w:val="en-GB"/>
        </w:rPr>
        <w:t xml:space="preserve"> asylum seekers</w:t>
      </w:r>
      <w:r w:rsidR="00E71BA9">
        <w:rPr>
          <w:lang w:val="en-GB"/>
        </w:rPr>
        <w:t xml:space="preserve"> returned</w:t>
      </w:r>
      <w:r w:rsidR="00820A41">
        <w:rPr>
          <w:lang w:val="en-GB"/>
        </w:rPr>
        <w:t xml:space="preserve"> to Sri Lanka have been specifically and carefully considered by all domestic processes</w:t>
      </w:r>
      <w:r>
        <w:rPr>
          <w:lang w:val="en-GB"/>
        </w:rPr>
        <w:t>. In particular, during the</w:t>
      </w:r>
      <w:r w:rsidR="005667F0">
        <w:rPr>
          <w:lang w:val="en-GB"/>
        </w:rPr>
        <w:t xml:space="preserve"> </w:t>
      </w:r>
      <w:r>
        <w:rPr>
          <w:lang w:val="en-GB"/>
        </w:rPr>
        <w:t xml:space="preserve">complainant’s protection visa application review, material before the authorities included country information </w:t>
      </w:r>
      <w:r w:rsidR="005667F0">
        <w:rPr>
          <w:lang w:val="en-GB"/>
        </w:rPr>
        <w:t>from</w:t>
      </w:r>
      <w:r>
        <w:rPr>
          <w:lang w:val="en-GB"/>
        </w:rPr>
        <w:t xml:space="preserve"> </w:t>
      </w:r>
      <w:r w:rsidR="00E71BA9">
        <w:rPr>
          <w:lang w:val="en-GB"/>
        </w:rPr>
        <w:t>NGOs</w:t>
      </w:r>
      <w:r w:rsidR="005667F0">
        <w:rPr>
          <w:lang w:val="en-GB"/>
        </w:rPr>
        <w:t xml:space="preserve"> </w:t>
      </w:r>
      <w:r>
        <w:rPr>
          <w:lang w:val="en-GB"/>
        </w:rPr>
        <w:t>such as Amnesty International and Human Rights Watch as well as guidance from the Office of the United Nations High Commissioner for Refugees.</w:t>
      </w:r>
      <w:r w:rsidR="00FE2793" w:rsidRPr="00153A7F">
        <w:rPr>
          <w:rStyle w:val="FootnoteReference"/>
        </w:rPr>
        <w:footnoteReference w:id="13"/>
      </w:r>
    </w:p>
    <w:p w:rsidR="00AC668F" w:rsidRDefault="008D31E2">
      <w:pPr>
        <w:pStyle w:val="SingleTxtG"/>
        <w:rPr>
          <w:lang w:val="en-GB"/>
        </w:rPr>
      </w:pPr>
      <w:r>
        <w:rPr>
          <w:lang w:val="en-GB"/>
        </w:rPr>
        <w:t>4.1</w:t>
      </w:r>
      <w:r w:rsidR="004F5298">
        <w:rPr>
          <w:lang w:val="en-GB"/>
        </w:rPr>
        <w:t>7</w:t>
      </w:r>
      <w:r>
        <w:rPr>
          <w:lang w:val="en-GB"/>
        </w:rPr>
        <w:tab/>
        <w:t xml:space="preserve">Furthermore, the Refugee Review Tribunal considered a wide range of country information pertaining to Sri Lanka, including information specifically relating to </w:t>
      </w:r>
      <w:r w:rsidR="005259FC">
        <w:rPr>
          <w:lang w:val="en-GB"/>
        </w:rPr>
        <w:t xml:space="preserve">the </w:t>
      </w:r>
      <w:r w:rsidR="00C0334C">
        <w:rPr>
          <w:lang w:val="en-GB"/>
        </w:rPr>
        <w:t xml:space="preserve">risk of persecution of Tamils </w:t>
      </w:r>
      <w:r w:rsidR="005259FC">
        <w:rPr>
          <w:lang w:val="en-GB"/>
        </w:rPr>
        <w:t xml:space="preserve">in Sri Lanka </w:t>
      </w:r>
      <w:r w:rsidR="00C0334C">
        <w:rPr>
          <w:lang w:val="en-GB"/>
        </w:rPr>
        <w:t xml:space="preserve">and </w:t>
      </w:r>
      <w:r>
        <w:rPr>
          <w:lang w:val="en-GB"/>
        </w:rPr>
        <w:t>failed asylum seekers returning to Sri Lanka.</w:t>
      </w:r>
      <w:r w:rsidR="00CB678E">
        <w:rPr>
          <w:lang w:val="en-GB"/>
        </w:rPr>
        <w:t xml:space="preserve"> </w:t>
      </w:r>
      <w:r>
        <w:rPr>
          <w:lang w:val="en-GB"/>
        </w:rPr>
        <w:t>The Tribunal accepted that</w:t>
      </w:r>
      <w:r w:rsidR="00E71BA9">
        <w:rPr>
          <w:lang w:val="en-GB"/>
        </w:rPr>
        <w:t>,</w:t>
      </w:r>
      <w:r w:rsidR="00C0334C">
        <w:rPr>
          <w:lang w:val="en-GB"/>
        </w:rPr>
        <w:t xml:space="preserve"> at least up to the end of the civil war in May 2009, Sri Lankan citizens who were Tamils were at risk of persecutory harm by the authorities because of their Tamil ethnicity. The Tribunal also noted that the security situation ha</w:t>
      </w:r>
      <w:r w:rsidR="005259FC">
        <w:rPr>
          <w:lang w:val="en-GB"/>
        </w:rPr>
        <w:t>d</w:t>
      </w:r>
      <w:r w:rsidR="00C0334C">
        <w:rPr>
          <w:lang w:val="en-GB"/>
        </w:rPr>
        <w:t xml:space="preserve"> stabilized and the risks posed to Tamils </w:t>
      </w:r>
      <w:r w:rsidR="005259FC">
        <w:rPr>
          <w:lang w:val="en-GB"/>
        </w:rPr>
        <w:t>we</w:t>
      </w:r>
      <w:r w:rsidR="00C0334C">
        <w:rPr>
          <w:lang w:val="en-GB"/>
        </w:rPr>
        <w:t>re substantially reduced</w:t>
      </w:r>
      <w:r w:rsidR="005259FC">
        <w:rPr>
          <w:lang w:val="en-GB"/>
        </w:rPr>
        <w:t>,</w:t>
      </w:r>
      <w:r w:rsidR="00C0334C">
        <w:rPr>
          <w:lang w:val="en-GB"/>
        </w:rPr>
        <w:t xml:space="preserve"> as indicated in the 2010 UNHCR Eligibility Guidelines which no longer refer</w:t>
      </w:r>
      <w:r w:rsidR="005259FC">
        <w:rPr>
          <w:lang w:val="en-GB"/>
        </w:rPr>
        <w:t>red</w:t>
      </w:r>
      <w:r w:rsidR="00C0334C">
        <w:rPr>
          <w:lang w:val="en-GB"/>
        </w:rPr>
        <w:t xml:space="preserve"> to a presumption of eligibility for protection of Sri Lankans simply on the grounds that they </w:t>
      </w:r>
      <w:r w:rsidR="005259FC">
        <w:rPr>
          <w:lang w:val="en-GB"/>
        </w:rPr>
        <w:t>we</w:t>
      </w:r>
      <w:r w:rsidR="00C0334C">
        <w:rPr>
          <w:lang w:val="en-GB"/>
        </w:rPr>
        <w:t xml:space="preserve">re Tamils originating in the north of the country. The 2012 </w:t>
      </w:r>
      <w:r w:rsidR="005259FC">
        <w:rPr>
          <w:lang w:val="en-GB"/>
        </w:rPr>
        <w:t xml:space="preserve">UNHCR </w:t>
      </w:r>
      <w:r w:rsidR="00C0334C">
        <w:rPr>
          <w:lang w:val="en-GB"/>
        </w:rPr>
        <w:t>Eligibility Guidelines maintains the assessment set out in the 2010 Guidelines even though it caution</w:t>
      </w:r>
      <w:r w:rsidR="005259FC">
        <w:rPr>
          <w:lang w:val="en-GB"/>
        </w:rPr>
        <w:t>s</w:t>
      </w:r>
      <w:r w:rsidR="00C0334C">
        <w:rPr>
          <w:lang w:val="en-GB"/>
        </w:rPr>
        <w:t xml:space="preserve"> that a merits-based assessment </w:t>
      </w:r>
      <w:r w:rsidR="00DA44DE">
        <w:rPr>
          <w:lang w:val="en-GB"/>
        </w:rPr>
        <w:t>in relation to</w:t>
      </w:r>
      <w:r w:rsidR="00C0334C">
        <w:rPr>
          <w:lang w:val="en-GB"/>
        </w:rPr>
        <w:t xml:space="preserve"> individual circumstances is still necessary and that Tamil ethnicity and place of origin </w:t>
      </w:r>
      <w:r w:rsidR="00FC458A">
        <w:rPr>
          <w:lang w:val="en-GB"/>
        </w:rPr>
        <w:t>may</w:t>
      </w:r>
      <w:r w:rsidR="00C0334C">
        <w:rPr>
          <w:lang w:val="en-GB"/>
        </w:rPr>
        <w:t xml:space="preserve"> still be factors </w:t>
      </w:r>
      <w:r w:rsidR="005259FC">
        <w:rPr>
          <w:lang w:val="en-GB"/>
        </w:rPr>
        <w:t xml:space="preserve">that would </w:t>
      </w:r>
      <w:r w:rsidR="00C0334C">
        <w:rPr>
          <w:lang w:val="en-GB"/>
        </w:rPr>
        <w:t>increas</w:t>
      </w:r>
      <w:r w:rsidR="005259FC">
        <w:rPr>
          <w:lang w:val="en-GB"/>
        </w:rPr>
        <w:t>e</w:t>
      </w:r>
      <w:r w:rsidR="00C0334C">
        <w:rPr>
          <w:lang w:val="en-GB"/>
        </w:rPr>
        <w:t xml:space="preserve"> the vulnerability of persons with other risk profiles whose protection claims warrant particularly close attention and that the risk profiles listed should not be </w:t>
      </w:r>
      <w:r w:rsidR="005259FC">
        <w:rPr>
          <w:lang w:val="en-GB"/>
        </w:rPr>
        <w:t>considered</w:t>
      </w:r>
      <w:r w:rsidR="00C0334C">
        <w:rPr>
          <w:lang w:val="en-GB"/>
        </w:rPr>
        <w:t xml:space="preserve"> as exhaustive. </w:t>
      </w:r>
      <w:r w:rsidR="00AC668F">
        <w:rPr>
          <w:lang w:val="en-GB"/>
        </w:rPr>
        <w:t>The Tribunal did not find that the information before it indicate</w:t>
      </w:r>
      <w:r w:rsidR="005259FC">
        <w:rPr>
          <w:lang w:val="en-GB"/>
        </w:rPr>
        <w:t>d</w:t>
      </w:r>
      <w:r w:rsidR="00AC668F">
        <w:rPr>
          <w:lang w:val="en-GB"/>
        </w:rPr>
        <w:t xml:space="preserve"> that Sri Lankans who are</w:t>
      </w:r>
      <w:r w:rsidR="005259FC">
        <w:rPr>
          <w:lang w:val="en-GB"/>
        </w:rPr>
        <w:t xml:space="preserve"> of Tamil</w:t>
      </w:r>
      <w:r w:rsidR="00AC668F">
        <w:rPr>
          <w:lang w:val="en-GB"/>
        </w:rPr>
        <w:t xml:space="preserve"> ethnic</w:t>
      </w:r>
      <w:r w:rsidR="005259FC">
        <w:rPr>
          <w:lang w:val="en-GB"/>
        </w:rPr>
        <w:t>ity</w:t>
      </w:r>
      <w:r w:rsidR="00AC668F">
        <w:rPr>
          <w:lang w:val="en-GB"/>
        </w:rPr>
        <w:t>, whether or not they are from areas formerly under the control of LTTE, face</w:t>
      </w:r>
      <w:r w:rsidR="005259FC">
        <w:rPr>
          <w:lang w:val="en-GB"/>
        </w:rPr>
        <w:t>d</w:t>
      </w:r>
      <w:r w:rsidR="00AC668F">
        <w:rPr>
          <w:lang w:val="en-GB"/>
        </w:rPr>
        <w:t xml:space="preserve"> serious harm simply because of their ethnicity</w:t>
      </w:r>
      <w:r w:rsidR="005259FC">
        <w:rPr>
          <w:lang w:val="en-GB"/>
        </w:rPr>
        <w:t>,</w:t>
      </w:r>
      <w:r w:rsidR="00AC668F">
        <w:rPr>
          <w:lang w:val="en-GB"/>
        </w:rPr>
        <w:t xml:space="preserve"> or that the complainant face</w:t>
      </w:r>
      <w:r w:rsidR="005259FC">
        <w:rPr>
          <w:lang w:val="en-GB"/>
        </w:rPr>
        <w:t>d</w:t>
      </w:r>
      <w:r w:rsidR="00AC668F">
        <w:rPr>
          <w:lang w:val="en-GB"/>
        </w:rPr>
        <w:t xml:space="preserve"> a real </w:t>
      </w:r>
      <w:r w:rsidR="005259FC">
        <w:rPr>
          <w:lang w:val="en-GB"/>
        </w:rPr>
        <w:t>risk</w:t>
      </w:r>
      <w:r w:rsidR="00AC668F">
        <w:rPr>
          <w:lang w:val="en-GB"/>
        </w:rPr>
        <w:t xml:space="preserve"> of serious harm for such a reason.</w:t>
      </w:r>
    </w:p>
    <w:p w:rsidR="00FD7ACD" w:rsidRDefault="00F10C76" w:rsidP="00465F91">
      <w:pPr>
        <w:pStyle w:val="SingleTxtG"/>
        <w:rPr>
          <w:lang w:val="en-GB"/>
        </w:rPr>
      </w:pPr>
      <w:r>
        <w:rPr>
          <w:lang w:val="en-GB"/>
        </w:rPr>
        <w:t>4.1</w:t>
      </w:r>
      <w:r w:rsidR="004F5298">
        <w:rPr>
          <w:lang w:val="en-GB"/>
        </w:rPr>
        <w:t>8</w:t>
      </w:r>
      <w:r>
        <w:rPr>
          <w:lang w:val="en-GB"/>
        </w:rPr>
        <w:tab/>
      </w:r>
      <w:r w:rsidR="00AC668F">
        <w:rPr>
          <w:lang w:val="en-GB"/>
        </w:rPr>
        <w:t>The Tribunal accept</w:t>
      </w:r>
      <w:r w:rsidR="005259FC">
        <w:rPr>
          <w:lang w:val="en-GB"/>
        </w:rPr>
        <w:t>ed</w:t>
      </w:r>
      <w:r w:rsidR="00AC668F">
        <w:rPr>
          <w:lang w:val="en-GB"/>
        </w:rPr>
        <w:t xml:space="preserve"> that</w:t>
      </w:r>
      <w:r w:rsidR="005259FC">
        <w:rPr>
          <w:lang w:val="en-GB"/>
        </w:rPr>
        <w:t>,</w:t>
      </w:r>
      <w:r w:rsidR="00AC668F">
        <w:rPr>
          <w:lang w:val="en-GB"/>
        </w:rPr>
        <w:t xml:space="preserve"> </w:t>
      </w:r>
      <w:r w:rsidR="008D31E2">
        <w:rPr>
          <w:lang w:val="en-GB"/>
        </w:rPr>
        <w:t xml:space="preserve">since failed asylum seekers would have generally left Sri Lanka illegally, they would be dealt with </w:t>
      </w:r>
      <w:r w:rsidR="009D7FC1">
        <w:rPr>
          <w:lang w:val="en-GB"/>
        </w:rPr>
        <w:t xml:space="preserve">under the relevant </w:t>
      </w:r>
      <w:r w:rsidR="005259FC">
        <w:rPr>
          <w:lang w:val="en-GB"/>
        </w:rPr>
        <w:t xml:space="preserve">Sri Lankan </w:t>
      </w:r>
      <w:r w:rsidR="009D7FC1">
        <w:rPr>
          <w:lang w:val="en-GB"/>
        </w:rPr>
        <w:t xml:space="preserve">laws </w:t>
      </w:r>
      <w:r w:rsidR="005259FC">
        <w:rPr>
          <w:lang w:val="en-GB"/>
        </w:rPr>
        <w:t xml:space="preserve">that </w:t>
      </w:r>
      <w:r w:rsidR="008D31E2">
        <w:rPr>
          <w:lang w:val="en-GB"/>
        </w:rPr>
        <w:t>are of general application.</w:t>
      </w:r>
      <w:r w:rsidR="00CB678E">
        <w:rPr>
          <w:lang w:val="en-GB"/>
        </w:rPr>
        <w:t xml:space="preserve"> </w:t>
      </w:r>
      <w:r>
        <w:rPr>
          <w:lang w:val="en-GB"/>
        </w:rPr>
        <w:t xml:space="preserve">The Tribunal reviewed the submissions, the material cited in the </w:t>
      </w:r>
      <w:r w:rsidR="005C57BA">
        <w:rPr>
          <w:lang w:val="en-GB"/>
        </w:rPr>
        <w:t>complainant’s</w:t>
      </w:r>
      <w:r>
        <w:rPr>
          <w:lang w:val="en-GB"/>
        </w:rPr>
        <w:t xml:space="preserve"> decision record and UNHCR </w:t>
      </w:r>
      <w:r w:rsidR="005C57BA">
        <w:rPr>
          <w:lang w:val="en-GB"/>
        </w:rPr>
        <w:t xml:space="preserve">Eligibility </w:t>
      </w:r>
      <w:r>
        <w:rPr>
          <w:lang w:val="en-GB"/>
        </w:rPr>
        <w:t>Guidelines as well as considered personal risk factors.</w:t>
      </w:r>
      <w:r w:rsidR="00CB678E">
        <w:rPr>
          <w:lang w:val="en-GB"/>
        </w:rPr>
        <w:t xml:space="preserve"> </w:t>
      </w:r>
      <w:r w:rsidR="005C57BA">
        <w:rPr>
          <w:lang w:val="en-GB"/>
        </w:rPr>
        <w:t xml:space="preserve">It </w:t>
      </w:r>
      <w:r>
        <w:rPr>
          <w:lang w:val="en-GB"/>
        </w:rPr>
        <w:t>accept</w:t>
      </w:r>
      <w:r w:rsidR="005C57BA">
        <w:rPr>
          <w:lang w:val="en-GB"/>
        </w:rPr>
        <w:t>ed</w:t>
      </w:r>
      <w:r>
        <w:rPr>
          <w:lang w:val="en-GB"/>
        </w:rPr>
        <w:t xml:space="preserve"> that</w:t>
      </w:r>
      <w:r w:rsidR="00DA44DE">
        <w:rPr>
          <w:lang w:val="en-GB"/>
        </w:rPr>
        <w:t>,</w:t>
      </w:r>
      <w:r>
        <w:rPr>
          <w:lang w:val="en-GB"/>
        </w:rPr>
        <w:t xml:space="preserve"> in recent times</w:t>
      </w:r>
      <w:r w:rsidR="005C57BA">
        <w:rPr>
          <w:lang w:val="en-GB"/>
        </w:rPr>
        <w:t>,</w:t>
      </w:r>
      <w:r>
        <w:rPr>
          <w:lang w:val="en-GB"/>
        </w:rPr>
        <w:t xml:space="preserve"> some of those returned to Sri Lanka ha</w:t>
      </w:r>
      <w:r w:rsidR="005C57BA">
        <w:rPr>
          <w:lang w:val="en-GB"/>
        </w:rPr>
        <w:t>d</w:t>
      </w:r>
      <w:r>
        <w:rPr>
          <w:lang w:val="en-GB"/>
        </w:rPr>
        <w:t xml:space="preserve"> reportedly suffered torture and other abuses at the hands of the authorities</w:t>
      </w:r>
      <w:r w:rsidR="005C57BA">
        <w:rPr>
          <w:lang w:val="en-GB"/>
        </w:rPr>
        <w:t>,</w:t>
      </w:r>
      <w:r>
        <w:rPr>
          <w:lang w:val="en-GB"/>
        </w:rPr>
        <w:t xml:space="preserve"> but that th</w:t>
      </w:r>
      <w:r w:rsidR="005C57BA">
        <w:rPr>
          <w:lang w:val="en-GB"/>
        </w:rPr>
        <w:t>o</w:t>
      </w:r>
      <w:r>
        <w:rPr>
          <w:lang w:val="en-GB"/>
        </w:rPr>
        <w:t xml:space="preserve">se cases overwhelmingly involved people who had some form of connection to LTTE or who </w:t>
      </w:r>
      <w:r w:rsidR="005C57BA">
        <w:rPr>
          <w:lang w:val="en-GB"/>
        </w:rPr>
        <w:t>we</w:t>
      </w:r>
      <w:r>
        <w:rPr>
          <w:lang w:val="en-GB"/>
        </w:rPr>
        <w:t xml:space="preserve">re suspected of </w:t>
      </w:r>
      <w:r w:rsidR="00303F5A">
        <w:rPr>
          <w:lang w:val="en-GB"/>
        </w:rPr>
        <w:t xml:space="preserve">having </w:t>
      </w:r>
      <w:r>
        <w:rPr>
          <w:lang w:val="en-GB"/>
        </w:rPr>
        <w:t xml:space="preserve">such links or who </w:t>
      </w:r>
      <w:r w:rsidR="00303F5A">
        <w:rPr>
          <w:lang w:val="en-GB"/>
        </w:rPr>
        <w:t>we</w:t>
      </w:r>
      <w:r>
        <w:rPr>
          <w:lang w:val="en-GB"/>
        </w:rPr>
        <w:t xml:space="preserve">re criminal suspects. </w:t>
      </w:r>
      <w:r w:rsidR="008D31E2" w:rsidRPr="009D7FC1">
        <w:rPr>
          <w:lang w:val="en-GB"/>
        </w:rPr>
        <w:t xml:space="preserve">However, the Tribunal did not </w:t>
      </w:r>
      <w:r w:rsidR="00303F5A">
        <w:rPr>
          <w:lang w:val="en-GB"/>
        </w:rPr>
        <w:t>consider</w:t>
      </w:r>
      <w:r w:rsidR="008D31E2" w:rsidRPr="009D7FC1">
        <w:rPr>
          <w:lang w:val="en-GB"/>
        </w:rPr>
        <w:t xml:space="preserve"> that </w:t>
      </w:r>
      <w:r>
        <w:rPr>
          <w:lang w:val="en-GB"/>
        </w:rPr>
        <w:t>this would be the case for the complainant</w:t>
      </w:r>
      <w:r w:rsidR="00774017">
        <w:rPr>
          <w:lang w:val="en-GB"/>
        </w:rPr>
        <w:t>.</w:t>
      </w:r>
      <w:r w:rsidR="00CB678E">
        <w:rPr>
          <w:lang w:val="en-GB"/>
        </w:rPr>
        <w:t xml:space="preserve"> </w:t>
      </w:r>
      <w:r w:rsidR="00C9540E">
        <w:rPr>
          <w:lang w:val="en-GB"/>
        </w:rPr>
        <w:t xml:space="preserve">In the light </w:t>
      </w:r>
      <w:r w:rsidR="00774017">
        <w:rPr>
          <w:lang w:val="en-GB"/>
        </w:rPr>
        <w:t xml:space="preserve">of the </w:t>
      </w:r>
      <w:r w:rsidR="00774017" w:rsidRPr="00774017">
        <w:rPr>
          <w:lang w:val="en-GB"/>
        </w:rPr>
        <w:t xml:space="preserve">country information </w:t>
      </w:r>
      <w:r w:rsidR="00C9540E">
        <w:rPr>
          <w:lang w:val="en-GB"/>
        </w:rPr>
        <w:t xml:space="preserve">available </w:t>
      </w:r>
      <w:r w:rsidR="00774017" w:rsidRPr="00774017">
        <w:rPr>
          <w:lang w:val="en-GB"/>
        </w:rPr>
        <w:t xml:space="preserve">and </w:t>
      </w:r>
      <w:r w:rsidR="00C9540E">
        <w:rPr>
          <w:lang w:val="en-GB"/>
        </w:rPr>
        <w:t xml:space="preserve">the complainant’s </w:t>
      </w:r>
      <w:r w:rsidR="00774017" w:rsidRPr="00774017">
        <w:rPr>
          <w:lang w:val="en-GB"/>
        </w:rPr>
        <w:t>personal circumstances</w:t>
      </w:r>
      <w:r w:rsidR="00774017">
        <w:rPr>
          <w:lang w:val="en-GB"/>
        </w:rPr>
        <w:t xml:space="preserve">, </w:t>
      </w:r>
      <w:r w:rsidR="00C9540E">
        <w:rPr>
          <w:lang w:val="en-GB"/>
        </w:rPr>
        <w:t xml:space="preserve">the Tribunal </w:t>
      </w:r>
      <w:r w:rsidR="00774017">
        <w:rPr>
          <w:lang w:val="en-GB"/>
        </w:rPr>
        <w:t xml:space="preserve">concluded that the </w:t>
      </w:r>
      <w:r>
        <w:rPr>
          <w:lang w:val="en-GB"/>
        </w:rPr>
        <w:t xml:space="preserve">complainant </w:t>
      </w:r>
      <w:r w:rsidR="00FD7ACD">
        <w:rPr>
          <w:lang w:val="en-GB"/>
        </w:rPr>
        <w:t>would not suffer harm on return to S</w:t>
      </w:r>
      <w:r w:rsidR="00ED58C4">
        <w:rPr>
          <w:lang w:val="en-GB"/>
        </w:rPr>
        <w:t>ri L</w:t>
      </w:r>
      <w:r w:rsidR="00FD7ACD">
        <w:rPr>
          <w:lang w:val="en-GB"/>
        </w:rPr>
        <w:t xml:space="preserve">anka </w:t>
      </w:r>
      <w:r w:rsidR="00C9540E">
        <w:rPr>
          <w:lang w:val="en-GB"/>
        </w:rPr>
        <w:t xml:space="preserve">owing to the fact that </w:t>
      </w:r>
      <w:r w:rsidR="00FD7ACD">
        <w:rPr>
          <w:lang w:val="en-GB"/>
        </w:rPr>
        <w:t>he had unsuccessfully sought a protection visa in Austr</w:t>
      </w:r>
      <w:r w:rsidR="00ED58C4">
        <w:rPr>
          <w:lang w:val="en-GB"/>
        </w:rPr>
        <w:t>a</w:t>
      </w:r>
      <w:r w:rsidR="00FD7ACD">
        <w:rPr>
          <w:lang w:val="en-GB"/>
        </w:rPr>
        <w:t xml:space="preserve">lia or </w:t>
      </w:r>
      <w:r w:rsidR="00C9540E">
        <w:rPr>
          <w:lang w:val="en-GB"/>
        </w:rPr>
        <w:t xml:space="preserve">that he was </w:t>
      </w:r>
      <w:r w:rsidR="00465F91">
        <w:rPr>
          <w:lang w:val="en-GB"/>
        </w:rPr>
        <w:t>part of the</w:t>
      </w:r>
      <w:r w:rsidR="00774017">
        <w:rPr>
          <w:lang w:val="en-GB"/>
        </w:rPr>
        <w:t xml:space="preserve"> </w:t>
      </w:r>
      <w:r w:rsidR="00FD7ACD">
        <w:rPr>
          <w:lang w:val="en-GB"/>
        </w:rPr>
        <w:t xml:space="preserve">particular </w:t>
      </w:r>
      <w:r w:rsidR="00465F91">
        <w:rPr>
          <w:lang w:val="en-GB"/>
        </w:rPr>
        <w:t xml:space="preserve">social </w:t>
      </w:r>
      <w:r w:rsidR="00FD7ACD">
        <w:rPr>
          <w:lang w:val="en-GB"/>
        </w:rPr>
        <w:t xml:space="preserve">group of failed asylum seekers. </w:t>
      </w:r>
      <w:r w:rsidR="00774017">
        <w:rPr>
          <w:lang w:val="en-GB"/>
        </w:rPr>
        <w:t>The Tribunal</w:t>
      </w:r>
      <w:r w:rsidR="00FD7ACD">
        <w:rPr>
          <w:lang w:val="en-GB"/>
        </w:rPr>
        <w:t xml:space="preserve"> reviewed </w:t>
      </w:r>
      <w:r w:rsidR="00C80358">
        <w:rPr>
          <w:lang w:val="en-GB"/>
        </w:rPr>
        <w:t xml:space="preserve">the </w:t>
      </w:r>
      <w:r w:rsidR="00FD7ACD">
        <w:rPr>
          <w:lang w:val="en-GB"/>
        </w:rPr>
        <w:t>reports provided by the Department of Foreign Affairs and Trade</w:t>
      </w:r>
      <w:r w:rsidR="00C80358">
        <w:rPr>
          <w:lang w:val="en-GB"/>
        </w:rPr>
        <w:t xml:space="preserve"> and</w:t>
      </w:r>
      <w:r w:rsidR="00FD7ACD">
        <w:rPr>
          <w:lang w:val="en-GB"/>
        </w:rPr>
        <w:t xml:space="preserve"> </w:t>
      </w:r>
      <w:r w:rsidR="00C80358">
        <w:rPr>
          <w:lang w:val="en-GB"/>
        </w:rPr>
        <w:t>did</w:t>
      </w:r>
      <w:r w:rsidR="00774017">
        <w:rPr>
          <w:lang w:val="en-GB"/>
        </w:rPr>
        <w:t xml:space="preserve"> not </w:t>
      </w:r>
      <w:r w:rsidR="00C80358">
        <w:rPr>
          <w:lang w:val="en-GB"/>
        </w:rPr>
        <w:t xml:space="preserve">consider </w:t>
      </w:r>
      <w:r w:rsidR="00FD7ACD">
        <w:rPr>
          <w:lang w:val="en-GB"/>
        </w:rPr>
        <w:t xml:space="preserve">that the treatment </w:t>
      </w:r>
      <w:r w:rsidR="00B25808">
        <w:rPr>
          <w:lang w:val="en-GB"/>
        </w:rPr>
        <w:t xml:space="preserve">of </w:t>
      </w:r>
      <w:r w:rsidR="00FD7ACD">
        <w:rPr>
          <w:lang w:val="en-GB"/>
        </w:rPr>
        <w:t>returnees</w:t>
      </w:r>
      <w:r w:rsidR="00C80358">
        <w:rPr>
          <w:lang w:val="en-GB"/>
        </w:rPr>
        <w:t xml:space="preserve"> who had left</w:t>
      </w:r>
      <w:r w:rsidR="00FD7ACD">
        <w:rPr>
          <w:lang w:val="en-GB"/>
        </w:rPr>
        <w:t xml:space="preserve"> Sri Lanka </w:t>
      </w:r>
      <w:r w:rsidR="00C80358">
        <w:rPr>
          <w:lang w:val="en-GB"/>
        </w:rPr>
        <w:t>illegally</w:t>
      </w:r>
      <w:r w:rsidR="00FD7ACD">
        <w:rPr>
          <w:lang w:val="en-GB"/>
        </w:rPr>
        <w:t>, either</w:t>
      </w:r>
      <w:r w:rsidR="00C80358">
        <w:rPr>
          <w:lang w:val="en-GB"/>
        </w:rPr>
        <w:t xml:space="preserve"> upon arrival</w:t>
      </w:r>
      <w:r w:rsidR="00FD7ACD">
        <w:rPr>
          <w:lang w:val="en-GB"/>
        </w:rPr>
        <w:t xml:space="preserve"> at the airport</w:t>
      </w:r>
      <w:r w:rsidR="00C80358">
        <w:rPr>
          <w:lang w:val="en-GB"/>
        </w:rPr>
        <w:t xml:space="preserve"> or while held </w:t>
      </w:r>
      <w:r w:rsidR="00465F91">
        <w:rPr>
          <w:lang w:val="en-GB"/>
        </w:rPr>
        <w:t>i</w:t>
      </w:r>
      <w:r w:rsidR="00FD7ACD">
        <w:rPr>
          <w:lang w:val="en-GB"/>
        </w:rPr>
        <w:t xml:space="preserve">n remand awaiting a bail hearing or when </w:t>
      </w:r>
      <w:r w:rsidR="00C80358">
        <w:rPr>
          <w:lang w:val="en-GB"/>
        </w:rPr>
        <w:t>before</w:t>
      </w:r>
      <w:r w:rsidR="00FD7ACD">
        <w:rPr>
          <w:lang w:val="en-GB"/>
        </w:rPr>
        <w:t xml:space="preserve"> the courts, </w:t>
      </w:r>
      <w:r w:rsidR="00C80358">
        <w:rPr>
          <w:lang w:val="en-GB"/>
        </w:rPr>
        <w:t xml:space="preserve">could </w:t>
      </w:r>
      <w:r w:rsidR="00FD7ACD">
        <w:rPr>
          <w:lang w:val="en-GB"/>
        </w:rPr>
        <w:t>reasonable be seen as constituting serious harm amounting to persecution.</w:t>
      </w:r>
      <w:r w:rsidR="00CB678E">
        <w:rPr>
          <w:lang w:val="en-GB"/>
        </w:rPr>
        <w:t xml:space="preserve"> </w:t>
      </w:r>
    </w:p>
    <w:p w:rsidR="00FD7ACD" w:rsidRDefault="00774017" w:rsidP="006C0B4A">
      <w:pPr>
        <w:pStyle w:val="SingleTxtG"/>
        <w:keepLines/>
        <w:rPr>
          <w:lang w:val="en-GB"/>
        </w:rPr>
      </w:pPr>
      <w:r>
        <w:rPr>
          <w:lang w:val="en-GB"/>
        </w:rPr>
        <w:lastRenderedPageBreak/>
        <w:t>4.</w:t>
      </w:r>
      <w:r w:rsidR="004F5298">
        <w:rPr>
          <w:lang w:val="en-GB"/>
        </w:rPr>
        <w:t>19</w:t>
      </w:r>
      <w:r>
        <w:rPr>
          <w:lang w:val="en-GB"/>
        </w:rPr>
        <w:tab/>
        <w:t xml:space="preserve">In summary, the Tribunal </w:t>
      </w:r>
      <w:r w:rsidR="00C80358">
        <w:rPr>
          <w:lang w:val="en-GB"/>
        </w:rPr>
        <w:t>did not consider</w:t>
      </w:r>
      <w:r w:rsidR="00224277">
        <w:rPr>
          <w:lang w:val="en-GB"/>
        </w:rPr>
        <w:t xml:space="preserve"> that the</w:t>
      </w:r>
      <w:r w:rsidR="00CB678E">
        <w:rPr>
          <w:lang w:val="en-GB"/>
        </w:rPr>
        <w:t xml:space="preserve"> </w:t>
      </w:r>
      <w:r w:rsidR="00C80358">
        <w:rPr>
          <w:lang w:val="en-GB"/>
        </w:rPr>
        <w:t>complainant ran</w:t>
      </w:r>
      <w:r w:rsidR="00224277">
        <w:rPr>
          <w:lang w:val="en-GB"/>
        </w:rPr>
        <w:t xml:space="preserve"> a real </w:t>
      </w:r>
      <w:r w:rsidR="00C80358">
        <w:rPr>
          <w:lang w:val="en-GB"/>
        </w:rPr>
        <w:t>risk,</w:t>
      </w:r>
      <w:r w:rsidR="00224277">
        <w:rPr>
          <w:lang w:val="en-GB"/>
        </w:rPr>
        <w:t xml:space="preserve"> on return</w:t>
      </w:r>
      <w:r w:rsidR="00527F7C">
        <w:rPr>
          <w:lang w:val="en-GB"/>
        </w:rPr>
        <w:t xml:space="preserve"> to Sri L</w:t>
      </w:r>
      <w:r w:rsidR="00224277">
        <w:rPr>
          <w:lang w:val="en-GB"/>
        </w:rPr>
        <w:t>anka</w:t>
      </w:r>
      <w:r w:rsidR="00C80358">
        <w:rPr>
          <w:lang w:val="en-GB"/>
        </w:rPr>
        <w:t>, of</w:t>
      </w:r>
      <w:r w:rsidR="00224277">
        <w:rPr>
          <w:lang w:val="en-GB"/>
        </w:rPr>
        <w:t xml:space="preserve"> suffer</w:t>
      </w:r>
      <w:r w:rsidR="00C80358">
        <w:rPr>
          <w:lang w:val="en-GB"/>
        </w:rPr>
        <w:t>ing</w:t>
      </w:r>
      <w:r w:rsidR="00224277">
        <w:rPr>
          <w:lang w:val="en-GB"/>
        </w:rPr>
        <w:t xml:space="preserve"> serious harm </w:t>
      </w:r>
      <w:r w:rsidR="00C80358">
        <w:rPr>
          <w:lang w:val="en-GB"/>
        </w:rPr>
        <w:t xml:space="preserve">that would </w:t>
      </w:r>
      <w:r w:rsidR="00224277">
        <w:rPr>
          <w:lang w:val="en-GB"/>
        </w:rPr>
        <w:t>amount to persecution</w:t>
      </w:r>
      <w:r w:rsidR="00527F7C">
        <w:rPr>
          <w:lang w:val="en-GB"/>
        </w:rPr>
        <w:t xml:space="preserve"> </w:t>
      </w:r>
      <w:r w:rsidR="00C80358">
        <w:rPr>
          <w:lang w:val="en-GB"/>
        </w:rPr>
        <w:t xml:space="preserve">because </w:t>
      </w:r>
      <w:r w:rsidR="00527F7C">
        <w:rPr>
          <w:lang w:val="en-GB"/>
        </w:rPr>
        <w:t>of his Tamil ethnicity</w:t>
      </w:r>
      <w:r w:rsidR="00B80263">
        <w:rPr>
          <w:lang w:val="en-GB"/>
        </w:rPr>
        <w:t xml:space="preserve">, </w:t>
      </w:r>
      <w:r w:rsidR="00C80358">
        <w:rPr>
          <w:lang w:val="en-GB"/>
        </w:rPr>
        <w:t>the</w:t>
      </w:r>
      <w:r w:rsidR="00B80263">
        <w:rPr>
          <w:lang w:val="en-GB"/>
        </w:rPr>
        <w:t xml:space="preserve"> political opinion </w:t>
      </w:r>
      <w:r w:rsidR="00C80358">
        <w:rPr>
          <w:lang w:val="en-GB"/>
        </w:rPr>
        <w:t xml:space="preserve">imputed to him </w:t>
      </w:r>
      <w:r w:rsidR="00B80263">
        <w:rPr>
          <w:lang w:val="en-GB"/>
        </w:rPr>
        <w:t xml:space="preserve">or </w:t>
      </w:r>
      <w:r w:rsidR="00C80358">
        <w:rPr>
          <w:lang w:val="en-GB"/>
        </w:rPr>
        <w:t xml:space="preserve">the fact that he is part of </w:t>
      </w:r>
      <w:r w:rsidR="00465F91">
        <w:rPr>
          <w:lang w:val="en-GB"/>
        </w:rPr>
        <w:t>the</w:t>
      </w:r>
      <w:r w:rsidR="00B80263">
        <w:rPr>
          <w:lang w:val="en-GB"/>
        </w:rPr>
        <w:t xml:space="preserve"> particular social group</w:t>
      </w:r>
      <w:r w:rsidR="00C80358">
        <w:rPr>
          <w:lang w:val="en-GB"/>
        </w:rPr>
        <w:t xml:space="preserve"> </w:t>
      </w:r>
      <w:r w:rsidR="00465F91">
        <w:rPr>
          <w:lang w:val="en-GB"/>
        </w:rPr>
        <w:t xml:space="preserve">of </w:t>
      </w:r>
      <w:r w:rsidR="00C80358">
        <w:rPr>
          <w:lang w:val="en-GB"/>
        </w:rPr>
        <w:t>failed asylum seekers</w:t>
      </w:r>
      <w:r w:rsidR="00B80263">
        <w:rPr>
          <w:lang w:val="en-GB"/>
        </w:rPr>
        <w:t xml:space="preserve">. </w:t>
      </w:r>
      <w:r w:rsidR="00C80358">
        <w:rPr>
          <w:lang w:val="en-GB"/>
        </w:rPr>
        <w:t>The complainant</w:t>
      </w:r>
      <w:r w:rsidR="00B80263">
        <w:rPr>
          <w:lang w:val="en-GB"/>
        </w:rPr>
        <w:t xml:space="preserve"> does not claim to fear harm for any other Convention reason and no other reason is apparent </w:t>
      </w:r>
      <w:r w:rsidR="001D6A8A">
        <w:rPr>
          <w:lang w:val="en-GB"/>
        </w:rPr>
        <w:t>from</w:t>
      </w:r>
      <w:r w:rsidR="00B80263">
        <w:rPr>
          <w:lang w:val="en-GB"/>
        </w:rPr>
        <w:t xml:space="preserve"> the information before the Tribunal.</w:t>
      </w:r>
      <w:r w:rsidR="00CB678E">
        <w:rPr>
          <w:lang w:val="en-GB"/>
        </w:rPr>
        <w:t xml:space="preserve"> </w:t>
      </w:r>
      <w:r>
        <w:rPr>
          <w:lang w:val="en-GB"/>
        </w:rPr>
        <w:t xml:space="preserve">The Tribunal also </w:t>
      </w:r>
      <w:r w:rsidR="001D6A8A">
        <w:rPr>
          <w:lang w:val="en-GB"/>
        </w:rPr>
        <w:t xml:space="preserve">did </w:t>
      </w:r>
      <w:r>
        <w:rPr>
          <w:lang w:val="en-GB"/>
        </w:rPr>
        <w:t>n</w:t>
      </w:r>
      <w:r w:rsidR="00B80263">
        <w:rPr>
          <w:lang w:val="en-GB"/>
        </w:rPr>
        <w:t xml:space="preserve">ot </w:t>
      </w:r>
      <w:r w:rsidR="001D6A8A">
        <w:rPr>
          <w:lang w:val="en-GB"/>
        </w:rPr>
        <w:t>consider</w:t>
      </w:r>
      <w:r w:rsidR="00B80263">
        <w:rPr>
          <w:lang w:val="en-GB"/>
        </w:rPr>
        <w:t xml:space="preserve"> that the </w:t>
      </w:r>
      <w:r w:rsidR="00481D82">
        <w:rPr>
          <w:lang w:val="en-GB"/>
        </w:rPr>
        <w:t>c</w:t>
      </w:r>
      <w:r w:rsidR="00B80263">
        <w:rPr>
          <w:lang w:val="en-GB"/>
        </w:rPr>
        <w:t>omplain</w:t>
      </w:r>
      <w:r>
        <w:rPr>
          <w:lang w:val="en-GB"/>
        </w:rPr>
        <w:t>ant</w:t>
      </w:r>
      <w:r w:rsidR="00B80263">
        <w:rPr>
          <w:lang w:val="en-GB"/>
        </w:rPr>
        <w:t xml:space="preserve"> ha</w:t>
      </w:r>
      <w:r w:rsidR="001D6A8A">
        <w:rPr>
          <w:lang w:val="en-GB"/>
        </w:rPr>
        <w:t>d</w:t>
      </w:r>
      <w:r w:rsidR="00B80263">
        <w:rPr>
          <w:lang w:val="en-GB"/>
        </w:rPr>
        <w:t xml:space="preserve"> a well-founded fear of persecution for a Convention </w:t>
      </w:r>
      <w:r>
        <w:rPr>
          <w:lang w:val="en-GB"/>
        </w:rPr>
        <w:t xml:space="preserve">reason </w:t>
      </w:r>
      <w:r w:rsidR="001D6A8A">
        <w:rPr>
          <w:lang w:val="en-GB"/>
        </w:rPr>
        <w:t xml:space="preserve">upon </w:t>
      </w:r>
      <w:r>
        <w:rPr>
          <w:lang w:val="en-GB"/>
        </w:rPr>
        <w:t>return to Sri L</w:t>
      </w:r>
      <w:r w:rsidR="00B80263">
        <w:rPr>
          <w:lang w:val="en-GB"/>
        </w:rPr>
        <w:t>anka</w:t>
      </w:r>
      <w:r w:rsidR="00FC1D69">
        <w:rPr>
          <w:lang w:val="en-GB"/>
        </w:rPr>
        <w:t>, either</w:t>
      </w:r>
      <w:r w:rsidR="00B80263">
        <w:rPr>
          <w:lang w:val="en-GB"/>
        </w:rPr>
        <w:t xml:space="preserve"> now or in the reasonably foresee</w:t>
      </w:r>
      <w:r w:rsidR="007646F9">
        <w:rPr>
          <w:lang w:val="en-GB"/>
        </w:rPr>
        <w:t>able</w:t>
      </w:r>
      <w:r w:rsidR="00B80263">
        <w:rPr>
          <w:lang w:val="en-GB"/>
        </w:rPr>
        <w:t xml:space="preserve"> future, </w:t>
      </w:r>
      <w:r>
        <w:rPr>
          <w:lang w:val="en-GB"/>
        </w:rPr>
        <w:t xml:space="preserve">or that </w:t>
      </w:r>
      <w:r w:rsidR="00B80263">
        <w:rPr>
          <w:lang w:val="en-GB"/>
        </w:rPr>
        <w:t xml:space="preserve">he </w:t>
      </w:r>
      <w:r w:rsidR="001D6A8A">
        <w:rPr>
          <w:lang w:val="en-GB"/>
        </w:rPr>
        <w:t>wa</w:t>
      </w:r>
      <w:r w:rsidR="00B80263">
        <w:rPr>
          <w:lang w:val="en-GB"/>
        </w:rPr>
        <w:t>s a refugee</w:t>
      </w:r>
      <w:r w:rsidR="001D6A8A">
        <w:rPr>
          <w:lang w:val="en-GB"/>
        </w:rPr>
        <w:t xml:space="preserve"> in need of protection</w:t>
      </w:r>
      <w:r w:rsidR="00B80263">
        <w:rPr>
          <w:lang w:val="en-GB"/>
        </w:rPr>
        <w:t>.</w:t>
      </w:r>
      <w:r w:rsidR="00CB678E">
        <w:rPr>
          <w:lang w:val="en-GB"/>
        </w:rPr>
        <w:t xml:space="preserve"> </w:t>
      </w:r>
    </w:p>
    <w:p w:rsidR="00820A41" w:rsidRPr="009F5813" w:rsidRDefault="009750E7">
      <w:pPr>
        <w:pStyle w:val="SingleTxtG"/>
        <w:rPr>
          <w:lang w:val="en-GB"/>
        </w:rPr>
      </w:pPr>
      <w:r w:rsidRPr="009F5813">
        <w:rPr>
          <w:lang w:val="en-GB"/>
        </w:rPr>
        <w:t>4.</w:t>
      </w:r>
      <w:r w:rsidR="00FB37B0" w:rsidRPr="009F5813">
        <w:rPr>
          <w:lang w:val="en-GB"/>
        </w:rPr>
        <w:t>2</w:t>
      </w:r>
      <w:r w:rsidR="004F5298">
        <w:rPr>
          <w:lang w:val="en-GB"/>
        </w:rPr>
        <w:t>0</w:t>
      </w:r>
      <w:r w:rsidRPr="009F5813">
        <w:rPr>
          <w:lang w:val="en-GB"/>
        </w:rPr>
        <w:tab/>
        <w:t xml:space="preserve">Moreover, </w:t>
      </w:r>
      <w:r w:rsidR="00FC1D69" w:rsidRPr="009F5813">
        <w:rPr>
          <w:lang w:val="en-GB"/>
        </w:rPr>
        <w:t>the country information provided by the Department of Foreign Affairs and Trade was considered</w:t>
      </w:r>
      <w:r w:rsidR="00FC1D69">
        <w:rPr>
          <w:lang w:val="en-GB"/>
        </w:rPr>
        <w:t xml:space="preserve"> </w:t>
      </w:r>
      <w:r w:rsidR="001D6A8A">
        <w:rPr>
          <w:lang w:val="en-GB"/>
        </w:rPr>
        <w:t>in</w:t>
      </w:r>
      <w:r w:rsidRPr="009F5813">
        <w:rPr>
          <w:lang w:val="en-GB"/>
        </w:rPr>
        <w:t xml:space="preserve"> the assessments of the complainant’s requests for ministerial intervention</w:t>
      </w:r>
      <w:r w:rsidR="001D6A8A">
        <w:rPr>
          <w:lang w:val="en-GB"/>
        </w:rPr>
        <w:t>. It</w:t>
      </w:r>
      <w:r w:rsidRPr="009F5813">
        <w:rPr>
          <w:lang w:val="en-GB"/>
        </w:rPr>
        <w:t xml:space="preserve"> was verified that, </w:t>
      </w:r>
      <w:r w:rsidR="001D6A8A">
        <w:rPr>
          <w:lang w:val="en-GB"/>
        </w:rPr>
        <w:t>although</w:t>
      </w:r>
      <w:r w:rsidRPr="009F5813">
        <w:rPr>
          <w:lang w:val="en-GB"/>
        </w:rPr>
        <w:t xml:space="preserve"> failed asylum seekers are detained on return to Sri Lanka under </w:t>
      </w:r>
      <w:r w:rsidR="001D6A8A">
        <w:rPr>
          <w:lang w:val="en-GB"/>
        </w:rPr>
        <w:t xml:space="preserve">the </w:t>
      </w:r>
      <w:r w:rsidRPr="009F5813">
        <w:rPr>
          <w:lang w:val="en-GB"/>
        </w:rPr>
        <w:t xml:space="preserve">laws relating to leaving the country illegally, all persons are granted bail if a family member stands as guarantor, with no discrimination </w:t>
      </w:r>
      <w:r w:rsidR="001D6A8A">
        <w:rPr>
          <w:lang w:val="en-GB"/>
        </w:rPr>
        <w:t>as to</w:t>
      </w:r>
      <w:r w:rsidRPr="009F5813">
        <w:rPr>
          <w:lang w:val="en-GB"/>
        </w:rPr>
        <w:t xml:space="preserve"> ethnicity or religion. It was noted that the complainant has family </w:t>
      </w:r>
      <w:r w:rsidR="001D6A8A">
        <w:rPr>
          <w:lang w:val="en-GB"/>
        </w:rPr>
        <w:t>—</w:t>
      </w:r>
      <w:r w:rsidR="00302936" w:rsidRPr="009F5813">
        <w:rPr>
          <w:lang w:val="en-GB"/>
        </w:rPr>
        <w:t xml:space="preserve"> his mother and seven siblings </w:t>
      </w:r>
      <w:r w:rsidR="001D6A8A">
        <w:rPr>
          <w:lang w:val="en-GB"/>
        </w:rPr>
        <w:t>—</w:t>
      </w:r>
      <w:r w:rsidR="00302936" w:rsidRPr="009F5813">
        <w:rPr>
          <w:lang w:val="en-GB"/>
        </w:rPr>
        <w:t xml:space="preserve"> residing in Sri Lanka who can assist him</w:t>
      </w:r>
      <w:r w:rsidR="001D6A8A">
        <w:rPr>
          <w:lang w:val="en-GB"/>
        </w:rPr>
        <w:t>. T</w:t>
      </w:r>
      <w:r w:rsidRPr="009F5813">
        <w:rPr>
          <w:lang w:val="en-GB"/>
        </w:rPr>
        <w:t>here is no information to indicate that he would not be granted bail or that he would be discriminated against or tortured because he is a failed asylum seeker and/or Tamil.</w:t>
      </w:r>
    </w:p>
    <w:p w:rsidR="009D7FC1" w:rsidRPr="009F5813" w:rsidRDefault="00153A7F" w:rsidP="008078E6">
      <w:pPr>
        <w:pStyle w:val="H23G"/>
      </w:pPr>
      <w:r>
        <w:tab/>
      </w:r>
      <w:r>
        <w:tab/>
      </w:r>
      <w:r w:rsidR="00AF31E3" w:rsidRPr="009F5813">
        <w:t>Complainant’s comments on the State party’s observations</w:t>
      </w:r>
    </w:p>
    <w:p w:rsidR="00DE1071" w:rsidRDefault="00AF31E3">
      <w:pPr>
        <w:pStyle w:val="SingleTxtG"/>
        <w:rPr>
          <w:lang w:val="en-GB"/>
        </w:rPr>
      </w:pPr>
      <w:r>
        <w:rPr>
          <w:lang w:val="en-GB"/>
        </w:rPr>
        <w:t>5.1</w:t>
      </w:r>
      <w:r>
        <w:rPr>
          <w:lang w:val="en-GB"/>
        </w:rPr>
        <w:tab/>
      </w:r>
      <w:r w:rsidR="00DE1071">
        <w:rPr>
          <w:lang w:val="en-GB"/>
        </w:rPr>
        <w:t xml:space="preserve">On 4 February 2015, </w:t>
      </w:r>
      <w:r w:rsidR="00465F91">
        <w:rPr>
          <w:lang w:val="en-GB"/>
        </w:rPr>
        <w:t xml:space="preserve">counsel for the </w:t>
      </w:r>
      <w:r w:rsidR="00DE1071">
        <w:rPr>
          <w:lang w:val="en-GB"/>
        </w:rPr>
        <w:t>complainant submitted his comments on the State party’s observations</w:t>
      </w:r>
      <w:r w:rsidR="003471EE">
        <w:rPr>
          <w:lang w:val="en-GB"/>
        </w:rPr>
        <w:t>.</w:t>
      </w:r>
      <w:r w:rsidR="00DE1071">
        <w:rPr>
          <w:lang w:val="en-GB"/>
        </w:rPr>
        <w:t xml:space="preserve"> Regarding the </w:t>
      </w:r>
      <w:r w:rsidR="00FC1D69">
        <w:rPr>
          <w:lang w:val="en-GB"/>
        </w:rPr>
        <w:t xml:space="preserve">State party’s </w:t>
      </w:r>
      <w:r w:rsidR="00DE1071">
        <w:rPr>
          <w:lang w:val="en-GB"/>
        </w:rPr>
        <w:t xml:space="preserve">submission </w:t>
      </w:r>
      <w:r w:rsidR="00806593">
        <w:rPr>
          <w:lang w:val="en-GB"/>
        </w:rPr>
        <w:t xml:space="preserve">that </w:t>
      </w:r>
      <w:r w:rsidR="00DE1071">
        <w:rPr>
          <w:lang w:val="en-GB"/>
        </w:rPr>
        <w:t>th</w:t>
      </w:r>
      <w:r w:rsidR="00F07C1E">
        <w:rPr>
          <w:lang w:val="en-GB"/>
        </w:rPr>
        <w:t>e complainant would like</w:t>
      </w:r>
      <w:r w:rsidR="00806593">
        <w:rPr>
          <w:lang w:val="en-GB"/>
        </w:rPr>
        <w:t>ly</w:t>
      </w:r>
      <w:r w:rsidR="00F07C1E">
        <w:rPr>
          <w:lang w:val="en-GB"/>
        </w:rPr>
        <w:t xml:space="preserve"> </w:t>
      </w:r>
      <w:r w:rsidR="00465F91">
        <w:rPr>
          <w:lang w:val="en-GB"/>
        </w:rPr>
        <w:t>be</w:t>
      </w:r>
      <w:r w:rsidR="00F07C1E">
        <w:rPr>
          <w:lang w:val="en-GB"/>
        </w:rPr>
        <w:t xml:space="preserve"> a</w:t>
      </w:r>
      <w:r w:rsidR="00DE1071">
        <w:rPr>
          <w:lang w:val="en-GB"/>
        </w:rPr>
        <w:t>rrest</w:t>
      </w:r>
      <w:r w:rsidR="00465F91">
        <w:rPr>
          <w:lang w:val="en-GB"/>
        </w:rPr>
        <w:t>ed</w:t>
      </w:r>
      <w:r w:rsidR="00DE1071">
        <w:rPr>
          <w:lang w:val="en-GB"/>
        </w:rPr>
        <w:t xml:space="preserve"> on charges of </w:t>
      </w:r>
      <w:r w:rsidR="00465F91">
        <w:rPr>
          <w:lang w:val="en-GB"/>
        </w:rPr>
        <w:t>having left</w:t>
      </w:r>
      <w:r w:rsidR="00DE1071">
        <w:rPr>
          <w:lang w:val="en-GB"/>
        </w:rPr>
        <w:t xml:space="preserve"> the country illegally and could be placed in remand for a relatively brief period while awaiting a bail hearing and that the Tribunal </w:t>
      </w:r>
      <w:r w:rsidR="00465F91">
        <w:rPr>
          <w:lang w:val="en-GB"/>
        </w:rPr>
        <w:t>did not consider</w:t>
      </w:r>
      <w:r w:rsidR="00DE1071">
        <w:rPr>
          <w:lang w:val="en-GB"/>
        </w:rPr>
        <w:t xml:space="preserve"> that this would involve treatment that could reasonably be said to enga</w:t>
      </w:r>
      <w:r w:rsidR="00806593">
        <w:rPr>
          <w:lang w:val="en-GB"/>
        </w:rPr>
        <w:t>g</w:t>
      </w:r>
      <w:r w:rsidR="00DE1071">
        <w:rPr>
          <w:lang w:val="en-GB"/>
        </w:rPr>
        <w:t xml:space="preserve">e Australia’s non-refoulement obligations, the complainant submits that this reasoning was found to constitute a legal error in </w:t>
      </w:r>
      <w:r w:rsidR="00DE1071" w:rsidRPr="00806593">
        <w:rPr>
          <w:i/>
          <w:lang w:val="en-GB"/>
        </w:rPr>
        <w:t>WZAPN v. Minister for Immigration and Border Protection [2014] FCA</w:t>
      </w:r>
      <w:r w:rsidR="00ED5442">
        <w:rPr>
          <w:i/>
          <w:lang w:val="en-GB"/>
        </w:rPr>
        <w:t xml:space="preserve"> 947</w:t>
      </w:r>
      <w:r w:rsidR="00DE1071">
        <w:rPr>
          <w:lang w:val="en-GB"/>
        </w:rPr>
        <w:t>. In that case, the Federal Court found that “</w:t>
      </w:r>
      <w:r w:rsidR="0006294F">
        <w:rPr>
          <w:lang w:val="en-GB"/>
        </w:rPr>
        <w:t>b</w:t>
      </w:r>
      <w:r w:rsidR="00DE1071">
        <w:rPr>
          <w:lang w:val="en-GB"/>
        </w:rPr>
        <w:t>y making a qualitative assessment of the nature and degree of the harm experienced by the applicant when asking whether the threat to the applicant’s liberty was sufficiently significant, the reviewer in the present case applied the wrong test in the application of s</w:t>
      </w:r>
      <w:r w:rsidR="00FC1D69">
        <w:rPr>
          <w:lang w:val="en-GB"/>
        </w:rPr>
        <w:t>ection</w:t>
      </w:r>
      <w:r w:rsidR="00B00B09">
        <w:rPr>
          <w:lang w:val="en-GB"/>
        </w:rPr>
        <w:t xml:space="preserve"> </w:t>
      </w:r>
      <w:r w:rsidR="00DE1071">
        <w:rPr>
          <w:lang w:val="en-GB"/>
        </w:rPr>
        <w:t>91R(2)(a), and thereby f</w:t>
      </w:r>
      <w:r w:rsidR="002A6065">
        <w:rPr>
          <w:lang w:val="en-GB"/>
        </w:rPr>
        <w:t>ell into jurisdictional error”</w:t>
      </w:r>
      <w:r w:rsidR="00B00B09">
        <w:rPr>
          <w:lang w:val="en-GB"/>
        </w:rPr>
        <w:t xml:space="preserve"> (para. 45)</w:t>
      </w:r>
      <w:r w:rsidR="00FC458A">
        <w:rPr>
          <w:lang w:val="en-GB"/>
        </w:rPr>
        <w:t>.</w:t>
      </w:r>
    </w:p>
    <w:p w:rsidR="002A6065" w:rsidRDefault="00806593">
      <w:pPr>
        <w:pStyle w:val="SingleTxtG"/>
        <w:rPr>
          <w:lang w:val="en-GB"/>
        </w:rPr>
      </w:pPr>
      <w:r>
        <w:rPr>
          <w:lang w:val="en-GB"/>
        </w:rPr>
        <w:t>5.</w:t>
      </w:r>
      <w:r w:rsidR="00110CC7">
        <w:rPr>
          <w:lang w:val="en-GB"/>
        </w:rPr>
        <w:t>2</w:t>
      </w:r>
      <w:r>
        <w:rPr>
          <w:lang w:val="en-GB"/>
        </w:rPr>
        <w:tab/>
      </w:r>
      <w:r w:rsidR="00B00B09">
        <w:rPr>
          <w:lang w:val="en-GB"/>
        </w:rPr>
        <w:t>Furthermore</w:t>
      </w:r>
      <w:r w:rsidR="002A6065">
        <w:rPr>
          <w:lang w:val="en-GB"/>
        </w:rPr>
        <w:t xml:space="preserve">, </w:t>
      </w:r>
      <w:r w:rsidR="00B00B09">
        <w:rPr>
          <w:lang w:val="en-GB"/>
        </w:rPr>
        <w:t xml:space="preserve">with regard to </w:t>
      </w:r>
      <w:r w:rsidR="002A6065">
        <w:rPr>
          <w:lang w:val="en-GB"/>
        </w:rPr>
        <w:t>his application to the Federal Circuit Court, the complainant was not represented by counsel</w:t>
      </w:r>
      <w:r w:rsidR="00B00B09">
        <w:rPr>
          <w:lang w:val="en-GB"/>
        </w:rPr>
        <w:t>. He</w:t>
      </w:r>
      <w:r w:rsidR="002A6065">
        <w:rPr>
          <w:lang w:val="en-GB"/>
        </w:rPr>
        <w:t xml:space="preserve"> </w:t>
      </w:r>
      <w:r w:rsidR="00B00B09">
        <w:rPr>
          <w:lang w:val="en-GB"/>
        </w:rPr>
        <w:t xml:space="preserve">had </w:t>
      </w:r>
      <w:r w:rsidR="002A6065">
        <w:rPr>
          <w:lang w:val="en-GB"/>
        </w:rPr>
        <w:t>to find a lawyer</w:t>
      </w:r>
      <w:r w:rsidR="00B00B09">
        <w:rPr>
          <w:lang w:val="en-GB"/>
        </w:rPr>
        <w:t xml:space="preserve"> on his own</w:t>
      </w:r>
      <w:r w:rsidR="002A6065">
        <w:rPr>
          <w:lang w:val="en-GB"/>
        </w:rPr>
        <w:t xml:space="preserve"> and </w:t>
      </w:r>
      <w:r>
        <w:rPr>
          <w:lang w:val="en-GB"/>
        </w:rPr>
        <w:t>ha</w:t>
      </w:r>
      <w:r w:rsidR="00B00B09">
        <w:rPr>
          <w:lang w:val="en-GB"/>
        </w:rPr>
        <w:t>d</w:t>
      </w:r>
      <w:r>
        <w:rPr>
          <w:lang w:val="en-GB"/>
        </w:rPr>
        <w:t xml:space="preserve"> little </w:t>
      </w:r>
      <w:r w:rsidR="002A6065">
        <w:rPr>
          <w:lang w:val="en-GB"/>
        </w:rPr>
        <w:t>English</w:t>
      </w:r>
      <w:r w:rsidR="00FC1D69">
        <w:rPr>
          <w:lang w:val="en-GB"/>
        </w:rPr>
        <w:t>-</w:t>
      </w:r>
      <w:r w:rsidR="002A6065">
        <w:rPr>
          <w:lang w:val="en-GB"/>
        </w:rPr>
        <w:t xml:space="preserve">language </w:t>
      </w:r>
      <w:r w:rsidR="00B00B09">
        <w:rPr>
          <w:lang w:val="en-GB"/>
        </w:rPr>
        <w:t>skills. He</w:t>
      </w:r>
      <w:r w:rsidR="002A6065">
        <w:rPr>
          <w:lang w:val="en-GB"/>
        </w:rPr>
        <w:t xml:space="preserve"> submits that this </w:t>
      </w:r>
      <w:r w:rsidR="00B00B09">
        <w:rPr>
          <w:lang w:val="en-GB"/>
        </w:rPr>
        <w:t>wa</w:t>
      </w:r>
      <w:r w:rsidR="002A6065">
        <w:rPr>
          <w:lang w:val="en-GB"/>
        </w:rPr>
        <w:t>s a breach of article 14 of the I</w:t>
      </w:r>
      <w:r w:rsidR="00B00B09">
        <w:rPr>
          <w:lang w:val="en-GB"/>
        </w:rPr>
        <w:t>nternational Covenant on Civil and Political Rights</w:t>
      </w:r>
      <w:r w:rsidR="002A6065">
        <w:rPr>
          <w:lang w:val="en-GB"/>
        </w:rPr>
        <w:t xml:space="preserve">. </w:t>
      </w:r>
      <w:r>
        <w:rPr>
          <w:lang w:val="en-GB"/>
        </w:rPr>
        <w:t xml:space="preserve">The </w:t>
      </w:r>
      <w:r w:rsidR="003E18E0">
        <w:rPr>
          <w:lang w:val="en-GB"/>
        </w:rPr>
        <w:t>c</w:t>
      </w:r>
      <w:r>
        <w:rPr>
          <w:lang w:val="en-GB"/>
        </w:rPr>
        <w:t>omplainant a</w:t>
      </w:r>
      <w:r w:rsidR="002A6065">
        <w:rPr>
          <w:lang w:val="en-GB"/>
        </w:rPr>
        <w:t xml:space="preserve">lso submits that </w:t>
      </w:r>
      <w:r w:rsidR="00B00B09">
        <w:rPr>
          <w:lang w:val="en-GB"/>
        </w:rPr>
        <w:t xml:space="preserve">his </w:t>
      </w:r>
      <w:r w:rsidR="00FC1D69">
        <w:rPr>
          <w:lang w:val="en-GB"/>
        </w:rPr>
        <w:t>particular status</w:t>
      </w:r>
      <w:r w:rsidR="00B00B09">
        <w:rPr>
          <w:lang w:val="en-GB"/>
        </w:rPr>
        <w:t xml:space="preserve"> in relation to </w:t>
      </w:r>
      <w:r w:rsidR="002A6065">
        <w:rPr>
          <w:lang w:val="en-GB"/>
        </w:rPr>
        <w:t xml:space="preserve">the </w:t>
      </w:r>
      <w:r w:rsidR="00B00B09">
        <w:rPr>
          <w:lang w:val="en-GB"/>
        </w:rPr>
        <w:t xml:space="preserve">particular </w:t>
      </w:r>
      <w:r w:rsidR="002A6065">
        <w:rPr>
          <w:lang w:val="en-GB"/>
        </w:rPr>
        <w:t>social group of failed asylum seeker</w:t>
      </w:r>
      <w:r w:rsidR="00B00B09">
        <w:rPr>
          <w:lang w:val="en-GB"/>
        </w:rPr>
        <w:t>s</w:t>
      </w:r>
      <w:r w:rsidR="002A6065">
        <w:rPr>
          <w:lang w:val="en-GB"/>
        </w:rPr>
        <w:t xml:space="preserve"> is much br</w:t>
      </w:r>
      <w:r>
        <w:rPr>
          <w:lang w:val="en-GB"/>
        </w:rPr>
        <w:t>oader</w:t>
      </w:r>
      <w:r w:rsidR="002A6065">
        <w:rPr>
          <w:lang w:val="en-GB"/>
        </w:rPr>
        <w:t xml:space="preserve"> </w:t>
      </w:r>
      <w:r>
        <w:rPr>
          <w:lang w:val="en-GB"/>
        </w:rPr>
        <w:t xml:space="preserve">in that he is </w:t>
      </w:r>
      <w:r w:rsidR="002A6065">
        <w:rPr>
          <w:lang w:val="en-GB"/>
        </w:rPr>
        <w:t>a failed asylum seeker suspected of LTTE connections and</w:t>
      </w:r>
      <w:r>
        <w:rPr>
          <w:lang w:val="en-GB"/>
        </w:rPr>
        <w:t xml:space="preserve"> </w:t>
      </w:r>
      <w:r w:rsidR="00AB5C73">
        <w:rPr>
          <w:lang w:val="en-GB"/>
        </w:rPr>
        <w:t>he left the country</w:t>
      </w:r>
      <w:r w:rsidR="002A6065">
        <w:rPr>
          <w:lang w:val="en-GB"/>
        </w:rPr>
        <w:t xml:space="preserve"> illegal</w:t>
      </w:r>
      <w:r w:rsidR="00AB5C73">
        <w:rPr>
          <w:lang w:val="en-GB"/>
        </w:rPr>
        <w:t>ly</w:t>
      </w:r>
      <w:r w:rsidR="002A6065">
        <w:rPr>
          <w:lang w:val="en-GB"/>
        </w:rPr>
        <w:t>.</w:t>
      </w:r>
      <w:r w:rsidR="00CB678E">
        <w:rPr>
          <w:lang w:val="en-GB"/>
        </w:rPr>
        <w:t xml:space="preserve"> </w:t>
      </w:r>
      <w:r>
        <w:rPr>
          <w:lang w:val="en-GB"/>
        </w:rPr>
        <w:t xml:space="preserve">The </w:t>
      </w:r>
      <w:r w:rsidR="003E18E0">
        <w:rPr>
          <w:lang w:val="en-GB"/>
        </w:rPr>
        <w:t>c</w:t>
      </w:r>
      <w:r>
        <w:rPr>
          <w:lang w:val="en-GB"/>
        </w:rPr>
        <w:t>omplainant s</w:t>
      </w:r>
      <w:r w:rsidR="002A6065">
        <w:rPr>
          <w:lang w:val="en-GB"/>
        </w:rPr>
        <w:t xml:space="preserve">ubmits that his claims have merit and that he </w:t>
      </w:r>
      <w:r>
        <w:rPr>
          <w:lang w:val="en-GB"/>
        </w:rPr>
        <w:t xml:space="preserve">should </w:t>
      </w:r>
      <w:r w:rsidR="002A6065">
        <w:rPr>
          <w:lang w:val="en-GB"/>
        </w:rPr>
        <w:t xml:space="preserve">be protected from refoulement as there are substantial grounds for believing that there is a real risk in the foreseeable future that he would face torture </w:t>
      </w:r>
      <w:r w:rsidR="00FC1D69">
        <w:rPr>
          <w:lang w:val="en-GB"/>
        </w:rPr>
        <w:t xml:space="preserve">and other cruel, inhuman and degrading </w:t>
      </w:r>
      <w:r w:rsidR="002A6065">
        <w:rPr>
          <w:lang w:val="en-GB"/>
        </w:rPr>
        <w:t>treatment or punishment upon return to Sri Lanka.</w:t>
      </w:r>
    </w:p>
    <w:p w:rsidR="005376E5" w:rsidRDefault="00806593">
      <w:pPr>
        <w:pStyle w:val="SingleTxtG"/>
        <w:rPr>
          <w:lang w:val="en-GB"/>
        </w:rPr>
      </w:pPr>
      <w:r>
        <w:rPr>
          <w:lang w:val="en-GB"/>
        </w:rPr>
        <w:t>5.</w:t>
      </w:r>
      <w:r w:rsidR="00110CC7">
        <w:rPr>
          <w:lang w:val="en-GB"/>
        </w:rPr>
        <w:t>3</w:t>
      </w:r>
      <w:r>
        <w:rPr>
          <w:lang w:val="en-GB"/>
        </w:rPr>
        <w:tab/>
      </w:r>
      <w:r w:rsidR="002A6065">
        <w:rPr>
          <w:lang w:val="en-GB"/>
        </w:rPr>
        <w:t xml:space="preserve">On 16 August 2015, </w:t>
      </w:r>
      <w:r w:rsidR="00B00B09">
        <w:rPr>
          <w:lang w:val="en-GB"/>
        </w:rPr>
        <w:t xml:space="preserve">counsel for </w:t>
      </w:r>
      <w:r w:rsidR="002A6065">
        <w:rPr>
          <w:lang w:val="en-GB"/>
        </w:rPr>
        <w:t>the complainant</w:t>
      </w:r>
      <w:r w:rsidR="0087661D">
        <w:rPr>
          <w:lang w:val="en-GB"/>
        </w:rPr>
        <w:t xml:space="preserve"> submit</w:t>
      </w:r>
      <w:r w:rsidR="00B00B09">
        <w:rPr>
          <w:lang w:val="en-GB"/>
        </w:rPr>
        <w:t>ted</w:t>
      </w:r>
      <w:r w:rsidR="00C8102C">
        <w:rPr>
          <w:lang w:val="en-GB"/>
        </w:rPr>
        <w:t xml:space="preserve"> </w:t>
      </w:r>
      <w:r w:rsidR="0087661D">
        <w:rPr>
          <w:lang w:val="en-GB"/>
        </w:rPr>
        <w:t xml:space="preserve">his comments </w:t>
      </w:r>
      <w:r w:rsidR="00FC1D69">
        <w:rPr>
          <w:lang w:val="en-GB"/>
        </w:rPr>
        <w:t>on</w:t>
      </w:r>
      <w:r w:rsidR="0087661D">
        <w:rPr>
          <w:lang w:val="en-GB"/>
        </w:rPr>
        <w:t xml:space="preserve"> the State party’s request </w:t>
      </w:r>
      <w:r w:rsidR="00B00B09">
        <w:rPr>
          <w:lang w:val="en-GB"/>
        </w:rPr>
        <w:t>of</w:t>
      </w:r>
      <w:r w:rsidR="003471EE">
        <w:rPr>
          <w:lang w:val="en-GB"/>
        </w:rPr>
        <w:t xml:space="preserve"> 21 May 2015 </w:t>
      </w:r>
      <w:r w:rsidR="0087661D">
        <w:rPr>
          <w:lang w:val="en-GB"/>
        </w:rPr>
        <w:t xml:space="preserve">to lift </w:t>
      </w:r>
      <w:r w:rsidR="00FC1D69">
        <w:rPr>
          <w:lang w:val="en-GB"/>
        </w:rPr>
        <w:t xml:space="preserve">the </w:t>
      </w:r>
      <w:r w:rsidR="0087661D">
        <w:rPr>
          <w:lang w:val="en-GB"/>
        </w:rPr>
        <w:t>interim measures</w:t>
      </w:r>
      <w:r w:rsidR="00B00B09">
        <w:rPr>
          <w:lang w:val="en-GB"/>
        </w:rPr>
        <w:t xml:space="preserve">. </w:t>
      </w:r>
      <w:r w:rsidR="00FC458A">
        <w:rPr>
          <w:lang w:val="en-GB"/>
        </w:rPr>
        <w:t>The complainant</w:t>
      </w:r>
      <w:r w:rsidR="00C8102C">
        <w:rPr>
          <w:lang w:val="en-GB"/>
        </w:rPr>
        <w:t xml:space="preserve"> not</w:t>
      </w:r>
      <w:r w:rsidR="00B00B09">
        <w:rPr>
          <w:lang w:val="en-GB"/>
        </w:rPr>
        <w:t>ed</w:t>
      </w:r>
      <w:r w:rsidR="00C8102C">
        <w:rPr>
          <w:lang w:val="en-GB"/>
        </w:rPr>
        <w:t xml:space="preserve"> that</w:t>
      </w:r>
      <w:r w:rsidR="00B00B09">
        <w:rPr>
          <w:lang w:val="en-GB"/>
        </w:rPr>
        <w:t>,</w:t>
      </w:r>
      <w:r w:rsidR="00C8102C">
        <w:rPr>
          <w:lang w:val="en-GB"/>
        </w:rPr>
        <w:t xml:space="preserve"> </w:t>
      </w:r>
      <w:r w:rsidR="005D48D7">
        <w:rPr>
          <w:lang w:val="en-GB"/>
        </w:rPr>
        <w:t xml:space="preserve">at the first court </w:t>
      </w:r>
      <w:r w:rsidR="00B00B09">
        <w:rPr>
          <w:lang w:val="en-GB"/>
        </w:rPr>
        <w:t>hearing</w:t>
      </w:r>
      <w:r w:rsidR="005D48D7">
        <w:rPr>
          <w:lang w:val="en-GB"/>
        </w:rPr>
        <w:t xml:space="preserve"> on 29 May 2013, the Court </w:t>
      </w:r>
      <w:r w:rsidR="00FC458A">
        <w:rPr>
          <w:lang w:val="en-GB"/>
        </w:rPr>
        <w:t xml:space="preserve">had </w:t>
      </w:r>
      <w:r w:rsidR="00B00B09">
        <w:rPr>
          <w:lang w:val="en-GB"/>
        </w:rPr>
        <w:t>indicated</w:t>
      </w:r>
      <w:r w:rsidR="005D48D7">
        <w:rPr>
          <w:lang w:val="en-GB"/>
        </w:rPr>
        <w:t xml:space="preserve"> to the </w:t>
      </w:r>
      <w:r w:rsidR="003E18E0">
        <w:rPr>
          <w:lang w:val="en-GB"/>
        </w:rPr>
        <w:t>c</w:t>
      </w:r>
      <w:r w:rsidR="005D48D7">
        <w:rPr>
          <w:lang w:val="en-GB"/>
        </w:rPr>
        <w:t>omplainant that his application did not have any prospect of success and that he should seek the advice of a lawyer. He submits that he detect</w:t>
      </w:r>
      <w:r w:rsidR="00B00B09">
        <w:rPr>
          <w:lang w:val="en-GB"/>
        </w:rPr>
        <w:t>ed</w:t>
      </w:r>
      <w:r w:rsidR="005D48D7">
        <w:rPr>
          <w:lang w:val="en-GB"/>
        </w:rPr>
        <w:t xml:space="preserve"> a “juri</w:t>
      </w:r>
      <w:r w:rsidR="00FF3B9D">
        <w:rPr>
          <w:lang w:val="en-GB"/>
        </w:rPr>
        <w:t>sd</w:t>
      </w:r>
      <w:r w:rsidR="005D48D7">
        <w:rPr>
          <w:lang w:val="en-GB"/>
        </w:rPr>
        <w:t>ictional error” in the Tribunal’s decision record</w:t>
      </w:r>
      <w:r w:rsidR="00FC1D69">
        <w:rPr>
          <w:lang w:val="en-GB"/>
        </w:rPr>
        <w:t>,</w:t>
      </w:r>
      <w:r w:rsidR="00B00B09">
        <w:rPr>
          <w:lang w:val="en-GB"/>
        </w:rPr>
        <w:t xml:space="preserve"> himself</w:t>
      </w:r>
      <w:r w:rsidR="005D48D7">
        <w:rPr>
          <w:lang w:val="en-GB"/>
        </w:rPr>
        <w:t>.</w:t>
      </w:r>
      <w:r w:rsidR="00CB678E">
        <w:rPr>
          <w:lang w:val="en-GB"/>
        </w:rPr>
        <w:t xml:space="preserve"> </w:t>
      </w:r>
      <w:r w:rsidR="00C72225">
        <w:rPr>
          <w:lang w:val="en-GB"/>
        </w:rPr>
        <w:t>The complainant</w:t>
      </w:r>
      <w:r w:rsidR="005D48D7">
        <w:rPr>
          <w:lang w:val="en-GB"/>
        </w:rPr>
        <w:t xml:space="preserve"> submits that</w:t>
      </w:r>
      <w:r w:rsidR="00C72225">
        <w:rPr>
          <w:lang w:val="en-GB"/>
        </w:rPr>
        <w:t>,</w:t>
      </w:r>
      <w:r w:rsidR="005D48D7">
        <w:rPr>
          <w:lang w:val="en-GB"/>
        </w:rPr>
        <w:t xml:space="preserve"> at a subsequent court date on 22 November 2013, he </w:t>
      </w:r>
      <w:r w:rsidR="00C72225">
        <w:rPr>
          <w:lang w:val="en-GB"/>
        </w:rPr>
        <w:t>did</w:t>
      </w:r>
      <w:r w:rsidR="005D48D7">
        <w:rPr>
          <w:lang w:val="en-GB"/>
        </w:rPr>
        <w:t xml:space="preserve"> not file anything further and confirmed that he </w:t>
      </w:r>
      <w:r w:rsidR="00C72225">
        <w:rPr>
          <w:lang w:val="en-GB"/>
        </w:rPr>
        <w:t xml:space="preserve">had </w:t>
      </w:r>
      <w:r w:rsidR="005D48D7">
        <w:rPr>
          <w:lang w:val="en-GB"/>
        </w:rPr>
        <w:t>spoke</w:t>
      </w:r>
      <w:r w:rsidR="00C72225">
        <w:rPr>
          <w:lang w:val="en-GB"/>
        </w:rPr>
        <w:t>n</w:t>
      </w:r>
      <w:r w:rsidR="005D48D7">
        <w:rPr>
          <w:lang w:val="en-GB"/>
        </w:rPr>
        <w:t xml:space="preserve"> to a lawyer.</w:t>
      </w:r>
      <w:r w:rsidR="00CB678E">
        <w:rPr>
          <w:lang w:val="en-GB"/>
        </w:rPr>
        <w:t xml:space="preserve"> </w:t>
      </w:r>
      <w:r w:rsidR="005376E5">
        <w:rPr>
          <w:lang w:val="en-GB"/>
        </w:rPr>
        <w:t>He also submits that t</w:t>
      </w:r>
      <w:r w:rsidR="005D48D7">
        <w:rPr>
          <w:lang w:val="en-GB"/>
        </w:rPr>
        <w:t xml:space="preserve">he </w:t>
      </w:r>
      <w:r w:rsidR="00C37EE6">
        <w:rPr>
          <w:lang w:val="en-GB"/>
        </w:rPr>
        <w:t>m</w:t>
      </w:r>
      <w:r w:rsidR="005D48D7">
        <w:rPr>
          <w:lang w:val="en-GB"/>
        </w:rPr>
        <w:t xml:space="preserve">inister’s lawyer </w:t>
      </w:r>
      <w:r w:rsidR="005376E5">
        <w:rPr>
          <w:lang w:val="en-GB"/>
        </w:rPr>
        <w:t xml:space="preserve">requested that the Court proceed immediately to a “show cause” hearing in order to dismiss the application. The court did so and </w:t>
      </w:r>
      <w:r w:rsidR="00C37EE6">
        <w:rPr>
          <w:lang w:val="en-GB"/>
        </w:rPr>
        <w:t>ruled</w:t>
      </w:r>
      <w:r w:rsidR="005376E5">
        <w:rPr>
          <w:lang w:val="en-GB"/>
        </w:rPr>
        <w:t xml:space="preserve"> that the </w:t>
      </w:r>
      <w:r w:rsidR="003E18E0">
        <w:rPr>
          <w:lang w:val="en-GB"/>
        </w:rPr>
        <w:t>c</w:t>
      </w:r>
      <w:r w:rsidR="005376E5">
        <w:rPr>
          <w:lang w:val="en-GB"/>
        </w:rPr>
        <w:t xml:space="preserve">omplainant’s application was an impermissible merits review and did not disclose any </w:t>
      </w:r>
      <w:r w:rsidR="005376E5">
        <w:rPr>
          <w:lang w:val="en-GB"/>
        </w:rPr>
        <w:lastRenderedPageBreak/>
        <w:t>jurisdictional error on the part of the Tribunal.</w:t>
      </w:r>
      <w:r w:rsidR="00CB678E">
        <w:rPr>
          <w:lang w:val="en-GB"/>
        </w:rPr>
        <w:t xml:space="preserve"> </w:t>
      </w:r>
      <w:r w:rsidR="005376E5">
        <w:rPr>
          <w:lang w:val="en-GB"/>
        </w:rPr>
        <w:t xml:space="preserve">The </w:t>
      </w:r>
      <w:r w:rsidR="003E18E0">
        <w:rPr>
          <w:lang w:val="en-GB"/>
        </w:rPr>
        <w:t>c</w:t>
      </w:r>
      <w:r w:rsidR="005376E5">
        <w:rPr>
          <w:lang w:val="en-GB"/>
        </w:rPr>
        <w:t xml:space="preserve">omplainant submits that this process was in no way a robust and thorough review of the Tribunal’s decision as not all of the evidence was before the court, such as the </w:t>
      </w:r>
      <w:r w:rsidR="00C37EE6">
        <w:rPr>
          <w:lang w:val="en-GB"/>
        </w:rPr>
        <w:t xml:space="preserve">transcript of the </w:t>
      </w:r>
      <w:r w:rsidR="005376E5">
        <w:rPr>
          <w:lang w:val="en-GB"/>
        </w:rPr>
        <w:t>Tribunal hearing.</w:t>
      </w:r>
    </w:p>
    <w:p w:rsidR="005376E5" w:rsidRDefault="00817D11">
      <w:pPr>
        <w:pStyle w:val="SingleTxtG"/>
        <w:rPr>
          <w:lang w:val="en-GB"/>
        </w:rPr>
      </w:pPr>
      <w:r>
        <w:rPr>
          <w:lang w:val="en-GB"/>
        </w:rPr>
        <w:t>5.</w:t>
      </w:r>
      <w:r w:rsidR="00110CC7">
        <w:rPr>
          <w:lang w:val="en-GB"/>
        </w:rPr>
        <w:t>4</w:t>
      </w:r>
      <w:r w:rsidR="005376E5">
        <w:rPr>
          <w:lang w:val="en-GB"/>
        </w:rPr>
        <w:tab/>
        <w:t xml:space="preserve">The </w:t>
      </w:r>
      <w:r w:rsidR="003E18E0">
        <w:rPr>
          <w:lang w:val="en-GB"/>
        </w:rPr>
        <w:t>c</w:t>
      </w:r>
      <w:r w:rsidR="005376E5">
        <w:rPr>
          <w:lang w:val="en-GB"/>
        </w:rPr>
        <w:t xml:space="preserve">omplainant submits that </w:t>
      </w:r>
      <w:r w:rsidR="00B537D2">
        <w:rPr>
          <w:lang w:val="en-GB"/>
        </w:rPr>
        <w:t>t</w:t>
      </w:r>
      <w:r w:rsidR="005376E5" w:rsidRPr="005376E5">
        <w:rPr>
          <w:lang w:val="en-GB"/>
        </w:rPr>
        <w:t xml:space="preserve">he </w:t>
      </w:r>
      <w:r w:rsidR="00C37EE6">
        <w:rPr>
          <w:lang w:val="en-GB"/>
        </w:rPr>
        <w:t>m</w:t>
      </w:r>
      <w:r w:rsidR="005376E5" w:rsidRPr="005376E5">
        <w:rPr>
          <w:lang w:val="en-GB"/>
        </w:rPr>
        <w:t>inisterial intervention process under section 417 of the Migration Act lack</w:t>
      </w:r>
      <w:r w:rsidR="00FC1D69">
        <w:rPr>
          <w:lang w:val="en-GB"/>
        </w:rPr>
        <w:t>ed</w:t>
      </w:r>
      <w:r w:rsidR="005376E5" w:rsidRPr="005376E5">
        <w:rPr>
          <w:lang w:val="en-GB"/>
        </w:rPr>
        <w:t xml:space="preserve"> transparency.</w:t>
      </w:r>
      <w:r w:rsidR="005376E5">
        <w:rPr>
          <w:lang w:val="en-GB"/>
        </w:rPr>
        <w:t xml:space="preserve"> He </w:t>
      </w:r>
      <w:r w:rsidR="00C37EE6">
        <w:rPr>
          <w:lang w:val="en-GB"/>
        </w:rPr>
        <w:t>also</w:t>
      </w:r>
      <w:r w:rsidR="005376E5">
        <w:rPr>
          <w:lang w:val="en-GB"/>
        </w:rPr>
        <w:t xml:space="preserve"> submits that he was not interviewed and that the refusal letter did not indicate why his case did not meet the </w:t>
      </w:r>
      <w:r w:rsidR="00C37EE6">
        <w:rPr>
          <w:lang w:val="en-GB"/>
        </w:rPr>
        <w:t>m</w:t>
      </w:r>
      <w:r w:rsidR="005376E5">
        <w:rPr>
          <w:lang w:val="en-GB"/>
        </w:rPr>
        <w:t xml:space="preserve">inisterial </w:t>
      </w:r>
      <w:r w:rsidR="002238F7">
        <w:rPr>
          <w:lang w:val="en-GB"/>
        </w:rPr>
        <w:t>requirements</w:t>
      </w:r>
      <w:r w:rsidR="005376E5">
        <w:rPr>
          <w:lang w:val="en-GB"/>
        </w:rPr>
        <w:t>.</w:t>
      </w:r>
      <w:r w:rsidR="00CB678E">
        <w:rPr>
          <w:lang w:val="en-GB"/>
        </w:rPr>
        <w:t xml:space="preserve"> </w:t>
      </w:r>
      <w:r w:rsidR="00C37EE6">
        <w:rPr>
          <w:lang w:val="en-GB"/>
        </w:rPr>
        <w:t>H</w:t>
      </w:r>
      <w:r w:rsidR="005376E5">
        <w:rPr>
          <w:lang w:val="en-GB"/>
        </w:rPr>
        <w:t xml:space="preserve">e </w:t>
      </w:r>
      <w:r w:rsidR="00C37EE6">
        <w:rPr>
          <w:lang w:val="en-GB"/>
        </w:rPr>
        <w:t>further</w:t>
      </w:r>
      <w:r w:rsidR="005376E5">
        <w:rPr>
          <w:lang w:val="en-GB"/>
        </w:rPr>
        <w:t xml:space="preserve"> submits that the Government did not provide any evidence of this process</w:t>
      </w:r>
      <w:r w:rsidR="00FC1D69">
        <w:rPr>
          <w:lang w:val="en-GB"/>
        </w:rPr>
        <w:t xml:space="preserve"> to the Committee</w:t>
      </w:r>
      <w:r w:rsidR="005376E5">
        <w:rPr>
          <w:lang w:val="en-GB"/>
        </w:rPr>
        <w:t xml:space="preserve">. </w:t>
      </w:r>
    </w:p>
    <w:p w:rsidR="00BE703B" w:rsidRDefault="005376E5">
      <w:pPr>
        <w:pStyle w:val="SingleTxtG"/>
        <w:rPr>
          <w:lang w:val="en-GB"/>
        </w:rPr>
      </w:pPr>
      <w:r>
        <w:rPr>
          <w:lang w:val="en-GB"/>
        </w:rPr>
        <w:t>5.</w:t>
      </w:r>
      <w:r w:rsidR="00110CC7">
        <w:rPr>
          <w:lang w:val="en-GB"/>
        </w:rPr>
        <w:t>5</w:t>
      </w:r>
      <w:r>
        <w:rPr>
          <w:lang w:val="en-GB"/>
        </w:rPr>
        <w:tab/>
        <w:t xml:space="preserve">The </w:t>
      </w:r>
      <w:r w:rsidR="0087661D">
        <w:rPr>
          <w:lang w:val="en-GB"/>
        </w:rPr>
        <w:t xml:space="preserve">complainant </w:t>
      </w:r>
      <w:r>
        <w:rPr>
          <w:lang w:val="en-GB"/>
        </w:rPr>
        <w:t xml:space="preserve">also </w:t>
      </w:r>
      <w:r w:rsidR="0087661D">
        <w:rPr>
          <w:lang w:val="en-GB"/>
        </w:rPr>
        <w:t>attache</w:t>
      </w:r>
      <w:r w:rsidR="00395330">
        <w:rPr>
          <w:lang w:val="en-GB"/>
        </w:rPr>
        <w:t>d</w:t>
      </w:r>
      <w:r w:rsidR="0087661D">
        <w:rPr>
          <w:lang w:val="en-GB"/>
        </w:rPr>
        <w:t xml:space="preserve"> a report from the </w:t>
      </w:r>
      <w:r w:rsidR="002A6065">
        <w:rPr>
          <w:lang w:val="en-GB"/>
        </w:rPr>
        <w:t>Edmund Rice Centre</w:t>
      </w:r>
      <w:r w:rsidR="0087661D">
        <w:rPr>
          <w:lang w:val="en-GB"/>
        </w:rPr>
        <w:t xml:space="preserve">, which </w:t>
      </w:r>
      <w:r w:rsidR="00395330">
        <w:rPr>
          <w:lang w:val="en-GB"/>
        </w:rPr>
        <w:t>contains</w:t>
      </w:r>
      <w:r w:rsidR="0087661D">
        <w:rPr>
          <w:lang w:val="en-GB"/>
        </w:rPr>
        <w:t xml:space="preserve"> details </w:t>
      </w:r>
      <w:r w:rsidR="00BE703B">
        <w:rPr>
          <w:lang w:val="en-GB"/>
        </w:rPr>
        <w:t>of the State party’s role in providing the Sri Lankan authorities with instruments of torture and technology for surveillance and monitoring</w:t>
      </w:r>
      <w:r>
        <w:rPr>
          <w:lang w:val="en-GB"/>
        </w:rPr>
        <w:t>.</w:t>
      </w:r>
      <w:r w:rsidR="00CB678E">
        <w:rPr>
          <w:lang w:val="en-GB"/>
        </w:rPr>
        <w:t xml:space="preserve"> </w:t>
      </w:r>
      <w:r>
        <w:rPr>
          <w:lang w:val="en-GB"/>
        </w:rPr>
        <w:t xml:space="preserve">In this regard, he submits that this </w:t>
      </w:r>
      <w:r w:rsidR="00367A1D">
        <w:rPr>
          <w:lang w:val="en-GB"/>
        </w:rPr>
        <w:t>information undermines the veracity of an</w:t>
      </w:r>
      <w:r w:rsidR="00FC1D69">
        <w:rPr>
          <w:lang w:val="en-GB"/>
        </w:rPr>
        <w:t>y</w:t>
      </w:r>
      <w:r w:rsidR="00367A1D">
        <w:rPr>
          <w:lang w:val="en-GB"/>
        </w:rPr>
        <w:t xml:space="preserve"> assessment</w:t>
      </w:r>
      <w:r w:rsidR="00395330">
        <w:rPr>
          <w:lang w:val="en-GB"/>
        </w:rPr>
        <w:t xml:space="preserve"> of or </w:t>
      </w:r>
      <w:r w:rsidR="00367A1D">
        <w:rPr>
          <w:lang w:val="en-GB"/>
        </w:rPr>
        <w:t>decision o</w:t>
      </w:r>
      <w:r w:rsidR="00395330">
        <w:rPr>
          <w:lang w:val="en-GB"/>
        </w:rPr>
        <w:t>n</w:t>
      </w:r>
      <w:r w:rsidR="00367A1D">
        <w:rPr>
          <w:lang w:val="en-GB"/>
        </w:rPr>
        <w:t xml:space="preserve"> the real risk of serious or significant harm upon </w:t>
      </w:r>
      <w:r w:rsidR="00395330">
        <w:rPr>
          <w:lang w:val="en-GB"/>
        </w:rPr>
        <w:t xml:space="preserve">one’s </w:t>
      </w:r>
      <w:r w:rsidR="00367A1D">
        <w:rPr>
          <w:lang w:val="en-GB"/>
        </w:rPr>
        <w:t>return to Sri Lanka.</w:t>
      </w:r>
      <w:r w:rsidR="00CB678E">
        <w:rPr>
          <w:lang w:val="en-GB"/>
        </w:rPr>
        <w:t xml:space="preserve"> </w:t>
      </w:r>
      <w:r w:rsidR="00367A1D">
        <w:rPr>
          <w:lang w:val="en-GB"/>
        </w:rPr>
        <w:t xml:space="preserve">The </w:t>
      </w:r>
      <w:r w:rsidR="00395330">
        <w:rPr>
          <w:lang w:val="en-GB"/>
        </w:rPr>
        <w:t>c</w:t>
      </w:r>
      <w:r w:rsidR="00367A1D">
        <w:rPr>
          <w:lang w:val="en-GB"/>
        </w:rPr>
        <w:t xml:space="preserve">omplainant submits that his contact with Tamil Congress </w:t>
      </w:r>
      <w:r w:rsidR="00395330">
        <w:rPr>
          <w:lang w:val="en-GB"/>
        </w:rPr>
        <w:t>members</w:t>
      </w:r>
      <w:r w:rsidR="00367A1D">
        <w:rPr>
          <w:lang w:val="en-GB"/>
        </w:rPr>
        <w:t xml:space="preserve"> in </w:t>
      </w:r>
      <w:r w:rsidR="00395330">
        <w:rPr>
          <w:lang w:val="en-GB"/>
        </w:rPr>
        <w:t>Australia</w:t>
      </w:r>
      <w:r w:rsidR="00367A1D">
        <w:rPr>
          <w:lang w:val="en-GB"/>
        </w:rPr>
        <w:t xml:space="preserve"> would be known in Sri Lanka and the Sri Lankan authorities </w:t>
      </w:r>
      <w:r w:rsidR="00395330">
        <w:rPr>
          <w:lang w:val="en-GB"/>
        </w:rPr>
        <w:t>would</w:t>
      </w:r>
      <w:r w:rsidR="00367A1D">
        <w:rPr>
          <w:lang w:val="en-GB"/>
        </w:rPr>
        <w:t xml:space="preserve"> question</w:t>
      </w:r>
      <w:r w:rsidR="00395330">
        <w:rPr>
          <w:lang w:val="en-GB"/>
        </w:rPr>
        <w:t xml:space="preserve"> and </w:t>
      </w:r>
      <w:r w:rsidR="00367A1D">
        <w:rPr>
          <w:lang w:val="en-GB"/>
        </w:rPr>
        <w:t xml:space="preserve">interrogate him upon </w:t>
      </w:r>
      <w:r w:rsidR="00AB5C73">
        <w:rPr>
          <w:lang w:val="en-GB"/>
        </w:rPr>
        <w:t xml:space="preserve">his </w:t>
      </w:r>
      <w:r w:rsidR="00367A1D">
        <w:rPr>
          <w:lang w:val="en-GB"/>
        </w:rPr>
        <w:t>return about the</w:t>
      </w:r>
      <w:r w:rsidR="00A671AC">
        <w:rPr>
          <w:lang w:val="en-GB"/>
        </w:rPr>
        <w:t xml:space="preserve"> T</w:t>
      </w:r>
      <w:r w:rsidR="00367A1D">
        <w:rPr>
          <w:lang w:val="en-GB"/>
        </w:rPr>
        <w:t>amil Congress and its activities.</w:t>
      </w:r>
      <w:r w:rsidR="00CB678E">
        <w:rPr>
          <w:lang w:val="en-GB"/>
        </w:rPr>
        <w:t xml:space="preserve"> </w:t>
      </w:r>
    </w:p>
    <w:p w:rsidR="00754628" w:rsidRDefault="00E03E72" w:rsidP="00E77162">
      <w:pPr>
        <w:pStyle w:val="SingleTxtG"/>
        <w:rPr>
          <w:lang w:val="en-GB"/>
        </w:rPr>
      </w:pPr>
      <w:r>
        <w:rPr>
          <w:lang w:val="en-GB"/>
        </w:rPr>
        <w:t>5</w:t>
      </w:r>
      <w:r w:rsidRPr="00E03E72">
        <w:rPr>
          <w:lang w:val="en-GB"/>
        </w:rPr>
        <w:t>.</w:t>
      </w:r>
      <w:r w:rsidR="00110CC7">
        <w:rPr>
          <w:lang w:val="en-GB"/>
        </w:rPr>
        <w:t>6</w:t>
      </w:r>
      <w:r w:rsidRPr="00E03E72">
        <w:rPr>
          <w:lang w:val="en-GB"/>
        </w:rPr>
        <w:tab/>
        <w:t xml:space="preserve">On 5 November 2015, </w:t>
      </w:r>
      <w:r w:rsidR="00395330">
        <w:rPr>
          <w:lang w:val="en-GB"/>
        </w:rPr>
        <w:t xml:space="preserve">counsel for </w:t>
      </w:r>
      <w:r w:rsidRPr="00E03E72">
        <w:rPr>
          <w:lang w:val="en-GB"/>
        </w:rPr>
        <w:t xml:space="preserve">the complainant submitted the transcripts of the High Court of Australia </w:t>
      </w:r>
      <w:r w:rsidR="00395330">
        <w:rPr>
          <w:lang w:val="en-GB"/>
        </w:rPr>
        <w:t xml:space="preserve">that </w:t>
      </w:r>
      <w:r w:rsidRPr="00E03E72">
        <w:rPr>
          <w:lang w:val="en-GB"/>
        </w:rPr>
        <w:t>dismiss</w:t>
      </w:r>
      <w:r w:rsidR="00395330">
        <w:rPr>
          <w:lang w:val="en-GB"/>
        </w:rPr>
        <w:t>ed</w:t>
      </w:r>
      <w:r w:rsidRPr="00E03E72">
        <w:rPr>
          <w:lang w:val="en-GB"/>
        </w:rPr>
        <w:t xml:space="preserve"> the complainant’s application </w:t>
      </w:r>
      <w:r w:rsidR="00903F3A">
        <w:rPr>
          <w:lang w:val="en-GB"/>
        </w:rPr>
        <w:t xml:space="preserve">and </w:t>
      </w:r>
      <w:r w:rsidRPr="00E03E72">
        <w:rPr>
          <w:lang w:val="en-GB"/>
        </w:rPr>
        <w:t>not</w:t>
      </w:r>
      <w:r w:rsidR="00395330">
        <w:rPr>
          <w:lang w:val="en-GB"/>
        </w:rPr>
        <w:t>ed</w:t>
      </w:r>
      <w:r w:rsidRPr="00E03E72">
        <w:rPr>
          <w:lang w:val="en-GB"/>
        </w:rPr>
        <w:t xml:space="preserve"> that </w:t>
      </w:r>
      <w:r w:rsidR="00E77162">
        <w:rPr>
          <w:lang w:val="en-GB"/>
        </w:rPr>
        <w:t xml:space="preserve">the complainant had exhausted </w:t>
      </w:r>
      <w:r w:rsidRPr="00E03E72">
        <w:rPr>
          <w:lang w:val="en-GB"/>
        </w:rPr>
        <w:t xml:space="preserve">all domestic remedies to </w:t>
      </w:r>
      <w:r w:rsidR="00395330">
        <w:rPr>
          <w:lang w:val="en-GB"/>
        </w:rPr>
        <w:t>obtain</w:t>
      </w:r>
      <w:r w:rsidRPr="00E03E72">
        <w:rPr>
          <w:lang w:val="en-GB"/>
        </w:rPr>
        <w:t xml:space="preserve"> protection in Australia.</w:t>
      </w:r>
      <w:r w:rsidR="00CB678E">
        <w:rPr>
          <w:lang w:val="en-GB"/>
        </w:rPr>
        <w:t xml:space="preserve"> </w:t>
      </w:r>
    </w:p>
    <w:p w:rsidR="00BE703B" w:rsidRPr="00BE703B" w:rsidRDefault="00153A7F" w:rsidP="008078E6">
      <w:pPr>
        <w:pStyle w:val="H23G"/>
      </w:pPr>
      <w:r>
        <w:tab/>
      </w:r>
      <w:r>
        <w:tab/>
      </w:r>
      <w:r w:rsidR="00BE703B" w:rsidRPr="00E16BB9">
        <w:t>State party’s additional</w:t>
      </w:r>
      <w:r w:rsidR="00BE703B" w:rsidRPr="00BE703B">
        <w:t xml:space="preserve"> observations</w:t>
      </w:r>
    </w:p>
    <w:p w:rsidR="00B409EB" w:rsidRDefault="00BE703B" w:rsidP="00754628">
      <w:pPr>
        <w:pStyle w:val="SingleTxtG"/>
        <w:rPr>
          <w:lang w:val="en-GB"/>
        </w:rPr>
      </w:pPr>
      <w:r>
        <w:rPr>
          <w:lang w:val="en-GB"/>
        </w:rPr>
        <w:t xml:space="preserve">6.1 </w:t>
      </w:r>
      <w:r w:rsidR="00A671AC">
        <w:rPr>
          <w:lang w:val="en-GB"/>
        </w:rPr>
        <w:tab/>
      </w:r>
      <w:r>
        <w:rPr>
          <w:lang w:val="en-GB"/>
        </w:rPr>
        <w:t>On 23 December 2015, the State party refer</w:t>
      </w:r>
      <w:r w:rsidR="00E16BB9">
        <w:rPr>
          <w:lang w:val="en-GB"/>
        </w:rPr>
        <w:t>red</w:t>
      </w:r>
      <w:r>
        <w:rPr>
          <w:lang w:val="en-GB"/>
        </w:rPr>
        <w:t xml:space="preserve"> to, inter alia, the </w:t>
      </w:r>
      <w:r w:rsidR="00E16BB9">
        <w:rPr>
          <w:lang w:val="en-GB"/>
        </w:rPr>
        <w:t xml:space="preserve">complainant’s </w:t>
      </w:r>
      <w:r>
        <w:rPr>
          <w:lang w:val="en-GB"/>
        </w:rPr>
        <w:t>submissions dated 4 February 2015 and 16 August 2015.</w:t>
      </w:r>
      <w:r w:rsidR="00CB678E">
        <w:rPr>
          <w:lang w:val="en-GB"/>
        </w:rPr>
        <w:t xml:space="preserve"> </w:t>
      </w:r>
    </w:p>
    <w:p w:rsidR="00B409EB" w:rsidRDefault="00A039EF" w:rsidP="00754628">
      <w:pPr>
        <w:pStyle w:val="SingleTxtG"/>
        <w:rPr>
          <w:lang w:val="en-GB"/>
        </w:rPr>
      </w:pPr>
      <w:r>
        <w:rPr>
          <w:lang w:val="en-GB"/>
        </w:rPr>
        <w:t>6.2</w:t>
      </w:r>
      <w:r>
        <w:rPr>
          <w:lang w:val="en-GB"/>
        </w:rPr>
        <w:tab/>
      </w:r>
      <w:r w:rsidR="00B409EB">
        <w:rPr>
          <w:lang w:val="en-GB"/>
        </w:rPr>
        <w:t>The State party note</w:t>
      </w:r>
      <w:r w:rsidR="00E16BB9">
        <w:rPr>
          <w:lang w:val="en-GB"/>
        </w:rPr>
        <w:t>d</w:t>
      </w:r>
      <w:r w:rsidR="00B409EB">
        <w:rPr>
          <w:lang w:val="en-GB"/>
        </w:rPr>
        <w:t xml:space="preserve"> that the reference to </w:t>
      </w:r>
      <w:r w:rsidR="00B409EB" w:rsidRPr="00A039EF">
        <w:rPr>
          <w:i/>
          <w:lang w:val="en-GB"/>
        </w:rPr>
        <w:t xml:space="preserve">WZAPN </w:t>
      </w:r>
      <w:r w:rsidR="00277156">
        <w:rPr>
          <w:i/>
          <w:lang w:val="en-GB"/>
        </w:rPr>
        <w:t>v</w:t>
      </w:r>
      <w:r w:rsidR="00B409EB" w:rsidRPr="00A039EF">
        <w:rPr>
          <w:i/>
          <w:lang w:val="en-GB"/>
        </w:rPr>
        <w:t>. Minister for Immigration and Border Protection [2014] FCA 947</w:t>
      </w:r>
      <w:r w:rsidR="00B409EB">
        <w:rPr>
          <w:lang w:val="en-GB"/>
        </w:rPr>
        <w:t xml:space="preserve"> was mis</w:t>
      </w:r>
      <w:r w:rsidR="00E16BB9">
        <w:rPr>
          <w:lang w:val="en-GB"/>
        </w:rPr>
        <w:t>interpreted</w:t>
      </w:r>
      <w:r w:rsidR="00B409EB">
        <w:rPr>
          <w:lang w:val="en-GB"/>
        </w:rPr>
        <w:t xml:space="preserve">. </w:t>
      </w:r>
      <w:r w:rsidR="00E16BB9">
        <w:rPr>
          <w:lang w:val="en-GB"/>
        </w:rPr>
        <w:t>In that case, o</w:t>
      </w:r>
      <w:r w:rsidR="00B409EB">
        <w:rPr>
          <w:lang w:val="en-GB"/>
        </w:rPr>
        <w:t xml:space="preserve">n 17 June 2015, the High Court considered that the question of whether </w:t>
      </w:r>
      <w:r w:rsidR="00E16BB9">
        <w:rPr>
          <w:lang w:val="en-GB"/>
        </w:rPr>
        <w:t>the</w:t>
      </w:r>
      <w:r w:rsidR="00B409EB">
        <w:rPr>
          <w:lang w:val="en-GB"/>
        </w:rPr>
        <w:t xml:space="preserve"> risk of loss of liberty constitute</w:t>
      </w:r>
      <w:r w:rsidR="00E16BB9">
        <w:rPr>
          <w:lang w:val="en-GB"/>
        </w:rPr>
        <w:t>d</w:t>
      </w:r>
      <w:r w:rsidR="00B409EB">
        <w:rPr>
          <w:lang w:val="en-GB"/>
        </w:rPr>
        <w:t xml:space="preserve"> </w:t>
      </w:r>
      <w:r w:rsidR="00E16BB9">
        <w:rPr>
          <w:lang w:val="en-GB"/>
        </w:rPr>
        <w:t>“</w:t>
      </w:r>
      <w:r w:rsidR="00B409EB">
        <w:rPr>
          <w:lang w:val="en-GB"/>
        </w:rPr>
        <w:t>serious harm</w:t>
      </w:r>
      <w:r w:rsidR="00E16BB9">
        <w:rPr>
          <w:lang w:val="en-GB"/>
        </w:rPr>
        <w:t>”</w:t>
      </w:r>
      <w:r w:rsidR="00B409EB">
        <w:rPr>
          <w:lang w:val="en-GB"/>
        </w:rPr>
        <w:t xml:space="preserve"> for the purpose of section 91R of the Migration Act</w:t>
      </w:r>
      <w:r w:rsidR="00E16BB9">
        <w:rPr>
          <w:lang w:val="en-GB"/>
        </w:rPr>
        <w:t>, which</w:t>
      </w:r>
      <w:r w:rsidR="00B409EB">
        <w:rPr>
          <w:lang w:val="en-GB"/>
        </w:rPr>
        <w:t xml:space="preserve"> requires </w:t>
      </w:r>
      <w:r w:rsidR="00DA2B3C">
        <w:rPr>
          <w:lang w:val="en-GB"/>
        </w:rPr>
        <w:t xml:space="preserve">a qualitative evaluation of the nature and gravity of the apprehended loss of liberty. </w:t>
      </w:r>
      <w:r w:rsidR="00E16BB9">
        <w:rPr>
          <w:lang w:val="en-GB"/>
        </w:rPr>
        <w:t>The decisions of b</w:t>
      </w:r>
      <w:r w:rsidR="00DA2B3C">
        <w:rPr>
          <w:lang w:val="en-GB"/>
        </w:rPr>
        <w:t xml:space="preserve">oth the Federal Court and </w:t>
      </w:r>
      <w:r w:rsidR="00E16BB9">
        <w:rPr>
          <w:lang w:val="en-GB"/>
        </w:rPr>
        <w:t xml:space="preserve">the </w:t>
      </w:r>
      <w:r w:rsidR="00DA2B3C">
        <w:rPr>
          <w:lang w:val="en-GB"/>
        </w:rPr>
        <w:t>High Court relate</w:t>
      </w:r>
      <w:r w:rsidR="00E16BB9">
        <w:rPr>
          <w:lang w:val="en-GB"/>
        </w:rPr>
        <w:t>d</w:t>
      </w:r>
      <w:r w:rsidR="00DA2B3C">
        <w:rPr>
          <w:lang w:val="en-GB"/>
        </w:rPr>
        <w:t xml:space="preserve"> to the interpretation of </w:t>
      </w:r>
      <w:r w:rsidR="00E16BB9">
        <w:rPr>
          <w:lang w:val="en-GB"/>
        </w:rPr>
        <w:t xml:space="preserve">the </w:t>
      </w:r>
      <w:r w:rsidR="00DA2B3C">
        <w:rPr>
          <w:lang w:val="en-GB"/>
        </w:rPr>
        <w:t xml:space="preserve">provisions of Australian legislation </w:t>
      </w:r>
      <w:r w:rsidR="00E16BB9">
        <w:rPr>
          <w:lang w:val="en-GB"/>
        </w:rPr>
        <w:t xml:space="preserve">insofar as </w:t>
      </w:r>
      <w:r w:rsidR="00FC579B">
        <w:rPr>
          <w:lang w:val="en-GB"/>
        </w:rPr>
        <w:t>they</w:t>
      </w:r>
      <w:r w:rsidR="00E16BB9">
        <w:rPr>
          <w:lang w:val="en-GB"/>
        </w:rPr>
        <w:t xml:space="preserve"> concern</w:t>
      </w:r>
      <w:r w:rsidR="00AB5C73">
        <w:rPr>
          <w:lang w:val="en-GB"/>
        </w:rPr>
        <w:t>ed</w:t>
      </w:r>
      <w:r w:rsidR="00E16BB9">
        <w:rPr>
          <w:lang w:val="en-GB"/>
        </w:rPr>
        <w:t xml:space="preserve"> the</w:t>
      </w:r>
      <w:r w:rsidR="00DA2B3C">
        <w:rPr>
          <w:lang w:val="en-GB"/>
        </w:rPr>
        <w:t xml:space="preserve"> implement</w:t>
      </w:r>
      <w:r w:rsidR="00E16BB9">
        <w:rPr>
          <w:lang w:val="en-GB"/>
        </w:rPr>
        <w:t>ation of</w:t>
      </w:r>
      <w:r w:rsidR="00DA2B3C">
        <w:rPr>
          <w:lang w:val="en-GB"/>
        </w:rPr>
        <w:t xml:space="preserve"> the 1951 </w:t>
      </w:r>
      <w:r w:rsidR="00FC579B">
        <w:rPr>
          <w:lang w:val="en-GB"/>
        </w:rPr>
        <w:t xml:space="preserve">Refugee </w:t>
      </w:r>
      <w:r w:rsidR="00DA2B3C">
        <w:rPr>
          <w:lang w:val="en-GB"/>
        </w:rPr>
        <w:t xml:space="preserve">Convention </w:t>
      </w:r>
      <w:r w:rsidR="00FC579B">
        <w:rPr>
          <w:lang w:val="en-GB"/>
        </w:rPr>
        <w:t xml:space="preserve">and </w:t>
      </w:r>
      <w:r w:rsidR="00DA2B3C">
        <w:rPr>
          <w:lang w:val="en-GB"/>
        </w:rPr>
        <w:t xml:space="preserve">the 1967 Protocol </w:t>
      </w:r>
      <w:r w:rsidR="00FC579B">
        <w:rPr>
          <w:lang w:val="en-GB"/>
        </w:rPr>
        <w:t>R</w:t>
      </w:r>
      <w:r w:rsidR="00DA2B3C">
        <w:rPr>
          <w:lang w:val="en-GB"/>
        </w:rPr>
        <w:t xml:space="preserve">elating to the Status of Refugees and are not relevant to the </w:t>
      </w:r>
      <w:r w:rsidR="00FC579B">
        <w:rPr>
          <w:lang w:val="en-GB"/>
        </w:rPr>
        <w:t xml:space="preserve">Convention obligations of the </w:t>
      </w:r>
      <w:r w:rsidR="00DA2B3C">
        <w:rPr>
          <w:lang w:val="en-GB"/>
        </w:rPr>
        <w:t>Australian Government</w:t>
      </w:r>
      <w:r w:rsidR="00FC579B">
        <w:rPr>
          <w:lang w:val="en-GB"/>
        </w:rPr>
        <w:t xml:space="preserve"> with regard to</w:t>
      </w:r>
      <w:r w:rsidR="00DA2B3C">
        <w:rPr>
          <w:lang w:val="en-GB"/>
        </w:rPr>
        <w:t xml:space="preserve"> the complainant. The State party submits that these claims are inadmissible</w:t>
      </w:r>
      <w:r w:rsidR="00FC579B">
        <w:rPr>
          <w:lang w:val="en-GB"/>
        </w:rPr>
        <w:t>,</w:t>
      </w:r>
      <w:r w:rsidR="00DA2B3C">
        <w:rPr>
          <w:lang w:val="en-GB"/>
        </w:rPr>
        <w:t xml:space="preserve"> </w:t>
      </w:r>
      <w:r w:rsidR="00DA2B3C" w:rsidRPr="00E46CE8">
        <w:rPr>
          <w:i/>
          <w:lang w:val="en-GB"/>
        </w:rPr>
        <w:t>ratione materiae</w:t>
      </w:r>
      <w:r w:rsidR="00FC579B">
        <w:rPr>
          <w:lang w:val="en-GB"/>
        </w:rPr>
        <w:t xml:space="preserve">, </w:t>
      </w:r>
      <w:r w:rsidR="00DA2B3C">
        <w:rPr>
          <w:lang w:val="en-GB"/>
        </w:rPr>
        <w:t xml:space="preserve">under </w:t>
      </w:r>
      <w:r w:rsidR="00FC579B">
        <w:rPr>
          <w:lang w:val="en-GB"/>
        </w:rPr>
        <w:t>r</w:t>
      </w:r>
      <w:r w:rsidR="00DA2B3C">
        <w:rPr>
          <w:lang w:val="en-GB"/>
        </w:rPr>
        <w:t>ule 113</w:t>
      </w:r>
      <w:r w:rsidR="00FC579B">
        <w:rPr>
          <w:lang w:val="en-GB"/>
        </w:rPr>
        <w:t xml:space="preserve"> </w:t>
      </w:r>
      <w:r>
        <w:rPr>
          <w:lang w:val="en-GB"/>
        </w:rPr>
        <w:t>(c)</w:t>
      </w:r>
      <w:r w:rsidR="00DA2B3C">
        <w:rPr>
          <w:lang w:val="en-GB"/>
        </w:rPr>
        <w:t xml:space="preserve"> of the Committee’s </w:t>
      </w:r>
      <w:r w:rsidR="00FC579B">
        <w:rPr>
          <w:lang w:val="en-GB"/>
        </w:rPr>
        <w:t>r</w:t>
      </w:r>
      <w:r w:rsidR="00DA2B3C">
        <w:rPr>
          <w:lang w:val="en-GB"/>
        </w:rPr>
        <w:t xml:space="preserve">ules of </w:t>
      </w:r>
      <w:r w:rsidR="00FC579B">
        <w:rPr>
          <w:lang w:val="en-GB"/>
        </w:rPr>
        <w:t>p</w:t>
      </w:r>
      <w:r w:rsidR="00DA2B3C">
        <w:rPr>
          <w:lang w:val="en-GB"/>
        </w:rPr>
        <w:t>rocedure.</w:t>
      </w:r>
      <w:r w:rsidR="00CB678E">
        <w:rPr>
          <w:lang w:val="en-GB"/>
        </w:rPr>
        <w:t xml:space="preserve"> </w:t>
      </w:r>
    </w:p>
    <w:p w:rsidR="0073747C" w:rsidRDefault="00A039EF">
      <w:pPr>
        <w:pStyle w:val="SingleTxtG"/>
        <w:rPr>
          <w:lang w:val="en-GB"/>
        </w:rPr>
      </w:pPr>
      <w:r>
        <w:rPr>
          <w:lang w:val="en-GB"/>
        </w:rPr>
        <w:t>6.3</w:t>
      </w:r>
      <w:r>
        <w:rPr>
          <w:lang w:val="en-GB"/>
        </w:rPr>
        <w:tab/>
      </w:r>
      <w:r w:rsidR="0073747C">
        <w:rPr>
          <w:lang w:val="en-GB"/>
        </w:rPr>
        <w:t xml:space="preserve">Regarding the complainant’s claim that </w:t>
      </w:r>
      <w:r w:rsidR="00FC579B">
        <w:rPr>
          <w:lang w:val="en-GB"/>
        </w:rPr>
        <w:t xml:space="preserve">his </w:t>
      </w:r>
      <w:r w:rsidR="00AB5C73">
        <w:rPr>
          <w:lang w:val="en-GB"/>
        </w:rPr>
        <w:t>status</w:t>
      </w:r>
      <w:r w:rsidR="00FC579B">
        <w:rPr>
          <w:lang w:val="en-GB"/>
        </w:rPr>
        <w:t xml:space="preserve"> </w:t>
      </w:r>
      <w:r w:rsidR="0073747C">
        <w:rPr>
          <w:lang w:val="en-GB"/>
        </w:rPr>
        <w:t xml:space="preserve">is far wider </w:t>
      </w:r>
      <w:r w:rsidR="00FC579B">
        <w:rPr>
          <w:lang w:val="en-GB"/>
        </w:rPr>
        <w:t xml:space="preserve">that the </w:t>
      </w:r>
      <w:r w:rsidR="00AB5C73">
        <w:rPr>
          <w:lang w:val="en-GB"/>
        </w:rPr>
        <w:t xml:space="preserve">particular </w:t>
      </w:r>
      <w:r w:rsidR="00FC579B">
        <w:rPr>
          <w:lang w:val="en-GB"/>
        </w:rPr>
        <w:t xml:space="preserve">social group of failed asylum seekers as </w:t>
      </w:r>
      <w:r w:rsidR="007678D5">
        <w:rPr>
          <w:lang w:val="en-GB"/>
        </w:rPr>
        <w:t xml:space="preserve">he </w:t>
      </w:r>
      <w:r w:rsidR="0073747C">
        <w:rPr>
          <w:lang w:val="en-GB"/>
        </w:rPr>
        <w:t>is a failed asylum seeker, suspected of LTTE connections and</w:t>
      </w:r>
      <w:r w:rsidR="00FC579B">
        <w:rPr>
          <w:lang w:val="en-GB"/>
        </w:rPr>
        <w:t xml:space="preserve"> whose</w:t>
      </w:r>
      <w:r w:rsidR="0073747C">
        <w:rPr>
          <w:lang w:val="en-GB"/>
        </w:rPr>
        <w:t xml:space="preserve"> departure</w:t>
      </w:r>
      <w:r w:rsidR="00FC579B">
        <w:rPr>
          <w:lang w:val="en-GB"/>
        </w:rPr>
        <w:t xml:space="preserve"> was illegal</w:t>
      </w:r>
      <w:r w:rsidR="0073747C">
        <w:rPr>
          <w:lang w:val="en-GB"/>
        </w:rPr>
        <w:t xml:space="preserve">, the State party submits that the Federal Circuit Court found that there was no legal error in the </w:t>
      </w:r>
      <w:r w:rsidR="00C01E7B">
        <w:rPr>
          <w:lang w:val="en-GB"/>
        </w:rPr>
        <w:t xml:space="preserve">decision of the </w:t>
      </w:r>
      <w:r w:rsidR="0073747C">
        <w:rPr>
          <w:lang w:val="en-GB"/>
        </w:rPr>
        <w:t xml:space="preserve">Refugee Review Tribunal. The </w:t>
      </w:r>
      <w:r w:rsidR="00C01E7B">
        <w:rPr>
          <w:lang w:val="en-GB"/>
        </w:rPr>
        <w:t>Circuit Court</w:t>
      </w:r>
      <w:r w:rsidR="0073747C">
        <w:rPr>
          <w:lang w:val="en-GB"/>
        </w:rPr>
        <w:t xml:space="preserve"> found that </w:t>
      </w:r>
      <w:r w:rsidR="00C01E7B">
        <w:rPr>
          <w:lang w:val="en-GB"/>
        </w:rPr>
        <w:t>it was</w:t>
      </w:r>
      <w:r w:rsidR="0073747C">
        <w:rPr>
          <w:lang w:val="en-GB"/>
        </w:rPr>
        <w:t xml:space="preserve"> reasonably open to </w:t>
      </w:r>
      <w:r w:rsidR="00C01E7B">
        <w:rPr>
          <w:lang w:val="en-GB"/>
        </w:rPr>
        <w:t>the Tribunal</w:t>
      </w:r>
      <w:r w:rsidR="0073747C">
        <w:rPr>
          <w:lang w:val="en-GB"/>
        </w:rPr>
        <w:t xml:space="preserve"> to make</w:t>
      </w:r>
      <w:r w:rsidR="00C01E7B">
        <w:rPr>
          <w:lang w:val="en-GB"/>
        </w:rPr>
        <w:t xml:space="preserve"> its decision</w:t>
      </w:r>
      <w:r w:rsidR="0073747C">
        <w:rPr>
          <w:lang w:val="en-GB"/>
        </w:rPr>
        <w:t xml:space="preserve"> on what </w:t>
      </w:r>
      <w:r w:rsidR="00C01E7B">
        <w:rPr>
          <w:lang w:val="en-GB"/>
        </w:rPr>
        <w:t>wa</w:t>
      </w:r>
      <w:r w:rsidR="0073747C">
        <w:rPr>
          <w:lang w:val="en-GB"/>
        </w:rPr>
        <w:t xml:space="preserve">s before it. The </w:t>
      </w:r>
      <w:r w:rsidR="00C01E7B">
        <w:rPr>
          <w:lang w:val="en-GB"/>
        </w:rPr>
        <w:t>Tribunal</w:t>
      </w:r>
      <w:r w:rsidR="0073747C">
        <w:rPr>
          <w:lang w:val="en-GB"/>
        </w:rPr>
        <w:t xml:space="preserve"> gave cogent reasons for </w:t>
      </w:r>
      <w:r w:rsidR="00C01E7B">
        <w:rPr>
          <w:lang w:val="en-GB"/>
        </w:rPr>
        <w:t>not</w:t>
      </w:r>
      <w:r w:rsidR="0073747C">
        <w:rPr>
          <w:lang w:val="en-GB"/>
        </w:rPr>
        <w:t xml:space="preserve"> belie</w:t>
      </w:r>
      <w:r w:rsidR="00C01E7B">
        <w:rPr>
          <w:lang w:val="en-GB"/>
        </w:rPr>
        <w:t>ving</w:t>
      </w:r>
      <w:r w:rsidR="0073747C">
        <w:rPr>
          <w:lang w:val="en-GB"/>
        </w:rPr>
        <w:t xml:space="preserve"> the applicant’s evidence. The Department of Immigration and Border Protection also assessed the </w:t>
      </w:r>
      <w:r w:rsidR="00947668">
        <w:rPr>
          <w:lang w:val="en-GB"/>
        </w:rPr>
        <w:t xml:space="preserve">complainant’s </w:t>
      </w:r>
      <w:r w:rsidR="0073747C">
        <w:rPr>
          <w:lang w:val="en-GB"/>
        </w:rPr>
        <w:t xml:space="preserve">claim that he </w:t>
      </w:r>
      <w:r w:rsidR="00947668">
        <w:rPr>
          <w:lang w:val="en-GB"/>
        </w:rPr>
        <w:t>wa</w:t>
      </w:r>
      <w:r w:rsidR="0073747C">
        <w:rPr>
          <w:lang w:val="en-GB"/>
        </w:rPr>
        <w:t xml:space="preserve">s a failed asylum seeker with LTTE connections and </w:t>
      </w:r>
      <w:r w:rsidR="00AB5C73">
        <w:rPr>
          <w:lang w:val="en-GB"/>
        </w:rPr>
        <w:t xml:space="preserve">had left the country </w:t>
      </w:r>
      <w:r w:rsidR="0073747C">
        <w:rPr>
          <w:lang w:val="en-GB"/>
        </w:rPr>
        <w:t>illegal</w:t>
      </w:r>
      <w:r w:rsidR="00AB5C73">
        <w:rPr>
          <w:lang w:val="en-GB"/>
        </w:rPr>
        <w:t>ly</w:t>
      </w:r>
      <w:r w:rsidR="0073747C">
        <w:rPr>
          <w:lang w:val="en-GB"/>
        </w:rPr>
        <w:t xml:space="preserve">. </w:t>
      </w:r>
      <w:r w:rsidR="00947668">
        <w:rPr>
          <w:lang w:val="en-GB"/>
        </w:rPr>
        <w:t xml:space="preserve">In the light of </w:t>
      </w:r>
      <w:r w:rsidR="0073747C">
        <w:rPr>
          <w:lang w:val="en-GB"/>
        </w:rPr>
        <w:t xml:space="preserve">current country information, </w:t>
      </w:r>
      <w:r w:rsidR="00947668">
        <w:rPr>
          <w:lang w:val="en-GB"/>
        </w:rPr>
        <w:t xml:space="preserve">the </w:t>
      </w:r>
      <w:r w:rsidR="0073747C">
        <w:rPr>
          <w:lang w:val="en-GB"/>
        </w:rPr>
        <w:t>D</w:t>
      </w:r>
      <w:r w:rsidR="00947668">
        <w:rPr>
          <w:lang w:val="en-GB"/>
        </w:rPr>
        <w:t>epartment</w:t>
      </w:r>
      <w:r w:rsidR="0073747C">
        <w:rPr>
          <w:lang w:val="en-GB"/>
        </w:rPr>
        <w:t xml:space="preserve"> consider</w:t>
      </w:r>
      <w:r w:rsidR="00947668">
        <w:rPr>
          <w:lang w:val="en-GB"/>
        </w:rPr>
        <w:t>ed</w:t>
      </w:r>
      <w:r w:rsidR="0073747C">
        <w:rPr>
          <w:lang w:val="en-GB"/>
        </w:rPr>
        <w:t xml:space="preserve">, </w:t>
      </w:r>
      <w:r w:rsidR="00947668">
        <w:rPr>
          <w:lang w:val="en-GB"/>
        </w:rPr>
        <w:t>like the</w:t>
      </w:r>
      <w:r w:rsidR="0073747C">
        <w:rPr>
          <w:lang w:val="en-GB"/>
        </w:rPr>
        <w:t xml:space="preserve"> previous assessments, </w:t>
      </w:r>
      <w:r w:rsidR="00947668">
        <w:rPr>
          <w:lang w:val="en-GB"/>
        </w:rPr>
        <w:t xml:space="preserve">that </w:t>
      </w:r>
      <w:r w:rsidR="0073747C">
        <w:rPr>
          <w:lang w:val="en-GB"/>
        </w:rPr>
        <w:t>the complainant d</w:t>
      </w:r>
      <w:r w:rsidR="00947668">
        <w:rPr>
          <w:lang w:val="en-GB"/>
        </w:rPr>
        <w:t>id</w:t>
      </w:r>
      <w:r w:rsidR="0073747C">
        <w:rPr>
          <w:lang w:val="en-GB"/>
        </w:rPr>
        <w:t xml:space="preserve"> not have LTTE connections and therefore would not be at risk of significant harm by </w:t>
      </w:r>
      <w:r w:rsidR="00947668">
        <w:rPr>
          <w:lang w:val="en-GB"/>
        </w:rPr>
        <w:t xml:space="preserve">the </w:t>
      </w:r>
      <w:r w:rsidR="0073747C">
        <w:rPr>
          <w:lang w:val="en-GB"/>
        </w:rPr>
        <w:t>Sri Lankan authorities on th</w:t>
      </w:r>
      <w:r w:rsidR="00947668">
        <w:rPr>
          <w:lang w:val="en-GB"/>
        </w:rPr>
        <w:t>at</w:t>
      </w:r>
      <w:r w:rsidR="0073747C">
        <w:rPr>
          <w:lang w:val="en-GB"/>
        </w:rPr>
        <w:t xml:space="preserve"> basis</w:t>
      </w:r>
      <w:r w:rsidR="00AB5C73">
        <w:rPr>
          <w:lang w:val="en-GB"/>
        </w:rPr>
        <w:t>,</w:t>
      </w:r>
      <w:r w:rsidR="0073747C">
        <w:rPr>
          <w:lang w:val="en-GB"/>
        </w:rPr>
        <w:t xml:space="preserve"> nor as a failed asylum seeker.</w:t>
      </w:r>
    </w:p>
    <w:p w:rsidR="0073747C" w:rsidRDefault="00A039EF">
      <w:pPr>
        <w:pStyle w:val="SingleTxtG"/>
        <w:rPr>
          <w:lang w:val="en-GB"/>
        </w:rPr>
      </w:pPr>
      <w:r>
        <w:rPr>
          <w:lang w:val="en-GB"/>
        </w:rPr>
        <w:t>6.4</w:t>
      </w:r>
      <w:r>
        <w:rPr>
          <w:lang w:val="en-GB"/>
        </w:rPr>
        <w:tab/>
      </w:r>
      <w:r w:rsidRPr="002238F7">
        <w:rPr>
          <w:lang w:val="en-GB"/>
        </w:rPr>
        <w:t>The State party</w:t>
      </w:r>
      <w:r>
        <w:rPr>
          <w:lang w:val="en-GB"/>
        </w:rPr>
        <w:t xml:space="preserve"> submits that the </w:t>
      </w:r>
      <w:r w:rsidR="004D2E7F">
        <w:rPr>
          <w:lang w:val="en-GB"/>
        </w:rPr>
        <w:t>D</w:t>
      </w:r>
      <w:r w:rsidR="00947668">
        <w:rPr>
          <w:lang w:val="en-GB"/>
        </w:rPr>
        <w:t>epartment of Immigration and Border Protection</w:t>
      </w:r>
      <w:r w:rsidR="004D2E7F">
        <w:rPr>
          <w:lang w:val="en-GB"/>
        </w:rPr>
        <w:t xml:space="preserve"> </w:t>
      </w:r>
      <w:r w:rsidR="00947668">
        <w:rPr>
          <w:lang w:val="en-GB"/>
        </w:rPr>
        <w:t xml:space="preserve">had </w:t>
      </w:r>
      <w:r w:rsidR="004D2E7F">
        <w:rPr>
          <w:lang w:val="en-GB"/>
        </w:rPr>
        <w:t>also assessed the c</w:t>
      </w:r>
      <w:r>
        <w:rPr>
          <w:lang w:val="en-GB"/>
        </w:rPr>
        <w:t xml:space="preserve">laims </w:t>
      </w:r>
      <w:r w:rsidR="004D2E7F">
        <w:rPr>
          <w:lang w:val="en-GB"/>
        </w:rPr>
        <w:t xml:space="preserve">that the </w:t>
      </w:r>
      <w:r>
        <w:rPr>
          <w:lang w:val="en-GB"/>
        </w:rPr>
        <w:t xml:space="preserve">complainant </w:t>
      </w:r>
      <w:r w:rsidR="004D2E7F">
        <w:rPr>
          <w:lang w:val="en-GB"/>
        </w:rPr>
        <w:t>w</w:t>
      </w:r>
      <w:r w:rsidR="00947668">
        <w:rPr>
          <w:lang w:val="en-GB"/>
        </w:rPr>
        <w:t>ould</w:t>
      </w:r>
      <w:r w:rsidR="004D2E7F">
        <w:rPr>
          <w:lang w:val="en-GB"/>
        </w:rPr>
        <w:t xml:space="preserve"> be questioned and interrogated upon return to Sri </w:t>
      </w:r>
      <w:r>
        <w:rPr>
          <w:lang w:val="en-GB"/>
        </w:rPr>
        <w:t>Lank</w:t>
      </w:r>
      <w:r w:rsidR="007678D5">
        <w:rPr>
          <w:lang w:val="en-GB"/>
        </w:rPr>
        <w:t>a</w:t>
      </w:r>
      <w:r>
        <w:rPr>
          <w:lang w:val="en-GB"/>
        </w:rPr>
        <w:t xml:space="preserve"> </w:t>
      </w:r>
      <w:r w:rsidR="00947668">
        <w:rPr>
          <w:lang w:val="en-GB"/>
        </w:rPr>
        <w:t>owing to</w:t>
      </w:r>
      <w:r>
        <w:rPr>
          <w:lang w:val="en-GB"/>
        </w:rPr>
        <w:t xml:space="preserve"> his association with the T</w:t>
      </w:r>
      <w:r w:rsidR="004D2E7F">
        <w:rPr>
          <w:lang w:val="en-GB"/>
        </w:rPr>
        <w:t xml:space="preserve">amil Congress in </w:t>
      </w:r>
      <w:r w:rsidR="00947668">
        <w:rPr>
          <w:lang w:val="en-GB"/>
        </w:rPr>
        <w:t>Australia</w:t>
      </w:r>
      <w:r w:rsidR="004D2E7F">
        <w:rPr>
          <w:lang w:val="en-GB"/>
        </w:rPr>
        <w:t xml:space="preserve">. </w:t>
      </w:r>
      <w:r w:rsidR="002238F7">
        <w:rPr>
          <w:lang w:val="en-GB"/>
        </w:rPr>
        <w:t>However, t</w:t>
      </w:r>
      <w:r>
        <w:rPr>
          <w:lang w:val="en-GB"/>
        </w:rPr>
        <w:t>he State Party notes that t</w:t>
      </w:r>
      <w:r w:rsidR="004D2E7F">
        <w:rPr>
          <w:lang w:val="en-GB"/>
        </w:rPr>
        <w:t xml:space="preserve">he </w:t>
      </w:r>
      <w:r>
        <w:rPr>
          <w:lang w:val="en-GB"/>
        </w:rPr>
        <w:t xml:space="preserve">complainant </w:t>
      </w:r>
      <w:r w:rsidR="00947668">
        <w:rPr>
          <w:lang w:val="en-GB"/>
        </w:rPr>
        <w:t>did</w:t>
      </w:r>
      <w:r w:rsidR="004D2E7F">
        <w:rPr>
          <w:lang w:val="en-GB"/>
        </w:rPr>
        <w:t xml:space="preserve"> not explained how or why his </w:t>
      </w:r>
      <w:r w:rsidR="004D2E7F">
        <w:rPr>
          <w:lang w:val="en-GB"/>
        </w:rPr>
        <w:lastRenderedPageBreak/>
        <w:t xml:space="preserve">interactions with the Tamil Congress would put him at risk of torture. </w:t>
      </w:r>
      <w:r>
        <w:rPr>
          <w:lang w:val="en-GB"/>
        </w:rPr>
        <w:t xml:space="preserve">The State party </w:t>
      </w:r>
      <w:r w:rsidR="00947668">
        <w:rPr>
          <w:lang w:val="en-GB"/>
        </w:rPr>
        <w:t>also</w:t>
      </w:r>
      <w:r>
        <w:rPr>
          <w:lang w:val="en-GB"/>
        </w:rPr>
        <w:t xml:space="preserve"> submits that </w:t>
      </w:r>
      <w:r w:rsidR="004D2E7F">
        <w:rPr>
          <w:lang w:val="en-GB"/>
        </w:rPr>
        <w:t xml:space="preserve">the issue of the </w:t>
      </w:r>
      <w:r w:rsidR="00F47A0C">
        <w:rPr>
          <w:lang w:val="en-GB"/>
        </w:rPr>
        <w:t>complainant</w:t>
      </w:r>
      <w:r w:rsidR="004D2E7F">
        <w:rPr>
          <w:lang w:val="en-GB"/>
        </w:rPr>
        <w:t>’s Tamil ethnicity and alleged links with LTTE ha</w:t>
      </w:r>
      <w:r w:rsidR="00F47A0C">
        <w:rPr>
          <w:lang w:val="en-GB"/>
        </w:rPr>
        <w:t>d</w:t>
      </w:r>
      <w:r w:rsidR="004D2E7F">
        <w:rPr>
          <w:lang w:val="en-GB"/>
        </w:rPr>
        <w:t xml:space="preserve"> been thoroughly assessed and </w:t>
      </w:r>
      <w:r>
        <w:rPr>
          <w:lang w:val="en-GB"/>
        </w:rPr>
        <w:t>b</w:t>
      </w:r>
      <w:r w:rsidR="004D2E7F">
        <w:rPr>
          <w:lang w:val="en-GB"/>
        </w:rPr>
        <w:t xml:space="preserve">oth the </w:t>
      </w:r>
      <w:r w:rsidR="00F47A0C">
        <w:rPr>
          <w:lang w:val="en-GB"/>
        </w:rPr>
        <w:t>p</w:t>
      </w:r>
      <w:r w:rsidR="004D2E7F">
        <w:rPr>
          <w:lang w:val="en-GB"/>
        </w:rPr>
        <w:t>rotection</w:t>
      </w:r>
      <w:r w:rsidR="00F47A0C">
        <w:rPr>
          <w:lang w:val="en-GB"/>
        </w:rPr>
        <w:t xml:space="preserve"> v</w:t>
      </w:r>
      <w:r w:rsidR="004D2E7F">
        <w:rPr>
          <w:lang w:val="en-GB"/>
        </w:rPr>
        <w:t>isa assessment</w:t>
      </w:r>
      <w:r w:rsidR="00F47A0C">
        <w:rPr>
          <w:lang w:val="en-GB"/>
        </w:rPr>
        <w:t xml:space="preserve"> by the Department of immigration and Border Protection</w:t>
      </w:r>
      <w:r w:rsidR="004D2E7F">
        <w:rPr>
          <w:lang w:val="en-GB"/>
        </w:rPr>
        <w:t xml:space="preserve"> and the R</w:t>
      </w:r>
      <w:r w:rsidR="00F47A0C">
        <w:rPr>
          <w:lang w:val="en-GB"/>
        </w:rPr>
        <w:t xml:space="preserve">efugee </w:t>
      </w:r>
      <w:r w:rsidR="004D2E7F">
        <w:rPr>
          <w:lang w:val="en-GB"/>
        </w:rPr>
        <w:t>R</w:t>
      </w:r>
      <w:r w:rsidR="00F47A0C">
        <w:rPr>
          <w:lang w:val="en-GB"/>
        </w:rPr>
        <w:t xml:space="preserve">eview </w:t>
      </w:r>
      <w:r w:rsidR="004D2E7F">
        <w:rPr>
          <w:lang w:val="en-GB"/>
        </w:rPr>
        <w:t>T</w:t>
      </w:r>
      <w:r w:rsidR="00F47A0C">
        <w:rPr>
          <w:lang w:val="en-GB"/>
        </w:rPr>
        <w:t>ribunal’s assessment</w:t>
      </w:r>
      <w:r w:rsidR="004D2E7F">
        <w:rPr>
          <w:lang w:val="en-GB"/>
        </w:rPr>
        <w:t xml:space="preserve"> found that he did not have any connection with LTTE</w:t>
      </w:r>
      <w:r w:rsidR="00F47A0C">
        <w:rPr>
          <w:lang w:val="en-GB"/>
        </w:rPr>
        <w:t>, nor</w:t>
      </w:r>
      <w:r w:rsidR="004D2E7F">
        <w:rPr>
          <w:lang w:val="en-GB"/>
        </w:rPr>
        <w:t xml:space="preserve"> was</w:t>
      </w:r>
      <w:r w:rsidR="00F47A0C">
        <w:rPr>
          <w:lang w:val="en-GB"/>
        </w:rPr>
        <w:t xml:space="preserve"> he</w:t>
      </w:r>
      <w:r w:rsidR="004D2E7F">
        <w:rPr>
          <w:lang w:val="en-GB"/>
        </w:rPr>
        <w:t xml:space="preserve"> suspected of such links </w:t>
      </w:r>
      <w:r w:rsidR="00F47A0C">
        <w:rPr>
          <w:lang w:val="en-GB"/>
        </w:rPr>
        <w:t>or</w:t>
      </w:r>
      <w:r w:rsidR="004D2E7F">
        <w:rPr>
          <w:lang w:val="en-GB"/>
        </w:rPr>
        <w:t xml:space="preserve"> a criminal suspect. </w:t>
      </w:r>
      <w:r>
        <w:rPr>
          <w:lang w:val="en-GB"/>
        </w:rPr>
        <w:t xml:space="preserve">The State party </w:t>
      </w:r>
      <w:r w:rsidR="00F47A0C">
        <w:rPr>
          <w:lang w:val="en-GB"/>
        </w:rPr>
        <w:t>further</w:t>
      </w:r>
      <w:r>
        <w:rPr>
          <w:lang w:val="en-GB"/>
        </w:rPr>
        <w:t xml:space="preserve"> submits that </w:t>
      </w:r>
      <w:r w:rsidR="00F47A0C">
        <w:rPr>
          <w:lang w:val="en-GB"/>
        </w:rPr>
        <w:t xml:space="preserve">in its assessment, </w:t>
      </w:r>
      <w:r>
        <w:rPr>
          <w:lang w:val="en-GB"/>
        </w:rPr>
        <w:t xml:space="preserve">the </w:t>
      </w:r>
      <w:r w:rsidR="004D2E7F">
        <w:rPr>
          <w:lang w:val="en-GB"/>
        </w:rPr>
        <w:t>D</w:t>
      </w:r>
      <w:r w:rsidR="00F47A0C">
        <w:rPr>
          <w:lang w:val="en-GB"/>
        </w:rPr>
        <w:t>epartment</w:t>
      </w:r>
      <w:r w:rsidR="004D2E7F">
        <w:rPr>
          <w:lang w:val="en-GB"/>
        </w:rPr>
        <w:t xml:space="preserve"> </w:t>
      </w:r>
      <w:r w:rsidR="00F47A0C">
        <w:rPr>
          <w:lang w:val="en-GB"/>
        </w:rPr>
        <w:t>considered</w:t>
      </w:r>
      <w:r w:rsidR="004D2E7F">
        <w:rPr>
          <w:lang w:val="en-GB"/>
        </w:rPr>
        <w:t xml:space="preserve"> that the </w:t>
      </w:r>
      <w:r w:rsidR="00F47A0C">
        <w:rPr>
          <w:lang w:val="en-GB"/>
        </w:rPr>
        <w:t>complainant</w:t>
      </w:r>
      <w:r w:rsidR="004D2E7F">
        <w:rPr>
          <w:lang w:val="en-GB"/>
        </w:rPr>
        <w:t xml:space="preserve">’s claims </w:t>
      </w:r>
      <w:r w:rsidR="00F47A0C">
        <w:rPr>
          <w:lang w:val="en-GB"/>
        </w:rPr>
        <w:t>that</w:t>
      </w:r>
      <w:r w:rsidR="00050D1A">
        <w:rPr>
          <w:lang w:val="en-GB"/>
        </w:rPr>
        <w:t xml:space="preserve"> </w:t>
      </w:r>
      <w:r w:rsidR="004D2E7F">
        <w:rPr>
          <w:lang w:val="en-GB"/>
        </w:rPr>
        <w:t>his activities in</w:t>
      </w:r>
      <w:r>
        <w:rPr>
          <w:lang w:val="en-GB"/>
        </w:rPr>
        <w:t xml:space="preserve"> Australia p</w:t>
      </w:r>
      <w:r w:rsidR="00050D1A">
        <w:rPr>
          <w:lang w:val="en-GB"/>
        </w:rPr>
        <w:t>lac</w:t>
      </w:r>
      <w:r w:rsidR="00F47A0C">
        <w:rPr>
          <w:lang w:val="en-GB"/>
        </w:rPr>
        <w:t>ed</w:t>
      </w:r>
      <w:r>
        <w:rPr>
          <w:lang w:val="en-GB"/>
        </w:rPr>
        <w:t xml:space="preserve"> him at risk of to</w:t>
      </w:r>
      <w:r w:rsidR="004D2E7F">
        <w:rPr>
          <w:lang w:val="en-GB"/>
        </w:rPr>
        <w:t>rt</w:t>
      </w:r>
      <w:r>
        <w:rPr>
          <w:lang w:val="en-GB"/>
        </w:rPr>
        <w:t>ure if returned to Sri L</w:t>
      </w:r>
      <w:r w:rsidR="004D2E7F">
        <w:rPr>
          <w:lang w:val="en-GB"/>
        </w:rPr>
        <w:t xml:space="preserve">anka </w:t>
      </w:r>
      <w:r w:rsidR="00F47A0C">
        <w:rPr>
          <w:lang w:val="en-GB"/>
        </w:rPr>
        <w:t xml:space="preserve">had </w:t>
      </w:r>
      <w:r w:rsidR="004D2E7F">
        <w:rPr>
          <w:lang w:val="en-GB"/>
        </w:rPr>
        <w:t>not been substantiated.</w:t>
      </w:r>
    </w:p>
    <w:p w:rsidR="004D2E7F" w:rsidRDefault="00050D1A">
      <w:pPr>
        <w:pStyle w:val="SingleTxtG"/>
        <w:rPr>
          <w:lang w:val="en-GB"/>
        </w:rPr>
      </w:pPr>
      <w:r>
        <w:rPr>
          <w:lang w:val="en-GB"/>
        </w:rPr>
        <w:t>6.5</w:t>
      </w:r>
      <w:r>
        <w:rPr>
          <w:lang w:val="en-GB"/>
        </w:rPr>
        <w:tab/>
        <w:t xml:space="preserve">With regard to the </w:t>
      </w:r>
      <w:r w:rsidR="004D2E7F">
        <w:rPr>
          <w:lang w:val="en-GB"/>
        </w:rPr>
        <w:t>Edmund Rice Centre</w:t>
      </w:r>
      <w:r w:rsidR="008925C0">
        <w:rPr>
          <w:lang w:val="en-GB"/>
        </w:rPr>
        <w:t xml:space="preserve"> report</w:t>
      </w:r>
      <w:r w:rsidR="004D2E7F">
        <w:rPr>
          <w:lang w:val="en-GB"/>
        </w:rPr>
        <w:t xml:space="preserve"> </w:t>
      </w:r>
      <w:r w:rsidR="00F47A0C">
        <w:rPr>
          <w:lang w:val="en-GB"/>
        </w:rPr>
        <w:t>of</w:t>
      </w:r>
      <w:r w:rsidR="004D2E7F">
        <w:rPr>
          <w:lang w:val="en-GB"/>
        </w:rPr>
        <w:t xml:space="preserve"> 12 August 2015,</w:t>
      </w:r>
      <w:r w:rsidR="00DF716E" w:rsidRPr="00153A7F">
        <w:rPr>
          <w:rStyle w:val="FootnoteReference"/>
        </w:rPr>
        <w:footnoteReference w:id="14"/>
      </w:r>
      <w:r w:rsidR="004D2E7F">
        <w:rPr>
          <w:lang w:val="en-GB"/>
        </w:rPr>
        <w:t xml:space="preserve"> </w:t>
      </w:r>
      <w:r>
        <w:rPr>
          <w:lang w:val="en-GB"/>
        </w:rPr>
        <w:t xml:space="preserve">the State Party submits that </w:t>
      </w:r>
      <w:r w:rsidR="004D2E7F">
        <w:rPr>
          <w:lang w:val="en-GB"/>
        </w:rPr>
        <w:t xml:space="preserve">the </w:t>
      </w:r>
      <w:r w:rsidR="00F47A0C" w:rsidRPr="008078E6">
        <w:rPr>
          <w:lang w:val="en-GB"/>
        </w:rPr>
        <w:t>Department of Immigration and Border Protection used</w:t>
      </w:r>
      <w:r w:rsidR="00DF716E" w:rsidRPr="008078E6">
        <w:rPr>
          <w:lang w:val="en-GB"/>
        </w:rPr>
        <w:t xml:space="preserve"> </w:t>
      </w:r>
      <w:r w:rsidR="004D2E7F">
        <w:rPr>
          <w:lang w:val="en-GB"/>
        </w:rPr>
        <w:t xml:space="preserve">recent and relevant country information to assess the </w:t>
      </w:r>
      <w:r>
        <w:rPr>
          <w:lang w:val="en-GB"/>
        </w:rPr>
        <w:t>complainant</w:t>
      </w:r>
      <w:r w:rsidR="004D2E7F">
        <w:rPr>
          <w:lang w:val="en-GB"/>
        </w:rPr>
        <w:t>’s claims and that the report does not alter</w:t>
      </w:r>
      <w:r w:rsidR="008925C0">
        <w:rPr>
          <w:lang w:val="en-GB"/>
        </w:rPr>
        <w:t xml:space="preserve"> the Department’s</w:t>
      </w:r>
      <w:r w:rsidR="004D2E7F">
        <w:rPr>
          <w:lang w:val="en-GB"/>
        </w:rPr>
        <w:t xml:space="preserve"> </w:t>
      </w:r>
      <w:r w:rsidR="00DF716E">
        <w:rPr>
          <w:lang w:val="en-GB"/>
        </w:rPr>
        <w:t>conclusion</w:t>
      </w:r>
      <w:r w:rsidR="004D2E7F">
        <w:rPr>
          <w:lang w:val="en-GB"/>
        </w:rPr>
        <w:t xml:space="preserve"> that the </w:t>
      </w:r>
      <w:r w:rsidR="008925C0">
        <w:rPr>
          <w:lang w:val="en-GB"/>
        </w:rPr>
        <w:t>complainant</w:t>
      </w:r>
      <w:r w:rsidR="004D2E7F">
        <w:rPr>
          <w:lang w:val="en-GB"/>
        </w:rPr>
        <w:t xml:space="preserve"> would not be at </w:t>
      </w:r>
      <w:r w:rsidR="008925C0">
        <w:rPr>
          <w:lang w:val="en-GB"/>
        </w:rPr>
        <w:t xml:space="preserve">a </w:t>
      </w:r>
      <w:r w:rsidR="004D2E7F">
        <w:rPr>
          <w:lang w:val="en-GB"/>
        </w:rPr>
        <w:t>real and personal risk of torture upon return to Sri Lanka.</w:t>
      </w:r>
      <w:r w:rsidR="00CB678E">
        <w:rPr>
          <w:lang w:val="en-GB"/>
        </w:rPr>
        <w:t xml:space="preserve"> </w:t>
      </w:r>
      <w:r w:rsidR="004D2E7F">
        <w:rPr>
          <w:lang w:val="en-GB"/>
        </w:rPr>
        <w:t>The State party also submits that any claims made in further submissions with respect to article 14 of the International Covena</w:t>
      </w:r>
      <w:r w:rsidR="00BB7A07">
        <w:rPr>
          <w:lang w:val="en-GB"/>
        </w:rPr>
        <w:t>n</w:t>
      </w:r>
      <w:r w:rsidR="004D2E7F">
        <w:rPr>
          <w:lang w:val="en-GB"/>
        </w:rPr>
        <w:t>t on Civil and Political Rights are inadmissible</w:t>
      </w:r>
      <w:r w:rsidR="008925C0">
        <w:rPr>
          <w:lang w:val="en-GB"/>
        </w:rPr>
        <w:t>,</w:t>
      </w:r>
      <w:r w:rsidR="004D2E7F">
        <w:rPr>
          <w:lang w:val="en-GB"/>
        </w:rPr>
        <w:t xml:space="preserve"> </w:t>
      </w:r>
      <w:r w:rsidR="004D2E7F" w:rsidRPr="00E46CE8">
        <w:rPr>
          <w:i/>
          <w:lang w:val="en-GB"/>
        </w:rPr>
        <w:t>ratione materiae</w:t>
      </w:r>
      <w:r w:rsidR="008925C0">
        <w:rPr>
          <w:i/>
          <w:lang w:val="en-GB"/>
        </w:rPr>
        <w:t>,</w:t>
      </w:r>
      <w:r w:rsidR="004D2E7F">
        <w:rPr>
          <w:lang w:val="en-GB"/>
        </w:rPr>
        <w:t xml:space="preserve"> under </w:t>
      </w:r>
      <w:r w:rsidR="008925C0">
        <w:rPr>
          <w:lang w:val="en-GB"/>
        </w:rPr>
        <w:t>r</w:t>
      </w:r>
      <w:r w:rsidR="004D2E7F">
        <w:rPr>
          <w:lang w:val="en-GB"/>
        </w:rPr>
        <w:t>ule 113</w:t>
      </w:r>
      <w:r w:rsidR="008925C0">
        <w:rPr>
          <w:lang w:val="en-GB"/>
        </w:rPr>
        <w:t xml:space="preserve"> </w:t>
      </w:r>
      <w:r>
        <w:rPr>
          <w:lang w:val="en-GB"/>
        </w:rPr>
        <w:t>(c)</w:t>
      </w:r>
      <w:r w:rsidR="004D2E7F">
        <w:rPr>
          <w:lang w:val="en-GB"/>
        </w:rPr>
        <w:t xml:space="preserve"> of the Committee’s </w:t>
      </w:r>
      <w:r w:rsidR="008925C0">
        <w:rPr>
          <w:lang w:val="en-GB"/>
        </w:rPr>
        <w:t>r</w:t>
      </w:r>
      <w:r w:rsidR="004D2E7F">
        <w:rPr>
          <w:lang w:val="en-GB"/>
        </w:rPr>
        <w:t xml:space="preserve">ules of </w:t>
      </w:r>
      <w:r w:rsidR="008925C0">
        <w:rPr>
          <w:lang w:val="en-GB"/>
        </w:rPr>
        <w:t>p</w:t>
      </w:r>
      <w:r w:rsidR="004D2E7F">
        <w:rPr>
          <w:lang w:val="en-GB"/>
        </w:rPr>
        <w:t xml:space="preserve">rocedure. </w:t>
      </w:r>
      <w:r w:rsidR="008925C0">
        <w:rPr>
          <w:lang w:val="en-GB"/>
        </w:rPr>
        <w:t xml:space="preserve">Furthermore, </w:t>
      </w:r>
      <w:r w:rsidR="00D90A05">
        <w:rPr>
          <w:lang w:val="en-GB"/>
        </w:rPr>
        <w:t xml:space="preserve">noting that </w:t>
      </w:r>
      <w:r w:rsidR="00DF716E">
        <w:rPr>
          <w:lang w:val="en-GB"/>
        </w:rPr>
        <w:t xml:space="preserve">the complainant has exhausted </w:t>
      </w:r>
      <w:r w:rsidR="00D90A05">
        <w:rPr>
          <w:lang w:val="en-GB"/>
        </w:rPr>
        <w:t xml:space="preserve">all domestic remedies, </w:t>
      </w:r>
      <w:r w:rsidR="008925C0">
        <w:rPr>
          <w:lang w:val="en-GB"/>
        </w:rPr>
        <w:t xml:space="preserve">the State party </w:t>
      </w:r>
      <w:r w:rsidR="00D90A05">
        <w:rPr>
          <w:lang w:val="en-GB"/>
        </w:rPr>
        <w:t xml:space="preserve">requests that the Committee consider the complainant’s communication. </w:t>
      </w:r>
    </w:p>
    <w:p w:rsidR="00A3370B" w:rsidRDefault="004F5298">
      <w:pPr>
        <w:pStyle w:val="SingleTxtG"/>
        <w:rPr>
          <w:lang w:val="en-GB"/>
        </w:rPr>
      </w:pPr>
      <w:r>
        <w:rPr>
          <w:lang w:val="en-GB"/>
        </w:rPr>
        <w:t>6.6</w:t>
      </w:r>
      <w:r w:rsidR="00D90A05">
        <w:rPr>
          <w:lang w:val="en-GB"/>
        </w:rPr>
        <w:tab/>
      </w:r>
      <w:r w:rsidR="00DA4433">
        <w:rPr>
          <w:lang w:val="en-GB"/>
        </w:rPr>
        <w:t xml:space="preserve">On 26 February 2016, the State party requested that the </w:t>
      </w:r>
      <w:r w:rsidR="008925C0">
        <w:rPr>
          <w:lang w:val="en-GB"/>
        </w:rPr>
        <w:t xml:space="preserve">Committee </w:t>
      </w:r>
      <w:r w:rsidR="00DA4433">
        <w:rPr>
          <w:lang w:val="en-GB"/>
        </w:rPr>
        <w:t>fast-track</w:t>
      </w:r>
      <w:r w:rsidR="008925C0">
        <w:rPr>
          <w:lang w:val="en-GB"/>
        </w:rPr>
        <w:t xml:space="preserve"> the</w:t>
      </w:r>
      <w:r w:rsidR="00DA4433">
        <w:rPr>
          <w:lang w:val="en-GB"/>
        </w:rPr>
        <w:t xml:space="preserve"> consideration </w:t>
      </w:r>
      <w:r w:rsidR="008925C0">
        <w:rPr>
          <w:lang w:val="en-GB"/>
        </w:rPr>
        <w:t xml:space="preserve">of </w:t>
      </w:r>
      <w:r w:rsidR="00DA4433">
        <w:rPr>
          <w:lang w:val="en-GB"/>
        </w:rPr>
        <w:t xml:space="preserve">the </w:t>
      </w:r>
      <w:r w:rsidR="008925C0">
        <w:rPr>
          <w:lang w:val="en-GB"/>
        </w:rPr>
        <w:t>complain</w:t>
      </w:r>
      <w:r w:rsidR="00DF716E">
        <w:rPr>
          <w:lang w:val="en-GB"/>
        </w:rPr>
        <w:t>an</w:t>
      </w:r>
      <w:r w:rsidR="008925C0">
        <w:rPr>
          <w:lang w:val="en-GB"/>
        </w:rPr>
        <w:t>t</w:t>
      </w:r>
      <w:r w:rsidR="00DF716E">
        <w:rPr>
          <w:lang w:val="en-GB"/>
        </w:rPr>
        <w:t>’s communication</w:t>
      </w:r>
      <w:r w:rsidR="00DA4433">
        <w:rPr>
          <w:lang w:val="en-GB"/>
        </w:rPr>
        <w:t xml:space="preserve"> as all domestic processes ha</w:t>
      </w:r>
      <w:r w:rsidR="008925C0">
        <w:rPr>
          <w:lang w:val="en-GB"/>
        </w:rPr>
        <w:t>d</w:t>
      </w:r>
      <w:r w:rsidR="00DA4433">
        <w:rPr>
          <w:lang w:val="en-GB"/>
        </w:rPr>
        <w:t xml:space="preserve"> been finalized in th</w:t>
      </w:r>
      <w:r w:rsidR="00DF716E">
        <w:rPr>
          <w:lang w:val="en-GB"/>
        </w:rPr>
        <w:t>at case</w:t>
      </w:r>
      <w:r w:rsidR="00DA4433">
        <w:rPr>
          <w:lang w:val="en-GB"/>
        </w:rPr>
        <w:t>.</w:t>
      </w:r>
    </w:p>
    <w:p w:rsidR="005B241A" w:rsidRDefault="008925C0" w:rsidP="008078E6">
      <w:pPr>
        <w:pStyle w:val="H23G"/>
      </w:pPr>
      <w:r>
        <w:tab/>
      </w:r>
      <w:r>
        <w:tab/>
      </w:r>
      <w:r w:rsidR="00DA4433" w:rsidRPr="00DA4433">
        <w:t>Issues and proceedings before the Committee</w:t>
      </w:r>
    </w:p>
    <w:p w:rsidR="00715ED0" w:rsidRPr="00117DE2" w:rsidRDefault="00153A7F" w:rsidP="008078E6">
      <w:pPr>
        <w:pStyle w:val="H4G"/>
      </w:pPr>
      <w:r>
        <w:tab/>
      </w:r>
      <w:r>
        <w:tab/>
      </w:r>
      <w:r w:rsidR="00715ED0" w:rsidRPr="00117DE2">
        <w:t>Consideration of admissibility</w:t>
      </w:r>
    </w:p>
    <w:p w:rsidR="00715ED0" w:rsidRPr="00E46CE8" w:rsidRDefault="004F5298" w:rsidP="005B241A">
      <w:pPr>
        <w:pStyle w:val="SingleTxtG"/>
        <w:rPr>
          <w:lang w:val="en-GB"/>
        </w:rPr>
      </w:pPr>
      <w:r>
        <w:rPr>
          <w:lang w:val="en-GB"/>
        </w:rPr>
        <w:t>7</w:t>
      </w:r>
      <w:r w:rsidR="00715ED0" w:rsidRPr="00117DE2">
        <w:rPr>
          <w:lang w:val="en-GB"/>
        </w:rPr>
        <w:t>.1</w:t>
      </w:r>
      <w:r w:rsidR="00715ED0" w:rsidRPr="00117DE2">
        <w:rPr>
          <w:lang w:val="en-GB"/>
        </w:rPr>
        <w:tab/>
      </w:r>
      <w:r w:rsidR="00117DE2" w:rsidRPr="00E46CE8">
        <w:rPr>
          <w:lang w:val="en-GB"/>
        </w:rPr>
        <w:t>Before considering any c</w:t>
      </w:r>
      <w:r w:rsidR="008925C0" w:rsidRPr="00E46CE8">
        <w:rPr>
          <w:lang w:val="en-GB"/>
        </w:rPr>
        <w:t>laim</w:t>
      </w:r>
      <w:r w:rsidR="00117DE2" w:rsidRPr="00E46CE8">
        <w:rPr>
          <w:lang w:val="en-GB"/>
        </w:rPr>
        <w:t xml:space="preserve"> submitted in a communication, </w:t>
      </w:r>
      <w:r w:rsidR="00A31DC2" w:rsidRPr="00E46CE8">
        <w:rPr>
          <w:lang w:val="en-GB"/>
        </w:rPr>
        <w:t>the Committee must decide whether it is admissible under article 22 of the Convention.</w:t>
      </w:r>
      <w:r w:rsidR="00CB678E">
        <w:rPr>
          <w:lang w:val="en-GB"/>
        </w:rPr>
        <w:t xml:space="preserve"> </w:t>
      </w:r>
      <w:r w:rsidR="00A31DC2" w:rsidRPr="00E46CE8">
        <w:rPr>
          <w:lang w:val="en-GB"/>
        </w:rPr>
        <w:t>The Committee has ascertained, as it is required to do under article 22 (5) (a) of the Convention, that the same matter has not been and is not being examined under another procedure of international investigation or settlement.</w:t>
      </w:r>
    </w:p>
    <w:p w:rsidR="00A31DC2" w:rsidRPr="00E46CE8" w:rsidRDefault="004F5298" w:rsidP="00E46CE8">
      <w:pPr>
        <w:pStyle w:val="SingleTxtG"/>
        <w:rPr>
          <w:lang w:val="en-GB"/>
        </w:rPr>
      </w:pPr>
      <w:r w:rsidRPr="00E46CE8">
        <w:rPr>
          <w:lang w:val="en-GB"/>
        </w:rPr>
        <w:t>7</w:t>
      </w:r>
      <w:r w:rsidR="00A31DC2" w:rsidRPr="00E46CE8">
        <w:rPr>
          <w:lang w:val="en-GB"/>
        </w:rPr>
        <w:t>.2</w:t>
      </w:r>
      <w:r w:rsidR="00A31DC2" w:rsidRPr="00E46CE8">
        <w:rPr>
          <w:lang w:val="en-GB"/>
        </w:rPr>
        <w:tab/>
        <w:t>The Committee recalls that, in accordance with article 22 (5) (b) of the Convention, it shall not consider any communication from an individual unless it has ascertained that the individual has exhausted all available domestic remedies. The Committee notes</w:t>
      </w:r>
      <w:r w:rsidR="00E46CE8">
        <w:rPr>
          <w:lang w:val="en-GB"/>
        </w:rPr>
        <w:t xml:space="preserve"> that,</w:t>
      </w:r>
      <w:r w:rsidR="00A31DC2" w:rsidRPr="00E46CE8">
        <w:rPr>
          <w:lang w:val="en-GB"/>
        </w:rPr>
        <w:t xml:space="preserve"> in the present case, the State party has not contested that the complainant ha</w:t>
      </w:r>
      <w:r w:rsidR="00E46CE8">
        <w:rPr>
          <w:lang w:val="en-GB"/>
        </w:rPr>
        <w:t>s</w:t>
      </w:r>
      <w:r w:rsidR="00A31DC2" w:rsidRPr="00E46CE8">
        <w:rPr>
          <w:lang w:val="en-GB"/>
        </w:rPr>
        <w:t xml:space="preserve"> exhausted all available domestic remedies.</w:t>
      </w:r>
      <w:r w:rsidR="005B241A" w:rsidRPr="00153A7F">
        <w:rPr>
          <w:rStyle w:val="FootnoteReference"/>
        </w:rPr>
        <w:footnoteReference w:id="15"/>
      </w:r>
      <w:r w:rsidR="00CB678E">
        <w:rPr>
          <w:lang w:val="en-GB"/>
        </w:rPr>
        <w:t xml:space="preserve"> </w:t>
      </w:r>
      <w:r w:rsidR="00A31DC2" w:rsidRPr="00E46CE8">
        <w:rPr>
          <w:lang w:val="en-GB"/>
        </w:rPr>
        <w:t>The Committee therefore finds that it is not precluded from considering the communication under article 22 (5) (b) of the Convention.</w:t>
      </w:r>
    </w:p>
    <w:p w:rsidR="00B95431" w:rsidRPr="00E46CE8" w:rsidRDefault="004F5298" w:rsidP="00E46CE8">
      <w:pPr>
        <w:pStyle w:val="SingleTxtG"/>
        <w:rPr>
          <w:lang w:val="en-GB"/>
        </w:rPr>
      </w:pPr>
      <w:r w:rsidRPr="00E46CE8">
        <w:rPr>
          <w:lang w:val="en-GB"/>
        </w:rPr>
        <w:t>7</w:t>
      </w:r>
      <w:r w:rsidR="00A31DC2" w:rsidRPr="00E46CE8">
        <w:rPr>
          <w:lang w:val="en-GB"/>
        </w:rPr>
        <w:t>.3</w:t>
      </w:r>
      <w:r w:rsidR="00A31DC2" w:rsidRPr="00E46CE8">
        <w:rPr>
          <w:lang w:val="en-GB"/>
        </w:rPr>
        <w:tab/>
      </w:r>
      <w:r w:rsidR="00BB7A07" w:rsidRPr="00E46CE8">
        <w:rPr>
          <w:lang w:val="en-GB"/>
        </w:rPr>
        <w:t>As regards the other arguments by the State party that the communication should be declared inadmissible</w:t>
      </w:r>
      <w:r w:rsidR="00EE18DA" w:rsidRPr="00E46CE8">
        <w:rPr>
          <w:lang w:val="en-GB"/>
        </w:rPr>
        <w:t xml:space="preserve"> on the grounds that it </w:t>
      </w:r>
      <w:r w:rsidR="00E46CE8">
        <w:rPr>
          <w:lang w:val="en-GB"/>
        </w:rPr>
        <w:t>is</w:t>
      </w:r>
      <w:r w:rsidR="00EE18DA" w:rsidRPr="00E46CE8">
        <w:rPr>
          <w:lang w:val="en-GB"/>
        </w:rPr>
        <w:t xml:space="preserve"> manifestly unfounded</w:t>
      </w:r>
      <w:r w:rsidR="00BB7A07" w:rsidRPr="00E46CE8">
        <w:rPr>
          <w:lang w:val="en-GB"/>
        </w:rPr>
        <w:t xml:space="preserve">, the </w:t>
      </w:r>
      <w:r w:rsidR="00B95431" w:rsidRPr="00E46CE8">
        <w:rPr>
          <w:lang w:val="en-GB"/>
        </w:rPr>
        <w:t>Committee considers that</w:t>
      </w:r>
      <w:r w:rsidR="00BB7A07" w:rsidRPr="00E46CE8">
        <w:rPr>
          <w:lang w:val="en-GB"/>
        </w:rPr>
        <w:t xml:space="preserve"> these arguments are closely related to the merits of the case and therefore declares the communication admissible insofar as it raises issues under article 3 of the Convention. </w:t>
      </w:r>
      <w:r w:rsidR="00E46CE8">
        <w:rPr>
          <w:lang w:val="en-GB"/>
        </w:rPr>
        <w:t>F</w:t>
      </w:r>
      <w:r w:rsidR="00BB7A07" w:rsidRPr="00E46CE8">
        <w:rPr>
          <w:lang w:val="en-GB"/>
        </w:rPr>
        <w:t>ind</w:t>
      </w:r>
      <w:r w:rsidR="00E46CE8">
        <w:rPr>
          <w:lang w:val="en-GB"/>
        </w:rPr>
        <w:t>ing</w:t>
      </w:r>
      <w:r w:rsidR="00BB7A07" w:rsidRPr="00E46CE8">
        <w:rPr>
          <w:lang w:val="en-GB"/>
        </w:rPr>
        <w:t xml:space="preserve"> no further obstacles to admissibility, </w:t>
      </w:r>
      <w:r w:rsidR="00E46CE8">
        <w:rPr>
          <w:lang w:val="en-GB"/>
        </w:rPr>
        <w:t>the Committee</w:t>
      </w:r>
      <w:r w:rsidR="00BB7A07" w:rsidRPr="00E46CE8">
        <w:rPr>
          <w:lang w:val="en-GB"/>
        </w:rPr>
        <w:t xml:space="preserve"> declares the present com</w:t>
      </w:r>
      <w:r w:rsidR="00E46CE8">
        <w:rPr>
          <w:lang w:val="en-GB"/>
        </w:rPr>
        <w:t>munication</w:t>
      </w:r>
      <w:r w:rsidR="00BB7A07" w:rsidRPr="00E46CE8">
        <w:rPr>
          <w:lang w:val="en-GB"/>
        </w:rPr>
        <w:t xml:space="preserve"> admissible. </w:t>
      </w:r>
    </w:p>
    <w:p w:rsidR="00B95431" w:rsidRPr="00E46CE8" w:rsidRDefault="00153A7F" w:rsidP="008078E6">
      <w:pPr>
        <w:pStyle w:val="H4G"/>
      </w:pPr>
      <w:r>
        <w:lastRenderedPageBreak/>
        <w:tab/>
      </w:r>
      <w:r>
        <w:tab/>
      </w:r>
      <w:r w:rsidR="00B95431" w:rsidRPr="00E46CE8">
        <w:t>Consideration of the merits</w:t>
      </w:r>
    </w:p>
    <w:p w:rsidR="00B95431" w:rsidRDefault="004F5298" w:rsidP="004C2134">
      <w:pPr>
        <w:pStyle w:val="SingleTxtG"/>
        <w:rPr>
          <w:lang w:val="en-GB"/>
        </w:rPr>
      </w:pPr>
      <w:r w:rsidRPr="00E46CE8">
        <w:rPr>
          <w:lang w:val="en-GB"/>
        </w:rPr>
        <w:t>8</w:t>
      </w:r>
      <w:r w:rsidR="00B95431" w:rsidRPr="00E46CE8">
        <w:rPr>
          <w:lang w:val="en-GB"/>
        </w:rPr>
        <w:t>.1</w:t>
      </w:r>
      <w:r w:rsidR="00B95431" w:rsidRPr="00E46CE8">
        <w:rPr>
          <w:lang w:val="en-GB"/>
        </w:rPr>
        <w:tab/>
        <w:t xml:space="preserve">In accordance with 22 (4) of the Convention, the Committee has considered the present communication in the light of all </w:t>
      </w:r>
      <w:r w:rsidR="00E46CE8">
        <w:rPr>
          <w:lang w:val="en-GB"/>
        </w:rPr>
        <w:t xml:space="preserve">the </w:t>
      </w:r>
      <w:r w:rsidR="00B95431" w:rsidRPr="00E46CE8">
        <w:rPr>
          <w:lang w:val="en-GB"/>
        </w:rPr>
        <w:t>information made available to it by the parties concerned.</w:t>
      </w:r>
    </w:p>
    <w:p w:rsidR="00251398" w:rsidRDefault="00EE18DA" w:rsidP="004C2134">
      <w:pPr>
        <w:pStyle w:val="SingleTxtG"/>
        <w:rPr>
          <w:lang w:val="en-GB"/>
        </w:rPr>
      </w:pPr>
      <w:r>
        <w:rPr>
          <w:lang w:val="en-GB"/>
        </w:rPr>
        <w:t>8</w:t>
      </w:r>
      <w:r w:rsidR="00B95431">
        <w:rPr>
          <w:lang w:val="en-GB"/>
        </w:rPr>
        <w:t>.2</w:t>
      </w:r>
      <w:r w:rsidR="00B95431">
        <w:rPr>
          <w:lang w:val="en-GB"/>
        </w:rPr>
        <w:tab/>
        <w:t xml:space="preserve">In the present case, the issue </w:t>
      </w:r>
      <w:r w:rsidR="00251398">
        <w:rPr>
          <w:lang w:val="en-GB"/>
        </w:rPr>
        <w:t xml:space="preserve">before the Committee is whether the </w:t>
      </w:r>
      <w:r w:rsidR="00AF3284">
        <w:rPr>
          <w:lang w:val="en-GB"/>
        </w:rPr>
        <w:t xml:space="preserve">forced removal </w:t>
      </w:r>
      <w:r w:rsidR="00251398">
        <w:rPr>
          <w:lang w:val="en-GB"/>
        </w:rPr>
        <w:t xml:space="preserve">of the complainant to Sri </w:t>
      </w:r>
      <w:r w:rsidR="002C2E41">
        <w:rPr>
          <w:lang w:val="en-GB"/>
        </w:rPr>
        <w:t>L</w:t>
      </w:r>
      <w:r w:rsidR="00251398">
        <w:rPr>
          <w:lang w:val="en-GB"/>
        </w:rPr>
        <w:t>anka would constitute a violation of the State party’s obligation under article 3 of the Convention not to expel or to return (“refouler”) a person to another State where there are substantial grounds for believing that he or she would be in danger of being subjected to torture</w:t>
      </w:r>
      <w:r w:rsidR="002C2E41">
        <w:rPr>
          <w:lang w:val="en-GB"/>
        </w:rPr>
        <w:t>.</w:t>
      </w:r>
    </w:p>
    <w:p w:rsidR="00F168A6" w:rsidRDefault="00EE18DA" w:rsidP="00E46CE8">
      <w:pPr>
        <w:pStyle w:val="SingleTxtG"/>
        <w:rPr>
          <w:lang w:val="en-GB"/>
        </w:rPr>
      </w:pPr>
      <w:r>
        <w:rPr>
          <w:lang w:val="en-GB"/>
        </w:rPr>
        <w:t>8</w:t>
      </w:r>
      <w:r w:rsidR="00251398">
        <w:rPr>
          <w:lang w:val="en-GB"/>
        </w:rPr>
        <w:t>.3</w:t>
      </w:r>
      <w:r w:rsidR="00251398">
        <w:rPr>
          <w:lang w:val="en-GB"/>
        </w:rPr>
        <w:tab/>
        <w:t>The Committee must evaluate whether there are substantial grounds for believing that the complainant would be personally in danger of being subjected to torture upon return to Sri Lanka. In assessing that risk, the Committee must take into account all relevant considerations pursuant to article 3 (2) of the Convention,</w:t>
      </w:r>
      <w:r w:rsidR="00F168A6">
        <w:rPr>
          <w:lang w:val="en-GB"/>
        </w:rPr>
        <w:t xml:space="preserve"> </w:t>
      </w:r>
      <w:r w:rsidR="00251398">
        <w:rPr>
          <w:lang w:val="en-GB"/>
        </w:rPr>
        <w:t xml:space="preserve">including the existence of a consistent pattern </w:t>
      </w:r>
      <w:r w:rsidR="00DA0915">
        <w:rPr>
          <w:lang w:val="en-GB"/>
        </w:rPr>
        <w:t>o</w:t>
      </w:r>
      <w:r w:rsidR="00251398">
        <w:rPr>
          <w:lang w:val="en-GB"/>
        </w:rPr>
        <w:t>f gross, flagrant or mass violations of human rights</w:t>
      </w:r>
      <w:r w:rsidR="00DF716E">
        <w:rPr>
          <w:lang w:val="en-GB"/>
        </w:rPr>
        <w:t xml:space="preserve"> in the country</w:t>
      </w:r>
      <w:r w:rsidR="00251398">
        <w:rPr>
          <w:lang w:val="en-GB"/>
        </w:rPr>
        <w:t>.</w:t>
      </w:r>
      <w:r w:rsidR="00CB678E">
        <w:rPr>
          <w:lang w:val="en-GB"/>
        </w:rPr>
        <w:t xml:space="preserve"> </w:t>
      </w:r>
      <w:r w:rsidR="00251398">
        <w:rPr>
          <w:lang w:val="en-GB"/>
        </w:rPr>
        <w:t xml:space="preserve">However, the Committee recalls that the aim of </w:t>
      </w:r>
      <w:r w:rsidR="00E46CE8">
        <w:rPr>
          <w:lang w:val="en-GB"/>
        </w:rPr>
        <w:t xml:space="preserve">such </w:t>
      </w:r>
      <w:r w:rsidR="00F168A6">
        <w:rPr>
          <w:lang w:val="en-GB"/>
        </w:rPr>
        <w:t>evaluation is to establish whether the individual concerned would be personally at a foreseeable and real risk of being subjected to torture in the country to which he or she would be returned.</w:t>
      </w:r>
      <w:r w:rsidR="00CB678E">
        <w:rPr>
          <w:lang w:val="en-GB"/>
        </w:rPr>
        <w:t xml:space="preserve"> </w:t>
      </w:r>
      <w:r w:rsidR="00F168A6">
        <w:rPr>
          <w:lang w:val="en-GB"/>
        </w:rPr>
        <w:t xml:space="preserve">It follows that the existence of a pattern </w:t>
      </w:r>
      <w:r w:rsidR="00C213FD">
        <w:rPr>
          <w:lang w:val="en-GB"/>
        </w:rPr>
        <w:t xml:space="preserve">of gross, flagrant or mass violations of human rights in a country does not as such constitute sufficient reason for determining that a particular person would be in danger of being subjected to torture on return to that country; additional grounds must be adduced </w:t>
      </w:r>
      <w:r w:rsidR="00F7628B">
        <w:rPr>
          <w:lang w:val="en-GB"/>
        </w:rPr>
        <w:t xml:space="preserve">to show that the </w:t>
      </w:r>
      <w:r w:rsidR="00E46CE8">
        <w:rPr>
          <w:lang w:val="en-GB"/>
        </w:rPr>
        <w:t>individual</w:t>
      </w:r>
      <w:r w:rsidR="00F7628B">
        <w:rPr>
          <w:lang w:val="en-GB"/>
        </w:rPr>
        <w:t xml:space="preserve"> would be personally at risk. Conversely, the absence </w:t>
      </w:r>
      <w:r w:rsidR="00C213FD">
        <w:rPr>
          <w:lang w:val="en-GB"/>
        </w:rPr>
        <w:t>of a consistent pattern of flagrant violations of human rights does not mean that a person might not be subjected to torture in his or her specific circumstances.</w:t>
      </w:r>
      <w:r w:rsidR="00C32F5C" w:rsidRPr="00153A7F">
        <w:rPr>
          <w:rStyle w:val="FootnoteReference"/>
        </w:rPr>
        <w:footnoteReference w:id="16"/>
      </w:r>
    </w:p>
    <w:p w:rsidR="00760106" w:rsidRDefault="00EE18DA" w:rsidP="00E46CE8">
      <w:pPr>
        <w:pStyle w:val="SingleTxtG"/>
      </w:pPr>
      <w:r>
        <w:t>8</w:t>
      </w:r>
      <w:r w:rsidR="00C213FD">
        <w:t>.4</w:t>
      </w:r>
      <w:r w:rsidR="00760106" w:rsidRPr="00760106">
        <w:tab/>
        <w:t xml:space="preserve">The Committee recalls its general comment No. 1 (1997) on the implementation of article 3 of the Convention, according to which the risk of torture must be assessed on grounds that go beyond mere theory or suspicion. While the risk does not have to meet the test of being highly probable (para. 6), the Committee </w:t>
      </w:r>
      <w:r w:rsidR="002D7188">
        <w:t xml:space="preserve">recalls </w:t>
      </w:r>
      <w:r w:rsidR="00760106" w:rsidRPr="00760106">
        <w:t>that the burden of proof generally falls on the complainant, who must present an arguable case that he or she faces a foreseeable, real and personal risk.</w:t>
      </w:r>
      <w:r w:rsidR="00ED7CFF" w:rsidRPr="00153A7F">
        <w:rPr>
          <w:rStyle w:val="FootnoteReference"/>
        </w:rPr>
        <w:footnoteReference w:id="17"/>
      </w:r>
      <w:r w:rsidR="002D7188">
        <w:t xml:space="preserve"> The Committee f</w:t>
      </w:r>
      <w:r w:rsidR="00760106" w:rsidRPr="00760106">
        <w:t>urther recalls that it gives considerable weight to findings of fact that are made by organs of the State party concerned</w:t>
      </w:r>
      <w:r w:rsidR="00F7628B">
        <w:rPr>
          <w:lang w:val="en-CA"/>
        </w:rPr>
        <w:t xml:space="preserve">. </w:t>
      </w:r>
      <w:r w:rsidR="00E46CE8">
        <w:rPr>
          <w:lang w:val="en-CA"/>
        </w:rPr>
        <w:t>However, under the terms of</w:t>
      </w:r>
      <w:r w:rsidR="00E46CE8" w:rsidRPr="00760106">
        <w:t xml:space="preserve"> its general comment No. 1,</w:t>
      </w:r>
      <w:r w:rsidR="00CB678E">
        <w:t xml:space="preserve"> </w:t>
      </w:r>
      <w:r w:rsidR="00E46CE8">
        <w:rPr>
          <w:lang w:val="en-US"/>
        </w:rPr>
        <w:t>the Committee</w:t>
      </w:r>
      <w:r w:rsidR="00760106" w:rsidRPr="00760106">
        <w:t xml:space="preserve"> is not bound by such findings and instead has the power, </w:t>
      </w:r>
      <w:r w:rsidR="00F7628B" w:rsidRPr="008078E6">
        <w:rPr>
          <w:lang w:val="en-CA"/>
        </w:rPr>
        <w:t>under</w:t>
      </w:r>
      <w:r w:rsidR="00760106" w:rsidRPr="00760106">
        <w:t xml:space="preserve"> article 22 (4) of the Convention, </w:t>
      </w:r>
      <w:r w:rsidR="00F7628B" w:rsidRPr="008078E6">
        <w:rPr>
          <w:lang w:val="en-CA"/>
        </w:rPr>
        <w:t>to</w:t>
      </w:r>
      <w:r w:rsidR="00760106" w:rsidRPr="00760106">
        <w:t xml:space="preserve"> free</w:t>
      </w:r>
      <w:r w:rsidR="00F7628B" w:rsidRPr="008078E6">
        <w:rPr>
          <w:lang w:val="en-CA"/>
        </w:rPr>
        <w:t>ly</w:t>
      </w:r>
      <w:r w:rsidR="00760106" w:rsidRPr="00760106">
        <w:t xml:space="preserve"> assess the facts based upon the full set of circumstances in every case (para. 9).</w:t>
      </w:r>
      <w:r w:rsidR="00ED7CFF" w:rsidRPr="00153A7F">
        <w:rPr>
          <w:rStyle w:val="FootnoteReference"/>
        </w:rPr>
        <w:footnoteReference w:id="18"/>
      </w:r>
      <w:r w:rsidR="00760106" w:rsidRPr="00760106">
        <w:t xml:space="preserve"> </w:t>
      </w:r>
    </w:p>
    <w:p w:rsidR="00992FFE" w:rsidRDefault="00EE18DA">
      <w:pPr>
        <w:pStyle w:val="SingleTxtG"/>
      </w:pPr>
      <w:r>
        <w:t>8</w:t>
      </w:r>
      <w:r w:rsidR="00E46E48">
        <w:t>.5</w:t>
      </w:r>
      <w:r w:rsidR="00E46E48">
        <w:tab/>
      </w:r>
      <w:r w:rsidR="00AF3284">
        <w:t xml:space="preserve">The Committee notes the complainant’s claim that his forcible removal to Sri Lanka would amount to a violation of his rights under article 3 of the Convention as he would be exposed to </w:t>
      </w:r>
      <w:r w:rsidR="00F7628B" w:rsidRPr="008078E6">
        <w:rPr>
          <w:lang w:val="en-CA"/>
        </w:rPr>
        <w:t>the</w:t>
      </w:r>
      <w:r w:rsidR="00AF3284">
        <w:t xml:space="preserve"> risk of being </w:t>
      </w:r>
      <w:r w:rsidR="00C855DA">
        <w:t xml:space="preserve">detained and tortured </w:t>
      </w:r>
      <w:r w:rsidR="00992FFE">
        <w:t xml:space="preserve">by the Sri Lankan authorities </w:t>
      </w:r>
      <w:r w:rsidR="00F7628B" w:rsidRPr="008078E6">
        <w:rPr>
          <w:lang w:val="en-CA"/>
        </w:rPr>
        <w:t>owing to the fact that</w:t>
      </w:r>
      <w:r w:rsidR="00992FFE">
        <w:t xml:space="preserve"> </w:t>
      </w:r>
      <w:r w:rsidR="001241E7">
        <w:t>h</w:t>
      </w:r>
      <w:r w:rsidR="00C855DA">
        <w:t xml:space="preserve">is brother </w:t>
      </w:r>
      <w:r w:rsidR="00F7628B" w:rsidRPr="008078E6">
        <w:rPr>
          <w:lang w:val="en-CA"/>
        </w:rPr>
        <w:t>was</w:t>
      </w:r>
      <w:r w:rsidR="00992FFE">
        <w:t xml:space="preserve"> </w:t>
      </w:r>
      <w:r w:rsidR="00C855DA">
        <w:t>an LTTE member</w:t>
      </w:r>
      <w:r w:rsidR="00360CBA">
        <w:t xml:space="preserve">; </w:t>
      </w:r>
      <w:r w:rsidR="00360CBA" w:rsidRPr="008078E6">
        <w:rPr>
          <w:lang w:val="en-GB"/>
        </w:rPr>
        <w:t>h</w:t>
      </w:r>
      <w:r w:rsidR="00DF716E" w:rsidRPr="008078E6">
        <w:rPr>
          <w:lang w:val="en-GB"/>
        </w:rPr>
        <w:t>e</w:t>
      </w:r>
      <w:r w:rsidR="00DF716E">
        <w:rPr>
          <w:lang w:val="en-US"/>
        </w:rPr>
        <w:t xml:space="preserve"> was in </w:t>
      </w:r>
      <w:r w:rsidR="00360CBA">
        <w:t>con</w:t>
      </w:r>
      <w:r w:rsidR="00C855DA">
        <w:t>tact with Tamil Congress members in Australia</w:t>
      </w:r>
      <w:r w:rsidR="00360CBA">
        <w:t>; and his status as a failed asylum seeker of Tamil ethnicity.</w:t>
      </w:r>
      <w:r w:rsidR="00CB678E">
        <w:t xml:space="preserve"> </w:t>
      </w:r>
    </w:p>
    <w:p w:rsidR="008108BB" w:rsidRPr="008078E6" w:rsidRDefault="00EE18DA">
      <w:pPr>
        <w:pStyle w:val="SingleTxtG"/>
        <w:rPr>
          <w:lang w:val="fr-CH"/>
        </w:rPr>
      </w:pPr>
      <w:r>
        <w:t>8</w:t>
      </w:r>
      <w:r w:rsidR="00360CBA">
        <w:t>.6</w:t>
      </w:r>
      <w:r w:rsidR="00360CBA">
        <w:tab/>
      </w:r>
      <w:r w:rsidR="00691F49">
        <w:t xml:space="preserve">The Committee </w:t>
      </w:r>
      <w:r w:rsidR="00FB05C2" w:rsidRPr="008078E6">
        <w:rPr>
          <w:lang w:val="en-CA"/>
        </w:rPr>
        <w:t xml:space="preserve">also </w:t>
      </w:r>
      <w:r w:rsidR="00691F49">
        <w:t>note</w:t>
      </w:r>
      <w:r w:rsidR="009078F3" w:rsidRPr="008078E6">
        <w:rPr>
          <w:lang w:val="en-CA"/>
        </w:rPr>
        <w:t>s</w:t>
      </w:r>
      <w:r w:rsidR="00691F49">
        <w:t xml:space="preserve"> the State party’s submission that, in the present case, the complainant </w:t>
      </w:r>
      <w:r w:rsidR="009078F3" w:rsidRPr="008078E6">
        <w:rPr>
          <w:lang w:val="en-CA"/>
        </w:rPr>
        <w:t>did</w:t>
      </w:r>
      <w:r w:rsidR="00691F49">
        <w:t xml:space="preserve"> not provide credible evidence and failed to substantiate that there was a foreseeable, real and personal risk that he would be subjected to torture by the authorities if he is returned to Sri Lanka </w:t>
      </w:r>
      <w:r w:rsidR="00325ECF">
        <w:t xml:space="preserve">and </w:t>
      </w:r>
      <w:r w:rsidR="00691F49">
        <w:t xml:space="preserve">that his claims </w:t>
      </w:r>
      <w:r w:rsidR="009078F3" w:rsidRPr="008078E6">
        <w:rPr>
          <w:lang w:val="en-CA"/>
        </w:rPr>
        <w:t>were</w:t>
      </w:r>
      <w:r w:rsidR="00691F49">
        <w:t xml:space="preserve"> reviewed by the competent domestic authorities in accordance with domestic legislation and taking into account the current human rights situation in Sri Lanka</w:t>
      </w:r>
      <w:r w:rsidR="008C1FD5">
        <w:t>.</w:t>
      </w:r>
      <w:r w:rsidR="00CB678E">
        <w:t xml:space="preserve"> </w:t>
      </w:r>
    </w:p>
    <w:p w:rsidR="0049506A" w:rsidRPr="00AA3927" w:rsidRDefault="00EE18DA">
      <w:pPr>
        <w:pStyle w:val="SingleTxtG"/>
        <w:rPr>
          <w:lang w:val="en-GB"/>
        </w:rPr>
      </w:pPr>
      <w:r>
        <w:rPr>
          <w:lang w:val="en-GB"/>
        </w:rPr>
        <w:lastRenderedPageBreak/>
        <w:t>8</w:t>
      </w:r>
      <w:r w:rsidR="0081012E" w:rsidRPr="00AA3927">
        <w:rPr>
          <w:lang w:val="en-GB"/>
        </w:rPr>
        <w:t>.</w:t>
      </w:r>
      <w:r w:rsidR="004F5298">
        <w:rPr>
          <w:lang w:val="en-GB"/>
        </w:rPr>
        <w:t>7</w:t>
      </w:r>
      <w:r w:rsidR="0081012E" w:rsidRPr="00AA3927">
        <w:rPr>
          <w:lang w:val="en-GB"/>
        </w:rPr>
        <w:tab/>
      </w:r>
      <w:r w:rsidR="005E7ACD" w:rsidRPr="00AA3927">
        <w:rPr>
          <w:lang w:val="en-GB"/>
        </w:rPr>
        <w:t>In th</w:t>
      </w:r>
      <w:r w:rsidR="008F5116" w:rsidRPr="00AA3927">
        <w:rPr>
          <w:lang w:val="en-GB"/>
        </w:rPr>
        <w:t xml:space="preserve">is regard, the Committee notes the State party’s submission that </w:t>
      </w:r>
      <w:r w:rsidR="00196B68" w:rsidRPr="00AA3927">
        <w:rPr>
          <w:lang w:val="en-GB"/>
        </w:rPr>
        <w:t xml:space="preserve">the complainant </w:t>
      </w:r>
      <w:r w:rsidR="00DA0915" w:rsidRPr="00AA3927">
        <w:rPr>
          <w:lang w:val="en-GB"/>
        </w:rPr>
        <w:t xml:space="preserve">has not </w:t>
      </w:r>
      <w:r w:rsidR="00023118">
        <w:rPr>
          <w:lang w:val="en-GB"/>
        </w:rPr>
        <w:t>provided</w:t>
      </w:r>
      <w:r w:rsidR="00DA0915" w:rsidRPr="00AA3927">
        <w:rPr>
          <w:lang w:val="en-GB"/>
        </w:rPr>
        <w:t xml:space="preserve"> </w:t>
      </w:r>
      <w:r w:rsidR="00196B68" w:rsidRPr="00AA3927">
        <w:rPr>
          <w:lang w:val="en-GB"/>
        </w:rPr>
        <w:t xml:space="preserve">any </w:t>
      </w:r>
      <w:r w:rsidR="00DA0915" w:rsidRPr="00AA3927">
        <w:rPr>
          <w:lang w:val="en-GB"/>
        </w:rPr>
        <w:t>objective evidence to su</w:t>
      </w:r>
      <w:r w:rsidR="00196B68" w:rsidRPr="00AA3927">
        <w:rPr>
          <w:lang w:val="en-GB"/>
        </w:rPr>
        <w:t>bstantiate his claim</w:t>
      </w:r>
      <w:r w:rsidR="00AD55A8" w:rsidRPr="00AA3927">
        <w:rPr>
          <w:lang w:val="en-GB"/>
        </w:rPr>
        <w:t>s</w:t>
      </w:r>
      <w:r w:rsidR="008F5116" w:rsidRPr="00AA3927">
        <w:rPr>
          <w:lang w:val="en-GB"/>
        </w:rPr>
        <w:t xml:space="preserve"> nor</w:t>
      </w:r>
      <w:r w:rsidR="00CB678E">
        <w:rPr>
          <w:lang w:val="en-GB"/>
        </w:rPr>
        <w:t xml:space="preserve"> </w:t>
      </w:r>
      <w:r w:rsidR="0031010E" w:rsidRPr="00AA3927">
        <w:rPr>
          <w:lang w:val="en-GB"/>
        </w:rPr>
        <w:t>any relevant new evidence in his submissions to the Committee that ha</w:t>
      </w:r>
      <w:r w:rsidR="009078F3">
        <w:rPr>
          <w:lang w:val="en-GB"/>
        </w:rPr>
        <w:t>d</w:t>
      </w:r>
      <w:r w:rsidR="0031010E" w:rsidRPr="00AA3927">
        <w:rPr>
          <w:lang w:val="en-GB"/>
        </w:rPr>
        <w:t xml:space="preserve"> not already been considered by the State party’s administrative and judicial procedures</w:t>
      </w:r>
      <w:r w:rsidR="008F5116" w:rsidRPr="00AA3927">
        <w:rPr>
          <w:lang w:val="en-GB"/>
        </w:rPr>
        <w:t xml:space="preserve">, in </w:t>
      </w:r>
      <w:r w:rsidR="00324054" w:rsidRPr="00AA3927">
        <w:rPr>
          <w:lang w:val="en-GB"/>
        </w:rPr>
        <w:t xml:space="preserve">particular, </w:t>
      </w:r>
      <w:r w:rsidR="00734654" w:rsidRPr="00AA3927">
        <w:rPr>
          <w:lang w:val="en-GB"/>
        </w:rPr>
        <w:t>with respect to the c</w:t>
      </w:r>
      <w:r w:rsidR="00324054" w:rsidRPr="00AA3927">
        <w:rPr>
          <w:lang w:val="en-GB"/>
        </w:rPr>
        <w:t>omplainant</w:t>
      </w:r>
      <w:r w:rsidR="00734654" w:rsidRPr="00AA3927">
        <w:rPr>
          <w:lang w:val="en-GB"/>
        </w:rPr>
        <w:t xml:space="preserve">’s </w:t>
      </w:r>
      <w:r w:rsidR="00324054" w:rsidRPr="00AA3927">
        <w:rPr>
          <w:lang w:val="en-GB"/>
        </w:rPr>
        <w:t>claims that</w:t>
      </w:r>
      <w:r w:rsidR="00023118">
        <w:rPr>
          <w:lang w:val="en-GB"/>
        </w:rPr>
        <w:t>:</w:t>
      </w:r>
      <w:r w:rsidR="00324054" w:rsidRPr="00AA3927">
        <w:rPr>
          <w:lang w:val="en-GB"/>
        </w:rPr>
        <w:t xml:space="preserve"> </w:t>
      </w:r>
      <w:r w:rsidR="008F5116" w:rsidRPr="00AA3927">
        <w:rPr>
          <w:lang w:val="en-GB"/>
        </w:rPr>
        <w:t xml:space="preserve">after leaving school </w:t>
      </w:r>
      <w:r w:rsidR="00324054" w:rsidRPr="00AA3927">
        <w:rPr>
          <w:lang w:val="en-GB"/>
        </w:rPr>
        <w:t xml:space="preserve">in 1998 at the age of </w:t>
      </w:r>
      <w:r w:rsidR="009078F3">
        <w:rPr>
          <w:lang w:val="en-GB"/>
        </w:rPr>
        <w:t>10</w:t>
      </w:r>
      <w:r w:rsidR="00023118">
        <w:rPr>
          <w:lang w:val="en-GB"/>
        </w:rPr>
        <w:t>,</w:t>
      </w:r>
      <w:r w:rsidR="00324054" w:rsidRPr="00AA3927">
        <w:rPr>
          <w:lang w:val="en-GB"/>
        </w:rPr>
        <w:t xml:space="preserve"> </w:t>
      </w:r>
      <w:r w:rsidR="009078F3">
        <w:rPr>
          <w:lang w:val="en-GB"/>
        </w:rPr>
        <w:t>because</w:t>
      </w:r>
      <w:r w:rsidR="00324054" w:rsidRPr="00AA3927">
        <w:rPr>
          <w:lang w:val="en-GB"/>
        </w:rPr>
        <w:t xml:space="preserve"> attendance </w:t>
      </w:r>
      <w:r w:rsidR="009078F3">
        <w:rPr>
          <w:lang w:val="en-GB"/>
        </w:rPr>
        <w:t>was</w:t>
      </w:r>
      <w:r w:rsidR="00324054" w:rsidRPr="00AA3927">
        <w:rPr>
          <w:lang w:val="en-GB"/>
        </w:rPr>
        <w:t xml:space="preserve"> too dangerous</w:t>
      </w:r>
      <w:r>
        <w:rPr>
          <w:lang w:val="en-GB"/>
        </w:rPr>
        <w:t>,</w:t>
      </w:r>
      <w:r w:rsidR="008F5116" w:rsidRPr="00AA3927">
        <w:rPr>
          <w:lang w:val="en-GB"/>
        </w:rPr>
        <w:t xml:space="preserve"> he </w:t>
      </w:r>
      <w:r w:rsidR="00324054" w:rsidRPr="00AA3927">
        <w:rPr>
          <w:lang w:val="en-GB"/>
        </w:rPr>
        <w:t xml:space="preserve">spent </w:t>
      </w:r>
      <w:r w:rsidR="008F5116" w:rsidRPr="00AA3927">
        <w:rPr>
          <w:lang w:val="en-GB"/>
        </w:rPr>
        <w:t xml:space="preserve">the next </w:t>
      </w:r>
      <w:r w:rsidR="00324054" w:rsidRPr="00AA3927">
        <w:rPr>
          <w:lang w:val="en-GB"/>
        </w:rPr>
        <w:t xml:space="preserve">six years </w:t>
      </w:r>
      <w:r w:rsidR="009078F3">
        <w:rPr>
          <w:lang w:val="en-GB"/>
        </w:rPr>
        <w:t>living with</w:t>
      </w:r>
      <w:r w:rsidR="00324054" w:rsidRPr="00AA3927">
        <w:rPr>
          <w:lang w:val="en-GB"/>
        </w:rPr>
        <w:t xml:space="preserve"> family and friends in Colombo</w:t>
      </w:r>
      <w:r w:rsidR="009078F3">
        <w:rPr>
          <w:lang w:val="en-GB"/>
        </w:rPr>
        <w:t>;</w:t>
      </w:r>
      <w:r w:rsidR="00734654" w:rsidRPr="00AA3927">
        <w:rPr>
          <w:lang w:val="en-GB"/>
        </w:rPr>
        <w:t xml:space="preserve"> </w:t>
      </w:r>
      <w:r w:rsidR="00BD4866">
        <w:rPr>
          <w:lang w:val="en-GB"/>
        </w:rPr>
        <w:t xml:space="preserve">he </w:t>
      </w:r>
      <w:r w:rsidR="0049506A" w:rsidRPr="00AA3927">
        <w:rPr>
          <w:lang w:val="en-GB"/>
        </w:rPr>
        <w:t xml:space="preserve">was subjected to frequent security checks by the military at his place of employment in Colombo; </w:t>
      </w:r>
      <w:r w:rsidR="004F5627" w:rsidRPr="00AA3927">
        <w:rPr>
          <w:lang w:val="en-GB"/>
        </w:rPr>
        <w:t xml:space="preserve">he was </w:t>
      </w:r>
      <w:r w:rsidR="009078F3">
        <w:rPr>
          <w:lang w:val="en-GB"/>
        </w:rPr>
        <w:t>abducted</w:t>
      </w:r>
      <w:r w:rsidR="004F5627" w:rsidRPr="00AA3927">
        <w:rPr>
          <w:lang w:val="en-GB"/>
        </w:rPr>
        <w:t xml:space="preserve"> by five men in a white van</w:t>
      </w:r>
      <w:r w:rsidR="00AD55A8" w:rsidRPr="00AA3927">
        <w:rPr>
          <w:lang w:val="en-GB"/>
        </w:rPr>
        <w:t xml:space="preserve">, </w:t>
      </w:r>
      <w:r w:rsidR="0086317D" w:rsidRPr="00AA3927">
        <w:rPr>
          <w:lang w:val="en-GB"/>
        </w:rPr>
        <w:t>beaten and interrogated regarding LTTE involvement and released on the same day</w:t>
      </w:r>
      <w:r w:rsidR="009078F3">
        <w:rPr>
          <w:lang w:val="en-GB"/>
        </w:rPr>
        <w:t xml:space="preserve">, then </w:t>
      </w:r>
      <w:r w:rsidR="0086317D" w:rsidRPr="00AA3927">
        <w:rPr>
          <w:lang w:val="en-GB"/>
        </w:rPr>
        <w:t>spent three months in the hospital</w:t>
      </w:r>
      <w:r w:rsidR="008F5116" w:rsidRPr="00AA3927">
        <w:rPr>
          <w:lang w:val="en-GB"/>
        </w:rPr>
        <w:t>;</w:t>
      </w:r>
      <w:r w:rsidR="00734654" w:rsidRPr="00AA3927">
        <w:rPr>
          <w:lang w:val="en-GB"/>
        </w:rPr>
        <w:t xml:space="preserve"> </w:t>
      </w:r>
      <w:r w:rsidR="008F5116" w:rsidRPr="00AA3927">
        <w:rPr>
          <w:lang w:val="en-GB"/>
        </w:rPr>
        <w:t xml:space="preserve">he was threatened by five men </w:t>
      </w:r>
      <w:r w:rsidR="009078F3">
        <w:rPr>
          <w:lang w:val="en-GB"/>
        </w:rPr>
        <w:t xml:space="preserve">when he refused </w:t>
      </w:r>
      <w:r w:rsidR="008F5116" w:rsidRPr="00AA3927">
        <w:rPr>
          <w:lang w:val="en-GB"/>
        </w:rPr>
        <w:t>to attend a pro-Government rally</w:t>
      </w:r>
      <w:r w:rsidR="00BD4866">
        <w:rPr>
          <w:lang w:val="en-GB"/>
        </w:rPr>
        <w:t>;</w:t>
      </w:r>
      <w:r w:rsidR="001D4EC3" w:rsidRPr="00AA3927">
        <w:rPr>
          <w:lang w:val="en-GB"/>
        </w:rPr>
        <w:t xml:space="preserve"> and </w:t>
      </w:r>
      <w:r w:rsidR="00BD4866">
        <w:rPr>
          <w:lang w:val="en-GB"/>
        </w:rPr>
        <w:t>he subse</w:t>
      </w:r>
      <w:r w:rsidR="009078F3">
        <w:rPr>
          <w:lang w:val="en-GB"/>
        </w:rPr>
        <w:t xml:space="preserve">quently </w:t>
      </w:r>
      <w:r w:rsidR="001D4EC3" w:rsidRPr="00AA3927">
        <w:rPr>
          <w:lang w:val="en-GB"/>
        </w:rPr>
        <w:t>fled out of fear</w:t>
      </w:r>
      <w:r w:rsidR="0049506A" w:rsidRPr="00AA3927">
        <w:rPr>
          <w:lang w:val="en-GB"/>
        </w:rPr>
        <w:t xml:space="preserve">. </w:t>
      </w:r>
      <w:r w:rsidR="00AD55A8" w:rsidRPr="00AA3927">
        <w:rPr>
          <w:lang w:val="en-GB"/>
        </w:rPr>
        <w:t xml:space="preserve">The Committee also notes </w:t>
      </w:r>
      <w:r w:rsidR="0086317D" w:rsidRPr="00AA3927">
        <w:rPr>
          <w:lang w:val="en-GB"/>
        </w:rPr>
        <w:t xml:space="preserve">the </w:t>
      </w:r>
      <w:r w:rsidR="0049506A" w:rsidRPr="00AA3927">
        <w:rPr>
          <w:lang w:val="en-GB"/>
        </w:rPr>
        <w:t xml:space="preserve">State party’s submission that the </w:t>
      </w:r>
      <w:r w:rsidR="0086317D" w:rsidRPr="00AA3927">
        <w:rPr>
          <w:lang w:val="en-GB"/>
        </w:rPr>
        <w:t>complaina</w:t>
      </w:r>
      <w:r w:rsidR="009E5131" w:rsidRPr="00AA3927">
        <w:rPr>
          <w:lang w:val="en-GB"/>
        </w:rPr>
        <w:t>nt’s description of the events lack</w:t>
      </w:r>
      <w:r w:rsidR="00BD4866">
        <w:rPr>
          <w:lang w:val="en-GB"/>
        </w:rPr>
        <w:t>ed</w:t>
      </w:r>
      <w:r w:rsidR="009E5131" w:rsidRPr="00AA3927">
        <w:rPr>
          <w:lang w:val="en-GB"/>
        </w:rPr>
        <w:t xml:space="preserve"> detail</w:t>
      </w:r>
      <w:r w:rsidR="00FB05C2">
        <w:rPr>
          <w:lang w:val="en-GB"/>
        </w:rPr>
        <w:t>;</w:t>
      </w:r>
      <w:r w:rsidR="0049506A" w:rsidRPr="00AA3927">
        <w:rPr>
          <w:lang w:val="en-GB"/>
        </w:rPr>
        <w:t xml:space="preserve"> he </w:t>
      </w:r>
      <w:r w:rsidR="009E5131" w:rsidRPr="00AA3927">
        <w:rPr>
          <w:lang w:val="en-GB"/>
        </w:rPr>
        <w:t>provide</w:t>
      </w:r>
      <w:r w:rsidR="00AD55A8" w:rsidRPr="00AA3927">
        <w:rPr>
          <w:lang w:val="en-GB"/>
        </w:rPr>
        <w:t>d</w:t>
      </w:r>
      <w:r w:rsidR="009E5131" w:rsidRPr="00AA3927">
        <w:rPr>
          <w:lang w:val="en-GB"/>
        </w:rPr>
        <w:t xml:space="preserve"> little information about his a</w:t>
      </w:r>
      <w:r w:rsidR="00A4634C">
        <w:rPr>
          <w:lang w:val="en-GB"/>
        </w:rPr>
        <w:t xml:space="preserve">ssailants and </w:t>
      </w:r>
      <w:r w:rsidR="00FB05C2">
        <w:rPr>
          <w:lang w:val="en-GB"/>
        </w:rPr>
        <w:t xml:space="preserve">the </w:t>
      </w:r>
      <w:r w:rsidR="00A4634C">
        <w:rPr>
          <w:lang w:val="en-GB"/>
        </w:rPr>
        <w:t xml:space="preserve">injuries </w:t>
      </w:r>
      <w:r w:rsidR="00FB05C2">
        <w:rPr>
          <w:lang w:val="en-GB"/>
        </w:rPr>
        <w:t>sustained;</w:t>
      </w:r>
      <w:r w:rsidR="0049506A" w:rsidRPr="00AA3927">
        <w:rPr>
          <w:lang w:val="en-GB"/>
        </w:rPr>
        <w:t xml:space="preserve"> and he </w:t>
      </w:r>
      <w:r w:rsidR="00FB05C2">
        <w:rPr>
          <w:lang w:val="en-GB"/>
        </w:rPr>
        <w:t>did</w:t>
      </w:r>
      <w:r w:rsidR="0047176C" w:rsidRPr="00AA3927">
        <w:rPr>
          <w:lang w:val="en-GB"/>
        </w:rPr>
        <w:t xml:space="preserve"> </w:t>
      </w:r>
      <w:r w:rsidR="0086317D" w:rsidRPr="00AA3927">
        <w:rPr>
          <w:lang w:val="en-GB"/>
        </w:rPr>
        <w:t xml:space="preserve">not produce </w:t>
      </w:r>
      <w:r w:rsidR="00FB05C2">
        <w:rPr>
          <w:lang w:val="en-GB"/>
        </w:rPr>
        <w:t xml:space="preserve">any </w:t>
      </w:r>
      <w:r w:rsidR="0086317D" w:rsidRPr="00AA3927">
        <w:rPr>
          <w:lang w:val="en-GB"/>
        </w:rPr>
        <w:t>hospital records or other proof of th</w:t>
      </w:r>
      <w:r w:rsidR="00FB05C2">
        <w:rPr>
          <w:lang w:val="en-GB"/>
        </w:rPr>
        <w:t>at</w:t>
      </w:r>
      <w:r w:rsidR="0086317D" w:rsidRPr="00AA3927">
        <w:rPr>
          <w:lang w:val="en-GB"/>
        </w:rPr>
        <w:t xml:space="preserve"> incident</w:t>
      </w:r>
      <w:r w:rsidR="001D4EC3" w:rsidRPr="00AA3927">
        <w:rPr>
          <w:lang w:val="en-GB"/>
        </w:rPr>
        <w:t xml:space="preserve"> nor details of where he stayed after fleeing the family home</w:t>
      </w:r>
      <w:r w:rsidR="0086317D" w:rsidRPr="00AA3927">
        <w:rPr>
          <w:lang w:val="en-GB"/>
        </w:rPr>
        <w:t>.</w:t>
      </w:r>
      <w:r w:rsidR="00CB678E">
        <w:rPr>
          <w:lang w:val="en-GB"/>
        </w:rPr>
        <w:t xml:space="preserve"> </w:t>
      </w:r>
    </w:p>
    <w:p w:rsidR="00AE4A5E" w:rsidRPr="008078E6" w:rsidRDefault="0047176C" w:rsidP="00AA4E03">
      <w:pPr>
        <w:pStyle w:val="SingleTxtG"/>
        <w:rPr>
          <w:bCs/>
          <w:color w:val="000000" w:themeColor="text1"/>
          <w:lang w:val="en-GB"/>
        </w:rPr>
      </w:pPr>
      <w:r>
        <w:rPr>
          <w:lang w:val="en-GB"/>
        </w:rPr>
        <w:t>8</w:t>
      </w:r>
      <w:r w:rsidR="0049506A">
        <w:rPr>
          <w:lang w:val="en-GB"/>
        </w:rPr>
        <w:t>.</w:t>
      </w:r>
      <w:r w:rsidR="004F5298">
        <w:rPr>
          <w:lang w:val="en-GB"/>
        </w:rPr>
        <w:t>8</w:t>
      </w:r>
      <w:r w:rsidR="00153A7F">
        <w:rPr>
          <w:lang w:val="en-GB"/>
        </w:rPr>
        <w:tab/>
      </w:r>
      <w:r w:rsidR="0049506A">
        <w:rPr>
          <w:lang w:val="en-GB"/>
        </w:rPr>
        <w:t xml:space="preserve">The Committee further notes the State party’s submission </w:t>
      </w:r>
      <w:r w:rsidR="00FB05C2">
        <w:rPr>
          <w:lang w:val="en-GB"/>
        </w:rPr>
        <w:t>concerning</w:t>
      </w:r>
      <w:r w:rsidR="0049506A">
        <w:rPr>
          <w:lang w:val="en-GB"/>
        </w:rPr>
        <w:t xml:space="preserve"> the </w:t>
      </w:r>
      <w:r>
        <w:rPr>
          <w:lang w:val="en-GB"/>
        </w:rPr>
        <w:t xml:space="preserve">lack of </w:t>
      </w:r>
      <w:r w:rsidR="0049506A">
        <w:rPr>
          <w:lang w:val="en-GB"/>
        </w:rPr>
        <w:t xml:space="preserve">credibility of the complainant’s statements </w:t>
      </w:r>
      <w:r w:rsidR="00FB05C2">
        <w:rPr>
          <w:lang w:val="en-GB"/>
        </w:rPr>
        <w:t>owing</w:t>
      </w:r>
      <w:r w:rsidR="0049506A">
        <w:rPr>
          <w:lang w:val="en-GB"/>
        </w:rPr>
        <w:t xml:space="preserve"> to inconsistencies in his testimony, including </w:t>
      </w:r>
      <w:r w:rsidR="00FB05C2">
        <w:rPr>
          <w:lang w:val="en-GB"/>
        </w:rPr>
        <w:t>with regard to the</w:t>
      </w:r>
      <w:r w:rsidR="0049506A">
        <w:rPr>
          <w:lang w:val="en-GB"/>
        </w:rPr>
        <w:t xml:space="preserve"> date </w:t>
      </w:r>
      <w:r w:rsidR="00FB05C2">
        <w:rPr>
          <w:lang w:val="en-GB"/>
        </w:rPr>
        <w:t>on which he was</w:t>
      </w:r>
      <w:r w:rsidR="0049506A">
        <w:rPr>
          <w:lang w:val="en-GB"/>
        </w:rPr>
        <w:t xml:space="preserve"> abduct</w:t>
      </w:r>
      <w:r w:rsidR="00FB05C2">
        <w:rPr>
          <w:lang w:val="en-GB"/>
        </w:rPr>
        <w:t xml:space="preserve">ed </w:t>
      </w:r>
      <w:r w:rsidR="0049506A">
        <w:rPr>
          <w:lang w:val="en-GB"/>
        </w:rPr>
        <w:t xml:space="preserve">by five men in a white van and the description of the visit by the five men </w:t>
      </w:r>
      <w:r w:rsidR="00FB05C2">
        <w:rPr>
          <w:lang w:val="en-GB"/>
        </w:rPr>
        <w:t xml:space="preserve">who wanted him </w:t>
      </w:r>
      <w:r w:rsidR="0049506A">
        <w:rPr>
          <w:lang w:val="en-GB"/>
        </w:rPr>
        <w:t>to attend a pro-Government rally</w:t>
      </w:r>
      <w:r w:rsidR="0049506A" w:rsidRPr="008078E6">
        <w:rPr>
          <w:color w:val="000000" w:themeColor="text1"/>
          <w:lang w:val="en-GB"/>
        </w:rPr>
        <w:t>.</w:t>
      </w:r>
      <w:r w:rsidR="00CB678E" w:rsidRPr="008078E6">
        <w:rPr>
          <w:bCs/>
          <w:color w:val="000000" w:themeColor="text1"/>
          <w:lang w:val="en-GB"/>
        </w:rPr>
        <w:t xml:space="preserve"> </w:t>
      </w:r>
    </w:p>
    <w:p w:rsidR="00AA3927" w:rsidRPr="00AA3927" w:rsidRDefault="0047176C" w:rsidP="00AA4E03">
      <w:pPr>
        <w:pStyle w:val="SingleTxtG"/>
        <w:rPr>
          <w:lang w:val="en-GB"/>
        </w:rPr>
      </w:pPr>
      <w:r>
        <w:rPr>
          <w:lang w:val="en-GB"/>
        </w:rPr>
        <w:t>8</w:t>
      </w:r>
      <w:r w:rsidR="004F5298">
        <w:rPr>
          <w:lang w:val="en-GB"/>
        </w:rPr>
        <w:t>.9</w:t>
      </w:r>
      <w:r w:rsidR="00FB20A8" w:rsidRPr="00AA3927">
        <w:rPr>
          <w:lang w:val="en-GB"/>
        </w:rPr>
        <w:tab/>
        <w:t xml:space="preserve">The Committee </w:t>
      </w:r>
      <w:r w:rsidR="00AA3927" w:rsidRPr="00AA3927">
        <w:rPr>
          <w:lang w:val="en-GB"/>
        </w:rPr>
        <w:t xml:space="preserve">notes the </w:t>
      </w:r>
      <w:r w:rsidR="00FB05C2">
        <w:rPr>
          <w:lang w:val="en-GB"/>
        </w:rPr>
        <w:t xml:space="preserve">State party’s </w:t>
      </w:r>
      <w:r w:rsidR="00FB20A8" w:rsidRPr="00AA3927">
        <w:rPr>
          <w:lang w:val="en-GB"/>
        </w:rPr>
        <w:t>observ</w:t>
      </w:r>
      <w:r w:rsidR="00AA3927" w:rsidRPr="00AA3927">
        <w:rPr>
          <w:lang w:val="en-GB"/>
        </w:rPr>
        <w:t xml:space="preserve">ations that </w:t>
      </w:r>
      <w:r w:rsidR="00FB20A8" w:rsidRPr="00AA3927">
        <w:rPr>
          <w:lang w:val="en-GB"/>
        </w:rPr>
        <w:t>i</w:t>
      </w:r>
      <w:r w:rsidR="008911F2" w:rsidRPr="00AA3927">
        <w:rPr>
          <w:lang w:val="en-GB"/>
        </w:rPr>
        <w:t xml:space="preserve">f the </w:t>
      </w:r>
      <w:r w:rsidR="00FB05C2">
        <w:rPr>
          <w:lang w:val="en-GB"/>
        </w:rPr>
        <w:t xml:space="preserve">Sri Lankan </w:t>
      </w:r>
      <w:r w:rsidR="008911F2" w:rsidRPr="00AA3927">
        <w:rPr>
          <w:lang w:val="en-GB"/>
        </w:rPr>
        <w:t xml:space="preserve">authorities believed </w:t>
      </w:r>
      <w:r w:rsidR="00FB05C2">
        <w:rPr>
          <w:lang w:val="en-GB"/>
        </w:rPr>
        <w:t>that t</w:t>
      </w:r>
      <w:r w:rsidR="008911F2" w:rsidRPr="00AA3927">
        <w:rPr>
          <w:lang w:val="en-GB"/>
        </w:rPr>
        <w:t xml:space="preserve">he </w:t>
      </w:r>
      <w:r w:rsidR="00FB05C2">
        <w:rPr>
          <w:lang w:val="en-GB"/>
        </w:rPr>
        <w:t xml:space="preserve">complainant </w:t>
      </w:r>
      <w:r w:rsidR="008911F2" w:rsidRPr="00AA3927">
        <w:rPr>
          <w:lang w:val="en-GB"/>
        </w:rPr>
        <w:t>was involved with LTTE in April 2007, it w</w:t>
      </w:r>
      <w:r w:rsidR="00FB20A8" w:rsidRPr="00AA3927">
        <w:rPr>
          <w:lang w:val="en-GB"/>
        </w:rPr>
        <w:t xml:space="preserve">ould be </w:t>
      </w:r>
      <w:r w:rsidR="008911F2" w:rsidRPr="00AA3927">
        <w:rPr>
          <w:lang w:val="en-GB"/>
        </w:rPr>
        <w:t xml:space="preserve">difficult to </w:t>
      </w:r>
      <w:r w:rsidR="00522759" w:rsidRPr="00AA3927">
        <w:rPr>
          <w:lang w:val="en-GB"/>
        </w:rPr>
        <w:t>understand</w:t>
      </w:r>
      <w:r w:rsidR="008911F2" w:rsidRPr="00AA3927">
        <w:rPr>
          <w:lang w:val="en-GB"/>
        </w:rPr>
        <w:t xml:space="preserve"> that they issued </w:t>
      </w:r>
      <w:r w:rsidR="00FB05C2">
        <w:rPr>
          <w:lang w:val="en-GB"/>
        </w:rPr>
        <w:t xml:space="preserve">him </w:t>
      </w:r>
      <w:r w:rsidR="008911F2" w:rsidRPr="00AA3927">
        <w:rPr>
          <w:lang w:val="en-GB"/>
        </w:rPr>
        <w:t>a passport three months later in July 2007</w:t>
      </w:r>
      <w:r w:rsidR="00AA3927" w:rsidRPr="00AA3927">
        <w:rPr>
          <w:lang w:val="en-GB"/>
        </w:rPr>
        <w:t xml:space="preserve">; that </w:t>
      </w:r>
      <w:r w:rsidR="00FB20A8" w:rsidRPr="00AA3927">
        <w:rPr>
          <w:lang w:val="en-GB"/>
        </w:rPr>
        <w:t xml:space="preserve">none of his family was ever questioned </w:t>
      </w:r>
      <w:r w:rsidR="00FB05C2">
        <w:rPr>
          <w:lang w:val="en-GB"/>
        </w:rPr>
        <w:t>about</w:t>
      </w:r>
      <w:r w:rsidR="00FB20A8" w:rsidRPr="00AA3927">
        <w:rPr>
          <w:lang w:val="en-GB"/>
        </w:rPr>
        <w:t xml:space="preserve"> LTTE involvement</w:t>
      </w:r>
      <w:r w:rsidR="00FB05C2">
        <w:rPr>
          <w:lang w:val="en-GB"/>
        </w:rPr>
        <w:t>,</w:t>
      </w:r>
      <w:r w:rsidR="00FB20A8" w:rsidRPr="00AA3927">
        <w:rPr>
          <w:lang w:val="en-GB"/>
        </w:rPr>
        <w:t xml:space="preserve"> </w:t>
      </w:r>
      <w:r w:rsidR="00A4634C">
        <w:rPr>
          <w:lang w:val="en-GB"/>
        </w:rPr>
        <w:t xml:space="preserve">notwithstanding </w:t>
      </w:r>
      <w:r w:rsidR="00FB20A8" w:rsidRPr="00AA3927">
        <w:rPr>
          <w:lang w:val="en-GB"/>
        </w:rPr>
        <w:t xml:space="preserve">the complainant claim’s that he was imputed with </w:t>
      </w:r>
      <w:r w:rsidR="00FB05C2">
        <w:rPr>
          <w:lang w:val="en-GB"/>
        </w:rPr>
        <w:t xml:space="preserve">having </w:t>
      </w:r>
      <w:r w:rsidR="00FB20A8" w:rsidRPr="00AA3927">
        <w:rPr>
          <w:lang w:val="en-GB"/>
        </w:rPr>
        <w:t>pro-LTTE political opinion</w:t>
      </w:r>
      <w:r w:rsidR="00FB05C2">
        <w:rPr>
          <w:lang w:val="en-GB"/>
        </w:rPr>
        <w:t>s</w:t>
      </w:r>
      <w:r w:rsidR="00FB20A8" w:rsidRPr="00AA3927">
        <w:rPr>
          <w:lang w:val="en-GB"/>
        </w:rPr>
        <w:t xml:space="preserve"> </w:t>
      </w:r>
      <w:r w:rsidR="00AA3927">
        <w:rPr>
          <w:lang w:val="en-GB"/>
        </w:rPr>
        <w:t>by virtue of his brother’s involvement with LTTE</w:t>
      </w:r>
      <w:r w:rsidR="00AA3927" w:rsidRPr="00AA3927">
        <w:rPr>
          <w:lang w:val="en-GB"/>
        </w:rPr>
        <w:t xml:space="preserve">; </w:t>
      </w:r>
      <w:r w:rsidR="00A4634C">
        <w:rPr>
          <w:lang w:val="en-GB"/>
        </w:rPr>
        <w:t xml:space="preserve">and </w:t>
      </w:r>
      <w:r w:rsidR="009E5131" w:rsidRPr="00AA3927">
        <w:rPr>
          <w:lang w:val="en-GB"/>
        </w:rPr>
        <w:t xml:space="preserve">that the complainant </w:t>
      </w:r>
      <w:r w:rsidR="0060186D" w:rsidRPr="00AA3927">
        <w:rPr>
          <w:lang w:val="en-GB"/>
        </w:rPr>
        <w:t>was not arrested or detained after th</w:t>
      </w:r>
      <w:r w:rsidR="009E5131" w:rsidRPr="00AA3927">
        <w:rPr>
          <w:lang w:val="en-GB"/>
        </w:rPr>
        <w:t xml:space="preserve">e </w:t>
      </w:r>
      <w:r w:rsidR="00AA3927" w:rsidRPr="00AA3927">
        <w:rPr>
          <w:lang w:val="en-GB"/>
        </w:rPr>
        <w:t xml:space="preserve">abduction </w:t>
      </w:r>
      <w:r w:rsidR="0060186D" w:rsidRPr="00AA3927">
        <w:rPr>
          <w:lang w:val="en-GB"/>
        </w:rPr>
        <w:t xml:space="preserve">incident in his village or </w:t>
      </w:r>
      <w:r w:rsidR="009E5131" w:rsidRPr="00AA3927">
        <w:rPr>
          <w:lang w:val="en-GB"/>
        </w:rPr>
        <w:t xml:space="preserve">while working in </w:t>
      </w:r>
      <w:r w:rsidR="0060186D" w:rsidRPr="00AA3927">
        <w:rPr>
          <w:lang w:val="en-GB"/>
        </w:rPr>
        <w:t xml:space="preserve">Colombo during the years when the conflict was in progress </w:t>
      </w:r>
      <w:r w:rsidR="00FB05C2">
        <w:rPr>
          <w:lang w:val="en-GB"/>
        </w:rPr>
        <w:t>or</w:t>
      </w:r>
      <w:r w:rsidR="0060186D" w:rsidRPr="00AA3927">
        <w:rPr>
          <w:lang w:val="en-GB"/>
        </w:rPr>
        <w:t xml:space="preserve"> subsequently.</w:t>
      </w:r>
      <w:r w:rsidR="001974BC" w:rsidRPr="00AA3927">
        <w:t xml:space="preserve"> </w:t>
      </w:r>
    </w:p>
    <w:p w:rsidR="00A95C89" w:rsidRDefault="0047176C">
      <w:pPr>
        <w:pStyle w:val="SingleTxtG"/>
        <w:rPr>
          <w:lang w:val="en-GB"/>
        </w:rPr>
      </w:pPr>
      <w:r>
        <w:rPr>
          <w:lang w:val="en-GB"/>
        </w:rPr>
        <w:t>8</w:t>
      </w:r>
      <w:r w:rsidR="009E5131" w:rsidRPr="0002565D">
        <w:rPr>
          <w:lang w:val="en-GB"/>
        </w:rPr>
        <w:t>.</w:t>
      </w:r>
      <w:r w:rsidR="004F5298">
        <w:rPr>
          <w:lang w:val="en-GB"/>
        </w:rPr>
        <w:t>10</w:t>
      </w:r>
      <w:r w:rsidR="009E5131" w:rsidRPr="0002565D">
        <w:rPr>
          <w:lang w:val="en-GB"/>
        </w:rPr>
        <w:tab/>
      </w:r>
      <w:r w:rsidR="002637ED" w:rsidRPr="00E46CE8">
        <w:rPr>
          <w:lang w:val="en-GB"/>
        </w:rPr>
        <w:t xml:space="preserve">Regarding </w:t>
      </w:r>
      <w:r w:rsidR="0092120F" w:rsidRPr="00E46CE8">
        <w:rPr>
          <w:lang w:val="en-GB"/>
        </w:rPr>
        <w:t>the</w:t>
      </w:r>
      <w:r w:rsidR="0092120F" w:rsidRPr="0002565D">
        <w:rPr>
          <w:lang w:val="en-GB"/>
        </w:rPr>
        <w:t xml:space="preserve"> complainant’s claim that he risks being subjected to tortu</w:t>
      </w:r>
      <w:r w:rsidR="00311FDE" w:rsidRPr="0002565D">
        <w:rPr>
          <w:lang w:val="en-GB"/>
        </w:rPr>
        <w:t>r</w:t>
      </w:r>
      <w:r w:rsidR="0092120F" w:rsidRPr="0002565D">
        <w:rPr>
          <w:lang w:val="en-GB"/>
        </w:rPr>
        <w:t xml:space="preserve">e upon </w:t>
      </w:r>
      <w:r w:rsidR="00311FDE" w:rsidRPr="0002565D">
        <w:rPr>
          <w:lang w:val="en-GB"/>
        </w:rPr>
        <w:t xml:space="preserve">return to Sri Lanka owing to his status as a failed asylum seeker of Tamil ethnicity, the Committee, while not underestimating the concerns that may be legitimately expressed with respect to the current human rights situation in Sri Lanka and treatment of, inter alia, failed asylum seekers from overseas, recalls that the occurrence of human rights violations in </w:t>
      </w:r>
      <w:r w:rsidR="00023118">
        <w:rPr>
          <w:lang w:val="en-GB"/>
        </w:rPr>
        <w:t>one’s</w:t>
      </w:r>
      <w:r w:rsidR="00311FDE" w:rsidRPr="0002565D">
        <w:rPr>
          <w:lang w:val="en-GB"/>
        </w:rPr>
        <w:t xml:space="preserve"> </w:t>
      </w:r>
      <w:r w:rsidR="00665E5A" w:rsidRPr="0002565D">
        <w:rPr>
          <w:lang w:val="en-GB"/>
        </w:rPr>
        <w:t xml:space="preserve">country of origin is not sufficient in itself to conclude that </w:t>
      </w:r>
      <w:r w:rsidR="00023118">
        <w:rPr>
          <w:lang w:val="en-GB"/>
        </w:rPr>
        <w:t>the individual</w:t>
      </w:r>
      <w:r w:rsidR="00665E5A" w:rsidRPr="0002565D">
        <w:rPr>
          <w:lang w:val="en-GB"/>
        </w:rPr>
        <w:t xml:space="preserve"> runs a personal risk of torture.</w:t>
      </w:r>
      <w:r w:rsidR="00483371" w:rsidRPr="00153A7F">
        <w:rPr>
          <w:rStyle w:val="FootnoteReference"/>
        </w:rPr>
        <w:footnoteReference w:id="19"/>
      </w:r>
      <w:r w:rsidR="00665E5A" w:rsidRPr="0002565D">
        <w:rPr>
          <w:lang w:val="en-GB"/>
        </w:rPr>
        <w:t xml:space="preserve"> </w:t>
      </w:r>
      <w:r w:rsidR="00A00451" w:rsidRPr="00A00451">
        <w:rPr>
          <w:lang w:val="en-GB"/>
        </w:rPr>
        <w:t xml:space="preserve">The Committee observes that the </w:t>
      </w:r>
      <w:r w:rsidR="00023118">
        <w:rPr>
          <w:lang w:val="en-GB"/>
        </w:rPr>
        <w:t xml:space="preserve">2012 </w:t>
      </w:r>
      <w:r w:rsidR="00A00451" w:rsidRPr="00A00451">
        <w:rPr>
          <w:lang w:val="en-GB"/>
        </w:rPr>
        <w:t xml:space="preserve">UNHCR </w:t>
      </w:r>
      <w:r w:rsidR="00023118">
        <w:rPr>
          <w:lang w:val="en-GB"/>
        </w:rPr>
        <w:t xml:space="preserve">Eligibility </w:t>
      </w:r>
      <w:r w:rsidR="00A00451" w:rsidRPr="00A00451">
        <w:rPr>
          <w:lang w:val="en-GB"/>
        </w:rPr>
        <w:t>Guidelines no longer refer to a presumption of eligibility for protection of Sri Lankans simply on the grounds that they are Tamils originating from the north of the country</w:t>
      </w:r>
      <w:r w:rsidR="00A95C89">
        <w:rPr>
          <w:lang w:val="en-GB"/>
        </w:rPr>
        <w:t>,</w:t>
      </w:r>
      <w:r w:rsidR="00A00451" w:rsidRPr="00A00451">
        <w:rPr>
          <w:lang w:val="en-GB"/>
        </w:rPr>
        <w:t xml:space="preserve"> even though it does caution that a merits</w:t>
      </w:r>
      <w:r w:rsidR="00023118">
        <w:rPr>
          <w:lang w:val="en-GB"/>
        </w:rPr>
        <w:t>-</w:t>
      </w:r>
      <w:r w:rsidR="00A00451" w:rsidRPr="00A00451">
        <w:rPr>
          <w:lang w:val="en-GB"/>
        </w:rPr>
        <w:t>based assessment</w:t>
      </w:r>
      <w:r w:rsidR="00023118">
        <w:rPr>
          <w:lang w:val="en-GB"/>
        </w:rPr>
        <w:t>,</w:t>
      </w:r>
      <w:r w:rsidR="00A00451" w:rsidRPr="00A00451">
        <w:rPr>
          <w:lang w:val="en-GB"/>
        </w:rPr>
        <w:t xml:space="preserve"> </w:t>
      </w:r>
      <w:r w:rsidR="00A95C89">
        <w:rPr>
          <w:lang w:val="en-GB"/>
        </w:rPr>
        <w:t>taking into account</w:t>
      </w:r>
      <w:r w:rsidR="00A00451" w:rsidRPr="00A00451">
        <w:rPr>
          <w:lang w:val="en-GB"/>
        </w:rPr>
        <w:t xml:space="preserve"> individual circumstances</w:t>
      </w:r>
      <w:r w:rsidR="00023118">
        <w:rPr>
          <w:lang w:val="en-GB"/>
        </w:rPr>
        <w:t>,</w:t>
      </w:r>
      <w:r w:rsidR="00A00451" w:rsidRPr="00A00451">
        <w:rPr>
          <w:lang w:val="en-GB"/>
        </w:rPr>
        <w:t xml:space="preserve"> is still warranted and that Tamil ethnicity and place of origin </w:t>
      </w:r>
      <w:r w:rsidR="00A95C89">
        <w:rPr>
          <w:lang w:val="en-GB"/>
        </w:rPr>
        <w:t>may</w:t>
      </w:r>
      <w:r w:rsidR="00A00451" w:rsidRPr="00A00451">
        <w:rPr>
          <w:lang w:val="en-GB"/>
        </w:rPr>
        <w:t xml:space="preserve"> still be factors increasing the vulnerability of persons within other risk profiles whose protection claims warrant particularly close attention</w:t>
      </w:r>
      <w:r w:rsidR="00A00451">
        <w:rPr>
          <w:lang w:val="en-GB"/>
        </w:rPr>
        <w:t>.</w:t>
      </w:r>
      <w:r w:rsidR="00CB678E">
        <w:rPr>
          <w:lang w:val="en-GB"/>
        </w:rPr>
        <w:t xml:space="preserve"> </w:t>
      </w:r>
    </w:p>
    <w:p w:rsidR="003C17D8" w:rsidRDefault="00A95C89">
      <w:pPr>
        <w:pStyle w:val="SingleTxtG"/>
        <w:rPr>
          <w:lang w:val="en-GB"/>
        </w:rPr>
      </w:pPr>
      <w:r>
        <w:rPr>
          <w:lang w:val="en-GB"/>
        </w:rPr>
        <w:t>8.11</w:t>
      </w:r>
      <w:r>
        <w:rPr>
          <w:lang w:val="en-GB"/>
        </w:rPr>
        <w:tab/>
      </w:r>
      <w:r w:rsidR="006C2B52">
        <w:rPr>
          <w:lang w:val="en-GB"/>
        </w:rPr>
        <w:t xml:space="preserve">In this context, the Committee refers to its concluding observations </w:t>
      </w:r>
      <w:r>
        <w:rPr>
          <w:lang w:val="en-GB"/>
        </w:rPr>
        <w:t>on the</w:t>
      </w:r>
      <w:r w:rsidR="006C2B52">
        <w:rPr>
          <w:lang w:val="en-GB"/>
        </w:rPr>
        <w:t xml:space="preserve"> combined third and fourth periodic reports of Sri Lanka,</w:t>
      </w:r>
      <w:r w:rsidR="0061505D">
        <w:rPr>
          <w:lang w:val="en-GB"/>
        </w:rPr>
        <w:t xml:space="preserve"> </w:t>
      </w:r>
      <w:r>
        <w:rPr>
          <w:lang w:val="en-GB"/>
        </w:rPr>
        <w:t>in which</w:t>
      </w:r>
      <w:r w:rsidR="0061505D">
        <w:rPr>
          <w:lang w:val="en-GB"/>
        </w:rPr>
        <w:t xml:space="preserve"> it expressed serious concern about reports suggesting that torture and ill-treatment perpetrated by State actors in Sri Lanka, both the military and </w:t>
      </w:r>
      <w:r>
        <w:rPr>
          <w:lang w:val="en-GB"/>
        </w:rPr>
        <w:t xml:space="preserve">the </w:t>
      </w:r>
      <w:r w:rsidR="0061505D">
        <w:rPr>
          <w:lang w:val="en-GB"/>
        </w:rPr>
        <w:t xml:space="preserve">police, had continued in many parts of the country after the conflict with LTTE </w:t>
      </w:r>
      <w:r>
        <w:rPr>
          <w:lang w:val="en-GB"/>
        </w:rPr>
        <w:t xml:space="preserve">had </w:t>
      </w:r>
      <w:r w:rsidR="0061505D">
        <w:rPr>
          <w:lang w:val="en-GB"/>
        </w:rPr>
        <w:t>ended in May 2009.</w:t>
      </w:r>
      <w:r w:rsidR="0061505D" w:rsidRPr="00153A7F">
        <w:rPr>
          <w:rStyle w:val="FootnoteReference"/>
        </w:rPr>
        <w:footnoteReference w:id="20"/>
      </w:r>
      <w:r w:rsidR="00342673">
        <w:rPr>
          <w:lang w:val="en-GB"/>
        </w:rPr>
        <w:t xml:space="preserve"> </w:t>
      </w:r>
      <w:r w:rsidR="00057B90" w:rsidRPr="00F67156">
        <w:rPr>
          <w:lang w:val="en-GB"/>
        </w:rPr>
        <w:t>The Committee also</w:t>
      </w:r>
      <w:r w:rsidR="00057B90">
        <w:rPr>
          <w:lang w:val="en-GB"/>
        </w:rPr>
        <w:t xml:space="preserve"> refers to the </w:t>
      </w:r>
      <w:r w:rsidR="00F67156">
        <w:rPr>
          <w:lang w:val="en-GB"/>
        </w:rPr>
        <w:t>p</w:t>
      </w:r>
      <w:r w:rsidR="00057B90">
        <w:rPr>
          <w:lang w:val="en-GB"/>
        </w:rPr>
        <w:t xml:space="preserve">reliminary </w:t>
      </w:r>
      <w:r w:rsidR="00057B90">
        <w:rPr>
          <w:lang w:val="en-GB"/>
        </w:rPr>
        <w:lastRenderedPageBreak/>
        <w:t>observations and recommendations of the Special Rapporteur on torture and other cruel, inhuman and degrading treatment or punishment</w:t>
      </w:r>
      <w:r w:rsidR="00F67156">
        <w:rPr>
          <w:lang w:val="en-GB"/>
        </w:rPr>
        <w:t xml:space="preserve"> on </w:t>
      </w:r>
      <w:r w:rsidR="00057B90">
        <w:rPr>
          <w:lang w:val="en-GB"/>
        </w:rPr>
        <w:t xml:space="preserve">the official joint visit </w:t>
      </w:r>
      <w:r w:rsidR="00F67156">
        <w:rPr>
          <w:lang w:val="en-GB"/>
        </w:rPr>
        <w:t xml:space="preserve">to Sri Lanka, </w:t>
      </w:r>
      <w:r w:rsidR="00057B90">
        <w:rPr>
          <w:lang w:val="en-GB"/>
        </w:rPr>
        <w:t>with the Special Rapporteur on the independence of judges and lawyers</w:t>
      </w:r>
      <w:r w:rsidR="00F67156">
        <w:rPr>
          <w:lang w:val="en-GB"/>
        </w:rPr>
        <w:t>,</w:t>
      </w:r>
      <w:r w:rsidR="00057B90">
        <w:rPr>
          <w:lang w:val="en-GB"/>
        </w:rPr>
        <w:t xml:space="preserve"> from 29 April to 7 May 2016, in</w:t>
      </w:r>
      <w:r w:rsidR="00F67156">
        <w:rPr>
          <w:lang w:val="en-GB"/>
        </w:rPr>
        <w:t xml:space="preserve"> which</w:t>
      </w:r>
      <w:r w:rsidR="00057B90">
        <w:rPr>
          <w:lang w:val="en-GB"/>
        </w:rPr>
        <w:t xml:space="preserve"> it </w:t>
      </w:r>
      <w:r w:rsidR="00F67156">
        <w:rPr>
          <w:lang w:val="en-GB"/>
        </w:rPr>
        <w:t>is</w:t>
      </w:r>
      <w:r w:rsidR="00057B90">
        <w:rPr>
          <w:lang w:val="en-GB"/>
        </w:rPr>
        <w:t xml:space="preserve"> noted that “torture is a common practice” and the “current </w:t>
      </w:r>
      <w:r w:rsidR="00775EEF">
        <w:rPr>
          <w:lang w:val="en-GB"/>
        </w:rPr>
        <w:t>legal framework and the lack of reform within the structures of the armed forces, police, Attorney-General’s Office and judiciary perpetuate the real risk that the practice of torture will continue”</w:t>
      </w:r>
      <w:r w:rsidR="00F67156">
        <w:rPr>
          <w:lang w:val="en-GB"/>
        </w:rPr>
        <w:t>.</w:t>
      </w:r>
      <w:r w:rsidR="00775EEF" w:rsidRPr="00153A7F">
        <w:rPr>
          <w:rStyle w:val="FootnoteReference"/>
        </w:rPr>
        <w:footnoteReference w:id="21"/>
      </w:r>
      <w:r w:rsidR="008A3EEA">
        <w:rPr>
          <w:lang w:val="en-GB"/>
        </w:rPr>
        <w:t xml:space="preserve"> The Committee also takes note of credible reports published by </w:t>
      </w:r>
      <w:r w:rsidR="00023118">
        <w:rPr>
          <w:lang w:val="en-GB"/>
        </w:rPr>
        <w:t>NGOs</w:t>
      </w:r>
      <w:r w:rsidR="008A3EEA">
        <w:rPr>
          <w:lang w:val="en-GB"/>
        </w:rPr>
        <w:t xml:space="preserve"> concerning the treatment</w:t>
      </w:r>
      <w:r w:rsidR="00F67156">
        <w:rPr>
          <w:lang w:val="en-GB"/>
        </w:rPr>
        <w:t xml:space="preserve"> by the Sri Lankan authorities of</w:t>
      </w:r>
      <w:r w:rsidR="008A3EEA">
        <w:rPr>
          <w:lang w:val="en-GB"/>
        </w:rPr>
        <w:t xml:space="preserve"> individuals returned to Sri Lanka.</w:t>
      </w:r>
      <w:r w:rsidR="007853C4" w:rsidRPr="00153A7F">
        <w:rPr>
          <w:rStyle w:val="FootnoteReference"/>
        </w:rPr>
        <w:footnoteReference w:id="22"/>
      </w:r>
      <w:r w:rsidR="00CB678E">
        <w:rPr>
          <w:lang w:val="en-GB"/>
        </w:rPr>
        <w:t xml:space="preserve"> </w:t>
      </w:r>
      <w:r w:rsidR="003C17D8">
        <w:rPr>
          <w:lang w:val="en-GB"/>
        </w:rPr>
        <w:t>The Committee considers tha</w:t>
      </w:r>
      <w:r w:rsidR="00A00451">
        <w:rPr>
          <w:lang w:val="en-GB"/>
        </w:rPr>
        <w:t xml:space="preserve">t all </w:t>
      </w:r>
      <w:r w:rsidR="003352A7">
        <w:rPr>
          <w:lang w:val="en-GB"/>
        </w:rPr>
        <w:t xml:space="preserve">of </w:t>
      </w:r>
      <w:r w:rsidR="00A00451">
        <w:rPr>
          <w:lang w:val="en-GB"/>
        </w:rPr>
        <w:t>the above</w:t>
      </w:r>
      <w:r w:rsidR="003352A7">
        <w:rPr>
          <w:lang w:val="en-GB"/>
        </w:rPr>
        <w:t>-mentioned reports</w:t>
      </w:r>
      <w:r w:rsidR="00A00451">
        <w:rPr>
          <w:lang w:val="en-GB"/>
        </w:rPr>
        <w:t xml:space="preserve"> show that Sri Lankans of T</w:t>
      </w:r>
      <w:r w:rsidR="003C17D8">
        <w:rPr>
          <w:lang w:val="en-GB"/>
        </w:rPr>
        <w:t xml:space="preserve">amil ethnicity with a prior personal or familial connection to LTTE </w:t>
      </w:r>
      <w:r w:rsidR="003352A7">
        <w:rPr>
          <w:lang w:val="en-GB"/>
        </w:rPr>
        <w:t xml:space="preserve">and </w:t>
      </w:r>
      <w:r w:rsidR="003C17D8">
        <w:rPr>
          <w:lang w:val="en-GB"/>
        </w:rPr>
        <w:t>facing forcible return to Sri Lanka may face a risk of torture.</w:t>
      </w:r>
      <w:r w:rsidR="003C17D8" w:rsidRPr="00153A7F">
        <w:rPr>
          <w:rStyle w:val="FootnoteReference"/>
        </w:rPr>
        <w:footnoteReference w:id="23"/>
      </w:r>
    </w:p>
    <w:p w:rsidR="001863D6" w:rsidRPr="0002565D" w:rsidRDefault="00A00451">
      <w:pPr>
        <w:pStyle w:val="SingleTxtG"/>
        <w:rPr>
          <w:lang w:val="en-GB"/>
        </w:rPr>
      </w:pPr>
      <w:r>
        <w:rPr>
          <w:lang w:val="en-GB"/>
        </w:rPr>
        <w:t>8.1</w:t>
      </w:r>
      <w:r w:rsidR="00FE41FA">
        <w:rPr>
          <w:lang w:val="en-GB"/>
        </w:rPr>
        <w:t>2</w:t>
      </w:r>
      <w:r>
        <w:rPr>
          <w:lang w:val="en-GB"/>
        </w:rPr>
        <w:tab/>
      </w:r>
      <w:r w:rsidR="00DB51D1">
        <w:rPr>
          <w:lang w:val="en-GB"/>
        </w:rPr>
        <w:t>The Committee also notes that t</w:t>
      </w:r>
      <w:r w:rsidR="0063672B" w:rsidRPr="0002565D">
        <w:rPr>
          <w:lang w:val="en-GB"/>
        </w:rPr>
        <w:t xml:space="preserve">he existence of a general risk of violence </w:t>
      </w:r>
      <w:r w:rsidR="00023118">
        <w:rPr>
          <w:lang w:val="en-GB"/>
        </w:rPr>
        <w:t xml:space="preserve">in a country </w:t>
      </w:r>
      <w:r w:rsidR="0063672B" w:rsidRPr="0002565D">
        <w:rPr>
          <w:lang w:val="en-GB"/>
        </w:rPr>
        <w:t>does not constitute sufficient ground</w:t>
      </w:r>
      <w:r w:rsidR="00023118">
        <w:rPr>
          <w:lang w:val="en-GB"/>
        </w:rPr>
        <w:t>s</w:t>
      </w:r>
      <w:r w:rsidR="0063672B" w:rsidRPr="0002565D">
        <w:rPr>
          <w:lang w:val="en-GB"/>
        </w:rPr>
        <w:t xml:space="preserve"> for determining that a particular person would be in danger of being subjected to torture upon return to that country</w:t>
      </w:r>
      <w:r w:rsidR="00DB51D1">
        <w:rPr>
          <w:lang w:val="en-GB"/>
        </w:rPr>
        <w:t xml:space="preserve"> and that</w:t>
      </w:r>
      <w:r w:rsidR="0063672B" w:rsidRPr="0002565D">
        <w:rPr>
          <w:lang w:val="en-GB"/>
        </w:rPr>
        <w:t xml:space="preserve"> additional grounds must exist to show the individual concerned would be personally at risk.</w:t>
      </w:r>
      <w:r w:rsidR="0063672B" w:rsidRPr="00227B06">
        <w:rPr>
          <w:color w:val="C0504D"/>
          <w:lang w:val="en-GB"/>
        </w:rPr>
        <w:t xml:space="preserve"> </w:t>
      </w:r>
      <w:r w:rsidR="00DB51D1" w:rsidRPr="008078E6">
        <w:rPr>
          <w:color w:val="000000" w:themeColor="text1"/>
          <w:lang w:val="en-GB"/>
        </w:rPr>
        <w:t>In the Committee’s opinion, t</w:t>
      </w:r>
      <w:r w:rsidR="0063672B" w:rsidRPr="008078E6">
        <w:rPr>
          <w:color w:val="000000" w:themeColor="text1"/>
          <w:lang w:val="en-GB"/>
        </w:rPr>
        <w:t xml:space="preserve">he </w:t>
      </w:r>
      <w:r w:rsidR="0063672B" w:rsidRPr="0002565D">
        <w:rPr>
          <w:lang w:val="en-GB"/>
        </w:rPr>
        <w:t xml:space="preserve">complainant has not established the existence of additional grounds to show that he </w:t>
      </w:r>
      <w:r w:rsidR="00516C40">
        <w:rPr>
          <w:lang w:val="en-GB"/>
        </w:rPr>
        <w:t>would be</w:t>
      </w:r>
      <w:r w:rsidR="0063672B" w:rsidRPr="0002565D">
        <w:rPr>
          <w:lang w:val="en-GB"/>
        </w:rPr>
        <w:t xml:space="preserve"> at a foreseeable, real and personal risk</w:t>
      </w:r>
      <w:r w:rsidR="001863D6" w:rsidRPr="0002565D">
        <w:rPr>
          <w:lang w:val="en-GB"/>
        </w:rPr>
        <w:t xml:space="preserve"> of torture if returned to Sri L</w:t>
      </w:r>
      <w:r w:rsidR="0063672B" w:rsidRPr="0002565D">
        <w:rPr>
          <w:lang w:val="en-GB"/>
        </w:rPr>
        <w:t>anka.</w:t>
      </w:r>
      <w:r w:rsidR="00CB678E">
        <w:rPr>
          <w:lang w:val="en-GB"/>
        </w:rPr>
        <w:t xml:space="preserve"> </w:t>
      </w:r>
      <w:r w:rsidR="0063672B" w:rsidRPr="0002565D">
        <w:rPr>
          <w:lang w:val="en-GB"/>
        </w:rPr>
        <w:t xml:space="preserve">The issues relating to human rights violations of returned asylum seekers </w:t>
      </w:r>
      <w:r w:rsidR="00516C40">
        <w:rPr>
          <w:lang w:val="en-GB"/>
        </w:rPr>
        <w:t>were</w:t>
      </w:r>
      <w:r w:rsidR="0063672B" w:rsidRPr="0002565D">
        <w:rPr>
          <w:lang w:val="en-GB"/>
        </w:rPr>
        <w:t xml:space="preserve"> also considered by all </w:t>
      </w:r>
      <w:r w:rsidR="00516C40">
        <w:rPr>
          <w:lang w:val="en-GB"/>
        </w:rPr>
        <w:t xml:space="preserve">the Australian </w:t>
      </w:r>
      <w:r w:rsidR="0063672B" w:rsidRPr="0002565D">
        <w:rPr>
          <w:lang w:val="en-GB"/>
        </w:rPr>
        <w:t xml:space="preserve">processes, including the protection visa </w:t>
      </w:r>
      <w:r w:rsidR="00516C40">
        <w:rPr>
          <w:lang w:val="en-GB"/>
        </w:rPr>
        <w:t>assessment by the Department of Immigration and Border Protection</w:t>
      </w:r>
      <w:r w:rsidR="0063672B" w:rsidRPr="0002565D">
        <w:rPr>
          <w:lang w:val="en-GB"/>
        </w:rPr>
        <w:t xml:space="preserve"> and </w:t>
      </w:r>
      <w:r w:rsidR="00516C40">
        <w:rPr>
          <w:lang w:val="en-GB"/>
        </w:rPr>
        <w:t xml:space="preserve">the </w:t>
      </w:r>
      <w:r w:rsidR="00023118">
        <w:rPr>
          <w:lang w:val="en-GB"/>
        </w:rPr>
        <w:t>independent merits</w:t>
      </w:r>
      <w:r w:rsidR="00516C40">
        <w:rPr>
          <w:lang w:val="en-GB"/>
        </w:rPr>
        <w:t xml:space="preserve"> review by the </w:t>
      </w:r>
      <w:r w:rsidR="0063672B" w:rsidRPr="0002565D">
        <w:rPr>
          <w:lang w:val="en-GB"/>
        </w:rPr>
        <w:t xml:space="preserve">Refugee Review Tribunal. </w:t>
      </w:r>
      <w:r w:rsidR="00516C40">
        <w:rPr>
          <w:lang w:val="en-GB"/>
        </w:rPr>
        <w:t>T</w:t>
      </w:r>
      <w:r w:rsidR="00665E5A" w:rsidRPr="0002565D">
        <w:rPr>
          <w:lang w:val="en-GB"/>
        </w:rPr>
        <w:t>he Committee notes that</w:t>
      </w:r>
      <w:r w:rsidR="00516C40">
        <w:rPr>
          <w:lang w:val="en-GB"/>
        </w:rPr>
        <w:t xml:space="preserve"> the</w:t>
      </w:r>
      <w:r w:rsidR="00665E5A" w:rsidRPr="0002565D">
        <w:rPr>
          <w:lang w:val="en-GB"/>
        </w:rPr>
        <w:t xml:space="preserve"> </w:t>
      </w:r>
      <w:r w:rsidR="00516C40" w:rsidRPr="0002565D">
        <w:rPr>
          <w:lang w:val="en-GB"/>
        </w:rPr>
        <w:t>State party’s authorities</w:t>
      </w:r>
      <w:r w:rsidR="00516C40">
        <w:rPr>
          <w:lang w:val="en-GB"/>
        </w:rPr>
        <w:t>,</w:t>
      </w:r>
      <w:r w:rsidR="00516C40" w:rsidRPr="0002565D">
        <w:rPr>
          <w:lang w:val="en-GB"/>
        </w:rPr>
        <w:t xml:space="preserve"> </w:t>
      </w:r>
      <w:r w:rsidR="00665E5A" w:rsidRPr="0002565D">
        <w:rPr>
          <w:lang w:val="en-GB"/>
        </w:rPr>
        <w:t xml:space="preserve">in </w:t>
      </w:r>
      <w:r w:rsidR="00516C40">
        <w:rPr>
          <w:lang w:val="en-GB"/>
        </w:rPr>
        <w:t>their</w:t>
      </w:r>
      <w:r w:rsidR="00665E5A" w:rsidRPr="0002565D">
        <w:rPr>
          <w:lang w:val="en-GB"/>
        </w:rPr>
        <w:t xml:space="preserve"> assessment of the complainant’s asylum application, also considered the possible risk of ill-treatment of failed asylum seekers upon return to Sri Lanka and is of the view that, in the present case, the State party’s authorities gave appropriate consideration to the complainant’s claim. </w:t>
      </w:r>
    </w:p>
    <w:p w:rsidR="00665E5A" w:rsidRPr="0002565D" w:rsidRDefault="0047176C">
      <w:pPr>
        <w:pStyle w:val="SingleTxtG"/>
        <w:rPr>
          <w:lang w:val="en-GB"/>
        </w:rPr>
      </w:pPr>
      <w:r>
        <w:rPr>
          <w:lang w:val="en-GB"/>
        </w:rPr>
        <w:t>8</w:t>
      </w:r>
      <w:r w:rsidR="001863D6" w:rsidRPr="0002565D">
        <w:rPr>
          <w:lang w:val="en-GB"/>
        </w:rPr>
        <w:t>.1</w:t>
      </w:r>
      <w:r w:rsidR="00FE41FA">
        <w:rPr>
          <w:lang w:val="en-GB"/>
        </w:rPr>
        <w:t>3</w:t>
      </w:r>
      <w:r w:rsidR="001863D6" w:rsidRPr="0002565D">
        <w:rPr>
          <w:lang w:val="en-GB"/>
        </w:rPr>
        <w:tab/>
      </w:r>
      <w:r w:rsidR="0063672B" w:rsidRPr="0002565D">
        <w:rPr>
          <w:lang w:val="en-GB"/>
        </w:rPr>
        <w:t xml:space="preserve">The </w:t>
      </w:r>
      <w:r w:rsidR="0002565D" w:rsidRPr="0002565D">
        <w:rPr>
          <w:lang w:val="en-GB"/>
        </w:rPr>
        <w:t>Committee further notes the State party</w:t>
      </w:r>
      <w:r w:rsidR="00A03CE4">
        <w:rPr>
          <w:lang w:val="en-GB"/>
        </w:rPr>
        <w:t>’s submission</w:t>
      </w:r>
      <w:r w:rsidR="0002565D" w:rsidRPr="0002565D">
        <w:rPr>
          <w:lang w:val="en-GB"/>
        </w:rPr>
        <w:t xml:space="preserve"> that the </w:t>
      </w:r>
      <w:r w:rsidR="00A90FBB" w:rsidRPr="0002565D">
        <w:rPr>
          <w:lang w:val="en-GB"/>
        </w:rPr>
        <w:t xml:space="preserve">complainant </w:t>
      </w:r>
      <w:r w:rsidR="00516C40">
        <w:rPr>
          <w:lang w:val="en-GB"/>
        </w:rPr>
        <w:t>did</w:t>
      </w:r>
      <w:r w:rsidR="0063672B" w:rsidRPr="0002565D">
        <w:rPr>
          <w:lang w:val="en-GB"/>
        </w:rPr>
        <w:t xml:space="preserve"> not substantiate his claim regarding his activities in Australia. According to the file, the </w:t>
      </w:r>
      <w:r w:rsidR="00023118">
        <w:rPr>
          <w:lang w:val="en-GB"/>
        </w:rPr>
        <w:t>State party</w:t>
      </w:r>
      <w:r w:rsidR="0063672B" w:rsidRPr="0002565D">
        <w:rPr>
          <w:lang w:val="en-GB"/>
        </w:rPr>
        <w:t xml:space="preserve"> sought to verify the claims</w:t>
      </w:r>
      <w:r w:rsidR="00516C40">
        <w:rPr>
          <w:lang w:val="en-GB"/>
        </w:rPr>
        <w:t>,</w:t>
      </w:r>
      <w:r w:rsidR="0063672B" w:rsidRPr="0002565D">
        <w:rPr>
          <w:lang w:val="en-GB"/>
        </w:rPr>
        <w:t xml:space="preserve"> but considered </w:t>
      </w:r>
      <w:r w:rsidR="00516C40">
        <w:rPr>
          <w:lang w:val="en-GB"/>
        </w:rPr>
        <w:t>them</w:t>
      </w:r>
      <w:r w:rsidR="0063672B" w:rsidRPr="0002565D">
        <w:rPr>
          <w:lang w:val="en-GB"/>
        </w:rPr>
        <w:t xml:space="preserve"> not credible in that </w:t>
      </w:r>
      <w:r w:rsidR="00023118">
        <w:rPr>
          <w:lang w:val="en-GB"/>
        </w:rPr>
        <w:t>the complainant</w:t>
      </w:r>
      <w:r w:rsidR="0063672B" w:rsidRPr="0002565D">
        <w:rPr>
          <w:lang w:val="en-GB"/>
        </w:rPr>
        <w:t xml:space="preserve"> did not explain how or why </w:t>
      </w:r>
      <w:r w:rsidR="00A03CE4">
        <w:rPr>
          <w:lang w:val="en-GB"/>
        </w:rPr>
        <w:t>his</w:t>
      </w:r>
      <w:r w:rsidR="00A03CE4" w:rsidRPr="0002565D">
        <w:rPr>
          <w:lang w:val="en-GB"/>
        </w:rPr>
        <w:t xml:space="preserve"> </w:t>
      </w:r>
      <w:r w:rsidR="0063672B" w:rsidRPr="0002565D">
        <w:rPr>
          <w:lang w:val="en-GB"/>
        </w:rPr>
        <w:t xml:space="preserve">contacts </w:t>
      </w:r>
      <w:r w:rsidR="00A90FBB" w:rsidRPr="0002565D">
        <w:rPr>
          <w:lang w:val="en-GB"/>
        </w:rPr>
        <w:t xml:space="preserve">with members of the Tamil Congress </w:t>
      </w:r>
      <w:r w:rsidR="0063672B" w:rsidRPr="0002565D">
        <w:rPr>
          <w:lang w:val="en-GB"/>
        </w:rPr>
        <w:t xml:space="preserve">would put him at risk of torture. The issue of the complainant’s Tamil ethnicity and alleged links with LTTE </w:t>
      </w:r>
      <w:r w:rsidR="00A03CE4">
        <w:rPr>
          <w:lang w:val="en-GB"/>
        </w:rPr>
        <w:t>were</w:t>
      </w:r>
      <w:r w:rsidR="0063672B" w:rsidRPr="0002565D">
        <w:rPr>
          <w:lang w:val="en-GB"/>
        </w:rPr>
        <w:t xml:space="preserve"> </w:t>
      </w:r>
      <w:r w:rsidR="00023118">
        <w:rPr>
          <w:lang w:val="en-GB"/>
        </w:rPr>
        <w:t xml:space="preserve">also </w:t>
      </w:r>
      <w:r w:rsidR="0063672B" w:rsidRPr="0002565D">
        <w:rPr>
          <w:lang w:val="en-GB"/>
        </w:rPr>
        <w:t xml:space="preserve">thoroughly assessed. Both the </w:t>
      </w:r>
      <w:r w:rsidR="00A03CE4">
        <w:rPr>
          <w:lang w:val="en-GB"/>
        </w:rPr>
        <w:t>Department of Immigration and Border Protection that carried out the p</w:t>
      </w:r>
      <w:r w:rsidR="0063672B" w:rsidRPr="0002565D">
        <w:rPr>
          <w:lang w:val="en-GB"/>
        </w:rPr>
        <w:t xml:space="preserve">rotection </w:t>
      </w:r>
      <w:r w:rsidR="00A03CE4">
        <w:rPr>
          <w:lang w:val="en-GB"/>
        </w:rPr>
        <w:t>v</w:t>
      </w:r>
      <w:r w:rsidR="0063672B" w:rsidRPr="0002565D">
        <w:rPr>
          <w:lang w:val="en-GB"/>
        </w:rPr>
        <w:t xml:space="preserve">isa </w:t>
      </w:r>
      <w:r w:rsidR="00A03CE4">
        <w:rPr>
          <w:lang w:val="en-GB"/>
        </w:rPr>
        <w:t>a</w:t>
      </w:r>
      <w:r w:rsidR="0063672B" w:rsidRPr="0002565D">
        <w:rPr>
          <w:lang w:val="en-GB"/>
        </w:rPr>
        <w:t xml:space="preserve">ssessment and </w:t>
      </w:r>
      <w:r w:rsidR="00A03CE4">
        <w:rPr>
          <w:lang w:val="en-GB"/>
        </w:rPr>
        <w:t xml:space="preserve">the </w:t>
      </w:r>
      <w:r w:rsidR="0063672B" w:rsidRPr="0002565D">
        <w:rPr>
          <w:lang w:val="en-GB"/>
        </w:rPr>
        <w:t>R</w:t>
      </w:r>
      <w:r w:rsidR="00A03CE4">
        <w:rPr>
          <w:lang w:val="en-GB"/>
        </w:rPr>
        <w:t xml:space="preserve">efugee </w:t>
      </w:r>
      <w:r w:rsidR="0063672B" w:rsidRPr="0002565D">
        <w:rPr>
          <w:lang w:val="en-GB"/>
        </w:rPr>
        <w:t>R</w:t>
      </w:r>
      <w:r w:rsidR="00A03CE4">
        <w:rPr>
          <w:lang w:val="en-GB"/>
        </w:rPr>
        <w:t xml:space="preserve">eview </w:t>
      </w:r>
      <w:r w:rsidR="0063672B" w:rsidRPr="0002565D">
        <w:rPr>
          <w:lang w:val="en-GB"/>
        </w:rPr>
        <w:t>T</w:t>
      </w:r>
      <w:r w:rsidR="00A03CE4">
        <w:rPr>
          <w:lang w:val="en-GB"/>
        </w:rPr>
        <w:t>ribunal</w:t>
      </w:r>
      <w:r w:rsidR="0063672B" w:rsidRPr="0002565D">
        <w:rPr>
          <w:lang w:val="en-GB"/>
        </w:rPr>
        <w:t xml:space="preserve"> found that the author did not have any form of connection to LTTE</w:t>
      </w:r>
      <w:r w:rsidR="00A03CE4">
        <w:rPr>
          <w:lang w:val="en-GB"/>
        </w:rPr>
        <w:t xml:space="preserve"> nor</w:t>
      </w:r>
      <w:r w:rsidR="0063672B" w:rsidRPr="0002565D">
        <w:rPr>
          <w:lang w:val="en-GB"/>
        </w:rPr>
        <w:t xml:space="preserve"> was</w:t>
      </w:r>
      <w:r w:rsidR="00A03CE4">
        <w:rPr>
          <w:lang w:val="en-GB"/>
        </w:rPr>
        <w:t xml:space="preserve"> he </w:t>
      </w:r>
      <w:r w:rsidR="0063672B" w:rsidRPr="0002565D">
        <w:rPr>
          <w:lang w:val="en-GB"/>
        </w:rPr>
        <w:t xml:space="preserve">suspected of such links </w:t>
      </w:r>
      <w:r w:rsidR="00A03CE4">
        <w:rPr>
          <w:lang w:val="en-GB"/>
        </w:rPr>
        <w:t>nor</w:t>
      </w:r>
      <w:r w:rsidR="0063672B" w:rsidRPr="0002565D">
        <w:rPr>
          <w:lang w:val="en-GB"/>
        </w:rPr>
        <w:t xml:space="preserve"> </w:t>
      </w:r>
      <w:r w:rsidR="00023118">
        <w:rPr>
          <w:lang w:val="en-GB"/>
        </w:rPr>
        <w:t xml:space="preserve">was he </w:t>
      </w:r>
      <w:r w:rsidR="0063672B" w:rsidRPr="0002565D">
        <w:rPr>
          <w:lang w:val="en-GB"/>
        </w:rPr>
        <w:t xml:space="preserve">a criminal suspect. </w:t>
      </w:r>
      <w:r w:rsidR="00A03CE4">
        <w:rPr>
          <w:lang w:val="en-GB"/>
        </w:rPr>
        <w:t>The complainant</w:t>
      </w:r>
      <w:r w:rsidR="0063672B" w:rsidRPr="0002565D">
        <w:rPr>
          <w:lang w:val="en-GB"/>
        </w:rPr>
        <w:t xml:space="preserve"> also</w:t>
      </w:r>
      <w:r w:rsidR="00A03CE4">
        <w:rPr>
          <w:lang w:val="en-GB"/>
        </w:rPr>
        <w:t xml:space="preserve"> did</w:t>
      </w:r>
      <w:r w:rsidR="0063672B" w:rsidRPr="0002565D">
        <w:rPr>
          <w:lang w:val="en-GB"/>
        </w:rPr>
        <w:t xml:space="preserve"> not substantiat</w:t>
      </w:r>
      <w:r w:rsidR="00023118">
        <w:rPr>
          <w:lang w:val="en-GB"/>
        </w:rPr>
        <w:t>e</w:t>
      </w:r>
      <w:r w:rsidR="0063672B" w:rsidRPr="0002565D">
        <w:rPr>
          <w:lang w:val="en-GB"/>
        </w:rPr>
        <w:t xml:space="preserve"> his claim that detention in Sri Lanka would constitute degrading treatment</w:t>
      </w:r>
      <w:r w:rsidR="00A90FBB" w:rsidRPr="0002565D">
        <w:rPr>
          <w:lang w:val="en-GB"/>
        </w:rPr>
        <w:t>, which would not in itself suffice to establish that a forcible removal of the complainant would entail a violation of his rights under article 3 of the Convention.</w:t>
      </w:r>
      <w:r w:rsidR="00CB678E">
        <w:rPr>
          <w:lang w:val="en-GB"/>
        </w:rPr>
        <w:t xml:space="preserve"> </w:t>
      </w:r>
    </w:p>
    <w:p w:rsidR="009B218C" w:rsidRDefault="0047176C" w:rsidP="008078E6">
      <w:pPr>
        <w:pStyle w:val="SingleTxtG"/>
        <w:keepLines/>
        <w:rPr>
          <w:lang w:val="en-GB"/>
        </w:rPr>
      </w:pPr>
      <w:r>
        <w:rPr>
          <w:lang w:val="en-GB"/>
        </w:rPr>
        <w:lastRenderedPageBreak/>
        <w:t>8</w:t>
      </w:r>
      <w:r w:rsidR="00665E5A">
        <w:rPr>
          <w:lang w:val="en-GB"/>
        </w:rPr>
        <w:t>.1</w:t>
      </w:r>
      <w:r w:rsidR="00FE41FA">
        <w:rPr>
          <w:lang w:val="en-GB"/>
        </w:rPr>
        <w:t>4</w:t>
      </w:r>
      <w:r w:rsidR="00665E5A">
        <w:rPr>
          <w:lang w:val="en-GB"/>
        </w:rPr>
        <w:tab/>
      </w:r>
      <w:r w:rsidR="00A03CE4">
        <w:rPr>
          <w:lang w:val="en-GB"/>
        </w:rPr>
        <w:t>T</w:t>
      </w:r>
      <w:r w:rsidR="00665E5A">
        <w:rPr>
          <w:lang w:val="en-GB"/>
        </w:rPr>
        <w:t xml:space="preserve">he Committee recalls its general comment No. 1, </w:t>
      </w:r>
      <w:r w:rsidR="00A03CE4">
        <w:rPr>
          <w:lang w:val="en-GB"/>
        </w:rPr>
        <w:t xml:space="preserve">according to which </w:t>
      </w:r>
      <w:r w:rsidR="00665E5A">
        <w:rPr>
          <w:lang w:val="en-GB"/>
        </w:rPr>
        <w:t xml:space="preserve">the burden of presenting an arguable case lies with the </w:t>
      </w:r>
      <w:r w:rsidR="00A03CE4">
        <w:rPr>
          <w:lang w:val="en-GB"/>
        </w:rPr>
        <w:t>complainant</w:t>
      </w:r>
      <w:r w:rsidR="00665E5A">
        <w:rPr>
          <w:lang w:val="en-GB"/>
        </w:rPr>
        <w:t xml:space="preserve"> (para. 5). In the Committee’s opinion, in the present case, the complainant has not discharged this burden of proof.</w:t>
      </w:r>
      <w:r w:rsidR="00483371" w:rsidRPr="00153A7F">
        <w:rPr>
          <w:rStyle w:val="FootnoteReference"/>
        </w:rPr>
        <w:footnoteReference w:id="24"/>
      </w:r>
      <w:r w:rsidR="00CB678E">
        <w:rPr>
          <w:lang w:val="en-GB"/>
        </w:rPr>
        <w:t xml:space="preserve"> </w:t>
      </w:r>
      <w:r w:rsidR="00665E5A">
        <w:rPr>
          <w:lang w:val="en-GB"/>
        </w:rPr>
        <w:t>Furthermore, the complainant has not demonstrated that the State party’s authorities failed to conduct a proper investigation into his allegations.</w:t>
      </w:r>
      <w:r w:rsidR="003E77C6" w:rsidRPr="00153A7F">
        <w:rPr>
          <w:rStyle w:val="FootnoteReference"/>
        </w:rPr>
        <w:footnoteReference w:id="25"/>
      </w:r>
      <w:r w:rsidR="009B218C">
        <w:rPr>
          <w:lang w:val="en-GB"/>
        </w:rPr>
        <w:t xml:space="preserve"> </w:t>
      </w:r>
    </w:p>
    <w:p w:rsidR="00567143" w:rsidRDefault="0047176C" w:rsidP="00A03CE4">
      <w:pPr>
        <w:pStyle w:val="SingleTxtG"/>
        <w:rPr>
          <w:lang w:val="en-GB"/>
        </w:rPr>
      </w:pPr>
      <w:r>
        <w:rPr>
          <w:lang w:val="en-GB"/>
        </w:rPr>
        <w:t>9</w:t>
      </w:r>
      <w:r w:rsidR="00567143">
        <w:rPr>
          <w:lang w:val="en-GB"/>
        </w:rPr>
        <w:t>.</w:t>
      </w:r>
      <w:r w:rsidR="00567143">
        <w:rPr>
          <w:lang w:val="en-GB"/>
        </w:rPr>
        <w:tab/>
      </w:r>
      <w:r w:rsidR="00A03CE4">
        <w:rPr>
          <w:lang w:val="en-GB"/>
        </w:rPr>
        <w:t>Consequently</w:t>
      </w:r>
      <w:r w:rsidR="00567143">
        <w:rPr>
          <w:lang w:val="en-GB"/>
        </w:rPr>
        <w:t>, the Committee con</w:t>
      </w:r>
      <w:r w:rsidR="00325ECF">
        <w:rPr>
          <w:lang w:val="en-GB"/>
        </w:rPr>
        <w:t xml:space="preserve">siders that the evidence and circumstances invoked by the </w:t>
      </w:r>
      <w:r w:rsidR="00567143">
        <w:rPr>
          <w:lang w:val="en-GB"/>
        </w:rPr>
        <w:t xml:space="preserve">complainant </w:t>
      </w:r>
      <w:r w:rsidR="00325ECF">
        <w:rPr>
          <w:lang w:val="en-GB"/>
        </w:rPr>
        <w:t xml:space="preserve">do not </w:t>
      </w:r>
      <w:r w:rsidR="00A03CE4">
        <w:rPr>
          <w:lang w:val="en-GB"/>
        </w:rPr>
        <w:t>constitute</w:t>
      </w:r>
      <w:r w:rsidR="00325ECF">
        <w:rPr>
          <w:lang w:val="en-GB"/>
        </w:rPr>
        <w:t xml:space="preserve"> sufficient grounds for believing that he would run </w:t>
      </w:r>
      <w:r w:rsidR="00567143">
        <w:rPr>
          <w:lang w:val="en-GB"/>
        </w:rPr>
        <w:t>a real, foreseeable, personal and present risk of being subjected</w:t>
      </w:r>
      <w:r w:rsidR="00FF3B9D">
        <w:rPr>
          <w:lang w:val="en-GB"/>
        </w:rPr>
        <w:t xml:space="preserve"> </w:t>
      </w:r>
      <w:r w:rsidR="00567143">
        <w:rPr>
          <w:lang w:val="en-GB"/>
        </w:rPr>
        <w:t>to torture upon return to Sri Lanka.</w:t>
      </w:r>
      <w:r w:rsidR="003E77C6" w:rsidRPr="00153A7F">
        <w:rPr>
          <w:rStyle w:val="FootnoteReference"/>
        </w:rPr>
        <w:footnoteReference w:id="26"/>
      </w:r>
      <w:r w:rsidR="00325ECF">
        <w:rPr>
          <w:lang w:val="en-GB"/>
        </w:rPr>
        <w:t xml:space="preserve"> The Committee thus considers that the material on file does not enable it to conclude that the return of the author would constitute a violation of article 3 of the Convention. </w:t>
      </w:r>
    </w:p>
    <w:p w:rsidR="00ED12D0" w:rsidRDefault="00567143" w:rsidP="00A03CE4">
      <w:pPr>
        <w:pStyle w:val="SingleTxtG"/>
        <w:rPr>
          <w:u w:val="single"/>
          <w:lang w:val="en-GB"/>
        </w:rPr>
      </w:pPr>
      <w:r>
        <w:rPr>
          <w:lang w:val="en-GB"/>
        </w:rPr>
        <w:t>1</w:t>
      </w:r>
      <w:r w:rsidR="0047176C">
        <w:rPr>
          <w:lang w:val="en-GB"/>
        </w:rPr>
        <w:t>0</w:t>
      </w:r>
      <w:r>
        <w:rPr>
          <w:lang w:val="en-GB"/>
        </w:rPr>
        <w:t xml:space="preserve">. </w:t>
      </w:r>
      <w:r w:rsidR="003E77C6">
        <w:rPr>
          <w:lang w:val="en-GB"/>
        </w:rPr>
        <w:tab/>
      </w:r>
      <w:r w:rsidR="00A03CE4">
        <w:rPr>
          <w:lang w:val="en-GB"/>
        </w:rPr>
        <w:t>In the light of the foregoing, t</w:t>
      </w:r>
      <w:r>
        <w:rPr>
          <w:lang w:val="en-GB"/>
        </w:rPr>
        <w:t>he Committee, acting under article 22 (7) of the Convention</w:t>
      </w:r>
      <w:r w:rsidR="00C955D7">
        <w:rPr>
          <w:lang w:val="en-GB"/>
        </w:rPr>
        <w:t>,</w:t>
      </w:r>
      <w:r w:rsidR="00325ECF">
        <w:rPr>
          <w:lang w:val="en-GB"/>
        </w:rPr>
        <w:t xml:space="preserve"> </w:t>
      </w:r>
      <w:r>
        <w:rPr>
          <w:lang w:val="en-GB"/>
        </w:rPr>
        <w:t>concludes that the complainant’s removal to Sri Lanka by the State party would not constitute a breach of article 3 of the Convention.</w:t>
      </w:r>
    </w:p>
    <w:p w:rsidR="00D36B92" w:rsidRPr="00106A43" w:rsidRDefault="00D36B92">
      <w:pPr>
        <w:spacing w:before="240"/>
        <w:jc w:val="center"/>
        <w:rPr>
          <w:u w:val="single"/>
        </w:rPr>
      </w:pPr>
      <w:r>
        <w:rPr>
          <w:u w:val="single"/>
        </w:rPr>
        <w:tab/>
      </w:r>
      <w:r>
        <w:rPr>
          <w:u w:val="single"/>
        </w:rPr>
        <w:tab/>
      </w:r>
      <w:r>
        <w:rPr>
          <w:u w:val="single"/>
        </w:rPr>
        <w:tab/>
      </w:r>
    </w:p>
    <w:p w:rsidR="00ED12D0" w:rsidRDefault="00ED12D0" w:rsidP="003E77C6">
      <w:pPr>
        <w:pStyle w:val="SingleTxtG"/>
        <w:rPr>
          <w:u w:val="single"/>
          <w:lang w:val="en-GB"/>
        </w:rPr>
      </w:pPr>
    </w:p>
    <w:sectPr w:rsidR="00ED12D0" w:rsidSect="006C0B4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8A5" w:rsidRDefault="006E48A5"/>
  </w:endnote>
  <w:endnote w:type="continuationSeparator" w:id="0">
    <w:p w:rsidR="006E48A5" w:rsidRDefault="006E48A5"/>
  </w:endnote>
  <w:endnote w:type="continuationNotice" w:id="1">
    <w:p w:rsidR="006E48A5" w:rsidRDefault="006E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5C2" w:rsidRPr="00116B35" w:rsidRDefault="00FB05C2"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66524E">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5C2" w:rsidRPr="00116B35" w:rsidRDefault="00FB05C2"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66524E">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5C2" w:rsidRDefault="002A43A4" w:rsidP="002A43A4">
    <w:pPr>
      <w:pStyle w:val="Footer"/>
      <w:ind w:right="1134"/>
      <w:rPr>
        <w:sz w:val="20"/>
        <w:lang w:val="en-US" w:eastAsia="zh-CN"/>
      </w:rPr>
    </w:pPr>
    <w:r w:rsidRPr="002A43A4">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2A43A4" w:rsidRDefault="002A43A4" w:rsidP="002A43A4">
    <w:pPr>
      <w:pStyle w:val="Footer"/>
      <w:ind w:right="1134"/>
      <w:rPr>
        <w:sz w:val="20"/>
        <w:lang w:val="en-US" w:eastAsia="zh-CN"/>
      </w:rPr>
    </w:pPr>
    <w:r>
      <w:rPr>
        <w:sz w:val="20"/>
        <w:lang w:val="en-US" w:eastAsia="zh-CN"/>
      </w:rPr>
      <w:t>GE.16-16125(E)</w:t>
    </w:r>
  </w:p>
  <w:p w:rsidR="002A43A4" w:rsidRPr="002A43A4" w:rsidRDefault="002A43A4" w:rsidP="002A43A4">
    <w:pPr>
      <w:pStyle w:val="Footer"/>
      <w:ind w:right="1134"/>
      <w:rPr>
        <w:rFonts w:ascii="C39T30Lfz" w:hAnsi="C39T30Lfz"/>
        <w:sz w:val="56"/>
        <w:lang w:val="en-US" w:eastAsia="zh-CN"/>
      </w:rPr>
    </w:pPr>
    <w:r>
      <w:rPr>
        <w:rFonts w:ascii="C39T30Lfz" w:hAnsi="C39T30Lfz"/>
        <w:sz w:val="56"/>
        <w:lang w:val="en-US" w:eastAsia="zh-CN"/>
      </w:rPr>
      <w:t></w:t>
    </w:r>
    <w:r>
      <w:rPr>
        <w:rFonts w:ascii="C39T30Lfz" w:hAnsi="C39T30Lfz"/>
        <w:sz w:val="56"/>
        <w:lang w:val="en-US" w:eastAsia="zh-CN"/>
      </w:rPr>
      <w:t></w:t>
    </w:r>
    <w:r>
      <w:rPr>
        <w:rFonts w:ascii="C39T30Lfz" w:hAnsi="C39T30Lfz"/>
        <w:sz w:val="56"/>
        <w:lang w:val="en-US" w:eastAsia="zh-CN"/>
      </w:rPr>
      <w:t></w:t>
    </w:r>
    <w:r>
      <w:rPr>
        <w:rFonts w:ascii="C39T30Lfz" w:hAnsi="C39T30Lfz"/>
        <w:sz w:val="56"/>
        <w:lang w:val="en-US" w:eastAsia="zh-CN"/>
      </w:rPr>
      <w:t></w:t>
    </w:r>
    <w:r>
      <w:rPr>
        <w:rFonts w:ascii="C39T30Lfz" w:hAnsi="C39T30Lfz"/>
        <w:sz w:val="56"/>
        <w:lang w:val="en-US" w:eastAsia="zh-CN"/>
      </w:rPr>
      <w:t></w:t>
    </w:r>
    <w:r>
      <w:rPr>
        <w:rFonts w:ascii="C39T30Lfz" w:hAnsi="C39T30Lfz"/>
        <w:sz w:val="56"/>
        <w:lang w:val="en-US" w:eastAsia="zh-CN"/>
      </w:rPr>
      <w:t></w:t>
    </w:r>
    <w:r>
      <w:rPr>
        <w:rFonts w:ascii="C39T30Lfz" w:hAnsi="C39T30Lfz"/>
        <w:sz w:val="56"/>
        <w:lang w:val="en-US" w:eastAsia="zh-CN"/>
      </w:rPr>
      <w:t></w:t>
    </w:r>
    <w:r>
      <w:rPr>
        <w:rFonts w:ascii="C39T30Lfz" w:hAnsi="C39T30Lfz"/>
        <w:sz w:val="56"/>
        <w:lang w:val="en-US" w:eastAsia="zh-CN"/>
      </w:rPr>
      <w:t></w:t>
    </w:r>
    <w:r>
      <w:rPr>
        <w:rFonts w:ascii="C39T30Lfz" w:hAnsi="C39T30Lfz"/>
        <w:sz w:val="56"/>
        <w:lang w:val="en-US" w:eastAsia="zh-CN"/>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1" name="Picture 1" descr="http://undocs.org/m2/QRCode.ashx?DS=CAT/C/58/D/599/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599/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8A5" w:rsidRPr="000B175B" w:rsidRDefault="006E48A5" w:rsidP="004876DE">
      <w:pPr>
        <w:tabs>
          <w:tab w:val="right" w:pos="2155"/>
        </w:tabs>
        <w:spacing w:after="80"/>
        <w:ind w:left="680"/>
        <w:rPr>
          <w:u w:val="single"/>
        </w:rPr>
      </w:pPr>
      <w:r>
        <w:rPr>
          <w:u w:val="single"/>
        </w:rPr>
        <w:tab/>
      </w:r>
    </w:p>
  </w:footnote>
  <w:footnote w:type="continuationSeparator" w:id="0">
    <w:p w:rsidR="006E48A5" w:rsidRPr="00FC68B7" w:rsidRDefault="006E48A5" w:rsidP="004876DE">
      <w:pPr>
        <w:tabs>
          <w:tab w:val="left" w:pos="2155"/>
        </w:tabs>
        <w:spacing w:after="80"/>
        <w:ind w:left="680"/>
        <w:rPr>
          <w:u w:val="single"/>
        </w:rPr>
      </w:pPr>
      <w:r>
        <w:rPr>
          <w:u w:val="single"/>
        </w:rPr>
        <w:tab/>
      </w:r>
    </w:p>
  </w:footnote>
  <w:footnote w:type="continuationNotice" w:id="1">
    <w:p w:rsidR="006E48A5" w:rsidRDefault="006E48A5"/>
  </w:footnote>
  <w:footnote w:id="2">
    <w:p w:rsidR="00FB05C2" w:rsidRPr="008078E6" w:rsidRDefault="00FB05C2" w:rsidP="00CB678E">
      <w:pPr>
        <w:pStyle w:val="FootnoteText"/>
        <w:rPr>
          <w:lang w:val="en-US"/>
        </w:rPr>
      </w:pPr>
      <w:r w:rsidRPr="008078E6">
        <w:rPr>
          <w:rStyle w:val="FootnoteReference"/>
          <w:sz w:val="20"/>
          <w:vertAlign w:val="baseline"/>
        </w:rPr>
        <w:tab/>
        <w:t>*</w:t>
      </w:r>
      <w:r>
        <w:rPr>
          <w:rStyle w:val="FootnoteReference"/>
          <w:sz w:val="20"/>
          <w:vertAlign w:val="baseline"/>
        </w:rPr>
        <w:tab/>
      </w:r>
      <w:r>
        <w:rPr>
          <w:lang w:val="en-US"/>
        </w:rPr>
        <w:t>Adopted by the Committee at its fifty-eighth session (25 July-12 August 2016).</w:t>
      </w:r>
    </w:p>
  </w:footnote>
  <w:footnote w:id="3">
    <w:p w:rsidR="00FB05C2" w:rsidRPr="008078E6" w:rsidRDefault="00FB05C2" w:rsidP="00781D9D">
      <w:pPr>
        <w:pStyle w:val="FootnoteText"/>
        <w:rPr>
          <w:lang w:val="en-US"/>
        </w:rPr>
      </w:pPr>
      <w:r>
        <w:rPr>
          <w:rStyle w:val="FootnoteReference"/>
        </w:rPr>
        <w:tab/>
      </w:r>
      <w:r w:rsidRPr="008078E6">
        <w:rPr>
          <w:rStyle w:val="FootnoteReference"/>
          <w:sz w:val="20"/>
          <w:vertAlign w:val="baseline"/>
        </w:rPr>
        <w:t>**</w:t>
      </w:r>
      <w:r>
        <w:rPr>
          <w:rStyle w:val="FootnoteReference"/>
          <w:sz w:val="20"/>
          <w:vertAlign w:val="baseline"/>
        </w:rPr>
        <w:tab/>
      </w:r>
      <w:r>
        <w:rPr>
          <w:sz w:val="17"/>
          <w:szCs w:val="17"/>
        </w:rPr>
        <w:t xml:space="preserve">The following members of the Committee participated in the consideration of the present communication: </w:t>
      </w:r>
      <w:r w:rsidRPr="00C43667">
        <w:rPr>
          <w:szCs w:val="18"/>
        </w:rPr>
        <w:t xml:space="preserve">Essadia Belmir, Alessio Bruni, Felice Gaer, </w:t>
      </w:r>
      <w:r w:rsidRPr="00C43667">
        <w:rPr>
          <w:color w:val="000000"/>
          <w:szCs w:val="18"/>
          <w:lang w:eastAsia="en-GB"/>
        </w:rPr>
        <w:t xml:space="preserve">Abdelwahab Hani, Claude Heller Rouassant, </w:t>
      </w:r>
      <w:r w:rsidRPr="00C43667">
        <w:rPr>
          <w:bCs/>
          <w:szCs w:val="18"/>
          <w:lang w:val="en-US"/>
        </w:rPr>
        <w:t>Jens</w:t>
      </w:r>
      <w:r w:rsidR="004715CE">
        <w:rPr>
          <w:bCs/>
          <w:szCs w:val="18"/>
          <w:lang w:val="en-US"/>
        </w:rPr>
        <w:t> </w:t>
      </w:r>
      <w:r w:rsidRPr="00C43667">
        <w:rPr>
          <w:bCs/>
          <w:szCs w:val="18"/>
          <w:lang w:val="en-US"/>
        </w:rPr>
        <w:t>Modvig</w:t>
      </w:r>
      <w:r>
        <w:rPr>
          <w:bCs/>
          <w:szCs w:val="18"/>
          <w:lang w:val="en-US"/>
        </w:rPr>
        <w:t>,</w:t>
      </w:r>
      <w:r w:rsidRPr="00C43667">
        <w:rPr>
          <w:color w:val="000000"/>
          <w:szCs w:val="18"/>
          <w:lang w:eastAsia="en-GB"/>
        </w:rPr>
        <w:t xml:space="preserve"> Ana Racu, Sébastien Touze</w:t>
      </w:r>
      <w:r w:rsidRPr="00C43667">
        <w:rPr>
          <w:bCs/>
          <w:szCs w:val="18"/>
          <w:lang w:val="en-US"/>
        </w:rPr>
        <w:t xml:space="preserve"> and </w:t>
      </w:r>
      <w:r w:rsidRPr="00C43667">
        <w:rPr>
          <w:szCs w:val="18"/>
        </w:rPr>
        <w:t>Kening Zhang.</w:t>
      </w:r>
      <w:r w:rsidRPr="00C43667">
        <w:rPr>
          <w:szCs w:val="18"/>
          <w:lang w:val="en-US"/>
        </w:rPr>
        <w:t xml:space="preserve"> </w:t>
      </w:r>
    </w:p>
  </w:footnote>
  <w:footnote w:id="4">
    <w:p w:rsidR="00FB05C2" w:rsidRPr="001668D8" w:rsidRDefault="00FB05C2" w:rsidP="008078E6">
      <w:pPr>
        <w:pStyle w:val="FootnoteText"/>
        <w:widowControl w:val="0"/>
        <w:tabs>
          <w:tab w:val="clear" w:pos="1021"/>
          <w:tab w:val="right" w:pos="1020"/>
        </w:tabs>
      </w:pPr>
      <w:r>
        <w:tab/>
      </w:r>
      <w:r w:rsidRPr="00153A7F">
        <w:rPr>
          <w:rStyle w:val="FootnoteReference"/>
        </w:rPr>
        <w:footnoteRef/>
      </w:r>
      <w:r>
        <w:tab/>
        <w:t xml:space="preserve">See, for example, communication No. 39/1996, </w:t>
      </w:r>
      <w:r w:rsidRPr="008078E6">
        <w:rPr>
          <w:i/>
          <w:iCs/>
        </w:rPr>
        <w:t>Paez v</w:t>
      </w:r>
      <w:r w:rsidR="00C955D7">
        <w:rPr>
          <w:i/>
          <w:iCs/>
        </w:rPr>
        <w:t>.</w:t>
      </w:r>
      <w:r w:rsidRPr="008078E6">
        <w:rPr>
          <w:i/>
          <w:iCs/>
        </w:rPr>
        <w:t xml:space="preserve"> Sweden</w:t>
      </w:r>
      <w:r>
        <w:t xml:space="preserve">, Views adopted on 28 April 1997, para. 14.5. </w:t>
      </w:r>
    </w:p>
  </w:footnote>
  <w:footnote w:id="5">
    <w:p w:rsidR="00FB05C2" w:rsidRPr="001668D8" w:rsidRDefault="00FB05C2" w:rsidP="008078E6">
      <w:pPr>
        <w:pStyle w:val="FootnoteText"/>
        <w:widowControl w:val="0"/>
        <w:tabs>
          <w:tab w:val="clear" w:pos="1021"/>
          <w:tab w:val="right" w:pos="1020"/>
        </w:tabs>
      </w:pPr>
      <w:r>
        <w:tab/>
      </w:r>
      <w:r w:rsidRPr="00153A7F">
        <w:rPr>
          <w:rStyle w:val="FootnoteReference"/>
        </w:rPr>
        <w:footnoteRef/>
      </w:r>
      <w:r>
        <w:tab/>
        <w:t xml:space="preserve">See communication No. 83/1997, </w:t>
      </w:r>
      <w:r w:rsidRPr="008078E6">
        <w:rPr>
          <w:i/>
          <w:iCs/>
        </w:rPr>
        <w:t>G.R.B. v</w:t>
      </w:r>
      <w:r w:rsidR="007266EF" w:rsidRPr="008078E6">
        <w:rPr>
          <w:i/>
          <w:iCs/>
        </w:rPr>
        <w:t>.</w:t>
      </w:r>
      <w:r w:rsidRPr="008078E6">
        <w:rPr>
          <w:i/>
          <w:iCs/>
        </w:rPr>
        <w:t xml:space="preserve"> Sweden</w:t>
      </w:r>
      <w:r>
        <w:t xml:space="preserve">, Views adopted on 15 May 1998, para. 6.5; also the Committee’s general comment No. 1 (1997) on the implementation of article 3 of the Convention in the context of article 22, para. </w:t>
      </w:r>
      <w:r w:rsidR="00335F7B">
        <w:t>4</w:t>
      </w:r>
      <w:r>
        <w:t xml:space="preserve">. </w:t>
      </w:r>
    </w:p>
  </w:footnote>
  <w:footnote w:id="6">
    <w:p w:rsidR="00FB05C2" w:rsidRPr="008078E6" w:rsidRDefault="00FB05C2" w:rsidP="00781D9D">
      <w:pPr>
        <w:pStyle w:val="FootnoteText"/>
        <w:widowControl w:val="0"/>
        <w:tabs>
          <w:tab w:val="clear" w:pos="1021"/>
          <w:tab w:val="right" w:pos="1020"/>
        </w:tabs>
        <w:rPr>
          <w:color w:val="000000" w:themeColor="text1"/>
        </w:rPr>
      </w:pPr>
      <w:r>
        <w:tab/>
      </w:r>
      <w:r w:rsidRPr="00781D9D">
        <w:rPr>
          <w:rStyle w:val="FootnoteReference"/>
        </w:rPr>
        <w:footnoteRef/>
      </w:r>
      <w:r w:rsidRPr="008078E6">
        <w:rPr>
          <w:color w:val="000000" w:themeColor="text1"/>
        </w:rPr>
        <w:tab/>
        <w:t xml:space="preserve">See </w:t>
      </w:r>
      <w:r w:rsidRPr="008078E6">
        <w:rPr>
          <w:i/>
          <w:iCs/>
          <w:color w:val="000000" w:themeColor="text1"/>
        </w:rPr>
        <w:t>G.R.B. v. Sweden</w:t>
      </w:r>
      <w:r w:rsidRPr="008078E6">
        <w:rPr>
          <w:color w:val="000000" w:themeColor="text1"/>
        </w:rPr>
        <w:t xml:space="preserve">, para. 6.5. </w:t>
      </w:r>
    </w:p>
  </w:footnote>
  <w:footnote w:id="7">
    <w:p w:rsidR="00FB05C2" w:rsidRPr="008078E6" w:rsidRDefault="00FB05C2" w:rsidP="008078E6">
      <w:pPr>
        <w:pStyle w:val="FootnoteText"/>
        <w:widowControl w:val="0"/>
        <w:tabs>
          <w:tab w:val="clear" w:pos="1021"/>
          <w:tab w:val="right" w:pos="1020"/>
        </w:tabs>
        <w:rPr>
          <w:color w:val="000000" w:themeColor="text1"/>
        </w:rPr>
      </w:pPr>
      <w:r w:rsidRPr="008078E6">
        <w:rPr>
          <w:color w:val="000000" w:themeColor="text1"/>
        </w:rPr>
        <w:tab/>
      </w:r>
      <w:r w:rsidRPr="00781D9D">
        <w:rPr>
          <w:rStyle w:val="FootnoteReference"/>
        </w:rPr>
        <w:footnoteRef/>
      </w:r>
      <w:r w:rsidRPr="008078E6">
        <w:rPr>
          <w:color w:val="000000" w:themeColor="text1"/>
        </w:rPr>
        <w:tab/>
        <w:t xml:space="preserve">See communication No. 203/2002, </w:t>
      </w:r>
      <w:r w:rsidRPr="008078E6">
        <w:rPr>
          <w:i/>
          <w:iCs/>
          <w:color w:val="000000" w:themeColor="text1"/>
        </w:rPr>
        <w:t>A.R. v. Netherlands</w:t>
      </w:r>
      <w:r w:rsidRPr="008078E6">
        <w:rPr>
          <w:color w:val="000000" w:themeColor="text1"/>
        </w:rPr>
        <w:t>, decision adopted on 14 November 2003, para.</w:t>
      </w:r>
      <w:r w:rsidR="00CB678E">
        <w:rPr>
          <w:color w:val="000000" w:themeColor="text1"/>
        </w:rPr>
        <w:t> </w:t>
      </w:r>
      <w:r w:rsidRPr="008078E6">
        <w:rPr>
          <w:color w:val="000000" w:themeColor="text1"/>
        </w:rPr>
        <w:t>7.3.</w:t>
      </w:r>
      <w:r w:rsidR="00CB678E" w:rsidRPr="008078E6">
        <w:rPr>
          <w:color w:val="000000" w:themeColor="text1"/>
        </w:rPr>
        <w:t xml:space="preserve"> </w:t>
      </w:r>
    </w:p>
  </w:footnote>
  <w:footnote w:id="8">
    <w:p w:rsidR="00FB05C2" w:rsidRPr="002949C6" w:rsidRDefault="00FB05C2" w:rsidP="008078E6">
      <w:pPr>
        <w:pStyle w:val="FootnoteText"/>
        <w:widowControl w:val="0"/>
        <w:tabs>
          <w:tab w:val="clear" w:pos="1021"/>
          <w:tab w:val="right" w:pos="1020"/>
        </w:tabs>
        <w:rPr>
          <w:lang w:val="en-US"/>
        </w:rPr>
      </w:pPr>
      <w:r>
        <w:tab/>
      </w:r>
      <w:r w:rsidRPr="00153A7F">
        <w:rPr>
          <w:rStyle w:val="FootnoteReference"/>
        </w:rPr>
        <w:footnoteRef/>
      </w:r>
      <w:r>
        <w:tab/>
        <w:t xml:space="preserve">Ibid.; </w:t>
      </w:r>
      <w:r w:rsidR="007266EF">
        <w:t>and</w:t>
      </w:r>
      <w:r>
        <w:t xml:space="preserve"> the Committee’s general comment No. 1, para. 7. </w:t>
      </w:r>
    </w:p>
  </w:footnote>
  <w:footnote w:id="9">
    <w:p w:rsidR="00FB05C2" w:rsidRPr="008078E6" w:rsidRDefault="00FB05C2" w:rsidP="008078E6">
      <w:pPr>
        <w:pStyle w:val="FootnoteText"/>
        <w:widowControl w:val="0"/>
        <w:tabs>
          <w:tab w:val="clear" w:pos="1021"/>
          <w:tab w:val="right" w:pos="1020"/>
        </w:tabs>
        <w:rPr>
          <w:lang w:val="es-ES"/>
        </w:rPr>
      </w:pPr>
      <w:r>
        <w:tab/>
      </w:r>
      <w:r w:rsidRPr="00153A7F">
        <w:rPr>
          <w:rStyle w:val="FootnoteReference"/>
        </w:rPr>
        <w:footnoteRef/>
      </w:r>
      <w:r>
        <w:tab/>
      </w:r>
      <w:r w:rsidR="00EE24D3">
        <w:rPr>
          <w:lang w:val="en-US"/>
        </w:rPr>
        <w:t>See the Committee’s g</w:t>
      </w:r>
      <w:r w:rsidR="00EE24D3">
        <w:t>eneral comment No. 1, paras. 6-</w:t>
      </w:r>
      <w:r w:rsidR="00EE24D3" w:rsidRPr="008078E6">
        <w:rPr>
          <w:lang w:val="en-US"/>
        </w:rPr>
        <w:t>7</w:t>
      </w:r>
      <w:r w:rsidRPr="008078E6">
        <w:rPr>
          <w:lang w:val="es-ES"/>
        </w:rPr>
        <w:t>.</w:t>
      </w:r>
      <w:r w:rsidR="00CB678E">
        <w:rPr>
          <w:lang w:val="es-ES"/>
        </w:rPr>
        <w:t xml:space="preserve"> </w:t>
      </w:r>
    </w:p>
  </w:footnote>
  <w:footnote w:id="10">
    <w:p w:rsidR="00FB05C2" w:rsidRPr="008078E6" w:rsidRDefault="00FB05C2" w:rsidP="008078E6">
      <w:pPr>
        <w:pStyle w:val="FootnoteText"/>
        <w:widowControl w:val="0"/>
        <w:tabs>
          <w:tab w:val="clear" w:pos="1021"/>
          <w:tab w:val="right" w:pos="1020"/>
        </w:tabs>
        <w:rPr>
          <w:lang w:val="es-ES"/>
        </w:rPr>
      </w:pPr>
      <w:r>
        <w:tab/>
      </w:r>
      <w:r w:rsidRPr="00153A7F">
        <w:rPr>
          <w:rStyle w:val="FootnoteReference"/>
        </w:rPr>
        <w:footnoteRef/>
      </w:r>
      <w:r>
        <w:tab/>
      </w:r>
      <w:r w:rsidRPr="008078E6">
        <w:rPr>
          <w:lang w:val="es-ES"/>
        </w:rPr>
        <w:t>Ibid</w:t>
      </w:r>
      <w:r w:rsidR="00EE24D3">
        <w:rPr>
          <w:lang w:val="es-ES"/>
        </w:rPr>
        <w:t>.</w:t>
      </w:r>
      <w:r w:rsidRPr="008078E6">
        <w:rPr>
          <w:lang w:val="es-ES"/>
        </w:rPr>
        <w:t xml:space="preserve">, para. 4; also </w:t>
      </w:r>
      <w:r w:rsidRPr="008078E6">
        <w:rPr>
          <w:i/>
          <w:iCs/>
          <w:lang w:val="es-ES"/>
        </w:rPr>
        <w:t>G.R.B. v</w:t>
      </w:r>
      <w:r w:rsidR="007266EF" w:rsidRPr="008078E6">
        <w:rPr>
          <w:i/>
          <w:iCs/>
          <w:lang w:val="es-ES"/>
        </w:rPr>
        <w:t>.</w:t>
      </w:r>
      <w:r w:rsidRPr="008078E6">
        <w:rPr>
          <w:i/>
          <w:iCs/>
          <w:lang w:val="es-ES"/>
        </w:rPr>
        <w:t xml:space="preserve"> Sw</w:t>
      </w:r>
      <w:r w:rsidR="007266EF" w:rsidRPr="008078E6">
        <w:rPr>
          <w:i/>
          <w:iCs/>
          <w:lang w:val="es-ES"/>
        </w:rPr>
        <w:t>eden</w:t>
      </w:r>
      <w:r w:rsidRPr="008078E6">
        <w:rPr>
          <w:lang w:val="es-ES"/>
        </w:rPr>
        <w:t>.</w:t>
      </w:r>
      <w:r>
        <w:t xml:space="preserve"> </w:t>
      </w:r>
    </w:p>
  </w:footnote>
  <w:footnote w:id="11">
    <w:p w:rsidR="00FB05C2" w:rsidRPr="002949C6" w:rsidRDefault="00FB05C2" w:rsidP="008078E6">
      <w:pPr>
        <w:pStyle w:val="FootnoteText"/>
        <w:widowControl w:val="0"/>
        <w:tabs>
          <w:tab w:val="clear" w:pos="1021"/>
          <w:tab w:val="right" w:pos="1020"/>
        </w:tabs>
        <w:rPr>
          <w:lang w:val="en-US"/>
        </w:rPr>
      </w:pPr>
      <w:r>
        <w:tab/>
      </w:r>
      <w:r w:rsidRPr="00153A7F">
        <w:rPr>
          <w:rStyle w:val="FootnoteReference"/>
        </w:rPr>
        <w:footnoteRef/>
      </w:r>
      <w:r>
        <w:tab/>
        <w:t xml:space="preserve">See communication No. 21/1995, </w:t>
      </w:r>
      <w:r w:rsidRPr="008078E6">
        <w:rPr>
          <w:i/>
          <w:iCs/>
        </w:rPr>
        <w:t>Alan v. Sweden</w:t>
      </w:r>
      <w:r>
        <w:t xml:space="preserve">, Views adopted on 8 May 1996, para. 11.3. </w:t>
      </w:r>
    </w:p>
  </w:footnote>
  <w:footnote w:id="12">
    <w:p w:rsidR="00FB05C2" w:rsidRPr="002949C6" w:rsidRDefault="00FB05C2" w:rsidP="008078E6">
      <w:pPr>
        <w:pStyle w:val="FootnoteText"/>
        <w:widowControl w:val="0"/>
        <w:tabs>
          <w:tab w:val="clear" w:pos="1021"/>
          <w:tab w:val="right" w:pos="1020"/>
        </w:tabs>
        <w:rPr>
          <w:lang w:val="en-US"/>
        </w:rPr>
      </w:pPr>
      <w:r>
        <w:tab/>
      </w:r>
      <w:r w:rsidRPr="00153A7F">
        <w:rPr>
          <w:rStyle w:val="FootnoteReference"/>
        </w:rPr>
        <w:footnoteRef/>
      </w:r>
      <w:r>
        <w:tab/>
        <w:t xml:space="preserve">See </w:t>
      </w:r>
      <w:r w:rsidRPr="00820A41">
        <w:rPr>
          <w:i/>
        </w:rPr>
        <w:t>G.R.B. v. Sweden</w:t>
      </w:r>
      <w:r>
        <w:t>, para. 6.3.</w:t>
      </w:r>
      <w:r w:rsidR="00CB678E">
        <w:t xml:space="preserve"> </w:t>
      </w:r>
    </w:p>
  </w:footnote>
  <w:footnote w:id="13">
    <w:p w:rsidR="00FB05C2" w:rsidRPr="008078E6" w:rsidRDefault="00FB05C2" w:rsidP="008078E6">
      <w:pPr>
        <w:pStyle w:val="FootnoteText"/>
        <w:rPr>
          <w:lang w:val="en-US"/>
        </w:rPr>
      </w:pPr>
      <w:r>
        <w:rPr>
          <w:lang w:val="en-US"/>
        </w:rPr>
        <w:tab/>
      </w:r>
      <w:r w:rsidRPr="00153A7F">
        <w:rPr>
          <w:rStyle w:val="FootnoteReference"/>
        </w:rPr>
        <w:footnoteRef/>
      </w:r>
      <w:r>
        <w:t xml:space="preserve"> </w:t>
      </w:r>
      <w:r>
        <w:rPr>
          <w:lang w:val="en-US"/>
        </w:rPr>
        <w:tab/>
        <w:t xml:space="preserve">See </w:t>
      </w:r>
      <w:r>
        <w:t>Office of the United Nations High Commissioner for Refugees</w:t>
      </w:r>
      <w:r>
        <w:rPr>
          <w:lang w:val="en-US"/>
        </w:rPr>
        <w:t xml:space="preserve">, </w:t>
      </w:r>
      <w:r w:rsidRPr="008078E6">
        <w:rPr>
          <w:i/>
          <w:iCs/>
          <w:lang w:val="en-US"/>
        </w:rPr>
        <w:t>UNHCR Eligibility Guidelines for Assessing the International Protection Needs of Asylum-Seekers from Sri Lanka</w:t>
      </w:r>
      <w:r>
        <w:rPr>
          <w:lang w:val="en-US"/>
        </w:rPr>
        <w:t xml:space="preserve"> (</w:t>
      </w:r>
      <w:r w:rsidR="00FE41FA">
        <w:rPr>
          <w:lang w:val="en-US"/>
        </w:rPr>
        <w:t xml:space="preserve">July </w:t>
      </w:r>
      <w:r>
        <w:rPr>
          <w:lang w:val="en-US"/>
        </w:rPr>
        <w:t>2010</w:t>
      </w:r>
      <w:r w:rsidR="00E71BA9">
        <w:rPr>
          <w:lang w:val="en-US"/>
        </w:rPr>
        <w:t xml:space="preserve"> and December 2012</w:t>
      </w:r>
      <w:r>
        <w:rPr>
          <w:lang w:val="en-US"/>
        </w:rPr>
        <w:t xml:space="preserve">). </w:t>
      </w:r>
    </w:p>
  </w:footnote>
  <w:footnote w:id="14">
    <w:p w:rsidR="00DF716E" w:rsidRPr="008078E6" w:rsidRDefault="008078E6" w:rsidP="008078E6">
      <w:pPr>
        <w:pStyle w:val="FootnoteText"/>
        <w:rPr>
          <w:lang w:val="en-US"/>
        </w:rPr>
      </w:pPr>
      <w:r>
        <w:rPr>
          <w:lang w:val="en-US"/>
        </w:rPr>
        <w:tab/>
      </w:r>
      <w:r w:rsidR="00DF716E" w:rsidRPr="00153A7F">
        <w:rPr>
          <w:rStyle w:val="FootnoteReference"/>
        </w:rPr>
        <w:footnoteRef/>
      </w:r>
      <w:r>
        <w:rPr>
          <w:lang w:val="en-US"/>
        </w:rPr>
        <w:tab/>
      </w:r>
      <w:r w:rsidR="00DF716E" w:rsidRPr="007853C4">
        <w:t>Edmund Rice Centr</w:t>
      </w:r>
      <w:r w:rsidR="00DF716E">
        <w:rPr>
          <w:lang w:val="en-US"/>
        </w:rPr>
        <w:t>e</w:t>
      </w:r>
      <w:r w:rsidR="00DF716E">
        <w:t>, “</w:t>
      </w:r>
      <w:r w:rsidR="00DF716E" w:rsidRPr="0045154D">
        <w:rPr>
          <w:iCs/>
        </w:rPr>
        <w:t>Australian sponsored torture in Sri Lanka? The unforeseen consequences of supporting a brutal regime to stop the boats at any cost</w:t>
      </w:r>
      <w:r w:rsidR="00DF716E">
        <w:rPr>
          <w:iCs/>
        </w:rPr>
        <w:t>”</w:t>
      </w:r>
      <w:r w:rsidR="00EE24D3">
        <w:rPr>
          <w:iCs/>
        </w:rPr>
        <w:t>,</w:t>
      </w:r>
      <w:r w:rsidR="00DF716E">
        <w:t xml:space="preserve"> 12 August 2015</w:t>
      </w:r>
      <w:r w:rsidR="00EE24D3">
        <w:t>.</w:t>
      </w:r>
    </w:p>
  </w:footnote>
  <w:footnote w:id="15">
    <w:p w:rsidR="00FB05C2" w:rsidRPr="002949C6" w:rsidRDefault="00FB05C2" w:rsidP="008078E6">
      <w:pPr>
        <w:pStyle w:val="FootnoteText"/>
        <w:widowControl w:val="0"/>
        <w:tabs>
          <w:tab w:val="clear" w:pos="1021"/>
          <w:tab w:val="right" w:pos="1020"/>
        </w:tabs>
        <w:rPr>
          <w:lang w:val="en-US"/>
        </w:rPr>
      </w:pPr>
      <w:r>
        <w:tab/>
      </w:r>
      <w:r w:rsidRPr="00153A7F">
        <w:rPr>
          <w:rStyle w:val="FootnoteReference"/>
        </w:rPr>
        <w:footnoteRef/>
      </w:r>
      <w:r>
        <w:tab/>
      </w:r>
      <w:r w:rsidRPr="00FE41FA">
        <w:t xml:space="preserve">See, for example, communication No. 455/2011, </w:t>
      </w:r>
      <w:r w:rsidRPr="00FE41FA">
        <w:rPr>
          <w:i/>
        </w:rPr>
        <w:t>X.Q.L. v. Australia</w:t>
      </w:r>
      <w:r w:rsidRPr="00FE41FA">
        <w:t>, decision adopted on 2 May 2014, para. 8.2.</w:t>
      </w:r>
      <w:r>
        <w:t xml:space="preserve"> </w:t>
      </w:r>
    </w:p>
  </w:footnote>
  <w:footnote w:id="16">
    <w:p w:rsidR="00FB05C2" w:rsidRPr="002949C6" w:rsidRDefault="00FB05C2" w:rsidP="008078E6">
      <w:pPr>
        <w:pStyle w:val="FootnoteText"/>
        <w:widowControl w:val="0"/>
        <w:tabs>
          <w:tab w:val="clear" w:pos="1021"/>
          <w:tab w:val="right" w:pos="1020"/>
        </w:tabs>
        <w:rPr>
          <w:lang w:val="en-US"/>
        </w:rPr>
      </w:pPr>
      <w:r>
        <w:tab/>
      </w:r>
      <w:r w:rsidRPr="00153A7F">
        <w:rPr>
          <w:rStyle w:val="FootnoteReference"/>
        </w:rPr>
        <w:footnoteRef/>
      </w:r>
      <w:r>
        <w:tab/>
        <w:t xml:space="preserve">See </w:t>
      </w:r>
      <w:r w:rsidRPr="00C213FD">
        <w:t xml:space="preserve">communication No. 550/2013, </w:t>
      </w:r>
      <w:r w:rsidRPr="003507D8">
        <w:rPr>
          <w:i/>
        </w:rPr>
        <w:t>S.K. and others v. Sweden</w:t>
      </w:r>
      <w:r w:rsidRPr="00C213FD">
        <w:t>, decision adopted on 8 May 2015, para.</w:t>
      </w:r>
      <w:r w:rsidR="00153A7F">
        <w:t> </w:t>
      </w:r>
      <w:r w:rsidRPr="00C213FD">
        <w:t>7.3.</w:t>
      </w:r>
      <w:r>
        <w:t xml:space="preserve"> </w:t>
      </w:r>
    </w:p>
  </w:footnote>
  <w:footnote w:id="17">
    <w:p w:rsidR="00FB05C2" w:rsidRPr="002949C6" w:rsidRDefault="00FB05C2" w:rsidP="008078E6">
      <w:pPr>
        <w:pStyle w:val="FootnoteText"/>
        <w:widowControl w:val="0"/>
        <w:tabs>
          <w:tab w:val="clear" w:pos="1021"/>
          <w:tab w:val="right" w:pos="1020"/>
        </w:tabs>
        <w:rPr>
          <w:lang w:val="en-US"/>
        </w:rPr>
      </w:pPr>
      <w:r>
        <w:tab/>
      </w:r>
      <w:r w:rsidRPr="00153A7F">
        <w:rPr>
          <w:rStyle w:val="FootnoteReference"/>
        </w:rPr>
        <w:footnoteRef/>
      </w:r>
      <w:r>
        <w:tab/>
        <w:t xml:space="preserve">See </w:t>
      </w:r>
      <w:r>
        <w:rPr>
          <w:i/>
          <w:iCs/>
        </w:rPr>
        <w:t>A.R. v. Netherlands</w:t>
      </w:r>
      <w:r>
        <w:t>, para. 7.3.</w:t>
      </w:r>
      <w:r w:rsidR="00CB678E">
        <w:t xml:space="preserve"> </w:t>
      </w:r>
    </w:p>
  </w:footnote>
  <w:footnote w:id="18">
    <w:p w:rsidR="00FB05C2" w:rsidRPr="002949C6" w:rsidRDefault="00FB05C2" w:rsidP="008078E6">
      <w:pPr>
        <w:pStyle w:val="FootnoteText"/>
        <w:widowControl w:val="0"/>
        <w:tabs>
          <w:tab w:val="clear" w:pos="1021"/>
          <w:tab w:val="right" w:pos="1020"/>
        </w:tabs>
        <w:rPr>
          <w:lang w:val="en-US"/>
        </w:rPr>
      </w:pPr>
      <w:r>
        <w:tab/>
      </w:r>
      <w:r w:rsidRPr="00153A7F">
        <w:rPr>
          <w:rStyle w:val="FootnoteReference"/>
        </w:rPr>
        <w:footnoteRef/>
      </w:r>
      <w:r>
        <w:tab/>
        <w:t xml:space="preserve">See communication No. 356/2008, </w:t>
      </w:r>
      <w:r w:rsidRPr="002D7188">
        <w:rPr>
          <w:i/>
        </w:rPr>
        <w:t>N.S. v. Switzerland</w:t>
      </w:r>
      <w:r>
        <w:t>, decision adopted on 6 May 2010, para. 7.3.</w:t>
      </w:r>
      <w:r w:rsidR="00CB678E">
        <w:t xml:space="preserve"> </w:t>
      </w:r>
    </w:p>
  </w:footnote>
  <w:footnote w:id="19">
    <w:p w:rsidR="00FB05C2" w:rsidRPr="008E5F0C" w:rsidRDefault="00FB05C2" w:rsidP="008078E6">
      <w:pPr>
        <w:pStyle w:val="FootnoteText"/>
        <w:widowControl w:val="0"/>
        <w:tabs>
          <w:tab w:val="clear" w:pos="1021"/>
          <w:tab w:val="right" w:pos="1020"/>
        </w:tabs>
      </w:pPr>
      <w:r>
        <w:tab/>
      </w:r>
      <w:r w:rsidRPr="00153A7F">
        <w:rPr>
          <w:rStyle w:val="FootnoteReference"/>
        </w:rPr>
        <w:footnoteRef/>
      </w:r>
      <w:r>
        <w:tab/>
        <w:t xml:space="preserve">See communication No. 426/2010, </w:t>
      </w:r>
      <w:r w:rsidRPr="008078E6">
        <w:rPr>
          <w:i/>
          <w:iCs/>
        </w:rPr>
        <w:t>R.D. v. Switzerland</w:t>
      </w:r>
      <w:r>
        <w:t>, decision adopted on 8 November 2013, para.</w:t>
      </w:r>
      <w:r w:rsidR="00153A7F">
        <w:t> </w:t>
      </w:r>
      <w:r>
        <w:t>9.2.</w:t>
      </w:r>
      <w:r w:rsidR="00CB678E">
        <w:t xml:space="preserve"> </w:t>
      </w:r>
    </w:p>
  </w:footnote>
  <w:footnote w:id="20">
    <w:p w:rsidR="00FB05C2" w:rsidRPr="00775EEF" w:rsidRDefault="00A95C89" w:rsidP="008078E6">
      <w:pPr>
        <w:pStyle w:val="FootnoteText"/>
        <w:ind w:left="567" w:firstLine="0"/>
      </w:pPr>
      <w:r>
        <w:rPr>
          <w:lang w:val="en-US"/>
        </w:rPr>
        <w:tab/>
      </w:r>
      <w:r w:rsidR="00FB05C2" w:rsidRPr="00153A7F">
        <w:rPr>
          <w:rStyle w:val="FootnoteReference"/>
        </w:rPr>
        <w:footnoteRef/>
      </w:r>
      <w:r w:rsidR="00EF2DF9">
        <w:rPr>
          <w:lang w:val="en-US"/>
        </w:rPr>
        <w:t xml:space="preserve"> </w:t>
      </w:r>
      <w:r w:rsidR="00EF2DF9">
        <w:rPr>
          <w:lang w:val="en-US"/>
        </w:rPr>
        <w:tab/>
        <w:t>See CAT/C/LAK/CO/3-4</w:t>
      </w:r>
      <w:r w:rsidR="00FB05C2">
        <w:t xml:space="preserve">, para. 6. </w:t>
      </w:r>
    </w:p>
  </w:footnote>
  <w:footnote w:id="21">
    <w:p w:rsidR="00FB05C2" w:rsidRPr="00775EEF" w:rsidRDefault="00EF2DF9" w:rsidP="00781D9D">
      <w:pPr>
        <w:pStyle w:val="FootnoteText"/>
        <w:ind w:hanging="567"/>
      </w:pPr>
      <w:r>
        <w:rPr>
          <w:lang w:val="en-US"/>
        </w:rPr>
        <w:tab/>
      </w:r>
      <w:r w:rsidR="00FB05C2" w:rsidRPr="00153A7F">
        <w:rPr>
          <w:rStyle w:val="FootnoteReference"/>
        </w:rPr>
        <w:footnoteRef/>
      </w:r>
      <w:r w:rsidR="00F67156">
        <w:rPr>
          <w:lang w:val="en-US"/>
        </w:rPr>
        <w:tab/>
      </w:r>
      <w:r w:rsidR="00FB05C2" w:rsidRPr="00775EEF">
        <w:t>Preliminary observations and recommendations of the Special Rapporteur on torture and other cruel, inhuman and de</w:t>
      </w:r>
      <w:r w:rsidR="00FB05C2">
        <w:t xml:space="preserve">grading treatment or punishment, Mr. Juan E. Mendez, on the official </w:t>
      </w:r>
      <w:r w:rsidR="00FB05C2" w:rsidRPr="00775EEF">
        <w:t>joint visit to Sri</w:t>
      </w:r>
      <w:r w:rsidR="00153A7F">
        <w:t> </w:t>
      </w:r>
      <w:r w:rsidR="00FB05C2" w:rsidRPr="00775EEF">
        <w:t>Lanka</w:t>
      </w:r>
      <w:r w:rsidR="00F67156">
        <w:rPr>
          <w:lang w:val="en-US"/>
        </w:rPr>
        <w:t>,</w:t>
      </w:r>
      <w:r w:rsidR="00FB05C2">
        <w:t xml:space="preserve"> </w:t>
      </w:r>
      <w:r w:rsidR="00FB05C2" w:rsidRPr="00775EEF">
        <w:t>29 April</w:t>
      </w:r>
      <w:r w:rsidR="00F67156">
        <w:rPr>
          <w:lang w:val="en-US"/>
        </w:rPr>
        <w:t xml:space="preserve"> to</w:t>
      </w:r>
      <w:r w:rsidR="00FB05C2">
        <w:t xml:space="preserve"> </w:t>
      </w:r>
      <w:r w:rsidR="00FB05C2" w:rsidRPr="00775EEF">
        <w:t>7 May</w:t>
      </w:r>
      <w:r w:rsidR="00FB05C2">
        <w:t xml:space="preserve"> 2016</w:t>
      </w:r>
      <w:r w:rsidR="00F67156">
        <w:t xml:space="preserve"> (</w:t>
      </w:r>
      <w:r w:rsidR="00FB05C2">
        <w:t>Colombo, 7 May 2016</w:t>
      </w:r>
      <w:r w:rsidR="00F67156">
        <w:t>)</w:t>
      </w:r>
      <w:r w:rsidR="00FB05C2">
        <w:t>.</w:t>
      </w:r>
      <w:r w:rsidR="00F67156">
        <w:t xml:space="preserve"> </w:t>
      </w:r>
    </w:p>
  </w:footnote>
  <w:footnote w:id="22">
    <w:p w:rsidR="00FB05C2" w:rsidRPr="00762530" w:rsidRDefault="00F67156" w:rsidP="008078E6">
      <w:pPr>
        <w:pStyle w:val="FootnoteText"/>
        <w:ind w:hanging="567"/>
      </w:pPr>
      <w:r>
        <w:rPr>
          <w:lang w:val="en-US"/>
        </w:rPr>
        <w:tab/>
      </w:r>
      <w:r w:rsidR="00FB05C2" w:rsidRPr="00153A7F">
        <w:rPr>
          <w:rStyle w:val="FootnoteReference"/>
        </w:rPr>
        <w:footnoteRef/>
      </w:r>
      <w:r w:rsidR="00FB05C2">
        <w:t xml:space="preserve"> </w:t>
      </w:r>
      <w:r>
        <w:rPr>
          <w:lang w:val="en-US"/>
        </w:rPr>
        <w:tab/>
        <w:t xml:space="preserve">See </w:t>
      </w:r>
      <w:r w:rsidR="00FB05C2" w:rsidRPr="007853C4">
        <w:t>Edmund Rice Centr</w:t>
      </w:r>
      <w:r>
        <w:rPr>
          <w:lang w:val="en-US"/>
        </w:rPr>
        <w:t>e</w:t>
      </w:r>
      <w:r w:rsidR="00FB05C2">
        <w:t xml:space="preserve">, </w:t>
      </w:r>
      <w:r>
        <w:t>“</w:t>
      </w:r>
      <w:r w:rsidR="00FB05C2" w:rsidRPr="008078E6">
        <w:rPr>
          <w:iCs/>
        </w:rPr>
        <w:t xml:space="preserve">Australian sponsored </w:t>
      </w:r>
      <w:r w:rsidRPr="008078E6">
        <w:rPr>
          <w:iCs/>
        </w:rPr>
        <w:t>t</w:t>
      </w:r>
      <w:r w:rsidR="00FB05C2" w:rsidRPr="008078E6">
        <w:rPr>
          <w:iCs/>
        </w:rPr>
        <w:t>orture in Sri Lanka? The unforeseen consequences of supporting a brutal regime to stop the boats at any cost</w:t>
      </w:r>
      <w:r w:rsidR="003352A7">
        <w:rPr>
          <w:iCs/>
        </w:rPr>
        <w:t>”</w:t>
      </w:r>
      <w:r w:rsidR="00EE24D3">
        <w:rPr>
          <w:iCs/>
        </w:rPr>
        <w:t>,</w:t>
      </w:r>
      <w:r>
        <w:t xml:space="preserve"> </w:t>
      </w:r>
      <w:r w:rsidR="00FB05C2">
        <w:t>12 August 2015</w:t>
      </w:r>
      <w:r w:rsidR="00EE24D3">
        <w:t xml:space="preserve">, available from </w:t>
      </w:r>
      <w:r w:rsidR="00EE24D3" w:rsidRPr="00EE24D3">
        <w:t>http://erc.me/index.php?module=documents&amp;JAS_DocumentManager_op=downloadFile&amp;JAS_File_id=522</w:t>
      </w:r>
      <w:r w:rsidR="00FB05C2">
        <w:t>; Amnes</w:t>
      </w:r>
      <w:r w:rsidR="003352A7">
        <w:t>t</w:t>
      </w:r>
      <w:r>
        <w:t>y</w:t>
      </w:r>
      <w:r w:rsidR="00FB05C2">
        <w:t xml:space="preserve"> International, </w:t>
      </w:r>
      <w:r w:rsidR="003352A7">
        <w:t>“</w:t>
      </w:r>
      <w:r w:rsidR="00FB05C2" w:rsidRPr="008078E6">
        <w:rPr>
          <w:iCs/>
        </w:rPr>
        <w:t>Sri Lankan asylum seekers tortured after being forcibly returned from Australia</w:t>
      </w:r>
      <w:r w:rsidR="003352A7">
        <w:rPr>
          <w:iCs/>
        </w:rPr>
        <w:t>”</w:t>
      </w:r>
      <w:r w:rsidR="00EE24D3">
        <w:rPr>
          <w:iCs/>
        </w:rPr>
        <w:t>,</w:t>
      </w:r>
      <w:r w:rsidR="003352A7">
        <w:rPr>
          <w:iCs/>
        </w:rPr>
        <w:t xml:space="preserve"> </w:t>
      </w:r>
      <w:r w:rsidR="00FB05C2">
        <w:t xml:space="preserve">3 September 2010, available at: www.amnesty.org.au/news/comments/23625; and Human Rights Watch, </w:t>
      </w:r>
      <w:r w:rsidR="003352A7">
        <w:t>“</w:t>
      </w:r>
      <w:r w:rsidR="00FB05C2" w:rsidRPr="008078E6">
        <w:rPr>
          <w:iCs/>
        </w:rPr>
        <w:t xml:space="preserve">UK: Suspend </w:t>
      </w:r>
      <w:r w:rsidR="003352A7">
        <w:rPr>
          <w:iCs/>
        </w:rPr>
        <w:t>d</w:t>
      </w:r>
      <w:r w:rsidR="00FB05C2" w:rsidRPr="008078E6">
        <w:rPr>
          <w:iCs/>
        </w:rPr>
        <w:t>eportations of Tamils to Sri Lanka</w:t>
      </w:r>
      <w:r w:rsidR="003352A7">
        <w:rPr>
          <w:iCs/>
        </w:rPr>
        <w:t>”</w:t>
      </w:r>
      <w:r w:rsidR="00EE24D3">
        <w:rPr>
          <w:iCs/>
        </w:rPr>
        <w:t>,</w:t>
      </w:r>
      <w:r w:rsidR="003352A7">
        <w:rPr>
          <w:iCs/>
        </w:rPr>
        <w:t xml:space="preserve"> </w:t>
      </w:r>
      <w:r w:rsidR="00FB05C2">
        <w:t>29 May 2012, available at</w:t>
      </w:r>
      <w:r w:rsidR="003352A7">
        <w:t xml:space="preserve"> </w:t>
      </w:r>
      <w:hyperlink r:id="rId1" w:history="1">
        <w:r w:rsidR="003352A7" w:rsidRPr="003352A7">
          <w:rPr>
            <w:rStyle w:val="Hyperlink"/>
          </w:rPr>
          <w:t>www.hrw.org/print/news/2012/05/29/uk-suspend-deportations-tamils-sri-lanka</w:t>
        </w:r>
      </w:hyperlink>
      <w:r w:rsidR="00FB05C2">
        <w:t xml:space="preserve">. </w:t>
      </w:r>
    </w:p>
  </w:footnote>
  <w:footnote w:id="23">
    <w:p w:rsidR="00FB05C2" w:rsidRPr="003C17D8" w:rsidRDefault="00006702" w:rsidP="008078E6">
      <w:pPr>
        <w:pStyle w:val="FootnoteText"/>
        <w:ind w:hanging="567"/>
      </w:pPr>
      <w:r>
        <w:rPr>
          <w:lang w:val="en-US"/>
        </w:rPr>
        <w:tab/>
      </w:r>
      <w:r w:rsidR="00FB05C2" w:rsidRPr="00153A7F">
        <w:rPr>
          <w:rStyle w:val="FootnoteReference"/>
        </w:rPr>
        <w:footnoteRef/>
      </w:r>
      <w:r w:rsidR="00FB05C2">
        <w:t xml:space="preserve"> </w:t>
      </w:r>
      <w:r>
        <w:rPr>
          <w:lang w:val="en-US"/>
        </w:rPr>
        <w:tab/>
      </w:r>
      <w:r w:rsidR="00FB05C2">
        <w:t xml:space="preserve">See </w:t>
      </w:r>
      <w:r w:rsidR="00FB05C2" w:rsidRPr="00FE41FA">
        <w:t xml:space="preserve">communication No. 628/2014, </w:t>
      </w:r>
      <w:r w:rsidR="00FB05C2" w:rsidRPr="00FE41FA">
        <w:rPr>
          <w:i/>
        </w:rPr>
        <w:t>J.N. v. Denmark</w:t>
      </w:r>
      <w:r w:rsidR="00FB05C2" w:rsidRPr="00FE41FA">
        <w:t xml:space="preserve">, decision </w:t>
      </w:r>
      <w:r w:rsidR="00FE41FA">
        <w:t xml:space="preserve">adopted on </w:t>
      </w:r>
      <w:r w:rsidR="00FB05C2" w:rsidRPr="00FE41FA">
        <w:t>13 May 2016</w:t>
      </w:r>
      <w:r w:rsidR="00FB05C2">
        <w:t xml:space="preserve">, para. 7.9. </w:t>
      </w:r>
    </w:p>
  </w:footnote>
  <w:footnote w:id="24">
    <w:p w:rsidR="00FB05C2" w:rsidRPr="002949C6" w:rsidRDefault="00FB05C2" w:rsidP="00781D9D">
      <w:pPr>
        <w:pStyle w:val="FootnoteText"/>
        <w:widowControl w:val="0"/>
        <w:tabs>
          <w:tab w:val="clear" w:pos="1021"/>
          <w:tab w:val="right" w:pos="1020"/>
        </w:tabs>
        <w:rPr>
          <w:lang w:val="en-US"/>
        </w:rPr>
      </w:pPr>
      <w:r>
        <w:tab/>
      </w:r>
      <w:r w:rsidRPr="00153A7F">
        <w:rPr>
          <w:rStyle w:val="FootnoteReference"/>
        </w:rPr>
        <w:footnoteRef/>
      </w:r>
      <w:r>
        <w:tab/>
        <w:t xml:space="preserve">See communication No. 429/2010, </w:t>
      </w:r>
      <w:r w:rsidRPr="008078E6">
        <w:rPr>
          <w:i/>
          <w:iCs/>
        </w:rPr>
        <w:t>Sivagnanaratnam v. Denmark</w:t>
      </w:r>
      <w:r>
        <w:t>, decision adopted on 11 November 2013, paras. 10.5 and 10.6.</w:t>
      </w:r>
      <w:r w:rsidR="00CB678E">
        <w:t xml:space="preserve"> </w:t>
      </w:r>
    </w:p>
  </w:footnote>
  <w:footnote w:id="25">
    <w:p w:rsidR="00FB05C2" w:rsidRPr="003E77C6" w:rsidRDefault="00FB05C2" w:rsidP="008078E6">
      <w:pPr>
        <w:pStyle w:val="FootnoteText"/>
        <w:widowControl w:val="0"/>
        <w:tabs>
          <w:tab w:val="clear" w:pos="1021"/>
          <w:tab w:val="right" w:pos="1020"/>
        </w:tabs>
        <w:rPr>
          <w:lang w:val="fr-CH"/>
        </w:rPr>
      </w:pPr>
      <w:r>
        <w:tab/>
      </w:r>
      <w:r w:rsidRPr="00153A7F">
        <w:rPr>
          <w:rStyle w:val="FootnoteReference"/>
        </w:rPr>
        <w:footnoteRef/>
      </w:r>
      <w:r>
        <w:tab/>
        <w:t xml:space="preserve">See communication No. 571/2013, </w:t>
      </w:r>
      <w:r w:rsidRPr="008078E6">
        <w:rPr>
          <w:i/>
          <w:iCs/>
        </w:rPr>
        <w:t>M.S. v. Denmark</w:t>
      </w:r>
      <w:r>
        <w:t>, decision adopted on 10 August 2015, para. 7.9.</w:t>
      </w:r>
      <w:r w:rsidR="00CB678E">
        <w:t xml:space="preserve"> </w:t>
      </w:r>
    </w:p>
  </w:footnote>
  <w:footnote w:id="26">
    <w:p w:rsidR="00FB05C2" w:rsidRPr="003E77C6" w:rsidRDefault="00FB05C2" w:rsidP="008078E6">
      <w:pPr>
        <w:pStyle w:val="FootnoteText"/>
        <w:widowControl w:val="0"/>
        <w:tabs>
          <w:tab w:val="clear" w:pos="1021"/>
          <w:tab w:val="right" w:pos="1020"/>
        </w:tabs>
        <w:rPr>
          <w:lang w:val="fr-CH"/>
        </w:rPr>
      </w:pPr>
      <w:r>
        <w:tab/>
      </w:r>
      <w:r w:rsidRPr="00153A7F">
        <w:rPr>
          <w:rStyle w:val="FootnoteReference"/>
        </w:rPr>
        <w:footnoteRef/>
      </w:r>
      <w:r>
        <w:tab/>
        <w:t>Ibid., para. 8.</w:t>
      </w:r>
      <w:r w:rsidR="00CB678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5C2" w:rsidRPr="00116B35" w:rsidRDefault="00FB05C2">
    <w:pPr>
      <w:pStyle w:val="Header"/>
    </w:pPr>
    <w:r>
      <w:t>CAT/C/58/D/599/2014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5C2" w:rsidRPr="00116B35" w:rsidRDefault="00FB05C2" w:rsidP="004876DE">
    <w:pPr>
      <w:pStyle w:val="Header"/>
      <w:jc w:val="right"/>
    </w:pPr>
    <w:r>
      <w:t>CAT/C/58/D/599/2014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3CC53B4"/>
    <w:multiLevelType w:val="hybridMultilevel"/>
    <w:tmpl w:val="9294C9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06919"/>
    <w:multiLevelType w:val="hybridMultilevel"/>
    <w:tmpl w:val="CE3C60EA"/>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AB377A"/>
    <w:multiLevelType w:val="hybridMultilevel"/>
    <w:tmpl w:val="06CE5E9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36D5283"/>
    <w:multiLevelType w:val="multilevel"/>
    <w:tmpl w:val="6DCA6694"/>
    <w:lvl w:ilvl="0">
      <w:start w:val="1"/>
      <w:numFmt w:val="decimal"/>
      <w:lvlText w:val="%1"/>
      <w:lvlJc w:val="left"/>
      <w:pPr>
        <w:ind w:left="1677" w:hanging="555"/>
      </w:pPr>
      <w:rPr>
        <w:rFonts w:hint="default"/>
      </w:rPr>
    </w:lvl>
    <w:lvl w:ilvl="1">
      <w:start w:val="1"/>
      <w:numFmt w:val="decimal"/>
      <w:lvlText w:val="%1.%2"/>
      <w:lvlJc w:val="left"/>
      <w:pPr>
        <w:ind w:left="2811" w:hanging="555"/>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244" w:hanging="720"/>
      </w:pPr>
      <w:rPr>
        <w:rFonts w:hint="default"/>
      </w:rPr>
    </w:lvl>
    <w:lvl w:ilvl="4">
      <w:start w:val="1"/>
      <w:numFmt w:val="decimal"/>
      <w:lvlText w:val="%1.%2.%3.%4.%5"/>
      <w:lvlJc w:val="left"/>
      <w:pPr>
        <w:ind w:left="6378" w:hanging="720"/>
      </w:pPr>
      <w:rPr>
        <w:rFonts w:hint="default"/>
      </w:rPr>
    </w:lvl>
    <w:lvl w:ilvl="5">
      <w:start w:val="1"/>
      <w:numFmt w:val="decimal"/>
      <w:lvlText w:val="%1.%2.%3.%4.%5.%6"/>
      <w:lvlJc w:val="left"/>
      <w:pPr>
        <w:ind w:left="7872" w:hanging="1080"/>
      </w:pPr>
      <w:rPr>
        <w:rFonts w:hint="default"/>
      </w:rPr>
    </w:lvl>
    <w:lvl w:ilvl="6">
      <w:start w:val="1"/>
      <w:numFmt w:val="decimal"/>
      <w:lvlText w:val="%1.%2.%3.%4.%5.%6.%7"/>
      <w:lvlJc w:val="left"/>
      <w:pPr>
        <w:ind w:left="9006" w:hanging="1080"/>
      </w:pPr>
      <w:rPr>
        <w:rFonts w:hint="default"/>
      </w:rPr>
    </w:lvl>
    <w:lvl w:ilvl="7">
      <w:start w:val="1"/>
      <w:numFmt w:val="decimal"/>
      <w:lvlText w:val="%1.%2.%3.%4.%5.%6.%7.%8"/>
      <w:lvlJc w:val="left"/>
      <w:pPr>
        <w:ind w:left="10500" w:hanging="1440"/>
      </w:pPr>
      <w:rPr>
        <w:rFonts w:hint="default"/>
      </w:rPr>
    </w:lvl>
    <w:lvl w:ilvl="8">
      <w:start w:val="1"/>
      <w:numFmt w:val="decimal"/>
      <w:lvlText w:val="%1.%2.%3.%4.%5.%6.%7.%8.%9"/>
      <w:lvlJc w:val="left"/>
      <w:pPr>
        <w:ind w:left="11634" w:hanging="1440"/>
      </w:pPr>
      <w:rPr>
        <w:rFonts w:hint="default"/>
      </w:rPr>
    </w:lvl>
  </w:abstractNum>
  <w:abstractNum w:abstractNumId="5"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6" w15:restartNumberingAfterBreak="0">
    <w:nsid w:val="52B81A61"/>
    <w:multiLevelType w:val="hybridMultilevel"/>
    <w:tmpl w:val="F7926326"/>
    <w:lvl w:ilvl="0" w:tplc="0AB623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F980A83"/>
    <w:multiLevelType w:val="hybridMultilevel"/>
    <w:tmpl w:val="DC7E58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61DD17E6"/>
    <w:multiLevelType w:val="hybridMultilevel"/>
    <w:tmpl w:val="6B0C0EEE"/>
    <w:lvl w:ilvl="0" w:tplc="08090001">
      <w:start w:val="1"/>
      <w:numFmt w:val="bullet"/>
      <w:lvlText w:val=""/>
      <w:lvlJc w:val="left"/>
      <w:pPr>
        <w:ind w:left="-414" w:hanging="360"/>
      </w:pPr>
      <w:rPr>
        <w:rFonts w:ascii="Symbol" w:hAnsi="Symbol" w:hint="default"/>
      </w:rPr>
    </w:lvl>
    <w:lvl w:ilvl="1" w:tplc="10090001">
      <w:start w:val="1"/>
      <w:numFmt w:val="bullet"/>
      <w:lvlText w:val=""/>
      <w:lvlJc w:val="left"/>
      <w:pPr>
        <w:ind w:left="306" w:hanging="360"/>
      </w:pPr>
      <w:rPr>
        <w:rFonts w:ascii="Symbol" w:hAnsi="Symbol" w:hint="default"/>
      </w:rPr>
    </w:lvl>
    <w:lvl w:ilvl="2" w:tplc="1009001B" w:tentative="1">
      <w:start w:val="1"/>
      <w:numFmt w:val="lowerRoman"/>
      <w:lvlText w:val="%3."/>
      <w:lvlJc w:val="right"/>
      <w:pPr>
        <w:ind w:left="1026" w:hanging="180"/>
      </w:pPr>
    </w:lvl>
    <w:lvl w:ilvl="3" w:tplc="1009000F" w:tentative="1">
      <w:start w:val="1"/>
      <w:numFmt w:val="decimal"/>
      <w:lvlText w:val="%4."/>
      <w:lvlJc w:val="left"/>
      <w:pPr>
        <w:ind w:left="1746" w:hanging="360"/>
      </w:pPr>
    </w:lvl>
    <w:lvl w:ilvl="4" w:tplc="10090019" w:tentative="1">
      <w:start w:val="1"/>
      <w:numFmt w:val="lowerLetter"/>
      <w:lvlText w:val="%5."/>
      <w:lvlJc w:val="left"/>
      <w:pPr>
        <w:ind w:left="2466" w:hanging="360"/>
      </w:pPr>
    </w:lvl>
    <w:lvl w:ilvl="5" w:tplc="1009001B" w:tentative="1">
      <w:start w:val="1"/>
      <w:numFmt w:val="lowerRoman"/>
      <w:lvlText w:val="%6."/>
      <w:lvlJc w:val="right"/>
      <w:pPr>
        <w:ind w:left="3186" w:hanging="180"/>
      </w:pPr>
    </w:lvl>
    <w:lvl w:ilvl="6" w:tplc="1009000F" w:tentative="1">
      <w:start w:val="1"/>
      <w:numFmt w:val="decimal"/>
      <w:lvlText w:val="%7."/>
      <w:lvlJc w:val="left"/>
      <w:pPr>
        <w:ind w:left="3906" w:hanging="360"/>
      </w:pPr>
    </w:lvl>
    <w:lvl w:ilvl="7" w:tplc="10090019" w:tentative="1">
      <w:start w:val="1"/>
      <w:numFmt w:val="lowerLetter"/>
      <w:lvlText w:val="%8."/>
      <w:lvlJc w:val="left"/>
      <w:pPr>
        <w:ind w:left="4626" w:hanging="360"/>
      </w:pPr>
    </w:lvl>
    <w:lvl w:ilvl="8" w:tplc="1009001B" w:tentative="1">
      <w:start w:val="1"/>
      <w:numFmt w:val="lowerRoman"/>
      <w:lvlText w:val="%9."/>
      <w:lvlJc w:val="right"/>
      <w:pPr>
        <w:ind w:left="5346"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460FDB"/>
    <w:multiLevelType w:val="hybridMultilevel"/>
    <w:tmpl w:val="E6C46B94"/>
    <w:lvl w:ilvl="0" w:tplc="850A3BD0">
      <w:start w:val="1"/>
      <w:numFmt w:val="upperLetter"/>
      <w:pStyle w:val="Kurusamy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40534E"/>
    <w:multiLevelType w:val="hybridMultilevel"/>
    <w:tmpl w:val="5852B03A"/>
    <w:lvl w:ilvl="0" w:tplc="AB14964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0"/>
  </w:num>
  <w:num w:numId="5">
    <w:abstractNumId w:val="2"/>
  </w:num>
  <w:num w:numId="6">
    <w:abstractNumId w:val="11"/>
  </w:num>
  <w:num w:numId="7">
    <w:abstractNumId w:val="8"/>
  </w:num>
  <w:num w:numId="8">
    <w:abstractNumId w:val="6"/>
  </w:num>
  <w:num w:numId="9">
    <w:abstractNumId w:val="3"/>
  </w:num>
  <w:num w:numId="10">
    <w:abstractNumId w:val="4"/>
  </w:num>
  <w:num w:numId="11">
    <w:abstractNumId w:val="7"/>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s-ES_tradnl"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6231"/>
    <w:rsid w:val="00006702"/>
    <w:rsid w:val="00007708"/>
    <w:rsid w:val="000101BF"/>
    <w:rsid w:val="0001238B"/>
    <w:rsid w:val="00012AA2"/>
    <w:rsid w:val="00012FF8"/>
    <w:rsid w:val="0001391D"/>
    <w:rsid w:val="000159CA"/>
    <w:rsid w:val="00016A42"/>
    <w:rsid w:val="00021EDC"/>
    <w:rsid w:val="00021F09"/>
    <w:rsid w:val="00023118"/>
    <w:rsid w:val="00025234"/>
    <w:rsid w:val="0002565D"/>
    <w:rsid w:val="00026ABA"/>
    <w:rsid w:val="00027211"/>
    <w:rsid w:val="00030EF4"/>
    <w:rsid w:val="000330BE"/>
    <w:rsid w:val="00033FC8"/>
    <w:rsid w:val="00035A6C"/>
    <w:rsid w:val="00036041"/>
    <w:rsid w:val="00036482"/>
    <w:rsid w:val="000368D3"/>
    <w:rsid w:val="00037829"/>
    <w:rsid w:val="00042594"/>
    <w:rsid w:val="00043463"/>
    <w:rsid w:val="000440FB"/>
    <w:rsid w:val="00044A46"/>
    <w:rsid w:val="0004561D"/>
    <w:rsid w:val="000506A9"/>
    <w:rsid w:val="00050D1A"/>
    <w:rsid w:val="00051479"/>
    <w:rsid w:val="00052372"/>
    <w:rsid w:val="00053629"/>
    <w:rsid w:val="00053B1D"/>
    <w:rsid w:val="000547E8"/>
    <w:rsid w:val="00055198"/>
    <w:rsid w:val="00055CE8"/>
    <w:rsid w:val="00057316"/>
    <w:rsid w:val="00057B90"/>
    <w:rsid w:val="000617F0"/>
    <w:rsid w:val="0006294F"/>
    <w:rsid w:val="0006658F"/>
    <w:rsid w:val="00066D48"/>
    <w:rsid w:val="00070DA2"/>
    <w:rsid w:val="00071615"/>
    <w:rsid w:val="00072689"/>
    <w:rsid w:val="00072973"/>
    <w:rsid w:val="00076DE6"/>
    <w:rsid w:val="00081A19"/>
    <w:rsid w:val="0008234B"/>
    <w:rsid w:val="00082F02"/>
    <w:rsid w:val="0008372E"/>
    <w:rsid w:val="000870D2"/>
    <w:rsid w:val="000923A7"/>
    <w:rsid w:val="000925E6"/>
    <w:rsid w:val="00095BB2"/>
    <w:rsid w:val="0009769D"/>
    <w:rsid w:val="000A50BE"/>
    <w:rsid w:val="000A5443"/>
    <w:rsid w:val="000B06DD"/>
    <w:rsid w:val="000B09B3"/>
    <w:rsid w:val="000B3580"/>
    <w:rsid w:val="000B4261"/>
    <w:rsid w:val="000B4D51"/>
    <w:rsid w:val="000B584F"/>
    <w:rsid w:val="000B7A13"/>
    <w:rsid w:val="000C10D9"/>
    <w:rsid w:val="000C123A"/>
    <w:rsid w:val="000C12E7"/>
    <w:rsid w:val="000C165B"/>
    <w:rsid w:val="000C1F92"/>
    <w:rsid w:val="000C4C55"/>
    <w:rsid w:val="000C4EB8"/>
    <w:rsid w:val="000D2BE3"/>
    <w:rsid w:val="000D7749"/>
    <w:rsid w:val="000D7BBF"/>
    <w:rsid w:val="000D7C60"/>
    <w:rsid w:val="000D7F10"/>
    <w:rsid w:val="000E29BF"/>
    <w:rsid w:val="000E2BC4"/>
    <w:rsid w:val="000E3E83"/>
    <w:rsid w:val="000E6472"/>
    <w:rsid w:val="000E6BD7"/>
    <w:rsid w:val="000E6E2B"/>
    <w:rsid w:val="000F1A06"/>
    <w:rsid w:val="000F3CD2"/>
    <w:rsid w:val="000F50D2"/>
    <w:rsid w:val="000F730F"/>
    <w:rsid w:val="00101F59"/>
    <w:rsid w:val="00103BA5"/>
    <w:rsid w:val="00103FE4"/>
    <w:rsid w:val="00104653"/>
    <w:rsid w:val="00104BB4"/>
    <w:rsid w:val="00105CDB"/>
    <w:rsid w:val="001064AA"/>
    <w:rsid w:val="00106D73"/>
    <w:rsid w:val="001078B7"/>
    <w:rsid w:val="00110701"/>
    <w:rsid w:val="00110CC7"/>
    <w:rsid w:val="00110E68"/>
    <w:rsid w:val="00114092"/>
    <w:rsid w:val="00114BC3"/>
    <w:rsid w:val="00116A3A"/>
    <w:rsid w:val="00117924"/>
    <w:rsid w:val="00117DE2"/>
    <w:rsid w:val="00121896"/>
    <w:rsid w:val="0012341C"/>
    <w:rsid w:val="001241E7"/>
    <w:rsid w:val="00124A98"/>
    <w:rsid w:val="0012534E"/>
    <w:rsid w:val="00126BF5"/>
    <w:rsid w:val="00127405"/>
    <w:rsid w:val="0013226D"/>
    <w:rsid w:val="00133372"/>
    <w:rsid w:val="0013557C"/>
    <w:rsid w:val="0013619D"/>
    <w:rsid w:val="00140051"/>
    <w:rsid w:val="001407AB"/>
    <w:rsid w:val="001420BA"/>
    <w:rsid w:val="00143350"/>
    <w:rsid w:val="00146CF9"/>
    <w:rsid w:val="00152662"/>
    <w:rsid w:val="00152CDE"/>
    <w:rsid w:val="00153A7F"/>
    <w:rsid w:val="00153D74"/>
    <w:rsid w:val="001549D6"/>
    <w:rsid w:val="0015549D"/>
    <w:rsid w:val="00155992"/>
    <w:rsid w:val="00161995"/>
    <w:rsid w:val="00161F02"/>
    <w:rsid w:val="00162D11"/>
    <w:rsid w:val="00163614"/>
    <w:rsid w:val="00164A7F"/>
    <w:rsid w:val="00164E86"/>
    <w:rsid w:val="00165AB6"/>
    <w:rsid w:val="0016602D"/>
    <w:rsid w:val="001668D8"/>
    <w:rsid w:val="00167C2A"/>
    <w:rsid w:val="001704A9"/>
    <w:rsid w:val="00175B8A"/>
    <w:rsid w:val="00182368"/>
    <w:rsid w:val="00182694"/>
    <w:rsid w:val="00182C6F"/>
    <w:rsid w:val="001846DE"/>
    <w:rsid w:val="00184731"/>
    <w:rsid w:val="00185070"/>
    <w:rsid w:val="001863D6"/>
    <w:rsid w:val="00190BD3"/>
    <w:rsid w:val="0019198F"/>
    <w:rsid w:val="001919B7"/>
    <w:rsid w:val="001946CA"/>
    <w:rsid w:val="0019563D"/>
    <w:rsid w:val="001961BD"/>
    <w:rsid w:val="0019644B"/>
    <w:rsid w:val="00196B68"/>
    <w:rsid w:val="001974BC"/>
    <w:rsid w:val="001A0DD8"/>
    <w:rsid w:val="001A7652"/>
    <w:rsid w:val="001B1D2E"/>
    <w:rsid w:val="001B389D"/>
    <w:rsid w:val="001B5613"/>
    <w:rsid w:val="001B5938"/>
    <w:rsid w:val="001B7017"/>
    <w:rsid w:val="001C0562"/>
    <w:rsid w:val="001C2411"/>
    <w:rsid w:val="001C31D7"/>
    <w:rsid w:val="001C6D1C"/>
    <w:rsid w:val="001C6E6F"/>
    <w:rsid w:val="001D456D"/>
    <w:rsid w:val="001D4EC3"/>
    <w:rsid w:val="001D6A8A"/>
    <w:rsid w:val="001D6D9E"/>
    <w:rsid w:val="001E2959"/>
    <w:rsid w:val="001E5567"/>
    <w:rsid w:val="001E6C7A"/>
    <w:rsid w:val="001E6F98"/>
    <w:rsid w:val="001F1302"/>
    <w:rsid w:val="001F15B9"/>
    <w:rsid w:val="001F634D"/>
    <w:rsid w:val="002010BA"/>
    <w:rsid w:val="00204D5C"/>
    <w:rsid w:val="002053B3"/>
    <w:rsid w:val="00205CC5"/>
    <w:rsid w:val="0020639B"/>
    <w:rsid w:val="00206A95"/>
    <w:rsid w:val="0021273F"/>
    <w:rsid w:val="00213EEA"/>
    <w:rsid w:val="00213F80"/>
    <w:rsid w:val="002232A3"/>
    <w:rsid w:val="002238F7"/>
    <w:rsid w:val="00223C3D"/>
    <w:rsid w:val="00224277"/>
    <w:rsid w:val="00226E6E"/>
    <w:rsid w:val="002271F4"/>
    <w:rsid w:val="00227B06"/>
    <w:rsid w:val="00227B87"/>
    <w:rsid w:val="00227CDA"/>
    <w:rsid w:val="00231742"/>
    <w:rsid w:val="00231744"/>
    <w:rsid w:val="002333F7"/>
    <w:rsid w:val="002349A7"/>
    <w:rsid w:val="002369D4"/>
    <w:rsid w:val="00240781"/>
    <w:rsid w:val="0024082E"/>
    <w:rsid w:val="00241BD0"/>
    <w:rsid w:val="00242CE7"/>
    <w:rsid w:val="00243943"/>
    <w:rsid w:val="00245EA8"/>
    <w:rsid w:val="00247EC6"/>
    <w:rsid w:val="00250998"/>
    <w:rsid w:val="00250ED8"/>
    <w:rsid w:val="00251398"/>
    <w:rsid w:val="002522CC"/>
    <w:rsid w:val="00252C9C"/>
    <w:rsid w:val="00262437"/>
    <w:rsid w:val="00262F26"/>
    <w:rsid w:val="002637ED"/>
    <w:rsid w:val="00266256"/>
    <w:rsid w:val="002664BE"/>
    <w:rsid w:val="0026723E"/>
    <w:rsid w:val="002714CC"/>
    <w:rsid w:val="00277156"/>
    <w:rsid w:val="00281330"/>
    <w:rsid w:val="002827C5"/>
    <w:rsid w:val="00283010"/>
    <w:rsid w:val="0028326A"/>
    <w:rsid w:val="002848E1"/>
    <w:rsid w:val="00286B36"/>
    <w:rsid w:val="002932FB"/>
    <w:rsid w:val="00293752"/>
    <w:rsid w:val="00293DD3"/>
    <w:rsid w:val="002949C6"/>
    <w:rsid w:val="00294D4C"/>
    <w:rsid w:val="00296342"/>
    <w:rsid w:val="00297787"/>
    <w:rsid w:val="002A1560"/>
    <w:rsid w:val="002A3474"/>
    <w:rsid w:val="002A3823"/>
    <w:rsid w:val="002A43A4"/>
    <w:rsid w:val="002A4545"/>
    <w:rsid w:val="002A6065"/>
    <w:rsid w:val="002A7175"/>
    <w:rsid w:val="002B12B0"/>
    <w:rsid w:val="002B1BCC"/>
    <w:rsid w:val="002B1CDC"/>
    <w:rsid w:val="002B2F38"/>
    <w:rsid w:val="002B359C"/>
    <w:rsid w:val="002B3CDA"/>
    <w:rsid w:val="002B4667"/>
    <w:rsid w:val="002B533E"/>
    <w:rsid w:val="002B5476"/>
    <w:rsid w:val="002C0A4E"/>
    <w:rsid w:val="002C0F75"/>
    <w:rsid w:val="002C1D2C"/>
    <w:rsid w:val="002C2092"/>
    <w:rsid w:val="002C2E41"/>
    <w:rsid w:val="002C6477"/>
    <w:rsid w:val="002D0F08"/>
    <w:rsid w:val="002D2327"/>
    <w:rsid w:val="002D3F3F"/>
    <w:rsid w:val="002D7188"/>
    <w:rsid w:val="002D7B91"/>
    <w:rsid w:val="002E14B1"/>
    <w:rsid w:val="002E1B00"/>
    <w:rsid w:val="002E3A06"/>
    <w:rsid w:val="002E4502"/>
    <w:rsid w:val="002E4DEB"/>
    <w:rsid w:val="002E5262"/>
    <w:rsid w:val="002E77F6"/>
    <w:rsid w:val="002E79DE"/>
    <w:rsid w:val="002F007D"/>
    <w:rsid w:val="002F2D68"/>
    <w:rsid w:val="002F3151"/>
    <w:rsid w:val="002F61A9"/>
    <w:rsid w:val="0030009A"/>
    <w:rsid w:val="00302936"/>
    <w:rsid w:val="00302956"/>
    <w:rsid w:val="00303F5A"/>
    <w:rsid w:val="00305B61"/>
    <w:rsid w:val="00306456"/>
    <w:rsid w:val="003075D0"/>
    <w:rsid w:val="0031010E"/>
    <w:rsid w:val="00311FDE"/>
    <w:rsid w:val="00312662"/>
    <w:rsid w:val="00312BDD"/>
    <w:rsid w:val="00312C64"/>
    <w:rsid w:val="00313D73"/>
    <w:rsid w:val="00314FE7"/>
    <w:rsid w:val="00317B2C"/>
    <w:rsid w:val="00321426"/>
    <w:rsid w:val="00324054"/>
    <w:rsid w:val="003241F3"/>
    <w:rsid w:val="00325ECF"/>
    <w:rsid w:val="00326922"/>
    <w:rsid w:val="003273AE"/>
    <w:rsid w:val="0033034D"/>
    <w:rsid w:val="00332523"/>
    <w:rsid w:val="003327D5"/>
    <w:rsid w:val="00333589"/>
    <w:rsid w:val="0033529C"/>
    <w:rsid w:val="003352A7"/>
    <w:rsid w:val="00335F7B"/>
    <w:rsid w:val="00337D1B"/>
    <w:rsid w:val="00340937"/>
    <w:rsid w:val="003413FD"/>
    <w:rsid w:val="00342673"/>
    <w:rsid w:val="00343657"/>
    <w:rsid w:val="003455B3"/>
    <w:rsid w:val="003471EE"/>
    <w:rsid w:val="0034760C"/>
    <w:rsid w:val="003507D8"/>
    <w:rsid w:val="00350F9C"/>
    <w:rsid w:val="003527BE"/>
    <w:rsid w:val="00353130"/>
    <w:rsid w:val="00355858"/>
    <w:rsid w:val="00355AC1"/>
    <w:rsid w:val="00356045"/>
    <w:rsid w:val="0035789F"/>
    <w:rsid w:val="00360875"/>
    <w:rsid w:val="00360CBA"/>
    <w:rsid w:val="003627B6"/>
    <w:rsid w:val="00366DA8"/>
    <w:rsid w:val="00366DB0"/>
    <w:rsid w:val="00366E76"/>
    <w:rsid w:val="003672F1"/>
    <w:rsid w:val="00367A1D"/>
    <w:rsid w:val="00372E7C"/>
    <w:rsid w:val="003743F9"/>
    <w:rsid w:val="00374433"/>
    <w:rsid w:val="00375469"/>
    <w:rsid w:val="003774DD"/>
    <w:rsid w:val="00380BE5"/>
    <w:rsid w:val="00380F33"/>
    <w:rsid w:val="00381DFA"/>
    <w:rsid w:val="003831E5"/>
    <w:rsid w:val="00384102"/>
    <w:rsid w:val="00384C5A"/>
    <w:rsid w:val="00384C87"/>
    <w:rsid w:val="00384D89"/>
    <w:rsid w:val="00387764"/>
    <w:rsid w:val="00392C24"/>
    <w:rsid w:val="00395330"/>
    <w:rsid w:val="00396B0C"/>
    <w:rsid w:val="00397026"/>
    <w:rsid w:val="0039713E"/>
    <w:rsid w:val="0039729C"/>
    <w:rsid w:val="003A2191"/>
    <w:rsid w:val="003A2DF0"/>
    <w:rsid w:val="003A424D"/>
    <w:rsid w:val="003A5A83"/>
    <w:rsid w:val="003A7217"/>
    <w:rsid w:val="003A7609"/>
    <w:rsid w:val="003A7E96"/>
    <w:rsid w:val="003B01C7"/>
    <w:rsid w:val="003B062F"/>
    <w:rsid w:val="003B68FB"/>
    <w:rsid w:val="003B6C1A"/>
    <w:rsid w:val="003C17D8"/>
    <w:rsid w:val="003C41C1"/>
    <w:rsid w:val="003C44F1"/>
    <w:rsid w:val="003C4ADA"/>
    <w:rsid w:val="003C6E23"/>
    <w:rsid w:val="003C7F1D"/>
    <w:rsid w:val="003D4087"/>
    <w:rsid w:val="003D59E6"/>
    <w:rsid w:val="003D5A7E"/>
    <w:rsid w:val="003D6133"/>
    <w:rsid w:val="003D6638"/>
    <w:rsid w:val="003D6AC5"/>
    <w:rsid w:val="003E02CD"/>
    <w:rsid w:val="003E18E0"/>
    <w:rsid w:val="003E1B79"/>
    <w:rsid w:val="003E2486"/>
    <w:rsid w:val="003E4373"/>
    <w:rsid w:val="003E4E10"/>
    <w:rsid w:val="003E50D7"/>
    <w:rsid w:val="003E5560"/>
    <w:rsid w:val="003E6E47"/>
    <w:rsid w:val="003E77C6"/>
    <w:rsid w:val="003F2069"/>
    <w:rsid w:val="003F37EA"/>
    <w:rsid w:val="003F59B7"/>
    <w:rsid w:val="003F7EF6"/>
    <w:rsid w:val="00400184"/>
    <w:rsid w:val="00400B3B"/>
    <w:rsid w:val="0040270C"/>
    <w:rsid w:val="00402C38"/>
    <w:rsid w:val="00404E8E"/>
    <w:rsid w:val="00404F3A"/>
    <w:rsid w:val="00405504"/>
    <w:rsid w:val="004065DF"/>
    <w:rsid w:val="00410324"/>
    <w:rsid w:val="00415145"/>
    <w:rsid w:val="00420853"/>
    <w:rsid w:val="00422A68"/>
    <w:rsid w:val="004310B2"/>
    <w:rsid w:val="00431968"/>
    <w:rsid w:val="0043272D"/>
    <w:rsid w:val="00432D27"/>
    <w:rsid w:val="0043385B"/>
    <w:rsid w:val="00435847"/>
    <w:rsid w:val="00435A57"/>
    <w:rsid w:val="00436424"/>
    <w:rsid w:val="00437653"/>
    <w:rsid w:val="0044273D"/>
    <w:rsid w:val="0044350E"/>
    <w:rsid w:val="00445118"/>
    <w:rsid w:val="0044561F"/>
    <w:rsid w:val="0045180F"/>
    <w:rsid w:val="0045185A"/>
    <w:rsid w:val="004528E2"/>
    <w:rsid w:val="00455AE8"/>
    <w:rsid w:val="00456658"/>
    <w:rsid w:val="004571F6"/>
    <w:rsid w:val="004621C6"/>
    <w:rsid w:val="00462621"/>
    <w:rsid w:val="00465F91"/>
    <w:rsid w:val="004708EA"/>
    <w:rsid w:val="004710F3"/>
    <w:rsid w:val="004715CE"/>
    <w:rsid w:val="0047176C"/>
    <w:rsid w:val="00474513"/>
    <w:rsid w:val="004748AF"/>
    <w:rsid w:val="00476218"/>
    <w:rsid w:val="00480DCB"/>
    <w:rsid w:val="00481D82"/>
    <w:rsid w:val="00483371"/>
    <w:rsid w:val="004844DE"/>
    <w:rsid w:val="004848B0"/>
    <w:rsid w:val="004876DE"/>
    <w:rsid w:val="004879C9"/>
    <w:rsid w:val="00490376"/>
    <w:rsid w:val="00490652"/>
    <w:rsid w:val="00491416"/>
    <w:rsid w:val="004916D8"/>
    <w:rsid w:val="00491D4F"/>
    <w:rsid w:val="0049357A"/>
    <w:rsid w:val="00494147"/>
    <w:rsid w:val="0049506A"/>
    <w:rsid w:val="00497498"/>
    <w:rsid w:val="00497A78"/>
    <w:rsid w:val="00497B36"/>
    <w:rsid w:val="004A068B"/>
    <w:rsid w:val="004A3668"/>
    <w:rsid w:val="004A4CFD"/>
    <w:rsid w:val="004A6004"/>
    <w:rsid w:val="004A777C"/>
    <w:rsid w:val="004B0FA2"/>
    <w:rsid w:val="004B57A2"/>
    <w:rsid w:val="004B6092"/>
    <w:rsid w:val="004B6094"/>
    <w:rsid w:val="004C032C"/>
    <w:rsid w:val="004C07A2"/>
    <w:rsid w:val="004C2134"/>
    <w:rsid w:val="004C56AF"/>
    <w:rsid w:val="004C68A5"/>
    <w:rsid w:val="004C756D"/>
    <w:rsid w:val="004C7FEB"/>
    <w:rsid w:val="004D0991"/>
    <w:rsid w:val="004D2430"/>
    <w:rsid w:val="004D2E7F"/>
    <w:rsid w:val="004D5189"/>
    <w:rsid w:val="004E0886"/>
    <w:rsid w:val="004E2C2F"/>
    <w:rsid w:val="004E38B8"/>
    <w:rsid w:val="004E3BE1"/>
    <w:rsid w:val="004E405C"/>
    <w:rsid w:val="004E5A05"/>
    <w:rsid w:val="004F087D"/>
    <w:rsid w:val="004F0B91"/>
    <w:rsid w:val="004F33B9"/>
    <w:rsid w:val="004F3673"/>
    <w:rsid w:val="004F499F"/>
    <w:rsid w:val="004F4E9D"/>
    <w:rsid w:val="004F5298"/>
    <w:rsid w:val="004F5627"/>
    <w:rsid w:val="00501F7C"/>
    <w:rsid w:val="0050337B"/>
    <w:rsid w:val="00503F29"/>
    <w:rsid w:val="00505616"/>
    <w:rsid w:val="00505794"/>
    <w:rsid w:val="0051033F"/>
    <w:rsid w:val="005105CC"/>
    <w:rsid w:val="00510C47"/>
    <w:rsid w:val="005118CE"/>
    <w:rsid w:val="005121CE"/>
    <w:rsid w:val="00512698"/>
    <w:rsid w:val="00513009"/>
    <w:rsid w:val="00513A1E"/>
    <w:rsid w:val="00516C40"/>
    <w:rsid w:val="0052006C"/>
    <w:rsid w:val="00520C1B"/>
    <w:rsid w:val="0052205A"/>
    <w:rsid w:val="00522200"/>
    <w:rsid w:val="005222ED"/>
    <w:rsid w:val="00522759"/>
    <w:rsid w:val="00524467"/>
    <w:rsid w:val="005259FC"/>
    <w:rsid w:val="00525AF9"/>
    <w:rsid w:val="00525E70"/>
    <w:rsid w:val="00527F7C"/>
    <w:rsid w:val="00532835"/>
    <w:rsid w:val="00532A35"/>
    <w:rsid w:val="00532A4D"/>
    <w:rsid w:val="00532AB4"/>
    <w:rsid w:val="005344BC"/>
    <w:rsid w:val="0053509A"/>
    <w:rsid w:val="00535C68"/>
    <w:rsid w:val="005375D8"/>
    <w:rsid w:val="005376E5"/>
    <w:rsid w:val="005379F7"/>
    <w:rsid w:val="00543722"/>
    <w:rsid w:val="00544259"/>
    <w:rsid w:val="005445CB"/>
    <w:rsid w:val="00544E30"/>
    <w:rsid w:val="00545D17"/>
    <w:rsid w:val="005460E4"/>
    <w:rsid w:val="0055175E"/>
    <w:rsid w:val="005525B5"/>
    <w:rsid w:val="0055307A"/>
    <w:rsid w:val="0055412A"/>
    <w:rsid w:val="00556EB8"/>
    <w:rsid w:val="005573E8"/>
    <w:rsid w:val="0055741A"/>
    <w:rsid w:val="00557BEE"/>
    <w:rsid w:val="005612F2"/>
    <w:rsid w:val="00562882"/>
    <w:rsid w:val="005657C0"/>
    <w:rsid w:val="00565A55"/>
    <w:rsid w:val="005667F0"/>
    <w:rsid w:val="005669B6"/>
    <w:rsid w:val="00567143"/>
    <w:rsid w:val="00567985"/>
    <w:rsid w:val="00570923"/>
    <w:rsid w:val="00572C05"/>
    <w:rsid w:val="0057318D"/>
    <w:rsid w:val="005742BB"/>
    <w:rsid w:val="00576177"/>
    <w:rsid w:val="00577BF3"/>
    <w:rsid w:val="00582D72"/>
    <w:rsid w:val="00583DAE"/>
    <w:rsid w:val="005846C6"/>
    <w:rsid w:val="00587B71"/>
    <w:rsid w:val="00590F08"/>
    <w:rsid w:val="00592690"/>
    <w:rsid w:val="005966B9"/>
    <w:rsid w:val="0059686E"/>
    <w:rsid w:val="00597404"/>
    <w:rsid w:val="005A3C66"/>
    <w:rsid w:val="005A41F3"/>
    <w:rsid w:val="005A6300"/>
    <w:rsid w:val="005A6783"/>
    <w:rsid w:val="005A6E87"/>
    <w:rsid w:val="005A783C"/>
    <w:rsid w:val="005A7CA0"/>
    <w:rsid w:val="005A7EF4"/>
    <w:rsid w:val="005B241A"/>
    <w:rsid w:val="005B2DCE"/>
    <w:rsid w:val="005B415D"/>
    <w:rsid w:val="005B465C"/>
    <w:rsid w:val="005B49CF"/>
    <w:rsid w:val="005B4EDE"/>
    <w:rsid w:val="005B50A4"/>
    <w:rsid w:val="005C02F0"/>
    <w:rsid w:val="005C0A90"/>
    <w:rsid w:val="005C1059"/>
    <w:rsid w:val="005C2172"/>
    <w:rsid w:val="005C2654"/>
    <w:rsid w:val="005C4A4F"/>
    <w:rsid w:val="005C57BA"/>
    <w:rsid w:val="005D1302"/>
    <w:rsid w:val="005D24D1"/>
    <w:rsid w:val="005D2F38"/>
    <w:rsid w:val="005D3322"/>
    <w:rsid w:val="005D48D7"/>
    <w:rsid w:val="005D5A2D"/>
    <w:rsid w:val="005D6813"/>
    <w:rsid w:val="005E0F23"/>
    <w:rsid w:val="005E2984"/>
    <w:rsid w:val="005E2FB1"/>
    <w:rsid w:val="005E64F1"/>
    <w:rsid w:val="005E763E"/>
    <w:rsid w:val="005E7ACD"/>
    <w:rsid w:val="005F0D5D"/>
    <w:rsid w:val="005F3C2B"/>
    <w:rsid w:val="005F5CA3"/>
    <w:rsid w:val="00601144"/>
    <w:rsid w:val="0060186D"/>
    <w:rsid w:val="00606111"/>
    <w:rsid w:val="006067CC"/>
    <w:rsid w:val="00607636"/>
    <w:rsid w:val="00610B3E"/>
    <w:rsid w:val="00611790"/>
    <w:rsid w:val="00611C2C"/>
    <w:rsid w:val="006136E5"/>
    <w:rsid w:val="00613FD4"/>
    <w:rsid w:val="006143D1"/>
    <w:rsid w:val="0061505D"/>
    <w:rsid w:val="00621A61"/>
    <w:rsid w:val="006230ED"/>
    <w:rsid w:val="0062360B"/>
    <w:rsid w:val="00623727"/>
    <w:rsid w:val="0062479A"/>
    <w:rsid w:val="00625000"/>
    <w:rsid w:val="00625C35"/>
    <w:rsid w:val="006265A2"/>
    <w:rsid w:val="00627C22"/>
    <w:rsid w:val="006319A6"/>
    <w:rsid w:val="006328BE"/>
    <w:rsid w:val="00632C74"/>
    <w:rsid w:val="00633889"/>
    <w:rsid w:val="00633A41"/>
    <w:rsid w:val="00633B94"/>
    <w:rsid w:val="0063672B"/>
    <w:rsid w:val="0063683E"/>
    <w:rsid w:val="006402F6"/>
    <w:rsid w:val="00640B72"/>
    <w:rsid w:val="0064492A"/>
    <w:rsid w:val="00650C5C"/>
    <w:rsid w:val="00650FF2"/>
    <w:rsid w:val="00652361"/>
    <w:rsid w:val="00652920"/>
    <w:rsid w:val="006536F6"/>
    <w:rsid w:val="0065411B"/>
    <w:rsid w:val="00655015"/>
    <w:rsid w:val="0065504D"/>
    <w:rsid w:val="00655B36"/>
    <w:rsid w:val="00655C76"/>
    <w:rsid w:val="00660538"/>
    <w:rsid w:val="0066206D"/>
    <w:rsid w:val="0066524E"/>
    <w:rsid w:val="00665E5A"/>
    <w:rsid w:val="006714A0"/>
    <w:rsid w:val="006732F7"/>
    <w:rsid w:val="00675694"/>
    <w:rsid w:val="00680840"/>
    <w:rsid w:val="0068085A"/>
    <w:rsid w:val="006811EC"/>
    <w:rsid w:val="0068143A"/>
    <w:rsid w:val="006913F2"/>
    <w:rsid w:val="00691489"/>
    <w:rsid w:val="00691F49"/>
    <w:rsid w:val="00692E6E"/>
    <w:rsid w:val="00695377"/>
    <w:rsid w:val="00695D05"/>
    <w:rsid w:val="006966D5"/>
    <w:rsid w:val="0069742A"/>
    <w:rsid w:val="006A15BC"/>
    <w:rsid w:val="006A4ED2"/>
    <w:rsid w:val="006A5234"/>
    <w:rsid w:val="006A5765"/>
    <w:rsid w:val="006A6372"/>
    <w:rsid w:val="006A643E"/>
    <w:rsid w:val="006A6A65"/>
    <w:rsid w:val="006A7730"/>
    <w:rsid w:val="006B087A"/>
    <w:rsid w:val="006B0FB8"/>
    <w:rsid w:val="006B1BB1"/>
    <w:rsid w:val="006B2AA2"/>
    <w:rsid w:val="006B2C3B"/>
    <w:rsid w:val="006B4FA1"/>
    <w:rsid w:val="006B52DA"/>
    <w:rsid w:val="006B78D4"/>
    <w:rsid w:val="006C0B4A"/>
    <w:rsid w:val="006C150F"/>
    <w:rsid w:val="006C2B52"/>
    <w:rsid w:val="006C2FF9"/>
    <w:rsid w:val="006C34B4"/>
    <w:rsid w:val="006C4C44"/>
    <w:rsid w:val="006C4F53"/>
    <w:rsid w:val="006C6955"/>
    <w:rsid w:val="006D01B6"/>
    <w:rsid w:val="006D165A"/>
    <w:rsid w:val="006D329F"/>
    <w:rsid w:val="006D4E3C"/>
    <w:rsid w:val="006D62F5"/>
    <w:rsid w:val="006D6861"/>
    <w:rsid w:val="006D6E15"/>
    <w:rsid w:val="006D6E98"/>
    <w:rsid w:val="006E3839"/>
    <w:rsid w:val="006E48A5"/>
    <w:rsid w:val="006E4F72"/>
    <w:rsid w:val="006F15FE"/>
    <w:rsid w:val="006F230E"/>
    <w:rsid w:val="006F3C4A"/>
    <w:rsid w:val="006F42F5"/>
    <w:rsid w:val="006F45D4"/>
    <w:rsid w:val="006F4B93"/>
    <w:rsid w:val="007010A5"/>
    <w:rsid w:val="00702F58"/>
    <w:rsid w:val="00703393"/>
    <w:rsid w:val="0070449A"/>
    <w:rsid w:val="00705F10"/>
    <w:rsid w:val="00706B96"/>
    <w:rsid w:val="00706EE7"/>
    <w:rsid w:val="00707A71"/>
    <w:rsid w:val="00710B1D"/>
    <w:rsid w:val="0071239A"/>
    <w:rsid w:val="00712926"/>
    <w:rsid w:val="00713A0A"/>
    <w:rsid w:val="00714C14"/>
    <w:rsid w:val="007150D6"/>
    <w:rsid w:val="00715132"/>
    <w:rsid w:val="007153C6"/>
    <w:rsid w:val="00715ED0"/>
    <w:rsid w:val="0071718B"/>
    <w:rsid w:val="0072061C"/>
    <w:rsid w:val="00720F47"/>
    <w:rsid w:val="007266EF"/>
    <w:rsid w:val="0073039C"/>
    <w:rsid w:val="0073167E"/>
    <w:rsid w:val="00731DF6"/>
    <w:rsid w:val="00732ACF"/>
    <w:rsid w:val="00733E69"/>
    <w:rsid w:val="00734654"/>
    <w:rsid w:val="007361C7"/>
    <w:rsid w:val="0073747C"/>
    <w:rsid w:val="0073753C"/>
    <w:rsid w:val="007417A7"/>
    <w:rsid w:val="0074182E"/>
    <w:rsid w:val="00744F4E"/>
    <w:rsid w:val="0074684C"/>
    <w:rsid w:val="00746890"/>
    <w:rsid w:val="00750ABA"/>
    <w:rsid w:val="00751A6B"/>
    <w:rsid w:val="00753C18"/>
    <w:rsid w:val="00754628"/>
    <w:rsid w:val="00754A6A"/>
    <w:rsid w:val="007565B6"/>
    <w:rsid w:val="00757857"/>
    <w:rsid w:val="00760106"/>
    <w:rsid w:val="00761067"/>
    <w:rsid w:val="00762530"/>
    <w:rsid w:val="007646F9"/>
    <w:rsid w:val="007662FC"/>
    <w:rsid w:val="007678D5"/>
    <w:rsid w:val="00770227"/>
    <w:rsid w:val="00771A57"/>
    <w:rsid w:val="00771F56"/>
    <w:rsid w:val="00774017"/>
    <w:rsid w:val="007749C6"/>
    <w:rsid w:val="00774B9A"/>
    <w:rsid w:val="00774FD2"/>
    <w:rsid w:val="00775EEF"/>
    <w:rsid w:val="00780050"/>
    <w:rsid w:val="00781D9D"/>
    <w:rsid w:val="00782E70"/>
    <w:rsid w:val="007853C4"/>
    <w:rsid w:val="00786173"/>
    <w:rsid w:val="007863A8"/>
    <w:rsid w:val="007873A0"/>
    <w:rsid w:val="007912AB"/>
    <w:rsid w:val="0079493B"/>
    <w:rsid w:val="00794BA6"/>
    <w:rsid w:val="0079607F"/>
    <w:rsid w:val="00797444"/>
    <w:rsid w:val="007A0FD6"/>
    <w:rsid w:val="007A1AA3"/>
    <w:rsid w:val="007A1B5B"/>
    <w:rsid w:val="007A2195"/>
    <w:rsid w:val="007A3AAD"/>
    <w:rsid w:val="007A4D05"/>
    <w:rsid w:val="007A5D50"/>
    <w:rsid w:val="007A681F"/>
    <w:rsid w:val="007A6FB3"/>
    <w:rsid w:val="007B0756"/>
    <w:rsid w:val="007B0E41"/>
    <w:rsid w:val="007B13A9"/>
    <w:rsid w:val="007B3BD9"/>
    <w:rsid w:val="007B5093"/>
    <w:rsid w:val="007C333F"/>
    <w:rsid w:val="007C4A8D"/>
    <w:rsid w:val="007C6E22"/>
    <w:rsid w:val="007C736A"/>
    <w:rsid w:val="007D0633"/>
    <w:rsid w:val="007D1788"/>
    <w:rsid w:val="007D1791"/>
    <w:rsid w:val="007D4681"/>
    <w:rsid w:val="007D479D"/>
    <w:rsid w:val="007D612F"/>
    <w:rsid w:val="007E0E7F"/>
    <w:rsid w:val="007E14C8"/>
    <w:rsid w:val="007E3006"/>
    <w:rsid w:val="007E74A5"/>
    <w:rsid w:val="007F029C"/>
    <w:rsid w:val="007F065D"/>
    <w:rsid w:val="007F09C5"/>
    <w:rsid w:val="007F31B0"/>
    <w:rsid w:val="007F3F53"/>
    <w:rsid w:val="007F4178"/>
    <w:rsid w:val="007F4425"/>
    <w:rsid w:val="007F755B"/>
    <w:rsid w:val="008011C1"/>
    <w:rsid w:val="0080364D"/>
    <w:rsid w:val="0080487E"/>
    <w:rsid w:val="00806543"/>
    <w:rsid w:val="00806593"/>
    <w:rsid w:val="00806908"/>
    <w:rsid w:val="008078E6"/>
    <w:rsid w:val="0081012E"/>
    <w:rsid w:val="008108BB"/>
    <w:rsid w:val="00811A9D"/>
    <w:rsid w:val="008156CE"/>
    <w:rsid w:val="00816917"/>
    <w:rsid w:val="00817490"/>
    <w:rsid w:val="00817D11"/>
    <w:rsid w:val="00820A41"/>
    <w:rsid w:val="00820EFD"/>
    <w:rsid w:val="0082352A"/>
    <w:rsid w:val="00825EFA"/>
    <w:rsid w:val="008260E3"/>
    <w:rsid w:val="00826C7D"/>
    <w:rsid w:val="00831116"/>
    <w:rsid w:val="00831447"/>
    <w:rsid w:val="00832361"/>
    <w:rsid w:val="00834280"/>
    <w:rsid w:val="00837555"/>
    <w:rsid w:val="008375F9"/>
    <w:rsid w:val="00837F2C"/>
    <w:rsid w:val="00840352"/>
    <w:rsid w:val="00841DEE"/>
    <w:rsid w:val="00842B97"/>
    <w:rsid w:val="00847D43"/>
    <w:rsid w:val="0085195F"/>
    <w:rsid w:val="00853BFA"/>
    <w:rsid w:val="0085400E"/>
    <w:rsid w:val="00854D18"/>
    <w:rsid w:val="00857CBB"/>
    <w:rsid w:val="00860DED"/>
    <w:rsid w:val="0086317D"/>
    <w:rsid w:val="008659BC"/>
    <w:rsid w:val="00872847"/>
    <w:rsid w:val="00872C0E"/>
    <w:rsid w:val="008733C4"/>
    <w:rsid w:val="00873F97"/>
    <w:rsid w:val="00875209"/>
    <w:rsid w:val="0087661D"/>
    <w:rsid w:val="00881C3D"/>
    <w:rsid w:val="008821CE"/>
    <w:rsid w:val="0088231B"/>
    <w:rsid w:val="00884892"/>
    <w:rsid w:val="00884F29"/>
    <w:rsid w:val="00887EFA"/>
    <w:rsid w:val="00890D9A"/>
    <w:rsid w:val="008911F2"/>
    <w:rsid w:val="00891A91"/>
    <w:rsid w:val="008925C0"/>
    <w:rsid w:val="00892CC4"/>
    <w:rsid w:val="008936AF"/>
    <w:rsid w:val="00893E95"/>
    <w:rsid w:val="00893ED8"/>
    <w:rsid w:val="008A12BD"/>
    <w:rsid w:val="008A2854"/>
    <w:rsid w:val="008A292F"/>
    <w:rsid w:val="008A39D4"/>
    <w:rsid w:val="008A3EEA"/>
    <w:rsid w:val="008A506F"/>
    <w:rsid w:val="008A5CBA"/>
    <w:rsid w:val="008A62A0"/>
    <w:rsid w:val="008A6477"/>
    <w:rsid w:val="008A65CE"/>
    <w:rsid w:val="008A7754"/>
    <w:rsid w:val="008A7F7E"/>
    <w:rsid w:val="008B0D58"/>
    <w:rsid w:val="008B0FA1"/>
    <w:rsid w:val="008B19B3"/>
    <w:rsid w:val="008B2925"/>
    <w:rsid w:val="008B45DF"/>
    <w:rsid w:val="008B638A"/>
    <w:rsid w:val="008B7220"/>
    <w:rsid w:val="008C0386"/>
    <w:rsid w:val="008C1349"/>
    <w:rsid w:val="008C14E9"/>
    <w:rsid w:val="008C16E5"/>
    <w:rsid w:val="008C1FD5"/>
    <w:rsid w:val="008C3629"/>
    <w:rsid w:val="008C367B"/>
    <w:rsid w:val="008C44E8"/>
    <w:rsid w:val="008C4D14"/>
    <w:rsid w:val="008C5EDB"/>
    <w:rsid w:val="008C6A22"/>
    <w:rsid w:val="008C6F76"/>
    <w:rsid w:val="008C709F"/>
    <w:rsid w:val="008C77A3"/>
    <w:rsid w:val="008D105E"/>
    <w:rsid w:val="008D1FEA"/>
    <w:rsid w:val="008D31E2"/>
    <w:rsid w:val="008D65E0"/>
    <w:rsid w:val="008E226E"/>
    <w:rsid w:val="008E24FD"/>
    <w:rsid w:val="008E312D"/>
    <w:rsid w:val="008E5F0C"/>
    <w:rsid w:val="008E5F0F"/>
    <w:rsid w:val="008E7BA2"/>
    <w:rsid w:val="008F1F32"/>
    <w:rsid w:val="008F452A"/>
    <w:rsid w:val="008F5116"/>
    <w:rsid w:val="008F7BD0"/>
    <w:rsid w:val="00901599"/>
    <w:rsid w:val="00901C11"/>
    <w:rsid w:val="00902E20"/>
    <w:rsid w:val="00903F3A"/>
    <w:rsid w:val="00904885"/>
    <w:rsid w:val="00904E64"/>
    <w:rsid w:val="00905610"/>
    <w:rsid w:val="00905F83"/>
    <w:rsid w:val="009078F3"/>
    <w:rsid w:val="0091581E"/>
    <w:rsid w:val="009177D9"/>
    <w:rsid w:val="00920C21"/>
    <w:rsid w:val="0092120F"/>
    <w:rsid w:val="009214A0"/>
    <w:rsid w:val="0092163E"/>
    <w:rsid w:val="00922BBD"/>
    <w:rsid w:val="0092543B"/>
    <w:rsid w:val="00926616"/>
    <w:rsid w:val="009301F4"/>
    <w:rsid w:val="00934900"/>
    <w:rsid w:val="0093640A"/>
    <w:rsid w:val="00945B83"/>
    <w:rsid w:val="009460E6"/>
    <w:rsid w:val="00946E31"/>
    <w:rsid w:val="00947668"/>
    <w:rsid w:val="009476DF"/>
    <w:rsid w:val="00947F46"/>
    <w:rsid w:val="00950A12"/>
    <w:rsid w:val="00952E06"/>
    <w:rsid w:val="0095303B"/>
    <w:rsid w:val="00954AB4"/>
    <w:rsid w:val="00954C16"/>
    <w:rsid w:val="00954F6D"/>
    <w:rsid w:val="00955E7F"/>
    <w:rsid w:val="00956893"/>
    <w:rsid w:val="009575E5"/>
    <w:rsid w:val="00962F7C"/>
    <w:rsid w:val="009644A5"/>
    <w:rsid w:val="00964CF7"/>
    <w:rsid w:val="00965200"/>
    <w:rsid w:val="0096698B"/>
    <w:rsid w:val="00967849"/>
    <w:rsid w:val="00970945"/>
    <w:rsid w:val="00971804"/>
    <w:rsid w:val="00971A15"/>
    <w:rsid w:val="0097273D"/>
    <w:rsid w:val="00973118"/>
    <w:rsid w:val="00973AA4"/>
    <w:rsid w:val="009750E7"/>
    <w:rsid w:val="00975614"/>
    <w:rsid w:val="00975980"/>
    <w:rsid w:val="0097746D"/>
    <w:rsid w:val="00977B04"/>
    <w:rsid w:val="00980DF1"/>
    <w:rsid w:val="009833A5"/>
    <w:rsid w:val="00984771"/>
    <w:rsid w:val="009913B9"/>
    <w:rsid w:val="0099194F"/>
    <w:rsid w:val="00991D64"/>
    <w:rsid w:val="00992FFE"/>
    <w:rsid w:val="00993B5E"/>
    <w:rsid w:val="009942C0"/>
    <w:rsid w:val="00994323"/>
    <w:rsid w:val="009947A2"/>
    <w:rsid w:val="00995030"/>
    <w:rsid w:val="009A03FF"/>
    <w:rsid w:val="009A0592"/>
    <w:rsid w:val="009A0774"/>
    <w:rsid w:val="009A41A1"/>
    <w:rsid w:val="009A76CA"/>
    <w:rsid w:val="009A7A05"/>
    <w:rsid w:val="009B1D65"/>
    <w:rsid w:val="009B2030"/>
    <w:rsid w:val="009B218C"/>
    <w:rsid w:val="009B394A"/>
    <w:rsid w:val="009B559C"/>
    <w:rsid w:val="009C039A"/>
    <w:rsid w:val="009C2E05"/>
    <w:rsid w:val="009C39B2"/>
    <w:rsid w:val="009C4E67"/>
    <w:rsid w:val="009D0AAE"/>
    <w:rsid w:val="009D465B"/>
    <w:rsid w:val="009D5107"/>
    <w:rsid w:val="009D5276"/>
    <w:rsid w:val="009D56EB"/>
    <w:rsid w:val="009D6A68"/>
    <w:rsid w:val="009D7832"/>
    <w:rsid w:val="009D7FC1"/>
    <w:rsid w:val="009E06DC"/>
    <w:rsid w:val="009E5131"/>
    <w:rsid w:val="009E7102"/>
    <w:rsid w:val="009F0E4B"/>
    <w:rsid w:val="009F1292"/>
    <w:rsid w:val="009F1463"/>
    <w:rsid w:val="009F2144"/>
    <w:rsid w:val="009F3755"/>
    <w:rsid w:val="009F3AD4"/>
    <w:rsid w:val="009F5813"/>
    <w:rsid w:val="009F6B1A"/>
    <w:rsid w:val="009F6C1B"/>
    <w:rsid w:val="009F7218"/>
    <w:rsid w:val="00A00451"/>
    <w:rsid w:val="00A01736"/>
    <w:rsid w:val="00A02678"/>
    <w:rsid w:val="00A039EF"/>
    <w:rsid w:val="00A03CE4"/>
    <w:rsid w:val="00A052AB"/>
    <w:rsid w:val="00A07BB7"/>
    <w:rsid w:val="00A07F18"/>
    <w:rsid w:val="00A1279B"/>
    <w:rsid w:val="00A13375"/>
    <w:rsid w:val="00A1394A"/>
    <w:rsid w:val="00A141AD"/>
    <w:rsid w:val="00A14B8B"/>
    <w:rsid w:val="00A15BBB"/>
    <w:rsid w:val="00A209ED"/>
    <w:rsid w:val="00A215E8"/>
    <w:rsid w:val="00A242F4"/>
    <w:rsid w:val="00A25F7B"/>
    <w:rsid w:val="00A31C0E"/>
    <w:rsid w:val="00A31DC2"/>
    <w:rsid w:val="00A32E72"/>
    <w:rsid w:val="00A33252"/>
    <w:rsid w:val="00A3370B"/>
    <w:rsid w:val="00A367A4"/>
    <w:rsid w:val="00A4010B"/>
    <w:rsid w:val="00A40A78"/>
    <w:rsid w:val="00A429ED"/>
    <w:rsid w:val="00A42BE3"/>
    <w:rsid w:val="00A42DE9"/>
    <w:rsid w:val="00A439D4"/>
    <w:rsid w:val="00A441A9"/>
    <w:rsid w:val="00A4426E"/>
    <w:rsid w:val="00A456F8"/>
    <w:rsid w:val="00A4634C"/>
    <w:rsid w:val="00A47BF0"/>
    <w:rsid w:val="00A50ECD"/>
    <w:rsid w:val="00A51329"/>
    <w:rsid w:val="00A53818"/>
    <w:rsid w:val="00A54E99"/>
    <w:rsid w:val="00A565AB"/>
    <w:rsid w:val="00A600B8"/>
    <w:rsid w:val="00A62AEC"/>
    <w:rsid w:val="00A643FB"/>
    <w:rsid w:val="00A651DA"/>
    <w:rsid w:val="00A6586B"/>
    <w:rsid w:val="00A66227"/>
    <w:rsid w:val="00A671AC"/>
    <w:rsid w:val="00A6740A"/>
    <w:rsid w:val="00A70D2D"/>
    <w:rsid w:val="00A73CC7"/>
    <w:rsid w:val="00A7414B"/>
    <w:rsid w:val="00A74A54"/>
    <w:rsid w:val="00A75E3D"/>
    <w:rsid w:val="00A773E7"/>
    <w:rsid w:val="00A773E8"/>
    <w:rsid w:val="00A77F24"/>
    <w:rsid w:val="00A80065"/>
    <w:rsid w:val="00A824C6"/>
    <w:rsid w:val="00A82A58"/>
    <w:rsid w:val="00A84280"/>
    <w:rsid w:val="00A8432B"/>
    <w:rsid w:val="00A84FA0"/>
    <w:rsid w:val="00A86B5D"/>
    <w:rsid w:val="00A87341"/>
    <w:rsid w:val="00A8759C"/>
    <w:rsid w:val="00A90943"/>
    <w:rsid w:val="00A90FBB"/>
    <w:rsid w:val="00A91A7D"/>
    <w:rsid w:val="00A91BDF"/>
    <w:rsid w:val="00A91FC2"/>
    <w:rsid w:val="00A95C89"/>
    <w:rsid w:val="00AA0068"/>
    <w:rsid w:val="00AA031B"/>
    <w:rsid w:val="00AA3927"/>
    <w:rsid w:val="00AA4305"/>
    <w:rsid w:val="00AA4E03"/>
    <w:rsid w:val="00AA6DDC"/>
    <w:rsid w:val="00AB07D0"/>
    <w:rsid w:val="00AB275B"/>
    <w:rsid w:val="00AB340F"/>
    <w:rsid w:val="00AB500F"/>
    <w:rsid w:val="00AB5878"/>
    <w:rsid w:val="00AB5B96"/>
    <w:rsid w:val="00AB5C73"/>
    <w:rsid w:val="00AC0CAD"/>
    <w:rsid w:val="00AC100D"/>
    <w:rsid w:val="00AC40CD"/>
    <w:rsid w:val="00AC54D0"/>
    <w:rsid w:val="00AC5A4F"/>
    <w:rsid w:val="00AC668F"/>
    <w:rsid w:val="00AD051D"/>
    <w:rsid w:val="00AD55A8"/>
    <w:rsid w:val="00AD630B"/>
    <w:rsid w:val="00AD788D"/>
    <w:rsid w:val="00AE01D4"/>
    <w:rsid w:val="00AE3E48"/>
    <w:rsid w:val="00AE4A5E"/>
    <w:rsid w:val="00AE53D9"/>
    <w:rsid w:val="00AE554D"/>
    <w:rsid w:val="00AE5A5E"/>
    <w:rsid w:val="00AE6BCB"/>
    <w:rsid w:val="00AE7905"/>
    <w:rsid w:val="00AF1B85"/>
    <w:rsid w:val="00AF26E4"/>
    <w:rsid w:val="00AF2B28"/>
    <w:rsid w:val="00AF31E3"/>
    <w:rsid w:val="00AF3284"/>
    <w:rsid w:val="00AF3B0C"/>
    <w:rsid w:val="00AF4525"/>
    <w:rsid w:val="00AF52DF"/>
    <w:rsid w:val="00B00B09"/>
    <w:rsid w:val="00B00D2F"/>
    <w:rsid w:val="00B01298"/>
    <w:rsid w:val="00B0267D"/>
    <w:rsid w:val="00B055A7"/>
    <w:rsid w:val="00B07DB1"/>
    <w:rsid w:val="00B106FD"/>
    <w:rsid w:val="00B112D3"/>
    <w:rsid w:val="00B13B09"/>
    <w:rsid w:val="00B16528"/>
    <w:rsid w:val="00B21D80"/>
    <w:rsid w:val="00B25808"/>
    <w:rsid w:val="00B31268"/>
    <w:rsid w:val="00B3630C"/>
    <w:rsid w:val="00B373DA"/>
    <w:rsid w:val="00B40496"/>
    <w:rsid w:val="00B409EB"/>
    <w:rsid w:val="00B46667"/>
    <w:rsid w:val="00B47541"/>
    <w:rsid w:val="00B52981"/>
    <w:rsid w:val="00B531F0"/>
    <w:rsid w:val="00B537D2"/>
    <w:rsid w:val="00B570F4"/>
    <w:rsid w:val="00B57207"/>
    <w:rsid w:val="00B5785D"/>
    <w:rsid w:val="00B61451"/>
    <w:rsid w:val="00B626E8"/>
    <w:rsid w:val="00B65E48"/>
    <w:rsid w:val="00B6618B"/>
    <w:rsid w:val="00B66535"/>
    <w:rsid w:val="00B7443A"/>
    <w:rsid w:val="00B76CDF"/>
    <w:rsid w:val="00B76F15"/>
    <w:rsid w:val="00B76F63"/>
    <w:rsid w:val="00B80263"/>
    <w:rsid w:val="00B80468"/>
    <w:rsid w:val="00B82CA8"/>
    <w:rsid w:val="00B8319F"/>
    <w:rsid w:val="00B840CB"/>
    <w:rsid w:val="00B85DE6"/>
    <w:rsid w:val="00B902DC"/>
    <w:rsid w:val="00B929D3"/>
    <w:rsid w:val="00B93751"/>
    <w:rsid w:val="00B93CC7"/>
    <w:rsid w:val="00B93F00"/>
    <w:rsid w:val="00B94D01"/>
    <w:rsid w:val="00B9531C"/>
    <w:rsid w:val="00B95431"/>
    <w:rsid w:val="00B97E9B"/>
    <w:rsid w:val="00BA146A"/>
    <w:rsid w:val="00BA302B"/>
    <w:rsid w:val="00BA3102"/>
    <w:rsid w:val="00BA515F"/>
    <w:rsid w:val="00BB26E8"/>
    <w:rsid w:val="00BB3239"/>
    <w:rsid w:val="00BB41AC"/>
    <w:rsid w:val="00BB560C"/>
    <w:rsid w:val="00BB5D0E"/>
    <w:rsid w:val="00BB7A07"/>
    <w:rsid w:val="00BC164E"/>
    <w:rsid w:val="00BC1E6E"/>
    <w:rsid w:val="00BD1639"/>
    <w:rsid w:val="00BD1EBC"/>
    <w:rsid w:val="00BD2810"/>
    <w:rsid w:val="00BD37E7"/>
    <w:rsid w:val="00BD3984"/>
    <w:rsid w:val="00BD3A88"/>
    <w:rsid w:val="00BD4866"/>
    <w:rsid w:val="00BD6BF1"/>
    <w:rsid w:val="00BE15E1"/>
    <w:rsid w:val="00BE21FF"/>
    <w:rsid w:val="00BE38BD"/>
    <w:rsid w:val="00BE6500"/>
    <w:rsid w:val="00BE69C0"/>
    <w:rsid w:val="00BE703B"/>
    <w:rsid w:val="00BF0C58"/>
    <w:rsid w:val="00BF17CF"/>
    <w:rsid w:val="00BF2417"/>
    <w:rsid w:val="00BF4A2A"/>
    <w:rsid w:val="00BF5D49"/>
    <w:rsid w:val="00BF64CF"/>
    <w:rsid w:val="00BF6D74"/>
    <w:rsid w:val="00BF7FD1"/>
    <w:rsid w:val="00C014DD"/>
    <w:rsid w:val="00C01E7B"/>
    <w:rsid w:val="00C0334C"/>
    <w:rsid w:val="00C06462"/>
    <w:rsid w:val="00C07884"/>
    <w:rsid w:val="00C10183"/>
    <w:rsid w:val="00C10701"/>
    <w:rsid w:val="00C12002"/>
    <w:rsid w:val="00C150FB"/>
    <w:rsid w:val="00C1534B"/>
    <w:rsid w:val="00C1567E"/>
    <w:rsid w:val="00C1636F"/>
    <w:rsid w:val="00C213FD"/>
    <w:rsid w:val="00C21EF7"/>
    <w:rsid w:val="00C254CB"/>
    <w:rsid w:val="00C260AC"/>
    <w:rsid w:val="00C3198A"/>
    <w:rsid w:val="00C32089"/>
    <w:rsid w:val="00C3290D"/>
    <w:rsid w:val="00C32F5C"/>
    <w:rsid w:val="00C33159"/>
    <w:rsid w:val="00C34686"/>
    <w:rsid w:val="00C37EE6"/>
    <w:rsid w:val="00C40215"/>
    <w:rsid w:val="00C428C8"/>
    <w:rsid w:val="00C42D1E"/>
    <w:rsid w:val="00C43372"/>
    <w:rsid w:val="00C45996"/>
    <w:rsid w:val="00C4775F"/>
    <w:rsid w:val="00C50849"/>
    <w:rsid w:val="00C5156B"/>
    <w:rsid w:val="00C53285"/>
    <w:rsid w:val="00C612E0"/>
    <w:rsid w:val="00C61F13"/>
    <w:rsid w:val="00C6659F"/>
    <w:rsid w:val="00C67C89"/>
    <w:rsid w:val="00C72225"/>
    <w:rsid w:val="00C72535"/>
    <w:rsid w:val="00C73BBF"/>
    <w:rsid w:val="00C73F4E"/>
    <w:rsid w:val="00C75484"/>
    <w:rsid w:val="00C76E27"/>
    <w:rsid w:val="00C77DBE"/>
    <w:rsid w:val="00C80358"/>
    <w:rsid w:val="00C8102C"/>
    <w:rsid w:val="00C82C50"/>
    <w:rsid w:val="00C83F74"/>
    <w:rsid w:val="00C85278"/>
    <w:rsid w:val="00C855DA"/>
    <w:rsid w:val="00C875B8"/>
    <w:rsid w:val="00C909CF"/>
    <w:rsid w:val="00C91236"/>
    <w:rsid w:val="00C91D7B"/>
    <w:rsid w:val="00C92FB3"/>
    <w:rsid w:val="00C9419C"/>
    <w:rsid w:val="00C9540E"/>
    <w:rsid w:val="00C955D7"/>
    <w:rsid w:val="00C967B2"/>
    <w:rsid w:val="00C97355"/>
    <w:rsid w:val="00CA237D"/>
    <w:rsid w:val="00CA3E09"/>
    <w:rsid w:val="00CA413B"/>
    <w:rsid w:val="00CB0B9A"/>
    <w:rsid w:val="00CB0E8D"/>
    <w:rsid w:val="00CB1DD8"/>
    <w:rsid w:val="00CB21A5"/>
    <w:rsid w:val="00CB44B3"/>
    <w:rsid w:val="00CB4AFF"/>
    <w:rsid w:val="00CB4C5B"/>
    <w:rsid w:val="00CB678E"/>
    <w:rsid w:val="00CC023E"/>
    <w:rsid w:val="00CC33C7"/>
    <w:rsid w:val="00CC5405"/>
    <w:rsid w:val="00CD6E84"/>
    <w:rsid w:val="00CE27A0"/>
    <w:rsid w:val="00CE3480"/>
    <w:rsid w:val="00CE3865"/>
    <w:rsid w:val="00CE3D24"/>
    <w:rsid w:val="00CE630E"/>
    <w:rsid w:val="00CF0BE4"/>
    <w:rsid w:val="00CF3271"/>
    <w:rsid w:val="00CF492B"/>
    <w:rsid w:val="00CF51C1"/>
    <w:rsid w:val="00CF6197"/>
    <w:rsid w:val="00CF6F32"/>
    <w:rsid w:val="00CF7514"/>
    <w:rsid w:val="00CF765A"/>
    <w:rsid w:val="00D0443C"/>
    <w:rsid w:val="00D0559B"/>
    <w:rsid w:val="00D062E8"/>
    <w:rsid w:val="00D0646E"/>
    <w:rsid w:val="00D11573"/>
    <w:rsid w:val="00D11652"/>
    <w:rsid w:val="00D123C5"/>
    <w:rsid w:val="00D12BA7"/>
    <w:rsid w:val="00D1577F"/>
    <w:rsid w:val="00D158E8"/>
    <w:rsid w:val="00D15ECF"/>
    <w:rsid w:val="00D17ED6"/>
    <w:rsid w:val="00D2009B"/>
    <w:rsid w:val="00D20DA8"/>
    <w:rsid w:val="00D22413"/>
    <w:rsid w:val="00D2285B"/>
    <w:rsid w:val="00D22DAF"/>
    <w:rsid w:val="00D23A49"/>
    <w:rsid w:val="00D24FDA"/>
    <w:rsid w:val="00D313FE"/>
    <w:rsid w:val="00D346CD"/>
    <w:rsid w:val="00D34F27"/>
    <w:rsid w:val="00D35B7B"/>
    <w:rsid w:val="00D36B92"/>
    <w:rsid w:val="00D421CA"/>
    <w:rsid w:val="00D47274"/>
    <w:rsid w:val="00D50569"/>
    <w:rsid w:val="00D522F5"/>
    <w:rsid w:val="00D5397C"/>
    <w:rsid w:val="00D53E7D"/>
    <w:rsid w:val="00D5661B"/>
    <w:rsid w:val="00D57BB0"/>
    <w:rsid w:val="00D60112"/>
    <w:rsid w:val="00D6227C"/>
    <w:rsid w:val="00D629A8"/>
    <w:rsid w:val="00D6565D"/>
    <w:rsid w:val="00D679DF"/>
    <w:rsid w:val="00D73DEE"/>
    <w:rsid w:val="00D74138"/>
    <w:rsid w:val="00D75AAB"/>
    <w:rsid w:val="00D76352"/>
    <w:rsid w:val="00D779C8"/>
    <w:rsid w:val="00D80537"/>
    <w:rsid w:val="00D807AA"/>
    <w:rsid w:val="00D81158"/>
    <w:rsid w:val="00D8135D"/>
    <w:rsid w:val="00D831C8"/>
    <w:rsid w:val="00D8476F"/>
    <w:rsid w:val="00D851B3"/>
    <w:rsid w:val="00D857EA"/>
    <w:rsid w:val="00D8622E"/>
    <w:rsid w:val="00D86CE8"/>
    <w:rsid w:val="00D87295"/>
    <w:rsid w:val="00D90656"/>
    <w:rsid w:val="00D90A05"/>
    <w:rsid w:val="00D92346"/>
    <w:rsid w:val="00D9263B"/>
    <w:rsid w:val="00D942CB"/>
    <w:rsid w:val="00D94331"/>
    <w:rsid w:val="00D95268"/>
    <w:rsid w:val="00D957D1"/>
    <w:rsid w:val="00DA0915"/>
    <w:rsid w:val="00DA2B3C"/>
    <w:rsid w:val="00DA4433"/>
    <w:rsid w:val="00DA44DE"/>
    <w:rsid w:val="00DA58D4"/>
    <w:rsid w:val="00DA62D3"/>
    <w:rsid w:val="00DB1A69"/>
    <w:rsid w:val="00DB387F"/>
    <w:rsid w:val="00DB51D1"/>
    <w:rsid w:val="00DB5524"/>
    <w:rsid w:val="00DB5ABC"/>
    <w:rsid w:val="00DB6D56"/>
    <w:rsid w:val="00DB79DB"/>
    <w:rsid w:val="00DC277D"/>
    <w:rsid w:val="00DC4217"/>
    <w:rsid w:val="00DC58CF"/>
    <w:rsid w:val="00DC5C8A"/>
    <w:rsid w:val="00DC6181"/>
    <w:rsid w:val="00DC6C69"/>
    <w:rsid w:val="00DD1350"/>
    <w:rsid w:val="00DD2D77"/>
    <w:rsid w:val="00DD37C8"/>
    <w:rsid w:val="00DD50E8"/>
    <w:rsid w:val="00DD59C7"/>
    <w:rsid w:val="00DD6677"/>
    <w:rsid w:val="00DD6E7F"/>
    <w:rsid w:val="00DE07EC"/>
    <w:rsid w:val="00DE1071"/>
    <w:rsid w:val="00DE296B"/>
    <w:rsid w:val="00DE3BA7"/>
    <w:rsid w:val="00DE523B"/>
    <w:rsid w:val="00DE73E0"/>
    <w:rsid w:val="00DE7F30"/>
    <w:rsid w:val="00DF0E4C"/>
    <w:rsid w:val="00DF18AE"/>
    <w:rsid w:val="00DF31C1"/>
    <w:rsid w:val="00DF3E8D"/>
    <w:rsid w:val="00DF4D7E"/>
    <w:rsid w:val="00DF6FE8"/>
    <w:rsid w:val="00DF716E"/>
    <w:rsid w:val="00E00D62"/>
    <w:rsid w:val="00E00EB7"/>
    <w:rsid w:val="00E0230B"/>
    <w:rsid w:val="00E03623"/>
    <w:rsid w:val="00E03E72"/>
    <w:rsid w:val="00E06B70"/>
    <w:rsid w:val="00E07D89"/>
    <w:rsid w:val="00E121C9"/>
    <w:rsid w:val="00E12B80"/>
    <w:rsid w:val="00E13394"/>
    <w:rsid w:val="00E1415E"/>
    <w:rsid w:val="00E14CD6"/>
    <w:rsid w:val="00E16BB9"/>
    <w:rsid w:val="00E174F6"/>
    <w:rsid w:val="00E1760F"/>
    <w:rsid w:val="00E17947"/>
    <w:rsid w:val="00E17B97"/>
    <w:rsid w:val="00E20348"/>
    <w:rsid w:val="00E2480D"/>
    <w:rsid w:val="00E2493B"/>
    <w:rsid w:val="00E24D70"/>
    <w:rsid w:val="00E25746"/>
    <w:rsid w:val="00E25FFD"/>
    <w:rsid w:val="00E312AC"/>
    <w:rsid w:val="00E3333E"/>
    <w:rsid w:val="00E35CCB"/>
    <w:rsid w:val="00E423F9"/>
    <w:rsid w:val="00E42B9E"/>
    <w:rsid w:val="00E43705"/>
    <w:rsid w:val="00E44CB6"/>
    <w:rsid w:val="00E45194"/>
    <w:rsid w:val="00E45797"/>
    <w:rsid w:val="00E45FAF"/>
    <w:rsid w:val="00E46CE8"/>
    <w:rsid w:val="00E46E48"/>
    <w:rsid w:val="00E47195"/>
    <w:rsid w:val="00E47B60"/>
    <w:rsid w:val="00E506B7"/>
    <w:rsid w:val="00E51406"/>
    <w:rsid w:val="00E5248B"/>
    <w:rsid w:val="00E540F3"/>
    <w:rsid w:val="00E645CF"/>
    <w:rsid w:val="00E6795D"/>
    <w:rsid w:val="00E70FDE"/>
    <w:rsid w:val="00E71BA9"/>
    <w:rsid w:val="00E7362D"/>
    <w:rsid w:val="00E73A6F"/>
    <w:rsid w:val="00E75444"/>
    <w:rsid w:val="00E75F84"/>
    <w:rsid w:val="00E77162"/>
    <w:rsid w:val="00E8137E"/>
    <w:rsid w:val="00E8448A"/>
    <w:rsid w:val="00E84585"/>
    <w:rsid w:val="00E86F11"/>
    <w:rsid w:val="00E8786C"/>
    <w:rsid w:val="00E90191"/>
    <w:rsid w:val="00E9345C"/>
    <w:rsid w:val="00E957D1"/>
    <w:rsid w:val="00E957F7"/>
    <w:rsid w:val="00E95D98"/>
    <w:rsid w:val="00E96706"/>
    <w:rsid w:val="00E970FD"/>
    <w:rsid w:val="00E97F44"/>
    <w:rsid w:val="00EA0A9A"/>
    <w:rsid w:val="00EA13B1"/>
    <w:rsid w:val="00EA23D3"/>
    <w:rsid w:val="00EA3E54"/>
    <w:rsid w:val="00EA5C67"/>
    <w:rsid w:val="00EA61B0"/>
    <w:rsid w:val="00EB1478"/>
    <w:rsid w:val="00EB1AB1"/>
    <w:rsid w:val="00EB3CA9"/>
    <w:rsid w:val="00EB644E"/>
    <w:rsid w:val="00EB7894"/>
    <w:rsid w:val="00EC02B7"/>
    <w:rsid w:val="00EC0390"/>
    <w:rsid w:val="00EC0915"/>
    <w:rsid w:val="00EC176F"/>
    <w:rsid w:val="00EC2DFA"/>
    <w:rsid w:val="00EC67EB"/>
    <w:rsid w:val="00ED0C3F"/>
    <w:rsid w:val="00ED12D0"/>
    <w:rsid w:val="00ED18E7"/>
    <w:rsid w:val="00ED3798"/>
    <w:rsid w:val="00ED37F0"/>
    <w:rsid w:val="00ED3A14"/>
    <w:rsid w:val="00ED4626"/>
    <w:rsid w:val="00ED5442"/>
    <w:rsid w:val="00ED58C4"/>
    <w:rsid w:val="00ED656C"/>
    <w:rsid w:val="00ED66F7"/>
    <w:rsid w:val="00ED678E"/>
    <w:rsid w:val="00ED7569"/>
    <w:rsid w:val="00ED7CFF"/>
    <w:rsid w:val="00ED7DB1"/>
    <w:rsid w:val="00EE18DA"/>
    <w:rsid w:val="00EE2091"/>
    <w:rsid w:val="00EE24D3"/>
    <w:rsid w:val="00EE39B7"/>
    <w:rsid w:val="00EF0E4C"/>
    <w:rsid w:val="00EF2DF9"/>
    <w:rsid w:val="00EF3450"/>
    <w:rsid w:val="00EF353A"/>
    <w:rsid w:val="00EF6691"/>
    <w:rsid w:val="00EF6CA0"/>
    <w:rsid w:val="00F020BC"/>
    <w:rsid w:val="00F0246D"/>
    <w:rsid w:val="00F029DF"/>
    <w:rsid w:val="00F02B75"/>
    <w:rsid w:val="00F046A7"/>
    <w:rsid w:val="00F0475D"/>
    <w:rsid w:val="00F07C1E"/>
    <w:rsid w:val="00F10C76"/>
    <w:rsid w:val="00F12430"/>
    <w:rsid w:val="00F1350C"/>
    <w:rsid w:val="00F14731"/>
    <w:rsid w:val="00F15875"/>
    <w:rsid w:val="00F16390"/>
    <w:rsid w:val="00F168A6"/>
    <w:rsid w:val="00F17F69"/>
    <w:rsid w:val="00F20AD6"/>
    <w:rsid w:val="00F23FBE"/>
    <w:rsid w:val="00F26D15"/>
    <w:rsid w:val="00F271F5"/>
    <w:rsid w:val="00F27821"/>
    <w:rsid w:val="00F27C8F"/>
    <w:rsid w:val="00F27E27"/>
    <w:rsid w:val="00F27F58"/>
    <w:rsid w:val="00F32CA0"/>
    <w:rsid w:val="00F32D0E"/>
    <w:rsid w:val="00F351E6"/>
    <w:rsid w:val="00F36122"/>
    <w:rsid w:val="00F36F4E"/>
    <w:rsid w:val="00F37840"/>
    <w:rsid w:val="00F42E41"/>
    <w:rsid w:val="00F445C7"/>
    <w:rsid w:val="00F455A2"/>
    <w:rsid w:val="00F47A0C"/>
    <w:rsid w:val="00F50BF1"/>
    <w:rsid w:val="00F52A89"/>
    <w:rsid w:val="00F5310E"/>
    <w:rsid w:val="00F543F3"/>
    <w:rsid w:val="00F55F48"/>
    <w:rsid w:val="00F63326"/>
    <w:rsid w:val="00F65B0D"/>
    <w:rsid w:val="00F6666F"/>
    <w:rsid w:val="00F66C28"/>
    <w:rsid w:val="00F67156"/>
    <w:rsid w:val="00F71104"/>
    <w:rsid w:val="00F74218"/>
    <w:rsid w:val="00F75C84"/>
    <w:rsid w:val="00F7628B"/>
    <w:rsid w:val="00F77518"/>
    <w:rsid w:val="00F77B9D"/>
    <w:rsid w:val="00F82E0D"/>
    <w:rsid w:val="00F832CE"/>
    <w:rsid w:val="00F83339"/>
    <w:rsid w:val="00F83B50"/>
    <w:rsid w:val="00F8456D"/>
    <w:rsid w:val="00F858A6"/>
    <w:rsid w:val="00F86222"/>
    <w:rsid w:val="00F902C1"/>
    <w:rsid w:val="00F91D3D"/>
    <w:rsid w:val="00F92879"/>
    <w:rsid w:val="00F931ED"/>
    <w:rsid w:val="00F93CDE"/>
    <w:rsid w:val="00F93DBD"/>
    <w:rsid w:val="00F94BC9"/>
    <w:rsid w:val="00F95490"/>
    <w:rsid w:val="00FA38CA"/>
    <w:rsid w:val="00FA4942"/>
    <w:rsid w:val="00FA4AEA"/>
    <w:rsid w:val="00FA4F05"/>
    <w:rsid w:val="00FA55EB"/>
    <w:rsid w:val="00FA6E13"/>
    <w:rsid w:val="00FA7AD0"/>
    <w:rsid w:val="00FB05C2"/>
    <w:rsid w:val="00FB1A9D"/>
    <w:rsid w:val="00FB1D93"/>
    <w:rsid w:val="00FB20A8"/>
    <w:rsid w:val="00FB37B0"/>
    <w:rsid w:val="00FB411E"/>
    <w:rsid w:val="00FB5491"/>
    <w:rsid w:val="00FB6576"/>
    <w:rsid w:val="00FB7AFD"/>
    <w:rsid w:val="00FC1585"/>
    <w:rsid w:val="00FC1D69"/>
    <w:rsid w:val="00FC3A98"/>
    <w:rsid w:val="00FC458A"/>
    <w:rsid w:val="00FC5228"/>
    <w:rsid w:val="00FC579B"/>
    <w:rsid w:val="00FC652A"/>
    <w:rsid w:val="00FC6D68"/>
    <w:rsid w:val="00FD2B7E"/>
    <w:rsid w:val="00FD34F2"/>
    <w:rsid w:val="00FD3F5A"/>
    <w:rsid w:val="00FD5DBA"/>
    <w:rsid w:val="00FD7ACD"/>
    <w:rsid w:val="00FE1185"/>
    <w:rsid w:val="00FE2793"/>
    <w:rsid w:val="00FE41FA"/>
    <w:rsid w:val="00FE6D71"/>
    <w:rsid w:val="00FF3B9D"/>
    <w:rsid w:val="00FF616E"/>
    <w:rsid w:val="00FF62F2"/>
    <w:rsid w:val="00FF6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F1111-3CC3-429C-847F-F5E4AB93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uiPriority w:val="59"/>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uiPriority w:val="99"/>
    <w:semiHidden/>
    <w:rsid w:val="00416EAF"/>
    <w:rPr>
      <w:color w:val="auto"/>
      <w:u w:val="none"/>
    </w:rPr>
  </w:style>
  <w:style w:type="paragraph" w:styleId="FootnoteText">
    <w:name w:val="footnote text"/>
    <w:aliases w:val="5_G"/>
    <w:basedOn w:val="Normal"/>
    <w:link w:val="FootnoteTextChar"/>
    <w:qFormat/>
    <w:rsid w:val="004715C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4715CE"/>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link w:val="H1GChar"/>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eastAsia="zh-CN"/>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3"/>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character" w:styleId="Strong">
    <w:name w:val="Strong"/>
    <w:uiPriority w:val="22"/>
    <w:qFormat/>
    <w:rsid w:val="004708EA"/>
    <w:rPr>
      <w:b/>
      <w:bCs/>
    </w:rPr>
  </w:style>
  <w:style w:type="paragraph" w:customStyle="1" w:styleId="Kurusamy2">
    <w:name w:val="Kurusamy 2"/>
    <w:basedOn w:val="Normal"/>
    <w:qFormat/>
    <w:rsid w:val="00A07BB7"/>
    <w:pPr>
      <w:numPr>
        <w:numId w:val="4"/>
      </w:numPr>
      <w:suppressAutoHyphens w:val="0"/>
      <w:spacing w:after="240" w:line="240" w:lineRule="auto"/>
      <w:jc w:val="both"/>
    </w:pPr>
    <w:rPr>
      <w:i/>
      <w:color w:val="000000"/>
      <w:sz w:val="24"/>
      <w:szCs w:val="24"/>
      <w:lang w:val="en-US"/>
    </w:rPr>
  </w:style>
  <w:style w:type="paragraph" w:styleId="NoSpacing">
    <w:name w:val="No Spacing"/>
    <w:uiPriority w:val="1"/>
    <w:qFormat/>
    <w:rsid w:val="00072973"/>
    <w:pPr>
      <w:suppressAutoHyphens/>
    </w:pPr>
    <w:rPr>
      <w:lang w:eastAsia="en-US"/>
    </w:rPr>
  </w:style>
  <w:style w:type="paragraph" w:styleId="TOCHeading">
    <w:name w:val="TOC Heading"/>
    <w:basedOn w:val="Heading1"/>
    <w:next w:val="Normal"/>
    <w:uiPriority w:val="39"/>
    <w:semiHidden/>
    <w:unhideWhenUsed/>
    <w:qFormat/>
    <w:rsid w:val="00BB41AC"/>
    <w:pPr>
      <w:keepNext/>
      <w:keepLines/>
      <w:suppressAutoHyphens w:val="0"/>
      <w:spacing w:before="480" w:line="276" w:lineRule="auto"/>
      <w:ind w:left="0"/>
      <w:outlineLvl w:val="9"/>
    </w:pPr>
    <w:rPr>
      <w:rFonts w:ascii="Cambria" w:hAnsi="Cambria"/>
      <w:b/>
      <w:bCs/>
      <w:color w:val="365F91"/>
      <w:sz w:val="28"/>
      <w:szCs w:val="28"/>
      <w:lang w:val="en-US"/>
    </w:rPr>
  </w:style>
  <w:style w:type="paragraph" w:styleId="TOC1">
    <w:name w:val="toc 1"/>
    <w:basedOn w:val="Normal"/>
    <w:next w:val="Normal"/>
    <w:autoRedefine/>
    <w:uiPriority w:val="39"/>
    <w:unhideWhenUsed/>
    <w:rsid w:val="00BB41AC"/>
    <w:pPr>
      <w:tabs>
        <w:tab w:val="left" w:pos="851"/>
        <w:tab w:val="right" w:leader="dot" w:pos="9350"/>
      </w:tabs>
      <w:suppressAutoHyphens w:val="0"/>
      <w:spacing w:after="100" w:line="240" w:lineRule="auto"/>
      <w:ind w:left="851" w:hanging="851"/>
    </w:pPr>
    <w:rPr>
      <w:sz w:val="24"/>
      <w:szCs w:val="24"/>
      <w:lang w:val="en-CA" w:eastAsia="en-CA"/>
    </w:rPr>
  </w:style>
  <w:style w:type="paragraph" w:styleId="TOC2">
    <w:name w:val="toc 2"/>
    <w:basedOn w:val="Normal"/>
    <w:next w:val="Normal"/>
    <w:autoRedefine/>
    <w:uiPriority w:val="39"/>
    <w:unhideWhenUsed/>
    <w:rsid w:val="00BB41AC"/>
    <w:pPr>
      <w:tabs>
        <w:tab w:val="left" w:pos="880"/>
        <w:tab w:val="right" w:leader="dot" w:pos="9356"/>
      </w:tabs>
      <w:suppressAutoHyphens w:val="0"/>
      <w:spacing w:after="100" w:line="240" w:lineRule="auto"/>
      <w:ind w:left="851" w:right="288" w:hanging="611"/>
    </w:pPr>
    <w:rPr>
      <w:b/>
      <w:noProof/>
      <w:sz w:val="24"/>
      <w:szCs w:val="24"/>
      <w:lang w:val="en-CA" w:eastAsia="en-CA"/>
    </w:rPr>
  </w:style>
  <w:style w:type="paragraph" w:styleId="TOC3">
    <w:name w:val="toc 3"/>
    <w:basedOn w:val="Normal"/>
    <w:next w:val="Normal"/>
    <w:autoRedefine/>
    <w:uiPriority w:val="39"/>
    <w:unhideWhenUsed/>
    <w:rsid w:val="00BB41AC"/>
    <w:pPr>
      <w:tabs>
        <w:tab w:val="left" w:pos="1418"/>
        <w:tab w:val="right" w:leader="dot" w:pos="9356"/>
      </w:tabs>
      <w:suppressAutoHyphens w:val="0"/>
      <w:spacing w:after="100" w:line="240" w:lineRule="auto"/>
      <w:ind w:left="1418" w:right="288" w:hanging="567"/>
    </w:pPr>
    <w:rPr>
      <w:sz w:val="24"/>
      <w:szCs w:val="24"/>
      <w:lang w:val="en-CA" w:eastAsia="en-CA"/>
    </w:rPr>
  </w:style>
  <w:style w:type="character" w:customStyle="1" w:styleId="s6b621b36">
    <w:name w:val="s6b621b36"/>
    <w:rsid w:val="00BB41AC"/>
  </w:style>
  <w:style w:type="character" w:customStyle="1" w:styleId="H1GChar">
    <w:name w:val="_ H_1_G Char"/>
    <w:link w:val="H1G"/>
    <w:locked/>
    <w:rsid w:val="003672F1"/>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9269">
      <w:bodyDiv w:val="1"/>
      <w:marLeft w:val="0"/>
      <w:marRight w:val="0"/>
      <w:marTop w:val="0"/>
      <w:marBottom w:val="0"/>
      <w:divBdr>
        <w:top w:val="none" w:sz="0" w:space="0" w:color="auto"/>
        <w:left w:val="none" w:sz="0" w:space="0" w:color="auto"/>
        <w:bottom w:val="none" w:sz="0" w:space="0" w:color="auto"/>
        <w:right w:val="none" w:sz="0" w:space="0" w:color="auto"/>
      </w:divBdr>
    </w:div>
    <w:div w:id="184252159">
      <w:bodyDiv w:val="1"/>
      <w:marLeft w:val="0"/>
      <w:marRight w:val="0"/>
      <w:marTop w:val="0"/>
      <w:marBottom w:val="0"/>
      <w:divBdr>
        <w:top w:val="none" w:sz="0" w:space="0" w:color="auto"/>
        <w:left w:val="none" w:sz="0" w:space="0" w:color="auto"/>
        <w:bottom w:val="none" w:sz="0" w:space="0" w:color="auto"/>
        <w:right w:val="none" w:sz="0" w:space="0" w:color="auto"/>
      </w:divBdr>
    </w:div>
    <w:div w:id="188688777">
      <w:bodyDiv w:val="1"/>
      <w:marLeft w:val="0"/>
      <w:marRight w:val="0"/>
      <w:marTop w:val="0"/>
      <w:marBottom w:val="0"/>
      <w:divBdr>
        <w:top w:val="none" w:sz="0" w:space="0" w:color="auto"/>
        <w:left w:val="none" w:sz="0" w:space="0" w:color="auto"/>
        <w:bottom w:val="none" w:sz="0" w:space="0" w:color="auto"/>
        <w:right w:val="none" w:sz="0" w:space="0" w:color="auto"/>
      </w:divBdr>
    </w:div>
    <w:div w:id="320544193">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547374533">
      <w:bodyDiv w:val="1"/>
      <w:marLeft w:val="0"/>
      <w:marRight w:val="0"/>
      <w:marTop w:val="0"/>
      <w:marBottom w:val="0"/>
      <w:divBdr>
        <w:top w:val="none" w:sz="0" w:space="0" w:color="auto"/>
        <w:left w:val="none" w:sz="0" w:space="0" w:color="auto"/>
        <w:bottom w:val="none" w:sz="0" w:space="0" w:color="auto"/>
        <w:right w:val="none" w:sz="0" w:space="0" w:color="auto"/>
      </w:divBdr>
    </w:div>
    <w:div w:id="571812393">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0278076">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699010656">
      <w:bodyDiv w:val="1"/>
      <w:marLeft w:val="0"/>
      <w:marRight w:val="0"/>
      <w:marTop w:val="0"/>
      <w:marBottom w:val="0"/>
      <w:divBdr>
        <w:top w:val="none" w:sz="0" w:space="0" w:color="auto"/>
        <w:left w:val="none" w:sz="0" w:space="0" w:color="auto"/>
        <w:bottom w:val="none" w:sz="0" w:space="0" w:color="auto"/>
        <w:right w:val="none" w:sz="0" w:space="0" w:color="auto"/>
      </w:divBdr>
      <w:divsChild>
        <w:div w:id="741485005">
          <w:marLeft w:val="0"/>
          <w:marRight w:val="0"/>
          <w:marTop w:val="0"/>
          <w:marBottom w:val="0"/>
          <w:divBdr>
            <w:top w:val="none" w:sz="0" w:space="0" w:color="auto"/>
            <w:left w:val="none" w:sz="0" w:space="0" w:color="auto"/>
            <w:bottom w:val="none" w:sz="0" w:space="0" w:color="auto"/>
            <w:right w:val="none" w:sz="0" w:space="0" w:color="auto"/>
          </w:divBdr>
          <w:divsChild>
            <w:div w:id="621427290">
              <w:marLeft w:val="0"/>
              <w:marRight w:val="0"/>
              <w:marTop w:val="0"/>
              <w:marBottom w:val="0"/>
              <w:divBdr>
                <w:top w:val="none" w:sz="0" w:space="0" w:color="auto"/>
                <w:left w:val="none" w:sz="0" w:space="0" w:color="auto"/>
                <w:bottom w:val="none" w:sz="0" w:space="0" w:color="auto"/>
                <w:right w:val="none" w:sz="0" w:space="0" w:color="auto"/>
              </w:divBdr>
              <w:divsChild>
                <w:div w:id="1616131560">
                  <w:marLeft w:val="0"/>
                  <w:marRight w:val="0"/>
                  <w:marTop w:val="0"/>
                  <w:marBottom w:val="0"/>
                  <w:divBdr>
                    <w:top w:val="none" w:sz="0" w:space="0" w:color="auto"/>
                    <w:left w:val="none" w:sz="0" w:space="0" w:color="auto"/>
                    <w:bottom w:val="none" w:sz="0" w:space="0" w:color="auto"/>
                    <w:right w:val="none" w:sz="0" w:space="0" w:color="auto"/>
                  </w:divBdr>
                  <w:divsChild>
                    <w:div w:id="620768335">
                      <w:marLeft w:val="0"/>
                      <w:marRight w:val="0"/>
                      <w:marTop w:val="0"/>
                      <w:marBottom w:val="0"/>
                      <w:divBdr>
                        <w:top w:val="none" w:sz="0" w:space="0" w:color="auto"/>
                        <w:left w:val="none" w:sz="0" w:space="0" w:color="auto"/>
                        <w:bottom w:val="none" w:sz="0" w:space="0" w:color="auto"/>
                        <w:right w:val="none" w:sz="0" w:space="0" w:color="auto"/>
                      </w:divBdr>
                      <w:divsChild>
                        <w:div w:id="178354369">
                          <w:marLeft w:val="0"/>
                          <w:marRight w:val="0"/>
                          <w:marTop w:val="0"/>
                          <w:marBottom w:val="0"/>
                          <w:divBdr>
                            <w:top w:val="none" w:sz="0" w:space="0" w:color="auto"/>
                            <w:left w:val="none" w:sz="0" w:space="0" w:color="auto"/>
                            <w:bottom w:val="none" w:sz="0" w:space="0" w:color="auto"/>
                            <w:right w:val="none" w:sz="0" w:space="0" w:color="auto"/>
                          </w:divBdr>
                          <w:divsChild>
                            <w:div w:id="6517655">
                              <w:marLeft w:val="0"/>
                              <w:marRight w:val="0"/>
                              <w:marTop w:val="0"/>
                              <w:marBottom w:val="0"/>
                              <w:divBdr>
                                <w:top w:val="none" w:sz="0" w:space="0" w:color="auto"/>
                                <w:left w:val="none" w:sz="0" w:space="0" w:color="auto"/>
                                <w:bottom w:val="none" w:sz="0" w:space="0" w:color="auto"/>
                                <w:right w:val="none" w:sz="0" w:space="0" w:color="auto"/>
                              </w:divBdr>
                              <w:divsChild>
                                <w:div w:id="1664891661">
                                  <w:marLeft w:val="0"/>
                                  <w:marRight w:val="-100"/>
                                  <w:marTop w:val="0"/>
                                  <w:marBottom w:val="0"/>
                                  <w:divBdr>
                                    <w:top w:val="none" w:sz="0" w:space="0" w:color="auto"/>
                                    <w:left w:val="none" w:sz="0" w:space="0" w:color="auto"/>
                                    <w:bottom w:val="none" w:sz="0" w:space="0" w:color="auto"/>
                                    <w:right w:val="none" w:sz="0" w:space="0" w:color="auto"/>
                                  </w:divBdr>
                                  <w:divsChild>
                                    <w:div w:id="135341311">
                                      <w:marLeft w:val="0"/>
                                      <w:marRight w:val="0"/>
                                      <w:marTop w:val="0"/>
                                      <w:marBottom w:val="0"/>
                                      <w:divBdr>
                                        <w:top w:val="none" w:sz="0" w:space="0" w:color="auto"/>
                                        <w:left w:val="none" w:sz="0" w:space="0" w:color="auto"/>
                                        <w:bottom w:val="none" w:sz="0" w:space="0" w:color="auto"/>
                                        <w:right w:val="none" w:sz="0" w:space="0" w:color="auto"/>
                                      </w:divBdr>
                                      <w:divsChild>
                                        <w:div w:id="1284919355">
                                          <w:marLeft w:val="0"/>
                                          <w:marRight w:val="0"/>
                                          <w:marTop w:val="0"/>
                                          <w:marBottom w:val="0"/>
                                          <w:divBdr>
                                            <w:top w:val="none" w:sz="0" w:space="0" w:color="auto"/>
                                            <w:left w:val="none" w:sz="0" w:space="0" w:color="auto"/>
                                            <w:bottom w:val="none" w:sz="0" w:space="0" w:color="auto"/>
                                            <w:right w:val="none" w:sz="0" w:space="0" w:color="auto"/>
                                          </w:divBdr>
                                        </w:div>
                                        <w:div w:id="1926498864">
                                          <w:marLeft w:val="0"/>
                                          <w:marRight w:val="0"/>
                                          <w:marTop w:val="0"/>
                                          <w:marBottom w:val="0"/>
                                          <w:divBdr>
                                            <w:top w:val="none" w:sz="0" w:space="0" w:color="auto"/>
                                            <w:left w:val="none" w:sz="0" w:space="0" w:color="auto"/>
                                            <w:bottom w:val="none" w:sz="0" w:space="0" w:color="auto"/>
                                            <w:right w:val="none" w:sz="0" w:space="0" w:color="auto"/>
                                          </w:divBdr>
                                          <w:divsChild>
                                            <w:div w:id="1303190583">
                                              <w:marLeft w:val="0"/>
                                              <w:marRight w:val="0"/>
                                              <w:marTop w:val="0"/>
                                              <w:marBottom w:val="0"/>
                                              <w:divBdr>
                                                <w:top w:val="none" w:sz="0" w:space="0" w:color="auto"/>
                                                <w:left w:val="none" w:sz="0" w:space="0" w:color="auto"/>
                                                <w:bottom w:val="none" w:sz="0" w:space="0" w:color="auto"/>
                                                <w:right w:val="none" w:sz="0" w:space="0" w:color="auto"/>
                                              </w:divBdr>
                                              <w:divsChild>
                                                <w:div w:id="4743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883714751">
      <w:bodyDiv w:val="1"/>
      <w:marLeft w:val="0"/>
      <w:marRight w:val="0"/>
      <w:marTop w:val="0"/>
      <w:marBottom w:val="0"/>
      <w:divBdr>
        <w:top w:val="none" w:sz="0" w:space="0" w:color="auto"/>
        <w:left w:val="none" w:sz="0" w:space="0" w:color="auto"/>
        <w:bottom w:val="none" w:sz="0" w:space="0" w:color="auto"/>
        <w:right w:val="none" w:sz="0" w:space="0" w:color="auto"/>
      </w:divBdr>
    </w:div>
    <w:div w:id="896625668">
      <w:bodyDiv w:val="1"/>
      <w:marLeft w:val="0"/>
      <w:marRight w:val="0"/>
      <w:marTop w:val="0"/>
      <w:marBottom w:val="0"/>
      <w:divBdr>
        <w:top w:val="none" w:sz="0" w:space="0" w:color="auto"/>
        <w:left w:val="none" w:sz="0" w:space="0" w:color="auto"/>
        <w:bottom w:val="none" w:sz="0" w:space="0" w:color="auto"/>
        <w:right w:val="none" w:sz="0" w:space="0" w:color="auto"/>
      </w:divBdr>
      <w:divsChild>
        <w:div w:id="872614577">
          <w:marLeft w:val="0"/>
          <w:marRight w:val="0"/>
          <w:marTop w:val="0"/>
          <w:marBottom w:val="0"/>
          <w:divBdr>
            <w:top w:val="none" w:sz="0" w:space="0" w:color="auto"/>
            <w:left w:val="none" w:sz="0" w:space="0" w:color="auto"/>
            <w:bottom w:val="none" w:sz="0" w:space="0" w:color="auto"/>
            <w:right w:val="none" w:sz="0" w:space="0" w:color="auto"/>
          </w:divBdr>
          <w:divsChild>
            <w:div w:id="1268194567">
              <w:marLeft w:val="0"/>
              <w:marRight w:val="0"/>
              <w:marTop w:val="0"/>
              <w:marBottom w:val="0"/>
              <w:divBdr>
                <w:top w:val="none" w:sz="0" w:space="0" w:color="auto"/>
                <w:left w:val="none" w:sz="0" w:space="0" w:color="auto"/>
                <w:bottom w:val="none" w:sz="0" w:space="0" w:color="auto"/>
                <w:right w:val="none" w:sz="0" w:space="0" w:color="auto"/>
              </w:divBdr>
              <w:divsChild>
                <w:div w:id="1147669834">
                  <w:marLeft w:val="0"/>
                  <w:marRight w:val="0"/>
                  <w:marTop w:val="0"/>
                  <w:marBottom w:val="0"/>
                  <w:divBdr>
                    <w:top w:val="none" w:sz="0" w:space="0" w:color="auto"/>
                    <w:left w:val="none" w:sz="0" w:space="0" w:color="auto"/>
                    <w:bottom w:val="none" w:sz="0" w:space="0" w:color="auto"/>
                    <w:right w:val="none" w:sz="0" w:space="0" w:color="auto"/>
                  </w:divBdr>
                  <w:divsChild>
                    <w:div w:id="312032379">
                      <w:marLeft w:val="0"/>
                      <w:marRight w:val="0"/>
                      <w:marTop w:val="0"/>
                      <w:marBottom w:val="0"/>
                      <w:divBdr>
                        <w:top w:val="none" w:sz="0" w:space="0" w:color="auto"/>
                        <w:left w:val="none" w:sz="0" w:space="0" w:color="auto"/>
                        <w:bottom w:val="none" w:sz="0" w:space="0" w:color="auto"/>
                        <w:right w:val="none" w:sz="0" w:space="0" w:color="auto"/>
                      </w:divBdr>
                      <w:divsChild>
                        <w:div w:id="872771816">
                          <w:marLeft w:val="0"/>
                          <w:marRight w:val="0"/>
                          <w:marTop w:val="0"/>
                          <w:marBottom w:val="0"/>
                          <w:divBdr>
                            <w:top w:val="none" w:sz="0" w:space="0" w:color="auto"/>
                            <w:left w:val="none" w:sz="0" w:space="0" w:color="auto"/>
                            <w:bottom w:val="none" w:sz="0" w:space="0" w:color="auto"/>
                            <w:right w:val="none" w:sz="0" w:space="0" w:color="auto"/>
                          </w:divBdr>
                          <w:divsChild>
                            <w:div w:id="1895433414">
                              <w:marLeft w:val="0"/>
                              <w:marRight w:val="0"/>
                              <w:marTop w:val="0"/>
                              <w:marBottom w:val="0"/>
                              <w:divBdr>
                                <w:top w:val="none" w:sz="0" w:space="0" w:color="auto"/>
                                <w:left w:val="none" w:sz="0" w:space="0" w:color="auto"/>
                                <w:bottom w:val="none" w:sz="0" w:space="0" w:color="auto"/>
                                <w:right w:val="none" w:sz="0" w:space="0" w:color="auto"/>
                              </w:divBdr>
                              <w:divsChild>
                                <w:div w:id="1299147914">
                                  <w:marLeft w:val="0"/>
                                  <w:marRight w:val="0"/>
                                  <w:marTop w:val="0"/>
                                  <w:marBottom w:val="0"/>
                                  <w:divBdr>
                                    <w:top w:val="none" w:sz="0" w:space="0" w:color="auto"/>
                                    <w:left w:val="none" w:sz="0" w:space="0" w:color="auto"/>
                                    <w:bottom w:val="none" w:sz="0" w:space="0" w:color="auto"/>
                                    <w:right w:val="none" w:sz="0" w:space="0" w:color="auto"/>
                                  </w:divBdr>
                                  <w:divsChild>
                                    <w:div w:id="289557428">
                                      <w:marLeft w:val="0"/>
                                      <w:marRight w:val="60"/>
                                      <w:marTop w:val="0"/>
                                      <w:marBottom w:val="0"/>
                                      <w:divBdr>
                                        <w:top w:val="none" w:sz="0" w:space="0" w:color="auto"/>
                                        <w:left w:val="none" w:sz="0" w:space="0" w:color="auto"/>
                                        <w:bottom w:val="none" w:sz="0" w:space="0" w:color="auto"/>
                                        <w:right w:val="none" w:sz="0" w:space="0" w:color="auto"/>
                                      </w:divBdr>
                                      <w:divsChild>
                                        <w:div w:id="286203701">
                                          <w:marLeft w:val="0"/>
                                          <w:marRight w:val="0"/>
                                          <w:marTop w:val="0"/>
                                          <w:marBottom w:val="0"/>
                                          <w:divBdr>
                                            <w:top w:val="none" w:sz="0" w:space="0" w:color="auto"/>
                                            <w:left w:val="none" w:sz="0" w:space="0" w:color="auto"/>
                                            <w:bottom w:val="none" w:sz="0" w:space="0" w:color="auto"/>
                                            <w:right w:val="none" w:sz="0" w:space="0" w:color="auto"/>
                                          </w:divBdr>
                                        </w:div>
                                        <w:div w:id="1181357520">
                                          <w:marLeft w:val="0"/>
                                          <w:marRight w:val="0"/>
                                          <w:marTop w:val="0"/>
                                          <w:marBottom w:val="0"/>
                                          <w:divBdr>
                                            <w:top w:val="single" w:sz="6" w:space="12" w:color="999999"/>
                                            <w:left w:val="single" w:sz="6" w:space="12" w:color="999999"/>
                                            <w:bottom w:val="single" w:sz="6" w:space="12" w:color="999999"/>
                                            <w:right w:val="single" w:sz="6" w:space="12" w:color="999999"/>
                                          </w:divBdr>
                                          <w:divsChild>
                                            <w:div w:id="1120228256">
                                              <w:marLeft w:val="0"/>
                                              <w:marRight w:val="0"/>
                                              <w:marTop w:val="0"/>
                                              <w:marBottom w:val="0"/>
                                              <w:divBdr>
                                                <w:top w:val="none" w:sz="0" w:space="0" w:color="auto"/>
                                                <w:left w:val="none" w:sz="0" w:space="0" w:color="auto"/>
                                                <w:bottom w:val="none" w:sz="0" w:space="0" w:color="auto"/>
                                                <w:right w:val="none" w:sz="0" w:space="0" w:color="auto"/>
                                              </w:divBdr>
                                            </w:div>
                                          </w:divsChild>
                                        </w:div>
                                        <w:div w:id="1912692383">
                                          <w:marLeft w:val="0"/>
                                          <w:marRight w:val="0"/>
                                          <w:marTop w:val="0"/>
                                          <w:marBottom w:val="0"/>
                                          <w:divBdr>
                                            <w:top w:val="none" w:sz="0" w:space="0" w:color="auto"/>
                                            <w:left w:val="none" w:sz="0" w:space="0" w:color="auto"/>
                                            <w:bottom w:val="none" w:sz="0" w:space="0" w:color="auto"/>
                                            <w:right w:val="none" w:sz="0" w:space="0" w:color="auto"/>
                                          </w:divBdr>
                                          <w:divsChild>
                                            <w:div w:id="18207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7797">
                                  <w:marLeft w:val="0"/>
                                  <w:marRight w:val="0"/>
                                  <w:marTop w:val="0"/>
                                  <w:marBottom w:val="0"/>
                                  <w:divBdr>
                                    <w:top w:val="none" w:sz="0" w:space="0" w:color="auto"/>
                                    <w:left w:val="none" w:sz="0" w:space="0" w:color="auto"/>
                                    <w:bottom w:val="none" w:sz="0" w:space="0" w:color="auto"/>
                                    <w:right w:val="none" w:sz="0" w:space="0" w:color="auto"/>
                                  </w:divBdr>
                                  <w:divsChild>
                                    <w:div w:id="579944575">
                                      <w:marLeft w:val="60"/>
                                      <w:marRight w:val="0"/>
                                      <w:marTop w:val="0"/>
                                      <w:marBottom w:val="0"/>
                                      <w:divBdr>
                                        <w:top w:val="none" w:sz="0" w:space="0" w:color="auto"/>
                                        <w:left w:val="none" w:sz="0" w:space="0" w:color="auto"/>
                                        <w:bottom w:val="none" w:sz="0" w:space="0" w:color="auto"/>
                                        <w:right w:val="none" w:sz="0" w:space="0" w:color="auto"/>
                                      </w:divBdr>
                                      <w:divsChild>
                                        <w:div w:id="266281170">
                                          <w:marLeft w:val="0"/>
                                          <w:marRight w:val="0"/>
                                          <w:marTop w:val="0"/>
                                          <w:marBottom w:val="0"/>
                                          <w:divBdr>
                                            <w:top w:val="none" w:sz="0" w:space="0" w:color="auto"/>
                                            <w:left w:val="none" w:sz="0" w:space="0" w:color="auto"/>
                                            <w:bottom w:val="none" w:sz="0" w:space="0" w:color="auto"/>
                                            <w:right w:val="none" w:sz="0" w:space="0" w:color="auto"/>
                                          </w:divBdr>
                                          <w:divsChild>
                                            <w:div w:id="942029718">
                                              <w:marLeft w:val="0"/>
                                              <w:marRight w:val="0"/>
                                              <w:marTop w:val="0"/>
                                              <w:marBottom w:val="120"/>
                                              <w:divBdr>
                                                <w:top w:val="single" w:sz="6" w:space="0" w:color="F5F5F5"/>
                                                <w:left w:val="single" w:sz="6" w:space="0" w:color="F5F5F5"/>
                                                <w:bottom w:val="single" w:sz="6" w:space="0" w:color="F5F5F5"/>
                                                <w:right w:val="single" w:sz="6" w:space="0" w:color="F5F5F5"/>
                                              </w:divBdr>
                                              <w:divsChild>
                                                <w:div w:id="1691176456">
                                                  <w:marLeft w:val="0"/>
                                                  <w:marRight w:val="0"/>
                                                  <w:marTop w:val="0"/>
                                                  <w:marBottom w:val="0"/>
                                                  <w:divBdr>
                                                    <w:top w:val="none" w:sz="0" w:space="0" w:color="auto"/>
                                                    <w:left w:val="none" w:sz="0" w:space="0" w:color="auto"/>
                                                    <w:bottom w:val="none" w:sz="0" w:space="0" w:color="auto"/>
                                                    <w:right w:val="none" w:sz="0" w:space="0" w:color="auto"/>
                                                  </w:divBdr>
                                                  <w:divsChild>
                                                    <w:div w:id="4130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57434240">
      <w:bodyDiv w:val="1"/>
      <w:marLeft w:val="0"/>
      <w:marRight w:val="0"/>
      <w:marTop w:val="0"/>
      <w:marBottom w:val="0"/>
      <w:divBdr>
        <w:top w:val="none" w:sz="0" w:space="0" w:color="auto"/>
        <w:left w:val="none" w:sz="0" w:space="0" w:color="auto"/>
        <w:bottom w:val="none" w:sz="0" w:space="0" w:color="auto"/>
        <w:right w:val="none" w:sz="0" w:space="0" w:color="auto"/>
      </w:divBdr>
    </w:div>
    <w:div w:id="1075325315">
      <w:bodyDiv w:val="1"/>
      <w:marLeft w:val="0"/>
      <w:marRight w:val="0"/>
      <w:marTop w:val="0"/>
      <w:marBottom w:val="0"/>
      <w:divBdr>
        <w:top w:val="none" w:sz="0" w:space="0" w:color="auto"/>
        <w:left w:val="none" w:sz="0" w:space="0" w:color="auto"/>
        <w:bottom w:val="none" w:sz="0" w:space="0" w:color="auto"/>
        <w:right w:val="none" w:sz="0" w:space="0" w:color="auto"/>
      </w:divBdr>
    </w:div>
    <w:div w:id="1096825978">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132">
      <w:bodyDiv w:val="1"/>
      <w:marLeft w:val="0"/>
      <w:marRight w:val="0"/>
      <w:marTop w:val="0"/>
      <w:marBottom w:val="0"/>
      <w:divBdr>
        <w:top w:val="none" w:sz="0" w:space="0" w:color="auto"/>
        <w:left w:val="none" w:sz="0" w:space="0" w:color="auto"/>
        <w:bottom w:val="none" w:sz="0" w:space="0" w:color="auto"/>
        <w:right w:val="none" w:sz="0" w:space="0" w:color="auto"/>
      </w:divBdr>
    </w:div>
    <w:div w:id="1281645314">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674298">
      <w:bodyDiv w:val="1"/>
      <w:marLeft w:val="0"/>
      <w:marRight w:val="0"/>
      <w:marTop w:val="0"/>
      <w:marBottom w:val="0"/>
      <w:divBdr>
        <w:top w:val="none" w:sz="0" w:space="0" w:color="auto"/>
        <w:left w:val="none" w:sz="0" w:space="0" w:color="auto"/>
        <w:bottom w:val="none" w:sz="0" w:space="0" w:color="auto"/>
        <w:right w:val="none" w:sz="0" w:space="0" w:color="auto"/>
      </w:divBdr>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620605586">
      <w:bodyDiv w:val="1"/>
      <w:marLeft w:val="0"/>
      <w:marRight w:val="0"/>
      <w:marTop w:val="0"/>
      <w:marBottom w:val="0"/>
      <w:divBdr>
        <w:top w:val="none" w:sz="0" w:space="0" w:color="auto"/>
        <w:left w:val="none" w:sz="0" w:space="0" w:color="auto"/>
        <w:bottom w:val="none" w:sz="0" w:space="0" w:color="auto"/>
        <w:right w:val="none" w:sz="0" w:space="0" w:color="auto"/>
      </w:divBdr>
    </w:div>
    <w:div w:id="1688097258">
      <w:bodyDiv w:val="1"/>
      <w:marLeft w:val="0"/>
      <w:marRight w:val="0"/>
      <w:marTop w:val="0"/>
      <w:marBottom w:val="0"/>
      <w:divBdr>
        <w:top w:val="none" w:sz="0" w:space="0" w:color="auto"/>
        <w:left w:val="none" w:sz="0" w:space="0" w:color="auto"/>
        <w:bottom w:val="none" w:sz="0" w:space="0" w:color="auto"/>
        <w:right w:val="none" w:sz="0" w:space="0" w:color="auto"/>
      </w:divBdr>
    </w:div>
    <w:div w:id="1706831137">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 w:id="2002654009">
      <w:bodyDiv w:val="1"/>
      <w:marLeft w:val="0"/>
      <w:marRight w:val="0"/>
      <w:marTop w:val="0"/>
      <w:marBottom w:val="0"/>
      <w:divBdr>
        <w:top w:val="none" w:sz="0" w:space="0" w:color="auto"/>
        <w:left w:val="none" w:sz="0" w:space="0" w:color="auto"/>
        <w:bottom w:val="none" w:sz="0" w:space="0" w:color="auto"/>
        <w:right w:val="none" w:sz="0" w:space="0" w:color="auto"/>
      </w:divBdr>
      <w:divsChild>
        <w:div w:id="1392536313">
          <w:marLeft w:val="0"/>
          <w:marRight w:val="0"/>
          <w:marTop w:val="0"/>
          <w:marBottom w:val="0"/>
          <w:divBdr>
            <w:top w:val="none" w:sz="0" w:space="0" w:color="auto"/>
            <w:left w:val="none" w:sz="0" w:space="0" w:color="auto"/>
            <w:bottom w:val="none" w:sz="0" w:space="0" w:color="auto"/>
            <w:right w:val="none" w:sz="0" w:space="0" w:color="auto"/>
          </w:divBdr>
          <w:divsChild>
            <w:div w:id="1063724660">
              <w:marLeft w:val="0"/>
              <w:marRight w:val="0"/>
              <w:marTop w:val="0"/>
              <w:marBottom w:val="0"/>
              <w:divBdr>
                <w:top w:val="none" w:sz="0" w:space="0" w:color="auto"/>
                <w:left w:val="none" w:sz="0" w:space="0" w:color="auto"/>
                <w:bottom w:val="none" w:sz="0" w:space="0" w:color="auto"/>
                <w:right w:val="none" w:sz="0" w:space="0" w:color="auto"/>
              </w:divBdr>
              <w:divsChild>
                <w:div w:id="967129674">
                  <w:marLeft w:val="0"/>
                  <w:marRight w:val="0"/>
                  <w:marTop w:val="0"/>
                  <w:marBottom w:val="0"/>
                  <w:divBdr>
                    <w:top w:val="none" w:sz="0" w:space="0" w:color="auto"/>
                    <w:left w:val="none" w:sz="0" w:space="0" w:color="auto"/>
                    <w:bottom w:val="none" w:sz="0" w:space="0" w:color="auto"/>
                    <w:right w:val="none" w:sz="0" w:space="0" w:color="auto"/>
                  </w:divBdr>
                  <w:divsChild>
                    <w:div w:id="45957920">
                      <w:marLeft w:val="0"/>
                      <w:marRight w:val="0"/>
                      <w:marTop w:val="0"/>
                      <w:marBottom w:val="0"/>
                      <w:divBdr>
                        <w:top w:val="single" w:sz="24" w:space="0" w:color="003366"/>
                        <w:left w:val="none" w:sz="0" w:space="0" w:color="auto"/>
                        <w:bottom w:val="none" w:sz="0" w:space="0" w:color="auto"/>
                        <w:right w:val="none" w:sz="0" w:space="0" w:color="auto"/>
                      </w:divBdr>
                      <w:divsChild>
                        <w:div w:id="3280200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97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file:///C:\Users\Diane\Downloads\www.hrw.org\print\news\2012\05\29\uk-suspend-deportations-tamils-sri-lan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A2FE-579B-4D86-8943-547B51E9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7170</Words>
  <Characters>40871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1616125</vt:lpstr>
    </vt:vector>
  </TitlesOfParts>
  <Company>CSD</Company>
  <LinksUpToDate>false</LinksUpToDate>
  <CharactersWithSpaces>47946</CharactersWithSpaces>
  <SharedDoc>false</SharedDoc>
  <HLinks>
    <vt:vector size="6" baseType="variant">
      <vt:variant>
        <vt:i4>4587604</vt:i4>
      </vt:variant>
      <vt:variant>
        <vt:i4>0</vt:i4>
      </vt:variant>
      <vt:variant>
        <vt:i4>0</vt:i4>
      </vt:variant>
      <vt:variant>
        <vt:i4>5</vt:i4>
      </vt:variant>
      <vt:variant>
        <vt:lpwstr>http://www.hrw.org/print/news/2012/05/29/uk-suspend-deportations-tamils-sri-lanka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1616125</dc:title>
  <dc:subject>CAT/C/58/D/599/2014</dc:subject>
  <dc:creator>default</dc:creator>
  <cp:keywords/>
  <dc:description/>
  <cp:lastModifiedBy>Sarah Willig</cp:lastModifiedBy>
  <cp:revision>2</cp:revision>
  <cp:lastPrinted>2016-06-21T16:16:00Z</cp:lastPrinted>
  <dcterms:created xsi:type="dcterms:W3CDTF">2017-04-10T17:32:00Z</dcterms:created>
  <dcterms:modified xsi:type="dcterms:W3CDTF">2017-04-10T17:32:00Z</dcterms:modified>
</cp:coreProperties>
</file>