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369EB" w:rsidRPr="0055031E" w:rsidTr="007369EB">
        <w:trPr>
          <w:trHeight w:val="851"/>
        </w:trPr>
        <w:tc>
          <w:tcPr>
            <w:tcW w:w="1259" w:type="dxa"/>
            <w:tcBorders>
              <w:top w:val="nil"/>
              <w:left w:val="nil"/>
              <w:bottom w:val="single" w:sz="4" w:space="0" w:color="auto"/>
              <w:right w:val="nil"/>
            </w:tcBorders>
            <w:vAlign w:val="bottom"/>
          </w:tcPr>
          <w:p w:rsidR="007369EB" w:rsidRPr="007369EB" w:rsidRDefault="007369EB" w:rsidP="007369EB">
            <w:pPr>
              <w:jc w:val="right"/>
            </w:pPr>
            <w:bookmarkStart w:id="0" w:name="_GoBack"/>
            <w:bookmarkEnd w:id="0"/>
          </w:p>
        </w:tc>
        <w:tc>
          <w:tcPr>
            <w:tcW w:w="2236" w:type="dxa"/>
            <w:tcBorders>
              <w:top w:val="nil"/>
              <w:left w:val="nil"/>
              <w:bottom w:val="single" w:sz="4" w:space="0" w:color="auto"/>
              <w:right w:val="nil"/>
            </w:tcBorders>
            <w:vAlign w:val="bottom"/>
          </w:tcPr>
          <w:p w:rsidR="007369EB" w:rsidRPr="00DF77DE" w:rsidRDefault="008569AD" w:rsidP="00B516B5">
            <w:r w:rsidRPr="00DF77DE">
              <w:rPr>
                <w:sz w:val="28"/>
                <w:szCs w:val="28"/>
              </w:rPr>
              <w:t>United Nations</w:t>
            </w:r>
          </w:p>
        </w:tc>
        <w:tc>
          <w:tcPr>
            <w:tcW w:w="6144" w:type="dxa"/>
            <w:gridSpan w:val="2"/>
            <w:tcBorders>
              <w:top w:val="nil"/>
              <w:left w:val="nil"/>
              <w:bottom w:val="single" w:sz="4" w:space="0" w:color="auto"/>
              <w:right w:val="nil"/>
            </w:tcBorders>
            <w:vAlign w:val="bottom"/>
          </w:tcPr>
          <w:p w:rsidR="007369EB" w:rsidRPr="0055031E" w:rsidRDefault="007C1F31" w:rsidP="003F434D">
            <w:pPr>
              <w:jc w:val="right"/>
            </w:pPr>
            <w:r w:rsidRPr="00DF77DE">
              <w:rPr>
                <w:sz w:val="40"/>
              </w:rPr>
              <w:t>CCPR</w:t>
            </w:r>
            <w:r w:rsidRPr="0095016C">
              <w:t>/C</w:t>
            </w:r>
            <w:r w:rsidR="007A2BFF" w:rsidRPr="0095016C">
              <w:t>/10</w:t>
            </w:r>
            <w:r w:rsidR="00650CB7" w:rsidRPr="0095016C">
              <w:t>7</w:t>
            </w:r>
            <w:r w:rsidRPr="0095016C">
              <w:t>/D</w:t>
            </w:r>
            <w:r w:rsidRPr="0055031E">
              <w:t>/</w:t>
            </w:r>
            <w:r w:rsidR="00650CB7" w:rsidRPr="0055031E">
              <w:t>1</w:t>
            </w:r>
            <w:r w:rsidR="00D764C3" w:rsidRPr="0055031E">
              <w:t>9</w:t>
            </w:r>
            <w:r w:rsidR="00650CB7" w:rsidRPr="0055031E">
              <w:t>21</w:t>
            </w:r>
            <w:r w:rsidR="00D764C3" w:rsidRPr="0055031E">
              <w:t>/200</w:t>
            </w:r>
            <w:r w:rsidR="00650CB7" w:rsidRPr="0055031E">
              <w:t>9</w:t>
            </w:r>
          </w:p>
        </w:tc>
      </w:tr>
      <w:tr w:rsidR="007369EB" w:rsidRPr="0055031E" w:rsidTr="00DF0F82">
        <w:trPr>
          <w:trHeight w:val="2835"/>
        </w:trPr>
        <w:tc>
          <w:tcPr>
            <w:tcW w:w="1259" w:type="dxa"/>
            <w:tcBorders>
              <w:top w:val="single" w:sz="4" w:space="0" w:color="auto"/>
              <w:left w:val="nil"/>
              <w:bottom w:val="single" w:sz="12" w:space="0" w:color="auto"/>
              <w:right w:val="nil"/>
            </w:tcBorders>
          </w:tcPr>
          <w:p w:rsidR="007369EB" w:rsidRPr="0055031E" w:rsidRDefault="00411A50" w:rsidP="007369E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5pt">
                  <v:imagedata r:id="rId7" o:title=""/>
                </v:shape>
              </w:pict>
            </w:r>
          </w:p>
        </w:tc>
        <w:tc>
          <w:tcPr>
            <w:tcW w:w="5450" w:type="dxa"/>
            <w:gridSpan w:val="2"/>
            <w:tcBorders>
              <w:top w:val="single" w:sz="4" w:space="0" w:color="auto"/>
              <w:left w:val="nil"/>
              <w:bottom w:val="single" w:sz="12" w:space="0" w:color="auto"/>
              <w:right w:val="nil"/>
            </w:tcBorders>
          </w:tcPr>
          <w:p w:rsidR="007369EB" w:rsidRPr="0055031E" w:rsidRDefault="008569AD" w:rsidP="007369EB">
            <w:r w:rsidRPr="0055031E">
              <w:rPr>
                <w:b/>
                <w:sz w:val="34"/>
                <w:szCs w:val="40"/>
              </w:rPr>
              <w:t>International Covenant on</w:t>
            </w:r>
            <w:r w:rsidRPr="0055031E">
              <w:rPr>
                <w:b/>
                <w:sz w:val="34"/>
                <w:szCs w:val="40"/>
              </w:rPr>
              <w:br/>
              <w:t>Civil and Political Rights</w:t>
            </w:r>
          </w:p>
        </w:tc>
        <w:tc>
          <w:tcPr>
            <w:tcW w:w="2930" w:type="dxa"/>
            <w:tcBorders>
              <w:top w:val="single" w:sz="4" w:space="0" w:color="auto"/>
              <w:left w:val="nil"/>
              <w:bottom w:val="single" w:sz="12" w:space="0" w:color="auto"/>
              <w:right w:val="nil"/>
            </w:tcBorders>
          </w:tcPr>
          <w:p w:rsidR="007C1F31" w:rsidRPr="0055031E" w:rsidRDefault="007C1F31" w:rsidP="007C1F31">
            <w:pPr>
              <w:spacing w:before="240" w:line="240" w:lineRule="exact"/>
            </w:pPr>
            <w:r w:rsidRPr="0055031E">
              <w:t xml:space="preserve">Distr.: </w:t>
            </w:r>
            <w:r w:rsidR="003F434D" w:rsidRPr="0055031E">
              <w:t>General</w:t>
            </w:r>
          </w:p>
          <w:p w:rsidR="007C1F31" w:rsidRPr="0055031E" w:rsidRDefault="00944FF0" w:rsidP="003B05F7">
            <w:pPr>
              <w:spacing w:line="240" w:lineRule="exact"/>
            </w:pPr>
            <w:r w:rsidRPr="0055031E">
              <w:t>1</w:t>
            </w:r>
            <w:r w:rsidR="00DF77DE" w:rsidRPr="0055031E">
              <w:t>4</w:t>
            </w:r>
            <w:r w:rsidR="00BF1633" w:rsidRPr="0055031E">
              <w:t xml:space="preserve"> May</w:t>
            </w:r>
            <w:r w:rsidR="00045DA7" w:rsidRPr="0055031E">
              <w:t xml:space="preserve"> 2013</w:t>
            </w:r>
          </w:p>
          <w:p w:rsidR="007C1F31" w:rsidRPr="0055031E" w:rsidRDefault="007C1F31" w:rsidP="007C1F31">
            <w:pPr>
              <w:spacing w:line="240" w:lineRule="exact"/>
            </w:pPr>
          </w:p>
          <w:p w:rsidR="007369EB" w:rsidRPr="0055031E" w:rsidRDefault="007C1F31" w:rsidP="007C1F31">
            <w:pPr>
              <w:spacing w:line="240" w:lineRule="exact"/>
            </w:pPr>
            <w:r w:rsidRPr="0055031E">
              <w:t>Original: English</w:t>
            </w:r>
          </w:p>
          <w:p w:rsidR="003F434D" w:rsidRPr="0055031E" w:rsidRDefault="003F434D" w:rsidP="007C1F31">
            <w:pPr>
              <w:spacing w:line="240" w:lineRule="exact"/>
            </w:pPr>
          </w:p>
          <w:p w:rsidR="003F434D" w:rsidRPr="0055031E" w:rsidRDefault="003F434D" w:rsidP="007C1F31">
            <w:pPr>
              <w:spacing w:line="240" w:lineRule="exact"/>
              <w:rPr>
                <w:b/>
              </w:rPr>
            </w:pPr>
          </w:p>
        </w:tc>
      </w:tr>
    </w:tbl>
    <w:p w:rsidR="00B31E98" w:rsidRPr="0055031E" w:rsidRDefault="00B31E98" w:rsidP="00B31E98">
      <w:pPr>
        <w:spacing w:before="120"/>
        <w:rPr>
          <w:b/>
          <w:sz w:val="24"/>
          <w:szCs w:val="24"/>
        </w:rPr>
      </w:pPr>
      <w:r w:rsidRPr="0055031E">
        <w:rPr>
          <w:b/>
          <w:sz w:val="24"/>
          <w:szCs w:val="24"/>
        </w:rPr>
        <w:t>Human Rights Committee</w:t>
      </w:r>
    </w:p>
    <w:p w:rsidR="007C1F31" w:rsidRPr="0055031E" w:rsidRDefault="007A2BFF" w:rsidP="00B516B5">
      <w:pPr>
        <w:pStyle w:val="HChG"/>
      </w:pPr>
      <w:r w:rsidRPr="0055031E">
        <w:tab/>
      </w:r>
      <w:r w:rsidRPr="0055031E">
        <w:tab/>
      </w:r>
      <w:r w:rsidR="007C1F31" w:rsidRPr="0055031E">
        <w:t xml:space="preserve">Communication No. </w:t>
      </w:r>
      <w:r w:rsidR="00650CB7" w:rsidRPr="0055031E">
        <w:t>1921/2009</w:t>
      </w:r>
    </w:p>
    <w:p w:rsidR="00032DCC" w:rsidRPr="0055031E" w:rsidRDefault="00032DCC" w:rsidP="00045DA7">
      <w:pPr>
        <w:pStyle w:val="H1G"/>
      </w:pPr>
      <w:r w:rsidRPr="0055031E">
        <w:tab/>
      </w:r>
      <w:r w:rsidRPr="0055031E">
        <w:tab/>
      </w:r>
      <w:r w:rsidR="003F434D" w:rsidRPr="0055031E">
        <w:t xml:space="preserve">Decision adopted by the Committee at its 107th session </w:t>
      </w:r>
      <w:r w:rsidR="003F434D" w:rsidRPr="0055031E">
        <w:br/>
        <w:t>(11-28 March 2013)</w:t>
      </w:r>
    </w:p>
    <w:p w:rsidR="007C1F31" w:rsidRPr="0055031E" w:rsidRDefault="007C1F31" w:rsidP="008D6278">
      <w:pPr>
        <w:pStyle w:val="SingleTxtG"/>
        <w:ind w:left="4536" w:hanging="3402"/>
      </w:pPr>
      <w:r w:rsidRPr="0055031E">
        <w:rPr>
          <w:i/>
        </w:rPr>
        <w:t>Submitted by</w:t>
      </w:r>
      <w:r w:rsidRPr="0055031E">
        <w:t>:</w:t>
      </w:r>
      <w:r w:rsidRPr="0055031E">
        <w:tab/>
      </w:r>
      <w:r w:rsidR="003155C7" w:rsidRPr="0055031E">
        <w:t>K</w:t>
      </w:r>
      <w:r w:rsidR="003F434D" w:rsidRPr="0055031E">
        <w:t>.</w:t>
      </w:r>
      <w:r w:rsidR="003155C7" w:rsidRPr="0055031E">
        <w:t xml:space="preserve"> S</w:t>
      </w:r>
      <w:r w:rsidR="003F434D" w:rsidRPr="0055031E">
        <w:t>.</w:t>
      </w:r>
      <w:r w:rsidR="00D764C3" w:rsidRPr="0055031E">
        <w:t xml:space="preserve"> </w:t>
      </w:r>
      <w:r w:rsidR="00B31E98" w:rsidRPr="0055031E">
        <w:rPr>
          <w:bCs/>
        </w:rPr>
        <w:t>(not represented by counsel)</w:t>
      </w:r>
    </w:p>
    <w:p w:rsidR="007C1F31" w:rsidRPr="0055031E" w:rsidRDefault="007C1F31" w:rsidP="007A2BFF">
      <w:pPr>
        <w:pStyle w:val="SingleTxtG"/>
        <w:ind w:left="4536" w:hanging="3402"/>
      </w:pPr>
      <w:r w:rsidRPr="0055031E">
        <w:rPr>
          <w:i/>
        </w:rPr>
        <w:t>Alleged victim</w:t>
      </w:r>
      <w:r w:rsidRPr="0055031E">
        <w:t>:</w:t>
      </w:r>
      <w:r w:rsidRPr="0055031E">
        <w:tab/>
      </w:r>
      <w:r w:rsidR="00D764C3" w:rsidRPr="0055031E">
        <w:t>The author</w:t>
      </w:r>
    </w:p>
    <w:p w:rsidR="007C1F31" w:rsidRPr="0055031E" w:rsidRDefault="007C1F31" w:rsidP="007A2BFF">
      <w:pPr>
        <w:pStyle w:val="SingleTxtG"/>
        <w:ind w:left="4536" w:hanging="3402"/>
      </w:pPr>
      <w:r w:rsidRPr="0055031E">
        <w:rPr>
          <w:i/>
        </w:rPr>
        <w:t>State party</w:t>
      </w:r>
      <w:r w:rsidRPr="0055031E">
        <w:t>:</w:t>
      </w:r>
      <w:r w:rsidRPr="0055031E">
        <w:tab/>
      </w:r>
      <w:smartTag w:uri="urn:schemas-microsoft-com:office:smarttags" w:element="place">
        <w:smartTag w:uri="urn:schemas-microsoft-com:office:smarttags" w:element="country-region">
          <w:r w:rsidR="003924E6" w:rsidRPr="0055031E">
            <w:t>Australia</w:t>
          </w:r>
        </w:smartTag>
      </w:smartTag>
    </w:p>
    <w:p w:rsidR="007C1F31" w:rsidRPr="0055031E" w:rsidRDefault="007C1F31" w:rsidP="007A2BFF">
      <w:pPr>
        <w:pStyle w:val="SingleTxtG"/>
        <w:ind w:left="4536" w:hanging="3402"/>
      </w:pPr>
      <w:r w:rsidRPr="0055031E">
        <w:rPr>
          <w:i/>
        </w:rPr>
        <w:t>Date of communication</w:t>
      </w:r>
      <w:r w:rsidRPr="0055031E">
        <w:t>:</w:t>
      </w:r>
      <w:r w:rsidRPr="0055031E">
        <w:tab/>
      </w:r>
      <w:r w:rsidR="003924E6" w:rsidRPr="0055031E">
        <w:t>16 April</w:t>
      </w:r>
      <w:r w:rsidR="00D764C3" w:rsidRPr="0055031E">
        <w:t xml:space="preserve"> 200</w:t>
      </w:r>
      <w:r w:rsidR="003924E6" w:rsidRPr="0055031E">
        <w:t>9</w:t>
      </w:r>
      <w:r w:rsidR="00D764C3" w:rsidRPr="0055031E">
        <w:t xml:space="preserve"> </w:t>
      </w:r>
      <w:r w:rsidRPr="0055031E">
        <w:t>(initial submission)</w:t>
      </w:r>
    </w:p>
    <w:p w:rsidR="00D764C3" w:rsidRPr="0055031E" w:rsidRDefault="007C1F31" w:rsidP="008F35C7">
      <w:pPr>
        <w:pStyle w:val="SingleTxtG"/>
        <w:ind w:left="4536" w:hanging="3402"/>
      </w:pPr>
      <w:r w:rsidRPr="0055031E">
        <w:rPr>
          <w:i/>
        </w:rPr>
        <w:t>Document references</w:t>
      </w:r>
      <w:r w:rsidRPr="0055031E">
        <w:t>:</w:t>
      </w:r>
      <w:r w:rsidRPr="0055031E">
        <w:tab/>
      </w:r>
      <w:r w:rsidR="008F35C7" w:rsidRPr="0055031E">
        <w:t>Special Rapporteur’s rule 97 decision, transmitted to the State party on 9 December 2009 (not issued in document form)</w:t>
      </w:r>
    </w:p>
    <w:p w:rsidR="007C1F31" w:rsidRPr="0055031E" w:rsidRDefault="007C1F31" w:rsidP="007A1601">
      <w:pPr>
        <w:pStyle w:val="SingleTxtG"/>
        <w:ind w:left="4536" w:hanging="3402"/>
      </w:pPr>
      <w:r w:rsidRPr="0055031E">
        <w:rPr>
          <w:i/>
        </w:rPr>
        <w:t xml:space="preserve">Date of adoption of </w:t>
      </w:r>
      <w:r w:rsidR="00DF77DE" w:rsidRPr="0055031E">
        <w:rPr>
          <w:i/>
        </w:rPr>
        <w:t>decision</w:t>
      </w:r>
      <w:r w:rsidRPr="0055031E">
        <w:t>:</w:t>
      </w:r>
      <w:r w:rsidRPr="0055031E">
        <w:tab/>
      </w:r>
      <w:r w:rsidR="003F434D" w:rsidRPr="0055031E">
        <w:t>25</w:t>
      </w:r>
      <w:r w:rsidRPr="0055031E">
        <w:t xml:space="preserve"> </w:t>
      </w:r>
      <w:r w:rsidR="00032DCC" w:rsidRPr="0055031E">
        <w:t>March</w:t>
      </w:r>
      <w:r w:rsidR="007A1601" w:rsidRPr="0055031E">
        <w:t xml:space="preserve"> </w:t>
      </w:r>
      <w:r w:rsidRPr="0055031E">
        <w:t>201</w:t>
      </w:r>
      <w:r w:rsidR="00FD4140" w:rsidRPr="0055031E">
        <w:t>3</w:t>
      </w:r>
    </w:p>
    <w:p w:rsidR="007C1F31" w:rsidRPr="0055031E" w:rsidRDefault="00045DA7" w:rsidP="00852B1B">
      <w:pPr>
        <w:pStyle w:val="SingleTxtG"/>
        <w:ind w:left="4536" w:hanging="3402"/>
      </w:pPr>
      <w:r w:rsidRPr="0055031E">
        <w:rPr>
          <w:i/>
        </w:rPr>
        <w:t>Subject matter:</w:t>
      </w:r>
      <w:r w:rsidR="007C1F31" w:rsidRPr="0055031E">
        <w:rPr>
          <w:i/>
        </w:rPr>
        <w:tab/>
      </w:r>
      <w:r w:rsidR="00BF1633" w:rsidRPr="0055031E">
        <w:rPr>
          <w:i/>
        </w:rPr>
        <w:tab/>
      </w:r>
      <w:r w:rsidR="00A536E9" w:rsidRPr="0055031E">
        <w:t>Changes in legislation imposing penalties after commission of a crime</w:t>
      </w:r>
    </w:p>
    <w:p w:rsidR="00FD4140" w:rsidRPr="0055031E" w:rsidRDefault="007C1F31" w:rsidP="008E5173">
      <w:pPr>
        <w:pStyle w:val="SingleTxtG"/>
        <w:ind w:left="4536" w:hanging="3402"/>
        <w:rPr>
          <w:lang w:val="en-US"/>
        </w:rPr>
      </w:pPr>
      <w:r w:rsidRPr="0055031E">
        <w:rPr>
          <w:i/>
        </w:rPr>
        <w:t xml:space="preserve">Procedural issues: </w:t>
      </w:r>
      <w:r w:rsidR="00852B1B" w:rsidRPr="0055031E">
        <w:rPr>
          <w:i/>
        </w:rPr>
        <w:tab/>
      </w:r>
      <w:r w:rsidR="00FD4140" w:rsidRPr="0055031E">
        <w:rPr>
          <w:lang w:val="en-US"/>
        </w:rPr>
        <w:t>Exhaustion of domestic remedies</w:t>
      </w:r>
    </w:p>
    <w:p w:rsidR="007C1F31" w:rsidRPr="0055031E" w:rsidRDefault="00FD4140" w:rsidP="009D090B">
      <w:pPr>
        <w:pStyle w:val="SingleTxtG"/>
        <w:ind w:left="4536" w:hanging="3402"/>
      </w:pPr>
      <w:r w:rsidRPr="0055031E">
        <w:rPr>
          <w:i/>
        </w:rPr>
        <w:t xml:space="preserve"> </w:t>
      </w:r>
      <w:r w:rsidR="007C1F31" w:rsidRPr="0055031E">
        <w:rPr>
          <w:i/>
        </w:rPr>
        <w:t xml:space="preserve">Substantive issues: </w:t>
      </w:r>
      <w:r w:rsidR="00852B1B" w:rsidRPr="0055031E">
        <w:rPr>
          <w:i/>
        </w:rPr>
        <w:tab/>
      </w:r>
      <w:r w:rsidRPr="0055031E">
        <w:t xml:space="preserve">Alleged violation of </w:t>
      </w:r>
      <w:r w:rsidR="009D090B" w:rsidRPr="0055031E">
        <w:t>a</w:t>
      </w:r>
      <w:r w:rsidRPr="0055031E">
        <w:t>rticle 15</w:t>
      </w:r>
      <w:r w:rsidR="00A536E9" w:rsidRPr="0055031E">
        <w:t>(1)</w:t>
      </w:r>
      <w:r w:rsidR="00D764C3" w:rsidRPr="0055031E">
        <w:rPr>
          <w:lang w:val="en-US"/>
        </w:rPr>
        <w:t xml:space="preserve"> of the Covenant</w:t>
      </w:r>
    </w:p>
    <w:p w:rsidR="007C1F31" w:rsidRPr="0055031E" w:rsidRDefault="007C1F31" w:rsidP="00852B1B">
      <w:pPr>
        <w:pStyle w:val="SingleTxtG"/>
        <w:ind w:left="4536" w:hanging="3402"/>
      </w:pPr>
      <w:r w:rsidRPr="0055031E">
        <w:rPr>
          <w:i/>
        </w:rPr>
        <w:t>Articles of the Covenant:</w:t>
      </w:r>
      <w:r w:rsidR="00852B1B" w:rsidRPr="0055031E">
        <w:tab/>
      </w:r>
      <w:r w:rsidR="00FD4140" w:rsidRPr="0055031E">
        <w:rPr>
          <w:lang w:val="en-US"/>
        </w:rPr>
        <w:t>15</w:t>
      </w:r>
      <w:r w:rsidR="00A536E9" w:rsidRPr="0055031E">
        <w:rPr>
          <w:lang w:val="en-US"/>
        </w:rPr>
        <w:t>(1)</w:t>
      </w:r>
    </w:p>
    <w:p w:rsidR="007C1F31" w:rsidRPr="0055031E" w:rsidRDefault="007C1F31" w:rsidP="00852B1B">
      <w:pPr>
        <w:pStyle w:val="SingleTxtG"/>
        <w:ind w:left="4536" w:hanging="3402"/>
        <w:rPr>
          <w:i/>
        </w:rPr>
      </w:pPr>
      <w:r w:rsidRPr="0055031E">
        <w:rPr>
          <w:i/>
        </w:rPr>
        <w:t>Art</w:t>
      </w:r>
      <w:r w:rsidR="00DF7841" w:rsidRPr="0055031E">
        <w:rPr>
          <w:i/>
        </w:rPr>
        <w:t>icles of the Optional Protocol:</w:t>
      </w:r>
      <w:r w:rsidR="00852B1B" w:rsidRPr="0055031E">
        <w:rPr>
          <w:i/>
        </w:rPr>
        <w:tab/>
      </w:r>
      <w:r w:rsidR="00D764C3" w:rsidRPr="0055031E">
        <w:t>5</w:t>
      </w:r>
      <w:r w:rsidR="008A10D9" w:rsidRPr="0055031E">
        <w:t>, paragraph 2 (b)</w:t>
      </w:r>
    </w:p>
    <w:p w:rsidR="00852B1B" w:rsidRPr="0055031E" w:rsidRDefault="007C1F31" w:rsidP="00852B1B">
      <w:pPr>
        <w:pStyle w:val="HChG"/>
      </w:pPr>
      <w:r w:rsidRPr="0055031E">
        <w:br w:type="page"/>
      </w:r>
      <w:r w:rsidR="00852B1B" w:rsidRPr="0055031E">
        <w:lastRenderedPageBreak/>
        <w:t>Annex</w:t>
      </w:r>
    </w:p>
    <w:p w:rsidR="00852B1B" w:rsidRPr="0055031E" w:rsidRDefault="00852B1B" w:rsidP="003B05F7">
      <w:pPr>
        <w:pStyle w:val="HChG"/>
      </w:pPr>
      <w:r w:rsidRPr="0055031E">
        <w:tab/>
      </w:r>
      <w:r w:rsidRPr="0055031E">
        <w:tab/>
      </w:r>
      <w:r w:rsidR="00D764C3" w:rsidRPr="0055031E">
        <w:t>Decision of the Human Rights Committee under the Optional Protocol to the International Covenant on</w:t>
      </w:r>
      <w:r w:rsidR="00FD4140" w:rsidRPr="0055031E">
        <w:t xml:space="preserve"> Civil and Political Rights (107</w:t>
      </w:r>
      <w:r w:rsidR="00D764C3" w:rsidRPr="0055031E">
        <w:t xml:space="preserve">th </w:t>
      </w:r>
      <w:r w:rsidR="00D764C3" w:rsidRPr="0055031E">
        <w:rPr>
          <w:bCs/>
        </w:rPr>
        <w:t>session)</w:t>
      </w:r>
    </w:p>
    <w:p w:rsidR="00852B1B" w:rsidRPr="0055031E" w:rsidRDefault="00852B1B" w:rsidP="00852B1B">
      <w:pPr>
        <w:pStyle w:val="SingleTxtG"/>
        <w:rPr>
          <w:bCs/>
        </w:rPr>
      </w:pPr>
      <w:r w:rsidRPr="0055031E">
        <w:rPr>
          <w:bCs/>
        </w:rPr>
        <w:t>concerning</w:t>
      </w:r>
    </w:p>
    <w:p w:rsidR="00FA4E30" w:rsidRPr="0055031E" w:rsidRDefault="00852B1B" w:rsidP="00FA4E30">
      <w:pPr>
        <w:pStyle w:val="H1G"/>
      </w:pPr>
      <w:r w:rsidRPr="0055031E">
        <w:tab/>
      </w:r>
      <w:r w:rsidRPr="0055031E">
        <w:tab/>
        <w:t xml:space="preserve">Communication No. </w:t>
      </w:r>
      <w:r w:rsidR="00FD4140" w:rsidRPr="0055031E">
        <w:t>1921</w:t>
      </w:r>
      <w:r w:rsidR="00D764C3" w:rsidRPr="0055031E">
        <w:t>/200</w:t>
      </w:r>
      <w:r w:rsidR="00FD4140" w:rsidRPr="0055031E">
        <w:t>9</w:t>
      </w:r>
      <w:r w:rsidR="003F434D" w:rsidRPr="0055031E">
        <w:rPr>
          <w:rStyle w:val="FootnoteReference"/>
        </w:rPr>
        <w:footnoteReference w:customMarkFollows="1" w:id="2"/>
        <w:t>*</w:t>
      </w:r>
    </w:p>
    <w:p w:rsidR="00852B1B" w:rsidRPr="0055031E" w:rsidRDefault="00852B1B" w:rsidP="00852B1B">
      <w:pPr>
        <w:pStyle w:val="SingleTxtG"/>
        <w:ind w:left="4536" w:hanging="3402"/>
      </w:pPr>
      <w:r w:rsidRPr="0055031E">
        <w:rPr>
          <w:i/>
        </w:rPr>
        <w:t>Submitted by</w:t>
      </w:r>
      <w:r w:rsidRPr="0055031E">
        <w:t>:</w:t>
      </w:r>
      <w:r w:rsidRPr="0055031E">
        <w:tab/>
      </w:r>
      <w:r w:rsidR="00FD4140" w:rsidRPr="0055031E">
        <w:t>K</w:t>
      </w:r>
      <w:r w:rsidR="003F434D" w:rsidRPr="0055031E">
        <w:t>.</w:t>
      </w:r>
      <w:r w:rsidR="00FD4140" w:rsidRPr="0055031E">
        <w:t xml:space="preserve"> S</w:t>
      </w:r>
      <w:r w:rsidR="003F434D" w:rsidRPr="0055031E">
        <w:t>.</w:t>
      </w:r>
      <w:r w:rsidR="00D764C3" w:rsidRPr="0055031E">
        <w:t xml:space="preserve"> </w:t>
      </w:r>
      <w:r w:rsidR="001D2393" w:rsidRPr="0055031E">
        <w:rPr>
          <w:bCs/>
        </w:rPr>
        <w:t>(not represented by counsel)</w:t>
      </w:r>
    </w:p>
    <w:p w:rsidR="00852B1B" w:rsidRPr="0055031E" w:rsidRDefault="00852B1B" w:rsidP="00852B1B">
      <w:pPr>
        <w:pStyle w:val="SingleTxtG"/>
        <w:ind w:left="4536" w:hanging="3402"/>
      </w:pPr>
      <w:r w:rsidRPr="0055031E">
        <w:rPr>
          <w:i/>
        </w:rPr>
        <w:t>Alleged victim</w:t>
      </w:r>
      <w:r w:rsidRPr="0055031E">
        <w:t>:</w:t>
      </w:r>
      <w:r w:rsidRPr="0055031E">
        <w:tab/>
      </w:r>
      <w:r w:rsidR="00D764C3" w:rsidRPr="0055031E">
        <w:t>The author</w:t>
      </w:r>
    </w:p>
    <w:p w:rsidR="00852B1B" w:rsidRPr="0055031E" w:rsidRDefault="00852B1B" w:rsidP="00852B1B">
      <w:pPr>
        <w:pStyle w:val="SingleTxtG"/>
        <w:ind w:left="4536" w:hanging="3402"/>
      </w:pPr>
      <w:r w:rsidRPr="0055031E">
        <w:rPr>
          <w:i/>
        </w:rPr>
        <w:t>State party</w:t>
      </w:r>
      <w:r w:rsidRPr="0055031E">
        <w:t>:</w:t>
      </w:r>
      <w:r w:rsidRPr="0055031E">
        <w:tab/>
      </w:r>
      <w:smartTag w:uri="urn:schemas-microsoft-com:office:smarttags" w:element="place">
        <w:smartTag w:uri="urn:schemas-microsoft-com:office:smarttags" w:element="country-region">
          <w:r w:rsidR="00FD4140" w:rsidRPr="0055031E">
            <w:t>Australia</w:t>
          </w:r>
        </w:smartTag>
      </w:smartTag>
    </w:p>
    <w:p w:rsidR="00852B1B" w:rsidRPr="0055031E" w:rsidRDefault="00852B1B" w:rsidP="00852B1B">
      <w:pPr>
        <w:pStyle w:val="SingleTxtG"/>
        <w:ind w:left="4536" w:hanging="3402"/>
      </w:pPr>
      <w:r w:rsidRPr="0055031E">
        <w:rPr>
          <w:i/>
        </w:rPr>
        <w:t>Date of communication</w:t>
      </w:r>
      <w:r w:rsidRPr="0055031E">
        <w:t>:</w:t>
      </w:r>
      <w:r w:rsidRPr="0055031E">
        <w:tab/>
      </w:r>
      <w:r w:rsidR="00FD4140" w:rsidRPr="0055031E">
        <w:t>16 April 2009</w:t>
      </w:r>
      <w:r w:rsidR="00D764C3" w:rsidRPr="0055031E">
        <w:t xml:space="preserve"> </w:t>
      </w:r>
      <w:r w:rsidRPr="0055031E">
        <w:t>(initial submission)</w:t>
      </w:r>
    </w:p>
    <w:p w:rsidR="00852B1B" w:rsidRPr="0055031E" w:rsidRDefault="00852B1B" w:rsidP="00852B1B">
      <w:pPr>
        <w:pStyle w:val="SingleTxtG"/>
      </w:pPr>
      <w:r w:rsidRPr="0055031E">
        <w:rPr>
          <w:i/>
        </w:rPr>
        <w:tab/>
        <w:t>The</w:t>
      </w:r>
      <w:r w:rsidRPr="0055031E">
        <w:t xml:space="preserve"> </w:t>
      </w:r>
      <w:r w:rsidRPr="0055031E">
        <w:rPr>
          <w:i/>
        </w:rPr>
        <w:t>Human</w:t>
      </w:r>
      <w:r w:rsidRPr="0055031E">
        <w:t xml:space="preserve"> </w:t>
      </w:r>
      <w:r w:rsidRPr="0055031E">
        <w:rPr>
          <w:i/>
        </w:rPr>
        <w:t>Rights</w:t>
      </w:r>
      <w:r w:rsidRPr="0055031E">
        <w:t xml:space="preserve"> </w:t>
      </w:r>
      <w:r w:rsidRPr="0055031E">
        <w:rPr>
          <w:i/>
        </w:rPr>
        <w:t>Committee</w:t>
      </w:r>
      <w:r w:rsidRPr="0055031E">
        <w:t>, established under article 28 of the International Covenant on Civil and Political Rights,</w:t>
      </w:r>
    </w:p>
    <w:p w:rsidR="00852B1B" w:rsidRPr="0055031E" w:rsidRDefault="00852B1B" w:rsidP="007A1601">
      <w:pPr>
        <w:pStyle w:val="SingleTxtG"/>
      </w:pPr>
      <w:r w:rsidRPr="0055031E">
        <w:tab/>
      </w:r>
      <w:r w:rsidRPr="0055031E">
        <w:rPr>
          <w:i/>
        </w:rPr>
        <w:t>Meeting</w:t>
      </w:r>
      <w:r w:rsidRPr="0055031E">
        <w:t xml:space="preserve"> </w:t>
      </w:r>
      <w:r w:rsidRPr="0055031E">
        <w:rPr>
          <w:i/>
        </w:rPr>
        <w:t>on</w:t>
      </w:r>
      <w:r w:rsidRPr="0055031E">
        <w:t xml:space="preserve"> </w:t>
      </w:r>
      <w:r w:rsidR="003F434D" w:rsidRPr="0055031E">
        <w:t xml:space="preserve">25 </w:t>
      </w:r>
      <w:r w:rsidR="00FD4140" w:rsidRPr="0055031E">
        <w:t>March 2013</w:t>
      </w:r>
      <w:r w:rsidRPr="0055031E">
        <w:t>,</w:t>
      </w:r>
    </w:p>
    <w:p w:rsidR="00852B1B" w:rsidRPr="0055031E" w:rsidRDefault="00852B1B" w:rsidP="00852B1B">
      <w:pPr>
        <w:pStyle w:val="SingleTxtG"/>
      </w:pPr>
      <w:r w:rsidRPr="0055031E">
        <w:tab/>
      </w:r>
      <w:r w:rsidRPr="0055031E">
        <w:rPr>
          <w:i/>
        </w:rPr>
        <w:t>Adopts the following</w:t>
      </w:r>
      <w:r w:rsidRPr="0055031E">
        <w:t>:</w:t>
      </w:r>
    </w:p>
    <w:p w:rsidR="00852B1B" w:rsidRPr="0055031E" w:rsidRDefault="00852B1B" w:rsidP="00852B1B">
      <w:pPr>
        <w:pStyle w:val="H1G"/>
      </w:pPr>
      <w:r w:rsidRPr="0055031E">
        <w:tab/>
      </w:r>
      <w:r w:rsidRPr="0055031E">
        <w:tab/>
      </w:r>
      <w:r w:rsidR="00D764C3" w:rsidRPr="0055031E">
        <w:t>Decision on admissibility</w:t>
      </w:r>
    </w:p>
    <w:p w:rsidR="007C1F31" w:rsidRPr="0055031E" w:rsidRDefault="007C1F31" w:rsidP="007C1F31">
      <w:pPr>
        <w:pStyle w:val="SingleTxtG"/>
      </w:pPr>
      <w:r w:rsidRPr="0055031E">
        <w:t>1.</w:t>
      </w:r>
      <w:r w:rsidRPr="0055031E">
        <w:tab/>
      </w:r>
      <w:r w:rsidR="00D764C3" w:rsidRPr="0055031E">
        <w:rPr>
          <w:lang w:val="en-US"/>
        </w:rPr>
        <w:t>The autho</w:t>
      </w:r>
      <w:r w:rsidR="00FD4140" w:rsidRPr="0055031E">
        <w:rPr>
          <w:lang w:val="en-US"/>
        </w:rPr>
        <w:t>r of the communication, dated 16 April</w:t>
      </w:r>
      <w:r w:rsidR="00D764C3" w:rsidRPr="0055031E">
        <w:rPr>
          <w:lang w:val="en-US"/>
        </w:rPr>
        <w:t xml:space="preserve"> 200</w:t>
      </w:r>
      <w:r w:rsidR="00FD4140" w:rsidRPr="0055031E">
        <w:rPr>
          <w:lang w:val="en-US"/>
        </w:rPr>
        <w:t>9</w:t>
      </w:r>
      <w:r w:rsidR="00D764C3" w:rsidRPr="0055031E">
        <w:rPr>
          <w:lang w:val="en-US"/>
        </w:rPr>
        <w:t xml:space="preserve">, is Mr. </w:t>
      </w:r>
      <w:r w:rsidR="00FD4140" w:rsidRPr="0055031E">
        <w:rPr>
          <w:lang w:val="en-US"/>
        </w:rPr>
        <w:t>K</w:t>
      </w:r>
      <w:r w:rsidR="003F434D" w:rsidRPr="0055031E">
        <w:rPr>
          <w:lang w:val="en-US"/>
        </w:rPr>
        <w:t>.</w:t>
      </w:r>
      <w:r w:rsidR="00FD4140" w:rsidRPr="0055031E">
        <w:rPr>
          <w:lang w:val="en-US"/>
        </w:rPr>
        <w:t xml:space="preserve"> S</w:t>
      </w:r>
      <w:r w:rsidR="003F434D" w:rsidRPr="0055031E">
        <w:rPr>
          <w:lang w:val="en-US"/>
        </w:rPr>
        <w:t>.</w:t>
      </w:r>
      <w:r w:rsidR="00D764C3" w:rsidRPr="0055031E">
        <w:rPr>
          <w:lang w:val="en-US"/>
        </w:rPr>
        <w:t>, a</w:t>
      </w:r>
      <w:r w:rsidR="00FD4140" w:rsidRPr="0055031E">
        <w:rPr>
          <w:lang w:val="en-US"/>
        </w:rPr>
        <w:t>n Australian</w:t>
      </w:r>
      <w:r w:rsidR="00D764C3" w:rsidRPr="0055031E">
        <w:rPr>
          <w:lang w:val="en-US"/>
        </w:rPr>
        <w:t xml:space="preserve"> national born </w:t>
      </w:r>
      <w:r w:rsidR="0036770F" w:rsidRPr="0055031E">
        <w:rPr>
          <w:lang w:val="en-US"/>
        </w:rPr>
        <w:t>on 30 June 1966</w:t>
      </w:r>
      <w:r w:rsidR="00D764C3" w:rsidRPr="0055031E">
        <w:rPr>
          <w:lang w:val="en-US"/>
        </w:rPr>
        <w:t>. He co</w:t>
      </w:r>
      <w:r w:rsidR="006A1F45" w:rsidRPr="0055031E">
        <w:rPr>
          <w:lang w:val="en-US"/>
        </w:rPr>
        <w:t xml:space="preserve">mplains of a violation by </w:t>
      </w:r>
      <w:smartTag w:uri="urn:schemas-microsoft-com:office:smarttags" w:element="place">
        <w:smartTag w:uri="urn:schemas-microsoft-com:office:smarttags" w:element="country-region">
          <w:r w:rsidR="006A1F45" w:rsidRPr="0055031E">
            <w:rPr>
              <w:lang w:val="en-US"/>
            </w:rPr>
            <w:t>Australia</w:t>
          </w:r>
        </w:smartTag>
      </w:smartTag>
      <w:r w:rsidR="006A1F45" w:rsidRPr="0055031E">
        <w:rPr>
          <w:lang w:val="en-US"/>
        </w:rPr>
        <w:t xml:space="preserve"> of article 15</w:t>
      </w:r>
      <w:r w:rsidR="00CF51B4" w:rsidRPr="0055031E">
        <w:rPr>
          <w:lang w:val="en-US"/>
        </w:rPr>
        <w:t>(1)</w:t>
      </w:r>
      <w:r w:rsidR="00D764C3" w:rsidRPr="0055031E">
        <w:rPr>
          <w:lang w:val="en-US"/>
        </w:rPr>
        <w:t xml:space="preserve"> of the Covenant. The Covenant an</w:t>
      </w:r>
      <w:r w:rsidR="002D5E9F" w:rsidRPr="0055031E">
        <w:rPr>
          <w:lang w:val="en-US"/>
        </w:rPr>
        <w:t xml:space="preserve">d its Optional Protocol </w:t>
      </w:r>
      <w:r w:rsidR="00D764C3" w:rsidRPr="0055031E">
        <w:rPr>
          <w:lang w:val="en-US"/>
        </w:rPr>
        <w:t xml:space="preserve">entered into force for </w:t>
      </w:r>
      <w:smartTag w:uri="urn:schemas-microsoft-com:office:smarttags" w:element="place">
        <w:smartTag w:uri="urn:schemas-microsoft-com:office:smarttags" w:element="country-region">
          <w:r w:rsidR="006A1F45" w:rsidRPr="0055031E">
            <w:rPr>
              <w:lang w:val="en-US"/>
            </w:rPr>
            <w:t>Australia</w:t>
          </w:r>
        </w:smartTag>
      </w:smartTag>
      <w:r w:rsidR="006A1F45" w:rsidRPr="0055031E">
        <w:rPr>
          <w:lang w:val="en-US"/>
        </w:rPr>
        <w:t xml:space="preserve"> </w:t>
      </w:r>
      <w:r w:rsidR="009659D3" w:rsidRPr="0055031E">
        <w:rPr>
          <w:lang w:val="en-US"/>
        </w:rPr>
        <w:t>on 13 August</w:t>
      </w:r>
      <w:r w:rsidR="00D764C3" w:rsidRPr="0055031E">
        <w:rPr>
          <w:lang w:val="en-US"/>
        </w:rPr>
        <w:t xml:space="preserve"> 19</w:t>
      </w:r>
      <w:r w:rsidR="009659D3" w:rsidRPr="0055031E">
        <w:rPr>
          <w:lang w:val="en-US"/>
        </w:rPr>
        <w:t>80 and 25 September</w:t>
      </w:r>
      <w:r w:rsidR="00D764C3" w:rsidRPr="0055031E">
        <w:rPr>
          <w:lang w:val="en-US"/>
        </w:rPr>
        <w:t xml:space="preserve"> 199</w:t>
      </w:r>
      <w:r w:rsidR="009659D3" w:rsidRPr="0055031E">
        <w:rPr>
          <w:lang w:val="en-US"/>
        </w:rPr>
        <w:t>1</w:t>
      </w:r>
      <w:r w:rsidR="00D764C3" w:rsidRPr="0055031E">
        <w:rPr>
          <w:lang w:val="en-US"/>
        </w:rPr>
        <w:t xml:space="preserve"> respectively. The author is not represented by counsel.</w:t>
      </w:r>
    </w:p>
    <w:p w:rsidR="007C1F31" w:rsidRPr="0055031E" w:rsidRDefault="00852B1B" w:rsidP="00415FAC">
      <w:pPr>
        <w:pStyle w:val="H23G"/>
      </w:pPr>
      <w:r w:rsidRPr="0055031E">
        <w:tab/>
      </w:r>
      <w:r w:rsidRPr="0055031E">
        <w:tab/>
      </w:r>
      <w:r w:rsidR="007C1F31" w:rsidRPr="0055031E">
        <w:t>The facts as presented by the author</w:t>
      </w:r>
    </w:p>
    <w:p w:rsidR="00104610" w:rsidRPr="0055031E" w:rsidRDefault="00D263B2" w:rsidP="009D090B">
      <w:pPr>
        <w:pStyle w:val="SingleTxtG"/>
      </w:pPr>
      <w:r w:rsidRPr="0055031E">
        <w:t>2.1</w:t>
      </w:r>
      <w:r w:rsidRPr="0055031E">
        <w:tab/>
      </w:r>
      <w:r w:rsidR="00104610" w:rsidRPr="0055031E">
        <w:t>The author committed an offence on 8 November 1994 and was subsequently charged with wilful murder on 10 November 1994.  He was convicted on 27 September 1995 and sentenced on 21 November 1995 to life imprisonment with a minimum of 17 years before being eligible for parole.</w:t>
      </w:r>
      <w:r w:rsidR="00104610" w:rsidRPr="0055031E">
        <w:rPr>
          <w:rStyle w:val="FootnoteReference"/>
        </w:rPr>
        <w:footnoteReference w:id="3"/>
      </w:r>
      <w:r w:rsidR="00104610" w:rsidRPr="0055031E">
        <w:t xml:space="preserve">  The Court ordered the sentence under section 40D2(d) of the </w:t>
      </w:r>
      <w:r w:rsidR="00104610" w:rsidRPr="0055031E">
        <w:rPr>
          <w:iCs/>
        </w:rPr>
        <w:t>Criminal Law Amendment Act 1994</w:t>
      </w:r>
      <w:r w:rsidR="0085772D" w:rsidRPr="0055031E">
        <w:rPr>
          <w:iCs/>
        </w:rPr>
        <w:t>,</w:t>
      </w:r>
      <w:r w:rsidR="00104610" w:rsidRPr="0055031E">
        <w:t xml:space="preserve"> which reads:</w:t>
      </w:r>
      <w:r w:rsidR="003A3CBA" w:rsidRPr="0055031E">
        <w:rPr>
          <w:rFonts w:ascii="Calibri" w:hAnsi="Calibri" w:cs="Calibri"/>
        </w:rPr>
        <w:t xml:space="preserve"> </w:t>
      </w:r>
    </w:p>
    <w:p w:rsidR="00104610" w:rsidRPr="0055031E" w:rsidRDefault="00104610" w:rsidP="0055031E">
      <w:pPr>
        <w:pStyle w:val="SingleTxtG"/>
        <w:ind w:left="1701" w:right="1701"/>
        <w:rPr>
          <w:iCs/>
        </w:rPr>
      </w:pPr>
      <w:r w:rsidRPr="0055031E">
        <w:rPr>
          <w:iCs/>
        </w:rPr>
        <w:t>The court that sentences a person to life imprisonment for wilful murder must set a minimum term of at least 15 years and not more than 19 years that the person must serve before being released on parole.</w:t>
      </w:r>
    </w:p>
    <w:p w:rsidR="00104610" w:rsidRPr="0055031E" w:rsidRDefault="003A3CBA" w:rsidP="00104610">
      <w:pPr>
        <w:pStyle w:val="SingleTxtG"/>
      </w:pPr>
      <w:r w:rsidRPr="0055031E">
        <w:lastRenderedPageBreak/>
        <w:t>2.2</w:t>
      </w:r>
      <w:r w:rsidRPr="0055031E">
        <w:tab/>
      </w:r>
      <w:r w:rsidR="000B51A0" w:rsidRPr="0055031E">
        <w:t xml:space="preserve">Section 40D2(f) of the </w:t>
      </w:r>
      <w:r w:rsidR="000B51A0" w:rsidRPr="0055031E">
        <w:rPr>
          <w:iCs/>
        </w:rPr>
        <w:t>Criminal Law Amendment Act</w:t>
      </w:r>
      <w:r w:rsidR="000B51A0" w:rsidRPr="0055031E">
        <w:t xml:space="preserve"> required a court imposing a life sentence to set a parole eligibility date according to this formula irrespective of whether the offence occurred on, before or after the entry into force of the provisions of that Act.  </w:t>
      </w:r>
      <w:r w:rsidR="004F0DC4" w:rsidRPr="0055031E">
        <w:t>T</w:t>
      </w:r>
      <w:r w:rsidR="00104610" w:rsidRPr="0055031E">
        <w:t xml:space="preserve">he </w:t>
      </w:r>
      <w:r w:rsidR="00104610" w:rsidRPr="0055031E">
        <w:rPr>
          <w:iCs/>
        </w:rPr>
        <w:t>Criminal Law Amendment Act</w:t>
      </w:r>
      <w:r w:rsidR="00104610" w:rsidRPr="0055031E">
        <w:rPr>
          <w:i/>
        </w:rPr>
        <w:t xml:space="preserve"> </w:t>
      </w:r>
      <w:r w:rsidR="00104610" w:rsidRPr="0055031E">
        <w:t>1994 entered into force only on</w:t>
      </w:r>
      <w:r w:rsidR="00AD2DFF" w:rsidRPr="0055031E">
        <w:t xml:space="preserve"> 20 January 1995, </w:t>
      </w:r>
      <w:r w:rsidR="00186106" w:rsidRPr="0055031E">
        <w:t>before</w:t>
      </w:r>
      <w:r w:rsidR="00104610" w:rsidRPr="0055031E">
        <w:t xml:space="preserve"> the sentencing of the author but after the commission of the offence.</w:t>
      </w:r>
    </w:p>
    <w:p w:rsidR="009E6831" w:rsidRPr="0055031E" w:rsidRDefault="003A3CBA" w:rsidP="00A4480C">
      <w:pPr>
        <w:pStyle w:val="SingleTxtG"/>
      </w:pPr>
      <w:r w:rsidRPr="0055031E">
        <w:t>2.3</w:t>
      </w:r>
      <w:r w:rsidRPr="0055031E">
        <w:tab/>
      </w:r>
      <w:r w:rsidR="00104610" w:rsidRPr="0055031E">
        <w:t xml:space="preserve">Prior to 20 January 1995, the applicable law related to sentencing was the </w:t>
      </w:r>
      <w:r w:rsidR="00104610" w:rsidRPr="0055031E">
        <w:rPr>
          <w:iCs/>
        </w:rPr>
        <w:t>Offenders Community Corrections Act</w:t>
      </w:r>
      <w:r w:rsidR="00104610" w:rsidRPr="0055031E">
        <w:t xml:space="preserve"> 1963, which established a minimum non-parole period of 12 years</w:t>
      </w:r>
      <w:r w:rsidR="00DF7841" w:rsidRPr="0055031E">
        <w:t xml:space="preserve">. </w:t>
      </w:r>
      <w:r w:rsidR="00A43454" w:rsidRPr="0055031E">
        <w:t xml:space="preserve">Section 34 of that Act stipulates that a prisoner undergoing a sentence of life imprisonment imposed on or after the commencement date under section 282(a)(ii) or (c)(ii) of </w:t>
      </w:r>
      <w:r w:rsidR="00A4480C" w:rsidRPr="0055031E">
        <w:rPr>
          <w:iCs/>
        </w:rPr>
        <w:t>t</w:t>
      </w:r>
      <w:r w:rsidR="00C866D8" w:rsidRPr="0055031E">
        <w:rPr>
          <w:iCs/>
        </w:rPr>
        <w:t>he Criminal Code</w:t>
      </w:r>
      <w:r w:rsidR="00C866D8" w:rsidRPr="0055031E">
        <w:t xml:space="preserve">, as was the case for the author, would be eligible to have a report </w:t>
      </w:r>
      <w:r w:rsidR="00186106" w:rsidRPr="0055031E">
        <w:t xml:space="preserve">on the prisoner’s eligibility for parole </w:t>
      </w:r>
      <w:r w:rsidR="00C866D8" w:rsidRPr="0055031E">
        <w:t xml:space="preserve">furnished on the date of expiration of a period of 12 years after the prisoner was sentenced.  </w:t>
      </w:r>
    </w:p>
    <w:p w:rsidR="009E6831" w:rsidRPr="0055031E" w:rsidRDefault="000B51A0" w:rsidP="00944FF0">
      <w:pPr>
        <w:pStyle w:val="SingleTxtG"/>
      </w:pPr>
      <w:r w:rsidRPr="0055031E">
        <w:t>2.4</w:t>
      </w:r>
      <w:r w:rsidR="009E6831" w:rsidRPr="0055031E">
        <w:tab/>
      </w:r>
      <w:r w:rsidR="00186106" w:rsidRPr="0055031E">
        <w:t>The author</w:t>
      </w:r>
      <w:r w:rsidR="009E6831" w:rsidRPr="0055031E">
        <w:t xml:space="preserve"> highlighted the fact that section 10 of the </w:t>
      </w:r>
      <w:r w:rsidR="009E6831" w:rsidRPr="0055031E">
        <w:rPr>
          <w:iCs/>
        </w:rPr>
        <w:t xml:space="preserve">Sentencing Act </w:t>
      </w:r>
      <w:r w:rsidR="009E6831" w:rsidRPr="0055031E">
        <w:t>1995 reads:</w:t>
      </w:r>
    </w:p>
    <w:p w:rsidR="009E6831" w:rsidRPr="0055031E" w:rsidRDefault="009E6831" w:rsidP="0055031E">
      <w:pPr>
        <w:pStyle w:val="SingleTxtG"/>
        <w:ind w:left="1701" w:right="1701"/>
        <w:rPr>
          <w:iCs/>
        </w:rPr>
      </w:pPr>
      <w:r w:rsidRPr="0055031E">
        <w:rPr>
          <w:iCs/>
        </w:rPr>
        <w:t xml:space="preserve">If a statutory penalty for an offence changes between the time when the offender committed it and the time </w:t>
      </w:r>
      <w:r w:rsidR="00677E93" w:rsidRPr="0055031E">
        <w:rPr>
          <w:iCs/>
        </w:rPr>
        <w:t xml:space="preserve">when </w:t>
      </w:r>
      <w:r w:rsidRPr="0055031E">
        <w:rPr>
          <w:iCs/>
        </w:rPr>
        <w:t>the offender is sentenced for it, the lesser statutory penalty applies for the purposes of sentencing the offender.</w:t>
      </w:r>
    </w:p>
    <w:p w:rsidR="009E6831" w:rsidRPr="0055031E" w:rsidRDefault="000B51A0" w:rsidP="00677E93">
      <w:pPr>
        <w:pStyle w:val="SingleTxtG"/>
      </w:pPr>
      <w:r w:rsidRPr="0055031E">
        <w:t>2.5</w:t>
      </w:r>
      <w:r w:rsidR="009E6831" w:rsidRPr="0055031E">
        <w:tab/>
        <w:t xml:space="preserve">In 2005, the author was informed of the possibility </w:t>
      </w:r>
      <w:r w:rsidR="00BC3AC9" w:rsidRPr="0055031E">
        <w:t xml:space="preserve">of </w:t>
      </w:r>
      <w:r w:rsidR="009E6831" w:rsidRPr="0055031E">
        <w:t>challeng</w:t>
      </w:r>
      <w:r w:rsidR="00BC3AC9" w:rsidRPr="0055031E">
        <w:t>ing</w:t>
      </w:r>
      <w:r w:rsidR="009E6831" w:rsidRPr="0055031E">
        <w:t xml:space="preserve"> his past sentence on </w:t>
      </w:r>
      <w:r w:rsidR="00BC3AC9" w:rsidRPr="0055031E">
        <w:t xml:space="preserve">the basis of </w:t>
      </w:r>
      <w:r w:rsidR="009E6831" w:rsidRPr="0055031E">
        <w:t>a</w:t>
      </w:r>
      <w:r w:rsidR="00BC3AC9" w:rsidRPr="0055031E">
        <w:t>n</w:t>
      </w:r>
      <w:r w:rsidR="009E6831" w:rsidRPr="0055031E">
        <w:t xml:space="preserve"> </w:t>
      </w:r>
      <w:r w:rsidR="00BC3AC9" w:rsidRPr="0055031E">
        <w:t xml:space="preserve">incorrect </w:t>
      </w:r>
      <w:r w:rsidR="009E6831" w:rsidRPr="0055031E">
        <w:t xml:space="preserve">application of the law.  He sent a letter </w:t>
      </w:r>
      <w:r w:rsidR="00677E93" w:rsidRPr="0055031E">
        <w:t xml:space="preserve">to </w:t>
      </w:r>
      <w:r w:rsidR="009E6831" w:rsidRPr="0055031E">
        <w:t xml:space="preserve">the Department of Public Prosecutions (DPP) to challenge the sentence and the DPP agreed that there might have been an inconsistency.  In March 2006, the author made an application to the Supreme Court </w:t>
      </w:r>
      <w:r w:rsidR="000759E7" w:rsidRPr="0055031E">
        <w:t xml:space="preserve">of Western Australia </w:t>
      </w:r>
      <w:r w:rsidR="009E6831" w:rsidRPr="0055031E">
        <w:t xml:space="preserve">for administrative re-sentencing under section 37 of the </w:t>
      </w:r>
      <w:r w:rsidR="009E6831" w:rsidRPr="0055031E">
        <w:rPr>
          <w:iCs/>
        </w:rPr>
        <w:t>Sentencing Act</w:t>
      </w:r>
      <w:r w:rsidR="009E6831" w:rsidRPr="0055031E">
        <w:rPr>
          <w:i/>
        </w:rPr>
        <w:t xml:space="preserve"> </w:t>
      </w:r>
      <w:r w:rsidR="009E6831" w:rsidRPr="0055031E">
        <w:t xml:space="preserve">1995.  Article 37 of the </w:t>
      </w:r>
      <w:r w:rsidR="009E6831" w:rsidRPr="0055031E">
        <w:rPr>
          <w:iCs/>
        </w:rPr>
        <w:t>Sentencing Act</w:t>
      </w:r>
      <w:r w:rsidR="009E6831" w:rsidRPr="0055031E">
        <w:rPr>
          <w:i/>
        </w:rPr>
        <w:t xml:space="preserve"> </w:t>
      </w:r>
      <w:r w:rsidR="009E6831" w:rsidRPr="0055031E">
        <w:t>1995 reads:</w:t>
      </w:r>
    </w:p>
    <w:p w:rsidR="009E6831" w:rsidRPr="0055031E" w:rsidRDefault="009E6831" w:rsidP="0055031E">
      <w:pPr>
        <w:pStyle w:val="SingleTxtG"/>
        <w:ind w:left="1701" w:right="1701"/>
        <w:rPr>
          <w:iCs/>
        </w:rPr>
      </w:pPr>
      <w:r w:rsidRPr="0055031E">
        <w:rPr>
          <w:iCs/>
        </w:rPr>
        <w:t>If a court sentences an offender in a manner that is not in accordance with this Act or the written law under which the offence is committed, the court may recall the order imposing the sentence and impose a sentence that is.</w:t>
      </w:r>
    </w:p>
    <w:p w:rsidR="009E6831" w:rsidRPr="0055031E" w:rsidRDefault="000B51A0" w:rsidP="009E6831">
      <w:pPr>
        <w:pStyle w:val="SingleTxtG"/>
      </w:pPr>
      <w:r w:rsidRPr="0055031E">
        <w:t>2.6</w:t>
      </w:r>
      <w:r w:rsidR="009E6831" w:rsidRPr="0055031E">
        <w:tab/>
        <w:t xml:space="preserve">On 17 March 2006, the Supreme Court, taking into account section 10 of the </w:t>
      </w:r>
      <w:r w:rsidR="009E6831" w:rsidRPr="0055031E">
        <w:rPr>
          <w:iCs/>
        </w:rPr>
        <w:t>Sentencing Act</w:t>
      </w:r>
      <w:r w:rsidR="009E6831" w:rsidRPr="0055031E">
        <w:rPr>
          <w:i/>
        </w:rPr>
        <w:t xml:space="preserve"> </w:t>
      </w:r>
      <w:r w:rsidR="009E6831" w:rsidRPr="0055031E">
        <w:t>1995, altered the author’s sentence from a 17</w:t>
      </w:r>
      <w:r w:rsidR="00BC1731" w:rsidRPr="0055031E">
        <w:t>-</w:t>
      </w:r>
      <w:r w:rsidR="009E6831" w:rsidRPr="0055031E">
        <w:t>year to a 12</w:t>
      </w:r>
      <w:r w:rsidR="00BC1731" w:rsidRPr="0055031E">
        <w:t>-</w:t>
      </w:r>
      <w:r w:rsidR="009E6831" w:rsidRPr="0055031E">
        <w:t>year minimum non-parole period.  The DPP did not oppose the application at that time.  As a result, the author was eligible for release on 20 November 2007.</w:t>
      </w:r>
    </w:p>
    <w:p w:rsidR="009E6831" w:rsidRPr="0055031E" w:rsidRDefault="000B51A0" w:rsidP="009E6831">
      <w:pPr>
        <w:pStyle w:val="SingleTxtG"/>
      </w:pPr>
      <w:r w:rsidRPr="0055031E">
        <w:t>2.7</w:t>
      </w:r>
      <w:r w:rsidR="009E6831" w:rsidRPr="0055031E">
        <w:tab/>
        <w:t>The DPP later became aware of the provisions of section 40</w:t>
      </w:r>
      <w:r w:rsidR="00DF77DE">
        <w:t xml:space="preserve"> </w:t>
      </w:r>
      <w:r w:rsidR="009E6831" w:rsidRPr="0055031E">
        <w:t xml:space="preserve">D(2)(f) of the </w:t>
      </w:r>
      <w:r w:rsidR="009E6831" w:rsidRPr="0055031E">
        <w:rPr>
          <w:iCs/>
        </w:rPr>
        <w:t>Criminal Law Amendment Act</w:t>
      </w:r>
      <w:r w:rsidR="009E6831" w:rsidRPr="0055031E">
        <w:rPr>
          <w:i/>
        </w:rPr>
        <w:t xml:space="preserve"> </w:t>
      </w:r>
      <w:r w:rsidR="009E6831" w:rsidRPr="0055031E">
        <w:t>1994.  On 25 October 2007,</w:t>
      </w:r>
      <w:r w:rsidR="00AC1BA2" w:rsidRPr="0055031E">
        <w:t xml:space="preserve"> the DPP sought leave </w:t>
      </w:r>
      <w:r w:rsidR="000759E7" w:rsidRPr="0055031E">
        <w:t xml:space="preserve">before the Court of Appeal of </w:t>
      </w:r>
      <w:smartTag w:uri="urn:schemas-microsoft-com:office:smarttags" w:element="place">
        <w:smartTag w:uri="urn:schemas-microsoft-com:office:smarttags" w:element="State">
          <w:r w:rsidR="000759E7" w:rsidRPr="0055031E">
            <w:t>Western Australia</w:t>
          </w:r>
        </w:smartTag>
      </w:smartTag>
      <w:r w:rsidR="000759E7" w:rsidRPr="0055031E">
        <w:t xml:space="preserve"> </w:t>
      </w:r>
      <w:r w:rsidR="00AC1BA2" w:rsidRPr="0055031E">
        <w:t xml:space="preserve">to set aside </w:t>
      </w:r>
      <w:r w:rsidR="009E6831" w:rsidRPr="0055031E">
        <w:t>the decis</w:t>
      </w:r>
      <w:r w:rsidR="000062E4" w:rsidRPr="0055031E">
        <w:t>ion of the Supreme Court</w:t>
      </w:r>
      <w:r w:rsidR="009E6831" w:rsidRPr="0055031E">
        <w:t>.</w:t>
      </w:r>
      <w:r w:rsidR="00A87AC1" w:rsidRPr="0055031E">
        <w:rPr>
          <w:rStyle w:val="FootnoteReference"/>
        </w:rPr>
        <w:footnoteReference w:id="4"/>
      </w:r>
      <w:r w:rsidR="009E6831" w:rsidRPr="0055031E">
        <w:t xml:space="preserve">  </w:t>
      </w:r>
    </w:p>
    <w:p w:rsidR="00C866D8" w:rsidRPr="0055031E" w:rsidRDefault="000B51A0" w:rsidP="00855489">
      <w:pPr>
        <w:pStyle w:val="SingleTxtG"/>
      </w:pPr>
      <w:r w:rsidRPr="0055031E">
        <w:t>2.8</w:t>
      </w:r>
      <w:r w:rsidR="009E6831" w:rsidRPr="0055031E">
        <w:tab/>
        <w:t xml:space="preserve">On 4 December 2007, the Court of Appeal of the Supreme Court of </w:t>
      </w:r>
      <w:r w:rsidR="00464D3D" w:rsidRPr="0055031E">
        <w:t>Western Australia set aside</w:t>
      </w:r>
      <w:r w:rsidR="009E6831" w:rsidRPr="0055031E">
        <w:t xml:space="preserve"> the </w:t>
      </w:r>
      <w:r w:rsidR="004F0DC4" w:rsidRPr="0055031E">
        <w:t xml:space="preserve">Supreme </w:t>
      </w:r>
      <w:r w:rsidR="009E6831" w:rsidRPr="0055031E">
        <w:t>Court’s judg</w:t>
      </w:r>
      <w:r w:rsidR="00DE66BC" w:rsidRPr="0055031E">
        <w:t>e</w:t>
      </w:r>
      <w:r w:rsidR="009E6831" w:rsidRPr="0055031E">
        <w:t>ment and confirmed the original sentence of life imprisonment with a minimum 17</w:t>
      </w:r>
      <w:r w:rsidR="00DE66BC" w:rsidRPr="0055031E">
        <w:t>-</w:t>
      </w:r>
      <w:r w:rsidR="009E6831" w:rsidRPr="0055031E">
        <w:t>year non-parole pe</w:t>
      </w:r>
      <w:r w:rsidR="00464D3D" w:rsidRPr="0055031E">
        <w:t>riod.  The Court of Appeal concluded</w:t>
      </w:r>
      <w:r w:rsidR="009E6831" w:rsidRPr="0055031E">
        <w:t xml:space="preserve"> that</w:t>
      </w:r>
      <w:r w:rsidR="00464D3D" w:rsidRPr="0055031E">
        <w:t xml:space="preserve"> there was no contention by either party that the original sentence was deficient</w:t>
      </w:r>
      <w:r w:rsidR="006E3A58" w:rsidRPr="0055031E">
        <w:t xml:space="preserve"> or inappropriate</w:t>
      </w:r>
      <w:r w:rsidR="00464D3D" w:rsidRPr="0055031E">
        <w:t>, noting that</w:t>
      </w:r>
      <w:r w:rsidR="009E6831" w:rsidRPr="0055031E">
        <w:t xml:space="preserve"> </w:t>
      </w:r>
      <w:r w:rsidR="00BC1731" w:rsidRPr="0055031E">
        <w:t>“</w:t>
      </w:r>
      <w:r w:rsidR="009E6831" w:rsidRPr="0055031E">
        <w:t xml:space="preserve">section 37(1) of the </w:t>
      </w:r>
      <w:r w:rsidR="009E6831" w:rsidRPr="0055031E">
        <w:rPr>
          <w:iCs/>
        </w:rPr>
        <w:t>Sentencing Act</w:t>
      </w:r>
      <w:r w:rsidR="009E6831" w:rsidRPr="0055031E">
        <w:t xml:space="preserve"> empowers a court to recall an order imposing a sentence only in a case in which the offender was sentenced in a manner that was not in accordance with the </w:t>
      </w:r>
      <w:r w:rsidR="009E6831" w:rsidRPr="0055031E">
        <w:rPr>
          <w:iCs/>
        </w:rPr>
        <w:t>Sentencing Act</w:t>
      </w:r>
      <w:r w:rsidR="009E6831" w:rsidRPr="0055031E">
        <w:t xml:space="preserve"> or the written law under which the offence was committed.  The section had no application in </w:t>
      </w:r>
      <w:r w:rsidR="0068248A" w:rsidRPr="0055031E">
        <w:t>t</w:t>
      </w:r>
      <w:r w:rsidR="009E6831" w:rsidRPr="0055031E">
        <w:t>his case in which the offender was properly sentenced under the then applicable legislation</w:t>
      </w:r>
      <w:r w:rsidR="00855489" w:rsidRPr="0055031E">
        <w:t>.</w:t>
      </w:r>
      <w:r w:rsidR="00BC1731" w:rsidRPr="0055031E">
        <w:t>”</w:t>
      </w:r>
      <w:r w:rsidR="004F0DC4" w:rsidRPr="0055031E">
        <w:rPr>
          <w:rStyle w:val="FootnoteReference"/>
        </w:rPr>
        <w:footnoteReference w:id="5"/>
      </w:r>
    </w:p>
    <w:p w:rsidR="007C1F31" w:rsidRPr="0055031E" w:rsidRDefault="00415FAC" w:rsidP="00415FAC">
      <w:pPr>
        <w:pStyle w:val="H23G"/>
      </w:pPr>
      <w:r w:rsidRPr="0055031E">
        <w:lastRenderedPageBreak/>
        <w:tab/>
      </w:r>
      <w:r w:rsidRPr="0055031E">
        <w:tab/>
      </w:r>
      <w:r w:rsidR="007C1F31" w:rsidRPr="0055031E">
        <w:t>The complaint</w:t>
      </w:r>
    </w:p>
    <w:p w:rsidR="007C1F31" w:rsidRPr="0055031E" w:rsidRDefault="00D263B2" w:rsidP="007C1F31">
      <w:pPr>
        <w:pStyle w:val="SingleTxtG"/>
      </w:pPr>
      <w:r w:rsidRPr="0055031E">
        <w:t>3.</w:t>
      </w:r>
      <w:r w:rsidR="007C1F31" w:rsidRPr="0055031E">
        <w:tab/>
      </w:r>
      <w:r w:rsidR="00125978" w:rsidRPr="0055031E">
        <w:t xml:space="preserve">The </w:t>
      </w:r>
      <w:r w:rsidR="004862EC" w:rsidRPr="0055031E">
        <w:t>author claims that the State party has violated his rights under article 15</w:t>
      </w:r>
      <w:r w:rsidR="007C6002" w:rsidRPr="0055031E">
        <w:t>(1)</w:t>
      </w:r>
      <w:r w:rsidR="004862EC" w:rsidRPr="0055031E">
        <w:t xml:space="preserve"> of the Covenant by applying legislation that entered into force after the commission of the offence and that had the effect of extending the minimum years of imprisonment prior to being eligible for parole from 12 to 17 years.</w:t>
      </w:r>
    </w:p>
    <w:p w:rsidR="007C1F31" w:rsidRPr="0055031E" w:rsidRDefault="00415FAC" w:rsidP="00415FAC">
      <w:pPr>
        <w:pStyle w:val="H23G"/>
      </w:pPr>
      <w:r w:rsidRPr="0055031E">
        <w:tab/>
      </w:r>
      <w:r w:rsidRPr="0055031E">
        <w:tab/>
      </w:r>
      <w:r w:rsidR="007C1F31" w:rsidRPr="0055031E">
        <w:t xml:space="preserve">State party’s </w:t>
      </w:r>
      <w:r w:rsidR="006C6230" w:rsidRPr="0055031E">
        <w:t>observations</w:t>
      </w:r>
      <w:r w:rsidR="007C1F31" w:rsidRPr="0055031E">
        <w:t xml:space="preserve"> on admissibility</w:t>
      </w:r>
    </w:p>
    <w:p w:rsidR="00075F1D" w:rsidRPr="0055031E" w:rsidRDefault="00AD4107" w:rsidP="00217FFB">
      <w:pPr>
        <w:pStyle w:val="SingleTxtG"/>
      </w:pPr>
      <w:r w:rsidRPr="0055031E">
        <w:t>4.1</w:t>
      </w:r>
      <w:r w:rsidRPr="0055031E">
        <w:tab/>
      </w:r>
      <w:r w:rsidR="008A10D9" w:rsidRPr="0055031E">
        <w:t>In a note verbale dated 14 October 2011 submitted after several reminders, t</w:t>
      </w:r>
      <w:r w:rsidR="00075F1D" w:rsidRPr="0055031E">
        <w:t xml:space="preserve">he State party </w:t>
      </w:r>
      <w:r w:rsidR="00BE6F60" w:rsidRPr="0055031E">
        <w:t>argues</w:t>
      </w:r>
      <w:r w:rsidR="00075F1D" w:rsidRPr="0055031E">
        <w:t xml:space="preserve"> that the communication is not admissible on two grounds: the failure to substantiate that the author is a victim of a violation of article 15</w:t>
      </w:r>
      <w:r w:rsidR="005335E0" w:rsidRPr="0055031E">
        <w:t>(1)</w:t>
      </w:r>
      <w:r w:rsidR="00075F1D" w:rsidRPr="0055031E">
        <w:t xml:space="preserve"> of the Covenant</w:t>
      </w:r>
      <w:r w:rsidR="00C7723B" w:rsidRPr="0055031E">
        <w:t>; and the failure</w:t>
      </w:r>
      <w:r w:rsidR="00075F1D" w:rsidRPr="0055031E">
        <w:t xml:space="preserve"> to exhaust domestic remedies.</w:t>
      </w:r>
    </w:p>
    <w:p w:rsidR="00075F1D" w:rsidRPr="0055031E" w:rsidRDefault="00075F1D" w:rsidP="00075F1D">
      <w:pPr>
        <w:pStyle w:val="SingleTxtG"/>
      </w:pPr>
      <w:r w:rsidRPr="0055031E">
        <w:t>4.2</w:t>
      </w:r>
      <w:r w:rsidRPr="0055031E">
        <w:tab/>
      </w:r>
      <w:r w:rsidR="00C7723B" w:rsidRPr="0055031E">
        <w:t>In relation to the first claim</w:t>
      </w:r>
      <w:r w:rsidRPr="0055031E">
        <w:t xml:space="preserve">, the State party argues that the author has not demonstrated that he has been a victim of </w:t>
      </w:r>
      <w:r w:rsidR="00643CBF" w:rsidRPr="0055031E">
        <w:t>any change in any of the terms – parole period or otherwise – of his sentence</w:t>
      </w:r>
      <w:r w:rsidRPr="0055031E">
        <w:t xml:space="preserve">.  The State party argues that </w:t>
      </w:r>
      <w:r w:rsidR="00083645" w:rsidRPr="0055031E">
        <w:t>the two parole regimes create</w:t>
      </w:r>
      <w:r w:rsidR="00643CBF" w:rsidRPr="0055031E">
        <w:t xml:space="preserve"> different system</w:t>
      </w:r>
      <w:r w:rsidR="00083645" w:rsidRPr="0055031E">
        <w:t>s</w:t>
      </w:r>
      <w:r w:rsidR="00643CBF" w:rsidRPr="0055031E">
        <w:t xml:space="preserve"> for assessing parole eligibility.  T</w:t>
      </w:r>
      <w:r w:rsidRPr="0055031E">
        <w:t>he previous parole regime did not require the sentencing judge to give an indicative non-parole period but instead required a report to be furnished after 12 years to assess the prisoner’s parole eligibility</w:t>
      </w:r>
      <w:r w:rsidR="007D3CB6" w:rsidRPr="0055031E">
        <w:t xml:space="preserve"> for parole</w:t>
      </w:r>
      <w:r w:rsidR="00855489" w:rsidRPr="0055031E">
        <w:t>,</w:t>
      </w:r>
      <w:r w:rsidR="007D16A5" w:rsidRPr="0055031E">
        <w:t xml:space="preserve"> which might or might not then be granted</w:t>
      </w:r>
      <w:r w:rsidRPr="0055031E">
        <w:t>.  On the other hand, the second parole regime required the sentencing judge to indicate the non-parole period</w:t>
      </w:r>
      <w:r w:rsidR="00BC1731" w:rsidRPr="0055031E">
        <w:t>,</w:t>
      </w:r>
      <w:r w:rsidRPr="0055031E">
        <w:t xml:space="preserve"> which could not be before 15 years and which, in the present case, was 17 years.  </w:t>
      </w:r>
    </w:p>
    <w:p w:rsidR="00075F1D" w:rsidRPr="0055031E" w:rsidRDefault="00075F1D" w:rsidP="00075F1D">
      <w:pPr>
        <w:pStyle w:val="SingleTxtG"/>
      </w:pPr>
      <w:r w:rsidRPr="0055031E">
        <w:t>4.3</w:t>
      </w:r>
      <w:r w:rsidRPr="0055031E">
        <w:tab/>
        <w:t xml:space="preserve">The State party highlights </w:t>
      </w:r>
      <w:r w:rsidR="00BC1731" w:rsidRPr="0055031E">
        <w:t xml:space="preserve">the fact </w:t>
      </w:r>
      <w:r w:rsidRPr="0055031E">
        <w:t xml:space="preserve">that the substantive change between the two parole regimes was that the first regime set the minimum period </w:t>
      </w:r>
      <w:r w:rsidR="007D3CB6" w:rsidRPr="0055031E">
        <w:t xml:space="preserve">of imprisonment before </w:t>
      </w:r>
      <w:r w:rsidR="007D16A5" w:rsidRPr="0055031E">
        <w:t xml:space="preserve">consideration of </w:t>
      </w:r>
      <w:r w:rsidR="007D3CB6" w:rsidRPr="0055031E">
        <w:t xml:space="preserve">parole </w:t>
      </w:r>
      <w:r w:rsidR="007D16A5" w:rsidRPr="0055031E">
        <w:t>a</w:t>
      </w:r>
      <w:r w:rsidRPr="0055031E">
        <w:t>t 12 years while the seco</w:t>
      </w:r>
      <w:r w:rsidR="007D3CB6" w:rsidRPr="0055031E">
        <w:t>nd regime set the minimum</w:t>
      </w:r>
      <w:r w:rsidRPr="0055031E">
        <w:t xml:space="preserve"> period at 15 years.  However, in setting the minimum parole period at 12 years, this did not mean that the prisoner would be eligible for parole after 12 years, only that a report would be furnished to make an assessment of eligibility.  To assess eligibility, the parole board must take into account a series of considerations, including such factors as the seriousness of the offence, the risk to the community and the prisoner’s behaviour in custody.  </w:t>
      </w:r>
    </w:p>
    <w:p w:rsidR="00075F1D" w:rsidRPr="0055031E" w:rsidRDefault="00075F1D" w:rsidP="00CD5C5E">
      <w:pPr>
        <w:pStyle w:val="SingleTxtG"/>
      </w:pPr>
      <w:r w:rsidRPr="0055031E">
        <w:t>4.4</w:t>
      </w:r>
      <w:r w:rsidRPr="0055031E">
        <w:tab/>
        <w:t>The</w:t>
      </w:r>
      <w:r w:rsidR="00433614" w:rsidRPr="0055031E">
        <w:t xml:space="preserve"> State party concludes that a</w:t>
      </w:r>
      <w:r w:rsidRPr="0055031E">
        <w:t>ny possible</w:t>
      </w:r>
      <w:r w:rsidR="007D16A5" w:rsidRPr="0055031E">
        <w:t xml:space="preserve"> difference in the duration of the author’s</w:t>
      </w:r>
      <w:r w:rsidRPr="0055031E">
        <w:t xml:space="preserve"> custodial imprisonment under the first and second parole regimes is</w:t>
      </w:r>
      <w:r w:rsidR="00433614" w:rsidRPr="0055031E">
        <w:t xml:space="preserve"> purely hypothetical</w:t>
      </w:r>
      <w:r w:rsidRPr="0055031E">
        <w:t xml:space="preserve">.  In referring to the comments of the original sentencing judge in 1995 as well as the re-sentencing judge in 2006, both of which underline the very serious nature of the author’s offence, the State party argues that there is no evidence that the author’s </w:t>
      </w:r>
      <w:r w:rsidR="00433614" w:rsidRPr="0055031E">
        <w:t xml:space="preserve">period prior to being granted parole </w:t>
      </w:r>
      <w:r w:rsidRPr="0055031E">
        <w:t xml:space="preserve">would have been any </w:t>
      </w:r>
      <w:r w:rsidR="00CD5C5E" w:rsidRPr="0055031E">
        <w:t xml:space="preserve">shorter </w:t>
      </w:r>
      <w:r w:rsidRPr="0055031E">
        <w:t>had the original sentencing judge applied the first parole regime.  The author therefore cannot claim to be a vict</w:t>
      </w:r>
      <w:r w:rsidR="00433614" w:rsidRPr="0055031E">
        <w:t>im of a violation of article 15</w:t>
      </w:r>
      <w:r w:rsidR="00F96354" w:rsidRPr="0055031E">
        <w:t>(1)</w:t>
      </w:r>
      <w:r w:rsidR="00433614" w:rsidRPr="0055031E">
        <w:t>.</w:t>
      </w:r>
    </w:p>
    <w:p w:rsidR="00075F1D" w:rsidRPr="0055031E" w:rsidRDefault="00075F1D" w:rsidP="00CD5C5E">
      <w:pPr>
        <w:pStyle w:val="SingleTxtG"/>
      </w:pPr>
      <w:r w:rsidRPr="0055031E">
        <w:t>4.5</w:t>
      </w:r>
      <w:r w:rsidRPr="0055031E">
        <w:tab/>
        <w:t>S</w:t>
      </w:r>
      <w:r w:rsidR="00433614" w:rsidRPr="0055031E">
        <w:t xml:space="preserve">econd, the State party </w:t>
      </w:r>
      <w:r w:rsidRPr="0055031E">
        <w:t>submits that the author has not exhausted the appeal sy</w:t>
      </w:r>
      <w:r w:rsidR="00F96354" w:rsidRPr="0055031E">
        <w:t xml:space="preserve">stem in </w:t>
      </w:r>
      <w:smartTag w:uri="urn:schemas-microsoft-com:office:smarttags" w:element="place">
        <w:smartTag w:uri="urn:schemas-microsoft-com:office:smarttags" w:element="country-region">
          <w:r w:rsidR="00F96354" w:rsidRPr="0055031E">
            <w:t>Australia</w:t>
          </w:r>
        </w:smartTag>
      </w:smartTag>
      <w:r w:rsidRPr="0055031E">
        <w:t xml:space="preserve">.  The State party argues that the author could have sought special leave to appeal to the High Court as a means to pursue his claim and, in not doing so, has not exhausted domestic remedies.  </w:t>
      </w:r>
    </w:p>
    <w:p w:rsidR="007C1F31" w:rsidRPr="0055031E" w:rsidRDefault="00415FAC" w:rsidP="00415FAC">
      <w:pPr>
        <w:pStyle w:val="H23G"/>
      </w:pPr>
      <w:r w:rsidRPr="0055031E">
        <w:tab/>
      </w:r>
      <w:r w:rsidRPr="0055031E">
        <w:tab/>
      </w:r>
      <w:r w:rsidR="007C1F31" w:rsidRPr="0055031E">
        <w:t xml:space="preserve">Authors’ comments </w:t>
      </w:r>
      <w:r w:rsidR="006C6230" w:rsidRPr="0055031E">
        <w:t xml:space="preserve">on the State party’s </w:t>
      </w:r>
      <w:r w:rsidR="008A10D9" w:rsidRPr="0055031E">
        <w:t>observations</w:t>
      </w:r>
      <w:r w:rsidR="00C64648" w:rsidRPr="0055031E">
        <w:t xml:space="preserve"> on a</w:t>
      </w:r>
      <w:r w:rsidR="006928FF" w:rsidRPr="0055031E">
        <w:t>dmissibility</w:t>
      </w:r>
    </w:p>
    <w:p w:rsidR="00C64648" w:rsidRPr="0055031E" w:rsidRDefault="00AD4107" w:rsidP="00CD5C5E">
      <w:pPr>
        <w:pStyle w:val="SingleTxtG"/>
      </w:pPr>
      <w:r w:rsidRPr="0055031E">
        <w:t>5.1</w:t>
      </w:r>
      <w:r w:rsidRPr="0055031E">
        <w:tab/>
      </w:r>
      <w:r w:rsidR="006928FF" w:rsidRPr="0055031E">
        <w:t>By letter of 22 May 2012,</w:t>
      </w:r>
      <w:r w:rsidR="00F15D79" w:rsidRPr="0055031E">
        <w:t xml:space="preserve"> the author </w:t>
      </w:r>
      <w:r w:rsidR="00313B06" w:rsidRPr="0055031E">
        <w:t>argues that at the end of both 12 and 17 years, the reality of parole existed and that to begin an assessment for parole after 12 or after 17 years is vastly different</w:t>
      </w:r>
      <w:r w:rsidR="00F96354" w:rsidRPr="0055031E">
        <w:t xml:space="preserve"> and not hypothetical</w:t>
      </w:r>
      <w:r w:rsidR="00313B06" w:rsidRPr="0055031E">
        <w:t>.  He concludes that the State party’s submission that the two systems simply create two means of determining parole eligibility</w:t>
      </w:r>
      <w:r w:rsidR="00F96354" w:rsidRPr="0055031E">
        <w:t xml:space="preserve"> is inaccurate</w:t>
      </w:r>
      <w:r w:rsidR="00CD5C5E" w:rsidRPr="0055031E">
        <w:t>:</w:t>
      </w:r>
      <w:r w:rsidR="00313B06" w:rsidRPr="0055031E">
        <w:t xml:space="preserve"> the only difference between the two regimes is the time factor.</w:t>
      </w:r>
      <w:r w:rsidR="005335E0" w:rsidRPr="0055031E">
        <w:t xml:space="preserve">  By implication, the author has therefore substantiated that he is a victim of a violation of article 15(1) of the Covenant.</w:t>
      </w:r>
    </w:p>
    <w:p w:rsidR="00F15D79" w:rsidRPr="0055031E" w:rsidRDefault="00C64648" w:rsidP="00F15D79">
      <w:pPr>
        <w:pStyle w:val="SingleTxtG"/>
        <w:rPr>
          <w:lang w:val="en-US"/>
        </w:rPr>
      </w:pPr>
      <w:r w:rsidRPr="0055031E">
        <w:lastRenderedPageBreak/>
        <w:t>5.2</w:t>
      </w:r>
      <w:r w:rsidRPr="0055031E">
        <w:tab/>
        <w:t xml:space="preserve">In relation to the second claim of inadmissibility, the author </w:t>
      </w:r>
      <w:r w:rsidR="00F15D79" w:rsidRPr="0055031E">
        <w:t>denies that there has been a failure to exhaust domestic remedies</w:t>
      </w:r>
      <w:r w:rsidR="00855489" w:rsidRPr="0055031E">
        <w:t>,</w:t>
      </w:r>
      <w:r w:rsidR="00F15D79" w:rsidRPr="0055031E">
        <w:t xml:space="preserve"> due to the fact that the High Court </w:t>
      </w:r>
      <w:r w:rsidR="005335E0" w:rsidRPr="0055031E">
        <w:t xml:space="preserve">of Australia </w:t>
      </w:r>
      <w:r w:rsidR="00F15D79" w:rsidRPr="0055031E">
        <w:t xml:space="preserve">is financially out of reach for him.  </w:t>
      </w:r>
      <w:r w:rsidR="00FD2C63" w:rsidRPr="0055031E">
        <w:t>However, he does not provide any further details in this regard.</w:t>
      </w:r>
    </w:p>
    <w:p w:rsidR="00125978" w:rsidRPr="0055031E" w:rsidRDefault="00415FAC" w:rsidP="00125978">
      <w:pPr>
        <w:pStyle w:val="H23G"/>
      </w:pPr>
      <w:r w:rsidRPr="0055031E">
        <w:tab/>
      </w:r>
      <w:r w:rsidRPr="0055031E">
        <w:tab/>
      </w:r>
      <w:r w:rsidR="00125978" w:rsidRPr="0055031E">
        <w:t>Issues and proceedings before the Committee</w:t>
      </w:r>
    </w:p>
    <w:p w:rsidR="00744B05" w:rsidRPr="0055031E" w:rsidRDefault="00045DA7" w:rsidP="00045DA7">
      <w:pPr>
        <w:pStyle w:val="H4G"/>
      </w:pPr>
      <w:r w:rsidRPr="0055031E">
        <w:tab/>
      </w:r>
      <w:r w:rsidRPr="0055031E">
        <w:tab/>
      </w:r>
      <w:r w:rsidR="00744B05" w:rsidRPr="0055031E">
        <w:t>Consideration of admissibility</w:t>
      </w:r>
    </w:p>
    <w:p w:rsidR="00744B05" w:rsidRPr="0055031E" w:rsidRDefault="0063227E" w:rsidP="00744B05">
      <w:pPr>
        <w:pStyle w:val="SingleTxtG"/>
      </w:pPr>
      <w:r w:rsidRPr="0055031E">
        <w:t>6</w:t>
      </w:r>
      <w:r w:rsidR="00744B05" w:rsidRPr="0055031E">
        <w:t>.1</w:t>
      </w:r>
      <w:r w:rsidR="00744B05" w:rsidRPr="0055031E">
        <w:tab/>
      </w:r>
      <w:r w:rsidR="00125978" w:rsidRPr="0055031E">
        <w:rPr>
          <w:lang w:val="en-US"/>
        </w:rPr>
        <w:t>Before considering any claims contained in a communication, the Human Rights Committee must, in accordance with rule 93 of its rules of procedure, decide whether or not it is admissible under the Optional Protocol to the Covenant.</w:t>
      </w:r>
      <w:r w:rsidR="00990486" w:rsidRPr="0055031E">
        <w:rPr>
          <w:lang w:val="en-US"/>
        </w:rPr>
        <w:t xml:space="preserve"> </w:t>
      </w:r>
    </w:p>
    <w:p w:rsidR="00744B05" w:rsidRPr="0055031E" w:rsidRDefault="0063227E" w:rsidP="00744B05">
      <w:pPr>
        <w:pStyle w:val="SingleTxtG"/>
      </w:pPr>
      <w:r w:rsidRPr="0055031E">
        <w:t>6</w:t>
      </w:r>
      <w:r w:rsidR="00744B05" w:rsidRPr="0055031E">
        <w:t>.2</w:t>
      </w:r>
      <w:r w:rsidR="00744B05" w:rsidRPr="0055031E">
        <w:tab/>
      </w:r>
      <w:r w:rsidR="00125978" w:rsidRPr="0055031E">
        <w:t>As required under article 5, paragraph 2 (a), of the Optional Protocol, the Committee has ascertained that the same matter is not being examined under another procedure of international investigation or settlement.</w:t>
      </w:r>
    </w:p>
    <w:p w:rsidR="00744B05" w:rsidRPr="0055031E" w:rsidRDefault="0063227E" w:rsidP="00811F19">
      <w:pPr>
        <w:pStyle w:val="SingleTxtG"/>
      </w:pPr>
      <w:r w:rsidRPr="0055031E">
        <w:t>6</w:t>
      </w:r>
      <w:r w:rsidR="00744B05" w:rsidRPr="0055031E">
        <w:t>.3</w:t>
      </w:r>
      <w:r w:rsidR="00744B05" w:rsidRPr="0055031E">
        <w:tab/>
      </w:r>
      <w:r w:rsidR="004A194F" w:rsidRPr="0055031E">
        <w:rPr>
          <w:lang w:val="en-US"/>
        </w:rPr>
        <w:t>With regard to the requirement laid down in article 5, paragraph 2 (b), of the Optional Protocol, the Committee takes note of the State party’s argument that the author has failed to exhaust domestic remedies</w:t>
      </w:r>
      <w:r w:rsidR="002D1583" w:rsidRPr="0055031E">
        <w:rPr>
          <w:lang w:val="en-US"/>
        </w:rPr>
        <w:t xml:space="preserve"> as he did not seek special leave to appeal to the High Court of Australia </w:t>
      </w:r>
      <w:r w:rsidR="00811F19" w:rsidRPr="0055031E">
        <w:rPr>
          <w:lang w:val="en-US"/>
        </w:rPr>
        <w:t xml:space="preserve">against </w:t>
      </w:r>
      <w:r w:rsidR="002D1583" w:rsidRPr="0055031E">
        <w:rPr>
          <w:lang w:val="en-US"/>
        </w:rPr>
        <w:t>the decision of the Court of Appeal of Western Australia</w:t>
      </w:r>
      <w:r w:rsidR="004A194F" w:rsidRPr="0055031E">
        <w:rPr>
          <w:lang w:val="en-US"/>
        </w:rPr>
        <w:t xml:space="preserve">. The </w:t>
      </w:r>
      <w:r w:rsidR="006947E1" w:rsidRPr="0055031E">
        <w:rPr>
          <w:lang w:val="en-US"/>
        </w:rPr>
        <w:t>Committee</w:t>
      </w:r>
      <w:r w:rsidR="002D1583" w:rsidRPr="0055031E">
        <w:rPr>
          <w:lang w:val="en-US"/>
        </w:rPr>
        <w:t xml:space="preserve"> notes the </w:t>
      </w:r>
      <w:r w:rsidR="004A194F" w:rsidRPr="0055031E">
        <w:rPr>
          <w:lang w:val="en-US"/>
        </w:rPr>
        <w:t>author</w:t>
      </w:r>
      <w:r w:rsidR="002D1583" w:rsidRPr="0055031E">
        <w:rPr>
          <w:lang w:val="en-US"/>
        </w:rPr>
        <w:t xml:space="preserve">’s statement that </w:t>
      </w:r>
      <w:r w:rsidR="004A194F" w:rsidRPr="0055031E">
        <w:rPr>
          <w:lang w:val="en-US"/>
        </w:rPr>
        <w:t>that he did not have</w:t>
      </w:r>
      <w:r w:rsidR="00B119D4" w:rsidRPr="0055031E">
        <w:rPr>
          <w:lang w:val="en-US"/>
        </w:rPr>
        <w:t xml:space="preserve"> the finances to exhaust domestic remedies.</w:t>
      </w:r>
      <w:r w:rsidR="00A579EF" w:rsidRPr="0055031E">
        <w:rPr>
          <w:lang w:val="en-US"/>
        </w:rPr>
        <w:t xml:space="preserve">  </w:t>
      </w:r>
      <w:r w:rsidR="008732DD" w:rsidRPr="0055031E">
        <w:rPr>
          <w:lang w:val="en-US"/>
        </w:rPr>
        <w:t>The Committee recalls its jurisprudence according to which financial considerations do not</w:t>
      </w:r>
      <w:r w:rsidR="008A10D9" w:rsidRPr="0055031E">
        <w:rPr>
          <w:lang w:val="en-US"/>
        </w:rPr>
        <w:t>, in general,</w:t>
      </w:r>
      <w:r w:rsidR="008732DD" w:rsidRPr="0055031E">
        <w:rPr>
          <w:lang w:val="en-US"/>
        </w:rPr>
        <w:t xml:space="preserve"> absolve the author from exhausting domestic remedies.</w:t>
      </w:r>
      <w:r w:rsidR="008732DD" w:rsidRPr="0055031E">
        <w:rPr>
          <w:rStyle w:val="FootnoteReference"/>
          <w:lang w:val="en-US"/>
        </w:rPr>
        <w:footnoteReference w:id="6"/>
      </w:r>
      <w:r w:rsidRPr="0055031E">
        <w:rPr>
          <w:lang w:val="en-US"/>
        </w:rPr>
        <w:t xml:space="preserve">  </w:t>
      </w:r>
      <w:r w:rsidR="004A194F" w:rsidRPr="0055031E">
        <w:t>Accordingly,</w:t>
      </w:r>
      <w:r w:rsidR="007E03E9" w:rsidRPr="0055031E">
        <w:t xml:space="preserve"> the Committee concludes that</w:t>
      </w:r>
      <w:r w:rsidR="004A194F" w:rsidRPr="0055031E">
        <w:t xml:space="preserve"> the requirements of article 5, paragraph 2(b), of the Optional Protocol h</w:t>
      </w:r>
      <w:r w:rsidR="007E03E9" w:rsidRPr="0055031E">
        <w:t>ave not been met</w:t>
      </w:r>
      <w:r w:rsidR="004A194F" w:rsidRPr="0055031E">
        <w:t>.</w:t>
      </w:r>
    </w:p>
    <w:p w:rsidR="0057431E" w:rsidRPr="0055031E" w:rsidRDefault="0063227E" w:rsidP="0057431E">
      <w:pPr>
        <w:pStyle w:val="SingleTxtG"/>
      </w:pPr>
      <w:r w:rsidRPr="0055031E">
        <w:t>7</w:t>
      </w:r>
      <w:r w:rsidR="00744B05" w:rsidRPr="0055031E">
        <w:t>.</w:t>
      </w:r>
      <w:r w:rsidR="00ED24FB" w:rsidRPr="0055031E">
        <w:tab/>
      </w:r>
      <w:r w:rsidR="0057431E" w:rsidRPr="0055031E">
        <w:t>The Human Rights Committee therefore decides:</w:t>
      </w:r>
    </w:p>
    <w:p w:rsidR="0057431E" w:rsidRPr="0055031E" w:rsidRDefault="00811F19" w:rsidP="0057431E">
      <w:pPr>
        <w:pStyle w:val="SingleTxtG"/>
        <w:ind w:firstLine="567"/>
      </w:pPr>
      <w:r w:rsidRPr="0055031E">
        <w:t>(</w:t>
      </w:r>
      <w:r w:rsidR="0057431E" w:rsidRPr="0055031E">
        <w:t xml:space="preserve">a) </w:t>
      </w:r>
      <w:r w:rsidR="0057431E" w:rsidRPr="0055031E">
        <w:tab/>
        <w:t>That the communication is inadmissible under article 5, paragraph 2 (b)</w:t>
      </w:r>
      <w:r w:rsidR="00BC1731" w:rsidRPr="0055031E">
        <w:t>,</w:t>
      </w:r>
      <w:r w:rsidR="0057431E" w:rsidRPr="0055031E">
        <w:t xml:space="preserve"> of the Optional Protocol; </w:t>
      </w:r>
    </w:p>
    <w:p w:rsidR="007C1F31" w:rsidRPr="0055031E" w:rsidRDefault="00811F19" w:rsidP="0057431E">
      <w:pPr>
        <w:pStyle w:val="SingleTxtG"/>
        <w:ind w:firstLine="567"/>
      </w:pPr>
      <w:r w:rsidRPr="0055031E">
        <w:t>(</w:t>
      </w:r>
      <w:r w:rsidR="0057431E" w:rsidRPr="0055031E">
        <w:t xml:space="preserve">b) </w:t>
      </w:r>
      <w:r w:rsidR="0057431E" w:rsidRPr="0055031E">
        <w:tab/>
        <w:t>That this decision shall be communicated to the State party and to the author.</w:t>
      </w:r>
    </w:p>
    <w:p w:rsidR="00E130AB" w:rsidRDefault="007C1F31" w:rsidP="007C1F31">
      <w:pPr>
        <w:pStyle w:val="SingleTxtG"/>
      </w:pPr>
      <w:r w:rsidRPr="0055031E">
        <w:t>[Adopted in English, French and Spanish, the English text being the original version. Subsequently to be issued also in Arabic, Chinese and Russian as part of the Committee’s annual report to the General Assembly.]</w:t>
      </w:r>
    </w:p>
    <w:p w:rsidR="007C1F31" w:rsidRPr="007C1F31" w:rsidRDefault="007C1F31" w:rsidP="007C1F31">
      <w:pPr>
        <w:pStyle w:val="SingleTxtG"/>
        <w:jc w:val="center"/>
      </w:pPr>
      <w:r>
        <w:rPr>
          <w:u w:val="single"/>
        </w:rPr>
        <w:tab/>
      </w:r>
      <w:r>
        <w:rPr>
          <w:u w:val="single"/>
        </w:rPr>
        <w:tab/>
      </w:r>
      <w:r>
        <w:rPr>
          <w:u w:val="single"/>
        </w:rPr>
        <w:tab/>
      </w:r>
    </w:p>
    <w:sectPr w:rsidR="007C1F31" w:rsidRPr="007C1F31" w:rsidSect="007C1F3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A50" w:rsidRDefault="00411A50"/>
  </w:endnote>
  <w:endnote w:type="continuationSeparator" w:id="0">
    <w:p w:rsidR="00411A50" w:rsidRDefault="00411A50"/>
  </w:endnote>
  <w:endnote w:type="continuationNotice" w:id="1">
    <w:p w:rsidR="00411A50" w:rsidRDefault="00411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BB" w:rsidRPr="007C1F31" w:rsidRDefault="00C015BB" w:rsidP="007C1F31">
    <w:pPr>
      <w:pStyle w:val="Footer"/>
      <w:tabs>
        <w:tab w:val="right" w:pos="9638"/>
      </w:tabs>
    </w:pPr>
    <w:r w:rsidRPr="007C1F31">
      <w:rPr>
        <w:b/>
        <w:sz w:val="18"/>
      </w:rPr>
      <w:fldChar w:fldCharType="begin"/>
    </w:r>
    <w:r w:rsidRPr="007C1F31">
      <w:rPr>
        <w:b/>
        <w:sz w:val="18"/>
      </w:rPr>
      <w:instrText xml:space="preserve"> PAGE  \* MERGEFORMAT </w:instrText>
    </w:r>
    <w:r w:rsidRPr="007C1F31">
      <w:rPr>
        <w:b/>
        <w:sz w:val="18"/>
      </w:rPr>
      <w:fldChar w:fldCharType="separate"/>
    </w:r>
    <w:r w:rsidR="002F33B6">
      <w:rPr>
        <w:b/>
        <w:noProof/>
        <w:sz w:val="18"/>
      </w:rPr>
      <w:t>2</w:t>
    </w:r>
    <w:r w:rsidRPr="007C1F3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BB" w:rsidRPr="007C1F31" w:rsidRDefault="00C015BB" w:rsidP="007C1F31">
    <w:pPr>
      <w:pStyle w:val="Footer"/>
      <w:tabs>
        <w:tab w:val="right" w:pos="9638"/>
      </w:tabs>
      <w:rPr>
        <w:b/>
        <w:sz w:val="18"/>
      </w:rPr>
    </w:pPr>
    <w:r>
      <w:tab/>
    </w:r>
    <w:r w:rsidRPr="007C1F31">
      <w:rPr>
        <w:b/>
        <w:sz w:val="18"/>
      </w:rPr>
      <w:fldChar w:fldCharType="begin"/>
    </w:r>
    <w:r w:rsidRPr="007C1F31">
      <w:rPr>
        <w:b/>
        <w:sz w:val="18"/>
      </w:rPr>
      <w:instrText xml:space="preserve"> PAGE  \* MERGEFORMAT </w:instrText>
    </w:r>
    <w:r w:rsidRPr="007C1F31">
      <w:rPr>
        <w:b/>
        <w:sz w:val="18"/>
      </w:rPr>
      <w:fldChar w:fldCharType="separate"/>
    </w:r>
    <w:r w:rsidR="002F33B6">
      <w:rPr>
        <w:b/>
        <w:noProof/>
        <w:sz w:val="18"/>
      </w:rPr>
      <w:t>3</w:t>
    </w:r>
    <w:r w:rsidRPr="007C1F3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BB" w:rsidRPr="007C1F31" w:rsidRDefault="00411A5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4pt;margin-top:-6.25pt;width:73.25pt;height:18.15pt;z-index:1">
          <v:imagedata r:id="rId1" o:title="recycle_English"/>
          <w10:anchorlock/>
        </v:shape>
      </w:pict>
    </w:r>
    <w:r w:rsidR="00C015BB">
      <w:t>GE.13</w:t>
    </w:r>
    <w:r w:rsidR="007339A8">
      <w:t>-43638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A50" w:rsidRPr="000B175B" w:rsidRDefault="00411A50" w:rsidP="000B175B">
      <w:pPr>
        <w:tabs>
          <w:tab w:val="right" w:pos="2155"/>
        </w:tabs>
        <w:spacing w:after="80"/>
        <w:ind w:left="680"/>
        <w:rPr>
          <w:u w:val="single"/>
        </w:rPr>
      </w:pPr>
      <w:r>
        <w:rPr>
          <w:u w:val="single"/>
        </w:rPr>
        <w:tab/>
      </w:r>
    </w:p>
  </w:footnote>
  <w:footnote w:type="continuationSeparator" w:id="0">
    <w:p w:rsidR="00411A50" w:rsidRPr="00FC68B7" w:rsidRDefault="00411A50" w:rsidP="00FC68B7">
      <w:pPr>
        <w:tabs>
          <w:tab w:val="left" w:pos="2155"/>
        </w:tabs>
        <w:spacing w:after="80"/>
        <w:ind w:left="680"/>
        <w:rPr>
          <w:u w:val="single"/>
        </w:rPr>
      </w:pPr>
      <w:r>
        <w:rPr>
          <w:u w:val="single"/>
        </w:rPr>
        <w:tab/>
      </w:r>
    </w:p>
  </w:footnote>
  <w:footnote w:type="continuationNotice" w:id="1">
    <w:p w:rsidR="00411A50" w:rsidRDefault="00411A50"/>
  </w:footnote>
  <w:footnote w:id="2">
    <w:p w:rsidR="00C015BB" w:rsidRPr="0055031E" w:rsidRDefault="00C015BB" w:rsidP="0055031E">
      <w:pPr>
        <w:pStyle w:val="FootnoteText"/>
        <w:jc w:val="both"/>
      </w:pPr>
      <w:r w:rsidRPr="0055031E">
        <w:rPr>
          <w:rStyle w:val="FootnoteReference"/>
        </w:rPr>
        <w:tab/>
        <w:t>*</w:t>
      </w:r>
      <w:r w:rsidRPr="0055031E">
        <w:t xml:space="preserve"> </w:t>
      </w:r>
      <w:r w:rsidRPr="0055031E">
        <w:tab/>
      </w:r>
      <w:r w:rsidRPr="0055031E">
        <w:rPr>
          <w:szCs w:val="18"/>
        </w:rPr>
        <w:t xml:space="preserve">The following members of the Committee participated in the examination of the present communication: Mr. Yadh Ben Achour, </w:t>
      </w:r>
      <w:r w:rsidRPr="0055031E">
        <w:rPr>
          <w:bCs/>
          <w:szCs w:val="18"/>
        </w:rPr>
        <w:t xml:space="preserve">Mr. Lazhari Bouzid, </w:t>
      </w:r>
      <w:r w:rsidRPr="0055031E">
        <w:rPr>
          <w:szCs w:val="18"/>
        </w:rPr>
        <w:t>Ms. Christine Chanet, Mr. Ahmad Amin Fathalla,</w:t>
      </w:r>
      <w:r w:rsidRPr="0055031E">
        <w:rPr>
          <w:bCs/>
          <w:szCs w:val="18"/>
        </w:rPr>
        <w:t xml:space="preserve"> Mr. Cornelis Flinterman, </w:t>
      </w:r>
      <w:r w:rsidRPr="0055031E">
        <w:rPr>
          <w:szCs w:val="18"/>
        </w:rPr>
        <w:t>Mr. Yuji Iwasawa,</w:t>
      </w:r>
      <w:r w:rsidRPr="0055031E">
        <w:rPr>
          <w:bCs/>
          <w:szCs w:val="18"/>
        </w:rPr>
        <w:t xml:space="preserve"> Ms. Zonke Zanele Majodina, </w:t>
      </w:r>
      <w:r w:rsidRPr="0055031E">
        <w:rPr>
          <w:szCs w:val="18"/>
        </w:rPr>
        <w:t>Mr. Kheshoe Parsad Matadeen, Ms. Iulia Antoanella Motoc</w:t>
      </w:r>
      <w:r w:rsidRPr="0055031E">
        <w:rPr>
          <w:bCs/>
          <w:szCs w:val="18"/>
          <w:lang w:val="en-US"/>
        </w:rPr>
        <w:t xml:space="preserve">, </w:t>
      </w:r>
      <w:r w:rsidRPr="0055031E">
        <w:rPr>
          <w:szCs w:val="18"/>
        </w:rPr>
        <w:t xml:space="preserve">Mr. Gerald L. Neuman, </w:t>
      </w:r>
      <w:r w:rsidRPr="0055031E">
        <w:rPr>
          <w:bCs/>
          <w:szCs w:val="18"/>
          <w:lang w:val="en-US"/>
        </w:rPr>
        <w:t xml:space="preserve">Sir Nigel Rodley, </w:t>
      </w:r>
      <w:r w:rsidRPr="0055031E">
        <w:rPr>
          <w:szCs w:val="18"/>
        </w:rPr>
        <w:t xml:space="preserve">Mr. Victor Manuel Rodríguez-Rescia, </w:t>
      </w:r>
      <w:r w:rsidRPr="0055031E">
        <w:rPr>
          <w:bCs/>
          <w:szCs w:val="18"/>
          <w:lang w:val="en-US"/>
        </w:rPr>
        <w:t xml:space="preserve">Mr. Fabián Omar Salvioli, </w:t>
      </w:r>
      <w:r w:rsidRPr="0055031E">
        <w:rPr>
          <w:szCs w:val="18"/>
        </w:rPr>
        <w:t>Ms. Anja Seibert-Fohr, Mr. Yuval Shany, Mr. Konstantine Vardzelashvili</w:t>
      </w:r>
      <w:r w:rsidRPr="0055031E">
        <w:rPr>
          <w:bCs/>
          <w:szCs w:val="18"/>
        </w:rPr>
        <w:t xml:space="preserve"> </w:t>
      </w:r>
      <w:r w:rsidRPr="0055031E">
        <w:rPr>
          <w:bCs/>
          <w:szCs w:val="18"/>
          <w:lang w:val="en-US"/>
        </w:rPr>
        <w:t xml:space="preserve">and </w:t>
      </w:r>
      <w:r w:rsidRPr="0055031E">
        <w:rPr>
          <w:bCs/>
          <w:szCs w:val="18"/>
        </w:rPr>
        <w:t>Ms. Margo Waterval.</w:t>
      </w:r>
    </w:p>
  </w:footnote>
  <w:footnote w:id="3">
    <w:p w:rsidR="00C015BB" w:rsidRPr="0055031E" w:rsidRDefault="00C015BB" w:rsidP="00514660">
      <w:pPr>
        <w:pStyle w:val="FootnoteText"/>
        <w:jc w:val="both"/>
      </w:pPr>
      <w:r w:rsidRPr="0055031E">
        <w:tab/>
      </w:r>
      <w:r w:rsidRPr="0055031E">
        <w:rPr>
          <w:rStyle w:val="FootnoteReference"/>
        </w:rPr>
        <w:footnoteRef/>
      </w:r>
      <w:r w:rsidRPr="0055031E">
        <w:tab/>
        <w:t xml:space="preserve"> Under section 282 of the </w:t>
      </w:r>
      <w:r w:rsidRPr="0055031E">
        <w:rPr>
          <w:iCs/>
        </w:rPr>
        <w:t>Criminal Code</w:t>
      </w:r>
      <w:r w:rsidRPr="0055031E">
        <w:rPr>
          <w:i/>
        </w:rPr>
        <w:t xml:space="preserve"> </w:t>
      </w:r>
      <w:r w:rsidRPr="0055031E">
        <w:t xml:space="preserve">and section 40D2(d) of the </w:t>
      </w:r>
      <w:r w:rsidRPr="0055031E">
        <w:rPr>
          <w:iCs/>
        </w:rPr>
        <w:t xml:space="preserve">Criminal Law Amendment Act </w:t>
      </w:r>
      <w:r w:rsidRPr="0055031E">
        <w:t xml:space="preserve">1994.  </w:t>
      </w:r>
    </w:p>
  </w:footnote>
  <w:footnote w:id="4">
    <w:p w:rsidR="00C015BB" w:rsidRPr="0055031E" w:rsidRDefault="00C015BB" w:rsidP="00645711">
      <w:pPr>
        <w:pStyle w:val="FootnoteText"/>
        <w:jc w:val="both"/>
      </w:pPr>
      <w:r w:rsidRPr="0055031E">
        <w:tab/>
      </w:r>
      <w:r w:rsidRPr="0055031E">
        <w:rPr>
          <w:rStyle w:val="FootnoteReference"/>
        </w:rPr>
        <w:footnoteRef/>
      </w:r>
      <w:r w:rsidRPr="0055031E">
        <w:tab/>
        <w:t xml:space="preserve"> </w:t>
      </w:r>
      <w:r w:rsidRPr="0055031E">
        <w:rPr>
          <w:i/>
        </w:rPr>
        <w:t xml:space="preserve">The State of </w:t>
      </w:r>
      <w:smartTag w:uri="urn:schemas-microsoft-com:office:smarttags" w:element="State">
        <w:smartTag w:uri="urn:schemas-microsoft-com:office:smarttags" w:element="place">
          <w:r w:rsidRPr="0055031E">
            <w:rPr>
              <w:i/>
            </w:rPr>
            <w:t>Western Australia</w:t>
          </w:r>
        </w:smartTag>
      </w:smartTag>
      <w:r w:rsidRPr="0055031E">
        <w:rPr>
          <w:i/>
        </w:rPr>
        <w:t xml:space="preserve"> v Seel</w:t>
      </w:r>
      <w:r w:rsidRPr="0055031E">
        <w:t xml:space="preserve"> [2007] WASCA 271.</w:t>
      </w:r>
    </w:p>
  </w:footnote>
  <w:footnote w:id="5">
    <w:p w:rsidR="00C015BB" w:rsidRPr="0055031E" w:rsidRDefault="00C015BB" w:rsidP="00514660">
      <w:pPr>
        <w:pStyle w:val="FootnoteText"/>
        <w:jc w:val="both"/>
      </w:pPr>
      <w:r w:rsidRPr="0055031E">
        <w:tab/>
      </w:r>
      <w:r w:rsidRPr="0055031E">
        <w:rPr>
          <w:rStyle w:val="FootnoteReference"/>
        </w:rPr>
        <w:footnoteRef/>
      </w:r>
      <w:r w:rsidRPr="0055031E">
        <w:tab/>
        <w:t xml:space="preserve"> </w:t>
      </w:r>
      <w:r w:rsidRPr="0055031E">
        <w:rPr>
          <w:iCs/>
        </w:rPr>
        <w:t xml:space="preserve">Ibid., </w:t>
      </w:r>
      <w:r w:rsidRPr="0055031E">
        <w:t>p. 6.</w:t>
      </w:r>
    </w:p>
  </w:footnote>
  <w:footnote w:id="6">
    <w:p w:rsidR="00C015BB" w:rsidRPr="001D3AAB" w:rsidRDefault="00C015BB" w:rsidP="008B4866">
      <w:pPr>
        <w:pStyle w:val="FootnoteText"/>
        <w:jc w:val="both"/>
      </w:pPr>
      <w:r w:rsidRPr="0055031E">
        <w:tab/>
      </w:r>
      <w:r w:rsidRPr="0055031E">
        <w:rPr>
          <w:rStyle w:val="FootnoteReference"/>
        </w:rPr>
        <w:footnoteRef/>
      </w:r>
      <w:r w:rsidRPr="0055031E">
        <w:tab/>
        <w:t xml:space="preserve"> See: communication No. 397/1990, </w:t>
      </w:r>
      <w:r w:rsidRPr="0055031E">
        <w:rPr>
          <w:i/>
        </w:rPr>
        <w:t xml:space="preserve">P.S. </w:t>
      </w:r>
      <w:r w:rsidRPr="0055031E">
        <w:rPr>
          <w:iCs/>
        </w:rPr>
        <w:t>v.</w:t>
      </w:r>
      <w:r w:rsidRPr="0055031E">
        <w:rPr>
          <w:i/>
        </w:rPr>
        <w:t xml:space="preserve"> </w:t>
      </w:r>
      <w:smartTag w:uri="urn:schemas-microsoft-com:office:smarttags" w:element="place">
        <w:smartTag w:uri="urn:schemas-microsoft-com:office:smarttags" w:element="country-region">
          <w:r w:rsidRPr="0055031E">
            <w:rPr>
              <w:i/>
            </w:rPr>
            <w:t>Denmark</w:t>
          </w:r>
        </w:smartTag>
      </w:smartTag>
      <w:r w:rsidRPr="0055031E">
        <w:t>, decision of inadmissibility adopted on 22 July 1992, para</w:t>
      </w:r>
      <w:r w:rsidR="00217FFB" w:rsidRPr="0055031E">
        <w:t>.</w:t>
      </w:r>
      <w:r w:rsidRPr="0055031E">
        <w:t xml:space="preserve"> 5.4; communication No. 550/1993, </w:t>
      </w:r>
      <w:r w:rsidRPr="0055031E">
        <w:rPr>
          <w:i/>
        </w:rPr>
        <w:t xml:space="preserve">Faurisson </w:t>
      </w:r>
      <w:r w:rsidRPr="0055031E">
        <w:rPr>
          <w:iCs/>
        </w:rPr>
        <w:t>v.</w:t>
      </w:r>
      <w:r w:rsidRPr="0055031E">
        <w:rPr>
          <w:i/>
        </w:rPr>
        <w:t xml:space="preserve"> </w:t>
      </w:r>
      <w:smartTag w:uri="urn:schemas-microsoft-com:office:smarttags" w:element="place">
        <w:smartTag w:uri="urn:schemas-microsoft-com:office:smarttags" w:element="country-region">
          <w:r w:rsidRPr="0055031E">
            <w:rPr>
              <w:i/>
            </w:rPr>
            <w:t>France</w:t>
          </w:r>
        </w:smartTag>
      </w:smartTag>
      <w:r w:rsidRPr="0055031E">
        <w:t>, views adopted on 8 November 1996, para</w:t>
      </w:r>
      <w:r w:rsidR="00217FFB" w:rsidRPr="0055031E">
        <w:t>.</w:t>
      </w:r>
      <w:r w:rsidRPr="0055031E">
        <w:t xml:space="preserve"> 6.1; communication No. 1576/2000, </w:t>
      </w:r>
      <w:r w:rsidRPr="0055031E">
        <w:rPr>
          <w:i/>
        </w:rPr>
        <w:t xml:space="preserve">Yussuf N. Kly </w:t>
      </w:r>
      <w:r w:rsidRPr="0055031E">
        <w:rPr>
          <w:iCs/>
        </w:rPr>
        <w:t>v.</w:t>
      </w:r>
      <w:r w:rsidRPr="0055031E">
        <w:rPr>
          <w:i/>
        </w:rPr>
        <w:t xml:space="preserve"> </w:t>
      </w:r>
      <w:smartTag w:uri="urn:schemas-microsoft-com:office:smarttags" w:element="place">
        <w:smartTag w:uri="urn:schemas-microsoft-com:office:smarttags" w:element="country-region">
          <w:r w:rsidRPr="0055031E">
            <w:rPr>
              <w:i/>
            </w:rPr>
            <w:t>Canada</w:t>
          </w:r>
        </w:smartTag>
      </w:smartTag>
      <w:r w:rsidRPr="0055031E">
        <w:t>, decision of inadmissibility adopted on 27 March 2009, para</w:t>
      </w:r>
      <w:r w:rsidR="00217FFB" w:rsidRPr="0055031E">
        <w:t>.</w:t>
      </w:r>
      <w:r w:rsidRPr="0055031E">
        <w:t xml:space="preserve"> 6.4; communication No. 978/2001, </w:t>
      </w:r>
      <w:r w:rsidRPr="0055031E">
        <w:rPr>
          <w:i/>
        </w:rPr>
        <w:t xml:space="preserve">Dixit </w:t>
      </w:r>
      <w:r w:rsidRPr="0055031E">
        <w:rPr>
          <w:iCs/>
        </w:rPr>
        <w:t>v.</w:t>
      </w:r>
      <w:r w:rsidRPr="0055031E">
        <w:rPr>
          <w:i/>
        </w:rPr>
        <w:t xml:space="preserve"> </w:t>
      </w:r>
      <w:smartTag w:uri="urn:schemas-microsoft-com:office:smarttags" w:element="place">
        <w:smartTag w:uri="urn:schemas-microsoft-com:office:smarttags" w:element="country-region">
          <w:r w:rsidRPr="0055031E">
            <w:rPr>
              <w:i/>
            </w:rPr>
            <w:t>Australia</w:t>
          </w:r>
        </w:smartTag>
      </w:smartTag>
      <w:r w:rsidRPr="0055031E">
        <w:t>, decision of inadmissibility adopted on 28 March 2003, para</w:t>
      </w:r>
      <w:r w:rsidR="00217FFB" w:rsidRPr="0055031E">
        <w:t>.</w:t>
      </w:r>
      <w:r w:rsidRPr="0055031E">
        <w:t xml:space="preserve"> 8.3; communication No. 1012/2001, </w:t>
      </w:r>
      <w:r w:rsidRPr="0055031E">
        <w:rPr>
          <w:i/>
        </w:rPr>
        <w:t xml:space="preserve">Burgess </w:t>
      </w:r>
      <w:r w:rsidRPr="0055031E">
        <w:rPr>
          <w:iCs/>
        </w:rPr>
        <w:t>v.</w:t>
      </w:r>
      <w:r w:rsidRPr="0055031E">
        <w:rPr>
          <w:i/>
        </w:rPr>
        <w:t xml:space="preserve"> </w:t>
      </w:r>
      <w:smartTag w:uri="urn:schemas-microsoft-com:office:smarttags" w:element="place">
        <w:smartTag w:uri="urn:schemas-microsoft-com:office:smarttags" w:element="country-region">
          <w:r w:rsidRPr="0055031E">
            <w:rPr>
              <w:i/>
            </w:rPr>
            <w:t>Australia</w:t>
          </w:r>
        </w:smartTag>
      </w:smartTag>
      <w:r w:rsidRPr="0055031E">
        <w:t>, inadmissibility decision of 18 November 2005, para</w:t>
      </w:r>
      <w:r w:rsidR="00217FFB" w:rsidRPr="0055031E">
        <w:t>.</w:t>
      </w:r>
      <w:r w:rsidRPr="0055031E">
        <w:t xml:space="preserve"> 6.4;</w:t>
      </w:r>
      <w:r w:rsidRPr="0055031E">
        <w:rPr>
          <w:i/>
        </w:rPr>
        <w:t xml:space="preserve"> </w:t>
      </w:r>
      <w:r w:rsidRPr="0055031E">
        <w:t xml:space="preserve">communication No. 1635/2007, </w:t>
      </w:r>
      <w:r w:rsidRPr="0055031E">
        <w:rPr>
          <w:i/>
        </w:rPr>
        <w:t xml:space="preserve">Tillman </w:t>
      </w:r>
      <w:r w:rsidRPr="0055031E">
        <w:rPr>
          <w:iCs/>
        </w:rPr>
        <w:t>v.</w:t>
      </w:r>
      <w:r w:rsidRPr="0055031E">
        <w:rPr>
          <w:i/>
        </w:rPr>
        <w:t xml:space="preserve"> </w:t>
      </w:r>
      <w:smartTag w:uri="urn:schemas-microsoft-com:office:smarttags" w:element="place">
        <w:smartTag w:uri="urn:schemas-microsoft-com:office:smarttags" w:element="country-region">
          <w:r w:rsidRPr="0055031E">
            <w:rPr>
              <w:i/>
            </w:rPr>
            <w:t>Australia</w:t>
          </w:r>
        </w:smartTag>
      </w:smartTag>
      <w:r w:rsidRPr="0055031E">
        <w:t>, views adopted on 18 March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BB" w:rsidRPr="007C1F31" w:rsidRDefault="00C015BB" w:rsidP="0055031E">
    <w:pPr>
      <w:pStyle w:val="Header"/>
      <w:tabs>
        <w:tab w:val="right" w:pos="9639"/>
      </w:tabs>
    </w:pPr>
    <w:r>
      <w:t>CCPR/C/107/D/1921/2009</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BB" w:rsidRPr="007C1F31" w:rsidRDefault="00C015BB" w:rsidP="0055031E">
    <w:pPr>
      <w:pStyle w:val="Header"/>
      <w:tabs>
        <w:tab w:val="right" w:pos="9639"/>
      </w:tabs>
    </w:pPr>
    <w:r>
      <w:tab/>
      <w:t>CCPR/C/107/D/1921/2009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A8" w:rsidRDefault="00733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A4C77"/>
    <w:multiLevelType w:val="multilevel"/>
    <w:tmpl w:val="7E0298D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48758B1"/>
    <w:multiLevelType w:val="hybridMultilevel"/>
    <w:tmpl w:val="1AA45662"/>
    <w:lvl w:ilvl="0" w:tplc="EE328C9A">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1" w:tplc="04090019" w:tentative="1">
      <w:start w:val="1"/>
      <w:numFmt w:val="lowerLetter"/>
      <w:lvlText w:val="%2."/>
      <w:lvlJc w:val="left"/>
      <w:pPr>
        <w:tabs>
          <w:tab w:val="num" w:pos="1440"/>
        </w:tabs>
        <w:ind w:left="1440" w:hanging="360"/>
      </w:pPr>
    </w:lvl>
    <w:lvl w:ilvl="2" w:tplc="72083A22">
      <w:start w:val="3"/>
      <w:numFmt w:val="decimal"/>
      <w:lvlText w:val="3.%3"/>
      <w:lvlJc w:val="left"/>
      <w:pPr>
        <w:tabs>
          <w:tab w:val="num" w:pos="0"/>
        </w:tabs>
        <w:ind w:left="1134"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0A168E"/>
    <w:multiLevelType w:val="multilevel"/>
    <w:tmpl w:val="8CFAC89A"/>
    <w:lvl w:ilvl="0">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1">
      <w:start w:val="1"/>
      <w:numFmt w:val="lowerLetter"/>
      <w:lvlText w:val="%2."/>
      <w:lvlJc w:val="left"/>
      <w:pPr>
        <w:tabs>
          <w:tab w:val="num" w:pos="1440"/>
        </w:tabs>
        <w:ind w:left="1440" w:hanging="360"/>
      </w:pPr>
    </w:lvl>
    <w:lvl w:ilvl="2">
      <w:start w:val="3"/>
      <w:numFmt w:val="decimal"/>
      <w:lvlText w:val="3.%3"/>
      <w:lvlJc w:val="left"/>
      <w:pPr>
        <w:tabs>
          <w:tab w:val="num" w:pos="846"/>
        </w:tabs>
        <w:ind w:left="1980"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59A1C03"/>
    <w:multiLevelType w:val="multilevel"/>
    <w:tmpl w:val="9C225246"/>
    <w:lvl w:ilvl="0">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021B50"/>
    <w:multiLevelType w:val="multilevel"/>
    <w:tmpl w:val="E3E44F58"/>
    <w:lvl w:ilvl="0">
      <w:start w:val="2"/>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F31"/>
    <w:rsid w:val="000001FE"/>
    <w:rsid w:val="000062E4"/>
    <w:rsid w:val="0001464C"/>
    <w:rsid w:val="00015290"/>
    <w:rsid w:val="00015D27"/>
    <w:rsid w:val="00032DCC"/>
    <w:rsid w:val="000435BF"/>
    <w:rsid w:val="00043E9D"/>
    <w:rsid w:val="00045DA7"/>
    <w:rsid w:val="00050168"/>
    <w:rsid w:val="00050F6B"/>
    <w:rsid w:val="0005395A"/>
    <w:rsid w:val="00056EAA"/>
    <w:rsid w:val="00072C8C"/>
    <w:rsid w:val="000759E7"/>
    <w:rsid w:val="00075F1D"/>
    <w:rsid w:val="000802A8"/>
    <w:rsid w:val="00083645"/>
    <w:rsid w:val="000931C0"/>
    <w:rsid w:val="000969D1"/>
    <w:rsid w:val="000A691A"/>
    <w:rsid w:val="000A72AB"/>
    <w:rsid w:val="000B175B"/>
    <w:rsid w:val="000B3A0F"/>
    <w:rsid w:val="000B51A0"/>
    <w:rsid w:val="000E0415"/>
    <w:rsid w:val="00104610"/>
    <w:rsid w:val="001123D3"/>
    <w:rsid w:val="00121905"/>
    <w:rsid w:val="00125978"/>
    <w:rsid w:val="001314A4"/>
    <w:rsid w:val="001433F9"/>
    <w:rsid w:val="0014421F"/>
    <w:rsid w:val="00147C78"/>
    <w:rsid w:val="001607CE"/>
    <w:rsid w:val="00160E15"/>
    <w:rsid w:val="00163CB2"/>
    <w:rsid w:val="00181217"/>
    <w:rsid w:val="00186106"/>
    <w:rsid w:val="00196B8D"/>
    <w:rsid w:val="001A7D29"/>
    <w:rsid w:val="001B4B04"/>
    <w:rsid w:val="001C35CB"/>
    <w:rsid w:val="001C39CD"/>
    <w:rsid w:val="001C4960"/>
    <w:rsid w:val="001C6663"/>
    <w:rsid w:val="001C7895"/>
    <w:rsid w:val="001D2056"/>
    <w:rsid w:val="001D2393"/>
    <w:rsid w:val="001D26DF"/>
    <w:rsid w:val="001D3AAB"/>
    <w:rsid w:val="001D6F86"/>
    <w:rsid w:val="001E6DA2"/>
    <w:rsid w:val="00200AA5"/>
    <w:rsid w:val="00211E0B"/>
    <w:rsid w:val="00216203"/>
    <w:rsid w:val="00217FFB"/>
    <w:rsid w:val="0022077F"/>
    <w:rsid w:val="0024562D"/>
    <w:rsid w:val="00251C37"/>
    <w:rsid w:val="002707B4"/>
    <w:rsid w:val="00275962"/>
    <w:rsid w:val="002864D8"/>
    <w:rsid w:val="002A10F7"/>
    <w:rsid w:val="002B23DD"/>
    <w:rsid w:val="002B4602"/>
    <w:rsid w:val="002B7492"/>
    <w:rsid w:val="002B7975"/>
    <w:rsid w:val="002D1583"/>
    <w:rsid w:val="002D4629"/>
    <w:rsid w:val="002D5E9F"/>
    <w:rsid w:val="002D71BA"/>
    <w:rsid w:val="002F121D"/>
    <w:rsid w:val="002F33B6"/>
    <w:rsid w:val="00306DAC"/>
    <w:rsid w:val="003107FA"/>
    <w:rsid w:val="00313B06"/>
    <w:rsid w:val="003155C7"/>
    <w:rsid w:val="003229D8"/>
    <w:rsid w:val="0033745A"/>
    <w:rsid w:val="00342275"/>
    <w:rsid w:val="003441B1"/>
    <w:rsid w:val="00346D89"/>
    <w:rsid w:val="003633BD"/>
    <w:rsid w:val="00364BA8"/>
    <w:rsid w:val="0036770F"/>
    <w:rsid w:val="00374938"/>
    <w:rsid w:val="003924E6"/>
    <w:rsid w:val="0039277A"/>
    <w:rsid w:val="003970C4"/>
    <w:rsid w:val="003972E0"/>
    <w:rsid w:val="003A3CBA"/>
    <w:rsid w:val="003A419F"/>
    <w:rsid w:val="003B05F7"/>
    <w:rsid w:val="003B4B65"/>
    <w:rsid w:val="003C2CC4"/>
    <w:rsid w:val="003D1C5D"/>
    <w:rsid w:val="003D4B23"/>
    <w:rsid w:val="003E2556"/>
    <w:rsid w:val="003E4A80"/>
    <w:rsid w:val="003E6FF2"/>
    <w:rsid w:val="003F434D"/>
    <w:rsid w:val="0040654D"/>
    <w:rsid w:val="0041174B"/>
    <w:rsid w:val="00411A50"/>
    <w:rsid w:val="00412056"/>
    <w:rsid w:val="00413D55"/>
    <w:rsid w:val="00415FAC"/>
    <w:rsid w:val="004177C3"/>
    <w:rsid w:val="004274F3"/>
    <w:rsid w:val="004313E2"/>
    <w:rsid w:val="004325CB"/>
    <w:rsid w:val="00433614"/>
    <w:rsid w:val="00433AFD"/>
    <w:rsid w:val="00440B91"/>
    <w:rsid w:val="00445925"/>
    <w:rsid w:val="00446DE4"/>
    <w:rsid w:val="004622FC"/>
    <w:rsid w:val="00464D3D"/>
    <w:rsid w:val="00476AF8"/>
    <w:rsid w:val="00485133"/>
    <w:rsid w:val="004862EC"/>
    <w:rsid w:val="004A194F"/>
    <w:rsid w:val="004A41CA"/>
    <w:rsid w:val="004B40F4"/>
    <w:rsid w:val="004B7584"/>
    <w:rsid w:val="004C0B2E"/>
    <w:rsid w:val="004E3871"/>
    <w:rsid w:val="004F0DC4"/>
    <w:rsid w:val="004F4989"/>
    <w:rsid w:val="00503228"/>
    <w:rsid w:val="00505384"/>
    <w:rsid w:val="00514660"/>
    <w:rsid w:val="005161E8"/>
    <w:rsid w:val="00526483"/>
    <w:rsid w:val="005335E0"/>
    <w:rsid w:val="005349E4"/>
    <w:rsid w:val="00535E08"/>
    <w:rsid w:val="005420F2"/>
    <w:rsid w:val="005466F6"/>
    <w:rsid w:val="0055031E"/>
    <w:rsid w:val="00554B84"/>
    <w:rsid w:val="0057431E"/>
    <w:rsid w:val="005A1BFC"/>
    <w:rsid w:val="005A4516"/>
    <w:rsid w:val="005B3DB3"/>
    <w:rsid w:val="005C427D"/>
    <w:rsid w:val="005E6417"/>
    <w:rsid w:val="005E739F"/>
    <w:rsid w:val="006059DE"/>
    <w:rsid w:val="006063CB"/>
    <w:rsid w:val="00611FC4"/>
    <w:rsid w:val="00617558"/>
    <w:rsid w:val="006176FB"/>
    <w:rsid w:val="00623B07"/>
    <w:rsid w:val="00627ED0"/>
    <w:rsid w:val="00630E93"/>
    <w:rsid w:val="0063227E"/>
    <w:rsid w:val="00640B26"/>
    <w:rsid w:val="00642EC3"/>
    <w:rsid w:val="00643CBF"/>
    <w:rsid w:val="0064402C"/>
    <w:rsid w:val="00644C74"/>
    <w:rsid w:val="00645711"/>
    <w:rsid w:val="00650CB7"/>
    <w:rsid w:val="006513DF"/>
    <w:rsid w:val="00665595"/>
    <w:rsid w:val="00677E93"/>
    <w:rsid w:val="0068248A"/>
    <w:rsid w:val="006928FF"/>
    <w:rsid w:val="006943EB"/>
    <w:rsid w:val="006947E1"/>
    <w:rsid w:val="00694E66"/>
    <w:rsid w:val="0069569A"/>
    <w:rsid w:val="00697D83"/>
    <w:rsid w:val="006A0A00"/>
    <w:rsid w:val="006A1F45"/>
    <w:rsid w:val="006A2A34"/>
    <w:rsid w:val="006A7392"/>
    <w:rsid w:val="006B64E2"/>
    <w:rsid w:val="006B7A82"/>
    <w:rsid w:val="006C6230"/>
    <w:rsid w:val="006C672D"/>
    <w:rsid w:val="006E2030"/>
    <w:rsid w:val="006E3A58"/>
    <w:rsid w:val="006E564B"/>
    <w:rsid w:val="006F376A"/>
    <w:rsid w:val="0072632A"/>
    <w:rsid w:val="007325DE"/>
    <w:rsid w:val="007339A8"/>
    <w:rsid w:val="007369EB"/>
    <w:rsid w:val="00742970"/>
    <w:rsid w:val="00744B05"/>
    <w:rsid w:val="00747428"/>
    <w:rsid w:val="007569EE"/>
    <w:rsid w:val="00757487"/>
    <w:rsid w:val="007648BB"/>
    <w:rsid w:val="00766F6D"/>
    <w:rsid w:val="00771098"/>
    <w:rsid w:val="00781340"/>
    <w:rsid w:val="007860A5"/>
    <w:rsid w:val="007A1601"/>
    <w:rsid w:val="007A2BFF"/>
    <w:rsid w:val="007A5F52"/>
    <w:rsid w:val="007B5020"/>
    <w:rsid w:val="007B6BA5"/>
    <w:rsid w:val="007C1F31"/>
    <w:rsid w:val="007C3390"/>
    <w:rsid w:val="007C4F4B"/>
    <w:rsid w:val="007C6002"/>
    <w:rsid w:val="007D16A5"/>
    <w:rsid w:val="007D3CB6"/>
    <w:rsid w:val="007E03E9"/>
    <w:rsid w:val="007E24A7"/>
    <w:rsid w:val="007E7592"/>
    <w:rsid w:val="007F0B83"/>
    <w:rsid w:val="007F6611"/>
    <w:rsid w:val="008102D0"/>
    <w:rsid w:val="00811F19"/>
    <w:rsid w:val="008129F7"/>
    <w:rsid w:val="008175E9"/>
    <w:rsid w:val="00820240"/>
    <w:rsid w:val="008242D7"/>
    <w:rsid w:val="00824A60"/>
    <w:rsid w:val="0082506F"/>
    <w:rsid w:val="00827D91"/>
    <w:rsid w:val="008301FA"/>
    <w:rsid w:val="008311A3"/>
    <w:rsid w:val="0084145A"/>
    <w:rsid w:val="00844249"/>
    <w:rsid w:val="008521B0"/>
    <w:rsid w:val="00852B1B"/>
    <w:rsid w:val="00855489"/>
    <w:rsid w:val="008569AD"/>
    <w:rsid w:val="0085772D"/>
    <w:rsid w:val="0087141C"/>
    <w:rsid w:val="00871FD5"/>
    <w:rsid w:val="008732DD"/>
    <w:rsid w:val="00874700"/>
    <w:rsid w:val="00890079"/>
    <w:rsid w:val="00897061"/>
    <w:rsid w:val="008979B1"/>
    <w:rsid w:val="008A10D9"/>
    <w:rsid w:val="008A3460"/>
    <w:rsid w:val="008A6B25"/>
    <w:rsid w:val="008A6C4F"/>
    <w:rsid w:val="008B4866"/>
    <w:rsid w:val="008D6278"/>
    <w:rsid w:val="008E0E46"/>
    <w:rsid w:val="008E5173"/>
    <w:rsid w:val="008F35C7"/>
    <w:rsid w:val="00907AD2"/>
    <w:rsid w:val="0091162D"/>
    <w:rsid w:val="0091329A"/>
    <w:rsid w:val="00920F69"/>
    <w:rsid w:val="009235E9"/>
    <w:rsid w:val="00924B26"/>
    <w:rsid w:val="00936EE7"/>
    <w:rsid w:val="009379C5"/>
    <w:rsid w:val="0094033E"/>
    <w:rsid w:val="00943F07"/>
    <w:rsid w:val="00944FF0"/>
    <w:rsid w:val="009453FD"/>
    <w:rsid w:val="0094713E"/>
    <w:rsid w:val="0095016C"/>
    <w:rsid w:val="00963CBA"/>
    <w:rsid w:val="009659D3"/>
    <w:rsid w:val="00972C1E"/>
    <w:rsid w:val="00974A8D"/>
    <w:rsid w:val="00975154"/>
    <w:rsid w:val="009751A7"/>
    <w:rsid w:val="00990486"/>
    <w:rsid w:val="00991261"/>
    <w:rsid w:val="009B2DCF"/>
    <w:rsid w:val="009C11FF"/>
    <w:rsid w:val="009D090B"/>
    <w:rsid w:val="009E35F0"/>
    <w:rsid w:val="009E6831"/>
    <w:rsid w:val="009F150A"/>
    <w:rsid w:val="009F3A17"/>
    <w:rsid w:val="009F47B2"/>
    <w:rsid w:val="00A07CD6"/>
    <w:rsid w:val="00A13441"/>
    <w:rsid w:val="00A1427D"/>
    <w:rsid w:val="00A228B7"/>
    <w:rsid w:val="00A3511A"/>
    <w:rsid w:val="00A37D4B"/>
    <w:rsid w:val="00A43454"/>
    <w:rsid w:val="00A4480C"/>
    <w:rsid w:val="00A536E9"/>
    <w:rsid w:val="00A579EF"/>
    <w:rsid w:val="00A6498B"/>
    <w:rsid w:val="00A72F22"/>
    <w:rsid w:val="00A748A6"/>
    <w:rsid w:val="00A75AB7"/>
    <w:rsid w:val="00A75DD4"/>
    <w:rsid w:val="00A8340A"/>
    <w:rsid w:val="00A85068"/>
    <w:rsid w:val="00A879A4"/>
    <w:rsid w:val="00A87AC1"/>
    <w:rsid w:val="00AA4AE3"/>
    <w:rsid w:val="00AC0925"/>
    <w:rsid w:val="00AC1BA2"/>
    <w:rsid w:val="00AD0CA8"/>
    <w:rsid w:val="00AD2DFF"/>
    <w:rsid w:val="00AD4107"/>
    <w:rsid w:val="00B03B64"/>
    <w:rsid w:val="00B119D4"/>
    <w:rsid w:val="00B30179"/>
    <w:rsid w:val="00B31E98"/>
    <w:rsid w:val="00B33EC0"/>
    <w:rsid w:val="00B40A22"/>
    <w:rsid w:val="00B45F88"/>
    <w:rsid w:val="00B50B06"/>
    <w:rsid w:val="00B516B5"/>
    <w:rsid w:val="00B81E12"/>
    <w:rsid w:val="00B830AC"/>
    <w:rsid w:val="00B918C9"/>
    <w:rsid w:val="00BA434F"/>
    <w:rsid w:val="00BB5F64"/>
    <w:rsid w:val="00BC1731"/>
    <w:rsid w:val="00BC3AC9"/>
    <w:rsid w:val="00BC74E9"/>
    <w:rsid w:val="00BD0D1E"/>
    <w:rsid w:val="00BE056A"/>
    <w:rsid w:val="00BE4F74"/>
    <w:rsid w:val="00BE618E"/>
    <w:rsid w:val="00BE623E"/>
    <w:rsid w:val="00BE6F60"/>
    <w:rsid w:val="00BF1633"/>
    <w:rsid w:val="00BF17C1"/>
    <w:rsid w:val="00C015BB"/>
    <w:rsid w:val="00C01D09"/>
    <w:rsid w:val="00C16256"/>
    <w:rsid w:val="00C17699"/>
    <w:rsid w:val="00C42BD7"/>
    <w:rsid w:val="00C45780"/>
    <w:rsid w:val="00C463DD"/>
    <w:rsid w:val="00C5186A"/>
    <w:rsid w:val="00C64648"/>
    <w:rsid w:val="00C745C3"/>
    <w:rsid w:val="00C7723B"/>
    <w:rsid w:val="00C83577"/>
    <w:rsid w:val="00C866D8"/>
    <w:rsid w:val="00C8793B"/>
    <w:rsid w:val="00C94F1C"/>
    <w:rsid w:val="00CB69EF"/>
    <w:rsid w:val="00CC75B8"/>
    <w:rsid w:val="00CD5C5E"/>
    <w:rsid w:val="00CE4A8F"/>
    <w:rsid w:val="00CF51B4"/>
    <w:rsid w:val="00CF615C"/>
    <w:rsid w:val="00D02482"/>
    <w:rsid w:val="00D2031B"/>
    <w:rsid w:val="00D2393D"/>
    <w:rsid w:val="00D25FE2"/>
    <w:rsid w:val="00D263B2"/>
    <w:rsid w:val="00D30632"/>
    <w:rsid w:val="00D317BB"/>
    <w:rsid w:val="00D4199A"/>
    <w:rsid w:val="00D43252"/>
    <w:rsid w:val="00D505D8"/>
    <w:rsid w:val="00D52B84"/>
    <w:rsid w:val="00D56C84"/>
    <w:rsid w:val="00D64054"/>
    <w:rsid w:val="00D764C3"/>
    <w:rsid w:val="00D83A6D"/>
    <w:rsid w:val="00D9156C"/>
    <w:rsid w:val="00D9674B"/>
    <w:rsid w:val="00D978C6"/>
    <w:rsid w:val="00DA1B25"/>
    <w:rsid w:val="00DA67AD"/>
    <w:rsid w:val="00DB5D0F"/>
    <w:rsid w:val="00DC4DCA"/>
    <w:rsid w:val="00DD1B53"/>
    <w:rsid w:val="00DE66BC"/>
    <w:rsid w:val="00DE7004"/>
    <w:rsid w:val="00DF0F82"/>
    <w:rsid w:val="00DF12F7"/>
    <w:rsid w:val="00DF6F5E"/>
    <w:rsid w:val="00DF77DE"/>
    <w:rsid w:val="00DF7841"/>
    <w:rsid w:val="00E02C81"/>
    <w:rsid w:val="00E130AB"/>
    <w:rsid w:val="00E17D97"/>
    <w:rsid w:val="00E6026B"/>
    <w:rsid w:val="00E63884"/>
    <w:rsid w:val="00E7260F"/>
    <w:rsid w:val="00E87921"/>
    <w:rsid w:val="00E905DE"/>
    <w:rsid w:val="00E96630"/>
    <w:rsid w:val="00EC0673"/>
    <w:rsid w:val="00EC74D2"/>
    <w:rsid w:val="00ED07C5"/>
    <w:rsid w:val="00ED24FB"/>
    <w:rsid w:val="00ED7A2A"/>
    <w:rsid w:val="00EE2D6A"/>
    <w:rsid w:val="00EF1D7F"/>
    <w:rsid w:val="00F11586"/>
    <w:rsid w:val="00F15D79"/>
    <w:rsid w:val="00F16B65"/>
    <w:rsid w:val="00F20EE3"/>
    <w:rsid w:val="00F3266F"/>
    <w:rsid w:val="00F478FE"/>
    <w:rsid w:val="00F53EDA"/>
    <w:rsid w:val="00F7093F"/>
    <w:rsid w:val="00F7753D"/>
    <w:rsid w:val="00F85092"/>
    <w:rsid w:val="00F85F34"/>
    <w:rsid w:val="00F95866"/>
    <w:rsid w:val="00F96354"/>
    <w:rsid w:val="00FA06F7"/>
    <w:rsid w:val="00FA31AA"/>
    <w:rsid w:val="00FA4E30"/>
    <w:rsid w:val="00FA7444"/>
    <w:rsid w:val="00FA789A"/>
    <w:rsid w:val="00FB171A"/>
    <w:rsid w:val="00FB7E0D"/>
    <w:rsid w:val="00FC3960"/>
    <w:rsid w:val="00FC54E6"/>
    <w:rsid w:val="00FC68B7"/>
    <w:rsid w:val="00FD2C63"/>
    <w:rsid w:val="00FD3273"/>
    <w:rsid w:val="00FD4140"/>
    <w:rsid w:val="00FD7BF6"/>
    <w:rsid w:val="00FE5D7E"/>
    <w:rsid w:val="00FF153E"/>
    <w:rsid w:val="00FF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9E7C7C12-FBD1-470F-8C03-558A7AB8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val="en-GB"/>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uiPriority w:val="99"/>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alloonText">
    <w:name w:val="Balloon Text"/>
    <w:basedOn w:val="Normal"/>
    <w:semiHidden/>
    <w:rsid w:val="00A75AB7"/>
    <w:rPr>
      <w:rFonts w:ascii="Tahoma" w:hAnsi="Tahoma" w:cs="Tahoma"/>
      <w:sz w:val="16"/>
      <w:szCs w:val="16"/>
    </w:rPr>
  </w:style>
  <w:style w:type="character" w:customStyle="1" w:styleId="SingleTxtGChar">
    <w:name w:val="_ Single Txt_G Char"/>
    <w:link w:val="SingleTxtG"/>
    <w:rsid w:val="00A6498B"/>
    <w:rPr>
      <w:lang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A6498B"/>
    <w:rPr>
      <w:sz w:val="18"/>
      <w:lang w:eastAsia="en-US"/>
    </w:rPr>
  </w:style>
  <w:style w:type="character" w:customStyle="1" w:styleId="HeaderChar">
    <w:name w:val="Header Char"/>
    <w:aliases w:val="6_G Char"/>
    <w:link w:val="Header"/>
    <w:uiPriority w:val="99"/>
    <w:rsid w:val="00104610"/>
    <w:rPr>
      <w:b/>
      <w:sz w:val="18"/>
      <w:lang w:eastAsia="en-US"/>
    </w:rPr>
  </w:style>
  <w:style w:type="character" w:customStyle="1" w:styleId="apple-converted-space">
    <w:name w:val="apple-converted-space"/>
    <w:rsid w:val="00694E66"/>
  </w:style>
  <w:style w:type="character" w:styleId="CommentReference">
    <w:name w:val="annotation reference"/>
    <w:semiHidden/>
    <w:rsid w:val="00BF1633"/>
    <w:rPr>
      <w:sz w:val="16"/>
      <w:szCs w:val="16"/>
    </w:rPr>
  </w:style>
  <w:style w:type="paragraph" w:styleId="CommentText">
    <w:name w:val="annotation text"/>
    <w:basedOn w:val="Normal"/>
    <w:semiHidden/>
    <w:rsid w:val="00BF1633"/>
  </w:style>
  <w:style w:type="paragraph" w:styleId="CommentSubject">
    <w:name w:val="annotation subject"/>
    <w:basedOn w:val="CommentText"/>
    <w:next w:val="CommentText"/>
    <w:semiHidden/>
    <w:rsid w:val="00BF1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81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CCPR/C/97/D/1744/2007</vt:lpstr>
    </vt:vector>
  </TitlesOfParts>
  <Company>CSD</Company>
  <LinksUpToDate>false</LinksUpToDate>
  <CharactersWithSpaces>11590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CCPR/C/97/D/1744/2007</dc:title>
  <dc:subject/>
  <dc:creator>Neogi</dc:creator>
  <cp:keywords/>
  <cp:lastModifiedBy>Sarah Willig</cp:lastModifiedBy>
  <cp:revision>2</cp:revision>
  <cp:lastPrinted>2013-05-14T10:18:00Z</cp:lastPrinted>
  <dcterms:created xsi:type="dcterms:W3CDTF">2017-01-23T23:23:00Z</dcterms:created>
  <dcterms:modified xsi:type="dcterms:W3CDTF">2017-01-23T23:23:00Z</dcterms:modified>
</cp:coreProperties>
</file>