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EE7322" w:rsidP="00E90067">
            <w:pPr>
              <w:jc w:val="right"/>
            </w:pPr>
            <w:r w:rsidRPr="00EE7322">
              <w:rPr>
                <w:sz w:val="40"/>
              </w:rPr>
              <w:t>CRPD</w:t>
            </w:r>
            <w:r>
              <w:t>/C/15/D/13/2013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A555A" w:rsidP="00B06775">
            <w:pPr>
              <w:spacing w:before="120"/>
              <w:jc w:val="center"/>
            </w:pPr>
            <w:r>
              <w:rPr>
                <w:noProof/>
                <w:lang w:val="en-US"/>
              </w:rPr>
              <w:drawing>
                <wp:inline distT="0" distB="0" distL="0" distR="0" wp14:anchorId="62D32D8C" wp14:editId="5A873A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EE7322" w:rsidP="00EE7322">
            <w:pPr>
              <w:spacing w:before="240" w:line="240" w:lineRule="exact"/>
            </w:pPr>
            <w:r>
              <w:t xml:space="preserve">Distr.: </w:t>
            </w:r>
            <w:r w:rsidR="00E90067">
              <w:t>General</w:t>
            </w:r>
          </w:p>
          <w:p w:rsidR="00EE7322" w:rsidRDefault="005E5F08" w:rsidP="00EE7322">
            <w:pPr>
              <w:spacing w:line="240" w:lineRule="exact"/>
            </w:pPr>
            <w:r>
              <w:t>30</w:t>
            </w:r>
            <w:r w:rsidR="00E90067">
              <w:t xml:space="preserve"> </w:t>
            </w:r>
            <w:r w:rsidR="007F5F48">
              <w:t>May</w:t>
            </w:r>
            <w:r w:rsidR="00EE7322">
              <w:t xml:space="preserve"> 2016</w:t>
            </w:r>
          </w:p>
          <w:p w:rsidR="00EE7322" w:rsidRDefault="00EE7322" w:rsidP="00EE7322">
            <w:pPr>
              <w:spacing w:line="240" w:lineRule="exact"/>
            </w:pPr>
          </w:p>
          <w:p w:rsidR="00EE7322" w:rsidRDefault="00EE7322" w:rsidP="00EE7322">
            <w:pPr>
              <w:spacing w:line="240" w:lineRule="exact"/>
            </w:pPr>
            <w:r>
              <w:t>Original: English</w:t>
            </w:r>
          </w:p>
          <w:p w:rsidR="00FE52FD" w:rsidRDefault="00FE52FD" w:rsidP="00EE7322">
            <w:pPr>
              <w:spacing w:line="240" w:lineRule="exact"/>
            </w:pPr>
          </w:p>
        </w:tc>
      </w:tr>
    </w:tbl>
    <w:p w:rsidR="00271B5A" w:rsidRPr="00271B5A" w:rsidRDefault="00271B5A" w:rsidP="00271B5A">
      <w:pPr>
        <w:spacing w:line="20" w:lineRule="exact"/>
        <w:rPr>
          <w:b/>
          <w:sz w:val="2"/>
          <w:szCs w:val="24"/>
        </w:rPr>
      </w:pPr>
    </w:p>
    <w:p w:rsidR="00EE7322" w:rsidRDefault="00EE7322" w:rsidP="00F577BA">
      <w:pPr>
        <w:spacing w:before="120"/>
        <w:jc w:val="both"/>
        <w:rPr>
          <w:b/>
          <w:bCs/>
        </w:rPr>
      </w:pPr>
      <w:r w:rsidRPr="00FF4E8A">
        <w:rPr>
          <w:b/>
          <w:sz w:val="24"/>
          <w:szCs w:val="24"/>
        </w:rPr>
        <w:t>Committee on the Rights of Persons with Disabilities</w:t>
      </w:r>
    </w:p>
    <w:p w:rsidR="00EE7322" w:rsidRDefault="00EE7322">
      <w:pPr>
        <w:pStyle w:val="HChG"/>
      </w:pPr>
      <w:r w:rsidRPr="00FF4E8A">
        <w:tab/>
      </w:r>
      <w:r w:rsidRPr="00FF4E8A">
        <w:tab/>
      </w:r>
      <w:r w:rsidR="00E90067">
        <w:t xml:space="preserve">Views </w:t>
      </w:r>
      <w:r w:rsidR="00E90067" w:rsidRPr="00420977">
        <w:t>a</w:t>
      </w:r>
      <w:r w:rsidR="00E90067">
        <w:t xml:space="preserve">dopted by the Committee </w:t>
      </w:r>
      <w:r w:rsidR="00E90067" w:rsidRPr="00324427">
        <w:t>under article 5 of the Optional Protocol</w:t>
      </w:r>
      <w:r w:rsidR="00E90067">
        <w:t>,</w:t>
      </w:r>
      <w:r w:rsidR="00E90067" w:rsidRPr="00FB3457">
        <w:t xml:space="preserve"> </w:t>
      </w:r>
      <w:r w:rsidR="00E90067">
        <w:t xml:space="preserve">concerning </w:t>
      </w:r>
      <w:r w:rsidR="00E90067" w:rsidRPr="00F577BA">
        <w:rPr>
          <w:spacing w:val="-2"/>
        </w:rPr>
        <w:t>communication No.</w:t>
      </w:r>
      <w:r w:rsidRPr="00F577BA">
        <w:rPr>
          <w:spacing w:val="-2"/>
        </w:rPr>
        <w:t xml:space="preserve"> 13/2013</w:t>
      </w:r>
      <w:r w:rsidR="00A31639" w:rsidRPr="00F577BA">
        <w:rPr>
          <w:rStyle w:val="FootnoteReference"/>
          <w:b w:val="0"/>
          <w:bCs/>
          <w:spacing w:val="-2"/>
          <w:sz w:val="20"/>
          <w:vertAlign w:val="baseline"/>
        </w:rPr>
        <w:footnoteReference w:customMarkFollows="1" w:id="2"/>
        <w:t>*</w:t>
      </w:r>
      <w:r w:rsidR="00C04D39" w:rsidRPr="00F577BA">
        <w:rPr>
          <w:b w:val="0"/>
          <w:bCs/>
          <w:spacing w:val="-2"/>
          <w:position w:val="4"/>
          <w:sz w:val="20"/>
        </w:rPr>
        <w:t>,</w:t>
      </w:r>
      <w:r w:rsidR="0029226E" w:rsidRPr="00F577BA">
        <w:rPr>
          <w:rStyle w:val="FootnoteReference"/>
          <w:b w:val="0"/>
          <w:bCs/>
          <w:spacing w:val="-2"/>
          <w:sz w:val="20"/>
          <w:vertAlign w:val="baseline"/>
        </w:rPr>
        <w:t xml:space="preserve"> </w:t>
      </w:r>
      <w:r w:rsidRPr="00F577BA">
        <w:rPr>
          <w:rStyle w:val="FootnoteReference"/>
          <w:b w:val="0"/>
          <w:bCs/>
          <w:spacing w:val="-2"/>
          <w:sz w:val="20"/>
          <w:vertAlign w:val="baseline"/>
        </w:rPr>
        <w:footnoteReference w:customMarkFollows="1" w:id="3"/>
        <w:t>**</w:t>
      </w:r>
      <w:r w:rsidR="002B0DA4">
        <w:rPr>
          <w:b w:val="0"/>
          <w:bCs/>
          <w:spacing w:val="-2"/>
          <w:sz w:val="20"/>
        </w:rPr>
        <w:t xml:space="preserve"> </w:t>
      </w:r>
    </w:p>
    <w:p w:rsidR="00EE7322" w:rsidRPr="00FF4E8A" w:rsidRDefault="0037164E" w:rsidP="00F577BA">
      <w:pPr>
        <w:pStyle w:val="HChG"/>
        <w:keepNext w:val="0"/>
        <w:keepLines w:val="0"/>
        <w:spacing w:before="0" w:after="100" w:line="240" w:lineRule="atLeast"/>
        <w:ind w:left="4536" w:hanging="3402"/>
        <w:rPr>
          <w:b w:val="0"/>
          <w:sz w:val="22"/>
          <w:szCs w:val="22"/>
        </w:rPr>
      </w:pPr>
      <w:r w:rsidRPr="00F577BA">
        <w:rPr>
          <w:b w:val="0"/>
          <w:bCs/>
          <w:i/>
          <w:iCs/>
          <w:sz w:val="20"/>
        </w:rPr>
        <w:t>Communication</w:t>
      </w:r>
      <w:r w:rsidRPr="00F577BA">
        <w:rPr>
          <w:b w:val="0"/>
          <w:bCs/>
          <w:i/>
          <w:iCs/>
          <w:sz w:val="24"/>
        </w:rPr>
        <w:t xml:space="preserve"> </w:t>
      </w:r>
      <w:r w:rsidRPr="00F577BA">
        <w:rPr>
          <w:b w:val="0"/>
          <w:i/>
          <w:iCs/>
          <w:sz w:val="20"/>
        </w:rPr>
        <w:t>s</w:t>
      </w:r>
      <w:r w:rsidR="00EE7322" w:rsidRPr="00F577BA">
        <w:rPr>
          <w:b w:val="0"/>
          <w:i/>
          <w:iCs/>
          <w:sz w:val="20"/>
        </w:rPr>
        <w:t>ubmitted by:</w:t>
      </w:r>
      <w:r w:rsidR="00EE7322" w:rsidRPr="00FF4E8A">
        <w:rPr>
          <w:b w:val="0"/>
          <w:sz w:val="22"/>
          <w:szCs w:val="22"/>
        </w:rPr>
        <w:tab/>
      </w:r>
      <w:r w:rsidR="00EE7322">
        <w:rPr>
          <w:b w:val="0"/>
          <w:sz w:val="20"/>
        </w:rPr>
        <w:t>Michael Lockrey</w:t>
      </w:r>
      <w:r w:rsidR="00EE7322" w:rsidRPr="00FF4E8A">
        <w:rPr>
          <w:b w:val="0"/>
          <w:sz w:val="20"/>
        </w:rPr>
        <w:t xml:space="preserve"> (represented by </w:t>
      </w:r>
      <w:r w:rsidR="00EE7322">
        <w:rPr>
          <w:b w:val="0"/>
          <w:sz w:val="20"/>
        </w:rPr>
        <w:t>the Australian Centre for Disability Law</w:t>
      </w:r>
      <w:r w:rsidR="00EE7322" w:rsidRPr="00FF4E8A">
        <w:rPr>
          <w:b w:val="0"/>
          <w:sz w:val="20"/>
        </w:rPr>
        <w:t>)</w:t>
      </w:r>
    </w:p>
    <w:p w:rsidR="00EE7322" w:rsidRPr="00FF4E8A" w:rsidRDefault="00EE7322" w:rsidP="004F68D8">
      <w:pPr>
        <w:pStyle w:val="SingleTxtG"/>
        <w:spacing w:after="100"/>
        <w:ind w:left="4536" w:hanging="3402"/>
        <w:jc w:val="left"/>
        <w:rPr>
          <w:sz w:val="22"/>
          <w:szCs w:val="22"/>
        </w:rPr>
      </w:pPr>
      <w:r w:rsidRPr="00FF4E8A">
        <w:rPr>
          <w:i/>
        </w:rPr>
        <w:t>Alleged victim:</w:t>
      </w:r>
      <w:r w:rsidRPr="00FF4E8A">
        <w:rPr>
          <w:sz w:val="22"/>
          <w:szCs w:val="22"/>
        </w:rPr>
        <w:tab/>
      </w:r>
      <w:r w:rsidRPr="00FF4E8A">
        <w:t>The author</w:t>
      </w:r>
    </w:p>
    <w:p w:rsidR="00EE7322" w:rsidRPr="00FF4E8A" w:rsidRDefault="00EE7322" w:rsidP="004F68D8">
      <w:pPr>
        <w:pStyle w:val="SingleTxtG"/>
        <w:spacing w:after="100"/>
        <w:ind w:left="4536" w:hanging="3402"/>
        <w:jc w:val="left"/>
        <w:rPr>
          <w:sz w:val="22"/>
          <w:szCs w:val="22"/>
          <w:lang w:val="en-US"/>
        </w:rPr>
      </w:pPr>
      <w:r w:rsidRPr="00FF4E8A">
        <w:rPr>
          <w:i/>
        </w:rPr>
        <w:t xml:space="preserve">State </w:t>
      </w:r>
      <w:r w:rsidR="00E940CE">
        <w:rPr>
          <w:i/>
        </w:rPr>
        <w:t>p</w:t>
      </w:r>
      <w:r w:rsidRPr="00FF4E8A">
        <w:rPr>
          <w:i/>
        </w:rPr>
        <w:t>arty:</w:t>
      </w:r>
      <w:r w:rsidRPr="00FF4E8A">
        <w:rPr>
          <w:sz w:val="22"/>
          <w:szCs w:val="22"/>
        </w:rPr>
        <w:tab/>
      </w:r>
      <w:r>
        <w:t>Australia</w:t>
      </w:r>
    </w:p>
    <w:p w:rsidR="00EE7322" w:rsidRPr="00FF4E8A" w:rsidRDefault="00EE7322" w:rsidP="004F68D8">
      <w:pPr>
        <w:pStyle w:val="SingleTxtG"/>
        <w:spacing w:after="100"/>
        <w:ind w:left="4536" w:hanging="3402"/>
        <w:jc w:val="left"/>
        <w:rPr>
          <w:sz w:val="22"/>
          <w:szCs w:val="22"/>
        </w:rPr>
      </w:pPr>
      <w:r w:rsidRPr="00FF4E8A">
        <w:rPr>
          <w:i/>
        </w:rPr>
        <w:t>Date of communication:</w:t>
      </w:r>
      <w:r w:rsidRPr="00FF4E8A">
        <w:rPr>
          <w:sz w:val="22"/>
          <w:szCs w:val="22"/>
        </w:rPr>
        <w:tab/>
      </w:r>
      <w:r>
        <w:t>8 April 2013</w:t>
      </w:r>
      <w:r w:rsidRPr="00FF4E8A">
        <w:t xml:space="preserve"> (initial submission)</w:t>
      </w:r>
    </w:p>
    <w:p w:rsidR="00EE7322" w:rsidRPr="00FF4E8A" w:rsidRDefault="00EE7322" w:rsidP="00484150">
      <w:pPr>
        <w:pStyle w:val="SingleTxtG"/>
        <w:spacing w:after="100"/>
        <w:ind w:left="4536" w:hanging="3402"/>
        <w:jc w:val="left"/>
        <w:rPr>
          <w:sz w:val="22"/>
          <w:szCs w:val="22"/>
        </w:rPr>
      </w:pPr>
      <w:r w:rsidRPr="00FF4E8A">
        <w:rPr>
          <w:i/>
        </w:rPr>
        <w:t>Document references:</w:t>
      </w:r>
      <w:r w:rsidRPr="00FF4E8A">
        <w:rPr>
          <w:sz w:val="22"/>
          <w:szCs w:val="22"/>
        </w:rPr>
        <w:tab/>
      </w:r>
      <w:r w:rsidR="00484150" w:rsidRPr="00F577BA">
        <w:t xml:space="preserve">Decision taken pursuant to </w:t>
      </w:r>
      <w:r w:rsidRPr="00FF4E8A">
        <w:t xml:space="preserve">rule 70 </w:t>
      </w:r>
      <w:r w:rsidR="00484150">
        <w:t>of the Committee’s rules of procedure</w:t>
      </w:r>
      <w:r w:rsidRPr="00FF4E8A">
        <w:t xml:space="preserve">, transmitted to the State party on </w:t>
      </w:r>
      <w:r>
        <w:t>7 June 2014</w:t>
      </w:r>
      <w:r w:rsidRPr="00FF4E8A">
        <w:t xml:space="preserve"> (not</w:t>
      </w:r>
      <w:r w:rsidR="00170142">
        <w:t> </w:t>
      </w:r>
      <w:r w:rsidRPr="00FF4E8A">
        <w:t>issued in document form)</w:t>
      </w:r>
    </w:p>
    <w:p w:rsidR="00EE7322" w:rsidRPr="00FF4E8A" w:rsidRDefault="00EE7322">
      <w:pPr>
        <w:pStyle w:val="SingleTxtG"/>
        <w:spacing w:after="100"/>
        <w:ind w:left="4536" w:hanging="3402"/>
        <w:jc w:val="left"/>
        <w:rPr>
          <w:sz w:val="22"/>
          <w:szCs w:val="22"/>
        </w:rPr>
      </w:pPr>
      <w:r w:rsidRPr="00FF4E8A">
        <w:rPr>
          <w:i/>
        </w:rPr>
        <w:t xml:space="preserve">Date of adoption of </w:t>
      </w:r>
      <w:r w:rsidR="0037164E">
        <w:rPr>
          <w:i/>
        </w:rPr>
        <w:t>Views</w:t>
      </w:r>
      <w:r w:rsidRPr="00F577BA">
        <w:rPr>
          <w:i/>
          <w:iCs/>
        </w:rPr>
        <w:t>:</w:t>
      </w:r>
      <w:r w:rsidRPr="00FF4E8A">
        <w:rPr>
          <w:sz w:val="22"/>
          <w:szCs w:val="22"/>
        </w:rPr>
        <w:tab/>
      </w:r>
      <w:r w:rsidR="00E90067">
        <w:t xml:space="preserve">1 April </w:t>
      </w:r>
      <w:r w:rsidRPr="00FF4E8A">
        <w:t>201</w:t>
      </w:r>
      <w:r>
        <w:t>6</w:t>
      </w:r>
    </w:p>
    <w:p w:rsidR="00EE7322" w:rsidRDefault="00EE7322" w:rsidP="004F68D8">
      <w:pPr>
        <w:pStyle w:val="SingleTxtG"/>
        <w:spacing w:after="100"/>
        <w:ind w:left="4536" w:hanging="3402"/>
        <w:jc w:val="left"/>
      </w:pPr>
      <w:r w:rsidRPr="00FF4E8A">
        <w:rPr>
          <w:i/>
        </w:rPr>
        <w:t>Subject matter:</w:t>
      </w:r>
      <w:r w:rsidRPr="00FF4E8A">
        <w:rPr>
          <w:i/>
          <w:iCs/>
          <w:sz w:val="22"/>
          <w:szCs w:val="22"/>
        </w:rPr>
        <w:t xml:space="preserve"> </w:t>
      </w:r>
      <w:r w:rsidRPr="00FF4E8A">
        <w:rPr>
          <w:i/>
          <w:iCs/>
          <w:sz w:val="22"/>
          <w:szCs w:val="22"/>
        </w:rPr>
        <w:tab/>
      </w:r>
      <w:r w:rsidRPr="00FF4E8A">
        <w:tab/>
      </w:r>
      <w:r w:rsidR="00E90067">
        <w:t>Participation of deaf people in jury duty</w:t>
      </w:r>
    </w:p>
    <w:p w:rsidR="0056532D" w:rsidRPr="0056532D" w:rsidRDefault="0056532D" w:rsidP="004F68D8">
      <w:pPr>
        <w:pStyle w:val="SingleTxtG"/>
        <w:spacing w:after="100"/>
        <w:ind w:left="4536" w:hanging="3402"/>
        <w:jc w:val="left"/>
      </w:pPr>
      <w:r>
        <w:rPr>
          <w:i/>
          <w:iCs/>
        </w:rPr>
        <w:t>Procedural issues:</w:t>
      </w:r>
      <w:r>
        <w:rPr>
          <w:i/>
          <w:iCs/>
        </w:rPr>
        <w:tab/>
      </w:r>
      <w:r>
        <w:t>Admissibility of claims</w:t>
      </w:r>
    </w:p>
    <w:p w:rsidR="00EE7322" w:rsidRPr="004B08EF" w:rsidRDefault="00EE7322" w:rsidP="004F68D8">
      <w:pPr>
        <w:pStyle w:val="SingleTxtG"/>
        <w:spacing w:after="100"/>
        <w:ind w:left="4536" w:hanging="3402"/>
        <w:jc w:val="left"/>
        <w:rPr>
          <w:sz w:val="22"/>
          <w:szCs w:val="22"/>
          <w:lang w:val="en-US"/>
        </w:rPr>
      </w:pPr>
      <w:r w:rsidRPr="00C3463C">
        <w:rPr>
          <w:i/>
        </w:rPr>
        <w:t>Substantive issues:</w:t>
      </w:r>
      <w:r w:rsidRPr="00C3463C">
        <w:rPr>
          <w:i/>
          <w:lang w:val="en-US"/>
        </w:rPr>
        <w:tab/>
      </w:r>
      <w:r w:rsidRPr="00C3463C">
        <w:rPr>
          <w:lang w:val="en-US"/>
        </w:rPr>
        <w:t xml:space="preserve">Equality and non-discrimination; </w:t>
      </w:r>
      <w:r w:rsidR="00E90067">
        <w:rPr>
          <w:lang w:val="en-US"/>
        </w:rPr>
        <w:t xml:space="preserve">reasonable accommodation; </w:t>
      </w:r>
      <w:r w:rsidRPr="00C3463C">
        <w:rPr>
          <w:lang w:val="en-US"/>
        </w:rPr>
        <w:t xml:space="preserve">equal recognition before the law; </w:t>
      </w:r>
      <w:r w:rsidRPr="00C3463C">
        <w:rPr>
          <w:iCs/>
        </w:rPr>
        <w:t xml:space="preserve">freedom of expression; </w:t>
      </w:r>
      <w:r>
        <w:rPr>
          <w:iCs/>
        </w:rPr>
        <w:t xml:space="preserve">political </w:t>
      </w:r>
      <w:r w:rsidRPr="00C3463C">
        <w:rPr>
          <w:iCs/>
        </w:rPr>
        <w:t>participation</w:t>
      </w:r>
    </w:p>
    <w:p w:rsidR="00EE7322" w:rsidRPr="00FF4E8A" w:rsidRDefault="00EE7322" w:rsidP="004F68D8">
      <w:pPr>
        <w:pStyle w:val="SingleTxtG"/>
        <w:spacing w:after="100"/>
        <w:ind w:left="4536" w:hanging="3402"/>
        <w:jc w:val="left"/>
        <w:rPr>
          <w:sz w:val="22"/>
          <w:szCs w:val="22"/>
        </w:rPr>
      </w:pPr>
      <w:r w:rsidRPr="00FF4E8A">
        <w:rPr>
          <w:i/>
        </w:rPr>
        <w:t>Articles of the Convention:</w:t>
      </w:r>
      <w:r w:rsidR="00135D07">
        <w:rPr>
          <w:i/>
          <w:iCs/>
          <w:sz w:val="22"/>
          <w:szCs w:val="22"/>
        </w:rPr>
        <w:t xml:space="preserve"> </w:t>
      </w:r>
      <w:r w:rsidRPr="00FF4E8A">
        <w:rPr>
          <w:i/>
          <w:iCs/>
          <w:sz w:val="22"/>
          <w:szCs w:val="22"/>
        </w:rPr>
        <w:tab/>
      </w:r>
      <w:r>
        <w:t>2</w:t>
      </w:r>
      <w:r w:rsidR="0037164E">
        <w:t>,</w:t>
      </w:r>
      <w:r>
        <w:t xml:space="preserve"> 4</w:t>
      </w:r>
      <w:r w:rsidR="0037164E">
        <w:t>,</w:t>
      </w:r>
      <w:r>
        <w:t xml:space="preserve"> 5</w:t>
      </w:r>
      <w:r w:rsidR="0037164E">
        <w:t>,</w:t>
      </w:r>
      <w:r>
        <w:t xml:space="preserve"> 9</w:t>
      </w:r>
      <w:r w:rsidR="0037164E">
        <w:t>,</w:t>
      </w:r>
      <w:r>
        <w:t xml:space="preserve"> 12</w:t>
      </w:r>
      <w:r w:rsidR="0037164E">
        <w:t>,</w:t>
      </w:r>
      <w:r>
        <w:t xml:space="preserve"> 13</w:t>
      </w:r>
      <w:r w:rsidR="0037164E">
        <w:t xml:space="preserve">, </w:t>
      </w:r>
      <w:r>
        <w:t>21 and 29</w:t>
      </w:r>
    </w:p>
    <w:p w:rsidR="00EE7322" w:rsidRDefault="00EE7322" w:rsidP="00EE7322">
      <w:pPr>
        <w:pStyle w:val="SingleTxtG"/>
        <w:ind w:left="4536" w:hanging="3402"/>
        <w:rPr>
          <w:iCs/>
        </w:rPr>
      </w:pPr>
      <w:r w:rsidRPr="00FF4E8A">
        <w:rPr>
          <w:i/>
        </w:rPr>
        <w:t>Articles of the Optional Protocol:</w:t>
      </w:r>
      <w:r w:rsidRPr="00FF4E8A">
        <w:rPr>
          <w:i/>
          <w:iCs/>
          <w:sz w:val="22"/>
          <w:szCs w:val="22"/>
        </w:rPr>
        <w:t xml:space="preserve"> </w:t>
      </w:r>
      <w:r w:rsidRPr="00FF4E8A">
        <w:rPr>
          <w:i/>
          <w:iCs/>
          <w:sz w:val="22"/>
          <w:szCs w:val="22"/>
        </w:rPr>
        <w:tab/>
      </w:r>
      <w:r w:rsidRPr="001D74E5">
        <w:rPr>
          <w:iCs/>
        </w:rPr>
        <w:t>2 (</w:t>
      </w:r>
      <w:r>
        <w:rPr>
          <w:iCs/>
        </w:rPr>
        <w:t>d</w:t>
      </w:r>
      <w:r w:rsidRPr="001D74E5">
        <w:rPr>
          <w:iCs/>
        </w:rPr>
        <w:t>) and (e)</w:t>
      </w:r>
    </w:p>
    <w:p w:rsidR="0029226E" w:rsidRDefault="0029226E">
      <w:pPr>
        <w:suppressAutoHyphens w:val="0"/>
        <w:spacing w:line="240" w:lineRule="auto"/>
        <w:rPr>
          <w:iCs/>
        </w:rPr>
      </w:pPr>
      <w:r>
        <w:rPr>
          <w:iCs/>
        </w:rPr>
        <w:br w:type="page"/>
      </w:r>
    </w:p>
    <w:p w:rsidR="00EE7322" w:rsidRDefault="00EE7322">
      <w:pPr>
        <w:pStyle w:val="SingleTxtG"/>
      </w:pPr>
      <w:r>
        <w:lastRenderedPageBreak/>
        <w:t>1.</w:t>
      </w:r>
      <w:r>
        <w:tab/>
      </w:r>
      <w:r w:rsidRPr="00FF4E8A">
        <w:t xml:space="preserve">The author of the communication is </w:t>
      </w:r>
      <w:r w:rsidRPr="001C70F6">
        <w:t>Michael Lockrey</w:t>
      </w:r>
      <w:r w:rsidRPr="00FF4E8A">
        <w:t>, an Aust</w:t>
      </w:r>
      <w:r>
        <w:t>ralian</w:t>
      </w:r>
      <w:r w:rsidRPr="00FF4E8A">
        <w:t xml:space="preserve"> </w:t>
      </w:r>
      <w:r>
        <w:t>national</w:t>
      </w:r>
      <w:r w:rsidRPr="00FF4E8A">
        <w:t xml:space="preserve"> born on </w:t>
      </w:r>
      <w:r>
        <w:t xml:space="preserve">28 </w:t>
      </w:r>
      <w:r w:rsidRPr="0028502D">
        <w:t>December</w:t>
      </w:r>
      <w:r>
        <w:t xml:space="preserve"> 1969</w:t>
      </w:r>
      <w:r w:rsidRPr="00FF4E8A">
        <w:t xml:space="preserve">. He claims to be a victim of a violation by </w:t>
      </w:r>
      <w:r>
        <w:t>Australia</w:t>
      </w:r>
      <w:r w:rsidRPr="00FF4E8A">
        <w:t xml:space="preserve">, of articles </w:t>
      </w:r>
      <w:r>
        <w:t>2</w:t>
      </w:r>
      <w:r w:rsidR="00E940CE">
        <w:t>,</w:t>
      </w:r>
      <w:r>
        <w:t xml:space="preserve"> 4</w:t>
      </w:r>
      <w:r w:rsidR="00E940CE">
        <w:t>,</w:t>
      </w:r>
      <w:r>
        <w:t xml:space="preserve"> 5</w:t>
      </w:r>
      <w:r w:rsidR="00E940CE">
        <w:t>,</w:t>
      </w:r>
      <w:r>
        <w:t xml:space="preserve"> 9</w:t>
      </w:r>
      <w:r w:rsidR="00E940CE">
        <w:t xml:space="preserve">, </w:t>
      </w:r>
      <w:r>
        <w:t>12</w:t>
      </w:r>
      <w:r w:rsidR="00E940CE">
        <w:t>,</w:t>
      </w:r>
      <w:r>
        <w:t xml:space="preserve"> 13</w:t>
      </w:r>
      <w:r w:rsidR="00E940CE">
        <w:t>,</w:t>
      </w:r>
      <w:r>
        <w:t xml:space="preserve"> 21 and 29 </w:t>
      </w:r>
      <w:r w:rsidRPr="00BE0144">
        <w:t xml:space="preserve">of the Convention. He is represented by the Australian Centre for Disability Law. The Convention and the Optional Protocol entered into force for the State party on 17 August 2008 and on 19 </w:t>
      </w:r>
      <w:r w:rsidRPr="0028502D">
        <w:t>September</w:t>
      </w:r>
      <w:r w:rsidRPr="00BE0144">
        <w:t xml:space="preserve"> 2009</w:t>
      </w:r>
      <w:r w:rsidR="00E940CE">
        <w:t>,</w:t>
      </w:r>
      <w:r w:rsidRPr="00BE0144">
        <w:t xml:space="preserve"> respectively</w:t>
      </w:r>
      <w:r w:rsidRPr="00FF4E8A">
        <w:t>.</w:t>
      </w:r>
    </w:p>
    <w:p w:rsidR="00500205" w:rsidRPr="00500205" w:rsidRDefault="003C691A">
      <w:pPr>
        <w:pStyle w:val="H23G"/>
        <w:rPr>
          <w:sz w:val="24"/>
          <w:szCs w:val="24"/>
        </w:rPr>
      </w:pPr>
      <w:r>
        <w:tab/>
      </w:r>
      <w:r w:rsidR="00500205" w:rsidRPr="00500205">
        <w:rPr>
          <w:sz w:val="24"/>
          <w:szCs w:val="24"/>
        </w:rPr>
        <w:t>A.</w:t>
      </w:r>
      <w:r w:rsidR="00170142">
        <w:rPr>
          <w:sz w:val="24"/>
          <w:szCs w:val="24"/>
        </w:rPr>
        <w:tab/>
      </w:r>
      <w:r w:rsidR="00500205" w:rsidRPr="00500205">
        <w:rPr>
          <w:sz w:val="24"/>
          <w:szCs w:val="24"/>
        </w:rPr>
        <w:t>Summary of the information and arguments submitted by the parties</w:t>
      </w:r>
    </w:p>
    <w:p w:rsidR="00EE7322" w:rsidRPr="003C691A" w:rsidRDefault="00500205" w:rsidP="003C691A">
      <w:pPr>
        <w:pStyle w:val="H23G"/>
      </w:pPr>
      <w:r>
        <w:tab/>
      </w:r>
      <w:r>
        <w:tab/>
      </w:r>
      <w:r w:rsidR="00EE7322" w:rsidRPr="003C691A">
        <w:t>Facts as presented by the author</w:t>
      </w:r>
    </w:p>
    <w:p w:rsidR="00EE7322" w:rsidRDefault="00EE7322" w:rsidP="003C691A">
      <w:pPr>
        <w:pStyle w:val="SingleTxtG"/>
      </w:pPr>
      <w:r>
        <w:t>2.1</w:t>
      </w:r>
      <w:r>
        <w:tab/>
        <w:t xml:space="preserve">The </w:t>
      </w:r>
      <w:r w:rsidRPr="0028502D">
        <w:t>author</w:t>
      </w:r>
      <w:r w:rsidRPr="006E4197">
        <w:t xml:space="preserve"> </w:t>
      </w:r>
      <w:r>
        <w:t xml:space="preserve">is deaf and </w:t>
      </w:r>
      <w:r w:rsidRPr="006E4197">
        <w:t xml:space="preserve">requires real-time </w:t>
      </w:r>
      <w:r w:rsidRPr="003F4C27">
        <w:t>steno-captioning</w:t>
      </w:r>
      <w:r w:rsidRPr="006E4197">
        <w:t xml:space="preserve"> of formal communications in </w:t>
      </w:r>
      <w:r w:rsidRPr="003C691A">
        <w:t>order</w:t>
      </w:r>
      <w:r w:rsidRPr="006E4197">
        <w:t xml:space="preserve"> to </w:t>
      </w:r>
      <w:r w:rsidRPr="0028502D">
        <w:t>communicate</w:t>
      </w:r>
      <w:r w:rsidRPr="006E4197">
        <w:t xml:space="preserve"> with others.</w:t>
      </w:r>
      <w:r>
        <w:t xml:space="preserve"> </w:t>
      </w:r>
      <w:r w:rsidRPr="006E4197">
        <w:t xml:space="preserve">By </w:t>
      </w:r>
      <w:r w:rsidR="004B4B9B">
        <w:t>n</w:t>
      </w:r>
      <w:r w:rsidRPr="006E4197">
        <w:t xml:space="preserve">otice </w:t>
      </w:r>
      <w:r>
        <w:t>of</w:t>
      </w:r>
      <w:r w:rsidRPr="006E4197">
        <w:t xml:space="preserve"> 28 February 2012</w:t>
      </w:r>
      <w:r>
        <w:t>,</w:t>
      </w:r>
      <w:r w:rsidRPr="006E4197">
        <w:t xml:space="preserve"> the Sheriff of New South Wales </w:t>
      </w:r>
      <w:r>
        <w:t>summon</w:t>
      </w:r>
      <w:r w:rsidRPr="006E4197">
        <w:t xml:space="preserve">ed </w:t>
      </w:r>
      <w:r>
        <w:t>the author</w:t>
      </w:r>
      <w:r w:rsidRPr="006E4197">
        <w:t xml:space="preserve"> to serve as a juror on 26 March 2012 (</w:t>
      </w:r>
      <w:r w:rsidRPr="005A26CE">
        <w:t>the first summons</w:t>
      </w:r>
      <w:r w:rsidRPr="006E4197">
        <w:t>). Between 28 February and 19 March 2012</w:t>
      </w:r>
      <w:r>
        <w:t>,</w:t>
      </w:r>
      <w:r w:rsidRPr="006E4197">
        <w:t xml:space="preserve"> </w:t>
      </w:r>
      <w:r>
        <w:t>the author</w:t>
      </w:r>
      <w:r w:rsidRPr="006E4197">
        <w:t xml:space="preserve"> </w:t>
      </w:r>
      <w:r>
        <w:t>repeatedly</w:t>
      </w:r>
      <w:r w:rsidRPr="006E4197">
        <w:t xml:space="preserve"> </w:t>
      </w:r>
      <w:r>
        <w:t>addressed</w:t>
      </w:r>
      <w:r w:rsidRPr="006E4197">
        <w:t xml:space="preserve"> the Office of the Sheriff to request that steno-captioning of proceedings </w:t>
      </w:r>
      <w:r>
        <w:t>be made</w:t>
      </w:r>
      <w:r w:rsidRPr="006E4197">
        <w:t xml:space="preserve"> available </w:t>
      </w:r>
      <w:r>
        <w:t>to him</w:t>
      </w:r>
      <w:r w:rsidRPr="006E4197">
        <w:t xml:space="preserve"> so that he could participate in the jury selection process on an equal basis with others. </w:t>
      </w:r>
      <w:r>
        <w:t>He did not get a reply.</w:t>
      </w:r>
      <w:r w:rsidRPr="006E4197">
        <w:t xml:space="preserve"> On 19 March 2012</w:t>
      </w:r>
      <w:r>
        <w:t>,</w:t>
      </w:r>
      <w:r w:rsidRPr="006E4197">
        <w:t xml:space="preserve"> </w:t>
      </w:r>
      <w:r>
        <w:t>the author</w:t>
      </w:r>
      <w:r w:rsidRPr="006E4197">
        <w:t xml:space="preserve"> </w:t>
      </w:r>
      <w:r>
        <w:t>reiterated his request through e</w:t>
      </w:r>
      <w:r w:rsidR="004B4B9B">
        <w:t>-</w:t>
      </w:r>
      <w:r>
        <w:t>mail to the Office of the Sheriff, to no avail</w:t>
      </w:r>
      <w:r w:rsidRPr="006E4197">
        <w:t>.</w:t>
      </w:r>
      <w:r>
        <w:t xml:space="preserve"> </w:t>
      </w:r>
    </w:p>
    <w:p w:rsidR="00EE7322" w:rsidRDefault="00EE7322" w:rsidP="003C691A">
      <w:pPr>
        <w:pStyle w:val="SingleTxtG"/>
      </w:pPr>
      <w:r>
        <w:t>2.2</w:t>
      </w:r>
      <w:r>
        <w:tab/>
      </w:r>
      <w:r w:rsidRPr="006E4197">
        <w:t>On 26 March 2012</w:t>
      </w:r>
      <w:r>
        <w:t>, the author</w:t>
      </w:r>
      <w:r w:rsidRPr="006E4197">
        <w:t xml:space="preserve"> received </w:t>
      </w:r>
      <w:r>
        <w:t>a letter from the Sheriff</w:t>
      </w:r>
      <w:r w:rsidRPr="006E4197">
        <w:t xml:space="preserve">, </w:t>
      </w:r>
      <w:r>
        <w:t>stating</w:t>
      </w:r>
      <w:r w:rsidRPr="006E4197">
        <w:t xml:space="preserve"> that his request to be excused from </w:t>
      </w:r>
      <w:r w:rsidRPr="003C691A">
        <w:t>jury</w:t>
      </w:r>
      <w:r w:rsidRPr="006E4197">
        <w:t xml:space="preserve"> duty had been declined</w:t>
      </w:r>
      <w:r>
        <w:t>. The author</w:t>
      </w:r>
      <w:r w:rsidRPr="006E4197">
        <w:t xml:space="preserve"> had </w:t>
      </w:r>
      <w:r>
        <w:t xml:space="preserve">never </w:t>
      </w:r>
      <w:r w:rsidRPr="006E4197">
        <w:t xml:space="preserve">made </w:t>
      </w:r>
      <w:r>
        <w:t>such a</w:t>
      </w:r>
      <w:r w:rsidRPr="006E4197">
        <w:t xml:space="preserve"> request</w:t>
      </w:r>
      <w:r>
        <w:t xml:space="preserve">. </w:t>
      </w:r>
      <w:r w:rsidRPr="006E4197">
        <w:t>On 28 March 2012</w:t>
      </w:r>
      <w:r>
        <w:t>, he</w:t>
      </w:r>
      <w:r w:rsidRPr="006E4197">
        <w:t xml:space="preserve"> contacted the Office of the Sheriff by telephone. He </w:t>
      </w:r>
      <w:r>
        <w:t>informed</w:t>
      </w:r>
      <w:r w:rsidRPr="006E4197">
        <w:t xml:space="preserve"> </w:t>
      </w:r>
      <w:r>
        <w:t xml:space="preserve">that </w:t>
      </w:r>
      <w:r w:rsidRPr="006E4197">
        <w:t xml:space="preserve">he did not </w:t>
      </w:r>
      <w:r w:rsidRPr="003C691A">
        <w:t>wish</w:t>
      </w:r>
      <w:r>
        <w:t xml:space="preserve"> to be excused from jury duty, and </w:t>
      </w:r>
      <w:r w:rsidRPr="006E4197">
        <w:t xml:space="preserve">reiterated his </w:t>
      </w:r>
      <w:r w:rsidRPr="00BC3485">
        <w:t>request for real time steno-captioning. His request was rejected and he was advised to submit a medical certificate certifying that he is deaf or otherwise he would face a fine of $1,100 for failing to attend jury service.</w:t>
      </w:r>
      <w:r>
        <w:t xml:space="preserve"> The author </w:t>
      </w:r>
      <w:r w:rsidRPr="006E4197">
        <w:t xml:space="preserve">did </w:t>
      </w:r>
      <w:r w:rsidRPr="0028502D">
        <w:t>not</w:t>
      </w:r>
      <w:r w:rsidRPr="006E4197">
        <w:t xml:space="preserve"> submit a medical certificate as he did not consider himself incapable of performing jury duty. </w:t>
      </w:r>
      <w:r>
        <w:t xml:space="preserve">He </w:t>
      </w:r>
      <w:r w:rsidRPr="006E4197">
        <w:t>has not received any</w:t>
      </w:r>
      <w:r>
        <w:t xml:space="preserve"> fine</w:t>
      </w:r>
      <w:r w:rsidRPr="006E4197">
        <w:t xml:space="preserve"> </w:t>
      </w:r>
      <w:r>
        <w:t>to date</w:t>
      </w:r>
      <w:r w:rsidRPr="006E4197">
        <w:t>.</w:t>
      </w:r>
      <w:r>
        <w:t xml:space="preserve"> </w:t>
      </w:r>
    </w:p>
    <w:p w:rsidR="00EE7322" w:rsidRDefault="00EE7322">
      <w:pPr>
        <w:pStyle w:val="SingleTxtG"/>
      </w:pPr>
      <w:r>
        <w:t>2.3</w:t>
      </w:r>
      <w:r>
        <w:tab/>
      </w:r>
      <w:r w:rsidRPr="006E4197">
        <w:t xml:space="preserve">By </w:t>
      </w:r>
      <w:r>
        <w:t>n</w:t>
      </w:r>
      <w:r w:rsidRPr="006E4197">
        <w:t xml:space="preserve">otice </w:t>
      </w:r>
      <w:r>
        <w:t>of</w:t>
      </w:r>
      <w:r w:rsidRPr="006E4197">
        <w:t xml:space="preserve"> 3 May 2012</w:t>
      </w:r>
      <w:r>
        <w:t>,</w:t>
      </w:r>
      <w:r w:rsidRPr="006E4197">
        <w:t xml:space="preserve"> the Sheriff </w:t>
      </w:r>
      <w:r>
        <w:t>again summon</w:t>
      </w:r>
      <w:r w:rsidRPr="006E4197">
        <w:t xml:space="preserve">ed </w:t>
      </w:r>
      <w:r>
        <w:t>the author</w:t>
      </w:r>
      <w:r w:rsidRPr="006E4197">
        <w:t xml:space="preserve"> to serve as a juror</w:t>
      </w:r>
      <w:r>
        <w:t xml:space="preserve"> on 30 May 2012</w:t>
      </w:r>
      <w:r w:rsidRPr="006E4197">
        <w:t xml:space="preserve"> (</w:t>
      </w:r>
      <w:r w:rsidRPr="003A74FB">
        <w:t>the second summons</w:t>
      </w:r>
      <w:r w:rsidRPr="006E4197">
        <w:t>). By facsimile letter dated 24 May 2012</w:t>
      </w:r>
      <w:r>
        <w:t xml:space="preserve">, the author </w:t>
      </w:r>
      <w:r w:rsidRPr="006E4197">
        <w:t xml:space="preserve">notified the Sheriff that he was eligible, capable and willing to serve as a juror and required steno-captioning </w:t>
      </w:r>
      <w:r>
        <w:t>as an adjustment. He</w:t>
      </w:r>
      <w:r w:rsidRPr="006E4197">
        <w:t xml:space="preserve"> </w:t>
      </w:r>
      <w:r>
        <w:t>insisted</w:t>
      </w:r>
      <w:r w:rsidRPr="006E4197">
        <w:t xml:space="preserve"> that the Sheriff provide steno-captioning or else he would lodge a </w:t>
      </w:r>
      <w:r w:rsidRPr="0028502D">
        <w:t>complaint</w:t>
      </w:r>
      <w:r w:rsidRPr="006E4197">
        <w:t xml:space="preserve"> alleging discrimination on the basis of disability with the Australian Human Rights Commission under the </w:t>
      </w:r>
      <w:r w:rsidRPr="00F577BA">
        <w:rPr>
          <w:iCs/>
        </w:rPr>
        <w:t>Disability Discrimination Act</w:t>
      </w:r>
      <w:r w:rsidRPr="006E4197">
        <w:rPr>
          <w:i/>
        </w:rPr>
        <w:t xml:space="preserve"> </w:t>
      </w:r>
      <w:r w:rsidRPr="006E4197">
        <w:t>1992.</w:t>
      </w:r>
      <w:r w:rsidR="00BA23F9">
        <w:rPr>
          <w:rStyle w:val="FootnoteReference"/>
        </w:rPr>
        <w:footnoteReference w:id="4"/>
      </w:r>
      <w:r w:rsidR="00135D07">
        <w:t xml:space="preserve"> </w:t>
      </w:r>
      <w:r>
        <w:t>He did not receive any reply</w:t>
      </w:r>
      <w:r w:rsidRPr="006E4197">
        <w:t>.</w:t>
      </w:r>
      <w:r>
        <w:t xml:space="preserve"> </w:t>
      </w:r>
      <w:r w:rsidRPr="006E4197">
        <w:t>On 30 May 2012</w:t>
      </w:r>
      <w:r>
        <w:t>, the author</w:t>
      </w:r>
      <w:r w:rsidRPr="006E4197">
        <w:t xml:space="preserve"> presented </w:t>
      </w:r>
      <w:r>
        <w:t>himself before the</w:t>
      </w:r>
      <w:r w:rsidRPr="006E4197">
        <w:t xml:space="preserve"> Lismore Court. He was advised by the Sheriff’s clerk that steno-captioning </w:t>
      </w:r>
      <w:r>
        <w:t>would not be provided to him</w:t>
      </w:r>
      <w:r w:rsidRPr="006E4197">
        <w:t xml:space="preserve">. </w:t>
      </w:r>
      <w:r w:rsidRPr="00BC3485">
        <w:t>The author suggested to the Court Officer that he could participate by means of a personal “Court Reporter” communication device</w:t>
      </w:r>
      <w:r w:rsidR="009A26BA">
        <w:t>,</w:t>
      </w:r>
      <w:r w:rsidRPr="00BC3485">
        <w:t xml:space="preserve"> which would convert speech to text and demonstrated this device to the Court Officer. He was informed that he would not be permitted to participate in the jury selection process as he was deaf.</w:t>
      </w:r>
      <w:r>
        <w:t xml:space="preserve"> </w:t>
      </w:r>
    </w:p>
    <w:p w:rsidR="00EE7322" w:rsidRPr="00D73A44" w:rsidRDefault="00EE7322" w:rsidP="00800877">
      <w:pPr>
        <w:pStyle w:val="SingleTxtG"/>
      </w:pPr>
      <w:r>
        <w:t>2.4</w:t>
      </w:r>
      <w:r>
        <w:tab/>
      </w:r>
      <w:r w:rsidRPr="006E4197">
        <w:t xml:space="preserve">By </w:t>
      </w:r>
      <w:r>
        <w:t>n</w:t>
      </w:r>
      <w:r w:rsidRPr="006E4197">
        <w:t>otice dated 13 July 2012</w:t>
      </w:r>
      <w:r>
        <w:t>,</w:t>
      </w:r>
      <w:r w:rsidRPr="006E4197">
        <w:t xml:space="preserve"> the Sheriff </w:t>
      </w:r>
      <w:r>
        <w:t>again summon</w:t>
      </w:r>
      <w:r w:rsidRPr="006E4197">
        <w:t xml:space="preserve">ed </w:t>
      </w:r>
      <w:r>
        <w:t>the author</w:t>
      </w:r>
      <w:r w:rsidRPr="006E4197">
        <w:t xml:space="preserve"> to serve as a juror on 15 August 2012 </w:t>
      </w:r>
      <w:r w:rsidRPr="005F3111">
        <w:t xml:space="preserve">(the </w:t>
      </w:r>
      <w:r w:rsidRPr="00BC3485">
        <w:t>third summons).</w:t>
      </w:r>
      <w:r w:rsidRPr="006E4197">
        <w:t xml:space="preserve"> By letter </w:t>
      </w:r>
      <w:r>
        <w:t>of</w:t>
      </w:r>
      <w:r w:rsidRPr="006E4197">
        <w:t xml:space="preserve"> 20 July 2012</w:t>
      </w:r>
      <w:r>
        <w:t xml:space="preserve">, the author reiterated his willingness </w:t>
      </w:r>
      <w:r w:rsidRPr="006E4197">
        <w:t xml:space="preserve">to </w:t>
      </w:r>
      <w:r w:rsidRPr="0028502D">
        <w:t>serve</w:t>
      </w:r>
      <w:r w:rsidRPr="006E4197">
        <w:t xml:space="preserve"> as a juror and </w:t>
      </w:r>
      <w:r>
        <w:t>again insisted on the provision of</w:t>
      </w:r>
      <w:r w:rsidRPr="006E4197">
        <w:t xml:space="preserve"> steno-captioning</w:t>
      </w:r>
      <w:r>
        <w:t>,</w:t>
      </w:r>
      <w:r w:rsidRPr="006E4197">
        <w:t xml:space="preserve"> </w:t>
      </w:r>
      <w:r>
        <w:t>otherwise,</w:t>
      </w:r>
      <w:r w:rsidRPr="006E4197">
        <w:t xml:space="preserve"> he would lodge a complaint </w:t>
      </w:r>
      <w:r>
        <w:t>for</w:t>
      </w:r>
      <w:r w:rsidRPr="006E4197">
        <w:t xml:space="preserve"> discrimination on the basis of disability with the </w:t>
      </w:r>
      <w:r w:rsidR="009A26BA" w:rsidRPr="006E4197">
        <w:t xml:space="preserve">Australian Human Rights Commission </w:t>
      </w:r>
      <w:r w:rsidRPr="006E4197">
        <w:t xml:space="preserve">under the </w:t>
      </w:r>
      <w:r w:rsidR="009A26BA" w:rsidRPr="00B714B4">
        <w:rPr>
          <w:iCs/>
        </w:rPr>
        <w:t>Disability Discrimination Act</w:t>
      </w:r>
      <w:r w:rsidRPr="006E4197">
        <w:t xml:space="preserve">. </w:t>
      </w:r>
      <w:r>
        <w:t>On</w:t>
      </w:r>
      <w:r w:rsidRPr="006E4197">
        <w:t xml:space="preserve"> 27 </w:t>
      </w:r>
      <w:r w:rsidRPr="005F3111">
        <w:t xml:space="preserve">July 2012, the Sheriff </w:t>
      </w:r>
      <w:r>
        <w:t>rejected</w:t>
      </w:r>
      <w:r w:rsidRPr="005F3111">
        <w:t xml:space="preserve"> </w:t>
      </w:r>
      <w:r>
        <w:t>the author’s request noting</w:t>
      </w:r>
      <w:r w:rsidRPr="005F3111">
        <w:t xml:space="preserve"> that </w:t>
      </w:r>
      <w:r w:rsidRPr="00F577BA">
        <w:rPr>
          <w:iCs/>
        </w:rPr>
        <w:t>“</w:t>
      </w:r>
      <w:r w:rsidR="009A26BA">
        <w:rPr>
          <w:iCs/>
        </w:rPr>
        <w:t>p</w:t>
      </w:r>
      <w:r w:rsidRPr="00F577BA">
        <w:rPr>
          <w:iCs/>
        </w:rPr>
        <w:t>articipation in the jury process by an individual with a hearing impairment is possible … through the use of hearing loops.</w:t>
      </w:r>
      <w:r w:rsidR="00135D07" w:rsidRPr="00F577BA">
        <w:rPr>
          <w:iCs/>
        </w:rPr>
        <w:t xml:space="preserve"> </w:t>
      </w:r>
      <w:r w:rsidRPr="00F577BA">
        <w:rPr>
          <w:iCs/>
        </w:rPr>
        <w:t xml:space="preserve">While real-time captioning could be made available for the presentation of evidence in the court room …, section 48 of the Jury Act 1977 does not allow for real-time captioning to be used during Jury room deliberations by members of the </w:t>
      </w:r>
      <w:r w:rsidRPr="00F577BA">
        <w:rPr>
          <w:iCs/>
        </w:rPr>
        <w:lastRenderedPageBreak/>
        <w:t xml:space="preserve">jury </w:t>
      </w:r>
      <w:r w:rsidR="009A26BA">
        <w:rPr>
          <w:iCs/>
        </w:rPr>
        <w:t>[</w:t>
      </w:r>
      <w:r w:rsidRPr="00F577BA">
        <w:rPr>
          <w:iCs/>
        </w:rPr>
        <w:t>as it</w:t>
      </w:r>
      <w:r w:rsidR="009A26BA">
        <w:rPr>
          <w:iCs/>
        </w:rPr>
        <w:t>]</w:t>
      </w:r>
      <w:r w:rsidR="00135D07" w:rsidRPr="00F577BA">
        <w:rPr>
          <w:iCs/>
        </w:rPr>
        <w:t xml:space="preserve"> </w:t>
      </w:r>
      <w:r w:rsidRPr="00F577BA">
        <w:rPr>
          <w:iCs/>
        </w:rPr>
        <w:t>would introduce a non-jury person who is not summoned and selected through the random ballot process into the jury deliberation room.</w:t>
      </w:r>
      <w:r w:rsidR="00135D07" w:rsidRPr="00F577BA">
        <w:rPr>
          <w:iCs/>
        </w:rPr>
        <w:t xml:space="preserve"> </w:t>
      </w:r>
      <w:r w:rsidRPr="00F577BA">
        <w:rPr>
          <w:iCs/>
        </w:rPr>
        <w:t xml:space="preserve">The deliberation process is confidential and jurors are required to maintain this confidentiality.” </w:t>
      </w:r>
      <w:r>
        <w:t>The author argues that he</w:t>
      </w:r>
      <w:r w:rsidRPr="006E4197">
        <w:t xml:space="preserve"> is profoundly deaf and cannot hear with the </w:t>
      </w:r>
      <w:r>
        <w:t>hearing l</w:t>
      </w:r>
      <w:r w:rsidRPr="006E4197">
        <w:t>oop</w:t>
      </w:r>
      <w:r>
        <w:t xml:space="preserve"> system</w:t>
      </w:r>
      <w:r w:rsidRPr="006E4197">
        <w:t>.</w:t>
      </w:r>
      <w:r>
        <w:t xml:space="preserve"> He further </w:t>
      </w:r>
      <w:r w:rsidRPr="003C691A">
        <w:t>submits</w:t>
      </w:r>
      <w:r>
        <w:t xml:space="preserve"> that </w:t>
      </w:r>
      <w:r w:rsidR="009A26BA">
        <w:t>s</w:t>
      </w:r>
      <w:r w:rsidRPr="006E4197">
        <w:t xml:space="preserve">ection 48 of the </w:t>
      </w:r>
      <w:r w:rsidRPr="00F577BA">
        <w:rPr>
          <w:iCs/>
        </w:rPr>
        <w:t>Jury Act 1977 (</w:t>
      </w:r>
      <w:r w:rsidR="009A26BA">
        <w:rPr>
          <w:iCs/>
        </w:rPr>
        <w:t>New South Wales</w:t>
      </w:r>
      <w:r w:rsidRPr="00F577BA">
        <w:rPr>
          <w:iCs/>
        </w:rPr>
        <w:t>)</w:t>
      </w:r>
      <w:r w:rsidRPr="006E4197">
        <w:rPr>
          <w:i/>
        </w:rPr>
        <w:t xml:space="preserve"> </w:t>
      </w:r>
      <w:r>
        <w:t>does not regulate</w:t>
      </w:r>
      <w:r w:rsidRPr="006E4197">
        <w:t xml:space="preserve"> the use of real-time captioning in the jury room or the participation of deaf persons in jury duty.</w:t>
      </w:r>
    </w:p>
    <w:p w:rsidR="00EE7322" w:rsidRDefault="00EE7322" w:rsidP="00800877">
      <w:pPr>
        <w:pStyle w:val="SingleTxtG"/>
        <w:rPr>
          <w:i/>
        </w:rPr>
      </w:pPr>
      <w:r>
        <w:t>2.5</w:t>
      </w:r>
      <w:r>
        <w:tab/>
      </w:r>
      <w:r w:rsidRPr="003016BC">
        <w:t xml:space="preserve">On 2 April 2012, the author lodged a complaint with the </w:t>
      </w:r>
      <w:r w:rsidR="009A26BA" w:rsidRPr="003016BC">
        <w:t>Australian Human Rights Commission</w:t>
      </w:r>
      <w:r w:rsidR="009A26BA" w:rsidRPr="006E4197">
        <w:t xml:space="preserve"> </w:t>
      </w:r>
      <w:r w:rsidRPr="006E4197">
        <w:t xml:space="preserve">pursuant to section 46P of the </w:t>
      </w:r>
      <w:r w:rsidRPr="00F577BA">
        <w:rPr>
          <w:iCs/>
        </w:rPr>
        <w:t>Australian Human Rights Commission Act</w:t>
      </w:r>
      <w:r w:rsidRPr="006E4197">
        <w:rPr>
          <w:i/>
        </w:rPr>
        <w:t xml:space="preserve"> </w:t>
      </w:r>
      <w:r w:rsidRPr="006E4197">
        <w:t>1986 (Cth)</w:t>
      </w:r>
      <w:r w:rsidR="00920CE5">
        <w:rPr>
          <w:rStyle w:val="FootnoteReference"/>
        </w:rPr>
        <w:footnoteReference w:id="5"/>
      </w:r>
      <w:r>
        <w:t xml:space="preserve"> </w:t>
      </w:r>
      <w:r w:rsidRPr="006E4197">
        <w:t xml:space="preserve">alleging that the State of New South Wales had unlawfully discriminated against him on the basis of his disability contrary to sections 5 and 24 of the </w:t>
      </w:r>
      <w:r w:rsidR="009A26BA" w:rsidRPr="00B714B4">
        <w:rPr>
          <w:iCs/>
        </w:rPr>
        <w:t>Disability Discrimination Act</w:t>
      </w:r>
      <w:r w:rsidR="00800877">
        <w:rPr>
          <w:i/>
        </w:rPr>
        <w:t xml:space="preserve"> </w:t>
      </w:r>
      <w:r w:rsidRPr="006E4197">
        <w:t xml:space="preserve">in refusing to provide him with steno-captioning to enable his participation in the jury selection process on 26 </w:t>
      </w:r>
      <w:r w:rsidRPr="00904452">
        <w:t>March 2012.</w:t>
      </w:r>
      <w:r w:rsidR="00135D07">
        <w:t xml:space="preserve"> </w:t>
      </w:r>
      <w:r w:rsidRPr="00904452">
        <w:t xml:space="preserve">On 27 June 2012, the Sheriff </w:t>
      </w:r>
      <w:r>
        <w:t xml:space="preserve">provided the </w:t>
      </w:r>
      <w:r w:rsidR="00EA00CA" w:rsidRPr="006E4197">
        <w:t xml:space="preserve">Commission </w:t>
      </w:r>
      <w:r>
        <w:t>with the same reply she had provided to the author and added</w:t>
      </w:r>
      <w:r w:rsidRPr="00904452">
        <w:t xml:space="preserve"> that</w:t>
      </w:r>
      <w:r>
        <w:t xml:space="preserve"> the</w:t>
      </w:r>
      <w:r w:rsidRPr="00904452">
        <w:t xml:space="preserve"> </w:t>
      </w:r>
      <w:r w:rsidRPr="009D1964">
        <w:t>Department of Attorney General and Justice, entity to which the Office of the Sheriff belongs</w:t>
      </w:r>
      <w:r>
        <w:t>,</w:t>
      </w:r>
      <w:r w:rsidRPr="009D1964">
        <w:t xml:space="preserve"> does not have a specific policy, which enables people who are deaf to perform jury service</w:t>
      </w:r>
      <w:r>
        <w:t xml:space="preserve"> and in the context of the</w:t>
      </w:r>
      <w:r w:rsidRPr="009D1964">
        <w:t xml:space="preserve"> </w:t>
      </w:r>
      <w:r w:rsidR="003016BC">
        <w:t>New South Wales L</w:t>
      </w:r>
      <w:r w:rsidRPr="009D1964">
        <w:t>aw Reform Commission</w:t>
      </w:r>
      <w:r>
        <w:t>’s recommendation</w:t>
      </w:r>
      <w:r w:rsidRPr="009D1964">
        <w:t xml:space="preserve"> that</w:t>
      </w:r>
      <w:r w:rsidR="003016BC">
        <w:t>,</w:t>
      </w:r>
      <w:r w:rsidRPr="009D1964">
        <w:t xml:space="preserve"> </w:t>
      </w:r>
      <w:r>
        <w:t>inter ali</w:t>
      </w:r>
      <w:r w:rsidR="003016BC">
        <w:t>os,</w:t>
      </w:r>
      <w:r>
        <w:t xml:space="preserve"> </w:t>
      </w:r>
      <w:r w:rsidRPr="009D1964">
        <w:t xml:space="preserve">people who are deaf should be qualified to serve on juries, </w:t>
      </w:r>
      <w:r>
        <w:t>the</w:t>
      </w:r>
      <w:r w:rsidR="00135D07">
        <w:t xml:space="preserve"> </w:t>
      </w:r>
      <w:r w:rsidR="00D722B1">
        <w:t>G</w:t>
      </w:r>
      <w:r w:rsidRPr="009D1964">
        <w:t xml:space="preserve">overnment </w:t>
      </w:r>
      <w:r>
        <w:t xml:space="preserve">had </w:t>
      </w:r>
      <w:r w:rsidRPr="009D1964">
        <w:t xml:space="preserve">responded that </w:t>
      </w:r>
      <w:r>
        <w:t>t</w:t>
      </w:r>
      <w:r w:rsidRPr="009D1964">
        <w:t xml:space="preserve">he rights of individuals with disabilities </w:t>
      </w:r>
      <w:r>
        <w:t>in th</w:t>
      </w:r>
      <w:r w:rsidR="00A914A2">
        <w:t>at</w:t>
      </w:r>
      <w:r>
        <w:t xml:space="preserve"> regard</w:t>
      </w:r>
      <w:r w:rsidRPr="009D1964">
        <w:t xml:space="preserve"> must be weighed against the rights of the accused to a fair trial and the need to maintain an efficient and effective jury system. The introduction of real</w:t>
      </w:r>
      <w:r w:rsidR="00A914A2">
        <w:t>-</w:t>
      </w:r>
      <w:r w:rsidRPr="009D1964">
        <w:t xml:space="preserve">time captioning would require a change to the current legislation, which does not support </w:t>
      </w:r>
      <w:r w:rsidR="00A914A2">
        <w:t>such</w:t>
      </w:r>
      <w:r w:rsidRPr="009D1964">
        <w:t xml:space="preserve"> captioning and the </w:t>
      </w:r>
      <w:r>
        <w:t>Department</w:t>
      </w:r>
      <w:r w:rsidRPr="009D1964">
        <w:t xml:space="preserve"> is not </w:t>
      </w:r>
      <w:r w:rsidRPr="008F7703">
        <w:t>able</w:t>
      </w:r>
      <w:r w:rsidRPr="009D1964">
        <w:t xml:space="preserve"> to provide th</w:t>
      </w:r>
      <w:r w:rsidR="00A914A2">
        <w:t>at</w:t>
      </w:r>
      <w:r w:rsidRPr="009D1964">
        <w:t xml:space="preserve"> </w:t>
      </w:r>
      <w:r w:rsidRPr="003C691A">
        <w:t>adjustment</w:t>
      </w:r>
      <w:r w:rsidRPr="009D1964">
        <w:t xml:space="preserve"> to members of the jury.</w:t>
      </w:r>
      <w:r>
        <w:rPr>
          <w:i/>
        </w:rPr>
        <w:t xml:space="preserve"> </w:t>
      </w:r>
    </w:p>
    <w:p w:rsidR="00A914A2" w:rsidRDefault="00EE7322" w:rsidP="003C691A">
      <w:pPr>
        <w:pStyle w:val="SingleTxtG"/>
      </w:pPr>
      <w:r>
        <w:t>2.6</w:t>
      </w:r>
      <w:r w:rsidR="008F7703">
        <w:rPr>
          <w:i/>
        </w:rPr>
        <w:tab/>
      </w:r>
      <w:r>
        <w:t>In</w:t>
      </w:r>
      <w:r w:rsidRPr="006E4197">
        <w:t xml:space="preserve"> June 2012</w:t>
      </w:r>
      <w:r>
        <w:t xml:space="preserve"> and August 2012,</w:t>
      </w:r>
      <w:r w:rsidRPr="006E4197">
        <w:t xml:space="preserve"> </w:t>
      </w:r>
      <w:r>
        <w:t>the author</w:t>
      </w:r>
      <w:r w:rsidRPr="006E4197">
        <w:t xml:space="preserve"> </w:t>
      </w:r>
      <w:r>
        <w:t>included</w:t>
      </w:r>
      <w:r w:rsidRPr="006E4197">
        <w:t xml:space="preserve"> additional allegation</w:t>
      </w:r>
      <w:r>
        <w:t>s</w:t>
      </w:r>
      <w:r w:rsidRPr="006E4197">
        <w:t xml:space="preserve"> </w:t>
      </w:r>
      <w:r>
        <w:t>to his complaint, referring to the new rejections of his request for</w:t>
      </w:r>
      <w:r w:rsidRPr="006E4197">
        <w:t xml:space="preserve"> steno-captioning on </w:t>
      </w:r>
      <w:r>
        <w:t xml:space="preserve">30 May and </w:t>
      </w:r>
      <w:r w:rsidRPr="006E4197">
        <w:t>15 August 2012.</w:t>
      </w:r>
      <w:r w:rsidR="00135D07">
        <w:t xml:space="preserve"> </w:t>
      </w:r>
      <w:r>
        <w:t>O</w:t>
      </w:r>
      <w:r w:rsidRPr="003C72B5">
        <w:t xml:space="preserve">n 3 September 2012, the Sheriff </w:t>
      </w:r>
      <w:r>
        <w:t>replied to these</w:t>
      </w:r>
      <w:r w:rsidRPr="003C72B5">
        <w:t xml:space="preserve"> submissions</w:t>
      </w:r>
      <w:r>
        <w:t>, in the same wording as in its previous replies, adding</w:t>
      </w:r>
      <w:r w:rsidRPr="003C72B5">
        <w:t xml:space="preserve"> </w:t>
      </w:r>
      <w:r>
        <w:t>that</w:t>
      </w:r>
      <w:r w:rsidR="00A914A2">
        <w:t>:</w:t>
      </w:r>
    </w:p>
    <w:p w:rsidR="00EE7322" w:rsidRPr="00F577BA" w:rsidRDefault="00EE7322" w:rsidP="00F577BA">
      <w:pPr>
        <w:pStyle w:val="SingleTxtG"/>
        <w:ind w:left="1701"/>
        <w:rPr>
          <w:iCs/>
        </w:rPr>
      </w:pPr>
      <w:r w:rsidRPr="00F577BA">
        <w:rPr>
          <w:iCs/>
        </w:rPr>
        <w:t>The Government carefully considered the Law Reform Commission’s recommendations and … determined that there would be no change to the legislative provisions that govern this area. Accordingly, a person’s eligibility to serve as a juror is a matter for consideration on a case by case basis depending on the particular circumstances of the trial … Those randomly selected from the Roll receive a Notice of Inclusion advising that their name has been randomly selected and included on … the Jury Roll.</w:t>
      </w:r>
      <w:r w:rsidR="00135D07" w:rsidRPr="00F577BA">
        <w:rPr>
          <w:iCs/>
        </w:rPr>
        <w:t xml:space="preserve"> </w:t>
      </w:r>
      <w:r w:rsidRPr="00F577BA">
        <w:rPr>
          <w:iCs/>
        </w:rPr>
        <w:t>At this stage a person can contact the Sheriff’s Office if they wish to be excused from jury duty under Schedule 2 of the Jury Act …</w:t>
      </w:r>
      <w:r w:rsidR="00135D07" w:rsidRPr="00F577BA">
        <w:rPr>
          <w:iCs/>
        </w:rPr>
        <w:t xml:space="preserve"> </w:t>
      </w:r>
      <w:r w:rsidRPr="00F577BA">
        <w:rPr>
          <w:iCs/>
        </w:rPr>
        <w:t>When a person … has a disability that needs to be accommodated, he/she is asked to contact the Office of the Sheriff so that an assessment can be made to establish if the disability can be accommodated at a particular courthouse. The Sheriff also has discretion … to assess whether a person’s disabilities prevent him/her from discharging jury duties.</w:t>
      </w:r>
    </w:p>
    <w:p w:rsidR="00EE7322" w:rsidRDefault="00EE7322" w:rsidP="00800877">
      <w:pPr>
        <w:pStyle w:val="SingleTxtG"/>
      </w:pPr>
      <w:r>
        <w:t>2.7</w:t>
      </w:r>
      <w:r w:rsidR="008F7703">
        <w:tab/>
      </w:r>
      <w:r w:rsidRPr="006E4197">
        <w:t>On 23 November 2012</w:t>
      </w:r>
      <w:r>
        <w:t>,</w:t>
      </w:r>
      <w:r w:rsidRPr="006E4197">
        <w:t xml:space="preserve"> the </w:t>
      </w:r>
      <w:r w:rsidR="009A26BA" w:rsidRPr="006E4197">
        <w:t xml:space="preserve">Australian Human Rights Commission </w:t>
      </w:r>
      <w:r w:rsidRPr="006E4197">
        <w:t xml:space="preserve">convened a confidential conciliation conference between </w:t>
      </w:r>
      <w:r>
        <w:t xml:space="preserve">the author </w:t>
      </w:r>
      <w:r w:rsidRPr="003C691A">
        <w:t>and</w:t>
      </w:r>
      <w:r>
        <w:t xml:space="preserve"> the State of </w:t>
      </w:r>
      <w:r w:rsidR="003016BC">
        <w:t>New South Wales</w:t>
      </w:r>
      <w:r>
        <w:t>. No agreement was reached</w:t>
      </w:r>
      <w:r w:rsidRPr="006E4197">
        <w:t xml:space="preserve">. </w:t>
      </w:r>
      <w:r>
        <w:t>T</w:t>
      </w:r>
      <w:r w:rsidRPr="006E4197">
        <w:t xml:space="preserve">he </w:t>
      </w:r>
      <w:r w:rsidR="009A26BA" w:rsidRPr="006E4197">
        <w:t xml:space="preserve">Australian Human Rights Commission </w:t>
      </w:r>
      <w:r>
        <w:t xml:space="preserve">therefore </w:t>
      </w:r>
      <w:r w:rsidRPr="006E4197">
        <w:t xml:space="preserve">terminated </w:t>
      </w:r>
      <w:r>
        <w:t>the author’s</w:t>
      </w:r>
      <w:r w:rsidRPr="006E4197">
        <w:t xml:space="preserve"> complaint</w:t>
      </w:r>
      <w:r>
        <w:t xml:space="preserve"> on 29 November 2012</w:t>
      </w:r>
      <w:r w:rsidRPr="006E4197">
        <w:t xml:space="preserve">. </w:t>
      </w:r>
      <w:r>
        <w:t>T</w:t>
      </w:r>
      <w:r w:rsidRPr="002829FF">
        <w:t xml:space="preserve">he author considers that he has exhausted all available </w:t>
      </w:r>
      <w:r>
        <w:t xml:space="preserve">domestic </w:t>
      </w:r>
      <w:r w:rsidRPr="002829FF">
        <w:t xml:space="preserve">remedies. </w:t>
      </w:r>
      <w:r>
        <w:t>H</w:t>
      </w:r>
      <w:r w:rsidRPr="002829FF">
        <w:t xml:space="preserve">e argues that the </w:t>
      </w:r>
      <w:r w:rsidR="009A26BA" w:rsidRPr="00B714B4">
        <w:rPr>
          <w:iCs/>
        </w:rPr>
        <w:t>Disability Discrimination Act</w:t>
      </w:r>
      <w:r w:rsidR="009A26BA" w:rsidRPr="006E4197">
        <w:rPr>
          <w:i/>
        </w:rPr>
        <w:t xml:space="preserve"> </w:t>
      </w:r>
      <w:r w:rsidRPr="002829FF">
        <w:rPr>
          <w:bCs/>
        </w:rPr>
        <w:t xml:space="preserve">prohibits discrimination on the basis of disability </w:t>
      </w:r>
      <w:r w:rsidRPr="002829FF">
        <w:t>in specified areas of public life subject to ce</w:t>
      </w:r>
      <w:r>
        <w:t xml:space="preserve">rtain exceptions and defences. </w:t>
      </w:r>
      <w:r w:rsidRPr="002829FF">
        <w:t xml:space="preserve">The </w:t>
      </w:r>
      <w:r w:rsidRPr="00F577BA">
        <w:rPr>
          <w:iCs/>
        </w:rPr>
        <w:t>Anti-Discrimination Act</w:t>
      </w:r>
      <w:r w:rsidRPr="002829FF">
        <w:t>,</w:t>
      </w:r>
      <w:r w:rsidR="00800877">
        <w:rPr>
          <w:rStyle w:val="FootnoteReference"/>
        </w:rPr>
        <w:footnoteReference w:id="6"/>
      </w:r>
      <w:r w:rsidRPr="002829FF">
        <w:t xml:space="preserve"> also incorporates </w:t>
      </w:r>
      <w:r w:rsidRPr="002829FF">
        <w:lastRenderedPageBreak/>
        <w:t xml:space="preserve">prohibitions </w:t>
      </w:r>
      <w:r>
        <w:t>of</w:t>
      </w:r>
      <w:r w:rsidRPr="002829FF">
        <w:t xml:space="preserve"> discrimination on the basis of disability in specified areas of public life. </w:t>
      </w:r>
      <w:r>
        <w:t>The author</w:t>
      </w:r>
      <w:r w:rsidRPr="002829FF">
        <w:t xml:space="preserve"> notes that jury duty is a </w:t>
      </w:r>
      <w:r>
        <w:t>“</w:t>
      </w:r>
      <w:r w:rsidRPr="002829FF">
        <w:t>public duty or obligation</w:t>
      </w:r>
      <w:r>
        <w:t>” and is therefore not protected by these provisions</w:t>
      </w:r>
      <w:r w:rsidRPr="002829FF">
        <w:t>.</w:t>
      </w:r>
      <w:r>
        <w:t xml:space="preserve"> </w:t>
      </w:r>
      <w:r w:rsidRPr="002829FF">
        <w:t xml:space="preserve">The </w:t>
      </w:r>
      <w:r w:rsidR="009A26BA" w:rsidRPr="00B714B4">
        <w:rPr>
          <w:iCs/>
        </w:rPr>
        <w:t>Disability Discrimination Act</w:t>
      </w:r>
      <w:r w:rsidR="009A26BA" w:rsidRPr="006E4197">
        <w:rPr>
          <w:i/>
        </w:rPr>
        <w:t xml:space="preserve"> </w:t>
      </w:r>
      <w:r w:rsidRPr="002829FF">
        <w:t xml:space="preserve">prohibits discrimination on the basis of disability in the administration of </w:t>
      </w:r>
      <w:r>
        <w:t>Commonwealth laws and program</w:t>
      </w:r>
      <w:r w:rsidR="00A914A2">
        <w:t>me</w:t>
      </w:r>
      <w:r>
        <w:t>s; while</w:t>
      </w:r>
      <w:r w:rsidRPr="002829FF">
        <w:t xml:space="preserve"> the </w:t>
      </w:r>
      <w:r w:rsidRPr="00F577BA">
        <w:rPr>
          <w:iCs/>
        </w:rPr>
        <w:t>Jury Act 1977</w:t>
      </w:r>
      <w:r>
        <w:t>,</w:t>
      </w:r>
      <w:r w:rsidRPr="002829FF">
        <w:t xml:space="preserve"> under which the Sheriff performs functions related to the administration of juries</w:t>
      </w:r>
      <w:r>
        <w:t>,</w:t>
      </w:r>
      <w:r w:rsidRPr="002829FF">
        <w:t xml:space="preserve"> is a New South Wales State law. The </w:t>
      </w:r>
      <w:r w:rsidR="009A26BA" w:rsidRPr="00B714B4">
        <w:rPr>
          <w:iCs/>
        </w:rPr>
        <w:t>Disability Discrimination Act</w:t>
      </w:r>
      <w:r w:rsidR="009A26BA" w:rsidRPr="006E4197">
        <w:rPr>
          <w:i/>
        </w:rPr>
        <w:t xml:space="preserve"> </w:t>
      </w:r>
      <w:r>
        <w:t xml:space="preserve">and the </w:t>
      </w:r>
      <w:r w:rsidR="00A914A2" w:rsidRPr="004D0DD0">
        <w:rPr>
          <w:iCs/>
        </w:rPr>
        <w:t xml:space="preserve">Anti-Discrimination Act </w:t>
      </w:r>
      <w:r w:rsidRPr="002829FF">
        <w:t>provide no prohibition of discrimination on the basis of disability in the administration of State laws and program</w:t>
      </w:r>
      <w:r w:rsidR="00A914A2">
        <w:t>me</w:t>
      </w:r>
      <w:r w:rsidRPr="002829FF">
        <w:t>s.</w:t>
      </w:r>
      <w:r>
        <w:t xml:space="preserve"> </w:t>
      </w:r>
    </w:p>
    <w:p w:rsidR="00EE7322" w:rsidRDefault="00EE7322" w:rsidP="00800877">
      <w:pPr>
        <w:pStyle w:val="SingleTxtG"/>
      </w:pPr>
      <w:r>
        <w:t>2.8</w:t>
      </w:r>
      <w:r w:rsidR="008F7703">
        <w:tab/>
      </w:r>
      <w:r>
        <w:t xml:space="preserve">The author’s </w:t>
      </w:r>
      <w:r w:rsidRPr="002829FF">
        <w:t xml:space="preserve">complaint to the </w:t>
      </w:r>
      <w:r w:rsidR="009A26BA" w:rsidRPr="006E4197">
        <w:t>Australian Human Rights Commission</w:t>
      </w:r>
      <w:r w:rsidR="009A26BA">
        <w:t xml:space="preserve"> </w:t>
      </w:r>
      <w:r w:rsidRPr="002829FF">
        <w:t xml:space="preserve">was based </w:t>
      </w:r>
      <w:r>
        <w:t>on the</w:t>
      </w:r>
      <w:r w:rsidRPr="002829FF">
        <w:t xml:space="preserve"> argument that the Sheriff was responsible for the provision of services and facilities to prospective and actual jurors. Under both the </w:t>
      </w:r>
      <w:r w:rsidR="009A26BA" w:rsidRPr="00B714B4">
        <w:rPr>
          <w:iCs/>
        </w:rPr>
        <w:t>Disability Discrimination Act</w:t>
      </w:r>
      <w:r w:rsidR="009A26BA" w:rsidRPr="006E4197">
        <w:rPr>
          <w:i/>
        </w:rPr>
        <w:t xml:space="preserve"> </w:t>
      </w:r>
      <w:r w:rsidRPr="002829FF">
        <w:t xml:space="preserve">and the </w:t>
      </w:r>
      <w:r w:rsidR="00A914A2" w:rsidRPr="004D0DD0">
        <w:rPr>
          <w:iCs/>
        </w:rPr>
        <w:t>Anti-Discrimination Act</w:t>
      </w:r>
      <w:r w:rsidR="00800877">
        <w:rPr>
          <w:iCs/>
        </w:rPr>
        <w:t>,</w:t>
      </w:r>
      <w:r w:rsidR="00A914A2" w:rsidRPr="004D0DD0">
        <w:rPr>
          <w:iCs/>
        </w:rPr>
        <w:t xml:space="preserve"> </w:t>
      </w:r>
      <w:r w:rsidRPr="002829FF">
        <w:t xml:space="preserve">it is unlawful to discriminate on the basis of disability in the provision of public services </w:t>
      </w:r>
      <w:r w:rsidRPr="003C691A">
        <w:t>and</w:t>
      </w:r>
      <w:r w:rsidRPr="002829FF">
        <w:t xml:space="preserve"> facilities.</w:t>
      </w:r>
      <w:r>
        <w:t xml:space="preserve"> </w:t>
      </w:r>
      <w:r w:rsidRPr="002829FF">
        <w:t xml:space="preserve">Neither the </w:t>
      </w:r>
      <w:r w:rsidR="009A26BA" w:rsidRPr="006E4197">
        <w:t>Aus</w:t>
      </w:r>
      <w:r w:rsidR="009A26BA">
        <w:t>tralian Human Rights Commission</w:t>
      </w:r>
      <w:r>
        <w:t xml:space="preserve">, </w:t>
      </w:r>
      <w:r w:rsidRPr="002829FF">
        <w:t xml:space="preserve">which is responsible for handling complaints under the </w:t>
      </w:r>
      <w:r w:rsidR="009A26BA" w:rsidRPr="00B714B4">
        <w:rPr>
          <w:iCs/>
        </w:rPr>
        <w:t>Disability Discrimination Act</w:t>
      </w:r>
      <w:r>
        <w:t>,</w:t>
      </w:r>
      <w:r w:rsidRPr="002829FF">
        <w:t xml:space="preserve"> nor the</w:t>
      </w:r>
      <w:r>
        <w:t xml:space="preserve"> </w:t>
      </w:r>
      <w:r w:rsidR="003016BC">
        <w:t xml:space="preserve">New South Wales </w:t>
      </w:r>
      <w:r>
        <w:t xml:space="preserve">Anti-Discrimination Board, </w:t>
      </w:r>
      <w:r w:rsidRPr="002829FF">
        <w:t>which is responsible for</w:t>
      </w:r>
      <w:r>
        <w:t xml:space="preserve"> </w:t>
      </w:r>
      <w:r w:rsidRPr="002829FF">
        <w:t xml:space="preserve">handling </w:t>
      </w:r>
      <w:r>
        <w:t xml:space="preserve">complaints under the </w:t>
      </w:r>
      <w:r w:rsidR="00800877">
        <w:rPr>
          <w:iCs/>
        </w:rPr>
        <w:t>Anti-Discrimination Act</w:t>
      </w:r>
      <w:r>
        <w:t>, h</w:t>
      </w:r>
      <w:r w:rsidRPr="002829FF">
        <w:t xml:space="preserve">ave determinative powers with respect to complaints of discrimination. </w:t>
      </w:r>
    </w:p>
    <w:p w:rsidR="00EE7322" w:rsidRDefault="00EE7322" w:rsidP="00800877">
      <w:pPr>
        <w:pStyle w:val="SingleTxtG"/>
      </w:pPr>
      <w:r>
        <w:t>2.9</w:t>
      </w:r>
      <w:r w:rsidR="008F7703">
        <w:tab/>
      </w:r>
      <w:r>
        <w:t>The author notes that</w:t>
      </w:r>
      <w:r w:rsidR="00A914A2">
        <w:t>,</w:t>
      </w:r>
      <w:r>
        <w:t xml:space="preserve"> t</w:t>
      </w:r>
      <w:r w:rsidRPr="002829FF">
        <w:t>o pursue the matter further</w:t>
      </w:r>
      <w:r>
        <w:t>,</w:t>
      </w:r>
      <w:r w:rsidRPr="002829FF">
        <w:t xml:space="preserve"> </w:t>
      </w:r>
      <w:r>
        <w:t>he</w:t>
      </w:r>
      <w:r w:rsidRPr="002829FF">
        <w:t xml:space="preserve"> would have to apply to the Federal Court or </w:t>
      </w:r>
      <w:r>
        <w:t xml:space="preserve">the </w:t>
      </w:r>
      <w:r w:rsidRPr="002829FF">
        <w:t xml:space="preserve">Federal </w:t>
      </w:r>
      <w:r w:rsidR="00A914A2">
        <w:t>Circuit</w:t>
      </w:r>
      <w:r w:rsidR="00A914A2" w:rsidRPr="002829FF">
        <w:t xml:space="preserve"> </w:t>
      </w:r>
      <w:r w:rsidRPr="002829FF">
        <w:t>Court of Australia</w:t>
      </w:r>
      <w:r>
        <w:t>, which would have to determine</w:t>
      </w:r>
      <w:r w:rsidRPr="002829FF">
        <w:t xml:space="preserve"> whether the functions of the Sheriff </w:t>
      </w:r>
      <w:r>
        <w:t>for</w:t>
      </w:r>
      <w:r w:rsidRPr="002829FF">
        <w:t xml:space="preserve"> the selection and empanelment of jurors </w:t>
      </w:r>
      <w:r>
        <w:t>correspond to</w:t>
      </w:r>
      <w:r w:rsidRPr="002829FF">
        <w:t xml:space="preserve"> the </w:t>
      </w:r>
      <w:r>
        <w:t>“</w:t>
      </w:r>
      <w:r w:rsidRPr="002829FF">
        <w:t>provision of services and facilities</w:t>
      </w:r>
      <w:r>
        <w:t>”</w:t>
      </w:r>
      <w:r w:rsidRPr="002829FF">
        <w:t xml:space="preserve"> to jurors</w:t>
      </w:r>
      <w:r>
        <w:t>, and</w:t>
      </w:r>
      <w:r w:rsidRPr="002829FF">
        <w:t xml:space="preserve"> if the conduct of the Sheriff </w:t>
      </w:r>
      <w:r>
        <w:t>falls</w:t>
      </w:r>
      <w:r w:rsidRPr="002829FF">
        <w:t xml:space="preserve"> within an area of </w:t>
      </w:r>
      <w:r w:rsidRPr="003C691A">
        <w:t>public</w:t>
      </w:r>
      <w:r w:rsidRPr="002829FF">
        <w:t xml:space="preserve"> life in which discrimination is prohibited.</w:t>
      </w:r>
      <w:r>
        <w:t xml:space="preserve"> The author was legally advised that the court would likely consider </w:t>
      </w:r>
      <w:r w:rsidRPr="002829FF">
        <w:t xml:space="preserve">that jury duty and the functions of the Sheriff </w:t>
      </w:r>
      <w:r>
        <w:t>for</w:t>
      </w:r>
      <w:r w:rsidRPr="002829FF">
        <w:t xml:space="preserve"> the selection and empanelment of jurors </w:t>
      </w:r>
      <w:r>
        <w:t xml:space="preserve">do </w:t>
      </w:r>
      <w:r w:rsidRPr="002829FF">
        <w:t>not</w:t>
      </w:r>
      <w:r>
        <w:t xml:space="preserve"> to</w:t>
      </w:r>
      <w:r w:rsidRPr="002829FF">
        <w:t xml:space="preserve"> fall within an area of public life</w:t>
      </w:r>
      <w:r>
        <w:t xml:space="preserve">, and are thus not covered by the </w:t>
      </w:r>
      <w:r w:rsidR="009A26BA" w:rsidRPr="00B714B4">
        <w:rPr>
          <w:iCs/>
        </w:rPr>
        <w:t>Disability Discrimination Act</w:t>
      </w:r>
      <w:r w:rsidRPr="002829FF">
        <w:t>.</w:t>
      </w:r>
      <w:r>
        <w:t xml:space="preserve"> </w:t>
      </w:r>
      <w:r w:rsidRPr="002829FF">
        <w:t xml:space="preserve">If </w:t>
      </w:r>
      <w:r>
        <w:t>the author</w:t>
      </w:r>
      <w:r w:rsidRPr="002829FF">
        <w:t xml:space="preserve"> was to pursue his claim and fail, he would be liable to pay his own legal costs </w:t>
      </w:r>
      <w:r>
        <w:t>and</w:t>
      </w:r>
      <w:r w:rsidRPr="002829FF">
        <w:t xml:space="preserve"> those of the State of New South Wales</w:t>
      </w:r>
      <w:r>
        <w:t xml:space="preserve">, namely between </w:t>
      </w:r>
      <w:r w:rsidRPr="002829FF">
        <w:t>$50,000</w:t>
      </w:r>
      <w:r w:rsidR="00A914A2">
        <w:t xml:space="preserve"> and</w:t>
      </w:r>
      <w:r w:rsidRPr="002829FF">
        <w:t xml:space="preserve"> $100,000</w:t>
      </w:r>
      <w:r>
        <w:t>,</w:t>
      </w:r>
      <w:r w:rsidR="008F7703">
        <w:rPr>
          <w:rStyle w:val="FootnoteReference"/>
        </w:rPr>
        <w:footnoteReference w:id="7"/>
      </w:r>
      <w:r>
        <w:t xml:space="preserve"> which</w:t>
      </w:r>
      <w:r w:rsidRPr="00F44E6B">
        <w:rPr>
          <w:bCs/>
        </w:rPr>
        <w:t xml:space="preserve"> renders domestic remedies not reasonably available for him.</w:t>
      </w:r>
      <w:r w:rsidRPr="002829FF">
        <w:t xml:space="preserve"> </w:t>
      </w:r>
    </w:p>
    <w:p w:rsidR="00EE7322" w:rsidRDefault="00EE7322" w:rsidP="00CB4343">
      <w:pPr>
        <w:pStyle w:val="SingleTxtG"/>
      </w:pPr>
      <w:r>
        <w:t>2.10</w:t>
      </w:r>
      <w:r w:rsidR="008F7703">
        <w:tab/>
      </w:r>
      <w:r>
        <w:t>The author further submits that</w:t>
      </w:r>
      <w:r w:rsidR="00A914A2">
        <w:t>,</w:t>
      </w:r>
      <w:r>
        <w:t xml:space="preserve"> i</w:t>
      </w:r>
      <w:r w:rsidRPr="00BA4D98">
        <w:t>n 2002</w:t>
      </w:r>
      <w:r w:rsidR="00A914A2">
        <w:t>,</w:t>
      </w:r>
      <w:r w:rsidRPr="00BA4D98">
        <w:t xml:space="preserve"> the New South Wales Attorney</w:t>
      </w:r>
      <w:r w:rsidR="00A914A2">
        <w:t xml:space="preserve"> </w:t>
      </w:r>
      <w:r w:rsidRPr="00BA4D98">
        <w:t xml:space="preserve">General referred the issue of whether deaf or blind </w:t>
      </w:r>
      <w:r>
        <w:t>people</w:t>
      </w:r>
      <w:r w:rsidRPr="00BA4D98">
        <w:t xml:space="preserve"> could serve as jurors to the New South Wales Law Reform Commission for inquiry. The Commission reported in September 2006</w:t>
      </w:r>
      <w:r w:rsidR="0056532D">
        <w:t>, making</w:t>
      </w:r>
      <w:r w:rsidR="0056532D" w:rsidRPr="00BA4D98">
        <w:t xml:space="preserve"> four </w:t>
      </w:r>
      <w:r w:rsidR="0056532D" w:rsidRPr="003C691A">
        <w:t>recommendations</w:t>
      </w:r>
      <w:r w:rsidR="0056532D" w:rsidRPr="00BA4D98">
        <w:t xml:space="preserve">, </w:t>
      </w:r>
      <w:r w:rsidR="0056532D">
        <w:t>including</w:t>
      </w:r>
      <w:r w:rsidR="0056532D" w:rsidRPr="00BA4D98">
        <w:t xml:space="preserve"> that the New South Wales Government make amendments to the </w:t>
      </w:r>
      <w:r w:rsidR="0056532D" w:rsidRPr="000C174E">
        <w:rPr>
          <w:iCs/>
        </w:rPr>
        <w:t>Jury Act</w:t>
      </w:r>
      <w:r w:rsidR="0056532D" w:rsidRPr="00BA4D98">
        <w:rPr>
          <w:i/>
        </w:rPr>
        <w:t xml:space="preserve"> </w:t>
      </w:r>
      <w:r w:rsidR="0056532D" w:rsidRPr="00BA4D98">
        <w:t>1977 (</w:t>
      </w:r>
      <w:r w:rsidR="0056532D">
        <w:t>New South Wales</w:t>
      </w:r>
      <w:r w:rsidR="0056532D" w:rsidRPr="00BA4D98">
        <w:t xml:space="preserve">) </w:t>
      </w:r>
      <w:r w:rsidR="0056532D">
        <w:t>to</w:t>
      </w:r>
      <w:r w:rsidR="0056532D" w:rsidRPr="00BA4D98">
        <w:t xml:space="preserve"> enable people who are blind or deaf to serve on juries.</w:t>
      </w:r>
      <w:r w:rsidR="008F7703">
        <w:rPr>
          <w:rStyle w:val="FootnoteReference"/>
        </w:rPr>
        <w:footnoteReference w:id="8"/>
      </w:r>
      <w:r>
        <w:t xml:space="preserve">  </w:t>
      </w:r>
      <w:r w:rsidRPr="00BA4D98">
        <w:t xml:space="preserve">In June 2010, the Government </w:t>
      </w:r>
      <w:r w:rsidR="0056532D">
        <w:t xml:space="preserve">of </w:t>
      </w:r>
      <w:r w:rsidR="0056532D" w:rsidRPr="00BA4D98">
        <w:t xml:space="preserve">New South Wales </w:t>
      </w:r>
      <w:r>
        <w:t>replied</w:t>
      </w:r>
      <w:r w:rsidR="0056532D">
        <w:t xml:space="preserve"> that it refused</w:t>
      </w:r>
      <w:r w:rsidR="0056532D" w:rsidRPr="00BA4D98">
        <w:t xml:space="preserve"> key components of the Commission’s recommendations</w:t>
      </w:r>
      <w:r w:rsidR="0056532D">
        <w:t>, including that deaf people</w:t>
      </w:r>
      <w:r w:rsidR="0056532D" w:rsidRPr="00BA4D98">
        <w:t xml:space="preserve"> </w:t>
      </w:r>
      <w:r w:rsidR="0056532D">
        <w:t>could</w:t>
      </w:r>
      <w:r w:rsidR="0056532D" w:rsidRPr="00BA4D98">
        <w:t xml:space="preserve"> serve as jurors with the assistance of a steno-captioner.</w:t>
      </w:r>
      <w:r w:rsidR="008F7703">
        <w:rPr>
          <w:rStyle w:val="FootnoteReference"/>
        </w:rPr>
        <w:footnoteReference w:id="9"/>
      </w:r>
      <w:r>
        <w:t xml:space="preserve">  </w:t>
      </w:r>
      <w:r w:rsidRPr="00BA4D98">
        <w:t>In New South Wales</w:t>
      </w:r>
      <w:r w:rsidR="006A4003">
        <w:t>,</w:t>
      </w:r>
      <w:r w:rsidRPr="00BA4D98">
        <w:t xml:space="preserve"> the </w:t>
      </w:r>
      <w:r w:rsidRPr="00F577BA">
        <w:rPr>
          <w:iCs/>
        </w:rPr>
        <w:t>Jury Act</w:t>
      </w:r>
      <w:r w:rsidRPr="00BA4D98">
        <w:t xml:space="preserve"> 1977, as amended by the </w:t>
      </w:r>
      <w:r w:rsidRPr="00F577BA">
        <w:rPr>
          <w:iCs/>
        </w:rPr>
        <w:t xml:space="preserve">Jury Amendment Act </w:t>
      </w:r>
      <w:r w:rsidRPr="00BA4D98">
        <w:t>2010</w:t>
      </w:r>
      <w:r w:rsidR="006A4003">
        <w:t>,</w:t>
      </w:r>
      <w:r w:rsidRPr="00BA4D98">
        <w:t xml:space="preserve"> regulates who is qualified and eligible to perform jury duty. </w:t>
      </w:r>
      <w:r>
        <w:t xml:space="preserve">The author notes that </w:t>
      </w:r>
      <w:r w:rsidRPr="00BA4D98">
        <w:t>the Sheriff has preclude</w:t>
      </w:r>
      <w:r>
        <w:t>d</w:t>
      </w:r>
      <w:r w:rsidRPr="00BA4D98">
        <w:t xml:space="preserve"> </w:t>
      </w:r>
      <w:r>
        <w:t>him</w:t>
      </w:r>
      <w:r w:rsidRPr="00BA4D98">
        <w:t xml:space="preserve"> from serving as a juror</w:t>
      </w:r>
      <w:r>
        <w:t xml:space="preserve"> under </w:t>
      </w:r>
      <w:r w:rsidR="00095D47" w:rsidRPr="00F577BA">
        <w:t xml:space="preserve">section 14 (4) of the </w:t>
      </w:r>
      <w:r w:rsidR="00095D47" w:rsidRPr="00F577BA">
        <w:rPr>
          <w:iCs/>
        </w:rPr>
        <w:t>Jury Act</w:t>
      </w:r>
      <w:r w:rsidR="00095D47" w:rsidRPr="00F577BA">
        <w:t xml:space="preserve"> 1977</w:t>
      </w:r>
      <w:r w:rsidRPr="00BA4D98">
        <w:t>.</w:t>
      </w:r>
      <w:r>
        <w:t xml:space="preserve"> </w:t>
      </w:r>
    </w:p>
    <w:p w:rsidR="00EE7322" w:rsidRPr="001507A4" w:rsidRDefault="00EE7322" w:rsidP="00CC50FE">
      <w:pPr>
        <w:pStyle w:val="SingleTxtG"/>
      </w:pPr>
      <w:r>
        <w:t>2.11</w:t>
      </w:r>
      <w:r w:rsidR="008F7703">
        <w:tab/>
      </w:r>
      <w:r>
        <w:t xml:space="preserve">The author further explains that </w:t>
      </w:r>
      <w:r w:rsidR="00A914A2">
        <w:t xml:space="preserve">the </w:t>
      </w:r>
      <w:r w:rsidR="00800877">
        <w:rPr>
          <w:iCs/>
        </w:rPr>
        <w:t>Anti-Discrimination Act</w:t>
      </w:r>
      <w:r w:rsidR="00A914A2">
        <w:t xml:space="preserve"> </w:t>
      </w:r>
      <w:r>
        <w:t xml:space="preserve">and </w:t>
      </w:r>
      <w:r w:rsidR="009A26BA">
        <w:t xml:space="preserve">the </w:t>
      </w:r>
      <w:r w:rsidR="009A26BA" w:rsidRPr="00B714B4">
        <w:rPr>
          <w:iCs/>
        </w:rPr>
        <w:t>Disability Discrimination Act</w:t>
      </w:r>
      <w:r w:rsidR="00800877">
        <w:rPr>
          <w:iCs/>
        </w:rPr>
        <w:t xml:space="preserve"> </w:t>
      </w:r>
      <w:r>
        <w:t xml:space="preserve">do not make discrimination unlawful in all areas of public life and do not make it unlawful to discriminate on the basis of disability in the area of civic duties, including jury duty. No remedies are therefore available regarding his exclusion from a </w:t>
      </w:r>
      <w:r>
        <w:lastRenderedPageBreak/>
        <w:t xml:space="preserve">civic duty. If the author pursues a claim of disability discrimination, the Sheriff will argue that her functions in relation to jurors involve the exercise of statutory powers and duties, which do not involve the provision of services and thus fall outside the scope of </w:t>
      </w:r>
      <w:r w:rsidR="009A26BA">
        <w:t xml:space="preserve">the </w:t>
      </w:r>
      <w:r w:rsidR="009A26BA" w:rsidRPr="00B714B4">
        <w:rPr>
          <w:iCs/>
        </w:rPr>
        <w:t>Disability Discrimination Act</w:t>
      </w:r>
      <w:r w:rsidR="009A26BA" w:rsidRPr="006E4197">
        <w:rPr>
          <w:i/>
        </w:rPr>
        <w:t xml:space="preserve"> </w:t>
      </w:r>
      <w:r>
        <w:t xml:space="preserve">and </w:t>
      </w:r>
      <w:r w:rsidR="00A914A2">
        <w:t xml:space="preserve">the </w:t>
      </w:r>
      <w:r w:rsidR="00A914A2" w:rsidRPr="004D0DD0">
        <w:rPr>
          <w:iCs/>
        </w:rPr>
        <w:t>Anti-Discrimination Act</w:t>
      </w:r>
      <w:r>
        <w:t>. The author argues that</w:t>
      </w:r>
      <w:r w:rsidR="00995A5C">
        <w:t>,</w:t>
      </w:r>
      <w:r>
        <w:t xml:space="preserve"> under Australian case</w:t>
      </w:r>
      <w:r w:rsidR="00CC50FE">
        <w:t xml:space="preserve"> </w:t>
      </w:r>
      <w:r>
        <w:t>law,</w:t>
      </w:r>
      <w:r w:rsidR="008F7703">
        <w:rPr>
          <w:rStyle w:val="FootnoteReference"/>
        </w:rPr>
        <w:footnoteReference w:id="10"/>
      </w:r>
      <w:r>
        <w:t xml:space="preserve"> he would be required to identify the services that the Sheriff refused to provide, while the essence of his complaint is that she refused to provide the reasonable adjustment he would need to serve as a juror. Under domestic case</w:t>
      </w:r>
      <w:r w:rsidR="00995A5C">
        <w:t>-</w:t>
      </w:r>
      <w:r>
        <w:t xml:space="preserve">law, reasonable adjustment is not a “service”, and an attempt to establish that the Sheriff provides “services” to all jurors has poor prospects of success. The author refers to additional </w:t>
      </w:r>
      <w:r w:rsidR="00CC50FE">
        <w:t xml:space="preserve">national </w:t>
      </w:r>
      <w:r>
        <w:t xml:space="preserve">jurisprudence under which claims of disability discrimination under the </w:t>
      </w:r>
      <w:r w:rsidR="009A26BA" w:rsidRPr="00B714B4">
        <w:rPr>
          <w:iCs/>
        </w:rPr>
        <w:t>Disability Discrimination Act</w:t>
      </w:r>
      <w:r w:rsidR="009A26BA" w:rsidRPr="006E4197">
        <w:rPr>
          <w:i/>
        </w:rPr>
        <w:t xml:space="preserve"> </w:t>
      </w:r>
      <w:r>
        <w:t>are determined in a normative context, which involves a court examining the broader obligations and responsibilities of the alleged discriminator.</w:t>
      </w:r>
      <w:r w:rsidR="008F7703">
        <w:rPr>
          <w:rStyle w:val="FootnoteReference"/>
        </w:rPr>
        <w:footnoteReference w:id="11"/>
      </w:r>
      <w:r>
        <w:t xml:space="preserve"> Furthermore, the Sheriff contends that she is obliged to exclude the author </w:t>
      </w:r>
      <w:r w:rsidRPr="00EF4905">
        <w:t>from performing jury duty because of the rule that jurors must deliberate in private. According to case</w:t>
      </w:r>
      <w:r w:rsidR="00CC50FE">
        <w:t xml:space="preserve"> </w:t>
      </w:r>
      <w:r w:rsidRPr="00EF4905">
        <w:t>law, this rule provides that if a “stranger” is present for a substantial time du</w:t>
      </w:r>
      <w:r>
        <w:t xml:space="preserve">ring the jury’s deliberations, its verdict is vitiated. In </w:t>
      </w:r>
      <w:r w:rsidR="00711E41">
        <w:t xml:space="preserve">the </w:t>
      </w:r>
      <w:r>
        <w:t>light of th</w:t>
      </w:r>
      <w:r w:rsidR="00711E41">
        <w:t>at</w:t>
      </w:r>
      <w:r>
        <w:t xml:space="preserve"> jurisprudence, even if a court finds that the Sheriff provided “services” to jurors, it will </w:t>
      </w:r>
      <w:r w:rsidRPr="008F7703">
        <w:t>probably</w:t>
      </w:r>
      <w:r>
        <w:t xml:space="preserve"> conclude that the “true basis” for the Sheriff’s conduct was not disability</w:t>
      </w:r>
      <w:r w:rsidR="00711E41">
        <w:t>-</w:t>
      </w:r>
      <w:r>
        <w:t>based discrimination, but the obligation to protect the integrity of jury deliberations. Moreover, under section 49</w:t>
      </w:r>
      <w:r w:rsidR="00CC50FE">
        <w:t xml:space="preserve"> </w:t>
      </w:r>
      <w:r>
        <w:t xml:space="preserve">B of the </w:t>
      </w:r>
      <w:r w:rsidR="00800877">
        <w:rPr>
          <w:iCs/>
        </w:rPr>
        <w:t>Anti-Discrimination Act</w:t>
      </w:r>
      <w:r>
        <w:t xml:space="preserve">, the definition of discrimination on the basis of disability does not include the denial of reasonable adjustment. Even if it is established that the Sheriff </w:t>
      </w:r>
      <w:r w:rsidRPr="003C691A">
        <w:t>provides</w:t>
      </w:r>
      <w:r>
        <w:t xml:space="preserve"> jurors with “services”, it would therefore remain difficult to prove that she had an obligation to provide the author with steno-captioning as a necessary adjustment. The author finally submits that </w:t>
      </w:r>
      <w:r w:rsidR="00CC50FE">
        <w:t xml:space="preserve">claims under the </w:t>
      </w:r>
      <w:r w:rsidR="009A26BA" w:rsidRPr="00B714B4">
        <w:rPr>
          <w:iCs/>
        </w:rPr>
        <w:t>Disability Discrimination Act</w:t>
      </w:r>
      <w:r w:rsidR="009A26BA" w:rsidRPr="006E4197">
        <w:rPr>
          <w:i/>
        </w:rPr>
        <w:t xml:space="preserve"> </w:t>
      </w:r>
      <w:r>
        <w:t xml:space="preserve">and </w:t>
      </w:r>
      <w:r w:rsidR="00A914A2">
        <w:t xml:space="preserve">the </w:t>
      </w:r>
      <w:r w:rsidR="00A914A2" w:rsidRPr="004D0DD0">
        <w:rPr>
          <w:iCs/>
        </w:rPr>
        <w:t>Anti-Discrimination Act</w:t>
      </w:r>
      <w:r w:rsidR="00800877">
        <w:rPr>
          <w:iCs/>
        </w:rPr>
        <w:t xml:space="preserve"> </w:t>
      </w:r>
      <w:r>
        <w:t>are notoriously difficult to pursue and frequently result in very protracted and complex proceedings.</w:t>
      </w:r>
    </w:p>
    <w:p w:rsidR="00EE7322" w:rsidRPr="003C691A" w:rsidRDefault="00C80058" w:rsidP="00F577BA">
      <w:pPr>
        <w:pStyle w:val="H23G"/>
      </w:pPr>
      <w:r>
        <w:tab/>
      </w:r>
      <w:r>
        <w:tab/>
      </w:r>
      <w:r w:rsidR="00EE7322" w:rsidRPr="003C691A">
        <w:t>The complaint</w:t>
      </w:r>
    </w:p>
    <w:p w:rsidR="00EE7322" w:rsidRDefault="003E3225" w:rsidP="00CB4343">
      <w:pPr>
        <w:pStyle w:val="SingleTxtG"/>
      </w:pPr>
      <w:r>
        <w:t>3.1</w:t>
      </w:r>
      <w:r>
        <w:tab/>
      </w:r>
      <w:r w:rsidR="00EE7322">
        <w:rPr>
          <w:lang w:val="en-AU"/>
        </w:rPr>
        <w:t>The author claims that the Sheriff’s actions constitute a violation of his right to equal recognition before the law as guaranteed under</w:t>
      </w:r>
      <w:r w:rsidR="00EE7322" w:rsidRPr="00902FE3">
        <w:rPr>
          <w:lang w:val="en-AU"/>
        </w:rPr>
        <w:t xml:space="preserve"> article 12 of the Convention</w:t>
      </w:r>
      <w:r w:rsidR="00EE7322" w:rsidRPr="00902FE3">
        <w:t xml:space="preserve">. He </w:t>
      </w:r>
      <w:r w:rsidR="00EE7322" w:rsidRPr="003C691A">
        <w:t>considers</w:t>
      </w:r>
      <w:r w:rsidR="00EE7322" w:rsidRPr="00902FE3">
        <w:t xml:space="preserve"> that the Sheriff’s statements to the </w:t>
      </w:r>
      <w:r w:rsidR="009A26BA" w:rsidRPr="006E4197">
        <w:t>Aus</w:t>
      </w:r>
      <w:r w:rsidR="00CC58DC">
        <w:t>tralian Human Rights Commission</w:t>
      </w:r>
      <w:r w:rsidR="009A26BA">
        <w:t xml:space="preserve"> </w:t>
      </w:r>
      <w:r w:rsidR="00EE7322">
        <w:t>imply</w:t>
      </w:r>
      <w:r w:rsidR="00EE7322" w:rsidRPr="00902FE3">
        <w:t xml:space="preserve"> that deaf persons are inherently unable to sufficiently comprehend the legal process, and that their participation would compromise the right to a fair trial</w:t>
      </w:r>
      <w:r w:rsidR="00500205">
        <w:t>. He considers that such position violates</w:t>
      </w:r>
      <w:r w:rsidR="00EE7322" w:rsidRPr="00902FE3">
        <w:t xml:space="preserve"> his right to enjoy legal capacity on an equal basis with others. </w:t>
      </w:r>
      <w:r w:rsidR="00EE7322">
        <w:t>T</w:t>
      </w:r>
      <w:r w:rsidR="00EE7322" w:rsidRPr="00902FE3">
        <w:t>he author</w:t>
      </w:r>
      <w:r w:rsidR="00EE7322">
        <w:t xml:space="preserve"> also</w:t>
      </w:r>
      <w:r w:rsidR="00EE7322" w:rsidRPr="00902FE3">
        <w:t xml:space="preserve"> </w:t>
      </w:r>
      <w:r w:rsidR="001C2375">
        <w:t>submits</w:t>
      </w:r>
      <w:r w:rsidR="001C2375" w:rsidRPr="00902FE3">
        <w:t xml:space="preserve"> </w:t>
      </w:r>
      <w:r w:rsidR="00EE7322" w:rsidRPr="00902FE3">
        <w:t>that the refusal to permit steno-captioning constitutes a violation of</w:t>
      </w:r>
      <w:r w:rsidR="00CC58DC">
        <w:t>:</w:t>
      </w:r>
      <w:r w:rsidR="00EE7322" w:rsidRPr="00902FE3">
        <w:t xml:space="preserve"> (a) his right to access the support he requires to exercise his legal capacity to perform jury duty </w:t>
      </w:r>
      <w:r w:rsidR="00EE7322">
        <w:t>pursuant to</w:t>
      </w:r>
      <w:r w:rsidR="00EE7322" w:rsidRPr="00902FE3">
        <w:t xml:space="preserve"> article 12</w:t>
      </w:r>
      <w:r w:rsidR="00CC58DC">
        <w:t xml:space="preserve"> </w:t>
      </w:r>
      <w:r w:rsidR="00EE7322" w:rsidRPr="00902FE3">
        <w:t xml:space="preserve">(3) of the Convention; (b) his right to non-discrimination </w:t>
      </w:r>
      <w:r w:rsidR="00EE7322">
        <w:t>under</w:t>
      </w:r>
      <w:r w:rsidR="00EE7322" w:rsidRPr="00902FE3">
        <w:t xml:space="preserve"> articles 5 and 12 of the Convention; and (c) his freedom to seek, receive and impart information and ideas on an equal basis with others through a form of communication of his choice</w:t>
      </w:r>
      <w:r w:rsidR="00EE7322">
        <w:t xml:space="preserve"> pursuant to </w:t>
      </w:r>
      <w:r w:rsidR="00EE7322" w:rsidRPr="00902FE3">
        <w:t>article 21 of the Convention.</w:t>
      </w:r>
      <w:r w:rsidR="00EE7322">
        <w:t xml:space="preserve"> </w:t>
      </w:r>
    </w:p>
    <w:p w:rsidR="00EE7322" w:rsidRDefault="003E3225" w:rsidP="003C691A">
      <w:pPr>
        <w:pStyle w:val="SingleTxtG"/>
      </w:pPr>
      <w:r>
        <w:rPr>
          <w:lang w:eastAsia="en-GB"/>
        </w:rPr>
        <w:t>3.2</w:t>
      </w:r>
      <w:r>
        <w:rPr>
          <w:lang w:eastAsia="en-GB"/>
        </w:rPr>
        <w:tab/>
      </w:r>
      <w:r w:rsidR="00EE7322" w:rsidRPr="005208D4">
        <w:t>With regard to the alleged violation of article 13 of the Convention, the author claims that the refusal to permit steno-captioning constitutes a violation of his rights to</w:t>
      </w:r>
      <w:r w:rsidR="00165373">
        <w:t>:</w:t>
      </w:r>
      <w:r w:rsidR="00EE7322" w:rsidRPr="005208D4">
        <w:t xml:space="preserve"> (a) </w:t>
      </w:r>
      <w:r w:rsidR="00EE7322" w:rsidRPr="005208D4">
        <w:lastRenderedPageBreak/>
        <w:t xml:space="preserve">effective access to justice, including in relation to the provision </w:t>
      </w:r>
      <w:r w:rsidR="00EE7322">
        <w:t>of procedural accommodation</w:t>
      </w:r>
      <w:r w:rsidR="00EE7322" w:rsidRPr="005208D4">
        <w:t>; (b) non-discrimination</w:t>
      </w:r>
      <w:r w:rsidR="00EE7322">
        <w:t xml:space="preserve"> </w:t>
      </w:r>
      <w:r w:rsidR="00EE7322" w:rsidRPr="005208D4">
        <w:t>contrary to articles 5 and 13 of the Convention; and (c) freedom to seek, receive and impart information and ideas on an equal basis with others through a form of communication of his choice</w:t>
      </w:r>
      <w:r w:rsidR="00EE7322">
        <w:t>,</w:t>
      </w:r>
      <w:r w:rsidR="00EE7322" w:rsidRPr="005208D4">
        <w:t xml:space="preserve"> </w:t>
      </w:r>
      <w:r w:rsidR="00EE7322">
        <w:t>contrary to</w:t>
      </w:r>
      <w:r w:rsidR="00EE7322" w:rsidRPr="005208D4">
        <w:t xml:space="preserve"> articles 13 and 21 of the Convention. </w:t>
      </w:r>
    </w:p>
    <w:p w:rsidR="00EE7322" w:rsidRDefault="003E3225">
      <w:pPr>
        <w:pStyle w:val="SingleTxtG"/>
      </w:pPr>
      <w:r>
        <w:rPr>
          <w:lang w:eastAsia="en-GB"/>
        </w:rPr>
        <w:t>3.3</w:t>
      </w:r>
      <w:r>
        <w:rPr>
          <w:lang w:eastAsia="en-GB"/>
        </w:rPr>
        <w:tab/>
      </w:r>
      <w:r w:rsidR="00EE7322" w:rsidRPr="002737C4">
        <w:t>The author considers that steno-captioning</w:t>
      </w:r>
      <w:r w:rsidR="00EE7322">
        <w:t xml:space="preserve"> </w:t>
      </w:r>
      <w:r w:rsidR="00EE7322" w:rsidRPr="002737C4">
        <w:t xml:space="preserve">should be seen as a form of “communication” of </w:t>
      </w:r>
      <w:r w:rsidR="00EE7322">
        <w:t>his</w:t>
      </w:r>
      <w:r w:rsidR="00EE7322" w:rsidRPr="002737C4">
        <w:t xml:space="preserve"> choice </w:t>
      </w:r>
      <w:r w:rsidR="00EE7322">
        <w:t>in</w:t>
      </w:r>
      <w:r w:rsidR="00EE7322" w:rsidRPr="002737C4">
        <w:t xml:space="preserve"> an “official interaction” within the meaning of article 21 of the Convention</w:t>
      </w:r>
      <w:r w:rsidR="00EE7322">
        <w:t xml:space="preserve"> and, </w:t>
      </w:r>
      <w:r w:rsidR="00EE7322" w:rsidRPr="003C691A">
        <w:t>consequently</w:t>
      </w:r>
      <w:r w:rsidR="00EE7322">
        <w:t>,</w:t>
      </w:r>
      <w:r w:rsidR="00EE7322" w:rsidRPr="002737C4">
        <w:t xml:space="preserve"> that the </w:t>
      </w:r>
      <w:r w:rsidR="00EE7322">
        <w:t xml:space="preserve">Sheriff’s </w:t>
      </w:r>
      <w:r w:rsidR="00EE7322" w:rsidRPr="002737C4">
        <w:t>refusal constitutes a violation of his right to freedom of expression</w:t>
      </w:r>
      <w:r w:rsidR="00EE7322">
        <w:t xml:space="preserve"> and non-discrimination in</w:t>
      </w:r>
      <w:r w:rsidR="00EE7322" w:rsidRPr="002737C4">
        <w:t xml:space="preserve"> </w:t>
      </w:r>
      <w:r w:rsidR="00EE7322">
        <w:t>violation of articles 5 and 21</w:t>
      </w:r>
      <w:r w:rsidR="00EE7322" w:rsidRPr="002737C4">
        <w:t>.</w:t>
      </w:r>
      <w:r w:rsidR="00EE7322">
        <w:t xml:space="preserve"> </w:t>
      </w:r>
    </w:p>
    <w:p w:rsidR="00EE7322" w:rsidRDefault="00EE7322" w:rsidP="003C691A">
      <w:pPr>
        <w:pStyle w:val="SingleTxtG"/>
      </w:pPr>
      <w:r w:rsidRPr="00D050D2">
        <w:t>3.</w:t>
      </w:r>
      <w:r>
        <w:t>4</w:t>
      </w:r>
      <w:r w:rsidR="003E3225">
        <w:tab/>
      </w:r>
      <w:r>
        <w:t>As regards his</w:t>
      </w:r>
      <w:r w:rsidRPr="00D050D2">
        <w:t xml:space="preserve"> claim under article 29 of the Convention</w:t>
      </w:r>
      <w:r>
        <w:t>, the author</w:t>
      </w:r>
      <w:r w:rsidRPr="00D050D2">
        <w:t xml:space="preserve"> asserts that the participation in jury duty is a “political right” and that</w:t>
      </w:r>
      <w:r>
        <w:t>, as</w:t>
      </w:r>
      <w:r w:rsidRPr="00D050D2">
        <w:t xml:space="preserve"> a component of the public administration of justice</w:t>
      </w:r>
      <w:r>
        <w:t>, the jury system is</w:t>
      </w:r>
      <w:r w:rsidRPr="00D050D2">
        <w:t xml:space="preserve"> an aspect of the “conduct of public affairs” within the meaning of </w:t>
      </w:r>
      <w:r>
        <w:t>th</w:t>
      </w:r>
      <w:r w:rsidR="00CC50FE">
        <w:t>e</w:t>
      </w:r>
      <w:r>
        <w:t xml:space="preserve"> article.</w:t>
      </w:r>
      <w:r w:rsidRPr="00D050D2">
        <w:t xml:space="preserve"> </w:t>
      </w:r>
      <w:r>
        <w:t>Consequently, the author</w:t>
      </w:r>
      <w:r w:rsidRPr="00D050D2">
        <w:t xml:space="preserve"> considers that the Sheriff’s refusal to permit steno-captioning </w:t>
      </w:r>
      <w:r w:rsidRPr="003C691A">
        <w:t>amounts</w:t>
      </w:r>
      <w:r w:rsidRPr="00D050D2">
        <w:t xml:space="preserve"> to</w:t>
      </w:r>
      <w:r>
        <w:t xml:space="preserve"> a violation of his right</w:t>
      </w:r>
      <w:r w:rsidR="00165373">
        <w:t>:</w:t>
      </w:r>
      <w:r w:rsidRPr="00D050D2">
        <w:t xml:space="preserve"> (a) to enjoy political rights</w:t>
      </w:r>
      <w:r>
        <w:t xml:space="preserve"> </w:t>
      </w:r>
      <w:r w:rsidRPr="00D050D2">
        <w:t>and the right to have access to public service on an equal basis with others; and (b) to non-discrimination in the enjoyment of his political rights.</w:t>
      </w:r>
    </w:p>
    <w:p w:rsidR="00EE7322" w:rsidRPr="00D050D2" w:rsidRDefault="003E3225" w:rsidP="003C691A">
      <w:pPr>
        <w:pStyle w:val="SingleTxtG"/>
      </w:pPr>
      <w:r>
        <w:t>3.</w:t>
      </w:r>
      <w:r w:rsidR="00DD30A0">
        <w:t>5</w:t>
      </w:r>
      <w:r>
        <w:tab/>
      </w:r>
      <w:r w:rsidR="00EE7322">
        <w:t xml:space="preserve">The author finally </w:t>
      </w:r>
      <w:r w:rsidR="00EE7322" w:rsidRPr="003C691A">
        <w:t>submits</w:t>
      </w:r>
      <w:r w:rsidR="00EE7322">
        <w:t xml:space="preserve"> that his rights under articles 5</w:t>
      </w:r>
      <w:r w:rsidR="00165373">
        <w:t>,</w:t>
      </w:r>
      <w:r w:rsidR="00EE7322">
        <w:t xml:space="preserve"> 9</w:t>
      </w:r>
      <w:r w:rsidR="00165373">
        <w:t>,</w:t>
      </w:r>
      <w:r w:rsidR="00EE7322">
        <w:t xml:space="preserve"> 12</w:t>
      </w:r>
      <w:r w:rsidR="00165373">
        <w:t>,</w:t>
      </w:r>
      <w:r w:rsidR="00EE7322">
        <w:t xml:space="preserve"> 13</w:t>
      </w:r>
      <w:r w:rsidR="00165373">
        <w:t>,</w:t>
      </w:r>
      <w:r w:rsidR="00EE7322">
        <w:t xml:space="preserve"> 21 and 29 have been violated as a consequence of the State party’s failure to observe its obligations under the respective articles, read alone and in conjunction with articles 2 and 4</w:t>
      </w:r>
      <w:r w:rsidR="00165373">
        <w:t xml:space="preserve"> </w:t>
      </w:r>
      <w:r w:rsidR="00EE7322">
        <w:t xml:space="preserve">of the Convention. </w:t>
      </w:r>
    </w:p>
    <w:p w:rsidR="00EE7322" w:rsidRPr="00FF4E8A" w:rsidRDefault="00EE7322" w:rsidP="003C691A">
      <w:pPr>
        <w:pStyle w:val="H23G"/>
      </w:pPr>
      <w:r w:rsidRPr="00FF4E8A">
        <w:tab/>
      </w:r>
      <w:r w:rsidRPr="00FF4E8A">
        <w:tab/>
        <w:t xml:space="preserve">State party’s </w:t>
      </w:r>
      <w:r w:rsidRPr="003C691A">
        <w:t>observations</w:t>
      </w:r>
      <w:r w:rsidRPr="00FF4E8A">
        <w:t xml:space="preserve"> on the admissibility and merits</w:t>
      </w:r>
    </w:p>
    <w:p w:rsidR="00EE7322" w:rsidRDefault="00EE7322" w:rsidP="00CC50FE">
      <w:pPr>
        <w:pStyle w:val="SingleTxtG"/>
      </w:pPr>
      <w:r w:rsidRPr="00FF4E8A">
        <w:rPr>
          <w:w w:val="103"/>
        </w:rPr>
        <w:t>4.1</w:t>
      </w:r>
      <w:r w:rsidRPr="00FF4E8A">
        <w:rPr>
          <w:w w:val="103"/>
        </w:rPr>
        <w:tab/>
        <w:t xml:space="preserve">On </w:t>
      </w:r>
      <w:r>
        <w:rPr>
          <w:w w:val="103"/>
        </w:rPr>
        <w:t xml:space="preserve">28 November </w:t>
      </w:r>
      <w:r w:rsidRPr="008413CC">
        <w:t>2014</w:t>
      </w:r>
      <w:r w:rsidRPr="00FF4E8A">
        <w:rPr>
          <w:w w:val="103"/>
        </w:rPr>
        <w:t>, t</w:t>
      </w:r>
      <w:r w:rsidRPr="00FF4E8A">
        <w:t xml:space="preserve">he State party submitted its observations on the admissibility and merits of the </w:t>
      </w:r>
      <w:r>
        <w:t xml:space="preserve">present </w:t>
      </w:r>
      <w:r w:rsidRPr="00FF4E8A">
        <w:t>communication</w:t>
      </w:r>
      <w:r>
        <w:t>, as well as with respect to communication No.</w:t>
      </w:r>
      <w:r w:rsidR="000250D0">
        <w:t> </w:t>
      </w:r>
      <w:r>
        <w:t>11/</w:t>
      </w:r>
      <w:r w:rsidRPr="003C691A">
        <w:t>2013</w:t>
      </w:r>
      <w:r w:rsidRPr="00FF4E8A">
        <w:rPr>
          <w:w w:val="103"/>
        </w:rPr>
        <w:t xml:space="preserve">. </w:t>
      </w:r>
      <w:r>
        <w:rPr>
          <w:w w:val="103"/>
        </w:rPr>
        <w:t xml:space="preserve">The State party accepts the general facts as stated by the author, but rejects the </w:t>
      </w:r>
      <w:r w:rsidRPr="008747E0">
        <w:t>author</w:t>
      </w:r>
      <w:r>
        <w:t>’</w:t>
      </w:r>
      <w:r w:rsidRPr="008747E0">
        <w:t>s characteri</w:t>
      </w:r>
      <w:r w:rsidR="00165373">
        <w:t>z</w:t>
      </w:r>
      <w:r w:rsidRPr="008747E0">
        <w:t>ation of the Sheriff</w:t>
      </w:r>
      <w:r>
        <w:t>’s actions</w:t>
      </w:r>
      <w:r w:rsidRPr="008747E0">
        <w:t xml:space="preserve"> and of the policy of the State of </w:t>
      </w:r>
      <w:r w:rsidR="003016BC">
        <w:t xml:space="preserve">New South Wales </w:t>
      </w:r>
      <w:r w:rsidRPr="008747E0">
        <w:t>with respect to deaf jurors. In particular</w:t>
      </w:r>
      <w:r>
        <w:t xml:space="preserve">, it submits that the </w:t>
      </w:r>
      <w:r w:rsidRPr="008747E0">
        <w:t xml:space="preserve">Government </w:t>
      </w:r>
      <w:r w:rsidR="00CC50FE">
        <w:t xml:space="preserve">of New South Wales </w:t>
      </w:r>
      <w:r w:rsidRPr="008747E0">
        <w:t>provides reasonable accommodation for many people with disabilities who have been summoned to perform jury duty</w:t>
      </w:r>
      <w:r>
        <w:t>, such as</w:t>
      </w:r>
      <w:r w:rsidRPr="008747E0">
        <w:t xml:space="preserve"> hearing loops and infrared technology. </w:t>
      </w:r>
      <w:r>
        <w:t>In addition, t</w:t>
      </w:r>
      <w:r w:rsidRPr="008747E0">
        <w:t xml:space="preserve">he broader policy </w:t>
      </w:r>
      <w:r w:rsidR="00CC50FE">
        <w:t xml:space="preserve">of the </w:t>
      </w:r>
      <w:r w:rsidR="00CC50FE" w:rsidRPr="008747E0">
        <w:t xml:space="preserve">Government </w:t>
      </w:r>
      <w:r w:rsidR="00CC50FE">
        <w:t xml:space="preserve">of New South Wales </w:t>
      </w:r>
      <w:r w:rsidRPr="008747E0">
        <w:t xml:space="preserve">on </w:t>
      </w:r>
      <w:r w:rsidR="00CC50FE">
        <w:t xml:space="preserve">the </w:t>
      </w:r>
      <w:r>
        <w:t xml:space="preserve">increased </w:t>
      </w:r>
      <w:r w:rsidRPr="008747E0">
        <w:t xml:space="preserve">participation of persons with disabilities is outlined in its </w:t>
      </w:r>
      <w:r w:rsidR="00165373">
        <w:t>10-</w:t>
      </w:r>
      <w:r w:rsidRPr="008747E0">
        <w:t>year plan for the State</w:t>
      </w:r>
      <w:r>
        <w:t xml:space="preserve"> under goal 14</w:t>
      </w:r>
      <w:r w:rsidRPr="008747E0">
        <w:t>.</w:t>
      </w:r>
      <w:r w:rsidR="008413CC">
        <w:rPr>
          <w:rStyle w:val="FootnoteReference"/>
        </w:rPr>
        <w:footnoteReference w:id="12"/>
      </w:r>
      <w:r>
        <w:t xml:space="preserve"> In th</w:t>
      </w:r>
      <w:r w:rsidR="00165373">
        <w:t>at</w:t>
      </w:r>
      <w:r>
        <w:t xml:space="preserve"> connection, the State party notes that</w:t>
      </w:r>
      <w:r w:rsidR="00165373">
        <w:t>,</w:t>
      </w:r>
      <w:r w:rsidRPr="008747E0">
        <w:t xml:space="preserve"> following the </w:t>
      </w:r>
      <w:r w:rsidR="00165373">
        <w:t>r</w:t>
      </w:r>
      <w:r w:rsidRPr="008747E0">
        <w:t>esponse</w:t>
      </w:r>
      <w:r w:rsidR="00CC50FE">
        <w:t xml:space="preserve"> of the </w:t>
      </w:r>
      <w:r w:rsidR="00CC50FE" w:rsidRPr="008747E0">
        <w:t xml:space="preserve">Government </w:t>
      </w:r>
      <w:r w:rsidR="00CC50FE">
        <w:t>of New South Wales</w:t>
      </w:r>
      <w:r w:rsidRPr="008747E0">
        <w:t xml:space="preserve"> to the </w:t>
      </w:r>
      <w:r w:rsidR="00CC50FE">
        <w:t>r</w:t>
      </w:r>
      <w:r>
        <w:t>eport</w:t>
      </w:r>
      <w:r w:rsidR="00165373">
        <w:t xml:space="preserve"> of the </w:t>
      </w:r>
      <w:r w:rsidR="00CC50FE">
        <w:t>Law Reform</w:t>
      </w:r>
      <w:r w:rsidR="00165373">
        <w:t xml:space="preserve"> Commission</w:t>
      </w:r>
      <w:r w:rsidR="00CC50FE">
        <w:t xml:space="preserve"> in 2010</w:t>
      </w:r>
      <w:r w:rsidRPr="008747E0">
        <w:t>,</w:t>
      </w:r>
      <w:r>
        <w:t xml:space="preserve"> </w:t>
      </w:r>
      <w:r w:rsidRPr="008747E0">
        <w:t xml:space="preserve">the Department of Justice </w:t>
      </w:r>
      <w:r w:rsidR="00CC50FE">
        <w:t xml:space="preserve">of New South Wales </w:t>
      </w:r>
      <w:r w:rsidRPr="008747E0">
        <w:t xml:space="preserve">will undertake a review to consider reform opportunities, including </w:t>
      </w:r>
      <w:r>
        <w:t xml:space="preserve">with regard to </w:t>
      </w:r>
      <w:r w:rsidR="00CC50FE">
        <w:t xml:space="preserve">the </w:t>
      </w:r>
      <w:r>
        <w:t xml:space="preserve">possibility </w:t>
      </w:r>
      <w:r w:rsidR="00CC50FE">
        <w:t xml:space="preserve">of </w:t>
      </w:r>
      <w:r>
        <w:t>provid</w:t>
      </w:r>
      <w:r w:rsidR="00CC50FE">
        <w:t>ing</w:t>
      </w:r>
      <w:r>
        <w:t xml:space="preserve"> </w:t>
      </w:r>
      <w:r w:rsidRPr="008747E0">
        <w:t>steno</w:t>
      </w:r>
      <w:r w:rsidRPr="008747E0">
        <w:noBreakHyphen/>
        <w:t>captioning.</w:t>
      </w:r>
      <w:r>
        <w:t xml:space="preserve"> It also notes that t</w:t>
      </w:r>
      <w:r w:rsidRPr="008747E0">
        <w:t xml:space="preserve">he </w:t>
      </w:r>
      <w:r w:rsidRPr="00F577BA">
        <w:rPr>
          <w:iCs/>
        </w:rPr>
        <w:t>Jury</w:t>
      </w:r>
      <w:r w:rsidR="001706F1" w:rsidRPr="00F577BA">
        <w:rPr>
          <w:iCs/>
        </w:rPr>
        <w:t xml:space="preserve"> </w:t>
      </w:r>
      <w:r w:rsidRPr="00F577BA">
        <w:rPr>
          <w:iCs/>
        </w:rPr>
        <w:t>Amendment</w:t>
      </w:r>
      <w:r w:rsidR="001706F1" w:rsidRPr="00F577BA">
        <w:rPr>
          <w:iCs/>
        </w:rPr>
        <w:t xml:space="preserve"> </w:t>
      </w:r>
      <w:r w:rsidRPr="00F577BA">
        <w:rPr>
          <w:iCs/>
        </w:rPr>
        <w:t>Act</w:t>
      </w:r>
      <w:r w:rsidR="001706F1" w:rsidRPr="00F577BA">
        <w:rPr>
          <w:iCs/>
        </w:rPr>
        <w:t xml:space="preserve"> </w:t>
      </w:r>
      <w:r w:rsidRPr="00F577BA">
        <w:rPr>
          <w:iCs/>
        </w:rPr>
        <w:t>2010</w:t>
      </w:r>
      <w:r w:rsidR="001706F1">
        <w:rPr>
          <w:i/>
        </w:rPr>
        <w:t xml:space="preserve"> </w:t>
      </w:r>
      <w:r w:rsidRPr="008747E0">
        <w:t>(</w:t>
      </w:r>
      <w:r w:rsidR="003016BC">
        <w:t>New South Wales</w:t>
      </w:r>
      <w:r w:rsidRPr="008747E0">
        <w:t>)</w:t>
      </w:r>
      <w:r>
        <w:t>, which entered into force on 31 January 2014, amended</w:t>
      </w:r>
      <w:r w:rsidRPr="008747E0">
        <w:t xml:space="preserve"> the </w:t>
      </w:r>
      <w:r w:rsidRPr="00F577BA">
        <w:rPr>
          <w:iCs/>
        </w:rPr>
        <w:t>Jury</w:t>
      </w:r>
      <w:r w:rsidR="001706F1" w:rsidRPr="00F577BA">
        <w:rPr>
          <w:iCs/>
        </w:rPr>
        <w:t xml:space="preserve"> </w:t>
      </w:r>
      <w:r w:rsidRPr="00F577BA">
        <w:rPr>
          <w:iCs/>
        </w:rPr>
        <w:t>Act</w:t>
      </w:r>
      <w:r w:rsidR="001706F1" w:rsidRPr="00F577BA">
        <w:rPr>
          <w:iCs/>
        </w:rPr>
        <w:t xml:space="preserve"> </w:t>
      </w:r>
      <w:r w:rsidRPr="00F577BA">
        <w:rPr>
          <w:iCs/>
        </w:rPr>
        <w:t>1977</w:t>
      </w:r>
      <w:r w:rsidR="001706F1">
        <w:rPr>
          <w:i/>
        </w:rPr>
        <w:t xml:space="preserve"> </w:t>
      </w:r>
      <w:r w:rsidRPr="008747E0">
        <w:t>(</w:t>
      </w:r>
      <w:r w:rsidR="003016BC">
        <w:t>New South Wales</w:t>
      </w:r>
      <w:r w:rsidRPr="008747E0">
        <w:t>)</w:t>
      </w:r>
      <w:r>
        <w:t xml:space="preserve"> replacing ineligibility for jury duty with</w:t>
      </w:r>
      <w:r w:rsidR="00CC50FE">
        <w:t xml:space="preserve"> the</w:t>
      </w:r>
      <w:r>
        <w:t xml:space="preserve"> capacity to be exempted for good cause. Under the amendment, a</w:t>
      </w:r>
      <w:r w:rsidRPr="008747E0">
        <w:t xml:space="preserve"> person who is unable, because of sickness, infirmity or disability, to discharge the duties of a juror will be eligible for </w:t>
      </w:r>
      <w:r w:rsidRPr="001E75FA">
        <w:t>a permanent exemption</w:t>
      </w:r>
      <w:r w:rsidRPr="008747E0">
        <w:t xml:space="preserve"> or exemption for </w:t>
      </w:r>
      <w:r w:rsidR="00CC50FE">
        <w:t>“</w:t>
      </w:r>
      <w:r w:rsidRPr="008747E0">
        <w:t>good cause</w:t>
      </w:r>
      <w:r w:rsidR="00CC50FE">
        <w:t>”,</w:t>
      </w:r>
      <w:r w:rsidRPr="008747E0">
        <w:t xml:space="preserve"> depending on the nature of the sickness, infirmity or disability.</w:t>
      </w:r>
      <w:r w:rsidR="008413CC">
        <w:rPr>
          <w:rStyle w:val="FootnoteReference"/>
        </w:rPr>
        <w:footnoteReference w:id="13"/>
      </w:r>
      <w:r>
        <w:t xml:space="preserve"> </w:t>
      </w:r>
      <w:bookmarkStart w:id="1" w:name="_Toc404670230"/>
    </w:p>
    <w:p w:rsidR="00EE7322" w:rsidRPr="0058463C" w:rsidRDefault="00EE7322" w:rsidP="00800877">
      <w:pPr>
        <w:pStyle w:val="SingleTxtG"/>
      </w:pPr>
      <w:r w:rsidRPr="00E10F50">
        <w:t>4.</w:t>
      </w:r>
      <w:r>
        <w:t>2</w:t>
      </w:r>
      <w:r w:rsidR="008413CC">
        <w:tab/>
      </w:r>
      <w:r w:rsidRPr="00E10F50">
        <w:t>The State party further submits that the author has failed to exhaust all available domestic remedies</w:t>
      </w:r>
      <w:bookmarkEnd w:id="1"/>
      <w:r>
        <w:t xml:space="preserve"> as</w:t>
      </w:r>
      <w:r w:rsidR="00165373">
        <w:t>,</w:t>
      </w:r>
      <w:r>
        <w:t xml:space="preserve"> after the</w:t>
      </w:r>
      <w:r w:rsidRPr="008747E0">
        <w:t xml:space="preserve"> complaint process </w:t>
      </w:r>
      <w:r>
        <w:t>before</w:t>
      </w:r>
      <w:r w:rsidRPr="008747E0">
        <w:t xml:space="preserve"> the </w:t>
      </w:r>
      <w:r w:rsidR="009A26BA" w:rsidRPr="006E4197">
        <w:t>Australian Human Rights Commission</w:t>
      </w:r>
      <w:r w:rsidR="00165373">
        <w:t>,</w:t>
      </w:r>
      <w:r w:rsidR="009A26BA" w:rsidRPr="006E4197">
        <w:t xml:space="preserve"> </w:t>
      </w:r>
      <w:r>
        <w:t>he could</w:t>
      </w:r>
      <w:r w:rsidRPr="008747E0">
        <w:t xml:space="preserve"> </w:t>
      </w:r>
      <w:r>
        <w:t xml:space="preserve">have made </w:t>
      </w:r>
      <w:r w:rsidRPr="008747E0">
        <w:t>an application to the Federal Court of Australia or the Federal Circuit Court within 60 days.</w:t>
      </w:r>
      <w:r w:rsidR="008413CC">
        <w:rPr>
          <w:rStyle w:val="FootnoteReference"/>
        </w:rPr>
        <w:footnoteReference w:id="14"/>
      </w:r>
      <w:r w:rsidR="00135D07">
        <w:t xml:space="preserve"> </w:t>
      </w:r>
      <w:r>
        <w:t>The author could have brought</w:t>
      </w:r>
      <w:r w:rsidRPr="008747E0">
        <w:t xml:space="preserve"> a complaint </w:t>
      </w:r>
      <w:r>
        <w:t xml:space="preserve">under </w:t>
      </w:r>
      <w:r>
        <w:lastRenderedPageBreak/>
        <w:t xml:space="preserve">the </w:t>
      </w:r>
      <w:r w:rsidR="009A26BA" w:rsidRPr="00B714B4">
        <w:rPr>
          <w:iCs/>
        </w:rPr>
        <w:t>Disability Discrimination Act</w:t>
      </w:r>
      <w:r w:rsidR="009A26BA" w:rsidRPr="006E4197">
        <w:rPr>
          <w:i/>
        </w:rPr>
        <w:t xml:space="preserve"> </w:t>
      </w:r>
      <w:r>
        <w:t xml:space="preserve">or </w:t>
      </w:r>
      <w:r w:rsidR="00A914A2">
        <w:t xml:space="preserve">the </w:t>
      </w:r>
      <w:r w:rsidR="00A914A2" w:rsidRPr="004D0DD0">
        <w:rPr>
          <w:iCs/>
        </w:rPr>
        <w:t>Anti-Discrimination Act</w:t>
      </w:r>
      <w:r>
        <w:t>, which he did not</w:t>
      </w:r>
      <w:r w:rsidRPr="008747E0">
        <w:t>.</w:t>
      </w:r>
      <w:r>
        <w:t xml:space="preserve"> As to the author’s</w:t>
      </w:r>
      <w:r w:rsidRPr="008747E0">
        <w:t xml:space="preserve"> </w:t>
      </w:r>
      <w:r>
        <w:t>submission</w:t>
      </w:r>
      <w:r w:rsidRPr="008747E0">
        <w:t xml:space="preserve"> </w:t>
      </w:r>
      <w:r>
        <w:t>concerning</w:t>
      </w:r>
      <w:r w:rsidRPr="008747E0">
        <w:t xml:space="preserve"> the legal and financial risks</w:t>
      </w:r>
      <w:r>
        <w:t>,</w:t>
      </w:r>
      <w:r w:rsidRPr="008747E0">
        <w:t xml:space="preserve"> </w:t>
      </w:r>
      <w:r>
        <w:t>the State party refers to</w:t>
      </w:r>
      <w:r w:rsidRPr="008747E0">
        <w:t xml:space="preserve"> the </w:t>
      </w:r>
      <w:r>
        <w:t>conclusions</w:t>
      </w:r>
      <w:r w:rsidRPr="008747E0">
        <w:t xml:space="preserve"> of the Human Rights Committee</w:t>
      </w:r>
      <w:r>
        <w:t xml:space="preserve"> that an author is required to “</w:t>
      </w:r>
      <w:r w:rsidRPr="008747E0">
        <w:t xml:space="preserve">make use of all judicial or </w:t>
      </w:r>
      <w:r w:rsidRPr="003C691A">
        <w:t>administrative</w:t>
      </w:r>
      <w:r w:rsidRPr="008747E0">
        <w:t xml:space="preserve"> avenues that offer him a reasonable prospect of red</w:t>
      </w:r>
      <w:r>
        <w:t>ress”.</w:t>
      </w:r>
      <w:r w:rsidR="001D323B">
        <w:rPr>
          <w:rStyle w:val="FootnoteReference"/>
        </w:rPr>
        <w:footnoteReference w:id="15"/>
      </w:r>
      <w:r w:rsidRPr="008747E0">
        <w:t xml:space="preserve"> The </w:t>
      </w:r>
      <w:r>
        <w:t>State party</w:t>
      </w:r>
      <w:r w:rsidRPr="008747E0">
        <w:t xml:space="preserve"> notes that article </w:t>
      </w:r>
      <w:r>
        <w:t>2</w:t>
      </w:r>
      <w:r w:rsidR="00165373">
        <w:t xml:space="preserve"> </w:t>
      </w:r>
      <w:r>
        <w:t xml:space="preserve">(d) of the Optional Protocol does not apply </w:t>
      </w:r>
      <w:r w:rsidRPr="008747E0">
        <w:t xml:space="preserve">where the </w:t>
      </w:r>
      <w:r>
        <w:t xml:space="preserve">referred domestic </w:t>
      </w:r>
      <w:r w:rsidRPr="008747E0">
        <w:t>remed</w:t>
      </w:r>
      <w:r>
        <w:t>y</w:t>
      </w:r>
      <w:r w:rsidRPr="008747E0">
        <w:t xml:space="preserve"> is unreasonably prolonged or unlikely to bring effective rel</w:t>
      </w:r>
      <w:r>
        <w:t>ief</w:t>
      </w:r>
      <w:r w:rsidR="00165373">
        <w:t>;</w:t>
      </w:r>
      <w:r>
        <w:t xml:space="preserve"> however</w:t>
      </w:r>
      <w:r w:rsidR="00165373">
        <w:t>,</w:t>
      </w:r>
      <w:r>
        <w:t xml:space="preserve"> </w:t>
      </w:r>
      <w:r w:rsidRPr="008747E0">
        <w:t xml:space="preserve">lack of financial means does not absolve </w:t>
      </w:r>
      <w:r>
        <w:t>the</w:t>
      </w:r>
      <w:r w:rsidRPr="008747E0">
        <w:t xml:space="preserve"> author </w:t>
      </w:r>
      <w:r>
        <w:t>from the requirement to</w:t>
      </w:r>
      <w:r w:rsidRPr="008747E0">
        <w:t xml:space="preserve"> exhaust all available domestic remedies.</w:t>
      </w:r>
      <w:r w:rsidR="001D323B">
        <w:rPr>
          <w:rStyle w:val="FootnoteReference"/>
        </w:rPr>
        <w:footnoteReference w:id="16"/>
      </w:r>
      <w:r w:rsidRPr="008747E0">
        <w:t xml:space="preserve"> </w:t>
      </w:r>
      <w:r>
        <w:t>The State party further highlights that i</w:t>
      </w:r>
      <w:r w:rsidRPr="0058463C">
        <w:t>n the Federal Court of Australia, a pa</w:t>
      </w:r>
      <w:r>
        <w:t xml:space="preserve">rty may apply to the Court for </w:t>
      </w:r>
      <w:r w:rsidRPr="0058463C">
        <w:t xml:space="preserve">an order specifying the maximum costs </w:t>
      </w:r>
      <w:r>
        <w:t>between the parties</w:t>
      </w:r>
      <w:r w:rsidRPr="0058463C">
        <w:t xml:space="preserve"> that may be recovered for the proceeding. </w:t>
      </w:r>
      <w:r>
        <w:t>T</w:t>
      </w:r>
      <w:r w:rsidRPr="0058463C">
        <w:t xml:space="preserve">he fee for filing an application following the </w:t>
      </w:r>
      <w:r>
        <w:t>proceedings</w:t>
      </w:r>
      <w:r w:rsidRPr="0058463C">
        <w:t xml:space="preserve"> </w:t>
      </w:r>
      <w:r>
        <w:t>before</w:t>
      </w:r>
      <w:r w:rsidRPr="0058463C">
        <w:t xml:space="preserve"> the </w:t>
      </w:r>
      <w:r w:rsidR="009A26BA" w:rsidRPr="006E4197">
        <w:t xml:space="preserve">Australian Human Rights Commission </w:t>
      </w:r>
      <w:r w:rsidRPr="0058463C">
        <w:t>is $</w:t>
      </w:r>
      <w:r>
        <w:t>55</w:t>
      </w:r>
      <w:r w:rsidRPr="0058463C">
        <w:t xml:space="preserve"> </w:t>
      </w:r>
      <w:r>
        <w:t>and t</w:t>
      </w:r>
      <w:r w:rsidRPr="0058463C">
        <w:t>he Federal Circuit Court may also specify the maximum costs that may be recovered.</w:t>
      </w:r>
      <w:r w:rsidR="001D323B">
        <w:rPr>
          <w:rStyle w:val="FootnoteReference"/>
        </w:rPr>
        <w:footnoteReference w:id="17"/>
      </w:r>
    </w:p>
    <w:p w:rsidR="00EE7322" w:rsidRPr="008747E0" w:rsidRDefault="00EE7322" w:rsidP="003C691A">
      <w:pPr>
        <w:pStyle w:val="SingleTxtG"/>
      </w:pPr>
      <w:r>
        <w:t>4.3</w:t>
      </w:r>
      <w:r w:rsidR="008413CC">
        <w:tab/>
      </w:r>
      <w:r>
        <w:t>The State party maintains that the author’s claims under articles 2</w:t>
      </w:r>
      <w:r w:rsidR="0095085B">
        <w:t>,</w:t>
      </w:r>
      <w:r>
        <w:t xml:space="preserve"> 4</w:t>
      </w:r>
      <w:r w:rsidR="0095085B">
        <w:t>,</w:t>
      </w:r>
      <w:r>
        <w:t xml:space="preserve"> 5 and 9 of the Convention are inadmissible </w:t>
      </w:r>
      <w:r w:rsidRPr="003C691A">
        <w:t>pursuant</w:t>
      </w:r>
      <w:r>
        <w:t xml:space="preserve"> to article 2</w:t>
      </w:r>
      <w:r w:rsidR="0095085B">
        <w:t xml:space="preserve"> </w:t>
      </w:r>
      <w:r>
        <w:t>(e) of the</w:t>
      </w:r>
      <w:r w:rsidRPr="008747E0">
        <w:t xml:space="preserve"> Optional Protocol</w:t>
      </w:r>
      <w:r>
        <w:t xml:space="preserve"> for lack of substantiation. It notes that</w:t>
      </w:r>
      <w:r w:rsidR="0095085B">
        <w:t>,</w:t>
      </w:r>
      <w:r>
        <w:t xml:space="preserve"> according to the</w:t>
      </w:r>
      <w:r w:rsidRPr="008747E0">
        <w:t xml:space="preserve"> Human Rights Committee</w:t>
      </w:r>
      <w:r>
        <w:t>’s jurisprudence</w:t>
      </w:r>
      <w:r w:rsidR="0095085B">
        <w:t>,</w:t>
      </w:r>
      <w:r>
        <w:t xml:space="preserve"> an author must substantiate all his</w:t>
      </w:r>
      <w:r w:rsidR="0095085B">
        <w:t xml:space="preserve"> or </w:t>
      </w:r>
      <w:r>
        <w:t>her allegations</w:t>
      </w:r>
      <w:r w:rsidRPr="008747E0">
        <w:t>.</w:t>
      </w:r>
      <w:r w:rsidR="001D323B">
        <w:rPr>
          <w:rStyle w:val="FootnoteReference"/>
        </w:rPr>
        <w:footnoteReference w:id="18"/>
      </w:r>
      <w:r>
        <w:t xml:space="preserve"> The State party submits that the author </w:t>
      </w:r>
      <w:r w:rsidRPr="008747E0">
        <w:t xml:space="preserve">has not provided any evidence or </w:t>
      </w:r>
      <w:r w:rsidRPr="003C691A">
        <w:t>substantiation</w:t>
      </w:r>
      <w:r>
        <w:t xml:space="preserve"> of his claims under </w:t>
      </w:r>
      <w:r w:rsidRPr="008747E0">
        <w:t>article</w:t>
      </w:r>
      <w:r>
        <w:t>s 2</w:t>
      </w:r>
      <w:r w:rsidR="0095085B">
        <w:t>,</w:t>
      </w:r>
      <w:r>
        <w:t xml:space="preserve"> 4 and 9 of the Convention</w:t>
      </w:r>
      <w:r w:rsidRPr="008747E0">
        <w:t>.</w:t>
      </w:r>
      <w:r>
        <w:t xml:space="preserve"> </w:t>
      </w:r>
    </w:p>
    <w:p w:rsidR="00EE7322" w:rsidRPr="00606D3A" w:rsidRDefault="008C397E" w:rsidP="00720699">
      <w:pPr>
        <w:pStyle w:val="SingleTxtG"/>
      </w:pPr>
      <w:r>
        <w:t>4.4</w:t>
      </w:r>
      <w:r>
        <w:tab/>
      </w:r>
      <w:r w:rsidR="00EE7322" w:rsidRPr="00606D3A">
        <w:t xml:space="preserve">As to the merits of the author’s claim under article 12 of the Convention, the State party considers that the performance of jury duty does not fall within </w:t>
      </w:r>
      <w:r w:rsidR="00500205">
        <w:t>the</w:t>
      </w:r>
      <w:r w:rsidR="00500205" w:rsidRPr="00606D3A">
        <w:t xml:space="preserve"> </w:t>
      </w:r>
      <w:r w:rsidR="00EE7322" w:rsidRPr="00606D3A">
        <w:t>scope</w:t>
      </w:r>
      <w:r w:rsidR="00500205">
        <w:t xml:space="preserve"> of this article</w:t>
      </w:r>
      <w:r w:rsidR="00EE7322" w:rsidRPr="00606D3A">
        <w:t xml:space="preserve">. </w:t>
      </w:r>
      <w:r w:rsidR="00500205">
        <w:t xml:space="preserve">In this connection, the State party </w:t>
      </w:r>
      <w:r w:rsidR="00EE7322" w:rsidRPr="00606D3A">
        <w:t>submits that the obligations contained in article 12 do not establish new rights</w:t>
      </w:r>
      <w:r>
        <w:rPr>
          <w:rStyle w:val="FootnoteReference"/>
        </w:rPr>
        <w:footnoteReference w:id="19"/>
      </w:r>
      <w:r w:rsidR="00EE7322" w:rsidRPr="00606D3A">
        <w:t xml:space="preserve"> and that this assertion is supported by the </w:t>
      </w:r>
      <w:r w:rsidR="00EE7322" w:rsidRPr="00F577BA">
        <w:rPr>
          <w:i/>
          <w:iCs/>
        </w:rPr>
        <w:t>travaux pr</w:t>
      </w:r>
      <w:r w:rsidR="00263A88" w:rsidRPr="00F577BA">
        <w:rPr>
          <w:i/>
          <w:iCs/>
        </w:rPr>
        <w:t>é</w:t>
      </w:r>
      <w:r w:rsidR="00EE7322" w:rsidRPr="00F577BA">
        <w:rPr>
          <w:i/>
          <w:iCs/>
        </w:rPr>
        <w:t>paratoires</w:t>
      </w:r>
      <w:r w:rsidR="00EE7322" w:rsidRPr="00606D3A">
        <w:t xml:space="preserve"> </w:t>
      </w:r>
      <w:r w:rsidR="00D333E8">
        <w:t>of</w:t>
      </w:r>
      <w:r w:rsidR="00D333E8" w:rsidRPr="00606D3A">
        <w:t xml:space="preserve"> </w:t>
      </w:r>
      <w:r w:rsidR="00EE7322" w:rsidRPr="00606D3A">
        <w:t>the Convention.</w:t>
      </w:r>
      <w:r w:rsidR="00135D07">
        <w:t xml:space="preserve"> </w:t>
      </w:r>
      <w:r w:rsidR="00EE7322" w:rsidRPr="00606D3A">
        <w:t xml:space="preserve">The State party further considers that the author does not provide evidence of an ongoing policy in the State party preventing deaf individuals </w:t>
      </w:r>
      <w:r w:rsidR="00D333E8">
        <w:t>from</w:t>
      </w:r>
      <w:r w:rsidR="00D333E8" w:rsidRPr="00606D3A">
        <w:t xml:space="preserve"> </w:t>
      </w:r>
      <w:r w:rsidR="00EE7322" w:rsidRPr="00606D3A">
        <w:t>serv</w:t>
      </w:r>
      <w:r w:rsidR="00D333E8">
        <w:t>ing</w:t>
      </w:r>
      <w:r w:rsidR="00EE7322" w:rsidRPr="00606D3A">
        <w:t xml:space="preserve"> as jurors and reiterates that the Government </w:t>
      </w:r>
      <w:r w:rsidR="00D333E8">
        <w:t xml:space="preserve">of New South Wales </w:t>
      </w:r>
      <w:r w:rsidR="00EE7322" w:rsidRPr="00606D3A">
        <w:t>will continue to monitor developments in disability aids, technologies and interpreter services, and review current policies to promote greater jury participation of people with hearing and sight impairment</w:t>
      </w:r>
      <w:r w:rsidR="00D333E8">
        <w:t>s</w:t>
      </w:r>
      <w:r w:rsidR="00EE7322" w:rsidRPr="00606D3A">
        <w:t>.</w:t>
      </w:r>
      <w:r>
        <w:rPr>
          <w:rStyle w:val="FootnoteReference"/>
        </w:rPr>
        <w:footnoteReference w:id="20"/>
      </w:r>
      <w:r w:rsidR="00EE7322" w:rsidRPr="00606D3A">
        <w:t xml:space="preserve"> The State party further notes that article 12</w:t>
      </w:r>
      <w:r w:rsidR="0095085B">
        <w:t xml:space="preserve"> </w:t>
      </w:r>
      <w:r w:rsidR="00EE7322" w:rsidRPr="00606D3A">
        <w:t xml:space="preserve">(2) of the Convention concerns the recognition of legal capacity on an equal basis with others, but does not encompass all concepts of capacity or ability. It does not refer to the ability to perform an activity i.e. </w:t>
      </w:r>
      <w:r w:rsidR="00D333E8">
        <w:t xml:space="preserve">the </w:t>
      </w:r>
      <w:r w:rsidR="00EE7322" w:rsidRPr="00606D3A">
        <w:t>performance of jury duty, but rather to the capacity to engage in acts with legal ramifications.</w:t>
      </w:r>
      <w:r>
        <w:rPr>
          <w:rStyle w:val="FootnoteReference"/>
        </w:rPr>
        <w:footnoteReference w:id="21"/>
      </w:r>
      <w:r w:rsidR="00EE7322" w:rsidRPr="00606D3A">
        <w:t xml:space="preserve"> According to the State party, article 12</w:t>
      </w:r>
      <w:r w:rsidR="0095085B">
        <w:t xml:space="preserve"> </w:t>
      </w:r>
      <w:r w:rsidR="00EE7322" w:rsidRPr="00606D3A">
        <w:t>(5) enumerates the elements of legal personality and does not cover jury duty. Finally, as there was no consideration of the author’s ability to perform jury duty, the State party concludes that his case does not relate to issues of legal capacity and falls outside the scope of article 12 of the Convention.</w:t>
      </w:r>
    </w:p>
    <w:p w:rsidR="00EE7322" w:rsidRPr="008747E0" w:rsidRDefault="008C397E" w:rsidP="00D333E8">
      <w:pPr>
        <w:pStyle w:val="SingleTxtG"/>
      </w:pPr>
      <w:r>
        <w:lastRenderedPageBreak/>
        <w:t>4.5</w:t>
      </w:r>
      <w:r>
        <w:tab/>
      </w:r>
      <w:r w:rsidR="00EE7322">
        <w:t>As to the author’s claim under article 12</w:t>
      </w:r>
      <w:r w:rsidR="0095085B">
        <w:t xml:space="preserve"> </w:t>
      </w:r>
      <w:r w:rsidR="00EE7322">
        <w:t xml:space="preserve">(3) of the Convention that </w:t>
      </w:r>
      <w:r w:rsidR="00EE7322" w:rsidRPr="008747E0">
        <w:t xml:space="preserve">the Sheriff’s refusal </w:t>
      </w:r>
      <w:r w:rsidR="00EE7322">
        <w:t>violated</w:t>
      </w:r>
      <w:r w:rsidR="00EE7322" w:rsidRPr="008747E0">
        <w:t xml:space="preserve"> </w:t>
      </w:r>
      <w:r w:rsidR="00EE7322">
        <w:t>his</w:t>
      </w:r>
      <w:r w:rsidR="00EE7322" w:rsidRPr="008747E0">
        <w:t xml:space="preserve"> right to acc</w:t>
      </w:r>
      <w:r w:rsidR="00EE7322">
        <w:t>ess to the support he required, the State party reiterates</w:t>
      </w:r>
      <w:r w:rsidR="00EE7322" w:rsidRPr="008747E0">
        <w:t xml:space="preserve"> that jury duty is not a manifestation of legal capacity, </w:t>
      </w:r>
      <w:r w:rsidR="00EE7322">
        <w:t xml:space="preserve">and therefore that </w:t>
      </w:r>
      <w:r w:rsidR="00EE7322" w:rsidRPr="008747E0">
        <w:t xml:space="preserve">there is no obligation on the State </w:t>
      </w:r>
      <w:r w:rsidR="00EE7322">
        <w:t>to provide</w:t>
      </w:r>
      <w:r w:rsidR="00EE7322" w:rsidRPr="008747E0">
        <w:t xml:space="preserve"> support in th</w:t>
      </w:r>
      <w:r w:rsidR="0095085B">
        <w:t>at</w:t>
      </w:r>
      <w:r w:rsidR="00EE7322" w:rsidRPr="008747E0">
        <w:t xml:space="preserve"> regard. </w:t>
      </w:r>
      <w:r w:rsidR="00EE7322">
        <w:t>In the alternative, the State party considers that</w:t>
      </w:r>
      <w:r w:rsidR="00EE7322" w:rsidRPr="008747E0">
        <w:t xml:space="preserve"> article 12</w:t>
      </w:r>
      <w:r w:rsidR="0095085B">
        <w:t xml:space="preserve"> </w:t>
      </w:r>
      <w:r w:rsidR="00EE7322" w:rsidRPr="008747E0">
        <w:t xml:space="preserve">(3) </w:t>
      </w:r>
      <w:r w:rsidR="00EE7322">
        <w:t>defines</w:t>
      </w:r>
      <w:r w:rsidR="00EE7322" w:rsidRPr="008747E0">
        <w:t xml:space="preserve"> the scope of its oper</w:t>
      </w:r>
      <w:r w:rsidR="00EE7322">
        <w:t xml:space="preserve">ation, requiring States to take </w:t>
      </w:r>
      <w:r w:rsidR="00EE7322" w:rsidRPr="008747E0">
        <w:t>measures</w:t>
      </w:r>
      <w:r w:rsidR="00EE7322">
        <w:t xml:space="preserve"> that are “</w:t>
      </w:r>
      <w:r w:rsidR="00EE7322" w:rsidRPr="008747E0">
        <w:t>appropriate</w:t>
      </w:r>
      <w:r w:rsidR="00EE7322">
        <w:t>” considering</w:t>
      </w:r>
      <w:r w:rsidR="00EE7322" w:rsidRPr="008747E0">
        <w:t xml:space="preserve"> resource limitatio</w:t>
      </w:r>
      <w:r w:rsidR="00EE7322">
        <w:t xml:space="preserve">ns and their “proportionality” to the obligation </w:t>
      </w:r>
      <w:r w:rsidR="00EE7322" w:rsidRPr="008747E0">
        <w:t xml:space="preserve">to ensure </w:t>
      </w:r>
      <w:r w:rsidR="00EE7322">
        <w:t xml:space="preserve">that </w:t>
      </w:r>
      <w:r w:rsidR="00EE7322" w:rsidRPr="008747E0">
        <w:t xml:space="preserve">persons with disabilities are able to make their own decisions as </w:t>
      </w:r>
      <w:r w:rsidR="00D333E8">
        <w:t>far</w:t>
      </w:r>
      <w:r w:rsidR="00D333E8" w:rsidRPr="008747E0">
        <w:t xml:space="preserve"> </w:t>
      </w:r>
      <w:r w:rsidR="00EE7322" w:rsidRPr="008747E0">
        <w:t>as possible.</w:t>
      </w:r>
      <w:r>
        <w:rPr>
          <w:rStyle w:val="FootnoteReference"/>
        </w:rPr>
        <w:footnoteReference w:id="22"/>
      </w:r>
      <w:r w:rsidR="00EE7322">
        <w:t xml:space="preserve"> The State party reiterates that the State of </w:t>
      </w:r>
      <w:r w:rsidR="003016BC">
        <w:t xml:space="preserve">New South Wales </w:t>
      </w:r>
      <w:r w:rsidR="00EE7322">
        <w:t>already provides adjustments</w:t>
      </w:r>
      <w:r w:rsidR="00EE7322" w:rsidRPr="0082632A">
        <w:t xml:space="preserve"> </w:t>
      </w:r>
      <w:r w:rsidR="00EE7322" w:rsidRPr="008747E0">
        <w:t xml:space="preserve">to assist persons </w:t>
      </w:r>
      <w:r w:rsidR="00EE7322">
        <w:t>with</w:t>
      </w:r>
      <w:r w:rsidR="00EE7322" w:rsidRPr="008747E0">
        <w:t xml:space="preserve"> hearing </w:t>
      </w:r>
      <w:r w:rsidR="00EE7322">
        <w:t>impairment</w:t>
      </w:r>
      <w:r w:rsidR="00EE7322" w:rsidRPr="008747E0">
        <w:t xml:space="preserve"> </w:t>
      </w:r>
      <w:r w:rsidR="00EE7322">
        <w:t>to perform</w:t>
      </w:r>
      <w:r w:rsidR="00EE7322" w:rsidRPr="008747E0">
        <w:t xml:space="preserve"> jury duty.</w:t>
      </w:r>
      <w:r w:rsidR="00366F6B">
        <w:rPr>
          <w:rStyle w:val="FootnoteReference"/>
        </w:rPr>
        <w:footnoteReference w:id="23"/>
      </w:r>
      <w:r w:rsidR="00EE7322">
        <w:t xml:space="preserve"> </w:t>
      </w:r>
    </w:p>
    <w:p w:rsidR="00EE7322" w:rsidRPr="009D08E9" w:rsidRDefault="008C397E" w:rsidP="00720699">
      <w:pPr>
        <w:pStyle w:val="SingleTxtG"/>
      </w:pPr>
      <w:r>
        <w:t>4.6</w:t>
      </w:r>
      <w:r>
        <w:tab/>
      </w:r>
      <w:r w:rsidR="00EE7322">
        <w:t xml:space="preserve">As to the author’s claim under article 13 of the Convention, the State party </w:t>
      </w:r>
      <w:r w:rsidR="00EE7322" w:rsidRPr="008747E0">
        <w:t>sub</w:t>
      </w:r>
      <w:r w:rsidR="00EE7322">
        <w:t>mits that it falls outside the scope of th</w:t>
      </w:r>
      <w:r w:rsidR="00D333E8">
        <w:t>at</w:t>
      </w:r>
      <w:r w:rsidR="00EE7322">
        <w:t xml:space="preserve"> provision as “effective access to justice”</w:t>
      </w:r>
      <w:r w:rsidR="00EE7322" w:rsidRPr="008747E0">
        <w:t xml:space="preserve"> refers to the ability of </w:t>
      </w:r>
      <w:r w:rsidR="00EE7322">
        <w:t>persons with disabilit</w:t>
      </w:r>
      <w:r w:rsidR="00D333E8">
        <w:t>ies</w:t>
      </w:r>
      <w:r w:rsidR="00EE7322">
        <w:t xml:space="preserve"> to </w:t>
      </w:r>
      <w:r w:rsidR="00D333E8">
        <w:t xml:space="preserve">gain access to </w:t>
      </w:r>
      <w:r w:rsidR="00EE7322" w:rsidRPr="008747E0">
        <w:t xml:space="preserve">the justice system </w:t>
      </w:r>
      <w:r w:rsidR="00EE7322">
        <w:t>when</w:t>
      </w:r>
      <w:r w:rsidR="00EE7322" w:rsidRPr="008747E0">
        <w:t xml:space="preserve"> coming into contact with the law</w:t>
      </w:r>
      <w:r w:rsidR="00EE7322">
        <w:t>, but not</w:t>
      </w:r>
      <w:r w:rsidR="00EE7322" w:rsidRPr="008747E0">
        <w:t xml:space="preserve"> to participat</w:t>
      </w:r>
      <w:r w:rsidR="00EE7322">
        <w:t>e</w:t>
      </w:r>
      <w:r w:rsidR="00EE7322" w:rsidRPr="008747E0">
        <w:t xml:space="preserve"> in the different components of the justice system</w:t>
      </w:r>
      <w:r w:rsidR="00EE7322">
        <w:t>. The State party further submits that</w:t>
      </w:r>
      <w:r w:rsidR="0095085B">
        <w:t>,</w:t>
      </w:r>
      <w:r w:rsidR="00EE7322" w:rsidRPr="008747E0">
        <w:t xml:space="preserve"> </w:t>
      </w:r>
      <w:r w:rsidR="00EE7322">
        <w:t>according to the</w:t>
      </w:r>
      <w:r w:rsidR="00EE7322" w:rsidRPr="008747E0">
        <w:t xml:space="preserve"> </w:t>
      </w:r>
      <w:r w:rsidR="00EE7322" w:rsidRPr="00F577BA">
        <w:rPr>
          <w:i/>
          <w:iCs/>
        </w:rPr>
        <w:t>travaux préparatoires</w:t>
      </w:r>
      <w:r w:rsidR="00D333E8">
        <w:rPr>
          <w:i/>
          <w:iCs/>
        </w:rPr>
        <w:t xml:space="preserve"> </w:t>
      </w:r>
      <w:r w:rsidR="00D333E8">
        <w:t>for the Convention</w:t>
      </w:r>
      <w:r w:rsidR="00EE7322">
        <w:t xml:space="preserve">, </w:t>
      </w:r>
      <w:r w:rsidR="00EE7322" w:rsidRPr="008747E0">
        <w:t xml:space="preserve">jurors were not </w:t>
      </w:r>
      <w:r w:rsidR="00EE7322">
        <w:t>intended to be included in the categories of “</w:t>
      </w:r>
      <w:r w:rsidR="00EE7322" w:rsidRPr="008747E0">
        <w:t>direct</w:t>
      </w:r>
      <w:r w:rsidR="00EE7322">
        <w:t>” and “indirect” participants of article 13 as</w:t>
      </w:r>
      <w:r w:rsidR="00EE7322" w:rsidRPr="008747E0">
        <w:t xml:space="preserve"> </w:t>
      </w:r>
      <w:r w:rsidR="00EE7322">
        <w:t>th</w:t>
      </w:r>
      <w:r w:rsidR="00D333E8">
        <w:t>o</w:t>
      </w:r>
      <w:r w:rsidR="00EE7322">
        <w:t xml:space="preserve">se terms relate to </w:t>
      </w:r>
      <w:r w:rsidR="00EE7322" w:rsidRPr="008747E0">
        <w:t xml:space="preserve">participants </w:t>
      </w:r>
      <w:r w:rsidR="00EE7322">
        <w:t>who are</w:t>
      </w:r>
      <w:r w:rsidR="00EE7322" w:rsidRPr="008747E0">
        <w:t xml:space="preserve"> relevant to the substance and outcome of a case</w:t>
      </w:r>
      <w:r w:rsidR="00EE7322">
        <w:t>, such as the</w:t>
      </w:r>
      <w:r w:rsidR="00EE7322" w:rsidRPr="008747E0">
        <w:t xml:space="preserve"> parties </w:t>
      </w:r>
      <w:r w:rsidR="00EE7322">
        <w:t>or</w:t>
      </w:r>
      <w:r w:rsidR="00EE7322" w:rsidRPr="008747E0">
        <w:t xml:space="preserve"> witnesses</w:t>
      </w:r>
      <w:r w:rsidR="00EE7322">
        <w:t>.</w:t>
      </w:r>
      <w:r w:rsidR="00366F6B">
        <w:rPr>
          <w:rStyle w:val="FootnoteReference"/>
        </w:rPr>
        <w:footnoteReference w:id="24"/>
      </w:r>
      <w:r w:rsidR="00EE7322">
        <w:t xml:space="preserve"> It further </w:t>
      </w:r>
      <w:r w:rsidR="00EE7322" w:rsidRPr="008747E0">
        <w:t xml:space="preserve">submits that the </w:t>
      </w:r>
      <w:r w:rsidR="00EE7322">
        <w:t>“reasonable accommodation”</w:t>
      </w:r>
      <w:r w:rsidR="00EE7322" w:rsidRPr="008747E0">
        <w:t>’ standard does not apply to article 13</w:t>
      </w:r>
      <w:r w:rsidR="00EE7322">
        <w:t>. It notes that</w:t>
      </w:r>
      <w:r w:rsidR="0095085B">
        <w:t>,</w:t>
      </w:r>
      <w:r w:rsidR="00EE7322">
        <w:t xml:space="preserve"> a</w:t>
      </w:r>
      <w:r w:rsidR="00EE7322" w:rsidRPr="008747E0">
        <w:t>ccording to</w:t>
      </w:r>
      <w:r w:rsidR="00D333E8">
        <w:t xml:space="preserve"> article 31 of</w:t>
      </w:r>
      <w:r w:rsidR="00EE7322" w:rsidRPr="008747E0">
        <w:t xml:space="preserve"> the </w:t>
      </w:r>
      <w:r w:rsidR="00EE7322" w:rsidRPr="00F577BA">
        <w:rPr>
          <w:iCs/>
        </w:rPr>
        <w:t>Vienna Convention on the Law of Treaties</w:t>
      </w:r>
      <w:r w:rsidR="00EE7322" w:rsidRPr="008747E0">
        <w:t xml:space="preserve">, </w:t>
      </w:r>
      <w:r w:rsidR="00EE7322">
        <w:t xml:space="preserve">treaties are to be interpreted </w:t>
      </w:r>
      <w:r w:rsidR="00EE7322" w:rsidRPr="008747E0">
        <w:t xml:space="preserve">in accordance with the ordinary meaning </w:t>
      </w:r>
      <w:r w:rsidR="00EE7322">
        <w:t xml:space="preserve">of </w:t>
      </w:r>
      <w:r w:rsidR="00D333E8">
        <w:t>the</w:t>
      </w:r>
      <w:r w:rsidR="00D333E8" w:rsidRPr="008747E0">
        <w:t xml:space="preserve"> </w:t>
      </w:r>
      <w:r w:rsidR="00EE7322" w:rsidRPr="008747E0">
        <w:t>terms</w:t>
      </w:r>
      <w:r w:rsidR="00D333E8">
        <w:t xml:space="preserve"> of the treaty in question</w:t>
      </w:r>
      <w:r w:rsidR="00EE7322">
        <w:t xml:space="preserve"> and with</w:t>
      </w:r>
      <w:r w:rsidR="00EE7322" w:rsidRPr="008747E0">
        <w:t xml:space="preserve"> </w:t>
      </w:r>
      <w:r w:rsidR="00EE7322">
        <w:t>the</w:t>
      </w:r>
      <w:r w:rsidR="00EE7322" w:rsidRPr="008747E0">
        <w:t xml:space="preserve"> object and p</w:t>
      </w:r>
      <w:r w:rsidR="00EE7322">
        <w:t>urpose of the treaty</w:t>
      </w:r>
      <w:r w:rsidR="00EE7322" w:rsidRPr="008747E0">
        <w:t>.</w:t>
      </w:r>
      <w:r w:rsidR="00135D07">
        <w:t xml:space="preserve"> </w:t>
      </w:r>
      <w:r w:rsidR="00EE7322">
        <w:t>In th</w:t>
      </w:r>
      <w:r w:rsidR="0095085B">
        <w:t>at</w:t>
      </w:r>
      <w:r w:rsidR="00EE7322">
        <w:t xml:space="preserve"> connection, instead of referring to the term “reasonable accommodation”, article 13 refers to “</w:t>
      </w:r>
      <w:r w:rsidR="00EE7322" w:rsidRPr="008747E0">
        <w:t>including through the provision of procedural and</w:t>
      </w:r>
      <w:r w:rsidR="00EE7322">
        <w:t xml:space="preserve"> age-appropriate </w:t>
      </w:r>
      <w:r w:rsidR="00EE7322" w:rsidRPr="003C691A">
        <w:t>accommodations</w:t>
      </w:r>
      <w:r w:rsidR="00EE7322">
        <w:t>”. Furthermore, “p</w:t>
      </w:r>
      <w:r w:rsidR="00EE7322" w:rsidRPr="008747E0">
        <w:t>rocedural and</w:t>
      </w:r>
      <w:r w:rsidR="00EE7322">
        <w:t xml:space="preserve"> age-appropriate accommodations”, only refers to the accommodations that</w:t>
      </w:r>
      <w:r w:rsidR="00EE7322" w:rsidRPr="008747E0">
        <w:t xml:space="preserve"> are reasonable</w:t>
      </w:r>
      <w:r w:rsidR="00EE7322">
        <w:t xml:space="preserve"> in view of the relevant</w:t>
      </w:r>
      <w:r w:rsidR="00EE7322" w:rsidRPr="008747E0">
        <w:t xml:space="preserve"> procedure or age.</w:t>
      </w:r>
      <w:r w:rsidR="00366F6B">
        <w:rPr>
          <w:rStyle w:val="FootnoteReference"/>
        </w:rPr>
        <w:footnoteReference w:id="25"/>
      </w:r>
      <w:r w:rsidR="00EE7322">
        <w:t xml:space="preserve"> </w:t>
      </w:r>
    </w:p>
    <w:p w:rsidR="00EE7322" w:rsidRPr="008747E0" w:rsidRDefault="00EE7322" w:rsidP="00CB4343">
      <w:pPr>
        <w:pStyle w:val="SingleTxtG"/>
      </w:pPr>
      <w:bookmarkStart w:id="2" w:name="_Toc404670243"/>
      <w:r w:rsidRPr="00CF621E">
        <w:rPr>
          <w:lang w:val="en-AU"/>
        </w:rPr>
        <w:t>4.</w:t>
      </w:r>
      <w:r>
        <w:rPr>
          <w:lang w:val="en-AU"/>
        </w:rPr>
        <w:t>7</w:t>
      </w:r>
      <w:r w:rsidR="001E6EE0">
        <w:rPr>
          <w:lang w:val="en-AU"/>
        </w:rPr>
        <w:tab/>
      </w:r>
      <w:r w:rsidRPr="00CF621E">
        <w:rPr>
          <w:lang w:val="en-AU"/>
        </w:rPr>
        <w:t xml:space="preserve">As regards the author’s claim under </w:t>
      </w:r>
      <w:r w:rsidRPr="00CF621E">
        <w:t>article 21</w:t>
      </w:r>
      <w:bookmarkEnd w:id="2"/>
      <w:r w:rsidRPr="00CF621E">
        <w:t xml:space="preserve"> of the Convention, the State party agrees that steno-captioning is a form of communication. However, it submits that pursuant to article 21</w:t>
      </w:r>
      <w:r w:rsidR="0095085B">
        <w:t xml:space="preserve"> </w:t>
      </w:r>
      <w:r w:rsidRPr="00CF621E">
        <w:t>(b) of the Convention</w:t>
      </w:r>
      <w:r>
        <w:t>,</w:t>
      </w:r>
      <w:r w:rsidRPr="00CF621E">
        <w:t xml:space="preserve"> States </w:t>
      </w:r>
      <w:r w:rsidR="0095085B">
        <w:t>p</w:t>
      </w:r>
      <w:r w:rsidRPr="00CF621E">
        <w:t>arties</w:t>
      </w:r>
      <w:r>
        <w:t xml:space="preserve"> are required to</w:t>
      </w:r>
      <w:r w:rsidRPr="00CF621E">
        <w:t xml:space="preserve"> take all appropriate measures </w:t>
      </w:r>
      <w:r w:rsidRPr="008747E0">
        <w:t>in</w:t>
      </w:r>
      <w:r w:rsidR="0095085B">
        <w:t xml:space="preserve"> the</w:t>
      </w:r>
      <w:r w:rsidRPr="008747E0">
        <w:t xml:space="preserve"> light of </w:t>
      </w:r>
      <w:r w:rsidR="00D333E8">
        <w:t>their</w:t>
      </w:r>
      <w:r w:rsidR="00D333E8" w:rsidRPr="008747E0">
        <w:t xml:space="preserve"> </w:t>
      </w:r>
      <w:r w:rsidRPr="008747E0">
        <w:t>resource constraints</w:t>
      </w:r>
      <w:r>
        <w:t>, without</w:t>
      </w:r>
      <w:r w:rsidRPr="008747E0">
        <w:t xml:space="preserve"> creat</w:t>
      </w:r>
      <w:r>
        <w:t>ing</w:t>
      </w:r>
      <w:r w:rsidRPr="008747E0">
        <w:t xml:space="preserve"> an </w:t>
      </w:r>
      <w:r>
        <w:t>absolute obligation on States</w:t>
      </w:r>
      <w:r w:rsidRPr="008747E0">
        <w:t>.</w:t>
      </w:r>
      <w:r w:rsidR="00366F6B">
        <w:t xml:space="preserve"> </w:t>
      </w:r>
      <w:r>
        <w:t>It also submits</w:t>
      </w:r>
      <w:r w:rsidRPr="008747E0">
        <w:t xml:space="preserve"> that </w:t>
      </w:r>
      <w:r w:rsidR="00D333E8">
        <w:t>the</w:t>
      </w:r>
      <w:r w:rsidRPr="008747E0">
        <w:t xml:space="preserve"> obligation</w:t>
      </w:r>
      <w:r>
        <w:t>s</w:t>
      </w:r>
      <w:r w:rsidR="00D333E8">
        <w:t xml:space="preserve"> of State parties</w:t>
      </w:r>
      <w:r w:rsidRPr="008747E0">
        <w:t xml:space="preserve"> </w:t>
      </w:r>
      <w:r>
        <w:t>under</w:t>
      </w:r>
      <w:r w:rsidRPr="008747E0">
        <w:t xml:space="preserve"> article 21</w:t>
      </w:r>
      <w:r w:rsidR="0095085B">
        <w:t xml:space="preserve"> </w:t>
      </w:r>
      <w:r w:rsidRPr="008747E0">
        <w:t xml:space="preserve">(b) </w:t>
      </w:r>
      <w:r>
        <w:t>must</w:t>
      </w:r>
      <w:r w:rsidRPr="008747E0">
        <w:t xml:space="preserve"> be reali</w:t>
      </w:r>
      <w:r w:rsidR="0095085B">
        <w:t>z</w:t>
      </w:r>
      <w:r w:rsidRPr="008747E0">
        <w:t xml:space="preserve">ed progressively, subject to the limitations </w:t>
      </w:r>
      <w:r>
        <w:t>of</w:t>
      </w:r>
      <w:r w:rsidRPr="008747E0">
        <w:t xml:space="preserve"> the</w:t>
      </w:r>
      <w:r>
        <w:t>ir</w:t>
      </w:r>
      <w:r w:rsidRPr="008747E0">
        <w:t xml:space="preserve"> resources</w:t>
      </w:r>
      <w:r>
        <w:t>, and considers that t</w:t>
      </w:r>
      <w:r w:rsidRPr="008747E0">
        <w:t xml:space="preserve">he State of </w:t>
      </w:r>
      <w:r w:rsidR="003016BC">
        <w:t xml:space="preserve">New South Wales </w:t>
      </w:r>
      <w:r w:rsidRPr="008747E0">
        <w:t>has satisfied th</w:t>
      </w:r>
      <w:r w:rsidR="0095085B">
        <w:t>at</w:t>
      </w:r>
      <w:r w:rsidRPr="008747E0">
        <w:t xml:space="preserve"> standard.</w:t>
      </w:r>
      <w:r>
        <w:t xml:space="preserve"> The State party further notes that the performance of jury duty does not extend to official interaction within the meaning of a</w:t>
      </w:r>
      <w:r w:rsidRPr="008747E0">
        <w:t>rticle 21</w:t>
      </w:r>
      <w:r w:rsidR="0095085B">
        <w:t xml:space="preserve"> </w:t>
      </w:r>
      <w:r w:rsidRPr="008747E0">
        <w:t xml:space="preserve">(b) </w:t>
      </w:r>
      <w:r>
        <w:t>of the Convention</w:t>
      </w:r>
      <w:r w:rsidR="00D333E8">
        <w:t>.</w:t>
      </w:r>
      <w:r w:rsidR="00743B84">
        <w:rPr>
          <w:rStyle w:val="FootnoteReference"/>
        </w:rPr>
        <w:footnoteReference w:id="26"/>
      </w:r>
      <w:r>
        <w:t xml:space="preserve"> The State party therefore maintains</w:t>
      </w:r>
      <w:r w:rsidRPr="008747E0">
        <w:t xml:space="preserve"> that the author</w:t>
      </w:r>
      <w:r>
        <w:t>’</w:t>
      </w:r>
      <w:r w:rsidRPr="008747E0">
        <w:t>s</w:t>
      </w:r>
      <w:r>
        <w:t xml:space="preserve"> claim</w:t>
      </w:r>
      <w:r w:rsidRPr="008747E0">
        <w:t xml:space="preserve"> </w:t>
      </w:r>
      <w:r>
        <w:t>under</w:t>
      </w:r>
      <w:r w:rsidRPr="008747E0">
        <w:t xml:space="preserve"> article 21 </w:t>
      </w:r>
      <w:r>
        <w:t>falls outside the scope of th</w:t>
      </w:r>
      <w:r w:rsidR="00201D2C">
        <w:t>at</w:t>
      </w:r>
      <w:r w:rsidRPr="008747E0">
        <w:t xml:space="preserve"> article and </w:t>
      </w:r>
      <w:r>
        <w:t>is</w:t>
      </w:r>
      <w:r w:rsidRPr="008747E0">
        <w:t xml:space="preserve"> without merit.</w:t>
      </w:r>
    </w:p>
    <w:p w:rsidR="00EE7322" w:rsidRPr="008747E0" w:rsidRDefault="001E6EE0" w:rsidP="00201D2C">
      <w:pPr>
        <w:pStyle w:val="SingleTxtG"/>
      </w:pPr>
      <w:r>
        <w:t>4.8</w:t>
      </w:r>
      <w:r>
        <w:tab/>
      </w:r>
      <w:r w:rsidR="00EE7322">
        <w:t>As concerns the author’s claims under article 29, the State party submits that it</w:t>
      </w:r>
      <w:r w:rsidR="00EE7322" w:rsidRPr="008747E0">
        <w:t xml:space="preserve"> does not fall within the scope of </w:t>
      </w:r>
      <w:r w:rsidR="00EE7322">
        <w:t>th</w:t>
      </w:r>
      <w:r w:rsidR="00201D2C">
        <w:t>at</w:t>
      </w:r>
      <w:r w:rsidR="00EE7322">
        <w:t xml:space="preserve"> provision and is </w:t>
      </w:r>
      <w:r w:rsidR="00EE7322" w:rsidRPr="008747E0">
        <w:t>without merit</w:t>
      </w:r>
      <w:r w:rsidR="00EE7322">
        <w:t xml:space="preserve">. It submits that </w:t>
      </w:r>
      <w:r w:rsidR="00EE7322" w:rsidRPr="008747E0">
        <w:t xml:space="preserve">political rights </w:t>
      </w:r>
      <w:r w:rsidR="00EE7322">
        <w:t xml:space="preserve">within the meaning of article 29 </w:t>
      </w:r>
      <w:r w:rsidR="00EE7322" w:rsidRPr="008747E0">
        <w:t>are limited to those rights relating to aspects of the political process: voting, elections and representation</w:t>
      </w:r>
      <w:r w:rsidR="0095085B">
        <w:t>–</w:t>
      </w:r>
      <w:r w:rsidR="00EE7322">
        <w:t xml:space="preserve"> and does not cover</w:t>
      </w:r>
      <w:r w:rsidR="00EE7322" w:rsidRPr="008747E0">
        <w:t xml:space="preserve"> jur</w:t>
      </w:r>
      <w:r w:rsidR="00EE7322">
        <w:t>y duty. The State party considers that a</w:t>
      </w:r>
      <w:r w:rsidR="00EE7322" w:rsidRPr="008747E0">
        <w:t xml:space="preserve">rticle 25 of the </w:t>
      </w:r>
      <w:r w:rsidR="0095085B">
        <w:t xml:space="preserve">International Covenant on Civil and Political </w:t>
      </w:r>
      <w:r w:rsidR="0095085B">
        <w:lastRenderedPageBreak/>
        <w:t>Rights</w:t>
      </w:r>
      <w:r w:rsidR="0095085B" w:rsidRPr="008747E0">
        <w:t xml:space="preserve"> </w:t>
      </w:r>
      <w:r w:rsidR="00EE7322" w:rsidRPr="008747E0">
        <w:t xml:space="preserve">is the </w:t>
      </w:r>
      <w:r w:rsidR="00EE7322">
        <w:t xml:space="preserve">main </w:t>
      </w:r>
      <w:r w:rsidR="00EE7322" w:rsidRPr="008747E0">
        <w:t>source of the content of article 29</w:t>
      </w:r>
      <w:r w:rsidR="00EE7322">
        <w:t xml:space="preserve"> and refers to c</w:t>
      </w:r>
      <w:r w:rsidR="00EE7322" w:rsidRPr="008747E0">
        <w:t>ommentar</w:t>
      </w:r>
      <w:r w:rsidR="00EE7322">
        <w:t>ies</w:t>
      </w:r>
      <w:r w:rsidR="00EE7322" w:rsidRPr="008747E0">
        <w:t xml:space="preserve"> on the scope of article 25</w:t>
      </w:r>
      <w:r w:rsidR="00EE7322">
        <w:t xml:space="preserve"> and the jurisprudence</w:t>
      </w:r>
      <w:r w:rsidR="00201D2C">
        <w:t xml:space="preserve"> of the Human Rights Committee</w:t>
      </w:r>
      <w:r w:rsidR="00EE7322">
        <w:t>, which</w:t>
      </w:r>
      <w:r w:rsidR="00EE7322" w:rsidRPr="008747E0">
        <w:t xml:space="preserve"> confirm that this provision</w:t>
      </w:r>
      <w:r w:rsidR="00EE7322">
        <w:t xml:space="preserve"> does not extend to jury duty</w:t>
      </w:r>
      <w:r w:rsidR="0095085B">
        <w:t>.</w:t>
      </w:r>
      <w:r w:rsidR="00366F6B">
        <w:rPr>
          <w:rStyle w:val="FootnoteReference"/>
        </w:rPr>
        <w:footnoteReference w:id="27"/>
      </w:r>
      <w:r w:rsidR="00EE7322">
        <w:t xml:space="preserve"> The State party further considers that the author’s claim should be examined in the light of the conditions and restrictions that can be applied in compliance with </w:t>
      </w:r>
      <w:r w:rsidR="0095085B" w:rsidRPr="00AC2A45">
        <w:t>g</w:t>
      </w:r>
      <w:r w:rsidR="00EE7322" w:rsidRPr="00AC2A45">
        <w:t xml:space="preserve">eneral </w:t>
      </w:r>
      <w:r w:rsidR="0095085B" w:rsidRPr="00AC2A45">
        <w:t>c</w:t>
      </w:r>
      <w:r w:rsidR="00EE7322" w:rsidRPr="00AC2A45">
        <w:t>omment No.</w:t>
      </w:r>
      <w:r w:rsidR="000250D0" w:rsidRPr="00AC2A45">
        <w:t> </w:t>
      </w:r>
      <w:r w:rsidR="00EE7322" w:rsidRPr="00AC2A45">
        <w:t xml:space="preserve">25 </w:t>
      </w:r>
      <w:r w:rsidR="00AC2A45">
        <w:t xml:space="preserve">(1996) </w:t>
      </w:r>
      <w:r w:rsidR="00201D2C">
        <w:t xml:space="preserve">of the Human Rights Committee </w:t>
      </w:r>
      <w:r w:rsidR="00AC2A45">
        <w:t>on</w:t>
      </w:r>
      <w:r w:rsidR="00201D2C">
        <w:t xml:space="preserve"> article 25</w:t>
      </w:r>
      <w:r w:rsidR="00AC2A45">
        <w:t xml:space="preserve"> </w:t>
      </w:r>
      <w:r w:rsidR="00201D2C">
        <w:t>(</w:t>
      </w:r>
      <w:r w:rsidR="00AC2A45">
        <w:t>the right to participate in public affairs, voting rights and the right of equal access to public service</w:t>
      </w:r>
      <w:r w:rsidR="00201D2C">
        <w:t>)</w:t>
      </w:r>
      <w:r w:rsidR="00AC2A45">
        <w:t xml:space="preserve"> </w:t>
      </w:r>
      <w:r w:rsidR="00EE7322">
        <w:t>and submits that</w:t>
      </w:r>
      <w:r w:rsidR="00EE7322" w:rsidRPr="008747E0">
        <w:t xml:space="preserve"> the State of </w:t>
      </w:r>
      <w:r w:rsidR="0095085B">
        <w:t>New South Wales</w:t>
      </w:r>
      <w:r w:rsidR="0095085B" w:rsidRPr="008747E0">
        <w:t xml:space="preserve"> </w:t>
      </w:r>
      <w:r w:rsidR="00EE7322" w:rsidRPr="008747E0">
        <w:t xml:space="preserve">has a </w:t>
      </w:r>
      <w:r w:rsidR="00EE7322">
        <w:t xml:space="preserve">clear </w:t>
      </w:r>
      <w:r w:rsidR="00EE7322" w:rsidRPr="008747E0">
        <w:t>system regulating the performance of jury duty</w:t>
      </w:r>
      <w:r w:rsidR="00EE7322">
        <w:t xml:space="preserve"> and provides an exemption from it where there is “good cause”</w:t>
      </w:r>
      <w:r w:rsidR="00EE7322" w:rsidRPr="008747E0">
        <w:t>.</w:t>
      </w:r>
      <w:r w:rsidR="00366F6B">
        <w:rPr>
          <w:rStyle w:val="FootnoteReference"/>
        </w:rPr>
        <w:footnoteReference w:id="28"/>
      </w:r>
      <w:r w:rsidR="00135D07">
        <w:t xml:space="preserve"> </w:t>
      </w:r>
    </w:p>
    <w:p w:rsidR="00EE7322" w:rsidRPr="008747E0" w:rsidRDefault="00DD30A0" w:rsidP="00201D2C">
      <w:pPr>
        <w:pStyle w:val="SingleTxtG"/>
      </w:pPr>
      <w:r>
        <w:t>4.9</w:t>
      </w:r>
      <w:r w:rsidR="001E6EE0">
        <w:tab/>
      </w:r>
      <w:r w:rsidR="00EE7322">
        <w:t>With respect to the author’s claim under article 5 of the Convention, t</w:t>
      </w:r>
      <w:r w:rsidR="00EE7322" w:rsidRPr="008747E0">
        <w:t xml:space="preserve">he </w:t>
      </w:r>
      <w:r w:rsidR="00EE7322">
        <w:t>State party</w:t>
      </w:r>
      <w:r w:rsidR="00EE7322" w:rsidRPr="008747E0">
        <w:t xml:space="preserve"> </w:t>
      </w:r>
      <w:r w:rsidR="00EE7322">
        <w:t>considers it without merit. It notes that t</w:t>
      </w:r>
      <w:r w:rsidR="00EE7322" w:rsidRPr="008747E0">
        <w:t>he Convention is a major step in recogni</w:t>
      </w:r>
      <w:r w:rsidR="0095085B">
        <w:t>z</w:t>
      </w:r>
      <w:r w:rsidR="00EE7322" w:rsidRPr="008747E0">
        <w:t xml:space="preserve">ing and raising awareness </w:t>
      </w:r>
      <w:r w:rsidR="00EE7322">
        <w:t>o</w:t>
      </w:r>
      <w:r w:rsidR="00201D2C">
        <w:t>f</w:t>
      </w:r>
      <w:r w:rsidR="00EE7322" w:rsidRPr="008747E0">
        <w:t xml:space="preserve"> the rights of persons with disabilities, and </w:t>
      </w:r>
      <w:r w:rsidR="00EE7322">
        <w:t xml:space="preserve">on </w:t>
      </w:r>
      <w:r w:rsidR="00EE7322" w:rsidRPr="008747E0">
        <w:t>the need for a new approach in th</w:t>
      </w:r>
      <w:r w:rsidR="0095085B">
        <w:t>at</w:t>
      </w:r>
      <w:r w:rsidR="00EE7322" w:rsidRPr="008747E0">
        <w:t xml:space="preserve"> regard. </w:t>
      </w:r>
      <w:r w:rsidR="00EE7322">
        <w:t xml:space="preserve">It </w:t>
      </w:r>
      <w:r w:rsidR="00EE7322" w:rsidRPr="003C691A">
        <w:t>considers</w:t>
      </w:r>
      <w:r w:rsidR="00EE7322">
        <w:t xml:space="preserve"> that </w:t>
      </w:r>
      <w:r w:rsidR="00EE7322" w:rsidRPr="008747E0">
        <w:t xml:space="preserve">the Convention does not create new rights, but clarifies existing </w:t>
      </w:r>
      <w:r w:rsidR="00EE7322">
        <w:t>ones</w:t>
      </w:r>
      <w:r w:rsidR="00EE7322" w:rsidRPr="008747E0">
        <w:t xml:space="preserve"> to ensure </w:t>
      </w:r>
      <w:r w:rsidR="00EE7322">
        <w:t xml:space="preserve">that </w:t>
      </w:r>
      <w:r w:rsidR="00EE7322" w:rsidRPr="008747E0">
        <w:t>they can be exercised by persons with disabilities.</w:t>
      </w:r>
      <w:r w:rsidR="00366F6B">
        <w:rPr>
          <w:rStyle w:val="FootnoteReference"/>
        </w:rPr>
        <w:footnoteReference w:id="29"/>
      </w:r>
      <w:r w:rsidR="00EE7322">
        <w:t xml:space="preserve"> </w:t>
      </w:r>
      <w:r w:rsidR="00EE7322" w:rsidRPr="008747E0">
        <w:t xml:space="preserve">Accordingly, article 5 should be interpreted consistently with the established </w:t>
      </w:r>
      <w:r w:rsidR="00EE7322">
        <w:t>jurisprudence</w:t>
      </w:r>
      <w:r w:rsidR="00EE7322" w:rsidRPr="008747E0">
        <w:t xml:space="preserve"> that legitimate differential treatment </w:t>
      </w:r>
      <w:r w:rsidR="00EE7322">
        <w:t>does</w:t>
      </w:r>
      <w:r w:rsidR="00EE7322" w:rsidRPr="008747E0">
        <w:t xml:space="preserve"> not constitute discrimination.</w:t>
      </w:r>
      <w:r w:rsidR="00EE7322">
        <w:t xml:space="preserve"> Furthermore, even if </w:t>
      </w:r>
      <w:r w:rsidR="00EE7322" w:rsidRPr="008747E0">
        <w:t xml:space="preserve">States </w:t>
      </w:r>
      <w:r w:rsidR="0095085B">
        <w:t>p</w:t>
      </w:r>
      <w:r w:rsidR="00EE7322" w:rsidRPr="008747E0">
        <w:t>arties have a legal obligation to take steps to respect, protect, promote and fulfil the right to non</w:t>
      </w:r>
      <w:r w:rsidR="006E205B">
        <w:t>-</w:t>
      </w:r>
      <w:r w:rsidR="00EE7322" w:rsidRPr="008747E0">
        <w:t>discrimination, equality and non</w:t>
      </w:r>
      <w:r w:rsidR="006E205B">
        <w:t>-</w:t>
      </w:r>
      <w:r w:rsidR="00EE7322" w:rsidRPr="008747E0">
        <w:t>discrimination should not be understood as requiring identical treatment of all persons in all circumstances.</w:t>
      </w:r>
      <w:r w:rsidR="003278B4">
        <w:rPr>
          <w:rStyle w:val="FootnoteReference"/>
        </w:rPr>
        <w:footnoteReference w:id="30"/>
      </w:r>
      <w:r w:rsidR="00EE7322" w:rsidRPr="008747E0">
        <w:t xml:space="preserve"> </w:t>
      </w:r>
      <w:r w:rsidR="00EE7322">
        <w:t>T</w:t>
      </w:r>
      <w:r w:rsidR="00EE7322" w:rsidRPr="008747E0">
        <w:t xml:space="preserve">he </w:t>
      </w:r>
      <w:r w:rsidR="00EE7322">
        <w:t>State party therefore considers</w:t>
      </w:r>
      <w:r w:rsidR="00EE7322" w:rsidRPr="008747E0">
        <w:t xml:space="preserve"> that </w:t>
      </w:r>
      <w:r w:rsidR="00EE7322">
        <w:t>its</w:t>
      </w:r>
      <w:r w:rsidR="00EE7322" w:rsidRPr="008747E0">
        <w:t xml:space="preserve"> relevant </w:t>
      </w:r>
      <w:r w:rsidR="00201D2C">
        <w:t xml:space="preserve">national </w:t>
      </w:r>
      <w:r w:rsidR="00EE7322" w:rsidRPr="008747E0">
        <w:t>law is not discriminatory</w:t>
      </w:r>
      <w:r w:rsidR="00EE7322">
        <w:t>, insofar as t</w:t>
      </w:r>
      <w:r w:rsidR="00EE7322" w:rsidRPr="008747E0">
        <w:t>he differential treatment provided for in the Jury Act</w:t>
      </w:r>
      <w:r w:rsidR="00EE7322">
        <w:t xml:space="preserve"> aims at</w:t>
      </w:r>
      <w:r w:rsidR="00EE7322" w:rsidRPr="008747E0">
        <w:t xml:space="preserve"> balancing the rights of persons with disabilities with the rights of an accused to a fair trial. </w:t>
      </w:r>
      <w:r w:rsidR="00EE7322">
        <w:t>Additionally, t</w:t>
      </w:r>
      <w:r w:rsidR="00EE7322" w:rsidRPr="008747E0">
        <w:t>he law</w:t>
      </w:r>
      <w:r w:rsidR="00EE7322">
        <w:t xml:space="preserve">, </w:t>
      </w:r>
      <w:r w:rsidR="00EE7322" w:rsidRPr="008747E0">
        <w:t>practice</w:t>
      </w:r>
      <w:r w:rsidR="00EE7322">
        <w:t xml:space="preserve"> and policy</w:t>
      </w:r>
      <w:r w:rsidR="00EE7322" w:rsidRPr="008747E0">
        <w:t xml:space="preserve"> of the State of </w:t>
      </w:r>
      <w:r w:rsidR="0095085B">
        <w:t>New South Wales</w:t>
      </w:r>
      <w:r w:rsidR="0095085B" w:rsidRPr="008747E0">
        <w:t xml:space="preserve"> </w:t>
      </w:r>
      <w:r w:rsidR="00EE7322" w:rsidRPr="008747E0">
        <w:t>facilitate the participation of persons with hearing impairments in jury duty where possible</w:t>
      </w:r>
      <w:r w:rsidR="00201D2C">
        <w:t>,</w:t>
      </w:r>
      <w:r w:rsidR="00EE7322">
        <w:t xml:space="preserve"> in compliance with article 5 (3) of the Convention</w:t>
      </w:r>
      <w:r w:rsidR="00EE7322" w:rsidRPr="008747E0">
        <w:t xml:space="preserve"> </w:t>
      </w:r>
      <w:r w:rsidR="00EE7322">
        <w:t xml:space="preserve">and </w:t>
      </w:r>
      <w:r w:rsidR="00EE7322" w:rsidRPr="008747E0">
        <w:t xml:space="preserve">the restriction is limited </w:t>
      </w:r>
      <w:r w:rsidR="00EE7322">
        <w:t xml:space="preserve">to cases where a person’s disability </w:t>
      </w:r>
      <w:r w:rsidR="00EE7322" w:rsidRPr="008747E0">
        <w:t xml:space="preserve">would render </w:t>
      </w:r>
      <w:r w:rsidR="00201D2C">
        <w:t>him or her</w:t>
      </w:r>
      <w:r w:rsidR="00EE7322" w:rsidRPr="008747E0">
        <w:t xml:space="preserve"> </w:t>
      </w:r>
      <w:r w:rsidR="00EE7322">
        <w:t>“</w:t>
      </w:r>
      <w:r w:rsidR="00EE7322" w:rsidRPr="008747E0">
        <w:t>unsuitable for or incapable of effect</w:t>
      </w:r>
      <w:r w:rsidR="00EE7322">
        <w:t>ively serving as a juror”</w:t>
      </w:r>
      <w:r w:rsidR="00EE7322" w:rsidRPr="008747E0">
        <w:t>.</w:t>
      </w:r>
      <w:r w:rsidR="003278B4">
        <w:rPr>
          <w:rStyle w:val="FootnoteReference"/>
        </w:rPr>
        <w:footnoteReference w:id="31"/>
      </w:r>
      <w:r w:rsidR="00EE7322">
        <w:t xml:space="preserve"> </w:t>
      </w:r>
    </w:p>
    <w:p w:rsidR="00EE7322" w:rsidRPr="008747E0" w:rsidRDefault="003278B4" w:rsidP="00201D2C">
      <w:pPr>
        <w:pStyle w:val="SingleTxtG"/>
      </w:pPr>
      <w:r>
        <w:t>4.1</w:t>
      </w:r>
      <w:r w:rsidR="00DD30A0">
        <w:t>0</w:t>
      </w:r>
      <w:r>
        <w:tab/>
      </w:r>
      <w:r w:rsidR="00EE7322">
        <w:t>As regards</w:t>
      </w:r>
      <w:r w:rsidR="00EE7322" w:rsidRPr="008747E0">
        <w:t xml:space="preserve"> </w:t>
      </w:r>
      <w:r w:rsidR="00EE7322">
        <w:t>the author’s</w:t>
      </w:r>
      <w:r w:rsidR="00EE7322" w:rsidRPr="008747E0">
        <w:t xml:space="preserve"> claim</w:t>
      </w:r>
      <w:r w:rsidR="00EE7322">
        <w:t>s</w:t>
      </w:r>
      <w:r w:rsidR="00EE7322" w:rsidRPr="008747E0">
        <w:t xml:space="preserve"> under article</w:t>
      </w:r>
      <w:r w:rsidR="00EE7322">
        <w:t>s 2</w:t>
      </w:r>
      <w:r w:rsidR="0095085B">
        <w:t>,</w:t>
      </w:r>
      <w:r w:rsidR="00EE7322">
        <w:t xml:space="preserve"> 4 and 9 of the Convention, the State party considers them</w:t>
      </w:r>
      <w:r w:rsidR="00EE7322" w:rsidRPr="008747E0">
        <w:t xml:space="preserve"> without merit</w:t>
      </w:r>
      <w:r w:rsidR="00EE7322">
        <w:t xml:space="preserve"> because they are unsubstantiated</w:t>
      </w:r>
      <w:r w:rsidR="00EE7322" w:rsidRPr="008747E0">
        <w:t xml:space="preserve">. </w:t>
      </w:r>
      <w:r w:rsidR="00EE7322">
        <w:t>It argues that it</w:t>
      </w:r>
      <w:r w:rsidR="00EE7322" w:rsidRPr="008747E0">
        <w:t xml:space="preserve"> has a strong commitment to </w:t>
      </w:r>
      <w:r w:rsidR="00EE7322" w:rsidRPr="003C691A">
        <w:t>respecting</w:t>
      </w:r>
      <w:r w:rsidR="00EE7322" w:rsidRPr="008747E0">
        <w:t xml:space="preserve"> the rights of persons with disabilities</w:t>
      </w:r>
      <w:r w:rsidR="00EE7322">
        <w:t>, and to enabl</w:t>
      </w:r>
      <w:r w:rsidR="00201D2C">
        <w:t>ing</w:t>
      </w:r>
      <w:r w:rsidR="00EE7322">
        <w:t xml:space="preserve"> them</w:t>
      </w:r>
      <w:r w:rsidR="00EE7322" w:rsidRPr="008747E0">
        <w:t xml:space="preserve"> to enjoy all human rights</w:t>
      </w:r>
      <w:r w:rsidR="00EE7322" w:rsidRPr="00C63F29">
        <w:t xml:space="preserve"> </w:t>
      </w:r>
      <w:r w:rsidR="00EE7322" w:rsidRPr="008747E0">
        <w:t>on an equal basis with others</w:t>
      </w:r>
      <w:r w:rsidR="00EE7322">
        <w:t>,</w:t>
      </w:r>
      <w:r w:rsidR="00EE7322" w:rsidRPr="008747E0">
        <w:t xml:space="preserve"> in accordance wit</w:t>
      </w:r>
      <w:r w:rsidR="00EE7322">
        <w:t>h the terms of the Convention. It</w:t>
      </w:r>
      <w:r w:rsidR="00EE7322" w:rsidRPr="008747E0">
        <w:t xml:space="preserve"> recogni</w:t>
      </w:r>
      <w:r w:rsidR="0095085B">
        <w:t>z</w:t>
      </w:r>
      <w:r w:rsidR="00EE7322" w:rsidRPr="008747E0">
        <w:t xml:space="preserve">es that States </w:t>
      </w:r>
      <w:r w:rsidR="0095085B">
        <w:t>p</w:t>
      </w:r>
      <w:r w:rsidR="00EE7322" w:rsidRPr="008747E0">
        <w:t>arties should refrain from acts or practices in</w:t>
      </w:r>
      <w:r w:rsidR="00EE7322">
        <w:t xml:space="preserve">consistent with the Convention and </w:t>
      </w:r>
      <w:r w:rsidR="00EE7322" w:rsidRPr="008747E0">
        <w:t xml:space="preserve">should promote the research, development and availability of new </w:t>
      </w:r>
      <w:r w:rsidR="00EE7322" w:rsidRPr="003C691A">
        <w:t>technologies</w:t>
      </w:r>
      <w:r w:rsidR="00EE7322" w:rsidRPr="008747E0">
        <w:t xml:space="preserve"> and ensure </w:t>
      </w:r>
      <w:r w:rsidR="00EE7322" w:rsidRPr="003278B4">
        <w:t>accessibility</w:t>
      </w:r>
      <w:r w:rsidR="00EE7322" w:rsidRPr="008747E0">
        <w:t xml:space="preserve"> </w:t>
      </w:r>
      <w:r w:rsidR="00201D2C">
        <w:t>for</w:t>
      </w:r>
      <w:r w:rsidR="00201D2C" w:rsidRPr="008747E0">
        <w:t xml:space="preserve"> </w:t>
      </w:r>
      <w:r w:rsidR="00EE7322">
        <w:t xml:space="preserve">all </w:t>
      </w:r>
      <w:r w:rsidR="00EE7322" w:rsidRPr="008747E0">
        <w:t xml:space="preserve">persons with disabilities. </w:t>
      </w:r>
    </w:p>
    <w:p w:rsidR="00EE7322" w:rsidRPr="003C691A" w:rsidRDefault="00C80058" w:rsidP="00F577BA">
      <w:pPr>
        <w:pStyle w:val="H23G"/>
      </w:pPr>
      <w:r>
        <w:tab/>
      </w:r>
      <w:r>
        <w:tab/>
      </w:r>
      <w:r w:rsidR="00201D2C">
        <w:t>A</w:t>
      </w:r>
      <w:r w:rsidR="00EE7322" w:rsidRPr="00236D0E">
        <w:t>uthor’s comments on the State party’s observations</w:t>
      </w:r>
    </w:p>
    <w:p w:rsidR="00EE7322" w:rsidRPr="00CC6DD3" w:rsidRDefault="00EE7322">
      <w:pPr>
        <w:pStyle w:val="SingleTxtG"/>
      </w:pPr>
      <w:r w:rsidRPr="001072AB">
        <w:rPr>
          <w:w w:val="103"/>
        </w:rPr>
        <w:t>5.1</w:t>
      </w:r>
      <w:r w:rsidRPr="001072AB">
        <w:rPr>
          <w:w w:val="103"/>
        </w:rPr>
        <w:tab/>
        <w:t xml:space="preserve">On 28 May 2015, the author </w:t>
      </w:r>
      <w:r>
        <w:rPr>
          <w:w w:val="103"/>
        </w:rPr>
        <w:t>rejected</w:t>
      </w:r>
      <w:r w:rsidRPr="001072AB">
        <w:rPr>
          <w:w w:val="103"/>
        </w:rPr>
        <w:t xml:space="preserve"> the State party’s contentions that his communication </w:t>
      </w:r>
      <w:r w:rsidR="00201D2C">
        <w:rPr>
          <w:w w:val="103"/>
        </w:rPr>
        <w:t>wa</w:t>
      </w:r>
      <w:r w:rsidRPr="001072AB">
        <w:rPr>
          <w:w w:val="103"/>
        </w:rPr>
        <w:t>s inadmissible pursuant to article 2</w:t>
      </w:r>
      <w:r w:rsidR="0095085B">
        <w:rPr>
          <w:w w:val="103"/>
        </w:rPr>
        <w:t xml:space="preserve"> </w:t>
      </w:r>
      <w:r w:rsidRPr="001072AB">
        <w:rPr>
          <w:w w:val="103"/>
        </w:rPr>
        <w:t xml:space="preserve">(d) of the Optional Protocol. He </w:t>
      </w:r>
      <w:r>
        <w:rPr>
          <w:w w:val="103"/>
        </w:rPr>
        <w:t>reiterates</w:t>
      </w:r>
      <w:r w:rsidRPr="001072AB">
        <w:rPr>
          <w:w w:val="103"/>
        </w:rPr>
        <w:t xml:space="preserve"> that </w:t>
      </w:r>
      <w:r>
        <w:rPr>
          <w:w w:val="103"/>
        </w:rPr>
        <w:t>h</w:t>
      </w:r>
      <w:r w:rsidRPr="001072AB">
        <w:t xml:space="preserve">e </w:t>
      </w:r>
      <w:r w:rsidRPr="003278B4">
        <w:t>had</w:t>
      </w:r>
      <w:r w:rsidRPr="001072AB">
        <w:t xml:space="preserve"> no cause of action under the </w:t>
      </w:r>
      <w:r w:rsidR="009A26BA" w:rsidRPr="00B714B4">
        <w:rPr>
          <w:iCs/>
        </w:rPr>
        <w:t>Disability Discrimination Act</w:t>
      </w:r>
      <w:r w:rsidR="009A26BA" w:rsidRPr="006E4197">
        <w:rPr>
          <w:i/>
        </w:rPr>
        <w:t xml:space="preserve"> </w:t>
      </w:r>
      <w:r w:rsidRPr="001072AB">
        <w:t xml:space="preserve">or </w:t>
      </w:r>
      <w:r w:rsidR="00A914A2">
        <w:t xml:space="preserve">the </w:t>
      </w:r>
      <w:r w:rsidR="00A914A2" w:rsidRPr="004D0DD0">
        <w:rPr>
          <w:iCs/>
        </w:rPr>
        <w:t xml:space="preserve">Anti-Discrimination Act </w:t>
      </w:r>
      <w:r w:rsidRPr="001072AB">
        <w:t xml:space="preserve">that would have entitled </w:t>
      </w:r>
      <w:r>
        <w:t>him</w:t>
      </w:r>
      <w:r w:rsidRPr="001072AB">
        <w:t xml:space="preserve"> to bring </w:t>
      </w:r>
      <w:r>
        <w:t>a complaint</w:t>
      </w:r>
      <w:r w:rsidRPr="001072AB">
        <w:t xml:space="preserve"> before the State </w:t>
      </w:r>
      <w:r w:rsidRPr="001072AB">
        <w:lastRenderedPageBreak/>
        <w:t>party’s court</w:t>
      </w:r>
      <w:r>
        <w:t>s</w:t>
      </w:r>
      <w:r w:rsidRPr="001072AB">
        <w:t xml:space="preserve">. </w:t>
      </w:r>
      <w:r>
        <w:t>In the case</w:t>
      </w:r>
      <w:r w:rsidRPr="00CC6DD3">
        <w:t xml:space="preserve"> </w:t>
      </w:r>
      <w:r w:rsidRPr="00CC6DD3">
        <w:rPr>
          <w:i/>
        </w:rPr>
        <w:t>Gaye Prudence Lyons v</w:t>
      </w:r>
      <w:r w:rsidR="00236D0E">
        <w:rPr>
          <w:i/>
        </w:rPr>
        <w:t>.</w:t>
      </w:r>
      <w:r w:rsidRPr="00CC6DD3">
        <w:rPr>
          <w:i/>
        </w:rPr>
        <w:t xml:space="preserve"> the State of Queensland</w:t>
      </w:r>
      <w:r w:rsidRPr="00F577BA">
        <w:t>,</w:t>
      </w:r>
      <w:r w:rsidR="003278B4" w:rsidRPr="00F577BA">
        <w:rPr>
          <w:rStyle w:val="FootnoteReference"/>
        </w:rPr>
        <w:footnoteReference w:id="32"/>
      </w:r>
      <w:r w:rsidRPr="00CC6DD3">
        <w:rPr>
          <w:i/>
        </w:rPr>
        <w:t xml:space="preserve"> </w:t>
      </w:r>
      <w:r w:rsidRPr="003C691A">
        <w:t>where</w:t>
      </w:r>
      <w:r>
        <w:t xml:space="preserve"> </w:t>
      </w:r>
      <w:r w:rsidRPr="00CC6DD3">
        <w:t xml:space="preserve">the Sheriff of Queensland </w:t>
      </w:r>
      <w:r>
        <w:t>excluded the complainant</w:t>
      </w:r>
      <w:r w:rsidRPr="00CC6DD3">
        <w:t xml:space="preserve"> from jury duty </w:t>
      </w:r>
      <w:r>
        <w:t>because</w:t>
      </w:r>
      <w:r w:rsidRPr="00CC6DD3">
        <w:t xml:space="preserve"> she required an Australian Sign Language </w:t>
      </w:r>
      <w:r w:rsidR="00236D0E">
        <w:t>i</w:t>
      </w:r>
      <w:r w:rsidRPr="00CC6DD3">
        <w:t>nterpreter</w:t>
      </w:r>
      <w:r>
        <w:t>,</w:t>
      </w:r>
      <w:r w:rsidRPr="00CC6DD3">
        <w:t xml:space="preserve"> </w:t>
      </w:r>
      <w:r>
        <w:t>the complainant</w:t>
      </w:r>
      <w:r w:rsidRPr="00CC6DD3">
        <w:t xml:space="preserve"> was able to bring an impairment discrimination claim under the </w:t>
      </w:r>
      <w:r w:rsidRPr="00F577BA">
        <w:t>Anti-Discrimination Act</w:t>
      </w:r>
      <w:r w:rsidRPr="00CC6DD3">
        <w:rPr>
          <w:i/>
        </w:rPr>
        <w:t xml:space="preserve"> </w:t>
      </w:r>
      <w:r w:rsidRPr="00CC6DD3">
        <w:t xml:space="preserve">1991 (Qld) because the </w:t>
      </w:r>
      <w:r>
        <w:t>“</w:t>
      </w:r>
      <w:r w:rsidRPr="00CC6DD3">
        <w:t>administration of State laws and programs</w:t>
      </w:r>
      <w:r>
        <w:t>”</w:t>
      </w:r>
      <w:r w:rsidRPr="00CC6DD3">
        <w:t xml:space="preserve"> is a protected area of life under that Act, and the Sheriff of Queensland, in excluding </w:t>
      </w:r>
      <w:r>
        <w:t>her</w:t>
      </w:r>
      <w:r w:rsidRPr="00CC6DD3">
        <w:t xml:space="preserve"> from jury service, was administering the </w:t>
      </w:r>
      <w:r w:rsidRPr="00F577BA">
        <w:t xml:space="preserve">Jury Act </w:t>
      </w:r>
      <w:r w:rsidRPr="00CC6DD3">
        <w:t>1995 (Qld)</w:t>
      </w:r>
      <w:r w:rsidRPr="00CC6DD3">
        <w:rPr>
          <w:i/>
        </w:rPr>
        <w:t xml:space="preserve">. </w:t>
      </w:r>
      <w:r w:rsidRPr="00CC6DD3">
        <w:t xml:space="preserve">There is no equivalent protected area of life under the </w:t>
      </w:r>
      <w:r w:rsidR="00A914A2" w:rsidRPr="004D0DD0">
        <w:rPr>
          <w:iCs/>
        </w:rPr>
        <w:t>Anti-Discrimination Act 1977</w:t>
      </w:r>
      <w:r w:rsidRPr="00CC6DD3">
        <w:t xml:space="preserve"> and</w:t>
      </w:r>
      <w:r w:rsidR="00236D0E">
        <w:t>,</w:t>
      </w:r>
      <w:r w:rsidRPr="00CC6DD3">
        <w:t xml:space="preserve"> while the </w:t>
      </w:r>
      <w:r w:rsidR="009A26BA" w:rsidRPr="00B714B4">
        <w:rPr>
          <w:iCs/>
        </w:rPr>
        <w:t>Disability Discrimination Act</w:t>
      </w:r>
      <w:r w:rsidR="009A26BA" w:rsidRPr="006E4197">
        <w:rPr>
          <w:i/>
        </w:rPr>
        <w:t xml:space="preserve"> </w:t>
      </w:r>
      <w:r w:rsidRPr="00CC6DD3">
        <w:t>include</w:t>
      </w:r>
      <w:r>
        <w:t>s</w:t>
      </w:r>
      <w:r w:rsidRPr="00CC6DD3">
        <w:t xml:space="preserve"> the administration of Commonwealth laws and program</w:t>
      </w:r>
      <w:r w:rsidR="00236D0E">
        <w:t>me</w:t>
      </w:r>
      <w:r w:rsidRPr="00CC6DD3">
        <w:t>s</w:t>
      </w:r>
      <w:r>
        <w:t xml:space="preserve"> </w:t>
      </w:r>
      <w:r w:rsidRPr="00CC6DD3">
        <w:t xml:space="preserve">as a protected area of life, the </w:t>
      </w:r>
      <w:r w:rsidRPr="00F577BA">
        <w:t>Jury Act</w:t>
      </w:r>
      <w:r w:rsidRPr="00CC6DD3">
        <w:t xml:space="preserve"> 1977 (</w:t>
      </w:r>
      <w:r w:rsidR="00236D0E">
        <w:t>New South Wales</w:t>
      </w:r>
      <w:r w:rsidRPr="00CC6DD3">
        <w:t xml:space="preserve">), pursuant to which </w:t>
      </w:r>
      <w:r>
        <w:t>the author</w:t>
      </w:r>
      <w:r w:rsidRPr="00CC6DD3">
        <w:t xml:space="preserve"> was excluded from jury duty, is a State Act.</w:t>
      </w:r>
      <w:r w:rsidR="00135D07">
        <w:t xml:space="preserve"> </w:t>
      </w:r>
      <w:r>
        <w:t>Further</w:t>
      </w:r>
      <w:r w:rsidR="00236D0E">
        <w:t>more</w:t>
      </w:r>
      <w:r>
        <w:t>, in</w:t>
      </w:r>
      <w:r w:rsidRPr="00CC6DD3">
        <w:t xml:space="preserve"> Ms</w:t>
      </w:r>
      <w:r w:rsidR="00135D07">
        <w:t>.</w:t>
      </w:r>
      <w:r w:rsidRPr="00CC6DD3">
        <w:t xml:space="preserve"> Lyon</w:t>
      </w:r>
      <w:r>
        <w:t>’</w:t>
      </w:r>
      <w:r w:rsidRPr="00CC6DD3">
        <w:t>s</w:t>
      </w:r>
      <w:r>
        <w:t xml:space="preserve"> case, the Tribunal rejected her claims for direct and indirect </w:t>
      </w:r>
      <w:r w:rsidRPr="003C691A">
        <w:t>discrimination</w:t>
      </w:r>
      <w:r>
        <w:t xml:space="preserve"> on the basis that she</w:t>
      </w:r>
      <w:r w:rsidRPr="00CC6DD3">
        <w:t xml:space="preserve"> was not excluded from jury duty because she </w:t>
      </w:r>
      <w:r w:rsidR="00F86086">
        <w:t>wa</w:t>
      </w:r>
      <w:r w:rsidRPr="00CC6DD3">
        <w:t>s deaf</w:t>
      </w:r>
      <w:r>
        <w:t>,</w:t>
      </w:r>
      <w:r w:rsidRPr="00CC6DD3">
        <w:t xml:space="preserve"> but because she required an Australian Sign Language </w:t>
      </w:r>
      <w:r w:rsidR="00236D0E">
        <w:t>i</w:t>
      </w:r>
      <w:r w:rsidRPr="00CC6DD3">
        <w:t>nterpreter</w:t>
      </w:r>
      <w:r w:rsidR="00236D0E">
        <w:t>,</w:t>
      </w:r>
      <w:r w:rsidRPr="00CC6DD3">
        <w:t xml:space="preserve"> who could not be present in the jury room. </w:t>
      </w:r>
      <w:r>
        <w:t>The author asserts that t</w:t>
      </w:r>
      <w:r w:rsidRPr="00CC6DD3">
        <w:t xml:space="preserve">his reasoning would be applied by any other </w:t>
      </w:r>
      <w:r>
        <w:t>c</w:t>
      </w:r>
      <w:r w:rsidRPr="00CC6DD3">
        <w:t xml:space="preserve">ourt or </w:t>
      </w:r>
      <w:r>
        <w:t>t</w:t>
      </w:r>
      <w:r w:rsidRPr="00CC6DD3">
        <w:t>ribunal</w:t>
      </w:r>
      <w:r w:rsidR="00F86086">
        <w:t xml:space="preserve"> in the State party</w:t>
      </w:r>
      <w:r>
        <w:t xml:space="preserve">, and that </w:t>
      </w:r>
      <w:r w:rsidRPr="00CC6DD3">
        <w:t>any claim for judicial review of the S</w:t>
      </w:r>
      <w:r>
        <w:t>heriff’s decision to exclude him</w:t>
      </w:r>
      <w:r w:rsidRPr="00CC6DD3">
        <w:t xml:space="preserve"> from jury duty would fail because Australian law does not permit a deaf juror to receive live assistance </w:t>
      </w:r>
      <w:r>
        <w:t>in the jury room.</w:t>
      </w:r>
      <w:r w:rsidR="003278B4">
        <w:rPr>
          <w:rStyle w:val="FootnoteReference"/>
        </w:rPr>
        <w:footnoteReference w:id="33"/>
      </w:r>
    </w:p>
    <w:p w:rsidR="00EE7322" w:rsidRPr="00CC6DD3" w:rsidRDefault="003278B4" w:rsidP="003C691A">
      <w:pPr>
        <w:pStyle w:val="SingleTxtG"/>
      </w:pPr>
      <w:r>
        <w:rPr>
          <w:w w:val="103"/>
        </w:rPr>
        <w:t>5.2</w:t>
      </w:r>
      <w:r>
        <w:rPr>
          <w:w w:val="103"/>
        </w:rPr>
        <w:tab/>
      </w:r>
      <w:r w:rsidR="00EE7322">
        <w:rPr>
          <w:w w:val="103"/>
        </w:rPr>
        <w:t>As to the costs involved in conducting disability discrimination claims, the author submits that</w:t>
      </w:r>
      <w:r w:rsidR="00236D0E">
        <w:rPr>
          <w:w w:val="103"/>
        </w:rPr>
        <w:t>,</w:t>
      </w:r>
      <w:r w:rsidR="00EE7322">
        <w:rPr>
          <w:w w:val="103"/>
        </w:rPr>
        <w:t xml:space="preserve"> w</w:t>
      </w:r>
      <w:r w:rsidR="00EE7322">
        <w:t xml:space="preserve">hile </w:t>
      </w:r>
      <w:r w:rsidR="00EE7322" w:rsidRPr="00CC6DD3">
        <w:t xml:space="preserve">he </w:t>
      </w:r>
      <w:r w:rsidR="00EE7322">
        <w:t>could cover the fee</w:t>
      </w:r>
      <w:r w:rsidR="00EE7322" w:rsidRPr="00CC6DD3">
        <w:t xml:space="preserve"> to commence a disability discrimination claim, the party-party </w:t>
      </w:r>
      <w:r w:rsidR="00EE7322" w:rsidRPr="00182EA8">
        <w:t>costs</w:t>
      </w:r>
      <w:r w:rsidR="00EE7322" w:rsidRPr="00CC6DD3">
        <w:t xml:space="preserve"> that are likely to be awarded against an unsuccessful applicant are ruinous. </w:t>
      </w:r>
      <w:r w:rsidR="00EE7322">
        <w:t>In th</w:t>
      </w:r>
      <w:r w:rsidR="00236D0E">
        <w:t>at</w:t>
      </w:r>
      <w:r w:rsidR="00EE7322">
        <w:t xml:space="preserve"> regard, the author explains that a</w:t>
      </w:r>
      <w:r w:rsidR="00EE7322" w:rsidRPr="00CC6DD3">
        <w:t xml:space="preserve"> party to such litigation can apply to </w:t>
      </w:r>
      <w:r w:rsidR="00F86086">
        <w:t xml:space="preserve">the </w:t>
      </w:r>
      <w:r w:rsidR="00EE7322">
        <w:t>c</w:t>
      </w:r>
      <w:r w:rsidR="00EE7322" w:rsidRPr="00CC6DD3">
        <w:t xml:space="preserve">ourts for a maximum costs order, but such orders are discretionary and rarely made. In exercising discretion to make </w:t>
      </w:r>
      <w:r w:rsidR="00EE7322">
        <w:t>such</w:t>
      </w:r>
      <w:r w:rsidR="00EE7322" w:rsidRPr="00CC6DD3">
        <w:t xml:space="preserve"> </w:t>
      </w:r>
      <w:r w:rsidR="0089049F">
        <w:t xml:space="preserve">an </w:t>
      </w:r>
      <w:r w:rsidR="00EE7322" w:rsidRPr="00CC6DD3">
        <w:t xml:space="preserve">order, </w:t>
      </w:r>
      <w:r w:rsidR="00EE7322">
        <w:t>c</w:t>
      </w:r>
      <w:r w:rsidR="00EE7322" w:rsidRPr="00CC6DD3">
        <w:t>ourts consider a range of factors</w:t>
      </w:r>
      <w:r w:rsidR="00EE7322">
        <w:t>, including</w:t>
      </w:r>
      <w:r w:rsidR="00EE7322" w:rsidRPr="00CC6DD3">
        <w:t xml:space="preserve"> whether </w:t>
      </w:r>
      <w:r w:rsidR="00EE7322">
        <w:t>the applicant has an arguable claim</w:t>
      </w:r>
      <w:r w:rsidR="00EE7322" w:rsidRPr="00CC6DD3">
        <w:t>.</w:t>
      </w:r>
      <w:r w:rsidR="00182EA8">
        <w:rPr>
          <w:rStyle w:val="FootnoteReference"/>
        </w:rPr>
        <w:footnoteReference w:id="34"/>
      </w:r>
      <w:r w:rsidR="00EE7322" w:rsidRPr="00CC6DD3">
        <w:t xml:space="preserve"> It is therefore misleading for the </w:t>
      </w:r>
      <w:r w:rsidR="00EE7322">
        <w:t>State party</w:t>
      </w:r>
      <w:r w:rsidR="00EE7322" w:rsidRPr="00CC6DD3">
        <w:t xml:space="preserve"> to suggest that </w:t>
      </w:r>
      <w:r w:rsidR="00EE7322">
        <w:t>the author</w:t>
      </w:r>
      <w:r w:rsidR="00EE7322" w:rsidRPr="00CC6DD3">
        <w:t xml:space="preserve"> would have been able to obtain a maximum costs order </w:t>
      </w:r>
      <w:r w:rsidR="00EE7322">
        <w:t>while his</w:t>
      </w:r>
      <w:r w:rsidR="00EE7322" w:rsidRPr="00CC6DD3">
        <w:t xml:space="preserve"> claim did not have reasonable prospects of success.</w:t>
      </w:r>
      <w:r w:rsidR="00135D07">
        <w:t xml:space="preserve"> </w:t>
      </w:r>
    </w:p>
    <w:p w:rsidR="00EE7322" w:rsidRPr="00CC6DD3" w:rsidRDefault="00EE7322" w:rsidP="00F86086">
      <w:pPr>
        <w:pStyle w:val="SingleTxtG"/>
      </w:pPr>
      <w:r w:rsidRPr="00E139ED">
        <w:t>5.</w:t>
      </w:r>
      <w:r>
        <w:t>3</w:t>
      </w:r>
      <w:r w:rsidR="00182EA8">
        <w:tab/>
      </w:r>
      <w:r>
        <w:t>T</w:t>
      </w:r>
      <w:r w:rsidRPr="00E139ED">
        <w:t xml:space="preserve">he author reiterates that he was legally advised that he had no cause of action under the </w:t>
      </w:r>
      <w:r w:rsidR="009A26BA" w:rsidRPr="00B714B4">
        <w:rPr>
          <w:iCs/>
        </w:rPr>
        <w:t>Disability Discrimination Act</w:t>
      </w:r>
      <w:r w:rsidR="009A26BA" w:rsidRPr="006E4197">
        <w:rPr>
          <w:i/>
        </w:rPr>
        <w:t xml:space="preserve"> </w:t>
      </w:r>
      <w:r w:rsidRPr="00E139ED">
        <w:t xml:space="preserve">or </w:t>
      </w:r>
      <w:r w:rsidR="00A914A2">
        <w:t xml:space="preserve">the </w:t>
      </w:r>
      <w:r w:rsidR="00A914A2" w:rsidRPr="004D0DD0">
        <w:rPr>
          <w:iCs/>
        </w:rPr>
        <w:t>Anti-Discrimination Act</w:t>
      </w:r>
      <w:r w:rsidRPr="00E139ED">
        <w:t xml:space="preserve">. Australian legal practitioners bear a duty under section 345 of the Legal Profession Act 2004 </w:t>
      </w:r>
      <w:r w:rsidRPr="00182EA8">
        <w:t>not</w:t>
      </w:r>
      <w:r w:rsidRPr="00E139ED">
        <w:t xml:space="preserve"> </w:t>
      </w:r>
      <w:r w:rsidRPr="003C691A">
        <w:t>to</w:t>
      </w:r>
      <w:r w:rsidRPr="00E139ED">
        <w:t xml:space="preserve"> commence or maintain a civil claim that does not have reasonable prospects of success. Should a legal practitioner </w:t>
      </w:r>
      <w:r>
        <w:t>do so</w:t>
      </w:r>
      <w:r w:rsidRPr="00E139ED">
        <w:t xml:space="preserve">, </w:t>
      </w:r>
      <w:r>
        <w:t>s</w:t>
      </w:r>
      <w:r w:rsidR="0089049F">
        <w:t xml:space="preserve">he or </w:t>
      </w:r>
      <w:r w:rsidRPr="00E139ED">
        <w:t xml:space="preserve">he </w:t>
      </w:r>
      <w:r>
        <w:t>could</w:t>
      </w:r>
      <w:r w:rsidRPr="00E139ED">
        <w:t xml:space="preserve"> have the costs of the litigation awarded against him</w:t>
      </w:r>
      <w:r w:rsidR="0089049F">
        <w:t xml:space="preserve"> or </w:t>
      </w:r>
      <w:r w:rsidRPr="00E139ED">
        <w:t>her and be found guilty of professional misconduct</w:t>
      </w:r>
      <w:r w:rsidR="00894BD4">
        <w:t xml:space="preserve">, and </w:t>
      </w:r>
      <w:r w:rsidR="00F86086">
        <w:t>might</w:t>
      </w:r>
      <w:r w:rsidR="00F86086" w:rsidRPr="00E139ED">
        <w:t xml:space="preserve"> </w:t>
      </w:r>
      <w:r w:rsidRPr="00E139ED">
        <w:t xml:space="preserve">be suspended or </w:t>
      </w:r>
      <w:r w:rsidR="0089049F">
        <w:t>have their licence</w:t>
      </w:r>
      <w:r w:rsidR="00F86086">
        <w:t xml:space="preserve"> to practise</w:t>
      </w:r>
      <w:r w:rsidR="0089049F">
        <w:t xml:space="preserve"> </w:t>
      </w:r>
      <w:r w:rsidRPr="00E139ED">
        <w:t>revoked.</w:t>
      </w:r>
      <w:r w:rsidR="00555B07">
        <w:rPr>
          <w:rStyle w:val="FootnoteReference"/>
        </w:rPr>
        <w:footnoteReference w:id="35"/>
      </w:r>
      <w:r w:rsidRPr="00E139ED">
        <w:t xml:space="preserve"> The author therefore considers that the Committee should reject </w:t>
      </w:r>
      <w:r w:rsidR="00F86086">
        <w:t xml:space="preserve">the </w:t>
      </w:r>
      <w:r w:rsidRPr="00E139ED">
        <w:t>State party</w:t>
      </w:r>
      <w:r w:rsidR="0029226E">
        <w:t>’</w:t>
      </w:r>
      <w:r>
        <w:t>s contention</w:t>
      </w:r>
      <w:r w:rsidRPr="00E139ED">
        <w:t xml:space="preserve"> inviting the author to pursue a cause of action </w:t>
      </w:r>
      <w:r w:rsidR="0089049F">
        <w:t>that</w:t>
      </w:r>
      <w:r w:rsidR="0089049F" w:rsidRPr="00E139ED">
        <w:t xml:space="preserve"> </w:t>
      </w:r>
      <w:r w:rsidRPr="00E139ED">
        <w:t>does not have any prospect of success</w:t>
      </w:r>
      <w:r w:rsidRPr="00CC6DD3">
        <w:t>.</w:t>
      </w:r>
    </w:p>
    <w:p w:rsidR="00EE7322" w:rsidRPr="00CC6DD3" w:rsidRDefault="00182EA8" w:rsidP="003C691A">
      <w:pPr>
        <w:pStyle w:val="SingleTxtG"/>
      </w:pPr>
      <w:r>
        <w:t>5.4</w:t>
      </w:r>
      <w:r>
        <w:tab/>
      </w:r>
      <w:r w:rsidR="00EE7322">
        <w:t>As concerns the State party’s argument that the author’s claims under articles 2</w:t>
      </w:r>
      <w:r w:rsidR="0089049F">
        <w:t>,</w:t>
      </w:r>
      <w:r w:rsidR="00EE7322">
        <w:t xml:space="preserve"> 4</w:t>
      </w:r>
      <w:r w:rsidR="0089049F">
        <w:t>,</w:t>
      </w:r>
      <w:r w:rsidR="00EE7322" w:rsidRPr="00CC6DD3">
        <w:t xml:space="preserve"> 5 and 9 of the Convention</w:t>
      </w:r>
      <w:r w:rsidR="00EE7322">
        <w:t xml:space="preserve"> should be held inadmissible, the author argues that article 2 is an interpretive provision under which </w:t>
      </w:r>
      <w:r w:rsidR="00EE7322" w:rsidRPr="00CC6DD3">
        <w:t xml:space="preserve">steno-captioning </w:t>
      </w:r>
      <w:r w:rsidR="00EE7322">
        <w:t>must be identified as</w:t>
      </w:r>
      <w:r w:rsidR="00EE7322" w:rsidRPr="00CC6DD3">
        <w:t xml:space="preserve"> a form of communication</w:t>
      </w:r>
      <w:r w:rsidR="00EE7322">
        <w:t>, and a</w:t>
      </w:r>
      <w:r w:rsidR="00EE7322" w:rsidRPr="00CC6DD3">
        <w:t xml:space="preserve"> </w:t>
      </w:r>
      <w:r w:rsidR="00EE7322" w:rsidRPr="003C691A">
        <w:t>reasonable</w:t>
      </w:r>
      <w:r w:rsidR="00EE7322" w:rsidRPr="00CC6DD3">
        <w:t xml:space="preserve"> </w:t>
      </w:r>
      <w:r w:rsidR="00EE7322">
        <w:t>accommodation</w:t>
      </w:r>
      <w:r w:rsidR="00EE7322" w:rsidRPr="00CC6DD3">
        <w:t xml:space="preserve"> </w:t>
      </w:r>
      <w:r w:rsidR="00EE7322">
        <w:t>necessary for him</w:t>
      </w:r>
      <w:r w:rsidR="00EE7322" w:rsidRPr="00CC6DD3">
        <w:t xml:space="preserve"> to participate in jury duty</w:t>
      </w:r>
      <w:r w:rsidR="00EE7322">
        <w:t xml:space="preserve">, issues that have not been questioned by the State party. </w:t>
      </w:r>
    </w:p>
    <w:p w:rsidR="00EE7322" w:rsidRPr="00CC6DD3" w:rsidRDefault="00182EA8" w:rsidP="003C691A">
      <w:pPr>
        <w:pStyle w:val="SingleTxtG"/>
      </w:pPr>
      <w:r>
        <w:t>5.5</w:t>
      </w:r>
      <w:r>
        <w:tab/>
      </w:r>
      <w:r w:rsidR="00EE7322">
        <w:t>As to article 4 of the Convention, the author notes that it</w:t>
      </w:r>
      <w:r w:rsidR="00EE7322" w:rsidRPr="00CC6DD3">
        <w:t xml:space="preserve"> sets out the </w:t>
      </w:r>
      <w:r w:rsidR="00EE7322">
        <w:t>g</w:t>
      </w:r>
      <w:r w:rsidR="00EE7322" w:rsidRPr="00CC6DD3">
        <w:t xml:space="preserve">eneral </w:t>
      </w:r>
      <w:r w:rsidR="00EE7322">
        <w:t>o</w:t>
      </w:r>
      <w:r w:rsidR="00EE7322" w:rsidRPr="00CC6DD3">
        <w:t xml:space="preserve">bligations of States </w:t>
      </w:r>
      <w:r w:rsidR="0089049F">
        <w:t>p</w:t>
      </w:r>
      <w:r w:rsidR="00EE7322" w:rsidRPr="00CC6DD3">
        <w:t>arties</w:t>
      </w:r>
      <w:r w:rsidR="00EE7322">
        <w:t>, which</w:t>
      </w:r>
      <w:r w:rsidR="00EE7322" w:rsidRPr="00CC6DD3">
        <w:t xml:space="preserve"> apply </w:t>
      </w:r>
      <w:r w:rsidR="00EE7322">
        <w:t>to</w:t>
      </w:r>
      <w:r w:rsidR="00EE7322" w:rsidRPr="00CC6DD3">
        <w:t xml:space="preserve"> the reali</w:t>
      </w:r>
      <w:r w:rsidR="0089049F">
        <w:t>z</w:t>
      </w:r>
      <w:r w:rsidR="00EE7322" w:rsidRPr="00CC6DD3">
        <w:t xml:space="preserve">ation of all </w:t>
      </w:r>
      <w:r w:rsidR="00EE7322">
        <w:t xml:space="preserve">the </w:t>
      </w:r>
      <w:r w:rsidR="00EE7322" w:rsidRPr="00CC6DD3">
        <w:t>specific obligations</w:t>
      </w:r>
      <w:r w:rsidR="00EE7322">
        <w:t xml:space="preserve"> of the Convention</w:t>
      </w:r>
      <w:r w:rsidR="00EE7322" w:rsidRPr="00CC6DD3">
        <w:t xml:space="preserve">, including </w:t>
      </w:r>
      <w:r w:rsidR="00EE7322">
        <w:t>those</w:t>
      </w:r>
      <w:r w:rsidR="00EE7322" w:rsidRPr="00CC6DD3">
        <w:t xml:space="preserve"> set out in </w:t>
      </w:r>
      <w:r w:rsidR="00EE7322">
        <w:t>a</w:t>
      </w:r>
      <w:r w:rsidR="00EE7322" w:rsidRPr="00CC6DD3">
        <w:t>rticles 12</w:t>
      </w:r>
      <w:r w:rsidR="0089049F">
        <w:t>,</w:t>
      </w:r>
      <w:r w:rsidR="00EE7322" w:rsidRPr="00CC6DD3">
        <w:t xml:space="preserve"> 13</w:t>
      </w:r>
      <w:r w:rsidR="0089049F">
        <w:t>,</w:t>
      </w:r>
      <w:r w:rsidR="00EE7322" w:rsidRPr="00CC6DD3">
        <w:t xml:space="preserve"> 21 and 29.</w:t>
      </w:r>
      <w:r w:rsidR="00EE7322">
        <w:t xml:space="preserve"> The author </w:t>
      </w:r>
      <w:r w:rsidR="00EE7322" w:rsidRPr="00CC6DD3">
        <w:t>contend</w:t>
      </w:r>
      <w:r w:rsidR="00EE7322">
        <w:t>s</w:t>
      </w:r>
      <w:r w:rsidR="00EE7322" w:rsidRPr="00CC6DD3">
        <w:t xml:space="preserve"> </w:t>
      </w:r>
      <w:r w:rsidR="00EE7322" w:rsidRPr="00CC6DD3">
        <w:lastRenderedPageBreak/>
        <w:t>that</w:t>
      </w:r>
      <w:r w:rsidR="00EE7322">
        <w:t xml:space="preserve"> the mere existence of the human rights violations he alleges demonstrates that the</w:t>
      </w:r>
      <w:r w:rsidR="00EE7322" w:rsidRPr="00CC6DD3">
        <w:t xml:space="preserve"> </w:t>
      </w:r>
      <w:r w:rsidR="00EE7322">
        <w:t xml:space="preserve">State party </w:t>
      </w:r>
      <w:r w:rsidR="00EE7322" w:rsidRPr="00CC6DD3">
        <w:t xml:space="preserve">has failed to fulfil </w:t>
      </w:r>
      <w:r w:rsidR="00EE7322" w:rsidRPr="003C691A">
        <w:t>these</w:t>
      </w:r>
      <w:r w:rsidR="00EE7322">
        <w:t xml:space="preserve"> general obligations. He further argues that </w:t>
      </w:r>
      <w:r w:rsidR="00EE7322" w:rsidRPr="00CC6DD3">
        <w:t>the Government</w:t>
      </w:r>
      <w:r w:rsidR="00F86086">
        <w:t xml:space="preserve"> of New South Wales</w:t>
      </w:r>
      <w:r w:rsidR="00EE7322" w:rsidRPr="00CC6DD3">
        <w:t xml:space="preserve"> </w:t>
      </w:r>
      <w:r w:rsidR="00EE7322">
        <w:t xml:space="preserve">could </w:t>
      </w:r>
      <w:r w:rsidR="00EE7322" w:rsidRPr="00CC6DD3">
        <w:t xml:space="preserve">provide the reasonable accommodation </w:t>
      </w:r>
      <w:r w:rsidR="00EE7322">
        <w:t>he</w:t>
      </w:r>
      <w:r w:rsidR="00EE7322" w:rsidRPr="00CC6DD3">
        <w:t xml:space="preserve"> require</w:t>
      </w:r>
      <w:r w:rsidR="00EE7322">
        <w:t>s and that</w:t>
      </w:r>
      <w:r w:rsidR="0089049F">
        <w:t>,</w:t>
      </w:r>
      <w:r w:rsidR="00EE7322">
        <w:t xml:space="preserve"> i</w:t>
      </w:r>
      <w:r w:rsidR="00EE7322" w:rsidRPr="00CC6DD3">
        <w:t>f the</w:t>
      </w:r>
      <w:r w:rsidR="00EE7322">
        <w:t xml:space="preserve"> State party considers that there</w:t>
      </w:r>
      <w:r w:rsidR="00EE7322" w:rsidRPr="00CC6DD3">
        <w:t xml:space="preserve"> is a legal barrier to the participation of </w:t>
      </w:r>
      <w:r w:rsidR="00EE7322">
        <w:t xml:space="preserve">deaf </w:t>
      </w:r>
      <w:r w:rsidR="00EE7322" w:rsidRPr="00CC6DD3">
        <w:t>people who require live assistance in the jury system</w:t>
      </w:r>
      <w:r w:rsidR="00EE7322">
        <w:t>, it</w:t>
      </w:r>
      <w:r w:rsidR="00EE7322" w:rsidRPr="00CC6DD3">
        <w:t xml:space="preserve"> has the </w:t>
      </w:r>
      <w:r w:rsidR="00EE7322">
        <w:t>constitutional</w:t>
      </w:r>
      <w:r w:rsidR="00EE7322" w:rsidRPr="00CC6DD3">
        <w:t xml:space="preserve"> power to </w:t>
      </w:r>
      <w:r w:rsidR="00EE7322">
        <w:t>make the necessary legislative reforms.</w:t>
      </w:r>
      <w:r w:rsidR="00BB551F">
        <w:rPr>
          <w:rStyle w:val="FootnoteReference"/>
        </w:rPr>
        <w:footnoteReference w:id="36"/>
      </w:r>
      <w:r w:rsidR="00EE7322">
        <w:t xml:space="preserve"> The author submits that the</w:t>
      </w:r>
      <w:r w:rsidR="00EE7322" w:rsidRPr="00CC6DD3">
        <w:t xml:space="preserve"> general obligations </w:t>
      </w:r>
      <w:r w:rsidR="00EE7322">
        <w:t xml:space="preserve">under article 9 </w:t>
      </w:r>
      <w:r w:rsidR="00EE7322" w:rsidRPr="00CC6DD3">
        <w:t xml:space="preserve">apply </w:t>
      </w:r>
      <w:r w:rsidR="00EE7322">
        <w:t>for</w:t>
      </w:r>
      <w:r w:rsidR="00EE7322" w:rsidRPr="00CC6DD3">
        <w:t xml:space="preserve"> the reali</w:t>
      </w:r>
      <w:r w:rsidR="0089049F">
        <w:t>z</w:t>
      </w:r>
      <w:r w:rsidR="00EE7322" w:rsidRPr="00CC6DD3">
        <w:t xml:space="preserve">ation of all </w:t>
      </w:r>
      <w:r w:rsidR="00EE7322">
        <w:t xml:space="preserve">the conventional </w:t>
      </w:r>
      <w:r w:rsidR="00EE7322" w:rsidRPr="00CC6DD3">
        <w:t>specific obligations</w:t>
      </w:r>
      <w:r w:rsidR="00EE7322">
        <w:t>, which</w:t>
      </w:r>
      <w:r w:rsidR="00EE7322" w:rsidRPr="00CC6DD3">
        <w:t xml:space="preserve"> </w:t>
      </w:r>
      <w:r w:rsidR="00EE7322">
        <w:t>the State party</w:t>
      </w:r>
      <w:r w:rsidR="00F86086">
        <w:t xml:space="preserve"> has</w:t>
      </w:r>
      <w:r w:rsidR="00EE7322" w:rsidRPr="00CC6DD3">
        <w:t xml:space="preserve"> failed to fulfil</w:t>
      </w:r>
      <w:r w:rsidR="00EE7322">
        <w:t xml:space="preserve"> in the present case.</w:t>
      </w:r>
      <w:r w:rsidR="00EE7322" w:rsidRPr="00CC6DD3">
        <w:t xml:space="preserve"> </w:t>
      </w:r>
      <w:r w:rsidR="00EE7322">
        <w:t xml:space="preserve">He maintains that </w:t>
      </w:r>
      <w:r w:rsidR="00EE7322" w:rsidRPr="00CC6DD3">
        <w:t>steno-captioning is</w:t>
      </w:r>
      <w:r w:rsidR="00EE7322">
        <w:t xml:space="preserve"> </w:t>
      </w:r>
      <w:r w:rsidR="00EE7322" w:rsidRPr="00CC6DD3">
        <w:t>a “communication technology or system”</w:t>
      </w:r>
      <w:r w:rsidR="00EE7322">
        <w:t>, and</w:t>
      </w:r>
      <w:r w:rsidR="00EE7322" w:rsidRPr="00CC6DD3">
        <w:t xml:space="preserve"> </w:t>
      </w:r>
      <w:r w:rsidR="00EE7322">
        <w:t>a form</w:t>
      </w:r>
      <w:r w:rsidR="00EE7322" w:rsidRPr="00CC6DD3">
        <w:t xml:space="preserve"> of “</w:t>
      </w:r>
      <w:r w:rsidR="00EE7322" w:rsidRPr="00182EA8">
        <w:t>live</w:t>
      </w:r>
      <w:r w:rsidR="00EE7322" w:rsidRPr="00CC6DD3">
        <w:t xml:space="preserve"> assistance” required by </w:t>
      </w:r>
      <w:r w:rsidR="00EE7322">
        <w:t>him</w:t>
      </w:r>
      <w:r w:rsidR="00EE7322" w:rsidRPr="00CC6DD3">
        <w:t xml:space="preserve"> within the meaning of </w:t>
      </w:r>
      <w:r w:rsidR="00EE7322">
        <w:t>a</w:t>
      </w:r>
      <w:r w:rsidR="00EE7322" w:rsidRPr="00CC6DD3">
        <w:t>rticle 9</w:t>
      </w:r>
      <w:r w:rsidR="00F86086">
        <w:t xml:space="preserve"> of the Convention</w:t>
      </w:r>
      <w:r w:rsidR="00EE7322" w:rsidRPr="00CC6DD3">
        <w:t xml:space="preserve">. </w:t>
      </w:r>
    </w:p>
    <w:p w:rsidR="00EE7322" w:rsidRPr="00CC6DD3" w:rsidRDefault="00182EA8" w:rsidP="003C691A">
      <w:pPr>
        <w:pStyle w:val="SingleTxtG"/>
      </w:pPr>
      <w:r>
        <w:t>5.6</w:t>
      </w:r>
      <w:r>
        <w:tab/>
      </w:r>
      <w:r w:rsidR="00EE7322">
        <w:t>As to the merits of his claims, the author refers to the general rules of interpretation as provided by the Vienna Convention. In th</w:t>
      </w:r>
      <w:r w:rsidR="00F86086">
        <w:t>at</w:t>
      </w:r>
      <w:r w:rsidR="00EE7322">
        <w:t xml:space="preserve"> context, he notes that t</w:t>
      </w:r>
      <w:r w:rsidR="00EE7322" w:rsidRPr="00CC6DD3">
        <w:t xml:space="preserve">he term “legal capacity” </w:t>
      </w:r>
      <w:r w:rsidR="00EE7322">
        <w:t>under article 12 refers to</w:t>
      </w:r>
      <w:r w:rsidR="00EE7322" w:rsidRPr="00CC6DD3">
        <w:t xml:space="preserve"> the ability of a person to exercise legal rights and entitlements, perform legal </w:t>
      </w:r>
      <w:r w:rsidR="00EE7322" w:rsidRPr="003C691A">
        <w:t>obligations</w:t>
      </w:r>
      <w:r w:rsidR="00EE7322" w:rsidRPr="00CC6DD3">
        <w:t xml:space="preserve"> or duties, </w:t>
      </w:r>
      <w:r w:rsidR="00EE7322">
        <w:t>and bear legal responsibilities. T</w:t>
      </w:r>
      <w:r w:rsidR="00EE7322" w:rsidRPr="00CC6DD3">
        <w:t xml:space="preserve">here is no textual basis </w:t>
      </w:r>
      <w:r w:rsidR="00F86086">
        <w:t xml:space="preserve">to support the contention </w:t>
      </w:r>
      <w:r w:rsidR="00EE7322" w:rsidRPr="00CC6DD3">
        <w:t xml:space="preserve">that the reference to legal capacity in </w:t>
      </w:r>
      <w:r w:rsidR="00EE7322">
        <w:t>a</w:t>
      </w:r>
      <w:r w:rsidR="00EE7322" w:rsidRPr="00CC6DD3">
        <w:t>rticle 12</w:t>
      </w:r>
      <w:r w:rsidR="008F28EE">
        <w:t xml:space="preserve"> </w:t>
      </w:r>
      <w:r w:rsidR="00EE7322" w:rsidRPr="00CC6DD3">
        <w:t>(2) is limited to the exercise of legal rights and entitlements or that the term otherwise has “a limited and specific meaning” or refers to a “subset of capacity”.</w:t>
      </w:r>
      <w:r w:rsidR="00D06A12">
        <w:rPr>
          <w:rStyle w:val="FootnoteReference"/>
        </w:rPr>
        <w:footnoteReference w:id="37"/>
      </w:r>
      <w:r w:rsidR="00EE7322" w:rsidRPr="00CC6DD3">
        <w:t xml:space="preserve"> </w:t>
      </w:r>
      <w:r w:rsidR="00EE7322">
        <w:t>I</w:t>
      </w:r>
      <w:r w:rsidR="00EE7322" w:rsidRPr="00CC6DD3">
        <w:t xml:space="preserve">t would frustrate the purpose of the </w:t>
      </w:r>
      <w:r w:rsidR="00EE7322">
        <w:t>Convention</w:t>
      </w:r>
      <w:r w:rsidR="00EE7322" w:rsidRPr="00CC6DD3">
        <w:t xml:space="preserve"> if legal capacity </w:t>
      </w:r>
      <w:r w:rsidR="00EE7322">
        <w:t xml:space="preserve">was </w:t>
      </w:r>
      <w:r w:rsidR="00EE7322" w:rsidRPr="00CC6DD3">
        <w:t xml:space="preserve">given the narrow meaning proposed by the </w:t>
      </w:r>
      <w:r w:rsidR="00EE7322">
        <w:t xml:space="preserve">State party as </w:t>
      </w:r>
      <w:r w:rsidR="00EE7322" w:rsidRPr="00CC6DD3">
        <w:t xml:space="preserve">it would </w:t>
      </w:r>
      <w:r w:rsidR="00EE7322">
        <w:t>restrict</w:t>
      </w:r>
      <w:r w:rsidR="00EE7322" w:rsidRPr="00CC6DD3">
        <w:t xml:space="preserve"> the </w:t>
      </w:r>
      <w:r w:rsidR="00EE7322" w:rsidRPr="003C691A">
        <w:t>application</w:t>
      </w:r>
      <w:r w:rsidR="00EE7322" w:rsidRPr="00CC6DD3">
        <w:t xml:space="preserve"> of </w:t>
      </w:r>
      <w:r w:rsidR="00EE7322">
        <w:t>a</w:t>
      </w:r>
      <w:r w:rsidR="00EE7322" w:rsidRPr="00CC6DD3">
        <w:t>rticle 12</w:t>
      </w:r>
      <w:r w:rsidR="008F28EE">
        <w:t xml:space="preserve"> </w:t>
      </w:r>
      <w:r w:rsidR="00EE7322" w:rsidRPr="00CC6DD3">
        <w:t>(2) to people with cognitive impairments who re</w:t>
      </w:r>
      <w:r w:rsidR="00EE7322">
        <w:t xml:space="preserve">quire decision-making support. </w:t>
      </w:r>
    </w:p>
    <w:p w:rsidR="00EE7322" w:rsidRPr="00CC6DD3" w:rsidRDefault="00BB551F" w:rsidP="00F86086">
      <w:pPr>
        <w:pStyle w:val="SingleTxtG"/>
      </w:pPr>
      <w:r>
        <w:t>5.7</w:t>
      </w:r>
      <w:r>
        <w:tab/>
      </w:r>
      <w:r w:rsidR="00EE7322">
        <w:t>The author further submits that</w:t>
      </w:r>
      <w:r w:rsidR="00EE7322" w:rsidRPr="00CC6DD3">
        <w:t xml:space="preserve"> </w:t>
      </w:r>
      <w:r w:rsidR="00F86086">
        <w:t>in its</w:t>
      </w:r>
      <w:r w:rsidR="00F86086" w:rsidRPr="00CC6DD3">
        <w:t xml:space="preserve"> </w:t>
      </w:r>
      <w:r w:rsidR="008F28EE">
        <w:t>r</w:t>
      </w:r>
      <w:r w:rsidR="00EE7322" w:rsidRPr="00CC6DD3">
        <w:t xml:space="preserve">esponse to the </w:t>
      </w:r>
      <w:r w:rsidR="00F86086">
        <w:t xml:space="preserve">Law Reform </w:t>
      </w:r>
      <w:r w:rsidR="00EE7322">
        <w:t xml:space="preserve">Commission </w:t>
      </w:r>
      <w:r w:rsidR="00F86086">
        <w:t>r</w:t>
      </w:r>
      <w:r w:rsidR="00EE7322">
        <w:t>eport</w:t>
      </w:r>
      <w:r w:rsidR="00F86086">
        <w:t xml:space="preserve"> in 2010, the Government of New South Wales</w:t>
      </w:r>
      <w:r w:rsidR="00EE7322">
        <w:t xml:space="preserve"> clearly stated that the recommendation to enable deaf people to perform jury duty could not be supported at th</w:t>
      </w:r>
      <w:r w:rsidR="00F86086">
        <w:t>at</w:t>
      </w:r>
      <w:r w:rsidR="00EE7322">
        <w:t xml:space="preserve"> time</w:t>
      </w:r>
      <w:r w:rsidR="00EE7322" w:rsidRPr="00CC6DD3">
        <w:t>.</w:t>
      </w:r>
      <w:r w:rsidR="00EE7322">
        <w:t xml:space="preserve"> In </w:t>
      </w:r>
      <w:r w:rsidR="00EE7322" w:rsidRPr="00CC6DD3">
        <w:t xml:space="preserve">December 2013, the State of </w:t>
      </w:r>
      <w:r w:rsidR="008F28EE">
        <w:t xml:space="preserve">New South Wales </w:t>
      </w:r>
      <w:r w:rsidR="00EE7322" w:rsidRPr="00CC6DD3">
        <w:t xml:space="preserve">provided an </w:t>
      </w:r>
      <w:r w:rsidR="00EE7322">
        <w:t>u</w:t>
      </w:r>
      <w:r w:rsidR="00EE7322" w:rsidRPr="00CC6DD3">
        <w:t xml:space="preserve">pdate on the </w:t>
      </w:r>
      <w:r w:rsidR="00F86086">
        <w:t>g</w:t>
      </w:r>
      <w:r w:rsidR="00EE7322" w:rsidRPr="00CC6DD3">
        <w:t>overnment response</w:t>
      </w:r>
      <w:r w:rsidR="008F28EE">
        <w:t>,</w:t>
      </w:r>
      <w:r w:rsidR="00EE7322">
        <w:t xml:space="preserve"> </w:t>
      </w:r>
      <w:r w:rsidR="00F86086">
        <w:t>stating</w:t>
      </w:r>
      <w:r w:rsidR="008F28EE">
        <w:t xml:space="preserve"> </w:t>
      </w:r>
      <w:r w:rsidR="00EE7322">
        <w:t>that</w:t>
      </w:r>
      <w:r w:rsidR="008F28EE">
        <w:t>,</w:t>
      </w:r>
      <w:r w:rsidR="00EE7322">
        <w:t xml:space="preserve"> in view of serious concerns expressed by the stakeholders</w:t>
      </w:r>
      <w:r w:rsidR="008F28EE">
        <w:t>,</w:t>
      </w:r>
      <w:r w:rsidR="00EE7322">
        <w:t xml:space="preserve"> </w:t>
      </w:r>
      <w:r w:rsidR="00EE7322" w:rsidRPr="00CC6DD3">
        <w:t xml:space="preserve">the </w:t>
      </w:r>
      <w:r w:rsidR="00EE7322" w:rsidRPr="003C691A">
        <w:t>Government</w:t>
      </w:r>
      <w:r w:rsidR="00EE7322" w:rsidRPr="00CC6DD3">
        <w:t xml:space="preserve"> did not support changes to the Jury Act, but agreed to monitor developments in disability aids, technologies and interpreter services, to promote greater participation of people with hearing and </w:t>
      </w:r>
      <w:r w:rsidR="00EE7322">
        <w:t>sight</w:t>
      </w:r>
      <w:r w:rsidR="00EE7322" w:rsidRPr="00CC6DD3">
        <w:t xml:space="preserve"> impairment</w:t>
      </w:r>
      <w:r w:rsidR="008F28EE">
        <w:t>.</w:t>
      </w:r>
      <w:r w:rsidR="00EE7322" w:rsidRPr="00CC6DD3">
        <w:t xml:space="preserve"> </w:t>
      </w:r>
      <w:r w:rsidR="00EE7322">
        <w:t>According to the author, th</w:t>
      </w:r>
      <w:r w:rsidR="008F28EE">
        <w:t>at</w:t>
      </w:r>
      <w:r w:rsidR="00EE7322">
        <w:t xml:space="preserve"> demonstrates the ongoing policy of </w:t>
      </w:r>
      <w:r w:rsidR="00EE7322" w:rsidRPr="00CC6DD3">
        <w:t xml:space="preserve">the State of </w:t>
      </w:r>
      <w:r w:rsidR="008F28EE">
        <w:t>New South Wales</w:t>
      </w:r>
      <w:r w:rsidR="008F28EE" w:rsidRPr="00CC6DD3">
        <w:t xml:space="preserve"> </w:t>
      </w:r>
      <w:r w:rsidR="00EE7322" w:rsidRPr="00CC6DD3">
        <w:t xml:space="preserve">and its </w:t>
      </w:r>
      <w:r w:rsidR="00EE7322">
        <w:t>She</w:t>
      </w:r>
      <w:r w:rsidR="00EE7322" w:rsidRPr="00CC6DD3">
        <w:t xml:space="preserve">riff </w:t>
      </w:r>
      <w:r w:rsidR="00EE7322">
        <w:t>and questions</w:t>
      </w:r>
      <w:r w:rsidR="00EE7322" w:rsidRPr="00CC6DD3">
        <w:t xml:space="preserve"> the legal ca</w:t>
      </w:r>
      <w:r w:rsidR="00EE7322">
        <w:t xml:space="preserve">pacity of deaf persons to perform jury duty. In addition, the undertaking to monitor developments </w:t>
      </w:r>
      <w:r w:rsidR="00EE7322" w:rsidRPr="00CC6DD3">
        <w:t xml:space="preserve">refers to </w:t>
      </w:r>
      <w:r w:rsidR="00EE7322">
        <w:t>adjustments</w:t>
      </w:r>
      <w:r w:rsidR="00EE7322" w:rsidRPr="00CC6DD3">
        <w:t xml:space="preserve"> that do not involve live assistance to a deaf juror in the jury room.</w:t>
      </w:r>
      <w:r w:rsidR="00135D07">
        <w:t xml:space="preserve"> </w:t>
      </w:r>
    </w:p>
    <w:p w:rsidR="00EE7322" w:rsidRPr="00CC6DD3" w:rsidRDefault="00BB551F" w:rsidP="00F86086">
      <w:pPr>
        <w:pStyle w:val="SingleTxtG"/>
      </w:pPr>
      <w:r>
        <w:t>5.8</w:t>
      </w:r>
      <w:r>
        <w:tab/>
      </w:r>
      <w:r w:rsidR="00EE7322">
        <w:t>The author argues that t</w:t>
      </w:r>
      <w:r w:rsidR="00EE7322" w:rsidRPr="00CC6DD3">
        <w:t xml:space="preserve">he provision of a stenographer </w:t>
      </w:r>
      <w:r w:rsidR="00EE7322">
        <w:t>is the “appropriate support” he needs to perform as a juror, in compliance with article 12 (3) of the Convention. T</w:t>
      </w:r>
      <w:r w:rsidR="00EE7322" w:rsidRPr="00CC6DD3">
        <w:t xml:space="preserve">he obligation of a State </w:t>
      </w:r>
      <w:r w:rsidR="008F28EE">
        <w:t>p</w:t>
      </w:r>
      <w:r w:rsidR="00EE7322" w:rsidRPr="00CC6DD3">
        <w:t xml:space="preserve">arty to take “appropriate measures” to provide access by persons with disabilities to the support they may require in exercising their legal capacity is a specific obligation </w:t>
      </w:r>
      <w:r w:rsidR="00F86086">
        <w:t>in a</w:t>
      </w:r>
      <w:r w:rsidR="00F86086" w:rsidRPr="00CC6DD3">
        <w:t xml:space="preserve">rticle 12 </w:t>
      </w:r>
      <w:r w:rsidR="00EE7322" w:rsidRPr="00CC6DD3">
        <w:t xml:space="preserve">that is </w:t>
      </w:r>
      <w:r w:rsidR="00EE7322" w:rsidRPr="00744AE8">
        <w:t>additional</w:t>
      </w:r>
      <w:r w:rsidR="00EE7322">
        <w:t xml:space="preserve"> </w:t>
      </w:r>
      <w:r w:rsidR="00EE7322" w:rsidRPr="00CC6DD3">
        <w:t xml:space="preserve">to the general obligations set out in the cross-cutting </w:t>
      </w:r>
      <w:r w:rsidR="00EE7322">
        <w:t>a</w:t>
      </w:r>
      <w:r w:rsidR="00EE7322" w:rsidRPr="00CC6DD3">
        <w:t>rticles</w:t>
      </w:r>
      <w:r w:rsidR="00F86086">
        <w:t xml:space="preserve"> in the Convention</w:t>
      </w:r>
      <w:r w:rsidR="00EE7322" w:rsidRPr="00CC6DD3">
        <w:t xml:space="preserve">, including </w:t>
      </w:r>
      <w:r w:rsidR="00EE7322">
        <w:t>articles 4</w:t>
      </w:r>
      <w:r w:rsidR="008F28EE">
        <w:t>,</w:t>
      </w:r>
      <w:r w:rsidR="00EE7322" w:rsidRPr="00CC6DD3">
        <w:t xml:space="preserve"> 5 and 9. </w:t>
      </w:r>
      <w:r w:rsidR="00EE7322">
        <w:t>The author considers that a</w:t>
      </w:r>
      <w:r w:rsidR="00EE7322" w:rsidRPr="00CC6DD3">
        <w:t xml:space="preserve">rticle 12 must </w:t>
      </w:r>
      <w:r w:rsidR="00EE7322">
        <w:t xml:space="preserve">therefore </w:t>
      </w:r>
      <w:r w:rsidR="00EE7322" w:rsidRPr="00CC6DD3">
        <w:t xml:space="preserve">be interpreted </w:t>
      </w:r>
      <w:r w:rsidR="00EE7322">
        <w:t>in the light of</w:t>
      </w:r>
      <w:r w:rsidR="00EE7322" w:rsidRPr="00CC6DD3">
        <w:t xml:space="preserve"> the cross-cutting obligations </w:t>
      </w:r>
      <w:r w:rsidR="00EE7322">
        <w:t>of</w:t>
      </w:r>
      <w:r w:rsidR="00EE7322" w:rsidRPr="00CC6DD3">
        <w:t xml:space="preserve"> </w:t>
      </w:r>
      <w:r w:rsidR="00EE7322">
        <w:t>a</w:t>
      </w:r>
      <w:r w:rsidR="00EE7322" w:rsidRPr="00CC6DD3">
        <w:t>rticle 5</w:t>
      </w:r>
      <w:r w:rsidR="00EE7322">
        <w:t xml:space="preserve"> (1) and (3), in so far as</w:t>
      </w:r>
      <w:r w:rsidR="00EE7322" w:rsidRPr="00CC6DD3">
        <w:t xml:space="preserve"> steno-captioning </w:t>
      </w:r>
      <w:r w:rsidR="00EE7322">
        <w:t>is a</w:t>
      </w:r>
      <w:r w:rsidR="00EE7322" w:rsidRPr="00CC6DD3">
        <w:t xml:space="preserve"> reasonable accommodation that promote</w:t>
      </w:r>
      <w:r w:rsidR="00EE7322">
        <w:t>s</w:t>
      </w:r>
      <w:r w:rsidR="00EE7322" w:rsidRPr="00CC6DD3">
        <w:t xml:space="preserve"> </w:t>
      </w:r>
      <w:r w:rsidR="00EE7322">
        <w:t>the author’s</w:t>
      </w:r>
      <w:r w:rsidR="00EE7322" w:rsidRPr="00CC6DD3">
        <w:t xml:space="preserve"> equality before the law </w:t>
      </w:r>
      <w:r w:rsidR="00EE7322">
        <w:t>for</w:t>
      </w:r>
      <w:r w:rsidR="00EE7322" w:rsidRPr="00CC6DD3">
        <w:t xml:space="preserve"> the exercise of legal capacity</w:t>
      </w:r>
      <w:r w:rsidR="00EE7322">
        <w:t>. He adds that this reasonable accommodation should be accompanied by</w:t>
      </w:r>
      <w:r w:rsidR="00EE7322" w:rsidRPr="00CC6DD3">
        <w:t xml:space="preserve"> legislative measures</w:t>
      </w:r>
      <w:r w:rsidR="00EE7322">
        <w:t xml:space="preserve"> </w:t>
      </w:r>
      <w:r w:rsidR="00EE7322" w:rsidRPr="00CC6DD3">
        <w:t>to amend and repeal parts of the</w:t>
      </w:r>
      <w:r w:rsidR="00EE7322" w:rsidRPr="008F28EE">
        <w:t xml:space="preserve"> Jury Act </w:t>
      </w:r>
      <w:r w:rsidR="00EE7322" w:rsidRPr="00CC6DD3">
        <w:t>to assert the ability of a stenographer to be present in the jury room, and facilitate communication between deaf and heari</w:t>
      </w:r>
      <w:r w:rsidR="00EE7322">
        <w:t>ng jurors.</w:t>
      </w:r>
      <w:r w:rsidR="00EE7322" w:rsidDel="00287001">
        <w:t xml:space="preserve"> </w:t>
      </w:r>
      <w:r w:rsidR="00EE7322">
        <w:t xml:space="preserve">The author notes that the State party </w:t>
      </w:r>
      <w:r w:rsidR="00EE7322" w:rsidRPr="00CC6DD3">
        <w:t xml:space="preserve">does not contend that the provision of steno-captioning would constitute a </w:t>
      </w:r>
      <w:r w:rsidR="00EE7322" w:rsidRPr="00CC6DD3">
        <w:lastRenderedPageBreak/>
        <w:t>“disproportionate or undue burden”</w:t>
      </w:r>
      <w:r w:rsidR="00EE7322">
        <w:t>, but</w:t>
      </w:r>
      <w:r w:rsidR="00EE7322" w:rsidRPr="00CC6DD3">
        <w:t xml:space="preserve"> </w:t>
      </w:r>
      <w:r w:rsidR="00EE7322">
        <w:t xml:space="preserve">rather </w:t>
      </w:r>
      <w:r w:rsidR="00EE7322" w:rsidRPr="00CC6DD3">
        <w:t>that</w:t>
      </w:r>
      <w:r w:rsidR="00EE7322">
        <w:t xml:space="preserve"> it has already taken measures</w:t>
      </w:r>
      <w:r w:rsidR="00EE7322" w:rsidRPr="00CC6DD3">
        <w:t xml:space="preserve"> to enable </w:t>
      </w:r>
      <w:r w:rsidR="00EE7322">
        <w:t>the participation of deaf people</w:t>
      </w:r>
      <w:r w:rsidR="00EE7322" w:rsidRPr="00CC6DD3">
        <w:t xml:space="preserve"> in jury </w:t>
      </w:r>
      <w:r w:rsidR="00EE7322">
        <w:t>duty, while th</w:t>
      </w:r>
      <w:r w:rsidR="00AF6157">
        <w:t>o</w:t>
      </w:r>
      <w:r w:rsidR="00EE7322">
        <w:t>se measures</w:t>
      </w:r>
      <w:r w:rsidR="00EE7322" w:rsidRPr="00CC6DD3">
        <w:t xml:space="preserve"> are not </w:t>
      </w:r>
      <w:r w:rsidR="00EE7322">
        <w:t>pertinent in his case.</w:t>
      </w:r>
    </w:p>
    <w:p w:rsidR="00EE7322" w:rsidRPr="00CC6DD3" w:rsidRDefault="00BB551F" w:rsidP="00F86086">
      <w:pPr>
        <w:pStyle w:val="SingleTxtG"/>
      </w:pPr>
      <w:r>
        <w:t>5.9</w:t>
      </w:r>
      <w:r>
        <w:tab/>
      </w:r>
      <w:r w:rsidR="00EE7322" w:rsidRPr="00053A62">
        <w:t xml:space="preserve">The author </w:t>
      </w:r>
      <w:r w:rsidR="00EE7322" w:rsidRPr="00B52E31">
        <w:t>submits that</w:t>
      </w:r>
      <w:r w:rsidR="00EE7322" w:rsidRPr="00053A62">
        <w:t xml:space="preserve"> “direct and indirect participants” include individuals forming part of the</w:t>
      </w:r>
      <w:r w:rsidR="00EE7322" w:rsidRPr="00CC6DD3">
        <w:t xml:space="preserve"> legal system</w:t>
      </w:r>
      <w:r w:rsidR="00EE7322">
        <w:t xml:space="preserve">, </w:t>
      </w:r>
      <w:r w:rsidR="00EE7322" w:rsidRPr="00053A62">
        <w:t>including</w:t>
      </w:r>
      <w:r w:rsidR="00EE7322" w:rsidRPr="00CC6DD3">
        <w:t xml:space="preserve"> </w:t>
      </w:r>
      <w:r w:rsidR="00EE7322">
        <w:t>j</w:t>
      </w:r>
      <w:r w:rsidR="00EE7322" w:rsidRPr="00CC6DD3">
        <w:t>urors</w:t>
      </w:r>
      <w:r w:rsidR="00EE7322">
        <w:t>.</w:t>
      </w:r>
      <w:r>
        <w:rPr>
          <w:rStyle w:val="FootnoteReference"/>
        </w:rPr>
        <w:footnoteReference w:id="38"/>
      </w:r>
      <w:r w:rsidR="00EE7322">
        <w:t xml:space="preserve"> He also submits that the</w:t>
      </w:r>
      <w:r w:rsidR="00EE7322" w:rsidRPr="00CC6DD3">
        <w:t xml:space="preserve"> participation or </w:t>
      </w:r>
      <w:r w:rsidR="00EE7322">
        <w:t>“intervention”</w:t>
      </w:r>
      <w:r w:rsidR="00EE7322" w:rsidRPr="00CC6DD3">
        <w:t xml:space="preserve"> of people with disability in the justice system, for example as judges, jurors, and legal practitioners, </w:t>
      </w:r>
      <w:r w:rsidR="00EE7322">
        <w:t>is</w:t>
      </w:r>
      <w:r w:rsidR="00EE7322" w:rsidRPr="00CC6DD3">
        <w:t xml:space="preserve"> a means </w:t>
      </w:r>
      <w:r w:rsidR="00EE7322">
        <w:t>for them to achieve</w:t>
      </w:r>
      <w:r w:rsidR="00EE7322" w:rsidRPr="00CC6DD3">
        <w:t xml:space="preserve"> access to justice</w:t>
      </w:r>
      <w:r w:rsidR="00EE7322">
        <w:t xml:space="preserve"> and that he is not</w:t>
      </w:r>
      <w:r w:rsidR="00EE7322" w:rsidRPr="00CC6DD3">
        <w:t xml:space="preserve"> equat</w:t>
      </w:r>
      <w:r w:rsidR="00EE7322">
        <w:t>ing</w:t>
      </w:r>
      <w:r w:rsidR="00EE7322" w:rsidRPr="00CC6DD3">
        <w:t xml:space="preserve"> the  obligation </w:t>
      </w:r>
      <w:r w:rsidR="00F86086">
        <w:t>in a</w:t>
      </w:r>
      <w:r w:rsidR="00F86086" w:rsidRPr="00CC6DD3">
        <w:t>rticle 5</w:t>
      </w:r>
      <w:r w:rsidR="00F86086">
        <w:t xml:space="preserve"> of the Convention </w:t>
      </w:r>
      <w:r w:rsidR="00EE7322" w:rsidRPr="00CC6DD3">
        <w:t>to provide “reasonable accommodation”</w:t>
      </w:r>
      <w:r w:rsidR="00EE7322">
        <w:t xml:space="preserve"> </w:t>
      </w:r>
      <w:r w:rsidR="00EE7322" w:rsidRPr="00CC6DD3">
        <w:t xml:space="preserve">with </w:t>
      </w:r>
      <w:r w:rsidR="00F86086">
        <w:t xml:space="preserve">the </w:t>
      </w:r>
      <w:r w:rsidR="00EE7322" w:rsidRPr="00CC6DD3">
        <w:t>obligation</w:t>
      </w:r>
      <w:r w:rsidR="00F86086">
        <w:t xml:space="preserve"> in</w:t>
      </w:r>
      <w:r w:rsidR="00EE7322" w:rsidRPr="00CC6DD3">
        <w:t xml:space="preserve"> </w:t>
      </w:r>
      <w:r w:rsidR="00F86086">
        <w:t>a</w:t>
      </w:r>
      <w:r w:rsidR="00F86086" w:rsidRPr="00CC6DD3">
        <w:t xml:space="preserve">rticle 13 </w:t>
      </w:r>
      <w:r w:rsidR="00EE7322" w:rsidRPr="00CC6DD3">
        <w:t>to provide “procedural and age-appropriate accommodations”</w:t>
      </w:r>
      <w:r w:rsidR="00F86086">
        <w:t>.</w:t>
      </w:r>
      <w:r w:rsidR="00EE7322">
        <w:t xml:space="preserve"> </w:t>
      </w:r>
      <w:r w:rsidR="00F86086">
        <w:t>B</w:t>
      </w:r>
      <w:r w:rsidR="00EE7322">
        <w:t>oth</w:t>
      </w:r>
      <w:r w:rsidR="00EE7322" w:rsidRPr="00CC6DD3">
        <w:t xml:space="preserve"> are interrelated, but </w:t>
      </w:r>
      <w:r w:rsidR="00EE7322">
        <w:t>their</w:t>
      </w:r>
      <w:r w:rsidR="00EE7322" w:rsidRPr="00CC6DD3">
        <w:t xml:space="preserve"> meaning and </w:t>
      </w:r>
      <w:r w:rsidR="00EE7322" w:rsidRPr="003C691A">
        <w:t>scope</w:t>
      </w:r>
      <w:r w:rsidR="00EE7322">
        <w:t xml:space="preserve"> are different</w:t>
      </w:r>
      <w:r w:rsidR="00EE7322" w:rsidRPr="00CC6DD3">
        <w:t xml:space="preserve">. </w:t>
      </w:r>
      <w:r w:rsidR="00EE7322">
        <w:t xml:space="preserve">In the present case, </w:t>
      </w:r>
      <w:r w:rsidR="00EE7322" w:rsidRPr="00CC6DD3">
        <w:t xml:space="preserve">the provision of steno-captioning </w:t>
      </w:r>
      <w:r w:rsidR="00EE7322">
        <w:t>is a</w:t>
      </w:r>
      <w:r w:rsidR="00EE7322" w:rsidRPr="00CC6DD3">
        <w:t xml:space="preserve"> reasonable adjustment that promote</w:t>
      </w:r>
      <w:r w:rsidR="00EE7322">
        <w:t>s</w:t>
      </w:r>
      <w:r w:rsidR="00EE7322" w:rsidRPr="00CC6DD3">
        <w:t xml:space="preserve"> </w:t>
      </w:r>
      <w:r w:rsidR="00EE7322">
        <w:t>the author’s</w:t>
      </w:r>
      <w:r w:rsidR="00EE7322" w:rsidRPr="00CC6DD3">
        <w:t xml:space="preserve"> participation in legal proceedings</w:t>
      </w:r>
      <w:r w:rsidR="00EE7322">
        <w:t>, which also requires a</w:t>
      </w:r>
      <w:r w:rsidR="00EE7322" w:rsidRPr="00CC6DD3">
        <w:t xml:space="preserve"> </w:t>
      </w:r>
      <w:r w:rsidR="00EE7322" w:rsidRPr="007B7452">
        <w:t>procedural accommodation</w:t>
      </w:r>
      <w:r w:rsidR="00EE7322">
        <w:t xml:space="preserve"> such as the introduction of an oath for</w:t>
      </w:r>
      <w:r w:rsidR="00EE7322" w:rsidRPr="00CC6DD3">
        <w:t xml:space="preserve"> steno-captioner</w:t>
      </w:r>
      <w:r w:rsidR="00EE7322">
        <w:t>s</w:t>
      </w:r>
      <w:r w:rsidR="00EE7322" w:rsidRPr="00CC6DD3">
        <w:t xml:space="preserve"> that they will keep jury deliberations secret</w:t>
      </w:r>
      <w:r w:rsidR="00EE7322">
        <w:t xml:space="preserve"> or the issuance of</w:t>
      </w:r>
      <w:r w:rsidR="00EE7322" w:rsidRPr="00CC6DD3">
        <w:t xml:space="preserve"> a specific direction</w:t>
      </w:r>
      <w:r w:rsidR="00EE7322">
        <w:t xml:space="preserve"> by the Court</w:t>
      </w:r>
      <w:r w:rsidR="00EE7322" w:rsidRPr="00CC6DD3">
        <w:t xml:space="preserve"> to all jurors that they </w:t>
      </w:r>
      <w:r w:rsidR="00EE7322">
        <w:t xml:space="preserve">do </w:t>
      </w:r>
      <w:r w:rsidR="00EE7322" w:rsidRPr="00CC6DD3">
        <w:t>not attempt to discuss or deliberate on the case with the stenographer</w:t>
      </w:r>
      <w:r w:rsidR="00EE7322">
        <w:t>,</w:t>
      </w:r>
      <w:r w:rsidR="00EE7322" w:rsidRPr="00CC6DD3">
        <w:t xml:space="preserve"> but only interact with </w:t>
      </w:r>
      <w:r w:rsidR="00EE7322">
        <w:t>him</w:t>
      </w:r>
      <w:r w:rsidR="00AF6157">
        <w:t xml:space="preserve"> or </w:t>
      </w:r>
      <w:r w:rsidR="00EE7322">
        <w:t>her</w:t>
      </w:r>
      <w:r w:rsidR="00EE7322" w:rsidRPr="00CC6DD3">
        <w:t xml:space="preserve"> as a facilitator of communication for the deaf juror.</w:t>
      </w:r>
      <w:r w:rsidR="00EE7322">
        <w:t xml:space="preserve"> The author therefore considers that the State party has failed to establish </w:t>
      </w:r>
      <w:r w:rsidR="00EE7322" w:rsidRPr="00CC6DD3">
        <w:t xml:space="preserve">that the provision of </w:t>
      </w:r>
      <w:r w:rsidR="00EE7322">
        <w:t>the</w:t>
      </w:r>
      <w:r w:rsidR="00EE7322" w:rsidRPr="00CC6DD3">
        <w:t xml:space="preserve"> required accommodation would impose a disproportionate or undue burden</w:t>
      </w:r>
      <w:r w:rsidR="00EE7322">
        <w:t>, and would therefore be unreasonable, thereby violating his rights under article 21, read alone and in conjunction with article 5.</w:t>
      </w:r>
    </w:p>
    <w:p w:rsidR="00EE7322" w:rsidRDefault="00EE7322" w:rsidP="00F86086">
      <w:pPr>
        <w:pStyle w:val="SingleTxtG"/>
      </w:pPr>
      <w:r w:rsidRPr="003416A9">
        <w:t>5.10</w:t>
      </w:r>
      <w:r w:rsidR="00BB551F">
        <w:tab/>
      </w:r>
      <w:r>
        <w:t xml:space="preserve">The author further contends that </w:t>
      </w:r>
      <w:r w:rsidRPr="00CC6DD3">
        <w:t xml:space="preserve">the measures the </w:t>
      </w:r>
      <w:r>
        <w:t>State party</w:t>
      </w:r>
      <w:r w:rsidRPr="00CC6DD3">
        <w:t xml:space="preserve"> purports to have taken do not </w:t>
      </w:r>
      <w:r>
        <w:t>fulfil</w:t>
      </w:r>
      <w:r w:rsidRPr="00CC6DD3">
        <w:t xml:space="preserve"> the obligation </w:t>
      </w:r>
      <w:r w:rsidRPr="003C691A">
        <w:t>imposed</w:t>
      </w:r>
      <w:r w:rsidRPr="00CC6DD3">
        <w:t xml:space="preserve"> by </w:t>
      </w:r>
      <w:r>
        <w:t>a</w:t>
      </w:r>
      <w:r w:rsidRPr="00CC6DD3">
        <w:t>rticle 21</w:t>
      </w:r>
      <w:r w:rsidR="00AF6157">
        <w:t xml:space="preserve"> </w:t>
      </w:r>
      <w:r w:rsidRPr="00CC6DD3">
        <w:t>(b</w:t>
      </w:r>
      <w:r>
        <w:t>)</w:t>
      </w:r>
      <w:r w:rsidR="00F86086">
        <w:t xml:space="preserve"> of the Convention</w:t>
      </w:r>
      <w:r>
        <w:t xml:space="preserve"> and</w:t>
      </w:r>
      <w:r w:rsidRPr="00DB7A17">
        <w:t xml:space="preserve"> that there is no textual basis</w:t>
      </w:r>
      <w:r>
        <w:t xml:space="preserve"> </w:t>
      </w:r>
      <w:r w:rsidRPr="00DB7A17">
        <w:t>to support the State party’s contention that the reference to “official interactions”</w:t>
      </w:r>
      <w:r>
        <w:t xml:space="preserve"> is not applicable in the present case:</w:t>
      </w:r>
      <w:r w:rsidR="00BB551F">
        <w:t xml:space="preserve"> </w:t>
      </w:r>
      <w:r>
        <w:t xml:space="preserve">a court is </w:t>
      </w:r>
      <w:r w:rsidRPr="00DB7A17">
        <w:t xml:space="preserve">a public authority or body and its activities are focused on the public administration of justice, including through the conduct of trials by jury. A juror is a person holding a public responsibility in the administration of justice and is involved in interactions with other persons exercising public duties and responsibilities, including other jurors, and judicial officers. </w:t>
      </w:r>
    </w:p>
    <w:p w:rsidR="00EE7322" w:rsidRPr="00CC6DD3" w:rsidRDefault="00BB551F" w:rsidP="003C691A">
      <w:pPr>
        <w:pStyle w:val="SingleTxtG"/>
      </w:pPr>
      <w:r>
        <w:t>5.11</w:t>
      </w:r>
      <w:r>
        <w:tab/>
      </w:r>
      <w:r w:rsidR="00EE7322" w:rsidRPr="005B2F95">
        <w:t>Concerning his claim under article 29 of the Convention, the author</w:t>
      </w:r>
      <w:r w:rsidR="00EE7322">
        <w:t xml:space="preserve"> submits that</w:t>
      </w:r>
      <w:r w:rsidR="00EE7322" w:rsidRPr="005B2F95">
        <w:t xml:space="preserve"> </w:t>
      </w:r>
      <w:r w:rsidR="00EE7322" w:rsidRPr="00961CFB">
        <w:t xml:space="preserve">the Committee has jurisdiction to consider </w:t>
      </w:r>
      <w:r w:rsidR="00EE7322">
        <w:t>the</w:t>
      </w:r>
      <w:r w:rsidR="00EE7322" w:rsidRPr="00961CFB">
        <w:t xml:space="preserve"> alleged violation of</w:t>
      </w:r>
      <w:r w:rsidR="00EE7322">
        <w:t xml:space="preserve"> the</w:t>
      </w:r>
      <w:r w:rsidR="00EE7322" w:rsidRPr="00961CFB">
        <w:t xml:space="preserve"> political rights </w:t>
      </w:r>
      <w:r w:rsidR="00EE7322">
        <w:t>of</w:t>
      </w:r>
      <w:r w:rsidR="00EE7322" w:rsidRPr="00961CFB">
        <w:t xml:space="preserve"> persons with disabilit</w:t>
      </w:r>
      <w:r w:rsidR="00F86086">
        <w:t>ies</w:t>
      </w:r>
      <w:r w:rsidR="00EE7322">
        <w:t xml:space="preserve">, including their </w:t>
      </w:r>
      <w:r w:rsidR="00EE7322" w:rsidRPr="00961CFB">
        <w:t>right to participate in the conduct of public affairs and the right of access to public service</w:t>
      </w:r>
      <w:r w:rsidR="00EE7322">
        <w:t>.</w:t>
      </w:r>
      <w:r w:rsidR="00EE7322" w:rsidRPr="00961CFB">
        <w:t xml:space="preserve"> </w:t>
      </w:r>
      <w:r w:rsidR="00EE7322">
        <w:t>I</w:t>
      </w:r>
      <w:r w:rsidR="00EE7322" w:rsidRPr="00961CFB">
        <w:t xml:space="preserve">n doing so, </w:t>
      </w:r>
      <w:r w:rsidR="00EE7322">
        <w:t>the Committee</w:t>
      </w:r>
      <w:r w:rsidR="00EE7322" w:rsidRPr="00961CFB">
        <w:t xml:space="preserve"> exercise</w:t>
      </w:r>
      <w:r w:rsidR="00EE7322">
        <w:t>s</w:t>
      </w:r>
      <w:r w:rsidR="00EE7322" w:rsidRPr="00961CFB">
        <w:t xml:space="preserve"> jurisdiction to </w:t>
      </w:r>
      <w:r w:rsidR="00EE7322">
        <w:t>assess the measures taken by States parties to ensure that persons with disabilit</w:t>
      </w:r>
      <w:r w:rsidR="00F86086">
        <w:t>ies</w:t>
      </w:r>
      <w:r w:rsidR="00EE7322">
        <w:t xml:space="preserve"> enjoy their political rights on an equal basis with others</w:t>
      </w:r>
      <w:r w:rsidR="00EE7322" w:rsidRPr="00961CFB">
        <w:t>.</w:t>
      </w:r>
      <w:r w:rsidR="00135D07">
        <w:t xml:space="preserve"> </w:t>
      </w:r>
      <w:r w:rsidR="00EE7322">
        <w:t>He</w:t>
      </w:r>
      <w:r w:rsidR="00EE7322" w:rsidRPr="00CC6DD3">
        <w:t xml:space="preserve"> </w:t>
      </w:r>
      <w:r w:rsidR="00EE7322">
        <w:t>notes</w:t>
      </w:r>
      <w:r w:rsidR="00EE7322" w:rsidRPr="00CC6DD3">
        <w:t xml:space="preserve"> that the term “conduct of public affairs” is a wide concept</w:t>
      </w:r>
      <w:r w:rsidR="00B82325">
        <w:t>,</w:t>
      </w:r>
      <w:r w:rsidR="00EE7322" w:rsidRPr="00CC6DD3">
        <w:t xml:space="preserve"> which embraces the exercise of governmental power by all arms of government</w:t>
      </w:r>
      <w:r w:rsidR="00EE7322">
        <w:t>, including</w:t>
      </w:r>
      <w:r w:rsidR="00EE7322" w:rsidRPr="00CC6DD3">
        <w:t xml:space="preserve"> the </w:t>
      </w:r>
      <w:r w:rsidR="00EE7322" w:rsidRPr="003C691A">
        <w:t>administration</w:t>
      </w:r>
      <w:r w:rsidR="00EE7322">
        <w:t xml:space="preserve"> of justice.</w:t>
      </w:r>
      <w:r w:rsidR="00EE7322" w:rsidRPr="00CC6DD3">
        <w:t xml:space="preserve"> Jurors play a part in the judicial </w:t>
      </w:r>
      <w:r w:rsidR="00EE7322">
        <w:t>power</w:t>
      </w:r>
      <w:r w:rsidR="00EE7322" w:rsidRPr="00CC6DD3">
        <w:t xml:space="preserve"> of </w:t>
      </w:r>
      <w:r w:rsidR="00EE7322">
        <w:t xml:space="preserve">the </w:t>
      </w:r>
      <w:r w:rsidR="00EE7322" w:rsidRPr="00CC6DD3">
        <w:t xml:space="preserve">government </w:t>
      </w:r>
      <w:r w:rsidR="00EE7322">
        <w:t>as</w:t>
      </w:r>
      <w:r w:rsidR="00EE7322" w:rsidRPr="00CC6DD3">
        <w:t xml:space="preserve"> they </w:t>
      </w:r>
      <w:r w:rsidR="00EE7322">
        <w:t>directly participate to determine</w:t>
      </w:r>
      <w:r w:rsidR="00EE7322" w:rsidRPr="00CC6DD3">
        <w:t xml:space="preserve"> guilt or innocence in a criminal trial or liability in a civil trial. </w:t>
      </w:r>
      <w:r w:rsidR="00EE7322">
        <w:t>T</w:t>
      </w:r>
      <w:r w:rsidR="00EE7322" w:rsidRPr="00CC6DD3">
        <w:t>hey are</w:t>
      </w:r>
      <w:r w:rsidR="00EE7322">
        <w:t xml:space="preserve"> therefore</w:t>
      </w:r>
      <w:r w:rsidR="00EE7322" w:rsidRPr="00CC6DD3">
        <w:t xml:space="preserve"> engaged in the conduct of public affairs and </w:t>
      </w:r>
      <w:r w:rsidR="00EE7322">
        <w:t>of</w:t>
      </w:r>
      <w:r w:rsidR="00EE7322" w:rsidRPr="00CC6DD3">
        <w:t xml:space="preserve"> </w:t>
      </w:r>
      <w:r w:rsidR="00EE7322">
        <w:t xml:space="preserve">a </w:t>
      </w:r>
      <w:r w:rsidR="00EE7322" w:rsidRPr="00CC6DD3">
        <w:t xml:space="preserve">public service, </w:t>
      </w:r>
      <w:r w:rsidR="00F86086">
        <w:t xml:space="preserve">that </w:t>
      </w:r>
      <w:r w:rsidR="00EE7322" w:rsidRPr="00CC6DD3">
        <w:t>being the public administration of justice.</w:t>
      </w:r>
      <w:r w:rsidR="00EE7322">
        <w:t xml:space="preserve"> The author concludes that his</w:t>
      </w:r>
      <w:r w:rsidR="00EE7322" w:rsidRPr="00CC6DD3">
        <w:t xml:space="preserve"> ex</w:t>
      </w:r>
      <w:r w:rsidR="00EE7322">
        <w:t>clusion from jury duty was not</w:t>
      </w:r>
      <w:r w:rsidR="00EE7322" w:rsidRPr="00CC6DD3">
        <w:t xml:space="preserve"> based on reasonable and objective grounds</w:t>
      </w:r>
      <w:r w:rsidR="00EE7322">
        <w:t xml:space="preserve"> and that it was </w:t>
      </w:r>
      <w:r w:rsidR="00EE7322" w:rsidRPr="00CC6DD3">
        <w:t>arbitrary</w:t>
      </w:r>
      <w:r w:rsidR="00EE7322">
        <w:t xml:space="preserve"> and discriminatory</w:t>
      </w:r>
      <w:r w:rsidR="00EE7322" w:rsidRPr="00CC6DD3">
        <w:t>.</w:t>
      </w:r>
      <w:r>
        <w:rPr>
          <w:rStyle w:val="FootnoteReference"/>
        </w:rPr>
        <w:footnoteReference w:id="39"/>
      </w:r>
      <w:r w:rsidR="00135D07">
        <w:t xml:space="preserve"> </w:t>
      </w:r>
    </w:p>
    <w:p w:rsidR="00EE7322" w:rsidRPr="00CC6DD3" w:rsidRDefault="00BB551F" w:rsidP="003C691A">
      <w:pPr>
        <w:pStyle w:val="SingleTxtG"/>
      </w:pPr>
      <w:r>
        <w:t>5.12</w:t>
      </w:r>
      <w:r>
        <w:tab/>
      </w:r>
      <w:r w:rsidR="00EE7322">
        <w:t>Finally, with respect to the State party’s arguments that the author</w:t>
      </w:r>
      <w:r w:rsidR="00EE7322" w:rsidRPr="00CC6DD3">
        <w:t xml:space="preserve"> purport</w:t>
      </w:r>
      <w:r w:rsidR="00EE7322">
        <w:t>s</w:t>
      </w:r>
      <w:r w:rsidR="00EE7322" w:rsidRPr="00CC6DD3">
        <w:t xml:space="preserve"> to identi</w:t>
      </w:r>
      <w:r w:rsidR="00EE7322">
        <w:t>fy and rely upon “new rights”, the author submits that the</w:t>
      </w:r>
      <w:r w:rsidR="00EE7322" w:rsidRPr="00CC6DD3">
        <w:t xml:space="preserve"> terms </w:t>
      </w:r>
      <w:r w:rsidR="00EE7322">
        <w:t xml:space="preserve">of the Convention </w:t>
      </w:r>
      <w:r w:rsidR="00EE7322" w:rsidRPr="00CC6DD3">
        <w:t>must be interpreted broadly</w:t>
      </w:r>
      <w:r w:rsidR="00EE7322">
        <w:t>,</w:t>
      </w:r>
      <w:r w:rsidR="00EE7322" w:rsidRPr="00CC6DD3">
        <w:t xml:space="preserve"> </w:t>
      </w:r>
      <w:r w:rsidR="00EE7322">
        <w:t>in consideration of the purpose of the Convention. He further argues that</w:t>
      </w:r>
      <w:r w:rsidR="00EE7322" w:rsidRPr="00CC6DD3">
        <w:t xml:space="preserve"> the </w:t>
      </w:r>
      <w:r w:rsidR="00EE7322">
        <w:t xml:space="preserve">notion </w:t>
      </w:r>
      <w:r w:rsidR="00EE7322" w:rsidRPr="00CC6DD3">
        <w:t xml:space="preserve">of new rights </w:t>
      </w:r>
      <w:r w:rsidR="00EE7322" w:rsidRPr="003C691A">
        <w:t>cannot</w:t>
      </w:r>
      <w:r w:rsidR="00EE7322" w:rsidRPr="00CC6DD3">
        <w:t xml:space="preserve"> be used as a shield to prevent the application of traditional rights to the specific circumstances of persons with disabilit</w:t>
      </w:r>
      <w:r w:rsidR="00F86086">
        <w:t>ies</w:t>
      </w:r>
      <w:r w:rsidR="00EE7322" w:rsidRPr="00CC6DD3">
        <w:t xml:space="preserve">, even if </w:t>
      </w:r>
      <w:r w:rsidR="00EE7322">
        <w:t>th</w:t>
      </w:r>
      <w:r w:rsidR="00F86086">
        <w:t>at</w:t>
      </w:r>
      <w:r w:rsidR="00EE7322" w:rsidRPr="00CC6DD3">
        <w:t xml:space="preserve"> extend</w:t>
      </w:r>
      <w:r w:rsidR="00EE7322">
        <w:t>s</w:t>
      </w:r>
      <w:r w:rsidR="00EE7322" w:rsidRPr="00CC6DD3">
        <w:t xml:space="preserve"> </w:t>
      </w:r>
      <w:r w:rsidR="00EE7322">
        <w:t xml:space="preserve">the </w:t>
      </w:r>
      <w:r w:rsidR="00EE7322" w:rsidRPr="00CC6DD3">
        <w:t>traditional understandings of traditional rights</w:t>
      </w:r>
      <w:r w:rsidR="00EE7322">
        <w:t xml:space="preserve">. </w:t>
      </w:r>
    </w:p>
    <w:p w:rsidR="00EE7322" w:rsidRPr="00FF4E8A" w:rsidRDefault="00EE7322" w:rsidP="003C691A">
      <w:pPr>
        <w:pStyle w:val="H23G"/>
        <w:rPr>
          <w:lang w:val="en-US"/>
        </w:rPr>
      </w:pPr>
      <w:r w:rsidRPr="00FF4E8A">
        <w:rPr>
          <w:lang w:val="en-US"/>
        </w:rPr>
        <w:lastRenderedPageBreak/>
        <w:tab/>
      </w:r>
      <w:r w:rsidRPr="00FF4E8A">
        <w:rPr>
          <w:lang w:val="en-US"/>
        </w:rPr>
        <w:tab/>
        <w:t>State party</w:t>
      </w:r>
      <w:r>
        <w:rPr>
          <w:lang w:val="en-US"/>
        </w:rPr>
        <w:t xml:space="preserve">’s </w:t>
      </w:r>
      <w:r w:rsidRPr="003C691A">
        <w:t>further</w:t>
      </w:r>
      <w:r>
        <w:rPr>
          <w:lang w:val="en-US"/>
        </w:rPr>
        <w:t xml:space="preserve"> observations</w:t>
      </w:r>
    </w:p>
    <w:p w:rsidR="00EE7322" w:rsidRDefault="00EE7322" w:rsidP="00FB4524">
      <w:pPr>
        <w:pStyle w:val="SingleTxtG"/>
        <w:rPr>
          <w:lang w:val="en-US"/>
        </w:rPr>
      </w:pPr>
      <w:r w:rsidRPr="00FF4E8A">
        <w:rPr>
          <w:lang w:val="en-US"/>
        </w:rPr>
        <w:t>6.1</w:t>
      </w:r>
      <w:r w:rsidRPr="00FF4E8A">
        <w:rPr>
          <w:lang w:val="en-US"/>
        </w:rPr>
        <w:tab/>
        <w:t xml:space="preserve">On </w:t>
      </w:r>
      <w:r>
        <w:rPr>
          <w:lang w:val="en-US"/>
        </w:rPr>
        <w:t>23 October 2015</w:t>
      </w:r>
      <w:r w:rsidRPr="00FF4E8A">
        <w:rPr>
          <w:lang w:val="en-US"/>
        </w:rPr>
        <w:t>,</w:t>
      </w:r>
      <w:r w:rsidR="00BB551F">
        <w:rPr>
          <w:rStyle w:val="FootnoteReference"/>
          <w:lang w:val="en-US"/>
        </w:rPr>
        <w:footnoteReference w:id="40"/>
      </w:r>
      <w:r w:rsidRPr="00FF4E8A">
        <w:rPr>
          <w:lang w:val="en-US"/>
        </w:rPr>
        <w:t xml:space="preserve"> the State party sent additional observations.</w:t>
      </w:r>
      <w:r w:rsidR="008E0F2C">
        <w:rPr>
          <w:rStyle w:val="FootnoteReference"/>
          <w:lang w:val="en-US"/>
        </w:rPr>
        <w:footnoteReference w:id="41"/>
      </w:r>
      <w:r w:rsidR="00FB4524">
        <w:rPr>
          <w:lang w:val="en-US"/>
        </w:rPr>
        <w:t xml:space="preserve"> </w:t>
      </w:r>
      <w:r w:rsidR="00F86086">
        <w:rPr>
          <w:lang w:val="en-US"/>
        </w:rPr>
        <w:t>It reiterates that the Convention does not establish additional rights for persons with disabilities.</w:t>
      </w:r>
      <w:r>
        <w:rPr>
          <w:lang w:val="en-US"/>
        </w:rPr>
        <w:t xml:space="preserve"> It notes that a number of terms of the </w:t>
      </w:r>
      <w:r w:rsidRPr="003C691A">
        <w:t>Convention</w:t>
      </w:r>
      <w:r>
        <w:rPr>
          <w:lang w:val="en-US"/>
        </w:rPr>
        <w:t>, such as “legal capacity” and “direct and indirect participants”, are not defined, that their meaning is ambiguous and that it is therefore appropriate to</w:t>
      </w:r>
      <w:r w:rsidR="00FB4524">
        <w:rPr>
          <w:lang w:val="en-US"/>
        </w:rPr>
        <w:t xml:space="preserve"> have</w:t>
      </w:r>
      <w:r>
        <w:rPr>
          <w:lang w:val="en-US"/>
        </w:rPr>
        <w:t xml:space="preserve"> recourse to the </w:t>
      </w:r>
      <w:r w:rsidRPr="00F577BA">
        <w:rPr>
          <w:i/>
          <w:lang w:val="en-US"/>
        </w:rPr>
        <w:t>travaux pr</w:t>
      </w:r>
      <w:r w:rsidR="00C15A3B" w:rsidRPr="00F577BA">
        <w:rPr>
          <w:i/>
          <w:lang w:val="en-US"/>
        </w:rPr>
        <w:t>é</w:t>
      </w:r>
      <w:r w:rsidRPr="00F577BA">
        <w:rPr>
          <w:i/>
          <w:lang w:val="en-US"/>
        </w:rPr>
        <w:t>paratoires</w:t>
      </w:r>
      <w:r>
        <w:rPr>
          <w:lang w:val="en-US"/>
        </w:rPr>
        <w:t xml:space="preserve"> to understand them. The State party considers that the reference to “political rights” in article 29 of the Convention does not encompass and guarantee all human rights more broadly characterized as political rights in international human rights law and it submits that the performance of jury duty is not an aspect of the “conduct of public affairs” within the meaning of article 29.</w:t>
      </w:r>
    </w:p>
    <w:p w:rsidR="00EE7322" w:rsidRDefault="00BB551F" w:rsidP="00FB4524">
      <w:pPr>
        <w:pStyle w:val="SingleTxtG"/>
        <w:rPr>
          <w:lang w:val="en-US"/>
        </w:rPr>
      </w:pPr>
      <w:r>
        <w:rPr>
          <w:lang w:val="en-US"/>
        </w:rPr>
        <w:t>6.2</w:t>
      </w:r>
      <w:r>
        <w:rPr>
          <w:lang w:val="en-US"/>
        </w:rPr>
        <w:tab/>
      </w:r>
      <w:r w:rsidR="00EE7322">
        <w:rPr>
          <w:lang w:val="en-US"/>
        </w:rPr>
        <w:t xml:space="preserve">The State party also submits that the measures adopted by the State of </w:t>
      </w:r>
      <w:r w:rsidR="00B82325">
        <w:t>New South Wales</w:t>
      </w:r>
      <w:r w:rsidR="00B82325" w:rsidRPr="00CC6DD3">
        <w:t xml:space="preserve"> </w:t>
      </w:r>
      <w:r w:rsidR="00EE7322">
        <w:rPr>
          <w:lang w:val="en-US"/>
        </w:rPr>
        <w:t>are “appropriate” and “</w:t>
      </w:r>
      <w:r w:rsidR="00EE7322" w:rsidRPr="003C691A">
        <w:t>procedural</w:t>
      </w:r>
      <w:r w:rsidR="00EE7322">
        <w:rPr>
          <w:lang w:val="en-US"/>
        </w:rPr>
        <w:t xml:space="preserve"> and age appropriate accommodations”, thereby complying with articles 12</w:t>
      </w:r>
      <w:r w:rsidR="00FB4524">
        <w:rPr>
          <w:lang w:val="en-US"/>
        </w:rPr>
        <w:t>,</w:t>
      </w:r>
      <w:r w:rsidR="00EE7322">
        <w:rPr>
          <w:lang w:val="en-US"/>
        </w:rPr>
        <w:t xml:space="preserve"> 21, and 13 of the Convention. It further notes that the use of stenographers has an </w:t>
      </w:r>
      <w:r w:rsidR="00EE7322" w:rsidRPr="00BB551F">
        <w:t>impact</w:t>
      </w:r>
      <w:r w:rsidR="00EE7322">
        <w:rPr>
          <w:lang w:val="en-US"/>
        </w:rPr>
        <w:t xml:space="preserve"> on the complexity, cost and duration of trials, and therefore has consequences</w:t>
      </w:r>
      <w:r w:rsidR="00FB4524">
        <w:rPr>
          <w:lang w:val="en-US"/>
        </w:rPr>
        <w:t xml:space="preserve"> for resources</w:t>
      </w:r>
      <w:r w:rsidR="00EE7322">
        <w:rPr>
          <w:lang w:val="en-US"/>
        </w:rPr>
        <w:t>, as reflected in the</w:t>
      </w:r>
      <w:r w:rsidR="00EE7322" w:rsidRPr="00075F65">
        <w:rPr>
          <w:lang w:val="en-US"/>
        </w:rPr>
        <w:t xml:space="preserve"> </w:t>
      </w:r>
      <w:r w:rsidR="00B82325">
        <w:rPr>
          <w:lang w:val="en-US"/>
        </w:rPr>
        <w:t>r</w:t>
      </w:r>
      <w:r w:rsidR="00EE7322">
        <w:rPr>
          <w:lang w:val="en-US"/>
        </w:rPr>
        <w:t>esponse</w:t>
      </w:r>
      <w:r w:rsidR="00FB4524">
        <w:rPr>
          <w:lang w:val="en-US"/>
        </w:rPr>
        <w:t xml:space="preserve"> of the Government of New South Wales</w:t>
      </w:r>
      <w:r w:rsidR="00EE7322">
        <w:rPr>
          <w:lang w:val="en-US"/>
        </w:rPr>
        <w:t xml:space="preserve"> to the </w:t>
      </w:r>
      <w:r w:rsidR="00FB4524">
        <w:rPr>
          <w:lang w:val="en-US"/>
        </w:rPr>
        <w:t>r</w:t>
      </w:r>
      <w:r w:rsidR="00EE7322">
        <w:rPr>
          <w:lang w:val="en-US"/>
        </w:rPr>
        <w:t>eport</w:t>
      </w:r>
      <w:r w:rsidR="00FB4524">
        <w:rPr>
          <w:lang w:val="en-US"/>
        </w:rPr>
        <w:t xml:space="preserve"> of the Law Reform Commission in 2010</w:t>
      </w:r>
      <w:r w:rsidR="00EE7322">
        <w:rPr>
          <w:lang w:val="en-US"/>
        </w:rPr>
        <w:t>.</w:t>
      </w:r>
    </w:p>
    <w:p w:rsidR="00EE7322" w:rsidRPr="00CA0D2F" w:rsidRDefault="00EE7322" w:rsidP="003C691A">
      <w:pPr>
        <w:pStyle w:val="H23G"/>
        <w:rPr>
          <w:lang w:val="en-US"/>
        </w:rPr>
      </w:pPr>
      <w:r w:rsidRPr="00FF4E8A">
        <w:rPr>
          <w:lang w:val="en-US"/>
        </w:rPr>
        <w:tab/>
      </w:r>
      <w:r w:rsidR="00500205" w:rsidRPr="00A90EF1">
        <w:rPr>
          <w:sz w:val="24"/>
          <w:szCs w:val="24"/>
        </w:rPr>
        <w:t>B.</w:t>
      </w:r>
      <w:r w:rsidR="00500205" w:rsidRPr="00A90EF1">
        <w:rPr>
          <w:sz w:val="24"/>
          <w:szCs w:val="24"/>
        </w:rPr>
        <w:tab/>
        <w:t>Committee’s consideration of admissibility and the merits</w:t>
      </w:r>
    </w:p>
    <w:p w:rsidR="00EE7322" w:rsidRPr="00F577BA" w:rsidRDefault="00EE7322" w:rsidP="003C691A">
      <w:pPr>
        <w:pStyle w:val="H4G"/>
        <w:rPr>
          <w:b/>
          <w:bCs/>
          <w:i w:val="0"/>
          <w:iCs/>
          <w:lang w:val="en-US"/>
        </w:rPr>
      </w:pPr>
      <w:r w:rsidRPr="00CA0D2F">
        <w:rPr>
          <w:lang w:val="en-US"/>
        </w:rPr>
        <w:tab/>
      </w:r>
      <w:r w:rsidRPr="00CA0D2F">
        <w:rPr>
          <w:lang w:val="en-US"/>
        </w:rPr>
        <w:tab/>
      </w:r>
      <w:r w:rsidRPr="00F577BA">
        <w:rPr>
          <w:b/>
          <w:bCs/>
          <w:i w:val="0"/>
          <w:iCs/>
        </w:rPr>
        <w:t>Consideration</w:t>
      </w:r>
      <w:r w:rsidRPr="00F577BA">
        <w:rPr>
          <w:b/>
          <w:bCs/>
          <w:i w:val="0"/>
          <w:iCs/>
          <w:lang w:val="en-US"/>
        </w:rPr>
        <w:t xml:space="preserve"> of </w:t>
      </w:r>
      <w:r w:rsidRPr="00F577BA">
        <w:rPr>
          <w:b/>
          <w:bCs/>
          <w:i w:val="0"/>
          <w:iCs/>
        </w:rPr>
        <w:t>admissibility</w:t>
      </w:r>
    </w:p>
    <w:p w:rsidR="00EE7322" w:rsidRPr="00CA0D2F" w:rsidRDefault="00EE7322" w:rsidP="0086589E">
      <w:pPr>
        <w:pStyle w:val="SingleTxtG"/>
      </w:pPr>
      <w:r w:rsidRPr="00CA0D2F">
        <w:rPr>
          <w:lang w:val="en-US"/>
        </w:rPr>
        <w:t>7</w:t>
      </w:r>
      <w:r w:rsidRPr="00CA0D2F">
        <w:t>.1</w:t>
      </w:r>
      <w:r w:rsidRPr="00CA0D2F">
        <w:tab/>
        <w:t>Before considering any claims contained in a communication, the Committee must</w:t>
      </w:r>
      <w:r w:rsidR="00B82325">
        <w:t xml:space="preserve"> decide</w:t>
      </w:r>
      <w:r w:rsidRPr="00CA0D2F">
        <w:t>, in accordance with article 2 of the Optional Protocol and rule 65 of its rules of procedure, whether or not it is admissible under the Optional Protocol.</w:t>
      </w:r>
    </w:p>
    <w:p w:rsidR="00EE7322" w:rsidRPr="00F8253F" w:rsidRDefault="00EE7322" w:rsidP="003C691A">
      <w:pPr>
        <w:pStyle w:val="SingleTxtG"/>
      </w:pPr>
      <w:r w:rsidRPr="00CA0D2F">
        <w:t>7.2</w:t>
      </w:r>
      <w:r w:rsidRPr="00CA0D2F">
        <w:tab/>
        <w:t xml:space="preserve">The Committee has </w:t>
      </w:r>
      <w:r w:rsidRPr="0086589E">
        <w:t>ascertained</w:t>
      </w:r>
      <w:r w:rsidRPr="00CA0D2F">
        <w:t xml:space="preserve">, as required under article 2 (c) of the Optional </w:t>
      </w:r>
      <w:r w:rsidRPr="00F8253F">
        <w:t xml:space="preserve">Protocol, that the </w:t>
      </w:r>
      <w:r w:rsidRPr="003C691A">
        <w:t>same</w:t>
      </w:r>
      <w:r w:rsidRPr="00F8253F">
        <w:t xml:space="preserve"> matter has not already been examined by the Committee and has not been or is not being examined under another procedure of international investigation or settlement.</w:t>
      </w:r>
    </w:p>
    <w:p w:rsidR="00EE7322" w:rsidRDefault="0086589E" w:rsidP="00FB4524">
      <w:pPr>
        <w:pStyle w:val="SingleTxtG"/>
      </w:pPr>
      <w:r>
        <w:t>7.3</w:t>
      </w:r>
      <w:r>
        <w:tab/>
      </w:r>
      <w:r w:rsidR="00EE7322" w:rsidRPr="00F8253F">
        <w:t>The Committee note</w:t>
      </w:r>
      <w:r w:rsidR="00EE7322">
        <w:t>s</w:t>
      </w:r>
      <w:r w:rsidR="00EE7322" w:rsidRPr="00F8253F">
        <w:t xml:space="preserve"> the State party’s argument that the author has not exhausted all available domestic remedies</w:t>
      </w:r>
      <w:r w:rsidR="00EE7322">
        <w:t xml:space="preserve"> as he</w:t>
      </w:r>
      <w:r w:rsidR="00EE7322" w:rsidRPr="00F8253F">
        <w:t xml:space="preserve"> </w:t>
      </w:r>
      <w:r w:rsidR="00EE7322">
        <w:t>was</w:t>
      </w:r>
      <w:r w:rsidR="00EE7322" w:rsidRPr="00F8253F">
        <w:t xml:space="preserve"> entitled to make an application </w:t>
      </w:r>
      <w:r w:rsidR="00EE7322">
        <w:t xml:space="preserve">under the </w:t>
      </w:r>
      <w:r w:rsidR="009A26BA" w:rsidRPr="00B714B4">
        <w:rPr>
          <w:iCs/>
        </w:rPr>
        <w:t>Disability Discrimination Act</w:t>
      </w:r>
      <w:r w:rsidR="009A26BA" w:rsidRPr="006E4197">
        <w:rPr>
          <w:i/>
        </w:rPr>
        <w:t xml:space="preserve"> </w:t>
      </w:r>
      <w:r w:rsidR="00EE7322">
        <w:t xml:space="preserve">or the </w:t>
      </w:r>
      <w:r w:rsidR="00A914A2" w:rsidRPr="004D0DD0">
        <w:rPr>
          <w:iCs/>
        </w:rPr>
        <w:t xml:space="preserve">Anti-Discrimination Act </w:t>
      </w:r>
      <w:r w:rsidR="00EE7322" w:rsidRPr="00F8253F">
        <w:t>to the Federal Court of Australia or the Federal Circuit Court within 60 days</w:t>
      </w:r>
      <w:r w:rsidR="00EE7322">
        <w:t xml:space="preserve"> </w:t>
      </w:r>
      <w:r w:rsidR="00B82325">
        <w:t xml:space="preserve">of the conclusion of </w:t>
      </w:r>
      <w:r w:rsidR="00EE7322">
        <w:t xml:space="preserve">the complaint process before the </w:t>
      </w:r>
      <w:r w:rsidR="00B82325">
        <w:t>Australian Human Rights Commission</w:t>
      </w:r>
      <w:r w:rsidR="00EE7322">
        <w:t>.</w:t>
      </w:r>
      <w:r w:rsidR="00EE7322" w:rsidRPr="00F8253F">
        <w:t xml:space="preserve"> The</w:t>
      </w:r>
      <w:r w:rsidR="00EE7322">
        <w:t xml:space="preserve"> Committee also notes the</w:t>
      </w:r>
      <w:r w:rsidR="00EE7322" w:rsidRPr="00F8253F">
        <w:t xml:space="preserve"> State party</w:t>
      </w:r>
      <w:r w:rsidR="00EE7322">
        <w:t>’s submission</w:t>
      </w:r>
      <w:r w:rsidR="00EE7322" w:rsidRPr="00F8253F">
        <w:t xml:space="preserve"> that the fee for filing </w:t>
      </w:r>
      <w:r w:rsidR="00EE7322">
        <w:t>such</w:t>
      </w:r>
      <w:r w:rsidR="00EE7322" w:rsidRPr="00F8253F">
        <w:t xml:space="preserve"> </w:t>
      </w:r>
      <w:r w:rsidR="00B82325">
        <w:t xml:space="preserve">an </w:t>
      </w:r>
      <w:r w:rsidR="00EE7322" w:rsidRPr="003C691A">
        <w:t>application</w:t>
      </w:r>
      <w:r w:rsidR="00EE7322" w:rsidRPr="00F8253F">
        <w:t xml:space="preserve"> is $55 and</w:t>
      </w:r>
      <w:r w:rsidR="00EE7322">
        <w:t xml:space="preserve"> that</w:t>
      </w:r>
      <w:r w:rsidR="00EE7322" w:rsidRPr="00F8253F">
        <w:t xml:space="preserve"> the Federal Circuit Court may also specify the maximum costs that </w:t>
      </w:r>
      <w:r w:rsidR="00EE7322">
        <w:t>can</w:t>
      </w:r>
      <w:r w:rsidR="00EE7322" w:rsidRPr="00F8253F">
        <w:t xml:space="preserve"> be recovered.</w:t>
      </w:r>
      <w:r w:rsidR="00EE7322">
        <w:t xml:space="preserve"> The </w:t>
      </w:r>
      <w:r w:rsidR="00EE7322" w:rsidRPr="00F8253F">
        <w:t>Committee</w:t>
      </w:r>
      <w:r w:rsidR="00EE7322">
        <w:t xml:space="preserve"> notes</w:t>
      </w:r>
      <w:r w:rsidR="00EE7322" w:rsidRPr="00F8253F">
        <w:t xml:space="preserve"> the author’s arguments that bringing a complaint before a court could not provide an effective and reasonably accessible remedy under the </w:t>
      </w:r>
      <w:r w:rsidR="009A26BA" w:rsidRPr="00B714B4">
        <w:rPr>
          <w:iCs/>
        </w:rPr>
        <w:t>Disability Discrimination Act</w:t>
      </w:r>
      <w:r w:rsidR="009A26BA" w:rsidRPr="006E4197">
        <w:rPr>
          <w:i/>
        </w:rPr>
        <w:t xml:space="preserve"> </w:t>
      </w:r>
      <w:r w:rsidR="00EE7322" w:rsidRPr="00F8253F">
        <w:t xml:space="preserve">or </w:t>
      </w:r>
      <w:r w:rsidR="00A914A2" w:rsidRPr="004D0DD0">
        <w:rPr>
          <w:iCs/>
        </w:rPr>
        <w:t xml:space="preserve">Anti-Discrimination Act </w:t>
      </w:r>
      <w:r w:rsidR="00EE7322">
        <w:t>in his case</w:t>
      </w:r>
      <w:r w:rsidR="00B82325">
        <w:t xml:space="preserve"> because</w:t>
      </w:r>
      <w:r w:rsidR="00EE7322">
        <w:t>:</w:t>
      </w:r>
      <w:r w:rsidR="00EE7322" w:rsidRPr="00F8253F">
        <w:t xml:space="preserve"> </w:t>
      </w:r>
      <w:r w:rsidR="00B82325">
        <w:t>(</w:t>
      </w:r>
      <w:r w:rsidR="00EE7322">
        <w:t xml:space="preserve">a) </w:t>
      </w:r>
      <w:r w:rsidR="00EE7322" w:rsidRPr="00F8253F">
        <w:t xml:space="preserve">the </w:t>
      </w:r>
      <w:r w:rsidR="009A26BA" w:rsidRPr="00B714B4">
        <w:rPr>
          <w:iCs/>
        </w:rPr>
        <w:t>Disability Discrimination Act</w:t>
      </w:r>
      <w:r w:rsidR="009A26BA" w:rsidRPr="006E4197">
        <w:rPr>
          <w:i/>
        </w:rPr>
        <w:t xml:space="preserve"> </w:t>
      </w:r>
      <w:r w:rsidR="00EE7322" w:rsidRPr="00F8253F">
        <w:rPr>
          <w:bCs/>
        </w:rPr>
        <w:t xml:space="preserve">prohibits discrimination on the basis of disability </w:t>
      </w:r>
      <w:r w:rsidR="00EE7322" w:rsidRPr="00F8253F">
        <w:t>in specified areas of public life</w:t>
      </w:r>
      <w:r w:rsidR="00EE7322">
        <w:t xml:space="preserve">, but does not apply to his case; </w:t>
      </w:r>
      <w:r w:rsidR="00B82325">
        <w:t>(</w:t>
      </w:r>
      <w:r w:rsidR="00EE7322">
        <w:t>b) the</w:t>
      </w:r>
      <w:r w:rsidR="00EE7322" w:rsidRPr="00F8253F">
        <w:t xml:space="preserve"> </w:t>
      </w:r>
      <w:r w:rsidR="00A914A2" w:rsidRPr="004D0DD0">
        <w:rPr>
          <w:iCs/>
        </w:rPr>
        <w:t xml:space="preserve">Anti-Discrimination Act </w:t>
      </w:r>
      <w:r w:rsidR="00EE7322" w:rsidRPr="00F8253F">
        <w:t xml:space="preserve">incorporates prohibitions </w:t>
      </w:r>
      <w:r w:rsidR="00EE7322">
        <w:t>of</w:t>
      </w:r>
      <w:r w:rsidR="00EE7322" w:rsidRPr="00F8253F">
        <w:t xml:space="preserve"> discrimination on the basis of disability in specified areas of public life </w:t>
      </w:r>
      <w:r w:rsidR="00EE7322">
        <w:t>that do not include the issue of jury duty</w:t>
      </w:r>
      <w:r w:rsidR="00EE7322" w:rsidRPr="00F8253F">
        <w:t xml:space="preserve">. </w:t>
      </w:r>
      <w:r w:rsidR="00EE7322">
        <w:t>The Committee further notes the author’s argument that</w:t>
      </w:r>
      <w:r w:rsidR="00EE7322" w:rsidRPr="00F8253F">
        <w:t xml:space="preserve"> any attempt to bring a claim related to the violations he alleges before the courts under the </w:t>
      </w:r>
      <w:r w:rsidR="009A26BA" w:rsidRPr="00B714B4">
        <w:rPr>
          <w:iCs/>
        </w:rPr>
        <w:t>Disability Discrimination Act</w:t>
      </w:r>
      <w:r w:rsidR="009A26BA" w:rsidRPr="006E4197">
        <w:rPr>
          <w:i/>
        </w:rPr>
        <w:t xml:space="preserve"> </w:t>
      </w:r>
      <w:r w:rsidR="00EE7322" w:rsidRPr="00F8253F">
        <w:t xml:space="preserve">or </w:t>
      </w:r>
      <w:r w:rsidR="00A914A2">
        <w:t xml:space="preserve">the </w:t>
      </w:r>
      <w:r w:rsidR="00A914A2" w:rsidRPr="004D0DD0">
        <w:rPr>
          <w:iCs/>
        </w:rPr>
        <w:t xml:space="preserve">Anti-Discrimination Act </w:t>
      </w:r>
      <w:r w:rsidR="00EE7322" w:rsidRPr="00F8253F">
        <w:t>would also fail on the basis of the</w:t>
      </w:r>
      <w:r w:rsidR="00EE7322">
        <w:t xml:space="preserve"> </w:t>
      </w:r>
      <w:r w:rsidR="00FB4524">
        <w:t>national</w:t>
      </w:r>
      <w:r w:rsidR="00FB4524" w:rsidRPr="00F8253F">
        <w:t xml:space="preserve"> </w:t>
      </w:r>
      <w:r w:rsidR="00EE7322">
        <w:t>legislation and jurisprudence on discrimination, thereby excluding the possibility for him to obtain</w:t>
      </w:r>
      <w:r w:rsidR="00EE7322" w:rsidRPr="00CC6DD3">
        <w:t xml:space="preserve"> a maximum costs order from a </w:t>
      </w:r>
      <w:r w:rsidR="00FB4524">
        <w:t>f</w:t>
      </w:r>
      <w:r w:rsidR="00EE7322" w:rsidRPr="00CC6DD3">
        <w:t xml:space="preserve">ederal </w:t>
      </w:r>
      <w:r w:rsidR="00FB4524">
        <w:t>c</w:t>
      </w:r>
      <w:r w:rsidR="00EE7322" w:rsidRPr="00CC6DD3">
        <w:t>ourt</w:t>
      </w:r>
      <w:r w:rsidR="00EE7322">
        <w:t xml:space="preserve"> because his</w:t>
      </w:r>
      <w:r w:rsidR="00EE7322" w:rsidRPr="00CC6DD3">
        <w:t xml:space="preserve"> claim </w:t>
      </w:r>
      <w:r w:rsidR="00EE7322">
        <w:t>does</w:t>
      </w:r>
      <w:r w:rsidR="00EE7322" w:rsidRPr="00CC6DD3">
        <w:t xml:space="preserve"> not have reasonable prospects of success</w:t>
      </w:r>
      <w:r w:rsidR="00EE7322">
        <w:t xml:space="preserve">. </w:t>
      </w:r>
    </w:p>
    <w:p w:rsidR="00EE7322" w:rsidRPr="006958F1" w:rsidRDefault="0086589E" w:rsidP="00800877">
      <w:pPr>
        <w:pStyle w:val="SingleTxtG"/>
      </w:pPr>
      <w:r>
        <w:lastRenderedPageBreak/>
        <w:t>7.4</w:t>
      </w:r>
      <w:r>
        <w:tab/>
      </w:r>
      <w:r w:rsidR="00EE7322">
        <w:t>In</w:t>
      </w:r>
      <w:r w:rsidR="00B82325">
        <w:t xml:space="preserve"> the</w:t>
      </w:r>
      <w:r w:rsidR="00EE7322">
        <w:t xml:space="preserve"> light of the above, the Committee considers that the information provided by the parties does not enable it to conclude that the author’s complaint under the </w:t>
      </w:r>
      <w:r w:rsidR="00A914A2" w:rsidRPr="004D0DD0">
        <w:rPr>
          <w:iCs/>
        </w:rPr>
        <w:t xml:space="preserve">Anti-Discrimination Act </w:t>
      </w:r>
      <w:r w:rsidR="00EE7322">
        <w:t xml:space="preserve">or </w:t>
      </w:r>
      <w:r w:rsidR="009A26BA">
        <w:t xml:space="preserve">the </w:t>
      </w:r>
      <w:r w:rsidR="009A26BA" w:rsidRPr="00B714B4">
        <w:rPr>
          <w:iCs/>
        </w:rPr>
        <w:t>Disability Discrimination Act</w:t>
      </w:r>
      <w:r w:rsidR="009A26BA" w:rsidRPr="006E4197">
        <w:rPr>
          <w:i/>
        </w:rPr>
        <w:t xml:space="preserve"> </w:t>
      </w:r>
      <w:r w:rsidR="00EE7322">
        <w:t xml:space="preserve">would have had a reasonable prospect of </w:t>
      </w:r>
      <w:r w:rsidR="00EE7322" w:rsidRPr="003C691A">
        <w:t>success</w:t>
      </w:r>
      <w:r w:rsidR="00EE7322">
        <w:t xml:space="preserve"> and </w:t>
      </w:r>
      <w:r w:rsidR="00EE7322" w:rsidRPr="00E32B6A">
        <w:t>would have provided</w:t>
      </w:r>
      <w:r w:rsidR="00EE7322">
        <w:t xml:space="preserve"> the author with</w:t>
      </w:r>
      <w:r w:rsidR="00EE7322" w:rsidRPr="00E32B6A">
        <w:t xml:space="preserve"> an effective remedy</w:t>
      </w:r>
      <w:r w:rsidR="00EE7322">
        <w:t>.</w:t>
      </w:r>
      <w:r>
        <w:rPr>
          <w:rStyle w:val="FootnoteReference"/>
        </w:rPr>
        <w:footnoteReference w:id="42"/>
      </w:r>
      <w:r w:rsidR="00EE7322">
        <w:t xml:space="preserve"> Given the nature of the claims under consideration and in the light of the information provided by the parties, the Committee considers that the author has exhausted all available domestic remedies likely to bring effective relief,</w:t>
      </w:r>
      <w:r>
        <w:rPr>
          <w:rStyle w:val="FootnoteReference"/>
        </w:rPr>
        <w:footnoteReference w:id="43"/>
      </w:r>
      <w:r w:rsidR="00EE7322">
        <w:t xml:space="preserve"> and that article 2 (d) of the Optional Protocol therefore does not pose an obstacle to the admissibility of the present communication.</w:t>
      </w:r>
    </w:p>
    <w:p w:rsidR="00EE7322" w:rsidRPr="0003683C" w:rsidRDefault="0086589E" w:rsidP="003C691A">
      <w:pPr>
        <w:pStyle w:val="SingleTxtG"/>
      </w:pPr>
      <w:r>
        <w:rPr>
          <w:w w:val="103"/>
        </w:rPr>
        <w:t>7.5</w:t>
      </w:r>
      <w:r>
        <w:rPr>
          <w:w w:val="103"/>
        </w:rPr>
        <w:tab/>
      </w:r>
      <w:r w:rsidR="00EE7322">
        <w:rPr>
          <w:w w:val="103"/>
        </w:rPr>
        <w:t xml:space="preserve">The </w:t>
      </w:r>
      <w:r w:rsidR="00EE7322">
        <w:rPr>
          <w:lang w:val="en-US"/>
        </w:rPr>
        <w:t>Committee further notes the State party’s submission that the author’s claims under articles 2</w:t>
      </w:r>
      <w:r w:rsidR="00B82325">
        <w:rPr>
          <w:lang w:val="en-US"/>
        </w:rPr>
        <w:t>,</w:t>
      </w:r>
      <w:r w:rsidR="00EE7322">
        <w:rPr>
          <w:lang w:val="en-US"/>
        </w:rPr>
        <w:t xml:space="preserve"> 4</w:t>
      </w:r>
      <w:r w:rsidR="00B82325">
        <w:rPr>
          <w:lang w:val="en-US"/>
        </w:rPr>
        <w:t>,</w:t>
      </w:r>
      <w:r w:rsidR="00EE7322">
        <w:rPr>
          <w:lang w:val="en-US"/>
        </w:rPr>
        <w:t xml:space="preserve"> 5 and 9 of the Convention are inadmissible for lack of substantiation. </w:t>
      </w:r>
      <w:r w:rsidR="00EE7322">
        <w:t>As regards the author’s claims under articles 2 and 4, t</w:t>
      </w:r>
      <w:r w:rsidR="00EE7322" w:rsidRPr="00A039C8">
        <w:t>he Committee recalls that</w:t>
      </w:r>
      <w:r w:rsidR="00EE7322">
        <w:t>,</w:t>
      </w:r>
      <w:r w:rsidR="00EE7322" w:rsidRPr="00A224FF">
        <w:rPr>
          <w:lang w:val="en-US"/>
        </w:rPr>
        <w:t xml:space="preserve"> </w:t>
      </w:r>
      <w:r w:rsidR="00EE7322" w:rsidRPr="00A039C8">
        <w:rPr>
          <w:lang w:val="en-US"/>
        </w:rPr>
        <w:t xml:space="preserve">in view of </w:t>
      </w:r>
      <w:r w:rsidR="00EE7322">
        <w:rPr>
          <w:lang w:val="en-US"/>
        </w:rPr>
        <w:t>their</w:t>
      </w:r>
      <w:r w:rsidR="00EE7322" w:rsidRPr="00A039C8">
        <w:rPr>
          <w:lang w:val="en-US"/>
        </w:rPr>
        <w:t xml:space="preserve"> general character</w:t>
      </w:r>
      <w:r w:rsidR="00EE7322">
        <w:rPr>
          <w:lang w:val="en-US"/>
        </w:rPr>
        <w:t>,</w:t>
      </w:r>
      <w:r w:rsidR="00EE7322" w:rsidRPr="00A039C8">
        <w:t xml:space="preserve"> </w:t>
      </w:r>
      <w:r w:rsidR="00EE7322">
        <w:t>th</w:t>
      </w:r>
      <w:r w:rsidR="00B82325">
        <w:t>o</w:t>
      </w:r>
      <w:r w:rsidR="00EE7322">
        <w:t xml:space="preserve">se </w:t>
      </w:r>
      <w:r w:rsidR="00EE7322">
        <w:rPr>
          <w:lang w:val="en-US"/>
        </w:rPr>
        <w:t xml:space="preserve">articles </w:t>
      </w:r>
      <w:r w:rsidR="00EE7322" w:rsidRPr="003C691A">
        <w:t>do</w:t>
      </w:r>
      <w:r w:rsidR="00EE7322" w:rsidRPr="00A039C8">
        <w:rPr>
          <w:lang w:val="en-US"/>
        </w:rPr>
        <w:t xml:space="preserve"> not in principle give rise to free-standing claims, and can </w:t>
      </w:r>
      <w:r w:rsidR="00EE7322">
        <w:rPr>
          <w:lang w:val="en-US"/>
        </w:rPr>
        <w:t xml:space="preserve">only </w:t>
      </w:r>
      <w:r w:rsidR="00EE7322" w:rsidRPr="00A039C8">
        <w:rPr>
          <w:lang w:val="en-US"/>
        </w:rPr>
        <w:t>be invoked in conjunction with other substantive rights guaranteed under the Convention</w:t>
      </w:r>
      <w:r w:rsidR="00EE7322">
        <w:rPr>
          <w:lang w:val="en-US"/>
        </w:rPr>
        <w:t>.</w:t>
      </w:r>
      <w:r>
        <w:rPr>
          <w:rStyle w:val="FootnoteReference"/>
          <w:lang w:val="en-US"/>
        </w:rPr>
        <w:footnoteReference w:id="44"/>
      </w:r>
      <w:r w:rsidR="00EE7322">
        <w:rPr>
          <w:lang w:val="en-US"/>
        </w:rPr>
        <w:t xml:space="preserve"> T</w:t>
      </w:r>
      <w:r w:rsidR="00EE7322" w:rsidRPr="00A039C8">
        <w:rPr>
          <w:lang w:val="en-US"/>
        </w:rPr>
        <w:t xml:space="preserve">he Committee </w:t>
      </w:r>
      <w:r w:rsidR="00EE7322">
        <w:rPr>
          <w:lang w:val="en-US"/>
        </w:rPr>
        <w:t xml:space="preserve">therefore </w:t>
      </w:r>
      <w:r w:rsidR="00EE7322" w:rsidRPr="00A039C8">
        <w:rPr>
          <w:lang w:val="en-US"/>
        </w:rPr>
        <w:t>considers that</w:t>
      </w:r>
      <w:r w:rsidR="00EE7322">
        <w:rPr>
          <w:lang w:val="en-US"/>
        </w:rPr>
        <w:t xml:space="preserve"> the author’s claims under articles 2 and 4 read alone</w:t>
      </w:r>
      <w:r w:rsidR="00EE7322" w:rsidRPr="00A039C8">
        <w:rPr>
          <w:lang w:val="en-US"/>
        </w:rPr>
        <w:t xml:space="preserve"> </w:t>
      </w:r>
      <w:r w:rsidR="00EE7322">
        <w:rPr>
          <w:lang w:val="en-US"/>
        </w:rPr>
        <w:t>are</w:t>
      </w:r>
      <w:r w:rsidR="00EE7322" w:rsidRPr="00A039C8">
        <w:rPr>
          <w:lang w:val="en-US"/>
        </w:rPr>
        <w:t xml:space="preserve"> inadmissible under article 2</w:t>
      </w:r>
      <w:r w:rsidR="00B82325">
        <w:rPr>
          <w:lang w:val="en-US"/>
        </w:rPr>
        <w:t xml:space="preserve"> </w:t>
      </w:r>
      <w:r w:rsidR="00EE7322" w:rsidRPr="00A039C8">
        <w:rPr>
          <w:lang w:val="en-US"/>
        </w:rPr>
        <w:t>(e) of the Optional Protocol.</w:t>
      </w:r>
      <w:r w:rsidR="00EE7322">
        <w:rPr>
          <w:lang w:val="en-US"/>
        </w:rPr>
        <w:t xml:space="preserve"> </w:t>
      </w:r>
      <w:r w:rsidR="00EE7322" w:rsidRPr="0003683C">
        <w:rPr>
          <w:lang w:val="en-US"/>
        </w:rPr>
        <w:t>As to the author’s claims under articles 5 and 9, the Committee considers that th</w:t>
      </w:r>
      <w:r w:rsidR="00B82325">
        <w:rPr>
          <w:lang w:val="en-US"/>
        </w:rPr>
        <w:t>o</w:t>
      </w:r>
      <w:r w:rsidR="00EE7322" w:rsidRPr="0003683C">
        <w:rPr>
          <w:lang w:val="en-US"/>
        </w:rPr>
        <w:t>se claims are</w:t>
      </w:r>
      <w:r w:rsidR="00EE7322" w:rsidRPr="0003683C">
        <w:t xml:space="preserve"> sufficiently substantiated for the purpose of admissibility and proceeds to their examination on the merits.</w:t>
      </w:r>
    </w:p>
    <w:p w:rsidR="00EE7322" w:rsidRDefault="00EE7322" w:rsidP="00FB4524">
      <w:pPr>
        <w:pStyle w:val="SingleTxtG"/>
        <w:rPr>
          <w:lang w:eastAsia="en-GB"/>
        </w:rPr>
      </w:pPr>
      <w:r w:rsidRPr="00D55AD2">
        <w:rPr>
          <w:lang w:val="en-US"/>
        </w:rPr>
        <w:t>7.</w:t>
      </w:r>
      <w:r>
        <w:rPr>
          <w:lang w:val="en-US"/>
        </w:rPr>
        <w:t>6</w:t>
      </w:r>
      <w:r w:rsidR="00CD3C0F">
        <w:rPr>
          <w:lang w:val="en-US"/>
        </w:rPr>
        <w:tab/>
      </w:r>
      <w:r>
        <w:rPr>
          <w:lang w:val="en-US"/>
        </w:rPr>
        <w:t>A</w:t>
      </w:r>
      <w:r w:rsidRPr="00D55AD2">
        <w:rPr>
          <w:lang w:val="en-US"/>
        </w:rPr>
        <w:t xml:space="preserve">s </w:t>
      </w:r>
      <w:r>
        <w:rPr>
          <w:lang w:val="en-US"/>
        </w:rPr>
        <w:t>regards</w:t>
      </w:r>
      <w:r w:rsidRPr="00D55AD2">
        <w:rPr>
          <w:lang w:val="en-US"/>
        </w:rPr>
        <w:t xml:space="preserve"> the author’s claim under article 12</w:t>
      </w:r>
      <w:r w:rsidR="00FB4524">
        <w:rPr>
          <w:lang w:val="en-US"/>
        </w:rPr>
        <w:t xml:space="preserve"> of the Convention</w:t>
      </w:r>
      <w:r>
        <w:rPr>
          <w:lang w:val="en-US"/>
        </w:rPr>
        <w:t xml:space="preserve"> that he was denied his right to enjoy legal capacity on an equal basis with others on account of the Sheriff’s refusal to provide him with steno-captioning</w:t>
      </w:r>
      <w:r w:rsidRPr="00D55AD2">
        <w:rPr>
          <w:lang w:val="en-US"/>
        </w:rPr>
        <w:t xml:space="preserve">, the Committee notes </w:t>
      </w:r>
      <w:r>
        <w:rPr>
          <w:lang w:val="en-US"/>
        </w:rPr>
        <w:t xml:space="preserve">that </w:t>
      </w:r>
      <w:r w:rsidRPr="00D55AD2">
        <w:rPr>
          <w:lang w:eastAsia="en-GB"/>
        </w:rPr>
        <w:t xml:space="preserve">the Sheriff justified her </w:t>
      </w:r>
      <w:r>
        <w:rPr>
          <w:lang w:eastAsia="en-GB"/>
        </w:rPr>
        <w:t>decision</w:t>
      </w:r>
      <w:r w:rsidRPr="00D55AD2">
        <w:rPr>
          <w:lang w:eastAsia="en-GB"/>
        </w:rPr>
        <w:t xml:space="preserve"> on the basis of </w:t>
      </w:r>
      <w:r w:rsidRPr="00D55AD2">
        <w:t>section 48 of the Jury Act 1977</w:t>
      </w:r>
      <w:r>
        <w:t xml:space="preserve">, </w:t>
      </w:r>
      <w:r w:rsidR="00FB4524">
        <w:t xml:space="preserve">by </w:t>
      </w:r>
      <w:r>
        <w:t>asserting</w:t>
      </w:r>
      <w:r w:rsidRPr="00D55AD2">
        <w:t xml:space="preserve"> that by introducing a non-jury person</w:t>
      </w:r>
      <w:r w:rsidR="00FB4524">
        <w:t xml:space="preserve"> to provide</w:t>
      </w:r>
      <w:r w:rsidRPr="00D55AD2">
        <w:t xml:space="preserve"> steno-captioning would breach the principle of confidentiality of deliberations. </w:t>
      </w:r>
      <w:r>
        <w:t>The Committee therefore notes that the State party did not question at any time the author’s legal capacity to perform</w:t>
      </w:r>
      <w:r w:rsidRPr="00D55AD2">
        <w:t xml:space="preserve"> jury dut</w:t>
      </w:r>
      <w:r>
        <w:t>y</w:t>
      </w:r>
      <w:r w:rsidRPr="00D55AD2">
        <w:t xml:space="preserve">. </w:t>
      </w:r>
      <w:r w:rsidRPr="00D55AD2">
        <w:rPr>
          <w:lang w:eastAsia="en-GB"/>
        </w:rPr>
        <w:t xml:space="preserve">Accordingly, the Committee concludes that </w:t>
      </w:r>
      <w:r>
        <w:rPr>
          <w:lang w:eastAsia="en-GB"/>
        </w:rPr>
        <w:t xml:space="preserve">the author’s claim is incompatible </w:t>
      </w:r>
      <w:r w:rsidRPr="00F577BA">
        <w:rPr>
          <w:i/>
          <w:iCs/>
          <w:lang w:eastAsia="en-GB"/>
        </w:rPr>
        <w:t>ratione materiae</w:t>
      </w:r>
      <w:r>
        <w:rPr>
          <w:lang w:eastAsia="en-GB"/>
        </w:rPr>
        <w:t xml:space="preserve"> with article 12 of the Convention and is therefore inadmissible under article 2 (b) of </w:t>
      </w:r>
      <w:r w:rsidR="00FB4524">
        <w:rPr>
          <w:lang w:eastAsia="en-GB"/>
        </w:rPr>
        <w:t xml:space="preserve">the </w:t>
      </w:r>
      <w:r>
        <w:rPr>
          <w:lang w:eastAsia="en-GB"/>
        </w:rPr>
        <w:t>Optional Protocol.</w:t>
      </w:r>
    </w:p>
    <w:p w:rsidR="00EE7322" w:rsidRPr="00E823CB" w:rsidRDefault="00EE7322" w:rsidP="00FB4524">
      <w:pPr>
        <w:pStyle w:val="SingleTxtG"/>
        <w:rPr>
          <w:lang w:eastAsia="en-GB"/>
        </w:rPr>
      </w:pPr>
      <w:r>
        <w:t>7.7</w:t>
      </w:r>
      <w:r w:rsidRPr="0003683C">
        <w:rPr>
          <w:lang w:eastAsia="en-GB"/>
        </w:rPr>
        <w:tab/>
        <w:t>The Committee notes that the State party has raised no objections to the admissibility of the author’s claims under article</w:t>
      </w:r>
      <w:r>
        <w:rPr>
          <w:lang w:eastAsia="en-GB"/>
        </w:rPr>
        <w:t>s</w:t>
      </w:r>
      <w:r w:rsidRPr="0003683C">
        <w:rPr>
          <w:lang w:eastAsia="en-GB"/>
        </w:rPr>
        <w:t xml:space="preserve"> </w:t>
      </w:r>
      <w:r>
        <w:rPr>
          <w:lang w:eastAsia="en-GB"/>
        </w:rPr>
        <w:t>13, 21 and 29</w:t>
      </w:r>
      <w:r w:rsidRPr="0003683C">
        <w:rPr>
          <w:lang w:eastAsia="en-GB"/>
        </w:rPr>
        <w:t xml:space="preserve"> of the </w:t>
      </w:r>
      <w:r>
        <w:rPr>
          <w:lang w:eastAsia="en-GB"/>
        </w:rPr>
        <w:t>Convention</w:t>
      </w:r>
      <w:r w:rsidRPr="0003683C">
        <w:rPr>
          <w:lang w:eastAsia="en-GB"/>
        </w:rPr>
        <w:t>.</w:t>
      </w:r>
      <w:r w:rsidR="00135D07">
        <w:rPr>
          <w:lang w:eastAsia="en-GB"/>
        </w:rPr>
        <w:t xml:space="preserve"> </w:t>
      </w:r>
      <w:r w:rsidRPr="0003683C">
        <w:rPr>
          <w:lang w:eastAsia="en-GB"/>
        </w:rPr>
        <w:t xml:space="preserve">Accordingly, </w:t>
      </w:r>
      <w:r w:rsidR="00FB4524">
        <w:rPr>
          <w:lang w:eastAsia="en-GB"/>
        </w:rPr>
        <w:t>it</w:t>
      </w:r>
      <w:r w:rsidRPr="0003683C">
        <w:rPr>
          <w:lang w:eastAsia="en-GB"/>
        </w:rPr>
        <w:t xml:space="preserve"> declares th</w:t>
      </w:r>
      <w:r w:rsidR="00FB4524">
        <w:rPr>
          <w:lang w:eastAsia="en-GB"/>
        </w:rPr>
        <w:t>o</w:t>
      </w:r>
      <w:r w:rsidRPr="0003683C">
        <w:rPr>
          <w:lang w:eastAsia="en-GB"/>
        </w:rPr>
        <w:t>se parts of</w:t>
      </w:r>
      <w:r>
        <w:rPr>
          <w:lang w:eastAsia="en-GB"/>
        </w:rPr>
        <w:t xml:space="preserve"> the communication admissible and proceeds with the examination of the merits.</w:t>
      </w:r>
      <w:r w:rsidRPr="0003683C">
        <w:rPr>
          <w:lang w:eastAsia="en-GB"/>
        </w:rPr>
        <w:t xml:space="preserve"> </w:t>
      </w:r>
    </w:p>
    <w:p w:rsidR="00EE7322" w:rsidRPr="00F577BA" w:rsidRDefault="00EE7322" w:rsidP="003C691A">
      <w:pPr>
        <w:pStyle w:val="H4G"/>
        <w:rPr>
          <w:b/>
          <w:bCs/>
          <w:i w:val="0"/>
          <w:iCs/>
        </w:rPr>
      </w:pPr>
      <w:r>
        <w:tab/>
      </w:r>
      <w:r>
        <w:tab/>
      </w:r>
      <w:r w:rsidRPr="00F577BA">
        <w:rPr>
          <w:b/>
          <w:bCs/>
          <w:i w:val="0"/>
          <w:iCs/>
        </w:rPr>
        <w:t>Consideration of the merits</w:t>
      </w:r>
    </w:p>
    <w:p w:rsidR="00EE7322" w:rsidRDefault="00EE7322" w:rsidP="003C691A">
      <w:pPr>
        <w:pStyle w:val="SingleTxtG"/>
      </w:pPr>
      <w:r w:rsidRPr="00CA0D2F">
        <w:t>8.1</w:t>
      </w:r>
      <w:r w:rsidRPr="00CA0D2F">
        <w:tab/>
        <w:t xml:space="preserve">The Committee has </w:t>
      </w:r>
      <w:r w:rsidRPr="00CD3C0F">
        <w:t>considered</w:t>
      </w:r>
      <w:r w:rsidRPr="00CA0D2F">
        <w:t xml:space="preserve"> the case in the light of all the information </w:t>
      </w:r>
      <w:r>
        <w:t>provided</w:t>
      </w:r>
      <w:r w:rsidRPr="00CA0D2F">
        <w:t xml:space="preserve"> by the parties, </w:t>
      </w:r>
      <w:r>
        <w:t>in compliance with</w:t>
      </w:r>
      <w:r w:rsidRPr="00CA0D2F">
        <w:t xml:space="preserve"> article 5 of </w:t>
      </w:r>
      <w:r w:rsidRPr="003C691A">
        <w:t>the</w:t>
      </w:r>
      <w:r w:rsidRPr="00CA0D2F">
        <w:t xml:space="preserve"> Optional Protocol.</w:t>
      </w:r>
    </w:p>
    <w:p w:rsidR="00EE7322" w:rsidRDefault="00CD3C0F" w:rsidP="00FB4524">
      <w:pPr>
        <w:pStyle w:val="SingleTxtG"/>
      </w:pPr>
      <w:r>
        <w:rPr>
          <w:lang w:eastAsia="en-GB"/>
        </w:rPr>
        <w:t>8.2</w:t>
      </w:r>
      <w:r>
        <w:rPr>
          <w:lang w:eastAsia="en-GB"/>
        </w:rPr>
        <w:tab/>
      </w:r>
      <w:r w:rsidR="00EE7322">
        <w:rPr>
          <w:lang w:eastAsia="en-GB"/>
        </w:rPr>
        <w:t xml:space="preserve">The Committee notes </w:t>
      </w:r>
      <w:r w:rsidR="00EE7322">
        <w:t>the author’s claim that the refusal to provide him with steno-captioning to enable him to perform jury duty was discriminatory as it amounted to a denial of reasonable accommodation, in violation of article 5</w:t>
      </w:r>
      <w:r w:rsidR="00546C73">
        <w:t xml:space="preserve"> </w:t>
      </w:r>
      <w:r w:rsidR="00EE7322">
        <w:t>(1) and (3) of the Convention. The Committee also notes the State party’s submission that there has been no violation of the author’s rights under article 5</w:t>
      </w:r>
      <w:r w:rsidR="00FB4524">
        <w:t>,</w:t>
      </w:r>
      <w:r w:rsidR="00EE7322">
        <w:t xml:space="preserve"> as the pertinent </w:t>
      </w:r>
      <w:r w:rsidR="00FB4524">
        <w:t xml:space="preserve">national </w:t>
      </w:r>
      <w:r w:rsidR="00EE7322">
        <w:t>law is not discriminatory and t</w:t>
      </w:r>
      <w:r w:rsidR="00EE7322" w:rsidRPr="008747E0">
        <w:t>he differential treatment provided for in the Jury Act</w:t>
      </w:r>
      <w:r w:rsidR="00EE7322" w:rsidRPr="008747E0">
        <w:rPr>
          <w:i/>
        </w:rPr>
        <w:t xml:space="preserve"> </w:t>
      </w:r>
      <w:r w:rsidR="00EE7322">
        <w:t xml:space="preserve">is legitimate. The State party further considers that its </w:t>
      </w:r>
      <w:r w:rsidR="00EE7322" w:rsidRPr="008747E0">
        <w:t xml:space="preserve">law and policy provide reasonable accommodation in accordance with the requirements </w:t>
      </w:r>
      <w:r w:rsidR="00EE7322">
        <w:t xml:space="preserve">of the Convention. </w:t>
      </w:r>
    </w:p>
    <w:p w:rsidR="00EE7322" w:rsidRPr="00266C1B" w:rsidRDefault="00CD3C0F" w:rsidP="003C691A">
      <w:pPr>
        <w:pStyle w:val="SingleTxtG"/>
        <w:rPr>
          <w:lang w:val="en-US"/>
        </w:rPr>
      </w:pPr>
      <w:r>
        <w:lastRenderedPageBreak/>
        <w:t>8.3</w:t>
      </w:r>
      <w:r>
        <w:tab/>
      </w:r>
      <w:r w:rsidR="00EE7322" w:rsidRPr="004F1B4B">
        <w:rPr>
          <w:lang w:val="en-US"/>
        </w:rPr>
        <w:t xml:space="preserve">The definition of discrimination on the basis of disability in article 2 of the Convention explicitly states that “it includes all forms of discrimination, including denial of reasonable accommodation”. </w:t>
      </w:r>
      <w:r w:rsidR="00EE7322">
        <w:t xml:space="preserve">In the present case, </w:t>
      </w:r>
      <w:r w:rsidR="00EE7322" w:rsidRPr="00D55AD2">
        <w:rPr>
          <w:lang w:eastAsia="en-GB"/>
        </w:rPr>
        <w:t xml:space="preserve">the author was </w:t>
      </w:r>
      <w:r w:rsidR="00EE7322">
        <w:rPr>
          <w:lang w:eastAsia="en-GB"/>
        </w:rPr>
        <w:t>summoned</w:t>
      </w:r>
      <w:r w:rsidR="00EE7322" w:rsidRPr="00D55AD2">
        <w:rPr>
          <w:lang w:eastAsia="en-GB"/>
        </w:rPr>
        <w:t xml:space="preserve"> three times </w:t>
      </w:r>
      <w:r w:rsidR="00EE7322">
        <w:rPr>
          <w:lang w:eastAsia="en-GB"/>
        </w:rPr>
        <w:t>to participate in jury</w:t>
      </w:r>
      <w:r w:rsidR="00EE7322" w:rsidRPr="00D55AD2">
        <w:rPr>
          <w:lang w:eastAsia="en-GB"/>
        </w:rPr>
        <w:t xml:space="preserve"> </w:t>
      </w:r>
      <w:r w:rsidR="00EE7322" w:rsidRPr="00CD3C0F">
        <w:t>duty</w:t>
      </w:r>
      <w:r w:rsidR="00EE7322" w:rsidRPr="00D55AD2">
        <w:rPr>
          <w:lang w:eastAsia="en-GB"/>
        </w:rPr>
        <w:t xml:space="preserve">, </w:t>
      </w:r>
      <w:r w:rsidR="00EE7322" w:rsidRPr="003C691A">
        <w:t>including</w:t>
      </w:r>
      <w:r w:rsidR="00EE7322" w:rsidRPr="00D55AD2">
        <w:rPr>
          <w:lang w:eastAsia="en-GB"/>
        </w:rPr>
        <w:t xml:space="preserve"> twice after having </w:t>
      </w:r>
      <w:r w:rsidR="00546C73">
        <w:rPr>
          <w:lang w:eastAsia="en-GB"/>
        </w:rPr>
        <w:t>indicated</w:t>
      </w:r>
      <w:r w:rsidR="00546C73" w:rsidRPr="00D55AD2">
        <w:rPr>
          <w:lang w:eastAsia="en-GB"/>
        </w:rPr>
        <w:t xml:space="preserve"> </w:t>
      </w:r>
      <w:r w:rsidR="00EE7322" w:rsidRPr="00D55AD2">
        <w:rPr>
          <w:lang w:eastAsia="en-GB"/>
        </w:rPr>
        <w:t xml:space="preserve">that he was willing to take part </w:t>
      </w:r>
      <w:r w:rsidR="00EE7322">
        <w:rPr>
          <w:lang w:eastAsia="en-GB"/>
        </w:rPr>
        <w:t>in</w:t>
      </w:r>
      <w:r w:rsidR="00EE7322" w:rsidRPr="00D55AD2">
        <w:rPr>
          <w:lang w:eastAsia="en-GB"/>
        </w:rPr>
        <w:t xml:space="preserve"> the selection, but </w:t>
      </w:r>
      <w:r w:rsidR="00EE7322">
        <w:rPr>
          <w:lang w:eastAsia="en-GB"/>
        </w:rPr>
        <w:t>that he would need steno-</w:t>
      </w:r>
      <w:r w:rsidR="00EE7322" w:rsidRPr="00D55AD2">
        <w:rPr>
          <w:lang w:eastAsia="en-GB"/>
        </w:rPr>
        <w:t>captioning to do so.</w:t>
      </w:r>
      <w:r w:rsidR="00EE7322">
        <w:rPr>
          <w:lang w:eastAsia="en-GB"/>
        </w:rPr>
        <w:t xml:space="preserve"> The Committee further notes that</w:t>
      </w:r>
      <w:r w:rsidR="00EE7322" w:rsidRPr="00DA0EA7">
        <w:rPr>
          <w:lang w:eastAsia="en-GB"/>
        </w:rPr>
        <w:t xml:space="preserve">, </w:t>
      </w:r>
      <w:r w:rsidR="00EE7322" w:rsidRPr="00ED5B4E">
        <w:rPr>
          <w:lang w:eastAsia="en-GB"/>
        </w:rPr>
        <w:t>wh</w:t>
      </w:r>
      <w:r w:rsidR="00EE7322">
        <w:rPr>
          <w:lang w:eastAsia="en-GB"/>
        </w:rPr>
        <w:t>en</w:t>
      </w:r>
      <w:r w:rsidR="00EE7322" w:rsidRPr="00ED5B4E">
        <w:rPr>
          <w:lang w:eastAsia="en-GB"/>
        </w:rPr>
        <w:t xml:space="preserve"> rejecting </w:t>
      </w:r>
      <w:r w:rsidR="00EE7322">
        <w:rPr>
          <w:lang w:eastAsia="en-GB"/>
        </w:rPr>
        <w:t>the author’s</w:t>
      </w:r>
      <w:r w:rsidR="00EE7322" w:rsidRPr="00ED5B4E">
        <w:rPr>
          <w:lang w:eastAsia="en-GB"/>
        </w:rPr>
        <w:t xml:space="preserve"> request for steno-captioning</w:t>
      </w:r>
      <w:r w:rsidR="00EE7322" w:rsidRPr="00051023">
        <w:rPr>
          <w:lang w:eastAsia="en-GB"/>
        </w:rPr>
        <w:t xml:space="preserve">, the Sheriff </w:t>
      </w:r>
      <w:r w:rsidR="00EE7322" w:rsidRPr="00DA0EA7">
        <w:t xml:space="preserve">advised </w:t>
      </w:r>
      <w:r w:rsidR="00EE7322">
        <w:t>him</w:t>
      </w:r>
      <w:r w:rsidR="00EE7322" w:rsidRPr="00DA0EA7">
        <w:t xml:space="preserve"> to submit a medical certificate certifying that he is deaf, and that otherwise he would face a fine of $1,100 for failing to attend jury service. </w:t>
      </w:r>
      <w:r w:rsidR="00EE7322">
        <w:t>Additionally, the Sheriff’s office clearly told the author that he could not perform jury duty because he is deaf, and based the</w:t>
      </w:r>
      <w:r w:rsidR="00EE7322" w:rsidRPr="00DA0EA7">
        <w:t xml:space="preserve"> refusal to provide ste</w:t>
      </w:r>
      <w:r w:rsidR="00EE7322">
        <w:t>no</w:t>
      </w:r>
      <w:r w:rsidR="00546C73">
        <w:t>-</w:t>
      </w:r>
      <w:r w:rsidR="00EE7322">
        <w:t>captioning on section 48 of the Jury Act 1977, considering that the introduction of a non-jury person in the deliberations room would be incompatible with the confidentiality of jury deliberations. In th</w:t>
      </w:r>
      <w:r w:rsidR="00546C73">
        <w:t>at</w:t>
      </w:r>
      <w:r w:rsidR="00EE7322">
        <w:t xml:space="preserve"> regard, the Committee recalls that </w:t>
      </w:r>
      <w:r w:rsidR="00EE7322" w:rsidRPr="00177281">
        <w:rPr>
          <w:rFonts w:eastAsia="Calibri"/>
        </w:rPr>
        <w:t>discrimination can result from the discriminatory effect of a rule or measure that is neutral at face value or without intent to discriminate, but that disproportionately affects persons with disabilit</w:t>
      </w:r>
      <w:r w:rsidR="00FB4524">
        <w:rPr>
          <w:rFonts w:eastAsia="Calibri"/>
        </w:rPr>
        <w:t>ies</w:t>
      </w:r>
      <w:r w:rsidR="00EE7322" w:rsidRPr="00177281">
        <w:rPr>
          <w:rFonts w:eastAsia="Calibri"/>
        </w:rPr>
        <w:t>.</w:t>
      </w:r>
      <w:r>
        <w:rPr>
          <w:rStyle w:val="FootnoteReference"/>
          <w:rFonts w:eastAsia="Calibri"/>
        </w:rPr>
        <w:footnoteReference w:id="45"/>
      </w:r>
      <w:r w:rsidR="00EE7322" w:rsidRPr="00177281">
        <w:t xml:space="preserve"> </w:t>
      </w:r>
      <w:r w:rsidR="00EE7322">
        <w:t>Further,</w:t>
      </w:r>
      <w:r w:rsidR="00EE7322" w:rsidRPr="009D158D">
        <w:t xml:space="preserve"> </w:t>
      </w:r>
      <w:r w:rsidR="00EE7322">
        <w:t xml:space="preserve">under </w:t>
      </w:r>
      <w:r w:rsidR="00EE7322" w:rsidRPr="009D158D">
        <w:t>article 5</w:t>
      </w:r>
      <w:r w:rsidR="00546C73">
        <w:t xml:space="preserve"> </w:t>
      </w:r>
      <w:r w:rsidR="00EE7322">
        <w:t>(</w:t>
      </w:r>
      <w:r w:rsidR="00EE7322" w:rsidRPr="009D158D">
        <w:t>1</w:t>
      </w:r>
      <w:r w:rsidR="00EE7322">
        <w:t>),</w:t>
      </w:r>
      <w:r w:rsidR="00EE7322" w:rsidRPr="009D158D">
        <w:t xml:space="preserve"> State</w:t>
      </w:r>
      <w:r w:rsidR="00EE7322">
        <w:t>s</w:t>
      </w:r>
      <w:r w:rsidR="00EE7322" w:rsidRPr="009D158D">
        <w:t xml:space="preserve"> </w:t>
      </w:r>
      <w:r w:rsidR="00546C73">
        <w:t>p</w:t>
      </w:r>
      <w:r w:rsidR="00EE7322" w:rsidRPr="009D158D">
        <w:t>art</w:t>
      </w:r>
      <w:r w:rsidR="00EE7322">
        <w:t>ies must</w:t>
      </w:r>
      <w:r w:rsidR="00EE7322" w:rsidRPr="009D158D">
        <w:t xml:space="preserve"> </w:t>
      </w:r>
      <w:r w:rsidR="00EE7322">
        <w:t>ensure</w:t>
      </w:r>
      <w:r w:rsidR="00EE7322" w:rsidRPr="009D158D">
        <w:t xml:space="preserve"> that all persons are equal before and under the law and are entitled without any discrimination to the equal protection and equal benefit of the law</w:t>
      </w:r>
      <w:r w:rsidR="00EE7322">
        <w:t xml:space="preserve"> and that</w:t>
      </w:r>
      <w:r w:rsidR="00546C73">
        <w:t>,</w:t>
      </w:r>
      <w:r w:rsidR="00EE7322">
        <w:t xml:space="preserve"> under article 5</w:t>
      </w:r>
      <w:r w:rsidR="00546C73">
        <w:t xml:space="preserve"> </w:t>
      </w:r>
      <w:r w:rsidR="00EE7322">
        <w:t>(3),</w:t>
      </w:r>
      <w:r w:rsidR="00EE7322" w:rsidRPr="009D158D">
        <w:t xml:space="preserve"> </w:t>
      </w:r>
      <w:r w:rsidR="00EE7322">
        <w:t>States parties must take all appropriate steps to ensure that reasonable accommodation is provided to promote equality and eliminate discrimination</w:t>
      </w:r>
      <w:r w:rsidR="00EE7322" w:rsidRPr="009D158D">
        <w:t>.</w:t>
      </w:r>
    </w:p>
    <w:p w:rsidR="00EE7322" w:rsidRDefault="00CD3C0F" w:rsidP="00FB4524">
      <w:pPr>
        <w:pStyle w:val="SingleTxtG"/>
      </w:pPr>
      <w:r>
        <w:t>8.4</w:t>
      </w:r>
      <w:r>
        <w:tab/>
      </w:r>
      <w:r w:rsidR="00EE7322">
        <w:t>In th</w:t>
      </w:r>
      <w:r w:rsidR="00546C73">
        <w:t>at</w:t>
      </w:r>
      <w:r w:rsidR="00EE7322">
        <w:t xml:space="preserve"> connection, the Committee recalls that</w:t>
      </w:r>
      <w:r w:rsidR="00FB4524">
        <w:t>,</w:t>
      </w:r>
      <w:r w:rsidR="00EE7322">
        <w:t xml:space="preserve"> u</w:t>
      </w:r>
      <w:r w:rsidR="00EE7322" w:rsidRPr="009D158D">
        <w:t xml:space="preserve">nder article 2 of the Convention, “reasonable accommodation” means </w:t>
      </w:r>
      <w:r w:rsidR="00EE7322" w:rsidRPr="003C691A">
        <w:t>necessary</w:t>
      </w:r>
      <w:r w:rsidR="00EE7322" w:rsidRPr="009D158D">
        <w:t xml:space="preserve"> and appropriate modification and adjustments not imposing a disproportionate or undue burden, to ensure to persons with disabilities the enjoyment or exercise on an equal basis with others of all human rights and fundamental freedoms.</w:t>
      </w:r>
      <w:r w:rsidR="00B869FA">
        <w:rPr>
          <w:rStyle w:val="FootnoteReference"/>
        </w:rPr>
        <w:footnoteReference w:id="46"/>
      </w:r>
      <w:r w:rsidR="00EE7322" w:rsidRPr="009D158D">
        <w:t xml:space="preserve"> </w:t>
      </w:r>
      <w:r w:rsidR="00EE7322">
        <w:t>The Committee considers that</w:t>
      </w:r>
      <w:r w:rsidR="00546C73">
        <w:t>,</w:t>
      </w:r>
      <w:r w:rsidR="00EE7322">
        <w:t xml:space="preserve"> w</w:t>
      </w:r>
      <w:r w:rsidR="00EE7322" w:rsidRPr="009D158D">
        <w:t>hen assessing the reasonableness and proportionality of accommodation measures, State</w:t>
      </w:r>
      <w:r w:rsidR="00EE7322">
        <w:t>s</w:t>
      </w:r>
      <w:r w:rsidR="00EE7322" w:rsidRPr="009D158D">
        <w:t xml:space="preserve"> parties enjoy a certain margin of appreciation</w:t>
      </w:r>
      <w:r w:rsidR="00EE7322">
        <w:t>.</w:t>
      </w:r>
      <w:r w:rsidR="0013518D">
        <w:rPr>
          <w:rStyle w:val="FootnoteReference"/>
        </w:rPr>
        <w:footnoteReference w:id="47"/>
      </w:r>
      <w:r w:rsidR="00EE7322">
        <w:t xml:space="preserve"> However, States </w:t>
      </w:r>
      <w:r w:rsidR="00EE7322" w:rsidRPr="00B869FA">
        <w:t>parties</w:t>
      </w:r>
      <w:r w:rsidR="00EE7322">
        <w:t xml:space="preserve"> </w:t>
      </w:r>
      <w:r w:rsidR="00EE7322" w:rsidRPr="003C691A">
        <w:t>must</w:t>
      </w:r>
      <w:r w:rsidR="00EE7322">
        <w:t xml:space="preserve"> ensure that such </w:t>
      </w:r>
      <w:r w:rsidR="00FB4524">
        <w:t xml:space="preserve">an </w:t>
      </w:r>
      <w:r w:rsidR="00EE7322">
        <w:t xml:space="preserve">assessment is made in a thorough and objective manner, </w:t>
      </w:r>
      <w:r w:rsidR="00FB4524">
        <w:t xml:space="preserve">covering </w:t>
      </w:r>
      <w:r w:rsidR="00EE7322">
        <w:t>all the pertinent elements, before reaching a</w:t>
      </w:r>
      <w:r w:rsidR="00EE7322" w:rsidRPr="009D158D">
        <w:t xml:space="preserve"> conclusion that the </w:t>
      </w:r>
      <w:r w:rsidR="00EE7322">
        <w:t xml:space="preserve">respective </w:t>
      </w:r>
      <w:r w:rsidR="00EE7322" w:rsidRPr="009D158D">
        <w:t>support and adaptation measures would co</w:t>
      </w:r>
      <w:r w:rsidR="00EE7322">
        <w:t>nstitute a disproportionate or undue burden for a State party</w:t>
      </w:r>
      <w:r w:rsidR="00EE7322" w:rsidRPr="009D158D">
        <w:t>.</w:t>
      </w:r>
      <w:r w:rsidR="0013518D">
        <w:rPr>
          <w:rStyle w:val="FootnoteReference"/>
        </w:rPr>
        <w:footnoteReference w:id="48"/>
      </w:r>
      <w:r w:rsidR="00EE7322" w:rsidRPr="009D158D">
        <w:t xml:space="preserve"> </w:t>
      </w:r>
    </w:p>
    <w:p w:rsidR="00EE7322" w:rsidRDefault="00B869FA" w:rsidP="00FB4524">
      <w:pPr>
        <w:pStyle w:val="SingleTxtG"/>
      </w:pPr>
      <w:r>
        <w:t>8.5</w:t>
      </w:r>
      <w:r>
        <w:tab/>
      </w:r>
      <w:r w:rsidR="00EE7322">
        <w:t>In the present case, the Committee observes that the adjustments provided by the State party for people with hearing impairments</w:t>
      </w:r>
      <w:r w:rsidR="00EE7322" w:rsidRPr="00CC6DD3">
        <w:t xml:space="preserve"> </w:t>
      </w:r>
      <w:r w:rsidR="00EE7322">
        <w:t>would not enable the author to</w:t>
      </w:r>
      <w:r w:rsidR="00EE7322" w:rsidRPr="00CC6DD3">
        <w:t xml:space="preserve"> participate in</w:t>
      </w:r>
      <w:r w:rsidR="00EE7322">
        <w:t xml:space="preserve"> a</w:t>
      </w:r>
      <w:r w:rsidR="00EE7322" w:rsidRPr="00CC6DD3">
        <w:t xml:space="preserve"> jury on an equal basis with others</w:t>
      </w:r>
      <w:r w:rsidR="00EE7322">
        <w:t xml:space="preserve">. It also notes that, while the State party argues that </w:t>
      </w:r>
      <w:r w:rsidR="00EE7322">
        <w:rPr>
          <w:lang w:val="en-US"/>
        </w:rPr>
        <w:t xml:space="preserve">the use of stenographers has an impact on the complexity, cost and duration of trials, it does not provide any data or </w:t>
      </w:r>
      <w:r w:rsidR="00EE7322" w:rsidRPr="00B869FA">
        <w:t>analysis</w:t>
      </w:r>
      <w:r w:rsidR="00EE7322">
        <w:rPr>
          <w:lang w:val="en-US"/>
        </w:rPr>
        <w:t xml:space="preserve"> to demonstrate that it would constitute a disproportionate or undue burden</w:t>
      </w:r>
      <w:r w:rsidR="00EE7322">
        <w:t>. Further</w:t>
      </w:r>
      <w:r w:rsidR="00546C73">
        <w:t>more</w:t>
      </w:r>
      <w:r w:rsidR="00EE7322">
        <w:t xml:space="preserve">, while the confidentiality principle of jury deliberations must be observed, the State party does not </w:t>
      </w:r>
      <w:r w:rsidR="00EE7322" w:rsidRPr="003C691A">
        <w:t>provide</w:t>
      </w:r>
      <w:r w:rsidR="00EE7322">
        <w:t xml:space="preserve"> any argument justifying that no adjustment</w:t>
      </w:r>
      <w:r w:rsidR="00FB4524">
        <w:t>,</w:t>
      </w:r>
      <w:r w:rsidR="00EE7322">
        <w:t xml:space="preserve"> </w:t>
      </w:r>
      <w:r w:rsidR="00FB4524">
        <w:t xml:space="preserve">such as a special oath before a court, </w:t>
      </w:r>
      <w:r w:rsidR="00EE7322">
        <w:t>could be made to enable the person assisting with steno-captioning to perform his</w:t>
      </w:r>
      <w:r w:rsidR="00546C73">
        <w:t xml:space="preserve"> or </w:t>
      </w:r>
      <w:r w:rsidR="00EE7322">
        <w:t>her functions without affecting the confidentiality of the deliberations of the jury. The Committee finally notes that steno-captioning is not a novelty and that some judges and attorneys with hearing impairments actually perform their daily work with th</w:t>
      </w:r>
      <w:r w:rsidR="00546C73">
        <w:t>at</w:t>
      </w:r>
      <w:r w:rsidR="00EE7322">
        <w:t xml:space="preserve"> kind of adjustment.</w:t>
      </w:r>
      <w:r w:rsidR="0013518D">
        <w:rPr>
          <w:rStyle w:val="FootnoteReference"/>
        </w:rPr>
        <w:footnoteReference w:id="49"/>
      </w:r>
      <w:r w:rsidR="00135D07">
        <w:rPr>
          <w:rStyle w:val="CommentReference"/>
        </w:rPr>
        <w:t xml:space="preserve"> </w:t>
      </w:r>
      <w:r w:rsidR="00EE7322" w:rsidRPr="004F1B4B">
        <w:rPr>
          <w:lang w:val="en-US"/>
        </w:rPr>
        <w:t xml:space="preserve">On the basis of the information before it, the </w:t>
      </w:r>
      <w:r w:rsidR="00EE7322" w:rsidRPr="004F1B4B">
        <w:rPr>
          <w:lang w:val="en-US"/>
        </w:rPr>
        <w:lastRenderedPageBreak/>
        <w:t xml:space="preserve">Committee therefore </w:t>
      </w:r>
      <w:r w:rsidR="00EE7322">
        <w:t xml:space="preserve">considers that the State party has not taken the necessary steps to ensure reasonable accommodation </w:t>
      </w:r>
      <w:r w:rsidR="00FB4524">
        <w:t xml:space="preserve">for </w:t>
      </w:r>
      <w:r w:rsidR="00EE7322">
        <w:t xml:space="preserve">the author and concludes that the refusal to provide steno-captioning, without thoroughly assessing whether </w:t>
      </w:r>
      <w:r w:rsidR="00FB4524">
        <w:t xml:space="preserve">that </w:t>
      </w:r>
      <w:r w:rsidR="00EE7322">
        <w:t xml:space="preserve">would constitute </w:t>
      </w:r>
      <w:r w:rsidR="00EE7322" w:rsidRPr="00CC6DD3">
        <w:t>a disproportionate or undue burden</w:t>
      </w:r>
      <w:r w:rsidR="00EE7322">
        <w:t>, amounts to disability based discrimination, in violation of the author’s rights under article 5</w:t>
      </w:r>
      <w:r w:rsidR="00546C73">
        <w:t xml:space="preserve"> </w:t>
      </w:r>
      <w:r w:rsidR="00EE7322">
        <w:t xml:space="preserve">(1) and (3) of the Convention. </w:t>
      </w:r>
    </w:p>
    <w:p w:rsidR="00EE7322" w:rsidRDefault="00B869FA" w:rsidP="00FB4524">
      <w:pPr>
        <w:pStyle w:val="SingleTxtG"/>
        <w:rPr>
          <w:lang w:eastAsia="en-GB"/>
        </w:rPr>
      </w:pPr>
      <w:r>
        <w:rPr>
          <w:lang w:eastAsia="en-GB"/>
        </w:rPr>
        <w:t>8.6</w:t>
      </w:r>
      <w:r>
        <w:rPr>
          <w:lang w:eastAsia="en-GB"/>
        </w:rPr>
        <w:tab/>
      </w:r>
      <w:r w:rsidR="00EE7322">
        <w:rPr>
          <w:lang w:eastAsia="en-GB"/>
        </w:rPr>
        <w:t>As regards the author’s claim under article 9</w:t>
      </w:r>
      <w:r w:rsidR="00546C73">
        <w:rPr>
          <w:lang w:eastAsia="en-GB"/>
        </w:rPr>
        <w:t xml:space="preserve"> </w:t>
      </w:r>
      <w:r w:rsidR="00EE7322">
        <w:rPr>
          <w:lang w:eastAsia="en-GB"/>
        </w:rPr>
        <w:t>(1)</w:t>
      </w:r>
      <w:r w:rsidR="00FB4524">
        <w:rPr>
          <w:lang w:eastAsia="en-GB"/>
        </w:rPr>
        <w:t xml:space="preserve"> of the Convention</w:t>
      </w:r>
      <w:r w:rsidR="00EE7322">
        <w:rPr>
          <w:lang w:eastAsia="en-GB"/>
        </w:rPr>
        <w:t>, the Committee recalls that under th</w:t>
      </w:r>
      <w:r w:rsidR="00546C73">
        <w:rPr>
          <w:lang w:eastAsia="en-GB"/>
        </w:rPr>
        <w:t>at</w:t>
      </w:r>
      <w:r w:rsidR="00EE7322">
        <w:rPr>
          <w:lang w:eastAsia="en-GB"/>
        </w:rPr>
        <w:t xml:space="preserve"> provision, States parties have the obligation to take appropriate measures to </w:t>
      </w:r>
      <w:r w:rsidR="00EE7322" w:rsidRPr="00E823CB">
        <w:rPr>
          <w:lang w:eastAsia="en-GB"/>
        </w:rPr>
        <w:t>“enable persons with disabilities to live independently and participate fully in all aspects of life</w:t>
      </w:r>
      <w:r w:rsidR="00EE7322">
        <w:rPr>
          <w:lang w:eastAsia="en-GB"/>
        </w:rPr>
        <w:t>”. In th</w:t>
      </w:r>
      <w:r w:rsidR="00546C73">
        <w:rPr>
          <w:lang w:eastAsia="en-GB"/>
        </w:rPr>
        <w:t>at</w:t>
      </w:r>
      <w:r w:rsidR="00EE7322">
        <w:rPr>
          <w:lang w:eastAsia="en-GB"/>
        </w:rPr>
        <w:t xml:space="preserve"> connection, the Committee notes that the performance of jury duty is an important aspect of civic life within the meaning of article 9</w:t>
      </w:r>
      <w:r w:rsidR="00546C73">
        <w:rPr>
          <w:lang w:eastAsia="en-GB"/>
        </w:rPr>
        <w:t xml:space="preserve"> </w:t>
      </w:r>
      <w:r w:rsidR="00EE7322">
        <w:rPr>
          <w:lang w:eastAsia="en-GB"/>
        </w:rPr>
        <w:t xml:space="preserve">(1), as it constitutes a manifestation of active citizenship. The Committee </w:t>
      </w:r>
      <w:r w:rsidR="00EE7322" w:rsidRPr="00B869FA">
        <w:t>further</w:t>
      </w:r>
      <w:r w:rsidR="00EE7322">
        <w:rPr>
          <w:lang w:eastAsia="en-GB"/>
        </w:rPr>
        <w:t xml:space="preserve"> notes the State party’s submission that it</w:t>
      </w:r>
      <w:r w:rsidR="00EE7322" w:rsidRPr="008747E0">
        <w:t xml:space="preserve"> </w:t>
      </w:r>
      <w:r w:rsidR="00EE7322">
        <w:t>devotes significant efforts and resources to ensur</w:t>
      </w:r>
      <w:r w:rsidR="00FB4524">
        <w:t>ing</w:t>
      </w:r>
      <w:r w:rsidR="00EE7322">
        <w:t xml:space="preserve"> that persons with disabilities are able to enjoy all human rights fully, on an equal basis with others</w:t>
      </w:r>
      <w:r w:rsidR="00EE7322" w:rsidRPr="008747E0">
        <w:t>.</w:t>
      </w:r>
      <w:r w:rsidR="00EE7322">
        <w:t xml:space="preserve"> The Committee also recalls that, according to its </w:t>
      </w:r>
      <w:r w:rsidR="00EE7322" w:rsidRPr="006F7D59">
        <w:t>general comment No. 2</w:t>
      </w:r>
      <w:r w:rsidR="006F7D59">
        <w:t xml:space="preserve"> (2014) on </w:t>
      </w:r>
      <w:r w:rsidR="00FB4524">
        <w:t xml:space="preserve">article 9: </w:t>
      </w:r>
      <w:r w:rsidR="006F7D59">
        <w:t>accessibility</w:t>
      </w:r>
      <w:r w:rsidR="00EE7322">
        <w:t>, the obligation to implement accessibility is unconditional,</w:t>
      </w:r>
      <w:r w:rsidR="0013518D">
        <w:rPr>
          <w:rStyle w:val="FootnoteReference"/>
        </w:rPr>
        <w:footnoteReference w:id="50"/>
      </w:r>
      <w:r w:rsidR="00EE7322">
        <w:t xml:space="preserve"> that </w:t>
      </w:r>
      <w:r w:rsidR="00EE7322">
        <w:rPr>
          <w:lang w:eastAsia="en-GB"/>
        </w:rPr>
        <w:t xml:space="preserve">it is important to address accessibility in all its complexity, </w:t>
      </w:r>
      <w:r w:rsidR="00FB4524">
        <w:rPr>
          <w:lang w:eastAsia="en-GB"/>
        </w:rPr>
        <w:t>including</w:t>
      </w:r>
      <w:r w:rsidR="00EE7322">
        <w:rPr>
          <w:lang w:eastAsia="en-GB"/>
        </w:rPr>
        <w:t xml:space="preserve"> communication. Likewise, access should be ensured on an equal basis in</w:t>
      </w:r>
      <w:r w:rsidR="00546C73">
        <w:rPr>
          <w:lang w:eastAsia="en-GB"/>
        </w:rPr>
        <w:t xml:space="preserve"> an</w:t>
      </w:r>
      <w:r w:rsidR="00EE7322">
        <w:rPr>
          <w:lang w:eastAsia="en-GB"/>
        </w:rPr>
        <w:t xml:space="preserve"> effective manner, in accordance </w:t>
      </w:r>
      <w:r w:rsidR="00EE7322" w:rsidRPr="003C691A">
        <w:t>with</w:t>
      </w:r>
      <w:r w:rsidR="00EE7322">
        <w:rPr>
          <w:lang w:eastAsia="en-GB"/>
        </w:rPr>
        <w:t xml:space="preserve"> the prohibition of discrimination; denial of access should be considered to constitute a discriminatory act.</w:t>
      </w:r>
      <w:r w:rsidR="0013518D">
        <w:rPr>
          <w:rStyle w:val="FootnoteReference"/>
          <w:lang w:eastAsia="en-GB"/>
        </w:rPr>
        <w:footnoteReference w:id="51"/>
      </w:r>
      <w:r w:rsidR="00EE7322">
        <w:t xml:space="preserve"> In the present case, by refusing to provide steno-captioning, the State party did not take the appropriate measures to enable the author to perform jury duty, thereby preventing his participation in a clear “aspect of life”, in violation of his rights under article 9</w:t>
      </w:r>
      <w:r w:rsidR="00546C73">
        <w:t xml:space="preserve"> </w:t>
      </w:r>
      <w:r w:rsidR="00EE7322">
        <w:t>(1) read alone and in conjunction with articles 2, 4, and 5 (1) and (3) of the Convention.</w:t>
      </w:r>
    </w:p>
    <w:p w:rsidR="00EE7322" w:rsidRDefault="00920D90" w:rsidP="00FB4524">
      <w:pPr>
        <w:pStyle w:val="SingleTxtG"/>
      </w:pPr>
      <w:r>
        <w:t>8.7</w:t>
      </w:r>
      <w:r w:rsidR="00EE7322">
        <w:tab/>
        <w:t>As to the author’s claim under article 21</w:t>
      </w:r>
      <w:r w:rsidR="00FB4524">
        <w:t xml:space="preserve"> of the Convention</w:t>
      </w:r>
      <w:r w:rsidR="00EE7322">
        <w:t>, the Committee notes the State party’s argument that the standard of “</w:t>
      </w:r>
      <w:r w:rsidR="00EE7322" w:rsidRPr="008747E0">
        <w:t>accepting and facilit</w:t>
      </w:r>
      <w:r w:rsidR="00EE7322">
        <w:t>ating the use of sign languages”</w:t>
      </w:r>
      <w:r w:rsidR="00EE7322" w:rsidRPr="008747E0">
        <w:t xml:space="preserve"> and other means of </w:t>
      </w:r>
      <w:r w:rsidR="00EE7322" w:rsidRPr="00920D90">
        <w:t>communication</w:t>
      </w:r>
      <w:r w:rsidR="00EE7322" w:rsidRPr="008747E0">
        <w:t xml:space="preserve"> has been met </w:t>
      </w:r>
      <w:r w:rsidR="00EE7322">
        <w:t xml:space="preserve">in the present case by the State of </w:t>
      </w:r>
      <w:r w:rsidR="00546C73">
        <w:t>New South Wales</w:t>
      </w:r>
      <w:r w:rsidR="00EE7322">
        <w:t xml:space="preserve"> and that </w:t>
      </w:r>
      <w:r w:rsidR="00FB4524">
        <w:t xml:space="preserve">obligations under </w:t>
      </w:r>
      <w:r w:rsidR="00EE7322">
        <w:t>article 21 are to be achieved progressively</w:t>
      </w:r>
      <w:r w:rsidR="00EE7322" w:rsidRPr="008747E0">
        <w:t>.</w:t>
      </w:r>
      <w:r w:rsidR="00EE7322">
        <w:t xml:space="preserve"> The Committee also notes the author’s contention that a</w:t>
      </w:r>
      <w:r w:rsidR="00EE7322" w:rsidRPr="00CC6DD3">
        <w:t>rticle 21 does not contain rights and obligations that are su</w:t>
      </w:r>
      <w:r w:rsidR="00EE7322">
        <w:t xml:space="preserve">bject to progressive implementation and that </w:t>
      </w:r>
      <w:r w:rsidR="00EE7322" w:rsidRPr="00CC6DD3">
        <w:t xml:space="preserve">the measures the </w:t>
      </w:r>
      <w:r w:rsidR="00EE7322">
        <w:t>State party</w:t>
      </w:r>
      <w:r w:rsidR="00EE7322" w:rsidRPr="00CC6DD3">
        <w:t xml:space="preserve"> purports to have taken to enable deaf</w:t>
      </w:r>
      <w:r w:rsidR="00EE7322">
        <w:t xml:space="preserve"> people</w:t>
      </w:r>
      <w:r w:rsidR="00EE7322" w:rsidRPr="00CC6DD3">
        <w:t xml:space="preserve"> to participate in jury duty are</w:t>
      </w:r>
      <w:r w:rsidR="00EE7322">
        <w:t xml:space="preserve"> not adapted to his needs. </w:t>
      </w:r>
    </w:p>
    <w:p w:rsidR="00EE7322" w:rsidRPr="00606BA0" w:rsidRDefault="00920D90" w:rsidP="003C691A">
      <w:pPr>
        <w:pStyle w:val="SingleTxtG"/>
        <w:rPr>
          <w:lang w:val="en" w:eastAsia="en-GB"/>
        </w:rPr>
      </w:pPr>
      <w:r>
        <w:t>8.8</w:t>
      </w:r>
      <w:r>
        <w:tab/>
      </w:r>
      <w:r w:rsidR="00EE7322">
        <w:t>T</w:t>
      </w:r>
      <w:r w:rsidR="00EE7322" w:rsidRPr="00D8646A">
        <w:t>he Committee recalls that</w:t>
      </w:r>
      <w:r w:rsidR="00546C73">
        <w:t>,</w:t>
      </w:r>
      <w:r w:rsidR="00EE7322" w:rsidRPr="00D8646A">
        <w:t xml:space="preserve"> pursuant to article</w:t>
      </w:r>
      <w:r w:rsidR="00EE7322">
        <w:t xml:space="preserve"> 21</w:t>
      </w:r>
      <w:r w:rsidR="00546C73">
        <w:t xml:space="preserve"> </w:t>
      </w:r>
      <w:r w:rsidR="00EE7322">
        <w:t>(b) of the Convention</w:t>
      </w:r>
      <w:r w:rsidR="00EE7322" w:rsidRPr="00D8646A">
        <w:t xml:space="preserve">, </w:t>
      </w:r>
      <w:r w:rsidR="00EE7322" w:rsidRPr="0005552A">
        <w:rPr>
          <w:lang w:val="en" w:eastAsia="en-GB"/>
        </w:rPr>
        <w:t xml:space="preserve">States </w:t>
      </w:r>
      <w:r w:rsidR="00546C73">
        <w:rPr>
          <w:lang w:val="en" w:eastAsia="en-GB"/>
        </w:rPr>
        <w:t>p</w:t>
      </w:r>
      <w:r w:rsidR="00EE7322" w:rsidRPr="0005552A">
        <w:rPr>
          <w:lang w:val="en" w:eastAsia="en-GB"/>
        </w:rPr>
        <w:t xml:space="preserve">arties shall take all appropriate measures to ensure that persons with disabilities can exercise the right to freedom of expression and opinion, including the freedom to seek, receive and impart </w:t>
      </w:r>
      <w:r w:rsidR="00EE7322" w:rsidRPr="00920D90">
        <w:t>information</w:t>
      </w:r>
      <w:r w:rsidR="00EE7322" w:rsidRPr="0005552A">
        <w:rPr>
          <w:lang w:val="en" w:eastAsia="en-GB"/>
        </w:rPr>
        <w:t xml:space="preserve"> and ideas on an equal basis with others and through all forms of communication</w:t>
      </w:r>
      <w:r w:rsidR="00EE7322">
        <w:rPr>
          <w:lang w:val="en" w:eastAsia="en-GB"/>
        </w:rPr>
        <w:t xml:space="preserve"> by accepting and facilitating different means and formats of communication in official interactions. The Committee further recalls that</w:t>
      </w:r>
      <w:r w:rsidR="00546C73">
        <w:rPr>
          <w:lang w:val="en" w:eastAsia="en-GB"/>
        </w:rPr>
        <w:t>,</w:t>
      </w:r>
      <w:r w:rsidR="00EE7322">
        <w:rPr>
          <w:lang w:val="en" w:eastAsia="en-GB"/>
        </w:rPr>
        <w:t xml:space="preserve"> according to article 2 of the Convention</w:t>
      </w:r>
      <w:r w:rsidR="00E90230">
        <w:rPr>
          <w:lang w:val="en" w:eastAsia="en-GB"/>
        </w:rPr>
        <w:t>,</w:t>
      </w:r>
      <w:r w:rsidR="00EE7322">
        <w:rPr>
          <w:lang w:val="en" w:eastAsia="en-GB"/>
        </w:rPr>
        <w:t xml:space="preserve"> “</w:t>
      </w:r>
      <w:r w:rsidR="00EE7322" w:rsidRPr="00BD477E">
        <w:rPr>
          <w:lang w:val="en" w:eastAsia="en-GB"/>
        </w:rPr>
        <w:t xml:space="preserve">communication” </w:t>
      </w:r>
      <w:r w:rsidR="00EE7322" w:rsidRPr="00BD477E">
        <w:rPr>
          <w:lang w:val="en"/>
        </w:rPr>
        <w:t>includes languages and alternative modes, mean</w:t>
      </w:r>
      <w:r w:rsidR="00EE7322">
        <w:rPr>
          <w:lang w:val="en"/>
        </w:rPr>
        <w:t>s and formats of communication, obviously encompassing steno-captioning</w:t>
      </w:r>
      <w:r w:rsidR="00EE7322">
        <w:rPr>
          <w:lang w:val="en" w:eastAsia="en-GB"/>
        </w:rPr>
        <w:t>. In th</w:t>
      </w:r>
      <w:r w:rsidR="00E90230">
        <w:rPr>
          <w:lang w:val="en" w:eastAsia="en-GB"/>
        </w:rPr>
        <w:t>at</w:t>
      </w:r>
      <w:r w:rsidR="00EE7322">
        <w:rPr>
          <w:lang w:val="en" w:eastAsia="en-GB"/>
        </w:rPr>
        <w:t xml:space="preserve"> context, the Committee notes the author’s argument that a</w:t>
      </w:r>
      <w:r w:rsidR="00EE7322" w:rsidRPr="00DB7A17">
        <w:t xml:space="preserve"> juror is a person holding a public responsibility in the administration of justice</w:t>
      </w:r>
      <w:r w:rsidR="00EE7322">
        <w:t xml:space="preserve"> “</w:t>
      </w:r>
      <w:r w:rsidR="00EE7322" w:rsidRPr="00DB7A17">
        <w:t>in interactions with other persons</w:t>
      </w:r>
      <w:r w:rsidR="00EE7322">
        <w:t>”</w:t>
      </w:r>
      <w:r w:rsidR="00E90230">
        <w:t>,</w:t>
      </w:r>
      <w:r w:rsidR="00EE7322" w:rsidRPr="00DB7A17">
        <w:t xml:space="preserve"> including other jurors, and judicial officers</w:t>
      </w:r>
      <w:r w:rsidR="00EE7322">
        <w:t>, and</w:t>
      </w:r>
      <w:r w:rsidR="00EE7322" w:rsidRPr="00DB7A17">
        <w:t xml:space="preserve"> </w:t>
      </w:r>
      <w:r w:rsidR="00EE7322">
        <w:t xml:space="preserve">that </w:t>
      </w:r>
      <w:r w:rsidR="00EE7322" w:rsidRPr="00DB7A17">
        <w:t>such interactions</w:t>
      </w:r>
      <w:r w:rsidR="00EE7322">
        <w:t xml:space="preserve"> therefore</w:t>
      </w:r>
      <w:r w:rsidR="00EE7322" w:rsidRPr="00DB7A17">
        <w:t xml:space="preserve"> </w:t>
      </w:r>
      <w:r w:rsidR="00EE7322">
        <w:t>constitute</w:t>
      </w:r>
      <w:r w:rsidR="00EE7322" w:rsidRPr="00DB7A17">
        <w:t xml:space="preserve"> “official inter</w:t>
      </w:r>
      <w:r w:rsidR="00EE7322">
        <w:t>actions” within the meaning of a</w:t>
      </w:r>
      <w:r w:rsidR="00EE7322" w:rsidRPr="00DB7A17">
        <w:t>rticle 21.</w:t>
      </w:r>
      <w:r w:rsidR="00EE7322">
        <w:rPr>
          <w:lang w:val="en" w:eastAsia="en-GB"/>
        </w:rPr>
        <w:t xml:space="preserve"> In view thereof, the Committee considers that the refusal to provide the author with the format of communication he needs to enable him to perform jury duty, and therefore to express himself in official interaction, amounted to a violation of article 21 (b) read alone and in conjunction with articles 2, 4, and 5</w:t>
      </w:r>
      <w:r w:rsidR="00E90230">
        <w:rPr>
          <w:lang w:val="en" w:eastAsia="en-GB"/>
        </w:rPr>
        <w:t xml:space="preserve"> </w:t>
      </w:r>
      <w:r w:rsidR="00EE7322">
        <w:rPr>
          <w:lang w:val="en" w:eastAsia="en-GB"/>
        </w:rPr>
        <w:t>(1) and (3) of the Convention.</w:t>
      </w:r>
      <w:r w:rsidR="00135D07">
        <w:rPr>
          <w:lang w:val="en" w:eastAsia="en-GB"/>
        </w:rPr>
        <w:t xml:space="preserve"> </w:t>
      </w:r>
    </w:p>
    <w:p w:rsidR="00EE7322" w:rsidRDefault="00920D90" w:rsidP="00BA23F9">
      <w:pPr>
        <w:pStyle w:val="SingleTxtG"/>
      </w:pPr>
      <w:r>
        <w:rPr>
          <w:lang w:eastAsia="en-GB"/>
        </w:rPr>
        <w:lastRenderedPageBreak/>
        <w:t>8.9</w:t>
      </w:r>
      <w:r>
        <w:rPr>
          <w:lang w:eastAsia="en-GB"/>
        </w:rPr>
        <w:tab/>
      </w:r>
      <w:r w:rsidR="00A90EF1" w:rsidRPr="00E75D10">
        <w:rPr>
          <w:lang w:eastAsia="en-GB"/>
        </w:rPr>
        <w:t>As regards the author’s cla</w:t>
      </w:r>
      <w:r w:rsidR="00A90EF1">
        <w:rPr>
          <w:lang w:eastAsia="en-GB"/>
        </w:rPr>
        <w:t>ims under articles 13</w:t>
      </w:r>
      <w:r w:rsidR="00E90230">
        <w:rPr>
          <w:lang w:eastAsia="en-GB"/>
        </w:rPr>
        <w:t xml:space="preserve"> </w:t>
      </w:r>
      <w:r w:rsidR="00A90EF1">
        <w:rPr>
          <w:lang w:eastAsia="en-GB"/>
        </w:rPr>
        <w:t>(1) and 29</w:t>
      </w:r>
      <w:r w:rsidR="00A90EF1" w:rsidRPr="00E75D10">
        <w:rPr>
          <w:lang w:eastAsia="en-GB"/>
        </w:rPr>
        <w:t xml:space="preserve"> of the Convention, the Committee notes the State party’s argument that this claim is without merit, as it considers that </w:t>
      </w:r>
      <w:r w:rsidR="00A90EF1" w:rsidRPr="00E75D10">
        <w:t xml:space="preserve">“effective access to justice” refers to the accessibility to the justice system and that the terms “direct” and “indirect” participants do not encompass jury duties. The State party also argues that the “reasonable accommodation” standard does not apply to article 13. The author in turn asserts that “direct and indirect participants” relate to individuals taking part </w:t>
      </w:r>
      <w:r w:rsidR="00BA23F9">
        <w:t>in</w:t>
      </w:r>
      <w:r w:rsidR="00A90EF1" w:rsidRPr="00E75D10">
        <w:t xml:space="preserve"> the legal system and that</w:t>
      </w:r>
      <w:r w:rsidR="00BA23F9">
        <w:t xml:space="preserve"> obligations under</w:t>
      </w:r>
      <w:r w:rsidR="00A90EF1" w:rsidRPr="00E75D10">
        <w:t xml:space="preserve"> article 5 to provide “reasonable accommodation” apply for the reali</w:t>
      </w:r>
      <w:r w:rsidR="00E90230">
        <w:t>z</w:t>
      </w:r>
      <w:r w:rsidR="00A90EF1" w:rsidRPr="00E75D10">
        <w:t xml:space="preserve">ation of these rights. </w:t>
      </w:r>
      <w:r w:rsidR="00A90EF1" w:rsidRPr="00E75D10">
        <w:rPr>
          <w:lang w:eastAsia="en-GB"/>
        </w:rPr>
        <w:t xml:space="preserve">The Committee recalls that, pursuant to article 13, </w:t>
      </w:r>
      <w:r w:rsidR="00A90EF1" w:rsidRPr="00E75D10">
        <w:rPr>
          <w:color w:val="000000"/>
          <w:lang w:val="en"/>
        </w:rPr>
        <w:t xml:space="preserve">States </w:t>
      </w:r>
      <w:r w:rsidR="00E90230">
        <w:rPr>
          <w:color w:val="000000"/>
          <w:lang w:val="en"/>
        </w:rPr>
        <w:t>p</w:t>
      </w:r>
      <w:r w:rsidR="00A90EF1" w:rsidRPr="00E75D10">
        <w:rPr>
          <w:color w:val="000000"/>
          <w:lang w:val="en"/>
        </w:rPr>
        <w:t>arties have to ensure effective access to justice for persons with disabilities on an equal basis with others in order to facilitate their effective role as “direct and indirect participants, in all phases of legal proceedings”, including through the provision of procedural and age</w:t>
      </w:r>
      <w:r w:rsidR="00E90230">
        <w:rPr>
          <w:color w:val="000000"/>
          <w:lang w:val="en"/>
        </w:rPr>
        <w:t>-</w:t>
      </w:r>
      <w:r w:rsidR="00A90EF1" w:rsidRPr="00E75D10">
        <w:rPr>
          <w:color w:val="000000"/>
          <w:lang w:val="en"/>
        </w:rPr>
        <w:t>appropriate accommodations. The Committee notes that the performance of jury duty is an integral part of the Australian judicial system and</w:t>
      </w:r>
      <w:r w:rsidR="00E90230">
        <w:rPr>
          <w:color w:val="000000"/>
          <w:lang w:val="en"/>
        </w:rPr>
        <w:t>,</w:t>
      </w:r>
      <w:r w:rsidR="00A90EF1" w:rsidRPr="00E75D10">
        <w:rPr>
          <w:color w:val="000000"/>
          <w:lang w:val="en"/>
        </w:rPr>
        <w:t xml:space="preserve"> as such, it</w:t>
      </w:r>
      <w:r w:rsidR="00A90EF1" w:rsidRPr="00E75D10">
        <w:rPr>
          <w:lang w:eastAsia="en-GB"/>
        </w:rPr>
        <w:t xml:space="preserve"> constitutes </w:t>
      </w:r>
      <w:r w:rsidR="00A90EF1" w:rsidRPr="00E75D10">
        <w:rPr>
          <w:color w:val="000000"/>
          <w:lang w:val="en"/>
        </w:rPr>
        <w:t>“participation” in legal proceedings. The Committee further recalls that article 29</w:t>
      </w:r>
      <w:r w:rsidR="00E90230">
        <w:rPr>
          <w:color w:val="000000"/>
          <w:lang w:val="en"/>
        </w:rPr>
        <w:t xml:space="preserve"> </w:t>
      </w:r>
      <w:r w:rsidR="00A90EF1" w:rsidRPr="00E75D10">
        <w:rPr>
          <w:color w:val="000000"/>
          <w:lang w:val="en"/>
        </w:rPr>
        <w:t xml:space="preserve">(b) requires States to promote actively an environment in which persons with disabilities can effectively and fully participate in the conduct of public affairs, without discrimination and on an equal basis with others, and encourage their participation in public affairs. </w:t>
      </w:r>
      <w:r w:rsidR="00A90EF1" w:rsidRPr="00E75D10">
        <w:rPr>
          <w:rFonts w:cs="Arial"/>
        </w:rPr>
        <w:t>Attention must therefore be given to the participation of persons with disabilit</w:t>
      </w:r>
      <w:r w:rsidR="00BA23F9">
        <w:rPr>
          <w:rFonts w:cs="Arial"/>
        </w:rPr>
        <w:t>ies</w:t>
      </w:r>
      <w:r w:rsidR="00A90EF1" w:rsidRPr="00E75D10">
        <w:rPr>
          <w:rFonts w:cs="Arial"/>
        </w:rPr>
        <w:t xml:space="preserve"> in the justice system in capacities besides those of claimant, victim or defendant, including in jury service, on an equal basis with others. </w:t>
      </w:r>
      <w:r w:rsidR="002133EC">
        <w:rPr>
          <w:rFonts w:cs="Arial"/>
        </w:rPr>
        <w:t>I</w:t>
      </w:r>
      <w:r w:rsidR="002133EC">
        <w:rPr>
          <w:color w:val="000000"/>
          <w:lang w:val="en"/>
        </w:rPr>
        <w:t>n view thereof, t</w:t>
      </w:r>
      <w:r w:rsidR="002133EC" w:rsidRPr="00E75D10">
        <w:rPr>
          <w:color w:val="000000"/>
          <w:lang w:val="en"/>
        </w:rPr>
        <w:t xml:space="preserve">he </w:t>
      </w:r>
      <w:r w:rsidR="00A90EF1" w:rsidRPr="00E75D10">
        <w:rPr>
          <w:color w:val="000000"/>
          <w:lang w:val="en"/>
        </w:rPr>
        <w:t xml:space="preserve">Committee considers that the decision of the Sheriff not to provide </w:t>
      </w:r>
      <w:r w:rsidR="00A90EF1">
        <w:rPr>
          <w:color w:val="000000"/>
          <w:lang w:val="en"/>
        </w:rPr>
        <w:t>the author with steno-captioning</w:t>
      </w:r>
      <w:r w:rsidR="00A90EF1" w:rsidRPr="00E75D10">
        <w:rPr>
          <w:color w:val="000000"/>
          <w:lang w:val="en"/>
        </w:rPr>
        <w:t xml:space="preserve"> </w:t>
      </w:r>
      <w:r w:rsidR="00A90EF1" w:rsidRPr="00E75D10">
        <w:rPr>
          <w:lang w:eastAsia="en-GB"/>
        </w:rPr>
        <w:t>amounted to a violation of article 13</w:t>
      </w:r>
      <w:r w:rsidR="00193A6E">
        <w:rPr>
          <w:lang w:eastAsia="en-GB"/>
        </w:rPr>
        <w:t xml:space="preserve"> </w:t>
      </w:r>
      <w:r w:rsidR="00A90EF1" w:rsidRPr="00E75D10">
        <w:rPr>
          <w:lang w:eastAsia="en-GB"/>
        </w:rPr>
        <w:t>(1)</w:t>
      </w:r>
      <w:r w:rsidR="00A90EF1" w:rsidRPr="00E75D10">
        <w:t>, read alone and in conjunction with articles 3, 5</w:t>
      </w:r>
      <w:r w:rsidR="00193A6E">
        <w:t xml:space="preserve"> </w:t>
      </w:r>
      <w:r w:rsidR="00A90EF1" w:rsidRPr="00E75D10">
        <w:t>(1</w:t>
      </w:r>
      <w:r w:rsidR="00A90EF1">
        <w:t>), and 29</w:t>
      </w:r>
      <w:r w:rsidR="00193A6E">
        <w:t xml:space="preserve"> </w:t>
      </w:r>
      <w:r w:rsidR="00A90EF1">
        <w:t>(b)</w:t>
      </w:r>
      <w:r w:rsidR="00193A6E">
        <w:t>,</w:t>
      </w:r>
      <w:r w:rsidR="00A90EF1">
        <w:t xml:space="preserve"> of the Convention.</w:t>
      </w:r>
    </w:p>
    <w:p w:rsidR="00A90EF1" w:rsidRPr="00A90EF1" w:rsidRDefault="00135D07" w:rsidP="00F577BA">
      <w:pPr>
        <w:pStyle w:val="H1G"/>
        <w:rPr>
          <w:lang w:eastAsia="en-GB"/>
        </w:rPr>
      </w:pPr>
      <w:r>
        <w:tab/>
      </w:r>
      <w:r w:rsidR="00A90EF1" w:rsidRPr="00A90EF1">
        <w:t>C.</w:t>
      </w:r>
      <w:r w:rsidR="00A90EF1" w:rsidRPr="00A90EF1">
        <w:tab/>
        <w:t>Conclusion and recommendations</w:t>
      </w:r>
    </w:p>
    <w:p w:rsidR="00EE7322" w:rsidRPr="00CA0D2F" w:rsidRDefault="00EE7322" w:rsidP="003C691A">
      <w:pPr>
        <w:pStyle w:val="SingleTxtG"/>
      </w:pPr>
      <w:r w:rsidRPr="00CA0D2F">
        <w:t>9.</w:t>
      </w:r>
      <w:r w:rsidRPr="00CA0D2F">
        <w:tab/>
        <w:t xml:space="preserve">The Committee, acting under article 5 of the Optional Protocol, is of the view that the State party has failed to fulfil its obligations under </w:t>
      </w:r>
      <w:r>
        <w:t>article</w:t>
      </w:r>
      <w:r w:rsidR="00193A6E">
        <w:t>s</w:t>
      </w:r>
      <w:r>
        <w:t xml:space="preserve"> 5</w:t>
      </w:r>
      <w:r w:rsidR="00193A6E">
        <w:t xml:space="preserve"> </w:t>
      </w:r>
      <w:r>
        <w:t>(1) and (3)</w:t>
      </w:r>
      <w:r w:rsidR="00193A6E">
        <w:t>,</w:t>
      </w:r>
      <w:r>
        <w:t xml:space="preserve"> 9</w:t>
      </w:r>
      <w:r w:rsidR="00193A6E">
        <w:t xml:space="preserve"> </w:t>
      </w:r>
      <w:r>
        <w:t>(1)</w:t>
      </w:r>
      <w:r w:rsidR="00193A6E">
        <w:t>,</w:t>
      </w:r>
      <w:r>
        <w:t xml:space="preserve"> </w:t>
      </w:r>
      <w:r w:rsidR="00A90EF1">
        <w:t xml:space="preserve">13 (1) read alone and in conjunction with articles 3, 5 (1) and 29 (b), </w:t>
      </w:r>
      <w:r w:rsidRPr="003C691A">
        <w:t>and</w:t>
      </w:r>
      <w:r w:rsidR="00CC25D9">
        <w:t xml:space="preserve"> 21</w:t>
      </w:r>
      <w:r>
        <w:t xml:space="preserve"> (b) read alone and in conjunction with articles 2, 4 and 5</w:t>
      </w:r>
      <w:r w:rsidR="003F4C27">
        <w:t xml:space="preserve"> </w:t>
      </w:r>
      <w:r>
        <w:t>(1) and (3) of the Convention</w:t>
      </w:r>
      <w:r w:rsidRPr="00CA0D2F">
        <w:t>. The Committee therefore makes the following recommendations to the State party:</w:t>
      </w:r>
    </w:p>
    <w:p w:rsidR="00EE7322" w:rsidRDefault="00920D90" w:rsidP="00F577BA">
      <w:pPr>
        <w:pStyle w:val="SingleTxtG"/>
        <w:ind w:firstLine="567"/>
      </w:pPr>
      <w:r>
        <w:t>(a)</w:t>
      </w:r>
      <w:r w:rsidR="00EE7322" w:rsidRPr="00CA0D2F">
        <w:tab/>
        <w:t xml:space="preserve">With respect to </w:t>
      </w:r>
      <w:r w:rsidR="00EE7322" w:rsidRPr="00920D90">
        <w:t>the</w:t>
      </w:r>
      <w:r w:rsidR="00EE7322" w:rsidRPr="00CA0D2F">
        <w:t xml:space="preserve"> author</w:t>
      </w:r>
      <w:r w:rsidR="00EE7322">
        <w:t>:</w:t>
      </w:r>
      <w:r w:rsidR="00EE7322" w:rsidRPr="00CA0D2F">
        <w:t xml:space="preserve"> the State party is </w:t>
      </w:r>
      <w:r w:rsidR="00EE7322" w:rsidRPr="00C00847">
        <w:t>under an o</w:t>
      </w:r>
      <w:r w:rsidR="00EE7322">
        <w:t>bligation</w:t>
      </w:r>
      <w:r w:rsidR="00081E2B">
        <w:t>:</w:t>
      </w:r>
    </w:p>
    <w:p w:rsidR="00EE7322" w:rsidRDefault="00920D90" w:rsidP="00F577BA">
      <w:pPr>
        <w:pStyle w:val="SingleTxtG"/>
        <w:ind w:left="1701"/>
      </w:pPr>
      <w:r>
        <w:t>(i)</w:t>
      </w:r>
      <w:r>
        <w:tab/>
      </w:r>
      <w:r w:rsidR="001B2566">
        <w:t>To</w:t>
      </w:r>
      <w:r w:rsidR="00EE7322">
        <w:t xml:space="preserve"> provide him</w:t>
      </w:r>
      <w:r w:rsidR="00EE7322" w:rsidRPr="00C00847">
        <w:t xml:space="preserve"> with an effective remedy, including reimbursement of any legal costs incurred by </w:t>
      </w:r>
      <w:r w:rsidR="00EE7322">
        <w:t>him</w:t>
      </w:r>
      <w:r w:rsidR="00EE7322" w:rsidRPr="00C00847">
        <w:t>, together with compensation</w:t>
      </w:r>
      <w:r w:rsidR="00F476B8">
        <w:t>;</w:t>
      </w:r>
      <w:r w:rsidR="00EE7322" w:rsidRPr="00C00847">
        <w:t xml:space="preserve"> </w:t>
      </w:r>
    </w:p>
    <w:p w:rsidR="00CC25D9" w:rsidRDefault="00920D90" w:rsidP="00F577BA">
      <w:pPr>
        <w:pStyle w:val="SingleTxtG"/>
        <w:ind w:left="1701"/>
      </w:pPr>
      <w:r>
        <w:t>(ii)</w:t>
      </w:r>
      <w:r>
        <w:tab/>
      </w:r>
      <w:r w:rsidR="001B2566">
        <w:t>To</w:t>
      </w:r>
      <w:r w:rsidR="00EE7322">
        <w:t xml:space="preserve"> enable his participation in jury duty, providing him with reasonable accommodation in the form of </w:t>
      </w:r>
      <w:r w:rsidR="00EE7322" w:rsidRPr="003C691A">
        <w:t>steno</w:t>
      </w:r>
      <w:r w:rsidR="00EE7322">
        <w:t>-captioning in a manner that respect</w:t>
      </w:r>
      <w:r w:rsidR="00BA23F9">
        <w:t>s</w:t>
      </w:r>
      <w:r w:rsidR="00EE7322">
        <w:t xml:space="preserve"> the confidentiality of proceedings,</w:t>
      </w:r>
      <w:r w:rsidR="00EE7322" w:rsidRPr="00FA37DE">
        <w:t xml:space="preserve"> </w:t>
      </w:r>
      <w:r w:rsidR="00EE7322">
        <w:t xml:space="preserve">at all stages of jury </w:t>
      </w:r>
      <w:r w:rsidR="00EE7322" w:rsidRPr="00743E0C">
        <w:t>selection and court proceedings</w:t>
      </w:r>
      <w:r w:rsidR="00F476B8">
        <w:t>;</w:t>
      </w:r>
      <w:r w:rsidR="00EE7322">
        <w:t xml:space="preserve"> </w:t>
      </w:r>
    </w:p>
    <w:p w:rsidR="00EE7322" w:rsidRPr="00CA0D2F" w:rsidRDefault="00920D90" w:rsidP="00F577BA">
      <w:pPr>
        <w:pStyle w:val="SingleTxtG"/>
        <w:ind w:firstLine="567"/>
      </w:pPr>
      <w:r>
        <w:t>(b)</w:t>
      </w:r>
      <w:r w:rsidR="00EE7322" w:rsidRPr="00CA0D2F">
        <w:tab/>
        <w:t>In general, the State party is under an obligation to take measures to prevent similar violations in the future, including by:</w:t>
      </w:r>
    </w:p>
    <w:p w:rsidR="00EE7322" w:rsidRDefault="00EE7322" w:rsidP="00F577BA">
      <w:pPr>
        <w:pStyle w:val="SingleTxtG"/>
        <w:ind w:left="1701"/>
      </w:pPr>
      <w:r w:rsidRPr="00CA0D2F">
        <w:t>(i)</w:t>
      </w:r>
      <w:r w:rsidRPr="00CA0D2F">
        <w:tab/>
        <w:t xml:space="preserve">Ensuring that </w:t>
      </w:r>
      <w:r>
        <w:t>every time a person with disabilities is summoned to perform jury</w:t>
      </w:r>
      <w:r w:rsidR="00A90EF1">
        <w:t xml:space="preserve"> duty</w:t>
      </w:r>
      <w:r>
        <w:t xml:space="preserve">, a thorough, objective </w:t>
      </w:r>
      <w:r w:rsidRPr="00920D90">
        <w:t>and</w:t>
      </w:r>
      <w:r>
        <w:t xml:space="preserve"> comprehensive assessment of his</w:t>
      </w:r>
      <w:r w:rsidR="003F4C27">
        <w:t xml:space="preserve"> or </w:t>
      </w:r>
      <w:r w:rsidRPr="003C691A">
        <w:t>her</w:t>
      </w:r>
      <w:r>
        <w:t xml:space="preserve"> request for adjustment is carried out, and all reasonable accommodation </w:t>
      </w:r>
      <w:r w:rsidR="00BA23F9">
        <w:t xml:space="preserve">is </w:t>
      </w:r>
      <w:r>
        <w:t>duly provided to enable his</w:t>
      </w:r>
      <w:r w:rsidR="003F4C27">
        <w:t xml:space="preserve"> or </w:t>
      </w:r>
      <w:r>
        <w:t>her full participation</w:t>
      </w:r>
      <w:r w:rsidR="00F476B8">
        <w:t>;</w:t>
      </w:r>
      <w:r w:rsidR="00135D07">
        <w:t xml:space="preserve"> </w:t>
      </w:r>
    </w:p>
    <w:p w:rsidR="00135D07" w:rsidRDefault="00920D90" w:rsidP="00F577BA">
      <w:pPr>
        <w:pStyle w:val="SingleTxtG"/>
        <w:ind w:left="1701"/>
      </w:pPr>
      <w:r>
        <w:t>(ii)</w:t>
      </w:r>
      <w:r>
        <w:tab/>
      </w:r>
      <w:r w:rsidR="00EE7322">
        <w:t>Adopting</w:t>
      </w:r>
      <w:r w:rsidR="00EE7322" w:rsidRPr="00743E0C">
        <w:t xml:space="preserve"> the </w:t>
      </w:r>
      <w:r w:rsidR="00EE7322" w:rsidRPr="00920D90">
        <w:t>necessary</w:t>
      </w:r>
      <w:r w:rsidR="00EE7322" w:rsidRPr="00743E0C">
        <w:t xml:space="preserve"> amendments in the </w:t>
      </w:r>
      <w:r w:rsidR="00EE7322">
        <w:t>relevant</w:t>
      </w:r>
      <w:r w:rsidR="00EE7322" w:rsidRPr="00743E0C">
        <w:t xml:space="preserve"> </w:t>
      </w:r>
      <w:r w:rsidR="00EE7322">
        <w:t>laws, regulations, policies and programmes,</w:t>
      </w:r>
      <w:r w:rsidR="00EE7322" w:rsidRPr="00743E0C">
        <w:t xml:space="preserve"> </w:t>
      </w:r>
      <w:r w:rsidR="00EE7322" w:rsidRPr="00CA0D2F">
        <w:rPr>
          <w:lang w:eastAsia="en-GB"/>
        </w:rPr>
        <w:t xml:space="preserve">in close consultation with </w:t>
      </w:r>
      <w:r w:rsidR="00EE7322" w:rsidRPr="003C691A">
        <w:t>persons</w:t>
      </w:r>
      <w:r w:rsidR="00EE7322" w:rsidRPr="00CA0D2F">
        <w:rPr>
          <w:lang w:eastAsia="en-GB"/>
        </w:rPr>
        <w:t xml:space="preserve"> with disabilities and their representative organizations</w:t>
      </w:r>
      <w:r w:rsidR="00F476B8">
        <w:rPr>
          <w:lang w:eastAsia="en-GB"/>
        </w:rPr>
        <w:t>;</w:t>
      </w:r>
      <w:r w:rsidR="00EE7322" w:rsidRPr="00CA0D2F">
        <w:rPr>
          <w:lang w:eastAsia="en-GB"/>
        </w:rPr>
        <w:t xml:space="preserve"> </w:t>
      </w:r>
    </w:p>
    <w:p w:rsidR="00EE7322" w:rsidRPr="00CA0D2F" w:rsidRDefault="00EE7322" w:rsidP="00F577BA">
      <w:pPr>
        <w:pStyle w:val="SingleTxtG"/>
        <w:ind w:left="1701"/>
      </w:pPr>
      <w:r w:rsidRPr="00CA0D2F">
        <w:t>(</w:t>
      </w:r>
      <w:r>
        <w:t>i</w:t>
      </w:r>
      <w:r w:rsidRPr="00CA0D2F">
        <w:t>ii)</w:t>
      </w:r>
      <w:r w:rsidRPr="00CA0D2F">
        <w:tab/>
        <w:t>Ensuring that appropriate and regular training on the scope of the Convention and its Optional Protocol, including</w:t>
      </w:r>
      <w:r w:rsidRPr="00CA0D2F">
        <w:rPr>
          <w:lang w:eastAsia="en-GB"/>
        </w:rPr>
        <w:t xml:space="preserve"> on accessibility for </w:t>
      </w:r>
      <w:r w:rsidRPr="003C691A">
        <w:t>persons</w:t>
      </w:r>
      <w:r w:rsidRPr="00CA0D2F">
        <w:rPr>
          <w:lang w:eastAsia="en-GB"/>
        </w:rPr>
        <w:t xml:space="preserve"> with disabilities, is </w:t>
      </w:r>
      <w:r w:rsidRPr="00CA0D2F">
        <w:rPr>
          <w:lang w:eastAsia="en-GB"/>
        </w:rPr>
        <w:lastRenderedPageBreak/>
        <w:t>provided</w:t>
      </w:r>
      <w:r w:rsidRPr="00CA0D2F">
        <w:t xml:space="preserve"> to</w:t>
      </w:r>
      <w:r>
        <w:t xml:space="preserve"> local </w:t>
      </w:r>
      <w:r w:rsidRPr="00920D90">
        <w:t>authorities</w:t>
      </w:r>
      <w:r>
        <w:t>, such as the Sheriff, and</w:t>
      </w:r>
      <w:r w:rsidRPr="00CA0D2F">
        <w:t xml:space="preserve"> </w:t>
      </w:r>
      <w:r w:rsidRPr="003C691A">
        <w:t>the</w:t>
      </w:r>
      <w:r>
        <w:t xml:space="preserve"> judicial</w:t>
      </w:r>
      <w:r w:rsidR="003F4C27">
        <w:t xml:space="preserve"> </w:t>
      </w:r>
      <w:r>
        <w:t xml:space="preserve">officers and staff involved in facilitating the work of </w:t>
      </w:r>
      <w:r w:rsidR="00BA23F9">
        <w:t xml:space="preserve">the </w:t>
      </w:r>
      <w:r>
        <w:t>judiciary.</w:t>
      </w:r>
    </w:p>
    <w:p w:rsidR="00EE7322" w:rsidRDefault="00EE7322" w:rsidP="003C691A">
      <w:pPr>
        <w:pStyle w:val="SingleTxtG"/>
      </w:pPr>
      <w:r w:rsidRPr="00CA0D2F">
        <w:t>10.</w:t>
      </w:r>
      <w:r w:rsidRPr="00CA0D2F">
        <w:tab/>
        <w:t xml:space="preserve">In accordance with article 5 of the Optional Protocol and rule 75 of the Committee’s rules of procedure, the State party should submit to the Committee within six months a written response, </w:t>
      </w:r>
      <w:r w:rsidRPr="00920D90">
        <w:t>including</w:t>
      </w:r>
      <w:r w:rsidRPr="00CA0D2F">
        <w:t xml:space="preserve"> any information on any action taken in the light of the present </w:t>
      </w:r>
      <w:r w:rsidR="003F4C27">
        <w:t>v</w:t>
      </w:r>
      <w:r w:rsidRPr="00CA0D2F">
        <w:t xml:space="preserve">iews and recommendations of the Committee. The State party is also requested to publish the Committee’s </w:t>
      </w:r>
      <w:r w:rsidR="003F4C27">
        <w:t>v</w:t>
      </w:r>
      <w:r w:rsidRPr="00CA0D2F">
        <w:t>iews and have them translated into the official language of the State party and widely disseminated, in accessible formats, in order to reach all sect</w:t>
      </w:r>
      <w:r w:rsidR="00BA23F9">
        <w:t>i</w:t>
      </w:r>
      <w:r w:rsidRPr="00CA0D2F">
        <w:t>o</w:t>
      </w:r>
      <w:r w:rsidR="00BA23F9">
        <w:t>n</w:t>
      </w:r>
      <w:r w:rsidRPr="00CA0D2F">
        <w:t>s of the population.</w:t>
      </w:r>
    </w:p>
    <w:p w:rsidR="00920D90" w:rsidRPr="00920D90" w:rsidRDefault="00920D90" w:rsidP="00920D90">
      <w:pPr>
        <w:pStyle w:val="SingleTxtG"/>
        <w:spacing w:before="240" w:after="0"/>
        <w:jc w:val="center"/>
        <w:rPr>
          <w:strike/>
          <w:u w:val="single"/>
        </w:rPr>
      </w:pPr>
      <w:r>
        <w:rPr>
          <w:u w:val="single"/>
        </w:rPr>
        <w:tab/>
      </w:r>
      <w:r>
        <w:rPr>
          <w:u w:val="single"/>
        </w:rPr>
        <w:tab/>
      </w:r>
      <w:r>
        <w:rPr>
          <w:u w:val="single"/>
        </w:rPr>
        <w:tab/>
      </w:r>
    </w:p>
    <w:sectPr w:rsidR="00920D90" w:rsidRPr="00920D90" w:rsidSect="00F577B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8E7" w:rsidRDefault="009A18E7"/>
  </w:endnote>
  <w:endnote w:type="continuationSeparator" w:id="0">
    <w:p w:rsidR="009A18E7" w:rsidRDefault="009A18E7"/>
  </w:endnote>
  <w:endnote w:type="continuationNotice" w:id="1">
    <w:p w:rsidR="009A18E7" w:rsidRDefault="009A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E8" w:rsidRPr="00EE7322" w:rsidRDefault="00D333E8" w:rsidP="00EE7322">
    <w:pPr>
      <w:pStyle w:val="Footer"/>
      <w:tabs>
        <w:tab w:val="right" w:pos="9638"/>
      </w:tabs>
    </w:pPr>
    <w:r w:rsidRPr="00EE7322">
      <w:rPr>
        <w:b/>
        <w:sz w:val="18"/>
      </w:rPr>
      <w:fldChar w:fldCharType="begin"/>
    </w:r>
    <w:r w:rsidRPr="00EE7322">
      <w:rPr>
        <w:b/>
        <w:sz w:val="18"/>
      </w:rPr>
      <w:instrText xml:space="preserve"> PAGE  \* MERGEFORMAT </w:instrText>
    </w:r>
    <w:r w:rsidRPr="00EE7322">
      <w:rPr>
        <w:b/>
        <w:sz w:val="18"/>
      </w:rPr>
      <w:fldChar w:fldCharType="separate"/>
    </w:r>
    <w:r w:rsidR="00A75D8D">
      <w:rPr>
        <w:b/>
        <w:noProof/>
        <w:sz w:val="18"/>
      </w:rPr>
      <w:t>2</w:t>
    </w:r>
    <w:r w:rsidRPr="00EE73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E8" w:rsidRPr="00EE7322" w:rsidRDefault="00D333E8" w:rsidP="00EE7322">
    <w:pPr>
      <w:pStyle w:val="Footer"/>
      <w:tabs>
        <w:tab w:val="right" w:pos="9638"/>
      </w:tabs>
      <w:rPr>
        <w:b/>
        <w:sz w:val="18"/>
      </w:rPr>
    </w:pPr>
    <w:r>
      <w:rPr>
        <w:sz w:val="20"/>
      </w:rPr>
      <w:tab/>
    </w:r>
    <w:r w:rsidRPr="00EE7322">
      <w:rPr>
        <w:b/>
        <w:sz w:val="18"/>
      </w:rPr>
      <w:fldChar w:fldCharType="begin"/>
    </w:r>
    <w:r w:rsidRPr="00EE7322">
      <w:rPr>
        <w:b/>
        <w:sz w:val="18"/>
      </w:rPr>
      <w:instrText xml:space="preserve"> PAGE  \* MERGEFORMAT </w:instrText>
    </w:r>
    <w:r w:rsidRPr="00EE7322">
      <w:rPr>
        <w:b/>
        <w:sz w:val="18"/>
      </w:rPr>
      <w:fldChar w:fldCharType="separate"/>
    </w:r>
    <w:r w:rsidR="00A75D8D">
      <w:rPr>
        <w:b/>
        <w:noProof/>
        <w:sz w:val="18"/>
      </w:rPr>
      <w:t>3</w:t>
    </w:r>
    <w:r w:rsidRPr="00EE73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E8" w:rsidRDefault="000E59DA" w:rsidP="000E59DA">
    <w:pPr>
      <w:pStyle w:val="Footer"/>
      <w:rPr>
        <w:sz w:val="20"/>
      </w:rPr>
    </w:pPr>
    <w:r w:rsidRPr="000E59DA">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E59DA" w:rsidRDefault="000E59DA" w:rsidP="000E59DA">
    <w:pPr>
      <w:pStyle w:val="Footer"/>
      <w:ind w:right="1134"/>
      <w:rPr>
        <w:sz w:val="20"/>
      </w:rPr>
    </w:pPr>
    <w:r>
      <w:rPr>
        <w:sz w:val="20"/>
      </w:rPr>
      <w:t>GE.16-08603(E)</w:t>
    </w:r>
  </w:p>
  <w:p w:rsidR="000E59DA" w:rsidRPr="000E59DA" w:rsidRDefault="000E59DA" w:rsidP="000E59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15/D/1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5/D/1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8E7" w:rsidRPr="000B175B" w:rsidRDefault="009A18E7" w:rsidP="000B175B">
      <w:pPr>
        <w:tabs>
          <w:tab w:val="right" w:pos="2155"/>
        </w:tabs>
        <w:spacing w:after="80"/>
        <w:ind w:left="680"/>
        <w:rPr>
          <w:u w:val="single"/>
        </w:rPr>
      </w:pPr>
      <w:r>
        <w:rPr>
          <w:u w:val="single"/>
        </w:rPr>
        <w:tab/>
      </w:r>
    </w:p>
  </w:footnote>
  <w:footnote w:type="continuationSeparator" w:id="0">
    <w:p w:rsidR="009A18E7" w:rsidRPr="00FC68B7" w:rsidRDefault="009A18E7" w:rsidP="00FC68B7">
      <w:pPr>
        <w:tabs>
          <w:tab w:val="left" w:pos="2155"/>
        </w:tabs>
        <w:spacing w:after="80"/>
        <w:ind w:left="680"/>
        <w:rPr>
          <w:u w:val="single"/>
        </w:rPr>
      </w:pPr>
      <w:r>
        <w:rPr>
          <w:u w:val="single"/>
        </w:rPr>
        <w:tab/>
      </w:r>
    </w:p>
  </w:footnote>
  <w:footnote w:type="continuationNotice" w:id="1">
    <w:p w:rsidR="009A18E7" w:rsidRDefault="009A18E7"/>
  </w:footnote>
  <w:footnote w:id="2">
    <w:p w:rsidR="00D333E8" w:rsidRPr="0037164E" w:rsidRDefault="00D333E8">
      <w:pPr>
        <w:pStyle w:val="FootnoteText"/>
      </w:pPr>
      <w:r>
        <w:rPr>
          <w:rStyle w:val="FootnoteReference"/>
        </w:rPr>
        <w:tab/>
      </w:r>
      <w:r w:rsidRPr="00F577BA">
        <w:rPr>
          <w:rStyle w:val="FootnoteReference"/>
          <w:sz w:val="20"/>
          <w:vertAlign w:val="baseline"/>
        </w:rPr>
        <w:t>*</w:t>
      </w:r>
      <w:r>
        <w:rPr>
          <w:rStyle w:val="FootnoteReference"/>
          <w:sz w:val="20"/>
          <w:vertAlign w:val="baseline"/>
        </w:rPr>
        <w:tab/>
      </w:r>
      <w:r>
        <w:t xml:space="preserve">Adopted by the Committee at its </w:t>
      </w:r>
      <w:r w:rsidRPr="00F577BA">
        <w:rPr>
          <w:color w:val="000000" w:themeColor="text1"/>
        </w:rPr>
        <w:t xml:space="preserve">fifteenth </w:t>
      </w:r>
      <w:r>
        <w:t>session (</w:t>
      </w:r>
      <w:r w:rsidRPr="00F577BA">
        <w:rPr>
          <w:color w:val="000000" w:themeColor="text1"/>
        </w:rPr>
        <w:t>29 March</w:t>
      </w:r>
      <w:r>
        <w:rPr>
          <w:color w:val="000000" w:themeColor="text1"/>
        </w:rPr>
        <w:t>-</w:t>
      </w:r>
      <w:r w:rsidRPr="00F577BA">
        <w:rPr>
          <w:color w:val="000000" w:themeColor="text1"/>
        </w:rPr>
        <w:t>21 April 2016</w:t>
      </w:r>
      <w:r>
        <w:t>).</w:t>
      </w:r>
    </w:p>
  </w:footnote>
  <w:footnote w:id="3">
    <w:p w:rsidR="00D333E8" w:rsidRPr="00C57AB5" w:rsidRDefault="00D333E8" w:rsidP="003D31C3">
      <w:pPr>
        <w:pStyle w:val="FootnoteText"/>
      </w:pPr>
      <w:r>
        <w:rPr>
          <w:rStyle w:val="FootnoteReference"/>
        </w:rPr>
        <w:tab/>
      </w:r>
      <w:r w:rsidRPr="00C57AB5">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hyperlink r:id="rId1" w:history="1">
        <w:r w:rsidRPr="00305303">
          <w:t>Mohammed Al-Tarawneh</w:t>
        </w:r>
      </w:hyperlink>
      <w:r w:rsidRPr="00305303">
        <w:t>, Danlami Umaru Basharu, M</w:t>
      </w:r>
      <w:r>
        <w:t>o</w:t>
      </w:r>
      <w:r w:rsidRPr="00305303">
        <w:t xml:space="preserve">nthian Buntan, </w:t>
      </w:r>
      <w:hyperlink r:id="rId2" w:history="1">
        <w:r w:rsidRPr="00305303">
          <w:t>María</w:t>
        </w:r>
        <w:r>
          <w:t> </w:t>
        </w:r>
        <w:r w:rsidRPr="00305303">
          <w:t>Soledad Cisternas Reyes</w:t>
        </w:r>
      </w:hyperlink>
      <w:r w:rsidRPr="00305303">
        <w:t xml:space="preserve">, Theresia Degener, </w:t>
      </w:r>
      <w:hyperlink r:id="rId3" w:history="1">
        <w:r w:rsidRPr="00305303">
          <w:t>K</w:t>
        </w:r>
      </w:hyperlink>
      <w:r w:rsidRPr="00305303">
        <w:t>im</w:t>
      </w:r>
      <w:r>
        <w:t xml:space="preserve"> </w:t>
      </w:r>
      <w:r w:rsidRPr="003D31C3">
        <w:t>Hyung Shik</w:t>
      </w:r>
      <w:r w:rsidRPr="00305303">
        <w:t>, Diane Kingston, Stig Langvad, L</w:t>
      </w:r>
      <w:r>
        <w:t>á</w:t>
      </w:r>
      <w:r w:rsidRPr="00305303">
        <w:t>szl</w:t>
      </w:r>
      <w:r>
        <w:t>ó</w:t>
      </w:r>
      <w:r w:rsidRPr="00305303">
        <w:t xml:space="preserve"> G</w:t>
      </w:r>
      <w:r>
        <w:t>á</w:t>
      </w:r>
      <w:r w:rsidRPr="00305303">
        <w:t>bor Lov</w:t>
      </w:r>
      <w:r>
        <w:t>á</w:t>
      </w:r>
      <w:r w:rsidRPr="00305303">
        <w:t xml:space="preserve">szy, Martin Babu Mwesigwa, </w:t>
      </w:r>
      <w:hyperlink r:id="rId4" w:history="1">
        <w:r w:rsidRPr="00305303">
          <w:t>Carlos</w:t>
        </w:r>
      </w:hyperlink>
      <w:r w:rsidRPr="00305303">
        <w:t xml:space="preserve"> Alberto Parra Dussan, Coomaravel Pyaneandee, </w:t>
      </w:r>
      <w:hyperlink r:id="rId5" w:history="1">
        <w:r w:rsidRPr="00305303">
          <w:t>Silvia Judith Quan-Chang</w:t>
        </w:r>
      </w:hyperlink>
      <w:r w:rsidRPr="00305303">
        <w:t xml:space="preserve">, Jonas Ruskus, </w:t>
      </w:r>
      <w:hyperlink r:id="rId6" w:history="1">
        <w:r w:rsidRPr="00305303">
          <w:t>Damjan Tati</w:t>
        </w:r>
      </w:hyperlink>
      <w:r w:rsidRPr="00305303">
        <w:t>ć and You</w:t>
      </w:r>
      <w:r>
        <w:t xml:space="preserve"> </w:t>
      </w:r>
      <w:r w:rsidRPr="00305303">
        <w:t>Liang</w:t>
      </w:r>
      <w:r>
        <w:t>.</w:t>
      </w:r>
    </w:p>
  </w:footnote>
  <w:footnote w:id="4">
    <w:p w:rsidR="00BA23F9" w:rsidRPr="00F87AF3" w:rsidRDefault="00BA23F9" w:rsidP="00BA23F9">
      <w:pPr>
        <w:pStyle w:val="FootnoteText"/>
        <w:widowControl w:val="0"/>
        <w:rPr>
          <w:lang w:val="en-GB"/>
        </w:rPr>
      </w:pPr>
      <w:r>
        <w:tab/>
      </w:r>
      <w:r>
        <w:rPr>
          <w:rStyle w:val="FootnoteReference"/>
        </w:rPr>
        <w:footnoteRef/>
      </w:r>
      <w:r>
        <w:tab/>
        <w:t>Unless otherwise specified, “Disability Discrimination Act” refers to the national Disability Discrimination Act of 1992.</w:t>
      </w:r>
    </w:p>
  </w:footnote>
  <w:footnote w:id="5">
    <w:p w:rsidR="00D333E8" w:rsidRPr="00271B5A" w:rsidRDefault="00D333E8" w:rsidP="00920CE5">
      <w:pPr>
        <w:pStyle w:val="FootnoteText"/>
        <w:widowControl w:val="0"/>
        <w:tabs>
          <w:tab w:val="clear" w:pos="1021"/>
          <w:tab w:val="right" w:pos="1020"/>
        </w:tabs>
      </w:pPr>
      <w:r>
        <w:tab/>
      </w:r>
      <w:r>
        <w:rPr>
          <w:rStyle w:val="FootnoteReference"/>
        </w:rPr>
        <w:footnoteRef/>
      </w:r>
      <w:r>
        <w:tab/>
        <w:t xml:space="preserve">Commonwealth. </w:t>
      </w:r>
    </w:p>
  </w:footnote>
  <w:footnote w:id="6">
    <w:p w:rsidR="00D333E8" w:rsidRPr="00F87AF3" w:rsidRDefault="00D333E8" w:rsidP="00800877">
      <w:pPr>
        <w:pStyle w:val="FootnoteText"/>
        <w:rPr>
          <w:lang w:val="en-GB"/>
        </w:rPr>
      </w:pPr>
      <w:r>
        <w:tab/>
      </w:r>
      <w:r>
        <w:rPr>
          <w:rStyle w:val="FootnoteReference"/>
        </w:rPr>
        <w:footnoteRef/>
      </w:r>
      <w:r>
        <w:tab/>
        <w:t xml:space="preserve">Unless otherwise specified, “Anti-Discrimination Act” refers to the New South Wales </w:t>
      </w:r>
      <w:r w:rsidRPr="002D1C90">
        <w:t>Anti-Discrimination Act</w:t>
      </w:r>
      <w:r>
        <w:t xml:space="preserve"> of 1977. </w:t>
      </w:r>
    </w:p>
  </w:footnote>
  <w:footnote w:id="7">
    <w:p w:rsidR="00D333E8" w:rsidRPr="00271B5A" w:rsidRDefault="00D333E8">
      <w:pPr>
        <w:pStyle w:val="FootnoteText"/>
        <w:widowControl w:val="0"/>
        <w:tabs>
          <w:tab w:val="clear" w:pos="1021"/>
          <w:tab w:val="right" w:pos="1020"/>
        </w:tabs>
      </w:pPr>
      <w:r>
        <w:tab/>
      </w:r>
      <w:r>
        <w:rPr>
          <w:rStyle w:val="FootnoteReference"/>
        </w:rPr>
        <w:footnoteRef/>
      </w:r>
      <w:r>
        <w:tab/>
        <w:t>Approximately US</w:t>
      </w:r>
      <w:r>
        <w:rPr>
          <w:rStyle w:val="freetext"/>
        </w:rPr>
        <w:t>$</w:t>
      </w:r>
      <w:r>
        <w:t xml:space="preserve"> 35,300-70,600. </w:t>
      </w:r>
    </w:p>
  </w:footnote>
  <w:footnote w:id="8">
    <w:p w:rsidR="00D333E8" w:rsidRPr="00271B5A" w:rsidRDefault="00D333E8" w:rsidP="00A914A2">
      <w:pPr>
        <w:pStyle w:val="FootnoteText"/>
        <w:widowControl w:val="0"/>
        <w:tabs>
          <w:tab w:val="clear" w:pos="1021"/>
          <w:tab w:val="right" w:pos="1020"/>
        </w:tabs>
      </w:pPr>
      <w:r>
        <w:tab/>
      </w:r>
      <w:r>
        <w:rPr>
          <w:rStyle w:val="FootnoteReference"/>
        </w:rPr>
        <w:footnoteRef/>
      </w:r>
      <w:r>
        <w:tab/>
      </w:r>
      <w:r w:rsidRPr="00BA4D98">
        <w:t>New South Wales</w:t>
      </w:r>
      <w:r>
        <w:t xml:space="preserve"> </w:t>
      </w:r>
      <w:r w:rsidRPr="003C368A">
        <w:rPr>
          <w:szCs w:val="24"/>
        </w:rPr>
        <w:t>Law Reform Commission</w:t>
      </w:r>
      <w:r w:rsidRPr="00BA23F9">
        <w:rPr>
          <w:szCs w:val="24"/>
        </w:rPr>
        <w:t xml:space="preserve">, </w:t>
      </w:r>
      <w:r w:rsidR="00BA23F9">
        <w:rPr>
          <w:szCs w:val="24"/>
        </w:rPr>
        <w:t>“</w:t>
      </w:r>
      <w:r w:rsidRPr="00F577BA">
        <w:rPr>
          <w:szCs w:val="24"/>
        </w:rPr>
        <w:t>Report 114: Blind or Deaf Jurors</w:t>
      </w:r>
      <w:r w:rsidR="00BA23F9">
        <w:rPr>
          <w:szCs w:val="24"/>
        </w:rPr>
        <w:t>”</w:t>
      </w:r>
      <w:r w:rsidRPr="003C368A">
        <w:rPr>
          <w:szCs w:val="24"/>
        </w:rPr>
        <w:t xml:space="preserve"> (2006)</w:t>
      </w:r>
      <w:r>
        <w:rPr>
          <w:szCs w:val="24"/>
        </w:rPr>
        <w:t>.</w:t>
      </w:r>
      <w:r>
        <w:t xml:space="preserve"> </w:t>
      </w:r>
    </w:p>
  </w:footnote>
  <w:footnote w:id="9">
    <w:p w:rsidR="00D333E8" w:rsidRPr="00271B5A" w:rsidRDefault="00D333E8" w:rsidP="00BA23F9">
      <w:pPr>
        <w:pStyle w:val="FootnoteText"/>
        <w:widowControl w:val="0"/>
        <w:tabs>
          <w:tab w:val="clear" w:pos="1021"/>
          <w:tab w:val="right" w:pos="1020"/>
        </w:tabs>
      </w:pPr>
      <w:r>
        <w:tab/>
      </w:r>
      <w:r>
        <w:rPr>
          <w:rStyle w:val="FootnoteReference"/>
        </w:rPr>
        <w:footnoteRef/>
      </w:r>
      <w:r>
        <w:tab/>
      </w:r>
      <w:r w:rsidRPr="00DB4FD7">
        <w:t>Government</w:t>
      </w:r>
      <w:r w:rsidR="00BA23F9">
        <w:t xml:space="preserve"> of </w:t>
      </w:r>
      <w:r w:rsidR="00BA23F9" w:rsidRPr="00BA4D98">
        <w:t>New South Wales</w:t>
      </w:r>
      <w:r w:rsidRPr="00DB4FD7">
        <w:t xml:space="preserve">, </w:t>
      </w:r>
      <w:r>
        <w:t>“</w:t>
      </w:r>
      <w:r w:rsidRPr="00DB4FD7">
        <w:t xml:space="preserve">Response to the NSW Law Reform Commission </w:t>
      </w:r>
      <w:r w:rsidR="00BA23F9">
        <w:t>‘</w:t>
      </w:r>
      <w:r w:rsidRPr="00DB4FD7">
        <w:t>Report 114: Blind or Deaf Jurors</w:t>
      </w:r>
      <w:r w:rsidR="00BA23F9">
        <w:t>’</w:t>
      </w:r>
      <w:r>
        <w:t>” (</w:t>
      </w:r>
      <w:r w:rsidRPr="00DB4FD7">
        <w:t>June 2010</w:t>
      </w:r>
      <w:r>
        <w:t xml:space="preserve">). </w:t>
      </w:r>
      <w:r w:rsidR="00BA23F9">
        <w:t xml:space="preserve">Available from </w:t>
      </w:r>
      <w:r w:rsidR="00BA23F9" w:rsidRPr="0081323E">
        <w:t>https://www.parliament.nsw.gov.au/la/papers/Pages/tabledpaperprofiles/government-response-to-the-new-south-wal_47367.aspx</w:t>
      </w:r>
      <w:r w:rsidR="00BA23F9">
        <w:t xml:space="preserve">. </w:t>
      </w:r>
    </w:p>
  </w:footnote>
  <w:footnote w:id="10">
    <w:p w:rsidR="00D333E8" w:rsidRPr="00F577BA" w:rsidRDefault="00D333E8" w:rsidP="008F7703">
      <w:pPr>
        <w:pStyle w:val="FootnoteText"/>
        <w:widowControl w:val="0"/>
        <w:tabs>
          <w:tab w:val="clear" w:pos="1021"/>
          <w:tab w:val="right" w:pos="1020"/>
        </w:tabs>
        <w:rPr>
          <w:highlight w:val="yellow"/>
        </w:rPr>
      </w:pPr>
      <w:r>
        <w:tab/>
      </w:r>
      <w:r>
        <w:rPr>
          <w:rStyle w:val="FootnoteReference"/>
        </w:rPr>
        <w:footnoteRef/>
      </w:r>
      <w:r>
        <w:tab/>
        <w:t xml:space="preserve">The author refers to </w:t>
      </w:r>
      <w:r w:rsidRPr="007727D0">
        <w:rPr>
          <w:i/>
        </w:rPr>
        <w:t>Waters v. Public Transport Corporation</w:t>
      </w:r>
      <w:r w:rsidRPr="007727D0">
        <w:t xml:space="preserve"> </w:t>
      </w:r>
      <w:r w:rsidRPr="007727D0">
        <w:rPr>
          <w:szCs w:val="18"/>
        </w:rPr>
        <w:t xml:space="preserve">[1991] HCA 49; 173 CLR 349; </w:t>
      </w:r>
      <w:r w:rsidRPr="007727D0">
        <w:rPr>
          <w:i/>
          <w:szCs w:val="18"/>
        </w:rPr>
        <w:t>IW v. City of Perth</w:t>
      </w:r>
      <w:r w:rsidRPr="007727D0">
        <w:rPr>
          <w:szCs w:val="18"/>
        </w:rPr>
        <w:t xml:space="preserve"> [1997] HCA 30; 191 CLR 1; </w:t>
      </w:r>
      <w:r w:rsidRPr="007727D0">
        <w:rPr>
          <w:i/>
          <w:szCs w:val="18"/>
        </w:rPr>
        <w:t>Rainsford v. Victoria</w:t>
      </w:r>
      <w:r w:rsidRPr="007727D0">
        <w:rPr>
          <w:szCs w:val="18"/>
        </w:rPr>
        <w:t xml:space="preserve"> (No.</w:t>
      </w:r>
      <w:r w:rsidRPr="00F577BA">
        <w:rPr>
          <w:szCs w:val="18"/>
        </w:rPr>
        <w:t xml:space="preserve"> </w:t>
      </w:r>
      <w:r w:rsidRPr="007727D0">
        <w:rPr>
          <w:szCs w:val="18"/>
        </w:rPr>
        <w:t xml:space="preserve">2) (2004) 184 FLR 110; </w:t>
      </w:r>
      <w:r w:rsidRPr="007727D0">
        <w:rPr>
          <w:i/>
          <w:szCs w:val="18"/>
        </w:rPr>
        <w:t>Rainsford v. Victoria</w:t>
      </w:r>
      <w:r w:rsidRPr="007727D0">
        <w:rPr>
          <w:szCs w:val="18"/>
        </w:rPr>
        <w:t xml:space="preserve"> (2005) 144 FCR 279; </w:t>
      </w:r>
      <w:r w:rsidRPr="00F577BA">
        <w:rPr>
          <w:i/>
          <w:iCs/>
          <w:szCs w:val="18"/>
        </w:rPr>
        <w:t>Vintila v. Federal Attorney-General</w:t>
      </w:r>
      <w:r w:rsidRPr="007727D0">
        <w:rPr>
          <w:szCs w:val="18"/>
        </w:rPr>
        <w:t xml:space="preserve"> [2001] FMCA 110; </w:t>
      </w:r>
      <w:r w:rsidRPr="007727D0">
        <w:rPr>
          <w:i/>
          <w:szCs w:val="18"/>
        </w:rPr>
        <w:t>AB v. Registrar of Births, Deaths and Marriages</w:t>
      </w:r>
      <w:r w:rsidRPr="007727D0">
        <w:rPr>
          <w:szCs w:val="18"/>
        </w:rPr>
        <w:t xml:space="preserve"> (2006) FCA 1071; </w:t>
      </w:r>
      <w:r w:rsidRPr="007727D0">
        <w:rPr>
          <w:i/>
          <w:szCs w:val="18"/>
        </w:rPr>
        <w:t>AB v. Registrar of Births, Deaths and Marriages</w:t>
      </w:r>
      <w:r w:rsidRPr="007727D0">
        <w:rPr>
          <w:szCs w:val="18"/>
        </w:rPr>
        <w:t xml:space="preserve"> (2007) 162 FCR 528; </w:t>
      </w:r>
      <w:r w:rsidRPr="007727D0">
        <w:rPr>
          <w:i/>
          <w:szCs w:val="18"/>
        </w:rPr>
        <w:t>Secretary of the Department of Justice and Industrial Relations v. Anti-Discrimination Commissioner</w:t>
      </w:r>
      <w:r w:rsidRPr="007727D0">
        <w:rPr>
          <w:szCs w:val="18"/>
        </w:rPr>
        <w:t xml:space="preserve"> (2003) 11 Tas R 324; </w:t>
      </w:r>
      <w:r w:rsidRPr="007727D0">
        <w:rPr>
          <w:i/>
          <w:szCs w:val="18"/>
        </w:rPr>
        <w:t xml:space="preserve">Commissioner </w:t>
      </w:r>
      <w:r w:rsidRPr="00F577BA">
        <w:rPr>
          <w:i/>
          <w:szCs w:val="18"/>
        </w:rPr>
        <w:t xml:space="preserve">of </w:t>
      </w:r>
      <w:r w:rsidRPr="007727D0">
        <w:rPr>
          <w:i/>
          <w:szCs w:val="18"/>
        </w:rPr>
        <w:t>Police v. Mohamed</w:t>
      </w:r>
      <w:r w:rsidRPr="007727D0">
        <w:rPr>
          <w:szCs w:val="18"/>
        </w:rPr>
        <w:t xml:space="preserve"> [2009] NSWCA 432.</w:t>
      </w:r>
      <w:r w:rsidRPr="007727D0">
        <w:t xml:space="preserve"> </w:t>
      </w:r>
    </w:p>
  </w:footnote>
  <w:footnote w:id="11">
    <w:p w:rsidR="00D333E8" w:rsidRPr="00271B5A" w:rsidRDefault="00D333E8" w:rsidP="008F7703">
      <w:pPr>
        <w:pStyle w:val="FootnoteText"/>
        <w:widowControl w:val="0"/>
        <w:tabs>
          <w:tab w:val="clear" w:pos="1021"/>
          <w:tab w:val="right" w:pos="1020"/>
        </w:tabs>
      </w:pPr>
      <w:r w:rsidRPr="007727D0">
        <w:tab/>
      </w:r>
      <w:r w:rsidRPr="007727D0">
        <w:rPr>
          <w:rStyle w:val="FootnoteReference"/>
        </w:rPr>
        <w:footnoteRef/>
      </w:r>
      <w:r w:rsidRPr="007727D0">
        <w:tab/>
        <w:t xml:space="preserve">The author refers to </w:t>
      </w:r>
      <w:r w:rsidRPr="007727D0">
        <w:rPr>
          <w:i/>
        </w:rPr>
        <w:t>Purvis v. State of New South Wales (Department of Education and Training)</w:t>
      </w:r>
      <w:r w:rsidRPr="007727D0">
        <w:t xml:space="preserve"> (2003) 217 CLR 92.</w:t>
      </w:r>
      <w:r>
        <w:t xml:space="preserve"> </w:t>
      </w:r>
    </w:p>
  </w:footnote>
  <w:footnote w:id="12">
    <w:p w:rsidR="00D333E8" w:rsidRPr="00F577BA" w:rsidRDefault="00D333E8" w:rsidP="00720699">
      <w:pPr>
        <w:pStyle w:val="FootnoteText"/>
        <w:widowControl w:val="0"/>
        <w:tabs>
          <w:tab w:val="clear" w:pos="1021"/>
          <w:tab w:val="right" w:pos="1020"/>
        </w:tabs>
        <w:rPr>
          <w:highlight w:val="yellow"/>
        </w:rPr>
      </w:pPr>
      <w:r>
        <w:tab/>
      </w:r>
      <w:r>
        <w:rPr>
          <w:rStyle w:val="FootnoteReference"/>
        </w:rPr>
        <w:footnoteRef/>
      </w:r>
      <w:r>
        <w:tab/>
      </w:r>
      <w:r w:rsidRPr="007727D0">
        <w:t>Government</w:t>
      </w:r>
      <w:r w:rsidR="00BA23F9">
        <w:t xml:space="preserve"> of New South Wales</w:t>
      </w:r>
      <w:r w:rsidRPr="007727D0">
        <w:t>, “NSW 2021</w:t>
      </w:r>
      <w:r w:rsidR="00BA23F9">
        <w:t>: a plan to make NSW No. 1</w:t>
      </w:r>
      <w:r w:rsidRPr="007727D0">
        <w:t>”</w:t>
      </w:r>
      <w:r w:rsidR="00BA23F9">
        <w:t xml:space="preserve"> (2011)</w:t>
      </w:r>
      <w:r w:rsidRPr="007727D0">
        <w:t xml:space="preserve">, p. </w:t>
      </w:r>
      <w:r w:rsidR="00BA23F9">
        <w:t>3</w:t>
      </w:r>
      <w:r w:rsidRPr="007727D0">
        <w:t xml:space="preserve">. </w:t>
      </w:r>
    </w:p>
  </w:footnote>
  <w:footnote w:id="13">
    <w:p w:rsidR="00D333E8" w:rsidRPr="00F577BA" w:rsidRDefault="00D333E8" w:rsidP="008413CC">
      <w:pPr>
        <w:pStyle w:val="FootnoteText"/>
        <w:widowControl w:val="0"/>
        <w:tabs>
          <w:tab w:val="clear" w:pos="1021"/>
          <w:tab w:val="right" w:pos="1020"/>
        </w:tabs>
        <w:rPr>
          <w:highlight w:val="yellow"/>
        </w:rPr>
      </w:pPr>
      <w:r w:rsidRPr="00F06B69">
        <w:tab/>
      </w:r>
      <w:r w:rsidRPr="00F06B69">
        <w:rPr>
          <w:rStyle w:val="FootnoteReference"/>
        </w:rPr>
        <w:footnoteRef/>
      </w:r>
      <w:r w:rsidRPr="00F06B69">
        <w:tab/>
        <w:t xml:space="preserve">Explanatory </w:t>
      </w:r>
      <w:r w:rsidR="00BA23F9">
        <w:t>n</w:t>
      </w:r>
      <w:r w:rsidRPr="00F06B69">
        <w:t xml:space="preserve">ote to the </w:t>
      </w:r>
      <w:r w:rsidR="00BA23F9">
        <w:t>j</w:t>
      </w:r>
      <w:r w:rsidRPr="00F06B69">
        <w:t xml:space="preserve">ury </w:t>
      </w:r>
      <w:r w:rsidR="00BA23F9">
        <w:t>a</w:t>
      </w:r>
      <w:r w:rsidRPr="00F06B69">
        <w:t xml:space="preserve">mendment </w:t>
      </w:r>
      <w:r w:rsidR="00BA23F9">
        <w:t>b</w:t>
      </w:r>
      <w:r w:rsidRPr="00F06B69">
        <w:t xml:space="preserve">ill 2010. </w:t>
      </w:r>
    </w:p>
  </w:footnote>
  <w:footnote w:id="14">
    <w:p w:rsidR="00D333E8" w:rsidRPr="00271B5A" w:rsidRDefault="00D333E8" w:rsidP="008413CC">
      <w:pPr>
        <w:pStyle w:val="FootnoteText"/>
        <w:widowControl w:val="0"/>
        <w:tabs>
          <w:tab w:val="clear" w:pos="1021"/>
          <w:tab w:val="right" w:pos="1020"/>
        </w:tabs>
      </w:pPr>
      <w:r w:rsidRPr="00F06B69">
        <w:tab/>
      </w:r>
      <w:r w:rsidRPr="00F06B69">
        <w:rPr>
          <w:rStyle w:val="FootnoteReference"/>
        </w:rPr>
        <w:footnoteRef/>
      </w:r>
      <w:r w:rsidRPr="00F06B69">
        <w:tab/>
      </w:r>
      <w:r w:rsidRPr="00F577BA">
        <w:t>Australian Human Rights Commission Act 1986 (</w:t>
      </w:r>
      <w:r w:rsidRPr="00F06B69">
        <w:t>Cth), s</w:t>
      </w:r>
      <w:r>
        <w:t>ection</w:t>
      </w:r>
      <w:r w:rsidRPr="00F06B69">
        <w:t xml:space="preserve"> 46</w:t>
      </w:r>
      <w:r w:rsidR="00BA23F9">
        <w:t xml:space="preserve"> </w:t>
      </w:r>
      <w:r w:rsidRPr="00F06B69">
        <w:t>PO</w:t>
      </w:r>
      <w:r>
        <w:t xml:space="preserve"> </w:t>
      </w:r>
      <w:r w:rsidRPr="00F06B69">
        <w:t>(2).</w:t>
      </w:r>
      <w:r>
        <w:t xml:space="preserve"> </w:t>
      </w:r>
    </w:p>
  </w:footnote>
  <w:footnote w:id="15">
    <w:p w:rsidR="00D333E8" w:rsidRPr="00F577BA" w:rsidRDefault="00D333E8" w:rsidP="001D323B">
      <w:pPr>
        <w:pStyle w:val="FootnoteText"/>
        <w:widowControl w:val="0"/>
        <w:tabs>
          <w:tab w:val="clear" w:pos="1021"/>
          <w:tab w:val="right" w:pos="1020"/>
        </w:tabs>
        <w:rPr>
          <w:highlight w:val="yellow"/>
        </w:rPr>
      </w:pPr>
      <w:r>
        <w:tab/>
      </w:r>
      <w:r>
        <w:rPr>
          <w:rStyle w:val="FootnoteReference"/>
        </w:rPr>
        <w:footnoteRef/>
      </w:r>
      <w:r>
        <w:tab/>
        <w:t>See c</w:t>
      </w:r>
      <w:r w:rsidRPr="00F577BA">
        <w:t xml:space="preserve">ommunication No. 437/1990, </w:t>
      </w:r>
      <w:r w:rsidRPr="004D0258">
        <w:rPr>
          <w:i/>
        </w:rPr>
        <w:t>Patiño v. Panama</w:t>
      </w:r>
      <w:r w:rsidRPr="004D0258">
        <w:t xml:space="preserve">, of 1990, </w:t>
      </w:r>
      <w:r>
        <w:t xml:space="preserve">decision adopted on </w:t>
      </w:r>
      <w:r w:rsidRPr="004D0258">
        <w:t>2</w:t>
      </w:r>
      <w:r>
        <w:t>1</w:t>
      </w:r>
      <w:r w:rsidRPr="004D0258">
        <w:t xml:space="preserve"> October 1994, para. 5.2. </w:t>
      </w:r>
    </w:p>
  </w:footnote>
  <w:footnote w:id="16">
    <w:p w:rsidR="00D333E8" w:rsidRPr="00F577BA" w:rsidRDefault="00D333E8" w:rsidP="001D323B">
      <w:pPr>
        <w:pStyle w:val="FootnoteText"/>
        <w:widowControl w:val="0"/>
        <w:tabs>
          <w:tab w:val="clear" w:pos="1021"/>
          <w:tab w:val="right" w:pos="1020"/>
        </w:tabs>
        <w:rPr>
          <w:highlight w:val="yellow"/>
        </w:rPr>
      </w:pPr>
      <w:r w:rsidRPr="004D0258">
        <w:tab/>
      </w:r>
      <w:r w:rsidRPr="004D0258">
        <w:rPr>
          <w:rStyle w:val="FootnoteReference"/>
        </w:rPr>
        <w:footnoteRef/>
      </w:r>
      <w:r w:rsidRPr="004D0258">
        <w:tab/>
        <w:t xml:space="preserve">The State party refers to the Human Rights Committee’s conclusion in </w:t>
      </w:r>
      <w:r w:rsidRPr="00A7681E">
        <w:t>communication No. 397/1990</w:t>
      </w:r>
      <w:r>
        <w:t xml:space="preserve">, </w:t>
      </w:r>
      <w:r w:rsidRPr="00F577BA">
        <w:rPr>
          <w:i/>
          <w:iCs/>
        </w:rPr>
        <w:t>P.S. v. Denmark</w:t>
      </w:r>
      <w:r w:rsidRPr="004D0258">
        <w:t xml:space="preserve">, </w:t>
      </w:r>
      <w:r>
        <w:t>decision of inadmissibility adopted on 22</w:t>
      </w:r>
      <w:r w:rsidRPr="004D0258">
        <w:t xml:space="preserve"> </w:t>
      </w:r>
      <w:r>
        <w:t>July</w:t>
      </w:r>
      <w:r w:rsidRPr="004D0258">
        <w:t xml:space="preserve"> 1992, para. 5.4. </w:t>
      </w:r>
    </w:p>
  </w:footnote>
  <w:footnote w:id="17">
    <w:p w:rsidR="00D333E8" w:rsidRPr="00F577BA" w:rsidRDefault="00D333E8" w:rsidP="001D323B">
      <w:pPr>
        <w:pStyle w:val="FootnoteText"/>
        <w:widowControl w:val="0"/>
        <w:tabs>
          <w:tab w:val="clear" w:pos="1021"/>
          <w:tab w:val="right" w:pos="1020"/>
        </w:tabs>
        <w:rPr>
          <w:highlight w:val="yellow"/>
        </w:rPr>
      </w:pPr>
      <w:r w:rsidRPr="00F06B69">
        <w:tab/>
      </w:r>
      <w:r w:rsidRPr="00F06B69">
        <w:rPr>
          <w:rStyle w:val="FootnoteReference"/>
        </w:rPr>
        <w:footnoteRef/>
      </w:r>
      <w:r w:rsidRPr="00F06B69">
        <w:tab/>
        <w:t xml:space="preserve">Federal Court Rules 2011, </w:t>
      </w:r>
      <w:r w:rsidRPr="00F577BA">
        <w:t>r</w:t>
      </w:r>
      <w:r w:rsidRPr="00F06B69">
        <w:t>ules 40.51</w:t>
      </w:r>
      <w:r w:rsidRPr="00F577BA">
        <w:t xml:space="preserve"> and</w:t>
      </w:r>
      <w:r w:rsidRPr="00F06B69">
        <w:t xml:space="preserve"> 21.03; see also </w:t>
      </w:r>
      <w:hyperlink r:id="rId7" w:history="1">
        <w:r w:rsidRPr="001F2AF4">
          <w:rPr>
            <w:rStyle w:val="Hyperlink"/>
          </w:rPr>
          <w:t>www.federalcircuitcourt.gov.au</w:t>
        </w:r>
      </w:hyperlink>
      <w:r w:rsidRPr="00F06B69">
        <w:t xml:space="preserve">. </w:t>
      </w:r>
    </w:p>
  </w:footnote>
  <w:footnote w:id="18">
    <w:p w:rsidR="00D333E8" w:rsidRPr="00F577BA" w:rsidRDefault="00D333E8" w:rsidP="00720699">
      <w:pPr>
        <w:pStyle w:val="FootnoteText"/>
        <w:widowControl w:val="0"/>
        <w:tabs>
          <w:tab w:val="clear" w:pos="1021"/>
          <w:tab w:val="right" w:pos="1020"/>
        </w:tabs>
        <w:rPr>
          <w:highlight w:val="yellow"/>
        </w:rPr>
      </w:pPr>
      <w:r w:rsidRPr="00E11FD5">
        <w:tab/>
      </w:r>
      <w:r w:rsidRPr="00E11FD5">
        <w:rPr>
          <w:rStyle w:val="FootnoteReference"/>
        </w:rPr>
        <w:footnoteRef/>
      </w:r>
      <w:r w:rsidRPr="00E11FD5">
        <w:tab/>
      </w:r>
      <w:r>
        <w:t xml:space="preserve">See </w:t>
      </w:r>
      <w:r>
        <w:rPr>
          <w:iCs/>
          <w:lang w:val="en-GB"/>
        </w:rPr>
        <w:t>A/64</w:t>
      </w:r>
      <w:r w:rsidRPr="00F577BA">
        <w:rPr>
          <w:iCs/>
          <w:lang w:val="en-GB"/>
        </w:rPr>
        <w:t>/40 (Vol. I</w:t>
      </w:r>
      <w:r>
        <w:rPr>
          <w:iCs/>
          <w:lang w:val="en-GB"/>
        </w:rPr>
        <w:t>)</w:t>
      </w:r>
      <w:r w:rsidRPr="00E11FD5">
        <w:t xml:space="preserve">, para. </w:t>
      </w:r>
      <w:r w:rsidRPr="00F577BA">
        <w:t xml:space="preserve">118; </w:t>
      </w:r>
      <w:r w:rsidRPr="009665F2">
        <w:rPr>
          <w:iCs/>
          <w:lang w:val="en-GB"/>
        </w:rPr>
        <w:t>A/</w:t>
      </w:r>
      <w:r>
        <w:rPr>
          <w:iCs/>
          <w:lang w:val="en-GB"/>
        </w:rPr>
        <w:t>63</w:t>
      </w:r>
      <w:r w:rsidRPr="009665F2">
        <w:rPr>
          <w:iCs/>
          <w:lang w:val="en-GB"/>
        </w:rPr>
        <w:t>/40 (Vol. I</w:t>
      </w:r>
      <w:r>
        <w:rPr>
          <w:iCs/>
          <w:lang w:val="en-GB"/>
        </w:rPr>
        <w:t>)</w:t>
      </w:r>
      <w:r w:rsidRPr="00F577BA">
        <w:t xml:space="preserve">, para. 108; </w:t>
      </w:r>
      <w:r w:rsidRPr="009665F2">
        <w:rPr>
          <w:iCs/>
          <w:lang w:val="en-GB"/>
        </w:rPr>
        <w:t>A/</w:t>
      </w:r>
      <w:r>
        <w:rPr>
          <w:iCs/>
          <w:lang w:val="en-GB"/>
        </w:rPr>
        <w:t>62</w:t>
      </w:r>
      <w:r w:rsidRPr="009665F2">
        <w:rPr>
          <w:iCs/>
          <w:lang w:val="en-GB"/>
        </w:rPr>
        <w:t>/40 (Vol. I</w:t>
      </w:r>
      <w:r>
        <w:rPr>
          <w:iCs/>
          <w:lang w:val="en-GB"/>
        </w:rPr>
        <w:t>)</w:t>
      </w:r>
      <w:r w:rsidRPr="00F577BA">
        <w:t xml:space="preserve">, para. 119; </w:t>
      </w:r>
      <w:r w:rsidRPr="009665F2">
        <w:rPr>
          <w:iCs/>
          <w:lang w:val="en-GB"/>
        </w:rPr>
        <w:t>A/</w:t>
      </w:r>
      <w:r>
        <w:rPr>
          <w:iCs/>
          <w:lang w:val="en-GB"/>
        </w:rPr>
        <w:t>61</w:t>
      </w:r>
      <w:r w:rsidRPr="009665F2">
        <w:rPr>
          <w:iCs/>
          <w:lang w:val="en-GB"/>
        </w:rPr>
        <w:t>/40 (Vol. I</w:t>
      </w:r>
      <w:r>
        <w:rPr>
          <w:iCs/>
          <w:lang w:val="en-GB"/>
        </w:rPr>
        <w:t>)</w:t>
      </w:r>
      <w:r w:rsidRPr="00F577BA">
        <w:t xml:space="preserve">, para. </w:t>
      </w:r>
      <w:r w:rsidRPr="00E11FD5">
        <w:t xml:space="preserve">115. </w:t>
      </w:r>
    </w:p>
  </w:footnote>
  <w:footnote w:id="19">
    <w:p w:rsidR="00D333E8" w:rsidRPr="00F577BA" w:rsidRDefault="00D333E8" w:rsidP="00720699">
      <w:pPr>
        <w:pStyle w:val="FootnoteText"/>
        <w:widowControl w:val="0"/>
        <w:tabs>
          <w:tab w:val="clear" w:pos="1021"/>
          <w:tab w:val="right" w:pos="1020"/>
        </w:tabs>
        <w:rPr>
          <w:highlight w:val="yellow"/>
        </w:rPr>
      </w:pPr>
      <w:r w:rsidRPr="00F06B69">
        <w:tab/>
      </w:r>
      <w:r w:rsidRPr="00F06B69">
        <w:rPr>
          <w:rStyle w:val="FootnoteReference"/>
        </w:rPr>
        <w:footnoteRef/>
      </w:r>
      <w:r w:rsidRPr="00F06B69">
        <w:tab/>
      </w:r>
      <w:r w:rsidR="00D914A7">
        <w:t>See g</w:t>
      </w:r>
      <w:r w:rsidRPr="00F06B69">
        <w:t>eneral comment No</w:t>
      </w:r>
      <w:r>
        <w:t>.</w:t>
      </w:r>
      <w:r w:rsidRPr="00F06B69">
        <w:t xml:space="preserve"> 1 (2014)</w:t>
      </w:r>
      <w:r w:rsidR="00D914A7">
        <w:t xml:space="preserve"> of the Committee on article 12:</w:t>
      </w:r>
      <w:r w:rsidRPr="00F06B69">
        <w:rPr>
          <w:i/>
        </w:rPr>
        <w:t xml:space="preserve"> </w:t>
      </w:r>
      <w:r w:rsidRPr="00F06B69">
        <w:t xml:space="preserve">equal recognition before the law, para. 1. </w:t>
      </w:r>
    </w:p>
  </w:footnote>
  <w:footnote w:id="20">
    <w:p w:rsidR="00D333E8" w:rsidRPr="00F06B69" w:rsidRDefault="00D333E8" w:rsidP="00720699">
      <w:pPr>
        <w:pStyle w:val="FootnoteText"/>
        <w:widowControl w:val="0"/>
        <w:tabs>
          <w:tab w:val="clear" w:pos="1021"/>
          <w:tab w:val="right" w:pos="1020"/>
        </w:tabs>
      </w:pPr>
      <w:r w:rsidRPr="00F06B69">
        <w:tab/>
      </w:r>
      <w:r w:rsidRPr="00F06B69">
        <w:rPr>
          <w:rStyle w:val="FootnoteReference"/>
        </w:rPr>
        <w:footnoteRef/>
      </w:r>
      <w:r w:rsidRPr="00F06B69">
        <w:tab/>
        <w:t xml:space="preserve">Government </w:t>
      </w:r>
      <w:r w:rsidR="00720699">
        <w:t xml:space="preserve">of </w:t>
      </w:r>
      <w:r w:rsidR="00720699" w:rsidRPr="006A055C">
        <w:t>New South Wales</w:t>
      </w:r>
      <w:r w:rsidR="00720699">
        <w:t>,</w:t>
      </w:r>
      <w:r w:rsidR="00720699" w:rsidRPr="00F06B69">
        <w:t xml:space="preserve"> </w:t>
      </w:r>
      <w:r w:rsidR="00720699">
        <w:t>“R</w:t>
      </w:r>
      <w:r w:rsidRPr="00F06B69">
        <w:t>esponse, June 2010</w:t>
      </w:r>
      <w:r w:rsidR="00720699">
        <w:t>to the NSW Law Reform Commission”</w:t>
      </w:r>
      <w:r w:rsidRPr="00F06B69">
        <w:t xml:space="preserve">. See also para. 4.1 above. </w:t>
      </w:r>
    </w:p>
  </w:footnote>
  <w:footnote w:id="21">
    <w:p w:rsidR="00D333E8" w:rsidRPr="00271B5A" w:rsidRDefault="00D333E8" w:rsidP="00720699">
      <w:pPr>
        <w:pStyle w:val="FootnoteText"/>
        <w:widowControl w:val="0"/>
        <w:tabs>
          <w:tab w:val="clear" w:pos="1021"/>
          <w:tab w:val="right" w:pos="1020"/>
        </w:tabs>
      </w:pPr>
      <w:r w:rsidRPr="00F06B69">
        <w:tab/>
      </w:r>
      <w:r w:rsidRPr="00F06B69">
        <w:rPr>
          <w:rStyle w:val="FootnoteReference"/>
        </w:rPr>
        <w:footnoteRef/>
      </w:r>
      <w:r w:rsidRPr="00F06B69">
        <w:tab/>
      </w:r>
      <w:r w:rsidR="00720699">
        <w:t>See d</w:t>
      </w:r>
      <w:r w:rsidRPr="00F06B69">
        <w:t xml:space="preserve">aily summary of discussion of the </w:t>
      </w:r>
      <w:r>
        <w:t>s</w:t>
      </w:r>
      <w:r w:rsidRPr="00F06B69">
        <w:t xml:space="preserve">eventh </w:t>
      </w:r>
      <w:r>
        <w:t>s</w:t>
      </w:r>
      <w:r w:rsidRPr="00F06B69">
        <w:t>ession of the Ad Hoc Committee</w:t>
      </w:r>
      <w:r w:rsidR="00720699">
        <w:t xml:space="preserve"> on a Comprehensive and Integral International Convention on Protection and Promotion of the Rights and Dignity of Persons with Disabilities</w:t>
      </w:r>
      <w:r w:rsidR="00720699" w:rsidRPr="00F771AE">
        <w:t xml:space="preserve">, available from </w:t>
      </w:r>
      <w:r w:rsidR="00720699" w:rsidRPr="005338BA">
        <w:t>www.un.org/esa/socdev/enable/rights/adhoccom.htm</w:t>
      </w:r>
      <w:r w:rsidRPr="00F06B69">
        <w:t>, 18 January 2006, morning session, Chair.</w:t>
      </w:r>
      <w:r>
        <w:t xml:space="preserve"> </w:t>
      </w:r>
    </w:p>
  </w:footnote>
  <w:footnote w:id="22">
    <w:p w:rsidR="00D333E8" w:rsidRPr="00F577BA" w:rsidRDefault="00D333E8" w:rsidP="00720699">
      <w:pPr>
        <w:pStyle w:val="FootnoteText"/>
        <w:widowControl w:val="0"/>
        <w:tabs>
          <w:tab w:val="clear" w:pos="1021"/>
          <w:tab w:val="right" w:pos="1020"/>
        </w:tabs>
        <w:rPr>
          <w:highlight w:val="yellow"/>
        </w:rPr>
      </w:pPr>
      <w:r>
        <w:tab/>
      </w:r>
      <w:r>
        <w:rPr>
          <w:rStyle w:val="FootnoteReference"/>
        </w:rPr>
        <w:footnoteRef/>
      </w:r>
      <w:r>
        <w:tab/>
      </w:r>
      <w:r w:rsidR="00720699" w:rsidRPr="00F87AF3">
        <w:t xml:space="preserve">See </w:t>
      </w:r>
      <w:r w:rsidR="00720699" w:rsidRPr="00B705B1">
        <w:t>daily summary of discussions of the fifth session of the Ad Hoc Committee, 25 January 2005, afternoon session, Coordinator</w:t>
      </w:r>
      <w:r w:rsidR="00720699" w:rsidRPr="005338BA">
        <w:t>.</w:t>
      </w:r>
      <w:r w:rsidR="00720699">
        <w:t xml:space="preserve"> </w:t>
      </w:r>
    </w:p>
  </w:footnote>
  <w:footnote w:id="23">
    <w:p w:rsidR="00D333E8" w:rsidRPr="00720699" w:rsidRDefault="00D333E8" w:rsidP="00720699">
      <w:pPr>
        <w:pStyle w:val="FootnoteText"/>
        <w:widowControl w:val="0"/>
        <w:tabs>
          <w:tab w:val="clear" w:pos="1021"/>
          <w:tab w:val="right" w:pos="1020"/>
        </w:tabs>
      </w:pPr>
      <w:r w:rsidRPr="00F06B69">
        <w:tab/>
      </w:r>
      <w:r w:rsidRPr="00F06B69">
        <w:rPr>
          <w:rStyle w:val="FootnoteReference"/>
        </w:rPr>
        <w:footnoteRef/>
      </w:r>
      <w:r w:rsidRPr="00F06B69">
        <w:tab/>
      </w:r>
      <w:r w:rsidR="00720699" w:rsidRPr="00DB4FD7">
        <w:t>Government</w:t>
      </w:r>
      <w:r w:rsidR="00720699">
        <w:t xml:space="preserve"> of New South Wales, “R</w:t>
      </w:r>
      <w:r w:rsidR="00720699" w:rsidRPr="00DB4FD7">
        <w:t>esponse</w:t>
      </w:r>
      <w:r w:rsidR="00720699" w:rsidRPr="00A27207">
        <w:t xml:space="preserve"> </w:t>
      </w:r>
      <w:r w:rsidR="00720699">
        <w:t xml:space="preserve">to the NSW Law Reform Commission”. </w:t>
      </w:r>
      <w:r w:rsidRPr="00F06B69">
        <w:t xml:space="preserve"> </w:t>
      </w:r>
    </w:p>
  </w:footnote>
  <w:footnote w:id="24">
    <w:p w:rsidR="00D333E8" w:rsidRPr="00F577BA" w:rsidRDefault="00D333E8">
      <w:pPr>
        <w:pStyle w:val="FootnoteText"/>
        <w:widowControl w:val="0"/>
        <w:tabs>
          <w:tab w:val="clear" w:pos="1021"/>
          <w:tab w:val="right" w:pos="1020"/>
        </w:tabs>
        <w:rPr>
          <w:highlight w:val="yellow"/>
        </w:rPr>
      </w:pPr>
      <w:r w:rsidRPr="00F06B69">
        <w:tab/>
      </w:r>
      <w:r w:rsidRPr="00F06B69">
        <w:rPr>
          <w:rStyle w:val="FootnoteReference"/>
        </w:rPr>
        <w:footnoteRef/>
      </w:r>
      <w:r w:rsidRPr="00F06B69">
        <w:tab/>
      </w:r>
      <w:r w:rsidR="00720699">
        <w:t>See d</w:t>
      </w:r>
      <w:r w:rsidRPr="00F06B69">
        <w:t xml:space="preserve">aily summary of discussion of the </w:t>
      </w:r>
      <w:r>
        <w:t>f</w:t>
      </w:r>
      <w:r w:rsidRPr="00F06B69">
        <w:t xml:space="preserve">ifth </w:t>
      </w:r>
      <w:r>
        <w:t>s</w:t>
      </w:r>
      <w:r w:rsidRPr="00F06B69">
        <w:t xml:space="preserve">ession of the Ad Hoc Committee, 28 January 2005, afternoon session, Chile, in cooperation with Australia, Bosnia and Herzegovina, Canada, Costa Rica, the Russian Federation, Mexico and some </w:t>
      </w:r>
      <w:r>
        <w:t>non-governmental organizations</w:t>
      </w:r>
      <w:r w:rsidRPr="00F06B69">
        <w:t xml:space="preserve">. </w:t>
      </w:r>
    </w:p>
  </w:footnote>
  <w:footnote w:id="25">
    <w:p w:rsidR="00D333E8" w:rsidRPr="00F577BA" w:rsidRDefault="00D333E8" w:rsidP="00720699">
      <w:pPr>
        <w:pStyle w:val="FootnoteText"/>
        <w:widowControl w:val="0"/>
        <w:tabs>
          <w:tab w:val="clear" w:pos="1021"/>
          <w:tab w:val="right" w:pos="1020"/>
        </w:tabs>
        <w:rPr>
          <w:highlight w:val="yellow"/>
        </w:rPr>
      </w:pPr>
      <w:r w:rsidRPr="00F06B69">
        <w:tab/>
      </w:r>
      <w:r w:rsidRPr="00F06B69">
        <w:rPr>
          <w:rStyle w:val="FootnoteReference"/>
        </w:rPr>
        <w:footnoteRef/>
      </w:r>
      <w:r w:rsidRPr="00F06B69">
        <w:tab/>
      </w:r>
      <w:r w:rsidR="00720699">
        <w:t xml:space="preserve">See </w:t>
      </w:r>
      <w:r w:rsidR="00720699" w:rsidRPr="00B705B1">
        <w:t>d</w:t>
      </w:r>
      <w:r w:rsidR="00720699" w:rsidRPr="00EC452D">
        <w:t>aily summary of discussion</w:t>
      </w:r>
      <w:r w:rsidR="00720699">
        <w:t>s</w:t>
      </w:r>
      <w:r w:rsidR="00720699" w:rsidRPr="00EC452D">
        <w:t xml:space="preserve"> of the </w:t>
      </w:r>
      <w:r w:rsidR="00720699" w:rsidRPr="00A13A2A">
        <w:t>seventh session</w:t>
      </w:r>
      <w:r w:rsidR="00720699" w:rsidRPr="00EC452D">
        <w:t xml:space="preserve"> </w:t>
      </w:r>
      <w:r w:rsidR="00720699" w:rsidRPr="00B705B1">
        <w:t>of the Ad Hoc Committee</w:t>
      </w:r>
      <w:r w:rsidR="00720699" w:rsidRPr="00EC452D">
        <w:t xml:space="preserve">, </w:t>
      </w:r>
      <w:r w:rsidR="00720699" w:rsidRPr="00B705B1">
        <w:t>1</w:t>
      </w:r>
      <w:r w:rsidR="00720699">
        <w:t>8</w:t>
      </w:r>
      <w:r w:rsidR="00720699" w:rsidRPr="00B705B1">
        <w:t xml:space="preserve"> January 2006, afternoon session, Israel</w:t>
      </w:r>
      <w:r w:rsidR="00720699">
        <w:t>,</w:t>
      </w:r>
      <w:r w:rsidR="00720699" w:rsidRPr="00B705B1">
        <w:t xml:space="preserve"> Chair.</w:t>
      </w:r>
      <w:r w:rsidR="00720699">
        <w:t xml:space="preserve"> </w:t>
      </w:r>
    </w:p>
  </w:footnote>
  <w:footnote w:id="26">
    <w:p w:rsidR="00D333E8" w:rsidRPr="00271B5A" w:rsidRDefault="00D333E8" w:rsidP="00355740">
      <w:pPr>
        <w:pStyle w:val="FootnoteText"/>
        <w:widowControl w:val="0"/>
        <w:tabs>
          <w:tab w:val="clear" w:pos="1021"/>
          <w:tab w:val="right" w:pos="1020"/>
        </w:tabs>
      </w:pPr>
      <w:r w:rsidRPr="00F06B69">
        <w:tab/>
      </w:r>
      <w:r w:rsidRPr="00F06B69">
        <w:rPr>
          <w:rStyle w:val="FootnoteReference"/>
        </w:rPr>
        <w:footnoteRef/>
      </w:r>
      <w:r w:rsidRPr="00F06B69">
        <w:tab/>
      </w:r>
      <w:r w:rsidR="00355740">
        <w:t>See d</w:t>
      </w:r>
      <w:r w:rsidRPr="00F06B69">
        <w:t>aily summary of discussion</w:t>
      </w:r>
      <w:r w:rsidR="00355740">
        <w:t>s</w:t>
      </w:r>
      <w:r w:rsidRPr="00F06B69">
        <w:t xml:space="preserve"> at the </w:t>
      </w:r>
      <w:r>
        <w:t>f</w:t>
      </w:r>
      <w:r w:rsidRPr="00F06B69">
        <w:t xml:space="preserve">ifth </w:t>
      </w:r>
      <w:r>
        <w:t>s</w:t>
      </w:r>
      <w:r w:rsidRPr="00F06B69">
        <w:t>ession of the Ad Hoc Committee, 1 February 2005, morning session, E</w:t>
      </w:r>
      <w:r>
        <w:t xml:space="preserve">uropean </w:t>
      </w:r>
      <w:r w:rsidRPr="00F06B69">
        <w:t>U</w:t>
      </w:r>
      <w:r>
        <w:t>nion</w:t>
      </w:r>
      <w:r w:rsidRPr="00F06B69">
        <w:t>.</w:t>
      </w:r>
      <w:r>
        <w:t xml:space="preserve"> </w:t>
      </w:r>
    </w:p>
  </w:footnote>
  <w:footnote w:id="27">
    <w:p w:rsidR="00D333E8" w:rsidRPr="00F577BA" w:rsidRDefault="00D333E8" w:rsidP="00355740">
      <w:pPr>
        <w:pStyle w:val="FootnoteText"/>
        <w:widowControl w:val="0"/>
        <w:tabs>
          <w:tab w:val="clear" w:pos="1021"/>
          <w:tab w:val="right" w:pos="1020"/>
        </w:tabs>
        <w:rPr>
          <w:highlight w:val="yellow"/>
        </w:rPr>
      </w:pPr>
      <w:r>
        <w:tab/>
      </w:r>
      <w:r>
        <w:rPr>
          <w:rStyle w:val="FootnoteReference"/>
        </w:rPr>
        <w:footnoteRef/>
      </w:r>
      <w:r>
        <w:tab/>
      </w:r>
      <w:r w:rsidR="00720699">
        <w:t xml:space="preserve">See </w:t>
      </w:r>
      <w:r>
        <w:t xml:space="preserve">Sarah </w:t>
      </w:r>
      <w:r w:rsidRPr="00BF321B">
        <w:t xml:space="preserve">Joseph and </w:t>
      </w:r>
      <w:r>
        <w:t xml:space="preserve">Melissa </w:t>
      </w:r>
      <w:r w:rsidRPr="00BF321B">
        <w:t xml:space="preserve">Castan, </w:t>
      </w:r>
      <w:r w:rsidRPr="00BF321B">
        <w:rPr>
          <w:i/>
        </w:rPr>
        <w:t>The International Covenant on Civil and Political Rights: Cases, Materials, and Commentary</w:t>
      </w:r>
      <w:r w:rsidR="00720699">
        <w:rPr>
          <w:iCs/>
        </w:rPr>
        <w:t>, 3rd ed.</w:t>
      </w:r>
      <w:r w:rsidRPr="00BF321B">
        <w:t xml:space="preserve"> (Oxford University Press, 2013), p. 732</w:t>
      </w:r>
      <w:r w:rsidR="00720699">
        <w:t>, and</w:t>
      </w:r>
      <w:r w:rsidRPr="00BF321B">
        <w:t xml:space="preserve"> </w:t>
      </w:r>
      <w:r>
        <w:t xml:space="preserve">Manfred </w:t>
      </w:r>
      <w:r w:rsidRPr="00BF321B">
        <w:t xml:space="preserve">Nowak, </w:t>
      </w:r>
      <w:r w:rsidRPr="00BF321B">
        <w:rPr>
          <w:i/>
        </w:rPr>
        <w:t>U.N. Covenant on Civil and Political Rights: CCPR Commentary</w:t>
      </w:r>
      <w:r w:rsidR="00720699">
        <w:rPr>
          <w:iCs/>
        </w:rPr>
        <w:t>, 2nd revised ed.</w:t>
      </w:r>
      <w:r w:rsidRPr="00BF321B">
        <w:rPr>
          <w:i/>
        </w:rPr>
        <w:t xml:space="preserve"> </w:t>
      </w:r>
      <w:r w:rsidRPr="00BF321B">
        <w:t>(</w:t>
      </w:r>
      <w:r w:rsidR="00720699">
        <w:t xml:space="preserve">Kehl am Rhein, </w:t>
      </w:r>
      <w:r w:rsidRPr="00BF321B">
        <w:t xml:space="preserve">N.P. Engel, 2005), p. 570. </w:t>
      </w:r>
    </w:p>
  </w:footnote>
  <w:footnote w:id="28">
    <w:p w:rsidR="00D333E8" w:rsidRPr="00F577BA" w:rsidRDefault="00D333E8" w:rsidP="00720699">
      <w:pPr>
        <w:pStyle w:val="FootnoteText"/>
        <w:widowControl w:val="0"/>
        <w:tabs>
          <w:tab w:val="clear" w:pos="1021"/>
          <w:tab w:val="right" w:pos="1020"/>
        </w:tabs>
        <w:rPr>
          <w:highlight w:val="yellow"/>
        </w:rPr>
      </w:pPr>
      <w:r w:rsidRPr="00AC2A45">
        <w:tab/>
      </w:r>
      <w:r w:rsidRPr="00AC2A45">
        <w:rPr>
          <w:rStyle w:val="FootnoteReference"/>
        </w:rPr>
        <w:footnoteRef/>
      </w:r>
      <w:r w:rsidRPr="00AC2A45">
        <w:tab/>
      </w:r>
      <w:r w:rsidR="00720699" w:rsidRPr="00DB4FD7">
        <w:t xml:space="preserve">Government </w:t>
      </w:r>
      <w:r w:rsidR="00720699">
        <w:t>of New South Wales, “R</w:t>
      </w:r>
      <w:r w:rsidR="00720699" w:rsidRPr="00DB4FD7">
        <w:t>esponse to the NSW Law Reform Commission</w:t>
      </w:r>
      <w:r w:rsidR="00720699">
        <w:t xml:space="preserve">”. </w:t>
      </w:r>
    </w:p>
  </w:footnote>
  <w:footnote w:id="29">
    <w:p w:rsidR="00D333E8" w:rsidRPr="00F577BA" w:rsidRDefault="00D333E8" w:rsidP="00355740">
      <w:pPr>
        <w:pStyle w:val="FootnoteText"/>
        <w:widowControl w:val="0"/>
        <w:tabs>
          <w:tab w:val="clear" w:pos="1021"/>
          <w:tab w:val="right" w:pos="1020"/>
        </w:tabs>
        <w:rPr>
          <w:highlight w:val="yellow"/>
        </w:rPr>
      </w:pPr>
      <w:r w:rsidRPr="00BF321B">
        <w:tab/>
      </w:r>
      <w:r w:rsidRPr="00BF321B">
        <w:rPr>
          <w:rStyle w:val="FootnoteReference"/>
        </w:rPr>
        <w:footnoteRef/>
      </w:r>
      <w:r w:rsidRPr="00BF321B">
        <w:tab/>
      </w:r>
      <w:r w:rsidR="00720699">
        <w:t xml:space="preserve">See </w:t>
      </w:r>
      <w:r w:rsidRPr="00BF321B">
        <w:t>Peter Bartlett, “The United Nations Convention on the Rights of Persons with Disabilities and Mental Health Law”</w:t>
      </w:r>
      <w:r>
        <w:t xml:space="preserve">, </w:t>
      </w:r>
      <w:r w:rsidRPr="00BF321B">
        <w:rPr>
          <w:i/>
        </w:rPr>
        <w:t>Modern Law Review</w:t>
      </w:r>
      <w:r>
        <w:t xml:space="preserve">, vol. </w:t>
      </w:r>
      <w:r w:rsidRPr="00BF321B">
        <w:t>75</w:t>
      </w:r>
      <w:r>
        <w:t xml:space="preserve">, No. 5 </w:t>
      </w:r>
      <w:r w:rsidRPr="003C6BB9">
        <w:t>(</w:t>
      </w:r>
      <w:r w:rsidR="00720699">
        <w:t xml:space="preserve">September </w:t>
      </w:r>
      <w:r w:rsidRPr="003C6BB9">
        <w:t>2012)</w:t>
      </w:r>
      <w:r>
        <w:t>.</w:t>
      </w:r>
      <w:r w:rsidRPr="00BF321B">
        <w:t xml:space="preserve"> </w:t>
      </w:r>
    </w:p>
  </w:footnote>
  <w:footnote w:id="30">
    <w:p w:rsidR="00D333E8" w:rsidRPr="00F577BA" w:rsidRDefault="00D333E8" w:rsidP="00355740">
      <w:pPr>
        <w:pStyle w:val="FootnoteText"/>
        <w:widowControl w:val="0"/>
        <w:tabs>
          <w:tab w:val="clear" w:pos="1021"/>
          <w:tab w:val="right" w:pos="1020"/>
        </w:tabs>
        <w:rPr>
          <w:highlight w:val="yellow"/>
        </w:rPr>
      </w:pPr>
      <w:r w:rsidRPr="00BF321B">
        <w:tab/>
      </w:r>
      <w:r w:rsidRPr="00BF321B">
        <w:rPr>
          <w:rStyle w:val="FootnoteReference"/>
        </w:rPr>
        <w:footnoteRef/>
      </w:r>
      <w:r w:rsidRPr="00BF321B">
        <w:tab/>
        <w:t>W</w:t>
      </w:r>
      <w:r>
        <w:t>.</w:t>
      </w:r>
      <w:r w:rsidRPr="00BF321B">
        <w:t>A</w:t>
      </w:r>
      <w:r>
        <w:t>.</w:t>
      </w:r>
      <w:r w:rsidRPr="00BF321B">
        <w:t xml:space="preserve"> </w:t>
      </w:r>
      <w:r w:rsidR="00720699">
        <w:t>Mc</w:t>
      </w:r>
      <w:r w:rsidRPr="00BF321B">
        <w:t xml:space="preserve">Kean, “The </w:t>
      </w:r>
      <w:r w:rsidR="00720699" w:rsidRPr="00BF321B">
        <w:t>meaning of discrimination in international and municipal law</w:t>
      </w:r>
      <w:r w:rsidRPr="00BF321B">
        <w:t>”</w:t>
      </w:r>
      <w:r>
        <w:t>,</w:t>
      </w:r>
      <w:r w:rsidRPr="00BF321B">
        <w:t xml:space="preserve"> </w:t>
      </w:r>
      <w:r w:rsidRPr="00BF321B">
        <w:rPr>
          <w:i/>
        </w:rPr>
        <w:t>British Yearbook of International Law</w:t>
      </w:r>
      <w:r>
        <w:t xml:space="preserve">, </w:t>
      </w:r>
      <w:r w:rsidR="00720699">
        <w:t>vol.</w:t>
      </w:r>
      <w:r w:rsidRPr="00BF321B">
        <w:t xml:space="preserve"> </w:t>
      </w:r>
      <w:r w:rsidRPr="007F4051">
        <w:t>44</w:t>
      </w:r>
      <w:r>
        <w:t xml:space="preserve"> </w:t>
      </w:r>
      <w:r w:rsidRPr="00322E94">
        <w:t>(1970)</w:t>
      </w:r>
      <w:r w:rsidRPr="00BF321B">
        <w:t xml:space="preserve">. </w:t>
      </w:r>
    </w:p>
  </w:footnote>
  <w:footnote w:id="31">
    <w:p w:rsidR="00D333E8" w:rsidRPr="00271B5A" w:rsidRDefault="00D333E8">
      <w:pPr>
        <w:pStyle w:val="FootnoteText"/>
        <w:widowControl w:val="0"/>
        <w:tabs>
          <w:tab w:val="clear" w:pos="1021"/>
          <w:tab w:val="right" w:pos="1020"/>
        </w:tabs>
      </w:pPr>
      <w:r w:rsidRPr="00F06B69">
        <w:tab/>
      </w:r>
      <w:r w:rsidRPr="00F06B69">
        <w:rPr>
          <w:rStyle w:val="FootnoteReference"/>
        </w:rPr>
        <w:footnoteRef/>
      </w:r>
      <w:r w:rsidRPr="00F06B69">
        <w:tab/>
        <w:t>Jury Act</w:t>
      </w:r>
      <w:r w:rsidR="00720699">
        <w:t xml:space="preserve"> 1977</w:t>
      </w:r>
      <w:r w:rsidRPr="00F06B69">
        <w:t xml:space="preserve">, </w:t>
      </w:r>
      <w:r w:rsidR="00720699">
        <w:t xml:space="preserve">art. </w:t>
      </w:r>
      <w:r w:rsidRPr="00F06B69">
        <w:t>14</w:t>
      </w:r>
      <w:r w:rsidR="00720699">
        <w:t xml:space="preserve"> </w:t>
      </w:r>
      <w:r w:rsidRPr="00F06B69">
        <w:t>A</w:t>
      </w:r>
      <w:r>
        <w:t xml:space="preserve"> </w:t>
      </w:r>
      <w:r w:rsidRPr="00F06B69">
        <w:t>(b).</w:t>
      </w:r>
      <w:r>
        <w:t xml:space="preserve"> </w:t>
      </w:r>
    </w:p>
  </w:footnote>
  <w:footnote w:id="32">
    <w:p w:rsidR="00D333E8" w:rsidRPr="00BF321B" w:rsidRDefault="00D333E8">
      <w:pPr>
        <w:pStyle w:val="FootnoteText"/>
        <w:widowControl w:val="0"/>
        <w:tabs>
          <w:tab w:val="clear" w:pos="1021"/>
          <w:tab w:val="right" w:pos="1020"/>
        </w:tabs>
      </w:pPr>
      <w:r>
        <w:tab/>
      </w:r>
      <w:r>
        <w:rPr>
          <w:rStyle w:val="FootnoteReference"/>
        </w:rPr>
        <w:footnoteRef/>
      </w:r>
      <w:r>
        <w:tab/>
      </w:r>
      <w:r w:rsidRPr="00BF321B">
        <w:rPr>
          <w:i/>
        </w:rPr>
        <w:t xml:space="preserve">Lyons v. State of Queensland </w:t>
      </w:r>
      <w:r w:rsidR="00720699">
        <w:t>[2013] QCAT 731 (ADL075-12)</w:t>
      </w:r>
      <w:r w:rsidRPr="00BF321B">
        <w:t xml:space="preserve">; </w:t>
      </w:r>
      <w:r w:rsidRPr="00BF321B">
        <w:rPr>
          <w:i/>
        </w:rPr>
        <w:t xml:space="preserve">Lyons v. State of Queensland </w:t>
      </w:r>
      <w:r w:rsidRPr="00BF321B">
        <w:t>[2014] QCATA</w:t>
      </w:r>
      <w:r w:rsidR="00720699">
        <w:t xml:space="preserve"> </w:t>
      </w:r>
      <w:r w:rsidR="00720699" w:rsidRPr="00652785">
        <w:t>302 (APL008-14)</w:t>
      </w:r>
      <w:r w:rsidRPr="00BF321B">
        <w:t xml:space="preserve">. </w:t>
      </w:r>
    </w:p>
  </w:footnote>
  <w:footnote w:id="33">
    <w:p w:rsidR="00D333E8" w:rsidRPr="00F577BA" w:rsidRDefault="00D333E8" w:rsidP="003278B4">
      <w:pPr>
        <w:pStyle w:val="FootnoteText"/>
        <w:widowControl w:val="0"/>
        <w:tabs>
          <w:tab w:val="clear" w:pos="1021"/>
          <w:tab w:val="right" w:pos="1020"/>
        </w:tabs>
        <w:rPr>
          <w:highlight w:val="yellow"/>
        </w:rPr>
      </w:pPr>
      <w:r w:rsidRPr="00BF321B">
        <w:tab/>
      </w:r>
      <w:r w:rsidRPr="00BF321B">
        <w:rPr>
          <w:rStyle w:val="FootnoteReference"/>
        </w:rPr>
        <w:footnoteRef/>
      </w:r>
      <w:r w:rsidRPr="00BF321B">
        <w:tab/>
      </w:r>
      <w:r w:rsidRPr="00BF321B">
        <w:rPr>
          <w:szCs w:val="18"/>
        </w:rPr>
        <w:t xml:space="preserve">The author refers to the decision of the Supreme Court of Queensland in </w:t>
      </w:r>
      <w:r w:rsidRPr="00BF321B">
        <w:rPr>
          <w:i/>
          <w:szCs w:val="18"/>
        </w:rPr>
        <w:t>Re</w:t>
      </w:r>
      <w:r w:rsidRPr="00F577BA">
        <w:rPr>
          <w:i/>
          <w:szCs w:val="18"/>
        </w:rPr>
        <w:t>:</w:t>
      </w:r>
      <w:r w:rsidRPr="00BF321B">
        <w:rPr>
          <w:i/>
          <w:szCs w:val="18"/>
        </w:rPr>
        <w:t xml:space="preserve"> the Jury Act 1995 and an application by the Sheriff of Queensland</w:t>
      </w:r>
      <w:r w:rsidRPr="00BF321B">
        <w:rPr>
          <w:szCs w:val="18"/>
        </w:rPr>
        <w:t xml:space="preserve"> [2014] QSC 113.</w:t>
      </w:r>
      <w:r w:rsidRPr="00BF321B">
        <w:t xml:space="preserve"> </w:t>
      </w:r>
    </w:p>
  </w:footnote>
  <w:footnote w:id="34">
    <w:p w:rsidR="00D333E8" w:rsidRPr="00F577BA" w:rsidRDefault="00D333E8" w:rsidP="00182EA8">
      <w:pPr>
        <w:pStyle w:val="FootnoteText"/>
        <w:widowControl w:val="0"/>
        <w:tabs>
          <w:tab w:val="clear" w:pos="1021"/>
          <w:tab w:val="right" w:pos="1020"/>
        </w:tabs>
        <w:rPr>
          <w:highlight w:val="yellow"/>
        </w:rPr>
      </w:pPr>
      <w:r w:rsidRPr="00BF321B">
        <w:tab/>
      </w:r>
      <w:r w:rsidRPr="00BF321B">
        <w:rPr>
          <w:rStyle w:val="FootnoteReference"/>
        </w:rPr>
        <w:footnoteRef/>
      </w:r>
      <w:r w:rsidRPr="00BF321B">
        <w:tab/>
      </w:r>
      <w:r w:rsidRPr="00BF321B">
        <w:rPr>
          <w:i/>
        </w:rPr>
        <w:t>Flew v. Mirvac Parking Pty Limited</w:t>
      </w:r>
      <w:r w:rsidRPr="00BF321B">
        <w:t xml:space="preserve"> [2006] FMCA 1818 at [15]. </w:t>
      </w:r>
    </w:p>
  </w:footnote>
  <w:footnote w:id="35">
    <w:p w:rsidR="00D333E8" w:rsidRPr="00271B5A" w:rsidRDefault="00D333E8" w:rsidP="00555B07">
      <w:pPr>
        <w:pStyle w:val="FootnoteText"/>
        <w:widowControl w:val="0"/>
        <w:tabs>
          <w:tab w:val="clear" w:pos="1021"/>
          <w:tab w:val="right" w:pos="1020"/>
        </w:tabs>
      </w:pPr>
      <w:r w:rsidRPr="00F06B69">
        <w:tab/>
      </w:r>
      <w:r w:rsidRPr="00F06B69">
        <w:rPr>
          <w:rStyle w:val="FootnoteReference"/>
        </w:rPr>
        <w:footnoteRef/>
      </w:r>
      <w:r w:rsidRPr="00F06B69">
        <w:tab/>
        <w:t xml:space="preserve">Section 348 and </w:t>
      </w:r>
      <w:r>
        <w:t>c</w:t>
      </w:r>
      <w:r w:rsidRPr="00F06B69">
        <w:t>hapter 4 of the Legal Profession Act</w:t>
      </w:r>
      <w:r w:rsidR="00355740">
        <w:t xml:space="preserve"> 2004</w:t>
      </w:r>
      <w:r w:rsidRPr="00F06B69">
        <w:t>.</w:t>
      </w:r>
    </w:p>
  </w:footnote>
  <w:footnote w:id="36">
    <w:p w:rsidR="00D333E8" w:rsidRPr="00F577BA" w:rsidRDefault="00D333E8" w:rsidP="00BB551F">
      <w:pPr>
        <w:pStyle w:val="FootnoteText"/>
        <w:widowControl w:val="0"/>
        <w:tabs>
          <w:tab w:val="clear" w:pos="1021"/>
          <w:tab w:val="right" w:pos="1020"/>
        </w:tabs>
        <w:rPr>
          <w:highlight w:val="yellow"/>
        </w:rPr>
      </w:pPr>
      <w:r>
        <w:tab/>
      </w:r>
      <w:r>
        <w:rPr>
          <w:rStyle w:val="FootnoteReference"/>
        </w:rPr>
        <w:footnoteRef/>
      </w:r>
      <w:r>
        <w:tab/>
      </w:r>
      <w:r w:rsidRPr="00BF321B">
        <w:rPr>
          <w:bCs/>
          <w:i/>
          <w:iCs/>
          <w:szCs w:val="18"/>
          <w:lang w:val="en"/>
        </w:rPr>
        <w:t>Commonwealth v. Tasmania</w:t>
      </w:r>
      <w:r w:rsidRPr="00BF321B">
        <w:rPr>
          <w:szCs w:val="18"/>
          <w:lang w:val="en"/>
        </w:rPr>
        <w:t xml:space="preserve"> (1983) 158 CLR 1; </w:t>
      </w:r>
      <w:r w:rsidRPr="00BF321B">
        <w:rPr>
          <w:i/>
          <w:szCs w:val="18"/>
          <w:lang w:val="en"/>
        </w:rPr>
        <w:t>Mabo</w:t>
      </w:r>
      <w:r w:rsidR="00355740">
        <w:rPr>
          <w:i/>
          <w:szCs w:val="18"/>
          <w:lang w:val="en"/>
        </w:rPr>
        <w:t xml:space="preserve"> and others</w:t>
      </w:r>
      <w:r w:rsidRPr="00BF321B">
        <w:rPr>
          <w:i/>
          <w:szCs w:val="18"/>
          <w:lang w:val="en"/>
        </w:rPr>
        <w:t xml:space="preserve"> v. Queensland</w:t>
      </w:r>
      <w:r w:rsidRPr="00BF321B">
        <w:rPr>
          <w:szCs w:val="18"/>
          <w:lang w:val="en"/>
        </w:rPr>
        <w:t xml:space="preserve"> (No. 2) (1992) 175 CLR 1.</w:t>
      </w:r>
    </w:p>
  </w:footnote>
  <w:footnote w:id="37">
    <w:p w:rsidR="00D333E8" w:rsidRPr="00271B5A" w:rsidRDefault="00D333E8" w:rsidP="00355740">
      <w:pPr>
        <w:pStyle w:val="FootnoteText"/>
        <w:widowControl w:val="0"/>
        <w:tabs>
          <w:tab w:val="clear" w:pos="1021"/>
          <w:tab w:val="right" w:pos="1020"/>
        </w:tabs>
      </w:pPr>
      <w:r w:rsidRPr="00AC2A45">
        <w:tab/>
      </w:r>
      <w:r w:rsidRPr="00AC2A45">
        <w:rPr>
          <w:rStyle w:val="FootnoteReference"/>
        </w:rPr>
        <w:footnoteRef/>
      </w:r>
      <w:r w:rsidRPr="00AC2A45">
        <w:tab/>
      </w:r>
      <w:r w:rsidR="00355740">
        <w:t>See d</w:t>
      </w:r>
      <w:r w:rsidRPr="00AC2A45">
        <w:t>aily summary of discussion</w:t>
      </w:r>
      <w:r w:rsidR="00355740">
        <w:t>s</w:t>
      </w:r>
      <w:r w:rsidRPr="00AC2A45">
        <w:t xml:space="preserve"> at the seventh session </w:t>
      </w:r>
      <w:r w:rsidR="00355740">
        <w:t xml:space="preserve">of the </w:t>
      </w:r>
      <w:r w:rsidRPr="00AC2A45">
        <w:t>Ad Hoc Committee</w:t>
      </w:r>
      <w:r w:rsidR="00355740">
        <w:t>, 17 January 2006,</w:t>
      </w:r>
      <w:r w:rsidRPr="00AC2A45">
        <w:t xml:space="preserve">  Chile</w:t>
      </w:r>
      <w:r>
        <w:t>,</w:t>
      </w:r>
      <w:r w:rsidRPr="00AC2A45">
        <w:t xml:space="preserve"> Jordan</w:t>
      </w:r>
      <w:r>
        <w:t>,</w:t>
      </w:r>
      <w:r w:rsidRPr="00AC2A45">
        <w:t xml:space="preserve"> Serbia and Montenegro; </w:t>
      </w:r>
      <w:r>
        <w:t>d</w:t>
      </w:r>
      <w:r w:rsidRPr="00AC2A45">
        <w:t>aily summary of discussion</w:t>
      </w:r>
      <w:r w:rsidR="00355740">
        <w:t>s</w:t>
      </w:r>
      <w:r w:rsidRPr="00AC2A45">
        <w:t xml:space="preserve"> at the seventh session</w:t>
      </w:r>
      <w:r w:rsidR="00355740">
        <w:t xml:space="preserve"> of the </w:t>
      </w:r>
      <w:r w:rsidRPr="00AC2A45">
        <w:t>Ad Hoc Committee</w:t>
      </w:r>
      <w:r w:rsidR="00355740">
        <w:t>,</w:t>
      </w:r>
      <w:r w:rsidR="00355740" w:rsidRPr="00AC2A45">
        <w:t xml:space="preserve"> 18 January 2006, </w:t>
      </w:r>
      <w:r w:rsidRPr="00AC2A45">
        <w:t xml:space="preserve"> China</w:t>
      </w:r>
      <w:r>
        <w:t>,</w:t>
      </w:r>
      <w:r w:rsidRPr="00AC2A45">
        <w:t xml:space="preserve"> Li</w:t>
      </w:r>
      <w:r>
        <w:t>e</w:t>
      </w:r>
      <w:r w:rsidRPr="00AC2A45">
        <w:t>chtenstein</w:t>
      </w:r>
      <w:r>
        <w:t>,</w:t>
      </w:r>
      <w:r w:rsidRPr="00AC2A45">
        <w:t xml:space="preserve"> the Russian Federation.</w:t>
      </w:r>
    </w:p>
  </w:footnote>
  <w:footnote w:id="38">
    <w:p w:rsidR="00D333E8" w:rsidRPr="00F577BA" w:rsidRDefault="00D333E8" w:rsidP="00355740">
      <w:pPr>
        <w:pStyle w:val="FootnoteText"/>
        <w:widowControl w:val="0"/>
        <w:tabs>
          <w:tab w:val="clear" w:pos="1021"/>
          <w:tab w:val="right" w:pos="1020"/>
        </w:tabs>
        <w:rPr>
          <w:highlight w:val="yellow"/>
        </w:rPr>
      </w:pPr>
      <w:r>
        <w:tab/>
      </w:r>
      <w:r>
        <w:rPr>
          <w:rStyle w:val="FootnoteReference"/>
        </w:rPr>
        <w:footnoteRef/>
      </w:r>
      <w:r>
        <w:tab/>
      </w:r>
      <w:r w:rsidR="00355740">
        <w:t>See d</w:t>
      </w:r>
      <w:r w:rsidR="00355740" w:rsidRPr="005D77B2">
        <w:t>aily summary of discussion</w:t>
      </w:r>
      <w:r w:rsidR="00355740">
        <w:t>s</w:t>
      </w:r>
      <w:r w:rsidR="00355740" w:rsidRPr="005D77B2">
        <w:t xml:space="preserve"> at the seventh session </w:t>
      </w:r>
      <w:r w:rsidR="00355740">
        <w:t xml:space="preserve">of the </w:t>
      </w:r>
      <w:r w:rsidR="00355740" w:rsidRPr="00F87AF3">
        <w:t>Ad Hoc Committee</w:t>
      </w:r>
      <w:r w:rsidR="00355740">
        <w:t xml:space="preserve">, </w:t>
      </w:r>
      <w:r w:rsidR="00355740" w:rsidRPr="00F87AF3">
        <w:t>18 January 2006</w:t>
      </w:r>
      <w:r w:rsidR="00355740">
        <w:t>.</w:t>
      </w:r>
      <w:r w:rsidR="00355740" w:rsidRPr="005D77B2">
        <w:rPr>
          <w:rFonts w:eastAsia="Times New Roman"/>
          <w:sz w:val="20"/>
          <w:lang w:val="en-GB" w:eastAsia="en-US"/>
        </w:rPr>
        <w:t xml:space="preserve"> </w:t>
      </w:r>
    </w:p>
  </w:footnote>
  <w:footnote w:id="39">
    <w:p w:rsidR="00D333E8" w:rsidRPr="00271B5A" w:rsidRDefault="00D333E8" w:rsidP="00355740">
      <w:pPr>
        <w:pStyle w:val="FootnoteText"/>
        <w:widowControl w:val="0"/>
        <w:tabs>
          <w:tab w:val="clear" w:pos="1021"/>
          <w:tab w:val="right" w:pos="1020"/>
        </w:tabs>
      </w:pPr>
      <w:r w:rsidRPr="00AC2A45">
        <w:tab/>
      </w:r>
      <w:r w:rsidRPr="00AC2A45">
        <w:rPr>
          <w:rStyle w:val="FootnoteReference"/>
        </w:rPr>
        <w:footnoteRef/>
      </w:r>
      <w:r w:rsidRPr="00AC2A45">
        <w:tab/>
      </w:r>
      <w:r w:rsidR="00355740" w:rsidRPr="00BA4D98">
        <w:t>New South Wales</w:t>
      </w:r>
      <w:r w:rsidR="00355740">
        <w:t xml:space="preserve"> </w:t>
      </w:r>
      <w:r w:rsidR="00355740" w:rsidRPr="003C368A">
        <w:rPr>
          <w:szCs w:val="24"/>
        </w:rPr>
        <w:t>Law Reform Commission</w:t>
      </w:r>
      <w:r w:rsidR="00355740" w:rsidRPr="00BA23F9">
        <w:rPr>
          <w:szCs w:val="24"/>
        </w:rPr>
        <w:t xml:space="preserve">, </w:t>
      </w:r>
      <w:r w:rsidR="00355740">
        <w:rPr>
          <w:szCs w:val="24"/>
        </w:rPr>
        <w:t>“</w:t>
      </w:r>
      <w:r w:rsidR="00355740" w:rsidRPr="00F87AF3">
        <w:rPr>
          <w:szCs w:val="24"/>
        </w:rPr>
        <w:t>Report 114: Blind or Deaf Jurors</w:t>
      </w:r>
      <w:r w:rsidR="00355740">
        <w:rPr>
          <w:szCs w:val="24"/>
        </w:rPr>
        <w:t>”</w:t>
      </w:r>
      <w:r w:rsidRPr="00AC2A45">
        <w:rPr>
          <w:szCs w:val="18"/>
        </w:rPr>
        <w:t>.</w:t>
      </w:r>
      <w:r>
        <w:t xml:space="preserve"> </w:t>
      </w:r>
    </w:p>
  </w:footnote>
  <w:footnote w:id="40">
    <w:p w:rsidR="00D333E8" w:rsidRPr="00F577BA" w:rsidRDefault="00D333E8" w:rsidP="00FB4524">
      <w:pPr>
        <w:pStyle w:val="FootnoteText"/>
        <w:widowControl w:val="0"/>
        <w:tabs>
          <w:tab w:val="clear" w:pos="1021"/>
          <w:tab w:val="right" w:pos="1020"/>
        </w:tabs>
        <w:rPr>
          <w:highlight w:val="yellow"/>
        </w:rPr>
      </w:pPr>
      <w:r>
        <w:tab/>
      </w:r>
      <w:r>
        <w:rPr>
          <w:rStyle w:val="FootnoteReference"/>
        </w:rPr>
        <w:footnoteRef/>
      </w:r>
      <w:r>
        <w:tab/>
      </w:r>
      <w:r w:rsidRPr="00AC2A45">
        <w:t xml:space="preserve">The State party’s additional observations were sent to the author on </w:t>
      </w:r>
      <w:r w:rsidR="00FB4524">
        <w:t>the same day</w:t>
      </w:r>
      <w:r w:rsidRPr="00AC2A45">
        <w:t>. No comments were received</w:t>
      </w:r>
      <w:r w:rsidR="00FB4524">
        <w:t xml:space="preserve"> from the author</w:t>
      </w:r>
      <w:r w:rsidRPr="00AC2A45">
        <w:t xml:space="preserve">. </w:t>
      </w:r>
    </w:p>
  </w:footnote>
  <w:footnote w:id="41">
    <w:p w:rsidR="00D333E8" w:rsidRPr="00271B5A" w:rsidRDefault="00D333E8" w:rsidP="008E0F2C">
      <w:pPr>
        <w:pStyle w:val="FootnoteText"/>
        <w:widowControl w:val="0"/>
        <w:tabs>
          <w:tab w:val="clear" w:pos="1021"/>
          <w:tab w:val="right" w:pos="1020"/>
        </w:tabs>
      </w:pPr>
      <w:r w:rsidRPr="00AC2A45">
        <w:tab/>
      </w:r>
      <w:r w:rsidRPr="00AC2A45">
        <w:rPr>
          <w:rStyle w:val="FootnoteReference"/>
        </w:rPr>
        <w:footnoteRef/>
      </w:r>
      <w:r w:rsidRPr="00AC2A45">
        <w:tab/>
        <w:t xml:space="preserve">Committee’s </w:t>
      </w:r>
      <w:r>
        <w:t>g</w:t>
      </w:r>
      <w:r w:rsidRPr="00AC2A45">
        <w:t xml:space="preserve">eneral </w:t>
      </w:r>
      <w:r>
        <w:t>c</w:t>
      </w:r>
      <w:r w:rsidRPr="00AC2A45">
        <w:t>omment No. 1 (2014), para. 1.</w:t>
      </w:r>
      <w:r>
        <w:t xml:space="preserve"> </w:t>
      </w:r>
    </w:p>
  </w:footnote>
  <w:footnote w:id="42">
    <w:p w:rsidR="00D333E8" w:rsidRPr="00BF321B" w:rsidRDefault="00D333E8" w:rsidP="00355740">
      <w:pPr>
        <w:pStyle w:val="FootnoteText"/>
        <w:widowControl w:val="0"/>
        <w:tabs>
          <w:tab w:val="clear" w:pos="1021"/>
          <w:tab w:val="right" w:pos="1020"/>
        </w:tabs>
      </w:pPr>
      <w:r>
        <w:tab/>
      </w:r>
      <w:r>
        <w:rPr>
          <w:rStyle w:val="FootnoteReference"/>
        </w:rPr>
        <w:footnoteRef/>
      </w:r>
      <w:r>
        <w:tab/>
      </w:r>
      <w:r w:rsidRPr="00BF321B">
        <w:t xml:space="preserve">See communication No. 8/2012, </w:t>
      </w:r>
      <w:r w:rsidRPr="00BF321B">
        <w:rPr>
          <w:i/>
        </w:rPr>
        <w:t>X. v. Argentina</w:t>
      </w:r>
      <w:r w:rsidRPr="00BF321B">
        <w:t xml:space="preserve">, </w:t>
      </w:r>
      <w:r w:rsidR="00355740">
        <w:t xml:space="preserve">Views </w:t>
      </w:r>
      <w:r>
        <w:t xml:space="preserve">adopted on 11 April 2014, </w:t>
      </w:r>
      <w:r w:rsidRPr="00BF321B">
        <w:t xml:space="preserve">para. 7.4. </w:t>
      </w:r>
    </w:p>
  </w:footnote>
  <w:footnote w:id="43">
    <w:p w:rsidR="00D333E8" w:rsidRPr="00F577BA" w:rsidRDefault="00D333E8" w:rsidP="0086589E">
      <w:pPr>
        <w:pStyle w:val="FootnoteText"/>
        <w:widowControl w:val="0"/>
        <w:tabs>
          <w:tab w:val="clear" w:pos="1021"/>
          <w:tab w:val="right" w:pos="1020"/>
        </w:tabs>
        <w:rPr>
          <w:highlight w:val="yellow"/>
        </w:rPr>
      </w:pPr>
      <w:r w:rsidRPr="00BF321B">
        <w:tab/>
      </w:r>
      <w:r w:rsidRPr="00BF321B">
        <w:rPr>
          <w:rStyle w:val="FootnoteReference"/>
        </w:rPr>
        <w:footnoteRef/>
      </w:r>
      <w:r w:rsidRPr="00BF321B">
        <w:tab/>
        <w:t xml:space="preserve">Ibid. </w:t>
      </w:r>
    </w:p>
  </w:footnote>
  <w:footnote w:id="44">
    <w:p w:rsidR="00D333E8" w:rsidRPr="00F577BA" w:rsidRDefault="00D333E8" w:rsidP="00355740">
      <w:pPr>
        <w:pStyle w:val="FootnoteText"/>
        <w:widowControl w:val="0"/>
        <w:tabs>
          <w:tab w:val="clear" w:pos="1021"/>
          <w:tab w:val="right" w:pos="1020"/>
        </w:tabs>
        <w:rPr>
          <w:highlight w:val="yellow"/>
        </w:rPr>
      </w:pPr>
      <w:r w:rsidRPr="00BF321B">
        <w:tab/>
      </w:r>
      <w:r w:rsidRPr="00BF321B">
        <w:rPr>
          <w:rStyle w:val="FootnoteReference"/>
        </w:rPr>
        <w:footnoteRef/>
      </w:r>
      <w:r w:rsidRPr="00BF321B">
        <w:tab/>
        <w:t>See communication</w:t>
      </w:r>
      <w:r w:rsidR="00355740">
        <w:t>s</w:t>
      </w:r>
      <w:r w:rsidRPr="00BF321B">
        <w:t xml:space="preserve"> No. 3/2011, </w:t>
      </w:r>
      <w:r w:rsidRPr="00BF321B">
        <w:rPr>
          <w:i/>
        </w:rPr>
        <w:t>H.M. v. Sweden</w:t>
      </w:r>
      <w:r w:rsidRPr="00BF321B">
        <w:t>,</w:t>
      </w:r>
      <w:r w:rsidRPr="00F577BA">
        <w:t xml:space="preserve"> </w:t>
      </w:r>
      <w:r w:rsidR="00355740" w:rsidRPr="00355740">
        <w:t xml:space="preserve">Views </w:t>
      </w:r>
      <w:r w:rsidRPr="00F577BA">
        <w:t>adopted on 19 April 2012,</w:t>
      </w:r>
      <w:r w:rsidRPr="00BF321B">
        <w:t xml:space="preserve"> para. 7.3, </w:t>
      </w:r>
      <w:r w:rsidRPr="006F7D59">
        <w:t xml:space="preserve">and No. 2/2010, </w:t>
      </w:r>
      <w:r w:rsidRPr="006F7D59">
        <w:rPr>
          <w:i/>
        </w:rPr>
        <w:t>Groninger v. Germany</w:t>
      </w:r>
      <w:r w:rsidRPr="006F7D59">
        <w:t xml:space="preserve">, </w:t>
      </w:r>
      <w:r w:rsidR="00355740">
        <w:t xml:space="preserve">Views </w:t>
      </w:r>
      <w:r>
        <w:t>adopted on 4 April 2014</w:t>
      </w:r>
      <w:r w:rsidRPr="006F7D59">
        <w:t>, para. 6.</w:t>
      </w:r>
      <w:r w:rsidR="00355740">
        <w:t>2</w:t>
      </w:r>
      <w:r w:rsidRPr="006F7D59">
        <w:t xml:space="preserve">. </w:t>
      </w:r>
    </w:p>
  </w:footnote>
  <w:footnote w:id="45">
    <w:p w:rsidR="00D333E8" w:rsidRPr="00F577BA" w:rsidRDefault="00D333E8" w:rsidP="00355740">
      <w:pPr>
        <w:pStyle w:val="FootnoteText"/>
        <w:widowControl w:val="0"/>
        <w:tabs>
          <w:tab w:val="clear" w:pos="1021"/>
          <w:tab w:val="right" w:pos="1020"/>
        </w:tabs>
        <w:rPr>
          <w:highlight w:val="yellow"/>
        </w:rPr>
      </w:pPr>
      <w:r w:rsidRPr="006F7D59">
        <w:tab/>
      </w:r>
      <w:r w:rsidRPr="006F7D59">
        <w:rPr>
          <w:rStyle w:val="FootnoteReference"/>
        </w:rPr>
        <w:footnoteRef/>
      </w:r>
      <w:r w:rsidRPr="006F7D59">
        <w:tab/>
        <w:t xml:space="preserve">See communication No. 10/2013, </w:t>
      </w:r>
      <w:r w:rsidRPr="006F7D59">
        <w:rPr>
          <w:i/>
        </w:rPr>
        <w:t>S.C. v. Brazil</w:t>
      </w:r>
      <w:r w:rsidRPr="006F7D59">
        <w:t xml:space="preserve">, </w:t>
      </w:r>
      <w:r>
        <w:t>decision of inadmissibility adopted on 2 October 2014</w:t>
      </w:r>
      <w:r w:rsidRPr="006F7D59">
        <w:t xml:space="preserve">, para. 6.4. </w:t>
      </w:r>
    </w:p>
  </w:footnote>
  <w:footnote w:id="46">
    <w:p w:rsidR="00D333E8" w:rsidRPr="00F577BA" w:rsidRDefault="00D333E8" w:rsidP="00355740">
      <w:pPr>
        <w:pStyle w:val="FootnoteText"/>
        <w:widowControl w:val="0"/>
        <w:tabs>
          <w:tab w:val="clear" w:pos="1021"/>
          <w:tab w:val="right" w:pos="1020"/>
        </w:tabs>
        <w:rPr>
          <w:highlight w:val="yellow"/>
        </w:rPr>
      </w:pPr>
      <w:r w:rsidRPr="006F7D59">
        <w:tab/>
      </w:r>
      <w:r w:rsidRPr="006F7D59">
        <w:rPr>
          <w:rStyle w:val="FootnoteReference"/>
        </w:rPr>
        <w:footnoteRef/>
      </w:r>
      <w:r w:rsidRPr="006F7D59">
        <w:tab/>
        <w:t xml:space="preserve">See communication No. 5/2011, </w:t>
      </w:r>
      <w:r w:rsidRPr="006F7D59">
        <w:rPr>
          <w:i/>
        </w:rPr>
        <w:t>Jungelin v. Sweden</w:t>
      </w:r>
      <w:r w:rsidRPr="006F7D59">
        <w:t xml:space="preserve">, </w:t>
      </w:r>
      <w:r w:rsidR="00355740" w:rsidRPr="00355740">
        <w:t xml:space="preserve">Views </w:t>
      </w:r>
      <w:r w:rsidRPr="00F577BA">
        <w:t>adopted on 2 October 2014</w:t>
      </w:r>
      <w:r w:rsidRPr="006F7D59">
        <w:t xml:space="preserve">, para. 10.4. </w:t>
      </w:r>
    </w:p>
  </w:footnote>
  <w:footnote w:id="47">
    <w:p w:rsidR="00D333E8" w:rsidRPr="006F7D59" w:rsidRDefault="00D333E8" w:rsidP="0013518D">
      <w:pPr>
        <w:pStyle w:val="FootnoteText"/>
        <w:widowControl w:val="0"/>
        <w:tabs>
          <w:tab w:val="clear" w:pos="1021"/>
          <w:tab w:val="right" w:pos="1020"/>
        </w:tabs>
      </w:pPr>
      <w:r w:rsidRPr="006F7D59">
        <w:tab/>
      </w:r>
      <w:r w:rsidRPr="006F7D59">
        <w:rPr>
          <w:rStyle w:val="FootnoteReference"/>
        </w:rPr>
        <w:footnoteRef/>
      </w:r>
      <w:r w:rsidRPr="006F7D59">
        <w:tab/>
        <w:t>Ibid</w:t>
      </w:r>
      <w:r w:rsidRPr="00F577BA">
        <w:t>.</w:t>
      </w:r>
      <w:r w:rsidRPr="006F7D59">
        <w:t xml:space="preserve">, para. 10.5. </w:t>
      </w:r>
    </w:p>
  </w:footnote>
  <w:footnote w:id="48">
    <w:p w:rsidR="00D333E8" w:rsidRPr="00F577BA" w:rsidRDefault="00D333E8" w:rsidP="0013518D">
      <w:pPr>
        <w:pStyle w:val="FootnoteText"/>
        <w:widowControl w:val="0"/>
        <w:tabs>
          <w:tab w:val="clear" w:pos="1021"/>
          <w:tab w:val="right" w:pos="1020"/>
        </w:tabs>
        <w:rPr>
          <w:highlight w:val="yellow"/>
        </w:rPr>
      </w:pPr>
      <w:r w:rsidRPr="006F7D59">
        <w:tab/>
      </w:r>
      <w:r w:rsidRPr="006F7D59">
        <w:rPr>
          <w:rStyle w:val="FootnoteReference"/>
        </w:rPr>
        <w:footnoteRef/>
      </w:r>
      <w:r w:rsidRPr="006F7D59">
        <w:tab/>
        <w:t>Ibid.</w:t>
      </w:r>
      <w:r w:rsidRPr="00F577BA">
        <w:t>, para.</w:t>
      </w:r>
      <w:r w:rsidRPr="006F7D59">
        <w:t xml:space="preserve"> 10.6. </w:t>
      </w:r>
    </w:p>
  </w:footnote>
  <w:footnote w:id="49">
    <w:p w:rsidR="00D333E8" w:rsidRPr="00F577BA" w:rsidRDefault="00D333E8" w:rsidP="0013518D">
      <w:pPr>
        <w:pStyle w:val="FootnoteText"/>
        <w:widowControl w:val="0"/>
        <w:tabs>
          <w:tab w:val="clear" w:pos="1021"/>
          <w:tab w:val="right" w:pos="1020"/>
        </w:tabs>
        <w:rPr>
          <w:highlight w:val="yellow"/>
        </w:rPr>
      </w:pPr>
      <w:r w:rsidRPr="006F7D59">
        <w:tab/>
      </w:r>
      <w:r w:rsidRPr="006F7D59">
        <w:rPr>
          <w:rStyle w:val="FootnoteReference"/>
        </w:rPr>
        <w:footnoteRef/>
      </w:r>
      <w:r w:rsidRPr="006F7D59">
        <w:tab/>
        <w:t xml:space="preserve">See Douglas M. Pravda, </w:t>
      </w:r>
      <w:r>
        <w:t>“</w:t>
      </w:r>
      <w:r w:rsidRPr="006F7D59">
        <w:t>Understanding the Rights of Deaf and Hard of Hearing Individuals to Meaningful Participation in Court Proceedings</w:t>
      </w:r>
      <w:r>
        <w:t>”</w:t>
      </w:r>
      <w:r w:rsidRPr="006F7D59">
        <w:t xml:space="preserve">, </w:t>
      </w:r>
      <w:r w:rsidRPr="00F577BA">
        <w:rPr>
          <w:i/>
        </w:rPr>
        <w:t>Valparaiso University Law Review</w:t>
      </w:r>
      <w:r w:rsidRPr="006F7D59">
        <w:t>,</w:t>
      </w:r>
      <w:r>
        <w:t xml:space="preserve"> vol.</w:t>
      </w:r>
      <w:r w:rsidRPr="006F7D59">
        <w:t xml:space="preserve"> 45</w:t>
      </w:r>
      <w:r>
        <w:t xml:space="preserve">, No. </w:t>
      </w:r>
      <w:r w:rsidRPr="006F7D59">
        <w:t xml:space="preserve">927 </w:t>
      </w:r>
      <w:r>
        <w:t>(</w:t>
      </w:r>
      <w:r w:rsidRPr="006F7D59">
        <w:t>Spring 2011</w:t>
      </w:r>
      <w:r>
        <w:t>)</w:t>
      </w:r>
      <w:r w:rsidRPr="006F7D59">
        <w:t xml:space="preserve">; </w:t>
      </w:r>
      <w:r>
        <w:t>Sarah Geer, “</w:t>
      </w:r>
      <w:r w:rsidRPr="007F5F48">
        <w:t>Jury Duty, For some it’s a chore, for others it’s a hard won right</w:t>
      </w:r>
      <w:r>
        <w:t>”</w:t>
      </w:r>
      <w:r w:rsidRPr="007F5F48">
        <w:t xml:space="preserve"> </w:t>
      </w:r>
      <w:r>
        <w:t>(</w:t>
      </w:r>
      <w:r w:rsidRPr="006437A3">
        <w:t xml:space="preserve">available at </w:t>
      </w:r>
      <w:hyperlink r:id="rId8" w:history="1">
        <w:r w:rsidRPr="006437A3">
          <w:rPr>
            <w:rStyle w:val="Hyperlink"/>
          </w:rPr>
          <w:t>https://www.gallaudet.edu/Documents/PublicRelations/GT1989.pdf</w:t>
        </w:r>
      </w:hyperlink>
      <w:r w:rsidRPr="006437A3">
        <w:t xml:space="preserve"> </w:t>
      </w:r>
      <w:r>
        <w:t>)</w:t>
      </w:r>
      <w:r w:rsidRPr="007F5F48">
        <w:t xml:space="preserve">; </w:t>
      </w:r>
      <w:r>
        <w:t>Dorothy Smith, “</w:t>
      </w:r>
      <w:r w:rsidRPr="007F5F48">
        <w:t>Communication in the Courtroom</w:t>
      </w:r>
      <w:r>
        <w:t>:</w:t>
      </w:r>
      <w:r w:rsidRPr="007F5F48">
        <w:t xml:space="preserve"> Technology is helping to provide equal access to the law</w:t>
      </w:r>
      <w:r>
        <w:t>”</w:t>
      </w:r>
      <w:r w:rsidRPr="007F5F48">
        <w:t xml:space="preserve"> </w:t>
      </w:r>
      <w:r>
        <w:t>(</w:t>
      </w:r>
      <w:r w:rsidRPr="007F5F48">
        <w:t>Spring 1989</w:t>
      </w:r>
      <w:r>
        <w:t>).</w:t>
      </w:r>
    </w:p>
  </w:footnote>
  <w:footnote w:id="50">
    <w:p w:rsidR="00D333E8" w:rsidRPr="006F7D59" w:rsidRDefault="00D333E8" w:rsidP="00355740">
      <w:pPr>
        <w:pStyle w:val="FootnoteText"/>
        <w:widowControl w:val="0"/>
        <w:tabs>
          <w:tab w:val="clear" w:pos="1021"/>
          <w:tab w:val="right" w:pos="1020"/>
        </w:tabs>
      </w:pPr>
      <w:r w:rsidRPr="006F7D59">
        <w:tab/>
      </w:r>
      <w:r w:rsidRPr="006F7D59">
        <w:rPr>
          <w:rStyle w:val="FootnoteReference"/>
        </w:rPr>
        <w:footnoteRef/>
      </w:r>
      <w:r w:rsidRPr="006F7D59">
        <w:tab/>
        <w:t xml:space="preserve">See para. 25. </w:t>
      </w:r>
    </w:p>
  </w:footnote>
  <w:footnote w:id="51">
    <w:p w:rsidR="00D333E8" w:rsidRPr="0013518D" w:rsidRDefault="00D333E8" w:rsidP="0013518D">
      <w:pPr>
        <w:pStyle w:val="FootnoteText"/>
        <w:widowControl w:val="0"/>
        <w:tabs>
          <w:tab w:val="clear" w:pos="1021"/>
          <w:tab w:val="right" w:pos="1020"/>
        </w:tabs>
        <w:rPr>
          <w:lang w:val="fr-CH"/>
        </w:rPr>
      </w:pPr>
      <w:r w:rsidRPr="006F7D59">
        <w:tab/>
      </w:r>
      <w:r w:rsidRPr="006F7D59">
        <w:rPr>
          <w:rStyle w:val="FootnoteReference"/>
        </w:rPr>
        <w:footnoteRef/>
      </w:r>
      <w:r w:rsidRPr="006F7D59">
        <w:tab/>
      </w:r>
      <w:r w:rsidRPr="006F7D59">
        <w:rPr>
          <w:lang w:val="fr-CH"/>
        </w:rPr>
        <w:t>Ibid</w:t>
      </w:r>
      <w:r w:rsidRPr="00F577BA">
        <w:rPr>
          <w:lang w:val="fr-CH"/>
        </w:rPr>
        <w:t>.</w:t>
      </w:r>
      <w:r w:rsidRPr="006F7D59">
        <w:rPr>
          <w:lang w:val="fr-CH"/>
        </w:rPr>
        <w:t>, para. 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E8" w:rsidRPr="00EE7322" w:rsidRDefault="00D333E8">
    <w:pPr>
      <w:pStyle w:val="Header"/>
    </w:pPr>
    <w:r>
      <w:t>CRPD/C/15/D/13/2013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E8" w:rsidRPr="00EE7322" w:rsidRDefault="00D333E8" w:rsidP="00EE7322">
    <w:pPr>
      <w:pStyle w:val="Header"/>
      <w:jc w:val="right"/>
    </w:pPr>
    <w:r>
      <w:t>CRPD/C/15/D/13/2013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27664"/>
    <w:multiLevelType w:val="multilevel"/>
    <w:tmpl w:val="EF2ABA28"/>
    <w:name w:val="AGSCorp"/>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709"/>
        </w:tabs>
        <w:ind w:left="709" w:hanging="709"/>
      </w:pPr>
      <w:rPr>
        <w:sz w:val="20"/>
      </w:rPr>
    </w:lvl>
    <w:lvl w:ilvl="2">
      <w:start w:val="1"/>
      <w:numFmt w:val="decimal"/>
      <w:pStyle w:val="NumberLevel3"/>
      <w:lvlText w:val="%1.%2.%3."/>
      <w:lvlJc w:val="left"/>
      <w:pPr>
        <w:tabs>
          <w:tab w:val="num" w:pos="709"/>
        </w:tabs>
        <w:ind w:left="709" w:hanging="709"/>
      </w:pPr>
      <w:rPr>
        <w:sz w:val="20"/>
      </w:rPr>
    </w:lvl>
    <w:lvl w:ilvl="3">
      <w:start w:val="1"/>
      <w:numFmt w:val="lowerLetter"/>
      <w:pStyle w:val="NumberLevel4"/>
      <w:lvlText w:val="%4."/>
      <w:lvlJc w:val="left"/>
      <w:pPr>
        <w:tabs>
          <w:tab w:val="num" w:pos="1134"/>
        </w:tabs>
        <w:ind w:left="1134" w:hanging="425"/>
      </w:pPr>
    </w:lvl>
    <w:lvl w:ilvl="4">
      <w:start w:val="1"/>
      <w:numFmt w:val="bullet"/>
      <w:pStyle w:val="NumberLevel5"/>
      <w:lvlText w:val="–"/>
      <w:lvlJc w:val="left"/>
      <w:pPr>
        <w:tabs>
          <w:tab w:val="num" w:pos="1559"/>
        </w:tabs>
        <w:ind w:left="1559" w:hanging="425"/>
      </w:pPr>
      <w:rPr>
        <w:b w:val="0"/>
        <w:i w:val="0"/>
      </w:rPr>
    </w:lvl>
    <w:lvl w:ilvl="5">
      <w:start w:val="1"/>
      <w:numFmt w:val="bullet"/>
      <w:pStyle w:val="NumberLevel6"/>
      <w:lvlText w:val="–"/>
      <w:lvlJc w:val="left"/>
      <w:pPr>
        <w:tabs>
          <w:tab w:val="num" w:pos="1985"/>
        </w:tabs>
        <w:ind w:left="1985" w:hanging="426"/>
      </w:pPr>
      <w:rPr>
        <w:b w:val="0"/>
        <w:i w:val="0"/>
      </w:rPr>
    </w:lvl>
    <w:lvl w:ilvl="6">
      <w:start w:val="1"/>
      <w:numFmt w:val="bullet"/>
      <w:pStyle w:val="NumberLevel7"/>
      <w:lvlText w:val="–"/>
      <w:lvlJc w:val="left"/>
      <w:pPr>
        <w:tabs>
          <w:tab w:val="num" w:pos="2410"/>
        </w:tabs>
        <w:ind w:left="2410" w:hanging="425"/>
      </w:pPr>
      <w:rPr>
        <w:b w:val="0"/>
        <w:i w:val="0"/>
      </w:rPr>
    </w:lvl>
    <w:lvl w:ilvl="7">
      <w:start w:val="1"/>
      <w:numFmt w:val="bullet"/>
      <w:pStyle w:val="NumberLevel8"/>
      <w:lvlText w:val="–"/>
      <w:lvlJc w:val="left"/>
      <w:pPr>
        <w:tabs>
          <w:tab w:val="num" w:pos="2835"/>
        </w:tabs>
        <w:ind w:left="2835" w:hanging="425"/>
      </w:pPr>
      <w:rPr>
        <w:b w:val="0"/>
        <w:i w:val="0"/>
      </w:rPr>
    </w:lvl>
    <w:lvl w:ilvl="8">
      <w:start w:val="1"/>
      <w:numFmt w:val="bullet"/>
      <w:pStyle w:val="NumberLevel9"/>
      <w:lvlText w:val="–"/>
      <w:lvlJc w:val="left"/>
      <w:pPr>
        <w:tabs>
          <w:tab w:val="num" w:pos="3260"/>
        </w:tabs>
        <w:ind w:left="3260" w:hanging="425"/>
      </w:pPr>
      <w:rPr>
        <w:b w:val="0"/>
        <w:i w:val="0"/>
      </w:rPr>
    </w:lvl>
  </w:abstractNum>
  <w:abstractNum w:abstractNumId="2" w15:restartNumberingAfterBreak="0">
    <w:nsid w:val="57756BF3"/>
    <w:multiLevelType w:val="multilevel"/>
    <w:tmpl w:val="25F6B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22"/>
    <w:rsid w:val="0000369F"/>
    <w:rsid w:val="00021D80"/>
    <w:rsid w:val="000250D0"/>
    <w:rsid w:val="000277AC"/>
    <w:rsid w:val="00032FF2"/>
    <w:rsid w:val="0004109F"/>
    <w:rsid w:val="00050F6B"/>
    <w:rsid w:val="00072C8C"/>
    <w:rsid w:val="00072FF1"/>
    <w:rsid w:val="000733B5"/>
    <w:rsid w:val="00077485"/>
    <w:rsid w:val="00081E2B"/>
    <w:rsid w:val="000875C8"/>
    <w:rsid w:val="000931C0"/>
    <w:rsid w:val="00095D47"/>
    <w:rsid w:val="000A5D3B"/>
    <w:rsid w:val="000B175B"/>
    <w:rsid w:val="000B3A0F"/>
    <w:rsid w:val="000B4EF7"/>
    <w:rsid w:val="000C1462"/>
    <w:rsid w:val="000C2D2E"/>
    <w:rsid w:val="000E0415"/>
    <w:rsid w:val="000E59DA"/>
    <w:rsid w:val="001103AA"/>
    <w:rsid w:val="00113903"/>
    <w:rsid w:val="00132AFF"/>
    <w:rsid w:val="0013518D"/>
    <w:rsid w:val="00135D07"/>
    <w:rsid w:val="001474E1"/>
    <w:rsid w:val="00155467"/>
    <w:rsid w:val="00165373"/>
    <w:rsid w:val="00170142"/>
    <w:rsid w:val="001706F1"/>
    <w:rsid w:val="00180D95"/>
    <w:rsid w:val="00182EA8"/>
    <w:rsid w:val="0018711F"/>
    <w:rsid w:val="001878C2"/>
    <w:rsid w:val="00193A6E"/>
    <w:rsid w:val="001B2566"/>
    <w:rsid w:val="001B4B04"/>
    <w:rsid w:val="001C2375"/>
    <w:rsid w:val="001C6663"/>
    <w:rsid w:val="001C7895"/>
    <w:rsid w:val="001D26DF"/>
    <w:rsid w:val="001D323B"/>
    <w:rsid w:val="001E235D"/>
    <w:rsid w:val="001E2C49"/>
    <w:rsid w:val="001E5AA0"/>
    <w:rsid w:val="001E6EE0"/>
    <w:rsid w:val="00201D2C"/>
    <w:rsid w:val="00202DA8"/>
    <w:rsid w:val="00204A0D"/>
    <w:rsid w:val="00211E0B"/>
    <w:rsid w:val="002133EC"/>
    <w:rsid w:val="00236D0E"/>
    <w:rsid w:val="002449F6"/>
    <w:rsid w:val="0025756B"/>
    <w:rsid w:val="00263A88"/>
    <w:rsid w:val="00271B5A"/>
    <w:rsid w:val="00282A79"/>
    <w:rsid w:val="0029226E"/>
    <w:rsid w:val="002B0DA4"/>
    <w:rsid w:val="002D6852"/>
    <w:rsid w:val="002E4F6B"/>
    <w:rsid w:val="002F175C"/>
    <w:rsid w:val="003016BC"/>
    <w:rsid w:val="003229D8"/>
    <w:rsid w:val="00323AE6"/>
    <w:rsid w:val="003278B4"/>
    <w:rsid w:val="003455E5"/>
    <w:rsid w:val="00352709"/>
    <w:rsid w:val="00355740"/>
    <w:rsid w:val="00356C3C"/>
    <w:rsid w:val="00366BC6"/>
    <w:rsid w:val="00366F6B"/>
    <w:rsid w:val="00371178"/>
    <w:rsid w:val="0037164E"/>
    <w:rsid w:val="00380C68"/>
    <w:rsid w:val="003A4810"/>
    <w:rsid w:val="003A6810"/>
    <w:rsid w:val="003C1D7A"/>
    <w:rsid w:val="003C2CC4"/>
    <w:rsid w:val="003C691A"/>
    <w:rsid w:val="003D31C3"/>
    <w:rsid w:val="003D4B23"/>
    <w:rsid w:val="003E3225"/>
    <w:rsid w:val="003F4C27"/>
    <w:rsid w:val="00405DDC"/>
    <w:rsid w:val="00410C89"/>
    <w:rsid w:val="004325CB"/>
    <w:rsid w:val="0045495B"/>
    <w:rsid w:val="00484150"/>
    <w:rsid w:val="0049492A"/>
    <w:rsid w:val="004A78DD"/>
    <w:rsid w:val="004B4B9B"/>
    <w:rsid w:val="004D0258"/>
    <w:rsid w:val="004D25E4"/>
    <w:rsid w:val="004F68D8"/>
    <w:rsid w:val="00500205"/>
    <w:rsid w:val="00517B36"/>
    <w:rsid w:val="00532129"/>
    <w:rsid w:val="005420F2"/>
    <w:rsid w:val="00546C73"/>
    <w:rsid w:val="005507C6"/>
    <w:rsid w:val="00555B07"/>
    <w:rsid w:val="0056532D"/>
    <w:rsid w:val="005816F1"/>
    <w:rsid w:val="005B3DB3"/>
    <w:rsid w:val="005C6A79"/>
    <w:rsid w:val="005E27FE"/>
    <w:rsid w:val="005E5F08"/>
    <w:rsid w:val="006001EE"/>
    <w:rsid w:val="00611FC4"/>
    <w:rsid w:val="006176FB"/>
    <w:rsid w:val="00640B26"/>
    <w:rsid w:val="00646687"/>
    <w:rsid w:val="00650F64"/>
    <w:rsid w:val="00667387"/>
    <w:rsid w:val="00697FAF"/>
    <w:rsid w:val="006A4003"/>
    <w:rsid w:val="006C5F51"/>
    <w:rsid w:val="006E205B"/>
    <w:rsid w:val="006E436D"/>
    <w:rsid w:val="006E564B"/>
    <w:rsid w:val="006F7D59"/>
    <w:rsid w:val="006F7FC3"/>
    <w:rsid w:val="00701683"/>
    <w:rsid w:val="00703421"/>
    <w:rsid w:val="00711E41"/>
    <w:rsid w:val="00717E91"/>
    <w:rsid w:val="00720699"/>
    <w:rsid w:val="0072632A"/>
    <w:rsid w:val="00743B84"/>
    <w:rsid w:val="00750C95"/>
    <w:rsid w:val="007727D0"/>
    <w:rsid w:val="007B6BA5"/>
    <w:rsid w:val="007B7E02"/>
    <w:rsid w:val="007C3390"/>
    <w:rsid w:val="007C4F4B"/>
    <w:rsid w:val="007F0027"/>
    <w:rsid w:val="007F5F48"/>
    <w:rsid w:val="007F6611"/>
    <w:rsid w:val="00800877"/>
    <w:rsid w:val="00802F3B"/>
    <w:rsid w:val="008242D7"/>
    <w:rsid w:val="008413CC"/>
    <w:rsid w:val="0085226B"/>
    <w:rsid w:val="0086589E"/>
    <w:rsid w:val="0089049F"/>
    <w:rsid w:val="00893FF5"/>
    <w:rsid w:val="00894BD4"/>
    <w:rsid w:val="008979B1"/>
    <w:rsid w:val="008A6B25"/>
    <w:rsid w:val="008A6C4F"/>
    <w:rsid w:val="008B2335"/>
    <w:rsid w:val="008C397E"/>
    <w:rsid w:val="008C4480"/>
    <w:rsid w:val="008C6E31"/>
    <w:rsid w:val="008E0F2C"/>
    <w:rsid w:val="008F28EE"/>
    <w:rsid w:val="008F3E90"/>
    <w:rsid w:val="008F7703"/>
    <w:rsid w:val="00903DDA"/>
    <w:rsid w:val="00914FC3"/>
    <w:rsid w:val="00920CE5"/>
    <w:rsid w:val="00920D90"/>
    <w:rsid w:val="009223CA"/>
    <w:rsid w:val="00932895"/>
    <w:rsid w:val="00940F93"/>
    <w:rsid w:val="0095085B"/>
    <w:rsid w:val="00962132"/>
    <w:rsid w:val="00995A5C"/>
    <w:rsid w:val="009A18E7"/>
    <w:rsid w:val="009A26BA"/>
    <w:rsid w:val="009A3D7F"/>
    <w:rsid w:val="009B0F0E"/>
    <w:rsid w:val="009B6D18"/>
    <w:rsid w:val="009C14AA"/>
    <w:rsid w:val="009E1FE7"/>
    <w:rsid w:val="009F7711"/>
    <w:rsid w:val="009F7C5D"/>
    <w:rsid w:val="00A01489"/>
    <w:rsid w:val="00A31639"/>
    <w:rsid w:val="00A612EE"/>
    <w:rsid w:val="00A703D8"/>
    <w:rsid w:val="00A72BF0"/>
    <w:rsid w:val="00A72F22"/>
    <w:rsid w:val="00A748A6"/>
    <w:rsid w:val="00A75D8D"/>
    <w:rsid w:val="00A776B4"/>
    <w:rsid w:val="00A90EF1"/>
    <w:rsid w:val="00A914A2"/>
    <w:rsid w:val="00A94361"/>
    <w:rsid w:val="00AC2A45"/>
    <w:rsid w:val="00AF0F50"/>
    <w:rsid w:val="00AF6157"/>
    <w:rsid w:val="00AF6C22"/>
    <w:rsid w:val="00B06775"/>
    <w:rsid w:val="00B1792F"/>
    <w:rsid w:val="00B30179"/>
    <w:rsid w:val="00B4227A"/>
    <w:rsid w:val="00B5444E"/>
    <w:rsid w:val="00B56E9C"/>
    <w:rsid w:val="00B64B1F"/>
    <w:rsid w:val="00B6553F"/>
    <w:rsid w:val="00B81E12"/>
    <w:rsid w:val="00B82325"/>
    <w:rsid w:val="00B869FA"/>
    <w:rsid w:val="00BA23F9"/>
    <w:rsid w:val="00BB551F"/>
    <w:rsid w:val="00BC2E2B"/>
    <w:rsid w:val="00BC3C21"/>
    <w:rsid w:val="00BC74E9"/>
    <w:rsid w:val="00BE37B8"/>
    <w:rsid w:val="00BF321B"/>
    <w:rsid w:val="00BF68A8"/>
    <w:rsid w:val="00C04D39"/>
    <w:rsid w:val="00C15A3B"/>
    <w:rsid w:val="00C213A4"/>
    <w:rsid w:val="00C3206E"/>
    <w:rsid w:val="00C463DD"/>
    <w:rsid w:val="00C4724C"/>
    <w:rsid w:val="00C629A0"/>
    <w:rsid w:val="00C745C3"/>
    <w:rsid w:val="00C75FB9"/>
    <w:rsid w:val="00C80058"/>
    <w:rsid w:val="00CB4343"/>
    <w:rsid w:val="00CC00AC"/>
    <w:rsid w:val="00CC25D9"/>
    <w:rsid w:val="00CC50FE"/>
    <w:rsid w:val="00CC58DC"/>
    <w:rsid w:val="00CC7FE0"/>
    <w:rsid w:val="00CD3C0F"/>
    <w:rsid w:val="00CE4A8F"/>
    <w:rsid w:val="00D06A12"/>
    <w:rsid w:val="00D2031B"/>
    <w:rsid w:val="00D218CB"/>
    <w:rsid w:val="00D25FE2"/>
    <w:rsid w:val="00D278C4"/>
    <w:rsid w:val="00D333E8"/>
    <w:rsid w:val="00D43252"/>
    <w:rsid w:val="00D51E7F"/>
    <w:rsid w:val="00D720C3"/>
    <w:rsid w:val="00D722B1"/>
    <w:rsid w:val="00D84BFB"/>
    <w:rsid w:val="00D914A7"/>
    <w:rsid w:val="00D978C6"/>
    <w:rsid w:val="00DA3C1C"/>
    <w:rsid w:val="00DA3D2A"/>
    <w:rsid w:val="00DD30A0"/>
    <w:rsid w:val="00E11FD5"/>
    <w:rsid w:val="00E70C54"/>
    <w:rsid w:val="00E71BC8"/>
    <w:rsid w:val="00E7260F"/>
    <w:rsid w:val="00E769CA"/>
    <w:rsid w:val="00E84F3C"/>
    <w:rsid w:val="00E90067"/>
    <w:rsid w:val="00E90230"/>
    <w:rsid w:val="00E940CE"/>
    <w:rsid w:val="00E96630"/>
    <w:rsid w:val="00EA00CA"/>
    <w:rsid w:val="00ED32A3"/>
    <w:rsid w:val="00ED7A2A"/>
    <w:rsid w:val="00EE4D26"/>
    <w:rsid w:val="00EE7322"/>
    <w:rsid w:val="00EE7BED"/>
    <w:rsid w:val="00EF1D7F"/>
    <w:rsid w:val="00F06B69"/>
    <w:rsid w:val="00F13F16"/>
    <w:rsid w:val="00F34583"/>
    <w:rsid w:val="00F476B8"/>
    <w:rsid w:val="00F504DF"/>
    <w:rsid w:val="00F577BA"/>
    <w:rsid w:val="00F63D01"/>
    <w:rsid w:val="00F81534"/>
    <w:rsid w:val="00F86086"/>
    <w:rsid w:val="00F86376"/>
    <w:rsid w:val="00F91C6C"/>
    <w:rsid w:val="00FA271C"/>
    <w:rsid w:val="00FA555A"/>
    <w:rsid w:val="00FB4524"/>
    <w:rsid w:val="00FC58D9"/>
    <w:rsid w:val="00FC68B7"/>
    <w:rsid w:val="00FE52F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176CF-6B1E-45AE-926C-20EFB074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qFormat/>
    <w:rsid w:val="00C213A4"/>
    <w:pPr>
      <w:spacing w:line="240" w:lineRule="auto"/>
      <w:outlineLvl w:val="1"/>
    </w:pPr>
  </w:style>
  <w:style w:type="paragraph" w:styleId="Heading3">
    <w:name w:val="heading 3"/>
    <w:basedOn w:val="Normal"/>
    <w:next w:val="Normal"/>
    <w:link w:val="Heading3Char"/>
    <w:uiPriority w:val="9"/>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35D07"/>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link w:val="HeaderChar"/>
    <w:uiPriority w:val="99"/>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213A4"/>
    <w:rPr>
      <w:color w:val="auto"/>
      <w:u w:val="none"/>
    </w:rPr>
  </w:style>
  <w:style w:type="character" w:styleId="FollowedHyperlink">
    <w:name w:val="FollowedHyperlink"/>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135D0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EE7322"/>
    <w:rPr>
      <w:rFonts w:eastAsia="SimSun"/>
      <w:sz w:val="18"/>
      <w:lang w:val="en-US" w:eastAsia="zh-CN"/>
    </w:rPr>
  </w:style>
  <w:style w:type="character" w:customStyle="1" w:styleId="SingleTxtGChar">
    <w:name w:val="_ Single Txt_G Char"/>
    <w:link w:val="SingleTxtG"/>
    <w:rsid w:val="00EE7322"/>
    <w:rPr>
      <w:lang w:eastAsia="en-US"/>
    </w:rPr>
  </w:style>
  <w:style w:type="paragraph" w:customStyle="1" w:styleId="SingleTxt">
    <w:name w:val="__Single Txt"/>
    <w:basedOn w:val="Normal"/>
    <w:rsid w:val="00EE73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EE7322"/>
    <w:pPr>
      <w:suppressAutoHyphens w:val="0"/>
      <w:spacing w:line="240" w:lineRule="auto"/>
      <w:ind w:left="720"/>
    </w:pPr>
    <w:rPr>
      <w:rFonts w:eastAsia="SimSun"/>
      <w:sz w:val="24"/>
      <w:szCs w:val="24"/>
      <w:lang w:eastAsia="zh-CN"/>
    </w:rPr>
  </w:style>
  <w:style w:type="character" w:styleId="CommentReference">
    <w:name w:val="annotation reference"/>
    <w:uiPriority w:val="99"/>
    <w:rsid w:val="00EE7322"/>
    <w:rPr>
      <w:sz w:val="16"/>
      <w:szCs w:val="16"/>
    </w:rPr>
  </w:style>
  <w:style w:type="paragraph" w:styleId="CommentText">
    <w:name w:val="annotation text"/>
    <w:basedOn w:val="Normal"/>
    <w:link w:val="CommentTextChar"/>
    <w:uiPriority w:val="99"/>
    <w:rsid w:val="00EE7322"/>
  </w:style>
  <w:style w:type="character" w:customStyle="1" w:styleId="CommentTextChar">
    <w:name w:val="Comment Text Char"/>
    <w:link w:val="CommentText"/>
    <w:uiPriority w:val="99"/>
    <w:rsid w:val="00EE7322"/>
    <w:rPr>
      <w:lang w:eastAsia="en-US"/>
    </w:rPr>
  </w:style>
  <w:style w:type="paragraph" w:styleId="CommentSubject">
    <w:name w:val="annotation subject"/>
    <w:basedOn w:val="CommentText"/>
    <w:next w:val="CommentText"/>
    <w:link w:val="CommentSubjectChar"/>
    <w:uiPriority w:val="99"/>
    <w:rsid w:val="00EE7322"/>
    <w:rPr>
      <w:b/>
      <w:bCs/>
    </w:rPr>
  </w:style>
  <w:style w:type="character" w:customStyle="1" w:styleId="CommentSubjectChar">
    <w:name w:val="Comment Subject Char"/>
    <w:link w:val="CommentSubject"/>
    <w:uiPriority w:val="99"/>
    <w:rsid w:val="00EE7322"/>
    <w:rPr>
      <w:b/>
      <w:bCs/>
      <w:lang w:eastAsia="en-US"/>
    </w:rPr>
  </w:style>
  <w:style w:type="paragraph" w:styleId="BalloonText">
    <w:name w:val="Balloon Text"/>
    <w:basedOn w:val="Normal"/>
    <w:link w:val="BalloonTextChar"/>
    <w:uiPriority w:val="99"/>
    <w:rsid w:val="00EE7322"/>
    <w:pPr>
      <w:spacing w:line="240" w:lineRule="auto"/>
    </w:pPr>
    <w:rPr>
      <w:rFonts w:ascii="Tahoma" w:hAnsi="Tahoma" w:cs="Tahoma"/>
      <w:sz w:val="16"/>
      <w:szCs w:val="16"/>
    </w:rPr>
  </w:style>
  <w:style w:type="character" w:customStyle="1" w:styleId="BalloonTextChar">
    <w:name w:val="Balloon Text Char"/>
    <w:link w:val="BalloonText"/>
    <w:uiPriority w:val="99"/>
    <w:rsid w:val="00EE7322"/>
    <w:rPr>
      <w:rFonts w:ascii="Tahoma" w:hAnsi="Tahoma" w:cs="Tahoma"/>
      <w:sz w:val="16"/>
      <w:szCs w:val="16"/>
      <w:lang w:eastAsia="en-US"/>
    </w:rPr>
  </w:style>
  <w:style w:type="character" w:customStyle="1" w:styleId="Heading1Char">
    <w:name w:val="Heading 1 Char"/>
    <w:aliases w:val="Table_G Char"/>
    <w:link w:val="Heading1"/>
    <w:uiPriority w:val="9"/>
    <w:rsid w:val="00EE7322"/>
    <w:rPr>
      <w:lang w:eastAsia="en-US"/>
    </w:rPr>
  </w:style>
  <w:style w:type="character" w:customStyle="1" w:styleId="Heading2Char">
    <w:name w:val="Heading 2 Char"/>
    <w:link w:val="Heading2"/>
    <w:uiPriority w:val="9"/>
    <w:rsid w:val="00EE7322"/>
    <w:rPr>
      <w:lang w:eastAsia="en-US"/>
    </w:rPr>
  </w:style>
  <w:style w:type="character" w:customStyle="1" w:styleId="Heading3Char">
    <w:name w:val="Heading 3 Char"/>
    <w:link w:val="Heading3"/>
    <w:uiPriority w:val="9"/>
    <w:rsid w:val="00EE7322"/>
    <w:rPr>
      <w:lang w:eastAsia="en-US"/>
    </w:rPr>
  </w:style>
  <w:style w:type="character" w:customStyle="1" w:styleId="HeaderChar">
    <w:name w:val="Header Char"/>
    <w:aliases w:val="6_G Char"/>
    <w:link w:val="Header"/>
    <w:uiPriority w:val="99"/>
    <w:rsid w:val="00EE7322"/>
    <w:rPr>
      <w:b/>
      <w:sz w:val="18"/>
      <w:lang w:eastAsia="en-US"/>
    </w:rPr>
  </w:style>
  <w:style w:type="character" w:customStyle="1" w:styleId="FooterChar">
    <w:name w:val="Footer Char"/>
    <w:aliases w:val="3_G Char"/>
    <w:link w:val="Footer"/>
    <w:uiPriority w:val="99"/>
    <w:rsid w:val="00EE7322"/>
    <w:rPr>
      <w:sz w:val="16"/>
      <w:lang w:eastAsia="en-US"/>
    </w:rPr>
  </w:style>
  <w:style w:type="paragraph" w:customStyle="1" w:styleId="Paragraphnumbered">
    <w:name w:val="Paragraph (numbered)"/>
    <w:basedOn w:val="Normal"/>
    <w:rsid w:val="00EE7322"/>
    <w:pPr>
      <w:suppressAutoHyphens w:val="0"/>
      <w:spacing w:before="240" w:line="240" w:lineRule="auto"/>
    </w:pPr>
    <w:rPr>
      <w:sz w:val="24"/>
      <w:lang w:val="en-AU" w:eastAsia="en-AU"/>
    </w:rPr>
  </w:style>
  <w:style w:type="paragraph" w:styleId="Revision">
    <w:name w:val="Revision"/>
    <w:hidden/>
    <w:uiPriority w:val="99"/>
    <w:semiHidden/>
    <w:rsid w:val="00EE7322"/>
    <w:rPr>
      <w:rFonts w:ascii="Calibri" w:eastAsia="Calibri" w:hAnsi="Calibri"/>
      <w:sz w:val="22"/>
      <w:szCs w:val="22"/>
      <w:lang w:val="en-AU" w:eastAsia="en-US"/>
    </w:rPr>
  </w:style>
  <w:style w:type="character" w:customStyle="1" w:styleId="NumberLevel1Char">
    <w:name w:val="Number Level 1 Char"/>
    <w:link w:val="NumberLevel1"/>
    <w:locked/>
    <w:rsid w:val="00EE7322"/>
    <w:rPr>
      <w:rFonts w:ascii="Arial" w:hAnsi="Arial" w:cs="Arial"/>
    </w:rPr>
  </w:style>
  <w:style w:type="paragraph" w:customStyle="1" w:styleId="NumberLevel1">
    <w:name w:val="Number Level 1"/>
    <w:basedOn w:val="Normal"/>
    <w:link w:val="NumberLevel1Char"/>
    <w:rsid w:val="00EE7322"/>
    <w:pPr>
      <w:numPr>
        <w:numId w:val="3"/>
      </w:numPr>
      <w:suppressAutoHyphens w:val="0"/>
      <w:spacing w:before="140" w:after="140" w:line="280" w:lineRule="atLeast"/>
    </w:pPr>
    <w:rPr>
      <w:rFonts w:ascii="Arial" w:hAnsi="Arial" w:cs="Arial"/>
      <w:lang w:eastAsia="en-GB"/>
    </w:rPr>
  </w:style>
  <w:style w:type="paragraph" w:customStyle="1" w:styleId="NumberLevel2">
    <w:name w:val="Number Level 2"/>
    <w:basedOn w:val="Normal"/>
    <w:uiPriority w:val="99"/>
    <w:rsid w:val="00EE7322"/>
    <w:pPr>
      <w:numPr>
        <w:ilvl w:val="1"/>
        <w:numId w:val="3"/>
      </w:numPr>
      <w:suppressAutoHyphens w:val="0"/>
      <w:spacing w:before="140" w:after="140" w:line="280" w:lineRule="atLeast"/>
    </w:pPr>
    <w:rPr>
      <w:rFonts w:ascii="Arial" w:eastAsia="Calibri" w:hAnsi="Arial" w:cs="Arial"/>
      <w:sz w:val="22"/>
      <w:szCs w:val="22"/>
      <w:lang w:val="en-AU" w:eastAsia="en-AU"/>
    </w:rPr>
  </w:style>
  <w:style w:type="paragraph" w:customStyle="1" w:styleId="NumberLevel3">
    <w:name w:val="Number Level 3"/>
    <w:basedOn w:val="Normal"/>
    <w:uiPriority w:val="99"/>
    <w:rsid w:val="00EE7322"/>
    <w:pPr>
      <w:numPr>
        <w:ilvl w:val="2"/>
        <w:numId w:val="3"/>
      </w:numPr>
      <w:suppressAutoHyphens w:val="0"/>
      <w:spacing w:before="140" w:after="140" w:line="280" w:lineRule="atLeast"/>
    </w:pPr>
    <w:rPr>
      <w:rFonts w:ascii="Arial" w:eastAsia="Calibri" w:hAnsi="Arial" w:cs="Arial"/>
      <w:sz w:val="22"/>
      <w:szCs w:val="22"/>
      <w:lang w:val="en-AU" w:eastAsia="en-AU"/>
    </w:rPr>
  </w:style>
  <w:style w:type="paragraph" w:customStyle="1" w:styleId="NumberLevel4">
    <w:name w:val="Number Level 4"/>
    <w:basedOn w:val="Normal"/>
    <w:uiPriority w:val="99"/>
    <w:rsid w:val="00EE7322"/>
    <w:pPr>
      <w:numPr>
        <w:ilvl w:val="3"/>
        <w:numId w:val="3"/>
      </w:numPr>
      <w:suppressAutoHyphens w:val="0"/>
      <w:spacing w:after="140" w:line="280" w:lineRule="atLeast"/>
    </w:pPr>
    <w:rPr>
      <w:rFonts w:ascii="Arial" w:eastAsia="Calibri" w:hAnsi="Arial" w:cs="Arial"/>
      <w:sz w:val="22"/>
      <w:szCs w:val="22"/>
      <w:lang w:val="en-AU" w:eastAsia="en-AU"/>
    </w:rPr>
  </w:style>
  <w:style w:type="paragraph" w:customStyle="1" w:styleId="NumberLevel5">
    <w:name w:val="Number Level 5"/>
    <w:basedOn w:val="Normal"/>
    <w:uiPriority w:val="99"/>
    <w:rsid w:val="00EE7322"/>
    <w:pPr>
      <w:numPr>
        <w:ilvl w:val="4"/>
        <w:numId w:val="3"/>
      </w:numPr>
      <w:suppressAutoHyphens w:val="0"/>
      <w:spacing w:after="140" w:line="280" w:lineRule="atLeast"/>
    </w:pPr>
    <w:rPr>
      <w:rFonts w:ascii="Arial" w:eastAsia="Calibri" w:hAnsi="Arial" w:cs="Arial"/>
      <w:sz w:val="22"/>
      <w:szCs w:val="22"/>
      <w:lang w:val="en-AU" w:eastAsia="en-AU"/>
    </w:rPr>
  </w:style>
  <w:style w:type="paragraph" w:customStyle="1" w:styleId="NumberLevel6">
    <w:name w:val="Number Level 6"/>
    <w:basedOn w:val="Normal"/>
    <w:uiPriority w:val="99"/>
    <w:rsid w:val="00EE7322"/>
    <w:pPr>
      <w:numPr>
        <w:ilvl w:val="5"/>
        <w:numId w:val="3"/>
      </w:numPr>
      <w:suppressAutoHyphens w:val="0"/>
      <w:spacing w:after="140" w:line="280" w:lineRule="atLeast"/>
    </w:pPr>
    <w:rPr>
      <w:rFonts w:ascii="Arial" w:eastAsia="Calibri" w:hAnsi="Arial" w:cs="Arial"/>
      <w:sz w:val="22"/>
      <w:szCs w:val="22"/>
      <w:lang w:val="en-AU" w:eastAsia="en-AU"/>
    </w:rPr>
  </w:style>
  <w:style w:type="paragraph" w:customStyle="1" w:styleId="NumberLevel7">
    <w:name w:val="Number Level 7"/>
    <w:basedOn w:val="Normal"/>
    <w:uiPriority w:val="99"/>
    <w:rsid w:val="00EE7322"/>
    <w:pPr>
      <w:numPr>
        <w:ilvl w:val="6"/>
        <w:numId w:val="3"/>
      </w:numPr>
      <w:suppressAutoHyphens w:val="0"/>
      <w:spacing w:after="140" w:line="280" w:lineRule="atLeast"/>
    </w:pPr>
    <w:rPr>
      <w:rFonts w:ascii="Arial" w:eastAsia="Calibri" w:hAnsi="Arial" w:cs="Arial"/>
      <w:sz w:val="22"/>
      <w:szCs w:val="22"/>
      <w:lang w:val="en-AU" w:eastAsia="en-AU"/>
    </w:rPr>
  </w:style>
  <w:style w:type="paragraph" w:customStyle="1" w:styleId="NumberLevel8">
    <w:name w:val="Number Level 8"/>
    <w:basedOn w:val="Normal"/>
    <w:uiPriority w:val="99"/>
    <w:rsid w:val="00EE7322"/>
    <w:pPr>
      <w:numPr>
        <w:ilvl w:val="7"/>
        <w:numId w:val="3"/>
      </w:numPr>
      <w:suppressAutoHyphens w:val="0"/>
      <w:spacing w:after="140" w:line="280" w:lineRule="atLeast"/>
    </w:pPr>
    <w:rPr>
      <w:rFonts w:ascii="Arial" w:eastAsia="Calibri" w:hAnsi="Arial" w:cs="Arial"/>
      <w:sz w:val="22"/>
      <w:szCs w:val="22"/>
      <w:lang w:val="en-AU" w:eastAsia="en-AU"/>
    </w:rPr>
  </w:style>
  <w:style w:type="paragraph" w:customStyle="1" w:styleId="NumberLevel9">
    <w:name w:val="Number Level 9"/>
    <w:basedOn w:val="Normal"/>
    <w:uiPriority w:val="99"/>
    <w:rsid w:val="00EE7322"/>
    <w:pPr>
      <w:numPr>
        <w:ilvl w:val="8"/>
        <w:numId w:val="3"/>
      </w:numPr>
      <w:suppressAutoHyphens w:val="0"/>
      <w:spacing w:after="140" w:line="280" w:lineRule="atLeast"/>
    </w:pPr>
    <w:rPr>
      <w:rFonts w:ascii="Arial" w:eastAsia="Calibri" w:hAnsi="Arial" w:cs="Arial"/>
      <w:sz w:val="22"/>
      <w:szCs w:val="22"/>
      <w:lang w:val="en-AU" w:eastAsia="en-AU"/>
    </w:rPr>
  </w:style>
  <w:style w:type="paragraph" w:styleId="TOCHeading">
    <w:name w:val="TOC Heading"/>
    <w:basedOn w:val="Heading1"/>
    <w:next w:val="Normal"/>
    <w:uiPriority w:val="39"/>
    <w:semiHidden/>
    <w:unhideWhenUsed/>
    <w:qFormat/>
    <w:rsid w:val="00EE7322"/>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1">
    <w:name w:val="toc 1"/>
    <w:basedOn w:val="Normal"/>
    <w:next w:val="Normal"/>
    <w:autoRedefine/>
    <w:uiPriority w:val="39"/>
    <w:unhideWhenUsed/>
    <w:rsid w:val="00EE7322"/>
    <w:pPr>
      <w:suppressAutoHyphens w:val="0"/>
      <w:spacing w:after="100" w:line="276" w:lineRule="auto"/>
    </w:pPr>
    <w:rPr>
      <w:rFonts w:ascii="Calibri" w:eastAsia="Calibri" w:hAnsi="Calibri"/>
      <w:sz w:val="22"/>
      <w:szCs w:val="22"/>
      <w:lang w:val="en-AU"/>
    </w:rPr>
  </w:style>
  <w:style w:type="paragraph" w:styleId="TOC2">
    <w:name w:val="toc 2"/>
    <w:basedOn w:val="Normal"/>
    <w:next w:val="Normal"/>
    <w:autoRedefine/>
    <w:uiPriority w:val="39"/>
    <w:unhideWhenUsed/>
    <w:rsid w:val="00EE7322"/>
    <w:pPr>
      <w:suppressAutoHyphens w:val="0"/>
      <w:spacing w:after="100" w:line="276" w:lineRule="auto"/>
      <w:ind w:left="220"/>
    </w:pPr>
    <w:rPr>
      <w:rFonts w:ascii="Calibri" w:eastAsia="Calibri" w:hAnsi="Calibri"/>
      <w:sz w:val="22"/>
      <w:szCs w:val="22"/>
      <w:lang w:val="en-AU"/>
    </w:rPr>
  </w:style>
  <w:style w:type="paragraph" w:styleId="TOC3">
    <w:name w:val="toc 3"/>
    <w:basedOn w:val="Normal"/>
    <w:next w:val="Normal"/>
    <w:autoRedefine/>
    <w:uiPriority w:val="39"/>
    <w:unhideWhenUsed/>
    <w:rsid w:val="00EE7322"/>
    <w:pPr>
      <w:suppressAutoHyphens w:val="0"/>
      <w:spacing w:after="100" w:line="276" w:lineRule="auto"/>
      <w:ind w:left="440"/>
    </w:pPr>
    <w:rPr>
      <w:rFonts w:ascii="Calibri" w:eastAsia="Calibri" w:hAnsi="Calibri"/>
      <w:sz w:val="22"/>
      <w:szCs w:val="22"/>
      <w:lang w:val="en-AU"/>
    </w:rPr>
  </w:style>
  <w:style w:type="character" w:customStyle="1" w:styleId="st1">
    <w:name w:val="st1"/>
    <w:rsid w:val="00EE7322"/>
  </w:style>
  <w:style w:type="paragraph" w:styleId="NormalWeb">
    <w:name w:val="Normal (Web)"/>
    <w:basedOn w:val="Normal"/>
    <w:uiPriority w:val="99"/>
    <w:unhideWhenUsed/>
    <w:rsid w:val="00EE7322"/>
    <w:pPr>
      <w:suppressAutoHyphens w:val="0"/>
      <w:spacing w:before="100" w:beforeAutospacing="1" w:after="100" w:afterAutospacing="1" w:line="240" w:lineRule="auto"/>
    </w:pPr>
    <w:rPr>
      <w:rFonts w:eastAsia="Calibri"/>
      <w:sz w:val="24"/>
      <w:szCs w:val="24"/>
      <w:lang w:val="en-AU" w:eastAsia="en-AU"/>
    </w:rPr>
  </w:style>
  <w:style w:type="character" w:styleId="Strong">
    <w:name w:val="Strong"/>
    <w:uiPriority w:val="22"/>
    <w:qFormat/>
    <w:rsid w:val="00EE7322"/>
    <w:rPr>
      <w:b/>
      <w:bCs/>
    </w:rPr>
  </w:style>
  <w:style w:type="paragraph" w:customStyle="1" w:styleId="Default">
    <w:name w:val="Default"/>
    <w:rsid w:val="00EE7322"/>
    <w:pPr>
      <w:autoSpaceDE w:val="0"/>
      <w:autoSpaceDN w:val="0"/>
      <w:adjustRightInd w:val="0"/>
    </w:pPr>
    <w:rPr>
      <w:rFonts w:eastAsia="Calibri"/>
      <w:color w:val="000000"/>
      <w:sz w:val="24"/>
      <w:szCs w:val="24"/>
    </w:rPr>
  </w:style>
  <w:style w:type="character" w:customStyle="1" w:styleId="freetext">
    <w:name w:val="freetext"/>
    <w:basedOn w:val="DefaultParagraphFont"/>
    <w:rsid w:val="00A9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gallaudet.edu/Documents/PublicRelations/GT1989.pdf" TargetMode="External"/><Relationship Id="rId3" Type="http://schemas.openxmlformats.org/officeDocument/2006/relationships/hyperlink" Target="http://www2.ohchr.org/SPdocs/CRPD/CVMembers/HyungShikKIM.doc" TargetMode="External"/><Relationship Id="rId7" Type="http://schemas.openxmlformats.org/officeDocument/2006/relationships/hyperlink" Target="http://www.federalcircuitcourt.gov.au"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ilviaJudithQUAN-CHANG.doc" TargetMode="External"/><Relationship Id="rId4" Type="http://schemas.openxmlformats.org/officeDocument/2006/relationships/hyperlink" Target="http://www2.ohchr.org/SPdocs/CRPD/CVMembers/CarlosRiosESPINOS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877F-0C9B-4A59-A34B-E216CC0C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1</TotalTime>
  <Pages>18</Pages>
  <Words>8998</Words>
  <Characters>51289</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1608603</vt:lpstr>
      <vt:lpstr>United Nations</vt:lpstr>
    </vt:vector>
  </TitlesOfParts>
  <Company>CSD</Company>
  <LinksUpToDate>false</LinksUpToDate>
  <CharactersWithSpaces>60167</CharactersWithSpaces>
  <SharedDoc>false</SharedDoc>
  <HLinks>
    <vt:vector size="12" baseType="variant">
      <vt:variant>
        <vt:i4>2097268</vt:i4>
      </vt:variant>
      <vt:variant>
        <vt:i4>3</vt:i4>
      </vt:variant>
      <vt:variant>
        <vt:i4>0</vt:i4>
      </vt:variant>
      <vt:variant>
        <vt:i4>5</vt:i4>
      </vt:variant>
      <vt:variant>
        <vt:lpwstr>https://www.gallaudet.edu/Documents/PublicRelations/GT1989.pdf</vt:lpwstr>
      </vt:variant>
      <vt:variant>
        <vt:lpwstr/>
      </vt:variant>
      <vt:variant>
        <vt:i4>7995400</vt:i4>
      </vt:variant>
      <vt:variant>
        <vt:i4>0</vt:i4>
      </vt:variant>
      <vt:variant>
        <vt:i4>0</vt:i4>
      </vt:variant>
      <vt:variant>
        <vt:i4>5</vt:i4>
      </vt:variant>
      <vt:variant>
        <vt:lpwstr>http://www.federalcircuitcourt.gov.au/html/fees_general.html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1608603</dc:title>
  <dc:subject>CRPD/C/15/D/13/2013</dc:subject>
  <dc:creator>Maria Belen Enriquez</dc:creator>
  <cp:keywords/>
  <dc:description/>
  <cp:lastModifiedBy>Sarah Willig</cp:lastModifiedBy>
  <cp:revision>2</cp:revision>
  <cp:lastPrinted>2016-04-21T13:07:00Z</cp:lastPrinted>
  <dcterms:created xsi:type="dcterms:W3CDTF">2017-04-07T21:15:00Z</dcterms:created>
  <dcterms:modified xsi:type="dcterms:W3CDTF">2017-04-07T21:15:00Z</dcterms:modified>
</cp:coreProperties>
</file>