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1E377" w14:textId="77777777" w:rsidR="006109D8" w:rsidRDefault="006109D8" w:rsidP="006109D8">
      <w:pPr>
        <w:spacing w:line="240" w:lineRule="auto"/>
        <w:rPr>
          <w:sz w:val="2"/>
        </w:rPr>
        <w:sectPr w:rsidR="006109D8" w:rsidSect="006109D8">
          <w:headerReference w:type="even" r:id="rId8"/>
          <w:headerReference w:type="default" r:id="rId9"/>
          <w:footerReference w:type="even" r:id="rId10"/>
          <w:footerReference w:type="default" r:id="rId11"/>
          <w:headerReference w:type="first" r:id="rId12"/>
          <w:footerReference w:type="first" r:id="rId13"/>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14:paraId="6C801D4D" w14:textId="77777777" w:rsidR="006109D8" w:rsidRDefault="006109D8" w:rsidP="006109D8">
      <w:pPr>
        <w:pStyle w:val="H1"/>
      </w:pPr>
      <w:r>
        <w:t>Comité des droits de l’homme</w:t>
      </w:r>
    </w:p>
    <w:p w14:paraId="09F10158" w14:textId="77777777" w:rsidR="00AF780E" w:rsidRPr="00913F12" w:rsidRDefault="00AF780E" w:rsidP="00913F12">
      <w:pPr>
        <w:pStyle w:val="SingleTxt"/>
        <w:spacing w:after="0" w:line="120" w:lineRule="exact"/>
        <w:rPr>
          <w:sz w:val="10"/>
        </w:rPr>
      </w:pPr>
    </w:p>
    <w:p w14:paraId="7DCD55DF" w14:textId="77777777" w:rsidR="00913F12" w:rsidRPr="00C50B18" w:rsidRDefault="00913F12" w:rsidP="00AF780E">
      <w:pPr>
        <w:pStyle w:val="SingleTxt"/>
        <w:spacing w:after="0" w:line="120" w:lineRule="exact"/>
        <w:rPr>
          <w:sz w:val="10"/>
        </w:rPr>
      </w:pPr>
    </w:p>
    <w:p w14:paraId="49644219" w14:textId="77777777" w:rsidR="00AF780E" w:rsidRPr="00C50B18" w:rsidRDefault="00AF780E" w:rsidP="00AF780E">
      <w:pPr>
        <w:pStyle w:val="SingleTxt"/>
        <w:spacing w:after="0" w:line="120" w:lineRule="exact"/>
        <w:rPr>
          <w:sz w:val="10"/>
        </w:rPr>
      </w:pPr>
    </w:p>
    <w:p w14:paraId="26489D1D" w14:textId="77777777" w:rsidR="00AF780E" w:rsidRPr="00C50B18" w:rsidRDefault="00AF780E" w:rsidP="00AF780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Communication n</w:t>
      </w:r>
      <w:r w:rsidRPr="00C50B18">
        <w:rPr>
          <w:vertAlign w:val="superscript"/>
          <w:lang w:val="fr-CH"/>
        </w:rPr>
        <w:t>o</w:t>
      </w:r>
      <w:r w:rsidRPr="00C50B18">
        <w:rPr>
          <w:lang w:val="fr-CH"/>
        </w:rPr>
        <w:t> 1982/2010</w:t>
      </w:r>
    </w:p>
    <w:p w14:paraId="4AC027D1" w14:textId="77777777" w:rsidR="00AF780E" w:rsidRPr="00C50B18" w:rsidRDefault="00AF780E" w:rsidP="00AF780E">
      <w:pPr>
        <w:pStyle w:val="SingleTxt"/>
        <w:spacing w:after="0" w:line="120" w:lineRule="exact"/>
        <w:rPr>
          <w:sz w:val="10"/>
          <w:lang w:val="fr-CH"/>
        </w:rPr>
      </w:pPr>
    </w:p>
    <w:p w14:paraId="48C4654D" w14:textId="77777777" w:rsidR="00AF780E" w:rsidRPr="00C50B18" w:rsidRDefault="00AF780E" w:rsidP="00AF780E">
      <w:pPr>
        <w:pStyle w:val="SingleTxt"/>
        <w:spacing w:after="0" w:line="120" w:lineRule="exact"/>
        <w:rPr>
          <w:sz w:val="10"/>
          <w:lang w:val="fr-CH"/>
        </w:rPr>
      </w:pPr>
    </w:p>
    <w:p w14:paraId="316F15C9" w14:textId="77777777" w:rsidR="00AF780E" w:rsidRDefault="00AF780E" w:rsidP="00AF780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Constatations adoptées par le Comité à sa 114</w:t>
      </w:r>
      <w:r w:rsidRPr="00C50B18">
        <w:rPr>
          <w:vertAlign w:val="superscript"/>
          <w:lang w:val="fr-CH"/>
        </w:rPr>
        <w:t>e</w:t>
      </w:r>
      <w:r w:rsidRPr="00C50B18">
        <w:rPr>
          <w:lang w:val="fr-CH"/>
        </w:rPr>
        <w:t xml:space="preserve"> session</w:t>
      </w:r>
      <w:r>
        <w:rPr>
          <w:lang w:val="fr-CH"/>
        </w:rPr>
        <w:t xml:space="preserve"> </w:t>
      </w:r>
      <w:r>
        <w:rPr>
          <w:lang w:val="fr-CH"/>
        </w:rPr>
        <w:br/>
        <w:t>(29 juin-</w:t>
      </w:r>
      <w:r w:rsidRPr="00C50B18">
        <w:rPr>
          <w:lang w:val="fr-CH"/>
        </w:rPr>
        <w:t>24 juillet 2015)</w:t>
      </w:r>
    </w:p>
    <w:p w14:paraId="0DA39F8E" w14:textId="77777777" w:rsidR="00AF780E" w:rsidRPr="00C50B18" w:rsidRDefault="00AF780E" w:rsidP="00AF780E">
      <w:pPr>
        <w:pStyle w:val="SingleTxt"/>
        <w:spacing w:after="0" w:line="120" w:lineRule="exact"/>
        <w:rPr>
          <w:b/>
          <w:sz w:val="10"/>
          <w:lang w:val="fr-CH"/>
        </w:rPr>
      </w:pPr>
    </w:p>
    <w:p w14:paraId="592CD4C4" w14:textId="77777777" w:rsidR="00AF780E" w:rsidRPr="00C50B18" w:rsidRDefault="00AF780E" w:rsidP="00AF780E">
      <w:pPr>
        <w:pStyle w:val="SingleTxt"/>
        <w:spacing w:after="0" w:line="120" w:lineRule="exact"/>
        <w:rPr>
          <w:b/>
          <w:sz w:val="10"/>
          <w:lang w:val="fr-CH"/>
        </w:rPr>
      </w:pPr>
    </w:p>
    <w:tbl>
      <w:tblPr>
        <w:tblW w:w="0" w:type="auto"/>
        <w:tblInd w:w="1701" w:type="dxa"/>
        <w:tblLayout w:type="fixed"/>
        <w:tblCellMar>
          <w:left w:w="0" w:type="dxa"/>
          <w:right w:w="0" w:type="dxa"/>
        </w:tblCellMar>
        <w:tblLook w:val="01E0" w:firstRow="1" w:lastRow="1" w:firstColumn="1" w:lastColumn="1" w:noHBand="0" w:noVBand="0"/>
      </w:tblPr>
      <w:tblGrid>
        <w:gridCol w:w="2835"/>
        <w:gridCol w:w="4329"/>
      </w:tblGrid>
      <w:tr w:rsidR="00AF780E" w:rsidRPr="004D34DC" w14:paraId="570C5F5A" w14:textId="77777777" w:rsidTr="00E04F44">
        <w:tc>
          <w:tcPr>
            <w:tcW w:w="2835" w:type="dxa"/>
            <w:shd w:val="clear" w:color="auto" w:fill="auto"/>
          </w:tcPr>
          <w:p w14:paraId="27EB364D" w14:textId="77777777" w:rsidR="00AF780E" w:rsidRPr="004D34DC" w:rsidRDefault="00AF780E" w:rsidP="00E04F44">
            <w:pPr>
              <w:spacing w:after="120"/>
              <w:rPr>
                <w:i/>
                <w:lang w:val="fr-CH"/>
              </w:rPr>
            </w:pPr>
            <w:r w:rsidRPr="004D34DC">
              <w:rPr>
                <w:i/>
                <w:lang w:val="fr-CH"/>
              </w:rPr>
              <w:t>Communication présentée par </w:t>
            </w:r>
            <w:r w:rsidRPr="004D34DC">
              <w:rPr>
                <w:lang w:val="fr-CH"/>
              </w:rPr>
              <w:t>:</w:t>
            </w:r>
          </w:p>
        </w:tc>
        <w:tc>
          <w:tcPr>
            <w:tcW w:w="4329" w:type="dxa"/>
            <w:shd w:val="clear" w:color="auto" w:fill="auto"/>
          </w:tcPr>
          <w:p w14:paraId="058EEC50" w14:textId="77777777" w:rsidR="00AF780E" w:rsidRPr="004D34DC" w:rsidRDefault="00AF780E" w:rsidP="00E04F44">
            <w:pPr>
              <w:spacing w:after="120"/>
              <w:rPr>
                <w:lang w:val="fr-CH"/>
              </w:rPr>
            </w:pPr>
            <w:r w:rsidRPr="004D34DC">
              <w:rPr>
                <w:lang w:val="fr-CH"/>
              </w:rPr>
              <w:t>Svetlana Mikha</w:t>
            </w:r>
            <w:r>
              <w:rPr>
                <w:lang w:val="fr-CH"/>
              </w:rPr>
              <w:t xml:space="preserve">lchenko (non représentée </w:t>
            </w:r>
            <w:r>
              <w:rPr>
                <w:lang w:val="fr-CH"/>
              </w:rPr>
              <w:br/>
              <w:t xml:space="preserve">par un </w:t>
            </w:r>
            <w:r w:rsidRPr="004D34DC">
              <w:rPr>
                <w:lang w:val="fr-CH"/>
              </w:rPr>
              <w:t>conseil)</w:t>
            </w:r>
          </w:p>
        </w:tc>
      </w:tr>
      <w:tr w:rsidR="00AF780E" w:rsidRPr="004D34DC" w14:paraId="677E069B" w14:textId="77777777" w:rsidTr="00E04F44">
        <w:tc>
          <w:tcPr>
            <w:tcW w:w="2835" w:type="dxa"/>
            <w:shd w:val="clear" w:color="auto" w:fill="auto"/>
          </w:tcPr>
          <w:p w14:paraId="10B2D292" w14:textId="77777777" w:rsidR="00AF780E" w:rsidRPr="004D34DC" w:rsidRDefault="00AF780E" w:rsidP="00E04F44">
            <w:pPr>
              <w:spacing w:after="120"/>
              <w:rPr>
                <w:i/>
                <w:lang w:val="fr-CH"/>
              </w:rPr>
            </w:pPr>
            <w:r w:rsidRPr="004D34DC">
              <w:rPr>
                <w:i/>
                <w:lang w:val="fr-CH"/>
              </w:rPr>
              <w:t>Au nom de </w:t>
            </w:r>
            <w:r w:rsidRPr="004D34DC">
              <w:rPr>
                <w:lang w:val="fr-CH"/>
              </w:rPr>
              <w:t>:</w:t>
            </w:r>
          </w:p>
        </w:tc>
        <w:tc>
          <w:tcPr>
            <w:tcW w:w="4329" w:type="dxa"/>
            <w:shd w:val="clear" w:color="auto" w:fill="auto"/>
          </w:tcPr>
          <w:p w14:paraId="3744DA78" w14:textId="77777777" w:rsidR="00AF780E" w:rsidRPr="004D34DC" w:rsidRDefault="00AF780E" w:rsidP="00E04F44">
            <w:pPr>
              <w:spacing w:after="120"/>
              <w:rPr>
                <w:lang w:val="fr-CH"/>
              </w:rPr>
            </w:pPr>
            <w:r w:rsidRPr="004D34DC">
              <w:rPr>
                <w:lang w:val="fr-CH"/>
              </w:rPr>
              <w:t>L</w:t>
            </w:r>
            <w:r>
              <w:rPr>
                <w:lang w:val="fr-CH"/>
              </w:rPr>
              <w:t>’</w:t>
            </w:r>
            <w:r w:rsidRPr="004D34DC">
              <w:rPr>
                <w:lang w:val="fr-CH"/>
              </w:rPr>
              <w:t>auteure</w:t>
            </w:r>
          </w:p>
        </w:tc>
      </w:tr>
      <w:tr w:rsidR="00AF780E" w:rsidRPr="004D34DC" w14:paraId="01A7A68B" w14:textId="77777777" w:rsidTr="00E04F44">
        <w:tc>
          <w:tcPr>
            <w:tcW w:w="2835" w:type="dxa"/>
            <w:shd w:val="clear" w:color="auto" w:fill="auto"/>
          </w:tcPr>
          <w:p w14:paraId="68D0606B" w14:textId="77777777" w:rsidR="00AF780E" w:rsidRPr="004D34DC" w:rsidRDefault="00AF780E" w:rsidP="00E04F44">
            <w:pPr>
              <w:spacing w:after="120"/>
              <w:rPr>
                <w:i/>
                <w:lang w:val="fr-CH"/>
              </w:rPr>
            </w:pPr>
            <w:r w:rsidRPr="004D34DC">
              <w:rPr>
                <w:i/>
                <w:lang w:val="fr-CH"/>
              </w:rPr>
              <w:t>État partie </w:t>
            </w:r>
            <w:r w:rsidRPr="004D34DC">
              <w:rPr>
                <w:lang w:val="fr-CH"/>
              </w:rPr>
              <w:t>:</w:t>
            </w:r>
          </w:p>
        </w:tc>
        <w:tc>
          <w:tcPr>
            <w:tcW w:w="4329" w:type="dxa"/>
            <w:shd w:val="clear" w:color="auto" w:fill="auto"/>
          </w:tcPr>
          <w:p w14:paraId="1D0FC93B" w14:textId="77777777" w:rsidR="00AF780E" w:rsidRPr="004D34DC" w:rsidRDefault="00AF780E" w:rsidP="00E04F44">
            <w:pPr>
              <w:spacing w:after="120"/>
              <w:rPr>
                <w:b/>
                <w:lang w:val="fr-CH"/>
              </w:rPr>
            </w:pPr>
            <w:r w:rsidRPr="004D34DC">
              <w:rPr>
                <w:lang w:val="fr-CH"/>
              </w:rPr>
              <w:t>Bélarus</w:t>
            </w:r>
          </w:p>
        </w:tc>
      </w:tr>
      <w:tr w:rsidR="00AF780E" w:rsidRPr="004D34DC" w14:paraId="33F2BBE4" w14:textId="77777777" w:rsidTr="00E04F44">
        <w:tc>
          <w:tcPr>
            <w:tcW w:w="2835" w:type="dxa"/>
            <w:shd w:val="clear" w:color="auto" w:fill="auto"/>
          </w:tcPr>
          <w:p w14:paraId="17ACC843" w14:textId="77777777" w:rsidR="00AF780E" w:rsidRPr="004D34DC" w:rsidRDefault="00AF780E" w:rsidP="00E04F44">
            <w:pPr>
              <w:spacing w:after="120"/>
              <w:rPr>
                <w:i/>
                <w:lang w:val="fr-CH"/>
              </w:rPr>
            </w:pPr>
            <w:r w:rsidRPr="004D34DC">
              <w:rPr>
                <w:i/>
                <w:lang w:val="fr-CH"/>
              </w:rPr>
              <w:t>Date de la communication </w:t>
            </w:r>
            <w:r w:rsidRPr="004D34DC">
              <w:rPr>
                <w:lang w:val="fr-CH"/>
              </w:rPr>
              <w:t>:</w:t>
            </w:r>
          </w:p>
        </w:tc>
        <w:tc>
          <w:tcPr>
            <w:tcW w:w="4329" w:type="dxa"/>
            <w:shd w:val="clear" w:color="auto" w:fill="auto"/>
          </w:tcPr>
          <w:p w14:paraId="5A8B7ACC" w14:textId="77777777" w:rsidR="00AF780E" w:rsidRPr="004D34DC" w:rsidRDefault="00AF780E" w:rsidP="00E04F44">
            <w:pPr>
              <w:spacing w:after="120"/>
              <w:rPr>
                <w:lang w:val="fr-CH"/>
              </w:rPr>
            </w:pPr>
            <w:r w:rsidRPr="004D34DC">
              <w:rPr>
                <w:lang w:val="fr-CH"/>
              </w:rPr>
              <w:t>27 avril 2010 (date de la lettre initiale)</w:t>
            </w:r>
          </w:p>
        </w:tc>
      </w:tr>
      <w:tr w:rsidR="00AF780E" w:rsidRPr="004D34DC" w14:paraId="1FC3F6D4" w14:textId="77777777" w:rsidTr="00E04F44">
        <w:tc>
          <w:tcPr>
            <w:tcW w:w="2835" w:type="dxa"/>
            <w:shd w:val="clear" w:color="auto" w:fill="auto"/>
          </w:tcPr>
          <w:p w14:paraId="021ED879" w14:textId="77777777" w:rsidR="00AF780E" w:rsidRPr="004D34DC" w:rsidRDefault="00AF780E" w:rsidP="00E04F44">
            <w:pPr>
              <w:spacing w:after="120"/>
              <w:rPr>
                <w:i/>
                <w:lang w:val="fr-CH"/>
              </w:rPr>
            </w:pPr>
            <w:r w:rsidRPr="004D34DC">
              <w:rPr>
                <w:i/>
                <w:lang w:val="fr-CH"/>
              </w:rPr>
              <w:t>Références </w:t>
            </w:r>
            <w:r w:rsidRPr="004D34DC">
              <w:rPr>
                <w:lang w:val="fr-CH"/>
              </w:rPr>
              <w:t>:</w:t>
            </w:r>
          </w:p>
        </w:tc>
        <w:tc>
          <w:tcPr>
            <w:tcW w:w="4329" w:type="dxa"/>
            <w:shd w:val="clear" w:color="auto" w:fill="auto"/>
          </w:tcPr>
          <w:p w14:paraId="746347BC" w14:textId="77777777" w:rsidR="00AF780E" w:rsidRPr="004D34DC" w:rsidRDefault="00AF780E" w:rsidP="00E04F44">
            <w:pPr>
              <w:spacing w:after="120"/>
              <w:rPr>
                <w:lang w:val="fr-CH"/>
              </w:rPr>
            </w:pPr>
            <w:r w:rsidRPr="004D34DC">
              <w:rPr>
                <w:lang w:val="fr-CH"/>
              </w:rPr>
              <w:t>Décision prise par le Rapporteur spécial en application de l</w:t>
            </w:r>
            <w:r>
              <w:rPr>
                <w:lang w:val="fr-CH"/>
              </w:rPr>
              <w:t>’</w:t>
            </w:r>
            <w:r w:rsidRPr="004D34DC">
              <w:rPr>
                <w:lang w:val="fr-CH"/>
              </w:rPr>
              <w:t>article 97 du règlement intérieur, communiquée à l</w:t>
            </w:r>
            <w:r>
              <w:rPr>
                <w:lang w:val="fr-CH"/>
              </w:rPr>
              <w:t>’</w:t>
            </w:r>
            <w:r w:rsidRPr="004D34DC">
              <w:rPr>
                <w:lang w:val="fr-CH"/>
              </w:rPr>
              <w:t>État partie le 27 septembre 2010 (non publiée sous forme de document)</w:t>
            </w:r>
          </w:p>
        </w:tc>
      </w:tr>
      <w:tr w:rsidR="00AF780E" w:rsidRPr="004D34DC" w14:paraId="1BE5A59A" w14:textId="77777777" w:rsidTr="00E04F44">
        <w:tc>
          <w:tcPr>
            <w:tcW w:w="2835" w:type="dxa"/>
            <w:shd w:val="clear" w:color="auto" w:fill="auto"/>
          </w:tcPr>
          <w:p w14:paraId="3BE0F36A" w14:textId="77777777" w:rsidR="00AF780E" w:rsidRPr="004D34DC" w:rsidRDefault="00AF780E" w:rsidP="00E04F44">
            <w:pPr>
              <w:spacing w:after="120"/>
              <w:rPr>
                <w:i/>
                <w:lang w:val="fr-CH"/>
              </w:rPr>
            </w:pPr>
            <w:r w:rsidRPr="004D34DC">
              <w:rPr>
                <w:i/>
                <w:lang w:val="fr-CH"/>
              </w:rPr>
              <w:t>Date des constatations </w:t>
            </w:r>
            <w:r w:rsidRPr="004D34DC">
              <w:rPr>
                <w:lang w:val="fr-CH"/>
              </w:rPr>
              <w:t>:</w:t>
            </w:r>
          </w:p>
        </w:tc>
        <w:tc>
          <w:tcPr>
            <w:tcW w:w="4329" w:type="dxa"/>
            <w:shd w:val="clear" w:color="auto" w:fill="auto"/>
          </w:tcPr>
          <w:p w14:paraId="3FE6FF87" w14:textId="77777777" w:rsidR="00AF780E" w:rsidRPr="004D34DC" w:rsidRDefault="00AF780E" w:rsidP="00E04F44">
            <w:pPr>
              <w:spacing w:after="120"/>
              <w:rPr>
                <w:lang w:val="fr-CH"/>
              </w:rPr>
            </w:pPr>
            <w:r w:rsidRPr="004D34DC">
              <w:rPr>
                <w:lang w:val="fr-CH"/>
              </w:rPr>
              <w:t>22 juillet 2015</w:t>
            </w:r>
          </w:p>
        </w:tc>
      </w:tr>
      <w:tr w:rsidR="00AF780E" w:rsidRPr="004D34DC" w14:paraId="5BDBF18A" w14:textId="77777777" w:rsidTr="00E04F44">
        <w:tc>
          <w:tcPr>
            <w:tcW w:w="2835" w:type="dxa"/>
            <w:shd w:val="clear" w:color="auto" w:fill="auto"/>
          </w:tcPr>
          <w:p w14:paraId="540ECA54" w14:textId="77777777" w:rsidR="00AF780E" w:rsidRPr="004D34DC" w:rsidRDefault="00AF780E" w:rsidP="00E04F44">
            <w:pPr>
              <w:spacing w:after="120"/>
              <w:rPr>
                <w:i/>
                <w:lang w:val="fr-CH"/>
              </w:rPr>
            </w:pPr>
            <w:r w:rsidRPr="004D34DC">
              <w:rPr>
                <w:i/>
                <w:lang w:val="fr-CH"/>
              </w:rPr>
              <w:t>Objet </w:t>
            </w:r>
            <w:r w:rsidRPr="004D34DC">
              <w:rPr>
                <w:lang w:val="fr-CH"/>
              </w:rPr>
              <w:t>:</w:t>
            </w:r>
          </w:p>
        </w:tc>
        <w:tc>
          <w:tcPr>
            <w:tcW w:w="4329" w:type="dxa"/>
            <w:shd w:val="clear" w:color="auto" w:fill="auto"/>
          </w:tcPr>
          <w:p w14:paraId="5674D9FF" w14:textId="77777777" w:rsidR="00AF780E" w:rsidRPr="004D34DC" w:rsidRDefault="00AF780E" w:rsidP="00E04F44">
            <w:pPr>
              <w:spacing w:after="120"/>
              <w:rPr>
                <w:lang w:val="fr-CH"/>
              </w:rPr>
            </w:pPr>
            <w:r w:rsidRPr="004D34DC">
              <w:rPr>
                <w:lang w:val="fr-CH"/>
              </w:rPr>
              <w:t>Condamnation de l</w:t>
            </w:r>
            <w:r>
              <w:rPr>
                <w:lang w:val="fr-CH"/>
              </w:rPr>
              <w:t>’</w:t>
            </w:r>
            <w:r w:rsidRPr="004D34DC">
              <w:rPr>
                <w:lang w:val="fr-CH"/>
              </w:rPr>
              <w:t>auteure à une amende pour avoir distribué des tracts d</w:t>
            </w:r>
            <w:r>
              <w:rPr>
                <w:lang w:val="fr-CH"/>
              </w:rPr>
              <w:t>’</w:t>
            </w:r>
            <w:r w:rsidRPr="004D34DC">
              <w:rPr>
                <w:lang w:val="fr-CH"/>
              </w:rPr>
              <w:t>un parti politique</w:t>
            </w:r>
          </w:p>
        </w:tc>
      </w:tr>
      <w:tr w:rsidR="00AF780E" w:rsidRPr="004D34DC" w14:paraId="5B4C77A1" w14:textId="77777777" w:rsidTr="00E04F44">
        <w:tc>
          <w:tcPr>
            <w:tcW w:w="2835" w:type="dxa"/>
            <w:shd w:val="clear" w:color="auto" w:fill="auto"/>
          </w:tcPr>
          <w:p w14:paraId="1FCE162C" w14:textId="77777777" w:rsidR="00AF780E" w:rsidRPr="004D34DC" w:rsidRDefault="00AF780E" w:rsidP="00E04F44">
            <w:pPr>
              <w:spacing w:after="120"/>
              <w:rPr>
                <w:i/>
                <w:lang w:val="fr-CH"/>
              </w:rPr>
            </w:pPr>
            <w:r w:rsidRPr="004D34DC">
              <w:rPr>
                <w:i/>
                <w:lang w:val="fr-CH"/>
              </w:rPr>
              <w:t>Question(s) de procédure </w:t>
            </w:r>
            <w:r w:rsidRPr="004D34DC">
              <w:rPr>
                <w:lang w:val="fr-CH"/>
              </w:rPr>
              <w:t>:</w:t>
            </w:r>
          </w:p>
        </w:tc>
        <w:tc>
          <w:tcPr>
            <w:tcW w:w="4329" w:type="dxa"/>
            <w:shd w:val="clear" w:color="auto" w:fill="auto"/>
          </w:tcPr>
          <w:p w14:paraId="4035640F" w14:textId="77777777" w:rsidR="00AF780E" w:rsidRPr="004D34DC" w:rsidRDefault="00AF780E" w:rsidP="00E04F44">
            <w:pPr>
              <w:spacing w:after="120"/>
              <w:rPr>
                <w:lang w:val="fr-CH"/>
              </w:rPr>
            </w:pPr>
            <w:r>
              <w:rPr>
                <w:lang w:val="fr-CH"/>
              </w:rPr>
              <w:t xml:space="preserve">Recevabilité </w:t>
            </w:r>
            <w:r w:rsidRPr="00504602">
              <w:rPr>
                <w:lang w:val="fr-CH"/>
              </w:rPr>
              <w:t>–</w:t>
            </w:r>
            <w:r>
              <w:rPr>
                <w:lang w:val="fr-CH"/>
              </w:rPr>
              <w:t xml:space="preserve"> </w:t>
            </w:r>
            <w:r w:rsidRPr="004D34DC">
              <w:rPr>
                <w:lang w:val="fr-CH"/>
              </w:rPr>
              <w:t>épuisement des recours internes</w:t>
            </w:r>
          </w:p>
        </w:tc>
      </w:tr>
      <w:tr w:rsidR="00AF780E" w:rsidRPr="004D34DC" w14:paraId="272E6A07" w14:textId="77777777" w:rsidTr="00E04F44">
        <w:tc>
          <w:tcPr>
            <w:tcW w:w="2835" w:type="dxa"/>
            <w:shd w:val="clear" w:color="auto" w:fill="auto"/>
          </w:tcPr>
          <w:p w14:paraId="1F962FB6" w14:textId="77777777" w:rsidR="00AF780E" w:rsidRPr="004D34DC" w:rsidRDefault="00AF780E" w:rsidP="00E04F44">
            <w:pPr>
              <w:spacing w:after="120"/>
              <w:rPr>
                <w:i/>
                <w:lang w:val="fr-CH"/>
              </w:rPr>
            </w:pPr>
            <w:r w:rsidRPr="004D34DC">
              <w:rPr>
                <w:i/>
                <w:lang w:val="fr-CH"/>
              </w:rPr>
              <w:t>Question(s) de fond </w:t>
            </w:r>
            <w:r w:rsidRPr="004D34DC">
              <w:rPr>
                <w:lang w:val="fr-CH"/>
              </w:rPr>
              <w:t>:</w:t>
            </w:r>
          </w:p>
        </w:tc>
        <w:tc>
          <w:tcPr>
            <w:tcW w:w="4329" w:type="dxa"/>
            <w:shd w:val="clear" w:color="auto" w:fill="auto"/>
          </w:tcPr>
          <w:p w14:paraId="5FB112E3" w14:textId="77777777" w:rsidR="00AF780E" w:rsidRPr="004D34DC" w:rsidRDefault="00AF780E" w:rsidP="00E04F44">
            <w:pPr>
              <w:spacing w:after="120"/>
              <w:rPr>
                <w:lang w:val="fr-CH"/>
              </w:rPr>
            </w:pPr>
            <w:r w:rsidRPr="004D34DC">
              <w:rPr>
                <w:lang w:val="fr-CH"/>
              </w:rPr>
              <w:t>Liberté d</w:t>
            </w:r>
            <w:r>
              <w:rPr>
                <w:lang w:val="fr-CH"/>
              </w:rPr>
              <w:t>’</w:t>
            </w:r>
            <w:r w:rsidRPr="004D34DC">
              <w:rPr>
                <w:lang w:val="fr-CH"/>
              </w:rPr>
              <w:t>expression; droit à un procès équitable</w:t>
            </w:r>
            <w:r>
              <w:rPr>
                <w:lang w:val="fr-CH"/>
              </w:rPr>
              <w:t xml:space="preserve"> </w:t>
            </w:r>
            <w:r w:rsidRPr="00504602">
              <w:rPr>
                <w:lang w:val="fr-CH"/>
              </w:rPr>
              <w:t>–</w:t>
            </w:r>
            <w:r w:rsidRPr="004D34DC">
              <w:rPr>
                <w:lang w:val="fr-CH"/>
              </w:rPr>
              <w:t xml:space="preserve"> droit de bénéficier de l</w:t>
            </w:r>
            <w:r>
              <w:rPr>
                <w:lang w:val="fr-CH"/>
              </w:rPr>
              <w:t>’</w:t>
            </w:r>
            <w:r w:rsidRPr="004D34DC">
              <w:rPr>
                <w:lang w:val="fr-CH"/>
              </w:rPr>
              <w:t>assistance d</w:t>
            </w:r>
            <w:r>
              <w:rPr>
                <w:lang w:val="fr-CH"/>
              </w:rPr>
              <w:t>’</w:t>
            </w:r>
            <w:r w:rsidRPr="004D34DC">
              <w:rPr>
                <w:lang w:val="fr-CH"/>
              </w:rPr>
              <w:t>un avocat</w:t>
            </w:r>
          </w:p>
        </w:tc>
      </w:tr>
      <w:tr w:rsidR="00AF780E" w:rsidRPr="004D34DC" w14:paraId="47B769C9" w14:textId="77777777" w:rsidTr="00E04F44">
        <w:tc>
          <w:tcPr>
            <w:tcW w:w="2835" w:type="dxa"/>
            <w:shd w:val="clear" w:color="auto" w:fill="auto"/>
          </w:tcPr>
          <w:p w14:paraId="3AA66709" w14:textId="77777777" w:rsidR="00AF780E" w:rsidRPr="004D34DC" w:rsidRDefault="00AF780E" w:rsidP="00E04F44">
            <w:pPr>
              <w:spacing w:after="120"/>
              <w:rPr>
                <w:i/>
                <w:lang w:val="fr-CH"/>
              </w:rPr>
            </w:pPr>
            <w:r w:rsidRPr="004D34DC">
              <w:rPr>
                <w:i/>
                <w:lang w:val="fr-CH"/>
              </w:rPr>
              <w:t>Article(s) du Pacte </w:t>
            </w:r>
            <w:r w:rsidRPr="004D34DC">
              <w:rPr>
                <w:lang w:val="fr-CH"/>
              </w:rPr>
              <w:t>:</w:t>
            </w:r>
          </w:p>
        </w:tc>
        <w:tc>
          <w:tcPr>
            <w:tcW w:w="4329" w:type="dxa"/>
            <w:shd w:val="clear" w:color="auto" w:fill="auto"/>
          </w:tcPr>
          <w:p w14:paraId="1CCB8B9B" w14:textId="77777777" w:rsidR="00AF780E" w:rsidRPr="004D34DC" w:rsidRDefault="00AF780E" w:rsidP="00E04F44">
            <w:pPr>
              <w:spacing w:after="120"/>
              <w:rPr>
                <w:lang w:val="fr-CH"/>
              </w:rPr>
            </w:pPr>
            <w:r w:rsidRPr="004D34DC">
              <w:rPr>
                <w:lang w:val="fr-CH"/>
              </w:rPr>
              <w:t xml:space="preserve">14 </w:t>
            </w:r>
            <w:r>
              <w:rPr>
                <w:lang w:val="fr-CH"/>
              </w:rPr>
              <w:t>[par. </w:t>
            </w:r>
            <w:r w:rsidRPr="004D34DC">
              <w:rPr>
                <w:lang w:val="fr-CH"/>
              </w:rPr>
              <w:t>3 d)</w:t>
            </w:r>
            <w:r>
              <w:rPr>
                <w:lang w:val="fr-CH"/>
              </w:rPr>
              <w:t>]</w:t>
            </w:r>
            <w:r w:rsidRPr="004D34DC">
              <w:rPr>
                <w:lang w:val="fr-CH"/>
              </w:rPr>
              <w:t>, et 19 lu conjointement avec l</w:t>
            </w:r>
            <w:r>
              <w:rPr>
                <w:lang w:val="fr-CH"/>
              </w:rPr>
              <w:t>’</w:t>
            </w:r>
            <w:r w:rsidRPr="004D34DC">
              <w:rPr>
                <w:lang w:val="fr-CH"/>
              </w:rPr>
              <w:t>article 2 (par. 2)</w:t>
            </w:r>
          </w:p>
        </w:tc>
      </w:tr>
      <w:tr w:rsidR="00AF780E" w:rsidRPr="004D34DC" w14:paraId="1B7DDB6B" w14:textId="77777777" w:rsidTr="00E04F44">
        <w:tc>
          <w:tcPr>
            <w:tcW w:w="2835" w:type="dxa"/>
            <w:shd w:val="clear" w:color="auto" w:fill="auto"/>
          </w:tcPr>
          <w:p w14:paraId="626231DD" w14:textId="77777777" w:rsidR="00AF780E" w:rsidRPr="004D34DC" w:rsidRDefault="00AF780E" w:rsidP="00E04F44">
            <w:pPr>
              <w:spacing w:after="120"/>
              <w:rPr>
                <w:i/>
                <w:lang w:val="fr-CH"/>
              </w:rPr>
            </w:pPr>
            <w:r w:rsidRPr="004D34DC">
              <w:rPr>
                <w:i/>
                <w:lang w:val="fr-CH"/>
              </w:rPr>
              <w:t>Article(s) du Protocole facultatif </w:t>
            </w:r>
            <w:r w:rsidRPr="00F80BC5">
              <w:rPr>
                <w:iCs/>
                <w:lang w:val="fr-CH"/>
              </w:rPr>
              <w:t>:</w:t>
            </w:r>
          </w:p>
        </w:tc>
        <w:tc>
          <w:tcPr>
            <w:tcW w:w="4329" w:type="dxa"/>
            <w:shd w:val="clear" w:color="auto" w:fill="auto"/>
          </w:tcPr>
          <w:p w14:paraId="6C1FD010" w14:textId="77777777" w:rsidR="00AF780E" w:rsidRPr="004D34DC" w:rsidRDefault="00AF780E" w:rsidP="00E04F44">
            <w:pPr>
              <w:spacing w:after="120"/>
              <w:rPr>
                <w:lang w:val="fr-CH"/>
              </w:rPr>
            </w:pPr>
            <w:r w:rsidRPr="004D34DC">
              <w:rPr>
                <w:lang w:val="fr-CH"/>
              </w:rPr>
              <w:t>2</w:t>
            </w:r>
          </w:p>
        </w:tc>
      </w:tr>
    </w:tbl>
    <w:p w14:paraId="46575709" w14:textId="77777777" w:rsidR="00AF780E" w:rsidRDefault="00AF780E" w:rsidP="00AF780E">
      <w:pPr>
        <w:pStyle w:val="SingleTxt"/>
        <w:rPr>
          <w:lang w:val="fr-CH"/>
        </w:rPr>
      </w:pPr>
      <w:r>
        <w:rPr>
          <w:lang w:val="fr-CH"/>
        </w:rPr>
        <w:br w:type="page"/>
      </w:r>
    </w:p>
    <w:p w14:paraId="1FB2D2D5" w14:textId="77777777" w:rsidR="00AF780E" w:rsidRPr="00C50B18" w:rsidRDefault="00AF780E" w:rsidP="00AF780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lastRenderedPageBreak/>
        <w:t>Annexe</w:t>
      </w:r>
    </w:p>
    <w:p w14:paraId="2A4EF1B3" w14:textId="77777777" w:rsidR="00AF780E" w:rsidRPr="00C50B18" w:rsidRDefault="00AF780E" w:rsidP="00AF780E">
      <w:pPr>
        <w:pStyle w:val="SingleTxt"/>
        <w:spacing w:after="0" w:line="120" w:lineRule="exact"/>
        <w:rPr>
          <w:bCs/>
          <w:sz w:val="10"/>
          <w:lang w:val="fr-CH"/>
        </w:rPr>
      </w:pPr>
    </w:p>
    <w:p w14:paraId="319B1BF9" w14:textId="77777777" w:rsidR="00AF780E" w:rsidRPr="00C50B18" w:rsidRDefault="00AF780E" w:rsidP="00AF780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Constatations du Comité des droits de l</w:t>
      </w:r>
      <w:r>
        <w:rPr>
          <w:lang w:val="fr-CH"/>
        </w:rPr>
        <w:t>’</w:t>
      </w:r>
      <w:r w:rsidRPr="00C50B18">
        <w:rPr>
          <w:lang w:val="fr-CH"/>
        </w:rPr>
        <w:t xml:space="preserve">homme au titre </w:t>
      </w:r>
      <w:r w:rsidRPr="00C50B18">
        <w:rPr>
          <w:lang w:val="fr-CH"/>
        </w:rPr>
        <w:br/>
        <w:t>du paragraphe 4 de l</w:t>
      </w:r>
      <w:r>
        <w:rPr>
          <w:lang w:val="fr-CH"/>
        </w:rPr>
        <w:t>’</w:t>
      </w:r>
      <w:r w:rsidRPr="00C50B18">
        <w:rPr>
          <w:lang w:val="fr-CH"/>
        </w:rPr>
        <w:t xml:space="preserve">article 5 du Protocole facultatif </w:t>
      </w:r>
      <w:r w:rsidRPr="00C50B18">
        <w:rPr>
          <w:lang w:val="fr-CH"/>
        </w:rPr>
        <w:br/>
        <w:t xml:space="preserve">se rapportant au Pacte international relatif aux droits </w:t>
      </w:r>
      <w:r w:rsidRPr="00C50B18">
        <w:rPr>
          <w:lang w:val="fr-CH"/>
        </w:rPr>
        <w:br/>
        <w:t>civils et politiques (114</w:t>
      </w:r>
      <w:r w:rsidRPr="00C50B18">
        <w:rPr>
          <w:vertAlign w:val="superscript"/>
          <w:lang w:val="fr-CH"/>
        </w:rPr>
        <w:t>e</w:t>
      </w:r>
      <w:r w:rsidRPr="00C50B18">
        <w:rPr>
          <w:lang w:val="fr-CH"/>
        </w:rPr>
        <w:t xml:space="preserve"> session)</w:t>
      </w:r>
    </w:p>
    <w:p w14:paraId="268CDEEC" w14:textId="77777777" w:rsidR="00AF780E" w:rsidRPr="00C50B18" w:rsidRDefault="00AF780E" w:rsidP="00AF780E">
      <w:pPr>
        <w:pStyle w:val="SingleTxt"/>
        <w:spacing w:after="0" w:line="120" w:lineRule="exact"/>
        <w:rPr>
          <w:bCs/>
          <w:sz w:val="10"/>
          <w:lang w:val="fr-CH"/>
        </w:rPr>
      </w:pPr>
    </w:p>
    <w:p w14:paraId="0550D7CF" w14:textId="77777777" w:rsidR="00AF780E" w:rsidRPr="00C50B18" w:rsidRDefault="00AF780E" w:rsidP="00AF780E">
      <w:pPr>
        <w:pStyle w:val="SingleTxt"/>
        <w:spacing w:after="0" w:line="120" w:lineRule="exact"/>
        <w:rPr>
          <w:bCs/>
          <w:sz w:val="10"/>
          <w:lang w:val="fr-CH"/>
        </w:rPr>
      </w:pPr>
    </w:p>
    <w:p w14:paraId="0973CC09" w14:textId="77777777" w:rsidR="00AF780E" w:rsidRPr="00C50B18" w:rsidRDefault="00AF780E" w:rsidP="00AF780E">
      <w:pPr>
        <w:pStyle w:val="SingleTxt"/>
        <w:rPr>
          <w:lang w:val="fr-CH"/>
        </w:rPr>
      </w:pPr>
      <w:r w:rsidRPr="00C50B18">
        <w:rPr>
          <w:lang w:val="fr-CH"/>
        </w:rPr>
        <w:t>concernant la</w:t>
      </w:r>
    </w:p>
    <w:p w14:paraId="3A6732B6" w14:textId="77777777" w:rsidR="00AF780E" w:rsidRPr="00C50B18" w:rsidRDefault="00AF780E" w:rsidP="00AF780E">
      <w:pPr>
        <w:pStyle w:val="SingleTxt"/>
        <w:spacing w:after="0" w:line="120" w:lineRule="exact"/>
        <w:rPr>
          <w:bCs/>
          <w:sz w:val="10"/>
          <w:lang w:val="fr-CH"/>
        </w:rPr>
      </w:pPr>
    </w:p>
    <w:p w14:paraId="241147DC" w14:textId="77777777" w:rsidR="00AF780E" w:rsidRPr="00C50B18" w:rsidRDefault="00AF780E" w:rsidP="00AF780E">
      <w:pPr>
        <w:pStyle w:val="SingleTxt"/>
        <w:spacing w:after="0" w:line="120" w:lineRule="exact"/>
        <w:rPr>
          <w:bCs/>
          <w:sz w:val="10"/>
          <w:lang w:val="fr-CH"/>
        </w:rPr>
      </w:pPr>
    </w:p>
    <w:p w14:paraId="45FE914C" w14:textId="77777777" w:rsidR="00AF780E" w:rsidRDefault="00AF780E" w:rsidP="00AF780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vertAlign w:val="superscript"/>
          <w:lang w:val="fr-CH"/>
        </w:rPr>
      </w:pPr>
      <w:r w:rsidRPr="00C50B18">
        <w:rPr>
          <w:lang w:val="fr-CH"/>
        </w:rPr>
        <w:tab/>
      </w:r>
      <w:r w:rsidRPr="00C50B18">
        <w:rPr>
          <w:lang w:val="fr-CH"/>
        </w:rPr>
        <w:tab/>
        <w:t>Communication n</w:t>
      </w:r>
      <w:r w:rsidRPr="00C50B18">
        <w:rPr>
          <w:vertAlign w:val="superscript"/>
          <w:lang w:val="fr-CH"/>
        </w:rPr>
        <w:t>o </w:t>
      </w:r>
      <w:r w:rsidRPr="00C50B18">
        <w:rPr>
          <w:lang w:val="fr-CH"/>
        </w:rPr>
        <w:t>1982/2010</w:t>
      </w:r>
      <w:r w:rsidRPr="000C45A4">
        <w:rPr>
          <w:b w:val="0"/>
          <w:bCs/>
          <w:sz w:val="20"/>
          <w:szCs w:val="20"/>
          <w:lang w:val="fr-CH"/>
        </w:rPr>
        <w:footnoteReference w:customMarkFollows="1" w:id="1"/>
        <w:sym w:font="Symbol" w:char="F02A"/>
      </w:r>
    </w:p>
    <w:p w14:paraId="5218EA4C" w14:textId="77777777" w:rsidR="00AF780E" w:rsidRPr="00C50B18" w:rsidRDefault="00AF780E" w:rsidP="00AF780E">
      <w:pPr>
        <w:pStyle w:val="SingleTxt"/>
        <w:spacing w:after="0" w:line="120" w:lineRule="exact"/>
        <w:rPr>
          <w:sz w:val="10"/>
          <w:lang w:val="fr-CH"/>
        </w:rPr>
      </w:pPr>
    </w:p>
    <w:p w14:paraId="20E14FB6" w14:textId="77777777" w:rsidR="00AF780E" w:rsidRPr="00C50B18" w:rsidRDefault="00AF780E" w:rsidP="00AF780E">
      <w:pPr>
        <w:pStyle w:val="SingleTxt"/>
        <w:spacing w:after="0" w:line="120" w:lineRule="exact"/>
        <w:rPr>
          <w:sz w:val="10"/>
          <w:lang w:val="fr-CH"/>
        </w:rPr>
      </w:pPr>
    </w:p>
    <w:tbl>
      <w:tblPr>
        <w:tblW w:w="7146" w:type="dxa"/>
        <w:tblInd w:w="1701" w:type="dxa"/>
        <w:tblLayout w:type="fixed"/>
        <w:tblCellMar>
          <w:left w:w="0" w:type="dxa"/>
          <w:right w:w="0" w:type="dxa"/>
        </w:tblCellMar>
        <w:tblLook w:val="01E0" w:firstRow="1" w:lastRow="1" w:firstColumn="1" w:lastColumn="1" w:noHBand="0" w:noVBand="0"/>
      </w:tblPr>
      <w:tblGrid>
        <w:gridCol w:w="2679"/>
        <w:gridCol w:w="4467"/>
      </w:tblGrid>
      <w:tr w:rsidR="00AF780E" w:rsidRPr="004D34DC" w14:paraId="6F9E4CFE" w14:textId="77777777" w:rsidTr="00E04F44">
        <w:tc>
          <w:tcPr>
            <w:tcW w:w="2679" w:type="dxa"/>
            <w:shd w:val="clear" w:color="auto" w:fill="auto"/>
          </w:tcPr>
          <w:p w14:paraId="7EBBB462" w14:textId="77777777" w:rsidR="00AF780E" w:rsidRPr="004D34DC" w:rsidRDefault="00AF780E" w:rsidP="00E04F44">
            <w:pPr>
              <w:spacing w:after="120"/>
              <w:rPr>
                <w:i/>
                <w:lang w:val="fr-CH"/>
              </w:rPr>
            </w:pPr>
            <w:r w:rsidRPr="004D34DC">
              <w:rPr>
                <w:i/>
                <w:lang w:val="fr-CH"/>
              </w:rPr>
              <w:t>Présentée par</w:t>
            </w:r>
            <w:r w:rsidRPr="004D34DC">
              <w:rPr>
                <w:lang w:val="fr-CH"/>
              </w:rPr>
              <w:t> :</w:t>
            </w:r>
          </w:p>
        </w:tc>
        <w:tc>
          <w:tcPr>
            <w:tcW w:w="4467" w:type="dxa"/>
            <w:shd w:val="clear" w:color="auto" w:fill="auto"/>
          </w:tcPr>
          <w:p w14:paraId="02040772" w14:textId="77777777" w:rsidR="00AF780E" w:rsidRPr="004D34DC" w:rsidRDefault="00AF780E" w:rsidP="00E04F44">
            <w:pPr>
              <w:spacing w:after="120"/>
              <w:rPr>
                <w:lang w:val="fr-CH"/>
              </w:rPr>
            </w:pPr>
            <w:r w:rsidRPr="004D34DC">
              <w:rPr>
                <w:lang w:val="fr-CH"/>
              </w:rPr>
              <w:t xml:space="preserve">Svetlana Mikhalchenko (non représentée </w:t>
            </w:r>
            <w:r>
              <w:rPr>
                <w:lang w:val="fr-CH"/>
              </w:rPr>
              <w:br/>
              <w:t xml:space="preserve">par un </w:t>
            </w:r>
            <w:r w:rsidRPr="004D34DC">
              <w:rPr>
                <w:lang w:val="fr-CH"/>
              </w:rPr>
              <w:t>conseil)</w:t>
            </w:r>
          </w:p>
        </w:tc>
      </w:tr>
      <w:tr w:rsidR="00AF780E" w:rsidRPr="004D34DC" w14:paraId="5EC38491" w14:textId="77777777" w:rsidTr="00E04F44">
        <w:tc>
          <w:tcPr>
            <w:tcW w:w="2679" w:type="dxa"/>
            <w:shd w:val="clear" w:color="auto" w:fill="auto"/>
          </w:tcPr>
          <w:p w14:paraId="26FCAF67" w14:textId="77777777" w:rsidR="00AF780E" w:rsidRPr="004D34DC" w:rsidRDefault="00AF780E" w:rsidP="00E04F44">
            <w:pPr>
              <w:spacing w:after="120"/>
              <w:rPr>
                <w:i/>
                <w:lang w:val="fr-CH"/>
              </w:rPr>
            </w:pPr>
            <w:r w:rsidRPr="004D34DC">
              <w:rPr>
                <w:i/>
                <w:lang w:val="fr-CH"/>
              </w:rPr>
              <w:t>Au nom de</w:t>
            </w:r>
            <w:r w:rsidRPr="004D34DC">
              <w:rPr>
                <w:lang w:val="fr-CH"/>
              </w:rPr>
              <w:t> :</w:t>
            </w:r>
          </w:p>
        </w:tc>
        <w:tc>
          <w:tcPr>
            <w:tcW w:w="4467" w:type="dxa"/>
            <w:shd w:val="clear" w:color="auto" w:fill="auto"/>
          </w:tcPr>
          <w:p w14:paraId="46E1C807" w14:textId="77777777" w:rsidR="00AF780E" w:rsidRPr="004D34DC" w:rsidRDefault="00AF780E" w:rsidP="00E04F44">
            <w:pPr>
              <w:spacing w:after="120"/>
              <w:rPr>
                <w:lang w:val="fr-CH"/>
              </w:rPr>
            </w:pPr>
            <w:r w:rsidRPr="004D34DC">
              <w:rPr>
                <w:lang w:val="fr-CH"/>
              </w:rPr>
              <w:t>L</w:t>
            </w:r>
            <w:r>
              <w:rPr>
                <w:lang w:val="fr-CH"/>
              </w:rPr>
              <w:t>’</w:t>
            </w:r>
            <w:r w:rsidRPr="004D34DC">
              <w:rPr>
                <w:lang w:val="fr-CH"/>
              </w:rPr>
              <w:t>auteure</w:t>
            </w:r>
          </w:p>
        </w:tc>
      </w:tr>
      <w:tr w:rsidR="00AF780E" w:rsidRPr="004D34DC" w14:paraId="39F488F4" w14:textId="77777777" w:rsidTr="00E04F44">
        <w:tc>
          <w:tcPr>
            <w:tcW w:w="2679" w:type="dxa"/>
            <w:shd w:val="clear" w:color="auto" w:fill="auto"/>
          </w:tcPr>
          <w:p w14:paraId="0DC18838" w14:textId="77777777" w:rsidR="00AF780E" w:rsidRPr="004D34DC" w:rsidRDefault="00AF780E" w:rsidP="00E04F44">
            <w:pPr>
              <w:spacing w:after="120"/>
              <w:rPr>
                <w:i/>
                <w:lang w:val="fr-CH"/>
              </w:rPr>
            </w:pPr>
            <w:r w:rsidRPr="004D34DC">
              <w:rPr>
                <w:i/>
                <w:lang w:val="fr-CH"/>
              </w:rPr>
              <w:t>État partie</w:t>
            </w:r>
            <w:r w:rsidRPr="004D34DC">
              <w:rPr>
                <w:lang w:val="fr-CH"/>
              </w:rPr>
              <w:t> :</w:t>
            </w:r>
          </w:p>
        </w:tc>
        <w:tc>
          <w:tcPr>
            <w:tcW w:w="4467" w:type="dxa"/>
            <w:shd w:val="clear" w:color="auto" w:fill="auto"/>
          </w:tcPr>
          <w:p w14:paraId="54938224" w14:textId="77777777" w:rsidR="00AF780E" w:rsidRPr="004D34DC" w:rsidRDefault="00AF780E" w:rsidP="00E04F44">
            <w:pPr>
              <w:spacing w:after="120"/>
              <w:rPr>
                <w:lang w:val="fr-CH"/>
              </w:rPr>
            </w:pPr>
            <w:r w:rsidRPr="004D34DC">
              <w:rPr>
                <w:lang w:val="fr-CH"/>
              </w:rPr>
              <w:t>Bélarus</w:t>
            </w:r>
          </w:p>
        </w:tc>
      </w:tr>
      <w:tr w:rsidR="00AF780E" w:rsidRPr="004D34DC" w14:paraId="65E73BA8" w14:textId="77777777" w:rsidTr="00E04F44">
        <w:tc>
          <w:tcPr>
            <w:tcW w:w="2679" w:type="dxa"/>
            <w:shd w:val="clear" w:color="auto" w:fill="auto"/>
          </w:tcPr>
          <w:p w14:paraId="7536C55D" w14:textId="77777777" w:rsidR="00AF780E" w:rsidRPr="004D34DC" w:rsidRDefault="00AF780E" w:rsidP="00E04F44">
            <w:pPr>
              <w:spacing w:after="120"/>
              <w:rPr>
                <w:i/>
                <w:lang w:val="fr-CH"/>
              </w:rPr>
            </w:pPr>
            <w:r w:rsidRPr="004D34DC">
              <w:rPr>
                <w:i/>
                <w:lang w:val="fr-CH"/>
              </w:rPr>
              <w:t>Date de la communication</w:t>
            </w:r>
            <w:r w:rsidRPr="004D34DC">
              <w:rPr>
                <w:lang w:val="fr-CH"/>
              </w:rPr>
              <w:t> :</w:t>
            </w:r>
          </w:p>
        </w:tc>
        <w:tc>
          <w:tcPr>
            <w:tcW w:w="4467" w:type="dxa"/>
            <w:shd w:val="clear" w:color="auto" w:fill="auto"/>
          </w:tcPr>
          <w:p w14:paraId="513E80FD" w14:textId="77777777" w:rsidR="00AF780E" w:rsidRPr="004D34DC" w:rsidRDefault="00AF780E" w:rsidP="00E04F44">
            <w:pPr>
              <w:spacing w:after="120"/>
              <w:rPr>
                <w:lang w:val="fr-CH"/>
              </w:rPr>
            </w:pPr>
            <w:r w:rsidRPr="004D34DC">
              <w:rPr>
                <w:lang w:val="fr-CH"/>
              </w:rPr>
              <w:t>27 avril 2010 (date de la lettre initiale)</w:t>
            </w:r>
          </w:p>
        </w:tc>
      </w:tr>
    </w:tbl>
    <w:p w14:paraId="72E87C63" w14:textId="77777777" w:rsidR="00AF780E" w:rsidRPr="00C50B18" w:rsidRDefault="00AF780E" w:rsidP="00AF780E">
      <w:pPr>
        <w:pStyle w:val="SingleTxt"/>
        <w:spacing w:after="0" w:line="120" w:lineRule="exact"/>
        <w:rPr>
          <w:sz w:val="10"/>
          <w:lang w:val="fr-CH"/>
        </w:rPr>
      </w:pPr>
    </w:p>
    <w:p w14:paraId="5BF8D26E" w14:textId="77777777" w:rsidR="00AF780E" w:rsidRPr="00C50B18" w:rsidRDefault="00AF780E" w:rsidP="00AF780E">
      <w:pPr>
        <w:pStyle w:val="SingleTxt"/>
        <w:rPr>
          <w:lang w:val="fr-CH"/>
        </w:rPr>
      </w:pPr>
      <w:r>
        <w:rPr>
          <w:i/>
          <w:lang w:val="fr-CH"/>
        </w:rPr>
        <w:tab/>
      </w:r>
      <w:r w:rsidRPr="00C50B18">
        <w:rPr>
          <w:i/>
          <w:lang w:val="fr-CH"/>
        </w:rPr>
        <w:t>Le Comité des droits de l</w:t>
      </w:r>
      <w:r>
        <w:rPr>
          <w:i/>
          <w:lang w:val="fr-CH"/>
        </w:rPr>
        <w:t>’</w:t>
      </w:r>
      <w:r w:rsidRPr="00C50B18">
        <w:rPr>
          <w:i/>
          <w:lang w:val="fr-CH"/>
        </w:rPr>
        <w:t>homme</w:t>
      </w:r>
      <w:r w:rsidRPr="00C50B18">
        <w:rPr>
          <w:lang w:val="fr-CH"/>
        </w:rPr>
        <w:t>, institué en vertu de l</w:t>
      </w:r>
      <w:r>
        <w:rPr>
          <w:lang w:val="fr-CH"/>
        </w:rPr>
        <w:t>’</w:t>
      </w:r>
      <w:r w:rsidRPr="00C50B18">
        <w:rPr>
          <w:lang w:val="fr-CH"/>
        </w:rPr>
        <w:t>article 28 du Pacte international relatif aux droits civils et politiques,</w:t>
      </w:r>
    </w:p>
    <w:p w14:paraId="73ADB886" w14:textId="77777777" w:rsidR="00AF780E" w:rsidRPr="00C50B18" w:rsidRDefault="00AF780E" w:rsidP="00AF780E">
      <w:pPr>
        <w:pStyle w:val="SingleTxt"/>
        <w:rPr>
          <w:lang w:val="fr-CH"/>
        </w:rPr>
      </w:pPr>
      <w:r>
        <w:rPr>
          <w:i/>
          <w:iCs/>
          <w:lang w:val="fr-CH"/>
        </w:rPr>
        <w:tab/>
      </w:r>
      <w:r w:rsidRPr="00C50B18">
        <w:rPr>
          <w:i/>
          <w:iCs/>
          <w:lang w:val="fr-CH"/>
        </w:rPr>
        <w:t xml:space="preserve">Réuni </w:t>
      </w:r>
      <w:r w:rsidRPr="00F80BC5">
        <w:rPr>
          <w:lang w:val="fr-CH"/>
        </w:rPr>
        <w:t>le</w:t>
      </w:r>
      <w:r w:rsidRPr="00C50B18">
        <w:rPr>
          <w:i/>
          <w:iCs/>
          <w:lang w:val="fr-CH"/>
        </w:rPr>
        <w:t xml:space="preserve"> </w:t>
      </w:r>
      <w:r w:rsidRPr="00F80BC5">
        <w:rPr>
          <w:lang w:val="fr-CH"/>
        </w:rPr>
        <w:t xml:space="preserve">22 </w:t>
      </w:r>
      <w:r w:rsidRPr="00C50B18">
        <w:rPr>
          <w:lang w:val="fr-CH"/>
        </w:rPr>
        <w:t>juillet 2015,</w:t>
      </w:r>
    </w:p>
    <w:p w14:paraId="6A8CE277" w14:textId="77777777" w:rsidR="00AF780E" w:rsidRPr="00C50B18" w:rsidRDefault="00AF780E" w:rsidP="00AF780E">
      <w:pPr>
        <w:pStyle w:val="SingleTxt"/>
        <w:rPr>
          <w:lang w:val="fr-CH"/>
        </w:rPr>
      </w:pPr>
      <w:r>
        <w:rPr>
          <w:i/>
          <w:iCs/>
          <w:lang w:val="fr-CH"/>
        </w:rPr>
        <w:tab/>
      </w:r>
      <w:r w:rsidRPr="00C50B18">
        <w:rPr>
          <w:i/>
          <w:iCs/>
          <w:lang w:val="fr-CH"/>
        </w:rPr>
        <w:t>Ayant achevé</w:t>
      </w:r>
      <w:r w:rsidRPr="00C50B18">
        <w:rPr>
          <w:lang w:val="fr-CH"/>
        </w:rPr>
        <w:t xml:space="preserve"> l</w:t>
      </w:r>
      <w:r>
        <w:rPr>
          <w:lang w:val="fr-CH"/>
        </w:rPr>
        <w:t>’</w:t>
      </w:r>
      <w:r w:rsidRPr="00C50B18">
        <w:rPr>
          <w:lang w:val="fr-CH"/>
        </w:rPr>
        <w:t>examen de la communication n</w:t>
      </w:r>
      <w:r w:rsidRPr="00C50B18">
        <w:rPr>
          <w:vertAlign w:val="superscript"/>
          <w:lang w:val="fr-CH"/>
        </w:rPr>
        <w:t>o</w:t>
      </w:r>
      <w:r w:rsidRPr="00C50B18">
        <w:rPr>
          <w:lang w:val="fr-CH"/>
        </w:rPr>
        <w:t> 1982/2010, présentée par Svetlana Mikhalchenko en vertu du Protocole facultatif se rapportant au Pacte international relatif aux droits civils et politiques,</w:t>
      </w:r>
    </w:p>
    <w:p w14:paraId="39D8DDC0" w14:textId="77777777" w:rsidR="00AF780E" w:rsidRPr="00C50B18" w:rsidRDefault="00AF780E" w:rsidP="00AF780E">
      <w:pPr>
        <w:pStyle w:val="SingleTxt"/>
        <w:rPr>
          <w:lang w:val="fr-CH"/>
        </w:rPr>
      </w:pPr>
      <w:r>
        <w:rPr>
          <w:i/>
          <w:iCs/>
          <w:lang w:val="fr-CH"/>
        </w:rPr>
        <w:tab/>
      </w:r>
      <w:r w:rsidRPr="00C50B18">
        <w:rPr>
          <w:i/>
          <w:iCs/>
          <w:lang w:val="fr-CH"/>
        </w:rPr>
        <w:t>Ayant tenu compte</w:t>
      </w:r>
      <w:r w:rsidRPr="00C50B18">
        <w:rPr>
          <w:lang w:val="fr-CH"/>
        </w:rPr>
        <w:t xml:space="preserve"> de toutes les informations écrites qui lui ont été communiquées par l</w:t>
      </w:r>
      <w:r>
        <w:rPr>
          <w:lang w:val="fr-CH"/>
        </w:rPr>
        <w:t>’</w:t>
      </w:r>
      <w:r w:rsidRPr="00C50B18">
        <w:rPr>
          <w:lang w:val="fr-CH"/>
        </w:rPr>
        <w:t>auteure de la communication et l</w:t>
      </w:r>
      <w:r>
        <w:rPr>
          <w:lang w:val="fr-CH"/>
        </w:rPr>
        <w:t>’</w:t>
      </w:r>
      <w:r w:rsidRPr="00C50B18">
        <w:rPr>
          <w:lang w:val="fr-CH"/>
        </w:rPr>
        <w:t>État partie,</w:t>
      </w:r>
    </w:p>
    <w:p w14:paraId="4FBFE584" w14:textId="77777777" w:rsidR="00AF780E" w:rsidRPr="00C50B18" w:rsidRDefault="00AF780E" w:rsidP="00AF780E">
      <w:pPr>
        <w:pStyle w:val="SingleTxt"/>
        <w:rPr>
          <w:lang w:val="fr-CH"/>
        </w:rPr>
      </w:pPr>
      <w:r>
        <w:rPr>
          <w:i/>
          <w:iCs/>
          <w:lang w:val="fr-CH"/>
        </w:rPr>
        <w:tab/>
      </w:r>
      <w:r w:rsidRPr="00C50B18">
        <w:rPr>
          <w:i/>
          <w:iCs/>
          <w:lang w:val="fr-CH"/>
        </w:rPr>
        <w:t>Adopte</w:t>
      </w:r>
      <w:r w:rsidRPr="00C50B18">
        <w:rPr>
          <w:lang w:val="fr-CH"/>
        </w:rPr>
        <w:t xml:space="preserve"> ce qui suit :</w:t>
      </w:r>
    </w:p>
    <w:p w14:paraId="0FD4DFD5" w14:textId="77777777" w:rsidR="00AF780E" w:rsidRPr="00C50B18" w:rsidRDefault="00AF780E" w:rsidP="00AF780E">
      <w:pPr>
        <w:pStyle w:val="SingleTxt"/>
        <w:spacing w:after="0" w:line="120" w:lineRule="exact"/>
        <w:rPr>
          <w:sz w:val="10"/>
          <w:lang w:val="fr-CH"/>
        </w:rPr>
      </w:pPr>
    </w:p>
    <w:p w14:paraId="749BB0EA" w14:textId="77777777" w:rsidR="00AF780E" w:rsidRPr="00C50B18" w:rsidRDefault="00AF780E" w:rsidP="00AF780E">
      <w:pPr>
        <w:pStyle w:val="SingleTxt"/>
        <w:spacing w:after="0" w:line="120" w:lineRule="exact"/>
        <w:rPr>
          <w:sz w:val="10"/>
          <w:lang w:val="fr-CH"/>
        </w:rPr>
      </w:pPr>
    </w:p>
    <w:p w14:paraId="13DEE63D" w14:textId="77777777" w:rsidR="00AF780E" w:rsidRPr="00C50B18" w:rsidRDefault="00AF780E" w:rsidP="00AF780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Constatations au titre du paragraphe 4 de l</w:t>
      </w:r>
      <w:r>
        <w:rPr>
          <w:lang w:val="fr-CH"/>
        </w:rPr>
        <w:t>’</w:t>
      </w:r>
      <w:r w:rsidRPr="00C50B18">
        <w:rPr>
          <w:lang w:val="fr-CH"/>
        </w:rPr>
        <w:t xml:space="preserve">article 5 </w:t>
      </w:r>
      <w:r w:rsidRPr="00C50B18">
        <w:rPr>
          <w:lang w:val="fr-CH"/>
        </w:rPr>
        <w:br/>
        <w:t>du Protocole facultatif</w:t>
      </w:r>
    </w:p>
    <w:p w14:paraId="693374EB" w14:textId="77777777" w:rsidR="00AF780E" w:rsidRPr="00C50B18" w:rsidRDefault="00AF780E" w:rsidP="00AF780E">
      <w:pPr>
        <w:pStyle w:val="SingleTxt"/>
        <w:spacing w:after="0" w:line="120" w:lineRule="exact"/>
        <w:rPr>
          <w:sz w:val="10"/>
          <w:lang w:val="fr-CH"/>
        </w:rPr>
      </w:pPr>
    </w:p>
    <w:p w14:paraId="76195580" w14:textId="77777777" w:rsidR="00AF780E" w:rsidRPr="00C50B18" w:rsidRDefault="00AF780E" w:rsidP="00AF780E">
      <w:pPr>
        <w:pStyle w:val="SingleTxt"/>
        <w:spacing w:after="0" w:line="120" w:lineRule="exact"/>
        <w:rPr>
          <w:sz w:val="10"/>
          <w:lang w:val="fr-CH"/>
        </w:rPr>
      </w:pPr>
    </w:p>
    <w:p w14:paraId="44F2128D" w14:textId="77777777" w:rsidR="00AF780E" w:rsidRPr="00C50B18" w:rsidRDefault="00AF780E" w:rsidP="00280820">
      <w:pPr>
        <w:pStyle w:val="SingleTxt"/>
        <w:adjustRightInd w:val="0"/>
        <w:snapToGrid w:val="0"/>
        <w:rPr>
          <w:lang w:val="fr-CH"/>
        </w:rPr>
      </w:pPr>
      <w:r w:rsidRPr="00C50B18">
        <w:rPr>
          <w:lang w:val="fr-CH"/>
        </w:rPr>
        <w:t>1.</w:t>
      </w:r>
      <w:r w:rsidRPr="00C50B18">
        <w:rPr>
          <w:lang w:val="fr-CH"/>
        </w:rPr>
        <w:tab/>
        <w:t>L</w:t>
      </w:r>
      <w:r>
        <w:rPr>
          <w:lang w:val="fr-CH"/>
        </w:rPr>
        <w:t>’</w:t>
      </w:r>
      <w:r w:rsidRPr="00C50B18">
        <w:rPr>
          <w:lang w:val="fr-CH"/>
        </w:rPr>
        <w:t>auteure de la communication est Svetlana Mikhalchenko, de nationalité bélarussienne, née en 1945. Elle se déclare victime d</w:t>
      </w:r>
      <w:r>
        <w:rPr>
          <w:lang w:val="fr-CH"/>
        </w:rPr>
        <w:t>’</w:t>
      </w:r>
      <w:r w:rsidRPr="00C50B18">
        <w:rPr>
          <w:lang w:val="fr-CH"/>
        </w:rPr>
        <w:t>une violation par le Bélarus des droits qu</w:t>
      </w:r>
      <w:r>
        <w:rPr>
          <w:lang w:val="fr-CH"/>
        </w:rPr>
        <w:t>’</w:t>
      </w:r>
      <w:r w:rsidRPr="00C50B18">
        <w:rPr>
          <w:lang w:val="fr-CH"/>
        </w:rPr>
        <w:t>elle tient de l</w:t>
      </w:r>
      <w:r>
        <w:rPr>
          <w:lang w:val="fr-CH"/>
        </w:rPr>
        <w:t>’article 14 [</w:t>
      </w:r>
      <w:r w:rsidRPr="00C50B18">
        <w:rPr>
          <w:lang w:val="fr-CH"/>
        </w:rPr>
        <w:t>par. 3 d)</w:t>
      </w:r>
      <w:r>
        <w:rPr>
          <w:lang w:val="fr-CH"/>
        </w:rPr>
        <w:t>]</w:t>
      </w:r>
      <w:r w:rsidRPr="00C50B18">
        <w:rPr>
          <w:lang w:val="fr-CH"/>
        </w:rPr>
        <w:t xml:space="preserve"> et de l</w:t>
      </w:r>
      <w:r>
        <w:rPr>
          <w:lang w:val="fr-CH"/>
        </w:rPr>
        <w:t>’</w:t>
      </w:r>
      <w:r w:rsidRPr="00C50B18">
        <w:rPr>
          <w:lang w:val="fr-CH"/>
        </w:rPr>
        <w:t>article 19 lu conjointement avec l</w:t>
      </w:r>
      <w:r>
        <w:rPr>
          <w:lang w:val="fr-CH"/>
        </w:rPr>
        <w:t xml:space="preserve">’article 2 (par. 2) du Pacte. Le </w:t>
      </w:r>
      <w:r w:rsidRPr="00C50B18">
        <w:rPr>
          <w:lang w:val="fr-CH"/>
        </w:rPr>
        <w:t>Protocole facultatif est entré en vigueur pour l</w:t>
      </w:r>
      <w:r>
        <w:rPr>
          <w:lang w:val="fr-CH"/>
        </w:rPr>
        <w:t>’</w:t>
      </w:r>
      <w:r w:rsidRPr="00C50B18">
        <w:rPr>
          <w:lang w:val="fr-CH"/>
        </w:rPr>
        <w:t>État partie le 30 décembre 1992. L</w:t>
      </w:r>
      <w:r>
        <w:rPr>
          <w:lang w:val="fr-CH"/>
        </w:rPr>
        <w:t>’</w:t>
      </w:r>
      <w:r w:rsidRPr="00C50B18">
        <w:rPr>
          <w:lang w:val="fr-CH"/>
        </w:rPr>
        <w:t>auteure n</w:t>
      </w:r>
      <w:r>
        <w:rPr>
          <w:lang w:val="fr-CH"/>
        </w:rPr>
        <w:t>’</w:t>
      </w:r>
      <w:r w:rsidRPr="00C50B18">
        <w:rPr>
          <w:lang w:val="fr-CH"/>
        </w:rPr>
        <w:t>est pas représentée par un conseil.</w:t>
      </w:r>
    </w:p>
    <w:p w14:paraId="15BE793A" w14:textId="77777777" w:rsidR="00AF780E" w:rsidRPr="00C50B18" w:rsidRDefault="00AF780E" w:rsidP="00AF780E">
      <w:pPr>
        <w:pStyle w:val="SingleTxt"/>
        <w:spacing w:after="0" w:line="120" w:lineRule="exact"/>
        <w:rPr>
          <w:sz w:val="10"/>
          <w:lang w:val="fr-CH"/>
        </w:rPr>
      </w:pPr>
    </w:p>
    <w:p w14:paraId="473D5CEB" w14:textId="77777777" w:rsidR="00AF780E" w:rsidRPr="00C50B18" w:rsidRDefault="00AF780E" w:rsidP="005A57C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lastRenderedPageBreak/>
        <w:tab/>
      </w:r>
      <w:r w:rsidRPr="00C50B18">
        <w:rPr>
          <w:lang w:val="fr-CH"/>
        </w:rPr>
        <w:tab/>
        <w:t>Rappel des faits présentés par l</w:t>
      </w:r>
      <w:r>
        <w:rPr>
          <w:lang w:val="fr-CH"/>
        </w:rPr>
        <w:t>’</w:t>
      </w:r>
      <w:r w:rsidRPr="00C50B18">
        <w:rPr>
          <w:lang w:val="fr-CH"/>
        </w:rPr>
        <w:t>auteur</w:t>
      </w:r>
    </w:p>
    <w:p w14:paraId="18227BB7" w14:textId="77777777" w:rsidR="00AF780E" w:rsidRPr="00C50B18" w:rsidRDefault="00AF780E" w:rsidP="005A57C0">
      <w:pPr>
        <w:pStyle w:val="SingleTxt"/>
        <w:keepNext/>
        <w:keepLines/>
        <w:spacing w:after="0" w:line="120" w:lineRule="exact"/>
        <w:rPr>
          <w:sz w:val="10"/>
          <w:lang w:val="fr-CH"/>
        </w:rPr>
      </w:pPr>
    </w:p>
    <w:p w14:paraId="7DF0D4DF" w14:textId="77777777" w:rsidR="00AF780E" w:rsidRPr="00C50B18" w:rsidRDefault="00AF780E" w:rsidP="005A57C0">
      <w:pPr>
        <w:pStyle w:val="SingleTxt"/>
        <w:keepNext/>
        <w:keepLines/>
        <w:rPr>
          <w:lang w:val="fr-CH"/>
        </w:rPr>
      </w:pPr>
      <w:r w:rsidRPr="00C50B18">
        <w:rPr>
          <w:lang w:val="fr-CH"/>
        </w:rPr>
        <w:t>2.1</w:t>
      </w:r>
      <w:r w:rsidRPr="00C50B18">
        <w:rPr>
          <w:lang w:val="fr-CH"/>
        </w:rPr>
        <w:tab/>
        <w:t>L</w:t>
      </w:r>
      <w:r>
        <w:rPr>
          <w:lang w:val="fr-CH"/>
        </w:rPr>
        <w:t>’</w:t>
      </w:r>
      <w:r w:rsidRPr="00C50B18">
        <w:rPr>
          <w:lang w:val="fr-CH"/>
        </w:rPr>
        <w:t>auteure indique qu</w:t>
      </w:r>
      <w:r>
        <w:rPr>
          <w:lang w:val="fr-CH"/>
        </w:rPr>
        <w:t>’</w:t>
      </w:r>
      <w:r w:rsidRPr="00C50B18">
        <w:rPr>
          <w:lang w:val="fr-CH"/>
        </w:rPr>
        <w:t>elle était secrétaire à la branche locale du Parti communiste du Bélarus dans le district de Svetlogorsk de la ville de Gomel. Le 3 octobre 2009, elle distribuait des tracts de son parti dans la rue Zavodskaya à Gomel. L</w:t>
      </w:r>
      <w:r>
        <w:rPr>
          <w:lang w:val="fr-CH"/>
        </w:rPr>
        <w:t>’</w:t>
      </w:r>
      <w:r w:rsidRPr="00C50B18">
        <w:rPr>
          <w:lang w:val="fr-CH"/>
        </w:rPr>
        <w:t>auteure précise que les tracts étaient intitulés « Marche de gauche » et qu</w:t>
      </w:r>
      <w:r>
        <w:rPr>
          <w:lang w:val="fr-CH"/>
        </w:rPr>
        <w:t>’</w:t>
      </w:r>
      <w:r w:rsidRPr="00C50B18">
        <w:rPr>
          <w:lang w:val="fr-CH"/>
        </w:rPr>
        <w:t>elle en avait 299 exemplaires en sa possession.</w:t>
      </w:r>
    </w:p>
    <w:p w14:paraId="1B237476" w14:textId="77777777" w:rsidR="00AF780E" w:rsidRPr="00C50B18" w:rsidRDefault="00AF780E" w:rsidP="00AF780E">
      <w:pPr>
        <w:pStyle w:val="SingleTxt"/>
        <w:rPr>
          <w:lang w:val="fr-CH"/>
        </w:rPr>
      </w:pPr>
      <w:r w:rsidRPr="00C50B18">
        <w:rPr>
          <w:lang w:val="fr-CH"/>
        </w:rPr>
        <w:t>2.2</w:t>
      </w:r>
      <w:r w:rsidRPr="00C50B18">
        <w:rPr>
          <w:lang w:val="fr-CH"/>
        </w:rPr>
        <w:tab/>
        <w:t>Alors qu</w:t>
      </w:r>
      <w:r>
        <w:rPr>
          <w:lang w:val="fr-CH"/>
        </w:rPr>
        <w:t>’</w:t>
      </w:r>
      <w:r w:rsidRPr="00C50B18">
        <w:rPr>
          <w:lang w:val="fr-CH"/>
        </w:rPr>
        <w:t>il lui restait 25 exemplaires, l</w:t>
      </w:r>
      <w:r>
        <w:rPr>
          <w:lang w:val="fr-CH"/>
        </w:rPr>
        <w:t>’</w:t>
      </w:r>
      <w:r w:rsidRPr="00C50B18">
        <w:rPr>
          <w:lang w:val="fr-CH"/>
        </w:rPr>
        <w:t>auteure a été arrêtée par plusieurs policiers. Ceux-ci l</w:t>
      </w:r>
      <w:r>
        <w:rPr>
          <w:lang w:val="fr-CH"/>
        </w:rPr>
        <w:t>’</w:t>
      </w:r>
      <w:r w:rsidRPr="00C50B18">
        <w:rPr>
          <w:lang w:val="fr-CH"/>
        </w:rPr>
        <w:t>ont conduite au poste de police local, ont confisqué ses tracts et établi un procès-verbal pour infraction administrative au titre du paragraphe 2 de l</w:t>
      </w:r>
      <w:r>
        <w:rPr>
          <w:lang w:val="fr-CH"/>
        </w:rPr>
        <w:t>’</w:t>
      </w:r>
      <w:r w:rsidRPr="00C50B18">
        <w:rPr>
          <w:lang w:val="fr-CH"/>
        </w:rPr>
        <w:t>article 22.9 du Code des infractions administratives, qui interdit la publication de documents imprimés n</w:t>
      </w:r>
      <w:r>
        <w:rPr>
          <w:lang w:val="fr-CH"/>
        </w:rPr>
        <w:t>’</w:t>
      </w:r>
      <w:r w:rsidRPr="00C50B18">
        <w:rPr>
          <w:lang w:val="fr-CH"/>
        </w:rPr>
        <w:t>ayant pas fait l</w:t>
      </w:r>
      <w:r>
        <w:rPr>
          <w:lang w:val="fr-CH"/>
        </w:rPr>
        <w:t>’</w:t>
      </w:r>
      <w:r w:rsidRPr="00C50B18">
        <w:rPr>
          <w:lang w:val="fr-CH"/>
        </w:rPr>
        <w:t>objet d</w:t>
      </w:r>
      <w:r>
        <w:rPr>
          <w:lang w:val="fr-CH"/>
        </w:rPr>
        <w:t>’</w:t>
      </w:r>
      <w:r w:rsidRPr="00C50B18">
        <w:rPr>
          <w:lang w:val="fr-CH"/>
        </w:rPr>
        <w:t>une déclaration préalable. L</w:t>
      </w:r>
      <w:r>
        <w:rPr>
          <w:lang w:val="fr-CH"/>
        </w:rPr>
        <w:t>’</w:t>
      </w:r>
      <w:r w:rsidRPr="00C50B18">
        <w:rPr>
          <w:lang w:val="fr-CH"/>
        </w:rPr>
        <w:t>auteure précise que la loi relative aux médias contient des dispositions s</w:t>
      </w:r>
      <w:r>
        <w:rPr>
          <w:lang w:val="fr-CH"/>
        </w:rPr>
        <w:t>’</w:t>
      </w:r>
      <w:r w:rsidRPr="00C50B18">
        <w:rPr>
          <w:lang w:val="fr-CH"/>
        </w:rPr>
        <w:t>appliquant aux publications imprimées à plus de 300 exemplaires, dont le non-respect constitue une violation de la disposition susmentionnée du Code des infractions administratives.</w:t>
      </w:r>
    </w:p>
    <w:p w14:paraId="3A3799AD" w14:textId="77777777" w:rsidR="00AF780E" w:rsidRPr="00C50B18" w:rsidRDefault="00AF780E" w:rsidP="00AF780E">
      <w:pPr>
        <w:pStyle w:val="SingleTxt"/>
        <w:rPr>
          <w:lang w:val="fr-CH"/>
        </w:rPr>
      </w:pPr>
      <w:r w:rsidRPr="00C50B18">
        <w:rPr>
          <w:lang w:val="fr-CH"/>
        </w:rPr>
        <w:t>2.3</w:t>
      </w:r>
      <w:r w:rsidRPr="00C50B18">
        <w:rPr>
          <w:lang w:val="fr-CH"/>
        </w:rPr>
        <w:tab/>
        <w:t>L</w:t>
      </w:r>
      <w:r>
        <w:rPr>
          <w:lang w:val="fr-CH"/>
        </w:rPr>
        <w:t>’</w:t>
      </w:r>
      <w:r w:rsidRPr="00C50B18">
        <w:rPr>
          <w:lang w:val="fr-CH"/>
        </w:rPr>
        <w:t>auteure fait valoir qu</w:t>
      </w:r>
      <w:r>
        <w:rPr>
          <w:lang w:val="fr-CH"/>
        </w:rPr>
        <w:t>’</w:t>
      </w:r>
      <w:r w:rsidRPr="00C50B18">
        <w:rPr>
          <w:lang w:val="fr-CH"/>
        </w:rPr>
        <w:t>elle n</w:t>
      </w:r>
      <w:r>
        <w:rPr>
          <w:lang w:val="fr-CH"/>
        </w:rPr>
        <w:t>’</w:t>
      </w:r>
      <w:r w:rsidRPr="00C50B18">
        <w:rPr>
          <w:lang w:val="fr-CH"/>
        </w:rPr>
        <w:t>avait pas en sa possession le nombre d</w:t>
      </w:r>
      <w:r>
        <w:rPr>
          <w:lang w:val="fr-CH"/>
        </w:rPr>
        <w:t>’</w:t>
      </w:r>
      <w:r w:rsidRPr="00C50B18">
        <w:rPr>
          <w:lang w:val="fr-CH"/>
        </w:rPr>
        <w:t>exemplaires requis (300) pour que ces dispositions s</w:t>
      </w:r>
      <w:r>
        <w:rPr>
          <w:lang w:val="fr-CH"/>
        </w:rPr>
        <w:t>’</w:t>
      </w:r>
      <w:r w:rsidRPr="00C50B18">
        <w:rPr>
          <w:lang w:val="fr-CH"/>
        </w:rPr>
        <w:t>appliquent et que, par conséquent, l</w:t>
      </w:r>
      <w:r>
        <w:rPr>
          <w:lang w:val="fr-CH"/>
        </w:rPr>
        <w:t>’</w:t>
      </w:r>
      <w:r w:rsidRPr="00C50B18">
        <w:rPr>
          <w:lang w:val="fr-CH"/>
        </w:rPr>
        <w:t>arrestation et les poursuites dont elle a fait l</w:t>
      </w:r>
      <w:r>
        <w:rPr>
          <w:lang w:val="fr-CH"/>
        </w:rPr>
        <w:t>’</w:t>
      </w:r>
      <w:r w:rsidRPr="00C50B18">
        <w:rPr>
          <w:lang w:val="fr-CH"/>
        </w:rPr>
        <w:t>objet étaient arbitraires. Le 29 octobre 2009, le tribunal du district de Svetlogorsk a condamné l</w:t>
      </w:r>
      <w:r>
        <w:rPr>
          <w:lang w:val="fr-CH"/>
        </w:rPr>
        <w:t>’</w:t>
      </w:r>
      <w:r w:rsidRPr="00C50B18">
        <w:rPr>
          <w:lang w:val="fr-CH"/>
        </w:rPr>
        <w:t>auteure à une amende administrative d</w:t>
      </w:r>
      <w:r>
        <w:rPr>
          <w:lang w:val="fr-CH"/>
        </w:rPr>
        <w:t>’</w:t>
      </w:r>
      <w:r w:rsidRPr="00C50B18">
        <w:rPr>
          <w:lang w:val="fr-CH"/>
        </w:rPr>
        <w:t>un montant de 1 225 000 roubles bélarussiens</w:t>
      </w:r>
      <w:r w:rsidRPr="000C45A4">
        <w:rPr>
          <w:rStyle w:val="FootnoteReference"/>
          <w:lang w:val="fr-CH"/>
        </w:rPr>
        <w:footnoteReference w:id="2"/>
      </w:r>
      <w:r w:rsidRPr="00C50B18">
        <w:rPr>
          <w:lang w:val="fr-CH"/>
        </w:rPr>
        <w:t>; les 25 tracts confisqués devaient être détruits.</w:t>
      </w:r>
    </w:p>
    <w:p w14:paraId="020F4E47" w14:textId="77777777" w:rsidR="00AF780E" w:rsidRPr="00C50B18" w:rsidRDefault="00AF780E" w:rsidP="00AF780E">
      <w:pPr>
        <w:pStyle w:val="SingleTxt"/>
        <w:rPr>
          <w:lang w:val="fr-CH"/>
        </w:rPr>
      </w:pPr>
      <w:r w:rsidRPr="00C50B18">
        <w:rPr>
          <w:lang w:val="fr-CH"/>
        </w:rPr>
        <w:t>2.4</w:t>
      </w:r>
      <w:r w:rsidRPr="00C50B18">
        <w:rPr>
          <w:lang w:val="fr-CH"/>
        </w:rPr>
        <w:tab/>
        <w:t>L</w:t>
      </w:r>
      <w:r>
        <w:rPr>
          <w:lang w:val="fr-CH"/>
        </w:rPr>
        <w:t>’</w:t>
      </w:r>
      <w:r w:rsidRPr="00C50B18">
        <w:rPr>
          <w:lang w:val="fr-CH"/>
        </w:rPr>
        <w:t>auteure affirme qu</w:t>
      </w:r>
      <w:r>
        <w:rPr>
          <w:lang w:val="fr-CH"/>
        </w:rPr>
        <w:t>’</w:t>
      </w:r>
      <w:r w:rsidRPr="00C50B18">
        <w:rPr>
          <w:lang w:val="fr-CH"/>
        </w:rPr>
        <w:t>elle n</w:t>
      </w:r>
      <w:r>
        <w:rPr>
          <w:lang w:val="fr-CH"/>
        </w:rPr>
        <w:t>’</w:t>
      </w:r>
      <w:r w:rsidRPr="00C50B18">
        <w:rPr>
          <w:lang w:val="fr-CH"/>
        </w:rPr>
        <w:t>a pas pu se faire assister par un avocat de son choix</w:t>
      </w:r>
      <w:r w:rsidRPr="000C45A4">
        <w:rPr>
          <w:rStyle w:val="FootnoteReference"/>
          <w:lang w:val="fr-CH"/>
        </w:rPr>
        <w:footnoteReference w:id="3"/>
      </w:r>
      <w:r w:rsidRPr="00C50B18">
        <w:rPr>
          <w:lang w:val="fr-CH"/>
        </w:rPr>
        <w:t>. Elle indique en outre qu</w:t>
      </w:r>
      <w:r>
        <w:rPr>
          <w:lang w:val="fr-CH"/>
        </w:rPr>
        <w:t>’</w:t>
      </w:r>
      <w:r w:rsidRPr="00C50B18">
        <w:rPr>
          <w:lang w:val="fr-CH"/>
        </w:rPr>
        <w:t>elle ne comprend pas pourquoi il était nécessaire de restreindre sa liberté d</w:t>
      </w:r>
      <w:r>
        <w:rPr>
          <w:lang w:val="fr-CH"/>
        </w:rPr>
        <w:t>’</w:t>
      </w:r>
      <w:r w:rsidRPr="00C50B18">
        <w:rPr>
          <w:lang w:val="fr-CH"/>
        </w:rPr>
        <w:t>expression en l</w:t>
      </w:r>
      <w:r>
        <w:rPr>
          <w:lang w:val="fr-CH"/>
        </w:rPr>
        <w:t>’</w:t>
      </w:r>
      <w:r w:rsidRPr="00C50B18">
        <w:rPr>
          <w:lang w:val="fr-CH"/>
        </w:rPr>
        <w:t>arrêtant et en confisquant les tracts restés en sa possession.</w:t>
      </w:r>
    </w:p>
    <w:p w14:paraId="203AB7C3" w14:textId="77777777" w:rsidR="00AF780E" w:rsidRPr="00C50B18" w:rsidRDefault="00AF780E" w:rsidP="00AF780E">
      <w:pPr>
        <w:pStyle w:val="SingleTxt"/>
        <w:rPr>
          <w:lang w:val="fr-CH"/>
        </w:rPr>
      </w:pPr>
      <w:r w:rsidRPr="00C50B18">
        <w:rPr>
          <w:lang w:val="fr-CH"/>
        </w:rPr>
        <w:t>2.5</w:t>
      </w:r>
      <w:r w:rsidRPr="00C50B18">
        <w:rPr>
          <w:lang w:val="fr-CH"/>
        </w:rPr>
        <w:tab/>
        <w:t>L</w:t>
      </w:r>
      <w:r>
        <w:rPr>
          <w:lang w:val="fr-CH"/>
        </w:rPr>
        <w:t>’</w:t>
      </w:r>
      <w:r w:rsidRPr="00C50B18">
        <w:rPr>
          <w:lang w:val="fr-CH"/>
        </w:rPr>
        <w:t>auteure indique qu</w:t>
      </w:r>
      <w:r>
        <w:rPr>
          <w:lang w:val="fr-CH"/>
        </w:rPr>
        <w:t>’</w:t>
      </w:r>
      <w:r w:rsidRPr="00C50B18">
        <w:rPr>
          <w:lang w:val="fr-CH"/>
        </w:rPr>
        <w:t>elle a fait appel de la décision rendue par le tribunal du district de Svetlogorsk devant le tribunal régional de Gomel, qui, le 25 novembre 2009, a rejeté son appel et confirmé dans son intégralité la décision de la juridiction inférieure. Une demande au titre de la procédure de contrôle a été rejetée par la Cour suprême du Bélarus le 11 février 2010. L</w:t>
      </w:r>
      <w:r>
        <w:rPr>
          <w:lang w:val="fr-CH"/>
        </w:rPr>
        <w:t>’</w:t>
      </w:r>
      <w:r w:rsidRPr="00C50B18">
        <w:rPr>
          <w:lang w:val="fr-CH"/>
        </w:rPr>
        <w:t>auteure soutient que les recours auprès du Bureau du Procureur en vue du contrôle d</w:t>
      </w:r>
      <w:r>
        <w:rPr>
          <w:lang w:val="fr-CH"/>
        </w:rPr>
        <w:t>’</w:t>
      </w:r>
      <w:r w:rsidRPr="00C50B18">
        <w:rPr>
          <w:lang w:val="fr-CH"/>
        </w:rPr>
        <w:t>une décision sont « inutiles » car ces procédures sont discrétionnaires et ne donnent pas lieu à un réexamen complet de l</w:t>
      </w:r>
      <w:r>
        <w:rPr>
          <w:lang w:val="fr-CH"/>
        </w:rPr>
        <w:t>’</w:t>
      </w:r>
      <w:r w:rsidRPr="00C50B18">
        <w:rPr>
          <w:lang w:val="fr-CH"/>
        </w:rPr>
        <w:t>affaire. En se référant à la jurisprudence bien établie du Comité, l</w:t>
      </w:r>
      <w:r>
        <w:rPr>
          <w:lang w:val="fr-CH"/>
        </w:rPr>
        <w:t>’</w:t>
      </w:r>
      <w:r w:rsidRPr="00C50B18">
        <w:rPr>
          <w:lang w:val="fr-CH"/>
        </w:rPr>
        <w:t>auteure fait valoir que les recours internes ne doivent être épuisés que s</w:t>
      </w:r>
      <w:r>
        <w:rPr>
          <w:lang w:val="fr-CH"/>
        </w:rPr>
        <w:t>’</w:t>
      </w:r>
      <w:r w:rsidRPr="00C50B18">
        <w:rPr>
          <w:lang w:val="fr-CH"/>
        </w:rPr>
        <w:t>ils sont utiles.</w:t>
      </w:r>
    </w:p>
    <w:p w14:paraId="07A86FA4" w14:textId="77777777" w:rsidR="00AF780E" w:rsidRPr="00280820" w:rsidRDefault="00AF780E" w:rsidP="00AF780E">
      <w:pPr>
        <w:pStyle w:val="SingleTxt"/>
      </w:pPr>
      <w:r w:rsidRPr="00C50B18">
        <w:rPr>
          <w:lang w:val="fr-CH"/>
        </w:rPr>
        <w:t>2.6</w:t>
      </w:r>
      <w:r w:rsidRPr="00C50B18">
        <w:rPr>
          <w:lang w:val="fr-CH"/>
        </w:rPr>
        <w:tab/>
      </w:r>
      <w:r w:rsidRPr="00280820">
        <w:t>L’auteure soutient en outre que le tribunal régional de Gomel et la Cour suprême du Bélarus n’ont pas examiné ses griefs fondés sur les dispositions du Pacte ou les ont ignorés. En premier lieu, l’auteure a fait valoir devant ces juridictions que les dispositions de la loi relative aux médias ne s’appliquaient pas dans son cas étant donné qu’il y avait moins de 300 exemplaires du tract. Même si les dispositions en question devaient s’appliquer, les tribunaux n’ont pas expliqué quelles restrictions au titre du paragraphe 3 de l’article 19 du Pacte étaient applicables à son cas.</w:t>
      </w:r>
    </w:p>
    <w:p w14:paraId="63CF88BE" w14:textId="77777777" w:rsidR="00AF780E" w:rsidRPr="00C50B18" w:rsidRDefault="00AF780E" w:rsidP="00AF780E">
      <w:pPr>
        <w:pStyle w:val="SingleTxt"/>
        <w:rPr>
          <w:lang w:val="fr-CH"/>
        </w:rPr>
      </w:pPr>
      <w:r w:rsidRPr="00C50B18">
        <w:rPr>
          <w:lang w:val="fr-CH"/>
        </w:rPr>
        <w:t>2.7</w:t>
      </w:r>
      <w:r w:rsidRPr="00C50B18">
        <w:rPr>
          <w:lang w:val="fr-CH"/>
        </w:rPr>
        <w:tab/>
        <w:t>Enfin, l</w:t>
      </w:r>
      <w:r>
        <w:rPr>
          <w:lang w:val="fr-CH"/>
        </w:rPr>
        <w:t>’</w:t>
      </w:r>
      <w:r w:rsidRPr="00C50B18">
        <w:rPr>
          <w:lang w:val="fr-CH"/>
        </w:rPr>
        <w:t>auteure fait observer qu</w:t>
      </w:r>
      <w:r>
        <w:rPr>
          <w:lang w:val="fr-CH"/>
        </w:rPr>
        <w:t>’</w:t>
      </w:r>
      <w:r w:rsidRPr="00C50B18">
        <w:rPr>
          <w:lang w:val="fr-CH"/>
        </w:rPr>
        <w:t>en signant le Pacte, le Bélarus a accepté de veiller à l</w:t>
      </w:r>
      <w:r>
        <w:rPr>
          <w:lang w:val="fr-CH"/>
        </w:rPr>
        <w:t>’</w:t>
      </w:r>
      <w:r w:rsidRPr="00C50B18">
        <w:rPr>
          <w:lang w:val="fr-CH"/>
        </w:rPr>
        <w:t>application de ses dispositions, y compris du paragraphe 2 de l</w:t>
      </w:r>
      <w:r>
        <w:rPr>
          <w:lang w:val="fr-CH"/>
        </w:rPr>
        <w:t>’</w:t>
      </w:r>
      <w:r w:rsidRPr="00C50B18">
        <w:rPr>
          <w:lang w:val="fr-CH"/>
        </w:rPr>
        <w:t>article 2, selon lequel l</w:t>
      </w:r>
      <w:r>
        <w:rPr>
          <w:lang w:val="fr-CH"/>
        </w:rPr>
        <w:t>’</w:t>
      </w:r>
      <w:r w:rsidRPr="00C50B18">
        <w:rPr>
          <w:lang w:val="fr-CH"/>
        </w:rPr>
        <w:t>État partie est tenu de prendre les arrangements devant permettre l</w:t>
      </w:r>
      <w:r>
        <w:rPr>
          <w:lang w:val="fr-CH"/>
        </w:rPr>
        <w:t>’</w:t>
      </w:r>
      <w:r w:rsidRPr="00C50B18">
        <w:rPr>
          <w:lang w:val="fr-CH"/>
        </w:rPr>
        <w:t>adoption de telles mesures, d</w:t>
      </w:r>
      <w:r>
        <w:rPr>
          <w:lang w:val="fr-CH"/>
        </w:rPr>
        <w:t>’</w:t>
      </w:r>
      <w:r w:rsidRPr="00C50B18">
        <w:rPr>
          <w:lang w:val="fr-CH"/>
        </w:rPr>
        <w:t>ordre législatif ou autre, propres à donner effet aux droits reconnus dans le Pacte.</w:t>
      </w:r>
    </w:p>
    <w:p w14:paraId="2BBDDAA2" w14:textId="77777777" w:rsidR="00AF780E" w:rsidRPr="00C50B18" w:rsidRDefault="00AF780E" w:rsidP="00AF780E">
      <w:pPr>
        <w:pStyle w:val="SingleTxt"/>
        <w:spacing w:after="0" w:line="120" w:lineRule="exact"/>
        <w:rPr>
          <w:sz w:val="10"/>
          <w:lang w:val="fr-CH"/>
        </w:rPr>
      </w:pPr>
    </w:p>
    <w:p w14:paraId="2D794B20" w14:textId="77777777" w:rsidR="00AF780E" w:rsidRPr="00C50B18" w:rsidRDefault="00AF780E" w:rsidP="00AF780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lastRenderedPageBreak/>
        <w:tab/>
      </w:r>
      <w:r w:rsidRPr="00C50B18">
        <w:rPr>
          <w:lang w:val="fr-CH"/>
        </w:rPr>
        <w:tab/>
        <w:t>Teneur de la plainte</w:t>
      </w:r>
    </w:p>
    <w:p w14:paraId="2143CF09" w14:textId="77777777" w:rsidR="00AF780E" w:rsidRPr="00C50B18" w:rsidRDefault="00AF780E" w:rsidP="00AF780E">
      <w:pPr>
        <w:pStyle w:val="SingleTxt"/>
        <w:spacing w:after="0" w:line="120" w:lineRule="exact"/>
        <w:rPr>
          <w:sz w:val="10"/>
          <w:lang w:val="fr-CH"/>
        </w:rPr>
      </w:pPr>
    </w:p>
    <w:p w14:paraId="416A5FE4" w14:textId="77777777" w:rsidR="00AF780E" w:rsidRPr="00C50B18" w:rsidRDefault="00AF780E" w:rsidP="00AF780E">
      <w:pPr>
        <w:pStyle w:val="SingleTxt"/>
        <w:rPr>
          <w:lang w:val="fr-CH"/>
        </w:rPr>
      </w:pPr>
      <w:r w:rsidRPr="00C50B18">
        <w:rPr>
          <w:lang w:val="fr-CH"/>
        </w:rPr>
        <w:t>3.1</w:t>
      </w:r>
      <w:r w:rsidRPr="00C50B18">
        <w:rPr>
          <w:lang w:val="fr-CH"/>
        </w:rPr>
        <w:tab/>
        <w:t>L</w:t>
      </w:r>
      <w:r>
        <w:rPr>
          <w:lang w:val="fr-CH"/>
        </w:rPr>
        <w:t>’</w:t>
      </w:r>
      <w:r w:rsidRPr="00C50B18">
        <w:rPr>
          <w:lang w:val="fr-CH"/>
        </w:rPr>
        <w:t>auteure affirme qu</w:t>
      </w:r>
      <w:r>
        <w:rPr>
          <w:lang w:val="fr-CH"/>
        </w:rPr>
        <w:t>’</w:t>
      </w:r>
      <w:r w:rsidRPr="00C50B18">
        <w:rPr>
          <w:lang w:val="fr-CH"/>
        </w:rPr>
        <w:t>en l</w:t>
      </w:r>
      <w:r>
        <w:rPr>
          <w:lang w:val="fr-CH"/>
        </w:rPr>
        <w:t>’</w:t>
      </w:r>
      <w:r w:rsidRPr="00C50B18">
        <w:rPr>
          <w:lang w:val="fr-CH"/>
        </w:rPr>
        <w:t>arrêtant et en la condamnant à une amende administrative, l</w:t>
      </w:r>
      <w:r>
        <w:rPr>
          <w:lang w:val="fr-CH"/>
        </w:rPr>
        <w:t>’</w:t>
      </w:r>
      <w:r w:rsidRPr="00C50B18">
        <w:rPr>
          <w:lang w:val="fr-CH"/>
        </w:rPr>
        <w:t>État partie a violé les droits qu</w:t>
      </w:r>
      <w:r>
        <w:rPr>
          <w:lang w:val="fr-CH"/>
        </w:rPr>
        <w:t>’</w:t>
      </w:r>
      <w:r w:rsidRPr="00C50B18">
        <w:rPr>
          <w:lang w:val="fr-CH"/>
        </w:rPr>
        <w:t>elle tient de l</w:t>
      </w:r>
      <w:r>
        <w:rPr>
          <w:lang w:val="fr-CH"/>
        </w:rPr>
        <w:t>’</w:t>
      </w:r>
      <w:r w:rsidRPr="00C50B18">
        <w:rPr>
          <w:lang w:val="fr-CH"/>
        </w:rPr>
        <w:t>article 19, lu conjointement avec le paragraphe 2 de l</w:t>
      </w:r>
      <w:r>
        <w:rPr>
          <w:lang w:val="fr-CH"/>
        </w:rPr>
        <w:t>’</w:t>
      </w:r>
      <w:r w:rsidRPr="00C50B18">
        <w:rPr>
          <w:lang w:val="fr-CH"/>
        </w:rPr>
        <w:t>article 2 du Pacte.</w:t>
      </w:r>
    </w:p>
    <w:p w14:paraId="28ED7C94" w14:textId="77777777" w:rsidR="00AF780E" w:rsidRPr="00C50B18" w:rsidRDefault="00AF780E" w:rsidP="00AF780E">
      <w:pPr>
        <w:pStyle w:val="SingleTxt"/>
        <w:rPr>
          <w:lang w:val="fr-CH"/>
        </w:rPr>
      </w:pPr>
      <w:r w:rsidRPr="00C50B18">
        <w:rPr>
          <w:lang w:val="fr-CH"/>
        </w:rPr>
        <w:t>3.2</w:t>
      </w:r>
      <w:r w:rsidRPr="00C50B18">
        <w:rPr>
          <w:lang w:val="fr-CH"/>
        </w:rPr>
        <w:tab/>
        <w:t>Elle estime en outre que les droits qui lui sont garantis par le paragraphe 3 d) de l</w:t>
      </w:r>
      <w:r>
        <w:rPr>
          <w:lang w:val="fr-CH"/>
        </w:rPr>
        <w:t>’</w:t>
      </w:r>
      <w:r w:rsidRPr="00C50B18">
        <w:rPr>
          <w:lang w:val="fr-CH"/>
        </w:rPr>
        <w:t>article 14 du Pacte ont été violés en ce qu</w:t>
      </w:r>
      <w:r>
        <w:rPr>
          <w:lang w:val="fr-CH"/>
        </w:rPr>
        <w:t>’</w:t>
      </w:r>
      <w:r w:rsidRPr="00C50B18">
        <w:rPr>
          <w:lang w:val="fr-CH"/>
        </w:rPr>
        <w:t>elle n</w:t>
      </w:r>
      <w:r>
        <w:rPr>
          <w:lang w:val="fr-CH"/>
        </w:rPr>
        <w:t>’</w:t>
      </w:r>
      <w:r w:rsidRPr="00C50B18">
        <w:rPr>
          <w:lang w:val="fr-CH"/>
        </w:rPr>
        <w:t>a pas pu se faire assister par l</w:t>
      </w:r>
      <w:r>
        <w:rPr>
          <w:lang w:val="fr-CH"/>
        </w:rPr>
        <w:t>’</w:t>
      </w:r>
      <w:r w:rsidRPr="00C50B18">
        <w:rPr>
          <w:lang w:val="fr-CH"/>
        </w:rPr>
        <w:t>avocat de son choix.</w:t>
      </w:r>
    </w:p>
    <w:p w14:paraId="39D10FEF" w14:textId="77777777" w:rsidR="00AF780E" w:rsidRPr="00C50B18" w:rsidRDefault="00AF780E" w:rsidP="00AF780E">
      <w:pPr>
        <w:pStyle w:val="SingleTxt"/>
        <w:spacing w:after="0" w:line="120" w:lineRule="exact"/>
        <w:rPr>
          <w:sz w:val="10"/>
          <w:lang w:val="fr-CH"/>
        </w:rPr>
      </w:pPr>
    </w:p>
    <w:p w14:paraId="245D1952" w14:textId="77777777" w:rsidR="00AF780E" w:rsidRPr="00C50B18" w:rsidRDefault="00AF780E" w:rsidP="00AF780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Observations de l</w:t>
      </w:r>
      <w:r>
        <w:rPr>
          <w:lang w:val="fr-CH"/>
        </w:rPr>
        <w:t>’</w:t>
      </w:r>
      <w:r w:rsidRPr="00C50B18">
        <w:rPr>
          <w:lang w:val="fr-CH"/>
        </w:rPr>
        <w:t>État partie sur la recevabilité</w:t>
      </w:r>
    </w:p>
    <w:p w14:paraId="22A11BEF" w14:textId="77777777" w:rsidR="00AF780E" w:rsidRPr="00C50B18" w:rsidRDefault="00AF780E" w:rsidP="00AF780E">
      <w:pPr>
        <w:pStyle w:val="SingleTxt"/>
        <w:spacing w:after="0" w:line="120" w:lineRule="exact"/>
        <w:rPr>
          <w:sz w:val="10"/>
          <w:lang w:val="fr-CH"/>
        </w:rPr>
      </w:pPr>
    </w:p>
    <w:p w14:paraId="19B95BB2" w14:textId="77777777" w:rsidR="00AF780E" w:rsidRPr="00C50B18" w:rsidRDefault="00AF780E" w:rsidP="00AF780E">
      <w:pPr>
        <w:pStyle w:val="SingleTxt"/>
        <w:rPr>
          <w:lang w:val="fr-CH"/>
        </w:rPr>
      </w:pPr>
      <w:r w:rsidRPr="00C50B18">
        <w:rPr>
          <w:lang w:val="fr-CH"/>
        </w:rPr>
        <w:t>4.1</w:t>
      </w:r>
      <w:r w:rsidRPr="00C50B18">
        <w:rPr>
          <w:lang w:val="fr-CH"/>
        </w:rPr>
        <w:tab/>
        <w:t>Dans une note verbale du 6 janvier 2011, l</w:t>
      </w:r>
      <w:r>
        <w:rPr>
          <w:lang w:val="fr-CH"/>
        </w:rPr>
        <w:t>’</w:t>
      </w:r>
      <w:r w:rsidRPr="00C50B18">
        <w:rPr>
          <w:lang w:val="fr-CH"/>
        </w:rPr>
        <w:t>État partie a exprimé, eu égard à la présente communication et à plusieurs autres dont le Comité était saisi, sa préoccupation quant à l</w:t>
      </w:r>
      <w:r>
        <w:rPr>
          <w:lang w:val="fr-CH"/>
        </w:rPr>
        <w:t>’</w:t>
      </w:r>
      <w:r w:rsidRPr="00C50B18">
        <w:rPr>
          <w:lang w:val="fr-CH"/>
        </w:rPr>
        <w:t>enregistrement injustifié de communications émanant de particuliers relevant de sa juridiction qui, estime-t-il, n</w:t>
      </w:r>
      <w:r>
        <w:rPr>
          <w:lang w:val="fr-CH"/>
        </w:rPr>
        <w:t>’</w:t>
      </w:r>
      <w:r w:rsidRPr="00C50B18">
        <w:rPr>
          <w:lang w:val="fr-CH"/>
        </w:rPr>
        <w:t>ont pas épuisé tous les recours internes disponibles et, en particulier, n</w:t>
      </w:r>
      <w:r>
        <w:rPr>
          <w:lang w:val="fr-CH"/>
        </w:rPr>
        <w:t>’</w:t>
      </w:r>
      <w:r w:rsidRPr="00C50B18">
        <w:rPr>
          <w:lang w:val="fr-CH"/>
        </w:rPr>
        <w:t>ont pas formé de recours auprès du Bureau du Procureur en vue du contrôle d</w:t>
      </w:r>
      <w:r>
        <w:rPr>
          <w:lang w:val="fr-CH"/>
        </w:rPr>
        <w:t>’</w:t>
      </w:r>
      <w:r w:rsidRPr="00C50B18">
        <w:rPr>
          <w:lang w:val="fr-CH"/>
        </w:rPr>
        <w:t>une décision passée en force de chose jugée, en violation de l</w:t>
      </w:r>
      <w:r>
        <w:rPr>
          <w:lang w:val="fr-CH"/>
        </w:rPr>
        <w:t>’</w:t>
      </w:r>
      <w:r w:rsidRPr="00C50B18">
        <w:rPr>
          <w:lang w:val="fr-CH"/>
        </w:rPr>
        <w:t>article 2 du Protocole facultatif. L</w:t>
      </w:r>
      <w:r>
        <w:rPr>
          <w:lang w:val="fr-CH"/>
        </w:rPr>
        <w:t>’</w:t>
      </w:r>
      <w:r w:rsidRPr="00C50B18">
        <w:rPr>
          <w:lang w:val="fr-CH"/>
        </w:rPr>
        <w:t>État partie affirme que l</w:t>
      </w:r>
      <w:r>
        <w:rPr>
          <w:lang w:val="fr-CH"/>
        </w:rPr>
        <w:t>’</w:t>
      </w:r>
      <w:r w:rsidRPr="00C50B18">
        <w:rPr>
          <w:lang w:val="fr-CH"/>
        </w:rPr>
        <w:t>enregistrement de communications présentées par un tiers (avocat, conseil ou autre personne) au nom de particuliers qui allèguent la violation de leurs droits constitue un abus du mandat du Comité ainsi que du droit de présenter des communications et qu</w:t>
      </w:r>
      <w:r>
        <w:rPr>
          <w:lang w:val="fr-CH"/>
        </w:rPr>
        <w:t>’</w:t>
      </w:r>
      <w:r w:rsidRPr="00C50B18">
        <w:rPr>
          <w:lang w:val="fr-CH"/>
        </w:rPr>
        <w:t>un tel enregistrement est contraire à l</w:t>
      </w:r>
      <w:r>
        <w:rPr>
          <w:lang w:val="fr-CH"/>
        </w:rPr>
        <w:t>’</w:t>
      </w:r>
      <w:r w:rsidRPr="00C50B18">
        <w:rPr>
          <w:lang w:val="fr-CH"/>
        </w:rPr>
        <w:t>article 3 du Protocole facultatif. Il fait valoir qu</w:t>
      </w:r>
      <w:r>
        <w:rPr>
          <w:lang w:val="fr-CH"/>
        </w:rPr>
        <w:t>’</w:t>
      </w:r>
      <w:r w:rsidRPr="00C50B18">
        <w:rPr>
          <w:lang w:val="fr-CH"/>
        </w:rPr>
        <w:t>en tant que partie au Protocole facultatif, il reconnaît la compétence du Comité en vertu de l</w:t>
      </w:r>
      <w:r>
        <w:rPr>
          <w:lang w:val="fr-CH"/>
        </w:rPr>
        <w:t>’</w:t>
      </w:r>
      <w:r w:rsidRPr="00C50B18">
        <w:rPr>
          <w:lang w:val="fr-CH"/>
        </w:rPr>
        <w:t>article premier, mais qu</w:t>
      </w:r>
      <w:r>
        <w:rPr>
          <w:lang w:val="fr-CH"/>
        </w:rPr>
        <w:t>’</w:t>
      </w:r>
      <w:r w:rsidRPr="00C50B18">
        <w:rPr>
          <w:lang w:val="fr-CH"/>
        </w:rPr>
        <w:t>il n</w:t>
      </w:r>
      <w:r>
        <w:rPr>
          <w:lang w:val="fr-CH"/>
        </w:rPr>
        <w:t>’</w:t>
      </w:r>
      <w:r w:rsidRPr="00C50B18">
        <w:rPr>
          <w:lang w:val="fr-CH"/>
        </w:rPr>
        <w:t>a pas consenti à l</w:t>
      </w:r>
      <w:r>
        <w:rPr>
          <w:lang w:val="fr-CH"/>
        </w:rPr>
        <w:t>’</w:t>
      </w:r>
      <w:r w:rsidRPr="00C50B18">
        <w:rPr>
          <w:lang w:val="fr-CH"/>
        </w:rPr>
        <w:t>élargissement du mandat du Comité, en particulier en ce qui concerne l</w:t>
      </w:r>
      <w:r>
        <w:rPr>
          <w:lang w:val="fr-CH"/>
        </w:rPr>
        <w:t>’</w:t>
      </w:r>
      <w:r w:rsidRPr="00C50B18">
        <w:rPr>
          <w:lang w:val="fr-CH"/>
        </w:rPr>
        <w:t>interprétation que fait celui-ci des dispositions de la Convention et du Protocole facultatif (préambule et art. 1</w:t>
      </w:r>
      <w:r w:rsidRPr="00885D88">
        <w:rPr>
          <w:vertAlign w:val="superscript"/>
          <w:lang w:val="fr-CH"/>
        </w:rPr>
        <w:t>er</w:t>
      </w:r>
      <w:r w:rsidRPr="00C50B18">
        <w:rPr>
          <w:lang w:val="fr-CH"/>
        </w:rPr>
        <w:t>), qui ne peut être valable que si elle est strictement conforme aux articles 31, 32 et 33 de la Convention de Vienne sur le droit des traités. Il considère que la présente communication et plusieurs autres ont été enregistrées en violation des dispositions du Protocole facultatif et qu</w:t>
      </w:r>
      <w:r>
        <w:rPr>
          <w:lang w:val="fr-CH"/>
        </w:rPr>
        <w:t>’</w:t>
      </w:r>
      <w:r w:rsidRPr="00C50B18">
        <w:rPr>
          <w:lang w:val="fr-CH"/>
        </w:rPr>
        <w:t>aucun motif de droit ne l</w:t>
      </w:r>
      <w:r>
        <w:rPr>
          <w:lang w:val="fr-CH"/>
        </w:rPr>
        <w:t>’</w:t>
      </w:r>
      <w:r w:rsidRPr="00C50B18">
        <w:rPr>
          <w:lang w:val="fr-CH"/>
        </w:rPr>
        <w:t>oblige à les prendre en considération, et indique que toute décision prise par le Comité au sujet de ces communications sera considérée nulle et non avenue. L</w:t>
      </w:r>
      <w:r>
        <w:rPr>
          <w:lang w:val="fr-CH"/>
        </w:rPr>
        <w:t>’</w:t>
      </w:r>
      <w:r w:rsidRPr="00C50B18">
        <w:rPr>
          <w:lang w:val="fr-CH"/>
        </w:rPr>
        <w:t>État partie ajoute que les références de ce point de vue à la pratique bien établie du Comité n</w:t>
      </w:r>
      <w:r>
        <w:rPr>
          <w:lang w:val="fr-CH"/>
        </w:rPr>
        <w:t>’</w:t>
      </w:r>
      <w:r w:rsidRPr="00C50B18">
        <w:rPr>
          <w:lang w:val="fr-CH"/>
        </w:rPr>
        <w:t>ont pour lui aucun caractère contraignant.</w:t>
      </w:r>
    </w:p>
    <w:p w14:paraId="76FF7428" w14:textId="77777777" w:rsidR="00AF780E" w:rsidRPr="00C50B18" w:rsidRDefault="00AF780E" w:rsidP="00AF780E">
      <w:pPr>
        <w:pStyle w:val="SingleTxt"/>
        <w:rPr>
          <w:lang w:val="fr-CH"/>
        </w:rPr>
      </w:pPr>
      <w:r w:rsidRPr="00C50B18">
        <w:rPr>
          <w:lang w:val="fr-CH"/>
        </w:rPr>
        <w:t>4.2</w:t>
      </w:r>
      <w:r w:rsidRPr="00C50B18">
        <w:rPr>
          <w:lang w:val="fr-CH"/>
        </w:rPr>
        <w:tab/>
        <w:t>Dans une note verbale datée du 25 janvier 2012, l</w:t>
      </w:r>
      <w:r>
        <w:rPr>
          <w:lang w:val="fr-CH"/>
        </w:rPr>
        <w:t>’</w:t>
      </w:r>
      <w:r w:rsidRPr="00C50B18">
        <w:rPr>
          <w:lang w:val="fr-CH"/>
        </w:rPr>
        <w:t>État partie ajoute qu</w:t>
      </w:r>
      <w:r>
        <w:rPr>
          <w:lang w:val="fr-CH"/>
        </w:rPr>
        <w:t>’</w:t>
      </w:r>
      <w:r w:rsidRPr="00C50B18">
        <w:rPr>
          <w:lang w:val="fr-CH"/>
        </w:rPr>
        <w:t>en adhérant au Protocole facultatif, il avait accepté, en vertu de l</w:t>
      </w:r>
      <w:r>
        <w:rPr>
          <w:lang w:val="fr-CH"/>
        </w:rPr>
        <w:t>’</w:t>
      </w:r>
      <w:r w:rsidRPr="00C50B18">
        <w:rPr>
          <w:lang w:val="fr-CH"/>
        </w:rPr>
        <w:t>article premier de cet instrument, de reconnaître la compétence du Comité pour recevoir et examiner des communications émanant de particuliers relevant de sa juridiction qui se déclarent victimes d</w:t>
      </w:r>
      <w:r>
        <w:rPr>
          <w:lang w:val="fr-CH"/>
        </w:rPr>
        <w:t>’</w:t>
      </w:r>
      <w:r w:rsidRPr="00C50B18">
        <w:rPr>
          <w:lang w:val="fr-CH"/>
        </w:rPr>
        <w:t>une violation par l</w:t>
      </w:r>
      <w:r>
        <w:rPr>
          <w:lang w:val="fr-CH"/>
        </w:rPr>
        <w:t>’</w:t>
      </w:r>
      <w:r w:rsidRPr="00C50B18">
        <w:rPr>
          <w:lang w:val="fr-CH"/>
        </w:rPr>
        <w:t>État partie de l</w:t>
      </w:r>
      <w:r>
        <w:rPr>
          <w:lang w:val="fr-CH"/>
        </w:rPr>
        <w:t>’</w:t>
      </w:r>
      <w:r w:rsidRPr="00C50B18">
        <w:rPr>
          <w:lang w:val="fr-CH"/>
        </w:rPr>
        <w:t>un quelconque des droits énoncés dans le Pacte. Il note cependant que cette compétence était reconnue sous réserve de l</w:t>
      </w:r>
      <w:r>
        <w:rPr>
          <w:lang w:val="fr-CH"/>
        </w:rPr>
        <w:t>’</w:t>
      </w:r>
      <w:r w:rsidRPr="00C50B18">
        <w:rPr>
          <w:lang w:val="fr-CH"/>
        </w:rPr>
        <w:t>application d</w:t>
      </w:r>
      <w:r>
        <w:rPr>
          <w:lang w:val="fr-CH"/>
        </w:rPr>
        <w:t xml:space="preserve">’autres dispositions du </w:t>
      </w:r>
      <w:r w:rsidRPr="00C50B18">
        <w:rPr>
          <w:lang w:val="fr-CH"/>
        </w:rPr>
        <w:t>Protocole facultatif, notamment celles établissant les critères de recevabilité et les conditions à remplir par les auteurs, en particulier les articles 2 et 5. L</w:t>
      </w:r>
      <w:r>
        <w:rPr>
          <w:lang w:val="fr-CH"/>
        </w:rPr>
        <w:t>’</w:t>
      </w:r>
      <w:r w:rsidRPr="00C50B18">
        <w:rPr>
          <w:lang w:val="fr-CH"/>
        </w:rPr>
        <w:t>État partie soutient que le Protocole facultatif ne fait pas obligation aux États parties d</w:t>
      </w:r>
      <w:r>
        <w:rPr>
          <w:lang w:val="fr-CH"/>
        </w:rPr>
        <w:t>’</w:t>
      </w:r>
      <w:r w:rsidRPr="00C50B18">
        <w:rPr>
          <w:lang w:val="fr-CH"/>
        </w:rPr>
        <w:t>accepter le règlement intérieur du Comité ni l</w:t>
      </w:r>
      <w:r>
        <w:rPr>
          <w:lang w:val="fr-CH"/>
        </w:rPr>
        <w:t>’</w:t>
      </w:r>
      <w:r w:rsidRPr="00C50B18">
        <w:rPr>
          <w:lang w:val="fr-CH"/>
        </w:rPr>
        <w:t>interprétation donnée par celui-ci des dispositions du Protocole facultatif, laquelle ne peut être efficace que lorsqu</w:t>
      </w:r>
      <w:r>
        <w:rPr>
          <w:lang w:val="fr-CH"/>
        </w:rPr>
        <w:t>’</w:t>
      </w:r>
      <w:r w:rsidRPr="00C50B18">
        <w:rPr>
          <w:lang w:val="fr-CH"/>
        </w:rPr>
        <w:t>e</w:t>
      </w:r>
      <w:r>
        <w:rPr>
          <w:lang w:val="fr-CH"/>
        </w:rPr>
        <w:t xml:space="preserve">lle est faite conformément à la </w:t>
      </w:r>
      <w:r w:rsidRPr="00C50B18">
        <w:rPr>
          <w:lang w:val="fr-CH"/>
        </w:rPr>
        <w:t>Convention de Vienne sur le droit des traités. Il affirme qu</w:t>
      </w:r>
      <w:r>
        <w:rPr>
          <w:lang w:val="fr-CH"/>
        </w:rPr>
        <w:t>’</w:t>
      </w:r>
      <w:r w:rsidRPr="00C50B18">
        <w:rPr>
          <w:lang w:val="fr-CH"/>
        </w:rPr>
        <w:t>en ce qui concerne la procédure d</w:t>
      </w:r>
      <w:r>
        <w:rPr>
          <w:lang w:val="fr-CH"/>
        </w:rPr>
        <w:t>’</w:t>
      </w:r>
      <w:r w:rsidRPr="00C50B18">
        <w:rPr>
          <w:lang w:val="fr-CH"/>
        </w:rPr>
        <w:t>examen des plaintes, les États parties doivent s</w:t>
      </w:r>
      <w:r>
        <w:rPr>
          <w:lang w:val="fr-CH"/>
        </w:rPr>
        <w:t>’</w:t>
      </w:r>
      <w:r w:rsidRPr="00C50B18">
        <w:rPr>
          <w:lang w:val="fr-CH"/>
        </w:rPr>
        <w:t>appuyer en premier lieu sur les dispositions du Protocole facultatif et que la pratique bien établie du Comité, ses méthodes de travail et sa jurisprudence, auxquelles celui-ci renvoie, ne relèvent pas du Protocole facultatif. L</w:t>
      </w:r>
      <w:r>
        <w:rPr>
          <w:lang w:val="fr-CH"/>
        </w:rPr>
        <w:t>’</w:t>
      </w:r>
      <w:r w:rsidRPr="00C50B18">
        <w:rPr>
          <w:lang w:val="fr-CH"/>
        </w:rPr>
        <w:t>État partie ajoute qu</w:t>
      </w:r>
      <w:r>
        <w:rPr>
          <w:lang w:val="fr-CH"/>
        </w:rPr>
        <w:t>’</w:t>
      </w:r>
      <w:r w:rsidRPr="00C50B18">
        <w:rPr>
          <w:lang w:val="fr-CH"/>
        </w:rPr>
        <w:t>il considérera toute communication enregistrée en violation des dispositions du Protocole facultatif comme incompatible avec le Protocole facultatif et qu</w:t>
      </w:r>
      <w:r>
        <w:rPr>
          <w:lang w:val="fr-CH"/>
        </w:rPr>
        <w:t>’</w:t>
      </w:r>
      <w:r w:rsidRPr="00C50B18">
        <w:rPr>
          <w:lang w:val="fr-CH"/>
        </w:rPr>
        <w:t>il la rejettera sans faire la moindre observation sur la recevabilité ni sur le fond, et que toutes décisions du Comité concernant les communications ainsi rejetées seront considérées par ses autorités comme « nulles et non avenues ». L</w:t>
      </w:r>
      <w:r>
        <w:rPr>
          <w:lang w:val="fr-CH"/>
        </w:rPr>
        <w:t>’</w:t>
      </w:r>
      <w:r w:rsidRPr="00C50B18">
        <w:rPr>
          <w:lang w:val="fr-CH"/>
        </w:rPr>
        <w:t>État partie considère que la présente communication, ainsi que d</w:t>
      </w:r>
      <w:r>
        <w:rPr>
          <w:lang w:val="fr-CH"/>
        </w:rPr>
        <w:t>’</w:t>
      </w:r>
      <w:r w:rsidRPr="00C50B18">
        <w:rPr>
          <w:lang w:val="fr-CH"/>
        </w:rPr>
        <w:t>autres dont le Comité est saisi, ont été enregistrées en violation du Protocole facultatif.</w:t>
      </w:r>
    </w:p>
    <w:p w14:paraId="41182116" w14:textId="77777777" w:rsidR="00AF780E" w:rsidRPr="00C50B18" w:rsidRDefault="00AF780E" w:rsidP="00AF780E">
      <w:pPr>
        <w:pStyle w:val="SingleTxt"/>
        <w:spacing w:after="0" w:line="120" w:lineRule="exact"/>
        <w:rPr>
          <w:sz w:val="10"/>
          <w:lang w:val="fr-CH"/>
        </w:rPr>
      </w:pPr>
    </w:p>
    <w:p w14:paraId="55BA1AE3" w14:textId="77777777" w:rsidR="00AF780E" w:rsidRDefault="00AF780E" w:rsidP="00AF780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Commentaires de l</w:t>
      </w:r>
      <w:r>
        <w:rPr>
          <w:lang w:val="fr-CH"/>
        </w:rPr>
        <w:t>’</w:t>
      </w:r>
      <w:r w:rsidRPr="00C50B18">
        <w:rPr>
          <w:lang w:val="fr-CH"/>
        </w:rPr>
        <w:t>auteur sur les observations de l</w:t>
      </w:r>
      <w:r>
        <w:rPr>
          <w:lang w:val="fr-CH"/>
        </w:rPr>
        <w:t>’</w:t>
      </w:r>
      <w:r w:rsidRPr="00C50B18">
        <w:rPr>
          <w:lang w:val="fr-CH"/>
        </w:rPr>
        <w:t>État partie</w:t>
      </w:r>
    </w:p>
    <w:p w14:paraId="5FA664C2" w14:textId="77777777" w:rsidR="00AF780E" w:rsidRPr="00C50B18" w:rsidRDefault="00AF780E" w:rsidP="00AF780E">
      <w:pPr>
        <w:pStyle w:val="SingleTxt"/>
        <w:spacing w:after="0" w:line="120" w:lineRule="exact"/>
        <w:rPr>
          <w:b/>
          <w:sz w:val="10"/>
          <w:lang w:val="fr-CH"/>
        </w:rPr>
      </w:pPr>
    </w:p>
    <w:p w14:paraId="0D744EB5" w14:textId="77777777" w:rsidR="00AF780E" w:rsidRPr="00C50B18" w:rsidRDefault="00AF780E" w:rsidP="00AF780E">
      <w:pPr>
        <w:pStyle w:val="SingleTxt"/>
        <w:rPr>
          <w:bCs/>
          <w:lang w:val="fr-CH"/>
        </w:rPr>
      </w:pPr>
      <w:r w:rsidRPr="00C50B18">
        <w:rPr>
          <w:bCs/>
          <w:lang w:val="fr-CH"/>
        </w:rPr>
        <w:t>5.1</w:t>
      </w:r>
      <w:r w:rsidRPr="00C50B18">
        <w:rPr>
          <w:bCs/>
          <w:lang w:val="fr-CH"/>
        </w:rPr>
        <w:tab/>
        <w:t>Le 1</w:t>
      </w:r>
      <w:r w:rsidRPr="00C50B18">
        <w:rPr>
          <w:bCs/>
          <w:vertAlign w:val="superscript"/>
          <w:lang w:val="fr-CH"/>
        </w:rPr>
        <w:t>er</w:t>
      </w:r>
      <w:r w:rsidRPr="00C50B18">
        <w:rPr>
          <w:bCs/>
          <w:lang w:val="fr-CH"/>
        </w:rPr>
        <w:t> septembre 2011, l</w:t>
      </w:r>
      <w:r>
        <w:rPr>
          <w:bCs/>
          <w:lang w:val="fr-CH"/>
        </w:rPr>
        <w:t>’</w:t>
      </w:r>
      <w:r w:rsidRPr="00C50B18">
        <w:rPr>
          <w:bCs/>
          <w:lang w:val="fr-CH"/>
        </w:rPr>
        <w:t xml:space="preserve">auteure </w:t>
      </w:r>
      <w:r w:rsidRPr="00C50B18">
        <w:rPr>
          <w:lang w:val="fr-CH"/>
        </w:rPr>
        <w:t>fait valoir qu</w:t>
      </w:r>
      <w:r>
        <w:rPr>
          <w:lang w:val="fr-CH"/>
        </w:rPr>
        <w:t>’</w:t>
      </w:r>
      <w:r w:rsidRPr="00C50B18">
        <w:rPr>
          <w:lang w:val="fr-CH"/>
        </w:rPr>
        <w:t>en ratifiant le Protocole facultatif se rapportant au Pacte, les États parties reconnaissent que le Comité a compétence</w:t>
      </w:r>
      <w:r w:rsidRPr="00C50B18">
        <w:rPr>
          <w:bCs/>
          <w:lang w:val="fr-CH"/>
        </w:rPr>
        <w:t xml:space="preserve"> pour déterminer s</w:t>
      </w:r>
      <w:r>
        <w:rPr>
          <w:bCs/>
          <w:lang w:val="fr-CH"/>
        </w:rPr>
        <w:t>’</w:t>
      </w:r>
      <w:r w:rsidRPr="00C50B18">
        <w:rPr>
          <w:bCs/>
          <w:lang w:val="fr-CH"/>
        </w:rPr>
        <w:t>il y a eu ou non violation du Pacte («</w:t>
      </w:r>
      <w:r>
        <w:rPr>
          <w:bCs/>
          <w:lang w:val="fr-CH"/>
        </w:rPr>
        <w:t> </w:t>
      </w:r>
      <w:r w:rsidRPr="00C50B18">
        <w:rPr>
          <w:bCs/>
          <w:lang w:val="fr-CH"/>
        </w:rPr>
        <w:t>adopter des constatations</w:t>
      </w:r>
      <w:r>
        <w:rPr>
          <w:bCs/>
          <w:lang w:val="fr-CH"/>
        </w:rPr>
        <w:t> </w:t>
      </w:r>
      <w:r w:rsidRPr="00C50B18">
        <w:rPr>
          <w:bCs/>
          <w:lang w:val="fr-CH"/>
        </w:rPr>
        <w:t>») et, conformément au paragraphe 4 de l</w:t>
      </w:r>
      <w:r>
        <w:rPr>
          <w:bCs/>
          <w:lang w:val="fr-CH"/>
        </w:rPr>
        <w:t>’</w:t>
      </w:r>
      <w:r w:rsidRPr="00C50B18">
        <w:rPr>
          <w:bCs/>
          <w:lang w:val="fr-CH"/>
        </w:rPr>
        <w:t xml:space="preserve">article 40 du Pacte, pour adopter tous les </w:t>
      </w:r>
      <w:r w:rsidRPr="00C50B18">
        <w:rPr>
          <w:lang w:val="fr-CH"/>
        </w:rPr>
        <w:t>rapports et les observations générales qu</w:t>
      </w:r>
      <w:r>
        <w:rPr>
          <w:lang w:val="fr-CH"/>
        </w:rPr>
        <w:t>’</w:t>
      </w:r>
      <w:r w:rsidRPr="00C50B18">
        <w:rPr>
          <w:lang w:val="fr-CH"/>
        </w:rPr>
        <w:t>il jugerait appropriés</w:t>
      </w:r>
      <w:r w:rsidRPr="00C50B18">
        <w:rPr>
          <w:bCs/>
          <w:lang w:val="fr-CH"/>
        </w:rPr>
        <w:t xml:space="preserve">. Se référant </w:t>
      </w:r>
      <w:r w:rsidRPr="00C50B18">
        <w:rPr>
          <w:lang w:val="fr-CH"/>
        </w:rPr>
        <w:t>à l</w:t>
      </w:r>
      <w:r>
        <w:rPr>
          <w:lang w:val="fr-CH"/>
        </w:rPr>
        <w:t>’</w:t>
      </w:r>
      <w:r w:rsidRPr="00C50B18">
        <w:rPr>
          <w:lang w:val="fr-CH"/>
        </w:rPr>
        <w:t>Observation générale n</w:t>
      </w:r>
      <w:r w:rsidRPr="00C50B18">
        <w:rPr>
          <w:vertAlign w:val="superscript"/>
          <w:lang w:val="fr-CH"/>
        </w:rPr>
        <w:t>o</w:t>
      </w:r>
      <w:r w:rsidRPr="00C50B18">
        <w:rPr>
          <w:lang w:val="fr-CH"/>
        </w:rPr>
        <w:t> </w:t>
      </w:r>
      <w:r w:rsidRPr="00C50B18">
        <w:rPr>
          <w:bCs/>
          <w:lang w:val="fr-CH"/>
        </w:rPr>
        <w:t>33 (2008) sur les obligations des États parties en vertu du Protocole facultatif se rapportant au Pacte international relatif aux droits civils et politiques, l</w:t>
      </w:r>
      <w:r>
        <w:rPr>
          <w:bCs/>
          <w:lang w:val="fr-CH"/>
        </w:rPr>
        <w:t>’</w:t>
      </w:r>
      <w:r w:rsidRPr="00C50B18">
        <w:rPr>
          <w:bCs/>
          <w:lang w:val="fr-CH"/>
        </w:rPr>
        <w:t xml:space="preserve">auteure fait observer </w:t>
      </w:r>
      <w:r>
        <w:rPr>
          <w:lang w:val="fr-CH"/>
        </w:rPr>
        <w:t>que le paragraphe </w:t>
      </w:r>
      <w:r w:rsidRPr="00C50B18">
        <w:rPr>
          <w:lang w:val="fr-CH"/>
        </w:rPr>
        <w:t>13 se lit comme suit</w:t>
      </w:r>
      <w:r>
        <w:rPr>
          <w:lang w:val="fr-CH"/>
        </w:rPr>
        <w:t> : « L</w:t>
      </w:r>
      <w:r w:rsidRPr="00C50B18">
        <w:rPr>
          <w:lang w:val="fr-CH"/>
        </w:rPr>
        <w:t>es constatations du Comité au titre du Protocole facultatif constituent une décision qui fait autorité, rendue par l</w:t>
      </w:r>
      <w:r>
        <w:rPr>
          <w:lang w:val="fr-CH"/>
        </w:rPr>
        <w:t>’</w:t>
      </w:r>
      <w:r w:rsidRPr="00C50B18">
        <w:rPr>
          <w:lang w:val="fr-CH"/>
        </w:rPr>
        <w:t>organe institué en vertu du Pacte lui-même et chargé d</w:t>
      </w:r>
      <w:r>
        <w:rPr>
          <w:lang w:val="fr-CH"/>
        </w:rPr>
        <w:t>’</w:t>
      </w:r>
      <w:r w:rsidRPr="00C50B18">
        <w:rPr>
          <w:lang w:val="fr-CH"/>
        </w:rPr>
        <w:t>interpréter cet instrument. Ces constatations tiennent leur caractère, et l</w:t>
      </w:r>
      <w:r>
        <w:rPr>
          <w:lang w:val="fr-CH"/>
        </w:rPr>
        <w:t>’</w:t>
      </w:r>
      <w:r w:rsidRPr="00C50B18">
        <w:rPr>
          <w:lang w:val="fr-CH"/>
        </w:rPr>
        <w:t>importance qui s</w:t>
      </w:r>
      <w:r>
        <w:rPr>
          <w:lang w:val="fr-CH"/>
        </w:rPr>
        <w:t>’</w:t>
      </w:r>
      <w:r w:rsidRPr="00C50B18">
        <w:rPr>
          <w:lang w:val="fr-CH"/>
        </w:rPr>
        <w:t>y attache, du fait que le rôle conféré au Comité en vertu du Pacte et du Protocole facultatif forme un tout.</w:t>
      </w:r>
      <w:r>
        <w:rPr>
          <w:lang w:val="fr-CH"/>
        </w:rPr>
        <w:t> </w:t>
      </w:r>
      <w:r w:rsidRPr="00C50B18">
        <w:rPr>
          <w:lang w:val="fr-CH"/>
        </w:rPr>
        <w:t>».</w:t>
      </w:r>
    </w:p>
    <w:p w14:paraId="41FC1C44" w14:textId="77777777" w:rsidR="00AF780E" w:rsidRPr="00C50B18" w:rsidRDefault="00AF780E" w:rsidP="00AF780E">
      <w:pPr>
        <w:pStyle w:val="SingleTxt"/>
        <w:rPr>
          <w:bCs/>
          <w:lang w:val="fr-CH"/>
        </w:rPr>
      </w:pPr>
      <w:r w:rsidRPr="00C50B18">
        <w:rPr>
          <w:bCs/>
          <w:lang w:val="fr-CH"/>
        </w:rPr>
        <w:t>5.2</w:t>
      </w:r>
      <w:r w:rsidRPr="00C50B18">
        <w:rPr>
          <w:bCs/>
          <w:lang w:val="fr-CH"/>
        </w:rPr>
        <w:tab/>
        <w:t>L</w:t>
      </w:r>
      <w:r>
        <w:rPr>
          <w:bCs/>
          <w:lang w:val="fr-CH"/>
        </w:rPr>
        <w:t>’</w:t>
      </w:r>
      <w:r w:rsidRPr="00C50B18">
        <w:rPr>
          <w:bCs/>
          <w:lang w:val="fr-CH"/>
        </w:rPr>
        <w:t xml:space="preserve">auteure considère que, compte tenu de ce qui précède, </w:t>
      </w:r>
      <w:r w:rsidRPr="00C50B18">
        <w:rPr>
          <w:lang w:val="fr-CH"/>
        </w:rPr>
        <w:t>l</w:t>
      </w:r>
      <w:r>
        <w:rPr>
          <w:lang w:val="fr-CH"/>
        </w:rPr>
        <w:t>’</w:t>
      </w:r>
      <w:r w:rsidRPr="00C50B18">
        <w:rPr>
          <w:lang w:val="fr-CH"/>
        </w:rPr>
        <w:t xml:space="preserve">État partie doit respecter non seulement les décisions du Comité, mais également son règlement intérieur, ses pratiques et ses méthodes de travail, conformément au </w:t>
      </w:r>
      <w:r w:rsidRPr="00C50B18">
        <w:rPr>
          <w:bCs/>
          <w:lang w:val="fr-CH"/>
        </w:rPr>
        <w:t>principe « </w:t>
      </w:r>
      <w:r w:rsidRPr="00C50B18">
        <w:rPr>
          <w:bCs/>
          <w:i/>
          <w:lang w:val="fr-CH"/>
        </w:rPr>
        <w:t>pacta sunt servanda</w:t>
      </w:r>
      <w:r w:rsidRPr="00C50B18">
        <w:rPr>
          <w:bCs/>
          <w:iCs/>
          <w:lang w:val="fr-CH"/>
        </w:rPr>
        <w:t> »</w:t>
      </w:r>
      <w:r w:rsidRPr="00C50B18">
        <w:rPr>
          <w:bCs/>
          <w:lang w:val="fr-CH"/>
        </w:rPr>
        <w:t>, selon lequel les États parties doivent respecter leurs obligations en vertu du droit international.</w:t>
      </w:r>
    </w:p>
    <w:p w14:paraId="7FD5447A" w14:textId="77777777" w:rsidR="00AF780E" w:rsidRPr="00C50B18" w:rsidRDefault="00AF780E" w:rsidP="00AF780E">
      <w:pPr>
        <w:pStyle w:val="SingleTxt"/>
        <w:rPr>
          <w:lang w:val="fr-CH"/>
        </w:rPr>
      </w:pPr>
      <w:r w:rsidRPr="00C50B18">
        <w:rPr>
          <w:lang w:val="fr-CH"/>
        </w:rPr>
        <w:t>5.3</w:t>
      </w:r>
      <w:r w:rsidRPr="00C50B18">
        <w:rPr>
          <w:lang w:val="fr-CH"/>
        </w:rPr>
        <w:tab/>
        <w:t>Concernant l</w:t>
      </w:r>
      <w:r>
        <w:rPr>
          <w:lang w:val="fr-CH"/>
        </w:rPr>
        <w:t>’</w:t>
      </w:r>
      <w:r w:rsidRPr="00C50B18">
        <w:rPr>
          <w:lang w:val="fr-CH"/>
        </w:rPr>
        <w:t>argument de l</w:t>
      </w:r>
      <w:r>
        <w:rPr>
          <w:lang w:val="fr-CH"/>
        </w:rPr>
        <w:t>’</w:t>
      </w:r>
      <w:r w:rsidRPr="00C50B18">
        <w:rPr>
          <w:lang w:val="fr-CH"/>
        </w:rPr>
        <w:t>État partie selon lequel les voies de recours internes n</w:t>
      </w:r>
      <w:r>
        <w:rPr>
          <w:lang w:val="fr-CH"/>
        </w:rPr>
        <w:t>’</w:t>
      </w:r>
      <w:r w:rsidRPr="00C50B18">
        <w:rPr>
          <w:lang w:val="fr-CH"/>
        </w:rPr>
        <w:t>ont pas été épuisées, en particulier la procédure de contrôle devant la Cour suprême, l</w:t>
      </w:r>
      <w:r>
        <w:rPr>
          <w:lang w:val="fr-CH"/>
        </w:rPr>
        <w:t>’</w:t>
      </w:r>
      <w:r w:rsidRPr="00C50B18">
        <w:rPr>
          <w:lang w:val="fr-CH"/>
        </w:rPr>
        <w:t>auteure fait valoir que cette procédure est discrétionnaire et ne peut être considérée comme utile. Elle fait observer que l</w:t>
      </w:r>
      <w:r>
        <w:rPr>
          <w:lang w:val="fr-CH"/>
        </w:rPr>
        <w:t>’</w:t>
      </w:r>
      <w:r w:rsidRPr="00C50B18">
        <w:rPr>
          <w:lang w:val="fr-CH"/>
        </w:rPr>
        <w:t>État partie a lui-même reconnu l</w:t>
      </w:r>
      <w:r>
        <w:rPr>
          <w:lang w:val="fr-CH"/>
        </w:rPr>
        <w:t>’</w:t>
      </w:r>
      <w:r w:rsidRPr="00C50B18">
        <w:rPr>
          <w:lang w:val="fr-CH"/>
        </w:rPr>
        <w:t>inefficacité de cette procédure, qui est telle qu</w:t>
      </w:r>
      <w:r>
        <w:rPr>
          <w:lang w:val="fr-CH"/>
        </w:rPr>
        <w:t>’</w:t>
      </w:r>
      <w:r w:rsidRPr="00C50B18">
        <w:rPr>
          <w:lang w:val="fr-CH"/>
        </w:rPr>
        <w:t>une personne condamnée à la peine capitale a été exécutée alors que la procédure de contrôle qu</w:t>
      </w:r>
      <w:r>
        <w:rPr>
          <w:lang w:val="fr-CH"/>
        </w:rPr>
        <w:t>’</w:t>
      </w:r>
      <w:r w:rsidRPr="00C50B18">
        <w:rPr>
          <w:lang w:val="fr-CH"/>
        </w:rPr>
        <w:t>elle avait introduite devant la Cour suprême du Bélarus était encore en cours d</w:t>
      </w:r>
      <w:r>
        <w:rPr>
          <w:lang w:val="fr-CH"/>
        </w:rPr>
        <w:t>’</w:t>
      </w:r>
      <w:r w:rsidRPr="00C50B18">
        <w:rPr>
          <w:lang w:val="fr-CH"/>
        </w:rPr>
        <w:t>examen.</w:t>
      </w:r>
    </w:p>
    <w:p w14:paraId="33B0EC1D" w14:textId="77777777" w:rsidR="00AF780E" w:rsidRPr="00C50B18" w:rsidRDefault="00AF780E" w:rsidP="00AF780E">
      <w:pPr>
        <w:pStyle w:val="SingleTxt"/>
        <w:spacing w:after="0" w:line="120" w:lineRule="exact"/>
        <w:rPr>
          <w:sz w:val="10"/>
          <w:lang w:val="fr-CH"/>
        </w:rPr>
      </w:pPr>
    </w:p>
    <w:p w14:paraId="255EEEAD" w14:textId="77777777" w:rsidR="00AF780E" w:rsidRPr="00C50B18" w:rsidRDefault="00AF780E" w:rsidP="00AF780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Délibérations du Comité</w:t>
      </w:r>
    </w:p>
    <w:p w14:paraId="45F72A08" w14:textId="77777777" w:rsidR="00AF780E" w:rsidRPr="00C50B18" w:rsidRDefault="00AF780E" w:rsidP="00AF780E">
      <w:pPr>
        <w:pStyle w:val="SingleTxt"/>
        <w:spacing w:after="0" w:line="120" w:lineRule="exact"/>
        <w:rPr>
          <w:sz w:val="10"/>
          <w:lang w:val="fr-CH"/>
        </w:rPr>
      </w:pPr>
    </w:p>
    <w:p w14:paraId="36143DD0" w14:textId="77777777" w:rsidR="00AF780E" w:rsidRPr="00C50B18" w:rsidRDefault="00AF780E" w:rsidP="00AF780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Défaut de coopération de l</w:t>
      </w:r>
      <w:r>
        <w:rPr>
          <w:lang w:val="fr-CH"/>
        </w:rPr>
        <w:t>’</w:t>
      </w:r>
      <w:r w:rsidRPr="00C50B18">
        <w:rPr>
          <w:lang w:val="fr-CH"/>
        </w:rPr>
        <w:t>État partie</w:t>
      </w:r>
    </w:p>
    <w:p w14:paraId="41942449" w14:textId="77777777" w:rsidR="00AF780E" w:rsidRPr="00C50B18" w:rsidRDefault="00AF780E" w:rsidP="00AF780E">
      <w:pPr>
        <w:pStyle w:val="SingleTxt"/>
        <w:spacing w:after="0" w:line="120" w:lineRule="exact"/>
        <w:rPr>
          <w:sz w:val="10"/>
          <w:lang w:val="fr-CH"/>
        </w:rPr>
      </w:pPr>
    </w:p>
    <w:p w14:paraId="6B40E88C" w14:textId="77777777" w:rsidR="00AF780E" w:rsidRPr="00C50B18" w:rsidRDefault="00AF780E" w:rsidP="00AF780E">
      <w:pPr>
        <w:pStyle w:val="SingleTxt"/>
        <w:rPr>
          <w:lang w:val="fr-CH"/>
        </w:rPr>
      </w:pPr>
      <w:r w:rsidRPr="00C50B18">
        <w:rPr>
          <w:lang w:val="fr-CH"/>
        </w:rPr>
        <w:t>6.1</w:t>
      </w:r>
      <w:r w:rsidRPr="00C50B18">
        <w:rPr>
          <w:lang w:val="fr-CH"/>
        </w:rPr>
        <w:tab/>
        <w:t>Le Comité prend note de l</w:t>
      </w:r>
      <w:r>
        <w:rPr>
          <w:lang w:val="fr-CH"/>
        </w:rPr>
        <w:t>’</w:t>
      </w:r>
      <w:r w:rsidRPr="00C50B18">
        <w:rPr>
          <w:lang w:val="fr-CH"/>
        </w:rPr>
        <w:t>objection de l</w:t>
      </w:r>
      <w:r>
        <w:rPr>
          <w:lang w:val="fr-CH"/>
        </w:rPr>
        <w:t>’</w:t>
      </w:r>
      <w:r w:rsidRPr="00C50B18">
        <w:rPr>
          <w:lang w:val="fr-CH"/>
        </w:rPr>
        <w:t>État partie, qui affirme qu</w:t>
      </w:r>
      <w:r>
        <w:rPr>
          <w:lang w:val="fr-CH"/>
        </w:rPr>
        <w:t>’</w:t>
      </w:r>
      <w:r w:rsidRPr="00C50B18">
        <w:rPr>
          <w:lang w:val="fr-CH"/>
        </w:rPr>
        <w:t>aucun motif de droit ne justifie l</w:t>
      </w:r>
      <w:r>
        <w:rPr>
          <w:lang w:val="fr-CH"/>
        </w:rPr>
        <w:t>’</w:t>
      </w:r>
      <w:r w:rsidRPr="00C50B18">
        <w:rPr>
          <w:lang w:val="fr-CH"/>
        </w:rPr>
        <w:t>examen de la communication présentée par l</w:t>
      </w:r>
      <w:r>
        <w:rPr>
          <w:lang w:val="fr-CH"/>
        </w:rPr>
        <w:t>’</w:t>
      </w:r>
      <w:r w:rsidRPr="00C50B18">
        <w:rPr>
          <w:lang w:val="fr-CH"/>
        </w:rPr>
        <w:t>auteure puisqu</w:t>
      </w:r>
      <w:r>
        <w:rPr>
          <w:lang w:val="fr-CH"/>
        </w:rPr>
        <w:t>’</w:t>
      </w:r>
      <w:r w:rsidRPr="00C50B18">
        <w:rPr>
          <w:lang w:val="fr-CH"/>
        </w:rPr>
        <w:t>elle a été enregistrée en violation des dispositions du Protocole facultatif, qu</w:t>
      </w:r>
      <w:r>
        <w:rPr>
          <w:lang w:val="fr-CH"/>
        </w:rPr>
        <w:t>’</w:t>
      </w:r>
      <w:r w:rsidRPr="00C50B18">
        <w:rPr>
          <w:lang w:val="fr-CH"/>
        </w:rPr>
        <w:t>il n</w:t>
      </w:r>
      <w:r>
        <w:rPr>
          <w:lang w:val="fr-CH"/>
        </w:rPr>
        <w:t>’</w:t>
      </w:r>
      <w:r w:rsidRPr="00C50B18">
        <w:rPr>
          <w:lang w:val="fr-CH"/>
        </w:rPr>
        <w:t>est pas tenu d</w:t>
      </w:r>
      <w:r>
        <w:rPr>
          <w:lang w:val="fr-CH"/>
        </w:rPr>
        <w:t>’</w:t>
      </w:r>
      <w:r w:rsidRPr="00C50B18">
        <w:rPr>
          <w:lang w:val="fr-CH"/>
        </w:rPr>
        <w:t>accepter le règlement intérieur du Comité ni l</w:t>
      </w:r>
      <w:r>
        <w:rPr>
          <w:lang w:val="fr-CH"/>
        </w:rPr>
        <w:t>’</w:t>
      </w:r>
      <w:r w:rsidRPr="00C50B18">
        <w:rPr>
          <w:lang w:val="fr-CH"/>
        </w:rPr>
        <w:t>interprétation donnée par celui-ci des dispositions du Protocole facultatif et que, si une décision est adoptée par le Comité en l</w:t>
      </w:r>
      <w:r>
        <w:rPr>
          <w:lang w:val="fr-CH"/>
        </w:rPr>
        <w:t>’</w:t>
      </w:r>
      <w:r w:rsidRPr="00C50B18">
        <w:rPr>
          <w:lang w:val="fr-CH"/>
        </w:rPr>
        <w:t>espèce, elle sera considérée par les autorités comme « nulle et non avenue ».</w:t>
      </w:r>
    </w:p>
    <w:p w14:paraId="34262F82" w14:textId="77777777" w:rsidR="00AF780E" w:rsidRPr="00C50B18" w:rsidRDefault="00AF780E" w:rsidP="00AF780E">
      <w:pPr>
        <w:pStyle w:val="SingleTxt"/>
        <w:rPr>
          <w:lang w:val="fr-CH"/>
        </w:rPr>
      </w:pPr>
      <w:r w:rsidRPr="00C50B18">
        <w:rPr>
          <w:lang w:val="fr-CH"/>
        </w:rPr>
        <w:t>6.2</w:t>
      </w:r>
      <w:r w:rsidRPr="00C50B18">
        <w:rPr>
          <w:lang w:val="fr-CH"/>
        </w:rPr>
        <w:tab/>
        <w:t>Le Comité rappelle que le paragraphe 2 de l</w:t>
      </w:r>
      <w:r>
        <w:rPr>
          <w:lang w:val="fr-CH"/>
        </w:rPr>
        <w:t>’</w:t>
      </w:r>
      <w:r w:rsidRPr="00C50B18">
        <w:rPr>
          <w:lang w:val="fr-CH"/>
        </w:rPr>
        <w:t>article 39 du Pacte l</w:t>
      </w:r>
      <w:r>
        <w:rPr>
          <w:lang w:val="fr-CH"/>
        </w:rPr>
        <w:t>’</w:t>
      </w:r>
      <w:r w:rsidRPr="00C50B18">
        <w:rPr>
          <w:lang w:val="fr-CH"/>
        </w:rPr>
        <w:t>autorise à établir son propre règlement intérieur, que les États parties ont accepté de reconnaître. Il ajoute que tout État partie au Pacte qui adhère au Protocole facultatif reconnaît que le Comité des droits de l</w:t>
      </w:r>
      <w:r>
        <w:rPr>
          <w:lang w:val="fr-CH"/>
        </w:rPr>
        <w:t>’</w:t>
      </w:r>
      <w:r w:rsidRPr="00C50B18">
        <w:rPr>
          <w:lang w:val="fr-CH"/>
        </w:rPr>
        <w:t>homme a compétence pour recevoir et examiner des communications émanant de particuliers qui se déclarent victimes de violations de l</w:t>
      </w:r>
      <w:r>
        <w:rPr>
          <w:lang w:val="fr-CH"/>
        </w:rPr>
        <w:t>’</w:t>
      </w:r>
      <w:r w:rsidRPr="00C50B18">
        <w:rPr>
          <w:lang w:val="fr-CH"/>
        </w:rPr>
        <w:t>un quelconque des droits énoncés dans le Pacte (préambule et art. 1</w:t>
      </w:r>
      <w:r w:rsidRPr="00C50B18">
        <w:rPr>
          <w:vertAlign w:val="superscript"/>
          <w:lang w:val="fr-CH"/>
        </w:rPr>
        <w:t>er</w:t>
      </w:r>
      <w:r w:rsidRPr="00C50B18">
        <w:rPr>
          <w:lang w:val="fr-CH"/>
        </w:rPr>
        <w:t>). En adhérant au Protocole facultatif, les États parties s</w:t>
      </w:r>
      <w:r>
        <w:rPr>
          <w:lang w:val="fr-CH"/>
        </w:rPr>
        <w:t>’</w:t>
      </w:r>
      <w:r w:rsidRPr="00C50B18">
        <w:rPr>
          <w:lang w:val="fr-CH"/>
        </w:rPr>
        <w:t>engagent implicitement à coopérer de bonne foi avec le Comité pour lui permettre, en lui en donnant les moyens, d</w:t>
      </w:r>
      <w:r>
        <w:rPr>
          <w:lang w:val="fr-CH"/>
        </w:rPr>
        <w:t>’</w:t>
      </w:r>
      <w:r w:rsidRPr="00C50B18">
        <w:rPr>
          <w:lang w:val="fr-CH"/>
        </w:rPr>
        <w:t>examiner les communications qui lui sont soumises et, après l</w:t>
      </w:r>
      <w:r>
        <w:rPr>
          <w:lang w:val="fr-CH"/>
        </w:rPr>
        <w:t>’</w:t>
      </w:r>
      <w:r w:rsidRPr="00C50B18">
        <w:rPr>
          <w:lang w:val="fr-CH"/>
        </w:rPr>
        <w:t>examen, de faire part de ses constatations à l</w:t>
      </w:r>
      <w:r>
        <w:rPr>
          <w:lang w:val="fr-CH"/>
        </w:rPr>
        <w:t>’</w:t>
      </w:r>
      <w:r w:rsidRPr="00C50B18">
        <w:rPr>
          <w:lang w:val="fr-CH"/>
        </w:rPr>
        <w:t>État partie et au</w:t>
      </w:r>
      <w:r>
        <w:rPr>
          <w:lang w:val="fr-CH"/>
        </w:rPr>
        <w:t xml:space="preserve">x intéressés (art. 5, par. 1 et </w:t>
      </w:r>
      <w:r w:rsidRPr="00C50B18">
        <w:rPr>
          <w:lang w:val="fr-CH"/>
        </w:rPr>
        <w:t>4). Pour un État partie, l</w:t>
      </w:r>
      <w:r>
        <w:rPr>
          <w:lang w:val="fr-CH"/>
        </w:rPr>
        <w:t>’</w:t>
      </w:r>
      <w:r w:rsidRPr="00C50B18">
        <w:rPr>
          <w:lang w:val="fr-CH"/>
        </w:rPr>
        <w:t>adoption d</w:t>
      </w:r>
      <w:r>
        <w:rPr>
          <w:lang w:val="fr-CH"/>
        </w:rPr>
        <w:t>’</w:t>
      </w:r>
      <w:r w:rsidRPr="00C50B18">
        <w:rPr>
          <w:lang w:val="fr-CH"/>
        </w:rPr>
        <w:t>une mesure quelle qu</w:t>
      </w:r>
      <w:r>
        <w:rPr>
          <w:lang w:val="fr-CH"/>
        </w:rPr>
        <w:t>’</w:t>
      </w:r>
      <w:r w:rsidRPr="00C50B18">
        <w:rPr>
          <w:lang w:val="fr-CH"/>
        </w:rPr>
        <w:t>elle soit qui empêche le Comité de prendre connaissance d</w:t>
      </w:r>
      <w:r>
        <w:rPr>
          <w:lang w:val="fr-CH"/>
        </w:rPr>
        <w:t>’</w:t>
      </w:r>
      <w:r w:rsidRPr="00C50B18">
        <w:rPr>
          <w:lang w:val="fr-CH"/>
        </w:rPr>
        <w:t>une communication, d</w:t>
      </w:r>
      <w:r>
        <w:rPr>
          <w:lang w:val="fr-CH"/>
        </w:rPr>
        <w:t>’</w:t>
      </w:r>
      <w:r w:rsidRPr="00C50B18">
        <w:rPr>
          <w:lang w:val="fr-CH"/>
        </w:rPr>
        <w:t>en mener l</w:t>
      </w:r>
      <w:r>
        <w:rPr>
          <w:lang w:val="fr-CH"/>
        </w:rPr>
        <w:t>’</w:t>
      </w:r>
      <w:r w:rsidRPr="00C50B18">
        <w:rPr>
          <w:lang w:val="fr-CH"/>
        </w:rPr>
        <w:t xml:space="preserve">examen à bonne fin et de faire part de ses constatations est incompatible avec </w:t>
      </w:r>
      <w:r>
        <w:rPr>
          <w:lang w:val="fr-CH"/>
        </w:rPr>
        <w:t>c</w:t>
      </w:r>
      <w:r w:rsidRPr="00C50B18">
        <w:rPr>
          <w:lang w:val="fr-CH"/>
        </w:rPr>
        <w:t>es obligations</w:t>
      </w:r>
      <w:r w:rsidRPr="000C45A4">
        <w:rPr>
          <w:rStyle w:val="FootnoteReference"/>
          <w:lang w:val="fr-CH"/>
        </w:rPr>
        <w:footnoteReference w:id="4"/>
      </w:r>
      <w:r w:rsidRPr="00C50B18">
        <w:rPr>
          <w:lang w:val="fr-CH"/>
        </w:rPr>
        <w:t>. C</w:t>
      </w:r>
      <w:r>
        <w:rPr>
          <w:lang w:val="fr-CH"/>
        </w:rPr>
        <w:t>’</w:t>
      </w:r>
      <w:r w:rsidRPr="00C50B18">
        <w:rPr>
          <w:lang w:val="fr-CH"/>
        </w:rPr>
        <w:t>est au Comité qu</w:t>
      </w:r>
      <w:r>
        <w:rPr>
          <w:lang w:val="fr-CH"/>
        </w:rPr>
        <w:t>’</w:t>
      </w:r>
      <w:r w:rsidRPr="00C50B18">
        <w:rPr>
          <w:lang w:val="fr-CH"/>
        </w:rPr>
        <w:t>il appartient de déterminer si une communication doit être enregistrée. Le Comité relève que, en n</w:t>
      </w:r>
      <w:r>
        <w:rPr>
          <w:lang w:val="fr-CH"/>
        </w:rPr>
        <w:t>’</w:t>
      </w:r>
      <w:r w:rsidRPr="00C50B18">
        <w:rPr>
          <w:lang w:val="fr-CH"/>
        </w:rPr>
        <w:t>acceptant pas sa décision relative à l</w:t>
      </w:r>
      <w:r>
        <w:rPr>
          <w:lang w:val="fr-CH"/>
        </w:rPr>
        <w:t>’</w:t>
      </w:r>
      <w:r w:rsidRPr="00C50B18">
        <w:rPr>
          <w:lang w:val="fr-CH"/>
        </w:rPr>
        <w:t>opportunité d</w:t>
      </w:r>
      <w:r>
        <w:rPr>
          <w:lang w:val="fr-CH"/>
        </w:rPr>
        <w:t>’</w:t>
      </w:r>
      <w:r w:rsidRPr="00C50B18">
        <w:rPr>
          <w:lang w:val="fr-CH"/>
        </w:rPr>
        <w:t>enregistrer une communication et en déclarant à l</w:t>
      </w:r>
      <w:r>
        <w:rPr>
          <w:lang w:val="fr-CH"/>
        </w:rPr>
        <w:t>’</w:t>
      </w:r>
      <w:r w:rsidRPr="00C50B18">
        <w:rPr>
          <w:lang w:val="fr-CH"/>
        </w:rPr>
        <w:t>avance qu</w:t>
      </w:r>
      <w:r>
        <w:rPr>
          <w:lang w:val="fr-CH"/>
        </w:rPr>
        <w:t>’</w:t>
      </w:r>
      <w:r w:rsidRPr="00C50B18">
        <w:rPr>
          <w:lang w:val="fr-CH"/>
        </w:rPr>
        <w:t>il n</w:t>
      </w:r>
      <w:r>
        <w:rPr>
          <w:lang w:val="fr-CH"/>
        </w:rPr>
        <w:t>’</w:t>
      </w:r>
      <w:r w:rsidRPr="00C50B18">
        <w:rPr>
          <w:lang w:val="fr-CH"/>
        </w:rPr>
        <w:t>acceptera pas la décision du Comité concernant la recevabilité et le fond des communications, l</w:t>
      </w:r>
      <w:r>
        <w:rPr>
          <w:lang w:val="fr-CH"/>
        </w:rPr>
        <w:t>’</w:t>
      </w:r>
      <w:r w:rsidRPr="00C50B18">
        <w:rPr>
          <w:lang w:val="fr-CH"/>
        </w:rPr>
        <w:t>État partie viole les obligations qui lui incombent au titre de l</w:t>
      </w:r>
      <w:r>
        <w:rPr>
          <w:lang w:val="fr-CH"/>
        </w:rPr>
        <w:t>’</w:t>
      </w:r>
      <w:r w:rsidRPr="00C50B18">
        <w:rPr>
          <w:lang w:val="fr-CH"/>
        </w:rPr>
        <w:t>article premier du Protocole facultatif</w:t>
      </w:r>
      <w:r w:rsidRPr="000C45A4">
        <w:rPr>
          <w:rStyle w:val="FootnoteReference"/>
          <w:lang w:val="fr-CH"/>
        </w:rPr>
        <w:footnoteReference w:id="5"/>
      </w:r>
      <w:r w:rsidRPr="00C50B18">
        <w:rPr>
          <w:lang w:val="fr-CH"/>
        </w:rPr>
        <w:t>.</w:t>
      </w:r>
    </w:p>
    <w:p w14:paraId="37F95064" w14:textId="77777777" w:rsidR="00AF780E" w:rsidRPr="00C50B18" w:rsidRDefault="00AF780E" w:rsidP="00AF780E">
      <w:pPr>
        <w:pStyle w:val="SingleTxt"/>
        <w:spacing w:after="0" w:line="120" w:lineRule="exact"/>
        <w:rPr>
          <w:sz w:val="10"/>
          <w:lang w:val="fr-CH"/>
        </w:rPr>
      </w:pPr>
    </w:p>
    <w:p w14:paraId="728DCEB6" w14:textId="77777777" w:rsidR="00AF780E" w:rsidRPr="00C50B18" w:rsidRDefault="00AF780E" w:rsidP="00AF780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Examen de la recevabilité</w:t>
      </w:r>
    </w:p>
    <w:p w14:paraId="454019C6" w14:textId="77777777" w:rsidR="00AF780E" w:rsidRPr="00C50B18" w:rsidRDefault="00AF780E" w:rsidP="00AF780E">
      <w:pPr>
        <w:pStyle w:val="SingleTxt"/>
        <w:spacing w:after="0" w:line="120" w:lineRule="exact"/>
        <w:rPr>
          <w:sz w:val="10"/>
          <w:lang w:val="fr-CH"/>
        </w:rPr>
      </w:pPr>
    </w:p>
    <w:p w14:paraId="47298BEF" w14:textId="77777777" w:rsidR="00AF780E" w:rsidRPr="00C50B18" w:rsidRDefault="00AF780E" w:rsidP="00AF780E">
      <w:pPr>
        <w:pStyle w:val="SingleTxt"/>
        <w:rPr>
          <w:lang w:val="fr-CH"/>
        </w:rPr>
      </w:pPr>
      <w:r w:rsidRPr="00C50B18">
        <w:rPr>
          <w:bCs/>
          <w:lang w:val="fr-CH"/>
        </w:rPr>
        <w:t>7.1</w:t>
      </w:r>
      <w:r w:rsidRPr="00C50B18">
        <w:rPr>
          <w:bCs/>
          <w:lang w:val="fr-CH"/>
        </w:rPr>
        <w:tab/>
      </w:r>
      <w:r w:rsidRPr="00C50B18">
        <w:rPr>
          <w:lang w:val="fr-CH"/>
        </w:rPr>
        <w:t>Avant d</w:t>
      </w:r>
      <w:r>
        <w:rPr>
          <w:lang w:val="fr-CH"/>
        </w:rPr>
        <w:t>’</w:t>
      </w:r>
      <w:r w:rsidRPr="00C50B18">
        <w:rPr>
          <w:lang w:val="fr-CH"/>
        </w:rPr>
        <w:t>examiner toute plainte soumise dans une communication, le Comité doit, conformément à l</w:t>
      </w:r>
      <w:r>
        <w:rPr>
          <w:lang w:val="fr-CH"/>
        </w:rPr>
        <w:t>’</w:t>
      </w:r>
      <w:r w:rsidRPr="00C50B18">
        <w:rPr>
          <w:lang w:val="fr-CH"/>
        </w:rPr>
        <w:t>article 93 de son règlement intérieur, déterminer si la communication est recevable en vertu du Protocole facultatif se rapportant au Pacte.</w:t>
      </w:r>
    </w:p>
    <w:p w14:paraId="1FEA22D9" w14:textId="77777777" w:rsidR="00AF780E" w:rsidRPr="00C50B18" w:rsidRDefault="00AF780E" w:rsidP="00AF780E">
      <w:pPr>
        <w:pStyle w:val="SingleTxt"/>
        <w:rPr>
          <w:bCs/>
          <w:lang w:val="fr-CH"/>
        </w:rPr>
      </w:pPr>
      <w:r w:rsidRPr="00C50B18">
        <w:rPr>
          <w:bCs/>
          <w:lang w:val="fr-CH"/>
        </w:rPr>
        <w:t>7.2</w:t>
      </w:r>
      <w:r w:rsidRPr="00C50B18">
        <w:rPr>
          <w:bCs/>
          <w:lang w:val="fr-CH"/>
        </w:rPr>
        <w:tab/>
      </w:r>
      <w:r w:rsidRPr="00C50B18">
        <w:rPr>
          <w:lang w:val="fr-CH"/>
        </w:rPr>
        <w:t>Le Comité s</w:t>
      </w:r>
      <w:r>
        <w:rPr>
          <w:lang w:val="fr-CH"/>
        </w:rPr>
        <w:t>’</w:t>
      </w:r>
      <w:r w:rsidRPr="00C50B18">
        <w:rPr>
          <w:lang w:val="fr-CH"/>
        </w:rPr>
        <w:t>est assuré, comme il est tenu de le faire conformément aux dispositions du paragraphe 2 a) de l</w:t>
      </w:r>
      <w:r>
        <w:rPr>
          <w:lang w:val="fr-CH"/>
        </w:rPr>
        <w:t>’</w:t>
      </w:r>
      <w:r w:rsidRPr="00C50B18">
        <w:rPr>
          <w:lang w:val="fr-CH"/>
        </w:rPr>
        <w:t>article 5 du Protocole facultatif, que la même affaire n</w:t>
      </w:r>
      <w:r>
        <w:rPr>
          <w:lang w:val="fr-CH"/>
        </w:rPr>
        <w:t>’</w:t>
      </w:r>
      <w:r w:rsidRPr="00C50B18">
        <w:rPr>
          <w:lang w:val="fr-CH"/>
        </w:rPr>
        <w:t>était pas en cours d</w:t>
      </w:r>
      <w:r>
        <w:rPr>
          <w:lang w:val="fr-CH"/>
        </w:rPr>
        <w:t>’</w:t>
      </w:r>
      <w:r w:rsidRPr="00C50B18">
        <w:rPr>
          <w:lang w:val="fr-CH"/>
        </w:rPr>
        <w:t>examen devant une autre instance internationale d</w:t>
      </w:r>
      <w:r>
        <w:rPr>
          <w:lang w:val="fr-CH"/>
        </w:rPr>
        <w:t>’</w:t>
      </w:r>
      <w:r w:rsidRPr="00C50B18">
        <w:rPr>
          <w:lang w:val="fr-CH"/>
        </w:rPr>
        <w:t>enquête ou de règlement.</w:t>
      </w:r>
    </w:p>
    <w:p w14:paraId="74479C32" w14:textId="77777777" w:rsidR="00AF780E" w:rsidRPr="00C50B18" w:rsidRDefault="00AF780E" w:rsidP="00AF780E">
      <w:pPr>
        <w:pStyle w:val="SingleTxt"/>
        <w:rPr>
          <w:lang w:val="fr-CH"/>
        </w:rPr>
      </w:pPr>
      <w:r w:rsidRPr="00C50B18">
        <w:rPr>
          <w:bCs/>
          <w:lang w:val="fr-CH"/>
        </w:rPr>
        <w:t>7.3</w:t>
      </w:r>
      <w:r w:rsidRPr="00C50B18">
        <w:rPr>
          <w:bCs/>
          <w:lang w:val="fr-CH"/>
        </w:rPr>
        <w:tab/>
      </w:r>
      <w:r w:rsidRPr="00C50B18">
        <w:rPr>
          <w:lang w:val="fr-CH"/>
        </w:rPr>
        <w:t>Le Comité relève que l</w:t>
      </w:r>
      <w:r>
        <w:rPr>
          <w:lang w:val="fr-CH"/>
        </w:rPr>
        <w:t>’</w:t>
      </w:r>
      <w:r w:rsidRPr="00C50B18">
        <w:rPr>
          <w:lang w:val="fr-CH"/>
        </w:rPr>
        <w:t>État partie a initialement contesté la recevabilité de la communication au motif que les recours internes n</w:t>
      </w:r>
      <w:r>
        <w:rPr>
          <w:lang w:val="fr-CH"/>
        </w:rPr>
        <w:t>’</w:t>
      </w:r>
      <w:r w:rsidRPr="00C50B18">
        <w:rPr>
          <w:lang w:val="fr-CH"/>
        </w:rPr>
        <w:t>avaient pas été épuisés comme l</w:t>
      </w:r>
      <w:r>
        <w:rPr>
          <w:lang w:val="fr-CH"/>
        </w:rPr>
        <w:t>’</w:t>
      </w:r>
      <w:r w:rsidRPr="00C50B18">
        <w:rPr>
          <w:lang w:val="fr-CH"/>
        </w:rPr>
        <w:t>exige le paragraphe 2 b) de l</w:t>
      </w:r>
      <w:r>
        <w:rPr>
          <w:lang w:val="fr-CH"/>
        </w:rPr>
        <w:t>’</w:t>
      </w:r>
      <w:r w:rsidRPr="00C50B18">
        <w:rPr>
          <w:lang w:val="fr-CH"/>
        </w:rPr>
        <w:t>article 5 du Protocole facultatif, vu que l</w:t>
      </w:r>
      <w:r>
        <w:rPr>
          <w:lang w:val="fr-CH"/>
        </w:rPr>
        <w:t>’</w:t>
      </w:r>
      <w:r w:rsidRPr="00C50B18">
        <w:rPr>
          <w:lang w:val="fr-CH"/>
        </w:rPr>
        <w:t>auteure n</w:t>
      </w:r>
      <w:r>
        <w:rPr>
          <w:lang w:val="fr-CH"/>
        </w:rPr>
        <w:t>’</w:t>
      </w:r>
      <w:r w:rsidRPr="00C50B18">
        <w:rPr>
          <w:lang w:val="fr-CH"/>
        </w:rPr>
        <w:t>avait pas saisi le Bureau du Procureur général aux fins de la procédur</w:t>
      </w:r>
      <w:r>
        <w:rPr>
          <w:lang w:val="fr-CH"/>
        </w:rPr>
        <w:t xml:space="preserve">e de contrôle des décisions. Il </w:t>
      </w:r>
      <w:r w:rsidRPr="00C50B18">
        <w:rPr>
          <w:lang w:val="fr-CH"/>
        </w:rPr>
        <w:t>relève en outre que, pour ce motif, l</w:t>
      </w:r>
      <w:r>
        <w:rPr>
          <w:lang w:val="fr-CH"/>
        </w:rPr>
        <w:t>’</w:t>
      </w:r>
      <w:r w:rsidRPr="00C50B18">
        <w:rPr>
          <w:lang w:val="fr-CH"/>
        </w:rPr>
        <w:t>État partie a contesté l</w:t>
      </w:r>
      <w:r>
        <w:rPr>
          <w:lang w:val="fr-CH"/>
        </w:rPr>
        <w:t>’</w:t>
      </w:r>
      <w:r w:rsidRPr="00C50B18">
        <w:rPr>
          <w:lang w:val="fr-CH"/>
        </w:rPr>
        <w:t>enregistrement de la communication puisqu</w:t>
      </w:r>
      <w:r>
        <w:rPr>
          <w:lang w:val="fr-CH"/>
        </w:rPr>
        <w:t>’</w:t>
      </w:r>
      <w:r w:rsidRPr="00C50B18">
        <w:rPr>
          <w:lang w:val="fr-CH"/>
        </w:rPr>
        <w:t>il avait eu lieu avant l</w:t>
      </w:r>
      <w:r>
        <w:rPr>
          <w:lang w:val="fr-CH"/>
        </w:rPr>
        <w:t>’</w:t>
      </w:r>
      <w:r w:rsidRPr="00C50B18">
        <w:rPr>
          <w:lang w:val="fr-CH"/>
        </w:rPr>
        <w:t>épuisement de « tous les recours internes ». Le Comité renvoie à sa jurisprudence et rappelle que la procédure de contrôle de l</w:t>
      </w:r>
      <w:r>
        <w:rPr>
          <w:lang w:val="fr-CH"/>
        </w:rPr>
        <w:t>’</w:t>
      </w:r>
      <w:r w:rsidRPr="00C50B18">
        <w:rPr>
          <w:lang w:val="fr-CH"/>
        </w:rPr>
        <w:t>État partie devant le Bureau du Procureur général, qui permet le réexamen de décisions de justice devenues exécutoires, ne constitue pas un recours devant être épuisé aux fins du paragraphe 2 b) de l</w:t>
      </w:r>
      <w:r>
        <w:rPr>
          <w:lang w:val="fr-CH"/>
        </w:rPr>
        <w:t>’</w:t>
      </w:r>
      <w:r w:rsidRPr="00C50B18">
        <w:rPr>
          <w:lang w:val="fr-CH"/>
        </w:rPr>
        <w:t>article 5 du Protocole facultatif</w:t>
      </w:r>
      <w:r w:rsidRPr="000C45A4">
        <w:rPr>
          <w:rStyle w:val="FootnoteReference"/>
          <w:lang w:val="fr-CH"/>
        </w:rPr>
        <w:footnoteReference w:id="6"/>
      </w:r>
      <w:r w:rsidRPr="00C50B18">
        <w:rPr>
          <w:lang w:val="fr-CH"/>
        </w:rPr>
        <w:t>. En conséquence, il considère qu</w:t>
      </w:r>
      <w:r>
        <w:rPr>
          <w:lang w:val="fr-CH"/>
        </w:rPr>
        <w:t>’</w:t>
      </w:r>
      <w:r w:rsidRPr="00C50B18">
        <w:rPr>
          <w:lang w:val="fr-CH"/>
        </w:rPr>
        <w:t>il n</w:t>
      </w:r>
      <w:r>
        <w:rPr>
          <w:lang w:val="fr-CH"/>
        </w:rPr>
        <w:t>’</w:t>
      </w:r>
      <w:r w:rsidRPr="00C50B18">
        <w:rPr>
          <w:lang w:val="fr-CH"/>
        </w:rPr>
        <w:t>est pas empêché par les dispositions du paragraphe 2 b) de l</w:t>
      </w:r>
      <w:r>
        <w:rPr>
          <w:lang w:val="fr-CH"/>
        </w:rPr>
        <w:t>’</w:t>
      </w:r>
      <w:r w:rsidRPr="00C50B18">
        <w:rPr>
          <w:lang w:val="fr-CH"/>
        </w:rPr>
        <w:t>article 5 du Protocole facultatif d</w:t>
      </w:r>
      <w:r>
        <w:rPr>
          <w:lang w:val="fr-CH"/>
        </w:rPr>
        <w:t>’</w:t>
      </w:r>
      <w:r w:rsidRPr="00C50B18">
        <w:rPr>
          <w:lang w:val="fr-CH"/>
        </w:rPr>
        <w:t>examiner la présente communication.</w:t>
      </w:r>
    </w:p>
    <w:p w14:paraId="7A40214C" w14:textId="77777777" w:rsidR="00AF780E" w:rsidRPr="00C50B18" w:rsidRDefault="00AF780E" w:rsidP="00AF780E">
      <w:pPr>
        <w:pStyle w:val="SingleTxt"/>
        <w:rPr>
          <w:lang w:val="fr-CH"/>
        </w:rPr>
      </w:pPr>
      <w:r w:rsidRPr="00C50B18">
        <w:rPr>
          <w:lang w:val="fr-CH"/>
        </w:rPr>
        <w:t>7.4</w:t>
      </w:r>
      <w:r w:rsidRPr="00C50B18">
        <w:rPr>
          <w:lang w:val="fr-CH"/>
        </w:rPr>
        <w:tab/>
        <w:t>Le Comité prend note du grief de l</w:t>
      </w:r>
      <w:r>
        <w:rPr>
          <w:lang w:val="fr-CH"/>
        </w:rPr>
        <w:t>’</w:t>
      </w:r>
      <w:r w:rsidRPr="00C50B18">
        <w:rPr>
          <w:lang w:val="fr-CH"/>
        </w:rPr>
        <w:t>auteure, qui affirme que les droits qu</w:t>
      </w:r>
      <w:r>
        <w:rPr>
          <w:lang w:val="fr-CH"/>
        </w:rPr>
        <w:t>’</w:t>
      </w:r>
      <w:r w:rsidRPr="00C50B18">
        <w:rPr>
          <w:lang w:val="fr-CH"/>
        </w:rPr>
        <w:t>elle tient du paragraphe 3 d) de l</w:t>
      </w:r>
      <w:r>
        <w:rPr>
          <w:lang w:val="fr-CH"/>
        </w:rPr>
        <w:t>’</w:t>
      </w:r>
      <w:r w:rsidRPr="00C50B18">
        <w:rPr>
          <w:lang w:val="fr-CH"/>
        </w:rPr>
        <w:t>article 14 du Pacte ont été violés en ce qu</w:t>
      </w:r>
      <w:r>
        <w:rPr>
          <w:lang w:val="fr-CH"/>
        </w:rPr>
        <w:t>’</w:t>
      </w:r>
      <w:r w:rsidRPr="00C50B18">
        <w:rPr>
          <w:lang w:val="fr-CH"/>
        </w:rPr>
        <w:t>elle n</w:t>
      </w:r>
      <w:r>
        <w:rPr>
          <w:lang w:val="fr-CH"/>
        </w:rPr>
        <w:t>’</w:t>
      </w:r>
      <w:r w:rsidRPr="00C50B18">
        <w:rPr>
          <w:lang w:val="fr-CH"/>
        </w:rPr>
        <w:t>a pu se faire représenter par l</w:t>
      </w:r>
      <w:r>
        <w:rPr>
          <w:lang w:val="fr-CH"/>
        </w:rPr>
        <w:t>’</w:t>
      </w:r>
      <w:r w:rsidRPr="00C50B18">
        <w:rPr>
          <w:lang w:val="fr-CH"/>
        </w:rPr>
        <w:t>avocat de son choix durant la procédure administrative. Toutefois, faute d</w:t>
      </w:r>
      <w:r>
        <w:rPr>
          <w:lang w:val="fr-CH"/>
        </w:rPr>
        <w:t>’</w:t>
      </w:r>
      <w:r w:rsidRPr="00C50B18">
        <w:rPr>
          <w:lang w:val="fr-CH"/>
        </w:rPr>
        <w:t>explications complémentaires ou d</w:t>
      </w:r>
      <w:r>
        <w:rPr>
          <w:lang w:val="fr-CH"/>
        </w:rPr>
        <w:t>’</w:t>
      </w:r>
      <w:r w:rsidRPr="00C50B18">
        <w:rPr>
          <w:lang w:val="fr-CH"/>
        </w:rPr>
        <w:t>autres éléments à l</w:t>
      </w:r>
      <w:r>
        <w:rPr>
          <w:lang w:val="fr-CH"/>
        </w:rPr>
        <w:t>’</w:t>
      </w:r>
      <w:r w:rsidRPr="00C50B18">
        <w:rPr>
          <w:lang w:val="fr-CH"/>
        </w:rPr>
        <w:t>appui de ce grief, le Comité considère que celui-ci n</w:t>
      </w:r>
      <w:r>
        <w:rPr>
          <w:lang w:val="fr-CH"/>
        </w:rPr>
        <w:t>’</w:t>
      </w:r>
      <w:r w:rsidRPr="00C50B18">
        <w:rPr>
          <w:lang w:val="fr-CH"/>
        </w:rPr>
        <w:t>est pas suffisamment étayé aux fins de la recevabilité, et le déclare donc irrecevable en vertu de l</w:t>
      </w:r>
      <w:r>
        <w:rPr>
          <w:lang w:val="fr-CH"/>
        </w:rPr>
        <w:t>’</w:t>
      </w:r>
      <w:r w:rsidRPr="00C50B18">
        <w:rPr>
          <w:lang w:val="fr-CH"/>
        </w:rPr>
        <w:t>article 2 du Protocole facultatif.</w:t>
      </w:r>
    </w:p>
    <w:p w14:paraId="094A599F" w14:textId="77777777" w:rsidR="00AF780E" w:rsidRPr="00C50B18" w:rsidRDefault="00AF780E" w:rsidP="00AF780E">
      <w:pPr>
        <w:pStyle w:val="SingleTxt"/>
        <w:rPr>
          <w:lang w:val="fr-CH"/>
        </w:rPr>
      </w:pPr>
      <w:r w:rsidRPr="00C50B18">
        <w:rPr>
          <w:lang w:val="fr-CH"/>
        </w:rPr>
        <w:t>7.5</w:t>
      </w:r>
      <w:r w:rsidRPr="00C50B18">
        <w:rPr>
          <w:lang w:val="fr-CH"/>
        </w:rPr>
        <w:tab/>
        <w:t>Le Comité prend note de l</w:t>
      </w:r>
      <w:r>
        <w:rPr>
          <w:lang w:val="fr-CH"/>
        </w:rPr>
        <w:t>’</w:t>
      </w:r>
      <w:r w:rsidRPr="00C50B18">
        <w:rPr>
          <w:lang w:val="fr-CH"/>
        </w:rPr>
        <w:t>affirmation de l</w:t>
      </w:r>
      <w:r>
        <w:rPr>
          <w:lang w:val="fr-CH"/>
        </w:rPr>
        <w:t>’</w:t>
      </w:r>
      <w:r w:rsidRPr="00C50B18">
        <w:rPr>
          <w:lang w:val="fr-CH"/>
        </w:rPr>
        <w:t>auteure selon laquelle l</w:t>
      </w:r>
      <w:r>
        <w:rPr>
          <w:lang w:val="fr-CH"/>
        </w:rPr>
        <w:t>’</w:t>
      </w:r>
      <w:r w:rsidRPr="00C50B18">
        <w:rPr>
          <w:lang w:val="fr-CH"/>
        </w:rPr>
        <w:t>État partie a violé les obligations qui lui incombent en vertu du paragraphe 2 de l</w:t>
      </w:r>
      <w:r>
        <w:rPr>
          <w:lang w:val="fr-CH"/>
        </w:rPr>
        <w:t>’</w:t>
      </w:r>
      <w:r w:rsidRPr="00C50B18">
        <w:rPr>
          <w:lang w:val="fr-CH"/>
        </w:rPr>
        <w:t>article 2 du Pacte, lu conjointement avec l</w:t>
      </w:r>
      <w:r>
        <w:rPr>
          <w:lang w:val="fr-CH"/>
        </w:rPr>
        <w:t>’</w:t>
      </w:r>
      <w:r w:rsidRPr="00C50B18">
        <w:rPr>
          <w:lang w:val="fr-CH"/>
        </w:rPr>
        <w:t>article 19, puisqu</w:t>
      </w:r>
      <w:r>
        <w:rPr>
          <w:lang w:val="fr-CH"/>
        </w:rPr>
        <w:t>’</w:t>
      </w:r>
      <w:r w:rsidRPr="00C50B18">
        <w:rPr>
          <w:lang w:val="fr-CH"/>
        </w:rPr>
        <w:t>il n</w:t>
      </w:r>
      <w:r>
        <w:rPr>
          <w:lang w:val="fr-CH"/>
        </w:rPr>
        <w:t>’</w:t>
      </w:r>
      <w:r w:rsidRPr="00C50B18">
        <w:rPr>
          <w:lang w:val="fr-CH"/>
        </w:rPr>
        <w:t>a pas adopté de mesures, d</w:t>
      </w:r>
      <w:r>
        <w:rPr>
          <w:lang w:val="fr-CH"/>
        </w:rPr>
        <w:t>’</w:t>
      </w:r>
      <w:r w:rsidRPr="00C50B18">
        <w:rPr>
          <w:lang w:val="fr-CH"/>
        </w:rPr>
        <w:t>ordre législatif ou autre, propres à d</w:t>
      </w:r>
      <w:r>
        <w:rPr>
          <w:lang w:val="fr-CH"/>
        </w:rPr>
        <w:t xml:space="preserve">onner effet aux droits reconnus </w:t>
      </w:r>
      <w:r w:rsidRPr="00C50B18">
        <w:rPr>
          <w:lang w:val="fr-CH"/>
        </w:rPr>
        <w:t>à l</w:t>
      </w:r>
      <w:r>
        <w:rPr>
          <w:lang w:val="fr-CH"/>
        </w:rPr>
        <w:t>’</w:t>
      </w:r>
      <w:r w:rsidRPr="00C50B18">
        <w:rPr>
          <w:lang w:val="fr-CH"/>
        </w:rPr>
        <w:t>article 19 du Pacte. Le Comité renvoie à sa jurisprudence et rappelle que les dispositions de l</w:t>
      </w:r>
      <w:r>
        <w:rPr>
          <w:lang w:val="fr-CH"/>
        </w:rPr>
        <w:t>’</w:t>
      </w:r>
      <w:r w:rsidRPr="00C50B18">
        <w:rPr>
          <w:lang w:val="fr-CH"/>
        </w:rPr>
        <w:t>article 2 du Pacte, qui énoncent une obligation générale à l</w:t>
      </w:r>
      <w:r>
        <w:rPr>
          <w:lang w:val="fr-CH"/>
        </w:rPr>
        <w:t>’</w:t>
      </w:r>
      <w:r w:rsidRPr="00C50B18">
        <w:rPr>
          <w:lang w:val="fr-CH"/>
        </w:rPr>
        <w:t>intention des États parties, ne peuvent pas être invoquées isolément dans une communication présentée en vertu du Protocole facultatif</w:t>
      </w:r>
      <w:r w:rsidRPr="000C45A4">
        <w:rPr>
          <w:rStyle w:val="FootnoteReference"/>
          <w:lang w:val="fr-CH"/>
        </w:rPr>
        <w:footnoteReference w:id="7"/>
      </w:r>
      <w:r w:rsidRPr="00C50B18">
        <w:rPr>
          <w:lang w:val="fr-CH"/>
        </w:rPr>
        <w:t>. Le Comité considère également que les dispositions de l</w:t>
      </w:r>
      <w:r>
        <w:rPr>
          <w:lang w:val="fr-CH"/>
        </w:rPr>
        <w:t>’</w:t>
      </w:r>
      <w:r w:rsidRPr="00C50B18">
        <w:rPr>
          <w:lang w:val="fr-CH"/>
        </w:rPr>
        <w:t>article 2 ne sauraient être invoquées conjointement avec d</w:t>
      </w:r>
      <w:r>
        <w:rPr>
          <w:lang w:val="fr-CH"/>
        </w:rPr>
        <w:t>’</w:t>
      </w:r>
      <w:r w:rsidRPr="00C50B18">
        <w:rPr>
          <w:lang w:val="fr-CH"/>
        </w:rPr>
        <w:t>autres dispositions du Pacte dans une communication présentée en vertu du Protocole facultatif, sauf lorsque le manquement de l</w:t>
      </w:r>
      <w:r>
        <w:rPr>
          <w:lang w:val="fr-CH"/>
        </w:rPr>
        <w:t>’</w:t>
      </w:r>
      <w:r w:rsidRPr="00C50B18">
        <w:rPr>
          <w:lang w:val="fr-CH"/>
        </w:rPr>
        <w:t>État partie aux obligations que lui impose l</w:t>
      </w:r>
      <w:r>
        <w:rPr>
          <w:lang w:val="fr-CH"/>
        </w:rPr>
        <w:t>’</w:t>
      </w:r>
      <w:r w:rsidRPr="00C50B18">
        <w:rPr>
          <w:lang w:val="fr-CH"/>
        </w:rPr>
        <w:t>article 2 est la cause immédiate d</w:t>
      </w:r>
      <w:r>
        <w:rPr>
          <w:lang w:val="fr-CH"/>
        </w:rPr>
        <w:t>’</w:t>
      </w:r>
      <w:r w:rsidRPr="00C50B18">
        <w:rPr>
          <w:lang w:val="fr-CH"/>
        </w:rPr>
        <w:t>une violation distincte du Pacte qui affecte directement la personne qui se dit lésée. Le Comité note toutefois que l</w:t>
      </w:r>
      <w:r>
        <w:rPr>
          <w:lang w:val="fr-CH"/>
        </w:rPr>
        <w:t>’</w:t>
      </w:r>
      <w:r w:rsidRPr="00C50B18">
        <w:rPr>
          <w:lang w:val="fr-CH"/>
        </w:rPr>
        <w:t>auteur a déjà invoqué une violation de ses droits au titre de l</w:t>
      </w:r>
      <w:r>
        <w:rPr>
          <w:lang w:val="fr-CH"/>
        </w:rPr>
        <w:t>’</w:t>
      </w:r>
      <w:r w:rsidRPr="00C50B18">
        <w:rPr>
          <w:lang w:val="fr-CH"/>
        </w:rPr>
        <w:t>article 19 due à l</w:t>
      </w:r>
      <w:r>
        <w:rPr>
          <w:lang w:val="fr-CH"/>
        </w:rPr>
        <w:t>’</w:t>
      </w:r>
      <w:r w:rsidRPr="00C50B18">
        <w:rPr>
          <w:lang w:val="fr-CH"/>
        </w:rPr>
        <w:t>interprétation et à l</w:t>
      </w:r>
      <w:r>
        <w:rPr>
          <w:lang w:val="fr-CH"/>
        </w:rPr>
        <w:t>’</w:t>
      </w:r>
      <w:r w:rsidRPr="00C50B18">
        <w:rPr>
          <w:lang w:val="fr-CH"/>
        </w:rPr>
        <w:t>application des lois en vigueur dans l</w:t>
      </w:r>
      <w:r>
        <w:rPr>
          <w:lang w:val="fr-CH"/>
        </w:rPr>
        <w:t>’</w:t>
      </w:r>
      <w:r w:rsidRPr="00C50B18">
        <w:rPr>
          <w:lang w:val="fr-CH"/>
        </w:rPr>
        <w:t>État partie. Le Comité ne pense pas que l</w:t>
      </w:r>
      <w:r>
        <w:rPr>
          <w:lang w:val="fr-CH"/>
        </w:rPr>
        <w:t>’</w:t>
      </w:r>
      <w:r w:rsidRPr="00C50B18">
        <w:rPr>
          <w:lang w:val="fr-CH"/>
        </w:rPr>
        <w:t>examen de la question de savoir si l</w:t>
      </w:r>
      <w:r>
        <w:rPr>
          <w:lang w:val="fr-CH"/>
        </w:rPr>
        <w:t>’</w:t>
      </w:r>
      <w:r w:rsidRPr="00C50B18">
        <w:rPr>
          <w:lang w:val="fr-CH"/>
        </w:rPr>
        <w:t>État partie n</w:t>
      </w:r>
      <w:r>
        <w:rPr>
          <w:lang w:val="fr-CH"/>
        </w:rPr>
        <w:t>’</w:t>
      </w:r>
      <w:r w:rsidRPr="00C50B18">
        <w:rPr>
          <w:lang w:val="fr-CH"/>
        </w:rPr>
        <w:t>a pas non plus respecté les obligations générales que lui impose le paragraphe 2 de l</w:t>
      </w:r>
      <w:r>
        <w:rPr>
          <w:lang w:val="fr-CH"/>
        </w:rPr>
        <w:t>’</w:t>
      </w:r>
      <w:r w:rsidRPr="00C50B18">
        <w:rPr>
          <w:lang w:val="fr-CH"/>
        </w:rPr>
        <w:t>article 2 du Pacte, lu conjointement avec l</w:t>
      </w:r>
      <w:r>
        <w:rPr>
          <w:lang w:val="fr-CH"/>
        </w:rPr>
        <w:t>’</w:t>
      </w:r>
      <w:r w:rsidRPr="00C50B18">
        <w:rPr>
          <w:lang w:val="fr-CH"/>
        </w:rPr>
        <w:t>article 19, serait différent de l</w:t>
      </w:r>
      <w:r>
        <w:rPr>
          <w:lang w:val="fr-CH"/>
        </w:rPr>
        <w:t>’</w:t>
      </w:r>
      <w:r w:rsidRPr="00C50B18">
        <w:rPr>
          <w:lang w:val="fr-CH"/>
        </w:rPr>
        <w:t>examen d</w:t>
      </w:r>
      <w:r>
        <w:rPr>
          <w:lang w:val="fr-CH"/>
        </w:rPr>
        <w:t>’</w:t>
      </w:r>
      <w:r w:rsidRPr="00C50B18">
        <w:rPr>
          <w:lang w:val="fr-CH"/>
        </w:rPr>
        <w:t>une violation des droits de l</w:t>
      </w:r>
      <w:r>
        <w:rPr>
          <w:lang w:val="fr-CH"/>
        </w:rPr>
        <w:t>’</w:t>
      </w:r>
      <w:r w:rsidRPr="00C50B18">
        <w:rPr>
          <w:lang w:val="fr-CH"/>
        </w:rPr>
        <w:t>auteur au titre de l</w:t>
      </w:r>
      <w:r>
        <w:rPr>
          <w:lang w:val="fr-CH"/>
        </w:rPr>
        <w:t>’</w:t>
      </w:r>
      <w:r w:rsidRPr="00C50B18">
        <w:rPr>
          <w:lang w:val="fr-CH"/>
        </w:rPr>
        <w:t>article 19</w:t>
      </w:r>
      <w:r w:rsidRPr="000C45A4">
        <w:rPr>
          <w:rStyle w:val="FootnoteReference"/>
          <w:lang w:val="fr-CH"/>
        </w:rPr>
        <w:footnoteReference w:id="8"/>
      </w:r>
      <w:r w:rsidRPr="00C50B18">
        <w:rPr>
          <w:lang w:val="fr-CH"/>
        </w:rPr>
        <w:t>. En conséquence, le Comité considère que les griefs de l</w:t>
      </w:r>
      <w:r>
        <w:rPr>
          <w:lang w:val="fr-CH"/>
        </w:rPr>
        <w:t>’</w:t>
      </w:r>
      <w:r w:rsidRPr="00C50B18">
        <w:rPr>
          <w:lang w:val="fr-CH"/>
        </w:rPr>
        <w:t>auteur à cet égard sont incompatibles avec l</w:t>
      </w:r>
      <w:r>
        <w:rPr>
          <w:lang w:val="fr-CH"/>
        </w:rPr>
        <w:t>’</w:t>
      </w:r>
      <w:r w:rsidRPr="00C50B18">
        <w:rPr>
          <w:lang w:val="fr-CH"/>
        </w:rPr>
        <w:t>article 2 du Pacte et sont irrecevables en vertu de l</w:t>
      </w:r>
      <w:r>
        <w:rPr>
          <w:lang w:val="fr-CH"/>
        </w:rPr>
        <w:t>’</w:t>
      </w:r>
      <w:r w:rsidRPr="00C50B18">
        <w:rPr>
          <w:lang w:val="fr-CH"/>
        </w:rPr>
        <w:t xml:space="preserve">article 3 du Protocole facultatif. </w:t>
      </w:r>
    </w:p>
    <w:p w14:paraId="045CE9BB" w14:textId="77777777" w:rsidR="00AF780E" w:rsidRPr="00C50B18" w:rsidRDefault="00AF780E" w:rsidP="00AF780E">
      <w:pPr>
        <w:pStyle w:val="SingleTxt"/>
        <w:rPr>
          <w:lang w:val="fr-CH"/>
        </w:rPr>
      </w:pPr>
      <w:r w:rsidRPr="00C50B18">
        <w:rPr>
          <w:lang w:val="fr-CH"/>
        </w:rPr>
        <w:t>7.6</w:t>
      </w:r>
      <w:r w:rsidRPr="00C50B18">
        <w:rPr>
          <w:lang w:val="fr-CH"/>
        </w:rPr>
        <w:tab/>
        <w:t>À la lumière des informations dont il est saisi, le Comité considère que l</w:t>
      </w:r>
      <w:r>
        <w:rPr>
          <w:lang w:val="fr-CH"/>
        </w:rPr>
        <w:t>’</w:t>
      </w:r>
      <w:r w:rsidRPr="00C50B18">
        <w:rPr>
          <w:lang w:val="fr-CH"/>
        </w:rPr>
        <w:t>auteure a suffisamment étayé les griefs soulevés au titre de l</w:t>
      </w:r>
      <w:r>
        <w:rPr>
          <w:lang w:val="fr-CH"/>
        </w:rPr>
        <w:t>’</w:t>
      </w:r>
      <w:r w:rsidRPr="00C50B18">
        <w:rPr>
          <w:lang w:val="fr-CH"/>
        </w:rPr>
        <w:t>article 19 du Pacte aux fins de la recevabilité, les déclare recevables et procède à leur examen quant au fond.</w:t>
      </w:r>
    </w:p>
    <w:p w14:paraId="7B7F4A8D" w14:textId="77777777" w:rsidR="00AF780E" w:rsidRPr="00C50B18" w:rsidRDefault="00AF780E" w:rsidP="00AF780E">
      <w:pPr>
        <w:pStyle w:val="SingleTxt"/>
        <w:spacing w:after="0" w:line="120" w:lineRule="exact"/>
        <w:rPr>
          <w:sz w:val="10"/>
          <w:lang w:val="fr-CH"/>
        </w:rPr>
      </w:pPr>
    </w:p>
    <w:p w14:paraId="5D5BF616" w14:textId="77777777" w:rsidR="00AF780E" w:rsidRPr="00C50B18" w:rsidRDefault="00AF780E" w:rsidP="00AF780E">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b/>
      </w:r>
      <w:r w:rsidRPr="00C50B18">
        <w:rPr>
          <w:lang w:val="fr-CH"/>
        </w:rPr>
        <w:tab/>
        <w:t>Examen au fond</w:t>
      </w:r>
    </w:p>
    <w:p w14:paraId="2BFC955E" w14:textId="77777777" w:rsidR="00AF780E" w:rsidRPr="00C50B18" w:rsidRDefault="00AF780E" w:rsidP="00AF780E">
      <w:pPr>
        <w:pStyle w:val="SingleTxt"/>
        <w:spacing w:after="0" w:line="120" w:lineRule="exact"/>
        <w:rPr>
          <w:sz w:val="10"/>
          <w:lang w:val="fr-CH"/>
        </w:rPr>
      </w:pPr>
    </w:p>
    <w:p w14:paraId="13FAF5CB" w14:textId="77777777" w:rsidR="00AF780E" w:rsidRPr="00C50B18" w:rsidRDefault="00AF780E" w:rsidP="00AF780E">
      <w:pPr>
        <w:pStyle w:val="SingleTxt"/>
        <w:rPr>
          <w:lang w:val="fr-CH"/>
        </w:rPr>
      </w:pPr>
      <w:r w:rsidRPr="00C50B18">
        <w:rPr>
          <w:lang w:val="fr-CH"/>
        </w:rPr>
        <w:t>8.1</w:t>
      </w:r>
      <w:r w:rsidRPr="00C50B18">
        <w:rPr>
          <w:lang w:val="fr-CH"/>
        </w:rPr>
        <w:tab/>
        <w:t>Conformément au paragraphe 1 de l</w:t>
      </w:r>
      <w:r>
        <w:rPr>
          <w:lang w:val="fr-CH"/>
        </w:rPr>
        <w:t>’</w:t>
      </w:r>
      <w:r w:rsidRPr="00C50B18">
        <w:rPr>
          <w:lang w:val="fr-CH"/>
        </w:rPr>
        <w:t>article 5 du Protocole facultatif, le Comité a examiné la communication en tenant compte de toutes les informations qui lui ont été communiquées par les parties.</w:t>
      </w:r>
    </w:p>
    <w:p w14:paraId="1DB41A88" w14:textId="77777777" w:rsidR="00AF780E" w:rsidRPr="00C50B18" w:rsidRDefault="00AF780E" w:rsidP="00AF780E">
      <w:pPr>
        <w:pStyle w:val="SingleTxt"/>
        <w:rPr>
          <w:lang w:val="fr-CH"/>
        </w:rPr>
      </w:pPr>
      <w:r w:rsidRPr="00C50B18">
        <w:rPr>
          <w:lang w:val="fr-CH"/>
        </w:rPr>
        <w:t>8.2</w:t>
      </w:r>
      <w:r w:rsidRPr="00C50B18">
        <w:rPr>
          <w:lang w:val="fr-CH"/>
        </w:rPr>
        <w:tab/>
        <w:t>Le Comité doit déterminer si l</w:t>
      </w:r>
      <w:r>
        <w:rPr>
          <w:lang w:val="fr-CH"/>
        </w:rPr>
        <w:t>’</w:t>
      </w:r>
      <w:r w:rsidRPr="00C50B18">
        <w:rPr>
          <w:lang w:val="fr-CH"/>
        </w:rPr>
        <w:t>arrestation de l</w:t>
      </w:r>
      <w:r>
        <w:rPr>
          <w:lang w:val="fr-CH"/>
        </w:rPr>
        <w:t>’</w:t>
      </w:r>
      <w:r w:rsidRPr="00C50B18">
        <w:rPr>
          <w:lang w:val="fr-CH"/>
        </w:rPr>
        <w:t>auteure pour distribution de tracts et la saisie des tracts restés en sa possession constituent une restriction injustifiée des droits qui lui sont garantis par l</w:t>
      </w:r>
      <w:r>
        <w:rPr>
          <w:lang w:val="fr-CH"/>
        </w:rPr>
        <w:t>’</w:t>
      </w:r>
      <w:r w:rsidRPr="00C50B18">
        <w:rPr>
          <w:lang w:val="fr-CH"/>
        </w:rPr>
        <w:t>article 19 du Pacte.</w:t>
      </w:r>
    </w:p>
    <w:p w14:paraId="216A8636" w14:textId="77777777" w:rsidR="00AF780E" w:rsidRPr="00C50B18" w:rsidRDefault="00AF780E" w:rsidP="00AF780E">
      <w:pPr>
        <w:pStyle w:val="SingleTxt"/>
        <w:rPr>
          <w:lang w:val="fr-CH"/>
        </w:rPr>
      </w:pPr>
      <w:r w:rsidRPr="00C50B18">
        <w:rPr>
          <w:lang w:val="fr-CH"/>
        </w:rPr>
        <w:t>8.3</w:t>
      </w:r>
      <w:r w:rsidRPr="00C50B18">
        <w:rPr>
          <w:lang w:val="fr-CH"/>
        </w:rPr>
        <w:tab/>
        <w:t>Le Comité rappelle que le paragraphe 2 de l</w:t>
      </w:r>
      <w:r>
        <w:rPr>
          <w:lang w:val="fr-CH"/>
        </w:rPr>
        <w:t>’</w:t>
      </w:r>
      <w:r w:rsidRPr="00C50B18">
        <w:rPr>
          <w:lang w:val="fr-CH"/>
        </w:rPr>
        <w:t>article 19 du Pacte fait obligation aux États parties de garantir le droit à la liberté d</w:t>
      </w:r>
      <w:r>
        <w:rPr>
          <w:lang w:val="fr-CH"/>
        </w:rPr>
        <w:t>’</w:t>
      </w:r>
      <w:r w:rsidRPr="00C50B18">
        <w:rPr>
          <w:lang w:val="fr-CH"/>
        </w:rPr>
        <w:t>expression, qui comprend la liberté de rechercher, de recevoir et de répandre des informations et des idées de toute espèce, sans considération de frontières, sous une forme orale, écrite ou imprimée. Il renvoie à son Observation générale n</w:t>
      </w:r>
      <w:r w:rsidRPr="00C50B18">
        <w:rPr>
          <w:vertAlign w:val="superscript"/>
          <w:lang w:val="fr-CH"/>
        </w:rPr>
        <w:t>o</w:t>
      </w:r>
      <w:r w:rsidRPr="00C50B18">
        <w:rPr>
          <w:lang w:val="fr-CH"/>
        </w:rPr>
        <w:t> 34 (2011) sur la liberté d</w:t>
      </w:r>
      <w:r>
        <w:rPr>
          <w:lang w:val="fr-CH"/>
        </w:rPr>
        <w:t>’</w:t>
      </w:r>
      <w:r w:rsidRPr="00C50B18">
        <w:rPr>
          <w:lang w:val="fr-CH"/>
        </w:rPr>
        <w:t>opinion et la liberté d</w:t>
      </w:r>
      <w:r>
        <w:rPr>
          <w:lang w:val="fr-CH"/>
        </w:rPr>
        <w:t>’</w:t>
      </w:r>
      <w:r w:rsidRPr="00C50B18">
        <w:rPr>
          <w:lang w:val="fr-CH"/>
        </w:rPr>
        <w:t>expression, dans laquelle il indique que la liberté d</w:t>
      </w:r>
      <w:r>
        <w:rPr>
          <w:lang w:val="fr-CH"/>
        </w:rPr>
        <w:t>’</w:t>
      </w:r>
      <w:r w:rsidRPr="00C50B18">
        <w:rPr>
          <w:lang w:val="fr-CH"/>
        </w:rPr>
        <w:t>opinion et la liberté d</w:t>
      </w:r>
      <w:r>
        <w:rPr>
          <w:lang w:val="fr-CH"/>
        </w:rPr>
        <w:t>’</w:t>
      </w:r>
      <w:r w:rsidRPr="00C50B18">
        <w:rPr>
          <w:lang w:val="fr-CH"/>
        </w:rPr>
        <w:t>expression sont des conditions indispensables au développement complet de l</w:t>
      </w:r>
      <w:r>
        <w:rPr>
          <w:lang w:val="fr-CH"/>
        </w:rPr>
        <w:t>’</w:t>
      </w:r>
      <w:r w:rsidRPr="00C50B18">
        <w:rPr>
          <w:lang w:val="fr-CH"/>
        </w:rPr>
        <w:t>individu. Elles sont essentielles pour toute société et constituent le fondement de toute société libre et démocratique.</w:t>
      </w:r>
      <w:r w:rsidRPr="00C50B18">
        <w:rPr>
          <w:vertAlign w:val="superscript"/>
          <w:lang w:val="fr-CH"/>
        </w:rPr>
        <w:t xml:space="preserve"> </w:t>
      </w:r>
      <w:r w:rsidRPr="00C50B18">
        <w:rPr>
          <w:lang w:val="fr-CH"/>
        </w:rPr>
        <w:t>Toute restriction à l</w:t>
      </w:r>
      <w:r>
        <w:rPr>
          <w:lang w:val="fr-CH"/>
        </w:rPr>
        <w:t>’</w:t>
      </w:r>
      <w:r w:rsidRPr="00C50B18">
        <w:rPr>
          <w:lang w:val="fr-CH"/>
        </w:rPr>
        <w:t>exercice de ces libertés doit répondre aux critères stricts de nécessité et de proportionnalité. Les restrictions doivent être appliquées exclusivement aux fins pour lesquelles elles ont été prescrites et doivent être en rapport direct avec l</w:t>
      </w:r>
      <w:r>
        <w:rPr>
          <w:lang w:val="fr-CH"/>
        </w:rPr>
        <w:t>’</w:t>
      </w:r>
      <w:r w:rsidRPr="00C50B18">
        <w:rPr>
          <w:lang w:val="fr-CH"/>
        </w:rPr>
        <w:t>objectif spécifique qui les inspire.</w:t>
      </w:r>
    </w:p>
    <w:p w14:paraId="0EAB7EF1" w14:textId="77777777" w:rsidR="00AF780E" w:rsidRPr="005A57C0" w:rsidRDefault="00AF780E" w:rsidP="005A57C0">
      <w:pPr>
        <w:pStyle w:val="SingleTxt"/>
        <w:spacing w:line="250" w:lineRule="exact"/>
        <w:rPr>
          <w:lang w:val="fr-CH"/>
        </w:rPr>
      </w:pPr>
      <w:r w:rsidRPr="005A57C0">
        <w:rPr>
          <w:lang w:val="fr-CH"/>
        </w:rPr>
        <w:t>8.4</w:t>
      </w:r>
      <w:r w:rsidRPr="005A57C0">
        <w:rPr>
          <w:lang w:val="fr-CH"/>
        </w:rPr>
        <w:tab/>
        <w:t>Le Comité rappelle que le paragraphe 3 de l’article 19 du Pacte autorise certaines restrictions, qui doivent toutefois être expressément fixées par la loi et être nécessaires a) au respect des droits ou de la réputation d’autrui ; ou b) à la sauvegarde de la sécurité nationale, de l’ordre public ou de la santé ou la moralité publiques. Le Comité souligne que si l’État partie impose une restriction aux droits garantis au paragraphe 2 de l’article 19 du Pacte, c’est à lui qu’il incombe de prouver que cette restriction était nécessaire en l’espèce et que même si, en principe, un État partie a la faculté de mettre en place un système visant à concilier la liberté d’un individu de répandre des informations et l’intérêt général qu’il y a à maintenir l’ordre public dans une zone déterminée, le fonctionnement de ce système ne doit pas être incompatible avec l’objet et le but de l’article 19 du Pacte</w:t>
      </w:r>
      <w:r w:rsidRPr="005A57C0">
        <w:rPr>
          <w:rStyle w:val="FootnoteReference"/>
          <w:spacing w:val="4"/>
          <w:lang w:val="fr-CH"/>
        </w:rPr>
        <w:footnoteReference w:id="9"/>
      </w:r>
      <w:r w:rsidRPr="005A57C0">
        <w:rPr>
          <w:lang w:val="fr-CH"/>
        </w:rPr>
        <w:t xml:space="preserve">. </w:t>
      </w:r>
    </w:p>
    <w:p w14:paraId="6431954D" w14:textId="77777777" w:rsidR="00AF780E" w:rsidRPr="00C50B18" w:rsidRDefault="00AF780E" w:rsidP="00AF780E">
      <w:pPr>
        <w:pStyle w:val="SingleTxt"/>
        <w:rPr>
          <w:lang w:val="fr-CH"/>
        </w:rPr>
      </w:pPr>
      <w:r w:rsidRPr="00C50B18">
        <w:rPr>
          <w:lang w:val="fr-CH"/>
        </w:rPr>
        <w:t>8.5</w:t>
      </w:r>
      <w:r w:rsidRPr="00C50B18">
        <w:rPr>
          <w:lang w:val="fr-CH"/>
        </w:rPr>
        <w:tab/>
        <w:t>Le Comité relève que, d</w:t>
      </w:r>
      <w:r>
        <w:rPr>
          <w:lang w:val="fr-CH"/>
        </w:rPr>
        <w:t>’</w:t>
      </w:r>
      <w:r w:rsidRPr="00C50B18">
        <w:rPr>
          <w:lang w:val="fr-CH"/>
        </w:rPr>
        <w:t>après les informations versées au dossier, l</w:t>
      </w:r>
      <w:r>
        <w:rPr>
          <w:lang w:val="fr-CH"/>
        </w:rPr>
        <w:t>’</w:t>
      </w:r>
      <w:r w:rsidRPr="00C50B18">
        <w:rPr>
          <w:lang w:val="fr-CH"/>
        </w:rPr>
        <w:t>État partie n</w:t>
      </w:r>
      <w:r>
        <w:rPr>
          <w:lang w:val="fr-CH"/>
        </w:rPr>
        <w:t>’</w:t>
      </w:r>
      <w:r w:rsidRPr="00C50B18">
        <w:rPr>
          <w:lang w:val="fr-CH"/>
        </w:rPr>
        <w:t>a émis aucune observation sur le fond de la communication ni donné de justification ou raison expliquant en quoi, concrètement, l</w:t>
      </w:r>
      <w:r>
        <w:rPr>
          <w:lang w:val="fr-CH"/>
        </w:rPr>
        <w:t>’</w:t>
      </w:r>
      <w:r w:rsidRPr="00C50B18">
        <w:rPr>
          <w:lang w:val="fr-CH"/>
        </w:rPr>
        <w:t>arrestation de l</w:t>
      </w:r>
      <w:r>
        <w:rPr>
          <w:lang w:val="fr-CH"/>
        </w:rPr>
        <w:t>’</w:t>
      </w:r>
      <w:r w:rsidRPr="00C50B18">
        <w:rPr>
          <w:lang w:val="fr-CH"/>
        </w:rPr>
        <w:t>auteure, sa condamnation à une amende et la confiscation des tracts en sa possession étaient liées à l</w:t>
      </w:r>
      <w:r>
        <w:rPr>
          <w:lang w:val="fr-CH"/>
        </w:rPr>
        <w:t>’</w:t>
      </w:r>
      <w:r w:rsidRPr="00C50B18">
        <w:rPr>
          <w:lang w:val="fr-CH"/>
        </w:rPr>
        <w:t>un des motifs légitimes de restriction énoncés au paragraphe 3 de l</w:t>
      </w:r>
      <w:r>
        <w:rPr>
          <w:lang w:val="fr-CH"/>
        </w:rPr>
        <w:t>’</w:t>
      </w:r>
      <w:r w:rsidRPr="00C50B18">
        <w:rPr>
          <w:lang w:val="fr-CH"/>
        </w:rPr>
        <w:t>article 19 du Pacte, même si ces trois mesures étaient autorisées par la loi. Le Comité relève que les autorités nationales n</w:t>
      </w:r>
      <w:r>
        <w:rPr>
          <w:lang w:val="fr-CH"/>
        </w:rPr>
        <w:t>’</w:t>
      </w:r>
      <w:r w:rsidRPr="00C50B18">
        <w:rPr>
          <w:lang w:val="fr-CH"/>
        </w:rPr>
        <w:t>ont pas expliqué pourquoi il était nécessaire de restreindre la liberté de l</w:t>
      </w:r>
      <w:r>
        <w:rPr>
          <w:lang w:val="fr-CH"/>
        </w:rPr>
        <w:t>’</w:t>
      </w:r>
      <w:r w:rsidRPr="00C50B18">
        <w:rPr>
          <w:lang w:val="fr-CH"/>
        </w:rPr>
        <w:t>auteure de rechercher, de recevoir et de répandre des informations pour garantir le respect des droits ou de la réputation d</w:t>
      </w:r>
      <w:r>
        <w:rPr>
          <w:lang w:val="fr-CH"/>
        </w:rPr>
        <w:t>’</w:t>
      </w:r>
      <w:r w:rsidRPr="00C50B18">
        <w:rPr>
          <w:lang w:val="fr-CH"/>
        </w:rPr>
        <w:t>autrui ou pour sauvegarder la sécurité nationale, l</w:t>
      </w:r>
      <w:r>
        <w:rPr>
          <w:lang w:val="fr-CH"/>
        </w:rPr>
        <w:t>’</w:t>
      </w:r>
      <w:r w:rsidRPr="00C50B18">
        <w:rPr>
          <w:lang w:val="fr-CH"/>
        </w:rPr>
        <w:t>ordre public ou encore la santé ou la moralité publiques.</w:t>
      </w:r>
    </w:p>
    <w:p w14:paraId="5D399C30" w14:textId="77777777" w:rsidR="00AF780E" w:rsidRPr="00C50B18" w:rsidRDefault="00AF780E" w:rsidP="00AF780E">
      <w:pPr>
        <w:pStyle w:val="SingleTxt"/>
        <w:rPr>
          <w:lang w:val="fr-CH"/>
        </w:rPr>
      </w:pPr>
      <w:r w:rsidRPr="00C50B18">
        <w:rPr>
          <w:lang w:val="fr-CH"/>
        </w:rPr>
        <w:t>8.6</w:t>
      </w:r>
      <w:r w:rsidRPr="00C50B18">
        <w:rPr>
          <w:lang w:val="fr-CH"/>
        </w:rPr>
        <w:tab/>
        <w:t>Compte tenu de ce qui précède et étant donné que l</w:t>
      </w:r>
      <w:r>
        <w:rPr>
          <w:lang w:val="fr-CH"/>
        </w:rPr>
        <w:t>’</w:t>
      </w:r>
      <w:r w:rsidRPr="00C50B18">
        <w:rPr>
          <w:lang w:val="fr-CH"/>
        </w:rPr>
        <w:t>État partie n</w:t>
      </w:r>
      <w:r>
        <w:rPr>
          <w:lang w:val="fr-CH"/>
        </w:rPr>
        <w:t>’</w:t>
      </w:r>
      <w:r w:rsidRPr="00C50B18">
        <w:rPr>
          <w:lang w:val="fr-CH"/>
        </w:rPr>
        <w:t>a communiqué aucune information pour justifier la restriction aux fins du paragraphe 3 de l</w:t>
      </w:r>
      <w:r>
        <w:rPr>
          <w:lang w:val="fr-CH"/>
        </w:rPr>
        <w:t>’</w:t>
      </w:r>
      <w:r w:rsidRPr="00C50B18">
        <w:rPr>
          <w:lang w:val="fr-CH"/>
        </w:rPr>
        <w:t>article 19, le Comité conclut qu</w:t>
      </w:r>
      <w:r>
        <w:rPr>
          <w:lang w:val="fr-CH"/>
        </w:rPr>
        <w:t>’</w:t>
      </w:r>
      <w:r w:rsidRPr="00C50B18">
        <w:rPr>
          <w:lang w:val="fr-CH"/>
        </w:rPr>
        <w:t>il y a eu violation des droits que l</w:t>
      </w:r>
      <w:r>
        <w:rPr>
          <w:lang w:val="fr-CH"/>
        </w:rPr>
        <w:t>’</w:t>
      </w:r>
      <w:r w:rsidRPr="00C50B18">
        <w:rPr>
          <w:lang w:val="fr-CH"/>
        </w:rPr>
        <w:t>auteure tient du paragraphe 2 de l</w:t>
      </w:r>
      <w:r>
        <w:rPr>
          <w:lang w:val="fr-CH"/>
        </w:rPr>
        <w:t>’</w:t>
      </w:r>
      <w:r w:rsidRPr="00C50B18">
        <w:rPr>
          <w:lang w:val="fr-CH"/>
        </w:rPr>
        <w:t>article 19 du Pacte.</w:t>
      </w:r>
    </w:p>
    <w:p w14:paraId="0629C8E3" w14:textId="77777777" w:rsidR="00AF780E" w:rsidRPr="00C50B18" w:rsidRDefault="00AF780E" w:rsidP="00AF780E">
      <w:pPr>
        <w:pStyle w:val="SingleTxt"/>
        <w:rPr>
          <w:lang w:val="fr-CH"/>
        </w:rPr>
      </w:pPr>
      <w:r w:rsidRPr="00C50B18">
        <w:rPr>
          <w:lang w:val="fr-CH"/>
        </w:rPr>
        <w:t>9.</w:t>
      </w:r>
      <w:r w:rsidRPr="00C50B18">
        <w:rPr>
          <w:lang w:val="fr-CH"/>
        </w:rPr>
        <w:tab/>
        <w:t>Le Comité des droits de l</w:t>
      </w:r>
      <w:r>
        <w:rPr>
          <w:lang w:val="fr-CH"/>
        </w:rPr>
        <w:t>’</w:t>
      </w:r>
      <w:r w:rsidRPr="00C50B18">
        <w:rPr>
          <w:lang w:val="fr-CH"/>
        </w:rPr>
        <w:t>homme, agissant en vertu du paragraphe 4 de l</w:t>
      </w:r>
      <w:r>
        <w:rPr>
          <w:lang w:val="fr-CH"/>
        </w:rPr>
        <w:t>’</w:t>
      </w:r>
      <w:r w:rsidRPr="00C50B18">
        <w:rPr>
          <w:lang w:val="fr-CH"/>
        </w:rPr>
        <w:t>article 5 du Protocole facultatif, constate que les faits qui lui ont été présentés font apparaître une violation par l</w:t>
      </w:r>
      <w:r>
        <w:rPr>
          <w:lang w:val="fr-CH"/>
        </w:rPr>
        <w:t>’</w:t>
      </w:r>
      <w:r w:rsidRPr="00C50B18">
        <w:rPr>
          <w:lang w:val="fr-CH"/>
        </w:rPr>
        <w:t>État partie des droits que l</w:t>
      </w:r>
      <w:r>
        <w:rPr>
          <w:lang w:val="fr-CH"/>
        </w:rPr>
        <w:t>’</w:t>
      </w:r>
      <w:r w:rsidRPr="00C50B18">
        <w:rPr>
          <w:lang w:val="fr-CH"/>
        </w:rPr>
        <w:t>auteure tient du paragraphe 2 de l</w:t>
      </w:r>
      <w:r>
        <w:rPr>
          <w:lang w:val="fr-CH"/>
        </w:rPr>
        <w:t>’</w:t>
      </w:r>
      <w:r w:rsidRPr="00C50B18">
        <w:rPr>
          <w:lang w:val="fr-CH"/>
        </w:rPr>
        <w:t>article 19 du Pacte.</w:t>
      </w:r>
    </w:p>
    <w:p w14:paraId="0C0C7214" w14:textId="77777777" w:rsidR="00AF780E" w:rsidRPr="00C50B18" w:rsidRDefault="00AF780E" w:rsidP="00AF780E">
      <w:pPr>
        <w:pStyle w:val="SingleTxt"/>
        <w:rPr>
          <w:lang w:val="fr-CH"/>
        </w:rPr>
      </w:pPr>
      <w:r w:rsidRPr="00C50B18">
        <w:rPr>
          <w:lang w:val="fr-CH"/>
        </w:rPr>
        <w:t>10.</w:t>
      </w:r>
      <w:r w:rsidRPr="00C50B18">
        <w:rPr>
          <w:lang w:val="fr-CH"/>
        </w:rPr>
        <w:tab/>
        <w:t>Conformément au paragraphe 3 a) de l</w:t>
      </w:r>
      <w:r>
        <w:rPr>
          <w:lang w:val="fr-CH"/>
        </w:rPr>
        <w:t>’</w:t>
      </w:r>
      <w:r w:rsidRPr="00C50B18">
        <w:rPr>
          <w:lang w:val="fr-CH"/>
        </w:rPr>
        <w:t>article 2 du Pacte, l</w:t>
      </w:r>
      <w:r>
        <w:rPr>
          <w:lang w:val="fr-CH"/>
        </w:rPr>
        <w:t>’</w:t>
      </w:r>
      <w:r w:rsidRPr="00C50B18">
        <w:rPr>
          <w:lang w:val="fr-CH"/>
        </w:rPr>
        <w:t>État partie est tenu d</w:t>
      </w:r>
      <w:r>
        <w:rPr>
          <w:lang w:val="fr-CH"/>
        </w:rPr>
        <w:t>’</w:t>
      </w:r>
      <w:r w:rsidRPr="00C50B18">
        <w:rPr>
          <w:lang w:val="fr-CH"/>
        </w:rPr>
        <w:t>assurer à l</w:t>
      </w:r>
      <w:r>
        <w:rPr>
          <w:lang w:val="fr-CH"/>
        </w:rPr>
        <w:t>’</w:t>
      </w:r>
      <w:r w:rsidRPr="00C50B18">
        <w:rPr>
          <w:lang w:val="fr-CH"/>
        </w:rPr>
        <w:t>auteure un recours utile, y compris sous la forme d</w:t>
      </w:r>
      <w:r>
        <w:rPr>
          <w:lang w:val="fr-CH"/>
        </w:rPr>
        <w:t>’</w:t>
      </w:r>
      <w:r w:rsidRPr="00C50B18">
        <w:rPr>
          <w:lang w:val="fr-CH"/>
        </w:rPr>
        <w:t>une indemnisation. L</w:t>
      </w:r>
      <w:r>
        <w:rPr>
          <w:lang w:val="fr-CH"/>
        </w:rPr>
        <w:t>’</w:t>
      </w:r>
      <w:r w:rsidRPr="00C50B18">
        <w:rPr>
          <w:lang w:val="fr-CH"/>
        </w:rPr>
        <w:t>État partie est en outre tenu de veiller à ce que des violations analogues ne se reproduisent pas, notamment en révisant sa législation nationale et l</w:t>
      </w:r>
      <w:r>
        <w:rPr>
          <w:lang w:val="fr-CH"/>
        </w:rPr>
        <w:t>’</w:t>
      </w:r>
      <w:r w:rsidRPr="00C50B18">
        <w:rPr>
          <w:lang w:val="fr-CH"/>
        </w:rPr>
        <w:t>application de celle-ci de manière à les rendre compatibles avec son obligation d</w:t>
      </w:r>
      <w:r>
        <w:rPr>
          <w:lang w:val="fr-CH"/>
        </w:rPr>
        <w:t>’</w:t>
      </w:r>
      <w:r w:rsidRPr="00C50B18">
        <w:rPr>
          <w:lang w:val="fr-CH"/>
        </w:rPr>
        <w:t>adopter des mesures propres à donner effet aux droits reconnus à l</w:t>
      </w:r>
      <w:r>
        <w:rPr>
          <w:lang w:val="fr-CH"/>
        </w:rPr>
        <w:t>’</w:t>
      </w:r>
      <w:r w:rsidRPr="00C50B18">
        <w:rPr>
          <w:lang w:val="fr-CH"/>
        </w:rPr>
        <w:t>article 19.</w:t>
      </w:r>
    </w:p>
    <w:p w14:paraId="548112ED" w14:textId="77777777" w:rsidR="00AF780E" w:rsidRDefault="00AF780E" w:rsidP="00AF780E">
      <w:pPr>
        <w:pStyle w:val="SingleTxt"/>
        <w:rPr>
          <w:lang w:val="fr-CH"/>
        </w:rPr>
      </w:pPr>
      <w:r w:rsidRPr="00C50B18">
        <w:rPr>
          <w:lang w:val="fr-CH"/>
        </w:rPr>
        <w:t>11.</w:t>
      </w:r>
      <w:r w:rsidRPr="00C50B18">
        <w:rPr>
          <w:lang w:val="fr-CH"/>
        </w:rPr>
        <w:tab/>
        <w:t>Étant donné qu</w:t>
      </w:r>
      <w:r>
        <w:rPr>
          <w:lang w:val="fr-CH"/>
        </w:rPr>
        <w:t>’</w:t>
      </w:r>
      <w:r w:rsidRPr="00C50B18">
        <w:rPr>
          <w:lang w:val="fr-CH"/>
        </w:rPr>
        <w:t>en adhérant au Protocole facultatif, l</w:t>
      </w:r>
      <w:r>
        <w:rPr>
          <w:lang w:val="fr-CH"/>
        </w:rPr>
        <w:t>’</w:t>
      </w:r>
      <w:r w:rsidRPr="00C50B18">
        <w:rPr>
          <w:lang w:val="fr-CH"/>
        </w:rPr>
        <w:t>État partie a reconnu que le Comité a compétence pour déterminer s</w:t>
      </w:r>
      <w:r>
        <w:rPr>
          <w:lang w:val="fr-CH"/>
        </w:rPr>
        <w:t>’</w:t>
      </w:r>
      <w:r w:rsidRPr="00C50B18">
        <w:rPr>
          <w:lang w:val="fr-CH"/>
        </w:rPr>
        <w:t>il y a ou non violation du Pacte et que, conformément à l</w:t>
      </w:r>
      <w:r>
        <w:rPr>
          <w:lang w:val="fr-CH"/>
        </w:rPr>
        <w:t xml:space="preserve">’article 2 du </w:t>
      </w:r>
      <w:r w:rsidRPr="00C50B18">
        <w:rPr>
          <w:lang w:val="fr-CH"/>
        </w:rPr>
        <w:t>Pacte, il s</w:t>
      </w:r>
      <w:r>
        <w:rPr>
          <w:lang w:val="fr-CH"/>
        </w:rPr>
        <w:t>’</w:t>
      </w:r>
      <w:r w:rsidRPr="00C50B18">
        <w:rPr>
          <w:lang w:val="fr-CH"/>
        </w:rPr>
        <w:t>est engagé à garantir à tous les individus se trouvant sur son territoire et relev</w:t>
      </w:r>
      <w:r>
        <w:rPr>
          <w:lang w:val="fr-CH"/>
        </w:rPr>
        <w:t xml:space="preserve">ant de sa </w:t>
      </w:r>
      <w:r w:rsidRPr="00C50B18">
        <w:rPr>
          <w:lang w:val="fr-CH"/>
        </w:rPr>
        <w:t>juridiction les droits reconnus dans le Pacte et à assurer un recours utile et exécutoire lorsqu</w:t>
      </w:r>
      <w:r>
        <w:rPr>
          <w:lang w:val="fr-CH"/>
        </w:rPr>
        <w:t>’</w:t>
      </w:r>
      <w:r w:rsidRPr="00C50B18">
        <w:rPr>
          <w:lang w:val="fr-CH"/>
        </w:rPr>
        <w:t>une violation a été établie, le Comité souhaite recevoir de l</w:t>
      </w:r>
      <w:r>
        <w:rPr>
          <w:lang w:val="fr-CH"/>
        </w:rPr>
        <w:t>’</w:t>
      </w:r>
      <w:r w:rsidRPr="00C50B18">
        <w:rPr>
          <w:lang w:val="fr-CH"/>
        </w:rPr>
        <w:t>État partie, dans un délai de cent quatre-vingts jours, des renseignements sur les mesures prises pour donner effet aux présentes constatations. L</w:t>
      </w:r>
      <w:r>
        <w:rPr>
          <w:lang w:val="fr-CH"/>
        </w:rPr>
        <w:t>’</w:t>
      </w:r>
      <w:r w:rsidRPr="00C50B18">
        <w:rPr>
          <w:lang w:val="fr-CH"/>
        </w:rPr>
        <w:t>État partie est invité en outre à rendre celles-ci publiques et à les diffuser largement dans le pays en biélorusse et en russe.</w:t>
      </w:r>
    </w:p>
    <w:p w14:paraId="76BFE7A2" w14:textId="77777777" w:rsidR="00AF780E" w:rsidRDefault="00AF780E" w:rsidP="00AF780E">
      <w:pPr>
        <w:pStyle w:val="SingleTxt"/>
        <w:rPr>
          <w:lang w:val="fr-CH"/>
        </w:rPr>
      </w:pPr>
      <w:r>
        <w:rPr>
          <w:lang w:val="fr-CH"/>
        </w:rPr>
        <w:br w:type="page"/>
      </w:r>
    </w:p>
    <w:p w14:paraId="3B263461" w14:textId="77777777" w:rsidR="00AF780E" w:rsidRPr="00C50B18" w:rsidRDefault="00AF780E" w:rsidP="00AF780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50B18">
        <w:rPr>
          <w:lang w:val="fr-CH"/>
        </w:rPr>
        <w:t>Appendice</w:t>
      </w:r>
    </w:p>
    <w:p w14:paraId="43B430E6" w14:textId="77777777" w:rsidR="00AF780E" w:rsidRPr="00C50B18" w:rsidRDefault="00AF780E" w:rsidP="00AF780E">
      <w:pPr>
        <w:pStyle w:val="SingleTxt"/>
        <w:spacing w:after="0" w:line="120" w:lineRule="exact"/>
        <w:rPr>
          <w:b/>
          <w:sz w:val="10"/>
          <w:lang w:val="fr-CH"/>
        </w:rPr>
      </w:pPr>
    </w:p>
    <w:p w14:paraId="72C4C237" w14:textId="77777777" w:rsidR="00AF780E" w:rsidRPr="00C50B18" w:rsidRDefault="00AF780E" w:rsidP="00AF780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C50B18">
        <w:rPr>
          <w:lang w:val="fr-CH"/>
        </w:rPr>
        <w:t xml:space="preserve">Opinion individuelle (concordante) signée </w:t>
      </w:r>
      <w:r>
        <w:rPr>
          <w:lang w:val="fr-CH"/>
        </w:rPr>
        <w:br/>
      </w:r>
      <w:r w:rsidRPr="00C50B18">
        <w:rPr>
          <w:lang w:val="fr-CH"/>
        </w:rPr>
        <w:t>d</w:t>
      </w:r>
      <w:r>
        <w:rPr>
          <w:lang w:val="fr-CH"/>
        </w:rPr>
        <w:t>’</w:t>
      </w:r>
      <w:r w:rsidRPr="00C50B18">
        <w:rPr>
          <w:lang w:val="fr-CH"/>
        </w:rPr>
        <w:t>Anja Seibert-Fohr et de Yuji Iwasawa</w:t>
      </w:r>
    </w:p>
    <w:p w14:paraId="015BAFF2" w14:textId="77777777" w:rsidR="00AF780E" w:rsidRPr="00C50B18" w:rsidRDefault="00AF780E" w:rsidP="00AF780E">
      <w:pPr>
        <w:pStyle w:val="SingleTxt"/>
        <w:spacing w:after="0" w:line="120" w:lineRule="exact"/>
        <w:rPr>
          <w:sz w:val="10"/>
          <w:lang w:val="fr-CH"/>
        </w:rPr>
      </w:pPr>
    </w:p>
    <w:p w14:paraId="3579830C" w14:textId="77777777" w:rsidR="00AF780E" w:rsidRPr="00C50B18" w:rsidRDefault="00AF780E" w:rsidP="00AF780E">
      <w:pPr>
        <w:pStyle w:val="SingleTxt"/>
        <w:spacing w:after="0" w:line="120" w:lineRule="exact"/>
        <w:rPr>
          <w:sz w:val="10"/>
          <w:lang w:val="fr-CH"/>
        </w:rPr>
      </w:pPr>
    </w:p>
    <w:p w14:paraId="11A53CAE" w14:textId="77777777" w:rsidR="00AF780E" w:rsidRDefault="00AF780E" w:rsidP="00280820">
      <w:pPr>
        <w:pStyle w:val="SingleTxt"/>
        <w:rPr>
          <w:lang w:val="fr-FR"/>
        </w:rPr>
      </w:pPr>
      <w:r>
        <w:rPr>
          <w:lang w:val="fr-CH"/>
        </w:rPr>
        <w:tab/>
      </w:r>
      <w:r w:rsidRPr="00C50B18">
        <w:rPr>
          <w:lang w:val="fr-CH"/>
        </w:rPr>
        <w:t>Nous souscrivons aux conclusions tirées par le Comité au sujet de cette communication, mais nous sommes en désaccord avec une partie du rai</w:t>
      </w:r>
      <w:r>
        <w:rPr>
          <w:lang w:val="fr-CH"/>
        </w:rPr>
        <w:t>sonnement exprimé au paragraphe </w:t>
      </w:r>
      <w:r w:rsidRPr="00C50B18">
        <w:rPr>
          <w:lang w:val="fr-CH"/>
        </w:rPr>
        <w:t>7.5, où est examiné le grief de l</w:t>
      </w:r>
      <w:r>
        <w:rPr>
          <w:lang w:val="fr-CH"/>
        </w:rPr>
        <w:t>’</w:t>
      </w:r>
      <w:r w:rsidRPr="00C50B18">
        <w:rPr>
          <w:lang w:val="fr-CH"/>
        </w:rPr>
        <w:t>auteure qui fait valoir que l</w:t>
      </w:r>
      <w:r>
        <w:rPr>
          <w:lang w:val="fr-CH"/>
        </w:rPr>
        <w:t>’</w:t>
      </w:r>
      <w:r w:rsidRPr="00C50B18">
        <w:rPr>
          <w:lang w:val="fr-CH"/>
        </w:rPr>
        <w:t>État partie a manqué à ses obligations découlant du paragraphe 2 de l</w:t>
      </w:r>
      <w:r>
        <w:rPr>
          <w:lang w:val="fr-CH"/>
        </w:rPr>
        <w:t>’</w:t>
      </w:r>
      <w:r w:rsidRPr="00C50B18">
        <w:rPr>
          <w:lang w:val="fr-CH"/>
        </w:rPr>
        <w:t>article 2 du Pacte, lu conjointement avec l</w:t>
      </w:r>
      <w:r>
        <w:rPr>
          <w:lang w:val="fr-CH"/>
        </w:rPr>
        <w:t>’</w:t>
      </w:r>
      <w:r w:rsidRPr="00C50B18">
        <w:rPr>
          <w:lang w:val="fr-CH"/>
        </w:rPr>
        <w:t>article 19, parce qu</w:t>
      </w:r>
      <w:r>
        <w:rPr>
          <w:lang w:val="fr-CH"/>
        </w:rPr>
        <w:t>’</w:t>
      </w:r>
      <w:r w:rsidRPr="00C50B18">
        <w:rPr>
          <w:lang w:val="fr-CH"/>
        </w:rPr>
        <w:t>il n</w:t>
      </w:r>
      <w:r>
        <w:rPr>
          <w:lang w:val="fr-CH"/>
        </w:rPr>
        <w:t>’</w:t>
      </w:r>
      <w:r w:rsidRPr="00C50B18">
        <w:rPr>
          <w:lang w:val="fr-CH"/>
        </w:rPr>
        <w:t>a pas adopté de mesures, d</w:t>
      </w:r>
      <w:r>
        <w:rPr>
          <w:lang w:val="fr-CH"/>
        </w:rPr>
        <w:t>’</w:t>
      </w:r>
      <w:r w:rsidRPr="00C50B18">
        <w:rPr>
          <w:lang w:val="fr-CH"/>
        </w:rPr>
        <w:t>ordre législatif ou autre, propres à donner effet aux droits reconnus par cet article. Dans ce passage, le Comité laisse une nouvelle fois ouverte la possibilité qu</w:t>
      </w:r>
      <w:r>
        <w:rPr>
          <w:lang w:val="fr-CH"/>
        </w:rPr>
        <w:t>’</w:t>
      </w:r>
      <w:r w:rsidRPr="00C50B18">
        <w:rPr>
          <w:lang w:val="fr-CH"/>
        </w:rPr>
        <w:t>un individu puisse invoquer les dispositions du paragraphe 2 de l</w:t>
      </w:r>
      <w:r>
        <w:rPr>
          <w:lang w:val="fr-CH"/>
        </w:rPr>
        <w:t>’</w:t>
      </w:r>
      <w:r w:rsidRPr="00C50B18">
        <w:rPr>
          <w:lang w:val="fr-CH"/>
        </w:rPr>
        <w:t>article 2 du Pacte conjointement avec une autre disposition du Pacte si le fait qu</w:t>
      </w:r>
      <w:r>
        <w:rPr>
          <w:lang w:val="fr-CH"/>
        </w:rPr>
        <w:t>’</w:t>
      </w:r>
      <w:r w:rsidRPr="00C50B18">
        <w:rPr>
          <w:lang w:val="fr-CH"/>
        </w:rPr>
        <w:t>un État partie manque à ses obligations découlant de ce paragraphe est «</w:t>
      </w:r>
      <w:r>
        <w:rPr>
          <w:lang w:val="fr-CH"/>
        </w:rPr>
        <w:t> </w:t>
      </w:r>
      <w:r w:rsidRPr="00C50B18">
        <w:rPr>
          <w:lang w:val="fr-CH"/>
        </w:rPr>
        <w:t>la cause immédiate d</w:t>
      </w:r>
      <w:r>
        <w:rPr>
          <w:lang w:val="fr-CH"/>
        </w:rPr>
        <w:t>’</w:t>
      </w:r>
      <w:r w:rsidRPr="00C50B18">
        <w:rPr>
          <w:lang w:val="fr-CH"/>
        </w:rPr>
        <w:t>une violation distincte du Pacte touchant directement la personne qui affirme être victime</w:t>
      </w:r>
      <w:r>
        <w:rPr>
          <w:lang w:val="fr-CH"/>
        </w:rPr>
        <w:t> </w:t>
      </w:r>
      <w:r w:rsidRPr="00C50B18">
        <w:rPr>
          <w:lang w:val="fr-CH"/>
        </w:rPr>
        <w:t>». Nous renvoyons à notre opinion conjointe dans l</w:t>
      </w:r>
      <w:r>
        <w:rPr>
          <w:lang w:val="fr-CH"/>
        </w:rPr>
        <w:t>’</w:t>
      </w:r>
      <w:r w:rsidRPr="00C50B18">
        <w:rPr>
          <w:lang w:val="fr-CH"/>
        </w:rPr>
        <w:t xml:space="preserve">affaire </w:t>
      </w:r>
      <w:r w:rsidRPr="00C50B18">
        <w:rPr>
          <w:i/>
          <w:lang w:val="fr-CH"/>
        </w:rPr>
        <w:t>Kuznetsov et consorts</w:t>
      </w:r>
      <w:r w:rsidRPr="00C50B18">
        <w:rPr>
          <w:lang w:val="fr-CH"/>
        </w:rPr>
        <w:t xml:space="preserve"> c. </w:t>
      </w:r>
      <w:r w:rsidRPr="00C50B18">
        <w:rPr>
          <w:i/>
          <w:lang w:val="fr-CH"/>
        </w:rPr>
        <w:t>Bélarus</w:t>
      </w:r>
      <w:r w:rsidRPr="00C50B18">
        <w:rPr>
          <w:lang w:val="fr-CH"/>
        </w:rPr>
        <w:t>, dans laquelle nous exposons les raisons pour lesquelles le Comité aurait dû considérer que le grief de l</w:t>
      </w:r>
      <w:r>
        <w:rPr>
          <w:lang w:val="fr-CH"/>
        </w:rPr>
        <w:t>’</w:t>
      </w:r>
      <w:r w:rsidRPr="00C50B18">
        <w:rPr>
          <w:lang w:val="fr-CH"/>
        </w:rPr>
        <w:t>auteure au titre du paragraphe 2 de l</w:t>
      </w:r>
      <w:r>
        <w:rPr>
          <w:lang w:val="fr-CH"/>
        </w:rPr>
        <w:t>’</w:t>
      </w:r>
      <w:r w:rsidRPr="00C50B18">
        <w:rPr>
          <w:lang w:val="fr-CH"/>
        </w:rPr>
        <w:t>article 2, lu conjointement avec l</w:t>
      </w:r>
      <w:r>
        <w:rPr>
          <w:lang w:val="fr-CH"/>
        </w:rPr>
        <w:t>’</w:t>
      </w:r>
      <w:r w:rsidRPr="00C50B18">
        <w:rPr>
          <w:lang w:val="fr-CH"/>
        </w:rPr>
        <w:t>article 19, était irrecevable au motif que les dispositions de ce paragraphe ne peuvent jamais être invoquées de la sorte, pas plus qu</w:t>
      </w:r>
      <w:r>
        <w:rPr>
          <w:lang w:val="fr-CH"/>
        </w:rPr>
        <w:t>’</w:t>
      </w:r>
      <w:r w:rsidRPr="00C50B18">
        <w:rPr>
          <w:lang w:val="fr-CH"/>
        </w:rPr>
        <w:t>elles ne peuvent être invoquées isolément</w:t>
      </w:r>
      <w:r w:rsidRPr="000C45A4">
        <w:rPr>
          <w:rStyle w:val="FootnoteReference"/>
          <w:lang w:val="fr-CH"/>
        </w:rPr>
        <w:footnoteReference w:id="10"/>
      </w:r>
      <w:r w:rsidRPr="00C50B18">
        <w:rPr>
          <w:lang w:val="fr-CH"/>
        </w:rPr>
        <w:t xml:space="preserve">. </w:t>
      </w:r>
      <w:r w:rsidRPr="00C50B18">
        <w:rPr>
          <w:lang w:val="fr-FR"/>
        </w:rPr>
        <w:t>Le paragraphe 2 de l</w:t>
      </w:r>
      <w:r>
        <w:rPr>
          <w:lang w:val="fr-FR"/>
        </w:rPr>
        <w:t>’</w:t>
      </w:r>
      <w:r w:rsidRPr="00C50B18">
        <w:rPr>
          <w:lang w:val="fr-FR"/>
        </w:rPr>
        <w:t>article 2 ne confère pas à des individus le droit d</w:t>
      </w:r>
      <w:r>
        <w:rPr>
          <w:lang w:val="fr-FR"/>
        </w:rPr>
        <w:t>’</w:t>
      </w:r>
      <w:r w:rsidRPr="00C50B18">
        <w:rPr>
          <w:lang w:val="fr-FR"/>
        </w:rPr>
        <w:t>exiger d</w:t>
      </w:r>
      <w:r>
        <w:rPr>
          <w:lang w:val="fr-FR"/>
        </w:rPr>
        <w:t>’</w:t>
      </w:r>
      <w:r w:rsidRPr="00C50B18">
        <w:rPr>
          <w:lang w:val="fr-FR"/>
        </w:rPr>
        <w:t>un État partie qu</w:t>
      </w:r>
      <w:r>
        <w:rPr>
          <w:lang w:val="fr-FR"/>
        </w:rPr>
        <w:t>’</w:t>
      </w:r>
      <w:r w:rsidRPr="00C50B18">
        <w:rPr>
          <w:lang w:val="fr-FR"/>
        </w:rPr>
        <w:t>il adopte des mesures d</w:t>
      </w:r>
      <w:r>
        <w:rPr>
          <w:lang w:val="fr-FR"/>
        </w:rPr>
        <w:t>’</w:t>
      </w:r>
      <w:r w:rsidRPr="00C50B18">
        <w:rPr>
          <w:lang w:val="fr-FR"/>
        </w:rPr>
        <w:t>ordre législatif ou autre. Cette conclusion ne change pas lorsque ces dispositions sont lues conjointement avec un article protégeant un droit fondamental. Si des personnes sont lésées dans leurs droits par une loi qui viole un droit fondamental, ou par l</w:t>
      </w:r>
      <w:r>
        <w:rPr>
          <w:lang w:val="fr-FR"/>
        </w:rPr>
        <w:t>’</w:t>
      </w:r>
      <w:r w:rsidRPr="00C50B18">
        <w:rPr>
          <w:lang w:val="fr-FR"/>
        </w:rPr>
        <w:t>application d</w:t>
      </w:r>
      <w:r>
        <w:rPr>
          <w:lang w:val="fr-FR"/>
        </w:rPr>
        <w:t>’</w:t>
      </w:r>
      <w:r w:rsidRPr="00C50B18">
        <w:rPr>
          <w:lang w:val="fr-FR"/>
        </w:rPr>
        <w:t>une loi, ou encore par l</w:t>
      </w:r>
      <w:r>
        <w:rPr>
          <w:lang w:val="fr-FR"/>
        </w:rPr>
        <w:t>’</w:t>
      </w:r>
      <w:r w:rsidRPr="00C50B18">
        <w:rPr>
          <w:lang w:val="fr-FR"/>
        </w:rPr>
        <w:t>absence de loi, le Comité est compétent pour constater une violation des droits fondamentaux dans chacun de ces cas et recommander une mesure de réparation appropriée. Le fait d</w:t>
      </w:r>
      <w:r>
        <w:rPr>
          <w:lang w:val="fr-FR"/>
        </w:rPr>
        <w:t>’</w:t>
      </w:r>
      <w:r w:rsidRPr="00C50B18">
        <w:rPr>
          <w:lang w:val="fr-FR"/>
        </w:rPr>
        <w:t>ajouter une violation du paragraphe 2 de l</w:t>
      </w:r>
      <w:r>
        <w:rPr>
          <w:lang w:val="fr-FR"/>
        </w:rPr>
        <w:t>’</w:t>
      </w:r>
      <w:r w:rsidRPr="00C50B18">
        <w:rPr>
          <w:lang w:val="fr-FR"/>
        </w:rPr>
        <w:t>article 2, lu conjointement avec une disposition de fond, n</w:t>
      </w:r>
      <w:r>
        <w:rPr>
          <w:lang w:val="fr-FR"/>
        </w:rPr>
        <w:t>’</w:t>
      </w:r>
      <w:r w:rsidRPr="00C50B18">
        <w:rPr>
          <w:lang w:val="fr-FR"/>
        </w:rPr>
        <w:t>accroîtrait en rien la protection de l</w:t>
      </w:r>
      <w:r>
        <w:rPr>
          <w:lang w:val="fr-FR"/>
        </w:rPr>
        <w:t>’</w:t>
      </w:r>
      <w:r w:rsidRPr="00C50B18">
        <w:rPr>
          <w:lang w:val="fr-FR"/>
        </w:rPr>
        <w:t>individu. Comme nous l</w:t>
      </w:r>
      <w:r>
        <w:rPr>
          <w:lang w:val="fr-FR"/>
        </w:rPr>
        <w:t>’</w:t>
      </w:r>
      <w:r w:rsidRPr="00C50B18">
        <w:rPr>
          <w:lang w:val="fr-FR"/>
        </w:rPr>
        <w:t xml:space="preserve">avions prédit dans la communication </w:t>
      </w:r>
      <w:r w:rsidRPr="00C50B18">
        <w:rPr>
          <w:i/>
          <w:lang w:val="fr-FR"/>
        </w:rPr>
        <w:t>Kuznetsov et consorts</w:t>
      </w:r>
      <w:r w:rsidRPr="00C50B18">
        <w:rPr>
          <w:lang w:val="fr-FR"/>
        </w:rPr>
        <w:t xml:space="preserve"> c. </w:t>
      </w:r>
      <w:r w:rsidRPr="00C50B18">
        <w:rPr>
          <w:i/>
          <w:lang w:val="fr-FR"/>
        </w:rPr>
        <w:t>Bélarus</w:t>
      </w:r>
      <w:r w:rsidRPr="00C50B18">
        <w:rPr>
          <w:lang w:val="fr-FR"/>
        </w:rPr>
        <w:t>, le fait de laisser ouverte la possibilité de constater des violations conjointes au titre du paragraphe 2 de l</w:t>
      </w:r>
      <w:r>
        <w:rPr>
          <w:lang w:val="fr-FR"/>
        </w:rPr>
        <w:t>’</w:t>
      </w:r>
      <w:r w:rsidRPr="00C50B18">
        <w:rPr>
          <w:lang w:val="fr-FR"/>
        </w:rPr>
        <w:t>article 2 entraîne le Comité dans des discussions stériles qui absorbent un temps déjà limité qui serait plus utilement employé à examiner des questions plus importantes ou à rendre plus rapidement des décisions concernant un plus grand nombre de communications. Par conséquent, le Comité aurait dû reconnaître que le paragraphe 2 de l</w:t>
      </w:r>
      <w:r>
        <w:rPr>
          <w:lang w:val="fr-FR"/>
        </w:rPr>
        <w:t>’</w:t>
      </w:r>
      <w:r w:rsidRPr="00C50B18">
        <w:rPr>
          <w:lang w:val="fr-FR"/>
        </w:rPr>
        <w:t>article 2 ne peut pas être invoqué isolément ni conjointement pour faire valoir un grief dans une communication.</w:t>
      </w:r>
    </w:p>
    <w:p w14:paraId="0B158B92" w14:textId="77777777" w:rsidR="006109D8" w:rsidRPr="00AF780E" w:rsidRDefault="00AF780E" w:rsidP="00AF780E">
      <w:pPr>
        <w:pStyle w:val="SingleTxt"/>
        <w:spacing w:after="0" w:line="240" w:lineRule="auto"/>
      </w:pPr>
      <w:r>
        <w:rPr>
          <w:noProof/>
          <w:w w:val="100"/>
          <w:lang w:val="en-US" w:eastAsia="en-US"/>
        </w:rPr>
        <mc:AlternateContent>
          <mc:Choice Requires="wps">
            <w:drawing>
              <wp:anchor distT="0" distB="0" distL="114300" distR="114300" simplePos="0" relativeHeight="251659264" behindDoc="0" locked="0" layoutInCell="1" allowOverlap="1" wp14:anchorId="549827E5" wp14:editId="6C3F5D72">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770D1"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6109D8" w:rsidRPr="00AF780E" w:rsidSect="006109D8">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25T14:03:00Z" w:initials="Start">
    <w:p w14:paraId="55F0D5C6" w14:textId="77777777" w:rsidR="006109D8" w:rsidRPr="00AF780E" w:rsidRDefault="006109D8">
      <w:pPr>
        <w:pStyle w:val="CommentText"/>
        <w:rPr>
          <w:lang w:val="en-US"/>
        </w:rPr>
      </w:pPr>
      <w:r>
        <w:fldChar w:fldCharType="begin"/>
      </w:r>
      <w:r w:rsidRPr="00AF780E">
        <w:rPr>
          <w:rStyle w:val="CommentReference"/>
          <w:lang w:val="en-US"/>
        </w:rPr>
        <w:instrText xml:space="preserve"> </w:instrText>
      </w:r>
      <w:r w:rsidRPr="00AF780E">
        <w:rPr>
          <w:lang w:val="en-US"/>
        </w:rPr>
        <w:instrText>PAGE \# "'Page: '#'</w:instrText>
      </w:r>
      <w:r w:rsidRPr="00AF780E">
        <w:rPr>
          <w:lang w:val="en-US"/>
        </w:rPr>
        <w:br/>
        <w:instrText>'"</w:instrText>
      </w:r>
      <w:r w:rsidRPr="00AF780E">
        <w:rPr>
          <w:rStyle w:val="CommentReference"/>
          <w:lang w:val="en-US"/>
        </w:rPr>
        <w:instrText xml:space="preserve"> </w:instrText>
      </w:r>
      <w:r>
        <w:fldChar w:fldCharType="end"/>
      </w:r>
      <w:r>
        <w:rPr>
          <w:rStyle w:val="CommentReference"/>
        </w:rPr>
        <w:annotationRef/>
      </w:r>
      <w:r w:rsidRPr="00AF780E">
        <w:rPr>
          <w:lang w:val="en-US"/>
        </w:rPr>
        <w:t>&lt;&lt;ODS JOB NO&gt;&gt;N1521313F&lt;&lt;ODS JOB NO&gt;&gt;</w:t>
      </w:r>
    </w:p>
    <w:p w14:paraId="1345F469" w14:textId="77777777" w:rsidR="006109D8" w:rsidRDefault="006109D8">
      <w:pPr>
        <w:pStyle w:val="CommentText"/>
      </w:pPr>
      <w:r>
        <w:t>&lt;&lt;ODS DOC SYMBOL1&gt;&gt;CCPR/C/114/D/1982/2010&lt;&lt;ODS DOC SYMBOL1&gt;&gt;</w:t>
      </w:r>
    </w:p>
    <w:p w14:paraId="7DBE0DB3" w14:textId="77777777" w:rsidR="006109D8" w:rsidRDefault="006109D8">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BE0D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68497" w14:textId="77777777" w:rsidR="00CB3ED9" w:rsidRDefault="00CB3ED9" w:rsidP="00F3330B">
      <w:pPr>
        <w:spacing w:line="240" w:lineRule="auto"/>
      </w:pPr>
      <w:r>
        <w:separator/>
      </w:r>
    </w:p>
  </w:endnote>
  <w:endnote w:type="continuationSeparator" w:id="0">
    <w:p w14:paraId="3FA7A0F0" w14:textId="77777777" w:rsidR="00CB3ED9" w:rsidRDefault="00CB3ED9"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6109D8" w14:paraId="478F8C5A" w14:textId="77777777" w:rsidTr="006109D8">
      <w:trPr>
        <w:jc w:val="center"/>
      </w:trPr>
      <w:tc>
        <w:tcPr>
          <w:tcW w:w="5126" w:type="dxa"/>
          <w:shd w:val="clear" w:color="auto" w:fill="auto"/>
        </w:tcPr>
        <w:p w14:paraId="4820C706" w14:textId="77777777" w:rsidR="006109D8" w:rsidRPr="006109D8" w:rsidRDefault="006109D8" w:rsidP="006109D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220C0">
            <w:rPr>
              <w:b w:val="0"/>
              <w:w w:val="103"/>
              <w:sz w:val="14"/>
            </w:rPr>
            <w:t>GE.15-15558</w:t>
          </w:r>
          <w:r>
            <w:rPr>
              <w:b w:val="0"/>
              <w:w w:val="103"/>
              <w:sz w:val="14"/>
            </w:rPr>
            <w:fldChar w:fldCharType="end"/>
          </w:r>
        </w:p>
      </w:tc>
      <w:tc>
        <w:tcPr>
          <w:tcW w:w="5127" w:type="dxa"/>
          <w:shd w:val="clear" w:color="auto" w:fill="auto"/>
        </w:tcPr>
        <w:p w14:paraId="2C800D6B" w14:textId="77777777" w:rsidR="006109D8" w:rsidRPr="006109D8" w:rsidRDefault="006109D8" w:rsidP="006109D8">
          <w:pPr>
            <w:pStyle w:val="Footer"/>
            <w:rPr>
              <w:w w:val="103"/>
            </w:rPr>
          </w:pPr>
          <w:r>
            <w:rPr>
              <w:w w:val="103"/>
            </w:rPr>
            <w:fldChar w:fldCharType="begin"/>
          </w:r>
          <w:r>
            <w:rPr>
              <w:w w:val="103"/>
            </w:rPr>
            <w:instrText xml:space="preserve"> PAGE  \* Arabic  \* MERGEFORMAT </w:instrText>
          </w:r>
          <w:r>
            <w:rPr>
              <w:w w:val="103"/>
            </w:rPr>
            <w:fldChar w:fldCharType="separate"/>
          </w:r>
          <w:r w:rsidR="00092521">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92521">
            <w:rPr>
              <w:noProof/>
              <w:w w:val="103"/>
            </w:rPr>
            <w:t>4</w:t>
          </w:r>
          <w:r>
            <w:rPr>
              <w:w w:val="103"/>
            </w:rPr>
            <w:fldChar w:fldCharType="end"/>
          </w:r>
        </w:p>
      </w:tc>
    </w:tr>
  </w:tbl>
  <w:p w14:paraId="6908214C" w14:textId="77777777" w:rsidR="006109D8" w:rsidRPr="006109D8" w:rsidRDefault="006109D8" w:rsidP="00610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6109D8" w14:paraId="257C108D" w14:textId="77777777" w:rsidTr="006109D8">
      <w:trPr>
        <w:jc w:val="center"/>
      </w:trPr>
      <w:tc>
        <w:tcPr>
          <w:tcW w:w="5126" w:type="dxa"/>
          <w:shd w:val="clear" w:color="auto" w:fill="auto"/>
        </w:tcPr>
        <w:p w14:paraId="28873C97" w14:textId="77777777" w:rsidR="006109D8" w:rsidRPr="006109D8" w:rsidRDefault="006109D8" w:rsidP="006109D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92521">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92521">
            <w:rPr>
              <w:noProof/>
              <w:w w:val="103"/>
            </w:rPr>
            <w:t>4</w:t>
          </w:r>
          <w:r>
            <w:rPr>
              <w:w w:val="103"/>
            </w:rPr>
            <w:fldChar w:fldCharType="end"/>
          </w:r>
        </w:p>
      </w:tc>
      <w:tc>
        <w:tcPr>
          <w:tcW w:w="5127" w:type="dxa"/>
          <w:shd w:val="clear" w:color="auto" w:fill="auto"/>
        </w:tcPr>
        <w:p w14:paraId="672C31B6" w14:textId="77777777" w:rsidR="006109D8" w:rsidRPr="006109D8" w:rsidRDefault="006109D8" w:rsidP="006109D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220C0">
            <w:rPr>
              <w:b w:val="0"/>
              <w:w w:val="103"/>
              <w:sz w:val="14"/>
            </w:rPr>
            <w:t>GE.15-15558</w:t>
          </w:r>
          <w:r>
            <w:rPr>
              <w:b w:val="0"/>
              <w:w w:val="103"/>
              <w:sz w:val="14"/>
            </w:rPr>
            <w:fldChar w:fldCharType="end"/>
          </w:r>
        </w:p>
      </w:tc>
    </w:tr>
  </w:tbl>
  <w:p w14:paraId="2393A73F" w14:textId="77777777" w:rsidR="006109D8" w:rsidRPr="006109D8" w:rsidRDefault="006109D8" w:rsidP="006109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FF47" w14:textId="77777777" w:rsidR="006109D8" w:rsidRDefault="006109D8">
    <w:pPr>
      <w:pStyle w:val="Footer"/>
    </w:pPr>
    <w:r>
      <w:rPr>
        <w:noProof/>
        <w:lang w:eastAsia="en-US"/>
      </w:rPr>
      <w:drawing>
        <wp:anchor distT="0" distB="0" distL="114300" distR="114300" simplePos="0" relativeHeight="251658240" behindDoc="0" locked="0" layoutInCell="1" allowOverlap="1" wp14:anchorId="5E3ED260" wp14:editId="2B199A46">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CCPR/C/114/D/1982/2010&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1982/2010&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6109D8" w14:paraId="640273AA" w14:textId="77777777" w:rsidTr="006109D8">
      <w:tc>
        <w:tcPr>
          <w:tcW w:w="3859" w:type="dxa"/>
        </w:tcPr>
        <w:p w14:paraId="74832E44" w14:textId="77777777" w:rsidR="006109D8" w:rsidRDefault="006109D8" w:rsidP="00913F12">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D220C0">
            <w:rPr>
              <w:b w:val="0"/>
              <w:sz w:val="20"/>
            </w:rPr>
            <w:t>GE.15-15558 (F)</w:t>
          </w:r>
          <w:r>
            <w:rPr>
              <w:b w:val="0"/>
              <w:sz w:val="20"/>
            </w:rPr>
            <w:fldChar w:fldCharType="end"/>
          </w:r>
          <w:r>
            <w:rPr>
              <w:b w:val="0"/>
              <w:sz w:val="20"/>
            </w:rPr>
            <w:t xml:space="preserve">    2</w:t>
          </w:r>
          <w:r w:rsidR="00D96911">
            <w:rPr>
              <w:b w:val="0"/>
              <w:sz w:val="20"/>
            </w:rPr>
            <w:t>4</w:t>
          </w:r>
          <w:r>
            <w:rPr>
              <w:b w:val="0"/>
              <w:sz w:val="20"/>
            </w:rPr>
            <w:t xml:space="preserve">0915    </w:t>
          </w:r>
          <w:r w:rsidR="00913F12">
            <w:rPr>
              <w:b w:val="0"/>
              <w:sz w:val="20"/>
            </w:rPr>
            <w:t>2010</w:t>
          </w:r>
          <w:r>
            <w:rPr>
              <w:b w:val="0"/>
              <w:sz w:val="20"/>
            </w:rPr>
            <w:t>15</w:t>
          </w:r>
        </w:p>
        <w:p w14:paraId="6792E0FC" w14:textId="77777777" w:rsidR="006109D8" w:rsidRPr="006109D8" w:rsidRDefault="006109D8" w:rsidP="006109D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hint="eastAsia"/>
              <w:b w:val="0"/>
              <w:spacing w:val="0"/>
              <w:w w:val="100"/>
              <w:sz w:val="24"/>
            </w:rPr>
            <w:fldChar w:fldCharType="begin"/>
          </w:r>
          <w:r>
            <w:rPr>
              <w:rFonts w:ascii="Barcode 3 of 9 by request" w:hAnsi="Barcode 3 of 9 by request" w:hint="eastAsia"/>
              <w:b w:val="0"/>
              <w:spacing w:val="0"/>
              <w:w w:val="100"/>
              <w:sz w:val="24"/>
            </w:rPr>
            <w:instrText xml:space="preserve"> </w:instrText>
          </w:r>
          <w:r>
            <w:rPr>
              <w:rFonts w:ascii="Barcode 3 of 9 by request" w:hAnsi="Barcode 3 of 9 by request"/>
              <w:b w:val="0"/>
              <w:spacing w:val="0"/>
              <w:w w:val="100"/>
              <w:sz w:val="24"/>
            </w:rPr>
            <w:instrText>DOCVARIABLE "Barcode" \* MERGEFORMAT</w:instrText>
          </w:r>
          <w:r>
            <w:rPr>
              <w:rFonts w:ascii="Barcode 3 of 9 by request" w:hAnsi="Barcode 3 of 9 by request" w:hint="eastAsia"/>
              <w:b w:val="0"/>
              <w:spacing w:val="0"/>
              <w:w w:val="100"/>
              <w:sz w:val="24"/>
            </w:rPr>
            <w:instrText xml:space="preserve"> </w:instrText>
          </w:r>
          <w:r>
            <w:rPr>
              <w:rFonts w:ascii="Barcode 3 of 9 by request" w:hAnsi="Barcode 3 of 9 by request" w:hint="eastAsia"/>
              <w:b w:val="0"/>
              <w:spacing w:val="0"/>
              <w:w w:val="100"/>
              <w:sz w:val="24"/>
            </w:rPr>
            <w:fldChar w:fldCharType="separate"/>
          </w:r>
          <w:r w:rsidR="00D220C0">
            <w:rPr>
              <w:rFonts w:ascii="Barcode 3 of 9 by request" w:hAnsi="Barcode 3 of 9 by request"/>
              <w:b w:val="0"/>
              <w:spacing w:val="0"/>
              <w:w w:val="100"/>
              <w:sz w:val="24"/>
            </w:rPr>
            <w:t>*1515558*</w:t>
          </w:r>
          <w:r>
            <w:rPr>
              <w:rFonts w:ascii="Barcode 3 of 9 by request" w:hAnsi="Barcode 3 of 9 by request" w:hint="eastAsia"/>
              <w:b w:val="0"/>
              <w:spacing w:val="0"/>
              <w:w w:val="100"/>
              <w:sz w:val="24"/>
            </w:rPr>
            <w:fldChar w:fldCharType="end"/>
          </w:r>
        </w:p>
      </w:tc>
      <w:tc>
        <w:tcPr>
          <w:tcW w:w="5127" w:type="dxa"/>
        </w:tcPr>
        <w:p w14:paraId="08CE0E2C" w14:textId="77777777" w:rsidR="006109D8" w:rsidRDefault="006109D8" w:rsidP="006109D8">
          <w:pPr>
            <w:pStyle w:val="Footer"/>
            <w:spacing w:line="240" w:lineRule="atLeast"/>
            <w:jc w:val="right"/>
            <w:rPr>
              <w:b w:val="0"/>
              <w:sz w:val="20"/>
            </w:rPr>
          </w:pPr>
          <w:r>
            <w:rPr>
              <w:b w:val="0"/>
              <w:noProof/>
              <w:sz w:val="20"/>
              <w:lang w:eastAsia="en-US"/>
            </w:rPr>
            <w:drawing>
              <wp:inline distT="0" distB="0" distL="0" distR="0" wp14:anchorId="10402A67" wp14:editId="08A76306">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14:paraId="4D1C3E1D" w14:textId="77777777" w:rsidR="006109D8" w:rsidRPr="006109D8" w:rsidRDefault="006109D8" w:rsidP="006109D8">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F2043" w14:textId="77777777" w:rsidR="00CB3ED9" w:rsidRPr="000C45A4" w:rsidRDefault="00CB3ED9" w:rsidP="000C45A4">
      <w:pPr>
        <w:pStyle w:val="Footer"/>
        <w:spacing w:after="80"/>
        <w:ind w:left="792"/>
        <w:rPr>
          <w:sz w:val="16"/>
        </w:rPr>
      </w:pPr>
      <w:r w:rsidRPr="000C45A4">
        <w:rPr>
          <w:sz w:val="16"/>
        </w:rPr>
        <w:t>__________________</w:t>
      </w:r>
    </w:p>
  </w:footnote>
  <w:footnote w:type="continuationSeparator" w:id="0">
    <w:p w14:paraId="586C535D" w14:textId="77777777" w:rsidR="00CB3ED9" w:rsidRPr="000C45A4" w:rsidRDefault="00CB3ED9" w:rsidP="000C45A4">
      <w:pPr>
        <w:pStyle w:val="Footer"/>
        <w:spacing w:after="80"/>
        <w:ind w:left="792"/>
        <w:rPr>
          <w:sz w:val="16"/>
        </w:rPr>
      </w:pPr>
      <w:r w:rsidRPr="000C45A4">
        <w:rPr>
          <w:sz w:val="16"/>
        </w:rPr>
        <w:t>__________________</w:t>
      </w:r>
    </w:p>
  </w:footnote>
  <w:footnote w:id="1">
    <w:p w14:paraId="188E9A19" w14:textId="77777777" w:rsidR="00AF780E" w:rsidRDefault="00AF780E" w:rsidP="000C45A4">
      <w:pPr>
        <w:pStyle w:val="FootnoteText"/>
        <w:tabs>
          <w:tab w:val="right" w:pos="1195"/>
          <w:tab w:val="left" w:pos="1267"/>
          <w:tab w:val="left" w:pos="1742"/>
          <w:tab w:val="left" w:pos="2218"/>
          <w:tab w:val="left" w:pos="2693"/>
        </w:tabs>
        <w:ind w:left="1267" w:right="1260" w:hanging="432"/>
        <w:rPr>
          <w:bCs/>
          <w:szCs w:val="18"/>
        </w:rPr>
      </w:pPr>
      <w:r>
        <w:tab/>
      </w:r>
      <w:r w:rsidRPr="00A5424A">
        <w:rPr>
          <w:rStyle w:val="FootnoteReference"/>
          <w:vertAlign w:val="baseline"/>
        </w:rPr>
        <w:sym w:font="Symbol" w:char="F02A"/>
      </w:r>
      <w:r>
        <w:t xml:space="preserve"> </w:t>
      </w:r>
      <w:r>
        <w:tab/>
      </w:r>
      <w:r w:rsidRPr="007B00D4">
        <w:t xml:space="preserve">Les membres du </w:t>
      </w:r>
      <w:r>
        <w:t xml:space="preserve">Comité </w:t>
      </w:r>
      <w:r w:rsidRPr="007B00D4">
        <w:t>dont le nom suit ont participé à l</w:t>
      </w:r>
      <w:r>
        <w:t>’</w:t>
      </w:r>
      <w:r w:rsidRPr="007B00D4">
        <w:t xml:space="preserve">examen de la communication : Yadh Ben Achour, Lazhari Bouzid, </w:t>
      </w:r>
      <w:r w:rsidRPr="00C455EA">
        <w:rPr>
          <w:szCs w:val="18"/>
        </w:rPr>
        <w:t>Sarah Cleveland</w:t>
      </w:r>
      <w:r>
        <w:rPr>
          <w:szCs w:val="18"/>
        </w:rPr>
        <w:t xml:space="preserve">, </w:t>
      </w:r>
      <w:r w:rsidRPr="00C455EA">
        <w:rPr>
          <w:szCs w:val="18"/>
        </w:rPr>
        <w:t>Ahmed Amin Fathalla</w:t>
      </w:r>
      <w:r>
        <w:rPr>
          <w:szCs w:val="18"/>
        </w:rPr>
        <w:t xml:space="preserve">, Olivier de Frouville, </w:t>
      </w:r>
      <w:r w:rsidRPr="00C455EA">
        <w:rPr>
          <w:szCs w:val="18"/>
        </w:rPr>
        <w:t>Yuji Iwasawa</w:t>
      </w:r>
      <w:r>
        <w:rPr>
          <w:szCs w:val="18"/>
        </w:rPr>
        <w:t xml:space="preserve">, Ivana Jelić, </w:t>
      </w:r>
      <w:r w:rsidRPr="00C455EA">
        <w:rPr>
          <w:szCs w:val="18"/>
        </w:rPr>
        <w:t>Duncan Laki</w:t>
      </w:r>
      <w:r>
        <w:rPr>
          <w:szCs w:val="18"/>
        </w:rPr>
        <w:t xml:space="preserve"> </w:t>
      </w:r>
      <w:r w:rsidRPr="00C455EA">
        <w:rPr>
          <w:szCs w:val="18"/>
        </w:rPr>
        <w:t>Muhumuza</w:t>
      </w:r>
      <w:r>
        <w:rPr>
          <w:szCs w:val="18"/>
        </w:rPr>
        <w:t xml:space="preserve">, </w:t>
      </w:r>
      <w:r w:rsidRPr="00C455EA">
        <w:rPr>
          <w:szCs w:val="18"/>
        </w:rPr>
        <w:t>Photini Pazartzis</w:t>
      </w:r>
      <w:r>
        <w:rPr>
          <w:szCs w:val="18"/>
        </w:rPr>
        <w:t xml:space="preserve">, </w:t>
      </w:r>
      <w:r w:rsidRPr="00C455EA">
        <w:rPr>
          <w:szCs w:val="18"/>
        </w:rPr>
        <w:t>Mauro Politi</w:t>
      </w:r>
      <w:r>
        <w:rPr>
          <w:szCs w:val="18"/>
        </w:rPr>
        <w:t xml:space="preserve">, </w:t>
      </w:r>
      <w:r>
        <w:rPr>
          <w:bCs/>
          <w:szCs w:val="18"/>
        </w:rPr>
        <w:t>Sir</w:t>
      </w:r>
      <w:r>
        <w:rPr>
          <w:szCs w:val="18"/>
        </w:rPr>
        <w:t xml:space="preserve"> Nigel Rodley, </w:t>
      </w:r>
      <w:r w:rsidRPr="00C455EA">
        <w:rPr>
          <w:szCs w:val="18"/>
        </w:rPr>
        <w:t>Víctor Manuel Rodríguez-Rescia</w:t>
      </w:r>
      <w:r>
        <w:rPr>
          <w:szCs w:val="18"/>
        </w:rPr>
        <w:t xml:space="preserve">, </w:t>
      </w:r>
      <w:r w:rsidRPr="00C455EA">
        <w:rPr>
          <w:szCs w:val="18"/>
        </w:rPr>
        <w:t>Fabián Omar Salvioli</w:t>
      </w:r>
      <w:r>
        <w:rPr>
          <w:szCs w:val="18"/>
        </w:rPr>
        <w:t xml:space="preserve">, </w:t>
      </w:r>
      <w:r w:rsidRPr="00C455EA">
        <w:rPr>
          <w:szCs w:val="18"/>
        </w:rPr>
        <w:t>Dheerujlall Seetulsingh</w:t>
      </w:r>
      <w:r>
        <w:rPr>
          <w:szCs w:val="18"/>
        </w:rPr>
        <w:t xml:space="preserve">, </w:t>
      </w:r>
      <w:r w:rsidRPr="00C455EA">
        <w:rPr>
          <w:szCs w:val="18"/>
        </w:rPr>
        <w:t>Anja Seibert-Fohr</w:t>
      </w:r>
      <w:r>
        <w:rPr>
          <w:szCs w:val="18"/>
        </w:rPr>
        <w:t xml:space="preserve">, </w:t>
      </w:r>
      <w:r w:rsidRPr="00C455EA">
        <w:rPr>
          <w:szCs w:val="18"/>
        </w:rPr>
        <w:t>Yuval Shany</w:t>
      </w:r>
      <w:r>
        <w:rPr>
          <w:szCs w:val="18"/>
        </w:rPr>
        <w:t xml:space="preserve">, </w:t>
      </w:r>
      <w:r w:rsidRPr="00C455EA">
        <w:rPr>
          <w:szCs w:val="18"/>
        </w:rPr>
        <w:t>Konstantine Vardzelashvili</w:t>
      </w:r>
      <w:r>
        <w:rPr>
          <w:szCs w:val="18"/>
        </w:rPr>
        <w:t xml:space="preserve"> et </w:t>
      </w:r>
      <w:r w:rsidRPr="00C455EA">
        <w:rPr>
          <w:szCs w:val="18"/>
        </w:rPr>
        <w:t>Margo Waterval</w:t>
      </w:r>
      <w:r>
        <w:rPr>
          <w:bCs/>
          <w:szCs w:val="18"/>
        </w:rPr>
        <w:t>.</w:t>
      </w:r>
    </w:p>
    <w:p w14:paraId="31BA7E69" w14:textId="77777777" w:rsidR="00AF780E" w:rsidRDefault="00AF780E" w:rsidP="000C45A4">
      <w:pPr>
        <w:pStyle w:val="FootnoteText"/>
        <w:tabs>
          <w:tab w:val="right" w:pos="1195"/>
          <w:tab w:val="left" w:pos="1267"/>
          <w:tab w:val="left" w:pos="1742"/>
          <w:tab w:val="left" w:pos="2218"/>
          <w:tab w:val="left" w:pos="2693"/>
        </w:tabs>
        <w:ind w:left="1267" w:right="1260" w:hanging="432"/>
      </w:pPr>
      <w:r>
        <w:tab/>
      </w:r>
      <w:r>
        <w:tab/>
        <w:t>Le texte d’une opinion individuelle (concordante) signée d’Anja Seibert-Fohr et de Yuji Iwasawa est joint aux présentes constatations.</w:t>
      </w:r>
    </w:p>
  </w:footnote>
  <w:footnote w:id="2">
    <w:p w14:paraId="5A904701" w14:textId="77777777" w:rsidR="00AF780E" w:rsidRPr="007B00D4" w:rsidRDefault="00AF780E" w:rsidP="000C45A4">
      <w:pPr>
        <w:pStyle w:val="FootnoteText"/>
        <w:tabs>
          <w:tab w:val="right" w:pos="1195"/>
          <w:tab w:val="left" w:pos="1267"/>
          <w:tab w:val="left" w:pos="1742"/>
          <w:tab w:val="left" w:pos="2218"/>
          <w:tab w:val="left" w:pos="2693"/>
        </w:tabs>
        <w:ind w:left="1267" w:right="1260" w:hanging="432"/>
      </w:pPr>
      <w:r w:rsidRPr="007B00D4">
        <w:tab/>
      </w:r>
      <w:r w:rsidRPr="007B00D4">
        <w:rPr>
          <w:rStyle w:val="FootnoteReference"/>
        </w:rPr>
        <w:footnoteRef/>
      </w:r>
      <w:r w:rsidRPr="007B00D4">
        <w:tab/>
        <w:t>Au moment de l</w:t>
      </w:r>
      <w:r>
        <w:t>’</w:t>
      </w:r>
      <w:r w:rsidRPr="007B00D4">
        <w:t xml:space="preserve">audience administrative, ce montant équivalait à 490 dollars des </w:t>
      </w:r>
      <w:r w:rsidRPr="007B00D4">
        <w:rPr>
          <w:rFonts w:eastAsia="MS Mincho"/>
        </w:rPr>
        <w:t>États-Unis</w:t>
      </w:r>
      <w:r w:rsidRPr="007B00D4">
        <w:t xml:space="preserve"> environ (</w:t>
      </w:r>
      <w:r w:rsidRPr="00166FC7">
        <w:rPr>
          <w:i/>
        </w:rPr>
        <w:t>source</w:t>
      </w:r>
      <w:r w:rsidRPr="007B00D4">
        <w:t> : Banque nationale du Bélarus</w:t>
      </w:r>
      <w:r>
        <w:t>,</w:t>
      </w:r>
      <w:r w:rsidRPr="007B00D4">
        <w:t xml:space="preserve"> http://www.nbrb.by/engl/). L</w:t>
      </w:r>
      <w:r>
        <w:t>’</w:t>
      </w:r>
      <w:r w:rsidRPr="007B00D4">
        <w:t>auteure indique qu</w:t>
      </w:r>
      <w:r>
        <w:t>’</w:t>
      </w:r>
      <w:r w:rsidRPr="007B00D4">
        <w:t>à l</w:t>
      </w:r>
      <w:r>
        <w:t>’</w:t>
      </w:r>
      <w:r w:rsidRPr="007B00D4">
        <w:t>époque ce montant dépassait de loin le salaire moyen au Bélarus.</w:t>
      </w:r>
    </w:p>
  </w:footnote>
  <w:footnote w:id="3">
    <w:p w14:paraId="6C00C86D" w14:textId="77777777" w:rsidR="00AF780E" w:rsidRPr="007B00D4" w:rsidRDefault="00AF780E" w:rsidP="000C45A4">
      <w:pPr>
        <w:pStyle w:val="FootnoteText"/>
        <w:tabs>
          <w:tab w:val="right" w:pos="1195"/>
          <w:tab w:val="left" w:pos="1267"/>
          <w:tab w:val="left" w:pos="1742"/>
          <w:tab w:val="left" w:pos="2218"/>
          <w:tab w:val="left" w:pos="2693"/>
        </w:tabs>
        <w:ind w:left="1267" w:right="1260" w:hanging="432"/>
      </w:pPr>
      <w:r w:rsidRPr="007B00D4">
        <w:tab/>
      </w:r>
      <w:r w:rsidRPr="007B00D4">
        <w:rPr>
          <w:rStyle w:val="FootnoteReference"/>
        </w:rPr>
        <w:footnoteRef/>
      </w:r>
      <w:r w:rsidRPr="007B00D4">
        <w:tab/>
        <w:t>L</w:t>
      </w:r>
      <w:r>
        <w:t>’</w:t>
      </w:r>
      <w:r w:rsidRPr="007B00D4">
        <w:t>auteure n</w:t>
      </w:r>
      <w:r>
        <w:t>e</w:t>
      </w:r>
      <w:r w:rsidRPr="007B00D4">
        <w:t xml:space="preserve"> fourni</w:t>
      </w:r>
      <w:r>
        <w:t>t</w:t>
      </w:r>
      <w:r w:rsidRPr="007B00D4">
        <w:t xml:space="preserve"> aucune information complémentaire concernant cette allégation.</w:t>
      </w:r>
    </w:p>
  </w:footnote>
  <w:footnote w:id="4">
    <w:p w14:paraId="75160058" w14:textId="77777777" w:rsidR="00AF780E" w:rsidRPr="007B00D4" w:rsidRDefault="00AF780E" w:rsidP="000C45A4">
      <w:pPr>
        <w:pStyle w:val="FootnoteText"/>
        <w:tabs>
          <w:tab w:val="right" w:pos="1195"/>
          <w:tab w:val="left" w:pos="1267"/>
          <w:tab w:val="left" w:pos="1742"/>
          <w:tab w:val="left" w:pos="2218"/>
          <w:tab w:val="left" w:pos="2693"/>
        </w:tabs>
        <w:ind w:left="1267" w:right="1260" w:hanging="432"/>
      </w:pPr>
      <w:r w:rsidRPr="007B00D4">
        <w:tab/>
      </w:r>
      <w:r w:rsidRPr="007B00D4">
        <w:rPr>
          <w:rStyle w:val="FootnoteReference"/>
        </w:rPr>
        <w:footnoteRef/>
      </w:r>
      <w:r w:rsidRPr="007B00D4">
        <w:tab/>
        <w:t xml:space="preserve">Voir par exemple la communication </w:t>
      </w:r>
      <w:r w:rsidRPr="007B00D4">
        <w:rPr>
          <w:rFonts w:eastAsia="MS Mincho"/>
        </w:rPr>
        <w:t>n</w:t>
      </w:r>
      <w:r w:rsidRPr="007B00D4">
        <w:rPr>
          <w:rFonts w:eastAsia="MS Mincho"/>
          <w:vertAlign w:val="superscript"/>
        </w:rPr>
        <w:t>o</w:t>
      </w:r>
      <w:r>
        <w:t> </w:t>
      </w:r>
      <w:r w:rsidRPr="007B00D4">
        <w:t xml:space="preserve">869/1999, </w:t>
      </w:r>
      <w:r w:rsidRPr="007B00D4">
        <w:rPr>
          <w:i/>
          <w:iCs/>
        </w:rPr>
        <w:t>Piandiong et consorts</w:t>
      </w:r>
      <w:r w:rsidRPr="007B00D4">
        <w:t xml:space="preserve"> c. </w:t>
      </w:r>
      <w:r w:rsidRPr="007B00D4">
        <w:rPr>
          <w:i/>
          <w:iCs/>
        </w:rPr>
        <w:t>Philippines</w:t>
      </w:r>
      <w:r>
        <w:t>, constatations adoptées le 19 octobre 2000, par. </w:t>
      </w:r>
      <w:r w:rsidRPr="007B00D4">
        <w:t>5.1.</w:t>
      </w:r>
    </w:p>
  </w:footnote>
  <w:footnote w:id="5">
    <w:p w14:paraId="68182ED2" w14:textId="77777777" w:rsidR="00AF780E" w:rsidRPr="007B00D4" w:rsidRDefault="00AF780E" w:rsidP="000C45A4">
      <w:pPr>
        <w:pStyle w:val="FootnoteText"/>
        <w:tabs>
          <w:tab w:val="right" w:pos="1195"/>
          <w:tab w:val="left" w:pos="1267"/>
          <w:tab w:val="left" w:pos="1742"/>
          <w:tab w:val="left" w:pos="2218"/>
          <w:tab w:val="left" w:pos="2693"/>
        </w:tabs>
        <w:ind w:left="1267" w:right="1260" w:hanging="432"/>
      </w:pPr>
      <w:r w:rsidRPr="007B00D4">
        <w:tab/>
      </w:r>
      <w:r w:rsidRPr="007B00D4">
        <w:rPr>
          <w:rStyle w:val="FootnoteReference"/>
        </w:rPr>
        <w:footnoteRef/>
      </w:r>
      <w:r w:rsidRPr="007B00D4">
        <w:tab/>
        <w:t xml:space="preserve">Voir aussi les communications </w:t>
      </w:r>
      <w:r w:rsidRPr="007B00D4">
        <w:rPr>
          <w:rFonts w:eastAsia="MS Mincho"/>
        </w:rPr>
        <w:t>n</w:t>
      </w:r>
      <w:r w:rsidRPr="007B00D4">
        <w:rPr>
          <w:rFonts w:eastAsia="MS Mincho"/>
          <w:vertAlign w:val="superscript"/>
        </w:rPr>
        <w:t>o</w:t>
      </w:r>
      <w:r w:rsidRPr="007B00D4">
        <w:t xml:space="preserve"> 1226/2003, </w:t>
      </w:r>
      <w:r w:rsidRPr="007B00D4">
        <w:rPr>
          <w:i/>
          <w:iCs/>
        </w:rPr>
        <w:t>Korneenko</w:t>
      </w:r>
      <w:r w:rsidRPr="007B00D4">
        <w:t xml:space="preserve"> c. </w:t>
      </w:r>
      <w:r w:rsidRPr="007B00D4">
        <w:rPr>
          <w:i/>
          <w:iCs/>
        </w:rPr>
        <w:t>Bélarus</w:t>
      </w:r>
      <w:r w:rsidRPr="007B00D4">
        <w:t xml:space="preserve">, constatations adoptées le 20 juillet 2012, par. 8.1 et 8.2; et </w:t>
      </w:r>
      <w:r w:rsidRPr="007B00D4">
        <w:rPr>
          <w:rFonts w:eastAsia="MS Mincho"/>
        </w:rPr>
        <w:t>n</w:t>
      </w:r>
      <w:r w:rsidRPr="007B00D4">
        <w:rPr>
          <w:rFonts w:eastAsia="MS Mincho"/>
          <w:vertAlign w:val="superscript"/>
        </w:rPr>
        <w:t>o</w:t>
      </w:r>
      <w:r w:rsidRPr="007B00D4">
        <w:t xml:space="preserve"> 1948/2010, </w:t>
      </w:r>
      <w:r w:rsidRPr="007B00D4">
        <w:rPr>
          <w:i/>
          <w:iCs/>
        </w:rPr>
        <w:t>Turchenyak et consorts</w:t>
      </w:r>
      <w:r w:rsidRPr="007B00D4">
        <w:t xml:space="preserve"> c. </w:t>
      </w:r>
      <w:r w:rsidRPr="007B00D4">
        <w:rPr>
          <w:i/>
          <w:iCs/>
        </w:rPr>
        <w:t>Bélarus</w:t>
      </w:r>
      <w:r w:rsidRPr="007B00D4">
        <w:t>, constatations adoptées le 24 </w:t>
      </w:r>
      <w:r>
        <w:t>juillet 2013, par. 5.1. et 5.2.</w:t>
      </w:r>
    </w:p>
  </w:footnote>
  <w:footnote w:id="6">
    <w:p w14:paraId="02C91C10" w14:textId="77777777" w:rsidR="00AF780E" w:rsidRPr="007B00D4" w:rsidRDefault="00AF780E" w:rsidP="000C45A4">
      <w:pPr>
        <w:pStyle w:val="FootnoteText"/>
        <w:tabs>
          <w:tab w:val="right" w:pos="1195"/>
          <w:tab w:val="left" w:pos="1267"/>
          <w:tab w:val="left" w:pos="1742"/>
          <w:tab w:val="left" w:pos="2218"/>
          <w:tab w:val="left" w:pos="2693"/>
        </w:tabs>
        <w:ind w:left="1267" w:right="1260" w:hanging="432"/>
        <w:rPr>
          <w:szCs w:val="18"/>
        </w:rPr>
      </w:pPr>
      <w:r w:rsidRPr="007B00D4">
        <w:rPr>
          <w:szCs w:val="18"/>
        </w:rPr>
        <w:tab/>
      </w:r>
      <w:r w:rsidRPr="007B00D4">
        <w:rPr>
          <w:rStyle w:val="FootnoteReference"/>
        </w:rPr>
        <w:footnoteRef/>
      </w:r>
      <w:r w:rsidRPr="007B00D4">
        <w:rPr>
          <w:szCs w:val="18"/>
        </w:rPr>
        <w:tab/>
      </w:r>
      <w:r>
        <w:rPr>
          <w:szCs w:val="18"/>
        </w:rPr>
        <w:t>Voir la co</w:t>
      </w:r>
      <w:r w:rsidRPr="007B00D4">
        <w:t xml:space="preserve">mmunication </w:t>
      </w:r>
      <w:r w:rsidRPr="007B00D4">
        <w:rPr>
          <w:rFonts w:eastAsia="MS Mincho"/>
        </w:rPr>
        <w:t>n</w:t>
      </w:r>
      <w:r w:rsidRPr="007B00D4">
        <w:rPr>
          <w:rFonts w:eastAsia="MS Mincho"/>
          <w:vertAlign w:val="superscript"/>
        </w:rPr>
        <w:t>o</w:t>
      </w:r>
      <w:r w:rsidRPr="007B00D4">
        <w:t xml:space="preserve"> 1873/2009, </w:t>
      </w:r>
      <w:r w:rsidRPr="007B00D4">
        <w:rPr>
          <w:i/>
          <w:iCs/>
        </w:rPr>
        <w:t>Alekseev</w:t>
      </w:r>
      <w:r w:rsidRPr="007B00D4">
        <w:t xml:space="preserve"> c. </w:t>
      </w:r>
      <w:r w:rsidRPr="007B00D4">
        <w:rPr>
          <w:i/>
          <w:iCs/>
        </w:rPr>
        <w:t>Fédération de Russie</w:t>
      </w:r>
      <w:r>
        <w:t>, constatations adoptées le 25 octobre 2013, par. </w:t>
      </w:r>
      <w:r w:rsidRPr="007B00D4">
        <w:t>8.4</w:t>
      </w:r>
      <w:r>
        <w:rPr>
          <w:szCs w:val="18"/>
        </w:rPr>
        <w:t>.</w:t>
      </w:r>
    </w:p>
  </w:footnote>
  <w:footnote w:id="7">
    <w:p w14:paraId="78464942" w14:textId="77777777" w:rsidR="00AF780E" w:rsidRDefault="00AF780E" w:rsidP="000C45A4">
      <w:pPr>
        <w:pStyle w:val="FootnoteText"/>
        <w:tabs>
          <w:tab w:val="right" w:pos="1195"/>
          <w:tab w:val="left" w:pos="1267"/>
          <w:tab w:val="left" w:pos="1742"/>
          <w:tab w:val="left" w:pos="2218"/>
          <w:tab w:val="left" w:pos="2693"/>
        </w:tabs>
        <w:ind w:left="1267" w:right="1260" w:hanging="432"/>
      </w:pPr>
      <w:r>
        <w:tab/>
      </w:r>
      <w:r>
        <w:rPr>
          <w:rStyle w:val="FootnoteReference"/>
        </w:rPr>
        <w:footnoteRef/>
      </w:r>
      <w:r>
        <w:t xml:space="preserve"> </w:t>
      </w:r>
      <w:r>
        <w:tab/>
        <w:t>Voir les communications n</w:t>
      </w:r>
      <w:r w:rsidRPr="00EB30B0">
        <w:rPr>
          <w:vertAlign w:val="superscript"/>
        </w:rPr>
        <w:t>o</w:t>
      </w:r>
      <w:r>
        <w:t xml:space="preserve"> 2202/2012, </w:t>
      </w:r>
      <w:r w:rsidRPr="0026200D">
        <w:rPr>
          <w:i/>
        </w:rPr>
        <w:t xml:space="preserve">Castañeda </w:t>
      </w:r>
      <w:r w:rsidRPr="00EB30B0">
        <w:rPr>
          <w:iCs/>
        </w:rPr>
        <w:t>c</w:t>
      </w:r>
      <w:r w:rsidRPr="00EB30B0">
        <w:rPr>
          <w:rFonts w:eastAsia="SimSun"/>
          <w:iCs/>
          <w:lang w:val="fr-CH"/>
        </w:rPr>
        <w:t>.</w:t>
      </w:r>
      <w:r>
        <w:rPr>
          <w:i/>
        </w:rPr>
        <w:t xml:space="preserve"> Mexique</w:t>
      </w:r>
      <w:r w:rsidRPr="0026200D">
        <w:t>, d</w:t>
      </w:r>
      <w:r>
        <w:t>é</w:t>
      </w:r>
      <w:r w:rsidRPr="0026200D">
        <w:t>cision adopt</w:t>
      </w:r>
      <w:r>
        <w:t>é</w:t>
      </w:r>
      <w:r w:rsidRPr="0026200D">
        <w:t xml:space="preserve">e </w:t>
      </w:r>
      <w:r>
        <w:t>le</w:t>
      </w:r>
      <w:r w:rsidRPr="0026200D">
        <w:t xml:space="preserve"> 29 </w:t>
      </w:r>
      <w:r>
        <w:t>août 2013, par. </w:t>
      </w:r>
      <w:r w:rsidRPr="0026200D">
        <w:t xml:space="preserve">6.8; </w:t>
      </w:r>
      <w:r>
        <w:t>n</w:t>
      </w:r>
      <w:r w:rsidRPr="00EB30B0">
        <w:rPr>
          <w:vertAlign w:val="superscript"/>
        </w:rPr>
        <w:t>o</w:t>
      </w:r>
      <w:r>
        <w:t> </w:t>
      </w:r>
      <w:r w:rsidRPr="0026200D">
        <w:t xml:space="preserve">1834/2008, </w:t>
      </w:r>
      <w:r w:rsidRPr="0026200D">
        <w:rPr>
          <w:i/>
        </w:rPr>
        <w:t>A.</w:t>
      </w:r>
      <w:r>
        <w:rPr>
          <w:i/>
        </w:rPr>
        <w:t> </w:t>
      </w:r>
      <w:r w:rsidRPr="0026200D">
        <w:rPr>
          <w:i/>
        </w:rPr>
        <w:t>P.</w:t>
      </w:r>
      <w:r w:rsidRPr="0026200D">
        <w:t xml:space="preserve"> </w:t>
      </w:r>
      <w:r>
        <w:t>c</w:t>
      </w:r>
      <w:r w:rsidRPr="004D34DC">
        <w:rPr>
          <w:rFonts w:eastAsia="SimSun"/>
          <w:i/>
          <w:iCs/>
          <w:lang w:val="fr-CH"/>
        </w:rPr>
        <w:t>.</w:t>
      </w:r>
      <w:r w:rsidRPr="0026200D">
        <w:rPr>
          <w:i/>
        </w:rPr>
        <w:t xml:space="preserve"> Ukraine</w:t>
      </w:r>
      <w:r w:rsidRPr="0026200D">
        <w:t>, d</w:t>
      </w:r>
      <w:r>
        <w:t>é</w:t>
      </w:r>
      <w:r w:rsidRPr="0026200D">
        <w:t>cision adopt</w:t>
      </w:r>
      <w:r>
        <w:t>é</w:t>
      </w:r>
      <w:r w:rsidRPr="0026200D">
        <w:t xml:space="preserve">e </w:t>
      </w:r>
      <w:r>
        <w:t>le</w:t>
      </w:r>
      <w:r w:rsidRPr="0026200D">
        <w:t xml:space="preserve"> 23 </w:t>
      </w:r>
      <w:r>
        <w:t>juillet 2012, par. </w:t>
      </w:r>
      <w:r w:rsidRPr="0026200D">
        <w:t xml:space="preserve">8.5; </w:t>
      </w:r>
      <w:r>
        <w:t>n</w:t>
      </w:r>
      <w:r w:rsidRPr="00EB30B0">
        <w:rPr>
          <w:vertAlign w:val="superscript"/>
        </w:rPr>
        <w:t>o</w:t>
      </w:r>
      <w:r>
        <w:t> </w:t>
      </w:r>
      <w:r w:rsidRPr="0026200D">
        <w:t xml:space="preserve">1887/2009, </w:t>
      </w:r>
      <w:r w:rsidRPr="0026200D">
        <w:rPr>
          <w:i/>
        </w:rPr>
        <w:t xml:space="preserve">Peirano Basso </w:t>
      </w:r>
      <w:r w:rsidRPr="00EB30B0">
        <w:rPr>
          <w:iCs/>
        </w:rPr>
        <w:t>c</w:t>
      </w:r>
      <w:r w:rsidRPr="00EB30B0">
        <w:rPr>
          <w:rFonts w:eastAsia="SimSun"/>
          <w:iCs/>
          <w:lang w:val="fr-CH"/>
        </w:rPr>
        <w:t>.</w:t>
      </w:r>
      <w:r w:rsidRPr="0026200D">
        <w:rPr>
          <w:i/>
        </w:rPr>
        <w:t xml:space="preserve"> Uruguay</w:t>
      </w:r>
      <w:r w:rsidRPr="0026200D">
        <w:t xml:space="preserve">, </w:t>
      </w:r>
      <w:r>
        <w:t xml:space="preserve">constatations </w:t>
      </w:r>
      <w:r w:rsidRPr="0026200D">
        <w:t>adopt</w:t>
      </w:r>
      <w:r>
        <w:t>é</w:t>
      </w:r>
      <w:r w:rsidRPr="0026200D">
        <w:t xml:space="preserve">e </w:t>
      </w:r>
      <w:r>
        <w:t>le</w:t>
      </w:r>
      <w:r w:rsidRPr="0026200D">
        <w:t xml:space="preserve"> 19 </w:t>
      </w:r>
      <w:r>
        <w:t>octobre 2010, par. </w:t>
      </w:r>
      <w:r w:rsidRPr="0026200D">
        <w:t>9.4.</w:t>
      </w:r>
    </w:p>
  </w:footnote>
  <w:footnote w:id="8">
    <w:p w14:paraId="3B7552B4" w14:textId="77777777" w:rsidR="00AF780E" w:rsidRPr="00153923" w:rsidRDefault="00AF780E" w:rsidP="000C45A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 xml:space="preserve"> </w:t>
      </w:r>
      <w:r>
        <w:tab/>
        <w:t>Voir la communication n</w:t>
      </w:r>
      <w:r w:rsidRPr="00153923">
        <w:rPr>
          <w:vertAlign w:val="superscript"/>
        </w:rPr>
        <w:t>o</w:t>
      </w:r>
      <w:r>
        <w:t> </w:t>
      </w:r>
      <w:r w:rsidRPr="004D34DC">
        <w:rPr>
          <w:lang w:val="fr-CH"/>
        </w:rPr>
        <w:t xml:space="preserve">2030/2011, </w:t>
      </w:r>
      <w:r w:rsidRPr="004D34DC">
        <w:rPr>
          <w:i/>
          <w:lang w:val="fr-CH"/>
        </w:rPr>
        <w:t xml:space="preserve">Poliakov </w:t>
      </w:r>
      <w:r w:rsidRPr="00153923">
        <w:rPr>
          <w:iCs/>
          <w:lang w:val="fr-CH"/>
        </w:rPr>
        <w:t>c.</w:t>
      </w:r>
      <w:r w:rsidRPr="004D34DC">
        <w:rPr>
          <w:i/>
          <w:lang w:val="fr-CH"/>
        </w:rPr>
        <w:t xml:space="preserve"> Bélarus</w:t>
      </w:r>
      <w:r>
        <w:rPr>
          <w:lang w:val="fr-CH"/>
        </w:rPr>
        <w:t>, constatations adoptées le 17 </w:t>
      </w:r>
      <w:r w:rsidRPr="004D34DC">
        <w:rPr>
          <w:lang w:val="fr-CH"/>
        </w:rPr>
        <w:t>juillet</w:t>
      </w:r>
      <w:r>
        <w:rPr>
          <w:lang w:val="fr-CH"/>
        </w:rPr>
        <w:t xml:space="preserve"> 2014, par. 7.4.</w:t>
      </w:r>
    </w:p>
  </w:footnote>
  <w:footnote w:id="9">
    <w:p w14:paraId="1EF29930" w14:textId="77777777" w:rsidR="00AF780E" w:rsidRDefault="00AF780E" w:rsidP="000C45A4">
      <w:pPr>
        <w:pStyle w:val="FootnoteText"/>
        <w:tabs>
          <w:tab w:val="right" w:pos="1195"/>
          <w:tab w:val="left" w:pos="1267"/>
          <w:tab w:val="left" w:pos="1742"/>
          <w:tab w:val="left" w:pos="2218"/>
          <w:tab w:val="left" w:pos="2693"/>
        </w:tabs>
        <w:ind w:left="1267" w:right="1260" w:hanging="432"/>
      </w:pPr>
      <w:r>
        <w:tab/>
      </w:r>
      <w:r>
        <w:rPr>
          <w:rStyle w:val="FootnoteReference"/>
        </w:rPr>
        <w:footnoteRef/>
      </w:r>
      <w:r>
        <w:t xml:space="preserve"> </w:t>
      </w:r>
      <w:r>
        <w:tab/>
        <w:t>Voir par exemple la communication n</w:t>
      </w:r>
      <w:r w:rsidRPr="00153923">
        <w:rPr>
          <w:vertAlign w:val="superscript"/>
        </w:rPr>
        <w:t>o</w:t>
      </w:r>
      <w:r>
        <w:t xml:space="preserve"> 1948/2010, </w:t>
      </w:r>
      <w:r w:rsidRPr="00B223BA">
        <w:rPr>
          <w:i/>
        </w:rPr>
        <w:t xml:space="preserve">Turchenyak </w:t>
      </w:r>
      <w:r>
        <w:rPr>
          <w:i/>
        </w:rPr>
        <w:t xml:space="preserve">et consorts </w:t>
      </w:r>
      <w:r w:rsidRPr="00153923">
        <w:rPr>
          <w:iCs/>
        </w:rPr>
        <w:t>c.</w:t>
      </w:r>
      <w:r w:rsidRPr="00B223BA">
        <w:rPr>
          <w:i/>
        </w:rPr>
        <w:t xml:space="preserve"> B</w:t>
      </w:r>
      <w:r>
        <w:rPr>
          <w:i/>
        </w:rPr>
        <w:t>é</w:t>
      </w:r>
      <w:r w:rsidRPr="00B223BA">
        <w:rPr>
          <w:i/>
        </w:rPr>
        <w:t>larus</w:t>
      </w:r>
      <w:r w:rsidRPr="00B223BA">
        <w:t xml:space="preserve">, </w:t>
      </w:r>
      <w:r>
        <w:t xml:space="preserve">constatations </w:t>
      </w:r>
      <w:r w:rsidRPr="00B223BA">
        <w:t>adopt</w:t>
      </w:r>
      <w:r>
        <w:t>é</w:t>
      </w:r>
      <w:r w:rsidRPr="00B223BA">
        <w:t>e</w:t>
      </w:r>
      <w:r>
        <w:t>s</w:t>
      </w:r>
      <w:r w:rsidRPr="00B223BA">
        <w:t xml:space="preserve"> </w:t>
      </w:r>
      <w:r>
        <w:t>le 24 juillet 2013, par. </w:t>
      </w:r>
      <w:r w:rsidRPr="00B223BA">
        <w:t>7.8.</w:t>
      </w:r>
    </w:p>
  </w:footnote>
  <w:footnote w:id="10">
    <w:p w14:paraId="5BEB7916" w14:textId="77777777" w:rsidR="00AF780E" w:rsidRPr="00AB2E2F" w:rsidRDefault="00AF780E" w:rsidP="000C45A4">
      <w:pPr>
        <w:pStyle w:val="FootnoteText"/>
        <w:tabs>
          <w:tab w:val="right" w:pos="1195"/>
          <w:tab w:val="left" w:pos="1267"/>
          <w:tab w:val="left" w:pos="1742"/>
          <w:tab w:val="left" w:pos="2218"/>
          <w:tab w:val="left" w:pos="2693"/>
        </w:tabs>
        <w:ind w:left="1267" w:right="1260" w:hanging="432"/>
        <w:rPr>
          <w:spacing w:val="5"/>
          <w:w w:val="104"/>
          <w:lang w:val="fr-CH"/>
        </w:rPr>
      </w:pPr>
      <w:r>
        <w:tab/>
      </w:r>
      <w:r>
        <w:rPr>
          <w:rStyle w:val="FootnoteReference"/>
        </w:rPr>
        <w:footnoteRef/>
      </w:r>
      <w:r>
        <w:t xml:space="preserve"> </w:t>
      </w:r>
      <w:r>
        <w:tab/>
      </w:r>
      <w:r w:rsidRPr="00E50F7B">
        <w:t xml:space="preserve">Communication </w:t>
      </w:r>
      <w:r>
        <w:t>n</w:t>
      </w:r>
      <w:r w:rsidRPr="00153923">
        <w:rPr>
          <w:vertAlign w:val="superscript"/>
        </w:rPr>
        <w:t>o</w:t>
      </w:r>
      <w:r>
        <w:t> </w:t>
      </w:r>
      <w:r w:rsidRPr="00E50F7B">
        <w:t>1976/2010</w:t>
      </w:r>
      <w:r>
        <w:t xml:space="preserve">, </w:t>
      </w:r>
      <w:r w:rsidRPr="001F047F">
        <w:rPr>
          <w:i/>
          <w:iCs/>
        </w:rPr>
        <w:t>Kuznetsov</w:t>
      </w:r>
      <w:r>
        <w:rPr>
          <w:i/>
          <w:iCs/>
        </w:rPr>
        <w:t xml:space="preserve"> et consorts </w:t>
      </w:r>
      <w:r w:rsidRPr="00153923">
        <w:t>c.</w:t>
      </w:r>
      <w:r w:rsidRPr="001F047F">
        <w:rPr>
          <w:i/>
          <w:iCs/>
        </w:rPr>
        <w:t xml:space="preserve"> B</w:t>
      </w:r>
      <w:r>
        <w:rPr>
          <w:i/>
          <w:iCs/>
        </w:rPr>
        <w:t>é</w:t>
      </w:r>
      <w:r w:rsidRPr="001F047F">
        <w:rPr>
          <w:i/>
          <w:iCs/>
        </w:rPr>
        <w:t>larus</w:t>
      </w:r>
      <w:r>
        <w:t xml:space="preserve">, opinion conjointe (concordante) signée de </w:t>
      </w:r>
      <w:r w:rsidRPr="00E50F7B">
        <w:t xml:space="preserve">Gerald L. Neuman, Anja Seibert-Fohr, Yuji Iwasawa </w:t>
      </w:r>
      <w:r>
        <w:t xml:space="preserve">et </w:t>
      </w:r>
      <w:r w:rsidRPr="00E50F7B">
        <w:t>Konstantine Vardzelashvili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109D8" w14:paraId="15A57310" w14:textId="77777777" w:rsidTr="006109D8">
      <w:trPr>
        <w:trHeight w:hRule="exact" w:val="864"/>
        <w:jc w:val="center"/>
      </w:trPr>
      <w:tc>
        <w:tcPr>
          <w:tcW w:w="4882" w:type="dxa"/>
          <w:shd w:val="clear" w:color="auto" w:fill="auto"/>
          <w:vAlign w:val="bottom"/>
        </w:tcPr>
        <w:p w14:paraId="76355F49" w14:textId="77777777" w:rsidR="006109D8" w:rsidRPr="006109D8" w:rsidRDefault="006109D8" w:rsidP="006109D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220C0">
            <w:rPr>
              <w:b/>
              <w:color w:val="000000"/>
            </w:rPr>
            <w:t>CCPR/C/114/D/1982/2010</w:t>
          </w:r>
          <w:r>
            <w:rPr>
              <w:b/>
              <w:color w:val="000000"/>
            </w:rPr>
            <w:fldChar w:fldCharType="end"/>
          </w:r>
        </w:p>
      </w:tc>
      <w:tc>
        <w:tcPr>
          <w:tcW w:w="5127" w:type="dxa"/>
          <w:shd w:val="clear" w:color="auto" w:fill="auto"/>
          <w:vAlign w:val="bottom"/>
        </w:tcPr>
        <w:p w14:paraId="78956089" w14:textId="77777777" w:rsidR="006109D8" w:rsidRDefault="006109D8" w:rsidP="006109D8">
          <w:pPr>
            <w:pStyle w:val="Header"/>
          </w:pPr>
        </w:p>
      </w:tc>
    </w:tr>
  </w:tbl>
  <w:p w14:paraId="073BFA11" w14:textId="77777777" w:rsidR="006109D8" w:rsidRPr="006109D8" w:rsidRDefault="006109D8" w:rsidP="006109D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109D8" w14:paraId="25D5980C" w14:textId="77777777" w:rsidTr="006109D8">
      <w:trPr>
        <w:trHeight w:hRule="exact" w:val="864"/>
        <w:jc w:val="center"/>
      </w:trPr>
      <w:tc>
        <w:tcPr>
          <w:tcW w:w="4882" w:type="dxa"/>
          <w:shd w:val="clear" w:color="auto" w:fill="auto"/>
          <w:vAlign w:val="bottom"/>
        </w:tcPr>
        <w:p w14:paraId="3042935D" w14:textId="77777777" w:rsidR="006109D8" w:rsidRDefault="006109D8" w:rsidP="006109D8">
          <w:pPr>
            <w:pStyle w:val="Header"/>
          </w:pPr>
        </w:p>
      </w:tc>
      <w:tc>
        <w:tcPr>
          <w:tcW w:w="5127" w:type="dxa"/>
          <w:shd w:val="clear" w:color="auto" w:fill="auto"/>
          <w:vAlign w:val="bottom"/>
        </w:tcPr>
        <w:p w14:paraId="051C32CD" w14:textId="77777777" w:rsidR="006109D8" w:rsidRPr="006109D8" w:rsidRDefault="006109D8" w:rsidP="006109D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220C0">
            <w:rPr>
              <w:b/>
              <w:color w:val="000000"/>
            </w:rPr>
            <w:t>CCPR/C/114/D/1982/2010</w:t>
          </w:r>
          <w:r>
            <w:rPr>
              <w:b/>
              <w:color w:val="000000"/>
            </w:rPr>
            <w:fldChar w:fldCharType="end"/>
          </w:r>
        </w:p>
      </w:tc>
    </w:tr>
  </w:tbl>
  <w:p w14:paraId="0E36D955" w14:textId="77777777" w:rsidR="006109D8" w:rsidRPr="006109D8" w:rsidRDefault="006109D8" w:rsidP="006109D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6109D8" w14:paraId="2C2222EC" w14:textId="77777777" w:rsidTr="006109D8">
      <w:trPr>
        <w:trHeight w:hRule="exact" w:val="864"/>
      </w:trPr>
      <w:tc>
        <w:tcPr>
          <w:tcW w:w="1267" w:type="dxa"/>
          <w:tcBorders>
            <w:bottom w:val="single" w:sz="4" w:space="0" w:color="auto"/>
          </w:tcBorders>
          <w:shd w:val="clear" w:color="auto" w:fill="auto"/>
          <w:vAlign w:val="bottom"/>
        </w:tcPr>
        <w:p w14:paraId="4B4014B3" w14:textId="77777777" w:rsidR="006109D8" w:rsidRDefault="006109D8" w:rsidP="006109D8">
          <w:pPr>
            <w:pStyle w:val="Header"/>
            <w:spacing w:after="120"/>
          </w:pPr>
        </w:p>
      </w:tc>
      <w:tc>
        <w:tcPr>
          <w:tcW w:w="2059" w:type="dxa"/>
          <w:tcBorders>
            <w:bottom w:val="single" w:sz="4" w:space="0" w:color="auto"/>
          </w:tcBorders>
          <w:shd w:val="clear" w:color="auto" w:fill="auto"/>
          <w:vAlign w:val="bottom"/>
        </w:tcPr>
        <w:p w14:paraId="7466F210" w14:textId="77777777" w:rsidR="006109D8" w:rsidRPr="006109D8" w:rsidRDefault="006109D8" w:rsidP="006109D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2C614441" w14:textId="77777777" w:rsidR="006109D8" w:rsidRDefault="006109D8" w:rsidP="006109D8">
          <w:pPr>
            <w:pStyle w:val="Header"/>
            <w:spacing w:after="120"/>
          </w:pPr>
        </w:p>
      </w:tc>
      <w:tc>
        <w:tcPr>
          <w:tcW w:w="6653" w:type="dxa"/>
          <w:gridSpan w:val="4"/>
          <w:tcBorders>
            <w:bottom w:val="single" w:sz="4" w:space="0" w:color="auto"/>
          </w:tcBorders>
          <w:shd w:val="clear" w:color="auto" w:fill="auto"/>
          <w:vAlign w:val="bottom"/>
        </w:tcPr>
        <w:p w14:paraId="2A842F95" w14:textId="77777777" w:rsidR="006109D8" w:rsidRPr="006109D8" w:rsidRDefault="006109D8" w:rsidP="006109D8">
          <w:pPr>
            <w:spacing w:after="80" w:line="240" w:lineRule="auto"/>
            <w:jc w:val="right"/>
            <w:rPr>
              <w:position w:val="-4"/>
            </w:rPr>
          </w:pPr>
          <w:r>
            <w:rPr>
              <w:position w:val="-4"/>
              <w:sz w:val="40"/>
            </w:rPr>
            <w:t>CCPR</w:t>
          </w:r>
          <w:r>
            <w:rPr>
              <w:position w:val="-4"/>
            </w:rPr>
            <w:t>/C/114/D/1982/2010</w:t>
          </w:r>
        </w:p>
      </w:tc>
    </w:tr>
    <w:tr w:rsidR="006109D8" w:rsidRPr="006109D8" w14:paraId="11B38BDF" w14:textId="77777777" w:rsidTr="006109D8">
      <w:trPr>
        <w:gridAfter w:val="1"/>
        <w:wAfter w:w="18" w:type="dxa"/>
        <w:trHeight w:hRule="exact" w:val="2880"/>
      </w:trPr>
      <w:tc>
        <w:tcPr>
          <w:tcW w:w="1267" w:type="dxa"/>
          <w:tcBorders>
            <w:top w:val="single" w:sz="4" w:space="0" w:color="auto"/>
            <w:bottom w:val="single" w:sz="12" w:space="0" w:color="auto"/>
          </w:tcBorders>
          <w:shd w:val="clear" w:color="auto" w:fill="auto"/>
        </w:tcPr>
        <w:p w14:paraId="34A28FA0" w14:textId="77777777" w:rsidR="006109D8" w:rsidRPr="006109D8" w:rsidRDefault="006109D8" w:rsidP="006109D8">
          <w:pPr>
            <w:pStyle w:val="Header"/>
            <w:spacing w:before="120" w:line="240" w:lineRule="auto"/>
            <w:ind w:left="-72"/>
            <w:jc w:val="center"/>
          </w:pPr>
          <w:r>
            <w:t xml:space="preserve">  </w:t>
          </w:r>
          <w:r>
            <w:rPr>
              <w:noProof/>
              <w:lang w:eastAsia="en-US"/>
            </w:rPr>
            <w:drawing>
              <wp:inline distT="0" distB="0" distL="0" distR="0" wp14:anchorId="7FE8C8B2" wp14:editId="2068598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B6CC96F" w14:textId="77777777" w:rsidR="006109D8" w:rsidRPr="006109D8" w:rsidRDefault="006109D8" w:rsidP="006109D8">
          <w:pPr>
            <w:pStyle w:val="XLarge"/>
            <w:spacing w:before="109"/>
          </w:pPr>
          <w:r>
            <w:t>Pacte international relatif</w:t>
          </w:r>
          <w:r>
            <w:br/>
            <w:t xml:space="preserve">aux droits civils et politiques </w:t>
          </w:r>
        </w:p>
      </w:tc>
      <w:tc>
        <w:tcPr>
          <w:tcW w:w="245" w:type="dxa"/>
          <w:tcBorders>
            <w:top w:val="single" w:sz="4" w:space="0" w:color="auto"/>
            <w:bottom w:val="single" w:sz="12" w:space="0" w:color="auto"/>
          </w:tcBorders>
          <w:shd w:val="clear" w:color="auto" w:fill="auto"/>
        </w:tcPr>
        <w:p w14:paraId="77789F22" w14:textId="77777777" w:rsidR="006109D8" w:rsidRPr="00AF780E" w:rsidRDefault="006109D8" w:rsidP="006109D8">
          <w:pPr>
            <w:pStyle w:val="Header"/>
            <w:spacing w:before="109"/>
            <w:rPr>
              <w:lang w:val="fr-CH"/>
            </w:rPr>
          </w:pPr>
        </w:p>
      </w:tc>
      <w:tc>
        <w:tcPr>
          <w:tcW w:w="3280" w:type="dxa"/>
          <w:tcBorders>
            <w:top w:val="single" w:sz="4" w:space="0" w:color="auto"/>
            <w:bottom w:val="single" w:sz="12" w:space="0" w:color="auto"/>
          </w:tcBorders>
          <w:shd w:val="clear" w:color="auto" w:fill="auto"/>
        </w:tcPr>
        <w:p w14:paraId="697DC632" w14:textId="77777777" w:rsidR="006109D8" w:rsidRPr="00AF780E" w:rsidRDefault="006109D8" w:rsidP="006109D8">
          <w:pPr>
            <w:pStyle w:val="Distribution"/>
            <w:rPr>
              <w:color w:val="000000"/>
              <w:lang w:val="fr-CH"/>
            </w:rPr>
          </w:pPr>
          <w:r w:rsidRPr="00AF780E">
            <w:rPr>
              <w:color w:val="000000"/>
              <w:lang w:val="fr-CH"/>
            </w:rPr>
            <w:t>Distr. générale</w:t>
          </w:r>
        </w:p>
        <w:p w14:paraId="19296D45" w14:textId="77777777" w:rsidR="006109D8" w:rsidRPr="00AF780E" w:rsidRDefault="006109D8" w:rsidP="006109D8">
          <w:pPr>
            <w:pStyle w:val="Publication"/>
            <w:rPr>
              <w:color w:val="000000"/>
              <w:lang w:val="fr-CH"/>
            </w:rPr>
          </w:pPr>
          <w:r w:rsidRPr="00AF780E">
            <w:rPr>
              <w:color w:val="000000"/>
              <w:lang w:val="fr-CH"/>
            </w:rPr>
            <w:t>21 septembre 2015</w:t>
          </w:r>
        </w:p>
        <w:p w14:paraId="6551A244" w14:textId="77777777" w:rsidR="006109D8" w:rsidRPr="00AF780E" w:rsidRDefault="006109D8" w:rsidP="006109D8">
          <w:pPr>
            <w:rPr>
              <w:lang w:val="fr-CH"/>
            </w:rPr>
          </w:pPr>
          <w:r w:rsidRPr="00AF780E">
            <w:rPr>
              <w:lang w:val="fr-CH"/>
            </w:rPr>
            <w:t>Français</w:t>
          </w:r>
        </w:p>
        <w:p w14:paraId="07CAFF5F" w14:textId="77777777" w:rsidR="006109D8" w:rsidRPr="00AF780E" w:rsidRDefault="006109D8" w:rsidP="006109D8">
          <w:pPr>
            <w:pStyle w:val="Original"/>
            <w:rPr>
              <w:color w:val="000000"/>
              <w:lang w:val="fr-CH"/>
            </w:rPr>
          </w:pPr>
          <w:r w:rsidRPr="00AF780E">
            <w:rPr>
              <w:color w:val="000000"/>
              <w:lang w:val="fr-CH"/>
            </w:rPr>
            <w:t>Original : anglais</w:t>
          </w:r>
        </w:p>
      </w:tc>
    </w:tr>
  </w:tbl>
  <w:p w14:paraId="3009B1DF" w14:textId="77777777" w:rsidR="006109D8" w:rsidRPr="00AF780E" w:rsidRDefault="006109D8" w:rsidP="006109D8">
    <w:pPr>
      <w:pStyle w:val="Header"/>
      <w:spacing w:line="240" w:lineRule="auto"/>
      <w:rPr>
        <w:sz w:val="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3"/>
  <w:defaultTabStop w:val="720"/>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5558*"/>
    <w:docVar w:name="CreationDt" w:val="9/25/2015 2:03: PM"/>
    <w:docVar w:name="DocCategory" w:val="Doc"/>
    <w:docVar w:name="DocType" w:val="Final"/>
    <w:docVar w:name="DutyStation" w:val="Geneva"/>
    <w:docVar w:name="FooterJN" w:val="GE.15-15558"/>
    <w:docVar w:name="jobn" w:val="GE.15-15558 (F)"/>
    <w:docVar w:name="jobnDT" w:val="GE.15-15558 (F)   250915"/>
    <w:docVar w:name="jobnDTDT" w:val="GE.15-15558 (F)   250915   250915"/>
    <w:docVar w:name="JobNo" w:val="GE.1515558F"/>
    <w:docVar w:name="JobNo2" w:val="GE.1521313F"/>
    <w:docVar w:name="LocalDrive" w:val="0"/>
    <w:docVar w:name="OandT" w:val="dariche"/>
    <w:docVar w:name="PaperSize" w:val="A4"/>
    <w:docVar w:name="sss1" w:val="CCPR/C/114/D/1982/2010"/>
    <w:docVar w:name="sss2" w:val="-"/>
    <w:docVar w:name="Symbol1" w:val="CCPR/C/114/D/1982/2010"/>
    <w:docVar w:name="Symbol2" w:val="-"/>
  </w:docVars>
  <w:rsids>
    <w:rsidRoot w:val="00291E62"/>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2521"/>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45A4"/>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0B9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3EE0"/>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820"/>
    <w:rsid w:val="00280E2F"/>
    <w:rsid w:val="002810F0"/>
    <w:rsid w:val="00281BC7"/>
    <w:rsid w:val="00285DC4"/>
    <w:rsid w:val="00286531"/>
    <w:rsid w:val="002867C7"/>
    <w:rsid w:val="0029018C"/>
    <w:rsid w:val="00291E62"/>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1850"/>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57C0"/>
    <w:rsid w:val="005A6A6E"/>
    <w:rsid w:val="005A6D92"/>
    <w:rsid w:val="005A6DD6"/>
    <w:rsid w:val="005A7976"/>
    <w:rsid w:val="005B33A4"/>
    <w:rsid w:val="005B5D99"/>
    <w:rsid w:val="005B74B8"/>
    <w:rsid w:val="005C1353"/>
    <w:rsid w:val="005C3A63"/>
    <w:rsid w:val="005C65C2"/>
    <w:rsid w:val="005C765D"/>
    <w:rsid w:val="005C7B4D"/>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09D8"/>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6FA"/>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B735F"/>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0E43"/>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3F12"/>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AF780E"/>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0B39"/>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28B0"/>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3ED9"/>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20C0"/>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6911"/>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D559C"/>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71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23D8"/>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45B1"/>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BFB16"/>
  <w15:docId w15:val="{D724B691-2226-4FED-9BD1-31E579E1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6109D8"/>
    <w:rPr>
      <w:sz w:val="16"/>
      <w:szCs w:val="16"/>
    </w:rPr>
  </w:style>
  <w:style w:type="paragraph" w:styleId="CommentText">
    <w:name w:val="annotation text"/>
    <w:basedOn w:val="Normal"/>
    <w:link w:val="CommentTextChar"/>
    <w:uiPriority w:val="99"/>
    <w:semiHidden/>
    <w:unhideWhenUsed/>
    <w:rsid w:val="006109D8"/>
    <w:pPr>
      <w:spacing w:line="240" w:lineRule="auto"/>
    </w:pPr>
    <w:rPr>
      <w:szCs w:val="20"/>
    </w:rPr>
  </w:style>
  <w:style w:type="character" w:customStyle="1" w:styleId="CommentTextChar">
    <w:name w:val="Comment Text Char"/>
    <w:basedOn w:val="DefaultParagraphFont"/>
    <w:link w:val="CommentText"/>
    <w:uiPriority w:val="99"/>
    <w:semiHidden/>
    <w:rsid w:val="006109D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6109D8"/>
    <w:rPr>
      <w:b/>
      <w:bCs/>
    </w:rPr>
  </w:style>
  <w:style w:type="character" w:customStyle="1" w:styleId="CommentSubjectChar">
    <w:name w:val="Comment Subject Char"/>
    <w:basedOn w:val="CommentTextChar"/>
    <w:link w:val="CommentSubject"/>
    <w:uiPriority w:val="99"/>
    <w:semiHidden/>
    <w:rsid w:val="006109D8"/>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3DFE-4C3C-4409-9F88-F712F8FA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26283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ONU</dc:creator>
  <cp:lastModifiedBy>Sarah Willig</cp:lastModifiedBy>
  <cp:revision>2</cp:revision>
  <cp:lastPrinted>2015-09-25T12:25:00Z</cp:lastPrinted>
  <dcterms:created xsi:type="dcterms:W3CDTF">2017-01-24T18:44:00Z</dcterms:created>
  <dcterms:modified xsi:type="dcterms:W3CDTF">2017-01-24T18:44:00Z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1515558F</vt:lpwstr>
  </property>
  <property fmtid="{D5CDD505-2E9C-101B-9397-08002B2CF9AE}" pid="3" name="ODSRefJobNo">
    <vt:lpwstr>1521313F</vt:lpwstr>
  </property>
  <property fmtid="{D5CDD505-2E9C-101B-9397-08002B2CF9AE}" pid="4" name="Symbol1">
    <vt:lpwstr>CCPR/C/114/D/1982/2010</vt:lpwstr>
  </property>
  <property fmtid="{D5CDD505-2E9C-101B-9397-08002B2CF9AE}" pid="5" name="Symbol2">
    <vt:lpwstr/>
  </property>
  <property fmtid="{D5CDD505-2E9C-101B-9397-08002B2CF9AE}" pid="6" name="Translator">
    <vt:lpwstr/>
  </property>
  <property fmtid="{D5CDD505-2E9C-101B-9397-08002B2CF9AE}" pid="7" name="Operator">
    <vt:lpwstr>dariche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21 septembre 2015</vt:lpwstr>
  </property>
  <property fmtid="{D5CDD505-2E9C-101B-9397-08002B2CF9AE}" pid="12" name="Original">
    <vt:lpwstr>anglais</vt:lpwstr>
  </property>
  <property fmtid="{D5CDD505-2E9C-101B-9397-08002B2CF9AE}" pid="13" name="Release Date">
    <vt:lpwstr>250915</vt:lpwstr>
  </property>
</Properties>
</file>