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365E829" w14:textId="77777777" w:rsidTr="00B6553F">
        <w:trPr>
          <w:cantSplit/>
          <w:trHeight w:hRule="exact" w:val="851"/>
        </w:trPr>
        <w:tc>
          <w:tcPr>
            <w:tcW w:w="1276" w:type="dxa"/>
            <w:tcBorders>
              <w:bottom w:val="single" w:sz="4" w:space="0" w:color="auto"/>
            </w:tcBorders>
            <w:vAlign w:val="bottom"/>
          </w:tcPr>
          <w:p w14:paraId="26F0D007" w14:textId="77777777" w:rsidR="00B56E9C" w:rsidRPr="0096481B" w:rsidRDefault="0096481B" w:rsidP="0096481B">
            <w:pPr>
              <w:spacing w:line="20" w:lineRule="exact"/>
              <w:rPr>
                <w:sz w:val="2"/>
              </w:rPr>
            </w:pPr>
            <w:r>
              <w:rPr>
                <w:rStyle w:val="CommentReference"/>
                <w:lang w:val="x-none"/>
              </w:rPr>
              <w:commentReference w:id="0"/>
            </w:r>
            <w:bookmarkStart w:id="1" w:name="_GoBack"/>
            <w:bookmarkEnd w:id="1"/>
          </w:p>
          <w:p w14:paraId="7F69637F" w14:textId="77777777" w:rsidR="0096481B" w:rsidRDefault="0096481B" w:rsidP="00B6553F">
            <w:pPr>
              <w:spacing w:after="80"/>
            </w:pPr>
          </w:p>
        </w:tc>
        <w:tc>
          <w:tcPr>
            <w:tcW w:w="2268" w:type="dxa"/>
            <w:tcBorders>
              <w:bottom w:val="single" w:sz="4" w:space="0" w:color="auto"/>
            </w:tcBorders>
            <w:vAlign w:val="bottom"/>
          </w:tcPr>
          <w:p w14:paraId="091AFFDE"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D69D85" w14:textId="77777777" w:rsidR="00B56E9C" w:rsidRPr="00D47EEA" w:rsidRDefault="008216A5" w:rsidP="005C7C1C">
            <w:pPr>
              <w:jc w:val="right"/>
            </w:pPr>
            <w:r w:rsidRPr="008216A5">
              <w:rPr>
                <w:sz w:val="40"/>
              </w:rPr>
              <w:t>CCPR</w:t>
            </w:r>
            <w:r>
              <w:t>/C/1</w:t>
            </w:r>
            <w:r w:rsidR="00711F00">
              <w:t>1</w:t>
            </w:r>
            <w:r w:rsidR="00E26204">
              <w:t>4</w:t>
            </w:r>
            <w:r>
              <w:t>/D/</w:t>
            </w:r>
            <w:r w:rsidR="00A9008E">
              <w:t>19</w:t>
            </w:r>
            <w:r w:rsidR="00E26204">
              <w:t>88</w:t>
            </w:r>
            <w:r>
              <w:t>/</w:t>
            </w:r>
            <w:r w:rsidR="00AE50CE">
              <w:t>20</w:t>
            </w:r>
            <w:r w:rsidR="00540F02">
              <w:t>1</w:t>
            </w:r>
            <w:r w:rsidR="00A9008E">
              <w:t>0</w:t>
            </w:r>
          </w:p>
        </w:tc>
      </w:tr>
      <w:tr w:rsidR="00B56E9C" w14:paraId="625986F4" w14:textId="77777777" w:rsidTr="00A9008E">
        <w:trPr>
          <w:cantSplit/>
          <w:trHeight w:hRule="exact" w:val="2706"/>
        </w:trPr>
        <w:tc>
          <w:tcPr>
            <w:tcW w:w="1276" w:type="dxa"/>
            <w:tcBorders>
              <w:top w:val="single" w:sz="4" w:space="0" w:color="auto"/>
              <w:bottom w:val="single" w:sz="12" w:space="0" w:color="auto"/>
            </w:tcBorders>
          </w:tcPr>
          <w:p w14:paraId="178835A7" w14:textId="77777777" w:rsidR="00B56E9C" w:rsidRDefault="0096481B" w:rsidP="00B6553F">
            <w:pPr>
              <w:spacing w:before="120"/>
            </w:pPr>
            <w:r>
              <w:rPr>
                <w:noProof/>
                <w:lang w:val="en-US"/>
              </w:rPr>
              <w:drawing>
                <wp:inline distT="0" distB="0" distL="0" distR="0" wp14:anchorId="2DF8B422" wp14:editId="39234422">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7F0974" w14:textId="77777777"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279A936A" w14:textId="77777777" w:rsidR="005C7C1C" w:rsidRPr="00267F5F" w:rsidRDefault="005C7C1C" w:rsidP="00267F5F">
            <w:pPr>
              <w:spacing w:before="120" w:line="380" w:lineRule="exact"/>
              <w:rPr>
                <w:sz w:val="34"/>
              </w:rPr>
            </w:pPr>
          </w:p>
        </w:tc>
        <w:tc>
          <w:tcPr>
            <w:tcW w:w="2835" w:type="dxa"/>
            <w:tcBorders>
              <w:top w:val="single" w:sz="4" w:space="0" w:color="auto"/>
              <w:bottom w:val="single" w:sz="12" w:space="0" w:color="auto"/>
            </w:tcBorders>
          </w:tcPr>
          <w:p w14:paraId="70160F0A" w14:textId="77777777" w:rsidR="009A3DDF" w:rsidRDefault="009A3DDF" w:rsidP="009A3DDF">
            <w:pPr>
              <w:spacing w:before="240" w:line="240" w:lineRule="exact"/>
            </w:pPr>
            <w:r>
              <w:t xml:space="preserve">Distr.: </w:t>
            </w:r>
            <w:r w:rsidR="005C7C1C">
              <w:t>General</w:t>
            </w:r>
          </w:p>
          <w:p w14:paraId="194BE20E" w14:textId="77777777" w:rsidR="009A3DDF" w:rsidRDefault="00A66020" w:rsidP="00B70BF9">
            <w:pPr>
              <w:spacing w:line="240" w:lineRule="exact"/>
            </w:pPr>
            <w:r w:rsidRPr="00B70BF9">
              <w:t xml:space="preserve">17 August </w:t>
            </w:r>
            <w:r w:rsidR="009A3DDF" w:rsidRPr="00B70BF9">
              <w:t>2015</w:t>
            </w:r>
          </w:p>
          <w:p w14:paraId="0F2BEA76" w14:textId="77777777" w:rsidR="009A3DDF" w:rsidRDefault="009A3DDF" w:rsidP="009A3DDF">
            <w:pPr>
              <w:spacing w:line="240" w:lineRule="exact"/>
            </w:pPr>
          </w:p>
          <w:p w14:paraId="22CE6D43" w14:textId="77777777" w:rsidR="009A3DDF" w:rsidRDefault="009A3DDF" w:rsidP="009A3DDF">
            <w:pPr>
              <w:spacing w:line="240" w:lineRule="exact"/>
            </w:pPr>
            <w:r>
              <w:t>Original: English</w:t>
            </w:r>
          </w:p>
          <w:p w14:paraId="64426640" w14:textId="77777777" w:rsidR="008216A5" w:rsidRDefault="008216A5" w:rsidP="009A3DDF">
            <w:pPr>
              <w:spacing w:line="240" w:lineRule="exact"/>
            </w:pPr>
          </w:p>
        </w:tc>
      </w:tr>
    </w:tbl>
    <w:p w14:paraId="1F9B3973" w14:textId="77777777" w:rsidR="009A3DDF" w:rsidRDefault="009A3DDF" w:rsidP="009A3DDF">
      <w:pPr>
        <w:spacing w:before="120"/>
        <w:rPr>
          <w:b/>
          <w:sz w:val="24"/>
          <w:szCs w:val="24"/>
          <w:lang w:val="en-US"/>
        </w:rPr>
      </w:pPr>
      <w:r w:rsidRPr="008216A5">
        <w:rPr>
          <w:b/>
          <w:sz w:val="24"/>
          <w:szCs w:val="24"/>
          <w:lang w:val="en-US"/>
        </w:rPr>
        <w:t>Human Rights Committee</w:t>
      </w:r>
    </w:p>
    <w:p w14:paraId="20F7BF74" w14:textId="77777777" w:rsidR="003134AC" w:rsidRDefault="003134AC" w:rsidP="003134AC">
      <w:pPr>
        <w:pStyle w:val="HChG"/>
      </w:pPr>
      <w:r w:rsidRPr="009E31DB">
        <w:tab/>
      </w:r>
      <w:r w:rsidRPr="009E31DB">
        <w:tab/>
        <w:t xml:space="preserve">Communication No. </w:t>
      </w:r>
      <w:r w:rsidR="00A9008E">
        <w:t>19</w:t>
      </w:r>
      <w:r w:rsidR="00E26204">
        <w:t>88</w:t>
      </w:r>
      <w:r>
        <w:t>/20</w:t>
      </w:r>
      <w:r w:rsidR="00540F02">
        <w:t>1</w:t>
      </w:r>
      <w:r w:rsidR="00A9008E">
        <w:t>0</w:t>
      </w:r>
    </w:p>
    <w:p w14:paraId="5B789457" w14:textId="77777777" w:rsidR="003134AC" w:rsidRPr="009E31DB" w:rsidRDefault="003134AC" w:rsidP="00572DE0">
      <w:pPr>
        <w:pStyle w:val="H1G"/>
      </w:pPr>
      <w:r>
        <w:tab/>
      </w:r>
      <w:r>
        <w:tab/>
      </w:r>
      <w:r w:rsidR="005C7C1C" w:rsidRPr="00F91B3A">
        <w:t>Views adopted by the Committee</w:t>
      </w:r>
      <w:r w:rsidR="005C7C1C" w:rsidRPr="008A4FF5">
        <w:t xml:space="preserve"> </w:t>
      </w:r>
      <w:r w:rsidR="005C7C1C" w:rsidRPr="00F91B3A">
        <w:t>at its 11</w:t>
      </w:r>
      <w:r w:rsidR="005C7C1C">
        <w:t>4</w:t>
      </w:r>
      <w:r w:rsidR="005C7C1C" w:rsidRPr="00F91B3A">
        <w:rPr>
          <w:vertAlign w:val="superscript"/>
        </w:rPr>
        <w:t>th</w:t>
      </w:r>
      <w:r w:rsidR="005C7C1C">
        <w:t xml:space="preserve"> session </w:t>
      </w:r>
      <w:r w:rsidR="005C7C1C">
        <w:br/>
        <w:t>(</w:t>
      </w:r>
      <w:r w:rsidR="005C7C1C">
        <w:rPr>
          <w:bCs/>
          <w:lang w:val="en-US"/>
        </w:rPr>
        <w:t xml:space="preserve">29 June–24 July </w:t>
      </w:r>
      <w:r w:rsidR="005C7C1C" w:rsidRPr="00735F4E">
        <w:rPr>
          <w:bCs/>
          <w:lang w:val="en-US"/>
        </w:rPr>
        <w:t>201</w:t>
      </w:r>
      <w:r w:rsidR="005C7C1C">
        <w:rPr>
          <w:bCs/>
          <w:lang w:val="en-US"/>
        </w:rPr>
        <w:t>5)</w:t>
      </w:r>
    </w:p>
    <w:p w14:paraId="3BDFA738" w14:textId="77777777" w:rsidR="003134AC" w:rsidRPr="009E31DB" w:rsidRDefault="003134AC" w:rsidP="003134AC">
      <w:pPr>
        <w:pStyle w:val="SingleTxtG"/>
        <w:ind w:left="4536" w:hanging="3402"/>
      </w:pPr>
      <w:r w:rsidRPr="009707F5">
        <w:rPr>
          <w:i/>
        </w:rPr>
        <w:t>Submitted by:</w:t>
      </w:r>
      <w:r w:rsidRPr="009E31DB">
        <w:tab/>
      </w:r>
      <w:r w:rsidR="00E26204" w:rsidRPr="008B54BD">
        <w:rPr>
          <w:lang w:val="en-GB"/>
        </w:rPr>
        <w:t xml:space="preserve">Valentin Evrezov </w:t>
      </w:r>
      <w:r w:rsidR="006D4427" w:rsidRPr="006D4427">
        <w:rPr>
          <w:lang w:val="en-US"/>
        </w:rPr>
        <w:t>(not represented by counsel)</w:t>
      </w:r>
    </w:p>
    <w:p w14:paraId="0E1EF27A" w14:textId="77777777" w:rsidR="003134AC" w:rsidRPr="00A9008E" w:rsidRDefault="003134AC" w:rsidP="003134AC">
      <w:pPr>
        <w:pStyle w:val="SingleTxtG"/>
        <w:ind w:left="4536" w:hanging="3402"/>
        <w:rPr>
          <w:lang w:val="en-GB"/>
        </w:rPr>
      </w:pPr>
      <w:r w:rsidRPr="009707F5">
        <w:rPr>
          <w:i/>
        </w:rPr>
        <w:t>Alleged victim:</w:t>
      </w:r>
      <w:r w:rsidRPr="009E31DB">
        <w:tab/>
        <w:t>The author</w:t>
      </w:r>
    </w:p>
    <w:p w14:paraId="5448F1B5" w14:textId="77777777" w:rsidR="003134AC" w:rsidRPr="00A9008E" w:rsidRDefault="003134AC" w:rsidP="003134AC">
      <w:pPr>
        <w:pStyle w:val="SingleTxtG"/>
        <w:ind w:left="4536" w:hanging="3402"/>
        <w:rPr>
          <w:lang w:val="en-GB"/>
        </w:rPr>
      </w:pPr>
      <w:r w:rsidRPr="009707F5">
        <w:rPr>
          <w:i/>
        </w:rPr>
        <w:t>State party:</w:t>
      </w:r>
      <w:r w:rsidRPr="009E31DB">
        <w:tab/>
      </w:r>
      <w:r w:rsidR="00A9008E" w:rsidRPr="00A9008E">
        <w:rPr>
          <w:lang w:val="en-GB"/>
        </w:rPr>
        <w:t>Belarus</w:t>
      </w:r>
    </w:p>
    <w:p w14:paraId="0D6DA039" w14:textId="77777777" w:rsidR="003134AC" w:rsidRPr="009E31DB" w:rsidRDefault="003134AC" w:rsidP="003134AC">
      <w:pPr>
        <w:pStyle w:val="SingleTxtG"/>
        <w:ind w:left="4536" w:hanging="3402"/>
      </w:pPr>
      <w:r w:rsidRPr="009707F5">
        <w:rPr>
          <w:i/>
        </w:rPr>
        <w:t>Date of communication:</w:t>
      </w:r>
      <w:r w:rsidRPr="009E31DB">
        <w:tab/>
      </w:r>
      <w:r w:rsidR="00EF3514">
        <w:rPr>
          <w:lang w:val="en-GB"/>
        </w:rPr>
        <w:t xml:space="preserve">5 </w:t>
      </w:r>
      <w:r w:rsidR="00E26204">
        <w:rPr>
          <w:lang w:val="en-GB"/>
        </w:rPr>
        <w:t xml:space="preserve">January </w:t>
      </w:r>
      <w:r w:rsidR="001844A0">
        <w:rPr>
          <w:lang w:val="en-GB"/>
        </w:rPr>
        <w:t>20</w:t>
      </w:r>
      <w:r w:rsidR="00361E8A">
        <w:rPr>
          <w:lang w:val="en-GB"/>
        </w:rPr>
        <w:t>0</w:t>
      </w:r>
      <w:r w:rsidR="00E26204">
        <w:rPr>
          <w:lang w:val="en-GB"/>
        </w:rPr>
        <w:t>9</w:t>
      </w:r>
      <w:r w:rsidRPr="009E31DB">
        <w:t xml:space="preserve"> (initial submission)</w:t>
      </w:r>
      <w:r w:rsidRPr="009E31DB">
        <w:tab/>
      </w:r>
    </w:p>
    <w:p w14:paraId="41A85AA9" w14:textId="77777777" w:rsidR="003134AC" w:rsidRPr="009E31DB" w:rsidRDefault="003134AC" w:rsidP="003134AC">
      <w:pPr>
        <w:pStyle w:val="SingleTxtG"/>
        <w:ind w:left="4536" w:hanging="3402"/>
      </w:pPr>
      <w:r w:rsidRPr="009707F5">
        <w:rPr>
          <w:i/>
        </w:rPr>
        <w:t>Document references:</w:t>
      </w:r>
      <w:r w:rsidRPr="009E31DB">
        <w:tab/>
        <w:t xml:space="preserve">Special Rapporteur’s </w:t>
      </w:r>
      <w:r w:rsidR="00D46C27">
        <w:rPr>
          <w:lang w:val="en-GB"/>
        </w:rPr>
        <w:t>rule</w:t>
      </w:r>
      <w:r w:rsidRPr="009E31DB">
        <w:t xml:space="preserve"> 97 decision, transmitted to the State party on </w:t>
      </w:r>
      <w:r w:rsidR="00E26204" w:rsidRPr="008B54BD">
        <w:rPr>
          <w:lang w:val="en-GB"/>
        </w:rPr>
        <w:t xml:space="preserve">27 September </w:t>
      </w:r>
      <w:r w:rsidR="007B412F">
        <w:rPr>
          <w:lang w:val="en-GB"/>
        </w:rPr>
        <w:t>2010</w:t>
      </w:r>
      <w:r>
        <w:t xml:space="preserve"> </w:t>
      </w:r>
      <w:r w:rsidRPr="009E31DB">
        <w:t xml:space="preserve">(not issued in </w:t>
      </w:r>
      <w:r>
        <w:t xml:space="preserve">a </w:t>
      </w:r>
      <w:r w:rsidRPr="009E31DB">
        <w:t>document form)</w:t>
      </w:r>
    </w:p>
    <w:p w14:paraId="72AAE8D2" w14:textId="77777777" w:rsidR="003134AC" w:rsidRPr="001844A0" w:rsidRDefault="003134AC" w:rsidP="003134AC">
      <w:pPr>
        <w:pStyle w:val="SingleTxtG"/>
        <w:ind w:left="4536" w:hanging="3402"/>
        <w:rPr>
          <w:lang w:val="en-GB"/>
        </w:rPr>
      </w:pPr>
      <w:r w:rsidRPr="009707F5">
        <w:rPr>
          <w:i/>
        </w:rPr>
        <w:t>Date of adoption of Views:</w:t>
      </w:r>
      <w:r w:rsidRPr="009E31DB">
        <w:tab/>
      </w:r>
      <w:r w:rsidR="00A04AC2" w:rsidRPr="00B70BF9">
        <w:rPr>
          <w:lang w:val="en-GB"/>
        </w:rPr>
        <w:t>15</w:t>
      </w:r>
      <w:r w:rsidRPr="009E31DB">
        <w:t xml:space="preserve"> </w:t>
      </w:r>
      <w:r w:rsidR="009A3DDF">
        <w:rPr>
          <w:lang w:val="en-GB"/>
        </w:rPr>
        <w:t>July</w:t>
      </w:r>
      <w:r w:rsidRPr="009E31DB">
        <w:t xml:space="preserve"> 201</w:t>
      </w:r>
      <w:r w:rsidR="001844A0" w:rsidRPr="001844A0">
        <w:rPr>
          <w:lang w:val="en-GB"/>
        </w:rPr>
        <w:t>5</w:t>
      </w:r>
    </w:p>
    <w:p w14:paraId="21B2C1EB" w14:textId="77777777" w:rsidR="003134AC" w:rsidRPr="008B54BD" w:rsidRDefault="003134AC" w:rsidP="008D299D">
      <w:pPr>
        <w:pStyle w:val="SingleTxtG"/>
        <w:spacing w:before="120"/>
        <w:ind w:left="4536" w:hanging="3402"/>
        <w:rPr>
          <w:i/>
          <w:iCs/>
          <w:lang w:val="en-GB"/>
        </w:rPr>
      </w:pPr>
      <w:r w:rsidRPr="009E31DB">
        <w:rPr>
          <w:i/>
          <w:iCs/>
        </w:rPr>
        <w:t>Subject matter:</w:t>
      </w:r>
      <w:r w:rsidRPr="009E31DB">
        <w:tab/>
      </w:r>
      <w:r w:rsidR="00846D69" w:rsidRPr="00DE76C5">
        <w:rPr>
          <w:lang w:val="en-GB"/>
        </w:rPr>
        <w:t>Local</w:t>
      </w:r>
      <w:r w:rsidR="00A06DB2" w:rsidRPr="00A06DB2">
        <w:t xml:space="preserve"> administration refusing the author’</w:t>
      </w:r>
      <w:r w:rsidR="00E26204" w:rsidRPr="008B54BD">
        <w:rPr>
          <w:lang w:val="en-GB"/>
        </w:rPr>
        <w:t>s</w:t>
      </w:r>
      <w:r w:rsidR="00A06DB2" w:rsidRPr="00A06DB2">
        <w:t xml:space="preserve"> request to hold a demonstration</w:t>
      </w:r>
    </w:p>
    <w:p w14:paraId="61C61123" w14:textId="77777777" w:rsidR="003134AC" w:rsidRPr="00283A20" w:rsidRDefault="003134AC" w:rsidP="00B70BF9">
      <w:pPr>
        <w:pStyle w:val="SingleTxtG"/>
        <w:ind w:left="4536" w:hanging="3402"/>
        <w:rPr>
          <w:lang w:val="en-GB"/>
        </w:rPr>
      </w:pPr>
      <w:r w:rsidRPr="005B6047">
        <w:rPr>
          <w:i/>
          <w:iCs/>
        </w:rPr>
        <w:t xml:space="preserve">Procedural issue: </w:t>
      </w:r>
      <w:r w:rsidRPr="005B6047">
        <w:rPr>
          <w:i/>
          <w:iCs/>
        </w:rPr>
        <w:tab/>
      </w:r>
      <w:r w:rsidR="00283A20" w:rsidRPr="00283A20">
        <w:rPr>
          <w:iCs/>
          <w:lang w:val="en-GB"/>
        </w:rPr>
        <w:t>A</w:t>
      </w:r>
      <w:r w:rsidR="00283A20" w:rsidRPr="00283A20">
        <w:rPr>
          <w:iCs/>
        </w:rPr>
        <w:t xml:space="preserve">dmissibility </w:t>
      </w:r>
      <w:r w:rsidR="008A758A">
        <w:rPr>
          <w:iCs/>
          <w:lang w:val="en-US"/>
        </w:rPr>
        <w:t>—</w:t>
      </w:r>
      <w:r w:rsidR="008A758A" w:rsidRPr="00283A20">
        <w:rPr>
          <w:iCs/>
        </w:rPr>
        <w:t xml:space="preserve"> </w:t>
      </w:r>
      <w:r w:rsidR="00283A20" w:rsidRPr="00283A20">
        <w:rPr>
          <w:iCs/>
        </w:rPr>
        <w:t>manifestly ill-founded</w:t>
      </w:r>
      <w:r w:rsidR="00283A20">
        <w:rPr>
          <w:iCs/>
        </w:rPr>
        <w:t xml:space="preserve">; </w:t>
      </w:r>
      <w:r w:rsidR="00283A20" w:rsidRPr="00283A20">
        <w:rPr>
          <w:iCs/>
          <w:lang w:val="en-GB"/>
        </w:rPr>
        <w:t>facts and evidence</w:t>
      </w:r>
    </w:p>
    <w:p w14:paraId="068C5179" w14:textId="77777777" w:rsidR="009A3DDF" w:rsidRPr="00283A20" w:rsidRDefault="009A3DDF" w:rsidP="009A3DDF">
      <w:pPr>
        <w:pStyle w:val="SingleTxtG"/>
        <w:ind w:left="4536" w:hanging="3402"/>
        <w:rPr>
          <w:lang w:val="en-GB"/>
        </w:rPr>
      </w:pPr>
      <w:r w:rsidRPr="005B6047">
        <w:rPr>
          <w:i/>
          <w:iCs/>
        </w:rPr>
        <w:t xml:space="preserve">Substantive issue: </w:t>
      </w:r>
      <w:r w:rsidRPr="005B6047">
        <w:rPr>
          <w:i/>
          <w:iCs/>
        </w:rPr>
        <w:tab/>
      </w:r>
      <w:r>
        <w:rPr>
          <w:lang w:val="en-GB"/>
        </w:rPr>
        <w:t>F</w:t>
      </w:r>
      <w:r w:rsidRPr="00283A20">
        <w:rPr>
          <w:lang w:val="en-GB"/>
        </w:rPr>
        <w:t>reedom of assembly</w:t>
      </w:r>
      <w:r>
        <w:rPr>
          <w:lang w:val="en-GB"/>
        </w:rPr>
        <w:t xml:space="preserve"> </w:t>
      </w:r>
    </w:p>
    <w:p w14:paraId="501E35B2" w14:textId="77777777" w:rsidR="005C11C1" w:rsidRPr="005C11C1" w:rsidRDefault="003134AC" w:rsidP="003134AC">
      <w:pPr>
        <w:pStyle w:val="SingleTxtG"/>
        <w:ind w:left="4536" w:hanging="3402"/>
        <w:rPr>
          <w:lang w:val="en-GB"/>
        </w:rPr>
      </w:pPr>
      <w:r w:rsidRPr="005C11C1">
        <w:rPr>
          <w:i/>
          <w:iCs/>
        </w:rPr>
        <w:t>Article of the Covenant:</w:t>
      </w:r>
      <w:r w:rsidRPr="005C11C1">
        <w:t xml:space="preserve"> </w:t>
      </w:r>
      <w:r w:rsidRPr="005C11C1">
        <w:tab/>
      </w:r>
      <w:r w:rsidR="00492FCD" w:rsidRPr="00492FCD">
        <w:rPr>
          <w:lang w:val="en-US"/>
        </w:rPr>
        <w:t>21</w:t>
      </w:r>
    </w:p>
    <w:p w14:paraId="31FEC3FC" w14:textId="77777777" w:rsidR="00A9008E" w:rsidRPr="008D299D" w:rsidRDefault="003134AC" w:rsidP="008D299D">
      <w:pPr>
        <w:pStyle w:val="SingleTxtG"/>
        <w:ind w:left="4536" w:hanging="3402"/>
        <w:rPr>
          <w:lang w:val="en-GB"/>
        </w:rPr>
      </w:pPr>
      <w:r w:rsidRPr="009E31DB">
        <w:rPr>
          <w:i/>
          <w:iCs/>
        </w:rPr>
        <w:t>Art</w:t>
      </w:r>
      <w:r>
        <w:rPr>
          <w:i/>
          <w:iCs/>
        </w:rPr>
        <w:t>icle of the Optional Protocol:</w:t>
      </w:r>
      <w:r w:rsidR="00735F4E" w:rsidRPr="00735F4E">
        <w:rPr>
          <w:i/>
          <w:iCs/>
          <w:lang w:val="en-GB"/>
        </w:rPr>
        <w:tab/>
      </w:r>
      <w:r w:rsidR="004E01F0">
        <w:rPr>
          <w:iCs/>
        </w:rPr>
        <w:t>2</w:t>
      </w:r>
    </w:p>
    <w:p w14:paraId="15B1579E" w14:textId="77777777" w:rsidR="003134AC" w:rsidRPr="009E31DB" w:rsidRDefault="008D299D" w:rsidP="008D299D">
      <w:pPr>
        <w:pStyle w:val="SingleTxtG"/>
      </w:pPr>
      <w:r w:rsidRPr="008B54BD">
        <w:rPr>
          <w:lang w:val="en-GB"/>
        </w:rPr>
        <w:tab/>
      </w:r>
    </w:p>
    <w:p w14:paraId="4F7AFD4C" w14:textId="77777777" w:rsidR="003134AC" w:rsidRPr="009E31DB" w:rsidRDefault="003134AC" w:rsidP="003134AC">
      <w:pPr>
        <w:pStyle w:val="HChG"/>
      </w:pPr>
      <w:r w:rsidRPr="009E31DB">
        <w:br w:type="page"/>
      </w:r>
      <w:r w:rsidRPr="009E31DB">
        <w:lastRenderedPageBreak/>
        <w:t>Annex</w:t>
      </w:r>
    </w:p>
    <w:p w14:paraId="3C542F97" w14:textId="77777777" w:rsidR="003134AC" w:rsidRPr="009E31DB" w:rsidRDefault="003134AC" w:rsidP="003134AC">
      <w:pPr>
        <w:pStyle w:val="HChG"/>
        <w:rPr>
          <w:bCs/>
        </w:rPr>
      </w:pPr>
      <w:r w:rsidRPr="009E31DB">
        <w:tab/>
      </w:r>
      <w:r w:rsidRPr="009E31DB">
        <w:tab/>
        <w:t>Views of the Human Rights Committee under article 5, paragraph 4, of the Optional Protocol to the International Covenant on Civil and Political rights (</w:t>
      </w:r>
      <w:r>
        <w:t>11</w:t>
      </w:r>
      <w:r w:rsidR="00846D69">
        <w:t>4</w:t>
      </w:r>
      <w:r>
        <w:t xml:space="preserve">th </w:t>
      </w:r>
      <w:r w:rsidRPr="009E31DB">
        <w:rPr>
          <w:bCs/>
        </w:rPr>
        <w:t>session)</w:t>
      </w:r>
    </w:p>
    <w:p w14:paraId="04B28BAD" w14:textId="77777777" w:rsidR="003134AC" w:rsidRPr="009E31DB" w:rsidRDefault="003134AC" w:rsidP="003134AC">
      <w:pPr>
        <w:pStyle w:val="SingleTxtG"/>
        <w:rPr>
          <w:b/>
          <w:bCs/>
        </w:rPr>
      </w:pPr>
      <w:r w:rsidRPr="009E31DB">
        <w:t>concerning</w:t>
      </w:r>
    </w:p>
    <w:p w14:paraId="50A51AD4" w14:textId="77777777" w:rsidR="003134AC" w:rsidRPr="009E31DB" w:rsidRDefault="003134AC" w:rsidP="003134AC">
      <w:pPr>
        <w:pStyle w:val="H1G"/>
      </w:pPr>
      <w:r w:rsidRPr="009E31DB">
        <w:tab/>
      </w:r>
      <w:r w:rsidRPr="009E31DB">
        <w:tab/>
        <w:t xml:space="preserve">Communication No. </w:t>
      </w:r>
      <w:r w:rsidR="00A9008E">
        <w:t>19</w:t>
      </w:r>
      <w:r w:rsidR="001D2DA2">
        <w:t>88</w:t>
      </w:r>
      <w:r>
        <w:t>/</w:t>
      </w:r>
      <w:r w:rsidR="00A9008E">
        <w:t>2010</w:t>
      </w:r>
      <w:r w:rsidR="005C7C1C" w:rsidRPr="00B70BF9">
        <w:rPr>
          <w:rStyle w:val="FootnoteReference"/>
          <w:b w:val="0"/>
          <w:bCs/>
          <w:sz w:val="20"/>
          <w:vertAlign w:val="baseline"/>
        </w:rPr>
        <w:footnoteReference w:customMarkFollows="1" w:id="2"/>
        <w:t>*</w:t>
      </w:r>
    </w:p>
    <w:p w14:paraId="69030C95" w14:textId="77777777" w:rsidR="00361E8A" w:rsidRPr="009E31DB" w:rsidRDefault="00361E8A" w:rsidP="00361E8A">
      <w:pPr>
        <w:pStyle w:val="SingleTxtG"/>
        <w:ind w:left="4536" w:hanging="3402"/>
      </w:pPr>
      <w:r w:rsidRPr="009707F5">
        <w:rPr>
          <w:i/>
        </w:rPr>
        <w:t>Submitted by:</w:t>
      </w:r>
      <w:r w:rsidRPr="009E31DB">
        <w:tab/>
      </w:r>
      <w:r w:rsidR="001D2DA2" w:rsidRPr="008B54BD">
        <w:rPr>
          <w:lang w:val="en-GB"/>
        </w:rPr>
        <w:t xml:space="preserve">Valentin Evrezov </w:t>
      </w:r>
      <w:r w:rsidR="006D4427" w:rsidRPr="006D4427">
        <w:rPr>
          <w:lang w:val="en-US"/>
        </w:rPr>
        <w:t>(not represented by counsel)</w:t>
      </w:r>
    </w:p>
    <w:p w14:paraId="35069A9A" w14:textId="77777777" w:rsidR="00361E8A" w:rsidRPr="00A9008E" w:rsidRDefault="00361E8A" w:rsidP="00361E8A">
      <w:pPr>
        <w:pStyle w:val="SingleTxtG"/>
        <w:ind w:left="4536" w:hanging="3402"/>
        <w:rPr>
          <w:lang w:val="en-GB"/>
        </w:rPr>
      </w:pPr>
      <w:r w:rsidRPr="009707F5">
        <w:rPr>
          <w:i/>
        </w:rPr>
        <w:t>Alleged victim:</w:t>
      </w:r>
      <w:r w:rsidRPr="009E31DB">
        <w:tab/>
        <w:t>The author</w:t>
      </w:r>
    </w:p>
    <w:p w14:paraId="5965E40E" w14:textId="77777777" w:rsidR="00361E8A" w:rsidRPr="00A9008E" w:rsidRDefault="00361E8A" w:rsidP="00361E8A">
      <w:pPr>
        <w:pStyle w:val="SingleTxtG"/>
        <w:ind w:left="4536" w:hanging="3402"/>
        <w:rPr>
          <w:lang w:val="en-GB"/>
        </w:rPr>
      </w:pPr>
      <w:r w:rsidRPr="009707F5">
        <w:rPr>
          <w:i/>
        </w:rPr>
        <w:t>State party:</w:t>
      </w:r>
      <w:r w:rsidRPr="009E31DB">
        <w:tab/>
      </w:r>
      <w:r w:rsidRPr="00A9008E">
        <w:rPr>
          <w:lang w:val="en-GB"/>
        </w:rPr>
        <w:t>Belarus</w:t>
      </w:r>
    </w:p>
    <w:p w14:paraId="34EACC52" w14:textId="77777777" w:rsidR="00361E8A" w:rsidRPr="009E31DB" w:rsidRDefault="00361E8A" w:rsidP="00361E8A">
      <w:pPr>
        <w:pStyle w:val="SingleTxtG"/>
        <w:ind w:left="4536" w:hanging="3402"/>
      </w:pPr>
      <w:r w:rsidRPr="009707F5">
        <w:rPr>
          <w:i/>
        </w:rPr>
        <w:t>Date of communication:</w:t>
      </w:r>
      <w:r w:rsidRPr="009E31DB">
        <w:tab/>
      </w:r>
      <w:r>
        <w:rPr>
          <w:lang w:val="en-GB"/>
        </w:rPr>
        <w:t xml:space="preserve">5 </w:t>
      </w:r>
      <w:r w:rsidR="001D2DA2">
        <w:rPr>
          <w:lang w:val="en-GB"/>
        </w:rPr>
        <w:t xml:space="preserve">January </w:t>
      </w:r>
      <w:r>
        <w:rPr>
          <w:lang w:val="en-GB"/>
        </w:rPr>
        <w:t>200</w:t>
      </w:r>
      <w:r w:rsidR="001D2DA2">
        <w:rPr>
          <w:lang w:val="en-GB"/>
        </w:rPr>
        <w:t>9</w:t>
      </w:r>
      <w:r w:rsidRPr="009E31DB">
        <w:t xml:space="preserve"> (initial submission)</w:t>
      </w:r>
      <w:r w:rsidRPr="009E31DB">
        <w:tab/>
      </w:r>
    </w:p>
    <w:p w14:paraId="2EAD3A76" w14:textId="77777777" w:rsidR="003134AC" w:rsidRPr="009E31DB" w:rsidRDefault="003134AC" w:rsidP="003134AC">
      <w:pPr>
        <w:pStyle w:val="SingleTxtG"/>
      </w:pPr>
      <w:r w:rsidRPr="009E31DB">
        <w:tab/>
      </w:r>
      <w:r w:rsidRPr="009707F5">
        <w:rPr>
          <w:i/>
        </w:rPr>
        <w:t>The Human Rights Committee</w:t>
      </w:r>
      <w:r w:rsidRPr="009E31DB">
        <w:t xml:space="preserve">, established under article 28 of the International Covenant on Civil and Political Rights, </w:t>
      </w:r>
    </w:p>
    <w:p w14:paraId="46A87E15" w14:textId="77777777" w:rsidR="003134AC" w:rsidRPr="009E31DB" w:rsidRDefault="003134AC" w:rsidP="003134AC">
      <w:pPr>
        <w:pStyle w:val="SingleTxtG"/>
      </w:pPr>
      <w:r w:rsidRPr="009E31DB">
        <w:tab/>
      </w:r>
      <w:r w:rsidRPr="009707F5">
        <w:rPr>
          <w:i/>
        </w:rPr>
        <w:t>Meeting on</w:t>
      </w:r>
      <w:r w:rsidR="0092324E" w:rsidRPr="005C6779">
        <w:rPr>
          <w:i/>
          <w:lang w:val="en-GB"/>
        </w:rPr>
        <w:t xml:space="preserve"> </w:t>
      </w:r>
      <w:r w:rsidR="0092324E" w:rsidRPr="00B70BF9">
        <w:rPr>
          <w:lang w:val="en-GB"/>
        </w:rPr>
        <w:t>15</w:t>
      </w:r>
      <w:r w:rsidRPr="009E31DB">
        <w:t xml:space="preserve"> </w:t>
      </w:r>
      <w:r w:rsidR="0055203E" w:rsidRPr="008B54BD">
        <w:rPr>
          <w:lang w:val="en-GB"/>
        </w:rPr>
        <w:t>Ju</w:t>
      </w:r>
      <w:r w:rsidR="009A3DDF">
        <w:rPr>
          <w:lang w:val="en-GB"/>
        </w:rPr>
        <w:t>ly</w:t>
      </w:r>
      <w:r w:rsidRPr="009E31DB">
        <w:t xml:space="preserve"> 201</w:t>
      </w:r>
      <w:r w:rsidR="001844A0" w:rsidRPr="001844A0">
        <w:rPr>
          <w:lang w:val="en-GB"/>
        </w:rPr>
        <w:t>5</w:t>
      </w:r>
      <w:r w:rsidRPr="009E31DB">
        <w:t>,</w:t>
      </w:r>
    </w:p>
    <w:p w14:paraId="48F9D4D4" w14:textId="77777777" w:rsidR="003134AC" w:rsidRPr="009E31DB" w:rsidRDefault="003134AC" w:rsidP="003134AC">
      <w:pPr>
        <w:pStyle w:val="SingleTxtG"/>
      </w:pPr>
      <w:r w:rsidRPr="009E31DB">
        <w:tab/>
      </w:r>
      <w:r w:rsidRPr="009707F5">
        <w:rPr>
          <w:i/>
        </w:rPr>
        <w:t>Having concluded</w:t>
      </w:r>
      <w:r w:rsidRPr="009E31DB">
        <w:t xml:space="preserve"> its consideration of communication No. </w:t>
      </w:r>
      <w:r w:rsidR="00A9008E" w:rsidRPr="00A9008E">
        <w:rPr>
          <w:lang w:val="en-GB"/>
        </w:rPr>
        <w:t>19</w:t>
      </w:r>
      <w:r w:rsidR="0055203E">
        <w:rPr>
          <w:lang w:val="en-GB"/>
        </w:rPr>
        <w:t>88</w:t>
      </w:r>
      <w:r>
        <w:t>/20</w:t>
      </w:r>
      <w:r w:rsidR="001844A0" w:rsidRPr="001844A0">
        <w:rPr>
          <w:lang w:val="en-GB"/>
        </w:rPr>
        <w:t>1</w:t>
      </w:r>
      <w:r w:rsidR="00A9008E">
        <w:rPr>
          <w:lang w:val="en-GB"/>
        </w:rPr>
        <w:t>0</w:t>
      </w:r>
      <w:r w:rsidRPr="009E31DB">
        <w:t xml:space="preserve">, submitted to </w:t>
      </w:r>
      <w:r>
        <w:t xml:space="preserve">the Human Rights Committee </w:t>
      </w:r>
      <w:r w:rsidRPr="009E31DB">
        <w:t>under the Optional Protocol to the International Covenant on Civil and Political Rights,</w:t>
      </w:r>
    </w:p>
    <w:p w14:paraId="3366A3C1" w14:textId="77777777"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14:paraId="03A4FBAF" w14:textId="77777777" w:rsidR="003134AC" w:rsidRPr="009E31DB" w:rsidRDefault="003134AC" w:rsidP="003134AC">
      <w:pPr>
        <w:pStyle w:val="SingleTxtG"/>
      </w:pPr>
      <w:r w:rsidRPr="009E31DB">
        <w:tab/>
      </w:r>
      <w:r w:rsidRPr="009707F5">
        <w:rPr>
          <w:i/>
        </w:rPr>
        <w:t>Adopts the following</w:t>
      </w:r>
      <w:r w:rsidRPr="009E31DB">
        <w:t>:</w:t>
      </w:r>
    </w:p>
    <w:p w14:paraId="6B581082" w14:textId="77777777" w:rsidR="003134AC" w:rsidRPr="009E31DB" w:rsidRDefault="003134AC" w:rsidP="003134AC">
      <w:pPr>
        <w:pStyle w:val="H1G"/>
      </w:pPr>
      <w:r w:rsidRPr="009E31DB">
        <w:tab/>
      </w:r>
      <w:r w:rsidRPr="009E31DB">
        <w:tab/>
        <w:t>Views under article 5, paragraph 4, of the Optional Protocol</w:t>
      </w:r>
    </w:p>
    <w:p w14:paraId="2C7E4450" w14:textId="77777777" w:rsidR="00A9008E" w:rsidRPr="00A9008E" w:rsidRDefault="00A9008E" w:rsidP="00B70BF9">
      <w:pPr>
        <w:pStyle w:val="SingleTxtG"/>
        <w:rPr>
          <w:lang w:val="en-US"/>
        </w:rPr>
      </w:pPr>
      <w:r w:rsidRPr="00A9008E">
        <w:rPr>
          <w:lang w:val="en-US"/>
        </w:rPr>
        <w:t>1.</w:t>
      </w:r>
      <w:r w:rsidRPr="00A9008E">
        <w:rPr>
          <w:lang w:val="en-US"/>
        </w:rPr>
        <w:tab/>
        <w:t>The author of the communication</w:t>
      </w:r>
      <w:r w:rsidR="0055203E">
        <w:rPr>
          <w:lang w:val="en-US"/>
        </w:rPr>
        <w:t xml:space="preserve"> is</w:t>
      </w:r>
      <w:r w:rsidRPr="00A9008E">
        <w:rPr>
          <w:lang w:val="en-US"/>
        </w:rPr>
        <w:t xml:space="preserve"> </w:t>
      </w:r>
      <w:r w:rsidR="0055203E">
        <w:rPr>
          <w:lang w:val="en-US"/>
        </w:rPr>
        <w:t>Valentin Evrezov</w:t>
      </w:r>
      <w:r w:rsidRPr="00A9008E">
        <w:rPr>
          <w:lang w:val="en-US"/>
        </w:rPr>
        <w:t>,</w:t>
      </w:r>
      <w:r w:rsidR="00846D69">
        <w:rPr>
          <w:lang w:val="en-US"/>
        </w:rPr>
        <w:t xml:space="preserve"> </w:t>
      </w:r>
      <w:r w:rsidR="0055203E">
        <w:rPr>
          <w:lang w:val="en-US"/>
        </w:rPr>
        <w:t xml:space="preserve">a </w:t>
      </w:r>
      <w:r w:rsidRPr="00A9008E">
        <w:rPr>
          <w:lang w:val="en-US"/>
        </w:rPr>
        <w:t>Belarus</w:t>
      </w:r>
      <w:r w:rsidR="00846D69">
        <w:rPr>
          <w:lang w:val="en-US"/>
        </w:rPr>
        <w:t>ian</w:t>
      </w:r>
      <w:r w:rsidRPr="00A9008E">
        <w:rPr>
          <w:lang w:val="en-US"/>
        </w:rPr>
        <w:t xml:space="preserve"> national</w:t>
      </w:r>
      <w:r w:rsidR="00846D69" w:rsidRPr="00846D69">
        <w:rPr>
          <w:lang w:val="en-US"/>
        </w:rPr>
        <w:t xml:space="preserve"> </w:t>
      </w:r>
      <w:r w:rsidR="00846D69" w:rsidRPr="00A9008E">
        <w:rPr>
          <w:lang w:val="en-US"/>
        </w:rPr>
        <w:t>born in 19</w:t>
      </w:r>
      <w:r w:rsidR="00846D69">
        <w:rPr>
          <w:lang w:val="en-US"/>
        </w:rPr>
        <w:t>54</w:t>
      </w:r>
      <w:r w:rsidRPr="00A9008E">
        <w:rPr>
          <w:lang w:val="en-US"/>
        </w:rPr>
        <w:t xml:space="preserve">. </w:t>
      </w:r>
      <w:r w:rsidR="0055203E">
        <w:rPr>
          <w:lang w:val="en-US"/>
        </w:rPr>
        <w:t xml:space="preserve">He </w:t>
      </w:r>
      <w:r w:rsidRPr="00A9008E">
        <w:rPr>
          <w:lang w:val="en-US"/>
        </w:rPr>
        <w:t>claim</w:t>
      </w:r>
      <w:r w:rsidR="0055203E">
        <w:rPr>
          <w:lang w:val="en-US"/>
        </w:rPr>
        <w:t>s</w:t>
      </w:r>
      <w:r w:rsidRPr="00A9008E">
        <w:rPr>
          <w:lang w:val="en-US"/>
        </w:rPr>
        <w:t xml:space="preserve"> to be </w:t>
      </w:r>
      <w:r w:rsidR="0055203E">
        <w:rPr>
          <w:lang w:val="en-US"/>
        </w:rPr>
        <w:t xml:space="preserve">a </w:t>
      </w:r>
      <w:r w:rsidRPr="009A3DDF">
        <w:t>victim</w:t>
      </w:r>
      <w:r w:rsidRPr="00A9008E">
        <w:rPr>
          <w:lang w:val="en-US"/>
        </w:rPr>
        <w:t xml:space="preserve"> of violations by Belarus of </w:t>
      </w:r>
      <w:r w:rsidR="0055203E">
        <w:rPr>
          <w:lang w:val="en-US"/>
        </w:rPr>
        <w:t>his</w:t>
      </w:r>
      <w:r w:rsidRPr="00A9008E">
        <w:rPr>
          <w:lang w:val="en-US"/>
        </w:rPr>
        <w:t xml:space="preserve"> rights under article 21 of the </w:t>
      </w:r>
      <w:r w:rsidR="00706988" w:rsidRPr="00685405">
        <w:rPr>
          <w:lang w:val="en-GB"/>
        </w:rPr>
        <w:t>International Covenant on Civil and Political Rights</w:t>
      </w:r>
      <w:r w:rsidR="001D4AA5">
        <w:rPr>
          <w:lang w:val="en-US"/>
        </w:rPr>
        <w:t xml:space="preserve">. </w:t>
      </w:r>
      <w:r w:rsidR="0055203E">
        <w:rPr>
          <w:lang w:val="en-US"/>
        </w:rPr>
        <w:t xml:space="preserve">The author is unrepresented. </w:t>
      </w:r>
      <w:r w:rsidR="00846D69">
        <w:rPr>
          <w:lang w:val="en-US"/>
        </w:rPr>
        <w:t xml:space="preserve">The Optional Protocol entered into force for </w:t>
      </w:r>
      <w:r w:rsidR="009B40CC">
        <w:rPr>
          <w:lang w:val="en-US"/>
        </w:rPr>
        <w:t>the</w:t>
      </w:r>
      <w:r w:rsidR="00846D69">
        <w:rPr>
          <w:lang w:val="en-US"/>
        </w:rPr>
        <w:t xml:space="preserve"> State party on </w:t>
      </w:r>
      <w:r w:rsidR="00846D69" w:rsidRPr="00706988">
        <w:rPr>
          <w:lang w:val="en-US"/>
        </w:rPr>
        <w:t>30 December 1992</w:t>
      </w:r>
      <w:r w:rsidR="001D4AA5">
        <w:rPr>
          <w:lang w:val="en-US"/>
        </w:rPr>
        <w:t>.</w:t>
      </w:r>
    </w:p>
    <w:p w14:paraId="030F78EC" w14:textId="77777777" w:rsidR="00A9008E" w:rsidRPr="00A9008E" w:rsidRDefault="008D299D" w:rsidP="008D299D">
      <w:pPr>
        <w:pStyle w:val="H23G"/>
        <w:rPr>
          <w:lang w:val="en-US"/>
        </w:rPr>
      </w:pPr>
      <w:r>
        <w:rPr>
          <w:lang w:val="en-US"/>
        </w:rPr>
        <w:tab/>
      </w:r>
      <w:r>
        <w:rPr>
          <w:lang w:val="en-US"/>
        </w:rPr>
        <w:tab/>
      </w:r>
      <w:r w:rsidR="00A9008E" w:rsidRPr="00A9008E">
        <w:rPr>
          <w:lang w:val="en-US"/>
        </w:rPr>
        <w:t>The facts as presented by the author</w:t>
      </w:r>
    </w:p>
    <w:p w14:paraId="039EB0A2" w14:textId="77777777" w:rsidR="00A9008E" w:rsidRPr="00A9008E" w:rsidRDefault="00A9008E" w:rsidP="00B70BF9">
      <w:pPr>
        <w:pStyle w:val="SingleTxtG"/>
        <w:rPr>
          <w:lang w:val="en-US"/>
        </w:rPr>
      </w:pPr>
      <w:r w:rsidRPr="00A9008E">
        <w:rPr>
          <w:lang w:val="en-US"/>
        </w:rPr>
        <w:t>2.1</w:t>
      </w:r>
      <w:r w:rsidRPr="00A9008E">
        <w:rPr>
          <w:lang w:val="en-US"/>
        </w:rPr>
        <w:tab/>
      </w:r>
      <w:r w:rsidR="00FB1800" w:rsidRPr="00FB1800">
        <w:rPr>
          <w:lang w:val="en-US"/>
        </w:rPr>
        <w:t xml:space="preserve">On 15 August 2007, the author filed an application with the Executive District Committee of </w:t>
      </w:r>
      <w:r w:rsidR="00E931CC">
        <w:rPr>
          <w:lang w:val="en-US"/>
        </w:rPr>
        <w:t xml:space="preserve">the </w:t>
      </w:r>
      <w:r w:rsidR="00E931CC" w:rsidRPr="00FB1800">
        <w:rPr>
          <w:lang w:val="en-US"/>
        </w:rPr>
        <w:t xml:space="preserve">town </w:t>
      </w:r>
      <w:r w:rsidR="00E931CC">
        <w:rPr>
          <w:lang w:val="en-US"/>
        </w:rPr>
        <w:t xml:space="preserve">of </w:t>
      </w:r>
      <w:r w:rsidR="00FB1800" w:rsidRPr="00FB1800">
        <w:rPr>
          <w:lang w:val="en-US"/>
        </w:rPr>
        <w:t xml:space="preserve">Zhlobin with a request to hold, on 30 August 2007, together with several other citizens, a </w:t>
      </w:r>
      <w:r w:rsidR="00846D69">
        <w:rPr>
          <w:lang w:val="en-US"/>
        </w:rPr>
        <w:t xml:space="preserve">picket </w:t>
      </w:r>
      <w:r w:rsidR="00FB1800" w:rsidRPr="00FB1800">
        <w:rPr>
          <w:lang w:val="en-US"/>
        </w:rPr>
        <w:t>to protest against the politically motivated imprisonment of the former presidential candidate</w:t>
      </w:r>
      <w:r w:rsidR="00E931CC">
        <w:rPr>
          <w:lang w:val="en-US"/>
        </w:rPr>
        <w:t>,</w:t>
      </w:r>
      <w:r w:rsidR="00FB1800" w:rsidRPr="00FB1800">
        <w:rPr>
          <w:lang w:val="en-US"/>
        </w:rPr>
        <w:t xml:space="preserve"> Aleksand Kozulin.</w:t>
      </w:r>
      <w:r w:rsidRPr="00A9008E">
        <w:rPr>
          <w:lang w:val="en-GB"/>
        </w:rPr>
        <w:t xml:space="preserve"> </w:t>
      </w:r>
    </w:p>
    <w:p w14:paraId="79EAE17C" w14:textId="77777777" w:rsidR="00A9008E" w:rsidRPr="00A9008E" w:rsidRDefault="00A9008E" w:rsidP="00B70BF9">
      <w:pPr>
        <w:pStyle w:val="SingleTxtG"/>
        <w:rPr>
          <w:lang w:val="en-US"/>
        </w:rPr>
      </w:pPr>
      <w:r w:rsidRPr="00A9008E">
        <w:rPr>
          <w:lang w:val="en-US"/>
        </w:rPr>
        <w:lastRenderedPageBreak/>
        <w:t>2.2</w:t>
      </w:r>
      <w:r w:rsidRPr="00A9008E">
        <w:rPr>
          <w:lang w:val="en-US"/>
        </w:rPr>
        <w:tab/>
      </w:r>
      <w:r w:rsidR="00E931CC">
        <w:rPr>
          <w:lang w:val="en-US"/>
        </w:rPr>
        <w:t>O</w:t>
      </w:r>
      <w:r w:rsidR="00FB1800" w:rsidRPr="00FB1800">
        <w:rPr>
          <w:lang w:val="en-US"/>
        </w:rPr>
        <w:t xml:space="preserve">n 23 August 2007, </w:t>
      </w:r>
      <w:r w:rsidR="00E931CC" w:rsidRPr="00FB1800">
        <w:rPr>
          <w:lang w:val="en-US"/>
        </w:rPr>
        <w:t xml:space="preserve">the Executive District Committee of Zhlobin </w:t>
      </w:r>
      <w:r w:rsidR="00FB1800" w:rsidRPr="00FB1800">
        <w:rPr>
          <w:lang w:val="en-US"/>
        </w:rPr>
        <w:t xml:space="preserve">issued a decision prohibiting the </w:t>
      </w:r>
      <w:r w:rsidR="00846D69">
        <w:rPr>
          <w:lang w:val="en-US"/>
        </w:rPr>
        <w:t>event</w:t>
      </w:r>
      <w:r w:rsidR="00FB1800" w:rsidRPr="00FB1800">
        <w:rPr>
          <w:lang w:val="en-US"/>
        </w:rPr>
        <w:t xml:space="preserve">. The </w:t>
      </w:r>
      <w:r w:rsidR="008B54BD" w:rsidRPr="00FB1800">
        <w:rPr>
          <w:lang w:val="en-US"/>
        </w:rPr>
        <w:t>reason</w:t>
      </w:r>
      <w:r w:rsidR="00FB1800" w:rsidRPr="00FB1800">
        <w:rPr>
          <w:lang w:val="en-US"/>
        </w:rPr>
        <w:t xml:space="preserve"> given for the </w:t>
      </w:r>
      <w:r w:rsidR="008B54BD" w:rsidRPr="00FB1800">
        <w:rPr>
          <w:lang w:val="en-US"/>
        </w:rPr>
        <w:t>prohibition was</w:t>
      </w:r>
      <w:r w:rsidR="00FB1800" w:rsidRPr="00FB1800">
        <w:rPr>
          <w:lang w:val="en-US"/>
        </w:rPr>
        <w:t xml:space="preserve"> that the declared purpose of the demonstration contradicted </w:t>
      </w:r>
      <w:r w:rsidR="00846D69">
        <w:rPr>
          <w:lang w:val="en-US"/>
        </w:rPr>
        <w:t>a</w:t>
      </w:r>
      <w:r w:rsidR="00FB1800" w:rsidRPr="00FB1800">
        <w:rPr>
          <w:lang w:val="en-US"/>
        </w:rPr>
        <w:t xml:space="preserve"> </w:t>
      </w:r>
      <w:r w:rsidR="00846D69">
        <w:rPr>
          <w:lang w:val="en-US"/>
        </w:rPr>
        <w:t xml:space="preserve">court </w:t>
      </w:r>
      <w:r w:rsidR="00FB1800" w:rsidRPr="00FB1800">
        <w:rPr>
          <w:lang w:val="en-US"/>
        </w:rPr>
        <w:t xml:space="preserve">verdict, according to which </w:t>
      </w:r>
      <w:r w:rsidR="00846D69">
        <w:rPr>
          <w:lang w:val="en-US"/>
        </w:rPr>
        <w:t xml:space="preserve">Mr. Kozulin’s </w:t>
      </w:r>
      <w:r w:rsidR="00FB1800" w:rsidRPr="00FB1800">
        <w:rPr>
          <w:lang w:val="en-US"/>
        </w:rPr>
        <w:t xml:space="preserve">sentence was unrelated to his political </w:t>
      </w:r>
      <w:r w:rsidR="00846D69">
        <w:rPr>
          <w:lang w:val="en-US"/>
        </w:rPr>
        <w:t>opinions</w:t>
      </w:r>
      <w:r w:rsidR="00FB1800" w:rsidRPr="00FB1800">
        <w:rPr>
          <w:lang w:val="en-US"/>
        </w:rPr>
        <w:t>.</w:t>
      </w:r>
    </w:p>
    <w:p w14:paraId="42D95071" w14:textId="77777777" w:rsidR="00A9008E" w:rsidRPr="00A9008E" w:rsidRDefault="00A9008E" w:rsidP="00B70BF9">
      <w:pPr>
        <w:pStyle w:val="SingleTxtG"/>
        <w:rPr>
          <w:lang w:val="en-US"/>
        </w:rPr>
      </w:pPr>
      <w:r w:rsidRPr="00A9008E">
        <w:rPr>
          <w:lang w:val="en-US"/>
        </w:rPr>
        <w:t>2.3</w:t>
      </w:r>
      <w:r w:rsidRPr="00A9008E">
        <w:rPr>
          <w:lang w:val="en-US"/>
        </w:rPr>
        <w:tab/>
      </w:r>
      <w:r w:rsidR="00FB1800" w:rsidRPr="00FB1800">
        <w:rPr>
          <w:lang w:val="en-US"/>
        </w:rPr>
        <w:t xml:space="preserve">On an unspecified date, the author and his fellow campaigners filed an appeal against the decision of Executive Committee before the District Court, which was rejected on 17 October 2007. The </w:t>
      </w:r>
      <w:r w:rsidR="00F46AAF">
        <w:rPr>
          <w:lang w:val="en-US"/>
        </w:rPr>
        <w:t>C</w:t>
      </w:r>
      <w:r w:rsidR="00FB1800" w:rsidRPr="00FB1800">
        <w:rPr>
          <w:lang w:val="en-US"/>
        </w:rPr>
        <w:t xml:space="preserve">ourt </w:t>
      </w:r>
      <w:r w:rsidR="001D4AA5">
        <w:rPr>
          <w:lang w:val="en-US"/>
        </w:rPr>
        <w:t>noted</w:t>
      </w:r>
      <w:r w:rsidR="00FB1800" w:rsidRPr="00FB1800">
        <w:rPr>
          <w:lang w:val="en-US"/>
        </w:rPr>
        <w:t xml:space="preserve"> that, since</w:t>
      </w:r>
      <w:r w:rsidR="00F46AAF">
        <w:rPr>
          <w:lang w:val="en-US"/>
        </w:rPr>
        <w:t>,</w:t>
      </w:r>
      <w:r w:rsidR="00FB1800" w:rsidRPr="00FB1800">
        <w:rPr>
          <w:lang w:val="en-US"/>
        </w:rPr>
        <w:t xml:space="preserve"> according to the verdict</w:t>
      </w:r>
      <w:r w:rsidR="001D4AA5">
        <w:rPr>
          <w:lang w:val="en-US"/>
        </w:rPr>
        <w:t xml:space="preserve">, </w:t>
      </w:r>
      <w:r w:rsidR="00FB1800" w:rsidRPr="00FB1800">
        <w:rPr>
          <w:lang w:val="en-US"/>
        </w:rPr>
        <w:t xml:space="preserve">Mr. Kozulin’s political views </w:t>
      </w:r>
      <w:r w:rsidR="00F46AAF">
        <w:rPr>
          <w:lang w:val="en-US"/>
        </w:rPr>
        <w:t xml:space="preserve">had not been </w:t>
      </w:r>
      <w:r w:rsidR="00FB1800" w:rsidRPr="00FB1800">
        <w:rPr>
          <w:lang w:val="en-US"/>
        </w:rPr>
        <w:t xml:space="preserve">the basis </w:t>
      </w:r>
      <w:r w:rsidR="001D4AA5">
        <w:rPr>
          <w:lang w:val="en-US"/>
        </w:rPr>
        <w:t>for</w:t>
      </w:r>
      <w:r w:rsidR="00FB1800" w:rsidRPr="00FB1800">
        <w:rPr>
          <w:lang w:val="en-US"/>
        </w:rPr>
        <w:t xml:space="preserve"> his sentence, the </w:t>
      </w:r>
      <w:r w:rsidR="001D4AA5">
        <w:rPr>
          <w:lang w:val="en-US"/>
        </w:rPr>
        <w:t xml:space="preserve">authorities’ </w:t>
      </w:r>
      <w:r w:rsidR="00FB1800" w:rsidRPr="00FB1800">
        <w:rPr>
          <w:lang w:val="en-US"/>
        </w:rPr>
        <w:t xml:space="preserve">refusal to allow the </w:t>
      </w:r>
      <w:r w:rsidR="001D4AA5">
        <w:rPr>
          <w:lang w:val="en-US"/>
        </w:rPr>
        <w:t xml:space="preserve">event </w:t>
      </w:r>
      <w:r w:rsidR="00FB1800" w:rsidRPr="00FB1800">
        <w:rPr>
          <w:lang w:val="en-US"/>
        </w:rPr>
        <w:t>was legal and justified. The author filed a cassation appeal against the District Court’s decision to the Regional Court of Gomel. On 27 November 2007, the Regional Court confirm</w:t>
      </w:r>
      <w:r w:rsidR="001D4AA5">
        <w:rPr>
          <w:lang w:val="en-US"/>
        </w:rPr>
        <w:t>ed</w:t>
      </w:r>
      <w:r w:rsidR="00FB1800" w:rsidRPr="00FB1800">
        <w:rPr>
          <w:lang w:val="en-US"/>
        </w:rPr>
        <w:t xml:space="preserve"> the decision </w:t>
      </w:r>
      <w:r w:rsidR="00F46AAF">
        <w:rPr>
          <w:lang w:val="en-US"/>
        </w:rPr>
        <w:t xml:space="preserve">of the </w:t>
      </w:r>
      <w:r w:rsidR="00F46AAF" w:rsidRPr="00FB1800">
        <w:rPr>
          <w:lang w:val="en-US"/>
        </w:rPr>
        <w:t xml:space="preserve">first instance </w:t>
      </w:r>
      <w:r w:rsidR="00FB1800" w:rsidRPr="00FB1800">
        <w:rPr>
          <w:lang w:val="en-US"/>
        </w:rPr>
        <w:t>and reject</w:t>
      </w:r>
      <w:r w:rsidR="001D4AA5">
        <w:rPr>
          <w:lang w:val="en-US"/>
        </w:rPr>
        <w:t xml:space="preserve">ed </w:t>
      </w:r>
      <w:r w:rsidR="00FB1800" w:rsidRPr="00FB1800">
        <w:rPr>
          <w:lang w:val="en-US"/>
        </w:rPr>
        <w:t xml:space="preserve">the appeal. </w:t>
      </w:r>
    </w:p>
    <w:p w14:paraId="25EFDA17" w14:textId="77777777" w:rsidR="00A9008E" w:rsidRPr="00A9008E" w:rsidRDefault="00A9008E" w:rsidP="00B70BF9">
      <w:pPr>
        <w:pStyle w:val="SingleTxtG"/>
        <w:rPr>
          <w:lang w:val="en-US"/>
        </w:rPr>
      </w:pPr>
      <w:r w:rsidRPr="00A9008E">
        <w:rPr>
          <w:lang w:val="en-US"/>
        </w:rPr>
        <w:t>2.4</w:t>
      </w:r>
      <w:r w:rsidRPr="00A9008E">
        <w:rPr>
          <w:lang w:val="en-US"/>
        </w:rPr>
        <w:tab/>
      </w:r>
      <w:r w:rsidR="00FB1800" w:rsidRPr="00FB1800">
        <w:rPr>
          <w:lang w:val="en-US"/>
        </w:rPr>
        <w:t xml:space="preserve">In addition, the author </w:t>
      </w:r>
      <w:r w:rsidR="001D4AA5">
        <w:rPr>
          <w:lang w:val="en-US"/>
        </w:rPr>
        <w:t xml:space="preserve">requested his case to be </w:t>
      </w:r>
      <w:r w:rsidR="00DE76C5">
        <w:rPr>
          <w:lang w:val="en-US"/>
        </w:rPr>
        <w:t>reviewed</w:t>
      </w:r>
      <w:r w:rsidR="001D4AA5">
        <w:rPr>
          <w:lang w:val="en-US"/>
        </w:rPr>
        <w:t xml:space="preserve"> under </w:t>
      </w:r>
      <w:r w:rsidR="00FB1800" w:rsidRPr="00FB1800">
        <w:rPr>
          <w:lang w:val="en-US"/>
        </w:rPr>
        <w:t xml:space="preserve">the supervisory review </w:t>
      </w:r>
      <w:r w:rsidR="001D4AA5">
        <w:rPr>
          <w:lang w:val="en-US"/>
        </w:rPr>
        <w:t>procedures</w:t>
      </w:r>
      <w:r w:rsidR="00FB1800" w:rsidRPr="00FB1800">
        <w:rPr>
          <w:lang w:val="en-US"/>
        </w:rPr>
        <w:t xml:space="preserve"> to the </w:t>
      </w:r>
      <w:r w:rsidR="001D4AA5">
        <w:rPr>
          <w:lang w:val="en-US"/>
        </w:rPr>
        <w:t xml:space="preserve">Chair </w:t>
      </w:r>
      <w:r w:rsidR="00FB1800" w:rsidRPr="00FB1800">
        <w:rPr>
          <w:lang w:val="en-US"/>
        </w:rPr>
        <w:t xml:space="preserve">of the Regional Court and to the </w:t>
      </w:r>
      <w:r w:rsidR="001D4AA5">
        <w:rPr>
          <w:lang w:val="en-US"/>
        </w:rPr>
        <w:t xml:space="preserve">Chair </w:t>
      </w:r>
      <w:r w:rsidR="00FB1800" w:rsidRPr="00FB1800">
        <w:rPr>
          <w:lang w:val="en-US"/>
        </w:rPr>
        <w:t>of the Supreme Court of Belarus. Both rejected his appeals, on 14 March 2008 and on 5 June 2008</w:t>
      </w:r>
      <w:r w:rsidR="00F46AAF">
        <w:rPr>
          <w:lang w:val="en-US"/>
        </w:rPr>
        <w:t>,</w:t>
      </w:r>
      <w:r w:rsidR="00FB1800" w:rsidRPr="00FB1800">
        <w:rPr>
          <w:lang w:val="en-US"/>
        </w:rPr>
        <w:t xml:space="preserve"> respectively. In his appeals</w:t>
      </w:r>
      <w:r w:rsidR="00F46AAF">
        <w:rPr>
          <w:lang w:val="en-US"/>
        </w:rPr>
        <w:t>,</w:t>
      </w:r>
      <w:r w:rsidR="00FB1800" w:rsidRPr="00FB1800">
        <w:rPr>
          <w:lang w:val="en-US"/>
        </w:rPr>
        <w:t xml:space="preserve"> the author claimed that the refusal to allow him to conduct his campaign violated article 21 of the Covenant.</w:t>
      </w:r>
      <w:r w:rsidRPr="00A9008E">
        <w:rPr>
          <w:lang w:val="en-US"/>
        </w:rPr>
        <w:t xml:space="preserve"> </w:t>
      </w:r>
    </w:p>
    <w:p w14:paraId="7D8E726D" w14:textId="77777777" w:rsidR="00A9008E" w:rsidRPr="00A9008E" w:rsidRDefault="008D299D" w:rsidP="009A3DDF">
      <w:pPr>
        <w:pStyle w:val="H23G"/>
        <w:rPr>
          <w:lang w:val="en-US"/>
        </w:rPr>
      </w:pPr>
      <w:r>
        <w:rPr>
          <w:lang w:val="en-US"/>
        </w:rPr>
        <w:tab/>
      </w:r>
      <w:r>
        <w:rPr>
          <w:lang w:val="en-US"/>
        </w:rPr>
        <w:tab/>
      </w:r>
      <w:r w:rsidR="00A9008E" w:rsidRPr="00A9008E">
        <w:rPr>
          <w:lang w:val="en-US"/>
        </w:rPr>
        <w:t xml:space="preserve">The </w:t>
      </w:r>
      <w:r w:rsidR="00A9008E" w:rsidRPr="009A3DDF">
        <w:t>complaint</w:t>
      </w:r>
      <w:r w:rsidR="00A9008E" w:rsidRPr="00A9008E">
        <w:rPr>
          <w:lang w:val="en-US"/>
        </w:rPr>
        <w:t xml:space="preserve"> </w:t>
      </w:r>
    </w:p>
    <w:p w14:paraId="5CC8CA23" w14:textId="77777777" w:rsidR="00A9008E" w:rsidRPr="00A9008E" w:rsidRDefault="009A3DDF" w:rsidP="00B70BF9">
      <w:pPr>
        <w:pStyle w:val="SingleTxtG"/>
        <w:rPr>
          <w:lang w:val="en-US"/>
        </w:rPr>
      </w:pPr>
      <w:r>
        <w:rPr>
          <w:lang w:val="en-US"/>
        </w:rPr>
        <w:t>3.</w:t>
      </w:r>
      <w:r w:rsidR="00A9008E" w:rsidRPr="00A9008E">
        <w:rPr>
          <w:lang w:val="en-US"/>
        </w:rPr>
        <w:tab/>
      </w:r>
      <w:r w:rsidR="00361E8A">
        <w:rPr>
          <w:lang w:val="en-US"/>
        </w:rPr>
        <w:t>The author</w:t>
      </w:r>
      <w:r w:rsidR="00A9008E" w:rsidRPr="00A9008E">
        <w:rPr>
          <w:lang w:val="en-US"/>
        </w:rPr>
        <w:t xml:space="preserve"> claim</w:t>
      </w:r>
      <w:r w:rsidR="00255AD7">
        <w:rPr>
          <w:lang w:val="en-US"/>
        </w:rPr>
        <w:t>s</w:t>
      </w:r>
      <w:r w:rsidR="00A9008E" w:rsidRPr="00A9008E">
        <w:rPr>
          <w:lang w:val="en-US"/>
        </w:rPr>
        <w:t xml:space="preserve"> to be </w:t>
      </w:r>
      <w:r w:rsidR="00255AD7">
        <w:rPr>
          <w:lang w:val="en-US"/>
        </w:rPr>
        <w:t xml:space="preserve">a </w:t>
      </w:r>
      <w:r w:rsidR="00A9008E" w:rsidRPr="00A9008E">
        <w:rPr>
          <w:lang w:val="en-US"/>
        </w:rPr>
        <w:t xml:space="preserve">victim of violation by Belarus of </w:t>
      </w:r>
      <w:r w:rsidR="00255AD7">
        <w:rPr>
          <w:lang w:val="en-US"/>
        </w:rPr>
        <w:t>his</w:t>
      </w:r>
      <w:r w:rsidR="00A9008E" w:rsidRPr="00A9008E">
        <w:rPr>
          <w:lang w:val="en-US"/>
        </w:rPr>
        <w:t xml:space="preserve"> rights under article 21 of the Covenant.</w:t>
      </w:r>
      <w:r w:rsidR="001D4AA5">
        <w:rPr>
          <w:lang w:val="en-US"/>
        </w:rPr>
        <w:t xml:space="preserve"> He </w:t>
      </w:r>
      <w:r w:rsidR="00255AD7" w:rsidRPr="00255AD7">
        <w:rPr>
          <w:lang w:val="en-US"/>
        </w:rPr>
        <w:t>submits that neither the executive authorities nor the courts attempted to explain wh</w:t>
      </w:r>
      <w:r w:rsidR="00D032ED">
        <w:rPr>
          <w:lang w:val="en-US"/>
        </w:rPr>
        <w:t>ether</w:t>
      </w:r>
      <w:r w:rsidR="00255AD7" w:rsidRPr="00255AD7">
        <w:rPr>
          <w:lang w:val="en-US"/>
        </w:rPr>
        <w:t xml:space="preserve"> the </w:t>
      </w:r>
      <w:r w:rsidR="00F40E60">
        <w:rPr>
          <w:lang w:val="en-US"/>
        </w:rPr>
        <w:t xml:space="preserve">restriction </w:t>
      </w:r>
      <w:r w:rsidR="00D032ED">
        <w:rPr>
          <w:lang w:val="en-US"/>
        </w:rPr>
        <w:t xml:space="preserve">imposed </w:t>
      </w:r>
      <w:r w:rsidR="00255AD7" w:rsidRPr="00255AD7">
        <w:rPr>
          <w:lang w:val="en-US"/>
        </w:rPr>
        <w:t>o</w:t>
      </w:r>
      <w:r w:rsidR="00F40E60">
        <w:rPr>
          <w:lang w:val="en-US"/>
        </w:rPr>
        <w:t>n</w:t>
      </w:r>
      <w:r w:rsidR="00255AD7" w:rsidRPr="00255AD7">
        <w:rPr>
          <w:lang w:val="en-US"/>
        </w:rPr>
        <w:t xml:space="preserve"> his </w:t>
      </w:r>
      <w:r w:rsidR="00F40E60">
        <w:rPr>
          <w:lang w:val="en-US"/>
        </w:rPr>
        <w:t xml:space="preserve">right to </w:t>
      </w:r>
      <w:r w:rsidR="00255AD7" w:rsidRPr="00255AD7">
        <w:rPr>
          <w:lang w:val="en-US"/>
        </w:rPr>
        <w:t>freedom of association w</w:t>
      </w:r>
      <w:r w:rsidR="00F40E60">
        <w:rPr>
          <w:lang w:val="en-US"/>
        </w:rPr>
        <w:t>as</w:t>
      </w:r>
      <w:r w:rsidR="00255AD7" w:rsidRPr="00255AD7">
        <w:rPr>
          <w:lang w:val="en-US"/>
        </w:rPr>
        <w:t xml:space="preserve"> permissible </w:t>
      </w:r>
      <w:r w:rsidR="00F40E60">
        <w:rPr>
          <w:lang w:val="en-US"/>
        </w:rPr>
        <w:t xml:space="preserve">for the purposes of the second sentence of </w:t>
      </w:r>
      <w:r w:rsidR="00255AD7" w:rsidRPr="00255AD7">
        <w:rPr>
          <w:lang w:val="en-US"/>
        </w:rPr>
        <w:t xml:space="preserve">article 21 of the Covenant. He maintains that the above </w:t>
      </w:r>
      <w:r w:rsidR="00F40E60">
        <w:rPr>
          <w:lang w:val="en-US"/>
        </w:rPr>
        <w:t xml:space="preserve">restriction </w:t>
      </w:r>
      <w:r w:rsidR="00255AD7" w:rsidRPr="00255AD7">
        <w:rPr>
          <w:lang w:val="en-US"/>
        </w:rPr>
        <w:t xml:space="preserve">was necessary </w:t>
      </w:r>
      <w:r w:rsidR="00301173" w:rsidRPr="00255AD7">
        <w:rPr>
          <w:lang w:val="en-US"/>
        </w:rPr>
        <w:t>n</w:t>
      </w:r>
      <w:r w:rsidR="00301173">
        <w:rPr>
          <w:lang w:val="en-US"/>
        </w:rPr>
        <w:t xml:space="preserve">either </w:t>
      </w:r>
      <w:r w:rsidR="00255AD7" w:rsidRPr="00255AD7">
        <w:rPr>
          <w:lang w:val="en-US"/>
        </w:rPr>
        <w:t xml:space="preserve">in the interest of national security </w:t>
      </w:r>
      <w:r w:rsidR="00301173">
        <w:rPr>
          <w:lang w:val="en-US"/>
        </w:rPr>
        <w:t xml:space="preserve">or </w:t>
      </w:r>
      <w:r w:rsidR="00255AD7" w:rsidRPr="00255AD7">
        <w:rPr>
          <w:lang w:val="en-US"/>
        </w:rPr>
        <w:t>public order</w:t>
      </w:r>
      <w:r w:rsidR="00301173">
        <w:rPr>
          <w:lang w:val="en-US"/>
        </w:rPr>
        <w:t>,</w:t>
      </w:r>
      <w:r w:rsidR="00255AD7" w:rsidRPr="00255AD7">
        <w:rPr>
          <w:lang w:val="en-US"/>
        </w:rPr>
        <w:t xml:space="preserve"> </w:t>
      </w:r>
      <w:r w:rsidR="00F40E60">
        <w:rPr>
          <w:lang w:val="en-US"/>
        </w:rPr>
        <w:t>n</w:t>
      </w:r>
      <w:r w:rsidR="00255AD7" w:rsidRPr="00255AD7">
        <w:rPr>
          <w:lang w:val="en-US"/>
        </w:rPr>
        <w:t xml:space="preserve">or for the protection of the public morals or </w:t>
      </w:r>
      <w:r w:rsidR="00301173">
        <w:rPr>
          <w:lang w:val="en-US"/>
        </w:rPr>
        <w:t xml:space="preserve">the </w:t>
      </w:r>
      <w:r w:rsidR="00255AD7" w:rsidRPr="00255AD7">
        <w:rPr>
          <w:lang w:val="en-US"/>
        </w:rPr>
        <w:t xml:space="preserve">health or rights of other persons. </w:t>
      </w:r>
      <w:r w:rsidR="00F40E60">
        <w:rPr>
          <w:lang w:val="en-US"/>
        </w:rPr>
        <w:t>He</w:t>
      </w:r>
      <w:r w:rsidR="00255AD7" w:rsidRPr="00255AD7">
        <w:rPr>
          <w:lang w:val="en-US"/>
        </w:rPr>
        <w:t xml:space="preserve"> submits that the courts refused to apply the provision of the Covenant, in violation of articles 26 and 27 of the </w:t>
      </w:r>
      <w:r w:rsidR="00301173" w:rsidRPr="00B70BF9">
        <w:rPr>
          <w:lang w:val="en-US"/>
        </w:rPr>
        <w:t xml:space="preserve">Vienna Convention on the Law of Treaties between States and International Organizations or between International Organizations </w:t>
      </w:r>
      <w:r w:rsidR="00255AD7" w:rsidRPr="00255AD7">
        <w:rPr>
          <w:lang w:val="en-US"/>
        </w:rPr>
        <w:t xml:space="preserve">and of article 15 of the Law Regarding International Treaties of the Republic of Belarus, which states that the provisions of international treaties that have entered into force in Belarus constitute part of the applicable law </w:t>
      </w:r>
      <w:r w:rsidR="00F40E60">
        <w:rPr>
          <w:lang w:val="en-US"/>
        </w:rPr>
        <w:t>in the State party</w:t>
      </w:r>
      <w:r w:rsidR="00255AD7" w:rsidRPr="00255AD7">
        <w:rPr>
          <w:lang w:val="en-US"/>
        </w:rPr>
        <w:t xml:space="preserve">. </w:t>
      </w:r>
    </w:p>
    <w:p w14:paraId="1DFF9B60" w14:textId="77777777" w:rsidR="001C3120" w:rsidRDefault="007B3302" w:rsidP="00B70BF9">
      <w:pPr>
        <w:pStyle w:val="H23G"/>
      </w:pPr>
      <w:r>
        <w:tab/>
      </w:r>
      <w:r>
        <w:tab/>
      </w:r>
      <w:r w:rsidR="001C3120">
        <w:t>State party</w:t>
      </w:r>
      <w:r w:rsidR="005137C3">
        <w:t>’</w:t>
      </w:r>
      <w:r w:rsidR="001C3120">
        <w:t>s observations on admissibility</w:t>
      </w:r>
    </w:p>
    <w:p w14:paraId="71F8729C" w14:textId="77777777" w:rsidR="00666CA2" w:rsidRDefault="009A3DDF" w:rsidP="00B70BF9">
      <w:pPr>
        <w:pStyle w:val="SingleTxtG"/>
      </w:pPr>
      <w:r>
        <w:t>4.1</w:t>
      </w:r>
      <w:r w:rsidR="00666CA2">
        <w:tab/>
      </w:r>
      <w:r w:rsidR="00301173">
        <w:rPr>
          <w:lang w:val="en-US"/>
        </w:rPr>
        <w:t xml:space="preserve">In its </w:t>
      </w:r>
      <w:r w:rsidR="00666CA2">
        <w:t xml:space="preserve">note verbale of 6 January 2011, the State party, inter alia, recalled that it </w:t>
      </w:r>
      <w:r w:rsidR="00301173">
        <w:t>ha</w:t>
      </w:r>
      <w:r w:rsidR="00301173">
        <w:rPr>
          <w:lang w:val="en-US"/>
        </w:rPr>
        <w:t>d</w:t>
      </w:r>
      <w:r w:rsidR="00301173">
        <w:t xml:space="preserve"> </w:t>
      </w:r>
      <w:r w:rsidR="00666CA2">
        <w:t>repeatedly expressed its legitimate concerns to the Committee regarding unjustified registration of individual communications</w:t>
      </w:r>
      <w:r w:rsidR="00301173">
        <w:rPr>
          <w:lang w:val="en-US"/>
        </w:rPr>
        <w:t>,</w:t>
      </w:r>
      <w:r w:rsidR="00666CA2">
        <w:t xml:space="preserve"> </w:t>
      </w:r>
      <w:r w:rsidR="00301173">
        <w:rPr>
          <w:lang w:val="en-US"/>
        </w:rPr>
        <w:t>and that t</w:t>
      </w:r>
      <w:r w:rsidR="00666CA2">
        <w:t xml:space="preserve">he majority of </w:t>
      </w:r>
      <w:r w:rsidR="00301173">
        <w:rPr>
          <w:lang w:val="en-GB"/>
        </w:rPr>
        <w:t xml:space="preserve">its </w:t>
      </w:r>
      <w:r w:rsidR="00666CA2">
        <w:t>concerns relate</w:t>
      </w:r>
      <w:r w:rsidR="00301173">
        <w:rPr>
          <w:lang w:val="en-US"/>
        </w:rPr>
        <w:t>d</w:t>
      </w:r>
      <w:r w:rsidR="00666CA2">
        <w:t xml:space="preserve"> to communications </w:t>
      </w:r>
      <w:r w:rsidR="00301173">
        <w:rPr>
          <w:lang w:val="en-US"/>
        </w:rPr>
        <w:t xml:space="preserve">that had been </w:t>
      </w:r>
      <w:r w:rsidR="00666CA2">
        <w:t xml:space="preserve">submitted by individuals who deliberately </w:t>
      </w:r>
      <w:r w:rsidR="00301173">
        <w:t xml:space="preserve">had </w:t>
      </w:r>
      <w:r w:rsidR="00666CA2">
        <w:t xml:space="preserve">not exhausted all available remedies in the State party, including by filing, an appeal with the Prosecutor’s Office under the supervisory review procedure against judgements that have taken effect. The State party </w:t>
      </w:r>
      <w:r w:rsidR="009C1F95">
        <w:t>add</w:t>
      </w:r>
      <w:r w:rsidR="009C1F95">
        <w:rPr>
          <w:lang w:val="en-US"/>
        </w:rPr>
        <w:t>ed</w:t>
      </w:r>
      <w:r w:rsidR="009C1F95">
        <w:t xml:space="preserve"> </w:t>
      </w:r>
      <w:r w:rsidR="00666CA2">
        <w:t>that, inter alia, the present communica</w:t>
      </w:r>
      <w:r w:rsidR="00666CA2" w:rsidRPr="00B70BF9">
        <w:t xml:space="preserve">tion </w:t>
      </w:r>
      <w:r w:rsidR="009C1F95" w:rsidRPr="00B70BF9">
        <w:t>ha</w:t>
      </w:r>
      <w:r w:rsidR="009C1F95" w:rsidRPr="00B70BF9">
        <w:rPr>
          <w:lang w:val="en-US"/>
        </w:rPr>
        <w:t>d</w:t>
      </w:r>
      <w:r w:rsidR="009C1F95" w:rsidRPr="00B70BF9">
        <w:t xml:space="preserve"> </w:t>
      </w:r>
      <w:r w:rsidR="00666CA2" w:rsidRPr="00B70BF9">
        <w:t xml:space="preserve">been </w:t>
      </w:r>
      <w:r w:rsidR="009C1F95" w:rsidRPr="00B70BF9">
        <w:t>“</w:t>
      </w:r>
      <w:r w:rsidR="00666CA2" w:rsidRPr="00B70BF9">
        <w:t>registered in violation of the provisions of the Optional Protocol</w:t>
      </w:r>
      <w:r w:rsidR="009C1F95" w:rsidRPr="00B70BF9">
        <w:t>”</w:t>
      </w:r>
      <w:r w:rsidR="00666CA2">
        <w:t xml:space="preserve"> and</w:t>
      </w:r>
      <w:r w:rsidR="009C1F95">
        <w:rPr>
          <w:lang w:val="en-US"/>
        </w:rPr>
        <w:t xml:space="preserve"> that</w:t>
      </w:r>
      <w:r w:rsidR="00666CA2">
        <w:t xml:space="preserve">, therefore, there </w:t>
      </w:r>
      <w:r w:rsidR="009C1F95">
        <w:rPr>
          <w:lang w:val="en-US"/>
        </w:rPr>
        <w:t xml:space="preserve">were </w:t>
      </w:r>
      <w:r w:rsidR="009C1F95" w:rsidRPr="000859DE">
        <w:t>“</w:t>
      </w:r>
      <w:r w:rsidR="00666CA2">
        <w:t>no legal grounds for (its) consideration by the State party</w:t>
      </w:r>
      <w:r w:rsidR="009C1F95" w:rsidRPr="000859DE">
        <w:t>”</w:t>
      </w:r>
      <w:r w:rsidR="00666CA2">
        <w:t>.</w:t>
      </w:r>
    </w:p>
    <w:p w14:paraId="6351C87A" w14:textId="77777777" w:rsidR="00666CA2" w:rsidRDefault="009A3DDF" w:rsidP="00B70BF9">
      <w:pPr>
        <w:pStyle w:val="SingleTxtG"/>
      </w:pPr>
      <w:r>
        <w:t>4.2</w:t>
      </w:r>
      <w:r w:rsidR="00666CA2">
        <w:tab/>
      </w:r>
      <w:r w:rsidR="009C1F95">
        <w:rPr>
          <w:lang w:val="en-US"/>
        </w:rPr>
        <w:t xml:space="preserve">In its </w:t>
      </w:r>
      <w:r w:rsidR="00666CA2">
        <w:t xml:space="preserve">letter of 19 April 2011, the Chair of the Committee informed the State party that it </w:t>
      </w:r>
      <w:r w:rsidR="009C1F95">
        <w:rPr>
          <w:lang w:val="en-US"/>
        </w:rPr>
        <w:t xml:space="preserve">was </w:t>
      </w:r>
      <w:r w:rsidR="00666CA2">
        <w:t xml:space="preserve">implicit in article 4, paragraph 2, of the Optional Protocol to the Covenant that a State party must provide the Committee with all the information at its disposal. Therefore, the State party was requested to submit further observations as to the admissibility and the merits of the present case. The Chair also informed </w:t>
      </w:r>
      <w:r w:rsidR="009C1F95">
        <w:t xml:space="preserve">the State party </w:t>
      </w:r>
      <w:r w:rsidR="00666CA2">
        <w:t>that</w:t>
      </w:r>
      <w:r w:rsidR="009C1F95">
        <w:rPr>
          <w:lang w:val="en-US"/>
        </w:rPr>
        <w:t>,</w:t>
      </w:r>
      <w:r w:rsidR="00666CA2">
        <w:t xml:space="preserve"> in the absence of further information from </w:t>
      </w:r>
      <w:r w:rsidR="009C1F95">
        <w:rPr>
          <w:lang w:val="en-US"/>
        </w:rPr>
        <w:t>it</w:t>
      </w:r>
      <w:r w:rsidR="00666CA2">
        <w:t xml:space="preserve">, the Committee </w:t>
      </w:r>
      <w:r w:rsidR="009C1F95">
        <w:rPr>
          <w:lang w:val="en-US"/>
        </w:rPr>
        <w:t xml:space="preserve">would </w:t>
      </w:r>
      <w:r w:rsidR="00666CA2">
        <w:t>proceed with the examination of the communication based on the information available to it.</w:t>
      </w:r>
    </w:p>
    <w:p w14:paraId="5384C942" w14:textId="77777777" w:rsidR="00666CA2" w:rsidRDefault="009A3DDF" w:rsidP="00666CA2">
      <w:pPr>
        <w:pStyle w:val="SingleTxtG"/>
      </w:pPr>
      <w:r>
        <w:t>4.3</w:t>
      </w:r>
      <w:r w:rsidR="00666CA2">
        <w:tab/>
        <w:t>On 30 September 2011, the State party was again invited to submit its observations on admissibility and merits.</w:t>
      </w:r>
    </w:p>
    <w:p w14:paraId="2829DA1F" w14:textId="77777777" w:rsidR="00666CA2" w:rsidRDefault="009A3DDF" w:rsidP="00B70BF9">
      <w:pPr>
        <w:pStyle w:val="SingleTxtG"/>
      </w:pPr>
      <w:r>
        <w:lastRenderedPageBreak/>
        <w:t>4.4</w:t>
      </w:r>
      <w:r w:rsidR="00666CA2">
        <w:tab/>
        <w:t xml:space="preserve">On 5 October 2011, the State party submitted, inter alia, with regard to the present communication, that it believed that there </w:t>
      </w:r>
      <w:r w:rsidR="009C1F95">
        <w:rPr>
          <w:lang w:val="en-US"/>
        </w:rPr>
        <w:t xml:space="preserve">were </w:t>
      </w:r>
      <w:r w:rsidR="00666CA2">
        <w:t>no legal grounds for the consideration of the author’</w:t>
      </w:r>
      <w:r w:rsidR="00F40E60" w:rsidRPr="00DE76C5">
        <w:rPr>
          <w:lang w:val="en-GB"/>
        </w:rPr>
        <w:t>s</w:t>
      </w:r>
      <w:r w:rsidR="00666CA2">
        <w:t xml:space="preserve"> communication insofar as it </w:t>
      </w:r>
      <w:r w:rsidR="00D9375B">
        <w:rPr>
          <w:lang w:val="en-US"/>
        </w:rPr>
        <w:t xml:space="preserve">had been </w:t>
      </w:r>
      <w:r w:rsidR="00666CA2">
        <w:t xml:space="preserve">registered in violation of article 1 of the Optional Protocol. It maintained that all </w:t>
      </w:r>
      <w:r w:rsidR="00666CA2" w:rsidRPr="009A3DDF">
        <w:t>available</w:t>
      </w:r>
      <w:r w:rsidR="00666CA2">
        <w:t xml:space="preserve"> domestic remedies </w:t>
      </w:r>
      <w:r w:rsidR="00D9375B">
        <w:rPr>
          <w:lang w:val="en-US"/>
        </w:rPr>
        <w:t xml:space="preserve">had </w:t>
      </w:r>
      <w:r w:rsidR="00666CA2">
        <w:t>not been exhausted</w:t>
      </w:r>
      <w:r w:rsidR="00D9375B">
        <w:rPr>
          <w:lang w:val="en-US"/>
        </w:rPr>
        <w:t>,</w:t>
      </w:r>
      <w:r w:rsidR="00666CA2">
        <w:t xml:space="preserve"> as required by article 2 of the Optional Protocol</w:t>
      </w:r>
      <w:r w:rsidR="00D9375B">
        <w:rPr>
          <w:lang w:val="en-US"/>
        </w:rPr>
        <w:t>,</w:t>
      </w:r>
      <w:r w:rsidR="00666CA2">
        <w:t xml:space="preserve"> since no appeal </w:t>
      </w:r>
      <w:r w:rsidR="00D9375B">
        <w:rPr>
          <w:lang w:val="en-US"/>
        </w:rPr>
        <w:t>had been</w:t>
      </w:r>
      <w:r w:rsidR="00D9375B">
        <w:t xml:space="preserve"> </w:t>
      </w:r>
      <w:r w:rsidR="00666CA2">
        <w:t>filed to the Prosecutor’s offices for supervisory judicial review.</w:t>
      </w:r>
    </w:p>
    <w:p w14:paraId="68A19560" w14:textId="77777777" w:rsidR="00666CA2" w:rsidRDefault="009A3DDF" w:rsidP="00B70BF9">
      <w:pPr>
        <w:pStyle w:val="SingleTxtG"/>
      </w:pPr>
      <w:r>
        <w:t>4.5</w:t>
      </w:r>
      <w:r w:rsidR="00666CA2">
        <w:tab/>
        <w:t xml:space="preserve">On 25 October 2011, the State party was again invited to submit its observations on </w:t>
      </w:r>
      <w:r w:rsidR="00810457" w:rsidRPr="00810457">
        <w:rPr>
          <w:lang w:val="en-GB"/>
        </w:rPr>
        <w:t xml:space="preserve">the </w:t>
      </w:r>
      <w:r w:rsidR="00666CA2">
        <w:t>admissibility and merits. It was again informed that</w:t>
      </w:r>
      <w:r w:rsidR="00E601C4">
        <w:rPr>
          <w:lang w:val="en-US"/>
        </w:rPr>
        <w:t>,</w:t>
      </w:r>
      <w:r w:rsidR="00666CA2">
        <w:t xml:space="preserve"> in the absence of further information from the State party, the Committee </w:t>
      </w:r>
      <w:r w:rsidR="00E601C4">
        <w:rPr>
          <w:lang w:val="en-US"/>
        </w:rPr>
        <w:t xml:space="preserve">would </w:t>
      </w:r>
      <w:r w:rsidR="00666CA2">
        <w:t xml:space="preserve">proceed with the examination of the communication based on the information available to it. </w:t>
      </w:r>
    </w:p>
    <w:p w14:paraId="19EC73F8" w14:textId="77777777" w:rsidR="00DC465A" w:rsidRPr="00FD1D08" w:rsidRDefault="009A3DDF" w:rsidP="00B70BF9">
      <w:pPr>
        <w:pStyle w:val="SingleTxtG"/>
        <w:rPr>
          <w:lang w:val="en-GB"/>
        </w:rPr>
      </w:pPr>
      <w:r>
        <w:t>4.6</w:t>
      </w:r>
      <w:r w:rsidR="00666CA2">
        <w:tab/>
      </w:r>
      <w:r w:rsidR="009C3FF1" w:rsidRPr="009C3FF1">
        <w:rPr>
          <w:lang w:val="en-GB"/>
        </w:rPr>
        <w:t>In a note verbale dated 25 January 2012, the State party submitted that</w:t>
      </w:r>
      <w:r w:rsidR="00E601C4">
        <w:rPr>
          <w:lang w:val="en-GB"/>
        </w:rPr>
        <w:t>,</w:t>
      </w:r>
      <w:r w:rsidR="009C3FF1" w:rsidRPr="009C3FF1">
        <w:rPr>
          <w:lang w:val="en-GB"/>
        </w:rPr>
        <w:t xml:space="preserve"> upon becoming a party to the Optional Protocol, it had agreed, under article 1 thereof</w:t>
      </w:r>
      <w:r w:rsidR="00E601C4">
        <w:rPr>
          <w:lang w:val="en-GB"/>
        </w:rPr>
        <w:t>,</w:t>
      </w:r>
      <w:r w:rsidR="009C3FF1" w:rsidRPr="009C3FF1">
        <w:rPr>
          <w:lang w:val="en-GB"/>
        </w:rPr>
        <w:t xml:space="preserve"> to recognize the competence of the Committee to receive and consider communications from individuals subject to its jurisdiction who claim</w:t>
      </w:r>
      <w:r w:rsidR="00931883">
        <w:rPr>
          <w:lang w:val="en-GB"/>
        </w:rPr>
        <w:t>ed</w:t>
      </w:r>
      <w:r w:rsidR="009C3FF1" w:rsidRPr="009C3FF1">
        <w:rPr>
          <w:lang w:val="en-GB"/>
        </w:rPr>
        <w:t xml:space="preserve"> to be victims of a violation by the State party of any rights protected by the Covenant. It </w:t>
      </w:r>
      <w:r w:rsidR="00931883" w:rsidRPr="009C3FF1">
        <w:rPr>
          <w:lang w:val="en-GB"/>
        </w:rPr>
        <w:t>note</w:t>
      </w:r>
      <w:r w:rsidR="00931883">
        <w:rPr>
          <w:lang w:val="en-GB"/>
        </w:rPr>
        <w:t>d</w:t>
      </w:r>
      <w:r w:rsidR="009C3FF1" w:rsidRPr="009C3FF1">
        <w:rPr>
          <w:lang w:val="en-GB"/>
        </w:rPr>
        <w:t xml:space="preserve">, however, that that recognition </w:t>
      </w:r>
      <w:r w:rsidR="00931883">
        <w:rPr>
          <w:lang w:val="en-GB"/>
        </w:rPr>
        <w:t xml:space="preserve">had been </w:t>
      </w:r>
      <w:r w:rsidR="009C3FF1" w:rsidRPr="009C3FF1">
        <w:rPr>
          <w:lang w:val="en-GB"/>
        </w:rPr>
        <w:t xml:space="preserve">undertaken in conjunction with other provisions of the Optional Protocol, including those establishing criteria regarding petitioners and the admissibility of their communications, in particular articles 2 and 5. The State party </w:t>
      </w:r>
      <w:r w:rsidR="00931883" w:rsidRPr="009C3FF1">
        <w:rPr>
          <w:lang w:val="en-GB"/>
        </w:rPr>
        <w:t>maintain</w:t>
      </w:r>
      <w:r w:rsidR="00931883">
        <w:rPr>
          <w:lang w:val="en-GB"/>
        </w:rPr>
        <w:t>ed</w:t>
      </w:r>
      <w:r w:rsidR="00931883" w:rsidRPr="009C3FF1">
        <w:rPr>
          <w:lang w:val="en-GB"/>
        </w:rPr>
        <w:t xml:space="preserve"> </w:t>
      </w:r>
      <w:r w:rsidR="009C3FF1" w:rsidRPr="009C3FF1">
        <w:rPr>
          <w:lang w:val="en-GB"/>
        </w:rPr>
        <w:t xml:space="preserve">that, under the Optional Protocol, States parties </w:t>
      </w:r>
      <w:r w:rsidR="00931883">
        <w:rPr>
          <w:lang w:val="en-GB"/>
        </w:rPr>
        <w:t xml:space="preserve">had </w:t>
      </w:r>
      <w:r w:rsidR="009C3FF1" w:rsidRPr="009C3FF1">
        <w:rPr>
          <w:lang w:val="en-GB"/>
        </w:rPr>
        <w:t xml:space="preserve">no obligation to recognize the Committee’s rules of procedure nor its interpretation of the provisions of the Optional Protocol, which could only be effective when done in accordance with the Vienna Convention on the Law of Treaties. It </w:t>
      </w:r>
      <w:r w:rsidR="00931883" w:rsidRPr="009C3FF1">
        <w:rPr>
          <w:lang w:val="en-GB"/>
        </w:rPr>
        <w:t>submit</w:t>
      </w:r>
      <w:r w:rsidR="00931883">
        <w:rPr>
          <w:lang w:val="en-GB"/>
        </w:rPr>
        <w:t>ted</w:t>
      </w:r>
      <w:r w:rsidR="00931883" w:rsidRPr="009C3FF1">
        <w:rPr>
          <w:lang w:val="en-GB"/>
        </w:rPr>
        <w:t xml:space="preserve"> </w:t>
      </w:r>
      <w:r w:rsidR="009C3FF1" w:rsidRPr="009C3FF1">
        <w:rPr>
          <w:lang w:val="en-GB"/>
        </w:rPr>
        <w:t>that, in relation to the complaint procedure, States parties should be guided first and foremost by the provisions of the Optional Protocol, and that references to the Committee’s long-standing practice, methods of work and case law are not subjects of the Optional Protocol. It also submit</w:t>
      </w:r>
      <w:r w:rsidR="00870DD6">
        <w:rPr>
          <w:lang w:val="en-GB"/>
        </w:rPr>
        <w:t>ted</w:t>
      </w:r>
      <w:r w:rsidR="009C3FF1" w:rsidRPr="009C3FF1">
        <w:rPr>
          <w:lang w:val="en-GB"/>
        </w:rPr>
        <w:t xml:space="preserve"> that any communication registered in violation of the provisions of the Optional Protocol </w:t>
      </w:r>
      <w:r w:rsidR="00870DD6">
        <w:rPr>
          <w:lang w:val="en-GB"/>
        </w:rPr>
        <w:t xml:space="preserve">would </w:t>
      </w:r>
      <w:r w:rsidR="009C3FF1" w:rsidRPr="009C3FF1">
        <w:rPr>
          <w:lang w:val="en-GB"/>
        </w:rPr>
        <w:t xml:space="preserve">be viewed by the State party as incompatible with the Optional Protocol and </w:t>
      </w:r>
      <w:r w:rsidR="00870DD6">
        <w:rPr>
          <w:lang w:val="en-GB"/>
        </w:rPr>
        <w:t xml:space="preserve">would </w:t>
      </w:r>
      <w:r w:rsidR="009C3FF1" w:rsidRPr="009C3FF1">
        <w:rPr>
          <w:lang w:val="en-GB"/>
        </w:rPr>
        <w:t xml:space="preserve">be rejected without comments on the admissibility or merits, and any decision taken by the Committee on such rejected communications </w:t>
      </w:r>
      <w:r w:rsidR="00870DD6">
        <w:rPr>
          <w:lang w:val="en-GB"/>
        </w:rPr>
        <w:t xml:space="preserve">would </w:t>
      </w:r>
      <w:r w:rsidR="009C3FF1" w:rsidRPr="009C3FF1">
        <w:rPr>
          <w:lang w:val="en-GB"/>
        </w:rPr>
        <w:t xml:space="preserve">be considered by its authorities as “invalid”. The State party </w:t>
      </w:r>
      <w:r w:rsidR="00870DD6" w:rsidRPr="009C3FF1">
        <w:rPr>
          <w:lang w:val="en-GB"/>
        </w:rPr>
        <w:t>consider</w:t>
      </w:r>
      <w:r w:rsidR="00870DD6">
        <w:rPr>
          <w:lang w:val="en-GB"/>
        </w:rPr>
        <w:t>ed</w:t>
      </w:r>
      <w:r w:rsidR="00870DD6" w:rsidRPr="009C3FF1">
        <w:rPr>
          <w:lang w:val="en-GB"/>
        </w:rPr>
        <w:t xml:space="preserve"> </w:t>
      </w:r>
      <w:r w:rsidR="009C3FF1" w:rsidRPr="009C3FF1">
        <w:rPr>
          <w:lang w:val="en-GB"/>
        </w:rPr>
        <w:t>that the present communication</w:t>
      </w:r>
      <w:r w:rsidR="00875F71">
        <w:rPr>
          <w:lang w:val="en-GB"/>
        </w:rPr>
        <w:t>,</w:t>
      </w:r>
      <w:r w:rsidR="009C3FF1" w:rsidRPr="009C3FF1">
        <w:rPr>
          <w:lang w:val="en-GB"/>
        </w:rPr>
        <w:t xml:space="preserve"> as well as several other communications before the Committee</w:t>
      </w:r>
      <w:r w:rsidR="00875F71">
        <w:rPr>
          <w:lang w:val="en-GB"/>
        </w:rPr>
        <w:t>,</w:t>
      </w:r>
      <w:r w:rsidR="009C3FF1" w:rsidRPr="009C3FF1">
        <w:rPr>
          <w:lang w:val="en-GB"/>
        </w:rPr>
        <w:t xml:space="preserve"> </w:t>
      </w:r>
      <w:r w:rsidR="00870DD6">
        <w:rPr>
          <w:lang w:val="en-GB"/>
        </w:rPr>
        <w:t xml:space="preserve">had been </w:t>
      </w:r>
      <w:r w:rsidR="009C3FF1" w:rsidRPr="009C3FF1">
        <w:rPr>
          <w:lang w:val="en-GB"/>
        </w:rPr>
        <w:t>registered in viol</w:t>
      </w:r>
      <w:r w:rsidR="00FD1D08">
        <w:rPr>
          <w:lang w:val="en-GB"/>
        </w:rPr>
        <w:t>ation of the Optional Protocol.</w:t>
      </w:r>
      <w:r w:rsidR="0065704F">
        <w:rPr>
          <w:rStyle w:val="FootnoteReference"/>
          <w:lang w:val="en-GB"/>
        </w:rPr>
        <w:footnoteReference w:id="3"/>
      </w:r>
    </w:p>
    <w:p w14:paraId="1F29C0BF" w14:textId="77777777" w:rsidR="00F35149" w:rsidRPr="006C6C87" w:rsidRDefault="003134AC" w:rsidP="009A3DDF">
      <w:pPr>
        <w:pStyle w:val="H23G"/>
      </w:pPr>
      <w:r w:rsidRPr="007B3302">
        <w:tab/>
      </w:r>
      <w:r w:rsidRPr="007B3302">
        <w:tab/>
      </w:r>
      <w:r w:rsidR="00F35149" w:rsidRPr="006C6C87">
        <w:t>Issues and proceedings before the Committee</w:t>
      </w:r>
    </w:p>
    <w:p w14:paraId="1FD41616" w14:textId="77777777" w:rsidR="00C93256" w:rsidRDefault="00F35149" w:rsidP="009A3DDF">
      <w:pPr>
        <w:pStyle w:val="H4G"/>
      </w:pPr>
      <w:r w:rsidRPr="006C6C87">
        <w:tab/>
      </w:r>
      <w:r w:rsidRPr="006C6C87">
        <w:tab/>
      </w:r>
      <w:r w:rsidR="00C93256" w:rsidRPr="00C93256">
        <w:t xml:space="preserve">The State </w:t>
      </w:r>
      <w:r w:rsidR="00C93256" w:rsidRPr="009A3DDF">
        <w:t>party</w:t>
      </w:r>
      <w:r w:rsidR="005137C3">
        <w:t>’</w:t>
      </w:r>
      <w:r w:rsidR="00C93256" w:rsidRPr="009A3DDF">
        <w:t>s</w:t>
      </w:r>
      <w:r w:rsidR="00C93256" w:rsidRPr="00C93256">
        <w:t xml:space="preserve"> lack of cooperation</w:t>
      </w:r>
    </w:p>
    <w:p w14:paraId="26601466" w14:textId="77777777" w:rsidR="00EA4F0B" w:rsidRPr="00C93256" w:rsidRDefault="00EA4F0B" w:rsidP="009A3DDF">
      <w:pPr>
        <w:pStyle w:val="SingleTxtG"/>
      </w:pPr>
      <w:r w:rsidRPr="00AE65AB">
        <w:t>5.1</w:t>
      </w:r>
      <w:r w:rsidRPr="00AE65AB">
        <w:tab/>
      </w:r>
      <w:r w:rsidRPr="00C93256">
        <w:t xml:space="preserve">The Committee notes the State party’s assertion that there are no legal grounds for consideration of the </w:t>
      </w:r>
      <w:r w:rsidRPr="009A3DDF">
        <w:t>author’s</w:t>
      </w:r>
      <w:r w:rsidRPr="00C93256">
        <w:t xml:space="preserve"> communication, insofar as it was registered in violation of the provisions of the Optional Protocol; that it has no obligation to recognize the Committee’s rules of procedure nor the Committee’s interpretation of the provisions of the Optional Protocol; and that any decision taken by the Committee on the present communication will be considered “invalid” by its authorities.</w:t>
      </w:r>
    </w:p>
    <w:p w14:paraId="4EFB4EB1" w14:textId="77777777" w:rsidR="00EA4F0B" w:rsidRPr="00180875" w:rsidRDefault="00EA4F0B" w:rsidP="009A3DDF">
      <w:pPr>
        <w:pStyle w:val="SingleTxtG"/>
        <w:rPr>
          <w:lang w:val="en-GB"/>
        </w:rPr>
      </w:pPr>
      <w:r>
        <w:rPr>
          <w:rFonts w:eastAsia="SimSun"/>
        </w:rPr>
        <w:t>5.2</w:t>
      </w:r>
      <w:r>
        <w:rPr>
          <w:rFonts w:eastAsia="SimSun"/>
        </w:rPr>
        <w:tab/>
      </w:r>
      <w:r w:rsidRPr="00C93256">
        <w:t>The Committee recalls that</w:t>
      </w:r>
      <w:r w:rsidR="00870DD6">
        <w:rPr>
          <w:lang w:val="en-US"/>
        </w:rPr>
        <w:t>,</w:t>
      </w:r>
      <w:r w:rsidRPr="00C93256">
        <w:t xml:space="preserve"> under article 39, paragraph 2, of the Covenant,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Implicit in a State’s </w:t>
      </w:r>
      <w:r w:rsidRPr="00C93256">
        <w:lastRenderedPageBreak/>
        <w:t xml:space="preserve">adherence to the Optional Protocol is the undertaking to cooperate with the Committee in good faith so as to permit and enable it to consider such communications, and after examination thereof, to forward its Views to the State party and the individual (art. 5, paras. 1 and 4). It is incompatible with those obligations for a State party to take any action that would prevent or frustrate the Committee in its consideration and examination of the communication, and </w:t>
      </w:r>
      <w:r>
        <w:t>in the expression of its Views.</w:t>
      </w:r>
      <w:r w:rsidRPr="00C93256">
        <w:rPr>
          <w:vertAlign w:val="superscript"/>
        </w:rPr>
        <w:footnoteReference w:id="4"/>
      </w:r>
      <w:r w:rsidRPr="00C93256">
        <w:t xml:space="preserve"> It is up to the Committee to determine whether a communication should be registered. The Committee observes that, by failing to accept the competence of the Committee to determine whether a communication should be registered and by declaring beforehand that it will not accept the Committee’s determination on the admissibility or the merits of the communication, the State party is violating its obligations under article 1 of the Optional Protocol to the International Covenant</w:t>
      </w:r>
      <w:r>
        <w:t xml:space="preserve"> on Civil and Political Rights.</w:t>
      </w:r>
      <w:r w:rsidRPr="00C93256">
        <w:rPr>
          <w:vertAlign w:val="superscript"/>
        </w:rPr>
        <w:footnoteReference w:id="5"/>
      </w:r>
    </w:p>
    <w:p w14:paraId="1A06BAA3" w14:textId="77777777" w:rsidR="00F35149" w:rsidRPr="00C93256" w:rsidRDefault="00FD1D08" w:rsidP="009A3DDF">
      <w:pPr>
        <w:pStyle w:val="H4G"/>
      </w:pPr>
      <w:r>
        <w:tab/>
      </w:r>
      <w:r>
        <w:tab/>
      </w:r>
      <w:r w:rsidR="00F35149" w:rsidRPr="00C93256">
        <w:t>Consideration of admissibility</w:t>
      </w:r>
    </w:p>
    <w:p w14:paraId="0F32CCFE" w14:textId="77777777" w:rsidR="00F35149" w:rsidRPr="006C6C87" w:rsidRDefault="001C3120" w:rsidP="00B70BF9">
      <w:pPr>
        <w:pStyle w:val="SingleTxtG"/>
      </w:pPr>
      <w:r w:rsidRPr="001C3120">
        <w:rPr>
          <w:lang w:val="en-GB"/>
        </w:rPr>
        <w:t>6</w:t>
      </w:r>
      <w:r w:rsidR="00F35149" w:rsidRPr="006C6C87">
        <w:t>.1</w:t>
      </w:r>
      <w:r w:rsidR="00F35149" w:rsidRPr="006C6C87">
        <w:tab/>
        <w:t xml:space="preserve">Before considering any claim contained in a communication, the Human Rights Committee must, in accordance with rule 93 of its rules of procedure, decide whether or not </w:t>
      </w:r>
      <w:r w:rsidR="00870DD6">
        <w:rPr>
          <w:lang w:val="en-US"/>
        </w:rPr>
        <w:t xml:space="preserve">the case </w:t>
      </w:r>
      <w:r w:rsidR="00F35149" w:rsidRPr="006C6C87">
        <w:t>is admissible under the Optional Protocol to the Covenant.</w:t>
      </w:r>
    </w:p>
    <w:p w14:paraId="2AEEF495" w14:textId="77777777" w:rsidR="00F35149" w:rsidRPr="00B70BF9" w:rsidRDefault="001C3120" w:rsidP="00B70BF9">
      <w:pPr>
        <w:pStyle w:val="SingleTxtG"/>
        <w:rPr>
          <w:lang w:val="en-GB"/>
        </w:rPr>
      </w:pPr>
      <w:r w:rsidRPr="001C3120">
        <w:rPr>
          <w:lang w:val="en-GB"/>
        </w:rPr>
        <w:t>6</w:t>
      </w:r>
      <w:r w:rsidR="00F35149" w:rsidRPr="006C6C87">
        <w:t>.2</w:t>
      </w:r>
      <w:r w:rsidR="00F35149" w:rsidRPr="006C6C87">
        <w:tab/>
      </w:r>
      <w:r w:rsidR="00870DD6">
        <w:rPr>
          <w:lang w:val="en-US"/>
        </w:rPr>
        <w:t>A</w:t>
      </w:r>
      <w:r w:rsidR="00F35149" w:rsidRPr="006C6C87">
        <w:t xml:space="preserve">s required under article 5, paragraph 2 (a), of the Optional Protocol, </w:t>
      </w:r>
      <w:r w:rsidR="00870DD6" w:rsidRPr="006C6C87">
        <w:t xml:space="preserve">the Committee has </w:t>
      </w:r>
      <w:r w:rsidR="00870DD6" w:rsidRPr="009A3DDF">
        <w:t>ascertained</w:t>
      </w:r>
      <w:r w:rsidR="00870DD6">
        <w:rPr>
          <w:lang w:val="en-US"/>
        </w:rPr>
        <w:t xml:space="preserve"> </w:t>
      </w:r>
      <w:r w:rsidR="00F35149" w:rsidRPr="006C6C87">
        <w:t>that the same matter is not being examined under another procedure of international investigation or settlement.</w:t>
      </w:r>
    </w:p>
    <w:p w14:paraId="2C29B679" w14:textId="77777777" w:rsidR="00A04AC2" w:rsidRPr="00A04AC2" w:rsidRDefault="00A04AC2" w:rsidP="00B70BF9">
      <w:pPr>
        <w:pStyle w:val="SingleTxtG"/>
        <w:rPr>
          <w:lang w:val="en-GB"/>
        </w:rPr>
      </w:pPr>
      <w:r w:rsidRPr="00B70BF9">
        <w:rPr>
          <w:lang w:val="en-GB"/>
        </w:rPr>
        <w:t>6.3</w:t>
      </w:r>
      <w:r w:rsidR="005C7C1C">
        <w:rPr>
          <w:lang w:val="en-GB"/>
        </w:rPr>
        <w:tab/>
      </w:r>
      <w:r w:rsidR="00FC66FB" w:rsidRPr="00FC66FB">
        <w:rPr>
          <w:lang w:val="en-GB"/>
        </w:rPr>
        <w:t xml:space="preserve">The Committee recalls its jurisprudence, according to which a petition to a Prosecutor’s Office to initiate supervisory review to review court decisions that have taken effect does not constitute a remedy </w:t>
      </w:r>
      <w:r w:rsidR="00870DD6">
        <w:rPr>
          <w:lang w:val="en-GB"/>
        </w:rPr>
        <w:t xml:space="preserve">that </w:t>
      </w:r>
      <w:r w:rsidR="00FC66FB" w:rsidRPr="00FC66FB">
        <w:rPr>
          <w:lang w:val="en-GB"/>
        </w:rPr>
        <w:t>has to be exhausted for the purposes of article 5, paragraph 2 (b), of the Optional Protocol.</w:t>
      </w:r>
      <w:r w:rsidR="00FC66FB" w:rsidRPr="00FC66FB">
        <w:rPr>
          <w:vertAlign w:val="superscript"/>
          <w:lang w:val="en-GB"/>
        </w:rPr>
        <w:t xml:space="preserve"> </w:t>
      </w:r>
      <w:r w:rsidR="00FC66FB" w:rsidRPr="00FC66FB">
        <w:rPr>
          <w:vertAlign w:val="superscript"/>
          <w:lang w:val="de-DE"/>
        </w:rPr>
        <w:footnoteReference w:id="6"/>
      </w:r>
      <w:r w:rsidR="00FC66FB" w:rsidRPr="00FC66FB">
        <w:rPr>
          <w:lang w:val="en-GB"/>
        </w:rPr>
        <w:t xml:space="preserve"> Accordingly, it considers that it is not precluded by article 5, paragraph 2 (b), of the Optional Protocol from examining th</w:t>
      </w:r>
      <w:r w:rsidR="00287140">
        <w:rPr>
          <w:lang w:val="en-GB"/>
        </w:rPr>
        <w:t xml:space="preserve">e present </w:t>
      </w:r>
      <w:r w:rsidR="00FC66FB" w:rsidRPr="00FC66FB">
        <w:rPr>
          <w:lang w:val="en-GB"/>
        </w:rPr>
        <w:t>communication.</w:t>
      </w:r>
    </w:p>
    <w:p w14:paraId="5749F83A" w14:textId="77777777" w:rsidR="001F1088" w:rsidRPr="001F1088" w:rsidRDefault="001C3120" w:rsidP="00FC66FB">
      <w:pPr>
        <w:pStyle w:val="SingleTxtG"/>
        <w:rPr>
          <w:lang w:val="en-GB"/>
        </w:rPr>
      </w:pPr>
      <w:r>
        <w:rPr>
          <w:lang w:val="en-GB"/>
        </w:rPr>
        <w:t>6</w:t>
      </w:r>
      <w:r w:rsidR="00F60C3B" w:rsidRPr="00F60C3B">
        <w:rPr>
          <w:lang w:val="en-GB"/>
        </w:rPr>
        <w:t>.</w:t>
      </w:r>
      <w:r w:rsidR="00A04AC2">
        <w:rPr>
          <w:lang w:val="en-GB"/>
        </w:rPr>
        <w:t>4</w:t>
      </w:r>
      <w:r w:rsidR="00F60C3B">
        <w:rPr>
          <w:lang w:val="en-GB"/>
        </w:rPr>
        <w:tab/>
      </w:r>
      <w:r w:rsidR="005509CD" w:rsidRPr="00D21FF5">
        <w:t>The Committee takes note of the authors</w:t>
      </w:r>
      <w:r w:rsidR="00B66712" w:rsidRPr="00B66712">
        <w:rPr>
          <w:lang w:val="en-GB"/>
        </w:rPr>
        <w:t>’</w:t>
      </w:r>
      <w:r w:rsidR="005509CD" w:rsidRPr="00D21FF5">
        <w:t xml:space="preserve"> claim that </w:t>
      </w:r>
      <w:r w:rsidR="00B57E30" w:rsidRPr="008B54BD">
        <w:rPr>
          <w:lang w:val="en-GB"/>
        </w:rPr>
        <w:t>his</w:t>
      </w:r>
      <w:r w:rsidR="005509CD" w:rsidRPr="00D21FF5">
        <w:t xml:space="preserve"> rights under article </w:t>
      </w:r>
      <w:r w:rsidR="00B57E30" w:rsidRPr="008B54BD">
        <w:rPr>
          <w:lang w:val="en-GB"/>
        </w:rPr>
        <w:t>21</w:t>
      </w:r>
      <w:r w:rsidR="005509CD" w:rsidRPr="00D21FF5">
        <w:t xml:space="preserve"> of the Covenant ha</w:t>
      </w:r>
      <w:r w:rsidR="001F1088" w:rsidRPr="001F1088">
        <w:rPr>
          <w:lang w:val="en-GB"/>
        </w:rPr>
        <w:t xml:space="preserve">ve </w:t>
      </w:r>
      <w:r w:rsidR="005509CD" w:rsidRPr="00D21FF5">
        <w:t xml:space="preserve">been violated as </w:t>
      </w:r>
      <w:r w:rsidR="00B57E30" w:rsidRPr="008B54BD">
        <w:rPr>
          <w:lang w:val="en-GB"/>
        </w:rPr>
        <w:t xml:space="preserve">neither </w:t>
      </w:r>
      <w:r w:rsidR="005509CD" w:rsidRPr="00D21FF5">
        <w:t xml:space="preserve">the State party’s </w:t>
      </w:r>
      <w:r w:rsidR="00B57E30" w:rsidRPr="008B54BD">
        <w:rPr>
          <w:lang w:val="en-GB"/>
        </w:rPr>
        <w:t xml:space="preserve">courts, nor the </w:t>
      </w:r>
      <w:r w:rsidR="00D032ED" w:rsidRPr="00D032ED">
        <w:rPr>
          <w:lang w:val="en-GB"/>
        </w:rPr>
        <w:t>Zhlobin</w:t>
      </w:r>
      <w:r w:rsidR="00D032ED" w:rsidRPr="00D032ED" w:rsidDel="00D032ED">
        <w:rPr>
          <w:lang w:val="en-GB"/>
        </w:rPr>
        <w:t xml:space="preserve"> </w:t>
      </w:r>
      <w:r w:rsidR="00D032ED">
        <w:rPr>
          <w:lang w:val="en-GB"/>
        </w:rPr>
        <w:t xml:space="preserve">local </w:t>
      </w:r>
      <w:r w:rsidR="00B57E30" w:rsidRPr="008B54BD">
        <w:rPr>
          <w:lang w:val="en-GB"/>
        </w:rPr>
        <w:t>authorities explain</w:t>
      </w:r>
      <w:r w:rsidR="00D032ED">
        <w:rPr>
          <w:lang w:val="en-GB"/>
        </w:rPr>
        <w:t>ed</w:t>
      </w:r>
      <w:r w:rsidR="00B57E30" w:rsidRPr="008B54BD">
        <w:rPr>
          <w:lang w:val="en-GB"/>
        </w:rPr>
        <w:t xml:space="preserve"> </w:t>
      </w:r>
      <w:r w:rsidR="00B57E30" w:rsidRPr="009A3DDF">
        <w:t>wh</w:t>
      </w:r>
      <w:r w:rsidR="00D032ED" w:rsidRPr="009A3DDF">
        <w:t>ether</w:t>
      </w:r>
      <w:r w:rsidR="00B57E30" w:rsidRPr="008B54BD">
        <w:rPr>
          <w:lang w:val="en-GB"/>
        </w:rPr>
        <w:t xml:space="preserve"> the </w:t>
      </w:r>
      <w:r w:rsidR="00D032ED">
        <w:rPr>
          <w:lang w:val="en-GB"/>
        </w:rPr>
        <w:t xml:space="preserve">restriction imposed </w:t>
      </w:r>
      <w:r w:rsidR="00B57E30" w:rsidRPr="008B54BD">
        <w:rPr>
          <w:lang w:val="en-GB"/>
        </w:rPr>
        <w:t>o</w:t>
      </w:r>
      <w:r w:rsidR="00CC5F9C">
        <w:rPr>
          <w:lang w:val="en-GB"/>
        </w:rPr>
        <w:t>n</w:t>
      </w:r>
      <w:r w:rsidR="00B57E30" w:rsidRPr="008B54BD">
        <w:rPr>
          <w:lang w:val="en-GB"/>
        </w:rPr>
        <w:t xml:space="preserve"> his </w:t>
      </w:r>
      <w:r w:rsidR="00D032ED">
        <w:rPr>
          <w:lang w:val="en-GB"/>
        </w:rPr>
        <w:t xml:space="preserve">right to </w:t>
      </w:r>
      <w:r w:rsidR="00B57E30" w:rsidRPr="008B54BD">
        <w:rPr>
          <w:lang w:val="en-GB"/>
        </w:rPr>
        <w:t>freedom of association w</w:t>
      </w:r>
      <w:r w:rsidR="00D032ED">
        <w:rPr>
          <w:lang w:val="en-GB"/>
        </w:rPr>
        <w:t>as</w:t>
      </w:r>
      <w:r w:rsidR="00B57E30" w:rsidRPr="008B54BD">
        <w:rPr>
          <w:lang w:val="en-GB"/>
        </w:rPr>
        <w:t xml:space="preserve"> permissible </w:t>
      </w:r>
      <w:r w:rsidR="00D032ED">
        <w:rPr>
          <w:lang w:val="en-GB"/>
        </w:rPr>
        <w:t>for the purposes of the second sentence of</w:t>
      </w:r>
      <w:r w:rsidR="00B57E30" w:rsidRPr="008B54BD">
        <w:rPr>
          <w:lang w:val="en-GB"/>
        </w:rPr>
        <w:t xml:space="preserve"> article 21 of the Covenant</w:t>
      </w:r>
      <w:r w:rsidR="00A04AC2">
        <w:rPr>
          <w:lang w:val="en-GB"/>
        </w:rPr>
        <w:t xml:space="preserve">; this remained unrefuted by the State party. In the circumstances, the </w:t>
      </w:r>
      <w:r w:rsidR="001F1088" w:rsidRPr="001F1088">
        <w:rPr>
          <w:lang w:val="en-GB"/>
        </w:rPr>
        <w:t>Committee considers that the author ha</w:t>
      </w:r>
      <w:r w:rsidR="00CC5F9C">
        <w:rPr>
          <w:lang w:val="en-GB"/>
        </w:rPr>
        <w:t>s</w:t>
      </w:r>
      <w:r w:rsidR="001F1088" w:rsidRPr="001F1088">
        <w:rPr>
          <w:lang w:val="en-GB"/>
        </w:rPr>
        <w:t xml:space="preserve"> sufficiently substantiated </w:t>
      </w:r>
      <w:r w:rsidR="00CC5F9C">
        <w:rPr>
          <w:lang w:val="en-GB"/>
        </w:rPr>
        <w:t>his</w:t>
      </w:r>
      <w:r w:rsidR="001F1088" w:rsidRPr="001F1088">
        <w:rPr>
          <w:lang w:val="en-GB"/>
        </w:rPr>
        <w:t xml:space="preserve"> claim that raise</w:t>
      </w:r>
      <w:r w:rsidR="00B57E30">
        <w:rPr>
          <w:lang w:val="en-GB"/>
        </w:rPr>
        <w:t>s</w:t>
      </w:r>
      <w:r w:rsidR="001F1088" w:rsidRPr="001F1088">
        <w:rPr>
          <w:lang w:val="en-GB"/>
        </w:rPr>
        <w:t xml:space="preserve"> issues covered </w:t>
      </w:r>
      <w:r w:rsidR="001F1088" w:rsidRPr="009A3DDF">
        <w:t>under</w:t>
      </w:r>
      <w:r w:rsidR="001F1088" w:rsidRPr="001F1088">
        <w:rPr>
          <w:lang w:val="en-GB"/>
        </w:rPr>
        <w:t xml:space="preserve"> article 21 of the Covenant for purposes of admissibility. It declares the communication admissible and proceeds to its examination on the merits.</w:t>
      </w:r>
    </w:p>
    <w:p w14:paraId="4BC4B2B8" w14:textId="77777777" w:rsidR="00F35149" w:rsidRPr="006C6C87" w:rsidRDefault="00F35149" w:rsidP="00F35149">
      <w:pPr>
        <w:pStyle w:val="H4G"/>
      </w:pPr>
      <w:r w:rsidRPr="006C6C87">
        <w:tab/>
      </w:r>
      <w:r w:rsidRPr="006C6C87">
        <w:tab/>
        <w:t>Consideration of the merits</w:t>
      </w:r>
    </w:p>
    <w:p w14:paraId="54091B07" w14:textId="77777777" w:rsidR="0018481A" w:rsidRDefault="00446ABC" w:rsidP="0018481A">
      <w:pPr>
        <w:pStyle w:val="SingleTxtG"/>
      </w:pPr>
      <w:r w:rsidRPr="0018481A">
        <w:rPr>
          <w:lang w:val="en-GB"/>
        </w:rPr>
        <w:t>7</w:t>
      </w:r>
      <w:r w:rsidR="00F35149" w:rsidRPr="006C6C87">
        <w:t>.</w:t>
      </w:r>
      <w:r w:rsidR="0018481A" w:rsidRPr="0018481A">
        <w:rPr>
          <w:lang w:val="en-GB"/>
        </w:rPr>
        <w:t>1</w:t>
      </w:r>
      <w:r w:rsidR="00F35149" w:rsidRPr="006C6C87">
        <w:tab/>
      </w:r>
      <w:r w:rsidR="0018481A">
        <w:t>The Human Rights Committee has considered the present communication in the light of all the information made available to it by the parties, as required under article 5, paragraph 1, of the Optional Protocol.</w:t>
      </w:r>
    </w:p>
    <w:p w14:paraId="7C5EC1BE" w14:textId="77777777" w:rsidR="003B1873" w:rsidRPr="00A9008E" w:rsidRDefault="0018481A" w:rsidP="003B1873">
      <w:pPr>
        <w:pStyle w:val="SingleTxtG"/>
        <w:rPr>
          <w:lang w:val="en-US"/>
        </w:rPr>
      </w:pPr>
      <w:r w:rsidRPr="00AB5490">
        <w:rPr>
          <w:lang w:val="en-GB"/>
        </w:rPr>
        <w:lastRenderedPageBreak/>
        <w:t>7</w:t>
      </w:r>
      <w:r w:rsidRPr="00AB5490">
        <w:t>.2</w:t>
      </w:r>
      <w:r w:rsidRPr="00AB5490">
        <w:tab/>
      </w:r>
      <w:r w:rsidR="00C00847" w:rsidRPr="00AB5490">
        <w:rPr>
          <w:lang w:val="en-GB"/>
        </w:rPr>
        <w:t>The Committee notes the author’</w:t>
      </w:r>
      <w:r w:rsidR="00D032ED">
        <w:rPr>
          <w:lang w:val="en-GB"/>
        </w:rPr>
        <w:t>s</w:t>
      </w:r>
      <w:r w:rsidR="00C00847" w:rsidRPr="00AB5490">
        <w:rPr>
          <w:lang w:val="en-GB"/>
        </w:rPr>
        <w:t xml:space="preserve"> claim that </w:t>
      </w:r>
      <w:r w:rsidR="00CC5F9C">
        <w:rPr>
          <w:lang w:val="en-GB"/>
        </w:rPr>
        <w:t xml:space="preserve">his </w:t>
      </w:r>
      <w:r w:rsidR="00D032ED">
        <w:rPr>
          <w:lang w:val="en-GB"/>
        </w:rPr>
        <w:t>right to</w:t>
      </w:r>
      <w:r w:rsidR="00C00847" w:rsidRPr="00AB5490">
        <w:rPr>
          <w:lang w:val="en-GB"/>
        </w:rPr>
        <w:t xml:space="preserve"> freedom</w:t>
      </w:r>
      <w:r w:rsidR="003B1873">
        <w:rPr>
          <w:lang w:val="en-GB"/>
        </w:rPr>
        <w:t xml:space="preserve"> of peaceful</w:t>
      </w:r>
      <w:r w:rsidR="00C00847" w:rsidRPr="00AB5490">
        <w:rPr>
          <w:lang w:val="en-GB"/>
        </w:rPr>
        <w:t xml:space="preserve"> assembly ha</w:t>
      </w:r>
      <w:r w:rsidR="00CC5F9C">
        <w:rPr>
          <w:lang w:val="en-GB"/>
        </w:rPr>
        <w:t>s</w:t>
      </w:r>
      <w:r w:rsidR="00EE5BCE">
        <w:rPr>
          <w:lang w:val="en-GB"/>
        </w:rPr>
        <w:t xml:space="preserve"> </w:t>
      </w:r>
      <w:r w:rsidR="00C00847" w:rsidRPr="00AB5490">
        <w:rPr>
          <w:lang w:val="en-GB"/>
        </w:rPr>
        <w:t xml:space="preserve">been restricted arbitrarily, since </w:t>
      </w:r>
      <w:r w:rsidR="00CC5F9C">
        <w:rPr>
          <w:lang w:val="en-GB"/>
        </w:rPr>
        <w:t xml:space="preserve">neither the </w:t>
      </w:r>
      <w:r w:rsidR="00D032ED">
        <w:rPr>
          <w:lang w:val="en-GB"/>
        </w:rPr>
        <w:t xml:space="preserve">local </w:t>
      </w:r>
      <w:r w:rsidR="00CC5F9C">
        <w:rPr>
          <w:lang w:val="en-GB"/>
        </w:rPr>
        <w:t>authorities, nor the courts attempted to explain wh</w:t>
      </w:r>
      <w:r w:rsidR="00D032ED">
        <w:rPr>
          <w:lang w:val="en-GB"/>
        </w:rPr>
        <w:t xml:space="preserve">ether </w:t>
      </w:r>
      <w:r w:rsidR="00CC5F9C">
        <w:rPr>
          <w:lang w:val="en-GB"/>
        </w:rPr>
        <w:t xml:space="preserve">the </w:t>
      </w:r>
      <w:r w:rsidR="00D032ED">
        <w:rPr>
          <w:lang w:val="en-GB"/>
        </w:rPr>
        <w:t>restriction</w:t>
      </w:r>
      <w:r w:rsidR="00CC5F9C">
        <w:rPr>
          <w:lang w:val="en-GB"/>
        </w:rPr>
        <w:t xml:space="preserve"> of his </w:t>
      </w:r>
      <w:r w:rsidR="00D032ED">
        <w:rPr>
          <w:lang w:val="en-GB"/>
        </w:rPr>
        <w:t xml:space="preserve">right to </w:t>
      </w:r>
      <w:r w:rsidR="00CC5F9C">
        <w:rPr>
          <w:lang w:val="en-GB"/>
        </w:rPr>
        <w:t>freedom of association w</w:t>
      </w:r>
      <w:r w:rsidR="00D032ED">
        <w:rPr>
          <w:lang w:val="en-GB"/>
        </w:rPr>
        <w:t>as</w:t>
      </w:r>
      <w:r w:rsidR="00CC5F9C">
        <w:rPr>
          <w:lang w:val="en-GB"/>
        </w:rPr>
        <w:t xml:space="preserve"> permissible under article 21 of the Covenant; that the limitation in question was not necessary </w:t>
      </w:r>
      <w:r w:rsidR="003B1873" w:rsidRPr="003B1873">
        <w:rPr>
          <w:lang w:val="en-GB"/>
        </w:rPr>
        <w:t xml:space="preserve">under any of the reasons listed in </w:t>
      </w:r>
      <w:r w:rsidR="00D032ED">
        <w:rPr>
          <w:lang w:val="en-GB"/>
        </w:rPr>
        <w:t xml:space="preserve">the second sentence of </w:t>
      </w:r>
      <w:r w:rsidR="003B1873" w:rsidRPr="003B1873">
        <w:rPr>
          <w:lang w:val="en-GB"/>
        </w:rPr>
        <w:t xml:space="preserve">article </w:t>
      </w:r>
      <w:r w:rsidR="003B1873">
        <w:rPr>
          <w:lang w:val="en-GB"/>
        </w:rPr>
        <w:t>2</w:t>
      </w:r>
      <w:r w:rsidR="003B1873" w:rsidRPr="003B1873">
        <w:rPr>
          <w:lang w:val="en-GB"/>
        </w:rPr>
        <w:t>1 of the Covenant</w:t>
      </w:r>
      <w:r w:rsidR="003B1873">
        <w:rPr>
          <w:lang w:val="en-GB"/>
        </w:rPr>
        <w:t>, notably</w:t>
      </w:r>
      <w:r w:rsidR="003B1873" w:rsidRPr="003B1873">
        <w:rPr>
          <w:lang w:val="en-GB"/>
        </w:rPr>
        <w:t xml:space="preserve"> </w:t>
      </w:r>
      <w:r w:rsidR="00CC5F9C">
        <w:rPr>
          <w:lang w:val="en-GB"/>
        </w:rPr>
        <w:t>in the interest</w:t>
      </w:r>
      <w:r w:rsidR="003B1873">
        <w:rPr>
          <w:lang w:val="en-GB"/>
        </w:rPr>
        <w:t>s</w:t>
      </w:r>
      <w:r w:rsidR="00CC5F9C">
        <w:rPr>
          <w:lang w:val="en-GB"/>
        </w:rPr>
        <w:t xml:space="preserve"> of </w:t>
      </w:r>
      <w:r w:rsidR="003B1873">
        <w:rPr>
          <w:lang w:val="en-GB"/>
        </w:rPr>
        <w:t>national security or public safety, public order (ordre public), the protection</w:t>
      </w:r>
      <w:r w:rsidR="00CC5F9C">
        <w:rPr>
          <w:lang w:val="en-GB"/>
        </w:rPr>
        <w:t xml:space="preserve"> of public health </w:t>
      </w:r>
      <w:r w:rsidR="003B1873">
        <w:rPr>
          <w:lang w:val="en-GB"/>
        </w:rPr>
        <w:t xml:space="preserve">or morals </w:t>
      </w:r>
      <w:r w:rsidR="00CC5F9C">
        <w:rPr>
          <w:lang w:val="en-GB"/>
        </w:rPr>
        <w:t xml:space="preserve">or the </w:t>
      </w:r>
      <w:r w:rsidR="003B1873">
        <w:rPr>
          <w:lang w:val="en-GB"/>
        </w:rPr>
        <w:t xml:space="preserve">protection of the </w:t>
      </w:r>
      <w:r w:rsidR="00CC5F9C">
        <w:rPr>
          <w:lang w:val="en-GB"/>
        </w:rPr>
        <w:t xml:space="preserve">rights </w:t>
      </w:r>
      <w:r w:rsidR="003B1873">
        <w:rPr>
          <w:lang w:val="en-GB"/>
        </w:rPr>
        <w:t xml:space="preserve">and freedoms </w:t>
      </w:r>
      <w:r w:rsidR="00CC5F9C">
        <w:rPr>
          <w:lang w:val="en-GB"/>
        </w:rPr>
        <w:t>of others</w:t>
      </w:r>
      <w:r w:rsidR="003B1873">
        <w:rPr>
          <w:lang w:val="en-GB"/>
        </w:rPr>
        <w:t xml:space="preserve">, and </w:t>
      </w:r>
      <w:r w:rsidR="003B1873">
        <w:rPr>
          <w:lang w:val="en-US"/>
        </w:rPr>
        <w:t>that,</w:t>
      </w:r>
      <w:r w:rsidR="003B1873" w:rsidRPr="00A9008E">
        <w:rPr>
          <w:lang w:val="en-US"/>
        </w:rPr>
        <w:t xml:space="preserve"> </w:t>
      </w:r>
      <w:r w:rsidR="00D032ED">
        <w:rPr>
          <w:lang w:val="en-GB"/>
        </w:rPr>
        <w:t>thus</w:t>
      </w:r>
      <w:r w:rsidR="003B1873">
        <w:rPr>
          <w:lang w:val="en-GB"/>
        </w:rPr>
        <w:t xml:space="preserve">, </w:t>
      </w:r>
      <w:r w:rsidR="003B1873">
        <w:rPr>
          <w:lang w:val="en-US"/>
        </w:rPr>
        <w:t>his</w:t>
      </w:r>
      <w:r w:rsidR="003B1873" w:rsidRPr="00A9008E">
        <w:rPr>
          <w:lang w:val="en-US"/>
        </w:rPr>
        <w:t xml:space="preserve"> right to peaceful assembly was restricted in violation of article 21 of the Covenant, as the imposed </w:t>
      </w:r>
      <w:r w:rsidR="003B1873">
        <w:rPr>
          <w:lang w:val="en-US"/>
        </w:rPr>
        <w:t>limitation</w:t>
      </w:r>
      <w:r w:rsidR="003B1873" w:rsidRPr="00A9008E">
        <w:rPr>
          <w:lang w:val="en-US"/>
        </w:rPr>
        <w:t xml:space="preserve"> was </w:t>
      </w:r>
      <w:r w:rsidR="003B1873">
        <w:rPr>
          <w:lang w:val="en-US"/>
        </w:rPr>
        <w:t xml:space="preserve">also </w:t>
      </w:r>
      <w:r w:rsidR="003B1873" w:rsidRPr="00A9008E">
        <w:rPr>
          <w:lang w:val="en-US"/>
        </w:rPr>
        <w:t>not necessary in a democratic society.</w:t>
      </w:r>
    </w:p>
    <w:p w14:paraId="5A3B8CEF" w14:textId="77777777" w:rsidR="00686487" w:rsidRDefault="00FD1D08" w:rsidP="00B70BF9">
      <w:pPr>
        <w:pStyle w:val="SingleTxtG"/>
        <w:rPr>
          <w:lang w:val="en-GB"/>
        </w:rPr>
      </w:pPr>
      <w:r>
        <w:rPr>
          <w:lang w:val="en-GB"/>
        </w:rPr>
        <w:t>7.3</w:t>
      </w:r>
      <w:r w:rsidR="00C00847" w:rsidRPr="00093D88">
        <w:rPr>
          <w:lang w:val="en-GB"/>
        </w:rPr>
        <w:tab/>
        <w:t xml:space="preserve">The Committee notes that </w:t>
      </w:r>
      <w:r w:rsidR="00D032ED">
        <w:rPr>
          <w:lang w:val="en-GB"/>
        </w:rPr>
        <w:t>the d</w:t>
      </w:r>
      <w:r w:rsidR="00C00847" w:rsidRPr="00093D88">
        <w:rPr>
          <w:lang w:val="en-GB"/>
        </w:rPr>
        <w:t xml:space="preserve">ecision of </w:t>
      </w:r>
      <w:r w:rsidR="00D032ED" w:rsidRPr="00D032ED">
        <w:rPr>
          <w:lang w:val="en-GB"/>
        </w:rPr>
        <w:t>23 August 2007</w:t>
      </w:r>
      <w:r w:rsidR="00D032ED">
        <w:rPr>
          <w:lang w:val="en-GB"/>
        </w:rPr>
        <w:t xml:space="preserve"> of the </w:t>
      </w:r>
      <w:r w:rsidR="00686487">
        <w:rPr>
          <w:lang w:val="en-GB"/>
        </w:rPr>
        <w:t>Zhlobin</w:t>
      </w:r>
      <w:r w:rsidR="00C00847" w:rsidRPr="00093D88">
        <w:rPr>
          <w:lang w:val="en-GB"/>
        </w:rPr>
        <w:t xml:space="preserve"> Executive </w:t>
      </w:r>
      <w:r w:rsidR="00686487">
        <w:rPr>
          <w:lang w:val="en-GB"/>
        </w:rPr>
        <w:t xml:space="preserve">District </w:t>
      </w:r>
      <w:r w:rsidR="00C00847" w:rsidRPr="00093D88">
        <w:rPr>
          <w:lang w:val="en-GB"/>
        </w:rPr>
        <w:t xml:space="preserve">Committee </w:t>
      </w:r>
      <w:r w:rsidR="00686487">
        <w:rPr>
          <w:lang w:val="en-GB"/>
        </w:rPr>
        <w:t>prohibi</w:t>
      </w:r>
      <w:r w:rsidR="00D032ED">
        <w:rPr>
          <w:lang w:val="en-GB"/>
        </w:rPr>
        <w:t>ting</w:t>
      </w:r>
      <w:r w:rsidR="00686487">
        <w:rPr>
          <w:lang w:val="en-GB"/>
        </w:rPr>
        <w:t xml:space="preserve"> the </w:t>
      </w:r>
      <w:r w:rsidR="00D032ED">
        <w:rPr>
          <w:lang w:val="en-GB"/>
        </w:rPr>
        <w:t xml:space="preserve">picket </w:t>
      </w:r>
      <w:r w:rsidR="00686487">
        <w:rPr>
          <w:lang w:val="en-GB"/>
        </w:rPr>
        <w:t xml:space="preserve">on the ground that the purpose of the </w:t>
      </w:r>
      <w:r w:rsidR="00D032ED">
        <w:rPr>
          <w:lang w:val="en-GB"/>
        </w:rPr>
        <w:t>event</w:t>
      </w:r>
      <w:r w:rsidR="0018572F">
        <w:rPr>
          <w:lang w:val="en-GB"/>
        </w:rPr>
        <w:t xml:space="preserve">, </w:t>
      </w:r>
      <w:r w:rsidR="0018572F" w:rsidRPr="00B70BF9">
        <w:rPr>
          <w:lang w:val="en-GB"/>
        </w:rPr>
        <w:t>namely,</w:t>
      </w:r>
      <w:r w:rsidR="00A938C7" w:rsidRPr="00B70BF9">
        <w:rPr>
          <w:lang w:val="en-GB"/>
        </w:rPr>
        <w:t xml:space="preserve"> </w:t>
      </w:r>
      <w:r w:rsidR="00686487" w:rsidRPr="00B70BF9">
        <w:rPr>
          <w:lang w:val="en-GB"/>
        </w:rPr>
        <w:t>to</w:t>
      </w:r>
      <w:r w:rsidR="00686487">
        <w:rPr>
          <w:lang w:val="en-GB"/>
        </w:rPr>
        <w:t xml:space="preserve"> protest against the politically motivated imprisonment of the former presidential candidate</w:t>
      </w:r>
      <w:r w:rsidR="0018572F">
        <w:rPr>
          <w:lang w:val="en-GB"/>
        </w:rPr>
        <w:t>,</w:t>
      </w:r>
      <w:r w:rsidR="00686487">
        <w:rPr>
          <w:lang w:val="en-GB"/>
        </w:rPr>
        <w:t xml:space="preserve"> Mr. Kozulin</w:t>
      </w:r>
      <w:r w:rsidR="0018572F">
        <w:rPr>
          <w:lang w:val="en-GB"/>
        </w:rPr>
        <w:t>,</w:t>
      </w:r>
      <w:r w:rsidR="00D032ED">
        <w:rPr>
          <w:lang w:val="en-GB"/>
        </w:rPr>
        <w:t xml:space="preserve"> </w:t>
      </w:r>
      <w:r w:rsidR="00686487">
        <w:rPr>
          <w:lang w:val="en-GB"/>
        </w:rPr>
        <w:t xml:space="preserve">contradicted </w:t>
      </w:r>
      <w:r w:rsidR="00D032ED">
        <w:rPr>
          <w:lang w:val="en-GB"/>
        </w:rPr>
        <w:t xml:space="preserve">a court </w:t>
      </w:r>
      <w:r w:rsidR="00914BF5">
        <w:rPr>
          <w:lang w:val="en-GB"/>
        </w:rPr>
        <w:t xml:space="preserve">ruling pursuant </w:t>
      </w:r>
      <w:r w:rsidR="00686487">
        <w:rPr>
          <w:lang w:val="en-GB"/>
        </w:rPr>
        <w:t xml:space="preserve">to which </w:t>
      </w:r>
      <w:r w:rsidR="00914BF5">
        <w:rPr>
          <w:lang w:val="en-GB"/>
        </w:rPr>
        <w:t>Mr. Kozulin</w:t>
      </w:r>
      <w:r w:rsidR="0018572F">
        <w:rPr>
          <w:lang w:val="en-GB"/>
        </w:rPr>
        <w:t>ʼs</w:t>
      </w:r>
      <w:r w:rsidR="00914BF5">
        <w:rPr>
          <w:lang w:val="en-GB"/>
        </w:rPr>
        <w:t xml:space="preserve"> </w:t>
      </w:r>
      <w:r w:rsidR="00686487">
        <w:rPr>
          <w:lang w:val="en-GB"/>
        </w:rPr>
        <w:t xml:space="preserve">sentence was </w:t>
      </w:r>
      <w:r w:rsidR="0018572F">
        <w:rPr>
          <w:lang w:val="en-GB"/>
        </w:rPr>
        <w:t xml:space="preserve">said to have been </w:t>
      </w:r>
      <w:r w:rsidR="00686487">
        <w:rPr>
          <w:lang w:val="en-GB"/>
        </w:rPr>
        <w:t xml:space="preserve">unrelated to his political </w:t>
      </w:r>
      <w:r w:rsidR="00914BF5">
        <w:rPr>
          <w:lang w:val="en-GB"/>
        </w:rPr>
        <w:t>opinions</w:t>
      </w:r>
      <w:r w:rsidR="003A0C48">
        <w:rPr>
          <w:lang w:val="en-GB"/>
        </w:rPr>
        <w:t xml:space="preserve">. Furthermore, </w:t>
      </w:r>
      <w:r w:rsidR="00686487">
        <w:rPr>
          <w:lang w:val="en-GB"/>
        </w:rPr>
        <w:t xml:space="preserve">the </w:t>
      </w:r>
      <w:r w:rsidR="00914BF5">
        <w:rPr>
          <w:lang w:val="en-GB"/>
        </w:rPr>
        <w:t xml:space="preserve">relevant </w:t>
      </w:r>
      <w:r w:rsidR="00686487">
        <w:rPr>
          <w:lang w:val="en-GB"/>
        </w:rPr>
        <w:t xml:space="preserve">decisions of the domestic courts, which find </w:t>
      </w:r>
      <w:r w:rsidR="00151893">
        <w:rPr>
          <w:lang w:val="en-GB"/>
        </w:rPr>
        <w:t xml:space="preserve">the </w:t>
      </w:r>
      <w:r w:rsidR="00914BF5">
        <w:rPr>
          <w:lang w:val="en-GB"/>
        </w:rPr>
        <w:t xml:space="preserve">restriction </w:t>
      </w:r>
      <w:r w:rsidR="00151893">
        <w:rPr>
          <w:lang w:val="en-GB"/>
        </w:rPr>
        <w:t xml:space="preserve">imposed on the author to be in conformity </w:t>
      </w:r>
      <w:r w:rsidR="00914BF5">
        <w:rPr>
          <w:lang w:val="en-GB"/>
        </w:rPr>
        <w:t xml:space="preserve">both </w:t>
      </w:r>
      <w:r w:rsidR="00151893">
        <w:rPr>
          <w:lang w:val="en-GB"/>
        </w:rPr>
        <w:t>with</w:t>
      </w:r>
      <w:r w:rsidR="003367FD">
        <w:rPr>
          <w:lang w:val="en-GB"/>
        </w:rPr>
        <w:t xml:space="preserve"> the Law on Mass Events and the Constitution of Belarus</w:t>
      </w:r>
      <w:r w:rsidR="00D665E8">
        <w:rPr>
          <w:lang w:val="en-GB"/>
        </w:rPr>
        <w:t xml:space="preserve">, provide </w:t>
      </w:r>
      <w:r w:rsidR="00914BF5">
        <w:rPr>
          <w:lang w:val="en-GB"/>
        </w:rPr>
        <w:t>no</w:t>
      </w:r>
      <w:r w:rsidR="00D665E8">
        <w:rPr>
          <w:lang w:val="en-GB"/>
        </w:rPr>
        <w:t xml:space="preserve"> justification </w:t>
      </w:r>
      <w:r w:rsidR="00180875">
        <w:rPr>
          <w:lang w:val="en-GB"/>
        </w:rPr>
        <w:t>for</w:t>
      </w:r>
      <w:r w:rsidR="00D665E8">
        <w:rPr>
          <w:lang w:val="en-GB"/>
        </w:rPr>
        <w:t xml:space="preserve"> the </w:t>
      </w:r>
      <w:r w:rsidR="00914BF5">
        <w:rPr>
          <w:lang w:val="en-GB"/>
        </w:rPr>
        <w:t xml:space="preserve">necessity </w:t>
      </w:r>
      <w:r w:rsidR="00180875">
        <w:rPr>
          <w:lang w:val="en-GB"/>
        </w:rPr>
        <w:t>of</w:t>
      </w:r>
      <w:r w:rsidR="00914BF5">
        <w:rPr>
          <w:lang w:val="en-GB"/>
        </w:rPr>
        <w:t xml:space="preserve"> impos</w:t>
      </w:r>
      <w:r w:rsidR="00180875">
        <w:rPr>
          <w:lang w:val="en-GB"/>
        </w:rPr>
        <w:t>ing</w:t>
      </w:r>
      <w:r w:rsidR="00914BF5">
        <w:rPr>
          <w:lang w:val="en-GB"/>
        </w:rPr>
        <w:t xml:space="preserve"> the </w:t>
      </w:r>
      <w:r w:rsidR="00D665E8">
        <w:rPr>
          <w:lang w:val="en-GB"/>
        </w:rPr>
        <w:t xml:space="preserve">restriction </w:t>
      </w:r>
      <w:r w:rsidR="00914BF5">
        <w:rPr>
          <w:lang w:val="en-GB"/>
        </w:rPr>
        <w:t>in question</w:t>
      </w:r>
      <w:r w:rsidR="00D665E8">
        <w:rPr>
          <w:lang w:val="en-GB"/>
        </w:rPr>
        <w:t>.</w:t>
      </w:r>
    </w:p>
    <w:p w14:paraId="399A90DB" w14:textId="77777777" w:rsidR="00C00847" w:rsidRPr="00054DCF" w:rsidRDefault="00FD1D08" w:rsidP="00B70BF9">
      <w:pPr>
        <w:pStyle w:val="SingleTxtG"/>
        <w:rPr>
          <w:lang w:val="en-GB"/>
        </w:rPr>
      </w:pPr>
      <w:r>
        <w:rPr>
          <w:lang w:val="en-GB"/>
        </w:rPr>
        <w:t>7.4</w:t>
      </w:r>
      <w:r w:rsidR="00C00847" w:rsidRPr="00054DCF">
        <w:rPr>
          <w:lang w:val="en-GB"/>
        </w:rPr>
        <w:tab/>
        <w:t xml:space="preserve">The Committee recalls that the right of peaceful assembly, as guaranteed under article 21 of the Covenant, is a fundamental human right that is essential for public expression of one’s views and opinions and indispensable in a democratic society. This right entails the possibility of organizing and participating in a peaceful assembly, including the right to a stationary assembly (such as a picket) in a public location. The organizers of an assembly generally have the right to </w:t>
      </w:r>
      <w:r w:rsidR="00D665E8">
        <w:rPr>
          <w:lang w:val="en-GB"/>
        </w:rPr>
        <w:t xml:space="preserve">decide on the purpose of the demonstration </w:t>
      </w:r>
      <w:r w:rsidR="00C00847" w:rsidRPr="00054DCF">
        <w:rPr>
          <w:lang w:val="en-GB"/>
        </w:rPr>
        <w:t>and no restriction to this right is permissible, unless (a) imposed in conformity with the law</w:t>
      </w:r>
      <w:r w:rsidR="0018572F">
        <w:rPr>
          <w:lang w:val="en-GB"/>
        </w:rPr>
        <w:t>;</w:t>
      </w:r>
      <w:r w:rsidR="00C00847" w:rsidRPr="00054DCF">
        <w:rPr>
          <w:lang w:val="en-GB"/>
        </w:rPr>
        <w:t xml:space="preserve"> and (b) necessary in a </w:t>
      </w:r>
      <w:r w:rsidR="00C00847" w:rsidRPr="009A3DDF">
        <w:t>democratic</w:t>
      </w:r>
      <w:r w:rsidR="00C00847" w:rsidRPr="00054DCF">
        <w:rPr>
          <w:lang w:val="en-GB"/>
        </w:rPr>
        <w:t xml:space="preserve"> society, in the interests of national security or public safety, public order,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to facilitate the right, rather than seeking unnecessary or disproportionate limitations to it. The State party is thus under the obligation to justify the limitation of the right protected</w:t>
      </w:r>
      <w:r w:rsidR="00054DCF" w:rsidRPr="00054DCF">
        <w:rPr>
          <w:lang w:val="en-GB"/>
        </w:rPr>
        <w:t xml:space="preserve"> by article 21 of the Covenant.</w:t>
      </w:r>
      <w:r w:rsidR="005105B9" w:rsidRPr="00054DCF">
        <w:rPr>
          <w:rStyle w:val="FootnoteReference"/>
          <w:lang w:val="en-GB"/>
        </w:rPr>
        <w:footnoteReference w:id="7"/>
      </w:r>
    </w:p>
    <w:p w14:paraId="79B3E7D7" w14:textId="77777777" w:rsidR="00C00847" w:rsidRPr="00054DCF" w:rsidRDefault="00054DCF" w:rsidP="00B70BF9">
      <w:pPr>
        <w:pStyle w:val="SingleTxtG"/>
        <w:rPr>
          <w:lang w:val="en-GB"/>
        </w:rPr>
      </w:pPr>
      <w:r w:rsidRPr="00054DCF">
        <w:rPr>
          <w:lang w:val="en-GB"/>
        </w:rPr>
        <w:t>7.</w:t>
      </w:r>
      <w:r w:rsidR="008B54BD">
        <w:rPr>
          <w:lang w:val="en-GB"/>
        </w:rPr>
        <w:t>5</w:t>
      </w:r>
      <w:r w:rsidR="00C00847" w:rsidRPr="00054DCF">
        <w:rPr>
          <w:lang w:val="en-GB"/>
        </w:rPr>
        <w:tab/>
        <w:t xml:space="preserve">In the present case, </w:t>
      </w:r>
      <w:r w:rsidR="0097044A">
        <w:rPr>
          <w:lang w:val="en-GB"/>
        </w:rPr>
        <w:t>the purpose of the author was to protest against the motiv</w:t>
      </w:r>
      <w:r w:rsidR="00914BF5">
        <w:rPr>
          <w:lang w:val="en-GB"/>
        </w:rPr>
        <w:t>es for the</w:t>
      </w:r>
      <w:r w:rsidR="0097044A">
        <w:rPr>
          <w:lang w:val="en-GB"/>
        </w:rPr>
        <w:t xml:space="preserve"> imprisonment of </w:t>
      </w:r>
      <w:r w:rsidR="00914BF5">
        <w:rPr>
          <w:lang w:val="en-GB"/>
        </w:rPr>
        <w:t>a</w:t>
      </w:r>
      <w:r w:rsidR="0097044A">
        <w:rPr>
          <w:lang w:val="en-GB"/>
        </w:rPr>
        <w:t xml:space="preserve"> former presidential candidate</w:t>
      </w:r>
      <w:r w:rsidR="00914BF5">
        <w:rPr>
          <w:lang w:val="en-GB"/>
        </w:rPr>
        <w:t>,</w:t>
      </w:r>
      <w:r w:rsidR="0097044A">
        <w:rPr>
          <w:lang w:val="en-GB"/>
        </w:rPr>
        <w:t xml:space="preserve"> Mr. Kozulin</w:t>
      </w:r>
      <w:r w:rsidR="00914BF5">
        <w:rPr>
          <w:lang w:val="en-US"/>
        </w:rPr>
        <w:t>,</w:t>
      </w:r>
      <w:r w:rsidRPr="00054DCF">
        <w:rPr>
          <w:lang w:val="en-US"/>
        </w:rPr>
        <w:t xml:space="preserve"> </w:t>
      </w:r>
      <w:r w:rsidR="00C00847" w:rsidRPr="00054DCF">
        <w:rPr>
          <w:lang w:val="en-GB"/>
        </w:rPr>
        <w:t xml:space="preserve">but </w:t>
      </w:r>
      <w:r w:rsidR="0097044A">
        <w:rPr>
          <w:lang w:val="en-GB"/>
        </w:rPr>
        <w:t xml:space="preserve">his </w:t>
      </w:r>
      <w:r w:rsidR="00C00847" w:rsidRPr="00054DCF">
        <w:rPr>
          <w:lang w:val="en-GB"/>
        </w:rPr>
        <w:t>request was rejected</w:t>
      </w:r>
      <w:r w:rsidR="00914BF5">
        <w:rPr>
          <w:lang w:val="en-GB"/>
        </w:rPr>
        <w:t xml:space="preserve"> and the event was not authori</w:t>
      </w:r>
      <w:r w:rsidR="004334E4">
        <w:rPr>
          <w:lang w:val="en-GB"/>
        </w:rPr>
        <w:t>z</w:t>
      </w:r>
      <w:r w:rsidR="00914BF5">
        <w:rPr>
          <w:lang w:val="en-GB"/>
        </w:rPr>
        <w:t>ed</w:t>
      </w:r>
      <w:r w:rsidR="00C00847" w:rsidRPr="00054DCF">
        <w:rPr>
          <w:lang w:val="en-GB"/>
        </w:rPr>
        <w:t>. In these circumstances</w:t>
      </w:r>
      <w:r w:rsidR="00B664AA">
        <w:rPr>
          <w:lang w:val="en-GB"/>
        </w:rPr>
        <w:t>,</w:t>
      </w:r>
      <w:r w:rsidR="00C00847" w:rsidRPr="00054DCF">
        <w:rPr>
          <w:lang w:val="en-GB"/>
        </w:rPr>
        <w:t xml:space="preserve"> and in </w:t>
      </w:r>
      <w:r w:rsidR="00810457">
        <w:rPr>
          <w:lang w:val="en-GB"/>
        </w:rPr>
        <w:t xml:space="preserve">the </w:t>
      </w:r>
      <w:r w:rsidR="00C00847" w:rsidRPr="00054DCF">
        <w:rPr>
          <w:lang w:val="en-GB"/>
        </w:rPr>
        <w:t xml:space="preserve">absence of </w:t>
      </w:r>
      <w:r w:rsidR="00914BF5">
        <w:rPr>
          <w:lang w:val="en-GB"/>
        </w:rPr>
        <w:t xml:space="preserve">any </w:t>
      </w:r>
      <w:r w:rsidR="00C00847" w:rsidRPr="00054DCF">
        <w:rPr>
          <w:lang w:val="en-GB"/>
        </w:rPr>
        <w:t xml:space="preserve">explanations </w:t>
      </w:r>
      <w:r w:rsidR="00914BF5">
        <w:rPr>
          <w:lang w:val="en-GB"/>
        </w:rPr>
        <w:t xml:space="preserve">thereon </w:t>
      </w:r>
      <w:r w:rsidR="00C00847" w:rsidRPr="00054DCF">
        <w:rPr>
          <w:lang w:val="en-GB"/>
        </w:rPr>
        <w:t xml:space="preserve">from the State party, the Committee </w:t>
      </w:r>
      <w:r w:rsidR="00914BF5">
        <w:rPr>
          <w:lang w:val="en-GB"/>
        </w:rPr>
        <w:t xml:space="preserve">decided to give due weight to the author’s allegations. Accordingly, it considers that </w:t>
      </w:r>
      <w:r w:rsidR="00C00847" w:rsidRPr="00054DCF">
        <w:rPr>
          <w:lang w:val="en-GB"/>
        </w:rPr>
        <w:t xml:space="preserve">the decision of the State party’s </w:t>
      </w:r>
      <w:r w:rsidR="00914BF5">
        <w:rPr>
          <w:lang w:val="en-GB"/>
        </w:rPr>
        <w:t xml:space="preserve">local </w:t>
      </w:r>
      <w:r w:rsidR="00C00847" w:rsidRPr="00054DCF">
        <w:rPr>
          <w:lang w:val="en-GB"/>
        </w:rPr>
        <w:t xml:space="preserve">authorities </w:t>
      </w:r>
      <w:r w:rsidR="00914BF5">
        <w:rPr>
          <w:lang w:val="en-GB"/>
        </w:rPr>
        <w:t xml:space="preserve">to </w:t>
      </w:r>
      <w:r w:rsidR="00C00847" w:rsidRPr="00054DCF">
        <w:rPr>
          <w:lang w:val="en-GB"/>
        </w:rPr>
        <w:t>deny the author’</w:t>
      </w:r>
      <w:r w:rsidR="0097044A">
        <w:rPr>
          <w:lang w:val="en-GB"/>
        </w:rPr>
        <w:t>s</w:t>
      </w:r>
      <w:r w:rsidR="00C00847" w:rsidRPr="00054DCF">
        <w:rPr>
          <w:lang w:val="en-GB"/>
        </w:rPr>
        <w:t xml:space="preserve"> right to assemble peacefully </w:t>
      </w:r>
      <w:r w:rsidR="00971663">
        <w:rPr>
          <w:lang w:val="en-GB"/>
        </w:rPr>
        <w:t xml:space="preserve">with others, </w:t>
      </w:r>
      <w:r w:rsidR="0097044A">
        <w:rPr>
          <w:lang w:val="en-GB"/>
        </w:rPr>
        <w:t xml:space="preserve">with a purpose </w:t>
      </w:r>
      <w:r w:rsidR="00C00847" w:rsidRPr="00054DCF">
        <w:rPr>
          <w:lang w:val="en-GB"/>
        </w:rPr>
        <w:t>of their choice</w:t>
      </w:r>
      <w:r w:rsidR="00971663">
        <w:rPr>
          <w:lang w:val="en-GB"/>
        </w:rPr>
        <w:t>,</w:t>
      </w:r>
      <w:r w:rsidR="00C00847" w:rsidRPr="00054DCF">
        <w:rPr>
          <w:lang w:val="en-GB"/>
        </w:rPr>
        <w:t xml:space="preserve"> to be unjustified</w:t>
      </w:r>
      <w:r w:rsidR="00180875">
        <w:rPr>
          <w:lang w:val="en-GB"/>
        </w:rPr>
        <w:t>, as the fact that the moti</w:t>
      </w:r>
      <w:r w:rsidR="00EE09AB">
        <w:rPr>
          <w:lang w:val="en-GB"/>
        </w:rPr>
        <w:t>ves</w:t>
      </w:r>
      <w:r w:rsidR="00180875">
        <w:rPr>
          <w:lang w:val="en-GB"/>
        </w:rPr>
        <w:t xml:space="preserve"> alleged by the author ha</w:t>
      </w:r>
      <w:r w:rsidR="0092324E">
        <w:rPr>
          <w:lang w:val="en-GB"/>
        </w:rPr>
        <w:t>ve</w:t>
      </w:r>
      <w:r w:rsidR="00180875">
        <w:rPr>
          <w:lang w:val="en-GB"/>
        </w:rPr>
        <w:t xml:space="preserve"> been rejected by the court should not prevent him from continuing to invoke </w:t>
      </w:r>
      <w:r w:rsidR="00EE09AB">
        <w:rPr>
          <w:lang w:val="en-GB"/>
        </w:rPr>
        <w:t>them</w:t>
      </w:r>
      <w:r w:rsidR="00180875">
        <w:rPr>
          <w:lang w:val="en-GB"/>
        </w:rPr>
        <w:t xml:space="preserve"> in the exercise of his rights under the Convention</w:t>
      </w:r>
      <w:r w:rsidR="00C00847" w:rsidRPr="00054DCF">
        <w:rPr>
          <w:lang w:val="en-GB"/>
        </w:rPr>
        <w:t xml:space="preserve">. The Committee also notes, based on the material on file, that in their replies to the authors, the national authorities failed to demonstrate how a picket held </w:t>
      </w:r>
      <w:r w:rsidR="00194248">
        <w:rPr>
          <w:lang w:val="en-GB"/>
        </w:rPr>
        <w:t>with the pu</w:t>
      </w:r>
      <w:r w:rsidR="00EE5BCE">
        <w:rPr>
          <w:lang w:val="en-GB"/>
        </w:rPr>
        <w:t>r</w:t>
      </w:r>
      <w:r w:rsidR="00194248">
        <w:rPr>
          <w:lang w:val="en-GB"/>
        </w:rPr>
        <w:t xml:space="preserve">pose to protest against </w:t>
      </w:r>
      <w:r w:rsidR="00180875">
        <w:rPr>
          <w:lang w:val="en-GB"/>
        </w:rPr>
        <w:t>the</w:t>
      </w:r>
      <w:r w:rsidR="00971663">
        <w:rPr>
          <w:lang w:val="en-GB"/>
        </w:rPr>
        <w:t xml:space="preserve"> </w:t>
      </w:r>
      <w:r w:rsidR="00194248">
        <w:rPr>
          <w:lang w:val="en-GB"/>
        </w:rPr>
        <w:t xml:space="preserve">imprisonment of </w:t>
      </w:r>
      <w:r w:rsidR="00810457">
        <w:rPr>
          <w:lang w:val="en-GB"/>
        </w:rPr>
        <w:t xml:space="preserve">a </w:t>
      </w:r>
      <w:r w:rsidR="00971663">
        <w:rPr>
          <w:lang w:val="en-GB"/>
        </w:rPr>
        <w:t xml:space="preserve">political figure and a </w:t>
      </w:r>
      <w:r w:rsidR="00194248">
        <w:rPr>
          <w:lang w:val="en-GB"/>
        </w:rPr>
        <w:t xml:space="preserve">former presidential candidate </w:t>
      </w:r>
      <w:r w:rsidR="00C00847" w:rsidRPr="00054DCF">
        <w:rPr>
          <w:lang w:val="en-GB"/>
        </w:rPr>
        <w:t xml:space="preserve">would jeopardize national security, public safety, public order, the protection of public health or morals or the protection of the rights and freedoms of </w:t>
      </w:r>
      <w:r w:rsidR="00C00847" w:rsidRPr="00B70BF9">
        <w:rPr>
          <w:bCs/>
          <w:lang w:val="en-GB"/>
        </w:rPr>
        <w:t xml:space="preserve">others. </w:t>
      </w:r>
      <w:r w:rsidR="00C00847" w:rsidRPr="00054DCF">
        <w:rPr>
          <w:bCs/>
          <w:lang w:val="en-GB"/>
        </w:rPr>
        <w:t xml:space="preserve">The Committee notes that </w:t>
      </w:r>
      <w:r w:rsidR="00C00847" w:rsidRPr="00054DCF">
        <w:rPr>
          <w:lang w:val="en-GB"/>
        </w:rPr>
        <w:t>the prohibition</w:t>
      </w:r>
      <w:r w:rsidR="00C00847" w:rsidRPr="00054DCF">
        <w:rPr>
          <w:bCs/>
          <w:lang w:val="en-GB"/>
        </w:rPr>
        <w:t xml:space="preserve"> </w:t>
      </w:r>
      <w:r w:rsidR="00194248" w:rsidRPr="00054DCF">
        <w:rPr>
          <w:bCs/>
          <w:lang w:val="en-GB"/>
        </w:rPr>
        <w:t xml:space="preserve">of </w:t>
      </w:r>
      <w:r w:rsidR="00194248">
        <w:rPr>
          <w:bCs/>
          <w:lang w:val="en-GB"/>
        </w:rPr>
        <w:t>the</w:t>
      </w:r>
      <w:r w:rsidR="00194248" w:rsidRPr="00054DCF">
        <w:rPr>
          <w:bCs/>
          <w:lang w:val="en-GB"/>
        </w:rPr>
        <w:t xml:space="preserve"> assembly</w:t>
      </w:r>
      <w:r w:rsidR="00194248">
        <w:rPr>
          <w:bCs/>
          <w:lang w:val="en-GB"/>
        </w:rPr>
        <w:t xml:space="preserve"> based on the argument that the demonstration’s purpose contradicts the verdict against </w:t>
      </w:r>
      <w:r w:rsidR="00B664AA">
        <w:rPr>
          <w:bCs/>
          <w:lang w:val="en-GB"/>
        </w:rPr>
        <w:t>Mr. </w:t>
      </w:r>
      <w:r w:rsidR="00194248">
        <w:rPr>
          <w:bCs/>
          <w:lang w:val="en-GB"/>
        </w:rPr>
        <w:t xml:space="preserve">Kozulin and </w:t>
      </w:r>
      <w:r w:rsidR="00180875">
        <w:rPr>
          <w:bCs/>
          <w:lang w:val="en-GB"/>
        </w:rPr>
        <w:t xml:space="preserve">that </w:t>
      </w:r>
      <w:r w:rsidR="00810457">
        <w:rPr>
          <w:bCs/>
          <w:lang w:val="en-GB"/>
        </w:rPr>
        <w:t>his</w:t>
      </w:r>
      <w:r w:rsidR="00194248">
        <w:rPr>
          <w:bCs/>
          <w:lang w:val="en-GB"/>
        </w:rPr>
        <w:t xml:space="preserve"> sentence is unrelated to his political </w:t>
      </w:r>
      <w:r w:rsidR="00971663">
        <w:rPr>
          <w:bCs/>
          <w:lang w:val="en-GB"/>
        </w:rPr>
        <w:t>opinions</w:t>
      </w:r>
      <w:r w:rsidR="00C00847" w:rsidRPr="00054DCF">
        <w:rPr>
          <w:bCs/>
          <w:lang w:val="en-GB"/>
        </w:rPr>
        <w:t xml:space="preserve">, unduly limits the </w:t>
      </w:r>
      <w:r w:rsidR="00971663">
        <w:rPr>
          <w:bCs/>
          <w:lang w:val="en-GB"/>
        </w:rPr>
        <w:t xml:space="preserve">author’s </w:t>
      </w:r>
      <w:r w:rsidR="00C00847" w:rsidRPr="00054DCF">
        <w:rPr>
          <w:bCs/>
          <w:lang w:val="en-GB"/>
        </w:rPr>
        <w:t xml:space="preserve">right to freedom of </w:t>
      </w:r>
      <w:r w:rsidR="00C00847" w:rsidRPr="00054DCF">
        <w:rPr>
          <w:bCs/>
          <w:lang w:val="en-GB"/>
        </w:rPr>
        <w:lastRenderedPageBreak/>
        <w:t>assembly. In these circumstances, the Committee concludes that the author’</w:t>
      </w:r>
      <w:r w:rsidR="00194248">
        <w:rPr>
          <w:bCs/>
          <w:lang w:val="en-GB"/>
        </w:rPr>
        <w:t>s</w:t>
      </w:r>
      <w:r w:rsidR="00C00847" w:rsidRPr="00054DCF">
        <w:rPr>
          <w:bCs/>
          <w:lang w:val="en-GB"/>
        </w:rPr>
        <w:t xml:space="preserve"> right under article 21 of the Covenant has been violated.</w:t>
      </w:r>
      <w:r w:rsidR="00C33A42">
        <w:rPr>
          <w:bCs/>
          <w:lang w:val="en-GB"/>
        </w:rPr>
        <w:t xml:space="preserve"> </w:t>
      </w:r>
    </w:p>
    <w:p w14:paraId="05D20B7C" w14:textId="77777777" w:rsidR="009C3FF1" w:rsidRDefault="00FD1D08" w:rsidP="00C00847">
      <w:pPr>
        <w:pStyle w:val="SingleTxtG"/>
        <w:rPr>
          <w:lang w:val="en-GB"/>
        </w:rPr>
      </w:pPr>
      <w:r>
        <w:rPr>
          <w:lang w:val="en-GB"/>
        </w:rPr>
        <w:t>8.</w:t>
      </w:r>
      <w:r w:rsidR="00C00847" w:rsidRPr="00054DCF">
        <w:rPr>
          <w:lang w:val="en-GB"/>
        </w:rPr>
        <w:tab/>
        <w:t>The Human Rights Committee, acting under article 5, paragraph 4, of the Optional Protocol to the International Covenant on Civil and Political Rights, is of the view that the State party has violated the author’</w:t>
      </w:r>
      <w:r w:rsidR="00194248">
        <w:rPr>
          <w:lang w:val="en-GB"/>
        </w:rPr>
        <w:t>s</w:t>
      </w:r>
      <w:r w:rsidR="00C00847" w:rsidRPr="00054DCF">
        <w:rPr>
          <w:lang w:val="en-GB"/>
        </w:rPr>
        <w:t xml:space="preserve"> right under article 21 of the International Covenant on Civil and Political Rights. </w:t>
      </w:r>
    </w:p>
    <w:p w14:paraId="660F4892" w14:textId="77777777" w:rsidR="003A0C48" w:rsidRPr="003A0C48" w:rsidRDefault="00C00847" w:rsidP="003A0C48">
      <w:pPr>
        <w:pStyle w:val="SingleTxtG"/>
      </w:pPr>
      <w:r w:rsidRPr="00C00847">
        <w:rPr>
          <w:lang w:val="en-GB"/>
        </w:rPr>
        <w:t>9.</w:t>
      </w:r>
      <w:r w:rsidRPr="00C00847">
        <w:rPr>
          <w:lang w:val="en-GB"/>
        </w:rPr>
        <w:tab/>
        <w:t xml:space="preserve">In accordance with article 2, paragraph 3 (a), of the Covenant, the State party is under an obligation to provide the author with an effective remedy, including reimbursement of any legal costs incurred by the author, </w:t>
      </w:r>
      <w:r w:rsidR="003A0C48">
        <w:rPr>
          <w:lang w:val="en-GB"/>
        </w:rPr>
        <w:t xml:space="preserve">and an adequate </w:t>
      </w:r>
      <w:r w:rsidRPr="00C00847">
        <w:rPr>
          <w:lang w:val="en-GB"/>
        </w:rPr>
        <w:t>compensation. The State party is also under the obligation to take steps to prevent similar violations in the future.</w:t>
      </w:r>
      <w:r w:rsidR="003A0C48" w:rsidRPr="003A0C48">
        <w:t xml:space="preserve"> In this connection, the Committee reiterates that the State party should review its legislation, in particular, the Law on Mass Events of 30 December 1997.</w:t>
      </w:r>
      <w:r w:rsidR="003A0C48" w:rsidRPr="003A0C48">
        <w:rPr>
          <w:vertAlign w:val="superscript"/>
        </w:rPr>
        <w:footnoteReference w:id="8"/>
      </w:r>
    </w:p>
    <w:p w14:paraId="735FEF8A" w14:textId="77777777" w:rsidR="00C00847" w:rsidRPr="00C00847" w:rsidRDefault="00C00847" w:rsidP="00B70BF9">
      <w:pPr>
        <w:pStyle w:val="SingleTxtG"/>
        <w:rPr>
          <w:lang w:val="en-GB"/>
        </w:rPr>
      </w:pPr>
      <w:r w:rsidRPr="00C00847">
        <w:rPr>
          <w:lang w:val="en-GB"/>
        </w:rPr>
        <w:t>10.</w:t>
      </w:r>
      <w:r w:rsidRPr="00C00847">
        <w:rPr>
          <w:lang w:val="en-GB"/>
        </w:rPr>
        <w:tab/>
      </w:r>
      <w:r w:rsidR="004C7DFB">
        <w:rPr>
          <w:lang w:val="en-GB"/>
        </w:rPr>
        <w:t>B</w:t>
      </w:r>
      <w:r w:rsidRPr="00C00847">
        <w:rPr>
          <w:lang w:val="en-GB"/>
        </w:rPr>
        <w:t xml:space="preserve">y becoming a party to the Optional Protocol, the State party has recognized the competence of the Committee to determine whether </w:t>
      </w:r>
      <w:r w:rsidR="004C7DFB">
        <w:rPr>
          <w:lang w:val="en-GB"/>
        </w:rPr>
        <w:t xml:space="preserve">or not </w:t>
      </w:r>
      <w:r w:rsidRPr="00C00847">
        <w:rPr>
          <w:lang w:val="en-GB"/>
        </w:rPr>
        <w:t>there has been a violation of the Covenant</w:t>
      </w:r>
      <w:r w:rsidR="004C7DFB">
        <w:rPr>
          <w:lang w:val="en-GB"/>
        </w:rPr>
        <w:t>.</w:t>
      </w:r>
      <w:r w:rsidRPr="00C00847">
        <w:rPr>
          <w:lang w:val="en-GB"/>
        </w:rPr>
        <w:t xml:space="preserve"> </w:t>
      </w:r>
      <w:r w:rsidR="004C7DFB">
        <w:rPr>
          <w:lang w:val="en-GB"/>
        </w:rPr>
        <w:t>P</w:t>
      </w:r>
      <w:r w:rsidRPr="00C00847">
        <w:rPr>
          <w:lang w:val="en-GB"/>
        </w:rPr>
        <w:t xml:space="preserve">ursuant to article 2 of the Covenant, the State party has undertaken to </w:t>
      </w:r>
      <w:r w:rsidR="004C7DFB">
        <w:rPr>
          <w:lang w:val="en-GB"/>
        </w:rPr>
        <w:t xml:space="preserve">guarantee </w:t>
      </w:r>
      <w:r w:rsidRPr="00C00847">
        <w:rPr>
          <w:lang w:val="en-GB"/>
        </w:rPr>
        <w:t xml:space="preserve">to all individuals within its territory and subject to its jurisdiction the rights recognized in the Covenant and to provide an effective and enforceable remedy in case a violation has </w:t>
      </w:r>
      <w:r w:rsidR="004C7DFB">
        <w:rPr>
          <w:lang w:val="en-GB"/>
        </w:rPr>
        <w:t>occurred.</w:t>
      </w:r>
      <w:r w:rsidRPr="00C00847">
        <w:rPr>
          <w:lang w:val="en-GB"/>
        </w:rPr>
        <w:t xml:space="preserve"> </w:t>
      </w:r>
      <w:r w:rsidR="004C7DFB">
        <w:rPr>
          <w:lang w:val="en-GB"/>
        </w:rPr>
        <w:t>T</w:t>
      </w:r>
      <w:r w:rsidRPr="00C00847">
        <w:rPr>
          <w:lang w:val="en-GB"/>
        </w:rPr>
        <w:t xml:space="preserve">he Committee </w:t>
      </w:r>
      <w:r w:rsidR="004C7DFB">
        <w:rPr>
          <w:lang w:val="en-GB"/>
        </w:rPr>
        <w:t xml:space="preserve">therefore </w:t>
      </w:r>
      <w:r w:rsidR="004C7DFB">
        <w:t>requests</w:t>
      </w:r>
      <w:r w:rsidR="004C7DFB" w:rsidRPr="00DE673D">
        <w:t xml:space="preserve"> the State party</w:t>
      </w:r>
      <w:r w:rsidR="004C7DFB">
        <w:t xml:space="preserve"> to provide</w:t>
      </w:r>
      <w:r w:rsidRPr="00C00847">
        <w:rPr>
          <w:lang w:val="en-GB"/>
        </w:rPr>
        <w:t xml:space="preserve">, within 180 days, information about the measures taken to give effect to the </w:t>
      </w:r>
      <w:r w:rsidR="004C7DFB">
        <w:rPr>
          <w:lang w:val="en-GB"/>
        </w:rPr>
        <w:t xml:space="preserve">present </w:t>
      </w:r>
      <w:r w:rsidRPr="00C00847">
        <w:rPr>
          <w:lang w:val="en-GB"/>
        </w:rPr>
        <w:t>Views. The State party is also requested to publish the present Views, and to have them widely disseminated in Belarusian and Russian in the State party.</w:t>
      </w:r>
    </w:p>
    <w:p w14:paraId="42756D8E" w14:textId="77777777"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96481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8-19T09:01:00Z" w:initials="Start">
    <w:p w14:paraId="18F9A6A5" w14:textId="77777777" w:rsidR="0096481B" w:rsidRDefault="0096481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NO&gt;&gt;N1518253E&lt;&lt;ODS JOB NO&gt;&gt;</w:t>
      </w:r>
    </w:p>
    <w:p w14:paraId="3C7AB6B2" w14:textId="77777777" w:rsidR="0096481B" w:rsidRDefault="0096481B">
      <w:pPr>
        <w:pStyle w:val="CommentText"/>
      </w:pPr>
      <w:r>
        <w:t>&lt;&lt;ODS DOC SYMBOL1&gt;&gt;CCPR/C/114/D/1988/2010&lt;&lt;ODS DOC SYMBOL1&gt;&gt;</w:t>
      </w:r>
    </w:p>
    <w:p w14:paraId="4ABFB1B1" w14:textId="77777777" w:rsidR="0096481B" w:rsidRDefault="0096481B">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BFB1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6AA42" w14:textId="77777777" w:rsidR="00FA4D5B" w:rsidRDefault="00FA4D5B"/>
  </w:endnote>
  <w:endnote w:type="continuationSeparator" w:id="0">
    <w:p w14:paraId="7154B6C4" w14:textId="77777777" w:rsidR="00FA4D5B" w:rsidRDefault="00FA4D5B"/>
  </w:endnote>
  <w:endnote w:type="continuationNotice" w:id="1">
    <w:p w14:paraId="109911D8" w14:textId="77777777" w:rsidR="00FA4D5B" w:rsidRDefault="00FA4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0683" w14:textId="77777777" w:rsidR="00A647C7" w:rsidRPr="00781C83" w:rsidRDefault="00A647C7"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807873">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49CC" w14:textId="77777777" w:rsidR="00A647C7" w:rsidRPr="00A938C7" w:rsidRDefault="00A647C7" w:rsidP="00781C83">
    <w:pPr>
      <w:pStyle w:val="Footer"/>
      <w:tabs>
        <w:tab w:val="right" w:pos="9638"/>
      </w:tabs>
      <w:rPr>
        <w:b/>
        <w:sz w:val="18"/>
      </w:rPr>
    </w:pPr>
    <w:r>
      <w:rPr>
        <w:b/>
        <w:sz w:val="18"/>
      </w:rPr>
      <w:tab/>
    </w:r>
    <w:r w:rsidRPr="00A938C7">
      <w:rPr>
        <w:b/>
        <w:sz w:val="18"/>
      </w:rPr>
      <w:fldChar w:fldCharType="begin"/>
    </w:r>
    <w:r w:rsidRPr="00A938C7">
      <w:rPr>
        <w:b/>
        <w:sz w:val="18"/>
      </w:rPr>
      <w:instrText xml:space="preserve"> PAGE  \* MERGEFORMAT </w:instrText>
    </w:r>
    <w:r w:rsidRPr="00A938C7">
      <w:rPr>
        <w:b/>
        <w:sz w:val="18"/>
      </w:rPr>
      <w:fldChar w:fldCharType="separate"/>
    </w:r>
    <w:r w:rsidR="00807873">
      <w:rPr>
        <w:b/>
        <w:noProof/>
        <w:sz w:val="18"/>
      </w:rPr>
      <w:t>3</w:t>
    </w:r>
    <w:r w:rsidRPr="00A938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6481B" w14:paraId="08790BE3" w14:textId="77777777" w:rsidTr="0096481B">
      <w:tc>
        <w:tcPr>
          <w:tcW w:w="3614" w:type="dxa"/>
          <w:shd w:val="clear" w:color="auto" w:fill="auto"/>
        </w:tcPr>
        <w:p w14:paraId="29955216" w14:textId="77777777" w:rsidR="0096481B" w:rsidRDefault="0096481B" w:rsidP="0096481B">
          <w:pPr>
            <w:pStyle w:val="Footer"/>
            <w:rPr>
              <w:sz w:val="20"/>
            </w:rPr>
          </w:pPr>
          <w:r>
            <w:rPr>
              <w:noProof/>
              <w:lang w:val="en-US"/>
            </w:rPr>
            <w:drawing>
              <wp:anchor distT="0" distB="0" distL="114300" distR="114300" simplePos="0" relativeHeight="251659264" behindDoc="0" locked="0" layoutInCell="1" allowOverlap="1" wp14:anchorId="31C3DCD1" wp14:editId="41FB0269">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CPR/C/114/D/1988/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1988/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GE.15-13664(E)</w:t>
          </w:r>
        </w:p>
        <w:p w14:paraId="607ADCCC" w14:textId="77777777" w:rsidR="0096481B" w:rsidRPr="0096481B" w:rsidRDefault="0096481B" w:rsidP="0096481B">
          <w:pPr>
            <w:pStyle w:val="Footer"/>
            <w:rPr>
              <w:rFonts w:ascii="Barcode 3 of 9 by request" w:hAnsi="Barcode 3 of 9 by request"/>
              <w:sz w:val="24"/>
            </w:rPr>
          </w:pPr>
          <w:r>
            <w:rPr>
              <w:rFonts w:ascii="Barcode 3 of 9 by request" w:hAnsi="Barcode 3 of 9 by request"/>
              <w:sz w:val="24"/>
            </w:rPr>
            <w:t>*1513664*</w:t>
          </w:r>
        </w:p>
      </w:tc>
      <w:tc>
        <w:tcPr>
          <w:tcW w:w="4752" w:type="dxa"/>
          <w:shd w:val="clear" w:color="auto" w:fill="auto"/>
        </w:tcPr>
        <w:p w14:paraId="647570E6" w14:textId="77777777" w:rsidR="0096481B" w:rsidRDefault="0096481B" w:rsidP="0096481B">
          <w:pPr>
            <w:pStyle w:val="Footer"/>
            <w:spacing w:line="240" w:lineRule="atLeast"/>
            <w:jc w:val="right"/>
            <w:rPr>
              <w:sz w:val="20"/>
            </w:rPr>
          </w:pPr>
          <w:r>
            <w:rPr>
              <w:noProof/>
              <w:sz w:val="20"/>
              <w:lang w:val="en-US"/>
            </w:rPr>
            <w:drawing>
              <wp:inline distT="0" distB="0" distL="0" distR="0" wp14:anchorId="559850BB" wp14:editId="4F5E06ED">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14:paraId="26C9BF42" w14:textId="77777777" w:rsidR="0096481B" w:rsidRPr="0096481B" w:rsidRDefault="0096481B" w:rsidP="0096481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819C" w14:textId="77777777" w:rsidR="00FA4D5B" w:rsidRPr="000B175B" w:rsidRDefault="00FA4D5B" w:rsidP="000B175B">
      <w:pPr>
        <w:tabs>
          <w:tab w:val="right" w:pos="2155"/>
        </w:tabs>
        <w:spacing w:after="80"/>
        <w:ind w:left="680"/>
        <w:rPr>
          <w:u w:val="single"/>
        </w:rPr>
      </w:pPr>
      <w:r>
        <w:rPr>
          <w:u w:val="single"/>
        </w:rPr>
        <w:tab/>
      </w:r>
    </w:p>
  </w:footnote>
  <w:footnote w:type="continuationSeparator" w:id="0">
    <w:p w14:paraId="3A525F8A" w14:textId="77777777" w:rsidR="00FA4D5B" w:rsidRPr="00FC68B7" w:rsidRDefault="00FA4D5B" w:rsidP="00FC68B7">
      <w:pPr>
        <w:tabs>
          <w:tab w:val="left" w:pos="2155"/>
        </w:tabs>
        <w:spacing w:after="80"/>
        <w:ind w:left="680"/>
        <w:rPr>
          <w:u w:val="single"/>
        </w:rPr>
      </w:pPr>
      <w:r>
        <w:rPr>
          <w:u w:val="single"/>
        </w:rPr>
        <w:tab/>
      </w:r>
    </w:p>
  </w:footnote>
  <w:footnote w:type="continuationNotice" w:id="1">
    <w:p w14:paraId="6C36E441" w14:textId="77777777" w:rsidR="00FA4D5B" w:rsidRDefault="00FA4D5B"/>
  </w:footnote>
  <w:footnote w:id="2">
    <w:p w14:paraId="653C88A3" w14:textId="77777777" w:rsidR="005C7C1C" w:rsidRPr="00B16ECA" w:rsidRDefault="005C7C1C" w:rsidP="00B70BF9">
      <w:pPr>
        <w:pStyle w:val="FootnoteText"/>
        <w:rPr>
          <w:lang w:val="en-GB"/>
        </w:rPr>
      </w:pPr>
      <w:r>
        <w:rPr>
          <w:rStyle w:val="FootnoteReference"/>
        </w:rPr>
        <w:tab/>
      </w:r>
      <w:r w:rsidRPr="00B16ECA">
        <w:rPr>
          <w:rStyle w:val="FootnoteReference"/>
          <w:sz w:val="20"/>
          <w:vertAlign w:val="baseline"/>
        </w:rPr>
        <w:t>*</w:t>
      </w:r>
      <w:r>
        <w:rPr>
          <w:rStyle w:val="FootnoteReference"/>
          <w:sz w:val="20"/>
          <w:vertAlign w:val="baseline"/>
        </w:rPr>
        <w:tab/>
      </w:r>
      <w:bookmarkStart w:id="2" w:name="OLE_LINK1"/>
      <w:bookmarkStart w:id="3" w:name="OLE_LINK2"/>
      <w:r w:rsidRPr="007F7A13">
        <w:t xml:space="preserve">The following members of the Committee participated in the examination of the present communication: </w:t>
      </w:r>
      <w:bookmarkEnd w:id="2"/>
      <w:bookmarkEnd w:id="3"/>
      <w:r w:rsidRPr="007F7A13">
        <w:t xml:space="preserve">Yadh </w:t>
      </w:r>
      <w:r w:rsidRPr="00D11C79">
        <w:t>Ben Achour, Lazhari Bouzid, Sarah Cleveland, Olivier De Frouville, Ahmed Amin Fathalla, Yuji Iwasawa, Ivana Jeli</w:t>
      </w:r>
      <w:r w:rsidR="008A758A" w:rsidRPr="00B70BF9">
        <w:t>ć</w:t>
      </w:r>
      <w:r w:rsidRPr="00D11C79">
        <w:t>, Duncan Laki</w:t>
      </w:r>
      <w:r w:rsidR="008A758A">
        <w:t xml:space="preserve"> </w:t>
      </w:r>
      <w:r w:rsidR="008A758A" w:rsidRPr="00D11C79">
        <w:t>Muhumuza</w:t>
      </w:r>
      <w:r w:rsidRPr="00D11C79">
        <w:t>, Photini Pazartzis, Mauro Politi, Sir Nigel Rodley, Victor Manuel Rodríguez-Resci</w:t>
      </w:r>
      <w:r w:rsidRPr="00B16ECA">
        <w:t>a, Fabián Omar Salvioli, Dheerujlall Seetulsingh, Anja Seibert-Fohr, Yuval Shany, Konstantine Vardzelashvili and Margo Waterval.</w:t>
      </w:r>
    </w:p>
  </w:footnote>
  <w:footnote w:id="3">
    <w:p w14:paraId="5E52CD8C" w14:textId="77777777" w:rsidR="0065704F" w:rsidRPr="008B54BD" w:rsidRDefault="009A3DDF" w:rsidP="00B70BF9">
      <w:pPr>
        <w:pStyle w:val="FootnoteText"/>
        <w:rPr>
          <w:lang w:val="en-GB"/>
        </w:rPr>
      </w:pPr>
      <w:r w:rsidRPr="007313CC">
        <w:tab/>
      </w:r>
      <w:r w:rsidR="0065704F">
        <w:rPr>
          <w:rStyle w:val="FootnoteReference"/>
        </w:rPr>
        <w:footnoteRef/>
      </w:r>
      <w:r w:rsidRPr="00180875">
        <w:rPr>
          <w:lang w:val="en-GB"/>
        </w:rPr>
        <w:tab/>
      </w:r>
      <w:r w:rsidR="0065704F" w:rsidRPr="008B54BD">
        <w:rPr>
          <w:lang w:val="en-GB"/>
        </w:rPr>
        <w:t xml:space="preserve">See, inter alia, </w:t>
      </w:r>
      <w:r w:rsidR="0065704F" w:rsidRPr="009A3DDF">
        <w:t>communication</w:t>
      </w:r>
      <w:r w:rsidR="0065704F" w:rsidRPr="008B54BD">
        <w:rPr>
          <w:lang w:val="en-GB"/>
        </w:rPr>
        <w:t xml:space="preserve"> No. </w:t>
      </w:r>
      <w:r w:rsidR="0065704F">
        <w:rPr>
          <w:lang w:val="en-GB"/>
        </w:rPr>
        <w:t xml:space="preserve">1949/2010, </w:t>
      </w:r>
      <w:r w:rsidR="0065704F">
        <w:rPr>
          <w:i/>
          <w:lang w:val="en-GB"/>
        </w:rPr>
        <w:t xml:space="preserve">Pavel Kozlov et al. v. Belarus, </w:t>
      </w:r>
      <w:r w:rsidR="0065704F">
        <w:rPr>
          <w:lang w:val="en-GB"/>
        </w:rPr>
        <w:t xml:space="preserve">Views adopted on </w:t>
      </w:r>
      <w:r w:rsidR="00870DD6">
        <w:rPr>
          <w:lang w:val="en-GB"/>
        </w:rPr>
        <w:t>25 </w:t>
      </w:r>
      <w:r w:rsidR="001A106C">
        <w:rPr>
          <w:lang w:val="en-GB"/>
        </w:rPr>
        <w:t>March 2015,</w:t>
      </w:r>
      <w:r w:rsidR="0065704F">
        <w:rPr>
          <w:lang w:val="en-GB"/>
        </w:rPr>
        <w:t xml:space="preserve"> para. 4</w:t>
      </w:r>
    </w:p>
  </w:footnote>
  <w:footnote w:id="4">
    <w:p w14:paraId="29A46920" w14:textId="77777777" w:rsidR="00EA4F0B" w:rsidRPr="002D7094" w:rsidRDefault="00EA4F0B" w:rsidP="00EA4F0B">
      <w:pPr>
        <w:pStyle w:val="FootnoteText"/>
        <w:rPr>
          <w:highlight w:val="yellow"/>
        </w:rPr>
      </w:pPr>
      <w:r>
        <w:tab/>
      </w:r>
      <w:r>
        <w:rPr>
          <w:rStyle w:val="FootnoteReference"/>
        </w:rPr>
        <w:footnoteRef/>
      </w:r>
      <w:r>
        <w:tab/>
      </w:r>
      <w:r w:rsidRPr="003E00B8">
        <w:t>S</w:t>
      </w:r>
      <w:r w:rsidRPr="00F824F7">
        <w:t xml:space="preserve">ee, inter alia, communication No. 869/1999, </w:t>
      </w:r>
      <w:r w:rsidRPr="002D7094">
        <w:rPr>
          <w:i/>
        </w:rPr>
        <w:t>Piandiong et al</w:t>
      </w:r>
      <w:r w:rsidRPr="00B70BF9">
        <w:rPr>
          <w:i/>
        </w:rPr>
        <w:t>. v. Philippines</w:t>
      </w:r>
      <w:r w:rsidRPr="003E00B8">
        <w:t>, Views adopted on 19 October 2000, para. 5.1.</w:t>
      </w:r>
    </w:p>
  </w:footnote>
  <w:footnote w:id="5">
    <w:p w14:paraId="2361AE5E" w14:textId="77777777" w:rsidR="00EA4F0B" w:rsidRPr="002D7094" w:rsidRDefault="00EA4F0B" w:rsidP="00EA4F0B">
      <w:pPr>
        <w:pStyle w:val="FootnoteText"/>
        <w:rPr>
          <w:highlight w:val="yellow"/>
        </w:rPr>
      </w:pPr>
      <w:r w:rsidRPr="003E00B8">
        <w:tab/>
      </w:r>
      <w:r w:rsidRPr="003E00B8">
        <w:rPr>
          <w:rStyle w:val="FootnoteReference"/>
        </w:rPr>
        <w:footnoteRef/>
      </w:r>
      <w:r w:rsidRPr="003E00B8">
        <w:tab/>
      </w:r>
      <w:r w:rsidRPr="00F824F7">
        <w:t>See also communication</w:t>
      </w:r>
      <w:r>
        <w:t>s</w:t>
      </w:r>
      <w:r w:rsidRPr="003E00B8">
        <w:t xml:space="preserve"> No. 1226/2003, </w:t>
      </w:r>
      <w:r w:rsidRPr="002D7094">
        <w:rPr>
          <w:i/>
        </w:rPr>
        <w:t xml:space="preserve">Korneenko </w:t>
      </w:r>
      <w:r w:rsidRPr="002D7094">
        <w:rPr>
          <w:iCs/>
        </w:rPr>
        <w:t>v.</w:t>
      </w:r>
      <w:r w:rsidRPr="002D7094">
        <w:rPr>
          <w:i/>
        </w:rPr>
        <w:t xml:space="preserve"> Belarus</w:t>
      </w:r>
      <w:r w:rsidRPr="003E00B8">
        <w:t xml:space="preserve">, Views adopted on 20 July 2012, paras. 8.1 and 8.2; </w:t>
      </w:r>
      <w:r>
        <w:t>and</w:t>
      </w:r>
      <w:r w:rsidRPr="00F824F7">
        <w:t xml:space="preserve"> </w:t>
      </w:r>
      <w:r w:rsidRPr="00822486">
        <w:t xml:space="preserve">communication No. 1948/2010, </w:t>
      </w:r>
      <w:r w:rsidRPr="002D7094">
        <w:rPr>
          <w:i/>
        </w:rPr>
        <w:t>Turchenyak et al</w:t>
      </w:r>
      <w:r>
        <w:rPr>
          <w:i/>
        </w:rPr>
        <w:t>.</w:t>
      </w:r>
      <w:r w:rsidRPr="002D7094">
        <w:rPr>
          <w:i/>
        </w:rPr>
        <w:t xml:space="preserve"> </w:t>
      </w:r>
      <w:r w:rsidRPr="002D7094">
        <w:rPr>
          <w:iCs/>
        </w:rPr>
        <w:t>v.</w:t>
      </w:r>
      <w:r w:rsidRPr="002D7094">
        <w:rPr>
          <w:i/>
        </w:rPr>
        <w:t xml:space="preserve"> Belarus</w:t>
      </w:r>
      <w:r w:rsidRPr="003E00B8">
        <w:t>, Views adopted on 24 July 2013, paras. 5.1. and 5.2.</w:t>
      </w:r>
    </w:p>
  </w:footnote>
  <w:footnote w:id="6">
    <w:p w14:paraId="756B1966" w14:textId="77777777" w:rsidR="00FC66FB" w:rsidRPr="00B6380E" w:rsidRDefault="00FC66FB" w:rsidP="00FC66FB">
      <w:pPr>
        <w:pStyle w:val="FootnoteText"/>
        <w:rPr>
          <w:szCs w:val="18"/>
        </w:rPr>
      </w:pPr>
      <w:r>
        <w:rPr>
          <w:szCs w:val="18"/>
        </w:rPr>
        <w:tab/>
      </w:r>
      <w:r w:rsidRPr="00B6380E">
        <w:rPr>
          <w:rStyle w:val="FootnoteReference"/>
          <w:szCs w:val="18"/>
        </w:rPr>
        <w:footnoteRef/>
      </w:r>
      <w:r w:rsidRPr="00B6380E">
        <w:rPr>
          <w:szCs w:val="18"/>
        </w:rPr>
        <w:t xml:space="preserve"> </w:t>
      </w:r>
      <w:r>
        <w:rPr>
          <w:szCs w:val="18"/>
        </w:rPr>
        <w:tab/>
      </w:r>
      <w:r w:rsidR="00870DD6">
        <w:rPr>
          <w:szCs w:val="18"/>
        </w:rPr>
        <w:t>See c</w:t>
      </w:r>
      <w:r w:rsidRPr="000330D1">
        <w:rPr>
          <w:szCs w:val="18"/>
        </w:rPr>
        <w:t xml:space="preserve">ommunication No. 1873/2009, </w:t>
      </w:r>
      <w:r w:rsidRPr="000330D1">
        <w:rPr>
          <w:i/>
          <w:szCs w:val="18"/>
        </w:rPr>
        <w:t>Alekseev v. the Russian Federation</w:t>
      </w:r>
      <w:r w:rsidRPr="000330D1">
        <w:rPr>
          <w:szCs w:val="18"/>
        </w:rPr>
        <w:t>, Views adopted on 25 October 2013, at para 8.4</w:t>
      </w:r>
      <w:r>
        <w:rPr>
          <w:szCs w:val="18"/>
        </w:rPr>
        <w:t xml:space="preserve">; </w:t>
      </w:r>
      <w:r w:rsidRPr="00B70BF9">
        <w:rPr>
          <w:szCs w:val="18"/>
          <w:lang w:val="en-GB"/>
        </w:rPr>
        <w:t xml:space="preserve">communication No. </w:t>
      </w:r>
      <w:r>
        <w:rPr>
          <w:szCs w:val="18"/>
          <w:lang w:val="en-GB"/>
        </w:rPr>
        <w:t xml:space="preserve">1985/2010, </w:t>
      </w:r>
      <w:r w:rsidRPr="002861D9">
        <w:rPr>
          <w:i/>
        </w:rPr>
        <w:t>Koktish v. Belarus</w:t>
      </w:r>
      <w:r>
        <w:t xml:space="preserve">, </w:t>
      </w:r>
      <w:r w:rsidRPr="00EA3BD0">
        <w:t>Views adopted on 24 July 2014, para.7.3.</w:t>
      </w:r>
    </w:p>
  </w:footnote>
  <w:footnote w:id="7">
    <w:p w14:paraId="28BA424F" w14:textId="77777777" w:rsidR="005105B9" w:rsidRPr="00054DCF" w:rsidRDefault="00FD1D08" w:rsidP="00B70BF9">
      <w:pPr>
        <w:pStyle w:val="FootnoteText"/>
        <w:rPr>
          <w:lang w:val="en-GB"/>
        </w:rPr>
      </w:pPr>
      <w:r w:rsidRPr="00180875">
        <w:rPr>
          <w:lang w:val="en-GB"/>
        </w:rPr>
        <w:tab/>
      </w:r>
      <w:r w:rsidR="005105B9">
        <w:rPr>
          <w:rStyle w:val="FootnoteReference"/>
        </w:rPr>
        <w:footnoteRef/>
      </w:r>
      <w:r w:rsidRPr="00180875">
        <w:rPr>
          <w:lang w:val="en-GB"/>
        </w:rPr>
        <w:tab/>
      </w:r>
      <w:r w:rsidR="005105B9">
        <w:t xml:space="preserve">See, for example, </w:t>
      </w:r>
      <w:r w:rsidR="005105B9">
        <w:rPr>
          <w:i/>
        </w:rPr>
        <w:t>Turchenyak et al. v. Belarus</w:t>
      </w:r>
      <w:r w:rsidR="005105B9">
        <w:t>, para. 7.</w:t>
      </w:r>
      <w:r w:rsidR="00054DCF" w:rsidRPr="00054DCF">
        <w:rPr>
          <w:lang w:val="en-GB"/>
        </w:rPr>
        <w:t>4</w:t>
      </w:r>
      <w:r w:rsidR="00810457">
        <w:rPr>
          <w:lang w:val="en-GB"/>
        </w:rPr>
        <w:t xml:space="preserve">; and </w:t>
      </w:r>
      <w:r w:rsidR="00810457">
        <w:rPr>
          <w:i/>
          <w:lang w:val="en-GB"/>
        </w:rPr>
        <w:t>Pavel Kozlov et al. v. Belarus,</w:t>
      </w:r>
      <w:r w:rsidR="00810457">
        <w:rPr>
          <w:lang w:val="en-GB"/>
        </w:rPr>
        <w:t xml:space="preserve"> para. 7.4. </w:t>
      </w:r>
    </w:p>
  </w:footnote>
  <w:footnote w:id="8">
    <w:p w14:paraId="0C8EAC0A" w14:textId="77777777" w:rsidR="003A0C48" w:rsidRDefault="003A0C48" w:rsidP="00B70BF9">
      <w:pPr>
        <w:pStyle w:val="FootnoteText"/>
      </w:pPr>
      <w:r>
        <w:tab/>
      </w:r>
      <w:r>
        <w:rPr>
          <w:rStyle w:val="FootnoteReference"/>
        </w:rPr>
        <w:footnoteRef/>
      </w:r>
      <w:r>
        <w:tab/>
        <w:t xml:space="preserve">See, for example, communications No. 1851/2008, </w:t>
      </w:r>
      <w:r>
        <w:rPr>
          <w:i/>
        </w:rPr>
        <w:t>Vladimir Sekerko v. Belarus</w:t>
      </w:r>
      <w:r>
        <w:t xml:space="preserve">, Views adopted on 28 October 2013, para. 11; </w:t>
      </w:r>
      <w:r>
        <w:rPr>
          <w:i/>
        </w:rPr>
        <w:t xml:space="preserve">Turchenyak and others </w:t>
      </w:r>
      <w:r>
        <w:t>v.</w:t>
      </w:r>
      <w:r>
        <w:rPr>
          <w:i/>
        </w:rPr>
        <w:t xml:space="preserve"> Belarus,</w:t>
      </w:r>
      <w:r>
        <w:t xml:space="preserve"> para.9; No. 1790/2008, </w:t>
      </w:r>
      <w:r>
        <w:rPr>
          <w:i/>
        </w:rPr>
        <w:t xml:space="preserve">Sergei Govsha, Viktor Syritsa and Viktor Mezyak </w:t>
      </w:r>
      <w:r>
        <w:t xml:space="preserve">v. </w:t>
      </w:r>
      <w:r>
        <w:rPr>
          <w:i/>
        </w:rPr>
        <w:t>Belarus,</w:t>
      </w:r>
      <w:r>
        <w:t xml:space="preserve"> Views adopted on 27 July 2012,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53C5" w14:textId="77777777" w:rsidR="00A647C7" w:rsidRPr="00781C83" w:rsidRDefault="00A647C7" w:rsidP="00781C83">
    <w:pPr>
      <w:pStyle w:val="Header"/>
    </w:pPr>
    <w:r>
      <w:t>CCPR/C/11</w:t>
    </w:r>
    <w:r w:rsidR="001C27B8">
      <w:t>4</w:t>
    </w:r>
    <w:r>
      <w:t>/D/</w:t>
    </w:r>
    <w:r w:rsidR="00A9008E">
      <w:t>19</w:t>
    </w:r>
    <w:r w:rsidR="001C27B8">
      <w:t>88</w:t>
    </w:r>
    <w:r>
      <w:t>/201</w:t>
    </w:r>
    <w:r w:rsidR="00A9008E">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F756" w14:textId="77777777" w:rsidR="00A647C7" w:rsidRPr="00781C83" w:rsidRDefault="00A647C7" w:rsidP="00781C83">
    <w:pPr>
      <w:pStyle w:val="Header"/>
      <w:jc w:val="right"/>
    </w:pPr>
    <w:r>
      <w:t>CCPR/C/11</w:t>
    </w:r>
    <w:r w:rsidR="001C27B8">
      <w:t>4</w:t>
    </w:r>
    <w:r>
      <w:t>/D/</w:t>
    </w:r>
    <w:r w:rsidR="00A9008E">
      <w:t>19</w:t>
    </w:r>
    <w:r w:rsidR="001C27B8">
      <w:t>88</w:t>
    </w:r>
    <w:r>
      <w:t>/201</w:t>
    </w:r>
    <w:r w:rsidR="00A9008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44E2"/>
    <w:rsid w:val="00007695"/>
    <w:rsid w:val="0001627B"/>
    <w:rsid w:val="000170C3"/>
    <w:rsid w:val="00023024"/>
    <w:rsid w:val="00024522"/>
    <w:rsid w:val="00025D41"/>
    <w:rsid w:val="0002635B"/>
    <w:rsid w:val="000272B3"/>
    <w:rsid w:val="0003387B"/>
    <w:rsid w:val="00033CD0"/>
    <w:rsid w:val="00036F3F"/>
    <w:rsid w:val="000377A5"/>
    <w:rsid w:val="0004092D"/>
    <w:rsid w:val="00041994"/>
    <w:rsid w:val="00043AFA"/>
    <w:rsid w:val="00050F6B"/>
    <w:rsid w:val="00054DCF"/>
    <w:rsid w:val="00055FFE"/>
    <w:rsid w:val="0005782B"/>
    <w:rsid w:val="00057E97"/>
    <w:rsid w:val="00060C3A"/>
    <w:rsid w:val="000630DF"/>
    <w:rsid w:val="00066476"/>
    <w:rsid w:val="000673A3"/>
    <w:rsid w:val="00067CCE"/>
    <w:rsid w:val="000707D1"/>
    <w:rsid w:val="00072C8C"/>
    <w:rsid w:val="000733B5"/>
    <w:rsid w:val="00081815"/>
    <w:rsid w:val="00081BF7"/>
    <w:rsid w:val="0008245C"/>
    <w:rsid w:val="00090022"/>
    <w:rsid w:val="00090758"/>
    <w:rsid w:val="00091F15"/>
    <w:rsid w:val="000931C0"/>
    <w:rsid w:val="00093D88"/>
    <w:rsid w:val="0009642A"/>
    <w:rsid w:val="000970C1"/>
    <w:rsid w:val="000A2EE4"/>
    <w:rsid w:val="000A310C"/>
    <w:rsid w:val="000A5559"/>
    <w:rsid w:val="000A69CF"/>
    <w:rsid w:val="000B02C3"/>
    <w:rsid w:val="000B175B"/>
    <w:rsid w:val="000B1788"/>
    <w:rsid w:val="000B3A0F"/>
    <w:rsid w:val="000B4EF7"/>
    <w:rsid w:val="000C2AB9"/>
    <w:rsid w:val="000C2C03"/>
    <w:rsid w:val="000C2D2E"/>
    <w:rsid w:val="000C2E06"/>
    <w:rsid w:val="000C46B7"/>
    <w:rsid w:val="000C4DA0"/>
    <w:rsid w:val="000C695D"/>
    <w:rsid w:val="000D0ABB"/>
    <w:rsid w:val="000D3D17"/>
    <w:rsid w:val="000D6E0C"/>
    <w:rsid w:val="000E0415"/>
    <w:rsid w:val="000E07B1"/>
    <w:rsid w:val="000E0E8E"/>
    <w:rsid w:val="000E20F8"/>
    <w:rsid w:val="000E29B9"/>
    <w:rsid w:val="000E3240"/>
    <w:rsid w:val="000E4550"/>
    <w:rsid w:val="000E5F64"/>
    <w:rsid w:val="000F39F9"/>
    <w:rsid w:val="000F6A6B"/>
    <w:rsid w:val="000F7E69"/>
    <w:rsid w:val="00102617"/>
    <w:rsid w:val="001037D9"/>
    <w:rsid w:val="001103AA"/>
    <w:rsid w:val="00110F83"/>
    <w:rsid w:val="00112792"/>
    <w:rsid w:val="00112984"/>
    <w:rsid w:val="001133DB"/>
    <w:rsid w:val="0011580E"/>
    <w:rsid w:val="00117506"/>
    <w:rsid w:val="0011787A"/>
    <w:rsid w:val="001223A2"/>
    <w:rsid w:val="00123712"/>
    <w:rsid w:val="001306DD"/>
    <w:rsid w:val="00130D48"/>
    <w:rsid w:val="0013113A"/>
    <w:rsid w:val="00131B64"/>
    <w:rsid w:val="0013235B"/>
    <w:rsid w:val="001340B3"/>
    <w:rsid w:val="00136DE8"/>
    <w:rsid w:val="00137249"/>
    <w:rsid w:val="001375A9"/>
    <w:rsid w:val="00142286"/>
    <w:rsid w:val="00151893"/>
    <w:rsid w:val="001520B8"/>
    <w:rsid w:val="00154DA5"/>
    <w:rsid w:val="00157820"/>
    <w:rsid w:val="00161364"/>
    <w:rsid w:val="00162DB2"/>
    <w:rsid w:val="00164C92"/>
    <w:rsid w:val="00165F3A"/>
    <w:rsid w:val="00166183"/>
    <w:rsid w:val="00170DDB"/>
    <w:rsid w:val="00171909"/>
    <w:rsid w:val="001721A9"/>
    <w:rsid w:val="0017277A"/>
    <w:rsid w:val="00172802"/>
    <w:rsid w:val="00174528"/>
    <w:rsid w:val="001756D6"/>
    <w:rsid w:val="001758E2"/>
    <w:rsid w:val="00176D6B"/>
    <w:rsid w:val="00180875"/>
    <w:rsid w:val="00181F7C"/>
    <w:rsid w:val="00183968"/>
    <w:rsid w:val="001844A0"/>
    <w:rsid w:val="0018481A"/>
    <w:rsid w:val="0018572F"/>
    <w:rsid w:val="001905FB"/>
    <w:rsid w:val="001912DB"/>
    <w:rsid w:val="00191845"/>
    <w:rsid w:val="00194248"/>
    <w:rsid w:val="001965C0"/>
    <w:rsid w:val="00196CDF"/>
    <w:rsid w:val="001A09DE"/>
    <w:rsid w:val="001A106C"/>
    <w:rsid w:val="001A2C08"/>
    <w:rsid w:val="001A32CB"/>
    <w:rsid w:val="001A3FE0"/>
    <w:rsid w:val="001A4429"/>
    <w:rsid w:val="001A6461"/>
    <w:rsid w:val="001A660B"/>
    <w:rsid w:val="001A6686"/>
    <w:rsid w:val="001A67B5"/>
    <w:rsid w:val="001A723C"/>
    <w:rsid w:val="001A7E43"/>
    <w:rsid w:val="001B4041"/>
    <w:rsid w:val="001B4485"/>
    <w:rsid w:val="001B4B04"/>
    <w:rsid w:val="001B7D22"/>
    <w:rsid w:val="001C27B8"/>
    <w:rsid w:val="001C3120"/>
    <w:rsid w:val="001C4471"/>
    <w:rsid w:val="001C5BED"/>
    <w:rsid w:val="001C657F"/>
    <w:rsid w:val="001C6663"/>
    <w:rsid w:val="001C7895"/>
    <w:rsid w:val="001C7D37"/>
    <w:rsid w:val="001D0C8C"/>
    <w:rsid w:val="001D26DF"/>
    <w:rsid w:val="001D2DA2"/>
    <w:rsid w:val="001D3743"/>
    <w:rsid w:val="001D3A03"/>
    <w:rsid w:val="001D4AA5"/>
    <w:rsid w:val="001D6813"/>
    <w:rsid w:val="001E10EC"/>
    <w:rsid w:val="001E1626"/>
    <w:rsid w:val="001E2B4C"/>
    <w:rsid w:val="001E4617"/>
    <w:rsid w:val="001E48A9"/>
    <w:rsid w:val="001E6148"/>
    <w:rsid w:val="001E718D"/>
    <w:rsid w:val="001E7AF9"/>
    <w:rsid w:val="001F0720"/>
    <w:rsid w:val="001F08A3"/>
    <w:rsid w:val="001F0F1A"/>
    <w:rsid w:val="001F1088"/>
    <w:rsid w:val="001F11EA"/>
    <w:rsid w:val="00202DA8"/>
    <w:rsid w:val="002069CC"/>
    <w:rsid w:val="00211E0B"/>
    <w:rsid w:val="00213E21"/>
    <w:rsid w:val="00217D74"/>
    <w:rsid w:val="00220677"/>
    <w:rsid w:val="00222689"/>
    <w:rsid w:val="00224AED"/>
    <w:rsid w:val="0022501D"/>
    <w:rsid w:val="002256A1"/>
    <w:rsid w:val="00227EDC"/>
    <w:rsid w:val="002314F8"/>
    <w:rsid w:val="0023210C"/>
    <w:rsid w:val="00232334"/>
    <w:rsid w:val="00233707"/>
    <w:rsid w:val="002361D0"/>
    <w:rsid w:val="0023746F"/>
    <w:rsid w:val="00240564"/>
    <w:rsid w:val="00240F4B"/>
    <w:rsid w:val="0025162E"/>
    <w:rsid w:val="0025487E"/>
    <w:rsid w:val="00255AD7"/>
    <w:rsid w:val="002633B3"/>
    <w:rsid w:val="002650C2"/>
    <w:rsid w:val="002656E9"/>
    <w:rsid w:val="00265CF8"/>
    <w:rsid w:val="00266EB7"/>
    <w:rsid w:val="00267F5F"/>
    <w:rsid w:val="00271484"/>
    <w:rsid w:val="00273B14"/>
    <w:rsid w:val="00281144"/>
    <w:rsid w:val="002826EB"/>
    <w:rsid w:val="00282899"/>
    <w:rsid w:val="00283A20"/>
    <w:rsid w:val="0028489A"/>
    <w:rsid w:val="002863A9"/>
    <w:rsid w:val="00286B4D"/>
    <w:rsid w:val="00287140"/>
    <w:rsid w:val="00291295"/>
    <w:rsid w:val="00292F7D"/>
    <w:rsid w:val="0029365B"/>
    <w:rsid w:val="0029365C"/>
    <w:rsid w:val="00293B90"/>
    <w:rsid w:val="002A0E62"/>
    <w:rsid w:val="002A1243"/>
    <w:rsid w:val="002A3CBA"/>
    <w:rsid w:val="002A4B67"/>
    <w:rsid w:val="002A5C82"/>
    <w:rsid w:val="002A728F"/>
    <w:rsid w:val="002B3B76"/>
    <w:rsid w:val="002B3F1E"/>
    <w:rsid w:val="002C06BA"/>
    <w:rsid w:val="002C2508"/>
    <w:rsid w:val="002C5BCD"/>
    <w:rsid w:val="002C7819"/>
    <w:rsid w:val="002D0E31"/>
    <w:rsid w:val="002D18B7"/>
    <w:rsid w:val="002D3AF5"/>
    <w:rsid w:val="002D4CB1"/>
    <w:rsid w:val="002D76B1"/>
    <w:rsid w:val="002E1084"/>
    <w:rsid w:val="002E52B1"/>
    <w:rsid w:val="002E5C99"/>
    <w:rsid w:val="002E69AE"/>
    <w:rsid w:val="002F039C"/>
    <w:rsid w:val="002F175C"/>
    <w:rsid w:val="002F1942"/>
    <w:rsid w:val="002F4557"/>
    <w:rsid w:val="002F5159"/>
    <w:rsid w:val="002F582A"/>
    <w:rsid w:val="00301173"/>
    <w:rsid w:val="0030138D"/>
    <w:rsid w:val="00306124"/>
    <w:rsid w:val="00307164"/>
    <w:rsid w:val="003134AC"/>
    <w:rsid w:val="0031721B"/>
    <w:rsid w:val="00317544"/>
    <w:rsid w:val="00320E07"/>
    <w:rsid w:val="00321438"/>
    <w:rsid w:val="0032230D"/>
    <w:rsid w:val="003229D8"/>
    <w:rsid w:val="00322F8A"/>
    <w:rsid w:val="00323632"/>
    <w:rsid w:val="00327502"/>
    <w:rsid w:val="00331F5B"/>
    <w:rsid w:val="00332F16"/>
    <w:rsid w:val="003367FD"/>
    <w:rsid w:val="00340A69"/>
    <w:rsid w:val="00341E55"/>
    <w:rsid w:val="00345647"/>
    <w:rsid w:val="00351398"/>
    <w:rsid w:val="00352709"/>
    <w:rsid w:val="00354AA8"/>
    <w:rsid w:val="00361E8A"/>
    <w:rsid w:val="00363A98"/>
    <w:rsid w:val="0036645D"/>
    <w:rsid w:val="003667AD"/>
    <w:rsid w:val="00367567"/>
    <w:rsid w:val="003705C9"/>
    <w:rsid w:val="00371095"/>
    <w:rsid w:val="00371178"/>
    <w:rsid w:val="0037301C"/>
    <w:rsid w:val="003730DD"/>
    <w:rsid w:val="0037429D"/>
    <w:rsid w:val="00375119"/>
    <w:rsid w:val="00376720"/>
    <w:rsid w:val="00377828"/>
    <w:rsid w:val="003823CB"/>
    <w:rsid w:val="0038336C"/>
    <w:rsid w:val="00384F90"/>
    <w:rsid w:val="00386624"/>
    <w:rsid w:val="00387ECB"/>
    <w:rsid w:val="003903FC"/>
    <w:rsid w:val="00392947"/>
    <w:rsid w:val="0039347E"/>
    <w:rsid w:val="003954DB"/>
    <w:rsid w:val="003A0C48"/>
    <w:rsid w:val="003A1602"/>
    <w:rsid w:val="003A325A"/>
    <w:rsid w:val="003A6810"/>
    <w:rsid w:val="003A6EFA"/>
    <w:rsid w:val="003A70FC"/>
    <w:rsid w:val="003A7AF2"/>
    <w:rsid w:val="003B1873"/>
    <w:rsid w:val="003B2E07"/>
    <w:rsid w:val="003C02AB"/>
    <w:rsid w:val="003C2CC4"/>
    <w:rsid w:val="003C730E"/>
    <w:rsid w:val="003D1C5A"/>
    <w:rsid w:val="003D2795"/>
    <w:rsid w:val="003D3E59"/>
    <w:rsid w:val="003D4B23"/>
    <w:rsid w:val="003D52B0"/>
    <w:rsid w:val="003E2BA4"/>
    <w:rsid w:val="003E4173"/>
    <w:rsid w:val="003E6A36"/>
    <w:rsid w:val="003E6F7E"/>
    <w:rsid w:val="003F75DE"/>
    <w:rsid w:val="00405473"/>
    <w:rsid w:val="00410C89"/>
    <w:rsid w:val="00414931"/>
    <w:rsid w:val="00414B35"/>
    <w:rsid w:val="00414F92"/>
    <w:rsid w:val="004227C0"/>
    <w:rsid w:val="00423A59"/>
    <w:rsid w:val="00426B9B"/>
    <w:rsid w:val="0043003F"/>
    <w:rsid w:val="00431396"/>
    <w:rsid w:val="004325CB"/>
    <w:rsid w:val="004334E4"/>
    <w:rsid w:val="00436B33"/>
    <w:rsid w:val="00436E7E"/>
    <w:rsid w:val="00437253"/>
    <w:rsid w:val="00442A83"/>
    <w:rsid w:val="00442C9D"/>
    <w:rsid w:val="00442EB6"/>
    <w:rsid w:val="00445A57"/>
    <w:rsid w:val="00446ABC"/>
    <w:rsid w:val="00450D0E"/>
    <w:rsid w:val="0045285D"/>
    <w:rsid w:val="0045495B"/>
    <w:rsid w:val="00455C43"/>
    <w:rsid w:val="00457620"/>
    <w:rsid w:val="004607BF"/>
    <w:rsid w:val="0046115E"/>
    <w:rsid w:val="00464446"/>
    <w:rsid w:val="004653C7"/>
    <w:rsid w:val="00466B4C"/>
    <w:rsid w:val="00466D25"/>
    <w:rsid w:val="00466FA4"/>
    <w:rsid w:val="00467A53"/>
    <w:rsid w:val="0047173A"/>
    <w:rsid w:val="00473963"/>
    <w:rsid w:val="00476073"/>
    <w:rsid w:val="004806EC"/>
    <w:rsid w:val="00481CB1"/>
    <w:rsid w:val="00487488"/>
    <w:rsid w:val="00487FB8"/>
    <w:rsid w:val="0049219B"/>
    <w:rsid w:val="00492FCD"/>
    <w:rsid w:val="0049418F"/>
    <w:rsid w:val="00495A34"/>
    <w:rsid w:val="0049640F"/>
    <w:rsid w:val="00497CBC"/>
    <w:rsid w:val="004A2789"/>
    <w:rsid w:val="004A28A7"/>
    <w:rsid w:val="004A4E95"/>
    <w:rsid w:val="004A76C9"/>
    <w:rsid w:val="004C1928"/>
    <w:rsid w:val="004C55DD"/>
    <w:rsid w:val="004C7DFB"/>
    <w:rsid w:val="004D0446"/>
    <w:rsid w:val="004D5BD1"/>
    <w:rsid w:val="004E01F0"/>
    <w:rsid w:val="004E15CC"/>
    <w:rsid w:val="004F1D45"/>
    <w:rsid w:val="004F5078"/>
    <w:rsid w:val="004F56B6"/>
    <w:rsid w:val="0050328D"/>
    <w:rsid w:val="00505D08"/>
    <w:rsid w:val="005105B9"/>
    <w:rsid w:val="005125F0"/>
    <w:rsid w:val="005137C3"/>
    <w:rsid w:val="005167F1"/>
    <w:rsid w:val="00520400"/>
    <w:rsid w:val="0052136D"/>
    <w:rsid w:val="005232E6"/>
    <w:rsid w:val="00525395"/>
    <w:rsid w:val="0052775E"/>
    <w:rsid w:val="005331AC"/>
    <w:rsid w:val="00533FA3"/>
    <w:rsid w:val="0053582A"/>
    <w:rsid w:val="005409DC"/>
    <w:rsid w:val="00540F02"/>
    <w:rsid w:val="0054109A"/>
    <w:rsid w:val="0054150C"/>
    <w:rsid w:val="005420F2"/>
    <w:rsid w:val="00546665"/>
    <w:rsid w:val="005509CD"/>
    <w:rsid w:val="00550D3B"/>
    <w:rsid w:val="0055203E"/>
    <w:rsid w:val="00555470"/>
    <w:rsid w:val="00560BA5"/>
    <w:rsid w:val="00561B68"/>
    <w:rsid w:val="005628B6"/>
    <w:rsid w:val="005640D1"/>
    <w:rsid w:val="00564714"/>
    <w:rsid w:val="00565BE7"/>
    <w:rsid w:val="0056624F"/>
    <w:rsid w:val="005722B3"/>
    <w:rsid w:val="00572DE0"/>
    <w:rsid w:val="0057585A"/>
    <w:rsid w:val="00575BA3"/>
    <w:rsid w:val="00577E84"/>
    <w:rsid w:val="005848B3"/>
    <w:rsid w:val="0059070B"/>
    <w:rsid w:val="00590F87"/>
    <w:rsid w:val="00592C4A"/>
    <w:rsid w:val="005A0415"/>
    <w:rsid w:val="005A206B"/>
    <w:rsid w:val="005A2ACD"/>
    <w:rsid w:val="005B09AE"/>
    <w:rsid w:val="005B15AD"/>
    <w:rsid w:val="005B38A5"/>
    <w:rsid w:val="005B3DB3"/>
    <w:rsid w:val="005B4922"/>
    <w:rsid w:val="005B4F61"/>
    <w:rsid w:val="005B6047"/>
    <w:rsid w:val="005C11C1"/>
    <w:rsid w:val="005C176E"/>
    <w:rsid w:val="005C1C11"/>
    <w:rsid w:val="005C2131"/>
    <w:rsid w:val="005C223E"/>
    <w:rsid w:val="005C413D"/>
    <w:rsid w:val="005C4A9E"/>
    <w:rsid w:val="005C5103"/>
    <w:rsid w:val="005C6779"/>
    <w:rsid w:val="005C7C1C"/>
    <w:rsid w:val="005D0679"/>
    <w:rsid w:val="005D5721"/>
    <w:rsid w:val="005D5AF5"/>
    <w:rsid w:val="005D6331"/>
    <w:rsid w:val="005D7CB5"/>
    <w:rsid w:val="005E021C"/>
    <w:rsid w:val="005E2F71"/>
    <w:rsid w:val="005E5805"/>
    <w:rsid w:val="005E77C5"/>
    <w:rsid w:val="005E783D"/>
    <w:rsid w:val="005F5263"/>
    <w:rsid w:val="005F5699"/>
    <w:rsid w:val="005F7717"/>
    <w:rsid w:val="005F7B75"/>
    <w:rsid w:val="005F7F93"/>
    <w:rsid w:val="006001B0"/>
    <w:rsid w:val="006001EE"/>
    <w:rsid w:val="00605042"/>
    <w:rsid w:val="00607BC1"/>
    <w:rsid w:val="006108E0"/>
    <w:rsid w:val="00611FC4"/>
    <w:rsid w:val="00613FE0"/>
    <w:rsid w:val="006148AF"/>
    <w:rsid w:val="006160CB"/>
    <w:rsid w:val="006176FB"/>
    <w:rsid w:val="006239C9"/>
    <w:rsid w:val="00623FD3"/>
    <w:rsid w:val="0062462D"/>
    <w:rsid w:val="0062630E"/>
    <w:rsid w:val="006274AD"/>
    <w:rsid w:val="00627FB0"/>
    <w:rsid w:val="00631C31"/>
    <w:rsid w:val="00632E25"/>
    <w:rsid w:val="0063379B"/>
    <w:rsid w:val="00636155"/>
    <w:rsid w:val="00640B26"/>
    <w:rsid w:val="00640C76"/>
    <w:rsid w:val="00642AA6"/>
    <w:rsid w:val="00644AD9"/>
    <w:rsid w:val="00645379"/>
    <w:rsid w:val="00645949"/>
    <w:rsid w:val="006507CD"/>
    <w:rsid w:val="0065298C"/>
    <w:rsid w:val="00652D0A"/>
    <w:rsid w:val="00653DBF"/>
    <w:rsid w:val="00654447"/>
    <w:rsid w:val="0065704F"/>
    <w:rsid w:val="00660559"/>
    <w:rsid w:val="006621EA"/>
    <w:rsid w:val="00662BB6"/>
    <w:rsid w:val="006637A4"/>
    <w:rsid w:val="00666CA2"/>
    <w:rsid w:val="00671948"/>
    <w:rsid w:val="00672110"/>
    <w:rsid w:val="006743E9"/>
    <w:rsid w:val="00674B0A"/>
    <w:rsid w:val="00674D65"/>
    <w:rsid w:val="00681702"/>
    <w:rsid w:val="00682284"/>
    <w:rsid w:val="006838C8"/>
    <w:rsid w:val="00684B7A"/>
    <w:rsid w:val="00684C21"/>
    <w:rsid w:val="00685FA6"/>
    <w:rsid w:val="00686487"/>
    <w:rsid w:val="0068743C"/>
    <w:rsid w:val="00692BBE"/>
    <w:rsid w:val="00694AE6"/>
    <w:rsid w:val="006954C6"/>
    <w:rsid w:val="00695991"/>
    <w:rsid w:val="0069763E"/>
    <w:rsid w:val="00697F3E"/>
    <w:rsid w:val="006B346D"/>
    <w:rsid w:val="006B4FA2"/>
    <w:rsid w:val="006B58E5"/>
    <w:rsid w:val="006C0435"/>
    <w:rsid w:val="006C05C1"/>
    <w:rsid w:val="006C3AD1"/>
    <w:rsid w:val="006C65A6"/>
    <w:rsid w:val="006D37AF"/>
    <w:rsid w:val="006D4427"/>
    <w:rsid w:val="006D51D0"/>
    <w:rsid w:val="006D53C0"/>
    <w:rsid w:val="006D5457"/>
    <w:rsid w:val="006E212F"/>
    <w:rsid w:val="006E564B"/>
    <w:rsid w:val="006E5A29"/>
    <w:rsid w:val="006E7191"/>
    <w:rsid w:val="006E7196"/>
    <w:rsid w:val="006F30DF"/>
    <w:rsid w:val="006F464F"/>
    <w:rsid w:val="006F52C5"/>
    <w:rsid w:val="006F6515"/>
    <w:rsid w:val="00703577"/>
    <w:rsid w:val="00705625"/>
    <w:rsid w:val="00706988"/>
    <w:rsid w:val="0071171F"/>
    <w:rsid w:val="00711F00"/>
    <w:rsid w:val="00713C74"/>
    <w:rsid w:val="00715DDD"/>
    <w:rsid w:val="00716EC7"/>
    <w:rsid w:val="00717ADC"/>
    <w:rsid w:val="0072328C"/>
    <w:rsid w:val="0072632A"/>
    <w:rsid w:val="00726A48"/>
    <w:rsid w:val="00727C31"/>
    <w:rsid w:val="007313CC"/>
    <w:rsid w:val="007327D5"/>
    <w:rsid w:val="00734ABE"/>
    <w:rsid w:val="00735CA1"/>
    <w:rsid w:val="00735F4E"/>
    <w:rsid w:val="00736EAD"/>
    <w:rsid w:val="007435F7"/>
    <w:rsid w:val="007449A6"/>
    <w:rsid w:val="00744FFB"/>
    <w:rsid w:val="00746750"/>
    <w:rsid w:val="00746D61"/>
    <w:rsid w:val="007509EB"/>
    <w:rsid w:val="00750FC5"/>
    <w:rsid w:val="0075395D"/>
    <w:rsid w:val="00760B80"/>
    <w:rsid w:val="00762878"/>
    <w:rsid w:val="00762922"/>
    <w:rsid w:val="007629C8"/>
    <w:rsid w:val="00762E39"/>
    <w:rsid w:val="007635DF"/>
    <w:rsid w:val="00764972"/>
    <w:rsid w:val="007661CD"/>
    <w:rsid w:val="00770F3B"/>
    <w:rsid w:val="007734FC"/>
    <w:rsid w:val="007740F1"/>
    <w:rsid w:val="00774ED7"/>
    <w:rsid w:val="00776E5E"/>
    <w:rsid w:val="00777322"/>
    <w:rsid w:val="00781C83"/>
    <w:rsid w:val="0078300D"/>
    <w:rsid w:val="00785DB2"/>
    <w:rsid w:val="0078601B"/>
    <w:rsid w:val="0078676D"/>
    <w:rsid w:val="00787E5D"/>
    <w:rsid w:val="0079034E"/>
    <w:rsid w:val="00792116"/>
    <w:rsid w:val="0079681E"/>
    <w:rsid w:val="007A212F"/>
    <w:rsid w:val="007A36C9"/>
    <w:rsid w:val="007B3302"/>
    <w:rsid w:val="007B412F"/>
    <w:rsid w:val="007B41DA"/>
    <w:rsid w:val="007B6BA5"/>
    <w:rsid w:val="007C1241"/>
    <w:rsid w:val="007C3390"/>
    <w:rsid w:val="007C3FFB"/>
    <w:rsid w:val="007C4F4B"/>
    <w:rsid w:val="007C55BE"/>
    <w:rsid w:val="007C784F"/>
    <w:rsid w:val="007D00CF"/>
    <w:rsid w:val="007D2684"/>
    <w:rsid w:val="007D564F"/>
    <w:rsid w:val="007E0B2D"/>
    <w:rsid w:val="007E0ED5"/>
    <w:rsid w:val="007E4594"/>
    <w:rsid w:val="007E4BBE"/>
    <w:rsid w:val="007E533F"/>
    <w:rsid w:val="007E5EA4"/>
    <w:rsid w:val="007F098E"/>
    <w:rsid w:val="007F12FC"/>
    <w:rsid w:val="007F167F"/>
    <w:rsid w:val="007F2D0D"/>
    <w:rsid w:val="007F3A2C"/>
    <w:rsid w:val="007F4853"/>
    <w:rsid w:val="007F6611"/>
    <w:rsid w:val="00807873"/>
    <w:rsid w:val="0081043C"/>
    <w:rsid w:val="00810457"/>
    <w:rsid w:val="008105B8"/>
    <w:rsid w:val="00811D06"/>
    <w:rsid w:val="008123D2"/>
    <w:rsid w:val="00812971"/>
    <w:rsid w:val="00813327"/>
    <w:rsid w:val="008146B2"/>
    <w:rsid w:val="00816972"/>
    <w:rsid w:val="00816E23"/>
    <w:rsid w:val="00816EE0"/>
    <w:rsid w:val="00817A02"/>
    <w:rsid w:val="008216A5"/>
    <w:rsid w:val="00821A8D"/>
    <w:rsid w:val="008242D7"/>
    <w:rsid w:val="00824C73"/>
    <w:rsid w:val="00824FE2"/>
    <w:rsid w:val="00825659"/>
    <w:rsid w:val="008257B1"/>
    <w:rsid w:val="00825B68"/>
    <w:rsid w:val="00830FF4"/>
    <w:rsid w:val="0083185A"/>
    <w:rsid w:val="00833370"/>
    <w:rsid w:val="008379A8"/>
    <w:rsid w:val="0084033C"/>
    <w:rsid w:val="008406D2"/>
    <w:rsid w:val="0084126F"/>
    <w:rsid w:val="00843767"/>
    <w:rsid w:val="00846666"/>
    <w:rsid w:val="00846D69"/>
    <w:rsid w:val="00847B18"/>
    <w:rsid w:val="00851F2A"/>
    <w:rsid w:val="00856F01"/>
    <w:rsid w:val="00861599"/>
    <w:rsid w:val="00864797"/>
    <w:rsid w:val="008655A1"/>
    <w:rsid w:val="008679D9"/>
    <w:rsid w:val="00870DD6"/>
    <w:rsid w:val="00871051"/>
    <w:rsid w:val="00871750"/>
    <w:rsid w:val="00872F86"/>
    <w:rsid w:val="008730D5"/>
    <w:rsid w:val="00875F71"/>
    <w:rsid w:val="00875FE5"/>
    <w:rsid w:val="00880AF2"/>
    <w:rsid w:val="00883BBF"/>
    <w:rsid w:val="00884FCB"/>
    <w:rsid w:val="0088719B"/>
    <w:rsid w:val="00891792"/>
    <w:rsid w:val="00891C2B"/>
    <w:rsid w:val="00894F53"/>
    <w:rsid w:val="00896597"/>
    <w:rsid w:val="008979B1"/>
    <w:rsid w:val="00897F0A"/>
    <w:rsid w:val="008A09B5"/>
    <w:rsid w:val="008A1DB2"/>
    <w:rsid w:val="008A6B25"/>
    <w:rsid w:val="008A6C4F"/>
    <w:rsid w:val="008A758A"/>
    <w:rsid w:val="008B012F"/>
    <w:rsid w:val="008B2335"/>
    <w:rsid w:val="008B54BD"/>
    <w:rsid w:val="008B629E"/>
    <w:rsid w:val="008C0D17"/>
    <w:rsid w:val="008C1B97"/>
    <w:rsid w:val="008C22CC"/>
    <w:rsid w:val="008C2D84"/>
    <w:rsid w:val="008C3223"/>
    <w:rsid w:val="008C3294"/>
    <w:rsid w:val="008C4B5A"/>
    <w:rsid w:val="008C4EDC"/>
    <w:rsid w:val="008C6E58"/>
    <w:rsid w:val="008C77CB"/>
    <w:rsid w:val="008D0C03"/>
    <w:rsid w:val="008D1459"/>
    <w:rsid w:val="008D1908"/>
    <w:rsid w:val="008D299D"/>
    <w:rsid w:val="008D2A46"/>
    <w:rsid w:val="008E0678"/>
    <w:rsid w:val="008E0CFD"/>
    <w:rsid w:val="008E4C4F"/>
    <w:rsid w:val="008E5A83"/>
    <w:rsid w:val="008E5FF6"/>
    <w:rsid w:val="008E6067"/>
    <w:rsid w:val="008E705E"/>
    <w:rsid w:val="008F0336"/>
    <w:rsid w:val="008F0E3C"/>
    <w:rsid w:val="008F16E4"/>
    <w:rsid w:val="008F1FA8"/>
    <w:rsid w:val="008F381D"/>
    <w:rsid w:val="008F6145"/>
    <w:rsid w:val="00900036"/>
    <w:rsid w:val="009002FE"/>
    <w:rsid w:val="00903876"/>
    <w:rsid w:val="00903FBC"/>
    <w:rsid w:val="009062A7"/>
    <w:rsid w:val="0090637F"/>
    <w:rsid w:val="00910F40"/>
    <w:rsid w:val="00912C08"/>
    <w:rsid w:val="00913616"/>
    <w:rsid w:val="0091377B"/>
    <w:rsid w:val="00914BF5"/>
    <w:rsid w:val="009223CA"/>
    <w:rsid w:val="0092324E"/>
    <w:rsid w:val="00930548"/>
    <w:rsid w:val="00931883"/>
    <w:rsid w:val="009377CE"/>
    <w:rsid w:val="00937F60"/>
    <w:rsid w:val="0094095A"/>
    <w:rsid w:val="00940F93"/>
    <w:rsid w:val="00946696"/>
    <w:rsid w:val="009474F4"/>
    <w:rsid w:val="00951EAC"/>
    <w:rsid w:val="0095347F"/>
    <w:rsid w:val="009568BE"/>
    <w:rsid w:val="0096073F"/>
    <w:rsid w:val="00960911"/>
    <w:rsid w:val="009633D7"/>
    <w:rsid w:val="0096481B"/>
    <w:rsid w:val="00967F59"/>
    <w:rsid w:val="009701C4"/>
    <w:rsid w:val="0097044A"/>
    <w:rsid w:val="0097105F"/>
    <w:rsid w:val="00971663"/>
    <w:rsid w:val="00972C38"/>
    <w:rsid w:val="009735A8"/>
    <w:rsid w:val="00973F26"/>
    <w:rsid w:val="00974EF5"/>
    <w:rsid w:val="009760F3"/>
    <w:rsid w:val="009800FA"/>
    <w:rsid w:val="00980EA8"/>
    <w:rsid w:val="009817F4"/>
    <w:rsid w:val="009873ED"/>
    <w:rsid w:val="009909F5"/>
    <w:rsid w:val="00990FCA"/>
    <w:rsid w:val="0099515D"/>
    <w:rsid w:val="009A0E8D"/>
    <w:rsid w:val="009A19F8"/>
    <w:rsid w:val="009A3DDF"/>
    <w:rsid w:val="009B0FC5"/>
    <w:rsid w:val="009B26E7"/>
    <w:rsid w:val="009B40CC"/>
    <w:rsid w:val="009C162C"/>
    <w:rsid w:val="009C1F95"/>
    <w:rsid w:val="009C3FF1"/>
    <w:rsid w:val="009C4FB2"/>
    <w:rsid w:val="009C60EB"/>
    <w:rsid w:val="009C6DFE"/>
    <w:rsid w:val="009C7D88"/>
    <w:rsid w:val="009D06ED"/>
    <w:rsid w:val="009D1E8D"/>
    <w:rsid w:val="009E2F54"/>
    <w:rsid w:val="009E7D26"/>
    <w:rsid w:val="009F03D3"/>
    <w:rsid w:val="009F2AC1"/>
    <w:rsid w:val="009F5182"/>
    <w:rsid w:val="009F7636"/>
    <w:rsid w:val="00A00A3F"/>
    <w:rsid w:val="00A01489"/>
    <w:rsid w:val="00A018AB"/>
    <w:rsid w:val="00A03ED0"/>
    <w:rsid w:val="00A04AC2"/>
    <w:rsid w:val="00A06DB2"/>
    <w:rsid w:val="00A206FC"/>
    <w:rsid w:val="00A230A0"/>
    <w:rsid w:val="00A232DB"/>
    <w:rsid w:val="00A31B81"/>
    <w:rsid w:val="00A338F1"/>
    <w:rsid w:val="00A33C96"/>
    <w:rsid w:val="00A343D0"/>
    <w:rsid w:val="00A377A8"/>
    <w:rsid w:val="00A41A5C"/>
    <w:rsid w:val="00A42B98"/>
    <w:rsid w:val="00A44487"/>
    <w:rsid w:val="00A44615"/>
    <w:rsid w:val="00A447CC"/>
    <w:rsid w:val="00A4608C"/>
    <w:rsid w:val="00A4728C"/>
    <w:rsid w:val="00A47874"/>
    <w:rsid w:val="00A52DE8"/>
    <w:rsid w:val="00A52FFA"/>
    <w:rsid w:val="00A647C7"/>
    <w:rsid w:val="00A64B40"/>
    <w:rsid w:val="00A65032"/>
    <w:rsid w:val="00A66020"/>
    <w:rsid w:val="00A70EA1"/>
    <w:rsid w:val="00A72C70"/>
    <w:rsid w:val="00A72F22"/>
    <w:rsid w:val="00A7360F"/>
    <w:rsid w:val="00A748A6"/>
    <w:rsid w:val="00A75355"/>
    <w:rsid w:val="00A76648"/>
    <w:rsid w:val="00A769F4"/>
    <w:rsid w:val="00A776B4"/>
    <w:rsid w:val="00A777C5"/>
    <w:rsid w:val="00A777CF"/>
    <w:rsid w:val="00A81D4E"/>
    <w:rsid w:val="00A8224D"/>
    <w:rsid w:val="00A85EA0"/>
    <w:rsid w:val="00A9008E"/>
    <w:rsid w:val="00A90495"/>
    <w:rsid w:val="00A91A32"/>
    <w:rsid w:val="00A938C7"/>
    <w:rsid w:val="00A94361"/>
    <w:rsid w:val="00A95FBA"/>
    <w:rsid w:val="00A96BCF"/>
    <w:rsid w:val="00AA293C"/>
    <w:rsid w:val="00AA2D0D"/>
    <w:rsid w:val="00AA56FB"/>
    <w:rsid w:val="00AA672A"/>
    <w:rsid w:val="00AA6FA4"/>
    <w:rsid w:val="00AB0648"/>
    <w:rsid w:val="00AB19FA"/>
    <w:rsid w:val="00AB2855"/>
    <w:rsid w:val="00AB45A3"/>
    <w:rsid w:val="00AB4CA5"/>
    <w:rsid w:val="00AB5490"/>
    <w:rsid w:val="00AC4B52"/>
    <w:rsid w:val="00AC5012"/>
    <w:rsid w:val="00AC505B"/>
    <w:rsid w:val="00AC6A0A"/>
    <w:rsid w:val="00AD46B8"/>
    <w:rsid w:val="00AD5F15"/>
    <w:rsid w:val="00AE1CFF"/>
    <w:rsid w:val="00AE3A93"/>
    <w:rsid w:val="00AE4730"/>
    <w:rsid w:val="00AE50CE"/>
    <w:rsid w:val="00AE55CB"/>
    <w:rsid w:val="00AE673B"/>
    <w:rsid w:val="00AF0BB7"/>
    <w:rsid w:val="00AF1A44"/>
    <w:rsid w:val="00AF3148"/>
    <w:rsid w:val="00AF34D9"/>
    <w:rsid w:val="00AF5CCF"/>
    <w:rsid w:val="00AF7286"/>
    <w:rsid w:val="00B03884"/>
    <w:rsid w:val="00B04543"/>
    <w:rsid w:val="00B10640"/>
    <w:rsid w:val="00B1156E"/>
    <w:rsid w:val="00B11BC2"/>
    <w:rsid w:val="00B13E9B"/>
    <w:rsid w:val="00B16852"/>
    <w:rsid w:val="00B174D5"/>
    <w:rsid w:val="00B17BD4"/>
    <w:rsid w:val="00B2280C"/>
    <w:rsid w:val="00B23D94"/>
    <w:rsid w:val="00B25D3D"/>
    <w:rsid w:val="00B2683D"/>
    <w:rsid w:val="00B30179"/>
    <w:rsid w:val="00B339A7"/>
    <w:rsid w:val="00B33ABD"/>
    <w:rsid w:val="00B41A37"/>
    <w:rsid w:val="00B41ACB"/>
    <w:rsid w:val="00B42976"/>
    <w:rsid w:val="00B46514"/>
    <w:rsid w:val="00B467BE"/>
    <w:rsid w:val="00B46DF7"/>
    <w:rsid w:val="00B47DB8"/>
    <w:rsid w:val="00B503FD"/>
    <w:rsid w:val="00B55522"/>
    <w:rsid w:val="00B56E4A"/>
    <w:rsid w:val="00B56E9C"/>
    <w:rsid w:val="00B57E30"/>
    <w:rsid w:val="00B60748"/>
    <w:rsid w:val="00B64B1F"/>
    <w:rsid w:val="00B6524C"/>
    <w:rsid w:val="00B6553F"/>
    <w:rsid w:val="00B664AA"/>
    <w:rsid w:val="00B66712"/>
    <w:rsid w:val="00B66E5E"/>
    <w:rsid w:val="00B70BF9"/>
    <w:rsid w:val="00B76950"/>
    <w:rsid w:val="00B77D05"/>
    <w:rsid w:val="00B81206"/>
    <w:rsid w:val="00B8190A"/>
    <w:rsid w:val="00B81E12"/>
    <w:rsid w:val="00B85756"/>
    <w:rsid w:val="00B85AF8"/>
    <w:rsid w:val="00B86C63"/>
    <w:rsid w:val="00B9067B"/>
    <w:rsid w:val="00B915E0"/>
    <w:rsid w:val="00B94491"/>
    <w:rsid w:val="00B95A99"/>
    <w:rsid w:val="00B96623"/>
    <w:rsid w:val="00B968B5"/>
    <w:rsid w:val="00B97074"/>
    <w:rsid w:val="00B97AFE"/>
    <w:rsid w:val="00BA0869"/>
    <w:rsid w:val="00BA434C"/>
    <w:rsid w:val="00BA5934"/>
    <w:rsid w:val="00BB22D5"/>
    <w:rsid w:val="00BB6283"/>
    <w:rsid w:val="00BC01E3"/>
    <w:rsid w:val="00BC2C23"/>
    <w:rsid w:val="00BC48F3"/>
    <w:rsid w:val="00BC5363"/>
    <w:rsid w:val="00BC6E5E"/>
    <w:rsid w:val="00BC74E9"/>
    <w:rsid w:val="00BD5E3E"/>
    <w:rsid w:val="00BD6CE9"/>
    <w:rsid w:val="00BD7BBF"/>
    <w:rsid w:val="00BE26B2"/>
    <w:rsid w:val="00BE4F3F"/>
    <w:rsid w:val="00BE62B5"/>
    <w:rsid w:val="00BF0311"/>
    <w:rsid w:val="00BF4613"/>
    <w:rsid w:val="00BF61C5"/>
    <w:rsid w:val="00BF68A8"/>
    <w:rsid w:val="00BF72FD"/>
    <w:rsid w:val="00C00847"/>
    <w:rsid w:val="00C02E7A"/>
    <w:rsid w:val="00C04639"/>
    <w:rsid w:val="00C065DB"/>
    <w:rsid w:val="00C11092"/>
    <w:rsid w:val="00C11207"/>
    <w:rsid w:val="00C11870"/>
    <w:rsid w:val="00C11A03"/>
    <w:rsid w:val="00C13A0A"/>
    <w:rsid w:val="00C144EC"/>
    <w:rsid w:val="00C20A72"/>
    <w:rsid w:val="00C2284D"/>
    <w:rsid w:val="00C33A42"/>
    <w:rsid w:val="00C34926"/>
    <w:rsid w:val="00C352B5"/>
    <w:rsid w:val="00C418BB"/>
    <w:rsid w:val="00C42190"/>
    <w:rsid w:val="00C44D49"/>
    <w:rsid w:val="00C463DD"/>
    <w:rsid w:val="00C46474"/>
    <w:rsid w:val="00C4724C"/>
    <w:rsid w:val="00C47927"/>
    <w:rsid w:val="00C50356"/>
    <w:rsid w:val="00C50ECF"/>
    <w:rsid w:val="00C53963"/>
    <w:rsid w:val="00C55706"/>
    <w:rsid w:val="00C55779"/>
    <w:rsid w:val="00C56114"/>
    <w:rsid w:val="00C57A10"/>
    <w:rsid w:val="00C606D3"/>
    <w:rsid w:val="00C61C48"/>
    <w:rsid w:val="00C629A0"/>
    <w:rsid w:val="00C703D2"/>
    <w:rsid w:val="00C73736"/>
    <w:rsid w:val="00C745C3"/>
    <w:rsid w:val="00C76890"/>
    <w:rsid w:val="00C7728B"/>
    <w:rsid w:val="00C80234"/>
    <w:rsid w:val="00C803EC"/>
    <w:rsid w:val="00C819E8"/>
    <w:rsid w:val="00C8504E"/>
    <w:rsid w:val="00C85113"/>
    <w:rsid w:val="00C87A7D"/>
    <w:rsid w:val="00C93256"/>
    <w:rsid w:val="00CA69A0"/>
    <w:rsid w:val="00CB351A"/>
    <w:rsid w:val="00CB6E28"/>
    <w:rsid w:val="00CC0BB4"/>
    <w:rsid w:val="00CC5872"/>
    <w:rsid w:val="00CC5F9C"/>
    <w:rsid w:val="00CE4A8F"/>
    <w:rsid w:val="00CE736B"/>
    <w:rsid w:val="00CF1984"/>
    <w:rsid w:val="00CF2621"/>
    <w:rsid w:val="00CF76D6"/>
    <w:rsid w:val="00D009EB"/>
    <w:rsid w:val="00D02C2A"/>
    <w:rsid w:val="00D032ED"/>
    <w:rsid w:val="00D06AB9"/>
    <w:rsid w:val="00D06B7E"/>
    <w:rsid w:val="00D12158"/>
    <w:rsid w:val="00D1315B"/>
    <w:rsid w:val="00D13268"/>
    <w:rsid w:val="00D141CF"/>
    <w:rsid w:val="00D2031B"/>
    <w:rsid w:val="00D257E7"/>
    <w:rsid w:val="00D25FE2"/>
    <w:rsid w:val="00D2637A"/>
    <w:rsid w:val="00D3001F"/>
    <w:rsid w:val="00D30034"/>
    <w:rsid w:val="00D3430C"/>
    <w:rsid w:val="00D35780"/>
    <w:rsid w:val="00D35B7F"/>
    <w:rsid w:val="00D35FCA"/>
    <w:rsid w:val="00D40F39"/>
    <w:rsid w:val="00D43252"/>
    <w:rsid w:val="00D43E06"/>
    <w:rsid w:val="00D46C27"/>
    <w:rsid w:val="00D47EEA"/>
    <w:rsid w:val="00D501D0"/>
    <w:rsid w:val="00D509AE"/>
    <w:rsid w:val="00D51D6E"/>
    <w:rsid w:val="00D53BAD"/>
    <w:rsid w:val="00D543C9"/>
    <w:rsid w:val="00D6148A"/>
    <w:rsid w:val="00D665E8"/>
    <w:rsid w:val="00D729E4"/>
    <w:rsid w:val="00D73CB8"/>
    <w:rsid w:val="00D80EDF"/>
    <w:rsid w:val="00D8432E"/>
    <w:rsid w:val="00D864CC"/>
    <w:rsid w:val="00D872C2"/>
    <w:rsid w:val="00D90F93"/>
    <w:rsid w:val="00D913B0"/>
    <w:rsid w:val="00D9375B"/>
    <w:rsid w:val="00D94BB8"/>
    <w:rsid w:val="00D94CDD"/>
    <w:rsid w:val="00D95303"/>
    <w:rsid w:val="00D96E57"/>
    <w:rsid w:val="00D97597"/>
    <w:rsid w:val="00D975A7"/>
    <w:rsid w:val="00D978C6"/>
    <w:rsid w:val="00DA3111"/>
    <w:rsid w:val="00DA3C1C"/>
    <w:rsid w:val="00DA4BBB"/>
    <w:rsid w:val="00DB0C79"/>
    <w:rsid w:val="00DB2CE7"/>
    <w:rsid w:val="00DB5724"/>
    <w:rsid w:val="00DB5B2F"/>
    <w:rsid w:val="00DC0714"/>
    <w:rsid w:val="00DC0C99"/>
    <w:rsid w:val="00DC465A"/>
    <w:rsid w:val="00DD2848"/>
    <w:rsid w:val="00DD471E"/>
    <w:rsid w:val="00DD593B"/>
    <w:rsid w:val="00DE1DF6"/>
    <w:rsid w:val="00DE76C5"/>
    <w:rsid w:val="00DE79A8"/>
    <w:rsid w:val="00DE7F59"/>
    <w:rsid w:val="00DF0799"/>
    <w:rsid w:val="00DF2729"/>
    <w:rsid w:val="00DF528D"/>
    <w:rsid w:val="00E032F3"/>
    <w:rsid w:val="00E142AF"/>
    <w:rsid w:val="00E15CC1"/>
    <w:rsid w:val="00E17C73"/>
    <w:rsid w:val="00E209FD"/>
    <w:rsid w:val="00E21400"/>
    <w:rsid w:val="00E25E54"/>
    <w:rsid w:val="00E26204"/>
    <w:rsid w:val="00E27346"/>
    <w:rsid w:val="00E30476"/>
    <w:rsid w:val="00E31E79"/>
    <w:rsid w:val="00E34156"/>
    <w:rsid w:val="00E35AD2"/>
    <w:rsid w:val="00E40A07"/>
    <w:rsid w:val="00E41BFE"/>
    <w:rsid w:val="00E4363C"/>
    <w:rsid w:val="00E43D33"/>
    <w:rsid w:val="00E53D02"/>
    <w:rsid w:val="00E601C4"/>
    <w:rsid w:val="00E6074E"/>
    <w:rsid w:val="00E61088"/>
    <w:rsid w:val="00E632CC"/>
    <w:rsid w:val="00E64123"/>
    <w:rsid w:val="00E65396"/>
    <w:rsid w:val="00E65ED3"/>
    <w:rsid w:val="00E67325"/>
    <w:rsid w:val="00E71BC8"/>
    <w:rsid w:val="00E7260F"/>
    <w:rsid w:val="00E74206"/>
    <w:rsid w:val="00E77185"/>
    <w:rsid w:val="00E779FC"/>
    <w:rsid w:val="00E810D7"/>
    <w:rsid w:val="00E848D3"/>
    <w:rsid w:val="00E849B2"/>
    <w:rsid w:val="00E85728"/>
    <w:rsid w:val="00E86349"/>
    <w:rsid w:val="00E921CF"/>
    <w:rsid w:val="00E931CC"/>
    <w:rsid w:val="00E94466"/>
    <w:rsid w:val="00E96630"/>
    <w:rsid w:val="00EA0822"/>
    <w:rsid w:val="00EA31F7"/>
    <w:rsid w:val="00EA4F0B"/>
    <w:rsid w:val="00EB11F3"/>
    <w:rsid w:val="00EB2581"/>
    <w:rsid w:val="00EB5373"/>
    <w:rsid w:val="00EC14EF"/>
    <w:rsid w:val="00EC4B91"/>
    <w:rsid w:val="00ED00FD"/>
    <w:rsid w:val="00ED6970"/>
    <w:rsid w:val="00ED7A2A"/>
    <w:rsid w:val="00ED7E6E"/>
    <w:rsid w:val="00EE09AB"/>
    <w:rsid w:val="00EE37B7"/>
    <w:rsid w:val="00EE5BCE"/>
    <w:rsid w:val="00EE5C7E"/>
    <w:rsid w:val="00EE6929"/>
    <w:rsid w:val="00EF0235"/>
    <w:rsid w:val="00EF0C54"/>
    <w:rsid w:val="00EF1D7A"/>
    <w:rsid w:val="00EF1D7F"/>
    <w:rsid w:val="00EF3514"/>
    <w:rsid w:val="00EF560D"/>
    <w:rsid w:val="00F01F3B"/>
    <w:rsid w:val="00F03190"/>
    <w:rsid w:val="00F03A99"/>
    <w:rsid w:val="00F0403F"/>
    <w:rsid w:val="00F04CDE"/>
    <w:rsid w:val="00F075CC"/>
    <w:rsid w:val="00F17BD5"/>
    <w:rsid w:val="00F20C3D"/>
    <w:rsid w:val="00F21FE3"/>
    <w:rsid w:val="00F22E3E"/>
    <w:rsid w:val="00F24F92"/>
    <w:rsid w:val="00F2653D"/>
    <w:rsid w:val="00F3026E"/>
    <w:rsid w:val="00F31056"/>
    <w:rsid w:val="00F31242"/>
    <w:rsid w:val="00F34D48"/>
    <w:rsid w:val="00F35149"/>
    <w:rsid w:val="00F373CD"/>
    <w:rsid w:val="00F40E60"/>
    <w:rsid w:val="00F41576"/>
    <w:rsid w:val="00F41B9F"/>
    <w:rsid w:val="00F41F7D"/>
    <w:rsid w:val="00F4204E"/>
    <w:rsid w:val="00F4374D"/>
    <w:rsid w:val="00F43E9E"/>
    <w:rsid w:val="00F44820"/>
    <w:rsid w:val="00F46AAF"/>
    <w:rsid w:val="00F52BE2"/>
    <w:rsid w:val="00F53964"/>
    <w:rsid w:val="00F53F5C"/>
    <w:rsid w:val="00F546EA"/>
    <w:rsid w:val="00F60C3B"/>
    <w:rsid w:val="00F70D30"/>
    <w:rsid w:val="00F72A4B"/>
    <w:rsid w:val="00F748B6"/>
    <w:rsid w:val="00F7699C"/>
    <w:rsid w:val="00F82653"/>
    <w:rsid w:val="00F82F23"/>
    <w:rsid w:val="00F8467B"/>
    <w:rsid w:val="00F85733"/>
    <w:rsid w:val="00F86121"/>
    <w:rsid w:val="00F8772A"/>
    <w:rsid w:val="00F9057C"/>
    <w:rsid w:val="00F906D7"/>
    <w:rsid w:val="00F908D7"/>
    <w:rsid w:val="00F90FD3"/>
    <w:rsid w:val="00F93781"/>
    <w:rsid w:val="00F9653B"/>
    <w:rsid w:val="00F9682C"/>
    <w:rsid w:val="00F96BA5"/>
    <w:rsid w:val="00FA1718"/>
    <w:rsid w:val="00FA4D5B"/>
    <w:rsid w:val="00FB148B"/>
    <w:rsid w:val="00FB1800"/>
    <w:rsid w:val="00FB2745"/>
    <w:rsid w:val="00FB45D9"/>
    <w:rsid w:val="00FB5EB5"/>
    <w:rsid w:val="00FB613B"/>
    <w:rsid w:val="00FB78D7"/>
    <w:rsid w:val="00FC0622"/>
    <w:rsid w:val="00FC66FB"/>
    <w:rsid w:val="00FC68B7"/>
    <w:rsid w:val="00FD0381"/>
    <w:rsid w:val="00FD1D08"/>
    <w:rsid w:val="00FD28AF"/>
    <w:rsid w:val="00FD4F04"/>
    <w:rsid w:val="00FD4FB8"/>
    <w:rsid w:val="00FD61DA"/>
    <w:rsid w:val="00FD7CD0"/>
    <w:rsid w:val="00FE106A"/>
    <w:rsid w:val="00FE2B82"/>
    <w:rsid w:val="00FE2E9C"/>
    <w:rsid w:val="00FE5BA0"/>
    <w:rsid w:val="00FF0000"/>
    <w:rsid w:val="00FF4BF4"/>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6A45A"/>
  <w15:docId w15:val="{33426591-823A-4E84-9A7B-81B8647E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5137C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5137C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0084259">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AF02-89E5-47B3-99FD-C8166F6F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7</Pages>
  <Words>2845</Words>
  <Characters>16218</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2015-08-19T07:02:00Z</cp:lastPrinted>
  <dcterms:created xsi:type="dcterms:W3CDTF">2017-01-24T18:52:00Z</dcterms:created>
  <dcterms:modified xsi:type="dcterms:W3CDTF">2017-01-24T18:52:00Z</dcterms:modified>
</cp:coreProperties>
</file>