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08048C4D" w14:textId="77777777" w:rsidTr="00B6553F">
        <w:trPr>
          <w:cantSplit/>
          <w:trHeight w:hRule="exact" w:val="851"/>
        </w:trPr>
        <w:tc>
          <w:tcPr>
            <w:tcW w:w="1276" w:type="dxa"/>
            <w:tcBorders>
              <w:bottom w:val="single" w:sz="4" w:space="0" w:color="auto"/>
            </w:tcBorders>
            <w:vAlign w:val="bottom"/>
          </w:tcPr>
          <w:p w14:paraId="7514498E" w14:textId="77777777" w:rsidR="00B56E9C" w:rsidRPr="00721B06" w:rsidRDefault="00721B06" w:rsidP="00721B06">
            <w:pPr>
              <w:spacing w:line="20" w:lineRule="exact"/>
              <w:rPr>
                <w:sz w:val="2"/>
              </w:rPr>
            </w:pPr>
            <w:r>
              <w:rPr>
                <w:rStyle w:val="CommentReference"/>
              </w:rPr>
              <w:commentReference w:id="0"/>
            </w:r>
            <w:bookmarkStart w:id="1" w:name="_GoBack"/>
            <w:bookmarkEnd w:id="1"/>
          </w:p>
          <w:p w14:paraId="2656D52F" w14:textId="77777777" w:rsidR="00721B06" w:rsidRDefault="00721B06" w:rsidP="00B6553F">
            <w:pPr>
              <w:spacing w:after="80"/>
            </w:pPr>
          </w:p>
        </w:tc>
        <w:tc>
          <w:tcPr>
            <w:tcW w:w="2268" w:type="dxa"/>
            <w:tcBorders>
              <w:bottom w:val="single" w:sz="4" w:space="0" w:color="auto"/>
            </w:tcBorders>
            <w:vAlign w:val="bottom"/>
          </w:tcPr>
          <w:p w14:paraId="6C3D24A5"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0B3AD1B" w14:textId="77777777" w:rsidR="00B56E9C" w:rsidRPr="00D47EEA" w:rsidRDefault="00512547" w:rsidP="00C86BE1">
            <w:pPr>
              <w:jc w:val="right"/>
            </w:pPr>
            <w:r w:rsidRPr="00512547">
              <w:rPr>
                <w:sz w:val="40"/>
              </w:rPr>
              <w:t>CCPR</w:t>
            </w:r>
            <w:r>
              <w:t>/C/11</w:t>
            </w:r>
            <w:r w:rsidR="008E168C">
              <w:t>5</w:t>
            </w:r>
            <w:r>
              <w:t>/D/</w:t>
            </w:r>
            <w:r w:rsidR="008E168C">
              <w:t>2076</w:t>
            </w:r>
            <w:r>
              <w:t>/201</w:t>
            </w:r>
            <w:r w:rsidR="008E168C">
              <w:t>1</w:t>
            </w:r>
          </w:p>
        </w:tc>
      </w:tr>
      <w:tr w:rsidR="00B56E9C" w14:paraId="3822AF01" w14:textId="77777777" w:rsidTr="00B6553F">
        <w:trPr>
          <w:cantSplit/>
          <w:trHeight w:hRule="exact" w:val="2835"/>
        </w:trPr>
        <w:tc>
          <w:tcPr>
            <w:tcW w:w="1276" w:type="dxa"/>
            <w:tcBorders>
              <w:top w:val="single" w:sz="4" w:space="0" w:color="auto"/>
              <w:bottom w:val="single" w:sz="12" w:space="0" w:color="auto"/>
            </w:tcBorders>
          </w:tcPr>
          <w:p w14:paraId="31870EE3" w14:textId="77777777" w:rsidR="00B56E9C" w:rsidRDefault="008D48F4" w:rsidP="00B6553F">
            <w:pPr>
              <w:spacing w:before="120"/>
            </w:pPr>
            <w:r>
              <w:rPr>
                <w:noProof/>
                <w:lang w:val="en-US"/>
              </w:rPr>
              <w:drawing>
                <wp:inline distT="0" distB="0" distL="0" distR="0" wp14:anchorId="17234744" wp14:editId="3F71BEFD">
                  <wp:extent cx="711835" cy="594995"/>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835" cy="59499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52E030" w14:textId="77777777"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14:paraId="776F58BB" w14:textId="77777777" w:rsidR="00B16B00" w:rsidRPr="00267F5F" w:rsidRDefault="00B16B00" w:rsidP="00267F5F">
            <w:pPr>
              <w:spacing w:before="120" w:line="380" w:lineRule="exact"/>
              <w:rPr>
                <w:sz w:val="34"/>
              </w:rPr>
            </w:pPr>
          </w:p>
        </w:tc>
        <w:tc>
          <w:tcPr>
            <w:tcW w:w="2835" w:type="dxa"/>
            <w:tcBorders>
              <w:top w:val="single" w:sz="4" w:space="0" w:color="auto"/>
              <w:bottom w:val="single" w:sz="12" w:space="0" w:color="auto"/>
            </w:tcBorders>
          </w:tcPr>
          <w:p w14:paraId="05ABE47A" w14:textId="77777777" w:rsidR="00B56E9C" w:rsidRDefault="00512547" w:rsidP="00512547">
            <w:pPr>
              <w:spacing w:before="240" w:line="240" w:lineRule="exact"/>
            </w:pPr>
            <w:r>
              <w:t xml:space="preserve">Distr.: </w:t>
            </w:r>
            <w:r w:rsidR="00B16B00">
              <w:t>General</w:t>
            </w:r>
          </w:p>
          <w:p w14:paraId="2E68D2CB" w14:textId="77777777" w:rsidR="00512547" w:rsidRDefault="0041675E" w:rsidP="00512547">
            <w:pPr>
              <w:spacing w:line="240" w:lineRule="exact"/>
            </w:pPr>
            <w:r>
              <w:t>7</w:t>
            </w:r>
            <w:r w:rsidR="0046193D">
              <w:t xml:space="preserve"> December</w:t>
            </w:r>
            <w:r w:rsidR="004D1138">
              <w:t xml:space="preserve"> </w:t>
            </w:r>
            <w:r w:rsidR="00512547">
              <w:t>2015</w:t>
            </w:r>
          </w:p>
          <w:p w14:paraId="066B919D" w14:textId="77777777" w:rsidR="00512547" w:rsidRDefault="00512547" w:rsidP="00512547">
            <w:pPr>
              <w:spacing w:line="240" w:lineRule="exact"/>
            </w:pPr>
          </w:p>
          <w:p w14:paraId="67BDDBAC" w14:textId="77777777" w:rsidR="00512547" w:rsidRDefault="00512547" w:rsidP="00512547">
            <w:pPr>
              <w:spacing w:line="240" w:lineRule="exact"/>
            </w:pPr>
            <w:r>
              <w:t>Original: English</w:t>
            </w:r>
          </w:p>
          <w:p w14:paraId="79A132B1" w14:textId="77777777" w:rsidR="00D721CC" w:rsidRDefault="00D721CC" w:rsidP="00512547">
            <w:pPr>
              <w:spacing w:line="240" w:lineRule="exact"/>
            </w:pPr>
          </w:p>
        </w:tc>
      </w:tr>
    </w:tbl>
    <w:p w14:paraId="25A09933" w14:textId="77777777" w:rsidR="00512547" w:rsidRDefault="00512547" w:rsidP="00512547">
      <w:pPr>
        <w:spacing w:before="120"/>
        <w:rPr>
          <w:b/>
          <w:sz w:val="24"/>
          <w:szCs w:val="24"/>
          <w:lang w:val="en-US"/>
        </w:rPr>
      </w:pPr>
      <w:r w:rsidRPr="008216A5">
        <w:rPr>
          <w:b/>
          <w:sz w:val="24"/>
          <w:szCs w:val="24"/>
          <w:lang w:val="en-US"/>
        </w:rPr>
        <w:t>Human Rights Committee</w:t>
      </w:r>
    </w:p>
    <w:p w14:paraId="1D21F938" w14:textId="77777777" w:rsidR="00E25EC9" w:rsidRDefault="00512547" w:rsidP="000211EE">
      <w:pPr>
        <w:pStyle w:val="HChG"/>
      </w:pPr>
      <w:r>
        <w:tab/>
      </w:r>
      <w:r>
        <w:tab/>
      </w:r>
      <w:r w:rsidR="00E25EC9" w:rsidRPr="000211EE">
        <w:t>Communication</w:t>
      </w:r>
      <w:r w:rsidR="00E25EC9" w:rsidRPr="009E31DB">
        <w:t xml:space="preserve"> No. </w:t>
      </w:r>
      <w:r w:rsidR="008E168C">
        <w:t>2076</w:t>
      </w:r>
      <w:r w:rsidR="00E25EC9">
        <w:t>/201</w:t>
      </w:r>
      <w:r w:rsidR="008E168C">
        <w:t>1</w:t>
      </w:r>
    </w:p>
    <w:p w14:paraId="3B629BF5" w14:textId="77777777" w:rsidR="00E25EC9" w:rsidRPr="009E31DB" w:rsidRDefault="00E25EC9" w:rsidP="000211EE">
      <w:pPr>
        <w:pStyle w:val="H1G"/>
      </w:pPr>
      <w:r>
        <w:tab/>
      </w:r>
      <w:r>
        <w:tab/>
      </w:r>
      <w:r w:rsidR="00B16B00" w:rsidRPr="001B0D13">
        <w:rPr>
          <w:rFonts w:eastAsia="MS Mincho"/>
        </w:rPr>
        <w:t>Views adopted by the Committee at its 115</w:t>
      </w:r>
      <w:r w:rsidR="00B16B00" w:rsidRPr="001A5EC7">
        <w:rPr>
          <w:rFonts w:ascii="Times New Roman Bold" w:eastAsia="MS Mincho" w:hAnsi="Times New Roman Bold" w:cs="Times New Roman Bold"/>
        </w:rPr>
        <w:t>th</w:t>
      </w:r>
      <w:r w:rsidR="00B16B00" w:rsidRPr="001B0D13">
        <w:rPr>
          <w:rFonts w:eastAsia="MS Mincho"/>
        </w:rPr>
        <w:t xml:space="preserve"> session</w:t>
      </w:r>
      <w:r w:rsidR="00B16B00" w:rsidRPr="001B0D13">
        <w:rPr>
          <w:rFonts w:eastAsia="MS Mincho"/>
        </w:rPr>
        <w:br/>
        <w:t>(</w:t>
      </w:r>
      <w:r w:rsidR="00B16B00" w:rsidRPr="001B0D13">
        <w:rPr>
          <w:rFonts w:eastAsia="MS Mincho"/>
          <w:bCs/>
          <w:lang w:val="en-US"/>
        </w:rPr>
        <w:t>19 October-6 November 2015)</w:t>
      </w:r>
    </w:p>
    <w:p w14:paraId="5105CBD6" w14:textId="77777777" w:rsidR="00E25EC9" w:rsidRPr="009E31DB" w:rsidRDefault="00E25EC9" w:rsidP="001A5EC7">
      <w:pPr>
        <w:pStyle w:val="SingleTxtG"/>
        <w:ind w:left="4536" w:hanging="3402"/>
        <w:jc w:val="left"/>
      </w:pPr>
      <w:r w:rsidRPr="009707F5">
        <w:rPr>
          <w:i/>
        </w:rPr>
        <w:t>Submitted by:</w:t>
      </w:r>
      <w:r w:rsidRPr="009E31DB">
        <w:tab/>
      </w:r>
      <w:r w:rsidR="00F507CB" w:rsidRPr="00F507CB">
        <w:t xml:space="preserve">Jan Derzhavtsev </w:t>
      </w:r>
      <w:r w:rsidRPr="009E31DB">
        <w:t>(</w:t>
      </w:r>
      <w:r>
        <w:t xml:space="preserve">not </w:t>
      </w:r>
      <w:r w:rsidRPr="009E31DB">
        <w:t>represented by counsel)</w:t>
      </w:r>
    </w:p>
    <w:p w14:paraId="6669B5AB" w14:textId="77777777" w:rsidR="00E25EC9" w:rsidRPr="009E31DB" w:rsidRDefault="00E25EC9" w:rsidP="001A5EC7">
      <w:pPr>
        <w:pStyle w:val="SingleTxtG"/>
        <w:ind w:left="4536" w:hanging="3402"/>
        <w:jc w:val="left"/>
      </w:pPr>
      <w:r w:rsidRPr="009707F5">
        <w:rPr>
          <w:i/>
        </w:rPr>
        <w:t>Alleged victim:</w:t>
      </w:r>
      <w:r w:rsidR="00730DB9">
        <w:tab/>
        <w:t>T</w:t>
      </w:r>
      <w:r w:rsidRPr="009E31DB">
        <w:t>he author</w:t>
      </w:r>
    </w:p>
    <w:p w14:paraId="006B54AA" w14:textId="77777777" w:rsidR="00E25EC9" w:rsidRPr="009E31DB" w:rsidRDefault="00E25EC9" w:rsidP="001A5EC7">
      <w:pPr>
        <w:pStyle w:val="SingleTxtG"/>
        <w:ind w:left="4536" w:hanging="3402"/>
        <w:jc w:val="left"/>
      </w:pPr>
      <w:r w:rsidRPr="009707F5">
        <w:rPr>
          <w:i/>
        </w:rPr>
        <w:t>State party:</w:t>
      </w:r>
      <w:r w:rsidRPr="009E31DB">
        <w:tab/>
      </w:r>
      <w:r>
        <w:t>Belarus</w:t>
      </w:r>
    </w:p>
    <w:p w14:paraId="309BB4AE" w14:textId="77777777" w:rsidR="00E25EC9" w:rsidRPr="009E31DB" w:rsidRDefault="00E25EC9" w:rsidP="001A5EC7">
      <w:pPr>
        <w:pStyle w:val="SingleTxtG"/>
        <w:ind w:left="4536" w:hanging="3402"/>
        <w:jc w:val="left"/>
      </w:pPr>
      <w:r w:rsidRPr="009707F5">
        <w:rPr>
          <w:i/>
        </w:rPr>
        <w:t>Date of communication:</w:t>
      </w:r>
      <w:r w:rsidRPr="009E31DB">
        <w:tab/>
      </w:r>
      <w:r w:rsidR="00F507CB">
        <w:t>9</w:t>
      </w:r>
      <w:r>
        <w:t xml:space="preserve"> March 201</w:t>
      </w:r>
      <w:r w:rsidR="00F507CB">
        <w:t>1</w:t>
      </w:r>
      <w:r w:rsidRPr="009E31DB">
        <w:t xml:space="preserve"> (initial submission)</w:t>
      </w:r>
      <w:r w:rsidRPr="009E31DB">
        <w:tab/>
      </w:r>
    </w:p>
    <w:p w14:paraId="606F5685" w14:textId="77777777" w:rsidR="00E25EC9" w:rsidRPr="009E31DB" w:rsidRDefault="00E25EC9" w:rsidP="001A5EC7">
      <w:pPr>
        <w:pStyle w:val="SingleTxtG"/>
        <w:ind w:left="4536" w:hanging="3402"/>
        <w:jc w:val="left"/>
      </w:pPr>
      <w:r w:rsidRPr="009707F5">
        <w:rPr>
          <w:i/>
        </w:rPr>
        <w:t>Document references:</w:t>
      </w:r>
      <w:r w:rsidRPr="009E31DB">
        <w:tab/>
        <w:t xml:space="preserve">Special Rapporteur’s rule 97 decision, transmitted to the State party on </w:t>
      </w:r>
      <w:r>
        <w:t xml:space="preserve">27 September 2010 </w:t>
      </w:r>
      <w:r w:rsidRPr="009E31DB">
        <w:t xml:space="preserve">(not issued in </w:t>
      </w:r>
      <w:r>
        <w:t xml:space="preserve">a </w:t>
      </w:r>
      <w:r w:rsidRPr="009E31DB">
        <w:t>document form)</w:t>
      </w:r>
    </w:p>
    <w:p w14:paraId="2A571375" w14:textId="77777777" w:rsidR="00E25EC9" w:rsidRDefault="00E25EC9" w:rsidP="001A5EC7">
      <w:pPr>
        <w:pStyle w:val="SingleTxtG"/>
        <w:ind w:left="4536" w:hanging="3402"/>
        <w:jc w:val="left"/>
      </w:pPr>
      <w:r w:rsidRPr="009707F5">
        <w:rPr>
          <w:i/>
        </w:rPr>
        <w:t>Date of adoption of Views:</w:t>
      </w:r>
      <w:r w:rsidRPr="009E31DB">
        <w:tab/>
      </w:r>
      <w:r w:rsidR="0028370C">
        <w:t>29</w:t>
      </w:r>
      <w:r w:rsidRPr="009E31DB">
        <w:t xml:space="preserve"> </w:t>
      </w:r>
      <w:r w:rsidR="00F507CB">
        <w:t>October</w:t>
      </w:r>
      <w:r w:rsidRPr="009E31DB">
        <w:t xml:space="preserve"> 201</w:t>
      </w:r>
      <w:r>
        <w:t>5</w:t>
      </w:r>
    </w:p>
    <w:p w14:paraId="69923748" w14:textId="77777777" w:rsidR="00E25EC9" w:rsidRPr="005A7A32" w:rsidRDefault="00D47512" w:rsidP="001A5EC7">
      <w:pPr>
        <w:pStyle w:val="SingleTxtG"/>
        <w:ind w:left="4536" w:hanging="3402"/>
        <w:jc w:val="left"/>
      </w:pPr>
      <w:r w:rsidRPr="009E31DB">
        <w:rPr>
          <w:i/>
          <w:iCs/>
        </w:rPr>
        <w:t xml:space="preserve">Subject </w:t>
      </w:r>
      <w:r w:rsidRPr="00E25EC9">
        <w:rPr>
          <w:i/>
        </w:rPr>
        <w:t>matter</w:t>
      </w:r>
      <w:r w:rsidRPr="009E31DB">
        <w:rPr>
          <w:i/>
          <w:iCs/>
        </w:rPr>
        <w:t>:</w:t>
      </w:r>
      <w:r w:rsidRPr="009E31DB">
        <w:tab/>
      </w:r>
      <w:r>
        <w:t>R</w:t>
      </w:r>
      <w:r w:rsidRPr="002D60F9">
        <w:t xml:space="preserve">ight to </w:t>
      </w:r>
      <w:r>
        <w:t>freedom of expression</w:t>
      </w:r>
      <w:r w:rsidRPr="002D60F9">
        <w:t>; right of peaceful assembly</w:t>
      </w:r>
    </w:p>
    <w:p w14:paraId="295FC5CF" w14:textId="77777777" w:rsidR="00E25EC9" w:rsidRPr="005A7A32" w:rsidRDefault="00E25EC9" w:rsidP="001A5EC7">
      <w:pPr>
        <w:pStyle w:val="SingleTxtG"/>
        <w:ind w:left="4536" w:hanging="3402"/>
        <w:jc w:val="left"/>
      </w:pPr>
      <w:r w:rsidRPr="005336E5">
        <w:rPr>
          <w:i/>
          <w:iCs/>
        </w:rPr>
        <w:t xml:space="preserve">Procedural issues: </w:t>
      </w:r>
      <w:r w:rsidRPr="005336E5">
        <w:rPr>
          <w:i/>
          <w:iCs/>
        </w:rPr>
        <w:tab/>
      </w:r>
      <w:r w:rsidRPr="005336E5">
        <w:rPr>
          <w:iCs/>
        </w:rPr>
        <w:t>State party’s lack of cooperation</w:t>
      </w:r>
      <w:r w:rsidR="0032080D">
        <w:rPr>
          <w:iCs/>
        </w:rPr>
        <w:t>;</w:t>
      </w:r>
      <w:r w:rsidRPr="005336E5">
        <w:rPr>
          <w:iCs/>
        </w:rPr>
        <w:t xml:space="preserve"> exhaustion of domestic remedies</w:t>
      </w:r>
    </w:p>
    <w:p w14:paraId="5A346B51" w14:textId="77777777" w:rsidR="00E25EC9" w:rsidRDefault="00E25EC9" w:rsidP="001A5EC7">
      <w:pPr>
        <w:pStyle w:val="SingleTxtG"/>
        <w:ind w:left="4536" w:hanging="3402"/>
        <w:jc w:val="left"/>
        <w:rPr>
          <w:i/>
          <w:iCs/>
        </w:rPr>
      </w:pPr>
      <w:r w:rsidRPr="005A7A32">
        <w:rPr>
          <w:i/>
          <w:iCs/>
        </w:rPr>
        <w:t xml:space="preserve">Substantive issues: </w:t>
      </w:r>
      <w:r w:rsidRPr="005A7A32">
        <w:rPr>
          <w:i/>
          <w:iCs/>
        </w:rPr>
        <w:tab/>
      </w:r>
      <w:r>
        <w:t>F</w:t>
      </w:r>
      <w:r w:rsidRPr="002D60F9">
        <w:t>reedom of expression; peaceful assembly</w:t>
      </w:r>
    </w:p>
    <w:p w14:paraId="2805E974" w14:textId="77777777" w:rsidR="00E25EC9" w:rsidRPr="005A7A32" w:rsidRDefault="00E25EC9" w:rsidP="001A5EC7">
      <w:pPr>
        <w:pStyle w:val="SingleTxtG"/>
        <w:ind w:left="4536" w:hanging="3402"/>
        <w:jc w:val="left"/>
      </w:pPr>
      <w:r w:rsidRPr="005A7A32">
        <w:rPr>
          <w:i/>
          <w:iCs/>
        </w:rPr>
        <w:t>Articles of the Covenant:</w:t>
      </w:r>
      <w:r w:rsidRPr="005A7A32">
        <w:t xml:space="preserve"> </w:t>
      </w:r>
      <w:r w:rsidRPr="005A7A32">
        <w:tab/>
      </w:r>
      <w:r w:rsidRPr="002D60F9">
        <w:t>19</w:t>
      </w:r>
      <w:r>
        <w:t xml:space="preserve"> </w:t>
      </w:r>
      <w:r w:rsidR="0032080D">
        <w:t>(</w:t>
      </w:r>
      <w:r>
        <w:t>2</w:t>
      </w:r>
      <w:r w:rsidR="0032080D">
        <w:t>)</w:t>
      </w:r>
      <w:r w:rsidR="0081487D">
        <w:t xml:space="preserve"> and</w:t>
      </w:r>
      <w:r w:rsidRPr="002D60F9">
        <w:t xml:space="preserve"> 21</w:t>
      </w:r>
    </w:p>
    <w:p w14:paraId="05D9D79E" w14:textId="77777777" w:rsidR="00E25EC9" w:rsidRPr="00EE07B9" w:rsidRDefault="00E25EC9" w:rsidP="001A5EC7">
      <w:pPr>
        <w:pStyle w:val="SingleTxtG"/>
        <w:ind w:left="4536" w:hanging="3402"/>
        <w:jc w:val="left"/>
      </w:pPr>
      <w:r w:rsidRPr="00E25EC9">
        <w:rPr>
          <w:i/>
          <w:iCs/>
        </w:rPr>
        <w:t>Articles of the Optional Protocol</w:t>
      </w:r>
      <w:r w:rsidRPr="00E25EC9">
        <w:rPr>
          <w:i/>
        </w:rPr>
        <w:t>:</w:t>
      </w:r>
      <w:r>
        <w:tab/>
        <w:t>2 and 5</w:t>
      </w:r>
      <w:r w:rsidR="0032080D">
        <w:t> (</w:t>
      </w:r>
      <w:r>
        <w:t>2</w:t>
      </w:r>
      <w:r w:rsidR="0032080D">
        <w:t>) </w:t>
      </w:r>
      <w:r>
        <w:t>(b)</w:t>
      </w:r>
    </w:p>
    <w:p w14:paraId="11317F06" w14:textId="77777777" w:rsidR="00E25EC9" w:rsidRPr="009E31DB" w:rsidRDefault="00E25EC9" w:rsidP="00E25EC9">
      <w:pPr>
        <w:pStyle w:val="HChG"/>
      </w:pPr>
      <w:r w:rsidRPr="009E31DB">
        <w:br w:type="page"/>
      </w:r>
      <w:r w:rsidRPr="009E31DB">
        <w:lastRenderedPageBreak/>
        <w:t>Ann</w:t>
      </w:r>
      <w:r w:rsidRPr="00E25EC9">
        <w:t>e</w:t>
      </w:r>
      <w:r w:rsidRPr="009E31DB">
        <w:t>x</w:t>
      </w:r>
    </w:p>
    <w:p w14:paraId="32E2CC9E" w14:textId="77777777" w:rsidR="00E25EC9" w:rsidRPr="009E31DB" w:rsidRDefault="00E25EC9" w:rsidP="00D63FB3">
      <w:pPr>
        <w:pStyle w:val="HChG"/>
        <w:rPr>
          <w:bCs/>
        </w:rPr>
      </w:pPr>
      <w:r>
        <w:tab/>
      </w:r>
      <w:r>
        <w:tab/>
      </w:r>
      <w:r w:rsidRPr="009E31DB">
        <w:t xml:space="preserve">Views </w:t>
      </w:r>
      <w:r w:rsidRPr="00E25EC9">
        <w:t>of</w:t>
      </w:r>
      <w:r w:rsidRPr="009E31DB">
        <w:t xml:space="preserve"> the Human Rights Committee under article 5 </w:t>
      </w:r>
      <w:r w:rsidR="0032080D">
        <w:t>(</w:t>
      </w:r>
      <w:r w:rsidRPr="009E31DB">
        <w:t>4</w:t>
      </w:r>
      <w:r w:rsidR="0032080D">
        <w:t>)</w:t>
      </w:r>
      <w:r w:rsidRPr="009E31DB">
        <w:t xml:space="preserve"> of the Optional Protocol to the International C</w:t>
      </w:r>
      <w:r>
        <w:t>ovenant on Civil and Political R</w:t>
      </w:r>
      <w:r w:rsidRPr="009E31DB">
        <w:t>ights (</w:t>
      </w:r>
      <w:r>
        <w:t>11</w:t>
      </w:r>
      <w:r w:rsidR="004D1138">
        <w:t>5</w:t>
      </w:r>
      <w:r>
        <w:t xml:space="preserve">th </w:t>
      </w:r>
      <w:r w:rsidRPr="009E31DB">
        <w:rPr>
          <w:bCs/>
        </w:rPr>
        <w:t>session)</w:t>
      </w:r>
    </w:p>
    <w:p w14:paraId="41D08F28" w14:textId="77777777" w:rsidR="00E25EC9" w:rsidRPr="009E31DB" w:rsidRDefault="00B44C9A" w:rsidP="00E25EC9">
      <w:pPr>
        <w:pStyle w:val="SingleTxtG"/>
        <w:ind w:left="0"/>
        <w:rPr>
          <w:b/>
          <w:bCs/>
        </w:rPr>
      </w:pPr>
      <w:r>
        <w:tab/>
      </w:r>
      <w:r>
        <w:tab/>
      </w:r>
      <w:r w:rsidR="00E25EC9" w:rsidRPr="009E31DB">
        <w:t>concerning</w:t>
      </w:r>
    </w:p>
    <w:p w14:paraId="7910CF7D" w14:textId="77777777" w:rsidR="00E25EC9" w:rsidRPr="009E31DB" w:rsidRDefault="00E25EC9" w:rsidP="00E25EC9">
      <w:pPr>
        <w:pStyle w:val="H1G"/>
      </w:pPr>
      <w:r>
        <w:tab/>
      </w:r>
      <w:r>
        <w:tab/>
      </w:r>
      <w:r w:rsidRPr="00E25EC9">
        <w:t>Communication</w:t>
      </w:r>
      <w:r w:rsidRPr="009E31DB">
        <w:t xml:space="preserve"> No. </w:t>
      </w:r>
      <w:r w:rsidR="008E168C">
        <w:t>2076</w:t>
      </w:r>
      <w:r>
        <w:t>/201</w:t>
      </w:r>
      <w:r w:rsidR="008E168C">
        <w:t>1</w:t>
      </w:r>
      <w:r w:rsidR="00B16B00" w:rsidRPr="001A5EC7">
        <w:rPr>
          <w:rStyle w:val="FootnoteReference"/>
          <w:b w:val="0"/>
          <w:bCs/>
          <w:sz w:val="20"/>
          <w:vertAlign w:val="baseline"/>
        </w:rPr>
        <w:footnoteReference w:customMarkFollows="1" w:id="2"/>
        <w:t>*</w:t>
      </w:r>
    </w:p>
    <w:p w14:paraId="14F4E613" w14:textId="77777777" w:rsidR="00E25EC9" w:rsidRDefault="00E25EC9" w:rsidP="00E25EC9">
      <w:pPr>
        <w:pStyle w:val="SingleTxtG"/>
        <w:ind w:left="4536" w:hanging="3402"/>
      </w:pPr>
      <w:r w:rsidRPr="00E25EC9">
        <w:rPr>
          <w:i/>
          <w:iCs/>
        </w:rPr>
        <w:t>Submitted</w:t>
      </w:r>
      <w:r w:rsidRPr="009707F5">
        <w:rPr>
          <w:i/>
        </w:rPr>
        <w:t xml:space="preserve"> by:</w:t>
      </w:r>
      <w:r w:rsidRPr="009E31DB">
        <w:tab/>
      </w:r>
      <w:r w:rsidR="00FA0C59">
        <w:t>Jan Derzhavtsev</w:t>
      </w:r>
      <w:r>
        <w:t xml:space="preserve"> </w:t>
      </w:r>
      <w:r w:rsidRPr="00E76216">
        <w:t>(</w:t>
      </w:r>
      <w:r w:rsidR="00371B24">
        <w:t xml:space="preserve">not </w:t>
      </w:r>
      <w:r w:rsidRPr="00E76216">
        <w:t>represented by counsel)</w:t>
      </w:r>
    </w:p>
    <w:p w14:paraId="122B1D87" w14:textId="77777777" w:rsidR="00E25EC9" w:rsidRPr="009E31DB" w:rsidRDefault="00E25EC9" w:rsidP="00E25EC9">
      <w:pPr>
        <w:pStyle w:val="SingleTxtG"/>
        <w:ind w:left="4536" w:hanging="3402"/>
      </w:pPr>
      <w:r w:rsidRPr="009707F5">
        <w:rPr>
          <w:i/>
        </w:rPr>
        <w:t xml:space="preserve">Alleged </w:t>
      </w:r>
      <w:r w:rsidRPr="00E25EC9">
        <w:rPr>
          <w:i/>
          <w:iCs/>
        </w:rPr>
        <w:t>victim</w:t>
      </w:r>
      <w:r w:rsidRPr="009707F5">
        <w:rPr>
          <w:i/>
        </w:rPr>
        <w:t>:</w:t>
      </w:r>
      <w:r w:rsidRPr="009E31DB">
        <w:tab/>
      </w:r>
      <w:r w:rsidR="00730DB9">
        <w:t>T</w:t>
      </w:r>
      <w:r w:rsidRPr="009E31DB">
        <w:t>he author</w:t>
      </w:r>
    </w:p>
    <w:p w14:paraId="1B18877B" w14:textId="77777777" w:rsidR="00E25EC9" w:rsidRPr="009E31DB" w:rsidRDefault="00E25EC9" w:rsidP="00E25EC9">
      <w:pPr>
        <w:pStyle w:val="SingleTxtG"/>
        <w:ind w:left="4536" w:hanging="3402"/>
      </w:pPr>
      <w:r w:rsidRPr="009707F5">
        <w:rPr>
          <w:i/>
        </w:rPr>
        <w:t xml:space="preserve">State </w:t>
      </w:r>
      <w:r w:rsidRPr="00E25EC9">
        <w:rPr>
          <w:i/>
          <w:iCs/>
        </w:rPr>
        <w:t>party</w:t>
      </w:r>
      <w:r w:rsidRPr="009707F5">
        <w:rPr>
          <w:i/>
        </w:rPr>
        <w:t>:</w:t>
      </w:r>
      <w:r w:rsidRPr="009E31DB">
        <w:tab/>
      </w:r>
      <w:r>
        <w:tab/>
        <w:t>Belarus</w:t>
      </w:r>
    </w:p>
    <w:p w14:paraId="17123F72" w14:textId="77777777" w:rsidR="00E25EC9" w:rsidRPr="009E31DB" w:rsidRDefault="00E25EC9" w:rsidP="00E25EC9">
      <w:pPr>
        <w:pStyle w:val="SingleTxtG"/>
        <w:ind w:left="4536" w:hanging="3402"/>
      </w:pPr>
      <w:r w:rsidRPr="009707F5">
        <w:rPr>
          <w:i/>
        </w:rPr>
        <w:t xml:space="preserve">Date </w:t>
      </w:r>
      <w:r w:rsidRPr="00E25EC9">
        <w:rPr>
          <w:i/>
          <w:iCs/>
        </w:rPr>
        <w:t>of</w:t>
      </w:r>
      <w:r w:rsidRPr="009707F5">
        <w:rPr>
          <w:i/>
        </w:rPr>
        <w:t xml:space="preserve"> communication:</w:t>
      </w:r>
      <w:r w:rsidRPr="009E31DB">
        <w:tab/>
      </w:r>
      <w:r w:rsidR="00FA0C59">
        <w:t>9</w:t>
      </w:r>
      <w:r>
        <w:t xml:space="preserve"> March 201</w:t>
      </w:r>
      <w:r w:rsidR="00FA0C59">
        <w:t>1</w:t>
      </w:r>
      <w:r w:rsidRPr="009E31DB">
        <w:t xml:space="preserve"> </w:t>
      </w:r>
      <w:r w:rsidRPr="00E76216">
        <w:t>(initial submission)</w:t>
      </w:r>
    </w:p>
    <w:p w14:paraId="3218B003" w14:textId="77777777" w:rsidR="00E25EC9" w:rsidRPr="009E31DB" w:rsidRDefault="00E25EC9" w:rsidP="00E25EC9">
      <w:pPr>
        <w:pStyle w:val="SingleTxtG"/>
      </w:pPr>
      <w:r w:rsidRPr="009E31DB">
        <w:tab/>
      </w:r>
      <w:r w:rsidRPr="009707F5">
        <w:rPr>
          <w:i/>
        </w:rPr>
        <w:t>The Human Rights Committee</w:t>
      </w:r>
      <w:r w:rsidRPr="009E31DB">
        <w:t xml:space="preserve">, </w:t>
      </w:r>
      <w:r w:rsidRPr="00E25EC9">
        <w:t>established</w:t>
      </w:r>
      <w:r w:rsidRPr="009E31DB">
        <w:t xml:space="preserve"> under article 28 of the International Covenant on Civil and Political Rights, </w:t>
      </w:r>
    </w:p>
    <w:p w14:paraId="78253462" w14:textId="77777777" w:rsidR="00E25EC9" w:rsidRPr="009E31DB" w:rsidRDefault="00E25EC9" w:rsidP="00E25EC9">
      <w:pPr>
        <w:pStyle w:val="SingleTxtG"/>
      </w:pPr>
      <w:r w:rsidRPr="009E31DB">
        <w:tab/>
      </w:r>
      <w:r w:rsidRPr="009707F5">
        <w:rPr>
          <w:i/>
        </w:rPr>
        <w:t xml:space="preserve">Meeting </w:t>
      </w:r>
      <w:r w:rsidRPr="001A5EC7">
        <w:rPr>
          <w:iCs/>
        </w:rPr>
        <w:t>on</w:t>
      </w:r>
      <w:r w:rsidRPr="009E31DB">
        <w:t xml:space="preserve"> </w:t>
      </w:r>
      <w:r w:rsidR="0028370C">
        <w:t>29</w:t>
      </w:r>
      <w:r w:rsidRPr="009E31DB">
        <w:t xml:space="preserve"> </w:t>
      </w:r>
      <w:r w:rsidR="008D48F4">
        <w:t>October</w:t>
      </w:r>
      <w:r w:rsidRPr="009E31DB">
        <w:t xml:space="preserve"> 201</w:t>
      </w:r>
      <w:r>
        <w:t>5</w:t>
      </w:r>
      <w:r w:rsidRPr="009E31DB">
        <w:t>,</w:t>
      </w:r>
    </w:p>
    <w:p w14:paraId="465796E0" w14:textId="77777777" w:rsidR="00E25EC9" w:rsidRPr="009E31DB" w:rsidRDefault="00E25EC9" w:rsidP="00D63FB3">
      <w:pPr>
        <w:pStyle w:val="SingleTxtG"/>
      </w:pPr>
      <w:r w:rsidRPr="009E31DB">
        <w:tab/>
      </w:r>
      <w:r w:rsidRPr="009707F5">
        <w:rPr>
          <w:i/>
        </w:rPr>
        <w:t>Having concluded</w:t>
      </w:r>
      <w:r w:rsidRPr="009E31DB">
        <w:t xml:space="preserve"> its consideration of communication No. </w:t>
      </w:r>
      <w:r w:rsidR="004D1138">
        <w:t>2076/2011</w:t>
      </w:r>
      <w:r w:rsidRPr="009E31DB">
        <w:t xml:space="preserve">, submitted to </w:t>
      </w:r>
      <w:r w:rsidR="0032080D">
        <w:t>it</w:t>
      </w:r>
      <w:r>
        <w:t xml:space="preserve"> by </w:t>
      </w:r>
      <w:r w:rsidR="00FA0C59" w:rsidRPr="00FA0C59">
        <w:t xml:space="preserve">Jan Derzhavtsev </w:t>
      </w:r>
      <w:r w:rsidRPr="009E31DB">
        <w:t>under the Optional Protocol to the International Covenant on Civil and Political Rights,</w:t>
      </w:r>
    </w:p>
    <w:p w14:paraId="2943F235" w14:textId="77777777" w:rsidR="00E25EC9" w:rsidRPr="009E31DB" w:rsidRDefault="00E25EC9" w:rsidP="00E25EC9">
      <w:pPr>
        <w:pStyle w:val="SingleTxtG"/>
      </w:pPr>
      <w:r w:rsidRPr="009E31DB">
        <w:tab/>
      </w:r>
      <w:r w:rsidRPr="009707F5">
        <w:rPr>
          <w:i/>
        </w:rPr>
        <w:t>Having taken into account</w:t>
      </w:r>
      <w:r w:rsidRPr="009E31DB">
        <w:t xml:space="preserve"> all written information made available to it by the author of the communication and the State party,</w:t>
      </w:r>
    </w:p>
    <w:p w14:paraId="2EAFA522" w14:textId="77777777" w:rsidR="00E25EC9" w:rsidRPr="009E31DB" w:rsidRDefault="00E25EC9" w:rsidP="00E25EC9">
      <w:pPr>
        <w:pStyle w:val="SingleTxtG"/>
      </w:pPr>
      <w:r w:rsidRPr="009E31DB">
        <w:tab/>
      </w:r>
      <w:r w:rsidRPr="009707F5">
        <w:rPr>
          <w:i/>
        </w:rPr>
        <w:t xml:space="preserve">Adopts </w:t>
      </w:r>
      <w:r w:rsidRPr="001A5EC7">
        <w:rPr>
          <w:iCs/>
        </w:rPr>
        <w:t>the following</w:t>
      </w:r>
      <w:r w:rsidRPr="009E31DB">
        <w:t>:</w:t>
      </w:r>
    </w:p>
    <w:p w14:paraId="235EE6F0" w14:textId="77777777" w:rsidR="00E25EC9" w:rsidRPr="009E31DB" w:rsidRDefault="00E25EC9" w:rsidP="00D63FB3">
      <w:pPr>
        <w:pStyle w:val="H1G"/>
      </w:pPr>
      <w:r>
        <w:tab/>
      </w:r>
      <w:r>
        <w:tab/>
      </w:r>
      <w:r w:rsidRPr="009E31DB">
        <w:t xml:space="preserve">Views under </w:t>
      </w:r>
      <w:r w:rsidRPr="00E25EC9">
        <w:t>article</w:t>
      </w:r>
      <w:r w:rsidRPr="009E31DB">
        <w:t xml:space="preserve"> 5 </w:t>
      </w:r>
      <w:r w:rsidR="0032080D">
        <w:t>(</w:t>
      </w:r>
      <w:r w:rsidRPr="009E31DB">
        <w:t>4</w:t>
      </w:r>
      <w:r w:rsidR="0032080D">
        <w:t>)</w:t>
      </w:r>
      <w:r w:rsidRPr="009E31DB">
        <w:t xml:space="preserve"> of the Optional Protocol</w:t>
      </w:r>
    </w:p>
    <w:p w14:paraId="0ACE5A03" w14:textId="77777777" w:rsidR="00E25EC9" w:rsidRDefault="00E25EC9" w:rsidP="00CE05F0">
      <w:pPr>
        <w:pStyle w:val="SingleTxtG"/>
      </w:pPr>
      <w:r>
        <w:t>1.1</w:t>
      </w:r>
      <w:r>
        <w:tab/>
      </w:r>
      <w:r w:rsidRPr="00822BA7">
        <w:t xml:space="preserve">The author is </w:t>
      </w:r>
      <w:r w:rsidR="00FA0C59" w:rsidRPr="00FA0C59">
        <w:t>Jan Derzhavtsev</w:t>
      </w:r>
      <w:r w:rsidRPr="00822BA7">
        <w:t xml:space="preserve">, a </w:t>
      </w:r>
      <w:r>
        <w:t>Belarusian</w:t>
      </w:r>
      <w:r w:rsidRPr="00822BA7">
        <w:t xml:space="preserve"> national born in </w:t>
      </w:r>
      <w:r>
        <w:t>19</w:t>
      </w:r>
      <w:r w:rsidR="00FA0C59">
        <w:t>50</w:t>
      </w:r>
      <w:r w:rsidRPr="00822BA7">
        <w:t xml:space="preserve">. </w:t>
      </w:r>
      <w:r>
        <w:t>He</w:t>
      </w:r>
      <w:r w:rsidRPr="00822BA7">
        <w:t xml:space="preserve"> claims to be a victim of </w:t>
      </w:r>
      <w:r>
        <w:t xml:space="preserve">a </w:t>
      </w:r>
      <w:r w:rsidRPr="00822BA7">
        <w:t xml:space="preserve">violation by </w:t>
      </w:r>
      <w:r>
        <w:t>Belarus</w:t>
      </w:r>
      <w:r w:rsidRPr="00822BA7">
        <w:t xml:space="preserve"> of </w:t>
      </w:r>
      <w:r>
        <w:t>his</w:t>
      </w:r>
      <w:r w:rsidRPr="00822BA7">
        <w:t xml:space="preserve"> rights under article</w:t>
      </w:r>
      <w:r w:rsidR="00D63FB3">
        <w:t>s</w:t>
      </w:r>
      <w:r>
        <w:t xml:space="preserve"> 19</w:t>
      </w:r>
      <w:r w:rsidR="00453664">
        <w:t> </w:t>
      </w:r>
      <w:r w:rsidR="00D63FB3">
        <w:t>(</w:t>
      </w:r>
      <w:r>
        <w:t>2</w:t>
      </w:r>
      <w:r w:rsidR="00D63FB3">
        <w:t>)</w:t>
      </w:r>
      <w:r>
        <w:t xml:space="preserve"> and 21</w:t>
      </w:r>
      <w:r w:rsidRPr="00822BA7">
        <w:t xml:space="preserve"> of the Covenant.</w:t>
      </w:r>
      <w:r w:rsidR="00721B07">
        <w:t xml:space="preserve"> </w:t>
      </w:r>
      <w:r w:rsidR="00721B07" w:rsidRPr="00AE65AB">
        <w:t>The Optional Protocol entered into force for the State party on 30 December 1992.</w:t>
      </w:r>
    </w:p>
    <w:p w14:paraId="295FC9E2" w14:textId="77777777" w:rsidR="009A39F2" w:rsidRDefault="0033077D" w:rsidP="00E25EC9">
      <w:pPr>
        <w:pStyle w:val="SingleTxtG"/>
      </w:pPr>
      <w:r>
        <w:t>1.2</w:t>
      </w:r>
      <w:r>
        <w:tab/>
      </w:r>
      <w:r w:rsidR="000C5D5C" w:rsidRPr="000C5D5C">
        <w:t>On 1</w:t>
      </w:r>
      <w:r w:rsidR="000C5D5C">
        <w:t>2</w:t>
      </w:r>
      <w:r w:rsidR="000C5D5C" w:rsidRPr="000C5D5C">
        <w:t xml:space="preserve"> J</w:t>
      </w:r>
      <w:r w:rsidR="000C5D5C">
        <w:t>an</w:t>
      </w:r>
      <w:r w:rsidR="000C5D5C" w:rsidRPr="000C5D5C">
        <w:t>u</w:t>
      </w:r>
      <w:r w:rsidR="000C5D5C">
        <w:t>ary</w:t>
      </w:r>
      <w:r w:rsidR="000C5D5C" w:rsidRPr="000C5D5C">
        <w:t xml:space="preserve"> 201</w:t>
      </w:r>
      <w:r w:rsidR="000C5D5C">
        <w:t>2</w:t>
      </w:r>
      <w:r w:rsidR="000C5D5C" w:rsidRPr="000C5D5C">
        <w:t xml:space="preserve">, pursuant to rule 97, paragraph 3, of its rules of procedure, the Committee, acting through its Special Rapporteur on </w:t>
      </w:r>
      <w:r w:rsidR="00D63FB3">
        <w:t>n</w:t>
      </w:r>
      <w:r w:rsidR="000C5D5C" w:rsidRPr="000C5D5C">
        <w:t xml:space="preserve">ew </w:t>
      </w:r>
      <w:r w:rsidR="00D63FB3">
        <w:t>c</w:t>
      </w:r>
      <w:r w:rsidR="000C5D5C" w:rsidRPr="000C5D5C">
        <w:t xml:space="preserve">ommunications and </w:t>
      </w:r>
      <w:r w:rsidR="00D63FB3">
        <w:t>i</w:t>
      </w:r>
      <w:r w:rsidR="000C5D5C" w:rsidRPr="000C5D5C">
        <w:t xml:space="preserve">nterim </w:t>
      </w:r>
      <w:r w:rsidR="00D63FB3">
        <w:t>m</w:t>
      </w:r>
      <w:r w:rsidR="000C5D5C" w:rsidRPr="000C5D5C">
        <w:t>easure</w:t>
      </w:r>
      <w:r w:rsidR="00792C00">
        <w:t>s</w:t>
      </w:r>
      <w:r w:rsidR="000C5D5C" w:rsidRPr="000C5D5C">
        <w:t>, decided to examine the admissibility of the communication together with its merits.</w:t>
      </w:r>
    </w:p>
    <w:p w14:paraId="5AD09DB2" w14:textId="77777777" w:rsidR="00E25EC9" w:rsidRPr="009E31DB" w:rsidRDefault="00E25EC9" w:rsidP="00E25EC9">
      <w:pPr>
        <w:pStyle w:val="H23G"/>
        <w:ind w:left="0" w:firstLine="0"/>
      </w:pPr>
      <w:r>
        <w:tab/>
      </w:r>
      <w:r>
        <w:tab/>
      </w:r>
      <w:r w:rsidRPr="009E31DB">
        <w:t>The facts as presented by th</w:t>
      </w:r>
      <w:r w:rsidRPr="00E25EC9">
        <w:t>e</w:t>
      </w:r>
      <w:r w:rsidRPr="009E31DB">
        <w:t xml:space="preserve"> author</w:t>
      </w:r>
    </w:p>
    <w:p w14:paraId="103E9128" w14:textId="77777777" w:rsidR="00FA4F6D" w:rsidRPr="00FA4F6D" w:rsidRDefault="00FA4F6D" w:rsidP="001E1A7C">
      <w:pPr>
        <w:pStyle w:val="SingleTxtG"/>
      </w:pPr>
      <w:r w:rsidRPr="00FA4F6D">
        <w:t>2.1</w:t>
      </w:r>
      <w:r w:rsidRPr="00FA4F6D">
        <w:tab/>
        <w:t xml:space="preserve">On 22 November 2010, the author was </w:t>
      </w:r>
      <w:r w:rsidR="00E727B6">
        <w:t xml:space="preserve">apprehended </w:t>
      </w:r>
      <w:r w:rsidRPr="00FA4F6D">
        <w:t xml:space="preserve">by police officers while </w:t>
      </w:r>
      <w:r w:rsidR="008224A1">
        <w:t>standing</w:t>
      </w:r>
      <w:r w:rsidR="001E1A7C">
        <w:t xml:space="preserve"> </w:t>
      </w:r>
      <w:r w:rsidR="001E1A7C" w:rsidRPr="001E1A7C">
        <w:t>on Lenin Street</w:t>
      </w:r>
      <w:r w:rsidR="001E1A7C">
        <w:t>,</w:t>
      </w:r>
      <w:r w:rsidR="001E1A7C" w:rsidRPr="001E1A7C">
        <w:t xml:space="preserve"> in the town of Vitebsk</w:t>
      </w:r>
      <w:r w:rsidR="001E1A7C">
        <w:t>,</w:t>
      </w:r>
      <w:r w:rsidR="00E727B6">
        <w:t xml:space="preserve"> holding </w:t>
      </w:r>
      <w:r w:rsidR="00E727B6" w:rsidRPr="00FA4F6D">
        <w:t xml:space="preserve">a banner reading “Just </w:t>
      </w:r>
      <w:r w:rsidR="001A2A91">
        <w:t>b</w:t>
      </w:r>
      <w:r w:rsidR="00E727B6" w:rsidRPr="00FA4F6D">
        <w:t>oycott”</w:t>
      </w:r>
      <w:r w:rsidRPr="00FA4F6D">
        <w:t xml:space="preserve">. </w:t>
      </w:r>
      <w:r w:rsidRPr="00FA4F6D">
        <w:lastRenderedPageBreak/>
        <w:t>H</w:t>
      </w:r>
      <w:r w:rsidR="0074179F">
        <w:t>is</w:t>
      </w:r>
      <w:r w:rsidRPr="00FA4F6D">
        <w:t xml:space="preserve"> </w:t>
      </w:r>
      <w:r>
        <w:t>aim</w:t>
      </w:r>
      <w:r w:rsidR="0074179F">
        <w:t xml:space="preserve"> was</w:t>
      </w:r>
      <w:r w:rsidRPr="00FA4F6D">
        <w:t xml:space="preserve"> to express his opinion </w:t>
      </w:r>
      <w:r>
        <w:t>on the</w:t>
      </w:r>
      <w:r w:rsidR="00E727B6">
        <w:t xml:space="preserve"> </w:t>
      </w:r>
      <w:r w:rsidR="007106DD">
        <w:t>p</w:t>
      </w:r>
      <w:r w:rsidRPr="00FA4F6D">
        <w:t>resident</w:t>
      </w:r>
      <w:r>
        <w:t>ial</w:t>
      </w:r>
      <w:r w:rsidRPr="00FA4F6D">
        <w:t xml:space="preserve"> election</w:t>
      </w:r>
      <w:r w:rsidR="00721B07">
        <w:t>s</w:t>
      </w:r>
      <w:r w:rsidRPr="00FA4F6D">
        <w:t xml:space="preserve"> </w:t>
      </w:r>
      <w:r w:rsidR="00E727B6">
        <w:t>in Belarus</w:t>
      </w:r>
      <w:r w:rsidR="00E727B6" w:rsidRPr="00FA4F6D">
        <w:t xml:space="preserve"> </w:t>
      </w:r>
      <w:r w:rsidRPr="00FA4F6D">
        <w:t xml:space="preserve">to be held </w:t>
      </w:r>
      <w:r w:rsidR="00E727B6">
        <w:t xml:space="preserve">on </w:t>
      </w:r>
      <w:r w:rsidRPr="00FA4F6D">
        <w:t>19 December 2010</w:t>
      </w:r>
      <w:r w:rsidR="008D48F4">
        <w:t>.</w:t>
      </w:r>
      <w:r w:rsidRPr="00FA4F6D">
        <w:t xml:space="preserve"> </w:t>
      </w:r>
      <w:r w:rsidR="00E727B6">
        <w:t>According to the author, only two persons t</w:t>
      </w:r>
      <w:r w:rsidR="007106DD">
        <w:t>ook</w:t>
      </w:r>
      <w:r w:rsidR="00E727B6">
        <w:t xml:space="preserve"> part in th</w:t>
      </w:r>
      <w:r w:rsidR="007106DD">
        <w:t>e</w:t>
      </w:r>
      <w:r w:rsidR="00E727B6">
        <w:t xml:space="preserve"> picket</w:t>
      </w:r>
      <w:r w:rsidR="007106DD">
        <w:t>,</w:t>
      </w:r>
      <w:r w:rsidR="00E727B6">
        <w:t xml:space="preserve"> </w:t>
      </w:r>
      <w:r w:rsidR="00E727B6" w:rsidRPr="00B806D6">
        <w:t>n</w:t>
      </w:r>
      <w:r w:rsidR="007106DD" w:rsidRPr="00B806D6">
        <w:t>either</w:t>
      </w:r>
      <w:r w:rsidR="00E727B6" w:rsidRPr="00B806D6">
        <w:t xml:space="preserve"> of </w:t>
      </w:r>
      <w:r w:rsidR="007106DD" w:rsidRPr="00B806D6">
        <w:t>whom</w:t>
      </w:r>
      <w:r w:rsidR="007106DD" w:rsidRPr="00E727B6">
        <w:t xml:space="preserve"> </w:t>
      </w:r>
      <w:r w:rsidR="00721B07">
        <w:t xml:space="preserve">obstructed </w:t>
      </w:r>
      <w:r w:rsidR="00E727B6" w:rsidRPr="00E727B6">
        <w:t xml:space="preserve">the movement of pedestrians or public </w:t>
      </w:r>
      <w:r w:rsidR="008D48F4" w:rsidRPr="00E727B6">
        <w:t>transport</w:t>
      </w:r>
      <w:r w:rsidR="007106DD">
        <w:t>,</w:t>
      </w:r>
      <w:r w:rsidR="008D48F4" w:rsidRPr="00E727B6">
        <w:t xml:space="preserve"> </w:t>
      </w:r>
      <w:r w:rsidR="008D48F4">
        <w:t>and</w:t>
      </w:r>
      <w:r w:rsidR="00721B07">
        <w:t xml:space="preserve"> </w:t>
      </w:r>
      <w:r w:rsidR="00E727B6" w:rsidRPr="00E727B6">
        <w:t>the safety of those passing by was ensured by the author</w:t>
      </w:r>
      <w:r w:rsidR="007106DD">
        <w:t>,</w:t>
      </w:r>
      <w:r w:rsidR="00E727B6" w:rsidRPr="00E727B6">
        <w:t xml:space="preserve"> </w:t>
      </w:r>
      <w:r w:rsidR="00E727B6">
        <w:t xml:space="preserve">who </w:t>
      </w:r>
      <w:r w:rsidR="007106DD">
        <w:t xml:space="preserve">had </w:t>
      </w:r>
      <w:r w:rsidR="00E727B6" w:rsidRPr="00E727B6">
        <w:t>organi</w:t>
      </w:r>
      <w:r w:rsidR="007106DD">
        <w:t>z</w:t>
      </w:r>
      <w:r w:rsidR="00E727B6" w:rsidRPr="00E727B6">
        <w:t>e</w:t>
      </w:r>
      <w:r w:rsidR="007106DD">
        <w:t>d</w:t>
      </w:r>
      <w:r w:rsidR="00E727B6" w:rsidRPr="00E727B6">
        <w:t xml:space="preserve"> the </w:t>
      </w:r>
      <w:r w:rsidR="00E727B6">
        <w:t>event</w:t>
      </w:r>
      <w:r w:rsidR="00E727B6" w:rsidRPr="00E727B6">
        <w:t>.</w:t>
      </w:r>
      <w:r w:rsidR="00382F59">
        <w:t xml:space="preserve"> </w:t>
      </w:r>
    </w:p>
    <w:p w14:paraId="4B5356B1" w14:textId="77777777" w:rsidR="00FA4F6D" w:rsidRPr="00FA4F6D" w:rsidRDefault="00FA4F6D" w:rsidP="00901E2B">
      <w:pPr>
        <w:pStyle w:val="SingleTxtG"/>
      </w:pPr>
      <w:r w:rsidRPr="00FA4F6D">
        <w:t>2.2</w:t>
      </w:r>
      <w:r w:rsidRPr="00FA4F6D">
        <w:tab/>
        <w:t>On the same day, the author’s case was heard by the Zheleznodorozhn</w:t>
      </w:r>
      <w:r w:rsidR="00721B07">
        <w:t>y</w:t>
      </w:r>
      <w:r w:rsidRPr="00FA4F6D">
        <w:t>i District Court in Vitebsk</w:t>
      </w:r>
      <w:r w:rsidR="007106DD">
        <w:t>,</w:t>
      </w:r>
      <w:r>
        <w:t xml:space="preserve"> which ordered </w:t>
      </w:r>
      <w:r w:rsidRPr="00FA4F6D">
        <w:t>the author to pay a</w:t>
      </w:r>
      <w:r>
        <w:t xml:space="preserve"> fine</w:t>
      </w:r>
      <w:r w:rsidRPr="00FA4F6D">
        <w:t xml:space="preserve"> of 350,000 Belarus</w:t>
      </w:r>
      <w:r w:rsidR="00F10983">
        <w:t>ian</w:t>
      </w:r>
      <w:r w:rsidRPr="00FA4F6D">
        <w:t xml:space="preserve"> </w:t>
      </w:r>
      <w:r w:rsidR="00F10983">
        <w:t>ro</w:t>
      </w:r>
      <w:r w:rsidRPr="00FA4F6D">
        <w:t xml:space="preserve">ubles. </w:t>
      </w:r>
    </w:p>
    <w:p w14:paraId="57318FC1" w14:textId="77777777" w:rsidR="00FA4F6D" w:rsidRPr="00FA4F6D" w:rsidRDefault="00FA4F6D" w:rsidP="003B29E2">
      <w:pPr>
        <w:pStyle w:val="SingleTxtG"/>
      </w:pPr>
      <w:r w:rsidRPr="00FA4F6D">
        <w:t>2.3</w:t>
      </w:r>
      <w:r w:rsidRPr="00FA4F6D">
        <w:tab/>
        <w:t>The author filed appeal</w:t>
      </w:r>
      <w:r w:rsidR="00C529C9">
        <w:t>s</w:t>
      </w:r>
      <w:r w:rsidRPr="00FA4F6D">
        <w:t xml:space="preserve"> against the District Court’s decision </w:t>
      </w:r>
      <w:r w:rsidR="00F10983">
        <w:t>with</w:t>
      </w:r>
      <w:r w:rsidRPr="00FA4F6D">
        <w:t xml:space="preserve"> the Regional Court in Vitebsk and </w:t>
      </w:r>
      <w:r w:rsidR="00C83DF4">
        <w:t>with</w:t>
      </w:r>
      <w:r w:rsidRPr="00FA4F6D">
        <w:t xml:space="preserve"> the Supreme Court of Belarus, on 25 November 2010 and 5 January 2011</w:t>
      </w:r>
      <w:r w:rsidR="00C529C9">
        <w:t>,</w:t>
      </w:r>
      <w:r w:rsidRPr="00FA4F6D">
        <w:t xml:space="preserve"> respectively. Both appeals were dismissed with the argument</w:t>
      </w:r>
      <w:r>
        <w:t>s</w:t>
      </w:r>
      <w:r w:rsidRPr="00FA4F6D">
        <w:t xml:space="preserve"> that the author had not </w:t>
      </w:r>
      <w:r w:rsidR="00C529C9">
        <w:t>received</w:t>
      </w:r>
      <w:r w:rsidRPr="00FA4F6D">
        <w:t xml:space="preserve"> authorization to hold a meeting and that the meeting had not been held in a place</w:t>
      </w:r>
      <w:r w:rsidR="00721B07">
        <w:t xml:space="preserve"> </w:t>
      </w:r>
      <w:r w:rsidR="00C529C9" w:rsidRPr="00C529C9">
        <w:t xml:space="preserve">designated </w:t>
      </w:r>
      <w:r w:rsidR="00721B07">
        <w:t>for mass events</w:t>
      </w:r>
      <w:r w:rsidRPr="00FA4F6D">
        <w:t xml:space="preserve">. </w:t>
      </w:r>
    </w:p>
    <w:p w14:paraId="2364B595" w14:textId="77777777" w:rsidR="00FA4F6D" w:rsidRPr="00FA4F6D" w:rsidRDefault="00FA4F6D" w:rsidP="003B29E2">
      <w:pPr>
        <w:pStyle w:val="SingleTxtG"/>
      </w:pPr>
      <w:r w:rsidRPr="00FA4F6D">
        <w:t>2.4</w:t>
      </w:r>
      <w:r w:rsidRPr="00FA4F6D">
        <w:tab/>
      </w:r>
      <w:r w:rsidR="007175FC">
        <w:t>T</w:t>
      </w:r>
      <w:r w:rsidRPr="00FA4F6D">
        <w:t>he author</w:t>
      </w:r>
      <w:r w:rsidR="007175FC">
        <w:t xml:space="preserve"> points out that</w:t>
      </w:r>
      <w:r w:rsidR="0074179F">
        <w:t xml:space="preserve"> in the Constitution of Belarus</w:t>
      </w:r>
      <w:r w:rsidRPr="00FA4F6D">
        <w:t xml:space="preserve"> the right to publicly express opinion is guaranteed</w:t>
      </w:r>
      <w:r w:rsidR="0074179F">
        <w:t>,</w:t>
      </w:r>
      <w:r w:rsidRPr="00FA4F6D">
        <w:t xml:space="preserve"> under article 33, </w:t>
      </w:r>
      <w:r w:rsidR="0074179F">
        <w:t>as is</w:t>
      </w:r>
      <w:r w:rsidR="001F2542" w:rsidRPr="00FA4F6D">
        <w:t xml:space="preserve"> </w:t>
      </w:r>
      <w:r w:rsidRPr="00FA4F6D">
        <w:t>the right to seek and impart information</w:t>
      </w:r>
      <w:r w:rsidR="0074179F">
        <w:t>,</w:t>
      </w:r>
      <w:r w:rsidRPr="00FA4F6D">
        <w:t xml:space="preserve"> </w:t>
      </w:r>
      <w:r w:rsidRPr="00B806D6">
        <w:t>under article 34</w:t>
      </w:r>
      <w:r w:rsidRPr="00FA4F6D">
        <w:t>.</w:t>
      </w:r>
    </w:p>
    <w:p w14:paraId="6996E021" w14:textId="77777777" w:rsidR="00FA4F6D" w:rsidRPr="00FA4F6D" w:rsidRDefault="00FA4F6D" w:rsidP="00FA4F6D">
      <w:pPr>
        <w:pStyle w:val="SingleTxtG"/>
      </w:pPr>
      <w:r w:rsidRPr="00FA4F6D">
        <w:t>2.5</w:t>
      </w:r>
      <w:r w:rsidRPr="00FA4F6D">
        <w:tab/>
        <w:t xml:space="preserve">The </w:t>
      </w:r>
      <w:r w:rsidR="007175FC">
        <w:t xml:space="preserve">author adds that the </w:t>
      </w:r>
      <w:r w:rsidRPr="00FA4F6D">
        <w:t xml:space="preserve">current legislation </w:t>
      </w:r>
      <w:r w:rsidR="003D594B">
        <w:t>in</w:t>
      </w:r>
      <w:r w:rsidRPr="00FA4F6D">
        <w:t xml:space="preserve"> Belarus does </w:t>
      </w:r>
      <w:r w:rsidR="007175FC">
        <w:t xml:space="preserve">not </w:t>
      </w:r>
      <w:r w:rsidRPr="00FA4F6D">
        <w:t>prohibit campaigning in support of participati</w:t>
      </w:r>
      <w:r w:rsidR="0074179F">
        <w:t>ng</w:t>
      </w:r>
      <w:r w:rsidRPr="00FA4F6D">
        <w:t xml:space="preserve"> in</w:t>
      </w:r>
      <w:r w:rsidR="007175FC">
        <w:t xml:space="preserve"> or</w:t>
      </w:r>
      <w:r w:rsidRPr="00FA4F6D">
        <w:t xml:space="preserve"> boycotting</w:t>
      </w:r>
      <w:r w:rsidR="007175FC">
        <w:t xml:space="preserve"> elections</w:t>
      </w:r>
      <w:r w:rsidRPr="00FA4F6D">
        <w:t>. Moreover, there is no legal obligation to participate in election</w:t>
      </w:r>
      <w:r w:rsidR="007175FC">
        <w:t>s</w:t>
      </w:r>
      <w:r w:rsidRPr="00FA4F6D">
        <w:t>.</w:t>
      </w:r>
    </w:p>
    <w:p w14:paraId="5C214B5F" w14:textId="77777777" w:rsidR="00FA4F6D" w:rsidRDefault="008D48F4" w:rsidP="003B29E2">
      <w:pPr>
        <w:pStyle w:val="SingleTxtG"/>
      </w:pPr>
      <w:r>
        <w:t>2.6</w:t>
      </w:r>
      <w:r w:rsidR="00FA4F6D" w:rsidRPr="00FA4F6D">
        <w:tab/>
        <w:t xml:space="preserve">In the author’s view, </w:t>
      </w:r>
      <w:r w:rsidR="00424EC7">
        <w:t xml:space="preserve">the </w:t>
      </w:r>
      <w:r w:rsidR="00FA4F6D" w:rsidRPr="00FA4F6D">
        <w:t xml:space="preserve">existing legislative restrictions imposed on citizens substantially limit the effective realization of the right to freedom of expression, including </w:t>
      </w:r>
      <w:r w:rsidR="007175FC">
        <w:t xml:space="preserve">the right to </w:t>
      </w:r>
      <w:r w:rsidR="00FA4F6D" w:rsidRPr="00FA4F6D">
        <w:t>shar</w:t>
      </w:r>
      <w:r w:rsidR="007175FC">
        <w:t>e</w:t>
      </w:r>
      <w:r w:rsidR="00FA4F6D" w:rsidRPr="00FA4F6D">
        <w:t xml:space="preserve"> one’s own opinion. </w:t>
      </w:r>
      <w:r w:rsidR="0074179F">
        <w:t>Thus</w:t>
      </w:r>
      <w:r w:rsidR="00424EC7">
        <w:t xml:space="preserve"> </w:t>
      </w:r>
      <w:r w:rsidR="0074179F">
        <w:t>he</w:t>
      </w:r>
      <w:r w:rsidR="00FA4F6D" w:rsidRPr="00FA4F6D">
        <w:t xml:space="preserve"> chose to express his opinion </w:t>
      </w:r>
      <w:r w:rsidR="00424EC7">
        <w:t xml:space="preserve">in support of </w:t>
      </w:r>
      <w:r w:rsidR="00FA4F6D" w:rsidRPr="00FA4F6D">
        <w:t>boycotting the elections in a public place where he could draw</w:t>
      </w:r>
      <w:r w:rsidR="003D594B">
        <w:t xml:space="preserve"> the</w:t>
      </w:r>
      <w:r w:rsidR="00FA4F6D" w:rsidRPr="00FA4F6D">
        <w:t xml:space="preserve"> utmost attention to his civic and political views.</w:t>
      </w:r>
    </w:p>
    <w:p w14:paraId="04555F3F" w14:textId="77777777" w:rsidR="00E25EC9" w:rsidRPr="005F4996" w:rsidRDefault="00E25EC9" w:rsidP="00E25EC9">
      <w:pPr>
        <w:pStyle w:val="H23G"/>
      </w:pPr>
      <w:r>
        <w:tab/>
      </w:r>
      <w:r>
        <w:tab/>
      </w:r>
      <w:r w:rsidRPr="005F4996">
        <w:t>The complaint</w:t>
      </w:r>
    </w:p>
    <w:p w14:paraId="5A339E4B" w14:textId="77777777" w:rsidR="00B03A85" w:rsidRDefault="00E25EC9" w:rsidP="00AE4BBE">
      <w:pPr>
        <w:pStyle w:val="SingleTxtG"/>
      </w:pPr>
      <w:r w:rsidRPr="005F4996">
        <w:t>3.1.</w:t>
      </w:r>
      <w:r w:rsidRPr="005F4996">
        <w:tab/>
        <w:t xml:space="preserve">The author claims </w:t>
      </w:r>
      <w:r w:rsidR="00B03A85">
        <w:t xml:space="preserve">to be a victim of </w:t>
      </w:r>
      <w:r w:rsidR="003D594B" w:rsidRPr="00B806D6">
        <w:t xml:space="preserve">a </w:t>
      </w:r>
      <w:r w:rsidR="00B03A85" w:rsidRPr="00B806D6">
        <w:t>violation</w:t>
      </w:r>
      <w:r w:rsidR="00B03A85">
        <w:t xml:space="preserve"> by Belarus of his rights under article</w:t>
      </w:r>
      <w:r w:rsidR="003D594B">
        <w:t>s</w:t>
      </w:r>
      <w:r w:rsidR="00B03A85">
        <w:t xml:space="preserve"> </w:t>
      </w:r>
      <w:r w:rsidR="00B03A85" w:rsidRPr="00B03A85">
        <w:t>19</w:t>
      </w:r>
      <w:r w:rsidR="003D594B">
        <w:t> (</w:t>
      </w:r>
      <w:r w:rsidR="00B03A85" w:rsidRPr="00B03A85">
        <w:t>2</w:t>
      </w:r>
      <w:r w:rsidR="003D594B">
        <w:t>)</w:t>
      </w:r>
      <w:r w:rsidR="00B03A85" w:rsidRPr="00B03A85">
        <w:t xml:space="preserve"> </w:t>
      </w:r>
      <w:r w:rsidR="00B87093">
        <w:t xml:space="preserve">and 21 </w:t>
      </w:r>
      <w:r w:rsidR="00B03A85" w:rsidRPr="00B03A85">
        <w:t xml:space="preserve">of the Covenant. </w:t>
      </w:r>
    </w:p>
    <w:p w14:paraId="094C9C1C" w14:textId="77777777" w:rsidR="00A23888" w:rsidRDefault="00B03A85" w:rsidP="003B29E2">
      <w:pPr>
        <w:pStyle w:val="SingleTxtG"/>
      </w:pPr>
      <w:r w:rsidRPr="00B03A85">
        <w:t>3.2</w:t>
      </w:r>
      <w:r w:rsidRPr="00B03A85">
        <w:tab/>
      </w:r>
      <w:r w:rsidR="007175FC">
        <w:t>He</w:t>
      </w:r>
      <w:r w:rsidR="00A23888" w:rsidRPr="00B806D6">
        <w:t xml:space="preserve"> claims</w:t>
      </w:r>
      <w:r>
        <w:t xml:space="preserve"> that the </w:t>
      </w:r>
      <w:r w:rsidR="007175FC">
        <w:t xml:space="preserve">interruption </w:t>
      </w:r>
      <w:r>
        <w:t xml:space="preserve">of </w:t>
      </w:r>
      <w:r w:rsidR="00CC4288">
        <w:t>his protest</w:t>
      </w:r>
      <w:r>
        <w:t xml:space="preserve"> by the police, his </w:t>
      </w:r>
      <w:r w:rsidR="00CC4288">
        <w:t>apprehension</w:t>
      </w:r>
      <w:r>
        <w:t xml:space="preserve"> and </w:t>
      </w:r>
      <w:r w:rsidR="005C08FE">
        <w:t xml:space="preserve">the </w:t>
      </w:r>
      <w:r>
        <w:t xml:space="preserve">subsequent administrative fine </w:t>
      </w:r>
      <w:r w:rsidR="0074179F">
        <w:t xml:space="preserve">imposed on </w:t>
      </w:r>
      <w:r>
        <w:t xml:space="preserve">him </w:t>
      </w:r>
      <w:r w:rsidR="00A23888" w:rsidRPr="005F4996">
        <w:t>restricted arbitrarily his freedom of expression</w:t>
      </w:r>
      <w:r w:rsidR="00A23888">
        <w:t xml:space="preserve"> </w:t>
      </w:r>
      <w:r w:rsidR="005E7BB8">
        <w:t xml:space="preserve">and his right </w:t>
      </w:r>
      <w:r w:rsidR="003D594B">
        <w:t>of</w:t>
      </w:r>
      <w:r w:rsidR="005E7BB8">
        <w:t xml:space="preserve"> peaceful assembly </w:t>
      </w:r>
      <w:r w:rsidR="00A23888">
        <w:t>in violation of article</w:t>
      </w:r>
      <w:r w:rsidR="0081487D">
        <w:t>s</w:t>
      </w:r>
      <w:r w:rsidR="00A23888">
        <w:t xml:space="preserve"> 19 </w:t>
      </w:r>
      <w:r w:rsidR="0081487D">
        <w:t>(</w:t>
      </w:r>
      <w:r w:rsidR="00A23888">
        <w:t>2</w:t>
      </w:r>
      <w:r w:rsidR="0081487D">
        <w:t>)</w:t>
      </w:r>
      <w:r w:rsidR="00A23888">
        <w:t xml:space="preserve"> </w:t>
      </w:r>
      <w:r w:rsidR="00B87093">
        <w:t xml:space="preserve">and 21 </w:t>
      </w:r>
      <w:r w:rsidR="00A23888">
        <w:t>of the Covenant,</w:t>
      </w:r>
      <w:r w:rsidR="00A23888" w:rsidRPr="005F4996">
        <w:t xml:space="preserve"> because </w:t>
      </w:r>
      <w:r w:rsidR="00476700">
        <w:t xml:space="preserve">he was </w:t>
      </w:r>
      <w:r w:rsidR="00A23888" w:rsidRPr="005F4996">
        <w:t xml:space="preserve">deprived of the opportunity to </w:t>
      </w:r>
      <w:r w:rsidR="001C068F">
        <w:t xml:space="preserve">express his </w:t>
      </w:r>
      <w:r w:rsidR="00A23888">
        <w:t xml:space="preserve">civil and political </w:t>
      </w:r>
      <w:r w:rsidR="007175FC">
        <w:t xml:space="preserve">views </w:t>
      </w:r>
      <w:r w:rsidR="00A23888" w:rsidRPr="005F4996">
        <w:t xml:space="preserve">and prevented from </w:t>
      </w:r>
      <w:r w:rsidR="001C068F" w:rsidRPr="005F4996">
        <w:t>attract</w:t>
      </w:r>
      <w:r w:rsidR="001C068F">
        <w:t>ing</w:t>
      </w:r>
      <w:r w:rsidR="001C068F" w:rsidRPr="005F4996">
        <w:t xml:space="preserve"> citizens’ attention </w:t>
      </w:r>
      <w:r w:rsidR="001C068F">
        <w:t xml:space="preserve">to his </w:t>
      </w:r>
      <w:r w:rsidR="00A23888">
        <w:t>support for</w:t>
      </w:r>
      <w:r w:rsidR="007175FC">
        <w:t xml:space="preserve"> boycotting </w:t>
      </w:r>
      <w:r w:rsidR="00A23888">
        <w:t xml:space="preserve">the Presidential elections. </w:t>
      </w:r>
      <w:r w:rsidR="00A23888" w:rsidRPr="00B03A85">
        <w:t xml:space="preserve">He </w:t>
      </w:r>
      <w:r w:rsidR="00A23888">
        <w:t xml:space="preserve">also </w:t>
      </w:r>
      <w:r w:rsidR="00A23888" w:rsidRPr="00B03A85">
        <w:t xml:space="preserve">claims that during the </w:t>
      </w:r>
      <w:r w:rsidR="00A23888">
        <w:t xml:space="preserve">event </w:t>
      </w:r>
      <w:r w:rsidR="007175FC">
        <w:t xml:space="preserve">in question, </w:t>
      </w:r>
      <w:r w:rsidR="00A23888">
        <w:t xml:space="preserve">he </w:t>
      </w:r>
      <w:r w:rsidR="00A23888" w:rsidRPr="00B03A85">
        <w:t xml:space="preserve">did not violate the rights of other individuals or their freedom of movement; </w:t>
      </w:r>
      <w:r w:rsidR="00A23888">
        <w:t>moreover,</w:t>
      </w:r>
      <w:r w:rsidR="00A23888" w:rsidRPr="00B03A85">
        <w:t xml:space="preserve"> there were only two participa</w:t>
      </w:r>
      <w:r w:rsidR="00A23888">
        <w:t>nts</w:t>
      </w:r>
      <w:r w:rsidR="00A23888" w:rsidRPr="00B03A85">
        <w:t xml:space="preserve"> in the </w:t>
      </w:r>
      <w:r w:rsidR="00A23888">
        <w:t>picket</w:t>
      </w:r>
      <w:r w:rsidR="00A23888" w:rsidRPr="00B03A85">
        <w:t xml:space="preserve">. </w:t>
      </w:r>
      <w:r w:rsidR="007175FC">
        <w:t>He stresses that no</w:t>
      </w:r>
      <w:r w:rsidR="00A23888" w:rsidRPr="00B03A85">
        <w:t xml:space="preserve"> delays or other inconveniences </w:t>
      </w:r>
      <w:r w:rsidR="007175FC">
        <w:t xml:space="preserve">were </w:t>
      </w:r>
      <w:r w:rsidR="00A23888" w:rsidRPr="00B03A85">
        <w:t xml:space="preserve">caused by </w:t>
      </w:r>
      <w:r w:rsidR="00A23888">
        <w:t>his</w:t>
      </w:r>
      <w:r w:rsidR="00A23888" w:rsidRPr="00B03A85">
        <w:t xml:space="preserve"> protest.</w:t>
      </w:r>
      <w:r w:rsidR="00110169" w:rsidRPr="00110169">
        <w:t xml:space="preserve"> </w:t>
      </w:r>
      <w:r w:rsidR="00110169" w:rsidRPr="005F4996">
        <w:t>He maintains that the authorities did not justify why</w:t>
      </w:r>
      <w:r w:rsidR="00110169" w:rsidRPr="005F4996">
        <w:rPr>
          <w:lang w:val="bg-BG"/>
        </w:rPr>
        <w:t xml:space="preserve"> </w:t>
      </w:r>
      <w:r w:rsidR="00110169" w:rsidRPr="005F4996">
        <w:t xml:space="preserve">the restriction was </w:t>
      </w:r>
      <w:r w:rsidR="00110169">
        <w:t>necessary in a democratic society</w:t>
      </w:r>
      <w:r w:rsidR="00110169" w:rsidRPr="005F4996">
        <w:t xml:space="preserve"> in the interest of national security</w:t>
      </w:r>
      <w:r w:rsidR="00110169">
        <w:t xml:space="preserve"> or</w:t>
      </w:r>
      <w:r w:rsidR="00110169" w:rsidRPr="005F4996">
        <w:t xml:space="preserve"> publ</w:t>
      </w:r>
      <w:r w:rsidR="00110169">
        <w:t xml:space="preserve">ic order, for the protection of </w:t>
      </w:r>
      <w:r w:rsidR="00110169" w:rsidRPr="005F4996">
        <w:t xml:space="preserve">public health </w:t>
      </w:r>
      <w:r w:rsidR="00110169">
        <w:t xml:space="preserve">and morals </w:t>
      </w:r>
      <w:r w:rsidR="00110169" w:rsidRPr="005F4996">
        <w:t xml:space="preserve">or </w:t>
      </w:r>
      <w:r w:rsidR="00110169">
        <w:t xml:space="preserve">the protection of </w:t>
      </w:r>
      <w:r w:rsidR="00110169" w:rsidRPr="005F4996">
        <w:t xml:space="preserve">the rights </w:t>
      </w:r>
      <w:r w:rsidR="00110169">
        <w:t xml:space="preserve">and freedoms </w:t>
      </w:r>
      <w:r w:rsidR="00110169" w:rsidRPr="005F4996">
        <w:t>of other</w:t>
      </w:r>
      <w:r w:rsidR="00110169">
        <w:t>s</w:t>
      </w:r>
      <w:r w:rsidR="00110169" w:rsidRPr="005F4996">
        <w:t>.</w:t>
      </w:r>
    </w:p>
    <w:p w14:paraId="5B0D911F" w14:textId="77777777" w:rsidR="00B03A85" w:rsidRPr="00B03A85" w:rsidRDefault="008D48F4" w:rsidP="00901E2B">
      <w:pPr>
        <w:pStyle w:val="SingleTxtG"/>
      </w:pPr>
      <w:r>
        <w:t>3.3</w:t>
      </w:r>
      <w:r w:rsidR="00B03A85" w:rsidRPr="00B03A85">
        <w:tab/>
        <w:t>Pursuant to articles 1 and 2 of the Optional Protocol, the author requests the Committee to find that the facts before it disclose a violation of article</w:t>
      </w:r>
      <w:r w:rsidR="0081487D">
        <w:t>s</w:t>
      </w:r>
      <w:r w:rsidR="00B03A85" w:rsidRPr="00B03A85">
        <w:t xml:space="preserve"> 19</w:t>
      </w:r>
      <w:r w:rsidR="0081487D">
        <w:t> (</w:t>
      </w:r>
      <w:r w:rsidR="00B03A85" w:rsidRPr="00B03A85">
        <w:t>2</w:t>
      </w:r>
      <w:r w:rsidR="0081487D">
        <w:t>)</w:t>
      </w:r>
      <w:r w:rsidR="00B03A85" w:rsidRPr="00B03A85">
        <w:t xml:space="preserve"> </w:t>
      </w:r>
      <w:r w:rsidR="005E7BB8">
        <w:t xml:space="preserve">and 21 </w:t>
      </w:r>
      <w:r w:rsidR="00B03A85" w:rsidRPr="00B03A85">
        <w:t xml:space="preserve">of the Covenant. He also suggests that the Committee remind the State party of its obligation to ensure that similar violations do not occur in the future and to provide </w:t>
      </w:r>
      <w:r w:rsidR="007175FC">
        <w:t>him</w:t>
      </w:r>
      <w:r w:rsidR="00B03A85" w:rsidRPr="00B03A85">
        <w:t xml:space="preserve"> with an effective remedy. </w:t>
      </w:r>
    </w:p>
    <w:p w14:paraId="32853FE2" w14:textId="77777777" w:rsidR="00E25EC9" w:rsidRPr="002D60F9" w:rsidRDefault="00E25EC9" w:rsidP="00E25EC9">
      <w:pPr>
        <w:pStyle w:val="H23G"/>
      </w:pPr>
      <w:r>
        <w:tab/>
      </w:r>
      <w:r>
        <w:tab/>
      </w:r>
      <w:r w:rsidRPr="002D60F9">
        <w:t>State party</w:t>
      </w:r>
      <w:r w:rsidR="0004779D">
        <w:t>’</w:t>
      </w:r>
      <w:r w:rsidRPr="002D60F9">
        <w:t>s observations on admissibility</w:t>
      </w:r>
    </w:p>
    <w:p w14:paraId="3CF090FA" w14:textId="77777777" w:rsidR="00E25EC9" w:rsidRPr="002D60F9" w:rsidRDefault="00E25EC9" w:rsidP="00DD6E1B">
      <w:pPr>
        <w:pStyle w:val="SingleTxtG"/>
      </w:pPr>
      <w:r>
        <w:t>4.</w:t>
      </w:r>
      <w:r w:rsidR="00361700">
        <w:t>1</w:t>
      </w:r>
      <w:r>
        <w:tab/>
      </w:r>
      <w:r w:rsidR="00901E2B">
        <w:t>In a</w:t>
      </w:r>
      <w:r>
        <w:t xml:space="preserve"> note verbale </w:t>
      </w:r>
      <w:r w:rsidR="002F57E8">
        <w:t>dated</w:t>
      </w:r>
      <w:r>
        <w:t xml:space="preserve"> </w:t>
      </w:r>
      <w:r w:rsidR="00E85988">
        <w:t>26 September 2011</w:t>
      </w:r>
      <w:r w:rsidRPr="002D60F9">
        <w:t xml:space="preserve">, the State party </w:t>
      </w:r>
      <w:r w:rsidR="00B6718D" w:rsidRPr="002D60F9">
        <w:t>submit</w:t>
      </w:r>
      <w:r w:rsidR="002F57E8">
        <w:t>s</w:t>
      </w:r>
      <w:r w:rsidRPr="002D60F9">
        <w:t>, inter alia, that it believes that there are no legal grounds for</w:t>
      </w:r>
      <w:r w:rsidR="00B2266D">
        <w:t xml:space="preserve"> the</w:t>
      </w:r>
      <w:r w:rsidRPr="002D60F9">
        <w:t xml:space="preserve"> consideration</w:t>
      </w:r>
      <w:r w:rsidR="00B2266D">
        <w:t xml:space="preserve"> of the present communication</w:t>
      </w:r>
      <w:r w:rsidRPr="002D60F9">
        <w:t xml:space="preserve">, insofar as it </w:t>
      </w:r>
      <w:r w:rsidR="00B2266D">
        <w:t>wa</w:t>
      </w:r>
      <w:r w:rsidRPr="002D60F9">
        <w:t xml:space="preserve">s </w:t>
      </w:r>
      <w:r w:rsidRPr="008D48F4">
        <w:t>registered</w:t>
      </w:r>
      <w:r w:rsidRPr="002D60F9">
        <w:t xml:space="preserve"> in violation of article 1 of the Optional </w:t>
      </w:r>
      <w:r w:rsidRPr="00E25EC9">
        <w:t>Protocol</w:t>
      </w:r>
      <w:r w:rsidRPr="002D60F9">
        <w:t xml:space="preserve">. It maintains that </w:t>
      </w:r>
      <w:r w:rsidR="00901E2B">
        <w:t xml:space="preserve">not </w:t>
      </w:r>
      <w:r w:rsidRPr="002D60F9">
        <w:t>all available domestic remedies have been exhausted</w:t>
      </w:r>
      <w:r w:rsidR="00901E2B">
        <w:t>,</w:t>
      </w:r>
      <w:r w:rsidRPr="002D60F9">
        <w:t xml:space="preserve"> as required by article 2 of the </w:t>
      </w:r>
      <w:r w:rsidRPr="002D60F9">
        <w:lastRenderedPageBreak/>
        <w:t>Optional Protocol</w:t>
      </w:r>
      <w:r w:rsidR="00901E2B">
        <w:t>,</w:t>
      </w:r>
      <w:r w:rsidRPr="002D60F9">
        <w:t xml:space="preserve"> since no appeal was filed to the </w:t>
      </w:r>
      <w:r w:rsidR="0074179F" w:rsidRPr="0046193D">
        <w:t>p</w:t>
      </w:r>
      <w:r w:rsidRPr="0046193D">
        <w:t xml:space="preserve">rosecutor’s </w:t>
      </w:r>
      <w:r w:rsidR="0074179F" w:rsidRPr="0046193D">
        <w:t>o</w:t>
      </w:r>
      <w:r w:rsidRPr="0046193D">
        <w:t>ffice</w:t>
      </w:r>
      <w:r w:rsidRPr="002D60F9">
        <w:t xml:space="preserve"> for a supervisory review.</w:t>
      </w:r>
      <w:r w:rsidR="00E85988">
        <w:t xml:space="preserve"> In addition, the State party </w:t>
      </w:r>
      <w:r w:rsidR="00B6718D">
        <w:t>submit</w:t>
      </w:r>
      <w:r w:rsidR="00901E2B">
        <w:t>s</w:t>
      </w:r>
      <w:r w:rsidR="00E85988">
        <w:t xml:space="preserve"> that the </w:t>
      </w:r>
      <w:r w:rsidR="00B2266D">
        <w:t xml:space="preserve">author </w:t>
      </w:r>
      <w:r w:rsidR="003B29E2">
        <w:t xml:space="preserve">did </w:t>
      </w:r>
      <w:r w:rsidR="00B2266D">
        <w:t xml:space="preserve">not </w:t>
      </w:r>
      <w:r w:rsidR="003B29E2">
        <w:t xml:space="preserve">avail himself of </w:t>
      </w:r>
      <w:r w:rsidR="00B2266D">
        <w:t xml:space="preserve">the </w:t>
      </w:r>
      <w:r w:rsidR="00E85988">
        <w:t>possibility to</w:t>
      </w:r>
      <w:r w:rsidR="00901E2B">
        <w:t xml:space="preserve"> apply</w:t>
      </w:r>
      <w:r w:rsidR="00E85988">
        <w:t xml:space="preserve"> directly to the President of the Supreme Court</w:t>
      </w:r>
      <w:r w:rsidR="007E3F60">
        <w:t>,</w:t>
      </w:r>
      <w:r w:rsidR="00E85988">
        <w:t xml:space="preserve"> </w:t>
      </w:r>
      <w:r w:rsidR="00694F69">
        <w:t xml:space="preserve">pursuant to the revised article 12.11 of the </w:t>
      </w:r>
      <w:r w:rsidR="00DD6E1B">
        <w:t>p</w:t>
      </w:r>
      <w:r w:rsidR="00694F69">
        <w:t xml:space="preserve">rocedure and </w:t>
      </w:r>
      <w:r w:rsidR="00DD6E1B">
        <w:t>e</w:t>
      </w:r>
      <w:r w:rsidR="00694F69">
        <w:t xml:space="preserve">xecution </w:t>
      </w:r>
      <w:r w:rsidR="00DD6E1B">
        <w:t>c</w:t>
      </w:r>
      <w:r w:rsidR="00694F69">
        <w:t xml:space="preserve">ode </w:t>
      </w:r>
      <w:r w:rsidR="00DD6E1B" w:rsidRPr="00DD6E1B">
        <w:t>for administrative offences</w:t>
      </w:r>
      <w:r w:rsidR="00DD6E1B">
        <w:t>,</w:t>
      </w:r>
      <w:r w:rsidR="00694F69">
        <w:t xml:space="preserve"> </w:t>
      </w:r>
      <w:r w:rsidR="00E85988">
        <w:t xml:space="preserve">for </w:t>
      </w:r>
      <w:r w:rsidR="007E3F60">
        <w:t xml:space="preserve">a </w:t>
      </w:r>
      <w:r w:rsidR="00E85988">
        <w:t>revi</w:t>
      </w:r>
      <w:r w:rsidR="007E3F60">
        <w:t>ew</w:t>
      </w:r>
      <w:r w:rsidR="00E85988">
        <w:t xml:space="preserve"> of </w:t>
      </w:r>
      <w:r w:rsidR="007E3F60">
        <w:t xml:space="preserve">the </w:t>
      </w:r>
      <w:r w:rsidR="00861A13">
        <w:t>courts’ decisions</w:t>
      </w:r>
      <w:r w:rsidR="00E85988">
        <w:t xml:space="preserve"> </w:t>
      </w:r>
      <w:r w:rsidR="00B2266D">
        <w:t>against him</w:t>
      </w:r>
      <w:r w:rsidR="008D48F4">
        <w:t>.</w:t>
      </w:r>
      <w:r w:rsidR="00E85988">
        <w:t xml:space="preserve"> </w:t>
      </w:r>
    </w:p>
    <w:p w14:paraId="73F6926C" w14:textId="77777777" w:rsidR="00E25EC9" w:rsidRDefault="00E25EC9" w:rsidP="007E3F60">
      <w:pPr>
        <w:pStyle w:val="SingleTxtG"/>
      </w:pPr>
      <w:r>
        <w:t>4</w:t>
      </w:r>
      <w:r w:rsidRPr="002D60F9">
        <w:t>.</w:t>
      </w:r>
      <w:r w:rsidR="00361700">
        <w:t>2</w:t>
      </w:r>
      <w:r>
        <w:tab/>
      </w:r>
      <w:r w:rsidRPr="004D30FF">
        <w:t>In a note verbale dated 2</w:t>
      </w:r>
      <w:r>
        <w:t>5</w:t>
      </w:r>
      <w:r w:rsidRPr="004D30FF">
        <w:t xml:space="preserve"> January 2012, the State party submit</w:t>
      </w:r>
      <w:r w:rsidR="003B29E2">
        <w:t>s</w:t>
      </w:r>
      <w:r w:rsidRPr="004D30FF">
        <w:t xml:space="preserve"> that upon becoming a party to the Optional Protocol, it agreed, under article 1 thereof</w:t>
      </w:r>
      <w:r w:rsidR="007E3F60">
        <w:t>,</w:t>
      </w:r>
      <w:r w:rsidRPr="004D30FF">
        <w:t xml:space="preserve"> to recognize the competence of the Committee to receive and consider communications from individuals subject to its jurisdiction who claim to be victims of a violation by the State party of any rights </w:t>
      </w:r>
      <w:r w:rsidRPr="00E25EC9">
        <w:t>protected</w:t>
      </w:r>
      <w:r w:rsidRPr="004D30FF">
        <w:t xml:space="preserve"> by the Covenant. It notes, however, that that recognition was undertaken in conjunction with other provisions of the Optional Protocol, including those establishing criteria regarding petitioners and the admissibility of their communications, in particular articles 2 and 5. The State party maintains that, under the Optional Protocol, States parties have no obligation to recognize the Committee’s rules of procedure nor its interpretation of the provisions of the Optional Protocol, which could only be effective when done in accordance with the Vienna Convention on the Law of Treaties. It submits that, in relation to the complaint procedure, States parties should be guided first and foremost by the provisions of the Optional Protocol, and </w:t>
      </w:r>
      <w:r w:rsidRPr="00417C1F">
        <w:t>that</w:t>
      </w:r>
      <w:r w:rsidRPr="004D30FF">
        <w:t xml:space="preserve"> references to the Committee’s long-standing practice, methods of work and case law are not subjects of the Optional Protocol. It also submits that any communication registered in violation of the provisions of the Optional Protocol will be viewed by the State party as incompatible with the Optional Protocol and will be rejected without comments on the admissibility or merits, and any decision taken by the Committee on such rejected communications will be considered by </w:t>
      </w:r>
      <w:r w:rsidR="003B29E2">
        <w:t>the State party’s</w:t>
      </w:r>
      <w:r w:rsidRPr="004D30FF">
        <w:t xml:space="preserve"> authorities as “invalid”. The State party considers that the present communication </w:t>
      </w:r>
      <w:r w:rsidR="007E3F60">
        <w:t>and</w:t>
      </w:r>
      <w:r w:rsidRPr="004D30FF">
        <w:t xml:space="preserve"> several other communications before the Committee were registered in violation of the Optional Protocol.</w:t>
      </w:r>
    </w:p>
    <w:p w14:paraId="555C1DA3" w14:textId="77777777" w:rsidR="004D33F8" w:rsidRPr="00B6718D" w:rsidRDefault="008D48F4" w:rsidP="008D48F4">
      <w:pPr>
        <w:pStyle w:val="H23G"/>
      </w:pPr>
      <w:r>
        <w:tab/>
      </w:r>
      <w:r>
        <w:tab/>
      </w:r>
      <w:r w:rsidR="004D33F8">
        <w:t>Author’s comments on the State party’s observations</w:t>
      </w:r>
    </w:p>
    <w:p w14:paraId="49E9DF57" w14:textId="77777777" w:rsidR="004D33F8" w:rsidRDefault="004D33F8" w:rsidP="007E3F60">
      <w:pPr>
        <w:pStyle w:val="SingleTxtG"/>
      </w:pPr>
      <w:r>
        <w:t>5.1</w:t>
      </w:r>
      <w:r>
        <w:tab/>
      </w:r>
      <w:r w:rsidR="007E3F60">
        <w:t>In a</w:t>
      </w:r>
      <w:r w:rsidR="00B2266D">
        <w:t xml:space="preserve"> letter </w:t>
      </w:r>
      <w:r w:rsidR="007E3F60">
        <w:t>dated</w:t>
      </w:r>
      <w:r>
        <w:t xml:space="preserve"> 4 January 2012, the author reiterate</w:t>
      </w:r>
      <w:r w:rsidR="007E3F60">
        <w:t>s</w:t>
      </w:r>
      <w:r>
        <w:t xml:space="preserve"> his initial claims and refer</w:t>
      </w:r>
      <w:r w:rsidR="007E3F60">
        <w:t>s expressly</w:t>
      </w:r>
      <w:r>
        <w:t xml:space="preserve"> to article 21 of the Covenant</w:t>
      </w:r>
      <w:r w:rsidR="007E3F60">
        <w:t>,</w:t>
      </w:r>
      <w:r>
        <w:t xml:space="preserve"> </w:t>
      </w:r>
      <w:r w:rsidR="00F7630F">
        <w:t xml:space="preserve">claiming that his right to peaceful assembly has been violated. </w:t>
      </w:r>
    </w:p>
    <w:p w14:paraId="2C29E060" w14:textId="77777777" w:rsidR="0058440A" w:rsidRDefault="007723E8" w:rsidP="0046193D">
      <w:pPr>
        <w:pStyle w:val="SingleTxtG"/>
      </w:pPr>
      <w:r>
        <w:t>5.2</w:t>
      </w:r>
      <w:r>
        <w:tab/>
      </w:r>
      <w:r w:rsidR="00F7630F">
        <w:t xml:space="preserve">Further, the author recalls that he appealed unsuccessfully the decision of the District Court to the Supreme Court under the supervisory review procedure. </w:t>
      </w:r>
      <w:r w:rsidR="00B2266D">
        <w:t>T</w:t>
      </w:r>
      <w:r w:rsidR="00F7630F">
        <w:t xml:space="preserve">he Supreme Court, as a supervisory body, examined his appeal in a perfunctory manner, which made him believe that the supervisory review procedure in Belarus cannot be considered </w:t>
      </w:r>
      <w:r w:rsidR="007E3F60">
        <w:t xml:space="preserve">as </w:t>
      </w:r>
      <w:r w:rsidR="00B2266D">
        <w:t xml:space="preserve">constituting </w:t>
      </w:r>
      <w:r w:rsidR="00F7630F">
        <w:t xml:space="preserve">an effective domestic remedy. He </w:t>
      </w:r>
      <w:r w:rsidR="001B2EFB">
        <w:t xml:space="preserve">does not consider the supervisory review that is initiated by the </w:t>
      </w:r>
      <w:r w:rsidR="00F7630F" w:rsidRPr="0046193D">
        <w:t>General Prosecutor’s Office</w:t>
      </w:r>
      <w:r w:rsidR="001B2EFB">
        <w:t xml:space="preserve"> </w:t>
      </w:r>
      <w:r w:rsidR="003B29E2">
        <w:t>to be</w:t>
      </w:r>
      <w:r w:rsidR="001B2EFB">
        <w:t xml:space="preserve"> an effective domestic remedy either and</w:t>
      </w:r>
      <w:r w:rsidR="00B2266D">
        <w:t xml:space="preserve"> for th</w:t>
      </w:r>
      <w:r w:rsidR="00AC6345">
        <w:t>at</w:t>
      </w:r>
      <w:r w:rsidR="00B2266D">
        <w:t xml:space="preserve"> reason he </w:t>
      </w:r>
      <w:r w:rsidR="001B2EFB">
        <w:t>has not attempted to exhaust such a remedy.</w:t>
      </w:r>
    </w:p>
    <w:p w14:paraId="5D919F8F" w14:textId="77777777" w:rsidR="00F7630F" w:rsidRDefault="0058440A" w:rsidP="0074179F">
      <w:pPr>
        <w:pStyle w:val="SingleTxtG"/>
      </w:pPr>
      <w:r>
        <w:t>5.3</w:t>
      </w:r>
      <w:r>
        <w:tab/>
        <w:t xml:space="preserve">The author </w:t>
      </w:r>
      <w:r w:rsidR="00B2266D">
        <w:t xml:space="preserve">further </w:t>
      </w:r>
      <w:r>
        <w:t>assert</w:t>
      </w:r>
      <w:r w:rsidR="00B2266D">
        <w:t>s</w:t>
      </w:r>
      <w:r>
        <w:t xml:space="preserve"> that his illegal removal from the location where the picket was held </w:t>
      </w:r>
      <w:r w:rsidR="00803EE5">
        <w:t xml:space="preserve">prevented him from exercising his right to peaceful assembly. He </w:t>
      </w:r>
      <w:r w:rsidR="00B2266D">
        <w:t xml:space="preserve">reiterates that </w:t>
      </w:r>
      <w:r w:rsidR="00803EE5">
        <w:t xml:space="preserve">the assembly was peaceful and aimed </w:t>
      </w:r>
      <w:r w:rsidR="00B2266D">
        <w:t>at</w:t>
      </w:r>
      <w:r w:rsidR="00803EE5">
        <w:t xml:space="preserve"> infor</w:t>
      </w:r>
      <w:r w:rsidR="00B6718D">
        <w:t>m</w:t>
      </w:r>
      <w:r w:rsidR="00B2266D">
        <w:t>ing</w:t>
      </w:r>
      <w:r w:rsidR="00803EE5">
        <w:t xml:space="preserve"> the inhabitants of Vitebsk of the author’s opinion on the upcoming </w:t>
      </w:r>
      <w:r w:rsidR="00AC6345">
        <w:t>p</w:t>
      </w:r>
      <w:r w:rsidR="00803EE5">
        <w:t>residential elections.</w:t>
      </w:r>
    </w:p>
    <w:p w14:paraId="36A3253D" w14:textId="77777777" w:rsidR="00E25EC9" w:rsidRPr="00AE65AB" w:rsidRDefault="00E25EC9" w:rsidP="00E25EC9">
      <w:pPr>
        <w:pStyle w:val="H23G"/>
      </w:pPr>
      <w:r>
        <w:tab/>
      </w:r>
      <w:r>
        <w:tab/>
      </w:r>
      <w:r w:rsidRPr="00AE65AB">
        <w:t xml:space="preserve">Issues and proceedings </w:t>
      </w:r>
      <w:r w:rsidRPr="00E25EC9">
        <w:t>before</w:t>
      </w:r>
      <w:r w:rsidRPr="00AE65AB">
        <w:t xml:space="preserve"> the Committee</w:t>
      </w:r>
    </w:p>
    <w:p w14:paraId="2BD86B67" w14:textId="77777777" w:rsidR="00E25EC9" w:rsidRPr="002D60F9" w:rsidRDefault="00E25EC9" w:rsidP="00E25EC9">
      <w:pPr>
        <w:pStyle w:val="H4G"/>
      </w:pPr>
      <w:r>
        <w:tab/>
      </w:r>
      <w:r>
        <w:tab/>
        <w:t xml:space="preserve">The </w:t>
      </w:r>
      <w:r w:rsidRPr="00907849">
        <w:t>State party</w:t>
      </w:r>
      <w:r>
        <w:t>’s lack of cooperation</w:t>
      </w:r>
    </w:p>
    <w:p w14:paraId="289D2AE2" w14:textId="77777777" w:rsidR="00E25EC9" w:rsidRPr="00C93256" w:rsidRDefault="001C068F" w:rsidP="00E25EC9">
      <w:pPr>
        <w:pStyle w:val="SingleTxtG"/>
      </w:pPr>
      <w:r>
        <w:t>6</w:t>
      </w:r>
      <w:r w:rsidR="00E25EC9" w:rsidRPr="00AE65AB">
        <w:t>.1</w:t>
      </w:r>
      <w:r w:rsidR="00E25EC9" w:rsidRPr="00AE65AB">
        <w:tab/>
      </w:r>
      <w:r w:rsidR="00E25EC9" w:rsidRPr="00C93256">
        <w:t>The Committee notes the State party’s assertion that there are no legal grounds for consideration of the author’s communication, insofar as it was registered in violation of the provisions of the Optional Protocol</w:t>
      </w:r>
      <w:r w:rsidR="000C54B5">
        <w:t>,</w:t>
      </w:r>
      <w:r w:rsidR="00E25EC9" w:rsidRPr="00C93256">
        <w:t xml:space="preserve"> that it has no </w:t>
      </w:r>
      <w:r w:rsidR="00E25EC9" w:rsidRPr="00E25EC9">
        <w:t>obligation</w:t>
      </w:r>
      <w:r w:rsidR="00E25EC9" w:rsidRPr="00C93256">
        <w:t xml:space="preserve"> to recognize the Committee’s rules of procedure nor the Committee’s interpretation of the provisions of the Optional </w:t>
      </w:r>
      <w:r w:rsidR="00E25EC9" w:rsidRPr="00C93256">
        <w:lastRenderedPageBreak/>
        <w:t>Protocol and that any decision taken by the Committee on the present communication will be considered “invalid” by its authorities.</w:t>
      </w:r>
    </w:p>
    <w:p w14:paraId="3082D920" w14:textId="77777777" w:rsidR="00E25EC9" w:rsidRPr="00C93256" w:rsidRDefault="001C068F" w:rsidP="00AC6345">
      <w:pPr>
        <w:pStyle w:val="SingleTxtG"/>
      </w:pPr>
      <w:r>
        <w:rPr>
          <w:rFonts w:eastAsia="SimSun"/>
        </w:rPr>
        <w:t>6</w:t>
      </w:r>
      <w:r w:rsidR="00E25EC9">
        <w:rPr>
          <w:rFonts w:eastAsia="SimSun"/>
        </w:rPr>
        <w:t>.2</w:t>
      </w:r>
      <w:r w:rsidR="00E25EC9">
        <w:rPr>
          <w:rFonts w:eastAsia="SimSun"/>
        </w:rPr>
        <w:tab/>
      </w:r>
      <w:r w:rsidR="00E25EC9" w:rsidRPr="00C93256">
        <w:t>The Committee recalls that</w:t>
      </w:r>
      <w:r w:rsidR="00AC6345">
        <w:t>,</w:t>
      </w:r>
      <w:r w:rsidR="00E25EC9" w:rsidRPr="00C93256">
        <w:t xml:space="preserve"> under article 39 </w:t>
      </w:r>
      <w:r w:rsidR="00AC6345">
        <w:t>(</w:t>
      </w:r>
      <w:r w:rsidR="00E25EC9" w:rsidRPr="00C93256">
        <w:t>2</w:t>
      </w:r>
      <w:r w:rsidR="00AC6345">
        <w:t>)</w:t>
      </w:r>
      <w:r w:rsidR="00E25EC9" w:rsidRPr="00C93256">
        <w:t xml:space="preserve"> of the Covenant</w:t>
      </w:r>
      <w:r w:rsidR="00AC6345">
        <w:t>,</w:t>
      </w:r>
      <w:r w:rsidR="00E25EC9" w:rsidRPr="00C93256">
        <w:t xml:space="preserve"> it is empowered to establish its own rules of procedure, which States </w:t>
      </w:r>
      <w:r w:rsidR="00E25EC9" w:rsidRPr="00E25EC9">
        <w:t>parties</w:t>
      </w:r>
      <w:r w:rsidR="00E25EC9" w:rsidRPr="00C93256">
        <w:t xml:space="preserve"> have agreed to recognize. It further observes that, by adhering to the Optional Protocol, a State party to the Covenant recognizes the competence of the Committee to receive and consider communications from individuals claiming to be victims of violations of any of the rights set forth in the Covenant (preamble and art. 1 of the Optional Protocol). Implicit in a State’s adherence to the Optional Protocol is the undertaking to cooperate with the Committee in good faith so as to permit and enable it to consider such communications and</w:t>
      </w:r>
      <w:r w:rsidR="00AC6345">
        <w:t>,</w:t>
      </w:r>
      <w:r w:rsidR="00E25EC9" w:rsidRPr="00C93256">
        <w:t xml:space="preserve"> after examination thereof, to forward its Views to the State party and the individual (art.</w:t>
      </w:r>
      <w:r w:rsidR="00AC6345">
        <w:t> </w:t>
      </w:r>
      <w:r w:rsidR="00E25EC9" w:rsidRPr="00C93256">
        <w:t>5</w:t>
      </w:r>
      <w:r w:rsidR="00AC6345">
        <w:t> (</w:t>
      </w:r>
      <w:r w:rsidR="00E25EC9" w:rsidRPr="00C93256">
        <w:t>1</w:t>
      </w:r>
      <w:r w:rsidR="00AC6345">
        <w:t>) </w:t>
      </w:r>
      <w:r w:rsidR="00AC6345" w:rsidRPr="00C93256">
        <w:t>and</w:t>
      </w:r>
      <w:r w:rsidR="00AC6345">
        <w:t> (</w:t>
      </w:r>
      <w:r w:rsidR="00E25EC9" w:rsidRPr="00C93256">
        <w:t>4</w:t>
      </w:r>
      <w:r w:rsidR="00AC6345">
        <w:t>)</w:t>
      </w:r>
      <w:r w:rsidR="00E25EC9" w:rsidRPr="00C93256">
        <w:t xml:space="preserve">). It is incompatible with those obligations for a State party to take any action that would prevent or frustrate the Committee in its consideration and examination of the communication, and </w:t>
      </w:r>
      <w:r w:rsidR="00E25EC9">
        <w:t>in the expression of its Views.</w:t>
      </w:r>
      <w:r w:rsidR="00E25EC9" w:rsidRPr="00CA6713">
        <w:rPr>
          <w:rStyle w:val="FootnoteReference"/>
        </w:rPr>
        <w:footnoteReference w:id="3"/>
      </w:r>
      <w:r w:rsidR="00E25EC9" w:rsidRPr="00C93256">
        <w:t xml:space="preserve"> It is up to the Committee to determine whether a communication should be registered. The Committee observes that, by failing to accept the competence of the Committee to determine whether a communication should be registered and by declaring beforehand that it will not accept the Committee’s determination on the admissibility or the merits of the communication, the State party is violating its obligations under article 1 of the Optional Protocol</w:t>
      </w:r>
      <w:r w:rsidR="00E25EC9">
        <w:t>.</w:t>
      </w:r>
      <w:r w:rsidR="00E25EC9" w:rsidRPr="00CA6713">
        <w:rPr>
          <w:rStyle w:val="FootnoteReference"/>
        </w:rPr>
        <w:footnoteReference w:id="4"/>
      </w:r>
    </w:p>
    <w:p w14:paraId="26D05CDF" w14:textId="77777777" w:rsidR="00E25EC9" w:rsidRPr="00AE65AB" w:rsidRDefault="00E25EC9" w:rsidP="00E25EC9">
      <w:pPr>
        <w:pStyle w:val="H4G"/>
      </w:pPr>
      <w:r>
        <w:tab/>
      </w:r>
      <w:r>
        <w:tab/>
      </w:r>
      <w:r w:rsidRPr="00AE65AB">
        <w:t>Consideration of admissibility</w:t>
      </w:r>
    </w:p>
    <w:p w14:paraId="22878BFD" w14:textId="77777777" w:rsidR="00E25EC9" w:rsidRPr="00AE65AB" w:rsidRDefault="001C068F" w:rsidP="000C54B5">
      <w:pPr>
        <w:pStyle w:val="SingleTxtG"/>
      </w:pPr>
      <w:r>
        <w:t>7</w:t>
      </w:r>
      <w:r w:rsidR="00E25EC9" w:rsidRPr="00AE65AB">
        <w:t>.1</w:t>
      </w:r>
      <w:r w:rsidR="00E25EC9" w:rsidRPr="00AE65AB">
        <w:tab/>
        <w:t xml:space="preserve">Before considering any claim contained in a communication, the Committee must, in accordance with rule 93 of its rules of </w:t>
      </w:r>
      <w:r w:rsidR="00E25EC9" w:rsidRPr="00E25EC9">
        <w:t>procedure</w:t>
      </w:r>
      <w:r w:rsidR="00E25EC9" w:rsidRPr="00AE65AB">
        <w:t>, decide whether the case is admissible under the Optional Protocol to the Covenant.</w:t>
      </w:r>
    </w:p>
    <w:p w14:paraId="45122C7F" w14:textId="77777777" w:rsidR="00E25EC9" w:rsidRPr="00AE65AB" w:rsidRDefault="001C068F" w:rsidP="00E25EC9">
      <w:pPr>
        <w:pStyle w:val="SingleTxtG"/>
      </w:pPr>
      <w:r>
        <w:t>7</w:t>
      </w:r>
      <w:r w:rsidR="00E25EC9" w:rsidRPr="00AE65AB">
        <w:t>.2</w:t>
      </w:r>
      <w:r w:rsidR="00E25EC9" w:rsidRPr="00AE65AB">
        <w:tab/>
        <w:t>The Committee has ascertained, as required under article 5</w:t>
      </w:r>
      <w:r w:rsidR="0084500F">
        <w:t> (</w:t>
      </w:r>
      <w:r w:rsidR="00E25EC9" w:rsidRPr="00AE65AB">
        <w:t>2</w:t>
      </w:r>
      <w:r w:rsidR="0084500F">
        <w:t>) </w:t>
      </w:r>
      <w:r w:rsidR="00E25EC9" w:rsidRPr="00AE65AB">
        <w:t xml:space="preserve">(a) of the Optional Protocol, that the same matter is not being examined under another procedure of international investigation or settlement. </w:t>
      </w:r>
    </w:p>
    <w:p w14:paraId="6541D7D4" w14:textId="77777777" w:rsidR="000C25D7" w:rsidRPr="000C25D7" w:rsidRDefault="001C068F" w:rsidP="000C54B5">
      <w:pPr>
        <w:pStyle w:val="SingleTxtG"/>
      </w:pPr>
      <w:r>
        <w:t>7</w:t>
      </w:r>
      <w:r w:rsidR="00E25EC9">
        <w:t>.3</w:t>
      </w:r>
      <w:r w:rsidR="00E25EC9" w:rsidRPr="00AE65AB">
        <w:tab/>
      </w:r>
      <w:r w:rsidR="006C1ED0">
        <w:t>The Committee has noted the St</w:t>
      </w:r>
      <w:r w:rsidR="00416823">
        <w:t>ate</w:t>
      </w:r>
      <w:r w:rsidR="006C1ED0">
        <w:t xml:space="preserve"> party’s objection to the admissibility of the communication </w:t>
      </w:r>
      <w:r w:rsidR="003B29E2">
        <w:t>on the ground that</w:t>
      </w:r>
      <w:r w:rsidR="006C1ED0">
        <w:t xml:space="preserve"> the author has not complained to the </w:t>
      </w:r>
      <w:r w:rsidR="006C1ED0" w:rsidRPr="006A4D8B">
        <w:t>prosecutor’s office</w:t>
      </w:r>
      <w:r w:rsidR="006C1ED0">
        <w:t xml:space="preserve"> under the supervisory review procedure and has not applied to the </w:t>
      </w:r>
      <w:r w:rsidR="006C1ED0" w:rsidRPr="00EA1BBE">
        <w:t>Chairperson</w:t>
      </w:r>
      <w:r w:rsidR="006C1ED0">
        <w:t xml:space="preserve"> of th</w:t>
      </w:r>
      <w:r w:rsidR="008D340B">
        <w:t>e</w:t>
      </w:r>
      <w:r w:rsidR="006C1ED0">
        <w:t xml:space="preserve"> Supreme Court with a request to review the </w:t>
      </w:r>
      <w:r w:rsidR="006C1ED0" w:rsidRPr="0046193D">
        <w:t>courts</w:t>
      </w:r>
      <w:r w:rsidR="0046193D">
        <w:t>’</w:t>
      </w:r>
      <w:r w:rsidR="006C1ED0">
        <w:t xml:space="preserve"> decisions against the author</w:t>
      </w:r>
      <w:r w:rsidR="0084500F">
        <w:t>,</w:t>
      </w:r>
      <w:r w:rsidR="008D340B">
        <w:t xml:space="preserve"> which have obtained the force of res judicata</w:t>
      </w:r>
      <w:r w:rsidR="006C1ED0">
        <w:t xml:space="preserve">. </w:t>
      </w:r>
      <w:r w:rsidR="000C25D7" w:rsidRPr="000C25D7">
        <w:t>The Committee recalls its jurisprudence</w:t>
      </w:r>
      <w:r w:rsidR="0084500F">
        <w:t>,</w:t>
      </w:r>
      <w:r w:rsidR="000C25D7" w:rsidRPr="000C25D7">
        <w:t xml:space="preserve"> according to which a petition to a </w:t>
      </w:r>
      <w:r w:rsidR="0084500F">
        <w:t>p</w:t>
      </w:r>
      <w:r w:rsidR="000C25D7" w:rsidRPr="000C25D7">
        <w:t>rosecutor</w:t>
      </w:r>
      <w:r w:rsidR="0004779D">
        <w:t>’</w:t>
      </w:r>
      <w:r w:rsidR="000C25D7" w:rsidRPr="000C25D7">
        <w:t xml:space="preserve">s </w:t>
      </w:r>
      <w:r w:rsidR="0084500F">
        <w:t>o</w:t>
      </w:r>
      <w:r w:rsidR="000C25D7" w:rsidRPr="000C25D7">
        <w:t xml:space="preserve">ffice to initiate supervisory review </w:t>
      </w:r>
      <w:r w:rsidR="0084500F">
        <w:t>of</w:t>
      </w:r>
      <w:r w:rsidR="000C25D7" w:rsidRPr="000C25D7">
        <w:t xml:space="preserve"> a judg</w:t>
      </w:r>
      <w:r w:rsidR="0084500F">
        <w:t>e</w:t>
      </w:r>
      <w:r w:rsidR="000C25D7" w:rsidRPr="000C25D7">
        <w:t xml:space="preserve">ment having the force of res judicata does not constitute an effective remedy </w:t>
      </w:r>
      <w:r w:rsidR="0084500F">
        <w:t>that</w:t>
      </w:r>
      <w:r w:rsidR="000C25D7" w:rsidRPr="000C25D7">
        <w:t xml:space="preserve"> has to be exhausted for the purposes of article 5</w:t>
      </w:r>
      <w:r w:rsidR="0084500F">
        <w:t> (</w:t>
      </w:r>
      <w:r w:rsidR="000C25D7" w:rsidRPr="000C25D7">
        <w:t>2</w:t>
      </w:r>
      <w:r w:rsidR="0084500F">
        <w:t>) </w:t>
      </w:r>
      <w:r w:rsidR="000C25D7" w:rsidRPr="000C25D7">
        <w:t>(b) of the Optional Protocol.</w:t>
      </w:r>
      <w:r w:rsidR="000C25D7" w:rsidRPr="00CA6713">
        <w:rPr>
          <w:rStyle w:val="FootnoteReference"/>
        </w:rPr>
        <w:footnoteReference w:id="5"/>
      </w:r>
      <w:r w:rsidR="000C25D7" w:rsidRPr="000C25D7">
        <w:t xml:space="preserve"> It also considers that filing requests for supervisory review to the president of a court directed against court decisions </w:t>
      </w:r>
      <w:r w:rsidR="00673ED3">
        <w:t>that</w:t>
      </w:r>
      <w:r w:rsidR="000C25D7" w:rsidRPr="000C25D7">
        <w:t xml:space="preserve"> have entered into force and depend on the discretionary power of a judge constitute an extraordinary remedy and that the State party must show that there is a reasonable prospect that such requests would provide an effective remedy in the circumstances of the case.</w:t>
      </w:r>
      <w:r w:rsidR="000C25D7" w:rsidRPr="00CA6713">
        <w:rPr>
          <w:rStyle w:val="FootnoteReference"/>
        </w:rPr>
        <w:footnoteReference w:id="6"/>
      </w:r>
      <w:r w:rsidR="000C25D7" w:rsidRPr="000C25D7">
        <w:t xml:space="preserve"> The State party has not shown, however, whether and in how </w:t>
      </w:r>
      <w:r w:rsidR="000C25D7" w:rsidRPr="000C25D7">
        <w:lastRenderedPageBreak/>
        <w:t>many cases petition</w:t>
      </w:r>
      <w:r w:rsidR="0068403A">
        <w:t>s</w:t>
      </w:r>
      <w:r w:rsidR="000C25D7" w:rsidRPr="000C25D7">
        <w:t xml:space="preserve"> </w:t>
      </w:r>
      <w:r w:rsidR="00694F69">
        <w:t>for review</w:t>
      </w:r>
      <w:r w:rsidR="0068403A">
        <w:t xml:space="preserve"> </w:t>
      </w:r>
      <w:r w:rsidR="0068403A" w:rsidRPr="0068403A">
        <w:t>submitted</w:t>
      </w:r>
      <w:r w:rsidR="00694F69">
        <w:t xml:space="preserve"> </w:t>
      </w:r>
      <w:r w:rsidR="000C25D7" w:rsidRPr="000C25D7">
        <w:t xml:space="preserve">to the president of the Supreme Court </w:t>
      </w:r>
      <w:r w:rsidR="00694F69">
        <w:t xml:space="preserve">under article 12.11 of the </w:t>
      </w:r>
      <w:r w:rsidR="00F1586F">
        <w:t>p</w:t>
      </w:r>
      <w:r w:rsidR="00694F69">
        <w:t xml:space="preserve">rocedure and </w:t>
      </w:r>
      <w:r w:rsidR="00F1586F">
        <w:t>e</w:t>
      </w:r>
      <w:r w:rsidR="00694F69">
        <w:t xml:space="preserve">xecution </w:t>
      </w:r>
      <w:r w:rsidR="00F1586F">
        <w:t>c</w:t>
      </w:r>
      <w:r w:rsidR="00694F69">
        <w:t>ode</w:t>
      </w:r>
      <w:r w:rsidR="00F1586F">
        <w:t xml:space="preserve"> </w:t>
      </w:r>
      <w:r w:rsidR="00F1586F" w:rsidRPr="00F1586F">
        <w:t>for administrative offences</w:t>
      </w:r>
      <w:r w:rsidR="00694F69">
        <w:t xml:space="preserve"> </w:t>
      </w:r>
      <w:r w:rsidR="00ED3C18">
        <w:t>have been</w:t>
      </w:r>
      <w:r w:rsidR="000C25D7" w:rsidRPr="000C25D7">
        <w:t xml:space="preserve"> successful in cases concerning the right to </w:t>
      </w:r>
      <w:r w:rsidR="00694F69">
        <w:t>freedom of expression and/or assembly</w:t>
      </w:r>
      <w:r w:rsidR="000C25D7" w:rsidRPr="000C25D7">
        <w:t xml:space="preserve">. </w:t>
      </w:r>
      <w:r w:rsidR="007E41B0">
        <w:t xml:space="preserve">The </w:t>
      </w:r>
      <w:r w:rsidR="00CF673F">
        <w:t>Committee</w:t>
      </w:r>
      <w:r w:rsidR="007E41B0">
        <w:t xml:space="preserve"> further notes that the St</w:t>
      </w:r>
      <w:r w:rsidR="00CF673F">
        <w:t>a</w:t>
      </w:r>
      <w:r w:rsidR="007E41B0">
        <w:t>t</w:t>
      </w:r>
      <w:r w:rsidR="00CF673F">
        <w:t>e</w:t>
      </w:r>
      <w:r w:rsidR="007E41B0">
        <w:t xml:space="preserve"> party has not refuted the </w:t>
      </w:r>
      <w:r w:rsidR="00C86BE1">
        <w:t>author</w:t>
      </w:r>
      <w:r w:rsidR="007E41B0">
        <w:t xml:space="preserve">’s explanation </w:t>
      </w:r>
      <w:r w:rsidR="00C86BE1">
        <w:t xml:space="preserve">that he appealed twice to the Supreme Court </w:t>
      </w:r>
      <w:r w:rsidR="00336572">
        <w:t>under the supervisory review proceedings</w:t>
      </w:r>
      <w:r w:rsidR="007E41B0">
        <w:t xml:space="preserve"> without success</w:t>
      </w:r>
      <w:r w:rsidR="002C2F1D">
        <w:t>.</w:t>
      </w:r>
      <w:r w:rsidR="007E41B0" w:rsidRPr="00CA6713">
        <w:rPr>
          <w:rStyle w:val="FootnoteReference"/>
        </w:rPr>
        <w:footnoteReference w:id="7"/>
      </w:r>
      <w:r w:rsidR="00C86BE1">
        <w:t xml:space="preserve"> </w:t>
      </w:r>
      <w:r w:rsidR="000C25D7" w:rsidRPr="000C25D7">
        <w:t>In such circumstances the Committee finds that article 5</w:t>
      </w:r>
      <w:r w:rsidR="00C83DF4">
        <w:t> (</w:t>
      </w:r>
      <w:r w:rsidR="000C25D7" w:rsidRPr="000C25D7">
        <w:t>2</w:t>
      </w:r>
      <w:r w:rsidR="00C83DF4">
        <w:t>) </w:t>
      </w:r>
      <w:r w:rsidR="000C25D7" w:rsidRPr="000C25D7">
        <w:t>(b) of the Optional Protocol does not preclude it from considering the communication.</w:t>
      </w:r>
    </w:p>
    <w:p w14:paraId="2A01DC19" w14:textId="77777777" w:rsidR="00860198" w:rsidRPr="001F1088" w:rsidRDefault="001C068F" w:rsidP="00007EE7">
      <w:pPr>
        <w:pStyle w:val="SingleTxtG"/>
      </w:pPr>
      <w:r>
        <w:t>7</w:t>
      </w:r>
      <w:r w:rsidR="008D48F4">
        <w:t>.4</w:t>
      </w:r>
      <w:r w:rsidR="008D48F4">
        <w:tab/>
      </w:r>
      <w:r w:rsidR="00860198">
        <w:t>T</w:t>
      </w:r>
      <w:r w:rsidR="00860198" w:rsidRPr="001F1088">
        <w:t>he Committee considers that the author ha</w:t>
      </w:r>
      <w:r w:rsidR="00860198">
        <w:t>s sufficiently substantiated his</w:t>
      </w:r>
      <w:r w:rsidR="00860198" w:rsidRPr="001F1088">
        <w:t xml:space="preserve"> claim</w:t>
      </w:r>
      <w:r w:rsidR="00694F69">
        <w:t>s</w:t>
      </w:r>
      <w:r w:rsidR="00860198" w:rsidRPr="001F1088">
        <w:t xml:space="preserve"> under article</w:t>
      </w:r>
      <w:r w:rsidR="00007EE7">
        <w:t>s</w:t>
      </w:r>
      <w:r w:rsidR="00860198" w:rsidRPr="001F1088">
        <w:t xml:space="preserve"> 19 </w:t>
      </w:r>
      <w:r w:rsidR="00007EE7">
        <w:t>(</w:t>
      </w:r>
      <w:r w:rsidR="00860198" w:rsidRPr="001F1088">
        <w:t>2</w:t>
      </w:r>
      <w:r w:rsidR="00007EE7">
        <w:t>)</w:t>
      </w:r>
      <w:r w:rsidR="00860198" w:rsidRPr="001F1088">
        <w:t xml:space="preserve"> and 21 of the Covenant for purposes of admissibility. It declares the communication admissible with regard to th</w:t>
      </w:r>
      <w:r w:rsidR="00ED3C18">
        <w:t>o</w:t>
      </w:r>
      <w:r w:rsidR="00860198" w:rsidRPr="001F1088">
        <w:t xml:space="preserve">se provisions of the Covenant and proceeds </w:t>
      </w:r>
      <w:r w:rsidR="00007EE7">
        <w:t>with</w:t>
      </w:r>
      <w:r w:rsidR="00860198" w:rsidRPr="001F1088">
        <w:t xml:space="preserve"> its </w:t>
      </w:r>
      <w:r w:rsidR="00007EE7">
        <w:t>consideration</w:t>
      </w:r>
      <w:r w:rsidR="00007EE7" w:rsidRPr="001F1088">
        <w:t xml:space="preserve"> </w:t>
      </w:r>
      <w:r w:rsidR="00860198" w:rsidRPr="001F1088">
        <w:t>o</w:t>
      </w:r>
      <w:r w:rsidR="00007EE7">
        <w:t>f</w:t>
      </w:r>
      <w:r w:rsidR="00860198" w:rsidRPr="001F1088">
        <w:t xml:space="preserve"> the merits.</w:t>
      </w:r>
    </w:p>
    <w:p w14:paraId="24657D21" w14:textId="77777777" w:rsidR="00E25EC9" w:rsidRPr="002D60F9" w:rsidRDefault="00E25EC9" w:rsidP="00E25EC9">
      <w:pPr>
        <w:pStyle w:val="H4G"/>
      </w:pPr>
      <w:r>
        <w:tab/>
      </w:r>
      <w:r>
        <w:tab/>
      </w:r>
      <w:r w:rsidRPr="002D60F9">
        <w:t xml:space="preserve">Consideration of </w:t>
      </w:r>
      <w:r w:rsidR="00CE05F0">
        <w:t xml:space="preserve">the </w:t>
      </w:r>
      <w:r w:rsidRPr="00E25EC9">
        <w:t>merits</w:t>
      </w:r>
    </w:p>
    <w:p w14:paraId="647E30DB" w14:textId="77777777" w:rsidR="00E25EC9" w:rsidRPr="00AE65AB" w:rsidRDefault="001C068F" w:rsidP="00007EE7">
      <w:pPr>
        <w:pStyle w:val="SingleTxtG"/>
      </w:pPr>
      <w:r>
        <w:t>8</w:t>
      </w:r>
      <w:r w:rsidR="00E25EC9" w:rsidRPr="00AE65AB">
        <w:t>.1</w:t>
      </w:r>
      <w:r w:rsidR="00E25EC9" w:rsidRPr="00AE65AB">
        <w:tab/>
        <w:t xml:space="preserve">The </w:t>
      </w:r>
      <w:r w:rsidR="00E25EC9" w:rsidRPr="00E25EC9">
        <w:t>Committee</w:t>
      </w:r>
      <w:r w:rsidR="00E25EC9" w:rsidRPr="00AE65AB">
        <w:t xml:space="preserve"> has considered the </w:t>
      </w:r>
      <w:r w:rsidR="00007EE7">
        <w:t xml:space="preserve">present </w:t>
      </w:r>
      <w:r w:rsidR="00E25EC9" w:rsidRPr="00AE65AB">
        <w:t xml:space="preserve">communication in </w:t>
      </w:r>
      <w:r w:rsidR="00007EE7">
        <w:t xml:space="preserve">the </w:t>
      </w:r>
      <w:r w:rsidR="00E25EC9" w:rsidRPr="00AE65AB">
        <w:t>light of all the information made available to it by the parties, as provided under article 5</w:t>
      </w:r>
      <w:r w:rsidR="00007EE7">
        <w:t> (</w:t>
      </w:r>
      <w:r w:rsidR="00E25EC9" w:rsidRPr="00AE65AB">
        <w:t>1</w:t>
      </w:r>
      <w:r w:rsidR="00007EE7">
        <w:t>)</w:t>
      </w:r>
      <w:r w:rsidR="00E25EC9" w:rsidRPr="00AE65AB">
        <w:t xml:space="preserve"> of the Optional Protocol.</w:t>
      </w:r>
    </w:p>
    <w:p w14:paraId="5825218A" w14:textId="77777777" w:rsidR="00E25EC9" w:rsidRDefault="001C068F" w:rsidP="007730E1">
      <w:pPr>
        <w:pStyle w:val="SingleTxtG"/>
      </w:pPr>
      <w:r>
        <w:t>8</w:t>
      </w:r>
      <w:r w:rsidR="00E25EC9" w:rsidRPr="00AE65AB">
        <w:t>.2</w:t>
      </w:r>
      <w:r w:rsidR="00E25EC9" w:rsidRPr="00AE65AB">
        <w:tab/>
      </w:r>
      <w:r w:rsidR="00E25EC9" w:rsidRPr="007B3302">
        <w:t>The issue before the Committee is whether</w:t>
      </w:r>
      <w:r w:rsidR="00E25EC9">
        <w:t xml:space="preserve"> </w:t>
      </w:r>
      <w:r w:rsidR="00E25EC9" w:rsidRPr="00AE65AB">
        <w:t xml:space="preserve">the </w:t>
      </w:r>
      <w:r w:rsidR="002D4D61">
        <w:t xml:space="preserve">apprehension of the author by police officers while standing on Lenin </w:t>
      </w:r>
      <w:r w:rsidR="00C45279">
        <w:t>S</w:t>
      </w:r>
      <w:r w:rsidR="002D4D61">
        <w:t>treet</w:t>
      </w:r>
      <w:r w:rsidR="00E35EAC">
        <w:t>,</w:t>
      </w:r>
      <w:r w:rsidR="002D4D61">
        <w:t xml:space="preserve"> </w:t>
      </w:r>
      <w:r w:rsidR="00E35EAC">
        <w:t xml:space="preserve">together with one </w:t>
      </w:r>
      <w:r w:rsidR="00007EE7">
        <w:t xml:space="preserve">other </w:t>
      </w:r>
      <w:r w:rsidR="00E35EAC">
        <w:t xml:space="preserve">person, </w:t>
      </w:r>
      <w:r w:rsidR="002D4D61">
        <w:t xml:space="preserve">and holding a banner reading </w:t>
      </w:r>
      <w:r w:rsidR="002D4D61" w:rsidRPr="002D4D61">
        <w:t xml:space="preserve">“Just </w:t>
      </w:r>
      <w:r w:rsidR="00007EE7">
        <w:t>b</w:t>
      </w:r>
      <w:r w:rsidR="002D4D61" w:rsidRPr="002D4D61">
        <w:t>oycott”</w:t>
      </w:r>
      <w:r w:rsidR="00E25EC9" w:rsidRPr="00AE65AB">
        <w:t xml:space="preserve">, with the purpose </w:t>
      </w:r>
      <w:r w:rsidR="002D4D61">
        <w:t xml:space="preserve">of expressing his civic and political position regarding the upcoming </w:t>
      </w:r>
      <w:r w:rsidR="00007EE7">
        <w:t>p</w:t>
      </w:r>
      <w:r w:rsidR="002D4D61">
        <w:t>residential elections</w:t>
      </w:r>
      <w:r w:rsidR="00007EE7">
        <w:t>,</w:t>
      </w:r>
      <w:r w:rsidR="002D4D61">
        <w:t xml:space="preserve"> and </w:t>
      </w:r>
      <w:r w:rsidR="00E35EAC">
        <w:t>the</w:t>
      </w:r>
      <w:r w:rsidR="002D4D61">
        <w:t xml:space="preserve"> subsequent administrative fine </w:t>
      </w:r>
      <w:r w:rsidR="00694F69">
        <w:t xml:space="preserve">imposed </w:t>
      </w:r>
      <w:r w:rsidR="002D4D61">
        <w:t xml:space="preserve">against him </w:t>
      </w:r>
      <w:r w:rsidR="00694F69">
        <w:t xml:space="preserve">by a court </w:t>
      </w:r>
      <w:r w:rsidR="00E25EC9" w:rsidRPr="007B3302">
        <w:t>constitute</w:t>
      </w:r>
      <w:r w:rsidR="00E25EC9">
        <w:t>d</w:t>
      </w:r>
      <w:r w:rsidR="00E25EC9" w:rsidRPr="007B3302">
        <w:t xml:space="preserve"> a violation of </w:t>
      </w:r>
      <w:r w:rsidR="00694F69">
        <w:t>his</w:t>
      </w:r>
      <w:r w:rsidR="00E25EC9" w:rsidRPr="007B3302">
        <w:t xml:space="preserve"> rights under article</w:t>
      </w:r>
      <w:r w:rsidR="00E25EC9">
        <w:t>s</w:t>
      </w:r>
      <w:r w:rsidR="00E25EC9" w:rsidRPr="007B3302">
        <w:t xml:space="preserve"> 19</w:t>
      </w:r>
      <w:r w:rsidR="002D4D61">
        <w:t xml:space="preserve"> </w:t>
      </w:r>
      <w:r w:rsidR="007730E1">
        <w:t>(</w:t>
      </w:r>
      <w:r w:rsidR="002D4D61">
        <w:t>2</w:t>
      </w:r>
      <w:r w:rsidR="007730E1">
        <w:t>)</w:t>
      </w:r>
      <w:r w:rsidR="00E25EC9" w:rsidRPr="007B3302">
        <w:t xml:space="preserve"> </w:t>
      </w:r>
      <w:r w:rsidR="00E25EC9">
        <w:t xml:space="preserve">and 21 </w:t>
      </w:r>
      <w:r w:rsidR="00E25EC9" w:rsidRPr="007B3302">
        <w:t>of the Covenant.</w:t>
      </w:r>
    </w:p>
    <w:p w14:paraId="23849F20" w14:textId="77777777" w:rsidR="00E25EC9" w:rsidRDefault="001C068F" w:rsidP="007730E1">
      <w:pPr>
        <w:pStyle w:val="SingleTxtG"/>
        <w:rPr>
          <w:vertAlign w:val="superscript"/>
        </w:rPr>
      </w:pPr>
      <w:r>
        <w:t>8</w:t>
      </w:r>
      <w:r w:rsidR="00E25EC9">
        <w:t>.3</w:t>
      </w:r>
      <w:r w:rsidR="00E25EC9">
        <w:tab/>
      </w:r>
      <w:r w:rsidR="00E25EC9" w:rsidRPr="007B3302">
        <w:t>The Committee</w:t>
      </w:r>
      <w:r w:rsidR="00E25EC9">
        <w:t xml:space="preserve"> </w:t>
      </w:r>
      <w:r w:rsidR="00E25EC9" w:rsidRPr="007B3302">
        <w:t>recalls that article 19</w:t>
      </w:r>
      <w:r w:rsidR="008030CC">
        <w:t> </w:t>
      </w:r>
      <w:r w:rsidR="007730E1">
        <w:t>(</w:t>
      </w:r>
      <w:r w:rsidR="00E25EC9" w:rsidRPr="007B3302">
        <w:t>2</w:t>
      </w:r>
      <w:r w:rsidR="007730E1">
        <w:t>)</w:t>
      </w:r>
      <w:r w:rsidR="00E25EC9" w:rsidRPr="007B3302">
        <w:t xml:space="preserve"> of the Covenant requires State</w:t>
      </w:r>
      <w:r w:rsidR="00E25EC9">
        <w:t>s</w:t>
      </w:r>
      <w:r w:rsidR="00E25EC9" w:rsidRPr="007B3302">
        <w:t xml:space="preserve"> parties to guarantee the right to freedom of expression, including the freedom to</w:t>
      </w:r>
      <w:r w:rsidR="00E25EC9">
        <w:t xml:space="preserve"> seek, receive and</w:t>
      </w:r>
      <w:r w:rsidR="00E25EC9" w:rsidRPr="007B3302">
        <w:t xml:space="preserve"> impart information</w:t>
      </w:r>
      <w:r w:rsidR="00E25EC9">
        <w:t xml:space="preserve"> and ideas of all kinds, regardless of frontiers, either orally, in writing or in print</w:t>
      </w:r>
      <w:r w:rsidR="00E25EC9" w:rsidRPr="007B3302">
        <w:t xml:space="preserve">. The Committee refers to its general comment No. 34 (2011) on </w:t>
      </w:r>
      <w:r w:rsidR="00C71CDF">
        <w:t xml:space="preserve">the </w:t>
      </w:r>
      <w:r w:rsidR="00E25EC9" w:rsidRPr="007B3302">
        <w:t>freedoms of opinion and expression,</w:t>
      </w:r>
      <w:r w:rsidR="007730E1">
        <w:t xml:space="preserve"> in particular </w:t>
      </w:r>
      <w:r w:rsidR="007730E1" w:rsidRPr="007730E1">
        <w:t>paragraph 2</w:t>
      </w:r>
      <w:r w:rsidR="007730E1">
        <w:t>,</w:t>
      </w:r>
      <w:r w:rsidR="00E25EC9" w:rsidRPr="007B3302">
        <w:t xml:space="preserve"> according to which freedom of opinion and freedom of expression are indispensable conditions for the full development of the person. They are essential for any society and constitute the foundation stone for every free and democratic society.</w:t>
      </w:r>
    </w:p>
    <w:p w14:paraId="31D948FF" w14:textId="77777777" w:rsidR="00E25EC9" w:rsidRDefault="001C068F" w:rsidP="00A316C4">
      <w:pPr>
        <w:pStyle w:val="SingleTxtG"/>
      </w:pPr>
      <w:r>
        <w:t>8</w:t>
      </w:r>
      <w:r w:rsidR="00E25EC9">
        <w:t>.4</w:t>
      </w:r>
      <w:r w:rsidR="00E25EC9">
        <w:tab/>
        <w:t xml:space="preserve">The Committee also notes that the </w:t>
      </w:r>
      <w:r w:rsidR="00E25EC9" w:rsidRPr="007B0F4F">
        <w:t>right of peaceful assembly, as guaranteed under article 21 of the Covenant, is a fundamenta</w:t>
      </w:r>
      <w:r w:rsidR="00E25EC9" w:rsidRPr="00E25EC9">
        <w:t xml:space="preserve">l </w:t>
      </w:r>
      <w:r w:rsidR="00E25EC9" w:rsidRPr="007B0F4F">
        <w:t>human right, being essential for public expression of one’s views and opinions</w:t>
      </w:r>
      <w:r w:rsidR="007730E1">
        <w:t>,</w:t>
      </w:r>
      <w:r w:rsidR="00E25EC9" w:rsidRPr="007B0F4F">
        <w:t xml:space="preserve"> and </w:t>
      </w:r>
      <w:r w:rsidR="007730E1">
        <w:t xml:space="preserve">that </w:t>
      </w:r>
      <w:r w:rsidR="00E25EC9" w:rsidRPr="007B0F4F">
        <w:t xml:space="preserve">it is indispensable in a democratic society. This right </w:t>
      </w:r>
      <w:r w:rsidR="00E25EC9" w:rsidRPr="00EF6C23">
        <w:t>includes the right to organize and participate</w:t>
      </w:r>
      <w:r w:rsidR="00E25EC9" w:rsidRPr="007B0F4F">
        <w:t xml:space="preserve"> in </w:t>
      </w:r>
      <w:r w:rsidR="00E25EC9">
        <w:t>peaceful assembl</w:t>
      </w:r>
      <w:r w:rsidR="00A316C4">
        <w:t>ies</w:t>
      </w:r>
      <w:r w:rsidR="00E25EC9">
        <w:t xml:space="preserve"> and </w:t>
      </w:r>
      <w:r w:rsidR="00A316C4">
        <w:t xml:space="preserve">demonstrations </w:t>
      </w:r>
      <w:r w:rsidR="00E25EC9" w:rsidRPr="007B0F4F">
        <w:t xml:space="preserve">to </w:t>
      </w:r>
      <w:r w:rsidR="00637BF5">
        <w:t>show</w:t>
      </w:r>
      <w:r w:rsidR="007730E1">
        <w:t xml:space="preserve"> </w:t>
      </w:r>
      <w:r w:rsidR="00E25EC9" w:rsidRPr="007B0F4F">
        <w:t>support or disapprov</w:t>
      </w:r>
      <w:r w:rsidR="007730E1">
        <w:t>al of</w:t>
      </w:r>
      <w:r w:rsidR="00E25EC9" w:rsidRPr="007B0F4F">
        <w:t xml:space="preserve"> </w:t>
      </w:r>
      <w:r w:rsidR="007730E1">
        <w:t>a</w:t>
      </w:r>
      <w:r w:rsidR="00E25EC9" w:rsidRPr="007B0F4F">
        <w:t xml:space="preserve"> particular cause.</w:t>
      </w:r>
    </w:p>
    <w:p w14:paraId="77D22537" w14:textId="77777777" w:rsidR="00E25EC9" w:rsidRDefault="001C068F" w:rsidP="008030CC">
      <w:pPr>
        <w:pStyle w:val="SingleTxtG"/>
      </w:pPr>
      <w:r>
        <w:t>8</w:t>
      </w:r>
      <w:r w:rsidR="00E25EC9">
        <w:t>.5</w:t>
      </w:r>
      <w:r w:rsidR="00E25EC9" w:rsidRPr="00AE65AB">
        <w:tab/>
        <w:t xml:space="preserve">The Committee notes that the refusal to permit the </w:t>
      </w:r>
      <w:r w:rsidR="002D4D61">
        <w:t>author</w:t>
      </w:r>
      <w:r w:rsidR="004E581A">
        <w:t>, along with others,</w:t>
      </w:r>
      <w:r w:rsidR="002D4D61">
        <w:t xml:space="preserve"> </w:t>
      </w:r>
      <w:r w:rsidR="004E581A">
        <w:t xml:space="preserve">to </w:t>
      </w:r>
      <w:r w:rsidR="002D4D61">
        <w:t>peaceful</w:t>
      </w:r>
      <w:r w:rsidR="004E581A">
        <w:t>ly</w:t>
      </w:r>
      <w:r w:rsidR="002D4D61">
        <w:t xml:space="preserve"> express </w:t>
      </w:r>
      <w:r w:rsidR="004E581A">
        <w:t>his</w:t>
      </w:r>
      <w:r w:rsidR="002D4D61">
        <w:t xml:space="preserve"> opinion</w:t>
      </w:r>
      <w:r w:rsidR="00694F69">
        <w:t xml:space="preserve"> </w:t>
      </w:r>
      <w:r w:rsidR="000D5596">
        <w:t>by</w:t>
      </w:r>
      <w:r w:rsidR="002D4D61">
        <w:t xml:space="preserve"> </w:t>
      </w:r>
      <w:r w:rsidR="00E25EC9" w:rsidRPr="00AE65AB">
        <w:t>holding a picket</w:t>
      </w:r>
      <w:r w:rsidR="000D5596">
        <w:t xml:space="preserve"> </w:t>
      </w:r>
      <w:r w:rsidR="00E25EC9" w:rsidRPr="00AE65AB">
        <w:t xml:space="preserve">aimed at drawing public attention </w:t>
      </w:r>
      <w:r w:rsidR="00E25EC9" w:rsidRPr="005F4996">
        <w:t xml:space="preserve">to </w:t>
      </w:r>
      <w:r w:rsidR="002D4D61">
        <w:t xml:space="preserve">his political position in favour of boycotting the </w:t>
      </w:r>
      <w:r w:rsidR="008030CC">
        <w:t xml:space="preserve">presidential </w:t>
      </w:r>
      <w:r w:rsidR="002D4D61">
        <w:t>elections</w:t>
      </w:r>
      <w:r w:rsidR="00E25EC9" w:rsidRPr="00AE65AB">
        <w:t xml:space="preserve"> amounted to a restriction on the exercise </w:t>
      </w:r>
      <w:r w:rsidR="004E581A">
        <w:t>by</w:t>
      </w:r>
      <w:r w:rsidR="00E25EC9" w:rsidRPr="00AE65AB">
        <w:t xml:space="preserve"> the author</w:t>
      </w:r>
      <w:r w:rsidR="004E581A">
        <w:t xml:space="preserve"> of the</w:t>
      </w:r>
      <w:r w:rsidR="00E25EC9" w:rsidRPr="00AE65AB">
        <w:t xml:space="preserve"> right to impart information</w:t>
      </w:r>
      <w:r w:rsidR="00E25EC9">
        <w:t xml:space="preserve"> and of</w:t>
      </w:r>
      <w:r w:rsidR="008030CC">
        <w:t xml:space="preserve"> the</w:t>
      </w:r>
      <w:r w:rsidR="00E25EC9">
        <w:t xml:space="preserve"> freedom of assembly</w:t>
      </w:r>
      <w:r w:rsidR="00E25EC9" w:rsidRPr="00AE65AB">
        <w:t xml:space="preserve">. Therefore, the </w:t>
      </w:r>
      <w:r w:rsidR="00E25EC9">
        <w:t xml:space="preserve">Committee must </w:t>
      </w:r>
      <w:r w:rsidR="00E25EC9" w:rsidRPr="00AE65AB">
        <w:t xml:space="preserve">verify whether the </w:t>
      </w:r>
      <w:r w:rsidR="00E25EC9" w:rsidRPr="00E25EC9">
        <w:t>restrictions</w:t>
      </w:r>
      <w:r w:rsidR="00E25EC9" w:rsidRPr="00AE65AB">
        <w:t xml:space="preserve"> imposed on the author’s rights</w:t>
      </w:r>
      <w:r w:rsidR="000350EC">
        <w:t xml:space="preserve"> described</w:t>
      </w:r>
      <w:r w:rsidR="00E25EC9" w:rsidRPr="00AE65AB">
        <w:t xml:space="preserve"> in the present communication </w:t>
      </w:r>
      <w:r w:rsidR="00E25EC9">
        <w:t xml:space="preserve">can be justified under article 19 </w:t>
      </w:r>
      <w:r w:rsidR="000350EC">
        <w:t>(</w:t>
      </w:r>
      <w:r w:rsidR="00E25EC9">
        <w:t>3</w:t>
      </w:r>
      <w:r w:rsidR="000350EC">
        <w:t>)</w:t>
      </w:r>
      <w:r w:rsidR="00E25EC9">
        <w:t xml:space="preserve"> and the second sentence of article 21 of the Covenant.</w:t>
      </w:r>
      <w:r w:rsidR="00E25EC9" w:rsidRPr="00AE65AB">
        <w:t xml:space="preserve"> </w:t>
      </w:r>
    </w:p>
    <w:p w14:paraId="53EAB33A" w14:textId="77777777" w:rsidR="00E25EC9" w:rsidRPr="00AE65AB" w:rsidRDefault="001C068F" w:rsidP="00103E0B">
      <w:pPr>
        <w:pStyle w:val="SingleTxtG"/>
      </w:pPr>
      <w:r>
        <w:t>8</w:t>
      </w:r>
      <w:r w:rsidR="00E25EC9" w:rsidRPr="009761C1">
        <w:t>.6</w:t>
      </w:r>
      <w:r w:rsidR="00E25EC9" w:rsidRPr="009761C1">
        <w:tab/>
        <w:t xml:space="preserve">The Committee recalls that </w:t>
      </w:r>
      <w:r w:rsidR="00E25EC9">
        <w:t xml:space="preserve">the rights set </w:t>
      </w:r>
      <w:r w:rsidR="00103E0B">
        <w:t>out</w:t>
      </w:r>
      <w:r w:rsidR="00E25EC9">
        <w:t xml:space="preserve"> in </w:t>
      </w:r>
      <w:r w:rsidR="00E25EC9" w:rsidRPr="009761C1">
        <w:t xml:space="preserve">article 19 </w:t>
      </w:r>
      <w:r w:rsidR="000350EC">
        <w:t>(</w:t>
      </w:r>
      <w:r w:rsidR="00E25EC9">
        <w:t>1</w:t>
      </w:r>
      <w:r w:rsidR="000350EC">
        <w:t>)</w:t>
      </w:r>
      <w:r w:rsidR="00E25EC9" w:rsidRPr="009761C1">
        <w:t xml:space="preserve"> of the Covenant </w:t>
      </w:r>
      <w:r w:rsidR="000350EC">
        <w:t>are</w:t>
      </w:r>
      <w:r w:rsidR="00E25EC9">
        <w:t xml:space="preserve"> not absolute, and that article 19 </w:t>
      </w:r>
      <w:r w:rsidR="000350EC">
        <w:t>(</w:t>
      </w:r>
      <w:r w:rsidR="00E25EC9">
        <w:t>3</w:t>
      </w:r>
      <w:r w:rsidR="000350EC">
        <w:t>)</w:t>
      </w:r>
      <w:r w:rsidR="00E25EC9">
        <w:t xml:space="preserve"> </w:t>
      </w:r>
      <w:r w:rsidR="00E25EC9" w:rsidRPr="009761C1">
        <w:t xml:space="preserve">allows certain restrictions, but only as provided by law and </w:t>
      </w:r>
      <w:r w:rsidR="000350EC">
        <w:lastRenderedPageBreak/>
        <w:t xml:space="preserve">as </w:t>
      </w:r>
      <w:r w:rsidR="00E25EC9" w:rsidRPr="009761C1">
        <w:t xml:space="preserve">necessary: (a) for respect of the rights or reputation of others; or (b) for the protection of national security or of public order, or of public health or morals. </w:t>
      </w:r>
      <w:r w:rsidR="000350EC">
        <w:t>The Committee</w:t>
      </w:r>
      <w:r w:rsidR="00E25EC9" w:rsidRPr="009761C1">
        <w:t xml:space="preserve"> observes that any restrictions on the exercise of the right</w:t>
      </w:r>
      <w:r w:rsidR="00E25EC9">
        <w:t>s provided for in</w:t>
      </w:r>
      <w:r w:rsidR="00E25EC9" w:rsidRPr="009761C1">
        <w:t xml:space="preserve"> article 19</w:t>
      </w:r>
      <w:r w:rsidR="00E25EC9">
        <w:t xml:space="preserve"> </w:t>
      </w:r>
      <w:r w:rsidR="000350EC">
        <w:t>(</w:t>
      </w:r>
      <w:r w:rsidR="00E25EC9">
        <w:t>2</w:t>
      </w:r>
      <w:r w:rsidR="000350EC">
        <w:t>)</w:t>
      </w:r>
      <w:r w:rsidR="00E25EC9" w:rsidRPr="009761C1">
        <w:t xml:space="preserve"> must conform to the strict test</w:t>
      </w:r>
      <w:r w:rsidR="000350EC">
        <w:t>s</w:t>
      </w:r>
      <w:r w:rsidR="00E25EC9" w:rsidRPr="009761C1">
        <w:t xml:space="preserve"> of necessity</w:t>
      </w:r>
      <w:r w:rsidR="00E25EC9">
        <w:t xml:space="preserve"> and proportionality</w:t>
      </w:r>
      <w:r w:rsidR="00E25EC9" w:rsidRPr="009761C1">
        <w:t xml:space="preserve"> and must be directly related to the specific need on which they are predicated.</w:t>
      </w:r>
      <w:r w:rsidR="00E25EC9" w:rsidRPr="00CA6713">
        <w:rPr>
          <w:rStyle w:val="FootnoteReference"/>
        </w:rPr>
        <w:footnoteReference w:id="8"/>
      </w:r>
      <w:r w:rsidR="00E25EC9" w:rsidRPr="009761C1">
        <w:t xml:space="preserve"> </w:t>
      </w:r>
      <w:r w:rsidR="00103E0B">
        <w:t>It</w:t>
      </w:r>
      <w:r w:rsidR="00E25EC9" w:rsidRPr="009761C1">
        <w:t xml:space="preserve"> further notes that no restrictions may be placed on the right guaranteed under article 21 other than those imposed in conformity with the law and which are necessary in a democratic society in the interests of national security or public safety, public order, the protection of public health or morals or the protection of the rights and freedoms of others.</w:t>
      </w:r>
      <w:r w:rsidR="00C1634F">
        <w:t xml:space="preserve"> </w:t>
      </w:r>
      <w:r w:rsidR="00C1634F" w:rsidRPr="002E1860">
        <w:t>When a State party imposes restrictions with the aim of reconciling an individual’s right to assembly and the aforementioned interests of general concern, it should be guided by the objective to facilitate the right, rather than seeking unnecessary or disproportionate limitations to it. The State party is thus under the obligation to justify the limitation of the right protected by article 21 of the Covenant.</w:t>
      </w:r>
    </w:p>
    <w:p w14:paraId="6DEAA8D6" w14:textId="77777777" w:rsidR="00E25EC9" w:rsidRPr="009761C1" w:rsidRDefault="001C068F" w:rsidP="00F24E55">
      <w:pPr>
        <w:pStyle w:val="SingleTxtG"/>
        <w:rPr>
          <w:snapToGrid w:val="0"/>
        </w:rPr>
      </w:pPr>
      <w:r>
        <w:t>8</w:t>
      </w:r>
      <w:r w:rsidR="00E25EC9">
        <w:t>.7</w:t>
      </w:r>
      <w:r w:rsidR="00E25EC9" w:rsidRPr="00AE65AB">
        <w:tab/>
      </w:r>
      <w:r w:rsidR="00E25EC9">
        <w:t>In this connection, t</w:t>
      </w:r>
      <w:r w:rsidR="00E25EC9" w:rsidRPr="00AE65AB">
        <w:t>he Committee notes that the State party has submitted no observations on the merits of the present communication</w:t>
      </w:r>
      <w:r w:rsidR="00E25EC9">
        <w:t xml:space="preserve"> and that, in these circumstances, due weight must be given to the author’s allegations</w:t>
      </w:r>
      <w:r w:rsidR="00E25EC9" w:rsidRPr="00AE65AB">
        <w:t xml:space="preserve">. </w:t>
      </w:r>
      <w:r w:rsidR="00E25EC9">
        <w:t>T</w:t>
      </w:r>
      <w:r w:rsidR="00E25EC9" w:rsidRPr="00AE65AB">
        <w:t xml:space="preserve">he Committee </w:t>
      </w:r>
      <w:r w:rsidR="00E25EC9">
        <w:t>notes</w:t>
      </w:r>
      <w:r w:rsidR="00E25EC9" w:rsidRPr="00AE65AB">
        <w:t xml:space="preserve"> that the author was </w:t>
      </w:r>
      <w:r w:rsidR="00E26132">
        <w:t xml:space="preserve">apprehended while </w:t>
      </w:r>
      <w:r>
        <w:t>express</w:t>
      </w:r>
      <w:r w:rsidR="00694F69">
        <w:t>ing</w:t>
      </w:r>
      <w:r>
        <w:t xml:space="preserve"> his opinion </w:t>
      </w:r>
      <w:r w:rsidR="004D33F8">
        <w:t>on</w:t>
      </w:r>
      <w:r>
        <w:t xml:space="preserve"> a political topic </w:t>
      </w:r>
      <w:r w:rsidR="00E26132">
        <w:t xml:space="preserve">and fined because </w:t>
      </w:r>
      <w:r w:rsidR="00F24E55" w:rsidRPr="00F24E55">
        <w:t xml:space="preserve">prior authorization </w:t>
      </w:r>
      <w:r w:rsidR="00F24E55">
        <w:t xml:space="preserve">for </w:t>
      </w:r>
      <w:r w:rsidR="00E26132">
        <w:t xml:space="preserve">the </w:t>
      </w:r>
      <w:r>
        <w:t xml:space="preserve">alleged </w:t>
      </w:r>
      <w:r w:rsidR="00E26132">
        <w:t xml:space="preserve">picket </w:t>
      </w:r>
      <w:r w:rsidR="00694F69">
        <w:t>h</w:t>
      </w:r>
      <w:r w:rsidR="00E26132">
        <w:t>a</w:t>
      </w:r>
      <w:r w:rsidR="00F24E55">
        <w:t>d</w:t>
      </w:r>
      <w:r w:rsidR="00E26132">
        <w:t xml:space="preserve"> </w:t>
      </w:r>
      <w:r>
        <w:t xml:space="preserve">not </w:t>
      </w:r>
      <w:r w:rsidR="00F24E55">
        <w:t>been obtained</w:t>
      </w:r>
      <w:r w:rsidR="00694F69">
        <w:t xml:space="preserve"> </w:t>
      </w:r>
      <w:r w:rsidR="00F24E55">
        <w:t>from</w:t>
      </w:r>
      <w:r>
        <w:t xml:space="preserve"> the local authorities</w:t>
      </w:r>
      <w:r w:rsidR="00694F69">
        <w:t xml:space="preserve">. The Committee considers that the authorities have thus </w:t>
      </w:r>
      <w:r w:rsidR="00E25EC9" w:rsidRPr="00AE65AB">
        <w:t>restrict</w:t>
      </w:r>
      <w:r w:rsidR="00694F69">
        <w:t>ed</w:t>
      </w:r>
      <w:r w:rsidR="00E25EC9" w:rsidRPr="00AE65AB">
        <w:t xml:space="preserve"> </w:t>
      </w:r>
      <w:r w:rsidR="00F24E55">
        <w:t>the author’s</w:t>
      </w:r>
      <w:r w:rsidR="00E25EC9" w:rsidRPr="00AE65AB">
        <w:t xml:space="preserve"> right</w:t>
      </w:r>
      <w:r w:rsidR="00E25EC9">
        <w:t xml:space="preserve"> to </w:t>
      </w:r>
      <w:r w:rsidR="00DF6D45">
        <w:t xml:space="preserve">hold and </w:t>
      </w:r>
      <w:r w:rsidR="00E25EC9" w:rsidRPr="00AE65AB">
        <w:t xml:space="preserve">impart his </w:t>
      </w:r>
      <w:r w:rsidR="003200E9">
        <w:t xml:space="preserve">political views </w:t>
      </w:r>
      <w:r w:rsidR="00403CFC" w:rsidRPr="00AE65AB">
        <w:t xml:space="preserve">regarding </w:t>
      </w:r>
      <w:r w:rsidR="00403CFC">
        <w:t xml:space="preserve">boycotting the </w:t>
      </w:r>
      <w:r w:rsidR="00F24E55">
        <w:t>p</w:t>
      </w:r>
      <w:r w:rsidR="00403CFC">
        <w:t>residential elections</w:t>
      </w:r>
      <w:r w:rsidR="00103E0B">
        <w:t>, as well as</w:t>
      </w:r>
      <w:r w:rsidR="003200E9">
        <w:t xml:space="preserve"> </w:t>
      </w:r>
      <w:r w:rsidR="001963CC">
        <w:t xml:space="preserve">his right </w:t>
      </w:r>
      <w:r w:rsidR="00103E0B">
        <w:t>to engage in</w:t>
      </w:r>
      <w:r w:rsidR="00F24E55">
        <w:t xml:space="preserve"> </w:t>
      </w:r>
      <w:r w:rsidR="003200E9">
        <w:t>peaceful assembly</w:t>
      </w:r>
      <w:r w:rsidR="001963CC">
        <w:t xml:space="preserve">, together with others, </w:t>
      </w:r>
      <w:r w:rsidR="003200E9">
        <w:t>at a location of his choice</w:t>
      </w:r>
      <w:r w:rsidR="00E25EC9" w:rsidRPr="00AE65AB">
        <w:t xml:space="preserve">. </w:t>
      </w:r>
      <w:r w:rsidR="00E25EC9">
        <w:t>T</w:t>
      </w:r>
      <w:r w:rsidR="00E25EC9" w:rsidRPr="00AE65AB">
        <w:t xml:space="preserve">he Committee notes </w:t>
      </w:r>
      <w:r w:rsidR="00DD3BD9">
        <w:t xml:space="preserve">from </w:t>
      </w:r>
      <w:r w:rsidR="001963CC">
        <w:t>th</w:t>
      </w:r>
      <w:r w:rsidR="00DD3BD9">
        <w:t>e</w:t>
      </w:r>
      <w:r w:rsidR="001963CC">
        <w:t xml:space="preserve"> materials on file </w:t>
      </w:r>
      <w:r w:rsidR="007E41B0">
        <w:t xml:space="preserve">that </w:t>
      </w:r>
      <w:r w:rsidR="00E25EC9" w:rsidRPr="00AE65AB">
        <w:t xml:space="preserve">the </w:t>
      </w:r>
      <w:r w:rsidR="007E41B0">
        <w:t xml:space="preserve">State party’s </w:t>
      </w:r>
      <w:r w:rsidR="00E25EC9" w:rsidRPr="00AE65AB">
        <w:t xml:space="preserve">authorities </w:t>
      </w:r>
      <w:r w:rsidR="001963CC">
        <w:t xml:space="preserve">and courts </w:t>
      </w:r>
      <w:r w:rsidR="00E25EC9" w:rsidRPr="00AE65AB">
        <w:t>have not explained how</w:t>
      </w:r>
      <w:r w:rsidR="0002400D">
        <w:t xml:space="preserve"> exactly</w:t>
      </w:r>
      <w:r w:rsidR="00E25EC9">
        <w:t>,</w:t>
      </w:r>
      <w:r w:rsidR="00E25EC9" w:rsidRPr="00AE65AB">
        <w:t xml:space="preserve"> in practice</w:t>
      </w:r>
      <w:r w:rsidR="00E25EC9">
        <w:t>,</w:t>
      </w:r>
      <w:r w:rsidR="00E25EC9" w:rsidRPr="00AE65AB">
        <w:t xml:space="preserve"> the restrictions imposed on the author’s rights </w:t>
      </w:r>
      <w:r w:rsidR="00E25EC9">
        <w:t>to freedom of expression and of peaceful assembly</w:t>
      </w:r>
      <w:r w:rsidR="00E25EC9" w:rsidRPr="00AE65AB">
        <w:t xml:space="preserve"> were justified under article 19 </w:t>
      </w:r>
      <w:r w:rsidR="00F24E55">
        <w:t>(</w:t>
      </w:r>
      <w:r w:rsidR="00E25EC9" w:rsidRPr="00AE65AB">
        <w:t>3</w:t>
      </w:r>
      <w:r w:rsidR="00F24E55">
        <w:t>)</w:t>
      </w:r>
      <w:r w:rsidR="00E25EC9" w:rsidRPr="00AE65AB">
        <w:t xml:space="preserve"> </w:t>
      </w:r>
      <w:r w:rsidR="00E25EC9">
        <w:t xml:space="preserve">and the second sentence of article 21 </w:t>
      </w:r>
      <w:r w:rsidR="00E25EC9" w:rsidRPr="00AE65AB">
        <w:t>of the Covenant.</w:t>
      </w:r>
      <w:r w:rsidR="00E25EC9" w:rsidRPr="00427C58">
        <w:rPr>
          <w:rStyle w:val="FootnoteReference"/>
        </w:rPr>
        <w:footnoteReference w:id="9"/>
      </w:r>
      <w:r w:rsidR="00FF5F0C" w:rsidRPr="001A5EC7">
        <w:t xml:space="preserve"> </w:t>
      </w:r>
      <w:r w:rsidR="00E25EC9" w:rsidRPr="009761C1">
        <w:rPr>
          <w:snapToGrid w:val="0"/>
        </w:rPr>
        <w:t xml:space="preserve">In this </w:t>
      </w:r>
      <w:r w:rsidR="00E25EC9" w:rsidRPr="007C6D81">
        <w:rPr>
          <w:snapToGrid w:val="0"/>
        </w:rPr>
        <w:t xml:space="preserve">connection, the Committee recalls that </w:t>
      </w:r>
      <w:r w:rsidR="00E25EC9" w:rsidRPr="009761C1">
        <w:t>it is for the State party to demonstrate that the restrictions imposed were necessary in the case in question.</w:t>
      </w:r>
      <w:r w:rsidR="00E25EC9" w:rsidRPr="00CA6713">
        <w:rPr>
          <w:rStyle w:val="FootnoteReference"/>
        </w:rPr>
        <w:footnoteReference w:id="10"/>
      </w:r>
    </w:p>
    <w:p w14:paraId="5E5C01BE" w14:textId="77777777" w:rsidR="00E25EC9" w:rsidRPr="009761C1" w:rsidRDefault="001C068F" w:rsidP="00427C58">
      <w:pPr>
        <w:pStyle w:val="SingleTxtG"/>
      </w:pPr>
      <w:r>
        <w:t>8</w:t>
      </w:r>
      <w:r w:rsidR="00E25EC9" w:rsidRPr="009761C1">
        <w:t>.8</w:t>
      </w:r>
      <w:r w:rsidR="00E25EC9">
        <w:tab/>
      </w:r>
      <w:r w:rsidR="00E25EC9" w:rsidRPr="009761C1">
        <w:t xml:space="preserve">In the circumstances </w:t>
      </w:r>
      <w:r w:rsidR="00E25EC9">
        <w:t xml:space="preserve">of the </w:t>
      </w:r>
      <w:r w:rsidR="00E25EC9" w:rsidRPr="00E25EC9">
        <w:t>present</w:t>
      </w:r>
      <w:r w:rsidR="00E25EC9">
        <w:t xml:space="preserve"> case, </w:t>
      </w:r>
      <w:r w:rsidR="00427C58">
        <w:t xml:space="preserve">and </w:t>
      </w:r>
      <w:r w:rsidR="00E25EC9" w:rsidRPr="009761C1">
        <w:t xml:space="preserve">in the absence of any other pertinent information from the State party to justify the restriction for purposes of article 19 </w:t>
      </w:r>
      <w:r w:rsidR="00427C58">
        <w:t>(</w:t>
      </w:r>
      <w:r w:rsidR="00E25EC9" w:rsidRPr="009761C1">
        <w:t>3</w:t>
      </w:r>
      <w:r w:rsidR="00427C58">
        <w:t>)</w:t>
      </w:r>
      <w:r w:rsidR="00E25EC9" w:rsidRPr="009761C1">
        <w:t xml:space="preserve"> </w:t>
      </w:r>
      <w:r w:rsidR="00E25EC9">
        <w:t xml:space="preserve">and the second sentence of article 21 of </w:t>
      </w:r>
      <w:r w:rsidR="00E25EC9" w:rsidRPr="009761C1">
        <w:t xml:space="preserve">the </w:t>
      </w:r>
      <w:r w:rsidR="007E41B0">
        <w:t xml:space="preserve">Covenant, the </w:t>
      </w:r>
      <w:r w:rsidR="00E25EC9" w:rsidRPr="009761C1">
        <w:t>Committee concludes that the author</w:t>
      </w:r>
      <w:r w:rsidR="00E25EC9">
        <w:t>’</w:t>
      </w:r>
      <w:r w:rsidR="00E25EC9" w:rsidRPr="009761C1">
        <w:t xml:space="preserve">s rights under article 19 </w:t>
      </w:r>
      <w:r w:rsidR="00427C58">
        <w:t>(</w:t>
      </w:r>
      <w:r w:rsidR="00E25EC9" w:rsidRPr="009761C1">
        <w:t>2</w:t>
      </w:r>
      <w:r w:rsidR="00427C58">
        <w:t>)</w:t>
      </w:r>
      <w:r w:rsidR="00E25EC9">
        <w:t xml:space="preserve"> and article 21 of the Covenant </w:t>
      </w:r>
      <w:r w:rsidR="00427C58">
        <w:t xml:space="preserve">have been </w:t>
      </w:r>
      <w:r w:rsidR="00E25EC9">
        <w:t>violated.</w:t>
      </w:r>
      <w:r w:rsidR="00E25EC9" w:rsidRPr="009761C1">
        <w:t xml:space="preserve"> </w:t>
      </w:r>
    </w:p>
    <w:p w14:paraId="0ABBB45D" w14:textId="77777777" w:rsidR="00E25EC9" w:rsidRPr="009B6358" w:rsidRDefault="001C068F" w:rsidP="000B2846">
      <w:pPr>
        <w:pStyle w:val="SingleTxtG"/>
      </w:pPr>
      <w:r>
        <w:t>9</w:t>
      </w:r>
      <w:r w:rsidR="00E25EC9">
        <w:t>.</w:t>
      </w:r>
      <w:r w:rsidR="00E25EC9">
        <w:tab/>
      </w:r>
      <w:r w:rsidR="00E25EC9" w:rsidRPr="009B6358">
        <w:t>The Committee, acting under article 5</w:t>
      </w:r>
      <w:r w:rsidR="00427C58">
        <w:t> (</w:t>
      </w:r>
      <w:r w:rsidR="00E25EC9" w:rsidRPr="009B6358">
        <w:t>4</w:t>
      </w:r>
      <w:r w:rsidR="00427C58">
        <w:t>)</w:t>
      </w:r>
      <w:r w:rsidR="00E25EC9" w:rsidRPr="009B6358">
        <w:t xml:space="preserve"> of the Optional Protocol, is of the </w:t>
      </w:r>
      <w:r w:rsidR="00E25EC9" w:rsidRPr="00E25EC9">
        <w:t>view</w:t>
      </w:r>
      <w:r w:rsidR="00E25EC9" w:rsidRPr="009B6358">
        <w:t xml:space="preserve"> that the facts before it disclose a violation by Belarus of article</w:t>
      </w:r>
      <w:r w:rsidR="003A2A56">
        <w:t>s</w:t>
      </w:r>
      <w:r w:rsidR="00E25EC9" w:rsidRPr="009B6358">
        <w:t xml:space="preserve"> 19 </w:t>
      </w:r>
      <w:r w:rsidR="000B2846">
        <w:t>(</w:t>
      </w:r>
      <w:r w:rsidR="00E25EC9" w:rsidRPr="009B6358">
        <w:t>2</w:t>
      </w:r>
      <w:r w:rsidR="000B2846">
        <w:t>)</w:t>
      </w:r>
      <w:r w:rsidR="00E25EC9">
        <w:t xml:space="preserve"> and 21 </w:t>
      </w:r>
      <w:r w:rsidR="00E25EC9" w:rsidRPr="009B6358">
        <w:t>of the Covenant</w:t>
      </w:r>
      <w:r w:rsidR="00E25EC9">
        <w:t>.</w:t>
      </w:r>
    </w:p>
    <w:p w14:paraId="5E02FB32" w14:textId="77777777" w:rsidR="00E25EC9" w:rsidRPr="007B3302" w:rsidRDefault="001C068F" w:rsidP="00E25EC9">
      <w:pPr>
        <w:pStyle w:val="SingleTxtG"/>
      </w:pPr>
      <w:r>
        <w:t>10</w:t>
      </w:r>
      <w:r w:rsidR="00E25EC9" w:rsidRPr="007B3302">
        <w:t>.</w:t>
      </w:r>
      <w:r w:rsidR="00E25EC9" w:rsidRPr="007B3302">
        <w:tab/>
      </w:r>
      <w:r w:rsidR="00E25EC9" w:rsidRPr="00C00847">
        <w:t>In accordance with article 2</w:t>
      </w:r>
      <w:r w:rsidR="000B2846">
        <w:t> (</w:t>
      </w:r>
      <w:r w:rsidR="00E25EC9" w:rsidRPr="00C00847">
        <w:t>3</w:t>
      </w:r>
      <w:r w:rsidR="000B2846">
        <w:t>) </w:t>
      </w:r>
      <w:r w:rsidR="00E25EC9" w:rsidRPr="00C00847">
        <w:t>(a) of the Covenant, the State party is under an obligation to provide the author with an effective remedy</w:t>
      </w:r>
      <w:r w:rsidR="0028370C">
        <w:t>. This requires it to make full reparation to individuals whose Covenant rights have been violated. Accordingly, the State party is obligated, inter alia, to provide</w:t>
      </w:r>
      <w:r w:rsidR="00E25EC9" w:rsidRPr="00C00847">
        <w:t xml:space="preserve"> reimbursement of any legal costs incurr</w:t>
      </w:r>
      <w:r w:rsidR="00E25EC9">
        <w:t>ed by the author</w:t>
      </w:r>
      <w:r w:rsidR="00E25EC9" w:rsidRPr="00C00847">
        <w:t xml:space="preserve">, together with </w:t>
      </w:r>
      <w:r w:rsidR="00C1634F">
        <w:t xml:space="preserve">adequate </w:t>
      </w:r>
      <w:r w:rsidR="00E25EC9" w:rsidRPr="00C00847">
        <w:t xml:space="preserve">compensation. </w:t>
      </w:r>
      <w:r w:rsidR="00F266A0" w:rsidRPr="008216A5">
        <w:t>The State party is also under an obligation to take steps to prevent si</w:t>
      </w:r>
      <w:r w:rsidR="00F266A0">
        <w:t xml:space="preserve">milar violations in the future. </w:t>
      </w:r>
      <w:r w:rsidR="00F266A0" w:rsidRPr="008216A5">
        <w:t xml:space="preserve">In this connection, the Committee reiterates that </w:t>
      </w:r>
      <w:r w:rsidR="00F266A0">
        <w:t xml:space="preserve">the </w:t>
      </w:r>
      <w:r w:rsidR="00F266A0" w:rsidRPr="008216A5">
        <w:t xml:space="preserve">State party should review its legislation, in particular the </w:t>
      </w:r>
      <w:r w:rsidR="00F266A0">
        <w:t>L</w:t>
      </w:r>
      <w:r w:rsidR="00F266A0" w:rsidRPr="008216A5">
        <w:t xml:space="preserve">aw </w:t>
      </w:r>
      <w:r w:rsidR="00F266A0">
        <w:t>o</w:t>
      </w:r>
      <w:r w:rsidR="00F266A0" w:rsidRPr="008216A5">
        <w:t>n Mass Events</w:t>
      </w:r>
      <w:r w:rsidR="00F266A0">
        <w:t xml:space="preserve"> of 30 December 1997</w:t>
      </w:r>
      <w:r w:rsidR="00F266A0" w:rsidRPr="008216A5">
        <w:t xml:space="preserve">, as it has been applied in the present case, with a view to </w:t>
      </w:r>
      <w:r w:rsidR="00F266A0" w:rsidRPr="008216A5">
        <w:lastRenderedPageBreak/>
        <w:t>ensuring that the right</w:t>
      </w:r>
      <w:r w:rsidR="00F266A0">
        <w:t>s</w:t>
      </w:r>
      <w:r w:rsidR="00F266A0" w:rsidRPr="008216A5">
        <w:t xml:space="preserve"> under article</w:t>
      </w:r>
      <w:r w:rsidR="00F266A0">
        <w:t xml:space="preserve">s 19 and 21 </w:t>
      </w:r>
      <w:r w:rsidR="00F266A0" w:rsidRPr="008216A5">
        <w:t>of the Covenant may be fully enjoyed in the State party.</w:t>
      </w:r>
      <w:r w:rsidR="00F266A0" w:rsidRPr="00CA6713">
        <w:rPr>
          <w:rStyle w:val="FootnoteReference"/>
        </w:rPr>
        <w:footnoteReference w:id="11"/>
      </w:r>
    </w:p>
    <w:p w14:paraId="336B9BD6" w14:textId="77777777" w:rsidR="000211EE" w:rsidRDefault="00E25EC9" w:rsidP="00254385">
      <w:pPr>
        <w:pStyle w:val="SingleTxtG"/>
        <w:rPr>
          <w:u w:val="single"/>
        </w:rPr>
      </w:pPr>
      <w:r>
        <w:t>1</w:t>
      </w:r>
      <w:r w:rsidR="001C068F">
        <w:t>1</w:t>
      </w:r>
      <w:r w:rsidRPr="007B3302">
        <w:t>.</w:t>
      </w:r>
      <w:r w:rsidRPr="007B3302">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w:t>
      </w:r>
      <w:r w:rsidR="00254385">
        <w:t>when</w:t>
      </w:r>
      <w:r w:rsidRPr="007B3302">
        <w:t xml:space="preserve">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Belarusian and Russian in the State party.</w:t>
      </w:r>
    </w:p>
    <w:p w14:paraId="42461F15" w14:textId="77777777" w:rsidR="000211EE" w:rsidRPr="000211EE" w:rsidRDefault="000211EE" w:rsidP="000211EE">
      <w:pPr>
        <w:pStyle w:val="SingleTxtG"/>
        <w:spacing w:before="240" w:after="0"/>
        <w:jc w:val="center"/>
        <w:rPr>
          <w:u w:val="single"/>
        </w:rPr>
      </w:pPr>
      <w:r>
        <w:rPr>
          <w:u w:val="single"/>
        </w:rPr>
        <w:tab/>
      </w:r>
      <w:r>
        <w:rPr>
          <w:u w:val="single"/>
        </w:rPr>
        <w:tab/>
      </w:r>
      <w:r>
        <w:rPr>
          <w:u w:val="single"/>
        </w:rPr>
        <w:tab/>
      </w:r>
    </w:p>
    <w:sectPr w:rsidR="000211EE" w:rsidRPr="000211EE" w:rsidSect="00721B06">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2-07T15:22:00Z" w:initials="Start">
    <w:p w14:paraId="09B8CE19" w14:textId="77777777" w:rsidR="00721B06" w:rsidRDefault="00721B0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NO&gt;&gt;N1527891E&lt;&lt;ODS JOB NO&gt;&gt;</w:t>
      </w:r>
    </w:p>
    <w:p w14:paraId="11C754ED" w14:textId="77777777" w:rsidR="00721B06" w:rsidRDefault="00721B06">
      <w:pPr>
        <w:pStyle w:val="CommentText"/>
      </w:pPr>
      <w:r>
        <w:t>&lt;&lt;ODS DOC SYMBOL1&gt;&gt;CCPR/C/115/D/2076/2011&lt;&lt;ODS DOC SYMBOL1&gt;&gt;</w:t>
      </w:r>
    </w:p>
    <w:p w14:paraId="2711B249" w14:textId="77777777" w:rsidR="00721B06" w:rsidRDefault="00721B06">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11B2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D2D40" w14:textId="77777777" w:rsidR="002E2E6F" w:rsidRDefault="002E2E6F"/>
  </w:endnote>
  <w:endnote w:type="continuationSeparator" w:id="0">
    <w:p w14:paraId="57DE4AC1" w14:textId="77777777" w:rsidR="002E2E6F" w:rsidRDefault="002E2E6F"/>
  </w:endnote>
  <w:endnote w:type="continuationNotice" w:id="1">
    <w:p w14:paraId="7FA5EC34" w14:textId="77777777" w:rsidR="002E2E6F" w:rsidRDefault="002E2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CAE95" w14:textId="77777777" w:rsidR="00673ED3" w:rsidRPr="00512547" w:rsidRDefault="00673ED3" w:rsidP="00512547">
    <w:pPr>
      <w:pStyle w:val="Footer"/>
      <w:tabs>
        <w:tab w:val="right" w:pos="9638"/>
      </w:tabs>
    </w:pPr>
    <w:r w:rsidRPr="00512547">
      <w:rPr>
        <w:b/>
        <w:sz w:val="18"/>
      </w:rPr>
      <w:fldChar w:fldCharType="begin"/>
    </w:r>
    <w:r w:rsidRPr="00512547">
      <w:rPr>
        <w:b/>
        <w:sz w:val="18"/>
      </w:rPr>
      <w:instrText xml:space="preserve"> PAGE  \* MERGEFORMAT </w:instrText>
    </w:r>
    <w:r w:rsidRPr="00512547">
      <w:rPr>
        <w:b/>
        <w:sz w:val="18"/>
      </w:rPr>
      <w:fldChar w:fldCharType="separate"/>
    </w:r>
    <w:r w:rsidR="00AB487C">
      <w:rPr>
        <w:b/>
        <w:noProof/>
        <w:sz w:val="18"/>
      </w:rPr>
      <w:t>2</w:t>
    </w:r>
    <w:r w:rsidRPr="0051254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9D9EF" w14:textId="77777777" w:rsidR="00673ED3" w:rsidRPr="00512547" w:rsidRDefault="00673ED3" w:rsidP="00512547">
    <w:pPr>
      <w:pStyle w:val="Footer"/>
      <w:tabs>
        <w:tab w:val="right" w:pos="9638"/>
      </w:tabs>
      <w:rPr>
        <w:b/>
        <w:sz w:val="18"/>
      </w:rPr>
    </w:pPr>
    <w:r>
      <w:tab/>
    </w:r>
    <w:r w:rsidRPr="00512547">
      <w:rPr>
        <w:b/>
        <w:sz w:val="18"/>
      </w:rPr>
      <w:fldChar w:fldCharType="begin"/>
    </w:r>
    <w:r w:rsidRPr="00512547">
      <w:rPr>
        <w:b/>
        <w:sz w:val="18"/>
      </w:rPr>
      <w:instrText xml:space="preserve"> PAGE  \* MERGEFORMAT </w:instrText>
    </w:r>
    <w:r w:rsidRPr="00512547">
      <w:rPr>
        <w:b/>
        <w:sz w:val="18"/>
      </w:rPr>
      <w:fldChar w:fldCharType="separate"/>
    </w:r>
    <w:r w:rsidR="00AB487C">
      <w:rPr>
        <w:b/>
        <w:noProof/>
        <w:sz w:val="18"/>
      </w:rPr>
      <w:t>3</w:t>
    </w:r>
    <w:r w:rsidRPr="005125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21B06" w14:paraId="37483556" w14:textId="77777777" w:rsidTr="00721B06">
      <w:tc>
        <w:tcPr>
          <w:tcW w:w="3614" w:type="dxa"/>
          <w:shd w:val="clear" w:color="auto" w:fill="auto"/>
        </w:tcPr>
        <w:p w14:paraId="3E571660" w14:textId="77777777" w:rsidR="00721B06" w:rsidRDefault="00721B06" w:rsidP="00721B06">
          <w:pPr>
            <w:pStyle w:val="Footer"/>
            <w:rPr>
              <w:sz w:val="20"/>
            </w:rPr>
          </w:pPr>
          <w:r>
            <w:rPr>
              <w:noProof/>
              <w:sz w:val="20"/>
              <w:lang w:val="en-US"/>
            </w:rPr>
            <w:drawing>
              <wp:anchor distT="0" distB="0" distL="114300" distR="114300" simplePos="0" relativeHeight="251658240" behindDoc="0" locked="0" layoutInCell="1" allowOverlap="1" wp14:anchorId="0043716D" wp14:editId="366319BF">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5/D/2076/20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076/20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GE.15-21316(E)</w:t>
          </w:r>
        </w:p>
        <w:p w14:paraId="2E023B04" w14:textId="77777777" w:rsidR="00721B06" w:rsidRPr="00721B06" w:rsidRDefault="00721B06" w:rsidP="00721B06">
          <w:pPr>
            <w:pStyle w:val="Footer"/>
            <w:rPr>
              <w:rFonts w:ascii="Barcode 3 of 9 by request" w:hAnsi="Barcode 3 of 9 by request"/>
              <w:sz w:val="24"/>
            </w:rPr>
          </w:pPr>
          <w:r>
            <w:rPr>
              <w:rFonts w:ascii="Barcode 3 of 9 by request" w:hAnsi="Barcode 3 of 9 by request"/>
              <w:sz w:val="24"/>
            </w:rPr>
            <w:t>*1521316*</w:t>
          </w:r>
        </w:p>
      </w:tc>
      <w:tc>
        <w:tcPr>
          <w:tcW w:w="4752" w:type="dxa"/>
          <w:shd w:val="clear" w:color="auto" w:fill="auto"/>
        </w:tcPr>
        <w:p w14:paraId="269EDB1A" w14:textId="77777777" w:rsidR="00721B06" w:rsidRDefault="00721B06" w:rsidP="00721B06">
          <w:pPr>
            <w:pStyle w:val="Footer"/>
            <w:spacing w:line="240" w:lineRule="atLeast"/>
            <w:jc w:val="right"/>
            <w:rPr>
              <w:sz w:val="20"/>
            </w:rPr>
          </w:pPr>
          <w:r>
            <w:rPr>
              <w:noProof/>
              <w:sz w:val="20"/>
              <w:lang w:val="en-US"/>
            </w:rPr>
            <w:drawing>
              <wp:inline distT="0" distB="0" distL="0" distR="0" wp14:anchorId="12DF823E" wp14:editId="23943BD3">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6832E341" w14:textId="77777777" w:rsidR="00721B06" w:rsidRPr="00721B06" w:rsidRDefault="00721B06" w:rsidP="00721B0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124DA" w14:textId="77777777" w:rsidR="002E2E6F" w:rsidRPr="000B175B" w:rsidRDefault="002E2E6F" w:rsidP="000B175B">
      <w:pPr>
        <w:tabs>
          <w:tab w:val="right" w:pos="2155"/>
        </w:tabs>
        <w:spacing w:after="80"/>
        <w:ind w:left="680"/>
        <w:rPr>
          <w:u w:val="single"/>
        </w:rPr>
      </w:pPr>
      <w:r>
        <w:rPr>
          <w:u w:val="single"/>
        </w:rPr>
        <w:tab/>
      </w:r>
    </w:p>
  </w:footnote>
  <w:footnote w:type="continuationSeparator" w:id="0">
    <w:p w14:paraId="344211CA" w14:textId="77777777" w:rsidR="002E2E6F" w:rsidRPr="00FC68B7" w:rsidRDefault="002E2E6F" w:rsidP="00FC68B7">
      <w:pPr>
        <w:tabs>
          <w:tab w:val="left" w:pos="2155"/>
        </w:tabs>
        <w:spacing w:after="80"/>
        <w:ind w:left="680"/>
        <w:rPr>
          <w:u w:val="single"/>
        </w:rPr>
      </w:pPr>
      <w:r>
        <w:rPr>
          <w:u w:val="single"/>
        </w:rPr>
        <w:tab/>
      </w:r>
    </w:p>
  </w:footnote>
  <w:footnote w:type="continuationNotice" w:id="1">
    <w:p w14:paraId="5CB204CB" w14:textId="77777777" w:rsidR="002E2E6F" w:rsidRDefault="002E2E6F"/>
  </w:footnote>
  <w:footnote w:id="2">
    <w:p w14:paraId="08C7C314" w14:textId="77777777" w:rsidR="00673ED3" w:rsidRPr="0032080D" w:rsidRDefault="00673ED3" w:rsidP="00D63FB3">
      <w:pPr>
        <w:pStyle w:val="FootnoteText"/>
      </w:pPr>
      <w:r w:rsidRPr="001A5EC7">
        <w:rPr>
          <w:rStyle w:val="FootnoteReference"/>
          <w:sz w:val="20"/>
          <w:vertAlign w:val="baseline"/>
        </w:rPr>
        <w:tab/>
        <w:t>*</w:t>
      </w:r>
      <w:r>
        <w:rPr>
          <w:rStyle w:val="FootnoteReference"/>
          <w:sz w:val="20"/>
          <w:vertAlign w:val="baseline"/>
        </w:rPr>
        <w:tab/>
      </w:r>
      <w:bookmarkStart w:id="2" w:name="OLE_LINK1"/>
      <w:bookmarkStart w:id="3" w:name="OLE_LINK2"/>
      <w:r w:rsidRPr="002C60C8">
        <w:t xml:space="preserve">The following members of the Committee participated in the </w:t>
      </w:r>
      <w:r>
        <w:t>consideration</w:t>
      </w:r>
      <w:r w:rsidRPr="002C60C8">
        <w:t xml:space="preserve"> of the present communication: </w:t>
      </w:r>
      <w:bookmarkEnd w:id="2"/>
      <w:bookmarkEnd w:id="3"/>
      <w:r w:rsidRPr="002C60C8">
        <w:t xml:space="preserve">Yadh </w:t>
      </w:r>
      <w:r w:rsidRPr="00221399">
        <w:t>Ben Achour, Lazhari Bouzid, Sarah Cleveland, Olivier de Frouville, Yuji</w:t>
      </w:r>
      <w:r>
        <w:t> </w:t>
      </w:r>
      <w:r w:rsidRPr="00221399">
        <w:t>Iwasawa, Ivana Jeli</w:t>
      </w:r>
      <w:r>
        <w:t>ć</w:t>
      </w:r>
      <w:r w:rsidRPr="00221399">
        <w:t>, Duncan</w:t>
      </w:r>
      <w:r>
        <w:t xml:space="preserve"> Laki</w:t>
      </w:r>
      <w:r w:rsidRPr="00221399">
        <w:t xml:space="preserve"> Muhumuza, </w:t>
      </w:r>
      <w:r w:rsidRPr="00E32694">
        <w:t>Photini Pazartzis, Mauro Politi, Sir Nigel Rodley, V</w:t>
      </w:r>
      <w:r>
        <w:t>í</w:t>
      </w:r>
      <w:r w:rsidRPr="00E32694">
        <w:t>ctor Manuel Rodríguez-Rescia, Fabián Omar Salvioli, Dheerujlall Seetulsingh, Anja</w:t>
      </w:r>
      <w:r>
        <w:t> </w:t>
      </w:r>
      <w:r w:rsidRPr="00E32694">
        <w:t>Seibert-Fohr, Yuval Shany, Konstantine Vardzelashvili and Margo Waterval</w:t>
      </w:r>
      <w:r w:rsidRPr="001A5EC7">
        <w:rPr>
          <w:lang w:val="en-GB"/>
        </w:rPr>
        <w:t>.</w:t>
      </w:r>
    </w:p>
  </w:footnote>
  <w:footnote w:id="3">
    <w:p w14:paraId="72939D4B" w14:textId="77777777" w:rsidR="00673ED3" w:rsidRPr="002D7094" w:rsidRDefault="00673ED3" w:rsidP="00E25EC9">
      <w:pPr>
        <w:pStyle w:val="FootnoteText"/>
        <w:rPr>
          <w:highlight w:val="yellow"/>
        </w:rPr>
      </w:pPr>
      <w:r>
        <w:tab/>
      </w:r>
      <w:r w:rsidRPr="00CA6713">
        <w:rPr>
          <w:rStyle w:val="FootnoteReference"/>
        </w:rPr>
        <w:footnoteRef/>
      </w:r>
      <w:r>
        <w:tab/>
      </w:r>
      <w:r w:rsidRPr="003E00B8">
        <w:t>S</w:t>
      </w:r>
      <w:r w:rsidRPr="00F824F7">
        <w:t xml:space="preserve">ee, inter alia, </w:t>
      </w:r>
      <w:r w:rsidRPr="00E25EC9">
        <w:t>communication</w:t>
      </w:r>
      <w:r w:rsidRPr="00F824F7">
        <w:t xml:space="preserve"> No. 869/1999, </w:t>
      </w:r>
      <w:r w:rsidRPr="002D7094">
        <w:rPr>
          <w:i/>
        </w:rPr>
        <w:t xml:space="preserve">Piandiong et al. </w:t>
      </w:r>
      <w:r w:rsidRPr="001A5EC7">
        <w:rPr>
          <w:i/>
        </w:rPr>
        <w:t>v.</w:t>
      </w:r>
      <w:r w:rsidRPr="002D7094">
        <w:rPr>
          <w:i/>
        </w:rPr>
        <w:t xml:space="preserve"> Philippines</w:t>
      </w:r>
      <w:r w:rsidRPr="003E00B8">
        <w:t>, Views adopted on 19 October 2000, para. 5.1.</w:t>
      </w:r>
    </w:p>
  </w:footnote>
  <w:footnote w:id="4">
    <w:p w14:paraId="24064DF1" w14:textId="77777777" w:rsidR="00673ED3" w:rsidRPr="002D7094" w:rsidRDefault="00673ED3" w:rsidP="002E62B2">
      <w:pPr>
        <w:pStyle w:val="FootnoteText"/>
        <w:rPr>
          <w:highlight w:val="yellow"/>
        </w:rPr>
      </w:pPr>
      <w:r>
        <w:tab/>
      </w:r>
      <w:r w:rsidRPr="00CA6713">
        <w:rPr>
          <w:rStyle w:val="FootnoteReference"/>
        </w:rPr>
        <w:footnoteRef/>
      </w:r>
      <w:r>
        <w:tab/>
      </w:r>
      <w:r w:rsidRPr="00F824F7">
        <w:t xml:space="preserve">See also </w:t>
      </w:r>
      <w:r w:rsidRPr="00E25EC9">
        <w:t>communications</w:t>
      </w:r>
      <w:r>
        <w:t xml:space="preserve"> No. 1949/2010</w:t>
      </w:r>
      <w:r w:rsidRPr="0084500F">
        <w:t xml:space="preserve">, </w:t>
      </w:r>
      <w:r w:rsidRPr="0084500F">
        <w:rPr>
          <w:i/>
        </w:rPr>
        <w:t>Kozlov et al</w:t>
      </w:r>
      <w:r w:rsidR="002E62B2">
        <w:rPr>
          <w:i/>
        </w:rPr>
        <w:t>.</w:t>
      </w:r>
      <w:r w:rsidRPr="0084500F">
        <w:rPr>
          <w:i/>
        </w:rPr>
        <w:t xml:space="preserve"> v. Belarus</w:t>
      </w:r>
      <w:r w:rsidRPr="0084500F">
        <w:t>, Views adopted on 25 March 2015, paras. 5.1 and 5.2</w:t>
      </w:r>
      <w:r>
        <w:t xml:space="preserve">, </w:t>
      </w:r>
      <w:r w:rsidRPr="003E00B8">
        <w:t xml:space="preserve">No. 1226/2003, </w:t>
      </w:r>
      <w:r w:rsidRPr="002D7094">
        <w:rPr>
          <w:i/>
        </w:rPr>
        <w:t xml:space="preserve">Korneenko </w:t>
      </w:r>
      <w:r w:rsidRPr="001A5EC7">
        <w:rPr>
          <w:i/>
        </w:rPr>
        <w:t>v.</w:t>
      </w:r>
      <w:r w:rsidRPr="002D7094">
        <w:rPr>
          <w:i/>
        </w:rPr>
        <w:t xml:space="preserve"> Belarus</w:t>
      </w:r>
      <w:r w:rsidRPr="003E00B8">
        <w:t>, Views adopted on 20 July 2012, paras. 8.1 and 8.2</w:t>
      </w:r>
      <w:r w:rsidR="002E62B2">
        <w:t>,</w:t>
      </w:r>
      <w:r w:rsidRPr="00822486">
        <w:t xml:space="preserve"> No. 1948/2010, </w:t>
      </w:r>
      <w:r w:rsidRPr="002D7094">
        <w:rPr>
          <w:i/>
        </w:rPr>
        <w:t>Turchenyak et al</w:t>
      </w:r>
      <w:r>
        <w:rPr>
          <w:i/>
        </w:rPr>
        <w:t>.</w:t>
      </w:r>
      <w:r w:rsidRPr="002D7094">
        <w:rPr>
          <w:i/>
        </w:rPr>
        <w:t xml:space="preserve"> </w:t>
      </w:r>
      <w:r w:rsidRPr="001A5EC7">
        <w:rPr>
          <w:i/>
        </w:rPr>
        <w:t>v.</w:t>
      </w:r>
      <w:r w:rsidRPr="002D7094">
        <w:rPr>
          <w:i/>
        </w:rPr>
        <w:t xml:space="preserve"> Belarus</w:t>
      </w:r>
      <w:r w:rsidRPr="003E00B8">
        <w:t>, Views adopted on 24 July 2013, paras. 5.1 and 5.2</w:t>
      </w:r>
      <w:r w:rsidR="002E62B2">
        <w:t>,</w:t>
      </w:r>
      <w:r>
        <w:t xml:space="preserve"> and No. 1984/2010, </w:t>
      </w:r>
      <w:r>
        <w:rPr>
          <w:i/>
        </w:rPr>
        <w:t>Pugach v. Belarus</w:t>
      </w:r>
      <w:r>
        <w:t>, Views adopted on 15 July 2015, paras</w:t>
      </w:r>
      <w:r w:rsidRPr="003E00B8">
        <w:t>.</w:t>
      </w:r>
      <w:r>
        <w:t xml:space="preserve"> 5.1 and 5.2. </w:t>
      </w:r>
    </w:p>
  </w:footnote>
  <w:footnote w:id="5">
    <w:p w14:paraId="20E8EE98" w14:textId="77777777" w:rsidR="00673ED3" w:rsidRPr="007407C9" w:rsidRDefault="00673ED3" w:rsidP="0084500F">
      <w:pPr>
        <w:pStyle w:val="FootnoteText"/>
        <w:rPr>
          <w:szCs w:val="18"/>
        </w:rPr>
      </w:pPr>
      <w:r>
        <w:rPr>
          <w:szCs w:val="18"/>
        </w:rPr>
        <w:tab/>
      </w:r>
      <w:r w:rsidRPr="00CA6713">
        <w:rPr>
          <w:rStyle w:val="FootnoteReference"/>
        </w:rPr>
        <w:footnoteRef/>
      </w:r>
      <w:r w:rsidRPr="007407C9">
        <w:rPr>
          <w:szCs w:val="18"/>
        </w:rPr>
        <w:tab/>
      </w:r>
      <w:r>
        <w:rPr>
          <w:szCs w:val="18"/>
        </w:rPr>
        <w:t>See c</w:t>
      </w:r>
      <w:r w:rsidRPr="007407C9">
        <w:rPr>
          <w:szCs w:val="18"/>
        </w:rPr>
        <w:t>ommunication</w:t>
      </w:r>
      <w:r>
        <w:rPr>
          <w:szCs w:val="18"/>
        </w:rPr>
        <w:t>s</w:t>
      </w:r>
      <w:r w:rsidRPr="007407C9">
        <w:rPr>
          <w:szCs w:val="18"/>
        </w:rPr>
        <w:t xml:space="preserve"> No. 1873/2009, </w:t>
      </w:r>
      <w:r w:rsidRPr="007407C9">
        <w:rPr>
          <w:i/>
          <w:szCs w:val="18"/>
        </w:rPr>
        <w:t>Alekseev v. Russian Federation</w:t>
      </w:r>
      <w:r w:rsidRPr="007407C9">
        <w:rPr>
          <w:szCs w:val="18"/>
        </w:rPr>
        <w:t>, Views adopted on 25 October 2013, para</w:t>
      </w:r>
      <w:r>
        <w:rPr>
          <w:szCs w:val="18"/>
        </w:rPr>
        <w:t>.</w:t>
      </w:r>
      <w:r w:rsidRPr="007407C9">
        <w:rPr>
          <w:szCs w:val="18"/>
        </w:rPr>
        <w:t xml:space="preserve"> 8.4</w:t>
      </w:r>
      <w:r>
        <w:rPr>
          <w:szCs w:val="18"/>
        </w:rPr>
        <w:t xml:space="preserve">, and No. 1985/2010, </w:t>
      </w:r>
      <w:r w:rsidRPr="002861D9">
        <w:rPr>
          <w:i/>
        </w:rPr>
        <w:t>Koktish v. Belarus</w:t>
      </w:r>
      <w:r>
        <w:t xml:space="preserve">, </w:t>
      </w:r>
      <w:r w:rsidRPr="00EA3BD0">
        <w:t>Views adopted on 24 July 2014, para.</w:t>
      </w:r>
      <w:r>
        <w:t xml:space="preserve"> </w:t>
      </w:r>
      <w:r w:rsidRPr="00EA3BD0">
        <w:t>7.3.</w:t>
      </w:r>
    </w:p>
  </w:footnote>
  <w:footnote w:id="6">
    <w:p w14:paraId="2316011B" w14:textId="77777777" w:rsidR="00673ED3" w:rsidRPr="007407C9" w:rsidRDefault="00673ED3" w:rsidP="000C54B5">
      <w:pPr>
        <w:pStyle w:val="FootnoteText"/>
      </w:pPr>
      <w:r w:rsidRPr="00A82D93">
        <w:tab/>
      </w:r>
      <w:r w:rsidRPr="00A82D93">
        <w:rPr>
          <w:rStyle w:val="FootnoteReference"/>
        </w:rPr>
        <w:footnoteRef/>
      </w:r>
      <w:r w:rsidRPr="00A82D93">
        <w:tab/>
      </w:r>
      <w:r w:rsidR="000C54B5" w:rsidRPr="000C54B5">
        <w:rPr>
          <w:lang w:val="en-GB"/>
        </w:rPr>
        <w:t xml:space="preserve">See communications No. 836/1998, </w:t>
      </w:r>
      <w:r w:rsidR="000C54B5" w:rsidRPr="000C54B5">
        <w:rPr>
          <w:i/>
          <w:lang w:val="en-GB"/>
        </w:rPr>
        <w:t>Gelazauskas v. Lithuania</w:t>
      </w:r>
      <w:r w:rsidR="000C54B5" w:rsidRPr="000C54B5">
        <w:rPr>
          <w:lang w:val="en-GB"/>
        </w:rPr>
        <w:t xml:space="preserve">, Views adopted on 17 March 2003, para. 7.4, No. 1851/2008, </w:t>
      </w:r>
      <w:r w:rsidR="000C54B5" w:rsidRPr="000C54B5">
        <w:rPr>
          <w:i/>
          <w:lang w:val="en-GB"/>
        </w:rPr>
        <w:t>Sekerko v. Belarus</w:t>
      </w:r>
      <w:r w:rsidR="000C54B5" w:rsidRPr="000C54B5">
        <w:rPr>
          <w:lang w:val="en-GB"/>
        </w:rPr>
        <w:t xml:space="preserve">, Views adopted on 28 October 2013, para. 8.3., Nos. 1919-1920/2009, </w:t>
      </w:r>
      <w:r w:rsidR="000C54B5" w:rsidRPr="000C54B5">
        <w:rPr>
          <w:i/>
          <w:lang w:val="en-GB"/>
        </w:rPr>
        <w:t>Protsko and Tolchin</w:t>
      </w:r>
      <w:r w:rsidR="000C54B5" w:rsidRPr="000C54B5">
        <w:rPr>
          <w:lang w:val="en-GB"/>
        </w:rPr>
        <w:t xml:space="preserve">, Views adopted on 1 November 2013, para. 6.5., </w:t>
      </w:r>
      <w:r w:rsidR="00C45279">
        <w:rPr>
          <w:lang w:val="en-GB"/>
        </w:rPr>
        <w:t>No. </w:t>
      </w:r>
      <w:r w:rsidR="000C54B5" w:rsidRPr="000C54B5">
        <w:rPr>
          <w:lang w:val="en-GB"/>
        </w:rPr>
        <w:t xml:space="preserve">1784/2008, </w:t>
      </w:r>
      <w:r w:rsidR="000C54B5" w:rsidRPr="000C54B5">
        <w:rPr>
          <w:i/>
          <w:lang w:val="en-GB"/>
        </w:rPr>
        <w:t>Schumilin v. Belarus</w:t>
      </w:r>
      <w:r w:rsidR="000C54B5" w:rsidRPr="000C54B5">
        <w:rPr>
          <w:lang w:val="en-GB"/>
        </w:rPr>
        <w:t xml:space="preserve">, Views adopted on 23 July 2012, para. 8.3, and No. 1814/2008, </w:t>
      </w:r>
      <w:r w:rsidR="000C54B5" w:rsidRPr="000C54B5">
        <w:rPr>
          <w:i/>
          <w:lang w:val="en-GB"/>
        </w:rPr>
        <w:t>P.L. v. Belarus</w:t>
      </w:r>
      <w:r w:rsidR="000C54B5" w:rsidRPr="000C54B5">
        <w:rPr>
          <w:lang w:val="en-GB"/>
        </w:rPr>
        <w:t>, decision of inadmissibility, 26 July 2011, para. 6.2.</w:t>
      </w:r>
      <w:r w:rsidR="000C54B5">
        <w:rPr>
          <w:lang w:val="en-GB"/>
        </w:rPr>
        <w:t xml:space="preserve"> </w:t>
      </w:r>
    </w:p>
  </w:footnote>
  <w:footnote w:id="7">
    <w:p w14:paraId="1E353204" w14:textId="77777777" w:rsidR="00673ED3" w:rsidRPr="00CF673F" w:rsidRDefault="00673ED3" w:rsidP="002C2F1D">
      <w:pPr>
        <w:pStyle w:val="FootnoteText"/>
      </w:pPr>
      <w:r>
        <w:tab/>
      </w:r>
      <w:r w:rsidRPr="00CA6713">
        <w:rPr>
          <w:rStyle w:val="FootnoteReference"/>
        </w:rPr>
        <w:footnoteRef/>
      </w:r>
      <w:r>
        <w:tab/>
        <w:t>See para. 2.3 above.</w:t>
      </w:r>
    </w:p>
  </w:footnote>
  <w:footnote w:id="8">
    <w:p w14:paraId="79CC88AF" w14:textId="77777777" w:rsidR="00673ED3" w:rsidRPr="002E0420" w:rsidRDefault="00673ED3" w:rsidP="00ED17BB">
      <w:pPr>
        <w:pStyle w:val="FootnoteText"/>
      </w:pPr>
      <w:r>
        <w:tab/>
      </w:r>
      <w:r w:rsidRPr="00CA6713">
        <w:rPr>
          <w:rStyle w:val="FootnoteReference"/>
        </w:rPr>
        <w:footnoteRef/>
      </w:r>
      <w:r>
        <w:tab/>
      </w:r>
      <w:r w:rsidR="00CE05F0">
        <w:t>See</w:t>
      </w:r>
      <w:r w:rsidR="000350EC">
        <w:t xml:space="preserve"> </w:t>
      </w:r>
      <w:r w:rsidRPr="008D48F4">
        <w:t>Committee’s</w:t>
      </w:r>
      <w:r w:rsidRPr="002E0420">
        <w:t xml:space="preserve"> general comment No. 34 (2011) on freedoms of opinion and expression, para.</w:t>
      </w:r>
      <w:r w:rsidR="000350EC">
        <w:t> </w:t>
      </w:r>
      <w:r w:rsidRPr="002E0420">
        <w:t xml:space="preserve">22. See also, for </w:t>
      </w:r>
      <w:r w:rsidRPr="00E25EC9">
        <w:t>example</w:t>
      </w:r>
      <w:r w:rsidRPr="002E0420">
        <w:t xml:space="preserve">, </w:t>
      </w:r>
      <w:r w:rsidRPr="00FA65E3">
        <w:rPr>
          <w:i/>
        </w:rPr>
        <w:t>Turchenyak et al. v. Belarus</w:t>
      </w:r>
      <w:r w:rsidRPr="002E0420">
        <w:t>, para. 7.7.</w:t>
      </w:r>
    </w:p>
  </w:footnote>
  <w:footnote w:id="9">
    <w:p w14:paraId="36A49B7C" w14:textId="77777777" w:rsidR="00673ED3" w:rsidRPr="00E9372B" w:rsidRDefault="00673ED3" w:rsidP="00E25EC9">
      <w:pPr>
        <w:pStyle w:val="FootnoteText"/>
      </w:pPr>
      <w:r>
        <w:tab/>
      </w:r>
      <w:r w:rsidRPr="00CA6713">
        <w:rPr>
          <w:rStyle w:val="FootnoteReference"/>
        </w:rPr>
        <w:footnoteRef/>
      </w:r>
      <w:r>
        <w:tab/>
      </w:r>
      <w:r w:rsidRPr="00AE65AB">
        <w:t>See</w:t>
      </w:r>
      <w:r w:rsidR="00F24E55">
        <w:t>,</w:t>
      </w:r>
      <w:r w:rsidRPr="00AE65AB">
        <w:t xml:space="preserve"> for </w:t>
      </w:r>
      <w:r w:rsidRPr="00E25EC9">
        <w:t>example</w:t>
      </w:r>
      <w:r w:rsidRPr="00AE65AB">
        <w:t xml:space="preserve"> </w:t>
      </w:r>
      <w:r w:rsidRPr="00D263B3">
        <w:rPr>
          <w:i/>
        </w:rPr>
        <w:t>Turchenyak et al. v. Belarus</w:t>
      </w:r>
      <w:r w:rsidRPr="00AE65AB">
        <w:t xml:space="preserve">, para. </w:t>
      </w:r>
      <w:r w:rsidRPr="00E9372B">
        <w:t>7.8.</w:t>
      </w:r>
    </w:p>
  </w:footnote>
  <w:footnote w:id="10">
    <w:p w14:paraId="63EDABE7" w14:textId="77777777" w:rsidR="00673ED3" w:rsidRPr="00E9372B" w:rsidRDefault="00673ED3" w:rsidP="00E25EC9">
      <w:pPr>
        <w:pStyle w:val="FootnoteText"/>
      </w:pPr>
      <w:r w:rsidRPr="00E9372B">
        <w:tab/>
      </w:r>
      <w:r w:rsidRPr="00CA6713">
        <w:rPr>
          <w:rStyle w:val="FootnoteReference"/>
        </w:rPr>
        <w:footnoteRef/>
      </w:r>
      <w:r w:rsidRPr="00E9372B">
        <w:tab/>
        <w:t>Ibid.</w:t>
      </w:r>
    </w:p>
  </w:footnote>
  <w:footnote w:id="11">
    <w:p w14:paraId="2FE89E2D" w14:textId="77777777" w:rsidR="00673ED3" w:rsidRDefault="00673ED3" w:rsidP="0081725C">
      <w:pPr>
        <w:pStyle w:val="FootnoteText"/>
      </w:pPr>
      <w:r>
        <w:tab/>
      </w:r>
      <w:r w:rsidRPr="00CA6713">
        <w:rPr>
          <w:rStyle w:val="FootnoteReference"/>
        </w:rPr>
        <w:footnoteRef/>
      </w:r>
      <w:r>
        <w:tab/>
      </w:r>
      <w:r w:rsidRPr="001A5EC7">
        <w:rPr>
          <w:spacing w:val="-2"/>
        </w:rPr>
        <w:t xml:space="preserve">See, for example, </w:t>
      </w:r>
      <w:r w:rsidRPr="001A5EC7">
        <w:rPr>
          <w:i/>
          <w:spacing w:val="-2"/>
        </w:rPr>
        <w:t>Sekerko v. Belarus</w:t>
      </w:r>
      <w:r w:rsidRPr="001A5EC7">
        <w:rPr>
          <w:spacing w:val="-2"/>
        </w:rPr>
        <w:t>, para. 11</w:t>
      </w:r>
      <w:r w:rsidR="00BA1920">
        <w:rPr>
          <w:spacing w:val="-2"/>
        </w:rPr>
        <w:t>,</w:t>
      </w:r>
      <w:r w:rsidRPr="001A5EC7">
        <w:rPr>
          <w:spacing w:val="-2"/>
        </w:rPr>
        <w:t xml:space="preserve"> </w:t>
      </w:r>
      <w:r w:rsidRPr="001A5EC7">
        <w:rPr>
          <w:i/>
          <w:spacing w:val="-2"/>
        </w:rPr>
        <w:t xml:space="preserve">Turchenyak </w:t>
      </w:r>
      <w:r w:rsidR="00EF710E" w:rsidRPr="001A5EC7">
        <w:rPr>
          <w:i/>
          <w:spacing w:val="-2"/>
        </w:rPr>
        <w:t>et al.</w:t>
      </w:r>
      <w:r w:rsidRPr="001A5EC7">
        <w:rPr>
          <w:i/>
          <w:spacing w:val="-2"/>
        </w:rPr>
        <w:t xml:space="preserve"> </w:t>
      </w:r>
      <w:r w:rsidRPr="001A5EC7">
        <w:rPr>
          <w:i/>
          <w:iCs/>
          <w:spacing w:val="-2"/>
        </w:rPr>
        <w:t>v.</w:t>
      </w:r>
      <w:r w:rsidRPr="001A5EC7">
        <w:rPr>
          <w:i/>
          <w:spacing w:val="-2"/>
        </w:rPr>
        <w:t xml:space="preserve"> Belarus</w:t>
      </w:r>
      <w:r w:rsidRPr="001A5EC7">
        <w:rPr>
          <w:iCs/>
          <w:spacing w:val="-2"/>
        </w:rPr>
        <w:t>,</w:t>
      </w:r>
      <w:r w:rsidRPr="001A5EC7">
        <w:rPr>
          <w:spacing w:val="-2"/>
        </w:rPr>
        <w:t xml:space="preserve"> para. 9</w:t>
      </w:r>
      <w:r w:rsidR="0081725C">
        <w:rPr>
          <w:spacing w:val="-2"/>
        </w:rPr>
        <w:t>,</w:t>
      </w:r>
      <w:r w:rsidRPr="001A5EC7">
        <w:rPr>
          <w:spacing w:val="-2"/>
        </w:rPr>
        <w:t xml:space="preserve"> </w:t>
      </w:r>
      <w:r w:rsidR="00EF710E" w:rsidRPr="001A5EC7">
        <w:rPr>
          <w:spacing w:val="-2"/>
        </w:rPr>
        <w:t xml:space="preserve">and communication </w:t>
      </w:r>
      <w:r w:rsidRPr="001A5EC7">
        <w:rPr>
          <w:spacing w:val="-2"/>
        </w:rPr>
        <w:t xml:space="preserve">No. 1790/2008, </w:t>
      </w:r>
      <w:r w:rsidRPr="001A5EC7">
        <w:rPr>
          <w:i/>
          <w:spacing w:val="-2"/>
        </w:rPr>
        <w:t>Govsha</w:t>
      </w:r>
      <w:r w:rsidR="00EF710E" w:rsidRPr="001A5EC7">
        <w:rPr>
          <w:i/>
          <w:spacing w:val="-2"/>
        </w:rPr>
        <w:t xml:space="preserve"> et al.</w:t>
      </w:r>
      <w:r w:rsidRPr="001A5EC7">
        <w:rPr>
          <w:i/>
          <w:spacing w:val="-2"/>
        </w:rPr>
        <w:t xml:space="preserve"> </w:t>
      </w:r>
      <w:r w:rsidRPr="001A5EC7">
        <w:rPr>
          <w:i/>
          <w:iCs/>
          <w:spacing w:val="-2"/>
        </w:rPr>
        <w:t>v.</w:t>
      </w:r>
      <w:r w:rsidRPr="001A5EC7">
        <w:rPr>
          <w:spacing w:val="-2"/>
        </w:rPr>
        <w:t xml:space="preserve"> </w:t>
      </w:r>
      <w:r w:rsidRPr="001A5EC7">
        <w:rPr>
          <w:i/>
          <w:spacing w:val="-2"/>
        </w:rPr>
        <w:t>Belarus,</w:t>
      </w:r>
      <w:r w:rsidRPr="001A5EC7">
        <w:rPr>
          <w:spacing w:val="-2"/>
        </w:rPr>
        <w:t xml:space="preserve"> Views adopted on 27 July 2012, para.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01012" w14:textId="77777777" w:rsidR="00673ED3" w:rsidRPr="00512547" w:rsidRDefault="00673ED3">
    <w:pPr>
      <w:pStyle w:val="Header"/>
    </w:pPr>
    <w:r>
      <w:t>CCPR/C/115/D/2076/2011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00B6B" w14:textId="77777777" w:rsidR="00673ED3" w:rsidRPr="00512547" w:rsidRDefault="00673ED3" w:rsidP="00512547">
    <w:pPr>
      <w:pStyle w:val="Header"/>
      <w:jc w:val="right"/>
    </w:pPr>
    <w:r>
      <w:t>CCPR/C/115/D/2076/2011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47"/>
    <w:rsid w:val="00007EE7"/>
    <w:rsid w:val="000211EE"/>
    <w:rsid w:val="0002400D"/>
    <w:rsid w:val="000272B3"/>
    <w:rsid w:val="00030BE2"/>
    <w:rsid w:val="000350EC"/>
    <w:rsid w:val="0004779D"/>
    <w:rsid w:val="00050F6B"/>
    <w:rsid w:val="000573E7"/>
    <w:rsid w:val="00057E97"/>
    <w:rsid w:val="00060C3A"/>
    <w:rsid w:val="00072C8C"/>
    <w:rsid w:val="000733B5"/>
    <w:rsid w:val="00081815"/>
    <w:rsid w:val="000931C0"/>
    <w:rsid w:val="000B03D1"/>
    <w:rsid w:val="000B175B"/>
    <w:rsid w:val="000B2846"/>
    <w:rsid w:val="000B2A66"/>
    <w:rsid w:val="000B3A0F"/>
    <w:rsid w:val="000B4EF7"/>
    <w:rsid w:val="000B69A5"/>
    <w:rsid w:val="000C25D7"/>
    <w:rsid w:val="000C2C03"/>
    <w:rsid w:val="000C2D2E"/>
    <w:rsid w:val="000C3E52"/>
    <w:rsid w:val="000C54B5"/>
    <w:rsid w:val="000C5D5C"/>
    <w:rsid w:val="000C7A1C"/>
    <w:rsid w:val="000D5596"/>
    <w:rsid w:val="000E0415"/>
    <w:rsid w:val="000F491D"/>
    <w:rsid w:val="00103D21"/>
    <w:rsid w:val="00103E0B"/>
    <w:rsid w:val="00110169"/>
    <w:rsid w:val="001103AA"/>
    <w:rsid w:val="0011642A"/>
    <w:rsid w:val="0014758D"/>
    <w:rsid w:val="00165F3A"/>
    <w:rsid w:val="00171FE2"/>
    <w:rsid w:val="00174846"/>
    <w:rsid w:val="00183968"/>
    <w:rsid w:val="001963CC"/>
    <w:rsid w:val="001A2A91"/>
    <w:rsid w:val="001A5EC7"/>
    <w:rsid w:val="001A6686"/>
    <w:rsid w:val="001B0C6A"/>
    <w:rsid w:val="001B2EFB"/>
    <w:rsid w:val="001B407C"/>
    <w:rsid w:val="001B4B04"/>
    <w:rsid w:val="001C068F"/>
    <w:rsid w:val="001C6663"/>
    <w:rsid w:val="001C7895"/>
    <w:rsid w:val="001D0C8C"/>
    <w:rsid w:val="001D110D"/>
    <w:rsid w:val="001D26DF"/>
    <w:rsid w:val="001D3A03"/>
    <w:rsid w:val="001D54A3"/>
    <w:rsid w:val="001E1A7C"/>
    <w:rsid w:val="001E33B5"/>
    <w:rsid w:val="001F1AC7"/>
    <w:rsid w:val="001F2542"/>
    <w:rsid w:val="001F29C6"/>
    <w:rsid w:val="00202DA8"/>
    <w:rsid w:val="00203ACE"/>
    <w:rsid w:val="00211E0B"/>
    <w:rsid w:val="00221399"/>
    <w:rsid w:val="0023210C"/>
    <w:rsid w:val="00254385"/>
    <w:rsid w:val="002560CC"/>
    <w:rsid w:val="0026300B"/>
    <w:rsid w:val="00267F5F"/>
    <w:rsid w:val="00273708"/>
    <w:rsid w:val="0028370C"/>
    <w:rsid w:val="00286B4D"/>
    <w:rsid w:val="002909F4"/>
    <w:rsid w:val="002C2F1D"/>
    <w:rsid w:val="002C60C8"/>
    <w:rsid w:val="002C6135"/>
    <w:rsid w:val="002D4D61"/>
    <w:rsid w:val="002E2E6F"/>
    <w:rsid w:val="002E62B2"/>
    <w:rsid w:val="002F175C"/>
    <w:rsid w:val="002F57E8"/>
    <w:rsid w:val="00301EF0"/>
    <w:rsid w:val="00304705"/>
    <w:rsid w:val="00307B91"/>
    <w:rsid w:val="00312A1C"/>
    <w:rsid w:val="003200E9"/>
    <w:rsid w:val="0032080D"/>
    <w:rsid w:val="003229D8"/>
    <w:rsid w:val="0033077D"/>
    <w:rsid w:val="00336572"/>
    <w:rsid w:val="00352709"/>
    <w:rsid w:val="00361700"/>
    <w:rsid w:val="00367567"/>
    <w:rsid w:val="00371178"/>
    <w:rsid w:val="00371B24"/>
    <w:rsid w:val="00382F59"/>
    <w:rsid w:val="0038336C"/>
    <w:rsid w:val="00387D6A"/>
    <w:rsid w:val="003934A0"/>
    <w:rsid w:val="003A2A56"/>
    <w:rsid w:val="003A6810"/>
    <w:rsid w:val="003B29E2"/>
    <w:rsid w:val="003B6302"/>
    <w:rsid w:val="003C2CC4"/>
    <w:rsid w:val="003C4BA0"/>
    <w:rsid w:val="003C79CA"/>
    <w:rsid w:val="003D4B23"/>
    <w:rsid w:val="003D594B"/>
    <w:rsid w:val="00403CFC"/>
    <w:rsid w:val="00410C89"/>
    <w:rsid w:val="0041675E"/>
    <w:rsid w:val="00416823"/>
    <w:rsid w:val="00424EC7"/>
    <w:rsid w:val="00426B9B"/>
    <w:rsid w:val="00427C58"/>
    <w:rsid w:val="004325CB"/>
    <w:rsid w:val="00435240"/>
    <w:rsid w:val="00435926"/>
    <w:rsid w:val="00436B33"/>
    <w:rsid w:val="00442A83"/>
    <w:rsid w:val="00450FDC"/>
    <w:rsid w:val="00453664"/>
    <w:rsid w:val="0045495B"/>
    <w:rsid w:val="00460256"/>
    <w:rsid w:val="0046193D"/>
    <w:rsid w:val="0046329A"/>
    <w:rsid w:val="004651CC"/>
    <w:rsid w:val="00476700"/>
    <w:rsid w:val="00487488"/>
    <w:rsid w:val="004B2CDC"/>
    <w:rsid w:val="004D1138"/>
    <w:rsid w:val="004D33F8"/>
    <w:rsid w:val="004E581A"/>
    <w:rsid w:val="004F2EFE"/>
    <w:rsid w:val="00506D2D"/>
    <w:rsid w:val="00512547"/>
    <w:rsid w:val="0052136D"/>
    <w:rsid w:val="0052775E"/>
    <w:rsid w:val="005420F2"/>
    <w:rsid w:val="00547434"/>
    <w:rsid w:val="00552A68"/>
    <w:rsid w:val="0055629B"/>
    <w:rsid w:val="005628B6"/>
    <w:rsid w:val="00575B0D"/>
    <w:rsid w:val="0058440A"/>
    <w:rsid w:val="005848B3"/>
    <w:rsid w:val="00590F87"/>
    <w:rsid w:val="00592C4A"/>
    <w:rsid w:val="00596154"/>
    <w:rsid w:val="005A6BF3"/>
    <w:rsid w:val="005B00B4"/>
    <w:rsid w:val="005B3DB3"/>
    <w:rsid w:val="005B5162"/>
    <w:rsid w:val="005C08FE"/>
    <w:rsid w:val="005D51B5"/>
    <w:rsid w:val="005E7BB8"/>
    <w:rsid w:val="005F7717"/>
    <w:rsid w:val="005F7B75"/>
    <w:rsid w:val="006001EE"/>
    <w:rsid w:val="006034E7"/>
    <w:rsid w:val="00605042"/>
    <w:rsid w:val="00611FC4"/>
    <w:rsid w:val="006176FB"/>
    <w:rsid w:val="00637BF5"/>
    <w:rsid w:val="00640B26"/>
    <w:rsid w:val="00652D0A"/>
    <w:rsid w:val="00662BB6"/>
    <w:rsid w:val="00673ED3"/>
    <w:rsid w:val="0068403A"/>
    <w:rsid w:val="00684C21"/>
    <w:rsid w:val="00694F69"/>
    <w:rsid w:val="006A4D8B"/>
    <w:rsid w:val="006B3FB4"/>
    <w:rsid w:val="006C1ED0"/>
    <w:rsid w:val="006D37AF"/>
    <w:rsid w:val="006D51D0"/>
    <w:rsid w:val="006E564B"/>
    <w:rsid w:val="006E7191"/>
    <w:rsid w:val="00703577"/>
    <w:rsid w:val="00707109"/>
    <w:rsid w:val="007106DD"/>
    <w:rsid w:val="00715E80"/>
    <w:rsid w:val="007175FC"/>
    <w:rsid w:val="00721B06"/>
    <w:rsid w:val="00721B07"/>
    <w:rsid w:val="0072632A"/>
    <w:rsid w:val="00730DB9"/>
    <w:rsid w:val="007327D5"/>
    <w:rsid w:val="0074179F"/>
    <w:rsid w:val="007629C8"/>
    <w:rsid w:val="00764B3B"/>
    <w:rsid w:val="0077128E"/>
    <w:rsid w:val="007723E8"/>
    <w:rsid w:val="007730E1"/>
    <w:rsid w:val="00780764"/>
    <w:rsid w:val="00791DE4"/>
    <w:rsid w:val="00792C00"/>
    <w:rsid w:val="007B39E3"/>
    <w:rsid w:val="007B6BA5"/>
    <w:rsid w:val="007C3390"/>
    <w:rsid w:val="007C4F4B"/>
    <w:rsid w:val="007C784F"/>
    <w:rsid w:val="007E0B2D"/>
    <w:rsid w:val="007E3F60"/>
    <w:rsid w:val="007E41B0"/>
    <w:rsid w:val="007F6611"/>
    <w:rsid w:val="007F7E5A"/>
    <w:rsid w:val="008030CC"/>
    <w:rsid w:val="00803EE5"/>
    <w:rsid w:val="008044DF"/>
    <w:rsid w:val="008105B8"/>
    <w:rsid w:val="0081487D"/>
    <w:rsid w:val="0081725C"/>
    <w:rsid w:val="008224A1"/>
    <w:rsid w:val="008242D7"/>
    <w:rsid w:val="008257B1"/>
    <w:rsid w:val="00841397"/>
    <w:rsid w:val="00843767"/>
    <w:rsid w:val="0084500F"/>
    <w:rsid w:val="00846042"/>
    <w:rsid w:val="0084717B"/>
    <w:rsid w:val="00860198"/>
    <w:rsid w:val="00861A13"/>
    <w:rsid w:val="00867010"/>
    <w:rsid w:val="008679D9"/>
    <w:rsid w:val="00875DE5"/>
    <w:rsid w:val="008979B1"/>
    <w:rsid w:val="008A1DB2"/>
    <w:rsid w:val="008A6B25"/>
    <w:rsid w:val="008A6C4F"/>
    <w:rsid w:val="008B2335"/>
    <w:rsid w:val="008D340B"/>
    <w:rsid w:val="008D48F4"/>
    <w:rsid w:val="008E0678"/>
    <w:rsid w:val="008E168C"/>
    <w:rsid w:val="008F0971"/>
    <w:rsid w:val="00901E2B"/>
    <w:rsid w:val="00910F40"/>
    <w:rsid w:val="00912C08"/>
    <w:rsid w:val="009223CA"/>
    <w:rsid w:val="00940F93"/>
    <w:rsid w:val="0095347F"/>
    <w:rsid w:val="0097136A"/>
    <w:rsid w:val="009760F3"/>
    <w:rsid w:val="009909F5"/>
    <w:rsid w:val="00990B0F"/>
    <w:rsid w:val="009A0E8D"/>
    <w:rsid w:val="009A39F2"/>
    <w:rsid w:val="009B017E"/>
    <w:rsid w:val="009B26E7"/>
    <w:rsid w:val="009C5053"/>
    <w:rsid w:val="009D5017"/>
    <w:rsid w:val="009F5E8C"/>
    <w:rsid w:val="00A00A3F"/>
    <w:rsid w:val="00A01489"/>
    <w:rsid w:val="00A23888"/>
    <w:rsid w:val="00A23E98"/>
    <w:rsid w:val="00A2642B"/>
    <w:rsid w:val="00A316C4"/>
    <w:rsid w:val="00A338F1"/>
    <w:rsid w:val="00A44615"/>
    <w:rsid w:val="00A72F22"/>
    <w:rsid w:val="00A7360F"/>
    <w:rsid w:val="00A748A6"/>
    <w:rsid w:val="00A769F4"/>
    <w:rsid w:val="00A776B4"/>
    <w:rsid w:val="00A82D93"/>
    <w:rsid w:val="00A86C1F"/>
    <w:rsid w:val="00A94361"/>
    <w:rsid w:val="00AA293C"/>
    <w:rsid w:val="00AB11DA"/>
    <w:rsid w:val="00AB487C"/>
    <w:rsid w:val="00AC3306"/>
    <w:rsid w:val="00AC6345"/>
    <w:rsid w:val="00AE4BBE"/>
    <w:rsid w:val="00B03A85"/>
    <w:rsid w:val="00B13E9B"/>
    <w:rsid w:val="00B162C6"/>
    <w:rsid w:val="00B16B00"/>
    <w:rsid w:val="00B2266D"/>
    <w:rsid w:val="00B30179"/>
    <w:rsid w:val="00B325BC"/>
    <w:rsid w:val="00B339A7"/>
    <w:rsid w:val="00B44C9A"/>
    <w:rsid w:val="00B45D59"/>
    <w:rsid w:val="00B56E4A"/>
    <w:rsid w:val="00B56E9C"/>
    <w:rsid w:val="00B63FAD"/>
    <w:rsid w:val="00B64B1F"/>
    <w:rsid w:val="00B6553F"/>
    <w:rsid w:val="00B66E5E"/>
    <w:rsid w:val="00B6718D"/>
    <w:rsid w:val="00B72DD4"/>
    <w:rsid w:val="00B755D8"/>
    <w:rsid w:val="00B77D05"/>
    <w:rsid w:val="00B806D6"/>
    <w:rsid w:val="00B81206"/>
    <w:rsid w:val="00B815FC"/>
    <w:rsid w:val="00B81E12"/>
    <w:rsid w:val="00B87093"/>
    <w:rsid w:val="00B9067B"/>
    <w:rsid w:val="00B95AE4"/>
    <w:rsid w:val="00BA1920"/>
    <w:rsid w:val="00BC2C23"/>
    <w:rsid w:val="00BC2EFF"/>
    <w:rsid w:val="00BC74E9"/>
    <w:rsid w:val="00BD4248"/>
    <w:rsid w:val="00BD44B0"/>
    <w:rsid w:val="00BF5318"/>
    <w:rsid w:val="00BF68A8"/>
    <w:rsid w:val="00C11A03"/>
    <w:rsid w:val="00C1634F"/>
    <w:rsid w:val="00C278EF"/>
    <w:rsid w:val="00C45279"/>
    <w:rsid w:val="00C463DD"/>
    <w:rsid w:val="00C4724C"/>
    <w:rsid w:val="00C529C9"/>
    <w:rsid w:val="00C629A0"/>
    <w:rsid w:val="00C71CDF"/>
    <w:rsid w:val="00C745C3"/>
    <w:rsid w:val="00C83DF4"/>
    <w:rsid w:val="00C86BE1"/>
    <w:rsid w:val="00C91C0D"/>
    <w:rsid w:val="00CA1593"/>
    <w:rsid w:val="00CA6713"/>
    <w:rsid w:val="00CB6ED8"/>
    <w:rsid w:val="00CC4288"/>
    <w:rsid w:val="00CC4C4B"/>
    <w:rsid w:val="00CE05F0"/>
    <w:rsid w:val="00CE4A8F"/>
    <w:rsid w:val="00CF673F"/>
    <w:rsid w:val="00D12853"/>
    <w:rsid w:val="00D2031B"/>
    <w:rsid w:val="00D25FE2"/>
    <w:rsid w:val="00D43252"/>
    <w:rsid w:val="00D43C59"/>
    <w:rsid w:val="00D469FF"/>
    <w:rsid w:val="00D47512"/>
    <w:rsid w:val="00D47EEA"/>
    <w:rsid w:val="00D63FB3"/>
    <w:rsid w:val="00D721CC"/>
    <w:rsid w:val="00D72E11"/>
    <w:rsid w:val="00D87AE8"/>
    <w:rsid w:val="00D95303"/>
    <w:rsid w:val="00D978C6"/>
    <w:rsid w:val="00DA3111"/>
    <w:rsid w:val="00DA3C1C"/>
    <w:rsid w:val="00DB0C79"/>
    <w:rsid w:val="00DC22FD"/>
    <w:rsid w:val="00DD3BD9"/>
    <w:rsid w:val="00DD6E1B"/>
    <w:rsid w:val="00DF6D45"/>
    <w:rsid w:val="00E25EC9"/>
    <w:rsid w:val="00E26132"/>
    <w:rsid w:val="00E27346"/>
    <w:rsid w:val="00E32133"/>
    <w:rsid w:val="00E32694"/>
    <w:rsid w:val="00E35EAC"/>
    <w:rsid w:val="00E37172"/>
    <w:rsid w:val="00E71BC8"/>
    <w:rsid w:val="00E7260F"/>
    <w:rsid w:val="00E727B6"/>
    <w:rsid w:val="00E73F21"/>
    <w:rsid w:val="00E75625"/>
    <w:rsid w:val="00E779FC"/>
    <w:rsid w:val="00E85988"/>
    <w:rsid w:val="00E85A24"/>
    <w:rsid w:val="00E9372B"/>
    <w:rsid w:val="00E96630"/>
    <w:rsid w:val="00EA1BBE"/>
    <w:rsid w:val="00EA3038"/>
    <w:rsid w:val="00EB2581"/>
    <w:rsid w:val="00EC3149"/>
    <w:rsid w:val="00EC62DD"/>
    <w:rsid w:val="00ED17BB"/>
    <w:rsid w:val="00ED3C18"/>
    <w:rsid w:val="00ED7A2A"/>
    <w:rsid w:val="00EF1D7F"/>
    <w:rsid w:val="00EF4500"/>
    <w:rsid w:val="00EF710E"/>
    <w:rsid w:val="00F020D7"/>
    <w:rsid w:val="00F056D5"/>
    <w:rsid w:val="00F10983"/>
    <w:rsid w:val="00F1586F"/>
    <w:rsid w:val="00F20C3D"/>
    <w:rsid w:val="00F24E55"/>
    <w:rsid w:val="00F266A0"/>
    <w:rsid w:val="00F40E10"/>
    <w:rsid w:val="00F43E9E"/>
    <w:rsid w:val="00F44EDF"/>
    <w:rsid w:val="00F507CB"/>
    <w:rsid w:val="00F51EB7"/>
    <w:rsid w:val="00F60D91"/>
    <w:rsid w:val="00F7630F"/>
    <w:rsid w:val="00F86B75"/>
    <w:rsid w:val="00F9057C"/>
    <w:rsid w:val="00F906D7"/>
    <w:rsid w:val="00F93781"/>
    <w:rsid w:val="00FA0C59"/>
    <w:rsid w:val="00FA4F6D"/>
    <w:rsid w:val="00FB613B"/>
    <w:rsid w:val="00FC68B7"/>
    <w:rsid w:val="00FD4719"/>
    <w:rsid w:val="00FE106A"/>
    <w:rsid w:val="00FE4FFE"/>
    <w:rsid w:val="00FF0FAF"/>
    <w:rsid w:val="00FF5F0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C177"/>
  <w15:docId w15:val="{538C6527-A48A-4F81-812B-B9696FDE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43524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435240"/>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512547"/>
    <w:rPr>
      <w:rFonts w:eastAsia="SimSun"/>
      <w:sz w:val="18"/>
      <w:lang w:val="en-US" w:eastAsia="zh-CN"/>
    </w:rPr>
  </w:style>
  <w:style w:type="character" w:customStyle="1" w:styleId="SingleTxtGChar">
    <w:name w:val="_ Single Txt_G Char"/>
    <w:link w:val="SingleTxtG"/>
    <w:rsid w:val="00512547"/>
    <w:rPr>
      <w:lang w:eastAsia="en-US"/>
    </w:rPr>
  </w:style>
  <w:style w:type="paragraph" w:styleId="BalloonText">
    <w:name w:val="Balloon Text"/>
    <w:basedOn w:val="Normal"/>
    <w:link w:val="BalloonTextChar"/>
    <w:rsid w:val="004651CC"/>
    <w:pPr>
      <w:spacing w:line="240" w:lineRule="auto"/>
    </w:pPr>
    <w:rPr>
      <w:rFonts w:ascii="Tahoma" w:hAnsi="Tahoma" w:cs="Tahoma"/>
      <w:sz w:val="16"/>
      <w:szCs w:val="16"/>
    </w:rPr>
  </w:style>
  <w:style w:type="character" w:customStyle="1" w:styleId="BalloonTextChar">
    <w:name w:val="Balloon Text Char"/>
    <w:link w:val="BalloonText"/>
    <w:rsid w:val="004651CC"/>
    <w:rPr>
      <w:rFonts w:ascii="Tahoma" w:hAnsi="Tahoma" w:cs="Tahoma"/>
      <w:sz w:val="16"/>
      <w:szCs w:val="16"/>
      <w:lang w:eastAsia="en-US"/>
    </w:rPr>
  </w:style>
  <w:style w:type="character" w:styleId="CommentReference">
    <w:name w:val="annotation reference"/>
    <w:rsid w:val="001963CC"/>
    <w:rPr>
      <w:sz w:val="16"/>
      <w:szCs w:val="16"/>
    </w:rPr>
  </w:style>
  <w:style w:type="paragraph" w:styleId="CommentText">
    <w:name w:val="annotation text"/>
    <w:basedOn w:val="Normal"/>
    <w:link w:val="CommentTextChar"/>
    <w:rsid w:val="001963CC"/>
  </w:style>
  <w:style w:type="character" w:customStyle="1" w:styleId="CommentTextChar">
    <w:name w:val="Comment Text Char"/>
    <w:link w:val="CommentText"/>
    <w:rsid w:val="001963CC"/>
    <w:rPr>
      <w:lang w:eastAsia="en-US"/>
    </w:rPr>
  </w:style>
  <w:style w:type="paragraph" w:styleId="CommentSubject">
    <w:name w:val="annotation subject"/>
    <w:basedOn w:val="CommentText"/>
    <w:next w:val="CommentText"/>
    <w:link w:val="CommentSubjectChar"/>
    <w:rsid w:val="001963CC"/>
    <w:rPr>
      <w:b/>
      <w:bCs/>
    </w:rPr>
  </w:style>
  <w:style w:type="character" w:customStyle="1" w:styleId="CommentSubjectChar">
    <w:name w:val="Comment Subject Char"/>
    <w:link w:val="CommentSubject"/>
    <w:rsid w:val="001963CC"/>
    <w:rPr>
      <w:b/>
      <w:bCs/>
      <w:lang w:eastAsia="en-US"/>
    </w:rPr>
  </w:style>
  <w:style w:type="paragraph" w:styleId="Revision">
    <w:name w:val="Revision"/>
    <w:hidden/>
    <w:uiPriority w:val="99"/>
    <w:semiHidden/>
    <w:rsid w:val="00901E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A1763-9555-4E89-9F3A-FF85FB78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8</Pages>
  <Words>3176</Words>
  <Characters>18109</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Viktoria Saprykina-Houdemer</dc:creator>
  <cp:lastModifiedBy>Sarah Willig</cp:lastModifiedBy>
  <cp:revision>2</cp:revision>
  <cp:lastPrinted>2015-11-25T09:45:00Z</cp:lastPrinted>
  <dcterms:created xsi:type="dcterms:W3CDTF">2017-01-24T19:12:00Z</dcterms:created>
  <dcterms:modified xsi:type="dcterms:W3CDTF">2017-01-24T19:12:00Z</dcterms:modified>
</cp:coreProperties>
</file>