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E7626" w:rsidRPr="00727449">
        <w:trPr>
          <w:cantSplit/>
          <w:trHeight w:hRule="exact" w:val="851"/>
        </w:trPr>
        <w:tc>
          <w:tcPr>
            <w:tcW w:w="1276" w:type="dxa"/>
            <w:tcBorders>
              <w:bottom w:val="single" w:sz="4" w:space="0" w:color="auto"/>
            </w:tcBorders>
            <w:vAlign w:val="bottom"/>
          </w:tcPr>
          <w:p w:rsidR="001E7626" w:rsidRDefault="001E7626" w:rsidP="001E7626">
            <w:pPr>
              <w:spacing w:after="80"/>
              <w:jc w:val="right"/>
            </w:pPr>
            <w:bookmarkStart w:id="0" w:name="_GoBack"/>
            <w:bookmarkEnd w:id="0"/>
          </w:p>
        </w:tc>
        <w:tc>
          <w:tcPr>
            <w:tcW w:w="2268" w:type="dxa"/>
            <w:tcBorders>
              <w:bottom w:val="single" w:sz="4" w:space="0" w:color="auto"/>
            </w:tcBorders>
            <w:vAlign w:val="bottom"/>
          </w:tcPr>
          <w:p w:rsidR="001E7626" w:rsidRPr="00727449" w:rsidRDefault="001E7626" w:rsidP="001E7626">
            <w:pPr>
              <w:spacing w:after="80" w:line="300" w:lineRule="exact"/>
              <w:rPr>
                <w:b/>
                <w:sz w:val="24"/>
                <w:szCs w:val="24"/>
              </w:rPr>
            </w:pPr>
            <w:r w:rsidRPr="00727449">
              <w:rPr>
                <w:sz w:val="28"/>
                <w:szCs w:val="28"/>
              </w:rPr>
              <w:t>United Nations</w:t>
            </w:r>
          </w:p>
        </w:tc>
        <w:tc>
          <w:tcPr>
            <w:tcW w:w="6095" w:type="dxa"/>
            <w:gridSpan w:val="2"/>
            <w:tcBorders>
              <w:bottom w:val="single" w:sz="4" w:space="0" w:color="auto"/>
            </w:tcBorders>
            <w:vAlign w:val="bottom"/>
          </w:tcPr>
          <w:p w:rsidR="001E7626" w:rsidRPr="00727449" w:rsidRDefault="001E7626" w:rsidP="00EB58B7">
            <w:pPr>
              <w:jc w:val="right"/>
            </w:pPr>
            <w:r w:rsidRPr="00727449">
              <w:rPr>
                <w:sz w:val="40"/>
              </w:rPr>
              <w:t>CCPR</w:t>
            </w:r>
            <w:r w:rsidRPr="00727449">
              <w:t>/C/1</w:t>
            </w:r>
            <w:r>
              <w:t>12</w:t>
            </w:r>
            <w:r w:rsidRPr="00727449">
              <w:t>/D/</w:t>
            </w:r>
            <w:r w:rsidR="00921817">
              <w:t>2165/2012</w:t>
            </w:r>
          </w:p>
        </w:tc>
      </w:tr>
      <w:tr w:rsidR="001E7626" w:rsidRPr="00727449">
        <w:trPr>
          <w:cantSplit/>
          <w:trHeight w:hRule="exact" w:val="2835"/>
        </w:trPr>
        <w:tc>
          <w:tcPr>
            <w:tcW w:w="1276" w:type="dxa"/>
            <w:tcBorders>
              <w:top w:val="single" w:sz="4" w:space="0" w:color="auto"/>
              <w:bottom w:val="single" w:sz="12" w:space="0" w:color="auto"/>
            </w:tcBorders>
          </w:tcPr>
          <w:p w:rsidR="001E7626" w:rsidRPr="00727449" w:rsidRDefault="00220329" w:rsidP="001E7626">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1E7626" w:rsidRDefault="001E7626" w:rsidP="001E7626">
            <w:pPr>
              <w:spacing w:before="120" w:line="380" w:lineRule="exact"/>
              <w:rPr>
                <w:b/>
                <w:sz w:val="34"/>
                <w:szCs w:val="40"/>
              </w:rPr>
            </w:pPr>
            <w:r w:rsidRPr="00727449">
              <w:rPr>
                <w:b/>
                <w:sz w:val="34"/>
                <w:szCs w:val="40"/>
              </w:rPr>
              <w:t>International Covenant on</w:t>
            </w:r>
            <w:r w:rsidRPr="00727449">
              <w:rPr>
                <w:b/>
                <w:sz w:val="34"/>
                <w:szCs w:val="40"/>
              </w:rPr>
              <w:br/>
              <w:t>Civil and Political Rights</w:t>
            </w:r>
          </w:p>
          <w:p w:rsidR="00A028E9" w:rsidRPr="004E64A9" w:rsidRDefault="00A028E9" w:rsidP="001E7626">
            <w:pPr>
              <w:spacing w:before="120" w:line="380" w:lineRule="exact"/>
              <w:rPr>
                <w:sz w:val="34"/>
              </w:rPr>
            </w:pPr>
          </w:p>
        </w:tc>
        <w:tc>
          <w:tcPr>
            <w:tcW w:w="2835" w:type="dxa"/>
            <w:tcBorders>
              <w:top w:val="single" w:sz="4" w:space="0" w:color="auto"/>
              <w:bottom w:val="single" w:sz="12" w:space="0" w:color="auto"/>
            </w:tcBorders>
          </w:tcPr>
          <w:p w:rsidR="001E7626" w:rsidRPr="00727449" w:rsidRDefault="001E7626" w:rsidP="001E7626">
            <w:pPr>
              <w:spacing w:before="240" w:line="240" w:lineRule="exact"/>
            </w:pPr>
            <w:r w:rsidRPr="00727449">
              <w:t xml:space="preserve">Distr.: </w:t>
            </w:r>
            <w:r w:rsidR="00A028E9">
              <w:t>General</w:t>
            </w:r>
          </w:p>
          <w:p w:rsidR="001E7626" w:rsidRPr="00727449" w:rsidRDefault="009D4896" w:rsidP="001E7626">
            <w:pPr>
              <w:spacing w:line="240" w:lineRule="exact"/>
            </w:pPr>
            <w:r>
              <w:t>1</w:t>
            </w:r>
            <w:r w:rsidR="00592594">
              <w:t>7</w:t>
            </w:r>
            <w:r w:rsidR="004E64A9">
              <w:t xml:space="preserve"> November</w:t>
            </w:r>
            <w:r w:rsidR="003F63DD">
              <w:t xml:space="preserve"> </w:t>
            </w:r>
            <w:r w:rsidR="001E7626" w:rsidRPr="00727449">
              <w:t>201</w:t>
            </w:r>
            <w:r w:rsidR="001E7626">
              <w:t>4</w:t>
            </w:r>
          </w:p>
          <w:p w:rsidR="001E7626" w:rsidRPr="00727449" w:rsidRDefault="001E7626" w:rsidP="001E7626">
            <w:pPr>
              <w:spacing w:line="240" w:lineRule="exact"/>
            </w:pPr>
          </w:p>
          <w:p w:rsidR="001E7626" w:rsidRPr="00727449" w:rsidRDefault="001E7626" w:rsidP="001E7626">
            <w:pPr>
              <w:spacing w:line="240" w:lineRule="exact"/>
            </w:pPr>
            <w:r w:rsidRPr="00727449">
              <w:t>Original: English</w:t>
            </w:r>
          </w:p>
        </w:tc>
      </w:tr>
    </w:tbl>
    <w:p w:rsidR="001E7626" w:rsidRPr="00727449" w:rsidRDefault="001E7626" w:rsidP="001E7626">
      <w:pPr>
        <w:spacing w:before="120"/>
        <w:rPr>
          <w:b/>
          <w:sz w:val="24"/>
          <w:szCs w:val="24"/>
        </w:rPr>
      </w:pPr>
      <w:r w:rsidRPr="00727449">
        <w:rPr>
          <w:b/>
          <w:sz w:val="24"/>
          <w:szCs w:val="24"/>
        </w:rPr>
        <w:t>Human Rights Committee</w:t>
      </w:r>
      <w:r w:rsidR="00220329">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2012&amp;Size=2 &amp;Lang=E"/>
            <w10:wrap anchorx="margin" anchory="margin"/>
          </v:shape>
        </w:pict>
      </w:r>
    </w:p>
    <w:p w:rsidR="00075FA7" w:rsidRPr="00AF590D" w:rsidRDefault="00075FA7" w:rsidP="00075FA7">
      <w:pPr>
        <w:pStyle w:val="HChG"/>
        <w:ind w:right="0"/>
        <w:rPr>
          <w:lang w:val="bg-BG"/>
        </w:rPr>
      </w:pPr>
      <w:r w:rsidRPr="00AF590D">
        <w:tab/>
      </w:r>
      <w:r w:rsidRPr="00AF590D">
        <w:tab/>
        <w:t xml:space="preserve">Communication No. </w:t>
      </w:r>
      <w:r>
        <w:t>2165</w:t>
      </w:r>
      <w:r w:rsidRPr="00AF590D">
        <w:t>/201</w:t>
      </w:r>
      <w:r>
        <w:t>2</w:t>
      </w:r>
    </w:p>
    <w:p w:rsidR="00EB58B7" w:rsidRPr="007C1A02" w:rsidRDefault="00075FA7" w:rsidP="007C1A02">
      <w:pPr>
        <w:pStyle w:val="H1G"/>
      </w:pPr>
      <w:r w:rsidRPr="002810CF">
        <w:tab/>
      </w:r>
      <w:r w:rsidRPr="002810CF">
        <w:tab/>
      </w:r>
      <w:r w:rsidR="00EB58B7" w:rsidRPr="002810CF">
        <w:t>Views adopted by the Committee at its 112</w:t>
      </w:r>
      <w:r w:rsidR="007E01C4" w:rsidRPr="003F63DD">
        <w:t>th</w:t>
      </w:r>
      <w:r w:rsidR="00EB58B7" w:rsidRPr="003F63DD">
        <w:t xml:space="preserve"> session</w:t>
      </w:r>
      <w:r w:rsidR="00A12481" w:rsidRPr="002F0C83">
        <w:br/>
      </w:r>
      <w:r w:rsidR="00EB58B7" w:rsidRPr="007C1A02">
        <w:t>(7</w:t>
      </w:r>
      <w:r w:rsidR="002F0C83">
        <w:t>–</w:t>
      </w:r>
      <w:r w:rsidR="00EB58B7" w:rsidRPr="007C1A02">
        <w:t>31 October 2014)</w:t>
      </w:r>
    </w:p>
    <w:p w:rsidR="00075FA7" w:rsidRPr="007C1A02" w:rsidRDefault="00075FA7" w:rsidP="007C1A02">
      <w:pPr>
        <w:pStyle w:val="SingleTxtG"/>
        <w:ind w:left="4536" w:hanging="3402"/>
        <w:jc w:val="left"/>
        <w:rPr>
          <w:iCs/>
        </w:rPr>
      </w:pPr>
      <w:r w:rsidRPr="00076AF7">
        <w:rPr>
          <w:i/>
        </w:rPr>
        <w:t>Submitted by:</w:t>
      </w:r>
      <w:r w:rsidRPr="007C1A02">
        <w:rPr>
          <w:i/>
        </w:rPr>
        <w:tab/>
      </w:r>
      <w:r w:rsidRPr="007C1A02">
        <w:rPr>
          <w:iCs/>
        </w:rPr>
        <w:t>Natalya Pinchuk (represented by counsel</w:t>
      </w:r>
      <w:r w:rsidR="002F0C83">
        <w:rPr>
          <w:iCs/>
          <w:lang w:val="en-US"/>
        </w:rPr>
        <w:t>,</w:t>
      </w:r>
      <w:r w:rsidRPr="009E1447">
        <w:rPr>
          <w:iCs/>
        </w:rPr>
        <w:t xml:space="preserve"> </w:t>
      </w:r>
      <w:r w:rsidRPr="007C1A02">
        <w:rPr>
          <w:iCs/>
        </w:rPr>
        <w:t>Antoine Bernard)</w:t>
      </w:r>
    </w:p>
    <w:p w:rsidR="00075FA7" w:rsidRPr="00074FB1" w:rsidRDefault="00075FA7" w:rsidP="007C1A02">
      <w:pPr>
        <w:pStyle w:val="SingleTxtG"/>
        <w:ind w:left="4536" w:hanging="3402"/>
        <w:jc w:val="left"/>
      </w:pPr>
      <w:r w:rsidRPr="00076AF7">
        <w:rPr>
          <w:i/>
        </w:rPr>
        <w:t>Alleged victims:</w:t>
      </w:r>
      <w:r w:rsidRPr="00074FB1">
        <w:tab/>
        <w:t>The author</w:t>
      </w:r>
      <w:r>
        <w:t xml:space="preserve">’s husband, </w:t>
      </w:r>
      <w:r w:rsidRPr="00D22D4C">
        <w:rPr>
          <w:rFonts w:eastAsia="Verdana"/>
        </w:rPr>
        <w:t>Ale</w:t>
      </w:r>
      <w:r w:rsidR="00205117">
        <w:rPr>
          <w:rFonts w:eastAsia="Verdana"/>
          <w:lang w:val="en-US"/>
        </w:rPr>
        <w:t>ks</w:t>
      </w:r>
      <w:r w:rsidRPr="00D22D4C">
        <w:rPr>
          <w:rFonts w:eastAsia="Verdana"/>
        </w:rPr>
        <w:t xml:space="preserve">ander Belyatsky </w:t>
      </w:r>
    </w:p>
    <w:p w:rsidR="00075FA7" w:rsidRPr="00074FB1" w:rsidRDefault="00075FA7" w:rsidP="007C1A02">
      <w:pPr>
        <w:pStyle w:val="SingleTxtG"/>
        <w:ind w:left="4536" w:hanging="3402"/>
        <w:jc w:val="left"/>
      </w:pPr>
      <w:r w:rsidRPr="00076AF7">
        <w:rPr>
          <w:i/>
        </w:rPr>
        <w:t>State party:</w:t>
      </w:r>
      <w:r w:rsidRPr="00074FB1">
        <w:tab/>
      </w:r>
      <w:r>
        <w:t>Belarus</w:t>
      </w:r>
    </w:p>
    <w:p w:rsidR="00075FA7" w:rsidRPr="00074FB1" w:rsidRDefault="00075FA7" w:rsidP="007C1A02">
      <w:pPr>
        <w:pStyle w:val="SingleTxtG"/>
        <w:ind w:left="4536" w:hanging="3402"/>
        <w:jc w:val="left"/>
      </w:pPr>
      <w:r w:rsidRPr="00076AF7">
        <w:rPr>
          <w:i/>
        </w:rPr>
        <w:t>Date of communication:</w:t>
      </w:r>
      <w:r w:rsidRPr="00074FB1">
        <w:tab/>
      </w:r>
      <w:r>
        <w:t>12 April 2012</w:t>
      </w:r>
      <w:r w:rsidRPr="00074FB1">
        <w:t xml:space="preserve"> (initial submission)</w:t>
      </w:r>
    </w:p>
    <w:p w:rsidR="00075FA7" w:rsidRDefault="00075FA7" w:rsidP="007C1A02">
      <w:pPr>
        <w:pStyle w:val="SingleTxtG"/>
        <w:ind w:left="4536" w:hanging="3402"/>
        <w:jc w:val="left"/>
      </w:pPr>
      <w:r w:rsidRPr="00076AF7">
        <w:rPr>
          <w:i/>
        </w:rPr>
        <w:t>Document references:</w:t>
      </w:r>
      <w:r w:rsidRPr="00074FB1">
        <w:tab/>
        <w:t xml:space="preserve">Special Rapporteur’s rule 97 decision, transmitted to the State party on </w:t>
      </w:r>
      <w:r>
        <w:t>19 June 2012</w:t>
      </w:r>
      <w:r w:rsidRPr="00074FB1">
        <w:t xml:space="preserve"> (not issued in document form)</w:t>
      </w:r>
      <w:r>
        <w:t xml:space="preserve"> </w:t>
      </w:r>
    </w:p>
    <w:p w:rsidR="00075FA7" w:rsidRPr="00074FB1" w:rsidRDefault="00075FA7" w:rsidP="007C1A02">
      <w:pPr>
        <w:pStyle w:val="SingleTxtG"/>
        <w:ind w:left="4536" w:hanging="3402"/>
        <w:jc w:val="left"/>
      </w:pPr>
      <w:r w:rsidRPr="00076AF7">
        <w:rPr>
          <w:i/>
        </w:rPr>
        <w:t xml:space="preserve">Date of adoption of </w:t>
      </w:r>
      <w:r w:rsidR="003F6BF1">
        <w:rPr>
          <w:i/>
          <w:lang w:val="en-US"/>
        </w:rPr>
        <w:t>Views</w:t>
      </w:r>
      <w:r w:rsidRPr="00076AF7">
        <w:rPr>
          <w:i/>
        </w:rPr>
        <w:t>:</w:t>
      </w:r>
      <w:r w:rsidRPr="00074FB1">
        <w:tab/>
      </w:r>
      <w:r w:rsidR="00EB58B7" w:rsidRPr="007C1A02">
        <w:t>24</w:t>
      </w:r>
      <w:r>
        <w:t xml:space="preserve"> October 2014</w:t>
      </w:r>
    </w:p>
    <w:p w:rsidR="00075FA7" w:rsidRPr="00E16407" w:rsidRDefault="00075FA7" w:rsidP="007C1A02">
      <w:pPr>
        <w:pStyle w:val="SingleTxtG"/>
        <w:ind w:left="4536" w:hanging="3402"/>
        <w:jc w:val="left"/>
        <w:rPr>
          <w:iCs/>
        </w:rPr>
      </w:pPr>
      <w:r w:rsidRPr="00074FB1">
        <w:rPr>
          <w:i/>
        </w:rPr>
        <w:t>Subject matter:</w:t>
      </w:r>
      <w:r w:rsidRPr="00074FB1">
        <w:rPr>
          <w:i/>
        </w:rPr>
        <w:tab/>
      </w:r>
      <w:r w:rsidR="003B5946" w:rsidRPr="007C1A02">
        <w:rPr>
          <w:iCs/>
          <w:lang w:val="en-US"/>
        </w:rPr>
        <w:t>Sentencing of the</w:t>
      </w:r>
      <w:r w:rsidR="003B5946" w:rsidRPr="006B2F3B">
        <w:rPr>
          <w:iCs/>
        </w:rPr>
        <w:t xml:space="preserve"> </w:t>
      </w:r>
      <w:r w:rsidRPr="006B2F3B">
        <w:rPr>
          <w:iCs/>
        </w:rPr>
        <w:t xml:space="preserve">author’s husband </w:t>
      </w:r>
      <w:r w:rsidRPr="00D62882">
        <w:rPr>
          <w:iCs/>
        </w:rPr>
        <w:t xml:space="preserve">to </w:t>
      </w:r>
      <w:r w:rsidR="003B5946" w:rsidRPr="007C1A02">
        <w:rPr>
          <w:iCs/>
          <w:lang w:val="en-US"/>
        </w:rPr>
        <w:t>four and a half</w:t>
      </w:r>
      <w:r w:rsidRPr="006B2F3B">
        <w:rPr>
          <w:iCs/>
        </w:rPr>
        <w:t xml:space="preserve"> years of imprisonment for conduct</w:t>
      </w:r>
      <w:r w:rsidR="003F6BF1" w:rsidRPr="00D62882">
        <w:rPr>
          <w:iCs/>
          <w:lang w:val="en-US"/>
        </w:rPr>
        <w:t>ing</w:t>
      </w:r>
      <w:r w:rsidRPr="00D62882">
        <w:rPr>
          <w:iCs/>
        </w:rPr>
        <w:t xml:space="preserve"> activities</w:t>
      </w:r>
      <w:r w:rsidRPr="009E1447">
        <w:rPr>
          <w:iCs/>
        </w:rPr>
        <w:t xml:space="preserve"> on behalf of an unregistered associ</w:t>
      </w:r>
      <w:r w:rsidRPr="00E16407">
        <w:rPr>
          <w:iCs/>
        </w:rPr>
        <w:t>ation; allegations of detention on remand in violation of the domestic criminal procedure and trial by a court that is not independent; proceedings in absentia</w:t>
      </w:r>
    </w:p>
    <w:p w:rsidR="00075FA7" w:rsidRDefault="00075FA7" w:rsidP="007C1A02">
      <w:pPr>
        <w:pStyle w:val="SingleTxtG"/>
        <w:ind w:left="4536" w:hanging="3402"/>
        <w:jc w:val="left"/>
        <w:rPr>
          <w:lang w:val="en-US"/>
        </w:rPr>
      </w:pPr>
      <w:r w:rsidRPr="00074FB1">
        <w:rPr>
          <w:i/>
        </w:rPr>
        <w:t xml:space="preserve">Substantive issues: </w:t>
      </w:r>
      <w:r w:rsidRPr="00074FB1">
        <w:rPr>
          <w:i/>
        </w:rPr>
        <w:tab/>
      </w:r>
      <w:r>
        <w:t>Arbitrary detention</w:t>
      </w:r>
      <w:r w:rsidR="003F6BF1">
        <w:rPr>
          <w:lang w:val="en-US"/>
        </w:rPr>
        <w:t>;</w:t>
      </w:r>
      <w:r>
        <w:t xml:space="preserve"> </w:t>
      </w:r>
      <w:r w:rsidRPr="00B8101B">
        <w:t>fair hearing by a competent, independent and impartial tribunal</w:t>
      </w:r>
      <w:r w:rsidR="003F6BF1">
        <w:rPr>
          <w:lang w:val="en-US"/>
        </w:rPr>
        <w:t>;</w:t>
      </w:r>
      <w:r>
        <w:t xml:space="preserve"> right to be tried in </w:t>
      </w:r>
      <w:r w:rsidR="003F6BF1">
        <w:rPr>
          <w:lang w:val="en-US"/>
        </w:rPr>
        <w:t>one’s</w:t>
      </w:r>
      <w:r w:rsidR="003F6BF1">
        <w:t xml:space="preserve"> </w:t>
      </w:r>
      <w:r>
        <w:t>presence; freedom of association</w:t>
      </w:r>
      <w:r w:rsidR="003F6BF1">
        <w:rPr>
          <w:lang w:val="en-US"/>
        </w:rPr>
        <w:t>;</w:t>
      </w:r>
      <w:r>
        <w:t xml:space="preserve"> effective remedy</w:t>
      </w:r>
    </w:p>
    <w:p w:rsidR="003F6BF1" w:rsidRPr="007C1A02" w:rsidRDefault="003F6BF1" w:rsidP="007C1A02">
      <w:pPr>
        <w:pStyle w:val="SingleTxtG"/>
        <w:ind w:left="4536" w:hanging="3402"/>
        <w:jc w:val="left"/>
        <w:rPr>
          <w:i/>
          <w:iCs/>
          <w:lang w:val="en-US"/>
        </w:rPr>
      </w:pPr>
      <w:r w:rsidRPr="00074FB1">
        <w:rPr>
          <w:i/>
        </w:rPr>
        <w:t xml:space="preserve">Procedural issues: </w:t>
      </w:r>
      <w:r w:rsidRPr="00074FB1">
        <w:rPr>
          <w:i/>
        </w:rPr>
        <w:tab/>
      </w:r>
      <w:r w:rsidRPr="00074FB1">
        <w:tab/>
      </w:r>
      <w:r w:rsidRPr="006B2F3B">
        <w:t>Non-exhaustion</w:t>
      </w:r>
      <w:r w:rsidR="0084004A" w:rsidRPr="007C1A02">
        <w:rPr>
          <w:lang w:val="en-US"/>
        </w:rPr>
        <w:t xml:space="preserve"> of domestic remedies</w:t>
      </w:r>
      <w:r w:rsidR="009D4896" w:rsidRPr="00205117">
        <w:rPr>
          <w:lang w:val="en-US"/>
        </w:rPr>
        <w:t>;</w:t>
      </w:r>
      <w:r w:rsidRPr="00F876D2">
        <w:t xml:space="preserve"> </w:t>
      </w:r>
      <w:r w:rsidR="009D4896" w:rsidRPr="00222585">
        <w:rPr>
          <w:lang w:val="en-US"/>
        </w:rPr>
        <w:t>admissibili</w:t>
      </w:r>
      <w:r w:rsidR="009D4896" w:rsidRPr="00D61B4E">
        <w:rPr>
          <w:lang w:val="en-US"/>
        </w:rPr>
        <w:t>ty</w:t>
      </w:r>
      <w:r w:rsidR="009D4896" w:rsidRPr="00E90BDE">
        <w:rPr>
          <w:lang w:val="en-US"/>
        </w:rPr>
        <w:t xml:space="preserve"> </w:t>
      </w:r>
      <w:r w:rsidRPr="007C1A02">
        <w:rPr>
          <w:i/>
          <w:iCs/>
        </w:rPr>
        <w:t>ratione personae</w:t>
      </w:r>
    </w:p>
    <w:p w:rsidR="00075FA7" w:rsidRPr="00074FB1" w:rsidRDefault="00075FA7" w:rsidP="007C1A02">
      <w:pPr>
        <w:pStyle w:val="SingleTxtG"/>
        <w:ind w:left="4536" w:hanging="3402"/>
        <w:jc w:val="left"/>
      </w:pPr>
      <w:r w:rsidRPr="00074FB1">
        <w:rPr>
          <w:i/>
        </w:rPr>
        <w:t>Articles of the Covenant:</w:t>
      </w:r>
      <w:r w:rsidRPr="00074FB1">
        <w:t xml:space="preserve"> </w:t>
      </w:r>
      <w:r w:rsidRPr="00074FB1">
        <w:tab/>
      </w:r>
      <w:r>
        <w:t xml:space="preserve">2, </w:t>
      </w:r>
      <w:r w:rsidRPr="00D22D4C">
        <w:rPr>
          <w:rFonts w:eastAsia="Verdana"/>
        </w:rPr>
        <w:t>9, 14 and 22</w:t>
      </w:r>
    </w:p>
    <w:p w:rsidR="00075FA7" w:rsidRPr="007C1A02" w:rsidRDefault="00075FA7" w:rsidP="007C1A02">
      <w:pPr>
        <w:pStyle w:val="SingleTxtG"/>
        <w:ind w:left="4536" w:hanging="3402"/>
        <w:jc w:val="left"/>
        <w:rPr>
          <w:lang w:val="en-US"/>
        </w:rPr>
      </w:pPr>
      <w:r w:rsidRPr="00074FB1">
        <w:rPr>
          <w:i/>
        </w:rPr>
        <w:t xml:space="preserve">Articles of the Optional Protocol: </w:t>
      </w:r>
      <w:r w:rsidRPr="00074FB1">
        <w:rPr>
          <w:i/>
        </w:rPr>
        <w:tab/>
      </w:r>
      <w:r w:rsidRPr="00B8101B">
        <w:t>1, 2,</w:t>
      </w:r>
      <w:r>
        <w:rPr>
          <w:i/>
        </w:rPr>
        <w:t xml:space="preserve"> </w:t>
      </w:r>
      <w:r w:rsidRPr="00074FB1">
        <w:t xml:space="preserve">5 </w:t>
      </w:r>
      <w:r w:rsidR="003F6BF1">
        <w:rPr>
          <w:lang w:val="en-US"/>
        </w:rPr>
        <w:t>(</w:t>
      </w:r>
      <w:r w:rsidR="00A12481">
        <w:t>para</w:t>
      </w:r>
      <w:r w:rsidR="003F6BF1">
        <w:rPr>
          <w:lang w:val="en-US"/>
        </w:rPr>
        <w:t>.</w:t>
      </w:r>
      <w:r w:rsidR="00A12481">
        <w:t> </w:t>
      </w:r>
      <w:r w:rsidRPr="00074FB1">
        <w:t>2 (b)</w:t>
      </w:r>
      <w:r w:rsidR="003F6BF1">
        <w:rPr>
          <w:lang w:val="en-US"/>
        </w:rPr>
        <w:t>)</w:t>
      </w:r>
    </w:p>
    <w:p w:rsidR="00075FA7" w:rsidRPr="00AF590D" w:rsidRDefault="00A12481" w:rsidP="00A12481">
      <w:pPr>
        <w:pStyle w:val="HChG"/>
      </w:pPr>
      <w:r>
        <w:br w:type="page"/>
      </w:r>
      <w:r w:rsidR="00075FA7" w:rsidRPr="00AF590D">
        <w:lastRenderedPageBreak/>
        <w:t>Annex</w:t>
      </w:r>
    </w:p>
    <w:p w:rsidR="00075FA7" w:rsidRPr="00AF590D" w:rsidRDefault="00075FA7" w:rsidP="00F4101B">
      <w:pPr>
        <w:pStyle w:val="HChG"/>
      </w:pPr>
      <w:r w:rsidRPr="00AF590D">
        <w:tab/>
      </w:r>
      <w:r w:rsidR="000E30A5">
        <w:tab/>
      </w:r>
      <w:r w:rsidRPr="00AF590D">
        <w:t>Views of the Human Rights Committee under article 5, paragraph 4</w:t>
      </w:r>
      <w:r w:rsidR="008D68A4">
        <w:t>,</w:t>
      </w:r>
      <w:r w:rsidRPr="00AF590D">
        <w:t xml:space="preserve"> of the Optional Protocol to the International </w:t>
      </w:r>
      <w:r w:rsidRPr="00F4101B">
        <w:t>Covenant</w:t>
      </w:r>
      <w:r w:rsidRPr="00AF590D">
        <w:t xml:space="preserve"> on Civil and Political Rights (</w:t>
      </w:r>
      <w:r>
        <w:t>112</w:t>
      </w:r>
      <w:r w:rsidRPr="007C1A02">
        <w:t>th</w:t>
      </w:r>
      <w:r w:rsidRPr="00AF590D">
        <w:t xml:space="preserve"> session)</w:t>
      </w:r>
    </w:p>
    <w:p w:rsidR="00075FA7" w:rsidRPr="00AF590D" w:rsidRDefault="00075FA7" w:rsidP="00075FA7">
      <w:pPr>
        <w:pStyle w:val="SingleTxtG"/>
        <w:ind w:right="0"/>
      </w:pPr>
      <w:r w:rsidRPr="00AF590D">
        <w:t>concerning</w:t>
      </w:r>
    </w:p>
    <w:p w:rsidR="00075FA7" w:rsidRPr="00AF590D" w:rsidRDefault="00075FA7" w:rsidP="00F01D92">
      <w:pPr>
        <w:pStyle w:val="H1G"/>
        <w:ind w:right="0"/>
        <w:rPr>
          <w:i/>
        </w:rPr>
      </w:pPr>
      <w:r w:rsidRPr="00AF590D">
        <w:tab/>
      </w:r>
      <w:r w:rsidRPr="00AF590D">
        <w:tab/>
        <w:t xml:space="preserve">Communication No. </w:t>
      </w:r>
      <w:r>
        <w:t>2165</w:t>
      </w:r>
      <w:r w:rsidRPr="00AF590D">
        <w:t>/201</w:t>
      </w:r>
      <w:r>
        <w:t>1</w:t>
      </w:r>
      <w:r w:rsidR="00F01D92" w:rsidRPr="007C1A02">
        <w:rPr>
          <w:rStyle w:val="FootnoteReference"/>
          <w:sz w:val="20"/>
          <w:vertAlign w:val="baseline"/>
        </w:rPr>
        <w:footnoteReference w:customMarkFollows="1" w:id="2"/>
        <w:t>*</w:t>
      </w:r>
    </w:p>
    <w:p w:rsidR="00075FA7" w:rsidRPr="00074FB1" w:rsidRDefault="00075FA7" w:rsidP="00A12481">
      <w:pPr>
        <w:pStyle w:val="SingleTxtG"/>
        <w:ind w:left="4536" w:hanging="3402"/>
        <w:jc w:val="left"/>
      </w:pPr>
      <w:r w:rsidRPr="00076AF7">
        <w:rPr>
          <w:i/>
        </w:rPr>
        <w:t>Submitted by:</w:t>
      </w:r>
      <w:r w:rsidRPr="00074FB1">
        <w:tab/>
      </w:r>
      <w:r w:rsidRPr="00D22D4C">
        <w:rPr>
          <w:rFonts w:eastAsia="Verdana"/>
        </w:rPr>
        <w:t>Natalya Pinchuk</w:t>
      </w:r>
      <w:r w:rsidRPr="00074FB1">
        <w:rPr>
          <w:bCs/>
        </w:rPr>
        <w:t xml:space="preserve"> (represented by counsel</w:t>
      </w:r>
      <w:r w:rsidR="00F01D92">
        <w:rPr>
          <w:bCs/>
          <w:lang w:val="en-US"/>
        </w:rPr>
        <w:t>,</w:t>
      </w:r>
      <w:r w:rsidR="00B112F5">
        <w:rPr>
          <w:bCs/>
          <w:lang w:val="en-US"/>
        </w:rPr>
        <w:t xml:space="preserve"> </w:t>
      </w:r>
      <w:r w:rsidRPr="00D22D4C">
        <w:rPr>
          <w:rFonts w:eastAsia="Verdana"/>
        </w:rPr>
        <w:t>Antoine Bernard</w:t>
      </w:r>
      <w:r w:rsidRPr="00074FB1">
        <w:rPr>
          <w:bCs/>
        </w:rPr>
        <w:t>)</w:t>
      </w:r>
    </w:p>
    <w:p w:rsidR="00075FA7" w:rsidRPr="00074FB1" w:rsidRDefault="00075FA7" w:rsidP="00A12481">
      <w:pPr>
        <w:pStyle w:val="SingleTxtG"/>
        <w:ind w:left="4536" w:hanging="3402"/>
        <w:jc w:val="left"/>
      </w:pPr>
      <w:r w:rsidRPr="00076AF7">
        <w:rPr>
          <w:i/>
        </w:rPr>
        <w:t>Alleged victim:</w:t>
      </w:r>
      <w:r w:rsidRPr="00074FB1">
        <w:tab/>
        <w:t>The author</w:t>
      </w:r>
      <w:r>
        <w:t xml:space="preserve">’s husband, </w:t>
      </w:r>
      <w:r w:rsidRPr="00205117">
        <w:rPr>
          <w:rFonts w:eastAsia="Verdana"/>
        </w:rPr>
        <w:t>Ale</w:t>
      </w:r>
      <w:r w:rsidR="00205117">
        <w:rPr>
          <w:rFonts w:eastAsia="Verdana"/>
          <w:lang w:val="en-US"/>
        </w:rPr>
        <w:t>ks</w:t>
      </w:r>
      <w:r w:rsidRPr="00205117">
        <w:rPr>
          <w:rFonts w:eastAsia="Verdana"/>
        </w:rPr>
        <w:t>ander</w:t>
      </w:r>
      <w:r w:rsidRPr="00D22D4C">
        <w:rPr>
          <w:rFonts w:eastAsia="Verdana"/>
        </w:rPr>
        <w:t xml:space="preserve"> Belyatsky </w:t>
      </w:r>
    </w:p>
    <w:p w:rsidR="00075FA7" w:rsidRPr="00074FB1" w:rsidRDefault="00075FA7" w:rsidP="00A12481">
      <w:pPr>
        <w:pStyle w:val="SingleTxtG"/>
        <w:ind w:left="4536" w:hanging="3402"/>
        <w:jc w:val="left"/>
      </w:pPr>
      <w:r w:rsidRPr="00076AF7">
        <w:rPr>
          <w:i/>
        </w:rPr>
        <w:t>State party:</w:t>
      </w:r>
      <w:r w:rsidRPr="00074FB1">
        <w:tab/>
      </w:r>
      <w:r>
        <w:t>Belarus</w:t>
      </w:r>
    </w:p>
    <w:p w:rsidR="00075FA7" w:rsidRPr="00074FB1" w:rsidRDefault="00075FA7" w:rsidP="00A12481">
      <w:pPr>
        <w:pStyle w:val="SingleTxtG"/>
        <w:ind w:left="4536" w:hanging="3402"/>
        <w:jc w:val="left"/>
      </w:pPr>
      <w:r w:rsidRPr="00076AF7">
        <w:rPr>
          <w:i/>
        </w:rPr>
        <w:t>Date of communication:</w:t>
      </w:r>
      <w:r w:rsidRPr="00074FB1">
        <w:tab/>
      </w:r>
      <w:r>
        <w:t>12 April 2012</w:t>
      </w:r>
      <w:r w:rsidRPr="00074FB1">
        <w:t xml:space="preserve"> (initial submission)</w:t>
      </w:r>
    </w:p>
    <w:p w:rsidR="00075FA7" w:rsidRPr="00AF590D" w:rsidRDefault="00075FA7" w:rsidP="00A12481">
      <w:pPr>
        <w:pStyle w:val="SingleTxtG"/>
        <w:spacing w:before="240"/>
      </w:pPr>
      <w:r w:rsidRPr="00AF590D">
        <w:rPr>
          <w:i/>
        </w:rPr>
        <w:tab/>
        <w:t>The Human Rights Committee</w:t>
      </w:r>
      <w:r w:rsidRPr="00AF590D">
        <w:t xml:space="preserve">, established under </w:t>
      </w:r>
      <w:r w:rsidR="00A12481">
        <w:t>article </w:t>
      </w:r>
      <w:r w:rsidRPr="00AF590D">
        <w:t>28 of the International Covenant on Civil and Political Rights,</w:t>
      </w:r>
    </w:p>
    <w:p w:rsidR="00075FA7" w:rsidRPr="00AF590D" w:rsidRDefault="00075FA7" w:rsidP="008B2E8E">
      <w:pPr>
        <w:pStyle w:val="SingleTxtG"/>
      </w:pPr>
      <w:r w:rsidRPr="00AF590D">
        <w:tab/>
      </w:r>
      <w:r w:rsidRPr="00AF590D">
        <w:rPr>
          <w:i/>
        </w:rPr>
        <w:t xml:space="preserve">Meeting </w:t>
      </w:r>
      <w:r w:rsidRPr="007C1A02">
        <w:rPr>
          <w:iCs/>
        </w:rPr>
        <w:t>on</w:t>
      </w:r>
      <w:r w:rsidRPr="009E1447">
        <w:rPr>
          <w:iCs/>
        </w:rPr>
        <w:t xml:space="preserve"> </w:t>
      </w:r>
      <w:r w:rsidR="00EB58B7" w:rsidRPr="007C1A02">
        <w:rPr>
          <w:lang w:val="en-US"/>
        </w:rPr>
        <w:t>24</w:t>
      </w:r>
      <w:r w:rsidR="00B301C6" w:rsidRPr="007C1A02">
        <w:rPr>
          <w:lang w:val="en-US"/>
        </w:rPr>
        <w:t xml:space="preserve"> </w:t>
      </w:r>
      <w:r>
        <w:t>October</w:t>
      </w:r>
      <w:r w:rsidRPr="00AF590D">
        <w:t xml:space="preserve"> 2014,</w:t>
      </w:r>
    </w:p>
    <w:p w:rsidR="00075FA7" w:rsidRPr="00AF590D" w:rsidRDefault="00075FA7" w:rsidP="008B2E8E">
      <w:pPr>
        <w:pStyle w:val="SingleTxtG"/>
      </w:pPr>
      <w:r w:rsidRPr="00AF590D">
        <w:tab/>
      </w:r>
      <w:r w:rsidRPr="00AF590D">
        <w:rPr>
          <w:i/>
        </w:rPr>
        <w:t>Having concluded</w:t>
      </w:r>
      <w:r w:rsidRPr="00AF590D">
        <w:t xml:space="preserve"> its consideration of communication No. </w:t>
      </w:r>
      <w:r>
        <w:t>2165</w:t>
      </w:r>
      <w:r w:rsidRPr="00AF590D">
        <w:t>/201</w:t>
      </w:r>
      <w:r>
        <w:t>2</w:t>
      </w:r>
      <w:r w:rsidRPr="00AF590D">
        <w:t xml:space="preserve">, submitted to the Human Rights Committee by </w:t>
      </w:r>
      <w:r w:rsidRPr="00D22D4C">
        <w:rPr>
          <w:rFonts w:eastAsia="Verdana"/>
        </w:rPr>
        <w:t>Natalya Pinchuk</w:t>
      </w:r>
      <w:r w:rsidRPr="00074FB1">
        <w:rPr>
          <w:bCs/>
        </w:rPr>
        <w:t xml:space="preserve"> </w:t>
      </w:r>
      <w:r w:rsidRPr="00AF590D">
        <w:t>under the Optional Protocol to the International Covenant on Civil and Political Rights,</w:t>
      </w:r>
    </w:p>
    <w:p w:rsidR="00075FA7" w:rsidRPr="00AF590D" w:rsidRDefault="00075FA7" w:rsidP="008B2E8E">
      <w:pPr>
        <w:pStyle w:val="SingleTxtG"/>
      </w:pPr>
      <w:r w:rsidRPr="00AF590D">
        <w:tab/>
      </w:r>
      <w:r w:rsidRPr="00AF590D">
        <w:rPr>
          <w:i/>
        </w:rPr>
        <w:t>Having taken into account</w:t>
      </w:r>
      <w:r w:rsidRPr="00AF590D">
        <w:t xml:space="preserve"> all written information made available to it by the author of the communication and the State party,</w:t>
      </w:r>
    </w:p>
    <w:p w:rsidR="00075FA7" w:rsidRPr="00AF590D" w:rsidRDefault="00075FA7" w:rsidP="008B2E8E">
      <w:pPr>
        <w:pStyle w:val="SingleTxtG"/>
      </w:pPr>
      <w:r w:rsidRPr="00AF590D">
        <w:tab/>
      </w:r>
      <w:r w:rsidRPr="00AF590D">
        <w:rPr>
          <w:i/>
        </w:rPr>
        <w:t xml:space="preserve">Adopts </w:t>
      </w:r>
      <w:r w:rsidRPr="007C1A02">
        <w:rPr>
          <w:iCs/>
        </w:rPr>
        <w:t>the following</w:t>
      </w:r>
      <w:r w:rsidRPr="009E1447">
        <w:rPr>
          <w:iCs/>
        </w:rPr>
        <w:t>:</w:t>
      </w:r>
    </w:p>
    <w:p w:rsidR="00075FA7" w:rsidRDefault="00075FA7" w:rsidP="008B2E8E">
      <w:pPr>
        <w:pStyle w:val="H1G"/>
      </w:pPr>
      <w:r w:rsidRPr="00AF590D">
        <w:tab/>
      </w:r>
      <w:r w:rsidR="008B732C">
        <w:tab/>
      </w:r>
      <w:r w:rsidRPr="00AF590D">
        <w:t>Views pursuant to article 5, paragraph 4</w:t>
      </w:r>
      <w:r w:rsidR="00F01D92">
        <w:t>,</w:t>
      </w:r>
      <w:r w:rsidRPr="00AF590D">
        <w:t xml:space="preserve"> of the Optional Protocol </w:t>
      </w:r>
    </w:p>
    <w:p w:rsidR="00075FA7" w:rsidRPr="00D22D4C" w:rsidRDefault="00075FA7" w:rsidP="008B2E8E">
      <w:pPr>
        <w:pStyle w:val="SingleTxtG"/>
        <w:rPr>
          <w:rFonts w:eastAsia="Verdana"/>
        </w:rPr>
      </w:pPr>
      <w:r w:rsidRPr="004E44BE">
        <w:rPr>
          <w:rFonts w:eastAsia="Verdana"/>
        </w:rPr>
        <w:t>1.</w:t>
      </w:r>
      <w:r w:rsidRPr="004E44BE">
        <w:rPr>
          <w:rFonts w:eastAsia="Verdana"/>
        </w:rPr>
        <w:tab/>
      </w:r>
      <w:r w:rsidRPr="00D22D4C">
        <w:rPr>
          <w:rFonts w:eastAsia="Verdana"/>
        </w:rPr>
        <w:t>The communication, dated 12 April 2012, is submitted by Natalya Pinchuk,</w:t>
      </w:r>
      <w:r>
        <w:rPr>
          <w:rFonts w:eastAsia="Verdana"/>
        </w:rPr>
        <w:t xml:space="preserve"> a Belarus national,</w:t>
      </w:r>
      <w:r w:rsidRPr="00D22D4C">
        <w:rPr>
          <w:rFonts w:eastAsia="Verdana"/>
        </w:rPr>
        <w:t xml:space="preserve"> on behalf of </w:t>
      </w:r>
      <w:r>
        <w:rPr>
          <w:rFonts w:eastAsia="Verdana"/>
        </w:rPr>
        <w:t xml:space="preserve">her husband </w:t>
      </w:r>
      <w:r w:rsidRPr="00FA3711">
        <w:rPr>
          <w:rFonts w:eastAsia="Verdana"/>
        </w:rPr>
        <w:t>Ale</w:t>
      </w:r>
      <w:r w:rsidR="00FA3711">
        <w:rPr>
          <w:rFonts w:eastAsia="Verdana"/>
          <w:lang w:val="en-US"/>
        </w:rPr>
        <w:t>ks</w:t>
      </w:r>
      <w:r w:rsidRPr="00FA3711">
        <w:rPr>
          <w:rFonts w:eastAsia="Verdana"/>
        </w:rPr>
        <w:t>ander</w:t>
      </w:r>
      <w:r w:rsidRPr="00D22D4C">
        <w:rPr>
          <w:rFonts w:eastAsia="Verdana"/>
        </w:rPr>
        <w:t xml:space="preserve"> Belyatsky, </w:t>
      </w:r>
      <w:r>
        <w:rPr>
          <w:rFonts w:eastAsia="Verdana"/>
        </w:rPr>
        <w:t xml:space="preserve">also </w:t>
      </w:r>
      <w:r w:rsidRPr="00D22D4C">
        <w:rPr>
          <w:rFonts w:eastAsia="Verdana"/>
        </w:rPr>
        <w:t>a Belarus national. The author claim</w:t>
      </w:r>
      <w:r>
        <w:rPr>
          <w:rFonts w:eastAsia="Verdana"/>
        </w:rPr>
        <w:t>s</w:t>
      </w:r>
      <w:r w:rsidRPr="00D22D4C">
        <w:rPr>
          <w:rFonts w:eastAsia="Verdana"/>
        </w:rPr>
        <w:t xml:space="preserve"> that </w:t>
      </w:r>
      <w:r>
        <w:rPr>
          <w:rFonts w:eastAsia="Verdana"/>
        </w:rPr>
        <w:t>her husband</w:t>
      </w:r>
      <w:r w:rsidRPr="00D22D4C">
        <w:rPr>
          <w:rFonts w:eastAsia="Verdana"/>
        </w:rPr>
        <w:t xml:space="preserve"> is a victim of violations by Belarus of his rights under </w:t>
      </w:r>
      <w:r w:rsidR="00A12481">
        <w:rPr>
          <w:rFonts w:eastAsia="Verdana"/>
        </w:rPr>
        <w:t>articles </w:t>
      </w:r>
      <w:r>
        <w:rPr>
          <w:rFonts w:eastAsia="Verdana"/>
        </w:rPr>
        <w:t xml:space="preserve">2, </w:t>
      </w:r>
      <w:r w:rsidRPr="00D22D4C">
        <w:rPr>
          <w:rFonts w:eastAsia="Verdana"/>
        </w:rPr>
        <w:t>9, 14 and 22 of the International Covenant on Civil and Political Rights.</w:t>
      </w:r>
      <w:r>
        <w:rPr>
          <w:rStyle w:val="FootnoteReference"/>
          <w:rFonts w:eastAsia="Verdana"/>
        </w:rPr>
        <w:footnoteReference w:id="3"/>
      </w:r>
      <w:r w:rsidRPr="00D22D4C">
        <w:rPr>
          <w:rFonts w:eastAsia="Verdana"/>
        </w:rPr>
        <w:t xml:space="preserve"> </w:t>
      </w:r>
      <w:r>
        <w:rPr>
          <w:rFonts w:eastAsia="Verdana"/>
        </w:rPr>
        <w:t xml:space="preserve">The author is represented by counsel, </w:t>
      </w:r>
      <w:r w:rsidRPr="00D22D4C">
        <w:rPr>
          <w:rFonts w:eastAsia="Verdana"/>
        </w:rPr>
        <w:t>Antoine Bernard</w:t>
      </w:r>
      <w:r>
        <w:rPr>
          <w:rFonts w:eastAsia="Verdana"/>
        </w:rPr>
        <w:t>.</w:t>
      </w:r>
    </w:p>
    <w:p w:rsidR="00075FA7" w:rsidRPr="00D22D4C" w:rsidRDefault="008B732C" w:rsidP="00B112F5">
      <w:pPr>
        <w:pStyle w:val="H23G"/>
        <w:rPr>
          <w:rFonts w:eastAsia="Verdana"/>
        </w:rPr>
      </w:pPr>
      <w:r>
        <w:rPr>
          <w:rFonts w:eastAsia="Verdana"/>
        </w:rPr>
        <w:tab/>
      </w:r>
      <w:r>
        <w:rPr>
          <w:rFonts w:eastAsia="Verdana"/>
        </w:rPr>
        <w:tab/>
      </w:r>
      <w:r w:rsidR="00075FA7" w:rsidRPr="00D22D4C">
        <w:rPr>
          <w:rFonts w:eastAsia="Verdana"/>
        </w:rPr>
        <w:t xml:space="preserve">The facts as </w:t>
      </w:r>
      <w:r w:rsidR="00B112F5">
        <w:rPr>
          <w:rFonts w:eastAsia="Verdana"/>
        </w:rPr>
        <w:t>submitted</w:t>
      </w:r>
      <w:r w:rsidR="00B112F5" w:rsidRPr="00D22D4C">
        <w:rPr>
          <w:rFonts w:eastAsia="Verdana"/>
        </w:rPr>
        <w:t xml:space="preserve"> </w:t>
      </w:r>
      <w:r w:rsidR="00075FA7" w:rsidRPr="00D22D4C">
        <w:rPr>
          <w:rFonts w:eastAsia="Verdana"/>
        </w:rPr>
        <w:t>by the author</w:t>
      </w:r>
    </w:p>
    <w:p w:rsidR="00075FA7" w:rsidRDefault="00B301C6" w:rsidP="00C2236C">
      <w:pPr>
        <w:pStyle w:val="SingleTxtG"/>
        <w:rPr>
          <w:rFonts w:eastAsia="Verdana"/>
        </w:rPr>
      </w:pPr>
      <w:r>
        <w:rPr>
          <w:rFonts w:eastAsia="Verdana"/>
        </w:rPr>
        <w:t>2.1</w:t>
      </w:r>
      <w:r>
        <w:rPr>
          <w:rFonts w:eastAsia="Verdana"/>
        </w:rPr>
        <w:tab/>
      </w:r>
      <w:r w:rsidR="00075FA7" w:rsidRPr="00D22D4C">
        <w:rPr>
          <w:rFonts w:eastAsia="Verdana"/>
        </w:rPr>
        <w:t>The author submit</w:t>
      </w:r>
      <w:r w:rsidR="00075FA7">
        <w:rPr>
          <w:rFonts w:eastAsia="Verdana"/>
        </w:rPr>
        <w:t>s</w:t>
      </w:r>
      <w:r w:rsidR="00075FA7" w:rsidRPr="00D22D4C">
        <w:rPr>
          <w:rFonts w:eastAsia="Verdana"/>
        </w:rPr>
        <w:t xml:space="preserve"> that </w:t>
      </w:r>
      <w:r w:rsidR="00075FA7">
        <w:rPr>
          <w:rFonts w:eastAsia="Verdana"/>
        </w:rPr>
        <w:t xml:space="preserve">her husband </w:t>
      </w:r>
      <w:r w:rsidR="00075FA7" w:rsidRPr="00D22D4C">
        <w:rPr>
          <w:rFonts w:eastAsia="Verdana"/>
        </w:rPr>
        <w:t>is</w:t>
      </w:r>
      <w:r w:rsidR="00075FA7">
        <w:rPr>
          <w:rFonts w:eastAsia="Verdana"/>
        </w:rPr>
        <w:t xml:space="preserve"> the</w:t>
      </w:r>
      <w:r w:rsidR="00075FA7" w:rsidRPr="00D22D4C">
        <w:rPr>
          <w:rFonts w:eastAsia="Verdana"/>
        </w:rPr>
        <w:t xml:space="preserve"> chair and </w:t>
      </w:r>
      <w:r w:rsidR="00075FA7">
        <w:rPr>
          <w:rFonts w:eastAsia="Verdana"/>
        </w:rPr>
        <w:t xml:space="preserve">one </w:t>
      </w:r>
      <w:r w:rsidR="00075FA7" w:rsidRPr="00D22D4C">
        <w:rPr>
          <w:rFonts w:eastAsia="Verdana"/>
        </w:rPr>
        <w:t xml:space="preserve">of the founders of </w:t>
      </w:r>
      <w:r w:rsidR="00075FA7" w:rsidRPr="006B2F3B">
        <w:rPr>
          <w:rFonts w:eastAsia="Verdana"/>
        </w:rPr>
        <w:t xml:space="preserve">the Human Rights </w:t>
      </w:r>
      <w:r w:rsidR="00C2236C">
        <w:rPr>
          <w:rFonts w:eastAsia="Verdana"/>
          <w:lang w:val="en-US"/>
        </w:rPr>
        <w:t>Centre</w:t>
      </w:r>
      <w:r w:rsidR="00075FA7" w:rsidRPr="006B2F3B">
        <w:rPr>
          <w:rFonts w:eastAsia="Verdana"/>
        </w:rPr>
        <w:t xml:space="preserve"> Viasna.</w:t>
      </w:r>
      <w:r w:rsidR="00075FA7" w:rsidRPr="00D22D4C">
        <w:rPr>
          <w:rFonts w:eastAsia="Verdana"/>
        </w:rPr>
        <w:t xml:space="preserve"> On 28 October 2003, the Supreme Court of Belarus ruled to liquidate the </w:t>
      </w:r>
      <w:r w:rsidR="00030543">
        <w:rPr>
          <w:rFonts w:eastAsia="Verdana"/>
          <w:lang w:val="en-US"/>
        </w:rPr>
        <w:t>a</w:t>
      </w:r>
      <w:r w:rsidR="00075FA7" w:rsidRPr="00D22D4C">
        <w:rPr>
          <w:rFonts w:eastAsia="Verdana"/>
        </w:rPr>
        <w:t xml:space="preserve">ssociation for “gross violation of election laws”. </w:t>
      </w:r>
      <w:r w:rsidR="00075FA7">
        <w:rPr>
          <w:rFonts w:eastAsia="Verdana"/>
        </w:rPr>
        <w:t xml:space="preserve">The author’s husband </w:t>
      </w:r>
      <w:r w:rsidR="00075FA7" w:rsidRPr="00D22D4C">
        <w:rPr>
          <w:rFonts w:eastAsia="Verdana"/>
        </w:rPr>
        <w:lastRenderedPageBreak/>
        <w:t xml:space="preserve">submitted a complaint to the Human Rights Committee, and on 24 July 2007, the Committee found a violation of </w:t>
      </w:r>
      <w:r w:rsidR="00A12481">
        <w:rPr>
          <w:rFonts w:eastAsia="Verdana"/>
        </w:rPr>
        <w:t>article </w:t>
      </w:r>
      <w:r w:rsidR="00075FA7" w:rsidRPr="00D22D4C">
        <w:rPr>
          <w:rFonts w:eastAsia="Verdana"/>
        </w:rPr>
        <w:t>22 of the Covenant.</w:t>
      </w:r>
      <w:r w:rsidR="00075FA7">
        <w:rPr>
          <w:rStyle w:val="FootnoteReference"/>
          <w:rFonts w:eastAsia="Verdana"/>
        </w:rPr>
        <w:footnoteReference w:id="4"/>
      </w:r>
      <w:r w:rsidR="00075FA7" w:rsidRPr="00D22D4C">
        <w:rPr>
          <w:rFonts w:eastAsia="Verdana"/>
        </w:rPr>
        <w:t xml:space="preserve"> The Committee requested </w:t>
      </w:r>
      <w:r w:rsidR="00030543">
        <w:rPr>
          <w:rFonts w:eastAsia="Verdana"/>
          <w:lang w:val="en-US"/>
        </w:rPr>
        <w:t xml:space="preserve">the State party to provide </w:t>
      </w:r>
      <w:r w:rsidR="00075FA7" w:rsidRPr="00D22D4C">
        <w:rPr>
          <w:rFonts w:eastAsia="Verdana"/>
        </w:rPr>
        <w:t xml:space="preserve">appropriate remedies, including compensation and </w:t>
      </w:r>
      <w:r w:rsidR="00075FA7">
        <w:rPr>
          <w:rFonts w:eastAsia="Verdana"/>
        </w:rPr>
        <w:t>re-registration of the a</w:t>
      </w:r>
      <w:r w:rsidR="00075FA7" w:rsidRPr="00D22D4C">
        <w:rPr>
          <w:rFonts w:eastAsia="Verdana"/>
        </w:rPr>
        <w:t xml:space="preserve">ssociation. </w:t>
      </w:r>
    </w:p>
    <w:p w:rsidR="00075FA7" w:rsidRPr="00601F13" w:rsidRDefault="00075FA7" w:rsidP="00F876D2">
      <w:pPr>
        <w:pStyle w:val="SingleTxtG"/>
        <w:rPr>
          <w:rFonts w:eastAsia="Verdana"/>
          <w:lang w:val="en-US"/>
        </w:rPr>
      </w:pPr>
      <w:r w:rsidRPr="00D22D4C">
        <w:rPr>
          <w:rFonts w:eastAsia="Verdana"/>
        </w:rPr>
        <w:t>2.2</w:t>
      </w:r>
      <w:r w:rsidRPr="00D22D4C">
        <w:rPr>
          <w:rFonts w:eastAsia="Verdana"/>
        </w:rPr>
        <w:tab/>
      </w:r>
      <w:r w:rsidRPr="00601F13">
        <w:rPr>
          <w:rFonts w:eastAsia="Verdana"/>
          <w:lang w:val="en-US"/>
        </w:rPr>
        <w:t xml:space="preserve">On 24 August 2007, the Ministry of Justice refused to register the association, indicating the following as </w:t>
      </w:r>
      <w:r w:rsidR="00320475">
        <w:rPr>
          <w:rFonts w:eastAsia="Verdana"/>
          <w:lang w:val="en-US"/>
        </w:rPr>
        <w:t>the</w:t>
      </w:r>
      <w:r w:rsidRPr="00601F13">
        <w:rPr>
          <w:rFonts w:eastAsia="Verdana"/>
          <w:lang w:val="en-US"/>
        </w:rPr>
        <w:t xml:space="preserve"> basis for its decision: the majority of the founding members had been previously </w:t>
      </w:r>
      <w:r>
        <w:rPr>
          <w:rFonts w:eastAsia="Verdana"/>
          <w:lang w:val="en-US"/>
        </w:rPr>
        <w:t>convicted</w:t>
      </w:r>
      <w:r w:rsidRPr="00601F13">
        <w:rPr>
          <w:rFonts w:eastAsia="Verdana"/>
          <w:lang w:val="en-US"/>
        </w:rPr>
        <w:t xml:space="preserve"> of </w:t>
      </w:r>
      <w:r>
        <w:rPr>
          <w:rFonts w:eastAsia="Verdana"/>
          <w:lang w:val="en-US"/>
        </w:rPr>
        <w:t xml:space="preserve">committing </w:t>
      </w:r>
      <w:r w:rsidRPr="00601F13">
        <w:rPr>
          <w:rFonts w:eastAsia="Verdana"/>
          <w:lang w:val="en-US"/>
        </w:rPr>
        <w:t xml:space="preserve">administrative violations; the </w:t>
      </w:r>
      <w:r w:rsidR="001323FE">
        <w:rPr>
          <w:rFonts w:eastAsia="Verdana"/>
          <w:lang w:val="en-US"/>
        </w:rPr>
        <w:t>s</w:t>
      </w:r>
      <w:r>
        <w:rPr>
          <w:rFonts w:eastAsia="Verdana"/>
          <w:lang w:val="en-US"/>
        </w:rPr>
        <w:t>tatute</w:t>
      </w:r>
      <w:r w:rsidRPr="00601F13">
        <w:rPr>
          <w:rFonts w:eastAsia="Verdana"/>
          <w:lang w:val="en-US"/>
        </w:rPr>
        <w:t xml:space="preserve"> </w:t>
      </w:r>
      <w:r>
        <w:rPr>
          <w:rFonts w:eastAsia="Verdana"/>
          <w:lang w:val="en-US"/>
        </w:rPr>
        <w:t xml:space="preserve">of the association </w:t>
      </w:r>
      <w:r w:rsidRPr="00601F13">
        <w:rPr>
          <w:rFonts w:eastAsia="Verdana"/>
          <w:lang w:val="en-US"/>
        </w:rPr>
        <w:t>listed</w:t>
      </w:r>
      <w:r w:rsidR="001323FE">
        <w:rPr>
          <w:rFonts w:eastAsia="Verdana"/>
          <w:lang w:val="en-US"/>
        </w:rPr>
        <w:t xml:space="preserve"> </w:t>
      </w:r>
      <w:r w:rsidR="001323FE" w:rsidRPr="00601F13">
        <w:rPr>
          <w:rFonts w:eastAsia="Verdana"/>
          <w:lang w:val="en-US"/>
        </w:rPr>
        <w:t>only</w:t>
      </w:r>
      <w:r w:rsidRPr="00601F13">
        <w:rPr>
          <w:rFonts w:eastAsia="Verdana"/>
          <w:lang w:val="en-US"/>
        </w:rPr>
        <w:t xml:space="preserve"> </w:t>
      </w:r>
      <w:r>
        <w:rPr>
          <w:rFonts w:eastAsia="Verdana"/>
          <w:lang w:val="en-US"/>
        </w:rPr>
        <w:t xml:space="preserve">its </w:t>
      </w:r>
      <w:r w:rsidRPr="00601F13">
        <w:rPr>
          <w:rFonts w:eastAsia="Verdana"/>
          <w:lang w:val="en-US"/>
        </w:rPr>
        <w:t xml:space="preserve">main goals, which would imply that </w:t>
      </w:r>
      <w:r>
        <w:rPr>
          <w:rFonts w:eastAsia="Verdana"/>
          <w:lang w:val="en-US"/>
        </w:rPr>
        <w:t xml:space="preserve">it would also engage in </w:t>
      </w:r>
      <w:r w:rsidRPr="00601F13">
        <w:rPr>
          <w:rFonts w:eastAsia="Verdana"/>
          <w:lang w:val="en-US"/>
        </w:rPr>
        <w:t xml:space="preserve">other activities not listed in the </w:t>
      </w:r>
      <w:r w:rsidR="001323FE">
        <w:rPr>
          <w:rFonts w:eastAsia="Verdana"/>
          <w:lang w:val="en-US"/>
        </w:rPr>
        <w:t>s</w:t>
      </w:r>
      <w:r>
        <w:rPr>
          <w:rFonts w:eastAsia="Verdana"/>
          <w:lang w:val="en-US"/>
        </w:rPr>
        <w:t xml:space="preserve">tatute; the </w:t>
      </w:r>
      <w:r w:rsidR="001323FE">
        <w:rPr>
          <w:rFonts w:eastAsia="Verdana"/>
          <w:lang w:val="en-US"/>
        </w:rPr>
        <w:t>s</w:t>
      </w:r>
      <w:r>
        <w:rPr>
          <w:rFonts w:eastAsia="Verdana"/>
          <w:lang w:val="en-US"/>
        </w:rPr>
        <w:t>tatute indicated</w:t>
      </w:r>
      <w:r w:rsidRPr="00601F13">
        <w:rPr>
          <w:rFonts w:eastAsia="Verdana"/>
          <w:lang w:val="en-US"/>
        </w:rPr>
        <w:t xml:space="preserve"> that the main goal of the a</w:t>
      </w:r>
      <w:r>
        <w:rPr>
          <w:rFonts w:eastAsia="Verdana"/>
          <w:lang w:val="en-US"/>
        </w:rPr>
        <w:t>ssociation</w:t>
      </w:r>
      <w:r w:rsidRPr="00601F13">
        <w:rPr>
          <w:rFonts w:eastAsia="Verdana"/>
          <w:lang w:val="en-US"/>
        </w:rPr>
        <w:t xml:space="preserve"> would be to “ensure the rights and freedoms of individuals, based on the Universal Declaration of Human Rights and the </w:t>
      </w:r>
      <w:r w:rsidRPr="00F4101B">
        <w:rPr>
          <w:rFonts w:eastAsia="Verdana"/>
        </w:rPr>
        <w:t>Constitution</w:t>
      </w:r>
      <w:r w:rsidR="003F5800">
        <w:rPr>
          <w:rFonts w:eastAsia="Verdana"/>
          <w:lang w:val="en-US"/>
        </w:rPr>
        <w:t xml:space="preserve"> of the Republic of Belarus</w:t>
      </w:r>
      <w:r w:rsidRPr="00601F13">
        <w:rPr>
          <w:rFonts w:eastAsia="Verdana"/>
          <w:lang w:val="en-US"/>
        </w:rPr>
        <w:t>”</w:t>
      </w:r>
      <w:r w:rsidR="003F5800">
        <w:rPr>
          <w:rFonts w:eastAsia="Verdana"/>
          <w:lang w:val="en-US"/>
        </w:rPr>
        <w:t>,</w:t>
      </w:r>
      <w:r w:rsidRPr="00601F13">
        <w:rPr>
          <w:rFonts w:eastAsia="Verdana"/>
          <w:lang w:val="en-US"/>
        </w:rPr>
        <w:t xml:space="preserve"> whereas </w:t>
      </w:r>
      <w:r w:rsidR="001323FE">
        <w:rPr>
          <w:rFonts w:eastAsia="Verdana"/>
          <w:lang w:val="en-US"/>
        </w:rPr>
        <w:t>a</w:t>
      </w:r>
      <w:r w:rsidR="00A12481">
        <w:rPr>
          <w:rFonts w:eastAsia="Verdana"/>
          <w:lang w:val="en-US"/>
        </w:rPr>
        <w:t>rticle </w:t>
      </w:r>
      <w:r w:rsidRPr="00601F13">
        <w:rPr>
          <w:rFonts w:eastAsia="Verdana"/>
          <w:lang w:val="en-US"/>
        </w:rPr>
        <w:t xml:space="preserve">20 of the </w:t>
      </w:r>
      <w:r>
        <w:rPr>
          <w:rFonts w:eastAsia="Verdana"/>
          <w:lang w:val="en-US"/>
        </w:rPr>
        <w:t xml:space="preserve">Belarus </w:t>
      </w:r>
      <w:r w:rsidRPr="00601F13">
        <w:rPr>
          <w:rFonts w:eastAsia="Verdana"/>
          <w:lang w:val="en-US"/>
        </w:rPr>
        <w:t xml:space="preserve">Law </w:t>
      </w:r>
      <w:r w:rsidR="005908AB">
        <w:rPr>
          <w:rFonts w:eastAsia="Verdana"/>
          <w:lang w:val="en-US"/>
        </w:rPr>
        <w:t>o</w:t>
      </w:r>
      <w:r w:rsidR="00DA6516" w:rsidRPr="00C106AC">
        <w:rPr>
          <w:bCs/>
        </w:rPr>
        <w:t>n Public Associations</w:t>
      </w:r>
      <w:r>
        <w:rPr>
          <w:rStyle w:val="FootnoteReference"/>
          <w:rFonts w:eastAsia="Verdana"/>
          <w:lang w:val="en-US"/>
        </w:rPr>
        <w:footnoteReference w:id="5"/>
      </w:r>
      <w:r w:rsidRPr="00601F13">
        <w:rPr>
          <w:rFonts w:eastAsia="Verdana"/>
          <w:lang w:val="en-US"/>
        </w:rPr>
        <w:t xml:space="preserve"> only allows civic associations to defend the rights and legal interests of its own members; the </w:t>
      </w:r>
      <w:r w:rsidR="00A40D98">
        <w:rPr>
          <w:rFonts w:eastAsia="Verdana"/>
          <w:lang w:val="en-US"/>
        </w:rPr>
        <w:t xml:space="preserve">new </w:t>
      </w:r>
      <w:r w:rsidRPr="00601F13">
        <w:rPr>
          <w:rFonts w:eastAsia="Verdana"/>
          <w:lang w:val="en-US"/>
        </w:rPr>
        <w:t>name of the association</w:t>
      </w:r>
      <w:r w:rsidR="005908AB">
        <w:rPr>
          <w:rFonts w:eastAsia="Verdana"/>
          <w:lang w:val="en-US"/>
        </w:rPr>
        <w:t>,</w:t>
      </w:r>
      <w:r w:rsidRPr="00601F13">
        <w:rPr>
          <w:rFonts w:eastAsia="Verdana"/>
          <w:lang w:val="en-US"/>
        </w:rPr>
        <w:t xml:space="preserve"> </w:t>
      </w:r>
      <w:r w:rsidR="00F876D2">
        <w:rPr>
          <w:rFonts w:eastAsia="Verdana"/>
          <w:lang w:val="en-US"/>
        </w:rPr>
        <w:t xml:space="preserve">National </w:t>
      </w:r>
      <w:r w:rsidRPr="00601F13">
        <w:rPr>
          <w:rFonts w:eastAsia="Verdana"/>
          <w:lang w:val="en-US"/>
        </w:rPr>
        <w:t xml:space="preserve">Civic Association Viasna, was in essence the same as </w:t>
      </w:r>
      <w:r w:rsidR="00320475">
        <w:rPr>
          <w:rFonts w:eastAsia="Verdana"/>
          <w:lang w:val="en-US"/>
        </w:rPr>
        <w:t xml:space="preserve">that of </w:t>
      </w:r>
      <w:r w:rsidRPr="00601F13">
        <w:rPr>
          <w:rFonts w:eastAsia="Verdana"/>
          <w:lang w:val="en-US"/>
        </w:rPr>
        <w:t xml:space="preserve">the </w:t>
      </w:r>
      <w:r w:rsidR="00320475">
        <w:rPr>
          <w:rFonts w:eastAsia="Verdana"/>
          <w:lang w:val="en-US"/>
        </w:rPr>
        <w:t>association</w:t>
      </w:r>
      <w:r w:rsidRPr="00601F13">
        <w:rPr>
          <w:rFonts w:eastAsia="Verdana"/>
          <w:lang w:val="en-US"/>
        </w:rPr>
        <w:t xml:space="preserve"> liquidated by the decision of the Supreme Court in its decision dated 23 October 2003, which </w:t>
      </w:r>
      <w:r>
        <w:rPr>
          <w:rFonts w:eastAsia="Verdana"/>
          <w:lang w:val="en-US"/>
        </w:rPr>
        <w:t>contradicted</w:t>
      </w:r>
      <w:r w:rsidRPr="00601F13">
        <w:rPr>
          <w:rFonts w:eastAsia="Verdana"/>
          <w:lang w:val="en-US"/>
        </w:rPr>
        <w:t xml:space="preserve"> </w:t>
      </w:r>
      <w:r w:rsidR="005908AB">
        <w:rPr>
          <w:rFonts w:eastAsia="Verdana"/>
          <w:lang w:val="en-US"/>
        </w:rPr>
        <w:t>a</w:t>
      </w:r>
      <w:r w:rsidR="00A12481">
        <w:rPr>
          <w:rFonts w:eastAsia="Verdana"/>
          <w:lang w:val="en-US"/>
        </w:rPr>
        <w:t>rticle </w:t>
      </w:r>
      <w:r w:rsidRPr="00601F13">
        <w:rPr>
          <w:rFonts w:eastAsia="Verdana"/>
          <w:lang w:val="en-US"/>
        </w:rPr>
        <w:t xml:space="preserve">12 of the Law </w:t>
      </w:r>
      <w:r w:rsidR="005908AB">
        <w:rPr>
          <w:bCs/>
          <w:lang w:val="en-US"/>
        </w:rPr>
        <w:t>o</w:t>
      </w:r>
      <w:r w:rsidRPr="00C106AC">
        <w:rPr>
          <w:bCs/>
        </w:rPr>
        <w:t>n Public Associations</w:t>
      </w:r>
      <w:r w:rsidR="005908AB">
        <w:rPr>
          <w:rFonts w:eastAsia="Verdana"/>
          <w:lang w:val="en-US"/>
        </w:rPr>
        <w:t>;</w:t>
      </w:r>
      <w:r w:rsidRPr="00601F13">
        <w:rPr>
          <w:rFonts w:eastAsia="Verdana"/>
          <w:lang w:val="en-US"/>
        </w:rPr>
        <w:t xml:space="preserve"> not all documents listed in </w:t>
      </w:r>
      <w:r w:rsidR="005908AB">
        <w:rPr>
          <w:rFonts w:eastAsia="Verdana"/>
          <w:lang w:val="en-US"/>
        </w:rPr>
        <w:t>a</w:t>
      </w:r>
      <w:r w:rsidR="00A12481">
        <w:rPr>
          <w:rFonts w:eastAsia="Verdana"/>
          <w:lang w:val="en-US"/>
        </w:rPr>
        <w:t>rticle </w:t>
      </w:r>
      <w:r w:rsidRPr="00601F13">
        <w:rPr>
          <w:rFonts w:eastAsia="Verdana"/>
          <w:lang w:val="en-US"/>
        </w:rPr>
        <w:t>13 of the aforementioned Law, necessary for registration, were submitted (specifically, a receipt was entitle</w:t>
      </w:r>
      <w:r>
        <w:rPr>
          <w:rFonts w:eastAsia="Verdana"/>
          <w:lang w:val="en-US"/>
        </w:rPr>
        <w:t>d</w:t>
      </w:r>
      <w:r w:rsidRPr="00601F13">
        <w:rPr>
          <w:rFonts w:eastAsia="Verdana"/>
          <w:lang w:val="en-US"/>
        </w:rPr>
        <w:t xml:space="preserve"> “registration fee”, when it should have been entitled “government tariff”, and did not specify what the payment was for).</w:t>
      </w:r>
      <w:r w:rsidRPr="00601F13">
        <w:rPr>
          <w:rFonts w:eastAsia="Verdana"/>
          <w:vertAlign w:val="superscript"/>
          <w:lang w:val="en-US"/>
        </w:rPr>
        <w:footnoteReference w:id="6"/>
      </w:r>
      <w:r w:rsidRPr="00601F13">
        <w:rPr>
          <w:rFonts w:eastAsia="Verdana"/>
          <w:lang w:val="en-US"/>
        </w:rPr>
        <w:t xml:space="preserve"> </w:t>
      </w:r>
    </w:p>
    <w:p w:rsidR="00075FA7" w:rsidRPr="00601F13" w:rsidRDefault="00075FA7" w:rsidP="00222585">
      <w:pPr>
        <w:pStyle w:val="SingleTxtG"/>
        <w:rPr>
          <w:rFonts w:eastAsia="Verdana"/>
          <w:lang w:val="en-US"/>
        </w:rPr>
      </w:pPr>
      <w:r>
        <w:rPr>
          <w:rFonts w:eastAsia="Verdana"/>
          <w:lang w:val="en-US"/>
        </w:rPr>
        <w:t>2.3</w:t>
      </w:r>
      <w:r>
        <w:rPr>
          <w:rFonts w:eastAsia="Verdana"/>
          <w:lang w:val="en-US"/>
        </w:rPr>
        <w:tab/>
      </w:r>
      <w:r w:rsidRPr="00601F13">
        <w:rPr>
          <w:rFonts w:eastAsia="Verdana"/>
          <w:lang w:val="en-US"/>
        </w:rPr>
        <w:t xml:space="preserve">On 24 September 2007, the author’s husband and his associates appealed the decision </w:t>
      </w:r>
      <w:r>
        <w:rPr>
          <w:rFonts w:eastAsia="Verdana"/>
          <w:lang w:val="en-US"/>
        </w:rPr>
        <w:t>of the Ministry of Justice before</w:t>
      </w:r>
      <w:r w:rsidRPr="00601F13">
        <w:rPr>
          <w:rFonts w:eastAsia="Verdana"/>
          <w:lang w:val="en-US"/>
        </w:rPr>
        <w:t xml:space="preserve"> the Supreme Court, arguing that it </w:t>
      </w:r>
      <w:r>
        <w:rPr>
          <w:rFonts w:eastAsia="Verdana"/>
          <w:lang w:val="en-US"/>
        </w:rPr>
        <w:t>contradicted</w:t>
      </w:r>
      <w:r w:rsidRPr="00601F13">
        <w:rPr>
          <w:rFonts w:eastAsia="Verdana"/>
          <w:lang w:val="en-US"/>
        </w:rPr>
        <w:t xml:space="preserve"> the </w:t>
      </w:r>
      <w:r>
        <w:rPr>
          <w:rFonts w:eastAsia="Verdana"/>
          <w:lang w:val="en-US"/>
        </w:rPr>
        <w:t xml:space="preserve">Law </w:t>
      </w:r>
      <w:r w:rsidR="00DD524B">
        <w:rPr>
          <w:bCs/>
          <w:lang w:val="en-US"/>
        </w:rPr>
        <w:t>o</w:t>
      </w:r>
      <w:r w:rsidRPr="00C106AC">
        <w:rPr>
          <w:bCs/>
        </w:rPr>
        <w:t>n Public Associations</w:t>
      </w:r>
      <w:r w:rsidRPr="00601F13">
        <w:rPr>
          <w:rFonts w:eastAsia="Verdana"/>
          <w:lang w:val="en-US"/>
        </w:rPr>
        <w:t xml:space="preserve"> and that it violate</w:t>
      </w:r>
      <w:r>
        <w:rPr>
          <w:rFonts w:eastAsia="Verdana"/>
          <w:lang w:val="en-US"/>
        </w:rPr>
        <w:t>d</w:t>
      </w:r>
      <w:r w:rsidRPr="00601F13">
        <w:rPr>
          <w:rFonts w:eastAsia="Verdana"/>
          <w:lang w:val="en-US"/>
        </w:rPr>
        <w:t xml:space="preserve"> their constitutional rights. In court they presented the Views of the Human Rights Committee on communication </w:t>
      </w:r>
      <w:r w:rsidR="00DD524B">
        <w:rPr>
          <w:rFonts w:eastAsia="Verdana"/>
          <w:lang w:val="en-US"/>
        </w:rPr>
        <w:t xml:space="preserve">No. </w:t>
      </w:r>
      <w:r w:rsidRPr="00601F13">
        <w:rPr>
          <w:rFonts w:eastAsia="Verdana"/>
          <w:lang w:val="en-US"/>
        </w:rPr>
        <w:t xml:space="preserve">1296/2004. They stated that the registration of the new association, the </w:t>
      </w:r>
      <w:r w:rsidR="00222585">
        <w:rPr>
          <w:rFonts w:eastAsia="Verdana"/>
          <w:lang w:val="en-US"/>
        </w:rPr>
        <w:t xml:space="preserve">National </w:t>
      </w:r>
      <w:r w:rsidRPr="00601F13">
        <w:rPr>
          <w:rFonts w:eastAsia="Verdana"/>
          <w:lang w:val="en-US"/>
        </w:rPr>
        <w:t>Civic Association Viasna</w:t>
      </w:r>
      <w:r w:rsidR="00DD524B">
        <w:rPr>
          <w:rFonts w:eastAsia="Verdana"/>
          <w:lang w:val="en-US"/>
        </w:rPr>
        <w:t>,</w:t>
      </w:r>
      <w:r w:rsidRPr="00601F13">
        <w:rPr>
          <w:rFonts w:eastAsia="Verdana"/>
          <w:lang w:val="en-US"/>
        </w:rPr>
        <w:t xml:space="preserve"> would be sufficient compensation for the violation of their rights. On 26 October 2007, the Supreme Court upheld the decision of the Ministry of Justice in refusing to register the association, stating that: the name of the association contradicted </w:t>
      </w:r>
      <w:r w:rsidR="00A12481">
        <w:rPr>
          <w:rFonts w:eastAsia="Verdana"/>
          <w:lang w:val="en-US"/>
        </w:rPr>
        <w:t>article </w:t>
      </w:r>
      <w:r w:rsidRPr="00601F13">
        <w:rPr>
          <w:rFonts w:eastAsia="Verdana"/>
          <w:lang w:val="en-US"/>
        </w:rPr>
        <w:t xml:space="preserve">12, </w:t>
      </w:r>
      <w:r w:rsidR="00A12481">
        <w:rPr>
          <w:rFonts w:eastAsia="Verdana"/>
          <w:lang w:val="en-US"/>
        </w:rPr>
        <w:t>paragraph </w:t>
      </w:r>
      <w:r w:rsidRPr="00601F13">
        <w:rPr>
          <w:rFonts w:eastAsia="Verdana"/>
          <w:lang w:val="en-US"/>
        </w:rPr>
        <w:t>5</w:t>
      </w:r>
      <w:r w:rsidR="00DD524B">
        <w:rPr>
          <w:rFonts w:eastAsia="Verdana"/>
          <w:lang w:val="en-US"/>
        </w:rPr>
        <w:t>,</w:t>
      </w:r>
      <w:r w:rsidRPr="00601F13">
        <w:rPr>
          <w:rFonts w:eastAsia="Verdana"/>
          <w:lang w:val="en-US"/>
        </w:rPr>
        <w:t xml:space="preserve"> of the </w:t>
      </w:r>
      <w:r>
        <w:rPr>
          <w:rFonts w:eastAsia="Verdana"/>
          <w:lang w:val="en-US"/>
        </w:rPr>
        <w:t xml:space="preserve">Law </w:t>
      </w:r>
      <w:r w:rsidR="00DD524B">
        <w:rPr>
          <w:bCs/>
          <w:lang w:val="en-US"/>
        </w:rPr>
        <w:t>o</w:t>
      </w:r>
      <w:r w:rsidRPr="00C106AC">
        <w:rPr>
          <w:bCs/>
        </w:rPr>
        <w:t>n Public Associations</w:t>
      </w:r>
      <w:r w:rsidRPr="00601F13">
        <w:rPr>
          <w:rFonts w:eastAsia="Verdana"/>
          <w:lang w:val="en-US"/>
        </w:rPr>
        <w:t xml:space="preserve"> and the registration offices were not provided with the banking documentation regarding the payment of government tariffs, as mandated by </w:t>
      </w:r>
      <w:r w:rsidR="00DD524B">
        <w:rPr>
          <w:rFonts w:eastAsia="Verdana"/>
          <w:lang w:val="en-US"/>
        </w:rPr>
        <w:t>a</w:t>
      </w:r>
      <w:r w:rsidR="00A12481">
        <w:rPr>
          <w:rFonts w:eastAsia="Verdana"/>
          <w:lang w:val="en-US"/>
        </w:rPr>
        <w:t>rticle </w:t>
      </w:r>
      <w:r w:rsidRPr="00601F13">
        <w:rPr>
          <w:rFonts w:eastAsia="Verdana"/>
          <w:lang w:val="en-US"/>
        </w:rPr>
        <w:t>13 of the Law. The Court made no comment on the Committee’s Views.</w:t>
      </w:r>
    </w:p>
    <w:p w:rsidR="00075FA7" w:rsidRPr="00601F13" w:rsidRDefault="00075FA7" w:rsidP="00DD524B">
      <w:pPr>
        <w:pStyle w:val="SingleTxtG"/>
        <w:rPr>
          <w:rFonts w:eastAsia="Verdana"/>
          <w:lang w:val="en-US"/>
        </w:rPr>
      </w:pPr>
      <w:r>
        <w:rPr>
          <w:rFonts w:eastAsia="Verdana"/>
          <w:lang w:val="en-US"/>
        </w:rPr>
        <w:t>2.4</w:t>
      </w:r>
      <w:r>
        <w:rPr>
          <w:rFonts w:eastAsia="Verdana"/>
          <w:lang w:val="en-US"/>
        </w:rPr>
        <w:tab/>
      </w:r>
      <w:r w:rsidRPr="00601F13">
        <w:rPr>
          <w:rFonts w:eastAsia="Verdana"/>
          <w:lang w:val="en-US"/>
        </w:rPr>
        <w:t>On 26 January 2009, the author’s husband and other founding members</w:t>
      </w:r>
      <w:r>
        <w:rPr>
          <w:rFonts w:eastAsia="Verdana"/>
          <w:lang w:val="en-US"/>
        </w:rPr>
        <w:t xml:space="preserve"> filed an </w:t>
      </w:r>
      <w:r w:rsidRPr="00601F13">
        <w:rPr>
          <w:rFonts w:eastAsia="Verdana"/>
          <w:lang w:val="en-US"/>
        </w:rPr>
        <w:t>app</w:t>
      </w:r>
      <w:r>
        <w:rPr>
          <w:rFonts w:eastAsia="Verdana"/>
          <w:lang w:val="en-US"/>
        </w:rPr>
        <w:t>l</w:t>
      </w:r>
      <w:r w:rsidRPr="00601F13">
        <w:rPr>
          <w:rFonts w:eastAsia="Verdana"/>
          <w:lang w:val="en-US"/>
        </w:rPr>
        <w:t>i</w:t>
      </w:r>
      <w:r>
        <w:rPr>
          <w:rFonts w:eastAsia="Verdana"/>
          <w:lang w:val="en-US"/>
        </w:rPr>
        <w:t>cation</w:t>
      </w:r>
      <w:r w:rsidRPr="00601F13">
        <w:rPr>
          <w:rFonts w:eastAsia="Verdana"/>
          <w:lang w:val="en-US"/>
        </w:rPr>
        <w:t xml:space="preserve"> to the Ministry of Justice for the registration of the </w:t>
      </w:r>
      <w:r w:rsidR="00D61B4E">
        <w:rPr>
          <w:rFonts w:eastAsia="Verdana"/>
          <w:lang w:val="en-US"/>
        </w:rPr>
        <w:t>c</w:t>
      </w:r>
      <w:r w:rsidRPr="00601F13">
        <w:rPr>
          <w:rFonts w:eastAsia="Verdana"/>
          <w:lang w:val="en-US"/>
        </w:rPr>
        <w:t xml:space="preserve">ivic </w:t>
      </w:r>
      <w:r w:rsidR="00D61B4E">
        <w:rPr>
          <w:rFonts w:eastAsia="Verdana"/>
          <w:lang w:val="en-US"/>
        </w:rPr>
        <w:t>h</w:t>
      </w:r>
      <w:r w:rsidRPr="00601F13">
        <w:rPr>
          <w:rFonts w:eastAsia="Verdana"/>
          <w:lang w:val="en-US"/>
        </w:rPr>
        <w:t xml:space="preserve">uman </w:t>
      </w:r>
      <w:r w:rsidR="00D61B4E">
        <w:rPr>
          <w:rFonts w:eastAsia="Verdana"/>
          <w:lang w:val="en-US"/>
        </w:rPr>
        <w:t>r</w:t>
      </w:r>
      <w:r w:rsidRPr="00601F13">
        <w:rPr>
          <w:rFonts w:eastAsia="Verdana"/>
          <w:lang w:val="en-US"/>
        </w:rPr>
        <w:t xml:space="preserve">ights </w:t>
      </w:r>
      <w:r w:rsidR="00D61B4E">
        <w:rPr>
          <w:rFonts w:eastAsia="Verdana"/>
          <w:lang w:val="en-US"/>
        </w:rPr>
        <w:t>a</w:t>
      </w:r>
      <w:r w:rsidRPr="00601F13">
        <w:rPr>
          <w:rFonts w:eastAsia="Verdana"/>
          <w:lang w:val="en-US"/>
        </w:rPr>
        <w:t xml:space="preserve">ssociation </w:t>
      </w:r>
      <w:r w:rsidRPr="000E4FBD">
        <w:rPr>
          <w:rFonts w:eastAsia="Verdana"/>
          <w:lang w:val="en-US"/>
        </w:rPr>
        <w:t>Nasha Viasna</w:t>
      </w:r>
      <w:r w:rsidRPr="00601F13">
        <w:rPr>
          <w:rFonts w:eastAsia="Verdana"/>
          <w:lang w:val="en-US"/>
        </w:rPr>
        <w:t xml:space="preserve">. On 2 March 2009, the Ministry of Justice denied the registration, based on the following grounds: during the </w:t>
      </w:r>
      <w:r>
        <w:rPr>
          <w:rFonts w:eastAsia="Verdana"/>
          <w:lang w:val="en-US"/>
        </w:rPr>
        <w:t>initial meeting of the founders</w:t>
      </w:r>
      <w:r w:rsidRPr="00601F13">
        <w:rPr>
          <w:rFonts w:eastAsia="Verdana"/>
          <w:lang w:val="en-US"/>
        </w:rPr>
        <w:t xml:space="preserve"> a</w:t>
      </w:r>
      <w:r>
        <w:rPr>
          <w:rFonts w:eastAsia="Verdana"/>
          <w:lang w:val="en-US"/>
        </w:rPr>
        <w:t>n</w:t>
      </w:r>
      <w:r w:rsidR="00A12481">
        <w:rPr>
          <w:rFonts w:eastAsia="Verdana"/>
          <w:lang w:val="en-US"/>
        </w:rPr>
        <w:t xml:space="preserve"> </w:t>
      </w:r>
      <w:r>
        <w:rPr>
          <w:rFonts w:eastAsia="Verdana"/>
          <w:lang w:val="en-US"/>
        </w:rPr>
        <w:t xml:space="preserve">auditor </w:t>
      </w:r>
      <w:r w:rsidRPr="00601F13">
        <w:rPr>
          <w:rFonts w:eastAsia="Verdana"/>
          <w:lang w:val="en-US"/>
        </w:rPr>
        <w:t xml:space="preserve">was not elected; the </w:t>
      </w:r>
      <w:r>
        <w:rPr>
          <w:rFonts w:eastAsia="Verdana"/>
          <w:lang w:val="en-US"/>
        </w:rPr>
        <w:t>initial meeting of the founders</w:t>
      </w:r>
      <w:r w:rsidRPr="00601F13">
        <w:rPr>
          <w:rFonts w:eastAsia="Verdana"/>
          <w:lang w:val="en-US"/>
        </w:rPr>
        <w:t xml:space="preserve"> was </w:t>
      </w:r>
      <w:r w:rsidR="00DD524B">
        <w:rPr>
          <w:rFonts w:eastAsia="Verdana"/>
          <w:lang w:val="en-US"/>
        </w:rPr>
        <w:t>referred to as</w:t>
      </w:r>
      <w:r w:rsidR="00DD524B" w:rsidRPr="00601F13">
        <w:rPr>
          <w:rFonts w:eastAsia="Verdana"/>
          <w:lang w:val="en-US"/>
        </w:rPr>
        <w:t xml:space="preserve"> </w:t>
      </w:r>
      <w:r w:rsidRPr="00601F13">
        <w:rPr>
          <w:rFonts w:eastAsia="Verdana"/>
          <w:lang w:val="en-US"/>
        </w:rPr>
        <w:t>a “gathering” whereas</w:t>
      </w:r>
      <w:r w:rsidR="00DD524B">
        <w:rPr>
          <w:rFonts w:eastAsia="Verdana"/>
          <w:lang w:val="en-US"/>
        </w:rPr>
        <w:t>,</w:t>
      </w:r>
      <w:r w:rsidRPr="00601F13">
        <w:rPr>
          <w:rFonts w:eastAsia="Verdana"/>
          <w:lang w:val="en-US"/>
        </w:rPr>
        <w:t xml:space="preserve"> according to the Law </w:t>
      </w:r>
      <w:r w:rsidR="00DD524B">
        <w:rPr>
          <w:bCs/>
          <w:lang w:val="en-US"/>
        </w:rPr>
        <w:t>o</w:t>
      </w:r>
      <w:r w:rsidRPr="00C106AC">
        <w:rPr>
          <w:bCs/>
        </w:rPr>
        <w:t>n Public Associations</w:t>
      </w:r>
      <w:r w:rsidRPr="00601F13">
        <w:rPr>
          <w:rFonts w:eastAsia="Verdana"/>
          <w:lang w:val="en-US"/>
        </w:rPr>
        <w:t xml:space="preserve"> it should </w:t>
      </w:r>
      <w:r>
        <w:rPr>
          <w:rFonts w:eastAsia="Verdana"/>
          <w:lang w:val="en-US"/>
        </w:rPr>
        <w:t xml:space="preserve">have </w:t>
      </w:r>
      <w:r w:rsidRPr="00601F13">
        <w:rPr>
          <w:rFonts w:eastAsia="Verdana"/>
          <w:lang w:val="en-US"/>
        </w:rPr>
        <w:t>be</w:t>
      </w:r>
      <w:r>
        <w:rPr>
          <w:rFonts w:eastAsia="Verdana"/>
          <w:lang w:val="en-US"/>
        </w:rPr>
        <w:t xml:space="preserve">en </w:t>
      </w:r>
      <w:r w:rsidR="00DD524B">
        <w:rPr>
          <w:rFonts w:eastAsia="Verdana"/>
          <w:lang w:val="en-US"/>
        </w:rPr>
        <w:t>called</w:t>
      </w:r>
      <w:r w:rsidR="00DD524B" w:rsidRPr="00601F13">
        <w:rPr>
          <w:rFonts w:eastAsia="Verdana"/>
          <w:lang w:val="en-US"/>
        </w:rPr>
        <w:t xml:space="preserve"> </w:t>
      </w:r>
      <w:r w:rsidRPr="00601F13">
        <w:rPr>
          <w:rFonts w:eastAsia="Verdana"/>
          <w:lang w:val="en-US"/>
        </w:rPr>
        <w:t>a “</w:t>
      </w:r>
      <w:r w:rsidR="00FE2FB3">
        <w:rPr>
          <w:rFonts w:eastAsia="Verdana"/>
          <w:lang w:val="en-US"/>
        </w:rPr>
        <w:t xml:space="preserve">conference” or a “convention”; </w:t>
      </w:r>
      <w:r w:rsidRPr="00601F13">
        <w:rPr>
          <w:rFonts w:eastAsia="Verdana"/>
          <w:lang w:val="en-US"/>
        </w:rPr>
        <w:t>the list of founding members contained erroneous or incomplete information; there were reaso</w:t>
      </w:r>
      <w:r>
        <w:rPr>
          <w:rFonts w:eastAsia="Verdana"/>
          <w:lang w:val="en-US"/>
        </w:rPr>
        <w:t>ns to believe that the initial meeting of the founders</w:t>
      </w:r>
      <w:r w:rsidRPr="00601F13">
        <w:rPr>
          <w:rFonts w:eastAsia="Verdana"/>
          <w:lang w:val="en-US"/>
        </w:rPr>
        <w:t xml:space="preserve"> either did not occur at all, or that the indi</w:t>
      </w:r>
      <w:r>
        <w:rPr>
          <w:rFonts w:eastAsia="Verdana"/>
          <w:lang w:val="en-US"/>
        </w:rPr>
        <w:t>viduals present at the initial meeting of the founders</w:t>
      </w:r>
      <w:r w:rsidRPr="00601F13">
        <w:rPr>
          <w:rFonts w:eastAsia="Verdana"/>
          <w:lang w:val="en-US"/>
        </w:rPr>
        <w:t xml:space="preserve"> were not the same as those identified in the list of founding members; the documentation </w:t>
      </w:r>
      <w:r>
        <w:rPr>
          <w:rFonts w:eastAsia="Verdana"/>
          <w:lang w:val="en-US"/>
        </w:rPr>
        <w:t>regarding</w:t>
      </w:r>
      <w:r w:rsidRPr="00601F13">
        <w:rPr>
          <w:rFonts w:eastAsia="Verdana"/>
          <w:lang w:val="en-US"/>
        </w:rPr>
        <w:t xml:space="preserve"> the payment of government tariffs for registration did not contain information abo</w:t>
      </w:r>
      <w:r w:rsidR="00FE2FB3">
        <w:rPr>
          <w:rFonts w:eastAsia="Verdana"/>
          <w:lang w:val="en-US"/>
        </w:rPr>
        <w:t>ut the name of the association;</w:t>
      </w:r>
      <w:r w:rsidRPr="00601F13">
        <w:rPr>
          <w:rFonts w:eastAsia="Verdana"/>
          <w:lang w:val="en-US"/>
        </w:rPr>
        <w:t xml:space="preserve"> 35 of the founding members were individuals who had had criminal or </w:t>
      </w:r>
      <w:r w:rsidRPr="00601F13">
        <w:rPr>
          <w:rFonts w:eastAsia="Verdana"/>
          <w:lang w:val="en-US"/>
        </w:rPr>
        <w:lastRenderedPageBreak/>
        <w:t>administrative charges brought against them in the pa</w:t>
      </w:r>
      <w:r>
        <w:rPr>
          <w:rFonts w:eastAsia="Verdana"/>
          <w:lang w:val="en-US"/>
        </w:rPr>
        <w:t>st; the minutes of the initial meeting of the founders</w:t>
      </w:r>
      <w:r w:rsidRPr="00601F13">
        <w:rPr>
          <w:rFonts w:eastAsia="Verdana"/>
          <w:lang w:val="en-US"/>
        </w:rPr>
        <w:t xml:space="preserve"> did not indicate that a chair and secretary of the meeting </w:t>
      </w:r>
      <w:r w:rsidR="00DD524B">
        <w:rPr>
          <w:rFonts w:eastAsia="Verdana"/>
          <w:lang w:val="en-US"/>
        </w:rPr>
        <w:t>had been</w:t>
      </w:r>
      <w:r w:rsidRPr="00601F13">
        <w:rPr>
          <w:rFonts w:eastAsia="Verdana"/>
          <w:lang w:val="en-US"/>
        </w:rPr>
        <w:t xml:space="preserve"> elected.</w:t>
      </w:r>
      <w:r w:rsidRPr="00601F13">
        <w:rPr>
          <w:rFonts w:eastAsia="Verdana"/>
          <w:vertAlign w:val="superscript"/>
          <w:lang w:val="en-US"/>
        </w:rPr>
        <w:footnoteReference w:id="7"/>
      </w:r>
      <w:r w:rsidRPr="00601F13">
        <w:rPr>
          <w:rFonts w:eastAsia="Verdana"/>
          <w:lang w:val="en-US"/>
        </w:rPr>
        <w:t xml:space="preserve"> </w:t>
      </w:r>
    </w:p>
    <w:p w:rsidR="00075FA7" w:rsidRPr="00601F13" w:rsidRDefault="00075FA7" w:rsidP="00F4101B">
      <w:pPr>
        <w:pStyle w:val="SingleTxtG"/>
        <w:rPr>
          <w:rFonts w:eastAsia="Verdana"/>
          <w:lang w:val="en-US"/>
        </w:rPr>
      </w:pPr>
      <w:r>
        <w:rPr>
          <w:rFonts w:eastAsia="Verdana"/>
          <w:lang w:val="en-US"/>
        </w:rPr>
        <w:t>2.5</w:t>
      </w:r>
      <w:r>
        <w:rPr>
          <w:rFonts w:eastAsia="Verdana"/>
          <w:lang w:val="en-US"/>
        </w:rPr>
        <w:tab/>
      </w:r>
      <w:r w:rsidRPr="00601F13">
        <w:rPr>
          <w:rFonts w:eastAsia="Verdana"/>
          <w:lang w:val="en-US"/>
        </w:rPr>
        <w:t>On 20 March 2009, the author’s husband and other founding members appealed the above</w:t>
      </w:r>
      <w:r w:rsidR="00320475">
        <w:rPr>
          <w:rFonts w:eastAsia="Verdana"/>
          <w:lang w:val="en-US"/>
        </w:rPr>
        <w:t>-mentioned</w:t>
      </w:r>
      <w:r w:rsidRPr="00601F13">
        <w:rPr>
          <w:rFonts w:eastAsia="Verdana"/>
          <w:lang w:val="en-US"/>
        </w:rPr>
        <w:t xml:space="preserve"> decision of the Ministry of Justice, indicating that it contradict</w:t>
      </w:r>
      <w:r w:rsidR="00320475">
        <w:rPr>
          <w:rFonts w:eastAsia="Verdana"/>
          <w:lang w:val="en-US"/>
        </w:rPr>
        <w:t>ed</w:t>
      </w:r>
      <w:r w:rsidRPr="00601F13">
        <w:rPr>
          <w:rFonts w:eastAsia="Verdana"/>
          <w:lang w:val="en-US"/>
        </w:rPr>
        <w:t xml:space="preserve"> the Law </w:t>
      </w:r>
      <w:r w:rsidR="002D4AD3">
        <w:rPr>
          <w:bCs/>
          <w:lang w:val="en-US"/>
        </w:rPr>
        <w:t>o</w:t>
      </w:r>
      <w:r w:rsidRPr="00C106AC">
        <w:rPr>
          <w:bCs/>
        </w:rPr>
        <w:t xml:space="preserve">n Public </w:t>
      </w:r>
      <w:r w:rsidRPr="00F4101B">
        <w:t>Associations</w:t>
      </w:r>
      <w:r>
        <w:rPr>
          <w:bCs/>
        </w:rPr>
        <w:t>,</w:t>
      </w:r>
      <w:r w:rsidRPr="00601F13">
        <w:rPr>
          <w:rFonts w:eastAsia="Verdana"/>
          <w:lang w:val="en-US"/>
        </w:rPr>
        <w:t xml:space="preserve"> </w:t>
      </w:r>
      <w:r w:rsidR="00320475">
        <w:rPr>
          <w:rFonts w:eastAsia="Verdana"/>
          <w:lang w:val="en-US"/>
        </w:rPr>
        <w:t xml:space="preserve">and </w:t>
      </w:r>
      <w:r w:rsidRPr="00601F13">
        <w:rPr>
          <w:rFonts w:eastAsia="Verdana"/>
          <w:lang w:val="en-US"/>
        </w:rPr>
        <w:t xml:space="preserve">requested that the decision be </w:t>
      </w:r>
      <w:r w:rsidR="000E4FBD">
        <w:rPr>
          <w:rFonts w:eastAsia="Verdana"/>
          <w:lang w:val="en-US"/>
        </w:rPr>
        <w:t xml:space="preserve">quashed </w:t>
      </w:r>
      <w:r w:rsidRPr="00601F13">
        <w:rPr>
          <w:rFonts w:eastAsia="Verdana"/>
          <w:lang w:val="en-US"/>
        </w:rPr>
        <w:t xml:space="preserve">and that the Ministry of Justice be </w:t>
      </w:r>
      <w:r>
        <w:rPr>
          <w:rFonts w:eastAsia="Verdana"/>
          <w:lang w:val="en-US"/>
        </w:rPr>
        <w:t xml:space="preserve">ordered </w:t>
      </w:r>
      <w:r w:rsidRPr="00601F13">
        <w:rPr>
          <w:rFonts w:eastAsia="Verdana"/>
          <w:lang w:val="en-US"/>
        </w:rPr>
        <w:t xml:space="preserve">to register the association. On 22 April 2009, the Supreme Court confirmed the legality of the decision of the Ministry of Justice. </w:t>
      </w:r>
    </w:p>
    <w:p w:rsidR="00075FA7" w:rsidRPr="00601F13" w:rsidRDefault="00075FA7" w:rsidP="00F4101B">
      <w:pPr>
        <w:pStyle w:val="SingleTxtG"/>
        <w:rPr>
          <w:rFonts w:eastAsia="Verdana"/>
          <w:lang w:val="en-US"/>
        </w:rPr>
      </w:pPr>
      <w:r>
        <w:rPr>
          <w:rFonts w:eastAsia="Verdana"/>
          <w:lang w:val="en-US"/>
        </w:rPr>
        <w:t>2.6</w:t>
      </w:r>
      <w:r>
        <w:rPr>
          <w:rFonts w:eastAsia="Verdana"/>
          <w:lang w:val="en-US"/>
        </w:rPr>
        <w:tab/>
      </w:r>
      <w:r w:rsidRPr="00601F13">
        <w:rPr>
          <w:rFonts w:eastAsia="Verdana"/>
          <w:lang w:val="en-US"/>
        </w:rPr>
        <w:t xml:space="preserve">On 25 April 2009, the author’s husband and other founders again applied to the Ministry of Justice with the request to register the </w:t>
      </w:r>
      <w:r w:rsidR="00880E57">
        <w:rPr>
          <w:rFonts w:eastAsia="Verdana"/>
          <w:lang w:val="en-US"/>
        </w:rPr>
        <w:t>c</w:t>
      </w:r>
      <w:r w:rsidRPr="00601F13">
        <w:rPr>
          <w:rFonts w:eastAsia="Verdana"/>
          <w:lang w:val="en-US"/>
        </w:rPr>
        <w:t xml:space="preserve">ivic </w:t>
      </w:r>
      <w:r w:rsidR="00880E57">
        <w:rPr>
          <w:rFonts w:eastAsia="Verdana"/>
          <w:lang w:val="en-US"/>
        </w:rPr>
        <w:t>h</w:t>
      </w:r>
      <w:r w:rsidRPr="00601F13">
        <w:rPr>
          <w:rFonts w:eastAsia="Verdana"/>
          <w:lang w:val="en-US"/>
        </w:rPr>
        <w:t xml:space="preserve">uman </w:t>
      </w:r>
      <w:r w:rsidR="00880E57">
        <w:rPr>
          <w:rFonts w:eastAsia="Verdana"/>
          <w:lang w:val="en-US"/>
        </w:rPr>
        <w:t>r</w:t>
      </w:r>
      <w:r w:rsidRPr="00601F13">
        <w:rPr>
          <w:rFonts w:eastAsia="Verdana"/>
          <w:lang w:val="en-US"/>
        </w:rPr>
        <w:t xml:space="preserve">ights </w:t>
      </w:r>
      <w:r w:rsidR="00880E57">
        <w:rPr>
          <w:rFonts w:eastAsia="Verdana"/>
          <w:lang w:val="en-US"/>
        </w:rPr>
        <w:t>a</w:t>
      </w:r>
      <w:r w:rsidRPr="00601F13">
        <w:rPr>
          <w:rFonts w:eastAsia="Verdana"/>
          <w:lang w:val="en-US"/>
        </w:rPr>
        <w:t xml:space="preserve">ssociation Nasha Viasna, having provided additional documents, in which the defects of the founding documents indicated by the court were taken into account. On 25 May 2009, the Ministry of Justice again denied them registration based on formalistic grounds. On 18 July 2009, the author’s husband and his associates appealed </w:t>
      </w:r>
      <w:r>
        <w:rPr>
          <w:rFonts w:eastAsia="Verdana"/>
          <w:lang w:val="en-US"/>
        </w:rPr>
        <w:t>and</w:t>
      </w:r>
      <w:r w:rsidRPr="00601F13">
        <w:rPr>
          <w:rFonts w:eastAsia="Verdana"/>
          <w:lang w:val="en-US"/>
        </w:rPr>
        <w:t xml:space="preserve"> </w:t>
      </w:r>
      <w:r>
        <w:rPr>
          <w:rFonts w:eastAsia="Verdana"/>
          <w:lang w:val="en-US"/>
        </w:rPr>
        <w:t>o</w:t>
      </w:r>
      <w:r w:rsidRPr="00601F13">
        <w:rPr>
          <w:rFonts w:eastAsia="Verdana"/>
          <w:lang w:val="en-US"/>
        </w:rPr>
        <w:t>n 12 August 2009, the Supreme Court again confirmed the decision of the Ministry of Justice.</w:t>
      </w:r>
      <w:r w:rsidR="00A12481">
        <w:rPr>
          <w:rFonts w:eastAsia="Verdana"/>
          <w:lang w:val="en-US"/>
        </w:rPr>
        <w:t xml:space="preserve"> </w:t>
      </w:r>
    </w:p>
    <w:p w:rsidR="00075FA7" w:rsidRDefault="00075FA7" w:rsidP="002E4179">
      <w:pPr>
        <w:pStyle w:val="SingleTxtG"/>
        <w:rPr>
          <w:lang w:eastAsia="ar-SA"/>
        </w:rPr>
      </w:pPr>
      <w:r>
        <w:rPr>
          <w:rFonts w:eastAsia="Verdana"/>
          <w:bCs/>
          <w:lang w:val="en-US"/>
        </w:rPr>
        <w:t>2.7</w:t>
      </w:r>
      <w:r>
        <w:rPr>
          <w:rFonts w:eastAsia="Verdana"/>
          <w:bCs/>
          <w:lang w:val="en-US"/>
        </w:rPr>
        <w:tab/>
      </w:r>
      <w:r w:rsidRPr="00D22D4C">
        <w:rPr>
          <w:rFonts w:eastAsia="Verdana"/>
        </w:rPr>
        <w:t xml:space="preserve">The author </w:t>
      </w:r>
      <w:r>
        <w:rPr>
          <w:rFonts w:eastAsia="Verdana"/>
        </w:rPr>
        <w:t>submits</w:t>
      </w:r>
      <w:r w:rsidRPr="00D22D4C">
        <w:rPr>
          <w:rFonts w:eastAsia="Verdana"/>
        </w:rPr>
        <w:t xml:space="preserve"> that</w:t>
      </w:r>
      <w:r>
        <w:rPr>
          <w:rFonts w:eastAsia="Verdana"/>
        </w:rPr>
        <w:t>,</w:t>
      </w:r>
      <w:r w:rsidRPr="00D22D4C">
        <w:rPr>
          <w:rFonts w:eastAsia="Verdana"/>
        </w:rPr>
        <w:t xml:space="preserve"> on 16 February 2011, the </w:t>
      </w:r>
      <w:r w:rsidRPr="003D1C80">
        <w:rPr>
          <w:lang w:eastAsia="ar-SA"/>
        </w:rPr>
        <w:t xml:space="preserve">Deputy </w:t>
      </w:r>
      <w:r w:rsidRPr="003D1C80">
        <w:t>Pro</w:t>
      </w:r>
      <w:r w:rsidR="003D1C80">
        <w:rPr>
          <w:lang w:val="en-US"/>
        </w:rPr>
        <w:t>curator</w:t>
      </w:r>
      <w:r w:rsidR="006050A7" w:rsidRPr="003D1C80">
        <w:rPr>
          <w:lang w:val="en-US" w:eastAsia="ar-SA"/>
        </w:rPr>
        <w:t>-</w:t>
      </w:r>
      <w:r w:rsidRPr="003D1C80">
        <w:rPr>
          <w:lang w:eastAsia="ar-SA"/>
        </w:rPr>
        <w:t>General</w:t>
      </w:r>
      <w:r w:rsidRPr="000568AE">
        <w:rPr>
          <w:lang w:eastAsia="ar-SA"/>
        </w:rPr>
        <w:t xml:space="preserve"> issued an official warning to </w:t>
      </w:r>
      <w:r>
        <w:rPr>
          <w:lang w:eastAsia="ar-SA"/>
        </w:rPr>
        <w:t>her husband</w:t>
      </w:r>
      <w:r w:rsidRPr="000568AE">
        <w:rPr>
          <w:lang w:eastAsia="ar-SA"/>
        </w:rPr>
        <w:t xml:space="preserve">, </w:t>
      </w:r>
      <w:r w:rsidR="003D1C80">
        <w:rPr>
          <w:lang w:val="en-US" w:eastAsia="ar-SA"/>
        </w:rPr>
        <w:t xml:space="preserve">in </w:t>
      </w:r>
      <w:r w:rsidRPr="000568AE">
        <w:rPr>
          <w:lang w:eastAsia="ar-SA"/>
        </w:rPr>
        <w:t xml:space="preserve">which </w:t>
      </w:r>
      <w:r w:rsidR="003D1C80">
        <w:rPr>
          <w:lang w:val="en-US" w:eastAsia="ar-SA"/>
        </w:rPr>
        <w:t xml:space="preserve">it was </w:t>
      </w:r>
      <w:r w:rsidRPr="000568AE">
        <w:rPr>
          <w:lang w:eastAsia="ar-SA"/>
        </w:rPr>
        <w:t>stated that in the course of a review the Office</w:t>
      </w:r>
      <w:r w:rsidR="003D1C80">
        <w:rPr>
          <w:lang w:val="en-US" w:eastAsia="ar-SA"/>
        </w:rPr>
        <w:t xml:space="preserve"> </w:t>
      </w:r>
      <w:r w:rsidR="003D1C80" w:rsidRPr="00816E8C">
        <w:rPr>
          <w:lang w:val="en-US" w:eastAsia="ar-SA"/>
        </w:rPr>
        <w:t>of the Procurator-General</w:t>
      </w:r>
      <w:r w:rsidR="003D1C80">
        <w:rPr>
          <w:lang w:val="en-US" w:eastAsia="ar-SA"/>
        </w:rPr>
        <w:t xml:space="preserve"> had</w:t>
      </w:r>
      <w:r w:rsidRPr="000568AE">
        <w:rPr>
          <w:lang w:eastAsia="ar-SA"/>
        </w:rPr>
        <w:t xml:space="preserve"> discovered </w:t>
      </w:r>
      <w:r w:rsidR="00320475">
        <w:rPr>
          <w:lang w:val="en-US" w:eastAsia="ar-SA"/>
        </w:rPr>
        <w:t>evidence of the</w:t>
      </w:r>
      <w:r w:rsidR="00320475" w:rsidRPr="000568AE">
        <w:rPr>
          <w:lang w:eastAsia="ar-SA"/>
        </w:rPr>
        <w:t xml:space="preserve"> </w:t>
      </w:r>
      <w:r w:rsidRPr="000568AE">
        <w:rPr>
          <w:lang w:eastAsia="ar-SA"/>
        </w:rPr>
        <w:t>activities</w:t>
      </w:r>
      <w:r w:rsidR="00320475">
        <w:rPr>
          <w:lang w:val="en-US" w:eastAsia="ar-SA"/>
        </w:rPr>
        <w:t xml:space="preserve"> he had undertaken</w:t>
      </w:r>
      <w:r w:rsidRPr="000568AE">
        <w:rPr>
          <w:lang w:eastAsia="ar-SA"/>
        </w:rPr>
        <w:t xml:space="preserve"> on behalf of an unregistered </w:t>
      </w:r>
      <w:r>
        <w:rPr>
          <w:lang w:eastAsia="ar-SA"/>
        </w:rPr>
        <w:t>organi</w:t>
      </w:r>
      <w:r w:rsidR="003D1C80">
        <w:rPr>
          <w:lang w:val="en-US" w:eastAsia="ar-SA"/>
        </w:rPr>
        <w:t>z</w:t>
      </w:r>
      <w:r>
        <w:rPr>
          <w:lang w:eastAsia="ar-SA"/>
        </w:rPr>
        <w:t>ation</w:t>
      </w:r>
      <w:r w:rsidRPr="000568AE">
        <w:rPr>
          <w:lang w:eastAsia="ar-SA"/>
        </w:rPr>
        <w:t xml:space="preserve">, </w:t>
      </w:r>
      <w:r w:rsidR="003D1C80">
        <w:rPr>
          <w:lang w:val="en-US" w:eastAsia="ar-SA"/>
        </w:rPr>
        <w:t>including</w:t>
      </w:r>
      <w:r w:rsidRPr="000568AE">
        <w:rPr>
          <w:lang w:eastAsia="ar-SA"/>
        </w:rPr>
        <w:t xml:space="preserve"> publication</w:t>
      </w:r>
      <w:r>
        <w:rPr>
          <w:lang w:eastAsia="ar-SA"/>
        </w:rPr>
        <w:t>s</w:t>
      </w:r>
      <w:r w:rsidRPr="000568AE">
        <w:rPr>
          <w:lang w:eastAsia="ar-SA"/>
        </w:rPr>
        <w:t xml:space="preserve"> on the organization’s site </w:t>
      </w:r>
      <w:r w:rsidR="003D1C80">
        <w:rPr>
          <w:lang w:val="en-US" w:eastAsia="ar-SA"/>
        </w:rPr>
        <w:t>and</w:t>
      </w:r>
      <w:r w:rsidRPr="000568AE">
        <w:rPr>
          <w:lang w:eastAsia="ar-SA"/>
        </w:rPr>
        <w:t xml:space="preserve"> </w:t>
      </w:r>
      <w:r w:rsidRPr="00740DA3">
        <w:rPr>
          <w:lang w:eastAsia="ar-SA"/>
        </w:rPr>
        <w:t>appearances</w:t>
      </w:r>
      <w:r w:rsidRPr="000568AE">
        <w:rPr>
          <w:lang w:eastAsia="ar-SA"/>
        </w:rPr>
        <w:t xml:space="preserve"> and commentary where he </w:t>
      </w:r>
      <w:r w:rsidR="00740DA3">
        <w:rPr>
          <w:lang w:val="en-US" w:eastAsia="ar-SA"/>
        </w:rPr>
        <w:t>wa</w:t>
      </w:r>
      <w:r w:rsidRPr="000568AE">
        <w:rPr>
          <w:lang w:eastAsia="ar-SA"/>
        </w:rPr>
        <w:t xml:space="preserve">s identified as the organization’s </w:t>
      </w:r>
      <w:r w:rsidRPr="000E4FBD">
        <w:rPr>
          <w:lang w:eastAsia="ar-SA"/>
        </w:rPr>
        <w:t>administrator</w:t>
      </w:r>
      <w:r w:rsidRPr="000568AE">
        <w:rPr>
          <w:lang w:eastAsia="ar-SA"/>
        </w:rPr>
        <w:t xml:space="preserve">. </w:t>
      </w:r>
      <w:r>
        <w:rPr>
          <w:lang w:eastAsia="ar-SA"/>
        </w:rPr>
        <w:t>He</w:t>
      </w:r>
      <w:r w:rsidRPr="000568AE">
        <w:rPr>
          <w:lang w:eastAsia="ar-SA"/>
        </w:rPr>
        <w:t xml:space="preserve"> was put on notice that</w:t>
      </w:r>
      <w:r w:rsidR="00740DA3">
        <w:rPr>
          <w:lang w:val="en-US" w:eastAsia="ar-SA"/>
        </w:rPr>
        <w:t>,</w:t>
      </w:r>
      <w:r w:rsidRPr="000568AE">
        <w:rPr>
          <w:lang w:eastAsia="ar-SA"/>
        </w:rPr>
        <w:t xml:space="preserve"> in the event that he continue</w:t>
      </w:r>
      <w:r w:rsidR="00740DA3">
        <w:rPr>
          <w:lang w:val="en-US" w:eastAsia="ar-SA"/>
        </w:rPr>
        <w:t>d</w:t>
      </w:r>
      <w:r w:rsidRPr="000568AE">
        <w:rPr>
          <w:lang w:eastAsia="ar-SA"/>
        </w:rPr>
        <w:t xml:space="preserve"> to violate the law, he </w:t>
      </w:r>
      <w:r w:rsidR="00740DA3">
        <w:rPr>
          <w:lang w:val="en-US" w:eastAsia="ar-SA"/>
        </w:rPr>
        <w:t>could</w:t>
      </w:r>
      <w:r w:rsidRPr="000568AE">
        <w:rPr>
          <w:lang w:eastAsia="ar-SA"/>
        </w:rPr>
        <w:t xml:space="preserve"> be held accountable. </w:t>
      </w:r>
      <w:r>
        <w:rPr>
          <w:lang w:eastAsia="ar-SA"/>
        </w:rPr>
        <w:t>The author’s husband</w:t>
      </w:r>
      <w:r w:rsidRPr="000568AE">
        <w:rPr>
          <w:lang w:eastAsia="ar-SA"/>
        </w:rPr>
        <w:t xml:space="preserve"> filed a complaint </w:t>
      </w:r>
      <w:r w:rsidR="00740DA3">
        <w:rPr>
          <w:lang w:val="en-US" w:eastAsia="ar-SA"/>
        </w:rPr>
        <w:t>about</w:t>
      </w:r>
      <w:r w:rsidR="00740DA3" w:rsidRPr="000568AE">
        <w:rPr>
          <w:lang w:eastAsia="ar-SA"/>
        </w:rPr>
        <w:t xml:space="preserve"> </w:t>
      </w:r>
      <w:r w:rsidRPr="000568AE">
        <w:rPr>
          <w:lang w:eastAsia="ar-SA"/>
        </w:rPr>
        <w:t xml:space="preserve">the warning to the </w:t>
      </w:r>
      <w:r w:rsidR="00740DA3">
        <w:rPr>
          <w:lang w:val="en-US" w:eastAsia="ar-SA"/>
        </w:rPr>
        <w:t>Procurator-</w:t>
      </w:r>
      <w:r w:rsidRPr="000568AE">
        <w:rPr>
          <w:lang w:eastAsia="ar-SA"/>
        </w:rPr>
        <w:t xml:space="preserve">General, who, in a letter dated </w:t>
      </w:r>
      <w:r>
        <w:rPr>
          <w:lang w:eastAsia="ar-SA"/>
        </w:rPr>
        <w:t xml:space="preserve">18 </w:t>
      </w:r>
      <w:r w:rsidRPr="000568AE">
        <w:rPr>
          <w:lang w:eastAsia="ar-SA"/>
        </w:rPr>
        <w:t>March 2011</w:t>
      </w:r>
      <w:r>
        <w:rPr>
          <w:lang w:eastAsia="ar-SA"/>
        </w:rPr>
        <w:t>,</w:t>
      </w:r>
      <w:r w:rsidRPr="000568AE">
        <w:rPr>
          <w:lang w:eastAsia="ar-SA"/>
        </w:rPr>
        <w:t xml:space="preserve"> upheld the legality of the warning</w:t>
      </w:r>
      <w:r>
        <w:rPr>
          <w:lang w:eastAsia="ar-SA"/>
        </w:rPr>
        <w:t>.</w:t>
      </w:r>
      <w:r w:rsidRPr="000568AE">
        <w:rPr>
          <w:lang w:eastAsia="ar-SA"/>
        </w:rPr>
        <w:t xml:space="preserve"> </w:t>
      </w:r>
      <w:r>
        <w:rPr>
          <w:lang w:eastAsia="ar-SA"/>
        </w:rPr>
        <w:t>The author’s husband</w:t>
      </w:r>
      <w:r w:rsidRPr="000568AE">
        <w:rPr>
          <w:lang w:eastAsia="ar-SA"/>
        </w:rPr>
        <w:t xml:space="preserve"> filed a complaint to the Central District Court </w:t>
      </w:r>
      <w:r w:rsidR="00320475">
        <w:rPr>
          <w:lang w:val="en-US" w:eastAsia="ar-SA"/>
        </w:rPr>
        <w:t>in</w:t>
      </w:r>
      <w:r w:rsidRPr="000568AE">
        <w:rPr>
          <w:lang w:eastAsia="ar-SA"/>
        </w:rPr>
        <w:t xml:space="preserve"> Minsk, arguing that the particular actions of the Office</w:t>
      </w:r>
      <w:r w:rsidR="00740DA3">
        <w:rPr>
          <w:lang w:val="en-US" w:eastAsia="ar-SA"/>
        </w:rPr>
        <w:t xml:space="preserve"> </w:t>
      </w:r>
      <w:r w:rsidR="00740DA3" w:rsidRPr="00816E8C">
        <w:rPr>
          <w:lang w:val="en-US" w:eastAsia="ar-SA"/>
        </w:rPr>
        <w:t>of the Procurator-Genera</w:t>
      </w:r>
      <w:r w:rsidR="00740DA3" w:rsidRPr="00FA040C">
        <w:rPr>
          <w:lang w:val="en-US" w:eastAsia="ar-SA"/>
        </w:rPr>
        <w:t>l</w:t>
      </w:r>
      <w:r>
        <w:rPr>
          <w:lang w:eastAsia="ar-SA"/>
        </w:rPr>
        <w:t xml:space="preserve"> </w:t>
      </w:r>
      <w:r w:rsidR="00740DA3">
        <w:rPr>
          <w:lang w:val="en-US" w:eastAsia="ar-SA"/>
        </w:rPr>
        <w:t xml:space="preserve">had </w:t>
      </w:r>
      <w:r>
        <w:rPr>
          <w:lang w:eastAsia="ar-SA"/>
        </w:rPr>
        <w:t xml:space="preserve">violated the Constitution and </w:t>
      </w:r>
      <w:r w:rsidR="00A12481">
        <w:rPr>
          <w:lang w:eastAsia="ar-SA"/>
        </w:rPr>
        <w:t>article </w:t>
      </w:r>
      <w:r w:rsidRPr="000568AE">
        <w:rPr>
          <w:lang w:eastAsia="ar-SA"/>
        </w:rPr>
        <w:t xml:space="preserve">22 of the Covenant. </w:t>
      </w:r>
      <w:r>
        <w:rPr>
          <w:lang w:eastAsia="ar-SA"/>
        </w:rPr>
        <w:t>On 3</w:t>
      </w:r>
      <w:r w:rsidRPr="000568AE">
        <w:rPr>
          <w:lang w:eastAsia="ar-SA"/>
        </w:rPr>
        <w:t xml:space="preserve"> June</w:t>
      </w:r>
      <w:r>
        <w:rPr>
          <w:lang w:eastAsia="ar-SA"/>
        </w:rPr>
        <w:t xml:space="preserve"> 2011, the C</w:t>
      </w:r>
      <w:r w:rsidRPr="000568AE">
        <w:rPr>
          <w:lang w:eastAsia="ar-SA"/>
        </w:rPr>
        <w:t>ourt</w:t>
      </w:r>
      <w:r>
        <w:rPr>
          <w:lang w:eastAsia="ar-SA"/>
        </w:rPr>
        <w:t xml:space="preserve"> issued a decision rejecting </w:t>
      </w:r>
      <w:r w:rsidRPr="000568AE">
        <w:rPr>
          <w:lang w:eastAsia="ar-SA"/>
        </w:rPr>
        <w:t xml:space="preserve">the complaint. In the explanatory section of the decision, issued on </w:t>
      </w:r>
      <w:r>
        <w:rPr>
          <w:lang w:eastAsia="ar-SA"/>
        </w:rPr>
        <w:t xml:space="preserve">20 </w:t>
      </w:r>
      <w:r w:rsidRPr="000568AE">
        <w:rPr>
          <w:lang w:eastAsia="ar-SA"/>
        </w:rPr>
        <w:t>June</w:t>
      </w:r>
      <w:r>
        <w:rPr>
          <w:lang w:eastAsia="ar-SA"/>
        </w:rPr>
        <w:t xml:space="preserve"> </w:t>
      </w:r>
      <w:r w:rsidRPr="000568AE">
        <w:rPr>
          <w:lang w:eastAsia="ar-SA"/>
        </w:rPr>
        <w:t xml:space="preserve">2011, the </w:t>
      </w:r>
      <w:r>
        <w:rPr>
          <w:lang w:eastAsia="ar-SA"/>
        </w:rPr>
        <w:t>C</w:t>
      </w:r>
      <w:r w:rsidRPr="000568AE">
        <w:rPr>
          <w:lang w:eastAsia="ar-SA"/>
        </w:rPr>
        <w:t xml:space="preserve">ourt indicated that the complainant </w:t>
      </w:r>
      <w:r w:rsidR="00E4338E">
        <w:rPr>
          <w:lang w:val="en-US" w:eastAsia="ar-SA"/>
        </w:rPr>
        <w:t>had</w:t>
      </w:r>
      <w:r w:rsidR="00E4338E" w:rsidRPr="000568AE">
        <w:rPr>
          <w:lang w:eastAsia="ar-SA"/>
        </w:rPr>
        <w:t xml:space="preserve"> </w:t>
      </w:r>
      <w:r w:rsidRPr="000568AE">
        <w:rPr>
          <w:lang w:eastAsia="ar-SA"/>
        </w:rPr>
        <w:t>not provide</w:t>
      </w:r>
      <w:r w:rsidR="00E4338E">
        <w:rPr>
          <w:lang w:val="en-US" w:eastAsia="ar-SA"/>
        </w:rPr>
        <w:t>d</w:t>
      </w:r>
      <w:r w:rsidRPr="000568AE">
        <w:rPr>
          <w:lang w:eastAsia="ar-SA"/>
        </w:rPr>
        <w:t xml:space="preserve"> the court any evidence that </w:t>
      </w:r>
      <w:r w:rsidR="002E4179">
        <w:rPr>
          <w:lang w:val="en-US" w:eastAsia="ar-SA"/>
        </w:rPr>
        <w:t>Nasha</w:t>
      </w:r>
      <w:r w:rsidRPr="002E4179">
        <w:rPr>
          <w:lang w:eastAsia="ar-SA"/>
        </w:rPr>
        <w:t xml:space="preserve"> Viasna</w:t>
      </w:r>
      <w:r w:rsidRPr="000568AE">
        <w:rPr>
          <w:lang w:eastAsia="ar-SA"/>
        </w:rPr>
        <w:t xml:space="preserve"> ha</w:t>
      </w:r>
      <w:r>
        <w:rPr>
          <w:lang w:eastAsia="ar-SA"/>
        </w:rPr>
        <w:t>d</w:t>
      </w:r>
      <w:r w:rsidRPr="000568AE">
        <w:rPr>
          <w:lang w:eastAsia="ar-SA"/>
        </w:rPr>
        <w:t xml:space="preserve"> any organizational structure other than that of a civic association under the Law </w:t>
      </w:r>
      <w:r w:rsidR="00E4338E">
        <w:rPr>
          <w:bCs/>
          <w:lang w:val="en-US"/>
        </w:rPr>
        <w:t>o</w:t>
      </w:r>
      <w:r w:rsidRPr="00C106AC">
        <w:rPr>
          <w:bCs/>
        </w:rPr>
        <w:t>n Public Associations</w:t>
      </w:r>
      <w:r>
        <w:rPr>
          <w:lang w:eastAsia="ar-SA"/>
        </w:rPr>
        <w:t>.</w:t>
      </w:r>
      <w:r w:rsidRPr="000568AE">
        <w:rPr>
          <w:lang w:eastAsia="ar-SA"/>
        </w:rPr>
        <w:t xml:space="preserve"> </w:t>
      </w:r>
      <w:r w:rsidR="00E4338E">
        <w:rPr>
          <w:lang w:val="en-US" w:eastAsia="ar-SA"/>
        </w:rPr>
        <w:t>T</w:t>
      </w:r>
      <w:r w:rsidRPr="000568AE">
        <w:rPr>
          <w:lang w:eastAsia="ar-SA"/>
        </w:rPr>
        <w:t xml:space="preserve">he </w:t>
      </w:r>
      <w:r w:rsidR="00E4338E">
        <w:rPr>
          <w:lang w:val="en-US" w:eastAsia="ar-SA"/>
        </w:rPr>
        <w:t>C</w:t>
      </w:r>
      <w:r w:rsidRPr="000568AE">
        <w:rPr>
          <w:lang w:eastAsia="ar-SA"/>
        </w:rPr>
        <w:t xml:space="preserve">ourt did not respond to the </w:t>
      </w:r>
      <w:r>
        <w:rPr>
          <w:lang w:eastAsia="ar-SA"/>
        </w:rPr>
        <w:t xml:space="preserve">claim </w:t>
      </w:r>
      <w:r w:rsidRPr="000568AE">
        <w:rPr>
          <w:lang w:eastAsia="ar-SA"/>
        </w:rPr>
        <w:t>of the violation of th</w:t>
      </w:r>
      <w:r>
        <w:rPr>
          <w:lang w:eastAsia="ar-SA"/>
        </w:rPr>
        <w:t>e Constitution and the Covenant</w:t>
      </w:r>
      <w:r w:rsidRPr="000568AE">
        <w:rPr>
          <w:lang w:eastAsia="ar-SA"/>
        </w:rPr>
        <w:t>.</w:t>
      </w:r>
      <w:r w:rsidR="00A12481">
        <w:rPr>
          <w:lang w:eastAsia="ar-SA"/>
        </w:rPr>
        <w:t xml:space="preserve"> </w:t>
      </w:r>
      <w:r w:rsidRPr="000568AE">
        <w:rPr>
          <w:lang w:eastAsia="ar-SA"/>
        </w:rPr>
        <w:t>Th</w:t>
      </w:r>
      <w:r w:rsidR="00E4338E">
        <w:rPr>
          <w:lang w:val="en-US" w:eastAsia="ar-SA"/>
        </w:rPr>
        <w:t>e</w:t>
      </w:r>
      <w:r w:rsidRPr="000568AE">
        <w:rPr>
          <w:lang w:eastAsia="ar-SA"/>
        </w:rPr>
        <w:t xml:space="preserve"> decision was appealed to the </w:t>
      </w:r>
      <w:r>
        <w:rPr>
          <w:lang w:eastAsia="ar-SA"/>
        </w:rPr>
        <w:t>Minsk City Court</w:t>
      </w:r>
      <w:r w:rsidRPr="000568AE">
        <w:rPr>
          <w:lang w:eastAsia="ar-SA"/>
        </w:rPr>
        <w:t xml:space="preserve">. On </w:t>
      </w:r>
      <w:r>
        <w:rPr>
          <w:lang w:eastAsia="ar-SA"/>
        </w:rPr>
        <w:t xml:space="preserve">11 </w:t>
      </w:r>
      <w:r w:rsidRPr="000568AE">
        <w:rPr>
          <w:lang w:eastAsia="ar-SA"/>
        </w:rPr>
        <w:t>August</w:t>
      </w:r>
      <w:r>
        <w:rPr>
          <w:lang w:eastAsia="ar-SA"/>
        </w:rPr>
        <w:t xml:space="preserve"> </w:t>
      </w:r>
      <w:r w:rsidRPr="000568AE">
        <w:rPr>
          <w:lang w:eastAsia="ar-SA"/>
        </w:rPr>
        <w:t>2011</w:t>
      </w:r>
      <w:r>
        <w:rPr>
          <w:lang w:eastAsia="ar-SA"/>
        </w:rPr>
        <w:t>,</w:t>
      </w:r>
      <w:r w:rsidRPr="000568AE">
        <w:rPr>
          <w:lang w:eastAsia="ar-SA"/>
        </w:rPr>
        <w:t xml:space="preserve"> the </w:t>
      </w:r>
      <w:r>
        <w:rPr>
          <w:lang w:eastAsia="ar-SA"/>
        </w:rPr>
        <w:t xml:space="preserve">latter </w:t>
      </w:r>
      <w:r w:rsidRPr="000568AE">
        <w:rPr>
          <w:lang w:eastAsia="ar-SA"/>
        </w:rPr>
        <w:t>found that the arguments that the official warning was contrary to the Constitution and to the Co</w:t>
      </w:r>
      <w:r>
        <w:rPr>
          <w:lang w:eastAsia="ar-SA"/>
        </w:rPr>
        <w:t>venant</w:t>
      </w:r>
      <w:r w:rsidRPr="000568AE">
        <w:rPr>
          <w:lang w:eastAsia="ar-SA"/>
        </w:rPr>
        <w:t xml:space="preserve"> were not relevant to the case. The </w:t>
      </w:r>
      <w:r w:rsidR="00E4338E">
        <w:rPr>
          <w:lang w:val="en-US" w:eastAsia="ar-SA"/>
        </w:rPr>
        <w:t xml:space="preserve">Minsk City </w:t>
      </w:r>
      <w:r w:rsidRPr="000568AE">
        <w:rPr>
          <w:lang w:eastAsia="ar-SA"/>
        </w:rPr>
        <w:t xml:space="preserve">Court noted that </w:t>
      </w:r>
      <w:r>
        <w:rPr>
          <w:lang w:eastAsia="ar-SA"/>
        </w:rPr>
        <w:t>the author’s husband</w:t>
      </w:r>
      <w:r w:rsidRPr="000568AE">
        <w:rPr>
          <w:lang w:eastAsia="ar-SA"/>
        </w:rPr>
        <w:t xml:space="preserve"> </w:t>
      </w:r>
      <w:r w:rsidR="00E4338E">
        <w:rPr>
          <w:lang w:val="en-US" w:eastAsia="ar-SA"/>
        </w:rPr>
        <w:t>had been</w:t>
      </w:r>
      <w:r w:rsidRPr="000568AE">
        <w:rPr>
          <w:lang w:eastAsia="ar-SA"/>
        </w:rPr>
        <w:t xml:space="preserve"> given an official warning </w:t>
      </w:r>
      <w:r w:rsidR="00E4338E">
        <w:rPr>
          <w:lang w:val="en-US" w:eastAsia="ar-SA"/>
        </w:rPr>
        <w:t>owing to</w:t>
      </w:r>
      <w:r w:rsidR="00E4338E" w:rsidRPr="000568AE">
        <w:rPr>
          <w:lang w:eastAsia="ar-SA"/>
        </w:rPr>
        <w:t xml:space="preserve"> </w:t>
      </w:r>
      <w:r w:rsidRPr="000568AE">
        <w:rPr>
          <w:lang w:eastAsia="ar-SA"/>
        </w:rPr>
        <w:t>his actions on behalf of an unregistered organization</w:t>
      </w:r>
      <w:r>
        <w:rPr>
          <w:lang w:eastAsia="ar-SA"/>
        </w:rPr>
        <w:t xml:space="preserve">, but failed to address the issue of the alleged violations of </w:t>
      </w:r>
      <w:r w:rsidR="00A12481">
        <w:rPr>
          <w:lang w:eastAsia="ar-SA"/>
        </w:rPr>
        <w:t>article </w:t>
      </w:r>
      <w:r>
        <w:rPr>
          <w:lang w:eastAsia="ar-SA"/>
        </w:rPr>
        <w:t xml:space="preserve">5 of the Constitution and </w:t>
      </w:r>
      <w:r w:rsidR="00A12481">
        <w:rPr>
          <w:lang w:eastAsia="ar-SA"/>
        </w:rPr>
        <w:t>article </w:t>
      </w:r>
      <w:r w:rsidRPr="000568AE">
        <w:rPr>
          <w:lang w:eastAsia="ar-SA"/>
        </w:rPr>
        <w:t>22 of the Covenant</w:t>
      </w:r>
      <w:r>
        <w:rPr>
          <w:lang w:eastAsia="ar-SA"/>
        </w:rPr>
        <w:t>.</w:t>
      </w:r>
    </w:p>
    <w:p w:rsidR="00075FA7" w:rsidRPr="00D22D4C" w:rsidRDefault="00075FA7" w:rsidP="00245062">
      <w:pPr>
        <w:pStyle w:val="SingleTxtG"/>
        <w:rPr>
          <w:rFonts w:eastAsia="Verdana"/>
        </w:rPr>
      </w:pPr>
      <w:r w:rsidRPr="00D22D4C">
        <w:rPr>
          <w:rFonts w:eastAsia="Verdana"/>
        </w:rPr>
        <w:t>2.</w:t>
      </w:r>
      <w:r>
        <w:rPr>
          <w:rFonts w:eastAsia="Verdana"/>
        </w:rPr>
        <w:t>8</w:t>
      </w:r>
      <w:r w:rsidRPr="00D22D4C">
        <w:rPr>
          <w:rFonts w:eastAsia="Verdana"/>
        </w:rPr>
        <w:tab/>
        <w:t xml:space="preserve">On 4 August 2011, </w:t>
      </w:r>
      <w:r>
        <w:rPr>
          <w:rFonts w:eastAsia="Verdana"/>
        </w:rPr>
        <w:t xml:space="preserve">the author’s husband </w:t>
      </w:r>
      <w:r w:rsidRPr="00D22D4C">
        <w:rPr>
          <w:rFonts w:eastAsia="Verdana"/>
        </w:rPr>
        <w:t xml:space="preserve">was charged under </w:t>
      </w:r>
      <w:r w:rsidR="00A12481">
        <w:rPr>
          <w:rFonts w:eastAsia="Verdana"/>
        </w:rPr>
        <w:t>article </w:t>
      </w:r>
      <w:r w:rsidRPr="00D22D4C">
        <w:rPr>
          <w:rFonts w:eastAsia="Verdana"/>
        </w:rPr>
        <w:t xml:space="preserve">243 of the Criminal Code of Belarus for non-payment of income tax. The </w:t>
      </w:r>
      <w:r w:rsidR="00901E40">
        <w:rPr>
          <w:rFonts w:eastAsia="Verdana"/>
          <w:lang w:val="en-US"/>
        </w:rPr>
        <w:t>Office of the Procurator-</w:t>
      </w:r>
      <w:r>
        <w:rPr>
          <w:rFonts w:eastAsia="Verdana"/>
        </w:rPr>
        <w:t>General</w:t>
      </w:r>
      <w:r w:rsidRPr="00D22D4C">
        <w:rPr>
          <w:rFonts w:eastAsia="Verdana"/>
        </w:rPr>
        <w:t xml:space="preserve"> claimed that </w:t>
      </w:r>
      <w:r>
        <w:rPr>
          <w:rFonts w:eastAsia="Verdana"/>
        </w:rPr>
        <w:t>the author’s husband</w:t>
      </w:r>
      <w:r w:rsidRPr="00D22D4C">
        <w:rPr>
          <w:rFonts w:eastAsia="Verdana"/>
        </w:rPr>
        <w:t xml:space="preserve"> </w:t>
      </w:r>
      <w:r w:rsidR="00901E40">
        <w:rPr>
          <w:rFonts w:eastAsia="Verdana"/>
          <w:lang w:val="en-US"/>
        </w:rPr>
        <w:t>had</w:t>
      </w:r>
      <w:r w:rsidRPr="00D22D4C">
        <w:rPr>
          <w:rFonts w:eastAsia="Verdana"/>
        </w:rPr>
        <w:t xml:space="preserve"> not pa</w:t>
      </w:r>
      <w:r w:rsidR="00901E40">
        <w:rPr>
          <w:rFonts w:eastAsia="Verdana"/>
          <w:lang w:val="en-US"/>
        </w:rPr>
        <w:t>id</w:t>
      </w:r>
      <w:r w:rsidRPr="00D22D4C">
        <w:rPr>
          <w:rFonts w:eastAsia="Verdana"/>
        </w:rPr>
        <w:t xml:space="preserve"> income tax on money in two bank accounts</w:t>
      </w:r>
      <w:r w:rsidR="00320475">
        <w:rPr>
          <w:rFonts w:eastAsia="Verdana"/>
          <w:lang w:val="en-US"/>
        </w:rPr>
        <w:t xml:space="preserve"> held</w:t>
      </w:r>
      <w:r w:rsidRPr="00D22D4C">
        <w:rPr>
          <w:rFonts w:eastAsia="Verdana"/>
        </w:rPr>
        <w:t xml:space="preserve"> in Poland and Lithuania. The author </w:t>
      </w:r>
      <w:r>
        <w:rPr>
          <w:rFonts w:eastAsia="Verdana"/>
        </w:rPr>
        <w:t>maintains</w:t>
      </w:r>
      <w:r w:rsidRPr="00D22D4C">
        <w:rPr>
          <w:rFonts w:eastAsia="Verdana"/>
        </w:rPr>
        <w:t xml:space="preserve"> that th</w:t>
      </w:r>
      <w:r w:rsidR="00901E40">
        <w:rPr>
          <w:rFonts w:eastAsia="Verdana"/>
          <w:lang w:val="en-US"/>
        </w:rPr>
        <w:t>o</w:t>
      </w:r>
      <w:r w:rsidRPr="00D22D4C">
        <w:rPr>
          <w:rFonts w:eastAsia="Verdana"/>
        </w:rPr>
        <w:t xml:space="preserve">se funds were not </w:t>
      </w:r>
      <w:r>
        <w:rPr>
          <w:rFonts w:eastAsia="Verdana"/>
        </w:rPr>
        <w:t>her husband</w:t>
      </w:r>
      <w:r w:rsidRPr="00D22D4C">
        <w:rPr>
          <w:rFonts w:eastAsia="Verdana"/>
        </w:rPr>
        <w:t xml:space="preserve">’s personal money, but were intended for the activities of the </w:t>
      </w:r>
      <w:r>
        <w:rPr>
          <w:rFonts w:eastAsia="Verdana"/>
        </w:rPr>
        <w:t>a</w:t>
      </w:r>
      <w:r w:rsidRPr="00D22D4C">
        <w:rPr>
          <w:rFonts w:eastAsia="Verdana"/>
        </w:rPr>
        <w:t xml:space="preserve">ssociation. </w:t>
      </w:r>
      <w:r>
        <w:rPr>
          <w:rFonts w:eastAsia="Verdana"/>
        </w:rPr>
        <w:t>The author’s husband</w:t>
      </w:r>
      <w:r w:rsidRPr="00D22D4C">
        <w:rPr>
          <w:rFonts w:eastAsia="Verdana"/>
        </w:rPr>
        <w:t xml:space="preserve"> was arrested </w:t>
      </w:r>
      <w:r>
        <w:rPr>
          <w:rFonts w:eastAsia="Verdana"/>
        </w:rPr>
        <w:t xml:space="preserve">on 4 August 2011. </w:t>
      </w:r>
      <w:r w:rsidR="00901E40">
        <w:rPr>
          <w:rFonts w:eastAsia="Verdana"/>
          <w:lang w:val="en-US"/>
        </w:rPr>
        <w:t>The following day</w:t>
      </w:r>
      <w:r>
        <w:rPr>
          <w:rFonts w:eastAsia="Verdana"/>
        </w:rPr>
        <w:t>, he was</w:t>
      </w:r>
      <w:r w:rsidRPr="00D22D4C">
        <w:rPr>
          <w:rFonts w:eastAsia="Verdana"/>
        </w:rPr>
        <w:t xml:space="preserve"> remanded to custody pending trial</w:t>
      </w:r>
      <w:r>
        <w:rPr>
          <w:rFonts w:eastAsia="Verdana"/>
        </w:rPr>
        <w:t xml:space="preserve"> by a detention order of the </w:t>
      </w:r>
      <w:r w:rsidRPr="00901E40">
        <w:rPr>
          <w:rFonts w:eastAsia="Verdana"/>
        </w:rPr>
        <w:t xml:space="preserve">Deputy Prosecutor of </w:t>
      </w:r>
      <w:r w:rsidR="00901E40">
        <w:rPr>
          <w:rFonts w:eastAsia="Verdana"/>
          <w:lang w:val="en-US"/>
        </w:rPr>
        <w:t xml:space="preserve">the City of </w:t>
      </w:r>
      <w:r w:rsidRPr="00901E40">
        <w:rPr>
          <w:rFonts w:eastAsia="Verdana"/>
        </w:rPr>
        <w:t>Minsk</w:t>
      </w:r>
      <w:r w:rsidRPr="00D22D4C">
        <w:rPr>
          <w:rFonts w:eastAsia="Verdana"/>
        </w:rPr>
        <w:t>.</w:t>
      </w:r>
      <w:r>
        <w:rPr>
          <w:rFonts w:eastAsia="Verdana"/>
        </w:rPr>
        <w:t xml:space="preserve"> On 9 August 2011, he appealed the detention order before the </w:t>
      </w:r>
      <w:r w:rsidRPr="00D22D4C">
        <w:rPr>
          <w:rFonts w:eastAsia="Verdana"/>
        </w:rPr>
        <w:t>Pervoma</w:t>
      </w:r>
      <w:r w:rsidR="00874B8D">
        <w:rPr>
          <w:rFonts w:eastAsia="Verdana"/>
          <w:lang w:val="en-US"/>
        </w:rPr>
        <w:t>y</w:t>
      </w:r>
      <w:r w:rsidRPr="00D22D4C">
        <w:rPr>
          <w:rFonts w:eastAsia="Verdana"/>
        </w:rPr>
        <w:t>skiy District Court in Minsk</w:t>
      </w:r>
      <w:r>
        <w:rPr>
          <w:rFonts w:eastAsia="Verdana"/>
        </w:rPr>
        <w:t xml:space="preserve">, which rejected his appeal on 16 August 2011, following a hearing at which he was not present. A further appeal was rejected by the Minsk City Court on 19 August 2011. </w:t>
      </w:r>
      <w:r w:rsidR="00320475">
        <w:rPr>
          <w:rFonts w:eastAsia="Verdana"/>
          <w:lang w:val="en-US"/>
        </w:rPr>
        <w:t>T</w:t>
      </w:r>
      <w:r w:rsidR="00320475">
        <w:rPr>
          <w:rFonts w:eastAsia="Verdana"/>
        </w:rPr>
        <w:t xml:space="preserve">he author’s husband filed further motions </w:t>
      </w:r>
      <w:r w:rsidR="00320475">
        <w:rPr>
          <w:rFonts w:eastAsia="Verdana"/>
          <w:lang w:val="en-US"/>
        </w:rPr>
        <w:t>o</w:t>
      </w:r>
      <w:r>
        <w:rPr>
          <w:rFonts w:eastAsia="Verdana"/>
        </w:rPr>
        <w:t>n 2 November 2011</w:t>
      </w:r>
      <w:r w:rsidR="00320475">
        <w:rPr>
          <w:rFonts w:eastAsia="Verdana"/>
          <w:lang w:val="en-US"/>
        </w:rPr>
        <w:t>,</w:t>
      </w:r>
      <w:r>
        <w:rPr>
          <w:rFonts w:eastAsia="Verdana"/>
        </w:rPr>
        <w:t xml:space="preserve"> before the </w:t>
      </w:r>
      <w:r w:rsidRPr="00D22D4C">
        <w:rPr>
          <w:rFonts w:eastAsia="Verdana"/>
        </w:rPr>
        <w:t>Pervoma</w:t>
      </w:r>
      <w:r w:rsidR="00874B8D">
        <w:rPr>
          <w:rFonts w:eastAsia="Verdana"/>
          <w:lang w:val="en-US"/>
        </w:rPr>
        <w:t>y</w:t>
      </w:r>
      <w:r w:rsidRPr="00D22D4C">
        <w:rPr>
          <w:rFonts w:eastAsia="Verdana"/>
        </w:rPr>
        <w:t>skiy District Court in Minsk</w:t>
      </w:r>
      <w:r w:rsidR="00320475">
        <w:rPr>
          <w:rFonts w:eastAsia="Verdana"/>
          <w:lang w:val="en-US"/>
        </w:rPr>
        <w:t>,</w:t>
      </w:r>
      <w:r>
        <w:rPr>
          <w:rFonts w:eastAsia="Verdana"/>
        </w:rPr>
        <w:t xml:space="preserve"> and on 24 January 2012</w:t>
      </w:r>
      <w:r w:rsidR="00320475">
        <w:rPr>
          <w:rFonts w:eastAsia="Verdana"/>
          <w:lang w:val="en-US"/>
        </w:rPr>
        <w:t>,</w:t>
      </w:r>
      <w:r>
        <w:rPr>
          <w:rFonts w:eastAsia="Verdana"/>
        </w:rPr>
        <w:t xml:space="preserve"> before the Minsk City Court, to be </w:t>
      </w:r>
      <w:r>
        <w:rPr>
          <w:rFonts w:eastAsia="Verdana"/>
        </w:rPr>
        <w:lastRenderedPageBreak/>
        <w:t xml:space="preserve">released from custody. The motions were rejected and the author’s husband remained in custody throughout the pretrial proceeding and the trial. </w:t>
      </w:r>
    </w:p>
    <w:p w:rsidR="00075FA7" w:rsidRDefault="00075FA7" w:rsidP="00F55D2A">
      <w:pPr>
        <w:pStyle w:val="SingleTxtG"/>
        <w:rPr>
          <w:rFonts w:eastAsia="Verdana"/>
        </w:rPr>
      </w:pPr>
      <w:r>
        <w:rPr>
          <w:rFonts w:eastAsia="Verdana"/>
        </w:rPr>
        <w:t>2.9</w:t>
      </w:r>
      <w:r>
        <w:rPr>
          <w:rFonts w:eastAsia="Verdana"/>
        </w:rPr>
        <w:tab/>
        <w:t>On 24</w:t>
      </w:r>
      <w:r w:rsidRPr="00D22D4C">
        <w:rPr>
          <w:rFonts w:eastAsia="Verdana"/>
        </w:rPr>
        <w:t xml:space="preserve"> November 2011, </w:t>
      </w:r>
      <w:r>
        <w:rPr>
          <w:lang w:eastAsia="ar-SA"/>
        </w:rPr>
        <w:t>the</w:t>
      </w:r>
      <w:r w:rsidR="008E2E66" w:rsidRPr="000568AE">
        <w:rPr>
          <w:lang w:eastAsia="ar-SA"/>
        </w:rPr>
        <w:t xml:space="preserve"> </w:t>
      </w:r>
      <w:r w:rsidR="008E2E66" w:rsidRPr="00F41C5D">
        <w:rPr>
          <w:lang w:eastAsia="ar-SA"/>
        </w:rPr>
        <w:t>Pervo</w:t>
      </w:r>
      <w:r w:rsidR="008E2E66" w:rsidRPr="001529FE">
        <w:rPr>
          <w:lang w:eastAsia="ar-SA"/>
        </w:rPr>
        <w:t>may</w:t>
      </w:r>
      <w:r w:rsidR="008E2E66" w:rsidRPr="000568AE">
        <w:rPr>
          <w:lang w:eastAsia="ar-SA"/>
        </w:rPr>
        <w:t xml:space="preserve">skiy District Court </w:t>
      </w:r>
      <w:r w:rsidR="008E2E66">
        <w:rPr>
          <w:lang w:val="en-US" w:eastAsia="ar-SA"/>
        </w:rPr>
        <w:t>in</w:t>
      </w:r>
      <w:r w:rsidR="008E2E66" w:rsidRPr="000568AE">
        <w:rPr>
          <w:lang w:eastAsia="ar-SA"/>
        </w:rPr>
        <w:t xml:space="preserve"> Min</w:t>
      </w:r>
      <w:r w:rsidR="008E2E66">
        <w:rPr>
          <w:lang w:val="en-US" w:eastAsia="ar-SA"/>
        </w:rPr>
        <w:t>s</w:t>
      </w:r>
      <w:r w:rsidR="008E2E66" w:rsidRPr="000568AE">
        <w:rPr>
          <w:lang w:eastAsia="ar-SA"/>
        </w:rPr>
        <w:t>k</w:t>
      </w:r>
      <w:r w:rsidR="008E2E66">
        <w:rPr>
          <w:lang w:val="en-US" w:eastAsia="ar-SA"/>
        </w:rPr>
        <w:t xml:space="preserve"> found the</w:t>
      </w:r>
      <w:r w:rsidR="008E2E66">
        <w:rPr>
          <w:lang w:eastAsia="ar-SA"/>
        </w:rPr>
        <w:t xml:space="preserve"> </w:t>
      </w:r>
      <w:r>
        <w:rPr>
          <w:lang w:eastAsia="ar-SA"/>
        </w:rPr>
        <w:t>author’s husband</w:t>
      </w:r>
      <w:r w:rsidRPr="000568AE">
        <w:rPr>
          <w:lang w:eastAsia="ar-SA"/>
        </w:rPr>
        <w:t xml:space="preserve"> was found guilty </w:t>
      </w:r>
      <w:r>
        <w:rPr>
          <w:lang w:eastAsia="ar-SA"/>
        </w:rPr>
        <w:t>of</w:t>
      </w:r>
      <w:r w:rsidRPr="000568AE">
        <w:rPr>
          <w:lang w:eastAsia="ar-SA"/>
        </w:rPr>
        <w:t xml:space="preserve"> </w:t>
      </w:r>
      <w:r>
        <w:rPr>
          <w:lang w:eastAsia="ar-SA"/>
        </w:rPr>
        <w:t xml:space="preserve">not </w:t>
      </w:r>
      <w:r w:rsidRPr="000568AE">
        <w:rPr>
          <w:lang w:eastAsia="ar-SA"/>
        </w:rPr>
        <w:t>pay</w:t>
      </w:r>
      <w:r>
        <w:rPr>
          <w:lang w:eastAsia="ar-SA"/>
        </w:rPr>
        <w:t>ing</w:t>
      </w:r>
      <w:r w:rsidRPr="000568AE">
        <w:rPr>
          <w:lang w:eastAsia="ar-SA"/>
        </w:rPr>
        <w:t xml:space="preserve"> taxes</w:t>
      </w:r>
      <w:r w:rsidR="008E2E66">
        <w:rPr>
          <w:lang w:val="en-US" w:eastAsia="ar-SA"/>
        </w:rPr>
        <w:t>,</w:t>
      </w:r>
      <w:r w:rsidRPr="000568AE">
        <w:rPr>
          <w:lang w:eastAsia="ar-SA"/>
        </w:rPr>
        <w:t xml:space="preserve"> </w:t>
      </w:r>
      <w:r w:rsidR="00596C10">
        <w:rPr>
          <w:lang w:val="en-US" w:eastAsia="ar-SA"/>
        </w:rPr>
        <w:t>through</w:t>
      </w:r>
      <w:r w:rsidRPr="00596C10">
        <w:rPr>
          <w:lang w:eastAsia="ar-SA"/>
        </w:rPr>
        <w:t xml:space="preserve"> </w:t>
      </w:r>
      <w:r w:rsidR="00596C10">
        <w:rPr>
          <w:lang w:val="en-US" w:eastAsia="ar-SA"/>
        </w:rPr>
        <w:t>failure to</w:t>
      </w:r>
      <w:r w:rsidRPr="000568AE">
        <w:rPr>
          <w:lang w:eastAsia="ar-SA"/>
        </w:rPr>
        <w:t xml:space="preserve"> fil</w:t>
      </w:r>
      <w:r w:rsidR="00596C10">
        <w:rPr>
          <w:lang w:val="en-US" w:eastAsia="ar-SA"/>
        </w:rPr>
        <w:t>e</w:t>
      </w:r>
      <w:r w:rsidRPr="000568AE">
        <w:rPr>
          <w:lang w:eastAsia="ar-SA"/>
        </w:rPr>
        <w:t xml:space="preserve"> tax declarations, and </w:t>
      </w:r>
      <w:r w:rsidR="008E2E66">
        <w:rPr>
          <w:lang w:val="en-US" w:eastAsia="ar-SA"/>
        </w:rPr>
        <w:t xml:space="preserve">of </w:t>
      </w:r>
      <w:r w:rsidRPr="000568AE">
        <w:rPr>
          <w:lang w:eastAsia="ar-SA"/>
        </w:rPr>
        <w:t xml:space="preserve">knowingly providing false information in tax declarations </w:t>
      </w:r>
      <w:r>
        <w:rPr>
          <w:lang w:eastAsia="ar-SA"/>
        </w:rPr>
        <w:t xml:space="preserve">under </w:t>
      </w:r>
      <w:r w:rsidR="00A12481">
        <w:rPr>
          <w:lang w:eastAsia="ar-SA"/>
        </w:rPr>
        <w:t>article </w:t>
      </w:r>
      <w:r w:rsidRPr="000568AE">
        <w:rPr>
          <w:lang w:eastAsia="ar-SA"/>
        </w:rPr>
        <w:t>243</w:t>
      </w:r>
      <w:r>
        <w:rPr>
          <w:lang w:eastAsia="ar-SA"/>
        </w:rPr>
        <w:t>.2</w:t>
      </w:r>
      <w:r w:rsidRPr="000568AE">
        <w:rPr>
          <w:lang w:eastAsia="ar-SA"/>
        </w:rPr>
        <w:t xml:space="preserve"> of the Criminal Code</w:t>
      </w:r>
      <w:r w:rsidR="00584425">
        <w:rPr>
          <w:lang w:val="en-US" w:eastAsia="ar-SA"/>
        </w:rPr>
        <w:t>.</w:t>
      </w:r>
      <w:r>
        <w:rPr>
          <w:lang w:eastAsia="ar-SA"/>
        </w:rPr>
        <w:t xml:space="preserve"> </w:t>
      </w:r>
      <w:r w:rsidRPr="000568AE">
        <w:rPr>
          <w:lang w:eastAsia="ar-SA"/>
        </w:rPr>
        <w:t>The charges brought against</w:t>
      </w:r>
      <w:r>
        <w:rPr>
          <w:lang w:eastAsia="ar-SA"/>
        </w:rPr>
        <w:t xml:space="preserve"> him</w:t>
      </w:r>
      <w:r w:rsidRPr="000568AE">
        <w:rPr>
          <w:lang w:eastAsia="ar-SA"/>
        </w:rPr>
        <w:t xml:space="preserve"> were based on the </w:t>
      </w:r>
      <w:r w:rsidR="008E2E66">
        <w:rPr>
          <w:lang w:val="en-US" w:eastAsia="ar-SA"/>
        </w:rPr>
        <w:t>following facts:</w:t>
      </w:r>
      <w:r w:rsidR="008E2E66" w:rsidRPr="000568AE">
        <w:rPr>
          <w:lang w:eastAsia="ar-SA"/>
        </w:rPr>
        <w:t xml:space="preserve"> </w:t>
      </w:r>
      <w:r w:rsidRPr="000568AE">
        <w:rPr>
          <w:lang w:eastAsia="ar-SA"/>
        </w:rPr>
        <w:t xml:space="preserve">that </w:t>
      </w:r>
      <w:r>
        <w:rPr>
          <w:lang w:eastAsia="ar-SA"/>
        </w:rPr>
        <w:t>he had o</w:t>
      </w:r>
      <w:r w:rsidRPr="000568AE">
        <w:rPr>
          <w:lang w:eastAsia="ar-SA"/>
        </w:rPr>
        <w:t xml:space="preserve">pened two bank accounts in foreign banks in Lithuania and Poland, that </w:t>
      </w:r>
      <w:r w:rsidR="00584425">
        <w:rPr>
          <w:lang w:val="en-US" w:eastAsia="ar-SA"/>
        </w:rPr>
        <w:t>during the period</w:t>
      </w:r>
      <w:r w:rsidRPr="000568AE">
        <w:rPr>
          <w:lang w:eastAsia="ar-SA"/>
        </w:rPr>
        <w:t xml:space="preserve"> 2008</w:t>
      </w:r>
      <w:r w:rsidR="00EB0285">
        <w:rPr>
          <w:lang w:val="en-US" w:eastAsia="ar-SA"/>
        </w:rPr>
        <w:t>–</w:t>
      </w:r>
      <w:r w:rsidRPr="000568AE">
        <w:rPr>
          <w:lang w:eastAsia="ar-SA"/>
        </w:rPr>
        <w:t>2010 funds from foreign and international organizations</w:t>
      </w:r>
      <w:r w:rsidR="008E2E66">
        <w:rPr>
          <w:lang w:val="en-US" w:eastAsia="ar-SA"/>
        </w:rPr>
        <w:t xml:space="preserve"> </w:t>
      </w:r>
      <w:r w:rsidR="00A760AD">
        <w:rPr>
          <w:lang w:val="en-US" w:eastAsia="ar-SA"/>
        </w:rPr>
        <w:t>had been</w:t>
      </w:r>
      <w:r w:rsidR="008E2E66">
        <w:rPr>
          <w:lang w:val="en-US" w:eastAsia="ar-SA"/>
        </w:rPr>
        <w:t xml:space="preserve"> deposited into those accounts;</w:t>
      </w:r>
      <w:r w:rsidRPr="000568AE">
        <w:rPr>
          <w:lang w:eastAsia="ar-SA"/>
        </w:rPr>
        <w:t xml:space="preserve"> and that </w:t>
      </w:r>
      <w:r>
        <w:rPr>
          <w:lang w:eastAsia="ar-SA"/>
        </w:rPr>
        <w:t>he</w:t>
      </w:r>
      <w:r w:rsidRPr="000568AE">
        <w:rPr>
          <w:lang w:eastAsia="ar-SA"/>
        </w:rPr>
        <w:t xml:space="preserve"> used the funds in th</w:t>
      </w:r>
      <w:r w:rsidR="008E2E66">
        <w:rPr>
          <w:lang w:val="en-US" w:eastAsia="ar-SA"/>
        </w:rPr>
        <w:t>o</w:t>
      </w:r>
      <w:r w:rsidRPr="000568AE">
        <w:rPr>
          <w:lang w:eastAsia="ar-SA"/>
        </w:rPr>
        <w:t>se accounts. According to the charges, th</w:t>
      </w:r>
      <w:r w:rsidR="00EB0285">
        <w:rPr>
          <w:lang w:val="en-US" w:eastAsia="ar-SA"/>
        </w:rPr>
        <w:t>o</w:t>
      </w:r>
      <w:r w:rsidRPr="000568AE">
        <w:rPr>
          <w:lang w:eastAsia="ar-SA"/>
        </w:rPr>
        <w:t xml:space="preserve">se funds constituted his personal income, </w:t>
      </w:r>
      <w:r w:rsidR="00A40D98">
        <w:rPr>
          <w:lang w:val="en-US" w:eastAsia="ar-SA"/>
        </w:rPr>
        <w:t>on</w:t>
      </w:r>
      <w:r w:rsidRPr="000568AE">
        <w:rPr>
          <w:lang w:eastAsia="ar-SA"/>
        </w:rPr>
        <w:t xml:space="preserve"> which he was </w:t>
      </w:r>
      <w:r w:rsidR="00EB0285">
        <w:rPr>
          <w:lang w:val="en-US" w:eastAsia="ar-SA"/>
        </w:rPr>
        <w:t>obligated</w:t>
      </w:r>
      <w:r w:rsidR="00EB0285" w:rsidRPr="000568AE">
        <w:rPr>
          <w:lang w:eastAsia="ar-SA"/>
        </w:rPr>
        <w:t xml:space="preserve"> </w:t>
      </w:r>
      <w:r w:rsidRPr="000568AE">
        <w:rPr>
          <w:lang w:eastAsia="ar-SA"/>
        </w:rPr>
        <w:t>to pay income tax in Belarus</w:t>
      </w:r>
      <w:r>
        <w:rPr>
          <w:lang w:eastAsia="ar-SA"/>
        </w:rPr>
        <w:t>. The author’s husband argued</w:t>
      </w:r>
      <w:r w:rsidRPr="000568AE">
        <w:rPr>
          <w:lang w:eastAsia="ar-SA"/>
        </w:rPr>
        <w:t xml:space="preserve"> that he </w:t>
      </w:r>
      <w:r w:rsidR="00EB0285">
        <w:rPr>
          <w:lang w:val="en-US" w:eastAsia="ar-SA"/>
        </w:rPr>
        <w:t>had been</w:t>
      </w:r>
      <w:r w:rsidRPr="000568AE">
        <w:rPr>
          <w:lang w:eastAsia="ar-SA"/>
        </w:rPr>
        <w:t xml:space="preserve"> acting as the </w:t>
      </w:r>
      <w:r w:rsidR="00067923">
        <w:rPr>
          <w:lang w:val="en-US" w:eastAsia="ar-SA"/>
        </w:rPr>
        <w:t>c</w:t>
      </w:r>
      <w:r w:rsidRPr="000568AE">
        <w:rPr>
          <w:lang w:eastAsia="ar-SA"/>
        </w:rPr>
        <w:t xml:space="preserve">hair of the Human Rights </w:t>
      </w:r>
      <w:r w:rsidRPr="00635F56">
        <w:rPr>
          <w:lang w:eastAsia="ar-SA"/>
        </w:rPr>
        <w:t>Cent</w:t>
      </w:r>
      <w:r w:rsidR="00EB0285" w:rsidRPr="00635F56">
        <w:rPr>
          <w:lang w:val="en-US" w:eastAsia="ar-SA"/>
        </w:rPr>
        <w:t>r</w:t>
      </w:r>
      <w:r w:rsidRPr="00635F56">
        <w:rPr>
          <w:lang w:eastAsia="ar-SA"/>
        </w:rPr>
        <w:t>e</w:t>
      </w:r>
      <w:r w:rsidRPr="000568AE">
        <w:rPr>
          <w:lang w:eastAsia="ar-SA"/>
        </w:rPr>
        <w:t xml:space="preserve"> Viasna</w:t>
      </w:r>
      <w:r>
        <w:rPr>
          <w:lang w:eastAsia="ar-SA"/>
        </w:rPr>
        <w:t>,</w:t>
      </w:r>
      <w:r w:rsidR="00EB0285">
        <w:rPr>
          <w:lang w:val="en-US" w:eastAsia="ar-SA"/>
        </w:rPr>
        <w:t xml:space="preserve"> and</w:t>
      </w:r>
      <w:r>
        <w:rPr>
          <w:lang w:eastAsia="ar-SA"/>
        </w:rPr>
        <w:t xml:space="preserve"> that </w:t>
      </w:r>
      <w:r w:rsidR="00A760AD">
        <w:rPr>
          <w:lang w:val="en-US" w:eastAsia="ar-SA"/>
        </w:rPr>
        <w:t>owing</w:t>
      </w:r>
      <w:r w:rsidR="00A760AD" w:rsidRPr="000568AE">
        <w:rPr>
          <w:lang w:eastAsia="ar-SA"/>
        </w:rPr>
        <w:t xml:space="preserve"> </w:t>
      </w:r>
      <w:r w:rsidRPr="000568AE">
        <w:rPr>
          <w:lang w:eastAsia="ar-SA"/>
        </w:rPr>
        <w:t xml:space="preserve">to the fact that in </w:t>
      </w:r>
      <w:r w:rsidRPr="00F4101B">
        <w:t>2003</w:t>
      </w:r>
      <w:r w:rsidRPr="000568AE">
        <w:rPr>
          <w:lang w:eastAsia="ar-SA"/>
        </w:rPr>
        <w:t xml:space="preserve"> the organization </w:t>
      </w:r>
      <w:r w:rsidR="00EB0285">
        <w:rPr>
          <w:lang w:val="en-US" w:eastAsia="ar-SA"/>
        </w:rPr>
        <w:t>had been</w:t>
      </w:r>
      <w:r w:rsidRPr="000568AE">
        <w:rPr>
          <w:lang w:eastAsia="ar-SA"/>
        </w:rPr>
        <w:t xml:space="preserve"> stripped of its government registration by the decision of the Supreme Court, and that three subsequent requests for registration in 2007 and 2009 </w:t>
      </w:r>
      <w:r w:rsidR="00EB0285">
        <w:rPr>
          <w:lang w:val="en-US" w:eastAsia="ar-SA"/>
        </w:rPr>
        <w:t>had been</w:t>
      </w:r>
      <w:r w:rsidRPr="000568AE">
        <w:rPr>
          <w:lang w:eastAsia="ar-SA"/>
        </w:rPr>
        <w:t xml:space="preserve"> denied, the organization did not have any legal status within Belarus and could not open bank accounts. As a result, he opened foreign bank accounts in his name, </w:t>
      </w:r>
      <w:r w:rsidRPr="00D40A3E">
        <w:rPr>
          <w:lang w:eastAsia="ar-SA"/>
        </w:rPr>
        <w:t>in</w:t>
      </w:r>
      <w:r w:rsidRPr="000568AE">
        <w:rPr>
          <w:lang w:eastAsia="ar-SA"/>
        </w:rPr>
        <w:t xml:space="preserve"> which he received fund</w:t>
      </w:r>
      <w:r w:rsidR="004C019F">
        <w:rPr>
          <w:lang w:val="en-US" w:eastAsia="ar-SA"/>
        </w:rPr>
        <w:t>s</w:t>
      </w:r>
      <w:r w:rsidRPr="000568AE">
        <w:rPr>
          <w:lang w:eastAsia="ar-SA"/>
        </w:rPr>
        <w:t xml:space="preserve"> from foreign partners (</w:t>
      </w:r>
      <w:r w:rsidR="00BA375B">
        <w:rPr>
          <w:lang w:val="en-US" w:eastAsia="ar-SA"/>
        </w:rPr>
        <w:t xml:space="preserve">the </w:t>
      </w:r>
      <w:r w:rsidRPr="000568AE">
        <w:rPr>
          <w:lang w:eastAsia="ar-SA"/>
        </w:rPr>
        <w:t>Swedish Helsinki Committee</w:t>
      </w:r>
      <w:r w:rsidR="00EB0285">
        <w:rPr>
          <w:lang w:val="en-US" w:eastAsia="ar-SA"/>
        </w:rPr>
        <w:t xml:space="preserve"> for Human Rights</w:t>
      </w:r>
      <w:r w:rsidRPr="000568AE">
        <w:rPr>
          <w:lang w:eastAsia="ar-SA"/>
        </w:rPr>
        <w:t xml:space="preserve">, </w:t>
      </w:r>
      <w:r w:rsidR="00BA375B">
        <w:rPr>
          <w:lang w:val="en-US" w:eastAsia="ar-SA"/>
        </w:rPr>
        <w:t xml:space="preserve">the </w:t>
      </w:r>
      <w:r w:rsidRPr="000568AE">
        <w:rPr>
          <w:lang w:eastAsia="ar-SA"/>
        </w:rPr>
        <w:t xml:space="preserve">Norwegian Helsinki Committee, </w:t>
      </w:r>
      <w:r w:rsidR="00BA375B">
        <w:rPr>
          <w:lang w:val="en-US" w:eastAsia="ar-SA"/>
        </w:rPr>
        <w:t xml:space="preserve">the </w:t>
      </w:r>
      <w:r w:rsidRPr="000568AE">
        <w:rPr>
          <w:lang w:eastAsia="ar-SA"/>
        </w:rPr>
        <w:t>International Federation for Human Rights and others) to fund human rights activities. Th</w:t>
      </w:r>
      <w:r w:rsidR="00BA375B">
        <w:rPr>
          <w:lang w:val="en-US" w:eastAsia="ar-SA"/>
        </w:rPr>
        <w:t>o</w:t>
      </w:r>
      <w:r w:rsidRPr="000568AE">
        <w:rPr>
          <w:lang w:eastAsia="ar-SA"/>
        </w:rPr>
        <w:t>se funds were used by Viasna to: monitor the human rights situation in Belarus, monitor</w:t>
      </w:r>
      <w:r>
        <w:rPr>
          <w:lang w:eastAsia="ar-SA"/>
        </w:rPr>
        <w:t xml:space="preserve"> election</w:t>
      </w:r>
      <w:r w:rsidR="00BA375B">
        <w:rPr>
          <w:lang w:val="en-US" w:eastAsia="ar-SA"/>
        </w:rPr>
        <w:t>s</w:t>
      </w:r>
      <w:r w:rsidRPr="000568AE">
        <w:rPr>
          <w:lang w:eastAsia="ar-SA"/>
        </w:rPr>
        <w:t xml:space="preserve">, publish literature, </w:t>
      </w:r>
      <w:r w:rsidR="00D40A3E">
        <w:rPr>
          <w:lang w:val="en-US" w:eastAsia="ar-SA"/>
        </w:rPr>
        <w:t>carry out</w:t>
      </w:r>
      <w:r w:rsidR="00D40A3E" w:rsidRPr="00D40A3E">
        <w:rPr>
          <w:lang w:eastAsia="ar-SA"/>
        </w:rPr>
        <w:t xml:space="preserve"> </w:t>
      </w:r>
      <w:r w:rsidRPr="00D40A3E">
        <w:rPr>
          <w:lang w:eastAsia="ar-SA"/>
        </w:rPr>
        <w:t xml:space="preserve">educational </w:t>
      </w:r>
      <w:r w:rsidR="00D40A3E">
        <w:rPr>
          <w:lang w:val="en-US" w:eastAsia="ar-SA"/>
        </w:rPr>
        <w:t>activities</w:t>
      </w:r>
      <w:r w:rsidRPr="000568AE">
        <w:rPr>
          <w:lang w:eastAsia="ar-SA"/>
        </w:rPr>
        <w:t xml:space="preserve">, organize public outreach offices </w:t>
      </w:r>
      <w:r w:rsidR="00BA375B">
        <w:rPr>
          <w:lang w:val="en-US" w:eastAsia="ar-SA"/>
        </w:rPr>
        <w:t>and help</w:t>
      </w:r>
      <w:r w:rsidRPr="000568AE">
        <w:rPr>
          <w:lang w:eastAsia="ar-SA"/>
        </w:rPr>
        <w:t xml:space="preserve"> victims of political repression. The Court in its verdict found that in</w:t>
      </w:r>
      <w:r w:rsidR="004C019F">
        <w:rPr>
          <w:lang w:val="en-US" w:eastAsia="ar-SA"/>
        </w:rPr>
        <w:t xml:space="preserve"> the period</w:t>
      </w:r>
      <w:r w:rsidRPr="000568AE">
        <w:rPr>
          <w:lang w:eastAsia="ar-SA"/>
        </w:rPr>
        <w:t xml:space="preserve"> 2008</w:t>
      </w:r>
      <w:r w:rsidR="00BA375B">
        <w:rPr>
          <w:lang w:val="en-US" w:eastAsia="ar-SA"/>
        </w:rPr>
        <w:t>–</w:t>
      </w:r>
      <w:r w:rsidRPr="000568AE">
        <w:rPr>
          <w:lang w:eastAsia="ar-SA"/>
        </w:rPr>
        <w:t xml:space="preserve">2010, </w:t>
      </w:r>
      <w:r>
        <w:rPr>
          <w:lang w:eastAsia="ar-SA"/>
        </w:rPr>
        <w:t>the author’s husband had</w:t>
      </w:r>
      <w:r w:rsidRPr="000568AE">
        <w:rPr>
          <w:lang w:eastAsia="ar-SA"/>
        </w:rPr>
        <w:t xml:space="preserve"> received income in the form of money received from outside Belarus,</w:t>
      </w:r>
      <w:r w:rsidR="00A12481">
        <w:rPr>
          <w:lang w:eastAsia="ar-SA"/>
        </w:rPr>
        <w:t xml:space="preserve"> </w:t>
      </w:r>
      <w:r w:rsidRPr="000568AE">
        <w:rPr>
          <w:lang w:eastAsia="ar-SA"/>
        </w:rPr>
        <w:t xml:space="preserve">and </w:t>
      </w:r>
      <w:r w:rsidR="00BA375B">
        <w:rPr>
          <w:lang w:val="en-US" w:eastAsia="ar-SA"/>
        </w:rPr>
        <w:t xml:space="preserve">had </w:t>
      </w:r>
      <w:r w:rsidRPr="000568AE">
        <w:rPr>
          <w:lang w:eastAsia="ar-SA"/>
        </w:rPr>
        <w:t>avoided paying income tax on th</w:t>
      </w:r>
      <w:r w:rsidR="00BA375B">
        <w:rPr>
          <w:lang w:val="en-US" w:eastAsia="ar-SA"/>
        </w:rPr>
        <w:t>at</w:t>
      </w:r>
      <w:r w:rsidRPr="000568AE">
        <w:rPr>
          <w:lang w:eastAsia="ar-SA"/>
        </w:rPr>
        <w:t xml:space="preserve"> income, which caused losses to the federal budget in particularly large amounts.</w:t>
      </w:r>
      <w:r w:rsidRPr="00D22D4C">
        <w:rPr>
          <w:rFonts w:eastAsia="Verdana"/>
        </w:rPr>
        <w:t xml:space="preserve"> </w:t>
      </w:r>
      <w:r>
        <w:rPr>
          <w:rFonts w:eastAsia="Verdana"/>
        </w:rPr>
        <w:t xml:space="preserve">The author’s husband </w:t>
      </w:r>
      <w:r w:rsidRPr="00D22D4C">
        <w:rPr>
          <w:rFonts w:eastAsia="Verdana"/>
        </w:rPr>
        <w:t xml:space="preserve">was sentenced to </w:t>
      </w:r>
      <w:r w:rsidR="00BA375B">
        <w:rPr>
          <w:rFonts w:eastAsia="Verdana"/>
          <w:lang w:val="en-US"/>
        </w:rPr>
        <w:t>four</w:t>
      </w:r>
      <w:r w:rsidRPr="00D22D4C">
        <w:rPr>
          <w:rFonts w:eastAsia="Verdana"/>
        </w:rPr>
        <w:t xml:space="preserve"> years and </w:t>
      </w:r>
      <w:r w:rsidR="00BA375B">
        <w:rPr>
          <w:rFonts w:eastAsia="Verdana"/>
          <w:lang w:val="en-US"/>
        </w:rPr>
        <w:t>six</w:t>
      </w:r>
      <w:r w:rsidRPr="00D22D4C">
        <w:rPr>
          <w:rFonts w:eastAsia="Verdana"/>
        </w:rPr>
        <w:t xml:space="preserve"> months of imprisonment, to be served in </w:t>
      </w:r>
      <w:r w:rsidR="00BA375B">
        <w:rPr>
          <w:rFonts w:eastAsia="Verdana"/>
          <w:lang w:val="en-US"/>
        </w:rPr>
        <w:t xml:space="preserve">a </w:t>
      </w:r>
      <w:r w:rsidRPr="00D22D4C">
        <w:rPr>
          <w:rFonts w:eastAsia="Verdana"/>
        </w:rPr>
        <w:t>high security correctional facility</w:t>
      </w:r>
      <w:r w:rsidR="00BA375B">
        <w:rPr>
          <w:rFonts w:eastAsia="Verdana"/>
          <w:lang w:val="en-US"/>
        </w:rPr>
        <w:t>, and</w:t>
      </w:r>
      <w:r w:rsidRPr="00D22D4C">
        <w:rPr>
          <w:rFonts w:eastAsia="Verdana"/>
        </w:rPr>
        <w:t xml:space="preserve"> confiscation of his property</w:t>
      </w:r>
      <w:r w:rsidR="00BA375B">
        <w:rPr>
          <w:rFonts w:eastAsia="Verdana"/>
          <w:lang w:val="en-US"/>
        </w:rPr>
        <w:t>; he was also</w:t>
      </w:r>
      <w:r w:rsidRPr="00D22D4C">
        <w:rPr>
          <w:rFonts w:eastAsia="Verdana"/>
        </w:rPr>
        <w:t xml:space="preserve"> fined 721,454,017 Belarus</w:t>
      </w:r>
      <w:r w:rsidR="00BA375B">
        <w:rPr>
          <w:rFonts w:eastAsia="Verdana"/>
          <w:lang w:val="en-US"/>
        </w:rPr>
        <w:t>ian</w:t>
      </w:r>
      <w:r w:rsidRPr="00D22D4C">
        <w:rPr>
          <w:rFonts w:eastAsia="Verdana"/>
        </w:rPr>
        <w:t xml:space="preserve"> </w:t>
      </w:r>
      <w:r w:rsidRPr="004A029F">
        <w:rPr>
          <w:rFonts w:eastAsia="Verdana"/>
          <w:lang w:val="en-US"/>
        </w:rPr>
        <w:t>r</w:t>
      </w:r>
      <w:r w:rsidR="00BA375B">
        <w:rPr>
          <w:rFonts w:eastAsia="Verdana"/>
          <w:lang w:val="en-US"/>
        </w:rPr>
        <w:t>o</w:t>
      </w:r>
      <w:r w:rsidRPr="004A029F">
        <w:rPr>
          <w:rFonts w:eastAsia="Verdana"/>
          <w:lang w:val="en-US"/>
        </w:rPr>
        <w:t>ubles</w:t>
      </w:r>
      <w:r w:rsidRPr="00D22D4C">
        <w:rPr>
          <w:rFonts w:eastAsia="Verdana"/>
        </w:rPr>
        <w:t xml:space="preserve"> and ordered to pay the State restitution of 36,072,700 Belarus</w:t>
      </w:r>
      <w:r w:rsidR="00BA375B">
        <w:rPr>
          <w:rFonts w:eastAsia="Verdana"/>
          <w:lang w:val="en-US"/>
        </w:rPr>
        <w:t>ian</w:t>
      </w:r>
      <w:r w:rsidRPr="00D22D4C">
        <w:rPr>
          <w:rFonts w:eastAsia="Verdana"/>
        </w:rPr>
        <w:t xml:space="preserve"> </w:t>
      </w:r>
      <w:r w:rsidRPr="004A029F">
        <w:rPr>
          <w:rFonts w:eastAsia="Verdana"/>
          <w:lang w:val="en-US"/>
        </w:rPr>
        <w:t>r</w:t>
      </w:r>
      <w:r w:rsidR="00BA375B">
        <w:rPr>
          <w:rFonts w:eastAsia="Verdana"/>
          <w:lang w:val="en-US"/>
        </w:rPr>
        <w:t>o</w:t>
      </w:r>
      <w:r w:rsidRPr="004A029F">
        <w:rPr>
          <w:rFonts w:eastAsia="Verdana"/>
          <w:lang w:val="en-US"/>
        </w:rPr>
        <w:t>ubles</w:t>
      </w:r>
      <w:r w:rsidRPr="00D22D4C">
        <w:rPr>
          <w:rFonts w:eastAsia="Verdana"/>
        </w:rPr>
        <w:t xml:space="preserve">. </w:t>
      </w:r>
    </w:p>
    <w:p w:rsidR="00075FA7" w:rsidRDefault="00075FA7" w:rsidP="00FA3711">
      <w:pPr>
        <w:pStyle w:val="SingleTxtG"/>
        <w:rPr>
          <w:rFonts w:eastAsia="Verdana"/>
        </w:rPr>
      </w:pPr>
      <w:r>
        <w:rPr>
          <w:rFonts w:eastAsia="Verdana"/>
        </w:rPr>
        <w:t>2.10</w:t>
      </w:r>
      <w:r w:rsidRPr="00D22D4C">
        <w:rPr>
          <w:rFonts w:eastAsia="Verdana"/>
        </w:rPr>
        <w:tab/>
      </w:r>
      <w:r>
        <w:rPr>
          <w:rFonts w:eastAsia="Verdana"/>
        </w:rPr>
        <w:t xml:space="preserve">On 29 November 2011, the author’s husband appealed the verdict before the </w:t>
      </w:r>
      <w:r w:rsidR="00FA3711" w:rsidRPr="00FA3711">
        <w:rPr>
          <w:rFonts w:eastAsia="Verdana"/>
        </w:rPr>
        <w:t xml:space="preserve">Panel of Judges for Criminal Cases </w:t>
      </w:r>
      <w:r w:rsidR="00FA3711">
        <w:rPr>
          <w:rFonts w:eastAsia="Verdana"/>
          <w:lang w:val="en-US"/>
        </w:rPr>
        <w:t>of the</w:t>
      </w:r>
      <w:r w:rsidRPr="00D22D4C">
        <w:rPr>
          <w:rFonts w:eastAsia="Verdana"/>
        </w:rPr>
        <w:t xml:space="preserve"> Minsk</w:t>
      </w:r>
      <w:r w:rsidR="00FA3711">
        <w:rPr>
          <w:rFonts w:eastAsia="Verdana"/>
          <w:lang w:val="en-US"/>
        </w:rPr>
        <w:t xml:space="preserve"> City Court</w:t>
      </w:r>
      <w:r w:rsidR="00085709">
        <w:rPr>
          <w:rFonts w:eastAsia="Verdana"/>
          <w:lang w:val="en-US"/>
        </w:rPr>
        <w:t xml:space="preserve"> (the appellate court)</w:t>
      </w:r>
      <w:r>
        <w:rPr>
          <w:rFonts w:eastAsia="Verdana"/>
        </w:rPr>
        <w:t xml:space="preserve">. On 16 and 20 January 2012, he and his lawyer filed additional motions to the </w:t>
      </w:r>
      <w:r w:rsidR="00A40D98">
        <w:rPr>
          <w:rFonts w:eastAsia="Verdana"/>
          <w:lang w:val="en-US"/>
        </w:rPr>
        <w:t>c</w:t>
      </w:r>
      <w:r>
        <w:rPr>
          <w:rFonts w:eastAsia="Verdana"/>
        </w:rPr>
        <w:t>ourt, citing</w:t>
      </w:r>
      <w:r w:rsidR="00BA375B">
        <w:rPr>
          <w:rFonts w:eastAsia="Verdana"/>
          <w:lang w:val="en-US"/>
        </w:rPr>
        <w:t>,</w:t>
      </w:r>
      <w:r>
        <w:rPr>
          <w:rFonts w:eastAsia="Verdana"/>
        </w:rPr>
        <w:t xml:space="preserve"> inter alia</w:t>
      </w:r>
      <w:r w:rsidR="00BA375B">
        <w:rPr>
          <w:rFonts w:eastAsia="Verdana"/>
          <w:lang w:val="en-US"/>
        </w:rPr>
        <w:t>,</w:t>
      </w:r>
      <w:r>
        <w:rPr>
          <w:rFonts w:eastAsia="Verdana"/>
        </w:rPr>
        <w:t xml:space="preserve"> fair</w:t>
      </w:r>
      <w:r w:rsidR="00BA375B">
        <w:rPr>
          <w:rFonts w:eastAsia="Verdana"/>
          <w:lang w:val="en-US"/>
        </w:rPr>
        <w:t>-</w:t>
      </w:r>
      <w:r>
        <w:rPr>
          <w:rFonts w:eastAsia="Verdana"/>
        </w:rPr>
        <w:t>trial violations.</w:t>
      </w:r>
      <w:r w:rsidR="00A12481">
        <w:rPr>
          <w:rFonts w:eastAsia="Verdana"/>
        </w:rPr>
        <w:t xml:space="preserve"> </w:t>
      </w:r>
      <w:r w:rsidRPr="00D22D4C">
        <w:rPr>
          <w:rFonts w:eastAsia="Verdana"/>
        </w:rPr>
        <w:t xml:space="preserve">On 24 January 2012, </w:t>
      </w:r>
      <w:r>
        <w:rPr>
          <w:rFonts w:eastAsia="Verdana"/>
        </w:rPr>
        <w:t xml:space="preserve">the </w:t>
      </w:r>
      <w:r w:rsidR="00085709">
        <w:rPr>
          <w:rFonts w:eastAsia="Verdana"/>
          <w:lang w:val="en-US"/>
        </w:rPr>
        <w:t>a</w:t>
      </w:r>
      <w:r w:rsidRPr="00F4101B">
        <w:rPr>
          <w:rFonts w:eastAsia="Verdana"/>
        </w:rPr>
        <w:t>ppellate</w:t>
      </w:r>
      <w:r>
        <w:rPr>
          <w:rFonts w:eastAsia="Verdana"/>
        </w:rPr>
        <w:t xml:space="preserve"> </w:t>
      </w:r>
      <w:r w:rsidR="00085709">
        <w:rPr>
          <w:rFonts w:eastAsia="Verdana"/>
          <w:lang w:val="en-US"/>
        </w:rPr>
        <w:t>c</w:t>
      </w:r>
      <w:r>
        <w:rPr>
          <w:rFonts w:eastAsia="Verdana"/>
        </w:rPr>
        <w:t>ourt</w:t>
      </w:r>
      <w:r w:rsidRPr="00D22D4C">
        <w:rPr>
          <w:rFonts w:eastAsia="Verdana"/>
        </w:rPr>
        <w:t xml:space="preserve"> upheld </w:t>
      </w:r>
      <w:r>
        <w:rPr>
          <w:rFonts w:eastAsia="Verdana"/>
        </w:rPr>
        <w:t>the</w:t>
      </w:r>
      <w:r w:rsidRPr="00D22D4C">
        <w:rPr>
          <w:rFonts w:eastAsia="Verdana"/>
        </w:rPr>
        <w:t xml:space="preserve"> </w:t>
      </w:r>
      <w:r>
        <w:rPr>
          <w:rFonts w:eastAsia="Verdana"/>
        </w:rPr>
        <w:t>verdict</w:t>
      </w:r>
      <w:r w:rsidR="004C019F">
        <w:rPr>
          <w:rFonts w:eastAsia="Verdana"/>
          <w:lang w:val="en-US"/>
        </w:rPr>
        <w:t>,</w:t>
      </w:r>
      <w:r w:rsidRPr="00D22D4C">
        <w:rPr>
          <w:rFonts w:eastAsia="Verdana"/>
        </w:rPr>
        <w:t xml:space="preserve"> with </w:t>
      </w:r>
      <w:r w:rsidR="004C019F">
        <w:rPr>
          <w:rFonts w:eastAsia="Verdana"/>
          <w:lang w:val="en-US"/>
        </w:rPr>
        <w:t>no</w:t>
      </w:r>
      <w:r w:rsidRPr="00D22D4C">
        <w:rPr>
          <w:rFonts w:eastAsia="Verdana"/>
        </w:rPr>
        <w:t xml:space="preserve"> changes.</w:t>
      </w:r>
      <w:r>
        <w:rPr>
          <w:rFonts w:eastAsia="Verdana"/>
        </w:rPr>
        <w:t xml:space="preserve"> The author’s husband was not present at that hearing.</w:t>
      </w:r>
      <w:r w:rsidRPr="00D22D4C">
        <w:rPr>
          <w:rFonts w:eastAsia="Verdana"/>
        </w:rPr>
        <w:t xml:space="preserve"> </w:t>
      </w:r>
      <w:r w:rsidRPr="00CA1AC8">
        <w:rPr>
          <w:rFonts w:eastAsia="Verdana"/>
          <w:lang w:val="en-US"/>
        </w:rPr>
        <w:t xml:space="preserve">The arguments </w:t>
      </w:r>
      <w:r>
        <w:rPr>
          <w:rFonts w:eastAsia="Verdana"/>
          <w:lang w:val="en-US"/>
        </w:rPr>
        <w:t xml:space="preserve">regarding </w:t>
      </w:r>
      <w:r w:rsidRPr="00CA1AC8">
        <w:rPr>
          <w:rFonts w:eastAsia="Verdana"/>
          <w:lang w:val="en-US"/>
        </w:rPr>
        <w:t>violation</w:t>
      </w:r>
      <w:r>
        <w:rPr>
          <w:rFonts w:eastAsia="Verdana"/>
          <w:lang w:val="en-US"/>
        </w:rPr>
        <w:t>s</w:t>
      </w:r>
      <w:r w:rsidRPr="00CA1AC8">
        <w:rPr>
          <w:rFonts w:eastAsia="Verdana"/>
          <w:lang w:val="en-US"/>
        </w:rPr>
        <w:t xml:space="preserve"> of </w:t>
      </w:r>
      <w:r>
        <w:rPr>
          <w:rFonts w:eastAsia="Verdana"/>
          <w:lang w:val="en-US"/>
        </w:rPr>
        <w:t>the f</w:t>
      </w:r>
      <w:r w:rsidRPr="00CA1AC8">
        <w:rPr>
          <w:rFonts w:eastAsia="Verdana"/>
          <w:lang w:val="en-US"/>
        </w:rPr>
        <w:t>ree</w:t>
      </w:r>
      <w:r>
        <w:rPr>
          <w:rFonts w:eastAsia="Verdana"/>
          <w:lang w:val="en-US"/>
        </w:rPr>
        <w:t>dom of</w:t>
      </w:r>
      <w:r w:rsidRPr="00CA1AC8">
        <w:rPr>
          <w:rFonts w:eastAsia="Verdana"/>
          <w:lang w:val="en-US"/>
        </w:rPr>
        <w:t xml:space="preserve"> association were ignored by the panel of judges, which did</w:t>
      </w:r>
      <w:r w:rsidR="00BA375B">
        <w:rPr>
          <w:rFonts w:eastAsia="Verdana"/>
          <w:lang w:val="en-US"/>
        </w:rPr>
        <w:t xml:space="preserve"> not</w:t>
      </w:r>
      <w:r w:rsidRPr="00CA1AC8">
        <w:rPr>
          <w:rFonts w:eastAsia="Verdana"/>
          <w:lang w:val="en-US"/>
        </w:rPr>
        <w:t xml:space="preserve"> state its position as to the </w:t>
      </w:r>
      <w:r>
        <w:rPr>
          <w:rFonts w:eastAsia="Verdana"/>
          <w:lang w:val="en-US"/>
        </w:rPr>
        <w:t>alleged</w:t>
      </w:r>
      <w:r w:rsidRPr="00CA1AC8">
        <w:rPr>
          <w:rFonts w:eastAsia="Verdana"/>
          <w:lang w:val="en-US"/>
        </w:rPr>
        <w:t xml:space="preserve"> violation of </w:t>
      </w:r>
      <w:r w:rsidR="00A12481">
        <w:rPr>
          <w:rFonts w:eastAsia="Verdana"/>
          <w:lang w:val="en-US"/>
        </w:rPr>
        <w:t>article </w:t>
      </w:r>
      <w:r w:rsidRPr="00CA1AC8">
        <w:rPr>
          <w:rFonts w:eastAsia="Verdana"/>
          <w:lang w:val="en-US"/>
        </w:rPr>
        <w:t>22 of the Covenant</w:t>
      </w:r>
      <w:r>
        <w:rPr>
          <w:rFonts w:eastAsia="Verdana"/>
          <w:lang w:val="en-US"/>
        </w:rPr>
        <w:t>.</w:t>
      </w:r>
      <w:r w:rsidRPr="00CA1AC8">
        <w:rPr>
          <w:rFonts w:eastAsia="Verdana"/>
          <w:lang w:val="en-US"/>
        </w:rPr>
        <w:t xml:space="preserve"> </w:t>
      </w:r>
      <w:r w:rsidRPr="00D22D4C">
        <w:rPr>
          <w:rFonts w:eastAsia="Verdana"/>
        </w:rPr>
        <w:t xml:space="preserve">The author </w:t>
      </w:r>
      <w:r>
        <w:rPr>
          <w:rFonts w:eastAsia="Verdana"/>
        </w:rPr>
        <w:t>maintains that her husband</w:t>
      </w:r>
      <w:r w:rsidRPr="00D22D4C">
        <w:rPr>
          <w:rFonts w:eastAsia="Verdana"/>
        </w:rPr>
        <w:t xml:space="preserve"> has exhausted all available and effective domestic remedies.</w:t>
      </w:r>
    </w:p>
    <w:p w:rsidR="00075FA7" w:rsidRDefault="00075FA7" w:rsidP="00F4101B">
      <w:pPr>
        <w:pStyle w:val="SingleTxtG"/>
        <w:rPr>
          <w:rFonts w:eastAsia="Verdana"/>
        </w:rPr>
      </w:pPr>
      <w:r>
        <w:rPr>
          <w:rFonts w:eastAsia="Verdana"/>
        </w:rPr>
        <w:t>2.11</w:t>
      </w:r>
      <w:r>
        <w:rPr>
          <w:rFonts w:eastAsia="Verdana"/>
        </w:rPr>
        <w:tab/>
        <w:t>On 2 April 2012, international non-governmental organi</w:t>
      </w:r>
      <w:r w:rsidR="00BA375B">
        <w:rPr>
          <w:rFonts w:eastAsia="Verdana"/>
          <w:lang w:val="en-US"/>
        </w:rPr>
        <w:t>z</w:t>
      </w:r>
      <w:r>
        <w:rPr>
          <w:rFonts w:eastAsia="Verdana"/>
        </w:rPr>
        <w:t>ations brought the case of the author’s husband to the attention of the Working Group on Arbitrary Detention.</w:t>
      </w:r>
    </w:p>
    <w:p w:rsidR="00075FA7" w:rsidRDefault="008B732C" w:rsidP="008B732C">
      <w:pPr>
        <w:pStyle w:val="H23G"/>
        <w:rPr>
          <w:rFonts w:eastAsia="Verdana"/>
        </w:rPr>
      </w:pPr>
      <w:r>
        <w:rPr>
          <w:rFonts w:eastAsia="Verdana"/>
        </w:rPr>
        <w:tab/>
      </w:r>
      <w:r>
        <w:rPr>
          <w:rFonts w:eastAsia="Verdana"/>
        </w:rPr>
        <w:tab/>
      </w:r>
      <w:r w:rsidR="00A12481">
        <w:rPr>
          <w:rFonts w:eastAsia="Verdana"/>
        </w:rPr>
        <w:t>The complaint</w:t>
      </w:r>
    </w:p>
    <w:p w:rsidR="00075FA7" w:rsidRDefault="00075FA7" w:rsidP="00874AB0">
      <w:pPr>
        <w:pStyle w:val="SingleTxtG"/>
        <w:rPr>
          <w:rFonts w:eastAsia="Verdana"/>
          <w:lang w:val="en-US"/>
        </w:rPr>
      </w:pPr>
      <w:r w:rsidRPr="00D22D4C">
        <w:rPr>
          <w:rFonts w:eastAsia="Verdana"/>
        </w:rPr>
        <w:t>3.1</w:t>
      </w:r>
      <w:r w:rsidRPr="00D22D4C">
        <w:rPr>
          <w:rFonts w:eastAsia="Verdana"/>
        </w:rPr>
        <w:tab/>
        <w:t>The author claim</w:t>
      </w:r>
      <w:r>
        <w:rPr>
          <w:rFonts w:eastAsia="Verdana"/>
        </w:rPr>
        <w:t>s</w:t>
      </w:r>
      <w:r w:rsidRPr="00D22D4C">
        <w:rPr>
          <w:rFonts w:eastAsia="Verdana"/>
        </w:rPr>
        <w:t xml:space="preserve"> th</w:t>
      </w:r>
      <w:r>
        <w:rPr>
          <w:rFonts w:eastAsia="Verdana"/>
        </w:rPr>
        <w:t>at by refusing to register the a</w:t>
      </w:r>
      <w:r w:rsidRPr="00D22D4C">
        <w:rPr>
          <w:rFonts w:eastAsia="Verdana"/>
        </w:rPr>
        <w:t xml:space="preserve">ssociation, the State party violated </w:t>
      </w:r>
      <w:r>
        <w:rPr>
          <w:rFonts w:eastAsia="Verdana"/>
        </w:rPr>
        <w:t>her husband</w:t>
      </w:r>
      <w:r w:rsidRPr="00D22D4C">
        <w:rPr>
          <w:rFonts w:eastAsia="Verdana"/>
        </w:rPr>
        <w:t xml:space="preserve">’s right under </w:t>
      </w:r>
      <w:r w:rsidR="00A12481">
        <w:rPr>
          <w:rFonts w:eastAsia="Verdana"/>
        </w:rPr>
        <w:t>article </w:t>
      </w:r>
      <w:r w:rsidRPr="00D22D4C">
        <w:rPr>
          <w:rFonts w:eastAsia="Verdana"/>
        </w:rPr>
        <w:t xml:space="preserve">22 of the Covenant. </w:t>
      </w:r>
      <w:r w:rsidRPr="00601F13">
        <w:rPr>
          <w:rFonts w:eastAsia="Verdana"/>
          <w:bCs/>
          <w:lang w:val="en-US"/>
        </w:rPr>
        <w:t xml:space="preserve">The author maintains that the refusal to register </w:t>
      </w:r>
      <w:r>
        <w:rPr>
          <w:rFonts w:eastAsia="Verdana"/>
          <w:bCs/>
          <w:lang w:val="en-US"/>
        </w:rPr>
        <w:t xml:space="preserve">the </w:t>
      </w:r>
      <w:r w:rsidRPr="00601F13">
        <w:rPr>
          <w:rFonts w:eastAsia="Verdana"/>
          <w:bCs/>
          <w:lang w:val="en-US"/>
        </w:rPr>
        <w:t>association limit</w:t>
      </w:r>
      <w:r>
        <w:rPr>
          <w:rFonts w:eastAsia="Verdana"/>
          <w:bCs/>
          <w:lang w:val="en-US"/>
        </w:rPr>
        <w:t>ed</w:t>
      </w:r>
      <w:r w:rsidRPr="00601F13">
        <w:rPr>
          <w:rFonts w:eastAsia="Verdana"/>
          <w:bCs/>
          <w:lang w:val="en-US"/>
        </w:rPr>
        <w:t xml:space="preserve"> h</w:t>
      </w:r>
      <w:r w:rsidR="00BA375B">
        <w:rPr>
          <w:rFonts w:eastAsia="Verdana"/>
          <w:bCs/>
          <w:lang w:val="en-US"/>
        </w:rPr>
        <w:t>er husband’s</w:t>
      </w:r>
      <w:r w:rsidRPr="00601F13">
        <w:rPr>
          <w:rFonts w:eastAsia="Verdana"/>
          <w:bCs/>
          <w:lang w:val="en-US"/>
        </w:rPr>
        <w:t xml:space="preserve"> right of free association</w:t>
      </w:r>
      <w:r w:rsidRPr="00601F13">
        <w:rPr>
          <w:rFonts w:eastAsia="Verdana"/>
          <w:lang w:val="en-US"/>
        </w:rPr>
        <w:t xml:space="preserve"> since</w:t>
      </w:r>
      <w:r w:rsidR="00BA375B">
        <w:rPr>
          <w:rFonts w:eastAsia="Verdana"/>
          <w:lang w:val="en-US"/>
        </w:rPr>
        <w:t>,</w:t>
      </w:r>
      <w:r w:rsidRPr="00601F13">
        <w:rPr>
          <w:rFonts w:eastAsia="Verdana"/>
          <w:lang w:val="en-US"/>
        </w:rPr>
        <w:t xml:space="preserve"> according to the internal laws of Belarus</w:t>
      </w:r>
      <w:r>
        <w:rPr>
          <w:rFonts w:eastAsia="Verdana"/>
          <w:lang w:val="en-US"/>
        </w:rPr>
        <w:t>,</w:t>
      </w:r>
      <w:r w:rsidRPr="00601F13">
        <w:rPr>
          <w:rFonts w:eastAsia="Verdana"/>
          <w:lang w:val="en-US"/>
        </w:rPr>
        <w:t xml:space="preserve"> unregistered civic associations are forbidden from carrying out </w:t>
      </w:r>
      <w:r w:rsidRPr="00F4101B">
        <w:rPr>
          <w:rFonts w:eastAsia="Verdana"/>
        </w:rPr>
        <w:t>activities</w:t>
      </w:r>
      <w:r w:rsidRPr="00601F13">
        <w:rPr>
          <w:rFonts w:eastAsia="Verdana"/>
          <w:lang w:val="en-US"/>
        </w:rPr>
        <w:t xml:space="preserve"> within the territory of the </w:t>
      </w:r>
      <w:r>
        <w:rPr>
          <w:rFonts w:eastAsia="Verdana"/>
          <w:lang w:val="en-US"/>
        </w:rPr>
        <w:t>country</w:t>
      </w:r>
      <w:r w:rsidRPr="00601F13">
        <w:rPr>
          <w:rFonts w:eastAsia="Verdana"/>
          <w:lang w:val="en-US"/>
        </w:rPr>
        <w:t>.</w:t>
      </w:r>
      <w:r w:rsidRPr="00601F13">
        <w:rPr>
          <w:rFonts w:eastAsia="Verdana"/>
          <w:vertAlign w:val="superscript"/>
          <w:lang w:val="en-US"/>
        </w:rPr>
        <w:footnoteReference w:id="8"/>
      </w:r>
      <w:r w:rsidRPr="00601F13">
        <w:rPr>
          <w:rFonts w:eastAsia="Verdana"/>
          <w:lang w:val="en-US"/>
        </w:rPr>
        <w:t xml:space="preserve"> Moreover, individuals involved in the organization of</w:t>
      </w:r>
      <w:r w:rsidR="00037922">
        <w:rPr>
          <w:rFonts w:eastAsia="Verdana"/>
          <w:lang w:val="en-US"/>
        </w:rPr>
        <w:t>,</w:t>
      </w:r>
      <w:r w:rsidRPr="00601F13">
        <w:rPr>
          <w:rFonts w:eastAsia="Verdana"/>
          <w:lang w:val="en-US"/>
        </w:rPr>
        <w:t xml:space="preserve"> or who participate in</w:t>
      </w:r>
      <w:r w:rsidR="00037922">
        <w:rPr>
          <w:rFonts w:eastAsia="Verdana"/>
          <w:lang w:val="en-US"/>
        </w:rPr>
        <w:t>,</w:t>
      </w:r>
      <w:r w:rsidRPr="00601F13">
        <w:rPr>
          <w:rFonts w:eastAsia="Verdana"/>
          <w:lang w:val="en-US"/>
        </w:rPr>
        <w:t xml:space="preserve"> civic associations </w:t>
      </w:r>
      <w:r w:rsidR="00037922">
        <w:rPr>
          <w:rFonts w:eastAsia="Verdana"/>
          <w:lang w:val="en-US"/>
        </w:rPr>
        <w:t>that</w:t>
      </w:r>
      <w:r w:rsidRPr="00601F13">
        <w:rPr>
          <w:rFonts w:eastAsia="Verdana"/>
          <w:lang w:val="en-US"/>
        </w:rPr>
        <w:t xml:space="preserve"> have not been registered are subject t</w:t>
      </w:r>
      <w:r>
        <w:rPr>
          <w:rFonts w:eastAsia="Verdana"/>
          <w:lang w:val="en-US"/>
        </w:rPr>
        <w:t>o criminal charges (</w:t>
      </w:r>
      <w:r w:rsidR="00A12481">
        <w:rPr>
          <w:rFonts w:eastAsia="Verdana"/>
          <w:lang w:val="en-US"/>
        </w:rPr>
        <w:t>art</w:t>
      </w:r>
      <w:r w:rsidR="009A022D">
        <w:rPr>
          <w:rFonts w:eastAsia="Verdana"/>
          <w:lang w:val="en-US"/>
        </w:rPr>
        <w:t>.</w:t>
      </w:r>
      <w:r w:rsidR="00A12481">
        <w:rPr>
          <w:rFonts w:eastAsia="Verdana"/>
          <w:lang w:val="en-US"/>
        </w:rPr>
        <w:t> </w:t>
      </w:r>
      <w:r w:rsidRPr="007C1A02">
        <w:rPr>
          <w:rFonts w:eastAsia="Verdana"/>
          <w:lang w:val="en-US"/>
        </w:rPr>
        <w:t>193.1</w:t>
      </w:r>
      <w:r>
        <w:rPr>
          <w:rFonts w:eastAsia="Verdana"/>
          <w:lang w:val="en-US"/>
        </w:rPr>
        <w:t xml:space="preserve"> of the Criminal Code). Sh</w:t>
      </w:r>
      <w:r w:rsidRPr="00601F13">
        <w:rPr>
          <w:rFonts w:eastAsia="Verdana"/>
          <w:lang w:val="en-US"/>
        </w:rPr>
        <w:t>e refers to the Committee</w:t>
      </w:r>
      <w:r>
        <w:rPr>
          <w:rFonts w:eastAsia="Verdana"/>
          <w:lang w:val="en-US"/>
        </w:rPr>
        <w:t>’s</w:t>
      </w:r>
      <w:r w:rsidRPr="00601F13">
        <w:rPr>
          <w:rFonts w:eastAsia="Verdana"/>
          <w:lang w:val="en-US"/>
        </w:rPr>
        <w:t xml:space="preserve"> jurisprudence, according to which the right to free association includes not only the right to </w:t>
      </w:r>
      <w:r w:rsidRPr="00601F13">
        <w:rPr>
          <w:rFonts w:eastAsia="Verdana"/>
          <w:lang w:val="en-US"/>
        </w:rPr>
        <w:lastRenderedPageBreak/>
        <w:t xml:space="preserve">freely organize associations, but also guarantees the associations’ free and unfettered ability to conduct their </w:t>
      </w:r>
      <w:r>
        <w:rPr>
          <w:rFonts w:eastAsia="Verdana"/>
          <w:lang w:val="en-US"/>
        </w:rPr>
        <w:t>statutory</w:t>
      </w:r>
      <w:r w:rsidRPr="00601F13">
        <w:rPr>
          <w:rFonts w:eastAsia="Verdana"/>
          <w:lang w:val="en-US"/>
        </w:rPr>
        <w:t xml:space="preserve"> activities</w:t>
      </w:r>
      <w:r w:rsidR="00B301C6">
        <w:rPr>
          <w:rFonts w:eastAsia="Verdana"/>
          <w:lang w:val="en-US"/>
        </w:rPr>
        <w:t>.</w:t>
      </w:r>
      <w:r w:rsidRPr="00601F13">
        <w:rPr>
          <w:rFonts w:eastAsia="Verdana"/>
          <w:vertAlign w:val="superscript"/>
          <w:lang w:val="en-US"/>
        </w:rPr>
        <w:footnoteReference w:id="9"/>
      </w:r>
      <w:r>
        <w:rPr>
          <w:rFonts w:eastAsia="Verdana"/>
          <w:lang w:val="en-US"/>
        </w:rPr>
        <w:t xml:space="preserve"> </w:t>
      </w:r>
      <w:r w:rsidRPr="00601F13">
        <w:rPr>
          <w:rFonts w:eastAsia="Verdana"/>
          <w:lang w:val="en-US"/>
        </w:rPr>
        <w:t>The author maintains that the refusals for registration of the Viasna and Nasha Viasna</w:t>
      </w:r>
      <w:r w:rsidR="00874AB0">
        <w:rPr>
          <w:rFonts w:eastAsia="Verdana"/>
          <w:lang w:val="en-US"/>
        </w:rPr>
        <w:t xml:space="preserve"> associations</w:t>
      </w:r>
      <w:r w:rsidRPr="00601F13">
        <w:rPr>
          <w:rFonts w:eastAsia="Verdana"/>
          <w:lang w:val="en-US"/>
        </w:rPr>
        <w:t xml:space="preserve"> imposed</w:t>
      </w:r>
      <w:r w:rsidRPr="00601F13">
        <w:rPr>
          <w:rFonts w:eastAsia="Verdana"/>
          <w:bCs/>
          <w:lang w:val="en-US"/>
        </w:rPr>
        <w:t xml:space="preserve"> limitations inconsi</w:t>
      </w:r>
      <w:r>
        <w:rPr>
          <w:rFonts w:eastAsia="Verdana"/>
          <w:bCs/>
          <w:lang w:val="en-US"/>
        </w:rPr>
        <w:t xml:space="preserve">stent with the requirements of </w:t>
      </w:r>
      <w:r w:rsidR="00A12481">
        <w:rPr>
          <w:rFonts w:eastAsia="Verdana"/>
          <w:bCs/>
          <w:lang w:val="en-US"/>
        </w:rPr>
        <w:t>article </w:t>
      </w:r>
      <w:r w:rsidRPr="00601F13">
        <w:rPr>
          <w:rFonts w:eastAsia="Verdana"/>
          <w:bCs/>
          <w:lang w:val="en-US"/>
        </w:rPr>
        <w:t xml:space="preserve">22, </w:t>
      </w:r>
      <w:r w:rsidR="00A12481">
        <w:rPr>
          <w:rFonts w:eastAsia="Verdana"/>
          <w:bCs/>
          <w:lang w:val="en-US"/>
        </w:rPr>
        <w:t>paragraph </w:t>
      </w:r>
      <w:r w:rsidRPr="00601F13">
        <w:rPr>
          <w:rFonts w:eastAsia="Verdana"/>
          <w:bCs/>
          <w:lang w:val="en-US"/>
        </w:rPr>
        <w:t>2</w:t>
      </w:r>
      <w:r w:rsidR="00C3465D">
        <w:rPr>
          <w:rFonts w:eastAsia="Verdana"/>
          <w:bCs/>
          <w:lang w:val="en-US"/>
        </w:rPr>
        <w:t>,</w:t>
      </w:r>
      <w:r w:rsidRPr="00601F13">
        <w:rPr>
          <w:rFonts w:eastAsia="Verdana"/>
          <w:bCs/>
          <w:lang w:val="en-US"/>
        </w:rPr>
        <w:t xml:space="preserve"> of the Covenant</w:t>
      </w:r>
      <w:r w:rsidRPr="00601F13">
        <w:rPr>
          <w:rFonts w:eastAsia="Verdana"/>
          <w:lang w:val="en-US"/>
        </w:rPr>
        <w:t>.</w:t>
      </w:r>
      <w:r w:rsidR="00A12481">
        <w:rPr>
          <w:rFonts w:eastAsia="Verdana"/>
          <w:lang w:val="en-US"/>
        </w:rPr>
        <w:t xml:space="preserve"> </w:t>
      </w:r>
    </w:p>
    <w:p w:rsidR="00075FA7" w:rsidRPr="00CC5D92" w:rsidRDefault="00075FA7" w:rsidP="00874AB0">
      <w:pPr>
        <w:pStyle w:val="SingleTxtG"/>
        <w:rPr>
          <w:rFonts w:eastAsia="Verdana"/>
        </w:rPr>
      </w:pPr>
      <w:r>
        <w:rPr>
          <w:rFonts w:eastAsia="Verdana"/>
          <w:lang w:val="en-US"/>
        </w:rPr>
        <w:t>3.2</w:t>
      </w:r>
      <w:r>
        <w:rPr>
          <w:rFonts w:eastAsia="Verdana"/>
          <w:lang w:val="en-US"/>
        </w:rPr>
        <w:tab/>
      </w:r>
      <w:r w:rsidRPr="00601F13">
        <w:rPr>
          <w:rFonts w:eastAsia="Verdana"/>
          <w:lang w:val="en-US"/>
        </w:rPr>
        <w:t>The author maintains that it cannot be</w:t>
      </w:r>
      <w:r>
        <w:rPr>
          <w:rFonts w:eastAsia="Verdana"/>
          <w:lang w:val="en-US"/>
        </w:rPr>
        <w:t xml:space="preserve"> claimed that such limitations we</w:t>
      </w:r>
      <w:r w:rsidRPr="00601F13">
        <w:rPr>
          <w:rFonts w:eastAsia="Verdana"/>
          <w:lang w:val="en-US"/>
        </w:rPr>
        <w:t>re set forth in law, since in this particular case it would mean the use of legislation which is contra</w:t>
      </w:r>
      <w:r>
        <w:rPr>
          <w:rFonts w:eastAsia="Verdana"/>
          <w:lang w:val="en-US"/>
        </w:rPr>
        <w:t>ry</w:t>
      </w:r>
      <w:r w:rsidRPr="00601F13">
        <w:rPr>
          <w:rFonts w:eastAsia="Verdana"/>
          <w:lang w:val="en-US"/>
        </w:rPr>
        <w:t xml:space="preserve"> </w:t>
      </w:r>
      <w:r>
        <w:rPr>
          <w:rFonts w:eastAsia="Verdana"/>
          <w:lang w:val="en-US"/>
        </w:rPr>
        <w:t xml:space="preserve">to </w:t>
      </w:r>
      <w:r w:rsidRPr="00601F13">
        <w:rPr>
          <w:rFonts w:eastAsia="Verdana"/>
          <w:lang w:val="en-US"/>
        </w:rPr>
        <w:t>the Covenant</w:t>
      </w:r>
      <w:r>
        <w:rPr>
          <w:rFonts w:eastAsia="Verdana"/>
          <w:lang w:val="en-US"/>
        </w:rPr>
        <w:t>, namely</w:t>
      </w:r>
      <w:r w:rsidR="00A40D98">
        <w:rPr>
          <w:rFonts w:eastAsia="Verdana"/>
          <w:lang w:val="en-US"/>
        </w:rPr>
        <w:t>,</w:t>
      </w:r>
      <w:r>
        <w:rPr>
          <w:rFonts w:eastAsia="Verdana"/>
          <w:lang w:val="en-US"/>
        </w:rPr>
        <w:t xml:space="preserve"> </w:t>
      </w:r>
      <w:r w:rsidR="00A12481">
        <w:rPr>
          <w:rFonts w:eastAsia="Verdana"/>
          <w:lang w:val="en-US"/>
        </w:rPr>
        <w:t>article </w:t>
      </w:r>
      <w:r>
        <w:rPr>
          <w:rFonts w:eastAsia="Verdana"/>
          <w:lang w:val="en-US"/>
        </w:rPr>
        <w:t>193.1 of the Criminal Code</w:t>
      </w:r>
      <w:r w:rsidR="00B301C6">
        <w:rPr>
          <w:rFonts w:eastAsia="Verdana"/>
          <w:lang w:val="en-US"/>
        </w:rPr>
        <w:t>.</w:t>
      </w:r>
      <w:r w:rsidRPr="00601F13">
        <w:rPr>
          <w:rFonts w:eastAsia="Verdana"/>
          <w:lang w:val="en-US"/>
        </w:rPr>
        <w:t xml:space="preserve"> She refers to the Committee’s 1997 concluding observations on Belarus</w:t>
      </w:r>
      <w:r w:rsidR="0040616A">
        <w:rPr>
          <w:rFonts w:eastAsia="Verdana"/>
          <w:lang w:val="en-US"/>
        </w:rPr>
        <w:t xml:space="preserve"> (</w:t>
      </w:r>
      <w:r w:rsidR="0040616A" w:rsidRPr="0040616A">
        <w:rPr>
          <w:rFonts w:eastAsia="Verdana"/>
          <w:lang w:val="en-US"/>
        </w:rPr>
        <w:t>CCPR/C/79/Add.86</w:t>
      </w:r>
      <w:r w:rsidR="0040616A">
        <w:rPr>
          <w:rFonts w:eastAsia="Verdana"/>
          <w:lang w:val="en-US"/>
        </w:rPr>
        <w:t>), in which</w:t>
      </w:r>
      <w:r w:rsidRPr="00601F13">
        <w:rPr>
          <w:rFonts w:eastAsia="Verdana"/>
          <w:lang w:val="en-US"/>
        </w:rPr>
        <w:t xml:space="preserve"> </w:t>
      </w:r>
      <w:r w:rsidR="0040616A">
        <w:rPr>
          <w:rFonts w:eastAsia="Verdana"/>
          <w:lang w:val="en-US"/>
        </w:rPr>
        <w:t>the Committee</w:t>
      </w:r>
      <w:r w:rsidRPr="00601F13">
        <w:rPr>
          <w:rFonts w:eastAsia="Verdana"/>
          <w:lang w:val="en-US"/>
        </w:rPr>
        <w:t xml:space="preserve"> had voiced its concern over the difficulties associated with the registration procedure</w:t>
      </w:r>
      <w:r w:rsidR="00C70C17">
        <w:rPr>
          <w:rFonts w:eastAsia="Verdana"/>
          <w:lang w:val="en-US"/>
        </w:rPr>
        <w:t>s</w:t>
      </w:r>
      <w:r w:rsidRPr="00601F13">
        <w:rPr>
          <w:rFonts w:eastAsia="Verdana"/>
          <w:lang w:val="en-US"/>
        </w:rPr>
        <w:t xml:space="preserve"> </w:t>
      </w:r>
      <w:r>
        <w:rPr>
          <w:rFonts w:eastAsia="Verdana"/>
          <w:lang w:val="en-US"/>
        </w:rPr>
        <w:t>for</w:t>
      </w:r>
      <w:r w:rsidRPr="00601F13">
        <w:rPr>
          <w:rFonts w:eastAsia="Verdana"/>
          <w:lang w:val="en-US"/>
        </w:rPr>
        <w:t xml:space="preserve"> non-governmental organizations in Belarus, and had recommended </w:t>
      </w:r>
      <w:r w:rsidR="00C70C17">
        <w:rPr>
          <w:rFonts w:eastAsia="Verdana"/>
          <w:lang w:val="en-US"/>
        </w:rPr>
        <w:t>that the State party</w:t>
      </w:r>
      <w:r w:rsidRPr="00601F13">
        <w:rPr>
          <w:rFonts w:eastAsia="Verdana"/>
          <w:lang w:val="en-US"/>
        </w:rPr>
        <w:t xml:space="preserve"> review</w:t>
      </w:r>
      <w:r w:rsidR="00C70C17">
        <w:rPr>
          <w:rFonts w:eastAsia="Verdana"/>
          <w:lang w:val="en-US"/>
        </w:rPr>
        <w:t>, without delay,</w:t>
      </w:r>
      <w:r w:rsidRPr="00601F13">
        <w:rPr>
          <w:rFonts w:eastAsia="Verdana"/>
          <w:lang w:val="en-US"/>
        </w:rPr>
        <w:t xml:space="preserve"> the laws, </w:t>
      </w:r>
      <w:r w:rsidR="00C70C17">
        <w:rPr>
          <w:rFonts w:eastAsia="Verdana"/>
          <w:lang w:val="en-US"/>
        </w:rPr>
        <w:t>regulations</w:t>
      </w:r>
      <w:r w:rsidR="00C70C17" w:rsidRPr="00601F13">
        <w:rPr>
          <w:rFonts w:eastAsia="Verdana"/>
          <w:lang w:val="en-US"/>
        </w:rPr>
        <w:t xml:space="preserve"> </w:t>
      </w:r>
      <w:r w:rsidRPr="00601F13">
        <w:rPr>
          <w:rFonts w:eastAsia="Verdana"/>
          <w:lang w:val="en-US"/>
        </w:rPr>
        <w:t xml:space="preserve">and administrative practices </w:t>
      </w:r>
      <w:r w:rsidR="00C70C17">
        <w:rPr>
          <w:rFonts w:eastAsia="Verdana"/>
          <w:lang w:val="en-US"/>
        </w:rPr>
        <w:t>relating to</w:t>
      </w:r>
      <w:r w:rsidRPr="00601F13">
        <w:rPr>
          <w:rFonts w:eastAsia="Verdana"/>
          <w:lang w:val="en-US"/>
        </w:rPr>
        <w:t xml:space="preserve"> their registration and activities</w:t>
      </w:r>
      <w:r w:rsidR="0040616A">
        <w:rPr>
          <w:rFonts w:eastAsia="Verdana"/>
          <w:lang w:val="en-US"/>
        </w:rPr>
        <w:t>.</w:t>
      </w:r>
      <w:r w:rsidRPr="00601F13">
        <w:rPr>
          <w:rFonts w:eastAsia="Verdana"/>
          <w:lang w:val="en-US"/>
        </w:rPr>
        <w:t xml:space="preserve"> However, neither the practices nor the laws ha</w:t>
      </w:r>
      <w:r>
        <w:rPr>
          <w:rFonts w:eastAsia="Verdana"/>
          <w:lang w:val="en-US"/>
        </w:rPr>
        <w:t>ve</w:t>
      </w:r>
      <w:r w:rsidRPr="00601F13">
        <w:rPr>
          <w:rFonts w:eastAsia="Verdana"/>
          <w:lang w:val="en-US"/>
        </w:rPr>
        <w:t xml:space="preserve"> been changed. In denying the registration of the </w:t>
      </w:r>
      <w:r w:rsidR="00874AB0" w:rsidRPr="00601F13">
        <w:rPr>
          <w:rFonts w:eastAsia="Verdana"/>
          <w:lang w:val="en-US"/>
        </w:rPr>
        <w:t>Viasna and Nasha Viasna</w:t>
      </w:r>
      <w:r w:rsidR="00874AB0">
        <w:rPr>
          <w:rFonts w:eastAsia="Verdana"/>
          <w:lang w:val="en-US"/>
        </w:rPr>
        <w:t xml:space="preserve"> </w:t>
      </w:r>
      <w:r w:rsidRPr="00601F13">
        <w:rPr>
          <w:rFonts w:eastAsia="Verdana"/>
          <w:lang w:val="en-US"/>
        </w:rPr>
        <w:t>civic human rights association</w:t>
      </w:r>
      <w:r w:rsidR="00874AB0">
        <w:rPr>
          <w:rFonts w:eastAsia="Verdana"/>
          <w:lang w:val="en-US"/>
        </w:rPr>
        <w:t>s</w:t>
      </w:r>
      <w:r w:rsidRPr="00601F13">
        <w:rPr>
          <w:rFonts w:eastAsia="Verdana"/>
          <w:lang w:val="en-US"/>
        </w:rPr>
        <w:t xml:space="preserve">, the </w:t>
      </w:r>
      <w:r w:rsidR="00C70C17">
        <w:rPr>
          <w:rFonts w:eastAsia="Verdana"/>
          <w:lang w:val="en-US"/>
        </w:rPr>
        <w:t>G</w:t>
      </w:r>
      <w:r w:rsidRPr="00601F13">
        <w:rPr>
          <w:rFonts w:eastAsia="Verdana"/>
          <w:lang w:val="en-US"/>
        </w:rPr>
        <w:t xml:space="preserve">overnment </w:t>
      </w:r>
      <w:r w:rsidR="00C70C17">
        <w:rPr>
          <w:rFonts w:eastAsia="Verdana"/>
          <w:lang w:val="en-US"/>
        </w:rPr>
        <w:t>imposed</w:t>
      </w:r>
      <w:r w:rsidR="00C70C17" w:rsidRPr="00601F13">
        <w:rPr>
          <w:rFonts w:eastAsia="Verdana"/>
          <w:lang w:val="en-US"/>
        </w:rPr>
        <w:t xml:space="preserve"> </w:t>
      </w:r>
      <w:r w:rsidRPr="00601F13">
        <w:rPr>
          <w:rFonts w:eastAsia="Verdana"/>
          <w:lang w:val="en-US"/>
        </w:rPr>
        <w:t xml:space="preserve">unduly harsh conditions, set forth in the Law </w:t>
      </w:r>
      <w:r w:rsidR="00C70C17">
        <w:rPr>
          <w:lang w:val="en-US"/>
        </w:rPr>
        <w:t>o</w:t>
      </w:r>
      <w:r w:rsidRPr="00C106AC">
        <w:t>n Public Associations</w:t>
      </w:r>
      <w:r w:rsidRPr="00601F13">
        <w:rPr>
          <w:rFonts w:eastAsia="Verdana"/>
          <w:lang w:val="en-US"/>
        </w:rPr>
        <w:t xml:space="preserve">, particularly the requirement that the founding members provide </w:t>
      </w:r>
      <w:r>
        <w:rPr>
          <w:rFonts w:eastAsia="Verdana"/>
          <w:lang w:val="en-US"/>
        </w:rPr>
        <w:t>detailed personal information (</w:t>
      </w:r>
      <w:r w:rsidR="00A12481">
        <w:rPr>
          <w:rFonts w:eastAsia="Verdana"/>
          <w:lang w:val="en-US"/>
        </w:rPr>
        <w:t>art</w:t>
      </w:r>
      <w:r w:rsidR="00C70C17">
        <w:rPr>
          <w:rFonts w:eastAsia="Verdana"/>
          <w:lang w:val="en-US"/>
        </w:rPr>
        <w:t>.</w:t>
      </w:r>
      <w:r w:rsidR="00A12481">
        <w:rPr>
          <w:rFonts w:eastAsia="Verdana"/>
          <w:lang w:val="en-US"/>
        </w:rPr>
        <w:t> </w:t>
      </w:r>
      <w:r w:rsidRPr="00601F13">
        <w:rPr>
          <w:rFonts w:eastAsia="Verdana"/>
          <w:lang w:val="en-US"/>
        </w:rPr>
        <w:t xml:space="preserve">13 of the Law). The author maintains that even if the materials provided by </w:t>
      </w:r>
      <w:r>
        <w:rPr>
          <w:rFonts w:eastAsia="Verdana"/>
          <w:lang w:val="en-US"/>
        </w:rPr>
        <w:t>her husband</w:t>
      </w:r>
      <w:r w:rsidRPr="00601F13">
        <w:rPr>
          <w:rFonts w:eastAsia="Verdana"/>
          <w:lang w:val="en-US"/>
        </w:rPr>
        <w:t xml:space="preserve"> and </w:t>
      </w:r>
      <w:r>
        <w:rPr>
          <w:rFonts w:eastAsia="Verdana"/>
          <w:lang w:val="en-US"/>
        </w:rPr>
        <w:t xml:space="preserve">the </w:t>
      </w:r>
      <w:r w:rsidRPr="00601F13">
        <w:rPr>
          <w:rFonts w:eastAsia="Verdana"/>
          <w:lang w:val="en-US"/>
        </w:rPr>
        <w:t>other applicants did not completely meet the requirements of the domestic laws, in this particular case limiting the right to free association, by way of denying the registration, was an unduly harsh measure.</w:t>
      </w:r>
      <w:r w:rsidRPr="00601F13">
        <w:rPr>
          <w:rFonts w:eastAsia="Verdana"/>
        </w:rPr>
        <w:t xml:space="preserve"> Since 2003, the </w:t>
      </w:r>
      <w:r w:rsidR="00E02E39">
        <w:rPr>
          <w:rFonts w:eastAsia="Verdana"/>
          <w:lang w:val="en-US"/>
        </w:rPr>
        <w:t>a</w:t>
      </w:r>
      <w:r w:rsidRPr="00601F13">
        <w:rPr>
          <w:rFonts w:eastAsia="Verdana"/>
        </w:rPr>
        <w:t>ssociation has been operating</w:t>
      </w:r>
      <w:r>
        <w:rPr>
          <w:rFonts w:eastAsia="Verdana"/>
        </w:rPr>
        <w:t xml:space="preserve"> without official registration.</w:t>
      </w:r>
      <w:r w:rsidRPr="00D22D4C">
        <w:rPr>
          <w:rFonts w:eastAsia="Verdana"/>
        </w:rPr>
        <w:t xml:space="preserve"> </w:t>
      </w:r>
      <w:r w:rsidRPr="00CC5D92">
        <w:rPr>
          <w:rFonts w:eastAsia="Verdana"/>
        </w:rPr>
        <w:t xml:space="preserve">The author further maintains that since the denials of registration were based exclusively on </w:t>
      </w:r>
      <w:r w:rsidR="00C70C17">
        <w:rPr>
          <w:rFonts w:eastAsia="Verdana"/>
          <w:lang w:val="en-US"/>
        </w:rPr>
        <w:t>the State party’s</w:t>
      </w:r>
      <w:r w:rsidRPr="00CC5D92">
        <w:rPr>
          <w:rFonts w:eastAsia="Verdana"/>
        </w:rPr>
        <w:t xml:space="preserve"> domestic laws, which contradict the Covenant, the denials also violate the State party’s obligations under </w:t>
      </w:r>
      <w:r w:rsidR="00A12481">
        <w:rPr>
          <w:rFonts w:eastAsia="Verdana"/>
        </w:rPr>
        <w:t>article </w:t>
      </w:r>
      <w:r w:rsidRPr="00CC5D92">
        <w:rPr>
          <w:rFonts w:eastAsia="Verdana"/>
        </w:rPr>
        <w:t>2 of the Covenant.</w:t>
      </w:r>
    </w:p>
    <w:p w:rsidR="00075FA7" w:rsidRPr="007C1A02" w:rsidRDefault="00075FA7" w:rsidP="00C81B69">
      <w:pPr>
        <w:pStyle w:val="SingleTxtG"/>
        <w:rPr>
          <w:lang w:val="en-US" w:eastAsia="ar-SA"/>
        </w:rPr>
      </w:pPr>
      <w:r w:rsidRPr="00CC5D92">
        <w:rPr>
          <w:rFonts w:eastAsia="Verdana"/>
        </w:rPr>
        <w:t>3.3</w:t>
      </w:r>
      <w:r w:rsidRPr="00CC5D92">
        <w:rPr>
          <w:rFonts w:eastAsia="Verdana"/>
        </w:rPr>
        <w:tab/>
      </w:r>
      <w:r w:rsidRPr="00CC5D92">
        <w:rPr>
          <w:lang w:eastAsia="ar-SA"/>
        </w:rPr>
        <w:t>The author maintains that</w:t>
      </w:r>
      <w:r w:rsidR="00C70C17">
        <w:rPr>
          <w:lang w:val="en-US" w:eastAsia="ar-SA"/>
        </w:rPr>
        <w:t>, in</w:t>
      </w:r>
      <w:r w:rsidRPr="00CC5D92">
        <w:rPr>
          <w:lang w:eastAsia="ar-SA"/>
        </w:rPr>
        <w:t xml:space="preserve"> accord</w:t>
      </w:r>
      <w:r w:rsidR="00C70C17">
        <w:rPr>
          <w:lang w:val="en-US" w:eastAsia="ar-SA"/>
        </w:rPr>
        <w:t>ance with</w:t>
      </w:r>
      <w:r w:rsidRPr="00CC5D92">
        <w:rPr>
          <w:lang w:eastAsia="ar-SA"/>
        </w:rPr>
        <w:t xml:space="preserve"> the Law </w:t>
      </w:r>
      <w:r w:rsidR="00C70C17">
        <w:rPr>
          <w:lang w:val="en-US" w:eastAsia="ar-SA"/>
        </w:rPr>
        <w:t>on</w:t>
      </w:r>
      <w:r w:rsidRPr="00CC5D92">
        <w:rPr>
          <w:lang w:eastAsia="ar-SA"/>
        </w:rPr>
        <w:t xml:space="preserve"> </w:t>
      </w:r>
      <w:r w:rsidR="00C70C17">
        <w:rPr>
          <w:lang w:val="en-US" w:eastAsia="ar-SA"/>
        </w:rPr>
        <w:t xml:space="preserve">the </w:t>
      </w:r>
      <w:r w:rsidRPr="00C81B69">
        <w:rPr>
          <w:lang w:eastAsia="ar-SA"/>
        </w:rPr>
        <w:t>Office of</w:t>
      </w:r>
      <w:r w:rsidR="00816E8C" w:rsidRPr="00C81B69">
        <w:rPr>
          <w:lang w:val="en-US" w:eastAsia="ar-SA"/>
        </w:rPr>
        <w:t xml:space="preserve"> the Procurator-General</w:t>
      </w:r>
      <w:r w:rsidRPr="00C81B69">
        <w:rPr>
          <w:lang w:eastAsia="ar-SA"/>
        </w:rPr>
        <w:t xml:space="preserve"> </w:t>
      </w:r>
      <w:r w:rsidR="00816E8C" w:rsidRPr="00C81B69">
        <w:rPr>
          <w:lang w:val="en-US" w:eastAsia="ar-SA"/>
        </w:rPr>
        <w:t>of</w:t>
      </w:r>
      <w:r w:rsidR="00816E8C">
        <w:rPr>
          <w:lang w:val="en-US" w:eastAsia="ar-SA"/>
        </w:rPr>
        <w:t xml:space="preserve"> </w:t>
      </w:r>
      <w:r w:rsidRPr="000568AE">
        <w:rPr>
          <w:lang w:eastAsia="ar-SA"/>
        </w:rPr>
        <w:t>the Republic of Belarus</w:t>
      </w:r>
      <w:r w:rsidR="00C70C17">
        <w:rPr>
          <w:lang w:val="en-US" w:eastAsia="ar-SA"/>
        </w:rPr>
        <w:t>,</w:t>
      </w:r>
      <w:r w:rsidRPr="000568AE">
        <w:rPr>
          <w:lang w:eastAsia="ar-SA"/>
        </w:rPr>
        <w:t xml:space="preserve"> </w:t>
      </w:r>
      <w:r w:rsidRPr="00C81B69">
        <w:rPr>
          <w:lang w:eastAsia="ar-SA"/>
        </w:rPr>
        <w:t xml:space="preserve">the </w:t>
      </w:r>
      <w:r w:rsidR="00C81B69">
        <w:rPr>
          <w:lang w:val="en-US" w:eastAsia="ar-SA"/>
        </w:rPr>
        <w:t>Procurator-General</w:t>
      </w:r>
      <w:r w:rsidR="00C81B69" w:rsidRPr="000568AE">
        <w:rPr>
          <w:lang w:eastAsia="ar-SA"/>
        </w:rPr>
        <w:t xml:space="preserve"> </w:t>
      </w:r>
      <w:r w:rsidRPr="000568AE">
        <w:rPr>
          <w:lang w:eastAsia="ar-SA"/>
        </w:rPr>
        <w:t>has the authority to issue official warnings</w:t>
      </w:r>
      <w:r>
        <w:rPr>
          <w:lang w:eastAsia="ar-SA"/>
        </w:rPr>
        <w:t>,</w:t>
      </w:r>
      <w:r w:rsidRPr="000568AE">
        <w:rPr>
          <w:lang w:eastAsia="ar-SA"/>
        </w:rPr>
        <w:t xml:space="preserve"> which must be obeyed. </w:t>
      </w:r>
      <w:r w:rsidR="00C70C17">
        <w:rPr>
          <w:lang w:val="en-US" w:eastAsia="ar-SA"/>
        </w:rPr>
        <w:t>With respect to</w:t>
      </w:r>
      <w:r w:rsidR="00C70C17" w:rsidRPr="000568AE">
        <w:rPr>
          <w:lang w:eastAsia="ar-SA"/>
        </w:rPr>
        <w:t xml:space="preserve"> </w:t>
      </w:r>
      <w:r w:rsidRPr="000568AE">
        <w:rPr>
          <w:lang w:eastAsia="ar-SA"/>
        </w:rPr>
        <w:t xml:space="preserve">activities on behalf of an unregistered organization in Belarus, </w:t>
      </w:r>
      <w:r w:rsidR="00C70C17">
        <w:rPr>
          <w:lang w:val="en-US" w:eastAsia="ar-SA"/>
        </w:rPr>
        <w:t>an</w:t>
      </w:r>
      <w:r w:rsidR="00C70C17" w:rsidRPr="000568AE">
        <w:rPr>
          <w:lang w:eastAsia="ar-SA"/>
        </w:rPr>
        <w:t xml:space="preserve"> </w:t>
      </w:r>
      <w:r w:rsidRPr="000568AE">
        <w:rPr>
          <w:lang w:eastAsia="ar-SA"/>
        </w:rPr>
        <w:t xml:space="preserve">individual is subject to criminal accountability </w:t>
      </w:r>
      <w:r w:rsidR="00C70C17" w:rsidRPr="00D504B2">
        <w:rPr>
          <w:lang w:val="en-US" w:eastAsia="ar-SA"/>
        </w:rPr>
        <w:t>u</w:t>
      </w:r>
      <w:r w:rsidR="00C70C17" w:rsidRPr="00816E8C">
        <w:rPr>
          <w:lang w:val="en-US" w:eastAsia="ar-SA"/>
        </w:rPr>
        <w:t>nder</w:t>
      </w:r>
      <w:r w:rsidRPr="00816E8C">
        <w:rPr>
          <w:lang w:eastAsia="ar-SA"/>
        </w:rPr>
        <w:t xml:space="preserve"> </w:t>
      </w:r>
      <w:r w:rsidR="00A12481" w:rsidRPr="00816E8C">
        <w:rPr>
          <w:lang w:eastAsia="ar-SA"/>
        </w:rPr>
        <w:t>article </w:t>
      </w:r>
      <w:r w:rsidRPr="00FA040C">
        <w:rPr>
          <w:lang w:eastAsia="ar-SA"/>
        </w:rPr>
        <w:t>193.1 of the Criminal Code.</w:t>
      </w:r>
      <w:r w:rsidRPr="000568AE">
        <w:rPr>
          <w:lang w:eastAsia="ar-SA"/>
        </w:rPr>
        <w:t xml:space="preserve"> </w:t>
      </w:r>
      <w:r w:rsidR="00C70C17">
        <w:rPr>
          <w:lang w:val="en-US" w:eastAsia="ar-SA"/>
        </w:rPr>
        <w:t>In a</w:t>
      </w:r>
      <w:r w:rsidRPr="000568AE">
        <w:rPr>
          <w:lang w:eastAsia="ar-SA"/>
        </w:rPr>
        <w:t>ccord</w:t>
      </w:r>
      <w:r w:rsidR="00C70C17">
        <w:rPr>
          <w:lang w:val="en-US" w:eastAsia="ar-SA"/>
        </w:rPr>
        <w:t>ance with</w:t>
      </w:r>
      <w:r w:rsidRPr="000568AE">
        <w:rPr>
          <w:lang w:eastAsia="ar-SA"/>
        </w:rPr>
        <w:t xml:space="preserve"> </w:t>
      </w:r>
      <w:r w:rsidR="00A12481">
        <w:rPr>
          <w:lang w:eastAsia="ar-SA"/>
        </w:rPr>
        <w:t>article </w:t>
      </w:r>
      <w:r w:rsidRPr="000568AE">
        <w:rPr>
          <w:lang w:eastAsia="ar-SA"/>
        </w:rPr>
        <w:t>34</w:t>
      </w:r>
      <w:r>
        <w:rPr>
          <w:lang w:eastAsia="ar-SA"/>
        </w:rPr>
        <w:t>.4</w:t>
      </w:r>
      <w:r w:rsidRPr="000568AE">
        <w:rPr>
          <w:lang w:eastAsia="ar-SA"/>
        </w:rPr>
        <w:t xml:space="preserve"> of the Criminal Procedur</w:t>
      </w:r>
      <w:r w:rsidR="00C70C17">
        <w:rPr>
          <w:lang w:val="en-US" w:eastAsia="ar-SA"/>
        </w:rPr>
        <w:t>e</w:t>
      </w:r>
      <w:r w:rsidRPr="000568AE">
        <w:rPr>
          <w:lang w:eastAsia="ar-SA"/>
        </w:rPr>
        <w:t xml:space="preserve"> Code, </w:t>
      </w:r>
      <w:r w:rsidR="00C81B69">
        <w:rPr>
          <w:lang w:val="en-US" w:eastAsia="ar-SA"/>
        </w:rPr>
        <w:t>a</w:t>
      </w:r>
      <w:r w:rsidR="00C81B69" w:rsidRPr="00C81B69">
        <w:rPr>
          <w:lang w:eastAsia="ar-SA"/>
        </w:rPr>
        <w:t xml:space="preserve"> </w:t>
      </w:r>
      <w:r w:rsidRPr="00C81B69">
        <w:rPr>
          <w:lang w:eastAsia="ar-SA"/>
        </w:rPr>
        <w:t>prosecutor</w:t>
      </w:r>
      <w:r w:rsidRPr="000568AE">
        <w:rPr>
          <w:lang w:eastAsia="ar-SA"/>
        </w:rPr>
        <w:t xml:space="preserve"> has the authority to bring criminal </w:t>
      </w:r>
      <w:r w:rsidRPr="00F4101B">
        <w:t>charges</w:t>
      </w:r>
      <w:r w:rsidRPr="000568AE">
        <w:rPr>
          <w:lang w:eastAsia="ar-SA"/>
        </w:rPr>
        <w:t xml:space="preserve">. </w:t>
      </w:r>
      <w:r w:rsidRPr="000568AE">
        <w:rPr>
          <w:bCs/>
          <w:lang w:eastAsia="ar-SA"/>
        </w:rPr>
        <w:t xml:space="preserve">Consequently, the official warning issued by </w:t>
      </w:r>
      <w:r w:rsidRPr="00C81B69">
        <w:rPr>
          <w:bCs/>
          <w:lang w:eastAsia="ar-SA"/>
        </w:rPr>
        <w:t xml:space="preserve">the </w:t>
      </w:r>
      <w:r w:rsidR="00FA3711">
        <w:rPr>
          <w:bCs/>
          <w:lang w:val="en-US" w:eastAsia="ar-SA"/>
        </w:rPr>
        <w:t xml:space="preserve">Deputy </w:t>
      </w:r>
      <w:r w:rsidR="00C81B69">
        <w:rPr>
          <w:bCs/>
          <w:lang w:val="en-US" w:eastAsia="ar-SA"/>
        </w:rPr>
        <w:t>Procurator-General</w:t>
      </w:r>
      <w:r w:rsidRPr="000568AE">
        <w:rPr>
          <w:bCs/>
          <w:lang w:eastAsia="ar-SA"/>
        </w:rPr>
        <w:t xml:space="preserve"> to </w:t>
      </w:r>
      <w:r>
        <w:rPr>
          <w:bCs/>
          <w:lang w:eastAsia="ar-SA"/>
        </w:rPr>
        <w:t>her husband</w:t>
      </w:r>
      <w:r w:rsidRPr="000568AE">
        <w:rPr>
          <w:lang w:eastAsia="ar-SA"/>
        </w:rPr>
        <w:t xml:space="preserve"> could realistically have preceded the beginning of a criminal proceeding against him. </w:t>
      </w:r>
      <w:r w:rsidR="00CD028A">
        <w:rPr>
          <w:lang w:val="en-US" w:eastAsia="ar-SA"/>
        </w:rPr>
        <w:t>S</w:t>
      </w:r>
      <w:r>
        <w:rPr>
          <w:lang w:eastAsia="ar-SA"/>
        </w:rPr>
        <w:t xml:space="preserve">he argues that </w:t>
      </w:r>
      <w:r w:rsidRPr="00CD028A">
        <w:rPr>
          <w:lang w:eastAsia="ar-SA"/>
        </w:rPr>
        <w:t>th</w:t>
      </w:r>
      <w:r w:rsidR="00635F56">
        <w:rPr>
          <w:lang w:val="en-US" w:eastAsia="ar-SA"/>
        </w:rPr>
        <w:t>e</w:t>
      </w:r>
      <w:r w:rsidRPr="00CD028A">
        <w:rPr>
          <w:lang w:eastAsia="ar-SA"/>
        </w:rPr>
        <w:t xml:space="preserve"> </w:t>
      </w:r>
      <w:r w:rsidR="00635F56">
        <w:rPr>
          <w:lang w:val="en-US" w:eastAsia="ar-SA"/>
        </w:rPr>
        <w:t>threat of being subjected to criminal prosecution</w:t>
      </w:r>
      <w:r w:rsidRPr="000568AE">
        <w:rPr>
          <w:lang w:eastAsia="ar-SA"/>
        </w:rPr>
        <w:t xml:space="preserve"> </w:t>
      </w:r>
      <w:r w:rsidRPr="000568AE">
        <w:rPr>
          <w:bCs/>
          <w:lang w:eastAsia="ar-SA"/>
        </w:rPr>
        <w:t xml:space="preserve">constitutes a limitation of </w:t>
      </w:r>
      <w:r>
        <w:rPr>
          <w:bCs/>
          <w:lang w:eastAsia="ar-SA"/>
        </w:rPr>
        <w:t>her husband’s freedom of association</w:t>
      </w:r>
      <w:r w:rsidRPr="000568AE">
        <w:rPr>
          <w:lang w:eastAsia="ar-SA"/>
        </w:rPr>
        <w:t>.</w:t>
      </w:r>
      <w:r>
        <w:rPr>
          <w:lang w:eastAsia="ar-SA"/>
        </w:rPr>
        <w:t xml:space="preserve"> </w:t>
      </w:r>
      <w:r w:rsidRPr="000568AE">
        <w:rPr>
          <w:lang w:eastAsia="ar-SA"/>
        </w:rPr>
        <w:t xml:space="preserve">Moreover, </w:t>
      </w:r>
      <w:r w:rsidRPr="000568AE">
        <w:rPr>
          <w:bCs/>
          <w:lang w:eastAsia="ar-SA"/>
        </w:rPr>
        <w:t>the action of the Office</w:t>
      </w:r>
      <w:r w:rsidR="00FA3711">
        <w:rPr>
          <w:bCs/>
          <w:lang w:val="en-US" w:eastAsia="ar-SA"/>
        </w:rPr>
        <w:t xml:space="preserve"> of the Procurator</w:t>
      </w:r>
      <w:r w:rsidR="00816E8C">
        <w:rPr>
          <w:bCs/>
          <w:lang w:val="en-US" w:eastAsia="ar-SA"/>
        </w:rPr>
        <w:t>-General</w:t>
      </w:r>
      <w:r w:rsidRPr="000568AE">
        <w:rPr>
          <w:lang w:eastAsia="ar-SA"/>
        </w:rPr>
        <w:t xml:space="preserve">, subjecting </w:t>
      </w:r>
      <w:r>
        <w:rPr>
          <w:lang w:eastAsia="ar-SA"/>
        </w:rPr>
        <w:t xml:space="preserve">the author’s husband </w:t>
      </w:r>
      <w:r w:rsidRPr="000568AE">
        <w:rPr>
          <w:lang w:eastAsia="ar-SA"/>
        </w:rPr>
        <w:t xml:space="preserve">to the requirement to stop his activities on behalf of the unregistered association under the threat of criminal prosecution, </w:t>
      </w:r>
      <w:r w:rsidRPr="000568AE">
        <w:rPr>
          <w:bCs/>
          <w:lang w:eastAsia="ar-SA"/>
        </w:rPr>
        <w:t xml:space="preserve">does not meet any of the goals set forth in </w:t>
      </w:r>
      <w:r w:rsidR="00A12481">
        <w:rPr>
          <w:bCs/>
          <w:lang w:eastAsia="ar-SA"/>
        </w:rPr>
        <w:t>article </w:t>
      </w:r>
      <w:r w:rsidRPr="000568AE">
        <w:rPr>
          <w:bCs/>
          <w:lang w:eastAsia="ar-SA"/>
        </w:rPr>
        <w:t>22</w:t>
      </w:r>
      <w:r>
        <w:rPr>
          <w:bCs/>
          <w:lang w:eastAsia="ar-SA"/>
        </w:rPr>
        <w:t xml:space="preserve">, </w:t>
      </w:r>
      <w:r w:rsidR="00A12481">
        <w:rPr>
          <w:bCs/>
          <w:lang w:eastAsia="ar-SA"/>
        </w:rPr>
        <w:t>paragraph </w:t>
      </w:r>
      <w:r>
        <w:rPr>
          <w:bCs/>
          <w:lang w:eastAsia="ar-SA"/>
        </w:rPr>
        <w:t>2</w:t>
      </w:r>
      <w:r w:rsidR="00816E8C">
        <w:rPr>
          <w:bCs/>
          <w:lang w:val="en-US" w:eastAsia="ar-SA"/>
        </w:rPr>
        <w:t>,</w:t>
      </w:r>
      <w:r w:rsidRPr="000568AE">
        <w:rPr>
          <w:bCs/>
          <w:lang w:eastAsia="ar-SA"/>
        </w:rPr>
        <w:t xml:space="preserve"> of the Covenant</w:t>
      </w:r>
      <w:r w:rsidRPr="000568AE">
        <w:rPr>
          <w:lang w:eastAsia="ar-SA"/>
        </w:rPr>
        <w:t xml:space="preserve">. Even if the </w:t>
      </w:r>
      <w:r w:rsidR="00816E8C">
        <w:rPr>
          <w:lang w:val="en-US" w:eastAsia="ar-SA"/>
        </w:rPr>
        <w:t>G</w:t>
      </w:r>
      <w:r w:rsidRPr="000568AE">
        <w:rPr>
          <w:lang w:eastAsia="ar-SA"/>
        </w:rPr>
        <w:t>overnment w</w:t>
      </w:r>
      <w:r w:rsidR="00816E8C">
        <w:rPr>
          <w:lang w:val="en-US" w:eastAsia="ar-SA"/>
        </w:rPr>
        <w:t>ere</w:t>
      </w:r>
      <w:r w:rsidRPr="000568AE">
        <w:rPr>
          <w:lang w:eastAsia="ar-SA"/>
        </w:rPr>
        <w:t xml:space="preserve"> to provide evidence of the necessity of such limitations, </w:t>
      </w:r>
      <w:r w:rsidRPr="000568AE">
        <w:rPr>
          <w:bCs/>
          <w:lang w:eastAsia="ar-SA"/>
        </w:rPr>
        <w:t>it could never be accepted that the risk of criminal prosecution for such activities</w:t>
      </w:r>
      <w:r>
        <w:rPr>
          <w:bCs/>
          <w:lang w:eastAsia="ar-SA"/>
        </w:rPr>
        <w:t xml:space="preserve"> constitutes </w:t>
      </w:r>
      <w:r w:rsidRPr="000568AE">
        <w:rPr>
          <w:bCs/>
          <w:lang w:eastAsia="ar-SA"/>
        </w:rPr>
        <w:t>a commensurate measure</w:t>
      </w:r>
      <w:r w:rsidRPr="000568AE">
        <w:rPr>
          <w:lang w:eastAsia="ar-SA"/>
        </w:rPr>
        <w:t>.</w:t>
      </w:r>
      <w:r>
        <w:rPr>
          <w:lang w:eastAsia="ar-SA"/>
        </w:rPr>
        <w:t xml:space="preserve"> </w:t>
      </w:r>
      <w:r w:rsidRPr="000568AE">
        <w:rPr>
          <w:lang w:eastAsia="ar-SA"/>
        </w:rPr>
        <w:t>Th</w:t>
      </w:r>
      <w:r>
        <w:rPr>
          <w:lang w:eastAsia="ar-SA"/>
        </w:rPr>
        <w:t>erefore,</w:t>
      </w:r>
      <w:r w:rsidRPr="000568AE">
        <w:rPr>
          <w:lang w:eastAsia="ar-SA"/>
        </w:rPr>
        <w:t xml:space="preserve"> the official warning </w:t>
      </w:r>
      <w:r w:rsidR="00816E8C">
        <w:rPr>
          <w:lang w:val="en-US" w:eastAsia="ar-SA"/>
        </w:rPr>
        <w:t>issued by</w:t>
      </w:r>
      <w:r w:rsidR="00816E8C" w:rsidRPr="000568AE">
        <w:rPr>
          <w:lang w:eastAsia="ar-SA"/>
        </w:rPr>
        <w:t xml:space="preserve"> </w:t>
      </w:r>
      <w:r w:rsidRPr="000568AE">
        <w:rPr>
          <w:lang w:eastAsia="ar-SA"/>
        </w:rPr>
        <w:t xml:space="preserve">the </w:t>
      </w:r>
      <w:r w:rsidRPr="00C81B69">
        <w:rPr>
          <w:lang w:eastAsia="ar-SA"/>
        </w:rPr>
        <w:t>Office</w:t>
      </w:r>
      <w:r w:rsidR="00C81B69">
        <w:rPr>
          <w:lang w:val="en-US" w:eastAsia="ar-SA"/>
        </w:rPr>
        <w:t xml:space="preserve"> of the Procurator</w:t>
      </w:r>
      <w:r w:rsidR="00816E8C" w:rsidRPr="00C81B69">
        <w:rPr>
          <w:lang w:val="en-US" w:eastAsia="ar-SA"/>
        </w:rPr>
        <w:t>-General</w:t>
      </w:r>
      <w:r w:rsidRPr="000568AE">
        <w:rPr>
          <w:lang w:eastAsia="ar-SA"/>
        </w:rPr>
        <w:t xml:space="preserve"> based on domestic laws, which </w:t>
      </w:r>
      <w:r w:rsidR="00816E8C">
        <w:rPr>
          <w:lang w:val="en-US" w:eastAsia="ar-SA"/>
        </w:rPr>
        <w:t>provide for</w:t>
      </w:r>
      <w:r w:rsidR="00816E8C" w:rsidRPr="000568AE">
        <w:rPr>
          <w:lang w:eastAsia="ar-SA"/>
        </w:rPr>
        <w:t xml:space="preserve"> </w:t>
      </w:r>
      <w:r w:rsidRPr="000568AE">
        <w:rPr>
          <w:lang w:eastAsia="ar-SA"/>
        </w:rPr>
        <w:t xml:space="preserve">criminal charges for </w:t>
      </w:r>
      <w:r w:rsidR="00816E8C">
        <w:rPr>
          <w:lang w:val="en-US" w:eastAsia="ar-SA"/>
        </w:rPr>
        <w:t>conducting</w:t>
      </w:r>
      <w:r w:rsidR="00816E8C" w:rsidRPr="000568AE">
        <w:rPr>
          <w:lang w:eastAsia="ar-SA"/>
        </w:rPr>
        <w:t xml:space="preserve"> </w:t>
      </w:r>
      <w:r w:rsidRPr="000568AE">
        <w:rPr>
          <w:lang w:eastAsia="ar-SA"/>
        </w:rPr>
        <w:t xml:space="preserve">activities </w:t>
      </w:r>
      <w:r w:rsidR="00816E8C">
        <w:rPr>
          <w:lang w:val="en-US" w:eastAsia="ar-SA"/>
        </w:rPr>
        <w:t xml:space="preserve">on behalf </w:t>
      </w:r>
      <w:r w:rsidRPr="000568AE">
        <w:rPr>
          <w:lang w:eastAsia="ar-SA"/>
        </w:rPr>
        <w:t xml:space="preserve">of an unregistered organization, </w:t>
      </w:r>
      <w:r>
        <w:rPr>
          <w:lang w:eastAsia="ar-SA"/>
        </w:rPr>
        <w:t xml:space="preserve">also violated </w:t>
      </w:r>
      <w:r w:rsidR="00B02A93">
        <w:rPr>
          <w:lang w:val="en-US" w:eastAsia="ar-SA"/>
        </w:rPr>
        <w:t>the</w:t>
      </w:r>
      <w:r w:rsidR="00B02A93" w:rsidRPr="000568AE">
        <w:rPr>
          <w:lang w:eastAsia="ar-SA"/>
        </w:rPr>
        <w:t xml:space="preserve"> </w:t>
      </w:r>
      <w:r w:rsidRPr="000568AE">
        <w:rPr>
          <w:lang w:eastAsia="ar-SA"/>
        </w:rPr>
        <w:t xml:space="preserve">rights </w:t>
      </w:r>
      <w:r w:rsidR="00B02A93">
        <w:rPr>
          <w:lang w:val="en-US" w:eastAsia="ar-SA"/>
        </w:rPr>
        <w:t xml:space="preserve">of the author’s husband that are </w:t>
      </w:r>
      <w:r w:rsidRPr="000568AE">
        <w:rPr>
          <w:lang w:eastAsia="ar-SA"/>
        </w:rPr>
        <w:t xml:space="preserve">guaranteed under </w:t>
      </w:r>
      <w:r w:rsidR="00A12481">
        <w:rPr>
          <w:lang w:eastAsia="ar-SA"/>
        </w:rPr>
        <w:t>article </w:t>
      </w:r>
      <w:r w:rsidRPr="000568AE">
        <w:rPr>
          <w:lang w:eastAsia="ar-SA"/>
        </w:rPr>
        <w:t>22</w:t>
      </w:r>
      <w:r>
        <w:rPr>
          <w:lang w:eastAsia="ar-SA"/>
        </w:rPr>
        <w:t xml:space="preserve">, </w:t>
      </w:r>
      <w:r w:rsidR="00A12481">
        <w:rPr>
          <w:lang w:eastAsia="ar-SA"/>
        </w:rPr>
        <w:t>paragraph </w:t>
      </w:r>
      <w:r>
        <w:rPr>
          <w:lang w:eastAsia="ar-SA"/>
        </w:rPr>
        <w:t>1</w:t>
      </w:r>
      <w:r w:rsidR="00816E8C">
        <w:rPr>
          <w:lang w:val="en-US" w:eastAsia="ar-SA"/>
        </w:rPr>
        <w:t>,</w:t>
      </w:r>
      <w:r w:rsidRPr="000568AE">
        <w:rPr>
          <w:lang w:eastAsia="ar-SA"/>
        </w:rPr>
        <w:t xml:space="preserve"> of the Covenant.</w:t>
      </w:r>
    </w:p>
    <w:p w:rsidR="00075FA7" w:rsidRDefault="00075FA7" w:rsidP="002A48AC">
      <w:pPr>
        <w:pStyle w:val="SingleTxtG"/>
        <w:rPr>
          <w:lang w:eastAsia="ar-SA"/>
        </w:rPr>
      </w:pPr>
      <w:r>
        <w:rPr>
          <w:lang w:eastAsia="ar-SA"/>
        </w:rPr>
        <w:t>3.4</w:t>
      </w:r>
      <w:r>
        <w:rPr>
          <w:lang w:eastAsia="ar-SA"/>
        </w:rPr>
        <w:tab/>
      </w:r>
      <w:r>
        <w:rPr>
          <w:bCs/>
          <w:lang w:eastAsia="ar-SA"/>
        </w:rPr>
        <w:t xml:space="preserve">The author maintains that </w:t>
      </w:r>
      <w:r w:rsidRPr="000568AE">
        <w:rPr>
          <w:bCs/>
          <w:lang w:eastAsia="ar-SA"/>
        </w:rPr>
        <w:t xml:space="preserve">the verdict and </w:t>
      </w:r>
      <w:r>
        <w:rPr>
          <w:bCs/>
          <w:lang w:eastAsia="ar-SA"/>
        </w:rPr>
        <w:t>sentence</w:t>
      </w:r>
      <w:r w:rsidRPr="000568AE">
        <w:rPr>
          <w:bCs/>
          <w:lang w:eastAsia="ar-SA"/>
        </w:rPr>
        <w:t xml:space="preserve"> for activities related to exercising the right of free association</w:t>
      </w:r>
      <w:r>
        <w:rPr>
          <w:lang w:eastAsia="ar-SA"/>
        </w:rPr>
        <w:t xml:space="preserve"> established in </w:t>
      </w:r>
      <w:r w:rsidR="00A12481">
        <w:rPr>
          <w:lang w:eastAsia="ar-SA"/>
        </w:rPr>
        <w:t>article </w:t>
      </w:r>
      <w:r w:rsidRPr="000568AE">
        <w:rPr>
          <w:lang w:eastAsia="ar-SA"/>
        </w:rPr>
        <w:t>22</w:t>
      </w:r>
      <w:r>
        <w:rPr>
          <w:lang w:eastAsia="ar-SA"/>
        </w:rPr>
        <w:t xml:space="preserve">, </w:t>
      </w:r>
      <w:r w:rsidR="00A12481">
        <w:rPr>
          <w:lang w:eastAsia="ar-SA"/>
        </w:rPr>
        <w:t>paragraph </w:t>
      </w:r>
      <w:r>
        <w:rPr>
          <w:lang w:eastAsia="ar-SA"/>
        </w:rPr>
        <w:t>1</w:t>
      </w:r>
      <w:r w:rsidR="00D416EE">
        <w:rPr>
          <w:lang w:val="en-US" w:eastAsia="ar-SA"/>
        </w:rPr>
        <w:t>,</w:t>
      </w:r>
      <w:r w:rsidRPr="000568AE">
        <w:rPr>
          <w:lang w:eastAsia="ar-SA"/>
        </w:rPr>
        <w:t xml:space="preserve"> of the Covenant, </w:t>
      </w:r>
      <w:r>
        <w:rPr>
          <w:lang w:eastAsia="ar-SA"/>
        </w:rPr>
        <w:t>constitute</w:t>
      </w:r>
      <w:r w:rsidRPr="000568AE">
        <w:rPr>
          <w:lang w:eastAsia="ar-SA"/>
        </w:rPr>
        <w:t xml:space="preserve"> a limitation of that right, and as such, must meet the conditions</w:t>
      </w:r>
      <w:r>
        <w:rPr>
          <w:lang w:eastAsia="ar-SA"/>
        </w:rPr>
        <w:t xml:space="preserve"> set in </w:t>
      </w:r>
      <w:r w:rsidR="00A12481">
        <w:rPr>
          <w:lang w:eastAsia="ar-SA"/>
        </w:rPr>
        <w:t>article </w:t>
      </w:r>
      <w:r w:rsidRPr="000568AE">
        <w:rPr>
          <w:lang w:eastAsia="ar-SA"/>
        </w:rPr>
        <w:t>22</w:t>
      </w:r>
      <w:r>
        <w:rPr>
          <w:lang w:eastAsia="ar-SA"/>
        </w:rPr>
        <w:t xml:space="preserve">, </w:t>
      </w:r>
      <w:r w:rsidR="00A12481">
        <w:rPr>
          <w:lang w:eastAsia="ar-SA"/>
        </w:rPr>
        <w:t>paragraph </w:t>
      </w:r>
      <w:r>
        <w:rPr>
          <w:lang w:eastAsia="ar-SA"/>
        </w:rPr>
        <w:t>2</w:t>
      </w:r>
      <w:r w:rsidRPr="000568AE">
        <w:rPr>
          <w:lang w:eastAsia="ar-SA"/>
        </w:rPr>
        <w:t xml:space="preserve">. The </w:t>
      </w:r>
      <w:r w:rsidRPr="00F4101B">
        <w:t>question</w:t>
      </w:r>
      <w:r w:rsidRPr="000568AE">
        <w:rPr>
          <w:lang w:eastAsia="ar-SA"/>
        </w:rPr>
        <w:t xml:space="preserve"> is whether the personal punishment of the head of the association on charges of non-payment of taxes </w:t>
      </w:r>
      <w:r w:rsidR="00D416EE">
        <w:rPr>
          <w:lang w:val="en-US" w:eastAsia="ar-SA"/>
        </w:rPr>
        <w:t>on the funds</w:t>
      </w:r>
      <w:r w:rsidRPr="000568AE">
        <w:rPr>
          <w:lang w:eastAsia="ar-SA"/>
        </w:rPr>
        <w:t xml:space="preserve"> received and spent for the goals of the </w:t>
      </w:r>
      <w:r w:rsidRPr="000568AE">
        <w:rPr>
          <w:lang w:eastAsia="ar-SA"/>
        </w:rPr>
        <w:lastRenderedPageBreak/>
        <w:t>association equal</w:t>
      </w:r>
      <w:r>
        <w:rPr>
          <w:lang w:eastAsia="ar-SA"/>
        </w:rPr>
        <w:t>s a</w:t>
      </w:r>
      <w:r w:rsidRPr="000568AE">
        <w:rPr>
          <w:lang w:eastAsia="ar-SA"/>
        </w:rPr>
        <w:t xml:space="preserve"> violation of the right to free association.</w:t>
      </w:r>
      <w:r w:rsidR="00A12481">
        <w:rPr>
          <w:lang w:eastAsia="ar-SA"/>
        </w:rPr>
        <w:t xml:space="preserve"> </w:t>
      </w:r>
      <w:r w:rsidRPr="000568AE">
        <w:rPr>
          <w:lang w:eastAsia="ar-SA"/>
        </w:rPr>
        <w:t xml:space="preserve">The </w:t>
      </w:r>
      <w:r w:rsidR="00D416EE" w:rsidRPr="000568AE">
        <w:rPr>
          <w:lang w:eastAsia="ar-SA"/>
        </w:rPr>
        <w:t>Viasna</w:t>
      </w:r>
      <w:r w:rsidR="00D416EE">
        <w:rPr>
          <w:lang w:val="en-US" w:eastAsia="ar-SA"/>
        </w:rPr>
        <w:t xml:space="preserve"> </w:t>
      </w:r>
      <w:r>
        <w:rPr>
          <w:lang w:eastAsia="ar-SA"/>
        </w:rPr>
        <w:t>a</w:t>
      </w:r>
      <w:r w:rsidRPr="000568AE">
        <w:rPr>
          <w:lang w:eastAsia="ar-SA"/>
        </w:rPr>
        <w:t>ssociation was deprived of the opportunity to open bank accounts, accumul</w:t>
      </w:r>
      <w:r>
        <w:rPr>
          <w:lang w:eastAsia="ar-SA"/>
        </w:rPr>
        <w:t xml:space="preserve">ate financial </w:t>
      </w:r>
      <w:r w:rsidR="00CD028A">
        <w:rPr>
          <w:lang w:val="en-US" w:eastAsia="ar-SA"/>
        </w:rPr>
        <w:t>resources</w:t>
      </w:r>
      <w:r w:rsidR="00CD028A">
        <w:rPr>
          <w:lang w:eastAsia="ar-SA"/>
        </w:rPr>
        <w:t xml:space="preserve"> </w:t>
      </w:r>
      <w:r>
        <w:rPr>
          <w:lang w:eastAsia="ar-SA"/>
        </w:rPr>
        <w:t>i</w:t>
      </w:r>
      <w:r w:rsidRPr="000568AE">
        <w:rPr>
          <w:lang w:eastAsia="ar-SA"/>
        </w:rPr>
        <w:t xml:space="preserve">n them and pay taxes (or be exempt from taxes) as a result of </w:t>
      </w:r>
      <w:r>
        <w:rPr>
          <w:lang w:eastAsia="ar-SA"/>
        </w:rPr>
        <w:t>its</w:t>
      </w:r>
      <w:r w:rsidRPr="000568AE">
        <w:rPr>
          <w:lang w:eastAsia="ar-SA"/>
        </w:rPr>
        <w:t xml:space="preserve"> deprivation of legal status </w:t>
      </w:r>
      <w:r w:rsidR="00D416EE">
        <w:rPr>
          <w:lang w:val="en-US" w:eastAsia="ar-SA"/>
        </w:rPr>
        <w:t>through its</w:t>
      </w:r>
      <w:r w:rsidRPr="000568AE">
        <w:rPr>
          <w:lang w:eastAsia="ar-SA"/>
        </w:rPr>
        <w:t xml:space="preserve"> unlawful dissol</w:t>
      </w:r>
      <w:r w:rsidR="00D416EE">
        <w:rPr>
          <w:lang w:val="en-US" w:eastAsia="ar-SA"/>
        </w:rPr>
        <w:t>ution</w:t>
      </w:r>
      <w:r w:rsidRPr="000568AE">
        <w:rPr>
          <w:lang w:eastAsia="ar-SA"/>
        </w:rPr>
        <w:t xml:space="preserve"> in 2003 and </w:t>
      </w:r>
      <w:r w:rsidR="00D416EE">
        <w:rPr>
          <w:lang w:val="en-US" w:eastAsia="ar-SA"/>
        </w:rPr>
        <w:t>the denial of</w:t>
      </w:r>
      <w:r w:rsidRPr="000568AE">
        <w:rPr>
          <w:lang w:eastAsia="ar-SA"/>
        </w:rPr>
        <w:t xml:space="preserve"> government registration in 2007 and 2009. </w:t>
      </w:r>
      <w:r w:rsidR="00F563AE" w:rsidRPr="00C4646C">
        <w:rPr>
          <w:lang w:eastAsia="ar-SA"/>
        </w:rPr>
        <w:t>Further</w:t>
      </w:r>
      <w:r w:rsidR="00D416EE">
        <w:rPr>
          <w:lang w:eastAsia="ar-SA"/>
        </w:rPr>
        <w:t>more</w:t>
      </w:r>
      <w:r w:rsidR="00F563AE" w:rsidRPr="00C4646C">
        <w:rPr>
          <w:lang w:eastAsia="ar-SA"/>
        </w:rPr>
        <w:t xml:space="preserve">, even if </w:t>
      </w:r>
      <w:r w:rsidR="00F563AE">
        <w:rPr>
          <w:lang w:eastAsia="ar-SA"/>
        </w:rPr>
        <w:t xml:space="preserve">an </w:t>
      </w:r>
      <w:r w:rsidR="00F563AE" w:rsidRPr="00C4646C">
        <w:rPr>
          <w:lang w:eastAsia="ar-SA"/>
        </w:rPr>
        <w:t>association</w:t>
      </w:r>
      <w:r w:rsidR="00F563AE">
        <w:rPr>
          <w:lang w:eastAsia="ar-SA"/>
        </w:rPr>
        <w:t xml:space="preserve"> </w:t>
      </w:r>
      <w:r w:rsidR="00D416EE">
        <w:rPr>
          <w:lang w:eastAsia="ar-SA"/>
        </w:rPr>
        <w:t>is registered with the</w:t>
      </w:r>
      <w:r w:rsidR="00F563AE">
        <w:rPr>
          <w:lang w:eastAsia="ar-SA"/>
        </w:rPr>
        <w:t xml:space="preserve"> </w:t>
      </w:r>
      <w:r w:rsidR="00D416EE">
        <w:rPr>
          <w:lang w:eastAsia="ar-SA"/>
        </w:rPr>
        <w:t>S</w:t>
      </w:r>
      <w:r w:rsidR="00F563AE">
        <w:rPr>
          <w:lang w:eastAsia="ar-SA"/>
        </w:rPr>
        <w:t xml:space="preserve">tate, it is prohibited from opening accounts in foreign banks. </w:t>
      </w:r>
      <w:r w:rsidRPr="000568AE">
        <w:rPr>
          <w:lang w:eastAsia="ar-SA"/>
        </w:rPr>
        <w:t xml:space="preserve">Moreover, Belarusian legislation contains a </w:t>
      </w:r>
      <w:r w:rsidRPr="007C1A02">
        <w:rPr>
          <w:iCs/>
          <w:lang w:eastAsia="ar-SA"/>
        </w:rPr>
        <w:t>de facto</w:t>
      </w:r>
      <w:r w:rsidRPr="000568AE">
        <w:rPr>
          <w:lang w:eastAsia="ar-SA"/>
        </w:rPr>
        <w:t xml:space="preserve"> prohibition </w:t>
      </w:r>
      <w:r w:rsidR="00D416EE">
        <w:rPr>
          <w:lang w:val="en-US" w:eastAsia="ar-SA"/>
        </w:rPr>
        <w:t>on</w:t>
      </w:r>
      <w:r w:rsidRPr="000568AE">
        <w:rPr>
          <w:lang w:eastAsia="ar-SA"/>
        </w:rPr>
        <w:t xml:space="preserve"> receiv</w:t>
      </w:r>
      <w:r w:rsidR="00D416EE">
        <w:rPr>
          <w:lang w:val="en-US" w:eastAsia="ar-SA"/>
        </w:rPr>
        <w:t>ing</w:t>
      </w:r>
      <w:r w:rsidRPr="000568AE">
        <w:rPr>
          <w:lang w:eastAsia="ar-SA"/>
        </w:rPr>
        <w:t xml:space="preserve"> </w:t>
      </w:r>
      <w:r>
        <w:rPr>
          <w:lang w:eastAsia="ar-SA"/>
        </w:rPr>
        <w:t>funds</w:t>
      </w:r>
      <w:r w:rsidRPr="000568AE">
        <w:rPr>
          <w:lang w:eastAsia="ar-SA"/>
        </w:rPr>
        <w:t xml:space="preserve"> from abroad for the purposes of human rights activit</w:t>
      </w:r>
      <w:r>
        <w:rPr>
          <w:lang w:eastAsia="ar-SA"/>
        </w:rPr>
        <w:t>ies</w:t>
      </w:r>
      <w:r w:rsidRPr="000568AE">
        <w:rPr>
          <w:lang w:eastAsia="ar-SA"/>
        </w:rPr>
        <w:t xml:space="preserve">, </w:t>
      </w:r>
      <w:r>
        <w:rPr>
          <w:lang w:eastAsia="ar-SA"/>
        </w:rPr>
        <w:t>equating</w:t>
      </w:r>
      <w:r w:rsidRPr="000568AE">
        <w:rPr>
          <w:lang w:eastAsia="ar-SA"/>
        </w:rPr>
        <w:t xml:space="preserve"> all foreign donations to </w:t>
      </w:r>
      <w:r>
        <w:rPr>
          <w:lang w:eastAsia="ar-SA"/>
        </w:rPr>
        <w:t>humanitarian</w:t>
      </w:r>
      <w:r w:rsidRPr="000568AE">
        <w:rPr>
          <w:lang w:eastAsia="ar-SA"/>
        </w:rPr>
        <w:t xml:space="preserve"> aid</w:t>
      </w:r>
      <w:r>
        <w:rPr>
          <w:lang w:eastAsia="ar-SA"/>
        </w:rPr>
        <w:t xml:space="preserve"> that may</w:t>
      </w:r>
      <w:r w:rsidRPr="000568AE">
        <w:rPr>
          <w:lang w:eastAsia="ar-SA"/>
        </w:rPr>
        <w:t xml:space="preserve"> be received and used only for a limited list of purposes, which does</w:t>
      </w:r>
      <w:r w:rsidR="00D416EE">
        <w:rPr>
          <w:lang w:val="en-US" w:eastAsia="ar-SA"/>
        </w:rPr>
        <w:t xml:space="preserve"> not</w:t>
      </w:r>
      <w:r w:rsidRPr="000568AE">
        <w:rPr>
          <w:lang w:eastAsia="ar-SA"/>
        </w:rPr>
        <w:t xml:space="preserve"> include human rights activities</w:t>
      </w:r>
      <w:r w:rsidR="00D416EE">
        <w:rPr>
          <w:lang w:val="en-US" w:eastAsia="ar-SA"/>
        </w:rPr>
        <w:t>.</w:t>
      </w:r>
      <w:r>
        <w:rPr>
          <w:rStyle w:val="FootnoteReference"/>
          <w:lang w:eastAsia="ar-SA"/>
        </w:rPr>
        <w:footnoteReference w:id="10"/>
      </w:r>
      <w:r w:rsidRPr="000568AE">
        <w:rPr>
          <w:lang w:eastAsia="ar-SA"/>
        </w:rPr>
        <w:t xml:space="preserve"> Thus, </w:t>
      </w:r>
      <w:r w:rsidRPr="000568AE">
        <w:rPr>
          <w:rFonts w:eastAsia="Arial Unicode MS"/>
          <w:lang w:eastAsia="ar-SA"/>
        </w:rPr>
        <w:t xml:space="preserve">the </w:t>
      </w:r>
      <w:r w:rsidR="004517F8">
        <w:rPr>
          <w:rFonts w:eastAsia="Arial Unicode MS"/>
          <w:lang w:val="en-US" w:eastAsia="ar-SA"/>
        </w:rPr>
        <w:t>G</w:t>
      </w:r>
      <w:r w:rsidRPr="000568AE">
        <w:rPr>
          <w:rFonts w:eastAsia="Arial Unicode MS"/>
          <w:lang w:eastAsia="ar-SA"/>
        </w:rPr>
        <w:t xml:space="preserve">overnment did not leave any </w:t>
      </w:r>
      <w:r w:rsidR="00D67A41">
        <w:rPr>
          <w:rFonts w:eastAsia="Arial Unicode MS"/>
          <w:lang w:val="en-US" w:eastAsia="ar-SA"/>
        </w:rPr>
        <w:t>way</w:t>
      </w:r>
      <w:r w:rsidR="00D67A41" w:rsidRPr="000568AE">
        <w:rPr>
          <w:rFonts w:eastAsia="Arial Unicode MS"/>
          <w:lang w:eastAsia="ar-SA"/>
        </w:rPr>
        <w:t xml:space="preserve"> </w:t>
      </w:r>
      <w:r w:rsidRPr="000568AE">
        <w:rPr>
          <w:rFonts w:eastAsia="Arial Unicode MS"/>
          <w:lang w:eastAsia="ar-SA"/>
        </w:rPr>
        <w:t xml:space="preserve">for the association or its members to raise funding for human rights activities from abroad, </w:t>
      </w:r>
      <w:r w:rsidR="00D67A41">
        <w:rPr>
          <w:rFonts w:eastAsia="Arial Unicode MS"/>
          <w:lang w:val="en-US" w:eastAsia="ar-SA"/>
        </w:rPr>
        <w:t xml:space="preserve">other </w:t>
      </w:r>
      <w:r w:rsidRPr="000568AE">
        <w:rPr>
          <w:rFonts w:eastAsia="Arial Unicode MS"/>
          <w:lang w:eastAsia="ar-SA"/>
        </w:rPr>
        <w:t>than to use personal accounts opened abroad to receive the money. It is specifically for th</w:t>
      </w:r>
      <w:r w:rsidR="004517F8">
        <w:rPr>
          <w:rFonts w:eastAsia="Arial Unicode MS"/>
          <w:lang w:val="en-US" w:eastAsia="ar-SA"/>
        </w:rPr>
        <w:t>at</w:t>
      </w:r>
      <w:r w:rsidRPr="000568AE">
        <w:rPr>
          <w:rFonts w:eastAsia="Arial Unicode MS"/>
          <w:lang w:eastAsia="ar-SA"/>
        </w:rPr>
        <w:t xml:space="preserve"> activity that </w:t>
      </w:r>
      <w:r>
        <w:rPr>
          <w:rFonts w:eastAsia="Arial Unicode MS"/>
          <w:lang w:eastAsia="ar-SA"/>
        </w:rPr>
        <w:t>the author’s husband</w:t>
      </w:r>
      <w:r w:rsidRPr="000568AE">
        <w:rPr>
          <w:rFonts w:eastAsia="Arial Unicode MS"/>
          <w:lang w:eastAsia="ar-SA"/>
        </w:rPr>
        <w:t xml:space="preserve"> has been sentenced to a </w:t>
      </w:r>
      <w:r>
        <w:rPr>
          <w:rFonts w:eastAsia="Arial Unicode MS"/>
          <w:lang w:eastAsia="ar-SA"/>
        </w:rPr>
        <w:t xml:space="preserve">lengthy term of incarceration. </w:t>
      </w:r>
      <w:r w:rsidR="00F563AE" w:rsidRPr="00F4101B">
        <w:rPr>
          <w:rFonts w:eastAsia="Arial Unicode MS"/>
          <w:lang w:eastAsia="ar-SA"/>
        </w:rPr>
        <w:t xml:space="preserve">The criminal prosecution and conviction against him are aimed at intimidating those </w:t>
      </w:r>
      <w:r w:rsidR="004517F8">
        <w:rPr>
          <w:rFonts w:eastAsia="Arial Unicode MS"/>
          <w:lang w:eastAsia="ar-SA"/>
        </w:rPr>
        <w:t>who</w:t>
      </w:r>
      <w:r w:rsidR="00F563AE" w:rsidRPr="00F4101B">
        <w:rPr>
          <w:rFonts w:eastAsia="Arial Unicode MS"/>
          <w:lang w:eastAsia="ar-SA"/>
        </w:rPr>
        <w:t xml:space="preserve"> engage or intend to engage in human rights activities. </w:t>
      </w:r>
      <w:r w:rsidR="00363732">
        <w:rPr>
          <w:rFonts w:eastAsia="Arial Unicode MS"/>
          <w:lang w:val="en-US" w:eastAsia="ar-SA"/>
        </w:rPr>
        <w:t>U</w:t>
      </w:r>
      <w:r>
        <w:rPr>
          <w:lang w:eastAsia="ar-SA"/>
        </w:rPr>
        <w:t xml:space="preserve">nder </w:t>
      </w:r>
      <w:r w:rsidR="00A12481">
        <w:rPr>
          <w:lang w:eastAsia="ar-SA"/>
        </w:rPr>
        <w:t>article </w:t>
      </w:r>
      <w:r>
        <w:rPr>
          <w:lang w:eastAsia="ar-SA"/>
        </w:rPr>
        <w:t xml:space="preserve">2 of the Covenant, </w:t>
      </w:r>
      <w:r w:rsidRPr="000568AE">
        <w:rPr>
          <w:lang w:eastAsia="ar-SA"/>
        </w:rPr>
        <w:t xml:space="preserve">the </w:t>
      </w:r>
      <w:r>
        <w:rPr>
          <w:lang w:eastAsia="ar-SA"/>
        </w:rPr>
        <w:t>S</w:t>
      </w:r>
      <w:r w:rsidRPr="000568AE">
        <w:rPr>
          <w:lang w:eastAsia="ar-SA"/>
        </w:rPr>
        <w:t>tate</w:t>
      </w:r>
      <w:r>
        <w:rPr>
          <w:lang w:eastAsia="ar-SA"/>
        </w:rPr>
        <w:t xml:space="preserve"> party</w:t>
      </w:r>
      <w:r w:rsidRPr="000568AE">
        <w:rPr>
          <w:lang w:eastAsia="ar-SA"/>
        </w:rPr>
        <w:t xml:space="preserve"> is obliged to use all administrative and legislative measures </w:t>
      </w:r>
      <w:r w:rsidR="00363732">
        <w:rPr>
          <w:lang w:val="en-US" w:eastAsia="ar-SA"/>
        </w:rPr>
        <w:t xml:space="preserve">necessary </w:t>
      </w:r>
      <w:r w:rsidRPr="000568AE">
        <w:rPr>
          <w:lang w:eastAsia="ar-SA"/>
        </w:rPr>
        <w:t xml:space="preserve">to </w:t>
      </w:r>
      <w:r w:rsidR="00363732">
        <w:rPr>
          <w:lang w:val="en-US" w:eastAsia="ar-SA"/>
        </w:rPr>
        <w:t>give effect to</w:t>
      </w:r>
      <w:r w:rsidR="00363732" w:rsidRPr="000568AE">
        <w:rPr>
          <w:lang w:eastAsia="ar-SA"/>
        </w:rPr>
        <w:t xml:space="preserve"> </w:t>
      </w:r>
      <w:r w:rsidRPr="000568AE">
        <w:rPr>
          <w:lang w:eastAsia="ar-SA"/>
        </w:rPr>
        <w:t>the rig</w:t>
      </w:r>
      <w:r>
        <w:rPr>
          <w:lang w:eastAsia="ar-SA"/>
        </w:rPr>
        <w:t xml:space="preserve">hts that are </w:t>
      </w:r>
      <w:r w:rsidR="00363732">
        <w:rPr>
          <w:lang w:val="en-US" w:eastAsia="ar-SA"/>
        </w:rPr>
        <w:t>recognized in the Covenant</w:t>
      </w:r>
      <w:r w:rsidRPr="000568AE">
        <w:rPr>
          <w:lang w:eastAsia="ar-SA"/>
        </w:rPr>
        <w:t xml:space="preserve">. The </w:t>
      </w:r>
      <w:r>
        <w:rPr>
          <w:lang w:eastAsia="ar-SA"/>
        </w:rPr>
        <w:t>S</w:t>
      </w:r>
      <w:r w:rsidRPr="000568AE">
        <w:rPr>
          <w:lang w:eastAsia="ar-SA"/>
        </w:rPr>
        <w:t>tate</w:t>
      </w:r>
      <w:r>
        <w:rPr>
          <w:lang w:eastAsia="ar-SA"/>
        </w:rPr>
        <w:t xml:space="preserve"> party may not</w:t>
      </w:r>
      <w:r w:rsidRPr="000568AE">
        <w:rPr>
          <w:lang w:eastAsia="ar-SA"/>
        </w:rPr>
        <w:t xml:space="preserve"> refer to its internal </w:t>
      </w:r>
      <w:r w:rsidR="00363732">
        <w:rPr>
          <w:lang w:val="en-US" w:eastAsia="ar-SA"/>
        </w:rPr>
        <w:t>law</w:t>
      </w:r>
      <w:r w:rsidR="00363732" w:rsidRPr="000568AE">
        <w:rPr>
          <w:lang w:eastAsia="ar-SA"/>
        </w:rPr>
        <w:t xml:space="preserve"> </w:t>
      </w:r>
      <w:r w:rsidR="00363732">
        <w:rPr>
          <w:lang w:val="en-US" w:eastAsia="ar-SA"/>
        </w:rPr>
        <w:t>as</w:t>
      </w:r>
      <w:r w:rsidR="00363732" w:rsidRPr="000568AE">
        <w:rPr>
          <w:lang w:eastAsia="ar-SA"/>
        </w:rPr>
        <w:t xml:space="preserve"> </w:t>
      </w:r>
      <w:r w:rsidRPr="000568AE">
        <w:rPr>
          <w:lang w:eastAsia="ar-SA"/>
        </w:rPr>
        <w:t>justif</w:t>
      </w:r>
      <w:r w:rsidR="00363732">
        <w:rPr>
          <w:lang w:val="en-US" w:eastAsia="ar-SA"/>
        </w:rPr>
        <w:t>ication for its failure to perform a</w:t>
      </w:r>
      <w:r w:rsidRPr="000568AE">
        <w:rPr>
          <w:lang w:eastAsia="ar-SA"/>
        </w:rPr>
        <w:t xml:space="preserve"> </w:t>
      </w:r>
      <w:r>
        <w:rPr>
          <w:lang w:eastAsia="ar-SA"/>
        </w:rPr>
        <w:t>treaty</w:t>
      </w:r>
      <w:r w:rsidRPr="000568AE">
        <w:rPr>
          <w:lang w:eastAsia="ar-SA"/>
        </w:rPr>
        <w:t>.</w:t>
      </w:r>
      <w:r w:rsidR="00363732">
        <w:rPr>
          <w:rStyle w:val="FootnoteReference"/>
          <w:lang w:eastAsia="ar-SA"/>
        </w:rPr>
        <w:footnoteReference w:id="11"/>
      </w:r>
      <w:r w:rsidRPr="000568AE">
        <w:rPr>
          <w:lang w:eastAsia="ar-SA"/>
        </w:rPr>
        <w:t xml:space="preserve"> Moreover, in th</w:t>
      </w:r>
      <w:r w:rsidR="00363732">
        <w:rPr>
          <w:lang w:val="en-US" w:eastAsia="ar-SA"/>
        </w:rPr>
        <w:t>e present</w:t>
      </w:r>
      <w:r w:rsidRPr="000568AE">
        <w:rPr>
          <w:lang w:eastAsia="ar-SA"/>
        </w:rPr>
        <w:t xml:space="preserve"> case the judicial organs of the </w:t>
      </w:r>
      <w:r w:rsidR="00D67A41">
        <w:rPr>
          <w:lang w:val="en-US" w:eastAsia="ar-SA"/>
        </w:rPr>
        <w:t>S</w:t>
      </w:r>
      <w:r w:rsidRPr="000568AE">
        <w:rPr>
          <w:lang w:eastAsia="ar-SA"/>
        </w:rPr>
        <w:t>tate did</w:t>
      </w:r>
      <w:r>
        <w:rPr>
          <w:lang w:eastAsia="ar-SA"/>
        </w:rPr>
        <w:t xml:space="preserve"> </w:t>
      </w:r>
      <w:r w:rsidRPr="000568AE">
        <w:rPr>
          <w:lang w:eastAsia="ar-SA"/>
        </w:rPr>
        <w:t>n</w:t>
      </w:r>
      <w:r>
        <w:rPr>
          <w:lang w:eastAsia="ar-SA"/>
        </w:rPr>
        <w:t>o</w:t>
      </w:r>
      <w:r w:rsidRPr="000568AE">
        <w:rPr>
          <w:lang w:eastAsia="ar-SA"/>
        </w:rPr>
        <w:t xml:space="preserve">t explain which of the </w:t>
      </w:r>
      <w:r>
        <w:rPr>
          <w:lang w:eastAsia="ar-SA"/>
        </w:rPr>
        <w:t>grounds</w:t>
      </w:r>
      <w:r w:rsidR="00363732">
        <w:rPr>
          <w:lang w:val="en-US" w:eastAsia="ar-SA"/>
        </w:rPr>
        <w:t xml:space="preserve"> referred to in</w:t>
      </w:r>
      <w:r w:rsidRPr="000568AE">
        <w:rPr>
          <w:lang w:eastAsia="ar-SA"/>
        </w:rPr>
        <w:t xml:space="preserve"> </w:t>
      </w:r>
      <w:r w:rsidR="00A12481">
        <w:rPr>
          <w:lang w:eastAsia="ar-SA"/>
        </w:rPr>
        <w:t>article </w:t>
      </w:r>
      <w:r w:rsidRPr="000568AE">
        <w:rPr>
          <w:lang w:eastAsia="ar-SA"/>
        </w:rPr>
        <w:t>22</w:t>
      </w:r>
      <w:r>
        <w:rPr>
          <w:lang w:eastAsia="ar-SA"/>
        </w:rPr>
        <w:t xml:space="preserve">, </w:t>
      </w:r>
      <w:r w:rsidR="00A12481">
        <w:rPr>
          <w:lang w:eastAsia="ar-SA"/>
        </w:rPr>
        <w:t>paragraph </w:t>
      </w:r>
      <w:r>
        <w:rPr>
          <w:lang w:eastAsia="ar-SA"/>
        </w:rPr>
        <w:t>2</w:t>
      </w:r>
      <w:r w:rsidR="00363732">
        <w:rPr>
          <w:lang w:val="en-US" w:eastAsia="ar-SA"/>
        </w:rPr>
        <w:t>,</w:t>
      </w:r>
      <w:r>
        <w:rPr>
          <w:lang w:eastAsia="ar-SA"/>
        </w:rPr>
        <w:t xml:space="preserve"> </w:t>
      </w:r>
      <w:r w:rsidRPr="000568AE">
        <w:rPr>
          <w:lang w:eastAsia="ar-SA"/>
        </w:rPr>
        <w:t xml:space="preserve">of the </w:t>
      </w:r>
      <w:r>
        <w:rPr>
          <w:lang w:eastAsia="ar-SA"/>
        </w:rPr>
        <w:t>Covenant,</w:t>
      </w:r>
      <w:r w:rsidRPr="000568AE">
        <w:rPr>
          <w:lang w:eastAsia="ar-SA"/>
        </w:rPr>
        <w:t xml:space="preserve"> necessit</w:t>
      </w:r>
      <w:r>
        <w:rPr>
          <w:lang w:eastAsia="ar-SA"/>
        </w:rPr>
        <w:t>ated</w:t>
      </w:r>
      <w:r w:rsidRPr="000568AE">
        <w:rPr>
          <w:lang w:eastAsia="ar-SA"/>
        </w:rPr>
        <w:t xml:space="preserve"> issu</w:t>
      </w:r>
      <w:r>
        <w:rPr>
          <w:lang w:eastAsia="ar-SA"/>
        </w:rPr>
        <w:t>ing</w:t>
      </w:r>
      <w:r w:rsidRPr="000568AE">
        <w:rPr>
          <w:lang w:eastAsia="ar-SA"/>
        </w:rPr>
        <w:t xml:space="preserve"> a criminal </w:t>
      </w:r>
      <w:r>
        <w:rPr>
          <w:lang w:eastAsia="ar-SA"/>
        </w:rPr>
        <w:t>conviction against the author’s husband</w:t>
      </w:r>
      <w:r w:rsidRPr="000568AE">
        <w:rPr>
          <w:lang w:eastAsia="ar-SA"/>
        </w:rPr>
        <w:t xml:space="preserve"> for </w:t>
      </w:r>
      <w:r>
        <w:rPr>
          <w:lang w:eastAsia="ar-SA"/>
        </w:rPr>
        <w:t>his</w:t>
      </w:r>
      <w:r w:rsidRPr="000568AE">
        <w:rPr>
          <w:lang w:eastAsia="ar-SA"/>
        </w:rPr>
        <w:t xml:space="preserve"> activities</w:t>
      </w:r>
      <w:r>
        <w:rPr>
          <w:lang w:eastAsia="ar-SA"/>
        </w:rPr>
        <w:t xml:space="preserve"> </w:t>
      </w:r>
      <w:r w:rsidRPr="000568AE">
        <w:rPr>
          <w:lang w:eastAsia="ar-SA"/>
        </w:rPr>
        <w:t xml:space="preserve">connected with financing the association. </w:t>
      </w:r>
      <w:r>
        <w:rPr>
          <w:lang w:eastAsia="ar-SA"/>
        </w:rPr>
        <w:t xml:space="preserve">Lastly, the author maintains that </w:t>
      </w:r>
      <w:r w:rsidRPr="000568AE">
        <w:rPr>
          <w:lang w:eastAsia="ar-SA"/>
        </w:rPr>
        <w:t xml:space="preserve">the punishment </w:t>
      </w:r>
      <w:r>
        <w:rPr>
          <w:lang w:eastAsia="ar-SA"/>
        </w:rPr>
        <w:t>imposed on her husband was not</w:t>
      </w:r>
      <w:r w:rsidRPr="000568AE">
        <w:rPr>
          <w:lang w:eastAsia="ar-SA"/>
        </w:rPr>
        <w:t xml:space="preserve"> commensur</w:t>
      </w:r>
      <w:r w:rsidR="00363732">
        <w:rPr>
          <w:lang w:val="en-US" w:eastAsia="ar-SA"/>
        </w:rPr>
        <w:t>ate with</w:t>
      </w:r>
      <w:r w:rsidRPr="000568AE">
        <w:rPr>
          <w:lang w:eastAsia="ar-SA"/>
        </w:rPr>
        <w:t xml:space="preserve"> </w:t>
      </w:r>
      <w:r>
        <w:rPr>
          <w:lang w:eastAsia="ar-SA"/>
        </w:rPr>
        <w:t>any of the goals stated by the S</w:t>
      </w:r>
      <w:r w:rsidRPr="000568AE">
        <w:rPr>
          <w:lang w:eastAsia="ar-SA"/>
        </w:rPr>
        <w:t>tate</w:t>
      </w:r>
      <w:r>
        <w:rPr>
          <w:lang w:eastAsia="ar-SA"/>
        </w:rPr>
        <w:t xml:space="preserve"> party</w:t>
      </w:r>
      <w:r w:rsidRPr="000568AE">
        <w:rPr>
          <w:lang w:eastAsia="ar-SA"/>
        </w:rPr>
        <w:t>, i.e.</w:t>
      </w:r>
      <w:r w:rsidR="00363732">
        <w:rPr>
          <w:lang w:val="en-US" w:eastAsia="ar-SA"/>
        </w:rPr>
        <w:t>,</w:t>
      </w:r>
      <w:r w:rsidRPr="000568AE">
        <w:rPr>
          <w:lang w:eastAsia="ar-SA"/>
        </w:rPr>
        <w:t xml:space="preserve"> </w:t>
      </w:r>
      <w:r>
        <w:rPr>
          <w:lang w:eastAsia="ar-SA"/>
        </w:rPr>
        <w:t>it wa</w:t>
      </w:r>
      <w:r w:rsidRPr="000568AE">
        <w:rPr>
          <w:lang w:eastAsia="ar-SA"/>
        </w:rPr>
        <w:t>s not necessary in a democratic society</w:t>
      </w:r>
      <w:r>
        <w:rPr>
          <w:lang w:eastAsia="ar-SA"/>
        </w:rPr>
        <w:t>.</w:t>
      </w:r>
    </w:p>
    <w:p w:rsidR="00075FA7" w:rsidRDefault="00075FA7" w:rsidP="001529FE">
      <w:pPr>
        <w:pStyle w:val="SingleTxtG"/>
        <w:rPr>
          <w:rFonts w:eastAsia="Verdana"/>
          <w:lang w:val="en-US"/>
        </w:rPr>
      </w:pPr>
      <w:r>
        <w:rPr>
          <w:lang w:eastAsia="ar-SA"/>
        </w:rPr>
        <w:t>3.5</w:t>
      </w:r>
      <w:r>
        <w:rPr>
          <w:lang w:eastAsia="ar-SA"/>
        </w:rPr>
        <w:tab/>
      </w:r>
      <w:r w:rsidRPr="00644049">
        <w:rPr>
          <w:rFonts w:eastAsia="Verdana"/>
          <w:lang w:val="en-US"/>
        </w:rPr>
        <w:t xml:space="preserve">In relation to the allegation </w:t>
      </w:r>
      <w:r w:rsidR="00C21C08">
        <w:rPr>
          <w:rFonts w:eastAsia="Verdana"/>
          <w:lang w:val="en-US"/>
        </w:rPr>
        <w:t>that</w:t>
      </w:r>
      <w:r w:rsidRPr="00644049">
        <w:rPr>
          <w:rFonts w:eastAsia="Verdana"/>
          <w:lang w:val="en-US"/>
        </w:rPr>
        <w:t xml:space="preserve"> her husband’s rights under </w:t>
      </w:r>
      <w:r w:rsidR="00A12481">
        <w:rPr>
          <w:rFonts w:eastAsia="Verdana"/>
          <w:lang w:val="en-US"/>
        </w:rPr>
        <w:t>article </w:t>
      </w:r>
      <w:r w:rsidRPr="00644049">
        <w:rPr>
          <w:rFonts w:eastAsia="Verdana"/>
          <w:lang w:val="en-US"/>
        </w:rPr>
        <w:t xml:space="preserve">14, </w:t>
      </w:r>
      <w:r w:rsidR="00A12481">
        <w:rPr>
          <w:rFonts w:eastAsia="Verdana"/>
          <w:lang w:val="en-US"/>
        </w:rPr>
        <w:t>paragraph </w:t>
      </w:r>
      <w:r w:rsidRPr="00644049">
        <w:rPr>
          <w:rFonts w:eastAsia="Verdana"/>
          <w:lang w:val="en-US"/>
        </w:rPr>
        <w:t xml:space="preserve">1, </w:t>
      </w:r>
      <w:r w:rsidR="00C21C08">
        <w:rPr>
          <w:rFonts w:eastAsia="Verdana"/>
          <w:lang w:val="en-US"/>
        </w:rPr>
        <w:t xml:space="preserve">of the Covenant have been violated, </w:t>
      </w:r>
      <w:r w:rsidRPr="00644049">
        <w:rPr>
          <w:rFonts w:eastAsia="Verdana"/>
          <w:lang w:val="en-US"/>
        </w:rPr>
        <w:t xml:space="preserve">the author submits that international institutions have repeatedly noted the systemic lack of independence of Belarusian courts, which is linked </w:t>
      </w:r>
      <w:r w:rsidR="00C21C08">
        <w:rPr>
          <w:rFonts w:eastAsia="Verdana"/>
          <w:lang w:val="en-US"/>
        </w:rPr>
        <w:t>to</w:t>
      </w:r>
      <w:r w:rsidR="00C21C08" w:rsidRPr="00644049">
        <w:rPr>
          <w:rFonts w:eastAsia="Verdana"/>
          <w:lang w:val="en-US"/>
        </w:rPr>
        <w:t xml:space="preserve"> </w:t>
      </w:r>
      <w:r w:rsidRPr="00644049">
        <w:rPr>
          <w:rFonts w:eastAsia="Verdana"/>
          <w:lang w:val="en-US"/>
        </w:rPr>
        <w:t xml:space="preserve">the complete control of the </w:t>
      </w:r>
      <w:r w:rsidRPr="00F4101B">
        <w:rPr>
          <w:rFonts w:eastAsia="Verdana"/>
        </w:rPr>
        <w:t>Executive</w:t>
      </w:r>
      <w:r w:rsidRPr="00644049">
        <w:rPr>
          <w:rFonts w:eastAsia="Verdana"/>
          <w:lang w:val="en-US"/>
        </w:rPr>
        <w:t xml:space="preserve"> Branch and the President of Belarus over the appoint</w:t>
      </w:r>
      <w:r w:rsidR="00C21C08">
        <w:rPr>
          <w:rFonts w:eastAsia="Verdana"/>
          <w:lang w:val="en-US"/>
        </w:rPr>
        <w:t>ment</w:t>
      </w:r>
      <w:r w:rsidRPr="00644049">
        <w:rPr>
          <w:rFonts w:eastAsia="Verdana"/>
          <w:lang w:val="en-US"/>
        </w:rPr>
        <w:t xml:space="preserve"> process</w:t>
      </w:r>
      <w:r w:rsidR="00967DE8">
        <w:rPr>
          <w:rFonts w:eastAsia="Verdana"/>
          <w:lang w:val="en-US"/>
        </w:rPr>
        <w:t xml:space="preserve"> for judges, </w:t>
      </w:r>
      <w:r w:rsidRPr="00644049">
        <w:rPr>
          <w:rFonts w:eastAsia="Verdana"/>
          <w:lang w:val="en-US"/>
        </w:rPr>
        <w:t xml:space="preserve">the length of </w:t>
      </w:r>
      <w:r w:rsidR="00967DE8">
        <w:rPr>
          <w:rFonts w:eastAsia="Verdana"/>
          <w:lang w:val="en-US"/>
        </w:rPr>
        <w:t xml:space="preserve">their </w:t>
      </w:r>
      <w:r w:rsidRPr="00644049">
        <w:rPr>
          <w:rFonts w:eastAsia="Verdana"/>
          <w:lang w:val="en-US"/>
        </w:rPr>
        <w:t>terms, sanction and termination</w:t>
      </w:r>
      <w:r w:rsidR="00967DE8">
        <w:rPr>
          <w:rFonts w:eastAsia="Verdana"/>
          <w:lang w:val="en-US"/>
        </w:rPr>
        <w:t xml:space="preserve"> procedures</w:t>
      </w:r>
      <w:r w:rsidRPr="00644049">
        <w:rPr>
          <w:rFonts w:eastAsia="Verdana"/>
          <w:lang w:val="en-US"/>
        </w:rPr>
        <w:t xml:space="preserve">, </w:t>
      </w:r>
      <w:r w:rsidR="00C21C08">
        <w:rPr>
          <w:rFonts w:eastAsia="Verdana"/>
          <w:lang w:val="en-US"/>
        </w:rPr>
        <w:t>a</w:t>
      </w:r>
      <w:r w:rsidR="00967DE8">
        <w:rPr>
          <w:rFonts w:eastAsia="Verdana"/>
          <w:lang w:val="en-US"/>
        </w:rPr>
        <w:t>nd</w:t>
      </w:r>
      <w:r w:rsidRPr="00644049">
        <w:rPr>
          <w:rFonts w:eastAsia="Verdana"/>
          <w:lang w:val="en-US"/>
        </w:rPr>
        <w:t xml:space="preserve"> the</w:t>
      </w:r>
      <w:r w:rsidR="00967DE8">
        <w:rPr>
          <w:rFonts w:eastAsia="Verdana"/>
          <w:lang w:val="en-US"/>
        </w:rPr>
        <w:t>ir</w:t>
      </w:r>
      <w:r w:rsidRPr="00644049">
        <w:rPr>
          <w:rFonts w:eastAsia="Verdana"/>
          <w:lang w:val="en-US"/>
        </w:rPr>
        <w:t xml:space="preserve"> funding. </w:t>
      </w:r>
      <w:r w:rsidR="00967DE8">
        <w:rPr>
          <w:rFonts w:eastAsia="Verdana"/>
          <w:lang w:val="en-US"/>
        </w:rPr>
        <w:t>Such institutions</w:t>
      </w:r>
      <w:r w:rsidR="00967DE8" w:rsidRPr="00644049">
        <w:rPr>
          <w:rFonts w:eastAsia="Verdana"/>
          <w:lang w:val="en-US"/>
        </w:rPr>
        <w:t xml:space="preserve"> </w:t>
      </w:r>
      <w:r w:rsidR="00967DE8">
        <w:rPr>
          <w:rFonts w:eastAsia="Verdana"/>
          <w:lang w:val="en-US"/>
        </w:rPr>
        <w:t xml:space="preserve">have </w:t>
      </w:r>
      <w:r w:rsidRPr="00644049">
        <w:rPr>
          <w:rFonts w:eastAsia="Verdana"/>
          <w:lang w:val="en-US"/>
        </w:rPr>
        <w:t>also noted the practical interference of the Executive Branch agencies in the activities of the courts and the biases of the courts in favo</w:t>
      </w:r>
      <w:r w:rsidR="00967DE8">
        <w:rPr>
          <w:rFonts w:eastAsia="Verdana"/>
          <w:lang w:val="en-US"/>
        </w:rPr>
        <w:t>u</w:t>
      </w:r>
      <w:r w:rsidRPr="00644049">
        <w:rPr>
          <w:rFonts w:eastAsia="Verdana"/>
          <w:lang w:val="en-US"/>
        </w:rPr>
        <w:t>r of the prosecution</w:t>
      </w:r>
      <w:r w:rsidR="00967DE8">
        <w:rPr>
          <w:rFonts w:eastAsia="Verdana"/>
          <w:lang w:val="en-US"/>
        </w:rPr>
        <w:t>.</w:t>
      </w:r>
      <w:r w:rsidRPr="00644049">
        <w:rPr>
          <w:rFonts w:eastAsia="Verdana"/>
          <w:vertAlign w:val="superscript"/>
          <w:lang w:val="en-US"/>
        </w:rPr>
        <w:footnoteReference w:id="12"/>
      </w:r>
      <w:r w:rsidRPr="00644049">
        <w:rPr>
          <w:rFonts w:eastAsia="Verdana"/>
          <w:lang w:val="en-US"/>
        </w:rPr>
        <w:t xml:space="preserve"> The author submits that on the first day of her husband’s trial in the Pervomayskiy District Court</w:t>
      </w:r>
      <w:r w:rsidR="006B077B">
        <w:rPr>
          <w:rFonts w:eastAsia="Verdana"/>
          <w:lang w:val="en-US"/>
        </w:rPr>
        <w:t xml:space="preserve"> in Minsk</w:t>
      </w:r>
      <w:r w:rsidRPr="00644049">
        <w:rPr>
          <w:rFonts w:eastAsia="Verdana"/>
          <w:lang w:val="en-US"/>
        </w:rPr>
        <w:t xml:space="preserve"> the prosecutor addressed the</w:t>
      </w:r>
      <w:r w:rsidR="003F5800">
        <w:rPr>
          <w:rFonts w:eastAsia="Verdana"/>
          <w:lang w:val="en-US"/>
        </w:rPr>
        <w:t xml:space="preserve"> following to the defendant: “</w:t>
      </w:r>
      <w:r w:rsidR="003F5800" w:rsidRPr="002A48AC">
        <w:rPr>
          <w:rFonts w:eastAsia="Verdana"/>
          <w:lang w:val="en-US"/>
        </w:rPr>
        <w:t>I </w:t>
      </w:r>
      <w:r w:rsidRPr="002A48AC">
        <w:rPr>
          <w:rFonts w:eastAsia="Verdana"/>
          <w:lang w:val="en-US"/>
        </w:rPr>
        <w:t>recommend that you answer honestly and truthfully to all of the questions, and I suggest that you consider your testimony and how you answer the questions, and if you answer honestly and, moreover, if you agree to pay restitution, the measure of restraint can be changed for you</w:t>
      </w:r>
      <w:r w:rsidRPr="00644049">
        <w:rPr>
          <w:rFonts w:eastAsia="Verdana"/>
          <w:lang w:val="en-US"/>
        </w:rPr>
        <w:t xml:space="preserve">”. She maintains that the above statement clearly shows that the </w:t>
      </w:r>
      <w:r>
        <w:rPr>
          <w:rFonts w:eastAsia="Verdana"/>
          <w:lang w:val="en-US"/>
        </w:rPr>
        <w:t xml:space="preserve">custodial measure for </w:t>
      </w:r>
      <w:r w:rsidRPr="00644049">
        <w:rPr>
          <w:rFonts w:eastAsia="Verdana"/>
          <w:lang w:val="en-US"/>
        </w:rPr>
        <w:t>the accused w</w:t>
      </w:r>
      <w:r>
        <w:rPr>
          <w:rFonts w:eastAsia="Verdana"/>
          <w:lang w:val="en-US"/>
        </w:rPr>
        <w:t>as</w:t>
      </w:r>
      <w:r w:rsidRPr="00644049">
        <w:rPr>
          <w:rFonts w:eastAsia="Verdana"/>
          <w:lang w:val="en-US"/>
        </w:rPr>
        <w:t xml:space="preserve"> dependent on his testimony and that the </w:t>
      </w:r>
      <w:r w:rsidR="00874B8D">
        <w:rPr>
          <w:rFonts w:eastAsia="Verdana"/>
          <w:lang w:val="en-US"/>
        </w:rPr>
        <w:t>State</w:t>
      </w:r>
      <w:r w:rsidR="00874B8D" w:rsidRPr="00644049">
        <w:rPr>
          <w:rFonts w:eastAsia="Verdana"/>
          <w:lang w:val="en-US"/>
        </w:rPr>
        <w:t xml:space="preserve"> </w:t>
      </w:r>
      <w:r w:rsidRPr="00644049">
        <w:rPr>
          <w:rFonts w:eastAsia="Verdana"/>
          <w:lang w:val="en-US"/>
        </w:rPr>
        <w:t xml:space="preserve">prosecutor </w:t>
      </w:r>
      <w:r w:rsidR="00874B8D">
        <w:rPr>
          <w:rFonts w:eastAsia="Verdana"/>
          <w:lang w:val="en-US"/>
        </w:rPr>
        <w:t xml:space="preserve">had </w:t>
      </w:r>
      <w:r w:rsidRPr="00644049">
        <w:rPr>
          <w:rFonts w:eastAsia="Verdana"/>
          <w:lang w:val="en-US"/>
        </w:rPr>
        <w:t>voiced his confidence that the issue of changing the custodial measure depended on him. Despite objections</w:t>
      </w:r>
      <w:r w:rsidR="00874B8D">
        <w:rPr>
          <w:rFonts w:eastAsia="Verdana"/>
          <w:lang w:val="en-US"/>
        </w:rPr>
        <w:t xml:space="preserve"> by the defence</w:t>
      </w:r>
      <w:r w:rsidRPr="00644049">
        <w:rPr>
          <w:rFonts w:eastAsia="Verdana"/>
          <w:lang w:val="en-US"/>
        </w:rPr>
        <w:t>, the court did not react to this statement by the prosecutor. Thus, the dependence of the court</w:t>
      </w:r>
      <w:r w:rsidR="00874B8D">
        <w:rPr>
          <w:rFonts w:eastAsia="Verdana"/>
          <w:lang w:val="en-US"/>
        </w:rPr>
        <w:t xml:space="preserve"> was clearly demonstrated</w:t>
      </w:r>
      <w:r w:rsidRPr="00644049">
        <w:rPr>
          <w:rFonts w:eastAsia="Verdana"/>
          <w:lang w:val="en-US"/>
        </w:rPr>
        <w:t xml:space="preserve">, which is a violation of </w:t>
      </w:r>
      <w:r w:rsidR="00A12481">
        <w:rPr>
          <w:rFonts w:eastAsia="Verdana"/>
          <w:lang w:val="en-US"/>
        </w:rPr>
        <w:t>article </w:t>
      </w:r>
      <w:r w:rsidRPr="00644049">
        <w:rPr>
          <w:rFonts w:eastAsia="Verdana"/>
          <w:lang w:val="en-US"/>
        </w:rPr>
        <w:t xml:space="preserve">14, </w:t>
      </w:r>
      <w:r w:rsidR="00A12481">
        <w:rPr>
          <w:rFonts w:eastAsia="Verdana"/>
          <w:lang w:val="en-US"/>
        </w:rPr>
        <w:t>paragraph </w:t>
      </w:r>
      <w:r w:rsidRPr="00644049">
        <w:rPr>
          <w:rFonts w:eastAsia="Verdana"/>
          <w:lang w:val="en-US"/>
        </w:rPr>
        <w:t>1</w:t>
      </w:r>
      <w:r w:rsidR="00874B8D">
        <w:rPr>
          <w:rFonts w:eastAsia="Verdana"/>
          <w:lang w:val="en-US"/>
        </w:rPr>
        <w:t>,</w:t>
      </w:r>
      <w:r w:rsidRPr="00644049">
        <w:rPr>
          <w:rFonts w:eastAsia="Verdana"/>
          <w:lang w:val="en-US"/>
        </w:rPr>
        <w:t xml:space="preserve"> of the Covenant.</w:t>
      </w:r>
    </w:p>
    <w:p w:rsidR="00075FA7" w:rsidRDefault="00075FA7" w:rsidP="002A48AC">
      <w:pPr>
        <w:pStyle w:val="SingleTxtG"/>
        <w:rPr>
          <w:color w:val="000000"/>
          <w:lang w:eastAsia="ar-SA"/>
        </w:rPr>
      </w:pPr>
      <w:r>
        <w:rPr>
          <w:rFonts w:eastAsia="Verdana"/>
          <w:lang w:val="en-US"/>
        </w:rPr>
        <w:t>3.6</w:t>
      </w:r>
      <w:r>
        <w:rPr>
          <w:rFonts w:eastAsia="Verdana"/>
          <w:lang w:val="en-US"/>
        </w:rPr>
        <w:tab/>
        <w:t>T</w:t>
      </w:r>
      <w:r w:rsidRPr="001E7DAE">
        <w:rPr>
          <w:rFonts w:eastAsia="Verdana"/>
          <w:lang w:val="en-US"/>
        </w:rPr>
        <w:t xml:space="preserve">he author </w:t>
      </w:r>
      <w:r>
        <w:rPr>
          <w:rFonts w:eastAsia="Verdana"/>
          <w:lang w:val="en-US"/>
        </w:rPr>
        <w:t xml:space="preserve">also </w:t>
      </w:r>
      <w:r w:rsidRPr="001E7DAE">
        <w:rPr>
          <w:rFonts w:eastAsia="Verdana"/>
          <w:lang w:val="en-US"/>
        </w:rPr>
        <w:t xml:space="preserve">refers to </w:t>
      </w:r>
      <w:r w:rsidR="003F5800">
        <w:rPr>
          <w:rFonts w:eastAsia="Verdana"/>
          <w:lang w:val="en-US"/>
        </w:rPr>
        <w:t xml:space="preserve">the Committee’s </w:t>
      </w:r>
      <w:r w:rsidR="00874B8D">
        <w:rPr>
          <w:rFonts w:eastAsia="Verdana"/>
          <w:lang w:val="en-US"/>
        </w:rPr>
        <w:t>g</w:t>
      </w:r>
      <w:r w:rsidR="003F5800">
        <w:rPr>
          <w:rFonts w:eastAsia="Verdana"/>
          <w:lang w:val="en-US"/>
        </w:rPr>
        <w:t>eneral comment </w:t>
      </w:r>
      <w:r w:rsidR="00874B8D">
        <w:rPr>
          <w:rFonts w:eastAsia="Verdana"/>
          <w:lang w:val="en-US"/>
        </w:rPr>
        <w:t xml:space="preserve">No. </w:t>
      </w:r>
      <w:r w:rsidRPr="001E7DAE">
        <w:rPr>
          <w:rFonts w:eastAsia="Verdana"/>
          <w:lang w:val="en-US"/>
        </w:rPr>
        <w:t>32</w:t>
      </w:r>
      <w:r w:rsidR="00874B8D">
        <w:rPr>
          <w:rFonts w:eastAsia="Verdana"/>
          <w:lang w:val="en-US"/>
        </w:rPr>
        <w:t xml:space="preserve"> (2007) on the right to equality before courts and tribunals and to fair trial</w:t>
      </w:r>
      <w:r w:rsidRPr="001E7DAE">
        <w:rPr>
          <w:rFonts w:eastAsia="Verdana"/>
          <w:lang w:val="en-US"/>
        </w:rPr>
        <w:t xml:space="preserve">, </w:t>
      </w:r>
      <w:r w:rsidR="00874B8D">
        <w:rPr>
          <w:rFonts w:eastAsia="Verdana"/>
          <w:lang w:val="en-US"/>
        </w:rPr>
        <w:t xml:space="preserve">in </w:t>
      </w:r>
      <w:r w:rsidRPr="001E7DAE">
        <w:rPr>
          <w:rFonts w:eastAsia="Verdana"/>
          <w:lang w:val="en-US"/>
        </w:rPr>
        <w:t xml:space="preserve">which </w:t>
      </w:r>
      <w:r w:rsidR="00874B8D">
        <w:rPr>
          <w:rFonts w:eastAsia="Verdana"/>
          <w:lang w:val="en-US"/>
        </w:rPr>
        <w:t xml:space="preserve">the Committee </w:t>
      </w:r>
      <w:r w:rsidRPr="001E7DAE">
        <w:rPr>
          <w:rFonts w:eastAsia="Verdana"/>
          <w:lang w:val="en-US"/>
        </w:rPr>
        <w:t>clarifies</w:t>
      </w:r>
      <w:r w:rsidRPr="001E7DAE">
        <w:rPr>
          <w:rFonts w:eastAsia="Verdana"/>
          <w:i/>
          <w:lang w:val="en-US"/>
        </w:rPr>
        <w:t xml:space="preserve"> </w:t>
      </w:r>
      <w:r w:rsidRPr="001E7DAE">
        <w:rPr>
          <w:rFonts w:eastAsia="Verdana"/>
          <w:lang w:val="en-US"/>
        </w:rPr>
        <w:t xml:space="preserve">that the same procedural rights are to be provided to all the parties unless </w:t>
      </w:r>
      <w:r w:rsidRPr="001E7DAE">
        <w:rPr>
          <w:rFonts w:eastAsia="Verdana"/>
          <w:lang w:val="en-US"/>
        </w:rPr>
        <w:lastRenderedPageBreak/>
        <w:t xml:space="preserve">distinctions are based on law and can be justified on objective and reasonable grounds, not entailing actual </w:t>
      </w:r>
      <w:r w:rsidRPr="00F4101B">
        <w:rPr>
          <w:rFonts w:eastAsia="Verdana"/>
        </w:rPr>
        <w:t>disadvantage</w:t>
      </w:r>
      <w:r w:rsidRPr="001E7DAE">
        <w:rPr>
          <w:rFonts w:eastAsia="Verdana"/>
          <w:lang w:val="en-US"/>
        </w:rPr>
        <w:t xml:space="preserve"> or other unfairness to the defendant. In her husband’s case </w:t>
      </w:r>
      <w:r>
        <w:rPr>
          <w:rFonts w:eastAsia="Verdana"/>
          <w:lang w:val="en-US"/>
        </w:rPr>
        <w:t>the issue at stake was</w:t>
      </w:r>
      <w:r w:rsidRPr="001E7DAE">
        <w:rPr>
          <w:rFonts w:eastAsia="Verdana"/>
          <w:lang w:val="en-US"/>
        </w:rPr>
        <w:t xml:space="preserve"> what the foreign funding was being provided for, and what </w:t>
      </w:r>
      <w:r>
        <w:rPr>
          <w:rFonts w:eastAsia="Verdana"/>
          <w:lang w:val="en-US"/>
        </w:rPr>
        <w:t>was it</w:t>
      </w:r>
      <w:r w:rsidRPr="001E7DAE">
        <w:rPr>
          <w:rFonts w:eastAsia="Verdana"/>
          <w:lang w:val="en-US"/>
        </w:rPr>
        <w:t xml:space="preserve"> used for. The prosecution insisted that th</w:t>
      </w:r>
      <w:r w:rsidR="00874B8D">
        <w:rPr>
          <w:rFonts w:eastAsia="Verdana"/>
          <w:lang w:val="en-US"/>
        </w:rPr>
        <w:t>o</w:t>
      </w:r>
      <w:r w:rsidRPr="001E7DAE">
        <w:rPr>
          <w:rFonts w:eastAsia="Verdana"/>
          <w:lang w:val="en-US"/>
        </w:rPr>
        <w:t xml:space="preserve">se funds were </w:t>
      </w:r>
      <w:r w:rsidR="00874B8D">
        <w:rPr>
          <w:rFonts w:eastAsia="Verdana"/>
          <w:lang w:val="en-US"/>
        </w:rPr>
        <w:t>the author’s husband’s</w:t>
      </w:r>
      <w:r w:rsidRPr="001E7DAE">
        <w:rPr>
          <w:rFonts w:eastAsia="Verdana"/>
          <w:lang w:val="en-US"/>
        </w:rPr>
        <w:t xml:space="preserve"> personal income</w:t>
      </w:r>
      <w:r w:rsidR="00874B8D">
        <w:rPr>
          <w:rFonts w:eastAsia="Verdana"/>
          <w:lang w:val="en-US"/>
        </w:rPr>
        <w:t>,</w:t>
      </w:r>
      <w:r w:rsidRPr="001E7DAE">
        <w:rPr>
          <w:rFonts w:eastAsia="Verdana"/>
          <w:lang w:val="en-US"/>
        </w:rPr>
        <w:t xml:space="preserve"> </w:t>
      </w:r>
      <w:r w:rsidR="00874B8D">
        <w:rPr>
          <w:rFonts w:eastAsia="Verdana"/>
          <w:lang w:val="en-US"/>
        </w:rPr>
        <w:t>on</w:t>
      </w:r>
      <w:r w:rsidR="00874B8D" w:rsidRPr="001E7DAE">
        <w:rPr>
          <w:rFonts w:eastAsia="Verdana"/>
          <w:lang w:val="en-US"/>
        </w:rPr>
        <w:t xml:space="preserve"> </w:t>
      </w:r>
      <w:r w:rsidRPr="001E7DAE">
        <w:rPr>
          <w:rFonts w:eastAsia="Verdana"/>
          <w:lang w:val="en-US"/>
        </w:rPr>
        <w:t xml:space="preserve">which he </w:t>
      </w:r>
      <w:r w:rsidR="00C01279">
        <w:rPr>
          <w:rFonts w:eastAsia="Verdana"/>
          <w:lang w:val="en-US"/>
        </w:rPr>
        <w:t>had an obligation</w:t>
      </w:r>
      <w:r w:rsidRPr="001E7DAE">
        <w:rPr>
          <w:rFonts w:eastAsia="Verdana"/>
          <w:lang w:val="en-US"/>
        </w:rPr>
        <w:t xml:space="preserve"> to pay taxes. The defen</w:t>
      </w:r>
      <w:r w:rsidR="00874B8D">
        <w:rPr>
          <w:rFonts w:eastAsia="Verdana"/>
          <w:lang w:val="en-US"/>
        </w:rPr>
        <w:t>c</w:t>
      </w:r>
      <w:r w:rsidRPr="001E7DAE">
        <w:rPr>
          <w:rFonts w:eastAsia="Verdana"/>
          <w:lang w:val="en-US"/>
        </w:rPr>
        <w:t xml:space="preserve">e insisted that the </w:t>
      </w:r>
      <w:r w:rsidR="00874B8D" w:rsidRPr="001E7DAE">
        <w:rPr>
          <w:rFonts w:eastAsia="Verdana"/>
          <w:lang w:val="en-US"/>
        </w:rPr>
        <w:t>f</w:t>
      </w:r>
      <w:r w:rsidR="00874B8D">
        <w:rPr>
          <w:rFonts w:eastAsia="Verdana"/>
          <w:lang w:val="en-US"/>
        </w:rPr>
        <w:t>unds</w:t>
      </w:r>
      <w:r w:rsidR="00874B8D" w:rsidRPr="001E7DAE">
        <w:rPr>
          <w:rFonts w:eastAsia="Verdana"/>
          <w:lang w:val="en-US"/>
        </w:rPr>
        <w:t xml:space="preserve"> </w:t>
      </w:r>
      <w:r w:rsidRPr="001E7DAE">
        <w:rPr>
          <w:rFonts w:eastAsia="Verdana"/>
          <w:lang w:val="en-US"/>
        </w:rPr>
        <w:t>w</w:t>
      </w:r>
      <w:r w:rsidR="00874B8D">
        <w:rPr>
          <w:rFonts w:eastAsia="Verdana"/>
          <w:lang w:val="en-US"/>
        </w:rPr>
        <w:t>ere</w:t>
      </w:r>
      <w:r w:rsidRPr="001E7DAE">
        <w:rPr>
          <w:rFonts w:eastAsia="Verdana"/>
          <w:lang w:val="en-US"/>
        </w:rPr>
        <w:t xml:space="preserve"> provided for</w:t>
      </w:r>
      <w:r w:rsidR="00874B8D">
        <w:rPr>
          <w:rFonts w:eastAsia="Verdana"/>
          <w:lang w:val="en-US"/>
        </w:rPr>
        <w:t>,</w:t>
      </w:r>
      <w:r w:rsidRPr="001E7DAE">
        <w:rPr>
          <w:rFonts w:eastAsia="Verdana"/>
          <w:lang w:val="en-US"/>
        </w:rPr>
        <w:t xml:space="preserve"> and spent </w:t>
      </w:r>
      <w:r w:rsidR="00874B8D">
        <w:rPr>
          <w:rFonts w:eastAsia="Verdana"/>
          <w:lang w:val="en-US"/>
        </w:rPr>
        <w:t>on,</w:t>
      </w:r>
      <w:r w:rsidRPr="001E7DAE">
        <w:rPr>
          <w:rFonts w:eastAsia="Verdana"/>
          <w:lang w:val="en-US"/>
        </w:rPr>
        <w:t xml:space="preserve"> human rights activities carried out by the </w:t>
      </w:r>
      <w:r w:rsidR="00874B8D">
        <w:rPr>
          <w:rFonts w:eastAsia="Verdana"/>
          <w:lang w:val="en-US"/>
        </w:rPr>
        <w:t>a</w:t>
      </w:r>
      <w:r w:rsidRPr="001E7DAE">
        <w:rPr>
          <w:rFonts w:eastAsia="Verdana"/>
          <w:lang w:val="en-US"/>
        </w:rPr>
        <w:t xml:space="preserve">ssociation. </w:t>
      </w:r>
      <w:r w:rsidR="00874B8D">
        <w:rPr>
          <w:rFonts w:eastAsia="Verdana"/>
          <w:lang w:val="en-US"/>
        </w:rPr>
        <w:t>The author</w:t>
      </w:r>
      <w:r w:rsidR="00874B8D" w:rsidRPr="001E7DAE">
        <w:rPr>
          <w:rFonts w:eastAsia="Verdana"/>
          <w:lang w:val="en-US"/>
        </w:rPr>
        <w:t xml:space="preserve"> </w:t>
      </w:r>
      <w:r w:rsidRPr="001E7DAE">
        <w:rPr>
          <w:rFonts w:eastAsia="Verdana"/>
          <w:lang w:val="en-US"/>
        </w:rPr>
        <w:t>maintains that during the trial the court did</w:t>
      </w:r>
      <w:r w:rsidR="00874B8D">
        <w:rPr>
          <w:rFonts w:eastAsia="Verdana"/>
          <w:lang w:val="en-US"/>
        </w:rPr>
        <w:t xml:space="preserve"> not</w:t>
      </w:r>
      <w:r w:rsidRPr="001E7DAE">
        <w:rPr>
          <w:rFonts w:eastAsia="Verdana"/>
          <w:lang w:val="en-US"/>
        </w:rPr>
        <w:t xml:space="preserve"> </w:t>
      </w:r>
      <w:r w:rsidR="00874B8D">
        <w:rPr>
          <w:rFonts w:eastAsia="Verdana"/>
          <w:lang w:val="en-US"/>
        </w:rPr>
        <w:t>pay</w:t>
      </w:r>
      <w:r w:rsidR="00874B8D" w:rsidRPr="001E7DAE">
        <w:rPr>
          <w:rFonts w:eastAsia="Verdana"/>
          <w:lang w:val="en-US"/>
        </w:rPr>
        <w:t xml:space="preserve"> </w:t>
      </w:r>
      <w:r w:rsidRPr="001E7DAE">
        <w:rPr>
          <w:rFonts w:eastAsia="Verdana"/>
          <w:lang w:val="en-US"/>
        </w:rPr>
        <w:t xml:space="preserve">equal attention to </w:t>
      </w:r>
      <w:r w:rsidR="00874B8D">
        <w:rPr>
          <w:rFonts w:eastAsia="Verdana"/>
          <w:lang w:val="en-US"/>
        </w:rPr>
        <w:t xml:space="preserve">the </w:t>
      </w:r>
      <w:r w:rsidRPr="001E7DAE">
        <w:rPr>
          <w:rFonts w:eastAsia="Verdana"/>
          <w:lang w:val="en-US"/>
        </w:rPr>
        <w:t xml:space="preserve">evidence </w:t>
      </w:r>
      <w:r w:rsidR="00874B8D">
        <w:rPr>
          <w:rFonts w:eastAsia="Verdana"/>
          <w:lang w:val="en-US"/>
        </w:rPr>
        <w:t>that</w:t>
      </w:r>
      <w:r w:rsidR="00874B8D" w:rsidRPr="001E7DAE">
        <w:rPr>
          <w:rFonts w:eastAsia="Verdana"/>
          <w:lang w:val="en-US"/>
        </w:rPr>
        <w:t xml:space="preserve"> </w:t>
      </w:r>
      <w:r w:rsidRPr="001E7DAE">
        <w:rPr>
          <w:rFonts w:eastAsia="Verdana"/>
          <w:lang w:val="en-US"/>
        </w:rPr>
        <w:t xml:space="preserve">was presented by the prosecution and </w:t>
      </w:r>
      <w:r w:rsidR="00874B8D">
        <w:rPr>
          <w:rFonts w:eastAsia="Verdana"/>
          <w:lang w:val="en-US"/>
        </w:rPr>
        <w:t xml:space="preserve">by </w:t>
      </w:r>
      <w:r w:rsidRPr="001E7DAE">
        <w:rPr>
          <w:rFonts w:eastAsia="Verdana"/>
          <w:lang w:val="en-US"/>
        </w:rPr>
        <w:t>the defen</w:t>
      </w:r>
      <w:r w:rsidR="00874B8D">
        <w:rPr>
          <w:rFonts w:eastAsia="Verdana"/>
          <w:lang w:val="en-US"/>
        </w:rPr>
        <w:t>c</w:t>
      </w:r>
      <w:r w:rsidRPr="001E7DAE">
        <w:rPr>
          <w:rFonts w:eastAsia="Verdana"/>
          <w:lang w:val="en-US"/>
        </w:rPr>
        <w:t>e, since it accepted uncertified documents presented by the prosecution and did not mention the documents presented by the defence, such as official statements by donors testifying that they had provided f</w:t>
      </w:r>
      <w:r>
        <w:rPr>
          <w:rFonts w:eastAsia="Verdana"/>
          <w:lang w:val="en-US"/>
        </w:rPr>
        <w:t>unds for the activities of the a</w:t>
      </w:r>
      <w:r w:rsidRPr="001E7DAE">
        <w:rPr>
          <w:rFonts w:eastAsia="Verdana"/>
          <w:lang w:val="en-US"/>
        </w:rPr>
        <w:t xml:space="preserve">ssociation. She also maintains that the refusal of the </w:t>
      </w:r>
      <w:r w:rsidR="00085709">
        <w:rPr>
          <w:rFonts w:eastAsia="Verdana"/>
          <w:lang w:val="en-US"/>
        </w:rPr>
        <w:t>a</w:t>
      </w:r>
      <w:r w:rsidRPr="00085709">
        <w:rPr>
          <w:rFonts w:eastAsia="Verdana"/>
          <w:lang w:val="en-US"/>
        </w:rPr>
        <w:t xml:space="preserve">ppellate </w:t>
      </w:r>
      <w:r w:rsidR="00085709">
        <w:rPr>
          <w:rFonts w:eastAsia="Verdana"/>
          <w:lang w:val="en-US"/>
        </w:rPr>
        <w:t>c</w:t>
      </w:r>
      <w:r w:rsidRPr="00085709">
        <w:rPr>
          <w:rFonts w:eastAsia="Verdana"/>
          <w:lang w:val="en-US"/>
        </w:rPr>
        <w:t>ourt</w:t>
      </w:r>
      <w:r w:rsidRPr="001E7DAE">
        <w:rPr>
          <w:rFonts w:eastAsia="Verdana"/>
          <w:lang w:val="en-US"/>
        </w:rPr>
        <w:t xml:space="preserve"> to seek further evidence </w:t>
      </w:r>
      <w:r w:rsidR="002A48AC">
        <w:rPr>
          <w:rFonts w:eastAsia="Verdana"/>
          <w:lang w:val="en-US"/>
        </w:rPr>
        <w:t xml:space="preserve">directly from </w:t>
      </w:r>
      <w:r w:rsidR="002A48AC" w:rsidRPr="001E7DAE">
        <w:rPr>
          <w:rFonts w:eastAsia="Verdana"/>
          <w:lang w:val="en-US"/>
        </w:rPr>
        <w:t xml:space="preserve">the foreign organizations </w:t>
      </w:r>
      <w:r w:rsidRPr="001E7DAE">
        <w:rPr>
          <w:rFonts w:eastAsia="Verdana"/>
          <w:lang w:val="en-US"/>
        </w:rPr>
        <w:t xml:space="preserve">regarding the destination of grants and reports about the expenditure of </w:t>
      </w:r>
      <w:r w:rsidRPr="00C01279">
        <w:rPr>
          <w:rFonts w:eastAsia="Verdana"/>
          <w:lang w:val="en-US"/>
        </w:rPr>
        <w:t xml:space="preserve">financial </w:t>
      </w:r>
      <w:r w:rsidR="00C01279">
        <w:rPr>
          <w:rFonts w:eastAsia="Verdana"/>
          <w:lang w:val="en-US"/>
        </w:rPr>
        <w:t>resources</w:t>
      </w:r>
      <w:r w:rsidRPr="001E7DAE">
        <w:rPr>
          <w:rFonts w:eastAsia="Verdana"/>
          <w:lang w:val="en-US"/>
        </w:rPr>
        <w:t xml:space="preserve"> also indicates procedural inequality.</w:t>
      </w:r>
      <w:r w:rsidR="00A12481">
        <w:rPr>
          <w:rFonts w:eastAsia="Verdana"/>
          <w:lang w:val="en-US"/>
        </w:rPr>
        <w:t xml:space="preserve"> </w:t>
      </w:r>
    </w:p>
    <w:p w:rsidR="00075FA7" w:rsidRPr="001E7DAE" w:rsidRDefault="00075FA7" w:rsidP="00D04C66">
      <w:pPr>
        <w:pStyle w:val="SingleTxtG"/>
        <w:rPr>
          <w:rFonts w:eastAsia="Verdana"/>
          <w:lang w:val="en-US"/>
        </w:rPr>
      </w:pPr>
      <w:r w:rsidRPr="00D22D4C">
        <w:rPr>
          <w:rFonts w:eastAsia="Verdana"/>
        </w:rPr>
        <w:t>3.</w:t>
      </w:r>
      <w:r>
        <w:rPr>
          <w:rFonts w:eastAsia="Verdana"/>
        </w:rPr>
        <w:t>7</w:t>
      </w:r>
      <w:r>
        <w:rPr>
          <w:rFonts w:eastAsia="Verdana"/>
        </w:rPr>
        <w:tab/>
      </w:r>
      <w:r w:rsidRPr="00D22D4C">
        <w:rPr>
          <w:rFonts w:eastAsia="Verdana"/>
        </w:rPr>
        <w:t xml:space="preserve">The author </w:t>
      </w:r>
      <w:r>
        <w:rPr>
          <w:rFonts w:eastAsia="Verdana"/>
        </w:rPr>
        <w:t>maintains</w:t>
      </w:r>
      <w:r w:rsidRPr="00D22D4C">
        <w:rPr>
          <w:rFonts w:eastAsia="Verdana"/>
        </w:rPr>
        <w:t xml:space="preserve"> that </w:t>
      </w:r>
      <w:r>
        <w:rPr>
          <w:rFonts w:eastAsia="Verdana"/>
        </w:rPr>
        <w:t xml:space="preserve">the </w:t>
      </w:r>
      <w:r w:rsidRPr="00D22D4C">
        <w:rPr>
          <w:rFonts w:eastAsia="Verdana"/>
        </w:rPr>
        <w:t>presumption of innocence was violated</w:t>
      </w:r>
      <w:r w:rsidRPr="00D30F7D">
        <w:rPr>
          <w:rFonts w:eastAsia="Verdana"/>
        </w:rPr>
        <w:t xml:space="preserve"> </w:t>
      </w:r>
      <w:r>
        <w:rPr>
          <w:rFonts w:eastAsia="Verdana"/>
        </w:rPr>
        <w:t>with regard to her husband</w:t>
      </w:r>
      <w:r w:rsidRPr="00D22D4C">
        <w:rPr>
          <w:rFonts w:eastAsia="Verdana"/>
        </w:rPr>
        <w:t xml:space="preserve"> when the </w:t>
      </w:r>
      <w:r w:rsidR="00536BA0">
        <w:rPr>
          <w:rFonts w:eastAsia="Verdana"/>
          <w:lang w:val="en-US"/>
        </w:rPr>
        <w:t>S</w:t>
      </w:r>
      <w:r w:rsidRPr="00D22D4C">
        <w:rPr>
          <w:rFonts w:eastAsia="Verdana"/>
        </w:rPr>
        <w:t xml:space="preserve">tate-owned newspapers and television channels disseminated </w:t>
      </w:r>
      <w:r w:rsidR="00E5585A">
        <w:rPr>
          <w:rFonts w:eastAsia="Verdana"/>
          <w:lang w:val="en-US"/>
        </w:rPr>
        <w:t>reports proclaiming his guilt</w:t>
      </w:r>
      <w:r w:rsidRPr="00D22D4C">
        <w:rPr>
          <w:rFonts w:eastAsia="Verdana"/>
        </w:rPr>
        <w:t xml:space="preserve"> before his </w:t>
      </w:r>
      <w:r>
        <w:rPr>
          <w:rFonts w:eastAsia="Verdana"/>
        </w:rPr>
        <w:t xml:space="preserve">verdict </w:t>
      </w:r>
      <w:r w:rsidRPr="00D22D4C">
        <w:rPr>
          <w:rFonts w:eastAsia="Verdana"/>
        </w:rPr>
        <w:t xml:space="preserve">became </w:t>
      </w:r>
      <w:r>
        <w:rPr>
          <w:rFonts w:eastAsia="Verdana"/>
        </w:rPr>
        <w:t>final</w:t>
      </w:r>
      <w:r w:rsidRPr="00D22D4C">
        <w:rPr>
          <w:rFonts w:eastAsia="Verdana"/>
        </w:rPr>
        <w:t xml:space="preserve">. </w:t>
      </w:r>
      <w:r>
        <w:rPr>
          <w:rFonts w:eastAsia="Verdana"/>
        </w:rPr>
        <w:t xml:space="preserve">That </w:t>
      </w:r>
      <w:r w:rsidRPr="00644049">
        <w:rPr>
          <w:rFonts w:eastAsia="Verdana"/>
          <w:lang w:val="en-US"/>
        </w:rPr>
        <w:t xml:space="preserve">helped </w:t>
      </w:r>
      <w:r w:rsidR="00536BA0">
        <w:rPr>
          <w:rFonts w:eastAsia="Verdana"/>
          <w:lang w:val="en-US"/>
        </w:rPr>
        <w:t xml:space="preserve">in </w:t>
      </w:r>
      <w:r w:rsidRPr="00644049">
        <w:rPr>
          <w:rFonts w:eastAsia="Verdana"/>
          <w:lang w:val="en-US"/>
        </w:rPr>
        <w:t>convinc</w:t>
      </w:r>
      <w:r>
        <w:rPr>
          <w:rFonts w:eastAsia="Verdana"/>
          <w:lang w:val="en-US"/>
        </w:rPr>
        <w:t>ing the</w:t>
      </w:r>
      <w:r w:rsidRPr="00644049">
        <w:rPr>
          <w:rFonts w:eastAsia="Verdana"/>
          <w:lang w:val="en-US"/>
        </w:rPr>
        <w:t xml:space="preserve"> society of his guilt</w:t>
      </w:r>
      <w:r>
        <w:rPr>
          <w:rFonts w:eastAsia="Verdana"/>
          <w:lang w:val="en-US"/>
        </w:rPr>
        <w:t xml:space="preserve"> and</w:t>
      </w:r>
      <w:r w:rsidRPr="00644049">
        <w:rPr>
          <w:rFonts w:eastAsia="Verdana"/>
          <w:lang w:val="en-US"/>
        </w:rPr>
        <w:t xml:space="preserve"> served to bias qualified judges, </w:t>
      </w:r>
      <w:r>
        <w:rPr>
          <w:rFonts w:eastAsia="Verdana"/>
          <w:lang w:val="en-US"/>
        </w:rPr>
        <w:t>in</w:t>
      </w:r>
      <w:r w:rsidRPr="00644049">
        <w:rPr>
          <w:rFonts w:eastAsia="Verdana"/>
          <w:lang w:val="en-US"/>
        </w:rPr>
        <w:t xml:space="preserve"> violation of </w:t>
      </w:r>
      <w:r w:rsidR="00A12481">
        <w:rPr>
          <w:rFonts w:eastAsia="Verdana"/>
          <w:lang w:val="en-US"/>
        </w:rPr>
        <w:t>article </w:t>
      </w:r>
      <w:r w:rsidRPr="00644049">
        <w:rPr>
          <w:rFonts w:eastAsia="Verdana"/>
          <w:lang w:val="en-US"/>
        </w:rPr>
        <w:t xml:space="preserve">14, </w:t>
      </w:r>
      <w:r w:rsidR="00A12481">
        <w:rPr>
          <w:rFonts w:eastAsia="Verdana"/>
          <w:lang w:val="en-US"/>
        </w:rPr>
        <w:t>paragraph </w:t>
      </w:r>
      <w:r w:rsidRPr="00644049">
        <w:rPr>
          <w:rFonts w:eastAsia="Verdana"/>
          <w:lang w:val="en-US"/>
        </w:rPr>
        <w:t>2</w:t>
      </w:r>
      <w:r w:rsidR="00536BA0">
        <w:rPr>
          <w:rFonts w:eastAsia="Verdana"/>
          <w:lang w:val="en-US"/>
        </w:rPr>
        <w:t>,</w:t>
      </w:r>
      <w:r w:rsidRPr="00644049">
        <w:rPr>
          <w:rFonts w:eastAsia="Verdana"/>
          <w:lang w:val="en-US"/>
        </w:rPr>
        <w:t xml:space="preserve"> of the Covenant.</w:t>
      </w:r>
      <w:r w:rsidRPr="00644049">
        <w:rPr>
          <w:color w:val="000000"/>
          <w:lang w:eastAsia="ar-SA"/>
        </w:rPr>
        <w:t xml:space="preserve"> </w:t>
      </w:r>
      <w:r>
        <w:rPr>
          <w:color w:val="000000"/>
          <w:lang w:eastAsia="ar-SA"/>
        </w:rPr>
        <w:t>Further</w:t>
      </w:r>
      <w:r w:rsidR="00C87EE2">
        <w:rPr>
          <w:color w:val="000000"/>
          <w:lang w:val="en-US" w:eastAsia="ar-SA"/>
        </w:rPr>
        <w:t>more</w:t>
      </w:r>
      <w:r>
        <w:rPr>
          <w:color w:val="000000"/>
          <w:lang w:eastAsia="ar-SA"/>
        </w:rPr>
        <w:t>, o</w:t>
      </w:r>
      <w:r w:rsidRPr="000568AE">
        <w:rPr>
          <w:color w:val="000000"/>
          <w:lang w:eastAsia="ar-SA"/>
        </w:rPr>
        <w:t xml:space="preserve">n </w:t>
      </w:r>
      <w:r>
        <w:rPr>
          <w:color w:val="000000"/>
          <w:lang w:eastAsia="ar-SA"/>
        </w:rPr>
        <w:t xml:space="preserve">2 </w:t>
      </w:r>
      <w:r w:rsidRPr="000568AE">
        <w:rPr>
          <w:color w:val="000000"/>
          <w:lang w:eastAsia="ar-SA"/>
        </w:rPr>
        <w:t>December</w:t>
      </w:r>
      <w:r>
        <w:rPr>
          <w:color w:val="000000"/>
          <w:lang w:eastAsia="ar-SA"/>
        </w:rPr>
        <w:t xml:space="preserve"> </w:t>
      </w:r>
      <w:r w:rsidRPr="000568AE">
        <w:rPr>
          <w:color w:val="000000"/>
          <w:lang w:eastAsia="ar-SA"/>
        </w:rPr>
        <w:t>2011</w:t>
      </w:r>
      <w:r>
        <w:rPr>
          <w:color w:val="000000"/>
          <w:lang w:eastAsia="ar-SA"/>
        </w:rPr>
        <w:t>,</w:t>
      </w:r>
      <w:r w:rsidRPr="000568AE">
        <w:rPr>
          <w:color w:val="000000"/>
          <w:lang w:eastAsia="ar-SA"/>
        </w:rPr>
        <w:t xml:space="preserve"> after the verdict </w:t>
      </w:r>
      <w:r w:rsidR="00C87EE2">
        <w:rPr>
          <w:color w:val="000000"/>
          <w:lang w:val="en-US" w:eastAsia="ar-SA"/>
        </w:rPr>
        <w:t>had been</w:t>
      </w:r>
      <w:r w:rsidRPr="000568AE">
        <w:rPr>
          <w:color w:val="000000"/>
          <w:lang w:eastAsia="ar-SA"/>
        </w:rPr>
        <w:t xml:space="preserve"> read but before the </w:t>
      </w:r>
      <w:r>
        <w:rPr>
          <w:color w:val="000000"/>
          <w:lang w:eastAsia="ar-SA"/>
        </w:rPr>
        <w:t xml:space="preserve">appeals </w:t>
      </w:r>
      <w:r w:rsidRPr="00F4101B">
        <w:t>proceedings</w:t>
      </w:r>
      <w:r>
        <w:rPr>
          <w:color w:val="000000"/>
          <w:lang w:eastAsia="ar-SA"/>
        </w:rPr>
        <w:t xml:space="preserve"> against the verdict were completed</w:t>
      </w:r>
      <w:r w:rsidR="00C87EE2">
        <w:rPr>
          <w:color w:val="000000"/>
          <w:lang w:val="en-US" w:eastAsia="ar-SA"/>
        </w:rPr>
        <w:t xml:space="preserve">, </w:t>
      </w:r>
      <w:r w:rsidR="00C87EE2">
        <w:rPr>
          <w:color w:val="000000"/>
          <w:lang w:eastAsia="ar-SA"/>
        </w:rPr>
        <w:t>A</w:t>
      </w:r>
      <w:r w:rsidR="00C87EE2">
        <w:rPr>
          <w:color w:val="000000"/>
          <w:lang w:val="en-US" w:eastAsia="ar-SA"/>
        </w:rPr>
        <w:t>lexander</w:t>
      </w:r>
      <w:r w:rsidR="00C87EE2" w:rsidRPr="000568AE">
        <w:rPr>
          <w:color w:val="000000"/>
          <w:lang w:eastAsia="ar-SA"/>
        </w:rPr>
        <w:t xml:space="preserve"> Lukashenko</w:t>
      </w:r>
      <w:r w:rsidR="00C87EE2">
        <w:rPr>
          <w:color w:val="000000"/>
          <w:lang w:val="en-US" w:eastAsia="ar-SA"/>
        </w:rPr>
        <w:t>,</w:t>
      </w:r>
      <w:r w:rsidR="00C87EE2" w:rsidRPr="000568AE">
        <w:rPr>
          <w:color w:val="000000"/>
          <w:lang w:eastAsia="ar-SA"/>
        </w:rPr>
        <w:t xml:space="preserve"> </w:t>
      </w:r>
      <w:r w:rsidRPr="000568AE">
        <w:rPr>
          <w:color w:val="000000"/>
          <w:lang w:eastAsia="ar-SA"/>
        </w:rPr>
        <w:t>President of Belarus, respond</w:t>
      </w:r>
      <w:r>
        <w:rPr>
          <w:color w:val="000000"/>
          <w:lang w:eastAsia="ar-SA"/>
        </w:rPr>
        <w:t>ing</w:t>
      </w:r>
      <w:r w:rsidRPr="000568AE">
        <w:rPr>
          <w:color w:val="000000"/>
          <w:lang w:eastAsia="ar-SA"/>
        </w:rPr>
        <w:t xml:space="preserve"> to the questions of journalists regarding the case </w:t>
      </w:r>
      <w:r>
        <w:rPr>
          <w:color w:val="000000"/>
          <w:lang w:eastAsia="ar-SA"/>
        </w:rPr>
        <w:t>stated:</w:t>
      </w:r>
      <w:r w:rsidRPr="000568AE">
        <w:rPr>
          <w:color w:val="000000"/>
          <w:lang w:eastAsia="ar-SA"/>
        </w:rPr>
        <w:t xml:space="preserve"> “I think that the court acted very humanely in regard to this opposition activist or whatever you call him.”</w:t>
      </w:r>
      <w:r w:rsidRPr="000568AE">
        <w:rPr>
          <w:lang w:eastAsia="ar-SA"/>
        </w:rPr>
        <w:t xml:space="preserve"> </w:t>
      </w:r>
      <w:r w:rsidRPr="000568AE">
        <w:rPr>
          <w:color w:val="000000"/>
          <w:lang w:eastAsia="ar-SA"/>
        </w:rPr>
        <w:t xml:space="preserve">This statement by the </w:t>
      </w:r>
      <w:r>
        <w:rPr>
          <w:color w:val="000000"/>
          <w:lang w:eastAsia="ar-SA"/>
        </w:rPr>
        <w:t>President</w:t>
      </w:r>
      <w:r w:rsidRPr="000568AE">
        <w:rPr>
          <w:color w:val="000000"/>
          <w:lang w:eastAsia="ar-SA"/>
        </w:rPr>
        <w:t xml:space="preserve"> leaves no doubt as to his position regarding the guil</w:t>
      </w:r>
      <w:r>
        <w:rPr>
          <w:color w:val="000000"/>
          <w:lang w:eastAsia="ar-SA"/>
        </w:rPr>
        <w:t>t</w:t>
      </w:r>
      <w:r w:rsidRPr="000568AE">
        <w:rPr>
          <w:color w:val="000000"/>
          <w:lang w:eastAsia="ar-SA"/>
        </w:rPr>
        <w:t xml:space="preserve"> of </w:t>
      </w:r>
      <w:r>
        <w:rPr>
          <w:color w:val="000000"/>
          <w:lang w:eastAsia="ar-SA"/>
        </w:rPr>
        <w:t>the author’s husband</w:t>
      </w:r>
      <w:r w:rsidRPr="000568AE">
        <w:rPr>
          <w:color w:val="000000"/>
          <w:lang w:eastAsia="ar-SA"/>
        </w:rPr>
        <w:t xml:space="preserve"> and his opinion on the leniency of his sentence. Considering that</w:t>
      </w:r>
      <w:r w:rsidR="00EA6857">
        <w:rPr>
          <w:color w:val="000000"/>
          <w:lang w:val="en-US" w:eastAsia="ar-SA"/>
        </w:rPr>
        <w:t>,</w:t>
      </w:r>
      <w:r w:rsidRPr="000568AE">
        <w:rPr>
          <w:color w:val="000000"/>
          <w:lang w:eastAsia="ar-SA"/>
        </w:rPr>
        <w:t xml:space="preserve"> </w:t>
      </w:r>
      <w:r w:rsidR="00EA6857">
        <w:rPr>
          <w:color w:val="000000"/>
          <w:lang w:val="en-US" w:eastAsia="ar-SA"/>
        </w:rPr>
        <w:t>pursuant</w:t>
      </w:r>
      <w:r w:rsidR="00EA6857" w:rsidRPr="000568AE">
        <w:rPr>
          <w:color w:val="000000"/>
          <w:lang w:eastAsia="ar-SA"/>
        </w:rPr>
        <w:t xml:space="preserve"> </w:t>
      </w:r>
      <w:r w:rsidRPr="000568AE">
        <w:rPr>
          <w:color w:val="000000"/>
          <w:lang w:eastAsia="ar-SA"/>
        </w:rPr>
        <w:t>to the laws of Belarus, the President exercises complete control over the process of appointing and removing judges, there is cause to fear that</w:t>
      </w:r>
      <w:r w:rsidR="00EA6857">
        <w:rPr>
          <w:color w:val="000000"/>
          <w:lang w:val="en-US" w:eastAsia="ar-SA"/>
        </w:rPr>
        <w:t>,</w:t>
      </w:r>
      <w:r w:rsidRPr="000568AE">
        <w:rPr>
          <w:color w:val="000000"/>
          <w:lang w:eastAsia="ar-SA"/>
        </w:rPr>
        <w:t xml:space="preserve"> by voicing his opinion, he influenced the subsequent decisions of the appellate court</w:t>
      </w:r>
      <w:r>
        <w:rPr>
          <w:color w:val="000000"/>
          <w:lang w:eastAsia="ar-SA"/>
        </w:rPr>
        <w:t>, w</w:t>
      </w:r>
      <w:r w:rsidRPr="000568AE">
        <w:rPr>
          <w:color w:val="000000"/>
          <w:lang w:eastAsia="ar-SA"/>
        </w:rPr>
        <w:t xml:space="preserve">hich also constitutes a violation of </w:t>
      </w:r>
      <w:r w:rsidR="00A12481">
        <w:rPr>
          <w:color w:val="000000"/>
          <w:lang w:eastAsia="ar-SA"/>
        </w:rPr>
        <w:t>article </w:t>
      </w:r>
      <w:r w:rsidRPr="000568AE">
        <w:rPr>
          <w:color w:val="000000"/>
          <w:lang w:eastAsia="ar-SA"/>
        </w:rPr>
        <w:t>14</w:t>
      </w:r>
      <w:r>
        <w:rPr>
          <w:color w:val="000000"/>
          <w:lang w:eastAsia="ar-SA"/>
        </w:rPr>
        <w:t xml:space="preserve">, </w:t>
      </w:r>
      <w:r w:rsidR="00A12481">
        <w:rPr>
          <w:color w:val="000000"/>
          <w:lang w:eastAsia="ar-SA"/>
        </w:rPr>
        <w:t>paragraph </w:t>
      </w:r>
      <w:r>
        <w:rPr>
          <w:color w:val="000000"/>
          <w:lang w:eastAsia="ar-SA"/>
        </w:rPr>
        <w:t>2</w:t>
      </w:r>
      <w:r w:rsidR="00EA6857">
        <w:rPr>
          <w:color w:val="000000"/>
          <w:lang w:val="en-US" w:eastAsia="ar-SA"/>
        </w:rPr>
        <w:t>,</w:t>
      </w:r>
      <w:r w:rsidRPr="000568AE">
        <w:rPr>
          <w:color w:val="000000"/>
          <w:lang w:eastAsia="ar-SA"/>
        </w:rPr>
        <w:t xml:space="preserve"> of the Covenant.</w:t>
      </w:r>
      <w:r>
        <w:rPr>
          <w:color w:val="000000"/>
          <w:lang w:eastAsia="ar-SA"/>
        </w:rPr>
        <w:t xml:space="preserve"> Lastly, t</w:t>
      </w:r>
      <w:r w:rsidRPr="000568AE">
        <w:rPr>
          <w:color w:val="000000"/>
          <w:lang w:eastAsia="ar-SA"/>
        </w:rPr>
        <w:t xml:space="preserve">hroughout the course of the proceedings in the lower court, </w:t>
      </w:r>
      <w:r>
        <w:rPr>
          <w:color w:val="000000"/>
          <w:lang w:eastAsia="ar-SA"/>
        </w:rPr>
        <w:t>the author’s husband</w:t>
      </w:r>
      <w:r w:rsidRPr="000568AE">
        <w:rPr>
          <w:color w:val="000000"/>
          <w:lang w:eastAsia="ar-SA"/>
        </w:rPr>
        <w:t xml:space="preserve"> was kept in a cage. He was brought to court and taken back to </w:t>
      </w:r>
      <w:r>
        <w:rPr>
          <w:color w:val="000000"/>
          <w:lang w:eastAsia="ar-SA"/>
        </w:rPr>
        <w:t xml:space="preserve">the </w:t>
      </w:r>
      <w:r w:rsidRPr="000568AE">
        <w:rPr>
          <w:color w:val="000000"/>
          <w:lang w:eastAsia="ar-SA"/>
        </w:rPr>
        <w:t>detention facility in handcuffs, which were taken off when he was p</w:t>
      </w:r>
      <w:r>
        <w:rPr>
          <w:color w:val="000000"/>
          <w:lang w:eastAsia="ar-SA"/>
        </w:rPr>
        <w:t xml:space="preserve">laced </w:t>
      </w:r>
      <w:r w:rsidRPr="000568AE">
        <w:rPr>
          <w:color w:val="000000"/>
          <w:lang w:eastAsia="ar-SA"/>
        </w:rPr>
        <w:t xml:space="preserve">in the cage </w:t>
      </w:r>
      <w:r w:rsidR="00EA6857" w:rsidRPr="000568AE">
        <w:rPr>
          <w:color w:val="000000"/>
          <w:lang w:eastAsia="ar-SA"/>
        </w:rPr>
        <w:t xml:space="preserve">and put back on </w:t>
      </w:r>
      <w:r w:rsidRPr="000568AE">
        <w:rPr>
          <w:color w:val="000000"/>
          <w:lang w:eastAsia="ar-SA"/>
        </w:rPr>
        <w:t>when he was removed from it. This was shown repeatedly on Belarusian television. Keeping incarcerated individuals in cages and using handcuffs on them is standard practice in Belarusian courts. However, in this particular instance there was no reasonable justification for the use of such security measures</w:t>
      </w:r>
      <w:r w:rsidR="00EA6857">
        <w:rPr>
          <w:color w:val="000000"/>
          <w:lang w:val="en-US" w:eastAsia="ar-SA"/>
        </w:rPr>
        <w:t>.</w:t>
      </w:r>
      <w:r>
        <w:rPr>
          <w:color w:val="000000"/>
          <w:lang w:eastAsia="ar-SA"/>
        </w:rPr>
        <w:t xml:space="preserve"> </w:t>
      </w:r>
      <w:r w:rsidR="00EA6857">
        <w:rPr>
          <w:color w:val="000000"/>
          <w:lang w:val="en-US" w:eastAsia="ar-SA"/>
        </w:rPr>
        <w:t>K</w:t>
      </w:r>
      <w:r>
        <w:rPr>
          <w:color w:val="000000"/>
          <w:lang w:eastAsia="ar-SA"/>
        </w:rPr>
        <w:t xml:space="preserve">eeping the defendant </w:t>
      </w:r>
      <w:r w:rsidRPr="000568AE">
        <w:rPr>
          <w:color w:val="000000"/>
          <w:lang w:eastAsia="ar-SA"/>
        </w:rPr>
        <w:t>in a cage</w:t>
      </w:r>
      <w:r>
        <w:rPr>
          <w:color w:val="000000"/>
          <w:lang w:eastAsia="ar-SA"/>
        </w:rPr>
        <w:t xml:space="preserve"> and</w:t>
      </w:r>
      <w:r w:rsidRPr="000568AE">
        <w:rPr>
          <w:color w:val="000000"/>
          <w:lang w:eastAsia="ar-SA"/>
        </w:rPr>
        <w:t xml:space="preserve"> in handcuffs </w:t>
      </w:r>
      <w:r w:rsidR="00EA6857">
        <w:rPr>
          <w:color w:val="000000"/>
          <w:lang w:val="en-US" w:eastAsia="ar-SA"/>
        </w:rPr>
        <w:t>created an image of</w:t>
      </w:r>
      <w:r w:rsidR="00EA6857" w:rsidRPr="000568AE">
        <w:rPr>
          <w:color w:val="000000"/>
          <w:lang w:eastAsia="ar-SA"/>
        </w:rPr>
        <w:t xml:space="preserve"> </w:t>
      </w:r>
      <w:r w:rsidRPr="000568AE">
        <w:rPr>
          <w:color w:val="000000"/>
          <w:lang w:eastAsia="ar-SA"/>
        </w:rPr>
        <w:t xml:space="preserve">him in the public’s eye as a dangerous criminal, which is a </w:t>
      </w:r>
      <w:r>
        <w:rPr>
          <w:color w:val="000000"/>
          <w:lang w:eastAsia="ar-SA"/>
        </w:rPr>
        <w:t xml:space="preserve">further violation of </w:t>
      </w:r>
      <w:r w:rsidR="00A12481">
        <w:rPr>
          <w:color w:val="000000"/>
          <w:lang w:eastAsia="ar-SA"/>
        </w:rPr>
        <w:t>article </w:t>
      </w:r>
      <w:r w:rsidRPr="000568AE">
        <w:rPr>
          <w:color w:val="000000"/>
          <w:lang w:eastAsia="ar-SA"/>
        </w:rPr>
        <w:t>14</w:t>
      </w:r>
      <w:r>
        <w:rPr>
          <w:color w:val="000000"/>
          <w:lang w:eastAsia="ar-SA"/>
        </w:rPr>
        <w:t xml:space="preserve">, </w:t>
      </w:r>
      <w:r w:rsidR="00A12481">
        <w:rPr>
          <w:color w:val="000000"/>
          <w:lang w:eastAsia="ar-SA"/>
        </w:rPr>
        <w:t>paragraph </w:t>
      </w:r>
      <w:r>
        <w:rPr>
          <w:color w:val="000000"/>
          <w:lang w:eastAsia="ar-SA"/>
        </w:rPr>
        <w:t>2</w:t>
      </w:r>
      <w:r w:rsidR="00EA6857">
        <w:rPr>
          <w:color w:val="000000"/>
          <w:lang w:val="en-US" w:eastAsia="ar-SA"/>
        </w:rPr>
        <w:t>,</w:t>
      </w:r>
      <w:r w:rsidRPr="000568AE">
        <w:rPr>
          <w:color w:val="000000"/>
          <w:lang w:eastAsia="ar-SA"/>
        </w:rPr>
        <w:t xml:space="preserve"> of the Covenant.</w:t>
      </w:r>
    </w:p>
    <w:p w:rsidR="00075FA7" w:rsidRDefault="00075FA7" w:rsidP="001529FE">
      <w:pPr>
        <w:pStyle w:val="SingleTxtG"/>
        <w:rPr>
          <w:rFonts w:eastAsia="Verdana"/>
        </w:rPr>
      </w:pPr>
      <w:r>
        <w:rPr>
          <w:rFonts w:eastAsia="Verdana"/>
          <w:lang w:val="en-US"/>
        </w:rPr>
        <w:t>3.8</w:t>
      </w:r>
      <w:r>
        <w:rPr>
          <w:rFonts w:eastAsia="Verdana"/>
          <w:lang w:val="en-US"/>
        </w:rPr>
        <w:tab/>
      </w:r>
      <w:r w:rsidRPr="001E7DAE">
        <w:rPr>
          <w:rFonts w:eastAsia="Verdana"/>
          <w:lang w:val="en-US"/>
        </w:rPr>
        <w:t xml:space="preserve">The author also submits that her husband’s right under </w:t>
      </w:r>
      <w:r w:rsidR="00A12481">
        <w:rPr>
          <w:rFonts w:eastAsia="Verdana"/>
          <w:lang w:val="en-US"/>
        </w:rPr>
        <w:t>article </w:t>
      </w:r>
      <w:r w:rsidRPr="001E7DAE">
        <w:rPr>
          <w:rFonts w:eastAsia="Verdana"/>
          <w:lang w:val="en-US"/>
        </w:rPr>
        <w:t xml:space="preserve">14, </w:t>
      </w:r>
      <w:r w:rsidR="00A12481">
        <w:rPr>
          <w:rFonts w:eastAsia="Verdana"/>
          <w:lang w:val="en-US"/>
        </w:rPr>
        <w:t>paragraph </w:t>
      </w:r>
      <w:r w:rsidRPr="001E7DAE">
        <w:rPr>
          <w:rFonts w:eastAsia="Verdana"/>
          <w:lang w:val="en-US"/>
        </w:rPr>
        <w:t>3</w:t>
      </w:r>
      <w:r w:rsidR="003F5800">
        <w:rPr>
          <w:rFonts w:eastAsia="Verdana"/>
          <w:lang w:val="en-US"/>
        </w:rPr>
        <w:t> </w:t>
      </w:r>
      <w:r w:rsidRPr="001E7DAE">
        <w:rPr>
          <w:rFonts w:eastAsia="Verdana"/>
          <w:lang w:val="en-US"/>
        </w:rPr>
        <w:t>(d)</w:t>
      </w:r>
      <w:r w:rsidR="00EA6857">
        <w:rPr>
          <w:rFonts w:eastAsia="Verdana"/>
          <w:lang w:val="en-US"/>
        </w:rPr>
        <w:t>,</w:t>
      </w:r>
      <w:r w:rsidRPr="001E7DAE">
        <w:rPr>
          <w:rFonts w:eastAsia="Verdana"/>
          <w:lang w:val="en-US"/>
        </w:rPr>
        <w:t xml:space="preserve"> </w:t>
      </w:r>
      <w:r w:rsidR="00A40D98">
        <w:rPr>
          <w:rFonts w:eastAsia="Verdana"/>
          <w:lang w:val="en-US"/>
        </w:rPr>
        <w:t xml:space="preserve">of the Covenant, </w:t>
      </w:r>
      <w:r w:rsidRPr="001E7DAE">
        <w:rPr>
          <w:rFonts w:eastAsia="Verdana"/>
          <w:lang w:val="en-US"/>
        </w:rPr>
        <w:t>to be tried in his presence ha</w:t>
      </w:r>
      <w:r w:rsidR="00F41C5D">
        <w:rPr>
          <w:rFonts w:eastAsia="Verdana"/>
          <w:lang w:val="en-US"/>
        </w:rPr>
        <w:t>d</w:t>
      </w:r>
      <w:r w:rsidRPr="001E7DAE">
        <w:rPr>
          <w:rFonts w:eastAsia="Verdana"/>
          <w:lang w:val="en-US"/>
        </w:rPr>
        <w:t xml:space="preserve"> been violated</w:t>
      </w:r>
      <w:r w:rsidR="00EA6857">
        <w:rPr>
          <w:rFonts w:eastAsia="Verdana"/>
          <w:lang w:val="en-US"/>
        </w:rPr>
        <w:t>,</w:t>
      </w:r>
      <w:r w:rsidRPr="001E7DAE">
        <w:rPr>
          <w:rFonts w:eastAsia="Verdana"/>
          <w:lang w:val="en-US"/>
        </w:rPr>
        <w:t xml:space="preserve"> since he had sent a written request to the </w:t>
      </w:r>
      <w:r w:rsidR="00085709">
        <w:rPr>
          <w:rFonts w:eastAsia="Verdana"/>
          <w:lang w:val="en-US"/>
        </w:rPr>
        <w:t>a</w:t>
      </w:r>
      <w:r>
        <w:rPr>
          <w:rFonts w:eastAsia="Verdana"/>
          <w:lang w:val="en-US"/>
        </w:rPr>
        <w:t xml:space="preserve">ppellate </w:t>
      </w:r>
      <w:r w:rsidR="00085709">
        <w:rPr>
          <w:rFonts w:eastAsia="Verdana"/>
          <w:lang w:val="en-US"/>
        </w:rPr>
        <w:t>c</w:t>
      </w:r>
      <w:r w:rsidRPr="001E7DAE">
        <w:rPr>
          <w:rFonts w:eastAsia="Verdana"/>
          <w:lang w:val="en-US"/>
        </w:rPr>
        <w:t xml:space="preserve">ourt to be present at the appellate hearing, </w:t>
      </w:r>
      <w:r w:rsidR="00F41C5D">
        <w:rPr>
          <w:rFonts w:eastAsia="Verdana"/>
          <w:lang w:val="en-US"/>
        </w:rPr>
        <w:t>which the</w:t>
      </w:r>
      <w:r w:rsidRPr="001E7DAE">
        <w:rPr>
          <w:rFonts w:eastAsia="Verdana"/>
          <w:lang w:val="en-US"/>
        </w:rPr>
        <w:t xml:space="preserve"> court rejected, referring to provisions of the domestic legislation (</w:t>
      </w:r>
      <w:r w:rsidR="00A12481">
        <w:rPr>
          <w:rFonts w:eastAsia="Verdana"/>
          <w:lang w:val="en-US"/>
        </w:rPr>
        <w:t>art</w:t>
      </w:r>
      <w:r w:rsidR="00F41C5D">
        <w:rPr>
          <w:rFonts w:eastAsia="Verdana"/>
          <w:lang w:val="en-US"/>
        </w:rPr>
        <w:t>.</w:t>
      </w:r>
      <w:r w:rsidR="00A12481">
        <w:rPr>
          <w:rFonts w:eastAsia="Verdana"/>
          <w:lang w:val="en-US"/>
        </w:rPr>
        <w:t> </w:t>
      </w:r>
      <w:r w:rsidRPr="001E7DAE">
        <w:rPr>
          <w:rFonts w:eastAsia="Verdana"/>
          <w:lang w:val="en-US"/>
        </w:rPr>
        <w:t xml:space="preserve">382.2 and </w:t>
      </w:r>
      <w:r w:rsidR="00957C24">
        <w:rPr>
          <w:rFonts w:eastAsia="Verdana"/>
          <w:lang w:val="en-US"/>
        </w:rPr>
        <w:t xml:space="preserve">art. </w:t>
      </w:r>
      <w:r w:rsidRPr="001E7DAE">
        <w:rPr>
          <w:rFonts w:eastAsia="Verdana"/>
          <w:lang w:val="en-US"/>
        </w:rPr>
        <w:t>382.4 of the Criminal Procedur</w:t>
      </w:r>
      <w:r w:rsidR="00957C24">
        <w:rPr>
          <w:rFonts w:eastAsia="Verdana"/>
          <w:lang w:val="en-US"/>
        </w:rPr>
        <w:t>e</w:t>
      </w:r>
      <w:r w:rsidRPr="001E7DAE">
        <w:rPr>
          <w:rFonts w:eastAsia="Verdana"/>
          <w:lang w:val="en-US"/>
        </w:rPr>
        <w:t xml:space="preserve"> Code)</w:t>
      </w:r>
      <w:r w:rsidR="00F41C5D">
        <w:rPr>
          <w:rFonts w:eastAsia="Verdana"/>
          <w:lang w:val="en-US"/>
        </w:rPr>
        <w:t>, under</w:t>
      </w:r>
      <w:r w:rsidRPr="001E7DAE">
        <w:rPr>
          <w:rFonts w:eastAsia="Verdana"/>
          <w:lang w:val="en-US"/>
        </w:rPr>
        <w:t xml:space="preserve"> which the </w:t>
      </w:r>
      <w:r w:rsidRPr="00F4101B">
        <w:rPr>
          <w:rFonts w:eastAsia="Verdana"/>
        </w:rPr>
        <w:t>court</w:t>
      </w:r>
      <w:r w:rsidRPr="001E7DAE">
        <w:rPr>
          <w:rFonts w:eastAsia="Verdana"/>
          <w:lang w:val="en-US"/>
        </w:rPr>
        <w:t xml:space="preserve"> </w:t>
      </w:r>
      <w:r w:rsidR="00F41C5D">
        <w:rPr>
          <w:rFonts w:eastAsia="Verdana"/>
          <w:lang w:val="en-US"/>
        </w:rPr>
        <w:t xml:space="preserve">is not obliged </w:t>
      </w:r>
      <w:r w:rsidRPr="001E7DAE">
        <w:rPr>
          <w:rFonts w:eastAsia="Verdana"/>
          <w:lang w:val="en-US"/>
        </w:rPr>
        <w:t xml:space="preserve">to </w:t>
      </w:r>
      <w:r w:rsidR="00F41C5D">
        <w:rPr>
          <w:rFonts w:eastAsia="Verdana"/>
          <w:lang w:val="en-US"/>
        </w:rPr>
        <w:t>ensure</w:t>
      </w:r>
      <w:r w:rsidR="00F41C5D" w:rsidRPr="001E7DAE">
        <w:rPr>
          <w:rFonts w:eastAsia="Verdana"/>
          <w:lang w:val="en-US"/>
        </w:rPr>
        <w:t xml:space="preserve"> </w:t>
      </w:r>
      <w:r w:rsidRPr="001E7DAE">
        <w:rPr>
          <w:rFonts w:eastAsia="Verdana"/>
          <w:lang w:val="en-US"/>
        </w:rPr>
        <w:t xml:space="preserve">the participation of the accused in the hearings. In this case the appellate court considered not only questions of the law, but also the actual circumstances of the case and the question of </w:t>
      </w:r>
      <w:r w:rsidR="00957C24">
        <w:rPr>
          <w:rFonts w:eastAsia="Verdana"/>
          <w:lang w:val="en-US"/>
        </w:rPr>
        <w:t xml:space="preserve">the </w:t>
      </w:r>
      <w:r w:rsidRPr="001E7DAE">
        <w:rPr>
          <w:rFonts w:eastAsia="Verdana"/>
          <w:lang w:val="en-US"/>
        </w:rPr>
        <w:t xml:space="preserve">guilt of her husband. Thus, the denial of the right to be tried in his presence and be heard by the court constitutes a violation of </w:t>
      </w:r>
      <w:r w:rsidR="00A12481">
        <w:rPr>
          <w:rFonts w:eastAsia="Verdana"/>
          <w:lang w:val="en-US"/>
        </w:rPr>
        <w:t>article </w:t>
      </w:r>
      <w:r w:rsidRPr="001E7DAE">
        <w:rPr>
          <w:rFonts w:eastAsia="Verdana"/>
          <w:lang w:val="en-US"/>
        </w:rPr>
        <w:t xml:space="preserve">14, </w:t>
      </w:r>
      <w:r w:rsidR="00A12481">
        <w:rPr>
          <w:rFonts w:eastAsia="Verdana"/>
          <w:lang w:val="en-US"/>
        </w:rPr>
        <w:t>paragraph </w:t>
      </w:r>
      <w:r w:rsidR="003F5800">
        <w:rPr>
          <w:rFonts w:eastAsia="Verdana"/>
          <w:lang w:val="en-US"/>
        </w:rPr>
        <w:t>3 </w:t>
      </w:r>
      <w:r w:rsidRPr="001E7DAE">
        <w:rPr>
          <w:rFonts w:eastAsia="Verdana"/>
          <w:lang w:val="en-US"/>
        </w:rPr>
        <w:t>(d)</w:t>
      </w:r>
      <w:r w:rsidR="00957C24">
        <w:rPr>
          <w:rFonts w:eastAsia="Verdana"/>
          <w:lang w:val="en-US"/>
        </w:rPr>
        <w:t>,</w:t>
      </w:r>
      <w:r w:rsidRPr="001E7DAE">
        <w:rPr>
          <w:rFonts w:eastAsia="Verdana"/>
          <w:lang w:val="en-US"/>
        </w:rPr>
        <w:t xml:space="preserve"> of the Covenant, </w:t>
      </w:r>
      <w:r w:rsidRPr="00CC5D92">
        <w:rPr>
          <w:rFonts w:eastAsia="Verdana"/>
          <w:lang w:val="en-US"/>
        </w:rPr>
        <w:t xml:space="preserve">as well as a violation of </w:t>
      </w:r>
      <w:r w:rsidR="00A12481">
        <w:rPr>
          <w:rFonts w:eastAsia="Verdana"/>
          <w:lang w:val="en-US"/>
        </w:rPr>
        <w:t>article </w:t>
      </w:r>
      <w:r w:rsidRPr="00CC5D92">
        <w:rPr>
          <w:rFonts w:eastAsia="Verdana"/>
          <w:lang w:val="en-US"/>
        </w:rPr>
        <w:t>2 of the Covenant, as the State party has not provided the right in its internal legislation.</w:t>
      </w:r>
    </w:p>
    <w:p w:rsidR="00075FA7" w:rsidRDefault="00075FA7" w:rsidP="00D04C66">
      <w:pPr>
        <w:pStyle w:val="SingleTxtG"/>
        <w:rPr>
          <w:lang w:eastAsia="ar-SA"/>
        </w:rPr>
      </w:pPr>
      <w:r>
        <w:rPr>
          <w:lang w:eastAsia="ar-SA"/>
        </w:rPr>
        <w:t>3.9</w:t>
      </w:r>
      <w:r>
        <w:rPr>
          <w:lang w:eastAsia="ar-SA"/>
        </w:rPr>
        <w:tab/>
        <w:t xml:space="preserve">The author maintains that her husband’s rights under </w:t>
      </w:r>
      <w:r w:rsidR="00A12481">
        <w:rPr>
          <w:lang w:eastAsia="ar-SA"/>
        </w:rPr>
        <w:t>article </w:t>
      </w:r>
      <w:r>
        <w:rPr>
          <w:lang w:eastAsia="ar-SA"/>
        </w:rPr>
        <w:t xml:space="preserve">9 of the Covenant have been violated, because </w:t>
      </w:r>
      <w:r w:rsidRPr="000568AE">
        <w:rPr>
          <w:lang w:eastAsia="ar-SA"/>
        </w:rPr>
        <w:t xml:space="preserve">the decision </w:t>
      </w:r>
      <w:r w:rsidR="00DA769B">
        <w:rPr>
          <w:lang w:eastAsia="ar-SA"/>
        </w:rPr>
        <w:t>of 5 August 2011</w:t>
      </w:r>
      <w:r w:rsidR="00DA769B">
        <w:rPr>
          <w:lang w:val="en-US" w:eastAsia="ar-SA"/>
        </w:rPr>
        <w:t xml:space="preserve"> </w:t>
      </w:r>
      <w:r>
        <w:rPr>
          <w:lang w:eastAsia="ar-SA"/>
        </w:rPr>
        <w:t>regarding his</w:t>
      </w:r>
      <w:r w:rsidRPr="000568AE">
        <w:rPr>
          <w:lang w:eastAsia="ar-SA"/>
        </w:rPr>
        <w:t xml:space="preserve"> </w:t>
      </w:r>
      <w:r>
        <w:rPr>
          <w:lang w:eastAsia="ar-SA"/>
        </w:rPr>
        <w:t>remand</w:t>
      </w:r>
      <w:r w:rsidRPr="000568AE">
        <w:rPr>
          <w:lang w:eastAsia="ar-SA"/>
        </w:rPr>
        <w:t xml:space="preserve"> in custody </w:t>
      </w:r>
      <w:r>
        <w:rPr>
          <w:lang w:eastAsia="ar-SA"/>
        </w:rPr>
        <w:t xml:space="preserve">had been </w:t>
      </w:r>
      <w:r w:rsidRPr="000568AE">
        <w:rPr>
          <w:lang w:eastAsia="ar-SA"/>
        </w:rPr>
        <w:t xml:space="preserve">taken by </w:t>
      </w:r>
      <w:r>
        <w:rPr>
          <w:lang w:eastAsia="ar-SA"/>
        </w:rPr>
        <w:t xml:space="preserve">an </w:t>
      </w:r>
      <w:r w:rsidRPr="000568AE">
        <w:rPr>
          <w:lang w:eastAsia="ar-SA"/>
        </w:rPr>
        <w:t xml:space="preserve">investigative organ and </w:t>
      </w:r>
      <w:r>
        <w:rPr>
          <w:lang w:eastAsia="ar-SA"/>
        </w:rPr>
        <w:t xml:space="preserve">neither that decision, nor </w:t>
      </w:r>
      <w:r w:rsidRPr="000568AE">
        <w:rPr>
          <w:lang w:eastAsia="ar-SA"/>
        </w:rPr>
        <w:t xml:space="preserve">the </w:t>
      </w:r>
      <w:r w:rsidR="00073840">
        <w:rPr>
          <w:lang w:val="en-US" w:eastAsia="ar-SA"/>
        </w:rPr>
        <w:t xml:space="preserve">review </w:t>
      </w:r>
      <w:r>
        <w:rPr>
          <w:lang w:eastAsia="ar-SA"/>
        </w:rPr>
        <w:t>decisions of the P</w:t>
      </w:r>
      <w:r w:rsidRPr="00050E53">
        <w:rPr>
          <w:rFonts w:eastAsia="Verdana"/>
        </w:rPr>
        <w:t>ervoma</w:t>
      </w:r>
      <w:r w:rsidR="00874B8D">
        <w:rPr>
          <w:rFonts w:eastAsia="Verdana"/>
          <w:lang w:val="en-US"/>
        </w:rPr>
        <w:t>y</w:t>
      </w:r>
      <w:r w:rsidRPr="00050E53">
        <w:rPr>
          <w:rFonts w:eastAsia="Verdana"/>
        </w:rPr>
        <w:t>skiy District Court in Minsk</w:t>
      </w:r>
      <w:r w:rsidR="00DA769B">
        <w:rPr>
          <w:rFonts w:eastAsia="Verdana"/>
          <w:lang w:val="en-US"/>
        </w:rPr>
        <w:t>,</w:t>
      </w:r>
      <w:r>
        <w:rPr>
          <w:lang w:eastAsia="ar-SA"/>
        </w:rPr>
        <w:t xml:space="preserve"> contained</w:t>
      </w:r>
      <w:r w:rsidRPr="000568AE">
        <w:rPr>
          <w:lang w:eastAsia="ar-SA"/>
        </w:rPr>
        <w:t xml:space="preserve"> any </w:t>
      </w:r>
      <w:r w:rsidR="00DA769B">
        <w:rPr>
          <w:lang w:val="en-US" w:eastAsia="ar-SA"/>
        </w:rPr>
        <w:t>justification</w:t>
      </w:r>
      <w:r w:rsidR="00DA769B">
        <w:rPr>
          <w:lang w:eastAsia="ar-SA"/>
        </w:rPr>
        <w:t xml:space="preserve"> </w:t>
      </w:r>
      <w:r w:rsidR="00DA769B">
        <w:rPr>
          <w:lang w:val="en-US" w:eastAsia="ar-SA"/>
        </w:rPr>
        <w:t>of</w:t>
      </w:r>
      <w:r>
        <w:rPr>
          <w:lang w:eastAsia="ar-SA"/>
        </w:rPr>
        <w:t xml:space="preserve"> the</w:t>
      </w:r>
      <w:r w:rsidRPr="000568AE">
        <w:rPr>
          <w:lang w:eastAsia="ar-SA"/>
        </w:rPr>
        <w:t xml:space="preserve"> necessity, </w:t>
      </w:r>
      <w:r w:rsidRPr="00F4101B">
        <w:lastRenderedPageBreak/>
        <w:t>reasonableness</w:t>
      </w:r>
      <w:r w:rsidRPr="000568AE">
        <w:rPr>
          <w:lang w:eastAsia="ar-SA"/>
        </w:rPr>
        <w:t xml:space="preserve"> and </w:t>
      </w:r>
      <w:r w:rsidR="006B077B">
        <w:rPr>
          <w:lang w:val="en-US" w:eastAsia="ar-SA"/>
        </w:rPr>
        <w:t>proportionality</w:t>
      </w:r>
      <w:r w:rsidR="006B077B">
        <w:rPr>
          <w:lang w:eastAsia="ar-SA"/>
        </w:rPr>
        <w:t xml:space="preserve"> </w:t>
      </w:r>
      <w:r>
        <w:rPr>
          <w:lang w:eastAsia="ar-SA"/>
        </w:rPr>
        <w:t>of the custodial measure</w:t>
      </w:r>
      <w:r w:rsidRPr="000568AE">
        <w:rPr>
          <w:lang w:eastAsia="ar-SA"/>
        </w:rPr>
        <w:t xml:space="preserve">, which is a violation of </w:t>
      </w:r>
      <w:r w:rsidR="00DA769B">
        <w:rPr>
          <w:lang w:val="en-US" w:eastAsia="ar-SA"/>
        </w:rPr>
        <w:t xml:space="preserve">the </w:t>
      </w:r>
      <w:r w:rsidRPr="000568AE">
        <w:rPr>
          <w:lang w:eastAsia="ar-SA"/>
        </w:rPr>
        <w:t>requirements of</w:t>
      </w:r>
      <w:r>
        <w:rPr>
          <w:lang w:eastAsia="ar-SA"/>
        </w:rPr>
        <w:t xml:space="preserve"> </w:t>
      </w:r>
      <w:r w:rsidR="00A12481">
        <w:rPr>
          <w:lang w:eastAsia="ar-SA"/>
        </w:rPr>
        <w:t>article </w:t>
      </w:r>
      <w:r w:rsidRPr="000568AE">
        <w:rPr>
          <w:lang w:eastAsia="ar-SA"/>
        </w:rPr>
        <w:t>126</w:t>
      </w:r>
      <w:r w:rsidR="00635F56">
        <w:rPr>
          <w:lang w:val="en-US" w:eastAsia="ar-SA"/>
        </w:rPr>
        <w:t>.</w:t>
      </w:r>
      <w:r>
        <w:rPr>
          <w:lang w:eastAsia="ar-SA"/>
        </w:rPr>
        <w:t>2</w:t>
      </w:r>
      <w:r w:rsidRPr="000568AE">
        <w:rPr>
          <w:lang w:eastAsia="ar-SA"/>
        </w:rPr>
        <w:t xml:space="preserve"> of the Criminal Procedur</w:t>
      </w:r>
      <w:r w:rsidR="00DA769B">
        <w:rPr>
          <w:lang w:val="en-US" w:eastAsia="ar-SA"/>
        </w:rPr>
        <w:t>e</w:t>
      </w:r>
      <w:r w:rsidRPr="000568AE">
        <w:rPr>
          <w:lang w:eastAsia="ar-SA"/>
        </w:rPr>
        <w:t xml:space="preserve"> Code</w:t>
      </w:r>
      <w:r>
        <w:rPr>
          <w:lang w:eastAsia="ar-SA"/>
        </w:rPr>
        <w:t xml:space="preserve">. </w:t>
      </w:r>
      <w:r w:rsidRPr="000568AE">
        <w:rPr>
          <w:lang w:eastAsia="ar-SA"/>
        </w:rPr>
        <w:t xml:space="preserve">The </w:t>
      </w:r>
      <w:r w:rsidR="00DA769B">
        <w:rPr>
          <w:lang w:val="en-US" w:eastAsia="ar-SA"/>
        </w:rPr>
        <w:t xml:space="preserve">reasons </w:t>
      </w:r>
      <w:r w:rsidRPr="001529FE">
        <w:rPr>
          <w:lang w:eastAsia="ar-SA"/>
        </w:rPr>
        <w:t xml:space="preserve">indicated </w:t>
      </w:r>
      <w:r w:rsidR="00DA769B">
        <w:rPr>
          <w:lang w:val="en-US" w:eastAsia="ar-SA"/>
        </w:rPr>
        <w:t>in the decisions refer</w:t>
      </w:r>
      <w:r w:rsidRPr="000568AE">
        <w:rPr>
          <w:lang w:eastAsia="ar-SA"/>
        </w:rPr>
        <w:t xml:space="preserve"> either</w:t>
      </w:r>
      <w:r w:rsidR="00DA769B">
        <w:rPr>
          <w:lang w:val="en-US" w:eastAsia="ar-SA"/>
        </w:rPr>
        <w:t xml:space="preserve"> to</w:t>
      </w:r>
      <w:r w:rsidRPr="000568AE">
        <w:rPr>
          <w:lang w:eastAsia="ar-SA"/>
        </w:rPr>
        <w:t xml:space="preserve"> </w:t>
      </w:r>
      <w:r w:rsidRPr="00EE46BB">
        <w:rPr>
          <w:lang w:eastAsia="ar-SA"/>
        </w:rPr>
        <w:t>abstract formula</w:t>
      </w:r>
      <w:r w:rsidR="00DA769B" w:rsidRPr="00EE46BB">
        <w:rPr>
          <w:lang w:val="en-US" w:eastAsia="ar-SA"/>
        </w:rPr>
        <w:t>s</w:t>
      </w:r>
      <w:r w:rsidRPr="000568AE">
        <w:rPr>
          <w:lang w:eastAsia="ar-SA"/>
        </w:rPr>
        <w:t xml:space="preserve"> from legal acts</w:t>
      </w:r>
      <w:r w:rsidR="00DA769B">
        <w:rPr>
          <w:lang w:val="en-US" w:eastAsia="ar-SA"/>
        </w:rPr>
        <w:t xml:space="preserve">, </w:t>
      </w:r>
      <w:r>
        <w:rPr>
          <w:lang w:eastAsia="ar-SA"/>
        </w:rPr>
        <w:t>for example</w:t>
      </w:r>
      <w:r w:rsidR="00DA769B">
        <w:rPr>
          <w:lang w:val="en-US" w:eastAsia="ar-SA"/>
        </w:rPr>
        <w:t xml:space="preserve">, </w:t>
      </w:r>
      <w:r w:rsidR="002744D7">
        <w:rPr>
          <w:lang w:val="en-US" w:eastAsia="ar-SA"/>
        </w:rPr>
        <w:t xml:space="preserve">the possibility </w:t>
      </w:r>
      <w:r w:rsidR="00DA769B">
        <w:rPr>
          <w:lang w:val="en-US" w:eastAsia="ar-SA"/>
        </w:rPr>
        <w:t>that the defendant could</w:t>
      </w:r>
      <w:r>
        <w:rPr>
          <w:lang w:eastAsia="ar-SA"/>
        </w:rPr>
        <w:t xml:space="preserve"> “</w:t>
      </w:r>
      <w:r w:rsidRPr="000568AE">
        <w:rPr>
          <w:lang w:eastAsia="ar-SA"/>
        </w:rPr>
        <w:t>escape from the criminal prosecution organs and the court</w:t>
      </w:r>
      <w:r>
        <w:rPr>
          <w:lang w:eastAsia="ar-SA"/>
        </w:rPr>
        <w:t>”</w:t>
      </w:r>
      <w:r w:rsidRPr="000568AE">
        <w:rPr>
          <w:lang w:eastAsia="ar-SA"/>
        </w:rPr>
        <w:t xml:space="preserve">, </w:t>
      </w:r>
      <w:r>
        <w:rPr>
          <w:lang w:eastAsia="ar-SA"/>
        </w:rPr>
        <w:t>“</w:t>
      </w:r>
      <w:r w:rsidRPr="000568AE">
        <w:rPr>
          <w:lang w:eastAsia="ar-SA"/>
        </w:rPr>
        <w:t>create obstacles to the preliminary investigation of the criminal case or its consideration by the court</w:t>
      </w:r>
      <w:r>
        <w:rPr>
          <w:lang w:eastAsia="ar-SA"/>
        </w:rPr>
        <w:t>”</w:t>
      </w:r>
      <w:r w:rsidR="002744D7">
        <w:rPr>
          <w:lang w:val="en-US" w:eastAsia="ar-SA"/>
        </w:rPr>
        <w:t xml:space="preserve"> or</w:t>
      </w:r>
      <w:r w:rsidRPr="000568AE">
        <w:rPr>
          <w:lang w:eastAsia="ar-SA"/>
        </w:rPr>
        <w:t xml:space="preserve"> </w:t>
      </w:r>
      <w:r>
        <w:rPr>
          <w:lang w:eastAsia="ar-SA"/>
        </w:rPr>
        <w:t>“</w:t>
      </w:r>
      <w:r w:rsidRPr="000568AE">
        <w:rPr>
          <w:lang w:eastAsia="ar-SA"/>
        </w:rPr>
        <w:t>conceal or forge materials whi</w:t>
      </w:r>
      <w:r>
        <w:rPr>
          <w:lang w:eastAsia="ar-SA"/>
        </w:rPr>
        <w:t>ch are significant for the case”</w:t>
      </w:r>
      <w:r w:rsidR="002744D7">
        <w:rPr>
          <w:lang w:val="en-US" w:eastAsia="ar-SA"/>
        </w:rPr>
        <w:t>,</w:t>
      </w:r>
      <w:r w:rsidRPr="000568AE">
        <w:rPr>
          <w:lang w:eastAsia="ar-SA"/>
        </w:rPr>
        <w:t xml:space="preserve"> or are</w:t>
      </w:r>
      <w:r w:rsidR="00DA769B">
        <w:rPr>
          <w:lang w:val="en-US" w:eastAsia="ar-SA"/>
        </w:rPr>
        <w:t xml:space="preserve"> not</w:t>
      </w:r>
      <w:r w:rsidRPr="000568AE">
        <w:rPr>
          <w:lang w:eastAsia="ar-SA"/>
        </w:rPr>
        <w:t xml:space="preserve"> provided </w:t>
      </w:r>
      <w:r w:rsidR="00DA769B">
        <w:rPr>
          <w:lang w:val="en-US" w:eastAsia="ar-SA"/>
        </w:rPr>
        <w:t>for under</w:t>
      </w:r>
      <w:r w:rsidR="00DA769B" w:rsidRPr="000568AE">
        <w:rPr>
          <w:lang w:eastAsia="ar-SA"/>
        </w:rPr>
        <w:t xml:space="preserve"> </w:t>
      </w:r>
      <w:r w:rsidRPr="000568AE">
        <w:rPr>
          <w:lang w:eastAsia="ar-SA"/>
        </w:rPr>
        <w:t>the law</w:t>
      </w:r>
      <w:r w:rsidR="002744D7">
        <w:rPr>
          <w:lang w:val="en-US" w:eastAsia="ar-SA"/>
        </w:rPr>
        <w:t xml:space="preserve">, </w:t>
      </w:r>
      <w:r>
        <w:rPr>
          <w:lang w:eastAsia="ar-SA"/>
        </w:rPr>
        <w:t>for example “</w:t>
      </w:r>
      <w:r w:rsidRPr="000568AE">
        <w:rPr>
          <w:lang w:eastAsia="ar-SA"/>
        </w:rPr>
        <w:t>for the purpose of securing the proper consideration of the criminal case</w:t>
      </w:r>
      <w:r>
        <w:rPr>
          <w:lang w:eastAsia="ar-SA"/>
        </w:rPr>
        <w:t xml:space="preserve">”. There is no assessment of </w:t>
      </w:r>
      <w:r w:rsidRPr="000568AE">
        <w:rPr>
          <w:lang w:eastAsia="ar-SA"/>
        </w:rPr>
        <w:t xml:space="preserve">concrete evidence of </w:t>
      </w:r>
      <w:r w:rsidR="002744D7">
        <w:rPr>
          <w:lang w:val="en-US" w:eastAsia="ar-SA"/>
        </w:rPr>
        <w:t>a</w:t>
      </w:r>
      <w:r w:rsidR="002744D7" w:rsidRPr="000568AE">
        <w:rPr>
          <w:lang w:eastAsia="ar-SA"/>
        </w:rPr>
        <w:t xml:space="preserve"> </w:t>
      </w:r>
      <w:r w:rsidRPr="000568AE">
        <w:rPr>
          <w:lang w:eastAsia="ar-SA"/>
        </w:rPr>
        <w:t>real danger that the accused c</w:t>
      </w:r>
      <w:r w:rsidR="002744D7">
        <w:rPr>
          <w:lang w:val="en-US" w:eastAsia="ar-SA"/>
        </w:rPr>
        <w:t>ould</w:t>
      </w:r>
      <w:r w:rsidRPr="000568AE">
        <w:rPr>
          <w:lang w:eastAsia="ar-SA"/>
        </w:rPr>
        <w:t xml:space="preserve"> escape from justice, destroy evidence or violate the law.</w:t>
      </w:r>
      <w:r>
        <w:rPr>
          <w:lang w:eastAsia="ar-SA"/>
        </w:rPr>
        <w:t xml:space="preserve"> Further</w:t>
      </w:r>
      <w:r w:rsidRPr="000568AE">
        <w:rPr>
          <w:lang w:eastAsia="ar-SA"/>
        </w:rPr>
        <w:t>, the decisions of the courts taken on the question of the legality of the custodial placement</w:t>
      </w:r>
      <w:r>
        <w:rPr>
          <w:lang w:eastAsia="ar-SA"/>
        </w:rPr>
        <w:t xml:space="preserve"> were based on </w:t>
      </w:r>
      <w:r w:rsidR="00A12481" w:rsidRPr="00635F56">
        <w:rPr>
          <w:lang w:eastAsia="ar-SA"/>
        </w:rPr>
        <w:t>article </w:t>
      </w:r>
      <w:r w:rsidRPr="00635F56">
        <w:rPr>
          <w:lang w:eastAsia="ar-SA"/>
        </w:rPr>
        <w:t>126</w:t>
      </w:r>
      <w:r w:rsidR="00635F56">
        <w:rPr>
          <w:lang w:val="en-US" w:eastAsia="ar-SA"/>
        </w:rPr>
        <w:t>.</w:t>
      </w:r>
      <w:r w:rsidRPr="00635F56">
        <w:rPr>
          <w:lang w:eastAsia="ar-SA"/>
        </w:rPr>
        <w:t>1</w:t>
      </w:r>
      <w:r w:rsidRPr="000568AE">
        <w:rPr>
          <w:lang w:eastAsia="ar-SA"/>
        </w:rPr>
        <w:t xml:space="preserve"> of the Criminal Procedur</w:t>
      </w:r>
      <w:r w:rsidR="002744D7">
        <w:rPr>
          <w:lang w:val="en-US" w:eastAsia="ar-SA"/>
        </w:rPr>
        <w:t>e</w:t>
      </w:r>
      <w:r w:rsidRPr="000568AE">
        <w:rPr>
          <w:lang w:eastAsia="ar-SA"/>
        </w:rPr>
        <w:t xml:space="preserve"> Code, </w:t>
      </w:r>
      <w:r w:rsidR="002744D7">
        <w:rPr>
          <w:lang w:val="en-US" w:eastAsia="ar-SA"/>
        </w:rPr>
        <w:t>pursuant</w:t>
      </w:r>
      <w:r w:rsidR="002744D7" w:rsidRPr="000568AE">
        <w:rPr>
          <w:lang w:eastAsia="ar-SA"/>
        </w:rPr>
        <w:t xml:space="preserve"> </w:t>
      </w:r>
      <w:r w:rsidRPr="000568AE">
        <w:rPr>
          <w:lang w:eastAsia="ar-SA"/>
        </w:rPr>
        <w:t xml:space="preserve">to which the measure of restraint in the form of custodial placement can be applied to persons who are suspected of committing </w:t>
      </w:r>
      <w:r w:rsidR="002744D7">
        <w:rPr>
          <w:lang w:val="en-US" w:eastAsia="ar-SA"/>
        </w:rPr>
        <w:t>serious</w:t>
      </w:r>
      <w:r w:rsidRPr="000568AE">
        <w:rPr>
          <w:lang w:eastAsia="ar-SA"/>
        </w:rPr>
        <w:t xml:space="preserve"> </w:t>
      </w:r>
      <w:r w:rsidR="002744D7">
        <w:rPr>
          <w:lang w:val="en-US" w:eastAsia="ar-SA"/>
        </w:rPr>
        <w:t>offences</w:t>
      </w:r>
      <w:r w:rsidRPr="000568AE">
        <w:rPr>
          <w:lang w:eastAsia="ar-SA"/>
        </w:rPr>
        <w:t xml:space="preserve"> solely on the basis of the </w:t>
      </w:r>
      <w:r w:rsidR="002744D7">
        <w:rPr>
          <w:lang w:val="en-US" w:eastAsia="ar-SA"/>
        </w:rPr>
        <w:t>level</w:t>
      </w:r>
      <w:r w:rsidR="002744D7" w:rsidRPr="000568AE">
        <w:rPr>
          <w:lang w:eastAsia="ar-SA"/>
        </w:rPr>
        <w:t xml:space="preserve"> </w:t>
      </w:r>
      <w:r w:rsidRPr="000568AE">
        <w:rPr>
          <w:lang w:eastAsia="ar-SA"/>
        </w:rPr>
        <w:t>of the offen</w:t>
      </w:r>
      <w:r w:rsidR="002744D7">
        <w:rPr>
          <w:lang w:val="en-US" w:eastAsia="ar-SA"/>
        </w:rPr>
        <w:t>c</w:t>
      </w:r>
      <w:r w:rsidRPr="000568AE">
        <w:rPr>
          <w:lang w:eastAsia="ar-SA"/>
        </w:rPr>
        <w:t>e</w:t>
      </w:r>
      <w:r>
        <w:rPr>
          <w:lang w:eastAsia="ar-SA"/>
        </w:rPr>
        <w:t>. T</w:t>
      </w:r>
      <w:r w:rsidRPr="000568AE">
        <w:rPr>
          <w:lang w:eastAsia="ar-SA"/>
        </w:rPr>
        <w:t>he</w:t>
      </w:r>
      <w:r>
        <w:rPr>
          <w:lang w:eastAsia="ar-SA"/>
        </w:rPr>
        <w:t xml:space="preserve"> author maintains that th</w:t>
      </w:r>
      <w:r w:rsidR="002744D7">
        <w:rPr>
          <w:lang w:val="en-US" w:eastAsia="ar-SA"/>
        </w:rPr>
        <w:t>at</w:t>
      </w:r>
      <w:r>
        <w:rPr>
          <w:lang w:eastAsia="ar-SA"/>
        </w:rPr>
        <w:t xml:space="preserve"> provision</w:t>
      </w:r>
      <w:r w:rsidRPr="000568AE">
        <w:rPr>
          <w:lang w:eastAsia="ar-SA"/>
        </w:rPr>
        <w:t xml:space="preserve"> fails to meet international standards, </w:t>
      </w:r>
      <w:r>
        <w:rPr>
          <w:lang w:eastAsia="ar-SA"/>
        </w:rPr>
        <w:t xml:space="preserve">in so </w:t>
      </w:r>
      <w:r w:rsidRPr="000568AE">
        <w:rPr>
          <w:lang w:eastAsia="ar-SA"/>
        </w:rPr>
        <w:t>far as th</w:t>
      </w:r>
      <w:r w:rsidR="00D05943">
        <w:rPr>
          <w:lang w:val="en-US" w:eastAsia="ar-SA"/>
        </w:rPr>
        <w:t>at</w:t>
      </w:r>
      <w:r w:rsidRPr="000568AE">
        <w:rPr>
          <w:lang w:eastAsia="ar-SA"/>
        </w:rPr>
        <w:t xml:space="preserve"> approach is not based on the individual assessment of the possibility of </w:t>
      </w:r>
      <w:r w:rsidR="00D05943">
        <w:rPr>
          <w:lang w:val="en-US" w:eastAsia="ar-SA"/>
        </w:rPr>
        <w:t xml:space="preserve">accused engaging in </w:t>
      </w:r>
      <w:r w:rsidRPr="000568AE">
        <w:rPr>
          <w:lang w:eastAsia="ar-SA"/>
        </w:rPr>
        <w:t xml:space="preserve">unlawful </w:t>
      </w:r>
      <w:r w:rsidRPr="00845F7F">
        <w:rPr>
          <w:lang w:val="en-US" w:eastAsia="ar-SA"/>
        </w:rPr>
        <w:t>behavior</w:t>
      </w:r>
      <w:r w:rsidRPr="000568AE">
        <w:rPr>
          <w:lang w:eastAsia="ar-SA"/>
        </w:rPr>
        <w:t xml:space="preserve"> during the investigation of the case and its consideration by</w:t>
      </w:r>
      <w:r w:rsidR="00D05943">
        <w:rPr>
          <w:lang w:val="en-US" w:eastAsia="ar-SA"/>
        </w:rPr>
        <w:t xml:space="preserve"> the</w:t>
      </w:r>
      <w:r w:rsidRPr="000568AE">
        <w:rPr>
          <w:lang w:eastAsia="ar-SA"/>
        </w:rPr>
        <w:t xml:space="preserve"> court. </w:t>
      </w:r>
      <w:r>
        <w:rPr>
          <w:lang w:eastAsia="ar-SA"/>
        </w:rPr>
        <w:t xml:space="preserve">The author maintains that </w:t>
      </w:r>
      <w:r w:rsidR="00D05943">
        <w:rPr>
          <w:lang w:val="en-US" w:eastAsia="ar-SA"/>
        </w:rPr>
        <w:t>under</w:t>
      </w:r>
      <w:r>
        <w:rPr>
          <w:lang w:eastAsia="ar-SA"/>
        </w:rPr>
        <w:t xml:space="preserve"> these c</w:t>
      </w:r>
      <w:r w:rsidRPr="000568AE">
        <w:rPr>
          <w:lang w:eastAsia="ar-SA"/>
        </w:rPr>
        <w:t xml:space="preserve">ircumstances </w:t>
      </w:r>
      <w:r>
        <w:rPr>
          <w:lang w:eastAsia="ar-SA"/>
        </w:rPr>
        <w:t>her husband’s detention constituted an</w:t>
      </w:r>
      <w:r w:rsidRPr="000568AE">
        <w:rPr>
          <w:lang w:eastAsia="ar-SA"/>
        </w:rPr>
        <w:t xml:space="preserve"> arbitrary custodial placement in violation of </w:t>
      </w:r>
      <w:r w:rsidR="00A12481">
        <w:rPr>
          <w:lang w:eastAsia="ar-SA"/>
        </w:rPr>
        <w:t>article </w:t>
      </w:r>
      <w:r w:rsidRPr="000568AE">
        <w:rPr>
          <w:lang w:eastAsia="ar-SA"/>
        </w:rPr>
        <w:t>9</w:t>
      </w:r>
      <w:r>
        <w:rPr>
          <w:lang w:eastAsia="ar-SA"/>
        </w:rPr>
        <w:t xml:space="preserve">, </w:t>
      </w:r>
      <w:r w:rsidR="00A12481">
        <w:rPr>
          <w:lang w:eastAsia="ar-SA"/>
        </w:rPr>
        <w:t>paragraph </w:t>
      </w:r>
      <w:r>
        <w:rPr>
          <w:lang w:eastAsia="ar-SA"/>
        </w:rPr>
        <w:t>1</w:t>
      </w:r>
      <w:r w:rsidR="00D05943">
        <w:rPr>
          <w:lang w:val="en-US" w:eastAsia="ar-SA"/>
        </w:rPr>
        <w:t>,</w:t>
      </w:r>
      <w:r w:rsidRPr="000568AE">
        <w:rPr>
          <w:lang w:eastAsia="ar-SA"/>
        </w:rPr>
        <w:t xml:space="preserve"> of the Covenant.</w:t>
      </w:r>
    </w:p>
    <w:p w:rsidR="00075FA7" w:rsidRDefault="00075FA7" w:rsidP="00CD161C">
      <w:pPr>
        <w:pStyle w:val="SingleTxtG"/>
        <w:rPr>
          <w:bCs/>
          <w:lang w:eastAsia="ar-SA"/>
        </w:rPr>
      </w:pPr>
      <w:r>
        <w:rPr>
          <w:lang w:eastAsia="ar-SA"/>
        </w:rPr>
        <w:t>3.10</w:t>
      </w:r>
      <w:r>
        <w:rPr>
          <w:lang w:eastAsia="ar-SA"/>
        </w:rPr>
        <w:tab/>
        <w:t xml:space="preserve">The author submits that, according </w:t>
      </w:r>
      <w:r w:rsidRPr="000568AE">
        <w:rPr>
          <w:lang w:eastAsia="ar-SA"/>
        </w:rPr>
        <w:t>to the Criminal Procedur</w:t>
      </w:r>
      <w:r w:rsidR="000C3175">
        <w:rPr>
          <w:lang w:val="en-US" w:eastAsia="ar-SA"/>
        </w:rPr>
        <w:t>e</w:t>
      </w:r>
      <w:r w:rsidRPr="000568AE">
        <w:rPr>
          <w:lang w:eastAsia="ar-SA"/>
        </w:rPr>
        <w:t xml:space="preserve"> Code</w:t>
      </w:r>
      <w:r w:rsidR="000C3175">
        <w:rPr>
          <w:lang w:val="en-US" w:eastAsia="ar-SA"/>
        </w:rPr>
        <w:t>,</w:t>
      </w:r>
      <w:r w:rsidRPr="000568AE">
        <w:rPr>
          <w:lang w:eastAsia="ar-SA"/>
        </w:rPr>
        <w:t xml:space="preserve"> </w:t>
      </w:r>
      <w:r>
        <w:rPr>
          <w:lang w:eastAsia="ar-SA"/>
        </w:rPr>
        <w:t xml:space="preserve">a </w:t>
      </w:r>
      <w:r w:rsidRPr="000568AE">
        <w:rPr>
          <w:lang w:eastAsia="ar-SA"/>
        </w:rPr>
        <w:t xml:space="preserve">custodial placement is </w:t>
      </w:r>
      <w:r w:rsidR="000C3175">
        <w:rPr>
          <w:lang w:val="en-US" w:eastAsia="ar-SA"/>
        </w:rPr>
        <w:t>made</w:t>
      </w:r>
      <w:r w:rsidR="000C3175" w:rsidRPr="000568AE">
        <w:rPr>
          <w:lang w:eastAsia="ar-SA"/>
        </w:rPr>
        <w:t xml:space="preserve"> </w:t>
      </w:r>
      <w:r w:rsidRPr="000568AE">
        <w:rPr>
          <w:lang w:eastAsia="ar-SA"/>
        </w:rPr>
        <w:t xml:space="preserve">on the basis of </w:t>
      </w:r>
      <w:r>
        <w:rPr>
          <w:lang w:eastAsia="ar-SA"/>
        </w:rPr>
        <w:t xml:space="preserve">a </w:t>
      </w:r>
      <w:r w:rsidRPr="000568AE">
        <w:rPr>
          <w:lang w:eastAsia="ar-SA"/>
        </w:rPr>
        <w:t xml:space="preserve">decision of the investigator </w:t>
      </w:r>
      <w:r w:rsidR="000C3175">
        <w:rPr>
          <w:lang w:val="en-US" w:eastAsia="ar-SA"/>
        </w:rPr>
        <w:t xml:space="preserve">and </w:t>
      </w:r>
      <w:r w:rsidRPr="000568AE">
        <w:rPr>
          <w:lang w:eastAsia="ar-SA"/>
        </w:rPr>
        <w:t xml:space="preserve">sanctioned by </w:t>
      </w:r>
      <w:r w:rsidR="00CD161C">
        <w:rPr>
          <w:lang w:val="en-US" w:eastAsia="ar-SA"/>
        </w:rPr>
        <w:t>a</w:t>
      </w:r>
      <w:r w:rsidRPr="000568AE">
        <w:rPr>
          <w:lang w:eastAsia="ar-SA"/>
        </w:rPr>
        <w:t xml:space="preserve"> prosecutor or other criminal prosecution organs</w:t>
      </w:r>
      <w:r>
        <w:rPr>
          <w:lang w:eastAsia="ar-SA"/>
        </w:rPr>
        <w:t xml:space="preserve"> </w:t>
      </w:r>
      <w:r w:rsidRPr="000568AE">
        <w:rPr>
          <w:bCs/>
          <w:lang w:eastAsia="ar-SA"/>
        </w:rPr>
        <w:t>(</w:t>
      </w:r>
      <w:r w:rsidR="00A12481" w:rsidRPr="00635F56">
        <w:rPr>
          <w:bCs/>
          <w:lang w:eastAsia="ar-SA"/>
        </w:rPr>
        <w:t>art</w:t>
      </w:r>
      <w:r w:rsidR="000C3175" w:rsidRPr="00635F56">
        <w:rPr>
          <w:bCs/>
          <w:lang w:val="en-US" w:eastAsia="ar-SA"/>
        </w:rPr>
        <w:t>.</w:t>
      </w:r>
      <w:r w:rsidR="00A12481" w:rsidRPr="00635F56">
        <w:rPr>
          <w:bCs/>
          <w:lang w:eastAsia="ar-SA"/>
        </w:rPr>
        <w:t> </w:t>
      </w:r>
      <w:r w:rsidRPr="00635F56">
        <w:rPr>
          <w:bCs/>
          <w:lang w:eastAsia="ar-SA"/>
        </w:rPr>
        <w:t>126</w:t>
      </w:r>
      <w:r w:rsidR="000C3175" w:rsidRPr="00635F56">
        <w:rPr>
          <w:bCs/>
          <w:lang w:val="en-US" w:eastAsia="ar-SA"/>
        </w:rPr>
        <w:t>.</w:t>
      </w:r>
      <w:r w:rsidRPr="00635F56">
        <w:rPr>
          <w:bCs/>
          <w:lang w:eastAsia="ar-SA"/>
        </w:rPr>
        <w:t>4</w:t>
      </w:r>
      <w:r w:rsidRPr="000568AE">
        <w:rPr>
          <w:bCs/>
          <w:lang w:eastAsia="ar-SA"/>
        </w:rPr>
        <w:t xml:space="preserve"> of the Criminal </w:t>
      </w:r>
      <w:r w:rsidRPr="00F4101B">
        <w:t>Procedur</w:t>
      </w:r>
      <w:r w:rsidR="000C3175">
        <w:rPr>
          <w:lang w:val="en-US"/>
        </w:rPr>
        <w:t>e</w:t>
      </w:r>
      <w:r w:rsidRPr="000568AE">
        <w:rPr>
          <w:bCs/>
          <w:lang w:eastAsia="ar-SA"/>
        </w:rPr>
        <w:t xml:space="preserve"> Code).</w:t>
      </w:r>
      <w:r>
        <w:rPr>
          <w:bCs/>
          <w:lang w:eastAsia="ar-SA"/>
        </w:rPr>
        <w:t xml:space="preserve"> She notes that in its</w:t>
      </w:r>
      <w:r>
        <w:rPr>
          <w:lang w:eastAsia="ar-SA"/>
        </w:rPr>
        <w:t xml:space="preserve"> jurisprudence the Committee has stated that </w:t>
      </w:r>
      <w:r w:rsidRPr="000568AE">
        <w:rPr>
          <w:lang w:eastAsia="ar-SA"/>
        </w:rPr>
        <w:t xml:space="preserve">the </w:t>
      </w:r>
      <w:r w:rsidR="000C3175">
        <w:rPr>
          <w:lang w:val="en-US" w:eastAsia="ar-SA"/>
        </w:rPr>
        <w:t>S</w:t>
      </w:r>
      <w:r w:rsidRPr="000568AE">
        <w:rPr>
          <w:lang w:eastAsia="ar-SA"/>
        </w:rPr>
        <w:t xml:space="preserve">tate prosecutor is not a person who possesses the necessary institutional independence and impartiality to be considered as </w:t>
      </w:r>
      <w:r>
        <w:rPr>
          <w:lang w:eastAsia="ar-SA"/>
        </w:rPr>
        <w:t>“</w:t>
      </w:r>
      <w:r w:rsidR="000C3175">
        <w:rPr>
          <w:lang w:val="en-US" w:eastAsia="ar-SA"/>
        </w:rPr>
        <w:t>[an]</w:t>
      </w:r>
      <w:r w:rsidRPr="008228A7">
        <w:rPr>
          <w:lang w:eastAsia="ar-SA"/>
        </w:rPr>
        <w:t>other officer authorized by law to exercise judicial power</w:t>
      </w:r>
      <w:r>
        <w:rPr>
          <w:lang w:eastAsia="ar-SA"/>
        </w:rPr>
        <w:t>”,</w:t>
      </w:r>
      <w:r w:rsidRPr="000568AE">
        <w:rPr>
          <w:lang w:eastAsia="ar-SA"/>
        </w:rPr>
        <w:t xml:space="preserve"> </w:t>
      </w:r>
      <w:r>
        <w:rPr>
          <w:lang w:eastAsia="ar-SA"/>
        </w:rPr>
        <w:t>within the meaning of</w:t>
      </w:r>
      <w:r w:rsidRPr="000568AE">
        <w:rPr>
          <w:lang w:eastAsia="ar-SA"/>
        </w:rPr>
        <w:t xml:space="preserve"> </w:t>
      </w:r>
      <w:r w:rsidR="00A12481">
        <w:rPr>
          <w:lang w:eastAsia="ar-SA"/>
        </w:rPr>
        <w:t>article </w:t>
      </w:r>
      <w:r w:rsidRPr="000568AE">
        <w:rPr>
          <w:lang w:eastAsia="ar-SA"/>
        </w:rPr>
        <w:t>9</w:t>
      </w:r>
      <w:r>
        <w:rPr>
          <w:lang w:eastAsia="ar-SA"/>
        </w:rPr>
        <w:t xml:space="preserve">, </w:t>
      </w:r>
      <w:r w:rsidR="00A12481">
        <w:rPr>
          <w:lang w:eastAsia="ar-SA"/>
        </w:rPr>
        <w:t>paragraph </w:t>
      </w:r>
      <w:r>
        <w:rPr>
          <w:lang w:eastAsia="ar-SA"/>
        </w:rPr>
        <w:t>3</w:t>
      </w:r>
      <w:r w:rsidRPr="000568AE">
        <w:rPr>
          <w:bCs/>
          <w:lang w:eastAsia="ar-SA"/>
        </w:rPr>
        <w:t>, since the due administration of judicial power can be conducted only by an organ which is independent, objective, impartial and unbiased with regard to the questions under consideration.</w:t>
      </w:r>
      <w:r>
        <w:rPr>
          <w:rStyle w:val="FootnoteReference"/>
          <w:bCs/>
          <w:lang w:eastAsia="ar-SA"/>
        </w:rPr>
        <w:footnoteReference w:id="13"/>
      </w:r>
      <w:r w:rsidRPr="000568AE">
        <w:rPr>
          <w:bCs/>
          <w:lang w:eastAsia="ar-SA"/>
        </w:rPr>
        <w:t xml:space="preserve"> </w:t>
      </w:r>
      <w:r>
        <w:rPr>
          <w:bCs/>
          <w:lang w:eastAsia="ar-SA"/>
        </w:rPr>
        <w:t xml:space="preserve">She underlines that not only </w:t>
      </w:r>
      <w:r w:rsidR="000C3175">
        <w:rPr>
          <w:bCs/>
          <w:lang w:val="en-US" w:eastAsia="ar-SA"/>
        </w:rPr>
        <w:t xml:space="preserve">was </w:t>
      </w:r>
      <w:r>
        <w:rPr>
          <w:bCs/>
          <w:lang w:eastAsia="ar-SA"/>
        </w:rPr>
        <w:t>her husband</w:t>
      </w:r>
      <w:r w:rsidRPr="000568AE">
        <w:rPr>
          <w:bCs/>
          <w:lang w:eastAsia="ar-SA"/>
        </w:rPr>
        <w:t xml:space="preserve"> placed in custody </w:t>
      </w:r>
      <w:r>
        <w:rPr>
          <w:bCs/>
          <w:lang w:eastAsia="ar-SA"/>
        </w:rPr>
        <w:t>by the order of the D</w:t>
      </w:r>
      <w:r w:rsidRPr="000568AE">
        <w:rPr>
          <w:bCs/>
          <w:lang w:eastAsia="ar-SA"/>
        </w:rPr>
        <w:t xml:space="preserve">eputy </w:t>
      </w:r>
      <w:r>
        <w:rPr>
          <w:bCs/>
          <w:lang w:eastAsia="ar-SA"/>
        </w:rPr>
        <w:t>P</w:t>
      </w:r>
      <w:r w:rsidRPr="000568AE">
        <w:rPr>
          <w:bCs/>
          <w:lang w:eastAsia="ar-SA"/>
        </w:rPr>
        <w:t>rosecutor</w:t>
      </w:r>
      <w:r>
        <w:rPr>
          <w:bCs/>
          <w:lang w:eastAsia="ar-SA"/>
        </w:rPr>
        <w:t xml:space="preserve"> on 5 August 2011, but he did not appear before a court until 2 November</w:t>
      </w:r>
      <w:r w:rsidRPr="000568AE">
        <w:rPr>
          <w:bCs/>
          <w:lang w:eastAsia="ar-SA"/>
        </w:rPr>
        <w:t xml:space="preserve"> 2011. </w:t>
      </w:r>
      <w:r>
        <w:rPr>
          <w:bCs/>
          <w:lang w:eastAsia="ar-SA"/>
        </w:rPr>
        <w:t>She maintains that the delay o</w:t>
      </w:r>
      <w:r w:rsidRPr="000568AE">
        <w:rPr>
          <w:bCs/>
          <w:lang w:eastAsia="ar-SA"/>
        </w:rPr>
        <w:t xml:space="preserve">f three months must be </w:t>
      </w:r>
      <w:r>
        <w:rPr>
          <w:bCs/>
          <w:lang w:eastAsia="ar-SA"/>
        </w:rPr>
        <w:t xml:space="preserve">declared incompatible with </w:t>
      </w:r>
      <w:r w:rsidR="00A12481">
        <w:rPr>
          <w:bCs/>
          <w:lang w:eastAsia="ar-SA"/>
        </w:rPr>
        <w:t>article </w:t>
      </w:r>
      <w:r w:rsidRPr="000568AE">
        <w:rPr>
          <w:bCs/>
          <w:lang w:eastAsia="ar-SA"/>
        </w:rPr>
        <w:t>9</w:t>
      </w:r>
      <w:r>
        <w:rPr>
          <w:bCs/>
          <w:lang w:eastAsia="ar-SA"/>
        </w:rPr>
        <w:t xml:space="preserve">, </w:t>
      </w:r>
      <w:r w:rsidR="00A12481">
        <w:rPr>
          <w:bCs/>
          <w:lang w:eastAsia="ar-SA"/>
        </w:rPr>
        <w:t>paragraph </w:t>
      </w:r>
      <w:r>
        <w:rPr>
          <w:bCs/>
          <w:lang w:eastAsia="ar-SA"/>
        </w:rPr>
        <w:t>3</w:t>
      </w:r>
      <w:r w:rsidR="000C3175">
        <w:rPr>
          <w:bCs/>
          <w:lang w:val="en-US" w:eastAsia="ar-SA"/>
        </w:rPr>
        <w:t>,</w:t>
      </w:r>
      <w:r>
        <w:rPr>
          <w:bCs/>
          <w:lang w:eastAsia="ar-SA"/>
        </w:rPr>
        <w:t xml:space="preserve"> of the Covenant</w:t>
      </w:r>
      <w:r w:rsidRPr="000568AE">
        <w:rPr>
          <w:bCs/>
          <w:lang w:eastAsia="ar-SA"/>
        </w:rPr>
        <w:t>.</w:t>
      </w:r>
    </w:p>
    <w:p w:rsidR="00075FA7" w:rsidRPr="000568AE" w:rsidRDefault="00075FA7" w:rsidP="00635F56">
      <w:pPr>
        <w:pStyle w:val="SingleTxtG"/>
        <w:rPr>
          <w:lang w:eastAsia="ar-SA"/>
        </w:rPr>
      </w:pPr>
      <w:r>
        <w:rPr>
          <w:bCs/>
          <w:lang w:eastAsia="ar-SA"/>
        </w:rPr>
        <w:t>3.11</w:t>
      </w:r>
      <w:r>
        <w:rPr>
          <w:bCs/>
          <w:lang w:eastAsia="ar-SA"/>
        </w:rPr>
        <w:tab/>
      </w:r>
      <w:r>
        <w:rPr>
          <w:lang w:eastAsia="ar-SA"/>
        </w:rPr>
        <w:t xml:space="preserve">Regarding the alleged violation of her husband’s rights under </w:t>
      </w:r>
      <w:r w:rsidR="00A12481">
        <w:rPr>
          <w:lang w:eastAsia="ar-SA"/>
        </w:rPr>
        <w:t>article </w:t>
      </w:r>
      <w:r>
        <w:rPr>
          <w:lang w:eastAsia="ar-SA"/>
        </w:rPr>
        <w:t xml:space="preserve">9, </w:t>
      </w:r>
      <w:r w:rsidR="00A12481">
        <w:rPr>
          <w:lang w:eastAsia="ar-SA"/>
        </w:rPr>
        <w:t>paragraph </w:t>
      </w:r>
      <w:r>
        <w:rPr>
          <w:lang w:eastAsia="ar-SA"/>
        </w:rPr>
        <w:t>4</w:t>
      </w:r>
      <w:r w:rsidR="000C3175">
        <w:rPr>
          <w:lang w:val="en-US" w:eastAsia="ar-SA"/>
        </w:rPr>
        <w:t>,</w:t>
      </w:r>
      <w:r>
        <w:rPr>
          <w:lang w:eastAsia="ar-SA"/>
        </w:rPr>
        <w:t xml:space="preserve"> of the Covenant, the author refers to t</w:t>
      </w:r>
      <w:r w:rsidRPr="000568AE">
        <w:rPr>
          <w:lang w:eastAsia="ar-SA"/>
        </w:rPr>
        <w:t xml:space="preserve">he </w:t>
      </w:r>
      <w:r>
        <w:rPr>
          <w:lang w:eastAsia="ar-SA"/>
        </w:rPr>
        <w:t xml:space="preserve">Committee’s jurisprudence that </w:t>
      </w:r>
      <w:r w:rsidRPr="000568AE">
        <w:rPr>
          <w:lang w:eastAsia="ar-SA"/>
        </w:rPr>
        <w:t xml:space="preserve">court review of the </w:t>
      </w:r>
      <w:r w:rsidR="00927B3C">
        <w:rPr>
          <w:lang w:val="en-US" w:eastAsia="ar-SA"/>
        </w:rPr>
        <w:t>lawfulness</w:t>
      </w:r>
      <w:r w:rsidR="00927B3C" w:rsidRPr="000568AE">
        <w:rPr>
          <w:lang w:eastAsia="ar-SA"/>
        </w:rPr>
        <w:t xml:space="preserve"> </w:t>
      </w:r>
      <w:r w:rsidRPr="000568AE">
        <w:rPr>
          <w:lang w:eastAsia="ar-SA"/>
        </w:rPr>
        <w:t xml:space="preserve">of </w:t>
      </w:r>
      <w:r w:rsidR="00927B3C">
        <w:rPr>
          <w:lang w:val="en-US" w:eastAsia="ar-SA"/>
        </w:rPr>
        <w:t>detention</w:t>
      </w:r>
      <w:r w:rsidRPr="000568AE">
        <w:rPr>
          <w:lang w:eastAsia="ar-SA"/>
        </w:rPr>
        <w:t xml:space="preserve"> must include the possibility </w:t>
      </w:r>
      <w:r w:rsidR="006B03CE">
        <w:rPr>
          <w:lang w:val="en-US" w:eastAsia="ar-SA"/>
        </w:rPr>
        <w:t>of ordering</w:t>
      </w:r>
      <w:r w:rsidRPr="000568AE">
        <w:rPr>
          <w:lang w:eastAsia="ar-SA"/>
        </w:rPr>
        <w:t xml:space="preserve"> release from custody and must</w:t>
      </w:r>
      <w:r>
        <w:rPr>
          <w:lang w:eastAsia="ar-SA"/>
        </w:rPr>
        <w:t xml:space="preserve"> </w:t>
      </w:r>
      <w:r w:rsidRPr="000568AE">
        <w:rPr>
          <w:lang w:eastAsia="ar-SA"/>
        </w:rPr>
        <w:t>n</w:t>
      </w:r>
      <w:r>
        <w:rPr>
          <w:lang w:eastAsia="ar-SA"/>
        </w:rPr>
        <w:t>o</w:t>
      </w:r>
      <w:r w:rsidRPr="000568AE">
        <w:rPr>
          <w:lang w:eastAsia="ar-SA"/>
        </w:rPr>
        <w:t>t be limited to</w:t>
      </w:r>
      <w:r w:rsidR="00635F56" w:rsidRPr="00635F56">
        <w:rPr>
          <w:lang w:eastAsia="ar-SA"/>
        </w:rPr>
        <w:t xml:space="preserve"> mere formal compliance of the detention with domestic law governing the detention</w:t>
      </w:r>
      <w:r w:rsidR="00635F56">
        <w:rPr>
          <w:lang w:val="en-US" w:eastAsia="ar-SA"/>
        </w:rPr>
        <w:t>.</w:t>
      </w:r>
      <w:r>
        <w:rPr>
          <w:rStyle w:val="FootnoteReference"/>
          <w:lang w:eastAsia="ar-SA"/>
        </w:rPr>
        <w:footnoteReference w:id="14"/>
      </w:r>
      <w:r w:rsidRPr="000568AE">
        <w:rPr>
          <w:lang w:eastAsia="ar-SA"/>
        </w:rPr>
        <w:t xml:space="preserve"> </w:t>
      </w:r>
      <w:r w:rsidR="001529FE">
        <w:rPr>
          <w:lang w:val="en-US" w:eastAsia="ar-SA"/>
        </w:rPr>
        <w:t>J</w:t>
      </w:r>
      <w:r w:rsidRPr="000568AE">
        <w:rPr>
          <w:lang w:eastAsia="ar-SA"/>
        </w:rPr>
        <w:t xml:space="preserve">udicial </w:t>
      </w:r>
      <w:r w:rsidR="001529FE">
        <w:rPr>
          <w:lang w:val="en-US" w:eastAsia="ar-SA"/>
        </w:rPr>
        <w:t>review of</w:t>
      </w:r>
      <w:r w:rsidRPr="000568AE">
        <w:rPr>
          <w:lang w:eastAsia="ar-SA"/>
        </w:rPr>
        <w:t xml:space="preserve"> the legality of </w:t>
      </w:r>
      <w:r w:rsidR="001529FE">
        <w:rPr>
          <w:lang w:val="en-US" w:eastAsia="ar-SA"/>
        </w:rPr>
        <w:t>detention</w:t>
      </w:r>
      <w:r w:rsidRPr="000568AE">
        <w:rPr>
          <w:lang w:eastAsia="ar-SA"/>
        </w:rPr>
        <w:t xml:space="preserve"> must </w:t>
      </w:r>
      <w:r>
        <w:rPr>
          <w:lang w:eastAsia="ar-SA"/>
        </w:rPr>
        <w:t>allow for</w:t>
      </w:r>
      <w:r w:rsidRPr="000568AE">
        <w:rPr>
          <w:lang w:eastAsia="ar-SA"/>
        </w:rPr>
        <w:t xml:space="preserve"> the possibility of </w:t>
      </w:r>
      <w:r w:rsidR="001529FE">
        <w:rPr>
          <w:lang w:val="en-US" w:eastAsia="ar-SA"/>
        </w:rPr>
        <w:t>ordering the release of</w:t>
      </w:r>
      <w:r w:rsidRPr="000568AE">
        <w:rPr>
          <w:lang w:eastAsia="ar-SA"/>
        </w:rPr>
        <w:t xml:space="preserve"> individuals </w:t>
      </w:r>
      <w:r w:rsidR="001529FE">
        <w:rPr>
          <w:lang w:val="en-US" w:eastAsia="ar-SA"/>
        </w:rPr>
        <w:t>if</w:t>
      </w:r>
      <w:r w:rsidR="001529FE" w:rsidRPr="000568AE">
        <w:rPr>
          <w:lang w:eastAsia="ar-SA"/>
        </w:rPr>
        <w:t xml:space="preserve"> </w:t>
      </w:r>
      <w:r w:rsidRPr="000568AE">
        <w:rPr>
          <w:lang w:eastAsia="ar-SA"/>
        </w:rPr>
        <w:t xml:space="preserve">their </w:t>
      </w:r>
      <w:r w:rsidR="001529FE">
        <w:rPr>
          <w:lang w:val="en-US" w:eastAsia="ar-SA"/>
        </w:rPr>
        <w:t>detention</w:t>
      </w:r>
      <w:r w:rsidRPr="000568AE">
        <w:rPr>
          <w:lang w:eastAsia="ar-SA"/>
        </w:rPr>
        <w:t xml:space="preserve"> is considered incompatible with </w:t>
      </w:r>
      <w:r>
        <w:rPr>
          <w:lang w:eastAsia="ar-SA"/>
        </w:rPr>
        <w:t xml:space="preserve">the </w:t>
      </w:r>
      <w:r w:rsidR="001529FE">
        <w:rPr>
          <w:lang w:val="en-US" w:eastAsia="ar-SA"/>
        </w:rPr>
        <w:t>provisions</w:t>
      </w:r>
      <w:r w:rsidR="001529FE" w:rsidRPr="000568AE">
        <w:rPr>
          <w:lang w:eastAsia="ar-SA"/>
        </w:rPr>
        <w:t xml:space="preserve"> </w:t>
      </w:r>
      <w:r w:rsidRPr="000568AE">
        <w:rPr>
          <w:lang w:eastAsia="ar-SA"/>
        </w:rPr>
        <w:t xml:space="preserve">of the Covenant, particularly </w:t>
      </w:r>
      <w:r w:rsidR="001529FE">
        <w:rPr>
          <w:lang w:val="en-US" w:eastAsia="ar-SA"/>
        </w:rPr>
        <w:t>those of</w:t>
      </w:r>
      <w:r w:rsidR="001529FE" w:rsidRPr="000568AE">
        <w:rPr>
          <w:lang w:eastAsia="ar-SA"/>
        </w:rPr>
        <w:t xml:space="preserve"> </w:t>
      </w:r>
      <w:r w:rsidR="00A12481">
        <w:rPr>
          <w:lang w:eastAsia="ar-SA"/>
        </w:rPr>
        <w:t>article </w:t>
      </w:r>
      <w:r w:rsidRPr="000568AE">
        <w:rPr>
          <w:lang w:eastAsia="ar-SA"/>
        </w:rPr>
        <w:t>9</w:t>
      </w:r>
      <w:r>
        <w:rPr>
          <w:lang w:eastAsia="ar-SA"/>
        </w:rPr>
        <w:t xml:space="preserve">, </w:t>
      </w:r>
      <w:r w:rsidR="00A12481">
        <w:rPr>
          <w:lang w:eastAsia="ar-SA"/>
        </w:rPr>
        <w:t>paragraph </w:t>
      </w:r>
      <w:r>
        <w:rPr>
          <w:lang w:eastAsia="ar-SA"/>
        </w:rPr>
        <w:t>1.</w:t>
      </w:r>
      <w:r>
        <w:rPr>
          <w:rStyle w:val="FootnoteReference"/>
          <w:lang w:eastAsia="ar-SA"/>
        </w:rPr>
        <w:footnoteReference w:id="15"/>
      </w:r>
      <w:r>
        <w:rPr>
          <w:lang w:eastAsia="ar-SA"/>
        </w:rPr>
        <w:t xml:space="preserve"> She maintains that t</w:t>
      </w:r>
      <w:r w:rsidRPr="000568AE">
        <w:rPr>
          <w:lang w:eastAsia="ar-SA"/>
        </w:rPr>
        <w:t xml:space="preserve">he </w:t>
      </w:r>
      <w:r w:rsidRPr="00F4101B">
        <w:t>Pervomayskiy</w:t>
      </w:r>
      <w:r w:rsidRPr="000568AE">
        <w:rPr>
          <w:lang w:eastAsia="ar-SA"/>
        </w:rPr>
        <w:t xml:space="preserve"> District Court</w:t>
      </w:r>
      <w:r w:rsidR="006B077B">
        <w:rPr>
          <w:lang w:val="en-US" w:eastAsia="ar-SA"/>
        </w:rPr>
        <w:t xml:space="preserve"> in Minsk</w:t>
      </w:r>
      <w:r w:rsidRPr="000568AE">
        <w:rPr>
          <w:lang w:eastAsia="ar-SA"/>
        </w:rPr>
        <w:t xml:space="preserve"> and the </w:t>
      </w:r>
      <w:r w:rsidR="006B077B">
        <w:rPr>
          <w:lang w:val="en-US" w:eastAsia="ar-SA"/>
        </w:rPr>
        <w:t xml:space="preserve">Minsk City </w:t>
      </w:r>
      <w:r w:rsidRPr="000568AE">
        <w:rPr>
          <w:lang w:eastAsia="ar-SA"/>
        </w:rPr>
        <w:t xml:space="preserve">Court </w:t>
      </w:r>
      <w:r w:rsidR="006B077B">
        <w:rPr>
          <w:lang w:val="en-US" w:eastAsia="ar-SA"/>
        </w:rPr>
        <w:t>failed to</w:t>
      </w:r>
      <w:r w:rsidRPr="000568AE">
        <w:rPr>
          <w:lang w:eastAsia="ar-SA"/>
        </w:rPr>
        <w:t xml:space="preserve"> observe th</w:t>
      </w:r>
      <w:r w:rsidR="006B077B">
        <w:rPr>
          <w:lang w:val="en-US" w:eastAsia="ar-SA"/>
        </w:rPr>
        <w:t>o</w:t>
      </w:r>
      <w:r w:rsidRPr="000568AE">
        <w:rPr>
          <w:lang w:eastAsia="ar-SA"/>
        </w:rPr>
        <w:t xml:space="preserve">se requirements while considering the appeals against the custodial placement of </w:t>
      </w:r>
      <w:r>
        <w:rPr>
          <w:lang w:eastAsia="ar-SA"/>
        </w:rPr>
        <w:t>her husband</w:t>
      </w:r>
      <w:r w:rsidRPr="000568AE">
        <w:rPr>
          <w:lang w:eastAsia="ar-SA"/>
        </w:rPr>
        <w:t xml:space="preserve">. </w:t>
      </w:r>
      <w:r>
        <w:rPr>
          <w:lang w:eastAsia="ar-SA"/>
        </w:rPr>
        <w:t>T</w:t>
      </w:r>
      <w:r w:rsidRPr="000568AE">
        <w:rPr>
          <w:lang w:eastAsia="ar-SA"/>
        </w:rPr>
        <w:t xml:space="preserve">he decisions of the courts </w:t>
      </w:r>
      <w:r>
        <w:rPr>
          <w:lang w:eastAsia="ar-SA"/>
        </w:rPr>
        <w:t xml:space="preserve">simply </w:t>
      </w:r>
      <w:r w:rsidRPr="000568AE">
        <w:rPr>
          <w:lang w:eastAsia="ar-SA"/>
        </w:rPr>
        <w:t>confirm the lega</w:t>
      </w:r>
      <w:r>
        <w:rPr>
          <w:lang w:eastAsia="ar-SA"/>
        </w:rPr>
        <w:t xml:space="preserve">lity of the </w:t>
      </w:r>
      <w:r w:rsidR="006B077B">
        <w:rPr>
          <w:lang w:val="en-US" w:eastAsia="ar-SA"/>
        </w:rPr>
        <w:t>detention</w:t>
      </w:r>
      <w:r>
        <w:rPr>
          <w:lang w:eastAsia="ar-SA"/>
        </w:rPr>
        <w:t xml:space="preserve">, </w:t>
      </w:r>
      <w:r w:rsidRPr="000568AE">
        <w:rPr>
          <w:lang w:eastAsia="ar-SA"/>
        </w:rPr>
        <w:t xml:space="preserve">referring to </w:t>
      </w:r>
      <w:r w:rsidR="006B077B">
        <w:rPr>
          <w:lang w:val="en-US" w:eastAsia="ar-SA"/>
        </w:rPr>
        <w:t xml:space="preserve">the </w:t>
      </w:r>
      <w:r w:rsidRPr="000568AE">
        <w:rPr>
          <w:lang w:eastAsia="ar-SA"/>
        </w:rPr>
        <w:t xml:space="preserve">absence of violations of </w:t>
      </w:r>
      <w:r>
        <w:rPr>
          <w:lang w:eastAsia="ar-SA"/>
        </w:rPr>
        <w:t>the domestic legislation</w:t>
      </w:r>
      <w:r w:rsidRPr="000568AE">
        <w:rPr>
          <w:lang w:eastAsia="ar-SA"/>
        </w:rPr>
        <w:t xml:space="preserve">. </w:t>
      </w:r>
      <w:r>
        <w:rPr>
          <w:lang w:eastAsia="ar-SA"/>
        </w:rPr>
        <w:t xml:space="preserve">The </w:t>
      </w:r>
      <w:r w:rsidRPr="000568AE">
        <w:rPr>
          <w:lang w:eastAsia="ar-SA"/>
        </w:rPr>
        <w:t>court decisions do</w:t>
      </w:r>
      <w:r>
        <w:rPr>
          <w:lang w:eastAsia="ar-SA"/>
        </w:rPr>
        <w:t xml:space="preserve"> </w:t>
      </w:r>
      <w:r w:rsidRPr="000568AE">
        <w:rPr>
          <w:lang w:eastAsia="ar-SA"/>
        </w:rPr>
        <w:t>n</w:t>
      </w:r>
      <w:r>
        <w:rPr>
          <w:lang w:eastAsia="ar-SA"/>
        </w:rPr>
        <w:t>o</w:t>
      </w:r>
      <w:r w:rsidRPr="000568AE">
        <w:rPr>
          <w:lang w:eastAsia="ar-SA"/>
        </w:rPr>
        <w:t xml:space="preserve">t contain references to the consideration of any evidence providing sufficient grounds </w:t>
      </w:r>
      <w:r>
        <w:rPr>
          <w:lang w:eastAsia="ar-SA"/>
        </w:rPr>
        <w:t xml:space="preserve">to establish </w:t>
      </w:r>
      <w:r w:rsidRPr="000568AE">
        <w:rPr>
          <w:lang w:eastAsia="ar-SA"/>
        </w:rPr>
        <w:t xml:space="preserve">the necessity, reasonableness and </w:t>
      </w:r>
      <w:r w:rsidR="006B077B">
        <w:rPr>
          <w:lang w:val="en-US" w:eastAsia="ar-SA"/>
        </w:rPr>
        <w:t>proportionality</w:t>
      </w:r>
      <w:r w:rsidR="006B077B" w:rsidRPr="000568AE">
        <w:rPr>
          <w:lang w:eastAsia="ar-SA"/>
        </w:rPr>
        <w:t xml:space="preserve"> </w:t>
      </w:r>
      <w:r w:rsidRPr="000568AE">
        <w:rPr>
          <w:lang w:eastAsia="ar-SA"/>
        </w:rPr>
        <w:t xml:space="preserve">of the use </w:t>
      </w:r>
      <w:r w:rsidRPr="000568AE">
        <w:rPr>
          <w:lang w:eastAsia="ar-SA"/>
        </w:rPr>
        <w:lastRenderedPageBreak/>
        <w:t xml:space="preserve">of this measure towards the </w:t>
      </w:r>
      <w:r w:rsidR="006B077B">
        <w:rPr>
          <w:lang w:val="en-US" w:eastAsia="ar-SA"/>
        </w:rPr>
        <w:t>specific</w:t>
      </w:r>
      <w:r w:rsidR="006B077B" w:rsidRPr="000568AE">
        <w:rPr>
          <w:lang w:eastAsia="ar-SA"/>
        </w:rPr>
        <w:t xml:space="preserve"> </w:t>
      </w:r>
      <w:r w:rsidRPr="000568AE">
        <w:rPr>
          <w:lang w:eastAsia="ar-SA"/>
        </w:rPr>
        <w:t xml:space="preserve">individual in the </w:t>
      </w:r>
      <w:r w:rsidR="006B077B">
        <w:rPr>
          <w:lang w:val="en-US" w:eastAsia="ar-SA"/>
        </w:rPr>
        <w:t>specific</w:t>
      </w:r>
      <w:r w:rsidR="006B077B" w:rsidRPr="000568AE">
        <w:rPr>
          <w:lang w:eastAsia="ar-SA"/>
        </w:rPr>
        <w:t xml:space="preserve"> </w:t>
      </w:r>
      <w:r w:rsidRPr="000568AE">
        <w:rPr>
          <w:lang w:eastAsia="ar-SA"/>
        </w:rPr>
        <w:t xml:space="preserve">circumstances. Moreover, the court </w:t>
      </w:r>
      <w:r>
        <w:rPr>
          <w:lang w:eastAsia="ar-SA"/>
        </w:rPr>
        <w:t>review</w:t>
      </w:r>
      <w:r w:rsidRPr="000568AE">
        <w:rPr>
          <w:lang w:eastAsia="ar-SA"/>
        </w:rPr>
        <w:t xml:space="preserve"> was conducted in the absence of </w:t>
      </w:r>
      <w:r>
        <w:rPr>
          <w:lang w:eastAsia="ar-SA"/>
        </w:rPr>
        <w:t>the author’s husband</w:t>
      </w:r>
      <w:r w:rsidR="00073840">
        <w:rPr>
          <w:lang w:val="en-US" w:eastAsia="ar-SA"/>
        </w:rPr>
        <w:t>;</w:t>
      </w:r>
      <w:r w:rsidRPr="000568AE">
        <w:rPr>
          <w:lang w:eastAsia="ar-SA"/>
        </w:rPr>
        <w:t xml:space="preserve"> he was </w:t>
      </w:r>
      <w:r w:rsidR="00073840">
        <w:rPr>
          <w:lang w:val="en-US" w:eastAsia="ar-SA"/>
        </w:rPr>
        <w:t xml:space="preserve">thus </w:t>
      </w:r>
      <w:r w:rsidRPr="000568AE">
        <w:rPr>
          <w:lang w:eastAsia="ar-SA"/>
        </w:rPr>
        <w:t xml:space="preserve">deprived of the opportunity to </w:t>
      </w:r>
      <w:r w:rsidR="00C01279">
        <w:rPr>
          <w:lang w:val="en-US" w:eastAsia="ar-SA"/>
        </w:rPr>
        <w:t>present</w:t>
      </w:r>
      <w:r w:rsidRPr="000568AE">
        <w:rPr>
          <w:lang w:eastAsia="ar-SA"/>
        </w:rPr>
        <w:t xml:space="preserve"> explanations concerning </w:t>
      </w:r>
      <w:r w:rsidR="00082E45">
        <w:rPr>
          <w:lang w:val="en-US" w:eastAsia="ar-SA"/>
        </w:rPr>
        <w:t>his specific</w:t>
      </w:r>
      <w:r w:rsidRPr="00C01279">
        <w:rPr>
          <w:lang w:eastAsia="ar-SA"/>
        </w:rPr>
        <w:t xml:space="preserve"> circumstances</w:t>
      </w:r>
      <w:r w:rsidRPr="000568AE">
        <w:rPr>
          <w:lang w:eastAsia="ar-SA"/>
        </w:rPr>
        <w:t xml:space="preserve">. </w:t>
      </w:r>
      <w:r>
        <w:rPr>
          <w:lang w:eastAsia="ar-SA"/>
        </w:rPr>
        <w:t>Accordingly</w:t>
      </w:r>
      <w:r w:rsidR="00073840">
        <w:rPr>
          <w:lang w:val="en-US" w:eastAsia="ar-SA"/>
        </w:rPr>
        <w:t>,</w:t>
      </w:r>
      <w:r>
        <w:rPr>
          <w:lang w:eastAsia="ar-SA"/>
        </w:rPr>
        <w:t xml:space="preserve"> she maintains that there has been a violation of </w:t>
      </w:r>
      <w:r w:rsidR="00A12481">
        <w:rPr>
          <w:lang w:eastAsia="ar-SA"/>
        </w:rPr>
        <w:t>article </w:t>
      </w:r>
      <w:r w:rsidRPr="000568AE">
        <w:rPr>
          <w:lang w:eastAsia="ar-SA"/>
        </w:rPr>
        <w:t>9</w:t>
      </w:r>
      <w:r>
        <w:rPr>
          <w:lang w:eastAsia="ar-SA"/>
        </w:rPr>
        <w:t xml:space="preserve">, </w:t>
      </w:r>
      <w:r w:rsidR="00A12481">
        <w:rPr>
          <w:lang w:eastAsia="ar-SA"/>
        </w:rPr>
        <w:t>paragraph </w:t>
      </w:r>
      <w:r>
        <w:rPr>
          <w:lang w:eastAsia="ar-SA"/>
        </w:rPr>
        <w:t>4</w:t>
      </w:r>
      <w:r w:rsidR="002566DA">
        <w:rPr>
          <w:lang w:val="en-US" w:eastAsia="ar-SA"/>
        </w:rPr>
        <w:t>,</w:t>
      </w:r>
      <w:r w:rsidRPr="000568AE">
        <w:rPr>
          <w:lang w:eastAsia="ar-SA"/>
        </w:rPr>
        <w:t xml:space="preserve"> of the Covenant.</w:t>
      </w:r>
    </w:p>
    <w:p w:rsidR="00075FA7" w:rsidRDefault="008B732C" w:rsidP="008B732C">
      <w:pPr>
        <w:pStyle w:val="H23G"/>
      </w:pPr>
      <w:r>
        <w:tab/>
      </w:r>
      <w:r>
        <w:tab/>
      </w:r>
      <w:r w:rsidR="00075FA7" w:rsidRPr="00AF590D">
        <w:t xml:space="preserve">The State party’s observations </w:t>
      </w:r>
    </w:p>
    <w:p w:rsidR="00075FA7" w:rsidRPr="007C1A02" w:rsidRDefault="00B301C6" w:rsidP="00D04C66">
      <w:pPr>
        <w:pStyle w:val="SingleTxtG"/>
        <w:rPr>
          <w:lang w:val="en-US"/>
        </w:rPr>
      </w:pPr>
      <w:r>
        <w:t>4.</w:t>
      </w:r>
      <w:r>
        <w:tab/>
      </w:r>
      <w:r w:rsidR="00075FA7" w:rsidRPr="00AF590D">
        <w:t xml:space="preserve">On </w:t>
      </w:r>
      <w:r w:rsidR="00075FA7">
        <w:t>25 July 2012, the State party note</w:t>
      </w:r>
      <w:r w:rsidR="002566DA">
        <w:rPr>
          <w:lang w:val="en-US"/>
        </w:rPr>
        <w:t>d</w:t>
      </w:r>
      <w:r w:rsidR="00075FA7">
        <w:t xml:space="preserve"> the lack of legal grounds for the consideration of the communication</w:t>
      </w:r>
      <w:r w:rsidR="00A40D98">
        <w:rPr>
          <w:lang w:val="en-US"/>
        </w:rPr>
        <w:t>,</w:t>
      </w:r>
      <w:r w:rsidR="00075FA7">
        <w:t xml:space="preserve"> both on admissibility and on the merits. The State party submits that the communication </w:t>
      </w:r>
      <w:r w:rsidR="00D04C66">
        <w:rPr>
          <w:lang w:val="en-US"/>
        </w:rPr>
        <w:t>was</w:t>
      </w:r>
      <w:r w:rsidR="00075FA7">
        <w:t xml:space="preserve"> brought before the Human Rights Committee by third-party individuals instead of the individual himself. Moreover</w:t>
      </w:r>
      <w:r w:rsidR="0090706D">
        <w:rPr>
          <w:lang w:val="en-US"/>
        </w:rPr>
        <w:t>,</w:t>
      </w:r>
      <w:r w:rsidR="00075FA7">
        <w:t xml:space="preserve"> it had been brought to the attention of</w:t>
      </w:r>
      <w:r w:rsidR="0090706D">
        <w:rPr>
          <w:lang w:val="en-US"/>
        </w:rPr>
        <w:t>, and was currently under examination by,</w:t>
      </w:r>
      <w:r w:rsidR="00075FA7">
        <w:t xml:space="preserve"> the Working Group on Arbitrary Detention. In addition</w:t>
      </w:r>
      <w:r w:rsidR="0090706D">
        <w:rPr>
          <w:lang w:val="en-US"/>
        </w:rPr>
        <w:t>,</w:t>
      </w:r>
      <w:r w:rsidR="00075FA7">
        <w:t xml:space="preserve"> the State party maintains that the individual </w:t>
      </w:r>
      <w:r w:rsidR="0090706D">
        <w:rPr>
          <w:lang w:val="en-US"/>
        </w:rPr>
        <w:t>did</w:t>
      </w:r>
      <w:r w:rsidR="00075FA7">
        <w:t xml:space="preserve"> not exhaust all available domestic remedies, as required by </w:t>
      </w:r>
      <w:r w:rsidR="00A12481">
        <w:t>article </w:t>
      </w:r>
      <w:r w:rsidR="00075FA7">
        <w:t>2 of the Optional Protocol</w:t>
      </w:r>
      <w:r w:rsidR="0090706D">
        <w:rPr>
          <w:lang w:val="en-US"/>
        </w:rPr>
        <w:t xml:space="preserve"> to the Covenant</w:t>
      </w:r>
      <w:r w:rsidR="00075FA7">
        <w:t>. The State party refers to some of its submissions on other communication</w:t>
      </w:r>
      <w:r w:rsidR="0090706D">
        <w:rPr>
          <w:lang w:val="en-US"/>
        </w:rPr>
        <w:t xml:space="preserve">s, </w:t>
      </w:r>
      <w:r w:rsidR="00075FA7">
        <w:t xml:space="preserve">dated 6 </w:t>
      </w:r>
      <w:r w:rsidR="00075FA7" w:rsidRPr="00F4101B">
        <w:t>January</w:t>
      </w:r>
      <w:r w:rsidR="00075FA7">
        <w:t xml:space="preserve"> 2011 and 25 January 2012</w:t>
      </w:r>
      <w:r w:rsidR="0090706D">
        <w:rPr>
          <w:lang w:val="en-US"/>
        </w:rPr>
        <w:t>,</w:t>
      </w:r>
      <w:r w:rsidR="00075FA7">
        <w:t xml:space="preserve"> and submits that it considers the registration of the </w:t>
      </w:r>
      <w:r w:rsidR="003013E5">
        <w:rPr>
          <w:lang w:val="en-US"/>
        </w:rPr>
        <w:t>present</w:t>
      </w:r>
      <w:r w:rsidR="00075FA7">
        <w:t xml:space="preserve"> communication</w:t>
      </w:r>
      <w:r w:rsidR="00A12481">
        <w:t xml:space="preserve"> </w:t>
      </w:r>
      <w:r w:rsidR="00075FA7">
        <w:t xml:space="preserve">as done in violation of </w:t>
      </w:r>
      <w:r w:rsidR="00A12481">
        <w:t>articles </w:t>
      </w:r>
      <w:r w:rsidR="00075FA7">
        <w:t>1, 2</w:t>
      </w:r>
      <w:r w:rsidR="0090706D">
        <w:rPr>
          <w:lang w:val="en-US"/>
        </w:rPr>
        <w:t xml:space="preserve"> and</w:t>
      </w:r>
      <w:r w:rsidR="00075FA7">
        <w:t xml:space="preserve"> 5, </w:t>
      </w:r>
      <w:r w:rsidR="00A12481">
        <w:t>paragraph </w:t>
      </w:r>
      <w:r w:rsidR="003F5800">
        <w:t>2</w:t>
      </w:r>
      <w:r w:rsidR="003F5800" w:rsidRPr="003F5800">
        <w:rPr>
          <w:lang w:val="en-US"/>
        </w:rPr>
        <w:t> </w:t>
      </w:r>
      <w:r w:rsidR="00075FA7">
        <w:t>(a) and (b)</w:t>
      </w:r>
      <w:r w:rsidR="0090706D">
        <w:rPr>
          <w:lang w:val="en-US"/>
        </w:rPr>
        <w:t>,</w:t>
      </w:r>
      <w:r w:rsidR="00075FA7">
        <w:t xml:space="preserve"> of the Optional Protocol. It submits that it has discontinued proceedings regarding communication </w:t>
      </w:r>
      <w:r w:rsidR="0090706D">
        <w:rPr>
          <w:lang w:val="en-US"/>
        </w:rPr>
        <w:t xml:space="preserve">No. </w:t>
      </w:r>
      <w:r w:rsidR="00075FA7">
        <w:t>2165/2012 and “will disassociate itself from the views that might be adopted on it by the Human Rights Committee”</w:t>
      </w:r>
      <w:r w:rsidR="0090706D">
        <w:rPr>
          <w:lang w:val="en-US"/>
        </w:rPr>
        <w:t>.</w:t>
      </w:r>
    </w:p>
    <w:p w:rsidR="00075FA7" w:rsidRDefault="008B732C" w:rsidP="008B732C">
      <w:pPr>
        <w:pStyle w:val="H23G"/>
      </w:pPr>
      <w:r>
        <w:tab/>
      </w:r>
      <w:r>
        <w:tab/>
      </w:r>
      <w:r w:rsidR="00075FA7">
        <w:t>Author’s comments on the State party’s observations</w:t>
      </w:r>
    </w:p>
    <w:p w:rsidR="00075FA7" w:rsidRDefault="00075FA7" w:rsidP="0090706D">
      <w:pPr>
        <w:pStyle w:val="SingleTxtG"/>
      </w:pPr>
      <w:r w:rsidRPr="00AF590D">
        <w:t>5.</w:t>
      </w:r>
      <w:r>
        <w:t>1</w:t>
      </w:r>
      <w:r>
        <w:tab/>
        <w:t>On 22 October 2012, in response to the State part</w:t>
      </w:r>
      <w:r w:rsidRPr="005E6AD3">
        <w:t>y’s observations</w:t>
      </w:r>
      <w:r>
        <w:t>,</w:t>
      </w:r>
      <w:r w:rsidRPr="005E6AD3">
        <w:t xml:space="preserve"> </w:t>
      </w:r>
      <w:r>
        <w:t xml:space="preserve">the author </w:t>
      </w:r>
      <w:r w:rsidR="0090706D">
        <w:rPr>
          <w:lang w:val="en-US"/>
        </w:rPr>
        <w:t>stated</w:t>
      </w:r>
      <w:r>
        <w:t xml:space="preserve"> that the communication had been submitted by her, based on an letter </w:t>
      </w:r>
      <w:r w:rsidR="0090706D">
        <w:rPr>
          <w:lang w:val="en-US"/>
        </w:rPr>
        <w:t>provided</w:t>
      </w:r>
      <w:r>
        <w:t xml:space="preserve"> by her husband on 27 January 2012 authori</w:t>
      </w:r>
      <w:r w:rsidR="0090706D">
        <w:rPr>
          <w:lang w:val="en-US"/>
        </w:rPr>
        <w:t>z</w:t>
      </w:r>
      <w:r>
        <w:t>ing her to represent his interests before the Committee. Based on that</w:t>
      </w:r>
      <w:r w:rsidR="0090706D">
        <w:rPr>
          <w:lang w:val="en-US"/>
        </w:rPr>
        <w:t>,</w:t>
      </w:r>
      <w:r>
        <w:t xml:space="preserve"> the author authori</w:t>
      </w:r>
      <w:r w:rsidR="00A40D98">
        <w:rPr>
          <w:lang w:val="en-US"/>
        </w:rPr>
        <w:t>z</w:t>
      </w:r>
      <w:r>
        <w:t xml:space="preserve">ed </w:t>
      </w:r>
      <w:r w:rsidR="00A12481">
        <w:t>Mr. </w:t>
      </w:r>
      <w:r>
        <w:t xml:space="preserve">Bernard to provide legal assistance and </w:t>
      </w:r>
      <w:r w:rsidRPr="00F4101B">
        <w:t>represent</w:t>
      </w:r>
      <w:r>
        <w:t xml:space="preserve"> her during the proceedings relat</w:t>
      </w:r>
      <w:r w:rsidR="0090706D">
        <w:rPr>
          <w:lang w:val="en-US"/>
        </w:rPr>
        <w:t>ing</w:t>
      </w:r>
      <w:r>
        <w:t xml:space="preserve"> to communication </w:t>
      </w:r>
      <w:r w:rsidR="0090706D">
        <w:rPr>
          <w:lang w:val="en-US"/>
        </w:rPr>
        <w:t xml:space="preserve">No. </w:t>
      </w:r>
      <w:r>
        <w:t xml:space="preserve">2165/2012. The above is in accordance with the practice and rules of procedure of the Committee. Moreover, the </w:t>
      </w:r>
      <w:r w:rsidRPr="006C68E9">
        <w:t>institut</w:t>
      </w:r>
      <w:r w:rsidR="006C68E9">
        <w:rPr>
          <w:lang w:val="en-US"/>
        </w:rPr>
        <w:t>ion</w:t>
      </w:r>
      <w:r w:rsidRPr="006C68E9">
        <w:t xml:space="preserve"> of representation is present</w:t>
      </w:r>
      <w:r>
        <w:t xml:space="preserve"> in the legal system of Belarus as well, including the ability of a representative to submit a complaint on behalf of an individual </w:t>
      </w:r>
      <w:r w:rsidR="0090706D">
        <w:rPr>
          <w:lang w:val="en-US"/>
        </w:rPr>
        <w:t xml:space="preserve">who </w:t>
      </w:r>
      <w:r>
        <w:t>claim</w:t>
      </w:r>
      <w:r w:rsidR="0090706D">
        <w:rPr>
          <w:lang w:val="en-US"/>
        </w:rPr>
        <w:t>s</w:t>
      </w:r>
      <w:r>
        <w:t xml:space="preserve"> that his rights and freedoms ha</w:t>
      </w:r>
      <w:r w:rsidR="0090706D">
        <w:rPr>
          <w:lang w:val="en-US"/>
        </w:rPr>
        <w:t>ve</w:t>
      </w:r>
      <w:r>
        <w:t xml:space="preserve"> been violated.</w:t>
      </w:r>
    </w:p>
    <w:p w:rsidR="00075FA7" w:rsidRPr="002B6897" w:rsidRDefault="00075FA7" w:rsidP="00453B1D">
      <w:pPr>
        <w:pStyle w:val="SingleTxtG"/>
        <w:rPr>
          <w:bCs/>
          <w:lang w:val="en-US"/>
        </w:rPr>
      </w:pPr>
      <w:r>
        <w:t>5.2</w:t>
      </w:r>
      <w:r>
        <w:tab/>
      </w:r>
      <w:r w:rsidRPr="002B6897">
        <w:rPr>
          <w:lang w:val="en-US"/>
        </w:rPr>
        <w:t>Regarding the fact the same matter was brought to the attention of the Working Group on Arbitrary Detention and was under its examination, the author submits that the mandate of the Working Group was established by the former Commission on Human Rights</w:t>
      </w:r>
      <w:r w:rsidR="00453B1D">
        <w:rPr>
          <w:lang w:val="en-US"/>
        </w:rPr>
        <w:t>;</w:t>
      </w:r>
      <w:r w:rsidRPr="002B6897">
        <w:rPr>
          <w:lang w:val="en-US"/>
        </w:rPr>
        <w:t xml:space="preserve"> </w:t>
      </w:r>
      <w:r w:rsidR="00A40D98">
        <w:rPr>
          <w:lang w:val="en-US"/>
        </w:rPr>
        <w:t>the Working Group</w:t>
      </w:r>
      <w:r w:rsidRPr="002B6897">
        <w:rPr>
          <w:lang w:val="en-US"/>
        </w:rPr>
        <w:t xml:space="preserve"> is not authorized to issue decisions which are binding for the Government and which identify a violation by the Government of a specific right established by the Covenant, nor can it oblige the Government to take measures to rectify the violation. Thus, the proceeding cannot be considered as </w:t>
      </w:r>
      <w:r w:rsidR="00453B1D">
        <w:rPr>
          <w:lang w:val="en-US"/>
        </w:rPr>
        <w:t>an</w:t>
      </w:r>
      <w:r w:rsidRPr="002B6897">
        <w:rPr>
          <w:lang w:val="en-US"/>
        </w:rPr>
        <w:t>other “</w:t>
      </w:r>
      <w:r w:rsidR="00453B1D" w:rsidRPr="00F4101B">
        <w:t>proce</w:t>
      </w:r>
      <w:r w:rsidR="00453B1D">
        <w:rPr>
          <w:lang w:val="en-US"/>
        </w:rPr>
        <w:t>dure</w:t>
      </w:r>
      <w:r w:rsidR="00453B1D" w:rsidRPr="002B6897">
        <w:rPr>
          <w:lang w:val="en-US"/>
        </w:rPr>
        <w:t xml:space="preserve"> </w:t>
      </w:r>
      <w:r w:rsidRPr="002B6897">
        <w:rPr>
          <w:lang w:val="en-US"/>
        </w:rPr>
        <w:t>of</w:t>
      </w:r>
      <w:r w:rsidR="00453B1D">
        <w:rPr>
          <w:lang w:val="en-US"/>
        </w:rPr>
        <w:t xml:space="preserve"> </w:t>
      </w:r>
      <w:r w:rsidRPr="002B6897">
        <w:rPr>
          <w:lang w:val="en-US"/>
        </w:rPr>
        <w:t xml:space="preserve">international investigation or </w:t>
      </w:r>
      <w:r w:rsidR="00453B1D">
        <w:rPr>
          <w:lang w:val="en-US"/>
        </w:rPr>
        <w:t>settlement</w:t>
      </w:r>
      <w:r w:rsidRPr="002B6897">
        <w:rPr>
          <w:lang w:val="en-US"/>
        </w:rPr>
        <w:t xml:space="preserve">” as defined in </w:t>
      </w:r>
      <w:r w:rsidR="00A12481">
        <w:rPr>
          <w:lang w:val="en-US"/>
        </w:rPr>
        <w:t>article </w:t>
      </w:r>
      <w:r w:rsidRPr="002B6897">
        <w:rPr>
          <w:lang w:val="en-US"/>
        </w:rPr>
        <w:t xml:space="preserve">5, </w:t>
      </w:r>
      <w:r w:rsidR="00A12481">
        <w:rPr>
          <w:lang w:val="en-US"/>
        </w:rPr>
        <w:t>paragraph </w:t>
      </w:r>
      <w:r w:rsidRPr="002B6897">
        <w:rPr>
          <w:lang w:val="en-US"/>
        </w:rPr>
        <w:t>2</w:t>
      </w:r>
      <w:r w:rsidR="00453B1D">
        <w:rPr>
          <w:lang w:val="en-US"/>
        </w:rPr>
        <w:t>,</w:t>
      </w:r>
      <w:r w:rsidRPr="002B6897">
        <w:rPr>
          <w:lang w:val="en-US"/>
        </w:rPr>
        <w:t xml:space="preserve"> of the Optional Protocol. </w:t>
      </w:r>
      <w:r w:rsidRPr="002B6897">
        <w:rPr>
          <w:bCs/>
          <w:lang w:val="en-US"/>
        </w:rPr>
        <w:t xml:space="preserve">Moreover, the communication contains not only allegations of violation of rights under </w:t>
      </w:r>
      <w:r w:rsidR="00A12481">
        <w:rPr>
          <w:bCs/>
          <w:lang w:val="en-US"/>
        </w:rPr>
        <w:t>article </w:t>
      </w:r>
      <w:r w:rsidRPr="002B6897">
        <w:rPr>
          <w:bCs/>
          <w:lang w:val="en-US"/>
        </w:rPr>
        <w:t xml:space="preserve">9 of the Covenant, but also of violations of </w:t>
      </w:r>
      <w:r w:rsidR="00A12481">
        <w:rPr>
          <w:bCs/>
          <w:lang w:val="en-US"/>
        </w:rPr>
        <w:t>articles </w:t>
      </w:r>
      <w:r w:rsidRPr="002B6897">
        <w:rPr>
          <w:bCs/>
          <w:lang w:val="en-US"/>
        </w:rPr>
        <w:t>14 and 22 of the Covenant, the consideration of which falls outside the sphere of competence of the Working Group on Arbitrary Detention.</w:t>
      </w:r>
    </w:p>
    <w:p w:rsidR="00075FA7" w:rsidRDefault="00075FA7" w:rsidP="00E90DE6">
      <w:pPr>
        <w:pStyle w:val="SingleTxtG"/>
        <w:rPr>
          <w:lang w:val="en-US"/>
        </w:rPr>
      </w:pPr>
      <w:r>
        <w:rPr>
          <w:lang w:val="en-US"/>
        </w:rPr>
        <w:t>5.3</w:t>
      </w:r>
      <w:r>
        <w:rPr>
          <w:lang w:val="en-US"/>
        </w:rPr>
        <w:tab/>
      </w:r>
      <w:r w:rsidRPr="002B6897">
        <w:rPr>
          <w:lang w:val="en-US"/>
        </w:rPr>
        <w:t xml:space="preserve">Regarding the State party’s claims that the author’s husband </w:t>
      </w:r>
      <w:r w:rsidR="00091424">
        <w:rPr>
          <w:lang w:val="en-US"/>
        </w:rPr>
        <w:t>did not</w:t>
      </w:r>
      <w:r w:rsidRPr="002B6897">
        <w:rPr>
          <w:lang w:val="en-US"/>
        </w:rPr>
        <w:t xml:space="preserve"> exhaust all available domestic remedies provided </w:t>
      </w:r>
      <w:r w:rsidR="00B70D77">
        <w:rPr>
          <w:lang w:val="en-US"/>
        </w:rPr>
        <w:t>for in</w:t>
      </w:r>
      <w:r w:rsidRPr="002B6897">
        <w:rPr>
          <w:lang w:val="en-US"/>
        </w:rPr>
        <w:t xml:space="preserve"> the Belarusian legislation</w:t>
      </w:r>
      <w:r w:rsidR="00D75C36">
        <w:rPr>
          <w:lang w:val="en-US"/>
        </w:rPr>
        <w:t>,</w:t>
      </w:r>
      <w:r w:rsidRPr="002B6897">
        <w:rPr>
          <w:lang w:val="en-US"/>
        </w:rPr>
        <w:t xml:space="preserve"> the author recalls that she had </w:t>
      </w:r>
      <w:r w:rsidR="00B70D77">
        <w:rPr>
          <w:lang w:val="en-US"/>
        </w:rPr>
        <w:t>made reference to</w:t>
      </w:r>
      <w:r w:rsidRPr="002B6897">
        <w:rPr>
          <w:lang w:val="en-US"/>
        </w:rPr>
        <w:t xml:space="preserve"> all the legal avenues that her husband had attempted to </w:t>
      </w:r>
      <w:r w:rsidR="00B70D77">
        <w:rPr>
          <w:lang w:val="en-US"/>
        </w:rPr>
        <w:t>follow</w:t>
      </w:r>
      <w:r w:rsidR="00B70D77" w:rsidRPr="002B6897">
        <w:rPr>
          <w:lang w:val="en-US"/>
        </w:rPr>
        <w:t xml:space="preserve"> </w:t>
      </w:r>
      <w:r w:rsidRPr="002B6897">
        <w:rPr>
          <w:lang w:val="en-US"/>
        </w:rPr>
        <w:t xml:space="preserve">to remedy the stated violations of his rights under </w:t>
      </w:r>
      <w:r w:rsidR="00A12481">
        <w:rPr>
          <w:lang w:val="en-US"/>
        </w:rPr>
        <w:t>articles </w:t>
      </w:r>
      <w:r w:rsidRPr="002B6897">
        <w:rPr>
          <w:lang w:val="en-US"/>
        </w:rPr>
        <w:t xml:space="preserve">9, 14 and 22 of the Covenant, as well as </w:t>
      </w:r>
      <w:r w:rsidR="00B70D77">
        <w:rPr>
          <w:lang w:val="en-US"/>
        </w:rPr>
        <w:t xml:space="preserve">to </w:t>
      </w:r>
      <w:r w:rsidRPr="002B6897">
        <w:rPr>
          <w:lang w:val="en-US"/>
        </w:rPr>
        <w:t>the decisions of the courts of Belarus in response to th</w:t>
      </w:r>
      <w:r w:rsidR="00B70D77">
        <w:rPr>
          <w:lang w:val="en-US"/>
        </w:rPr>
        <w:t>o</w:t>
      </w:r>
      <w:r w:rsidRPr="002B6897">
        <w:rPr>
          <w:lang w:val="en-US"/>
        </w:rPr>
        <w:t xml:space="preserve">se complaints. She reiterates the facts and the dates of the various </w:t>
      </w:r>
      <w:r w:rsidRPr="00F4101B">
        <w:t>complaints</w:t>
      </w:r>
      <w:r w:rsidRPr="002B6897">
        <w:rPr>
          <w:lang w:val="en-US"/>
        </w:rPr>
        <w:t xml:space="preserve"> (see paras</w:t>
      </w:r>
      <w:r w:rsidR="00F34A41">
        <w:rPr>
          <w:lang w:val="en-US"/>
        </w:rPr>
        <w:t>. </w:t>
      </w:r>
      <w:r w:rsidRPr="002B6897">
        <w:rPr>
          <w:lang w:val="en-US"/>
        </w:rPr>
        <w:t>2.2</w:t>
      </w:r>
      <w:r w:rsidR="00B70D77">
        <w:rPr>
          <w:lang w:val="en-US"/>
        </w:rPr>
        <w:t>–</w:t>
      </w:r>
      <w:r w:rsidRPr="002B6897">
        <w:rPr>
          <w:lang w:val="en-US"/>
        </w:rPr>
        <w:t>2</w:t>
      </w:r>
      <w:r w:rsidR="00B70D77">
        <w:rPr>
          <w:lang w:val="en-US"/>
        </w:rPr>
        <w:t>.</w:t>
      </w:r>
      <w:r w:rsidRPr="002B6897">
        <w:rPr>
          <w:lang w:val="en-US"/>
        </w:rPr>
        <w:t xml:space="preserve">10 above). She further submits that </w:t>
      </w:r>
      <w:r w:rsidR="00D057DB">
        <w:rPr>
          <w:lang w:val="en-US"/>
        </w:rPr>
        <w:t>in</w:t>
      </w:r>
      <w:r w:rsidRPr="002B6897">
        <w:rPr>
          <w:lang w:val="en-US"/>
        </w:rPr>
        <w:t xml:space="preserve"> long-standing jurisprudence, supervisory review proceedings that constitute </w:t>
      </w:r>
      <w:r w:rsidR="00D057DB">
        <w:rPr>
          <w:lang w:val="en-US"/>
        </w:rPr>
        <w:t xml:space="preserve">a </w:t>
      </w:r>
      <w:r w:rsidRPr="002B6897">
        <w:rPr>
          <w:lang w:val="en-US"/>
        </w:rPr>
        <w:t xml:space="preserve">discretionary review of sentences handed down by courts, widespread in the former republics of the Soviet Union, </w:t>
      </w:r>
      <w:r w:rsidR="00D057DB">
        <w:rPr>
          <w:lang w:val="en-US"/>
        </w:rPr>
        <w:t>has</w:t>
      </w:r>
      <w:r w:rsidR="00D057DB" w:rsidRPr="002B6897">
        <w:rPr>
          <w:lang w:val="en-US"/>
        </w:rPr>
        <w:t xml:space="preserve"> </w:t>
      </w:r>
      <w:r w:rsidRPr="002B6897">
        <w:rPr>
          <w:lang w:val="en-US"/>
        </w:rPr>
        <w:t xml:space="preserve">not </w:t>
      </w:r>
      <w:r w:rsidR="00D057DB">
        <w:rPr>
          <w:lang w:val="en-US"/>
        </w:rPr>
        <w:t xml:space="preserve">been considered by the </w:t>
      </w:r>
      <w:r w:rsidR="00D057DB">
        <w:rPr>
          <w:lang w:val="en-US"/>
        </w:rPr>
        <w:lastRenderedPageBreak/>
        <w:t>Committee to constitute</w:t>
      </w:r>
      <w:r w:rsidRPr="002B6897">
        <w:rPr>
          <w:lang w:val="en-US"/>
        </w:rPr>
        <w:t xml:space="preserve"> an effective </w:t>
      </w:r>
      <w:r w:rsidR="00D057DB">
        <w:rPr>
          <w:lang w:val="en-US"/>
        </w:rPr>
        <w:t>remedy</w:t>
      </w:r>
      <w:r w:rsidR="00B301C6">
        <w:rPr>
          <w:lang w:val="en-US"/>
        </w:rPr>
        <w:t>.</w:t>
      </w:r>
      <w:r w:rsidRPr="002B6897">
        <w:rPr>
          <w:vertAlign w:val="superscript"/>
          <w:lang w:val="en-US"/>
        </w:rPr>
        <w:footnoteReference w:id="16"/>
      </w:r>
      <w:r w:rsidRPr="002B6897">
        <w:rPr>
          <w:lang w:val="en-US"/>
        </w:rPr>
        <w:t xml:space="preserve"> The European Court of Human Rights takes the same position, </w:t>
      </w:r>
      <w:r w:rsidR="00E90DE6">
        <w:rPr>
          <w:lang w:val="en-US"/>
        </w:rPr>
        <w:t>stating that</w:t>
      </w:r>
      <w:r w:rsidRPr="002B6897">
        <w:rPr>
          <w:lang w:val="en-US"/>
        </w:rPr>
        <w:t xml:space="preserve"> </w:t>
      </w:r>
      <w:r w:rsidR="00E90DE6">
        <w:rPr>
          <w:lang w:val="en-US"/>
        </w:rPr>
        <w:t xml:space="preserve">applications for </w:t>
      </w:r>
      <w:r w:rsidRPr="002B6897">
        <w:rPr>
          <w:lang w:val="en-US"/>
        </w:rPr>
        <w:t xml:space="preserve">the use of judicial supervisory review </w:t>
      </w:r>
      <w:r w:rsidR="00E90DE6">
        <w:rPr>
          <w:lang w:val="en-US"/>
        </w:rPr>
        <w:t>constitute</w:t>
      </w:r>
      <w:r w:rsidR="00E90DE6" w:rsidRPr="002B6897">
        <w:rPr>
          <w:lang w:val="en-US"/>
        </w:rPr>
        <w:t xml:space="preserve"> </w:t>
      </w:r>
      <w:r w:rsidR="00D057DB">
        <w:rPr>
          <w:lang w:val="en-US"/>
        </w:rPr>
        <w:t>extraordinary remedies, the use of</w:t>
      </w:r>
      <w:r w:rsidRPr="002B6897">
        <w:rPr>
          <w:lang w:val="en-US"/>
        </w:rPr>
        <w:t xml:space="preserve"> which </w:t>
      </w:r>
      <w:r w:rsidR="00D057DB">
        <w:rPr>
          <w:lang w:val="en-US"/>
        </w:rPr>
        <w:t>depends</w:t>
      </w:r>
      <w:r w:rsidR="00D057DB" w:rsidRPr="002B6897">
        <w:rPr>
          <w:lang w:val="en-US"/>
        </w:rPr>
        <w:t xml:space="preserve"> </w:t>
      </w:r>
      <w:r w:rsidRPr="002B6897">
        <w:rPr>
          <w:lang w:val="en-US"/>
        </w:rPr>
        <w:t xml:space="preserve">on the discretionary </w:t>
      </w:r>
      <w:r w:rsidR="00D057DB">
        <w:rPr>
          <w:lang w:val="en-US"/>
        </w:rPr>
        <w:t>powers</w:t>
      </w:r>
      <w:r w:rsidRPr="002B6897">
        <w:rPr>
          <w:lang w:val="en-US"/>
        </w:rPr>
        <w:t xml:space="preserve"> of supervisory officials of the courts and </w:t>
      </w:r>
      <w:r w:rsidR="00D057DB">
        <w:rPr>
          <w:lang w:val="en-US"/>
        </w:rPr>
        <w:t xml:space="preserve">the </w:t>
      </w:r>
      <w:r w:rsidRPr="002B6897">
        <w:rPr>
          <w:lang w:val="en-US"/>
        </w:rPr>
        <w:t xml:space="preserve">prosecutor’s office, and </w:t>
      </w:r>
      <w:r w:rsidR="00E90DE6">
        <w:rPr>
          <w:lang w:val="en-US"/>
        </w:rPr>
        <w:t>that therefore</w:t>
      </w:r>
      <w:r w:rsidRPr="002B6897">
        <w:rPr>
          <w:lang w:val="en-US"/>
        </w:rPr>
        <w:t xml:space="preserve"> </w:t>
      </w:r>
      <w:r w:rsidR="00D057DB">
        <w:rPr>
          <w:lang w:val="en-US"/>
        </w:rPr>
        <w:t>such</w:t>
      </w:r>
      <w:r w:rsidR="00D057DB" w:rsidRPr="002B6897">
        <w:rPr>
          <w:lang w:val="en-US"/>
        </w:rPr>
        <w:t xml:space="preserve"> </w:t>
      </w:r>
      <w:r w:rsidRPr="002B6897">
        <w:rPr>
          <w:lang w:val="en-US"/>
        </w:rPr>
        <w:t xml:space="preserve">petitions do not constitute effective </w:t>
      </w:r>
      <w:r w:rsidR="00D057DB">
        <w:rPr>
          <w:lang w:val="en-US"/>
        </w:rPr>
        <w:t>remedies</w:t>
      </w:r>
      <w:r w:rsidR="00B301C6">
        <w:rPr>
          <w:lang w:val="en-US"/>
        </w:rPr>
        <w:t>.</w:t>
      </w:r>
      <w:r w:rsidRPr="002B6897">
        <w:rPr>
          <w:vertAlign w:val="superscript"/>
          <w:lang w:val="en-US"/>
        </w:rPr>
        <w:footnoteReference w:id="17"/>
      </w:r>
      <w:r>
        <w:rPr>
          <w:lang w:val="en-US"/>
        </w:rPr>
        <w:t xml:space="preserve"> The author</w:t>
      </w:r>
      <w:r w:rsidRPr="002B6897">
        <w:rPr>
          <w:lang w:val="en-US"/>
        </w:rPr>
        <w:t xml:space="preserve"> maintains that at the time the communication was presented to the Committee, her husband had already exhausted all effective means of legal defen</w:t>
      </w:r>
      <w:r w:rsidR="00874B8D">
        <w:rPr>
          <w:lang w:val="en-US"/>
        </w:rPr>
        <w:t>c</w:t>
      </w:r>
      <w:r w:rsidRPr="002B6897">
        <w:rPr>
          <w:lang w:val="en-US"/>
        </w:rPr>
        <w:t xml:space="preserve">e provided for </w:t>
      </w:r>
      <w:r w:rsidR="00D057DB">
        <w:rPr>
          <w:lang w:val="en-US"/>
        </w:rPr>
        <w:t>under</w:t>
      </w:r>
      <w:r w:rsidR="00D057DB" w:rsidRPr="002B6897">
        <w:rPr>
          <w:lang w:val="en-US"/>
        </w:rPr>
        <w:t xml:space="preserve"> </w:t>
      </w:r>
      <w:r w:rsidRPr="002B6897">
        <w:rPr>
          <w:lang w:val="en-US"/>
        </w:rPr>
        <w:t xml:space="preserve">the laws of Belarus. Moreover, her husband had petitioned for a supervisory review of the verdict in his criminal case and the ruling of the </w:t>
      </w:r>
      <w:r w:rsidR="00712940">
        <w:rPr>
          <w:lang w:val="en-US"/>
        </w:rPr>
        <w:t>a</w:t>
      </w:r>
      <w:r w:rsidR="00DB288F">
        <w:rPr>
          <w:lang w:val="en-US"/>
        </w:rPr>
        <w:t>ppellate</w:t>
      </w:r>
      <w:r w:rsidR="00DB288F" w:rsidRPr="002B6897">
        <w:rPr>
          <w:lang w:val="en-US"/>
        </w:rPr>
        <w:t xml:space="preserve"> </w:t>
      </w:r>
      <w:r w:rsidRPr="002B6897">
        <w:rPr>
          <w:lang w:val="en-US"/>
        </w:rPr>
        <w:t xml:space="preserve">court to the Chief Judge of the Minsk </w:t>
      </w:r>
      <w:r w:rsidR="005D14BB">
        <w:rPr>
          <w:lang w:val="en-US"/>
        </w:rPr>
        <w:t>City</w:t>
      </w:r>
      <w:r w:rsidRPr="002B6897">
        <w:rPr>
          <w:lang w:val="en-US"/>
        </w:rPr>
        <w:t xml:space="preserve"> Court and</w:t>
      </w:r>
      <w:r w:rsidR="00E90DE6">
        <w:rPr>
          <w:lang w:val="en-US"/>
        </w:rPr>
        <w:t>,</w:t>
      </w:r>
      <w:r w:rsidRPr="002B6897">
        <w:rPr>
          <w:lang w:val="en-US"/>
        </w:rPr>
        <w:t xml:space="preserve"> subsequently to the Deputy Chief Justice of the Supreme Court</w:t>
      </w:r>
      <w:r w:rsidR="00377E53">
        <w:rPr>
          <w:lang w:val="en-US"/>
        </w:rPr>
        <w:t>;</w:t>
      </w:r>
      <w:r w:rsidRPr="002B6897">
        <w:rPr>
          <w:lang w:val="en-US"/>
        </w:rPr>
        <w:t xml:space="preserve"> </w:t>
      </w:r>
      <w:r w:rsidR="00377E53">
        <w:rPr>
          <w:lang w:val="en-US"/>
        </w:rPr>
        <w:t>b</w:t>
      </w:r>
      <w:r w:rsidRPr="002B6897">
        <w:rPr>
          <w:lang w:val="en-US"/>
        </w:rPr>
        <w:t xml:space="preserve">oth </w:t>
      </w:r>
      <w:r w:rsidR="00377E53">
        <w:rPr>
          <w:lang w:val="en-US"/>
        </w:rPr>
        <w:t>j</w:t>
      </w:r>
      <w:r w:rsidRPr="002B6897">
        <w:rPr>
          <w:lang w:val="en-US"/>
        </w:rPr>
        <w:t>udge</w:t>
      </w:r>
      <w:r w:rsidR="00377E53">
        <w:rPr>
          <w:lang w:val="en-US"/>
        </w:rPr>
        <w:t>s</w:t>
      </w:r>
      <w:r w:rsidRPr="002B6897">
        <w:rPr>
          <w:lang w:val="en-US"/>
        </w:rPr>
        <w:t xml:space="preserve"> rejected the petitions, </w:t>
      </w:r>
      <w:r w:rsidR="00377E53">
        <w:rPr>
          <w:lang w:val="en-US"/>
        </w:rPr>
        <w:t xml:space="preserve">on, </w:t>
      </w:r>
      <w:r w:rsidRPr="002B6897">
        <w:rPr>
          <w:lang w:val="en-US"/>
        </w:rPr>
        <w:t>respectively</w:t>
      </w:r>
      <w:r w:rsidR="00377E53">
        <w:rPr>
          <w:lang w:val="en-US"/>
        </w:rPr>
        <w:t>,</w:t>
      </w:r>
      <w:r w:rsidRPr="002B6897">
        <w:rPr>
          <w:lang w:val="en-US"/>
        </w:rPr>
        <w:t xml:space="preserve"> 17 May 2012 and 4 September 2012.</w:t>
      </w:r>
      <w:r w:rsidRPr="002B6897">
        <w:rPr>
          <w:vertAlign w:val="superscript"/>
          <w:lang w:val="en-US"/>
        </w:rPr>
        <w:footnoteReference w:id="18"/>
      </w:r>
      <w:r w:rsidRPr="002B6897">
        <w:rPr>
          <w:lang w:val="en-US"/>
        </w:rPr>
        <w:t xml:space="preserve"> The responses from </w:t>
      </w:r>
      <w:r w:rsidR="00377E53">
        <w:rPr>
          <w:lang w:val="en-US"/>
        </w:rPr>
        <w:t>those</w:t>
      </w:r>
      <w:r w:rsidRPr="002B6897">
        <w:rPr>
          <w:lang w:val="en-US"/>
        </w:rPr>
        <w:t xml:space="preserve"> officials provide the concise opinions that the rulings of the first instance</w:t>
      </w:r>
      <w:r>
        <w:rPr>
          <w:lang w:val="en-US"/>
        </w:rPr>
        <w:t xml:space="preserve"> courts and appellate court we</w:t>
      </w:r>
      <w:r w:rsidRPr="002B6897">
        <w:rPr>
          <w:lang w:val="en-US"/>
        </w:rPr>
        <w:t xml:space="preserve">re legal. However, no foundation is provided for the decisions, nor is there a legal analysis of the arguments put forth in the </w:t>
      </w:r>
      <w:r w:rsidR="00377E53">
        <w:rPr>
          <w:lang w:val="en-US"/>
        </w:rPr>
        <w:t xml:space="preserve">complaint lodged by the </w:t>
      </w:r>
      <w:r w:rsidRPr="002B6897">
        <w:rPr>
          <w:lang w:val="en-US"/>
        </w:rPr>
        <w:t>author’s husband. The author maintains that the above serves as additional evidence of the lack of effectiveness of the option of petitioning for a supervisory review.</w:t>
      </w:r>
    </w:p>
    <w:p w:rsidR="00F16E40" w:rsidRPr="002B6897" w:rsidRDefault="00F16E40" w:rsidP="00377E53">
      <w:pPr>
        <w:pStyle w:val="SingleTxtG"/>
        <w:rPr>
          <w:lang w:val="en-US"/>
        </w:rPr>
      </w:pPr>
      <w:r>
        <w:rPr>
          <w:lang w:val="en-US"/>
        </w:rPr>
        <w:t>5.4</w:t>
      </w:r>
      <w:r>
        <w:rPr>
          <w:lang w:val="en-US"/>
        </w:rPr>
        <w:tab/>
        <w:t>On 15 July 2014, the author submi</w:t>
      </w:r>
      <w:r w:rsidR="00377E53">
        <w:rPr>
          <w:lang w:val="en-US"/>
        </w:rPr>
        <w:t>tted</w:t>
      </w:r>
      <w:r>
        <w:rPr>
          <w:lang w:val="en-US"/>
        </w:rPr>
        <w:t xml:space="preserve"> that, on 21 June 2014, her husband </w:t>
      </w:r>
      <w:r w:rsidR="00377E53">
        <w:rPr>
          <w:lang w:val="en-US"/>
        </w:rPr>
        <w:t>was</w:t>
      </w:r>
      <w:r>
        <w:rPr>
          <w:lang w:val="en-US"/>
        </w:rPr>
        <w:t xml:space="preserve"> released from prison, following an amnesty. She maintains that the amnesty does not constitute an admission by the State party of </w:t>
      </w:r>
      <w:r w:rsidR="00377E53">
        <w:rPr>
          <w:lang w:val="en-US"/>
        </w:rPr>
        <w:t xml:space="preserve">a </w:t>
      </w:r>
      <w:r>
        <w:rPr>
          <w:lang w:val="en-US"/>
        </w:rPr>
        <w:t>violation of rights under the Covenant</w:t>
      </w:r>
      <w:r w:rsidR="00377E53">
        <w:rPr>
          <w:lang w:val="en-US"/>
        </w:rPr>
        <w:t>,</w:t>
      </w:r>
      <w:r>
        <w:rPr>
          <w:lang w:val="en-US"/>
        </w:rPr>
        <w:t xml:space="preserve"> and requests the Committee to proceed with the examination of the communication on its merits.</w:t>
      </w:r>
      <w:r w:rsidR="002B478E">
        <w:rPr>
          <w:lang w:val="en-US"/>
        </w:rPr>
        <w:t xml:space="preserve"> She maintains that it is still impossible to register</w:t>
      </w:r>
      <w:r w:rsidR="00B301C6">
        <w:rPr>
          <w:lang w:val="en-US"/>
        </w:rPr>
        <w:t xml:space="preserve"> or legali</w:t>
      </w:r>
      <w:r w:rsidR="00377E53">
        <w:rPr>
          <w:lang w:val="en-US"/>
        </w:rPr>
        <w:t>z</w:t>
      </w:r>
      <w:r w:rsidR="00B301C6">
        <w:rPr>
          <w:lang w:val="en-US"/>
        </w:rPr>
        <w:t xml:space="preserve">e the activities </w:t>
      </w:r>
      <w:r w:rsidR="002B478E">
        <w:rPr>
          <w:lang w:val="en-US"/>
        </w:rPr>
        <w:t xml:space="preserve">of human rights groups in </w:t>
      </w:r>
      <w:r w:rsidR="002B478E" w:rsidRPr="00F4101B">
        <w:t>Belarus</w:t>
      </w:r>
      <w:r w:rsidR="002B478E">
        <w:rPr>
          <w:lang w:val="en-US"/>
        </w:rPr>
        <w:t>, that human rights defenders are under a permanent and real threat of criminal prosecution for activities carried out on behalf of unregistere</w:t>
      </w:r>
      <w:r w:rsidR="00646159">
        <w:rPr>
          <w:lang w:val="en-US"/>
        </w:rPr>
        <w:t>d</w:t>
      </w:r>
      <w:r w:rsidR="002B478E">
        <w:rPr>
          <w:lang w:val="en-US"/>
        </w:rPr>
        <w:t xml:space="preserve"> organi</w:t>
      </w:r>
      <w:r w:rsidR="00377E53">
        <w:rPr>
          <w:lang w:val="en-US"/>
        </w:rPr>
        <w:t>z</w:t>
      </w:r>
      <w:r w:rsidR="002B478E">
        <w:rPr>
          <w:lang w:val="en-US"/>
        </w:rPr>
        <w:t xml:space="preserve">ations and for </w:t>
      </w:r>
      <w:r w:rsidR="00377E53">
        <w:rPr>
          <w:lang w:val="en-US"/>
        </w:rPr>
        <w:t>seeking</w:t>
      </w:r>
      <w:r w:rsidR="002B478E">
        <w:rPr>
          <w:lang w:val="en-US"/>
        </w:rPr>
        <w:t xml:space="preserve"> fina</w:t>
      </w:r>
      <w:r w:rsidR="00446130">
        <w:rPr>
          <w:lang w:val="en-US"/>
        </w:rPr>
        <w:t>n</w:t>
      </w:r>
      <w:r w:rsidR="002B478E">
        <w:rPr>
          <w:lang w:val="en-US"/>
        </w:rPr>
        <w:t>cial support for their acivities.</w:t>
      </w:r>
      <w:r w:rsidR="00F563AE">
        <w:rPr>
          <w:lang w:val="en-US"/>
        </w:rPr>
        <w:t xml:space="preserve"> The Committee</w:t>
      </w:r>
      <w:r w:rsidR="00D83012">
        <w:rPr>
          <w:lang w:val="en-US"/>
        </w:rPr>
        <w:t>’</w:t>
      </w:r>
      <w:r w:rsidR="00F563AE">
        <w:rPr>
          <w:lang w:val="en-US"/>
        </w:rPr>
        <w:t>s decision should also address the issues of redress and non-recur</w:t>
      </w:r>
      <w:r w:rsidR="00444C5B">
        <w:rPr>
          <w:lang w:val="en-US"/>
        </w:rPr>
        <w:t>r</w:t>
      </w:r>
      <w:r w:rsidR="00F563AE">
        <w:rPr>
          <w:lang w:val="en-US"/>
        </w:rPr>
        <w:t>ence.</w:t>
      </w:r>
    </w:p>
    <w:p w:rsidR="00075FA7" w:rsidRDefault="008B732C" w:rsidP="008B732C">
      <w:pPr>
        <w:pStyle w:val="H23G"/>
      </w:pPr>
      <w:r>
        <w:tab/>
      </w:r>
      <w:r>
        <w:tab/>
      </w:r>
      <w:r w:rsidR="00075FA7" w:rsidRPr="00AF590D">
        <w:t>Issues and proceedings before the Committee</w:t>
      </w:r>
    </w:p>
    <w:p w:rsidR="00075FA7" w:rsidRDefault="008B732C" w:rsidP="00A12481">
      <w:pPr>
        <w:pStyle w:val="H4G"/>
      </w:pPr>
      <w:r>
        <w:tab/>
      </w:r>
      <w:r>
        <w:tab/>
      </w:r>
      <w:r w:rsidR="00075FA7" w:rsidRPr="003433A2">
        <w:t>The State party</w:t>
      </w:r>
      <w:r w:rsidR="00A12481">
        <w:t>’</w:t>
      </w:r>
      <w:r w:rsidR="00075FA7" w:rsidRPr="003433A2">
        <w:t xml:space="preserve">s </w:t>
      </w:r>
      <w:r w:rsidR="00075FA7">
        <w:t>lack of</w:t>
      </w:r>
      <w:r w:rsidR="00075FA7" w:rsidRPr="003433A2">
        <w:t xml:space="preserve"> cooperat</w:t>
      </w:r>
      <w:r w:rsidR="00075FA7">
        <w:t>ion</w:t>
      </w:r>
      <w:r w:rsidR="00A12481">
        <w:t xml:space="preserve"> </w:t>
      </w:r>
    </w:p>
    <w:p w:rsidR="00075FA7" w:rsidRPr="004A029F" w:rsidRDefault="00075FA7" w:rsidP="009017E0">
      <w:pPr>
        <w:pStyle w:val="SingleTxtG"/>
      </w:pPr>
      <w:r>
        <w:t>6.1</w:t>
      </w:r>
      <w:r>
        <w:tab/>
      </w:r>
      <w:r w:rsidRPr="006C6C87">
        <w:t>The Committee notes the State party</w:t>
      </w:r>
      <w:r>
        <w:t xml:space="preserve">’s submission </w:t>
      </w:r>
      <w:r w:rsidRPr="004A029F">
        <w:t>that it considers the registration of th</w:t>
      </w:r>
      <w:r>
        <w:t xml:space="preserve">e </w:t>
      </w:r>
      <w:r w:rsidR="009017E0">
        <w:rPr>
          <w:lang w:val="en-US"/>
        </w:rPr>
        <w:t>present</w:t>
      </w:r>
      <w:r w:rsidR="009017E0">
        <w:t xml:space="preserve"> </w:t>
      </w:r>
      <w:r>
        <w:t xml:space="preserve">communication </w:t>
      </w:r>
      <w:r w:rsidRPr="004A029F">
        <w:t xml:space="preserve">as done in violation of </w:t>
      </w:r>
      <w:r w:rsidR="00A12481">
        <w:t>articles </w:t>
      </w:r>
      <w:r w:rsidRPr="004A029F">
        <w:t>1, 2</w:t>
      </w:r>
      <w:r w:rsidR="009017E0">
        <w:rPr>
          <w:lang w:val="en-US"/>
        </w:rPr>
        <w:t xml:space="preserve"> and</w:t>
      </w:r>
      <w:r w:rsidRPr="004A029F">
        <w:t xml:space="preserve"> 5, </w:t>
      </w:r>
      <w:r w:rsidR="00A12481">
        <w:t>paragraphs</w:t>
      </w:r>
      <w:r w:rsidR="00F34A41">
        <w:rPr>
          <w:lang w:val="en-US"/>
        </w:rPr>
        <w:t xml:space="preserve"> </w:t>
      </w:r>
      <w:r w:rsidR="00F34A41">
        <w:t>2</w:t>
      </w:r>
      <w:r w:rsidR="00F34A41" w:rsidRPr="00F34A41">
        <w:rPr>
          <w:lang w:val="en-US"/>
        </w:rPr>
        <w:t> </w:t>
      </w:r>
      <w:r w:rsidRPr="004A029F">
        <w:t>(a) and (b)</w:t>
      </w:r>
      <w:r w:rsidR="009017E0">
        <w:rPr>
          <w:lang w:val="en-US"/>
        </w:rPr>
        <w:t>,</w:t>
      </w:r>
      <w:r w:rsidRPr="004A029F">
        <w:t xml:space="preserve"> of the Optional Protocol</w:t>
      </w:r>
      <w:r w:rsidR="009017E0">
        <w:rPr>
          <w:lang w:val="en-US"/>
        </w:rPr>
        <w:t>,</w:t>
      </w:r>
      <w:r>
        <w:t xml:space="preserve"> that i</w:t>
      </w:r>
      <w:r w:rsidRPr="004A029F">
        <w:t xml:space="preserve">t has discontinued proceedings regarding the </w:t>
      </w:r>
      <w:r w:rsidRPr="00F4101B">
        <w:t>communication</w:t>
      </w:r>
      <w:r w:rsidRPr="004A029F">
        <w:t xml:space="preserve"> and</w:t>
      </w:r>
      <w:r w:rsidR="009017E0">
        <w:rPr>
          <w:lang w:val="en-US"/>
        </w:rPr>
        <w:t xml:space="preserve"> that it</w:t>
      </w:r>
      <w:r w:rsidRPr="004A029F">
        <w:t xml:space="preserve"> will disassociate itself from the </w:t>
      </w:r>
      <w:r w:rsidR="009017E0">
        <w:rPr>
          <w:lang w:val="en-US"/>
        </w:rPr>
        <w:t>V</w:t>
      </w:r>
      <w:r w:rsidRPr="004A029F">
        <w:t xml:space="preserve">iews that might be adopted </w:t>
      </w:r>
      <w:r w:rsidRPr="00361EF4">
        <w:t>on it</w:t>
      </w:r>
      <w:r w:rsidRPr="004A029F">
        <w:t xml:space="preserve"> by the Human Rights Committee.</w:t>
      </w:r>
    </w:p>
    <w:p w:rsidR="00075FA7" w:rsidRDefault="00075FA7" w:rsidP="00F4101B">
      <w:pPr>
        <w:pStyle w:val="SingleTxtG"/>
      </w:pPr>
      <w:r>
        <w:t>6</w:t>
      </w:r>
      <w:r w:rsidRPr="003433A2">
        <w:t>.2</w:t>
      </w:r>
      <w:r>
        <w:tab/>
      </w:r>
      <w:r w:rsidRPr="006C6C87">
        <w:t xml:space="preserve">The Committee recalls that </w:t>
      </w:r>
      <w:r w:rsidR="00A12481">
        <w:t>article </w:t>
      </w:r>
      <w:r w:rsidRPr="006C6C87">
        <w:t xml:space="preserve">39, </w:t>
      </w:r>
      <w:r w:rsidR="00A12481">
        <w:t>paragraph </w:t>
      </w:r>
      <w:r w:rsidRPr="006C6C87">
        <w:t>2</w:t>
      </w:r>
      <w:r>
        <w:t>,</w:t>
      </w:r>
      <w:r w:rsidRPr="006C6C87">
        <w:t xml:space="preserve"> of the International Covenant on Civil and Political Rights authorizes it to establish its own rules of </w:t>
      </w:r>
      <w:r w:rsidRPr="00F4101B">
        <w:t>procedure</w:t>
      </w:r>
      <w:r w:rsidRPr="006C6C87">
        <w:t xml:space="preserve">, which the States parties have agreed to recognize. The Committee further observes that, by adhering to the Optional Protocol, a State party to the Covenant recognizes the competence of the Human Rights Committee to receive and consider communications from individuals subject to its jurisdiction </w:t>
      </w:r>
      <w:r w:rsidR="00836EF7">
        <w:rPr>
          <w:lang w:val="en-US"/>
        </w:rPr>
        <w:t xml:space="preserve">who </w:t>
      </w:r>
      <w:r w:rsidRPr="006C6C87">
        <w:t>claim to be victims of</w:t>
      </w:r>
      <w:r>
        <w:t xml:space="preserve"> a</w:t>
      </w:r>
      <w:r w:rsidRPr="006C6C87">
        <w:t xml:space="preserve"> violation of any of the rights set forth in the Covenant</w:t>
      </w:r>
      <w:r>
        <w:t>.</w:t>
      </w:r>
      <w:r w:rsidRPr="006C6C87">
        <w:rPr>
          <w:vertAlign w:val="superscript"/>
        </w:rPr>
        <w:footnoteReference w:id="19"/>
      </w:r>
      <w:r w:rsidRPr="006C6C87">
        <w:t xml:space="preserve"> Implicit in a State</w:t>
      </w:r>
      <w:r>
        <w:t>’</w:t>
      </w:r>
      <w:r w:rsidRPr="006C6C87">
        <w:t xml:space="preserve">s adherence to the Optional Protocol is an undertaking to cooperate with the Committee in good faith so as to permit and enable it to consider such communications, and after examination to forward its views to the State party and to the </w:t>
      </w:r>
      <w:r w:rsidRPr="006C6C87">
        <w:lastRenderedPageBreak/>
        <w:t>individual concerned.</w:t>
      </w:r>
      <w:r w:rsidRPr="006C6C87">
        <w:rPr>
          <w:vertAlign w:val="superscript"/>
        </w:rPr>
        <w:footnoteReference w:id="20"/>
      </w:r>
      <w:r w:rsidRPr="006C6C87">
        <w:t xml:space="preserve"> It is incompatible with the obligations under </w:t>
      </w:r>
      <w:r w:rsidR="00A12481">
        <w:t>article </w:t>
      </w:r>
      <w:r w:rsidRPr="006C6C87">
        <w:t>1 of the Optional Protocol for a State party to take any action that would prevent or frustrate the Committee in its consideration and examination of the communication, and in the expression of its Views.</w:t>
      </w:r>
      <w:r w:rsidRPr="006C6C87">
        <w:rPr>
          <w:vertAlign w:val="superscript"/>
        </w:rPr>
        <w:footnoteReference w:id="21"/>
      </w:r>
      <w:r w:rsidRPr="006C6C87">
        <w:t xml:space="preserve"> </w:t>
      </w:r>
      <w:r w:rsidRPr="003433A2">
        <w:t xml:space="preserve">It is for the Committee to determine whether a communication should be registered. The Committee observes that, by failing to accept the competence of the Committee to determine whether a communication shall be registered and by declaring beforehand that it will not accept the determination of the Committee on the admissibility and on the merits of the communications, the State party violates its obligations under </w:t>
      </w:r>
      <w:r w:rsidR="00A12481">
        <w:t>article </w:t>
      </w:r>
      <w:r w:rsidRPr="003433A2">
        <w:t>1 of the Optional Protocol to the Covenant.</w:t>
      </w:r>
      <w:r>
        <w:rPr>
          <w:rStyle w:val="FootnoteReference"/>
        </w:rPr>
        <w:footnoteReference w:id="22"/>
      </w:r>
    </w:p>
    <w:p w:rsidR="00075FA7" w:rsidRDefault="008B732C" w:rsidP="008B732C">
      <w:pPr>
        <w:pStyle w:val="H4G"/>
      </w:pPr>
      <w:r>
        <w:tab/>
      </w:r>
      <w:r>
        <w:tab/>
      </w:r>
      <w:r w:rsidR="00075FA7" w:rsidRPr="00644049">
        <w:t>Consideration of admissibility</w:t>
      </w:r>
    </w:p>
    <w:p w:rsidR="00075FA7" w:rsidRDefault="00075FA7" w:rsidP="003B0798">
      <w:pPr>
        <w:pStyle w:val="SingleTxtG"/>
      </w:pPr>
      <w:r>
        <w:t>7</w:t>
      </w:r>
      <w:r w:rsidRPr="00AF590D">
        <w:t>.1</w:t>
      </w:r>
      <w:r w:rsidRPr="00AF590D">
        <w:tab/>
        <w:t>Before considering any claim contained in a communication, the Human Rights Committe</w:t>
      </w:r>
      <w:r w:rsidR="00F34A41">
        <w:t>e must</w:t>
      </w:r>
      <w:r w:rsidR="003B0798">
        <w:rPr>
          <w:lang w:val="en-US"/>
        </w:rPr>
        <w:t xml:space="preserve"> decide</w:t>
      </w:r>
      <w:r w:rsidR="00F34A41">
        <w:t>, in accordance with rule</w:t>
      </w:r>
      <w:r w:rsidR="00F34A41" w:rsidRPr="00F34A41">
        <w:rPr>
          <w:lang w:val="en-US"/>
        </w:rPr>
        <w:t> </w:t>
      </w:r>
      <w:r w:rsidRPr="00AF590D">
        <w:t xml:space="preserve">93 of its rules of procedure, whether the </w:t>
      </w:r>
      <w:r w:rsidRPr="00F4101B">
        <w:t>communication</w:t>
      </w:r>
      <w:r w:rsidRPr="00AF590D">
        <w:t xml:space="preserve"> is admissible under the Optional Protocol to the Covenant.</w:t>
      </w:r>
    </w:p>
    <w:p w:rsidR="00075FA7" w:rsidRDefault="00075FA7" w:rsidP="00066DD2">
      <w:pPr>
        <w:pStyle w:val="SingleTxtG"/>
        <w:rPr>
          <w:lang w:val="en-US"/>
        </w:rPr>
      </w:pPr>
      <w:r>
        <w:t>7</w:t>
      </w:r>
      <w:r w:rsidRPr="00AF590D">
        <w:t>.2</w:t>
      </w:r>
      <w:r w:rsidRPr="00AF590D">
        <w:tab/>
        <w:t xml:space="preserve">The Committee </w:t>
      </w:r>
      <w:r>
        <w:t xml:space="preserve">takes note of the State party’s submission that the communication had been brought to the attention of the Working Group on Arbitrary Detention and was under its examination. The Committee notes that </w:t>
      </w:r>
      <w:r w:rsidR="00A12481">
        <w:t>Mr. </w:t>
      </w:r>
      <w:r w:rsidRPr="00D22D4C">
        <w:rPr>
          <w:rFonts w:eastAsia="Verdana"/>
        </w:rPr>
        <w:t>Belyatsky</w:t>
      </w:r>
      <w:r>
        <w:t xml:space="preserve">’s case was examined </w:t>
      </w:r>
      <w:r w:rsidRPr="00F4101B">
        <w:t>by</w:t>
      </w:r>
      <w:r>
        <w:t xml:space="preserve"> the Working Group on Arbitrary Detention, which issued an opinion on </w:t>
      </w:r>
      <w:r w:rsidR="007F50A9">
        <w:rPr>
          <w:lang w:val="en-US"/>
        </w:rPr>
        <w:t>31 August</w:t>
      </w:r>
      <w:r>
        <w:t xml:space="preserve"> 2012</w:t>
      </w:r>
      <w:r w:rsidR="00C513F5">
        <w:rPr>
          <w:lang w:val="en-US"/>
        </w:rPr>
        <w:t xml:space="preserve"> (</w:t>
      </w:r>
      <w:r w:rsidR="00C513F5" w:rsidRPr="00C513F5">
        <w:rPr>
          <w:lang w:val="en-US"/>
        </w:rPr>
        <w:t>A/HRC/WGAD/2012/39</w:t>
      </w:r>
      <w:r w:rsidR="00C513F5">
        <w:rPr>
          <w:lang w:val="en-US"/>
        </w:rPr>
        <w:t>)</w:t>
      </w:r>
      <w:r>
        <w:t>.</w:t>
      </w:r>
      <w:r w:rsidR="00F34A41" w:rsidRPr="00F34A41">
        <w:rPr>
          <w:lang w:val="en-US"/>
        </w:rPr>
        <w:t xml:space="preserve"> </w:t>
      </w:r>
      <w:r w:rsidR="0006362E">
        <w:rPr>
          <w:lang w:val="en-US"/>
        </w:rPr>
        <w:t>S</w:t>
      </w:r>
      <w:r>
        <w:rPr>
          <w:lang w:val="en-US"/>
        </w:rPr>
        <w:t>ince the matter is no longer being examined by the Working Group</w:t>
      </w:r>
      <w:r w:rsidRPr="009A3C92">
        <w:t xml:space="preserve"> </w:t>
      </w:r>
      <w:r>
        <w:t>on Arbitrary Detention</w:t>
      </w:r>
      <w:r>
        <w:rPr>
          <w:lang w:val="en-US"/>
        </w:rPr>
        <w:t>, the Committee concludes that it is not precluded</w:t>
      </w:r>
      <w:r w:rsidR="00066DD2">
        <w:rPr>
          <w:lang w:val="en-US"/>
        </w:rPr>
        <w:t xml:space="preserve"> by the above provision</w:t>
      </w:r>
      <w:r>
        <w:rPr>
          <w:lang w:val="en-US"/>
        </w:rPr>
        <w:t xml:space="preserve"> from examining it.</w:t>
      </w:r>
      <w:r w:rsidR="00A12481">
        <w:rPr>
          <w:lang w:val="en-US"/>
        </w:rPr>
        <w:t xml:space="preserve"> </w:t>
      </w:r>
    </w:p>
    <w:p w:rsidR="004327E3" w:rsidRPr="00B301C6" w:rsidRDefault="00075FA7" w:rsidP="00B301C6">
      <w:pPr>
        <w:pStyle w:val="SingleTxtG"/>
        <w:rPr>
          <w:rFonts w:eastAsia="Calibri"/>
          <w:lang w:val="en-US" w:eastAsia="ar-SA"/>
        </w:rPr>
      </w:pPr>
      <w:r>
        <w:rPr>
          <w:lang w:val="en-US"/>
        </w:rPr>
        <w:t>7.3</w:t>
      </w:r>
      <w:r>
        <w:rPr>
          <w:lang w:val="en-US"/>
        </w:rPr>
        <w:tab/>
      </w:r>
      <w:r w:rsidR="004327E3">
        <w:rPr>
          <w:rFonts w:eastAsia="Calibri"/>
          <w:lang w:val="en-US" w:eastAsia="ar-SA"/>
        </w:rPr>
        <w:t xml:space="preserve">With regard to the author’s claims under </w:t>
      </w:r>
      <w:r w:rsidR="00A12481">
        <w:rPr>
          <w:rFonts w:eastAsia="Calibri"/>
          <w:lang w:val="en-US" w:eastAsia="ar-SA"/>
        </w:rPr>
        <w:t>article </w:t>
      </w:r>
      <w:r w:rsidR="004327E3">
        <w:rPr>
          <w:rFonts w:eastAsia="Calibri"/>
          <w:lang w:val="en-US" w:eastAsia="ar-SA"/>
        </w:rPr>
        <w:t xml:space="preserve">2 </w:t>
      </w:r>
      <w:r w:rsidR="004327E3" w:rsidRPr="00B301C6">
        <w:rPr>
          <w:rFonts w:eastAsia="Calibri"/>
        </w:rPr>
        <w:t>of</w:t>
      </w:r>
      <w:r w:rsidR="004327E3">
        <w:rPr>
          <w:rFonts w:eastAsia="Calibri"/>
          <w:lang w:val="en-US" w:eastAsia="ar-SA"/>
        </w:rPr>
        <w:t xml:space="preserve"> the Covenant, t</w:t>
      </w:r>
      <w:r w:rsidR="004327E3">
        <w:t xml:space="preserve">he Committee recalls its jurisprudence, which indicates that the provisions of </w:t>
      </w:r>
      <w:r w:rsidR="00A12481">
        <w:t>article </w:t>
      </w:r>
      <w:r w:rsidR="004327E3">
        <w:t>2 of the Covenant lay down general obligations for States parties,</w:t>
      </w:r>
      <w:r w:rsidR="004327E3">
        <w:rPr>
          <w:vertAlign w:val="superscript"/>
        </w:rPr>
        <w:t xml:space="preserve"> </w:t>
      </w:r>
      <w:r w:rsidR="004327E3">
        <w:t xml:space="preserve">and that they </w:t>
      </w:r>
      <w:r w:rsidR="00C3487A">
        <w:t>can</w:t>
      </w:r>
      <w:r w:rsidR="004327E3">
        <w:t>not give rise, when invoked separately, to a claim in a communication under the Optional Protocol.</w:t>
      </w:r>
      <w:r w:rsidR="004327E3">
        <w:rPr>
          <w:rStyle w:val="FootnoteReference"/>
        </w:rPr>
        <w:footnoteReference w:id="23"/>
      </w:r>
      <w:r w:rsidR="004327E3" w:rsidRPr="00A458F3">
        <w:t xml:space="preserve"> </w:t>
      </w:r>
      <w:r w:rsidR="004327E3" w:rsidRPr="008A5807">
        <w:t xml:space="preserve">The Committee therefore considers that the author’s claims in this regard are incompatible with </w:t>
      </w:r>
      <w:r w:rsidR="00A12481">
        <w:t>article </w:t>
      </w:r>
      <w:r w:rsidR="004327E3" w:rsidRPr="008A5807">
        <w:t xml:space="preserve">2 of the Covenant and inadmissible under </w:t>
      </w:r>
      <w:r w:rsidR="00A12481">
        <w:t>article </w:t>
      </w:r>
      <w:r w:rsidR="004327E3" w:rsidRPr="008A5807">
        <w:t>3 of the Optional Protocol.</w:t>
      </w:r>
      <w:r w:rsidR="00A12481">
        <w:t xml:space="preserve"> </w:t>
      </w:r>
    </w:p>
    <w:p w:rsidR="00075FA7" w:rsidRPr="00F4101B" w:rsidRDefault="00075FA7" w:rsidP="00F4101B">
      <w:pPr>
        <w:pStyle w:val="SingleTxtG"/>
        <w:rPr>
          <w:rFonts w:eastAsia="Calibri"/>
        </w:rPr>
      </w:pPr>
      <w:r>
        <w:rPr>
          <w:lang w:val="en-US"/>
        </w:rPr>
        <w:t>7.4</w:t>
      </w:r>
      <w:r>
        <w:rPr>
          <w:lang w:val="en-US"/>
        </w:rPr>
        <w:tab/>
      </w:r>
      <w:r w:rsidRPr="00B97299">
        <w:rPr>
          <w:lang w:val="en-US"/>
        </w:rPr>
        <w:t xml:space="preserve">The Committee notes the author’s claim under </w:t>
      </w:r>
      <w:r w:rsidR="00A12481">
        <w:rPr>
          <w:lang w:val="en-US"/>
        </w:rPr>
        <w:t>article </w:t>
      </w:r>
      <w:r w:rsidRPr="00B97299">
        <w:rPr>
          <w:lang w:val="en-US"/>
        </w:rPr>
        <w:t>14 of the Covenant, according to which the courts have acted in a biased manner in h</w:t>
      </w:r>
      <w:r>
        <w:rPr>
          <w:lang w:val="en-US"/>
        </w:rPr>
        <w:t>er husband’s</w:t>
      </w:r>
      <w:r w:rsidRPr="00B97299">
        <w:rPr>
          <w:lang w:val="en-US"/>
        </w:rPr>
        <w:t xml:space="preserve"> case</w:t>
      </w:r>
      <w:r w:rsidR="00E90DE6">
        <w:rPr>
          <w:lang w:val="en-US"/>
        </w:rPr>
        <w:t>,</w:t>
      </w:r>
      <w:r w:rsidRPr="00B97299">
        <w:rPr>
          <w:lang w:val="en-US"/>
        </w:rPr>
        <w:t xml:space="preserve"> given that the first instance court did not object to certain statements of the prosecution and based on general information regarding the judicial system in the State party. In the absence of any other pertinent information </w:t>
      </w:r>
      <w:r w:rsidRPr="00F4101B">
        <w:t xml:space="preserve">in this respect, the Committee considers, however, that the author has failed to sufficiently substantiate this claim for purposes of admissibility. Accordingly, it concludes that this part of the communication is inadmissible under </w:t>
      </w:r>
      <w:r w:rsidR="00A12481">
        <w:t>article </w:t>
      </w:r>
      <w:r w:rsidRPr="00F4101B">
        <w:t>2 of the Optional Protocol.</w:t>
      </w:r>
      <w:r w:rsidRPr="00F4101B">
        <w:rPr>
          <w:rFonts w:eastAsia="Calibri"/>
        </w:rPr>
        <w:t xml:space="preserve"> </w:t>
      </w:r>
    </w:p>
    <w:p w:rsidR="00075FA7" w:rsidRPr="00F4101B" w:rsidRDefault="00075FA7" w:rsidP="00F4101B">
      <w:pPr>
        <w:pStyle w:val="SingleTxtG"/>
      </w:pPr>
      <w:r w:rsidRPr="00F4101B">
        <w:rPr>
          <w:rFonts w:eastAsia="Calibri"/>
        </w:rPr>
        <w:t>7.5</w:t>
      </w:r>
      <w:r w:rsidRPr="00F4101B">
        <w:rPr>
          <w:rFonts w:eastAsia="Calibri"/>
        </w:rPr>
        <w:tab/>
      </w:r>
      <w:r w:rsidRPr="00F4101B">
        <w:t xml:space="preserve">The Committee notes the author’s claim that her husband’s rights under </w:t>
      </w:r>
      <w:r w:rsidR="00A12481">
        <w:t>article </w:t>
      </w:r>
      <w:r w:rsidRPr="00F4101B">
        <w:t xml:space="preserve">14, </w:t>
      </w:r>
      <w:r w:rsidR="00A12481">
        <w:t>paragraph</w:t>
      </w:r>
      <w:r w:rsidR="00F34A41" w:rsidRPr="00F34A41">
        <w:rPr>
          <w:lang w:val="en-US"/>
        </w:rPr>
        <w:t xml:space="preserve"> </w:t>
      </w:r>
      <w:r w:rsidR="00F34A41">
        <w:t>3</w:t>
      </w:r>
      <w:r w:rsidR="00F34A41" w:rsidRPr="00F34A41">
        <w:rPr>
          <w:lang w:val="en-US"/>
        </w:rPr>
        <w:t> </w:t>
      </w:r>
      <w:r w:rsidRPr="00F4101B">
        <w:t>(d)</w:t>
      </w:r>
      <w:r w:rsidR="009E1447">
        <w:t>,</w:t>
      </w:r>
      <w:r w:rsidRPr="00F4101B">
        <w:t xml:space="preserve"> to be tried in his presence had been violated since he had sent a written request to the </w:t>
      </w:r>
      <w:r w:rsidR="00085709">
        <w:rPr>
          <w:lang w:val="en-US"/>
        </w:rPr>
        <w:t>a</w:t>
      </w:r>
      <w:r w:rsidRPr="00F4101B">
        <w:t xml:space="preserve">ppellate </w:t>
      </w:r>
      <w:r w:rsidR="00085709">
        <w:rPr>
          <w:lang w:val="en-US"/>
        </w:rPr>
        <w:t>c</w:t>
      </w:r>
      <w:r w:rsidRPr="00F4101B">
        <w:t xml:space="preserve">ourt to be present at the appellate hearing, but the court </w:t>
      </w:r>
      <w:r w:rsidR="00E90DE6">
        <w:rPr>
          <w:lang w:val="en-US"/>
        </w:rPr>
        <w:t xml:space="preserve">had </w:t>
      </w:r>
      <w:r w:rsidRPr="00F4101B">
        <w:t xml:space="preserve">rejected it. The Committee, however, observes that the </w:t>
      </w:r>
      <w:r w:rsidR="009E1447">
        <w:t xml:space="preserve">lawyer of the </w:t>
      </w:r>
      <w:r w:rsidRPr="00F4101B">
        <w:t xml:space="preserve">author’s husband was </w:t>
      </w:r>
      <w:r w:rsidRPr="00F4101B">
        <w:lastRenderedPageBreak/>
        <w:t xml:space="preserve">present at the appellate hearing. In the absence of any other pertinent information in this respect, the Committee considers that the author has failed to sufficiently substantiate this claim for purposes of admissibility and finds that it is inadmissible under </w:t>
      </w:r>
      <w:r w:rsidR="00A12481">
        <w:t>article </w:t>
      </w:r>
      <w:r w:rsidRPr="00F4101B">
        <w:t>2 of the Optional Protocol.</w:t>
      </w:r>
    </w:p>
    <w:p w:rsidR="00075FA7" w:rsidRDefault="00075FA7" w:rsidP="00A12481">
      <w:pPr>
        <w:pStyle w:val="SingleTxtG"/>
      </w:pPr>
      <w:r w:rsidRPr="00F4101B">
        <w:t>7.6</w:t>
      </w:r>
      <w:r w:rsidRPr="00F4101B">
        <w:tab/>
        <w:t>The Committee notes the State party’s submission that the communication had been brought before the Committee by third-party individuals instead of the individual himself. In this respect, the</w:t>
      </w:r>
      <w:r w:rsidR="00F34A41">
        <w:t xml:space="preserve"> Committee recalls that rule</w:t>
      </w:r>
      <w:r w:rsidR="00F34A41" w:rsidRPr="00F34A41">
        <w:rPr>
          <w:lang w:val="en-US"/>
        </w:rPr>
        <w:t> </w:t>
      </w:r>
      <w:r w:rsidR="00F34A41">
        <w:t>96</w:t>
      </w:r>
      <w:r w:rsidR="00F34A41" w:rsidRPr="00F34A41">
        <w:rPr>
          <w:lang w:val="en-US"/>
        </w:rPr>
        <w:t> </w:t>
      </w:r>
      <w:r w:rsidRPr="00F4101B">
        <w:t>(b) of its rules of procedure provides that a communication should normally be submitted by the individual personally or by that individual</w:t>
      </w:r>
      <w:r w:rsidR="00A12481" w:rsidRPr="00A12481">
        <w:rPr>
          <w:lang w:val="en-US"/>
        </w:rPr>
        <w:t>’</w:t>
      </w:r>
      <w:r w:rsidRPr="00F4101B">
        <w:t>s representative, but that a communication submitted on behalf of an alleged victim may be accepted when it appears that the individual in question is unable to submit the communication personally.</w:t>
      </w:r>
      <w:r w:rsidRPr="00B301C6">
        <w:rPr>
          <w:rStyle w:val="FootnoteReference"/>
          <w:sz w:val="20"/>
        </w:rPr>
        <w:footnoteReference w:id="24"/>
      </w:r>
      <w:r w:rsidRPr="00F4101B">
        <w:t xml:space="preserve"> In the present case, the Committee notes that the alleged victim</w:t>
      </w:r>
      <w:r w:rsidR="0006362E" w:rsidRPr="007C1A02">
        <w:t>, who was in prison</w:t>
      </w:r>
      <w:r w:rsidR="0006362E">
        <w:t xml:space="preserve"> when the communication was submitted, had</w:t>
      </w:r>
      <w:r w:rsidRPr="00F4101B">
        <w:t xml:space="preserve"> issued a letter of authori</w:t>
      </w:r>
      <w:r w:rsidR="0090133F">
        <w:t>z</w:t>
      </w:r>
      <w:r w:rsidRPr="00F4101B">
        <w:t>ation to his wife and that the latter in turn authori</w:t>
      </w:r>
      <w:r w:rsidR="0090133F">
        <w:t>z</w:t>
      </w:r>
      <w:r w:rsidRPr="00F4101B">
        <w:t>ed counsel to represent the alleged victim before the Committee</w:t>
      </w:r>
      <w:r w:rsidRPr="008E7551">
        <w:t xml:space="preserve">. Accordingly, the Committee considers that it is not precluded by </w:t>
      </w:r>
      <w:r w:rsidR="00A12481">
        <w:t>article </w:t>
      </w:r>
      <w:r w:rsidRPr="008E7551">
        <w:t>1 of the Optional Protocol from examining the communication.</w:t>
      </w:r>
    </w:p>
    <w:p w:rsidR="00075FA7" w:rsidRDefault="00075FA7" w:rsidP="00F34A41">
      <w:pPr>
        <w:pStyle w:val="SingleTxtG"/>
      </w:pPr>
      <w:r>
        <w:t>7.7</w:t>
      </w:r>
      <w:r>
        <w:tab/>
      </w:r>
      <w:r w:rsidRPr="008C57E9">
        <w:rPr>
          <w:spacing w:val="-2"/>
        </w:rPr>
        <w:t xml:space="preserve">The Committee notes the State party’s submission that the author’s husband had failed to exhaust the available domestic remedies. </w:t>
      </w:r>
      <w:r w:rsidR="0090133F" w:rsidRPr="008C57E9">
        <w:rPr>
          <w:spacing w:val="-2"/>
        </w:rPr>
        <w:t>It</w:t>
      </w:r>
      <w:r w:rsidRPr="008C57E9">
        <w:rPr>
          <w:spacing w:val="-2"/>
        </w:rPr>
        <w:t xml:space="preserve"> observes that the State party does not point out any concrete remedies that could have been pursued by the author’s husband. The Committee notes the author</w:t>
      </w:r>
      <w:r w:rsidR="00A12481" w:rsidRPr="008C57E9">
        <w:rPr>
          <w:spacing w:val="-2"/>
          <w:lang w:val="en-US"/>
        </w:rPr>
        <w:t>’</w:t>
      </w:r>
      <w:r w:rsidRPr="008C57E9">
        <w:rPr>
          <w:spacing w:val="-2"/>
        </w:rPr>
        <w:t xml:space="preserve">s explanation that her husband had exhausted all available domestic remedies and her contention that the supervisory review procedure does not constitute an effective domestic remedy. </w:t>
      </w:r>
      <w:r w:rsidR="0090133F" w:rsidRPr="008C57E9">
        <w:rPr>
          <w:spacing w:val="-2"/>
        </w:rPr>
        <w:t>It</w:t>
      </w:r>
      <w:r w:rsidRPr="008C57E9">
        <w:rPr>
          <w:spacing w:val="-2"/>
        </w:rPr>
        <w:t xml:space="preserve"> also notes that the author’s husband had </w:t>
      </w:r>
      <w:r w:rsidRPr="008C57E9">
        <w:rPr>
          <w:spacing w:val="-2"/>
          <w:lang w:val="en-US"/>
        </w:rPr>
        <w:t xml:space="preserve">petitioned for a supervisory review of the verdict in his criminal case and </w:t>
      </w:r>
      <w:r w:rsidR="0090133F" w:rsidRPr="008C57E9">
        <w:rPr>
          <w:spacing w:val="-2"/>
          <w:lang w:val="en-US"/>
        </w:rPr>
        <w:t xml:space="preserve">of </w:t>
      </w:r>
      <w:r w:rsidRPr="008C57E9">
        <w:rPr>
          <w:spacing w:val="-2"/>
          <w:lang w:val="en-US"/>
        </w:rPr>
        <w:t>the ruling of the appellate court</w:t>
      </w:r>
      <w:r w:rsidR="0090133F" w:rsidRPr="008C57E9">
        <w:rPr>
          <w:spacing w:val="-2"/>
          <w:lang w:val="en-US"/>
        </w:rPr>
        <w:t>,</w:t>
      </w:r>
      <w:r w:rsidRPr="008C57E9">
        <w:rPr>
          <w:spacing w:val="-2"/>
          <w:lang w:val="en-US"/>
        </w:rPr>
        <w:t xml:space="preserve"> to the Chief Judge of the Minsk </w:t>
      </w:r>
      <w:r w:rsidR="005D14BB" w:rsidRPr="008C57E9">
        <w:rPr>
          <w:spacing w:val="-2"/>
          <w:lang w:val="en-US"/>
        </w:rPr>
        <w:t>City</w:t>
      </w:r>
      <w:r w:rsidRPr="008C57E9">
        <w:rPr>
          <w:spacing w:val="-2"/>
          <w:lang w:val="en-US"/>
        </w:rPr>
        <w:t xml:space="preserve"> Court and to the Deputy Chief Justice of the Supreme Court</w:t>
      </w:r>
      <w:r w:rsidR="0090133F" w:rsidRPr="008C57E9">
        <w:rPr>
          <w:spacing w:val="-2"/>
          <w:lang w:val="en-US"/>
        </w:rPr>
        <w:t>,</w:t>
      </w:r>
      <w:r w:rsidRPr="008C57E9">
        <w:rPr>
          <w:spacing w:val="-2"/>
          <w:lang w:val="en-US"/>
        </w:rPr>
        <w:t xml:space="preserve"> and that th</w:t>
      </w:r>
      <w:r w:rsidR="0090133F" w:rsidRPr="008C57E9">
        <w:rPr>
          <w:spacing w:val="-2"/>
          <w:lang w:val="en-US"/>
        </w:rPr>
        <w:t>ose</w:t>
      </w:r>
      <w:r w:rsidRPr="008C57E9">
        <w:rPr>
          <w:spacing w:val="-2"/>
          <w:lang w:val="en-US"/>
        </w:rPr>
        <w:t xml:space="preserve"> petitions had been rejected, respectively</w:t>
      </w:r>
      <w:r w:rsidR="0090133F" w:rsidRPr="008C57E9">
        <w:rPr>
          <w:spacing w:val="-2"/>
          <w:lang w:val="en-US"/>
        </w:rPr>
        <w:t>,</w:t>
      </w:r>
      <w:r w:rsidRPr="008C57E9">
        <w:rPr>
          <w:spacing w:val="-2"/>
          <w:lang w:val="en-US"/>
        </w:rPr>
        <w:t xml:space="preserve"> on 17 May 2012 and on 4 September 2012.</w:t>
      </w:r>
      <w:r w:rsidRPr="008C57E9">
        <w:rPr>
          <w:spacing w:val="-2"/>
        </w:rPr>
        <w:t xml:space="preserve"> In this regard, the Committee recalls its jurisprudence, according to which </w:t>
      </w:r>
      <w:r w:rsidR="003416E5" w:rsidRPr="008C57E9">
        <w:rPr>
          <w:spacing w:val="-2"/>
          <w:lang w:val="en-US"/>
        </w:rPr>
        <w:t xml:space="preserve">a petition </w:t>
      </w:r>
      <w:r w:rsidR="00512E4D" w:rsidRPr="008C57E9">
        <w:rPr>
          <w:spacing w:val="-2"/>
          <w:lang w:val="en-US"/>
        </w:rPr>
        <w:t>to a prosecutor’s office</w:t>
      </w:r>
      <w:r w:rsidR="0090133F" w:rsidRPr="008C57E9">
        <w:rPr>
          <w:spacing w:val="-2"/>
          <w:lang w:val="en-US"/>
        </w:rPr>
        <w:t xml:space="preserve"> for</w:t>
      </w:r>
      <w:r w:rsidR="0090133F" w:rsidRPr="008C57E9">
        <w:rPr>
          <w:spacing w:val="-2"/>
        </w:rPr>
        <w:t xml:space="preserve"> supervisory review</w:t>
      </w:r>
      <w:r w:rsidR="00512E4D" w:rsidRPr="008C57E9">
        <w:rPr>
          <w:spacing w:val="-2"/>
          <w:lang w:val="en-US"/>
        </w:rPr>
        <w:t xml:space="preserve">, allowing </w:t>
      </w:r>
      <w:r w:rsidR="00C72EAC" w:rsidRPr="008C57E9">
        <w:rPr>
          <w:spacing w:val="-2"/>
          <w:lang w:val="en-US"/>
        </w:rPr>
        <w:t>for</w:t>
      </w:r>
      <w:r w:rsidR="00512E4D" w:rsidRPr="008C57E9">
        <w:rPr>
          <w:spacing w:val="-2"/>
          <w:lang w:val="en-US"/>
        </w:rPr>
        <w:t xml:space="preserve"> </w:t>
      </w:r>
      <w:r w:rsidR="0090133F" w:rsidRPr="008C57E9">
        <w:rPr>
          <w:spacing w:val="-2"/>
          <w:lang w:val="en-US"/>
        </w:rPr>
        <w:t xml:space="preserve">a </w:t>
      </w:r>
      <w:r w:rsidR="00512E4D" w:rsidRPr="008C57E9">
        <w:rPr>
          <w:spacing w:val="-2"/>
          <w:lang w:val="en-US"/>
        </w:rPr>
        <w:t xml:space="preserve">review </w:t>
      </w:r>
      <w:r w:rsidR="0090133F" w:rsidRPr="008C57E9">
        <w:rPr>
          <w:spacing w:val="-2"/>
          <w:lang w:val="en-US"/>
        </w:rPr>
        <w:t xml:space="preserve">of </w:t>
      </w:r>
      <w:r w:rsidR="00512E4D" w:rsidRPr="008C57E9">
        <w:rPr>
          <w:spacing w:val="-2"/>
          <w:lang w:val="en-US"/>
        </w:rPr>
        <w:t xml:space="preserve">court decisions that have taken effect, does not constitute a remedy </w:t>
      </w:r>
      <w:r w:rsidR="0090133F" w:rsidRPr="008C57E9">
        <w:rPr>
          <w:spacing w:val="-2"/>
          <w:lang w:val="en-US"/>
        </w:rPr>
        <w:t>that</w:t>
      </w:r>
      <w:r w:rsidR="00512E4D" w:rsidRPr="008C57E9">
        <w:rPr>
          <w:spacing w:val="-2"/>
          <w:lang w:val="en-US"/>
        </w:rPr>
        <w:t xml:space="preserve"> has to be exhausted for the purposes of </w:t>
      </w:r>
      <w:r w:rsidR="00A12481" w:rsidRPr="008C57E9">
        <w:rPr>
          <w:spacing w:val="-2"/>
          <w:lang w:val="en-US"/>
        </w:rPr>
        <w:t>article </w:t>
      </w:r>
      <w:r w:rsidR="00512E4D" w:rsidRPr="008C57E9">
        <w:rPr>
          <w:spacing w:val="-2"/>
          <w:lang w:val="en-US"/>
        </w:rPr>
        <w:t xml:space="preserve">5, </w:t>
      </w:r>
      <w:r w:rsidR="00A12481" w:rsidRPr="008C57E9">
        <w:rPr>
          <w:spacing w:val="-2"/>
          <w:lang w:val="en-US"/>
        </w:rPr>
        <w:t>paragraph</w:t>
      </w:r>
      <w:r w:rsidR="00F34A41" w:rsidRPr="008C57E9">
        <w:rPr>
          <w:spacing w:val="-2"/>
          <w:lang w:val="en-US"/>
        </w:rPr>
        <w:t xml:space="preserve"> 2 </w:t>
      </w:r>
      <w:r w:rsidR="00512E4D" w:rsidRPr="008C57E9">
        <w:rPr>
          <w:spacing w:val="-2"/>
          <w:lang w:val="en-US"/>
        </w:rPr>
        <w:t>(b), of the Optional Protocol.</w:t>
      </w:r>
      <w:r w:rsidRPr="008C57E9">
        <w:rPr>
          <w:rStyle w:val="FootnoteReference"/>
          <w:spacing w:val="-2"/>
        </w:rPr>
        <w:footnoteReference w:id="25"/>
      </w:r>
      <w:r w:rsidRPr="008C57E9">
        <w:rPr>
          <w:spacing w:val="-2"/>
        </w:rPr>
        <w:t xml:space="preserve"> In the circumstances, the Committee considers that it is not precluded, for purposes of admissibility, by </w:t>
      </w:r>
      <w:r w:rsidR="00A12481" w:rsidRPr="008C57E9">
        <w:rPr>
          <w:spacing w:val="-2"/>
        </w:rPr>
        <w:t>article </w:t>
      </w:r>
      <w:r w:rsidRPr="008C57E9">
        <w:rPr>
          <w:spacing w:val="-2"/>
        </w:rPr>
        <w:t xml:space="preserve">5, </w:t>
      </w:r>
      <w:r w:rsidR="00A12481" w:rsidRPr="008C57E9">
        <w:rPr>
          <w:spacing w:val="-2"/>
        </w:rPr>
        <w:t>paragraph</w:t>
      </w:r>
      <w:r w:rsidR="00F34A41" w:rsidRPr="008C57E9">
        <w:rPr>
          <w:spacing w:val="-2"/>
          <w:lang w:val="en-US"/>
        </w:rPr>
        <w:t xml:space="preserve"> </w:t>
      </w:r>
      <w:r w:rsidRPr="008C57E9">
        <w:rPr>
          <w:spacing w:val="-2"/>
        </w:rPr>
        <w:t>2</w:t>
      </w:r>
      <w:r w:rsidR="00F34A41" w:rsidRPr="008C57E9">
        <w:rPr>
          <w:spacing w:val="-2"/>
          <w:lang w:val="en-US"/>
        </w:rPr>
        <w:t> </w:t>
      </w:r>
      <w:r w:rsidRPr="008C57E9">
        <w:rPr>
          <w:spacing w:val="-2"/>
        </w:rPr>
        <w:t>(b), of the Optional Protocol, from examining the communication.</w:t>
      </w:r>
    </w:p>
    <w:p w:rsidR="00075FA7" w:rsidRDefault="00075FA7" w:rsidP="00F4101B">
      <w:pPr>
        <w:pStyle w:val="SingleTxtG"/>
        <w:rPr>
          <w:lang w:val="en-US"/>
        </w:rPr>
      </w:pPr>
      <w:r>
        <w:t>7</w:t>
      </w:r>
      <w:r w:rsidRPr="00AF590D">
        <w:t>.</w:t>
      </w:r>
      <w:r>
        <w:t>8</w:t>
      </w:r>
      <w:r w:rsidRPr="00AF590D">
        <w:tab/>
      </w:r>
      <w:r w:rsidRPr="00AF590D">
        <w:rPr>
          <w:lang w:val="en-US"/>
        </w:rPr>
        <w:t xml:space="preserve">The Committee considers that the author has sufficiently substantiated </w:t>
      </w:r>
      <w:r w:rsidRPr="00C61B71">
        <w:rPr>
          <w:lang w:val="en-US"/>
        </w:rPr>
        <w:t>h</w:t>
      </w:r>
      <w:r w:rsidR="00C61B71" w:rsidRPr="00C61B71">
        <w:rPr>
          <w:lang w:val="en-US"/>
        </w:rPr>
        <w:t>er</w:t>
      </w:r>
      <w:r w:rsidRPr="00AF590D">
        <w:rPr>
          <w:lang w:val="en-US"/>
        </w:rPr>
        <w:t xml:space="preserve"> </w:t>
      </w:r>
      <w:r>
        <w:rPr>
          <w:lang w:val="en-US"/>
        </w:rPr>
        <w:t xml:space="preserve">remaining </w:t>
      </w:r>
      <w:r w:rsidRPr="00AF590D">
        <w:rPr>
          <w:lang w:val="en-US"/>
        </w:rPr>
        <w:t>claim</w:t>
      </w:r>
      <w:r>
        <w:rPr>
          <w:lang w:val="en-US"/>
        </w:rPr>
        <w:t>s</w:t>
      </w:r>
      <w:r w:rsidRPr="00AF590D">
        <w:rPr>
          <w:lang w:val="en-US"/>
        </w:rPr>
        <w:t xml:space="preserve"> under </w:t>
      </w:r>
      <w:r w:rsidR="00A12481">
        <w:rPr>
          <w:lang w:val="en-US"/>
        </w:rPr>
        <w:t>articles </w:t>
      </w:r>
      <w:r>
        <w:rPr>
          <w:lang w:val="en-US"/>
        </w:rPr>
        <w:t xml:space="preserve">9, 14 </w:t>
      </w:r>
      <w:r w:rsidR="00C61B71">
        <w:rPr>
          <w:lang w:val="en-US"/>
        </w:rPr>
        <w:t>(</w:t>
      </w:r>
      <w:r w:rsidR="00A12481">
        <w:rPr>
          <w:lang w:val="en-US"/>
        </w:rPr>
        <w:t>para</w:t>
      </w:r>
      <w:r w:rsidR="00C61B71">
        <w:rPr>
          <w:lang w:val="en-US"/>
        </w:rPr>
        <w:t>.</w:t>
      </w:r>
      <w:r w:rsidR="00A12481">
        <w:rPr>
          <w:lang w:val="en-US"/>
        </w:rPr>
        <w:t> </w:t>
      </w:r>
      <w:r>
        <w:rPr>
          <w:lang w:val="en-US"/>
        </w:rPr>
        <w:t>2</w:t>
      </w:r>
      <w:r w:rsidR="00C61B71">
        <w:rPr>
          <w:lang w:val="en-US"/>
        </w:rPr>
        <w:t>)</w:t>
      </w:r>
      <w:r>
        <w:rPr>
          <w:lang w:val="en-US"/>
        </w:rPr>
        <w:t xml:space="preserve"> and 22 </w:t>
      </w:r>
      <w:r w:rsidR="00C61B71">
        <w:rPr>
          <w:lang w:val="en-US"/>
        </w:rPr>
        <w:t>(</w:t>
      </w:r>
      <w:r w:rsidR="00A12481">
        <w:rPr>
          <w:lang w:val="en-US"/>
        </w:rPr>
        <w:t>para</w:t>
      </w:r>
      <w:r w:rsidR="00C61B71">
        <w:rPr>
          <w:lang w:val="en-US"/>
        </w:rPr>
        <w:t>.</w:t>
      </w:r>
      <w:r w:rsidR="00A12481">
        <w:rPr>
          <w:lang w:val="en-US"/>
        </w:rPr>
        <w:t> </w:t>
      </w:r>
      <w:r>
        <w:rPr>
          <w:lang w:val="en-US"/>
        </w:rPr>
        <w:t>1</w:t>
      </w:r>
      <w:r w:rsidR="00C61B71">
        <w:rPr>
          <w:lang w:val="en-US"/>
        </w:rPr>
        <w:t>),</w:t>
      </w:r>
      <w:r w:rsidRPr="00AF590D">
        <w:rPr>
          <w:lang w:val="en-US"/>
        </w:rPr>
        <w:t xml:space="preserve"> </w:t>
      </w:r>
      <w:r w:rsidRPr="00F4101B">
        <w:t>of</w:t>
      </w:r>
      <w:r w:rsidRPr="00AF590D">
        <w:rPr>
          <w:lang w:val="en-US"/>
        </w:rPr>
        <w:t xml:space="preserve"> the Covenant, for purposes of admissibility. Accordingly, it declares th</w:t>
      </w:r>
      <w:r>
        <w:rPr>
          <w:lang w:val="en-US"/>
        </w:rPr>
        <w:t>ese</w:t>
      </w:r>
      <w:r w:rsidRPr="00AF590D">
        <w:rPr>
          <w:lang w:val="en-US"/>
        </w:rPr>
        <w:t xml:space="preserve"> claim</w:t>
      </w:r>
      <w:r>
        <w:rPr>
          <w:lang w:val="en-US"/>
        </w:rPr>
        <w:t>s</w:t>
      </w:r>
      <w:r w:rsidRPr="00AF590D">
        <w:rPr>
          <w:lang w:val="en-US"/>
        </w:rPr>
        <w:t xml:space="preserve"> admissible and proceeds to </w:t>
      </w:r>
      <w:r>
        <w:rPr>
          <w:lang w:val="en-US"/>
        </w:rPr>
        <w:t>their</w:t>
      </w:r>
      <w:r w:rsidRPr="00AF590D">
        <w:rPr>
          <w:lang w:val="en-US"/>
        </w:rPr>
        <w:t xml:space="preserve"> examination on the merits.</w:t>
      </w:r>
    </w:p>
    <w:p w:rsidR="00075FA7" w:rsidRDefault="008B732C" w:rsidP="008B732C">
      <w:pPr>
        <w:pStyle w:val="H4G"/>
      </w:pPr>
      <w:r>
        <w:tab/>
      </w:r>
      <w:r>
        <w:tab/>
      </w:r>
      <w:r w:rsidR="00075FA7" w:rsidRPr="00AF590D">
        <w:t>Consideration of the merits</w:t>
      </w:r>
    </w:p>
    <w:p w:rsidR="00075FA7" w:rsidRPr="00F4101B" w:rsidRDefault="00075FA7" w:rsidP="00866975">
      <w:pPr>
        <w:pStyle w:val="SingleTxtG"/>
      </w:pPr>
      <w:r>
        <w:t>8.1</w:t>
      </w:r>
      <w:r>
        <w:tab/>
      </w:r>
      <w:r w:rsidRPr="007A2349">
        <w:t xml:space="preserve">The Human Rights Committee has </w:t>
      </w:r>
      <w:r w:rsidRPr="00F4101B">
        <w:t xml:space="preserve">considered the </w:t>
      </w:r>
      <w:r w:rsidR="00866975">
        <w:rPr>
          <w:lang w:val="en-US"/>
        </w:rPr>
        <w:t xml:space="preserve">present </w:t>
      </w:r>
      <w:r w:rsidRPr="00F4101B">
        <w:t xml:space="preserve">communication in the light of all the information made available to it by the parties, as </w:t>
      </w:r>
      <w:r w:rsidR="00866975">
        <w:rPr>
          <w:lang w:val="en-US"/>
        </w:rPr>
        <w:t>required</w:t>
      </w:r>
      <w:r w:rsidRPr="00F4101B">
        <w:t xml:space="preserve"> under </w:t>
      </w:r>
      <w:r w:rsidR="00A12481">
        <w:t>article </w:t>
      </w:r>
      <w:r w:rsidRPr="00F4101B">
        <w:t xml:space="preserve">5, </w:t>
      </w:r>
      <w:r w:rsidR="00A12481">
        <w:t>paragraph </w:t>
      </w:r>
      <w:r w:rsidRPr="00F4101B">
        <w:t>1, of the Optional Protocol.</w:t>
      </w:r>
    </w:p>
    <w:p w:rsidR="00075FA7" w:rsidRDefault="00075FA7" w:rsidP="00F4101B">
      <w:pPr>
        <w:pStyle w:val="SingleTxtG"/>
        <w:rPr>
          <w:lang w:val="en-US"/>
        </w:rPr>
      </w:pPr>
      <w:r w:rsidRPr="00F4101B">
        <w:t>8.2</w:t>
      </w:r>
      <w:r w:rsidRPr="00F4101B">
        <w:tab/>
        <w:t xml:space="preserve">The Committee notes the author’s allegations </w:t>
      </w:r>
      <w:r w:rsidR="009454D4" w:rsidRPr="00F4101B">
        <w:t>regarding the pretrial detention of</w:t>
      </w:r>
      <w:r w:rsidRPr="00F4101B">
        <w:t xml:space="preserve"> her husband</w:t>
      </w:r>
      <w:r w:rsidR="009454D4" w:rsidRPr="00F4101B">
        <w:t>, including that</w:t>
      </w:r>
      <w:r w:rsidRPr="00F4101B">
        <w:t xml:space="preserve"> the decision</w:t>
      </w:r>
      <w:r w:rsidR="00BE000F" w:rsidRPr="007C1A02">
        <w:rPr>
          <w:lang w:val="en-US"/>
        </w:rPr>
        <w:t xml:space="preserve"> </w:t>
      </w:r>
      <w:r w:rsidR="00BE000F" w:rsidRPr="00F4101B">
        <w:t>of 5 August 2011</w:t>
      </w:r>
      <w:r w:rsidRPr="00F4101B">
        <w:t xml:space="preserve"> regarding his remand in custody had been taken by a</w:t>
      </w:r>
      <w:r w:rsidR="009454D4" w:rsidRPr="00F4101B">
        <w:t xml:space="preserve"> prosecutor rather than by a judge</w:t>
      </w:r>
      <w:r w:rsidR="00BE000F" w:rsidRPr="007C1A02">
        <w:rPr>
          <w:lang w:val="en-US"/>
        </w:rPr>
        <w:t>,</w:t>
      </w:r>
      <w:r w:rsidRPr="00F4101B">
        <w:t xml:space="preserve"> </w:t>
      </w:r>
      <w:r w:rsidR="009454D4" w:rsidRPr="00F4101B">
        <w:t>and</w:t>
      </w:r>
      <w:r w:rsidR="00A12481">
        <w:t xml:space="preserve"> </w:t>
      </w:r>
      <w:r w:rsidRPr="00F4101B">
        <w:t xml:space="preserve">that </w:t>
      </w:r>
      <w:r w:rsidR="009454D4" w:rsidRPr="00F4101B">
        <w:t xml:space="preserve">this </w:t>
      </w:r>
      <w:r w:rsidRPr="00F4101B">
        <w:t>decision and the decisions of the court that reviewed the detention order</w:t>
      </w:r>
      <w:r w:rsidR="00A12481">
        <w:t xml:space="preserve"> </w:t>
      </w:r>
      <w:r w:rsidRPr="00F4101B">
        <w:t xml:space="preserve">did not contain any </w:t>
      </w:r>
      <w:r w:rsidR="009454D4" w:rsidRPr="00F4101B">
        <w:t>reasoning</w:t>
      </w:r>
      <w:r w:rsidRPr="00F4101B">
        <w:t xml:space="preserve"> as to the necessity, reasonableness and </w:t>
      </w:r>
      <w:r w:rsidR="00636F18" w:rsidRPr="00F4101B">
        <w:t>proportionality</w:t>
      </w:r>
      <w:r w:rsidRPr="00F4101B">
        <w:t xml:space="preserve"> of the custodial measure</w:t>
      </w:r>
      <w:r w:rsidR="004327E3" w:rsidRPr="00F4101B">
        <w:t>.</w:t>
      </w:r>
      <w:r w:rsidRPr="00F4101B">
        <w:t xml:space="preserve"> The Committee </w:t>
      </w:r>
      <w:r w:rsidRPr="00F4101B">
        <w:lastRenderedPageBreak/>
        <w:t>further notes the author’s allegation</w:t>
      </w:r>
      <w:r w:rsidRPr="00FA2B46">
        <w:rPr>
          <w:lang w:val="en-US"/>
        </w:rPr>
        <w:t xml:space="preserve"> that </w:t>
      </w:r>
      <w:r w:rsidR="00A12481">
        <w:rPr>
          <w:lang w:val="en-US"/>
        </w:rPr>
        <w:t>article </w:t>
      </w:r>
      <w:r w:rsidRPr="00FA2B46">
        <w:rPr>
          <w:lang w:val="en-US"/>
        </w:rPr>
        <w:t>126</w:t>
      </w:r>
      <w:r w:rsidR="00635F56">
        <w:rPr>
          <w:lang w:val="en-US"/>
        </w:rPr>
        <w:t>.</w:t>
      </w:r>
      <w:r w:rsidRPr="00FA2B46">
        <w:rPr>
          <w:lang w:val="en-US"/>
        </w:rPr>
        <w:t>1 of the Criminal Procedur</w:t>
      </w:r>
      <w:r w:rsidR="00635F56">
        <w:rPr>
          <w:lang w:val="en-US"/>
        </w:rPr>
        <w:t>e</w:t>
      </w:r>
      <w:r w:rsidRPr="00FA2B46">
        <w:rPr>
          <w:lang w:val="en-US"/>
        </w:rPr>
        <w:t xml:space="preserve"> Code allows custodial placement solely on the basis of the </w:t>
      </w:r>
      <w:r>
        <w:rPr>
          <w:lang w:val="en-US"/>
        </w:rPr>
        <w:t>serious</w:t>
      </w:r>
      <w:r w:rsidRPr="00FA2B46">
        <w:rPr>
          <w:lang w:val="en-US"/>
        </w:rPr>
        <w:t>ness of the offen</w:t>
      </w:r>
      <w:r w:rsidR="00175D5E">
        <w:rPr>
          <w:lang w:val="en-US"/>
        </w:rPr>
        <w:t>c</w:t>
      </w:r>
      <w:r w:rsidRPr="00FA2B46">
        <w:rPr>
          <w:lang w:val="en-US"/>
        </w:rPr>
        <w:t>e and that</w:t>
      </w:r>
      <w:r w:rsidR="00BE000F">
        <w:rPr>
          <w:lang w:val="en-US"/>
        </w:rPr>
        <w:t>,</w:t>
      </w:r>
      <w:r w:rsidRPr="00FA2B46">
        <w:rPr>
          <w:lang w:val="en-US"/>
        </w:rPr>
        <w:t xml:space="preserve"> accordingly</w:t>
      </w:r>
      <w:r w:rsidR="00BE000F">
        <w:rPr>
          <w:lang w:val="en-US"/>
        </w:rPr>
        <w:t>,</w:t>
      </w:r>
      <w:r w:rsidRPr="00FA2B46">
        <w:rPr>
          <w:lang w:val="en-US"/>
        </w:rPr>
        <w:t xml:space="preserve"> her husband’s detention </w:t>
      </w:r>
      <w:r w:rsidR="00271126">
        <w:rPr>
          <w:lang w:val="en-US"/>
        </w:rPr>
        <w:t>was</w:t>
      </w:r>
      <w:r w:rsidRPr="00FA2B46">
        <w:rPr>
          <w:lang w:val="en-US"/>
        </w:rPr>
        <w:t xml:space="preserve"> arbitrary. In the absence of a reply from the State party on th</w:t>
      </w:r>
      <w:r>
        <w:rPr>
          <w:lang w:val="en-US"/>
        </w:rPr>
        <w:t>ese</w:t>
      </w:r>
      <w:r w:rsidRPr="00FA2B46">
        <w:rPr>
          <w:lang w:val="en-US"/>
        </w:rPr>
        <w:t xml:space="preserve"> issue</w:t>
      </w:r>
      <w:r>
        <w:rPr>
          <w:lang w:val="en-US"/>
        </w:rPr>
        <w:t>s</w:t>
      </w:r>
      <w:r w:rsidRPr="00FA2B46">
        <w:rPr>
          <w:lang w:val="en-US"/>
        </w:rPr>
        <w:t xml:space="preserve">, the Committee finds that the above allegations should be given due weight, and that the facts described disclose </w:t>
      </w:r>
      <w:r w:rsidR="004F08F6">
        <w:rPr>
          <w:lang w:val="en-US"/>
        </w:rPr>
        <w:t>several</w:t>
      </w:r>
      <w:r w:rsidRPr="00FA2B46">
        <w:rPr>
          <w:lang w:val="en-US"/>
        </w:rPr>
        <w:t xml:space="preserve"> violation</w:t>
      </w:r>
      <w:r w:rsidR="004F08F6">
        <w:rPr>
          <w:lang w:val="en-US"/>
        </w:rPr>
        <w:t>s</w:t>
      </w:r>
      <w:r w:rsidRPr="00FA2B46">
        <w:rPr>
          <w:lang w:val="en-US"/>
        </w:rPr>
        <w:t xml:space="preserve"> of the author</w:t>
      </w:r>
      <w:r>
        <w:rPr>
          <w:lang w:val="en-US"/>
        </w:rPr>
        <w:t>’s</w:t>
      </w:r>
      <w:r w:rsidRPr="00FA2B46">
        <w:rPr>
          <w:lang w:val="en-US"/>
        </w:rPr>
        <w:t xml:space="preserve"> </w:t>
      </w:r>
      <w:r>
        <w:rPr>
          <w:lang w:val="en-US"/>
        </w:rPr>
        <w:t xml:space="preserve">husband’s </w:t>
      </w:r>
      <w:r w:rsidRPr="006C68E9">
        <w:rPr>
          <w:lang w:val="en-US"/>
        </w:rPr>
        <w:t>right to liberty of person</w:t>
      </w:r>
      <w:r w:rsidRPr="00FA2B46">
        <w:rPr>
          <w:lang w:val="en-US"/>
        </w:rPr>
        <w:t xml:space="preserve"> </w:t>
      </w:r>
      <w:r w:rsidR="009F1120">
        <w:rPr>
          <w:lang w:val="en-US"/>
        </w:rPr>
        <w:t xml:space="preserve">as guaranteed by </w:t>
      </w:r>
      <w:r w:rsidR="00A12481">
        <w:rPr>
          <w:lang w:val="en-US"/>
        </w:rPr>
        <w:t>article </w:t>
      </w:r>
      <w:r w:rsidR="009F1120">
        <w:rPr>
          <w:lang w:val="en-US"/>
        </w:rPr>
        <w:t>9 of the Covenant.</w:t>
      </w:r>
      <w:r w:rsidR="00116906">
        <w:rPr>
          <w:rStyle w:val="FootnoteReference"/>
          <w:lang w:val="en-US"/>
        </w:rPr>
        <w:footnoteReference w:id="26"/>
      </w:r>
      <w:r w:rsidR="00B301C6">
        <w:rPr>
          <w:lang w:val="en-US"/>
        </w:rPr>
        <w:t xml:space="preserve"> </w:t>
      </w:r>
      <w:r w:rsidRPr="00FA2B46">
        <w:rPr>
          <w:lang w:val="en-US"/>
        </w:rPr>
        <w:t xml:space="preserve">Consequently, the Committee finds that </w:t>
      </w:r>
      <w:r w:rsidR="00A12481">
        <w:rPr>
          <w:lang w:val="en-US"/>
        </w:rPr>
        <w:t>article </w:t>
      </w:r>
      <w:r w:rsidRPr="00FA2B46">
        <w:rPr>
          <w:lang w:val="en-US"/>
        </w:rPr>
        <w:t>9 of the Covenant has been violated in the present case.</w:t>
      </w:r>
      <w:r>
        <w:rPr>
          <w:lang w:val="en-US"/>
        </w:rPr>
        <w:t xml:space="preserve"> </w:t>
      </w:r>
    </w:p>
    <w:p w:rsidR="00075FA7" w:rsidRPr="00F4101B" w:rsidRDefault="00075FA7" w:rsidP="00A12481">
      <w:pPr>
        <w:pStyle w:val="SingleTxtG"/>
      </w:pPr>
      <w:r>
        <w:rPr>
          <w:lang w:val="en-US"/>
        </w:rPr>
        <w:t>8.3</w:t>
      </w:r>
      <w:r>
        <w:rPr>
          <w:lang w:val="en-US"/>
        </w:rPr>
        <w:tab/>
      </w:r>
      <w:r w:rsidRPr="000112BC">
        <w:t xml:space="preserve">The Committee notes the author’s claim that the presumption of innocence was violated with regard to her husband, because the </w:t>
      </w:r>
      <w:r w:rsidR="00BE000F" w:rsidRPr="007C1A02">
        <w:rPr>
          <w:lang w:val="en-US"/>
        </w:rPr>
        <w:t>S</w:t>
      </w:r>
      <w:r w:rsidRPr="000112BC">
        <w:t>tate-owned newspapers and television channels disseminated</w:t>
      </w:r>
      <w:r w:rsidR="00D715BC">
        <w:rPr>
          <w:lang w:val="en-US"/>
        </w:rPr>
        <w:t xml:space="preserve"> reports proclaiming</w:t>
      </w:r>
      <w:r w:rsidRPr="000112BC">
        <w:t xml:space="preserve"> </w:t>
      </w:r>
      <w:r w:rsidR="004327E3" w:rsidRPr="00F4101B">
        <w:t>his guilt</w:t>
      </w:r>
      <w:r w:rsidRPr="000112BC">
        <w:t xml:space="preserve"> before his </w:t>
      </w:r>
      <w:r>
        <w:t>verdict had been confirmed on appeal</w:t>
      </w:r>
      <w:r w:rsidRPr="000112BC">
        <w:t xml:space="preserve">; </w:t>
      </w:r>
      <w:r w:rsidR="00A40D98">
        <w:rPr>
          <w:lang w:val="en-US"/>
        </w:rPr>
        <w:t xml:space="preserve">because </w:t>
      </w:r>
      <w:r w:rsidRPr="000112BC">
        <w:t xml:space="preserve">the President of the country made a public statement, </w:t>
      </w:r>
      <w:r w:rsidRPr="00F4101B">
        <w:t>clearly indicating his</w:t>
      </w:r>
      <w:r w:rsidR="00A12481">
        <w:t xml:space="preserve"> </w:t>
      </w:r>
      <w:r w:rsidRPr="00F4101B">
        <w:t>position regarding the guilt of the author’s husband; and because throughout the court proceedings the author’s husband was brought to court and taken back to the detention facility in handcuffs and was kept in a cage in the courtroom, which was also broadcasted on the State media. In the absence of a reply from the State party on these issues, the Committee finds that the above allegations should be given due weight, and that the facts described disclose a violation of the presumption of innocence with regard to the author</w:t>
      </w:r>
      <w:r w:rsidR="00A12481" w:rsidRPr="00A12481">
        <w:rPr>
          <w:lang w:val="en-US"/>
        </w:rPr>
        <w:t>’</w:t>
      </w:r>
      <w:r w:rsidRPr="00F4101B">
        <w:t xml:space="preserve">s husband. Consequently, the Committee finds that </w:t>
      </w:r>
      <w:r w:rsidR="00A12481">
        <w:t>article </w:t>
      </w:r>
      <w:r w:rsidRPr="00F4101B">
        <w:t xml:space="preserve">14, </w:t>
      </w:r>
      <w:r w:rsidR="00A12481">
        <w:t>paragraph </w:t>
      </w:r>
      <w:r w:rsidRPr="00F4101B">
        <w:t>2</w:t>
      </w:r>
      <w:r w:rsidR="00BE000F" w:rsidRPr="007C1A02">
        <w:rPr>
          <w:lang w:val="en-US"/>
        </w:rPr>
        <w:t>,</w:t>
      </w:r>
      <w:r w:rsidRPr="00F4101B">
        <w:t xml:space="preserve"> of the Covenant has been violated in the present case.</w:t>
      </w:r>
    </w:p>
    <w:p w:rsidR="00075FA7" w:rsidRDefault="00075FA7" w:rsidP="00F34A41">
      <w:pPr>
        <w:pStyle w:val="SingleTxtG"/>
      </w:pPr>
      <w:r w:rsidRPr="00F4101B">
        <w:t>8.4</w:t>
      </w:r>
      <w:r w:rsidRPr="00F4101B">
        <w:tab/>
        <w:t xml:space="preserve">Regarding the alleged violations of </w:t>
      </w:r>
      <w:r w:rsidR="00A12481">
        <w:t>article </w:t>
      </w:r>
      <w:r w:rsidRPr="00F4101B">
        <w:t xml:space="preserve">22 of the Covenant, the issue before the Committee is whether the refusal of the Belarus authorities to register the </w:t>
      </w:r>
      <w:r>
        <w:t>Viasna or Nasha Viasna</w:t>
      </w:r>
      <w:r w:rsidR="00253472" w:rsidRPr="007C1A02">
        <w:rPr>
          <w:lang w:val="en-US"/>
        </w:rPr>
        <w:t xml:space="preserve"> association</w:t>
      </w:r>
      <w:r>
        <w:t xml:space="preserve"> unreasonably restricted the author’s husband’s right to freedom of association. In accordance with </w:t>
      </w:r>
      <w:r w:rsidR="00A12481">
        <w:t>article </w:t>
      </w:r>
      <w:r>
        <w:t xml:space="preserve">22, </w:t>
      </w:r>
      <w:r w:rsidR="00A12481">
        <w:t>paragraph </w:t>
      </w:r>
      <w:r>
        <w:t xml:space="preserve">2, </w:t>
      </w:r>
      <w:r w:rsidR="00253472" w:rsidRPr="007C1A02">
        <w:rPr>
          <w:lang w:val="en-US"/>
        </w:rPr>
        <w:t xml:space="preserve">of the Covenant, </w:t>
      </w:r>
      <w:r>
        <w:t>any restriction on the right to freedom of association must cumulatively mee</w:t>
      </w:r>
      <w:r w:rsidR="00F34A41">
        <w:t>t the following conditions: (a)</w:t>
      </w:r>
      <w:r w:rsidR="00F34A41" w:rsidRPr="00F34A41">
        <w:rPr>
          <w:lang w:val="en-US"/>
        </w:rPr>
        <w:t> </w:t>
      </w:r>
      <w:r>
        <w:t xml:space="preserve">it must be </w:t>
      </w:r>
      <w:r w:rsidR="00253472" w:rsidRPr="007C1A02">
        <w:rPr>
          <w:lang w:val="en-US"/>
        </w:rPr>
        <w:t>prescribed</w:t>
      </w:r>
      <w:r>
        <w:t xml:space="preserve"> by law; (b)</w:t>
      </w:r>
      <w:r w:rsidR="00E90DE6">
        <w:rPr>
          <w:lang w:val="en-US"/>
        </w:rPr>
        <w:t xml:space="preserve"> it</w:t>
      </w:r>
      <w:r w:rsidR="00F34A41" w:rsidRPr="00F34A41">
        <w:rPr>
          <w:lang w:val="en-US"/>
        </w:rPr>
        <w:t> </w:t>
      </w:r>
      <w:r>
        <w:t xml:space="preserve">may only be imposed for one of the purposes set out in </w:t>
      </w:r>
      <w:r w:rsidR="00A12481">
        <w:t>paragraph </w:t>
      </w:r>
      <w:r w:rsidR="00F34A41">
        <w:t>2; and (c)</w:t>
      </w:r>
      <w:r w:rsidR="00E90DE6">
        <w:rPr>
          <w:lang w:val="en-US"/>
        </w:rPr>
        <w:t xml:space="preserve"> it</w:t>
      </w:r>
      <w:r w:rsidR="00F34A41" w:rsidRPr="00F34A41">
        <w:rPr>
          <w:lang w:val="en-US"/>
        </w:rPr>
        <w:t> </w:t>
      </w:r>
      <w:r>
        <w:t>must be necessary in a democratic society for achieving one of th</w:t>
      </w:r>
      <w:r w:rsidR="00A036AD" w:rsidRPr="007C1A02">
        <w:rPr>
          <w:lang w:val="en-US"/>
        </w:rPr>
        <w:t>o</w:t>
      </w:r>
      <w:r>
        <w:t>se purposes.</w:t>
      </w:r>
      <w:r>
        <w:rPr>
          <w:rStyle w:val="FootnoteReference"/>
        </w:rPr>
        <w:footnoteReference w:id="27"/>
      </w:r>
      <w:r>
        <w:t xml:space="preserve"> The reference to </w:t>
      </w:r>
      <w:r w:rsidR="00A12481">
        <w:t>“democratic society”</w:t>
      </w:r>
      <w:r>
        <w:t xml:space="preserve"> in the context of </w:t>
      </w:r>
      <w:r w:rsidR="00A12481">
        <w:t>article </w:t>
      </w:r>
      <w:r>
        <w:t>22 indicates, in the Committee</w:t>
      </w:r>
      <w:r w:rsidR="00A12481" w:rsidRPr="00A12481">
        <w:rPr>
          <w:lang w:val="en-US"/>
        </w:rPr>
        <w:t>’</w:t>
      </w:r>
      <w:r>
        <w:t xml:space="preserve">s opinion, that the existence and operation of associations, including those </w:t>
      </w:r>
      <w:r w:rsidR="00A036AD" w:rsidRPr="007C1A02">
        <w:rPr>
          <w:lang w:val="en-US"/>
        </w:rPr>
        <w:t>that</w:t>
      </w:r>
      <w:r>
        <w:t xml:space="preserve"> peacefully promote ideas not necessarily </w:t>
      </w:r>
      <w:r w:rsidRPr="00551379">
        <w:rPr>
          <w:lang w:val="en-US"/>
        </w:rPr>
        <w:t>favo</w:t>
      </w:r>
      <w:r w:rsidR="00175D5E">
        <w:rPr>
          <w:lang w:val="en-US"/>
        </w:rPr>
        <w:t>u</w:t>
      </w:r>
      <w:r w:rsidRPr="00551379">
        <w:rPr>
          <w:lang w:val="en-US"/>
        </w:rPr>
        <w:t>rably</w:t>
      </w:r>
      <w:r>
        <w:t xml:space="preserve"> viewed by the </w:t>
      </w:r>
      <w:r w:rsidR="00A036AD" w:rsidRPr="007C1A02">
        <w:rPr>
          <w:lang w:val="en-US"/>
        </w:rPr>
        <w:t>G</w:t>
      </w:r>
      <w:r>
        <w:t xml:space="preserve">overnment or the majority of the population, is a cornerstone of any </w:t>
      </w:r>
      <w:r w:rsidR="004327E3" w:rsidRPr="00F4101B">
        <w:t xml:space="preserve">democratic </w:t>
      </w:r>
      <w:r>
        <w:t xml:space="preserve">society. </w:t>
      </w:r>
    </w:p>
    <w:p w:rsidR="00075FA7" w:rsidRPr="00F4101B" w:rsidRDefault="00075FA7" w:rsidP="00A12481">
      <w:pPr>
        <w:pStyle w:val="SingleTxtG"/>
      </w:pPr>
      <w:r>
        <w:t>8.5</w:t>
      </w:r>
      <w:r>
        <w:tab/>
        <w:t xml:space="preserve">In the present case, the Committee notes that the author’s husband held the position of </w:t>
      </w:r>
      <w:r w:rsidR="00385091" w:rsidRPr="007C1A02">
        <w:rPr>
          <w:lang w:val="en-US"/>
        </w:rPr>
        <w:t>c</w:t>
      </w:r>
      <w:r>
        <w:t>hair of the association and that he applied for its registration, together with other founding members, on three different occasions. The Committee observes that the State party has refused to permit the registration of the association on the basis of a number of stated reasons</w:t>
      </w:r>
      <w:r w:rsidR="000E0701">
        <w:rPr>
          <w:lang w:val="en-US"/>
        </w:rPr>
        <w:t>, some of which appear to be highly technical and some of which appear to be inconsistent with the Covenant</w:t>
      </w:r>
      <w:r>
        <w:t>. Th</w:t>
      </w:r>
      <w:r w:rsidR="00385091" w:rsidRPr="007C1A02">
        <w:rPr>
          <w:lang w:val="en-US"/>
        </w:rPr>
        <w:t>o</w:t>
      </w:r>
      <w:r>
        <w:t xml:space="preserve">se reasons must be assessed in the light of the consequences which arise for the author’s husband and his freedom of association. The Committee notes that even </w:t>
      </w:r>
      <w:r w:rsidR="008B0748">
        <w:rPr>
          <w:lang w:val="en-US"/>
        </w:rPr>
        <w:t>if</w:t>
      </w:r>
      <w:r>
        <w:t xml:space="preserve"> such reasons were prescribed by the relevant law, the State party has not advanced any argument as to why they are</w:t>
      </w:r>
      <w:r w:rsidR="00177678">
        <w:rPr>
          <w:lang w:val="en-US"/>
        </w:rPr>
        <w:t xml:space="preserve"> either legitimate or</w:t>
      </w:r>
      <w:r>
        <w:t xml:space="preserve"> </w:t>
      </w:r>
      <w:r w:rsidRPr="00F4101B">
        <w:rPr>
          <w:iCs/>
        </w:rPr>
        <w:t>necessary</w:t>
      </w:r>
      <w:r>
        <w:t>, in the interests of national security or public safety, public order, the protection of public health or morals or the protection of the rights and freedoms of others. The Committee also notes that the refusal of registration led directly to the unlawfulness of operation of the unregistered organization on the State party</w:t>
      </w:r>
      <w:r w:rsidR="00A12481" w:rsidRPr="00A12481">
        <w:rPr>
          <w:lang w:val="en-US"/>
        </w:rPr>
        <w:t>’</w:t>
      </w:r>
      <w:r>
        <w:t xml:space="preserve">s territory and directly precluded the author from enjoying his freedom of </w:t>
      </w:r>
      <w:r w:rsidRPr="00F4101B">
        <w:t xml:space="preserve">association with the other members of the association. </w:t>
      </w:r>
      <w:r w:rsidRPr="00F4101B">
        <w:lastRenderedPageBreak/>
        <w:t xml:space="preserve">Accordingly, the Committee concludes that the refusal of registration does not meet the requirements of </w:t>
      </w:r>
      <w:r w:rsidR="00A12481">
        <w:t>article </w:t>
      </w:r>
      <w:r w:rsidRPr="00F4101B">
        <w:t xml:space="preserve">22, </w:t>
      </w:r>
      <w:r w:rsidR="00A12481">
        <w:t>paragraph </w:t>
      </w:r>
      <w:r w:rsidRPr="00F4101B">
        <w:t>2</w:t>
      </w:r>
      <w:r w:rsidR="00E26043" w:rsidRPr="007C1A02">
        <w:rPr>
          <w:lang w:val="en-US"/>
        </w:rPr>
        <w:t>,</w:t>
      </w:r>
      <w:r w:rsidRPr="00F4101B">
        <w:t xml:space="preserve"> in relation to the author’s husband. </w:t>
      </w:r>
      <w:r w:rsidR="00A12481">
        <w:t>Mr. </w:t>
      </w:r>
      <w:r w:rsidRPr="00F4101B">
        <w:rPr>
          <w:rFonts w:eastAsia="Verdana"/>
        </w:rPr>
        <w:t>Belyatsky’s</w:t>
      </w:r>
      <w:r w:rsidRPr="00F4101B">
        <w:t xml:space="preserve"> rights under </w:t>
      </w:r>
      <w:r w:rsidR="00A12481">
        <w:t>article </w:t>
      </w:r>
      <w:r w:rsidRPr="00F4101B">
        <w:t xml:space="preserve">22, </w:t>
      </w:r>
      <w:r w:rsidR="00A12481">
        <w:t>paragraph </w:t>
      </w:r>
      <w:r w:rsidRPr="00F4101B">
        <w:t>1, of the Covenant have thus been violated.</w:t>
      </w:r>
      <w:r w:rsidRPr="00B301C6">
        <w:rPr>
          <w:rStyle w:val="FootnoteReference"/>
          <w:sz w:val="20"/>
        </w:rPr>
        <w:footnoteReference w:id="28"/>
      </w:r>
    </w:p>
    <w:p w:rsidR="00075FA7" w:rsidRPr="00FA2B46" w:rsidRDefault="00B301C6" w:rsidP="00E40CCE">
      <w:pPr>
        <w:pStyle w:val="SingleTxtG"/>
        <w:rPr>
          <w:lang w:val="en-US"/>
        </w:rPr>
      </w:pPr>
      <w:r>
        <w:t>8.6</w:t>
      </w:r>
      <w:r w:rsidRPr="007C1A02">
        <w:tab/>
      </w:r>
      <w:r w:rsidR="00432777" w:rsidRPr="00F4101B">
        <w:t xml:space="preserve">Further, the Committee notes the author’s allegations that after the State party had repeatedly obstructed the registration of the association, the </w:t>
      </w:r>
      <w:r w:rsidR="00E40CCE">
        <w:rPr>
          <w:lang w:val="en-US"/>
        </w:rPr>
        <w:t>Office of the Procurator-General</w:t>
      </w:r>
      <w:r w:rsidR="00432777" w:rsidRPr="00F4101B">
        <w:t xml:space="preserve"> issued an official warning to her husband that he risked prosecution for engaging in activities on behalf of an unregistered association; that subsequently he was prosecuted on tax charges; that th</w:t>
      </w:r>
      <w:r w:rsidR="00705ACF" w:rsidRPr="007C1A02">
        <w:rPr>
          <w:lang w:val="en-US"/>
        </w:rPr>
        <w:t>o</w:t>
      </w:r>
      <w:r w:rsidR="00432777" w:rsidRPr="00F4101B">
        <w:t xml:space="preserve">se tax charges arose from the fact that he had maintained a bank account in his own name on behalf of the association because the refusal of the State party to register the association prevented him from opening accounts in the association’s name; that in his trial the court </w:t>
      </w:r>
      <w:r w:rsidR="006E792E" w:rsidRPr="00F4101B">
        <w:t xml:space="preserve">did not take into account </w:t>
      </w:r>
      <w:r w:rsidR="00432777" w:rsidRPr="00F4101B">
        <w:t xml:space="preserve">evidence that the funds were </w:t>
      </w:r>
      <w:r w:rsidR="00432777" w:rsidRPr="00216C09">
        <w:t>received and spent</w:t>
      </w:r>
      <w:r w:rsidR="00432777" w:rsidRPr="00F4101B">
        <w:t xml:space="preserve"> for the legitimate purposes of the association; that he </w:t>
      </w:r>
      <w:r w:rsidR="00351444">
        <w:rPr>
          <w:lang w:val="en-US"/>
        </w:rPr>
        <w:t>had been</w:t>
      </w:r>
      <w:r w:rsidR="00432777" w:rsidRPr="00F4101B">
        <w:t xml:space="preserve"> convicted and sentenced to four and a half years of incarceration</w:t>
      </w:r>
      <w:r w:rsidR="00351444">
        <w:rPr>
          <w:lang w:val="en-US"/>
        </w:rPr>
        <w:t>, and had had</w:t>
      </w:r>
      <w:r w:rsidR="00432777" w:rsidRPr="00F4101B">
        <w:t xml:space="preserve"> </w:t>
      </w:r>
      <w:r w:rsidR="00432777" w:rsidRPr="0023259C">
        <w:t>financial sanctions</w:t>
      </w:r>
      <w:r w:rsidR="00351444">
        <w:rPr>
          <w:lang w:val="en-US"/>
        </w:rPr>
        <w:t xml:space="preserve"> imposed</w:t>
      </w:r>
      <w:r w:rsidR="00432777" w:rsidRPr="00F4101B">
        <w:t>; and that the courts did not explain how th</w:t>
      </w:r>
      <w:r w:rsidR="00E637EC" w:rsidRPr="007C1A02">
        <w:rPr>
          <w:lang w:val="en-US"/>
        </w:rPr>
        <w:t>o</w:t>
      </w:r>
      <w:r w:rsidR="00432777" w:rsidRPr="00F4101B">
        <w:t xml:space="preserve">se measures were consistent with his right to freedom of association, in particular, how the conviction and sentence were proportionate to any of the goals stated in </w:t>
      </w:r>
      <w:r w:rsidR="00A12481">
        <w:t>article </w:t>
      </w:r>
      <w:r w:rsidR="00432777" w:rsidRPr="00F4101B">
        <w:t xml:space="preserve">22, </w:t>
      </w:r>
      <w:r w:rsidR="00A12481">
        <w:t>paragraph </w:t>
      </w:r>
      <w:r w:rsidR="00432777" w:rsidRPr="00F4101B">
        <w:t>2.</w:t>
      </w:r>
      <w:r w:rsidR="00A12481">
        <w:t xml:space="preserve"> </w:t>
      </w:r>
      <w:r w:rsidR="00432777" w:rsidRPr="00F4101B">
        <w:t>In the absence of a reply from the State party on these issues, the Committee finds that the above</w:t>
      </w:r>
      <w:r w:rsidR="00351444">
        <w:rPr>
          <w:lang w:val="en-US"/>
        </w:rPr>
        <w:t>-mentioned</w:t>
      </w:r>
      <w:r w:rsidR="00432777" w:rsidRPr="00F4101B">
        <w:t xml:space="preserve"> allegations should be given due weight.</w:t>
      </w:r>
      <w:r w:rsidR="00A12481">
        <w:t xml:space="preserve"> </w:t>
      </w:r>
      <w:r w:rsidR="00432777" w:rsidRPr="00F4101B">
        <w:t xml:space="preserve">Taken in the context </w:t>
      </w:r>
      <w:r w:rsidR="003225FF" w:rsidRPr="00F4101B">
        <w:t xml:space="preserve">of the violations found in </w:t>
      </w:r>
      <w:r w:rsidR="00A12481">
        <w:t>paragraph </w:t>
      </w:r>
      <w:r w:rsidR="003225FF" w:rsidRPr="00F4101B">
        <w:t xml:space="preserve">8.5, </w:t>
      </w:r>
      <w:r w:rsidR="00B84B31" w:rsidRPr="00F4101B">
        <w:t>and in this Committee’s earlier Views,</w:t>
      </w:r>
      <w:r w:rsidR="005C53D3" w:rsidRPr="00B301C6">
        <w:rPr>
          <w:rStyle w:val="FootnoteReference"/>
          <w:sz w:val="20"/>
        </w:rPr>
        <w:footnoteReference w:id="29"/>
      </w:r>
      <w:r w:rsidR="00B84B31" w:rsidRPr="00F4101B">
        <w:t xml:space="preserve"> </w:t>
      </w:r>
      <w:r w:rsidR="003225FF" w:rsidRPr="00F4101B">
        <w:t>and absent any persuasive explanation by the State party, the Committee concludes that the facts described</w:t>
      </w:r>
      <w:r w:rsidR="00A12481">
        <w:t xml:space="preserve"> </w:t>
      </w:r>
      <w:r w:rsidR="00075FA7" w:rsidRPr="00FA2B46">
        <w:rPr>
          <w:lang w:val="en-US"/>
        </w:rPr>
        <w:t>disclos</w:t>
      </w:r>
      <w:r w:rsidR="00075FA7">
        <w:rPr>
          <w:lang w:val="en-US"/>
        </w:rPr>
        <w:t>e a violation of the author’</w:t>
      </w:r>
      <w:r w:rsidR="00075FA7" w:rsidRPr="00FA2B46">
        <w:rPr>
          <w:lang w:val="en-US"/>
        </w:rPr>
        <w:t>s</w:t>
      </w:r>
      <w:r w:rsidR="00075FA7">
        <w:rPr>
          <w:lang w:val="en-US"/>
        </w:rPr>
        <w:t xml:space="preserve"> husband’s</w:t>
      </w:r>
      <w:r w:rsidR="00075FA7" w:rsidRPr="00FA2B46">
        <w:rPr>
          <w:lang w:val="en-US"/>
        </w:rPr>
        <w:t xml:space="preserve"> right to </w:t>
      </w:r>
      <w:r w:rsidR="00075FA7">
        <w:rPr>
          <w:lang w:val="en-US"/>
        </w:rPr>
        <w:t>free</w:t>
      </w:r>
      <w:r w:rsidR="00597047">
        <w:rPr>
          <w:lang w:val="en-US"/>
        </w:rPr>
        <w:t>dom of</w:t>
      </w:r>
      <w:r w:rsidR="00075FA7">
        <w:rPr>
          <w:lang w:val="en-US"/>
        </w:rPr>
        <w:t xml:space="preserve"> association</w:t>
      </w:r>
      <w:r w:rsidR="00075FA7" w:rsidRPr="00FA2B46">
        <w:rPr>
          <w:lang w:val="en-US"/>
        </w:rPr>
        <w:t xml:space="preserve">. Consequently, the Committee finds that </w:t>
      </w:r>
      <w:r w:rsidR="00A12481">
        <w:rPr>
          <w:lang w:val="en-US"/>
        </w:rPr>
        <w:t>article </w:t>
      </w:r>
      <w:r w:rsidR="00075FA7" w:rsidRPr="00FA2B46">
        <w:rPr>
          <w:lang w:val="en-US"/>
        </w:rPr>
        <w:t>22 of the Covenant has been violated in the present case.</w:t>
      </w:r>
    </w:p>
    <w:p w:rsidR="001E61B2" w:rsidRPr="007C1A02" w:rsidRDefault="00075FA7" w:rsidP="00F4101B">
      <w:pPr>
        <w:pStyle w:val="SingleTxtG"/>
        <w:rPr>
          <w:lang w:val="en-US"/>
        </w:rPr>
      </w:pPr>
      <w:r>
        <w:t>9.</w:t>
      </w:r>
      <w:r>
        <w:tab/>
      </w:r>
      <w:r w:rsidRPr="00AF590D">
        <w:t xml:space="preserve">The Human Rights Committee, acting under </w:t>
      </w:r>
      <w:r w:rsidR="00A12481">
        <w:t>article </w:t>
      </w:r>
      <w:r w:rsidRPr="00AF590D">
        <w:t xml:space="preserve">5, </w:t>
      </w:r>
      <w:r w:rsidR="00A12481">
        <w:t>paragraph </w:t>
      </w:r>
      <w:r w:rsidRPr="00AF590D">
        <w:t xml:space="preserve">4, of the Optional Protocol to the International Covenant on Civil and Political Rights, is of the view that the facts before it disclose a violation by </w:t>
      </w:r>
      <w:r>
        <w:t>Belarus</w:t>
      </w:r>
      <w:r w:rsidRPr="00AF590D">
        <w:t xml:space="preserve"> of the author</w:t>
      </w:r>
      <w:r w:rsidR="00A12481" w:rsidRPr="00A12481">
        <w:rPr>
          <w:lang w:val="en-US"/>
        </w:rPr>
        <w:t>’</w:t>
      </w:r>
      <w:r w:rsidRPr="00AF590D">
        <w:t>s</w:t>
      </w:r>
      <w:r>
        <w:t xml:space="preserve"> husband’s</w:t>
      </w:r>
      <w:r w:rsidRPr="00AF590D">
        <w:t xml:space="preserve"> rights </w:t>
      </w:r>
      <w:r w:rsidRPr="00F4101B">
        <w:t xml:space="preserve">under </w:t>
      </w:r>
      <w:r w:rsidR="00A12481">
        <w:t>articles </w:t>
      </w:r>
      <w:r w:rsidRPr="00F4101B">
        <w:t xml:space="preserve">9, 14 </w:t>
      </w:r>
      <w:r w:rsidR="00E637EC" w:rsidRPr="007C1A02">
        <w:rPr>
          <w:lang w:val="en-US"/>
        </w:rPr>
        <w:t>(</w:t>
      </w:r>
      <w:r w:rsidR="00A12481">
        <w:t>para</w:t>
      </w:r>
      <w:r w:rsidR="00E637EC" w:rsidRPr="007C1A02">
        <w:rPr>
          <w:lang w:val="en-US"/>
        </w:rPr>
        <w:t>.</w:t>
      </w:r>
      <w:r w:rsidR="00A12481">
        <w:t> </w:t>
      </w:r>
      <w:r w:rsidRPr="00F4101B">
        <w:t>2</w:t>
      </w:r>
      <w:r w:rsidR="00E637EC" w:rsidRPr="007C1A02">
        <w:rPr>
          <w:lang w:val="en-US"/>
        </w:rPr>
        <w:t>)</w:t>
      </w:r>
      <w:r w:rsidRPr="00F4101B">
        <w:t xml:space="preserve"> and 22 </w:t>
      </w:r>
      <w:r w:rsidR="00E637EC" w:rsidRPr="007C1A02">
        <w:rPr>
          <w:lang w:val="en-US"/>
        </w:rPr>
        <w:t>(</w:t>
      </w:r>
      <w:r w:rsidR="00A12481">
        <w:t>para</w:t>
      </w:r>
      <w:r w:rsidR="00E637EC" w:rsidRPr="007C1A02">
        <w:rPr>
          <w:lang w:val="en-US"/>
        </w:rPr>
        <w:t>.</w:t>
      </w:r>
      <w:r w:rsidR="00A12481">
        <w:t> </w:t>
      </w:r>
      <w:r w:rsidRPr="00F4101B">
        <w:t>1</w:t>
      </w:r>
      <w:r w:rsidR="00E637EC" w:rsidRPr="007C1A02">
        <w:rPr>
          <w:lang w:val="en-US"/>
        </w:rPr>
        <w:t>)</w:t>
      </w:r>
      <w:r w:rsidRPr="00F4101B">
        <w:t xml:space="preserve"> of the Covenant. </w:t>
      </w:r>
    </w:p>
    <w:p w:rsidR="00075FA7" w:rsidRPr="00F4101B" w:rsidRDefault="00075FA7" w:rsidP="00F34A41">
      <w:pPr>
        <w:pStyle w:val="SingleTxtG"/>
      </w:pPr>
      <w:r w:rsidRPr="00F4101B">
        <w:t>10.</w:t>
      </w:r>
      <w:r w:rsidRPr="00F4101B">
        <w:tab/>
        <w:t xml:space="preserve">In accordance with </w:t>
      </w:r>
      <w:r w:rsidR="00A12481">
        <w:t>article </w:t>
      </w:r>
      <w:r w:rsidRPr="00F4101B">
        <w:t xml:space="preserve">2, </w:t>
      </w:r>
      <w:r w:rsidR="00A12481">
        <w:t>paragraph</w:t>
      </w:r>
      <w:r w:rsidR="00F34A41" w:rsidRPr="00F34A41">
        <w:rPr>
          <w:lang w:val="en-US"/>
        </w:rPr>
        <w:t xml:space="preserve"> </w:t>
      </w:r>
      <w:r w:rsidRPr="00F4101B">
        <w:t>3</w:t>
      </w:r>
      <w:r w:rsidR="00F34A41" w:rsidRPr="00F34A41">
        <w:rPr>
          <w:lang w:val="en-US"/>
        </w:rPr>
        <w:t> </w:t>
      </w:r>
      <w:r w:rsidRPr="00F4101B">
        <w:t xml:space="preserve">(a), of the Covenant, the author’s husband is entitled to an appropriate remedy, including </w:t>
      </w:r>
      <w:r w:rsidR="008171FB" w:rsidRPr="00F4101B">
        <w:t>(a)</w:t>
      </w:r>
      <w:r w:rsidR="00F34A41" w:rsidRPr="00F34A41">
        <w:rPr>
          <w:lang w:val="en-US"/>
        </w:rPr>
        <w:t> </w:t>
      </w:r>
      <w:r w:rsidRPr="00F4101B">
        <w:t>the reconsideration of the application for registration of</w:t>
      </w:r>
      <w:r w:rsidR="00E637EC" w:rsidRPr="007C1A02">
        <w:rPr>
          <w:lang w:val="en-US"/>
        </w:rPr>
        <w:t xml:space="preserve"> the </w:t>
      </w:r>
      <w:r w:rsidRPr="00F4101B">
        <w:t xml:space="preserve">Viasna association, based on criteria compliant with the requirements of </w:t>
      </w:r>
      <w:r w:rsidR="00A12481">
        <w:t>article </w:t>
      </w:r>
      <w:r w:rsidRPr="00F4101B">
        <w:t>22 of the Covenant</w:t>
      </w:r>
      <w:r w:rsidR="00F34A41">
        <w:t>; (b)</w:t>
      </w:r>
      <w:r w:rsidR="00F34A41" w:rsidRPr="00F34A41">
        <w:rPr>
          <w:lang w:val="en-US"/>
        </w:rPr>
        <w:t> </w:t>
      </w:r>
      <w:r w:rsidR="002431FA" w:rsidRPr="00F4101B">
        <w:t>re</w:t>
      </w:r>
      <w:r w:rsidR="00164072" w:rsidRPr="00F4101B">
        <w:t xml:space="preserve">moval of the </w:t>
      </w:r>
      <w:r w:rsidR="002431FA" w:rsidRPr="00F4101B">
        <w:t xml:space="preserve">criminal conviction </w:t>
      </w:r>
      <w:r w:rsidR="00164072" w:rsidRPr="00F4101B">
        <w:t xml:space="preserve">from </w:t>
      </w:r>
      <w:r w:rsidR="002431FA" w:rsidRPr="00F4101B">
        <w:t>his criminal record;</w:t>
      </w:r>
      <w:r w:rsidRPr="00F4101B">
        <w:t xml:space="preserve"> and </w:t>
      </w:r>
      <w:r w:rsidR="002431FA" w:rsidRPr="00F4101B">
        <w:t>(c)</w:t>
      </w:r>
      <w:r w:rsidR="00F34A41" w:rsidRPr="00F34A41">
        <w:rPr>
          <w:lang w:val="en-US"/>
        </w:rPr>
        <w:t> </w:t>
      </w:r>
      <w:r w:rsidRPr="00F4101B">
        <w:t>adequate compensation, including reimbursement of the legal costs incurred. The State party is also under the obligation to prevent similar violations in the future</w:t>
      </w:r>
      <w:r w:rsidR="0006362E" w:rsidRPr="007C1A02">
        <w:t>.</w:t>
      </w:r>
      <w:r w:rsidR="00A12481">
        <w:t xml:space="preserve"> </w:t>
      </w:r>
      <w:r w:rsidR="00FD09F5" w:rsidRPr="00F4101B">
        <w:t xml:space="preserve">In </w:t>
      </w:r>
      <w:r w:rsidR="003E51A2" w:rsidRPr="00F4101B">
        <w:t xml:space="preserve">this </w:t>
      </w:r>
      <w:r w:rsidR="00FD09F5" w:rsidRPr="00F4101B">
        <w:t>connection, t</w:t>
      </w:r>
      <w:r w:rsidR="003231D2" w:rsidRPr="00F4101B">
        <w:t xml:space="preserve">he State party should review its internal legislation to ensure its compliance with the requirements of </w:t>
      </w:r>
      <w:r w:rsidR="00A12481">
        <w:t>article </w:t>
      </w:r>
      <w:r w:rsidR="003231D2" w:rsidRPr="00F4101B">
        <w:t>22 of the Covenant.</w:t>
      </w:r>
    </w:p>
    <w:p w:rsidR="00075FA7" w:rsidRDefault="00075FA7" w:rsidP="00F4101B">
      <w:pPr>
        <w:pStyle w:val="SingleTxtG"/>
      </w:pPr>
      <w:r w:rsidRPr="00F4101B">
        <w:t>11.</w:t>
      </w:r>
      <w:r w:rsidRPr="00F4101B">
        <w:tab/>
      </w:r>
      <w:r w:rsidRPr="008C57E9">
        <w:rPr>
          <w:spacing w:val="-2"/>
        </w:rPr>
        <w:t xml:space="preserve">Bearing in mind that, by becoming a party to the Optional Protocol, the State party has recognized the competence of the Committee to determine whether there has been a violation of the Covenant and that, pursuant to </w:t>
      </w:r>
      <w:r w:rsidR="00A12481" w:rsidRPr="008C57E9">
        <w:rPr>
          <w:spacing w:val="-2"/>
        </w:rPr>
        <w:t>article </w:t>
      </w:r>
      <w:r w:rsidRPr="008C57E9">
        <w:rPr>
          <w:spacing w:val="-2"/>
        </w:rPr>
        <w:t xml:space="preserve">2 of the Covenant, the State party has undertaken to ensure to all individuals within its territory or subject to its jurisdiction the rights recognized in the Covenant and to provide an effective and enforceable remedy </w:t>
      </w:r>
      <w:r w:rsidR="00E637EC" w:rsidRPr="008C57E9">
        <w:rPr>
          <w:spacing w:val="-2"/>
          <w:lang w:val="en-US"/>
        </w:rPr>
        <w:t>when it has been determined</w:t>
      </w:r>
      <w:r w:rsidRPr="008C57E9">
        <w:rPr>
          <w:spacing w:val="-2"/>
        </w:rPr>
        <w:t xml:space="preserve"> that a violation has been established, the Committee wishes to receive from the State party, within 180 days, information about the measures taken to give effect to the Committee’s Views. In addition, it requests the State party to publish the present Views, and to have them widely disseminated in Belarusian and Russian in the State party.</w:t>
      </w:r>
    </w:p>
    <w:p w:rsidR="00075FA7" w:rsidRDefault="00075FA7" w:rsidP="00075FA7">
      <w:pPr>
        <w:pStyle w:val="SingleTxtG"/>
        <w:spacing w:before="240" w:after="0"/>
        <w:ind w:right="1133"/>
        <w:jc w:val="center"/>
      </w:pPr>
      <w:r>
        <w:rPr>
          <w:u w:val="single"/>
          <w:lang w:val="sv-SE"/>
        </w:rPr>
        <w:tab/>
      </w:r>
      <w:r>
        <w:rPr>
          <w:u w:val="single"/>
          <w:lang w:val="sv-SE"/>
        </w:rPr>
        <w:tab/>
      </w:r>
      <w:r>
        <w:rPr>
          <w:u w:val="single"/>
          <w:lang w:val="sv-SE"/>
        </w:rPr>
        <w:tab/>
      </w:r>
    </w:p>
    <w:sectPr w:rsidR="00075FA7" w:rsidSect="00F4101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329" w:rsidRDefault="00220329"/>
  </w:endnote>
  <w:endnote w:type="continuationSeparator" w:id="0">
    <w:p w:rsidR="00220329" w:rsidRDefault="00220329"/>
  </w:endnote>
  <w:endnote w:type="continuationNotice" w:id="1">
    <w:p w:rsidR="00220329" w:rsidRDefault="002203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ヒラギノ角ゴ Pro W3">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947" w:rsidRPr="00727449" w:rsidRDefault="00C86947" w:rsidP="001E7626">
    <w:pPr>
      <w:pStyle w:val="Footer"/>
      <w:tabs>
        <w:tab w:val="right" w:pos="9638"/>
      </w:tabs>
    </w:pPr>
    <w:r w:rsidRPr="00727449">
      <w:rPr>
        <w:b/>
        <w:sz w:val="18"/>
      </w:rPr>
      <w:fldChar w:fldCharType="begin"/>
    </w:r>
    <w:r w:rsidRPr="00727449">
      <w:rPr>
        <w:b/>
        <w:sz w:val="18"/>
      </w:rPr>
      <w:instrText xml:space="preserve"> </w:instrText>
    </w:r>
    <w:r>
      <w:rPr>
        <w:b/>
        <w:sz w:val="18"/>
      </w:rPr>
      <w:instrText>PAGE</w:instrText>
    </w:r>
    <w:r w:rsidRPr="00727449">
      <w:rPr>
        <w:b/>
        <w:sz w:val="18"/>
      </w:rPr>
      <w:instrText xml:space="preserve">  \* MERGEFORMAT </w:instrText>
    </w:r>
    <w:r w:rsidRPr="00727449">
      <w:rPr>
        <w:b/>
        <w:sz w:val="18"/>
      </w:rPr>
      <w:fldChar w:fldCharType="separate"/>
    </w:r>
    <w:r w:rsidR="00FB2E6E">
      <w:rPr>
        <w:b/>
        <w:noProof/>
        <w:sz w:val="18"/>
      </w:rPr>
      <w:t>2</w:t>
    </w:r>
    <w:r w:rsidRPr="0072744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947" w:rsidRPr="00727449" w:rsidRDefault="00C86947" w:rsidP="001E7626">
    <w:pPr>
      <w:pStyle w:val="Footer"/>
      <w:tabs>
        <w:tab w:val="right" w:pos="9638"/>
      </w:tabs>
      <w:rPr>
        <w:b/>
        <w:sz w:val="18"/>
      </w:rPr>
    </w:pPr>
    <w:r>
      <w:tab/>
    </w:r>
    <w:r w:rsidRPr="00727449">
      <w:rPr>
        <w:b/>
        <w:sz w:val="18"/>
      </w:rPr>
      <w:fldChar w:fldCharType="begin"/>
    </w:r>
    <w:r w:rsidRPr="00727449">
      <w:rPr>
        <w:b/>
        <w:sz w:val="18"/>
      </w:rPr>
      <w:instrText xml:space="preserve"> </w:instrText>
    </w:r>
    <w:r>
      <w:rPr>
        <w:b/>
        <w:sz w:val="18"/>
      </w:rPr>
      <w:instrText>PAGE</w:instrText>
    </w:r>
    <w:r w:rsidRPr="00727449">
      <w:rPr>
        <w:b/>
        <w:sz w:val="18"/>
      </w:rPr>
      <w:instrText xml:space="preserve">  \* MERGEFORMAT </w:instrText>
    </w:r>
    <w:r w:rsidRPr="00727449">
      <w:rPr>
        <w:b/>
        <w:sz w:val="18"/>
      </w:rPr>
      <w:fldChar w:fldCharType="separate"/>
    </w:r>
    <w:r w:rsidR="00FB2E6E">
      <w:rPr>
        <w:b/>
        <w:noProof/>
        <w:sz w:val="18"/>
      </w:rPr>
      <w:t>3</w:t>
    </w:r>
    <w:r w:rsidRPr="0072744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947" w:rsidRPr="00050225" w:rsidRDefault="00220329" w:rsidP="00050225">
    <w:pPr>
      <w:rPr>
        <w:rFonts w:ascii="C39T30Lfz" w:hAnsi="C39T30Lfz"/>
        <w:sz w:val="56"/>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7.3pt;margin-top:646.25pt;width:73.25pt;height:18.15pt;z-index:1;mso-position-horizontal-relative:margin;mso-position-vertical-relative:margin">
          <v:imagedata r:id="rId1" o:title="recycle_English"/>
          <w10:wrap anchorx="margin" anchory="margin"/>
        </v:shape>
      </w:pict>
    </w:r>
    <w:r w:rsidR="00C86947">
      <w:t>GE.14-</w:t>
    </w:r>
    <w:r w:rsidR="00FE1057">
      <w:t>21890</w:t>
    </w:r>
    <w:r w:rsidR="00050225">
      <w:t xml:space="preserve">  (E)</w:t>
    </w:r>
    <w:r w:rsidR="00050225">
      <w:br/>
    </w:r>
    <w:r w:rsidR="00050225" w:rsidRPr="00050225">
      <w:rPr>
        <w:rFonts w:ascii="C39T30Lfz" w:hAnsi="C39T30Lfz"/>
        <w:sz w:val="56"/>
      </w:rPr>
      <w:t></w:t>
    </w:r>
    <w:r w:rsidR="00050225" w:rsidRPr="00050225">
      <w:rPr>
        <w:rFonts w:ascii="C39T30Lfz" w:hAnsi="C39T30Lfz"/>
        <w:sz w:val="56"/>
      </w:rPr>
      <w:t></w:t>
    </w:r>
    <w:r w:rsidR="00050225" w:rsidRPr="00050225">
      <w:rPr>
        <w:rFonts w:ascii="C39T30Lfz" w:hAnsi="C39T30Lfz"/>
        <w:sz w:val="56"/>
      </w:rPr>
      <w:t></w:t>
    </w:r>
    <w:r w:rsidR="00050225" w:rsidRPr="00050225">
      <w:rPr>
        <w:rFonts w:ascii="C39T30Lfz" w:hAnsi="C39T30Lfz"/>
        <w:sz w:val="56"/>
      </w:rPr>
      <w:t></w:t>
    </w:r>
    <w:r w:rsidR="00050225" w:rsidRPr="00050225">
      <w:rPr>
        <w:rFonts w:ascii="C39T30Lfz" w:hAnsi="C39T30Lfz"/>
        <w:sz w:val="56"/>
      </w:rPr>
      <w:t></w:t>
    </w:r>
    <w:r w:rsidR="00050225" w:rsidRPr="00050225">
      <w:rPr>
        <w:rFonts w:ascii="C39T30Lfz" w:hAnsi="C39T30Lfz"/>
        <w:sz w:val="56"/>
      </w:rPr>
      <w:t></w:t>
    </w:r>
    <w:r w:rsidR="00050225" w:rsidRPr="00050225">
      <w:rPr>
        <w:rFonts w:ascii="C39T30Lfz" w:hAnsi="C39T30Lfz"/>
        <w:sz w:val="56"/>
      </w:rPr>
      <w:t></w:t>
    </w:r>
    <w:r w:rsidR="00050225" w:rsidRPr="00050225">
      <w:rPr>
        <w:rFonts w:ascii="C39T30Lfz" w:hAnsi="C39T30Lfz"/>
        <w:sz w:val="56"/>
      </w:rPr>
      <w:t></w:t>
    </w:r>
    <w:r w:rsidR="00050225" w:rsidRPr="00050225">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329" w:rsidRPr="000B175B" w:rsidRDefault="00220329" w:rsidP="001E7626">
      <w:pPr>
        <w:tabs>
          <w:tab w:val="right" w:pos="2155"/>
        </w:tabs>
        <w:spacing w:after="80"/>
        <w:ind w:left="680"/>
        <w:rPr>
          <w:u w:val="single"/>
        </w:rPr>
      </w:pPr>
      <w:r>
        <w:rPr>
          <w:u w:val="single"/>
        </w:rPr>
        <w:tab/>
      </w:r>
    </w:p>
  </w:footnote>
  <w:footnote w:type="continuationSeparator" w:id="0">
    <w:p w:rsidR="00220329" w:rsidRPr="00FC68B7" w:rsidRDefault="00220329" w:rsidP="001E7626">
      <w:pPr>
        <w:tabs>
          <w:tab w:val="left" w:pos="2155"/>
        </w:tabs>
        <w:spacing w:after="80"/>
        <w:ind w:left="680"/>
        <w:rPr>
          <w:u w:val="single"/>
        </w:rPr>
      </w:pPr>
      <w:r>
        <w:rPr>
          <w:u w:val="single"/>
        </w:rPr>
        <w:tab/>
      </w:r>
    </w:p>
  </w:footnote>
  <w:footnote w:type="continuationNotice" w:id="1">
    <w:p w:rsidR="00220329" w:rsidRDefault="00220329"/>
  </w:footnote>
  <w:footnote w:id="2">
    <w:p w:rsidR="00C86947" w:rsidRPr="007C1A02" w:rsidRDefault="00C86947">
      <w:pPr>
        <w:pStyle w:val="FootnoteText"/>
        <w:rPr>
          <w:lang w:val="en-US"/>
        </w:rPr>
      </w:pPr>
      <w:r>
        <w:rPr>
          <w:rStyle w:val="FootnoteReference"/>
        </w:rPr>
        <w:tab/>
      </w:r>
      <w:r w:rsidRPr="007C1A02">
        <w:rPr>
          <w:rStyle w:val="FootnoteReference"/>
          <w:sz w:val="20"/>
          <w:vertAlign w:val="baseline"/>
        </w:rPr>
        <w:t>*</w:t>
      </w:r>
      <w:r>
        <w:rPr>
          <w:rStyle w:val="FootnoteReference"/>
          <w:sz w:val="20"/>
          <w:vertAlign w:val="baseline"/>
        </w:rPr>
        <w:tab/>
      </w:r>
      <w:r w:rsidRPr="00CC4AB8">
        <w:rPr>
          <w:szCs w:val="18"/>
        </w:rPr>
        <w:t xml:space="preserve">The following members of the Committee participated in the </w:t>
      </w:r>
      <w:r>
        <w:rPr>
          <w:szCs w:val="18"/>
          <w:lang w:val="en-US"/>
        </w:rPr>
        <w:t>consideration</w:t>
      </w:r>
      <w:r w:rsidRPr="00CC4AB8">
        <w:rPr>
          <w:szCs w:val="18"/>
        </w:rPr>
        <w:t xml:space="preserve"> of the present c</w:t>
      </w:r>
      <w:r>
        <w:rPr>
          <w:szCs w:val="18"/>
        </w:rPr>
        <w:t xml:space="preserve">ommunication: </w:t>
      </w:r>
      <w:r w:rsidRPr="004E64A9">
        <w:rPr>
          <w:szCs w:val="18"/>
        </w:rPr>
        <w:t>L</w:t>
      </w:r>
      <w:r>
        <w:rPr>
          <w:szCs w:val="18"/>
        </w:rPr>
        <w:t>a</w:t>
      </w:r>
      <w:r w:rsidRPr="007C1A02">
        <w:rPr>
          <w:szCs w:val="18"/>
        </w:rPr>
        <w:t>zhari</w:t>
      </w:r>
      <w:r w:rsidRPr="00CC4AB8">
        <w:rPr>
          <w:szCs w:val="18"/>
        </w:rPr>
        <w:t xml:space="preserve"> </w:t>
      </w:r>
      <w:r w:rsidRPr="007C1A02">
        <w:rPr>
          <w:szCs w:val="18"/>
        </w:rPr>
        <w:t xml:space="preserve">Bouzid, </w:t>
      </w:r>
      <w:r w:rsidRPr="00CC4AB8">
        <w:rPr>
          <w:bCs/>
          <w:szCs w:val="18"/>
          <w:lang w:val="en-US"/>
        </w:rPr>
        <w:t xml:space="preserve">Christine Chanet, </w:t>
      </w:r>
      <w:r w:rsidRPr="00263C1A">
        <w:rPr>
          <w:bCs/>
          <w:szCs w:val="18"/>
          <w:lang w:val="en-US"/>
        </w:rPr>
        <w:t>Ahmed Amin Fathalla</w:t>
      </w:r>
      <w:r w:rsidRPr="00CC4AB8">
        <w:rPr>
          <w:bCs/>
          <w:szCs w:val="18"/>
          <w:lang w:val="en-US"/>
        </w:rPr>
        <w:t xml:space="preserve">, </w:t>
      </w:r>
      <w:r w:rsidRPr="00CC4AB8">
        <w:rPr>
          <w:bCs/>
          <w:szCs w:val="18"/>
        </w:rPr>
        <w:t xml:space="preserve">Cornelis Flinterman, </w:t>
      </w:r>
      <w:r w:rsidRPr="00CC4AB8">
        <w:rPr>
          <w:bCs/>
          <w:szCs w:val="18"/>
          <w:lang w:val="en-US"/>
        </w:rPr>
        <w:t>Yuji Iwasawa,</w:t>
      </w:r>
      <w:r>
        <w:rPr>
          <w:bCs/>
          <w:szCs w:val="18"/>
          <w:lang w:val="en-US"/>
        </w:rPr>
        <w:t xml:space="preserve"> </w:t>
      </w:r>
      <w:r w:rsidRPr="00A12481">
        <w:rPr>
          <w:bCs/>
          <w:szCs w:val="18"/>
          <w:lang w:val="en-US"/>
        </w:rPr>
        <w:t xml:space="preserve">Walter Kälin, </w:t>
      </w:r>
      <w:r w:rsidRPr="00CC4AB8">
        <w:rPr>
          <w:bCs/>
          <w:szCs w:val="18"/>
        </w:rPr>
        <w:t xml:space="preserve">Zonke Zanele Majodina, Gerald </w:t>
      </w:r>
      <w:r>
        <w:rPr>
          <w:bCs/>
          <w:szCs w:val="18"/>
          <w:lang w:val="en-US"/>
        </w:rPr>
        <w:t xml:space="preserve">L. </w:t>
      </w:r>
      <w:r w:rsidRPr="00CC4AB8">
        <w:rPr>
          <w:bCs/>
          <w:szCs w:val="18"/>
        </w:rPr>
        <w:t xml:space="preserve">Neuman, </w:t>
      </w:r>
      <w:r w:rsidRPr="00A12481">
        <w:rPr>
          <w:bCs/>
          <w:szCs w:val="18"/>
          <w:lang w:val="en-US"/>
        </w:rPr>
        <w:t>Sir</w:t>
      </w:r>
      <w:r>
        <w:rPr>
          <w:bCs/>
          <w:szCs w:val="18"/>
          <w:lang w:val="en-US"/>
        </w:rPr>
        <w:t> </w:t>
      </w:r>
      <w:r w:rsidRPr="00A12481">
        <w:rPr>
          <w:bCs/>
          <w:szCs w:val="18"/>
          <w:lang w:val="en-US"/>
        </w:rPr>
        <w:t xml:space="preserve">Nigel Rodley, </w:t>
      </w:r>
      <w:r w:rsidRPr="00CC4AB8">
        <w:rPr>
          <w:bCs/>
          <w:szCs w:val="18"/>
        </w:rPr>
        <w:t>Victor Manuel Rodríguez-Rescia,</w:t>
      </w:r>
      <w:r w:rsidRPr="00CC4AB8">
        <w:rPr>
          <w:bCs/>
          <w:szCs w:val="18"/>
          <w:lang w:val="en-US"/>
        </w:rPr>
        <w:t xml:space="preserve"> </w:t>
      </w:r>
      <w:r w:rsidRPr="00CC4AB8">
        <w:rPr>
          <w:bCs/>
          <w:szCs w:val="18"/>
        </w:rPr>
        <w:t xml:space="preserve">Fabián Omar Salvioli, </w:t>
      </w:r>
      <w:r w:rsidRPr="00263C1A">
        <w:rPr>
          <w:bCs/>
          <w:szCs w:val="18"/>
        </w:rPr>
        <w:t>Dheerujlall Seetulsingh</w:t>
      </w:r>
      <w:r>
        <w:rPr>
          <w:bCs/>
          <w:szCs w:val="18"/>
        </w:rPr>
        <w:t xml:space="preserve">, </w:t>
      </w:r>
      <w:r w:rsidRPr="00CC4AB8">
        <w:rPr>
          <w:bCs/>
          <w:szCs w:val="18"/>
        </w:rPr>
        <w:t>Anja Seibert-Fohr</w:t>
      </w:r>
      <w:r>
        <w:rPr>
          <w:bCs/>
          <w:szCs w:val="18"/>
        </w:rPr>
        <w:t xml:space="preserve">, </w:t>
      </w:r>
      <w:r w:rsidRPr="00CC4AB8">
        <w:rPr>
          <w:bCs/>
          <w:szCs w:val="18"/>
        </w:rPr>
        <w:t>Yuval Shany, Konstantine V</w:t>
      </w:r>
      <w:r>
        <w:rPr>
          <w:bCs/>
          <w:szCs w:val="18"/>
        </w:rPr>
        <w:t xml:space="preserve">ardzelashvili, </w:t>
      </w:r>
      <w:r w:rsidRPr="00CC4AB8">
        <w:rPr>
          <w:bCs/>
          <w:szCs w:val="18"/>
        </w:rPr>
        <w:t xml:space="preserve">Margo Waterval </w:t>
      </w:r>
      <w:r>
        <w:rPr>
          <w:bCs/>
          <w:szCs w:val="18"/>
        </w:rPr>
        <w:t>and</w:t>
      </w:r>
      <w:r w:rsidRPr="00CC4AB8">
        <w:rPr>
          <w:bCs/>
          <w:szCs w:val="18"/>
        </w:rPr>
        <w:t xml:space="preserve"> Andrei Paul Zl</w:t>
      </w:r>
      <w:r w:rsidRPr="00373644">
        <w:rPr>
          <w:bCs/>
          <w:szCs w:val="18"/>
        </w:rPr>
        <w:t>ă</w:t>
      </w:r>
      <w:r w:rsidRPr="00CC4AB8">
        <w:rPr>
          <w:bCs/>
          <w:szCs w:val="18"/>
        </w:rPr>
        <w:t>tescu</w:t>
      </w:r>
      <w:r>
        <w:rPr>
          <w:bCs/>
          <w:szCs w:val="18"/>
        </w:rPr>
        <w:t>.</w:t>
      </w:r>
    </w:p>
  </w:footnote>
  <w:footnote w:id="3">
    <w:p w:rsidR="00C86947" w:rsidRPr="00B8101B" w:rsidRDefault="00C86947" w:rsidP="00263C1A">
      <w:pPr>
        <w:pStyle w:val="FootnoteText"/>
        <w:ind w:right="0"/>
      </w:pPr>
      <w:r w:rsidRPr="00F4101B">
        <w:tab/>
      </w:r>
      <w:r>
        <w:rPr>
          <w:rStyle w:val="FootnoteReference"/>
        </w:rPr>
        <w:footnoteRef/>
      </w:r>
      <w:r w:rsidRPr="008B732C">
        <w:tab/>
      </w:r>
      <w:r w:rsidRPr="00B8101B">
        <w:rPr>
          <w:rFonts w:eastAsia="Verdana"/>
          <w:szCs w:val="18"/>
        </w:rPr>
        <w:t xml:space="preserve">The Optional Protocol entered into force for </w:t>
      </w:r>
      <w:r>
        <w:rPr>
          <w:rFonts w:eastAsia="Verdana"/>
          <w:szCs w:val="18"/>
          <w:lang w:val="en-US"/>
        </w:rPr>
        <w:t>the State party</w:t>
      </w:r>
      <w:r w:rsidRPr="00B8101B">
        <w:rPr>
          <w:rFonts w:eastAsia="Verdana"/>
          <w:szCs w:val="18"/>
        </w:rPr>
        <w:t xml:space="preserve"> on 30 December 1992.</w:t>
      </w:r>
    </w:p>
  </w:footnote>
  <w:footnote w:id="4">
    <w:p w:rsidR="00C86947" w:rsidRPr="00C548C5" w:rsidRDefault="00C86947" w:rsidP="00B301C6">
      <w:pPr>
        <w:pStyle w:val="FootnoteText"/>
      </w:pPr>
      <w:r w:rsidRPr="007C1A02">
        <w:rPr>
          <w:lang w:val="en-US"/>
        </w:rPr>
        <w:tab/>
      </w:r>
      <w:r>
        <w:rPr>
          <w:rStyle w:val="FootnoteReference"/>
        </w:rPr>
        <w:footnoteRef/>
      </w:r>
      <w:r w:rsidRPr="008B732C">
        <w:tab/>
      </w:r>
      <w:r>
        <w:t>Communication No.</w:t>
      </w:r>
      <w:r w:rsidRPr="003F5800">
        <w:rPr>
          <w:lang w:val="en-US"/>
        </w:rPr>
        <w:t> </w:t>
      </w:r>
      <w:r w:rsidRPr="00C548C5">
        <w:t>1296/2004</w:t>
      </w:r>
      <w:r>
        <w:t xml:space="preserve">, </w:t>
      </w:r>
      <w:r w:rsidRPr="00C548C5">
        <w:rPr>
          <w:i/>
        </w:rPr>
        <w:t xml:space="preserve">Belyatsky et al. </w:t>
      </w:r>
      <w:r w:rsidRPr="007C1A02">
        <w:rPr>
          <w:iCs/>
        </w:rPr>
        <w:t>v</w:t>
      </w:r>
      <w:r>
        <w:rPr>
          <w:i/>
          <w:lang w:val="en-US"/>
        </w:rPr>
        <w:t>.</w:t>
      </w:r>
      <w:r w:rsidRPr="00C548C5">
        <w:rPr>
          <w:i/>
        </w:rPr>
        <w:t xml:space="preserve"> Belarus</w:t>
      </w:r>
      <w:r>
        <w:t>, Views adopted on 24 July 2007.</w:t>
      </w:r>
    </w:p>
  </w:footnote>
  <w:footnote w:id="5">
    <w:p w:rsidR="00C86947" w:rsidRPr="00927FDF" w:rsidRDefault="00C86947" w:rsidP="00B301C6">
      <w:pPr>
        <w:pStyle w:val="FootnoteText"/>
      </w:pPr>
      <w:r w:rsidRPr="003F5800">
        <w:rPr>
          <w:lang w:val="en-US"/>
        </w:rPr>
        <w:tab/>
      </w:r>
      <w:r w:rsidRPr="00927FDF">
        <w:rPr>
          <w:rStyle w:val="FootnoteReference"/>
          <w:szCs w:val="18"/>
        </w:rPr>
        <w:footnoteRef/>
      </w:r>
      <w:r w:rsidRPr="008B732C">
        <w:tab/>
      </w:r>
      <w:r w:rsidRPr="00927FDF">
        <w:rPr>
          <w:bCs/>
        </w:rPr>
        <w:t xml:space="preserve">Law of the Republic of Belarus, </w:t>
      </w:r>
      <w:r w:rsidRPr="00927FDF">
        <w:t>No.</w:t>
      </w:r>
      <w:r w:rsidRPr="003F5800">
        <w:rPr>
          <w:lang w:val="en-US"/>
        </w:rPr>
        <w:t> </w:t>
      </w:r>
      <w:r w:rsidRPr="00927FDF">
        <w:t xml:space="preserve">3254-XII of </w:t>
      </w:r>
      <w:r>
        <w:rPr>
          <w:lang w:val="en-US"/>
        </w:rPr>
        <w:t xml:space="preserve">4 </w:t>
      </w:r>
      <w:r w:rsidRPr="00927FDF">
        <w:t xml:space="preserve">October </w:t>
      </w:r>
      <w:r w:rsidRPr="00B301C6">
        <w:t>1994</w:t>
      </w:r>
      <w:r w:rsidRPr="00927FDF">
        <w:t xml:space="preserve">, </w:t>
      </w:r>
      <w:r>
        <w:rPr>
          <w:bCs/>
          <w:lang w:val="en-US"/>
        </w:rPr>
        <w:t>o</w:t>
      </w:r>
      <w:r w:rsidRPr="00927FDF">
        <w:rPr>
          <w:bCs/>
        </w:rPr>
        <w:t>n Public Associations</w:t>
      </w:r>
      <w:r>
        <w:rPr>
          <w:lang w:val="en-US"/>
        </w:rPr>
        <w:t>. A</w:t>
      </w:r>
      <w:r w:rsidRPr="00927FDF">
        <w:t xml:space="preserve">vailable </w:t>
      </w:r>
      <w:r>
        <w:rPr>
          <w:lang w:val="en-US"/>
        </w:rPr>
        <w:t>from</w:t>
      </w:r>
      <w:r w:rsidRPr="00927FDF">
        <w:t xml:space="preserve"> www.legislationline.org/topics/country/42/topic/1.</w:t>
      </w:r>
    </w:p>
  </w:footnote>
  <w:footnote w:id="6">
    <w:p w:rsidR="00C86947" w:rsidRPr="000568AE" w:rsidRDefault="00C86947" w:rsidP="005908AB">
      <w:pPr>
        <w:pStyle w:val="FootnoteText"/>
      </w:pPr>
      <w:r w:rsidRPr="003F5800">
        <w:rPr>
          <w:lang w:val="en-US"/>
        </w:rPr>
        <w:tab/>
      </w:r>
      <w:r w:rsidRPr="00927FDF">
        <w:rPr>
          <w:rStyle w:val="FootnoteReference"/>
          <w:szCs w:val="18"/>
        </w:rPr>
        <w:footnoteRef/>
      </w:r>
      <w:r w:rsidRPr="008B732C">
        <w:tab/>
      </w:r>
      <w:r w:rsidRPr="00927FDF">
        <w:t xml:space="preserve">Letter of the Ministry of Justice of Belarus </w:t>
      </w:r>
      <w:r>
        <w:rPr>
          <w:lang w:val="en-US"/>
        </w:rPr>
        <w:t>dated</w:t>
      </w:r>
      <w:r w:rsidRPr="00927FDF">
        <w:t xml:space="preserve"> 24 August 2007</w:t>
      </w:r>
      <w:r>
        <w:rPr>
          <w:lang w:val="en-US"/>
        </w:rPr>
        <w:t>,</w:t>
      </w:r>
      <w:r w:rsidRPr="00927FDF">
        <w:t xml:space="preserve"> </w:t>
      </w:r>
      <w:r w:rsidRPr="00C548C5">
        <w:t>No.</w:t>
      </w:r>
      <w:r w:rsidRPr="003F5800">
        <w:rPr>
          <w:lang w:val="en-US"/>
        </w:rPr>
        <w:t> </w:t>
      </w:r>
      <w:r w:rsidRPr="00927FDF">
        <w:t>06-14</w:t>
      </w:r>
      <w:r w:rsidRPr="000568AE">
        <w:t>/912</w:t>
      </w:r>
      <w:r>
        <w:rPr>
          <w:lang w:val="en-US"/>
        </w:rPr>
        <w:t>,</w:t>
      </w:r>
      <w:r w:rsidRPr="000568AE">
        <w:t xml:space="preserve"> </w:t>
      </w:r>
      <w:r>
        <w:rPr>
          <w:lang w:val="en-US"/>
        </w:rPr>
        <w:t>on</w:t>
      </w:r>
      <w:r w:rsidRPr="000568AE">
        <w:t xml:space="preserve"> the denial of government registration </w:t>
      </w:r>
      <w:r>
        <w:rPr>
          <w:lang w:val="en-US"/>
        </w:rPr>
        <w:t>of</w:t>
      </w:r>
      <w:r w:rsidRPr="000568AE">
        <w:t xml:space="preserve"> the civic association</w:t>
      </w:r>
      <w:r>
        <w:rPr>
          <w:lang w:val="en-US"/>
        </w:rPr>
        <w:t>;</w:t>
      </w:r>
      <w:r w:rsidRPr="000568AE">
        <w:t xml:space="preserve"> copy </w:t>
      </w:r>
      <w:r w:rsidRPr="00B301C6">
        <w:t>provided</w:t>
      </w:r>
      <w:r w:rsidRPr="000568AE">
        <w:t xml:space="preserve"> in Russian by the author.</w:t>
      </w:r>
    </w:p>
  </w:footnote>
  <w:footnote w:id="7">
    <w:p w:rsidR="00C86947" w:rsidRPr="007A65BA" w:rsidRDefault="00C86947" w:rsidP="00DD524B">
      <w:pPr>
        <w:pStyle w:val="FootnoteText"/>
      </w:pPr>
      <w:r w:rsidRPr="003F5800">
        <w:rPr>
          <w:lang w:val="en-US"/>
        </w:rPr>
        <w:tab/>
      </w:r>
      <w:r>
        <w:rPr>
          <w:rStyle w:val="FootnoteReference"/>
        </w:rPr>
        <w:footnoteRef/>
      </w:r>
      <w:r w:rsidRPr="008B732C">
        <w:tab/>
      </w:r>
      <w:r w:rsidRPr="007A65BA">
        <w:rPr>
          <w:lang w:eastAsia="ar-SA"/>
        </w:rPr>
        <w:t>The author pr</w:t>
      </w:r>
      <w:r w:rsidR="00320475">
        <w:rPr>
          <w:lang w:val="en-US" w:eastAsia="ar-SA"/>
        </w:rPr>
        <w:t>ovides</w:t>
      </w:r>
      <w:r w:rsidRPr="007A65BA">
        <w:rPr>
          <w:lang w:eastAsia="ar-SA"/>
        </w:rPr>
        <w:t xml:space="preserve"> a copy of the </w:t>
      </w:r>
      <w:r>
        <w:rPr>
          <w:lang w:val="en-US" w:eastAsia="ar-SA"/>
        </w:rPr>
        <w:t>l</w:t>
      </w:r>
      <w:r w:rsidRPr="007A65BA">
        <w:rPr>
          <w:lang w:eastAsia="ar-SA"/>
        </w:rPr>
        <w:t xml:space="preserve">etter of the Ministry of Justice </w:t>
      </w:r>
      <w:r>
        <w:rPr>
          <w:lang w:val="en-US" w:eastAsia="ar-SA"/>
        </w:rPr>
        <w:t>dated</w:t>
      </w:r>
      <w:r w:rsidRPr="007A65BA">
        <w:rPr>
          <w:lang w:eastAsia="ar-SA"/>
        </w:rPr>
        <w:t xml:space="preserve"> </w:t>
      </w:r>
      <w:r>
        <w:rPr>
          <w:lang w:val="en-US" w:eastAsia="ar-SA"/>
        </w:rPr>
        <w:t xml:space="preserve">2 </w:t>
      </w:r>
      <w:r w:rsidRPr="007A65BA">
        <w:rPr>
          <w:lang w:eastAsia="ar-SA"/>
        </w:rPr>
        <w:t>March 2009</w:t>
      </w:r>
      <w:r>
        <w:rPr>
          <w:lang w:val="en-US" w:eastAsia="ar-SA"/>
        </w:rPr>
        <w:t>,</w:t>
      </w:r>
      <w:r w:rsidRPr="007A65BA">
        <w:rPr>
          <w:lang w:eastAsia="ar-SA"/>
        </w:rPr>
        <w:t xml:space="preserve"> </w:t>
      </w:r>
      <w:r w:rsidRPr="00C548C5">
        <w:t>No.</w:t>
      </w:r>
      <w:r w:rsidRPr="003F5800">
        <w:rPr>
          <w:lang w:val="en-US"/>
        </w:rPr>
        <w:t> </w:t>
      </w:r>
      <w:r w:rsidRPr="007A65BA">
        <w:rPr>
          <w:lang w:eastAsia="ar-SA"/>
        </w:rPr>
        <w:t>06-12/145</w:t>
      </w:r>
      <w:r>
        <w:rPr>
          <w:lang w:val="en-US" w:eastAsia="ar-SA"/>
        </w:rPr>
        <w:t>, on</w:t>
      </w:r>
      <w:r w:rsidRPr="007A65BA">
        <w:rPr>
          <w:lang w:eastAsia="ar-SA"/>
        </w:rPr>
        <w:t xml:space="preserve"> the denial of government registration </w:t>
      </w:r>
      <w:r>
        <w:rPr>
          <w:lang w:val="en-US" w:eastAsia="ar-SA"/>
        </w:rPr>
        <w:t>of</w:t>
      </w:r>
      <w:r w:rsidRPr="007A65BA">
        <w:rPr>
          <w:lang w:eastAsia="ar-SA"/>
        </w:rPr>
        <w:t xml:space="preserve"> the </w:t>
      </w:r>
      <w:r>
        <w:rPr>
          <w:lang w:val="en-US" w:eastAsia="ar-SA"/>
        </w:rPr>
        <w:t>c</w:t>
      </w:r>
      <w:r w:rsidRPr="007A65BA">
        <w:rPr>
          <w:lang w:eastAsia="ar-SA"/>
        </w:rPr>
        <w:t>ivic association.</w:t>
      </w:r>
    </w:p>
  </w:footnote>
  <w:footnote w:id="8">
    <w:p w:rsidR="00C86947" w:rsidRPr="007C1A02" w:rsidRDefault="00C86947" w:rsidP="00037922">
      <w:pPr>
        <w:pStyle w:val="FootnoteText"/>
        <w:ind w:right="0"/>
        <w:rPr>
          <w:lang w:val="en-US"/>
        </w:rPr>
      </w:pPr>
      <w:r w:rsidRPr="003F5800">
        <w:rPr>
          <w:lang w:val="en-US"/>
        </w:rPr>
        <w:tab/>
      </w:r>
      <w:r>
        <w:rPr>
          <w:rStyle w:val="FootnoteReference"/>
        </w:rPr>
        <w:footnoteRef/>
      </w:r>
      <w:r w:rsidRPr="008B732C">
        <w:tab/>
      </w:r>
      <w:r w:rsidRPr="007A65BA">
        <w:rPr>
          <w:color w:val="000000"/>
          <w:szCs w:val="18"/>
          <w:lang w:eastAsia="ar-SA"/>
        </w:rPr>
        <w:t xml:space="preserve">Law </w:t>
      </w:r>
      <w:r>
        <w:rPr>
          <w:color w:val="000000"/>
          <w:szCs w:val="18"/>
          <w:lang w:val="en-US" w:eastAsia="ar-SA"/>
        </w:rPr>
        <w:t>on Public</w:t>
      </w:r>
      <w:r w:rsidRPr="007A65BA">
        <w:rPr>
          <w:color w:val="000000"/>
          <w:szCs w:val="18"/>
          <w:lang w:eastAsia="ar-SA"/>
        </w:rPr>
        <w:t xml:space="preserve"> Associations</w:t>
      </w:r>
      <w:r>
        <w:rPr>
          <w:color w:val="000000"/>
          <w:szCs w:val="18"/>
          <w:lang w:val="en-US"/>
        </w:rPr>
        <w:t xml:space="preserve">, </w:t>
      </w:r>
      <w:r>
        <w:rPr>
          <w:color w:val="000000"/>
          <w:szCs w:val="18"/>
          <w:lang w:val="en-US" w:eastAsia="ar-SA"/>
        </w:rPr>
        <w:t>a</w:t>
      </w:r>
      <w:r>
        <w:rPr>
          <w:color w:val="000000"/>
          <w:szCs w:val="18"/>
          <w:lang w:eastAsia="ar-SA"/>
        </w:rPr>
        <w:t>rt</w:t>
      </w:r>
      <w:r>
        <w:rPr>
          <w:color w:val="000000"/>
          <w:szCs w:val="18"/>
          <w:lang w:val="en-US" w:eastAsia="ar-SA"/>
        </w:rPr>
        <w:t>.</w:t>
      </w:r>
      <w:r>
        <w:rPr>
          <w:color w:val="000000"/>
          <w:szCs w:val="18"/>
          <w:lang w:eastAsia="ar-SA"/>
        </w:rPr>
        <w:t> </w:t>
      </w:r>
      <w:r w:rsidRPr="007A65BA">
        <w:rPr>
          <w:color w:val="000000"/>
          <w:szCs w:val="18"/>
          <w:lang w:eastAsia="ar-SA"/>
        </w:rPr>
        <w:t>7</w:t>
      </w:r>
      <w:r>
        <w:rPr>
          <w:color w:val="000000"/>
          <w:szCs w:val="18"/>
          <w:lang w:val="en-US" w:eastAsia="ar-SA"/>
        </w:rPr>
        <w:t>, second paragraph.</w:t>
      </w:r>
      <w:r w:rsidRPr="007A65BA">
        <w:rPr>
          <w:color w:val="000000"/>
          <w:szCs w:val="18"/>
          <w:lang w:eastAsia="ar-SA"/>
        </w:rPr>
        <w:t xml:space="preserve"> </w:t>
      </w:r>
    </w:p>
  </w:footnote>
  <w:footnote w:id="9">
    <w:p w:rsidR="00C86947" w:rsidRPr="00D24FEB" w:rsidRDefault="00C86947" w:rsidP="007C1A02">
      <w:pPr>
        <w:pStyle w:val="FootnoteText"/>
      </w:pPr>
      <w:r w:rsidRPr="00A12481">
        <w:rPr>
          <w:lang w:val="en-US"/>
        </w:rPr>
        <w:tab/>
      </w:r>
      <w:r>
        <w:rPr>
          <w:rStyle w:val="FootnoteReference"/>
        </w:rPr>
        <w:footnoteRef/>
      </w:r>
      <w:r w:rsidRPr="008B732C">
        <w:tab/>
      </w:r>
      <w:r w:rsidRPr="00D24FEB">
        <w:t xml:space="preserve">The </w:t>
      </w:r>
      <w:r w:rsidRPr="007C1A02">
        <w:t>author</w:t>
      </w:r>
      <w:r w:rsidRPr="00D24FEB">
        <w:t xml:space="preserve"> refers to communication </w:t>
      </w:r>
      <w:r>
        <w:rPr>
          <w:lang w:val="en-US"/>
        </w:rPr>
        <w:t xml:space="preserve">No. </w:t>
      </w:r>
      <w:r w:rsidRPr="00D24FEB">
        <w:t xml:space="preserve">1478/2006, </w:t>
      </w:r>
      <w:r w:rsidRPr="00D24FEB">
        <w:rPr>
          <w:i/>
        </w:rPr>
        <w:t xml:space="preserve">Kungurov </w:t>
      </w:r>
      <w:r w:rsidRPr="007C1A02">
        <w:rPr>
          <w:iCs/>
        </w:rPr>
        <w:t>v.</w:t>
      </w:r>
      <w:r w:rsidRPr="00D24FEB">
        <w:rPr>
          <w:i/>
        </w:rPr>
        <w:t xml:space="preserve"> Uzbekistan</w:t>
      </w:r>
      <w:r w:rsidRPr="00D24FEB">
        <w:t>, Views adopted on 20 Ju</w:t>
      </w:r>
      <w:r>
        <w:rPr>
          <w:lang w:val="en-US"/>
        </w:rPr>
        <w:t>ly</w:t>
      </w:r>
      <w:r w:rsidRPr="00D24FEB">
        <w:t xml:space="preserve"> 2011.</w:t>
      </w:r>
    </w:p>
  </w:footnote>
  <w:footnote w:id="10">
    <w:p w:rsidR="00C86947" w:rsidRPr="00BE2D52" w:rsidRDefault="00C86947" w:rsidP="00F41C5D">
      <w:pPr>
        <w:pStyle w:val="FootnoteText"/>
      </w:pPr>
      <w:r w:rsidRPr="007C1A02">
        <w:rPr>
          <w:lang w:val="en-US"/>
        </w:rPr>
        <w:tab/>
      </w:r>
      <w:r>
        <w:rPr>
          <w:rStyle w:val="FootnoteReference"/>
        </w:rPr>
        <w:footnoteRef/>
      </w:r>
      <w:r w:rsidRPr="008B732C">
        <w:tab/>
      </w:r>
      <w:r w:rsidRPr="00BE2D52">
        <w:t xml:space="preserve">The author refers to Decree of the President of the Republic of Belarus </w:t>
      </w:r>
      <w:r w:rsidRPr="00C548C5">
        <w:t>No.</w:t>
      </w:r>
      <w:r w:rsidRPr="003F5800">
        <w:rPr>
          <w:lang w:val="en-US"/>
        </w:rPr>
        <w:t> </w:t>
      </w:r>
      <w:r w:rsidRPr="00BE2D52">
        <w:rPr>
          <w:rFonts w:eastAsia="Arial Unicode MS"/>
        </w:rPr>
        <w:t xml:space="preserve">24 </w:t>
      </w:r>
      <w:r w:rsidRPr="00BE2D52">
        <w:t xml:space="preserve">of </w:t>
      </w:r>
      <w:r w:rsidRPr="00BE2D52">
        <w:rPr>
          <w:rFonts w:eastAsia="Arial Unicode MS"/>
        </w:rPr>
        <w:t>28</w:t>
      </w:r>
      <w:r>
        <w:rPr>
          <w:rFonts w:eastAsia="Arial Unicode MS"/>
          <w:lang w:val="en-US"/>
        </w:rPr>
        <w:t xml:space="preserve"> November </w:t>
      </w:r>
      <w:r w:rsidRPr="00BE2D52">
        <w:rPr>
          <w:rFonts w:eastAsia="Arial Unicode MS"/>
        </w:rPr>
        <w:t>200</w:t>
      </w:r>
      <w:r>
        <w:rPr>
          <w:rFonts w:eastAsia="Arial Unicode MS"/>
        </w:rPr>
        <w:t xml:space="preserve">3 </w:t>
      </w:r>
      <w:r>
        <w:rPr>
          <w:rFonts w:eastAsia="Arial Unicode MS"/>
          <w:lang w:val="en-US"/>
        </w:rPr>
        <w:t>on</w:t>
      </w:r>
      <w:r w:rsidRPr="00BE2D52">
        <w:rPr>
          <w:rFonts w:eastAsia="Arial Unicode MS"/>
        </w:rPr>
        <w:t xml:space="preserve"> the receipt and utili</w:t>
      </w:r>
      <w:r>
        <w:rPr>
          <w:rFonts w:eastAsia="Arial Unicode MS"/>
          <w:lang w:val="en-US"/>
        </w:rPr>
        <w:t>z</w:t>
      </w:r>
      <w:r w:rsidRPr="00BE2D52">
        <w:rPr>
          <w:rFonts w:eastAsia="Arial Unicode MS"/>
        </w:rPr>
        <w:t xml:space="preserve">ation of </w:t>
      </w:r>
      <w:r w:rsidRPr="00B301C6">
        <w:rPr>
          <w:rFonts w:eastAsia="Arial Unicode MS"/>
        </w:rPr>
        <w:t>foreign</w:t>
      </w:r>
      <w:r>
        <w:rPr>
          <w:rFonts w:eastAsia="Arial Unicode MS"/>
        </w:rPr>
        <w:t xml:space="preserve"> aid</w:t>
      </w:r>
      <w:r w:rsidRPr="0075722D">
        <w:rPr>
          <w:rFonts w:eastAsia="Arial Unicode MS"/>
        </w:rPr>
        <w:t>.</w:t>
      </w:r>
      <w:r>
        <w:rPr>
          <w:rFonts w:eastAsia="Arial Unicode MS"/>
        </w:rPr>
        <w:t xml:space="preserve"> </w:t>
      </w:r>
    </w:p>
  </w:footnote>
  <w:footnote w:id="11">
    <w:p w:rsidR="00C86947" w:rsidRPr="007C1A02" w:rsidRDefault="00C86947">
      <w:pPr>
        <w:pStyle w:val="FootnoteText"/>
        <w:rPr>
          <w:lang w:val="en-US"/>
        </w:rPr>
      </w:pPr>
      <w:r>
        <w:rPr>
          <w:lang w:val="en-US"/>
        </w:rPr>
        <w:tab/>
      </w:r>
      <w:r>
        <w:rPr>
          <w:rStyle w:val="FootnoteReference"/>
        </w:rPr>
        <w:footnoteRef/>
      </w:r>
      <w:r>
        <w:rPr>
          <w:lang w:val="en-US"/>
        </w:rPr>
        <w:tab/>
      </w:r>
      <w:r w:rsidRPr="00363732">
        <w:rPr>
          <w:lang w:val="en-US"/>
        </w:rPr>
        <w:t>Vienna Conventi</w:t>
      </w:r>
      <w:r>
        <w:rPr>
          <w:lang w:val="en-US"/>
        </w:rPr>
        <w:t>on on the Law of Treaties, art. 27.</w:t>
      </w:r>
    </w:p>
  </w:footnote>
  <w:footnote w:id="12">
    <w:p w:rsidR="00C86947" w:rsidRPr="00A360C6" w:rsidRDefault="00C86947" w:rsidP="00F41C5D">
      <w:pPr>
        <w:pStyle w:val="FootnoteText"/>
      </w:pPr>
      <w:r w:rsidRPr="00A12481">
        <w:rPr>
          <w:lang w:val="en-US"/>
        </w:rPr>
        <w:tab/>
      </w:r>
      <w:r>
        <w:rPr>
          <w:rStyle w:val="FootnoteReference"/>
        </w:rPr>
        <w:footnoteRef/>
      </w:r>
      <w:r w:rsidRPr="007C1A02">
        <w:rPr>
          <w:lang w:val="en-US"/>
        </w:rPr>
        <w:tab/>
      </w:r>
      <w:r>
        <w:rPr>
          <w:lang w:val="en-US"/>
        </w:rPr>
        <w:t>See the r</w:t>
      </w:r>
      <w:r w:rsidRPr="00A360C6">
        <w:rPr>
          <w:lang w:val="en-US"/>
        </w:rPr>
        <w:t xml:space="preserve">eport of the Special Rapporteur on the independence of judges and lawyers on </w:t>
      </w:r>
      <w:r>
        <w:rPr>
          <w:lang w:val="en-US"/>
        </w:rPr>
        <w:t xml:space="preserve">his </w:t>
      </w:r>
      <w:r w:rsidRPr="00A360C6">
        <w:rPr>
          <w:lang w:val="en-US"/>
        </w:rPr>
        <w:t>mission to Belarus</w:t>
      </w:r>
      <w:r>
        <w:rPr>
          <w:lang w:val="en-US"/>
        </w:rPr>
        <w:t xml:space="preserve"> (</w:t>
      </w:r>
      <w:r w:rsidRPr="00A360C6">
        <w:rPr>
          <w:lang w:val="en-US"/>
        </w:rPr>
        <w:t>E/CN.4/2001/65/Add.1</w:t>
      </w:r>
      <w:r>
        <w:rPr>
          <w:lang w:val="en-US"/>
        </w:rPr>
        <w:t>)</w:t>
      </w:r>
      <w:r w:rsidRPr="00A360C6">
        <w:rPr>
          <w:lang w:val="en-US"/>
        </w:rPr>
        <w:t xml:space="preserve"> and the </w:t>
      </w:r>
      <w:r>
        <w:rPr>
          <w:lang w:val="en-US"/>
        </w:rPr>
        <w:t>r</w:t>
      </w:r>
      <w:r w:rsidRPr="00A360C6">
        <w:rPr>
          <w:lang w:val="en-US"/>
        </w:rPr>
        <w:t>eport of the Working Group on the Universal Periodic Review</w:t>
      </w:r>
      <w:r>
        <w:rPr>
          <w:lang w:val="en-US"/>
        </w:rPr>
        <w:t xml:space="preserve"> on</w:t>
      </w:r>
      <w:r w:rsidRPr="00A360C6">
        <w:rPr>
          <w:lang w:val="en-US"/>
        </w:rPr>
        <w:t xml:space="preserve"> </w:t>
      </w:r>
      <w:r w:rsidRPr="00A360C6">
        <w:t>Belarus</w:t>
      </w:r>
      <w:r>
        <w:rPr>
          <w:lang w:val="en-US"/>
        </w:rPr>
        <w:t xml:space="preserve"> (</w:t>
      </w:r>
      <w:r w:rsidRPr="00A360C6">
        <w:t>A/HRC/15/16</w:t>
      </w:r>
      <w:r>
        <w:rPr>
          <w:lang w:val="en-US"/>
        </w:rPr>
        <w:t>),</w:t>
      </w:r>
      <w:r w:rsidRPr="00A360C6">
        <w:t xml:space="preserve"> </w:t>
      </w:r>
      <w:r>
        <w:rPr>
          <w:lang w:val="en-US"/>
        </w:rPr>
        <w:t>r</w:t>
      </w:r>
      <w:r w:rsidRPr="00F4101B">
        <w:t>ecommendations</w:t>
      </w:r>
      <w:r w:rsidRPr="00A360C6">
        <w:t xml:space="preserve"> 98.25</w:t>
      </w:r>
      <w:r>
        <w:rPr>
          <w:lang w:val="en-US"/>
        </w:rPr>
        <w:t xml:space="preserve"> and</w:t>
      </w:r>
      <w:r w:rsidRPr="00A360C6">
        <w:t xml:space="preserve"> 98.26</w:t>
      </w:r>
      <w:r>
        <w:rPr>
          <w:lang w:val="en-US"/>
        </w:rPr>
        <w:t xml:space="preserve">. </w:t>
      </w:r>
    </w:p>
  </w:footnote>
  <w:footnote w:id="13">
    <w:p w:rsidR="00C86947" w:rsidRPr="008228A7" w:rsidRDefault="00C86947" w:rsidP="00F4101B">
      <w:pPr>
        <w:pStyle w:val="FootnoteText"/>
      </w:pPr>
      <w:r w:rsidRPr="003F5800">
        <w:rPr>
          <w:lang w:val="en-US"/>
        </w:rPr>
        <w:tab/>
      </w:r>
      <w:r>
        <w:rPr>
          <w:rStyle w:val="FootnoteReference"/>
        </w:rPr>
        <w:footnoteRef/>
      </w:r>
      <w:r w:rsidRPr="008B732C">
        <w:tab/>
      </w:r>
      <w:r w:rsidRPr="008228A7">
        <w:t xml:space="preserve">The author does not provide a </w:t>
      </w:r>
      <w:r>
        <w:rPr>
          <w:lang w:val="en-US"/>
        </w:rPr>
        <w:t>specific</w:t>
      </w:r>
      <w:r w:rsidRPr="008228A7">
        <w:t xml:space="preserve"> reference </w:t>
      </w:r>
      <w:r>
        <w:t>to the Committee’s jurisprudence.</w:t>
      </w:r>
    </w:p>
  </w:footnote>
  <w:footnote w:id="14">
    <w:p w:rsidR="00C86947" w:rsidRPr="00EB70AD" w:rsidRDefault="00C86947" w:rsidP="001529FE">
      <w:pPr>
        <w:pStyle w:val="FootnoteText"/>
      </w:pPr>
      <w:r w:rsidRPr="007C1A02">
        <w:rPr>
          <w:lang w:val="en-US"/>
        </w:rPr>
        <w:tab/>
      </w:r>
      <w:r>
        <w:rPr>
          <w:rStyle w:val="FootnoteReference"/>
        </w:rPr>
        <w:footnoteRef/>
      </w:r>
      <w:r w:rsidRPr="008B732C">
        <w:tab/>
      </w:r>
      <w:r w:rsidRPr="00EB70AD">
        <w:t>The author refers to</w:t>
      </w:r>
      <w:r w:rsidRPr="00EB70AD">
        <w:rPr>
          <w:b/>
        </w:rPr>
        <w:t xml:space="preserve"> </w:t>
      </w:r>
      <w:r w:rsidRPr="00EB70AD">
        <w:rPr>
          <w:lang w:val="en-US"/>
        </w:rPr>
        <w:t>communication</w:t>
      </w:r>
      <w:r w:rsidRPr="00EB70AD">
        <w:t xml:space="preserve"> </w:t>
      </w:r>
      <w:r w:rsidRPr="00C548C5">
        <w:t>No.</w:t>
      </w:r>
      <w:r w:rsidRPr="003F5800">
        <w:rPr>
          <w:lang w:val="en-US"/>
        </w:rPr>
        <w:t> </w:t>
      </w:r>
      <w:r w:rsidRPr="00EB70AD">
        <w:t xml:space="preserve">560/1993, </w:t>
      </w:r>
      <w:r w:rsidRPr="00EB70AD">
        <w:rPr>
          <w:i/>
          <w:lang w:val="en-US"/>
        </w:rPr>
        <w:t>A</w:t>
      </w:r>
      <w:r w:rsidRPr="00EB70AD">
        <w:rPr>
          <w:i/>
        </w:rPr>
        <w:t xml:space="preserve">. </w:t>
      </w:r>
      <w:r w:rsidRPr="007C1A02">
        <w:rPr>
          <w:iCs/>
          <w:lang w:val="en-US"/>
        </w:rPr>
        <w:t>v.</w:t>
      </w:r>
      <w:r w:rsidRPr="00EB70AD">
        <w:rPr>
          <w:i/>
        </w:rPr>
        <w:t xml:space="preserve"> </w:t>
      </w:r>
      <w:r w:rsidRPr="00EB70AD">
        <w:rPr>
          <w:i/>
          <w:lang w:val="en-US"/>
        </w:rPr>
        <w:t>Australia</w:t>
      </w:r>
      <w:r w:rsidRPr="00EB70AD">
        <w:t xml:space="preserve">, </w:t>
      </w:r>
      <w:r w:rsidRPr="00EB70AD">
        <w:rPr>
          <w:lang w:val="en-US"/>
        </w:rPr>
        <w:t>Views</w:t>
      </w:r>
      <w:r w:rsidRPr="00EB70AD">
        <w:t xml:space="preserve"> </w:t>
      </w:r>
      <w:r>
        <w:rPr>
          <w:lang w:val="en-US"/>
        </w:rPr>
        <w:t>adopted on</w:t>
      </w:r>
      <w:r w:rsidRPr="00EB70AD">
        <w:t xml:space="preserve"> 3 </w:t>
      </w:r>
      <w:r w:rsidRPr="00EB70AD">
        <w:rPr>
          <w:lang w:val="en-US"/>
        </w:rPr>
        <w:t>April</w:t>
      </w:r>
      <w:r w:rsidRPr="00EB70AD">
        <w:t xml:space="preserve"> 1997, </w:t>
      </w:r>
      <w:r>
        <w:rPr>
          <w:lang w:val="en-US"/>
        </w:rPr>
        <w:t>para. </w:t>
      </w:r>
      <w:r w:rsidRPr="00EB70AD">
        <w:t>9.5</w:t>
      </w:r>
      <w:r>
        <w:rPr>
          <w:lang w:val="en-US"/>
        </w:rPr>
        <w:t>,</w:t>
      </w:r>
      <w:r w:rsidRPr="00EB70AD">
        <w:t xml:space="preserve"> </w:t>
      </w:r>
      <w:r>
        <w:rPr>
          <w:lang w:val="en-US"/>
        </w:rPr>
        <w:t xml:space="preserve">and </w:t>
      </w:r>
      <w:r w:rsidRPr="00EB70AD">
        <w:rPr>
          <w:lang w:val="en-US"/>
        </w:rPr>
        <w:t>communication</w:t>
      </w:r>
      <w:r w:rsidRPr="00EB70AD">
        <w:t xml:space="preserve"> </w:t>
      </w:r>
      <w:r w:rsidRPr="00C548C5">
        <w:t>No.</w:t>
      </w:r>
      <w:r w:rsidRPr="003F5800">
        <w:rPr>
          <w:lang w:val="en-US"/>
        </w:rPr>
        <w:t> </w:t>
      </w:r>
      <w:r w:rsidRPr="00EB70AD">
        <w:t>1324/200</w:t>
      </w:r>
      <w:r>
        <w:rPr>
          <w:lang w:val="en-US"/>
        </w:rPr>
        <w:t>4</w:t>
      </w:r>
      <w:r w:rsidRPr="00EB70AD">
        <w:t xml:space="preserve">, </w:t>
      </w:r>
      <w:r w:rsidRPr="00EB70AD">
        <w:rPr>
          <w:i/>
          <w:lang w:val="en-US"/>
        </w:rPr>
        <w:t>Shafiq</w:t>
      </w:r>
      <w:r w:rsidRPr="00EB70AD">
        <w:rPr>
          <w:i/>
        </w:rPr>
        <w:t xml:space="preserve"> </w:t>
      </w:r>
      <w:r w:rsidRPr="007C1A02">
        <w:rPr>
          <w:iCs/>
          <w:lang w:val="en-US"/>
        </w:rPr>
        <w:t>v.</w:t>
      </w:r>
      <w:r w:rsidRPr="00EB70AD">
        <w:rPr>
          <w:i/>
        </w:rPr>
        <w:t xml:space="preserve"> </w:t>
      </w:r>
      <w:r w:rsidRPr="00EB70AD">
        <w:rPr>
          <w:i/>
          <w:lang w:val="en-US"/>
        </w:rPr>
        <w:t>Australia</w:t>
      </w:r>
      <w:r w:rsidRPr="00EB70AD">
        <w:t xml:space="preserve">, </w:t>
      </w:r>
      <w:r w:rsidRPr="00B301C6">
        <w:t>Views</w:t>
      </w:r>
      <w:r w:rsidRPr="00EB70AD">
        <w:t xml:space="preserve"> </w:t>
      </w:r>
      <w:r>
        <w:rPr>
          <w:lang w:val="en-US"/>
        </w:rPr>
        <w:t>adopted on</w:t>
      </w:r>
      <w:r w:rsidRPr="00EB70AD">
        <w:t xml:space="preserve"> 31 </w:t>
      </w:r>
      <w:r w:rsidRPr="00EB70AD">
        <w:rPr>
          <w:lang w:val="en-US"/>
        </w:rPr>
        <w:t>October</w:t>
      </w:r>
      <w:r w:rsidRPr="00EB70AD">
        <w:t xml:space="preserve"> 2006, </w:t>
      </w:r>
      <w:r w:rsidRPr="00EB70AD">
        <w:rPr>
          <w:lang w:val="en-US"/>
        </w:rPr>
        <w:t>para</w:t>
      </w:r>
      <w:r w:rsidRPr="003F5800">
        <w:rPr>
          <w:lang w:val="en-US"/>
        </w:rPr>
        <w:t>. </w:t>
      </w:r>
      <w:r>
        <w:t>7.4.</w:t>
      </w:r>
    </w:p>
  </w:footnote>
  <w:footnote w:id="15">
    <w:p w:rsidR="00C86947" w:rsidRPr="00EB70AD" w:rsidRDefault="00C86947" w:rsidP="003F5800">
      <w:pPr>
        <w:pStyle w:val="FootnoteText"/>
      </w:pPr>
      <w:r w:rsidRPr="003F5800">
        <w:rPr>
          <w:lang w:val="en-US"/>
        </w:rPr>
        <w:tab/>
      </w:r>
      <w:r>
        <w:rPr>
          <w:rStyle w:val="FootnoteReference"/>
        </w:rPr>
        <w:footnoteRef/>
      </w:r>
      <w:r w:rsidRPr="008B732C">
        <w:tab/>
      </w:r>
      <w:r w:rsidRPr="00EB70AD">
        <w:t>The author refers to</w:t>
      </w:r>
      <w:r w:rsidRPr="00EB70AD">
        <w:rPr>
          <w:b/>
        </w:rPr>
        <w:t xml:space="preserve"> </w:t>
      </w:r>
      <w:r w:rsidRPr="00EB70AD">
        <w:rPr>
          <w:lang w:val="en-US"/>
        </w:rPr>
        <w:t>communication</w:t>
      </w:r>
      <w:r w:rsidRPr="00EB70AD">
        <w:t xml:space="preserve"> </w:t>
      </w:r>
      <w:r w:rsidRPr="00C548C5">
        <w:t>No.</w:t>
      </w:r>
      <w:r w:rsidRPr="003F5800">
        <w:rPr>
          <w:lang w:val="en-US"/>
        </w:rPr>
        <w:t> </w:t>
      </w:r>
      <w:r w:rsidRPr="00EB70AD">
        <w:t xml:space="preserve">1172/2003, </w:t>
      </w:r>
      <w:r w:rsidRPr="00EB70AD">
        <w:rPr>
          <w:i/>
          <w:lang w:val="en-US"/>
        </w:rPr>
        <w:t>Abbassi</w:t>
      </w:r>
      <w:r w:rsidRPr="00EB70AD">
        <w:rPr>
          <w:i/>
        </w:rPr>
        <w:t xml:space="preserve"> </w:t>
      </w:r>
      <w:r w:rsidRPr="007C1A02">
        <w:rPr>
          <w:iCs/>
          <w:lang w:val="en-US"/>
        </w:rPr>
        <w:t>v.</w:t>
      </w:r>
      <w:r w:rsidRPr="00EB70AD">
        <w:rPr>
          <w:i/>
        </w:rPr>
        <w:t xml:space="preserve"> </w:t>
      </w:r>
      <w:r w:rsidRPr="00EB70AD">
        <w:rPr>
          <w:i/>
          <w:lang w:val="en-US"/>
        </w:rPr>
        <w:t>Algeria</w:t>
      </w:r>
      <w:r w:rsidRPr="00EB70AD">
        <w:t xml:space="preserve">, </w:t>
      </w:r>
      <w:r w:rsidRPr="00EB70AD">
        <w:rPr>
          <w:lang w:val="en-US"/>
        </w:rPr>
        <w:t>Views</w:t>
      </w:r>
      <w:r w:rsidRPr="00EB70AD">
        <w:t xml:space="preserve"> </w:t>
      </w:r>
      <w:r>
        <w:rPr>
          <w:lang w:val="en-US"/>
        </w:rPr>
        <w:t>adopted on</w:t>
      </w:r>
      <w:r w:rsidRPr="00EB70AD">
        <w:t xml:space="preserve"> 28 </w:t>
      </w:r>
      <w:r w:rsidRPr="00EB70AD">
        <w:rPr>
          <w:lang w:val="en-US"/>
        </w:rPr>
        <w:t>March</w:t>
      </w:r>
      <w:r w:rsidRPr="00EB70AD">
        <w:t xml:space="preserve"> 2007, </w:t>
      </w:r>
      <w:r w:rsidRPr="00F4101B">
        <w:t>para</w:t>
      </w:r>
      <w:r w:rsidRPr="003F5800">
        <w:rPr>
          <w:lang w:val="en-US"/>
        </w:rPr>
        <w:t>. </w:t>
      </w:r>
      <w:r w:rsidRPr="00EB70AD">
        <w:t>8.5</w:t>
      </w:r>
      <w:r>
        <w:rPr>
          <w:lang w:val="en-US"/>
        </w:rPr>
        <w:t>, and</w:t>
      </w:r>
      <w:r w:rsidRPr="00EB70AD">
        <w:t xml:space="preserve"> </w:t>
      </w:r>
      <w:r w:rsidRPr="00EB70AD">
        <w:rPr>
          <w:lang w:val="en-US"/>
        </w:rPr>
        <w:t>communication</w:t>
      </w:r>
      <w:r w:rsidRPr="00EB70AD">
        <w:t xml:space="preserve"> </w:t>
      </w:r>
      <w:r w:rsidRPr="00C548C5">
        <w:t>No.</w:t>
      </w:r>
      <w:r w:rsidRPr="003F5800">
        <w:rPr>
          <w:lang w:val="en-US"/>
        </w:rPr>
        <w:t> </w:t>
      </w:r>
      <w:r w:rsidRPr="00EB70AD">
        <w:t xml:space="preserve">1173/2003, </w:t>
      </w:r>
      <w:r w:rsidRPr="00EB70AD">
        <w:rPr>
          <w:i/>
          <w:lang w:val="en-US"/>
        </w:rPr>
        <w:t>Benhadj</w:t>
      </w:r>
      <w:r w:rsidRPr="00EB70AD">
        <w:rPr>
          <w:i/>
        </w:rPr>
        <w:t xml:space="preserve"> </w:t>
      </w:r>
      <w:r w:rsidRPr="007C1A02">
        <w:rPr>
          <w:iCs/>
          <w:lang w:val="en-US"/>
        </w:rPr>
        <w:t>v.</w:t>
      </w:r>
      <w:r w:rsidRPr="00EB70AD">
        <w:rPr>
          <w:i/>
        </w:rPr>
        <w:t xml:space="preserve"> </w:t>
      </w:r>
      <w:r w:rsidRPr="00EB70AD">
        <w:rPr>
          <w:i/>
          <w:lang w:val="en-US"/>
        </w:rPr>
        <w:t>Algeria</w:t>
      </w:r>
      <w:r w:rsidRPr="00EB70AD">
        <w:t xml:space="preserve">, </w:t>
      </w:r>
      <w:r w:rsidRPr="00EB70AD">
        <w:rPr>
          <w:lang w:val="en-US"/>
        </w:rPr>
        <w:t>Views</w:t>
      </w:r>
      <w:r w:rsidRPr="00EB70AD">
        <w:t xml:space="preserve"> </w:t>
      </w:r>
      <w:r>
        <w:rPr>
          <w:lang w:val="en-US"/>
        </w:rPr>
        <w:t>adopted on</w:t>
      </w:r>
      <w:r w:rsidRPr="00EB70AD">
        <w:t xml:space="preserve"> 20 </w:t>
      </w:r>
      <w:r w:rsidRPr="00EB70AD">
        <w:rPr>
          <w:lang w:val="en-US"/>
        </w:rPr>
        <w:t>July</w:t>
      </w:r>
      <w:r w:rsidRPr="00EB70AD">
        <w:t xml:space="preserve"> 2007, </w:t>
      </w:r>
      <w:r w:rsidRPr="00EB70AD">
        <w:rPr>
          <w:lang w:val="en-US"/>
        </w:rPr>
        <w:t>para</w:t>
      </w:r>
      <w:r w:rsidRPr="003F5800">
        <w:rPr>
          <w:lang w:val="en-US"/>
        </w:rPr>
        <w:t>. </w:t>
      </w:r>
      <w:r w:rsidRPr="00EB70AD">
        <w:t>8.4.</w:t>
      </w:r>
    </w:p>
  </w:footnote>
  <w:footnote w:id="16">
    <w:p w:rsidR="00C86947" w:rsidRPr="00603DCC" w:rsidRDefault="00C86947" w:rsidP="00F4101B">
      <w:pPr>
        <w:pStyle w:val="FootnoteText"/>
      </w:pPr>
      <w:r w:rsidRPr="00A12481">
        <w:rPr>
          <w:lang w:val="en-US"/>
        </w:rPr>
        <w:tab/>
      </w:r>
      <w:r w:rsidRPr="00855508">
        <w:rPr>
          <w:rStyle w:val="FootnoteReference"/>
          <w:szCs w:val="18"/>
        </w:rPr>
        <w:footnoteRef/>
      </w:r>
      <w:r w:rsidRPr="008B732C">
        <w:tab/>
      </w:r>
      <w:r w:rsidRPr="00603DCC">
        <w:t>The author refers to</w:t>
      </w:r>
      <w:r w:rsidRPr="00603DCC">
        <w:rPr>
          <w:i/>
          <w:iCs/>
          <w:lang w:eastAsia="hi-IN" w:bidi="hi-IN"/>
        </w:rPr>
        <w:t xml:space="preserve"> </w:t>
      </w:r>
      <w:r>
        <w:rPr>
          <w:lang w:val="en-US"/>
        </w:rPr>
        <w:t>c</w:t>
      </w:r>
      <w:r>
        <w:t xml:space="preserve">ommunication </w:t>
      </w:r>
      <w:r w:rsidRPr="00C548C5">
        <w:t>No.</w:t>
      </w:r>
      <w:r w:rsidRPr="00F34A41">
        <w:rPr>
          <w:lang w:val="en-US"/>
        </w:rPr>
        <w:t> </w:t>
      </w:r>
      <w:r w:rsidRPr="00603DCC">
        <w:t xml:space="preserve">1418/2005, </w:t>
      </w:r>
      <w:r w:rsidRPr="007C1A02">
        <w:rPr>
          <w:i/>
          <w:iCs/>
        </w:rPr>
        <w:t>Iskiyaev</w:t>
      </w:r>
      <w:r w:rsidRPr="00B70D77">
        <w:rPr>
          <w:i/>
          <w:iCs/>
          <w:lang w:eastAsia="hi-IN" w:bidi="hi-IN"/>
        </w:rPr>
        <w:t xml:space="preserve"> </w:t>
      </w:r>
      <w:r w:rsidRPr="007C1A02">
        <w:rPr>
          <w:lang w:eastAsia="hi-IN" w:bidi="hi-IN"/>
        </w:rPr>
        <w:t>v.</w:t>
      </w:r>
      <w:r w:rsidRPr="00603DCC">
        <w:rPr>
          <w:i/>
          <w:iCs/>
          <w:lang w:eastAsia="hi-IN" w:bidi="hi-IN"/>
        </w:rPr>
        <w:t xml:space="preserve"> Uzbekistan</w:t>
      </w:r>
      <w:r w:rsidRPr="00603DCC">
        <w:t xml:space="preserve">, </w:t>
      </w:r>
      <w:r>
        <w:t xml:space="preserve">Views </w:t>
      </w:r>
      <w:r>
        <w:rPr>
          <w:lang w:val="en-US"/>
        </w:rPr>
        <w:t>adopted on</w:t>
      </w:r>
      <w:r>
        <w:t xml:space="preserve"> 20 March 2009, par</w:t>
      </w:r>
      <w:r w:rsidRPr="00F34A41">
        <w:rPr>
          <w:lang w:val="en-US"/>
        </w:rPr>
        <w:t>a. </w:t>
      </w:r>
      <w:r w:rsidRPr="00603DCC">
        <w:t>6.1.</w:t>
      </w:r>
    </w:p>
  </w:footnote>
  <w:footnote w:id="17">
    <w:p w:rsidR="00C86947" w:rsidRPr="00603DCC" w:rsidRDefault="00C86947" w:rsidP="00F4101B">
      <w:pPr>
        <w:pStyle w:val="FootnoteText"/>
      </w:pPr>
      <w:r w:rsidRPr="003F5800">
        <w:rPr>
          <w:lang w:val="en-US"/>
        </w:rPr>
        <w:tab/>
      </w:r>
      <w:r w:rsidRPr="00603DCC">
        <w:rPr>
          <w:rStyle w:val="FootnoteReference"/>
          <w:szCs w:val="18"/>
        </w:rPr>
        <w:footnoteRef/>
      </w:r>
      <w:r w:rsidRPr="008B732C">
        <w:tab/>
      </w:r>
      <w:r w:rsidRPr="00603DCC">
        <w:t>The author refers to</w:t>
      </w:r>
      <w:r>
        <w:t xml:space="preserve"> the case of</w:t>
      </w:r>
      <w:r w:rsidRPr="00603DCC">
        <w:t xml:space="preserve"> </w:t>
      </w:r>
      <w:r w:rsidRPr="00603DCC">
        <w:rPr>
          <w:i/>
          <w:iCs/>
        </w:rPr>
        <w:t xml:space="preserve">Tumilovich </w:t>
      </w:r>
      <w:r w:rsidRPr="007C1A02">
        <w:t>v.</w:t>
      </w:r>
      <w:r w:rsidRPr="00603DCC">
        <w:rPr>
          <w:i/>
          <w:iCs/>
        </w:rPr>
        <w:t xml:space="preserve"> Russia, </w:t>
      </w:r>
      <w:r w:rsidRPr="00603DCC">
        <w:rPr>
          <w:iCs/>
        </w:rPr>
        <w:t>Application No</w:t>
      </w:r>
      <w:r>
        <w:rPr>
          <w:iCs/>
          <w:lang w:val="en-US"/>
        </w:rPr>
        <w:t>.</w:t>
      </w:r>
      <w:r w:rsidRPr="00603DCC">
        <w:rPr>
          <w:iCs/>
        </w:rPr>
        <w:t xml:space="preserve"> </w:t>
      </w:r>
      <w:r w:rsidRPr="00603DCC">
        <w:t>47033/99, judg</w:t>
      </w:r>
      <w:r>
        <w:rPr>
          <w:lang w:val="en-US"/>
        </w:rPr>
        <w:t>e</w:t>
      </w:r>
      <w:r w:rsidRPr="00603DCC">
        <w:t>ment of 22 June 1999.</w:t>
      </w:r>
    </w:p>
  </w:footnote>
  <w:footnote w:id="18">
    <w:p w:rsidR="00C86947" w:rsidRPr="00F4101B" w:rsidRDefault="00C86947" w:rsidP="00F4101B">
      <w:pPr>
        <w:pStyle w:val="FootnoteText"/>
        <w:rPr>
          <w:rFonts w:eastAsia="TimesNewRoman"/>
        </w:rPr>
      </w:pPr>
      <w:r w:rsidRPr="00F34A41">
        <w:rPr>
          <w:lang w:val="en-US"/>
        </w:rPr>
        <w:tab/>
      </w:r>
      <w:r w:rsidRPr="00603DCC">
        <w:rPr>
          <w:rStyle w:val="FootnoteReference"/>
          <w:szCs w:val="18"/>
        </w:rPr>
        <w:footnoteRef/>
      </w:r>
      <w:r w:rsidRPr="008B732C">
        <w:tab/>
      </w:r>
      <w:r w:rsidRPr="00603DCC">
        <w:rPr>
          <w:rFonts w:eastAsia="TimesNewRoman"/>
          <w:lang w:eastAsia="hi-IN" w:bidi="hi-IN"/>
        </w:rPr>
        <w:t>The author submits copies of the petitions and the responses.</w:t>
      </w:r>
    </w:p>
  </w:footnote>
  <w:footnote w:id="19">
    <w:p w:rsidR="00C86947" w:rsidRPr="00DE63FC" w:rsidRDefault="00C86947" w:rsidP="008B732C">
      <w:pPr>
        <w:pStyle w:val="FootnoteText"/>
        <w:ind w:right="0"/>
      </w:pPr>
      <w:r>
        <w:tab/>
      </w:r>
      <w:r w:rsidRPr="00DE63FC">
        <w:rPr>
          <w:rStyle w:val="FootnoteReference"/>
        </w:rPr>
        <w:footnoteRef/>
      </w:r>
      <w:r w:rsidRPr="008B732C">
        <w:tab/>
      </w:r>
      <w:r>
        <w:t xml:space="preserve">Optional Protocol, </w:t>
      </w:r>
      <w:r>
        <w:rPr>
          <w:szCs w:val="18"/>
        </w:rPr>
        <w:t>p</w:t>
      </w:r>
      <w:r w:rsidRPr="00DE63FC">
        <w:rPr>
          <w:szCs w:val="18"/>
        </w:rPr>
        <w:t xml:space="preserve">reamble and </w:t>
      </w:r>
      <w:r>
        <w:rPr>
          <w:szCs w:val="18"/>
        </w:rPr>
        <w:t>art</w:t>
      </w:r>
      <w:r w:rsidR="00E90DE6">
        <w:rPr>
          <w:szCs w:val="18"/>
          <w:lang w:val="en-US"/>
        </w:rPr>
        <w:t>.</w:t>
      </w:r>
      <w:r>
        <w:rPr>
          <w:szCs w:val="18"/>
        </w:rPr>
        <w:t> </w:t>
      </w:r>
      <w:r w:rsidRPr="00DE63FC">
        <w:rPr>
          <w:szCs w:val="18"/>
        </w:rPr>
        <w:t>1.</w:t>
      </w:r>
    </w:p>
  </w:footnote>
  <w:footnote w:id="20">
    <w:p w:rsidR="00C86947" w:rsidRPr="00DE63FC" w:rsidRDefault="00C86947" w:rsidP="008B732C">
      <w:pPr>
        <w:pStyle w:val="FootnoteText"/>
        <w:ind w:right="0"/>
      </w:pPr>
      <w:r>
        <w:tab/>
      </w:r>
      <w:r w:rsidRPr="00DE63FC">
        <w:rPr>
          <w:rStyle w:val="FootnoteReference"/>
        </w:rPr>
        <w:footnoteRef/>
      </w:r>
      <w:r w:rsidRPr="008B732C">
        <w:tab/>
      </w:r>
      <w:r>
        <w:t xml:space="preserve">Ibid., </w:t>
      </w:r>
      <w:r>
        <w:rPr>
          <w:szCs w:val="18"/>
          <w:lang w:val="en-US"/>
        </w:rPr>
        <w:t>a</w:t>
      </w:r>
      <w:r>
        <w:rPr>
          <w:szCs w:val="18"/>
        </w:rPr>
        <w:t>rt</w:t>
      </w:r>
      <w:r>
        <w:rPr>
          <w:szCs w:val="18"/>
          <w:lang w:val="en-US"/>
        </w:rPr>
        <w:t>.</w:t>
      </w:r>
      <w:r>
        <w:rPr>
          <w:szCs w:val="18"/>
        </w:rPr>
        <w:t> </w:t>
      </w:r>
      <w:r w:rsidRPr="00DE63FC">
        <w:rPr>
          <w:szCs w:val="18"/>
        </w:rPr>
        <w:t xml:space="preserve">5, </w:t>
      </w:r>
      <w:r>
        <w:rPr>
          <w:szCs w:val="18"/>
        </w:rPr>
        <w:t>paras</w:t>
      </w:r>
      <w:r>
        <w:rPr>
          <w:szCs w:val="18"/>
          <w:lang w:val="en-US"/>
        </w:rPr>
        <w:t>.</w:t>
      </w:r>
      <w:r>
        <w:rPr>
          <w:szCs w:val="18"/>
        </w:rPr>
        <w:t> </w:t>
      </w:r>
      <w:r w:rsidRPr="00DE63FC">
        <w:rPr>
          <w:szCs w:val="18"/>
        </w:rPr>
        <w:t>1 and 4.</w:t>
      </w:r>
    </w:p>
  </w:footnote>
  <w:footnote w:id="21">
    <w:p w:rsidR="00C86947" w:rsidRPr="00665A01" w:rsidRDefault="00C86947" w:rsidP="00F34A41">
      <w:pPr>
        <w:pStyle w:val="FootnoteText"/>
      </w:pPr>
      <w:r>
        <w:tab/>
      </w:r>
      <w:r w:rsidRPr="00DE63FC">
        <w:rPr>
          <w:rStyle w:val="FootnoteReference"/>
        </w:rPr>
        <w:footnoteRef/>
      </w:r>
      <w:r w:rsidRPr="008B732C">
        <w:tab/>
      </w:r>
      <w:r w:rsidRPr="000C35B4">
        <w:t xml:space="preserve">See, </w:t>
      </w:r>
      <w:r w:rsidRPr="007C1A02">
        <w:rPr>
          <w:iCs/>
        </w:rPr>
        <w:t>inter alia</w:t>
      </w:r>
      <w:r w:rsidRPr="009E1447">
        <w:rPr>
          <w:iCs/>
        </w:rPr>
        <w:t>,</w:t>
      </w:r>
      <w:r w:rsidRPr="000C35B4">
        <w:t xml:space="preserve"> communications No</w:t>
      </w:r>
      <w:r>
        <w:t>.</w:t>
      </w:r>
      <w:r w:rsidRPr="00F34A41">
        <w:rPr>
          <w:lang w:val="en-US"/>
        </w:rPr>
        <w:t> </w:t>
      </w:r>
      <w:r w:rsidRPr="000C35B4">
        <w:t xml:space="preserve">869/1999, </w:t>
      </w:r>
      <w:r w:rsidRPr="00514ED5">
        <w:rPr>
          <w:i/>
          <w:iCs/>
        </w:rPr>
        <w:t>Piandiong et al.</w:t>
      </w:r>
      <w:r w:rsidRPr="00665A01">
        <w:rPr>
          <w:i/>
          <w:iCs/>
        </w:rPr>
        <w:t xml:space="preserve"> </w:t>
      </w:r>
      <w:r w:rsidRPr="00665A01">
        <w:t xml:space="preserve">v. </w:t>
      </w:r>
      <w:r w:rsidRPr="00665A01">
        <w:rPr>
          <w:i/>
          <w:iCs/>
        </w:rPr>
        <w:t>Philippines</w:t>
      </w:r>
      <w:r w:rsidRPr="00665A01">
        <w:t xml:space="preserve">, Views adopted on 19 October 2000, para. 5.1, and </w:t>
      </w:r>
      <w:r w:rsidRPr="00681E58">
        <w:t>No</w:t>
      </w:r>
      <w:r>
        <w:rPr>
          <w:lang w:val="en-US"/>
        </w:rPr>
        <w:t>s</w:t>
      </w:r>
      <w:r w:rsidRPr="00681E58">
        <w:t>.</w:t>
      </w:r>
      <w:r>
        <w:t xml:space="preserve"> </w:t>
      </w:r>
      <w:r w:rsidRPr="00681E58">
        <w:rPr>
          <w:bCs/>
        </w:rPr>
        <w:t>1461</w:t>
      </w:r>
      <w:r>
        <w:rPr>
          <w:bCs/>
          <w:lang w:val="en-US"/>
        </w:rPr>
        <w:t>/2006</w:t>
      </w:r>
      <w:r w:rsidRPr="00681E58">
        <w:rPr>
          <w:bCs/>
        </w:rPr>
        <w:t>,</w:t>
      </w:r>
      <w:r>
        <w:rPr>
          <w:bCs/>
        </w:rPr>
        <w:t xml:space="preserve"> </w:t>
      </w:r>
      <w:r w:rsidRPr="00681E58">
        <w:rPr>
          <w:bCs/>
        </w:rPr>
        <w:t>1462</w:t>
      </w:r>
      <w:r>
        <w:rPr>
          <w:bCs/>
          <w:lang w:val="en-US"/>
        </w:rPr>
        <w:t>/2006</w:t>
      </w:r>
      <w:r w:rsidRPr="00681E58">
        <w:rPr>
          <w:bCs/>
        </w:rPr>
        <w:t>,</w:t>
      </w:r>
      <w:r>
        <w:rPr>
          <w:bCs/>
        </w:rPr>
        <w:t xml:space="preserve"> </w:t>
      </w:r>
      <w:r w:rsidRPr="00681E58">
        <w:rPr>
          <w:bCs/>
        </w:rPr>
        <w:t>1476</w:t>
      </w:r>
      <w:r>
        <w:rPr>
          <w:bCs/>
          <w:lang w:val="en-US"/>
        </w:rPr>
        <w:t>/2006</w:t>
      </w:r>
      <w:r>
        <w:rPr>
          <w:bCs/>
        </w:rPr>
        <w:t xml:space="preserve"> </w:t>
      </w:r>
      <w:r>
        <w:rPr>
          <w:bCs/>
          <w:lang w:val="en-US"/>
        </w:rPr>
        <w:t>and</w:t>
      </w:r>
      <w:r w:rsidRPr="00681E58">
        <w:rPr>
          <w:bCs/>
        </w:rPr>
        <w:t xml:space="preserve"> 1477/2006</w:t>
      </w:r>
      <w:r>
        <w:rPr>
          <w:bCs/>
        </w:rPr>
        <w:t xml:space="preserve">, </w:t>
      </w:r>
      <w:r w:rsidRPr="00681E58">
        <w:rPr>
          <w:bCs/>
          <w:i/>
        </w:rPr>
        <w:t>Maksudov</w:t>
      </w:r>
      <w:r>
        <w:rPr>
          <w:bCs/>
          <w:i/>
        </w:rPr>
        <w:t xml:space="preserve"> et al.</w:t>
      </w:r>
      <w:r w:rsidRPr="00681E58">
        <w:rPr>
          <w:bCs/>
          <w:i/>
        </w:rPr>
        <w:t xml:space="preserve"> </w:t>
      </w:r>
      <w:r w:rsidRPr="007C1A02">
        <w:t>v.</w:t>
      </w:r>
      <w:r w:rsidRPr="00B104B2">
        <w:rPr>
          <w:i/>
        </w:rPr>
        <w:t xml:space="preserve"> </w:t>
      </w:r>
      <w:r w:rsidRPr="00681E58">
        <w:rPr>
          <w:bCs/>
          <w:i/>
        </w:rPr>
        <w:t>K</w:t>
      </w:r>
      <w:r>
        <w:rPr>
          <w:bCs/>
          <w:i/>
        </w:rPr>
        <w:t>y</w:t>
      </w:r>
      <w:r w:rsidRPr="00681E58">
        <w:rPr>
          <w:bCs/>
          <w:i/>
        </w:rPr>
        <w:t>rg</w:t>
      </w:r>
      <w:r>
        <w:rPr>
          <w:bCs/>
          <w:i/>
        </w:rPr>
        <w:t>y</w:t>
      </w:r>
      <w:r w:rsidRPr="00681E58">
        <w:rPr>
          <w:bCs/>
          <w:i/>
        </w:rPr>
        <w:t>z</w:t>
      </w:r>
      <w:r w:rsidRPr="00681E58">
        <w:rPr>
          <w:i/>
          <w:iCs/>
        </w:rPr>
        <w:t>stan</w:t>
      </w:r>
      <w:r w:rsidRPr="00665A01">
        <w:t xml:space="preserve">, Views adopted on </w:t>
      </w:r>
      <w:r>
        <w:t>16 July 2008</w:t>
      </w:r>
      <w:r w:rsidRPr="00665A01">
        <w:t>, para</w:t>
      </w:r>
      <w:r>
        <w:t>s</w:t>
      </w:r>
      <w:r w:rsidRPr="00F34A41">
        <w:rPr>
          <w:lang w:val="en-US"/>
        </w:rPr>
        <w:t>.</w:t>
      </w:r>
      <w:r>
        <w:rPr>
          <w:lang w:val="en-US"/>
        </w:rPr>
        <w:t> </w:t>
      </w:r>
      <w:r>
        <w:t>10.1–10.3</w:t>
      </w:r>
      <w:r w:rsidRPr="00665A01">
        <w:t>.</w:t>
      </w:r>
    </w:p>
  </w:footnote>
  <w:footnote w:id="22">
    <w:p w:rsidR="00C86947" w:rsidRPr="008F248E" w:rsidRDefault="00C86947" w:rsidP="00F4101B">
      <w:pPr>
        <w:pStyle w:val="FootnoteText"/>
      </w:pPr>
      <w:r w:rsidRPr="00F34A41">
        <w:rPr>
          <w:lang w:val="en-US"/>
        </w:rPr>
        <w:tab/>
      </w:r>
      <w:r>
        <w:rPr>
          <w:rStyle w:val="FootnoteReference"/>
        </w:rPr>
        <w:footnoteRef/>
      </w:r>
      <w:r w:rsidRPr="008B732C">
        <w:tab/>
      </w:r>
      <w:r>
        <w:t xml:space="preserve">See, </w:t>
      </w:r>
      <w:r w:rsidRPr="007C1A02">
        <w:rPr>
          <w:iCs/>
        </w:rPr>
        <w:t>inter alia</w:t>
      </w:r>
      <w:r w:rsidRPr="009E1447">
        <w:rPr>
          <w:iCs/>
        </w:rPr>
        <w:t>,</w:t>
      </w:r>
      <w:r>
        <w:t xml:space="preserve"> communication No.</w:t>
      </w:r>
      <w:r w:rsidRPr="00F34A41">
        <w:rPr>
          <w:lang w:val="en-US"/>
        </w:rPr>
        <w:t> </w:t>
      </w:r>
      <w:r w:rsidRPr="008F248E">
        <w:t>1226/2003</w:t>
      </w:r>
      <w:r>
        <w:t xml:space="preserve">, </w:t>
      </w:r>
      <w:r w:rsidRPr="008F248E">
        <w:rPr>
          <w:i/>
        </w:rPr>
        <w:t xml:space="preserve">Korneenko </w:t>
      </w:r>
      <w:r w:rsidRPr="007C1A02">
        <w:rPr>
          <w:iCs/>
        </w:rPr>
        <w:t>v.</w:t>
      </w:r>
      <w:r w:rsidRPr="008F248E">
        <w:rPr>
          <w:i/>
        </w:rPr>
        <w:t xml:space="preserve"> Belarus</w:t>
      </w:r>
      <w:r>
        <w:t xml:space="preserve">, Views adopted on 20 July 2012, </w:t>
      </w:r>
      <w:r w:rsidRPr="00F4101B">
        <w:t>para</w:t>
      </w:r>
      <w:r w:rsidRPr="00F34A41">
        <w:rPr>
          <w:lang w:val="en-US"/>
        </w:rPr>
        <w:t>. </w:t>
      </w:r>
      <w:r>
        <w:t>8.2.</w:t>
      </w:r>
    </w:p>
  </w:footnote>
  <w:footnote w:id="23">
    <w:p w:rsidR="00C86947" w:rsidRPr="003D12CB" w:rsidRDefault="00C86947" w:rsidP="00F34A41">
      <w:pPr>
        <w:pStyle w:val="FootnoteText"/>
      </w:pPr>
      <w:r w:rsidRPr="003D12CB">
        <w:tab/>
      </w:r>
      <w:r w:rsidRPr="00606B30">
        <w:rPr>
          <w:rStyle w:val="FootnoteReference"/>
        </w:rPr>
        <w:footnoteRef/>
      </w:r>
      <w:r w:rsidRPr="003D12CB">
        <w:tab/>
        <w:t>See communications No.</w:t>
      </w:r>
      <w:r w:rsidRPr="00F34A41">
        <w:rPr>
          <w:lang w:val="en-US"/>
        </w:rPr>
        <w:t> </w:t>
      </w:r>
      <w:r w:rsidRPr="003D12CB">
        <w:t xml:space="preserve">2202/2012, </w:t>
      </w:r>
      <w:r w:rsidR="00C3487A" w:rsidRPr="007C1A02">
        <w:rPr>
          <w:i/>
        </w:rPr>
        <w:t>Rodríguez</w:t>
      </w:r>
      <w:r w:rsidR="00C3487A">
        <w:t xml:space="preserve"> </w:t>
      </w:r>
      <w:r w:rsidRPr="0099569A">
        <w:rPr>
          <w:i/>
        </w:rPr>
        <w:t xml:space="preserve">Castañeda </w:t>
      </w:r>
      <w:r w:rsidRPr="007C1A02">
        <w:rPr>
          <w:iCs/>
        </w:rPr>
        <w:t>v.</w:t>
      </w:r>
      <w:r w:rsidRPr="0099569A">
        <w:rPr>
          <w:i/>
        </w:rPr>
        <w:t xml:space="preserve"> Mexico</w:t>
      </w:r>
      <w:r w:rsidRPr="003D12CB">
        <w:t xml:space="preserve">, </w:t>
      </w:r>
      <w:r w:rsidR="00C3487A">
        <w:t>Views</w:t>
      </w:r>
      <w:r w:rsidRPr="003D12CB">
        <w:t xml:space="preserve"> a</w:t>
      </w:r>
      <w:r>
        <w:t xml:space="preserve">dopted on </w:t>
      </w:r>
      <w:r w:rsidR="00C3487A">
        <w:t>18</w:t>
      </w:r>
      <w:r>
        <w:t xml:space="preserve"> </w:t>
      </w:r>
      <w:r w:rsidR="00C3487A">
        <w:t>July</w:t>
      </w:r>
      <w:r>
        <w:t xml:space="preserve"> 2013, para.</w:t>
      </w:r>
      <w:r w:rsidRPr="00F34A41">
        <w:rPr>
          <w:lang w:val="en-US"/>
        </w:rPr>
        <w:t> </w:t>
      </w:r>
      <w:r>
        <w:t>6.8, No.</w:t>
      </w:r>
      <w:r w:rsidRPr="00F34A41">
        <w:rPr>
          <w:lang w:val="en-US"/>
        </w:rPr>
        <w:t> </w:t>
      </w:r>
      <w:r w:rsidRPr="003D12CB">
        <w:t xml:space="preserve">1834/2008, </w:t>
      </w:r>
      <w:r w:rsidRPr="0099569A">
        <w:rPr>
          <w:i/>
        </w:rPr>
        <w:t xml:space="preserve">A.P. </w:t>
      </w:r>
      <w:r w:rsidRPr="007C1A02">
        <w:rPr>
          <w:iCs/>
        </w:rPr>
        <w:t>v.</w:t>
      </w:r>
      <w:r w:rsidRPr="0099569A">
        <w:rPr>
          <w:i/>
        </w:rPr>
        <w:t xml:space="preserve"> Ukraine</w:t>
      </w:r>
      <w:r w:rsidRPr="003D12CB">
        <w:t xml:space="preserve">, </w:t>
      </w:r>
      <w:r w:rsidRPr="00B301C6">
        <w:t>decision</w:t>
      </w:r>
      <w:r w:rsidR="00232E4C">
        <w:t xml:space="preserve"> of inadmissability</w:t>
      </w:r>
      <w:r w:rsidRPr="003D12CB">
        <w:t xml:space="preserve"> adopted on 2</w:t>
      </w:r>
      <w:r>
        <w:t>3 July 2012, para.</w:t>
      </w:r>
      <w:r w:rsidRPr="00F34A41">
        <w:rPr>
          <w:lang w:val="en-US"/>
        </w:rPr>
        <w:t> </w:t>
      </w:r>
      <w:r>
        <w:t>8.5, and No.</w:t>
      </w:r>
      <w:r w:rsidRPr="00F34A41">
        <w:rPr>
          <w:lang w:val="en-US"/>
        </w:rPr>
        <w:t> </w:t>
      </w:r>
      <w:r w:rsidRPr="003D12CB">
        <w:t xml:space="preserve">1887/2009, </w:t>
      </w:r>
      <w:r w:rsidRPr="0099569A">
        <w:rPr>
          <w:i/>
        </w:rPr>
        <w:t xml:space="preserve">Peirano Basso </w:t>
      </w:r>
      <w:r w:rsidRPr="007C1A02">
        <w:rPr>
          <w:iCs/>
        </w:rPr>
        <w:t>v.</w:t>
      </w:r>
      <w:r w:rsidRPr="0099569A">
        <w:rPr>
          <w:i/>
        </w:rPr>
        <w:t xml:space="preserve"> Uruguay</w:t>
      </w:r>
      <w:r w:rsidRPr="003D12CB">
        <w:t>, Views adopted on 19 October 2010, para.</w:t>
      </w:r>
      <w:r w:rsidRPr="00F34A41">
        <w:rPr>
          <w:lang w:val="en-US"/>
        </w:rPr>
        <w:t> </w:t>
      </w:r>
      <w:r w:rsidRPr="003D12CB">
        <w:t>9.4.</w:t>
      </w:r>
    </w:p>
  </w:footnote>
  <w:footnote w:id="24">
    <w:p w:rsidR="00C86947" w:rsidRPr="00540493" w:rsidRDefault="00C86947" w:rsidP="00F34A41">
      <w:pPr>
        <w:pStyle w:val="FootnoteText"/>
      </w:pPr>
      <w:r w:rsidRPr="00F34A41">
        <w:rPr>
          <w:lang w:val="en-US"/>
        </w:rPr>
        <w:tab/>
      </w:r>
      <w:r>
        <w:rPr>
          <w:rStyle w:val="FootnoteReference"/>
        </w:rPr>
        <w:footnoteRef/>
      </w:r>
      <w:r w:rsidRPr="008B732C">
        <w:tab/>
      </w:r>
      <w:r w:rsidRPr="00540493">
        <w:t>See also communication</w:t>
      </w:r>
      <w:r w:rsidR="00C3487A">
        <w:t>s</w:t>
      </w:r>
      <w:r w:rsidRPr="00540493">
        <w:t xml:space="preserve"> No.</w:t>
      </w:r>
      <w:r w:rsidRPr="00F34A41">
        <w:rPr>
          <w:lang w:val="en-US"/>
        </w:rPr>
        <w:t> </w:t>
      </w:r>
      <w:r w:rsidRPr="00540493">
        <w:t xml:space="preserve">1355/2005, </w:t>
      </w:r>
      <w:r w:rsidRPr="00540493">
        <w:rPr>
          <w:i/>
          <w:iCs/>
        </w:rPr>
        <w:t>X.</w:t>
      </w:r>
      <w:r w:rsidRPr="00F34A41">
        <w:rPr>
          <w:i/>
          <w:iCs/>
        </w:rPr>
        <w:t xml:space="preserve"> </w:t>
      </w:r>
      <w:r w:rsidRPr="007C1A02">
        <w:t>v.</w:t>
      </w:r>
      <w:r w:rsidRPr="00540493">
        <w:t xml:space="preserve"> </w:t>
      </w:r>
      <w:r w:rsidRPr="00540493">
        <w:rPr>
          <w:i/>
          <w:iCs/>
        </w:rPr>
        <w:t>Serbia</w:t>
      </w:r>
      <w:r w:rsidRPr="00540493">
        <w:t>,</w:t>
      </w:r>
      <w:r w:rsidR="000C529E">
        <w:t xml:space="preserve"> decision of</w:t>
      </w:r>
      <w:r w:rsidRPr="00540493">
        <w:t xml:space="preserve"> inadmissibility </w:t>
      </w:r>
      <w:r w:rsidR="000C529E">
        <w:t>adopted on</w:t>
      </w:r>
      <w:r>
        <w:t xml:space="preserve"> 26 March 2007, para.</w:t>
      </w:r>
      <w:r w:rsidRPr="00F34A41">
        <w:rPr>
          <w:lang w:val="en-US"/>
        </w:rPr>
        <w:t> </w:t>
      </w:r>
      <w:r>
        <w:t>6.3</w:t>
      </w:r>
      <w:r w:rsidR="00C3487A">
        <w:t>, and</w:t>
      </w:r>
      <w:r>
        <w:t xml:space="preserve"> No</w:t>
      </w:r>
      <w:r w:rsidRPr="00F34A41">
        <w:rPr>
          <w:lang w:val="en-US"/>
        </w:rPr>
        <w:t>.</w:t>
      </w:r>
      <w:r>
        <w:rPr>
          <w:lang w:val="en-US"/>
        </w:rPr>
        <w:t> </w:t>
      </w:r>
      <w:r>
        <w:t xml:space="preserve">2120/2011, </w:t>
      </w:r>
      <w:r w:rsidRPr="00540493">
        <w:rPr>
          <w:i/>
        </w:rPr>
        <w:t xml:space="preserve">Kovaleva and Kozyar </w:t>
      </w:r>
      <w:r w:rsidRPr="007C1A02">
        <w:rPr>
          <w:iCs/>
        </w:rPr>
        <w:t>v.</w:t>
      </w:r>
      <w:r w:rsidRPr="00540493">
        <w:rPr>
          <w:i/>
        </w:rPr>
        <w:t xml:space="preserve"> Belarus</w:t>
      </w:r>
      <w:r>
        <w:t>, Views of 29 October 2012, para</w:t>
      </w:r>
      <w:r w:rsidRPr="00F34A41">
        <w:rPr>
          <w:lang w:val="en-US"/>
        </w:rPr>
        <w:t>.</w:t>
      </w:r>
      <w:r>
        <w:rPr>
          <w:lang w:val="en-US"/>
        </w:rPr>
        <w:t> </w:t>
      </w:r>
      <w:r>
        <w:t>10.2.</w:t>
      </w:r>
    </w:p>
  </w:footnote>
  <w:footnote w:id="25">
    <w:p w:rsidR="00C86947" w:rsidRPr="00A5100E" w:rsidRDefault="00C86947" w:rsidP="00B301C6">
      <w:pPr>
        <w:pStyle w:val="FootnoteText"/>
      </w:pPr>
      <w:r w:rsidRPr="00F34A41">
        <w:rPr>
          <w:lang w:val="en-US"/>
        </w:rPr>
        <w:tab/>
      </w:r>
      <w:r>
        <w:rPr>
          <w:rStyle w:val="FootnoteReference"/>
        </w:rPr>
        <w:footnoteRef/>
      </w:r>
      <w:r w:rsidRPr="008B732C">
        <w:tab/>
      </w:r>
      <w:r w:rsidRPr="00806CE0">
        <w:t>See, for example, communication No.</w:t>
      </w:r>
      <w:r>
        <w:rPr>
          <w:lang w:val="en-US"/>
        </w:rPr>
        <w:t xml:space="preserve"> 1986/2010, </w:t>
      </w:r>
      <w:r w:rsidRPr="007C1A02">
        <w:rPr>
          <w:i/>
        </w:rPr>
        <w:t>Kozlov</w:t>
      </w:r>
      <w:r>
        <w:rPr>
          <w:i/>
          <w:lang w:val="en-US"/>
        </w:rPr>
        <w:t xml:space="preserve"> </w:t>
      </w:r>
      <w:r w:rsidRPr="007C1A02">
        <w:rPr>
          <w:iCs/>
          <w:lang w:val="en-US"/>
        </w:rPr>
        <w:t>v.</w:t>
      </w:r>
      <w:r>
        <w:rPr>
          <w:i/>
          <w:lang w:val="en-US"/>
        </w:rPr>
        <w:t xml:space="preserve"> Belarus</w:t>
      </w:r>
      <w:r w:rsidRPr="00F34A41">
        <w:rPr>
          <w:lang w:val="en-US"/>
        </w:rPr>
        <w:t>, Views adopted on 24 July 2014,</w:t>
      </w:r>
      <w:r w:rsidRPr="00806CE0">
        <w:t xml:space="preserve"> </w:t>
      </w:r>
      <w:r>
        <w:rPr>
          <w:lang w:val="en-US"/>
        </w:rPr>
        <w:t xml:space="preserve">para. 6.3. </w:t>
      </w:r>
    </w:p>
  </w:footnote>
  <w:footnote w:id="26">
    <w:p w:rsidR="00C86947" w:rsidRPr="00F4101B" w:rsidRDefault="00C86947" w:rsidP="00F34A41">
      <w:pPr>
        <w:pStyle w:val="FootnoteText"/>
        <w:rPr>
          <w:lang w:val="en-US"/>
        </w:rPr>
      </w:pPr>
      <w:r w:rsidRPr="00F34A41">
        <w:rPr>
          <w:lang w:val="en-US"/>
        </w:rPr>
        <w:tab/>
      </w:r>
      <w:r>
        <w:rPr>
          <w:rStyle w:val="FootnoteReference"/>
        </w:rPr>
        <w:footnoteRef/>
      </w:r>
      <w:r w:rsidRPr="00F34A41">
        <w:rPr>
          <w:lang w:val="en-US"/>
        </w:rPr>
        <w:tab/>
      </w:r>
      <w:r>
        <w:rPr>
          <w:lang w:val="en-US"/>
        </w:rPr>
        <w:t xml:space="preserve">See, for </w:t>
      </w:r>
      <w:r w:rsidRPr="00B301C6">
        <w:t>example</w:t>
      </w:r>
      <w:r>
        <w:rPr>
          <w:lang w:val="en-US"/>
        </w:rPr>
        <w:t>, communication</w:t>
      </w:r>
      <w:r w:rsidR="00BE000F">
        <w:rPr>
          <w:lang w:val="en-US"/>
        </w:rPr>
        <w:t>s</w:t>
      </w:r>
      <w:r>
        <w:rPr>
          <w:lang w:val="en-US"/>
        </w:rPr>
        <w:t xml:space="preserve"> No. 1085/2002, </w:t>
      </w:r>
      <w:r>
        <w:rPr>
          <w:i/>
          <w:lang w:val="en-US"/>
        </w:rPr>
        <w:t xml:space="preserve">Taright </w:t>
      </w:r>
      <w:r w:rsidR="00BE000F">
        <w:rPr>
          <w:i/>
          <w:lang w:val="en-US"/>
        </w:rPr>
        <w:t xml:space="preserve">et al. </w:t>
      </w:r>
      <w:r w:rsidRPr="007C1A02">
        <w:rPr>
          <w:iCs/>
          <w:lang w:val="en-US"/>
        </w:rPr>
        <w:t>v.</w:t>
      </w:r>
      <w:r>
        <w:rPr>
          <w:i/>
          <w:lang w:val="en-US"/>
        </w:rPr>
        <w:t xml:space="preserve"> </w:t>
      </w:r>
      <w:r w:rsidRPr="007C1A02">
        <w:rPr>
          <w:i/>
        </w:rPr>
        <w:t>Algeria</w:t>
      </w:r>
      <w:r>
        <w:rPr>
          <w:lang w:val="en-US"/>
        </w:rPr>
        <w:t>, Views adopted on 15 March 2006, paras. 8.3</w:t>
      </w:r>
      <w:r w:rsidR="00BE000F">
        <w:rPr>
          <w:lang w:val="en-US"/>
        </w:rPr>
        <w:t>–</w:t>
      </w:r>
      <w:r>
        <w:rPr>
          <w:lang w:val="en-US"/>
        </w:rPr>
        <w:t xml:space="preserve">8.4; No. 1178/2003, </w:t>
      </w:r>
      <w:r>
        <w:rPr>
          <w:i/>
          <w:lang w:val="en-US"/>
        </w:rPr>
        <w:t xml:space="preserve">Smantser </w:t>
      </w:r>
      <w:r w:rsidRPr="007C1A02">
        <w:rPr>
          <w:iCs/>
          <w:lang w:val="en-US"/>
        </w:rPr>
        <w:t>v.</w:t>
      </w:r>
      <w:r>
        <w:rPr>
          <w:i/>
          <w:lang w:val="en-US"/>
        </w:rPr>
        <w:t xml:space="preserve"> Belarus</w:t>
      </w:r>
      <w:r>
        <w:rPr>
          <w:lang w:val="en-US"/>
        </w:rPr>
        <w:t>, Views adopted on 23 October 2008, paras. 10.2</w:t>
      </w:r>
      <w:r w:rsidR="00BE000F">
        <w:rPr>
          <w:lang w:val="en-US"/>
        </w:rPr>
        <w:t>–</w:t>
      </w:r>
      <w:r>
        <w:rPr>
          <w:lang w:val="en-US"/>
        </w:rPr>
        <w:t xml:space="preserve">10.3; </w:t>
      </w:r>
      <w:r w:rsidR="00BE000F">
        <w:rPr>
          <w:lang w:val="en-US"/>
        </w:rPr>
        <w:t>and</w:t>
      </w:r>
      <w:r>
        <w:rPr>
          <w:lang w:val="en-US"/>
        </w:rPr>
        <w:t xml:space="preserve"> No. 1787/2008, </w:t>
      </w:r>
      <w:r>
        <w:rPr>
          <w:i/>
          <w:lang w:val="en-US"/>
        </w:rPr>
        <w:t xml:space="preserve">Kovsh </w:t>
      </w:r>
      <w:r w:rsidRPr="007C1A02">
        <w:rPr>
          <w:iCs/>
          <w:lang w:val="en-US"/>
        </w:rPr>
        <w:t>v.</w:t>
      </w:r>
      <w:r>
        <w:rPr>
          <w:i/>
          <w:lang w:val="en-US"/>
        </w:rPr>
        <w:t xml:space="preserve"> Belarus</w:t>
      </w:r>
      <w:r>
        <w:rPr>
          <w:lang w:val="en-US"/>
        </w:rPr>
        <w:t>, Views adopted on 27 March 2013, paras. 7.3</w:t>
      </w:r>
      <w:r w:rsidR="00BE000F">
        <w:rPr>
          <w:lang w:val="en-US"/>
        </w:rPr>
        <w:t>–</w:t>
      </w:r>
      <w:r>
        <w:rPr>
          <w:lang w:val="en-US"/>
        </w:rPr>
        <w:t xml:space="preserve">7.5. </w:t>
      </w:r>
    </w:p>
  </w:footnote>
  <w:footnote w:id="27">
    <w:p w:rsidR="00C86947" w:rsidRPr="000877BE" w:rsidRDefault="00C86947" w:rsidP="00B301C6">
      <w:pPr>
        <w:pStyle w:val="FootnoteText"/>
      </w:pPr>
      <w:r w:rsidRPr="00F34A41">
        <w:rPr>
          <w:lang w:val="en-US"/>
        </w:rPr>
        <w:tab/>
      </w:r>
      <w:r>
        <w:rPr>
          <w:rStyle w:val="FootnoteReference"/>
        </w:rPr>
        <w:footnoteRef/>
      </w:r>
      <w:r w:rsidRPr="008B732C">
        <w:tab/>
      </w:r>
      <w:r w:rsidRPr="000877BE">
        <w:t>See</w:t>
      </w:r>
      <w:r w:rsidR="00C61B71" w:rsidRPr="007C1A02">
        <w:rPr>
          <w:lang w:val="en-US"/>
        </w:rPr>
        <w:t>,</w:t>
      </w:r>
      <w:r w:rsidRPr="000877BE">
        <w:t xml:space="preserve"> </w:t>
      </w:r>
      <w:r w:rsidRPr="007C1A02">
        <w:t>inter alia</w:t>
      </w:r>
      <w:r w:rsidR="00C61B71" w:rsidRPr="007C1A02">
        <w:rPr>
          <w:lang w:val="en-US"/>
        </w:rPr>
        <w:t>,</w:t>
      </w:r>
      <w:r w:rsidRPr="000877BE">
        <w:t xml:space="preserve"> communication </w:t>
      </w:r>
      <w:r>
        <w:t>No</w:t>
      </w:r>
      <w:r w:rsidRPr="00F34A41">
        <w:rPr>
          <w:lang w:val="en-US"/>
        </w:rPr>
        <w:t>. </w:t>
      </w:r>
      <w:r w:rsidRPr="00B301C6">
        <w:t>1039</w:t>
      </w:r>
      <w:r w:rsidRPr="000877BE">
        <w:t>/2001,</w:t>
      </w:r>
      <w:r w:rsidRPr="000877BE">
        <w:rPr>
          <w:i/>
          <w:iCs/>
        </w:rPr>
        <w:t xml:space="preserve"> Zvozskov et al</w:t>
      </w:r>
      <w:r w:rsidRPr="00F34A41">
        <w:rPr>
          <w:i/>
          <w:iCs/>
        </w:rPr>
        <w:t xml:space="preserve">. </w:t>
      </w:r>
      <w:r w:rsidRPr="007C1A02">
        <w:t>v.</w:t>
      </w:r>
      <w:r w:rsidRPr="000877BE">
        <w:t xml:space="preserve"> </w:t>
      </w:r>
      <w:r w:rsidRPr="000877BE">
        <w:rPr>
          <w:i/>
          <w:iCs/>
        </w:rPr>
        <w:t>Belarus</w:t>
      </w:r>
      <w:r w:rsidRPr="007C1A02">
        <w:rPr>
          <w:iCs/>
        </w:rPr>
        <w:t>,</w:t>
      </w:r>
      <w:r>
        <w:rPr>
          <w:i/>
          <w:iCs/>
        </w:rPr>
        <w:t xml:space="preserve"> </w:t>
      </w:r>
      <w:r w:rsidRPr="000877BE">
        <w:t xml:space="preserve">Views </w:t>
      </w:r>
      <w:r w:rsidR="00C57288" w:rsidRPr="007C1A02">
        <w:rPr>
          <w:lang w:val="en-US"/>
        </w:rPr>
        <w:t>adopted on</w:t>
      </w:r>
      <w:r w:rsidRPr="000877BE">
        <w:t xml:space="preserve"> 17 October 2006,</w:t>
      </w:r>
      <w:r>
        <w:t xml:space="preserve"> para</w:t>
      </w:r>
      <w:r w:rsidRPr="00F34A41">
        <w:rPr>
          <w:lang w:val="en-US"/>
        </w:rPr>
        <w:t>. </w:t>
      </w:r>
      <w:r w:rsidRPr="000877BE">
        <w:t>7.2.</w:t>
      </w:r>
    </w:p>
  </w:footnote>
  <w:footnote w:id="28">
    <w:p w:rsidR="00C86947" w:rsidRPr="00551379" w:rsidRDefault="00C86947" w:rsidP="00F34A41">
      <w:pPr>
        <w:pStyle w:val="FootnoteText"/>
      </w:pPr>
      <w:r w:rsidRPr="00F34A41">
        <w:rPr>
          <w:lang w:val="en-US"/>
        </w:rPr>
        <w:tab/>
      </w:r>
      <w:r>
        <w:rPr>
          <w:rStyle w:val="FootnoteReference"/>
        </w:rPr>
        <w:footnoteRef/>
      </w:r>
      <w:r w:rsidRPr="008B732C">
        <w:tab/>
      </w:r>
      <w:r w:rsidRPr="00551379">
        <w:t>See</w:t>
      </w:r>
      <w:r w:rsidR="00E26043" w:rsidRPr="007C1A02">
        <w:rPr>
          <w:lang w:val="en-US"/>
        </w:rPr>
        <w:t>,</w:t>
      </w:r>
      <w:r w:rsidRPr="00551379">
        <w:t xml:space="preserve"> </w:t>
      </w:r>
      <w:r w:rsidRPr="007C1A02">
        <w:rPr>
          <w:iCs/>
        </w:rPr>
        <w:t>inter alia</w:t>
      </w:r>
      <w:r w:rsidR="00E26043" w:rsidRPr="007C1A02">
        <w:rPr>
          <w:iCs/>
          <w:lang w:val="en-US"/>
        </w:rPr>
        <w:t>,</w:t>
      </w:r>
      <w:r w:rsidRPr="00551379">
        <w:t xml:space="preserve"> communication No</w:t>
      </w:r>
      <w:r w:rsidRPr="00F34A41">
        <w:rPr>
          <w:lang w:val="en-US"/>
        </w:rPr>
        <w:t>.</w:t>
      </w:r>
      <w:r>
        <w:rPr>
          <w:lang w:val="en-US"/>
        </w:rPr>
        <w:t> </w:t>
      </w:r>
      <w:hyperlink r:id="rId1" w:history="1">
        <w:r w:rsidRPr="00551379">
          <w:rPr>
            <w:rStyle w:val="Hyperlink"/>
          </w:rPr>
          <w:t>1383/2005</w:t>
        </w:r>
      </w:hyperlink>
      <w:r w:rsidRPr="00551379">
        <w:t xml:space="preserve">, </w:t>
      </w:r>
      <w:r w:rsidRPr="00551379">
        <w:rPr>
          <w:i/>
        </w:rPr>
        <w:t>Katsora et al</w:t>
      </w:r>
      <w:r w:rsidR="00C61B71" w:rsidRPr="007C1A02">
        <w:rPr>
          <w:i/>
          <w:lang w:val="en-US"/>
        </w:rPr>
        <w:t>.</w:t>
      </w:r>
      <w:r w:rsidRPr="00551379">
        <w:rPr>
          <w:i/>
        </w:rPr>
        <w:t xml:space="preserve"> </w:t>
      </w:r>
      <w:r w:rsidRPr="007C1A02">
        <w:rPr>
          <w:iCs/>
        </w:rPr>
        <w:t>v.</w:t>
      </w:r>
      <w:r w:rsidRPr="00551379">
        <w:rPr>
          <w:i/>
        </w:rPr>
        <w:t xml:space="preserve"> Belarus</w:t>
      </w:r>
      <w:r w:rsidRPr="00551379">
        <w:t xml:space="preserve">, Views </w:t>
      </w:r>
      <w:r w:rsidR="00C57288" w:rsidRPr="007C1A02">
        <w:rPr>
          <w:lang w:val="en-US"/>
        </w:rPr>
        <w:t>adopted on</w:t>
      </w:r>
      <w:r w:rsidRPr="00551379">
        <w:t xml:space="preserve"> </w:t>
      </w:r>
      <w:r>
        <w:t>25 October 2010, para</w:t>
      </w:r>
      <w:r w:rsidRPr="00F34A41">
        <w:rPr>
          <w:lang w:val="en-US"/>
        </w:rPr>
        <w:t>.</w:t>
      </w:r>
      <w:r>
        <w:rPr>
          <w:lang w:val="en-US"/>
        </w:rPr>
        <w:t> </w:t>
      </w:r>
      <w:r>
        <w:t>8.3</w:t>
      </w:r>
      <w:r>
        <w:rPr>
          <w:lang w:val="en-US"/>
        </w:rPr>
        <w:t>;</w:t>
      </w:r>
      <w:r>
        <w:t xml:space="preserve"> </w:t>
      </w:r>
      <w:r w:rsidRPr="00551379">
        <w:rPr>
          <w:i/>
          <w:iCs/>
        </w:rPr>
        <w:t>Zvozskov et al.</w:t>
      </w:r>
      <w:r w:rsidRPr="00F34A41">
        <w:rPr>
          <w:i/>
          <w:iCs/>
        </w:rPr>
        <w:t xml:space="preserve"> </w:t>
      </w:r>
      <w:r w:rsidRPr="007C1A02">
        <w:t>v.</w:t>
      </w:r>
      <w:r w:rsidRPr="00551379">
        <w:t xml:space="preserve"> </w:t>
      </w:r>
      <w:r w:rsidRPr="00551379">
        <w:rPr>
          <w:i/>
          <w:iCs/>
        </w:rPr>
        <w:t>Belarus</w:t>
      </w:r>
      <w:r w:rsidRPr="00551379">
        <w:t>, para</w:t>
      </w:r>
      <w:r w:rsidRPr="00F34A41">
        <w:rPr>
          <w:lang w:val="en-US"/>
        </w:rPr>
        <w:t>.</w:t>
      </w:r>
      <w:r>
        <w:rPr>
          <w:lang w:val="en-US"/>
        </w:rPr>
        <w:t> </w:t>
      </w:r>
      <w:r w:rsidRPr="00551379">
        <w:t>7.</w:t>
      </w:r>
      <w:r>
        <w:t>4</w:t>
      </w:r>
      <w:r>
        <w:rPr>
          <w:lang w:val="en-US"/>
        </w:rPr>
        <w:t xml:space="preserve">; </w:t>
      </w:r>
      <w:r w:rsidR="00C61B71">
        <w:rPr>
          <w:lang w:val="en-US"/>
        </w:rPr>
        <w:t xml:space="preserve">and </w:t>
      </w:r>
      <w:r>
        <w:rPr>
          <w:lang w:val="en-US"/>
        </w:rPr>
        <w:t xml:space="preserve">communication No. 1478/2006, </w:t>
      </w:r>
      <w:r>
        <w:rPr>
          <w:i/>
          <w:lang w:val="en-US"/>
        </w:rPr>
        <w:t xml:space="preserve">Kungurov </w:t>
      </w:r>
      <w:r w:rsidRPr="007C1A02">
        <w:rPr>
          <w:iCs/>
          <w:lang w:val="en-US"/>
        </w:rPr>
        <w:t>v.</w:t>
      </w:r>
      <w:r>
        <w:rPr>
          <w:i/>
          <w:lang w:val="en-US"/>
        </w:rPr>
        <w:t xml:space="preserve"> Uzbekistan</w:t>
      </w:r>
      <w:r>
        <w:rPr>
          <w:lang w:val="en-US"/>
        </w:rPr>
        <w:t xml:space="preserve">, Views </w:t>
      </w:r>
      <w:r w:rsidR="00C57288">
        <w:rPr>
          <w:lang w:val="en-US"/>
        </w:rPr>
        <w:t>adopted on</w:t>
      </w:r>
      <w:r>
        <w:rPr>
          <w:lang w:val="en-US"/>
        </w:rPr>
        <w:t xml:space="preserve"> 20 July 2011, paras. 8.5</w:t>
      </w:r>
      <w:r w:rsidR="00C57288">
        <w:rPr>
          <w:lang w:val="en-US"/>
        </w:rPr>
        <w:t>–</w:t>
      </w:r>
      <w:r>
        <w:rPr>
          <w:lang w:val="en-US"/>
        </w:rPr>
        <w:t>8.9</w:t>
      </w:r>
      <w:r w:rsidRPr="00551379">
        <w:t>.</w:t>
      </w:r>
    </w:p>
  </w:footnote>
  <w:footnote w:id="29">
    <w:p w:rsidR="00C86947" w:rsidRPr="00F4101B" w:rsidRDefault="00C86947" w:rsidP="00B301C6">
      <w:pPr>
        <w:pStyle w:val="FootnoteText"/>
        <w:rPr>
          <w:lang w:val="en-US"/>
        </w:rPr>
      </w:pPr>
      <w:r w:rsidRPr="00FB2789">
        <w:tab/>
      </w:r>
      <w:r>
        <w:rPr>
          <w:rStyle w:val="FootnoteReference"/>
        </w:rPr>
        <w:footnoteRef/>
      </w:r>
      <w:r>
        <w:rPr>
          <w:lang w:val="fr-CH"/>
        </w:rPr>
        <w:tab/>
      </w:r>
      <w:r>
        <w:rPr>
          <w:lang w:val="en-US"/>
        </w:rPr>
        <w:t xml:space="preserve">See </w:t>
      </w:r>
      <w:r w:rsidR="00C57288">
        <w:rPr>
          <w:lang w:val="en-US"/>
        </w:rPr>
        <w:t>foot</w:t>
      </w:r>
      <w:r w:rsidRPr="00B301C6">
        <w:t>note</w:t>
      </w:r>
      <w:r>
        <w:rPr>
          <w:lang w:val="en-US"/>
        </w:rPr>
        <w:t xml:space="preserve"> 2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947" w:rsidRPr="00727449" w:rsidRDefault="00C86947">
    <w:pPr>
      <w:pStyle w:val="Header"/>
    </w:pPr>
    <w:r>
      <w:t>CCPR/C/112/D/</w:t>
    </w:r>
    <w:r w:rsidRPr="00921817">
      <w:t>2165/2012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947" w:rsidRPr="00727449" w:rsidRDefault="00C86947" w:rsidP="001E7626">
    <w:pPr>
      <w:pStyle w:val="Header"/>
      <w:jc w:val="right"/>
    </w:pPr>
    <w:r>
      <w:t>CCPR/C/112/D/</w:t>
    </w:r>
    <w:r w:rsidRPr="00921817">
      <w:t>2165/2012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83CD0"/>
    <w:multiLevelType w:val="hybridMultilevel"/>
    <w:tmpl w:val="6F209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9111D"/>
    <w:multiLevelType w:val="hybridMultilevel"/>
    <w:tmpl w:val="535A20C6"/>
    <w:lvl w:ilvl="0" w:tplc="857A2420">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30375C61"/>
    <w:multiLevelType w:val="hybridMultilevel"/>
    <w:tmpl w:val="7F9C194E"/>
    <w:lvl w:ilvl="0" w:tplc="857A2420">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30474C54"/>
    <w:multiLevelType w:val="hybridMultilevel"/>
    <w:tmpl w:val="D70A5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E50CDE"/>
    <w:multiLevelType w:val="hybridMultilevel"/>
    <w:tmpl w:val="BF70A274"/>
    <w:lvl w:ilvl="0" w:tplc="857A2420">
      <w:start w:val="1"/>
      <w:numFmt w:val="lowerRoman"/>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8E2405"/>
    <w:multiLevelType w:val="hybridMultilevel"/>
    <w:tmpl w:val="04B8561C"/>
    <w:lvl w:ilvl="0" w:tplc="F920F89C">
      <w:start w:val="1"/>
      <w:numFmt w:val="upperRoman"/>
      <w:lvlText w:val="%1."/>
      <w:lvlJc w:val="left"/>
      <w:pPr>
        <w:ind w:left="683" w:hanging="568"/>
      </w:pPr>
      <w:rPr>
        <w:rFonts w:ascii="Arial Narrow" w:eastAsia="Arial Narrow" w:hAnsi="Arial Narrow" w:hint="default"/>
        <w:b/>
        <w:bCs/>
        <w:sz w:val="28"/>
        <w:szCs w:val="28"/>
      </w:rPr>
    </w:lvl>
    <w:lvl w:ilvl="1" w:tplc="033454BA">
      <w:start w:val="1"/>
      <w:numFmt w:val="decimal"/>
      <w:lvlText w:val="%2."/>
      <w:lvlJc w:val="left"/>
      <w:pPr>
        <w:ind w:left="683" w:hanging="564"/>
      </w:pPr>
      <w:rPr>
        <w:rFonts w:ascii="Arial Narrow" w:eastAsia="Arial Narrow" w:hAnsi="Arial Narrow" w:hint="default"/>
        <w:sz w:val="24"/>
        <w:szCs w:val="24"/>
      </w:rPr>
    </w:lvl>
    <w:lvl w:ilvl="2" w:tplc="CCB84ABC">
      <w:start w:val="1"/>
      <w:numFmt w:val="bullet"/>
      <w:lvlText w:val="•"/>
      <w:lvlJc w:val="left"/>
      <w:pPr>
        <w:ind w:left="683" w:hanging="564"/>
      </w:pPr>
      <w:rPr>
        <w:rFonts w:hint="default"/>
      </w:rPr>
    </w:lvl>
    <w:lvl w:ilvl="3" w:tplc="97FAFF00">
      <w:start w:val="1"/>
      <w:numFmt w:val="bullet"/>
      <w:lvlText w:val="•"/>
      <w:lvlJc w:val="left"/>
      <w:pPr>
        <w:ind w:left="1831" w:hanging="564"/>
      </w:pPr>
      <w:rPr>
        <w:rFonts w:hint="default"/>
      </w:rPr>
    </w:lvl>
    <w:lvl w:ilvl="4" w:tplc="67E2A7E2">
      <w:start w:val="1"/>
      <w:numFmt w:val="bullet"/>
      <w:lvlText w:val="•"/>
      <w:lvlJc w:val="left"/>
      <w:pPr>
        <w:ind w:left="2979" w:hanging="564"/>
      </w:pPr>
      <w:rPr>
        <w:rFonts w:hint="default"/>
      </w:rPr>
    </w:lvl>
    <w:lvl w:ilvl="5" w:tplc="FB36F030">
      <w:start w:val="1"/>
      <w:numFmt w:val="bullet"/>
      <w:lvlText w:val="•"/>
      <w:lvlJc w:val="left"/>
      <w:pPr>
        <w:ind w:left="4127" w:hanging="564"/>
      </w:pPr>
      <w:rPr>
        <w:rFonts w:hint="default"/>
      </w:rPr>
    </w:lvl>
    <w:lvl w:ilvl="6" w:tplc="1F58D6E4">
      <w:start w:val="1"/>
      <w:numFmt w:val="bullet"/>
      <w:lvlText w:val="•"/>
      <w:lvlJc w:val="left"/>
      <w:pPr>
        <w:ind w:left="5274" w:hanging="564"/>
      </w:pPr>
      <w:rPr>
        <w:rFonts w:hint="default"/>
      </w:rPr>
    </w:lvl>
    <w:lvl w:ilvl="7" w:tplc="86F0064C">
      <w:start w:val="1"/>
      <w:numFmt w:val="bullet"/>
      <w:lvlText w:val="•"/>
      <w:lvlJc w:val="left"/>
      <w:pPr>
        <w:ind w:left="6422" w:hanging="564"/>
      </w:pPr>
      <w:rPr>
        <w:rFonts w:hint="default"/>
      </w:rPr>
    </w:lvl>
    <w:lvl w:ilvl="8" w:tplc="E2266E5E">
      <w:start w:val="1"/>
      <w:numFmt w:val="bullet"/>
      <w:lvlText w:val="•"/>
      <w:lvlJc w:val="left"/>
      <w:pPr>
        <w:ind w:left="7570" w:hanging="564"/>
      </w:pPr>
      <w:rPr>
        <w:rFonts w:hint="default"/>
      </w:rPr>
    </w:lvl>
  </w:abstractNum>
  <w:abstractNum w:abstractNumId="8" w15:restartNumberingAfterBreak="0">
    <w:nsid w:val="55AF6888"/>
    <w:multiLevelType w:val="hybridMultilevel"/>
    <w:tmpl w:val="00AC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E2371B"/>
    <w:multiLevelType w:val="hybridMultilevel"/>
    <w:tmpl w:val="A846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243555"/>
    <w:multiLevelType w:val="hybridMultilevel"/>
    <w:tmpl w:val="7422DF72"/>
    <w:lvl w:ilvl="0" w:tplc="857A2420">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76C66431"/>
    <w:multiLevelType w:val="hybridMultilevel"/>
    <w:tmpl w:val="0ABC3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4"/>
  </w:num>
  <w:num w:numId="5">
    <w:abstractNumId w:val="3"/>
  </w:num>
  <w:num w:numId="6">
    <w:abstractNumId w:val="11"/>
  </w:num>
  <w:num w:numId="7">
    <w:abstractNumId w:val="7"/>
  </w:num>
  <w:num w:numId="8">
    <w:abstractNumId w:val="0"/>
  </w:num>
  <w:num w:numId="9">
    <w:abstractNumId w:val="8"/>
  </w:num>
  <w:num w:numId="10">
    <w:abstractNumId w:val="5"/>
  </w:num>
  <w:num w:numId="11">
    <w:abstractNumId w:val="2"/>
  </w:num>
  <w:num w:numId="12">
    <w:abstractNumId w:val="12"/>
  </w:num>
  <w:num w:numId="1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GB" w:vendorID="2" w:dllVersion="6" w:checkStyle="1"/>
  <w:activeWritingStyle w:appName="MSWord" w:lang="it-IT" w:vendorID="3" w:dllVersion="517"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7449"/>
    <w:rsid w:val="0000248D"/>
    <w:rsid w:val="000113B8"/>
    <w:rsid w:val="00030543"/>
    <w:rsid w:val="0003348E"/>
    <w:rsid w:val="00037922"/>
    <w:rsid w:val="00046610"/>
    <w:rsid w:val="00050225"/>
    <w:rsid w:val="000560EA"/>
    <w:rsid w:val="00061458"/>
    <w:rsid w:val="0006362E"/>
    <w:rsid w:val="000658C9"/>
    <w:rsid w:val="00066DD2"/>
    <w:rsid w:val="0006702B"/>
    <w:rsid w:val="00067923"/>
    <w:rsid w:val="00073840"/>
    <w:rsid w:val="00075FA7"/>
    <w:rsid w:val="0008108E"/>
    <w:rsid w:val="00081895"/>
    <w:rsid w:val="00082E45"/>
    <w:rsid w:val="00085709"/>
    <w:rsid w:val="00091424"/>
    <w:rsid w:val="000B5FB6"/>
    <w:rsid w:val="000C3175"/>
    <w:rsid w:val="000C529E"/>
    <w:rsid w:val="000D0525"/>
    <w:rsid w:val="000E01FD"/>
    <w:rsid w:val="000E0701"/>
    <w:rsid w:val="000E1B72"/>
    <w:rsid w:val="000E30A5"/>
    <w:rsid w:val="000E4FBD"/>
    <w:rsid w:val="001149FD"/>
    <w:rsid w:val="00116040"/>
    <w:rsid w:val="00116906"/>
    <w:rsid w:val="001323FE"/>
    <w:rsid w:val="00136A5D"/>
    <w:rsid w:val="0013707F"/>
    <w:rsid w:val="00151073"/>
    <w:rsid w:val="001527F0"/>
    <w:rsid w:val="001529FE"/>
    <w:rsid w:val="00164072"/>
    <w:rsid w:val="001658BD"/>
    <w:rsid w:val="001705AA"/>
    <w:rsid w:val="00170FB6"/>
    <w:rsid w:val="00175D5E"/>
    <w:rsid w:val="00177678"/>
    <w:rsid w:val="001854AF"/>
    <w:rsid w:val="00185891"/>
    <w:rsid w:val="00191A49"/>
    <w:rsid w:val="001952EF"/>
    <w:rsid w:val="001A18A0"/>
    <w:rsid w:val="001C19BB"/>
    <w:rsid w:val="001C1F60"/>
    <w:rsid w:val="001D0C5C"/>
    <w:rsid w:val="001E61B2"/>
    <w:rsid w:val="001E7626"/>
    <w:rsid w:val="00205117"/>
    <w:rsid w:val="00211CED"/>
    <w:rsid w:val="00216C09"/>
    <w:rsid w:val="00220329"/>
    <w:rsid w:val="00222585"/>
    <w:rsid w:val="0023259C"/>
    <w:rsid w:val="00232E4C"/>
    <w:rsid w:val="00233491"/>
    <w:rsid w:val="002431FA"/>
    <w:rsid w:val="00245062"/>
    <w:rsid w:val="00253472"/>
    <w:rsid w:val="002566DA"/>
    <w:rsid w:val="00256938"/>
    <w:rsid w:val="00263C1A"/>
    <w:rsid w:val="00271126"/>
    <w:rsid w:val="002744D7"/>
    <w:rsid w:val="002810CF"/>
    <w:rsid w:val="00284AF0"/>
    <w:rsid w:val="002856D5"/>
    <w:rsid w:val="00287958"/>
    <w:rsid w:val="0029365B"/>
    <w:rsid w:val="002A48AC"/>
    <w:rsid w:val="002B478E"/>
    <w:rsid w:val="002B60E4"/>
    <w:rsid w:val="002C46F8"/>
    <w:rsid w:val="002D4AD3"/>
    <w:rsid w:val="002E00D3"/>
    <w:rsid w:val="002E4179"/>
    <w:rsid w:val="002E5095"/>
    <w:rsid w:val="002F0C83"/>
    <w:rsid w:val="002F28A9"/>
    <w:rsid w:val="003013E5"/>
    <w:rsid w:val="00301BE8"/>
    <w:rsid w:val="0030219C"/>
    <w:rsid w:val="00304B09"/>
    <w:rsid w:val="003068D3"/>
    <w:rsid w:val="00320475"/>
    <w:rsid w:val="003225FF"/>
    <w:rsid w:val="003231D2"/>
    <w:rsid w:val="003416E5"/>
    <w:rsid w:val="00343C7A"/>
    <w:rsid w:val="00351444"/>
    <w:rsid w:val="00357820"/>
    <w:rsid w:val="00361EF4"/>
    <w:rsid w:val="0036267A"/>
    <w:rsid w:val="00363732"/>
    <w:rsid w:val="00373644"/>
    <w:rsid w:val="00377E53"/>
    <w:rsid w:val="0038009C"/>
    <w:rsid w:val="00385091"/>
    <w:rsid w:val="00391679"/>
    <w:rsid w:val="00393328"/>
    <w:rsid w:val="0039433F"/>
    <w:rsid w:val="00395501"/>
    <w:rsid w:val="00397477"/>
    <w:rsid w:val="003A51B6"/>
    <w:rsid w:val="003B0798"/>
    <w:rsid w:val="003B5946"/>
    <w:rsid w:val="003B5F8E"/>
    <w:rsid w:val="003C1C40"/>
    <w:rsid w:val="003D1C80"/>
    <w:rsid w:val="003D2591"/>
    <w:rsid w:val="003E4971"/>
    <w:rsid w:val="003E51A2"/>
    <w:rsid w:val="003F5800"/>
    <w:rsid w:val="003F63DD"/>
    <w:rsid w:val="003F6BF1"/>
    <w:rsid w:val="00403266"/>
    <w:rsid w:val="00404874"/>
    <w:rsid w:val="0040616A"/>
    <w:rsid w:val="004061F3"/>
    <w:rsid w:val="00432777"/>
    <w:rsid w:val="004327E3"/>
    <w:rsid w:val="0043569A"/>
    <w:rsid w:val="00444C5B"/>
    <w:rsid w:val="00445A86"/>
    <w:rsid w:val="00446130"/>
    <w:rsid w:val="004517F8"/>
    <w:rsid w:val="00453B1D"/>
    <w:rsid w:val="00455532"/>
    <w:rsid w:val="0046141E"/>
    <w:rsid w:val="00473D1E"/>
    <w:rsid w:val="00481403"/>
    <w:rsid w:val="00493C61"/>
    <w:rsid w:val="00495CC1"/>
    <w:rsid w:val="004B5BDF"/>
    <w:rsid w:val="004C019F"/>
    <w:rsid w:val="004C1CD4"/>
    <w:rsid w:val="004D411C"/>
    <w:rsid w:val="004E64A9"/>
    <w:rsid w:val="004F0516"/>
    <w:rsid w:val="004F08F6"/>
    <w:rsid w:val="00512E4D"/>
    <w:rsid w:val="00536BA0"/>
    <w:rsid w:val="00540F14"/>
    <w:rsid w:val="005412FE"/>
    <w:rsid w:val="005538D5"/>
    <w:rsid w:val="00555B76"/>
    <w:rsid w:val="00561243"/>
    <w:rsid w:val="00564425"/>
    <w:rsid w:val="00573669"/>
    <w:rsid w:val="00574D42"/>
    <w:rsid w:val="00582907"/>
    <w:rsid w:val="00584425"/>
    <w:rsid w:val="005908AB"/>
    <w:rsid w:val="00592594"/>
    <w:rsid w:val="005951FF"/>
    <w:rsid w:val="00596C10"/>
    <w:rsid w:val="00597047"/>
    <w:rsid w:val="005A71A8"/>
    <w:rsid w:val="005C1203"/>
    <w:rsid w:val="005C53D3"/>
    <w:rsid w:val="005D14BB"/>
    <w:rsid w:val="005D62BF"/>
    <w:rsid w:val="005E26ED"/>
    <w:rsid w:val="005F4872"/>
    <w:rsid w:val="005F5822"/>
    <w:rsid w:val="00603DE5"/>
    <w:rsid w:val="006050A7"/>
    <w:rsid w:val="00635F56"/>
    <w:rsid w:val="00636F18"/>
    <w:rsid w:val="00646159"/>
    <w:rsid w:val="00662294"/>
    <w:rsid w:val="00676BA7"/>
    <w:rsid w:val="00676E61"/>
    <w:rsid w:val="0069021C"/>
    <w:rsid w:val="00694245"/>
    <w:rsid w:val="006B03CE"/>
    <w:rsid w:val="006B077B"/>
    <w:rsid w:val="006B1C88"/>
    <w:rsid w:val="006B2F3B"/>
    <w:rsid w:val="006B36C5"/>
    <w:rsid w:val="006C68E9"/>
    <w:rsid w:val="006E05F1"/>
    <w:rsid w:val="006E1472"/>
    <w:rsid w:val="006E792E"/>
    <w:rsid w:val="006F614C"/>
    <w:rsid w:val="00700612"/>
    <w:rsid w:val="00705ACF"/>
    <w:rsid w:val="00705C4F"/>
    <w:rsid w:val="00710297"/>
    <w:rsid w:val="00711A3D"/>
    <w:rsid w:val="00712940"/>
    <w:rsid w:val="00725C2B"/>
    <w:rsid w:val="00727449"/>
    <w:rsid w:val="00740C31"/>
    <w:rsid w:val="00740DA3"/>
    <w:rsid w:val="00747EF0"/>
    <w:rsid w:val="00756EA4"/>
    <w:rsid w:val="0075722D"/>
    <w:rsid w:val="00762374"/>
    <w:rsid w:val="0076559F"/>
    <w:rsid w:val="00785180"/>
    <w:rsid w:val="0079226E"/>
    <w:rsid w:val="007A0858"/>
    <w:rsid w:val="007C1A02"/>
    <w:rsid w:val="007C737D"/>
    <w:rsid w:val="007E01C4"/>
    <w:rsid w:val="007E653B"/>
    <w:rsid w:val="007E7747"/>
    <w:rsid w:val="007F50A9"/>
    <w:rsid w:val="008022EF"/>
    <w:rsid w:val="00807B79"/>
    <w:rsid w:val="00816E8C"/>
    <w:rsid w:val="008171FB"/>
    <w:rsid w:val="0082773E"/>
    <w:rsid w:val="008361BA"/>
    <w:rsid w:val="00836EF7"/>
    <w:rsid w:val="0084004A"/>
    <w:rsid w:val="008463D7"/>
    <w:rsid w:val="0085105B"/>
    <w:rsid w:val="00851427"/>
    <w:rsid w:val="00865F2D"/>
    <w:rsid w:val="00866975"/>
    <w:rsid w:val="008704A5"/>
    <w:rsid w:val="00873D76"/>
    <w:rsid w:val="008744E0"/>
    <w:rsid w:val="00874AB0"/>
    <w:rsid w:val="00874B8D"/>
    <w:rsid w:val="00880E57"/>
    <w:rsid w:val="008979D1"/>
    <w:rsid w:val="008A0790"/>
    <w:rsid w:val="008A12C7"/>
    <w:rsid w:val="008A369F"/>
    <w:rsid w:val="008A4E80"/>
    <w:rsid w:val="008A5807"/>
    <w:rsid w:val="008B0748"/>
    <w:rsid w:val="008B2E8E"/>
    <w:rsid w:val="008B732C"/>
    <w:rsid w:val="008C57E9"/>
    <w:rsid w:val="008D502B"/>
    <w:rsid w:val="008D68A4"/>
    <w:rsid w:val="008E2E66"/>
    <w:rsid w:val="008F5D69"/>
    <w:rsid w:val="0090133F"/>
    <w:rsid w:val="009017E0"/>
    <w:rsid w:val="00901E40"/>
    <w:rsid w:val="0090706D"/>
    <w:rsid w:val="009102E7"/>
    <w:rsid w:val="00921817"/>
    <w:rsid w:val="00923653"/>
    <w:rsid w:val="009273A3"/>
    <w:rsid w:val="00927B3C"/>
    <w:rsid w:val="00931A43"/>
    <w:rsid w:val="009417AB"/>
    <w:rsid w:val="009454D4"/>
    <w:rsid w:val="00956683"/>
    <w:rsid w:val="00957C24"/>
    <w:rsid w:val="00967DE8"/>
    <w:rsid w:val="00971E2A"/>
    <w:rsid w:val="0097513F"/>
    <w:rsid w:val="00984C93"/>
    <w:rsid w:val="00992CD9"/>
    <w:rsid w:val="00994BFA"/>
    <w:rsid w:val="00995568"/>
    <w:rsid w:val="009A022D"/>
    <w:rsid w:val="009A0DD7"/>
    <w:rsid w:val="009B04C6"/>
    <w:rsid w:val="009D4896"/>
    <w:rsid w:val="009E1447"/>
    <w:rsid w:val="009E192E"/>
    <w:rsid w:val="009F1120"/>
    <w:rsid w:val="009F2082"/>
    <w:rsid w:val="009F2B68"/>
    <w:rsid w:val="00A025D5"/>
    <w:rsid w:val="00A028E9"/>
    <w:rsid w:val="00A036AD"/>
    <w:rsid w:val="00A12481"/>
    <w:rsid w:val="00A169DF"/>
    <w:rsid w:val="00A27292"/>
    <w:rsid w:val="00A40D98"/>
    <w:rsid w:val="00A44394"/>
    <w:rsid w:val="00A47896"/>
    <w:rsid w:val="00A56CB7"/>
    <w:rsid w:val="00A64AA0"/>
    <w:rsid w:val="00A704A8"/>
    <w:rsid w:val="00A760AD"/>
    <w:rsid w:val="00A91AFF"/>
    <w:rsid w:val="00AA29F4"/>
    <w:rsid w:val="00AA3161"/>
    <w:rsid w:val="00AB0374"/>
    <w:rsid w:val="00AB4A29"/>
    <w:rsid w:val="00AC1FB4"/>
    <w:rsid w:val="00AC25CB"/>
    <w:rsid w:val="00AE1201"/>
    <w:rsid w:val="00B01A88"/>
    <w:rsid w:val="00B02A93"/>
    <w:rsid w:val="00B112F5"/>
    <w:rsid w:val="00B14A16"/>
    <w:rsid w:val="00B301C6"/>
    <w:rsid w:val="00B32F3D"/>
    <w:rsid w:val="00B42070"/>
    <w:rsid w:val="00B44852"/>
    <w:rsid w:val="00B53E00"/>
    <w:rsid w:val="00B55DF8"/>
    <w:rsid w:val="00B70D77"/>
    <w:rsid w:val="00B7140C"/>
    <w:rsid w:val="00B71CFC"/>
    <w:rsid w:val="00B839F7"/>
    <w:rsid w:val="00B84B31"/>
    <w:rsid w:val="00B91A7F"/>
    <w:rsid w:val="00BA2BFC"/>
    <w:rsid w:val="00BA375B"/>
    <w:rsid w:val="00BC6201"/>
    <w:rsid w:val="00BE000F"/>
    <w:rsid w:val="00BE131A"/>
    <w:rsid w:val="00BE5230"/>
    <w:rsid w:val="00BF39AF"/>
    <w:rsid w:val="00C01279"/>
    <w:rsid w:val="00C11358"/>
    <w:rsid w:val="00C136DA"/>
    <w:rsid w:val="00C21C08"/>
    <w:rsid w:val="00C2236C"/>
    <w:rsid w:val="00C236A2"/>
    <w:rsid w:val="00C250F9"/>
    <w:rsid w:val="00C27CD9"/>
    <w:rsid w:val="00C335EB"/>
    <w:rsid w:val="00C3465D"/>
    <w:rsid w:val="00C3487A"/>
    <w:rsid w:val="00C34FE9"/>
    <w:rsid w:val="00C427EC"/>
    <w:rsid w:val="00C46C83"/>
    <w:rsid w:val="00C513F5"/>
    <w:rsid w:val="00C51CA5"/>
    <w:rsid w:val="00C57288"/>
    <w:rsid w:val="00C61B71"/>
    <w:rsid w:val="00C672E4"/>
    <w:rsid w:val="00C70C17"/>
    <w:rsid w:val="00C71CA1"/>
    <w:rsid w:val="00C72EAC"/>
    <w:rsid w:val="00C811D0"/>
    <w:rsid w:val="00C81B69"/>
    <w:rsid w:val="00C86947"/>
    <w:rsid w:val="00C87EE2"/>
    <w:rsid w:val="00C9131A"/>
    <w:rsid w:val="00CA06A1"/>
    <w:rsid w:val="00CB46D9"/>
    <w:rsid w:val="00CC25A9"/>
    <w:rsid w:val="00CD028A"/>
    <w:rsid w:val="00CD161C"/>
    <w:rsid w:val="00CD4EDB"/>
    <w:rsid w:val="00CD6A36"/>
    <w:rsid w:val="00CE651D"/>
    <w:rsid w:val="00CF0E91"/>
    <w:rsid w:val="00D03F1E"/>
    <w:rsid w:val="00D04C66"/>
    <w:rsid w:val="00D057DB"/>
    <w:rsid w:val="00D05943"/>
    <w:rsid w:val="00D301F0"/>
    <w:rsid w:val="00D33E17"/>
    <w:rsid w:val="00D40A3E"/>
    <w:rsid w:val="00D416EE"/>
    <w:rsid w:val="00D440EF"/>
    <w:rsid w:val="00D444E2"/>
    <w:rsid w:val="00D504B2"/>
    <w:rsid w:val="00D5620E"/>
    <w:rsid w:val="00D61B4E"/>
    <w:rsid w:val="00D62882"/>
    <w:rsid w:val="00D62CA5"/>
    <w:rsid w:val="00D63ED8"/>
    <w:rsid w:val="00D67A41"/>
    <w:rsid w:val="00D715BC"/>
    <w:rsid w:val="00D75C36"/>
    <w:rsid w:val="00D83012"/>
    <w:rsid w:val="00D85219"/>
    <w:rsid w:val="00D92891"/>
    <w:rsid w:val="00DA6516"/>
    <w:rsid w:val="00DA769B"/>
    <w:rsid w:val="00DB288F"/>
    <w:rsid w:val="00DB4081"/>
    <w:rsid w:val="00DC18D5"/>
    <w:rsid w:val="00DD41A0"/>
    <w:rsid w:val="00DD524B"/>
    <w:rsid w:val="00DD6584"/>
    <w:rsid w:val="00DE09F2"/>
    <w:rsid w:val="00E02E39"/>
    <w:rsid w:val="00E037CB"/>
    <w:rsid w:val="00E0509C"/>
    <w:rsid w:val="00E108E5"/>
    <w:rsid w:val="00E141D2"/>
    <w:rsid w:val="00E16407"/>
    <w:rsid w:val="00E26043"/>
    <w:rsid w:val="00E40CCE"/>
    <w:rsid w:val="00E4338E"/>
    <w:rsid w:val="00E5585A"/>
    <w:rsid w:val="00E637EC"/>
    <w:rsid w:val="00E73CA6"/>
    <w:rsid w:val="00E8689D"/>
    <w:rsid w:val="00E90BDE"/>
    <w:rsid w:val="00E90DE6"/>
    <w:rsid w:val="00EA6857"/>
    <w:rsid w:val="00EA6D30"/>
    <w:rsid w:val="00EB0285"/>
    <w:rsid w:val="00EB2DD3"/>
    <w:rsid w:val="00EB58B7"/>
    <w:rsid w:val="00EC2944"/>
    <w:rsid w:val="00EE2C86"/>
    <w:rsid w:val="00EE46BB"/>
    <w:rsid w:val="00EF3985"/>
    <w:rsid w:val="00EF635E"/>
    <w:rsid w:val="00F01D92"/>
    <w:rsid w:val="00F04001"/>
    <w:rsid w:val="00F04EAC"/>
    <w:rsid w:val="00F07BAF"/>
    <w:rsid w:val="00F1345B"/>
    <w:rsid w:val="00F16E40"/>
    <w:rsid w:val="00F20A06"/>
    <w:rsid w:val="00F34A41"/>
    <w:rsid w:val="00F4101B"/>
    <w:rsid w:val="00F41C5D"/>
    <w:rsid w:val="00F55D2A"/>
    <w:rsid w:val="00F563AE"/>
    <w:rsid w:val="00F62685"/>
    <w:rsid w:val="00F637C5"/>
    <w:rsid w:val="00F63855"/>
    <w:rsid w:val="00F8534E"/>
    <w:rsid w:val="00F876D2"/>
    <w:rsid w:val="00F92A1C"/>
    <w:rsid w:val="00FA040C"/>
    <w:rsid w:val="00FA3711"/>
    <w:rsid w:val="00FA4A9C"/>
    <w:rsid w:val="00FA77D0"/>
    <w:rsid w:val="00FB2789"/>
    <w:rsid w:val="00FB2E6E"/>
    <w:rsid w:val="00FB38A2"/>
    <w:rsid w:val="00FC0E9E"/>
    <w:rsid w:val="00FD09F5"/>
    <w:rsid w:val="00FD1067"/>
    <w:rsid w:val="00FE1057"/>
    <w:rsid w:val="00FE2FB3"/>
    <w:rsid w:val="00FE3938"/>
    <w:rsid w:val="00FE3EA5"/>
    <w:rsid w:val="00FF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DA3987B-2666-4A87-AFC2-8827C268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style>
  <w:style w:type="paragraph" w:styleId="Heading3">
    <w:name w:val="heading 3"/>
    <w:basedOn w:val="Normal"/>
    <w:next w:val="Normal"/>
    <w:link w:val="Heading3Char"/>
    <w:qFormat/>
    <w:rsid w:val="000272B3"/>
    <w:pPr>
      <w:spacing w:line="240" w:lineRule="auto"/>
      <w:outlineLvl w:val="2"/>
    </w:pPr>
  </w:style>
  <w:style w:type="paragraph" w:styleId="Heading4">
    <w:name w:val="heading 4"/>
    <w:basedOn w:val="Normal"/>
    <w:next w:val="Normal"/>
    <w:link w:val="Heading4Char"/>
    <w:qFormat/>
    <w:rsid w:val="000272B3"/>
    <w:pPr>
      <w:spacing w:line="240" w:lineRule="auto"/>
      <w:outlineLvl w:val="3"/>
    </w:pPr>
  </w:style>
  <w:style w:type="paragraph" w:styleId="Heading5">
    <w:name w:val="heading 5"/>
    <w:basedOn w:val="Normal"/>
    <w:next w:val="Normal"/>
    <w:link w:val="Heading5Char"/>
    <w:qFormat/>
    <w:rsid w:val="000272B3"/>
    <w:pPr>
      <w:spacing w:line="240" w:lineRule="auto"/>
      <w:outlineLvl w:val="4"/>
    </w:pPr>
  </w:style>
  <w:style w:type="paragraph" w:styleId="Heading6">
    <w:name w:val="heading 6"/>
    <w:basedOn w:val="Normal"/>
    <w:next w:val="Normal"/>
    <w:link w:val="Heading6Char"/>
    <w:qFormat/>
    <w:rsid w:val="000272B3"/>
    <w:pPr>
      <w:spacing w:line="240" w:lineRule="auto"/>
      <w:outlineLvl w:val="5"/>
    </w:pPr>
  </w:style>
  <w:style w:type="paragraph" w:styleId="Heading7">
    <w:name w:val="heading 7"/>
    <w:basedOn w:val="Normal"/>
    <w:next w:val="Normal"/>
    <w:link w:val="Heading7Char"/>
    <w:qFormat/>
    <w:rsid w:val="000272B3"/>
    <w:pPr>
      <w:spacing w:line="240" w:lineRule="auto"/>
      <w:outlineLvl w:val="6"/>
    </w:pPr>
  </w:style>
  <w:style w:type="paragraph" w:styleId="Heading8">
    <w:name w:val="heading 8"/>
    <w:basedOn w:val="Normal"/>
    <w:next w:val="Normal"/>
    <w:link w:val="Heading8Char"/>
    <w:qFormat/>
    <w:rsid w:val="000272B3"/>
    <w:pPr>
      <w:spacing w:line="240" w:lineRule="auto"/>
      <w:outlineLvl w:val="7"/>
    </w:pPr>
  </w:style>
  <w:style w:type="paragraph" w:styleId="Heading9">
    <w:name w:val="heading 9"/>
    <w:basedOn w:val="Normal"/>
    <w:next w:val="Normal"/>
    <w:link w:val="Heading9Char"/>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0272B3"/>
    <w:rPr>
      <w:color w:val="auto"/>
      <w:u w:val="none"/>
    </w:rPr>
  </w:style>
  <w:style w:type="character" w:styleId="FollowedHyperlink">
    <w:name w:val="FollowedHyperlink"/>
    <w:rsid w:val="000272B3"/>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uiPriority w:val="99"/>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727449"/>
    <w:rPr>
      <w:sz w:val="18"/>
      <w:lang w:eastAsia="en-US"/>
    </w:rPr>
  </w:style>
  <w:style w:type="character" w:customStyle="1" w:styleId="SingleTxtGChar">
    <w:name w:val="_ Single Txt_G Char"/>
    <w:link w:val="SingleTxtG"/>
    <w:rsid w:val="00727449"/>
    <w:rPr>
      <w:lang w:eastAsia="en-US"/>
    </w:rPr>
  </w:style>
  <w:style w:type="paragraph" w:customStyle="1" w:styleId="CAJCorpsdutexte">
    <w:name w:val="CAJ Corps du texte"/>
    <w:rsid w:val="007259DA"/>
    <w:pPr>
      <w:widowControl w:val="0"/>
      <w:spacing w:after="180" w:line="312" w:lineRule="auto"/>
      <w:jc w:val="both"/>
    </w:pPr>
    <w:rPr>
      <w:rFonts w:ascii="Arial Narrow" w:eastAsia="ヒラギノ角ゴ Pro W3" w:hAnsi="Arial Narrow"/>
      <w:color w:val="000000"/>
      <w:sz w:val="24"/>
      <w:lang w:val="en-GB" w:eastAsia="en-GB"/>
    </w:rPr>
  </w:style>
  <w:style w:type="character" w:customStyle="1" w:styleId="Appelnotedebasdep1">
    <w:name w:val="Appel note de bas de p.1"/>
    <w:rsid w:val="007259DA"/>
    <w:rPr>
      <w:color w:val="000000"/>
      <w:sz w:val="24"/>
      <w:vertAlign w:val="superscript"/>
    </w:rPr>
  </w:style>
  <w:style w:type="paragraph" w:customStyle="1" w:styleId="CAJTextedenotesdebasdepage">
    <w:name w:val="CAJ Texte de notes de bas de page"/>
    <w:rsid w:val="007259DA"/>
    <w:pPr>
      <w:spacing w:line="288" w:lineRule="auto"/>
      <w:ind w:left="567" w:hanging="567"/>
      <w:jc w:val="both"/>
    </w:pPr>
    <w:rPr>
      <w:rFonts w:ascii="Arial Narrow" w:eastAsia="ヒラギノ角ゴ Pro W3" w:hAnsi="Arial Narrow"/>
      <w:color w:val="000000"/>
      <w:sz w:val="19"/>
      <w:lang w:val="en-GB" w:eastAsia="en-GB"/>
    </w:rPr>
  </w:style>
  <w:style w:type="character" w:customStyle="1" w:styleId="Lienhypertexte1">
    <w:name w:val="Lien hypertexte1"/>
    <w:rsid w:val="007259DA"/>
    <w:rPr>
      <w:color w:val="1347EE"/>
      <w:sz w:val="20"/>
      <w:u w:val="single"/>
    </w:rPr>
  </w:style>
  <w:style w:type="paragraph" w:customStyle="1" w:styleId="Notedebasdepage1">
    <w:name w:val="Note de bas de page1"/>
    <w:rsid w:val="007259DA"/>
    <w:rPr>
      <w:rFonts w:eastAsia="ヒラギノ角ゴ Pro W3"/>
      <w:color w:val="000000"/>
      <w:lang w:eastAsia="en-GB"/>
    </w:rPr>
  </w:style>
  <w:style w:type="paragraph" w:customStyle="1" w:styleId="CAJCorpsdutexteA">
    <w:name w:val="CAJ Corps du texte A"/>
    <w:rsid w:val="00076DE2"/>
    <w:pPr>
      <w:widowControl w:val="0"/>
      <w:spacing w:after="180" w:line="312" w:lineRule="auto"/>
      <w:jc w:val="both"/>
    </w:pPr>
    <w:rPr>
      <w:rFonts w:ascii="Arial Narrow" w:eastAsia="ヒラギノ角ゴ Pro W3" w:hAnsi="Arial Narrow"/>
      <w:color w:val="000000"/>
      <w:sz w:val="24"/>
      <w:lang w:val="en-GB" w:eastAsia="en-GB"/>
    </w:rPr>
  </w:style>
  <w:style w:type="character" w:customStyle="1" w:styleId="Rimandonotaapidipagina">
    <w:name w:val="Rimando nota a piè di pagina"/>
    <w:rsid w:val="00ED65FE"/>
    <w:rPr>
      <w:color w:val="000000"/>
      <w:sz w:val="19"/>
      <w:vertAlign w:val="superscript"/>
    </w:rPr>
  </w:style>
  <w:style w:type="table" w:customStyle="1" w:styleId="TableNormal1">
    <w:name w:val="Table Normal1"/>
    <w:uiPriority w:val="2"/>
    <w:semiHidden/>
    <w:unhideWhenUsed/>
    <w:qFormat/>
    <w:rsid w:val="00887995"/>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styleId="BodyText">
    <w:name w:val="Body Text"/>
    <w:basedOn w:val="Normal"/>
    <w:link w:val="BodyTextChar"/>
    <w:qFormat/>
    <w:rsid w:val="00887995"/>
    <w:pPr>
      <w:widowControl w:val="0"/>
      <w:suppressAutoHyphens w:val="0"/>
      <w:spacing w:line="240" w:lineRule="auto"/>
      <w:ind w:left="116"/>
    </w:pPr>
    <w:rPr>
      <w:rFonts w:ascii="Arial Narrow" w:eastAsia="Arial Narrow" w:hAnsi="Arial Narrow"/>
      <w:sz w:val="24"/>
      <w:szCs w:val="24"/>
      <w:lang w:val="en-US"/>
    </w:rPr>
  </w:style>
  <w:style w:type="character" w:customStyle="1" w:styleId="BodyTextChar">
    <w:name w:val="Body Text Char"/>
    <w:link w:val="BodyText"/>
    <w:rsid w:val="00887995"/>
    <w:rPr>
      <w:rFonts w:ascii="Arial Narrow" w:eastAsia="Arial Narrow" w:hAnsi="Arial Narrow"/>
      <w:sz w:val="24"/>
      <w:szCs w:val="24"/>
      <w:lang w:val="en-US" w:eastAsia="en-US"/>
    </w:rPr>
  </w:style>
  <w:style w:type="paragraph" w:customStyle="1" w:styleId="Heading11">
    <w:name w:val="Heading 11"/>
    <w:basedOn w:val="Normal"/>
    <w:uiPriority w:val="1"/>
    <w:qFormat/>
    <w:rsid w:val="00887995"/>
    <w:pPr>
      <w:widowControl w:val="0"/>
      <w:suppressAutoHyphens w:val="0"/>
      <w:spacing w:line="240" w:lineRule="auto"/>
      <w:ind w:left="683" w:hanging="567"/>
      <w:outlineLvl w:val="1"/>
    </w:pPr>
    <w:rPr>
      <w:rFonts w:ascii="Arial Narrow" w:eastAsia="Arial Narrow" w:hAnsi="Arial Narrow"/>
      <w:b/>
      <w:bCs/>
      <w:sz w:val="28"/>
      <w:szCs w:val="28"/>
      <w:lang w:val="en-US"/>
    </w:rPr>
  </w:style>
  <w:style w:type="paragraph" w:customStyle="1" w:styleId="TableParagraph">
    <w:name w:val="Table Paragraph"/>
    <w:basedOn w:val="Normal"/>
    <w:uiPriority w:val="1"/>
    <w:qFormat/>
    <w:rsid w:val="00887995"/>
    <w:pPr>
      <w:widowControl w:val="0"/>
      <w:suppressAutoHyphens w:val="0"/>
      <w:spacing w:line="240" w:lineRule="auto"/>
    </w:pPr>
    <w:rPr>
      <w:rFonts w:ascii="Calibri" w:eastAsia="Calibri" w:hAnsi="Calibri"/>
      <w:sz w:val="22"/>
      <w:szCs w:val="22"/>
      <w:lang w:val="en-US"/>
    </w:rPr>
  </w:style>
  <w:style w:type="character" w:customStyle="1" w:styleId="HeaderChar">
    <w:name w:val="Header Char"/>
    <w:aliases w:val="6_G Char"/>
    <w:link w:val="Header"/>
    <w:rsid w:val="00887995"/>
    <w:rPr>
      <w:b/>
      <w:sz w:val="18"/>
      <w:lang w:eastAsia="en-US"/>
    </w:rPr>
  </w:style>
  <w:style w:type="character" w:customStyle="1" w:styleId="FooterChar">
    <w:name w:val="Footer Char"/>
    <w:aliases w:val="3_G Char"/>
    <w:link w:val="Footer"/>
    <w:uiPriority w:val="99"/>
    <w:rsid w:val="00887995"/>
    <w:rPr>
      <w:sz w:val="16"/>
      <w:lang w:eastAsia="en-US"/>
    </w:rPr>
  </w:style>
  <w:style w:type="paragraph" w:styleId="BalloonText">
    <w:name w:val="Balloon Text"/>
    <w:basedOn w:val="Normal"/>
    <w:link w:val="BalloonTextChar"/>
    <w:uiPriority w:val="99"/>
    <w:unhideWhenUsed/>
    <w:rsid w:val="00887995"/>
    <w:pPr>
      <w:widowControl w:val="0"/>
      <w:suppressAutoHyphens w:val="0"/>
      <w:spacing w:line="240" w:lineRule="auto"/>
    </w:pPr>
    <w:rPr>
      <w:rFonts w:ascii="Tahoma" w:eastAsia="Calibri" w:hAnsi="Tahoma"/>
      <w:sz w:val="16"/>
      <w:szCs w:val="16"/>
      <w:lang w:val="en-US"/>
    </w:rPr>
  </w:style>
  <w:style w:type="character" w:customStyle="1" w:styleId="BalloonTextChar">
    <w:name w:val="Balloon Text Char"/>
    <w:link w:val="BalloonText"/>
    <w:uiPriority w:val="99"/>
    <w:rsid w:val="00887995"/>
    <w:rPr>
      <w:rFonts w:ascii="Tahoma" w:eastAsia="Calibri" w:hAnsi="Tahoma" w:cs="Tahoma"/>
      <w:sz w:val="16"/>
      <w:szCs w:val="16"/>
      <w:lang w:val="en-US" w:eastAsia="en-US"/>
    </w:rPr>
  </w:style>
  <w:style w:type="character" w:customStyle="1" w:styleId="FootnoteTextChar1">
    <w:name w:val="Footnote Text Char1"/>
    <w:aliases w:val="5_G Char1"/>
    <w:rsid w:val="00FC3ED9"/>
    <w:rPr>
      <w:sz w:val="18"/>
      <w:lang w:eastAsia="en-US"/>
    </w:rPr>
  </w:style>
  <w:style w:type="character" w:styleId="CommentReference">
    <w:name w:val="annotation reference"/>
    <w:uiPriority w:val="99"/>
    <w:rsid w:val="00DD41A0"/>
    <w:rPr>
      <w:sz w:val="16"/>
      <w:szCs w:val="16"/>
    </w:rPr>
  </w:style>
  <w:style w:type="paragraph" w:styleId="CommentText">
    <w:name w:val="annotation text"/>
    <w:basedOn w:val="Normal"/>
    <w:link w:val="CommentTextChar"/>
    <w:uiPriority w:val="99"/>
    <w:rsid w:val="00DD41A0"/>
  </w:style>
  <w:style w:type="character" w:customStyle="1" w:styleId="CommentTextChar">
    <w:name w:val="Comment Text Char"/>
    <w:link w:val="CommentText"/>
    <w:uiPriority w:val="99"/>
    <w:rsid w:val="00DD41A0"/>
    <w:rPr>
      <w:lang w:eastAsia="en-US"/>
    </w:rPr>
  </w:style>
  <w:style w:type="paragraph" w:styleId="CommentSubject">
    <w:name w:val="annotation subject"/>
    <w:basedOn w:val="CommentText"/>
    <w:next w:val="CommentText"/>
    <w:link w:val="CommentSubjectChar"/>
    <w:uiPriority w:val="99"/>
    <w:rsid w:val="00DD41A0"/>
    <w:rPr>
      <w:b/>
      <w:bCs/>
    </w:rPr>
  </w:style>
  <w:style w:type="character" w:customStyle="1" w:styleId="CommentSubjectChar">
    <w:name w:val="Comment Subject Char"/>
    <w:link w:val="CommentSubject"/>
    <w:uiPriority w:val="99"/>
    <w:rsid w:val="00DD41A0"/>
    <w:rPr>
      <w:b/>
      <w:bCs/>
      <w:lang w:eastAsia="en-US"/>
    </w:rPr>
  </w:style>
  <w:style w:type="paragraph" w:customStyle="1" w:styleId="Default">
    <w:name w:val="Default"/>
    <w:rsid w:val="008704A5"/>
    <w:pPr>
      <w:autoSpaceDE w:val="0"/>
      <w:autoSpaceDN w:val="0"/>
      <w:adjustRightInd w:val="0"/>
    </w:pPr>
    <w:rPr>
      <w:rFonts w:eastAsia="Calibri"/>
      <w:color w:val="000000"/>
      <w:sz w:val="24"/>
      <w:szCs w:val="24"/>
      <w:lang w:val="en-GB" w:eastAsia="en-GB"/>
    </w:rPr>
  </w:style>
  <w:style w:type="character" w:customStyle="1" w:styleId="Heading1Char">
    <w:name w:val="Heading 1 Char"/>
    <w:aliases w:val="Table_G Char"/>
    <w:link w:val="Heading1"/>
    <w:rsid w:val="00075FA7"/>
    <w:rPr>
      <w:lang w:eastAsia="en-US"/>
    </w:rPr>
  </w:style>
  <w:style w:type="character" w:customStyle="1" w:styleId="Heading2Char">
    <w:name w:val="Heading 2 Char"/>
    <w:link w:val="Heading2"/>
    <w:rsid w:val="00075FA7"/>
    <w:rPr>
      <w:lang w:eastAsia="en-US"/>
    </w:rPr>
  </w:style>
  <w:style w:type="character" w:customStyle="1" w:styleId="Heading3Char">
    <w:name w:val="Heading 3 Char"/>
    <w:link w:val="Heading3"/>
    <w:rsid w:val="00075FA7"/>
    <w:rPr>
      <w:lang w:eastAsia="en-US"/>
    </w:rPr>
  </w:style>
  <w:style w:type="character" w:customStyle="1" w:styleId="Heading4Char">
    <w:name w:val="Heading 4 Char"/>
    <w:link w:val="Heading4"/>
    <w:rsid w:val="00075FA7"/>
    <w:rPr>
      <w:lang w:eastAsia="en-US"/>
    </w:rPr>
  </w:style>
  <w:style w:type="character" w:customStyle="1" w:styleId="Heading5Char">
    <w:name w:val="Heading 5 Char"/>
    <w:link w:val="Heading5"/>
    <w:rsid w:val="00075FA7"/>
    <w:rPr>
      <w:lang w:eastAsia="en-US"/>
    </w:rPr>
  </w:style>
  <w:style w:type="character" w:customStyle="1" w:styleId="Heading6Char">
    <w:name w:val="Heading 6 Char"/>
    <w:link w:val="Heading6"/>
    <w:rsid w:val="00075FA7"/>
    <w:rPr>
      <w:lang w:eastAsia="en-US"/>
    </w:rPr>
  </w:style>
  <w:style w:type="character" w:customStyle="1" w:styleId="Heading7Char">
    <w:name w:val="Heading 7 Char"/>
    <w:link w:val="Heading7"/>
    <w:rsid w:val="00075FA7"/>
    <w:rPr>
      <w:lang w:eastAsia="en-US"/>
    </w:rPr>
  </w:style>
  <w:style w:type="character" w:customStyle="1" w:styleId="Heading8Char">
    <w:name w:val="Heading 8 Char"/>
    <w:link w:val="Heading8"/>
    <w:rsid w:val="00075FA7"/>
    <w:rPr>
      <w:lang w:eastAsia="en-US"/>
    </w:rPr>
  </w:style>
  <w:style w:type="character" w:customStyle="1" w:styleId="Heading9Char">
    <w:name w:val="Heading 9 Char"/>
    <w:link w:val="Heading9"/>
    <w:rsid w:val="00075FA7"/>
    <w:rPr>
      <w:lang w:eastAsia="en-US"/>
    </w:rPr>
  </w:style>
  <w:style w:type="character" w:customStyle="1" w:styleId="Absatz-Standardschriftart">
    <w:name w:val="Absatz-Standardschriftart"/>
    <w:rsid w:val="00075FA7"/>
  </w:style>
  <w:style w:type="character" w:customStyle="1" w:styleId="DefaultParagraphFont1">
    <w:name w:val="Default Paragraph Font1"/>
    <w:rsid w:val="00075FA7"/>
  </w:style>
  <w:style w:type="character" w:customStyle="1" w:styleId="WW-Absatz-Standardschriftart">
    <w:name w:val="WW-Absatz-Standardschriftart"/>
    <w:rsid w:val="00075FA7"/>
  </w:style>
  <w:style w:type="character" w:customStyle="1" w:styleId="WW-Absatz-Standardschriftart1">
    <w:name w:val="WW-Absatz-Standardschriftart1"/>
    <w:rsid w:val="00075FA7"/>
  </w:style>
  <w:style w:type="character" w:customStyle="1" w:styleId="WW8Num1z0">
    <w:name w:val="WW8Num1z0"/>
    <w:rsid w:val="00075FA7"/>
    <w:rPr>
      <w:rFonts w:ascii="Times New Roman" w:hAnsi="Times New Roman" w:cs="Times New Roman"/>
    </w:rPr>
  </w:style>
  <w:style w:type="character" w:customStyle="1" w:styleId="WW8Num1z1">
    <w:name w:val="WW8Num1z1"/>
    <w:rsid w:val="00075FA7"/>
    <w:rPr>
      <w:rFonts w:ascii="Courier New" w:hAnsi="Courier New" w:cs="Courier New"/>
    </w:rPr>
  </w:style>
  <w:style w:type="character" w:customStyle="1" w:styleId="WW8Num1z2">
    <w:name w:val="WW8Num1z2"/>
    <w:rsid w:val="00075FA7"/>
    <w:rPr>
      <w:rFonts w:ascii="Wingdings" w:hAnsi="Wingdings" w:cs="Wingdings"/>
    </w:rPr>
  </w:style>
  <w:style w:type="character" w:customStyle="1" w:styleId="WW8Num1z3">
    <w:name w:val="WW8Num1z3"/>
    <w:rsid w:val="00075FA7"/>
    <w:rPr>
      <w:rFonts w:ascii="Symbol" w:hAnsi="Symbol" w:cs="Symbol"/>
    </w:rPr>
  </w:style>
  <w:style w:type="character" w:customStyle="1" w:styleId="WW8Num2z0">
    <w:name w:val="WW8Num2z0"/>
    <w:rsid w:val="00075FA7"/>
    <w:rPr>
      <w:rFonts w:ascii="Times New Roman" w:hAnsi="Times New Roman" w:cs="Times New Roman"/>
      <w:b w:val="0"/>
      <w:i w:val="0"/>
      <w:sz w:val="20"/>
    </w:rPr>
  </w:style>
  <w:style w:type="character" w:customStyle="1" w:styleId="WW8Num2z1">
    <w:name w:val="WW8Num2z1"/>
    <w:rsid w:val="00075FA7"/>
    <w:rPr>
      <w:rFonts w:ascii="Courier New" w:hAnsi="Courier New" w:cs="Courier New"/>
    </w:rPr>
  </w:style>
  <w:style w:type="character" w:customStyle="1" w:styleId="WW8Num2z2">
    <w:name w:val="WW8Num2z2"/>
    <w:rsid w:val="00075FA7"/>
    <w:rPr>
      <w:rFonts w:ascii="Wingdings" w:hAnsi="Wingdings" w:cs="Wingdings"/>
    </w:rPr>
  </w:style>
  <w:style w:type="character" w:customStyle="1" w:styleId="WW8Num2z3">
    <w:name w:val="WW8Num2z3"/>
    <w:rsid w:val="00075FA7"/>
    <w:rPr>
      <w:rFonts w:ascii="Symbol" w:hAnsi="Symbol" w:cs="Symbol"/>
    </w:rPr>
  </w:style>
  <w:style w:type="character" w:customStyle="1" w:styleId="WW-DefaultParagraphFont">
    <w:name w:val="WW-Default Paragraph Font"/>
    <w:rsid w:val="00075FA7"/>
  </w:style>
  <w:style w:type="character" w:customStyle="1" w:styleId="EndnoteCharacters">
    <w:name w:val="Endnote Characters"/>
    <w:rsid w:val="00075FA7"/>
    <w:rPr>
      <w:rFonts w:ascii="Times New Roman" w:hAnsi="Times New Roman" w:cs="Times New Roman"/>
      <w:sz w:val="18"/>
      <w:vertAlign w:val="superscript"/>
    </w:rPr>
  </w:style>
  <w:style w:type="character" w:customStyle="1" w:styleId="FootnoteCharacters">
    <w:name w:val="Footnote Characters"/>
    <w:rsid w:val="00075FA7"/>
    <w:rPr>
      <w:rFonts w:ascii="Times New Roman" w:hAnsi="Times New Roman" w:cs="Times New Roman"/>
      <w:sz w:val="18"/>
      <w:vertAlign w:val="superscript"/>
    </w:rPr>
  </w:style>
  <w:style w:type="character" w:customStyle="1" w:styleId="FootnoteReference1">
    <w:name w:val="Footnote Reference1"/>
    <w:rsid w:val="00075FA7"/>
    <w:rPr>
      <w:vertAlign w:val="superscript"/>
    </w:rPr>
  </w:style>
  <w:style w:type="character" w:customStyle="1" w:styleId="EndnoteReference1">
    <w:name w:val="Endnote Reference1"/>
    <w:rsid w:val="00075FA7"/>
    <w:rPr>
      <w:vertAlign w:val="superscript"/>
    </w:rPr>
  </w:style>
  <w:style w:type="paragraph" w:customStyle="1" w:styleId="Heading">
    <w:name w:val="Heading"/>
    <w:basedOn w:val="Normal"/>
    <w:next w:val="BodyText"/>
    <w:rsid w:val="00075FA7"/>
    <w:pPr>
      <w:keepNext/>
      <w:spacing w:before="240" w:after="120"/>
    </w:pPr>
    <w:rPr>
      <w:rFonts w:ascii="Arial" w:eastAsia="Arial Unicode MS" w:hAnsi="Arial" w:cs="Arial Unicode MS"/>
      <w:sz w:val="28"/>
      <w:szCs w:val="28"/>
      <w:lang w:eastAsia="zh-CN"/>
    </w:rPr>
  </w:style>
  <w:style w:type="paragraph" w:styleId="List">
    <w:name w:val="List"/>
    <w:basedOn w:val="BodyText"/>
    <w:rsid w:val="00075FA7"/>
    <w:pPr>
      <w:widowControl/>
      <w:suppressAutoHyphens/>
      <w:spacing w:after="120" w:line="240" w:lineRule="atLeast"/>
      <w:ind w:left="0"/>
    </w:pPr>
    <w:rPr>
      <w:rFonts w:ascii="Times New Roman" w:eastAsia="Times New Roman" w:hAnsi="Times New Roman"/>
      <w:sz w:val="20"/>
      <w:szCs w:val="20"/>
      <w:lang w:val="en-GB" w:eastAsia="zh-CN"/>
    </w:rPr>
  </w:style>
  <w:style w:type="paragraph" w:styleId="Caption">
    <w:name w:val="caption"/>
    <w:basedOn w:val="Normal"/>
    <w:qFormat/>
    <w:rsid w:val="00075FA7"/>
    <w:pPr>
      <w:suppressLineNumbers/>
      <w:spacing w:before="120" w:after="120"/>
    </w:pPr>
    <w:rPr>
      <w:i/>
      <w:iCs/>
      <w:sz w:val="24"/>
      <w:szCs w:val="24"/>
      <w:lang w:eastAsia="zh-CN"/>
    </w:rPr>
  </w:style>
  <w:style w:type="paragraph" w:customStyle="1" w:styleId="Index">
    <w:name w:val="Index"/>
    <w:basedOn w:val="Normal"/>
    <w:rsid w:val="00075FA7"/>
    <w:pPr>
      <w:suppressLineNumbers/>
    </w:pPr>
    <w:rPr>
      <w:lang w:eastAsia="zh-CN"/>
    </w:rPr>
  </w:style>
  <w:style w:type="character" w:customStyle="1" w:styleId="EndnoteTextChar">
    <w:name w:val="Endnote Text Char"/>
    <w:aliases w:val="2_G Char"/>
    <w:link w:val="EndnoteText"/>
    <w:uiPriority w:val="99"/>
    <w:rsid w:val="00075FA7"/>
    <w:rPr>
      <w:sz w:val="18"/>
      <w:lang w:eastAsia="en-US"/>
    </w:rPr>
  </w:style>
  <w:style w:type="paragraph" w:customStyle="1" w:styleId="Framecontents">
    <w:name w:val="Frame contents"/>
    <w:basedOn w:val="BodyText"/>
    <w:rsid w:val="00075FA7"/>
    <w:pPr>
      <w:widowControl/>
      <w:suppressAutoHyphens/>
      <w:spacing w:after="120" w:line="240" w:lineRule="atLeast"/>
      <w:ind w:left="0"/>
    </w:pPr>
    <w:rPr>
      <w:rFonts w:ascii="Times New Roman" w:eastAsia="Times New Roman" w:hAnsi="Times New Roman"/>
      <w:sz w:val="20"/>
      <w:szCs w:val="20"/>
      <w:lang w:val="en-GB" w:eastAsia="zh-CN"/>
    </w:rPr>
  </w:style>
  <w:style w:type="paragraph" w:customStyle="1" w:styleId="TableContents">
    <w:name w:val="Table Contents"/>
    <w:basedOn w:val="Normal"/>
    <w:rsid w:val="00075FA7"/>
    <w:pPr>
      <w:suppressLineNumbers/>
    </w:pPr>
    <w:rPr>
      <w:lang w:eastAsia="zh-CN"/>
    </w:rPr>
  </w:style>
  <w:style w:type="paragraph" w:customStyle="1" w:styleId="TableHeading">
    <w:name w:val="Table Heading"/>
    <w:basedOn w:val="TableContents"/>
    <w:rsid w:val="00075FA7"/>
    <w:pPr>
      <w:jc w:val="center"/>
    </w:pPr>
    <w:rPr>
      <w:b/>
      <w:bCs/>
    </w:rPr>
  </w:style>
  <w:style w:type="paragraph" w:styleId="NoSpacing">
    <w:name w:val="No Spacing"/>
    <w:uiPriority w:val="1"/>
    <w:qFormat/>
    <w:rsid w:val="00075FA7"/>
    <w:rPr>
      <w:rFonts w:ascii="Calibri" w:eastAsia="Calibri" w:hAnsi="Calibri"/>
      <w:sz w:val="22"/>
      <w:szCs w:val="22"/>
    </w:rPr>
  </w:style>
  <w:style w:type="paragraph" w:styleId="NormalWeb">
    <w:name w:val="Normal (Web)"/>
    <w:basedOn w:val="Normal"/>
    <w:uiPriority w:val="99"/>
    <w:unhideWhenUsed/>
    <w:rsid w:val="00075FA7"/>
    <w:rPr>
      <w:sz w:val="24"/>
      <w:szCs w:val="24"/>
      <w:lang w:eastAsia="zh-CN"/>
    </w:rPr>
  </w:style>
  <w:style w:type="character" w:customStyle="1" w:styleId="3">
    <w:name w:val="Основной текст (3)"/>
    <w:uiPriority w:val="99"/>
    <w:rsid w:val="00075FA7"/>
    <w:rPr>
      <w:rFonts w:ascii="Arial" w:hAnsi="Arial" w:cs="Arial"/>
      <w:b/>
      <w:bCs/>
      <w:sz w:val="23"/>
      <w:szCs w:val="23"/>
      <w:u w:val="single"/>
      <w:shd w:val="clear" w:color="auto" w:fill="FFFFFF"/>
    </w:rPr>
  </w:style>
  <w:style w:type="paragraph" w:styleId="Revision">
    <w:name w:val="Revision"/>
    <w:hidden/>
    <w:uiPriority w:val="99"/>
    <w:semiHidden/>
    <w:rsid w:val="00075FA7"/>
    <w:rPr>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16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im.law.uu.nl/SIM/CaseLaw/CCPRcase.nsf/3167fd85523cbf75c12567c8004d4280/E736552A5F27BCACC12578310047FF07?Opendocu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15</Pages>
  <Words>7911</Words>
  <Characters>45093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52899</CharactersWithSpaces>
  <SharedDoc>false</SharedDoc>
  <HLinks>
    <vt:vector size="6" baseType="variant">
      <vt:variant>
        <vt:i4>852062</vt:i4>
      </vt:variant>
      <vt:variant>
        <vt:i4>0</vt:i4>
      </vt:variant>
      <vt:variant>
        <vt:i4>0</vt:i4>
      </vt:variant>
      <vt:variant>
        <vt:i4>5</vt:i4>
      </vt:variant>
      <vt:variant>
        <vt:lpwstr>http://sim.law.uu.nl/SIM/CaseLaw/CCPRcase.nsf/3167fd85523cbf75c12567c8004d4280/E736552A5F27BCACC12578310047FF07?Opendocument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Sheena Neogi</dc:creator>
  <cp:keywords/>
  <cp:lastModifiedBy>Sarah Willig</cp:lastModifiedBy>
  <cp:revision>2</cp:revision>
  <cp:lastPrinted>2014-11-17T10:06:00Z</cp:lastPrinted>
  <dcterms:created xsi:type="dcterms:W3CDTF">2017-01-24T19:23:00Z</dcterms:created>
  <dcterms:modified xsi:type="dcterms:W3CDTF">2017-01-24T19:23:00Z</dcterms:modified>
</cp:coreProperties>
</file>