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110"/>
        <w:gridCol w:w="2976"/>
      </w:tblGrid>
      <w:tr w:rsidR="002D5AAC" w:rsidRPr="00636869" w14:paraId="04331CD5" w14:textId="77777777" w:rsidTr="00080A30">
        <w:trPr>
          <w:trHeight w:hRule="exact" w:val="851"/>
        </w:trPr>
        <w:tc>
          <w:tcPr>
            <w:tcW w:w="1280" w:type="dxa"/>
            <w:tcBorders>
              <w:bottom w:val="single" w:sz="4" w:space="0" w:color="auto"/>
            </w:tcBorders>
          </w:tcPr>
          <w:p w14:paraId="3B0300AB" w14:textId="77777777" w:rsidR="002D5AAC" w:rsidRPr="00636869" w:rsidRDefault="002D5AAC" w:rsidP="00080A30">
            <w:pPr>
              <w:kinsoku w:val="0"/>
              <w:overflowPunct w:val="0"/>
              <w:autoSpaceDE w:val="0"/>
              <w:autoSpaceDN w:val="0"/>
              <w:adjustRightInd w:val="0"/>
              <w:snapToGrid w:val="0"/>
              <w:rPr>
                <w:rStyle w:val="FollowedHyperlink"/>
              </w:rPr>
            </w:pPr>
            <w:bookmarkStart w:id="0" w:name="_GoBack"/>
            <w:bookmarkEnd w:id="0"/>
          </w:p>
        </w:tc>
        <w:tc>
          <w:tcPr>
            <w:tcW w:w="2273" w:type="dxa"/>
            <w:tcBorders>
              <w:bottom w:val="single" w:sz="4" w:space="0" w:color="auto"/>
            </w:tcBorders>
            <w:vAlign w:val="bottom"/>
          </w:tcPr>
          <w:p w14:paraId="7D3D734A" w14:textId="77777777" w:rsidR="002D5AAC" w:rsidRPr="00F70447" w:rsidRDefault="00BD33EE" w:rsidP="00A17DFD">
            <w:pPr>
              <w:spacing w:after="80" w:line="300" w:lineRule="exact"/>
              <w:rPr>
                <w:sz w:val="28"/>
                <w:szCs w:val="28"/>
              </w:rPr>
            </w:pPr>
            <w:r w:rsidRPr="00F70447">
              <w:rPr>
                <w:sz w:val="28"/>
                <w:szCs w:val="28"/>
              </w:rPr>
              <w:t>Naciones Unidas</w:t>
            </w:r>
          </w:p>
        </w:tc>
        <w:tc>
          <w:tcPr>
            <w:tcW w:w="6086" w:type="dxa"/>
            <w:gridSpan w:val="2"/>
            <w:tcBorders>
              <w:bottom w:val="single" w:sz="4" w:space="0" w:color="auto"/>
            </w:tcBorders>
            <w:vAlign w:val="bottom"/>
          </w:tcPr>
          <w:p w14:paraId="397CCF8D" w14:textId="6414F8D7" w:rsidR="002D5AAC" w:rsidRPr="00636869" w:rsidRDefault="00080A30" w:rsidP="00331C88">
            <w:pPr>
              <w:jc w:val="right"/>
            </w:pPr>
            <w:r w:rsidRPr="00FE0385">
              <w:rPr>
                <w:sz w:val="40"/>
                <w:szCs w:val="40"/>
              </w:rPr>
              <w:t>CCPR</w:t>
            </w:r>
            <w:r w:rsidRPr="00636869">
              <w:t>/C/11</w:t>
            </w:r>
            <w:r w:rsidR="00331C88" w:rsidRPr="00636869">
              <w:t>9</w:t>
            </w:r>
            <w:r w:rsidRPr="00636869">
              <w:t>/D/21</w:t>
            </w:r>
            <w:r w:rsidR="00331C88" w:rsidRPr="00636869">
              <w:t>21</w:t>
            </w:r>
            <w:r w:rsidRPr="00636869">
              <w:t>/201</w:t>
            </w:r>
            <w:r w:rsidR="00331C88" w:rsidRPr="00636869">
              <w:t>1</w:t>
            </w:r>
          </w:p>
        </w:tc>
      </w:tr>
      <w:tr w:rsidR="002D5AAC" w:rsidRPr="00636869" w14:paraId="5131C6FC" w14:textId="77777777" w:rsidTr="00080A30">
        <w:trPr>
          <w:trHeight w:hRule="exact" w:val="2835"/>
        </w:trPr>
        <w:tc>
          <w:tcPr>
            <w:tcW w:w="1280" w:type="dxa"/>
            <w:tcBorders>
              <w:top w:val="single" w:sz="4" w:space="0" w:color="auto"/>
              <w:bottom w:val="single" w:sz="12" w:space="0" w:color="auto"/>
            </w:tcBorders>
          </w:tcPr>
          <w:p w14:paraId="37E5CB3B" w14:textId="77777777" w:rsidR="002D5AAC" w:rsidRPr="00636869" w:rsidRDefault="00411A36" w:rsidP="00A17DFD">
            <w:pPr>
              <w:spacing w:before="120"/>
              <w:jc w:val="center"/>
            </w:pPr>
            <w:r w:rsidRPr="00636869">
              <w:rPr>
                <w:noProof/>
                <w:lang w:val="en-US" w:eastAsia="en-US"/>
              </w:rPr>
              <w:drawing>
                <wp:inline distT="0" distB="0" distL="0" distR="0" wp14:anchorId="422E3D79" wp14:editId="02F925A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383" w:type="dxa"/>
            <w:gridSpan w:val="2"/>
            <w:tcBorders>
              <w:top w:val="single" w:sz="4" w:space="0" w:color="auto"/>
              <w:bottom w:val="single" w:sz="12" w:space="0" w:color="auto"/>
            </w:tcBorders>
          </w:tcPr>
          <w:p w14:paraId="05B26496" w14:textId="77777777" w:rsidR="002D5AAC" w:rsidRPr="00A05FFD" w:rsidRDefault="00963777" w:rsidP="007967DF">
            <w:pPr>
              <w:spacing w:before="120" w:line="360" w:lineRule="exact"/>
              <w:rPr>
                <w:b/>
                <w:sz w:val="34"/>
                <w:szCs w:val="34"/>
              </w:rPr>
            </w:pPr>
            <w:r w:rsidRPr="00A05FFD">
              <w:rPr>
                <w:b/>
                <w:sz w:val="34"/>
                <w:szCs w:val="34"/>
              </w:rPr>
              <w:t>Pacto Internacional de Derechos</w:t>
            </w:r>
            <w:r w:rsidRPr="00A05FFD">
              <w:rPr>
                <w:b/>
                <w:sz w:val="34"/>
                <w:szCs w:val="34"/>
              </w:rPr>
              <w:br/>
              <w:t>Civiles y Políticos</w:t>
            </w:r>
          </w:p>
          <w:p w14:paraId="27C99347" w14:textId="77777777" w:rsidR="00743C64" w:rsidRPr="00A05FFD" w:rsidRDefault="00743C64" w:rsidP="007967DF">
            <w:pPr>
              <w:spacing w:before="120" w:line="360" w:lineRule="exact"/>
              <w:rPr>
                <w:b/>
                <w:sz w:val="34"/>
                <w:szCs w:val="34"/>
              </w:rPr>
            </w:pPr>
          </w:p>
        </w:tc>
        <w:tc>
          <w:tcPr>
            <w:tcW w:w="2976" w:type="dxa"/>
            <w:tcBorders>
              <w:top w:val="single" w:sz="4" w:space="0" w:color="auto"/>
              <w:bottom w:val="single" w:sz="12" w:space="0" w:color="auto"/>
            </w:tcBorders>
          </w:tcPr>
          <w:p w14:paraId="7B23DAE3" w14:textId="4A03066F" w:rsidR="002D5AAC" w:rsidRPr="00A05FFD" w:rsidRDefault="00080A30" w:rsidP="00B511D3">
            <w:pPr>
              <w:spacing w:before="240"/>
            </w:pPr>
            <w:r w:rsidRPr="00A05FFD">
              <w:t xml:space="preserve">Distr. </w:t>
            </w:r>
            <w:r w:rsidR="00B3621D" w:rsidRPr="00A05FFD">
              <w:t>g</w:t>
            </w:r>
            <w:r w:rsidR="00F2659F" w:rsidRPr="00A05FFD">
              <w:t>eneral</w:t>
            </w:r>
          </w:p>
          <w:p w14:paraId="29913D56" w14:textId="285BC59E" w:rsidR="00080A30" w:rsidRPr="00A05FFD" w:rsidRDefault="00966A39" w:rsidP="004F001A">
            <w:pPr>
              <w:spacing w:line="240" w:lineRule="exact"/>
            </w:pPr>
            <w:r>
              <w:t>1 de mayo</w:t>
            </w:r>
            <w:r w:rsidR="00743C64" w:rsidRPr="00A05FFD">
              <w:t xml:space="preserve"> </w:t>
            </w:r>
            <w:r w:rsidR="00331C88" w:rsidRPr="00A05FFD">
              <w:t>de 2017</w:t>
            </w:r>
          </w:p>
          <w:p w14:paraId="43EAE448" w14:textId="77777777" w:rsidR="00FE0385" w:rsidRPr="00A05FFD" w:rsidRDefault="00FE0385" w:rsidP="00080A30">
            <w:pPr>
              <w:spacing w:line="240" w:lineRule="exact"/>
            </w:pPr>
          </w:p>
          <w:p w14:paraId="25448868" w14:textId="384BEDBB" w:rsidR="00080A30" w:rsidRPr="00A05FFD" w:rsidRDefault="00080A30" w:rsidP="008C3C15">
            <w:pPr>
              <w:spacing w:line="240" w:lineRule="exact"/>
            </w:pPr>
            <w:r w:rsidRPr="00A05FFD">
              <w:t xml:space="preserve">Original: </w:t>
            </w:r>
            <w:r w:rsidR="00896F2B" w:rsidRPr="00A05FFD">
              <w:t>e</w:t>
            </w:r>
            <w:r w:rsidR="00331C88" w:rsidRPr="00A05FFD">
              <w:t>spañol</w:t>
            </w:r>
          </w:p>
        </w:tc>
      </w:tr>
    </w:tbl>
    <w:p w14:paraId="7DAB9D24" w14:textId="77777777" w:rsidR="00080A30" w:rsidRPr="00802445" w:rsidRDefault="00411A36" w:rsidP="00FE4480">
      <w:pPr>
        <w:spacing w:before="120"/>
        <w:rPr>
          <w:b/>
          <w:sz w:val="24"/>
        </w:rPr>
      </w:pPr>
      <w:r w:rsidRPr="00802445">
        <w:rPr>
          <w:b/>
          <w:sz w:val="24"/>
        </w:rPr>
        <w:t>Comité de Derechos Humanos</w:t>
      </w:r>
    </w:p>
    <w:p w14:paraId="1A19D0E4" w14:textId="236F9049" w:rsidR="00080A30" w:rsidRPr="00F70447" w:rsidRDefault="00080A30" w:rsidP="00802445">
      <w:pPr>
        <w:pStyle w:val="HChG"/>
      </w:pPr>
      <w:r w:rsidRPr="00636869">
        <w:rPr>
          <w:sz w:val="20"/>
        </w:rPr>
        <w:tab/>
      </w:r>
      <w:r w:rsidRPr="00636869">
        <w:rPr>
          <w:sz w:val="20"/>
        </w:rPr>
        <w:tab/>
      </w:r>
      <w:r w:rsidR="00743C64" w:rsidRPr="00F33395">
        <w:rPr>
          <w:szCs w:val="24"/>
        </w:rPr>
        <w:t xml:space="preserve">Decisión del Comité en virtud del Protocolo Facultativo </w:t>
      </w:r>
      <w:r w:rsidR="00743C64">
        <w:rPr>
          <w:szCs w:val="24"/>
        </w:rPr>
        <w:t xml:space="preserve">respecto de la </w:t>
      </w:r>
      <w:r w:rsidR="00743C64" w:rsidRPr="00510ED9">
        <w:rPr>
          <w:szCs w:val="24"/>
        </w:rPr>
        <w:t xml:space="preserve">comunicación </w:t>
      </w:r>
      <w:r w:rsidR="00896F2B">
        <w:rPr>
          <w:szCs w:val="24"/>
        </w:rPr>
        <w:t xml:space="preserve">núm. </w:t>
      </w:r>
      <w:r w:rsidR="00743C64" w:rsidRPr="00F70447">
        <w:rPr>
          <w:szCs w:val="28"/>
        </w:rPr>
        <w:t>2121/2011</w:t>
      </w:r>
      <w:r w:rsidR="008C3C15" w:rsidRPr="00802445">
        <w:rPr>
          <w:rStyle w:val="FootnoteReference"/>
          <w:b w:val="0"/>
          <w:sz w:val="20"/>
          <w:vertAlign w:val="baseline"/>
        </w:rPr>
        <w:footnoteReference w:customMarkFollows="1" w:id="1"/>
        <w:t>*</w:t>
      </w:r>
      <w:r w:rsidR="008C3C15">
        <w:rPr>
          <w:b w:val="0"/>
          <w:sz w:val="20"/>
        </w:rPr>
        <w:t xml:space="preserve"> </w:t>
      </w:r>
      <w:r w:rsidR="008C3C15" w:rsidRPr="00802445">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080A30" w:rsidRPr="00636869" w14:paraId="75B125AF" w14:textId="77777777" w:rsidTr="00802445">
        <w:tc>
          <w:tcPr>
            <w:tcW w:w="2835" w:type="dxa"/>
          </w:tcPr>
          <w:p w14:paraId="6B6F8335" w14:textId="77777777" w:rsidR="00080A30" w:rsidRPr="00636869" w:rsidRDefault="00080A30" w:rsidP="00733D6B">
            <w:pPr>
              <w:pStyle w:val="SingleTxtG"/>
              <w:ind w:left="0" w:right="0"/>
              <w:jc w:val="left"/>
              <w:rPr>
                <w:i/>
              </w:rPr>
            </w:pPr>
            <w:r w:rsidRPr="008C3C15">
              <w:rPr>
                <w:i/>
              </w:rPr>
              <w:t>Comunicación presentada por:</w:t>
            </w:r>
          </w:p>
        </w:tc>
        <w:tc>
          <w:tcPr>
            <w:tcW w:w="3970" w:type="dxa"/>
          </w:tcPr>
          <w:p w14:paraId="300973ED" w14:textId="18F6C05E" w:rsidR="00080A30" w:rsidRPr="00636869" w:rsidRDefault="00570B5B">
            <w:pPr>
              <w:pStyle w:val="SingleTxtG"/>
              <w:ind w:left="0" w:right="0"/>
              <w:jc w:val="left"/>
            </w:pPr>
            <w:r w:rsidRPr="00802445">
              <w:t>F.</w:t>
            </w:r>
            <w:r w:rsidR="007D0FBC">
              <w:t xml:space="preserve"> </w:t>
            </w:r>
            <w:r w:rsidRPr="00802445">
              <w:t>A.</w:t>
            </w:r>
            <w:r w:rsidR="007D0FBC">
              <w:t xml:space="preserve"> </w:t>
            </w:r>
            <w:r w:rsidRPr="00802445">
              <w:t xml:space="preserve">H. </w:t>
            </w:r>
            <w:r w:rsidR="00896F2B">
              <w:t xml:space="preserve">y otros </w:t>
            </w:r>
            <w:r w:rsidR="00331C88" w:rsidRPr="00636869">
              <w:t>(representados</w:t>
            </w:r>
            <w:r w:rsidR="00080A30" w:rsidRPr="00636869">
              <w:t xml:space="preserve"> por el abogado </w:t>
            </w:r>
            <w:r w:rsidR="00331C88" w:rsidRPr="00636869">
              <w:t>Alberto León Gómez Zuluaga</w:t>
            </w:r>
            <w:r w:rsidR="00080A30" w:rsidRPr="00636869">
              <w:t>)</w:t>
            </w:r>
          </w:p>
        </w:tc>
      </w:tr>
      <w:tr w:rsidR="00080A30" w:rsidRPr="00636869" w14:paraId="5A499650" w14:textId="77777777" w:rsidTr="00802445">
        <w:tc>
          <w:tcPr>
            <w:tcW w:w="2835" w:type="dxa"/>
          </w:tcPr>
          <w:p w14:paraId="27FF9B91" w14:textId="77777777" w:rsidR="00080A30" w:rsidRPr="00636869" w:rsidRDefault="00080A30" w:rsidP="00733D6B">
            <w:pPr>
              <w:pStyle w:val="SingleTxtG"/>
              <w:ind w:left="0" w:right="0"/>
              <w:jc w:val="left"/>
              <w:rPr>
                <w:i/>
              </w:rPr>
            </w:pPr>
            <w:r w:rsidRPr="00636869">
              <w:rPr>
                <w:i/>
              </w:rPr>
              <w:t>Presunta</w:t>
            </w:r>
            <w:r w:rsidR="00653AC2">
              <w:rPr>
                <w:i/>
              </w:rPr>
              <w:t>s</w:t>
            </w:r>
            <w:r w:rsidRPr="00636869">
              <w:rPr>
                <w:i/>
              </w:rPr>
              <w:t xml:space="preserve"> víctima</w:t>
            </w:r>
            <w:r w:rsidR="00653AC2">
              <w:rPr>
                <w:i/>
              </w:rPr>
              <w:t>s</w:t>
            </w:r>
            <w:r w:rsidRPr="00636869">
              <w:rPr>
                <w:i/>
              </w:rPr>
              <w:t>:</w:t>
            </w:r>
          </w:p>
        </w:tc>
        <w:tc>
          <w:tcPr>
            <w:tcW w:w="3970" w:type="dxa"/>
          </w:tcPr>
          <w:p w14:paraId="13FFE039" w14:textId="4D3E8966" w:rsidR="00080A30" w:rsidRPr="00636869" w:rsidRDefault="00080A30" w:rsidP="00331C88">
            <w:pPr>
              <w:pStyle w:val="SingleTxtG"/>
              <w:ind w:left="0" w:right="0"/>
              <w:jc w:val="left"/>
            </w:pPr>
            <w:r w:rsidRPr="00636869">
              <w:t>L</w:t>
            </w:r>
            <w:r w:rsidR="00331C88" w:rsidRPr="00636869">
              <w:t>os autores</w:t>
            </w:r>
          </w:p>
        </w:tc>
      </w:tr>
      <w:tr w:rsidR="00080A30" w:rsidRPr="00636869" w14:paraId="57A2253A" w14:textId="77777777" w:rsidTr="00802445">
        <w:tc>
          <w:tcPr>
            <w:tcW w:w="2835" w:type="dxa"/>
          </w:tcPr>
          <w:p w14:paraId="54187053" w14:textId="77777777" w:rsidR="00080A30" w:rsidRPr="00636869" w:rsidRDefault="00080A30" w:rsidP="00733D6B">
            <w:pPr>
              <w:pStyle w:val="SingleTxtG"/>
              <w:ind w:left="0" w:right="0"/>
              <w:jc w:val="left"/>
              <w:rPr>
                <w:i/>
              </w:rPr>
            </w:pPr>
            <w:r w:rsidRPr="00636869">
              <w:rPr>
                <w:i/>
              </w:rPr>
              <w:t>Estado parte:</w:t>
            </w:r>
          </w:p>
        </w:tc>
        <w:tc>
          <w:tcPr>
            <w:tcW w:w="3970" w:type="dxa"/>
          </w:tcPr>
          <w:p w14:paraId="489A0442" w14:textId="77777777" w:rsidR="00080A30" w:rsidRPr="00636869" w:rsidRDefault="00331C88" w:rsidP="00733D6B">
            <w:pPr>
              <w:pStyle w:val="SingleTxtG"/>
              <w:ind w:left="0" w:right="0"/>
              <w:jc w:val="left"/>
            </w:pPr>
            <w:r w:rsidRPr="00636869">
              <w:t>Colombia</w:t>
            </w:r>
          </w:p>
        </w:tc>
      </w:tr>
      <w:tr w:rsidR="00080A30" w:rsidRPr="00636869" w14:paraId="7471DA9E" w14:textId="77777777" w:rsidTr="00802445">
        <w:tc>
          <w:tcPr>
            <w:tcW w:w="2835" w:type="dxa"/>
          </w:tcPr>
          <w:p w14:paraId="027B0654" w14:textId="77777777" w:rsidR="00080A30" w:rsidRPr="00636869" w:rsidRDefault="00080A30" w:rsidP="00733D6B">
            <w:pPr>
              <w:pStyle w:val="SingleTxtG"/>
              <w:ind w:left="0" w:right="0"/>
              <w:jc w:val="left"/>
              <w:rPr>
                <w:i/>
              </w:rPr>
            </w:pPr>
            <w:r w:rsidRPr="00636869">
              <w:rPr>
                <w:i/>
              </w:rPr>
              <w:t>Fecha de la comunicación:</w:t>
            </w:r>
          </w:p>
        </w:tc>
        <w:tc>
          <w:tcPr>
            <w:tcW w:w="3970" w:type="dxa"/>
          </w:tcPr>
          <w:p w14:paraId="44AE7957" w14:textId="77777777" w:rsidR="00080A30" w:rsidRPr="00636869" w:rsidRDefault="00080A30" w:rsidP="00331C88">
            <w:pPr>
              <w:pStyle w:val="SingleTxtG"/>
              <w:ind w:left="0" w:right="0"/>
              <w:jc w:val="left"/>
            </w:pPr>
            <w:r w:rsidRPr="00636869">
              <w:t>2</w:t>
            </w:r>
            <w:r w:rsidR="00331C88" w:rsidRPr="00636869">
              <w:t>2 de junio de 2010</w:t>
            </w:r>
            <w:r w:rsidRPr="00636869">
              <w:t xml:space="preserve"> (presentación inicial)</w:t>
            </w:r>
          </w:p>
        </w:tc>
      </w:tr>
      <w:tr w:rsidR="00080A30" w:rsidRPr="00636869" w14:paraId="699157E1" w14:textId="77777777" w:rsidTr="00802445">
        <w:tc>
          <w:tcPr>
            <w:tcW w:w="2835" w:type="dxa"/>
          </w:tcPr>
          <w:p w14:paraId="4EDCD256" w14:textId="77777777" w:rsidR="00080A30" w:rsidRPr="00636869" w:rsidRDefault="00080A30" w:rsidP="00733D6B">
            <w:pPr>
              <w:pStyle w:val="SingleTxtG"/>
              <w:ind w:left="0" w:right="0"/>
              <w:jc w:val="left"/>
              <w:rPr>
                <w:i/>
              </w:rPr>
            </w:pPr>
            <w:r w:rsidRPr="00636869">
              <w:rPr>
                <w:i/>
              </w:rPr>
              <w:t>Referencia:</w:t>
            </w:r>
          </w:p>
        </w:tc>
        <w:tc>
          <w:tcPr>
            <w:tcW w:w="3970" w:type="dxa"/>
            <w:vAlign w:val="bottom"/>
          </w:tcPr>
          <w:p w14:paraId="087E1FA9" w14:textId="7329F12F" w:rsidR="00080A30" w:rsidRPr="00636869" w:rsidRDefault="00080A30" w:rsidP="00E71F92">
            <w:pPr>
              <w:pStyle w:val="SingleTxtG"/>
              <w:ind w:left="0" w:right="0"/>
              <w:jc w:val="left"/>
            </w:pPr>
            <w:r w:rsidRPr="00636869">
              <w:t>Decisión adoptada con arreglo al artículo 97 del reglamento del Comité, transmitida al Estado parte el 1</w:t>
            </w:r>
            <w:r w:rsidR="00331C88" w:rsidRPr="00636869">
              <w:t>9 de diciembre de 2011</w:t>
            </w:r>
            <w:r w:rsidRPr="00636869">
              <w:t xml:space="preserve"> (no se publicó como documento)</w:t>
            </w:r>
          </w:p>
        </w:tc>
      </w:tr>
      <w:tr w:rsidR="00080A30" w:rsidRPr="00636869" w14:paraId="27457AE0" w14:textId="77777777" w:rsidTr="00802445">
        <w:tc>
          <w:tcPr>
            <w:tcW w:w="2835" w:type="dxa"/>
          </w:tcPr>
          <w:p w14:paraId="07E54981" w14:textId="77777777" w:rsidR="00080A30" w:rsidRPr="00636869" w:rsidRDefault="00080A30" w:rsidP="00080A30">
            <w:pPr>
              <w:pStyle w:val="SingleTxtG"/>
              <w:ind w:left="0" w:right="0"/>
              <w:jc w:val="left"/>
              <w:rPr>
                <w:i/>
              </w:rPr>
            </w:pPr>
            <w:r w:rsidRPr="00636869">
              <w:rPr>
                <w:i/>
              </w:rPr>
              <w:t xml:space="preserve">Fecha de </w:t>
            </w:r>
            <w:r w:rsidRPr="008C3C15">
              <w:rPr>
                <w:i/>
              </w:rPr>
              <w:t>aprobación</w:t>
            </w:r>
            <w:r w:rsidRPr="008C3C15">
              <w:rPr>
                <w:i/>
              </w:rPr>
              <w:br/>
              <w:t>del dictamen:</w:t>
            </w:r>
          </w:p>
        </w:tc>
        <w:tc>
          <w:tcPr>
            <w:tcW w:w="3970" w:type="dxa"/>
            <w:vAlign w:val="bottom"/>
          </w:tcPr>
          <w:p w14:paraId="02418986" w14:textId="18E5FB45" w:rsidR="00080A30" w:rsidRPr="00636869" w:rsidRDefault="00F2659F" w:rsidP="008C3C15">
            <w:pPr>
              <w:pStyle w:val="SingleTxtG"/>
              <w:ind w:left="0" w:right="0"/>
              <w:jc w:val="left"/>
            </w:pPr>
            <w:r>
              <w:t xml:space="preserve">28 </w:t>
            </w:r>
            <w:r w:rsidR="00080A30" w:rsidRPr="00636869">
              <w:t xml:space="preserve">de </w:t>
            </w:r>
            <w:r w:rsidR="00C7021F" w:rsidRPr="00636869">
              <w:t>marzo de 2017</w:t>
            </w:r>
          </w:p>
        </w:tc>
      </w:tr>
      <w:tr w:rsidR="00080A30" w:rsidRPr="00636869" w14:paraId="077E4435" w14:textId="77777777" w:rsidTr="00802445">
        <w:tc>
          <w:tcPr>
            <w:tcW w:w="2835" w:type="dxa"/>
          </w:tcPr>
          <w:p w14:paraId="2F87A8C3" w14:textId="77777777" w:rsidR="00080A30" w:rsidRPr="00636869" w:rsidRDefault="00080A30" w:rsidP="00733D6B">
            <w:pPr>
              <w:pStyle w:val="SingleTxtG"/>
              <w:ind w:left="0" w:right="0"/>
              <w:jc w:val="left"/>
              <w:rPr>
                <w:i/>
              </w:rPr>
            </w:pPr>
            <w:r w:rsidRPr="00636869">
              <w:rPr>
                <w:i/>
              </w:rPr>
              <w:t>Asunto:</w:t>
            </w:r>
          </w:p>
        </w:tc>
        <w:tc>
          <w:tcPr>
            <w:tcW w:w="3970" w:type="dxa"/>
            <w:vAlign w:val="bottom"/>
          </w:tcPr>
          <w:p w14:paraId="026212F7" w14:textId="77777777" w:rsidR="00080A30" w:rsidRPr="00636869" w:rsidRDefault="00DC1025" w:rsidP="00DC1025">
            <w:pPr>
              <w:pStyle w:val="SingleTxtG"/>
              <w:ind w:left="0" w:right="0"/>
              <w:jc w:val="left"/>
            </w:pPr>
            <w:r w:rsidRPr="00802445">
              <w:t>D</w:t>
            </w:r>
            <w:r w:rsidR="00307A46" w:rsidRPr="00802445">
              <w:t>espido arbitrario</w:t>
            </w:r>
            <w:r w:rsidRPr="00802445">
              <w:t xml:space="preserve"> del puesto de trabajo</w:t>
            </w:r>
          </w:p>
        </w:tc>
      </w:tr>
      <w:tr w:rsidR="00080A30" w:rsidRPr="00636869" w14:paraId="60A38E11" w14:textId="77777777" w:rsidTr="00802445">
        <w:tc>
          <w:tcPr>
            <w:tcW w:w="2835" w:type="dxa"/>
          </w:tcPr>
          <w:p w14:paraId="120B5AC2" w14:textId="77777777" w:rsidR="00080A30" w:rsidRPr="00636869" w:rsidRDefault="00080A30" w:rsidP="00733D6B">
            <w:pPr>
              <w:pStyle w:val="SingleTxtG"/>
              <w:ind w:left="0" w:right="0"/>
              <w:jc w:val="left"/>
              <w:rPr>
                <w:i/>
              </w:rPr>
            </w:pPr>
            <w:r w:rsidRPr="00636869">
              <w:rPr>
                <w:i/>
              </w:rPr>
              <w:t>Cuestiones de procedimiento:</w:t>
            </w:r>
          </w:p>
        </w:tc>
        <w:tc>
          <w:tcPr>
            <w:tcW w:w="3970" w:type="dxa"/>
            <w:vAlign w:val="bottom"/>
          </w:tcPr>
          <w:p w14:paraId="58A5831B" w14:textId="77777777" w:rsidR="00080A30" w:rsidRPr="00636869" w:rsidRDefault="00733B21" w:rsidP="00733B21">
            <w:pPr>
              <w:pStyle w:val="SingleTxtG"/>
              <w:ind w:left="0" w:right="0"/>
              <w:jc w:val="left"/>
            </w:pPr>
            <w:r w:rsidRPr="00636869">
              <w:t xml:space="preserve">Otros procedimientos de examen o arreglo internacional; </w:t>
            </w:r>
            <w:r w:rsidRPr="00802445">
              <w:t>abuso de</w:t>
            </w:r>
            <w:r w:rsidR="006838DF" w:rsidRPr="00802445">
              <w:t>l</w:t>
            </w:r>
            <w:r w:rsidRPr="00802445">
              <w:t xml:space="preserve"> derecho a presentar comunicaciones;</w:t>
            </w:r>
            <w:r w:rsidRPr="00636869">
              <w:t xml:space="preserve"> agotamiento de los recursos internos; i</w:t>
            </w:r>
            <w:r w:rsidR="00080A30" w:rsidRPr="00636869">
              <w:t>nsuficiente fundamentación de las alegaciones</w:t>
            </w:r>
          </w:p>
        </w:tc>
      </w:tr>
      <w:tr w:rsidR="00080A30" w:rsidRPr="00636869" w14:paraId="7F3DFD1D" w14:textId="77777777" w:rsidTr="00802445">
        <w:tc>
          <w:tcPr>
            <w:tcW w:w="2835" w:type="dxa"/>
          </w:tcPr>
          <w:p w14:paraId="7D8E0FDE" w14:textId="77777777" w:rsidR="00080A30" w:rsidRPr="00636869" w:rsidRDefault="00080A30" w:rsidP="00802445">
            <w:pPr>
              <w:pStyle w:val="SingleTxtG"/>
              <w:ind w:left="0" w:right="0"/>
              <w:jc w:val="left"/>
              <w:rPr>
                <w:i/>
              </w:rPr>
            </w:pPr>
            <w:r w:rsidRPr="00636869">
              <w:rPr>
                <w:i/>
              </w:rPr>
              <w:t>Cuestiones de fondo:</w:t>
            </w:r>
          </w:p>
        </w:tc>
        <w:tc>
          <w:tcPr>
            <w:tcW w:w="3970" w:type="dxa"/>
            <w:vAlign w:val="bottom"/>
          </w:tcPr>
          <w:p w14:paraId="4E03B4DA" w14:textId="49E543F5" w:rsidR="00080A30" w:rsidRPr="00636869" w:rsidRDefault="00080A30" w:rsidP="00802445">
            <w:pPr>
              <w:pStyle w:val="SingleTxtG"/>
              <w:ind w:left="0" w:right="0"/>
              <w:jc w:val="left"/>
            </w:pPr>
            <w:r w:rsidRPr="00636869">
              <w:t>D</w:t>
            </w:r>
            <w:r w:rsidR="002F2E91" w:rsidRPr="00636869">
              <w:t>ebido proceso; libertad de asociación; igualdad ante la ley</w:t>
            </w:r>
          </w:p>
        </w:tc>
      </w:tr>
      <w:tr w:rsidR="00080A30" w:rsidRPr="00636869" w14:paraId="22C686DC" w14:textId="77777777" w:rsidTr="00802445">
        <w:tc>
          <w:tcPr>
            <w:tcW w:w="2835" w:type="dxa"/>
          </w:tcPr>
          <w:p w14:paraId="08242D49" w14:textId="77777777" w:rsidR="00080A30" w:rsidRPr="00636869" w:rsidRDefault="00080A30" w:rsidP="00733D6B">
            <w:pPr>
              <w:pStyle w:val="SingleTxtG"/>
              <w:ind w:left="0" w:right="0"/>
              <w:jc w:val="left"/>
              <w:rPr>
                <w:i/>
              </w:rPr>
            </w:pPr>
            <w:r w:rsidRPr="00636869">
              <w:rPr>
                <w:i/>
              </w:rPr>
              <w:t>Artículos del Pacto:</w:t>
            </w:r>
          </w:p>
        </w:tc>
        <w:tc>
          <w:tcPr>
            <w:tcW w:w="3970" w:type="dxa"/>
            <w:vAlign w:val="bottom"/>
          </w:tcPr>
          <w:p w14:paraId="6EEA04C9" w14:textId="608502BD" w:rsidR="00080A30" w:rsidRPr="00636869" w:rsidRDefault="00C83CEA" w:rsidP="008C3C15">
            <w:pPr>
              <w:pStyle w:val="SingleTxtG"/>
              <w:ind w:left="0" w:right="0"/>
              <w:jc w:val="left"/>
            </w:pPr>
            <w:r w:rsidRPr="00636869">
              <w:t>2</w:t>
            </w:r>
            <w:r w:rsidR="00896F2B">
              <w:t>, párr</w:t>
            </w:r>
            <w:r w:rsidR="009E7AC9">
              <w:t>s.</w:t>
            </w:r>
            <w:r w:rsidR="00896F2B">
              <w:t xml:space="preserve"> </w:t>
            </w:r>
            <w:r w:rsidR="00733B21" w:rsidRPr="00636869">
              <w:t>2 y 3; 14</w:t>
            </w:r>
            <w:r w:rsidR="00896F2B">
              <w:t>, párr</w:t>
            </w:r>
            <w:r w:rsidR="009E7AC9">
              <w:t>.</w:t>
            </w:r>
            <w:r w:rsidR="00896F2B">
              <w:t xml:space="preserve"> </w:t>
            </w:r>
            <w:r w:rsidR="00733B21" w:rsidRPr="00636869">
              <w:t>1; 22; y 26</w:t>
            </w:r>
          </w:p>
        </w:tc>
      </w:tr>
      <w:tr w:rsidR="00080A30" w:rsidRPr="00636869" w14:paraId="676AC609" w14:textId="77777777" w:rsidTr="00802445">
        <w:tc>
          <w:tcPr>
            <w:tcW w:w="2835" w:type="dxa"/>
          </w:tcPr>
          <w:p w14:paraId="353078DE" w14:textId="77777777" w:rsidR="00080A30" w:rsidRPr="00636869" w:rsidRDefault="00080A30" w:rsidP="00733D6B">
            <w:pPr>
              <w:pStyle w:val="SingleTxtG"/>
              <w:ind w:left="0" w:right="0"/>
              <w:jc w:val="left"/>
              <w:rPr>
                <w:i/>
              </w:rPr>
            </w:pPr>
            <w:r w:rsidRPr="00636869">
              <w:rPr>
                <w:i/>
              </w:rPr>
              <w:t>Artículos del Protocolo</w:t>
            </w:r>
            <w:r w:rsidRPr="00636869">
              <w:rPr>
                <w:i/>
              </w:rPr>
              <w:br/>
              <w:t>Facultativo:</w:t>
            </w:r>
          </w:p>
        </w:tc>
        <w:tc>
          <w:tcPr>
            <w:tcW w:w="3970" w:type="dxa"/>
            <w:vAlign w:val="bottom"/>
          </w:tcPr>
          <w:p w14:paraId="1F99B969" w14:textId="6CE2E9FD" w:rsidR="00080A30" w:rsidRPr="00636869" w:rsidRDefault="00C83CEA" w:rsidP="008C3C15">
            <w:pPr>
              <w:pStyle w:val="SingleTxtG"/>
              <w:ind w:left="0" w:right="0"/>
              <w:jc w:val="left"/>
            </w:pPr>
            <w:r w:rsidRPr="00636869">
              <w:t xml:space="preserve">2; </w:t>
            </w:r>
            <w:r w:rsidR="00733B21" w:rsidRPr="00636869">
              <w:t xml:space="preserve">3; </w:t>
            </w:r>
            <w:r w:rsidRPr="00636869">
              <w:t>y 5</w:t>
            </w:r>
            <w:r w:rsidR="00896F2B">
              <w:t>, párr</w:t>
            </w:r>
            <w:r w:rsidR="009E7AC9">
              <w:t>.</w:t>
            </w:r>
            <w:r w:rsidR="00896F2B">
              <w:t xml:space="preserve"> </w:t>
            </w:r>
            <w:r w:rsidR="00733B21" w:rsidRPr="00636869">
              <w:t>2</w:t>
            </w:r>
            <w:r w:rsidR="009E7AC9">
              <w:t xml:space="preserve"> </w:t>
            </w:r>
            <w:r w:rsidR="00733B21" w:rsidRPr="00636869">
              <w:t>a) y b)</w:t>
            </w:r>
          </w:p>
        </w:tc>
      </w:tr>
    </w:tbl>
    <w:p w14:paraId="5066ABF3" w14:textId="4A842B96" w:rsidR="00C7021F" w:rsidRPr="008C3C15" w:rsidRDefault="00080A30" w:rsidP="00802445">
      <w:pPr>
        <w:pStyle w:val="SingleTxtG"/>
        <w:spacing w:before="120"/>
      </w:pPr>
      <w:r w:rsidRPr="008C3C15">
        <w:t>1.</w:t>
      </w:r>
      <w:r w:rsidRPr="008C3C15">
        <w:tab/>
      </w:r>
      <w:r w:rsidR="00C7021F" w:rsidRPr="008C3C15">
        <w:t>Los autores de l</w:t>
      </w:r>
      <w:r w:rsidR="00F607C6" w:rsidRPr="008C3C15">
        <w:t>a comunicaci</w:t>
      </w:r>
      <w:r w:rsidR="00DC1025" w:rsidRPr="006E0231">
        <w:t>ón</w:t>
      </w:r>
      <w:r w:rsidR="00F607C6" w:rsidRPr="006E0231">
        <w:t xml:space="preserve"> son</w:t>
      </w:r>
      <w:r w:rsidR="00570B5B" w:rsidRPr="006E0231">
        <w:t xml:space="preserve"> </w:t>
      </w:r>
      <w:r w:rsidR="00570B5B" w:rsidRPr="00802445">
        <w:t>F.</w:t>
      </w:r>
      <w:r w:rsidR="009E7AC9">
        <w:t xml:space="preserve"> </w:t>
      </w:r>
      <w:r w:rsidR="00570B5B" w:rsidRPr="00802445">
        <w:t>A.</w:t>
      </w:r>
      <w:r w:rsidR="009E7AC9">
        <w:t xml:space="preserve"> </w:t>
      </w:r>
      <w:r w:rsidR="00570B5B" w:rsidRPr="00802445">
        <w:t>H.</w:t>
      </w:r>
      <w:r w:rsidR="00570B5B" w:rsidRPr="008C3C15">
        <w:t>, R.</w:t>
      </w:r>
      <w:r w:rsidR="009E7AC9">
        <w:t xml:space="preserve"> </w:t>
      </w:r>
      <w:r w:rsidR="00570B5B" w:rsidRPr="008C3C15">
        <w:t>D.</w:t>
      </w:r>
      <w:r w:rsidR="009E7AC9">
        <w:t xml:space="preserve"> </w:t>
      </w:r>
      <w:r w:rsidR="00570B5B" w:rsidRPr="008C3C15">
        <w:t>C., G.</w:t>
      </w:r>
      <w:r w:rsidR="009E7AC9">
        <w:t xml:space="preserve"> </w:t>
      </w:r>
      <w:r w:rsidR="00570B5B" w:rsidRPr="008C3C15">
        <w:t>V.</w:t>
      </w:r>
      <w:r w:rsidR="009E7AC9">
        <w:t xml:space="preserve"> </w:t>
      </w:r>
      <w:r w:rsidR="00570B5B" w:rsidRPr="008C3C15">
        <w:t>B., J.</w:t>
      </w:r>
      <w:r w:rsidR="009E7AC9">
        <w:t xml:space="preserve"> </w:t>
      </w:r>
      <w:r w:rsidR="00570B5B" w:rsidRPr="008C3C15">
        <w:t>J.</w:t>
      </w:r>
      <w:r w:rsidR="009E7AC9">
        <w:t xml:space="preserve"> </w:t>
      </w:r>
      <w:r w:rsidR="00570B5B" w:rsidRPr="008C3C15">
        <w:t>R.</w:t>
      </w:r>
      <w:r w:rsidR="009E7AC9">
        <w:t xml:space="preserve"> </w:t>
      </w:r>
      <w:r w:rsidR="00570B5B" w:rsidRPr="008C3C15">
        <w:t>R. y J.</w:t>
      </w:r>
      <w:r w:rsidR="009E7AC9">
        <w:t xml:space="preserve"> </w:t>
      </w:r>
      <w:r w:rsidR="00570B5B" w:rsidRPr="008C3C15">
        <w:t>M.</w:t>
      </w:r>
      <w:r w:rsidR="009E7AC9">
        <w:t xml:space="preserve"> </w:t>
      </w:r>
      <w:r w:rsidR="00570B5B" w:rsidRPr="008C3C15">
        <w:t xml:space="preserve">P., </w:t>
      </w:r>
      <w:r w:rsidR="00C7021F" w:rsidRPr="006E0231">
        <w:t xml:space="preserve">todos ellos ciudadanos colombianos, mayores de edad. Afirman que son víctimas de una vulneración de los derechos </w:t>
      </w:r>
      <w:r w:rsidR="00BE7A8C" w:rsidRPr="006E0231">
        <w:t>que les asisten en virtud de</w:t>
      </w:r>
      <w:r w:rsidR="002965D8" w:rsidRPr="006E0231">
        <w:t xml:space="preserve"> los artículos</w:t>
      </w:r>
      <w:r w:rsidR="00CC1D85" w:rsidRPr="006E0231">
        <w:t xml:space="preserve"> 14</w:t>
      </w:r>
      <w:r w:rsidR="00182D02" w:rsidRPr="006E0231">
        <w:t xml:space="preserve">, párrafo </w:t>
      </w:r>
      <w:r w:rsidR="00CC1D85" w:rsidRPr="006E0231">
        <w:t xml:space="preserve">1, leído </w:t>
      </w:r>
      <w:r w:rsidR="00CC1D85" w:rsidRPr="006E0231">
        <w:lastRenderedPageBreak/>
        <w:t xml:space="preserve">individual y conjuntamente con </w:t>
      </w:r>
      <w:r w:rsidR="00182D02" w:rsidRPr="006E0231">
        <w:t xml:space="preserve">los </w:t>
      </w:r>
      <w:r w:rsidR="00CC1D85" w:rsidRPr="006E0231">
        <w:t>artículo</w:t>
      </w:r>
      <w:r w:rsidR="00182D02" w:rsidRPr="006E0231">
        <w:t>s</w:t>
      </w:r>
      <w:r w:rsidR="00CC1D85" w:rsidRPr="006E0231">
        <w:t xml:space="preserve"> 2</w:t>
      </w:r>
      <w:r w:rsidR="00182D02" w:rsidRPr="006E0231">
        <w:t xml:space="preserve">, párrafos </w:t>
      </w:r>
      <w:r w:rsidR="00CC1D85" w:rsidRPr="006E0231">
        <w:t>2</w:t>
      </w:r>
      <w:r w:rsidR="007F6335" w:rsidRPr="006E0231">
        <w:t xml:space="preserve"> </w:t>
      </w:r>
      <w:r w:rsidR="00CC1D85" w:rsidRPr="006E0231">
        <w:t>y</w:t>
      </w:r>
      <w:r w:rsidR="007F6335" w:rsidRPr="006E0231">
        <w:t xml:space="preserve"> </w:t>
      </w:r>
      <w:r w:rsidR="00CC1D85" w:rsidRPr="006E0231">
        <w:t>3; 22</w:t>
      </w:r>
      <w:r w:rsidR="00182D02" w:rsidRPr="006E0231">
        <w:t xml:space="preserve">, párrafo </w:t>
      </w:r>
      <w:r w:rsidR="00CC1D85" w:rsidRPr="006E0231">
        <w:t>1</w:t>
      </w:r>
      <w:r w:rsidR="007F6335" w:rsidRPr="006E0231">
        <w:t>;</w:t>
      </w:r>
      <w:r w:rsidR="00CC1D85" w:rsidRPr="006E0231">
        <w:t xml:space="preserve"> y 26</w:t>
      </w:r>
      <w:r w:rsidR="00C7021F" w:rsidRPr="006E0231">
        <w:t xml:space="preserve"> del Pacto, por el Estado parte. </w:t>
      </w:r>
      <w:r w:rsidR="002965D8" w:rsidRPr="006E0231">
        <w:t>Los autores están representados por abogado</w:t>
      </w:r>
      <w:r w:rsidR="00920000" w:rsidRPr="008C3C15">
        <w:rPr>
          <w:rStyle w:val="FootnoteReference"/>
        </w:rPr>
        <w:footnoteReference w:id="3"/>
      </w:r>
      <w:r w:rsidR="002965D8" w:rsidRPr="008C3C15">
        <w:t>.</w:t>
      </w:r>
    </w:p>
    <w:p w14:paraId="0DDF6525" w14:textId="77777777" w:rsidR="002965D8" w:rsidRPr="006E0231" w:rsidRDefault="00C83CEA" w:rsidP="008C3C15">
      <w:pPr>
        <w:pStyle w:val="H23G"/>
      </w:pPr>
      <w:r w:rsidRPr="006E0231">
        <w:tab/>
      </w:r>
      <w:r w:rsidR="00080A30" w:rsidRPr="006E0231">
        <w:tab/>
      </w:r>
      <w:r w:rsidR="002965D8" w:rsidRPr="006E0231">
        <w:t>Los hechos expuestos por los autores</w:t>
      </w:r>
    </w:p>
    <w:p w14:paraId="4E37E414" w14:textId="4B331660" w:rsidR="00817789" w:rsidRPr="006E0231" w:rsidRDefault="00F14353" w:rsidP="008C3C15">
      <w:pPr>
        <w:pStyle w:val="SingleTxtG"/>
      </w:pPr>
      <w:r w:rsidRPr="006E0231">
        <w:t>2.1</w:t>
      </w:r>
      <w:r w:rsidRPr="006E0231">
        <w:tab/>
      </w:r>
      <w:r w:rsidR="00C058A1" w:rsidRPr="00802445">
        <w:t>F.</w:t>
      </w:r>
      <w:r w:rsidR="009E7AC9">
        <w:t xml:space="preserve"> </w:t>
      </w:r>
      <w:r w:rsidR="00C058A1" w:rsidRPr="00802445">
        <w:t>A.</w:t>
      </w:r>
      <w:r w:rsidR="009E7AC9">
        <w:t xml:space="preserve"> </w:t>
      </w:r>
      <w:r w:rsidR="00C058A1" w:rsidRPr="00802445">
        <w:t>H.</w:t>
      </w:r>
      <w:r w:rsidR="00C058A1" w:rsidRPr="008C3C15">
        <w:t>, R.</w:t>
      </w:r>
      <w:r w:rsidR="009E7AC9">
        <w:t xml:space="preserve"> </w:t>
      </w:r>
      <w:r w:rsidR="00C058A1" w:rsidRPr="008C3C15">
        <w:t>D.</w:t>
      </w:r>
      <w:r w:rsidR="009E7AC9">
        <w:t xml:space="preserve"> </w:t>
      </w:r>
      <w:r w:rsidR="00C058A1" w:rsidRPr="008C3C15">
        <w:t>C., G.</w:t>
      </w:r>
      <w:r w:rsidR="009E7AC9">
        <w:t xml:space="preserve"> </w:t>
      </w:r>
      <w:r w:rsidR="00C058A1" w:rsidRPr="008C3C15">
        <w:t>V.</w:t>
      </w:r>
      <w:r w:rsidR="009E7AC9">
        <w:t xml:space="preserve"> </w:t>
      </w:r>
      <w:r w:rsidR="00C058A1" w:rsidRPr="008C3C15">
        <w:t>B., J.</w:t>
      </w:r>
      <w:r w:rsidR="009E7AC9">
        <w:t xml:space="preserve"> </w:t>
      </w:r>
      <w:r w:rsidR="00C058A1" w:rsidRPr="008C3C15">
        <w:t>J.</w:t>
      </w:r>
      <w:r w:rsidR="009E7AC9">
        <w:t xml:space="preserve"> </w:t>
      </w:r>
      <w:r w:rsidR="00C058A1" w:rsidRPr="008C3C15">
        <w:t>R.</w:t>
      </w:r>
      <w:r w:rsidR="009E7AC9">
        <w:t xml:space="preserve"> </w:t>
      </w:r>
      <w:r w:rsidR="00C058A1" w:rsidRPr="008C3C15">
        <w:t>R. y J.</w:t>
      </w:r>
      <w:r w:rsidR="009E7AC9">
        <w:t xml:space="preserve"> </w:t>
      </w:r>
      <w:r w:rsidR="00C058A1" w:rsidRPr="008C3C15">
        <w:t>M.</w:t>
      </w:r>
      <w:r w:rsidR="009E7AC9">
        <w:t xml:space="preserve"> </w:t>
      </w:r>
      <w:r w:rsidR="00C058A1" w:rsidRPr="008C3C15">
        <w:t>P.</w:t>
      </w:r>
      <w:r w:rsidR="00570B5B" w:rsidRPr="008C3C15" w:rsidDel="00570B5B">
        <w:t xml:space="preserve"> </w:t>
      </w:r>
      <w:r w:rsidR="00817789" w:rsidRPr="006E0231">
        <w:t xml:space="preserve">empezaron a trabajar en la Federación Nacional de Cafeteros de Colombia, en virtud de contratos a término fijo, </w:t>
      </w:r>
      <w:r w:rsidR="0019070A" w:rsidRPr="006E0231">
        <w:t xml:space="preserve">los días </w:t>
      </w:r>
      <w:r w:rsidR="00817789" w:rsidRPr="006E0231">
        <w:t>2 de mayo de 2005, 15 de diciembre de 2003, 1 de febrero de 2006 y 1 de septiembre de 2004</w:t>
      </w:r>
      <w:r w:rsidR="003B5A48" w:rsidRPr="006E0231">
        <w:t>, respectivamente</w:t>
      </w:r>
      <w:r w:rsidR="00920000" w:rsidRPr="008C3C15">
        <w:rPr>
          <w:rStyle w:val="FootnoteReference"/>
        </w:rPr>
        <w:footnoteReference w:id="4"/>
      </w:r>
      <w:r w:rsidR="00817789" w:rsidRPr="008C3C15">
        <w:t>.</w:t>
      </w:r>
      <w:r w:rsidR="00F607C6" w:rsidRPr="008C3C15">
        <w:t xml:space="preserve"> Los trabajadores de la Federación podían afiliarse</w:t>
      </w:r>
      <w:r w:rsidR="00817789" w:rsidRPr="006E0231">
        <w:t xml:space="preserve"> al Sindicato Nacional de Trabajadores de la Federación Nacional de Cafeteros de Colombia </w:t>
      </w:r>
      <w:r w:rsidR="0019070A" w:rsidRPr="006E0231">
        <w:t>(</w:t>
      </w:r>
      <w:r w:rsidR="00817789" w:rsidRPr="006E0231">
        <w:t>SINTRAFEC</w:t>
      </w:r>
      <w:r w:rsidR="0019070A" w:rsidRPr="006E0231">
        <w:t>)</w:t>
      </w:r>
      <w:r w:rsidR="00817789" w:rsidRPr="006E0231">
        <w:t xml:space="preserve"> y/o al Sindicato Nacional de Trabajadores de la Industria del Café </w:t>
      </w:r>
      <w:r w:rsidR="0019070A" w:rsidRPr="006E0231">
        <w:t>(</w:t>
      </w:r>
      <w:r w:rsidR="00817789" w:rsidRPr="006E0231">
        <w:t>SINTRAI</w:t>
      </w:r>
      <w:r w:rsidR="002E154D" w:rsidRPr="006E0231">
        <w:t>N</w:t>
      </w:r>
      <w:r w:rsidR="00817789" w:rsidRPr="006E0231">
        <w:t>DUSCAFÉ</w:t>
      </w:r>
      <w:r w:rsidR="0019070A" w:rsidRPr="006E0231">
        <w:t>)</w:t>
      </w:r>
      <w:r w:rsidR="00817789" w:rsidRPr="006E0231">
        <w:t>.</w:t>
      </w:r>
    </w:p>
    <w:p w14:paraId="5135B07A" w14:textId="01382009" w:rsidR="00CC1D85" w:rsidRPr="006E0231" w:rsidRDefault="00C77AA1" w:rsidP="008C3C15">
      <w:pPr>
        <w:pStyle w:val="SingleTxtG"/>
        <w:rPr>
          <w:rFonts w:eastAsia="Arial Unicode MS"/>
        </w:rPr>
      </w:pPr>
      <w:r w:rsidRPr="006E0231">
        <w:rPr>
          <w:rFonts w:eastAsia="Arial Unicode MS"/>
        </w:rPr>
        <w:t>2.2</w:t>
      </w:r>
      <w:r w:rsidRPr="006E0231">
        <w:rPr>
          <w:rFonts w:eastAsia="Arial Unicode MS"/>
        </w:rPr>
        <w:tab/>
      </w:r>
      <w:r w:rsidR="00F14353" w:rsidRPr="006E0231">
        <w:rPr>
          <w:rFonts w:eastAsia="Arial Unicode MS"/>
        </w:rPr>
        <w:t>El 8 de abril de 2007</w:t>
      </w:r>
      <w:r w:rsidR="0059690D" w:rsidRPr="006E0231">
        <w:rPr>
          <w:rFonts w:eastAsia="Arial Unicode MS"/>
        </w:rPr>
        <w:t>,</w:t>
      </w:r>
      <w:r w:rsidR="00F14353" w:rsidRPr="006E0231">
        <w:rPr>
          <w:rFonts w:eastAsia="Arial Unicode MS"/>
        </w:rPr>
        <w:t xml:space="preserve"> </w:t>
      </w:r>
      <w:r w:rsidR="00064166" w:rsidRPr="006E0231">
        <w:rPr>
          <w:rFonts w:eastAsia="Arial Unicode MS"/>
        </w:rPr>
        <w:t>G.</w:t>
      </w:r>
      <w:r w:rsidR="009E7AC9">
        <w:rPr>
          <w:rFonts w:eastAsia="Arial Unicode MS"/>
        </w:rPr>
        <w:t xml:space="preserve"> </w:t>
      </w:r>
      <w:r w:rsidR="00F14353" w:rsidRPr="008C3C15">
        <w:rPr>
          <w:rFonts w:eastAsia="Arial Unicode MS"/>
        </w:rPr>
        <w:t>V</w:t>
      </w:r>
      <w:r w:rsidR="00C058A1" w:rsidRPr="008C3C15">
        <w:rPr>
          <w:rFonts w:eastAsia="Arial Unicode MS"/>
        </w:rPr>
        <w:t>.</w:t>
      </w:r>
      <w:r w:rsidR="009E7AC9">
        <w:rPr>
          <w:rFonts w:eastAsia="Arial Unicode MS"/>
        </w:rPr>
        <w:t xml:space="preserve"> </w:t>
      </w:r>
      <w:r w:rsidR="00064166" w:rsidRPr="008C3C15">
        <w:rPr>
          <w:rFonts w:eastAsia="Arial Unicode MS"/>
        </w:rPr>
        <w:t>B.</w:t>
      </w:r>
      <w:r w:rsidR="00F14353" w:rsidRPr="006E0231">
        <w:rPr>
          <w:rFonts w:eastAsia="Arial Unicode MS"/>
        </w:rPr>
        <w:t xml:space="preserve"> se afilió a SINTRAINDUSCAFÉ.</w:t>
      </w:r>
      <w:r w:rsidR="00F14353" w:rsidRPr="006E0231">
        <w:t xml:space="preserve"> El 24 </w:t>
      </w:r>
      <w:r w:rsidR="00F14353" w:rsidRPr="006E0231">
        <w:rPr>
          <w:rFonts w:eastAsia="Arial Unicode MS"/>
        </w:rPr>
        <w:t xml:space="preserve">de abril de 2007, </w:t>
      </w:r>
      <w:r w:rsidR="00C058A1" w:rsidRPr="00802445">
        <w:t>F.</w:t>
      </w:r>
      <w:r w:rsidR="009E7AC9">
        <w:t xml:space="preserve"> </w:t>
      </w:r>
      <w:r w:rsidR="00C058A1" w:rsidRPr="00802445">
        <w:t>A.</w:t>
      </w:r>
      <w:r w:rsidR="009E7AC9">
        <w:t xml:space="preserve"> </w:t>
      </w:r>
      <w:r w:rsidR="00C058A1" w:rsidRPr="00802445">
        <w:t>H.</w:t>
      </w:r>
      <w:r w:rsidR="00C058A1" w:rsidRPr="008C3C15">
        <w:t>, R.</w:t>
      </w:r>
      <w:r w:rsidR="009E7AC9">
        <w:t xml:space="preserve"> </w:t>
      </w:r>
      <w:r w:rsidR="00C058A1" w:rsidRPr="008C3C15">
        <w:t>D.</w:t>
      </w:r>
      <w:r w:rsidR="009E7AC9">
        <w:t xml:space="preserve"> </w:t>
      </w:r>
      <w:r w:rsidR="00C058A1" w:rsidRPr="008C3C15">
        <w:t>C., J.</w:t>
      </w:r>
      <w:r w:rsidR="009E7AC9">
        <w:t xml:space="preserve"> </w:t>
      </w:r>
      <w:r w:rsidR="00C058A1" w:rsidRPr="008C3C15">
        <w:t>J.</w:t>
      </w:r>
      <w:r w:rsidR="009E7AC9">
        <w:t xml:space="preserve"> </w:t>
      </w:r>
      <w:r w:rsidR="00C058A1" w:rsidRPr="008C3C15">
        <w:t>R.</w:t>
      </w:r>
      <w:r w:rsidR="009E7AC9">
        <w:t xml:space="preserve"> </w:t>
      </w:r>
      <w:r w:rsidR="00C058A1" w:rsidRPr="008C3C15">
        <w:t>R. y J.</w:t>
      </w:r>
      <w:r w:rsidR="009E7AC9">
        <w:t xml:space="preserve"> </w:t>
      </w:r>
      <w:r w:rsidR="00C058A1" w:rsidRPr="008C3C15">
        <w:t>M.</w:t>
      </w:r>
      <w:r w:rsidR="009E7AC9">
        <w:t xml:space="preserve"> </w:t>
      </w:r>
      <w:r w:rsidR="00C058A1" w:rsidRPr="008C3C15">
        <w:t>P.</w:t>
      </w:r>
      <w:r w:rsidR="0075588F" w:rsidRPr="008C3C15">
        <w:t xml:space="preserve"> </w:t>
      </w:r>
      <w:r w:rsidR="00F14353" w:rsidRPr="006E0231">
        <w:rPr>
          <w:rFonts w:eastAsia="Arial Unicode MS"/>
        </w:rPr>
        <w:t xml:space="preserve">se afiliaron a SINTRAFEC y a SINTRAINDUSCAFÉ. </w:t>
      </w:r>
      <w:r w:rsidRPr="006E0231">
        <w:rPr>
          <w:rFonts w:eastAsia="Arial Unicode MS"/>
        </w:rPr>
        <w:t xml:space="preserve">En 2007, los autores fueron elegidos miembros de la junta directiva de SINTRAINDUSCAFÉ. </w:t>
      </w:r>
      <w:r w:rsidR="000949D0" w:rsidRPr="006E0231">
        <w:rPr>
          <w:rFonts w:eastAsia="Arial Unicode MS"/>
        </w:rPr>
        <w:t>Estas elecciones fueron inscritas</w:t>
      </w:r>
      <w:r w:rsidRPr="006E0231">
        <w:rPr>
          <w:rFonts w:eastAsia="Arial Unicode MS"/>
        </w:rPr>
        <w:t xml:space="preserve"> en el Ministerio de Protección Social </w:t>
      </w:r>
      <w:r w:rsidR="003B5A48" w:rsidRPr="006E0231">
        <w:rPr>
          <w:rFonts w:eastAsia="Arial Unicode MS"/>
        </w:rPr>
        <w:t xml:space="preserve">y </w:t>
      </w:r>
      <w:r w:rsidR="000949D0" w:rsidRPr="006E0231">
        <w:rPr>
          <w:rFonts w:eastAsia="Arial Unicode MS"/>
        </w:rPr>
        <w:t>comunicadas</w:t>
      </w:r>
      <w:r w:rsidRPr="006E0231">
        <w:rPr>
          <w:rFonts w:eastAsia="Arial Unicode MS"/>
        </w:rPr>
        <w:t xml:space="preserve"> a la Federación.</w:t>
      </w:r>
    </w:p>
    <w:p w14:paraId="13C010AA" w14:textId="544FA11B" w:rsidR="006D6268" w:rsidRPr="00802445" w:rsidRDefault="00B331F6" w:rsidP="006E0231">
      <w:pPr>
        <w:pStyle w:val="SingleTxtG"/>
        <w:rPr>
          <w:rFonts w:eastAsia="Arial Unicode MS"/>
        </w:rPr>
      </w:pPr>
      <w:r w:rsidRPr="006E0231">
        <w:rPr>
          <w:rFonts w:eastAsia="Arial Unicode MS"/>
        </w:rPr>
        <w:t>2.3</w:t>
      </w:r>
      <w:r w:rsidR="00DB5432" w:rsidRPr="006E0231">
        <w:rPr>
          <w:rFonts w:eastAsia="Arial Unicode MS"/>
        </w:rPr>
        <w:tab/>
      </w:r>
      <w:r w:rsidRPr="006E0231">
        <w:rPr>
          <w:rFonts w:eastAsia="Arial Unicode MS"/>
        </w:rPr>
        <w:t>Los autores alega</w:t>
      </w:r>
      <w:r w:rsidR="00DC1025" w:rsidRPr="006E0231">
        <w:rPr>
          <w:rFonts w:eastAsia="Arial Unicode MS"/>
        </w:rPr>
        <w:t>n</w:t>
      </w:r>
      <w:r w:rsidRPr="006E0231">
        <w:rPr>
          <w:rFonts w:eastAsia="Arial Unicode MS"/>
        </w:rPr>
        <w:t xml:space="preserve"> que las convenciones colectivas </w:t>
      </w:r>
      <w:r w:rsidR="00DC1025" w:rsidRPr="006E0231">
        <w:rPr>
          <w:rFonts w:eastAsia="Arial Unicode MS"/>
        </w:rPr>
        <w:t xml:space="preserve">de trabajo </w:t>
      </w:r>
      <w:r w:rsidRPr="006E0231">
        <w:rPr>
          <w:rFonts w:eastAsia="Arial Unicode MS"/>
        </w:rPr>
        <w:t>suscritas entre l</w:t>
      </w:r>
      <w:r w:rsidR="00212923" w:rsidRPr="006E0231">
        <w:rPr>
          <w:rFonts w:eastAsia="Arial Unicode MS"/>
        </w:rPr>
        <w:t>a Federación y SINTRAFEC</w:t>
      </w:r>
      <w:r w:rsidRPr="006E0231">
        <w:rPr>
          <w:rFonts w:eastAsia="Arial Unicode MS"/>
        </w:rPr>
        <w:t>,</w:t>
      </w:r>
      <w:r w:rsidR="00212923" w:rsidRPr="006E0231">
        <w:rPr>
          <w:rFonts w:eastAsia="Arial Unicode MS"/>
        </w:rPr>
        <w:t xml:space="preserve"> </w:t>
      </w:r>
      <w:r w:rsidR="00711D66" w:rsidRPr="006E0231">
        <w:rPr>
          <w:rFonts w:eastAsia="Arial Unicode MS"/>
        </w:rPr>
        <w:t>en particular la</w:t>
      </w:r>
      <w:r w:rsidR="007648FC" w:rsidRPr="006E0231">
        <w:rPr>
          <w:rFonts w:eastAsia="Arial Unicode MS"/>
        </w:rPr>
        <w:t>s</w:t>
      </w:r>
      <w:r w:rsidR="00711D66" w:rsidRPr="006E0231">
        <w:rPr>
          <w:rFonts w:eastAsia="Arial Unicode MS"/>
        </w:rPr>
        <w:t xml:space="preserve"> convenci</w:t>
      </w:r>
      <w:r w:rsidR="007648FC" w:rsidRPr="006E0231">
        <w:rPr>
          <w:rFonts w:eastAsia="Arial Unicode MS"/>
        </w:rPr>
        <w:t>ones</w:t>
      </w:r>
      <w:r w:rsidR="00966A39" w:rsidRPr="006E0231">
        <w:rPr>
          <w:rFonts w:eastAsia="Arial Unicode MS"/>
        </w:rPr>
        <w:t xml:space="preserve"> </w:t>
      </w:r>
      <w:r w:rsidR="00711D66" w:rsidRPr="006E0231">
        <w:rPr>
          <w:rFonts w:eastAsia="Arial Unicode MS"/>
        </w:rPr>
        <w:t xml:space="preserve">de </w:t>
      </w:r>
      <w:r w:rsidR="007648FC" w:rsidRPr="006E0231">
        <w:rPr>
          <w:rFonts w:eastAsia="Arial Unicode MS"/>
        </w:rPr>
        <w:t xml:space="preserve">1974 y </w:t>
      </w:r>
      <w:r w:rsidR="00711D66" w:rsidRPr="006E0231">
        <w:rPr>
          <w:rFonts w:eastAsia="Arial Unicode MS"/>
        </w:rPr>
        <w:t>1976</w:t>
      </w:r>
      <w:r w:rsidR="003D7807" w:rsidRPr="006E0231">
        <w:rPr>
          <w:rFonts w:eastAsia="Arial Unicode MS"/>
        </w:rPr>
        <w:t>, establecen que</w:t>
      </w:r>
      <w:r w:rsidR="00711D66" w:rsidRPr="006E0231">
        <w:rPr>
          <w:rFonts w:eastAsia="Arial Unicode MS"/>
        </w:rPr>
        <w:t xml:space="preserve"> </w:t>
      </w:r>
      <w:r w:rsidR="00212923" w:rsidRPr="006E0231">
        <w:rPr>
          <w:rFonts w:eastAsia="Arial Unicode MS"/>
        </w:rPr>
        <w:t>cuando un trabajador haya laborado en vir</w:t>
      </w:r>
      <w:r w:rsidR="007F6335" w:rsidRPr="006E0231">
        <w:rPr>
          <w:rFonts w:eastAsia="Arial Unicode MS"/>
        </w:rPr>
        <w:t>tud de contratos a término fijo</w:t>
      </w:r>
      <w:r w:rsidR="00212923" w:rsidRPr="006E0231">
        <w:rPr>
          <w:rFonts w:eastAsia="Arial Unicode MS"/>
        </w:rPr>
        <w:t xml:space="preserve"> durante más de un año continuo, su contrato debe transformarse en contrato a término indefinido. </w:t>
      </w:r>
      <w:r w:rsidR="00711D66" w:rsidRPr="006E0231">
        <w:rPr>
          <w:rFonts w:eastAsia="Arial Unicode MS"/>
        </w:rPr>
        <w:t>L</w:t>
      </w:r>
      <w:r w:rsidR="00212923" w:rsidRPr="00802445">
        <w:rPr>
          <w:rFonts w:eastAsia="Arial Unicode MS"/>
        </w:rPr>
        <w:t xml:space="preserve">as convenciones colectivas firmadas entre </w:t>
      </w:r>
      <w:r w:rsidR="00212923" w:rsidRPr="008C3C15">
        <w:t>SINTRAFEC</w:t>
      </w:r>
      <w:r w:rsidR="00711D66" w:rsidRPr="00802445">
        <w:rPr>
          <w:rFonts w:eastAsia="Arial Unicode MS"/>
        </w:rPr>
        <w:t>, la</w:t>
      </w:r>
      <w:r w:rsidR="00212923" w:rsidRPr="00802445">
        <w:rPr>
          <w:rFonts w:eastAsia="Arial Unicode MS"/>
        </w:rPr>
        <w:t xml:space="preserve"> Federación y </w:t>
      </w:r>
      <w:r w:rsidR="007F6335" w:rsidRPr="008C3C15">
        <w:t>Almacenes Generales de Depósito de Café S.A. (</w:t>
      </w:r>
      <w:r w:rsidR="00212923" w:rsidRPr="00802445">
        <w:rPr>
          <w:rFonts w:eastAsia="Arial Unicode MS"/>
        </w:rPr>
        <w:t>A</w:t>
      </w:r>
      <w:r w:rsidR="007F6335" w:rsidRPr="00802445">
        <w:rPr>
          <w:rFonts w:eastAsia="Arial Unicode MS"/>
        </w:rPr>
        <w:t>lmacafé)</w:t>
      </w:r>
      <w:r w:rsidR="00966A39" w:rsidRPr="008C3C15">
        <w:t xml:space="preserve"> </w:t>
      </w:r>
      <w:r w:rsidR="00212923" w:rsidRPr="00802445">
        <w:rPr>
          <w:rFonts w:eastAsia="Arial Unicode MS"/>
        </w:rPr>
        <w:t xml:space="preserve">prevén desde 1982 que la convención colectiva se aplica a todos los trabajadores. </w:t>
      </w:r>
      <w:r w:rsidR="00711D66" w:rsidRPr="00802445">
        <w:rPr>
          <w:rFonts w:eastAsia="Arial Unicode MS"/>
        </w:rPr>
        <w:t xml:space="preserve">Toda vez que los autores </w:t>
      </w:r>
      <w:r w:rsidR="00DB5432" w:rsidRPr="00802445">
        <w:rPr>
          <w:rFonts w:eastAsia="Arial Unicode MS"/>
        </w:rPr>
        <w:t xml:space="preserve">habían laborado para </w:t>
      </w:r>
      <w:r w:rsidR="00711D66" w:rsidRPr="00802445">
        <w:rPr>
          <w:rFonts w:eastAsia="Arial Unicode MS"/>
        </w:rPr>
        <w:t>la Federación</w:t>
      </w:r>
      <w:r w:rsidR="00DB5432" w:rsidRPr="00802445">
        <w:rPr>
          <w:rFonts w:eastAsia="Arial Unicode MS"/>
        </w:rPr>
        <w:t xml:space="preserve"> en virtud de contratos de trabajo de término fijo que fueron renovados, superando un año continuo, </w:t>
      </w:r>
      <w:r w:rsidR="00711D66" w:rsidRPr="00802445">
        <w:rPr>
          <w:rFonts w:eastAsia="Arial Unicode MS"/>
        </w:rPr>
        <w:t>sus</w:t>
      </w:r>
      <w:r w:rsidR="00DB5432" w:rsidRPr="00802445">
        <w:rPr>
          <w:rFonts w:eastAsia="Arial Unicode MS"/>
        </w:rPr>
        <w:t xml:space="preserve"> contratos se transformaron </w:t>
      </w:r>
      <w:r w:rsidR="00DB5432" w:rsidRPr="00802445">
        <w:rPr>
          <w:rFonts w:eastAsia="Arial Unicode MS"/>
          <w:i/>
        </w:rPr>
        <w:t>de jure</w:t>
      </w:r>
      <w:r w:rsidR="00DB5432" w:rsidRPr="00802445">
        <w:rPr>
          <w:rFonts w:eastAsia="Arial Unicode MS"/>
        </w:rPr>
        <w:t xml:space="preserve"> en</w:t>
      </w:r>
      <w:r w:rsidR="004D5631" w:rsidRPr="00802445">
        <w:rPr>
          <w:rFonts w:eastAsia="Arial Unicode MS"/>
        </w:rPr>
        <w:t xml:space="preserve"> contratos a plazo indefinido. </w:t>
      </w:r>
      <w:r w:rsidR="006D6268" w:rsidRPr="00802445">
        <w:rPr>
          <w:rFonts w:eastAsia="Arial Unicode MS"/>
        </w:rPr>
        <w:t>Por otra parte,</w:t>
      </w:r>
      <w:r w:rsidR="006D6268" w:rsidRPr="008C3C15">
        <w:rPr>
          <w:rFonts w:eastAsia="Arial Unicode MS"/>
        </w:rPr>
        <w:t xml:space="preserve"> </w:t>
      </w:r>
      <w:r w:rsidR="007648FC" w:rsidRPr="008C3C15">
        <w:rPr>
          <w:rFonts w:eastAsia="Arial Unicode MS"/>
        </w:rPr>
        <w:t xml:space="preserve">de acuerdo a </w:t>
      </w:r>
      <w:r w:rsidR="00201790" w:rsidRPr="008C3C15">
        <w:rPr>
          <w:rFonts w:eastAsia="Arial Unicode MS"/>
        </w:rPr>
        <w:t xml:space="preserve">la </w:t>
      </w:r>
      <w:r w:rsidR="007648FC" w:rsidRPr="006E0231">
        <w:rPr>
          <w:rFonts w:eastAsia="Arial Unicode MS"/>
        </w:rPr>
        <w:t>ley, l</w:t>
      </w:r>
      <w:r w:rsidR="006D6268" w:rsidRPr="006E0231">
        <w:rPr>
          <w:rFonts w:eastAsia="Arial Unicode MS"/>
        </w:rPr>
        <w:t>a cond</w:t>
      </w:r>
      <w:r w:rsidR="007648FC" w:rsidRPr="006E0231">
        <w:rPr>
          <w:rFonts w:eastAsia="Arial Unicode MS"/>
        </w:rPr>
        <w:t>ición de miembro de la junta directiva de un sindicato</w:t>
      </w:r>
      <w:r w:rsidR="006D6268" w:rsidRPr="006E0231">
        <w:rPr>
          <w:rFonts w:eastAsia="Arial Unicode MS"/>
        </w:rPr>
        <w:t xml:space="preserve"> </w:t>
      </w:r>
      <w:r w:rsidR="007648FC" w:rsidRPr="006E0231">
        <w:rPr>
          <w:rFonts w:eastAsia="Arial Unicode MS"/>
        </w:rPr>
        <w:t xml:space="preserve">les </w:t>
      </w:r>
      <w:r w:rsidR="006D6268" w:rsidRPr="006E0231">
        <w:rPr>
          <w:rFonts w:eastAsia="Arial Unicode MS"/>
        </w:rPr>
        <w:t>otorga la protección del fuero sindical</w:t>
      </w:r>
      <w:r w:rsidR="007648FC" w:rsidRPr="006E0231">
        <w:rPr>
          <w:rFonts w:eastAsia="Arial Unicode MS"/>
        </w:rPr>
        <w:t xml:space="preserve"> o amparo foral</w:t>
      </w:r>
      <w:r w:rsidR="006D6268" w:rsidRPr="006E0231">
        <w:rPr>
          <w:rFonts w:eastAsia="Arial Unicode MS"/>
        </w:rPr>
        <w:t xml:space="preserve">, </w:t>
      </w:r>
      <w:r w:rsidR="00BE7A8C" w:rsidRPr="006E0231">
        <w:rPr>
          <w:rFonts w:eastAsia="Arial Unicode MS"/>
        </w:rPr>
        <w:t>por lo que no pueden</w:t>
      </w:r>
      <w:r w:rsidR="007648FC" w:rsidRPr="006E0231">
        <w:rPr>
          <w:rFonts w:eastAsia="Arial Unicode MS"/>
        </w:rPr>
        <w:t xml:space="preserve"> </w:t>
      </w:r>
      <w:r w:rsidR="006D6268" w:rsidRPr="006E0231">
        <w:rPr>
          <w:rFonts w:eastAsia="Arial Unicode MS"/>
        </w:rPr>
        <w:t>ser despedido</w:t>
      </w:r>
      <w:r w:rsidR="007648FC" w:rsidRPr="006E0231">
        <w:rPr>
          <w:rFonts w:eastAsia="Arial Unicode MS"/>
        </w:rPr>
        <w:t>s</w:t>
      </w:r>
      <w:r w:rsidR="006D6268" w:rsidRPr="006E0231">
        <w:rPr>
          <w:rFonts w:eastAsia="Arial Unicode MS"/>
        </w:rPr>
        <w:t>, desmejorado</w:t>
      </w:r>
      <w:r w:rsidR="007648FC" w:rsidRPr="006E0231">
        <w:rPr>
          <w:rFonts w:eastAsia="Arial Unicode MS"/>
        </w:rPr>
        <w:t>s o trasladados, sin previa autorización</w:t>
      </w:r>
      <w:r w:rsidR="006D6268" w:rsidRPr="006E0231">
        <w:rPr>
          <w:rFonts w:eastAsia="Arial Unicode MS"/>
        </w:rPr>
        <w:t xml:space="preserve"> judicial.</w:t>
      </w:r>
    </w:p>
    <w:p w14:paraId="4A4C0327" w14:textId="28034270" w:rsidR="000D10E3" w:rsidRPr="006E0231" w:rsidRDefault="00F607C6" w:rsidP="006E0231">
      <w:pPr>
        <w:pStyle w:val="SingleTxtG"/>
        <w:rPr>
          <w:rFonts w:eastAsia="Arial Unicode MS"/>
        </w:rPr>
      </w:pPr>
      <w:r w:rsidRPr="00802445">
        <w:rPr>
          <w:rFonts w:eastAsia="Arial Unicode MS"/>
        </w:rPr>
        <w:t>2.4</w:t>
      </w:r>
      <w:r w:rsidR="00BE7A8C" w:rsidRPr="00802445">
        <w:rPr>
          <w:rFonts w:eastAsia="Arial Unicode MS"/>
        </w:rPr>
        <w:tab/>
      </w:r>
      <w:r w:rsidR="002D477F" w:rsidRPr="008C3C15">
        <w:rPr>
          <w:rFonts w:eastAsia="Arial Unicode MS"/>
        </w:rPr>
        <w:t>Mediante cartas enviadas a los autores al menos un mes antes,</w:t>
      </w:r>
      <w:r w:rsidR="008D7169" w:rsidRPr="006E0231">
        <w:rPr>
          <w:rFonts w:eastAsia="Arial Unicode MS"/>
        </w:rPr>
        <w:t xml:space="preserve"> la </w:t>
      </w:r>
      <w:r w:rsidR="002D477F" w:rsidRPr="006E0231">
        <w:rPr>
          <w:rFonts w:eastAsia="Arial Unicode MS"/>
        </w:rPr>
        <w:t>Federación dio por terminado</w:t>
      </w:r>
      <w:r w:rsidR="00C55A92" w:rsidRPr="006E0231">
        <w:rPr>
          <w:rFonts w:eastAsia="Arial Unicode MS"/>
        </w:rPr>
        <w:t>s</w:t>
      </w:r>
      <w:r w:rsidR="002D477F" w:rsidRPr="006E0231">
        <w:rPr>
          <w:rFonts w:eastAsia="Arial Unicode MS"/>
        </w:rPr>
        <w:t xml:space="preserve"> los</w:t>
      </w:r>
      <w:r w:rsidR="008D7169" w:rsidRPr="006E0231">
        <w:rPr>
          <w:rFonts w:eastAsia="Arial Unicode MS"/>
        </w:rPr>
        <w:t xml:space="preserve"> contrato</w:t>
      </w:r>
      <w:r w:rsidR="002D477F" w:rsidRPr="006E0231">
        <w:rPr>
          <w:rFonts w:eastAsia="Arial Unicode MS"/>
        </w:rPr>
        <w:t>s</w:t>
      </w:r>
      <w:r w:rsidR="008D7169" w:rsidRPr="006E0231">
        <w:rPr>
          <w:rFonts w:eastAsia="Arial Unicode MS"/>
        </w:rPr>
        <w:t xml:space="preserve"> de trabajo de</w:t>
      </w:r>
      <w:r w:rsidR="002D477F" w:rsidRPr="006E0231">
        <w:rPr>
          <w:rFonts w:eastAsia="Arial Unicode MS"/>
        </w:rPr>
        <w:t xml:space="preserve"> </w:t>
      </w:r>
      <w:r w:rsidR="00C058A1" w:rsidRPr="00802445">
        <w:t>F.</w:t>
      </w:r>
      <w:r w:rsidR="009E2CE0">
        <w:t xml:space="preserve"> </w:t>
      </w:r>
      <w:r w:rsidR="00C058A1" w:rsidRPr="00802445">
        <w:t>A.</w:t>
      </w:r>
      <w:r w:rsidR="009E2CE0">
        <w:t xml:space="preserve"> </w:t>
      </w:r>
      <w:r w:rsidR="00C058A1" w:rsidRPr="00802445">
        <w:t>H.</w:t>
      </w:r>
      <w:r w:rsidR="00C058A1" w:rsidRPr="008C3C15">
        <w:t>, R.</w:t>
      </w:r>
      <w:r w:rsidR="009E2CE0">
        <w:t xml:space="preserve"> </w:t>
      </w:r>
      <w:r w:rsidR="00C058A1" w:rsidRPr="008C3C15">
        <w:t>D.</w:t>
      </w:r>
      <w:r w:rsidR="009E2CE0">
        <w:t xml:space="preserve"> </w:t>
      </w:r>
      <w:r w:rsidR="00C058A1" w:rsidRPr="008C3C15">
        <w:t>C., G.</w:t>
      </w:r>
      <w:r w:rsidR="009E2CE0">
        <w:t xml:space="preserve"> </w:t>
      </w:r>
      <w:r w:rsidR="00C058A1" w:rsidRPr="008C3C15">
        <w:t>V.</w:t>
      </w:r>
      <w:r w:rsidR="009E2CE0">
        <w:t xml:space="preserve"> </w:t>
      </w:r>
      <w:r w:rsidR="00C058A1" w:rsidRPr="008C3C15">
        <w:t>B., J.</w:t>
      </w:r>
      <w:r w:rsidR="009E2CE0">
        <w:t xml:space="preserve"> </w:t>
      </w:r>
      <w:r w:rsidR="00C058A1" w:rsidRPr="008C3C15">
        <w:t>J.</w:t>
      </w:r>
      <w:r w:rsidR="009E2CE0">
        <w:t xml:space="preserve"> </w:t>
      </w:r>
      <w:r w:rsidR="00C058A1" w:rsidRPr="008C3C15">
        <w:t>R.</w:t>
      </w:r>
      <w:r w:rsidR="009E2CE0">
        <w:t xml:space="preserve"> </w:t>
      </w:r>
      <w:r w:rsidR="00C058A1" w:rsidRPr="008C3C15">
        <w:t>R. y J.</w:t>
      </w:r>
      <w:r w:rsidR="009E2CE0">
        <w:t xml:space="preserve"> </w:t>
      </w:r>
      <w:r w:rsidR="00C058A1" w:rsidRPr="008C3C15">
        <w:t>M.</w:t>
      </w:r>
      <w:r w:rsidR="009E2CE0">
        <w:t xml:space="preserve"> </w:t>
      </w:r>
      <w:r w:rsidR="00C058A1" w:rsidRPr="008C3C15">
        <w:t>P.</w:t>
      </w:r>
      <w:r w:rsidR="00C55A92" w:rsidRPr="006E0231">
        <w:rPr>
          <w:rFonts w:eastAsia="Arial Unicode MS"/>
        </w:rPr>
        <w:t xml:space="preserve"> </w:t>
      </w:r>
      <w:r w:rsidR="008D7169" w:rsidRPr="006E0231">
        <w:rPr>
          <w:rFonts w:eastAsia="Arial Unicode MS"/>
        </w:rPr>
        <w:t>a partir de</w:t>
      </w:r>
      <w:r w:rsidR="00201790" w:rsidRPr="006E0231">
        <w:rPr>
          <w:rFonts w:eastAsia="Arial Unicode MS"/>
        </w:rPr>
        <w:t xml:space="preserve"> los días</w:t>
      </w:r>
      <w:r w:rsidR="008D7169" w:rsidRPr="006E0231">
        <w:rPr>
          <w:rFonts w:eastAsia="Arial Unicode MS"/>
        </w:rPr>
        <w:t xml:space="preserve"> 31 de octubre</w:t>
      </w:r>
      <w:r w:rsidR="002D477F" w:rsidRPr="006E0231">
        <w:rPr>
          <w:rFonts w:eastAsia="Arial Unicode MS"/>
        </w:rPr>
        <w:t>, 30 de junio, 22 de diciembre y 31 de agosto</w:t>
      </w:r>
      <w:r w:rsidR="008D7169" w:rsidRPr="006E0231">
        <w:rPr>
          <w:rFonts w:eastAsia="Arial Unicode MS"/>
        </w:rPr>
        <w:t xml:space="preserve"> de 2007</w:t>
      </w:r>
      <w:r w:rsidR="002D477F" w:rsidRPr="006E0231">
        <w:rPr>
          <w:rFonts w:eastAsia="Arial Unicode MS"/>
        </w:rPr>
        <w:t>, respectivamente</w:t>
      </w:r>
      <w:r w:rsidR="00920000" w:rsidRPr="00802445">
        <w:rPr>
          <w:rStyle w:val="FootnoteReference"/>
        </w:rPr>
        <w:footnoteReference w:id="5"/>
      </w:r>
      <w:r w:rsidR="003B5A48" w:rsidRPr="008C3C15">
        <w:rPr>
          <w:rFonts w:eastAsia="Arial Unicode MS"/>
        </w:rPr>
        <w:t>,</w:t>
      </w:r>
      <w:r w:rsidR="00966A39" w:rsidRPr="006E0231">
        <w:rPr>
          <w:rFonts w:eastAsia="Arial Unicode MS"/>
        </w:rPr>
        <w:t xml:space="preserve"> </w:t>
      </w:r>
      <w:r w:rsidR="003B5A48" w:rsidRPr="006E0231">
        <w:rPr>
          <w:rFonts w:eastAsia="Arial Unicode MS"/>
        </w:rPr>
        <w:t>sin previa autorización judicial o levantamiento de</w:t>
      </w:r>
      <w:r w:rsidR="00943EE3" w:rsidRPr="006E0231">
        <w:rPr>
          <w:rFonts w:eastAsia="Arial Unicode MS"/>
        </w:rPr>
        <w:t>l</w:t>
      </w:r>
      <w:r w:rsidR="003B5A48" w:rsidRPr="006E0231">
        <w:rPr>
          <w:rFonts w:eastAsia="Arial Unicode MS"/>
        </w:rPr>
        <w:t xml:space="preserve"> fuero sindical</w:t>
      </w:r>
      <w:r w:rsidR="008D7169" w:rsidRPr="006E0231">
        <w:rPr>
          <w:rFonts w:eastAsia="Arial Unicode MS"/>
        </w:rPr>
        <w:t>.</w:t>
      </w:r>
    </w:p>
    <w:p w14:paraId="6121CE40" w14:textId="6F8017D6" w:rsidR="007648FC" w:rsidRPr="006E0231" w:rsidRDefault="00F607C6" w:rsidP="00802445">
      <w:pPr>
        <w:pStyle w:val="SingleTxtG"/>
        <w:rPr>
          <w:rFonts w:eastAsia="Arial Unicode MS"/>
        </w:rPr>
      </w:pPr>
      <w:r w:rsidRPr="006E0231">
        <w:rPr>
          <w:rFonts w:eastAsia="Arial Unicode MS"/>
        </w:rPr>
        <w:t>2.5</w:t>
      </w:r>
      <w:r w:rsidR="007648FC" w:rsidRPr="006E0231">
        <w:rPr>
          <w:rFonts w:eastAsia="Arial Unicode MS"/>
        </w:rPr>
        <w:tab/>
      </w:r>
      <w:r w:rsidR="00C058A1" w:rsidRPr="00802445">
        <w:t>F.</w:t>
      </w:r>
      <w:r w:rsidR="009E2CE0">
        <w:t xml:space="preserve"> </w:t>
      </w:r>
      <w:r w:rsidR="00C058A1" w:rsidRPr="00802445">
        <w:t>A.</w:t>
      </w:r>
      <w:r w:rsidR="009E2CE0">
        <w:t xml:space="preserve"> </w:t>
      </w:r>
      <w:r w:rsidR="00C058A1" w:rsidRPr="00802445">
        <w:t>H.</w:t>
      </w:r>
      <w:r w:rsidR="00C058A1" w:rsidRPr="008C3C15">
        <w:t>, R.</w:t>
      </w:r>
      <w:r w:rsidR="009E2CE0">
        <w:t xml:space="preserve"> </w:t>
      </w:r>
      <w:r w:rsidR="00C058A1" w:rsidRPr="008C3C15">
        <w:t>D.</w:t>
      </w:r>
      <w:r w:rsidR="009E2CE0">
        <w:t xml:space="preserve"> </w:t>
      </w:r>
      <w:r w:rsidR="00C058A1" w:rsidRPr="008C3C15">
        <w:t>C., G.</w:t>
      </w:r>
      <w:r w:rsidR="009E2CE0">
        <w:t xml:space="preserve"> </w:t>
      </w:r>
      <w:r w:rsidR="00C058A1" w:rsidRPr="008C3C15">
        <w:t>V.</w:t>
      </w:r>
      <w:r w:rsidR="009E2CE0">
        <w:t xml:space="preserve"> </w:t>
      </w:r>
      <w:r w:rsidR="00C058A1" w:rsidRPr="008C3C15">
        <w:t>B., J.</w:t>
      </w:r>
      <w:r w:rsidR="009E2CE0">
        <w:t xml:space="preserve"> </w:t>
      </w:r>
      <w:r w:rsidR="00C058A1" w:rsidRPr="008C3C15">
        <w:t>J.</w:t>
      </w:r>
      <w:r w:rsidR="009E2CE0">
        <w:t xml:space="preserve"> </w:t>
      </w:r>
      <w:r w:rsidR="00C058A1" w:rsidRPr="008C3C15">
        <w:t>R.</w:t>
      </w:r>
      <w:r w:rsidR="009E2CE0">
        <w:t xml:space="preserve"> </w:t>
      </w:r>
      <w:r w:rsidR="00C058A1" w:rsidRPr="008C3C15">
        <w:t>R. y J.</w:t>
      </w:r>
      <w:r w:rsidR="009E2CE0">
        <w:t xml:space="preserve"> </w:t>
      </w:r>
      <w:r w:rsidR="00C058A1" w:rsidRPr="008C3C15">
        <w:t>M.</w:t>
      </w:r>
      <w:r w:rsidR="009E2CE0">
        <w:t xml:space="preserve"> </w:t>
      </w:r>
      <w:r w:rsidR="00C058A1" w:rsidRPr="008C3C15">
        <w:t xml:space="preserve">P. </w:t>
      </w:r>
      <w:r w:rsidR="007648FC" w:rsidRPr="006E0231">
        <w:rPr>
          <w:rFonts w:eastAsia="Arial Unicode MS"/>
        </w:rPr>
        <w:t>presentaron una demanda especial de reintegro por fuero sindical contra la Federación ante el Juzgado 5</w:t>
      </w:r>
      <w:r w:rsidR="00744799" w:rsidRPr="006E0231">
        <w:rPr>
          <w:rFonts w:eastAsia="Arial Unicode MS"/>
        </w:rPr>
        <w:t>º</w:t>
      </w:r>
      <w:r w:rsidR="007648FC" w:rsidRPr="006E0231">
        <w:rPr>
          <w:rFonts w:eastAsia="Arial Unicode MS"/>
        </w:rPr>
        <w:t xml:space="preserve"> Laboral</w:t>
      </w:r>
      <w:r w:rsidR="004D5631" w:rsidRPr="006E0231">
        <w:rPr>
          <w:rFonts w:eastAsia="Arial Unicode MS"/>
        </w:rPr>
        <w:t>,</w:t>
      </w:r>
      <w:r w:rsidR="00966A39" w:rsidRPr="006E0231">
        <w:rPr>
          <w:rFonts w:eastAsia="Arial Unicode MS"/>
        </w:rPr>
        <w:t xml:space="preserve"> </w:t>
      </w:r>
      <w:r w:rsidR="007648FC" w:rsidRPr="006E0231">
        <w:rPr>
          <w:rFonts w:eastAsia="Arial Unicode MS"/>
        </w:rPr>
        <w:t>Juzgado 7</w:t>
      </w:r>
      <w:r w:rsidR="00744799" w:rsidRPr="006E0231">
        <w:rPr>
          <w:rFonts w:eastAsia="Arial Unicode MS"/>
        </w:rPr>
        <w:t>º</w:t>
      </w:r>
      <w:r w:rsidR="007648FC" w:rsidRPr="006E0231">
        <w:rPr>
          <w:rFonts w:eastAsia="Arial Unicode MS"/>
        </w:rPr>
        <w:t xml:space="preserve"> Laboral, Juzgado 1</w:t>
      </w:r>
      <w:r w:rsidR="00744799" w:rsidRPr="006E0231">
        <w:rPr>
          <w:rFonts w:eastAsia="Arial Unicode MS"/>
        </w:rPr>
        <w:t>º</w:t>
      </w:r>
      <w:r w:rsidR="007648FC" w:rsidRPr="006E0231">
        <w:rPr>
          <w:rFonts w:eastAsia="Arial Unicode MS"/>
        </w:rPr>
        <w:t xml:space="preserve"> Laboral, Juzgado 15</w:t>
      </w:r>
      <w:r w:rsidR="00744799" w:rsidRPr="006E0231">
        <w:rPr>
          <w:rFonts w:eastAsia="Arial Unicode MS"/>
        </w:rPr>
        <w:t>º</w:t>
      </w:r>
      <w:r w:rsidR="007648FC" w:rsidRPr="006E0231">
        <w:rPr>
          <w:rFonts w:eastAsia="Arial Unicode MS"/>
        </w:rPr>
        <w:t xml:space="preserve"> Laboral y Juzgado 4</w:t>
      </w:r>
      <w:r w:rsidR="00744799" w:rsidRPr="006E0231">
        <w:rPr>
          <w:rFonts w:eastAsia="Arial Unicode MS"/>
        </w:rPr>
        <w:t>º</w:t>
      </w:r>
      <w:r w:rsidR="007648FC" w:rsidRPr="006E0231">
        <w:rPr>
          <w:rFonts w:eastAsia="Arial Unicode MS"/>
        </w:rPr>
        <w:t xml:space="preserve"> Laboral</w:t>
      </w:r>
      <w:r w:rsidR="004D5631" w:rsidRPr="006E0231">
        <w:rPr>
          <w:rFonts w:eastAsia="Arial Unicode MS"/>
        </w:rPr>
        <w:t>,</w:t>
      </w:r>
      <w:r w:rsidR="008C77C5" w:rsidRPr="006E0231">
        <w:rPr>
          <w:rFonts w:eastAsia="Arial Unicode MS"/>
        </w:rPr>
        <w:t xml:space="preserve"> todos del Circuito de Bogotá,</w:t>
      </w:r>
      <w:r w:rsidR="004D5631" w:rsidRPr="006E0231">
        <w:rPr>
          <w:rFonts w:eastAsia="Arial Unicode MS"/>
        </w:rPr>
        <w:t xml:space="preserve"> respectivamente. Los autores alegaron que </w:t>
      </w:r>
      <w:r w:rsidR="005352F4" w:rsidRPr="006E0231">
        <w:rPr>
          <w:rFonts w:eastAsia="Arial Unicode MS"/>
        </w:rPr>
        <w:t>de acuerdo al artículo 40.1 de la convención de 1974</w:t>
      </w:r>
      <w:r w:rsidR="00920000" w:rsidRPr="00802445">
        <w:rPr>
          <w:rStyle w:val="FootnoteReference"/>
        </w:rPr>
        <w:footnoteReference w:id="6"/>
      </w:r>
      <w:r w:rsidR="005352F4" w:rsidRPr="006E0231">
        <w:rPr>
          <w:rFonts w:eastAsia="Arial Unicode MS"/>
        </w:rPr>
        <w:t>, ratificado por el artículo 8.1 de la Convención de 197</w:t>
      </w:r>
      <w:r w:rsidR="0070383B" w:rsidRPr="006E0231">
        <w:rPr>
          <w:rFonts w:eastAsia="Arial Unicode MS"/>
        </w:rPr>
        <w:t>6</w:t>
      </w:r>
      <w:r w:rsidR="006563E3" w:rsidRPr="00802445">
        <w:rPr>
          <w:rStyle w:val="FootnoteReference"/>
        </w:rPr>
        <w:footnoteReference w:id="7"/>
      </w:r>
      <w:r w:rsidR="005352F4" w:rsidRPr="006E0231">
        <w:rPr>
          <w:rFonts w:eastAsia="Arial Unicode MS"/>
        </w:rPr>
        <w:t xml:space="preserve">, debía entenderse que los contratos de trabajo a término fijo se habían transformado en contratos a </w:t>
      </w:r>
      <w:r w:rsidR="005352F4" w:rsidRPr="006E0231">
        <w:rPr>
          <w:rFonts w:eastAsia="Arial Unicode MS"/>
        </w:rPr>
        <w:lastRenderedPageBreak/>
        <w:t>término indefinido</w:t>
      </w:r>
      <w:r w:rsidR="005878C3" w:rsidRPr="006E0231">
        <w:rPr>
          <w:rFonts w:eastAsia="Arial Unicode MS"/>
        </w:rPr>
        <w:t>,</w:t>
      </w:r>
      <w:r w:rsidR="005352F4" w:rsidRPr="006E0231">
        <w:rPr>
          <w:rFonts w:eastAsia="Arial Unicode MS"/>
        </w:rPr>
        <w:t xml:space="preserve"> y que </w:t>
      </w:r>
      <w:r w:rsidR="004D5631" w:rsidRPr="006E0231">
        <w:rPr>
          <w:rFonts w:eastAsia="Arial Unicode MS"/>
        </w:rPr>
        <w:t>sus despidos violaban</w:t>
      </w:r>
      <w:r w:rsidR="007648FC" w:rsidRPr="006E0231">
        <w:rPr>
          <w:rFonts w:eastAsia="Arial Unicode MS"/>
        </w:rPr>
        <w:t xml:space="preserve"> </w:t>
      </w:r>
      <w:r w:rsidR="004D5631" w:rsidRPr="006E0231">
        <w:rPr>
          <w:rFonts w:eastAsia="Arial Unicode MS"/>
        </w:rPr>
        <w:t>su derecho al fuero sindical</w:t>
      </w:r>
      <w:r w:rsidR="005352F4" w:rsidRPr="006E0231">
        <w:rPr>
          <w:rFonts w:eastAsia="Arial Unicode MS"/>
        </w:rPr>
        <w:t>. Por tanto</w:t>
      </w:r>
      <w:r w:rsidR="00943EE3" w:rsidRPr="006E0231">
        <w:rPr>
          <w:rFonts w:eastAsia="Arial Unicode MS"/>
        </w:rPr>
        <w:t>,</w:t>
      </w:r>
      <w:r w:rsidR="004D5631" w:rsidRPr="006E0231">
        <w:rPr>
          <w:rFonts w:eastAsia="Arial Unicode MS"/>
        </w:rPr>
        <w:t xml:space="preserve"> solicitaron </w:t>
      </w:r>
      <w:r w:rsidR="00943EE3" w:rsidRPr="006E0231">
        <w:rPr>
          <w:rFonts w:eastAsia="Arial Unicode MS"/>
        </w:rPr>
        <w:t xml:space="preserve">su reintegro a </w:t>
      </w:r>
      <w:r w:rsidR="004D5631" w:rsidRPr="006E0231">
        <w:rPr>
          <w:rFonts w:eastAsia="Arial Unicode MS"/>
        </w:rPr>
        <w:t>sus puestos</w:t>
      </w:r>
      <w:r w:rsidR="00AD5573" w:rsidRPr="006E0231">
        <w:rPr>
          <w:rFonts w:eastAsia="Arial Unicode MS"/>
        </w:rPr>
        <w:t xml:space="preserve"> de trabajo</w:t>
      </w:r>
      <w:r w:rsidR="004D5631" w:rsidRPr="006E0231">
        <w:rPr>
          <w:rFonts w:eastAsia="Arial Unicode MS"/>
        </w:rPr>
        <w:t xml:space="preserve"> y el pago de la</w:t>
      </w:r>
      <w:r w:rsidR="003B5A48" w:rsidRPr="006E0231">
        <w:rPr>
          <w:rFonts w:eastAsia="Arial Unicode MS"/>
        </w:rPr>
        <w:t>s</w:t>
      </w:r>
      <w:r w:rsidR="004D5631" w:rsidRPr="006E0231">
        <w:rPr>
          <w:rFonts w:eastAsia="Arial Unicode MS"/>
        </w:rPr>
        <w:t xml:space="preserve"> remuneraciones dejadas de percibir.</w:t>
      </w:r>
    </w:p>
    <w:p w14:paraId="68F25A58" w14:textId="0EBC45E1" w:rsidR="00432214" w:rsidRPr="00636869" w:rsidRDefault="00744799" w:rsidP="00802445">
      <w:pPr>
        <w:pStyle w:val="H4G"/>
        <w:rPr>
          <w:rFonts w:eastAsia="Arial Unicode MS"/>
        </w:rPr>
      </w:pPr>
      <w:r>
        <w:rPr>
          <w:rFonts w:eastAsia="Arial Unicode MS"/>
        </w:rPr>
        <w:tab/>
      </w:r>
      <w:r>
        <w:rPr>
          <w:rFonts w:eastAsia="Arial Unicode MS"/>
        </w:rPr>
        <w:tab/>
      </w:r>
      <w:r w:rsidR="00432214" w:rsidRPr="00636869">
        <w:rPr>
          <w:rFonts w:eastAsia="Arial Unicode MS"/>
        </w:rPr>
        <w:t>J</w:t>
      </w:r>
      <w:r w:rsidR="00570B5B">
        <w:rPr>
          <w:rFonts w:eastAsia="Arial Unicode MS"/>
        </w:rPr>
        <w:t>.</w:t>
      </w:r>
      <w:r w:rsidR="009E2CE0">
        <w:rPr>
          <w:rFonts w:eastAsia="Arial Unicode MS"/>
        </w:rPr>
        <w:t xml:space="preserve"> </w:t>
      </w:r>
      <w:r w:rsidR="00432214" w:rsidRPr="00636869">
        <w:rPr>
          <w:rFonts w:eastAsia="Arial Unicode MS"/>
        </w:rPr>
        <w:t>M</w:t>
      </w:r>
      <w:r w:rsidR="00570B5B">
        <w:rPr>
          <w:rFonts w:eastAsia="Arial Unicode MS"/>
        </w:rPr>
        <w:t>.</w:t>
      </w:r>
      <w:r w:rsidR="009E2CE0">
        <w:rPr>
          <w:rFonts w:eastAsia="Arial Unicode MS"/>
        </w:rPr>
        <w:t xml:space="preserve"> </w:t>
      </w:r>
      <w:r w:rsidR="00432214" w:rsidRPr="00636869">
        <w:rPr>
          <w:rFonts w:eastAsia="Arial Unicode MS"/>
        </w:rPr>
        <w:t>P</w:t>
      </w:r>
      <w:r w:rsidR="00570B5B">
        <w:rPr>
          <w:rFonts w:eastAsia="Arial Unicode MS"/>
        </w:rPr>
        <w:t>.</w:t>
      </w:r>
    </w:p>
    <w:p w14:paraId="3480CDCB" w14:textId="711B9A38" w:rsidR="00432214" w:rsidRPr="006E0231" w:rsidRDefault="00432214" w:rsidP="00802445">
      <w:pPr>
        <w:pStyle w:val="SingleTxtG"/>
        <w:rPr>
          <w:rFonts w:eastAsia="Arial Unicode MS"/>
        </w:rPr>
      </w:pPr>
      <w:r w:rsidRPr="008C3C15">
        <w:t>2.6</w:t>
      </w:r>
      <w:r w:rsidRPr="006E0231">
        <w:tab/>
      </w:r>
      <w:r w:rsidRPr="006E0231">
        <w:rPr>
          <w:rFonts w:eastAsia="Arial Unicode MS"/>
        </w:rPr>
        <w:t>El 25 de enero de 2008, el Juzgado 4</w:t>
      </w:r>
      <w:r w:rsidR="00744799" w:rsidRPr="006E0231">
        <w:rPr>
          <w:rFonts w:eastAsia="Arial Unicode MS"/>
        </w:rPr>
        <w:t>º</w:t>
      </w:r>
      <w:r w:rsidRPr="006E0231">
        <w:rPr>
          <w:rFonts w:eastAsia="Arial Unicode MS"/>
        </w:rPr>
        <w:t xml:space="preserve"> declaró fundada la demanda de</w:t>
      </w:r>
      <w:r w:rsidR="005878C3" w:rsidRPr="006E0231">
        <w:rPr>
          <w:rFonts w:eastAsia="Arial Unicode MS"/>
        </w:rPr>
        <w:t xml:space="preserve"> </w:t>
      </w:r>
      <w:r w:rsidR="00C058A1" w:rsidRPr="006E0231">
        <w:t>J.</w:t>
      </w:r>
      <w:r w:rsidR="009E2CE0">
        <w:t xml:space="preserve"> </w:t>
      </w:r>
      <w:r w:rsidR="00C058A1" w:rsidRPr="008C3C15">
        <w:t>M.</w:t>
      </w:r>
      <w:r w:rsidR="009E2CE0">
        <w:t xml:space="preserve"> </w:t>
      </w:r>
      <w:r w:rsidR="00C058A1" w:rsidRPr="008C3C15">
        <w:t>P.</w:t>
      </w:r>
      <w:r w:rsidRPr="006E0231">
        <w:rPr>
          <w:rFonts w:eastAsia="Arial Unicode MS"/>
        </w:rPr>
        <w:t>, toda vez que este gozaba de fuero sindical al momento en que la Federación dio por terminado el vínculo laboral</w:t>
      </w:r>
      <w:r w:rsidR="005878C3" w:rsidRPr="006E0231">
        <w:rPr>
          <w:rFonts w:eastAsia="Arial Unicode MS"/>
        </w:rPr>
        <w:t>,</w:t>
      </w:r>
      <w:r w:rsidRPr="006E0231">
        <w:rPr>
          <w:rFonts w:eastAsia="Arial Unicode MS"/>
        </w:rPr>
        <w:t xml:space="preserve"> y que de acuerdo al artículo 40.1 de la </w:t>
      </w:r>
      <w:r w:rsidR="009F4B7B" w:rsidRPr="006E0231">
        <w:rPr>
          <w:rFonts w:eastAsia="Arial Unicode MS"/>
        </w:rPr>
        <w:t>c</w:t>
      </w:r>
      <w:r w:rsidRPr="006E0231">
        <w:rPr>
          <w:rFonts w:eastAsia="Arial Unicode MS"/>
        </w:rPr>
        <w:t xml:space="preserve">onvención de 1974 celebrada entre SINTRAFEC, Almacafé y la Federación, el autor se encontraba vinculado como trabajador permanente con contrato a término indefinido. El Juzgado resaltó que dicho artículo no había sido derogado ni tácita ni expresamente por otras normas legales o por convenciones colectivas posteriores. El Juzgado dispuso el reintegro del autor </w:t>
      </w:r>
      <w:r w:rsidR="005878C3" w:rsidRPr="006E0231">
        <w:rPr>
          <w:rFonts w:eastAsia="Arial Unicode MS"/>
        </w:rPr>
        <w:t>a</w:t>
      </w:r>
      <w:r w:rsidRPr="006E0231">
        <w:rPr>
          <w:rFonts w:eastAsia="Arial Unicode MS"/>
        </w:rPr>
        <w:t xml:space="preserve"> la Federación</w:t>
      </w:r>
      <w:r w:rsidR="00966A39" w:rsidRPr="006E0231">
        <w:rPr>
          <w:rFonts w:eastAsia="Arial Unicode MS"/>
        </w:rPr>
        <w:t xml:space="preserve"> </w:t>
      </w:r>
      <w:r w:rsidRPr="006E0231">
        <w:rPr>
          <w:rFonts w:eastAsia="Arial Unicode MS"/>
        </w:rPr>
        <w:t>al cargo que desempeñaba y</w:t>
      </w:r>
      <w:r w:rsidR="00966A39" w:rsidRPr="006E0231">
        <w:rPr>
          <w:rFonts w:eastAsia="Arial Unicode MS"/>
        </w:rPr>
        <w:t xml:space="preserve"> </w:t>
      </w:r>
      <w:r w:rsidRPr="006E0231">
        <w:rPr>
          <w:rFonts w:eastAsia="Arial Unicode MS"/>
        </w:rPr>
        <w:t>el pago de los salarios dejados de percibir.</w:t>
      </w:r>
    </w:p>
    <w:p w14:paraId="4C63A6D5" w14:textId="73B7C90F" w:rsidR="00432214" w:rsidRPr="006E0231" w:rsidRDefault="00432214" w:rsidP="00802445">
      <w:pPr>
        <w:pStyle w:val="SingleTxtG"/>
        <w:rPr>
          <w:rFonts w:eastAsia="Arial Unicode MS"/>
        </w:rPr>
      </w:pPr>
      <w:r w:rsidRPr="006E0231">
        <w:rPr>
          <w:rFonts w:eastAsia="Arial Unicode MS"/>
        </w:rPr>
        <w:t>2.7</w:t>
      </w:r>
      <w:r w:rsidRPr="006E0231">
        <w:rPr>
          <w:rFonts w:eastAsia="Arial Unicode MS"/>
        </w:rPr>
        <w:tab/>
        <w:t xml:space="preserve">La Federación apeló la sentencia ante el </w:t>
      </w:r>
      <w:r w:rsidR="000949D0" w:rsidRPr="006E0231">
        <w:rPr>
          <w:rFonts w:eastAsia="Arial Unicode MS"/>
        </w:rPr>
        <w:t>Tribunal Superior de Justicia de Bogotá</w:t>
      </w:r>
      <w:r w:rsidRPr="006E0231">
        <w:rPr>
          <w:rFonts w:eastAsia="Arial Unicode MS"/>
        </w:rPr>
        <w:t>. El 13 de junio de 2008, el T</w:t>
      </w:r>
      <w:r w:rsidR="005878C3" w:rsidRPr="006E0231">
        <w:rPr>
          <w:rFonts w:eastAsia="Arial Unicode MS"/>
        </w:rPr>
        <w:t xml:space="preserve">ribunal </w:t>
      </w:r>
      <w:r w:rsidRPr="006E0231">
        <w:rPr>
          <w:rFonts w:eastAsia="Arial Unicode MS"/>
        </w:rPr>
        <w:t>revocó la sentencia de primera instancia y desestimó la demanda del autor. El T</w:t>
      </w:r>
      <w:r w:rsidR="005878C3" w:rsidRPr="006E0231">
        <w:rPr>
          <w:rFonts w:eastAsia="Arial Unicode MS"/>
        </w:rPr>
        <w:t xml:space="preserve">ribunal </w:t>
      </w:r>
      <w:r w:rsidRPr="006E0231">
        <w:rPr>
          <w:rFonts w:eastAsia="Arial Unicode MS"/>
        </w:rPr>
        <w:t>señaló que la disposición contenida en el artículo 40.1 de la convención de 1974 no se encontraba vigente ni era vinculante cuando la Federación concluyó la relación labora</w:t>
      </w:r>
      <w:r w:rsidR="003C59B9" w:rsidRPr="006E0231">
        <w:rPr>
          <w:rFonts w:eastAsia="Arial Unicode MS"/>
        </w:rPr>
        <w:t>l</w:t>
      </w:r>
      <w:r w:rsidRPr="006E0231">
        <w:rPr>
          <w:rFonts w:eastAsia="Arial Unicode MS"/>
        </w:rPr>
        <w:t xml:space="preserve"> con el autor toda vez que no había sido incorporado en l</w:t>
      </w:r>
      <w:r w:rsidR="00494604" w:rsidRPr="006E0231">
        <w:rPr>
          <w:rFonts w:eastAsia="Arial Unicode MS"/>
        </w:rPr>
        <w:t>a</w:t>
      </w:r>
      <w:r w:rsidRPr="006E0231">
        <w:rPr>
          <w:rFonts w:eastAsia="Arial Unicode MS"/>
        </w:rPr>
        <w:t>s convenciones colectivas posteriores a 1978. En este contexto, debía entenderse que la conclusión de la relación laboral obedeció a la expiración del contra</w:t>
      </w:r>
      <w:r w:rsidR="00494604" w:rsidRPr="006E0231">
        <w:rPr>
          <w:rFonts w:eastAsia="Arial Unicode MS"/>
        </w:rPr>
        <w:t>to</w:t>
      </w:r>
      <w:r w:rsidRPr="006E0231">
        <w:rPr>
          <w:rFonts w:eastAsia="Arial Unicode MS"/>
        </w:rPr>
        <w:t xml:space="preserve"> de trabajo a término fijo del autor, quien había sido notificado debidamente dentro del plazo establecido por el </w:t>
      </w:r>
      <w:r w:rsidR="000949D0" w:rsidRPr="006E0231">
        <w:rPr>
          <w:rFonts w:eastAsia="Arial Unicode MS"/>
        </w:rPr>
        <w:t>Código Sustantivo del Trabajo</w:t>
      </w:r>
      <w:r w:rsidRPr="006E0231">
        <w:rPr>
          <w:rFonts w:eastAsia="Arial Unicode MS"/>
        </w:rPr>
        <w:t>.</w:t>
      </w:r>
    </w:p>
    <w:p w14:paraId="26041B2A" w14:textId="2B7E027B" w:rsidR="00432214" w:rsidRPr="006E0231" w:rsidRDefault="00432214" w:rsidP="00802445">
      <w:pPr>
        <w:pStyle w:val="SingleTxtG"/>
        <w:rPr>
          <w:rFonts w:eastAsia="Arial Unicode MS"/>
        </w:rPr>
      </w:pPr>
      <w:r w:rsidRPr="006E0231">
        <w:rPr>
          <w:rFonts w:eastAsia="Arial Unicode MS"/>
        </w:rPr>
        <w:t>2.8</w:t>
      </w:r>
      <w:r w:rsidRPr="006E0231">
        <w:rPr>
          <w:rFonts w:eastAsia="Arial Unicode MS"/>
        </w:rPr>
        <w:tab/>
        <w:t xml:space="preserve">Posteriormente, </w:t>
      </w:r>
      <w:r w:rsidR="00C058A1" w:rsidRPr="006E0231">
        <w:t>J.</w:t>
      </w:r>
      <w:r w:rsidR="009E2CE0">
        <w:t xml:space="preserve"> </w:t>
      </w:r>
      <w:r w:rsidR="00C058A1" w:rsidRPr="008C3C15">
        <w:t>M.</w:t>
      </w:r>
      <w:r w:rsidR="009E2CE0">
        <w:t xml:space="preserve"> </w:t>
      </w:r>
      <w:r w:rsidR="00C058A1" w:rsidRPr="008C3C15">
        <w:t>P.</w:t>
      </w:r>
      <w:r w:rsidRPr="006E0231">
        <w:rPr>
          <w:rFonts w:eastAsia="Arial Unicode MS"/>
        </w:rPr>
        <w:t xml:space="preserve"> presentó una acción extraordinaria de tutela que fue denegada por la </w:t>
      </w:r>
      <w:r w:rsidR="000949D0" w:rsidRPr="006E0231">
        <w:rPr>
          <w:rFonts w:eastAsia="Arial Unicode MS"/>
        </w:rPr>
        <w:t xml:space="preserve">Corte Suprema de Justicia </w:t>
      </w:r>
      <w:r w:rsidRPr="006E0231">
        <w:rPr>
          <w:rFonts w:eastAsia="Arial Unicode MS"/>
        </w:rPr>
        <w:t>y no fue escogida por la Sala de Selección de la Corte Constitucional para revisión.</w:t>
      </w:r>
    </w:p>
    <w:p w14:paraId="0692CF50" w14:textId="6FA4C170" w:rsidR="00CA20B8" w:rsidRPr="00636869" w:rsidRDefault="00744799" w:rsidP="00802445">
      <w:pPr>
        <w:pStyle w:val="H4G"/>
      </w:pPr>
      <w:r>
        <w:tab/>
      </w:r>
      <w:r>
        <w:tab/>
      </w:r>
      <w:r w:rsidR="00CA20B8" w:rsidRPr="00636869">
        <w:t>R</w:t>
      </w:r>
      <w:r w:rsidR="00570B5B">
        <w:t>.</w:t>
      </w:r>
      <w:r w:rsidR="009E2CE0">
        <w:t xml:space="preserve"> </w:t>
      </w:r>
      <w:r w:rsidR="00CA20B8" w:rsidRPr="00636869">
        <w:t>D</w:t>
      </w:r>
      <w:r w:rsidR="00570B5B">
        <w:t>.</w:t>
      </w:r>
      <w:r w:rsidR="009E2CE0">
        <w:t xml:space="preserve"> </w:t>
      </w:r>
      <w:r w:rsidR="00CA20B8" w:rsidRPr="00636869">
        <w:t>C</w:t>
      </w:r>
      <w:r w:rsidR="00570B5B">
        <w:t>.</w:t>
      </w:r>
    </w:p>
    <w:p w14:paraId="4927D441" w14:textId="09118463" w:rsidR="00651B88" w:rsidRPr="006E0231" w:rsidRDefault="00F607C6" w:rsidP="00802445">
      <w:pPr>
        <w:pStyle w:val="SingleTxtG"/>
        <w:rPr>
          <w:rFonts w:eastAsia="Arial Unicode MS"/>
        </w:rPr>
      </w:pPr>
      <w:r w:rsidRPr="008C3C15">
        <w:t>2.9</w:t>
      </w:r>
      <w:r w:rsidR="00CA20B8" w:rsidRPr="006E0231">
        <w:tab/>
      </w:r>
      <w:r w:rsidR="00733D6B" w:rsidRPr="006E0231">
        <w:rPr>
          <w:rFonts w:eastAsia="Arial Unicode MS"/>
        </w:rPr>
        <w:t xml:space="preserve">El </w:t>
      </w:r>
      <w:r w:rsidR="00651B88" w:rsidRPr="006E0231">
        <w:rPr>
          <w:rFonts w:eastAsia="Arial Unicode MS"/>
        </w:rPr>
        <w:t>3 de marzo de</w:t>
      </w:r>
      <w:r w:rsidR="00733D6B" w:rsidRPr="006E0231">
        <w:rPr>
          <w:rFonts w:eastAsia="Arial Unicode MS"/>
        </w:rPr>
        <w:t xml:space="preserve"> 2008, el Juzgado </w:t>
      </w:r>
      <w:r w:rsidR="00651B88" w:rsidRPr="006E0231">
        <w:rPr>
          <w:rFonts w:eastAsia="Arial Unicode MS"/>
        </w:rPr>
        <w:t>7</w:t>
      </w:r>
      <w:r w:rsidR="00744799" w:rsidRPr="006E0231">
        <w:rPr>
          <w:rFonts w:eastAsia="Arial Unicode MS"/>
        </w:rPr>
        <w:t>º</w:t>
      </w:r>
      <w:r w:rsidR="00733D6B" w:rsidRPr="006E0231">
        <w:rPr>
          <w:rFonts w:eastAsia="Arial Unicode MS"/>
        </w:rPr>
        <w:t xml:space="preserve"> </w:t>
      </w:r>
      <w:r w:rsidR="00651B88" w:rsidRPr="006E0231">
        <w:rPr>
          <w:rFonts w:eastAsia="Arial Unicode MS"/>
        </w:rPr>
        <w:t xml:space="preserve">concluyó que </w:t>
      </w:r>
      <w:r w:rsidR="00C058A1" w:rsidRPr="006E0231">
        <w:t>R.</w:t>
      </w:r>
      <w:r w:rsidR="009E2CE0">
        <w:t xml:space="preserve"> </w:t>
      </w:r>
      <w:r w:rsidR="00C058A1" w:rsidRPr="008C3C15">
        <w:t>D.</w:t>
      </w:r>
      <w:r w:rsidR="009E2CE0">
        <w:t xml:space="preserve"> </w:t>
      </w:r>
      <w:r w:rsidR="00C058A1" w:rsidRPr="008C3C15">
        <w:t>C.</w:t>
      </w:r>
      <w:r w:rsidR="00651B88" w:rsidRPr="006E0231">
        <w:rPr>
          <w:rFonts w:eastAsia="Arial Unicode MS"/>
        </w:rPr>
        <w:t xml:space="preserve"> gozaba de fuero sindical al momento de ser despedido y que el despido se produjo sin causa justa dado que la Federación no había solicitado permiso judicial para proceder al </w:t>
      </w:r>
      <w:r w:rsidR="006D03BE" w:rsidRPr="006E0231">
        <w:rPr>
          <w:rFonts w:eastAsia="Arial Unicode MS"/>
        </w:rPr>
        <w:t>mismo</w:t>
      </w:r>
      <w:r w:rsidR="00356276" w:rsidRPr="006E0231">
        <w:rPr>
          <w:rFonts w:eastAsia="Arial Unicode MS"/>
        </w:rPr>
        <w:t xml:space="preserve">. </w:t>
      </w:r>
      <w:r w:rsidR="001F5C7B" w:rsidRPr="006E0231">
        <w:rPr>
          <w:rFonts w:eastAsia="Arial Unicode MS"/>
        </w:rPr>
        <w:t>El Ju</w:t>
      </w:r>
      <w:r w:rsidR="00432214" w:rsidRPr="006E0231">
        <w:rPr>
          <w:rFonts w:eastAsia="Arial Unicode MS"/>
        </w:rPr>
        <w:t>z</w:t>
      </w:r>
      <w:r w:rsidR="001F5C7B" w:rsidRPr="006E0231">
        <w:rPr>
          <w:rFonts w:eastAsia="Arial Unicode MS"/>
        </w:rPr>
        <w:t xml:space="preserve">gado </w:t>
      </w:r>
      <w:r w:rsidR="006D03BE" w:rsidRPr="006E0231">
        <w:rPr>
          <w:rFonts w:eastAsia="Arial Unicode MS"/>
        </w:rPr>
        <w:t>señaló que,</w:t>
      </w:r>
      <w:r w:rsidR="001F5C7B" w:rsidRPr="006E0231">
        <w:rPr>
          <w:rFonts w:eastAsia="Arial Unicode MS"/>
        </w:rPr>
        <w:t xml:space="preserve"> de acuerdo a la jurisprudencia de la </w:t>
      </w:r>
      <w:r w:rsidR="005878C3" w:rsidRPr="006E0231">
        <w:rPr>
          <w:rFonts w:eastAsia="Arial Unicode MS"/>
        </w:rPr>
        <w:t>Corte Suprema de Justicia</w:t>
      </w:r>
      <w:r w:rsidR="001F5C7B" w:rsidRPr="006E0231">
        <w:rPr>
          <w:rFonts w:eastAsia="Arial Unicode MS"/>
        </w:rPr>
        <w:t xml:space="preserve">, la vigencia de una cláusula convencional se mantiene en la medida </w:t>
      </w:r>
      <w:r w:rsidR="005878C3" w:rsidRPr="006E0231">
        <w:rPr>
          <w:rFonts w:eastAsia="Arial Unicode MS"/>
        </w:rPr>
        <w:t xml:space="preserve">en </w:t>
      </w:r>
      <w:r w:rsidR="001F5C7B" w:rsidRPr="006E0231">
        <w:rPr>
          <w:rFonts w:eastAsia="Arial Unicode MS"/>
        </w:rPr>
        <w:t xml:space="preserve">que </w:t>
      </w:r>
      <w:r w:rsidR="005878C3" w:rsidRPr="006E0231">
        <w:rPr>
          <w:rFonts w:eastAsia="Arial Unicode MS"/>
        </w:rPr>
        <w:t>e</w:t>
      </w:r>
      <w:r w:rsidR="001F5C7B" w:rsidRPr="006E0231">
        <w:rPr>
          <w:rFonts w:eastAsia="Arial Unicode MS"/>
        </w:rPr>
        <w:t>sta no sea denunciada, por lo que la disposición conten</w:t>
      </w:r>
      <w:r w:rsidR="00AD5573" w:rsidRPr="006E0231">
        <w:rPr>
          <w:rFonts w:eastAsia="Arial Unicode MS"/>
        </w:rPr>
        <w:t>ida en el artículo 40.1 de</w:t>
      </w:r>
      <w:r w:rsidR="00966A39" w:rsidRPr="006E0231">
        <w:rPr>
          <w:rFonts w:eastAsia="Arial Unicode MS"/>
        </w:rPr>
        <w:t xml:space="preserve"> </w:t>
      </w:r>
      <w:r w:rsidR="00AD5573" w:rsidRPr="006E0231">
        <w:rPr>
          <w:rFonts w:eastAsia="Arial Unicode MS"/>
        </w:rPr>
        <w:t>la c</w:t>
      </w:r>
      <w:r w:rsidR="001F5C7B" w:rsidRPr="006E0231">
        <w:rPr>
          <w:rFonts w:eastAsia="Arial Unicode MS"/>
        </w:rPr>
        <w:t>onvención de 197</w:t>
      </w:r>
      <w:r w:rsidR="00DB7D99" w:rsidRPr="006E0231">
        <w:rPr>
          <w:rFonts w:eastAsia="Arial Unicode MS"/>
        </w:rPr>
        <w:t>4</w:t>
      </w:r>
      <w:r w:rsidR="001F5C7B" w:rsidRPr="006E0231">
        <w:rPr>
          <w:rFonts w:eastAsia="Arial Unicode MS"/>
        </w:rPr>
        <w:t xml:space="preserve">, </w:t>
      </w:r>
      <w:r w:rsidR="005352F4" w:rsidRPr="006E0231">
        <w:rPr>
          <w:rFonts w:eastAsia="Arial Unicode MS"/>
        </w:rPr>
        <w:t>ratificada por el artículo 8.1 de la</w:t>
      </w:r>
      <w:r w:rsidR="00966A39" w:rsidRPr="006E0231">
        <w:rPr>
          <w:rFonts w:eastAsia="Arial Unicode MS"/>
        </w:rPr>
        <w:t xml:space="preserve"> </w:t>
      </w:r>
      <w:r w:rsidR="005352F4" w:rsidRPr="006E0231">
        <w:rPr>
          <w:rFonts w:eastAsia="Arial Unicode MS"/>
        </w:rPr>
        <w:t>convención de 197</w:t>
      </w:r>
      <w:r w:rsidR="0079304D" w:rsidRPr="006E0231">
        <w:rPr>
          <w:rFonts w:eastAsia="Arial Unicode MS"/>
        </w:rPr>
        <w:t>6</w:t>
      </w:r>
      <w:r w:rsidR="005352F4" w:rsidRPr="006E0231">
        <w:rPr>
          <w:rFonts w:eastAsia="Arial Unicode MS"/>
        </w:rPr>
        <w:t xml:space="preserve">, </w:t>
      </w:r>
      <w:r w:rsidR="001F5C7B" w:rsidRPr="006E0231">
        <w:rPr>
          <w:rFonts w:eastAsia="Arial Unicode MS"/>
        </w:rPr>
        <w:t>se mantenía vigente toda vez que no había sido denunciada, revocada o modi</w:t>
      </w:r>
      <w:r w:rsidR="00AD5573" w:rsidRPr="006E0231">
        <w:rPr>
          <w:rFonts w:eastAsia="Arial Unicode MS"/>
        </w:rPr>
        <w:t>ficada por el artículo 3 de la c</w:t>
      </w:r>
      <w:r w:rsidR="001F5C7B" w:rsidRPr="006E0231">
        <w:rPr>
          <w:rFonts w:eastAsia="Arial Unicode MS"/>
        </w:rPr>
        <w:t xml:space="preserve">onvención de 1978. Por tanto, al momento en que se terminó la relación laboral, el autor tenía un contrato a término indefinido. </w:t>
      </w:r>
      <w:r w:rsidR="006D03BE" w:rsidRPr="006E0231">
        <w:rPr>
          <w:rFonts w:eastAsia="Arial Unicode MS"/>
        </w:rPr>
        <w:t xml:space="preserve">El Juzgado dispuso </w:t>
      </w:r>
      <w:r w:rsidR="009F4B7B" w:rsidRPr="006E0231">
        <w:rPr>
          <w:rFonts w:eastAsia="Arial Unicode MS"/>
        </w:rPr>
        <w:t xml:space="preserve">el reintegro de </w:t>
      </w:r>
      <w:r w:rsidR="00C058A1" w:rsidRPr="006E0231">
        <w:t>R.</w:t>
      </w:r>
      <w:r w:rsidR="009E2CE0">
        <w:t xml:space="preserve"> </w:t>
      </w:r>
      <w:r w:rsidR="00C058A1" w:rsidRPr="008C3C15">
        <w:t>D.</w:t>
      </w:r>
      <w:r w:rsidR="009E2CE0">
        <w:t xml:space="preserve"> </w:t>
      </w:r>
      <w:r w:rsidR="00C058A1" w:rsidRPr="008C3C15">
        <w:t>C.</w:t>
      </w:r>
      <w:r w:rsidR="009F4B7B" w:rsidRPr="008C3C15">
        <w:t xml:space="preserve"> </w:t>
      </w:r>
      <w:r w:rsidR="006D03BE" w:rsidRPr="006E0231">
        <w:rPr>
          <w:rFonts w:eastAsia="Arial Unicode MS"/>
        </w:rPr>
        <w:t>por</w:t>
      </w:r>
      <w:r w:rsidR="00356276" w:rsidRPr="006E0231">
        <w:rPr>
          <w:rFonts w:eastAsia="Arial Unicode MS"/>
        </w:rPr>
        <w:t xml:space="preserve"> la Federación</w:t>
      </w:r>
      <w:r w:rsidR="00966A39" w:rsidRPr="006E0231">
        <w:rPr>
          <w:rFonts w:eastAsia="Arial Unicode MS"/>
        </w:rPr>
        <w:t xml:space="preserve"> </w:t>
      </w:r>
      <w:r w:rsidR="00356276" w:rsidRPr="006E0231">
        <w:rPr>
          <w:rFonts w:eastAsia="Arial Unicode MS"/>
        </w:rPr>
        <w:t>al cargo que desempeñaba el 30 de junio de 2007 y</w:t>
      </w:r>
      <w:r w:rsidR="00966A39" w:rsidRPr="006E0231">
        <w:rPr>
          <w:rFonts w:eastAsia="Arial Unicode MS"/>
        </w:rPr>
        <w:t xml:space="preserve"> </w:t>
      </w:r>
      <w:r w:rsidR="005878C3" w:rsidRPr="006E0231">
        <w:rPr>
          <w:rFonts w:eastAsia="Arial Unicode MS"/>
        </w:rPr>
        <w:t>e</w:t>
      </w:r>
      <w:r w:rsidR="00356276" w:rsidRPr="006E0231">
        <w:rPr>
          <w:rFonts w:eastAsia="Arial Unicode MS"/>
        </w:rPr>
        <w:t>l pago de los salarios dejados de percibir.</w:t>
      </w:r>
    </w:p>
    <w:p w14:paraId="18069131" w14:textId="04E7D1D8" w:rsidR="006647C1" w:rsidRPr="006E0231" w:rsidRDefault="007648FC" w:rsidP="00802445">
      <w:pPr>
        <w:pStyle w:val="SingleTxtG"/>
        <w:rPr>
          <w:rFonts w:eastAsia="Arial Unicode MS"/>
        </w:rPr>
      </w:pPr>
      <w:r w:rsidRPr="006E0231">
        <w:rPr>
          <w:rFonts w:eastAsia="Arial Unicode MS"/>
        </w:rPr>
        <w:t>2.1</w:t>
      </w:r>
      <w:r w:rsidR="00F607C6" w:rsidRPr="006E0231">
        <w:rPr>
          <w:rFonts w:eastAsia="Arial Unicode MS"/>
        </w:rPr>
        <w:t>0</w:t>
      </w:r>
      <w:r w:rsidR="00733D6B" w:rsidRPr="006E0231">
        <w:rPr>
          <w:rFonts w:eastAsia="Arial Unicode MS"/>
        </w:rPr>
        <w:tab/>
      </w:r>
      <w:r w:rsidR="00356276" w:rsidRPr="006E0231">
        <w:rPr>
          <w:rFonts w:eastAsia="Arial Unicode MS"/>
        </w:rPr>
        <w:t xml:space="preserve">La Federación apeló la sentencia ante el </w:t>
      </w:r>
      <w:r w:rsidR="005878C3" w:rsidRPr="006E0231">
        <w:rPr>
          <w:rFonts w:eastAsia="Arial Unicode MS"/>
        </w:rPr>
        <w:t>Tribunal Superior de Justicia de Bogotá</w:t>
      </w:r>
      <w:r w:rsidR="00356276" w:rsidRPr="006E0231">
        <w:rPr>
          <w:rFonts w:eastAsia="Arial Unicode MS"/>
        </w:rPr>
        <w:t>. El 24 de oct</w:t>
      </w:r>
      <w:r w:rsidR="000349F7" w:rsidRPr="006E0231">
        <w:rPr>
          <w:rFonts w:eastAsia="Arial Unicode MS"/>
        </w:rPr>
        <w:t xml:space="preserve">ubre de 2008, el </w:t>
      </w:r>
      <w:r w:rsidR="005878C3" w:rsidRPr="006E0231">
        <w:rPr>
          <w:rFonts w:eastAsia="Arial Unicode MS"/>
        </w:rPr>
        <w:t xml:space="preserve">Tribunal </w:t>
      </w:r>
      <w:r w:rsidR="000349F7" w:rsidRPr="006E0231">
        <w:rPr>
          <w:rFonts w:eastAsia="Arial Unicode MS"/>
        </w:rPr>
        <w:t>revoc</w:t>
      </w:r>
      <w:r w:rsidR="00356276" w:rsidRPr="006E0231">
        <w:rPr>
          <w:rFonts w:eastAsia="Arial Unicode MS"/>
        </w:rPr>
        <w:t xml:space="preserve">ó la sentencia de primera instancia y desestimó la demanda del autor. </w:t>
      </w:r>
      <w:r w:rsidR="00733D6B" w:rsidRPr="006E0231">
        <w:rPr>
          <w:rFonts w:eastAsia="Arial Unicode MS"/>
        </w:rPr>
        <w:t>E</w:t>
      </w:r>
      <w:r w:rsidR="006647C1" w:rsidRPr="006E0231">
        <w:rPr>
          <w:rFonts w:eastAsia="Arial Unicode MS"/>
        </w:rPr>
        <w:t>l</w:t>
      </w:r>
      <w:r w:rsidR="00733D6B" w:rsidRPr="006E0231">
        <w:rPr>
          <w:rFonts w:eastAsia="Arial Unicode MS"/>
        </w:rPr>
        <w:t xml:space="preserve"> </w:t>
      </w:r>
      <w:r w:rsidR="005878C3" w:rsidRPr="006E0231">
        <w:rPr>
          <w:rFonts w:eastAsia="Arial Unicode MS"/>
        </w:rPr>
        <w:t xml:space="preserve">Tribunal </w:t>
      </w:r>
      <w:r w:rsidR="003057E3" w:rsidRPr="006E0231">
        <w:rPr>
          <w:rFonts w:eastAsia="Arial Unicode MS"/>
        </w:rPr>
        <w:t>determinó que</w:t>
      </w:r>
      <w:r w:rsidR="003730B4" w:rsidRPr="006E0231">
        <w:rPr>
          <w:rFonts w:eastAsia="Arial Unicode MS"/>
        </w:rPr>
        <w:t xml:space="preserve"> </w:t>
      </w:r>
      <w:r w:rsidR="003057E3" w:rsidRPr="006E0231">
        <w:rPr>
          <w:rFonts w:eastAsia="Arial Unicode MS"/>
        </w:rPr>
        <w:t xml:space="preserve">el contrato que vinculaba a la Federación y </w:t>
      </w:r>
      <w:r w:rsidR="003730B4" w:rsidRPr="006E0231">
        <w:rPr>
          <w:rFonts w:eastAsia="Arial Unicode MS"/>
        </w:rPr>
        <w:t>el autor</w:t>
      </w:r>
      <w:r w:rsidR="003057E3" w:rsidRPr="006E0231">
        <w:rPr>
          <w:rFonts w:eastAsia="Arial Unicode MS"/>
        </w:rPr>
        <w:t xml:space="preserve"> era de término fijo y</w:t>
      </w:r>
      <w:r w:rsidR="003730B4" w:rsidRPr="006E0231">
        <w:rPr>
          <w:rFonts w:eastAsia="Arial Unicode MS"/>
        </w:rPr>
        <w:t xml:space="preserve"> que </w:t>
      </w:r>
      <w:r w:rsidR="00733D6B" w:rsidRPr="006E0231">
        <w:rPr>
          <w:rFonts w:eastAsia="Arial Unicode MS"/>
        </w:rPr>
        <w:t>la conclusión de la relación laboral obedeció a la expiración del contra</w:t>
      </w:r>
      <w:r w:rsidR="00432214" w:rsidRPr="006E0231">
        <w:rPr>
          <w:rFonts w:eastAsia="Arial Unicode MS"/>
        </w:rPr>
        <w:t>to</w:t>
      </w:r>
      <w:r w:rsidR="00733D6B" w:rsidRPr="006E0231">
        <w:rPr>
          <w:rFonts w:eastAsia="Arial Unicode MS"/>
        </w:rPr>
        <w:t xml:space="preserve"> de trabajo,</w:t>
      </w:r>
      <w:r w:rsidR="003730B4" w:rsidRPr="006E0231">
        <w:rPr>
          <w:rFonts w:eastAsia="Arial Unicode MS"/>
        </w:rPr>
        <w:t xml:space="preserve"> y</w:t>
      </w:r>
      <w:r w:rsidR="00601FFB" w:rsidRPr="006E0231">
        <w:rPr>
          <w:rFonts w:eastAsia="Arial Unicode MS"/>
        </w:rPr>
        <w:t xml:space="preserve"> que</w:t>
      </w:r>
      <w:r w:rsidR="003730B4" w:rsidRPr="006E0231">
        <w:rPr>
          <w:rFonts w:eastAsia="Arial Unicode MS"/>
        </w:rPr>
        <w:t xml:space="preserve"> había sido notificado debidamente dentro del plazo establecido por el </w:t>
      </w:r>
      <w:r w:rsidR="005878C3" w:rsidRPr="006E0231">
        <w:rPr>
          <w:rFonts w:eastAsia="Arial Unicode MS"/>
        </w:rPr>
        <w:t>Código Sustantivo del Trabajo</w:t>
      </w:r>
      <w:r w:rsidR="003730B4" w:rsidRPr="006E0231">
        <w:rPr>
          <w:rFonts w:eastAsia="Arial Unicode MS"/>
        </w:rPr>
        <w:t xml:space="preserve">. </w:t>
      </w:r>
      <w:r w:rsidR="00E321B1" w:rsidRPr="006E0231">
        <w:rPr>
          <w:rFonts w:eastAsia="Arial Unicode MS"/>
        </w:rPr>
        <w:t>El T</w:t>
      </w:r>
      <w:r w:rsidR="005878C3" w:rsidRPr="006E0231">
        <w:rPr>
          <w:rFonts w:eastAsia="Arial Unicode MS"/>
        </w:rPr>
        <w:t xml:space="preserve">ribunal </w:t>
      </w:r>
      <w:r w:rsidR="00E321B1" w:rsidRPr="006E0231">
        <w:rPr>
          <w:rFonts w:eastAsia="Arial Unicode MS"/>
        </w:rPr>
        <w:t>se refirió a su sentencia de 28 de octubre de 2008, con relación a la demanda planteada por G.</w:t>
      </w:r>
      <w:r w:rsidR="009E2CE0">
        <w:rPr>
          <w:rFonts w:eastAsia="Arial Unicode MS"/>
        </w:rPr>
        <w:t xml:space="preserve"> </w:t>
      </w:r>
      <w:r w:rsidR="00E321B1" w:rsidRPr="008C3C15">
        <w:rPr>
          <w:rFonts w:eastAsia="Arial Unicode MS"/>
        </w:rPr>
        <w:t>O.</w:t>
      </w:r>
      <w:r w:rsidR="009E2CE0">
        <w:rPr>
          <w:rFonts w:eastAsia="Arial Unicode MS"/>
        </w:rPr>
        <w:t xml:space="preserve"> </w:t>
      </w:r>
      <w:r w:rsidR="00E321B1" w:rsidRPr="008C3C15">
        <w:rPr>
          <w:rFonts w:eastAsia="Arial Unicode MS"/>
        </w:rPr>
        <w:t xml:space="preserve">C., en que concluyó que el artículo 8 de la convención de </w:t>
      </w:r>
      <w:r w:rsidR="00E0684C" w:rsidRPr="008C3C15">
        <w:rPr>
          <w:rFonts w:eastAsia="Arial Unicode MS"/>
        </w:rPr>
        <w:t>1976 estaba vigente. Sin embargo, debía entenderse que esta disposición solo beneficiaba a los trabajadores que al momento de suscrib</w:t>
      </w:r>
      <w:r w:rsidR="00E0684C" w:rsidRPr="006E0231">
        <w:rPr>
          <w:rFonts w:eastAsia="Arial Unicode MS"/>
        </w:rPr>
        <w:t>irse la convención prestaban servicios para la empresa.</w:t>
      </w:r>
    </w:p>
    <w:p w14:paraId="4EFCB488" w14:textId="5DC3533A" w:rsidR="00733D6B" w:rsidRPr="00636869" w:rsidRDefault="00744799" w:rsidP="00802445">
      <w:pPr>
        <w:pStyle w:val="H4G"/>
        <w:rPr>
          <w:rFonts w:eastAsia="Arial Unicode MS"/>
        </w:rPr>
      </w:pPr>
      <w:r>
        <w:rPr>
          <w:rFonts w:eastAsia="Arial Unicode MS"/>
        </w:rPr>
        <w:tab/>
      </w:r>
      <w:r>
        <w:rPr>
          <w:rFonts w:eastAsia="Arial Unicode MS"/>
        </w:rPr>
        <w:tab/>
      </w:r>
      <w:r w:rsidR="009B4680" w:rsidRPr="00636869">
        <w:rPr>
          <w:rFonts w:eastAsia="Arial Unicode MS"/>
        </w:rPr>
        <w:t>G</w:t>
      </w:r>
      <w:r w:rsidR="00C058A1">
        <w:rPr>
          <w:rFonts w:eastAsia="Arial Unicode MS"/>
        </w:rPr>
        <w:t>.</w:t>
      </w:r>
      <w:r w:rsidR="009E2CE0">
        <w:rPr>
          <w:rFonts w:eastAsia="Arial Unicode MS"/>
        </w:rPr>
        <w:t xml:space="preserve"> </w:t>
      </w:r>
      <w:r w:rsidR="009B4680" w:rsidRPr="00636869">
        <w:rPr>
          <w:rFonts w:eastAsia="Arial Unicode MS"/>
        </w:rPr>
        <w:t>V</w:t>
      </w:r>
      <w:r w:rsidR="00C058A1">
        <w:rPr>
          <w:rFonts w:eastAsia="Arial Unicode MS"/>
        </w:rPr>
        <w:t>.</w:t>
      </w:r>
      <w:r w:rsidR="009E2CE0">
        <w:rPr>
          <w:rFonts w:eastAsia="Arial Unicode MS"/>
        </w:rPr>
        <w:t xml:space="preserve"> </w:t>
      </w:r>
      <w:r w:rsidR="009B4680" w:rsidRPr="00636869">
        <w:rPr>
          <w:rFonts w:eastAsia="Arial Unicode MS"/>
        </w:rPr>
        <w:t>B</w:t>
      </w:r>
      <w:r w:rsidR="00C058A1">
        <w:rPr>
          <w:rFonts w:eastAsia="Arial Unicode MS"/>
        </w:rPr>
        <w:t>.</w:t>
      </w:r>
    </w:p>
    <w:p w14:paraId="4FA693EE" w14:textId="0880B8D0" w:rsidR="000349F7" w:rsidRPr="006E0231" w:rsidRDefault="007648FC" w:rsidP="00802445">
      <w:pPr>
        <w:pStyle w:val="SingleTxtG"/>
        <w:rPr>
          <w:rFonts w:eastAsia="Arial Unicode MS"/>
        </w:rPr>
      </w:pPr>
      <w:r w:rsidRPr="008C3C15">
        <w:t>2.1</w:t>
      </w:r>
      <w:r w:rsidR="00F607C6" w:rsidRPr="008C3C15">
        <w:t>1</w:t>
      </w:r>
      <w:r w:rsidR="00F961AA" w:rsidRPr="006E0231">
        <w:tab/>
      </w:r>
      <w:r w:rsidR="000349F7" w:rsidRPr="006E0231">
        <w:rPr>
          <w:rFonts w:eastAsia="Arial Unicode MS"/>
        </w:rPr>
        <w:t>El 18 de abril de 2008, el Juzgado 1</w:t>
      </w:r>
      <w:r w:rsidR="00744799" w:rsidRPr="006E0231">
        <w:rPr>
          <w:rFonts w:eastAsia="Arial Unicode MS"/>
        </w:rPr>
        <w:t>º</w:t>
      </w:r>
      <w:r w:rsidR="000349F7" w:rsidRPr="006E0231">
        <w:rPr>
          <w:rFonts w:eastAsia="Arial Unicode MS"/>
        </w:rPr>
        <w:t xml:space="preserve"> concluyó que </w:t>
      </w:r>
      <w:r w:rsidR="00C058A1" w:rsidRPr="006E0231">
        <w:t>G.</w:t>
      </w:r>
      <w:r w:rsidR="009E2CE0">
        <w:t xml:space="preserve"> </w:t>
      </w:r>
      <w:r w:rsidR="00C058A1" w:rsidRPr="008C3C15">
        <w:t>V.</w:t>
      </w:r>
      <w:r w:rsidR="009E2CE0">
        <w:t xml:space="preserve"> </w:t>
      </w:r>
      <w:r w:rsidR="00C058A1" w:rsidRPr="008C3C15">
        <w:t>B.</w:t>
      </w:r>
      <w:r w:rsidR="00312C89" w:rsidRPr="006E0231">
        <w:rPr>
          <w:rFonts w:eastAsia="Arial Unicode MS"/>
        </w:rPr>
        <w:t xml:space="preserve"> </w:t>
      </w:r>
      <w:r w:rsidR="000349F7" w:rsidRPr="006E0231">
        <w:rPr>
          <w:rFonts w:eastAsia="Arial Unicode MS"/>
        </w:rPr>
        <w:t xml:space="preserve">gozaba de fuero sindical al momento de ser despedido y que el despido se produjo sin causa justa dado que la Federación no había solicitado permiso judicial para proceder al despido. El Juzgado dispuso su reintegro </w:t>
      </w:r>
      <w:r w:rsidR="00666962" w:rsidRPr="006E0231">
        <w:rPr>
          <w:rFonts w:eastAsia="Arial Unicode MS"/>
        </w:rPr>
        <w:t xml:space="preserve">a </w:t>
      </w:r>
      <w:r w:rsidR="000349F7" w:rsidRPr="006E0231">
        <w:rPr>
          <w:rFonts w:eastAsia="Arial Unicode MS"/>
        </w:rPr>
        <w:t>la Federación</w:t>
      </w:r>
      <w:r w:rsidR="00966A39" w:rsidRPr="006E0231">
        <w:rPr>
          <w:rFonts w:eastAsia="Arial Unicode MS"/>
        </w:rPr>
        <w:t xml:space="preserve"> </w:t>
      </w:r>
      <w:r w:rsidR="000349F7" w:rsidRPr="006E0231">
        <w:rPr>
          <w:rFonts w:eastAsia="Arial Unicode MS"/>
        </w:rPr>
        <w:t>al cargo que desempeñaba y</w:t>
      </w:r>
      <w:r w:rsidR="00966A39" w:rsidRPr="006E0231">
        <w:rPr>
          <w:rFonts w:eastAsia="Arial Unicode MS"/>
        </w:rPr>
        <w:t xml:space="preserve"> </w:t>
      </w:r>
      <w:r w:rsidR="00666962" w:rsidRPr="006E0231">
        <w:rPr>
          <w:rFonts w:eastAsia="Arial Unicode MS"/>
        </w:rPr>
        <w:t>e</w:t>
      </w:r>
      <w:r w:rsidR="000349F7" w:rsidRPr="006E0231">
        <w:rPr>
          <w:rFonts w:eastAsia="Arial Unicode MS"/>
        </w:rPr>
        <w:t>l pago de los salarios dejados de percibir.</w:t>
      </w:r>
    </w:p>
    <w:p w14:paraId="4485F916" w14:textId="080D9D20" w:rsidR="004342D7" w:rsidRPr="006E0231" w:rsidRDefault="007648FC" w:rsidP="00802445">
      <w:pPr>
        <w:pStyle w:val="SingleTxtG"/>
        <w:rPr>
          <w:rFonts w:eastAsia="Arial Unicode MS"/>
        </w:rPr>
      </w:pPr>
      <w:r w:rsidRPr="006E0231">
        <w:rPr>
          <w:rFonts w:eastAsia="Arial Unicode MS"/>
        </w:rPr>
        <w:lastRenderedPageBreak/>
        <w:t>2.1</w:t>
      </w:r>
      <w:r w:rsidR="00F607C6" w:rsidRPr="006E0231">
        <w:rPr>
          <w:rFonts w:eastAsia="Arial Unicode MS"/>
        </w:rPr>
        <w:t>2</w:t>
      </w:r>
      <w:r w:rsidR="000349F7" w:rsidRPr="006E0231">
        <w:rPr>
          <w:rFonts w:eastAsia="Arial Unicode MS"/>
        </w:rPr>
        <w:tab/>
        <w:t xml:space="preserve">La Federación apeló la sentencia ante el </w:t>
      </w:r>
      <w:r w:rsidR="00666962" w:rsidRPr="006E0231">
        <w:rPr>
          <w:rFonts w:eastAsia="Arial Unicode MS"/>
        </w:rPr>
        <w:t>Tribunal Superior de Justicia de Bogotá</w:t>
      </w:r>
      <w:r w:rsidR="000349F7" w:rsidRPr="006E0231">
        <w:rPr>
          <w:rFonts w:eastAsia="Arial Unicode MS"/>
        </w:rPr>
        <w:t xml:space="preserve">. El 29 de agosto de 2008, el </w:t>
      </w:r>
      <w:r w:rsidR="00666962" w:rsidRPr="006E0231">
        <w:rPr>
          <w:rFonts w:eastAsia="Arial Unicode MS"/>
        </w:rPr>
        <w:t xml:space="preserve">Tribunal </w:t>
      </w:r>
      <w:r w:rsidR="000349F7" w:rsidRPr="006E0231">
        <w:rPr>
          <w:rFonts w:eastAsia="Arial Unicode MS"/>
        </w:rPr>
        <w:t>revocó la sentencia de primera instancia y desestimó la demanda del autor</w:t>
      </w:r>
      <w:r w:rsidR="004342D7" w:rsidRPr="006E0231">
        <w:rPr>
          <w:rFonts w:eastAsia="Arial Unicode MS"/>
        </w:rPr>
        <w:t>, toda vez que consideró que la Federación dio por terminado el contrato de trabajo por vencimiento del plazo pactado</w:t>
      </w:r>
      <w:r w:rsidR="00873E49" w:rsidRPr="006E0231">
        <w:rPr>
          <w:rFonts w:eastAsia="Arial Unicode MS"/>
        </w:rPr>
        <w:t xml:space="preserve"> en el mismo</w:t>
      </w:r>
      <w:r w:rsidR="004342D7" w:rsidRPr="006E0231">
        <w:rPr>
          <w:rFonts w:eastAsia="Arial Unicode MS"/>
        </w:rPr>
        <w:t>, para lo cual no se requería de autorización judicial</w:t>
      </w:r>
      <w:r w:rsidR="006563E3" w:rsidRPr="00802445">
        <w:rPr>
          <w:rStyle w:val="FootnoteReference"/>
        </w:rPr>
        <w:footnoteReference w:id="8"/>
      </w:r>
      <w:r w:rsidR="000349F7" w:rsidRPr="006E0231">
        <w:rPr>
          <w:rFonts w:eastAsia="Arial Unicode MS"/>
        </w:rPr>
        <w:t xml:space="preserve">. </w:t>
      </w:r>
      <w:r w:rsidR="00873E49" w:rsidRPr="006E0231">
        <w:rPr>
          <w:rFonts w:eastAsia="Arial Unicode MS"/>
        </w:rPr>
        <w:t xml:space="preserve">Respecto a la cuestión del fuero sindical </w:t>
      </w:r>
      <w:r w:rsidR="004342D7" w:rsidRPr="006E0231">
        <w:rPr>
          <w:rFonts w:eastAsia="Arial Unicode MS"/>
        </w:rPr>
        <w:t>e</w:t>
      </w:r>
      <w:r w:rsidR="000349F7" w:rsidRPr="006E0231">
        <w:rPr>
          <w:rFonts w:eastAsia="Arial Unicode MS"/>
        </w:rPr>
        <w:t xml:space="preserve">l </w:t>
      </w:r>
      <w:r w:rsidR="00666962" w:rsidRPr="006E0231">
        <w:rPr>
          <w:rFonts w:eastAsia="Arial Unicode MS"/>
        </w:rPr>
        <w:t xml:space="preserve">Tribunal </w:t>
      </w:r>
      <w:r w:rsidR="000349F7" w:rsidRPr="006E0231">
        <w:rPr>
          <w:rFonts w:eastAsia="Arial Unicode MS"/>
        </w:rPr>
        <w:t xml:space="preserve">se refirió </w:t>
      </w:r>
      <w:r w:rsidR="004342D7" w:rsidRPr="006E0231">
        <w:rPr>
          <w:rFonts w:eastAsia="Arial Unicode MS"/>
        </w:rPr>
        <w:t xml:space="preserve">a </w:t>
      </w:r>
      <w:r w:rsidR="004F1026" w:rsidRPr="006E0231">
        <w:rPr>
          <w:rFonts w:eastAsia="Arial Unicode MS"/>
        </w:rPr>
        <w:t>las co</w:t>
      </w:r>
      <w:r w:rsidR="009B4DDE" w:rsidRPr="006E0231">
        <w:rPr>
          <w:rFonts w:eastAsia="Arial Unicode MS"/>
        </w:rPr>
        <w:t>nvenciones colectivas de 1972-19</w:t>
      </w:r>
      <w:r w:rsidR="004F1026" w:rsidRPr="006E0231">
        <w:rPr>
          <w:rFonts w:eastAsia="Arial Unicode MS"/>
        </w:rPr>
        <w:t>74 y 1976-1978 y señaló</w:t>
      </w:r>
      <w:r w:rsidR="004342D7" w:rsidRPr="006E0231">
        <w:rPr>
          <w:rFonts w:eastAsia="Arial Unicode MS"/>
        </w:rPr>
        <w:t>:</w:t>
      </w:r>
    </w:p>
    <w:p w14:paraId="62B1A2D9" w14:textId="014E644B" w:rsidR="004342D7" w:rsidRPr="006E0231" w:rsidRDefault="00744799" w:rsidP="00802445">
      <w:pPr>
        <w:pStyle w:val="SingleTxtG"/>
        <w:ind w:left="1701"/>
      </w:pPr>
      <w:r>
        <w:tab/>
      </w:r>
      <w:r>
        <w:tab/>
      </w:r>
      <w:r w:rsidR="004342D7" w:rsidRPr="008C3C15">
        <w:t>“En consecuencia, habida cuenta que el parágrafo del artículo 40 de la convención colectiva de trabajo de 1972-1974, como el parágrafo de la cláusula octava de la convención colectiva de 1976</w:t>
      </w:r>
      <w:r w:rsidR="004342D7" w:rsidRPr="006E0231">
        <w:t>-1978, no fue modificado ni derogado por los convenios colectivos posteriores, se encuentra vigente</w:t>
      </w:r>
      <w:r w:rsidR="00484A12" w:rsidRPr="006E0231">
        <w:t>,</w:t>
      </w:r>
      <w:r w:rsidR="004342D7" w:rsidRPr="006E0231">
        <w:t xml:space="preserve"> pues no aparece que las partes lo hayan derogado, ya que al ser fruto de la voluntad</w:t>
      </w:r>
      <w:r w:rsidR="00966A39" w:rsidRPr="006E0231">
        <w:t xml:space="preserve"> </w:t>
      </w:r>
      <w:r w:rsidR="004342D7" w:rsidRPr="006E0231">
        <w:t>y el resultado de un proceso de negociación colectiva, también del mismo modo y medio se debió dejar sin efecto</w:t>
      </w:r>
      <w:r w:rsidR="00484A12" w:rsidRPr="006E0231">
        <w:t>, a</w:t>
      </w:r>
      <w:r w:rsidR="004342D7" w:rsidRPr="006E0231">
        <w:t>mén de que en los convenios posteriores, lo que se hizo fue ratificarlo en la medida que expresamente las partes acordaron que continuaban vigentes las estipulaciones que no ha</w:t>
      </w:r>
      <w:r w:rsidR="00312C89" w:rsidRPr="006E0231">
        <w:t>n sido derogadas o modificadas</w:t>
      </w:r>
      <w:r w:rsidR="009E2CE0">
        <w:t>.</w:t>
      </w:r>
      <w:r w:rsidR="00873E49" w:rsidRPr="008C3C15">
        <w:t>”</w:t>
      </w:r>
    </w:p>
    <w:p w14:paraId="53C14136" w14:textId="6912C0F7" w:rsidR="0031015D" w:rsidRPr="006E0231" w:rsidRDefault="007648FC" w:rsidP="00802445">
      <w:pPr>
        <w:pStyle w:val="SingleTxtG"/>
        <w:rPr>
          <w:rFonts w:eastAsia="Arial Unicode MS"/>
        </w:rPr>
      </w:pPr>
      <w:r w:rsidRPr="006E0231">
        <w:rPr>
          <w:rFonts w:eastAsia="Arial Unicode MS"/>
        </w:rPr>
        <w:t>2.</w:t>
      </w:r>
      <w:r w:rsidR="00F607C6" w:rsidRPr="006E0231">
        <w:rPr>
          <w:rFonts w:eastAsia="Arial Unicode MS"/>
        </w:rPr>
        <w:t>13</w:t>
      </w:r>
      <w:r w:rsidR="000140B1" w:rsidRPr="006E0231">
        <w:rPr>
          <w:rFonts w:eastAsia="Arial Unicode MS"/>
        </w:rPr>
        <w:tab/>
      </w:r>
      <w:r w:rsidR="000349F7" w:rsidRPr="006E0231">
        <w:rPr>
          <w:rFonts w:eastAsia="Arial Unicode MS"/>
        </w:rPr>
        <w:t xml:space="preserve">Posteriormente, </w:t>
      </w:r>
      <w:r w:rsidR="00C058A1" w:rsidRPr="006E0231">
        <w:t>G.</w:t>
      </w:r>
      <w:r w:rsidR="009E2CE0">
        <w:t xml:space="preserve"> </w:t>
      </w:r>
      <w:r w:rsidR="00C058A1" w:rsidRPr="008C3C15">
        <w:t>V.</w:t>
      </w:r>
      <w:r w:rsidR="009E2CE0">
        <w:t xml:space="preserve"> </w:t>
      </w:r>
      <w:r w:rsidR="00C058A1" w:rsidRPr="008C3C15">
        <w:t>B.</w:t>
      </w:r>
      <w:r w:rsidR="007817D1" w:rsidRPr="006E0231">
        <w:rPr>
          <w:rFonts w:eastAsia="Arial Unicode MS"/>
        </w:rPr>
        <w:t xml:space="preserve"> </w:t>
      </w:r>
      <w:r w:rsidR="0031015D" w:rsidRPr="006E0231">
        <w:rPr>
          <w:rFonts w:eastAsia="Arial Unicode MS"/>
        </w:rPr>
        <w:t xml:space="preserve">presentó una acción extraordinaria de tutela que fue denegada por la </w:t>
      </w:r>
      <w:r w:rsidR="00666962" w:rsidRPr="006E0231">
        <w:rPr>
          <w:rFonts w:eastAsia="Arial Unicode MS"/>
        </w:rPr>
        <w:t xml:space="preserve">Corte Suprema de Justicia </w:t>
      </w:r>
      <w:r w:rsidR="0031015D" w:rsidRPr="006E0231">
        <w:rPr>
          <w:rFonts w:eastAsia="Arial Unicode MS"/>
        </w:rPr>
        <w:t>y no fue escogida por la Sala de Selección de la Corte Constitucional para revisión.</w:t>
      </w:r>
    </w:p>
    <w:p w14:paraId="37EFA16A" w14:textId="731A144D" w:rsidR="00CA20B8" w:rsidRPr="00636869" w:rsidRDefault="00744799" w:rsidP="00802445">
      <w:pPr>
        <w:pStyle w:val="H4G"/>
        <w:rPr>
          <w:rFonts w:eastAsia="Arial Unicode MS"/>
        </w:rPr>
      </w:pPr>
      <w:r>
        <w:rPr>
          <w:rFonts w:eastAsia="Arial Unicode MS"/>
        </w:rPr>
        <w:tab/>
      </w:r>
      <w:r>
        <w:rPr>
          <w:rFonts w:eastAsia="Arial Unicode MS"/>
        </w:rPr>
        <w:tab/>
      </w:r>
      <w:r w:rsidR="000140B1" w:rsidRPr="00636869">
        <w:rPr>
          <w:rFonts w:eastAsia="Arial Unicode MS"/>
        </w:rPr>
        <w:t>J</w:t>
      </w:r>
      <w:r w:rsidR="00570B5B">
        <w:rPr>
          <w:rFonts w:eastAsia="Arial Unicode MS"/>
        </w:rPr>
        <w:t>.</w:t>
      </w:r>
      <w:r w:rsidR="009E2CE0">
        <w:rPr>
          <w:rFonts w:eastAsia="Arial Unicode MS"/>
        </w:rPr>
        <w:t xml:space="preserve"> </w:t>
      </w:r>
      <w:r w:rsidR="000140B1" w:rsidRPr="00636869">
        <w:rPr>
          <w:rFonts w:eastAsia="Arial Unicode MS"/>
        </w:rPr>
        <w:t>J</w:t>
      </w:r>
      <w:r w:rsidR="00570B5B">
        <w:rPr>
          <w:rFonts w:eastAsia="Arial Unicode MS"/>
        </w:rPr>
        <w:t>.</w:t>
      </w:r>
      <w:r w:rsidR="009E2CE0">
        <w:rPr>
          <w:rFonts w:eastAsia="Arial Unicode MS"/>
        </w:rPr>
        <w:t xml:space="preserve"> </w:t>
      </w:r>
      <w:r w:rsidR="000140B1" w:rsidRPr="00636869">
        <w:rPr>
          <w:rFonts w:eastAsia="Arial Unicode MS"/>
        </w:rPr>
        <w:t>R</w:t>
      </w:r>
      <w:r w:rsidR="00570B5B">
        <w:rPr>
          <w:rFonts w:eastAsia="Arial Unicode MS"/>
        </w:rPr>
        <w:t>.</w:t>
      </w:r>
      <w:r w:rsidR="009E2CE0">
        <w:rPr>
          <w:rFonts w:eastAsia="Arial Unicode MS"/>
        </w:rPr>
        <w:t xml:space="preserve"> </w:t>
      </w:r>
      <w:r w:rsidR="000140B1" w:rsidRPr="00636869">
        <w:rPr>
          <w:rFonts w:eastAsia="Arial Unicode MS"/>
        </w:rPr>
        <w:t>R</w:t>
      </w:r>
      <w:r w:rsidR="00570B5B">
        <w:rPr>
          <w:rFonts w:eastAsia="Arial Unicode MS"/>
        </w:rPr>
        <w:t>.</w:t>
      </w:r>
    </w:p>
    <w:p w14:paraId="7F102F74" w14:textId="4D1E59C8" w:rsidR="00D75FD3" w:rsidRPr="006E0231" w:rsidRDefault="007648FC" w:rsidP="00802445">
      <w:pPr>
        <w:pStyle w:val="SingleTxtG"/>
        <w:rPr>
          <w:rFonts w:eastAsia="Arial Unicode MS"/>
        </w:rPr>
      </w:pPr>
      <w:r w:rsidRPr="008C3C15">
        <w:t>2.1</w:t>
      </w:r>
      <w:r w:rsidR="00F607C6" w:rsidRPr="008C3C15">
        <w:t>4</w:t>
      </w:r>
      <w:r w:rsidR="00D75FD3" w:rsidRPr="006E0231">
        <w:tab/>
      </w:r>
      <w:r w:rsidR="00D75FD3" w:rsidRPr="006E0231">
        <w:rPr>
          <w:rFonts w:eastAsia="Arial Unicode MS"/>
        </w:rPr>
        <w:t xml:space="preserve">El </w:t>
      </w:r>
      <w:r w:rsidR="00BD2718" w:rsidRPr="006E0231">
        <w:rPr>
          <w:rFonts w:eastAsia="Arial Unicode MS"/>
        </w:rPr>
        <w:t xml:space="preserve">9 de mayo de 2008, </w:t>
      </w:r>
      <w:r w:rsidR="00D75FD3" w:rsidRPr="006E0231">
        <w:rPr>
          <w:rFonts w:eastAsia="Arial Unicode MS"/>
        </w:rPr>
        <w:t xml:space="preserve">el Juzgado </w:t>
      </w:r>
      <w:r w:rsidR="00BD2718" w:rsidRPr="006E0231">
        <w:rPr>
          <w:rFonts w:eastAsia="Arial Unicode MS"/>
        </w:rPr>
        <w:t>1</w:t>
      </w:r>
      <w:r w:rsidR="00D75FD3" w:rsidRPr="006E0231">
        <w:rPr>
          <w:rFonts w:eastAsia="Arial Unicode MS"/>
        </w:rPr>
        <w:t>5</w:t>
      </w:r>
      <w:r w:rsidR="00744799" w:rsidRPr="006E0231">
        <w:rPr>
          <w:rFonts w:eastAsia="Arial Unicode MS"/>
        </w:rPr>
        <w:t>º</w:t>
      </w:r>
      <w:r w:rsidR="00D75FD3" w:rsidRPr="006E0231">
        <w:rPr>
          <w:rFonts w:eastAsia="Arial Unicode MS"/>
        </w:rPr>
        <w:t xml:space="preserve"> </w:t>
      </w:r>
      <w:r w:rsidR="00BD2718" w:rsidRPr="006E0231">
        <w:rPr>
          <w:rFonts w:eastAsia="Arial Unicode MS"/>
        </w:rPr>
        <w:t>declaró infundada la demanda de</w:t>
      </w:r>
      <w:r w:rsidR="00101973" w:rsidRPr="006E0231">
        <w:rPr>
          <w:rFonts w:eastAsia="Arial Unicode MS"/>
        </w:rPr>
        <w:t xml:space="preserve"> </w:t>
      </w:r>
      <w:r w:rsidR="00E109A7" w:rsidRPr="006E0231">
        <w:t>J.</w:t>
      </w:r>
      <w:r w:rsidR="009E2CE0">
        <w:t xml:space="preserve"> </w:t>
      </w:r>
      <w:r w:rsidR="00E109A7" w:rsidRPr="008C3C15">
        <w:t>J.</w:t>
      </w:r>
      <w:r w:rsidR="009E2CE0">
        <w:t xml:space="preserve"> </w:t>
      </w:r>
      <w:r w:rsidR="00E109A7" w:rsidRPr="008C3C15">
        <w:t>R.</w:t>
      </w:r>
      <w:r w:rsidR="009E2CE0">
        <w:t xml:space="preserve"> </w:t>
      </w:r>
      <w:r w:rsidR="00E109A7" w:rsidRPr="008C3C15">
        <w:t xml:space="preserve">R. </w:t>
      </w:r>
      <w:r w:rsidR="00BD2718" w:rsidRPr="006E0231">
        <w:rPr>
          <w:rFonts w:eastAsia="Arial Unicode MS"/>
        </w:rPr>
        <w:t>toda vez que el motivo que dio origen a la terminación del vínculo contractual no fue el despido del autor sino el vencimiento del contrato de trabajo a término fijo que la Federación decidió no renovar.</w:t>
      </w:r>
    </w:p>
    <w:p w14:paraId="2AF96E14" w14:textId="1FA6F522" w:rsidR="00D75FD3" w:rsidRPr="006E0231" w:rsidRDefault="00F607C6" w:rsidP="00802445">
      <w:pPr>
        <w:pStyle w:val="SingleTxtG"/>
        <w:rPr>
          <w:rFonts w:eastAsia="Arial Unicode MS"/>
        </w:rPr>
      </w:pPr>
      <w:r w:rsidRPr="006E0231">
        <w:rPr>
          <w:rFonts w:eastAsia="Arial Unicode MS"/>
        </w:rPr>
        <w:t>2.15</w:t>
      </w:r>
      <w:r w:rsidR="00D75FD3" w:rsidRPr="006E0231">
        <w:rPr>
          <w:rFonts w:eastAsia="Arial Unicode MS"/>
        </w:rPr>
        <w:tab/>
      </w:r>
      <w:r w:rsidR="00E109A7" w:rsidRPr="006E0231">
        <w:t>J.</w:t>
      </w:r>
      <w:r w:rsidR="009E2CE0">
        <w:t xml:space="preserve"> </w:t>
      </w:r>
      <w:r w:rsidR="00E109A7" w:rsidRPr="008C3C15">
        <w:t>J.</w:t>
      </w:r>
      <w:r w:rsidR="009E2CE0">
        <w:t xml:space="preserve"> </w:t>
      </w:r>
      <w:r w:rsidR="00E109A7" w:rsidRPr="008C3C15">
        <w:t>R.</w:t>
      </w:r>
      <w:r w:rsidR="009E2CE0">
        <w:t xml:space="preserve"> </w:t>
      </w:r>
      <w:r w:rsidR="00E109A7" w:rsidRPr="008C3C15">
        <w:t>R.</w:t>
      </w:r>
      <w:r w:rsidR="00D75FD3" w:rsidRPr="006E0231">
        <w:rPr>
          <w:rFonts w:eastAsia="Arial Unicode MS"/>
        </w:rPr>
        <w:t xml:space="preserve"> apeló esta sentencia ante el </w:t>
      </w:r>
      <w:r w:rsidR="002F0766" w:rsidRPr="006E0231">
        <w:rPr>
          <w:rFonts w:eastAsia="Arial Unicode MS"/>
        </w:rPr>
        <w:t>Tribunal Superior de Justicia de Bogotá</w:t>
      </w:r>
      <w:r w:rsidR="00D75FD3" w:rsidRPr="006E0231">
        <w:rPr>
          <w:rFonts w:eastAsia="Arial Unicode MS"/>
        </w:rPr>
        <w:t xml:space="preserve">. El </w:t>
      </w:r>
      <w:r w:rsidR="00B75F28" w:rsidRPr="006E0231">
        <w:rPr>
          <w:rFonts w:eastAsia="Arial Unicode MS"/>
        </w:rPr>
        <w:t>31 de julio de 2008</w:t>
      </w:r>
      <w:r w:rsidR="00D75FD3" w:rsidRPr="006E0231">
        <w:rPr>
          <w:rFonts w:eastAsia="Arial Unicode MS"/>
        </w:rPr>
        <w:t xml:space="preserve">, el </w:t>
      </w:r>
      <w:r w:rsidR="002F0766" w:rsidRPr="006E0231">
        <w:rPr>
          <w:rFonts w:eastAsia="Arial Unicode MS"/>
        </w:rPr>
        <w:t xml:space="preserve">Tribunal </w:t>
      </w:r>
      <w:r w:rsidR="00D75FD3" w:rsidRPr="006E0231">
        <w:rPr>
          <w:rFonts w:eastAsia="Arial Unicode MS"/>
        </w:rPr>
        <w:t xml:space="preserve">desestimó la apelación y confirmó la sentencia de primera instancia. EL </w:t>
      </w:r>
      <w:r w:rsidR="002F0766" w:rsidRPr="006E0231">
        <w:rPr>
          <w:rFonts w:eastAsia="Arial Unicode MS"/>
        </w:rPr>
        <w:t xml:space="preserve">Tribunal </w:t>
      </w:r>
      <w:r w:rsidR="00D75FD3" w:rsidRPr="006E0231">
        <w:rPr>
          <w:rFonts w:eastAsia="Arial Unicode MS"/>
        </w:rPr>
        <w:t xml:space="preserve">estableció que el autor gozaba de fuero sindical de acuerdo al artículo 406 del </w:t>
      </w:r>
      <w:r w:rsidR="002F0766" w:rsidRPr="006E0231">
        <w:rPr>
          <w:rFonts w:eastAsia="Arial Unicode MS"/>
        </w:rPr>
        <w:t>Código Sustantivo del Trabajo</w:t>
      </w:r>
      <w:r w:rsidR="00D75FD3" w:rsidRPr="006E0231">
        <w:rPr>
          <w:rFonts w:eastAsia="Arial Unicode MS"/>
        </w:rPr>
        <w:t xml:space="preserve">, como </w:t>
      </w:r>
      <w:r w:rsidR="00B75F28" w:rsidRPr="006E0231">
        <w:rPr>
          <w:rFonts w:eastAsia="Arial Unicode MS"/>
        </w:rPr>
        <w:t xml:space="preserve">miembro de la </w:t>
      </w:r>
      <w:r w:rsidR="002F0766" w:rsidRPr="006E0231">
        <w:rPr>
          <w:rFonts w:eastAsia="Arial Unicode MS"/>
        </w:rPr>
        <w:t>j</w:t>
      </w:r>
      <w:r w:rsidR="00B75F28" w:rsidRPr="006E0231">
        <w:rPr>
          <w:rFonts w:eastAsia="Arial Unicode MS"/>
        </w:rPr>
        <w:t xml:space="preserve">unta </w:t>
      </w:r>
      <w:r w:rsidR="002F0766" w:rsidRPr="006E0231">
        <w:rPr>
          <w:rFonts w:eastAsia="Arial Unicode MS"/>
        </w:rPr>
        <w:t>d</w:t>
      </w:r>
      <w:r w:rsidR="00B75F28" w:rsidRPr="006E0231">
        <w:rPr>
          <w:rFonts w:eastAsia="Arial Unicode MS"/>
        </w:rPr>
        <w:t>irectiva de</w:t>
      </w:r>
      <w:r w:rsidR="00D75FD3" w:rsidRPr="006E0231">
        <w:rPr>
          <w:rFonts w:eastAsia="Arial Unicode MS"/>
        </w:rPr>
        <w:t xml:space="preserve"> la </w:t>
      </w:r>
      <w:r w:rsidR="002F0766" w:rsidRPr="006E0231">
        <w:rPr>
          <w:rFonts w:eastAsia="Arial Unicode MS"/>
        </w:rPr>
        <w:t>s</w:t>
      </w:r>
      <w:r w:rsidR="00D75FD3" w:rsidRPr="006E0231">
        <w:rPr>
          <w:rFonts w:eastAsia="Arial Unicode MS"/>
        </w:rPr>
        <w:t xml:space="preserve">eccional Chinchiná-Caldas de SINTRAINDUSCAFÉ. Sin embargo, </w:t>
      </w:r>
      <w:r w:rsidR="00B75F28" w:rsidRPr="006E0231">
        <w:rPr>
          <w:rFonts w:eastAsia="Arial Unicode MS"/>
        </w:rPr>
        <w:t>el autor y la Federación pactaron un contrato de tra</w:t>
      </w:r>
      <w:r w:rsidR="00C575F0" w:rsidRPr="006E0231">
        <w:rPr>
          <w:rFonts w:eastAsia="Arial Unicode MS"/>
        </w:rPr>
        <w:t xml:space="preserve">bajo a término fijo de </w:t>
      </w:r>
      <w:r w:rsidR="008471FA" w:rsidRPr="006E0231">
        <w:rPr>
          <w:rFonts w:eastAsia="Arial Unicode MS"/>
        </w:rPr>
        <w:t xml:space="preserve">seis </w:t>
      </w:r>
      <w:r w:rsidR="00C575F0" w:rsidRPr="006E0231">
        <w:rPr>
          <w:rFonts w:eastAsia="Arial Unicode MS"/>
        </w:rPr>
        <w:t xml:space="preserve">meses y después de </w:t>
      </w:r>
      <w:r w:rsidR="008471FA" w:rsidRPr="006E0231">
        <w:rPr>
          <w:rFonts w:eastAsia="Arial Unicode MS"/>
        </w:rPr>
        <w:t>un</w:t>
      </w:r>
      <w:r w:rsidR="00C575F0" w:rsidRPr="006E0231">
        <w:rPr>
          <w:rFonts w:eastAsia="Arial Unicode MS"/>
        </w:rPr>
        <w:t xml:space="preserve"> año, que fue </w:t>
      </w:r>
      <w:r w:rsidR="00B75F28" w:rsidRPr="006E0231">
        <w:rPr>
          <w:rFonts w:eastAsia="Arial Unicode MS"/>
        </w:rPr>
        <w:t xml:space="preserve">prorrogado </w:t>
      </w:r>
      <w:r w:rsidR="00C575F0" w:rsidRPr="006E0231">
        <w:rPr>
          <w:rFonts w:eastAsia="Arial Unicode MS"/>
        </w:rPr>
        <w:t xml:space="preserve">sucesivamente </w:t>
      </w:r>
      <w:r w:rsidR="00B75F28" w:rsidRPr="006E0231">
        <w:rPr>
          <w:rFonts w:eastAsia="Arial Unicode MS"/>
        </w:rPr>
        <w:t xml:space="preserve">hasta el 1 de septiembre de 2007, fecha en la cual venció el contrato, previa comunicación de la Federación de acuerdo a lo establecido por </w:t>
      </w:r>
      <w:r w:rsidR="008471FA" w:rsidRPr="006E0231">
        <w:rPr>
          <w:rFonts w:eastAsia="Arial Unicode MS"/>
        </w:rPr>
        <w:t xml:space="preserve">la </w:t>
      </w:r>
      <w:r w:rsidR="00B75F28" w:rsidRPr="006E0231">
        <w:rPr>
          <w:rFonts w:eastAsia="Arial Unicode MS"/>
        </w:rPr>
        <w:t xml:space="preserve">ley. El </w:t>
      </w:r>
      <w:r w:rsidR="008471FA" w:rsidRPr="006E0231">
        <w:rPr>
          <w:rFonts w:eastAsia="Arial Unicode MS"/>
        </w:rPr>
        <w:t xml:space="preserve">Tribunal </w:t>
      </w:r>
      <w:r w:rsidR="00B75F28" w:rsidRPr="006E0231">
        <w:rPr>
          <w:rFonts w:eastAsia="Arial Unicode MS"/>
        </w:rPr>
        <w:t xml:space="preserve">agregó que </w:t>
      </w:r>
      <w:r w:rsidR="00F471B9" w:rsidRPr="006E0231">
        <w:rPr>
          <w:rFonts w:eastAsia="Arial Unicode MS"/>
        </w:rPr>
        <w:t xml:space="preserve">la disposición del artículo 40.1 de la </w:t>
      </w:r>
      <w:r w:rsidR="008471FA" w:rsidRPr="006E0231">
        <w:rPr>
          <w:rFonts w:eastAsia="Arial Unicode MS"/>
        </w:rPr>
        <w:t>c</w:t>
      </w:r>
      <w:r w:rsidR="00F471B9" w:rsidRPr="006E0231">
        <w:rPr>
          <w:rFonts w:eastAsia="Arial Unicode MS"/>
        </w:rPr>
        <w:t>onvención colectiva de trabajo de 1974, posteriormente co</w:t>
      </w:r>
      <w:r w:rsidR="00432214" w:rsidRPr="006E0231">
        <w:rPr>
          <w:rFonts w:eastAsia="Arial Unicode MS"/>
        </w:rPr>
        <w:t>nsignada en el artículo 8 de la</w:t>
      </w:r>
      <w:r w:rsidR="00D75FD3" w:rsidRPr="006E0231">
        <w:rPr>
          <w:rFonts w:eastAsia="Arial Unicode MS"/>
        </w:rPr>
        <w:t xml:space="preserve"> conven</w:t>
      </w:r>
      <w:r w:rsidR="00B75F28" w:rsidRPr="006E0231">
        <w:rPr>
          <w:rFonts w:eastAsia="Arial Unicode MS"/>
        </w:rPr>
        <w:t>ción colectiva</w:t>
      </w:r>
      <w:r w:rsidR="00D75FD3" w:rsidRPr="006E0231">
        <w:rPr>
          <w:rFonts w:eastAsia="Arial Unicode MS"/>
        </w:rPr>
        <w:t xml:space="preserve"> de 1976</w:t>
      </w:r>
      <w:r w:rsidR="00F471B9" w:rsidRPr="006E0231">
        <w:rPr>
          <w:rFonts w:eastAsia="Arial Unicode MS"/>
        </w:rPr>
        <w:t>,</w:t>
      </w:r>
      <w:r w:rsidR="00966A39" w:rsidRPr="006E0231">
        <w:rPr>
          <w:rFonts w:eastAsia="Arial Unicode MS"/>
        </w:rPr>
        <w:t xml:space="preserve"> </w:t>
      </w:r>
      <w:r w:rsidR="00D75FD3" w:rsidRPr="006E0231">
        <w:rPr>
          <w:rFonts w:eastAsia="Arial Unicode MS"/>
        </w:rPr>
        <w:t xml:space="preserve">que </w:t>
      </w:r>
      <w:r w:rsidR="00B75F28" w:rsidRPr="006E0231">
        <w:rPr>
          <w:rFonts w:eastAsia="Arial Unicode MS"/>
        </w:rPr>
        <w:t>establecía</w:t>
      </w:r>
      <w:r w:rsidR="00D75FD3" w:rsidRPr="006E0231">
        <w:rPr>
          <w:rFonts w:eastAsia="Arial Unicode MS"/>
        </w:rPr>
        <w:t xml:space="preserve"> la transformación del contrato de trabajo a término fijo </w:t>
      </w:r>
      <w:r w:rsidR="003B5251" w:rsidRPr="006E0231">
        <w:rPr>
          <w:rFonts w:eastAsia="Arial Unicode MS"/>
        </w:rPr>
        <w:t>en</w:t>
      </w:r>
      <w:r w:rsidR="00D75FD3" w:rsidRPr="006E0231">
        <w:rPr>
          <w:rFonts w:eastAsia="Arial Unicode MS"/>
        </w:rPr>
        <w:t xml:space="preserve"> un contrato de tiempo indefinido,</w:t>
      </w:r>
      <w:r w:rsidR="00F471B9" w:rsidRPr="006E0231">
        <w:rPr>
          <w:rFonts w:eastAsia="Arial Unicode MS"/>
        </w:rPr>
        <w:t xml:space="preserve"> no</w:t>
      </w:r>
      <w:r w:rsidR="00966A39" w:rsidRPr="006E0231">
        <w:rPr>
          <w:rFonts w:eastAsia="Arial Unicode MS"/>
        </w:rPr>
        <w:t xml:space="preserve"> </w:t>
      </w:r>
      <w:r w:rsidR="00B75F28" w:rsidRPr="006E0231">
        <w:rPr>
          <w:rFonts w:eastAsia="Arial Unicode MS"/>
        </w:rPr>
        <w:t>estaba vigente en 2004</w:t>
      </w:r>
      <w:r w:rsidR="00F5250B" w:rsidRPr="006E0231">
        <w:rPr>
          <w:rFonts w:eastAsia="Arial Unicode MS"/>
        </w:rPr>
        <w:t xml:space="preserve"> ni posteriormente</w:t>
      </w:r>
      <w:r w:rsidR="00F471B9" w:rsidRPr="006E0231">
        <w:rPr>
          <w:rFonts w:eastAsia="Arial Unicode MS"/>
        </w:rPr>
        <w:t>, toda vez que no</w:t>
      </w:r>
      <w:r w:rsidR="00F5250B" w:rsidRPr="006E0231">
        <w:rPr>
          <w:rFonts w:eastAsia="Arial Unicode MS"/>
        </w:rPr>
        <w:t xml:space="preserve"> </w:t>
      </w:r>
      <w:r w:rsidR="00F471B9" w:rsidRPr="006E0231">
        <w:rPr>
          <w:rFonts w:eastAsia="Arial Unicode MS"/>
        </w:rPr>
        <w:t xml:space="preserve">había sido incluida en </w:t>
      </w:r>
      <w:r w:rsidR="003B5251" w:rsidRPr="006E0231">
        <w:rPr>
          <w:rFonts w:eastAsia="Arial Unicode MS"/>
        </w:rPr>
        <w:t xml:space="preserve">los </w:t>
      </w:r>
      <w:r w:rsidR="00F471B9" w:rsidRPr="006E0231">
        <w:rPr>
          <w:rFonts w:eastAsia="Arial Unicode MS"/>
        </w:rPr>
        <w:t xml:space="preserve">convenios </w:t>
      </w:r>
      <w:r w:rsidR="00C575F0" w:rsidRPr="006E0231">
        <w:rPr>
          <w:rFonts w:eastAsia="Arial Unicode MS"/>
        </w:rPr>
        <w:t xml:space="preserve">colectivos </w:t>
      </w:r>
      <w:r w:rsidR="009506CB" w:rsidRPr="006E0231">
        <w:rPr>
          <w:rFonts w:eastAsia="Arial Unicode MS"/>
        </w:rPr>
        <w:t>celebrados después de 1978</w:t>
      </w:r>
      <w:r w:rsidR="00F471B9" w:rsidRPr="006E0231">
        <w:rPr>
          <w:rFonts w:eastAsia="Arial Unicode MS"/>
        </w:rPr>
        <w:t>.</w:t>
      </w:r>
    </w:p>
    <w:p w14:paraId="3E00AF56" w14:textId="464FD573" w:rsidR="00432214" w:rsidRPr="006E0231" w:rsidRDefault="00F607C6" w:rsidP="00802445">
      <w:pPr>
        <w:pStyle w:val="SingleTxtG"/>
        <w:rPr>
          <w:rFonts w:eastAsia="Arial Unicode MS"/>
        </w:rPr>
      </w:pPr>
      <w:r w:rsidRPr="006E0231">
        <w:rPr>
          <w:rFonts w:eastAsia="Arial Unicode MS"/>
        </w:rPr>
        <w:t>2.16</w:t>
      </w:r>
      <w:r w:rsidR="00D75FD3" w:rsidRPr="006E0231">
        <w:rPr>
          <w:rFonts w:eastAsia="Arial Unicode MS"/>
        </w:rPr>
        <w:tab/>
        <w:t xml:space="preserve">Posteriormente, </w:t>
      </w:r>
      <w:r w:rsidR="00E109A7" w:rsidRPr="006E0231">
        <w:t>J.</w:t>
      </w:r>
      <w:r w:rsidR="009E2CE0">
        <w:t xml:space="preserve"> </w:t>
      </w:r>
      <w:r w:rsidR="00E109A7" w:rsidRPr="008C3C15">
        <w:t>J.</w:t>
      </w:r>
      <w:r w:rsidR="009E2CE0">
        <w:t xml:space="preserve"> </w:t>
      </w:r>
      <w:r w:rsidR="00E109A7" w:rsidRPr="008C3C15">
        <w:t>R.</w:t>
      </w:r>
      <w:r w:rsidR="009E2CE0">
        <w:t xml:space="preserve"> </w:t>
      </w:r>
      <w:r w:rsidR="00E109A7" w:rsidRPr="008C3C15">
        <w:t>R.</w:t>
      </w:r>
      <w:r w:rsidR="00D75FD3" w:rsidRPr="006E0231">
        <w:rPr>
          <w:rFonts w:eastAsia="Arial Unicode MS"/>
        </w:rPr>
        <w:t xml:space="preserve"> presentó una acción extraordinaria de tutela </w:t>
      </w:r>
      <w:r w:rsidR="00F5250B" w:rsidRPr="006E0231">
        <w:rPr>
          <w:rFonts w:eastAsia="Arial Unicode MS"/>
        </w:rPr>
        <w:t xml:space="preserve">que fue denegada por la </w:t>
      </w:r>
      <w:r w:rsidR="008471FA" w:rsidRPr="006E0231">
        <w:rPr>
          <w:rFonts w:eastAsia="Arial Unicode MS"/>
        </w:rPr>
        <w:t xml:space="preserve">Corte Suprema de Justicia </w:t>
      </w:r>
      <w:r w:rsidR="00F5250B" w:rsidRPr="006E0231">
        <w:rPr>
          <w:rFonts w:eastAsia="Arial Unicode MS"/>
        </w:rPr>
        <w:t xml:space="preserve">y no fue escogida por la </w:t>
      </w:r>
      <w:r w:rsidR="00D75FD3" w:rsidRPr="006E0231">
        <w:rPr>
          <w:rFonts w:eastAsia="Arial Unicode MS"/>
        </w:rPr>
        <w:t>Sala de Selección de la Corte Constitucional para revisión.</w:t>
      </w:r>
    </w:p>
    <w:p w14:paraId="3B534751" w14:textId="1F22AC46" w:rsidR="00432214" w:rsidRPr="00636869" w:rsidRDefault="00744799" w:rsidP="00802445">
      <w:pPr>
        <w:pStyle w:val="H4G"/>
      </w:pPr>
      <w:r>
        <w:tab/>
      </w:r>
      <w:r>
        <w:tab/>
      </w:r>
      <w:r w:rsidR="00432214" w:rsidRPr="00636869">
        <w:t>F</w:t>
      </w:r>
      <w:r w:rsidR="00E109A7">
        <w:t>.</w:t>
      </w:r>
      <w:r w:rsidR="009E2CE0">
        <w:t xml:space="preserve"> </w:t>
      </w:r>
      <w:r w:rsidR="00432214" w:rsidRPr="00636869">
        <w:t>A</w:t>
      </w:r>
      <w:r w:rsidR="00E109A7">
        <w:t>.</w:t>
      </w:r>
      <w:r w:rsidR="009E2CE0">
        <w:t xml:space="preserve"> </w:t>
      </w:r>
      <w:r w:rsidR="00432214" w:rsidRPr="00636869">
        <w:t>H</w:t>
      </w:r>
      <w:r w:rsidR="00E109A7">
        <w:t>.</w:t>
      </w:r>
    </w:p>
    <w:p w14:paraId="04E3B670" w14:textId="7CCF5060" w:rsidR="00432214" w:rsidRPr="006E0231" w:rsidRDefault="00432214" w:rsidP="00802445">
      <w:pPr>
        <w:pStyle w:val="SingleTxtG"/>
        <w:rPr>
          <w:rFonts w:eastAsia="Arial Unicode MS"/>
        </w:rPr>
      </w:pPr>
      <w:r w:rsidRPr="008C3C15">
        <w:rPr>
          <w:rFonts w:eastAsia="Arial Unicode MS"/>
        </w:rPr>
        <w:t>2.17</w:t>
      </w:r>
      <w:r w:rsidRPr="008C3C15">
        <w:rPr>
          <w:rFonts w:eastAsia="Arial Unicode MS"/>
        </w:rPr>
        <w:tab/>
        <w:t>El 8 de julio de 2008, el Juzgado 5</w:t>
      </w:r>
      <w:r w:rsidR="00744799" w:rsidRPr="006E0231">
        <w:rPr>
          <w:rFonts w:eastAsia="Arial Unicode MS"/>
        </w:rPr>
        <w:t>º</w:t>
      </w:r>
      <w:r w:rsidRPr="006E0231">
        <w:rPr>
          <w:rFonts w:eastAsia="Arial Unicode MS"/>
        </w:rPr>
        <w:t xml:space="preserve"> declaró infundada la demanda de</w:t>
      </w:r>
      <w:r w:rsidR="008471FA" w:rsidRPr="006E0231">
        <w:rPr>
          <w:rFonts w:eastAsia="Arial Unicode MS"/>
        </w:rPr>
        <w:t xml:space="preserve"> </w:t>
      </w:r>
      <w:r w:rsidR="00E109A7" w:rsidRPr="00802445">
        <w:t>F.</w:t>
      </w:r>
      <w:r w:rsidR="009E2CE0">
        <w:t xml:space="preserve"> </w:t>
      </w:r>
      <w:r w:rsidR="00E109A7" w:rsidRPr="00802445">
        <w:t>A.</w:t>
      </w:r>
      <w:r w:rsidR="009E2CE0">
        <w:t xml:space="preserve"> </w:t>
      </w:r>
      <w:r w:rsidR="00E109A7" w:rsidRPr="00802445">
        <w:t>H.</w:t>
      </w:r>
      <w:r w:rsidRPr="006E0231">
        <w:rPr>
          <w:rFonts w:eastAsia="Arial Unicode MS"/>
        </w:rPr>
        <w:t xml:space="preserve"> El Juzgado determinó que el autor tenía </w:t>
      </w:r>
      <w:r w:rsidR="002D4D4E" w:rsidRPr="006E0231">
        <w:rPr>
          <w:rFonts w:eastAsia="Arial Unicode MS"/>
        </w:rPr>
        <w:t xml:space="preserve">fuero </w:t>
      </w:r>
      <w:r w:rsidRPr="006E0231">
        <w:rPr>
          <w:rFonts w:eastAsia="Arial Unicode MS"/>
        </w:rPr>
        <w:t>sindical desde el 24 de abril de 2007; que el contrato de trabajo a t</w:t>
      </w:r>
      <w:r w:rsidR="008471FA" w:rsidRPr="006E0231">
        <w:rPr>
          <w:rFonts w:eastAsia="Arial Unicode MS"/>
        </w:rPr>
        <w:t>é</w:t>
      </w:r>
      <w:r w:rsidRPr="006E0231">
        <w:rPr>
          <w:rFonts w:eastAsia="Arial Unicode MS"/>
        </w:rPr>
        <w:t>rmin</w:t>
      </w:r>
      <w:r w:rsidR="008471FA" w:rsidRPr="006E0231">
        <w:rPr>
          <w:rFonts w:eastAsia="Arial Unicode MS"/>
        </w:rPr>
        <w:t>o</w:t>
      </w:r>
      <w:r w:rsidRPr="006E0231">
        <w:rPr>
          <w:rFonts w:eastAsia="Arial Unicode MS"/>
        </w:rPr>
        <w:t xml:space="preserve"> fijo celebrado el 2 de mayo de 2005, se prorrogó en los mismo</w:t>
      </w:r>
      <w:r w:rsidR="00873E49" w:rsidRPr="006E0231">
        <w:rPr>
          <w:rFonts w:eastAsia="Arial Unicode MS"/>
        </w:rPr>
        <w:t>s</w:t>
      </w:r>
      <w:r w:rsidRPr="006E0231">
        <w:rPr>
          <w:rFonts w:eastAsia="Arial Unicode MS"/>
        </w:rPr>
        <w:t xml:space="preserve"> términos de forma ininterrumpida hasta el 31 de octubre de 2007; que el artículo 411 del </w:t>
      </w:r>
      <w:r w:rsidR="008471FA" w:rsidRPr="006E0231">
        <w:rPr>
          <w:rFonts w:eastAsia="Arial Unicode MS"/>
        </w:rPr>
        <w:t xml:space="preserve">Código Sustantivo del Trabajo </w:t>
      </w:r>
      <w:r w:rsidRPr="006E0231">
        <w:rPr>
          <w:rFonts w:eastAsia="Arial Unicode MS"/>
        </w:rPr>
        <w:t xml:space="preserve">permitía la terminación del contrato sin previa calificación del juez, a la expiración del plazo fijo pactado, mediante preaviso al trabajador de al menos 30 días con anticipación al vencimiento del contrato; y que dicho procedimiento era aplicable a todo trabajador que </w:t>
      </w:r>
      <w:r w:rsidR="008471FA" w:rsidRPr="006E0231">
        <w:rPr>
          <w:rFonts w:eastAsia="Arial Unicode MS"/>
        </w:rPr>
        <w:t xml:space="preserve">tuviera </w:t>
      </w:r>
      <w:r w:rsidRPr="006E0231">
        <w:rPr>
          <w:rFonts w:eastAsia="Arial Unicode MS"/>
        </w:rPr>
        <w:t>este tipo de vinculación laboral, con o sin fuero sindical, por lo que no se requería autorización judicial previa.</w:t>
      </w:r>
    </w:p>
    <w:p w14:paraId="2EDA8928" w14:textId="62FB919D" w:rsidR="00432214" w:rsidRPr="006E0231" w:rsidRDefault="00432214" w:rsidP="00802445">
      <w:pPr>
        <w:pStyle w:val="SingleTxtG"/>
        <w:rPr>
          <w:rFonts w:eastAsia="Arial Unicode MS"/>
        </w:rPr>
      </w:pPr>
      <w:r w:rsidRPr="006E0231">
        <w:rPr>
          <w:rFonts w:eastAsia="Arial Unicode MS"/>
        </w:rPr>
        <w:t>2.18</w:t>
      </w:r>
      <w:r w:rsidRPr="006E0231">
        <w:rPr>
          <w:rFonts w:eastAsia="Arial Unicode MS"/>
        </w:rPr>
        <w:tab/>
      </w:r>
      <w:r w:rsidR="00E109A7" w:rsidRPr="00802445">
        <w:t>F.</w:t>
      </w:r>
      <w:r w:rsidR="009E2CE0">
        <w:t xml:space="preserve"> </w:t>
      </w:r>
      <w:r w:rsidR="00E109A7" w:rsidRPr="00802445">
        <w:t>A.</w:t>
      </w:r>
      <w:r w:rsidR="009E2CE0">
        <w:t xml:space="preserve"> </w:t>
      </w:r>
      <w:r w:rsidR="00E109A7" w:rsidRPr="00802445">
        <w:t>H.</w:t>
      </w:r>
      <w:r w:rsidR="00E109A7" w:rsidRPr="008C3C15">
        <w:t xml:space="preserve">, </w:t>
      </w:r>
      <w:r w:rsidRPr="006E0231">
        <w:rPr>
          <w:rFonts w:eastAsia="Arial Unicode MS"/>
        </w:rPr>
        <w:t xml:space="preserve">apeló esta sentencia ante el </w:t>
      </w:r>
      <w:r w:rsidR="002D4D4E" w:rsidRPr="006E0231">
        <w:rPr>
          <w:rFonts w:eastAsia="Arial Unicode MS"/>
        </w:rPr>
        <w:t>Tribunal Superior de Justicia de Bogotá</w:t>
      </w:r>
      <w:r w:rsidRPr="006E0231">
        <w:rPr>
          <w:rFonts w:eastAsia="Arial Unicode MS"/>
        </w:rPr>
        <w:t>. El 28 de noviembre de 2008, el T</w:t>
      </w:r>
      <w:r w:rsidR="002D4D4E" w:rsidRPr="006E0231">
        <w:rPr>
          <w:rFonts w:eastAsia="Arial Unicode MS"/>
        </w:rPr>
        <w:t xml:space="preserve">ribunal </w:t>
      </w:r>
      <w:r w:rsidRPr="006E0231">
        <w:rPr>
          <w:rFonts w:eastAsia="Arial Unicode MS"/>
        </w:rPr>
        <w:t>desestimó la apelación y confirmó la sentencia de primera instancia. El T</w:t>
      </w:r>
      <w:r w:rsidR="002D4D4E" w:rsidRPr="006E0231">
        <w:rPr>
          <w:rFonts w:eastAsia="Arial Unicode MS"/>
        </w:rPr>
        <w:t xml:space="preserve">ribunal </w:t>
      </w:r>
      <w:r w:rsidRPr="006E0231">
        <w:rPr>
          <w:rFonts w:eastAsia="Arial Unicode MS"/>
        </w:rPr>
        <w:t xml:space="preserve">señaló que el artículo 40.1 de la convención de 1974, sobre </w:t>
      </w:r>
      <w:r w:rsidR="002D4D4E" w:rsidRPr="006E0231">
        <w:rPr>
          <w:rFonts w:eastAsia="Arial Unicode MS"/>
        </w:rPr>
        <w:t>e</w:t>
      </w:r>
      <w:r w:rsidRPr="006E0231">
        <w:rPr>
          <w:rFonts w:eastAsia="Arial Unicode MS"/>
        </w:rPr>
        <w:t xml:space="preserve">stabilidad laboral y contratos de trabajo, que estableció la transformación del contrato de trabajo a término fijo </w:t>
      </w:r>
      <w:r w:rsidR="00371D05" w:rsidRPr="006E0231">
        <w:rPr>
          <w:rFonts w:eastAsia="Arial Unicode MS"/>
        </w:rPr>
        <w:t>en</w:t>
      </w:r>
      <w:r w:rsidRPr="006E0231">
        <w:rPr>
          <w:rFonts w:eastAsia="Arial Unicode MS"/>
        </w:rPr>
        <w:t xml:space="preserve"> un contrato de tiempo indefinido, había sido modificad</w:t>
      </w:r>
      <w:r w:rsidR="002D4D4E" w:rsidRPr="006E0231">
        <w:rPr>
          <w:rFonts w:eastAsia="Arial Unicode MS"/>
        </w:rPr>
        <w:t>o</w:t>
      </w:r>
      <w:r w:rsidRPr="006E0231">
        <w:rPr>
          <w:rFonts w:eastAsia="Arial Unicode MS"/>
        </w:rPr>
        <w:t xml:space="preserve"> por las convenciones posteriores de 1978 y 1980, cuyo artículo 3 sobre </w:t>
      </w:r>
      <w:r w:rsidR="002D4D4E" w:rsidRPr="006E0231">
        <w:rPr>
          <w:rFonts w:eastAsia="Arial Unicode MS"/>
        </w:rPr>
        <w:t>e</w:t>
      </w:r>
      <w:r w:rsidRPr="006E0231">
        <w:rPr>
          <w:rFonts w:eastAsia="Arial Unicode MS"/>
        </w:rPr>
        <w:t>stabilidad laboral reguló únicamente las indemnizaciones por terminación unilateral del contrato de trabajo sin justa causa, suprimiendo lo referente a la transformación de la modalidad contractual de fija a indefinida. Por tanto, la disposición contenida en el artículo 40.1 no se encontraba vigente ni era vinculante cuando la Federación concluyó la relación labora</w:t>
      </w:r>
      <w:r w:rsidR="00873E49" w:rsidRPr="006E0231">
        <w:rPr>
          <w:rFonts w:eastAsia="Arial Unicode MS"/>
        </w:rPr>
        <w:t>l</w:t>
      </w:r>
      <w:r w:rsidRPr="006E0231">
        <w:rPr>
          <w:rFonts w:eastAsia="Arial Unicode MS"/>
        </w:rPr>
        <w:t xml:space="preserve"> con el autor. En este contexto, toda vez que quedó acreditado que el vínculo laboral del autor estuvo regido por contratos de trabajo a término fijo, prorrogados sucesivamente, debía entenderse</w:t>
      </w:r>
      <w:r w:rsidR="00966A39" w:rsidRPr="006E0231">
        <w:rPr>
          <w:rFonts w:eastAsia="Arial Unicode MS"/>
        </w:rPr>
        <w:t xml:space="preserve"> </w:t>
      </w:r>
      <w:r w:rsidRPr="006E0231">
        <w:rPr>
          <w:rFonts w:eastAsia="Arial Unicode MS"/>
        </w:rPr>
        <w:t xml:space="preserve">que la conclusión de la relación laboral obedeció a la expiración del contrato de trabajo a término fijo del autor, quien había sido notificado debidamente dentro del plazo establecido por el </w:t>
      </w:r>
      <w:r w:rsidR="002D4D4E" w:rsidRPr="006E0231">
        <w:rPr>
          <w:rFonts w:eastAsia="Arial Unicode MS"/>
        </w:rPr>
        <w:t>Código Sustantivo del Trabajo</w:t>
      </w:r>
      <w:r w:rsidRPr="006E0231">
        <w:rPr>
          <w:rFonts w:eastAsia="Arial Unicode MS"/>
        </w:rPr>
        <w:t>.</w:t>
      </w:r>
    </w:p>
    <w:p w14:paraId="10CC8C4A" w14:textId="614D9256" w:rsidR="00432214" w:rsidRPr="006E0231" w:rsidRDefault="009741F3" w:rsidP="00802445">
      <w:pPr>
        <w:pStyle w:val="SingleTxtG"/>
      </w:pPr>
      <w:r w:rsidRPr="006E0231">
        <w:rPr>
          <w:rFonts w:eastAsia="Arial Unicode MS"/>
        </w:rPr>
        <w:t>2.19</w:t>
      </w:r>
      <w:r w:rsidR="00432214" w:rsidRPr="006E0231">
        <w:rPr>
          <w:rFonts w:eastAsia="Arial Unicode MS"/>
        </w:rPr>
        <w:tab/>
        <w:t xml:space="preserve">Posteriormente, </w:t>
      </w:r>
      <w:r w:rsidR="00E109A7" w:rsidRPr="00802445">
        <w:t>F.</w:t>
      </w:r>
      <w:r w:rsidR="009E2CE0">
        <w:t xml:space="preserve"> </w:t>
      </w:r>
      <w:r w:rsidR="00E109A7" w:rsidRPr="00802445">
        <w:t>A.</w:t>
      </w:r>
      <w:r w:rsidR="009E2CE0">
        <w:t xml:space="preserve"> </w:t>
      </w:r>
      <w:r w:rsidR="00E109A7" w:rsidRPr="00802445">
        <w:t>H.</w:t>
      </w:r>
      <w:r w:rsidR="00E109A7" w:rsidRPr="008C3C15">
        <w:t xml:space="preserve"> </w:t>
      </w:r>
      <w:r w:rsidR="00432214" w:rsidRPr="006E0231">
        <w:rPr>
          <w:rFonts w:eastAsia="Arial Unicode MS"/>
        </w:rPr>
        <w:t xml:space="preserve">presentó una acción extraordinaria de tutela ante la Corte Suprema de Justicia, que fue denegada el 2 de marzo de 2009. En agosto </w:t>
      </w:r>
      <w:r w:rsidRPr="006E0231">
        <w:rPr>
          <w:rFonts w:eastAsia="Arial Unicode MS"/>
        </w:rPr>
        <w:t xml:space="preserve">de </w:t>
      </w:r>
      <w:r w:rsidR="00432214" w:rsidRPr="006E0231">
        <w:rPr>
          <w:rFonts w:eastAsia="Arial Unicode MS"/>
        </w:rPr>
        <w:t>2009, la Sala de Selección de la Corte Constitucional decidió no escoger este caso para revisión.</w:t>
      </w:r>
    </w:p>
    <w:p w14:paraId="122EB4AC" w14:textId="77F3D3BE" w:rsidR="002420C1" w:rsidRPr="006E0231" w:rsidRDefault="00F607C6" w:rsidP="00802445">
      <w:pPr>
        <w:pStyle w:val="SingleTxtG"/>
        <w:rPr>
          <w:rFonts w:eastAsia="Arial Unicode MS"/>
        </w:rPr>
      </w:pPr>
      <w:r w:rsidRPr="006E0231">
        <w:rPr>
          <w:rFonts w:eastAsia="Arial Unicode MS"/>
        </w:rPr>
        <w:t>2.20</w:t>
      </w:r>
      <w:r w:rsidR="005B4640" w:rsidRPr="006E0231">
        <w:rPr>
          <w:rFonts w:eastAsia="Arial Unicode MS"/>
        </w:rPr>
        <w:tab/>
        <w:t>Los autores alegan que han</w:t>
      </w:r>
      <w:r w:rsidR="001121FE" w:rsidRPr="006E0231">
        <w:rPr>
          <w:rFonts w:eastAsia="Arial Unicode MS"/>
        </w:rPr>
        <w:t xml:space="preserve"> agotado todos los recursos efectivos de la jurisdicción interna co</w:t>
      </w:r>
      <w:r w:rsidR="00220BDB" w:rsidRPr="006E0231">
        <w:rPr>
          <w:rFonts w:eastAsia="Arial Unicode MS"/>
        </w:rPr>
        <w:t xml:space="preserve">n las sentencias </w:t>
      </w:r>
      <w:r w:rsidR="005B4640" w:rsidRPr="006E0231">
        <w:rPr>
          <w:rFonts w:eastAsia="Arial Unicode MS"/>
        </w:rPr>
        <w:t xml:space="preserve">del </w:t>
      </w:r>
      <w:r w:rsidR="002D4D4E" w:rsidRPr="006E0231">
        <w:rPr>
          <w:rFonts w:eastAsia="Arial Unicode MS"/>
        </w:rPr>
        <w:t>Tribunal Superior de Justicia de Bogotá</w:t>
      </w:r>
      <w:r w:rsidR="001121FE" w:rsidRPr="006E0231">
        <w:rPr>
          <w:rFonts w:eastAsia="Arial Unicode MS"/>
        </w:rPr>
        <w:t>. Adicionalmente, algunos presentaron una acción de tutela (amparo), recurso establecido para la protección de los derechos fundamentales constitucional</w:t>
      </w:r>
      <w:r w:rsidR="00371D05" w:rsidRPr="006E0231">
        <w:rPr>
          <w:rFonts w:eastAsia="Arial Unicode MS"/>
        </w:rPr>
        <w:t>es</w:t>
      </w:r>
      <w:r w:rsidR="001121FE" w:rsidRPr="006E0231">
        <w:rPr>
          <w:rFonts w:eastAsia="Arial Unicode MS"/>
        </w:rPr>
        <w:t xml:space="preserve">, con resultados adversos. </w:t>
      </w:r>
      <w:r w:rsidR="00220BDB" w:rsidRPr="006E0231">
        <w:rPr>
          <w:rFonts w:eastAsia="Arial Unicode MS"/>
        </w:rPr>
        <w:t>Sin embargo, en el Estado parte la acción de tutela es un recurso extraordinario</w:t>
      </w:r>
      <w:r w:rsidR="006563E3" w:rsidRPr="00802445">
        <w:rPr>
          <w:rStyle w:val="FootnoteReference"/>
        </w:rPr>
        <w:footnoteReference w:id="9"/>
      </w:r>
      <w:r w:rsidR="00220BDB" w:rsidRPr="006E0231">
        <w:rPr>
          <w:rFonts w:eastAsia="Arial Unicode MS"/>
        </w:rPr>
        <w:t>.</w:t>
      </w:r>
    </w:p>
    <w:p w14:paraId="24D5F065" w14:textId="77777777" w:rsidR="00912F8A" w:rsidRPr="006E0231" w:rsidRDefault="00912F8A" w:rsidP="008C3C15">
      <w:pPr>
        <w:pStyle w:val="H23G"/>
      </w:pPr>
      <w:r w:rsidRPr="006E0231">
        <w:tab/>
      </w:r>
      <w:r w:rsidRPr="006E0231">
        <w:tab/>
        <w:t>La denuncia</w:t>
      </w:r>
    </w:p>
    <w:p w14:paraId="3E74183A" w14:textId="7614B55D" w:rsidR="00912F8A" w:rsidRPr="006E0231" w:rsidRDefault="00912F8A" w:rsidP="006E0231">
      <w:pPr>
        <w:pStyle w:val="SingleTxtG"/>
      </w:pPr>
      <w:r w:rsidRPr="006E0231">
        <w:t>3.1</w:t>
      </w:r>
      <w:r w:rsidRPr="006E0231">
        <w:tab/>
        <w:t xml:space="preserve">Los autores afirman que </w:t>
      </w:r>
      <w:r w:rsidR="00856FEE" w:rsidRPr="006E0231">
        <w:t xml:space="preserve">el Estado parte violó los derechos que les asisten en virtud </w:t>
      </w:r>
      <w:r w:rsidR="00CE6BA2" w:rsidRPr="006E0231">
        <w:t>de</w:t>
      </w:r>
      <w:r w:rsidR="00856FEE" w:rsidRPr="006E0231">
        <w:t>l artículo</w:t>
      </w:r>
      <w:r w:rsidRPr="006E0231">
        <w:t xml:space="preserve"> 14</w:t>
      </w:r>
      <w:r w:rsidR="002D4D4E" w:rsidRPr="006E0231">
        <w:t xml:space="preserve">, párrafo </w:t>
      </w:r>
      <w:r w:rsidR="00742B31" w:rsidRPr="006E0231">
        <w:t xml:space="preserve">1, leído </w:t>
      </w:r>
      <w:r w:rsidR="00CC1D85" w:rsidRPr="006E0231">
        <w:t xml:space="preserve">individual y </w:t>
      </w:r>
      <w:r w:rsidR="00742B31" w:rsidRPr="006E0231">
        <w:t>conjunt</w:t>
      </w:r>
      <w:r w:rsidR="00856FEE" w:rsidRPr="006E0231">
        <w:t>amente con l</w:t>
      </w:r>
      <w:r w:rsidR="006F099B" w:rsidRPr="006E0231">
        <w:t>os</w:t>
      </w:r>
      <w:r w:rsidR="00856FEE" w:rsidRPr="006E0231">
        <w:t xml:space="preserve"> artículo</w:t>
      </w:r>
      <w:r w:rsidR="006F099B" w:rsidRPr="006E0231">
        <w:t>s</w:t>
      </w:r>
      <w:r w:rsidR="00856FEE" w:rsidRPr="006E0231">
        <w:t xml:space="preserve"> 2</w:t>
      </w:r>
      <w:r w:rsidR="002D4D4E" w:rsidRPr="006E0231">
        <w:t xml:space="preserve">, párrafos </w:t>
      </w:r>
      <w:r w:rsidR="00856FEE" w:rsidRPr="006E0231">
        <w:t>2</w:t>
      </w:r>
      <w:r w:rsidR="006F099B" w:rsidRPr="006E0231">
        <w:t xml:space="preserve"> </w:t>
      </w:r>
      <w:r w:rsidR="00856FEE" w:rsidRPr="006E0231">
        <w:t>y</w:t>
      </w:r>
      <w:r w:rsidR="006F099B" w:rsidRPr="006E0231">
        <w:t xml:space="preserve"> </w:t>
      </w:r>
      <w:r w:rsidR="00856FEE" w:rsidRPr="006E0231">
        <w:t>3,</w:t>
      </w:r>
      <w:r w:rsidR="00742B31" w:rsidRPr="006E0231">
        <w:t xml:space="preserve"> 22</w:t>
      </w:r>
      <w:r w:rsidR="002D4D4E" w:rsidRPr="006E0231">
        <w:t xml:space="preserve">, párrafo </w:t>
      </w:r>
      <w:r w:rsidR="00742B31" w:rsidRPr="006E0231">
        <w:t>1</w:t>
      </w:r>
      <w:r w:rsidR="002D4D4E" w:rsidRPr="006E0231">
        <w:t>,</w:t>
      </w:r>
      <w:r w:rsidR="00742B31" w:rsidRPr="006E0231">
        <w:t xml:space="preserve"> y 26 del Pacto. </w:t>
      </w:r>
      <w:r w:rsidR="00926C38" w:rsidRPr="006E0231">
        <w:t>Adicionalmente, l</w:t>
      </w:r>
      <w:r w:rsidR="001121FE" w:rsidRPr="006E0231">
        <w:t xml:space="preserve">os autores solicitan al Comité que declare la violación de </w:t>
      </w:r>
      <w:r w:rsidR="00856FEE" w:rsidRPr="006E0231">
        <w:t>cualquier otro derecho del Pacto que se desprenda</w:t>
      </w:r>
      <w:r w:rsidR="00926C38" w:rsidRPr="006E0231">
        <w:t xml:space="preserve"> de los hechos </w:t>
      </w:r>
      <w:r w:rsidR="00856FEE" w:rsidRPr="006E0231">
        <w:t>descritos e</w:t>
      </w:r>
      <w:r w:rsidR="00926C38" w:rsidRPr="006E0231">
        <w:t>n la comunicación.</w:t>
      </w:r>
    </w:p>
    <w:p w14:paraId="06D23221" w14:textId="56F31AD0" w:rsidR="00BB5376" w:rsidRPr="006E0231" w:rsidRDefault="00912F8A" w:rsidP="006E0231">
      <w:pPr>
        <w:pStyle w:val="SingleTxtG"/>
        <w:rPr>
          <w:rFonts w:eastAsia="Arial Unicode MS"/>
        </w:rPr>
      </w:pPr>
      <w:r w:rsidRPr="006E0231">
        <w:t>3.2</w:t>
      </w:r>
      <w:r w:rsidRPr="006E0231">
        <w:tab/>
      </w:r>
      <w:r w:rsidR="009120CB" w:rsidRPr="006E0231">
        <w:t xml:space="preserve">Los autores alegan que </w:t>
      </w:r>
      <w:r w:rsidR="00E32DC2" w:rsidRPr="006E0231">
        <w:t xml:space="preserve">el </w:t>
      </w:r>
      <w:r w:rsidR="002D4D4E" w:rsidRPr="006E0231">
        <w:rPr>
          <w:rFonts w:eastAsia="Arial Unicode MS"/>
        </w:rPr>
        <w:t xml:space="preserve">Tribunal Superior de Justicia de Bogotá </w:t>
      </w:r>
      <w:r w:rsidR="00E32DC2" w:rsidRPr="006E0231">
        <w:t>reconoció</w:t>
      </w:r>
      <w:r w:rsidR="00B569D2" w:rsidRPr="006E0231">
        <w:t xml:space="preserve"> que </w:t>
      </w:r>
      <w:r w:rsidR="00E32DC2" w:rsidRPr="006E0231">
        <w:t>tenían fuero sindical</w:t>
      </w:r>
      <w:r w:rsidR="00B569D2" w:rsidRPr="006E0231">
        <w:t xml:space="preserve"> debido a los cargos que desempeñaban en </w:t>
      </w:r>
      <w:r w:rsidR="00B569D2" w:rsidRPr="006E0231">
        <w:rPr>
          <w:rFonts w:eastAsia="Arial Unicode MS"/>
        </w:rPr>
        <w:t>SINTRAINDUSCAFÉ y que, por tanto, no podían ser despedidos sin previa autorización judicial</w:t>
      </w:r>
      <w:r w:rsidR="009120CB" w:rsidRPr="006E0231">
        <w:rPr>
          <w:rFonts w:eastAsia="Arial Unicode MS"/>
        </w:rPr>
        <w:t>. Sin embarg</w:t>
      </w:r>
      <w:r w:rsidR="00E32DC2" w:rsidRPr="006E0231">
        <w:rPr>
          <w:rFonts w:eastAsia="Arial Unicode MS"/>
        </w:rPr>
        <w:t xml:space="preserve">o, en la práctica el </w:t>
      </w:r>
      <w:r w:rsidR="002D4D4E" w:rsidRPr="006E0231">
        <w:rPr>
          <w:rFonts w:eastAsia="Arial Unicode MS"/>
        </w:rPr>
        <w:t xml:space="preserve">Tribunal </w:t>
      </w:r>
      <w:r w:rsidR="000949D0" w:rsidRPr="006E0231">
        <w:rPr>
          <w:rFonts w:eastAsia="Arial Unicode MS"/>
        </w:rPr>
        <w:t>concluyó</w:t>
      </w:r>
      <w:r w:rsidR="009120CB" w:rsidRPr="006E0231">
        <w:rPr>
          <w:rFonts w:eastAsia="Arial Unicode MS"/>
        </w:rPr>
        <w:t xml:space="preserve"> que no habían sido despedidos</w:t>
      </w:r>
      <w:r w:rsidR="00E32DC2" w:rsidRPr="006E0231">
        <w:rPr>
          <w:rFonts w:eastAsia="Arial Unicode MS"/>
        </w:rPr>
        <w:t xml:space="preserve"> por la Federación</w:t>
      </w:r>
      <w:r w:rsidR="009120CB" w:rsidRPr="006E0231">
        <w:rPr>
          <w:rFonts w:eastAsia="Arial Unicode MS"/>
        </w:rPr>
        <w:t xml:space="preserve"> </w:t>
      </w:r>
      <w:r w:rsidR="00B569D2" w:rsidRPr="006E0231">
        <w:rPr>
          <w:rFonts w:eastAsia="Arial Unicode MS"/>
        </w:rPr>
        <w:t>a través de</w:t>
      </w:r>
      <w:r w:rsidR="009120CB" w:rsidRPr="006E0231">
        <w:rPr>
          <w:rFonts w:eastAsia="Arial Unicode MS"/>
        </w:rPr>
        <w:t xml:space="preserve"> la aplicación e interpretación arbitraria de las disposiciones legales aplicables a sus casos, incluyendo las convenciones colectivas de trabajo que habían acordado los sindicatos con la Federación</w:t>
      </w:r>
      <w:r w:rsidR="00B569D2" w:rsidRPr="006E0231">
        <w:rPr>
          <w:rFonts w:eastAsia="Arial Unicode MS"/>
        </w:rPr>
        <w:t>.</w:t>
      </w:r>
      <w:r w:rsidR="009120CB" w:rsidRPr="006E0231">
        <w:rPr>
          <w:rFonts w:eastAsia="Arial Unicode MS"/>
        </w:rPr>
        <w:t xml:space="preserve"> </w:t>
      </w:r>
      <w:r w:rsidR="00E32DC2" w:rsidRPr="006E0231">
        <w:rPr>
          <w:rFonts w:eastAsia="Arial Unicode MS"/>
        </w:rPr>
        <w:t>Por tanto, los autores no tuvieron acceso a una tutela judicial efectiva y l</w:t>
      </w:r>
      <w:r w:rsidR="009120CB" w:rsidRPr="006E0231">
        <w:rPr>
          <w:rFonts w:eastAsia="Arial Unicode MS"/>
        </w:rPr>
        <w:t xml:space="preserve">as decisiones judiciales constituyeron una denegación de justicia y </w:t>
      </w:r>
      <w:r w:rsidR="00856FEE" w:rsidRPr="006E0231">
        <w:rPr>
          <w:rFonts w:eastAsia="Arial Unicode MS"/>
        </w:rPr>
        <w:t>violaron</w:t>
      </w:r>
      <w:r w:rsidR="009120CB" w:rsidRPr="006E0231">
        <w:rPr>
          <w:rFonts w:eastAsia="Arial Unicode MS"/>
        </w:rPr>
        <w:t xml:space="preserve"> </w:t>
      </w:r>
      <w:r w:rsidR="000949D0" w:rsidRPr="006E0231">
        <w:rPr>
          <w:rFonts w:eastAsia="Arial Unicode MS"/>
        </w:rPr>
        <w:t xml:space="preserve">su </w:t>
      </w:r>
      <w:r w:rsidR="00856FEE" w:rsidRPr="006E0231">
        <w:rPr>
          <w:rFonts w:eastAsia="Arial Unicode MS"/>
        </w:rPr>
        <w:t xml:space="preserve">derecho </w:t>
      </w:r>
      <w:r w:rsidR="009120CB" w:rsidRPr="006E0231">
        <w:rPr>
          <w:rFonts w:eastAsia="Arial Unicode MS"/>
        </w:rPr>
        <w:t>a</w:t>
      </w:r>
      <w:r w:rsidR="000949D0" w:rsidRPr="006E0231">
        <w:rPr>
          <w:rFonts w:eastAsia="Arial Unicode MS"/>
        </w:rPr>
        <w:t>l debido proceso, en particular a</w:t>
      </w:r>
      <w:r w:rsidR="009120CB" w:rsidRPr="006E0231">
        <w:rPr>
          <w:rFonts w:eastAsia="Arial Unicode MS"/>
        </w:rPr>
        <w:t xml:space="preserve"> la igualdad ante los tribunales, </w:t>
      </w:r>
      <w:r w:rsidR="000949D0" w:rsidRPr="006E0231">
        <w:rPr>
          <w:rFonts w:eastAsia="Arial Unicode MS"/>
        </w:rPr>
        <w:t xml:space="preserve">y </w:t>
      </w:r>
      <w:r w:rsidR="009120CB" w:rsidRPr="006E0231">
        <w:rPr>
          <w:rFonts w:eastAsia="Arial Unicode MS"/>
        </w:rPr>
        <w:t>a un tribunal independiente e imparcial</w:t>
      </w:r>
      <w:r w:rsidR="000949D0" w:rsidRPr="006E0231">
        <w:rPr>
          <w:rFonts w:eastAsia="Arial Unicode MS"/>
        </w:rPr>
        <w:t>,</w:t>
      </w:r>
      <w:r w:rsidR="009120CB" w:rsidRPr="006E0231">
        <w:rPr>
          <w:rFonts w:eastAsia="Arial Unicode MS"/>
        </w:rPr>
        <w:t xml:space="preserve"> en violación del artículo 14</w:t>
      </w:r>
      <w:r w:rsidR="002D4D4E" w:rsidRPr="006E0231">
        <w:rPr>
          <w:rFonts w:eastAsia="Arial Unicode MS"/>
        </w:rPr>
        <w:t xml:space="preserve">, párrafo </w:t>
      </w:r>
      <w:r w:rsidR="009120CB" w:rsidRPr="006E0231">
        <w:rPr>
          <w:rFonts w:eastAsia="Arial Unicode MS"/>
        </w:rPr>
        <w:t xml:space="preserve">1, leído </w:t>
      </w:r>
      <w:r w:rsidR="00856FEE" w:rsidRPr="006E0231">
        <w:rPr>
          <w:rFonts w:eastAsia="Arial Unicode MS"/>
        </w:rPr>
        <w:t xml:space="preserve">individual y </w:t>
      </w:r>
      <w:r w:rsidR="009120CB" w:rsidRPr="006E0231">
        <w:rPr>
          <w:rFonts w:eastAsia="Arial Unicode MS"/>
        </w:rPr>
        <w:t>conjuntamente con el artículo 2</w:t>
      </w:r>
      <w:r w:rsidR="002D4D4E" w:rsidRPr="006E0231">
        <w:rPr>
          <w:rFonts w:eastAsia="Arial Unicode MS"/>
        </w:rPr>
        <w:t xml:space="preserve">, párrafos </w:t>
      </w:r>
      <w:r w:rsidR="009120CB" w:rsidRPr="006E0231">
        <w:rPr>
          <w:rFonts w:eastAsia="Arial Unicode MS"/>
        </w:rPr>
        <w:t>2 y 3, del Pacto.</w:t>
      </w:r>
    </w:p>
    <w:p w14:paraId="48D9D349" w14:textId="5CE07F94" w:rsidR="00D26DD2" w:rsidRPr="006E0231" w:rsidRDefault="00BB5376" w:rsidP="006E0231">
      <w:pPr>
        <w:pStyle w:val="SingleTxtG"/>
      </w:pPr>
      <w:r w:rsidRPr="006E0231">
        <w:t>3.</w:t>
      </w:r>
      <w:r w:rsidR="005F40C7" w:rsidRPr="006E0231">
        <w:t>3</w:t>
      </w:r>
      <w:r w:rsidR="00AB73A4" w:rsidRPr="006E0231">
        <w:tab/>
        <w:t>El derecho a la libertad de asociación, reconocido en el artículo 22</w:t>
      </w:r>
      <w:r w:rsidR="002D4D4E" w:rsidRPr="006E0231">
        <w:t xml:space="preserve">, párrafo </w:t>
      </w:r>
      <w:r w:rsidR="00AB73A4" w:rsidRPr="006E0231">
        <w:t>1</w:t>
      </w:r>
      <w:r w:rsidR="002D4D4E" w:rsidRPr="006E0231">
        <w:t>,</w:t>
      </w:r>
      <w:r w:rsidR="00AB73A4" w:rsidRPr="006E0231">
        <w:t xml:space="preserve"> del Pacto, </w:t>
      </w:r>
      <w:r w:rsidR="00382CBA" w:rsidRPr="006E0231">
        <w:t xml:space="preserve">garantiza el derecho de las personas a constituir sindicatos y afiliarse al de su elección. </w:t>
      </w:r>
      <w:r w:rsidR="00E32DC2" w:rsidRPr="006E0231">
        <w:t>E</w:t>
      </w:r>
      <w:r w:rsidR="00FA55CC" w:rsidRPr="006E0231">
        <w:t>ste derecho</w:t>
      </w:r>
      <w:r w:rsidR="007A5A35" w:rsidRPr="006E0231">
        <w:t xml:space="preserve"> fue violado</w:t>
      </w:r>
      <w:r w:rsidR="00CE6BA2" w:rsidRPr="006E0231">
        <w:t xml:space="preserve"> por el Estado parte</w:t>
      </w:r>
      <w:r w:rsidR="007A5A35" w:rsidRPr="006E0231">
        <w:t xml:space="preserve"> al permitir que la Federación despida </w:t>
      </w:r>
      <w:r w:rsidR="008D1425" w:rsidRPr="006E0231">
        <w:t xml:space="preserve">a los autores </w:t>
      </w:r>
      <w:r w:rsidR="007A5A35" w:rsidRPr="006E0231">
        <w:t xml:space="preserve">sin hacer efectiva la protección de fuero sindical a la que tenían derecho de acuerdo al artículo 405 del </w:t>
      </w:r>
      <w:r w:rsidR="002D4D4E" w:rsidRPr="006E0231">
        <w:rPr>
          <w:rFonts w:eastAsia="Arial Unicode MS"/>
        </w:rPr>
        <w:t>Código Sustantivo del Trabajo</w:t>
      </w:r>
      <w:r w:rsidR="007A5A35" w:rsidRPr="006E0231">
        <w:t xml:space="preserve">. </w:t>
      </w:r>
      <w:r w:rsidR="005B46F8" w:rsidRPr="006E0231">
        <w:t>Agregan que l</w:t>
      </w:r>
      <w:r w:rsidR="009E517E" w:rsidRPr="006E0231">
        <w:t xml:space="preserve">a </w:t>
      </w:r>
      <w:r w:rsidR="003515DA" w:rsidRPr="006E0231">
        <w:t>ley</w:t>
      </w:r>
      <w:r w:rsidR="00FA55CC" w:rsidRPr="006E0231">
        <w:t xml:space="preserve"> </w:t>
      </w:r>
      <w:r w:rsidR="003515DA" w:rsidRPr="006E0231">
        <w:t xml:space="preserve">estableció la </w:t>
      </w:r>
      <w:r w:rsidR="009E517E" w:rsidRPr="006E0231">
        <w:t xml:space="preserve">protección </w:t>
      </w:r>
      <w:r w:rsidR="003515DA" w:rsidRPr="006E0231">
        <w:t>del fuero sindical para los trabajadores que ejer</w:t>
      </w:r>
      <w:r w:rsidR="002D4D4E" w:rsidRPr="006E0231">
        <w:t>cier</w:t>
      </w:r>
      <w:r w:rsidR="003515DA" w:rsidRPr="006E0231">
        <w:t>an representación sindical, sin dist</w:t>
      </w:r>
      <w:r w:rsidR="00856FEE" w:rsidRPr="006E0231">
        <w:t>inguir en función de la naturale</w:t>
      </w:r>
      <w:r w:rsidR="005B46F8" w:rsidRPr="006E0231">
        <w:t>za del vínculo contractual</w:t>
      </w:r>
      <w:r w:rsidR="00B65701" w:rsidRPr="006E0231">
        <w:t>,</w:t>
      </w:r>
      <w:r w:rsidR="005B46F8" w:rsidRPr="006E0231">
        <w:t xml:space="preserve"> y que</w:t>
      </w:r>
      <w:r w:rsidR="007D57D2" w:rsidRPr="006E0231">
        <w:t xml:space="preserve"> las decisiones judiciales del </w:t>
      </w:r>
      <w:r w:rsidR="00266FBA" w:rsidRPr="006E0231">
        <w:rPr>
          <w:rFonts w:eastAsia="Arial Unicode MS"/>
        </w:rPr>
        <w:t>Tribunal Superior de Justicia de Bogotá</w:t>
      </w:r>
      <w:r w:rsidR="001A6999" w:rsidRPr="006E0231">
        <w:rPr>
          <w:rFonts w:eastAsia="Arial Unicode MS"/>
        </w:rPr>
        <w:t xml:space="preserve"> </w:t>
      </w:r>
      <w:r w:rsidR="007D57D2" w:rsidRPr="006E0231">
        <w:t>desconocieron la ley vigente y la jurisprudencia de la Corte Constitucional</w:t>
      </w:r>
      <w:r w:rsidR="006563E3" w:rsidRPr="008C3C15">
        <w:rPr>
          <w:rStyle w:val="FootnoteReference"/>
        </w:rPr>
        <w:footnoteReference w:id="10"/>
      </w:r>
      <w:r w:rsidR="007D57D2" w:rsidRPr="008C3C15">
        <w:t>.</w:t>
      </w:r>
    </w:p>
    <w:p w14:paraId="678B734E" w14:textId="206CD982" w:rsidR="005F40C7" w:rsidRPr="006E0231" w:rsidRDefault="005F40C7" w:rsidP="006E0231">
      <w:pPr>
        <w:pStyle w:val="SingleTxtG"/>
      </w:pPr>
      <w:r w:rsidRPr="006E0231">
        <w:rPr>
          <w:rFonts w:eastAsia="Arial Unicode MS"/>
        </w:rPr>
        <w:t>3.4</w:t>
      </w:r>
      <w:r w:rsidRPr="006E0231">
        <w:rPr>
          <w:rFonts w:eastAsia="Arial Unicode MS"/>
        </w:rPr>
        <w:tab/>
        <w:t xml:space="preserve">Las sentencias del </w:t>
      </w:r>
      <w:r w:rsidR="002D4D4E" w:rsidRPr="006E0231">
        <w:rPr>
          <w:rFonts w:eastAsia="Arial Unicode MS"/>
        </w:rPr>
        <w:t xml:space="preserve">Tribunal Superior de Justicia de Bogotá </w:t>
      </w:r>
      <w:r w:rsidRPr="006E0231">
        <w:rPr>
          <w:rFonts w:eastAsia="Arial Unicode MS"/>
        </w:rPr>
        <w:t>constituyeron una violación al derecho de los autores</w:t>
      </w:r>
      <w:r w:rsidR="00966A39" w:rsidRPr="006E0231">
        <w:rPr>
          <w:rFonts w:eastAsia="Arial Unicode MS"/>
        </w:rPr>
        <w:t xml:space="preserve"> </w:t>
      </w:r>
      <w:r w:rsidRPr="006E0231">
        <w:rPr>
          <w:rFonts w:eastAsia="Arial Unicode MS"/>
        </w:rPr>
        <w:t>a la igualdad ante la ley, establecido en el artículo 26 del Pacto. U</w:t>
      </w:r>
      <w:r w:rsidRPr="006E0231">
        <w:t xml:space="preserve">n mismo tribunal no puede </w:t>
      </w:r>
      <w:r w:rsidR="00D8090C" w:rsidRPr="006E0231">
        <w:t xml:space="preserve">dictar </w:t>
      </w:r>
      <w:r w:rsidRPr="006E0231">
        <w:t xml:space="preserve">sentencias diferentes en casos idénticos en los hechos, asuntos jurídicos y pruebas. Sin embargo, </w:t>
      </w:r>
      <w:r w:rsidRPr="006E0231">
        <w:rPr>
          <w:rFonts w:eastAsia="Arial Unicode MS"/>
        </w:rPr>
        <w:t xml:space="preserve">el 31 de julio de 2008 la Sala Laboral del mismo </w:t>
      </w:r>
      <w:r w:rsidR="00D8090C" w:rsidRPr="006E0231">
        <w:rPr>
          <w:rFonts w:eastAsia="Arial Unicode MS"/>
        </w:rPr>
        <w:t xml:space="preserve">Tribunal Superior de Justicia de Bogotá </w:t>
      </w:r>
      <w:r w:rsidR="001E52BA" w:rsidRPr="006E0231">
        <w:rPr>
          <w:rFonts w:eastAsia="Arial Unicode MS"/>
        </w:rPr>
        <w:t>emitió</w:t>
      </w:r>
      <w:r w:rsidRPr="006E0231">
        <w:rPr>
          <w:rFonts w:eastAsia="Arial Unicode MS"/>
        </w:rPr>
        <w:t xml:space="preserve"> una sentencia con relación a un caso idéntico presentado por J.</w:t>
      </w:r>
      <w:r w:rsidR="009E2CE0">
        <w:rPr>
          <w:rFonts w:eastAsia="Arial Unicode MS"/>
        </w:rPr>
        <w:t xml:space="preserve"> </w:t>
      </w:r>
      <w:r w:rsidRPr="008C3C15">
        <w:rPr>
          <w:rFonts w:eastAsia="Arial Unicode MS"/>
        </w:rPr>
        <w:t>A.</w:t>
      </w:r>
      <w:r w:rsidR="009E2CE0">
        <w:rPr>
          <w:rFonts w:eastAsia="Arial Unicode MS"/>
        </w:rPr>
        <w:t xml:space="preserve"> </w:t>
      </w:r>
      <w:r w:rsidRPr="008C3C15">
        <w:rPr>
          <w:rFonts w:eastAsia="Arial Unicode MS"/>
        </w:rPr>
        <w:t>H.</w:t>
      </w:r>
      <w:r w:rsidR="009E2CE0">
        <w:rPr>
          <w:rFonts w:eastAsia="Arial Unicode MS"/>
        </w:rPr>
        <w:t xml:space="preserve"> </w:t>
      </w:r>
      <w:r w:rsidRPr="008C3C15">
        <w:rPr>
          <w:rFonts w:eastAsia="Arial Unicode MS"/>
        </w:rPr>
        <w:t>P.</w:t>
      </w:r>
      <w:r w:rsidR="006563E3" w:rsidRPr="00802445">
        <w:rPr>
          <w:rStyle w:val="FootnoteReference"/>
        </w:rPr>
        <w:footnoteReference w:id="11"/>
      </w:r>
      <w:r w:rsidRPr="008C3C15">
        <w:rPr>
          <w:rFonts w:eastAsia="Arial Unicode MS"/>
        </w:rPr>
        <w:t xml:space="preserve">, en que concluyó que el demandante tenía fuero o amparo sindical y determinó que la Federación debía reintegrarlo en su puesto y pagarle los salarios y prestaciones dejados de percibir como consecuencia del despido. </w:t>
      </w:r>
      <w:r w:rsidRPr="008C3C15">
        <w:t>En este marco, el T</w:t>
      </w:r>
      <w:r w:rsidR="00D8090C" w:rsidRPr="006E0231">
        <w:t xml:space="preserve">ribunal </w:t>
      </w:r>
      <w:r w:rsidRPr="006E0231">
        <w:t>determinó que:</w:t>
      </w:r>
    </w:p>
    <w:p w14:paraId="27CC3B44" w14:textId="107A5880" w:rsidR="005F40C7" w:rsidRPr="006E0231" w:rsidRDefault="005F40C7" w:rsidP="00802445">
      <w:pPr>
        <w:pStyle w:val="SingleTxtG"/>
        <w:ind w:left="1701"/>
      </w:pPr>
      <w:r w:rsidRPr="006E0231">
        <w:t>“la disposición analizada [el artículo 8 de la convención de 1976] continúa vigente, en tanto nunca fue derogada expresamente por las disposiciones convencionales posteriores.</w:t>
      </w:r>
      <w:r w:rsidR="00D8090C" w:rsidRPr="006E0231">
        <w:t xml:space="preserve"> [</w:t>
      </w:r>
      <w:r w:rsidRPr="006E0231">
        <w:t>…</w:t>
      </w:r>
      <w:r w:rsidR="00D8090C" w:rsidRPr="006E0231">
        <w:t>]</w:t>
      </w:r>
    </w:p>
    <w:p w14:paraId="69A09E45" w14:textId="67579CE4" w:rsidR="005F40C7" w:rsidRPr="006E0231" w:rsidRDefault="009E2CE0" w:rsidP="00802445">
      <w:pPr>
        <w:pStyle w:val="SingleTxtG"/>
        <w:ind w:left="1701"/>
      </w:pPr>
      <w:r>
        <w:tab/>
      </w:r>
      <w:r>
        <w:tab/>
      </w:r>
      <w:r w:rsidR="00D8090C" w:rsidRPr="008C3C15">
        <w:t>T</w:t>
      </w:r>
      <w:r w:rsidR="005F40C7" w:rsidRPr="006E0231">
        <w:t>ratándose de convenciones colectivas y más precisamente, de estipulaciones que reconocen derechos o establecen garantías para los trabajadores, opera una regla contraria, según la cual las disposiciones continúan vigentes mientras que no sean expresamente derogadas, modificadas o acordadas nuevamente.</w:t>
      </w:r>
      <w:r w:rsidR="00D8090C" w:rsidRPr="006E0231">
        <w:t xml:space="preserve"> [</w:t>
      </w:r>
      <w:r w:rsidR="005F40C7" w:rsidRPr="006E0231">
        <w:t>…</w:t>
      </w:r>
      <w:r w:rsidR="00D8090C" w:rsidRPr="006E0231">
        <w:t>]</w:t>
      </w:r>
    </w:p>
    <w:p w14:paraId="4CBFAE73" w14:textId="7DC77D65" w:rsidR="005F40C7" w:rsidRPr="006E0231" w:rsidRDefault="009E2CE0" w:rsidP="00802445">
      <w:pPr>
        <w:pStyle w:val="SingleTxtG"/>
        <w:ind w:left="1701"/>
      </w:pPr>
      <w:r>
        <w:tab/>
      </w:r>
      <w:r>
        <w:tab/>
      </w:r>
      <w:r w:rsidR="005F40C7" w:rsidRPr="008C3C15">
        <w:t>La Corte Suprema de Justicia también ha expresado que cuando las partes mantienen sin modificación una disposición convencional debe entenderse que las mismas deciden preservar ese derecho en el tiempo, pese por ejemplo, a modificaciones legales sobre la misma materia.</w:t>
      </w:r>
      <w:r w:rsidR="00D8090C" w:rsidRPr="006E0231">
        <w:t xml:space="preserve"> [</w:t>
      </w:r>
      <w:r w:rsidR="005F40C7" w:rsidRPr="006E0231">
        <w:t>…</w:t>
      </w:r>
      <w:r w:rsidR="00D8090C" w:rsidRPr="006E0231">
        <w:t>]</w:t>
      </w:r>
    </w:p>
    <w:p w14:paraId="70944552" w14:textId="7A0E2669" w:rsidR="005F40C7" w:rsidRPr="006E0231" w:rsidRDefault="009E2CE0" w:rsidP="00802445">
      <w:pPr>
        <w:pStyle w:val="SingleTxtG"/>
        <w:ind w:left="1701"/>
      </w:pPr>
      <w:r>
        <w:tab/>
      </w:r>
      <w:r>
        <w:tab/>
      </w:r>
      <w:r w:rsidR="005F40C7" w:rsidRPr="008C3C15">
        <w:t xml:space="preserve">Debe concluirse </w:t>
      </w:r>
      <w:r w:rsidR="00D8090C" w:rsidRPr="006E0231">
        <w:t>[</w:t>
      </w:r>
      <w:r w:rsidR="005F40C7" w:rsidRPr="006E0231">
        <w:t>…</w:t>
      </w:r>
      <w:r w:rsidR="00D8090C" w:rsidRPr="006E0231">
        <w:t>]</w:t>
      </w:r>
      <w:r w:rsidR="005F40C7" w:rsidRPr="006E0231">
        <w:t xml:space="preserve"> que el contrato de trabajo celebrado por las partes en contienda ostentó la naturaleza de indefinido por expresa disposición convencional vigente y en ese orden, no podía terminar por el vencimiento del plazo fijo pactado. Siendo ello así, dada la manifestación unilateral de la demandada de romper el vínculo laboral y la vigencia de la garantía de fuero sindical en cabeza del demandante para dicho momento, existió un despido sin justa causa del trabajador amparado por fuero sindical que implica la prosperidad de la súplica de reintegro</w:t>
      </w:r>
      <w:r>
        <w:t>.</w:t>
      </w:r>
      <w:r w:rsidR="005F40C7" w:rsidRPr="008C3C15">
        <w:t>”</w:t>
      </w:r>
    </w:p>
    <w:p w14:paraId="033448F0" w14:textId="56D08A5B" w:rsidR="003B5A48" w:rsidRPr="006E0231" w:rsidRDefault="00704931" w:rsidP="00802445">
      <w:pPr>
        <w:pStyle w:val="SingleTxtG"/>
      </w:pPr>
      <w:r w:rsidRPr="006E0231">
        <w:t>3.5</w:t>
      </w:r>
      <w:r w:rsidR="001121FE" w:rsidRPr="006E0231">
        <w:tab/>
      </w:r>
      <w:r w:rsidRPr="006E0231">
        <w:t>Los autores solicitan al Comité que</w:t>
      </w:r>
      <w:r w:rsidR="001121FE" w:rsidRPr="006E0231">
        <w:t xml:space="preserve"> el Estado parte </w:t>
      </w:r>
      <w:r w:rsidRPr="006E0231">
        <w:t xml:space="preserve">les </w:t>
      </w:r>
      <w:r w:rsidR="001121FE" w:rsidRPr="006E0231">
        <w:t>proporcione una reparación integral, incluyendo garantías de no repetición.</w:t>
      </w:r>
    </w:p>
    <w:p w14:paraId="07DED344" w14:textId="1958A2B9" w:rsidR="00080A30" w:rsidRPr="006E0231" w:rsidRDefault="00C83CEA" w:rsidP="008C3C15">
      <w:pPr>
        <w:pStyle w:val="H23G"/>
      </w:pPr>
      <w:r w:rsidRPr="006E0231">
        <w:tab/>
      </w:r>
      <w:r w:rsidR="00080A30" w:rsidRPr="006E0231">
        <w:tab/>
        <w:t>Observaciones del Estado parte sobre la admisibilidad</w:t>
      </w:r>
    </w:p>
    <w:p w14:paraId="0A5B9467" w14:textId="786748A1" w:rsidR="00A41951" w:rsidRPr="006E0231" w:rsidRDefault="00A41951" w:rsidP="006E0231">
      <w:pPr>
        <w:pStyle w:val="SingleTxtG"/>
      </w:pPr>
      <w:r w:rsidRPr="006E0231">
        <w:t>4.1</w:t>
      </w:r>
      <w:r w:rsidRPr="006E0231">
        <w:tab/>
      </w:r>
      <w:r w:rsidR="00637092" w:rsidRPr="006E0231">
        <w:t>Mediante nota verbal</w:t>
      </w:r>
      <w:r w:rsidRPr="006E0231">
        <w:t xml:space="preserve"> de 22 de febrero de 2012, el Estado parte formuló sus observacion</w:t>
      </w:r>
      <w:r w:rsidR="00510F6C" w:rsidRPr="006E0231">
        <w:t>es sobre la admisibilidad de la comunicación</w:t>
      </w:r>
      <w:r w:rsidRPr="006E0231">
        <w:t xml:space="preserve"> y solicitó al Comité que sea declarada inadmisible.</w:t>
      </w:r>
    </w:p>
    <w:p w14:paraId="7658DC77" w14:textId="3BCB4C50" w:rsidR="008F00CE" w:rsidRPr="006E0231" w:rsidRDefault="00200E6D" w:rsidP="006E0231">
      <w:pPr>
        <w:pStyle w:val="SingleTxtG"/>
      </w:pPr>
      <w:r w:rsidRPr="006E0231">
        <w:t>4.2</w:t>
      </w:r>
      <w:r w:rsidRPr="006E0231">
        <w:tab/>
      </w:r>
      <w:r w:rsidR="008F00CE" w:rsidRPr="006E0231">
        <w:t>El Estado parte mantiene que la Federación no dio por terminado los contratos de trabajo de los autores de forma ant</w:t>
      </w:r>
      <w:r w:rsidR="00510F6C" w:rsidRPr="006E0231">
        <w:t>icipada, ni los despidió. Los autores tenían</w:t>
      </w:r>
      <w:r w:rsidR="008F00CE" w:rsidRPr="006E0231">
        <w:t xml:space="preserve"> contratos a término fijo, </w:t>
      </w:r>
      <w:r w:rsidR="00510F6C" w:rsidRPr="006E0231">
        <w:t xml:space="preserve">que </w:t>
      </w:r>
      <w:r w:rsidR="001B0AF3" w:rsidRPr="006E0231">
        <w:t>expiraron</w:t>
      </w:r>
      <w:r w:rsidR="008F00CE" w:rsidRPr="006E0231">
        <w:t xml:space="preserve"> por vencimiento del término pactado. Más aún, en la misma época expir</w:t>
      </w:r>
      <w:r w:rsidR="00062929" w:rsidRPr="006E0231">
        <w:t xml:space="preserve">ó </w:t>
      </w:r>
      <w:r w:rsidR="008F00CE" w:rsidRPr="006E0231">
        <w:t>un número significa</w:t>
      </w:r>
      <w:r w:rsidR="00510F6C" w:rsidRPr="006E0231">
        <w:t>tivo de contratos de trabajo</w:t>
      </w:r>
      <w:r w:rsidR="001B0AF3" w:rsidRPr="006E0231">
        <w:t xml:space="preserve"> debido a la dinámica propia del negocio cafetalero, por lo que no existió una persecución contra los autores por su condición sindical</w:t>
      </w:r>
      <w:r w:rsidR="001B0AF3" w:rsidRPr="008C3C15">
        <w:t>.</w:t>
      </w:r>
    </w:p>
    <w:p w14:paraId="4A0EC6DB" w14:textId="60EA7722" w:rsidR="00756F6A" w:rsidRPr="006E0231" w:rsidRDefault="001B0AF3" w:rsidP="006E0231">
      <w:pPr>
        <w:pStyle w:val="SingleTxtG"/>
      </w:pPr>
      <w:r w:rsidRPr="006E0231">
        <w:t>4.3</w:t>
      </w:r>
      <w:r w:rsidRPr="006E0231">
        <w:tab/>
      </w:r>
      <w:r w:rsidR="00200E6D" w:rsidRPr="006E0231">
        <w:t xml:space="preserve">El Estado parte sostiene que </w:t>
      </w:r>
      <w:r w:rsidR="00B047A3" w:rsidRPr="006E0231">
        <w:t>los autores pretende</w:t>
      </w:r>
      <w:r w:rsidR="006F099B" w:rsidRPr="006E0231">
        <w:t>n</w:t>
      </w:r>
      <w:r w:rsidR="00B047A3" w:rsidRPr="006E0231">
        <w:t xml:space="preserve"> que el Comité asuma un papel de instancia de apelación para tratar asuntos que fueron deb</w:t>
      </w:r>
      <w:r w:rsidR="00510F6C" w:rsidRPr="006E0231">
        <w:t>idamente definidos por sus</w:t>
      </w:r>
      <w:r w:rsidR="00B047A3" w:rsidRPr="006E0231">
        <w:t xml:space="preserve"> tribunales, </w:t>
      </w:r>
      <w:r w:rsidR="002953E8" w:rsidRPr="006E0231">
        <w:t>debido a su inconformidad con decisiones judiciales</w:t>
      </w:r>
      <w:r w:rsidR="00966A39" w:rsidRPr="006E0231">
        <w:t xml:space="preserve"> </w:t>
      </w:r>
      <w:r w:rsidR="002953E8" w:rsidRPr="006E0231">
        <w:t>que resultaron adversas a sus intereses</w:t>
      </w:r>
      <w:r w:rsidR="00B047A3" w:rsidRPr="006E0231">
        <w:t xml:space="preserve">. </w:t>
      </w:r>
      <w:r w:rsidR="000B2EBE" w:rsidRPr="006E0231">
        <w:t>Los autores tuvieron la oportunidad de presentar recursos judiciales que fueron e</w:t>
      </w:r>
      <w:r w:rsidR="00510F6C" w:rsidRPr="006E0231">
        <w:t>xaminado</w:t>
      </w:r>
      <w:r w:rsidR="000B2EBE" w:rsidRPr="006E0231">
        <w:t xml:space="preserve">s por los </w:t>
      </w:r>
      <w:r w:rsidR="00510F6C" w:rsidRPr="006E0231">
        <w:t>tribunales nacionales y resuelto</w:t>
      </w:r>
      <w:r w:rsidR="000B2EBE" w:rsidRPr="006E0231">
        <w:t>s en decisiones debidamente motivadas, de acuerdo al ordenamiento jurídico vigente. Los procesos judiciales se llevaron a cabo e</w:t>
      </w:r>
      <w:r w:rsidR="00A9390E" w:rsidRPr="006E0231">
        <w:t>n observancia al debido proceso y</w:t>
      </w:r>
      <w:r w:rsidR="000B2EBE" w:rsidRPr="006E0231">
        <w:t xml:space="preserve"> las actuaciones de los tribunales no fueron arbitrarias. </w:t>
      </w:r>
      <w:r w:rsidR="002953E8" w:rsidRPr="006E0231">
        <w:t>Por tanto, la comunicación debe ser declarada inadmisible con arreglo al artículo 2 del Protocolo Facultativo.</w:t>
      </w:r>
    </w:p>
    <w:p w14:paraId="33EF9BA6" w14:textId="792622C2" w:rsidR="00F64555" w:rsidRPr="006E0231" w:rsidRDefault="001B0AF3" w:rsidP="006E0231">
      <w:pPr>
        <w:pStyle w:val="SingleTxtG"/>
        <w:rPr>
          <w:rFonts w:eastAsia="Arial Unicode MS"/>
        </w:rPr>
      </w:pPr>
      <w:r w:rsidRPr="006E0231">
        <w:t>4.4</w:t>
      </w:r>
      <w:r w:rsidR="00756F6A" w:rsidRPr="006E0231">
        <w:tab/>
        <w:t xml:space="preserve">La comunicación constituye un abuso del derecho a presentar una comunicación y, por tanto, es inadmisible en virtud del artículo 96 del </w:t>
      </w:r>
      <w:r w:rsidR="00E35E9C" w:rsidRPr="006E0231">
        <w:t>r</w:t>
      </w:r>
      <w:r w:rsidR="00756F6A" w:rsidRPr="006E0231">
        <w:t>eglamento del Comité. El Estado parte sostiene que la comunicac</w:t>
      </w:r>
      <w:r w:rsidR="00860BAE" w:rsidRPr="006E0231">
        <w:t>ión presenta información falsa,</w:t>
      </w:r>
      <w:r w:rsidR="00756F6A" w:rsidRPr="006E0231">
        <w:t xml:space="preserve"> distorsionada</w:t>
      </w:r>
      <w:r w:rsidR="009924DA" w:rsidRPr="006E0231">
        <w:t>, incompleta y poco clara.</w:t>
      </w:r>
      <w:r w:rsidR="00966A39" w:rsidRPr="006E0231">
        <w:t xml:space="preserve"> </w:t>
      </w:r>
      <w:r w:rsidR="009924DA" w:rsidRPr="006E0231">
        <w:t>La comun</w:t>
      </w:r>
      <w:r w:rsidR="00510F6C" w:rsidRPr="006E0231">
        <w:t>icación omite mencionar que la c</w:t>
      </w:r>
      <w:r w:rsidR="009924DA" w:rsidRPr="006E0231">
        <w:t>onvenci</w:t>
      </w:r>
      <w:r w:rsidR="00CD57ED" w:rsidRPr="006E0231">
        <w:t>ón de 1976 introdujo una modificación sustancial al capítulo de estabi</w:t>
      </w:r>
      <w:r w:rsidR="00510F6C" w:rsidRPr="006E0231">
        <w:t>lidad laboral estipulado en la convención colectiva de t</w:t>
      </w:r>
      <w:r w:rsidR="00CD57ED" w:rsidRPr="006E0231">
        <w:t xml:space="preserve">rabajo de 1962, al suprimir el mecanismo de </w:t>
      </w:r>
      <w:r w:rsidR="000156F7" w:rsidRPr="006E0231">
        <w:t>transformación</w:t>
      </w:r>
      <w:r w:rsidR="00CD57ED" w:rsidRPr="006E0231">
        <w:t xml:space="preserve"> automática de los </w:t>
      </w:r>
      <w:r w:rsidR="000156F7" w:rsidRPr="006E0231">
        <w:t>contratos</w:t>
      </w:r>
      <w:r w:rsidR="00CD57ED" w:rsidRPr="006E0231">
        <w:t xml:space="preserve"> a término fijo en </w:t>
      </w:r>
      <w:r w:rsidR="000156F7" w:rsidRPr="006E0231">
        <w:t>contratos</w:t>
      </w:r>
      <w:r w:rsidR="00CD57ED" w:rsidRPr="006E0231">
        <w:t xml:space="preserve"> a término indefinido. </w:t>
      </w:r>
      <w:r w:rsidR="000156F7" w:rsidRPr="006E0231">
        <w:t>Esta omisi</w:t>
      </w:r>
      <w:r w:rsidR="00577DD9" w:rsidRPr="006E0231">
        <w:t>ón permite entender la</w:t>
      </w:r>
      <w:r w:rsidR="000156F7" w:rsidRPr="006E0231">
        <w:t xml:space="preserve"> actuación y las decisiones de los tribunales respecto del caso en cuestión.</w:t>
      </w:r>
      <w:r w:rsidR="00966A39" w:rsidRPr="006E0231">
        <w:t xml:space="preserve"> </w:t>
      </w:r>
      <w:r w:rsidR="00F64555" w:rsidRPr="006E0231">
        <w:t xml:space="preserve">Por otra parte, los autores presentan su interpretación sobre la relación entre fuero sindical y la naturaleza del contrato de trabajo como si la misma fuera una doctrina de la </w:t>
      </w:r>
      <w:r w:rsidR="00E35E9C" w:rsidRPr="006E0231">
        <w:t>Organización Internacional del Trabajo (</w:t>
      </w:r>
      <w:r w:rsidR="00F64555" w:rsidRPr="006E0231">
        <w:t>OIT</w:t>
      </w:r>
      <w:r w:rsidR="00E35E9C" w:rsidRPr="006E0231">
        <w:t>)</w:t>
      </w:r>
      <w:r w:rsidR="00F64555" w:rsidRPr="006E0231">
        <w:t xml:space="preserve">. Sin embargo, tal doctrina no existe y por esta razón no citan ningún pronunciamiento de la OIT en respaldo de sus afirmaciones. Finalmente, </w:t>
      </w:r>
      <w:r w:rsidR="00F64555" w:rsidRPr="006E0231">
        <w:rPr>
          <w:rFonts w:eastAsia="Arial Unicode MS"/>
        </w:rPr>
        <w:t xml:space="preserve">los autores incurren en un abuso </w:t>
      </w:r>
      <w:r w:rsidR="00A9390E" w:rsidRPr="006E0231">
        <w:rPr>
          <w:rFonts w:eastAsia="Arial Unicode MS"/>
        </w:rPr>
        <w:t>del derecho a</w:t>
      </w:r>
      <w:r w:rsidR="00F64555" w:rsidRPr="006E0231">
        <w:rPr>
          <w:rFonts w:eastAsia="Arial Unicode MS"/>
        </w:rPr>
        <w:t xml:space="preserve"> presentar una comunicación debido al </w:t>
      </w:r>
      <w:r w:rsidR="00860BAE" w:rsidRPr="006E0231">
        <w:rPr>
          <w:rFonts w:eastAsia="Arial Unicode MS"/>
        </w:rPr>
        <w:t>plazo de aproximadamente dos años</w:t>
      </w:r>
      <w:r w:rsidR="00F64555" w:rsidRPr="006E0231">
        <w:rPr>
          <w:rFonts w:eastAsia="Arial Unicode MS"/>
        </w:rPr>
        <w:t xml:space="preserve"> transcurrido entre la </w:t>
      </w:r>
      <w:r w:rsidR="00860BAE" w:rsidRPr="006E0231">
        <w:rPr>
          <w:rFonts w:eastAsia="Arial Unicode MS"/>
        </w:rPr>
        <w:t xml:space="preserve">última </w:t>
      </w:r>
      <w:r w:rsidR="00F64555" w:rsidRPr="006E0231">
        <w:rPr>
          <w:rFonts w:eastAsia="Arial Unicode MS"/>
        </w:rPr>
        <w:t xml:space="preserve">decisión de </w:t>
      </w:r>
      <w:r w:rsidR="00860BAE" w:rsidRPr="006E0231">
        <w:rPr>
          <w:rFonts w:eastAsia="Arial Unicode MS"/>
        </w:rPr>
        <w:t xml:space="preserve">los tribunales nacionales </w:t>
      </w:r>
      <w:r w:rsidR="00F64555" w:rsidRPr="006E0231">
        <w:rPr>
          <w:rFonts w:eastAsia="Arial Unicode MS"/>
        </w:rPr>
        <w:t>y la fecha en que la comunicación f</w:t>
      </w:r>
      <w:r w:rsidR="00860BAE" w:rsidRPr="006E0231">
        <w:rPr>
          <w:rFonts w:eastAsia="Arial Unicode MS"/>
        </w:rPr>
        <w:t>ue presentada al Comité</w:t>
      </w:r>
      <w:r w:rsidR="00F64555" w:rsidRPr="006E0231">
        <w:rPr>
          <w:rFonts w:eastAsia="Arial Unicode MS"/>
        </w:rPr>
        <w:t>.</w:t>
      </w:r>
    </w:p>
    <w:p w14:paraId="0A32EBDA" w14:textId="750449E6" w:rsidR="0097615A" w:rsidRPr="006E0231" w:rsidRDefault="00F64555" w:rsidP="006E0231">
      <w:pPr>
        <w:pStyle w:val="SingleTxtG"/>
        <w:rPr>
          <w:rFonts w:eastAsia="Arial Unicode MS"/>
        </w:rPr>
      </w:pPr>
      <w:r w:rsidRPr="006E0231">
        <w:t>4.5</w:t>
      </w:r>
      <w:r w:rsidRPr="006E0231">
        <w:tab/>
        <w:t>El Estado parte agrega que el</w:t>
      </w:r>
      <w:r w:rsidR="00577DD9" w:rsidRPr="006E0231">
        <w:t xml:space="preserve"> </w:t>
      </w:r>
      <w:r w:rsidR="00510F6C" w:rsidRPr="006E0231">
        <w:t>artículo 8 de la c</w:t>
      </w:r>
      <w:r w:rsidR="00577DD9" w:rsidRPr="006E0231">
        <w:t xml:space="preserve">onvención de 1976 sobre </w:t>
      </w:r>
      <w:r w:rsidR="003552EE" w:rsidRPr="006E0231">
        <w:t>e</w:t>
      </w:r>
      <w:r w:rsidR="00577DD9" w:rsidRPr="006E0231">
        <w:t xml:space="preserve">stabilidad </w:t>
      </w:r>
      <w:r w:rsidR="003552EE" w:rsidRPr="006E0231">
        <w:t>l</w:t>
      </w:r>
      <w:r w:rsidR="00577DD9" w:rsidRPr="006E0231">
        <w:t xml:space="preserve">aboral y </w:t>
      </w:r>
      <w:r w:rsidR="003552EE" w:rsidRPr="006E0231">
        <w:t>c</w:t>
      </w:r>
      <w:r w:rsidR="00577DD9" w:rsidRPr="006E0231">
        <w:t xml:space="preserve">ontratos de </w:t>
      </w:r>
      <w:r w:rsidR="003552EE" w:rsidRPr="006E0231">
        <w:t>t</w:t>
      </w:r>
      <w:r w:rsidR="00577DD9" w:rsidRPr="006E0231">
        <w:t>rabajo, contenía un párrafo estableciendo que “</w:t>
      </w:r>
      <w:r w:rsidR="003552EE" w:rsidRPr="006E0231">
        <w:t>[t]</w:t>
      </w:r>
      <w:r w:rsidR="00577DD9" w:rsidRPr="006E0231">
        <w:t xml:space="preserve">odo trabajador de contrato a </w:t>
      </w:r>
      <w:r w:rsidR="003552EE" w:rsidRPr="006E0231">
        <w:t>t</w:t>
      </w:r>
      <w:r w:rsidR="00577DD9" w:rsidRPr="006E0231">
        <w:t xml:space="preserve">érmino </w:t>
      </w:r>
      <w:r w:rsidR="003552EE" w:rsidRPr="006E0231">
        <w:t>f</w:t>
      </w:r>
      <w:r w:rsidR="00577DD9" w:rsidRPr="006E0231">
        <w:t xml:space="preserve">ijo que cumpliere o hubiere cumplido 1 (un) año de servicio continuo a las </w:t>
      </w:r>
      <w:r w:rsidR="003552EE" w:rsidRPr="006E0231">
        <w:t>empresas</w:t>
      </w:r>
      <w:r w:rsidR="00577DD9" w:rsidRPr="006E0231">
        <w:t xml:space="preserve">, será vinculado como trabajador permanente con contrato de </w:t>
      </w:r>
      <w:r w:rsidR="003552EE" w:rsidRPr="006E0231">
        <w:t>t</w:t>
      </w:r>
      <w:r w:rsidR="00577DD9" w:rsidRPr="006E0231">
        <w:t xml:space="preserve">iempo </w:t>
      </w:r>
      <w:r w:rsidR="003552EE" w:rsidRPr="006E0231">
        <w:t>i</w:t>
      </w:r>
      <w:r w:rsidR="00577DD9" w:rsidRPr="006E0231">
        <w:t xml:space="preserve">ndefinido”. Posteriormente, en el artículo 3 de la </w:t>
      </w:r>
      <w:r w:rsidR="003552EE" w:rsidRPr="006E0231">
        <w:t>c</w:t>
      </w:r>
      <w:r w:rsidR="00577DD9" w:rsidRPr="006E0231">
        <w:t xml:space="preserve">onvención de 1978 sobre </w:t>
      </w:r>
      <w:r w:rsidR="003552EE" w:rsidRPr="006E0231">
        <w:t>e</w:t>
      </w:r>
      <w:r w:rsidR="00577DD9" w:rsidRPr="006E0231">
        <w:t xml:space="preserve">stabilidad </w:t>
      </w:r>
      <w:r w:rsidR="003552EE" w:rsidRPr="006E0231">
        <w:t>l</w:t>
      </w:r>
      <w:r w:rsidR="00577DD9" w:rsidRPr="006E0231">
        <w:t>aboral, no se incluyó el párr</w:t>
      </w:r>
      <w:r w:rsidR="00510F6C" w:rsidRPr="006E0231">
        <w:t>afo en cuestión. Las sucesivas convenciones c</w:t>
      </w:r>
      <w:r w:rsidR="00577DD9" w:rsidRPr="006E0231">
        <w:t xml:space="preserve">olectivas en general establecieron que los derechos y prestaciones continuarían vigentes. Esto es, no se modificó la </w:t>
      </w:r>
      <w:r w:rsidR="003552EE" w:rsidRPr="006E0231">
        <w:t>c</w:t>
      </w:r>
      <w:r w:rsidR="00577DD9" w:rsidRPr="006E0231">
        <w:t xml:space="preserve">onvención de 1978 en el punto de la estabilidad laboral, quedando vigente la ausencia de dicho párrafo al momento de los hechos materia de la comunicación. </w:t>
      </w:r>
      <w:r w:rsidR="001B0AF3" w:rsidRPr="006E0231">
        <w:t>Así, en la convención de 1978 el sindicato decidió dejar afuera la cláusula en cuestión a cambio de una mejora de</w:t>
      </w:r>
      <w:r w:rsidR="00D87B76" w:rsidRPr="006E0231">
        <w:t xml:space="preserve"> carácter económico y otros</w:t>
      </w:r>
      <w:r w:rsidR="001B0AF3" w:rsidRPr="006E0231">
        <w:t xml:space="preserve"> beneficio</w:t>
      </w:r>
      <w:r w:rsidR="00D87B76" w:rsidRPr="006E0231">
        <w:t>s</w:t>
      </w:r>
      <w:r w:rsidR="001B0AF3" w:rsidRPr="006E0231">
        <w:t xml:space="preserve"> </w:t>
      </w:r>
      <w:r w:rsidR="00D87B76" w:rsidRPr="006E0231">
        <w:t>laborales</w:t>
      </w:r>
      <w:r w:rsidR="00292B23" w:rsidRPr="006E0231">
        <w:t>.</w:t>
      </w:r>
      <w:r w:rsidR="006C4296" w:rsidRPr="006E0231">
        <w:t xml:space="preserve"> </w:t>
      </w:r>
      <w:r w:rsidR="00860BAE" w:rsidRPr="006E0231">
        <w:rPr>
          <w:rFonts w:eastAsia="Arial Unicode MS"/>
        </w:rPr>
        <w:t>Los autores manipulan el contenido de los artículos 27 y 11 de las convenciones de 1982 y 1998. Es cierto que estas convenciones estipularon que las mismas se aplican a todos los trabajadores. Sin embargo, no se desprende de ellas la aplicación de reglas derogadas desde la convención de 1978 sobre los trabajadores con contrato a término fijo.</w:t>
      </w:r>
    </w:p>
    <w:p w14:paraId="5E8EB4AE" w14:textId="5ADF559A" w:rsidR="00883F2C" w:rsidRPr="006E0231" w:rsidRDefault="0097615A" w:rsidP="006E0231">
      <w:pPr>
        <w:pStyle w:val="SingleTxtG"/>
        <w:rPr>
          <w:rFonts w:eastAsia="Arial Unicode MS"/>
        </w:rPr>
      </w:pPr>
      <w:r w:rsidRPr="006E0231">
        <w:t>4.6</w:t>
      </w:r>
      <w:r w:rsidRPr="006E0231">
        <w:tab/>
        <w:t>N</w:t>
      </w:r>
      <w:r w:rsidR="006C4296" w:rsidRPr="006E0231">
        <w:t xml:space="preserve">o es cierta la afirmación de los autores de que </w:t>
      </w:r>
      <w:r w:rsidR="003552EE" w:rsidRPr="006E0231">
        <w:t>e</w:t>
      </w:r>
      <w:r w:rsidR="006C4296" w:rsidRPr="006E0231">
        <w:t>stos fueron despedidos en forma unilateral e injustificada</w:t>
      </w:r>
      <w:r w:rsidR="00860BAE" w:rsidRPr="006E0231">
        <w:t xml:space="preserve"> (véase </w:t>
      </w:r>
      <w:r w:rsidR="00FF251F" w:rsidRPr="006E0231">
        <w:t xml:space="preserve">el </w:t>
      </w:r>
      <w:r w:rsidR="00653381" w:rsidRPr="006E0231">
        <w:t xml:space="preserve">párrafo </w:t>
      </w:r>
      <w:r w:rsidR="00860BAE" w:rsidRPr="006E0231">
        <w:t>4.2</w:t>
      </w:r>
      <w:r w:rsidR="00FF251F" w:rsidRPr="006E0231">
        <w:t xml:space="preserve"> </w:t>
      </w:r>
      <w:r w:rsidR="00FF251F" w:rsidRPr="00802445">
        <w:rPr>
          <w:i/>
        </w:rPr>
        <w:t>supra</w:t>
      </w:r>
      <w:r w:rsidR="00860BAE" w:rsidRPr="008C3C15">
        <w:t>)</w:t>
      </w:r>
      <w:r w:rsidR="006C4296" w:rsidRPr="008C3C15">
        <w:t xml:space="preserve">. En consecuencia, toda vez que no fueron despedidos, no se violó el derecho al fuero sindical ni </w:t>
      </w:r>
      <w:r w:rsidR="006C4296" w:rsidRPr="006E0231">
        <w:t>los derechos que les asisten en virtud del artículo 22</w:t>
      </w:r>
      <w:r w:rsidR="00765924" w:rsidRPr="006E0231">
        <w:t xml:space="preserve"> del Pacto.</w:t>
      </w:r>
    </w:p>
    <w:p w14:paraId="23B650AD" w14:textId="19F3A41A" w:rsidR="00EF532C" w:rsidRPr="006E0231" w:rsidRDefault="00883F2C" w:rsidP="006E0231">
      <w:pPr>
        <w:pStyle w:val="SingleTxtG"/>
        <w:rPr>
          <w:rFonts w:eastAsia="Arial Unicode MS"/>
        </w:rPr>
      </w:pPr>
      <w:r w:rsidRPr="006E0231">
        <w:rPr>
          <w:rFonts w:eastAsia="Arial Unicode MS"/>
        </w:rPr>
        <w:t>4.</w:t>
      </w:r>
      <w:r w:rsidR="0097615A" w:rsidRPr="006E0231">
        <w:rPr>
          <w:rFonts w:eastAsia="Arial Unicode MS"/>
        </w:rPr>
        <w:t>7</w:t>
      </w:r>
      <w:r w:rsidRPr="006E0231">
        <w:rPr>
          <w:rFonts w:eastAsia="Arial Unicode MS"/>
        </w:rPr>
        <w:tab/>
        <w:t>La comunicación no cumple con el requisito establecido en el artículo 5</w:t>
      </w:r>
      <w:r w:rsidR="003552EE" w:rsidRPr="006E0231">
        <w:rPr>
          <w:rFonts w:eastAsia="Arial Unicode MS"/>
        </w:rPr>
        <w:t xml:space="preserve">, párrafo </w:t>
      </w:r>
      <w:r w:rsidRPr="006E0231">
        <w:rPr>
          <w:rFonts w:eastAsia="Arial Unicode MS"/>
        </w:rPr>
        <w:t>2</w:t>
      </w:r>
      <w:r w:rsidR="003552EE" w:rsidRPr="006E0231">
        <w:rPr>
          <w:rFonts w:eastAsia="Arial Unicode MS"/>
        </w:rPr>
        <w:t xml:space="preserve">, apartado </w:t>
      </w:r>
      <w:r w:rsidRPr="006E0231">
        <w:rPr>
          <w:rFonts w:eastAsia="Arial Unicode MS"/>
        </w:rPr>
        <w:t>b)</w:t>
      </w:r>
      <w:r w:rsidR="003552EE" w:rsidRPr="006E0231">
        <w:rPr>
          <w:rFonts w:eastAsia="Arial Unicode MS"/>
        </w:rPr>
        <w:t>,</w:t>
      </w:r>
      <w:r w:rsidRPr="006E0231">
        <w:rPr>
          <w:rFonts w:eastAsia="Arial Unicode MS"/>
        </w:rPr>
        <w:t xml:space="preserve"> del Protocolo Facultativo toda vez que el presente asunto pudo ser o</w:t>
      </w:r>
      <w:r w:rsidR="00860BAE" w:rsidRPr="006E0231">
        <w:rPr>
          <w:rFonts w:eastAsia="Arial Unicode MS"/>
        </w:rPr>
        <w:t>bjeto de negociación colectiva</w:t>
      </w:r>
      <w:r w:rsidR="0097615A" w:rsidRPr="006E0231">
        <w:rPr>
          <w:rFonts w:eastAsia="Arial Unicode MS"/>
        </w:rPr>
        <w:t>.</w:t>
      </w:r>
      <w:r w:rsidRPr="006E0231">
        <w:rPr>
          <w:rFonts w:eastAsia="Arial Unicode MS"/>
        </w:rPr>
        <w:t xml:space="preserve"> </w:t>
      </w:r>
      <w:r w:rsidR="00E23668" w:rsidRPr="006E0231">
        <w:rPr>
          <w:rFonts w:eastAsia="Arial Unicode MS"/>
        </w:rPr>
        <w:t>Para este</w:t>
      </w:r>
      <w:r w:rsidR="00860BAE" w:rsidRPr="006E0231">
        <w:rPr>
          <w:rFonts w:eastAsia="Arial Unicode MS"/>
        </w:rPr>
        <w:t xml:space="preserve"> fin, la legislación reconoce a</w:t>
      </w:r>
      <w:r w:rsidR="00E23668" w:rsidRPr="006E0231">
        <w:rPr>
          <w:rFonts w:eastAsia="Arial Unicode MS"/>
        </w:rPr>
        <w:t xml:space="preserve"> los sindicatos el derecho a presentar pliegos de peticiones</w:t>
      </w:r>
      <w:r w:rsidR="003552EE" w:rsidRPr="006E0231">
        <w:rPr>
          <w:rFonts w:eastAsia="Arial Unicode MS"/>
        </w:rPr>
        <w:t>,</w:t>
      </w:r>
      <w:r w:rsidR="00E23668" w:rsidRPr="006E0231">
        <w:rPr>
          <w:rFonts w:eastAsia="Arial Unicode MS"/>
        </w:rPr>
        <w:t xml:space="preserve"> que genera la inmediata obligación del empleador de negociar. Sin embargo, ni los autores</w:t>
      </w:r>
      <w:r w:rsidR="00E23668" w:rsidRPr="008C3C15">
        <w:rPr>
          <w:rFonts w:eastAsia="Arial Unicode MS"/>
        </w:rPr>
        <w:t xml:space="preserve"> ni las organizaciones sindicales </w:t>
      </w:r>
      <w:r w:rsidR="003552EE" w:rsidRPr="008C3C15">
        <w:rPr>
          <w:rFonts w:eastAsia="Arial Unicode MS"/>
        </w:rPr>
        <w:t xml:space="preserve">en </w:t>
      </w:r>
      <w:r w:rsidR="00E23668" w:rsidRPr="006E0231">
        <w:rPr>
          <w:rFonts w:eastAsia="Arial Unicode MS"/>
        </w:rPr>
        <w:t>la</w:t>
      </w:r>
      <w:r w:rsidR="003552EE" w:rsidRPr="006E0231">
        <w:rPr>
          <w:rFonts w:eastAsia="Arial Unicode MS"/>
        </w:rPr>
        <w:t>s</w:t>
      </w:r>
      <w:r w:rsidR="00E23668" w:rsidRPr="006E0231">
        <w:rPr>
          <w:rFonts w:eastAsia="Arial Unicode MS"/>
        </w:rPr>
        <w:t xml:space="preserve"> que eran parte utilizaron esta vía.</w:t>
      </w:r>
    </w:p>
    <w:p w14:paraId="2441D20B" w14:textId="34DD5B04" w:rsidR="00B30204" w:rsidRPr="006E0231" w:rsidRDefault="0097615A" w:rsidP="006E0231">
      <w:pPr>
        <w:pStyle w:val="SingleTxtG"/>
      </w:pPr>
      <w:r w:rsidRPr="006E0231">
        <w:rPr>
          <w:rFonts w:eastAsia="Arial Unicode MS"/>
        </w:rPr>
        <w:t>4.8</w:t>
      </w:r>
      <w:r w:rsidR="00EF532C" w:rsidRPr="006E0231">
        <w:rPr>
          <w:rFonts w:eastAsia="Arial Unicode MS"/>
        </w:rPr>
        <w:tab/>
        <w:t xml:space="preserve">La comunicación es inadmisible por falta de fundamentación de las quejas de violaciones al Pacto. </w:t>
      </w:r>
      <w:r w:rsidR="00DB2C28" w:rsidRPr="006E0231">
        <w:rPr>
          <w:rFonts w:eastAsia="Arial Unicode MS"/>
        </w:rPr>
        <w:t xml:space="preserve">Los autores basan su argumentación en una cláusula inexistente desde la convención de 1978. Adicionalmente, las alegaciones </w:t>
      </w:r>
      <w:r w:rsidR="00A9390E" w:rsidRPr="006E0231">
        <w:rPr>
          <w:rFonts w:eastAsia="Arial Unicode MS"/>
        </w:rPr>
        <w:t xml:space="preserve">con </w:t>
      </w:r>
      <w:r w:rsidR="00DB2C28" w:rsidRPr="006E0231">
        <w:rPr>
          <w:rFonts w:eastAsia="Arial Unicode MS"/>
        </w:rPr>
        <w:t xml:space="preserve">relación </w:t>
      </w:r>
      <w:r w:rsidR="00A9390E" w:rsidRPr="006E0231">
        <w:rPr>
          <w:rFonts w:eastAsia="Arial Unicode MS"/>
        </w:rPr>
        <w:t>al</w:t>
      </w:r>
      <w:r w:rsidR="00DB2C28" w:rsidRPr="006E0231">
        <w:rPr>
          <w:rFonts w:eastAsia="Arial Unicode MS"/>
        </w:rPr>
        <w:t xml:space="preserve"> artículo 22 del Pacto son generales y no se respaldan en tratados internacionales o en las posiciones y recomendaciones del Comité de Libertad Sindical</w:t>
      </w:r>
      <w:r w:rsidR="00E35BD9" w:rsidRPr="006E0231">
        <w:rPr>
          <w:rFonts w:eastAsia="Arial Unicode MS"/>
        </w:rPr>
        <w:t xml:space="preserve"> ni de la </w:t>
      </w:r>
      <w:r w:rsidR="00DB2C28" w:rsidRPr="006E0231">
        <w:rPr>
          <w:rFonts w:eastAsia="Arial Unicode MS"/>
        </w:rPr>
        <w:t xml:space="preserve">Comisión de Expertos en Aplicación de Convenios y Recomendaciones de la OIT. </w:t>
      </w:r>
      <w:r w:rsidR="00EF532C" w:rsidRPr="006E0231">
        <w:rPr>
          <w:rFonts w:eastAsia="Arial Unicode MS"/>
        </w:rPr>
        <w:t xml:space="preserve">El Estado parte resalta que en el caso de cuatro de los autores los tribunales laborales fallaron en seguimiento a la jurisprudencia establecida según la cual el fuero sindical no modifica la naturaleza del contrato. Sólo en </w:t>
      </w:r>
      <w:r w:rsidR="003647EF" w:rsidRPr="006E0231">
        <w:rPr>
          <w:rFonts w:eastAsia="Arial Unicode MS"/>
        </w:rPr>
        <w:t>el caso de</w:t>
      </w:r>
      <w:r w:rsidR="003552EE" w:rsidRPr="006E0231">
        <w:rPr>
          <w:rFonts w:eastAsia="Arial Unicode MS"/>
        </w:rPr>
        <w:t xml:space="preserve"> </w:t>
      </w:r>
      <w:r w:rsidR="004C7A3D" w:rsidRPr="006E0231">
        <w:rPr>
          <w:rFonts w:eastAsia="Arial Unicode MS"/>
        </w:rPr>
        <w:t>G.</w:t>
      </w:r>
      <w:r w:rsidR="009E2CE0">
        <w:rPr>
          <w:rFonts w:eastAsia="Arial Unicode MS"/>
        </w:rPr>
        <w:t xml:space="preserve"> </w:t>
      </w:r>
      <w:r w:rsidR="003647EF" w:rsidRPr="008C3C15">
        <w:rPr>
          <w:rFonts w:eastAsia="Arial Unicode MS"/>
        </w:rPr>
        <w:t>V</w:t>
      </w:r>
      <w:r w:rsidR="00C058A1" w:rsidRPr="006E0231">
        <w:rPr>
          <w:rFonts w:eastAsia="Arial Unicode MS"/>
        </w:rPr>
        <w:t>.</w:t>
      </w:r>
      <w:r w:rsidR="009E2CE0">
        <w:rPr>
          <w:rFonts w:eastAsia="Arial Unicode MS"/>
        </w:rPr>
        <w:t xml:space="preserve"> </w:t>
      </w:r>
      <w:r w:rsidR="004C7A3D" w:rsidRPr="008C3C15">
        <w:rPr>
          <w:rFonts w:eastAsia="Arial Unicode MS"/>
        </w:rPr>
        <w:t>B.</w:t>
      </w:r>
      <w:r w:rsidR="003647EF" w:rsidRPr="006E0231">
        <w:rPr>
          <w:rFonts w:eastAsia="Arial Unicode MS"/>
        </w:rPr>
        <w:t xml:space="preserve"> el tribunal falló</w:t>
      </w:r>
      <w:r w:rsidR="00EF532C" w:rsidRPr="006E0231">
        <w:rPr>
          <w:rFonts w:eastAsia="Arial Unicode MS"/>
        </w:rPr>
        <w:t xml:space="preserve"> de forma distinta; sin embargo, esto en </w:t>
      </w:r>
      <w:r w:rsidR="00941F5C" w:rsidRPr="006E0231">
        <w:rPr>
          <w:rFonts w:eastAsia="Arial Unicode MS"/>
        </w:rPr>
        <w:t>sí</w:t>
      </w:r>
      <w:r w:rsidR="00EF532C" w:rsidRPr="006E0231">
        <w:rPr>
          <w:rFonts w:eastAsia="Arial Unicode MS"/>
        </w:rPr>
        <w:t xml:space="preserve"> mismo no puede entenderse como la jurisprudencia imperante al momento de los hechos. De igual manera, los jueces constitucionales, en el marco de recursos de amparo</w:t>
      </w:r>
      <w:r w:rsidR="00DB2C28" w:rsidRPr="006E0231">
        <w:rPr>
          <w:rFonts w:eastAsia="Arial Unicode MS"/>
        </w:rPr>
        <w:t xml:space="preserve"> (acciones de tutela)</w:t>
      </w:r>
      <w:r w:rsidR="00EF532C" w:rsidRPr="006E0231">
        <w:rPr>
          <w:rFonts w:eastAsia="Arial Unicode MS"/>
        </w:rPr>
        <w:t>, fallaron acogiendo la jurisprudencia establecida</w:t>
      </w:r>
      <w:r w:rsidR="00EF532C" w:rsidRPr="008C3C15">
        <w:rPr>
          <w:rFonts w:eastAsia="Arial Unicode MS"/>
        </w:rPr>
        <w:t>.</w:t>
      </w:r>
    </w:p>
    <w:p w14:paraId="0C23B7A2" w14:textId="03CE06BF" w:rsidR="00080A30" w:rsidRPr="008C3C15" w:rsidRDefault="00C83CEA" w:rsidP="00802445">
      <w:pPr>
        <w:pStyle w:val="H23G"/>
      </w:pPr>
      <w:r w:rsidRPr="006E0231">
        <w:tab/>
      </w:r>
      <w:r w:rsidR="00080A30" w:rsidRPr="006E0231">
        <w:tab/>
        <w:t>Comentarios de l</w:t>
      </w:r>
      <w:r w:rsidR="00984D0F" w:rsidRPr="006E0231">
        <w:t>os autores</w:t>
      </w:r>
      <w:r w:rsidR="00080A30" w:rsidRPr="006E0231">
        <w:t xml:space="preserve"> sobre las observaciones del Estado parte acerca de</w:t>
      </w:r>
      <w:r w:rsidR="00744799">
        <w:t> </w:t>
      </w:r>
      <w:r w:rsidR="00744799" w:rsidRPr="008C3C15">
        <w:t>la</w:t>
      </w:r>
      <w:r w:rsidR="00744799">
        <w:t> </w:t>
      </w:r>
      <w:r w:rsidR="00080A30" w:rsidRPr="008C3C15">
        <w:t>admisibilidad</w:t>
      </w:r>
    </w:p>
    <w:p w14:paraId="514867D7" w14:textId="77777777" w:rsidR="00080A30" w:rsidRPr="006E0231" w:rsidRDefault="00080A30" w:rsidP="008C3C15">
      <w:pPr>
        <w:pStyle w:val="SingleTxtG"/>
      </w:pPr>
      <w:r w:rsidRPr="008C3C15">
        <w:t>5.1</w:t>
      </w:r>
      <w:r w:rsidRPr="008C3C15">
        <w:tab/>
        <w:t xml:space="preserve">El 19 de </w:t>
      </w:r>
      <w:r w:rsidR="00984D0F" w:rsidRPr="006E0231">
        <w:t>abril de 2012</w:t>
      </w:r>
      <w:r w:rsidRPr="006E0231">
        <w:t>, l</w:t>
      </w:r>
      <w:r w:rsidR="00984D0F" w:rsidRPr="006E0231">
        <w:t>os autores presentaron</w:t>
      </w:r>
      <w:r w:rsidRPr="006E0231">
        <w:t xml:space="preserve"> sus comentarios sobre las observaciones del Estado parte</w:t>
      </w:r>
      <w:r w:rsidR="002F472A" w:rsidRPr="006E0231">
        <w:t>,</w:t>
      </w:r>
      <w:r w:rsidR="00984D0F" w:rsidRPr="006E0231">
        <w:t xml:space="preserve"> reiteraron las alegaciones presentadas en su comunicación</w:t>
      </w:r>
      <w:r w:rsidR="002F472A" w:rsidRPr="006E0231">
        <w:t xml:space="preserve"> y </w:t>
      </w:r>
      <w:r w:rsidR="002F472A" w:rsidRPr="006E0231">
        <w:rPr>
          <w:rFonts w:eastAsia="Arial Unicode MS"/>
        </w:rPr>
        <w:t>sostuvieron que las mismas están debidamente fundamentadas a efectos de la admisibilidad.</w:t>
      </w:r>
    </w:p>
    <w:p w14:paraId="61C48077" w14:textId="56D99444" w:rsidR="00984D0F" w:rsidRPr="008C3C15" w:rsidRDefault="00984D0F" w:rsidP="006E0231">
      <w:pPr>
        <w:pStyle w:val="SingleTxtG"/>
        <w:rPr>
          <w:rFonts w:eastAsia="Arial Unicode MS"/>
        </w:rPr>
      </w:pPr>
      <w:r w:rsidRPr="006E0231">
        <w:t>5.2</w:t>
      </w:r>
      <w:r w:rsidRPr="006E0231">
        <w:tab/>
        <w:t>Los autores resaltan que el Estado parte no cuestio</w:t>
      </w:r>
      <w:r w:rsidR="002F472A" w:rsidRPr="006E0231">
        <w:t>na</w:t>
      </w:r>
      <w:r w:rsidRPr="006E0231">
        <w:t xml:space="preserve"> la existe</w:t>
      </w:r>
      <w:r w:rsidR="00585786" w:rsidRPr="006E0231">
        <w:t xml:space="preserve">ncia de la sentencia del </w:t>
      </w:r>
      <w:r w:rsidR="003552EE" w:rsidRPr="006E0231">
        <w:rPr>
          <w:rFonts w:eastAsia="Arial Unicode MS"/>
        </w:rPr>
        <w:t xml:space="preserve">Tribunal Superior de Justicia de Bogotá </w:t>
      </w:r>
      <w:r w:rsidR="00585786" w:rsidRPr="006E0231">
        <w:t>con relación a</w:t>
      </w:r>
      <w:r w:rsidRPr="006E0231">
        <w:t>l caso de</w:t>
      </w:r>
      <w:r w:rsidR="003552EE" w:rsidRPr="006E0231">
        <w:t xml:space="preserve"> </w:t>
      </w:r>
      <w:r w:rsidRPr="006E0231">
        <w:rPr>
          <w:rFonts w:eastAsia="Arial Unicode MS"/>
        </w:rPr>
        <w:t>J.</w:t>
      </w:r>
      <w:r w:rsidR="009E2CE0">
        <w:rPr>
          <w:rFonts w:eastAsia="Arial Unicode MS"/>
        </w:rPr>
        <w:t xml:space="preserve"> </w:t>
      </w:r>
      <w:r w:rsidRPr="008C3C15">
        <w:rPr>
          <w:rFonts w:eastAsia="Arial Unicode MS"/>
        </w:rPr>
        <w:t>A.</w:t>
      </w:r>
      <w:r w:rsidR="009E2CE0">
        <w:rPr>
          <w:rFonts w:eastAsia="Arial Unicode MS"/>
        </w:rPr>
        <w:t xml:space="preserve"> </w:t>
      </w:r>
      <w:r w:rsidRPr="008C3C15">
        <w:rPr>
          <w:rFonts w:eastAsia="Arial Unicode MS"/>
        </w:rPr>
        <w:t>H.</w:t>
      </w:r>
      <w:r w:rsidR="009E2CE0">
        <w:rPr>
          <w:rFonts w:eastAsia="Arial Unicode MS"/>
        </w:rPr>
        <w:t xml:space="preserve"> </w:t>
      </w:r>
      <w:r w:rsidRPr="008C3C15">
        <w:rPr>
          <w:rFonts w:eastAsia="Arial Unicode MS"/>
        </w:rPr>
        <w:t>P.</w:t>
      </w:r>
    </w:p>
    <w:p w14:paraId="4A813B82" w14:textId="1A1A6757" w:rsidR="00F10634" w:rsidRPr="006E0231" w:rsidRDefault="00732F54" w:rsidP="006E0231">
      <w:pPr>
        <w:pStyle w:val="SingleTxtG"/>
        <w:rPr>
          <w:rFonts w:eastAsia="Arial Unicode MS"/>
        </w:rPr>
      </w:pPr>
      <w:r w:rsidRPr="006E0231">
        <w:rPr>
          <w:rFonts w:eastAsia="Arial Unicode MS"/>
        </w:rPr>
        <w:t>5.3</w:t>
      </w:r>
      <w:r w:rsidRPr="006E0231">
        <w:rPr>
          <w:rFonts w:eastAsia="Arial Unicode MS"/>
        </w:rPr>
        <w:tab/>
        <w:t>La comunicación no busca que el Comité actúe como cuarta instancia</w:t>
      </w:r>
      <w:r w:rsidR="007B7FE0" w:rsidRPr="006E0231">
        <w:rPr>
          <w:rFonts w:eastAsia="Arial Unicode MS"/>
        </w:rPr>
        <w:t xml:space="preserve"> ni</w:t>
      </w:r>
      <w:r w:rsidR="007D57D2" w:rsidRPr="006E0231">
        <w:rPr>
          <w:rFonts w:eastAsia="Arial Unicode MS"/>
        </w:rPr>
        <w:t xml:space="preserve"> que evalúe las pruebas sino la compatibilidad de las decisiones judiciales del </w:t>
      </w:r>
      <w:r w:rsidR="003552EE" w:rsidRPr="006E0231">
        <w:rPr>
          <w:rFonts w:eastAsia="Arial Unicode MS"/>
        </w:rPr>
        <w:t xml:space="preserve">Tribunal Superior de Justicia de Bogotá </w:t>
      </w:r>
      <w:r w:rsidR="007D57D2" w:rsidRPr="006E0231">
        <w:rPr>
          <w:rFonts w:eastAsia="Arial Unicode MS"/>
        </w:rPr>
        <w:t>con el derecho de asociación reconocido en el Pacto</w:t>
      </w:r>
      <w:r w:rsidR="003552EE" w:rsidRPr="006E0231">
        <w:rPr>
          <w:rFonts w:eastAsia="Arial Unicode MS"/>
        </w:rPr>
        <w:t>,</w:t>
      </w:r>
      <w:r w:rsidR="007D57D2" w:rsidRPr="006E0231">
        <w:rPr>
          <w:rFonts w:eastAsia="Arial Unicode MS"/>
        </w:rPr>
        <w:t xml:space="preserve"> así como aquellos establecidos en los artículos 2</w:t>
      </w:r>
      <w:r w:rsidR="003552EE" w:rsidRPr="006E0231">
        <w:rPr>
          <w:rFonts w:eastAsia="Arial Unicode MS"/>
        </w:rPr>
        <w:t xml:space="preserve">, párrafos </w:t>
      </w:r>
      <w:r w:rsidR="007D57D2" w:rsidRPr="006E0231">
        <w:rPr>
          <w:rFonts w:eastAsia="Arial Unicode MS"/>
        </w:rPr>
        <w:t>2</w:t>
      </w:r>
      <w:r w:rsidR="003552EE" w:rsidRPr="006E0231">
        <w:rPr>
          <w:rFonts w:eastAsia="Arial Unicode MS"/>
        </w:rPr>
        <w:t xml:space="preserve"> y </w:t>
      </w:r>
      <w:r w:rsidR="007D57D2" w:rsidRPr="006E0231">
        <w:rPr>
          <w:rFonts w:eastAsia="Arial Unicode MS"/>
        </w:rPr>
        <w:t>3</w:t>
      </w:r>
      <w:r w:rsidR="003552EE" w:rsidRPr="006E0231">
        <w:rPr>
          <w:rFonts w:eastAsia="Arial Unicode MS"/>
        </w:rPr>
        <w:t xml:space="preserve">, apartado </w:t>
      </w:r>
      <w:r w:rsidR="007D57D2" w:rsidRPr="006E0231">
        <w:rPr>
          <w:rFonts w:eastAsia="Arial Unicode MS"/>
        </w:rPr>
        <w:t xml:space="preserve">a), 14 y 26. </w:t>
      </w:r>
      <w:r w:rsidR="002F472A" w:rsidRPr="006E0231">
        <w:rPr>
          <w:rFonts w:eastAsia="Arial Unicode MS"/>
        </w:rPr>
        <w:t>Las</w:t>
      </w:r>
      <w:r w:rsidR="007D57D2" w:rsidRPr="006E0231">
        <w:rPr>
          <w:rFonts w:eastAsia="Arial Unicode MS"/>
        </w:rPr>
        <w:t xml:space="preserve"> sentencias del </w:t>
      </w:r>
      <w:r w:rsidR="003552EE" w:rsidRPr="006E0231">
        <w:rPr>
          <w:rFonts w:eastAsia="Arial Unicode MS"/>
        </w:rPr>
        <w:t xml:space="preserve">Tribunal Superior de Justicia de Bogotá </w:t>
      </w:r>
      <w:r w:rsidR="00F10634" w:rsidRPr="006E0231">
        <w:rPr>
          <w:rFonts w:eastAsia="Arial Unicode MS"/>
        </w:rPr>
        <w:t>son</w:t>
      </w:r>
      <w:r w:rsidR="007D57D2" w:rsidRPr="006E0231">
        <w:rPr>
          <w:rFonts w:eastAsia="Arial Unicode MS"/>
        </w:rPr>
        <w:t xml:space="preserve"> </w:t>
      </w:r>
      <w:r w:rsidR="00F10634" w:rsidRPr="006E0231">
        <w:rPr>
          <w:rFonts w:eastAsia="Arial Unicode MS"/>
        </w:rPr>
        <w:t>arbitrarias y constituyen una denegación de justicia.</w:t>
      </w:r>
    </w:p>
    <w:p w14:paraId="5AD4C1BE" w14:textId="794DE360" w:rsidR="00635088" w:rsidRPr="006E0231" w:rsidRDefault="00F10634" w:rsidP="006E0231">
      <w:pPr>
        <w:pStyle w:val="SingleTxtG"/>
        <w:rPr>
          <w:rFonts w:eastAsia="Arial Unicode MS"/>
        </w:rPr>
      </w:pPr>
      <w:r w:rsidRPr="006E0231">
        <w:rPr>
          <w:rFonts w:eastAsia="Arial Unicode MS"/>
        </w:rPr>
        <w:t>5.4</w:t>
      </w:r>
      <w:r w:rsidRPr="006E0231">
        <w:rPr>
          <w:rFonts w:eastAsia="Arial Unicode MS"/>
        </w:rPr>
        <w:tab/>
      </w:r>
      <w:r w:rsidR="00F55984" w:rsidRPr="006E0231">
        <w:rPr>
          <w:rFonts w:eastAsia="Arial Unicode MS"/>
        </w:rPr>
        <w:t>En relación con las observaciones del Estado parte sobre el abuso de</w:t>
      </w:r>
      <w:r w:rsidR="00CE71FE" w:rsidRPr="006E0231">
        <w:rPr>
          <w:rFonts w:eastAsia="Arial Unicode MS"/>
        </w:rPr>
        <w:t>l</w:t>
      </w:r>
      <w:r w:rsidR="00F55984" w:rsidRPr="006E0231">
        <w:rPr>
          <w:rFonts w:eastAsia="Arial Unicode MS"/>
        </w:rPr>
        <w:t xml:space="preserve"> derecho a presentar una comunicación, los autores sostienen que </w:t>
      </w:r>
      <w:r w:rsidR="007B7FE0" w:rsidRPr="006E0231">
        <w:rPr>
          <w:rFonts w:eastAsia="Arial Unicode MS"/>
        </w:rPr>
        <w:t>su</w:t>
      </w:r>
      <w:r w:rsidR="005B0A14" w:rsidRPr="006E0231">
        <w:rPr>
          <w:rFonts w:eastAsia="Arial Unicode MS"/>
        </w:rPr>
        <w:t xml:space="preserve"> comunicación recoge las interpretaciones previas de los derechos reconocidos en las convenciones colectivas por los tribunales del Estado parte. A este respecto, </w:t>
      </w:r>
      <w:r w:rsidR="00F55984" w:rsidRPr="006E0231">
        <w:rPr>
          <w:rFonts w:eastAsia="Arial Unicode MS"/>
        </w:rPr>
        <w:t>la convención de 1978 estableció la continuidad de derecho</w:t>
      </w:r>
      <w:r w:rsidR="007B7FE0" w:rsidRPr="006E0231">
        <w:rPr>
          <w:rFonts w:eastAsia="Arial Unicode MS"/>
        </w:rPr>
        <w:t>s</w:t>
      </w:r>
      <w:r w:rsidR="00F55984" w:rsidRPr="006E0231">
        <w:rPr>
          <w:rFonts w:eastAsia="Arial Unicode MS"/>
        </w:rPr>
        <w:t xml:space="preserve"> que no hubieran sido modificados por la misma y que, por tanto, el artículo 3 de esta convención no modificó las regulaciones establecidas en convenciones anteriores sobre la transformación de contratos a término fijo</w:t>
      </w:r>
      <w:r w:rsidR="006563E3" w:rsidRPr="00802445">
        <w:rPr>
          <w:rStyle w:val="FootnoteReference"/>
        </w:rPr>
        <w:footnoteReference w:id="12"/>
      </w:r>
      <w:r w:rsidR="00F55984" w:rsidRPr="008C3C15">
        <w:rPr>
          <w:rFonts w:eastAsia="Arial Unicode MS"/>
        </w:rPr>
        <w:t>.</w:t>
      </w:r>
      <w:r w:rsidR="00635088" w:rsidRPr="008C3C15">
        <w:rPr>
          <w:rFonts w:eastAsia="Arial Unicode MS"/>
        </w:rPr>
        <w:t xml:space="preserve"> </w:t>
      </w:r>
      <w:r w:rsidR="00F24BFA" w:rsidRPr="006E0231">
        <w:rPr>
          <w:rFonts w:eastAsia="Arial Unicode MS"/>
        </w:rPr>
        <w:t xml:space="preserve">La Constitución no condiciona la protección a los representantes sindicales a la existencia de un contrato a término indefinido. El artículo 12 de la Ley </w:t>
      </w:r>
      <w:r w:rsidR="006E0231">
        <w:rPr>
          <w:rFonts w:eastAsia="Arial Unicode MS"/>
        </w:rPr>
        <w:t xml:space="preserve">núm. </w:t>
      </w:r>
      <w:r w:rsidR="00F24BFA" w:rsidRPr="006E0231">
        <w:rPr>
          <w:rFonts w:eastAsia="Arial Unicode MS"/>
        </w:rPr>
        <w:t xml:space="preserve">584 de 2000, que modificó la definición de los trabajadores amparados por fuero sindical del artículo 406 del </w:t>
      </w:r>
      <w:r w:rsidR="00350AEC" w:rsidRPr="006E0231">
        <w:rPr>
          <w:rFonts w:eastAsia="Arial Unicode MS"/>
        </w:rPr>
        <w:t xml:space="preserve">Código Sustantivo del Trabajo </w:t>
      </w:r>
      <w:r w:rsidR="00F24BFA" w:rsidRPr="006E0231">
        <w:rPr>
          <w:rFonts w:eastAsia="Arial Unicode MS"/>
        </w:rPr>
        <w:t xml:space="preserve">no </w:t>
      </w:r>
      <w:r w:rsidR="00AB7DE6" w:rsidRPr="006E0231">
        <w:rPr>
          <w:rFonts w:eastAsia="Arial Unicode MS"/>
        </w:rPr>
        <w:t>excluye</w:t>
      </w:r>
      <w:r w:rsidR="00F24BFA" w:rsidRPr="006E0231">
        <w:rPr>
          <w:rFonts w:eastAsia="Arial Unicode MS"/>
        </w:rPr>
        <w:t xml:space="preserve"> a los trabajadores con contrato a término fijo. </w:t>
      </w:r>
      <w:r w:rsidR="00635088" w:rsidRPr="006E0231">
        <w:rPr>
          <w:rFonts w:eastAsia="Arial Unicode MS"/>
        </w:rPr>
        <w:t>Por otra parte, su comunicación no fue presentada al Comité de forma extemporánea sino aproximadamente dos años después de las ú</w:t>
      </w:r>
      <w:r w:rsidR="00585786" w:rsidRPr="006E0231">
        <w:rPr>
          <w:rFonts w:eastAsia="Arial Unicode MS"/>
        </w:rPr>
        <w:t>ltimas decisiones de los tribunales del</w:t>
      </w:r>
      <w:r w:rsidR="00635088" w:rsidRPr="006E0231">
        <w:rPr>
          <w:rFonts w:eastAsia="Arial Unicode MS"/>
        </w:rPr>
        <w:t xml:space="preserve"> Estado parte.</w:t>
      </w:r>
    </w:p>
    <w:p w14:paraId="2F1975DC" w14:textId="5E82E474" w:rsidR="00D016FB" w:rsidRPr="006E0231" w:rsidRDefault="00635088" w:rsidP="006E0231">
      <w:pPr>
        <w:pStyle w:val="SingleTxtG"/>
        <w:rPr>
          <w:rFonts w:eastAsia="Arial Unicode MS"/>
        </w:rPr>
      </w:pPr>
      <w:r w:rsidRPr="006E0231">
        <w:rPr>
          <w:rFonts w:eastAsia="Arial Unicode MS"/>
        </w:rPr>
        <w:t>5.5</w:t>
      </w:r>
      <w:r w:rsidRPr="006E0231">
        <w:rPr>
          <w:rFonts w:eastAsia="Arial Unicode MS"/>
        </w:rPr>
        <w:tab/>
        <w:t>Los autores alegan haber agotado todos los recursos internos disponibles</w:t>
      </w:r>
      <w:r w:rsidR="00861C59" w:rsidRPr="006E0231">
        <w:rPr>
          <w:rFonts w:eastAsia="Arial Unicode MS"/>
        </w:rPr>
        <w:t xml:space="preserve"> y que la negociación colectiva no es parte de los recursos internos a los que se refiere el artículo 5</w:t>
      </w:r>
      <w:r w:rsidR="00B162E0" w:rsidRPr="006E0231">
        <w:rPr>
          <w:rFonts w:eastAsia="Arial Unicode MS"/>
        </w:rPr>
        <w:t xml:space="preserve">, párrafo </w:t>
      </w:r>
      <w:r w:rsidR="00861C59" w:rsidRPr="006E0231">
        <w:rPr>
          <w:rFonts w:eastAsia="Arial Unicode MS"/>
        </w:rPr>
        <w:t>2</w:t>
      </w:r>
      <w:r w:rsidR="00B162E0" w:rsidRPr="006E0231">
        <w:rPr>
          <w:rFonts w:eastAsia="Arial Unicode MS"/>
        </w:rPr>
        <w:t xml:space="preserve">, apartado </w:t>
      </w:r>
      <w:r w:rsidR="00861C59" w:rsidRPr="006E0231">
        <w:rPr>
          <w:rFonts w:eastAsia="Arial Unicode MS"/>
        </w:rPr>
        <w:t>b)</w:t>
      </w:r>
      <w:r w:rsidR="00B162E0" w:rsidRPr="006E0231">
        <w:rPr>
          <w:rFonts w:eastAsia="Arial Unicode MS"/>
        </w:rPr>
        <w:t>,</w:t>
      </w:r>
      <w:r w:rsidR="00861C59" w:rsidRPr="006E0231">
        <w:rPr>
          <w:rFonts w:eastAsia="Arial Unicode MS"/>
        </w:rPr>
        <w:t xml:space="preserve"> del Protocolo Facultativo</w:t>
      </w:r>
      <w:r w:rsidRPr="006E0231">
        <w:rPr>
          <w:rFonts w:eastAsia="Arial Unicode MS"/>
        </w:rPr>
        <w:t xml:space="preserve">. Las violaciones al fuero sindical pueden ser demandadas ante la justicia ordinaria. La sentencia de primera instancia puede ser apelada y posteriormente no procede el recurso extraordinario de casación. Adicionalmente, </w:t>
      </w:r>
      <w:r w:rsidR="00A0013D" w:rsidRPr="006E0231">
        <w:rPr>
          <w:rFonts w:eastAsia="Arial Unicode MS"/>
        </w:rPr>
        <w:t xml:space="preserve">existe </w:t>
      </w:r>
      <w:r w:rsidRPr="006E0231">
        <w:rPr>
          <w:rFonts w:eastAsia="Arial Unicode MS"/>
        </w:rPr>
        <w:t>la posibilidad de presentar una acció</w:t>
      </w:r>
      <w:r w:rsidR="00A0013D" w:rsidRPr="006E0231">
        <w:rPr>
          <w:rFonts w:eastAsia="Arial Unicode MS"/>
        </w:rPr>
        <w:t>n de tutela (recurso de amparo). Sin embargo, e</w:t>
      </w:r>
      <w:r w:rsidRPr="006E0231">
        <w:rPr>
          <w:rFonts w:eastAsia="Arial Unicode MS"/>
        </w:rPr>
        <w:t xml:space="preserve">n el Estado parte esta acción es residual y subsidiaria, y sólo procede cuando no existe otro recurso judicial para garantizar derechos constitucionales. En principio, la acción de tutela no procede contra </w:t>
      </w:r>
      <w:r w:rsidR="00CA5DA9" w:rsidRPr="006E0231">
        <w:rPr>
          <w:rFonts w:eastAsia="Arial Unicode MS"/>
        </w:rPr>
        <w:t xml:space="preserve">sentencias judiciales, excepto cuando </w:t>
      </w:r>
      <w:r w:rsidR="00EA4098" w:rsidRPr="006E0231">
        <w:rPr>
          <w:rFonts w:eastAsia="Arial Unicode MS"/>
        </w:rPr>
        <w:t xml:space="preserve">la sentencia incurre en una vía de hecho. Las decisiones de los tribunales sobre acciones de tutela se remiten a la Corte Constitucional, la que puede escoger decisiones para su revisión y para unificar la jurisprudencia constitucional. A pesar que la acción de tutela es un recurso extraordinario facultativo, los autores presentaron esta acción ante la </w:t>
      </w:r>
      <w:r w:rsidR="00BC6939" w:rsidRPr="006E0231">
        <w:rPr>
          <w:rFonts w:eastAsia="Arial Unicode MS"/>
        </w:rPr>
        <w:t>Corte Suprema de Justicia</w:t>
      </w:r>
      <w:r w:rsidR="00EA4098" w:rsidRPr="006E0231">
        <w:rPr>
          <w:rFonts w:eastAsia="Arial Unicode MS"/>
        </w:rPr>
        <w:t>. Sin embargo, la</w:t>
      </w:r>
      <w:r w:rsidR="00A0013D" w:rsidRPr="006E0231">
        <w:rPr>
          <w:rFonts w:eastAsia="Arial Unicode MS"/>
        </w:rPr>
        <w:t xml:space="preserve">s mismas fueron desestimadas </w:t>
      </w:r>
      <w:r w:rsidR="00EA4098" w:rsidRPr="006E0231">
        <w:rPr>
          <w:rFonts w:eastAsia="Arial Unicode MS"/>
        </w:rPr>
        <w:t>por la Corte</w:t>
      </w:r>
      <w:r w:rsidR="00A0013D" w:rsidRPr="006E0231">
        <w:rPr>
          <w:rFonts w:eastAsia="Arial Unicode MS"/>
        </w:rPr>
        <w:t>, en seguimiento de su jurisprudencia que establece</w:t>
      </w:r>
      <w:r w:rsidR="00EA4098" w:rsidRPr="006E0231">
        <w:rPr>
          <w:rFonts w:eastAsia="Arial Unicode MS"/>
        </w:rPr>
        <w:t xml:space="preserve"> que son improcedentes las acciones de tutela contra sentencias judiciales. La Corte Constitucional tampoco las seleccionó para revisión.</w:t>
      </w:r>
    </w:p>
    <w:p w14:paraId="7ECB389B" w14:textId="259B9443" w:rsidR="00732B7F" w:rsidRPr="006E0231" w:rsidRDefault="00861C59" w:rsidP="006E0231">
      <w:pPr>
        <w:pStyle w:val="SingleTxtG"/>
        <w:rPr>
          <w:rFonts w:eastAsia="Arial Unicode MS"/>
        </w:rPr>
      </w:pPr>
      <w:r w:rsidRPr="006E0231">
        <w:rPr>
          <w:rFonts w:eastAsia="Arial Unicode MS"/>
        </w:rPr>
        <w:t>5.6</w:t>
      </w:r>
      <w:r w:rsidRPr="006E0231">
        <w:rPr>
          <w:rFonts w:eastAsia="Arial Unicode MS"/>
        </w:rPr>
        <w:tab/>
      </w:r>
      <w:r w:rsidR="00676221" w:rsidRPr="006E0231">
        <w:rPr>
          <w:rFonts w:eastAsia="Arial Unicode MS"/>
        </w:rPr>
        <w:t>En relación con el principio de estabilidad laboral establecido en el artículo 53 de la Constitución, la Corte Constitucional ha señalado que</w:t>
      </w:r>
      <w:r w:rsidR="00C357AC" w:rsidRPr="006E0231">
        <w:rPr>
          <w:rFonts w:eastAsia="Arial Unicode MS"/>
        </w:rPr>
        <w:t>, en determinadas circunstancias,</w:t>
      </w:r>
      <w:r w:rsidR="00676221" w:rsidRPr="006E0231">
        <w:rPr>
          <w:rFonts w:eastAsia="Arial Unicode MS"/>
        </w:rPr>
        <w:t xml:space="preserve"> “</w:t>
      </w:r>
      <w:r w:rsidR="00676221" w:rsidRPr="006E0231">
        <w:t xml:space="preserve">el sólo vencimiento del plazo inicialmente pactado, producto del acuerdo de voluntades, no basta para legitimar la decisión del patrono de no renovar el </w:t>
      </w:r>
      <w:r w:rsidR="001716DC" w:rsidRPr="006E0231">
        <w:t>contrato</w:t>
      </w:r>
      <w:r w:rsidR="004B5C26" w:rsidRPr="006E0231">
        <w:t>”</w:t>
      </w:r>
      <w:r w:rsidR="006563E3" w:rsidRPr="008C3C15">
        <w:rPr>
          <w:rStyle w:val="FootnoteReference"/>
        </w:rPr>
        <w:footnoteReference w:id="13"/>
      </w:r>
      <w:r w:rsidR="009D712E" w:rsidRPr="008C3C15">
        <w:t>.</w:t>
      </w:r>
      <w:r w:rsidR="00732B7F" w:rsidRPr="006E0231">
        <w:t xml:space="preserve"> Por otra parte, en relación con el fuero sindical establecido en el artículo 405 del </w:t>
      </w:r>
      <w:r w:rsidR="00350AEC" w:rsidRPr="006E0231">
        <w:rPr>
          <w:rFonts w:eastAsia="Arial Unicode MS"/>
        </w:rPr>
        <w:t>Código Sustantivo del Trabajo</w:t>
      </w:r>
      <w:r w:rsidR="00732B7F" w:rsidRPr="006E0231">
        <w:t>, la Corte Constitucional estableció</w:t>
      </w:r>
      <w:r w:rsidR="00C357AC" w:rsidRPr="006E0231">
        <w:t>, en general,</w:t>
      </w:r>
      <w:r w:rsidR="00732B7F" w:rsidRPr="006E0231">
        <w:t xml:space="preserve"> que “el empleador debe demostrar que existe una justa causa para el despido y debe someter la calificación de esta justa causa a la autorización previa del juez laboral. Si este requisito no se cumple, los empleados y trabajadores que gozan de amparo foral podrán solicitar su reintegro y podrán exigir, de igual manera, el pago de las acreencias laborales dejadas de percibir desde el momento mismo del despido</w:t>
      </w:r>
      <w:r w:rsidR="004C7A3D" w:rsidRPr="006E0231">
        <w:t>”</w:t>
      </w:r>
      <w:r w:rsidR="006563E3" w:rsidRPr="008C3C15">
        <w:rPr>
          <w:rStyle w:val="FootnoteReference"/>
        </w:rPr>
        <w:footnoteReference w:id="14"/>
      </w:r>
      <w:r w:rsidR="00611FDA" w:rsidRPr="006E0231">
        <w:t>.</w:t>
      </w:r>
    </w:p>
    <w:p w14:paraId="5547A1A5" w14:textId="77777777" w:rsidR="00080A30" w:rsidRPr="006E0231" w:rsidRDefault="00C83CEA" w:rsidP="006E0231">
      <w:pPr>
        <w:pStyle w:val="H23G"/>
      </w:pPr>
      <w:r w:rsidRPr="006E0231">
        <w:tab/>
      </w:r>
      <w:r w:rsidR="00080A30" w:rsidRPr="006E0231">
        <w:tab/>
        <w:t>Observaciones del Estado parte sobre el fondo</w:t>
      </w:r>
    </w:p>
    <w:p w14:paraId="38112337" w14:textId="5C938E8D" w:rsidR="003639BD" w:rsidRPr="006E0231" w:rsidRDefault="00080A30" w:rsidP="006E0231">
      <w:pPr>
        <w:pStyle w:val="SingleTxtG"/>
      </w:pPr>
      <w:r w:rsidRPr="006E0231">
        <w:t>6.1</w:t>
      </w:r>
      <w:r w:rsidRPr="006E0231">
        <w:tab/>
        <w:t xml:space="preserve">El </w:t>
      </w:r>
      <w:r w:rsidR="003442DE" w:rsidRPr="006E0231">
        <w:t xml:space="preserve">2 de mayo de 2014, </w:t>
      </w:r>
      <w:r w:rsidRPr="006E0231">
        <w:t>el Estado parte presentó sus observaciones en cuanto al fondo</w:t>
      </w:r>
      <w:r w:rsidR="003442DE" w:rsidRPr="006E0231">
        <w:t xml:space="preserve"> de la comunicación</w:t>
      </w:r>
      <w:r w:rsidRPr="006E0231">
        <w:t xml:space="preserve">. </w:t>
      </w:r>
      <w:r w:rsidR="008C688A" w:rsidRPr="006E0231">
        <w:t xml:space="preserve">El Estado parte reitera </w:t>
      </w:r>
      <w:r w:rsidR="00682C0D" w:rsidRPr="006E0231">
        <w:t xml:space="preserve">que la </w:t>
      </w:r>
      <w:r w:rsidR="008C688A" w:rsidRPr="006E0231">
        <w:t>comuni</w:t>
      </w:r>
      <w:r w:rsidR="00301EE4" w:rsidRPr="006E0231">
        <w:t xml:space="preserve">cación </w:t>
      </w:r>
      <w:r w:rsidR="00682C0D" w:rsidRPr="006E0231">
        <w:t>es</w:t>
      </w:r>
      <w:r w:rsidR="00301EE4" w:rsidRPr="006E0231">
        <w:t xml:space="preserve"> inadmisible</w:t>
      </w:r>
      <w:r w:rsidR="008C688A" w:rsidRPr="006E0231">
        <w:t>.</w:t>
      </w:r>
    </w:p>
    <w:p w14:paraId="0480BA85" w14:textId="172E1863" w:rsidR="00DD79DD" w:rsidRPr="006E0231" w:rsidRDefault="003639BD" w:rsidP="006E0231">
      <w:pPr>
        <w:pStyle w:val="SingleTxtG"/>
      </w:pPr>
      <w:r w:rsidRPr="006E0231">
        <w:t>6.2</w:t>
      </w:r>
      <w:r w:rsidRPr="006E0231">
        <w:tab/>
        <w:t xml:space="preserve">Los autores contaron con acceso efectivo a los tribunales, </w:t>
      </w:r>
      <w:r w:rsidR="005C3E8E" w:rsidRPr="006E0231">
        <w:t>a través de demandas de reintegro sindical contra la Federación, las que fueron examinadas en dos instancias</w:t>
      </w:r>
      <w:r w:rsidR="00191E7D" w:rsidRPr="006E0231">
        <w:t>,</w:t>
      </w:r>
      <w:r w:rsidR="005C3E8E" w:rsidRPr="006E0231">
        <w:t xml:space="preserve"> en observancia del debido proceso. </w:t>
      </w:r>
      <w:r w:rsidR="00191E7D" w:rsidRPr="006E0231">
        <w:t xml:space="preserve">Sin embargo, el acceso a la justicia no implica que la decisión que tome el juez deba coincidir con las pretensiones de una de las partes. En el caso de los autores, </w:t>
      </w:r>
      <w:r w:rsidR="00DD79DD" w:rsidRPr="006E0231">
        <w:t>los tribunales</w:t>
      </w:r>
      <w:r w:rsidR="00191E7D" w:rsidRPr="006E0231">
        <w:t xml:space="preserve"> concluyeron que ellos</w:t>
      </w:r>
      <w:r w:rsidR="008C688A" w:rsidRPr="006E0231">
        <w:t xml:space="preserve"> contaban con contratos a término fijo que expiraron por</w:t>
      </w:r>
      <w:r w:rsidRPr="006E0231">
        <w:t xml:space="preserve"> </w:t>
      </w:r>
      <w:r w:rsidR="00191E7D" w:rsidRPr="006E0231">
        <w:t>cumplimiento del plazo pactado; que</w:t>
      </w:r>
      <w:r w:rsidRPr="006E0231">
        <w:t>, como lo demostró la Federación en los procesos j</w:t>
      </w:r>
      <w:r w:rsidR="00191E7D" w:rsidRPr="006E0231">
        <w:t>udiciales, no fueron despedidos; y que, por tanto,</w:t>
      </w:r>
      <w:r w:rsidRPr="006E0231">
        <w:t xml:space="preserve"> </w:t>
      </w:r>
      <w:r w:rsidR="00DD79DD" w:rsidRPr="006E0231">
        <w:t xml:space="preserve">el hecho </w:t>
      </w:r>
      <w:r w:rsidR="005C3E8E" w:rsidRPr="006E0231">
        <w:t xml:space="preserve">de </w:t>
      </w:r>
      <w:r w:rsidR="00DD79DD" w:rsidRPr="006E0231">
        <w:t>que los autores tuvieran fuero sindical no afectaba esta situación.</w:t>
      </w:r>
    </w:p>
    <w:p w14:paraId="59802302" w14:textId="46370D96" w:rsidR="003442DE" w:rsidRPr="006E0231" w:rsidRDefault="00DD79DD" w:rsidP="006E0231">
      <w:pPr>
        <w:pStyle w:val="SingleTxtG"/>
      </w:pPr>
      <w:r w:rsidRPr="006E0231">
        <w:t>6.3</w:t>
      </w:r>
      <w:r w:rsidRPr="006E0231">
        <w:tab/>
        <w:t>Los tribunales no violaron el derecho de los autores a la igualdad ante la ley y los tribunales debido a que no es posible relacionar la legislación y jurisprudencia relativas a casos en los cuales efectivamente se da un despido de trabajadores aforados por parte de un emplea</w:t>
      </w:r>
      <w:r w:rsidR="00191E7D" w:rsidRPr="006E0231">
        <w:t>dor, toda vez que el elemento fá</w:t>
      </w:r>
      <w:r w:rsidRPr="006E0231">
        <w:t>ctico que alegaron los autores, es decir, el presunto despido no aconteció</w:t>
      </w:r>
      <w:r w:rsidRPr="008C3C15">
        <w:t>.</w:t>
      </w:r>
    </w:p>
    <w:p w14:paraId="23CBE164" w14:textId="49111FEA" w:rsidR="00DD79DD" w:rsidRPr="006E0231" w:rsidRDefault="00DD79DD" w:rsidP="006E0231">
      <w:pPr>
        <w:pStyle w:val="SingleTxtG"/>
      </w:pPr>
      <w:r w:rsidRPr="006E0231">
        <w:t>6.4</w:t>
      </w:r>
      <w:r w:rsidRPr="006E0231">
        <w:tab/>
        <w:t xml:space="preserve">Con relación </w:t>
      </w:r>
      <w:r w:rsidR="00D87B76" w:rsidRPr="006E0231">
        <w:t>a</w:t>
      </w:r>
      <w:r w:rsidRPr="006E0231">
        <w:t>l artículo 22 del Pacto, el Estado parte mantiene que los tribunales reconocieron que los autores tenían derecho de asociarse a sindicatos y, en particular, a</w:t>
      </w:r>
      <w:r w:rsidR="00C54819" w:rsidRPr="006E0231">
        <w:t>l</w:t>
      </w:r>
      <w:r w:rsidRPr="006E0231">
        <w:t xml:space="preserve"> fuero sindical</w:t>
      </w:r>
      <w:r w:rsidR="00422345" w:rsidRPr="006E0231">
        <w:t xml:space="preserve">. Sin embargo, los tribunales concluyeron que el hecho que los autores tuvieran fuero sindical, no cambiaba ni afectaba la situación de que la Federación estuviera facultada para desvincularlos por expiración del término fijo pactado en los contratos de trabajo, de acuerdo a </w:t>
      </w:r>
      <w:r w:rsidR="00C54819" w:rsidRPr="006E0231">
        <w:t xml:space="preserve">la </w:t>
      </w:r>
      <w:r w:rsidR="00422345" w:rsidRPr="006E0231">
        <w:t>ley.</w:t>
      </w:r>
    </w:p>
    <w:p w14:paraId="5F926EC0" w14:textId="37B16515" w:rsidR="003442DE" w:rsidRPr="006E0231" w:rsidRDefault="00D87B76" w:rsidP="006E0231">
      <w:pPr>
        <w:pStyle w:val="SingleTxtG"/>
      </w:pPr>
      <w:r w:rsidRPr="006E0231">
        <w:t>6.5</w:t>
      </w:r>
      <w:r w:rsidR="003A5152" w:rsidRPr="006E0231">
        <w:tab/>
        <w:t>El Estado parte sostiene que la comunicación también es inadmisible debido a que el mismo asunto ya ha sido sometido a otro procedimiento de examen internacional</w:t>
      </w:r>
      <w:r w:rsidR="00B418A2" w:rsidRPr="006E0231">
        <w:t>, toda vez que</w:t>
      </w:r>
      <w:r w:rsidR="005519E7" w:rsidRPr="006E0231">
        <w:t xml:space="preserve"> el asunto está</w:t>
      </w:r>
      <w:r w:rsidR="00DB00A0" w:rsidRPr="006E0231">
        <w:t xml:space="preserve"> sometido ante la Comisión Especial de Tratamiento de Conflictos ante la OIT (CETCOIT)</w:t>
      </w:r>
      <w:r w:rsidR="006563E3" w:rsidRPr="008C3C15">
        <w:rPr>
          <w:rStyle w:val="FootnoteReference"/>
        </w:rPr>
        <w:footnoteReference w:id="15"/>
      </w:r>
      <w:r w:rsidR="00DB00A0" w:rsidRPr="008C3C15">
        <w:t xml:space="preserve">. </w:t>
      </w:r>
      <w:r w:rsidR="00733F12" w:rsidRPr="008C3C15">
        <w:t xml:space="preserve">Los días </w:t>
      </w:r>
      <w:r w:rsidR="003A5152" w:rsidRPr="006E0231">
        <w:t xml:space="preserve">13 de agosto, 1 y 22 de septiembre de 2011, SINTRAFEC presentó </w:t>
      </w:r>
      <w:r w:rsidR="00564FDC" w:rsidRPr="006E0231">
        <w:t>comunicaciones</w:t>
      </w:r>
      <w:r w:rsidR="003A5152" w:rsidRPr="006E0231">
        <w:t xml:space="preserve"> ante </w:t>
      </w:r>
      <w:r w:rsidR="005C3809" w:rsidRPr="006E0231">
        <w:t>la OIT</w:t>
      </w:r>
      <w:r w:rsidR="003A5152" w:rsidRPr="006E0231">
        <w:t xml:space="preserve"> por presuntas </w:t>
      </w:r>
      <w:r w:rsidR="00564FDC" w:rsidRPr="006E0231">
        <w:t xml:space="preserve">políticas de la Federación que constituían </w:t>
      </w:r>
      <w:r w:rsidR="003A5152" w:rsidRPr="006E0231">
        <w:t xml:space="preserve">violaciones </w:t>
      </w:r>
      <w:r w:rsidR="000E09F2" w:rsidRPr="006E0231">
        <w:t>a</w:t>
      </w:r>
      <w:r w:rsidR="003A5152" w:rsidRPr="006E0231">
        <w:t xml:space="preserve"> la libertad sindical</w:t>
      </w:r>
      <w:r w:rsidR="00564FDC" w:rsidRPr="006E0231">
        <w:t xml:space="preserve">, </w:t>
      </w:r>
      <w:r w:rsidR="005519E7" w:rsidRPr="006E0231">
        <w:t xml:space="preserve">incluyendo la alegación de </w:t>
      </w:r>
      <w:r w:rsidR="00564FDC" w:rsidRPr="006E0231">
        <w:t>que se hab</w:t>
      </w:r>
      <w:r w:rsidR="005C3809" w:rsidRPr="006E0231">
        <w:t>ía</w:t>
      </w:r>
      <w:r w:rsidR="00564FDC" w:rsidRPr="006E0231">
        <w:t xml:space="preserve"> despedido a 26 trabajadores con fuero sindical,</w:t>
      </w:r>
      <w:r w:rsidR="003A5152" w:rsidRPr="006E0231">
        <w:t xml:space="preserve"> entre los que se encontraban los autores</w:t>
      </w:r>
      <w:r w:rsidR="00F70447" w:rsidRPr="008C3C15">
        <w:rPr>
          <w:rStyle w:val="FootnoteReference"/>
        </w:rPr>
        <w:footnoteReference w:id="16"/>
      </w:r>
      <w:r w:rsidR="003A5152" w:rsidRPr="008C3C15">
        <w:t xml:space="preserve">. </w:t>
      </w:r>
      <w:r w:rsidR="005C3809" w:rsidRPr="008C3C15">
        <w:t xml:space="preserve">El 25 de enero de 2012, la OIT informó al Estado parte sobre las comunicaciones. </w:t>
      </w:r>
      <w:r w:rsidR="00532292" w:rsidRPr="006E0231">
        <w:t xml:space="preserve">Entre febrero y noviembre de 2012, </w:t>
      </w:r>
      <w:r w:rsidR="005C3809" w:rsidRPr="006E0231">
        <w:t>la CETCOIT tomó conocimiento de las comunicaciones</w:t>
      </w:r>
      <w:r w:rsidR="00A368BD" w:rsidRPr="006E0231">
        <w:t>. En este marco,</w:t>
      </w:r>
      <w:r w:rsidR="005C3809" w:rsidRPr="006E0231">
        <w:t xml:space="preserve"> </w:t>
      </w:r>
      <w:r w:rsidR="005519E7" w:rsidRPr="006E0231">
        <w:t xml:space="preserve">el 28 de junio de 2012 </w:t>
      </w:r>
      <w:r w:rsidR="00532292" w:rsidRPr="006E0231">
        <w:t>SINTRAFEC, A</w:t>
      </w:r>
      <w:r w:rsidR="003165C3" w:rsidRPr="006E0231">
        <w:t xml:space="preserve">lmacafé </w:t>
      </w:r>
      <w:r w:rsidR="00532292" w:rsidRPr="006E0231">
        <w:t>y la Federación</w:t>
      </w:r>
      <w:r w:rsidR="005519E7" w:rsidRPr="006E0231">
        <w:t xml:space="preserve"> acordaron instalar una mesa de concertación</w:t>
      </w:r>
      <w:r w:rsidR="00532292" w:rsidRPr="006E0231">
        <w:t xml:space="preserve">. El 26 de noviembre de 2012, SINTRAFEC informó a la CETCOIT su intención de no continuar con el </w:t>
      </w:r>
      <w:r w:rsidR="005519E7" w:rsidRPr="006E0231">
        <w:t>trámite</w:t>
      </w:r>
      <w:r w:rsidR="00532292" w:rsidRPr="006E0231">
        <w:t xml:space="preserve"> de </w:t>
      </w:r>
      <w:r w:rsidR="005519E7" w:rsidRPr="006E0231">
        <w:t>los asuntos denunciados ante la misma</w:t>
      </w:r>
      <w:r w:rsidR="00532292" w:rsidRPr="006E0231">
        <w:t>. El 26 de diciembre de 2012, la Federación tomó nota de la posición de SINTRAFEC e informó a la CETCOIT que quedaban a la espera de su intervención para continuar con el proceso de diálogo con SINTRAFEC. En este contexto, el Estado parte afirma que a la fecha no ha habido ningún pronunciamiento de ninguna instancia de la OIT ni de la propia CE</w:t>
      </w:r>
      <w:r w:rsidR="009428F9" w:rsidRPr="006E0231">
        <w:t>T</w:t>
      </w:r>
      <w:r w:rsidR="00532292" w:rsidRPr="006E0231">
        <w:t>COIT que admita el retiro de la</w:t>
      </w:r>
      <w:r w:rsidR="005C3809" w:rsidRPr="006E0231">
        <w:t>s</w:t>
      </w:r>
      <w:r w:rsidR="00532292" w:rsidRPr="006E0231">
        <w:t xml:space="preserve"> </w:t>
      </w:r>
      <w:r w:rsidR="005C3809" w:rsidRPr="006E0231">
        <w:t>comunicaciones</w:t>
      </w:r>
      <w:r w:rsidR="00532292" w:rsidRPr="006E0231">
        <w:t xml:space="preserve"> por lo que debe entenderse que la</w:t>
      </w:r>
      <w:r w:rsidR="005C3809" w:rsidRPr="006E0231">
        <w:t>s</w:t>
      </w:r>
      <w:r w:rsidR="00532292" w:rsidRPr="006E0231">
        <w:t xml:space="preserve"> </w:t>
      </w:r>
      <w:r w:rsidR="005C3809" w:rsidRPr="006E0231">
        <w:t>mismas</w:t>
      </w:r>
      <w:r w:rsidR="00564FDC" w:rsidRPr="006E0231">
        <w:t xml:space="preserve"> </w:t>
      </w:r>
      <w:r w:rsidR="00532292" w:rsidRPr="006E0231">
        <w:t>sigue</w:t>
      </w:r>
      <w:r w:rsidR="005C3809" w:rsidRPr="006E0231">
        <w:t>n</w:t>
      </w:r>
      <w:r w:rsidR="00532292" w:rsidRPr="006E0231">
        <w:t xml:space="preserve"> sometida</w:t>
      </w:r>
      <w:r w:rsidR="005C3809" w:rsidRPr="006E0231">
        <w:t>s</w:t>
      </w:r>
      <w:r w:rsidR="00532292" w:rsidRPr="006E0231">
        <w:t xml:space="preserve"> a la OIT.</w:t>
      </w:r>
    </w:p>
    <w:p w14:paraId="0FAFA926" w14:textId="2B7FAB39" w:rsidR="00080A30" w:rsidRPr="006E0231" w:rsidRDefault="00CE52EE" w:rsidP="006E0231">
      <w:pPr>
        <w:pStyle w:val="H23G"/>
      </w:pPr>
      <w:r w:rsidRPr="006E0231">
        <w:tab/>
      </w:r>
      <w:r w:rsidR="00080A30" w:rsidRPr="006E0231">
        <w:tab/>
      </w:r>
      <w:r w:rsidR="00DE3E86" w:rsidRPr="006E0231">
        <w:t>Comentarios de los autores</w:t>
      </w:r>
      <w:r w:rsidR="00080A30" w:rsidRPr="006E0231">
        <w:t xml:space="preserve"> sobre las observaciones del Estado parte</w:t>
      </w:r>
    </w:p>
    <w:p w14:paraId="60F8D1C6" w14:textId="77777777" w:rsidR="00A94647" w:rsidRPr="006E0231" w:rsidRDefault="00080A30" w:rsidP="006E0231">
      <w:pPr>
        <w:pStyle w:val="SingleTxtG"/>
      </w:pPr>
      <w:r w:rsidRPr="006E0231">
        <w:t>7.1</w:t>
      </w:r>
      <w:r w:rsidRPr="006E0231">
        <w:tab/>
        <w:t xml:space="preserve">El </w:t>
      </w:r>
      <w:r w:rsidR="00FF3CBA" w:rsidRPr="006E0231">
        <w:t>12 de julio de 2014</w:t>
      </w:r>
      <w:r w:rsidR="00DE3E86" w:rsidRPr="006E0231">
        <w:t>,</w:t>
      </w:r>
      <w:r w:rsidRPr="006E0231">
        <w:t xml:space="preserve"> </w:t>
      </w:r>
      <w:r w:rsidR="00DE3E86" w:rsidRPr="006E0231">
        <w:t>los autores presentaron sus comentarios sobre las observaciones del Estado parte acerca del fondo</w:t>
      </w:r>
      <w:r w:rsidR="00A94647" w:rsidRPr="006E0231">
        <w:t xml:space="preserve"> de la comunicación</w:t>
      </w:r>
      <w:r w:rsidR="00DE3E86" w:rsidRPr="006E0231">
        <w:t>.</w:t>
      </w:r>
    </w:p>
    <w:p w14:paraId="449470E5" w14:textId="1CA5BEC0" w:rsidR="009415DC" w:rsidRPr="006E0231" w:rsidRDefault="00A94647" w:rsidP="006E0231">
      <w:pPr>
        <w:pStyle w:val="SingleTxtG"/>
      </w:pPr>
      <w:r w:rsidRPr="006E0231">
        <w:t>7.2</w:t>
      </w:r>
      <w:r w:rsidRPr="006E0231">
        <w:tab/>
        <w:t xml:space="preserve">Los autores reiteran que como resultado de las decisiones del </w:t>
      </w:r>
      <w:r w:rsidR="00E1180E" w:rsidRPr="006E0231">
        <w:rPr>
          <w:rFonts w:eastAsia="Arial Unicode MS"/>
        </w:rPr>
        <w:t>Tribunal Superior de Justicia de Bogotá</w:t>
      </w:r>
      <w:r w:rsidRPr="006E0231">
        <w:t xml:space="preserve">, que desestimaron sus demandas de reintegro, el Estado parte violó los derechos a la libertad de asociación y debido proceso, reconocidos en los artículos 22 y 14 del Pacto. </w:t>
      </w:r>
      <w:r w:rsidR="00B418A2" w:rsidRPr="006E0231">
        <w:t>Los</w:t>
      </w:r>
      <w:r w:rsidR="00090563" w:rsidRPr="006E0231">
        <w:t xml:space="preserve"> </w:t>
      </w:r>
      <w:r w:rsidR="00636869" w:rsidRPr="006E0231">
        <w:t>tribunales</w:t>
      </w:r>
      <w:r w:rsidR="00090563" w:rsidRPr="006E0231">
        <w:t xml:space="preserve"> se pronunciaron en forma contradictoria, pues no obstante que reconocen </w:t>
      </w:r>
      <w:r w:rsidR="00636869" w:rsidRPr="006E0231">
        <w:t xml:space="preserve">que </w:t>
      </w:r>
      <w:r w:rsidR="00B418A2" w:rsidRPr="006E0231">
        <w:t xml:space="preserve">los autores </w:t>
      </w:r>
      <w:r w:rsidR="00636869" w:rsidRPr="006E0231">
        <w:t>tenían derecho al</w:t>
      </w:r>
      <w:r w:rsidR="00090563" w:rsidRPr="006E0231">
        <w:t xml:space="preserve"> fuero sindical, omitieron pronunciarse sobre las consecuencias del despido o terminación de los contratos. Por tanto, el Estado parte incurrió en violación del debido proceso, denegación de justicia y violación del derecho de asociación en su dimensión individual.</w:t>
      </w:r>
    </w:p>
    <w:p w14:paraId="0DBBE47A" w14:textId="154CD5FE" w:rsidR="00215045" w:rsidRPr="006E0231" w:rsidRDefault="009415DC" w:rsidP="006E0231">
      <w:pPr>
        <w:pStyle w:val="SingleTxtG"/>
        <w:rPr>
          <w:rFonts w:eastAsia="Arial Unicode MS"/>
        </w:rPr>
      </w:pPr>
      <w:r w:rsidRPr="006E0231">
        <w:t>7.3</w:t>
      </w:r>
      <w:r w:rsidRPr="006E0231">
        <w:tab/>
      </w:r>
      <w:r w:rsidR="00215045" w:rsidRPr="006E0231">
        <w:rPr>
          <w:rFonts w:eastAsia="Arial Unicode MS"/>
        </w:rPr>
        <w:t xml:space="preserve">Los autores resaltan que el Estado parte no presentó observaciones con relación a su alegación sobre violación al derecho a la igualdad ante la ley debido a la sentencia del </w:t>
      </w:r>
      <w:r w:rsidR="00E1180E" w:rsidRPr="006E0231">
        <w:rPr>
          <w:rFonts w:eastAsia="Arial Unicode MS"/>
        </w:rPr>
        <w:t xml:space="preserve">Tribunal Superior de Justicia de Bogotá </w:t>
      </w:r>
      <w:r w:rsidR="00215045" w:rsidRPr="006E0231">
        <w:rPr>
          <w:rFonts w:eastAsia="Arial Unicode MS"/>
        </w:rPr>
        <w:t>en el caso de</w:t>
      </w:r>
      <w:r w:rsidR="00DD7F0D" w:rsidRPr="006E0231">
        <w:rPr>
          <w:rFonts w:eastAsia="Arial Unicode MS"/>
        </w:rPr>
        <w:t xml:space="preserve"> </w:t>
      </w:r>
      <w:r w:rsidR="00215045" w:rsidRPr="006E0231">
        <w:rPr>
          <w:rFonts w:eastAsia="Arial Unicode MS"/>
        </w:rPr>
        <w:t>J.</w:t>
      </w:r>
      <w:r w:rsidR="009E2CE0">
        <w:rPr>
          <w:rFonts w:eastAsia="Arial Unicode MS"/>
        </w:rPr>
        <w:t xml:space="preserve"> </w:t>
      </w:r>
      <w:r w:rsidR="00215045" w:rsidRPr="008C3C15">
        <w:rPr>
          <w:rFonts w:eastAsia="Arial Unicode MS"/>
        </w:rPr>
        <w:t>A.</w:t>
      </w:r>
      <w:r w:rsidR="009E2CE0">
        <w:rPr>
          <w:rFonts w:eastAsia="Arial Unicode MS"/>
        </w:rPr>
        <w:t xml:space="preserve"> </w:t>
      </w:r>
      <w:r w:rsidR="00215045" w:rsidRPr="008C3C15">
        <w:rPr>
          <w:rFonts w:eastAsia="Arial Unicode MS"/>
        </w:rPr>
        <w:t>H.</w:t>
      </w:r>
      <w:r w:rsidR="009E2CE0">
        <w:rPr>
          <w:rFonts w:eastAsia="Arial Unicode MS"/>
        </w:rPr>
        <w:t xml:space="preserve"> </w:t>
      </w:r>
      <w:r w:rsidR="00215045" w:rsidRPr="008C3C15">
        <w:rPr>
          <w:rFonts w:eastAsia="Arial Unicode MS"/>
        </w:rPr>
        <w:t>P</w:t>
      </w:r>
      <w:r w:rsidR="00B63082" w:rsidRPr="008C3C15">
        <w:rPr>
          <w:rFonts w:eastAsia="Arial Unicode MS"/>
        </w:rPr>
        <w:t>.</w:t>
      </w:r>
      <w:r w:rsidR="00215045" w:rsidRPr="006E0231">
        <w:rPr>
          <w:rFonts w:eastAsia="Arial Unicode MS"/>
        </w:rPr>
        <w:t xml:space="preserve"> (véase </w:t>
      </w:r>
      <w:r w:rsidR="000F5066" w:rsidRPr="006E0231">
        <w:rPr>
          <w:rFonts w:eastAsia="Arial Unicode MS"/>
        </w:rPr>
        <w:t xml:space="preserve">el </w:t>
      </w:r>
      <w:r w:rsidR="00653381" w:rsidRPr="006E0231">
        <w:rPr>
          <w:rFonts w:eastAsia="Arial Unicode MS"/>
        </w:rPr>
        <w:t xml:space="preserve">párrafo </w:t>
      </w:r>
      <w:r w:rsidR="00215045" w:rsidRPr="006E0231">
        <w:rPr>
          <w:rFonts w:eastAsia="Arial Unicode MS"/>
        </w:rPr>
        <w:t>3.</w:t>
      </w:r>
      <w:r w:rsidR="002129AE" w:rsidRPr="006E0231">
        <w:rPr>
          <w:rFonts w:eastAsia="Arial Unicode MS"/>
        </w:rPr>
        <w:t>4</w:t>
      </w:r>
      <w:r w:rsidR="000F5066" w:rsidRPr="006E0231">
        <w:rPr>
          <w:rFonts w:eastAsia="Arial Unicode MS"/>
        </w:rPr>
        <w:t xml:space="preserve"> </w:t>
      </w:r>
      <w:r w:rsidR="000F5066" w:rsidRPr="00802445">
        <w:rPr>
          <w:rFonts w:eastAsia="Arial Unicode MS"/>
          <w:i/>
        </w:rPr>
        <w:t>supra</w:t>
      </w:r>
      <w:r w:rsidR="00215045" w:rsidRPr="008C3C15">
        <w:rPr>
          <w:rFonts w:eastAsia="Arial Unicode MS"/>
        </w:rPr>
        <w:t xml:space="preserve">). A pesar de tratarse de un caso idéntico al de los autores, el </w:t>
      </w:r>
      <w:r w:rsidR="00E1180E" w:rsidRPr="008C3C15">
        <w:rPr>
          <w:rFonts w:eastAsia="Arial Unicode MS"/>
        </w:rPr>
        <w:t xml:space="preserve">Tribunal Superior de Justicia de Bogotá </w:t>
      </w:r>
      <w:r w:rsidR="00215045" w:rsidRPr="006E0231">
        <w:rPr>
          <w:rFonts w:eastAsia="Arial Unicode MS"/>
        </w:rPr>
        <w:t>no sólo reconoció el derecho a fuero sindical de</w:t>
      </w:r>
      <w:r w:rsidR="00DD7F0D" w:rsidRPr="006E0231">
        <w:rPr>
          <w:rFonts w:eastAsia="Arial Unicode MS"/>
        </w:rPr>
        <w:t xml:space="preserve"> </w:t>
      </w:r>
      <w:r w:rsidR="00215045" w:rsidRPr="006E0231">
        <w:rPr>
          <w:rFonts w:eastAsia="Arial Unicode MS"/>
        </w:rPr>
        <w:t>J.</w:t>
      </w:r>
      <w:r w:rsidR="009E2CE0">
        <w:rPr>
          <w:rFonts w:eastAsia="Arial Unicode MS"/>
        </w:rPr>
        <w:t xml:space="preserve"> </w:t>
      </w:r>
      <w:r w:rsidR="00215045" w:rsidRPr="008C3C15">
        <w:rPr>
          <w:rFonts w:eastAsia="Arial Unicode MS"/>
        </w:rPr>
        <w:t>A.</w:t>
      </w:r>
      <w:r w:rsidR="009E2CE0">
        <w:rPr>
          <w:rFonts w:eastAsia="Arial Unicode MS"/>
        </w:rPr>
        <w:t xml:space="preserve"> </w:t>
      </w:r>
      <w:r w:rsidR="00215045" w:rsidRPr="008C3C15">
        <w:rPr>
          <w:rFonts w:eastAsia="Arial Unicode MS"/>
        </w:rPr>
        <w:t>H.</w:t>
      </w:r>
      <w:r w:rsidR="009E2CE0">
        <w:rPr>
          <w:rFonts w:eastAsia="Arial Unicode MS"/>
        </w:rPr>
        <w:t xml:space="preserve"> </w:t>
      </w:r>
      <w:r w:rsidR="00215045" w:rsidRPr="008C3C15">
        <w:rPr>
          <w:rFonts w:eastAsia="Arial Unicode MS"/>
        </w:rPr>
        <w:t>P., sino que determinó que la Federación debía reintegrarlo en el puesto de trabajo y pagarle los salarios dejados de percibir.</w:t>
      </w:r>
    </w:p>
    <w:p w14:paraId="7C38C348" w14:textId="37217456" w:rsidR="00215045" w:rsidRPr="006E0231" w:rsidRDefault="00215045" w:rsidP="006E0231">
      <w:pPr>
        <w:pStyle w:val="SingleTxtG"/>
      </w:pPr>
      <w:r w:rsidRPr="006E0231">
        <w:rPr>
          <w:rFonts w:eastAsia="Arial Unicode MS"/>
        </w:rPr>
        <w:t>7.</w:t>
      </w:r>
      <w:r w:rsidR="00667CA3" w:rsidRPr="006E0231">
        <w:rPr>
          <w:rFonts w:eastAsia="Arial Unicode MS"/>
        </w:rPr>
        <w:t>4</w:t>
      </w:r>
      <w:r w:rsidRPr="006E0231">
        <w:rPr>
          <w:rFonts w:eastAsia="Arial Unicode MS"/>
        </w:rPr>
        <w:tab/>
        <w:t>El</w:t>
      </w:r>
      <w:r w:rsidR="008513C4" w:rsidRPr="006E0231">
        <w:rPr>
          <w:rFonts w:eastAsia="Arial Unicode MS"/>
        </w:rPr>
        <w:t xml:space="preserve"> asunto de la presente comunicación no ha sido sometido a otra instancia o procedimiento internacional</w:t>
      </w:r>
      <w:r w:rsidR="00CD7973" w:rsidRPr="006E0231">
        <w:rPr>
          <w:rFonts w:eastAsia="Arial Unicode MS"/>
        </w:rPr>
        <w:t xml:space="preserve"> por los autores.</w:t>
      </w:r>
      <w:r w:rsidR="008513C4" w:rsidRPr="006E0231">
        <w:rPr>
          <w:rFonts w:eastAsia="Arial Unicode MS"/>
        </w:rPr>
        <w:t xml:space="preserve"> </w:t>
      </w:r>
      <w:r w:rsidR="00B66AF9" w:rsidRPr="006E0231">
        <w:rPr>
          <w:rFonts w:eastAsia="Arial Unicode MS"/>
        </w:rPr>
        <w:t>Además, l</w:t>
      </w:r>
      <w:r w:rsidR="008513C4" w:rsidRPr="006E0231">
        <w:rPr>
          <w:rFonts w:eastAsia="Arial Unicode MS"/>
        </w:rPr>
        <w:t xml:space="preserve">a CETCOIT no es un órgano de la OIT ni constituye un procedimiento internacional de protección de derechos, sino una instancia de mediación independiente para buscar soluciones a </w:t>
      </w:r>
      <w:r w:rsidR="00B66AF9" w:rsidRPr="006E0231">
        <w:rPr>
          <w:rFonts w:eastAsia="Arial Unicode MS"/>
        </w:rPr>
        <w:t>problemas laborales</w:t>
      </w:r>
      <w:r w:rsidR="0032353C" w:rsidRPr="006E0231">
        <w:rPr>
          <w:rFonts w:eastAsia="Arial Unicode MS"/>
        </w:rPr>
        <w:t xml:space="preserve"> y evitar que lleguen a instancias internacionales como a los procedimientos de control de la OIT</w:t>
      </w:r>
      <w:r w:rsidR="008513C4" w:rsidRPr="006E0231">
        <w:rPr>
          <w:rFonts w:eastAsia="Arial Unicode MS"/>
        </w:rPr>
        <w:t xml:space="preserve">. Los buenos oficios de la CETCOIT pueden ser solicitados de forma voluntaria y no es condición para acudir al Comité de Libertad Sindical del Consejo de Administración de la OIT. </w:t>
      </w:r>
      <w:r w:rsidR="00CD7973" w:rsidRPr="006E0231">
        <w:rPr>
          <w:rFonts w:eastAsia="Arial Unicode MS"/>
        </w:rPr>
        <w:t>Más a</w:t>
      </w:r>
      <w:r w:rsidR="00DD7F0D" w:rsidRPr="006E0231">
        <w:rPr>
          <w:rFonts w:eastAsia="Arial Unicode MS"/>
        </w:rPr>
        <w:t>ú</w:t>
      </w:r>
      <w:r w:rsidR="00CD7973" w:rsidRPr="006E0231">
        <w:rPr>
          <w:rFonts w:eastAsia="Arial Unicode MS"/>
        </w:rPr>
        <w:t>n</w:t>
      </w:r>
      <w:r w:rsidR="00F13D81" w:rsidRPr="006E0231">
        <w:rPr>
          <w:rFonts w:eastAsia="Arial Unicode MS"/>
        </w:rPr>
        <w:t>,</w:t>
      </w:r>
      <w:r w:rsidR="00CD7973" w:rsidRPr="006E0231">
        <w:rPr>
          <w:rFonts w:eastAsia="Arial Unicode MS"/>
        </w:rPr>
        <w:t xml:space="preserve"> </w:t>
      </w:r>
      <w:r w:rsidR="00CD7973" w:rsidRPr="006E0231">
        <w:t xml:space="preserve">SINTRAFEC se dirigió </w:t>
      </w:r>
      <w:r w:rsidR="00B418A2" w:rsidRPr="006E0231">
        <w:t xml:space="preserve">a </w:t>
      </w:r>
      <w:r w:rsidR="00CD7973" w:rsidRPr="006E0231">
        <w:t>la CETCOIT sobre la situación general que había creado la Federación y posteriormente decidió desistirse de este procedimiento. E</w:t>
      </w:r>
      <w:r w:rsidR="00B418A2" w:rsidRPr="006E0231">
        <w:t>ste</w:t>
      </w:r>
      <w:r w:rsidR="00CD7973" w:rsidRPr="006E0231">
        <w:t xml:space="preserve"> desistimiento no requiere autorización de ninguna de las partes o de la CETCOIT</w:t>
      </w:r>
      <w:r w:rsidR="0032353C" w:rsidRPr="006E0231">
        <w:t>; por tanto, debe entenderse concluido</w:t>
      </w:r>
      <w:r w:rsidR="00CD7973" w:rsidRPr="006E0231">
        <w:t xml:space="preserve">. </w:t>
      </w:r>
      <w:r w:rsidR="008513C4" w:rsidRPr="006E0231">
        <w:rPr>
          <w:rFonts w:eastAsia="Arial Unicode MS"/>
        </w:rPr>
        <w:t>Por otra parte, los procedimientos de control</w:t>
      </w:r>
      <w:r w:rsidR="00966A39" w:rsidRPr="006E0231">
        <w:rPr>
          <w:rFonts w:eastAsia="Arial Unicode MS"/>
        </w:rPr>
        <w:t xml:space="preserve"> </w:t>
      </w:r>
      <w:r w:rsidR="00CD7973" w:rsidRPr="006E0231">
        <w:rPr>
          <w:rFonts w:eastAsia="Arial Unicode MS"/>
        </w:rPr>
        <w:t xml:space="preserve">de carácter contencioso de la OIT están </w:t>
      </w:r>
      <w:r w:rsidR="008513C4" w:rsidRPr="006E0231">
        <w:rPr>
          <w:rFonts w:eastAsia="Arial Unicode MS"/>
        </w:rPr>
        <w:t xml:space="preserve">establecidos en los artículos 24 y 26 de </w:t>
      </w:r>
      <w:r w:rsidR="00DD7F0D" w:rsidRPr="006E0231">
        <w:rPr>
          <w:rFonts w:eastAsia="Arial Unicode MS"/>
        </w:rPr>
        <w:t xml:space="preserve">su </w:t>
      </w:r>
      <w:r w:rsidR="008513C4" w:rsidRPr="006E0231">
        <w:rPr>
          <w:rFonts w:eastAsia="Arial Unicode MS"/>
        </w:rPr>
        <w:t>Constitución (reclamación y queja, respectivamente)</w:t>
      </w:r>
      <w:r w:rsidR="00CD7973" w:rsidRPr="006E0231">
        <w:rPr>
          <w:rFonts w:eastAsia="Arial Unicode MS"/>
        </w:rPr>
        <w:t xml:space="preserve"> y no admite</w:t>
      </w:r>
      <w:r w:rsidR="001C732C" w:rsidRPr="006E0231">
        <w:rPr>
          <w:rFonts w:eastAsia="Arial Unicode MS"/>
        </w:rPr>
        <w:t>n</w:t>
      </w:r>
      <w:r w:rsidR="00CD7973" w:rsidRPr="006E0231">
        <w:rPr>
          <w:rFonts w:eastAsia="Arial Unicode MS"/>
        </w:rPr>
        <w:t xml:space="preserve"> peticiones o comunicaciones individuales</w:t>
      </w:r>
      <w:r w:rsidR="00DD7F0D" w:rsidRPr="006E0231">
        <w:rPr>
          <w:rFonts w:eastAsia="Arial Unicode MS"/>
        </w:rPr>
        <w:t>,</w:t>
      </w:r>
      <w:r w:rsidR="00CD7973" w:rsidRPr="006E0231">
        <w:rPr>
          <w:rFonts w:eastAsia="Arial Unicode MS"/>
        </w:rPr>
        <w:t xml:space="preserve"> ya que deben ser presentadas por los Estados partes o las organizaciones sindicales de trabajadores </w:t>
      </w:r>
      <w:r w:rsidR="001C732C" w:rsidRPr="006E0231">
        <w:rPr>
          <w:rFonts w:eastAsia="Arial Unicode MS"/>
        </w:rPr>
        <w:t>o</w:t>
      </w:r>
      <w:r w:rsidR="00CD7973" w:rsidRPr="006E0231">
        <w:rPr>
          <w:rFonts w:eastAsia="Arial Unicode MS"/>
        </w:rPr>
        <w:t xml:space="preserve"> empleadores.</w:t>
      </w:r>
    </w:p>
    <w:p w14:paraId="28A88C61" w14:textId="77777777" w:rsidR="00080A30" w:rsidRPr="006E0231" w:rsidRDefault="00985E10" w:rsidP="006E0231">
      <w:pPr>
        <w:pStyle w:val="H23G"/>
      </w:pPr>
      <w:r w:rsidRPr="006E0231">
        <w:tab/>
      </w:r>
      <w:r w:rsidR="00080A30" w:rsidRPr="006E0231">
        <w:tab/>
        <w:t>Deliberaciones del Comité</w:t>
      </w:r>
    </w:p>
    <w:p w14:paraId="651E3C61" w14:textId="77777777" w:rsidR="00080A30" w:rsidRPr="006E0231" w:rsidRDefault="00985E10" w:rsidP="006E0231">
      <w:pPr>
        <w:pStyle w:val="H4G"/>
      </w:pPr>
      <w:r w:rsidRPr="006E0231">
        <w:tab/>
      </w:r>
      <w:r w:rsidR="00080A30" w:rsidRPr="006E0231">
        <w:tab/>
        <w:t>Examen de la admisibilidad</w:t>
      </w:r>
    </w:p>
    <w:p w14:paraId="53FF3898" w14:textId="1978EB80" w:rsidR="00E82266" w:rsidRPr="006E0231" w:rsidRDefault="00CB6E7B" w:rsidP="006E0231">
      <w:pPr>
        <w:pStyle w:val="SingleTxtG"/>
      </w:pPr>
      <w:r w:rsidRPr="006E0231">
        <w:t>8</w:t>
      </w:r>
      <w:r w:rsidR="00080A30" w:rsidRPr="006E0231">
        <w:t>.1</w:t>
      </w:r>
      <w:r w:rsidR="00080A30" w:rsidRPr="006E0231">
        <w:tab/>
        <w:t>Antes de examinar toda reclamación formulada en una comunicación, el Comité debe decidir, de conformidad con el artículo 93 de su reglamento, si el caso es o no admisible en virtud del Protocolo Facultativo del Pacto.</w:t>
      </w:r>
    </w:p>
    <w:p w14:paraId="012AF384" w14:textId="6381615B" w:rsidR="009B14DB" w:rsidRPr="006E0231" w:rsidRDefault="00E82266" w:rsidP="00802445">
      <w:pPr>
        <w:pStyle w:val="SingleTxtG"/>
      </w:pPr>
      <w:r w:rsidRPr="006E0231">
        <w:t>8.2</w:t>
      </w:r>
      <w:r w:rsidRPr="006E0231">
        <w:tab/>
        <w:t xml:space="preserve">El Comité toma nota del argumento del Estado parte en cuanto a que la comunicación </w:t>
      </w:r>
      <w:r w:rsidR="000B34FE" w:rsidRPr="006E0231">
        <w:t>es</w:t>
      </w:r>
      <w:r w:rsidRPr="006E0231">
        <w:t xml:space="preserve"> inadmisible en virtud del artículo 5</w:t>
      </w:r>
      <w:r w:rsidR="00DD7F0D" w:rsidRPr="006E0231">
        <w:t xml:space="preserve">, párrafo </w:t>
      </w:r>
      <w:r w:rsidR="00CB6E7B" w:rsidRPr="006E0231">
        <w:t>2</w:t>
      </w:r>
      <w:r w:rsidR="00DD7F0D" w:rsidRPr="006E0231">
        <w:t xml:space="preserve">, apartado </w:t>
      </w:r>
      <w:r w:rsidR="00CB6E7B" w:rsidRPr="006E0231">
        <w:t>a)</w:t>
      </w:r>
      <w:r w:rsidR="00DD7F0D" w:rsidRPr="006E0231">
        <w:t>,</w:t>
      </w:r>
      <w:r w:rsidRPr="006E0231">
        <w:t xml:space="preserve"> del Protocolo Facultativo, ya que los hechos constitutivos de la den</w:t>
      </w:r>
      <w:r w:rsidR="00142A17" w:rsidRPr="006E0231">
        <w:t>uncia están siendo examinados por</w:t>
      </w:r>
      <w:r w:rsidRPr="006E0231">
        <w:t xml:space="preserve"> la </w:t>
      </w:r>
      <w:r w:rsidR="00CB6E7B" w:rsidRPr="006E0231">
        <w:t>CETCOIT</w:t>
      </w:r>
      <w:r w:rsidR="003E1DE7" w:rsidRPr="006E0231">
        <w:t>, como resultado de comunicaciones presentadas por SINTRAFEC ante la OIT</w:t>
      </w:r>
      <w:r w:rsidR="00CB6E7B" w:rsidRPr="006E0231">
        <w:t>.</w:t>
      </w:r>
      <w:r w:rsidR="003E1DE7" w:rsidRPr="006E0231">
        <w:t xml:space="preserve"> El Comité también toma nota de los co</w:t>
      </w:r>
      <w:r w:rsidR="00AF069A" w:rsidRPr="006E0231">
        <w:t>mentarios de los autores de que</w:t>
      </w:r>
      <w:r w:rsidR="00CB6E7B" w:rsidRPr="006E0231">
        <w:t xml:space="preserve"> </w:t>
      </w:r>
      <w:r w:rsidR="003E1DE7" w:rsidRPr="006E0231">
        <w:t xml:space="preserve">ellos no han sometido </w:t>
      </w:r>
      <w:r w:rsidR="003E1DE7" w:rsidRPr="006E0231">
        <w:rPr>
          <w:rFonts w:eastAsia="Arial Unicode MS"/>
        </w:rPr>
        <w:t>el asunto de la presente comunicación a otra instancia o pro</w:t>
      </w:r>
      <w:r w:rsidR="00142A17" w:rsidRPr="006E0231">
        <w:rPr>
          <w:rFonts w:eastAsia="Arial Unicode MS"/>
        </w:rPr>
        <w:t>cedimiento internacional, y que</w:t>
      </w:r>
      <w:r w:rsidR="003E1DE7" w:rsidRPr="006E0231">
        <w:rPr>
          <w:rFonts w:eastAsia="Arial Unicode MS"/>
        </w:rPr>
        <w:t xml:space="preserve"> la CETCOIT no es un órgano de la OIT ni constituye un procedimiento internacional de protección de derechos, sino una instancia de mediación independiente para buscar soluciones a problemas laborales y evitar que lleguen a instancias internacionales como a los procedimientos de control de la OIT.</w:t>
      </w:r>
      <w:r w:rsidR="00587EDF" w:rsidRPr="006E0231">
        <w:rPr>
          <w:rFonts w:eastAsia="Arial Unicode MS"/>
        </w:rPr>
        <w:t xml:space="preserve"> Además,</w:t>
      </w:r>
      <w:r w:rsidR="00966A39" w:rsidRPr="006E0231">
        <w:rPr>
          <w:rFonts w:eastAsia="Arial Unicode MS"/>
        </w:rPr>
        <w:t xml:space="preserve"> </w:t>
      </w:r>
      <w:r w:rsidR="00A0124D" w:rsidRPr="006E0231">
        <w:t>las denuncias que dieron lugar al procedimiento ante la CETCOIT fueron presentadas por SINTRAFEC</w:t>
      </w:r>
      <w:r w:rsidR="00966A39" w:rsidRPr="006E0231">
        <w:t xml:space="preserve"> </w:t>
      </w:r>
      <w:r w:rsidR="00A0124D" w:rsidRPr="006E0231">
        <w:t>y se refieren a presuntas políticas de la Federación en general</w:t>
      </w:r>
      <w:r w:rsidR="00CE031D" w:rsidRPr="006E0231">
        <w:t xml:space="preserve"> </w:t>
      </w:r>
      <w:r w:rsidR="00AF069A" w:rsidRPr="006E0231">
        <w:t>que constituirían</w:t>
      </w:r>
      <w:r w:rsidR="00CE031D" w:rsidRPr="006E0231">
        <w:t xml:space="preserve"> violaciones de la libertad sindical, entre ellas los casos de </w:t>
      </w:r>
      <w:r w:rsidR="00A0124D" w:rsidRPr="006E0231">
        <w:t>los autores</w:t>
      </w:r>
      <w:r w:rsidR="00272445" w:rsidRPr="006E0231">
        <w:t>,</w:t>
      </w:r>
      <w:r w:rsidR="000B34FE" w:rsidRPr="006E0231">
        <w:t xml:space="preserve"> </w:t>
      </w:r>
      <w:r w:rsidR="00587EDF" w:rsidRPr="006E0231">
        <w:t>y que posteriormente SINTRAFEC se desistió, con lo que el procedimiento debe considerarse concluido.</w:t>
      </w:r>
      <w:r w:rsidR="00ED0609" w:rsidRPr="006E0231">
        <w:t xml:space="preserve"> A la luz de estas informaciones el Comité considera que las denuncias formuladas por los autores ante el Comité no están siendo examinadas bajo otro procedimiento de examen o arreglo internacional y que, por consiguiente, el Comité no está impedido de examinar la comunicación en virtud del artículo 5</w:t>
      </w:r>
      <w:r w:rsidR="00272445" w:rsidRPr="006E0231">
        <w:t xml:space="preserve">, párrafo </w:t>
      </w:r>
      <w:r w:rsidR="00ED0609" w:rsidRPr="006E0231">
        <w:t>2</w:t>
      </w:r>
      <w:r w:rsidR="00272445" w:rsidRPr="006E0231">
        <w:t xml:space="preserve">, apartado </w:t>
      </w:r>
      <w:r w:rsidR="00ED0609" w:rsidRPr="006E0231">
        <w:t>a)</w:t>
      </w:r>
      <w:r w:rsidR="00272445" w:rsidRPr="006E0231">
        <w:t>,</w:t>
      </w:r>
      <w:r w:rsidR="00ED0609" w:rsidRPr="006E0231">
        <w:t xml:space="preserve"> del Protocolo Facultativo</w:t>
      </w:r>
      <w:r w:rsidR="009B14DB" w:rsidRPr="006E0231">
        <w:t>.</w:t>
      </w:r>
    </w:p>
    <w:p w14:paraId="67CCCFB0" w14:textId="4476B980" w:rsidR="0035318A" w:rsidRPr="00802445" w:rsidRDefault="00920000" w:rsidP="00802445">
      <w:pPr>
        <w:pStyle w:val="SingleTxtG"/>
      </w:pPr>
      <w:r w:rsidRPr="00802445">
        <w:t>8.3</w:t>
      </w:r>
      <w:r w:rsidR="00BC0579" w:rsidRPr="00802445">
        <w:tab/>
      </w:r>
      <w:r w:rsidR="00705A7B" w:rsidRPr="008C3C15">
        <w:t>El Comité toma nota del argumento del Estado parte de que debería considerarse inadmisible la comunicación por constituir un abuso de</w:t>
      </w:r>
      <w:r w:rsidR="00BD0187" w:rsidRPr="006E0231">
        <w:t>l</w:t>
      </w:r>
      <w:r w:rsidR="00705A7B" w:rsidRPr="006E0231">
        <w:t xml:space="preserve"> derecho</w:t>
      </w:r>
      <w:r w:rsidR="00BD0187" w:rsidRPr="006E0231">
        <w:t xml:space="preserve"> a presentar</w:t>
      </w:r>
      <w:r w:rsidR="00966A39" w:rsidRPr="006E0231">
        <w:t xml:space="preserve"> </w:t>
      </w:r>
      <w:r w:rsidR="00BD0187" w:rsidRPr="006E0231">
        <w:t>comunicaci</w:t>
      </w:r>
      <w:r w:rsidR="00543DB8" w:rsidRPr="006E0231">
        <w:t>ones</w:t>
      </w:r>
      <w:r w:rsidR="00705A7B" w:rsidRPr="006E0231">
        <w:t xml:space="preserve">, en razón de que la </w:t>
      </w:r>
      <w:r w:rsidR="004E3168" w:rsidRPr="006E0231">
        <w:t>misma</w:t>
      </w:r>
      <w:r w:rsidR="00705A7B" w:rsidRPr="006E0231">
        <w:t xml:space="preserve"> presenta in</w:t>
      </w:r>
      <w:r w:rsidR="00ED57E9" w:rsidRPr="006E0231">
        <w:t>formación falsa,</w:t>
      </w:r>
      <w:r w:rsidR="00705A7B" w:rsidRPr="006E0231">
        <w:t xml:space="preserve"> distorsionada, incompleta y poco clara. El Comité observa, sin embargo, que la</w:t>
      </w:r>
      <w:r w:rsidR="004E3168" w:rsidRPr="006E0231">
        <w:t xml:space="preserve"> mera discrepancia entre el Estado parte y los autores de la comunicación sobre los hechos y la aplicación</w:t>
      </w:r>
      <w:r w:rsidR="00966A39" w:rsidRPr="006E0231">
        <w:t xml:space="preserve"> </w:t>
      </w:r>
      <w:r w:rsidR="004E3168" w:rsidRPr="006E0231">
        <w:t>de</w:t>
      </w:r>
      <w:r w:rsidR="00705A7B" w:rsidRPr="006E0231">
        <w:t xml:space="preserve"> la ley, las convenciones colectivas del trabajo y la jurisprudencia de los tribunales nacionales </w:t>
      </w:r>
      <w:r w:rsidR="004E3168" w:rsidRPr="006E0231">
        <w:t xml:space="preserve">pertinentes </w:t>
      </w:r>
      <w:r w:rsidR="00B4550D" w:rsidRPr="006E0231">
        <w:t>no constituye un abuso del derecho a presentar una comunicación. El Comité también toma nota del argumento del Estado parte de que la comunicación es ina</w:t>
      </w:r>
      <w:r w:rsidR="00ED57E9" w:rsidRPr="006E0231">
        <w:t>dmisible debido al tiempo</w:t>
      </w:r>
      <w:r w:rsidR="00B4550D" w:rsidRPr="006E0231">
        <w:t xml:space="preserve"> </w:t>
      </w:r>
      <w:r w:rsidR="00705A7B" w:rsidRPr="006E0231">
        <w:t>transcurri</w:t>
      </w:r>
      <w:r w:rsidR="00ED57E9" w:rsidRPr="006E0231">
        <w:t>do</w:t>
      </w:r>
      <w:r w:rsidR="00705A7B" w:rsidRPr="006E0231">
        <w:t xml:space="preserve"> entre las últimas sentencias de los tribunales nacionales y la presentación de la comunicación ante el Comité.</w:t>
      </w:r>
      <w:r w:rsidR="00BD0187" w:rsidRPr="006E0231">
        <w:t xml:space="preserve"> </w:t>
      </w:r>
      <w:r w:rsidR="00D432D0" w:rsidRPr="006E0231">
        <w:t>El Comité r</w:t>
      </w:r>
      <w:r w:rsidR="00BD0187" w:rsidRPr="006E0231">
        <w:t>ecuerda</w:t>
      </w:r>
      <w:r w:rsidR="00D432D0" w:rsidRPr="006E0231">
        <w:t xml:space="preserve"> su</w:t>
      </w:r>
      <w:r w:rsidR="00D432D0" w:rsidRPr="006E0231">
        <w:rPr>
          <w:rFonts w:eastAsia="MS Mincho"/>
        </w:rPr>
        <w:t xml:space="preserve"> jurisprudencia, según la cual </w:t>
      </w:r>
      <w:r w:rsidR="00B04C27" w:rsidRPr="006E0231">
        <w:rPr>
          <w:rFonts w:eastAsia="MS Mincho"/>
        </w:rPr>
        <w:t xml:space="preserve">puede </w:t>
      </w:r>
      <w:r w:rsidR="00D432D0" w:rsidRPr="006E0231">
        <w:t>exist</w:t>
      </w:r>
      <w:r w:rsidR="001C732C" w:rsidRPr="006E0231">
        <w:t>ir</w:t>
      </w:r>
      <w:r w:rsidR="00D432D0" w:rsidRPr="006E0231">
        <w:t xml:space="preserve"> abuso del derecho a presentar comunicaciones cuando haya transcurrido un período de tiempo excepcionalmente largo en</w:t>
      </w:r>
      <w:r w:rsidR="00D432D0" w:rsidRPr="006E0231">
        <w:rPr>
          <w:rFonts w:eastAsia="MS Mincho"/>
        </w:rPr>
        <w:t>tre los hechos relevantes del caso o el agotamiento de los recursos internos</w:t>
      </w:r>
      <w:r w:rsidR="00D432D0" w:rsidRPr="006E0231">
        <w:t xml:space="preserve"> y la presentación de la comunicación, sin justificación suficiente</w:t>
      </w:r>
      <w:r w:rsidR="00F70447" w:rsidRPr="008C3C15">
        <w:rPr>
          <w:rStyle w:val="FootnoteReference"/>
        </w:rPr>
        <w:footnoteReference w:id="17"/>
      </w:r>
      <w:r w:rsidR="00BD0187" w:rsidRPr="008C3C15">
        <w:t>.</w:t>
      </w:r>
      <w:r w:rsidR="00D432D0" w:rsidRPr="008C3C15">
        <w:t xml:space="preserve"> </w:t>
      </w:r>
      <w:r w:rsidR="00ED57E9" w:rsidRPr="006E0231">
        <w:t>En el presente caso, e</w:t>
      </w:r>
      <w:r w:rsidR="00D432D0" w:rsidRPr="00802445">
        <w:t>l Comité observa que, con posterioridad a la</w:t>
      </w:r>
      <w:r w:rsidR="009F682A" w:rsidRPr="00802445">
        <w:t>s</w:t>
      </w:r>
      <w:r w:rsidR="00D432D0" w:rsidRPr="00802445">
        <w:t xml:space="preserve"> sentencia</w:t>
      </w:r>
      <w:r w:rsidR="009F682A" w:rsidRPr="00802445">
        <w:t xml:space="preserve">s del </w:t>
      </w:r>
      <w:r w:rsidR="00450F73" w:rsidRPr="008C3C15">
        <w:rPr>
          <w:rFonts w:eastAsia="Arial Unicode MS"/>
        </w:rPr>
        <w:t>Tribunal Superior de Justicia de Bogotá</w:t>
      </w:r>
      <w:r w:rsidR="009F682A" w:rsidRPr="00802445">
        <w:t xml:space="preserve">, </w:t>
      </w:r>
      <w:r w:rsidR="005555D9" w:rsidRPr="00802445">
        <w:t xml:space="preserve">dictadas </w:t>
      </w:r>
      <w:r w:rsidR="009F682A" w:rsidRPr="00802445">
        <w:t xml:space="preserve">entre el 13 de junio y </w:t>
      </w:r>
      <w:r w:rsidR="005555D9" w:rsidRPr="00802445">
        <w:t xml:space="preserve">el </w:t>
      </w:r>
      <w:r w:rsidR="009F682A" w:rsidRPr="00802445">
        <w:t xml:space="preserve">28 de noviembre de 2008, cuatro autores interpusieron acciones de tutela que fueron inadmitidas por la </w:t>
      </w:r>
      <w:r w:rsidR="005555D9" w:rsidRPr="00802445">
        <w:t>Corte Suprema de Justicia</w:t>
      </w:r>
      <w:r w:rsidR="00D432D0" w:rsidRPr="00802445">
        <w:t xml:space="preserve">. El Comité considera que el lapso transcurrido desde </w:t>
      </w:r>
      <w:r w:rsidR="009F682A" w:rsidRPr="00802445">
        <w:t xml:space="preserve">las últimas decisiones de </w:t>
      </w:r>
      <w:r w:rsidR="009F1060" w:rsidRPr="00802445">
        <w:t>los tribunales nacionales</w:t>
      </w:r>
      <w:r w:rsidR="00D432D0" w:rsidRPr="00802445">
        <w:t xml:space="preserve"> </w:t>
      </w:r>
      <w:r w:rsidR="009F682A" w:rsidRPr="00802445">
        <w:t xml:space="preserve">y el 22 de junio de 2010, fecha de la presentación inicial de la comunicación, </w:t>
      </w:r>
      <w:r w:rsidR="00D432D0" w:rsidRPr="00802445">
        <w:t xml:space="preserve">no constituye un abuso del derecho a presentar </w:t>
      </w:r>
      <w:r w:rsidR="00417CC0" w:rsidRPr="00802445">
        <w:t>una comunicación</w:t>
      </w:r>
      <w:r w:rsidR="00D432D0" w:rsidRPr="00802445">
        <w:t xml:space="preserve"> en virtud de lo dispuesto en el artícu</w:t>
      </w:r>
      <w:r w:rsidR="0035318A" w:rsidRPr="00802445">
        <w:t>lo 3 del Protocolo Facultativo.</w:t>
      </w:r>
    </w:p>
    <w:p w14:paraId="374890BE" w14:textId="12E9A56D" w:rsidR="00CE031D" w:rsidRPr="006E0231" w:rsidRDefault="00920000" w:rsidP="00802445">
      <w:pPr>
        <w:pStyle w:val="SingleTxtG"/>
      </w:pPr>
      <w:r w:rsidRPr="00802445">
        <w:t>8.4</w:t>
      </w:r>
      <w:r w:rsidR="0035318A" w:rsidRPr="00802445">
        <w:tab/>
      </w:r>
      <w:r w:rsidR="00BC0579" w:rsidRPr="00802445">
        <w:t xml:space="preserve">El Comité toma nota del argumento del Estado parte de que </w:t>
      </w:r>
      <w:r w:rsidR="00CC77D1" w:rsidRPr="00802445">
        <w:t>la comunicación no cumple con el requisito establecido en el artículo 5</w:t>
      </w:r>
      <w:r w:rsidR="005555D9" w:rsidRPr="00802445">
        <w:t xml:space="preserve">, párrafo </w:t>
      </w:r>
      <w:r w:rsidR="00CC77D1" w:rsidRPr="00802445">
        <w:t>2</w:t>
      </w:r>
      <w:r w:rsidR="005555D9" w:rsidRPr="00802445">
        <w:t xml:space="preserve">, apartado </w:t>
      </w:r>
      <w:r w:rsidR="00CC77D1" w:rsidRPr="00802445">
        <w:t>b)</w:t>
      </w:r>
      <w:r w:rsidR="005555D9" w:rsidRPr="00802445">
        <w:t>,</w:t>
      </w:r>
      <w:r w:rsidR="00CC77D1" w:rsidRPr="00802445">
        <w:t xml:space="preserve"> del Protocolo Facultativo toda vez que </w:t>
      </w:r>
      <w:r w:rsidR="00BC0579" w:rsidRPr="00802445">
        <w:t xml:space="preserve">el </w:t>
      </w:r>
      <w:r w:rsidR="00CC77D1" w:rsidRPr="00802445">
        <w:t xml:space="preserve">presente </w:t>
      </w:r>
      <w:r w:rsidR="00BC0579" w:rsidRPr="00802445">
        <w:t>asunto</w:t>
      </w:r>
      <w:r w:rsidR="00BC0579" w:rsidRPr="008C3C15">
        <w:rPr>
          <w:rFonts w:eastAsia="Arial Unicode MS"/>
        </w:rPr>
        <w:t xml:space="preserve"> pudo ser objeto de negociación colectiva entre los sindicatos de trabajadores y la Federación. El Comité también toma nota de los comentarios de los autores de que </w:t>
      </w:r>
      <w:r w:rsidR="00CC77D1" w:rsidRPr="006E0231">
        <w:rPr>
          <w:rFonts w:eastAsia="Arial Unicode MS"/>
        </w:rPr>
        <w:t>agotaron</w:t>
      </w:r>
      <w:r w:rsidR="00BC0579" w:rsidRPr="006E0231">
        <w:rPr>
          <w:rFonts w:eastAsia="Arial Unicode MS"/>
        </w:rPr>
        <w:t xml:space="preserve"> todos los recursos internos </w:t>
      </w:r>
      <w:r w:rsidR="00CC77D1" w:rsidRPr="006E0231">
        <w:rPr>
          <w:rFonts w:eastAsia="Arial Unicode MS"/>
        </w:rPr>
        <w:t xml:space="preserve">efectivos </w:t>
      </w:r>
      <w:r w:rsidR="00BC0579" w:rsidRPr="006E0231">
        <w:rPr>
          <w:rFonts w:eastAsia="Arial Unicode MS"/>
        </w:rPr>
        <w:t xml:space="preserve">con las sentencias del </w:t>
      </w:r>
      <w:r w:rsidR="00450F73" w:rsidRPr="006E0231">
        <w:rPr>
          <w:rFonts w:eastAsia="Arial Unicode MS"/>
        </w:rPr>
        <w:t>Tribunal Superior de Justicia de Bogotá</w:t>
      </w:r>
      <w:r w:rsidR="005627CC" w:rsidRPr="006E0231">
        <w:rPr>
          <w:rFonts w:eastAsia="Arial Unicode MS"/>
        </w:rPr>
        <w:t>,</w:t>
      </w:r>
      <w:r w:rsidR="00BC0579" w:rsidRPr="006E0231">
        <w:rPr>
          <w:rFonts w:eastAsia="Arial Unicode MS"/>
        </w:rPr>
        <w:t xml:space="preserve"> que desestimó sus demandas especiales de reintegro por fuer</w:t>
      </w:r>
      <w:r w:rsidR="005627CC" w:rsidRPr="006E0231">
        <w:rPr>
          <w:rFonts w:eastAsia="Arial Unicode MS"/>
        </w:rPr>
        <w:t>o sindical contra la Federación</w:t>
      </w:r>
      <w:r w:rsidR="001C732C" w:rsidRPr="006E0231">
        <w:rPr>
          <w:rFonts w:eastAsia="Arial Unicode MS"/>
        </w:rPr>
        <w:t>,</w:t>
      </w:r>
      <w:r w:rsidR="00BC0579" w:rsidRPr="006E0231">
        <w:rPr>
          <w:rFonts w:eastAsia="Arial Unicode MS"/>
        </w:rPr>
        <w:t xml:space="preserve"> </w:t>
      </w:r>
      <w:r w:rsidR="00417CC0" w:rsidRPr="006E0231">
        <w:rPr>
          <w:rFonts w:eastAsia="Arial Unicode MS"/>
        </w:rPr>
        <w:t xml:space="preserve">y </w:t>
      </w:r>
      <w:r w:rsidR="00BC0579" w:rsidRPr="006E0231">
        <w:rPr>
          <w:rFonts w:eastAsia="Arial Unicode MS"/>
        </w:rPr>
        <w:t xml:space="preserve">que la acción de tutela es un recurso extraordinario que no </w:t>
      </w:r>
      <w:r w:rsidR="004E3168" w:rsidRPr="006E0231">
        <w:rPr>
          <w:rFonts w:eastAsia="Arial Unicode MS"/>
        </w:rPr>
        <w:t>procede</w:t>
      </w:r>
      <w:r w:rsidR="00966A39" w:rsidRPr="006E0231">
        <w:rPr>
          <w:rFonts w:eastAsia="Arial Unicode MS"/>
        </w:rPr>
        <w:t xml:space="preserve"> </w:t>
      </w:r>
      <w:r w:rsidR="004E3168" w:rsidRPr="006E0231">
        <w:rPr>
          <w:rFonts w:eastAsia="Arial Unicode MS"/>
        </w:rPr>
        <w:t>cuando se</w:t>
      </w:r>
      <w:r w:rsidR="006C11E1" w:rsidRPr="006E0231">
        <w:rPr>
          <w:rFonts w:eastAsia="Arial Unicode MS"/>
        </w:rPr>
        <w:t xml:space="preserve"> presenta contra una sentencia judicial previa</w:t>
      </w:r>
      <w:r w:rsidR="00BC0579" w:rsidRPr="006E0231">
        <w:rPr>
          <w:rFonts w:eastAsia="Arial Unicode MS"/>
        </w:rPr>
        <w:t xml:space="preserve">, como lo demuestran las sentencias del </w:t>
      </w:r>
      <w:r w:rsidR="005555D9" w:rsidRPr="006E0231">
        <w:rPr>
          <w:rFonts w:eastAsia="Arial Unicode MS"/>
        </w:rPr>
        <w:t xml:space="preserve">Tribunal </w:t>
      </w:r>
      <w:r w:rsidR="00BC0579" w:rsidRPr="006E0231">
        <w:rPr>
          <w:rFonts w:eastAsia="Arial Unicode MS"/>
        </w:rPr>
        <w:t>que declararon improcedentes las acciones de tutelas presentadas por cuatro</w:t>
      </w:r>
      <w:r w:rsidR="004E3168" w:rsidRPr="006E0231">
        <w:rPr>
          <w:rFonts w:eastAsia="Arial Unicode MS"/>
        </w:rPr>
        <w:t xml:space="preserve"> de los</w:t>
      </w:r>
      <w:r w:rsidR="00BC0579" w:rsidRPr="006E0231">
        <w:rPr>
          <w:rFonts w:eastAsia="Arial Unicode MS"/>
        </w:rPr>
        <w:t xml:space="preserve"> autores</w:t>
      </w:r>
      <w:r w:rsidR="006C11E1" w:rsidRPr="006E0231">
        <w:rPr>
          <w:rFonts w:eastAsia="Arial Unicode MS"/>
        </w:rPr>
        <w:t>.</w:t>
      </w:r>
      <w:r w:rsidR="00CC77D1" w:rsidRPr="006E0231">
        <w:rPr>
          <w:rFonts w:eastAsia="Arial Unicode MS"/>
        </w:rPr>
        <w:t xml:space="preserve"> </w:t>
      </w:r>
      <w:r w:rsidR="00B04C27" w:rsidRPr="006E0231">
        <w:rPr>
          <w:rFonts w:eastAsia="Arial Unicode MS"/>
        </w:rPr>
        <w:t xml:space="preserve">El Comité observa que el Estado parte no ha refutado las alegaciones de los autores con relación a la naturaleza excepcional del recurso de tutela. </w:t>
      </w:r>
      <w:r w:rsidR="0078428B" w:rsidRPr="006E0231">
        <w:rPr>
          <w:rFonts w:eastAsia="Arial Unicode MS"/>
        </w:rPr>
        <w:t>El Comité considera que la negociación colectiva, que tiene por finalidad la adopción de un acuerdo sindical entre un empleador y los trabajadores,</w:t>
      </w:r>
      <w:r w:rsidR="00966A39" w:rsidRPr="006E0231">
        <w:rPr>
          <w:rFonts w:eastAsia="Arial Unicode MS"/>
        </w:rPr>
        <w:t xml:space="preserve"> </w:t>
      </w:r>
      <w:r w:rsidR="0078428B" w:rsidRPr="006E0231">
        <w:rPr>
          <w:rFonts w:eastAsia="Arial Unicode MS"/>
        </w:rPr>
        <w:t>no constituye un recurso interno en el sentido del artículo 5</w:t>
      </w:r>
      <w:r w:rsidR="005555D9" w:rsidRPr="006E0231">
        <w:rPr>
          <w:rFonts w:eastAsia="Arial Unicode MS"/>
        </w:rPr>
        <w:t xml:space="preserve">, párrafo </w:t>
      </w:r>
      <w:r w:rsidR="0078428B" w:rsidRPr="006E0231">
        <w:rPr>
          <w:rFonts w:eastAsia="Arial Unicode MS"/>
        </w:rPr>
        <w:t>2</w:t>
      </w:r>
      <w:r w:rsidR="005555D9" w:rsidRPr="006E0231">
        <w:rPr>
          <w:rFonts w:eastAsia="Arial Unicode MS"/>
        </w:rPr>
        <w:t xml:space="preserve">, apartado </w:t>
      </w:r>
      <w:r w:rsidR="0078428B" w:rsidRPr="006E0231">
        <w:rPr>
          <w:rFonts w:eastAsia="Arial Unicode MS"/>
        </w:rPr>
        <w:t>b)</w:t>
      </w:r>
      <w:r w:rsidR="005555D9" w:rsidRPr="006E0231">
        <w:rPr>
          <w:rFonts w:eastAsia="Arial Unicode MS"/>
        </w:rPr>
        <w:t>,</w:t>
      </w:r>
      <w:r w:rsidR="0078428B" w:rsidRPr="006E0231">
        <w:rPr>
          <w:rFonts w:eastAsia="Arial Unicode MS"/>
        </w:rPr>
        <w:t xml:space="preserve"> del Protocolo Facultativo. </w:t>
      </w:r>
      <w:r w:rsidR="00E94AE9" w:rsidRPr="006E0231">
        <w:rPr>
          <w:rFonts w:eastAsia="Arial Unicode MS"/>
        </w:rPr>
        <w:t>Por consiguiente, el Comité considera que no está impedido de examinar la comunicación</w:t>
      </w:r>
      <w:r w:rsidR="00966A39" w:rsidRPr="006E0231">
        <w:rPr>
          <w:rFonts w:eastAsia="Arial Unicode MS"/>
        </w:rPr>
        <w:t xml:space="preserve"> </w:t>
      </w:r>
      <w:r w:rsidR="0078428B" w:rsidRPr="006E0231">
        <w:rPr>
          <w:rFonts w:eastAsia="Arial Unicode MS"/>
        </w:rPr>
        <w:t>con arreglo al artículo 5</w:t>
      </w:r>
      <w:r w:rsidR="00054538" w:rsidRPr="006E0231">
        <w:rPr>
          <w:rFonts w:eastAsia="Arial Unicode MS"/>
        </w:rPr>
        <w:t xml:space="preserve">, párrafo 2, apartado </w:t>
      </w:r>
      <w:r w:rsidR="0078428B" w:rsidRPr="006E0231">
        <w:rPr>
          <w:rFonts w:eastAsia="Arial Unicode MS"/>
        </w:rPr>
        <w:t>b)</w:t>
      </w:r>
      <w:r w:rsidR="00054538" w:rsidRPr="006E0231">
        <w:rPr>
          <w:rFonts w:eastAsia="Arial Unicode MS"/>
        </w:rPr>
        <w:t>,</w:t>
      </w:r>
      <w:r w:rsidR="0078428B" w:rsidRPr="006E0231">
        <w:rPr>
          <w:rFonts w:eastAsia="Arial Unicode MS"/>
        </w:rPr>
        <w:t xml:space="preserve"> del Protocolo Facultativo.</w:t>
      </w:r>
    </w:p>
    <w:p w14:paraId="75E5AD59" w14:textId="4C633E16" w:rsidR="00632931" w:rsidRPr="006E0231" w:rsidRDefault="00920000" w:rsidP="008C3C15">
      <w:pPr>
        <w:pStyle w:val="SingleTxtG"/>
      </w:pPr>
      <w:r w:rsidRPr="006E0231">
        <w:rPr>
          <w:rFonts w:eastAsia="Arial Unicode MS"/>
        </w:rPr>
        <w:t>8.5</w:t>
      </w:r>
      <w:r w:rsidR="00F32235" w:rsidRPr="006E0231">
        <w:rPr>
          <w:rFonts w:eastAsia="Arial Unicode MS"/>
        </w:rPr>
        <w:tab/>
      </w:r>
      <w:r w:rsidR="00F32235" w:rsidRPr="006E0231">
        <w:t xml:space="preserve">Respecto a las quejas de los autores relacionadas con la violación de su derecho al debido proceso y al acceso a un recurso judicial efectivo en virtud </w:t>
      </w:r>
      <w:r w:rsidR="00716A9D" w:rsidRPr="006E0231">
        <w:t>d</w:t>
      </w:r>
      <w:r w:rsidR="00F32235" w:rsidRPr="006E0231">
        <w:t>el artículo 14</w:t>
      </w:r>
      <w:r w:rsidR="00E901BC" w:rsidRPr="006E0231">
        <w:t xml:space="preserve">, párrafo </w:t>
      </w:r>
      <w:r w:rsidR="00C12822" w:rsidRPr="006E0231">
        <w:t>1</w:t>
      </w:r>
      <w:r w:rsidR="00F32235" w:rsidRPr="006E0231">
        <w:t>, leído individual y conjuntamente con el artículo 2</w:t>
      </w:r>
      <w:r w:rsidR="00E901BC" w:rsidRPr="006E0231">
        <w:t xml:space="preserve">, párrafos </w:t>
      </w:r>
      <w:r w:rsidR="00F32235" w:rsidRPr="006E0231">
        <w:t xml:space="preserve">2 y 3, del Pacto, el Comité observa que </w:t>
      </w:r>
      <w:r w:rsidR="006E05CC" w:rsidRPr="006E0231">
        <w:t>los autores tuvieron la posibilidad de presentar una demanda especial de reintegro que fue examinada en doble instancia por tribunales ordinarios de acuerdo a ley</w:t>
      </w:r>
      <w:r w:rsidR="00E901BC" w:rsidRPr="006E0231">
        <w:t>,</w:t>
      </w:r>
      <w:r w:rsidR="00C20107" w:rsidRPr="006E0231">
        <w:t xml:space="preserve"> y</w:t>
      </w:r>
      <w:r w:rsidR="006E05CC" w:rsidRPr="006E0231">
        <w:t xml:space="preserve"> que posteriormente, cuatro autores también presentaron una acción de tutela que fue desestimada por la </w:t>
      </w:r>
      <w:r w:rsidR="00E901BC" w:rsidRPr="006E0231">
        <w:t>Corte Suprema de Justicia</w:t>
      </w:r>
      <w:r w:rsidR="00C20107" w:rsidRPr="006E0231">
        <w:t xml:space="preserve">. Más aún, </w:t>
      </w:r>
      <w:r w:rsidR="006E05CC" w:rsidRPr="006E0231">
        <w:t>las alegaciones de los autores</w:t>
      </w:r>
      <w:r w:rsidR="00F32235" w:rsidRPr="006E0231">
        <w:t xml:space="preserve"> se refieren básicamente a la evaluación de los hechos y la aplicación de la legislación interna</w:t>
      </w:r>
      <w:r w:rsidR="00716A9D" w:rsidRPr="006E0231">
        <w:t>, incluidos los convenios sindicales de trabajo y la jurisprudencia en la materia,</w:t>
      </w:r>
      <w:r w:rsidR="00F32235" w:rsidRPr="006E0231">
        <w:t xml:space="preserve"> realizadas por los tribunales del Estado parte</w:t>
      </w:r>
      <w:r w:rsidR="00716A9D" w:rsidRPr="006E0231">
        <w:t xml:space="preserve">. </w:t>
      </w:r>
      <w:r w:rsidR="00C263FB" w:rsidRPr="006E0231">
        <w:t>L</w:t>
      </w:r>
      <w:r w:rsidR="00716A9D" w:rsidRPr="006E0231">
        <w:t>os autores alegan que es incongruente que los tribunales reconozcan que ellos tenían fuero sindical</w:t>
      </w:r>
      <w:r w:rsidR="006E05CC" w:rsidRPr="006E0231">
        <w:t xml:space="preserve"> debido a los cargos que desempeñaban en </w:t>
      </w:r>
      <w:r w:rsidR="006E05CC" w:rsidRPr="006E0231">
        <w:rPr>
          <w:rFonts w:eastAsia="Arial Unicode MS"/>
        </w:rPr>
        <w:t>SINTRAINDUSCAFÉ</w:t>
      </w:r>
      <w:r w:rsidR="00E901BC" w:rsidRPr="006E0231">
        <w:rPr>
          <w:rFonts w:eastAsia="Arial Unicode MS"/>
        </w:rPr>
        <w:t>,</w:t>
      </w:r>
      <w:r w:rsidR="006E05CC" w:rsidRPr="006E0231">
        <w:rPr>
          <w:rFonts w:eastAsia="Arial Unicode MS"/>
        </w:rPr>
        <w:t xml:space="preserve"> </w:t>
      </w:r>
      <w:r w:rsidR="00716A9D" w:rsidRPr="006E0231">
        <w:rPr>
          <w:rFonts w:eastAsia="Arial Unicode MS"/>
        </w:rPr>
        <w:t>y</w:t>
      </w:r>
      <w:r w:rsidR="009B5F3D" w:rsidRPr="006E0231">
        <w:rPr>
          <w:rFonts w:eastAsia="Arial Unicode MS"/>
        </w:rPr>
        <w:t xml:space="preserve"> que</w:t>
      </w:r>
      <w:r w:rsidR="00716A9D" w:rsidRPr="006E0231">
        <w:rPr>
          <w:rFonts w:eastAsia="Arial Unicode MS"/>
        </w:rPr>
        <w:t xml:space="preserve">, por otra parte, concluyan </w:t>
      </w:r>
      <w:r w:rsidR="006E05CC" w:rsidRPr="006E0231">
        <w:rPr>
          <w:rFonts w:eastAsia="Arial Unicode MS"/>
        </w:rPr>
        <w:t xml:space="preserve">que </w:t>
      </w:r>
      <w:r w:rsidR="00C20107" w:rsidRPr="006E0231">
        <w:rPr>
          <w:rFonts w:eastAsia="Arial Unicode MS"/>
        </w:rPr>
        <w:t>la Federación no</w:t>
      </w:r>
      <w:r w:rsidR="006E05CC" w:rsidRPr="006E0231">
        <w:rPr>
          <w:rFonts w:eastAsia="Arial Unicode MS"/>
        </w:rPr>
        <w:t xml:space="preserve"> requería </w:t>
      </w:r>
      <w:r w:rsidR="00C20107" w:rsidRPr="006E0231">
        <w:rPr>
          <w:rFonts w:eastAsia="Arial Unicode MS"/>
        </w:rPr>
        <w:t xml:space="preserve">solicitar </w:t>
      </w:r>
      <w:r w:rsidR="006E05CC" w:rsidRPr="006E0231">
        <w:rPr>
          <w:rFonts w:eastAsia="Arial Unicode MS"/>
        </w:rPr>
        <w:t>autorización judicial previa ya</w:t>
      </w:r>
      <w:r w:rsidR="00716A9D" w:rsidRPr="006E0231">
        <w:rPr>
          <w:rFonts w:eastAsia="Arial Unicode MS"/>
        </w:rPr>
        <w:t xml:space="preserve"> que</w:t>
      </w:r>
      <w:r w:rsidR="006E05CC" w:rsidRPr="006E0231">
        <w:rPr>
          <w:rFonts w:eastAsia="Arial Unicode MS"/>
        </w:rPr>
        <w:t xml:space="preserve"> </w:t>
      </w:r>
      <w:r w:rsidR="00716A9D" w:rsidRPr="006E0231">
        <w:rPr>
          <w:rFonts w:eastAsia="Arial Unicode MS"/>
        </w:rPr>
        <w:t>el fin</w:t>
      </w:r>
      <w:r w:rsidR="006E05CC" w:rsidRPr="006E0231">
        <w:rPr>
          <w:rFonts w:eastAsia="Arial Unicode MS"/>
        </w:rPr>
        <w:t xml:space="preserve"> del vínculo laboral no fue el resultado de un despido sino de la expiración de contratos de trabajo a término fijo que no fueron renovados por la Federación. </w:t>
      </w:r>
      <w:r w:rsidR="00E94AE9" w:rsidRPr="006E0231">
        <w:rPr>
          <w:rFonts w:eastAsia="Arial Unicode MS"/>
        </w:rPr>
        <w:t>E</w:t>
      </w:r>
      <w:r w:rsidR="009B5F3D" w:rsidRPr="006E0231">
        <w:t>l Comité recuerda</w:t>
      </w:r>
      <w:r w:rsidR="00C12822" w:rsidRPr="006E0231">
        <w:t xml:space="preserve"> que</w:t>
      </w:r>
      <w:r w:rsidR="00E94AE9" w:rsidRPr="006E0231">
        <w:t xml:space="preserve"> </w:t>
      </w:r>
      <w:r w:rsidR="00C12822" w:rsidRPr="006E0231">
        <w:t>el artículo 14 del Pacto garantiza la igualdad ante los tribunales pero no puede interpretarse en el sentido de que garantiza la igualdad en los resultados o la infalibilidad del tribunal competente</w:t>
      </w:r>
      <w:r w:rsidR="00F70447" w:rsidRPr="008C3C15">
        <w:rPr>
          <w:rStyle w:val="FootnoteReference"/>
        </w:rPr>
        <w:footnoteReference w:id="18"/>
      </w:r>
      <w:r w:rsidR="00E94AE9" w:rsidRPr="008C3C15">
        <w:t>.</w:t>
      </w:r>
      <w:r w:rsidR="00C12822" w:rsidRPr="008C3C15">
        <w:t xml:space="preserve"> </w:t>
      </w:r>
      <w:r w:rsidR="00E94AE9" w:rsidRPr="006E0231">
        <w:t>El Comité también recuerda</w:t>
      </w:r>
      <w:r w:rsidR="009B5F3D" w:rsidRPr="006E0231">
        <w:t xml:space="preserve"> su jurisprudencia en el sentido </w:t>
      </w:r>
      <w:r w:rsidR="00085161" w:rsidRPr="006E0231">
        <w:t xml:space="preserve">de </w:t>
      </w:r>
      <w:r w:rsidR="00C12822" w:rsidRPr="006E0231">
        <w:t xml:space="preserve">que </w:t>
      </w:r>
      <w:r w:rsidR="0070383B" w:rsidRPr="006E0231">
        <w:t xml:space="preserve">en general </w:t>
      </w:r>
      <w:r w:rsidR="00F32235" w:rsidRPr="006E0231">
        <w:t>incumbe a los tribunales de los Estados partes evaluar los hechos y las pruebas en cada caso particular, o la aplicación de la legislación interna, a menos que se demuestre que esa evaluación o aplicación fue claramente arbitraria o equivalió a error manifiesto o denegación de justicia</w:t>
      </w:r>
      <w:r w:rsidR="00F70447" w:rsidRPr="008C3C15">
        <w:rPr>
          <w:rStyle w:val="FootnoteReference"/>
        </w:rPr>
        <w:footnoteReference w:id="19"/>
      </w:r>
      <w:r w:rsidR="00C20107" w:rsidRPr="008C3C15">
        <w:t>.</w:t>
      </w:r>
      <w:r w:rsidR="00F32235" w:rsidRPr="008C3C15">
        <w:t xml:space="preserve"> El Comité ha examinado los materiales presentados por las partes, incluidas </w:t>
      </w:r>
      <w:r w:rsidR="007372DB" w:rsidRPr="006E0231">
        <w:t>las sentencias</w:t>
      </w:r>
      <w:r w:rsidR="00F32235" w:rsidRPr="006E0231">
        <w:t xml:space="preserve"> de</w:t>
      </w:r>
      <w:r w:rsidR="00C263FB" w:rsidRPr="006E0231">
        <w:t xml:space="preserve"> primera instancia y del </w:t>
      </w:r>
      <w:r w:rsidR="00CD2A51" w:rsidRPr="006E0231">
        <w:rPr>
          <w:rFonts w:eastAsia="Arial Unicode MS"/>
        </w:rPr>
        <w:t xml:space="preserve">Tribunal Superior de Justicia de Bogotá </w:t>
      </w:r>
      <w:r w:rsidR="00C263FB" w:rsidRPr="006E0231">
        <w:t>con relación a las demandas de reintegro por fuero sindical</w:t>
      </w:r>
      <w:r w:rsidR="00F32235" w:rsidRPr="006E0231">
        <w:t xml:space="preserve"> que abordaron las quejas que </w:t>
      </w:r>
      <w:r w:rsidR="00C263FB" w:rsidRPr="006E0231">
        <w:t>los</w:t>
      </w:r>
      <w:r w:rsidR="00F32235" w:rsidRPr="006E0231">
        <w:t xml:space="preserve"> autor</w:t>
      </w:r>
      <w:r w:rsidR="00C263FB" w:rsidRPr="006E0231">
        <w:t>es presentan ante el Comité</w:t>
      </w:r>
      <w:r w:rsidR="00F34C0A" w:rsidRPr="006E0231">
        <w:t xml:space="preserve"> y nota las discrepancias de los autores respecto a la </w:t>
      </w:r>
      <w:r w:rsidR="001E4947" w:rsidRPr="006E0231">
        <w:t xml:space="preserve">aplicación </w:t>
      </w:r>
      <w:r w:rsidR="00F34C0A" w:rsidRPr="006E0231">
        <w:t>de la legislación interna realizada por los tribunales del Estado parte</w:t>
      </w:r>
      <w:r w:rsidR="00F32235" w:rsidRPr="006E0231">
        <w:t xml:space="preserve">. </w:t>
      </w:r>
      <w:r w:rsidR="00F34C0A" w:rsidRPr="006E0231">
        <w:t>Sin embargo, e</w:t>
      </w:r>
      <w:r w:rsidR="00F32235" w:rsidRPr="006E0231">
        <w:t>n las circunstancias del</w:t>
      </w:r>
      <w:r w:rsidR="00F34C0A" w:rsidRPr="006E0231">
        <w:t xml:space="preserve"> presente</w:t>
      </w:r>
      <w:r w:rsidR="00F32235" w:rsidRPr="006E0231">
        <w:t xml:space="preserve"> caso, el Comité considera que dichos materiales no muestran que los procesos judiciales</w:t>
      </w:r>
      <w:r w:rsidR="00D85B7D" w:rsidRPr="006E0231">
        <w:t>,</w:t>
      </w:r>
      <w:r w:rsidR="00F32235" w:rsidRPr="006E0231">
        <w:t xml:space="preserve"> </w:t>
      </w:r>
      <w:r w:rsidR="00D85B7D" w:rsidRPr="006E0231">
        <w:t xml:space="preserve">en sí mismos, </w:t>
      </w:r>
      <w:r w:rsidR="00F32235" w:rsidRPr="006E0231">
        <w:t xml:space="preserve">adolecieran de los defectos arriba mencionados. Por consiguiente, el Comité considera que </w:t>
      </w:r>
      <w:r w:rsidR="00C263FB" w:rsidRPr="006E0231">
        <w:t>los autores no han</w:t>
      </w:r>
      <w:r w:rsidR="00F32235" w:rsidRPr="006E0231">
        <w:t xml:space="preserve"> fundamentado suficientemente sus denuncias de violación del artículo 14, </w:t>
      </w:r>
      <w:r w:rsidR="00C263FB" w:rsidRPr="006E0231">
        <w:t>leído individual y conjuntamente con el artículo 2</w:t>
      </w:r>
      <w:r w:rsidR="00E901BC" w:rsidRPr="006E0231">
        <w:t>, párrafo</w:t>
      </w:r>
      <w:r w:rsidR="00C263FB" w:rsidRPr="006E0231">
        <w:t xml:space="preserve"> 3, </w:t>
      </w:r>
      <w:r w:rsidR="00F32235" w:rsidRPr="006E0231">
        <w:t xml:space="preserve">por lo que </w:t>
      </w:r>
      <w:r w:rsidR="00C263FB" w:rsidRPr="006E0231">
        <w:t xml:space="preserve">esta parte de </w:t>
      </w:r>
      <w:r w:rsidR="00F32235" w:rsidRPr="006E0231">
        <w:t>la comunicación resulta inadmisible con arreglo al artículo 2 del Protocolo Facultativo.</w:t>
      </w:r>
      <w:r w:rsidR="0070383B" w:rsidRPr="006E0231">
        <w:t xml:space="preserve"> El Comité</w:t>
      </w:r>
      <w:r w:rsidR="00632931" w:rsidRPr="006E0231">
        <w:t xml:space="preserve"> también recuerda su jurisprudencia en el sentido de que las disposiciones del artículo 2 no pueden invocarse para efectuar una reclamación en una comunicación en virtud del Protocolo Facultativo, en conjunción con otras disposiciones del Pacto, a menos que el incumplimiento por el Estado parte de sus obligaciones en virtud del artículo 2</w:t>
      </w:r>
      <w:r w:rsidR="00E901BC" w:rsidRPr="006E0231">
        <w:t xml:space="preserve">, párrafo </w:t>
      </w:r>
      <w:r w:rsidR="00F2659F" w:rsidRPr="006E0231">
        <w:t>2</w:t>
      </w:r>
      <w:r w:rsidR="00E901BC" w:rsidRPr="006E0231">
        <w:t>,</w:t>
      </w:r>
      <w:r w:rsidR="00632931" w:rsidRPr="006E0231">
        <w:t xml:space="preserve"> sea causa inmediata de otra violación del Pacto que afecte directamente a la persona que afirma ser víctima</w:t>
      </w:r>
      <w:r w:rsidR="00F42DFC" w:rsidRPr="008C3C15">
        <w:rPr>
          <w:rStyle w:val="FootnoteReference"/>
        </w:rPr>
        <w:footnoteReference w:id="20"/>
      </w:r>
      <w:r w:rsidR="00632931" w:rsidRPr="008C3C15">
        <w:t>. En el presente caso, el Comité no considera que el examen de si el Estado parte violó también sus obligaciones generales en virtud del artículo 2</w:t>
      </w:r>
      <w:r w:rsidR="00E901BC" w:rsidRPr="008C3C15">
        <w:t xml:space="preserve">, párrafo </w:t>
      </w:r>
      <w:r w:rsidR="00632931" w:rsidRPr="006E0231">
        <w:t>2</w:t>
      </w:r>
      <w:r w:rsidR="00E901BC" w:rsidRPr="006E0231">
        <w:t>,</w:t>
      </w:r>
      <w:r w:rsidR="00632931" w:rsidRPr="006E0231">
        <w:t xml:space="preserve"> del Pacto, sea distinto del examen de la posible violación de los derechos de los autores en virtud del artículo 14 del Pacto. Por consiguiente, el Comité considera que las alegaciones de los autores a este respecto son incompatibles con el artículo 2 del Pacto e inadmisibles en virtud del artículo 3 del Protocolo Facultativo.</w:t>
      </w:r>
    </w:p>
    <w:p w14:paraId="073837DB" w14:textId="5BBA498A" w:rsidR="005731AF" w:rsidRPr="00802445" w:rsidRDefault="00920000" w:rsidP="008C3C15">
      <w:pPr>
        <w:pStyle w:val="SingleTxtG"/>
      </w:pPr>
      <w:r w:rsidRPr="006E0231">
        <w:t>8.6</w:t>
      </w:r>
      <w:r w:rsidR="007372DB" w:rsidRPr="00802445">
        <w:tab/>
        <w:t>El Comité toma nota de las alegaciones de</w:t>
      </w:r>
      <w:r w:rsidR="007638B0" w:rsidRPr="00802445">
        <w:t xml:space="preserve"> los autores de </w:t>
      </w:r>
      <w:r w:rsidR="00D85B7D" w:rsidRPr="00802445">
        <w:t xml:space="preserve">que las decisiones judiciales constituyeron en la práctica una violación de los derechos que les asisten en virtud del </w:t>
      </w:r>
      <w:r w:rsidR="007638B0" w:rsidRPr="00802445">
        <w:t>artículo 22 del Pacto</w:t>
      </w:r>
      <w:r w:rsidR="007638B0" w:rsidRPr="008C3C15">
        <w:t xml:space="preserve">. El Comité observa </w:t>
      </w:r>
      <w:r w:rsidR="005731AF" w:rsidRPr="008C3C15">
        <w:t>que las decisiones que desestimaron</w:t>
      </w:r>
      <w:r w:rsidR="005731AF" w:rsidRPr="006E0231">
        <w:t xml:space="preserve"> las demandas de los autores reconocieron su derecho </w:t>
      </w:r>
      <w:r w:rsidR="00D85B7D" w:rsidRPr="006E0231">
        <w:t xml:space="preserve">afiliarse a un sindicato y </w:t>
      </w:r>
      <w:r w:rsidR="005731AF" w:rsidRPr="006E0231">
        <w:t xml:space="preserve">al fuero sindical, pero consideraron que </w:t>
      </w:r>
      <w:r w:rsidR="00D85B7D" w:rsidRPr="006E0231">
        <w:t>el fuero no era aplicable</w:t>
      </w:r>
      <w:r w:rsidR="005731AF" w:rsidRPr="006E0231">
        <w:t xml:space="preserve"> a sus casos</w:t>
      </w:r>
      <w:r w:rsidR="0020217D" w:rsidRPr="006E0231">
        <w:t xml:space="preserve"> debido a que </w:t>
      </w:r>
      <w:r w:rsidR="00085161" w:rsidRPr="006E0231">
        <w:t xml:space="preserve">la pérdida de su empleo no se debió a despido sino al hecho de que su contrato llegó a término. No existiendo otras indicaciones que lleven a </w:t>
      </w:r>
      <w:r w:rsidR="0053591B" w:rsidRPr="006E0231">
        <w:t>mostrar la existencia de un vínculo entre la pérdida del empleo y el ejercicio del derecho de los autores bajo el artículo 22 del Pacto</w:t>
      </w:r>
      <w:r w:rsidR="000962C0" w:rsidRPr="006E0231">
        <w:t>,</w:t>
      </w:r>
      <w:r w:rsidR="00966A39" w:rsidRPr="006E0231">
        <w:t xml:space="preserve"> </w:t>
      </w:r>
      <w:r w:rsidR="005731AF" w:rsidRPr="006E0231">
        <w:t>el Comité considera que las alegaciones relativas a</w:t>
      </w:r>
      <w:r w:rsidR="0053591B" w:rsidRPr="006E0231">
        <w:t xml:space="preserve"> la violación de esta disposición</w:t>
      </w:r>
      <w:r w:rsidR="00966A39" w:rsidRPr="006E0231">
        <w:t xml:space="preserve"> </w:t>
      </w:r>
      <w:r w:rsidR="005731AF" w:rsidRPr="006E0231">
        <w:t xml:space="preserve">no </w:t>
      </w:r>
      <w:r w:rsidR="0053591B" w:rsidRPr="006E0231">
        <w:t xml:space="preserve">han sido </w:t>
      </w:r>
      <w:r w:rsidR="005731AF" w:rsidRPr="006E0231">
        <w:t>fundamentad</w:t>
      </w:r>
      <w:r w:rsidR="0053591B" w:rsidRPr="006E0231">
        <w:t>as</w:t>
      </w:r>
      <w:r w:rsidR="005731AF" w:rsidRPr="006E0231">
        <w:t xml:space="preserve"> a efectos de la admisibilidad, y concluye que son inadmisibles con arreglo al artículo 2 del Protocolo Facultativo.</w:t>
      </w:r>
    </w:p>
    <w:p w14:paraId="12C37E3D" w14:textId="75A077E2" w:rsidR="00966D36" w:rsidRPr="00802445" w:rsidRDefault="00920000" w:rsidP="008C3C15">
      <w:pPr>
        <w:pStyle w:val="SingleTxtG"/>
      </w:pPr>
      <w:r w:rsidRPr="008C3C15">
        <w:t>8.7</w:t>
      </w:r>
      <w:r w:rsidR="009C72B7" w:rsidRPr="006E0231">
        <w:tab/>
      </w:r>
      <w:r w:rsidR="005951DD" w:rsidRPr="006E0231">
        <w:t xml:space="preserve">El Comité toma nota de las alegaciones de los autores de que las sentencias del </w:t>
      </w:r>
      <w:r w:rsidR="00CD2A51" w:rsidRPr="006E0231">
        <w:rPr>
          <w:rFonts w:eastAsia="Arial Unicode MS"/>
        </w:rPr>
        <w:t xml:space="preserve">Tribunal Superior de Justicia de Bogotá </w:t>
      </w:r>
      <w:r w:rsidR="005951DD" w:rsidRPr="006E0231">
        <w:rPr>
          <w:rFonts w:eastAsia="Arial Unicode MS"/>
        </w:rPr>
        <w:t>constituyeron una violación al derecho a la igualdad ante la ley, establecido en el artículo 26 del Pacto</w:t>
      </w:r>
      <w:r w:rsidR="0043016B" w:rsidRPr="006E0231">
        <w:rPr>
          <w:rFonts w:eastAsia="Arial Unicode MS"/>
        </w:rPr>
        <w:t xml:space="preserve"> toda vez que el 31 de julio de 2008 el </w:t>
      </w:r>
      <w:r w:rsidR="00CD2A51" w:rsidRPr="006E0231">
        <w:rPr>
          <w:rFonts w:eastAsia="Arial Unicode MS"/>
        </w:rPr>
        <w:t xml:space="preserve">Tribunal Superior de Justicia de Bogotá </w:t>
      </w:r>
      <w:r w:rsidR="000962C0" w:rsidRPr="006E0231">
        <w:rPr>
          <w:rFonts w:eastAsia="Arial Unicode MS"/>
        </w:rPr>
        <w:t xml:space="preserve">dictó </w:t>
      </w:r>
      <w:r w:rsidR="0043016B" w:rsidRPr="006E0231">
        <w:rPr>
          <w:rFonts w:eastAsia="Arial Unicode MS"/>
        </w:rPr>
        <w:t xml:space="preserve">una sentencia </w:t>
      </w:r>
      <w:r w:rsidR="00966D36" w:rsidRPr="006E0231">
        <w:rPr>
          <w:rFonts w:eastAsia="Arial Unicode MS"/>
        </w:rPr>
        <w:t>con relación a un caso</w:t>
      </w:r>
      <w:r w:rsidR="0043016B" w:rsidRPr="006E0231">
        <w:rPr>
          <w:rFonts w:eastAsia="Arial Unicode MS"/>
        </w:rPr>
        <w:t xml:space="preserve"> similar,</w:t>
      </w:r>
      <w:r w:rsidR="005951DD" w:rsidRPr="006E0231">
        <w:rPr>
          <w:rFonts w:eastAsia="Arial Unicode MS"/>
        </w:rPr>
        <w:t xml:space="preserve"> presentado por otro trabajador de la Federación y miembro de la </w:t>
      </w:r>
      <w:r w:rsidR="00306C0C" w:rsidRPr="006E0231">
        <w:rPr>
          <w:rFonts w:eastAsia="Arial Unicode MS"/>
        </w:rPr>
        <w:t>j</w:t>
      </w:r>
      <w:r w:rsidR="005951DD" w:rsidRPr="006E0231">
        <w:rPr>
          <w:rFonts w:eastAsia="Arial Unicode MS"/>
        </w:rPr>
        <w:t xml:space="preserve">unta </w:t>
      </w:r>
      <w:r w:rsidR="00306C0C" w:rsidRPr="006E0231">
        <w:rPr>
          <w:rFonts w:eastAsia="Arial Unicode MS"/>
        </w:rPr>
        <w:t>d</w:t>
      </w:r>
      <w:r w:rsidR="005951DD" w:rsidRPr="006E0231">
        <w:rPr>
          <w:rFonts w:eastAsia="Arial Unicode MS"/>
        </w:rPr>
        <w:t xml:space="preserve">irectiva </w:t>
      </w:r>
      <w:r w:rsidR="00306C0C" w:rsidRPr="006E0231">
        <w:rPr>
          <w:rFonts w:eastAsia="Arial Unicode MS"/>
        </w:rPr>
        <w:t>n</w:t>
      </w:r>
      <w:r w:rsidR="005951DD" w:rsidRPr="006E0231">
        <w:rPr>
          <w:rFonts w:eastAsia="Arial Unicode MS"/>
        </w:rPr>
        <w:t xml:space="preserve">acional de </w:t>
      </w:r>
      <w:r w:rsidR="005951DD" w:rsidRPr="006E0231">
        <w:t>SINTRAINDUSCAFÉ</w:t>
      </w:r>
      <w:r w:rsidR="005951DD" w:rsidRPr="006E0231">
        <w:rPr>
          <w:rFonts w:eastAsia="Arial Unicode MS"/>
        </w:rPr>
        <w:t>, en sentido inverso a los casos de los autores.</w:t>
      </w:r>
      <w:r w:rsidR="00CA4732" w:rsidRPr="006E0231">
        <w:rPr>
          <w:rFonts w:eastAsia="Arial Unicode MS"/>
        </w:rPr>
        <w:t xml:space="preserve"> </w:t>
      </w:r>
      <w:r w:rsidR="005951DD" w:rsidRPr="006E0231">
        <w:rPr>
          <w:rFonts w:eastAsia="Arial Unicode MS"/>
        </w:rPr>
        <w:t>El Comité</w:t>
      </w:r>
      <w:r w:rsidR="00D42DDC" w:rsidRPr="006E0231">
        <w:rPr>
          <w:rFonts w:eastAsia="Arial Unicode MS"/>
        </w:rPr>
        <w:t xml:space="preserve"> observa, sin embargo, </w:t>
      </w:r>
      <w:r w:rsidR="00D42DDC" w:rsidRPr="00802445">
        <w:t xml:space="preserve">que </w:t>
      </w:r>
      <w:r w:rsidR="00CA4732" w:rsidRPr="00802445">
        <w:t xml:space="preserve">las decisiones judiciales que serían contradictorias, en sí mismas, no prueban una discriminación y que </w:t>
      </w:r>
      <w:r w:rsidR="00D42DDC" w:rsidRPr="00802445">
        <w:t xml:space="preserve">los autores no han fundamentado suficientemente, a efectos de admisibilidad, </w:t>
      </w:r>
      <w:r w:rsidR="003956E6" w:rsidRPr="00802445">
        <w:t xml:space="preserve">de </w:t>
      </w:r>
      <w:r w:rsidR="00D42DDC" w:rsidRPr="008C3C15">
        <w:rPr>
          <w:rFonts w:eastAsia="Arial Unicode MS"/>
        </w:rPr>
        <w:t>qu</w:t>
      </w:r>
      <w:r w:rsidR="000962C0" w:rsidRPr="008C3C15">
        <w:rPr>
          <w:rFonts w:eastAsia="Arial Unicode MS"/>
        </w:rPr>
        <w:t>é</w:t>
      </w:r>
      <w:r w:rsidR="00D42DDC" w:rsidRPr="006E0231">
        <w:rPr>
          <w:rFonts w:eastAsia="Arial Unicode MS"/>
        </w:rPr>
        <w:t xml:space="preserve"> forma </w:t>
      </w:r>
      <w:r w:rsidR="00966D36" w:rsidRPr="006E0231">
        <w:rPr>
          <w:rFonts w:eastAsia="Arial Unicode MS"/>
        </w:rPr>
        <w:t xml:space="preserve">han sido víctimas de discriminación </w:t>
      </w:r>
      <w:r w:rsidR="00D42DDC" w:rsidRPr="00802445">
        <w:t>por uno de los motivos aludidos en el artículo 26 del Pacto.</w:t>
      </w:r>
      <w:r w:rsidR="00966D36" w:rsidRPr="00802445">
        <w:t xml:space="preserve"> Por consiguiente, el Comité considera que esta queja es inadmisible en virtud del artículo 2 del Protocolo Facultativo.</w:t>
      </w:r>
    </w:p>
    <w:p w14:paraId="70CEAE0B" w14:textId="28240287" w:rsidR="00966D36" w:rsidRPr="006E0231" w:rsidRDefault="00966D36" w:rsidP="006E0231">
      <w:pPr>
        <w:pStyle w:val="SingleTxtG"/>
      </w:pPr>
      <w:r w:rsidRPr="008C3C15">
        <w:t>9.</w:t>
      </w:r>
      <w:r w:rsidRPr="006E0231">
        <w:tab/>
        <w:t>El Comité de Derechos Humanos decide por tanto:</w:t>
      </w:r>
    </w:p>
    <w:p w14:paraId="43F7CB90" w14:textId="1986A665" w:rsidR="00966D36" w:rsidRPr="006E0231" w:rsidRDefault="009E7AC9" w:rsidP="00802445">
      <w:pPr>
        <w:pStyle w:val="SingleTxtG"/>
      </w:pPr>
      <w:r>
        <w:tab/>
      </w:r>
      <w:r>
        <w:tab/>
      </w:r>
      <w:r w:rsidR="00966D36" w:rsidRPr="008C3C15">
        <w:t>a)</w:t>
      </w:r>
      <w:r w:rsidR="00966D36" w:rsidRPr="008C3C15">
        <w:tab/>
        <w:t>Que la comunicación es inadmisible a tenor de</w:t>
      </w:r>
      <w:r w:rsidR="009A3BA2" w:rsidRPr="008C3C15">
        <w:t xml:space="preserve"> los</w:t>
      </w:r>
      <w:r w:rsidR="00966D36" w:rsidRPr="006E0231">
        <w:t xml:space="preserve"> artículo</w:t>
      </w:r>
      <w:r w:rsidR="009A3BA2" w:rsidRPr="006E0231">
        <w:t>s</w:t>
      </w:r>
      <w:r w:rsidR="00966D36" w:rsidRPr="006E0231">
        <w:t xml:space="preserve"> 2</w:t>
      </w:r>
      <w:r w:rsidR="009A3BA2" w:rsidRPr="006E0231">
        <w:t xml:space="preserve"> y 3</w:t>
      </w:r>
      <w:r w:rsidR="00966D36" w:rsidRPr="006E0231">
        <w:t xml:space="preserve"> del Protocolo Facultativo;</w:t>
      </w:r>
    </w:p>
    <w:p w14:paraId="14493EFD" w14:textId="6538EBA7" w:rsidR="00966D36" w:rsidRPr="008C3C15" w:rsidRDefault="009E7AC9" w:rsidP="00802445">
      <w:pPr>
        <w:pStyle w:val="SingleTxtG"/>
      </w:pPr>
      <w:r>
        <w:tab/>
      </w:r>
      <w:r>
        <w:tab/>
      </w:r>
      <w:r w:rsidR="00966D36" w:rsidRPr="008C3C15">
        <w:t>b)</w:t>
      </w:r>
      <w:r w:rsidR="00966D36" w:rsidRPr="008C3C15">
        <w:tab/>
        <w:t>Que se comunique la presente decisión al Estado Parte y a los autores.</w:t>
      </w:r>
    </w:p>
    <w:p w14:paraId="5902240F" w14:textId="74722239" w:rsidR="00FE4480" w:rsidRPr="00802445" w:rsidRDefault="009E7AC9" w:rsidP="008C3C15">
      <w:pPr>
        <w:pStyle w:val="SingleTxtG"/>
        <w:suppressAutoHyphens/>
        <w:spacing w:before="240" w:after="0"/>
        <w:jc w:val="center"/>
        <w:rPr>
          <w:u w:val="single"/>
        </w:rPr>
      </w:pPr>
      <w:r>
        <w:rPr>
          <w:u w:val="single"/>
        </w:rPr>
        <w:tab/>
      </w:r>
      <w:r w:rsidRPr="00802445">
        <w:rPr>
          <w:u w:val="single"/>
        </w:rPr>
        <w:tab/>
      </w:r>
      <w:r w:rsidRPr="00802445">
        <w:rPr>
          <w:u w:val="single"/>
        </w:rPr>
        <w:tab/>
      </w:r>
      <w:r w:rsidRPr="00802445">
        <w:rPr>
          <w:u w:val="single"/>
        </w:rPr>
        <w:tab/>
      </w:r>
    </w:p>
    <w:sectPr w:rsidR="00FE4480" w:rsidRPr="00802445" w:rsidSect="00802445">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4FEDD" w14:textId="77777777" w:rsidR="00F326F2" w:rsidRDefault="00F326F2"/>
  </w:endnote>
  <w:endnote w:type="continuationSeparator" w:id="0">
    <w:p w14:paraId="7CAF7999" w14:textId="77777777" w:rsidR="00F326F2" w:rsidRDefault="00F326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FDF2" w14:textId="34FB5888" w:rsidR="009E2CE0" w:rsidRPr="00080A30" w:rsidRDefault="009E2CE0" w:rsidP="00080A30">
    <w:pPr>
      <w:pStyle w:val="Footer"/>
      <w:tabs>
        <w:tab w:val="right" w:pos="9638"/>
      </w:tabs>
    </w:pPr>
    <w:r w:rsidRPr="00080A30">
      <w:rPr>
        <w:b/>
        <w:sz w:val="18"/>
      </w:rPr>
      <w:fldChar w:fldCharType="begin"/>
    </w:r>
    <w:r w:rsidRPr="00080A30">
      <w:rPr>
        <w:b/>
        <w:sz w:val="18"/>
      </w:rPr>
      <w:instrText xml:space="preserve"> PAGE  \* MERGEFORMAT </w:instrText>
    </w:r>
    <w:r w:rsidRPr="00080A30">
      <w:rPr>
        <w:b/>
        <w:sz w:val="18"/>
      </w:rPr>
      <w:fldChar w:fldCharType="separate"/>
    </w:r>
    <w:r w:rsidR="00DB5718">
      <w:rPr>
        <w:b/>
        <w:noProof/>
        <w:sz w:val="18"/>
      </w:rPr>
      <w:t>2</w:t>
    </w:r>
    <w:r w:rsidRPr="00080A30">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8207" w14:textId="7F43A13D" w:rsidR="009E2CE0" w:rsidRPr="00080A30" w:rsidRDefault="009E2CE0" w:rsidP="00080A30">
    <w:pPr>
      <w:pStyle w:val="Footer"/>
      <w:tabs>
        <w:tab w:val="right" w:pos="9638"/>
      </w:tabs>
      <w:rPr>
        <w:b/>
        <w:sz w:val="18"/>
      </w:rPr>
    </w:pPr>
    <w:r>
      <w:tab/>
    </w:r>
    <w:r w:rsidRPr="00080A30">
      <w:rPr>
        <w:b/>
        <w:sz w:val="18"/>
      </w:rPr>
      <w:fldChar w:fldCharType="begin"/>
    </w:r>
    <w:r w:rsidRPr="00080A30">
      <w:rPr>
        <w:b/>
        <w:sz w:val="18"/>
      </w:rPr>
      <w:instrText xml:space="preserve"> PAGE  \* MERGEFORMAT </w:instrText>
    </w:r>
    <w:r w:rsidRPr="00080A30">
      <w:rPr>
        <w:b/>
        <w:sz w:val="18"/>
      </w:rPr>
      <w:fldChar w:fldCharType="separate"/>
    </w:r>
    <w:r w:rsidR="00DB5718">
      <w:rPr>
        <w:b/>
        <w:noProof/>
        <w:sz w:val="18"/>
      </w:rPr>
      <w:t>3</w:t>
    </w:r>
    <w:r w:rsidRPr="00080A3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B427F" w14:textId="5F3E869B" w:rsidR="009E2CE0" w:rsidRPr="0095625C" w:rsidRDefault="0095625C" w:rsidP="0095625C">
    <w:pPr>
      <w:pStyle w:val="Footer"/>
      <w:spacing w:before="120" w:line="240" w:lineRule="auto"/>
      <w:rPr>
        <w:sz w:val="20"/>
      </w:rPr>
    </w:pPr>
    <w:r>
      <w:rPr>
        <w:noProof/>
        <w:sz w:val="20"/>
        <w:lang w:val="en-US" w:eastAsia="en-US"/>
      </w:rPr>
      <w:drawing>
        <wp:anchor distT="0" distB="0" distL="114300" distR="114300" simplePos="0" relativeHeight="251658240" behindDoc="0" locked="0" layoutInCell="1" allowOverlap="1" wp14:anchorId="090FD7C0" wp14:editId="510EB55D">
          <wp:simplePos x="0" y="0"/>
          <wp:positionH relativeFrom="margin">
            <wp:posOffset>5460060</wp:posOffset>
          </wp:positionH>
          <wp:positionV relativeFrom="margin">
            <wp:posOffset>8918956</wp:posOffset>
          </wp:positionV>
          <wp:extent cx="638175" cy="638175"/>
          <wp:effectExtent l="0" t="0" r="9525" b="9525"/>
          <wp:wrapNone/>
          <wp:docPr id="1" name="Imagen 1" descr="https://undocs.org/m2/QRCode.ashx?DS=CCPR/C/119/D/2121/201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21/2011&amp;Size=2&amp;Lan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GE.17-06937  (S)</w:t>
    </w:r>
    <w:r>
      <w:rPr>
        <w:sz w:val="20"/>
      </w:rPr>
      <w:br/>
    </w:r>
    <w:r w:rsidRPr="0095625C">
      <w:rPr>
        <w:rFonts w:ascii="C39T30Lfz" w:hAnsi="C39T30Lfz"/>
        <w:sz w:val="56"/>
      </w:rPr>
      <w:t></w:t>
    </w:r>
    <w:r w:rsidRPr="0095625C">
      <w:rPr>
        <w:rFonts w:ascii="C39T30Lfz" w:hAnsi="C39T30Lfz"/>
        <w:sz w:val="56"/>
      </w:rPr>
      <w:t></w:t>
    </w:r>
    <w:r w:rsidRPr="0095625C">
      <w:rPr>
        <w:rFonts w:ascii="C39T30Lfz" w:hAnsi="C39T30Lfz"/>
        <w:sz w:val="56"/>
      </w:rPr>
      <w:t></w:t>
    </w:r>
    <w:r w:rsidRPr="0095625C">
      <w:rPr>
        <w:rFonts w:ascii="C39T30Lfz" w:hAnsi="C39T30Lfz"/>
        <w:sz w:val="56"/>
      </w:rPr>
      <w:t></w:t>
    </w:r>
    <w:r w:rsidRPr="0095625C">
      <w:rPr>
        <w:rFonts w:ascii="C39T30Lfz" w:hAnsi="C39T30Lfz"/>
        <w:sz w:val="56"/>
      </w:rPr>
      <w:t></w:t>
    </w:r>
    <w:r w:rsidRPr="0095625C">
      <w:rPr>
        <w:rFonts w:ascii="C39T30Lfz" w:hAnsi="C39T30Lfz"/>
        <w:sz w:val="56"/>
      </w:rPr>
      <w:t></w:t>
    </w:r>
    <w:r w:rsidRPr="0095625C">
      <w:rPr>
        <w:rFonts w:ascii="C39T30Lfz" w:hAnsi="C39T30Lfz"/>
        <w:sz w:val="56"/>
      </w:rPr>
      <w:t></w:t>
    </w:r>
    <w:r w:rsidRPr="0095625C">
      <w:rPr>
        <w:rFonts w:ascii="C39T30Lfz" w:hAnsi="C39T30Lfz"/>
        <w:sz w:val="56"/>
      </w:rPr>
      <w:t></w:t>
    </w:r>
    <w:r w:rsidRPr="0095625C">
      <w:rPr>
        <w:rFonts w:ascii="C39T30Lfz" w:hAnsi="C39T30Lfz"/>
        <w:sz w:val="56"/>
      </w:rPr>
      <w:t></w:t>
    </w:r>
    <w:r w:rsidRPr="0095625C">
      <w:rPr>
        <w:rFonts w:ascii="C39T30Lfz" w:hAnsi="C39T30Lfz"/>
        <w:noProof/>
        <w:sz w:val="56"/>
        <w:lang w:val="en-US" w:eastAsia="en-US"/>
      </w:rPr>
      <w:drawing>
        <wp:anchor distT="0" distB="0" distL="114300" distR="114300" simplePos="0" relativeHeight="251660288" behindDoc="0" locked="1" layoutInCell="1" allowOverlap="1" wp14:anchorId="3AFAAB87" wp14:editId="4F2F83EF">
          <wp:simplePos x="0" y="0"/>
          <wp:positionH relativeFrom="margin">
            <wp:posOffset>4246245</wp:posOffset>
          </wp:positionH>
          <wp:positionV relativeFrom="margin">
            <wp:posOffset>9135110</wp:posOffset>
          </wp:positionV>
          <wp:extent cx="1085850" cy="2286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BE7EC" w14:textId="77777777" w:rsidR="00F326F2" w:rsidRPr="001075E9" w:rsidRDefault="00F326F2" w:rsidP="001075E9">
      <w:pPr>
        <w:tabs>
          <w:tab w:val="right" w:pos="2155"/>
        </w:tabs>
        <w:spacing w:after="80" w:line="240" w:lineRule="auto"/>
        <w:ind w:left="680"/>
        <w:rPr>
          <w:u w:val="single"/>
        </w:rPr>
      </w:pPr>
      <w:r>
        <w:rPr>
          <w:u w:val="single"/>
        </w:rPr>
        <w:tab/>
      </w:r>
    </w:p>
  </w:footnote>
  <w:footnote w:type="continuationSeparator" w:id="0">
    <w:p w14:paraId="524049E4" w14:textId="77777777" w:rsidR="00F326F2" w:rsidRDefault="00F326F2" w:rsidP="00AE0E02">
      <w:pPr>
        <w:tabs>
          <w:tab w:val="right" w:pos="2155"/>
        </w:tabs>
        <w:spacing w:after="80" w:line="240" w:lineRule="auto"/>
        <w:ind w:left="680"/>
        <w:rPr>
          <w:u w:val="single"/>
        </w:rPr>
      </w:pPr>
      <w:r>
        <w:rPr>
          <w:u w:val="single"/>
        </w:rPr>
        <w:tab/>
      </w:r>
    </w:p>
  </w:footnote>
  <w:footnote w:id="1">
    <w:p w14:paraId="7612A744" w14:textId="61DCC681" w:rsidR="008C3C15" w:rsidRPr="00802445" w:rsidRDefault="008C3C15">
      <w:pPr>
        <w:pStyle w:val="FootnoteText"/>
        <w:rPr>
          <w:sz w:val="20"/>
        </w:rPr>
      </w:pPr>
      <w:r>
        <w:tab/>
      </w:r>
      <w:r w:rsidRPr="00802445">
        <w:rPr>
          <w:rStyle w:val="FootnoteReference"/>
          <w:sz w:val="20"/>
          <w:vertAlign w:val="baseline"/>
        </w:rPr>
        <w:t>*</w:t>
      </w:r>
      <w:r w:rsidRPr="00802445">
        <w:rPr>
          <w:rStyle w:val="FootnoteReference"/>
          <w:vertAlign w:val="baseline"/>
        </w:rPr>
        <w:tab/>
      </w:r>
      <w:r w:rsidRPr="005043DA">
        <w:t>Adoptada por el Comité en su 119</w:t>
      </w:r>
      <w:r>
        <w:t>º</w:t>
      </w:r>
      <w:r w:rsidRPr="005043DA">
        <w:t xml:space="preserve"> período de sesiones (6 a 29 de marzo de 2017).</w:t>
      </w:r>
    </w:p>
  </w:footnote>
  <w:footnote w:id="2">
    <w:p w14:paraId="6E3846E0" w14:textId="24C75DBE" w:rsidR="008C3C15" w:rsidRPr="00802445" w:rsidRDefault="008C3C15">
      <w:pPr>
        <w:pStyle w:val="FootnoteText"/>
        <w:rPr>
          <w:sz w:val="20"/>
        </w:rPr>
      </w:pPr>
      <w:r>
        <w:tab/>
      </w:r>
      <w:r w:rsidRPr="00802445">
        <w:rPr>
          <w:rStyle w:val="FootnoteReference"/>
          <w:sz w:val="20"/>
          <w:vertAlign w:val="baseline"/>
        </w:rPr>
        <w:t>**</w:t>
      </w:r>
      <w:r w:rsidRPr="00802445">
        <w:rPr>
          <w:rStyle w:val="FootnoteReference"/>
          <w:vertAlign w:val="baseline"/>
        </w:rPr>
        <w:tab/>
      </w:r>
      <w:r>
        <w:t>Los siguientes miembros del Comité participaron en examen de la presente comunicación</w:t>
      </w:r>
      <w:r w:rsidRPr="008C3C15">
        <w:t xml:space="preserve">: Tania María Abdo Rocholl, Yadh Ben Achour, Ilze Brands Kehris, Sarah Cleveland, Ahmed Amin Fathalla, Olivier </w:t>
      </w:r>
      <w:r w:rsidRPr="005043DA">
        <w:t>de Frouville, Christof Heyns, Yuji Iwasawa, Bamarian Koita, Marcia V.</w:t>
      </w:r>
      <w:r w:rsidR="007D0FBC">
        <w:t xml:space="preserve"> </w:t>
      </w:r>
      <w:r w:rsidRPr="005043DA">
        <w:t>J. Kran, Duncan Laki Muhumuza, Photini Pazartzis, Mauro Politi, José Manuel Santos Pais, Anja Seibert-Fohr, Yuval Shany y Margo Waterval.</w:t>
      </w:r>
    </w:p>
  </w:footnote>
  <w:footnote w:id="3">
    <w:p w14:paraId="63FA0DC5" w14:textId="6EC543F5"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t>El Pacto y su Protocolo Facultativo entraron en vigor para el Estado parte el 23 de marzo de 1976.</w:t>
      </w:r>
    </w:p>
  </w:footnote>
  <w:footnote w:id="4">
    <w:p w14:paraId="0AEF1D34" w14:textId="5B05B9A8"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t>J.</w:t>
      </w:r>
      <w:r w:rsidR="008C3C15">
        <w:t xml:space="preserve"> </w:t>
      </w:r>
      <w:r>
        <w:t>J.</w:t>
      </w:r>
      <w:r w:rsidR="008C3C15">
        <w:t xml:space="preserve"> </w:t>
      </w:r>
      <w:r>
        <w:t>R.</w:t>
      </w:r>
      <w:r w:rsidR="008C3C15">
        <w:t xml:space="preserve"> </w:t>
      </w:r>
      <w:r>
        <w:t>R. y J.</w:t>
      </w:r>
      <w:r w:rsidR="008C3C15">
        <w:t xml:space="preserve"> </w:t>
      </w:r>
      <w:r>
        <w:t>M.</w:t>
      </w:r>
      <w:r w:rsidR="008C3C15">
        <w:t xml:space="preserve"> </w:t>
      </w:r>
      <w:r>
        <w:t>P.</w:t>
      </w:r>
      <w:r w:rsidR="008C3C15">
        <w:t xml:space="preserve"> </w:t>
      </w:r>
      <w:r>
        <w:t>empezaron a trabajar en la Federación el mismo día.</w:t>
      </w:r>
    </w:p>
  </w:footnote>
  <w:footnote w:id="5">
    <w:p w14:paraId="3FC5F788" w14:textId="273D2748"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t>La Federación dio por terminados los contratos de J.</w:t>
      </w:r>
      <w:r w:rsidR="008C3C15">
        <w:t xml:space="preserve"> </w:t>
      </w:r>
      <w:r>
        <w:t>J.</w:t>
      </w:r>
      <w:r w:rsidR="008C3C15">
        <w:t xml:space="preserve"> </w:t>
      </w:r>
      <w:r>
        <w:t>R.</w:t>
      </w:r>
      <w:r w:rsidR="008C3C15">
        <w:t xml:space="preserve"> </w:t>
      </w:r>
      <w:r>
        <w:t>R. y J.</w:t>
      </w:r>
      <w:r w:rsidR="008C3C15">
        <w:t xml:space="preserve"> </w:t>
      </w:r>
      <w:r>
        <w:t>M.</w:t>
      </w:r>
      <w:r w:rsidR="008C3C15">
        <w:t xml:space="preserve"> </w:t>
      </w:r>
      <w:r>
        <w:t>P. en la misma fecha.</w:t>
      </w:r>
    </w:p>
  </w:footnote>
  <w:footnote w:id="6">
    <w:p w14:paraId="698EEB38" w14:textId="4175E195" w:rsidR="009E2CE0" w:rsidRPr="003A7B49" w:rsidRDefault="009E2CE0" w:rsidP="00802445">
      <w:pPr>
        <w:pStyle w:val="FootnoteText"/>
        <w:widowControl w:val="0"/>
        <w:suppressAutoHyphens/>
        <w:rPr>
          <w:szCs w:val="18"/>
        </w:rPr>
      </w:pPr>
      <w:r>
        <w:tab/>
      </w:r>
      <w:r>
        <w:rPr>
          <w:rStyle w:val="FootnoteReference"/>
        </w:rPr>
        <w:footnoteRef/>
      </w:r>
      <w:bookmarkStart w:id="1" w:name="_Toc85356449"/>
      <w:r>
        <w:tab/>
        <w:t>Convención de 1974. Artículo 40.</w:t>
      </w:r>
      <w:r w:rsidRPr="003A7B49">
        <w:t xml:space="preserve"> </w:t>
      </w:r>
      <w:r w:rsidRPr="00802445">
        <w:rPr>
          <w:i/>
          <w:iCs/>
        </w:rPr>
        <w:t>Estabilidad laboral y contratos de trabajo</w:t>
      </w:r>
      <w:bookmarkEnd w:id="1"/>
      <w:r>
        <w:t xml:space="preserve">: </w:t>
      </w:r>
      <w:r w:rsidRPr="003A7B49">
        <w:t xml:space="preserve">En caso de terminación unilateral de </w:t>
      </w:r>
      <w:r>
        <w:t>c</w:t>
      </w:r>
      <w:r w:rsidRPr="003A7B49">
        <w:t xml:space="preserve">ontratos de </w:t>
      </w:r>
      <w:r>
        <w:t>t</w:t>
      </w:r>
      <w:r w:rsidRPr="003A7B49">
        <w:t xml:space="preserve">rabajo sin justa causa, por parte del patrono, </w:t>
      </w:r>
      <w:r>
        <w:t>e</w:t>
      </w:r>
      <w:r w:rsidRPr="003A7B49">
        <w:t>ste pagará al trabajador la siguiente indemnización según el tiempo de servicio:</w:t>
      </w:r>
      <w:r>
        <w:t xml:space="preserve"> </w:t>
      </w:r>
      <w:r w:rsidRPr="003A7B49">
        <w:rPr>
          <w:szCs w:val="18"/>
        </w:rPr>
        <w:t>[…]</w:t>
      </w:r>
    </w:p>
    <w:p w14:paraId="2AE2A74D" w14:textId="32274B6C" w:rsidR="009E2CE0" w:rsidRPr="003A7B49" w:rsidRDefault="008C3C15" w:rsidP="00802445">
      <w:pPr>
        <w:pStyle w:val="FootnoteText"/>
        <w:widowControl w:val="0"/>
        <w:suppressAutoHyphens/>
        <w:spacing w:before="60"/>
        <w:rPr>
          <w:szCs w:val="18"/>
        </w:rPr>
      </w:pPr>
      <w:r>
        <w:rPr>
          <w:szCs w:val="18"/>
        </w:rPr>
        <w:tab/>
      </w:r>
      <w:r>
        <w:rPr>
          <w:szCs w:val="18"/>
        </w:rPr>
        <w:tab/>
      </w:r>
      <w:r w:rsidR="009E2CE0" w:rsidRPr="003A7B49">
        <w:rPr>
          <w:szCs w:val="18"/>
        </w:rPr>
        <w:t>Parágrafo 1. Todo trabajador de contrato a término fijo que cumpliere o hubiere cumplido un (1) año de servicio continuo al patrono, será vinculado como trabajador permanente con contrato de tiempo indefinido.</w:t>
      </w:r>
    </w:p>
    <w:p w14:paraId="5438F449" w14:textId="109D3AB1" w:rsidR="009E2CE0" w:rsidRPr="00F42DFC" w:rsidRDefault="008C3C15" w:rsidP="00802445">
      <w:pPr>
        <w:pStyle w:val="FootnoteText"/>
        <w:widowControl w:val="0"/>
        <w:tabs>
          <w:tab w:val="clear" w:pos="1021"/>
          <w:tab w:val="right" w:pos="1020"/>
        </w:tabs>
        <w:suppressAutoHyphens/>
        <w:spacing w:before="60"/>
      </w:pPr>
      <w:r>
        <w:rPr>
          <w:szCs w:val="18"/>
        </w:rPr>
        <w:tab/>
      </w:r>
      <w:r>
        <w:rPr>
          <w:szCs w:val="18"/>
        </w:rPr>
        <w:tab/>
      </w:r>
      <w:r w:rsidR="009E2CE0" w:rsidRPr="003A7B49">
        <w:rPr>
          <w:szCs w:val="18"/>
        </w:rPr>
        <w:t xml:space="preserve">Parágrafo 2. Este artículo reglamenta íntegramente la materia sobre indemnización por despidos sin justa causa y por lo tanto deroga las disposiciones que figuren en las convenciones o </w:t>
      </w:r>
      <w:r w:rsidR="009E2CE0">
        <w:rPr>
          <w:szCs w:val="18"/>
        </w:rPr>
        <w:t>l</w:t>
      </w:r>
      <w:r w:rsidR="009E2CE0" w:rsidRPr="003A7B49">
        <w:rPr>
          <w:szCs w:val="18"/>
        </w:rPr>
        <w:t xml:space="preserve">audos </w:t>
      </w:r>
      <w:r w:rsidR="009E2CE0">
        <w:rPr>
          <w:szCs w:val="18"/>
        </w:rPr>
        <w:t>a</w:t>
      </w:r>
      <w:r w:rsidR="009E2CE0" w:rsidRPr="003A7B49">
        <w:rPr>
          <w:szCs w:val="18"/>
        </w:rPr>
        <w:t>rbitrales anteriores.</w:t>
      </w:r>
      <w:r w:rsidR="009E2CE0">
        <w:t xml:space="preserve"> </w:t>
      </w:r>
    </w:p>
  </w:footnote>
  <w:footnote w:id="7">
    <w:p w14:paraId="366250E4" w14:textId="4575D03E" w:rsidR="009E2CE0" w:rsidRPr="003A7B49" w:rsidRDefault="009E2CE0" w:rsidP="00802445">
      <w:pPr>
        <w:pStyle w:val="FootnoteText"/>
        <w:widowControl w:val="0"/>
        <w:suppressAutoHyphens/>
        <w:rPr>
          <w:szCs w:val="18"/>
        </w:rPr>
      </w:pPr>
      <w:r>
        <w:tab/>
      </w:r>
      <w:r>
        <w:rPr>
          <w:rStyle w:val="FootnoteReference"/>
        </w:rPr>
        <w:footnoteRef/>
      </w:r>
      <w:r>
        <w:tab/>
      </w:r>
      <w:bookmarkStart w:id="2" w:name="_Toc85356460"/>
      <w:r w:rsidRPr="003A7B49">
        <w:t>Convención de 1976</w:t>
      </w:r>
      <w:r>
        <w:t>.</w:t>
      </w:r>
      <w:r w:rsidRPr="003A7B49">
        <w:t xml:space="preserve"> Cláusula 8</w:t>
      </w:r>
      <w:r>
        <w:t>.</w:t>
      </w:r>
      <w:r w:rsidRPr="003A7B49">
        <w:t xml:space="preserve"> </w:t>
      </w:r>
      <w:r w:rsidRPr="00802445">
        <w:rPr>
          <w:i/>
          <w:iCs/>
        </w:rPr>
        <w:t>Estabilidad laboral y contratos de trabajo</w:t>
      </w:r>
      <w:bookmarkEnd w:id="2"/>
      <w:r>
        <w:t>:</w:t>
      </w:r>
      <w:r w:rsidRPr="003A7B49">
        <w:rPr>
          <w:i/>
        </w:rPr>
        <w:t xml:space="preserve"> </w:t>
      </w:r>
      <w:r w:rsidRPr="003A7B49">
        <w:t xml:space="preserve">En caso de terminación unilateral de </w:t>
      </w:r>
      <w:r>
        <w:t>c</w:t>
      </w:r>
      <w:r w:rsidRPr="003A7B49">
        <w:t xml:space="preserve">ontratos de </w:t>
      </w:r>
      <w:r>
        <w:t>t</w:t>
      </w:r>
      <w:r w:rsidRPr="003A7B49">
        <w:t xml:space="preserve">rabajo sin justa causa, por parte del patrono, </w:t>
      </w:r>
      <w:r>
        <w:t>e</w:t>
      </w:r>
      <w:r w:rsidRPr="003A7B49">
        <w:t>ste pagará al trabajador la siguiente indemnización según el tiempo de servicios:</w:t>
      </w:r>
      <w:r>
        <w:t xml:space="preserve"> </w:t>
      </w:r>
      <w:r w:rsidRPr="003A7B49">
        <w:rPr>
          <w:szCs w:val="18"/>
        </w:rPr>
        <w:t>[…]</w:t>
      </w:r>
    </w:p>
    <w:p w14:paraId="74C61DE1" w14:textId="31756253" w:rsidR="009E2CE0" w:rsidRPr="00F42DFC" w:rsidRDefault="009E2CE0" w:rsidP="00802445">
      <w:pPr>
        <w:pStyle w:val="FootnoteText"/>
        <w:widowControl w:val="0"/>
        <w:tabs>
          <w:tab w:val="clear" w:pos="1021"/>
          <w:tab w:val="right" w:pos="1020"/>
        </w:tabs>
        <w:suppressAutoHyphens/>
        <w:spacing w:before="60"/>
      </w:pPr>
      <w:r>
        <w:rPr>
          <w:szCs w:val="18"/>
        </w:rPr>
        <w:tab/>
      </w:r>
      <w:r>
        <w:rPr>
          <w:szCs w:val="18"/>
        </w:rPr>
        <w:tab/>
      </w:r>
      <w:r w:rsidRPr="003A7B49">
        <w:rPr>
          <w:szCs w:val="18"/>
        </w:rPr>
        <w:t>Parágrafo</w:t>
      </w:r>
      <w:r>
        <w:rPr>
          <w:szCs w:val="18"/>
        </w:rPr>
        <w:t>.</w:t>
      </w:r>
      <w:r w:rsidRPr="003A7B49">
        <w:rPr>
          <w:szCs w:val="18"/>
        </w:rPr>
        <w:t xml:space="preserve"> Todo trabajador de contrato a término fijo que cumpliere o hubiere cumplido un (1) año de servicio continuo a las empresas, será vinculado como trabajador permanente con</w:t>
      </w:r>
      <w:r>
        <w:rPr>
          <w:szCs w:val="18"/>
        </w:rPr>
        <w:t xml:space="preserve"> contrato de tiempo indefinido.</w:t>
      </w:r>
    </w:p>
  </w:footnote>
  <w:footnote w:id="8">
    <w:p w14:paraId="00CFA3D4" w14:textId="3C82E2CF"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7C4364">
        <w:rPr>
          <w:szCs w:val="18"/>
        </w:rPr>
        <w:t xml:space="preserve">A este respecto la sentencia señala que el contrato de trabajo comenzó el 1 de febrero de 2006 y tenía un término fijo hasta el 22 de diciembre de 2006, el cual fue prorrogado el 23 de diciembre de 2006, bajo la misma modalidad. Según el tribunal “resulta claro que cuando se produjo la prórroga aún el trabajador no llevaba un año de servicios, por lo que no podía en forma automática estimarse que los servicios prestados a partir del 23 de diciembre de 2006 lo eran bajo un contrato de trabajo a término indefinido, como lo señala la norma convencional, de manera que </w:t>
      </w:r>
      <w:r>
        <w:rPr>
          <w:szCs w:val="18"/>
        </w:rPr>
        <w:t>[</w:t>
      </w:r>
      <w:r w:rsidRPr="007C4364">
        <w:rPr>
          <w:szCs w:val="18"/>
        </w:rPr>
        <w:t>…</w:t>
      </w:r>
      <w:r>
        <w:rPr>
          <w:szCs w:val="18"/>
        </w:rPr>
        <w:t>]</w:t>
      </w:r>
      <w:r w:rsidRPr="007C4364">
        <w:rPr>
          <w:szCs w:val="18"/>
        </w:rPr>
        <w:t xml:space="preserve"> toda vez que la cláusula de estabilidad habla de </w:t>
      </w:r>
      <w:r>
        <w:rPr>
          <w:szCs w:val="18"/>
        </w:rPr>
        <w:t>‘</w:t>
      </w:r>
      <w:r w:rsidRPr="007C4364">
        <w:rPr>
          <w:szCs w:val="18"/>
        </w:rPr>
        <w:t xml:space="preserve">será vinculado como trabajador permanente con contrato de </w:t>
      </w:r>
      <w:r>
        <w:rPr>
          <w:szCs w:val="18"/>
        </w:rPr>
        <w:t>t</w:t>
      </w:r>
      <w:r w:rsidRPr="007C4364">
        <w:rPr>
          <w:szCs w:val="18"/>
        </w:rPr>
        <w:t xml:space="preserve">iempo </w:t>
      </w:r>
      <w:r>
        <w:rPr>
          <w:szCs w:val="18"/>
        </w:rPr>
        <w:t>i</w:t>
      </w:r>
      <w:r w:rsidRPr="007C4364">
        <w:rPr>
          <w:szCs w:val="18"/>
        </w:rPr>
        <w:t>ndefinido</w:t>
      </w:r>
      <w:r>
        <w:rPr>
          <w:szCs w:val="18"/>
        </w:rPr>
        <w:t>’</w:t>
      </w:r>
      <w:r w:rsidRPr="007C4364">
        <w:rPr>
          <w:szCs w:val="18"/>
        </w:rPr>
        <w:t xml:space="preserve"> mas no habla la norma que con posterioridad al cumplimiento del año se considera como contrato a término indefinido, es al momento de la vinculación o prorroga más exactamente, cuando opera la duración indefinida”</w:t>
      </w:r>
      <w:r>
        <w:rPr>
          <w:szCs w:val="18"/>
        </w:rPr>
        <w:t>.</w:t>
      </w:r>
    </w:p>
  </w:footnote>
  <w:footnote w:id="9">
    <w:p w14:paraId="42674A1B" w14:textId="3B9C6A00"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t xml:space="preserve">Sobre las alegaciones de los autores con relación al requisito del agotamiento de recursos internos, véase también el párrafo 5.5 </w:t>
      </w:r>
      <w:r w:rsidRPr="00802445">
        <w:rPr>
          <w:i/>
          <w:iCs/>
        </w:rPr>
        <w:t>infra</w:t>
      </w:r>
      <w:r>
        <w:t>.</w:t>
      </w:r>
    </w:p>
  </w:footnote>
  <w:footnote w:id="10">
    <w:p w14:paraId="0F92C7CD" w14:textId="78A14F97"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7A5A35">
        <w:t>Los autores se refieren</w:t>
      </w:r>
      <w:r>
        <w:t>, entre otras,</w:t>
      </w:r>
      <w:r w:rsidRPr="007A5A35">
        <w:t xml:space="preserve"> a la sentencia de la Cort</w:t>
      </w:r>
      <w:r>
        <w:t>e Constitucional T-683 de 2006.</w:t>
      </w:r>
    </w:p>
  </w:footnote>
  <w:footnote w:id="11">
    <w:p w14:paraId="0D07BCB9" w14:textId="4EEE43A8"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F127A8">
        <w:rPr>
          <w:szCs w:val="18"/>
        </w:rPr>
        <w:t xml:space="preserve">El expediente cuenta con una copia de la sentencia en cuestión. </w:t>
      </w:r>
      <w:r w:rsidRPr="00F127A8">
        <w:rPr>
          <w:rFonts w:eastAsia="Arial Unicode MS"/>
          <w:szCs w:val="18"/>
        </w:rPr>
        <w:t xml:space="preserve">En esta sentencia el </w:t>
      </w:r>
      <w:r>
        <w:rPr>
          <w:rFonts w:eastAsia="Arial Unicode MS"/>
        </w:rPr>
        <w:t xml:space="preserve">Tribunal Superior de Justicia de Bogotá </w:t>
      </w:r>
      <w:r w:rsidRPr="00F127A8">
        <w:rPr>
          <w:rFonts w:eastAsia="Arial Unicode MS"/>
          <w:szCs w:val="18"/>
        </w:rPr>
        <w:t>señaló que J.</w:t>
      </w:r>
      <w:r w:rsidR="008C3C15">
        <w:rPr>
          <w:rFonts w:eastAsia="Arial Unicode MS"/>
          <w:szCs w:val="18"/>
        </w:rPr>
        <w:t xml:space="preserve"> </w:t>
      </w:r>
      <w:r w:rsidRPr="00F127A8">
        <w:rPr>
          <w:rFonts w:eastAsia="Arial Unicode MS"/>
          <w:szCs w:val="18"/>
        </w:rPr>
        <w:t>A.</w:t>
      </w:r>
      <w:r w:rsidR="008C3C15">
        <w:rPr>
          <w:rFonts w:eastAsia="Arial Unicode MS"/>
          <w:szCs w:val="18"/>
        </w:rPr>
        <w:t xml:space="preserve"> </w:t>
      </w:r>
      <w:r w:rsidRPr="00F127A8">
        <w:rPr>
          <w:rFonts w:eastAsia="Arial Unicode MS"/>
          <w:szCs w:val="18"/>
        </w:rPr>
        <w:t>H.</w:t>
      </w:r>
      <w:r w:rsidR="008C3C15">
        <w:rPr>
          <w:rFonts w:eastAsia="Arial Unicode MS"/>
          <w:szCs w:val="18"/>
        </w:rPr>
        <w:t xml:space="preserve"> </w:t>
      </w:r>
      <w:r w:rsidRPr="00F127A8">
        <w:rPr>
          <w:rFonts w:eastAsia="Arial Unicode MS"/>
          <w:szCs w:val="18"/>
        </w:rPr>
        <w:t>P. empezó a trabajar en la Federación el 2 de febrero de 2004, en virtud de un contrato a término fijo de 320 días, que fue renovado sucesivamente; que el 8 de abril de 2007,</w:t>
      </w:r>
      <w:r>
        <w:rPr>
          <w:rFonts w:eastAsia="Arial Unicode MS"/>
          <w:szCs w:val="18"/>
        </w:rPr>
        <w:t xml:space="preserve"> </w:t>
      </w:r>
      <w:r w:rsidRPr="00F127A8">
        <w:rPr>
          <w:rFonts w:eastAsia="Arial Unicode MS"/>
          <w:szCs w:val="18"/>
        </w:rPr>
        <w:t xml:space="preserve">se afilió </w:t>
      </w:r>
      <w:r>
        <w:rPr>
          <w:rFonts w:eastAsia="Arial Unicode MS"/>
          <w:szCs w:val="18"/>
        </w:rPr>
        <w:t xml:space="preserve">a </w:t>
      </w:r>
      <w:r w:rsidRPr="00F127A8">
        <w:rPr>
          <w:rFonts w:eastAsia="Arial Unicode MS"/>
          <w:szCs w:val="18"/>
        </w:rPr>
        <w:t xml:space="preserve">SINTRAFEC y a SINTRAINDUSCAFÉ; </w:t>
      </w:r>
      <w:r>
        <w:rPr>
          <w:rFonts w:eastAsia="Arial Unicode MS"/>
          <w:szCs w:val="18"/>
        </w:rPr>
        <w:t xml:space="preserve">que </w:t>
      </w:r>
      <w:r w:rsidRPr="00F127A8">
        <w:rPr>
          <w:rFonts w:eastAsia="Arial Unicode MS"/>
          <w:szCs w:val="18"/>
        </w:rPr>
        <w:t xml:space="preserve">el 19 de agosto de 2007 fue elegido como miembro suplente de la </w:t>
      </w:r>
      <w:r>
        <w:rPr>
          <w:rFonts w:eastAsia="Arial Unicode MS"/>
          <w:szCs w:val="18"/>
        </w:rPr>
        <w:t>j</w:t>
      </w:r>
      <w:r w:rsidRPr="00F127A8">
        <w:rPr>
          <w:rFonts w:eastAsia="Arial Unicode MS"/>
          <w:szCs w:val="18"/>
        </w:rPr>
        <w:t xml:space="preserve">unta </w:t>
      </w:r>
      <w:r>
        <w:rPr>
          <w:rFonts w:eastAsia="Arial Unicode MS"/>
          <w:szCs w:val="18"/>
        </w:rPr>
        <w:t>d</w:t>
      </w:r>
      <w:r w:rsidRPr="00F127A8">
        <w:rPr>
          <w:rFonts w:eastAsia="Arial Unicode MS"/>
          <w:szCs w:val="18"/>
        </w:rPr>
        <w:t xml:space="preserve">irectiva </w:t>
      </w:r>
      <w:r>
        <w:rPr>
          <w:rFonts w:eastAsia="Arial Unicode MS"/>
          <w:szCs w:val="18"/>
        </w:rPr>
        <w:t>n</w:t>
      </w:r>
      <w:r w:rsidRPr="00F127A8">
        <w:rPr>
          <w:rFonts w:eastAsia="Arial Unicode MS"/>
          <w:szCs w:val="18"/>
        </w:rPr>
        <w:t xml:space="preserve">acional de SINTRAINDUSCAFÉ; y que </w:t>
      </w:r>
      <w:r>
        <w:rPr>
          <w:rFonts w:eastAsia="Arial Unicode MS"/>
          <w:szCs w:val="18"/>
        </w:rPr>
        <w:t xml:space="preserve">el </w:t>
      </w:r>
      <w:r w:rsidRPr="00F127A8">
        <w:rPr>
          <w:rFonts w:eastAsia="Arial Unicode MS"/>
          <w:szCs w:val="18"/>
        </w:rPr>
        <w:t>13 de noviembre de 2007, la Federación dio por terminado el contrato de trabajo de</w:t>
      </w:r>
      <w:r>
        <w:rPr>
          <w:rFonts w:eastAsia="Arial Unicode MS"/>
          <w:szCs w:val="18"/>
        </w:rPr>
        <w:t xml:space="preserve"> </w:t>
      </w:r>
      <w:r w:rsidRPr="00F127A8">
        <w:rPr>
          <w:rFonts w:eastAsia="Arial Unicode MS"/>
          <w:szCs w:val="18"/>
        </w:rPr>
        <w:t>J.</w:t>
      </w:r>
      <w:r w:rsidR="008C3C15">
        <w:rPr>
          <w:rFonts w:eastAsia="Arial Unicode MS"/>
          <w:szCs w:val="18"/>
        </w:rPr>
        <w:t xml:space="preserve"> </w:t>
      </w:r>
      <w:r w:rsidRPr="00F127A8">
        <w:rPr>
          <w:rFonts w:eastAsia="Arial Unicode MS"/>
          <w:szCs w:val="18"/>
        </w:rPr>
        <w:t>A.</w:t>
      </w:r>
      <w:r w:rsidR="008C3C15">
        <w:rPr>
          <w:rFonts w:eastAsia="Arial Unicode MS"/>
          <w:szCs w:val="18"/>
        </w:rPr>
        <w:t xml:space="preserve"> </w:t>
      </w:r>
      <w:r w:rsidRPr="00F127A8">
        <w:rPr>
          <w:rFonts w:eastAsia="Arial Unicode MS"/>
          <w:szCs w:val="18"/>
        </w:rPr>
        <w:t>H.</w:t>
      </w:r>
      <w:r w:rsidR="008C3C15">
        <w:rPr>
          <w:rFonts w:eastAsia="Arial Unicode MS"/>
          <w:szCs w:val="18"/>
        </w:rPr>
        <w:t xml:space="preserve"> </w:t>
      </w:r>
      <w:r w:rsidRPr="00F127A8">
        <w:rPr>
          <w:rFonts w:eastAsia="Arial Unicode MS"/>
          <w:szCs w:val="18"/>
        </w:rPr>
        <w:t>P., a partir del 17 de diciembre de 2007, si</w:t>
      </w:r>
      <w:r>
        <w:rPr>
          <w:rFonts w:eastAsia="Arial Unicode MS"/>
          <w:szCs w:val="18"/>
        </w:rPr>
        <w:t>n previa autorización judicial.</w:t>
      </w:r>
    </w:p>
  </w:footnote>
  <w:footnote w:id="12">
    <w:p w14:paraId="4753BB8C" w14:textId="6B6E8AB1"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DD740A">
        <w:t xml:space="preserve">Los autores se refieren a la sentencia de </w:t>
      </w:r>
      <w:r>
        <w:t xml:space="preserve">la </w:t>
      </w:r>
      <w:r>
        <w:rPr>
          <w:rFonts w:eastAsia="Arial Unicode MS"/>
        </w:rPr>
        <w:t xml:space="preserve">Corte Suprema de Justicia </w:t>
      </w:r>
      <w:r>
        <w:t xml:space="preserve">de </w:t>
      </w:r>
      <w:r w:rsidRPr="00DD740A">
        <w:t xml:space="preserve">17 de septiembre de 2007, proceso 31556, </w:t>
      </w:r>
      <w:r w:rsidRPr="00802445">
        <w:rPr>
          <w:i/>
          <w:iCs/>
        </w:rPr>
        <w:t>Ernesto René Sarmiento Gamboa v. Federación Nacional de Cafeteros de Colombia</w:t>
      </w:r>
      <w:r>
        <w:t xml:space="preserve">. Agregan que la </w:t>
      </w:r>
      <w:r>
        <w:rPr>
          <w:rFonts w:eastAsia="Arial Unicode MS"/>
        </w:rPr>
        <w:t xml:space="preserve">Corte Suprema de Justicia </w:t>
      </w:r>
      <w:r>
        <w:t xml:space="preserve">se pronunció de similar manera en los casos </w:t>
      </w:r>
      <w:r w:rsidRPr="00802445">
        <w:rPr>
          <w:i/>
          <w:iCs/>
        </w:rPr>
        <w:t>Liliana Miguel Zapata v. Federación Nacional de Cafeteros de Colombia</w:t>
      </w:r>
      <w:r>
        <w:t xml:space="preserve">, proceso 24107, sentencia de 12 de mayo de 2005 y </w:t>
      </w:r>
      <w:r w:rsidRPr="00802445">
        <w:rPr>
          <w:i/>
          <w:iCs/>
        </w:rPr>
        <w:t>Arturo Obando Gonzáles v. Federación Nacional de Cafeteros de Colombia</w:t>
      </w:r>
      <w:r>
        <w:t>, proceso 27459, sentencia de 2 de noviembre de 2007.</w:t>
      </w:r>
    </w:p>
  </w:footnote>
  <w:footnote w:id="13">
    <w:p w14:paraId="724EC259" w14:textId="0ACB9EEA"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1716DC">
        <w:t>Los autores se refieren a la sentencia C-016 de 1998.</w:t>
      </w:r>
    </w:p>
  </w:footnote>
  <w:footnote w:id="14">
    <w:p w14:paraId="5282BE07" w14:textId="409C3F2A"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732B7F">
        <w:t>Los autores se refieren a la sentencia T-029 de 2004.</w:t>
      </w:r>
    </w:p>
  </w:footnote>
  <w:footnote w:id="15">
    <w:p w14:paraId="0FC64273" w14:textId="07D313C7" w:rsidR="009E2CE0" w:rsidRPr="006563E3" w:rsidRDefault="009E2CE0" w:rsidP="006E0231">
      <w:pPr>
        <w:pStyle w:val="FootnoteText"/>
        <w:widowControl w:val="0"/>
        <w:tabs>
          <w:tab w:val="clear" w:pos="1021"/>
          <w:tab w:val="right" w:pos="1020"/>
        </w:tabs>
        <w:suppressAutoHyphens/>
        <w:rPr>
          <w:lang w:val="fr-CH"/>
        </w:rPr>
      </w:pPr>
      <w:r>
        <w:tab/>
      </w:r>
      <w:r>
        <w:rPr>
          <w:rStyle w:val="FootnoteReference"/>
        </w:rPr>
        <w:footnoteRef/>
      </w:r>
      <w:r>
        <w:tab/>
      </w:r>
      <w:r w:rsidRPr="005B60C6">
        <w:rPr>
          <w:szCs w:val="18"/>
          <w:shd w:val="clear" w:color="auto" w:fill="FFFFFF"/>
        </w:rPr>
        <w:t>Según información disponible en la página web de la OIT, la CETCOIT es una instancia tripartita creada por acuerdo del Gobierno, los empleadores y los representantes de los trabajadores de Colombia</w:t>
      </w:r>
      <w:r>
        <w:rPr>
          <w:szCs w:val="18"/>
          <w:shd w:val="clear" w:color="auto" w:fill="FFFFFF"/>
        </w:rPr>
        <w:t>, con el apoyo y patrocinio de la OIT</w:t>
      </w:r>
      <w:r w:rsidRPr="005B60C6">
        <w:rPr>
          <w:szCs w:val="18"/>
          <w:shd w:val="clear" w:color="auto" w:fill="FFFFFF"/>
        </w:rPr>
        <w:t xml:space="preserve">. </w:t>
      </w:r>
      <w:r>
        <w:rPr>
          <w:szCs w:val="18"/>
          <w:shd w:val="clear" w:color="auto" w:fill="FFFFFF"/>
        </w:rPr>
        <w:t>Los procedimientos ante la CETCOIT buscan</w:t>
      </w:r>
      <w:r w:rsidRPr="005B60C6">
        <w:rPr>
          <w:szCs w:val="18"/>
          <w:shd w:val="clear" w:color="auto" w:fill="FFFFFF"/>
        </w:rPr>
        <w:t xml:space="preserve"> resolver conflictos sobre libertad sindical a través de</w:t>
      </w:r>
      <w:r>
        <w:rPr>
          <w:szCs w:val="18"/>
          <w:shd w:val="clear" w:color="auto" w:fill="FFFFFF"/>
        </w:rPr>
        <w:t>l</w:t>
      </w:r>
      <w:r w:rsidRPr="005B60C6">
        <w:rPr>
          <w:szCs w:val="18"/>
          <w:shd w:val="clear" w:color="auto" w:fill="FFFFFF"/>
        </w:rPr>
        <w:t xml:space="preserve"> acuerdo de voluntades entre las partes, con intervención de represent</w:t>
      </w:r>
      <w:r>
        <w:rPr>
          <w:szCs w:val="18"/>
          <w:shd w:val="clear" w:color="auto" w:fill="FFFFFF"/>
        </w:rPr>
        <w:t>ant</w:t>
      </w:r>
      <w:r w:rsidRPr="005B60C6">
        <w:rPr>
          <w:szCs w:val="18"/>
          <w:shd w:val="clear" w:color="auto" w:fill="FFFFFF"/>
        </w:rPr>
        <w:t>es d</w:t>
      </w:r>
      <w:r>
        <w:rPr>
          <w:szCs w:val="18"/>
          <w:shd w:val="clear" w:color="auto" w:fill="FFFFFF"/>
        </w:rPr>
        <w:t>e la CETCOIT, y presidida por un</w:t>
      </w:r>
      <w:r w:rsidRPr="005B60C6">
        <w:rPr>
          <w:szCs w:val="18"/>
          <w:shd w:val="clear" w:color="auto" w:fill="FFFFFF"/>
        </w:rPr>
        <w:t xml:space="preserve"> facilitador o mediador. </w:t>
      </w:r>
      <w:r>
        <w:rPr>
          <w:szCs w:val="18"/>
          <w:shd w:val="clear" w:color="auto" w:fill="FFFFFF"/>
        </w:rPr>
        <w:t xml:space="preserve">Su función es buscar fórmulas de arreglo y acercamiento sobre la base del entendimiento entre los representantes de las tres partes. </w:t>
      </w:r>
      <w:r w:rsidRPr="00CE031D">
        <w:rPr>
          <w:szCs w:val="18"/>
          <w:shd w:val="clear" w:color="auto" w:fill="FFFFFF"/>
          <w:lang w:val="fr-CH"/>
        </w:rPr>
        <w:t xml:space="preserve">Véase </w:t>
      </w:r>
      <w:r w:rsidR="008C3C15" w:rsidRPr="007D7C8B">
        <w:rPr>
          <w:lang w:val="fr-CH"/>
        </w:rPr>
        <w:t>http://www.ilo.org/wcmsp5/groups/public/---americas/---ro-lima/documents/</w:t>
      </w:r>
      <w:r w:rsidR="008C3C15" w:rsidRPr="007D7C8B">
        <w:rPr>
          <w:lang w:val="fr-CH"/>
        </w:rPr>
        <w:br/>
        <w:t>publication/wcms_462800.pdf</w:t>
      </w:r>
      <w:r w:rsidRPr="00CE031D">
        <w:rPr>
          <w:szCs w:val="18"/>
          <w:shd w:val="clear" w:color="auto" w:fill="FFFFFF"/>
          <w:lang w:val="fr-CH"/>
        </w:rPr>
        <w:t>.</w:t>
      </w:r>
    </w:p>
  </w:footnote>
  <w:footnote w:id="16">
    <w:p w14:paraId="43EFF458" w14:textId="00A8A864" w:rsidR="009E2CE0" w:rsidRPr="00F42DFC" w:rsidRDefault="009E2CE0" w:rsidP="006E0231">
      <w:pPr>
        <w:pStyle w:val="FootnoteText"/>
        <w:widowControl w:val="0"/>
        <w:tabs>
          <w:tab w:val="clear" w:pos="1021"/>
          <w:tab w:val="right" w:pos="1020"/>
        </w:tabs>
        <w:suppressAutoHyphens/>
      </w:pPr>
      <w:r w:rsidRPr="00F42DFC">
        <w:rPr>
          <w:lang w:val="fr-CH"/>
        </w:rPr>
        <w:tab/>
      </w:r>
      <w:r>
        <w:rPr>
          <w:rStyle w:val="FootnoteReference"/>
        </w:rPr>
        <w:footnoteRef/>
      </w:r>
      <w:r>
        <w:tab/>
        <w:t xml:space="preserve">El Comité observa que, de acuerdo a la documentación adjuntada por el Estado parte, SINTRAFEC remitió una carta al Presidente de la República del Estado parte el 13 de agosto de 2011, con copia a la OIT (remitida el 1 de septiembre de 2011); cartas al gerente general y gerente administrativo de la Federación el 10 de septiembre de 2011, con copia a la OIT (remitidas el 22 y 23 de septiembre de 2011, respectivamente). SINTRAFEC y SINTRAINDUSCAFÉ remitieron otra carta al gerente general de la Federación el 10 de septiembre de 2011, con copia a la OIT (remitida el 22 de septiembre de 2011). El 25 de enero de 2012, la OIT remitió esta correspondencia al Ministro de Protección Social del Estado parte. </w:t>
      </w:r>
    </w:p>
  </w:footnote>
  <w:footnote w:id="17">
    <w:p w14:paraId="677DA125" w14:textId="36F8959A"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FB4FB1">
        <w:rPr>
          <w:rFonts w:eastAsia="MS Mincho"/>
        </w:rPr>
        <w:t>Véa</w:t>
      </w:r>
      <w:r>
        <w:rPr>
          <w:rFonts w:eastAsia="MS Mincho"/>
        </w:rPr>
        <w:t>n</w:t>
      </w:r>
      <w:r w:rsidRPr="00FB4FB1">
        <w:rPr>
          <w:rFonts w:eastAsia="MS Mincho"/>
        </w:rPr>
        <w:t xml:space="preserve">se </w:t>
      </w:r>
      <w:r>
        <w:rPr>
          <w:rFonts w:eastAsia="MS Mincho"/>
        </w:rPr>
        <w:t xml:space="preserve">las </w:t>
      </w:r>
      <w:r w:rsidRPr="007040CC">
        <w:rPr>
          <w:rFonts w:eastAsia="MS Mincho"/>
        </w:rPr>
        <w:t>comunicaciones</w:t>
      </w:r>
      <w:r w:rsidRPr="00FB4FB1">
        <w:rPr>
          <w:rFonts w:eastAsia="MS Mincho"/>
        </w:rPr>
        <w:t xml:space="preserve"> </w:t>
      </w:r>
      <w:r>
        <w:rPr>
          <w:rFonts w:eastAsia="MS Mincho"/>
        </w:rPr>
        <w:t xml:space="preserve">núms. </w:t>
      </w:r>
      <w:r w:rsidRPr="00FB4FB1">
        <w:rPr>
          <w:rFonts w:eastAsia="MS Mincho"/>
        </w:rPr>
        <w:t xml:space="preserve">1434/2005, </w:t>
      </w:r>
      <w:r w:rsidRPr="00802445">
        <w:rPr>
          <w:rFonts w:eastAsia="MS Mincho"/>
          <w:i/>
          <w:iCs/>
        </w:rPr>
        <w:t>Fillacier c. Francia</w:t>
      </w:r>
      <w:r w:rsidRPr="00FB4FB1">
        <w:rPr>
          <w:rFonts w:eastAsia="MS Mincho"/>
        </w:rPr>
        <w:t xml:space="preserve">, decisión de inadmisibilidad de 27 de marzo de 2006, párr. 4.3; </w:t>
      </w:r>
      <w:r>
        <w:rPr>
          <w:rFonts w:eastAsia="MS Mincho"/>
        </w:rPr>
        <w:t xml:space="preserve">1800/2008, </w:t>
      </w:r>
      <w:r w:rsidRPr="00802445">
        <w:rPr>
          <w:rFonts w:eastAsia="MS Mincho"/>
          <w:i/>
          <w:iCs/>
        </w:rPr>
        <w:t>R.</w:t>
      </w:r>
      <w:r w:rsidR="008C3C15">
        <w:rPr>
          <w:rFonts w:eastAsia="MS Mincho"/>
          <w:i/>
          <w:iCs/>
        </w:rPr>
        <w:t xml:space="preserve"> </w:t>
      </w:r>
      <w:r w:rsidRPr="00802445">
        <w:rPr>
          <w:rFonts w:eastAsia="MS Mincho"/>
          <w:i/>
          <w:iCs/>
        </w:rPr>
        <w:t>A.</w:t>
      </w:r>
      <w:r w:rsidR="008C3C15">
        <w:rPr>
          <w:rFonts w:eastAsia="MS Mincho"/>
          <w:i/>
          <w:iCs/>
        </w:rPr>
        <w:t xml:space="preserve"> </w:t>
      </w:r>
      <w:r w:rsidRPr="00802445">
        <w:rPr>
          <w:rFonts w:eastAsia="MS Mincho"/>
          <w:i/>
          <w:iCs/>
        </w:rPr>
        <w:t>D.</w:t>
      </w:r>
      <w:r w:rsidR="008C3C15">
        <w:rPr>
          <w:rFonts w:eastAsia="MS Mincho"/>
          <w:i/>
          <w:iCs/>
        </w:rPr>
        <w:t xml:space="preserve"> </w:t>
      </w:r>
      <w:r w:rsidRPr="00802445">
        <w:rPr>
          <w:rFonts w:eastAsia="MS Mincho"/>
          <w:i/>
          <w:iCs/>
        </w:rPr>
        <w:t>B. c. Colombia</w:t>
      </w:r>
      <w:r>
        <w:rPr>
          <w:rFonts w:eastAsia="MS Mincho"/>
        </w:rPr>
        <w:t xml:space="preserve">, decisión de inadmisibilidad de 31 de octubre de 2011, párr. 7.3; </w:t>
      </w:r>
      <w:r w:rsidRPr="00FB4FB1">
        <w:rPr>
          <w:rFonts w:eastAsia="MS Mincho"/>
        </w:rPr>
        <w:t xml:space="preserve">y 1849/2008, </w:t>
      </w:r>
      <w:r w:rsidRPr="00802445">
        <w:rPr>
          <w:rFonts w:eastAsia="MS Mincho"/>
          <w:i/>
          <w:iCs/>
        </w:rPr>
        <w:t>M.</w:t>
      </w:r>
      <w:r w:rsidR="008C3C15">
        <w:rPr>
          <w:rFonts w:eastAsia="MS Mincho"/>
          <w:i/>
          <w:iCs/>
        </w:rPr>
        <w:t xml:space="preserve"> </w:t>
      </w:r>
      <w:r w:rsidRPr="00802445">
        <w:rPr>
          <w:rFonts w:eastAsia="MS Mincho"/>
          <w:i/>
          <w:iCs/>
        </w:rPr>
        <w:t xml:space="preserve">B. c. </w:t>
      </w:r>
      <w:r w:rsidR="008C3C15">
        <w:rPr>
          <w:rFonts w:eastAsia="MS Mincho"/>
          <w:i/>
          <w:iCs/>
        </w:rPr>
        <w:t xml:space="preserve">la </w:t>
      </w:r>
      <w:r w:rsidRPr="00802445">
        <w:rPr>
          <w:rFonts w:eastAsia="MS Mincho"/>
          <w:i/>
          <w:iCs/>
        </w:rPr>
        <w:t>República Checa</w:t>
      </w:r>
      <w:r w:rsidRPr="00FB4FB1">
        <w:rPr>
          <w:rFonts w:eastAsia="MS Mincho"/>
        </w:rPr>
        <w:t>, decisión de inadmisibilidad de 29 de octubre de 2012, párr. 7.4.</w:t>
      </w:r>
      <w:r>
        <w:rPr>
          <w:rFonts w:eastAsia="MS Mincho"/>
        </w:rPr>
        <w:t xml:space="preserve"> El Comité recuerda que </w:t>
      </w:r>
      <w:r>
        <w:t>el</w:t>
      </w:r>
      <w:r w:rsidRPr="003935F3">
        <w:t xml:space="preserve"> artículo 96</w:t>
      </w:r>
      <w:r>
        <w:t>, apartado</w:t>
      </w:r>
      <w:r w:rsidRPr="003935F3">
        <w:t xml:space="preserve"> c)</w:t>
      </w:r>
      <w:r>
        <w:t>,</w:t>
      </w:r>
      <w:r w:rsidRPr="003935F3">
        <w:t xml:space="preserve"> de</w:t>
      </w:r>
      <w:r>
        <w:t xml:space="preserve"> su</w:t>
      </w:r>
      <w:r w:rsidRPr="003935F3">
        <w:t xml:space="preserve"> </w:t>
      </w:r>
      <w:r>
        <w:t>r</w:t>
      </w:r>
      <w:r w:rsidRPr="003935F3">
        <w:t>eglamento</w:t>
      </w:r>
      <w:r>
        <w:t xml:space="preserve"> de procedimiento vigente es</w:t>
      </w:r>
      <w:r w:rsidRPr="003935F3">
        <w:t xml:space="preserve"> aplicable a las comunicaciones recibidas por el Comité después del 1 de enero de 2012</w:t>
      </w:r>
      <w:r>
        <w:t xml:space="preserve"> y establece que “[e]</w:t>
      </w:r>
      <w:r w:rsidRPr="00474D82">
        <w:t xml:space="preserve">n principio, la demora en presentar una comunicación no puede invocarse como base de una decisión de inadmisibilidad </w:t>
      </w:r>
      <w:r w:rsidRPr="00474D82">
        <w:rPr>
          <w:i/>
        </w:rPr>
        <w:t>ratione temporis</w:t>
      </w:r>
      <w:r w:rsidRPr="00474D82">
        <w:t xml:space="preserve"> fundada en el abuso del derecho a presentar una comunicación. Sin embargo, </w:t>
      </w:r>
      <w:r w:rsidRPr="00802445">
        <w:rPr>
          <w:b/>
          <w:i/>
          <w:iCs/>
        </w:rPr>
        <w:t>podrá</w:t>
      </w:r>
      <w:r w:rsidRPr="00474D82">
        <w:t xml:space="preserve"> </w:t>
      </w:r>
      <w:r>
        <w:t xml:space="preserve">[énfasis añadido] </w:t>
      </w:r>
      <w:r w:rsidRPr="00474D82">
        <w:t xml:space="preserve">constituir abuso de ese derecho la presentación de una comunicación </w:t>
      </w:r>
      <w:r>
        <w:t xml:space="preserve">5 </w:t>
      </w:r>
      <w:r w:rsidRPr="00474D82">
        <w:t xml:space="preserve">años después del agotamiento de los recursos internos por su autor o, en su caso, </w:t>
      </w:r>
      <w:r>
        <w:t>3</w:t>
      </w:r>
      <w:r w:rsidRPr="00474D82">
        <w:t xml:space="preserve"> años después de la conclusión de otro procedimiento de examen o arreglo internacionales, a menos que la demora esté justificada habida cuenta de todas las circunstancias de la comunicación</w:t>
      </w:r>
      <w:r>
        <w:t>”.</w:t>
      </w:r>
    </w:p>
  </w:footnote>
  <w:footnote w:id="18">
    <w:p w14:paraId="599BE5BA" w14:textId="177DFA07" w:rsidR="009E2CE0" w:rsidRPr="00F2659F" w:rsidRDefault="009E2CE0" w:rsidP="006E0231">
      <w:pPr>
        <w:pStyle w:val="FootnoteText"/>
        <w:widowControl w:val="0"/>
        <w:tabs>
          <w:tab w:val="clear" w:pos="1021"/>
          <w:tab w:val="right" w:pos="1020"/>
        </w:tabs>
        <w:suppressAutoHyphens/>
      </w:pPr>
      <w:r>
        <w:tab/>
      </w:r>
      <w:r>
        <w:rPr>
          <w:rStyle w:val="FootnoteReference"/>
        </w:rPr>
        <w:footnoteRef/>
      </w:r>
      <w:r>
        <w:tab/>
        <w:t xml:space="preserve">Véase la </w:t>
      </w:r>
      <w:r>
        <w:rPr>
          <w:szCs w:val="18"/>
        </w:rPr>
        <w:t>c</w:t>
      </w:r>
      <w:r w:rsidRPr="00C12822">
        <w:rPr>
          <w:szCs w:val="18"/>
        </w:rPr>
        <w:t xml:space="preserve">omunicación </w:t>
      </w:r>
      <w:r>
        <w:rPr>
          <w:szCs w:val="18"/>
        </w:rPr>
        <w:t xml:space="preserve">núm. </w:t>
      </w:r>
      <w:r w:rsidRPr="00C12822">
        <w:rPr>
          <w:szCs w:val="18"/>
        </w:rPr>
        <w:t xml:space="preserve">273/1988, </w:t>
      </w:r>
      <w:r w:rsidRPr="00802445">
        <w:rPr>
          <w:i/>
          <w:iCs/>
          <w:szCs w:val="18"/>
        </w:rPr>
        <w:t xml:space="preserve">B. d. B. y otros c. </w:t>
      </w:r>
      <w:r w:rsidR="008C3C15">
        <w:rPr>
          <w:i/>
          <w:iCs/>
          <w:szCs w:val="18"/>
        </w:rPr>
        <w:t xml:space="preserve">los </w:t>
      </w:r>
      <w:r w:rsidRPr="00802445">
        <w:rPr>
          <w:i/>
          <w:iCs/>
          <w:szCs w:val="18"/>
        </w:rPr>
        <w:t>Países Bajos</w:t>
      </w:r>
      <w:r w:rsidRPr="00C12822">
        <w:rPr>
          <w:szCs w:val="18"/>
        </w:rPr>
        <w:t>, decisión de inadmisibilidad de 30 de marzo de 1989, párr. 6.4.</w:t>
      </w:r>
    </w:p>
  </w:footnote>
  <w:footnote w:id="19">
    <w:p w14:paraId="4CC8EFE1" w14:textId="1AC88444" w:rsidR="009E2CE0" w:rsidRPr="00F42DFC" w:rsidRDefault="009E2CE0" w:rsidP="006E0231">
      <w:pPr>
        <w:pStyle w:val="FootnoteText"/>
        <w:widowControl w:val="0"/>
        <w:tabs>
          <w:tab w:val="clear" w:pos="1021"/>
          <w:tab w:val="right" w:pos="1020"/>
        </w:tabs>
        <w:suppressAutoHyphens/>
      </w:pPr>
      <w:r>
        <w:tab/>
      </w:r>
      <w:r>
        <w:rPr>
          <w:rStyle w:val="FootnoteReference"/>
        </w:rPr>
        <w:footnoteRef/>
      </w:r>
      <w:r>
        <w:tab/>
      </w:r>
      <w:r w:rsidRPr="00C12822">
        <w:rPr>
          <w:szCs w:val="18"/>
          <w:lang w:val="es-ES_tradnl"/>
        </w:rPr>
        <w:t xml:space="preserve">Véase la observación general </w:t>
      </w:r>
      <w:r>
        <w:rPr>
          <w:szCs w:val="18"/>
          <w:lang w:val="es-ES_tradnl"/>
        </w:rPr>
        <w:t xml:space="preserve">núm. </w:t>
      </w:r>
      <w:r w:rsidRPr="00C12822">
        <w:rPr>
          <w:szCs w:val="18"/>
          <w:lang w:val="es-ES_tradnl"/>
        </w:rPr>
        <w:t xml:space="preserve">32 </w:t>
      </w:r>
      <w:r>
        <w:rPr>
          <w:szCs w:val="18"/>
          <w:lang w:val="es-ES_tradnl"/>
        </w:rPr>
        <w:t>(2007) sobre e</w:t>
      </w:r>
      <w:r w:rsidRPr="00C12822">
        <w:rPr>
          <w:szCs w:val="18"/>
          <w:lang w:val="es-ES_tradnl"/>
        </w:rPr>
        <w:t>l artículo 14: el derecho a un juicio imparcial y a la igualdad ante los tribunales y cortes de justicia</w:t>
      </w:r>
      <w:r>
        <w:rPr>
          <w:szCs w:val="18"/>
          <w:lang w:val="es-ES_tradnl"/>
        </w:rPr>
        <w:t>,</w:t>
      </w:r>
      <w:r w:rsidRPr="00E113E0">
        <w:rPr>
          <w:lang w:val="es-ES_tradnl"/>
        </w:rPr>
        <w:t xml:space="preserve"> </w:t>
      </w:r>
      <w:r w:rsidRPr="00A40EC2">
        <w:rPr>
          <w:lang w:val="es-ES_tradnl"/>
        </w:rPr>
        <w:t>párr</w:t>
      </w:r>
      <w:r>
        <w:rPr>
          <w:lang w:val="es-ES_tradnl"/>
        </w:rPr>
        <w:t>.</w:t>
      </w:r>
      <w:r w:rsidRPr="00A40EC2">
        <w:rPr>
          <w:lang w:val="es-ES_tradnl"/>
        </w:rPr>
        <w:t xml:space="preserve"> 26. </w:t>
      </w:r>
      <w:r>
        <w:t>Véase i</w:t>
      </w:r>
      <w:r w:rsidRPr="00A40EC2">
        <w:t xml:space="preserve">gualmente la comunicación </w:t>
      </w:r>
      <w:r>
        <w:t xml:space="preserve">núm. </w:t>
      </w:r>
      <w:r w:rsidRPr="00A40EC2">
        <w:t xml:space="preserve">1616/2007, </w:t>
      </w:r>
      <w:r w:rsidRPr="00A40EC2">
        <w:rPr>
          <w:i/>
        </w:rPr>
        <w:t xml:space="preserve">Manzano </w:t>
      </w:r>
      <w:r>
        <w:rPr>
          <w:i/>
        </w:rPr>
        <w:t xml:space="preserve">y otros </w:t>
      </w:r>
      <w:r w:rsidRPr="00A40EC2">
        <w:rPr>
          <w:i/>
        </w:rPr>
        <w:t>c. Colombia</w:t>
      </w:r>
      <w:r w:rsidRPr="00A40EC2">
        <w:t>, decisión de 19 de marzo de 2010, párr</w:t>
      </w:r>
      <w:r>
        <w:t xml:space="preserve">. </w:t>
      </w:r>
      <w:r w:rsidRPr="00A40EC2">
        <w:t>6.4.</w:t>
      </w:r>
    </w:p>
  </w:footnote>
  <w:footnote w:id="20">
    <w:p w14:paraId="53A76660" w14:textId="2D89534E" w:rsidR="009E2CE0" w:rsidRPr="00802445" w:rsidRDefault="009E2CE0" w:rsidP="006E0231">
      <w:pPr>
        <w:pStyle w:val="FootnoteText"/>
        <w:widowControl w:val="0"/>
        <w:tabs>
          <w:tab w:val="clear" w:pos="1021"/>
          <w:tab w:val="right" w:pos="1020"/>
        </w:tabs>
        <w:suppressAutoHyphens/>
      </w:pPr>
      <w:r>
        <w:tab/>
      </w:r>
      <w:r>
        <w:rPr>
          <w:rStyle w:val="FootnoteReference"/>
        </w:rPr>
        <w:footnoteRef/>
      </w:r>
      <w:r>
        <w:tab/>
      </w:r>
      <w:r w:rsidRPr="00F42DFC">
        <w:t>V</w:t>
      </w:r>
      <w:r>
        <w:t>éase</w:t>
      </w:r>
      <w:r w:rsidRPr="00F42DFC">
        <w:t xml:space="preserve"> </w:t>
      </w:r>
      <w:r>
        <w:t xml:space="preserve">la </w:t>
      </w:r>
      <w:r w:rsidRPr="00F42DFC">
        <w:t xml:space="preserve">comunicación </w:t>
      </w:r>
      <w:r>
        <w:t xml:space="preserve">núm. 2103/2011, </w:t>
      </w:r>
      <w:r w:rsidRPr="00802445">
        <w:rPr>
          <w:i/>
          <w:iCs/>
        </w:rPr>
        <w:t xml:space="preserve">Poliakov </w:t>
      </w:r>
      <w:r>
        <w:rPr>
          <w:i/>
          <w:iCs/>
        </w:rPr>
        <w:t>c</w:t>
      </w:r>
      <w:r w:rsidRPr="00802445">
        <w:rPr>
          <w:i/>
          <w:iCs/>
        </w:rPr>
        <w:t>. Belarús</w:t>
      </w:r>
      <w:r w:rsidRPr="00632931">
        <w:t xml:space="preserve">, </w:t>
      </w:r>
      <w:r w:rsidRPr="00F42DFC">
        <w:t>dictamen adoptado el 17 de julio de 2014, p</w:t>
      </w:r>
      <w:r>
        <w:t>árr.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5B42" w14:textId="5997D65F" w:rsidR="009E2CE0" w:rsidRPr="00080A30" w:rsidRDefault="009E2CE0">
    <w:pPr>
      <w:pStyle w:val="Header"/>
    </w:pPr>
    <w:r>
      <w:t>CCPR/C/119/D/2121/2011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93553" w14:textId="3107E97B" w:rsidR="009E2CE0" w:rsidRPr="00080A30" w:rsidRDefault="009E2CE0" w:rsidP="00080A30">
    <w:pPr>
      <w:pStyle w:val="Header"/>
      <w:jc w:val="right"/>
    </w:pPr>
    <w:r>
      <w:t>CCPR/C/119/D/2121/2011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A26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7C97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C65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62F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46C2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16623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120E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442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AA69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D681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45FEABD0"/>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7CE82F62"/>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DD47101"/>
    <w:multiLevelType w:val="hybridMultilevel"/>
    <w:tmpl w:val="3D02CD16"/>
    <w:lvl w:ilvl="0" w:tplc="93DE58DA">
      <w:start w:val="1"/>
      <w:numFmt w:val="decimal"/>
      <w:lvlText w:val="%1."/>
      <w:lvlJc w:val="left"/>
      <w:pPr>
        <w:tabs>
          <w:tab w:val="num" w:pos="720"/>
        </w:tabs>
        <w:ind w:left="720" w:hanging="360"/>
      </w:pPr>
      <w:rPr>
        <w:rFonts w:hint="default"/>
      </w:rPr>
    </w:lvl>
    <w:lvl w:ilvl="1" w:tplc="DD0002FE">
      <w:start w:val="1"/>
      <w:numFmt w:val="bullet"/>
      <w:lvlText w:val=""/>
      <w:lvlJc w:val="left"/>
      <w:pPr>
        <w:tabs>
          <w:tab w:val="num" w:pos="567"/>
        </w:tabs>
        <w:ind w:left="567" w:firstLine="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0"/>
  </w:num>
  <w:num w:numId="19">
    <w:abstractNumId w:val="14"/>
  </w:num>
  <w:num w:numId="20">
    <w:abstractNumId w:val="13"/>
  </w:num>
  <w:num w:numId="21">
    <w:abstractNumId w:val="11"/>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D2"/>
    <w:rsid w:val="0000560F"/>
    <w:rsid w:val="00006BB9"/>
    <w:rsid w:val="000140B1"/>
    <w:rsid w:val="000156F7"/>
    <w:rsid w:val="00031E4C"/>
    <w:rsid w:val="000349F7"/>
    <w:rsid w:val="0004344D"/>
    <w:rsid w:val="000513E3"/>
    <w:rsid w:val="0005274F"/>
    <w:rsid w:val="00054538"/>
    <w:rsid w:val="00060EE3"/>
    <w:rsid w:val="00062929"/>
    <w:rsid w:val="00064166"/>
    <w:rsid w:val="00071FC3"/>
    <w:rsid w:val="00076B52"/>
    <w:rsid w:val="0008029B"/>
    <w:rsid w:val="00080A30"/>
    <w:rsid w:val="00084147"/>
    <w:rsid w:val="00085161"/>
    <w:rsid w:val="00090563"/>
    <w:rsid w:val="000949D0"/>
    <w:rsid w:val="000962C0"/>
    <w:rsid w:val="000A36A2"/>
    <w:rsid w:val="000B2EBE"/>
    <w:rsid w:val="000B34FE"/>
    <w:rsid w:val="000B57E7"/>
    <w:rsid w:val="000C3BEF"/>
    <w:rsid w:val="000C51E3"/>
    <w:rsid w:val="000C5BEB"/>
    <w:rsid w:val="000D10E3"/>
    <w:rsid w:val="000D42D2"/>
    <w:rsid w:val="000E09F2"/>
    <w:rsid w:val="000F09DF"/>
    <w:rsid w:val="000F5066"/>
    <w:rsid w:val="000F61B2"/>
    <w:rsid w:val="00101973"/>
    <w:rsid w:val="001075E9"/>
    <w:rsid w:val="00107915"/>
    <w:rsid w:val="001121FE"/>
    <w:rsid w:val="00122A6E"/>
    <w:rsid w:val="00126A11"/>
    <w:rsid w:val="00133B8C"/>
    <w:rsid w:val="00142A17"/>
    <w:rsid w:val="00150DDF"/>
    <w:rsid w:val="001536B1"/>
    <w:rsid w:val="00154A1F"/>
    <w:rsid w:val="00160FF7"/>
    <w:rsid w:val="001716DC"/>
    <w:rsid w:val="00177471"/>
    <w:rsid w:val="00180183"/>
    <w:rsid w:val="00182D02"/>
    <w:rsid w:val="00183B83"/>
    <w:rsid w:val="00183C8D"/>
    <w:rsid w:val="0019070A"/>
    <w:rsid w:val="00191E7D"/>
    <w:rsid w:val="00196389"/>
    <w:rsid w:val="0019700D"/>
    <w:rsid w:val="001A1F00"/>
    <w:rsid w:val="001A6999"/>
    <w:rsid w:val="001B0AF3"/>
    <w:rsid w:val="001B2570"/>
    <w:rsid w:val="001B2D29"/>
    <w:rsid w:val="001B3FC9"/>
    <w:rsid w:val="001C2836"/>
    <w:rsid w:val="001C6776"/>
    <w:rsid w:val="001C732C"/>
    <w:rsid w:val="001C7A89"/>
    <w:rsid w:val="001D3098"/>
    <w:rsid w:val="001D72D1"/>
    <w:rsid w:val="001E4947"/>
    <w:rsid w:val="001E52BA"/>
    <w:rsid w:val="001F5C7B"/>
    <w:rsid w:val="001F6E4C"/>
    <w:rsid w:val="00200AC5"/>
    <w:rsid w:val="00200E6D"/>
    <w:rsid w:val="00201790"/>
    <w:rsid w:val="0020217D"/>
    <w:rsid w:val="0021076A"/>
    <w:rsid w:val="00212923"/>
    <w:rsid w:val="002129AE"/>
    <w:rsid w:val="00214193"/>
    <w:rsid w:val="00215045"/>
    <w:rsid w:val="00220BDB"/>
    <w:rsid w:val="0022765D"/>
    <w:rsid w:val="00231202"/>
    <w:rsid w:val="00234061"/>
    <w:rsid w:val="002420C1"/>
    <w:rsid w:val="00245356"/>
    <w:rsid w:val="00253637"/>
    <w:rsid w:val="00254941"/>
    <w:rsid w:val="00254A2F"/>
    <w:rsid w:val="00266FBA"/>
    <w:rsid w:val="00272445"/>
    <w:rsid w:val="002856BF"/>
    <w:rsid w:val="00292B23"/>
    <w:rsid w:val="002953E8"/>
    <w:rsid w:val="002965D8"/>
    <w:rsid w:val="002A061F"/>
    <w:rsid w:val="002A2EFC"/>
    <w:rsid w:val="002A66E2"/>
    <w:rsid w:val="002A6FA7"/>
    <w:rsid w:val="002B2063"/>
    <w:rsid w:val="002B3F0C"/>
    <w:rsid w:val="002B5FE8"/>
    <w:rsid w:val="002C0E18"/>
    <w:rsid w:val="002C33BB"/>
    <w:rsid w:val="002D477F"/>
    <w:rsid w:val="002D4D4E"/>
    <w:rsid w:val="002D5AAC"/>
    <w:rsid w:val="002D7586"/>
    <w:rsid w:val="002D7C8D"/>
    <w:rsid w:val="002E092A"/>
    <w:rsid w:val="002E154D"/>
    <w:rsid w:val="002E167D"/>
    <w:rsid w:val="002E2DE3"/>
    <w:rsid w:val="002F04F4"/>
    <w:rsid w:val="002F0766"/>
    <w:rsid w:val="002F13FE"/>
    <w:rsid w:val="002F2E91"/>
    <w:rsid w:val="002F472A"/>
    <w:rsid w:val="00301299"/>
    <w:rsid w:val="00301EE4"/>
    <w:rsid w:val="00304543"/>
    <w:rsid w:val="003057E3"/>
    <w:rsid w:val="00306C0C"/>
    <w:rsid w:val="00307A46"/>
    <w:rsid w:val="0031015D"/>
    <w:rsid w:val="00312C89"/>
    <w:rsid w:val="003165C3"/>
    <w:rsid w:val="00322004"/>
    <w:rsid w:val="0032353C"/>
    <w:rsid w:val="00324E5C"/>
    <w:rsid w:val="003271C6"/>
    <w:rsid w:val="00331C88"/>
    <w:rsid w:val="0033374A"/>
    <w:rsid w:val="003402C2"/>
    <w:rsid w:val="003442DE"/>
    <w:rsid w:val="00346358"/>
    <w:rsid w:val="00350AEC"/>
    <w:rsid w:val="003515DA"/>
    <w:rsid w:val="0035318A"/>
    <w:rsid w:val="0035515D"/>
    <w:rsid w:val="003552EE"/>
    <w:rsid w:val="00356276"/>
    <w:rsid w:val="00363037"/>
    <w:rsid w:val="003639BD"/>
    <w:rsid w:val="003647EF"/>
    <w:rsid w:val="00365DD5"/>
    <w:rsid w:val="00371D05"/>
    <w:rsid w:val="003730B4"/>
    <w:rsid w:val="00375389"/>
    <w:rsid w:val="003773FA"/>
    <w:rsid w:val="00381C24"/>
    <w:rsid w:val="00382CBA"/>
    <w:rsid w:val="003840A9"/>
    <w:rsid w:val="00393C9A"/>
    <w:rsid w:val="003956E6"/>
    <w:rsid w:val="003958D0"/>
    <w:rsid w:val="003A5152"/>
    <w:rsid w:val="003B5251"/>
    <w:rsid w:val="003B5A48"/>
    <w:rsid w:val="003C008D"/>
    <w:rsid w:val="003C1AB8"/>
    <w:rsid w:val="003C59B9"/>
    <w:rsid w:val="003C6FF3"/>
    <w:rsid w:val="003D7807"/>
    <w:rsid w:val="003E1DE7"/>
    <w:rsid w:val="003E1F6E"/>
    <w:rsid w:val="004039A7"/>
    <w:rsid w:val="004049BB"/>
    <w:rsid w:val="004113E6"/>
    <w:rsid w:val="00411A36"/>
    <w:rsid w:val="004163A6"/>
    <w:rsid w:val="00417CC0"/>
    <w:rsid w:val="00422345"/>
    <w:rsid w:val="004257EF"/>
    <w:rsid w:val="00426A26"/>
    <w:rsid w:val="0043016B"/>
    <w:rsid w:val="00430A06"/>
    <w:rsid w:val="00432214"/>
    <w:rsid w:val="0043372B"/>
    <w:rsid w:val="00433840"/>
    <w:rsid w:val="004342D7"/>
    <w:rsid w:val="00444424"/>
    <w:rsid w:val="00445E23"/>
    <w:rsid w:val="00450F73"/>
    <w:rsid w:val="00454E07"/>
    <w:rsid w:val="004565FA"/>
    <w:rsid w:val="004606FF"/>
    <w:rsid w:val="004744DF"/>
    <w:rsid w:val="004771F5"/>
    <w:rsid w:val="00481A9F"/>
    <w:rsid w:val="00484A12"/>
    <w:rsid w:val="004875CF"/>
    <w:rsid w:val="00494604"/>
    <w:rsid w:val="004A2E89"/>
    <w:rsid w:val="004B0CDC"/>
    <w:rsid w:val="004B5C26"/>
    <w:rsid w:val="004C39D3"/>
    <w:rsid w:val="004C6169"/>
    <w:rsid w:val="004C7770"/>
    <w:rsid w:val="004C7A3D"/>
    <w:rsid w:val="004C7CC3"/>
    <w:rsid w:val="004D0FD0"/>
    <w:rsid w:val="004D5631"/>
    <w:rsid w:val="004D666B"/>
    <w:rsid w:val="004E3168"/>
    <w:rsid w:val="004E4B46"/>
    <w:rsid w:val="004E64DA"/>
    <w:rsid w:val="004F001A"/>
    <w:rsid w:val="004F1026"/>
    <w:rsid w:val="004F2368"/>
    <w:rsid w:val="0050108D"/>
    <w:rsid w:val="005032FA"/>
    <w:rsid w:val="00510F6C"/>
    <w:rsid w:val="005122B4"/>
    <w:rsid w:val="00514551"/>
    <w:rsid w:val="00517B43"/>
    <w:rsid w:val="00522F86"/>
    <w:rsid w:val="00522FAE"/>
    <w:rsid w:val="005230BF"/>
    <w:rsid w:val="00524D79"/>
    <w:rsid w:val="00526538"/>
    <w:rsid w:val="00527B00"/>
    <w:rsid w:val="00530F3F"/>
    <w:rsid w:val="00532292"/>
    <w:rsid w:val="005352F4"/>
    <w:rsid w:val="0053591B"/>
    <w:rsid w:val="0054178D"/>
    <w:rsid w:val="00543DB8"/>
    <w:rsid w:val="005507ED"/>
    <w:rsid w:val="005519E7"/>
    <w:rsid w:val="00554400"/>
    <w:rsid w:val="005555D9"/>
    <w:rsid w:val="0055584E"/>
    <w:rsid w:val="005627CC"/>
    <w:rsid w:val="00564FDC"/>
    <w:rsid w:val="0056787C"/>
    <w:rsid w:val="00567F8A"/>
    <w:rsid w:val="00570B5B"/>
    <w:rsid w:val="00572E19"/>
    <w:rsid w:val="005731AF"/>
    <w:rsid w:val="00577DD9"/>
    <w:rsid w:val="005840E5"/>
    <w:rsid w:val="00585786"/>
    <w:rsid w:val="005878C3"/>
    <w:rsid w:val="00587EDF"/>
    <w:rsid w:val="00590E6C"/>
    <w:rsid w:val="005951DD"/>
    <w:rsid w:val="0059690D"/>
    <w:rsid w:val="005972B7"/>
    <w:rsid w:val="005A717A"/>
    <w:rsid w:val="005B0A14"/>
    <w:rsid w:val="005B2608"/>
    <w:rsid w:val="005B3E01"/>
    <w:rsid w:val="005B4640"/>
    <w:rsid w:val="005B46F8"/>
    <w:rsid w:val="005B793D"/>
    <w:rsid w:val="005C14E9"/>
    <w:rsid w:val="005C3809"/>
    <w:rsid w:val="005C3E8E"/>
    <w:rsid w:val="005C559B"/>
    <w:rsid w:val="005C56A6"/>
    <w:rsid w:val="005D5439"/>
    <w:rsid w:val="005E446F"/>
    <w:rsid w:val="005E5AEE"/>
    <w:rsid w:val="005F0B42"/>
    <w:rsid w:val="005F40C7"/>
    <w:rsid w:val="00601FFB"/>
    <w:rsid w:val="00602305"/>
    <w:rsid w:val="00604B51"/>
    <w:rsid w:val="00611FDA"/>
    <w:rsid w:val="00614642"/>
    <w:rsid w:val="006305FD"/>
    <w:rsid w:val="006324ED"/>
    <w:rsid w:val="00632931"/>
    <w:rsid w:val="00635088"/>
    <w:rsid w:val="00636869"/>
    <w:rsid w:val="00637092"/>
    <w:rsid w:val="00637367"/>
    <w:rsid w:val="00651B88"/>
    <w:rsid w:val="00653381"/>
    <w:rsid w:val="00653AC2"/>
    <w:rsid w:val="00655A21"/>
    <w:rsid w:val="006563E3"/>
    <w:rsid w:val="006642A8"/>
    <w:rsid w:val="006647C1"/>
    <w:rsid w:val="00666962"/>
    <w:rsid w:val="00666F45"/>
    <w:rsid w:val="00667CA3"/>
    <w:rsid w:val="006717B0"/>
    <w:rsid w:val="00673E43"/>
    <w:rsid w:val="00676221"/>
    <w:rsid w:val="006808A9"/>
    <w:rsid w:val="00682C0D"/>
    <w:rsid w:val="006838DF"/>
    <w:rsid w:val="006B2191"/>
    <w:rsid w:val="006B2CB7"/>
    <w:rsid w:val="006B5853"/>
    <w:rsid w:val="006C11E1"/>
    <w:rsid w:val="006C4296"/>
    <w:rsid w:val="006D028F"/>
    <w:rsid w:val="006D03BE"/>
    <w:rsid w:val="006D1565"/>
    <w:rsid w:val="006D1C99"/>
    <w:rsid w:val="006D6268"/>
    <w:rsid w:val="006E0231"/>
    <w:rsid w:val="006E05CC"/>
    <w:rsid w:val="006F099B"/>
    <w:rsid w:val="006F1891"/>
    <w:rsid w:val="006F35EE"/>
    <w:rsid w:val="007021FF"/>
    <w:rsid w:val="0070383B"/>
    <w:rsid w:val="00704931"/>
    <w:rsid w:val="00705A7B"/>
    <w:rsid w:val="007076CB"/>
    <w:rsid w:val="00711D66"/>
    <w:rsid w:val="00716A9D"/>
    <w:rsid w:val="00721764"/>
    <w:rsid w:val="00724573"/>
    <w:rsid w:val="00727B7E"/>
    <w:rsid w:val="00731728"/>
    <w:rsid w:val="00732B7F"/>
    <w:rsid w:val="00732F54"/>
    <w:rsid w:val="00733B21"/>
    <w:rsid w:val="00733D6B"/>
    <w:rsid w:val="00733F12"/>
    <w:rsid w:val="007372DB"/>
    <w:rsid w:val="00741F1B"/>
    <w:rsid w:val="00742B31"/>
    <w:rsid w:val="00743C64"/>
    <w:rsid w:val="00744799"/>
    <w:rsid w:val="0075236A"/>
    <w:rsid w:val="00754B1E"/>
    <w:rsid w:val="0075588F"/>
    <w:rsid w:val="00756359"/>
    <w:rsid w:val="00756F6A"/>
    <w:rsid w:val="007622AC"/>
    <w:rsid w:val="007638B0"/>
    <w:rsid w:val="00763B94"/>
    <w:rsid w:val="007648FC"/>
    <w:rsid w:val="007651E8"/>
    <w:rsid w:val="00765924"/>
    <w:rsid w:val="007728BD"/>
    <w:rsid w:val="007817D1"/>
    <w:rsid w:val="00782805"/>
    <w:rsid w:val="0078428B"/>
    <w:rsid w:val="00791075"/>
    <w:rsid w:val="0079304D"/>
    <w:rsid w:val="007935F7"/>
    <w:rsid w:val="00794521"/>
    <w:rsid w:val="007967DF"/>
    <w:rsid w:val="007A0664"/>
    <w:rsid w:val="007A0D9C"/>
    <w:rsid w:val="007A5A35"/>
    <w:rsid w:val="007B7FE0"/>
    <w:rsid w:val="007C4364"/>
    <w:rsid w:val="007D0FBC"/>
    <w:rsid w:val="007D20EE"/>
    <w:rsid w:val="007D2DC4"/>
    <w:rsid w:val="007D57D2"/>
    <w:rsid w:val="007D7C8B"/>
    <w:rsid w:val="007E2607"/>
    <w:rsid w:val="007E46B5"/>
    <w:rsid w:val="007E77AF"/>
    <w:rsid w:val="007F6335"/>
    <w:rsid w:val="00802445"/>
    <w:rsid w:val="00810494"/>
    <w:rsid w:val="008176A0"/>
    <w:rsid w:val="00817789"/>
    <w:rsid w:val="00825929"/>
    <w:rsid w:val="00834B71"/>
    <w:rsid w:val="008414F0"/>
    <w:rsid w:val="008471FA"/>
    <w:rsid w:val="008513C4"/>
    <w:rsid w:val="0085247A"/>
    <w:rsid w:val="00856C65"/>
    <w:rsid w:val="00856FEE"/>
    <w:rsid w:val="00860BAE"/>
    <w:rsid w:val="00861C59"/>
    <w:rsid w:val="00862234"/>
    <w:rsid w:val="00862648"/>
    <w:rsid w:val="0086445C"/>
    <w:rsid w:val="008659CC"/>
    <w:rsid w:val="0086754C"/>
    <w:rsid w:val="00873E49"/>
    <w:rsid w:val="00882546"/>
    <w:rsid w:val="00883F2C"/>
    <w:rsid w:val="00887BA6"/>
    <w:rsid w:val="008906BA"/>
    <w:rsid w:val="00896F2B"/>
    <w:rsid w:val="008A08D7"/>
    <w:rsid w:val="008A13F9"/>
    <w:rsid w:val="008A497A"/>
    <w:rsid w:val="008C3C15"/>
    <w:rsid w:val="008C688A"/>
    <w:rsid w:val="008C77C5"/>
    <w:rsid w:val="008D1425"/>
    <w:rsid w:val="008D5DB6"/>
    <w:rsid w:val="008D7169"/>
    <w:rsid w:val="008F00CE"/>
    <w:rsid w:val="008F5A64"/>
    <w:rsid w:val="00901157"/>
    <w:rsid w:val="00904E12"/>
    <w:rsid w:val="00906890"/>
    <w:rsid w:val="009120CB"/>
    <w:rsid w:val="00912F8A"/>
    <w:rsid w:val="00916396"/>
    <w:rsid w:val="00920000"/>
    <w:rsid w:val="00920BBC"/>
    <w:rsid w:val="00926C38"/>
    <w:rsid w:val="009345F8"/>
    <w:rsid w:val="009415DC"/>
    <w:rsid w:val="00941A89"/>
    <w:rsid w:val="00941F5C"/>
    <w:rsid w:val="009428F9"/>
    <w:rsid w:val="00943EE3"/>
    <w:rsid w:val="009506CB"/>
    <w:rsid w:val="00951972"/>
    <w:rsid w:val="00954F49"/>
    <w:rsid w:val="0095625C"/>
    <w:rsid w:val="009623D7"/>
    <w:rsid w:val="00962DB4"/>
    <w:rsid w:val="00963777"/>
    <w:rsid w:val="00966A39"/>
    <w:rsid w:val="00966D36"/>
    <w:rsid w:val="009741F3"/>
    <w:rsid w:val="00975135"/>
    <w:rsid w:val="0097615A"/>
    <w:rsid w:val="00984D0F"/>
    <w:rsid w:val="00985E10"/>
    <w:rsid w:val="009916C4"/>
    <w:rsid w:val="009924DA"/>
    <w:rsid w:val="009941C6"/>
    <w:rsid w:val="009946B1"/>
    <w:rsid w:val="009A209F"/>
    <w:rsid w:val="009A3BA2"/>
    <w:rsid w:val="009B14DB"/>
    <w:rsid w:val="009B452A"/>
    <w:rsid w:val="009B4680"/>
    <w:rsid w:val="009B4DDE"/>
    <w:rsid w:val="009B4E5E"/>
    <w:rsid w:val="009B5F3D"/>
    <w:rsid w:val="009C72B7"/>
    <w:rsid w:val="009D4B43"/>
    <w:rsid w:val="009D712E"/>
    <w:rsid w:val="009E2CE0"/>
    <w:rsid w:val="009E517E"/>
    <w:rsid w:val="009E6F22"/>
    <w:rsid w:val="009E7AC9"/>
    <w:rsid w:val="009F1060"/>
    <w:rsid w:val="009F2B56"/>
    <w:rsid w:val="009F4B7B"/>
    <w:rsid w:val="009F682A"/>
    <w:rsid w:val="00A0013D"/>
    <w:rsid w:val="00A0124D"/>
    <w:rsid w:val="00A0198B"/>
    <w:rsid w:val="00A03969"/>
    <w:rsid w:val="00A05FFD"/>
    <w:rsid w:val="00A17DFD"/>
    <w:rsid w:val="00A23CBC"/>
    <w:rsid w:val="00A249F9"/>
    <w:rsid w:val="00A25129"/>
    <w:rsid w:val="00A34E2D"/>
    <w:rsid w:val="00A368BD"/>
    <w:rsid w:val="00A41951"/>
    <w:rsid w:val="00A41968"/>
    <w:rsid w:val="00A42E01"/>
    <w:rsid w:val="00A5586C"/>
    <w:rsid w:val="00A563DA"/>
    <w:rsid w:val="00A70F54"/>
    <w:rsid w:val="00A73D62"/>
    <w:rsid w:val="00A81257"/>
    <w:rsid w:val="00A917B3"/>
    <w:rsid w:val="00A9390E"/>
    <w:rsid w:val="00A94647"/>
    <w:rsid w:val="00A94BED"/>
    <w:rsid w:val="00AA448F"/>
    <w:rsid w:val="00AB4B51"/>
    <w:rsid w:val="00AB73A4"/>
    <w:rsid w:val="00AB76E2"/>
    <w:rsid w:val="00AB7DE6"/>
    <w:rsid w:val="00AD5573"/>
    <w:rsid w:val="00AE0E02"/>
    <w:rsid w:val="00AE4CC4"/>
    <w:rsid w:val="00AF069A"/>
    <w:rsid w:val="00AF6ABD"/>
    <w:rsid w:val="00AF6BD9"/>
    <w:rsid w:val="00B008F5"/>
    <w:rsid w:val="00B047A3"/>
    <w:rsid w:val="00B04C27"/>
    <w:rsid w:val="00B10170"/>
    <w:rsid w:val="00B10CC7"/>
    <w:rsid w:val="00B15CF8"/>
    <w:rsid w:val="00B162E0"/>
    <w:rsid w:val="00B172D5"/>
    <w:rsid w:val="00B1747E"/>
    <w:rsid w:val="00B27237"/>
    <w:rsid w:val="00B30204"/>
    <w:rsid w:val="00B331F6"/>
    <w:rsid w:val="00B3621D"/>
    <w:rsid w:val="00B418A2"/>
    <w:rsid w:val="00B4550D"/>
    <w:rsid w:val="00B511D3"/>
    <w:rsid w:val="00B51F8A"/>
    <w:rsid w:val="00B569D2"/>
    <w:rsid w:val="00B6185D"/>
    <w:rsid w:val="00B62458"/>
    <w:rsid w:val="00B62B33"/>
    <w:rsid w:val="00B63082"/>
    <w:rsid w:val="00B65701"/>
    <w:rsid w:val="00B66AF9"/>
    <w:rsid w:val="00B75F28"/>
    <w:rsid w:val="00B77E2E"/>
    <w:rsid w:val="00B86178"/>
    <w:rsid w:val="00B91823"/>
    <w:rsid w:val="00B95717"/>
    <w:rsid w:val="00BB1188"/>
    <w:rsid w:val="00BB5376"/>
    <w:rsid w:val="00BC0579"/>
    <w:rsid w:val="00BC08AD"/>
    <w:rsid w:val="00BC1A6B"/>
    <w:rsid w:val="00BC6939"/>
    <w:rsid w:val="00BD0187"/>
    <w:rsid w:val="00BD2718"/>
    <w:rsid w:val="00BD33EE"/>
    <w:rsid w:val="00BE473C"/>
    <w:rsid w:val="00BE5009"/>
    <w:rsid w:val="00BE520B"/>
    <w:rsid w:val="00BE6014"/>
    <w:rsid w:val="00BE7A8C"/>
    <w:rsid w:val="00C058A1"/>
    <w:rsid w:val="00C10CDE"/>
    <w:rsid w:val="00C12822"/>
    <w:rsid w:val="00C20107"/>
    <w:rsid w:val="00C2215B"/>
    <w:rsid w:val="00C263FB"/>
    <w:rsid w:val="00C27ECE"/>
    <w:rsid w:val="00C33381"/>
    <w:rsid w:val="00C35309"/>
    <w:rsid w:val="00C357AC"/>
    <w:rsid w:val="00C47BED"/>
    <w:rsid w:val="00C51D12"/>
    <w:rsid w:val="00C54819"/>
    <w:rsid w:val="00C55A92"/>
    <w:rsid w:val="00C56FC7"/>
    <w:rsid w:val="00C575F0"/>
    <w:rsid w:val="00C60F0C"/>
    <w:rsid w:val="00C6281B"/>
    <w:rsid w:val="00C7021F"/>
    <w:rsid w:val="00C72591"/>
    <w:rsid w:val="00C7499F"/>
    <w:rsid w:val="00C76505"/>
    <w:rsid w:val="00C77AA1"/>
    <w:rsid w:val="00C805C9"/>
    <w:rsid w:val="00C83CEA"/>
    <w:rsid w:val="00C85F1E"/>
    <w:rsid w:val="00C920D5"/>
    <w:rsid w:val="00C975D3"/>
    <w:rsid w:val="00CA1679"/>
    <w:rsid w:val="00CA20B8"/>
    <w:rsid w:val="00CA4732"/>
    <w:rsid w:val="00CA5DA9"/>
    <w:rsid w:val="00CB1703"/>
    <w:rsid w:val="00CB6E7B"/>
    <w:rsid w:val="00CC1D85"/>
    <w:rsid w:val="00CC77D1"/>
    <w:rsid w:val="00CD2A51"/>
    <w:rsid w:val="00CD352A"/>
    <w:rsid w:val="00CD57ED"/>
    <w:rsid w:val="00CD7973"/>
    <w:rsid w:val="00CE031D"/>
    <w:rsid w:val="00CE52EE"/>
    <w:rsid w:val="00CE6BA2"/>
    <w:rsid w:val="00CE71FE"/>
    <w:rsid w:val="00D016FB"/>
    <w:rsid w:val="00D174E8"/>
    <w:rsid w:val="00D26DD2"/>
    <w:rsid w:val="00D3331B"/>
    <w:rsid w:val="00D34AFD"/>
    <w:rsid w:val="00D42DDC"/>
    <w:rsid w:val="00D432D0"/>
    <w:rsid w:val="00D46ECB"/>
    <w:rsid w:val="00D475B0"/>
    <w:rsid w:val="00D5042C"/>
    <w:rsid w:val="00D5242D"/>
    <w:rsid w:val="00D53099"/>
    <w:rsid w:val="00D56F6A"/>
    <w:rsid w:val="00D63A89"/>
    <w:rsid w:val="00D64A28"/>
    <w:rsid w:val="00D70660"/>
    <w:rsid w:val="00D75A30"/>
    <w:rsid w:val="00D75FD3"/>
    <w:rsid w:val="00D8090C"/>
    <w:rsid w:val="00D809C0"/>
    <w:rsid w:val="00D80BBB"/>
    <w:rsid w:val="00D82A37"/>
    <w:rsid w:val="00D8358B"/>
    <w:rsid w:val="00D85B7D"/>
    <w:rsid w:val="00D85E76"/>
    <w:rsid w:val="00D87B76"/>
    <w:rsid w:val="00D90138"/>
    <w:rsid w:val="00D96892"/>
    <w:rsid w:val="00DA22CD"/>
    <w:rsid w:val="00DA489D"/>
    <w:rsid w:val="00DB00A0"/>
    <w:rsid w:val="00DB2C28"/>
    <w:rsid w:val="00DB5432"/>
    <w:rsid w:val="00DB5718"/>
    <w:rsid w:val="00DB7D99"/>
    <w:rsid w:val="00DC1025"/>
    <w:rsid w:val="00DC4D19"/>
    <w:rsid w:val="00DD740A"/>
    <w:rsid w:val="00DD79DD"/>
    <w:rsid w:val="00DD7F0D"/>
    <w:rsid w:val="00DE3E86"/>
    <w:rsid w:val="00DE44AD"/>
    <w:rsid w:val="00DE6F5A"/>
    <w:rsid w:val="00DE788B"/>
    <w:rsid w:val="00DF16B8"/>
    <w:rsid w:val="00DF64BE"/>
    <w:rsid w:val="00E05EDB"/>
    <w:rsid w:val="00E0684C"/>
    <w:rsid w:val="00E109A7"/>
    <w:rsid w:val="00E1180E"/>
    <w:rsid w:val="00E2219C"/>
    <w:rsid w:val="00E23668"/>
    <w:rsid w:val="00E23FD9"/>
    <w:rsid w:val="00E321B1"/>
    <w:rsid w:val="00E32DC2"/>
    <w:rsid w:val="00E35BD9"/>
    <w:rsid w:val="00E35E9C"/>
    <w:rsid w:val="00E43355"/>
    <w:rsid w:val="00E465AB"/>
    <w:rsid w:val="00E6352D"/>
    <w:rsid w:val="00E71F92"/>
    <w:rsid w:val="00E73F76"/>
    <w:rsid w:val="00E82266"/>
    <w:rsid w:val="00E85DEA"/>
    <w:rsid w:val="00E901BC"/>
    <w:rsid w:val="00E94AE9"/>
    <w:rsid w:val="00E95E3A"/>
    <w:rsid w:val="00EA164F"/>
    <w:rsid w:val="00EA4098"/>
    <w:rsid w:val="00EA4BED"/>
    <w:rsid w:val="00EA61BA"/>
    <w:rsid w:val="00EA7D82"/>
    <w:rsid w:val="00EB7A33"/>
    <w:rsid w:val="00EC60AB"/>
    <w:rsid w:val="00EC7227"/>
    <w:rsid w:val="00ED0609"/>
    <w:rsid w:val="00ED2FF0"/>
    <w:rsid w:val="00ED3F48"/>
    <w:rsid w:val="00ED57E9"/>
    <w:rsid w:val="00ED6825"/>
    <w:rsid w:val="00EE27CD"/>
    <w:rsid w:val="00EE558C"/>
    <w:rsid w:val="00EF1360"/>
    <w:rsid w:val="00EF3220"/>
    <w:rsid w:val="00EF3C0A"/>
    <w:rsid w:val="00EF532C"/>
    <w:rsid w:val="00EF751B"/>
    <w:rsid w:val="00F10634"/>
    <w:rsid w:val="00F127A8"/>
    <w:rsid w:val="00F13D81"/>
    <w:rsid w:val="00F14353"/>
    <w:rsid w:val="00F24AB2"/>
    <w:rsid w:val="00F24BFA"/>
    <w:rsid w:val="00F25F3E"/>
    <w:rsid w:val="00F2659F"/>
    <w:rsid w:val="00F32235"/>
    <w:rsid w:val="00F326F2"/>
    <w:rsid w:val="00F34C0A"/>
    <w:rsid w:val="00F37024"/>
    <w:rsid w:val="00F41A96"/>
    <w:rsid w:val="00F42DFC"/>
    <w:rsid w:val="00F436F7"/>
    <w:rsid w:val="00F44B33"/>
    <w:rsid w:val="00F471B9"/>
    <w:rsid w:val="00F5250B"/>
    <w:rsid w:val="00F52AD3"/>
    <w:rsid w:val="00F55984"/>
    <w:rsid w:val="00F607C6"/>
    <w:rsid w:val="00F64555"/>
    <w:rsid w:val="00F67D5A"/>
    <w:rsid w:val="00F70447"/>
    <w:rsid w:val="00F94155"/>
    <w:rsid w:val="00F961AA"/>
    <w:rsid w:val="00FA4209"/>
    <w:rsid w:val="00FA55CC"/>
    <w:rsid w:val="00FB3409"/>
    <w:rsid w:val="00FD2EF7"/>
    <w:rsid w:val="00FD3036"/>
    <w:rsid w:val="00FD409F"/>
    <w:rsid w:val="00FD4AD6"/>
    <w:rsid w:val="00FD51CF"/>
    <w:rsid w:val="00FD7395"/>
    <w:rsid w:val="00FE0385"/>
    <w:rsid w:val="00FE0883"/>
    <w:rsid w:val="00FE4480"/>
    <w:rsid w:val="00FF1E5D"/>
    <w:rsid w:val="00FF251F"/>
    <w:rsid w:val="00FF3C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9575B"/>
  <w15:docId w15:val="{0929CCB1-B6CF-4443-8EE3-9031A968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39"/>
    <w:pPr>
      <w:spacing w:line="240" w:lineRule="atLeast"/>
    </w:pPr>
    <w:rPr>
      <w:lang w:val="es-ES" w:eastAsia="es-ES"/>
    </w:rPr>
  </w:style>
  <w:style w:type="paragraph" w:styleId="Heading1">
    <w:name w:val="heading 1"/>
    <w:aliases w:val="Cuadro_G"/>
    <w:basedOn w:val="SingleTxtG"/>
    <w:next w:val="SingleTxtG"/>
    <w:link w:val="Heading1Char"/>
    <w:qFormat/>
    <w:rsid w:val="00966A3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966A39"/>
    <w:pPr>
      <w:keepNext/>
      <w:outlineLvl w:val="1"/>
    </w:pPr>
    <w:rPr>
      <w:rFonts w:cs="Arial"/>
      <w:bCs/>
      <w:iCs/>
      <w:szCs w:val="28"/>
    </w:rPr>
  </w:style>
  <w:style w:type="paragraph" w:styleId="Heading3">
    <w:name w:val="heading 3"/>
    <w:basedOn w:val="Normal"/>
    <w:next w:val="Normal"/>
    <w:semiHidden/>
    <w:rsid w:val="00966A39"/>
    <w:pPr>
      <w:keepNext/>
      <w:spacing w:before="240" w:after="60"/>
      <w:outlineLvl w:val="2"/>
    </w:pPr>
    <w:rPr>
      <w:rFonts w:ascii="Arial" w:hAnsi="Arial" w:cs="Arial"/>
      <w:b/>
      <w:bCs/>
      <w:sz w:val="26"/>
      <w:szCs w:val="26"/>
    </w:rPr>
  </w:style>
  <w:style w:type="paragraph" w:styleId="Heading4">
    <w:name w:val="heading 4"/>
    <w:basedOn w:val="Normal"/>
    <w:next w:val="Normal"/>
    <w:semiHidden/>
    <w:rsid w:val="00966A39"/>
    <w:pPr>
      <w:keepNext/>
      <w:spacing w:before="240" w:after="60"/>
      <w:outlineLvl w:val="3"/>
    </w:pPr>
    <w:rPr>
      <w:b/>
      <w:bCs/>
      <w:sz w:val="28"/>
      <w:szCs w:val="28"/>
    </w:rPr>
  </w:style>
  <w:style w:type="paragraph" w:styleId="Heading5">
    <w:name w:val="heading 5"/>
    <w:basedOn w:val="Normal"/>
    <w:next w:val="Normal"/>
    <w:semiHidden/>
    <w:rsid w:val="00966A39"/>
    <w:pPr>
      <w:spacing w:before="240" w:after="60"/>
      <w:outlineLvl w:val="4"/>
    </w:pPr>
    <w:rPr>
      <w:b/>
      <w:bCs/>
      <w:i/>
      <w:iCs/>
      <w:sz w:val="26"/>
      <w:szCs w:val="26"/>
    </w:rPr>
  </w:style>
  <w:style w:type="paragraph" w:styleId="Heading6">
    <w:name w:val="heading 6"/>
    <w:basedOn w:val="Normal"/>
    <w:next w:val="Normal"/>
    <w:semiHidden/>
    <w:rsid w:val="00966A39"/>
    <w:pPr>
      <w:spacing w:before="240" w:after="60"/>
      <w:outlineLvl w:val="5"/>
    </w:pPr>
    <w:rPr>
      <w:b/>
      <w:bCs/>
      <w:sz w:val="22"/>
      <w:szCs w:val="22"/>
    </w:rPr>
  </w:style>
  <w:style w:type="paragraph" w:styleId="Heading7">
    <w:name w:val="heading 7"/>
    <w:basedOn w:val="Normal"/>
    <w:next w:val="Normal"/>
    <w:semiHidden/>
    <w:rsid w:val="00966A39"/>
    <w:pPr>
      <w:spacing w:before="240" w:after="60"/>
      <w:outlineLvl w:val="6"/>
    </w:pPr>
    <w:rPr>
      <w:sz w:val="24"/>
      <w:szCs w:val="24"/>
    </w:rPr>
  </w:style>
  <w:style w:type="paragraph" w:styleId="Heading8">
    <w:name w:val="heading 8"/>
    <w:basedOn w:val="Normal"/>
    <w:next w:val="Normal"/>
    <w:semiHidden/>
    <w:rsid w:val="00966A39"/>
    <w:pPr>
      <w:spacing w:before="240" w:after="60"/>
      <w:outlineLvl w:val="7"/>
    </w:pPr>
    <w:rPr>
      <w:i/>
      <w:iCs/>
      <w:sz w:val="24"/>
      <w:szCs w:val="24"/>
    </w:rPr>
  </w:style>
  <w:style w:type="paragraph" w:styleId="Heading9">
    <w:name w:val="heading 9"/>
    <w:basedOn w:val="Normal"/>
    <w:next w:val="Normal"/>
    <w:semiHidden/>
    <w:rsid w:val="00966A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966A39"/>
    <w:rPr>
      <w:rFonts w:ascii="Times New Roman" w:hAnsi="Times New Roman"/>
      <w:sz w:val="18"/>
      <w:vertAlign w:val="superscript"/>
    </w:rPr>
  </w:style>
  <w:style w:type="paragraph" w:customStyle="1" w:styleId="HMG">
    <w:name w:val="_ H __M_G"/>
    <w:basedOn w:val="Normal"/>
    <w:next w:val="Normal"/>
    <w:qFormat/>
    <w:rsid w:val="00966A3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966A39"/>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966A3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966A3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966A3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966A39"/>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966A39"/>
    <w:pPr>
      <w:pBdr>
        <w:bottom w:val="single" w:sz="4" w:space="4" w:color="auto"/>
      </w:pBdr>
      <w:spacing w:line="240" w:lineRule="auto"/>
    </w:pPr>
    <w:rPr>
      <w:b/>
      <w:sz w:val="18"/>
    </w:rPr>
  </w:style>
  <w:style w:type="paragraph" w:customStyle="1" w:styleId="SingleTxtG">
    <w:name w:val="_ Single Txt_G"/>
    <w:basedOn w:val="Normal"/>
    <w:link w:val="SingleTxtGChar"/>
    <w:qFormat/>
    <w:rsid w:val="00966A39"/>
    <w:pPr>
      <w:spacing w:after="120"/>
      <w:ind w:left="1134" w:right="1134"/>
      <w:jc w:val="both"/>
    </w:pPr>
  </w:style>
  <w:style w:type="paragraph" w:customStyle="1" w:styleId="SMG">
    <w:name w:val="__S_M_G"/>
    <w:basedOn w:val="Normal"/>
    <w:next w:val="Normal"/>
    <w:rsid w:val="00966A3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966A39"/>
    <w:pPr>
      <w:keepNext/>
      <w:keepLines/>
      <w:spacing w:before="240" w:after="240" w:line="580" w:lineRule="exact"/>
      <w:ind w:left="1134" w:right="1134"/>
    </w:pPr>
    <w:rPr>
      <w:b/>
      <w:sz w:val="56"/>
    </w:rPr>
  </w:style>
  <w:style w:type="paragraph" w:customStyle="1" w:styleId="SSG">
    <w:name w:val="__S_S_G"/>
    <w:basedOn w:val="Normal"/>
    <w:next w:val="Normal"/>
    <w:rsid w:val="00966A39"/>
    <w:pPr>
      <w:keepNext/>
      <w:keepLines/>
      <w:spacing w:before="240" w:after="240" w:line="300" w:lineRule="exact"/>
      <w:ind w:left="1134" w:right="1134"/>
    </w:pPr>
    <w:rPr>
      <w:b/>
      <w:sz w:val="28"/>
    </w:rPr>
  </w:style>
  <w:style w:type="paragraph" w:styleId="Footer">
    <w:name w:val="footer"/>
    <w:aliases w:val="3_G"/>
    <w:basedOn w:val="Normal"/>
    <w:next w:val="Normal"/>
    <w:qFormat/>
    <w:rsid w:val="00966A39"/>
    <w:rPr>
      <w:sz w:val="16"/>
    </w:rPr>
  </w:style>
  <w:style w:type="paragraph" w:customStyle="1" w:styleId="XLargeG">
    <w:name w:val="__XLarge_G"/>
    <w:basedOn w:val="Normal"/>
    <w:next w:val="Normal"/>
    <w:rsid w:val="00966A39"/>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966A39"/>
    <w:pPr>
      <w:tabs>
        <w:tab w:val="right" w:pos="1021"/>
      </w:tabs>
      <w:spacing w:line="220" w:lineRule="exact"/>
      <w:ind w:left="1134" w:right="1134" w:hanging="1134"/>
    </w:pPr>
    <w:rPr>
      <w:sz w:val="18"/>
    </w:rPr>
  </w:style>
  <w:style w:type="table" w:styleId="TableGrid">
    <w:name w:val="Table Grid"/>
    <w:basedOn w:val="TableNormal"/>
    <w:rsid w:val="00966A3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966A39"/>
    <w:pPr>
      <w:numPr>
        <w:numId w:val="3"/>
      </w:numPr>
    </w:pPr>
  </w:style>
  <w:style w:type="numbering" w:styleId="1ai">
    <w:name w:val="Outline List 1"/>
    <w:basedOn w:val="NoList"/>
    <w:semiHidden/>
    <w:rsid w:val="00966A39"/>
    <w:pPr>
      <w:numPr>
        <w:numId w:val="4"/>
      </w:numPr>
    </w:pPr>
  </w:style>
  <w:style w:type="character" w:styleId="HTMLAcronym">
    <w:name w:val="HTML Acronym"/>
    <w:basedOn w:val="DefaultParagraphFont"/>
    <w:semiHidden/>
    <w:rsid w:val="00966A39"/>
  </w:style>
  <w:style w:type="numbering" w:styleId="ArticleSection">
    <w:name w:val="Outline List 3"/>
    <w:basedOn w:val="NoList"/>
    <w:semiHidden/>
    <w:rsid w:val="00966A39"/>
    <w:pPr>
      <w:numPr>
        <w:numId w:val="5"/>
      </w:numPr>
    </w:pPr>
  </w:style>
  <w:style w:type="paragraph" w:styleId="Closing">
    <w:name w:val="Closing"/>
    <w:basedOn w:val="Normal"/>
    <w:semiHidden/>
    <w:rsid w:val="00966A39"/>
    <w:pPr>
      <w:ind w:left="4252"/>
    </w:pPr>
  </w:style>
  <w:style w:type="character" w:styleId="HTMLCite">
    <w:name w:val="HTML Cite"/>
    <w:semiHidden/>
    <w:rsid w:val="00966A39"/>
    <w:rPr>
      <w:i/>
      <w:iCs/>
    </w:rPr>
  </w:style>
  <w:style w:type="character" w:styleId="HTMLCode">
    <w:name w:val="HTML Code"/>
    <w:semiHidden/>
    <w:rsid w:val="00966A39"/>
    <w:rPr>
      <w:rFonts w:ascii="Courier New" w:hAnsi="Courier New" w:cs="Courier New"/>
      <w:sz w:val="20"/>
      <w:szCs w:val="20"/>
    </w:rPr>
  </w:style>
  <w:style w:type="paragraph" w:styleId="ListContinue">
    <w:name w:val="List Continue"/>
    <w:basedOn w:val="Normal"/>
    <w:semiHidden/>
    <w:rsid w:val="00966A39"/>
    <w:pPr>
      <w:spacing w:after="120"/>
      <w:ind w:left="283"/>
    </w:pPr>
  </w:style>
  <w:style w:type="paragraph" w:styleId="ListContinue2">
    <w:name w:val="List Continue 2"/>
    <w:basedOn w:val="Normal"/>
    <w:semiHidden/>
    <w:rsid w:val="00966A39"/>
    <w:pPr>
      <w:spacing w:after="120"/>
      <w:ind w:left="566"/>
    </w:pPr>
  </w:style>
  <w:style w:type="paragraph" w:styleId="ListContinue3">
    <w:name w:val="List Continue 3"/>
    <w:basedOn w:val="Normal"/>
    <w:semiHidden/>
    <w:rsid w:val="00966A39"/>
    <w:pPr>
      <w:spacing w:after="120"/>
      <w:ind w:left="849"/>
    </w:pPr>
  </w:style>
  <w:style w:type="paragraph" w:styleId="ListContinue4">
    <w:name w:val="List Continue 4"/>
    <w:basedOn w:val="Normal"/>
    <w:semiHidden/>
    <w:rsid w:val="00966A39"/>
    <w:pPr>
      <w:spacing w:after="120"/>
      <w:ind w:left="1132"/>
    </w:pPr>
  </w:style>
  <w:style w:type="paragraph" w:styleId="ListContinue5">
    <w:name w:val="List Continue 5"/>
    <w:basedOn w:val="Normal"/>
    <w:semiHidden/>
    <w:rsid w:val="00966A39"/>
    <w:pPr>
      <w:spacing w:after="120"/>
      <w:ind w:left="1415"/>
    </w:pPr>
  </w:style>
  <w:style w:type="character" w:styleId="HTMLDefinition">
    <w:name w:val="HTML Definition"/>
    <w:semiHidden/>
    <w:rsid w:val="00966A39"/>
    <w:rPr>
      <w:i/>
      <w:iCs/>
    </w:rPr>
  </w:style>
  <w:style w:type="paragraph" w:styleId="HTMLAddress">
    <w:name w:val="HTML Address"/>
    <w:basedOn w:val="Normal"/>
    <w:semiHidden/>
    <w:rsid w:val="00966A39"/>
    <w:rPr>
      <w:i/>
      <w:iCs/>
    </w:rPr>
  </w:style>
  <w:style w:type="paragraph" w:styleId="EnvelopeAddress">
    <w:name w:val="envelope address"/>
    <w:basedOn w:val="Normal"/>
    <w:semiHidden/>
    <w:rsid w:val="00966A39"/>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966A39"/>
    <w:rPr>
      <w:rFonts w:ascii="Courier New" w:hAnsi="Courier New" w:cs="Courier New"/>
    </w:rPr>
  </w:style>
  <w:style w:type="paragraph" w:styleId="MessageHeader">
    <w:name w:val="Message Header"/>
    <w:basedOn w:val="Normal"/>
    <w:semiHidden/>
    <w:rsid w:val="00966A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966A39"/>
  </w:style>
  <w:style w:type="character" w:styleId="Emphasis">
    <w:name w:val="Emphasis"/>
    <w:semiHidden/>
    <w:rsid w:val="00966A39"/>
    <w:rPr>
      <w:i/>
      <w:iCs/>
    </w:rPr>
  </w:style>
  <w:style w:type="paragraph" w:styleId="Date">
    <w:name w:val="Date"/>
    <w:basedOn w:val="Normal"/>
    <w:next w:val="Normal"/>
    <w:semiHidden/>
    <w:rsid w:val="00966A39"/>
  </w:style>
  <w:style w:type="paragraph" w:styleId="Signature">
    <w:name w:val="Signature"/>
    <w:basedOn w:val="Normal"/>
    <w:semiHidden/>
    <w:rsid w:val="00966A39"/>
    <w:pPr>
      <w:ind w:left="4252"/>
    </w:pPr>
  </w:style>
  <w:style w:type="paragraph" w:styleId="E-mailSignature">
    <w:name w:val="E-mail Signature"/>
    <w:basedOn w:val="Normal"/>
    <w:semiHidden/>
    <w:rsid w:val="00966A39"/>
  </w:style>
  <w:style w:type="character" w:styleId="Hyperlink">
    <w:name w:val="Hyperlink"/>
    <w:rsid w:val="00966A39"/>
    <w:rPr>
      <w:color w:val="0000FF"/>
      <w:u w:val="none"/>
    </w:rPr>
  </w:style>
  <w:style w:type="character" w:styleId="FollowedHyperlink">
    <w:name w:val="FollowedHyperlink"/>
    <w:rsid w:val="00966A39"/>
    <w:rPr>
      <w:color w:val="0000FF"/>
      <w:u w:val="none"/>
    </w:rPr>
  </w:style>
  <w:style w:type="paragraph" w:styleId="HTMLPreformatted">
    <w:name w:val="HTML Preformatted"/>
    <w:basedOn w:val="Normal"/>
    <w:semiHidden/>
    <w:rsid w:val="00966A39"/>
    <w:rPr>
      <w:rFonts w:ascii="Courier New" w:hAnsi="Courier New" w:cs="Courier New"/>
    </w:rPr>
  </w:style>
  <w:style w:type="paragraph" w:styleId="List">
    <w:name w:val="List"/>
    <w:basedOn w:val="Normal"/>
    <w:semiHidden/>
    <w:rsid w:val="00966A39"/>
    <w:pPr>
      <w:ind w:left="283" w:hanging="283"/>
    </w:pPr>
  </w:style>
  <w:style w:type="paragraph" w:styleId="List2">
    <w:name w:val="List 2"/>
    <w:basedOn w:val="Normal"/>
    <w:semiHidden/>
    <w:rsid w:val="00966A39"/>
    <w:pPr>
      <w:ind w:left="566" w:hanging="283"/>
    </w:pPr>
  </w:style>
  <w:style w:type="paragraph" w:styleId="List3">
    <w:name w:val="List 3"/>
    <w:basedOn w:val="Normal"/>
    <w:semiHidden/>
    <w:rsid w:val="00966A39"/>
    <w:pPr>
      <w:ind w:left="849" w:hanging="283"/>
    </w:pPr>
  </w:style>
  <w:style w:type="paragraph" w:styleId="List4">
    <w:name w:val="List 4"/>
    <w:basedOn w:val="Normal"/>
    <w:semiHidden/>
    <w:rsid w:val="00966A39"/>
    <w:pPr>
      <w:ind w:left="1132" w:hanging="283"/>
    </w:pPr>
  </w:style>
  <w:style w:type="paragraph" w:styleId="List5">
    <w:name w:val="List 5"/>
    <w:basedOn w:val="Normal"/>
    <w:semiHidden/>
    <w:rsid w:val="00966A39"/>
    <w:pPr>
      <w:ind w:left="1415" w:hanging="283"/>
    </w:pPr>
  </w:style>
  <w:style w:type="paragraph" w:styleId="ListNumber">
    <w:name w:val="List Number"/>
    <w:basedOn w:val="Normal"/>
    <w:semiHidden/>
    <w:rsid w:val="00966A39"/>
    <w:pPr>
      <w:numPr>
        <w:numId w:val="22"/>
      </w:numPr>
    </w:pPr>
  </w:style>
  <w:style w:type="paragraph" w:styleId="ListNumber2">
    <w:name w:val="List Number 2"/>
    <w:basedOn w:val="Normal"/>
    <w:semiHidden/>
    <w:rsid w:val="00966A39"/>
    <w:pPr>
      <w:numPr>
        <w:numId w:val="23"/>
      </w:numPr>
    </w:pPr>
  </w:style>
  <w:style w:type="paragraph" w:styleId="ListNumber3">
    <w:name w:val="List Number 3"/>
    <w:basedOn w:val="Normal"/>
    <w:semiHidden/>
    <w:rsid w:val="00966A39"/>
    <w:pPr>
      <w:numPr>
        <w:numId w:val="24"/>
      </w:numPr>
    </w:pPr>
  </w:style>
  <w:style w:type="paragraph" w:styleId="ListNumber4">
    <w:name w:val="List Number 4"/>
    <w:basedOn w:val="Normal"/>
    <w:semiHidden/>
    <w:rsid w:val="00966A39"/>
    <w:pPr>
      <w:numPr>
        <w:numId w:val="25"/>
      </w:numPr>
    </w:pPr>
  </w:style>
  <w:style w:type="paragraph" w:styleId="ListNumber5">
    <w:name w:val="List Number 5"/>
    <w:basedOn w:val="Normal"/>
    <w:semiHidden/>
    <w:rsid w:val="00966A39"/>
    <w:pPr>
      <w:numPr>
        <w:numId w:val="26"/>
      </w:numPr>
    </w:pPr>
  </w:style>
  <w:style w:type="paragraph" w:styleId="ListBullet">
    <w:name w:val="List Bullet"/>
    <w:basedOn w:val="Normal"/>
    <w:semiHidden/>
    <w:rsid w:val="00966A39"/>
    <w:pPr>
      <w:numPr>
        <w:numId w:val="27"/>
      </w:numPr>
    </w:pPr>
  </w:style>
  <w:style w:type="paragraph" w:styleId="ListBullet2">
    <w:name w:val="List Bullet 2"/>
    <w:basedOn w:val="Normal"/>
    <w:semiHidden/>
    <w:rsid w:val="00966A39"/>
    <w:pPr>
      <w:numPr>
        <w:numId w:val="28"/>
      </w:numPr>
    </w:pPr>
  </w:style>
  <w:style w:type="paragraph" w:styleId="ListBullet3">
    <w:name w:val="List Bullet 3"/>
    <w:basedOn w:val="Normal"/>
    <w:semiHidden/>
    <w:rsid w:val="00966A39"/>
    <w:pPr>
      <w:numPr>
        <w:numId w:val="29"/>
      </w:numPr>
    </w:pPr>
  </w:style>
  <w:style w:type="paragraph" w:styleId="ListBullet4">
    <w:name w:val="List Bullet 4"/>
    <w:basedOn w:val="Normal"/>
    <w:semiHidden/>
    <w:rsid w:val="00966A39"/>
    <w:pPr>
      <w:numPr>
        <w:numId w:val="30"/>
      </w:numPr>
    </w:pPr>
  </w:style>
  <w:style w:type="paragraph" w:styleId="ListBullet5">
    <w:name w:val="List Bullet 5"/>
    <w:basedOn w:val="Normal"/>
    <w:semiHidden/>
    <w:rsid w:val="00966A39"/>
    <w:pPr>
      <w:numPr>
        <w:numId w:val="31"/>
      </w:numPr>
    </w:pPr>
  </w:style>
  <w:style w:type="character" w:styleId="HTMLTypewriter">
    <w:name w:val="HTML Typewriter"/>
    <w:semiHidden/>
    <w:rsid w:val="00966A39"/>
    <w:rPr>
      <w:rFonts w:ascii="Courier New" w:hAnsi="Courier New" w:cs="Courier New"/>
      <w:sz w:val="20"/>
      <w:szCs w:val="20"/>
    </w:rPr>
  </w:style>
  <w:style w:type="paragraph" w:styleId="NormalWeb">
    <w:name w:val="Normal (Web)"/>
    <w:basedOn w:val="Normal"/>
    <w:semiHidden/>
    <w:rsid w:val="00966A39"/>
    <w:rPr>
      <w:sz w:val="24"/>
      <w:szCs w:val="24"/>
    </w:rPr>
  </w:style>
  <w:style w:type="character" w:styleId="LineNumber">
    <w:name w:val="line number"/>
    <w:basedOn w:val="DefaultParagraphFont"/>
    <w:semiHidden/>
    <w:rsid w:val="00966A39"/>
  </w:style>
  <w:style w:type="character" w:styleId="PageNumber">
    <w:name w:val="page number"/>
    <w:aliases w:val="7_G"/>
    <w:qFormat/>
    <w:rsid w:val="00966A39"/>
    <w:rPr>
      <w:b/>
      <w:sz w:val="18"/>
    </w:rPr>
  </w:style>
  <w:style w:type="character" w:styleId="EndnoteReference">
    <w:name w:val="endnote reference"/>
    <w:aliases w:val="1_G"/>
    <w:qFormat/>
    <w:rsid w:val="00966A39"/>
    <w:rPr>
      <w:rFonts w:ascii="Times New Roman" w:hAnsi="Times New Roman"/>
      <w:sz w:val="18"/>
      <w:vertAlign w:val="superscript"/>
    </w:rPr>
  </w:style>
  <w:style w:type="paragraph" w:styleId="EnvelopeReturn">
    <w:name w:val="envelope return"/>
    <w:basedOn w:val="Normal"/>
    <w:semiHidden/>
    <w:rsid w:val="00966A39"/>
    <w:rPr>
      <w:rFonts w:ascii="Arial" w:hAnsi="Arial" w:cs="Arial"/>
    </w:rPr>
  </w:style>
  <w:style w:type="paragraph" w:styleId="Salutation">
    <w:name w:val="Salutation"/>
    <w:basedOn w:val="Normal"/>
    <w:next w:val="Normal"/>
    <w:semiHidden/>
    <w:rsid w:val="00966A39"/>
  </w:style>
  <w:style w:type="paragraph" w:styleId="BodyTextIndent2">
    <w:name w:val="Body Text Indent 2"/>
    <w:basedOn w:val="Normal"/>
    <w:semiHidden/>
    <w:rsid w:val="00966A39"/>
    <w:pPr>
      <w:spacing w:after="120" w:line="480" w:lineRule="auto"/>
      <w:ind w:left="283"/>
    </w:pPr>
  </w:style>
  <w:style w:type="paragraph" w:styleId="BodyTextIndent3">
    <w:name w:val="Body Text Indent 3"/>
    <w:basedOn w:val="Normal"/>
    <w:semiHidden/>
    <w:rsid w:val="00966A39"/>
    <w:pPr>
      <w:spacing w:after="120"/>
      <w:ind w:left="283"/>
    </w:pPr>
    <w:rPr>
      <w:sz w:val="16"/>
      <w:szCs w:val="16"/>
    </w:rPr>
  </w:style>
  <w:style w:type="paragraph" w:styleId="BodyTextIndent">
    <w:name w:val="Body Text Indent"/>
    <w:basedOn w:val="Normal"/>
    <w:semiHidden/>
    <w:rsid w:val="00966A39"/>
    <w:pPr>
      <w:spacing w:after="120"/>
      <w:ind w:left="283"/>
    </w:pPr>
  </w:style>
  <w:style w:type="paragraph" w:styleId="NormalIndent">
    <w:name w:val="Normal Indent"/>
    <w:basedOn w:val="Normal"/>
    <w:semiHidden/>
    <w:rsid w:val="00966A39"/>
    <w:pPr>
      <w:ind w:left="567"/>
    </w:pPr>
  </w:style>
  <w:style w:type="paragraph" w:styleId="Subtitle">
    <w:name w:val="Subtitle"/>
    <w:basedOn w:val="Normal"/>
    <w:semiHidden/>
    <w:rsid w:val="00966A39"/>
    <w:pPr>
      <w:spacing w:after="60"/>
      <w:jc w:val="center"/>
      <w:outlineLvl w:val="1"/>
    </w:pPr>
    <w:rPr>
      <w:rFonts w:ascii="Arial" w:hAnsi="Arial" w:cs="Arial"/>
      <w:sz w:val="24"/>
      <w:szCs w:val="24"/>
    </w:rPr>
  </w:style>
  <w:style w:type="table" w:styleId="TableSimple1">
    <w:name w:val="Table Simple 1"/>
    <w:basedOn w:val="TableNormal"/>
    <w:semiHidden/>
    <w:rsid w:val="00966A39"/>
    <w:pPr>
      <w:spacing w:line="240" w:lineRule="atLeast"/>
    </w:pPr>
    <w:rPr>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66A39"/>
    <w:pPr>
      <w:spacing w:line="240" w:lineRule="atLeast"/>
    </w:pPr>
    <w:rPr>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66A39"/>
    <w:pPr>
      <w:spacing w:line="240" w:lineRule="atLeast"/>
    </w:pPr>
    <w:rPr>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66A3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66A39"/>
    <w:pPr>
      <w:spacing w:line="240" w:lineRule="atLeast"/>
    </w:pPr>
    <w:rPr>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66A39"/>
    <w:pPr>
      <w:spacing w:line="240" w:lineRule="atLeast"/>
    </w:pPr>
    <w:rPr>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66A39"/>
    <w:pPr>
      <w:spacing w:line="240" w:lineRule="atLeast"/>
    </w:pPr>
    <w:rPr>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966A39"/>
    <w:pPr>
      <w:spacing w:line="240" w:lineRule="atLeast"/>
    </w:pPr>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66A39"/>
    <w:pPr>
      <w:spacing w:line="240" w:lineRule="atLeast"/>
    </w:pPr>
    <w:rPr>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66A39"/>
    <w:pPr>
      <w:spacing w:line="240" w:lineRule="atLeast"/>
    </w:pPr>
    <w:rPr>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66A39"/>
    <w:pPr>
      <w:spacing w:line="240" w:lineRule="atLeast"/>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66A39"/>
    <w:pPr>
      <w:spacing w:line="240" w:lineRule="atLeast"/>
    </w:pPr>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966A3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66A39"/>
    <w:pPr>
      <w:spacing w:line="240" w:lineRule="atLeast"/>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66A39"/>
    <w:pPr>
      <w:spacing w:line="240" w:lineRule="atLeast"/>
    </w:pPr>
    <w:rPr>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66A39"/>
    <w:pPr>
      <w:spacing w:line="240" w:lineRule="atLeast"/>
    </w:pPr>
    <w:rPr>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66A3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66A3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66A39"/>
    <w:pPr>
      <w:spacing w:line="240" w:lineRule="atLeast"/>
    </w:pPr>
    <w:rPr>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66A39"/>
    <w:pPr>
      <w:spacing w:line="240" w:lineRule="atLeast"/>
    </w:pPr>
    <w:rPr>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966A39"/>
    <w:pPr>
      <w:spacing w:line="240" w:lineRule="atLeast"/>
    </w:pPr>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66A39"/>
    <w:pPr>
      <w:spacing w:line="240" w:lineRule="atLeast"/>
    </w:pPr>
    <w:rPr>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66A39"/>
    <w:pPr>
      <w:spacing w:line="240" w:lineRule="atLeast"/>
    </w:pPr>
    <w:rPr>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966A39"/>
    <w:pPr>
      <w:spacing w:line="240" w:lineRule="atLeas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66A39"/>
    <w:pPr>
      <w:spacing w:line="240" w:lineRule="atLeast"/>
    </w:pPr>
    <w:rPr>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66A39"/>
    <w:pPr>
      <w:spacing w:line="240" w:lineRule="atLeast"/>
    </w:pPr>
    <w:rPr>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66A39"/>
    <w:pPr>
      <w:spacing w:line="240" w:lineRule="atLeast"/>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66A3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66A3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66A39"/>
    <w:pPr>
      <w:spacing w:line="240" w:lineRule="atLeast"/>
    </w:pPr>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66A39"/>
    <w:pPr>
      <w:spacing w:line="240" w:lineRule="atLeast"/>
    </w:pPr>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66A39"/>
    <w:pPr>
      <w:spacing w:line="24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966A39"/>
    <w:pPr>
      <w:spacing w:line="240" w:lineRule="atLeast"/>
    </w:pPr>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966A39"/>
    <w:pPr>
      <w:spacing w:line="240" w:lineRule="atLeast"/>
    </w:pPr>
    <w:rPr>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966A39"/>
    <w:pPr>
      <w:spacing w:line="240" w:lineRule="atLeast"/>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66A39"/>
    <w:pPr>
      <w:spacing w:line="240" w:lineRule="atLeast"/>
    </w:pPr>
    <w:rPr>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66A39"/>
    <w:pPr>
      <w:spacing w:line="240" w:lineRule="atLeast"/>
    </w:pPr>
    <w:rPr>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966A39"/>
    <w:pPr>
      <w:spacing w:line="240" w:lineRule="atLeast"/>
    </w:pPr>
    <w:rPr>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66A39"/>
    <w:pPr>
      <w:spacing w:line="240" w:lineRule="atLeast"/>
    </w:pPr>
    <w:rPr>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66A39"/>
    <w:pPr>
      <w:spacing w:line="240" w:lineRule="atLeast"/>
    </w:pPr>
    <w:rPr>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966A39"/>
    <w:pPr>
      <w:spacing w:line="240" w:lineRule="atLeast"/>
    </w:pPr>
    <w:rPr>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66A39"/>
    <w:pPr>
      <w:spacing w:line="240" w:lineRule="atLeast"/>
    </w:pPr>
    <w:rPr>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66A39"/>
    <w:pPr>
      <w:spacing w:line="240" w:lineRule="atLeast"/>
    </w:pPr>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966A39"/>
    <w:rPr>
      <w:rFonts w:ascii="Courier New" w:hAnsi="Courier New" w:cs="Courier New"/>
      <w:sz w:val="20"/>
      <w:szCs w:val="20"/>
    </w:rPr>
  </w:style>
  <w:style w:type="paragraph" w:styleId="BlockText">
    <w:name w:val="Block Text"/>
    <w:basedOn w:val="Normal"/>
    <w:semiHidden/>
    <w:rsid w:val="00966A39"/>
    <w:pPr>
      <w:spacing w:after="120"/>
      <w:ind w:left="1440" w:right="1440"/>
    </w:pPr>
  </w:style>
  <w:style w:type="character" w:styleId="Strong">
    <w:name w:val="Strong"/>
    <w:semiHidden/>
    <w:rsid w:val="00966A39"/>
    <w:rPr>
      <w:b/>
      <w:bCs/>
    </w:rPr>
  </w:style>
  <w:style w:type="paragraph" w:styleId="BodyText">
    <w:name w:val="Body Text"/>
    <w:basedOn w:val="Normal"/>
    <w:semiHidden/>
    <w:rsid w:val="00966A39"/>
    <w:pPr>
      <w:spacing w:after="120"/>
    </w:pPr>
  </w:style>
  <w:style w:type="paragraph" w:styleId="BodyText2">
    <w:name w:val="Body Text 2"/>
    <w:basedOn w:val="Normal"/>
    <w:semiHidden/>
    <w:rsid w:val="00966A39"/>
    <w:pPr>
      <w:spacing w:after="120" w:line="480" w:lineRule="auto"/>
    </w:pPr>
  </w:style>
  <w:style w:type="paragraph" w:styleId="BodyText3">
    <w:name w:val="Body Text 3"/>
    <w:basedOn w:val="Normal"/>
    <w:semiHidden/>
    <w:rsid w:val="00966A39"/>
    <w:pPr>
      <w:spacing w:after="120"/>
    </w:pPr>
    <w:rPr>
      <w:sz w:val="16"/>
      <w:szCs w:val="16"/>
    </w:rPr>
  </w:style>
  <w:style w:type="paragraph" w:styleId="BodyTextFirstIndent">
    <w:name w:val="Body Text First Indent"/>
    <w:basedOn w:val="BodyText"/>
    <w:semiHidden/>
    <w:rsid w:val="00966A39"/>
    <w:pPr>
      <w:ind w:firstLine="210"/>
    </w:pPr>
  </w:style>
  <w:style w:type="paragraph" w:styleId="BodyTextFirstIndent2">
    <w:name w:val="Body Text First Indent 2"/>
    <w:basedOn w:val="BodyTextIndent"/>
    <w:semiHidden/>
    <w:rsid w:val="00966A39"/>
    <w:pPr>
      <w:ind w:firstLine="210"/>
    </w:pPr>
  </w:style>
  <w:style w:type="paragraph" w:styleId="EndnoteText">
    <w:name w:val="endnote text"/>
    <w:aliases w:val="2_G"/>
    <w:basedOn w:val="FootnoteText"/>
    <w:qFormat/>
    <w:rsid w:val="00966A39"/>
  </w:style>
  <w:style w:type="paragraph" w:styleId="PlainText">
    <w:name w:val="Plain Text"/>
    <w:basedOn w:val="Normal"/>
    <w:semiHidden/>
    <w:rsid w:val="00966A39"/>
    <w:rPr>
      <w:rFonts w:ascii="Courier New" w:hAnsi="Courier New" w:cs="Courier New"/>
    </w:rPr>
  </w:style>
  <w:style w:type="paragraph" w:styleId="Title">
    <w:name w:val="Title"/>
    <w:basedOn w:val="Normal"/>
    <w:semiHidden/>
    <w:rsid w:val="00966A39"/>
    <w:pPr>
      <w:spacing w:before="240" w:after="60"/>
      <w:jc w:val="center"/>
      <w:outlineLvl w:val="0"/>
    </w:pPr>
    <w:rPr>
      <w:rFonts w:ascii="Arial" w:hAnsi="Arial" w:cs="Arial"/>
      <w:b/>
      <w:bCs/>
      <w:kern w:val="28"/>
      <w:sz w:val="32"/>
      <w:szCs w:val="32"/>
    </w:rPr>
  </w:style>
  <w:style w:type="character" w:styleId="HTMLVariable">
    <w:name w:val="HTML Variable"/>
    <w:semiHidden/>
    <w:rsid w:val="00966A39"/>
    <w:rPr>
      <w:i/>
      <w:iCs/>
    </w:rPr>
  </w:style>
  <w:style w:type="paragraph" w:customStyle="1" w:styleId="Bullet1G">
    <w:name w:val="_Bullet 1_G"/>
    <w:basedOn w:val="Normal"/>
    <w:qFormat/>
    <w:rsid w:val="00966A39"/>
    <w:pPr>
      <w:numPr>
        <w:numId w:val="17"/>
      </w:numPr>
      <w:spacing w:after="120"/>
      <w:ind w:right="1134"/>
      <w:jc w:val="both"/>
    </w:pPr>
    <w:rPr>
      <w:lang w:eastAsia="en-US"/>
    </w:rPr>
  </w:style>
  <w:style w:type="paragraph" w:customStyle="1" w:styleId="Bullet2G">
    <w:name w:val="_Bullet 2_G"/>
    <w:basedOn w:val="Normal"/>
    <w:qFormat/>
    <w:rsid w:val="00966A39"/>
    <w:pPr>
      <w:numPr>
        <w:numId w:val="18"/>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character" w:customStyle="1" w:styleId="SingleTxtGChar">
    <w:name w:val="_ Single Txt_G Char"/>
    <w:link w:val="SingleTxtG"/>
    <w:rsid w:val="00080A30"/>
    <w:rPr>
      <w:lang w:val="es-ES" w:eastAsia="es-ES"/>
    </w:rPr>
  </w:style>
  <w:style w:type="character" w:customStyle="1" w:styleId="FootnoteTextChar">
    <w:name w:val="Footnote Text Char"/>
    <w:aliases w:val="5_G Char"/>
    <w:basedOn w:val="DefaultParagraphFont"/>
    <w:link w:val="FootnoteText"/>
    <w:locked/>
    <w:rsid w:val="002965D8"/>
    <w:rPr>
      <w:sz w:val="18"/>
      <w:lang w:val="es-ES" w:eastAsia="es-ES"/>
    </w:rPr>
  </w:style>
  <w:style w:type="paragraph" w:styleId="ListParagraph">
    <w:name w:val="List Paragraph"/>
    <w:basedOn w:val="Normal"/>
    <w:uiPriority w:val="34"/>
    <w:semiHidden/>
    <w:rsid w:val="00DB5432"/>
    <w:pPr>
      <w:ind w:left="720"/>
      <w:contextualSpacing/>
    </w:pPr>
  </w:style>
  <w:style w:type="paragraph" w:customStyle="1" w:styleId="BodyText21">
    <w:name w:val="Body Text 21"/>
    <w:basedOn w:val="Normal"/>
    <w:rsid w:val="00732B7F"/>
    <w:pPr>
      <w:widowControl w:val="0"/>
      <w:overflowPunct w:val="0"/>
      <w:autoSpaceDE w:val="0"/>
      <w:autoSpaceDN w:val="0"/>
      <w:adjustRightInd w:val="0"/>
      <w:spacing w:line="240" w:lineRule="auto"/>
      <w:ind w:right="51"/>
      <w:jc w:val="both"/>
      <w:textAlignment w:val="baseline"/>
    </w:pPr>
    <w:rPr>
      <w:rFonts w:ascii="Arial" w:hAnsi="Arial" w:cs="Arial"/>
      <w:sz w:val="28"/>
      <w:szCs w:val="28"/>
    </w:rPr>
  </w:style>
  <w:style w:type="character" w:customStyle="1" w:styleId="apple-converted-space">
    <w:name w:val="apple-converted-space"/>
    <w:basedOn w:val="DefaultParagraphFont"/>
    <w:rsid w:val="00CD352A"/>
  </w:style>
  <w:style w:type="paragraph" w:customStyle="1" w:styleId="SingleTxt">
    <w:name w:val="__Single Txt"/>
    <w:basedOn w:val="Normal"/>
    <w:qFormat/>
    <w:rsid w:val="00E2219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HAnsi"/>
      <w:spacing w:val="4"/>
      <w:w w:val="103"/>
      <w:kern w:val="14"/>
      <w:szCs w:val="22"/>
      <w:lang w:eastAsia="en-US"/>
    </w:rPr>
  </w:style>
  <w:style w:type="character" w:styleId="CommentReference">
    <w:name w:val="annotation reference"/>
    <w:basedOn w:val="DefaultParagraphFont"/>
    <w:semiHidden/>
    <w:rsid w:val="009916C4"/>
    <w:rPr>
      <w:sz w:val="16"/>
      <w:szCs w:val="16"/>
    </w:rPr>
  </w:style>
  <w:style w:type="paragraph" w:styleId="CommentText">
    <w:name w:val="annotation text"/>
    <w:basedOn w:val="Normal"/>
    <w:link w:val="CommentTextChar"/>
    <w:semiHidden/>
    <w:rsid w:val="009916C4"/>
    <w:pPr>
      <w:spacing w:line="240" w:lineRule="auto"/>
    </w:pPr>
  </w:style>
  <w:style w:type="character" w:customStyle="1" w:styleId="CommentTextChar">
    <w:name w:val="Comment Text Char"/>
    <w:basedOn w:val="DefaultParagraphFont"/>
    <w:link w:val="CommentText"/>
    <w:semiHidden/>
    <w:rsid w:val="009916C4"/>
    <w:rPr>
      <w:lang w:val="es-ES" w:eastAsia="es-ES"/>
    </w:rPr>
  </w:style>
  <w:style w:type="paragraph" w:styleId="CommentSubject">
    <w:name w:val="annotation subject"/>
    <w:basedOn w:val="CommentText"/>
    <w:next w:val="CommentText"/>
    <w:link w:val="CommentSubjectChar"/>
    <w:semiHidden/>
    <w:rsid w:val="009916C4"/>
    <w:rPr>
      <w:b/>
      <w:bCs/>
    </w:rPr>
  </w:style>
  <w:style w:type="character" w:customStyle="1" w:styleId="CommentSubjectChar">
    <w:name w:val="Comment Subject Char"/>
    <w:basedOn w:val="CommentTextChar"/>
    <w:link w:val="CommentSubject"/>
    <w:semiHidden/>
    <w:rsid w:val="009916C4"/>
    <w:rPr>
      <w:b/>
      <w:bCs/>
      <w:lang w:val="es-ES" w:eastAsia="es-ES"/>
    </w:rPr>
  </w:style>
  <w:style w:type="paragraph" w:styleId="Revision">
    <w:name w:val="Revision"/>
    <w:hidden/>
    <w:uiPriority w:val="99"/>
    <w:semiHidden/>
    <w:rsid w:val="009916C4"/>
    <w:rPr>
      <w:lang w:val="es-ES" w:eastAsia="es-ES"/>
    </w:rPr>
  </w:style>
  <w:style w:type="paragraph" w:styleId="IntenseQuote">
    <w:name w:val="Intense Quote"/>
    <w:basedOn w:val="Normal"/>
    <w:next w:val="Normal"/>
    <w:link w:val="IntenseQuoteChar"/>
    <w:uiPriority w:val="30"/>
    <w:rsid w:val="00966A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66A39"/>
    <w:rPr>
      <w:b/>
      <w:bCs/>
      <w:i/>
      <w:iCs/>
      <w:color w:val="4F81BD"/>
      <w:lang w:val="es-ES" w:eastAsia="es-ES"/>
    </w:rPr>
  </w:style>
  <w:style w:type="character" w:styleId="IntenseEmphasis">
    <w:name w:val="Intense Emphasis"/>
    <w:uiPriority w:val="21"/>
    <w:rsid w:val="00966A39"/>
    <w:rPr>
      <w:b/>
      <w:bCs/>
      <w:i/>
      <w:iCs/>
      <w:color w:val="4F81BD"/>
    </w:rPr>
  </w:style>
  <w:style w:type="character" w:customStyle="1" w:styleId="Heading1Char">
    <w:name w:val="Heading 1 Char"/>
    <w:aliases w:val="Cuadro_G Char"/>
    <w:basedOn w:val="DefaultParagraphFont"/>
    <w:link w:val="Heading1"/>
    <w:rsid w:val="00966A39"/>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338">
      <w:bodyDiv w:val="1"/>
      <w:marLeft w:val="0"/>
      <w:marRight w:val="0"/>
      <w:marTop w:val="0"/>
      <w:marBottom w:val="0"/>
      <w:divBdr>
        <w:top w:val="none" w:sz="0" w:space="0" w:color="auto"/>
        <w:left w:val="none" w:sz="0" w:space="0" w:color="auto"/>
        <w:bottom w:val="none" w:sz="0" w:space="0" w:color="auto"/>
        <w:right w:val="none" w:sz="0" w:space="0" w:color="auto"/>
      </w:divBdr>
    </w:div>
    <w:div w:id="344287936">
      <w:bodyDiv w:val="1"/>
      <w:marLeft w:val="0"/>
      <w:marRight w:val="0"/>
      <w:marTop w:val="0"/>
      <w:marBottom w:val="0"/>
      <w:divBdr>
        <w:top w:val="none" w:sz="0" w:space="0" w:color="auto"/>
        <w:left w:val="none" w:sz="0" w:space="0" w:color="auto"/>
        <w:bottom w:val="none" w:sz="0" w:space="0" w:color="auto"/>
        <w:right w:val="none" w:sz="0" w:space="0" w:color="auto"/>
      </w:divBdr>
    </w:div>
    <w:div w:id="809597607">
      <w:bodyDiv w:val="1"/>
      <w:marLeft w:val="0"/>
      <w:marRight w:val="0"/>
      <w:marTop w:val="0"/>
      <w:marBottom w:val="0"/>
      <w:divBdr>
        <w:top w:val="none" w:sz="0" w:space="0" w:color="auto"/>
        <w:left w:val="none" w:sz="0" w:space="0" w:color="auto"/>
        <w:bottom w:val="none" w:sz="0" w:space="0" w:color="auto"/>
        <w:right w:val="none" w:sz="0" w:space="0" w:color="auto"/>
      </w:divBdr>
    </w:div>
    <w:div w:id="913658578">
      <w:bodyDiv w:val="1"/>
      <w:marLeft w:val="0"/>
      <w:marRight w:val="0"/>
      <w:marTop w:val="0"/>
      <w:marBottom w:val="0"/>
      <w:divBdr>
        <w:top w:val="none" w:sz="0" w:space="0" w:color="auto"/>
        <w:left w:val="none" w:sz="0" w:space="0" w:color="auto"/>
        <w:bottom w:val="none" w:sz="0" w:space="0" w:color="auto"/>
        <w:right w:val="none" w:sz="0" w:space="0" w:color="auto"/>
      </w:divBdr>
    </w:div>
    <w:div w:id="931549597">
      <w:bodyDiv w:val="1"/>
      <w:marLeft w:val="0"/>
      <w:marRight w:val="0"/>
      <w:marTop w:val="0"/>
      <w:marBottom w:val="0"/>
      <w:divBdr>
        <w:top w:val="none" w:sz="0" w:space="0" w:color="auto"/>
        <w:left w:val="none" w:sz="0" w:space="0" w:color="auto"/>
        <w:bottom w:val="none" w:sz="0" w:space="0" w:color="auto"/>
        <w:right w:val="none" w:sz="0" w:space="0" w:color="auto"/>
      </w:divBdr>
    </w:div>
    <w:div w:id="1159923641">
      <w:bodyDiv w:val="1"/>
      <w:marLeft w:val="0"/>
      <w:marRight w:val="0"/>
      <w:marTop w:val="0"/>
      <w:marBottom w:val="0"/>
      <w:divBdr>
        <w:top w:val="none" w:sz="0" w:space="0" w:color="auto"/>
        <w:left w:val="none" w:sz="0" w:space="0" w:color="auto"/>
        <w:bottom w:val="none" w:sz="0" w:space="0" w:color="auto"/>
        <w:right w:val="none" w:sz="0" w:space="0" w:color="auto"/>
      </w:divBdr>
    </w:div>
    <w:div w:id="1308632449">
      <w:bodyDiv w:val="1"/>
      <w:marLeft w:val="0"/>
      <w:marRight w:val="0"/>
      <w:marTop w:val="0"/>
      <w:marBottom w:val="0"/>
      <w:divBdr>
        <w:top w:val="none" w:sz="0" w:space="0" w:color="auto"/>
        <w:left w:val="none" w:sz="0" w:space="0" w:color="auto"/>
        <w:bottom w:val="none" w:sz="0" w:space="0" w:color="auto"/>
        <w:right w:val="none" w:sz="0" w:space="0" w:color="auto"/>
      </w:divBdr>
    </w:div>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 w:id="1392771543">
      <w:bodyDiv w:val="1"/>
      <w:marLeft w:val="0"/>
      <w:marRight w:val="0"/>
      <w:marTop w:val="0"/>
      <w:marBottom w:val="0"/>
      <w:divBdr>
        <w:top w:val="none" w:sz="0" w:space="0" w:color="auto"/>
        <w:left w:val="none" w:sz="0" w:space="0" w:color="auto"/>
        <w:bottom w:val="none" w:sz="0" w:space="0" w:color="auto"/>
        <w:right w:val="none" w:sz="0" w:space="0" w:color="auto"/>
      </w:divBdr>
    </w:div>
    <w:div w:id="1406797722">
      <w:bodyDiv w:val="1"/>
      <w:marLeft w:val="0"/>
      <w:marRight w:val="0"/>
      <w:marTop w:val="0"/>
      <w:marBottom w:val="0"/>
      <w:divBdr>
        <w:top w:val="none" w:sz="0" w:space="0" w:color="auto"/>
        <w:left w:val="none" w:sz="0" w:space="0" w:color="auto"/>
        <w:bottom w:val="none" w:sz="0" w:space="0" w:color="auto"/>
        <w:right w:val="none" w:sz="0" w:space="0" w:color="auto"/>
      </w:divBdr>
    </w:div>
    <w:div w:id="1741780793">
      <w:bodyDiv w:val="1"/>
      <w:marLeft w:val="0"/>
      <w:marRight w:val="0"/>
      <w:marTop w:val="0"/>
      <w:marBottom w:val="0"/>
      <w:divBdr>
        <w:top w:val="none" w:sz="0" w:space="0" w:color="auto"/>
        <w:left w:val="none" w:sz="0" w:space="0" w:color="auto"/>
        <w:bottom w:val="none" w:sz="0" w:space="0" w:color="auto"/>
        <w:right w:val="none" w:sz="0" w:space="0" w:color="auto"/>
      </w:divBdr>
    </w:div>
    <w:div w:id="1848590108">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CFBD-4CBE-482F-85F5-CD1917E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4</Pages>
  <Words>6843</Words>
  <Characters>39007</Characters>
  <Application>Microsoft Office Word</Application>
  <DocSecurity>0</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CCPR/C/119/D/2121/2011</vt:lpstr>
      <vt:lpstr>CCPR/C/119/DR/2121/2011</vt:lpstr>
    </vt:vector>
  </TitlesOfParts>
  <Company>OHCHR</Company>
  <LinksUpToDate>false</LinksUpToDate>
  <CharactersWithSpaces>45759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CCPR/C/119/D/2121/2011</dc:title>
  <dc:subject>CCPR/C/119/D/2121/2011</dc:subject>
  <dc:creator>Maria Luisa ZEBALLOS MORENO</dc:creator>
  <cp:keywords/>
  <dc:description/>
  <cp:lastModifiedBy>Sarah Willig</cp:lastModifiedBy>
  <cp:revision>2</cp:revision>
  <cp:lastPrinted>2017-04-25T09:38:00Z</cp:lastPrinted>
  <dcterms:created xsi:type="dcterms:W3CDTF">2017-05-05T21:39:00Z</dcterms:created>
  <dcterms:modified xsi:type="dcterms:W3CDTF">2017-05-05T21:39:00Z</dcterms:modified>
</cp:coreProperties>
</file>