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821AC3" w14:paraId="7865D3A7" w14:textId="77777777">
        <w:trPr>
          <w:cantSplit/>
          <w:trHeight w:hRule="exact" w:val="851"/>
        </w:trPr>
        <w:tc>
          <w:tcPr>
            <w:tcW w:w="1276" w:type="dxa"/>
            <w:tcBorders>
              <w:bottom w:val="single" w:sz="4" w:space="0" w:color="auto"/>
            </w:tcBorders>
            <w:vAlign w:val="bottom"/>
          </w:tcPr>
          <w:p w14:paraId="52F46BFD" w14:textId="77777777" w:rsidR="00403DBF" w:rsidRPr="00403DBF" w:rsidRDefault="00403DBF" w:rsidP="00403DBF">
            <w:pPr>
              <w:spacing w:line="20" w:lineRule="exact"/>
              <w:rPr>
                <w:sz w:val="2"/>
              </w:rPr>
            </w:pPr>
            <w:r>
              <w:rPr>
                <w:rStyle w:val="CommentReference"/>
              </w:rPr>
              <w:commentReference w:id="0"/>
            </w:r>
            <w:bookmarkStart w:id="1" w:name="_GoBack"/>
            <w:bookmarkEnd w:id="1"/>
          </w:p>
          <w:p w14:paraId="05DFAC6B" w14:textId="77777777" w:rsidR="003521FD" w:rsidRDefault="007F05D2" w:rsidP="003521FD">
            <w:pPr>
              <w:spacing w:after="80"/>
            </w:pPr>
            <w:r>
              <w:t xml:space="preserve"> </w:t>
            </w:r>
          </w:p>
        </w:tc>
        <w:tc>
          <w:tcPr>
            <w:tcW w:w="2268" w:type="dxa"/>
            <w:tcBorders>
              <w:bottom w:val="single" w:sz="4" w:space="0" w:color="auto"/>
            </w:tcBorders>
            <w:vAlign w:val="bottom"/>
          </w:tcPr>
          <w:p w14:paraId="70E640BC" w14:textId="77777777" w:rsidR="003521FD" w:rsidRPr="00E6765D" w:rsidRDefault="003521FD" w:rsidP="003521FD">
            <w:pPr>
              <w:spacing w:after="80" w:line="300" w:lineRule="exact"/>
              <w:rPr>
                <w:b/>
                <w:sz w:val="24"/>
                <w:szCs w:val="24"/>
              </w:rPr>
            </w:pPr>
            <w:r w:rsidRPr="00E6765D">
              <w:rPr>
                <w:sz w:val="28"/>
                <w:szCs w:val="28"/>
              </w:rPr>
              <w:t>United Nations</w:t>
            </w:r>
          </w:p>
        </w:tc>
        <w:tc>
          <w:tcPr>
            <w:tcW w:w="6095" w:type="dxa"/>
            <w:gridSpan w:val="2"/>
            <w:tcBorders>
              <w:bottom w:val="single" w:sz="4" w:space="0" w:color="auto"/>
            </w:tcBorders>
            <w:vAlign w:val="bottom"/>
          </w:tcPr>
          <w:p w14:paraId="4C4E7185" w14:textId="77777777" w:rsidR="003521FD" w:rsidRPr="00821AC3" w:rsidRDefault="003521FD" w:rsidP="0088080F">
            <w:pPr>
              <w:jc w:val="right"/>
            </w:pPr>
            <w:r w:rsidRPr="00E6765D">
              <w:rPr>
                <w:sz w:val="40"/>
              </w:rPr>
              <w:t>CCPR</w:t>
            </w:r>
            <w:r w:rsidRPr="00E6765D">
              <w:t>/C/</w:t>
            </w:r>
            <w:r w:rsidR="00BB4732" w:rsidRPr="00E6765D">
              <w:t>114</w:t>
            </w:r>
            <w:r w:rsidRPr="00E6765D">
              <w:t>/D</w:t>
            </w:r>
            <w:r w:rsidRPr="00821AC3">
              <w:t>/</w:t>
            </w:r>
            <w:r w:rsidR="004C1FBD" w:rsidRPr="00821AC3">
              <w:t>2389</w:t>
            </w:r>
            <w:r w:rsidR="00BB4732" w:rsidRPr="00821AC3">
              <w:t>/2014</w:t>
            </w:r>
          </w:p>
        </w:tc>
      </w:tr>
      <w:tr w:rsidR="003521FD" w:rsidRPr="00821AC3" w14:paraId="212749B4" w14:textId="77777777">
        <w:trPr>
          <w:cantSplit/>
          <w:trHeight w:hRule="exact" w:val="2835"/>
        </w:trPr>
        <w:tc>
          <w:tcPr>
            <w:tcW w:w="1276" w:type="dxa"/>
            <w:tcBorders>
              <w:top w:val="single" w:sz="4" w:space="0" w:color="auto"/>
              <w:bottom w:val="single" w:sz="12" w:space="0" w:color="auto"/>
            </w:tcBorders>
          </w:tcPr>
          <w:p w14:paraId="7575B3C9" w14:textId="77777777" w:rsidR="003521FD" w:rsidRPr="00821AC3" w:rsidRDefault="00423CC6" w:rsidP="003521FD">
            <w:pPr>
              <w:spacing w:before="120"/>
            </w:pPr>
            <w:r w:rsidRPr="00821AC3">
              <w:rPr>
                <w:noProof/>
                <w:lang w:val="en-US"/>
              </w:rPr>
              <w:drawing>
                <wp:inline distT="0" distB="0" distL="0" distR="0" wp14:anchorId="32F6C2B0" wp14:editId="3F97AB3C">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F2B9E" w14:textId="77777777" w:rsidR="003521FD" w:rsidRPr="00821AC3" w:rsidRDefault="003521FD" w:rsidP="003521FD">
            <w:pPr>
              <w:spacing w:before="120" w:line="380" w:lineRule="exact"/>
              <w:rPr>
                <w:b/>
                <w:sz w:val="34"/>
                <w:szCs w:val="40"/>
              </w:rPr>
            </w:pPr>
            <w:r w:rsidRPr="00821AC3">
              <w:rPr>
                <w:b/>
                <w:sz w:val="34"/>
                <w:szCs w:val="40"/>
              </w:rPr>
              <w:t>International Covenant on</w:t>
            </w:r>
            <w:r w:rsidRPr="00821AC3">
              <w:rPr>
                <w:b/>
                <w:sz w:val="34"/>
                <w:szCs w:val="40"/>
              </w:rPr>
              <w:br/>
              <w:t>Civil and Political Rights</w:t>
            </w:r>
          </w:p>
          <w:p w14:paraId="0CB92125" w14:textId="77777777" w:rsidR="0088080F" w:rsidRPr="00821AC3" w:rsidRDefault="0088080F" w:rsidP="003521FD">
            <w:pPr>
              <w:spacing w:before="120" w:line="380" w:lineRule="exact"/>
              <w:rPr>
                <w:sz w:val="34"/>
              </w:rPr>
            </w:pPr>
          </w:p>
        </w:tc>
        <w:tc>
          <w:tcPr>
            <w:tcW w:w="2835" w:type="dxa"/>
            <w:tcBorders>
              <w:top w:val="single" w:sz="4" w:space="0" w:color="auto"/>
              <w:bottom w:val="single" w:sz="12" w:space="0" w:color="auto"/>
            </w:tcBorders>
          </w:tcPr>
          <w:p w14:paraId="35394CA1" w14:textId="77777777" w:rsidR="003521FD" w:rsidRPr="00821AC3" w:rsidRDefault="003521FD" w:rsidP="003521FD">
            <w:pPr>
              <w:spacing w:before="240" w:line="240" w:lineRule="exact"/>
            </w:pPr>
            <w:r w:rsidRPr="00821AC3">
              <w:t xml:space="preserve">Distr.: </w:t>
            </w:r>
            <w:r w:rsidR="00A707AB" w:rsidRPr="00821AC3">
              <w:t>General</w:t>
            </w:r>
          </w:p>
          <w:p w14:paraId="723D7B33" w14:textId="77777777" w:rsidR="003521FD" w:rsidRPr="00821AC3" w:rsidRDefault="00EF3DA0" w:rsidP="00821AC3">
            <w:pPr>
              <w:spacing w:line="240" w:lineRule="exact"/>
            </w:pPr>
            <w:r w:rsidRPr="00821AC3">
              <w:t>2</w:t>
            </w:r>
            <w:r w:rsidR="00DF6BAB">
              <w:t>1</w:t>
            </w:r>
            <w:r w:rsidR="00146A68" w:rsidRPr="00821AC3">
              <w:t xml:space="preserve"> October</w:t>
            </w:r>
            <w:r w:rsidR="00A00841" w:rsidRPr="00821AC3">
              <w:t xml:space="preserve"> </w:t>
            </w:r>
            <w:r w:rsidR="00F71FEB" w:rsidRPr="00821AC3">
              <w:t>2015</w:t>
            </w:r>
          </w:p>
          <w:p w14:paraId="3BAC5501" w14:textId="77777777" w:rsidR="003521FD" w:rsidRPr="00821AC3" w:rsidRDefault="003521FD" w:rsidP="003521FD">
            <w:pPr>
              <w:spacing w:line="240" w:lineRule="exact"/>
            </w:pPr>
          </w:p>
          <w:p w14:paraId="5D45DC68" w14:textId="77777777" w:rsidR="003521FD" w:rsidRPr="00821AC3" w:rsidRDefault="003521FD" w:rsidP="003521FD">
            <w:pPr>
              <w:spacing w:line="240" w:lineRule="exact"/>
            </w:pPr>
            <w:r w:rsidRPr="00821AC3">
              <w:t>Original: English</w:t>
            </w:r>
          </w:p>
          <w:p w14:paraId="5C2561D7" w14:textId="77777777" w:rsidR="009D380F" w:rsidRPr="00821AC3" w:rsidRDefault="009D380F" w:rsidP="003521FD">
            <w:pPr>
              <w:spacing w:line="240" w:lineRule="exact"/>
            </w:pPr>
          </w:p>
        </w:tc>
      </w:tr>
    </w:tbl>
    <w:p w14:paraId="7B4334A3" w14:textId="77777777" w:rsidR="003521FD" w:rsidRPr="00821AC3" w:rsidRDefault="003521FD" w:rsidP="00487C03">
      <w:pPr>
        <w:spacing w:before="120"/>
        <w:rPr>
          <w:b/>
        </w:rPr>
      </w:pPr>
      <w:r w:rsidRPr="00821AC3">
        <w:rPr>
          <w:b/>
          <w:sz w:val="24"/>
          <w:szCs w:val="24"/>
        </w:rPr>
        <w:t>Human Rights Committee</w:t>
      </w:r>
    </w:p>
    <w:p w14:paraId="5C473E89" w14:textId="77777777" w:rsidR="003521FD" w:rsidRPr="00821AC3" w:rsidRDefault="003521FD" w:rsidP="0043040F">
      <w:pPr>
        <w:pStyle w:val="HChG"/>
      </w:pPr>
      <w:r w:rsidRPr="00821AC3">
        <w:tab/>
      </w:r>
      <w:r w:rsidRPr="00821AC3">
        <w:tab/>
        <w:t xml:space="preserve">Communication No. </w:t>
      </w:r>
      <w:r w:rsidR="004E0CBC" w:rsidRPr="00821AC3">
        <w:t>2389</w:t>
      </w:r>
      <w:r w:rsidR="00D27EA6" w:rsidRPr="00821AC3">
        <w:t>/2014</w:t>
      </w:r>
    </w:p>
    <w:p w14:paraId="3436E836" w14:textId="77777777" w:rsidR="004F5B32" w:rsidRPr="00821AC3" w:rsidRDefault="003521FD" w:rsidP="00FD2B5F">
      <w:pPr>
        <w:pStyle w:val="H1G"/>
      </w:pPr>
      <w:r w:rsidRPr="00821AC3">
        <w:tab/>
      </w:r>
      <w:r w:rsidRPr="00821AC3">
        <w:tab/>
      </w:r>
      <w:r w:rsidR="00FD2B5F" w:rsidRPr="00821AC3">
        <w:t>Views adopted by the Committe</w:t>
      </w:r>
      <w:r w:rsidR="001877EE" w:rsidRPr="00821AC3">
        <w:t>e</w:t>
      </w:r>
      <w:r w:rsidR="00FD2B5F" w:rsidRPr="00821AC3">
        <w:t xml:space="preserve"> at its 114th session</w:t>
      </w:r>
      <w:r w:rsidR="00FD2B5F" w:rsidRPr="00821AC3">
        <w:br/>
        <w:t>(</w:t>
      </w:r>
      <w:r w:rsidR="00FD2B5F" w:rsidRPr="00821AC3">
        <w:rPr>
          <w:bCs/>
          <w:lang w:val="en-US"/>
        </w:rPr>
        <w:t>29 June</w:t>
      </w:r>
      <w:r w:rsidR="00A66D95" w:rsidRPr="00821AC3">
        <w:rPr>
          <w:bCs/>
          <w:lang w:val="en-US"/>
        </w:rPr>
        <w:t>-</w:t>
      </w:r>
      <w:r w:rsidR="00FD2B5F" w:rsidRPr="00821AC3">
        <w:rPr>
          <w:bCs/>
          <w:lang w:val="en-US"/>
        </w:rPr>
        <w:t>24 July 2015)</w:t>
      </w:r>
      <w:r w:rsidR="00FD2B5F" w:rsidRPr="00821AC3">
        <w:t xml:space="preserve"> </w:t>
      </w:r>
    </w:p>
    <w:p w14:paraId="39771C4F" w14:textId="77777777" w:rsidR="003521FD" w:rsidRPr="00821AC3" w:rsidRDefault="003521FD" w:rsidP="00821AC3">
      <w:pPr>
        <w:pStyle w:val="SingleTxtG"/>
        <w:ind w:left="4536" w:hanging="3402"/>
        <w:jc w:val="left"/>
      </w:pPr>
      <w:r w:rsidRPr="00821AC3">
        <w:rPr>
          <w:i/>
        </w:rPr>
        <w:t>Submitted by:</w:t>
      </w:r>
      <w:r w:rsidRPr="00821AC3">
        <w:tab/>
      </w:r>
      <w:r w:rsidR="00A14293" w:rsidRPr="00821AC3">
        <w:t>X</w:t>
      </w:r>
      <w:r w:rsidR="00F71FEB" w:rsidRPr="00821AC3">
        <w:t xml:space="preserve"> (</w:t>
      </w:r>
      <w:r w:rsidRPr="00821AC3">
        <w:t>represented by</w:t>
      </w:r>
      <w:r w:rsidR="00D27EA6" w:rsidRPr="00821AC3">
        <w:t xml:space="preserve"> Helle Holm Thomsen</w:t>
      </w:r>
      <w:r w:rsidRPr="00821AC3">
        <w:t>)</w:t>
      </w:r>
    </w:p>
    <w:p w14:paraId="2985E17C" w14:textId="77777777" w:rsidR="003521FD" w:rsidRPr="00821AC3" w:rsidRDefault="003521FD" w:rsidP="00821AC3">
      <w:pPr>
        <w:pStyle w:val="SingleTxtG"/>
        <w:ind w:left="4536" w:hanging="3402"/>
        <w:jc w:val="left"/>
      </w:pPr>
      <w:r w:rsidRPr="00821AC3">
        <w:rPr>
          <w:i/>
        </w:rPr>
        <w:t>Alleged victim:</w:t>
      </w:r>
      <w:r w:rsidRPr="00821AC3">
        <w:tab/>
        <w:t>Th</w:t>
      </w:r>
      <w:r w:rsidR="00F71FEB" w:rsidRPr="00821AC3">
        <w:t>e author</w:t>
      </w:r>
    </w:p>
    <w:p w14:paraId="10282346" w14:textId="77777777" w:rsidR="003521FD" w:rsidRPr="00821AC3" w:rsidRDefault="003521FD" w:rsidP="00821AC3">
      <w:pPr>
        <w:pStyle w:val="SingleTxtG"/>
        <w:ind w:left="4536" w:hanging="3402"/>
        <w:jc w:val="left"/>
        <w:rPr>
          <w:lang w:val="en-US"/>
        </w:rPr>
      </w:pPr>
      <w:r w:rsidRPr="00821AC3">
        <w:rPr>
          <w:i/>
        </w:rPr>
        <w:t>State Party:</w:t>
      </w:r>
      <w:r w:rsidRPr="00821AC3">
        <w:tab/>
      </w:r>
      <w:r w:rsidR="00D27EA6" w:rsidRPr="00821AC3">
        <w:t>Denmark</w:t>
      </w:r>
    </w:p>
    <w:p w14:paraId="6EDDE402" w14:textId="77777777" w:rsidR="003521FD" w:rsidRPr="00821AC3" w:rsidRDefault="003521FD" w:rsidP="00821AC3">
      <w:pPr>
        <w:pStyle w:val="SingleTxtG"/>
        <w:ind w:left="4536" w:hanging="3402"/>
        <w:jc w:val="left"/>
      </w:pPr>
      <w:r w:rsidRPr="00821AC3">
        <w:rPr>
          <w:i/>
        </w:rPr>
        <w:t>Date of communication:</w:t>
      </w:r>
      <w:r w:rsidRPr="00821AC3">
        <w:tab/>
      </w:r>
      <w:r w:rsidR="00A14293" w:rsidRPr="00821AC3">
        <w:t>12 May</w:t>
      </w:r>
      <w:r w:rsidR="00D27EA6" w:rsidRPr="00821AC3">
        <w:t xml:space="preserve"> 2014</w:t>
      </w:r>
    </w:p>
    <w:p w14:paraId="518107AD" w14:textId="77777777" w:rsidR="003521FD" w:rsidRPr="00821AC3" w:rsidRDefault="003521FD" w:rsidP="00821AC3">
      <w:pPr>
        <w:pStyle w:val="SingleTxtG"/>
        <w:ind w:left="4536" w:hanging="3402"/>
        <w:jc w:val="left"/>
      </w:pPr>
      <w:r w:rsidRPr="00821AC3">
        <w:rPr>
          <w:i/>
        </w:rPr>
        <w:t>Document references:</w:t>
      </w:r>
      <w:r w:rsidRPr="00821AC3">
        <w:tab/>
        <w:t>Special Rapporteur’s rule</w:t>
      </w:r>
      <w:r w:rsidR="00BE03E7" w:rsidRPr="00821AC3">
        <w:t>s 92 and</w:t>
      </w:r>
      <w:r w:rsidRPr="00821AC3">
        <w:t xml:space="preserve"> 97 decision, transmitted to the State party on </w:t>
      </w:r>
      <w:r w:rsidR="00F40A7F" w:rsidRPr="00821AC3">
        <w:t>16 May</w:t>
      </w:r>
      <w:r w:rsidR="00D27EA6" w:rsidRPr="00821AC3">
        <w:t xml:space="preserve"> 2014</w:t>
      </w:r>
      <w:r w:rsidRPr="00821AC3">
        <w:t xml:space="preserve"> (not issued in document form)</w:t>
      </w:r>
    </w:p>
    <w:p w14:paraId="5E1067DD" w14:textId="77777777" w:rsidR="003521FD" w:rsidRPr="00821AC3" w:rsidRDefault="003521FD" w:rsidP="00821AC3">
      <w:pPr>
        <w:pStyle w:val="SingleTxtG"/>
        <w:ind w:left="4536" w:hanging="3402"/>
        <w:jc w:val="left"/>
      </w:pPr>
      <w:r w:rsidRPr="00821AC3">
        <w:rPr>
          <w:i/>
        </w:rPr>
        <w:t>Date of adoption of Views:</w:t>
      </w:r>
      <w:r w:rsidR="00C04EA0" w:rsidRPr="00821AC3">
        <w:rPr>
          <w:i/>
        </w:rPr>
        <w:tab/>
      </w:r>
      <w:r w:rsidR="00A00841" w:rsidRPr="00821AC3">
        <w:t>22</w:t>
      </w:r>
      <w:r w:rsidR="00227516" w:rsidRPr="00821AC3">
        <w:t xml:space="preserve"> </w:t>
      </w:r>
      <w:r w:rsidR="00D27EA6" w:rsidRPr="00821AC3">
        <w:t>July 2015</w:t>
      </w:r>
    </w:p>
    <w:p w14:paraId="366D7854" w14:textId="77777777" w:rsidR="004F5B32" w:rsidRPr="00821AC3" w:rsidRDefault="004F5B32" w:rsidP="00821AC3">
      <w:pPr>
        <w:pStyle w:val="SingleTxtG"/>
        <w:ind w:left="4536" w:hanging="3402"/>
        <w:jc w:val="left"/>
      </w:pPr>
      <w:r w:rsidRPr="00821AC3">
        <w:rPr>
          <w:i/>
          <w:iCs/>
        </w:rPr>
        <w:t xml:space="preserve">Subject matter: </w:t>
      </w:r>
      <w:r w:rsidRPr="00821AC3">
        <w:rPr>
          <w:i/>
          <w:iCs/>
        </w:rPr>
        <w:tab/>
      </w:r>
      <w:r w:rsidRPr="00821AC3">
        <w:rPr>
          <w:iCs/>
        </w:rPr>
        <w:t xml:space="preserve">Expulsion of the author to </w:t>
      </w:r>
      <w:r w:rsidR="001877EE" w:rsidRPr="00821AC3">
        <w:rPr>
          <w:iCs/>
        </w:rPr>
        <w:t xml:space="preserve">the Islamic Republic of </w:t>
      </w:r>
      <w:r w:rsidRPr="00821AC3">
        <w:rPr>
          <w:iCs/>
        </w:rPr>
        <w:t xml:space="preserve">Iran </w:t>
      </w:r>
    </w:p>
    <w:p w14:paraId="20AE0FB3" w14:textId="77777777" w:rsidR="000F30FF" w:rsidRPr="00821AC3" w:rsidRDefault="003521FD" w:rsidP="00821AC3">
      <w:pPr>
        <w:pStyle w:val="SingleTxtG"/>
        <w:ind w:left="4536" w:hanging="3402"/>
        <w:jc w:val="left"/>
        <w:rPr>
          <w:iCs/>
        </w:rPr>
      </w:pPr>
      <w:r w:rsidRPr="00821AC3">
        <w:rPr>
          <w:i/>
          <w:iCs/>
          <w:lang w:val="en-US"/>
        </w:rPr>
        <w:t>Procedural issues</w:t>
      </w:r>
      <w:r w:rsidR="00154691" w:rsidRPr="00821AC3">
        <w:rPr>
          <w:lang w:val="en-US"/>
        </w:rPr>
        <w:t xml:space="preserve">: </w:t>
      </w:r>
      <w:r w:rsidR="00154691" w:rsidRPr="00821AC3">
        <w:rPr>
          <w:lang w:val="en-US"/>
        </w:rPr>
        <w:tab/>
      </w:r>
      <w:r w:rsidR="000F30FF" w:rsidRPr="00821AC3">
        <w:rPr>
          <w:iCs/>
        </w:rPr>
        <w:t xml:space="preserve">Admissibility </w:t>
      </w:r>
      <w:r w:rsidR="001877EE" w:rsidRPr="00821AC3">
        <w:rPr>
          <w:iCs/>
        </w:rPr>
        <w:t xml:space="preserve">— </w:t>
      </w:r>
      <w:r w:rsidR="000F30FF" w:rsidRPr="00821AC3">
        <w:rPr>
          <w:iCs/>
        </w:rPr>
        <w:t>manifestly ill-founded</w:t>
      </w:r>
    </w:p>
    <w:p w14:paraId="509D100E" w14:textId="77777777" w:rsidR="003521FD" w:rsidRPr="00821AC3" w:rsidRDefault="003521FD" w:rsidP="00821AC3">
      <w:pPr>
        <w:pStyle w:val="SingleTxtG"/>
        <w:ind w:left="4536" w:hanging="3402"/>
        <w:jc w:val="left"/>
        <w:rPr>
          <w:lang w:val="en-US"/>
        </w:rPr>
      </w:pPr>
      <w:r w:rsidRPr="00821AC3">
        <w:rPr>
          <w:i/>
          <w:lang w:val="en-US"/>
        </w:rPr>
        <w:t>Substantive issues:</w:t>
      </w:r>
      <w:r w:rsidRPr="00821AC3">
        <w:rPr>
          <w:i/>
          <w:lang w:val="en-US"/>
        </w:rPr>
        <w:tab/>
      </w:r>
      <w:r w:rsidR="004C1FBD" w:rsidRPr="00821AC3">
        <w:rPr>
          <w:lang w:val="en-US"/>
        </w:rPr>
        <w:t>Expulsion,</w:t>
      </w:r>
      <w:r w:rsidR="004C1FBD" w:rsidRPr="00821AC3">
        <w:rPr>
          <w:i/>
          <w:lang w:val="en-US"/>
        </w:rPr>
        <w:t xml:space="preserve"> </w:t>
      </w:r>
      <w:r w:rsidR="00D27EA6" w:rsidRPr="00821AC3">
        <w:rPr>
          <w:lang w:val="en-US"/>
        </w:rPr>
        <w:t>torture</w:t>
      </w:r>
      <w:r w:rsidR="000F30FF" w:rsidRPr="00821AC3">
        <w:rPr>
          <w:lang w:val="en-US"/>
        </w:rPr>
        <w:t>,</w:t>
      </w:r>
      <w:r w:rsidR="00D27EA6" w:rsidRPr="00821AC3">
        <w:rPr>
          <w:lang w:val="en-US"/>
        </w:rPr>
        <w:t xml:space="preserve"> cruel, inhuman or degrading treatment or punishment</w:t>
      </w:r>
      <w:r w:rsidR="004C1FBD" w:rsidRPr="00821AC3">
        <w:rPr>
          <w:lang w:val="en-US"/>
        </w:rPr>
        <w:t>, prohibition of discrimination and equal protection of the law</w:t>
      </w:r>
    </w:p>
    <w:p w14:paraId="347DD49C" w14:textId="77777777" w:rsidR="003521FD" w:rsidRPr="00821AC3" w:rsidRDefault="003521FD" w:rsidP="00821AC3">
      <w:pPr>
        <w:pStyle w:val="SingleTxtG"/>
        <w:ind w:left="4536" w:hanging="3402"/>
        <w:jc w:val="left"/>
      </w:pPr>
      <w:r w:rsidRPr="00821AC3">
        <w:rPr>
          <w:i/>
          <w:iCs/>
        </w:rPr>
        <w:t>Articles of the Covenant:</w:t>
      </w:r>
      <w:r w:rsidR="00F57A6D" w:rsidRPr="00821AC3">
        <w:rPr>
          <w:i/>
          <w:iCs/>
        </w:rPr>
        <w:t xml:space="preserve"> </w:t>
      </w:r>
      <w:r w:rsidRPr="00821AC3">
        <w:rPr>
          <w:i/>
          <w:iCs/>
        </w:rPr>
        <w:tab/>
      </w:r>
      <w:r w:rsidR="00B3389D" w:rsidRPr="00821AC3">
        <w:rPr>
          <w:iCs/>
        </w:rPr>
        <w:t>7</w:t>
      </w:r>
      <w:r w:rsidR="004C1FBD" w:rsidRPr="00821AC3">
        <w:rPr>
          <w:iCs/>
        </w:rPr>
        <w:t xml:space="preserve"> and 26</w:t>
      </w:r>
    </w:p>
    <w:p w14:paraId="5A52313F" w14:textId="77777777" w:rsidR="003521FD" w:rsidRPr="00821AC3" w:rsidRDefault="003521FD" w:rsidP="00821AC3">
      <w:pPr>
        <w:pStyle w:val="SingleTxtG"/>
        <w:ind w:left="4536" w:hanging="3402"/>
        <w:jc w:val="left"/>
      </w:pPr>
      <w:r w:rsidRPr="00821AC3">
        <w:rPr>
          <w:i/>
          <w:iCs/>
        </w:rPr>
        <w:t xml:space="preserve">Articles of the Optional Protocol: </w:t>
      </w:r>
      <w:r w:rsidRPr="00821AC3">
        <w:rPr>
          <w:i/>
          <w:iCs/>
        </w:rPr>
        <w:tab/>
      </w:r>
      <w:r w:rsidR="004C1FBD" w:rsidRPr="00821AC3">
        <w:t xml:space="preserve">2, 5.1, 5.2 </w:t>
      </w:r>
      <w:r w:rsidR="00FE2DE8" w:rsidRPr="00821AC3">
        <w:t xml:space="preserve">and </w:t>
      </w:r>
      <w:r w:rsidR="004C1FBD" w:rsidRPr="00821AC3">
        <w:t>5.4</w:t>
      </w:r>
    </w:p>
    <w:p w14:paraId="1E383028" w14:textId="77777777" w:rsidR="00C10120" w:rsidRPr="00821AC3" w:rsidRDefault="00C10120" w:rsidP="00821AC3">
      <w:pPr>
        <w:tabs>
          <w:tab w:val="left" w:pos="7155"/>
        </w:tabs>
      </w:pPr>
      <w:r w:rsidRPr="00821AC3">
        <w:tab/>
      </w:r>
    </w:p>
    <w:p w14:paraId="6C9C2214" w14:textId="77777777" w:rsidR="003521FD" w:rsidRPr="00821AC3" w:rsidRDefault="003521FD" w:rsidP="003521FD">
      <w:pPr>
        <w:pStyle w:val="HChG"/>
      </w:pPr>
      <w:r w:rsidRPr="00821AC3">
        <w:br w:type="page"/>
      </w:r>
      <w:r w:rsidRPr="00821AC3">
        <w:lastRenderedPageBreak/>
        <w:t>Annex</w:t>
      </w:r>
    </w:p>
    <w:p w14:paraId="3CD45845" w14:textId="77777777" w:rsidR="003521FD" w:rsidRPr="00821AC3" w:rsidRDefault="003521FD">
      <w:pPr>
        <w:pStyle w:val="HChG"/>
        <w:rPr>
          <w:bCs/>
        </w:rPr>
      </w:pPr>
      <w:r w:rsidRPr="00821AC3">
        <w:tab/>
      </w:r>
      <w:r w:rsidRPr="00821AC3">
        <w:tab/>
      </w:r>
      <w:r w:rsidR="00FA631C" w:rsidRPr="00821AC3">
        <w:t>Views</w:t>
      </w:r>
      <w:r w:rsidRPr="00821AC3">
        <w:t xml:space="preserve"> of the Human Rights Committee under </w:t>
      </w:r>
      <w:r w:rsidR="00FA631C" w:rsidRPr="00821AC3">
        <w:t>article 5</w:t>
      </w:r>
      <w:r w:rsidR="00FE2DE8" w:rsidRPr="00821AC3">
        <w:t> (4)</w:t>
      </w:r>
      <w:r w:rsidR="00FA631C" w:rsidRPr="00821AC3">
        <w:t xml:space="preserve"> of </w:t>
      </w:r>
      <w:r w:rsidRPr="00821AC3">
        <w:t>the Optional Protocol to the International Covenant on Civil and Political Rights (11</w:t>
      </w:r>
      <w:r w:rsidR="00D27EA6" w:rsidRPr="00821AC3">
        <w:t>4</w:t>
      </w:r>
      <w:r w:rsidRPr="00821AC3">
        <w:t xml:space="preserve">th </w:t>
      </w:r>
      <w:r w:rsidRPr="00821AC3">
        <w:rPr>
          <w:bCs/>
        </w:rPr>
        <w:t>session)</w:t>
      </w:r>
    </w:p>
    <w:p w14:paraId="394B2469" w14:textId="77777777" w:rsidR="003521FD" w:rsidRPr="00821AC3" w:rsidRDefault="003521FD" w:rsidP="003521FD">
      <w:pPr>
        <w:pStyle w:val="SingleTxtG"/>
      </w:pPr>
      <w:r w:rsidRPr="00821AC3">
        <w:t>concerning</w:t>
      </w:r>
    </w:p>
    <w:p w14:paraId="12C0A5B7" w14:textId="77777777" w:rsidR="003521FD" w:rsidRPr="00821AC3" w:rsidRDefault="003521FD" w:rsidP="0043040F">
      <w:pPr>
        <w:pStyle w:val="H1G"/>
      </w:pPr>
      <w:r w:rsidRPr="00821AC3">
        <w:tab/>
      </w:r>
      <w:r w:rsidRPr="00821AC3">
        <w:tab/>
        <w:t>Communication No. </w:t>
      </w:r>
      <w:r w:rsidR="004C1FBD" w:rsidRPr="00821AC3">
        <w:t>2389</w:t>
      </w:r>
      <w:r w:rsidR="00BB4732" w:rsidRPr="00821AC3">
        <w:t>/2014</w:t>
      </w:r>
      <w:r w:rsidR="00E1078B" w:rsidRPr="00821AC3">
        <w:rPr>
          <w:rStyle w:val="FootnoteReference"/>
          <w:b w:val="0"/>
          <w:bCs/>
          <w:sz w:val="20"/>
          <w:vertAlign w:val="baseline"/>
        </w:rPr>
        <w:footnoteReference w:customMarkFollows="1" w:id="2"/>
        <w:t>*</w:t>
      </w:r>
    </w:p>
    <w:p w14:paraId="03A22198" w14:textId="77777777" w:rsidR="003521FD" w:rsidRPr="00821AC3" w:rsidRDefault="003521FD" w:rsidP="00821AC3">
      <w:pPr>
        <w:pStyle w:val="SingleTxtG"/>
        <w:ind w:left="4536" w:hanging="3402"/>
        <w:jc w:val="left"/>
      </w:pPr>
      <w:r w:rsidRPr="00821AC3">
        <w:rPr>
          <w:i/>
        </w:rPr>
        <w:t>Submitted by:</w:t>
      </w:r>
      <w:r w:rsidRPr="00821AC3">
        <w:tab/>
      </w:r>
      <w:r w:rsidRPr="00821AC3">
        <w:tab/>
      </w:r>
      <w:r w:rsidR="004C1FBD" w:rsidRPr="00821AC3">
        <w:t>X</w:t>
      </w:r>
      <w:r w:rsidR="00D139E6" w:rsidRPr="00821AC3">
        <w:rPr>
          <w:rStyle w:val="FootnoteReference"/>
        </w:rPr>
        <w:footnoteReference w:id="3"/>
      </w:r>
      <w:r w:rsidR="00D27EA6" w:rsidRPr="00821AC3">
        <w:t xml:space="preserve"> (represented by Helle Holm Thomsen)</w:t>
      </w:r>
    </w:p>
    <w:p w14:paraId="7DEF7BF6" w14:textId="77777777" w:rsidR="003521FD" w:rsidRPr="00821AC3" w:rsidRDefault="003521FD" w:rsidP="00821AC3">
      <w:pPr>
        <w:pStyle w:val="SingleTxtG"/>
        <w:ind w:left="4536" w:hanging="3402"/>
        <w:jc w:val="left"/>
      </w:pPr>
      <w:r w:rsidRPr="00821AC3">
        <w:rPr>
          <w:i/>
        </w:rPr>
        <w:t>Alleged victim:</w:t>
      </w:r>
      <w:r w:rsidRPr="00821AC3">
        <w:tab/>
      </w:r>
      <w:r w:rsidR="00227516" w:rsidRPr="00821AC3">
        <w:t>The author</w:t>
      </w:r>
    </w:p>
    <w:p w14:paraId="677391F6" w14:textId="77777777" w:rsidR="003521FD" w:rsidRPr="00821AC3" w:rsidRDefault="003521FD" w:rsidP="00821AC3">
      <w:pPr>
        <w:pStyle w:val="SingleTxtG"/>
        <w:ind w:left="4536" w:hanging="3402"/>
        <w:jc w:val="left"/>
        <w:rPr>
          <w:lang w:val="en-US"/>
        </w:rPr>
      </w:pPr>
      <w:r w:rsidRPr="00821AC3">
        <w:rPr>
          <w:i/>
        </w:rPr>
        <w:t>State Party:</w:t>
      </w:r>
      <w:r w:rsidRPr="00821AC3">
        <w:tab/>
      </w:r>
      <w:r w:rsidR="00D27EA6" w:rsidRPr="00821AC3">
        <w:t>Denmark</w:t>
      </w:r>
    </w:p>
    <w:p w14:paraId="57B38579" w14:textId="77777777" w:rsidR="003521FD" w:rsidRPr="00821AC3" w:rsidRDefault="003521FD" w:rsidP="00821AC3">
      <w:pPr>
        <w:pStyle w:val="SingleTxtG"/>
        <w:ind w:left="4536" w:hanging="3402"/>
        <w:jc w:val="left"/>
      </w:pPr>
      <w:r w:rsidRPr="00821AC3">
        <w:rPr>
          <w:i/>
        </w:rPr>
        <w:t>Date of communication</w:t>
      </w:r>
      <w:r w:rsidRPr="00821AC3">
        <w:t>:</w:t>
      </w:r>
      <w:r w:rsidRPr="00821AC3">
        <w:tab/>
      </w:r>
      <w:r w:rsidR="004C1FBD" w:rsidRPr="00821AC3">
        <w:t>12 May</w:t>
      </w:r>
      <w:r w:rsidR="00D27EA6" w:rsidRPr="00821AC3">
        <w:t xml:space="preserve"> 2014</w:t>
      </w:r>
    </w:p>
    <w:p w14:paraId="1D145D82" w14:textId="77777777" w:rsidR="003521FD" w:rsidRPr="00821AC3" w:rsidRDefault="003521FD" w:rsidP="003521FD">
      <w:pPr>
        <w:pStyle w:val="SingleTxtG"/>
      </w:pPr>
      <w:r w:rsidRPr="00821AC3">
        <w:tab/>
      </w:r>
      <w:r w:rsidRPr="00821AC3">
        <w:rPr>
          <w:i/>
        </w:rPr>
        <w:t>The Human Rights Committee</w:t>
      </w:r>
      <w:r w:rsidRPr="00821AC3">
        <w:t xml:space="preserve">, established under article 28 of the International Covenant on Civil and Political Rights, </w:t>
      </w:r>
    </w:p>
    <w:p w14:paraId="315402F1" w14:textId="77777777" w:rsidR="003521FD" w:rsidRPr="00821AC3" w:rsidRDefault="003521FD" w:rsidP="003521FD">
      <w:pPr>
        <w:pStyle w:val="SingleTxtG"/>
      </w:pPr>
      <w:r w:rsidRPr="00821AC3">
        <w:tab/>
      </w:r>
      <w:r w:rsidRPr="00821AC3">
        <w:rPr>
          <w:i/>
        </w:rPr>
        <w:t>Meeting on</w:t>
      </w:r>
      <w:r w:rsidR="00EC67FE" w:rsidRPr="00821AC3">
        <w:t xml:space="preserve"> 22</w:t>
      </w:r>
      <w:r w:rsidR="00154691" w:rsidRPr="00821AC3">
        <w:t xml:space="preserve"> </w:t>
      </w:r>
      <w:r w:rsidR="00D27EA6" w:rsidRPr="00821AC3">
        <w:t>July</w:t>
      </w:r>
      <w:r w:rsidR="00227516" w:rsidRPr="00821AC3">
        <w:t xml:space="preserve"> 2015</w:t>
      </w:r>
      <w:r w:rsidRPr="00821AC3">
        <w:t>,</w:t>
      </w:r>
    </w:p>
    <w:p w14:paraId="7F01B2A9" w14:textId="77777777" w:rsidR="003521FD" w:rsidRPr="00821AC3" w:rsidRDefault="003521FD">
      <w:pPr>
        <w:pStyle w:val="SingleTxtG"/>
        <w:rPr>
          <w:i/>
        </w:rPr>
      </w:pPr>
      <w:r w:rsidRPr="00821AC3">
        <w:rPr>
          <w:i/>
        </w:rPr>
        <w:tab/>
        <w:t xml:space="preserve">Having concluded </w:t>
      </w:r>
      <w:r w:rsidRPr="00821AC3">
        <w:t xml:space="preserve">its consideration of communication No. </w:t>
      </w:r>
      <w:r w:rsidR="004C1FBD" w:rsidRPr="00821AC3">
        <w:t>2389</w:t>
      </w:r>
      <w:r w:rsidR="00BE03E7" w:rsidRPr="00821AC3">
        <w:t>/2014</w:t>
      </w:r>
      <w:r w:rsidRPr="00821AC3">
        <w:t xml:space="preserve">, submitted to the Human Rights Committee by </w:t>
      </w:r>
      <w:r w:rsidR="004C1FBD" w:rsidRPr="00821AC3">
        <w:t>X</w:t>
      </w:r>
      <w:r w:rsidR="00BE03E7" w:rsidRPr="00821AC3">
        <w:t xml:space="preserve"> </w:t>
      </w:r>
      <w:r w:rsidRPr="00821AC3">
        <w:t>under the Optional Protocol to the International Covenant on Civil and Political Rights,</w:t>
      </w:r>
    </w:p>
    <w:p w14:paraId="7F2FF8CC" w14:textId="77777777" w:rsidR="003521FD" w:rsidRPr="00821AC3" w:rsidRDefault="003521FD" w:rsidP="003521FD">
      <w:pPr>
        <w:pStyle w:val="SingleTxtG"/>
        <w:rPr>
          <w:i/>
        </w:rPr>
      </w:pPr>
      <w:r w:rsidRPr="00821AC3">
        <w:rPr>
          <w:i/>
        </w:rPr>
        <w:tab/>
        <w:t xml:space="preserve">Having taken into account </w:t>
      </w:r>
      <w:r w:rsidRPr="00821AC3">
        <w:t>all written information made available to it by the author of the communication and the State party,</w:t>
      </w:r>
    </w:p>
    <w:p w14:paraId="6E68B09A" w14:textId="77777777" w:rsidR="003521FD" w:rsidRPr="00821AC3" w:rsidRDefault="003521FD" w:rsidP="003521FD">
      <w:pPr>
        <w:pStyle w:val="SingleTxtG"/>
        <w:rPr>
          <w:bCs/>
        </w:rPr>
      </w:pPr>
      <w:r w:rsidRPr="00821AC3">
        <w:rPr>
          <w:bCs/>
        </w:rPr>
        <w:tab/>
      </w:r>
      <w:r w:rsidRPr="00821AC3">
        <w:rPr>
          <w:bCs/>
          <w:i/>
        </w:rPr>
        <w:t xml:space="preserve">Adopts </w:t>
      </w:r>
      <w:r w:rsidRPr="00821AC3">
        <w:rPr>
          <w:bCs/>
          <w:iCs/>
        </w:rPr>
        <w:t>the following</w:t>
      </w:r>
      <w:r w:rsidRPr="00821AC3">
        <w:rPr>
          <w:bCs/>
        </w:rPr>
        <w:t>:</w:t>
      </w:r>
    </w:p>
    <w:p w14:paraId="414C05F2" w14:textId="77777777" w:rsidR="003521FD" w:rsidRPr="00821AC3" w:rsidRDefault="003521FD">
      <w:pPr>
        <w:pStyle w:val="H1G"/>
      </w:pPr>
      <w:r w:rsidRPr="00821AC3">
        <w:tab/>
      </w:r>
      <w:r w:rsidRPr="00821AC3">
        <w:tab/>
      </w:r>
      <w:r w:rsidR="00FF682A" w:rsidRPr="00821AC3">
        <w:t>Views under article 5</w:t>
      </w:r>
      <w:r w:rsidR="00FE2DE8" w:rsidRPr="00821AC3">
        <w:t> (4)</w:t>
      </w:r>
      <w:r w:rsidR="001704EC" w:rsidRPr="00821AC3">
        <w:t xml:space="preserve"> of the Optional Protocol</w:t>
      </w:r>
      <w:r w:rsidRPr="00821AC3">
        <w:t xml:space="preserve"> </w:t>
      </w:r>
    </w:p>
    <w:p w14:paraId="1C8CF473" w14:textId="77777777" w:rsidR="00D139E6" w:rsidRPr="00821AC3" w:rsidRDefault="00154691">
      <w:pPr>
        <w:pStyle w:val="SingleTxtG"/>
      </w:pPr>
      <w:r w:rsidRPr="00821AC3">
        <w:t>1.1</w:t>
      </w:r>
      <w:r w:rsidRPr="00821AC3">
        <w:tab/>
      </w:r>
      <w:r w:rsidR="00FF682A" w:rsidRPr="00821AC3">
        <w:t>The author of the communication is</w:t>
      </w:r>
      <w:r w:rsidR="000F30FF" w:rsidRPr="00821AC3">
        <w:t xml:space="preserve"> X,</w:t>
      </w:r>
      <w:r w:rsidR="00FF682A" w:rsidRPr="00821AC3">
        <w:t xml:space="preserve"> an Iranian </w:t>
      </w:r>
      <w:r w:rsidR="00D64B94" w:rsidRPr="00821AC3">
        <w:t>national</w:t>
      </w:r>
      <w:r w:rsidR="00FF682A" w:rsidRPr="00821AC3">
        <w:t xml:space="preserve">, ethnic Kurd, Sunni Muslim born in Northern Iraq on 7 July 1992. He claims that </w:t>
      </w:r>
      <w:r w:rsidR="00E02AC2" w:rsidRPr="00821AC3">
        <w:t xml:space="preserve">his deportation to </w:t>
      </w:r>
      <w:r w:rsidR="001877EE" w:rsidRPr="00821AC3">
        <w:rPr>
          <w:iCs/>
        </w:rPr>
        <w:t xml:space="preserve">the Islamic Republic of </w:t>
      </w:r>
      <w:r w:rsidR="00E02AC2" w:rsidRPr="00821AC3">
        <w:t>Iran b</w:t>
      </w:r>
      <w:r w:rsidR="003D0114" w:rsidRPr="00821AC3">
        <w:t>y the State party would violate</w:t>
      </w:r>
      <w:r w:rsidR="00FF682A" w:rsidRPr="00821AC3">
        <w:t xml:space="preserve"> articles 7 and 26 of the Covenant</w:t>
      </w:r>
      <w:r w:rsidR="00A66D95" w:rsidRPr="00821AC3">
        <w:t>.</w:t>
      </w:r>
      <w:r w:rsidR="00697D72" w:rsidRPr="00821AC3">
        <w:rPr>
          <w:rStyle w:val="FootnoteReference"/>
        </w:rPr>
        <w:footnoteReference w:id="4"/>
      </w:r>
      <w:r w:rsidR="00D64B94" w:rsidRPr="00821AC3">
        <w:t xml:space="preserve"> The author is represented by </w:t>
      </w:r>
      <w:r w:rsidR="00697D72" w:rsidRPr="00821AC3">
        <w:t>c</w:t>
      </w:r>
      <w:r w:rsidR="00D64B94" w:rsidRPr="00821AC3">
        <w:t>ounsel.</w:t>
      </w:r>
    </w:p>
    <w:p w14:paraId="668AA9F4" w14:textId="77777777" w:rsidR="00853FE4" w:rsidRPr="00821AC3" w:rsidRDefault="00154691">
      <w:pPr>
        <w:pStyle w:val="SingleTxtG"/>
      </w:pPr>
      <w:r w:rsidRPr="00821AC3">
        <w:t>1.2</w:t>
      </w:r>
      <w:r w:rsidRPr="00821AC3">
        <w:tab/>
      </w:r>
      <w:r w:rsidR="00853FE4" w:rsidRPr="00821AC3">
        <w:t xml:space="preserve">On 16 May 2014, the Committee, in accordance with rule 92 of its </w:t>
      </w:r>
      <w:r w:rsidR="00255C39" w:rsidRPr="00821AC3">
        <w:t>r</w:t>
      </w:r>
      <w:r w:rsidR="00853FE4" w:rsidRPr="00821AC3">
        <w:t xml:space="preserve">ules of </w:t>
      </w:r>
      <w:r w:rsidR="00255C39" w:rsidRPr="00821AC3">
        <w:t>p</w:t>
      </w:r>
      <w:r w:rsidR="00853FE4" w:rsidRPr="00821AC3">
        <w:t xml:space="preserve">rocedure, acting through its Special Rapporteur for new communications and interim measures, requested the State party to refrain from deporting the author to </w:t>
      </w:r>
      <w:r w:rsidR="001877EE" w:rsidRPr="00821AC3">
        <w:rPr>
          <w:iCs/>
        </w:rPr>
        <w:t xml:space="preserve">the Islamic Republic of </w:t>
      </w:r>
      <w:r w:rsidR="00853FE4" w:rsidRPr="00821AC3">
        <w:t xml:space="preserve">Iran while his communication was </w:t>
      </w:r>
      <w:r w:rsidR="00E02AC2" w:rsidRPr="00821AC3">
        <w:t>being examined</w:t>
      </w:r>
      <w:r w:rsidR="00853FE4" w:rsidRPr="00821AC3">
        <w:t xml:space="preserve"> by the Committee.</w:t>
      </w:r>
      <w:r w:rsidR="0028452B" w:rsidRPr="00821AC3">
        <w:t xml:space="preserve"> On that </w:t>
      </w:r>
      <w:r w:rsidR="0028452B" w:rsidRPr="00821AC3">
        <w:lastRenderedPageBreak/>
        <w:t>same date, the State party suspended the execution of the deportation order against the author.</w:t>
      </w:r>
      <w:r w:rsidR="00F57A6D" w:rsidRPr="00821AC3">
        <w:t xml:space="preserve"> </w:t>
      </w:r>
    </w:p>
    <w:p w14:paraId="70A6EF19" w14:textId="77777777" w:rsidR="003521FD" w:rsidRPr="00821AC3" w:rsidRDefault="003521FD" w:rsidP="006358CB">
      <w:pPr>
        <w:pStyle w:val="H23G"/>
        <w:spacing w:line="240" w:lineRule="auto"/>
      </w:pPr>
      <w:r w:rsidRPr="00821AC3">
        <w:tab/>
      </w:r>
      <w:r w:rsidRPr="00821AC3">
        <w:tab/>
      </w:r>
      <w:r w:rsidR="004A146C" w:rsidRPr="00821AC3">
        <w:t>Factual background</w:t>
      </w:r>
    </w:p>
    <w:p w14:paraId="4F2F7CC8" w14:textId="77777777" w:rsidR="00B315D4" w:rsidRPr="00821AC3" w:rsidRDefault="002731ED">
      <w:pPr>
        <w:pStyle w:val="SingleTxtG"/>
        <w:rPr>
          <w:lang w:val="en-US"/>
        </w:rPr>
      </w:pPr>
      <w:r w:rsidRPr="00821AC3">
        <w:t>2.1</w:t>
      </w:r>
      <w:r w:rsidR="003521FD" w:rsidRPr="00821AC3">
        <w:tab/>
      </w:r>
      <w:r w:rsidR="00C764DF" w:rsidRPr="00821AC3">
        <w:rPr>
          <w:lang w:val="en-US"/>
        </w:rPr>
        <w:t xml:space="preserve">The author was born to a Muslim Iranian family of Kurdish origin in </w:t>
      </w:r>
      <w:r w:rsidR="00255C39" w:rsidRPr="00821AC3">
        <w:rPr>
          <w:lang w:val="en-US"/>
        </w:rPr>
        <w:t xml:space="preserve">the </w:t>
      </w:r>
      <w:r w:rsidR="00C764DF" w:rsidRPr="00821AC3">
        <w:rPr>
          <w:lang w:val="en-US"/>
        </w:rPr>
        <w:t xml:space="preserve">Al-Tash refugee camp in Iraq in 1992. </w:t>
      </w:r>
      <w:r w:rsidR="00255C39" w:rsidRPr="00821AC3">
        <w:rPr>
          <w:lang w:val="en-US"/>
        </w:rPr>
        <w:t xml:space="preserve">The author resided in the Barika refugee Camp in Northern Iraq with his parents and six siblings from 2003 until July 2013, when he left for Denmark. </w:t>
      </w:r>
      <w:r w:rsidR="00C764DF" w:rsidRPr="00821AC3">
        <w:rPr>
          <w:lang w:val="en-US"/>
        </w:rPr>
        <w:t xml:space="preserve">The author </w:t>
      </w:r>
      <w:r w:rsidR="00B63CD7" w:rsidRPr="00821AC3">
        <w:rPr>
          <w:lang w:val="en-US"/>
        </w:rPr>
        <w:t>has</w:t>
      </w:r>
      <w:r w:rsidR="00C764DF" w:rsidRPr="00821AC3">
        <w:rPr>
          <w:lang w:val="en-US"/>
        </w:rPr>
        <w:t xml:space="preserve"> </w:t>
      </w:r>
      <w:r w:rsidR="00CB1528" w:rsidRPr="00821AC3">
        <w:rPr>
          <w:lang w:val="en-US"/>
        </w:rPr>
        <w:t xml:space="preserve">never </w:t>
      </w:r>
      <w:r w:rsidR="00C764DF" w:rsidRPr="00821AC3">
        <w:rPr>
          <w:lang w:val="en-US"/>
        </w:rPr>
        <w:t xml:space="preserve">lived in </w:t>
      </w:r>
      <w:r w:rsidR="001877EE" w:rsidRPr="00821AC3">
        <w:rPr>
          <w:iCs/>
        </w:rPr>
        <w:t xml:space="preserve">the Islamic Republic of </w:t>
      </w:r>
      <w:r w:rsidR="00C764DF" w:rsidRPr="00821AC3">
        <w:rPr>
          <w:lang w:val="en-US"/>
        </w:rPr>
        <w:t>Iran</w:t>
      </w:r>
      <w:r w:rsidR="00E02AC2" w:rsidRPr="00821AC3">
        <w:rPr>
          <w:lang w:val="en-US"/>
        </w:rPr>
        <w:t xml:space="preserve"> and </w:t>
      </w:r>
      <w:r w:rsidR="00C764DF" w:rsidRPr="00821AC3">
        <w:rPr>
          <w:lang w:val="en-US"/>
        </w:rPr>
        <w:t xml:space="preserve">does not know of any family members living </w:t>
      </w:r>
      <w:r w:rsidR="00E02AC2" w:rsidRPr="00821AC3">
        <w:rPr>
          <w:lang w:val="en-US"/>
        </w:rPr>
        <w:t>there</w:t>
      </w:r>
      <w:r w:rsidR="00C764DF" w:rsidRPr="00821AC3">
        <w:rPr>
          <w:lang w:val="en-US"/>
        </w:rPr>
        <w:t>.</w:t>
      </w:r>
      <w:r w:rsidR="00B315D4" w:rsidRPr="00821AC3">
        <w:rPr>
          <w:lang w:val="en-US"/>
        </w:rPr>
        <w:t xml:space="preserve"> The author and his family were granted refugee status </w:t>
      </w:r>
      <w:r w:rsidR="00255C39" w:rsidRPr="00821AC3">
        <w:rPr>
          <w:lang w:val="en-US"/>
        </w:rPr>
        <w:t xml:space="preserve">in Iraq </w:t>
      </w:r>
      <w:r w:rsidR="00B315D4" w:rsidRPr="00821AC3">
        <w:rPr>
          <w:lang w:val="en-US"/>
        </w:rPr>
        <w:t xml:space="preserve">by </w:t>
      </w:r>
      <w:r w:rsidR="00255C39" w:rsidRPr="00821AC3">
        <w:rPr>
          <w:lang w:val="en-US"/>
        </w:rPr>
        <w:t>the Office of the United Nations High Commissioner for Refugees (</w:t>
      </w:r>
      <w:r w:rsidR="00B315D4" w:rsidRPr="00821AC3">
        <w:rPr>
          <w:lang w:val="en-US"/>
        </w:rPr>
        <w:t>UNHCR</w:t>
      </w:r>
      <w:r w:rsidR="00255C39" w:rsidRPr="00821AC3">
        <w:rPr>
          <w:lang w:val="en-US"/>
        </w:rPr>
        <w:t>)</w:t>
      </w:r>
      <w:r w:rsidR="00B315D4" w:rsidRPr="00821AC3">
        <w:rPr>
          <w:lang w:val="en-US"/>
        </w:rPr>
        <w:t>.</w:t>
      </w:r>
      <w:r w:rsidR="00B315D4" w:rsidRPr="00821AC3">
        <w:rPr>
          <w:vertAlign w:val="superscript"/>
          <w:lang w:val="en-US"/>
        </w:rPr>
        <w:footnoteReference w:id="5"/>
      </w:r>
      <w:r w:rsidR="00B315D4" w:rsidRPr="00821AC3">
        <w:rPr>
          <w:lang w:val="en-US"/>
        </w:rPr>
        <w:t xml:space="preserve"> The author claims that he gave up his refugee status and cannot return to Iraq.</w:t>
      </w:r>
      <w:r w:rsidR="00B315D4" w:rsidRPr="00821AC3">
        <w:rPr>
          <w:vertAlign w:val="superscript"/>
          <w:lang w:val="en-US"/>
        </w:rPr>
        <w:footnoteReference w:id="6"/>
      </w:r>
      <w:r w:rsidR="00B315D4" w:rsidRPr="00821AC3">
        <w:rPr>
          <w:lang w:val="en-US"/>
        </w:rPr>
        <w:t xml:space="preserve"> </w:t>
      </w:r>
    </w:p>
    <w:p w14:paraId="6BD2D14E" w14:textId="77777777" w:rsidR="00C764DF" w:rsidRPr="00821AC3" w:rsidRDefault="0043040F">
      <w:pPr>
        <w:pStyle w:val="SingleTxtG"/>
        <w:rPr>
          <w:lang w:val="en-US"/>
        </w:rPr>
      </w:pPr>
      <w:r w:rsidRPr="00821AC3">
        <w:rPr>
          <w:lang w:val="en-US"/>
        </w:rPr>
        <w:t>2.2</w:t>
      </w:r>
      <w:r w:rsidR="00200A85" w:rsidRPr="00821AC3">
        <w:rPr>
          <w:lang w:val="en-US"/>
        </w:rPr>
        <w:tab/>
      </w:r>
      <w:r w:rsidR="00B315D4" w:rsidRPr="00821AC3">
        <w:rPr>
          <w:lang w:val="en-US"/>
        </w:rPr>
        <w:t xml:space="preserve">The author arrived </w:t>
      </w:r>
      <w:r w:rsidR="006515AF" w:rsidRPr="00821AC3">
        <w:rPr>
          <w:lang w:val="en-US"/>
        </w:rPr>
        <w:t xml:space="preserve">in </w:t>
      </w:r>
      <w:r w:rsidR="00B315D4" w:rsidRPr="00821AC3">
        <w:rPr>
          <w:lang w:val="en-US"/>
        </w:rPr>
        <w:t xml:space="preserve">Denmark on 28 July 2013 and applied for asylum on 31 July 2013. On 23 August 2013, he was interviewed by the Danish </w:t>
      </w:r>
      <w:r w:rsidR="00500F7E" w:rsidRPr="00821AC3">
        <w:rPr>
          <w:lang w:val="en-US"/>
        </w:rPr>
        <w:t>i</w:t>
      </w:r>
      <w:r w:rsidR="00B315D4" w:rsidRPr="00821AC3">
        <w:rPr>
          <w:lang w:val="en-US"/>
        </w:rPr>
        <w:t xml:space="preserve">mmigration </w:t>
      </w:r>
      <w:r w:rsidR="00500F7E" w:rsidRPr="00821AC3">
        <w:rPr>
          <w:lang w:val="en-US"/>
        </w:rPr>
        <w:t>s</w:t>
      </w:r>
      <w:r w:rsidR="00B315D4" w:rsidRPr="00821AC3">
        <w:rPr>
          <w:lang w:val="en-US"/>
        </w:rPr>
        <w:t xml:space="preserve">ervice about his identity, travel route and grounds for seeking asylum. </w:t>
      </w:r>
      <w:r w:rsidR="00067476" w:rsidRPr="00821AC3">
        <w:rPr>
          <w:lang w:val="en-US"/>
        </w:rPr>
        <w:t>T</w:t>
      </w:r>
      <w:r w:rsidR="00B315D4" w:rsidRPr="00821AC3">
        <w:rPr>
          <w:lang w:val="en-US"/>
        </w:rPr>
        <w:t xml:space="preserve">he author stated that the refugees in </w:t>
      </w:r>
      <w:r w:rsidR="0094332E" w:rsidRPr="00821AC3">
        <w:rPr>
          <w:lang w:val="en-US"/>
        </w:rPr>
        <w:t xml:space="preserve">the </w:t>
      </w:r>
      <w:r w:rsidR="00B315D4" w:rsidRPr="00821AC3">
        <w:rPr>
          <w:lang w:val="en-US"/>
        </w:rPr>
        <w:t xml:space="preserve">Barika camp </w:t>
      </w:r>
      <w:r w:rsidR="0094332E" w:rsidRPr="00821AC3">
        <w:rPr>
          <w:lang w:val="en-US"/>
        </w:rPr>
        <w:t xml:space="preserve">were </w:t>
      </w:r>
      <w:r w:rsidR="00B315D4" w:rsidRPr="00821AC3">
        <w:rPr>
          <w:lang w:val="en-US"/>
        </w:rPr>
        <w:t>considered by the Iranian authorities to belong to political opposition and that</w:t>
      </w:r>
      <w:r w:rsidR="0094332E" w:rsidRPr="00821AC3">
        <w:rPr>
          <w:lang w:val="en-US"/>
        </w:rPr>
        <w:t>,</w:t>
      </w:r>
      <w:r w:rsidR="00B315D4" w:rsidRPr="00821AC3">
        <w:rPr>
          <w:lang w:val="en-US"/>
        </w:rPr>
        <w:t xml:space="preserve"> in general</w:t>
      </w:r>
      <w:r w:rsidR="0036583C" w:rsidRPr="00821AC3">
        <w:rPr>
          <w:lang w:val="en-US"/>
        </w:rPr>
        <w:t>,</w:t>
      </w:r>
      <w:r w:rsidR="00B315D4" w:rsidRPr="00821AC3">
        <w:rPr>
          <w:lang w:val="en-US"/>
        </w:rPr>
        <w:t xml:space="preserve"> Iranians who fled to Iraq </w:t>
      </w:r>
      <w:r w:rsidR="0094332E" w:rsidRPr="00821AC3">
        <w:rPr>
          <w:lang w:val="en-US"/>
        </w:rPr>
        <w:t xml:space="preserve">had </w:t>
      </w:r>
      <w:r w:rsidR="00B315D4" w:rsidRPr="00821AC3">
        <w:rPr>
          <w:lang w:val="en-US"/>
        </w:rPr>
        <w:t>been labeled as political refugees</w:t>
      </w:r>
      <w:r w:rsidR="00067476" w:rsidRPr="00821AC3">
        <w:rPr>
          <w:lang w:val="en-US"/>
        </w:rPr>
        <w:t>,</w:t>
      </w:r>
      <w:r w:rsidR="00B315D4" w:rsidRPr="00821AC3">
        <w:rPr>
          <w:lang w:val="en-US"/>
        </w:rPr>
        <w:t xml:space="preserve"> even if they did not have a political affiliation.</w:t>
      </w:r>
      <w:r w:rsidR="00F57A6D" w:rsidRPr="00821AC3">
        <w:rPr>
          <w:lang w:val="en-US"/>
        </w:rPr>
        <w:t xml:space="preserve"> </w:t>
      </w:r>
      <w:r w:rsidR="00B315D4" w:rsidRPr="00821AC3">
        <w:rPr>
          <w:lang w:val="en-US"/>
        </w:rPr>
        <w:t xml:space="preserve">He also informed </w:t>
      </w:r>
      <w:r w:rsidR="0094332E" w:rsidRPr="00821AC3">
        <w:rPr>
          <w:lang w:val="en-US"/>
        </w:rPr>
        <w:t xml:space="preserve">the authorities </w:t>
      </w:r>
      <w:r w:rsidR="00B315D4" w:rsidRPr="00821AC3">
        <w:rPr>
          <w:lang w:val="en-US"/>
        </w:rPr>
        <w:t>that</w:t>
      </w:r>
      <w:r w:rsidR="00067476" w:rsidRPr="00821AC3">
        <w:rPr>
          <w:lang w:val="en-US"/>
        </w:rPr>
        <w:t>, as member of the Democratic Party of Iranian Kurdistan,</w:t>
      </w:r>
      <w:r w:rsidR="00B315D4" w:rsidRPr="00821AC3">
        <w:rPr>
          <w:lang w:val="en-US"/>
        </w:rPr>
        <w:t xml:space="preserve"> his father has been politically active</w:t>
      </w:r>
      <w:r w:rsidR="00067476" w:rsidRPr="00821AC3">
        <w:rPr>
          <w:lang w:val="en-US"/>
        </w:rPr>
        <w:t>.</w:t>
      </w:r>
      <w:r w:rsidR="00B315D4" w:rsidRPr="00821AC3">
        <w:rPr>
          <w:lang w:val="en-US"/>
        </w:rPr>
        <w:t xml:space="preserve"> The author himself </w:t>
      </w:r>
      <w:r w:rsidR="0094332E" w:rsidRPr="00821AC3">
        <w:rPr>
          <w:lang w:val="en-US"/>
        </w:rPr>
        <w:t xml:space="preserve">had </w:t>
      </w:r>
      <w:r w:rsidR="00B315D4" w:rsidRPr="00821AC3">
        <w:rPr>
          <w:lang w:val="en-US"/>
        </w:rPr>
        <w:t xml:space="preserve">attended </w:t>
      </w:r>
      <w:r w:rsidR="0094332E" w:rsidRPr="00821AC3">
        <w:rPr>
          <w:lang w:val="en-US"/>
        </w:rPr>
        <w:t xml:space="preserve">Party </w:t>
      </w:r>
      <w:r w:rsidR="00B315D4" w:rsidRPr="00821AC3">
        <w:rPr>
          <w:lang w:val="en-US"/>
        </w:rPr>
        <w:t xml:space="preserve">cultural celebrations </w:t>
      </w:r>
      <w:r w:rsidR="0094332E" w:rsidRPr="00821AC3">
        <w:rPr>
          <w:lang w:val="en-US"/>
        </w:rPr>
        <w:t xml:space="preserve">and </w:t>
      </w:r>
      <w:r w:rsidR="00B315D4" w:rsidRPr="00821AC3">
        <w:rPr>
          <w:lang w:val="en-US"/>
        </w:rPr>
        <w:t>cultural activities organized by the party Komala</w:t>
      </w:r>
      <w:r w:rsidR="00154691" w:rsidRPr="00821AC3">
        <w:rPr>
          <w:lang w:val="en-US"/>
        </w:rPr>
        <w:t>,</w:t>
      </w:r>
      <w:r w:rsidR="00067476" w:rsidRPr="00821AC3">
        <w:rPr>
          <w:lang w:val="en-US"/>
        </w:rPr>
        <w:t xml:space="preserve"> and</w:t>
      </w:r>
      <w:r w:rsidR="00B315D4" w:rsidRPr="00821AC3">
        <w:rPr>
          <w:lang w:val="en-US"/>
        </w:rPr>
        <w:t xml:space="preserve"> </w:t>
      </w:r>
      <w:r w:rsidR="0094332E" w:rsidRPr="00821AC3">
        <w:rPr>
          <w:lang w:val="en-US"/>
        </w:rPr>
        <w:t xml:space="preserve">was </w:t>
      </w:r>
      <w:r w:rsidR="00067476" w:rsidRPr="00821AC3">
        <w:rPr>
          <w:lang w:val="en-US"/>
        </w:rPr>
        <w:t>a</w:t>
      </w:r>
      <w:r w:rsidR="00B315D4" w:rsidRPr="00821AC3">
        <w:rPr>
          <w:lang w:val="en-US"/>
        </w:rPr>
        <w:t xml:space="preserve"> member of the Kurdistan Freedom Party</w:t>
      </w:r>
      <w:r w:rsidR="00067476" w:rsidRPr="00821AC3">
        <w:rPr>
          <w:lang w:val="en-US"/>
        </w:rPr>
        <w:t>.</w:t>
      </w:r>
      <w:r w:rsidR="00067476" w:rsidRPr="00821AC3">
        <w:rPr>
          <w:rStyle w:val="FootnoteReference"/>
          <w:lang w:val="en-US"/>
        </w:rPr>
        <w:footnoteReference w:id="7"/>
      </w:r>
      <w:r w:rsidR="00067476" w:rsidRPr="00821AC3">
        <w:rPr>
          <w:lang w:val="en-US"/>
        </w:rPr>
        <w:t xml:space="preserve"> He specified that he </w:t>
      </w:r>
      <w:r w:rsidR="0094332E" w:rsidRPr="00821AC3">
        <w:rPr>
          <w:lang w:val="en-US"/>
        </w:rPr>
        <w:t xml:space="preserve">had </w:t>
      </w:r>
      <w:r w:rsidR="00067476" w:rsidRPr="00821AC3">
        <w:rPr>
          <w:lang w:val="en-US"/>
        </w:rPr>
        <w:t xml:space="preserve">initially </w:t>
      </w:r>
      <w:r w:rsidR="0094332E" w:rsidRPr="00821AC3">
        <w:rPr>
          <w:lang w:val="en-US"/>
        </w:rPr>
        <w:t xml:space="preserve">become a member of </w:t>
      </w:r>
      <w:r w:rsidR="00067476" w:rsidRPr="00821AC3">
        <w:rPr>
          <w:lang w:val="en-US"/>
        </w:rPr>
        <w:t>the party</w:t>
      </w:r>
      <w:r w:rsidR="00B315D4" w:rsidRPr="00821AC3">
        <w:rPr>
          <w:lang w:val="en-US"/>
        </w:rPr>
        <w:t xml:space="preserve"> </w:t>
      </w:r>
      <w:r w:rsidR="00067476" w:rsidRPr="00821AC3">
        <w:rPr>
          <w:lang w:val="en-US"/>
        </w:rPr>
        <w:t>as an</w:t>
      </w:r>
      <w:r w:rsidR="00B315D4" w:rsidRPr="00821AC3">
        <w:rPr>
          <w:lang w:val="en-US"/>
        </w:rPr>
        <w:t xml:space="preserve"> opportunity to practice sports</w:t>
      </w:r>
      <w:r w:rsidR="00067476" w:rsidRPr="00821AC3">
        <w:rPr>
          <w:lang w:val="en-US"/>
        </w:rPr>
        <w:t>, rather</w:t>
      </w:r>
      <w:r w:rsidR="00B315D4" w:rsidRPr="00821AC3">
        <w:rPr>
          <w:lang w:val="en-US"/>
        </w:rPr>
        <w:t xml:space="preserve"> than on the basis of political convictions</w:t>
      </w:r>
      <w:r w:rsidR="00067476" w:rsidRPr="00821AC3">
        <w:rPr>
          <w:lang w:val="en-US"/>
        </w:rPr>
        <w:t xml:space="preserve">, but </w:t>
      </w:r>
      <w:r w:rsidR="00B315D4" w:rsidRPr="00821AC3">
        <w:rPr>
          <w:lang w:val="en-US"/>
        </w:rPr>
        <w:t xml:space="preserve">that he </w:t>
      </w:r>
      <w:r w:rsidR="0094332E" w:rsidRPr="00821AC3">
        <w:rPr>
          <w:lang w:val="en-US"/>
        </w:rPr>
        <w:t xml:space="preserve">had </w:t>
      </w:r>
      <w:r w:rsidR="00B315D4" w:rsidRPr="00821AC3">
        <w:rPr>
          <w:lang w:val="en-US"/>
        </w:rPr>
        <w:t>participated in the party’s conferences. He</w:t>
      </w:r>
      <w:r w:rsidR="00067476" w:rsidRPr="00821AC3">
        <w:rPr>
          <w:lang w:val="en-US"/>
        </w:rPr>
        <w:t xml:space="preserve"> further</w:t>
      </w:r>
      <w:r w:rsidR="00B315D4" w:rsidRPr="00821AC3">
        <w:rPr>
          <w:lang w:val="en-US"/>
        </w:rPr>
        <w:t xml:space="preserve"> explained that he </w:t>
      </w:r>
      <w:r w:rsidR="00067476" w:rsidRPr="00821AC3">
        <w:rPr>
          <w:lang w:val="en-US"/>
        </w:rPr>
        <w:t xml:space="preserve">had become </w:t>
      </w:r>
      <w:r w:rsidR="00B315D4" w:rsidRPr="00821AC3">
        <w:rPr>
          <w:lang w:val="en-US"/>
        </w:rPr>
        <w:t xml:space="preserve">member of the </w:t>
      </w:r>
      <w:r w:rsidR="0094332E" w:rsidRPr="00821AC3">
        <w:rPr>
          <w:lang w:val="en-US"/>
        </w:rPr>
        <w:t>P</w:t>
      </w:r>
      <w:r w:rsidR="00B315D4" w:rsidRPr="00821AC3">
        <w:rPr>
          <w:lang w:val="en-US"/>
        </w:rPr>
        <w:t xml:space="preserve">arty three or four months before his departure from Iraq, but that he had been a supporter of the </w:t>
      </w:r>
      <w:r w:rsidR="0094332E" w:rsidRPr="00821AC3">
        <w:rPr>
          <w:lang w:val="en-US"/>
        </w:rPr>
        <w:t>P</w:t>
      </w:r>
      <w:r w:rsidR="00B315D4" w:rsidRPr="00821AC3">
        <w:rPr>
          <w:lang w:val="en-US"/>
        </w:rPr>
        <w:t xml:space="preserve">arty </w:t>
      </w:r>
      <w:r w:rsidR="00067476" w:rsidRPr="00821AC3">
        <w:rPr>
          <w:lang w:val="en-US"/>
        </w:rPr>
        <w:t xml:space="preserve">for </w:t>
      </w:r>
      <w:r w:rsidR="00B315D4" w:rsidRPr="00821AC3">
        <w:rPr>
          <w:lang w:val="en-US"/>
        </w:rPr>
        <w:t>about one year before</w:t>
      </w:r>
      <w:r w:rsidR="00067476" w:rsidRPr="00821AC3">
        <w:rPr>
          <w:lang w:val="en-US"/>
        </w:rPr>
        <w:t>hand</w:t>
      </w:r>
      <w:r w:rsidR="00B315D4" w:rsidRPr="00821AC3">
        <w:rPr>
          <w:lang w:val="en-US"/>
        </w:rPr>
        <w:t>. He explained that he fear</w:t>
      </w:r>
      <w:r w:rsidR="0094332E" w:rsidRPr="00821AC3">
        <w:rPr>
          <w:lang w:val="en-US"/>
        </w:rPr>
        <w:t>ed</w:t>
      </w:r>
      <w:r w:rsidR="00B315D4" w:rsidRPr="00821AC3">
        <w:rPr>
          <w:lang w:val="en-US"/>
        </w:rPr>
        <w:t xml:space="preserve"> </w:t>
      </w:r>
      <w:r w:rsidR="00027624" w:rsidRPr="00821AC3">
        <w:rPr>
          <w:lang w:val="en-US"/>
        </w:rPr>
        <w:t xml:space="preserve">expulsion </w:t>
      </w:r>
      <w:r w:rsidR="00B315D4" w:rsidRPr="00821AC3">
        <w:rPr>
          <w:lang w:val="en-US"/>
        </w:rPr>
        <w:t xml:space="preserve">to </w:t>
      </w:r>
      <w:r w:rsidR="001877EE" w:rsidRPr="00821AC3">
        <w:rPr>
          <w:iCs/>
        </w:rPr>
        <w:t xml:space="preserve">the Islamic Republic of </w:t>
      </w:r>
      <w:r w:rsidR="00B315D4" w:rsidRPr="00821AC3">
        <w:rPr>
          <w:lang w:val="en-US"/>
        </w:rPr>
        <w:t xml:space="preserve">Iran because he </w:t>
      </w:r>
      <w:r w:rsidR="00027E4D" w:rsidRPr="00821AC3">
        <w:rPr>
          <w:lang w:val="en-US"/>
        </w:rPr>
        <w:t xml:space="preserve">would face </w:t>
      </w:r>
      <w:r w:rsidR="00B315D4" w:rsidRPr="00821AC3">
        <w:rPr>
          <w:lang w:val="en-US"/>
        </w:rPr>
        <w:t xml:space="preserve">execution by authorities </w:t>
      </w:r>
      <w:r w:rsidR="0094332E" w:rsidRPr="00821AC3">
        <w:rPr>
          <w:lang w:val="en-US"/>
        </w:rPr>
        <w:t xml:space="preserve">owing </w:t>
      </w:r>
      <w:r w:rsidR="00B315D4" w:rsidRPr="00821AC3">
        <w:rPr>
          <w:lang w:val="en-US"/>
        </w:rPr>
        <w:t xml:space="preserve">to his </w:t>
      </w:r>
      <w:r w:rsidR="00731983" w:rsidRPr="00821AC3">
        <w:rPr>
          <w:lang w:val="en-US"/>
        </w:rPr>
        <w:t xml:space="preserve">previous </w:t>
      </w:r>
      <w:r w:rsidR="00B315D4" w:rsidRPr="00821AC3">
        <w:rPr>
          <w:lang w:val="en-US"/>
        </w:rPr>
        <w:t xml:space="preserve">status as political refugee and his membership to </w:t>
      </w:r>
      <w:r w:rsidR="0094332E" w:rsidRPr="00821AC3">
        <w:rPr>
          <w:lang w:val="en-US"/>
        </w:rPr>
        <w:t>the Kurdistan Freedom Party</w:t>
      </w:r>
      <w:r w:rsidR="00B315D4" w:rsidRPr="00821AC3">
        <w:rPr>
          <w:lang w:val="en-US"/>
        </w:rPr>
        <w:t xml:space="preserve">. The author also indicated that he </w:t>
      </w:r>
      <w:r w:rsidR="0094332E" w:rsidRPr="00821AC3">
        <w:rPr>
          <w:lang w:val="en-US"/>
        </w:rPr>
        <w:t xml:space="preserve">had </w:t>
      </w:r>
      <w:r w:rsidR="00B315D4" w:rsidRPr="00821AC3">
        <w:rPr>
          <w:lang w:val="en-US"/>
        </w:rPr>
        <w:t xml:space="preserve">left Iraq because he did not have any rights as a refugee </w:t>
      </w:r>
      <w:r w:rsidR="00027E4D" w:rsidRPr="00821AC3">
        <w:rPr>
          <w:lang w:val="en-US"/>
        </w:rPr>
        <w:t>there</w:t>
      </w:r>
      <w:r w:rsidR="0094332E" w:rsidRPr="00821AC3">
        <w:rPr>
          <w:lang w:val="en-US"/>
        </w:rPr>
        <w:t>,</w:t>
      </w:r>
      <w:r w:rsidR="00465BB9" w:rsidRPr="00821AC3">
        <w:rPr>
          <w:lang w:val="en-US"/>
        </w:rPr>
        <w:t xml:space="preserve"> </w:t>
      </w:r>
      <w:r w:rsidR="0094332E" w:rsidRPr="00821AC3">
        <w:rPr>
          <w:lang w:val="en-US"/>
        </w:rPr>
        <w:t xml:space="preserve">that </w:t>
      </w:r>
      <w:r w:rsidR="00465BB9" w:rsidRPr="00821AC3">
        <w:rPr>
          <w:lang w:val="en-US"/>
        </w:rPr>
        <w:t>he was discriminated against for being a Kurd</w:t>
      </w:r>
      <w:r w:rsidR="009A0DB5" w:rsidRPr="00821AC3">
        <w:rPr>
          <w:lang w:val="en-US"/>
        </w:rPr>
        <w:t xml:space="preserve"> and that</w:t>
      </w:r>
      <w:r w:rsidR="00465BB9" w:rsidRPr="00821AC3">
        <w:rPr>
          <w:lang w:val="en-US"/>
        </w:rPr>
        <w:t xml:space="preserve"> he </w:t>
      </w:r>
      <w:r w:rsidR="00731983" w:rsidRPr="00821AC3">
        <w:rPr>
          <w:lang w:val="en-US"/>
        </w:rPr>
        <w:t xml:space="preserve">did not </w:t>
      </w:r>
      <w:r w:rsidR="00465BB9" w:rsidRPr="00821AC3">
        <w:rPr>
          <w:lang w:val="en-US"/>
        </w:rPr>
        <w:t xml:space="preserve">even </w:t>
      </w:r>
      <w:r w:rsidR="00027E4D" w:rsidRPr="00821AC3">
        <w:rPr>
          <w:lang w:val="en-US"/>
        </w:rPr>
        <w:t xml:space="preserve">have </w:t>
      </w:r>
      <w:r w:rsidR="00731983" w:rsidRPr="00821AC3">
        <w:rPr>
          <w:lang w:val="en-US"/>
        </w:rPr>
        <w:t xml:space="preserve">an </w:t>
      </w:r>
      <w:r w:rsidR="0094332E" w:rsidRPr="00821AC3">
        <w:rPr>
          <w:lang w:val="en-US"/>
        </w:rPr>
        <w:t>i</w:t>
      </w:r>
      <w:r w:rsidR="00F14BF0" w:rsidRPr="00821AC3">
        <w:rPr>
          <w:lang w:val="en-US"/>
        </w:rPr>
        <w:t xml:space="preserve">dentity </w:t>
      </w:r>
      <w:r w:rsidR="0094332E" w:rsidRPr="00821AC3">
        <w:rPr>
          <w:lang w:val="en-US"/>
        </w:rPr>
        <w:t>d</w:t>
      </w:r>
      <w:r w:rsidR="00F14BF0" w:rsidRPr="00821AC3">
        <w:rPr>
          <w:lang w:val="en-US"/>
        </w:rPr>
        <w:t>ocument</w:t>
      </w:r>
      <w:r w:rsidR="00027E4D" w:rsidRPr="00821AC3">
        <w:rPr>
          <w:lang w:val="en-US"/>
        </w:rPr>
        <w:t xml:space="preserve">, </w:t>
      </w:r>
      <w:r w:rsidR="0094332E" w:rsidRPr="00821AC3">
        <w:rPr>
          <w:lang w:val="en-US"/>
        </w:rPr>
        <w:t xml:space="preserve">a </w:t>
      </w:r>
      <w:r w:rsidR="00027E4D" w:rsidRPr="00821AC3">
        <w:rPr>
          <w:lang w:val="en-US"/>
        </w:rPr>
        <w:t>situation</w:t>
      </w:r>
      <w:r w:rsidR="00D24D12" w:rsidRPr="00821AC3">
        <w:rPr>
          <w:lang w:val="en-US"/>
        </w:rPr>
        <w:t xml:space="preserve"> </w:t>
      </w:r>
      <w:r w:rsidR="0094332E" w:rsidRPr="00821AC3">
        <w:rPr>
          <w:lang w:val="en-US"/>
        </w:rPr>
        <w:t xml:space="preserve">that </w:t>
      </w:r>
      <w:r w:rsidR="00465BB9" w:rsidRPr="00821AC3">
        <w:rPr>
          <w:lang w:val="en-US"/>
        </w:rPr>
        <w:t xml:space="preserve">affected his </w:t>
      </w:r>
      <w:r w:rsidR="00027E4D" w:rsidRPr="00821AC3">
        <w:rPr>
          <w:lang w:val="en-US"/>
        </w:rPr>
        <w:t xml:space="preserve">daily </w:t>
      </w:r>
      <w:r w:rsidR="00465BB9" w:rsidRPr="00821AC3">
        <w:rPr>
          <w:lang w:val="en-US"/>
        </w:rPr>
        <w:t xml:space="preserve">life, including </w:t>
      </w:r>
      <w:r w:rsidR="0094332E" w:rsidRPr="00821AC3">
        <w:rPr>
          <w:lang w:val="en-US"/>
        </w:rPr>
        <w:t xml:space="preserve">his </w:t>
      </w:r>
      <w:r w:rsidR="00465BB9" w:rsidRPr="00821AC3">
        <w:rPr>
          <w:lang w:val="en-US"/>
        </w:rPr>
        <w:t xml:space="preserve">access to employment and </w:t>
      </w:r>
      <w:r w:rsidR="00027E4D" w:rsidRPr="00821AC3">
        <w:rPr>
          <w:lang w:val="en-US"/>
        </w:rPr>
        <w:t xml:space="preserve">the exercise of his </w:t>
      </w:r>
      <w:r w:rsidR="00465BB9" w:rsidRPr="00821AC3">
        <w:rPr>
          <w:lang w:val="en-US"/>
        </w:rPr>
        <w:t xml:space="preserve">political rights. </w:t>
      </w:r>
      <w:r w:rsidR="00C5784F" w:rsidRPr="00821AC3">
        <w:rPr>
          <w:lang w:val="en-US"/>
        </w:rPr>
        <w:t>The author provided</w:t>
      </w:r>
      <w:r w:rsidR="009323F1" w:rsidRPr="00821AC3">
        <w:rPr>
          <w:lang w:val="en-US"/>
        </w:rPr>
        <w:t xml:space="preserve"> </w:t>
      </w:r>
      <w:r w:rsidR="007A1E02" w:rsidRPr="00821AC3">
        <w:rPr>
          <w:lang w:val="en-US"/>
        </w:rPr>
        <w:t xml:space="preserve">the </w:t>
      </w:r>
      <w:r w:rsidR="00C5784F" w:rsidRPr="00821AC3">
        <w:rPr>
          <w:lang w:val="en-US"/>
        </w:rPr>
        <w:t xml:space="preserve">Danish authorities with a UNHCR </w:t>
      </w:r>
      <w:r w:rsidR="0094332E" w:rsidRPr="00821AC3">
        <w:rPr>
          <w:lang w:val="en-US"/>
        </w:rPr>
        <w:t>r</w:t>
      </w:r>
      <w:r w:rsidR="00C5784F" w:rsidRPr="00821AC3">
        <w:rPr>
          <w:lang w:val="en-US"/>
        </w:rPr>
        <w:t xml:space="preserve">efugee </w:t>
      </w:r>
      <w:r w:rsidR="0094332E" w:rsidRPr="00821AC3">
        <w:rPr>
          <w:lang w:val="en-US"/>
        </w:rPr>
        <w:t>c</w:t>
      </w:r>
      <w:r w:rsidR="00C5784F" w:rsidRPr="00821AC3">
        <w:rPr>
          <w:lang w:val="en-US"/>
        </w:rPr>
        <w:t xml:space="preserve">ertificate issued in November 2011. He also informed </w:t>
      </w:r>
      <w:r w:rsidR="0094332E" w:rsidRPr="00821AC3">
        <w:rPr>
          <w:lang w:val="en-US"/>
        </w:rPr>
        <w:t xml:space="preserve">the authorities </w:t>
      </w:r>
      <w:r w:rsidR="00C5784F" w:rsidRPr="00821AC3">
        <w:rPr>
          <w:lang w:val="en-US"/>
        </w:rPr>
        <w:t xml:space="preserve">that his brother </w:t>
      </w:r>
      <w:r w:rsidR="0094332E" w:rsidRPr="00821AC3">
        <w:rPr>
          <w:lang w:val="en-US"/>
        </w:rPr>
        <w:t xml:space="preserve">had been </w:t>
      </w:r>
      <w:r w:rsidR="00C5784F" w:rsidRPr="00821AC3">
        <w:rPr>
          <w:lang w:val="en-US"/>
        </w:rPr>
        <w:t>a refugee in Denmark</w:t>
      </w:r>
      <w:r w:rsidR="0094332E" w:rsidRPr="00821AC3">
        <w:rPr>
          <w:lang w:val="en-US"/>
        </w:rPr>
        <w:t>,</w:t>
      </w:r>
      <w:r w:rsidR="00C5784F" w:rsidRPr="00821AC3">
        <w:rPr>
          <w:lang w:val="en-US"/>
        </w:rPr>
        <w:t xml:space="preserve"> </w:t>
      </w:r>
      <w:r w:rsidR="0094332E" w:rsidRPr="00821AC3">
        <w:rPr>
          <w:lang w:val="en-US"/>
        </w:rPr>
        <w:t xml:space="preserve">his </w:t>
      </w:r>
      <w:r w:rsidR="00C5784F" w:rsidRPr="00821AC3">
        <w:rPr>
          <w:lang w:val="en-US"/>
        </w:rPr>
        <w:t xml:space="preserve">asylum </w:t>
      </w:r>
      <w:r w:rsidR="0094332E" w:rsidRPr="00821AC3">
        <w:rPr>
          <w:lang w:val="en-US"/>
        </w:rPr>
        <w:t xml:space="preserve">having been </w:t>
      </w:r>
      <w:r w:rsidR="00C5784F" w:rsidRPr="00821AC3">
        <w:rPr>
          <w:lang w:val="en-US"/>
        </w:rPr>
        <w:t>granted on 27 August 2010.</w:t>
      </w:r>
    </w:p>
    <w:p w14:paraId="11B49693" w14:textId="77777777" w:rsidR="00C764DF" w:rsidRPr="00821AC3" w:rsidRDefault="00154691">
      <w:pPr>
        <w:pStyle w:val="SingleTxtG"/>
        <w:rPr>
          <w:lang w:val="en-US"/>
        </w:rPr>
      </w:pPr>
      <w:r w:rsidRPr="00821AC3">
        <w:rPr>
          <w:lang w:val="en-US"/>
        </w:rPr>
        <w:t>2.3</w:t>
      </w:r>
      <w:r w:rsidR="00200A85" w:rsidRPr="00821AC3">
        <w:rPr>
          <w:lang w:val="en-US"/>
        </w:rPr>
        <w:tab/>
      </w:r>
      <w:r w:rsidR="00027624" w:rsidRPr="00821AC3">
        <w:rPr>
          <w:lang w:val="en-US"/>
        </w:rPr>
        <w:t xml:space="preserve">On 31 October 2013, the </w:t>
      </w:r>
      <w:r w:rsidR="00500F7E" w:rsidRPr="00821AC3">
        <w:rPr>
          <w:lang w:val="en-US"/>
        </w:rPr>
        <w:t>Danish immigration service</w:t>
      </w:r>
      <w:r w:rsidR="009323F1" w:rsidRPr="00821AC3">
        <w:rPr>
          <w:lang w:val="en-US"/>
        </w:rPr>
        <w:t xml:space="preserve"> </w:t>
      </w:r>
      <w:r w:rsidR="00027E4D" w:rsidRPr="00821AC3">
        <w:t>rejected the author’s application for asylum</w:t>
      </w:r>
      <w:r w:rsidR="0094332E" w:rsidRPr="00821AC3">
        <w:t>,</w:t>
      </w:r>
      <w:r w:rsidR="00027624" w:rsidRPr="00821AC3">
        <w:rPr>
          <w:lang w:val="en-US"/>
        </w:rPr>
        <w:t xml:space="preserve"> having considered </w:t>
      </w:r>
      <w:r w:rsidR="0035381D" w:rsidRPr="00821AC3">
        <w:rPr>
          <w:lang w:val="en-US"/>
        </w:rPr>
        <w:t xml:space="preserve">that his </w:t>
      </w:r>
      <w:r w:rsidR="00027624" w:rsidRPr="00821AC3">
        <w:rPr>
          <w:lang w:val="en-US"/>
        </w:rPr>
        <w:t>political activities</w:t>
      </w:r>
      <w:r w:rsidR="0035381D" w:rsidRPr="00821AC3">
        <w:rPr>
          <w:lang w:val="en-US"/>
        </w:rPr>
        <w:t xml:space="preserve"> were too limited</w:t>
      </w:r>
      <w:r w:rsidR="00B2676A" w:rsidRPr="00821AC3">
        <w:rPr>
          <w:lang w:val="en-US"/>
        </w:rPr>
        <w:t xml:space="preserve">. The </w:t>
      </w:r>
      <w:r w:rsidR="00500F7E" w:rsidRPr="00821AC3">
        <w:rPr>
          <w:lang w:val="en-US"/>
        </w:rPr>
        <w:t>Danish immigration service</w:t>
      </w:r>
      <w:r w:rsidR="004655EC" w:rsidRPr="00821AC3">
        <w:rPr>
          <w:lang w:val="en-US"/>
        </w:rPr>
        <w:t xml:space="preserve"> </w:t>
      </w:r>
      <w:r w:rsidR="00B2676A" w:rsidRPr="00821AC3">
        <w:rPr>
          <w:lang w:val="en-US"/>
        </w:rPr>
        <w:t>also considered</w:t>
      </w:r>
      <w:r w:rsidR="0035381D" w:rsidRPr="00821AC3">
        <w:rPr>
          <w:lang w:val="en-US"/>
        </w:rPr>
        <w:t xml:space="preserve"> that</w:t>
      </w:r>
      <w:r w:rsidR="00027624" w:rsidRPr="00821AC3">
        <w:rPr>
          <w:lang w:val="en-US"/>
        </w:rPr>
        <w:t xml:space="preserve"> </w:t>
      </w:r>
      <w:r w:rsidR="00B2676A" w:rsidRPr="00821AC3">
        <w:rPr>
          <w:lang w:val="en-US"/>
        </w:rPr>
        <w:t xml:space="preserve">the author’s </w:t>
      </w:r>
      <w:r w:rsidR="00027624" w:rsidRPr="00821AC3">
        <w:rPr>
          <w:lang w:val="en-US"/>
        </w:rPr>
        <w:t xml:space="preserve">father </w:t>
      </w:r>
      <w:r w:rsidR="0035381D" w:rsidRPr="00821AC3">
        <w:rPr>
          <w:lang w:val="en-US"/>
        </w:rPr>
        <w:t xml:space="preserve">was </w:t>
      </w:r>
      <w:r w:rsidR="0094332E" w:rsidRPr="00821AC3">
        <w:t xml:space="preserve">no longer </w:t>
      </w:r>
      <w:r w:rsidR="00A17F1F" w:rsidRPr="00821AC3">
        <w:rPr>
          <w:lang w:val="en-US"/>
        </w:rPr>
        <w:t>politically</w:t>
      </w:r>
      <w:r w:rsidR="0035381D" w:rsidRPr="00821AC3">
        <w:rPr>
          <w:lang w:val="en-US"/>
        </w:rPr>
        <w:t xml:space="preserve"> active</w:t>
      </w:r>
      <w:r w:rsidR="00B2676A" w:rsidRPr="00821AC3">
        <w:rPr>
          <w:lang w:val="en-US"/>
        </w:rPr>
        <w:t>, and</w:t>
      </w:r>
      <w:r w:rsidR="002A3706" w:rsidRPr="00821AC3">
        <w:rPr>
          <w:lang w:val="en-US"/>
        </w:rPr>
        <w:t xml:space="preserve"> </w:t>
      </w:r>
      <w:r w:rsidR="00695203" w:rsidRPr="00821AC3">
        <w:rPr>
          <w:lang w:val="en-US"/>
        </w:rPr>
        <w:t xml:space="preserve">that he </w:t>
      </w:r>
      <w:r w:rsidR="00B2676A" w:rsidRPr="00821AC3">
        <w:rPr>
          <w:lang w:val="en-US"/>
        </w:rPr>
        <w:t xml:space="preserve">had </w:t>
      </w:r>
      <w:r w:rsidR="00695203" w:rsidRPr="00821AC3">
        <w:rPr>
          <w:lang w:val="en-US"/>
        </w:rPr>
        <w:t xml:space="preserve">started his political activities </w:t>
      </w:r>
      <w:r w:rsidR="000A2FED" w:rsidRPr="00821AC3">
        <w:rPr>
          <w:lang w:val="en-US"/>
        </w:rPr>
        <w:t xml:space="preserve">only </w:t>
      </w:r>
      <w:r w:rsidR="002A3706" w:rsidRPr="00821AC3">
        <w:rPr>
          <w:lang w:val="en-US"/>
        </w:rPr>
        <w:t xml:space="preserve">when he arrived </w:t>
      </w:r>
      <w:r w:rsidR="003B0F08" w:rsidRPr="00821AC3">
        <w:rPr>
          <w:lang w:val="en-US"/>
        </w:rPr>
        <w:t xml:space="preserve">in </w:t>
      </w:r>
      <w:r w:rsidR="002A3706" w:rsidRPr="00821AC3">
        <w:rPr>
          <w:lang w:val="en-US"/>
        </w:rPr>
        <w:t xml:space="preserve">Iraq. </w:t>
      </w:r>
    </w:p>
    <w:p w14:paraId="580134FB" w14:textId="77777777" w:rsidR="00C764DF" w:rsidRPr="00821AC3" w:rsidRDefault="00154691">
      <w:pPr>
        <w:pStyle w:val="SingleTxtG"/>
        <w:rPr>
          <w:lang w:val="en-US"/>
        </w:rPr>
      </w:pPr>
      <w:r w:rsidRPr="00821AC3">
        <w:rPr>
          <w:lang w:val="en-US"/>
        </w:rPr>
        <w:t>2.4</w:t>
      </w:r>
      <w:r w:rsidR="00A17F1F" w:rsidRPr="00821AC3">
        <w:rPr>
          <w:lang w:val="en-US"/>
        </w:rPr>
        <w:tab/>
      </w:r>
      <w:r w:rsidR="00C764DF" w:rsidRPr="00821AC3">
        <w:rPr>
          <w:lang w:val="en-US"/>
        </w:rPr>
        <w:t xml:space="preserve">The author appealed to the Danish </w:t>
      </w:r>
      <w:r w:rsidR="003B0F08" w:rsidRPr="00821AC3">
        <w:rPr>
          <w:lang w:val="en-US"/>
        </w:rPr>
        <w:t>r</w:t>
      </w:r>
      <w:r w:rsidR="00C764DF" w:rsidRPr="00821AC3">
        <w:rPr>
          <w:lang w:val="en-US"/>
        </w:rPr>
        <w:t xml:space="preserve">efugee </w:t>
      </w:r>
      <w:r w:rsidR="003B0F08" w:rsidRPr="00821AC3">
        <w:rPr>
          <w:lang w:val="en-US"/>
        </w:rPr>
        <w:t>a</w:t>
      </w:r>
      <w:r w:rsidR="00C764DF" w:rsidRPr="00821AC3">
        <w:rPr>
          <w:lang w:val="en-US"/>
        </w:rPr>
        <w:t xml:space="preserve">ppeals </w:t>
      </w:r>
      <w:r w:rsidR="003B0F08" w:rsidRPr="00821AC3">
        <w:rPr>
          <w:lang w:val="en-US"/>
        </w:rPr>
        <w:t>b</w:t>
      </w:r>
      <w:r w:rsidR="00C764DF" w:rsidRPr="00821AC3">
        <w:rPr>
          <w:lang w:val="en-US"/>
        </w:rPr>
        <w:t xml:space="preserve">oard. He claimed that Denmark </w:t>
      </w:r>
      <w:r w:rsidR="00F86B6E" w:rsidRPr="00821AC3">
        <w:rPr>
          <w:lang w:val="en-US"/>
        </w:rPr>
        <w:t xml:space="preserve">had previously given </w:t>
      </w:r>
      <w:r w:rsidR="00C764DF" w:rsidRPr="00821AC3">
        <w:rPr>
          <w:lang w:val="en-US"/>
        </w:rPr>
        <w:t>residence permit to people from Al-Tash</w:t>
      </w:r>
      <w:r w:rsidR="00C066C4" w:rsidRPr="00821AC3">
        <w:rPr>
          <w:lang w:val="en-US"/>
        </w:rPr>
        <w:t xml:space="preserve"> refugee camp</w:t>
      </w:r>
      <w:r w:rsidR="00C764DF" w:rsidRPr="00821AC3">
        <w:rPr>
          <w:lang w:val="en-US"/>
        </w:rPr>
        <w:t xml:space="preserve"> </w:t>
      </w:r>
      <w:r w:rsidR="00F86B6E" w:rsidRPr="00821AC3">
        <w:rPr>
          <w:lang w:val="en-US"/>
        </w:rPr>
        <w:t xml:space="preserve">who were </w:t>
      </w:r>
      <w:r w:rsidR="00C764DF" w:rsidRPr="00821AC3">
        <w:rPr>
          <w:lang w:val="en-US"/>
        </w:rPr>
        <w:t>recognized as refugees by UNHCR</w:t>
      </w:r>
      <w:r w:rsidR="00394CC6" w:rsidRPr="00821AC3">
        <w:rPr>
          <w:lang w:val="en-US"/>
        </w:rPr>
        <w:t xml:space="preserve"> and that the change of practice from 2011 amounted to discrimination</w:t>
      </w:r>
      <w:r w:rsidR="005663B7" w:rsidRPr="00821AC3">
        <w:rPr>
          <w:lang w:val="en-US"/>
        </w:rPr>
        <w:t>.</w:t>
      </w:r>
      <w:r w:rsidR="00C764DF" w:rsidRPr="00821AC3">
        <w:rPr>
          <w:lang w:val="en-US"/>
        </w:rPr>
        <w:t xml:space="preserve"> </w:t>
      </w:r>
      <w:r w:rsidR="00967ED5" w:rsidRPr="00821AC3">
        <w:rPr>
          <w:lang w:val="en-US"/>
        </w:rPr>
        <w:t>In this connection, the author explain</w:t>
      </w:r>
      <w:r w:rsidR="00394CC6" w:rsidRPr="00821AC3">
        <w:rPr>
          <w:lang w:val="en-US"/>
        </w:rPr>
        <w:t>ed</w:t>
      </w:r>
      <w:r w:rsidR="00967ED5" w:rsidRPr="00821AC3">
        <w:rPr>
          <w:lang w:val="en-US"/>
        </w:rPr>
        <w:t xml:space="preserve"> that</w:t>
      </w:r>
      <w:r w:rsidR="00967ED5" w:rsidRPr="00821AC3">
        <w:t>, under section 7</w:t>
      </w:r>
      <w:r w:rsidR="00F86B6E" w:rsidRPr="00821AC3">
        <w:t> </w:t>
      </w:r>
      <w:r w:rsidR="00967ED5" w:rsidRPr="00821AC3">
        <w:t xml:space="preserve">(1) of the </w:t>
      </w:r>
      <w:r w:rsidR="00967ED5" w:rsidRPr="00821AC3">
        <w:lastRenderedPageBreak/>
        <w:t>Danish Alien Act, the established practice was to grant residence permits to Iranian</w:t>
      </w:r>
      <w:r w:rsidR="00F86B6E" w:rsidRPr="00821AC3">
        <w:t>s</w:t>
      </w:r>
      <w:r w:rsidR="00967ED5" w:rsidRPr="00821AC3">
        <w:t xml:space="preserve"> from </w:t>
      </w:r>
      <w:r w:rsidR="00F86B6E" w:rsidRPr="00821AC3">
        <w:t xml:space="preserve">the </w:t>
      </w:r>
      <w:r w:rsidR="00967ED5" w:rsidRPr="00821AC3">
        <w:t>Al-Tash refugee camp</w:t>
      </w:r>
      <w:r w:rsidR="00F86B6E" w:rsidRPr="00821AC3">
        <w:t xml:space="preserve"> who were </w:t>
      </w:r>
      <w:r w:rsidR="00F86B6E" w:rsidRPr="00821AC3">
        <w:rPr>
          <w:lang w:val="en-US"/>
        </w:rPr>
        <w:t>recognized as refugees by UNHCR</w:t>
      </w:r>
      <w:r w:rsidR="00967ED5" w:rsidRPr="00821AC3">
        <w:t xml:space="preserve">, including those who did not carry out any political activities. This </w:t>
      </w:r>
      <w:r w:rsidR="00967ED5" w:rsidRPr="00821AC3">
        <w:rPr>
          <w:lang w:val="en-US"/>
        </w:rPr>
        <w:t xml:space="preserve">practice changed in 2011 when it was decided that Iraq could be considered as </w:t>
      </w:r>
      <w:r w:rsidR="00F86B6E" w:rsidRPr="00821AC3">
        <w:rPr>
          <w:lang w:val="en-US"/>
        </w:rPr>
        <w:t xml:space="preserve">the </w:t>
      </w:r>
      <w:r w:rsidR="00967ED5" w:rsidRPr="00821AC3">
        <w:rPr>
          <w:lang w:val="en-US"/>
        </w:rPr>
        <w:t xml:space="preserve">first country of asylum of </w:t>
      </w:r>
      <w:r w:rsidR="00967ED5" w:rsidRPr="00821AC3">
        <w:t xml:space="preserve">Iranian refugees from </w:t>
      </w:r>
      <w:r w:rsidR="00F86B6E" w:rsidRPr="00821AC3">
        <w:t xml:space="preserve">the </w:t>
      </w:r>
      <w:r w:rsidR="00967ED5" w:rsidRPr="00821AC3">
        <w:t>Al-Tash refugee camp</w:t>
      </w:r>
      <w:r w:rsidR="005663B7" w:rsidRPr="00821AC3">
        <w:t>,</w:t>
      </w:r>
      <w:r w:rsidR="00967ED5" w:rsidRPr="00821AC3" w:rsidDel="00967ED5">
        <w:rPr>
          <w:lang w:val="en-US"/>
        </w:rPr>
        <w:t xml:space="preserve"> </w:t>
      </w:r>
      <w:r w:rsidR="00967ED5" w:rsidRPr="00821AC3">
        <w:rPr>
          <w:lang w:val="en-US"/>
        </w:rPr>
        <w:t>because they had lived in Iraq for many years. However</w:t>
      </w:r>
      <w:r w:rsidR="00F86B6E" w:rsidRPr="00821AC3">
        <w:rPr>
          <w:lang w:val="en-US"/>
        </w:rPr>
        <w:t>,</w:t>
      </w:r>
      <w:r w:rsidR="00967ED5" w:rsidRPr="00821AC3">
        <w:rPr>
          <w:lang w:val="en-US"/>
        </w:rPr>
        <w:t xml:space="preserve"> Iraq would not accept non-Iraqi citizens and </w:t>
      </w:r>
      <w:r w:rsidR="00F86B6E" w:rsidRPr="00821AC3">
        <w:rPr>
          <w:lang w:val="en-US"/>
        </w:rPr>
        <w:t xml:space="preserve">the </w:t>
      </w:r>
      <w:r w:rsidR="00967ED5" w:rsidRPr="00821AC3">
        <w:rPr>
          <w:lang w:val="en-US"/>
        </w:rPr>
        <w:t xml:space="preserve">Danish authorities continued to grant them residence permits under </w:t>
      </w:r>
      <w:r w:rsidR="00F86B6E" w:rsidRPr="00821AC3">
        <w:rPr>
          <w:lang w:val="en-US"/>
        </w:rPr>
        <w:t>s</w:t>
      </w:r>
      <w:r w:rsidR="00967ED5" w:rsidRPr="00821AC3">
        <w:rPr>
          <w:lang w:val="en-US"/>
        </w:rPr>
        <w:t>ection 7</w:t>
      </w:r>
      <w:r w:rsidR="00F86B6E" w:rsidRPr="00821AC3">
        <w:rPr>
          <w:lang w:val="en-US"/>
        </w:rPr>
        <w:t> </w:t>
      </w:r>
      <w:r w:rsidR="00967ED5" w:rsidRPr="00821AC3">
        <w:rPr>
          <w:lang w:val="en-US"/>
        </w:rPr>
        <w:t xml:space="preserve">(1) of the Act. In 2013, the </w:t>
      </w:r>
      <w:r w:rsidR="00500F7E" w:rsidRPr="00821AC3">
        <w:rPr>
          <w:lang w:val="en-US"/>
        </w:rPr>
        <w:t>Danish immigration service</w:t>
      </w:r>
      <w:r w:rsidR="00967ED5" w:rsidRPr="00821AC3">
        <w:rPr>
          <w:lang w:val="en-US"/>
        </w:rPr>
        <w:t xml:space="preserve"> started to refuse asylum claims from people coming from </w:t>
      </w:r>
      <w:r w:rsidR="009046D9" w:rsidRPr="00821AC3">
        <w:rPr>
          <w:lang w:val="en-US"/>
        </w:rPr>
        <w:t xml:space="preserve">the </w:t>
      </w:r>
      <w:r w:rsidR="00967ED5" w:rsidRPr="00821AC3">
        <w:rPr>
          <w:lang w:val="en-US"/>
        </w:rPr>
        <w:t>Al-Tash refugee camp</w:t>
      </w:r>
      <w:r w:rsidR="006E1DE9" w:rsidRPr="00821AC3">
        <w:rPr>
          <w:lang w:val="en-US"/>
        </w:rPr>
        <w:t>; however</w:t>
      </w:r>
      <w:r w:rsidR="009046D9" w:rsidRPr="00821AC3">
        <w:rPr>
          <w:lang w:val="en-US"/>
        </w:rPr>
        <w:t>,</w:t>
      </w:r>
      <w:r w:rsidR="005663B7" w:rsidRPr="00821AC3">
        <w:rPr>
          <w:lang w:val="en-US"/>
        </w:rPr>
        <w:t xml:space="preserve"> </w:t>
      </w:r>
      <w:r w:rsidR="00967ED5" w:rsidRPr="00821AC3">
        <w:rPr>
          <w:lang w:val="en-US"/>
        </w:rPr>
        <w:t xml:space="preserve">some still received residence permits following </w:t>
      </w:r>
      <w:r w:rsidR="003B0F08" w:rsidRPr="00821AC3">
        <w:rPr>
          <w:lang w:val="en-US"/>
        </w:rPr>
        <w:t xml:space="preserve">the </w:t>
      </w:r>
      <w:r w:rsidR="00967ED5" w:rsidRPr="00821AC3">
        <w:rPr>
          <w:lang w:val="en-US"/>
        </w:rPr>
        <w:t>decisions</w:t>
      </w:r>
      <w:r w:rsidR="003B0F08" w:rsidRPr="00821AC3">
        <w:rPr>
          <w:lang w:val="en-US"/>
        </w:rPr>
        <w:t xml:space="preserve"> of the refugee appeals board</w:t>
      </w:r>
      <w:r w:rsidR="00967ED5" w:rsidRPr="00821AC3">
        <w:rPr>
          <w:lang w:val="en-US"/>
        </w:rPr>
        <w:t>.</w:t>
      </w:r>
      <w:r w:rsidR="00967ED5" w:rsidRPr="00821AC3">
        <w:rPr>
          <w:rStyle w:val="FootnoteReference"/>
          <w:lang w:val="en-US"/>
        </w:rPr>
        <w:footnoteReference w:id="8"/>
      </w:r>
      <w:r w:rsidR="00394CC6" w:rsidRPr="00821AC3">
        <w:rPr>
          <w:lang w:val="en-US"/>
        </w:rPr>
        <w:t xml:space="preserve"> The author considers that</w:t>
      </w:r>
      <w:r w:rsidR="009046D9" w:rsidRPr="00821AC3">
        <w:rPr>
          <w:lang w:val="en-US"/>
        </w:rPr>
        <w:t>,</w:t>
      </w:r>
      <w:r w:rsidR="007E5B4F" w:rsidRPr="00821AC3">
        <w:rPr>
          <w:lang w:val="en-US"/>
        </w:rPr>
        <w:t xml:space="preserve"> in order</w:t>
      </w:r>
      <w:r w:rsidR="00394CC6" w:rsidRPr="00821AC3">
        <w:rPr>
          <w:lang w:val="en-US"/>
        </w:rPr>
        <w:t xml:space="preserve"> </w:t>
      </w:r>
      <w:r w:rsidR="005663B7" w:rsidRPr="00821AC3">
        <w:rPr>
          <w:lang w:val="en-US"/>
        </w:rPr>
        <w:t>to</w:t>
      </w:r>
      <w:r w:rsidR="00AB371C" w:rsidRPr="00821AC3">
        <w:rPr>
          <w:lang w:val="en-US"/>
        </w:rPr>
        <w:t xml:space="preserve"> be able to</w:t>
      </w:r>
      <w:r w:rsidR="005663B7" w:rsidRPr="00821AC3">
        <w:rPr>
          <w:lang w:val="en-US"/>
        </w:rPr>
        <w:t xml:space="preserve"> change the established practice, the State party </w:t>
      </w:r>
      <w:r w:rsidR="0020448B" w:rsidRPr="00821AC3">
        <w:rPr>
          <w:lang w:val="en-US"/>
        </w:rPr>
        <w:t xml:space="preserve">should </w:t>
      </w:r>
      <w:r w:rsidR="005663B7" w:rsidRPr="00821AC3">
        <w:rPr>
          <w:lang w:val="en-US"/>
        </w:rPr>
        <w:t>carr</w:t>
      </w:r>
      <w:r w:rsidR="00AB371C" w:rsidRPr="00821AC3">
        <w:rPr>
          <w:lang w:val="en-US"/>
        </w:rPr>
        <w:t>y</w:t>
      </w:r>
      <w:r w:rsidR="005663B7" w:rsidRPr="00821AC3">
        <w:rPr>
          <w:lang w:val="en-US"/>
        </w:rPr>
        <w:t xml:space="preserve"> the burden of proof to demonstrate that the conditions in </w:t>
      </w:r>
      <w:r w:rsidR="001877EE" w:rsidRPr="00821AC3">
        <w:rPr>
          <w:iCs/>
        </w:rPr>
        <w:t xml:space="preserve">the Islamic Republic of </w:t>
      </w:r>
      <w:r w:rsidR="005663B7" w:rsidRPr="00821AC3">
        <w:rPr>
          <w:lang w:val="en-US"/>
        </w:rPr>
        <w:t>Iran had improved.</w:t>
      </w:r>
      <w:r w:rsidR="00C764DF" w:rsidRPr="00821AC3">
        <w:rPr>
          <w:lang w:val="en-US"/>
        </w:rPr>
        <w:t xml:space="preserve"> He also claimed that the facts that he </w:t>
      </w:r>
      <w:r w:rsidR="00394CC6" w:rsidRPr="00821AC3">
        <w:rPr>
          <w:lang w:val="en-US"/>
        </w:rPr>
        <w:t xml:space="preserve">was </w:t>
      </w:r>
      <w:r w:rsidR="00C764DF" w:rsidRPr="00821AC3">
        <w:rPr>
          <w:lang w:val="en-US"/>
        </w:rPr>
        <w:t xml:space="preserve">not registered in </w:t>
      </w:r>
      <w:r w:rsidR="001877EE" w:rsidRPr="00821AC3">
        <w:rPr>
          <w:iCs/>
        </w:rPr>
        <w:t xml:space="preserve">the Islamic Republic of </w:t>
      </w:r>
      <w:r w:rsidR="00C764DF" w:rsidRPr="00821AC3">
        <w:rPr>
          <w:lang w:val="en-US"/>
        </w:rPr>
        <w:t xml:space="preserve">Iran, </w:t>
      </w:r>
      <w:r w:rsidR="009046D9" w:rsidRPr="00821AC3">
        <w:rPr>
          <w:lang w:val="en-US"/>
        </w:rPr>
        <w:t xml:space="preserve">did </w:t>
      </w:r>
      <w:r w:rsidR="00C764DF" w:rsidRPr="00821AC3">
        <w:rPr>
          <w:lang w:val="en-US"/>
        </w:rPr>
        <w:t xml:space="preserve">not speak Farsi and </w:t>
      </w:r>
      <w:r w:rsidR="009046D9" w:rsidRPr="00821AC3">
        <w:rPr>
          <w:lang w:val="en-US"/>
        </w:rPr>
        <w:t xml:space="preserve">had </w:t>
      </w:r>
      <w:r w:rsidR="00C764DF" w:rsidRPr="00821AC3">
        <w:rPr>
          <w:lang w:val="en-US"/>
        </w:rPr>
        <w:t>no identity documents increase</w:t>
      </w:r>
      <w:r w:rsidR="00394CC6" w:rsidRPr="00821AC3">
        <w:rPr>
          <w:lang w:val="en-US"/>
        </w:rPr>
        <w:t>d</w:t>
      </w:r>
      <w:r w:rsidR="00C764DF" w:rsidRPr="00821AC3">
        <w:rPr>
          <w:lang w:val="en-US"/>
        </w:rPr>
        <w:t xml:space="preserve"> the risk </w:t>
      </w:r>
      <w:r w:rsidR="009046D9" w:rsidRPr="00821AC3">
        <w:rPr>
          <w:lang w:val="en-US"/>
        </w:rPr>
        <w:t xml:space="preserve">that he would </w:t>
      </w:r>
      <w:r w:rsidR="00394CC6" w:rsidRPr="00821AC3">
        <w:rPr>
          <w:lang w:val="en-US"/>
        </w:rPr>
        <w:t xml:space="preserve">become </w:t>
      </w:r>
      <w:r w:rsidR="00C764DF" w:rsidRPr="00821AC3">
        <w:rPr>
          <w:lang w:val="en-US"/>
        </w:rPr>
        <w:t xml:space="preserve">a </w:t>
      </w:r>
      <w:r w:rsidR="00A763D0" w:rsidRPr="00821AC3">
        <w:rPr>
          <w:lang w:val="en-US"/>
        </w:rPr>
        <w:t>“</w:t>
      </w:r>
      <w:r w:rsidR="00C764DF" w:rsidRPr="00821AC3">
        <w:rPr>
          <w:lang w:val="en-US"/>
        </w:rPr>
        <w:t>person of interest</w:t>
      </w:r>
      <w:r w:rsidR="00A763D0" w:rsidRPr="00821AC3">
        <w:rPr>
          <w:lang w:val="en-US"/>
        </w:rPr>
        <w:t>”</w:t>
      </w:r>
      <w:r w:rsidR="00C764DF" w:rsidRPr="00821AC3">
        <w:rPr>
          <w:lang w:val="en-US"/>
        </w:rPr>
        <w:t xml:space="preserve"> for the Iranian authorities if returned. </w:t>
      </w:r>
      <w:r w:rsidR="00036372" w:rsidRPr="00821AC3">
        <w:rPr>
          <w:lang w:val="en-US"/>
        </w:rPr>
        <w:t>The author</w:t>
      </w:r>
      <w:r w:rsidR="000A2FED" w:rsidRPr="00821AC3">
        <w:rPr>
          <w:lang w:val="en-US"/>
        </w:rPr>
        <w:t xml:space="preserve"> also</w:t>
      </w:r>
      <w:r w:rsidR="00036372" w:rsidRPr="00821AC3">
        <w:rPr>
          <w:lang w:val="en-US"/>
        </w:rPr>
        <w:t xml:space="preserve"> stated that he would not be able to pursue any political activity in </w:t>
      </w:r>
      <w:r w:rsidR="001877EE" w:rsidRPr="00821AC3">
        <w:rPr>
          <w:iCs/>
        </w:rPr>
        <w:t xml:space="preserve">the Islamic Republic of </w:t>
      </w:r>
      <w:r w:rsidR="00036372" w:rsidRPr="00821AC3">
        <w:rPr>
          <w:lang w:val="en-US"/>
        </w:rPr>
        <w:t xml:space="preserve">Iran and that no one should </w:t>
      </w:r>
      <w:r w:rsidR="00A763D0" w:rsidRPr="00821AC3">
        <w:rPr>
          <w:lang w:val="en-US"/>
        </w:rPr>
        <w:t xml:space="preserve">have </w:t>
      </w:r>
      <w:r w:rsidR="003D34C3" w:rsidRPr="00821AC3">
        <w:rPr>
          <w:lang w:val="en-US"/>
        </w:rPr>
        <w:t>to interrupt</w:t>
      </w:r>
      <w:r w:rsidR="00036372" w:rsidRPr="00821AC3">
        <w:rPr>
          <w:lang w:val="en-US"/>
        </w:rPr>
        <w:t xml:space="preserve"> </w:t>
      </w:r>
      <w:r w:rsidR="003D34C3" w:rsidRPr="00821AC3">
        <w:rPr>
          <w:lang w:val="en-US"/>
        </w:rPr>
        <w:t xml:space="preserve">his or her </w:t>
      </w:r>
      <w:r w:rsidR="00036372" w:rsidRPr="00821AC3">
        <w:rPr>
          <w:lang w:val="en-US"/>
        </w:rPr>
        <w:t>political activities to avoid persecution.</w:t>
      </w:r>
    </w:p>
    <w:p w14:paraId="415A6823" w14:textId="77777777" w:rsidR="00087319" w:rsidRPr="00821AC3" w:rsidRDefault="00C764DF">
      <w:pPr>
        <w:pStyle w:val="SingleTxtG"/>
        <w:rPr>
          <w:lang w:val="en-US"/>
        </w:rPr>
      </w:pPr>
      <w:r w:rsidRPr="00821AC3">
        <w:rPr>
          <w:lang w:val="en-US"/>
        </w:rPr>
        <w:t>2.</w:t>
      </w:r>
      <w:r w:rsidR="00FD14B8" w:rsidRPr="00821AC3">
        <w:rPr>
          <w:lang w:val="en-US"/>
        </w:rPr>
        <w:t>5</w:t>
      </w:r>
      <w:r w:rsidR="005028F4" w:rsidRPr="00821AC3">
        <w:rPr>
          <w:lang w:val="en-US"/>
        </w:rPr>
        <w:tab/>
      </w:r>
      <w:r w:rsidRPr="00821AC3">
        <w:rPr>
          <w:lang w:val="en-US"/>
        </w:rPr>
        <w:t>On 18 March 2014</w:t>
      </w:r>
      <w:r w:rsidR="00182C97" w:rsidRPr="00821AC3">
        <w:rPr>
          <w:lang w:val="en-US"/>
        </w:rPr>
        <w:t>,</w:t>
      </w:r>
      <w:r w:rsidRPr="00821AC3">
        <w:rPr>
          <w:lang w:val="en-US"/>
        </w:rPr>
        <w:t xml:space="preserve"> the </w:t>
      </w:r>
      <w:r w:rsidR="003B0F08" w:rsidRPr="00821AC3">
        <w:rPr>
          <w:lang w:val="en-US"/>
        </w:rPr>
        <w:t>refugee appeals board</w:t>
      </w:r>
      <w:r w:rsidRPr="00821AC3">
        <w:rPr>
          <w:lang w:val="en-US"/>
        </w:rPr>
        <w:t xml:space="preserve"> refused to grant asylum to the author and gave him 15 days to leave the country. The </w:t>
      </w:r>
      <w:r w:rsidR="003B0F08" w:rsidRPr="00821AC3">
        <w:rPr>
          <w:lang w:val="en-US"/>
        </w:rPr>
        <w:t xml:space="preserve">board </w:t>
      </w:r>
      <w:r w:rsidRPr="00821AC3">
        <w:rPr>
          <w:lang w:val="en-US"/>
        </w:rPr>
        <w:t xml:space="preserve">found that the author </w:t>
      </w:r>
      <w:r w:rsidR="009046D9" w:rsidRPr="00821AC3">
        <w:rPr>
          <w:lang w:val="en-US"/>
        </w:rPr>
        <w:t xml:space="preserve">had </w:t>
      </w:r>
      <w:r w:rsidR="000A2FED" w:rsidRPr="00821AC3">
        <w:rPr>
          <w:lang w:val="en-US"/>
        </w:rPr>
        <w:t>made an unclear, vague and unconvincing statement about his father</w:t>
      </w:r>
      <w:r w:rsidR="009046D9" w:rsidRPr="00821AC3">
        <w:rPr>
          <w:lang w:val="en-US"/>
        </w:rPr>
        <w:t>’s</w:t>
      </w:r>
      <w:r w:rsidR="000A2FED" w:rsidRPr="00821AC3">
        <w:rPr>
          <w:lang w:val="en-US"/>
        </w:rPr>
        <w:t xml:space="preserve"> political activities and membership </w:t>
      </w:r>
      <w:r w:rsidR="009046D9" w:rsidRPr="00821AC3">
        <w:rPr>
          <w:lang w:val="en-US"/>
        </w:rPr>
        <w:t xml:space="preserve">of </w:t>
      </w:r>
      <w:r w:rsidR="000A2FED" w:rsidRPr="00821AC3">
        <w:rPr>
          <w:lang w:val="en-US"/>
        </w:rPr>
        <w:t xml:space="preserve">the </w:t>
      </w:r>
      <w:r w:rsidR="0094332E" w:rsidRPr="00821AC3">
        <w:rPr>
          <w:lang w:val="en-US"/>
        </w:rPr>
        <w:t>Democratic Party of Iranian Kurdistan</w:t>
      </w:r>
      <w:r w:rsidR="000A2FED" w:rsidRPr="00821AC3">
        <w:rPr>
          <w:lang w:val="en-US"/>
        </w:rPr>
        <w:t xml:space="preserve">. </w:t>
      </w:r>
      <w:r w:rsidR="00182C97" w:rsidRPr="00821AC3">
        <w:rPr>
          <w:lang w:val="en-US"/>
        </w:rPr>
        <w:t xml:space="preserve">The </w:t>
      </w:r>
      <w:r w:rsidR="003B0F08" w:rsidRPr="00821AC3">
        <w:rPr>
          <w:lang w:val="en-US"/>
        </w:rPr>
        <w:t xml:space="preserve">board </w:t>
      </w:r>
      <w:r w:rsidR="00182C97" w:rsidRPr="00821AC3">
        <w:rPr>
          <w:lang w:val="en-US"/>
        </w:rPr>
        <w:t xml:space="preserve">also took into account that the author’s brother </w:t>
      </w:r>
      <w:r w:rsidR="009046D9" w:rsidRPr="00821AC3">
        <w:rPr>
          <w:lang w:val="en-US"/>
        </w:rPr>
        <w:t xml:space="preserve">had </w:t>
      </w:r>
      <w:r w:rsidR="00182C97" w:rsidRPr="00821AC3">
        <w:rPr>
          <w:lang w:val="en-US"/>
        </w:rPr>
        <w:t>not inform</w:t>
      </w:r>
      <w:r w:rsidR="009046D9" w:rsidRPr="00821AC3">
        <w:rPr>
          <w:lang w:val="en-US"/>
        </w:rPr>
        <w:t>ed</w:t>
      </w:r>
      <w:r w:rsidR="00182C97" w:rsidRPr="00821AC3">
        <w:rPr>
          <w:lang w:val="en-US"/>
        </w:rPr>
        <w:t xml:space="preserve"> </w:t>
      </w:r>
      <w:r w:rsidR="00BE551E" w:rsidRPr="00821AC3">
        <w:rPr>
          <w:lang w:val="en-US"/>
        </w:rPr>
        <w:t xml:space="preserve">the </w:t>
      </w:r>
      <w:r w:rsidR="00182C97" w:rsidRPr="00821AC3">
        <w:rPr>
          <w:lang w:val="en-US"/>
        </w:rPr>
        <w:t xml:space="preserve">Danish authorities about any political activities carried out by his family members in Iraq when he was </w:t>
      </w:r>
      <w:r w:rsidR="009046D9" w:rsidRPr="00821AC3">
        <w:rPr>
          <w:lang w:val="en-US"/>
        </w:rPr>
        <w:t xml:space="preserve">interviewed </w:t>
      </w:r>
      <w:r w:rsidR="00182C97" w:rsidRPr="00821AC3">
        <w:rPr>
          <w:lang w:val="en-US"/>
        </w:rPr>
        <w:t>during his own asylum proceedings.</w:t>
      </w:r>
      <w:r w:rsidR="00182C97" w:rsidRPr="00821AC3">
        <w:rPr>
          <w:rStyle w:val="FootnoteReference"/>
          <w:lang w:val="en-US"/>
        </w:rPr>
        <w:footnoteReference w:id="9"/>
      </w:r>
      <w:r w:rsidR="00182C97" w:rsidRPr="00821AC3">
        <w:rPr>
          <w:lang w:val="en-US"/>
        </w:rPr>
        <w:t xml:space="preserve"> </w:t>
      </w:r>
      <w:r w:rsidR="00DF3EF2" w:rsidRPr="00821AC3">
        <w:rPr>
          <w:lang w:val="en-US"/>
        </w:rPr>
        <w:t xml:space="preserve">It further </w:t>
      </w:r>
      <w:r w:rsidR="0043426D" w:rsidRPr="00821AC3">
        <w:rPr>
          <w:lang w:val="en-US"/>
        </w:rPr>
        <w:t>considered that the author</w:t>
      </w:r>
      <w:r w:rsidR="00521FC9" w:rsidRPr="00821AC3">
        <w:rPr>
          <w:lang w:val="en-US"/>
        </w:rPr>
        <w:t>’s involvement</w:t>
      </w:r>
      <w:r w:rsidR="0043426D" w:rsidRPr="00821AC3">
        <w:rPr>
          <w:lang w:val="en-US"/>
        </w:rPr>
        <w:t xml:space="preserve"> </w:t>
      </w:r>
      <w:r w:rsidR="0043426D" w:rsidRPr="00821AC3">
        <w:t>in</w:t>
      </w:r>
      <w:r w:rsidR="0043426D" w:rsidRPr="00821AC3">
        <w:rPr>
          <w:lang w:val="en-US"/>
        </w:rPr>
        <w:t xml:space="preserve"> political activities</w:t>
      </w:r>
      <w:r w:rsidR="00514AB4" w:rsidRPr="00821AC3">
        <w:rPr>
          <w:lang w:val="en-US"/>
        </w:rPr>
        <w:t xml:space="preserve"> </w:t>
      </w:r>
      <w:r w:rsidR="009046D9" w:rsidRPr="00821AC3">
        <w:rPr>
          <w:lang w:val="en-US"/>
        </w:rPr>
        <w:t xml:space="preserve">had </w:t>
      </w:r>
      <w:r w:rsidR="00521FC9" w:rsidRPr="00821AC3">
        <w:rPr>
          <w:lang w:val="en-US"/>
        </w:rPr>
        <w:t xml:space="preserve">not </w:t>
      </w:r>
      <w:r w:rsidR="009046D9" w:rsidRPr="00821AC3">
        <w:rPr>
          <w:lang w:val="en-US"/>
        </w:rPr>
        <w:t xml:space="preserve">been </w:t>
      </w:r>
      <w:r w:rsidR="00521FC9" w:rsidRPr="00821AC3">
        <w:rPr>
          <w:lang w:val="en-US"/>
        </w:rPr>
        <w:t>clearly established</w:t>
      </w:r>
      <w:r w:rsidR="009046D9" w:rsidRPr="00821AC3">
        <w:rPr>
          <w:lang w:val="en-US"/>
        </w:rPr>
        <w:t>,</w:t>
      </w:r>
      <w:r w:rsidR="00521FC9" w:rsidRPr="00821AC3">
        <w:rPr>
          <w:lang w:val="en-US"/>
        </w:rPr>
        <w:t xml:space="preserve"> </w:t>
      </w:r>
      <w:r w:rsidR="00514AB4" w:rsidRPr="00821AC3">
        <w:rPr>
          <w:lang w:val="en-US"/>
        </w:rPr>
        <w:t>as h</w:t>
      </w:r>
      <w:r w:rsidR="0043426D" w:rsidRPr="00821AC3">
        <w:rPr>
          <w:lang w:val="en-US"/>
        </w:rPr>
        <w:t>e</w:t>
      </w:r>
      <w:r w:rsidR="00521FC9" w:rsidRPr="00821AC3">
        <w:rPr>
          <w:lang w:val="en-US"/>
        </w:rPr>
        <w:t xml:space="preserve"> only</w:t>
      </w:r>
      <w:r w:rsidR="0043426D" w:rsidRPr="00821AC3">
        <w:rPr>
          <w:lang w:val="en-US"/>
        </w:rPr>
        <w:t xml:space="preserve"> </w:t>
      </w:r>
      <w:r w:rsidR="00F77FBA" w:rsidRPr="00821AC3">
        <w:rPr>
          <w:lang w:val="en-US"/>
        </w:rPr>
        <w:t xml:space="preserve">became member of the </w:t>
      </w:r>
      <w:r w:rsidR="0094332E" w:rsidRPr="00821AC3">
        <w:rPr>
          <w:lang w:val="en-US"/>
        </w:rPr>
        <w:t>Kurdistan Freedom Party</w:t>
      </w:r>
      <w:r w:rsidR="00F77FBA" w:rsidRPr="00821AC3">
        <w:rPr>
          <w:lang w:val="en-US"/>
        </w:rPr>
        <w:t xml:space="preserve"> three months before departing Iraq </w:t>
      </w:r>
      <w:r w:rsidR="009046D9" w:rsidRPr="00821AC3">
        <w:rPr>
          <w:lang w:val="en-US"/>
        </w:rPr>
        <w:t xml:space="preserve">in order </w:t>
      </w:r>
      <w:r w:rsidR="00F77FBA" w:rsidRPr="00821AC3">
        <w:rPr>
          <w:lang w:val="en-US"/>
        </w:rPr>
        <w:t>to practice</w:t>
      </w:r>
      <w:r w:rsidR="00514AB4" w:rsidRPr="00821AC3">
        <w:rPr>
          <w:lang w:val="en-US"/>
        </w:rPr>
        <w:t xml:space="preserve"> sports</w:t>
      </w:r>
      <w:r w:rsidR="00521FC9" w:rsidRPr="00821AC3">
        <w:rPr>
          <w:lang w:val="en-US"/>
        </w:rPr>
        <w:t>,</w:t>
      </w:r>
      <w:r w:rsidR="00514AB4" w:rsidRPr="00821AC3">
        <w:rPr>
          <w:lang w:val="en-US"/>
        </w:rPr>
        <w:t xml:space="preserve"> and he </w:t>
      </w:r>
      <w:r w:rsidR="00F77FBA" w:rsidRPr="00821AC3">
        <w:rPr>
          <w:lang w:val="en-US"/>
        </w:rPr>
        <w:t xml:space="preserve">only participated in some of the party’s festive events. </w:t>
      </w:r>
      <w:r w:rsidR="00514AB4" w:rsidRPr="00821AC3">
        <w:rPr>
          <w:lang w:val="en-US"/>
        </w:rPr>
        <w:t>T</w:t>
      </w:r>
      <w:r w:rsidR="00F77FBA" w:rsidRPr="00821AC3">
        <w:rPr>
          <w:lang w:val="en-US"/>
        </w:rPr>
        <w:t xml:space="preserve">he </w:t>
      </w:r>
      <w:r w:rsidR="003B0F08" w:rsidRPr="00821AC3">
        <w:rPr>
          <w:lang w:val="en-US"/>
        </w:rPr>
        <w:t xml:space="preserve">board </w:t>
      </w:r>
      <w:r w:rsidR="00F77FBA" w:rsidRPr="00821AC3">
        <w:rPr>
          <w:lang w:val="en-US"/>
        </w:rPr>
        <w:t xml:space="preserve">considered that </w:t>
      </w:r>
      <w:r w:rsidR="00514AB4" w:rsidRPr="00821AC3">
        <w:rPr>
          <w:lang w:val="en-US"/>
        </w:rPr>
        <w:t xml:space="preserve">the fact that the author </w:t>
      </w:r>
      <w:r w:rsidR="009046D9" w:rsidRPr="00821AC3">
        <w:rPr>
          <w:lang w:val="en-US"/>
        </w:rPr>
        <w:t xml:space="preserve">had been </w:t>
      </w:r>
      <w:r w:rsidRPr="00821AC3">
        <w:rPr>
          <w:lang w:val="en-US"/>
        </w:rPr>
        <w:t xml:space="preserve">born and </w:t>
      </w:r>
      <w:r w:rsidR="00514AB4" w:rsidRPr="00821AC3">
        <w:rPr>
          <w:lang w:val="en-US"/>
        </w:rPr>
        <w:t>raised</w:t>
      </w:r>
      <w:r w:rsidRPr="00821AC3">
        <w:rPr>
          <w:lang w:val="en-US"/>
        </w:rPr>
        <w:t xml:space="preserve"> in </w:t>
      </w:r>
      <w:r w:rsidR="009046D9" w:rsidRPr="00821AC3">
        <w:rPr>
          <w:lang w:val="en-US"/>
        </w:rPr>
        <w:t xml:space="preserve">the </w:t>
      </w:r>
      <w:r w:rsidRPr="00821AC3">
        <w:rPr>
          <w:lang w:val="en-US"/>
        </w:rPr>
        <w:t xml:space="preserve">Al-Tash </w:t>
      </w:r>
      <w:r w:rsidR="00F77FBA" w:rsidRPr="00821AC3">
        <w:rPr>
          <w:lang w:val="en-US"/>
        </w:rPr>
        <w:t xml:space="preserve">refugee camp </w:t>
      </w:r>
      <w:r w:rsidRPr="00821AC3">
        <w:rPr>
          <w:lang w:val="en-US"/>
        </w:rPr>
        <w:t xml:space="preserve">was not a sufficient </w:t>
      </w:r>
      <w:r w:rsidR="00295A1F" w:rsidRPr="00821AC3">
        <w:rPr>
          <w:lang w:val="en-US"/>
        </w:rPr>
        <w:t>ground to grant him a</w:t>
      </w:r>
      <w:r w:rsidR="00514AB4" w:rsidRPr="00821AC3">
        <w:rPr>
          <w:lang w:val="en-US"/>
        </w:rPr>
        <w:t xml:space="preserve"> residence permit in Denmark. The </w:t>
      </w:r>
      <w:r w:rsidR="003B0F08" w:rsidRPr="00821AC3">
        <w:rPr>
          <w:lang w:val="en-US"/>
        </w:rPr>
        <w:t xml:space="preserve">board </w:t>
      </w:r>
      <w:r w:rsidR="00514AB4" w:rsidRPr="00821AC3">
        <w:rPr>
          <w:lang w:val="en-US"/>
        </w:rPr>
        <w:t>concluded that the author</w:t>
      </w:r>
      <w:r w:rsidR="00295A1F" w:rsidRPr="00821AC3">
        <w:rPr>
          <w:lang w:val="en-US"/>
        </w:rPr>
        <w:t xml:space="preserve">’s statements </w:t>
      </w:r>
      <w:r w:rsidR="009046D9" w:rsidRPr="00821AC3">
        <w:rPr>
          <w:lang w:val="en-US"/>
        </w:rPr>
        <w:t xml:space="preserve">had </w:t>
      </w:r>
      <w:r w:rsidR="00295A1F" w:rsidRPr="00821AC3">
        <w:rPr>
          <w:lang w:val="en-US"/>
        </w:rPr>
        <w:t>not demonstrate</w:t>
      </w:r>
      <w:r w:rsidR="009046D9" w:rsidRPr="00821AC3">
        <w:rPr>
          <w:lang w:val="en-US"/>
        </w:rPr>
        <w:t>d</w:t>
      </w:r>
      <w:r w:rsidR="00295A1F" w:rsidRPr="00821AC3">
        <w:rPr>
          <w:lang w:val="en-US"/>
        </w:rPr>
        <w:t xml:space="preserve"> that he would face a real and personal </w:t>
      </w:r>
      <w:r w:rsidR="00514AB4" w:rsidRPr="00821AC3">
        <w:rPr>
          <w:lang w:val="en-US"/>
        </w:rPr>
        <w:t>risk of persecution by the authorities</w:t>
      </w:r>
      <w:r w:rsidR="00295A1F" w:rsidRPr="00821AC3">
        <w:rPr>
          <w:lang w:val="en-US"/>
        </w:rPr>
        <w:t xml:space="preserve"> </w:t>
      </w:r>
      <w:r w:rsidR="00514AB4" w:rsidRPr="00821AC3">
        <w:rPr>
          <w:lang w:val="en-US"/>
        </w:rPr>
        <w:t xml:space="preserve">if returned to </w:t>
      </w:r>
      <w:r w:rsidR="001877EE" w:rsidRPr="00821AC3">
        <w:rPr>
          <w:iCs/>
        </w:rPr>
        <w:t xml:space="preserve">the Islamic Republic of </w:t>
      </w:r>
      <w:r w:rsidR="00514AB4" w:rsidRPr="00821AC3">
        <w:rPr>
          <w:lang w:val="en-US"/>
        </w:rPr>
        <w:t xml:space="preserve">Iran. </w:t>
      </w:r>
    </w:p>
    <w:p w14:paraId="4459D038" w14:textId="77777777" w:rsidR="00CB3390" w:rsidRPr="00821AC3" w:rsidRDefault="00CB3390">
      <w:pPr>
        <w:pStyle w:val="SingleTxtG"/>
        <w:rPr>
          <w:lang w:val="en-US"/>
        </w:rPr>
      </w:pPr>
      <w:r w:rsidRPr="00821AC3">
        <w:rPr>
          <w:lang w:val="en-US"/>
        </w:rPr>
        <w:t>2.6.</w:t>
      </w:r>
      <w:r w:rsidRPr="00821AC3">
        <w:rPr>
          <w:lang w:val="en-US"/>
        </w:rPr>
        <w:tab/>
      </w:r>
      <w:r w:rsidRPr="00821AC3">
        <w:t>The author indicates that he would not be able to return to Iraq</w:t>
      </w:r>
      <w:r w:rsidR="00D171EE" w:rsidRPr="00821AC3">
        <w:t xml:space="preserve">, where </w:t>
      </w:r>
      <w:r w:rsidR="008D1E0C" w:rsidRPr="00821AC3">
        <w:t>some</w:t>
      </w:r>
      <w:r w:rsidR="00051C8C" w:rsidRPr="00821AC3">
        <w:t xml:space="preserve"> members</w:t>
      </w:r>
      <w:r w:rsidR="008D1E0C" w:rsidRPr="00821AC3">
        <w:t xml:space="preserve"> of his family still </w:t>
      </w:r>
      <w:r w:rsidR="00FC224F" w:rsidRPr="00821AC3">
        <w:t>live</w:t>
      </w:r>
      <w:r w:rsidR="009046D9" w:rsidRPr="00821AC3">
        <w:t>d</w:t>
      </w:r>
      <w:r w:rsidR="00D171EE" w:rsidRPr="00821AC3">
        <w:t>,</w:t>
      </w:r>
      <w:r w:rsidRPr="00821AC3">
        <w:t xml:space="preserve"> because </w:t>
      </w:r>
      <w:r w:rsidR="009046D9" w:rsidRPr="00821AC3">
        <w:t xml:space="preserve">that </w:t>
      </w:r>
      <w:r w:rsidR="003D0114" w:rsidRPr="00821AC3">
        <w:t>country</w:t>
      </w:r>
      <w:r w:rsidRPr="00821AC3">
        <w:t xml:space="preserve"> only provides</w:t>
      </w:r>
      <w:r w:rsidR="0016541F" w:rsidRPr="00821AC3">
        <w:t xml:space="preserve"> </w:t>
      </w:r>
      <w:r w:rsidR="0020448B" w:rsidRPr="00821AC3">
        <w:t xml:space="preserve">identity </w:t>
      </w:r>
      <w:r w:rsidRPr="00821AC3">
        <w:t>documents to Iraqi citizens</w:t>
      </w:r>
      <w:r w:rsidR="00E474F0" w:rsidRPr="00821AC3">
        <w:t>,</w:t>
      </w:r>
      <w:r w:rsidR="009C5AE9" w:rsidRPr="00821AC3">
        <w:rPr>
          <w:rStyle w:val="FootnoteReference"/>
        </w:rPr>
        <w:footnoteReference w:id="10"/>
      </w:r>
      <w:r w:rsidR="00E474F0" w:rsidRPr="00821AC3">
        <w:t xml:space="preserve"> and not to refugees. The author therefore argues that he would not be entitled to identity documents </w:t>
      </w:r>
      <w:r w:rsidR="003E095B" w:rsidRPr="00821AC3">
        <w:t>and that he would not be able to exercise his rights and to access services necessary for his daily life</w:t>
      </w:r>
      <w:r w:rsidR="008D1E0C" w:rsidRPr="00821AC3">
        <w:t>.</w:t>
      </w:r>
      <w:r w:rsidR="000929A8" w:rsidRPr="00821AC3">
        <w:rPr>
          <w:rStyle w:val="FootnoteReference"/>
        </w:rPr>
        <w:footnoteReference w:id="11"/>
      </w:r>
      <w:r w:rsidRPr="00821AC3">
        <w:t xml:space="preserve"> </w:t>
      </w:r>
      <w:r w:rsidR="008D1E0C" w:rsidRPr="00821AC3">
        <w:t xml:space="preserve">The author </w:t>
      </w:r>
      <w:r w:rsidR="00880FCF" w:rsidRPr="00821AC3">
        <w:t xml:space="preserve">also </w:t>
      </w:r>
      <w:r w:rsidR="008D1E0C" w:rsidRPr="00821AC3">
        <w:t xml:space="preserve">argues that </w:t>
      </w:r>
      <w:r w:rsidR="009C5AE9" w:rsidRPr="00821AC3">
        <w:t xml:space="preserve">not having identity documents </w:t>
      </w:r>
      <w:r w:rsidR="008D1E0C" w:rsidRPr="00821AC3">
        <w:t xml:space="preserve">is the </w:t>
      </w:r>
      <w:r w:rsidR="003D0114" w:rsidRPr="00821AC3">
        <w:t>reason why</w:t>
      </w:r>
      <w:r w:rsidRPr="00821AC3">
        <w:t xml:space="preserve"> the Danish authorities </w:t>
      </w:r>
      <w:r w:rsidR="002007F6" w:rsidRPr="00821AC3">
        <w:t>would not deport him to Iraq</w:t>
      </w:r>
      <w:r w:rsidR="003D0114" w:rsidRPr="00821AC3">
        <w:t xml:space="preserve">, but to </w:t>
      </w:r>
      <w:r w:rsidR="001877EE" w:rsidRPr="00821AC3">
        <w:rPr>
          <w:iCs/>
        </w:rPr>
        <w:t xml:space="preserve">the Islamic Republic of </w:t>
      </w:r>
      <w:r w:rsidR="003D0114" w:rsidRPr="00821AC3">
        <w:t>Iran</w:t>
      </w:r>
      <w:r w:rsidR="00FC224F" w:rsidRPr="00821AC3">
        <w:t>, as they consider that it is futile to remove Iranian Kurds to Iraq either voluntarily or by force</w:t>
      </w:r>
      <w:r w:rsidRPr="00821AC3">
        <w:t>.</w:t>
      </w:r>
      <w:r w:rsidRPr="00821AC3">
        <w:rPr>
          <w:rStyle w:val="FootnoteReference"/>
        </w:rPr>
        <w:footnoteReference w:id="12"/>
      </w:r>
      <w:r w:rsidRPr="00821AC3">
        <w:t xml:space="preserve"> </w:t>
      </w:r>
    </w:p>
    <w:p w14:paraId="4495D573" w14:textId="77777777" w:rsidR="00FD14B8" w:rsidRPr="00821AC3" w:rsidRDefault="005028F4">
      <w:pPr>
        <w:pStyle w:val="SingleTxtG"/>
      </w:pPr>
      <w:r w:rsidRPr="00821AC3">
        <w:rPr>
          <w:lang w:val="en-US"/>
        </w:rPr>
        <w:lastRenderedPageBreak/>
        <w:t>2.</w:t>
      </w:r>
      <w:r w:rsidR="00E77B05" w:rsidRPr="00821AC3">
        <w:rPr>
          <w:lang w:val="en-US"/>
        </w:rPr>
        <w:t>7</w:t>
      </w:r>
      <w:r w:rsidR="00FD14B8" w:rsidRPr="00821AC3">
        <w:rPr>
          <w:lang w:val="en-US"/>
        </w:rPr>
        <w:tab/>
      </w:r>
      <w:r w:rsidR="00FD14B8" w:rsidRPr="00821AC3">
        <w:t xml:space="preserve">The author notes that decisions </w:t>
      </w:r>
      <w:r w:rsidR="009C31C6" w:rsidRPr="00821AC3">
        <w:t xml:space="preserve">of </w:t>
      </w:r>
      <w:r w:rsidR="00FD14B8" w:rsidRPr="00821AC3">
        <w:t xml:space="preserve">the </w:t>
      </w:r>
      <w:r w:rsidR="00932188" w:rsidRPr="00821AC3">
        <w:t>r</w:t>
      </w:r>
      <w:r w:rsidR="00FD14B8" w:rsidRPr="00821AC3">
        <w:t xml:space="preserve">efugee </w:t>
      </w:r>
      <w:r w:rsidR="00932188" w:rsidRPr="00821AC3">
        <w:t>a</w:t>
      </w:r>
      <w:r w:rsidR="00FD14B8" w:rsidRPr="00821AC3">
        <w:t xml:space="preserve">ppeals </w:t>
      </w:r>
      <w:r w:rsidR="00932188" w:rsidRPr="00821AC3">
        <w:t>b</w:t>
      </w:r>
      <w:r w:rsidR="00FD14B8" w:rsidRPr="00821AC3">
        <w:t>oard are not subject to appeal before national courts according to article 56</w:t>
      </w:r>
      <w:r w:rsidR="00932188" w:rsidRPr="00821AC3">
        <w:t xml:space="preserve"> (</w:t>
      </w:r>
      <w:r w:rsidR="00FD14B8" w:rsidRPr="00821AC3">
        <w:t>8</w:t>
      </w:r>
      <w:r w:rsidR="00932188" w:rsidRPr="00821AC3">
        <w:t>)</w:t>
      </w:r>
      <w:r w:rsidR="00FD14B8" w:rsidRPr="00821AC3">
        <w:t xml:space="preserve"> of the Alien</w:t>
      </w:r>
      <w:r w:rsidR="00051C8C" w:rsidRPr="00821AC3">
        <w:t>s</w:t>
      </w:r>
      <w:r w:rsidR="00FD14B8" w:rsidRPr="00821AC3">
        <w:t xml:space="preserve"> Act</w:t>
      </w:r>
      <w:r w:rsidR="009C31C6" w:rsidRPr="00821AC3">
        <w:t>, and that he therefore has exhausted all available domestic remedies.</w:t>
      </w:r>
      <w:r w:rsidR="00FD14B8" w:rsidRPr="00821AC3">
        <w:rPr>
          <w:vertAlign w:val="superscript"/>
        </w:rPr>
        <w:footnoteReference w:id="13"/>
      </w:r>
    </w:p>
    <w:p w14:paraId="432A8634" w14:textId="77777777" w:rsidR="003521FD" w:rsidRPr="00821AC3" w:rsidRDefault="003521FD" w:rsidP="00154691">
      <w:pPr>
        <w:pStyle w:val="H23G"/>
      </w:pPr>
      <w:r w:rsidRPr="00821AC3">
        <w:tab/>
      </w:r>
      <w:r w:rsidRPr="00821AC3">
        <w:tab/>
        <w:t>The complaint</w:t>
      </w:r>
    </w:p>
    <w:p w14:paraId="516B422B" w14:textId="77777777" w:rsidR="00602F70" w:rsidRPr="00821AC3" w:rsidRDefault="003521FD">
      <w:pPr>
        <w:pStyle w:val="SingleTxtG"/>
      </w:pPr>
      <w:r w:rsidRPr="00821AC3">
        <w:t>3.1</w:t>
      </w:r>
      <w:r w:rsidRPr="00821AC3">
        <w:tab/>
      </w:r>
      <w:r w:rsidR="000A2910" w:rsidRPr="00821AC3">
        <w:t>The author</w:t>
      </w:r>
      <w:r w:rsidR="006F53C9" w:rsidRPr="00821AC3">
        <w:t xml:space="preserve"> contends that his deportation would entail a violation of article 7 of the Covenant. He</w:t>
      </w:r>
      <w:r w:rsidR="000A2910" w:rsidRPr="00821AC3">
        <w:t xml:space="preserve"> claims that his deportation to </w:t>
      </w:r>
      <w:r w:rsidR="001877EE" w:rsidRPr="00821AC3">
        <w:rPr>
          <w:iCs/>
        </w:rPr>
        <w:t xml:space="preserve">the Islamic Republic of </w:t>
      </w:r>
      <w:r w:rsidR="000A2910" w:rsidRPr="00821AC3">
        <w:t>Iran would put him at risk of being subject to torture or cruel, inhuman or degrading treatment or punishment</w:t>
      </w:r>
      <w:r w:rsidR="0058542A" w:rsidRPr="00821AC3">
        <w:t>,</w:t>
      </w:r>
      <w:r w:rsidR="00E2691A" w:rsidRPr="00821AC3">
        <w:t xml:space="preserve"> given that he</w:t>
      </w:r>
      <w:r w:rsidR="00E74019" w:rsidRPr="00821AC3">
        <w:t xml:space="preserve"> </w:t>
      </w:r>
      <w:r w:rsidR="000A2910" w:rsidRPr="00821AC3">
        <w:t xml:space="preserve">has always </w:t>
      </w:r>
      <w:r w:rsidR="00E74019" w:rsidRPr="00821AC3">
        <w:t>lived in refugee camps in Iraq</w:t>
      </w:r>
      <w:r w:rsidR="0058542A" w:rsidRPr="00821AC3">
        <w:t>,</w:t>
      </w:r>
      <w:r w:rsidR="00E74019" w:rsidRPr="00821AC3">
        <w:t xml:space="preserve"> such as </w:t>
      </w:r>
      <w:r w:rsidR="0058542A" w:rsidRPr="00821AC3">
        <w:t xml:space="preserve">the </w:t>
      </w:r>
      <w:r w:rsidR="00E74019" w:rsidRPr="00821AC3">
        <w:t>Al-Tash and Barika</w:t>
      </w:r>
      <w:r w:rsidR="0058542A" w:rsidRPr="00821AC3">
        <w:t xml:space="preserve"> camps</w:t>
      </w:r>
      <w:r w:rsidR="00E74019" w:rsidRPr="00821AC3">
        <w:t xml:space="preserve">, which </w:t>
      </w:r>
      <w:r w:rsidR="00DA78C1" w:rsidRPr="00821AC3">
        <w:t xml:space="preserve">are </w:t>
      </w:r>
      <w:r w:rsidR="00553850" w:rsidRPr="00821AC3">
        <w:t>considered as</w:t>
      </w:r>
      <w:r w:rsidR="00E74019" w:rsidRPr="00821AC3">
        <w:t xml:space="preserve"> </w:t>
      </w:r>
      <w:r w:rsidR="00553850" w:rsidRPr="00821AC3">
        <w:t xml:space="preserve">affiliated </w:t>
      </w:r>
      <w:r w:rsidR="00E74019" w:rsidRPr="00821AC3">
        <w:t>to</w:t>
      </w:r>
      <w:r w:rsidR="000344FA" w:rsidRPr="00821AC3">
        <w:t xml:space="preserve"> Kurdish </w:t>
      </w:r>
      <w:r w:rsidR="00837D1C" w:rsidRPr="00821AC3">
        <w:t xml:space="preserve">political </w:t>
      </w:r>
      <w:r w:rsidR="000344FA" w:rsidRPr="00821AC3">
        <w:t>parties</w:t>
      </w:r>
      <w:r w:rsidR="00E74019" w:rsidRPr="00821AC3">
        <w:t xml:space="preserve">. He argues that </w:t>
      </w:r>
      <w:r w:rsidR="00602F70" w:rsidRPr="00821AC3">
        <w:t xml:space="preserve">he </w:t>
      </w:r>
      <w:r w:rsidR="00206509" w:rsidRPr="00821AC3">
        <w:t>will be automatically perceived by Iranian authorities as a political activist</w:t>
      </w:r>
      <w:r w:rsidR="007A4D71" w:rsidRPr="00821AC3">
        <w:t xml:space="preserve"> and supporter </w:t>
      </w:r>
      <w:r w:rsidR="00051C8C" w:rsidRPr="00821AC3">
        <w:t xml:space="preserve">of </w:t>
      </w:r>
      <w:r w:rsidR="000344FA" w:rsidRPr="00821AC3">
        <w:t xml:space="preserve">such </w:t>
      </w:r>
      <w:r w:rsidR="00206509" w:rsidRPr="00821AC3">
        <w:t>parties</w:t>
      </w:r>
      <w:r w:rsidR="009128CB" w:rsidRPr="00821AC3">
        <w:t xml:space="preserve"> for the following reasons: (a) </w:t>
      </w:r>
      <w:r w:rsidR="00553850" w:rsidRPr="00821AC3">
        <w:t xml:space="preserve">his membership </w:t>
      </w:r>
      <w:r w:rsidR="0094332E" w:rsidRPr="00821AC3">
        <w:t xml:space="preserve">of the </w:t>
      </w:r>
      <w:r w:rsidR="0094332E" w:rsidRPr="00821AC3">
        <w:rPr>
          <w:lang w:val="en-US"/>
        </w:rPr>
        <w:t>Kurdistan Freedom Party</w:t>
      </w:r>
      <w:r w:rsidR="009128CB" w:rsidRPr="00821AC3">
        <w:t>; (b)</w:t>
      </w:r>
      <w:r w:rsidR="00070207" w:rsidRPr="00821AC3">
        <w:t xml:space="preserve"> </w:t>
      </w:r>
      <w:r w:rsidR="00553850" w:rsidRPr="00821AC3">
        <w:t>his participation</w:t>
      </w:r>
      <w:r w:rsidR="00070207" w:rsidRPr="00821AC3">
        <w:t xml:space="preserve"> in activities organized by </w:t>
      </w:r>
      <w:r w:rsidR="0094332E" w:rsidRPr="00821AC3">
        <w:t xml:space="preserve">the </w:t>
      </w:r>
      <w:r w:rsidR="0094332E" w:rsidRPr="00821AC3">
        <w:rPr>
          <w:lang w:val="en-US"/>
        </w:rPr>
        <w:t>Kurdistan Freedom Party</w:t>
      </w:r>
      <w:r w:rsidR="000344FA" w:rsidRPr="00821AC3">
        <w:t xml:space="preserve">, </w:t>
      </w:r>
      <w:r w:rsidR="0094332E" w:rsidRPr="00821AC3">
        <w:t xml:space="preserve">the </w:t>
      </w:r>
      <w:r w:rsidR="0094332E" w:rsidRPr="00821AC3">
        <w:rPr>
          <w:lang w:val="en-US"/>
        </w:rPr>
        <w:t>Democratic Party of Iranian Kurdistan</w:t>
      </w:r>
      <w:r w:rsidR="0094332E" w:rsidRPr="00821AC3">
        <w:t xml:space="preserve"> </w:t>
      </w:r>
      <w:r w:rsidR="000344FA" w:rsidRPr="00821AC3">
        <w:t>and Komala</w:t>
      </w:r>
      <w:r w:rsidR="00DA78C1" w:rsidRPr="00821AC3">
        <w:t xml:space="preserve"> </w:t>
      </w:r>
      <w:r w:rsidR="009128CB" w:rsidRPr="00821AC3">
        <w:t>and</w:t>
      </w:r>
      <w:r w:rsidR="00070207" w:rsidRPr="00821AC3">
        <w:t xml:space="preserve"> in Kurd festivities</w:t>
      </w:r>
      <w:r w:rsidR="00401413" w:rsidRPr="00821AC3">
        <w:t xml:space="preserve"> </w:t>
      </w:r>
      <w:r w:rsidR="000344FA" w:rsidRPr="00821AC3">
        <w:t xml:space="preserve">celebrated </w:t>
      </w:r>
      <w:r w:rsidR="00401413" w:rsidRPr="00821AC3">
        <w:t>in Northern Iraq</w:t>
      </w:r>
      <w:r w:rsidR="009128CB" w:rsidRPr="00821AC3">
        <w:t>; (c)</w:t>
      </w:r>
      <w:r w:rsidR="00602F70" w:rsidRPr="00821AC3">
        <w:t xml:space="preserve"> </w:t>
      </w:r>
      <w:r w:rsidR="009128CB" w:rsidRPr="00821AC3">
        <w:t xml:space="preserve">the fact that </w:t>
      </w:r>
      <w:r w:rsidR="00602F70" w:rsidRPr="00821AC3">
        <w:t xml:space="preserve">his father is a member of the </w:t>
      </w:r>
      <w:r w:rsidR="0094332E" w:rsidRPr="00821AC3">
        <w:rPr>
          <w:lang w:val="en-US"/>
        </w:rPr>
        <w:t>Democratic Party of Iranian Kurdistan</w:t>
      </w:r>
      <w:r w:rsidR="009128CB" w:rsidRPr="00821AC3">
        <w:t>; and (d)</w:t>
      </w:r>
      <w:r w:rsidR="00602F70" w:rsidRPr="00821AC3">
        <w:t xml:space="preserve"> </w:t>
      </w:r>
      <w:r w:rsidR="009128CB" w:rsidRPr="00821AC3">
        <w:t>his own</w:t>
      </w:r>
      <w:r w:rsidR="00602F70" w:rsidRPr="00821AC3">
        <w:t xml:space="preserve"> </w:t>
      </w:r>
      <w:r w:rsidR="009128CB" w:rsidRPr="00821AC3">
        <w:t xml:space="preserve">participation </w:t>
      </w:r>
      <w:r w:rsidR="00602F70" w:rsidRPr="00821AC3">
        <w:t>in meetings</w:t>
      </w:r>
      <w:r w:rsidR="0058542A" w:rsidRPr="00821AC3">
        <w:t xml:space="preserve"> of the </w:t>
      </w:r>
      <w:r w:rsidR="0058542A" w:rsidRPr="00821AC3">
        <w:rPr>
          <w:lang w:val="en-US"/>
        </w:rPr>
        <w:t>Democratic Party of Iranian Kurdistan</w:t>
      </w:r>
      <w:r w:rsidR="00602F70" w:rsidRPr="00821AC3">
        <w:t xml:space="preserve">. He </w:t>
      </w:r>
      <w:r w:rsidR="009128CB" w:rsidRPr="00821AC3">
        <w:t xml:space="preserve">further </w:t>
      </w:r>
      <w:r w:rsidR="00602F70" w:rsidRPr="00821AC3">
        <w:t>argues that there is an intense presence of</w:t>
      </w:r>
      <w:r w:rsidR="00051C8C" w:rsidRPr="00821AC3">
        <w:t xml:space="preserve"> </w:t>
      </w:r>
      <w:r w:rsidR="005321CD" w:rsidRPr="00821AC3">
        <w:t xml:space="preserve">the </w:t>
      </w:r>
      <w:r w:rsidR="00602F70" w:rsidRPr="00821AC3">
        <w:t xml:space="preserve">Iranian </w:t>
      </w:r>
      <w:r w:rsidR="0058542A" w:rsidRPr="00821AC3">
        <w:t>i</w:t>
      </w:r>
      <w:r w:rsidR="00602F70" w:rsidRPr="00821AC3">
        <w:t xml:space="preserve">ntelligence </w:t>
      </w:r>
      <w:r w:rsidR="0058542A" w:rsidRPr="00821AC3">
        <w:t>s</w:t>
      </w:r>
      <w:r w:rsidR="00895060" w:rsidRPr="00821AC3">
        <w:t xml:space="preserve">ervice </w:t>
      </w:r>
      <w:r w:rsidR="00602F70" w:rsidRPr="00821AC3">
        <w:t xml:space="preserve">in Iraq, </w:t>
      </w:r>
      <w:r w:rsidR="009128CB" w:rsidRPr="00821AC3">
        <w:t>and that</w:t>
      </w:r>
      <w:r w:rsidR="00A95258" w:rsidRPr="00821AC3">
        <w:t xml:space="preserve"> Iranian authorities therefore know of</w:t>
      </w:r>
      <w:r w:rsidR="009128CB" w:rsidRPr="00821AC3">
        <w:t xml:space="preserve"> </w:t>
      </w:r>
      <w:r w:rsidR="00602F70" w:rsidRPr="00821AC3">
        <w:t xml:space="preserve">any political activity </w:t>
      </w:r>
      <w:r w:rsidR="00A95258" w:rsidRPr="00821AC3">
        <w:t>taking place there</w:t>
      </w:r>
      <w:r w:rsidR="00602F70" w:rsidRPr="00821AC3">
        <w:t>.</w:t>
      </w:r>
      <w:r w:rsidR="00F57A6D" w:rsidRPr="00821AC3">
        <w:t xml:space="preserve"> </w:t>
      </w:r>
    </w:p>
    <w:p w14:paraId="1AD65E30" w14:textId="77777777" w:rsidR="00AD50AB" w:rsidRPr="00821AC3" w:rsidRDefault="00602F70">
      <w:pPr>
        <w:pStyle w:val="SingleTxtG"/>
      </w:pPr>
      <w:r w:rsidRPr="00821AC3">
        <w:t>3.2</w:t>
      </w:r>
      <w:r w:rsidRPr="00821AC3">
        <w:tab/>
      </w:r>
      <w:r w:rsidR="00BC099C" w:rsidRPr="00821AC3">
        <w:t xml:space="preserve">Similarly, the </w:t>
      </w:r>
      <w:r w:rsidRPr="00821AC3">
        <w:t xml:space="preserve">author claims that the fact that he lived in </w:t>
      </w:r>
      <w:r w:rsidR="0058542A" w:rsidRPr="00821AC3">
        <w:t xml:space="preserve">the </w:t>
      </w:r>
      <w:r w:rsidRPr="00821AC3">
        <w:t xml:space="preserve">Al-Tash and Barika refugee camps will </w:t>
      </w:r>
      <w:r w:rsidR="005321CD" w:rsidRPr="00821AC3">
        <w:t xml:space="preserve">entail a presumption </w:t>
      </w:r>
      <w:r w:rsidR="00051C8C" w:rsidRPr="00821AC3">
        <w:t>by</w:t>
      </w:r>
      <w:r w:rsidRPr="00821AC3">
        <w:t xml:space="preserve"> the Iranian authorities</w:t>
      </w:r>
      <w:r w:rsidR="00051C8C" w:rsidRPr="00821AC3">
        <w:t xml:space="preserve"> </w:t>
      </w:r>
      <w:r w:rsidR="00573CEA" w:rsidRPr="00821AC3">
        <w:t xml:space="preserve">that he has </w:t>
      </w:r>
      <w:r w:rsidRPr="00821AC3">
        <w:t xml:space="preserve">information about Kurdish parties active in the camps. </w:t>
      </w:r>
      <w:r w:rsidR="00665513" w:rsidRPr="00821AC3">
        <w:t xml:space="preserve">In compliance with their common practice, </w:t>
      </w:r>
      <w:r w:rsidRPr="00821AC3">
        <w:t xml:space="preserve">the Iranian </w:t>
      </w:r>
      <w:r w:rsidR="0058542A" w:rsidRPr="00821AC3">
        <w:t>i</w:t>
      </w:r>
      <w:r w:rsidRPr="00821AC3">
        <w:t xml:space="preserve">ntelligence </w:t>
      </w:r>
      <w:r w:rsidR="0058542A" w:rsidRPr="00821AC3">
        <w:t>s</w:t>
      </w:r>
      <w:r w:rsidRPr="00821AC3">
        <w:t xml:space="preserve">ervice </w:t>
      </w:r>
      <w:r w:rsidR="00665513" w:rsidRPr="00821AC3">
        <w:t xml:space="preserve">will </w:t>
      </w:r>
      <w:r w:rsidR="00A95258" w:rsidRPr="00821AC3">
        <w:t>require</w:t>
      </w:r>
      <w:r w:rsidR="00665513" w:rsidRPr="00821AC3">
        <w:t xml:space="preserve"> him </w:t>
      </w:r>
      <w:r w:rsidRPr="00821AC3">
        <w:t>to provide information and</w:t>
      </w:r>
      <w:r w:rsidR="0058542A" w:rsidRPr="00821AC3">
        <w:t>,</w:t>
      </w:r>
      <w:r w:rsidRPr="00821AC3">
        <w:t xml:space="preserve"> if </w:t>
      </w:r>
      <w:r w:rsidR="00977043" w:rsidRPr="00821AC3">
        <w:t xml:space="preserve">he </w:t>
      </w:r>
      <w:r w:rsidRPr="00821AC3">
        <w:t>refuse</w:t>
      </w:r>
      <w:r w:rsidR="00051C8C" w:rsidRPr="00821AC3">
        <w:t>s</w:t>
      </w:r>
      <w:r w:rsidRPr="00821AC3">
        <w:t xml:space="preserve">, </w:t>
      </w:r>
      <w:r w:rsidR="00977043" w:rsidRPr="00821AC3">
        <w:t xml:space="preserve">he will </w:t>
      </w:r>
      <w:r w:rsidR="00051C8C" w:rsidRPr="00821AC3">
        <w:t>be</w:t>
      </w:r>
      <w:r w:rsidRPr="00821AC3">
        <w:t xml:space="preserve"> accused of being </w:t>
      </w:r>
      <w:r w:rsidR="00977043" w:rsidRPr="00821AC3">
        <w:t xml:space="preserve">a spy </w:t>
      </w:r>
      <w:r w:rsidRPr="00821AC3">
        <w:t xml:space="preserve">and </w:t>
      </w:r>
      <w:r w:rsidR="00977043" w:rsidRPr="00821AC3">
        <w:t>be</w:t>
      </w:r>
      <w:r w:rsidR="00051C8C" w:rsidRPr="00821AC3">
        <w:t xml:space="preserve"> </w:t>
      </w:r>
      <w:r w:rsidRPr="00821AC3">
        <w:t>persecuted.</w:t>
      </w:r>
    </w:p>
    <w:p w14:paraId="2CE826DD" w14:textId="77777777" w:rsidR="00BC099C" w:rsidRPr="00821AC3" w:rsidRDefault="00BC099C">
      <w:pPr>
        <w:pStyle w:val="SingleTxtG"/>
      </w:pPr>
      <w:r w:rsidRPr="00821AC3">
        <w:t>3.</w:t>
      </w:r>
      <w:r w:rsidR="00884D72" w:rsidRPr="00821AC3">
        <w:t>3</w:t>
      </w:r>
      <w:r w:rsidRPr="00821AC3">
        <w:tab/>
        <w:t xml:space="preserve">The author adds that the fact that he is not registered in </w:t>
      </w:r>
      <w:r w:rsidR="001877EE" w:rsidRPr="00821AC3">
        <w:rPr>
          <w:iCs/>
        </w:rPr>
        <w:t xml:space="preserve">the Islamic Republic of </w:t>
      </w:r>
      <w:r w:rsidRPr="00821AC3">
        <w:t>Iran, has no identification documents and does not speak Farsi increases the risk or persecution, in violation of article 7 of the Convention. He mentions that</w:t>
      </w:r>
      <w:r w:rsidR="0085117C" w:rsidRPr="00821AC3">
        <w:t xml:space="preserve"> </w:t>
      </w:r>
      <w:r w:rsidR="00B33C8E" w:rsidRPr="00821AC3">
        <w:t xml:space="preserve">the treatment of returning Kurds by Iranian authorities is unpredictable and that </w:t>
      </w:r>
      <w:r w:rsidRPr="00821AC3">
        <w:t>the risk of being subjected to torture or cruel, inhuman or degrading treatment or punishment is especially high</w:t>
      </w:r>
      <w:r w:rsidR="00B33C8E" w:rsidRPr="00821AC3">
        <w:t xml:space="preserve"> for persons who have his profile</w:t>
      </w:r>
      <w:r w:rsidRPr="00821AC3">
        <w:t xml:space="preserve">. </w:t>
      </w:r>
    </w:p>
    <w:p w14:paraId="6127B470" w14:textId="77777777" w:rsidR="00C764DF" w:rsidRPr="00821AC3" w:rsidRDefault="005028F4" w:rsidP="00154691">
      <w:pPr>
        <w:pStyle w:val="SingleTxtG"/>
      </w:pPr>
      <w:r w:rsidRPr="00821AC3">
        <w:t>3</w:t>
      </w:r>
      <w:r w:rsidR="00BC099C" w:rsidRPr="00821AC3">
        <w:t>.4</w:t>
      </w:r>
      <w:r w:rsidR="00AD50AB" w:rsidRPr="00821AC3">
        <w:tab/>
        <w:t xml:space="preserve">The author </w:t>
      </w:r>
      <w:r w:rsidR="00BC099C" w:rsidRPr="00821AC3">
        <w:t xml:space="preserve">further </w:t>
      </w:r>
      <w:r w:rsidR="00AD50AB" w:rsidRPr="00821AC3">
        <w:t xml:space="preserve">claims that he </w:t>
      </w:r>
      <w:r w:rsidR="005A1B2D" w:rsidRPr="00821AC3">
        <w:t>supports</w:t>
      </w:r>
      <w:r w:rsidR="00785BDA" w:rsidRPr="00821AC3">
        <w:t xml:space="preserve"> the Kurd</w:t>
      </w:r>
      <w:r w:rsidR="0058542A" w:rsidRPr="00821AC3">
        <w:t>ish</w:t>
      </w:r>
      <w:r w:rsidR="00785BDA" w:rsidRPr="00821AC3">
        <w:t xml:space="preserve"> cause, </w:t>
      </w:r>
      <w:r w:rsidR="005A1B2D" w:rsidRPr="00821AC3">
        <w:t>fighting</w:t>
      </w:r>
      <w:r w:rsidR="00AD50AB" w:rsidRPr="00821AC3">
        <w:t xml:space="preserve"> for an independent Kurdistan and the rights of Kurds. If returned to </w:t>
      </w:r>
      <w:r w:rsidR="001877EE" w:rsidRPr="00821AC3">
        <w:rPr>
          <w:iCs/>
        </w:rPr>
        <w:t xml:space="preserve">the Islamic Republic of </w:t>
      </w:r>
      <w:r w:rsidR="00AD50AB" w:rsidRPr="00821AC3">
        <w:t xml:space="preserve">Iran, he will </w:t>
      </w:r>
      <w:r w:rsidR="005A1B2D" w:rsidRPr="00821AC3">
        <w:t>have to refrain from expressing</w:t>
      </w:r>
      <w:r w:rsidR="00AD50AB" w:rsidRPr="00821AC3">
        <w:t xml:space="preserve"> support to the Kurd</w:t>
      </w:r>
      <w:r w:rsidR="0058542A" w:rsidRPr="00821AC3">
        <w:t>ish</w:t>
      </w:r>
      <w:r w:rsidR="00AD50AB" w:rsidRPr="00821AC3">
        <w:t xml:space="preserve"> cause in order to avoid persecution</w:t>
      </w:r>
      <w:r w:rsidR="005A1B2D" w:rsidRPr="00821AC3">
        <w:t>, in violation of his freedom of expression</w:t>
      </w:r>
      <w:r w:rsidR="00154691" w:rsidRPr="00821AC3">
        <w:t>.</w:t>
      </w:r>
      <w:r w:rsidR="005A1B2D" w:rsidRPr="00821AC3">
        <w:rPr>
          <w:rStyle w:val="FootnoteReference"/>
        </w:rPr>
        <w:footnoteReference w:id="14"/>
      </w:r>
    </w:p>
    <w:p w14:paraId="4B4229D1" w14:textId="77777777" w:rsidR="00AA20C8" w:rsidRPr="00821AC3" w:rsidRDefault="005028F4">
      <w:pPr>
        <w:pStyle w:val="SingleTxtG"/>
      </w:pPr>
      <w:r w:rsidRPr="00821AC3">
        <w:t>3.5</w:t>
      </w:r>
      <w:r w:rsidR="008A7ABE" w:rsidRPr="00821AC3">
        <w:tab/>
      </w:r>
      <w:r w:rsidR="00BC099C" w:rsidRPr="00821AC3">
        <w:t xml:space="preserve">Finally, the </w:t>
      </w:r>
      <w:r w:rsidR="008A7ABE" w:rsidRPr="00821AC3">
        <w:t xml:space="preserve">author argues that the </w:t>
      </w:r>
      <w:r w:rsidR="003B0F08" w:rsidRPr="00821AC3">
        <w:rPr>
          <w:lang w:val="en-US"/>
        </w:rPr>
        <w:t>refugee appeals board,</w:t>
      </w:r>
      <w:r w:rsidR="008A7ABE" w:rsidRPr="00821AC3">
        <w:t xml:space="preserve"> in its decision of 18 March 2014</w:t>
      </w:r>
      <w:r w:rsidR="003B0F08" w:rsidRPr="00821AC3">
        <w:t>,</w:t>
      </w:r>
      <w:r w:rsidR="008A7ABE" w:rsidRPr="00821AC3">
        <w:t xml:space="preserve"> violated his right to equal protection of the law</w:t>
      </w:r>
      <w:r w:rsidR="00D744ED" w:rsidRPr="00821AC3">
        <w:t xml:space="preserve"> under article 26 of the Covenant</w:t>
      </w:r>
      <w:r w:rsidR="002624CC" w:rsidRPr="00821AC3">
        <w:t xml:space="preserve"> insofar as</w:t>
      </w:r>
      <w:r w:rsidR="006861FD" w:rsidRPr="00821AC3">
        <w:t xml:space="preserve"> the</w:t>
      </w:r>
      <w:r w:rsidR="00176EA2" w:rsidRPr="00821AC3">
        <w:t xml:space="preserve"> </w:t>
      </w:r>
      <w:r w:rsidR="00BF570D" w:rsidRPr="00821AC3">
        <w:t xml:space="preserve">decision </w:t>
      </w:r>
      <w:r w:rsidR="003B0F08" w:rsidRPr="00821AC3">
        <w:t xml:space="preserve">of the board </w:t>
      </w:r>
      <w:r w:rsidR="00317389" w:rsidRPr="00821AC3">
        <w:t xml:space="preserve">to </w:t>
      </w:r>
      <w:r w:rsidR="00BF570D" w:rsidRPr="00821AC3">
        <w:t xml:space="preserve">grant </w:t>
      </w:r>
      <w:r w:rsidR="006861FD" w:rsidRPr="00821AC3">
        <w:t xml:space="preserve">asylum </w:t>
      </w:r>
      <w:r w:rsidR="002624CC" w:rsidRPr="00821AC3">
        <w:t>to his brother</w:t>
      </w:r>
      <w:r w:rsidR="006861FD" w:rsidRPr="00821AC3">
        <w:t xml:space="preserve"> </w:t>
      </w:r>
      <w:r w:rsidR="00176EA2" w:rsidRPr="00821AC3">
        <w:t xml:space="preserve">was </w:t>
      </w:r>
      <w:r w:rsidR="00317389" w:rsidRPr="00821AC3">
        <w:t xml:space="preserve">made </w:t>
      </w:r>
      <w:r w:rsidR="00BF570D" w:rsidRPr="00821AC3">
        <w:t xml:space="preserve">solely </w:t>
      </w:r>
      <w:r w:rsidR="006861FD" w:rsidRPr="00821AC3">
        <w:t xml:space="preserve">on the </w:t>
      </w:r>
      <w:r w:rsidR="00317389" w:rsidRPr="00821AC3">
        <w:t xml:space="preserve">basis </w:t>
      </w:r>
      <w:r w:rsidR="006861FD" w:rsidRPr="00821AC3">
        <w:t xml:space="preserve">that he </w:t>
      </w:r>
      <w:r w:rsidR="00317389" w:rsidRPr="00821AC3">
        <w:t xml:space="preserve">had </w:t>
      </w:r>
      <w:r w:rsidR="006861FD" w:rsidRPr="00821AC3">
        <w:t xml:space="preserve">resided in </w:t>
      </w:r>
      <w:r w:rsidR="00317389" w:rsidRPr="00821AC3">
        <w:t xml:space="preserve">the </w:t>
      </w:r>
      <w:r w:rsidR="006861FD" w:rsidRPr="00821AC3">
        <w:t>Al-Tash and Barika refugee camps</w:t>
      </w:r>
      <w:r w:rsidR="002624CC" w:rsidRPr="00821AC3">
        <w:t xml:space="preserve">, as </w:t>
      </w:r>
      <w:r w:rsidR="00317389" w:rsidRPr="00821AC3">
        <w:t xml:space="preserve">the author </w:t>
      </w:r>
      <w:r w:rsidR="002624CC" w:rsidRPr="00821AC3">
        <w:t xml:space="preserve">himself </w:t>
      </w:r>
      <w:r w:rsidR="00317389" w:rsidRPr="00821AC3">
        <w:t>had done</w:t>
      </w:r>
      <w:r w:rsidR="0085117C" w:rsidRPr="00821AC3">
        <w:t>,</w:t>
      </w:r>
      <w:r w:rsidR="00B9667F" w:rsidRPr="00821AC3">
        <w:t xml:space="preserve"> and the conditions of his case were similar to those of his brother</w:t>
      </w:r>
      <w:r w:rsidR="006861FD" w:rsidRPr="00821AC3">
        <w:t>.</w:t>
      </w:r>
      <w:r w:rsidR="002624CC" w:rsidRPr="00821AC3">
        <w:t xml:space="preserve"> The author therefore considers </w:t>
      </w:r>
      <w:r w:rsidR="00914C00" w:rsidRPr="00821AC3">
        <w:t xml:space="preserve">that </w:t>
      </w:r>
      <w:r w:rsidR="00582E85" w:rsidRPr="00821AC3">
        <w:t xml:space="preserve">the </w:t>
      </w:r>
      <w:r w:rsidR="003B0F08" w:rsidRPr="00821AC3">
        <w:t xml:space="preserve">board </w:t>
      </w:r>
      <w:r w:rsidR="00582E85" w:rsidRPr="00821AC3">
        <w:t xml:space="preserve">should have reached </w:t>
      </w:r>
      <w:r w:rsidR="00176EA2" w:rsidRPr="00821AC3">
        <w:t xml:space="preserve">the same </w:t>
      </w:r>
      <w:r w:rsidR="00582E85" w:rsidRPr="00821AC3">
        <w:t>conclusion</w:t>
      </w:r>
      <w:r w:rsidR="00401413" w:rsidRPr="00821AC3">
        <w:t xml:space="preserve"> in both</w:t>
      </w:r>
      <w:r w:rsidR="00176EA2" w:rsidRPr="00821AC3">
        <w:t xml:space="preserve"> case</w:t>
      </w:r>
      <w:r w:rsidR="00401413" w:rsidRPr="00821AC3">
        <w:t>s</w:t>
      </w:r>
      <w:r w:rsidR="00176EA2" w:rsidRPr="00821AC3">
        <w:t xml:space="preserve">. The author alleges that </w:t>
      </w:r>
      <w:r w:rsidR="002473A3" w:rsidRPr="00821AC3">
        <w:t xml:space="preserve">the consequences of deportation to </w:t>
      </w:r>
      <w:r w:rsidR="001877EE" w:rsidRPr="00821AC3">
        <w:rPr>
          <w:iCs/>
        </w:rPr>
        <w:t xml:space="preserve">the Islamic Republic of </w:t>
      </w:r>
      <w:r w:rsidR="002473A3" w:rsidRPr="00821AC3">
        <w:t xml:space="preserve">Iran would be very serious </w:t>
      </w:r>
      <w:r w:rsidR="00E707D3" w:rsidRPr="00821AC3">
        <w:t xml:space="preserve">because, based on the legitimate expectation that he would be granted asylum in Denmark, as his brother </w:t>
      </w:r>
      <w:r w:rsidR="00317389" w:rsidRPr="00821AC3">
        <w:t xml:space="preserve">had been </w:t>
      </w:r>
      <w:r w:rsidR="00E707D3" w:rsidRPr="00821AC3">
        <w:t xml:space="preserve">in 2010, </w:t>
      </w:r>
      <w:r w:rsidR="0085117C" w:rsidRPr="00821AC3">
        <w:t xml:space="preserve">he had </w:t>
      </w:r>
      <w:r w:rsidR="001C4993" w:rsidRPr="00821AC3">
        <w:t xml:space="preserve">renounced </w:t>
      </w:r>
      <w:r w:rsidR="002473A3" w:rsidRPr="00821AC3">
        <w:t xml:space="preserve">his refugee status in Iraq and </w:t>
      </w:r>
      <w:r w:rsidR="002624CC" w:rsidRPr="00821AC3">
        <w:t xml:space="preserve">would therefore not </w:t>
      </w:r>
      <w:r w:rsidR="002473A3" w:rsidRPr="00821AC3">
        <w:t xml:space="preserve">be able to return </w:t>
      </w:r>
      <w:r w:rsidR="002624CC" w:rsidRPr="00821AC3">
        <w:t>there</w:t>
      </w:r>
      <w:r w:rsidR="002473A3" w:rsidRPr="00821AC3">
        <w:t>.</w:t>
      </w:r>
      <w:r w:rsidR="00E707D3" w:rsidRPr="00821AC3">
        <w:t xml:space="preserve"> </w:t>
      </w:r>
      <w:r w:rsidR="002473A3" w:rsidRPr="00821AC3">
        <w:t xml:space="preserve"> </w:t>
      </w:r>
    </w:p>
    <w:p w14:paraId="444B1DCD" w14:textId="77777777" w:rsidR="003521FD" w:rsidRPr="00821AC3" w:rsidRDefault="003521FD" w:rsidP="006358CB">
      <w:pPr>
        <w:pStyle w:val="H23G"/>
        <w:spacing w:line="240" w:lineRule="auto"/>
      </w:pPr>
      <w:r w:rsidRPr="00821AC3">
        <w:lastRenderedPageBreak/>
        <w:tab/>
      </w:r>
      <w:r w:rsidRPr="00821AC3">
        <w:tab/>
        <w:t>State party’s observations on admissibility and merits</w:t>
      </w:r>
    </w:p>
    <w:p w14:paraId="10C32A60" w14:textId="77777777" w:rsidR="00425C22" w:rsidRPr="00821AC3" w:rsidRDefault="003521FD">
      <w:pPr>
        <w:pStyle w:val="SingleTxtG"/>
      </w:pPr>
      <w:r w:rsidRPr="00821AC3">
        <w:t>4.1</w:t>
      </w:r>
      <w:r w:rsidRPr="00821AC3">
        <w:tab/>
      </w:r>
      <w:r w:rsidR="000931D3" w:rsidRPr="00821AC3">
        <w:t>On</w:t>
      </w:r>
      <w:r w:rsidRPr="00821AC3">
        <w:t xml:space="preserve"> </w:t>
      </w:r>
      <w:r w:rsidR="00425C22" w:rsidRPr="00821AC3">
        <w:t>17</w:t>
      </w:r>
      <w:r w:rsidR="000931D3" w:rsidRPr="00821AC3">
        <w:t xml:space="preserve"> </w:t>
      </w:r>
      <w:r w:rsidR="00425C22" w:rsidRPr="00821AC3">
        <w:t>Novem</w:t>
      </w:r>
      <w:r w:rsidR="000931D3" w:rsidRPr="00821AC3">
        <w:t>ber 2014</w:t>
      </w:r>
      <w:r w:rsidRPr="00821AC3">
        <w:t xml:space="preserve">, the State party submitted its observations on </w:t>
      </w:r>
      <w:r w:rsidR="000931D3" w:rsidRPr="00821AC3">
        <w:t xml:space="preserve">the </w:t>
      </w:r>
      <w:r w:rsidRPr="00821AC3">
        <w:t>admissibility</w:t>
      </w:r>
      <w:r w:rsidR="000931D3" w:rsidRPr="00821AC3">
        <w:t xml:space="preserve"> </w:t>
      </w:r>
      <w:r w:rsidR="00EC53FB" w:rsidRPr="00821AC3">
        <w:t xml:space="preserve">and merits </w:t>
      </w:r>
      <w:r w:rsidR="000931D3" w:rsidRPr="00821AC3">
        <w:t>of the communication</w:t>
      </w:r>
      <w:r w:rsidRPr="00821AC3">
        <w:t>.</w:t>
      </w:r>
      <w:r w:rsidR="000931D3" w:rsidRPr="00821AC3">
        <w:t xml:space="preserve"> </w:t>
      </w:r>
      <w:r w:rsidR="00D744ED" w:rsidRPr="00821AC3">
        <w:t>It considers</w:t>
      </w:r>
      <w:r w:rsidR="00425C22" w:rsidRPr="00821AC3">
        <w:t xml:space="preserve"> that the communication should be </w:t>
      </w:r>
      <w:r w:rsidR="00D744ED" w:rsidRPr="00821AC3">
        <w:t xml:space="preserve">held </w:t>
      </w:r>
      <w:r w:rsidR="00425C22" w:rsidRPr="00821AC3">
        <w:t xml:space="preserve">inadmissible for lack of substantiation of the author’s </w:t>
      </w:r>
      <w:r w:rsidR="00D744ED" w:rsidRPr="00821AC3">
        <w:t xml:space="preserve">allegations as to the </w:t>
      </w:r>
      <w:r w:rsidR="00425C22" w:rsidRPr="00821AC3">
        <w:t xml:space="preserve">risk of being subject to torture or </w:t>
      </w:r>
      <w:r w:rsidR="00E13C5B" w:rsidRPr="00821AC3">
        <w:t>ill</w:t>
      </w:r>
      <w:r w:rsidR="008F6426" w:rsidRPr="00821AC3">
        <w:t>-</w:t>
      </w:r>
      <w:r w:rsidR="00E13C5B" w:rsidRPr="00821AC3">
        <w:t xml:space="preserve">treatment </w:t>
      </w:r>
      <w:r w:rsidR="00425C22" w:rsidRPr="00821AC3">
        <w:t xml:space="preserve">if returned to </w:t>
      </w:r>
      <w:r w:rsidR="001877EE" w:rsidRPr="00821AC3">
        <w:rPr>
          <w:iCs/>
        </w:rPr>
        <w:t xml:space="preserve">the Islamic Republic of </w:t>
      </w:r>
      <w:r w:rsidR="00425C22" w:rsidRPr="00821AC3">
        <w:t>Iran</w:t>
      </w:r>
      <w:r w:rsidR="000E17C5" w:rsidRPr="00821AC3">
        <w:t>, and</w:t>
      </w:r>
      <w:r w:rsidR="00425C22" w:rsidRPr="00821AC3">
        <w:t xml:space="preserve"> </w:t>
      </w:r>
      <w:r w:rsidR="00D744ED" w:rsidRPr="00821AC3">
        <w:t xml:space="preserve">as to the discriminatory character of </w:t>
      </w:r>
      <w:r w:rsidR="00425C22" w:rsidRPr="00821AC3">
        <w:t xml:space="preserve">the </w:t>
      </w:r>
      <w:r w:rsidR="003B0F08" w:rsidRPr="00821AC3">
        <w:rPr>
          <w:lang w:val="en-US"/>
        </w:rPr>
        <w:t>refugee appeals board</w:t>
      </w:r>
      <w:r w:rsidR="00425C22" w:rsidRPr="00821AC3">
        <w:t xml:space="preserve"> decision of 18 March 2014. </w:t>
      </w:r>
    </w:p>
    <w:p w14:paraId="2A3D63BE" w14:textId="77777777" w:rsidR="004C6E5E" w:rsidRPr="00821AC3" w:rsidRDefault="005028F4">
      <w:pPr>
        <w:pStyle w:val="SingleTxtG"/>
      </w:pPr>
      <w:r w:rsidRPr="00821AC3">
        <w:t>4.2</w:t>
      </w:r>
      <w:r w:rsidR="00425C22" w:rsidRPr="00821AC3">
        <w:tab/>
        <w:t>The State</w:t>
      </w:r>
      <w:r w:rsidR="000344FA" w:rsidRPr="00821AC3">
        <w:t xml:space="preserve"> party</w:t>
      </w:r>
      <w:r w:rsidR="00425C22" w:rsidRPr="00821AC3">
        <w:t xml:space="preserve"> alleges that</w:t>
      </w:r>
      <w:r w:rsidR="00317389" w:rsidRPr="00821AC3">
        <w:t>,</w:t>
      </w:r>
      <w:r w:rsidR="00425C22" w:rsidRPr="00821AC3">
        <w:t xml:space="preserve"> should the communication be considered admissible, the facts as presented by the author do not reveal a violation of articles 7 and 26 of the Covenant. The State party</w:t>
      </w:r>
      <w:r w:rsidR="00531B86" w:rsidRPr="00821AC3">
        <w:t xml:space="preserve"> </w:t>
      </w:r>
      <w:r w:rsidR="00D744ED" w:rsidRPr="00821AC3">
        <w:t xml:space="preserve">refers to </w:t>
      </w:r>
      <w:r w:rsidR="00C079A4" w:rsidRPr="00821AC3">
        <w:t>the Committee</w:t>
      </w:r>
      <w:r w:rsidR="00D744ED" w:rsidRPr="00821AC3">
        <w:t>’s</w:t>
      </w:r>
      <w:r w:rsidR="00C079A4" w:rsidRPr="00821AC3">
        <w:t xml:space="preserve"> jurisprudence according to which the risk of being subject to torture or ill</w:t>
      </w:r>
      <w:r w:rsidR="008F6426" w:rsidRPr="00821AC3">
        <w:t>-</w:t>
      </w:r>
      <w:r w:rsidR="00C079A4" w:rsidRPr="00821AC3">
        <w:t>treatment must be personal and the author must provide substantial grounds to establish that a real risk of irreparable harm exists.</w:t>
      </w:r>
      <w:r w:rsidR="00C079A4" w:rsidRPr="00821AC3">
        <w:rPr>
          <w:rStyle w:val="FootnoteReference"/>
        </w:rPr>
        <w:footnoteReference w:id="15"/>
      </w:r>
    </w:p>
    <w:p w14:paraId="102832B6" w14:textId="77777777" w:rsidR="00AD5A37" w:rsidRPr="00821AC3" w:rsidRDefault="005028F4">
      <w:pPr>
        <w:pStyle w:val="SingleTxtG"/>
      </w:pPr>
      <w:r w:rsidRPr="00821AC3">
        <w:t>4.3</w:t>
      </w:r>
      <w:r w:rsidR="00AD5A37" w:rsidRPr="00821AC3">
        <w:tab/>
      </w:r>
      <w:r w:rsidR="00962222" w:rsidRPr="00821AC3">
        <w:t xml:space="preserve">The State party </w:t>
      </w:r>
      <w:r w:rsidR="00A06325" w:rsidRPr="00821AC3">
        <w:t>attests</w:t>
      </w:r>
      <w:r w:rsidR="0002760C" w:rsidRPr="00821AC3">
        <w:t xml:space="preserve"> </w:t>
      </w:r>
      <w:r w:rsidR="00962222" w:rsidRPr="00821AC3">
        <w:t>that</w:t>
      </w:r>
      <w:r w:rsidR="0002760C" w:rsidRPr="00821AC3">
        <w:t>,</w:t>
      </w:r>
      <w:r w:rsidR="00962222" w:rsidRPr="00821AC3">
        <w:t xml:space="preserve"> </w:t>
      </w:r>
      <w:r w:rsidR="00FD5F28" w:rsidRPr="00821AC3">
        <w:t xml:space="preserve">pursuant to section 7 (1) of the Aliens Act, a residence permit will be issued to an alien if he or she falls within the definition of refugee </w:t>
      </w:r>
      <w:r w:rsidR="004E01B1" w:rsidRPr="00821AC3">
        <w:t xml:space="preserve">under </w:t>
      </w:r>
      <w:r w:rsidR="00FD5F28" w:rsidRPr="00821AC3">
        <w:t xml:space="preserve">the Convention Relating to the Status of Refugees. Pursuant to section 7 (2) </w:t>
      </w:r>
      <w:r w:rsidR="000344FA" w:rsidRPr="00821AC3">
        <w:t xml:space="preserve">of </w:t>
      </w:r>
      <w:r w:rsidR="00FD5F28" w:rsidRPr="00821AC3">
        <w:t xml:space="preserve">the Act, a residence permit will be issued if </w:t>
      </w:r>
      <w:r w:rsidR="00067BB1" w:rsidRPr="00821AC3">
        <w:t xml:space="preserve">an </w:t>
      </w:r>
      <w:r w:rsidR="000970A9" w:rsidRPr="00821AC3">
        <w:t>asylum seeker</w:t>
      </w:r>
      <w:r w:rsidR="00FD5F28" w:rsidRPr="00821AC3">
        <w:t xml:space="preserve"> risks the death penalty or being subjected to torture or inhuman or degrading treatment or punishment in case of return to his or her country of origin. </w:t>
      </w:r>
      <w:r w:rsidR="005277ED" w:rsidRPr="00821AC3">
        <w:t>In addition, according to section 31 (2) of the Act, no alien may be returned to a country where he or she will face persecu</w:t>
      </w:r>
      <w:r w:rsidR="00725BB7" w:rsidRPr="00821AC3">
        <w:t>tion in the terms established in</w:t>
      </w:r>
      <w:r w:rsidR="005277ED" w:rsidRPr="00821AC3">
        <w:t xml:space="preserve"> the Convention. </w:t>
      </w:r>
      <w:r w:rsidR="00BE41FA" w:rsidRPr="00821AC3">
        <w:t xml:space="preserve">The State party </w:t>
      </w:r>
      <w:r w:rsidR="00A06325" w:rsidRPr="00821AC3">
        <w:t>also attests</w:t>
      </w:r>
      <w:r w:rsidR="0002760C" w:rsidRPr="00821AC3">
        <w:t xml:space="preserve"> </w:t>
      </w:r>
      <w:r w:rsidR="00BE41FA" w:rsidRPr="00821AC3">
        <w:t>that</w:t>
      </w:r>
      <w:r w:rsidR="0002760C" w:rsidRPr="00821AC3">
        <w:t>,</w:t>
      </w:r>
      <w:r w:rsidR="00BE41FA" w:rsidRPr="00821AC3">
        <w:t xml:space="preserve"> </w:t>
      </w:r>
      <w:r w:rsidR="0002760C" w:rsidRPr="00821AC3">
        <w:t xml:space="preserve">in order </w:t>
      </w:r>
      <w:r w:rsidR="001344A6" w:rsidRPr="00821AC3">
        <w:t>for</w:t>
      </w:r>
      <w:r w:rsidR="005277ED" w:rsidRPr="00821AC3">
        <w:t xml:space="preserve"> </w:t>
      </w:r>
      <w:r w:rsidR="003B0F08" w:rsidRPr="00821AC3">
        <w:rPr>
          <w:lang w:val="en-US"/>
        </w:rPr>
        <w:t>refugee appeals board</w:t>
      </w:r>
      <w:r w:rsidR="00D76D10" w:rsidRPr="00821AC3">
        <w:t xml:space="preserve"> </w:t>
      </w:r>
      <w:r w:rsidR="005277ED" w:rsidRPr="00821AC3">
        <w:t xml:space="preserve">decisions </w:t>
      </w:r>
      <w:r w:rsidR="001344A6" w:rsidRPr="00821AC3">
        <w:t xml:space="preserve">to be </w:t>
      </w:r>
      <w:r w:rsidR="005277ED" w:rsidRPr="00821AC3">
        <w:t xml:space="preserve">in accordance with Denmark’s international obligations, the </w:t>
      </w:r>
      <w:r w:rsidR="003B0F08" w:rsidRPr="00821AC3">
        <w:t xml:space="preserve">board </w:t>
      </w:r>
      <w:r w:rsidR="005277ED" w:rsidRPr="00821AC3">
        <w:t xml:space="preserve">and the </w:t>
      </w:r>
      <w:r w:rsidR="00500F7E" w:rsidRPr="00821AC3">
        <w:rPr>
          <w:lang w:val="en-US"/>
        </w:rPr>
        <w:t>Danish immigration service</w:t>
      </w:r>
      <w:r w:rsidR="005277ED" w:rsidRPr="00821AC3">
        <w:t xml:space="preserve"> have drafted memorand</w:t>
      </w:r>
      <w:r w:rsidR="0002760C" w:rsidRPr="00821AC3">
        <w:t>ums</w:t>
      </w:r>
      <w:r w:rsidR="005277ED" w:rsidRPr="00821AC3">
        <w:t xml:space="preserve"> describing the legal protection of asylum seekers afforded by international law, including the International Covenant on Civil and Political Rights.</w:t>
      </w:r>
      <w:r w:rsidR="00F57A6D" w:rsidRPr="00821AC3">
        <w:t xml:space="preserve"> </w:t>
      </w:r>
    </w:p>
    <w:p w14:paraId="712E3CEA" w14:textId="77777777" w:rsidR="000D7C47" w:rsidRPr="00821AC3" w:rsidRDefault="005028F4">
      <w:pPr>
        <w:pStyle w:val="SingleTxtG"/>
      </w:pPr>
      <w:r w:rsidRPr="00821AC3">
        <w:t>4.4</w:t>
      </w:r>
      <w:r w:rsidR="000D7C47" w:rsidRPr="00821AC3">
        <w:tab/>
      </w:r>
      <w:r w:rsidR="00725BB7" w:rsidRPr="00821AC3">
        <w:t xml:space="preserve">The State party </w:t>
      </w:r>
      <w:r w:rsidR="004A2ED0" w:rsidRPr="00821AC3">
        <w:t>describes</w:t>
      </w:r>
      <w:r w:rsidR="004370F4" w:rsidRPr="00821AC3">
        <w:t xml:space="preserve"> the proceedings before the </w:t>
      </w:r>
      <w:r w:rsidR="003B0F08" w:rsidRPr="00821AC3">
        <w:rPr>
          <w:lang w:val="en-US"/>
        </w:rPr>
        <w:t>refugee appeals board</w:t>
      </w:r>
      <w:r w:rsidR="001344A6" w:rsidRPr="00821AC3">
        <w:t xml:space="preserve">. These proceedings </w:t>
      </w:r>
      <w:r w:rsidR="004370F4" w:rsidRPr="00821AC3">
        <w:t xml:space="preserve">are oral. The </w:t>
      </w:r>
      <w:r w:rsidR="003B0F08" w:rsidRPr="00821AC3">
        <w:t xml:space="preserve">board </w:t>
      </w:r>
      <w:r w:rsidR="004370F4" w:rsidRPr="00821AC3">
        <w:t xml:space="preserve">may if needed assign a legal counsel to the asylum seeker free of charge. The asylum seeker attends a hearing where he is allowed to make a statement and answer questions. The decisions of the </w:t>
      </w:r>
      <w:r w:rsidR="003B0F08" w:rsidRPr="00821AC3">
        <w:t xml:space="preserve">board </w:t>
      </w:r>
      <w:r w:rsidR="004370F4" w:rsidRPr="00821AC3">
        <w:t xml:space="preserve">are </w:t>
      </w:r>
      <w:r w:rsidR="0002760C" w:rsidRPr="00821AC3">
        <w:t xml:space="preserve">made </w:t>
      </w:r>
      <w:r w:rsidR="004370F4" w:rsidRPr="00821AC3">
        <w:t xml:space="preserve">on </w:t>
      </w:r>
      <w:r w:rsidR="0002760C" w:rsidRPr="00821AC3">
        <w:t xml:space="preserve">the basis of </w:t>
      </w:r>
      <w:r w:rsidR="004370F4" w:rsidRPr="00821AC3">
        <w:t xml:space="preserve">an individual and specific assessment of the relevant case. The asylum seeker’s statements regarding his grounds for asylum are assessed in </w:t>
      </w:r>
      <w:r w:rsidR="001344A6" w:rsidRPr="00821AC3">
        <w:t xml:space="preserve">the </w:t>
      </w:r>
      <w:r w:rsidR="004370F4" w:rsidRPr="00821AC3">
        <w:t xml:space="preserve">light of all relevant evidence, including what is known about </w:t>
      </w:r>
      <w:r w:rsidR="0002760C" w:rsidRPr="00821AC3">
        <w:t xml:space="preserve">the </w:t>
      </w:r>
      <w:r w:rsidR="004370F4" w:rsidRPr="00821AC3">
        <w:t xml:space="preserve">conditions in </w:t>
      </w:r>
      <w:r w:rsidR="0002760C" w:rsidRPr="00821AC3">
        <w:t xml:space="preserve">his </w:t>
      </w:r>
      <w:r w:rsidR="004370F4" w:rsidRPr="00821AC3">
        <w:t xml:space="preserve">country of origin. In this </w:t>
      </w:r>
      <w:r w:rsidR="001344A6" w:rsidRPr="00821AC3">
        <w:t>connection</w:t>
      </w:r>
      <w:r w:rsidR="004370F4" w:rsidRPr="00821AC3">
        <w:t xml:space="preserve">, the State party </w:t>
      </w:r>
      <w:r w:rsidR="00A06325" w:rsidRPr="00821AC3">
        <w:t>attests</w:t>
      </w:r>
      <w:r w:rsidR="0002760C" w:rsidRPr="00821AC3">
        <w:t xml:space="preserve"> </w:t>
      </w:r>
      <w:r w:rsidR="004370F4" w:rsidRPr="00821AC3">
        <w:t xml:space="preserve">that the </w:t>
      </w:r>
      <w:r w:rsidR="003B0F08" w:rsidRPr="00821AC3">
        <w:t xml:space="preserve">board </w:t>
      </w:r>
      <w:r w:rsidR="004370F4" w:rsidRPr="00821AC3">
        <w:t>has a comprehensive collection of general background material on the situation in countries</w:t>
      </w:r>
      <w:r w:rsidR="0005393C" w:rsidRPr="00821AC3">
        <w:t xml:space="preserve"> from which Denmark receives asylum seekers, including information from UNHCR, the Danish Ministry of Foreign Affairs, the Country of Origin Information Division of the </w:t>
      </w:r>
      <w:r w:rsidR="00500F7E" w:rsidRPr="00821AC3">
        <w:rPr>
          <w:lang w:val="en-US"/>
        </w:rPr>
        <w:t>Danish immigration service</w:t>
      </w:r>
      <w:r w:rsidR="0005393C" w:rsidRPr="00821AC3">
        <w:t>, the Danish Refugee Council and other reliable sources.</w:t>
      </w:r>
      <w:bookmarkStart w:id="4" w:name="_Ref433032543"/>
      <w:r w:rsidR="0005393C" w:rsidRPr="00821AC3">
        <w:rPr>
          <w:rStyle w:val="FootnoteReference"/>
        </w:rPr>
        <w:footnoteReference w:id="16"/>
      </w:r>
      <w:bookmarkEnd w:id="4"/>
      <w:r w:rsidR="00CF612C" w:rsidRPr="00821AC3">
        <w:t xml:space="preserve"> The asylum seeker should substantiate that the conditions to grant asylum are met in his or her case. </w:t>
      </w:r>
      <w:r w:rsidR="005377AA" w:rsidRPr="00821AC3">
        <w:t>T</w:t>
      </w:r>
      <w:r w:rsidR="00CF612C" w:rsidRPr="00821AC3">
        <w:t xml:space="preserve">he asylum seeker is </w:t>
      </w:r>
      <w:r w:rsidR="001344A6" w:rsidRPr="00821AC3">
        <w:t>guided as to</w:t>
      </w:r>
      <w:r w:rsidR="005377AA" w:rsidRPr="00821AC3">
        <w:t xml:space="preserve"> this duty to provide information and </w:t>
      </w:r>
      <w:r w:rsidR="001344A6" w:rsidRPr="00821AC3">
        <w:t xml:space="preserve">as to </w:t>
      </w:r>
      <w:r w:rsidR="005377AA" w:rsidRPr="00821AC3">
        <w:t xml:space="preserve">the importance </w:t>
      </w:r>
      <w:r w:rsidR="001344A6" w:rsidRPr="00821AC3">
        <w:t xml:space="preserve">to provide </w:t>
      </w:r>
      <w:r w:rsidR="005377AA" w:rsidRPr="00821AC3">
        <w:t xml:space="preserve">details. </w:t>
      </w:r>
    </w:p>
    <w:p w14:paraId="15E3E42E" w14:textId="77777777" w:rsidR="001F1884" w:rsidRPr="00821AC3" w:rsidRDefault="005028F4">
      <w:pPr>
        <w:pStyle w:val="SingleTxtG"/>
      </w:pPr>
      <w:r w:rsidRPr="00821AC3">
        <w:t>4.5</w:t>
      </w:r>
      <w:r w:rsidR="005377AA" w:rsidRPr="00821AC3">
        <w:tab/>
        <w:t xml:space="preserve">The State party </w:t>
      </w:r>
      <w:r w:rsidR="00A06325" w:rsidRPr="00821AC3">
        <w:t xml:space="preserve">attests </w:t>
      </w:r>
      <w:r w:rsidR="005377AA" w:rsidRPr="00821AC3">
        <w:t>that</w:t>
      </w:r>
      <w:r w:rsidR="00A06325" w:rsidRPr="00821AC3">
        <w:t>,</w:t>
      </w:r>
      <w:r w:rsidR="005377AA" w:rsidRPr="00821AC3">
        <w:t xml:space="preserve"> normally, if the asylum seeker’s statements appear coherent and consistent, the </w:t>
      </w:r>
      <w:r w:rsidR="003B0F08" w:rsidRPr="00821AC3">
        <w:rPr>
          <w:lang w:val="en-US"/>
        </w:rPr>
        <w:t>refugee appeals board</w:t>
      </w:r>
      <w:r w:rsidR="005377AA" w:rsidRPr="00821AC3">
        <w:t xml:space="preserve"> </w:t>
      </w:r>
      <w:r w:rsidR="007570F5" w:rsidRPr="00821AC3">
        <w:t>consider</w:t>
      </w:r>
      <w:r w:rsidR="00A254B3" w:rsidRPr="00821AC3">
        <w:t>s</w:t>
      </w:r>
      <w:r w:rsidR="007570F5" w:rsidRPr="00821AC3">
        <w:t xml:space="preserve"> </w:t>
      </w:r>
      <w:r w:rsidR="005377AA" w:rsidRPr="00821AC3">
        <w:t>them as facts.</w:t>
      </w:r>
      <w:r w:rsidR="00ED16E2" w:rsidRPr="00821AC3">
        <w:t xml:space="preserve"> When the asylum seeker’s statements are characteri</w:t>
      </w:r>
      <w:r w:rsidR="00C71B5C" w:rsidRPr="00821AC3">
        <w:t>z</w:t>
      </w:r>
      <w:r w:rsidR="00ED16E2" w:rsidRPr="00821AC3">
        <w:t>ed by inconsistencies</w:t>
      </w:r>
      <w:r w:rsidR="007570F5" w:rsidRPr="00821AC3">
        <w:t xml:space="preserve"> and changes</w:t>
      </w:r>
      <w:r w:rsidR="00ED16E2" w:rsidRPr="00821AC3">
        <w:t>, expansions or o</w:t>
      </w:r>
      <w:r w:rsidR="004A2ED0" w:rsidRPr="00821AC3">
        <w:t xml:space="preserve">missions, the </w:t>
      </w:r>
      <w:r w:rsidR="003B0F08" w:rsidRPr="00821AC3">
        <w:t xml:space="preserve">board </w:t>
      </w:r>
      <w:r w:rsidR="004A2ED0" w:rsidRPr="00821AC3">
        <w:t>tries</w:t>
      </w:r>
      <w:r w:rsidR="00ED16E2" w:rsidRPr="00821AC3">
        <w:t xml:space="preserve"> to clarify the reasons.</w:t>
      </w:r>
      <w:r w:rsidR="005377AA" w:rsidRPr="00821AC3">
        <w:t xml:space="preserve"> </w:t>
      </w:r>
      <w:r w:rsidR="007570F5" w:rsidRPr="00821AC3">
        <w:t>I</w:t>
      </w:r>
      <w:r w:rsidR="00ED16E2" w:rsidRPr="00821AC3">
        <w:t xml:space="preserve">n </w:t>
      </w:r>
      <w:r w:rsidR="007570F5" w:rsidRPr="00821AC3">
        <w:t xml:space="preserve">the </w:t>
      </w:r>
      <w:r w:rsidR="00ED16E2" w:rsidRPr="00821AC3">
        <w:t>case</w:t>
      </w:r>
      <w:r w:rsidR="007570F5" w:rsidRPr="00821AC3">
        <w:t xml:space="preserve"> under review</w:t>
      </w:r>
      <w:r w:rsidR="00ED16E2" w:rsidRPr="00821AC3">
        <w:t xml:space="preserve">, </w:t>
      </w:r>
      <w:r w:rsidR="005377AA" w:rsidRPr="00821AC3">
        <w:t xml:space="preserve">the author’s statements </w:t>
      </w:r>
      <w:r w:rsidR="00E50DEF" w:rsidRPr="00821AC3">
        <w:t xml:space="preserve">were inconsistent </w:t>
      </w:r>
      <w:r w:rsidR="007570F5" w:rsidRPr="00821AC3">
        <w:t xml:space="preserve">on </w:t>
      </w:r>
      <w:r w:rsidR="00E50DEF" w:rsidRPr="00821AC3">
        <w:t xml:space="preserve">crucial parts of his grounds for seeking asylum, </w:t>
      </w:r>
      <w:r w:rsidR="007570F5" w:rsidRPr="00821AC3">
        <w:t xml:space="preserve">therefore </w:t>
      </w:r>
      <w:r w:rsidR="00E50DEF" w:rsidRPr="00821AC3">
        <w:t xml:space="preserve">weakening his credibility. </w:t>
      </w:r>
      <w:r w:rsidR="004A2ED0" w:rsidRPr="00821AC3">
        <w:t>I</w:t>
      </w:r>
      <w:r w:rsidR="00ED16E2" w:rsidRPr="00821AC3">
        <w:t>n</w:t>
      </w:r>
      <w:r w:rsidR="00847264" w:rsidRPr="00821AC3">
        <w:t xml:space="preserve"> cases</w:t>
      </w:r>
      <w:r w:rsidR="004A2ED0" w:rsidRPr="00821AC3">
        <w:t xml:space="preserve"> where inconsistencies are found</w:t>
      </w:r>
      <w:r w:rsidR="00847264" w:rsidRPr="00821AC3">
        <w:t>,</w:t>
      </w:r>
      <w:r w:rsidR="004A2ED0" w:rsidRPr="00821AC3">
        <w:t xml:space="preserve"> the </w:t>
      </w:r>
      <w:r w:rsidR="003B0F08" w:rsidRPr="00821AC3">
        <w:t xml:space="preserve">board </w:t>
      </w:r>
      <w:r w:rsidR="00ED16E2" w:rsidRPr="00821AC3">
        <w:t>take</w:t>
      </w:r>
      <w:r w:rsidR="004A2ED0" w:rsidRPr="00821AC3">
        <w:t>s</w:t>
      </w:r>
      <w:r w:rsidR="00ED16E2" w:rsidRPr="00821AC3">
        <w:t xml:space="preserve"> into </w:t>
      </w:r>
      <w:r w:rsidR="00ED16E2" w:rsidRPr="00821AC3">
        <w:lastRenderedPageBreak/>
        <w:t xml:space="preserve">account </w:t>
      </w:r>
      <w:r w:rsidR="00847264" w:rsidRPr="00821AC3">
        <w:t>the asylum seeker</w:t>
      </w:r>
      <w:r w:rsidR="007570F5" w:rsidRPr="00821AC3">
        <w:t>’s</w:t>
      </w:r>
      <w:r w:rsidR="00847264" w:rsidRPr="00821AC3">
        <w:t xml:space="preserve"> explanations regarding the inconsistencies, his particular situation, including cultur</w:t>
      </w:r>
      <w:r w:rsidR="004A2ED0" w:rsidRPr="00821AC3">
        <w:t>al differences, age and health, and</w:t>
      </w:r>
      <w:r w:rsidR="00A254B3" w:rsidRPr="00821AC3">
        <w:t>,</w:t>
      </w:r>
      <w:r w:rsidR="004A2ED0" w:rsidRPr="00821AC3">
        <w:t xml:space="preserve"> i</w:t>
      </w:r>
      <w:r w:rsidR="00847264" w:rsidRPr="00821AC3">
        <w:t>n case of doubt about the asylum seeker’s credibility,</w:t>
      </w:r>
      <w:r w:rsidR="004A2ED0" w:rsidRPr="00821AC3">
        <w:t xml:space="preserve"> the </w:t>
      </w:r>
      <w:r w:rsidR="003B0F08" w:rsidRPr="00821AC3">
        <w:t xml:space="preserve">board </w:t>
      </w:r>
      <w:r w:rsidR="00847264" w:rsidRPr="00821AC3">
        <w:t>assess</w:t>
      </w:r>
      <w:r w:rsidR="004A2ED0" w:rsidRPr="00821AC3">
        <w:t>es</w:t>
      </w:r>
      <w:r w:rsidR="00847264" w:rsidRPr="00821AC3">
        <w:t xml:space="preserve"> </w:t>
      </w:r>
      <w:r w:rsidR="00A254B3" w:rsidRPr="00821AC3">
        <w:t xml:space="preserve">the </w:t>
      </w:r>
      <w:r w:rsidR="00847264" w:rsidRPr="00821AC3">
        <w:t xml:space="preserve">extent </w:t>
      </w:r>
      <w:r w:rsidR="00A254B3" w:rsidRPr="00821AC3">
        <w:t xml:space="preserve">to which </w:t>
      </w:r>
      <w:r w:rsidR="00847264" w:rsidRPr="00821AC3">
        <w:t xml:space="preserve">the principle of the benefit of the doubt should be applied. </w:t>
      </w:r>
    </w:p>
    <w:p w14:paraId="62B58643" w14:textId="77777777" w:rsidR="00927B0C" w:rsidRPr="00821AC3" w:rsidRDefault="005028F4">
      <w:pPr>
        <w:pStyle w:val="SingleTxtG"/>
      </w:pPr>
      <w:r w:rsidRPr="00821AC3">
        <w:t>4.6</w:t>
      </w:r>
      <w:r w:rsidR="001F1884" w:rsidRPr="00821AC3">
        <w:tab/>
        <w:t xml:space="preserve">The State party </w:t>
      </w:r>
      <w:r w:rsidR="007570F5" w:rsidRPr="00821AC3">
        <w:t xml:space="preserve">argues </w:t>
      </w:r>
      <w:r w:rsidR="001F1884" w:rsidRPr="00821AC3">
        <w:t xml:space="preserve">that </w:t>
      </w:r>
      <w:r w:rsidR="004A2ED0" w:rsidRPr="00821AC3">
        <w:t xml:space="preserve">the </w:t>
      </w:r>
      <w:r w:rsidR="003B0F08" w:rsidRPr="00821AC3">
        <w:rPr>
          <w:lang w:val="en-US"/>
        </w:rPr>
        <w:t>refugee appeals board</w:t>
      </w:r>
      <w:r w:rsidR="004A2ED0" w:rsidRPr="00821AC3">
        <w:t xml:space="preserve"> thoroughly reviewed the </w:t>
      </w:r>
      <w:r w:rsidR="008559B3" w:rsidRPr="00821AC3">
        <w:t xml:space="preserve">author’s case and found that he </w:t>
      </w:r>
      <w:r w:rsidR="00A254B3" w:rsidRPr="00821AC3">
        <w:t xml:space="preserve">had </w:t>
      </w:r>
      <w:r w:rsidR="008559B3" w:rsidRPr="00821AC3">
        <w:t xml:space="preserve">failed to establish that there were substantial grounds for believing that he would be at risk of being subject to persecution or asylum-relevant abuse if returned to </w:t>
      </w:r>
      <w:r w:rsidR="001877EE" w:rsidRPr="00821AC3">
        <w:rPr>
          <w:iCs/>
        </w:rPr>
        <w:t xml:space="preserve">the Islamic Republic of </w:t>
      </w:r>
      <w:r w:rsidR="008559B3" w:rsidRPr="00821AC3">
        <w:t xml:space="preserve">Iran. The State party notes that the </w:t>
      </w:r>
      <w:r w:rsidR="004A2ED0" w:rsidRPr="00821AC3">
        <w:t xml:space="preserve">author has not provided </w:t>
      </w:r>
      <w:r w:rsidR="008559B3" w:rsidRPr="00821AC3">
        <w:t xml:space="preserve">the Committee </w:t>
      </w:r>
      <w:r w:rsidR="00A254B3" w:rsidRPr="00821AC3">
        <w:t xml:space="preserve">with </w:t>
      </w:r>
      <w:r w:rsidR="004A2ED0" w:rsidRPr="00821AC3">
        <w:t xml:space="preserve">any new essential information </w:t>
      </w:r>
      <w:r w:rsidR="008559B3" w:rsidRPr="00821AC3">
        <w:t xml:space="preserve">or views on his circumstances beyond those already relied upon in the </w:t>
      </w:r>
      <w:r w:rsidR="003B0F08" w:rsidRPr="00821AC3">
        <w:rPr>
          <w:lang w:val="en-US"/>
        </w:rPr>
        <w:t xml:space="preserve">refugee appeals board </w:t>
      </w:r>
      <w:r w:rsidR="008559B3" w:rsidRPr="00821AC3">
        <w:t xml:space="preserve">decision of 18 March 2014. The State party considers that the author is trying to use the Committee as an appellate body to have the factual circumstances advocated in support of his claim for asylum reassessed by the Committee. </w:t>
      </w:r>
    </w:p>
    <w:p w14:paraId="68EC921A" w14:textId="77777777" w:rsidR="00261982" w:rsidRPr="00821AC3" w:rsidRDefault="005028F4">
      <w:pPr>
        <w:pStyle w:val="SingleTxtG"/>
      </w:pPr>
      <w:r w:rsidRPr="00821AC3">
        <w:t>4.7</w:t>
      </w:r>
      <w:r w:rsidR="00B602D4" w:rsidRPr="00821AC3">
        <w:tab/>
      </w:r>
      <w:r w:rsidR="00BC19FB" w:rsidRPr="00821AC3">
        <w:t xml:space="preserve">The State party notes that there are no grounds for doubting </w:t>
      </w:r>
      <w:r w:rsidR="001313EE" w:rsidRPr="00821AC3">
        <w:t xml:space="preserve">the assessment made by the </w:t>
      </w:r>
      <w:r w:rsidR="003B0F08" w:rsidRPr="00821AC3">
        <w:rPr>
          <w:lang w:val="en-US"/>
        </w:rPr>
        <w:t>refugee appeals board</w:t>
      </w:r>
      <w:r w:rsidR="001313EE" w:rsidRPr="00821AC3">
        <w:t xml:space="preserve"> that there is no available information that the author </w:t>
      </w:r>
      <w:r w:rsidR="00A254B3" w:rsidRPr="00821AC3">
        <w:t xml:space="preserve">would </w:t>
      </w:r>
      <w:r w:rsidR="001313EE" w:rsidRPr="00821AC3">
        <w:t xml:space="preserve">be at risk of abuse constituting </w:t>
      </w:r>
      <w:r w:rsidR="00A254B3" w:rsidRPr="00821AC3">
        <w:t xml:space="preserve">a </w:t>
      </w:r>
      <w:r w:rsidR="001313EE" w:rsidRPr="00821AC3">
        <w:t xml:space="preserve">breach of article 7 of the </w:t>
      </w:r>
      <w:r w:rsidR="00A254B3" w:rsidRPr="00821AC3">
        <w:t xml:space="preserve">Covenant </w:t>
      </w:r>
      <w:r w:rsidR="001313EE" w:rsidRPr="00821AC3">
        <w:t xml:space="preserve">if he is returned to </w:t>
      </w:r>
      <w:r w:rsidR="001877EE" w:rsidRPr="00821AC3">
        <w:rPr>
          <w:iCs/>
        </w:rPr>
        <w:t xml:space="preserve">the Islamic Republic of </w:t>
      </w:r>
      <w:r w:rsidR="001313EE" w:rsidRPr="00821AC3">
        <w:t xml:space="preserve">Iran. </w:t>
      </w:r>
      <w:r w:rsidR="00D24346" w:rsidRPr="00821AC3">
        <w:t>T</w:t>
      </w:r>
      <w:r w:rsidR="001313EE" w:rsidRPr="00821AC3">
        <w:t>he State party refers to two reports</w:t>
      </w:r>
      <w:r w:rsidR="001313EE" w:rsidRPr="00821AC3">
        <w:rPr>
          <w:rStyle w:val="FootnoteReference"/>
        </w:rPr>
        <w:footnoteReference w:id="17"/>
      </w:r>
      <w:r w:rsidR="001313EE" w:rsidRPr="00821AC3">
        <w:t xml:space="preserve"> according to which </w:t>
      </w:r>
      <w:r w:rsidR="006B03AB" w:rsidRPr="00821AC3">
        <w:t>formerly active opponents of the Iranian regime, including members of the Mujahe</w:t>
      </w:r>
      <w:r w:rsidR="00377230" w:rsidRPr="00821AC3">
        <w:t>d</w:t>
      </w:r>
      <w:r w:rsidR="006B03AB" w:rsidRPr="00821AC3">
        <w:t>din</w:t>
      </w:r>
      <w:r w:rsidR="00377230" w:rsidRPr="00821AC3">
        <w:t xml:space="preserve"> </w:t>
      </w:r>
      <w:r w:rsidR="006B03AB" w:rsidRPr="00821AC3">
        <w:t>e</w:t>
      </w:r>
      <w:r w:rsidR="00377230" w:rsidRPr="00821AC3">
        <w:t> </w:t>
      </w:r>
      <w:r w:rsidR="006B03AB" w:rsidRPr="00821AC3">
        <w:t xml:space="preserve">Khalq </w:t>
      </w:r>
      <w:r w:rsidR="00377230" w:rsidRPr="00821AC3">
        <w:t>o</w:t>
      </w:r>
      <w:r w:rsidR="006B03AB" w:rsidRPr="00821AC3">
        <w:t>rgani</w:t>
      </w:r>
      <w:r w:rsidR="00350189" w:rsidRPr="00821AC3">
        <w:t>z</w:t>
      </w:r>
      <w:r w:rsidR="006B03AB" w:rsidRPr="00821AC3">
        <w:t>ation</w:t>
      </w:r>
      <w:r w:rsidR="00A254B3" w:rsidRPr="00821AC3">
        <w:t>,</w:t>
      </w:r>
      <w:r w:rsidR="006B03AB" w:rsidRPr="00821AC3">
        <w:t xml:space="preserve"> have voluntarily returned from Iraq to </w:t>
      </w:r>
      <w:r w:rsidR="001877EE" w:rsidRPr="00821AC3">
        <w:rPr>
          <w:iCs/>
        </w:rPr>
        <w:t xml:space="preserve">the Islamic Republic of </w:t>
      </w:r>
      <w:r w:rsidR="006B03AB" w:rsidRPr="00821AC3">
        <w:t xml:space="preserve">Iran. The State party cites </w:t>
      </w:r>
      <w:r w:rsidR="008C3142" w:rsidRPr="00821AC3">
        <w:t>other sources</w:t>
      </w:r>
      <w:r w:rsidR="00E13C5B" w:rsidRPr="00821AC3">
        <w:t xml:space="preserve"> quoted in the</w:t>
      </w:r>
      <w:r w:rsidR="00C81F8D" w:rsidRPr="00821AC3">
        <w:t xml:space="preserve"> reports</w:t>
      </w:r>
      <w:r w:rsidR="008C3142" w:rsidRPr="00821AC3">
        <w:t xml:space="preserve"> indicating that Iranian Kurd</w:t>
      </w:r>
      <w:r w:rsidR="00A254B3" w:rsidRPr="00821AC3">
        <w:t>ish</w:t>
      </w:r>
      <w:r w:rsidR="008C3142" w:rsidRPr="00821AC3">
        <w:t xml:space="preserve"> political activists who used to live in Kurdish Northern Iraq went back to </w:t>
      </w:r>
      <w:r w:rsidR="001877EE" w:rsidRPr="00821AC3">
        <w:rPr>
          <w:iCs/>
        </w:rPr>
        <w:t xml:space="preserve">the Islamic Republic of </w:t>
      </w:r>
      <w:r w:rsidR="008C3142" w:rsidRPr="00821AC3">
        <w:t xml:space="preserve">Iran and </w:t>
      </w:r>
      <w:r w:rsidR="0072161B" w:rsidRPr="00821AC3">
        <w:t>that</w:t>
      </w:r>
      <w:r w:rsidR="00A254B3" w:rsidRPr="00821AC3">
        <w:t>,</w:t>
      </w:r>
      <w:r w:rsidR="0072161B" w:rsidRPr="00821AC3">
        <w:t xml:space="preserve"> </w:t>
      </w:r>
      <w:r w:rsidR="008C3142" w:rsidRPr="00821AC3">
        <w:t>in most of</w:t>
      </w:r>
      <w:r w:rsidR="0072161B" w:rsidRPr="00821AC3">
        <w:t xml:space="preserve"> the</w:t>
      </w:r>
      <w:r w:rsidR="008C3142" w:rsidRPr="00821AC3">
        <w:t xml:space="preserve"> cases</w:t>
      </w:r>
      <w:r w:rsidR="00E13C5B" w:rsidRPr="00821AC3">
        <w:t>, after a period of inve</w:t>
      </w:r>
      <w:r w:rsidR="00C81F8D" w:rsidRPr="00821AC3">
        <w:t>stigation</w:t>
      </w:r>
      <w:r w:rsidR="00E13C5B" w:rsidRPr="00821AC3">
        <w:t xml:space="preserve"> by the Iranian authorities, </w:t>
      </w:r>
      <w:r w:rsidR="00C81F8D" w:rsidRPr="00821AC3">
        <w:t xml:space="preserve">including sometimes imprisonment, </w:t>
      </w:r>
      <w:r w:rsidR="0072161B" w:rsidRPr="00821AC3">
        <w:t xml:space="preserve">they </w:t>
      </w:r>
      <w:r w:rsidR="00355B25" w:rsidRPr="00821AC3">
        <w:t>were able to have</w:t>
      </w:r>
      <w:r w:rsidR="00E13C5B" w:rsidRPr="00821AC3">
        <w:t xml:space="preserve"> a normal life</w:t>
      </w:r>
      <w:r w:rsidR="00C81F8D" w:rsidRPr="00821AC3">
        <w:t>.</w:t>
      </w:r>
      <w:r w:rsidR="00355B25" w:rsidRPr="00821AC3">
        <w:t xml:space="preserve"> Further</w:t>
      </w:r>
      <w:r w:rsidR="00A254B3" w:rsidRPr="00821AC3">
        <w:t>more</w:t>
      </w:r>
      <w:r w:rsidR="00355B25" w:rsidRPr="00821AC3">
        <w:t>, a small group</w:t>
      </w:r>
      <w:r w:rsidR="00543A80" w:rsidRPr="00821AC3">
        <w:t xml:space="preserve"> of children of refugees who </w:t>
      </w:r>
      <w:r w:rsidR="00A254B3" w:rsidRPr="00821AC3">
        <w:t xml:space="preserve">had lived </w:t>
      </w:r>
      <w:r w:rsidR="00355B25" w:rsidRPr="00821AC3">
        <w:t xml:space="preserve">in </w:t>
      </w:r>
      <w:r w:rsidR="00543A80" w:rsidRPr="00821AC3">
        <w:t xml:space="preserve">the </w:t>
      </w:r>
      <w:r w:rsidR="00355B25" w:rsidRPr="00821AC3">
        <w:t>Kurdish</w:t>
      </w:r>
      <w:r w:rsidR="00543A80" w:rsidRPr="00821AC3">
        <w:t xml:space="preserve"> </w:t>
      </w:r>
      <w:r w:rsidR="00377230" w:rsidRPr="00821AC3">
        <w:t>r</w:t>
      </w:r>
      <w:r w:rsidR="00543A80" w:rsidRPr="00821AC3">
        <w:t>egion in Iraq for three dec</w:t>
      </w:r>
      <w:r w:rsidR="00E314C2" w:rsidRPr="00821AC3">
        <w:t xml:space="preserve">ades </w:t>
      </w:r>
      <w:r w:rsidR="00A254B3" w:rsidRPr="00821AC3">
        <w:t xml:space="preserve">before returning </w:t>
      </w:r>
      <w:r w:rsidR="00543A80" w:rsidRPr="00821AC3">
        <w:t xml:space="preserve">to </w:t>
      </w:r>
      <w:r w:rsidR="001877EE" w:rsidRPr="00821AC3">
        <w:rPr>
          <w:iCs/>
        </w:rPr>
        <w:t xml:space="preserve">the Islamic Republic of </w:t>
      </w:r>
      <w:r w:rsidR="00543A80" w:rsidRPr="00821AC3">
        <w:t>Iran were registered without problems and without being exposed to any risk.</w:t>
      </w:r>
      <w:r w:rsidR="00355B25" w:rsidRPr="00821AC3">
        <w:t xml:space="preserve"> At the same time, sources also indicated that refugees </w:t>
      </w:r>
      <w:r w:rsidR="00E314C2" w:rsidRPr="00821AC3">
        <w:t>from Al-</w:t>
      </w:r>
      <w:r w:rsidR="00543A80" w:rsidRPr="00821AC3">
        <w:t xml:space="preserve">Tash </w:t>
      </w:r>
      <w:r w:rsidR="00355B25" w:rsidRPr="00821AC3">
        <w:t>with pol</w:t>
      </w:r>
      <w:r w:rsidR="00543A80" w:rsidRPr="00821AC3">
        <w:t>itical affiliations who return</w:t>
      </w:r>
      <w:r w:rsidR="00A254B3" w:rsidRPr="00821AC3">
        <w:t>ed</w:t>
      </w:r>
      <w:r w:rsidR="00355B25" w:rsidRPr="00821AC3">
        <w:t xml:space="preserve"> </w:t>
      </w:r>
      <w:r w:rsidR="00543A80" w:rsidRPr="00821AC3">
        <w:t xml:space="preserve">to </w:t>
      </w:r>
      <w:r w:rsidR="001877EE" w:rsidRPr="00821AC3">
        <w:rPr>
          <w:iCs/>
        </w:rPr>
        <w:t xml:space="preserve">the Islamic Republic of </w:t>
      </w:r>
      <w:r w:rsidR="00543A80" w:rsidRPr="00821AC3">
        <w:t>Iran</w:t>
      </w:r>
      <w:r w:rsidR="00355B25" w:rsidRPr="00821AC3">
        <w:t xml:space="preserve"> should expect problems. </w:t>
      </w:r>
      <w:r w:rsidR="00E314C2" w:rsidRPr="00821AC3">
        <w:t xml:space="preserve">The State party </w:t>
      </w:r>
      <w:r w:rsidR="00260F3A" w:rsidRPr="00821AC3">
        <w:t xml:space="preserve">informs the Committee that the </w:t>
      </w:r>
      <w:r w:rsidR="003B0F08" w:rsidRPr="00821AC3">
        <w:rPr>
          <w:lang w:val="en-US"/>
        </w:rPr>
        <w:t>refugee appeals board</w:t>
      </w:r>
      <w:r w:rsidR="00260F3A" w:rsidRPr="00821AC3">
        <w:t xml:space="preserve"> was aware that several sources in the available background information refer</w:t>
      </w:r>
      <w:r w:rsidR="00A254B3" w:rsidRPr="00821AC3">
        <w:t>red</w:t>
      </w:r>
      <w:r w:rsidR="00260F3A" w:rsidRPr="00821AC3">
        <w:t xml:space="preserve"> to the fact that Iranian nationals from </w:t>
      </w:r>
      <w:r w:rsidR="00A254B3" w:rsidRPr="00821AC3">
        <w:t xml:space="preserve">the </w:t>
      </w:r>
      <w:r w:rsidR="00260F3A" w:rsidRPr="00821AC3">
        <w:t>Al-Tash and Barika refugee ca</w:t>
      </w:r>
      <w:r w:rsidR="001C4133" w:rsidRPr="00821AC3">
        <w:t>mps may expect to become object</w:t>
      </w:r>
      <w:r w:rsidR="00260F3A" w:rsidRPr="00821AC3">
        <w:t xml:space="preserve"> of general attention of the Iranian authorities </w:t>
      </w:r>
      <w:r w:rsidR="00A254B3" w:rsidRPr="00821AC3">
        <w:t xml:space="preserve">if </w:t>
      </w:r>
      <w:r w:rsidR="00260F3A" w:rsidRPr="00821AC3">
        <w:t>return</w:t>
      </w:r>
      <w:r w:rsidR="00A254B3" w:rsidRPr="00821AC3">
        <w:t>ed</w:t>
      </w:r>
      <w:r w:rsidR="00260F3A" w:rsidRPr="00821AC3">
        <w:t xml:space="preserve"> </w:t>
      </w:r>
      <w:r w:rsidR="00A254B3" w:rsidRPr="00821AC3">
        <w:t xml:space="preserve">there. </w:t>
      </w:r>
      <w:r w:rsidR="00E23533" w:rsidRPr="00821AC3">
        <w:t xml:space="preserve">However, the State party </w:t>
      </w:r>
      <w:r w:rsidR="003D0114" w:rsidRPr="00821AC3">
        <w:t>considers</w:t>
      </w:r>
      <w:r w:rsidR="00E23533" w:rsidRPr="00821AC3">
        <w:t xml:space="preserve"> that </w:t>
      </w:r>
      <w:r w:rsidR="00F533B8" w:rsidRPr="00821AC3">
        <w:t>becoming the object of general attention of the Iranian authorities</w:t>
      </w:r>
      <w:r w:rsidR="00E23533" w:rsidRPr="00821AC3">
        <w:t xml:space="preserve"> is not sufficient to substantiate a real risk of being subject to torture or ill</w:t>
      </w:r>
      <w:r w:rsidR="008F6426" w:rsidRPr="00821AC3">
        <w:t>-</w:t>
      </w:r>
      <w:r w:rsidR="00E23533" w:rsidRPr="00821AC3">
        <w:t xml:space="preserve">treatment. </w:t>
      </w:r>
    </w:p>
    <w:p w14:paraId="56ADE083" w14:textId="77777777" w:rsidR="00165320" w:rsidRPr="00821AC3" w:rsidRDefault="00165320">
      <w:pPr>
        <w:pStyle w:val="SingleTxtG"/>
      </w:pPr>
      <w:r w:rsidRPr="00821AC3">
        <w:t>4.8</w:t>
      </w:r>
      <w:r w:rsidRPr="00821AC3">
        <w:tab/>
      </w:r>
      <w:r w:rsidR="008D668B" w:rsidRPr="00821AC3">
        <w:t>B</w:t>
      </w:r>
      <w:r w:rsidR="00EB27C7" w:rsidRPr="00821AC3">
        <w:t>ased on an overall assessment of the author’s</w:t>
      </w:r>
      <w:r w:rsidR="0003669A" w:rsidRPr="00821AC3">
        <w:t xml:space="preserve"> specific circumstances </w:t>
      </w:r>
      <w:r w:rsidR="00EB27C7" w:rsidRPr="00821AC3">
        <w:t xml:space="preserve">and </w:t>
      </w:r>
      <w:r w:rsidR="0003669A" w:rsidRPr="00821AC3">
        <w:t>the relevant background material</w:t>
      </w:r>
      <w:r w:rsidR="00EB27C7" w:rsidRPr="00821AC3">
        <w:t xml:space="preserve">, the </w:t>
      </w:r>
      <w:r w:rsidR="008D668B" w:rsidRPr="00821AC3">
        <w:t>State party concludes</w:t>
      </w:r>
      <w:r w:rsidR="00EB27C7" w:rsidRPr="00821AC3">
        <w:t xml:space="preserve"> that</w:t>
      </w:r>
      <w:r w:rsidR="0003669A" w:rsidRPr="00821AC3">
        <w:t xml:space="preserve"> the fact that the author was born and raised in </w:t>
      </w:r>
      <w:r w:rsidR="00A254B3" w:rsidRPr="00821AC3">
        <w:t xml:space="preserve">the </w:t>
      </w:r>
      <w:r w:rsidR="0003669A" w:rsidRPr="00821AC3">
        <w:t xml:space="preserve">Al-Tash refugee camp and </w:t>
      </w:r>
      <w:r w:rsidR="005971C3" w:rsidRPr="00821AC3">
        <w:t>that</w:t>
      </w:r>
      <w:r w:rsidR="0003669A" w:rsidRPr="00821AC3">
        <w:t xml:space="preserve"> </w:t>
      </w:r>
      <w:r w:rsidR="008D668B" w:rsidRPr="00821AC3">
        <w:t xml:space="preserve">he </w:t>
      </w:r>
      <w:r w:rsidR="005971C3" w:rsidRPr="00821AC3">
        <w:t xml:space="preserve">later </w:t>
      </w:r>
      <w:r w:rsidR="0003669A" w:rsidRPr="00821AC3">
        <w:t xml:space="preserve">stayed at </w:t>
      </w:r>
      <w:r w:rsidR="00A254B3" w:rsidRPr="00821AC3">
        <w:t xml:space="preserve">the </w:t>
      </w:r>
      <w:r w:rsidR="0003669A" w:rsidRPr="00821AC3">
        <w:t xml:space="preserve">Barika refugee camp does not </w:t>
      </w:r>
      <w:r w:rsidR="00A254B3" w:rsidRPr="00821AC3">
        <w:t xml:space="preserve">in </w:t>
      </w:r>
      <w:r w:rsidR="0003669A" w:rsidRPr="00821AC3">
        <w:t xml:space="preserve">itself entail that the author will be at a particular risk of being subject to treatment contrary to article </w:t>
      </w:r>
      <w:r w:rsidR="008D668B" w:rsidRPr="00821AC3">
        <w:t>7 of the Covenant. This applies</w:t>
      </w:r>
      <w:r w:rsidR="0003669A" w:rsidRPr="00821AC3">
        <w:t xml:space="preserve"> even if the author may become an object of general attention </w:t>
      </w:r>
      <w:r w:rsidR="0072161B" w:rsidRPr="00821AC3">
        <w:t>by</w:t>
      </w:r>
      <w:r w:rsidR="0003669A" w:rsidRPr="00821AC3">
        <w:t xml:space="preserve"> the authorities </w:t>
      </w:r>
      <w:r w:rsidR="00A254B3" w:rsidRPr="00821AC3">
        <w:t xml:space="preserve">if </w:t>
      </w:r>
      <w:r w:rsidR="0003669A" w:rsidRPr="00821AC3">
        <w:t>return</w:t>
      </w:r>
      <w:r w:rsidR="00A254B3" w:rsidRPr="00821AC3">
        <w:t>ed</w:t>
      </w:r>
      <w:r w:rsidR="0072161B" w:rsidRPr="00821AC3">
        <w:t xml:space="preserve"> to </w:t>
      </w:r>
      <w:r w:rsidR="001877EE" w:rsidRPr="00821AC3">
        <w:rPr>
          <w:iCs/>
        </w:rPr>
        <w:t xml:space="preserve">the Islamic Republic of </w:t>
      </w:r>
      <w:r w:rsidR="0072161B" w:rsidRPr="00821AC3">
        <w:t>Iran</w:t>
      </w:r>
      <w:r w:rsidR="0003669A" w:rsidRPr="00821AC3">
        <w:t xml:space="preserve">. </w:t>
      </w:r>
      <w:r w:rsidR="002F208E" w:rsidRPr="00821AC3">
        <w:t xml:space="preserve">The State </w:t>
      </w:r>
      <w:r w:rsidR="002723D7" w:rsidRPr="00821AC3">
        <w:t xml:space="preserve">party </w:t>
      </w:r>
      <w:r w:rsidR="002F208E" w:rsidRPr="00821AC3">
        <w:t>notes that there is no available information that Iranian nationals from the Al-Tash or Barika refugee camps have been subjected to abuse</w:t>
      </w:r>
      <w:r w:rsidR="003163D6" w:rsidRPr="00821AC3">
        <w:t xml:space="preserve"> </w:t>
      </w:r>
      <w:r w:rsidR="002F208E" w:rsidRPr="00821AC3">
        <w:t xml:space="preserve">by the Iranian authorities after their return to </w:t>
      </w:r>
      <w:r w:rsidR="001877EE" w:rsidRPr="00821AC3">
        <w:rPr>
          <w:iCs/>
        </w:rPr>
        <w:t xml:space="preserve">the Islamic Republic of </w:t>
      </w:r>
      <w:r w:rsidR="002F208E" w:rsidRPr="00821AC3">
        <w:t>Iran.</w:t>
      </w:r>
    </w:p>
    <w:p w14:paraId="678ADF19" w14:textId="77777777" w:rsidR="00F75036" w:rsidRPr="00821AC3" w:rsidRDefault="00AD719F">
      <w:pPr>
        <w:pStyle w:val="SingleTxtG"/>
      </w:pPr>
      <w:r w:rsidRPr="00821AC3">
        <w:lastRenderedPageBreak/>
        <w:t>4.9</w:t>
      </w:r>
      <w:r w:rsidRPr="00821AC3">
        <w:tab/>
      </w:r>
      <w:r w:rsidR="00CF1B44" w:rsidRPr="00821AC3">
        <w:t xml:space="preserve">The State party </w:t>
      </w:r>
      <w:r w:rsidR="0072161B" w:rsidRPr="00821AC3">
        <w:t xml:space="preserve">considers </w:t>
      </w:r>
      <w:r w:rsidR="00CF1B44" w:rsidRPr="00821AC3">
        <w:t xml:space="preserve">that the author </w:t>
      </w:r>
      <w:r w:rsidR="00660089" w:rsidRPr="00821AC3">
        <w:t xml:space="preserve">has not been politically active, even to a modest extent. He became </w:t>
      </w:r>
      <w:r w:rsidR="00E47E68" w:rsidRPr="00821AC3">
        <w:t xml:space="preserve">a </w:t>
      </w:r>
      <w:r w:rsidR="00660089" w:rsidRPr="00821AC3">
        <w:t xml:space="preserve">member of the </w:t>
      </w:r>
      <w:r w:rsidR="0094332E" w:rsidRPr="00821AC3">
        <w:rPr>
          <w:lang w:val="en-US"/>
        </w:rPr>
        <w:t>Kurdistan Freedom Party</w:t>
      </w:r>
      <w:r w:rsidR="00660089" w:rsidRPr="00821AC3">
        <w:t xml:space="preserve"> three or four months before departing Iraq and his motivation was not political, </w:t>
      </w:r>
      <w:r w:rsidR="0072161B" w:rsidRPr="00821AC3">
        <w:t xml:space="preserve">but rather linked to </w:t>
      </w:r>
      <w:r w:rsidR="00660089" w:rsidRPr="00821AC3">
        <w:t xml:space="preserve">his </w:t>
      </w:r>
      <w:r w:rsidR="00E47E68" w:rsidRPr="00821AC3">
        <w:t xml:space="preserve">desire </w:t>
      </w:r>
      <w:r w:rsidR="00660089" w:rsidRPr="00821AC3">
        <w:t xml:space="preserve">to play football in the </w:t>
      </w:r>
      <w:r w:rsidR="00E47E68" w:rsidRPr="00821AC3">
        <w:t>P</w:t>
      </w:r>
      <w:r w:rsidR="00660089" w:rsidRPr="00821AC3">
        <w:t>arty’s sports section. Further</w:t>
      </w:r>
      <w:r w:rsidR="00E47E68" w:rsidRPr="00821AC3">
        <w:t>more</w:t>
      </w:r>
      <w:r w:rsidR="00660089" w:rsidRPr="00821AC3">
        <w:t xml:space="preserve">, </w:t>
      </w:r>
      <w:r w:rsidR="0072161B" w:rsidRPr="00821AC3">
        <w:t xml:space="preserve">the author </w:t>
      </w:r>
      <w:r w:rsidR="00660089" w:rsidRPr="00821AC3">
        <w:t xml:space="preserve">only </w:t>
      </w:r>
      <w:r w:rsidR="00F913F0" w:rsidRPr="00821AC3">
        <w:t xml:space="preserve">provided </w:t>
      </w:r>
      <w:r w:rsidR="00660089" w:rsidRPr="00821AC3">
        <w:t xml:space="preserve">practical assistance </w:t>
      </w:r>
      <w:r w:rsidR="00964F38" w:rsidRPr="00821AC3">
        <w:t>in</w:t>
      </w:r>
      <w:r w:rsidR="00660089" w:rsidRPr="00821AC3">
        <w:t xml:space="preserve"> the </w:t>
      </w:r>
      <w:r w:rsidR="00964F38" w:rsidRPr="00821AC3">
        <w:t xml:space="preserve">organization of </w:t>
      </w:r>
      <w:r w:rsidR="0094332E" w:rsidRPr="00821AC3">
        <w:rPr>
          <w:lang w:val="en-US"/>
        </w:rPr>
        <w:t xml:space="preserve">Kurdistan Freedom Party </w:t>
      </w:r>
      <w:r w:rsidR="00660089" w:rsidRPr="00821AC3">
        <w:t>meetings.</w:t>
      </w:r>
      <w:r w:rsidR="00F913F0" w:rsidRPr="00821AC3">
        <w:t xml:space="preserve"> </w:t>
      </w:r>
      <w:r w:rsidR="000E0AC8" w:rsidRPr="00821AC3">
        <w:t xml:space="preserve">Therefore, the State rejects the author’s claim that he will be forced to </w:t>
      </w:r>
      <w:r w:rsidR="0072161B" w:rsidRPr="00821AC3">
        <w:t xml:space="preserve">hide </w:t>
      </w:r>
      <w:r w:rsidR="000E0AC8" w:rsidRPr="00821AC3">
        <w:t xml:space="preserve">his political beliefs if he is returned to </w:t>
      </w:r>
      <w:r w:rsidR="001877EE" w:rsidRPr="00821AC3">
        <w:rPr>
          <w:iCs/>
        </w:rPr>
        <w:t xml:space="preserve">the Islamic Republic of </w:t>
      </w:r>
      <w:r w:rsidR="000E0AC8" w:rsidRPr="00821AC3">
        <w:t xml:space="preserve">Iran. </w:t>
      </w:r>
      <w:r w:rsidR="0072161B" w:rsidRPr="00821AC3">
        <w:t>T</w:t>
      </w:r>
      <w:r w:rsidR="006F5FC3" w:rsidRPr="00821AC3">
        <w:t>he State party</w:t>
      </w:r>
      <w:r w:rsidR="0072161B" w:rsidRPr="00821AC3">
        <w:t xml:space="preserve"> </w:t>
      </w:r>
      <w:r w:rsidR="006F5FC3" w:rsidRPr="00821AC3">
        <w:t xml:space="preserve">notes that it does not find as a fact that the father </w:t>
      </w:r>
      <w:r w:rsidR="00E47E68" w:rsidRPr="00821AC3">
        <w:t xml:space="preserve">of the </w:t>
      </w:r>
      <w:r w:rsidR="006F5FC3" w:rsidRPr="00821AC3">
        <w:t xml:space="preserve">author was a member of the </w:t>
      </w:r>
      <w:r w:rsidR="0094332E" w:rsidRPr="00821AC3">
        <w:rPr>
          <w:lang w:val="en-US"/>
        </w:rPr>
        <w:t>Democratic Party of Iranian Kurdistan</w:t>
      </w:r>
      <w:r w:rsidR="00E47E68" w:rsidRPr="00821AC3">
        <w:rPr>
          <w:lang w:val="en-US"/>
        </w:rPr>
        <w:t>,</w:t>
      </w:r>
      <w:r w:rsidR="006F5FC3" w:rsidRPr="00821AC3">
        <w:t xml:space="preserve"> </w:t>
      </w:r>
      <w:r w:rsidR="00E47E68" w:rsidRPr="00821AC3">
        <w:t xml:space="preserve">owing </w:t>
      </w:r>
      <w:r w:rsidR="006F5FC3" w:rsidRPr="00821AC3">
        <w:t>to the author’s divergent statements regarding his father</w:t>
      </w:r>
      <w:r w:rsidR="0072161B" w:rsidRPr="00821AC3">
        <w:t>’s</w:t>
      </w:r>
      <w:r w:rsidR="006F5FC3" w:rsidRPr="00821AC3">
        <w:t xml:space="preserve"> political activities, combined with the fact that his brother did not mention that his father </w:t>
      </w:r>
      <w:r w:rsidR="00E47E68" w:rsidRPr="00821AC3">
        <w:t xml:space="preserve">had been </w:t>
      </w:r>
      <w:r w:rsidR="006F5FC3" w:rsidRPr="00821AC3">
        <w:t xml:space="preserve">a member of the </w:t>
      </w:r>
      <w:r w:rsidR="0094332E" w:rsidRPr="00821AC3">
        <w:t xml:space="preserve">Party </w:t>
      </w:r>
      <w:r w:rsidR="000E0AC8" w:rsidRPr="00821AC3">
        <w:t xml:space="preserve">during </w:t>
      </w:r>
      <w:r w:rsidR="006F5FC3" w:rsidRPr="00821AC3">
        <w:t xml:space="preserve">his asylum proceedings. </w:t>
      </w:r>
    </w:p>
    <w:p w14:paraId="559DB64B" w14:textId="77777777" w:rsidR="00E73CFF" w:rsidRPr="00821AC3" w:rsidRDefault="00E73CFF">
      <w:pPr>
        <w:pStyle w:val="SingleTxtG"/>
      </w:pPr>
      <w:r w:rsidRPr="00821AC3">
        <w:t>4.10</w:t>
      </w:r>
      <w:r w:rsidRPr="00821AC3">
        <w:tab/>
      </w:r>
      <w:r w:rsidR="004130A4" w:rsidRPr="00821AC3">
        <w:t xml:space="preserve">The State concludes, in line with the </w:t>
      </w:r>
      <w:r w:rsidR="003B0F08" w:rsidRPr="00821AC3">
        <w:rPr>
          <w:lang w:val="en-US"/>
        </w:rPr>
        <w:t>refugee appeals board</w:t>
      </w:r>
      <w:r w:rsidR="004130A4" w:rsidRPr="00821AC3">
        <w:t xml:space="preserve">, that the author has failed to render probable his claim that his father had been actively involved in politics in </w:t>
      </w:r>
      <w:r w:rsidR="001877EE" w:rsidRPr="00821AC3">
        <w:rPr>
          <w:iCs/>
        </w:rPr>
        <w:t xml:space="preserve">the Islamic Republic of </w:t>
      </w:r>
      <w:r w:rsidR="004130A4" w:rsidRPr="00821AC3">
        <w:t xml:space="preserve">Iran or that the family’s combined activities in the refugee camps in Iraq had been of such a nature and intensity that </w:t>
      </w:r>
      <w:r w:rsidR="007A6029" w:rsidRPr="00821AC3">
        <w:t xml:space="preserve">he would </w:t>
      </w:r>
      <w:r w:rsidR="0072161B" w:rsidRPr="00821AC3">
        <w:t xml:space="preserve">be at risk </w:t>
      </w:r>
      <w:r w:rsidR="008F6426" w:rsidRPr="00821AC3">
        <w:t xml:space="preserve">of being </w:t>
      </w:r>
      <w:r w:rsidR="004130A4" w:rsidRPr="00821AC3">
        <w:t>subjected to treatment</w:t>
      </w:r>
      <w:r w:rsidR="0072161B" w:rsidRPr="00821AC3">
        <w:t>s</w:t>
      </w:r>
      <w:r w:rsidR="004130A4" w:rsidRPr="00821AC3">
        <w:t xml:space="preserve"> </w:t>
      </w:r>
      <w:r w:rsidR="0072161B" w:rsidRPr="00821AC3">
        <w:t>contrary to</w:t>
      </w:r>
      <w:r w:rsidR="004130A4" w:rsidRPr="00821AC3">
        <w:t xml:space="preserve"> article 7 of the Covenant. The State party therefore </w:t>
      </w:r>
      <w:r w:rsidR="0072161B" w:rsidRPr="00821AC3">
        <w:t xml:space="preserve">considers </w:t>
      </w:r>
      <w:r w:rsidR="004130A4" w:rsidRPr="00821AC3">
        <w:t xml:space="preserve">that </w:t>
      </w:r>
      <w:r w:rsidR="006038D4" w:rsidRPr="00821AC3">
        <w:t>the author’</w:t>
      </w:r>
      <w:r w:rsidR="007A6029" w:rsidRPr="00821AC3">
        <w:t xml:space="preserve">s return to </w:t>
      </w:r>
      <w:r w:rsidR="001877EE" w:rsidRPr="00821AC3">
        <w:rPr>
          <w:iCs/>
        </w:rPr>
        <w:t xml:space="preserve">the Islamic Republic of </w:t>
      </w:r>
      <w:r w:rsidR="007A6029" w:rsidRPr="00821AC3">
        <w:t>I</w:t>
      </w:r>
      <w:r w:rsidR="006038D4" w:rsidRPr="00821AC3">
        <w:t>ran will not constitute a violation of article 7.</w:t>
      </w:r>
      <w:r w:rsidR="008D3EF9" w:rsidRPr="00821AC3">
        <w:rPr>
          <w:rStyle w:val="FootnoteReference"/>
        </w:rPr>
        <w:footnoteReference w:id="18"/>
      </w:r>
    </w:p>
    <w:p w14:paraId="1E6750E3" w14:textId="77777777" w:rsidR="00D84FA4" w:rsidRPr="00821AC3" w:rsidRDefault="007A6029">
      <w:pPr>
        <w:pStyle w:val="SingleTxtG"/>
      </w:pPr>
      <w:r w:rsidRPr="00821AC3">
        <w:t>4.11</w:t>
      </w:r>
      <w:r w:rsidRPr="00821AC3">
        <w:tab/>
      </w:r>
      <w:r w:rsidR="00732076" w:rsidRPr="00821AC3">
        <w:t xml:space="preserve">With respect to </w:t>
      </w:r>
      <w:r w:rsidR="001A089D" w:rsidRPr="00821AC3">
        <w:t xml:space="preserve">the author’s claim </w:t>
      </w:r>
      <w:r w:rsidR="00732076" w:rsidRPr="00821AC3">
        <w:t>regarding</w:t>
      </w:r>
      <w:r w:rsidR="00A24C5B" w:rsidRPr="00821AC3">
        <w:t xml:space="preserve"> the violation of </w:t>
      </w:r>
      <w:r w:rsidR="001A089D" w:rsidRPr="00821AC3">
        <w:t>article 26 of the Covenant,</w:t>
      </w:r>
      <w:r w:rsidR="00A24C5B" w:rsidRPr="00821AC3">
        <w:t xml:space="preserve"> </w:t>
      </w:r>
      <w:r w:rsidR="001A089D" w:rsidRPr="00821AC3">
        <w:t xml:space="preserve">the State party notes that the </w:t>
      </w:r>
      <w:r w:rsidR="003B0F08" w:rsidRPr="00821AC3">
        <w:rPr>
          <w:lang w:val="en-US"/>
        </w:rPr>
        <w:t>refugee appeals board</w:t>
      </w:r>
      <w:r w:rsidR="001A089D" w:rsidRPr="00821AC3">
        <w:t xml:space="preserve"> bases its decisions on a concrete and individual assessment of each case, taking into consideration the relevant background material</w:t>
      </w:r>
      <w:r w:rsidR="00AF56C7" w:rsidRPr="00821AC3">
        <w:t xml:space="preserve"> available at the moment when the decision is made</w:t>
      </w:r>
      <w:r w:rsidR="00732076" w:rsidRPr="00821AC3">
        <w:t xml:space="preserve">. </w:t>
      </w:r>
      <w:r w:rsidR="00D84FA4" w:rsidRPr="00821AC3">
        <w:t xml:space="preserve">The State party further refers to the leading decision made by the </w:t>
      </w:r>
      <w:r w:rsidR="003B0F08" w:rsidRPr="00821AC3">
        <w:rPr>
          <w:lang w:val="en-US"/>
        </w:rPr>
        <w:t>refugee appeals board</w:t>
      </w:r>
      <w:r w:rsidR="00D84FA4" w:rsidRPr="00821AC3">
        <w:t xml:space="preserve"> in December 2012</w:t>
      </w:r>
      <w:r w:rsidR="008F6426" w:rsidRPr="00821AC3">
        <w:t>,</w:t>
      </w:r>
      <w:r w:rsidR="00D84FA4" w:rsidRPr="00821AC3">
        <w:t xml:space="preserve"> which changed the practice </w:t>
      </w:r>
      <w:r w:rsidR="003B0F08" w:rsidRPr="00821AC3">
        <w:t xml:space="preserve">of the board </w:t>
      </w:r>
      <w:r w:rsidR="00D84FA4" w:rsidRPr="00821AC3">
        <w:t xml:space="preserve">regarding asylum seekers born and raised in </w:t>
      </w:r>
      <w:r w:rsidR="008F6426" w:rsidRPr="00821AC3">
        <w:t xml:space="preserve">the </w:t>
      </w:r>
      <w:r w:rsidR="00D84FA4" w:rsidRPr="00821AC3">
        <w:t>Al-Tash refugee camp.</w:t>
      </w:r>
      <w:r w:rsidR="0013566D" w:rsidRPr="00821AC3">
        <w:t xml:space="preserve"> The decision </w:t>
      </w:r>
      <w:r w:rsidR="00862825" w:rsidRPr="00821AC3">
        <w:t>established that</w:t>
      </w:r>
      <w:r w:rsidR="008F6426" w:rsidRPr="00821AC3">
        <w:t>,</w:t>
      </w:r>
      <w:r w:rsidR="00862825" w:rsidRPr="00821AC3">
        <w:t xml:space="preserve"> regardless </w:t>
      </w:r>
      <w:r w:rsidR="001C5029" w:rsidRPr="00821AC3">
        <w:t xml:space="preserve">of </w:t>
      </w:r>
      <w:r w:rsidR="00862825" w:rsidRPr="00821AC3">
        <w:t xml:space="preserve">the fact that the asylum seeker was born and raised in Al-Tash refugee camp, he failed to </w:t>
      </w:r>
      <w:r w:rsidR="001C5029" w:rsidRPr="00821AC3">
        <w:t>demonstrate</w:t>
      </w:r>
      <w:r w:rsidR="00862825" w:rsidRPr="00821AC3">
        <w:t xml:space="preserve"> that he would</w:t>
      </w:r>
      <w:r w:rsidR="001C5029" w:rsidRPr="00821AC3">
        <w:t xml:space="preserve"> </w:t>
      </w:r>
      <w:r w:rsidR="00862825" w:rsidRPr="00821AC3">
        <w:t>be at risk of persecution</w:t>
      </w:r>
      <w:r w:rsidR="0033580E" w:rsidRPr="00821AC3">
        <w:t xml:space="preserve"> fal</w:t>
      </w:r>
      <w:r w:rsidR="00862825" w:rsidRPr="00821AC3">
        <w:t xml:space="preserve">ling within the definition of section 7 (2) of the Aliens Act, if returned to </w:t>
      </w:r>
      <w:r w:rsidR="001877EE" w:rsidRPr="00821AC3">
        <w:rPr>
          <w:iCs/>
        </w:rPr>
        <w:t xml:space="preserve">the Islamic Republic of </w:t>
      </w:r>
      <w:r w:rsidR="00862825" w:rsidRPr="00821AC3">
        <w:t xml:space="preserve">Iran. </w:t>
      </w:r>
      <w:r w:rsidR="00B74F7F" w:rsidRPr="00821AC3">
        <w:t>The State party note</w:t>
      </w:r>
      <w:r w:rsidR="00153AA5" w:rsidRPr="00821AC3">
        <w:t xml:space="preserve">s that the </w:t>
      </w:r>
      <w:r w:rsidR="00C65EDD" w:rsidRPr="00821AC3">
        <w:t>referred</w:t>
      </w:r>
      <w:r w:rsidR="00153AA5" w:rsidRPr="00821AC3">
        <w:t xml:space="preserve"> decision has been published on the website </w:t>
      </w:r>
      <w:r w:rsidR="003B0F08" w:rsidRPr="00821AC3">
        <w:t xml:space="preserve">of the board </w:t>
      </w:r>
      <w:r w:rsidR="00153AA5" w:rsidRPr="00821AC3">
        <w:t>an</w:t>
      </w:r>
      <w:r w:rsidR="002D4903" w:rsidRPr="00821AC3">
        <w:t xml:space="preserve">d has also been mentioned in the </w:t>
      </w:r>
      <w:r w:rsidR="008F6426" w:rsidRPr="00821AC3">
        <w:t xml:space="preserve">its </w:t>
      </w:r>
      <w:r w:rsidR="00153AA5" w:rsidRPr="00821AC3">
        <w:t xml:space="preserve">2012 report of activities. </w:t>
      </w:r>
      <w:r w:rsidR="00B74F7F" w:rsidRPr="00821AC3">
        <w:t>The State</w:t>
      </w:r>
      <w:r w:rsidR="002723D7" w:rsidRPr="00821AC3">
        <w:t xml:space="preserve"> party</w:t>
      </w:r>
      <w:r w:rsidR="00B74F7F" w:rsidRPr="00821AC3">
        <w:t xml:space="preserve"> further indicates that</w:t>
      </w:r>
      <w:r w:rsidR="003B0F08" w:rsidRPr="00821AC3">
        <w:t>,</w:t>
      </w:r>
      <w:r w:rsidR="00B74F7F" w:rsidRPr="00821AC3">
        <w:t xml:space="preserve"> </w:t>
      </w:r>
      <w:r w:rsidR="00015C9A" w:rsidRPr="00821AC3">
        <w:t>in 2014</w:t>
      </w:r>
      <w:r w:rsidR="00C65EDD" w:rsidRPr="00821AC3">
        <w:t>,</w:t>
      </w:r>
      <w:r w:rsidR="00015C9A" w:rsidRPr="00821AC3">
        <w:t xml:space="preserve"> the </w:t>
      </w:r>
      <w:r w:rsidR="003B0F08" w:rsidRPr="00821AC3">
        <w:t xml:space="preserve">board </w:t>
      </w:r>
      <w:r w:rsidR="00015C9A" w:rsidRPr="00821AC3">
        <w:t xml:space="preserve">reviewed seven cases of asylum seekers born and raised in </w:t>
      </w:r>
      <w:r w:rsidR="008F6426" w:rsidRPr="00821AC3">
        <w:t xml:space="preserve">the </w:t>
      </w:r>
      <w:r w:rsidR="00015C9A" w:rsidRPr="00821AC3">
        <w:t>Al-Tash refugee camp and that</w:t>
      </w:r>
      <w:r w:rsidR="008F6426" w:rsidRPr="00821AC3">
        <w:t>,</w:t>
      </w:r>
      <w:r w:rsidR="00015C9A" w:rsidRPr="00821AC3">
        <w:t xml:space="preserve"> in all of them, the </w:t>
      </w:r>
      <w:r w:rsidR="003B0F08" w:rsidRPr="00821AC3">
        <w:t xml:space="preserve">board </w:t>
      </w:r>
      <w:r w:rsidR="00015C9A" w:rsidRPr="00821AC3">
        <w:t xml:space="preserve">considered that this fact could not </w:t>
      </w:r>
      <w:r w:rsidR="008F6426" w:rsidRPr="00821AC3">
        <w:t xml:space="preserve">in </w:t>
      </w:r>
      <w:r w:rsidR="00015C9A" w:rsidRPr="00821AC3">
        <w:t>itself justify granting the asylum.</w:t>
      </w:r>
      <w:r w:rsidR="00E24DA8" w:rsidRPr="00821AC3">
        <w:t xml:space="preserve"> The State party concludes that the author was not discriminated against by the </w:t>
      </w:r>
      <w:r w:rsidR="00A639F0" w:rsidRPr="00821AC3">
        <w:t xml:space="preserve">decision </w:t>
      </w:r>
      <w:r w:rsidR="003B0F08" w:rsidRPr="00821AC3">
        <w:t xml:space="preserve">of the board </w:t>
      </w:r>
      <w:r w:rsidR="00A639F0" w:rsidRPr="00821AC3">
        <w:t xml:space="preserve">of 18 March 2014, as it reached a different conclusion from </w:t>
      </w:r>
      <w:r w:rsidR="00EE02A4" w:rsidRPr="00821AC3">
        <w:t xml:space="preserve">the one reached in </w:t>
      </w:r>
      <w:r w:rsidR="00A639F0" w:rsidRPr="00821AC3">
        <w:t>his brother’s case</w:t>
      </w:r>
      <w:r w:rsidR="00F928B3" w:rsidRPr="00821AC3">
        <w:t>,</w:t>
      </w:r>
      <w:r w:rsidR="00A639F0" w:rsidRPr="00821AC3">
        <w:t xml:space="preserve"> based on an individual and concrete assessment of the author’s situation </w:t>
      </w:r>
      <w:r w:rsidR="00C65EDD" w:rsidRPr="00821AC3">
        <w:t>made in compliance</w:t>
      </w:r>
      <w:r w:rsidR="00E24DA8" w:rsidRPr="00821AC3">
        <w:t xml:space="preserve"> with the </w:t>
      </w:r>
      <w:r w:rsidR="003B0F08" w:rsidRPr="00821AC3">
        <w:t xml:space="preserve">board’s </w:t>
      </w:r>
      <w:r w:rsidR="00E24DA8" w:rsidRPr="00821AC3">
        <w:t>practice.</w:t>
      </w:r>
    </w:p>
    <w:p w14:paraId="7C96CEAE" w14:textId="77777777" w:rsidR="007A6029" w:rsidRPr="00821AC3" w:rsidRDefault="007A6029">
      <w:pPr>
        <w:pStyle w:val="SingleTxtG"/>
      </w:pPr>
      <w:r w:rsidRPr="00821AC3">
        <w:t>4.12</w:t>
      </w:r>
      <w:r w:rsidRPr="00821AC3">
        <w:tab/>
        <w:t xml:space="preserve">The State party notes that, on 16 May 2014, the </w:t>
      </w:r>
      <w:r w:rsidR="003B0F08" w:rsidRPr="00821AC3">
        <w:rPr>
          <w:lang w:val="en-US"/>
        </w:rPr>
        <w:t>refugee appeals board</w:t>
      </w:r>
      <w:r w:rsidRPr="00821AC3">
        <w:t xml:space="preserve"> suspended the time limit for the author’s departure from Denmark until further notice, in compliance with the Committee’s request. Considering that the author has failed to render probable that, if returned to </w:t>
      </w:r>
      <w:r w:rsidR="001877EE" w:rsidRPr="00821AC3">
        <w:rPr>
          <w:iCs/>
        </w:rPr>
        <w:t xml:space="preserve">the Islamic Republic of </w:t>
      </w:r>
      <w:r w:rsidRPr="00821AC3">
        <w:t xml:space="preserve">Iran, he </w:t>
      </w:r>
      <w:r w:rsidR="008F6426" w:rsidRPr="00821AC3">
        <w:t xml:space="preserve">would </w:t>
      </w:r>
      <w:r w:rsidRPr="00821AC3">
        <w:t xml:space="preserve">be at risk of suffering irreparable damage, the State party </w:t>
      </w:r>
      <w:r w:rsidR="00DC0760" w:rsidRPr="00821AC3">
        <w:t>calls on</w:t>
      </w:r>
      <w:r w:rsidRPr="00821AC3">
        <w:t xml:space="preserve"> the Committee</w:t>
      </w:r>
      <w:r w:rsidR="00DC0760" w:rsidRPr="00821AC3">
        <w:t xml:space="preserve"> to lift its</w:t>
      </w:r>
      <w:r w:rsidRPr="00821AC3">
        <w:t xml:space="preserve"> request for interim measures</w:t>
      </w:r>
      <w:r w:rsidR="000C0928" w:rsidRPr="00821AC3">
        <w:t>.</w:t>
      </w:r>
    </w:p>
    <w:p w14:paraId="4083EE95" w14:textId="77777777" w:rsidR="00F33888" w:rsidRPr="00821AC3" w:rsidRDefault="00F33888">
      <w:pPr>
        <w:pStyle w:val="SingleTxtG"/>
      </w:pPr>
      <w:r w:rsidRPr="00821AC3">
        <w:t>4.13</w:t>
      </w:r>
      <w:r w:rsidRPr="00821AC3">
        <w:tab/>
        <w:t xml:space="preserve">On 22 July 2015, the State party provided additional observations reiterating that the </w:t>
      </w:r>
      <w:r w:rsidR="009B7494" w:rsidRPr="00821AC3">
        <w:t xml:space="preserve">complaint was ill-founded and that the </w:t>
      </w:r>
      <w:r w:rsidRPr="00821AC3">
        <w:t>author did not substantiate violations of articles 7 and 26 of the Covenant. Further</w:t>
      </w:r>
      <w:r w:rsidR="008F6426" w:rsidRPr="00821AC3">
        <w:t>more</w:t>
      </w:r>
      <w:r w:rsidRPr="00821AC3">
        <w:t xml:space="preserve">, the State party stated that the </w:t>
      </w:r>
      <w:r w:rsidR="008F6426" w:rsidRPr="00821AC3">
        <w:rPr>
          <w:lang w:val="en-US"/>
        </w:rPr>
        <w:t xml:space="preserve">Democratic Party of Iranian Kurdistan </w:t>
      </w:r>
      <w:r w:rsidRPr="00821AC3">
        <w:t xml:space="preserve">membership card </w:t>
      </w:r>
      <w:r w:rsidR="008F6426" w:rsidRPr="00821AC3">
        <w:t xml:space="preserve">of the author’s father </w:t>
      </w:r>
      <w:r w:rsidR="00BF0F62" w:rsidRPr="00821AC3">
        <w:t xml:space="preserve">did not prove </w:t>
      </w:r>
      <w:r w:rsidRPr="00821AC3">
        <w:t xml:space="preserve">his militancy in </w:t>
      </w:r>
      <w:r w:rsidR="008F6426" w:rsidRPr="00821AC3">
        <w:t xml:space="preserve">that </w:t>
      </w:r>
      <w:r w:rsidRPr="00821AC3">
        <w:t xml:space="preserve">party, as the copy provided by the author in January 2015 </w:t>
      </w:r>
      <w:r w:rsidR="008F6426" w:rsidRPr="00821AC3">
        <w:t xml:space="preserve">had been </w:t>
      </w:r>
      <w:r w:rsidRPr="00821AC3">
        <w:t xml:space="preserve">issued </w:t>
      </w:r>
      <w:r w:rsidR="001640F9" w:rsidRPr="00821AC3">
        <w:t xml:space="preserve">on 5 January 2015, </w:t>
      </w:r>
      <w:r w:rsidRPr="00821AC3">
        <w:t xml:space="preserve">after the final decision of the </w:t>
      </w:r>
      <w:r w:rsidR="008F6426" w:rsidRPr="00821AC3">
        <w:t>r</w:t>
      </w:r>
      <w:r w:rsidRPr="00821AC3">
        <w:t xml:space="preserve">efugee </w:t>
      </w:r>
      <w:r w:rsidR="008F6426" w:rsidRPr="00821AC3">
        <w:t>a</w:t>
      </w:r>
      <w:r w:rsidRPr="00821AC3">
        <w:t xml:space="preserve">ppeals </w:t>
      </w:r>
      <w:r w:rsidR="008F6426" w:rsidRPr="00821AC3">
        <w:t>b</w:t>
      </w:r>
      <w:r w:rsidRPr="00821AC3">
        <w:t>oard.</w:t>
      </w:r>
    </w:p>
    <w:p w14:paraId="2064B042" w14:textId="77777777" w:rsidR="003521FD" w:rsidRPr="00821AC3" w:rsidRDefault="003521FD" w:rsidP="006358CB">
      <w:pPr>
        <w:pStyle w:val="H23G"/>
        <w:spacing w:line="240" w:lineRule="auto"/>
      </w:pPr>
      <w:r w:rsidRPr="00821AC3">
        <w:lastRenderedPageBreak/>
        <w:tab/>
      </w:r>
      <w:r w:rsidRPr="00821AC3">
        <w:tab/>
        <w:t>Author’s comments on the State party’s observations</w:t>
      </w:r>
    </w:p>
    <w:p w14:paraId="51CA9D8E" w14:textId="77777777" w:rsidR="000C0928" w:rsidRPr="00821AC3" w:rsidRDefault="00C764DF">
      <w:pPr>
        <w:pStyle w:val="SingleTxtG"/>
      </w:pPr>
      <w:r w:rsidRPr="00821AC3">
        <w:t>5.1</w:t>
      </w:r>
      <w:r w:rsidRPr="00821AC3">
        <w:tab/>
      </w:r>
      <w:r w:rsidR="00322809" w:rsidRPr="00821AC3">
        <w:t xml:space="preserve">On 8 December 2014 and 26 January 2015, </w:t>
      </w:r>
      <w:r w:rsidR="003521FD" w:rsidRPr="00821AC3">
        <w:t>the author submitted h</w:t>
      </w:r>
      <w:r w:rsidR="005E014B" w:rsidRPr="00821AC3">
        <w:t>is</w:t>
      </w:r>
      <w:r w:rsidR="003521FD" w:rsidRPr="00821AC3">
        <w:t xml:space="preserve"> comments on the State party’</w:t>
      </w:r>
      <w:r w:rsidR="00D336E4" w:rsidRPr="00821AC3">
        <w:t>s observations</w:t>
      </w:r>
      <w:r w:rsidR="00D44383" w:rsidRPr="00821AC3">
        <w:t xml:space="preserve">. </w:t>
      </w:r>
      <w:r w:rsidR="000D6110" w:rsidRPr="00821AC3">
        <w:t>The author claims that</w:t>
      </w:r>
      <w:r w:rsidR="00D24D12" w:rsidRPr="00821AC3">
        <w:t xml:space="preserve"> he and his family</w:t>
      </w:r>
      <w:r w:rsidR="00EC422B" w:rsidRPr="00821AC3">
        <w:t xml:space="preserve"> </w:t>
      </w:r>
      <w:r w:rsidR="00D24D12" w:rsidRPr="00821AC3">
        <w:t xml:space="preserve">had </w:t>
      </w:r>
      <w:r w:rsidR="00EC422B" w:rsidRPr="00821AC3">
        <w:t>been</w:t>
      </w:r>
      <w:r w:rsidR="000D6110" w:rsidRPr="00821AC3">
        <w:t xml:space="preserve"> granted the status of refugees by UNHCR</w:t>
      </w:r>
      <w:r w:rsidR="00EC422B" w:rsidRPr="00821AC3">
        <w:t xml:space="preserve"> since </w:t>
      </w:r>
      <w:r w:rsidR="008F6426" w:rsidRPr="00821AC3">
        <w:t xml:space="preserve">the </w:t>
      </w:r>
      <w:r w:rsidR="00EC422B" w:rsidRPr="00821AC3">
        <w:t>late 1970s/early 1980s</w:t>
      </w:r>
      <w:r w:rsidR="008F6426" w:rsidRPr="00821AC3">
        <w:t>,</w:t>
      </w:r>
      <w:r w:rsidR="00EC422B" w:rsidRPr="00821AC3">
        <w:t xml:space="preserve"> and </w:t>
      </w:r>
      <w:r w:rsidR="000C0928" w:rsidRPr="00821AC3">
        <w:t xml:space="preserve">that </w:t>
      </w:r>
      <w:r w:rsidR="00EC422B" w:rsidRPr="00821AC3">
        <w:t>the fact</w:t>
      </w:r>
      <w:r w:rsidR="008F6426" w:rsidRPr="00821AC3">
        <w:t>s</w:t>
      </w:r>
      <w:r w:rsidR="00EC422B" w:rsidRPr="00821AC3">
        <w:t xml:space="preserve"> that the author had </w:t>
      </w:r>
      <w:r w:rsidR="008F6426" w:rsidRPr="00821AC3">
        <w:t xml:space="preserve">had </w:t>
      </w:r>
      <w:r w:rsidR="00EC422B" w:rsidRPr="00821AC3">
        <w:t>his refuge</w:t>
      </w:r>
      <w:r w:rsidR="006E4C01" w:rsidRPr="00821AC3">
        <w:t>e</w:t>
      </w:r>
      <w:r w:rsidR="00EC422B" w:rsidRPr="00821AC3">
        <w:t xml:space="preserve"> </w:t>
      </w:r>
      <w:r w:rsidR="00D8682E" w:rsidRPr="00821AC3">
        <w:t>certificate renewed in 2011</w:t>
      </w:r>
      <w:r w:rsidR="00EC422B" w:rsidRPr="00821AC3">
        <w:t xml:space="preserve"> </w:t>
      </w:r>
      <w:r w:rsidR="00D8682E" w:rsidRPr="00821AC3">
        <w:t xml:space="preserve">and that his </w:t>
      </w:r>
      <w:r w:rsidR="006B763D" w:rsidRPr="00821AC3">
        <w:t xml:space="preserve">remaining </w:t>
      </w:r>
      <w:r w:rsidR="00D8682E" w:rsidRPr="00821AC3">
        <w:t>family in Iraq</w:t>
      </w:r>
      <w:r w:rsidR="0099708D" w:rsidRPr="00821AC3">
        <w:t xml:space="preserve"> </w:t>
      </w:r>
      <w:r w:rsidR="00CA301C" w:rsidRPr="00821AC3">
        <w:t xml:space="preserve">had </w:t>
      </w:r>
      <w:r w:rsidR="00CE0EE0" w:rsidRPr="00821AC3">
        <w:t>obtained another renewal</w:t>
      </w:r>
      <w:r w:rsidR="00D8682E" w:rsidRPr="00821AC3">
        <w:t xml:space="preserve"> in 2013 </w:t>
      </w:r>
      <w:r w:rsidR="00EC422B" w:rsidRPr="00821AC3">
        <w:t>mean</w:t>
      </w:r>
      <w:r w:rsidR="00D8682E" w:rsidRPr="00821AC3">
        <w:t xml:space="preserve">s that UNHCR </w:t>
      </w:r>
      <w:r w:rsidR="008F6426" w:rsidRPr="00821AC3">
        <w:t xml:space="preserve">had </w:t>
      </w:r>
      <w:r w:rsidR="00D8682E" w:rsidRPr="00821AC3">
        <w:t xml:space="preserve">not found </w:t>
      </w:r>
      <w:r w:rsidR="008279B5" w:rsidRPr="00821AC3">
        <w:t xml:space="preserve">any </w:t>
      </w:r>
      <w:r w:rsidR="00D8682E" w:rsidRPr="00821AC3">
        <w:t xml:space="preserve">grounds to </w:t>
      </w:r>
      <w:r w:rsidR="006E4C01" w:rsidRPr="00821AC3">
        <w:t xml:space="preserve">suspend </w:t>
      </w:r>
      <w:r w:rsidR="00D8682E" w:rsidRPr="00821AC3">
        <w:t>the</w:t>
      </w:r>
      <w:r w:rsidR="006E4C01" w:rsidRPr="00821AC3">
        <w:t>ir</w:t>
      </w:r>
      <w:r w:rsidR="00D8682E" w:rsidRPr="00821AC3">
        <w:t xml:space="preserve"> protection.</w:t>
      </w:r>
      <w:r w:rsidR="00CE0EE0" w:rsidRPr="00821AC3">
        <w:t xml:space="preserve"> </w:t>
      </w:r>
    </w:p>
    <w:p w14:paraId="650B38A9" w14:textId="77777777" w:rsidR="00CE0EE0" w:rsidRPr="00821AC3" w:rsidRDefault="000C0928">
      <w:pPr>
        <w:pStyle w:val="SingleTxtG"/>
      </w:pPr>
      <w:r w:rsidRPr="00821AC3">
        <w:t>5.2.</w:t>
      </w:r>
      <w:r w:rsidRPr="00821AC3">
        <w:tab/>
      </w:r>
      <w:r w:rsidR="00CE0EE0" w:rsidRPr="00821AC3">
        <w:t>The author further indicates that</w:t>
      </w:r>
      <w:r w:rsidR="008F6426" w:rsidRPr="00821AC3">
        <w:t>,</w:t>
      </w:r>
      <w:r w:rsidR="00CE0EE0" w:rsidRPr="00821AC3">
        <w:t xml:space="preserve"> </w:t>
      </w:r>
      <w:r w:rsidR="00AC4990" w:rsidRPr="00821AC3">
        <w:t xml:space="preserve">in recent years, </w:t>
      </w:r>
      <w:r w:rsidR="00C23AF6" w:rsidRPr="00821AC3">
        <w:t xml:space="preserve">there </w:t>
      </w:r>
      <w:r w:rsidR="00AC4990" w:rsidRPr="00821AC3">
        <w:t>have not been</w:t>
      </w:r>
      <w:r w:rsidR="00C23AF6" w:rsidRPr="00821AC3">
        <w:t xml:space="preserve"> </w:t>
      </w:r>
      <w:r w:rsidR="002723D7" w:rsidRPr="00821AC3">
        <w:t xml:space="preserve">known </w:t>
      </w:r>
      <w:r w:rsidR="00C23AF6" w:rsidRPr="00821AC3">
        <w:t xml:space="preserve">cases of </w:t>
      </w:r>
      <w:r w:rsidR="00B30C01" w:rsidRPr="00821AC3">
        <w:t xml:space="preserve">Iranian Kurds </w:t>
      </w:r>
      <w:r w:rsidR="008F6426" w:rsidRPr="00821AC3">
        <w:t xml:space="preserve">being </w:t>
      </w:r>
      <w:r w:rsidR="00B30C01" w:rsidRPr="00821AC3">
        <w:t xml:space="preserve">returned to </w:t>
      </w:r>
      <w:r w:rsidR="001877EE" w:rsidRPr="00821AC3">
        <w:rPr>
          <w:iCs/>
        </w:rPr>
        <w:t xml:space="preserve">the Islamic Republic of </w:t>
      </w:r>
      <w:r w:rsidR="00B30C01" w:rsidRPr="00821AC3">
        <w:t xml:space="preserve">Iran </w:t>
      </w:r>
      <w:r w:rsidR="00C23AF6" w:rsidRPr="00821AC3">
        <w:t xml:space="preserve">from refugee camps in </w:t>
      </w:r>
      <w:r w:rsidR="00A254B3" w:rsidRPr="00821AC3">
        <w:t xml:space="preserve">the Kurdish </w:t>
      </w:r>
      <w:r w:rsidR="00377230" w:rsidRPr="00821AC3">
        <w:t>r</w:t>
      </w:r>
      <w:r w:rsidR="00A254B3" w:rsidRPr="00821AC3">
        <w:t>egion in Iraq</w:t>
      </w:r>
      <w:r w:rsidR="00B30C01" w:rsidRPr="00821AC3">
        <w:t xml:space="preserve">, even though they live under </w:t>
      </w:r>
      <w:r w:rsidR="00CF7884" w:rsidRPr="00821AC3">
        <w:t xml:space="preserve">very bad </w:t>
      </w:r>
      <w:r w:rsidR="00B30C01" w:rsidRPr="00821AC3">
        <w:t>conditions in Iraq</w:t>
      </w:r>
      <w:r w:rsidR="00C23AF6" w:rsidRPr="00821AC3">
        <w:t xml:space="preserve">. </w:t>
      </w:r>
      <w:r w:rsidR="006E4C01" w:rsidRPr="00821AC3">
        <w:t>The author considers that</w:t>
      </w:r>
      <w:r w:rsidR="00052B78" w:rsidRPr="00821AC3">
        <w:t xml:space="preserve"> this</w:t>
      </w:r>
      <w:r w:rsidR="00CF7884" w:rsidRPr="00821AC3">
        <w:t xml:space="preserve"> is</w:t>
      </w:r>
      <w:r w:rsidR="00052B78" w:rsidRPr="00821AC3">
        <w:t xml:space="preserve"> due to the</w:t>
      </w:r>
      <w:r w:rsidR="006E4C01" w:rsidRPr="00821AC3">
        <w:t>ir</w:t>
      </w:r>
      <w:r w:rsidR="00052B78" w:rsidRPr="00821AC3">
        <w:t xml:space="preserve"> fear </w:t>
      </w:r>
      <w:r w:rsidR="008F6426" w:rsidRPr="00821AC3">
        <w:t xml:space="preserve">of </w:t>
      </w:r>
      <w:r w:rsidR="006E4C01" w:rsidRPr="00821AC3">
        <w:t>prosecut</w:t>
      </w:r>
      <w:r w:rsidR="008F6426" w:rsidRPr="00821AC3">
        <w:t>ion</w:t>
      </w:r>
      <w:r w:rsidR="006E4C01" w:rsidRPr="00821AC3">
        <w:t xml:space="preserve"> upon their return to </w:t>
      </w:r>
      <w:r w:rsidR="001877EE" w:rsidRPr="00821AC3">
        <w:rPr>
          <w:iCs/>
        </w:rPr>
        <w:t xml:space="preserve">the Islamic Republic of </w:t>
      </w:r>
      <w:r w:rsidR="006E4C01" w:rsidRPr="00821AC3">
        <w:t>Iran</w:t>
      </w:r>
      <w:r w:rsidR="00052B78" w:rsidRPr="00821AC3">
        <w:t xml:space="preserve">. </w:t>
      </w:r>
      <w:r w:rsidR="008F6426" w:rsidRPr="00821AC3">
        <w:t>Furthermore</w:t>
      </w:r>
      <w:r w:rsidR="00C23AF6" w:rsidRPr="00821AC3">
        <w:t xml:space="preserve">, </w:t>
      </w:r>
      <w:r w:rsidRPr="00821AC3">
        <w:t xml:space="preserve">residents of </w:t>
      </w:r>
      <w:r w:rsidR="008F6426" w:rsidRPr="00821AC3">
        <w:t xml:space="preserve">the </w:t>
      </w:r>
      <w:r w:rsidRPr="00821AC3">
        <w:t>Al-Tash and Barika refugee camps are</w:t>
      </w:r>
      <w:r w:rsidR="006E4C01" w:rsidRPr="00821AC3">
        <w:t xml:space="preserve"> assimilated to</w:t>
      </w:r>
      <w:r w:rsidRPr="00821AC3">
        <w:t xml:space="preserve"> Kurdish opposition groups</w:t>
      </w:r>
      <w:r w:rsidR="006E4C01" w:rsidRPr="00821AC3">
        <w:t xml:space="preserve"> as there is a general supposition that they are somehow affiliated to these groups</w:t>
      </w:r>
      <w:r w:rsidRPr="00821AC3">
        <w:t xml:space="preserve">. </w:t>
      </w:r>
    </w:p>
    <w:p w14:paraId="7A8990B2" w14:textId="77777777" w:rsidR="000C0928" w:rsidRPr="00821AC3" w:rsidRDefault="005028F4">
      <w:pPr>
        <w:pStyle w:val="SingleTxtG"/>
      </w:pPr>
      <w:r w:rsidRPr="00821AC3">
        <w:t>5.3</w:t>
      </w:r>
      <w:r w:rsidR="000C0928" w:rsidRPr="00821AC3">
        <w:tab/>
        <w:t xml:space="preserve">The author </w:t>
      </w:r>
      <w:r w:rsidR="006E4C01" w:rsidRPr="00821AC3">
        <w:t xml:space="preserve">questions </w:t>
      </w:r>
      <w:r w:rsidR="000C0928" w:rsidRPr="00821AC3">
        <w:t xml:space="preserve">the State party’s affirmation that </w:t>
      </w:r>
      <w:r w:rsidR="006E4C01" w:rsidRPr="00821AC3">
        <w:t>he</w:t>
      </w:r>
      <w:r w:rsidR="000C0928" w:rsidRPr="00821AC3">
        <w:t xml:space="preserve"> </w:t>
      </w:r>
      <w:r w:rsidR="00F74337" w:rsidRPr="00821AC3">
        <w:t xml:space="preserve">failed to </w:t>
      </w:r>
      <w:r w:rsidR="006E4C01" w:rsidRPr="00821AC3">
        <w:t>demonstrate</w:t>
      </w:r>
      <w:r w:rsidR="00F74337" w:rsidRPr="00821AC3">
        <w:t xml:space="preserve"> that h</w:t>
      </w:r>
      <w:r w:rsidR="000C0928" w:rsidRPr="00821AC3">
        <w:t>e would be subject to torture or ill</w:t>
      </w:r>
      <w:r w:rsidR="008F6426" w:rsidRPr="00821AC3">
        <w:t>-</w:t>
      </w:r>
      <w:r w:rsidR="000C0928" w:rsidRPr="00821AC3">
        <w:t xml:space="preserve">treatment if returned to </w:t>
      </w:r>
      <w:r w:rsidR="001877EE" w:rsidRPr="00821AC3">
        <w:rPr>
          <w:iCs/>
        </w:rPr>
        <w:t xml:space="preserve">the Islamic Republic of </w:t>
      </w:r>
      <w:r w:rsidR="000C0928" w:rsidRPr="00821AC3">
        <w:t>Iran, as the reports quoted by the State party</w:t>
      </w:r>
      <w:r w:rsidR="00052B78" w:rsidRPr="00821AC3">
        <w:t xml:space="preserve"> itself</w:t>
      </w:r>
      <w:r w:rsidR="00377230" w:rsidRPr="00821AC3">
        <w:rPr>
          <w:vertAlign w:val="superscript"/>
        </w:rPr>
        <w:fldChar w:fldCharType="begin"/>
      </w:r>
      <w:r w:rsidR="00377230" w:rsidRPr="00821AC3">
        <w:rPr>
          <w:vertAlign w:val="superscript"/>
        </w:rPr>
        <w:instrText xml:space="preserve"> NOTEREF _Ref433032543 \h  \* MERGEFORMAT </w:instrText>
      </w:r>
      <w:r w:rsidR="00377230" w:rsidRPr="00821AC3">
        <w:rPr>
          <w:vertAlign w:val="superscript"/>
        </w:rPr>
      </w:r>
      <w:r w:rsidR="00377230" w:rsidRPr="00821AC3">
        <w:rPr>
          <w:vertAlign w:val="superscript"/>
        </w:rPr>
        <w:fldChar w:fldCharType="separate"/>
      </w:r>
      <w:r w:rsidR="00CC3ED2">
        <w:rPr>
          <w:vertAlign w:val="superscript"/>
        </w:rPr>
        <w:t>14</w:t>
      </w:r>
      <w:r w:rsidR="00377230" w:rsidRPr="00821AC3">
        <w:rPr>
          <w:vertAlign w:val="superscript"/>
        </w:rPr>
        <w:fldChar w:fldCharType="end"/>
      </w:r>
      <w:r w:rsidR="000C0928" w:rsidRPr="00821AC3">
        <w:t xml:space="preserve"> consistently establish that refugees from </w:t>
      </w:r>
      <w:r w:rsidR="00377230" w:rsidRPr="00821AC3">
        <w:t xml:space="preserve">the </w:t>
      </w:r>
      <w:r w:rsidR="000C0928" w:rsidRPr="00821AC3">
        <w:t xml:space="preserve">Al-Tash and Barika camps would be at </w:t>
      </w:r>
      <w:r w:rsidR="004C25D1" w:rsidRPr="00821AC3">
        <w:t xml:space="preserve">such </w:t>
      </w:r>
      <w:r w:rsidR="000C0928" w:rsidRPr="00821AC3">
        <w:t xml:space="preserve">risk if returned to </w:t>
      </w:r>
      <w:r w:rsidR="001877EE" w:rsidRPr="00821AC3">
        <w:rPr>
          <w:iCs/>
        </w:rPr>
        <w:t xml:space="preserve">the Islamic Republic of </w:t>
      </w:r>
      <w:r w:rsidR="000C0928" w:rsidRPr="00821AC3">
        <w:t xml:space="preserve">Iran. For instance, </w:t>
      </w:r>
      <w:r w:rsidR="00D6209D" w:rsidRPr="00821AC3">
        <w:t xml:space="preserve">the reports </w:t>
      </w:r>
      <w:r w:rsidR="006E4C01" w:rsidRPr="00821AC3">
        <w:t>clearly state that</w:t>
      </w:r>
      <w:r w:rsidR="003F3D5E" w:rsidRPr="00821AC3">
        <w:t xml:space="preserve"> </w:t>
      </w:r>
      <w:r w:rsidR="00A438FA" w:rsidRPr="00821AC3">
        <w:t xml:space="preserve">all refugee camps in </w:t>
      </w:r>
      <w:r w:rsidR="00A254B3" w:rsidRPr="00821AC3">
        <w:t xml:space="preserve">the Kurdish </w:t>
      </w:r>
      <w:r w:rsidR="00377230" w:rsidRPr="00821AC3">
        <w:t>r</w:t>
      </w:r>
      <w:r w:rsidR="00A254B3" w:rsidRPr="00821AC3">
        <w:t xml:space="preserve">egion in Iraq </w:t>
      </w:r>
      <w:r w:rsidR="00A438FA" w:rsidRPr="00821AC3">
        <w:t xml:space="preserve">have connections to the political parties </w:t>
      </w:r>
      <w:r w:rsidR="006E4C01" w:rsidRPr="00821AC3">
        <w:t xml:space="preserve">that </w:t>
      </w:r>
      <w:r w:rsidR="00A438FA" w:rsidRPr="00821AC3">
        <w:t xml:space="preserve">are somehow active in the camps, and that people from the camps will be looked </w:t>
      </w:r>
      <w:r w:rsidR="006E4C01" w:rsidRPr="00821AC3">
        <w:t xml:space="preserve">at </w:t>
      </w:r>
      <w:r w:rsidR="00A438FA" w:rsidRPr="00821AC3">
        <w:t>with suspicion if they return</w:t>
      </w:r>
      <w:r w:rsidR="0081732B" w:rsidRPr="00821AC3">
        <w:t xml:space="preserve"> </w:t>
      </w:r>
      <w:r w:rsidR="00A438FA" w:rsidRPr="00821AC3">
        <w:t xml:space="preserve">to </w:t>
      </w:r>
      <w:r w:rsidR="001877EE" w:rsidRPr="00821AC3">
        <w:rPr>
          <w:iCs/>
        </w:rPr>
        <w:t xml:space="preserve">the Islamic Republic of </w:t>
      </w:r>
      <w:r w:rsidR="00A438FA" w:rsidRPr="00821AC3">
        <w:t>Iran.</w:t>
      </w:r>
      <w:r w:rsidR="00A438FA" w:rsidRPr="00821AC3">
        <w:rPr>
          <w:rStyle w:val="FootnoteReference"/>
        </w:rPr>
        <w:footnoteReference w:id="19"/>
      </w:r>
      <w:r w:rsidR="00A438FA" w:rsidRPr="00821AC3">
        <w:t xml:space="preserve"> </w:t>
      </w:r>
      <w:r w:rsidR="00254321" w:rsidRPr="00821AC3">
        <w:t xml:space="preserve">According to </w:t>
      </w:r>
      <w:r w:rsidR="00BA67F8" w:rsidRPr="00821AC3">
        <w:t>another</w:t>
      </w:r>
      <w:r w:rsidR="00254321" w:rsidRPr="00821AC3">
        <w:t xml:space="preserve"> source</w:t>
      </w:r>
      <w:r w:rsidR="00A438FA" w:rsidRPr="00821AC3">
        <w:t xml:space="preserve"> </w:t>
      </w:r>
      <w:r w:rsidR="008B40DB" w:rsidRPr="00821AC3">
        <w:t>included in the reports</w:t>
      </w:r>
      <w:r w:rsidR="006E4C01" w:rsidRPr="00821AC3">
        <w:t xml:space="preserve"> referred to by the State party</w:t>
      </w:r>
      <w:r w:rsidR="008B40DB" w:rsidRPr="00821AC3">
        <w:t xml:space="preserve"> and </w:t>
      </w:r>
      <w:r w:rsidR="00A438FA" w:rsidRPr="00821AC3">
        <w:t>quoted by the author</w:t>
      </w:r>
      <w:r w:rsidR="00254321" w:rsidRPr="00821AC3">
        <w:t xml:space="preserve">, </w:t>
      </w:r>
      <w:r w:rsidR="00F84E98" w:rsidRPr="00821AC3">
        <w:t>if a</w:t>
      </w:r>
      <w:r w:rsidR="0081732B" w:rsidRPr="00821AC3">
        <w:t>n Iranian</w:t>
      </w:r>
      <w:r w:rsidR="00F84E98" w:rsidRPr="00821AC3">
        <w:t xml:space="preserve"> Kurd </w:t>
      </w:r>
      <w:r w:rsidR="00784C28" w:rsidRPr="00821AC3">
        <w:t xml:space="preserve">with links to the Al-Tash camp </w:t>
      </w:r>
      <w:r w:rsidR="00A438FA" w:rsidRPr="00821AC3">
        <w:t xml:space="preserve">and </w:t>
      </w:r>
      <w:r w:rsidR="00F84E98" w:rsidRPr="00821AC3">
        <w:t xml:space="preserve">who lived in Northern </w:t>
      </w:r>
      <w:r w:rsidR="00784C28" w:rsidRPr="00821AC3">
        <w:t xml:space="preserve">Iraq for many years </w:t>
      </w:r>
      <w:r w:rsidR="00F84E98" w:rsidRPr="00821AC3">
        <w:t xml:space="preserve">returned to </w:t>
      </w:r>
      <w:r w:rsidR="001877EE" w:rsidRPr="00821AC3">
        <w:rPr>
          <w:iCs/>
        </w:rPr>
        <w:t xml:space="preserve">the Islamic Republic of </w:t>
      </w:r>
      <w:r w:rsidR="00F84E98" w:rsidRPr="00821AC3">
        <w:t>Iran, he or she would come under enormous suspicion</w:t>
      </w:r>
      <w:r w:rsidR="00240C8A" w:rsidRPr="00821AC3">
        <w:t>s</w:t>
      </w:r>
      <w:r w:rsidR="00A438FA" w:rsidRPr="00821AC3">
        <w:t xml:space="preserve"> by the Iranian authorities</w:t>
      </w:r>
      <w:r w:rsidR="00F84E98" w:rsidRPr="00821AC3">
        <w:t>. Besides, i</w:t>
      </w:r>
      <w:r w:rsidR="00BA67F8" w:rsidRPr="00821AC3">
        <w:t xml:space="preserve">f </w:t>
      </w:r>
      <w:r w:rsidR="00784C28" w:rsidRPr="00821AC3">
        <w:t xml:space="preserve">such a person </w:t>
      </w:r>
      <w:r w:rsidR="00BA67F8" w:rsidRPr="00821AC3">
        <w:t xml:space="preserve">wished to return and had a family member who had been a Kurdish activist at some point, </w:t>
      </w:r>
      <w:r w:rsidR="00240C8A" w:rsidRPr="00821AC3">
        <w:t>he or she</w:t>
      </w:r>
      <w:r w:rsidR="006E6A91" w:rsidRPr="00821AC3">
        <w:t xml:space="preserve"> could become a person of interest</w:t>
      </w:r>
      <w:r w:rsidR="003628C0" w:rsidRPr="00821AC3">
        <w:t xml:space="preserve"> </w:t>
      </w:r>
      <w:r w:rsidR="00240C8A" w:rsidRPr="00821AC3">
        <w:t xml:space="preserve">for </w:t>
      </w:r>
      <w:r w:rsidR="00BA67F8" w:rsidRPr="00821AC3">
        <w:t>the Iranian authorities.</w:t>
      </w:r>
      <w:r w:rsidR="00F84E98" w:rsidRPr="00821AC3">
        <w:rPr>
          <w:rStyle w:val="FootnoteReference"/>
        </w:rPr>
        <w:footnoteReference w:id="20"/>
      </w:r>
      <w:r w:rsidR="0081732B" w:rsidRPr="00821AC3">
        <w:t xml:space="preserve"> </w:t>
      </w:r>
      <w:r w:rsidR="00B256DB" w:rsidRPr="00821AC3">
        <w:t xml:space="preserve">The author </w:t>
      </w:r>
      <w:r w:rsidR="0081732B" w:rsidRPr="00821AC3">
        <w:t xml:space="preserve">further </w:t>
      </w:r>
      <w:r w:rsidR="009A62AE" w:rsidRPr="00821AC3">
        <w:t>claims that</w:t>
      </w:r>
      <w:r w:rsidR="00377230" w:rsidRPr="00821AC3">
        <w:t>,</w:t>
      </w:r>
      <w:r w:rsidR="0081732B" w:rsidRPr="00821AC3">
        <w:t xml:space="preserve"> </w:t>
      </w:r>
      <w:r w:rsidR="00377230" w:rsidRPr="00821AC3">
        <w:t xml:space="preserve">in its </w:t>
      </w:r>
      <w:r w:rsidR="0081732B" w:rsidRPr="00821AC3">
        <w:t>observations</w:t>
      </w:r>
      <w:r w:rsidR="00377230" w:rsidRPr="00821AC3">
        <w:t>,</w:t>
      </w:r>
      <w:r w:rsidR="0081732B" w:rsidRPr="00821AC3">
        <w:t xml:space="preserve"> the State party quoted passages </w:t>
      </w:r>
      <w:r w:rsidR="00377230" w:rsidRPr="00821AC3">
        <w:t xml:space="preserve">from </w:t>
      </w:r>
      <w:r w:rsidR="0081732B" w:rsidRPr="00821AC3">
        <w:t xml:space="preserve">the reports that are not applicable to the case before the Committee, since they </w:t>
      </w:r>
      <w:r w:rsidR="0027541A" w:rsidRPr="00821AC3">
        <w:t xml:space="preserve">related </w:t>
      </w:r>
      <w:r w:rsidR="0081732B" w:rsidRPr="00821AC3">
        <w:t xml:space="preserve">to </w:t>
      </w:r>
      <w:r w:rsidR="00A254B3" w:rsidRPr="00821AC3">
        <w:t>former members of the Mujahe</w:t>
      </w:r>
      <w:r w:rsidR="00377230" w:rsidRPr="00821AC3">
        <w:t>d</w:t>
      </w:r>
      <w:r w:rsidR="00A254B3" w:rsidRPr="00821AC3">
        <w:t>din</w:t>
      </w:r>
      <w:r w:rsidR="00377230" w:rsidRPr="00821AC3">
        <w:t xml:space="preserve"> </w:t>
      </w:r>
      <w:r w:rsidR="00A254B3" w:rsidRPr="00821AC3">
        <w:t>e</w:t>
      </w:r>
      <w:r w:rsidR="00377230" w:rsidRPr="00821AC3">
        <w:t> </w:t>
      </w:r>
      <w:r w:rsidR="00A254B3" w:rsidRPr="00821AC3">
        <w:t xml:space="preserve">Khalq </w:t>
      </w:r>
      <w:r w:rsidR="00377230" w:rsidRPr="00821AC3">
        <w:t>o</w:t>
      </w:r>
      <w:r w:rsidR="00A254B3" w:rsidRPr="00821AC3">
        <w:t xml:space="preserve">rganization </w:t>
      </w:r>
      <w:r w:rsidR="0027541A" w:rsidRPr="00821AC3">
        <w:t xml:space="preserve">and other refugees who had a different history and </w:t>
      </w:r>
      <w:r w:rsidR="005F219D" w:rsidRPr="00821AC3">
        <w:t xml:space="preserve">different </w:t>
      </w:r>
      <w:r w:rsidR="0027541A" w:rsidRPr="00821AC3">
        <w:t xml:space="preserve">political views from </w:t>
      </w:r>
      <w:r w:rsidR="005F219D" w:rsidRPr="00821AC3">
        <w:t xml:space="preserve">those of </w:t>
      </w:r>
      <w:r w:rsidR="0027541A" w:rsidRPr="00821AC3">
        <w:t xml:space="preserve">the refugees from </w:t>
      </w:r>
      <w:r w:rsidR="00377230" w:rsidRPr="00821AC3">
        <w:t xml:space="preserve">the </w:t>
      </w:r>
      <w:r w:rsidR="0027541A" w:rsidRPr="00821AC3">
        <w:t xml:space="preserve">Al-Tash refugee camp. </w:t>
      </w:r>
    </w:p>
    <w:p w14:paraId="0A80ECAF" w14:textId="77777777" w:rsidR="00D44383" w:rsidRPr="00821AC3" w:rsidRDefault="005028F4">
      <w:pPr>
        <w:pStyle w:val="SingleTxtG"/>
      </w:pPr>
      <w:r w:rsidRPr="00821AC3">
        <w:t>5.4</w:t>
      </w:r>
      <w:r w:rsidR="005840C6" w:rsidRPr="00821AC3">
        <w:tab/>
      </w:r>
      <w:r w:rsidR="006733CF" w:rsidRPr="00821AC3">
        <w:t xml:space="preserve">The author challenges the State party’s statement that the author </w:t>
      </w:r>
      <w:r w:rsidR="002C293D" w:rsidRPr="00821AC3">
        <w:t xml:space="preserve">or his family </w:t>
      </w:r>
      <w:r w:rsidR="006733CF" w:rsidRPr="00821AC3">
        <w:t xml:space="preserve">had </w:t>
      </w:r>
      <w:r w:rsidR="002C293D" w:rsidRPr="00821AC3">
        <w:t xml:space="preserve">not </w:t>
      </w:r>
      <w:r w:rsidR="006733CF" w:rsidRPr="00821AC3">
        <w:t xml:space="preserve">been involved in </w:t>
      </w:r>
      <w:r w:rsidR="00240C8A" w:rsidRPr="00821AC3">
        <w:t xml:space="preserve">political activities </w:t>
      </w:r>
      <w:r w:rsidR="0005371B" w:rsidRPr="00821AC3">
        <w:t xml:space="preserve">to an extent that would put </w:t>
      </w:r>
      <w:r w:rsidR="008B40DB" w:rsidRPr="00821AC3">
        <w:t xml:space="preserve">him </w:t>
      </w:r>
      <w:r w:rsidR="00240C8A" w:rsidRPr="00821AC3">
        <w:t xml:space="preserve">at </w:t>
      </w:r>
      <w:r w:rsidR="0005371B" w:rsidRPr="00821AC3">
        <w:t xml:space="preserve">risk of </w:t>
      </w:r>
      <w:r w:rsidR="006733CF" w:rsidRPr="00821AC3">
        <w:t>being subject to torture or ill</w:t>
      </w:r>
      <w:r w:rsidR="008F6426" w:rsidRPr="00821AC3">
        <w:t>-</w:t>
      </w:r>
      <w:r w:rsidR="006733CF" w:rsidRPr="00821AC3">
        <w:t xml:space="preserve">treatment if returned to </w:t>
      </w:r>
      <w:r w:rsidR="001877EE" w:rsidRPr="00821AC3">
        <w:rPr>
          <w:iCs/>
        </w:rPr>
        <w:t xml:space="preserve">the Islamic Republic of </w:t>
      </w:r>
      <w:r w:rsidR="006733CF" w:rsidRPr="00821AC3">
        <w:t>Iran. The author note</w:t>
      </w:r>
      <w:r w:rsidR="00222B06" w:rsidRPr="00821AC3">
        <w:t xml:space="preserve">s that he is a member of </w:t>
      </w:r>
      <w:r w:rsidR="0094332E" w:rsidRPr="00821AC3">
        <w:t xml:space="preserve">the </w:t>
      </w:r>
      <w:r w:rsidR="0094332E" w:rsidRPr="00821AC3">
        <w:rPr>
          <w:lang w:val="en-US"/>
        </w:rPr>
        <w:t>Kurdistan Freedom Party</w:t>
      </w:r>
      <w:r w:rsidR="00222B06" w:rsidRPr="00821AC3">
        <w:t>,</w:t>
      </w:r>
      <w:r w:rsidR="001479E0" w:rsidRPr="00821AC3">
        <w:t xml:space="preserve"> </w:t>
      </w:r>
      <w:r w:rsidR="006733CF" w:rsidRPr="00821AC3">
        <w:t xml:space="preserve">that his father </w:t>
      </w:r>
      <w:r w:rsidR="00F82529" w:rsidRPr="00821AC3">
        <w:t xml:space="preserve">became a member of the </w:t>
      </w:r>
      <w:r w:rsidR="0094332E" w:rsidRPr="00821AC3">
        <w:rPr>
          <w:lang w:val="en-US"/>
        </w:rPr>
        <w:t>Democratic Party of Iranian Kurdistan</w:t>
      </w:r>
      <w:r w:rsidR="00F82529" w:rsidRPr="00821AC3">
        <w:t xml:space="preserve"> when he arrived </w:t>
      </w:r>
      <w:r w:rsidR="00377230" w:rsidRPr="00821AC3">
        <w:t xml:space="preserve">in </w:t>
      </w:r>
      <w:r w:rsidR="00F82529" w:rsidRPr="00821AC3">
        <w:t>Iraq, and</w:t>
      </w:r>
      <w:r w:rsidR="00F44C37" w:rsidRPr="00821AC3">
        <w:t xml:space="preserve"> that</w:t>
      </w:r>
      <w:r w:rsidR="00F82529" w:rsidRPr="00821AC3">
        <w:t xml:space="preserve"> he is still a member</w:t>
      </w:r>
      <w:r w:rsidR="00240C8A" w:rsidRPr="00821AC3">
        <w:t xml:space="preserve"> of that party</w:t>
      </w:r>
      <w:r w:rsidR="00F82529" w:rsidRPr="00821AC3">
        <w:t>.</w:t>
      </w:r>
      <w:r w:rsidR="00F82529" w:rsidRPr="00821AC3">
        <w:rPr>
          <w:rStyle w:val="FootnoteReference"/>
        </w:rPr>
        <w:footnoteReference w:id="21"/>
      </w:r>
      <w:r w:rsidR="00F82529" w:rsidRPr="00821AC3">
        <w:t xml:space="preserve"> </w:t>
      </w:r>
      <w:r w:rsidR="00F44C37" w:rsidRPr="00821AC3">
        <w:t>In addition, the author notes that two of his uncles, one aunt and his two grand</w:t>
      </w:r>
      <w:r w:rsidR="00BD4016" w:rsidRPr="00821AC3">
        <w:t>parents on his</w:t>
      </w:r>
      <w:r w:rsidR="00F44C37" w:rsidRPr="00821AC3">
        <w:t xml:space="preserve"> mother’s side have been recognized as political refugees in Sweden. </w:t>
      </w:r>
      <w:r w:rsidR="00D53B80" w:rsidRPr="00821AC3">
        <w:t xml:space="preserve">Therefore, </w:t>
      </w:r>
      <w:r w:rsidR="004A076D" w:rsidRPr="00821AC3">
        <w:t xml:space="preserve">for </w:t>
      </w:r>
      <w:r w:rsidR="00D53B80" w:rsidRPr="00821AC3">
        <w:t xml:space="preserve">the author </w:t>
      </w:r>
      <w:r w:rsidR="004A076D" w:rsidRPr="00821AC3">
        <w:t xml:space="preserve">it is clear that he </w:t>
      </w:r>
      <w:r w:rsidR="00AC4990" w:rsidRPr="00821AC3">
        <w:t>and his family would be</w:t>
      </w:r>
      <w:r w:rsidR="00D53B80" w:rsidRPr="00821AC3">
        <w:t xml:space="preserve"> considered as politically active </w:t>
      </w:r>
      <w:r w:rsidR="00AC4990" w:rsidRPr="00821AC3">
        <w:t xml:space="preserve">by Iranian authorities </w:t>
      </w:r>
      <w:r w:rsidR="00D53B80" w:rsidRPr="00821AC3">
        <w:t>and</w:t>
      </w:r>
      <w:r w:rsidR="00377230" w:rsidRPr="00821AC3">
        <w:t>,</w:t>
      </w:r>
      <w:r w:rsidR="00D53B80" w:rsidRPr="00821AC3">
        <w:t xml:space="preserve"> </w:t>
      </w:r>
      <w:r w:rsidR="00052B78" w:rsidRPr="00821AC3">
        <w:t>consequently</w:t>
      </w:r>
      <w:r w:rsidR="00C51EE8" w:rsidRPr="00821AC3">
        <w:t>, they</w:t>
      </w:r>
      <w:r w:rsidR="00052B78" w:rsidRPr="00821AC3">
        <w:t xml:space="preserve"> </w:t>
      </w:r>
      <w:r w:rsidR="002952B5" w:rsidRPr="00821AC3">
        <w:t xml:space="preserve">would be </w:t>
      </w:r>
      <w:r w:rsidR="008B40DB" w:rsidRPr="00821AC3">
        <w:t>at</w:t>
      </w:r>
      <w:r w:rsidR="00D53B80" w:rsidRPr="00821AC3">
        <w:t xml:space="preserve"> risk of persecution in </w:t>
      </w:r>
      <w:r w:rsidR="001877EE" w:rsidRPr="00821AC3">
        <w:rPr>
          <w:iCs/>
        </w:rPr>
        <w:t xml:space="preserve">the Islamic Republic of </w:t>
      </w:r>
      <w:r w:rsidR="00D53B80" w:rsidRPr="00821AC3">
        <w:t>Iran.</w:t>
      </w:r>
    </w:p>
    <w:p w14:paraId="0F04BE55" w14:textId="77777777" w:rsidR="00A3065A" w:rsidRPr="00821AC3" w:rsidRDefault="005028F4">
      <w:pPr>
        <w:pStyle w:val="SingleTxtG"/>
        <w:spacing w:line="240" w:lineRule="auto"/>
      </w:pPr>
      <w:r w:rsidRPr="00821AC3">
        <w:lastRenderedPageBreak/>
        <w:t>5.5</w:t>
      </w:r>
      <w:r w:rsidR="00A3065A" w:rsidRPr="00821AC3">
        <w:tab/>
      </w:r>
      <w:r w:rsidR="00D61B49" w:rsidRPr="00821AC3">
        <w:t xml:space="preserve">The author </w:t>
      </w:r>
      <w:r w:rsidR="00240C8A" w:rsidRPr="00821AC3">
        <w:t xml:space="preserve">considers that the issue at stake </w:t>
      </w:r>
      <w:r w:rsidR="00D61B49" w:rsidRPr="00821AC3">
        <w:t>is not whether the State party considers the author or his family to be politically active, but whether the Iranian authorities will perceive the author as such. The Iranian authorities take Kurdish separatism very seriously and</w:t>
      </w:r>
      <w:r w:rsidR="005938CE" w:rsidRPr="00821AC3">
        <w:t>,</w:t>
      </w:r>
      <w:r w:rsidR="00D61B49" w:rsidRPr="00821AC3">
        <w:t xml:space="preserve"> according to available background information,</w:t>
      </w:r>
      <w:r w:rsidR="00C97F06" w:rsidRPr="00821AC3">
        <w:t xml:space="preserve"> their reaction is difficult to predict. In</w:t>
      </w:r>
      <w:r w:rsidR="00C26ED0" w:rsidRPr="00821AC3">
        <w:t xml:space="preserve"> addition, it is known that </w:t>
      </w:r>
      <w:r w:rsidR="005938CE" w:rsidRPr="00821AC3">
        <w:t xml:space="preserve">the </w:t>
      </w:r>
      <w:r w:rsidR="00C26ED0" w:rsidRPr="00821AC3">
        <w:t>Iranian authorities</w:t>
      </w:r>
      <w:r w:rsidR="00C97F06" w:rsidRPr="00821AC3">
        <w:t xml:space="preserve"> use torture </w:t>
      </w:r>
      <w:r w:rsidR="00240C8A" w:rsidRPr="00821AC3">
        <w:t xml:space="preserve">in the context of </w:t>
      </w:r>
      <w:r w:rsidR="00C97F06" w:rsidRPr="00821AC3">
        <w:t>imprisonment. Therefore, the author considers that</w:t>
      </w:r>
      <w:r w:rsidR="00953FCB" w:rsidRPr="00821AC3">
        <w:t xml:space="preserve"> the “benefit of the doubt” should apply in his case, in line with UNHCHR guidelines, as the foreseeable consequences </w:t>
      </w:r>
      <w:r w:rsidR="00240C8A" w:rsidRPr="00821AC3">
        <w:t>of his deportation</w:t>
      </w:r>
      <w:r w:rsidR="00B73601" w:rsidRPr="00821AC3">
        <w:t xml:space="preserve"> to </w:t>
      </w:r>
      <w:r w:rsidR="001877EE" w:rsidRPr="00821AC3">
        <w:rPr>
          <w:iCs/>
        </w:rPr>
        <w:t xml:space="preserve">the Islamic Republic of </w:t>
      </w:r>
      <w:r w:rsidR="00B73601" w:rsidRPr="00821AC3">
        <w:t xml:space="preserve">Iran </w:t>
      </w:r>
      <w:r w:rsidR="0081228D" w:rsidRPr="00821AC3">
        <w:t xml:space="preserve">would be </w:t>
      </w:r>
      <w:r w:rsidR="00154691" w:rsidRPr="00821AC3">
        <w:t>extremely severe.</w:t>
      </w:r>
    </w:p>
    <w:p w14:paraId="440684AB" w14:textId="77777777" w:rsidR="00FF1FCC" w:rsidRPr="00821AC3" w:rsidRDefault="00076283">
      <w:pPr>
        <w:pStyle w:val="SingleTxtG"/>
      </w:pPr>
      <w:r w:rsidRPr="00821AC3">
        <w:t>5.</w:t>
      </w:r>
      <w:r w:rsidR="005028F4" w:rsidRPr="00821AC3">
        <w:t>6</w:t>
      </w:r>
      <w:r w:rsidRPr="00821AC3">
        <w:tab/>
      </w:r>
      <w:r w:rsidR="00FF1FCC" w:rsidRPr="00821AC3">
        <w:t>The author concludes that he has sufficiently substantiated</w:t>
      </w:r>
      <w:r w:rsidR="0081228D" w:rsidRPr="00821AC3">
        <w:t xml:space="preserve"> his allegations as to</w:t>
      </w:r>
      <w:r w:rsidR="00FF1FCC" w:rsidRPr="00821AC3">
        <w:t xml:space="preserve"> his risk of being subjected to torture or ill-treatment if returned to </w:t>
      </w:r>
      <w:r w:rsidR="001877EE" w:rsidRPr="00821AC3">
        <w:rPr>
          <w:iCs/>
        </w:rPr>
        <w:t xml:space="preserve">the Islamic Republic of </w:t>
      </w:r>
      <w:r w:rsidR="00FF1FCC" w:rsidRPr="00821AC3">
        <w:t>Iran, and requests that interim measures be maintained.</w:t>
      </w:r>
    </w:p>
    <w:p w14:paraId="491C5A07" w14:textId="77777777" w:rsidR="00076283" w:rsidRPr="00821AC3" w:rsidRDefault="005028F4">
      <w:pPr>
        <w:pStyle w:val="SingleTxtG"/>
      </w:pPr>
      <w:r w:rsidRPr="00821AC3">
        <w:t>5.7</w:t>
      </w:r>
      <w:r w:rsidR="00522B02" w:rsidRPr="00821AC3">
        <w:tab/>
      </w:r>
      <w:r w:rsidR="00F74337" w:rsidRPr="00821AC3">
        <w:t xml:space="preserve">With regard the alleged violation of article 26, the author states that </w:t>
      </w:r>
      <w:r w:rsidR="008279B5" w:rsidRPr="00821AC3">
        <w:t xml:space="preserve">the </w:t>
      </w:r>
      <w:r w:rsidR="005938CE" w:rsidRPr="00821AC3">
        <w:t xml:space="preserve">board </w:t>
      </w:r>
      <w:r w:rsidR="008279B5" w:rsidRPr="00821AC3">
        <w:t xml:space="preserve">decision </w:t>
      </w:r>
      <w:r w:rsidR="00CC401C" w:rsidRPr="00821AC3">
        <w:t xml:space="preserve">referred to </w:t>
      </w:r>
      <w:r w:rsidR="008279B5" w:rsidRPr="00821AC3">
        <w:t xml:space="preserve">by the State party </w:t>
      </w:r>
      <w:r w:rsidR="005938CE" w:rsidRPr="00821AC3">
        <w:t xml:space="preserve">as </w:t>
      </w:r>
      <w:r w:rsidR="00DB6130" w:rsidRPr="00821AC3">
        <w:t xml:space="preserve">that </w:t>
      </w:r>
      <w:r w:rsidR="005938CE" w:rsidRPr="00821AC3">
        <w:t xml:space="preserve">which </w:t>
      </w:r>
      <w:r w:rsidR="00DB6130" w:rsidRPr="00821AC3">
        <w:t xml:space="preserve">determined the change of practice regarding asylum seekers born and raised in </w:t>
      </w:r>
      <w:r w:rsidR="005938CE" w:rsidRPr="00821AC3">
        <w:t xml:space="preserve">the </w:t>
      </w:r>
      <w:r w:rsidR="00DB6130" w:rsidRPr="00821AC3">
        <w:t xml:space="preserve">Al-Tash refugee camp in fact did not concern an asylum seeker from </w:t>
      </w:r>
      <w:r w:rsidR="005938CE" w:rsidRPr="00821AC3">
        <w:t xml:space="preserve">that </w:t>
      </w:r>
      <w:r w:rsidR="00DB6130" w:rsidRPr="00821AC3">
        <w:t xml:space="preserve">camp, as </w:t>
      </w:r>
      <w:r w:rsidR="00CC401C" w:rsidRPr="00821AC3">
        <w:t xml:space="preserve">the person concerned </w:t>
      </w:r>
      <w:r w:rsidR="005938CE" w:rsidRPr="00821AC3">
        <w:t xml:space="preserve">had </w:t>
      </w:r>
      <w:r w:rsidR="00DB6130" w:rsidRPr="00821AC3">
        <w:t xml:space="preserve">not </w:t>
      </w:r>
      <w:r w:rsidR="005938CE" w:rsidRPr="00821AC3">
        <w:t xml:space="preserve">been </w:t>
      </w:r>
      <w:r w:rsidR="00DB6130" w:rsidRPr="00821AC3">
        <w:t xml:space="preserve">able to prove that he was from </w:t>
      </w:r>
      <w:r w:rsidR="00CC401C" w:rsidRPr="00821AC3">
        <w:t xml:space="preserve">this </w:t>
      </w:r>
      <w:r w:rsidR="00DB6130" w:rsidRPr="00821AC3">
        <w:t xml:space="preserve">refugee </w:t>
      </w:r>
      <w:r w:rsidR="00535DA8" w:rsidRPr="00821AC3">
        <w:t>camp. According to the author,</w:t>
      </w:r>
      <w:r w:rsidR="00DB6130" w:rsidRPr="00821AC3">
        <w:t xml:space="preserve"> </w:t>
      </w:r>
      <w:r w:rsidR="00535DA8" w:rsidRPr="00821AC3">
        <w:t>in t</w:t>
      </w:r>
      <w:r w:rsidR="00C26ED0" w:rsidRPr="00821AC3">
        <w:t>h</w:t>
      </w:r>
      <w:r w:rsidR="00535DA8" w:rsidRPr="00821AC3">
        <w:t xml:space="preserve">is case, </w:t>
      </w:r>
      <w:r w:rsidR="00DB6130" w:rsidRPr="00821AC3">
        <w:t xml:space="preserve">the </w:t>
      </w:r>
      <w:r w:rsidR="00500F7E" w:rsidRPr="00821AC3">
        <w:rPr>
          <w:lang w:val="en-US"/>
        </w:rPr>
        <w:t>Danish immigration service</w:t>
      </w:r>
      <w:r w:rsidR="00DB6130" w:rsidRPr="00821AC3">
        <w:t xml:space="preserve"> argued</w:t>
      </w:r>
      <w:r w:rsidR="00535DA8" w:rsidRPr="00821AC3">
        <w:t xml:space="preserve"> that if the </w:t>
      </w:r>
      <w:r w:rsidR="003B0F08" w:rsidRPr="00821AC3">
        <w:t xml:space="preserve">board </w:t>
      </w:r>
      <w:r w:rsidR="004F25F8" w:rsidRPr="00821AC3">
        <w:t xml:space="preserve">had </w:t>
      </w:r>
      <w:r w:rsidR="00535DA8" w:rsidRPr="00821AC3">
        <w:t xml:space="preserve">considered the asylum seeker </w:t>
      </w:r>
      <w:r w:rsidR="00DB6130" w:rsidRPr="00821AC3">
        <w:t>to be a former re</w:t>
      </w:r>
      <w:r w:rsidR="00AC4990" w:rsidRPr="00821AC3">
        <w:t>sident of Al-Tash, he would had</w:t>
      </w:r>
      <w:r w:rsidR="00DB6130" w:rsidRPr="00821AC3">
        <w:t xml:space="preserve"> been recognized as a refugee based on section </w:t>
      </w:r>
      <w:r w:rsidR="00932188" w:rsidRPr="00821AC3">
        <w:t>7 </w:t>
      </w:r>
      <w:r w:rsidR="00DB6130" w:rsidRPr="00821AC3">
        <w:t>(1) of the Aliens Act</w:t>
      </w:r>
      <w:r w:rsidR="00CC401C" w:rsidRPr="00821AC3">
        <w:t>. H</w:t>
      </w:r>
      <w:r w:rsidR="00DB6130" w:rsidRPr="00821AC3">
        <w:t xml:space="preserve">owever, as </w:t>
      </w:r>
      <w:r w:rsidR="00A913F1" w:rsidRPr="00821AC3">
        <w:t xml:space="preserve">it was not the case and </w:t>
      </w:r>
      <w:r w:rsidR="00CC401C" w:rsidRPr="00821AC3">
        <w:t xml:space="preserve">the person concerned had </w:t>
      </w:r>
      <w:r w:rsidR="00DB6130" w:rsidRPr="00821AC3">
        <w:t>spent years in Iraq</w:t>
      </w:r>
      <w:r w:rsidR="006C10ED" w:rsidRPr="00821AC3">
        <w:t>, it was considered that he would be</w:t>
      </w:r>
      <w:r w:rsidR="00DB6130" w:rsidRPr="00821AC3">
        <w:t xml:space="preserve"> able to seek protection in Iraq as his first country of asylum</w:t>
      </w:r>
      <w:r w:rsidR="004F25F8" w:rsidRPr="00821AC3">
        <w:t>, pursuant to section 7 (3) of the Act</w:t>
      </w:r>
      <w:r w:rsidR="00DB6130" w:rsidRPr="00821AC3">
        <w:t xml:space="preserve">. </w:t>
      </w:r>
      <w:r w:rsidR="00CC401C" w:rsidRPr="00821AC3">
        <w:t>T</w:t>
      </w:r>
      <w:r w:rsidR="004F25F8" w:rsidRPr="00821AC3">
        <w:t xml:space="preserve">he author </w:t>
      </w:r>
      <w:r w:rsidR="00CC401C" w:rsidRPr="00821AC3">
        <w:t xml:space="preserve">therefore </w:t>
      </w:r>
      <w:r w:rsidR="004F25F8" w:rsidRPr="00821AC3">
        <w:t xml:space="preserve">alleges that </w:t>
      </w:r>
      <w:r w:rsidR="00D15F91" w:rsidRPr="00821AC3">
        <w:t>his case wa</w:t>
      </w:r>
      <w:r w:rsidR="008939EA" w:rsidRPr="00821AC3">
        <w:t>s the first</w:t>
      </w:r>
      <w:r w:rsidR="00CC401C" w:rsidRPr="00821AC3">
        <w:t xml:space="preserve"> one</w:t>
      </w:r>
      <w:r w:rsidR="008939EA" w:rsidRPr="00821AC3">
        <w:t xml:space="preserve"> in which </w:t>
      </w:r>
      <w:r w:rsidR="004F25F8" w:rsidRPr="00821AC3">
        <w:t xml:space="preserve">the </w:t>
      </w:r>
      <w:r w:rsidR="003B0F08" w:rsidRPr="00821AC3">
        <w:t xml:space="preserve">board </w:t>
      </w:r>
      <w:r w:rsidR="008939EA" w:rsidRPr="00821AC3">
        <w:t>decided to change its</w:t>
      </w:r>
      <w:r w:rsidR="004F25F8" w:rsidRPr="00821AC3">
        <w:t xml:space="preserve"> practice of granting asylum to all </w:t>
      </w:r>
      <w:r w:rsidR="00B5617D" w:rsidRPr="00821AC3">
        <w:t xml:space="preserve">former residents of </w:t>
      </w:r>
      <w:r w:rsidR="004F25F8" w:rsidRPr="00821AC3">
        <w:t>Al-Tash</w:t>
      </w:r>
      <w:r w:rsidR="00B5617D" w:rsidRPr="00821AC3">
        <w:t xml:space="preserve"> who had been recognized as</w:t>
      </w:r>
      <w:r w:rsidR="004F25F8" w:rsidRPr="00821AC3">
        <w:t xml:space="preserve"> refugees by UNHCR</w:t>
      </w:r>
      <w:r w:rsidR="008939EA" w:rsidRPr="00821AC3">
        <w:t>.</w:t>
      </w:r>
      <w:r w:rsidR="004F25F8" w:rsidRPr="00821AC3">
        <w:t xml:space="preserve"> </w:t>
      </w:r>
      <w:r w:rsidR="00D15F91" w:rsidRPr="00821AC3">
        <w:t xml:space="preserve">The author </w:t>
      </w:r>
      <w:r w:rsidR="00B5617D" w:rsidRPr="00821AC3">
        <w:t xml:space="preserve">further </w:t>
      </w:r>
      <w:r w:rsidR="00D15F91" w:rsidRPr="00821AC3">
        <w:t>claims that</w:t>
      </w:r>
      <w:r w:rsidR="005938CE" w:rsidRPr="00821AC3">
        <w:t>,</w:t>
      </w:r>
      <w:r w:rsidR="00FC224F" w:rsidRPr="00821AC3">
        <w:t xml:space="preserve"> from the </w:t>
      </w:r>
      <w:r w:rsidR="003B0F08" w:rsidRPr="00821AC3">
        <w:t>board</w:t>
      </w:r>
      <w:r w:rsidR="00FC224F" w:rsidRPr="00821AC3">
        <w:t>’s decision of December 2012 to the decision adopted in his case on 18 March 2014, the Danish authorities did not adopt any decision denying</w:t>
      </w:r>
      <w:r w:rsidR="00B5617D" w:rsidRPr="00821AC3">
        <w:t xml:space="preserve"> </w:t>
      </w:r>
      <w:r w:rsidR="00D15F91" w:rsidRPr="00821AC3">
        <w:t xml:space="preserve">asylum to former residents </w:t>
      </w:r>
      <w:r w:rsidR="00C26ED0" w:rsidRPr="00821AC3">
        <w:t>of Al-Tash</w:t>
      </w:r>
      <w:r w:rsidR="00D15F91" w:rsidRPr="00821AC3">
        <w:t xml:space="preserve"> </w:t>
      </w:r>
      <w:r w:rsidR="005938CE" w:rsidRPr="00821AC3">
        <w:t xml:space="preserve">who had been </w:t>
      </w:r>
      <w:r w:rsidR="00D15F91" w:rsidRPr="00821AC3">
        <w:t>recognized as refugees by UNHCR.</w:t>
      </w:r>
    </w:p>
    <w:p w14:paraId="5FB6AA70" w14:textId="77777777" w:rsidR="00451C91" w:rsidRPr="00821AC3" w:rsidRDefault="00D15F91">
      <w:pPr>
        <w:pStyle w:val="SingleTxtG"/>
      </w:pPr>
      <w:r w:rsidRPr="00821AC3">
        <w:t>5.</w:t>
      </w:r>
      <w:r w:rsidR="005028F4" w:rsidRPr="00821AC3">
        <w:t>8</w:t>
      </w:r>
      <w:r w:rsidR="00756194" w:rsidRPr="00821AC3">
        <w:tab/>
        <w:t xml:space="preserve">The author </w:t>
      </w:r>
      <w:r w:rsidR="00C26ED0" w:rsidRPr="00821AC3">
        <w:t xml:space="preserve">also </w:t>
      </w:r>
      <w:r w:rsidR="00756194" w:rsidRPr="00821AC3">
        <w:t xml:space="preserve">contests </w:t>
      </w:r>
      <w:r w:rsidR="00C26ED0" w:rsidRPr="00821AC3">
        <w:t>the statement that</w:t>
      </w:r>
      <w:r w:rsidR="005938CE" w:rsidRPr="00821AC3">
        <w:t>,</w:t>
      </w:r>
      <w:r w:rsidR="00C0120F" w:rsidRPr="00821AC3">
        <w:t xml:space="preserve"> </w:t>
      </w:r>
      <w:r w:rsidR="005938CE" w:rsidRPr="00821AC3">
        <w:t xml:space="preserve">in its </w:t>
      </w:r>
      <w:r w:rsidR="00DE56B4" w:rsidRPr="00821AC3">
        <w:t>decision of 18 March 2014</w:t>
      </w:r>
      <w:r w:rsidR="005938CE" w:rsidRPr="00821AC3">
        <w:t>,</w:t>
      </w:r>
      <w:r w:rsidR="00DE56B4" w:rsidRPr="00821AC3">
        <w:t xml:space="preserve"> </w:t>
      </w:r>
      <w:r w:rsidR="005938CE" w:rsidRPr="00821AC3">
        <w:t xml:space="preserve">the </w:t>
      </w:r>
      <w:r w:rsidR="005938CE" w:rsidRPr="00821AC3">
        <w:rPr>
          <w:lang w:val="en-US"/>
        </w:rPr>
        <w:t xml:space="preserve">refugee appeals board </w:t>
      </w:r>
      <w:r w:rsidR="00DE56B4" w:rsidRPr="00821AC3">
        <w:t xml:space="preserve">considered new </w:t>
      </w:r>
      <w:r w:rsidR="001F54B0" w:rsidRPr="00821AC3">
        <w:t xml:space="preserve">available </w:t>
      </w:r>
      <w:r w:rsidR="00DE56B4" w:rsidRPr="00821AC3">
        <w:t>background information, in contrast</w:t>
      </w:r>
      <w:r w:rsidR="00C26ED0" w:rsidRPr="00821AC3">
        <w:t xml:space="preserve"> to the information </w:t>
      </w:r>
      <w:r w:rsidR="001F54B0" w:rsidRPr="00821AC3">
        <w:t xml:space="preserve">available </w:t>
      </w:r>
      <w:r w:rsidR="00C26ED0" w:rsidRPr="00821AC3">
        <w:t xml:space="preserve">at the </w:t>
      </w:r>
      <w:r w:rsidR="005938CE" w:rsidRPr="00821AC3">
        <w:t xml:space="preserve">time </w:t>
      </w:r>
      <w:r w:rsidR="00C26ED0" w:rsidRPr="00821AC3">
        <w:t>when</w:t>
      </w:r>
      <w:r w:rsidR="00FC4EF0" w:rsidRPr="00821AC3">
        <w:t xml:space="preserve"> the </w:t>
      </w:r>
      <w:r w:rsidR="00C51EE8" w:rsidRPr="00821AC3">
        <w:t xml:space="preserve">asylum proceedings </w:t>
      </w:r>
      <w:r w:rsidR="00FC4EF0" w:rsidRPr="00821AC3">
        <w:t xml:space="preserve">of </w:t>
      </w:r>
      <w:r w:rsidR="00C51EE8" w:rsidRPr="00821AC3">
        <w:t xml:space="preserve">the </w:t>
      </w:r>
      <w:r w:rsidR="00FC4EF0" w:rsidRPr="00821AC3">
        <w:t>author’s brother</w:t>
      </w:r>
      <w:r w:rsidR="00C26ED0" w:rsidRPr="00821AC3">
        <w:t xml:space="preserve"> </w:t>
      </w:r>
      <w:r w:rsidR="005938CE" w:rsidRPr="00821AC3">
        <w:t xml:space="preserve">had been </w:t>
      </w:r>
      <w:r w:rsidR="00C51EE8" w:rsidRPr="00821AC3">
        <w:t>decided</w:t>
      </w:r>
      <w:r w:rsidR="007D0B44" w:rsidRPr="00821AC3">
        <w:t xml:space="preserve">, in </w:t>
      </w:r>
      <w:r w:rsidR="004E786F" w:rsidRPr="00821AC3">
        <w:t>2010</w:t>
      </w:r>
      <w:r w:rsidR="00DE56B4" w:rsidRPr="00821AC3">
        <w:t xml:space="preserve">. </w:t>
      </w:r>
      <w:r w:rsidR="004E786F" w:rsidRPr="00821AC3">
        <w:t xml:space="preserve">The author </w:t>
      </w:r>
      <w:r w:rsidR="00057C3C" w:rsidRPr="00821AC3">
        <w:t>argues</w:t>
      </w:r>
      <w:r w:rsidR="007D0B44" w:rsidRPr="00821AC3">
        <w:t xml:space="preserve"> that there was no objective reason to reach different conclusions in his case and his brother’s case, </w:t>
      </w:r>
      <w:r w:rsidR="00057C3C" w:rsidRPr="00821AC3">
        <w:t xml:space="preserve">that he has not had an equal protection of the law under similar circumstances, </w:t>
      </w:r>
      <w:r w:rsidR="004E786F" w:rsidRPr="00821AC3">
        <w:t xml:space="preserve">and </w:t>
      </w:r>
      <w:r w:rsidR="00BC0D9B" w:rsidRPr="00821AC3">
        <w:t xml:space="preserve">that he has </w:t>
      </w:r>
      <w:r w:rsidR="007D0B44" w:rsidRPr="00821AC3">
        <w:t xml:space="preserve">therefore </w:t>
      </w:r>
      <w:r w:rsidR="00BC0D9B" w:rsidRPr="00821AC3">
        <w:t xml:space="preserve">been treated in a discriminatory way by the State party. </w:t>
      </w:r>
      <w:r w:rsidR="007D0B44" w:rsidRPr="00821AC3">
        <w:t>T</w:t>
      </w:r>
      <w:r w:rsidR="00451C91" w:rsidRPr="00821AC3">
        <w:t xml:space="preserve">he author </w:t>
      </w:r>
      <w:r w:rsidR="00057C3C" w:rsidRPr="00821AC3">
        <w:t xml:space="preserve">therefore </w:t>
      </w:r>
      <w:r w:rsidR="00451C91" w:rsidRPr="00821AC3">
        <w:t>considers that he has sufficiently substantiated</w:t>
      </w:r>
      <w:r w:rsidR="00057C3C" w:rsidRPr="00821AC3">
        <w:t xml:space="preserve"> his allegations as to</w:t>
      </w:r>
      <w:r w:rsidR="00451C91" w:rsidRPr="00821AC3">
        <w:t xml:space="preserve"> the violation of article 26</w:t>
      </w:r>
      <w:r w:rsidR="00057C3C" w:rsidRPr="00821AC3">
        <w:t xml:space="preserve"> of the Covenant by the State party</w:t>
      </w:r>
      <w:r w:rsidR="00451C91" w:rsidRPr="00821AC3">
        <w:t>.</w:t>
      </w:r>
    </w:p>
    <w:p w14:paraId="7DB57A1A" w14:textId="77777777" w:rsidR="00D53EA4" w:rsidRPr="00821AC3" w:rsidRDefault="005028F4">
      <w:pPr>
        <w:pStyle w:val="SingleTxtG"/>
      </w:pPr>
      <w:r w:rsidRPr="00821AC3">
        <w:t>5.9</w:t>
      </w:r>
      <w:r w:rsidR="00D53EA4" w:rsidRPr="00821AC3">
        <w:tab/>
      </w:r>
      <w:r w:rsidR="001F54B0" w:rsidRPr="00821AC3">
        <w:t>Finally, t</w:t>
      </w:r>
      <w:r w:rsidR="00E9422F" w:rsidRPr="00821AC3">
        <w:t>he author contests the State party’s affirmation that he is trying to use the Committee as an appellate body. He considers that he has sufficiently substantiated that he would be at risk of being subjected to torture or ill</w:t>
      </w:r>
      <w:r w:rsidR="008F6426" w:rsidRPr="00821AC3">
        <w:t>-</w:t>
      </w:r>
      <w:r w:rsidR="00E9422F" w:rsidRPr="00821AC3">
        <w:t xml:space="preserve">treatment if returned to </w:t>
      </w:r>
      <w:r w:rsidR="001877EE" w:rsidRPr="00821AC3">
        <w:rPr>
          <w:iCs/>
        </w:rPr>
        <w:t xml:space="preserve">the Islamic Republic of </w:t>
      </w:r>
      <w:r w:rsidR="001F54B0" w:rsidRPr="00821AC3">
        <w:t xml:space="preserve">Iran, </w:t>
      </w:r>
      <w:r w:rsidR="005938CE" w:rsidRPr="00821AC3">
        <w:t xml:space="preserve">a </w:t>
      </w:r>
      <w:r w:rsidR="00AC4990" w:rsidRPr="00821AC3">
        <w:t xml:space="preserve">conclusion that can be reached on </w:t>
      </w:r>
      <w:r w:rsidR="001F54B0" w:rsidRPr="00821AC3">
        <w:t xml:space="preserve">the </w:t>
      </w:r>
      <w:r w:rsidR="005938CE" w:rsidRPr="00821AC3">
        <w:t xml:space="preserve">basis of the </w:t>
      </w:r>
      <w:r w:rsidR="001F54B0" w:rsidRPr="00821AC3">
        <w:t>information provided to the Committee</w:t>
      </w:r>
      <w:r w:rsidR="00716191" w:rsidRPr="00821AC3">
        <w:t xml:space="preserve"> by the parties</w:t>
      </w:r>
      <w:r w:rsidR="001F54B0" w:rsidRPr="00821AC3">
        <w:t xml:space="preserve">, including the reports quoted by the State party </w:t>
      </w:r>
      <w:r w:rsidR="00716191" w:rsidRPr="00821AC3">
        <w:t>as background information</w:t>
      </w:r>
      <w:r w:rsidR="001F54B0" w:rsidRPr="00821AC3">
        <w:t>.</w:t>
      </w:r>
      <w:r w:rsidR="00E9422F" w:rsidRPr="00821AC3">
        <w:t xml:space="preserve"> </w:t>
      </w:r>
    </w:p>
    <w:p w14:paraId="361A3B78" w14:textId="77777777" w:rsidR="003521FD" w:rsidRPr="00821AC3" w:rsidRDefault="003521FD" w:rsidP="006358CB">
      <w:pPr>
        <w:pStyle w:val="H23G"/>
        <w:spacing w:line="240" w:lineRule="auto"/>
      </w:pPr>
      <w:r w:rsidRPr="00821AC3">
        <w:tab/>
      </w:r>
      <w:r w:rsidRPr="00821AC3">
        <w:tab/>
        <w:t>Issues and proceedings before the Committee</w:t>
      </w:r>
    </w:p>
    <w:p w14:paraId="27684688" w14:textId="77777777" w:rsidR="003521FD" w:rsidRPr="00821AC3" w:rsidRDefault="003521FD" w:rsidP="006358CB">
      <w:pPr>
        <w:pStyle w:val="H4G"/>
        <w:spacing w:line="240" w:lineRule="auto"/>
        <w:rPr>
          <w:lang w:val="en-US"/>
        </w:rPr>
      </w:pPr>
      <w:r w:rsidRPr="00821AC3">
        <w:rPr>
          <w:lang w:val="en-US"/>
        </w:rPr>
        <w:tab/>
      </w:r>
      <w:r w:rsidRPr="00821AC3">
        <w:rPr>
          <w:lang w:val="en-US"/>
        </w:rPr>
        <w:tab/>
        <w:t>Consideration of admissibility</w:t>
      </w:r>
    </w:p>
    <w:p w14:paraId="6666A45F" w14:textId="77777777" w:rsidR="003521FD" w:rsidRPr="00821AC3" w:rsidRDefault="00D92F83" w:rsidP="00154691">
      <w:pPr>
        <w:pStyle w:val="SingleTxtG"/>
        <w:rPr>
          <w:lang w:val="en-US"/>
        </w:rPr>
      </w:pPr>
      <w:r w:rsidRPr="00821AC3">
        <w:rPr>
          <w:lang w:val="en-US"/>
        </w:rPr>
        <w:t>6</w:t>
      </w:r>
      <w:r w:rsidR="0043040F" w:rsidRPr="00821AC3">
        <w:rPr>
          <w:lang w:val="en-US"/>
        </w:rPr>
        <w:t>.1</w:t>
      </w:r>
      <w:r w:rsidR="003521FD" w:rsidRPr="00821AC3">
        <w:rPr>
          <w:lang w:val="en-US"/>
        </w:rPr>
        <w:tab/>
        <w:t>Before considering any claims contained in a communication, the Human Rights Committee must, in accordance with rule 93 of its rules of procedure, decide whether or not it is admissible under the Optional Protocol to the Covenant.</w:t>
      </w:r>
    </w:p>
    <w:p w14:paraId="0ABCCFF8" w14:textId="77777777" w:rsidR="00D26131" w:rsidRPr="00821AC3" w:rsidRDefault="00D92F83">
      <w:pPr>
        <w:pStyle w:val="SingleTxtG"/>
      </w:pPr>
      <w:r w:rsidRPr="00821AC3">
        <w:rPr>
          <w:lang w:val="en-US"/>
        </w:rPr>
        <w:lastRenderedPageBreak/>
        <w:t>6</w:t>
      </w:r>
      <w:r w:rsidR="0043040F" w:rsidRPr="00821AC3">
        <w:rPr>
          <w:lang w:val="en-US"/>
        </w:rPr>
        <w:t>.2</w:t>
      </w:r>
      <w:r w:rsidR="003521FD" w:rsidRPr="00821AC3">
        <w:rPr>
          <w:lang w:val="en-US"/>
        </w:rPr>
        <w:tab/>
      </w:r>
      <w:r w:rsidR="00D26131" w:rsidRPr="00821AC3">
        <w:t>The Committee notes, as required by article 5</w:t>
      </w:r>
      <w:r w:rsidR="00FE2DE8" w:rsidRPr="00821AC3">
        <w:t> (2)</w:t>
      </w:r>
      <w:r w:rsidR="00D26131" w:rsidRPr="00821AC3">
        <w:t xml:space="preserve"> (a) of the Optional Protocol, that the same matter is not being examined under any other international procedure of investigation or settlement. </w:t>
      </w:r>
    </w:p>
    <w:p w14:paraId="08830F73" w14:textId="77777777" w:rsidR="003521FD" w:rsidRPr="00821AC3" w:rsidRDefault="00D26131">
      <w:pPr>
        <w:pStyle w:val="SingleTxtG"/>
      </w:pPr>
      <w:r w:rsidRPr="00821AC3">
        <w:t>6.3</w:t>
      </w:r>
      <w:r w:rsidRPr="00821AC3">
        <w:tab/>
      </w:r>
      <w:r w:rsidR="003521FD" w:rsidRPr="00821AC3">
        <w:t xml:space="preserve">The Committee </w:t>
      </w:r>
      <w:r w:rsidR="001E5669" w:rsidRPr="00821AC3">
        <w:t xml:space="preserve">also </w:t>
      </w:r>
      <w:r w:rsidR="00FF6537" w:rsidRPr="00821AC3">
        <w:t xml:space="preserve">notes the author’s statement that </w:t>
      </w:r>
      <w:r w:rsidR="00C37446" w:rsidRPr="00821AC3">
        <w:t xml:space="preserve">decisions by the Danish </w:t>
      </w:r>
      <w:r w:rsidR="001E5669" w:rsidRPr="00821AC3">
        <w:t>r</w:t>
      </w:r>
      <w:r w:rsidR="00C37446" w:rsidRPr="00821AC3">
        <w:t xml:space="preserve">efugee </w:t>
      </w:r>
      <w:r w:rsidR="001E5669" w:rsidRPr="00821AC3">
        <w:t>a</w:t>
      </w:r>
      <w:r w:rsidR="00C37446" w:rsidRPr="00821AC3">
        <w:t xml:space="preserve">ppeals </w:t>
      </w:r>
      <w:r w:rsidR="001E5669" w:rsidRPr="00821AC3">
        <w:t>b</w:t>
      </w:r>
      <w:r w:rsidR="00C37446" w:rsidRPr="00821AC3">
        <w:t>oard are not subject to appeal and that domestic remedies</w:t>
      </w:r>
      <w:r w:rsidR="00711EA4" w:rsidRPr="00821AC3">
        <w:t xml:space="preserve"> </w:t>
      </w:r>
      <w:r w:rsidR="00FB7952" w:rsidRPr="00821AC3">
        <w:t>have</w:t>
      </w:r>
      <w:r w:rsidR="00191D93" w:rsidRPr="00821AC3">
        <w:t xml:space="preserve"> therefore</w:t>
      </w:r>
      <w:r w:rsidR="00FB7952" w:rsidRPr="00821AC3">
        <w:t xml:space="preserve"> been exhausted</w:t>
      </w:r>
      <w:r w:rsidR="00C37446" w:rsidRPr="00821AC3">
        <w:t xml:space="preserve">. </w:t>
      </w:r>
      <w:r w:rsidR="00FB7952" w:rsidRPr="00821AC3">
        <w:t>T</w:t>
      </w:r>
      <w:r w:rsidR="007C7D52" w:rsidRPr="00821AC3">
        <w:t>his</w:t>
      </w:r>
      <w:r w:rsidR="00332D8F" w:rsidRPr="00821AC3">
        <w:t xml:space="preserve"> </w:t>
      </w:r>
      <w:r w:rsidR="005D3150" w:rsidRPr="00821AC3">
        <w:t xml:space="preserve">assertion </w:t>
      </w:r>
      <w:r w:rsidR="007C7D52" w:rsidRPr="00821AC3">
        <w:t xml:space="preserve">has not been challenged by the State party. </w:t>
      </w:r>
      <w:r w:rsidR="00711EA4" w:rsidRPr="00821AC3">
        <w:t>Therefore, the Committee considers that domestic remedies have been exhausted</w:t>
      </w:r>
      <w:r w:rsidR="00FB7952" w:rsidRPr="00821AC3">
        <w:t xml:space="preserve"> as required by article 5</w:t>
      </w:r>
      <w:r w:rsidR="00FE2DE8" w:rsidRPr="00821AC3">
        <w:t> (2)</w:t>
      </w:r>
      <w:r w:rsidR="00FB7952" w:rsidRPr="00821AC3">
        <w:t xml:space="preserve"> (b)</w:t>
      </w:r>
      <w:r w:rsidR="008B375F" w:rsidRPr="00821AC3">
        <w:t xml:space="preserve"> of the Optional Protocol</w:t>
      </w:r>
      <w:r w:rsidR="00711EA4" w:rsidRPr="00821AC3">
        <w:t>.</w:t>
      </w:r>
    </w:p>
    <w:p w14:paraId="26F464A7" w14:textId="77777777" w:rsidR="0055730A" w:rsidRPr="00821AC3" w:rsidRDefault="005028F4">
      <w:pPr>
        <w:pStyle w:val="SingleTxtG"/>
      </w:pPr>
      <w:r w:rsidRPr="00821AC3">
        <w:t>6.4</w:t>
      </w:r>
      <w:r w:rsidR="0055730A" w:rsidRPr="00821AC3">
        <w:tab/>
      </w:r>
      <w:r w:rsidR="00640471" w:rsidRPr="00821AC3">
        <w:t xml:space="preserve">The Committee </w:t>
      </w:r>
      <w:r w:rsidR="001E5669" w:rsidRPr="00821AC3">
        <w:t xml:space="preserve">further </w:t>
      </w:r>
      <w:r w:rsidR="00640471" w:rsidRPr="00821AC3">
        <w:t>notes</w:t>
      </w:r>
      <w:r w:rsidR="00DC648D" w:rsidRPr="00821AC3">
        <w:t xml:space="preserve"> </w:t>
      </w:r>
      <w:r w:rsidR="0055730A" w:rsidRPr="00821AC3">
        <w:t>the</w:t>
      </w:r>
      <w:r w:rsidR="001449DF" w:rsidRPr="00821AC3">
        <w:t xml:space="preserve"> author’s</w:t>
      </w:r>
      <w:r w:rsidR="0055730A" w:rsidRPr="00821AC3">
        <w:t xml:space="preserve"> claim that the decision </w:t>
      </w:r>
      <w:r w:rsidR="003B0F08" w:rsidRPr="00821AC3">
        <w:t xml:space="preserve">of the </w:t>
      </w:r>
      <w:r w:rsidR="003B0F08" w:rsidRPr="00821AC3">
        <w:rPr>
          <w:lang w:val="en-US"/>
        </w:rPr>
        <w:t xml:space="preserve">refugee appeals board </w:t>
      </w:r>
      <w:r w:rsidR="0055730A" w:rsidRPr="00821AC3">
        <w:t>of 18 March 2014</w:t>
      </w:r>
      <w:r w:rsidR="001E5669" w:rsidRPr="00821AC3">
        <w:t>,</w:t>
      </w:r>
      <w:r w:rsidR="0055730A" w:rsidRPr="00821AC3">
        <w:t xml:space="preserve"> </w:t>
      </w:r>
      <w:r w:rsidR="001E5669" w:rsidRPr="00821AC3">
        <w:t xml:space="preserve">by </w:t>
      </w:r>
      <w:r w:rsidR="001449DF" w:rsidRPr="00821AC3">
        <w:t>which</w:t>
      </w:r>
      <w:r w:rsidR="0055730A" w:rsidRPr="00821AC3">
        <w:t xml:space="preserve"> </w:t>
      </w:r>
      <w:r w:rsidR="001E5669" w:rsidRPr="00821AC3">
        <w:t xml:space="preserve">it </w:t>
      </w:r>
      <w:r w:rsidR="0055730A" w:rsidRPr="00821AC3">
        <w:t xml:space="preserve">denied </w:t>
      </w:r>
      <w:r w:rsidR="00DC648D" w:rsidRPr="00821AC3">
        <w:t>his</w:t>
      </w:r>
      <w:r w:rsidR="00645630" w:rsidRPr="00821AC3">
        <w:t xml:space="preserve"> </w:t>
      </w:r>
      <w:r w:rsidR="0055730A" w:rsidRPr="00821AC3">
        <w:t>asylum</w:t>
      </w:r>
      <w:r w:rsidR="00645630" w:rsidRPr="00821AC3">
        <w:t xml:space="preserve"> </w:t>
      </w:r>
      <w:r w:rsidR="00DC648D" w:rsidRPr="00821AC3">
        <w:t>application</w:t>
      </w:r>
      <w:r w:rsidR="001E5669" w:rsidRPr="00821AC3">
        <w:t>,</w:t>
      </w:r>
      <w:r w:rsidR="00DC648D" w:rsidRPr="00821AC3">
        <w:t xml:space="preserve"> was discriminatory in violation of article 26 of the Covenant insofar as </w:t>
      </w:r>
      <w:r w:rsidR="0055730A" w:rsidRPr="00821AC3">
        <w:t>his brother</w:t>
      </w:r>
      <w:r w:rsidR="00BE3A93" w:rsidRPr="00821AC3">
        <w:t xml:space="preserve"> </w:t>
      </w:r>
      <w:r w:rsidR="001E5669" w:rsidRPr="00821AC3">
        <w:t xml:space="preserve">had been </w:t>
      </w:r>
      <w:r w:rsidR="00BE3A93" w:rsidRPr="00821AC3">
        <w:t xml:space="preserve">granted </w:t>
      </w:r>
      <w:r w:rsidR="007E308C" w:rsidRPr="00821AC3">
        <w:t>refugee status under similar circumstances</w:t>
      </w:r>
      <w:r w:rsidR="00DC648D" w:rsidRPr="00821AC3">
        <w:t xml:space="preserve">. In this connection, the Committee notes that the author </w:t>
      </w:r>
      <w:r w:rsidR="00B354BC" w:rsidRPr="00821AC3">
        <w:t xml:space="preserve">has failed to </w:t>
      </w:r>
      <w:r w:rsidR="00DC648D" w:rsidRPr="00821AC3">
        <w:t xml:space="preserve">demonstrate that </w:t>
      </w:r>
      <w:r w:rsidR="00B354BC" w:rsidRPr="00821AC3">
        <w:t xml:space="preserve">the </w:t>
      </w:r>
      <w:r w:rsidR="00EA1C2B" w:rsidRPr="00821AC3">
        <w:t xml:space="preserve">decision rejecting his refugee status was discriminatory in that it was </w:t>
      </w:r>
      <w:r w:rsidR="001E5669" w:rsidRPr="00821AC3">
        <w:t xml:space="preserve">made </w:t>
      </w:r>
      <w:r w:rsidR="00EA1C2B" w:rsidRPr="00821AC3">
        <w:t xml:space="preserve">on </w:t>
      </w:r>
      <w:r w:rsidR="001E5669" w:rsidRPr="00821AC3">
        <w:t xml:space="preserve">the basis of </w:t>
      </w:r>
      <w:r w:rsidR="00EA1C2B" w:rsidRPr="00821AC3">
        <w:t>a ground prohibited under article 26 of the Covenant.</w:t>
      </w:r>
      <w:r w:rsidR="00EA1C2B" w:rsidRPr="00821AC3">
        <w:rPr>
          <w:rStyle w:val="FootnoteReference"/>
        </w:rPr>
        <w:footnoteReference w:id="22"/>
      </w:r>
      <w:r w:rsidR="00B354BC" w:rsidRPr="00821AC3">
        <w:t xml:space="preserve"> The Committee is therefore of the opinion that this allegation </w:t>
      </w:r>
      <w:r w:rsidR="00DC648D" w:rsidRPr="00821AC3">
        <w:t xml:space="preserve">is not substantiated </w:t>
      </w:r>
      <w:r w:rsidR="00645630" w:rsidRPr="00821AC3">
        <w:t>and is</w:t>
      </w:r>
      <w:r w:rsidR="00B354BC" w:rsidRPr="00821AC3">
        <w:t xml:space="preserve"> inadmissible under article 2 of the Optional Protocol.</w:t>
      </w:r>
      <w:r w:rsidR="00F57A6D" w:rsidRPr="00821AC3">
        <w:rPr>
          <w:rStyle w:val="FootnoteReference"/>
        </w:rPr>
        <w:t xml:space="preserve"> </w:t>
      </w:r>
    </w:p>
    <w:p w14:paraId="08C62526" w14:textId="77777777" w:rsidR="00F511F2" w:rsidRPr="00821AC3" w:rsidRDefault="00D92F83" w:rsidP="0088080F">
      <w:pPr>
        <w:pStyle w:val="SingleTxtG"/>
      </w:pPr>
      <w:r w:rsidRPr="00821AC3">
        <w:t>6</w:t>
      </w:r>
      <w:r w:rsidR="003521FD" w:rsidRPr="00821AC3">
        <w:t>.</w:t>
      </w:r>
      <w:r w:rsidR="005028F4" w:rsidRPr="00821AC3">
        <w:t>5</w:t>
      </w:r>
      <w:r w:rsidR="003521FD" w:rsidRPr="00821AC3">
        <w:tab/>
      </w:r>
      <w:r w:rsidR="00674DBC" w:rsidRPr="00821AC3">
        <w:t xml:space="preserve">With respect to </w:t>
      </w:r>
      <w:r w:rsidR="001449DF" w:rsidRPr="00821AC3">
        <w:t>the State party’s challenge to the admissibility of the author’s allegation under article 7, on the basis that the author has failed to substantiate that he would be at personal risk of being subjected to torture or ill</w:t>
      </w:r>
      <w:r w:rsidR="008F6426" w:rsidRPr="00821AC3">
        <w:t>-</w:t>
      </w:r>
      <w:r w:rsidR="001449DF" w:rsidRPr="00821AC3">
        <w:t xml:space="preserve">treatment if returned to </w:t>
      </w:r>
      <w:r w:rsidR="001877EE" w:rsidRPr="00821AC3">
        <w:rPr>
          <w:iCs/>
        </w:rPr>
        <w:t xml:space="preserve">the Islamic Republic of </w:t>
      </w:r>
      <w:r w:rsidR="001449DF" w:rsidRPr="00821AC3">
        <w:t>Iran</w:t>
      </w:r>
      <w:r w:rsidR="00674DBC" w:rsidRPr="00821AC3">
        <w:t>, t</w:t>
      </w:r>
      <w:r w:rsidR="001449DF" w:rsidRPr="00821AC3">
        <w:t xml:space="preserve">he Committee notes that </w:t>
      </w:r>
      <w:r w:rsidR="001449DF" w:rsidRPr="00821AC3">
        <w:rPr>
          <w:shd w:val="clear" w:color="auto" w:fill="FFFFFF"/>
          <w:lang w:val="en-US"/>
        </w:rPr>
        <w:t xml:space="preserve">the </w:t>
      </w:r>
      <w:r w:rsidR="005F39EB" w:rsidRPr="00821AC3">
        <w:rPr>
          <w:shd w:val="clear" w:color="auto" w:fill="FFFFFF"/>
          <w:lang w:val="en-US"/>
        </w:rPr>
        <w:t>author</w:t>
      </w:r>
      <w:r w:rsidR="00FB7952" w:rsidRPr="00821AC3">
        <w:rPr>
          <w:shd w:val="clear" w:color="auto" w:fill="FFFFFF"/>
          <w:lang w:val="en-US"/>
        </w:rPr>
        <w:t xml:space="preserve"> bases his allegation</w:t>
      </w:r>
      <w:r w:rsidR="001449DF" w:rsidRPr="00821AC3">
        <w:rPr>
          <w:shd w:val="clear" w:color="auto" w:fill="FFFFFF"/>
          <w:lang w:val="en-US"/>
        </w:rPr>
        <w:t>s</w:t>
      </w:r>
      <w:r w:rsidR="00FB7952" w:rsidRPr="00821AC3">
        <w:rPr>
          <w:shd w:val="clear" w:color="auto" w:fill="FFFFFF"/>
          <w:lang w:val="en-US"/>
        </w:rPr>
        <w:t xml:space="preserve"> on </w:t>
      </w:r>
      <w:r w:rsidR="00F818EC" w:rsidRPr="00821AC3">
        <w:rPr>
          <w:shd w:val="clear" w:color="auto" w:fill="FFFFFF"/>
          <w:lang w:val="en-US"/>
        </w:rPr>
        <w:t xml:space="preserve">the fact that he was born and raised in refugee </w:t>
      </w:r>
      <w:r w:rsidR="00F818EC" w:rsidRPr="00821AC3">
        <w:t>camps</w:t>
      </w:r>
      <w:r w:rsidR="00775194" w:rsidRPr="00821AC3">
        <w:rPr>
          <w:shd w:val="clear" w:color="auto" w:fill="FFFFFF"/>
          <w:lang w:val="en-US"/>
        </w:rPr>
        <w:t xml:space="preserve"> in Iraq</w:t>
      </w:r>
      <w:r w:rsidR="00F818EC" w:rsidRPr="00821AC3">
        <w:rPr>
          <w:shd w:val="clear" w:color="auto" w:fill="FFFFFF"/>
          <w:lang w:val="en-US"/>
        </w:rPr>
        <w:t xml:space="preserve"> known to be linked to Kurdish opposition groups</w:t>
      </w:r>
      <w:r w:rsidR="001449DF" w:rsidRPr="00821AC3">
        <w:rPr>
          <w:shd w:val="clear" w:color="auto" w:fill="FFFFFF"/>
          <w:lang w:val="en-US"/>
        </w:rPr>
        <w:t>, that he</w:t>
      </w:r>
      <w:r w:rsidR="00775194" w:rsidRPr="00821AC3">
        <w:rPr>
          <w:shd w:val="clear" w:color="auto" w:fill="FFFFFF"/>
          <w:lang w:val="en-US"/>
        </w:rPr>
        <w:t xml:space="preserve"> is a member of the </w:t>
      </w:r>
      <w:r w:rsidR="0094332E" w:rsidRPr="00821AC3">
        <w:rPr>
          <w:lang w:val="en-US"/>
        </w:rPr>
        <w:t>Kurdistan Freedom Party</w:t>
      </w:r>
      <w:r w:rsidR="00775194" w:rsidRPr="00821AC3">
        <w:rPr>
          <w:shd w:val="clear" w:color="auto" w:fill="FFFFFF"/>
          <w:lang w:val="en-US"/>
        </w:rPr>
        <w:t xml:space="preserve"> and</w:t>
      </w:r>
      <w:r w:rsidR="001449DF" w:rsidRPr="00821AC3">
        <w:rPr>
          <w:shd w:val="clear" w:color="auto" w:fill="FFFFFF"/>
          <w:lang w:val="en-US"/>
        </w:rPr>
        <w:t xml:space="preserve"> that</w:t>
      </w:r>
      <w:r w:rsidR="00775194" w:rsidRPr="00821AC3">
        <w:rPr>
          <w:shd w:val="clear" w:color="auto" w:fill="FFFFFF"/>
          <w:lang w:val="en-US"/>
        </w:rPr>
        <w:t xml:space="preserve"> his father is </w:t>
      </w:r>
      <w:r w:rsidR="00C71A40" w:rsidRPr="00821AC3">
        <w:rPr>
          <w:shd w:val="clear" w:color="auto" w:fill="FFFFFF"/>
          <w:lang w:val="en-US"/>
        </w:rPr>
        <w:t xml:space="preserve">a </w:t>
      </w:r>
      <w:r w:rsidR="00775194" w:rsidRPr="00821AC3">
        <w:rPr>
          <w:shd w:val="clear" w:color="auto" w:fill="FFFFFF"/>
          <w:lang w:val="en-US"/>
        </w:rPr>
        <w:t xml:space="preserve">member of the </w:t>
      </w:r>
      <w:r w:rsidR="0094332E" w:rsidRPr="00821AC3">
        <w:rPr>
          <w:lang w:val="en-US"/>
        </w:rPr>
        <w:t>Democratic Party of Iranian Kurdistan</w:t>
      </w:r>
      <w:r w:rsidR="00775194" w:rsidRPr="00821AC3">
        <w:rPr>
          <w:shd w:val="clear" w:color="auto" w:fill="FFFFFF"/>
          <w:lang w:val="en-US"/>
        </w:rPr>
        <w:t>. The</w:t>
      </w:r>
      <w:r w:rsidR="00C85938" w:rsidRPr="00821AC3">
        <w:rPr>
          <w:shd w:val="clear" w:color="auto" w:fill="FFFFFF"/>
          <w:lang w:val="en-US"/>
        </w:rPr>
        <w:t xml:space="preserve"> Committee also notes that the </w:t>
      </w:r>
      <w:r w:rsidR="00775194" w:rsidRPr="00821AC3">
        <w:rPr>
          <w:shd w:val="clear" w:color="auto" w:fill="FFFFFF"/>
          <w:lang w:val="en-US"/>
        </w:rPr>
        <w:t xml:space="preserve">author </w:t>
      </w:r>
      <w:r w:rsidR="00C85938" w:rsidRPr="00821AC3">
        <w:rPr>
          <w:shd w:val="clear" w:color="auto" w:fill="FFFFFF"/>
          <w:lang w:val="en-US"/>
        </w:rPr>
        <w:t xml:space="preserve">alleges that he has no </w:t>
      </w:r>
      <w:r w:rsidR="00C71A40" w:rsidRPr="00821AC3">
        <w:rPr>
          <w:shd w:val="clear" w:color="auto" w:fill="FFFFFF"/>
          <w:lang w:val="en-US"/>
        </w:rPr>
        <w:t xml:space="preserve">identification </w:t>
      </w:r>
      <w:r w:rsidR="00C85938" w:rsidRPr="00821AC3">
        <w:rPr>
          <w:shd w:val="clear" w:color="auto" w:fill="FFFFFF"/>
          <w:lang w:val="en-US"/>
        </w:rPr>
        <w:t>documents and does not speak Farsi</w:t>
      </w:r>
      <w:r w:rsidR="00723E3B" w:rsidRPr="00821AC3">
        <w:rPr>
          <w:shd w:val="clear" w:color="auto" w:fill="FFFFFF"/>
          <w:lang w:val="en-US"/>
        </w:rPr>
        <w:t>,</w:t>
      </w:r>
      <w:r w:rsidR="00C85938" w:rsidRPr="00821AC3">
        <w:rPr>
          <w:shd w:val="clear" w:color="auto" w:fill="FFFFFF"/>
          <w:lang w:val="en-US"/>
        </w:rPr>
        <w:t xml:space="preserve"> which would </w:t>
      </w:r>
      <w:r w:rsidR="00F91067" w:rsidRPr="00821AC3">
        <w:rPr>
          <w:shd w:val="clear" w:color="auto" w:fill="FFFFFF"/>
          <w:lang w:val="en-US"/>
        </w:rPr>
        <w:t xml:space="preserve">put him at risk </w:t>
      </w:r>
      <w:r w:rsidR="00C85938" w:rsidRPr="00821AC3">
        <w:rPr>
          <w:shd w:val="clear" w:color="auto" w:fill="FFFFFF"/>
          <w:lang w:val="en-US"/>
        </w:rPr>
        <w:t>of</w:t>
      </w:r>
      <w:r w:rsidR="00645630" w:rsidRPr="00821AC3">
        <w:rPr>
          <w:shd w:val="clear" w:color="auto" w:fill="FFFFFF"/>
          <w:lang w:val="en-US"/>
        </w:rPr>
        <w:t xml:space="preserve"> </w:t>
      </w:r>
      <w:r w:rsidR="00F91067" w:rsidRPr="00821AC3">
        <w:rPr>
          <w:shd w:val="clear" w:color="auto" w:fill="FFFFFF"/>
          <w:lang w:val="en-US"/>
        </w:rPr>
        <w:t xml:space="preserve">persecution by </w:t>
      </w:r>
      <w:r w:rsidR="00C85938" w:rsidRPr="00821AC3">
        <w:rPr>
          <w:shd w:val="clear" w:color="auto" w:fill="FFFFFF"/>
          <w:lang w:val="en-US"/>
        </w:rPr>
        <w:t>the Iranian authorities.</w:t>
      </w:r>
      <w:r w:rsidR="00645630" w:rsidRPr="00821AC3">
        <w:rPr>
          <w:shd w:val="clear" w:color="auto" w:fill="FFFFFF"/>
          <w:lang w:val="en-US"/>
        </w:rPr>
        <w:t xml:space="preserve"> </w:t>
      </w:r>
      <w:r w:rsidR="00F91067" w:rsidRPr="00821AC3">
        <w:rPr>
          <w:shd w:val="clear" w:color="auto" w:fill="FFFFFF"/>
          <w:lang w:val="en-US"/>
        </w:rPr>
        <w:t xml:space="preserve">The Committee </w:t>
      </w:r>
      <w:r w:rsidR="00A50902" w:rsidRPr="00821AC3">
        <w:t xml:space="preserve">therefore </w:t>
      </w:r>
      <w:r w:rsidR="00C85938" w:rsidRPr="00821AC3">
        <w:t xml:space="preserve">considers that the author has sufficiently substantiated, for purposes of admissibility, that the facts in the communication raise issues under article 7 of the Covenant that should be considered on their merits. </w:t>
      </w:r>
    </w:p>
    <w:p w14:paraId="348BEB69" w14:textId="77777777" w:rsidR="00C92F41" w:rsidRPr="00821AC3" w:rsidRDefault="00154691" w:rsidP="00154691">
      <w:pPr>
        <w:pStyle w:val="H4G"/>
      </w:pPr>
      <w:r w:rsidRPr="00821AC3">
        <w:tab/>
      </w:r>
      <w:r w:rsidRPr="00821AC3">
        <w:tab/>
      </w:r>
      <w:r w:rsidR="00C92F41" w:rsidRPr="00821AC3">
        <w:t xml:space="preserve">Consideration </w:t>
      </w:r>
      <w:r w:rsidR="00504C29" w:rsidRPr="00821AC3">
        <w:t>o</w:t>
      </w:r>
      <w:r w:rsidR="006E6D8D" w:rsidRPr="00821AC3">
        <w:t>f</w:t>
      </w:r>
      <w:r w:rsidR="00504C29" w:rsidRPr="00821AC3">
        <w:t xml:space="preserve"> </w:t>
      </w:r>
      <w:r w:rsidR="00C92F41" w:rsidRPr="00821AC3">
        <w:t>the merits</w:t>
      </w:r>
    </w:p>
    <w:p w14:paraId="76D2F55B" w14:textId="77777777" w:rsidR="0077731B" w:rsidRPr="00821AC3" w:rsidRDefault="00C92F41">
      <w:pPr>
        <w:pStyle w:val="SingleTxtG"/>
      </w:pPr>
      <w:r w:rsidRPr="00821AC3">
        <w:t>7.1</w:t>
      </w:r>
      <w:r w:rsidRPr="00821AC3">
        <w:tab/>
      </w:r>
      <w:r w:rsidR="0077731B" w:rsidRPr="00821AC3">
        <w:t xml:space="preserve">The Human Rights Committee has considered the communication in </w:t>
      </w:r>
      <w:r w:rsidR="00C71A40" w:rsidRPr="00821AC3">
        <w:t xml:space="preserve">the </w:t>
      </w:r>
      <w:r w:rsidR="0077731B" w:rsidRPr="00821AC3">
        <w:t xml:space="preserve">light of all the information made </w:t>
      </w:r>
      <w:r w:rsidR="0077731B" w:rsidRPr="00821AC3">
        <w:rPr>
          <w:shd w:val="clear" w:color="auto" w:fill="FFFFFF"/>
          <w:lang w:val="en-US"/>
        </w:rPr>
        <w:t>available</w:t>
      </w:r>
      <w:r w:rsidR="0077731B" w:rsidRPr="00821AC3">
        <w:t xml:space="preserve"> to it by the parties, as provided for under article 5</w:t>
      </w:r>
      <w:r w:rsidR="00FE2DE8" w:rsidRPr="00821AC3">
        <w:t> (1)</w:t>
      </w:r>
      <w:r w:rsidR="0077731B" w:rsidRPr="00821AC3">
        <w:t xml:space="preserve"> of the Optional Protocol. </w:t>
      </w:r>
    </w:p>
    <w:p w14:paraId="161B9893" w14:textId="77777777" w:rsidR="00C92F41" w:rsidRPr="00821AC3" w:rsidRDefault="0077731B" w:rsidP="00154691">
      <w:pPr>
        <w:pStyle w:val="SingleTxtG"/>
      </w:pPr>
      <w:r w:rsidRPr="00821AC3">
        <w:t>7.2</w:t>
      </w:r>
      <w:r w:rsidRPr="00821AC3">
        <w:tab/>
      </w:r>
      <w:r w:rsidR="008B5FE0" w:rsidRPr="00821AC3">
        <w:rPr>
          <w:lang w:val="en-US"/>
        </w:rPr>
        <w:t xml:space="preserve">The Committee considers it necessary to bear in mind the State party’s obligation under article 2 of the Covenant to ensure to all individuals within its territory and subject to its jurisdiction the </w:t>
      </w:r>
      <w:r w:rsidR="008B5FE0" w:rsidRPr="00821AC3">
        <w:rPr>
          <w:shd w:val="clear" w:color="auto" w:fill="FFFFFF"/>
          <w:lang w:val="en-US"/>
        </w:rPr>
        <w:t>rights</w:t>
      </w:r>
      <w:r w:rsidR="008B5FE0" w:rsidRPr="00821AC3">
        <w:rPr>
          <w:lang w:val="en-US"/>
        </w:rPr>
        <w:t xml:space="preserve"> recognized in the Covenant, including in the application of its processes for </w:t>
      </w:r>
      <w:r w:rsidR="00A50902" w:rsidRPr="00821AC3">
        <w:rPr>
          <w:lang w:val="en-US"/>
        </w:rPr>
        <w:t xml:space="preserve">the </w:t>
      </w:r>
      <w:r w:rsidR="008B5FE0" w:rsidRPr="00821AC3">
        <w:rPr>
          <w:lang w:val="en-US"/>
        </w:rPr>
        <w:t>expulsion of non-citizens</w:t>
      </w:r>
      <w:r w:rsidR="00154691" w:rsidRPr="00821AC3">
        <w:rPr>
          <w:lang w:val="en-US"/>
        </w:rPr>
        <w:t>.</w:t>
      </w:r>
      <w:r w:rsidR="008B5FE0" w:rsidRPr="00821AC3">
        <w:rPr>
          <w:vertAlign w:val="superscript"/>
          <w:lang w:val="en-US"/>
        </w:rPr>
        <w:footnoteReference w:id="23"/>
      </w:r>
      <w:r w:rsidR="008B5FE0" w:rsidRPr="00821AC3">
        <w:rPr>
          <w:lang w:val="en-US"/>
        </w:rPr>
        <w:t xml:space="preserve"> The Committee recalls</w:t>
      </w:r>
      <w:r w:rsidR="00105334" w:rsidRPr="00821AC3">
        <w:rPr>
          <w:lang w:val="en-US"/>
        </w:rPr>
        <w:t xml:space="preserve"> </w:t>
      </w:r>
      <w:r w:rsidR="00CC0B23" w:rsidRPr="00821AC3">
        <w:t xml:space="preserve">that it is generally for the organs of States parties </w:t>
      </w:r>
      <w:r w:rsidR="00C505FA" w:rsidRPr="00821AC3">
        <w:t xml:space="preserve">to the Covenant </w:t>
      </w:r>
      <w:r w:rsidR="00CC0B23" w:rsidRPr="00821AC3">
        <w:t>to examine the facts and evidence of the case in order to determine whether such a risk exists, unless it can be established that the assessment was arbitrary or amounted to a manifest error or denial of justice</w:t>
      </w:r>
      <w:r w:rsidR="00C71A40" w:rsidRPr="00821AC3">
        <w:t>.</w:t>
      </w:r>
      <w:r w:rsidR="008B5FE0" w:rsidRPr="00821AC3">
        <w:rPr>
          <w:rStyle w:val="FootnoteReference"/>
          <w:lang w:val="en-US"/>
        </w:rPr>
        <w:footnoteReference w:id="24"/>
      </w:r>
    </w:p>
    <w:p w14:paraId="3BB90443" w14:textId="77777777" w:rsidR="001D3713" w:rsidRPr="00821AC3" w:rsidRDefault="004356F1">
      <w:pPr>
        <w:pStyle w:val="SingleTxtG"/>
      </w:pPr>
      <w:r w:rsidRPr="00821AC3">
        <w:t>7.3</w:t>
      </w:r>
      <w:r w:rsidRPr="00821AC3">
        <w:tab/>
      </w:r>
      <w:r w:rsidR="001D3713" w:rsidRPr="00821AC3">
        <w:t>T</w:t>
      </w:r>
      <w:r w:rsidR="001D3713" w:rsidRPr="00821AC3">
        <w:rPr>
          <w:bCs/>
        </w:rPr>
        <w:t xml:space="preserve">he Committee recalls its </w:t>
      </w:r>
      <w:r w:rsidR="00C71A40" w:rsidRPr="00821AC3">
        <w:rPr>
          <w:bCs/>
        </w:rPr>
        <w:t>g</w:t>
      </w:r>
      <w:r w:rsidR="001D3713" w:rsidRPr="00821AC3">
        <w:rPr>
          <w:bCs/>
        </w:rPr>
        <w:t xml:space="preserve">eneral </w:t>
      </w:r>
      <w:r w:rsidR="00C71A40" w:rsidRPr="00821AC3">
        <w:rPr>
          <w:bCs/>
        </w:rPr>
        <w:t>c</w:t>
      </w:r>
      <w:r w:rsidR="001D3713" w:rsidRPr="00821AC3">
        <w:rPr>
          <w:bCs/>
        </w:rPr>
        <w:t>omment No. 31</w:t>
      </w:r>
      <w:r w:rsidR="00C71A40" w:rsidRPr="00821AC3">
        <w:rPr>
          <w:bCs/>
        </w:rPr>
        <w:t>,</w:t>
      </w:r>
      <w:r w:rsidR="001D3713" w:rsidRPr="00821AC3">
        <w:rPr>
          <w:bCs/>
        </w:rPr>
        <w:t xml:space="preserve"> in which it refers to the obligation of States parties not to extradite, deport, expel or otherwise remove a person from their territory where there are substantial grounds for believing that there is a real risk of irreparable harm. </w:t>
      </w:r>
      <w:r w:rsidR="001D3713" w:rsidRPr="00821AC3">
        <w:t xml:space="preserve">The Committee also recalls that the risk must be personal and that </w:t>
      </w:r>
      <w:r w:rsidR="001D3713" w:rsidRPr="00821AC3">
        <w:lastRenderedPageBreak/>
        <w:t>there is a high threshold for providing substantial grounds to establish that a real risk of irreparable harm exists. Therefore, all relevant facts and circumstances must be considered, including the general human rights situation in the author’s country of origin.</w:t>
      </w:r>
      <w:r w:rsidR="001D3713" w:rsidRPr="00821AC3">
        <w:rPr>
          <w:vertAlign w:val="superscript"/>
        </w:rPr>
        <w:footnoteReference w:id="25"/>
      </w:r>
    </w:p>
    <w:p w14:paraId="43E55568" w14:textId="77777777" w:rsidR="009C07DF" w:rsidRPr="00821AC3" w:rsidRDefault="005028F4">
      <w:pPr>
        <w:pStyle w:val="SingleTxtG"/>
      </w:pPr>
      <w:r w:rsidRPr="00821AC3">
        <w:rPr>
          <w:lang w:val="en-US"/>
        </w:rPr>
        <w:t>7.</w:t>
      </w:r>
      <w:r w:rsidR="004356F1" w:rsidRPr="00821AC3">
        <w:rPr>
          <w:lang w:val="en-US"/>
        </w:rPr>
        <w:t>4</w:t>
      </w:r>
      <w:r w:rsidR="008B5FE0" w:rsidRPr="00821AC3">
        <w:rPr>
          <w:lang w:val="en-US"/>
        </w:rPr>
        <w:tab/>
      </w:r>
      <w:r w:rsidR="00BD3EE2" w:rsidRPr="00821AC3">
        <w:rPr>
          <w:lang w:val="en-US"/>
        </w:rPr>
        <w:t>In the present case, t</w:t>
      </w:r>
      <w:r w:rsidR="00B2434A" w:rsidRPr="00821AC3">
        <w:rPr>
          <w:lang w:val="en-US"/>
        </w:rPr>
        <w:t xml:space="preserve">he Committee notes </w:t>
      </w:r>
      <w:r w:rsidR="00B2434A" w:rsidRPr="00821AC3">
        <w:t xml:space="preserve">the State party’s argument that the </w:t>
      </w:r>
      <w:r w:rsidR="003B0F08" w:rsidRPr="00821AC3">
        <w:rPr>
          <w:lang w:val="en-US"/>
        </w:rPr>
        <w:t>refugee appeals board</w:t>
      </w:r>
      <w:r w:rsidR="00B2434A" w:rsidRPr="00821AC3">
        <w:t xml:space="preserve"> did take into account all relevant </w:t>
      </w:r>
      <w:r w:rsidR="00B2434A" w:rsidRPr="00821AC3">
        <w:rPr>
          <w:lang w:val="en-US"/>
        </w:rPr>
        <w:t>background</w:t>
      </w:r>
      <w:r w:rsidR="00B2434A" w:rsidRPr="00821AC3">
        <w:t xml:space="preserve"> information, combined with the author’s specific circumstances</w:t>
      </w:r>
      <w:r w:rsidR="00BD3EE2" w:rsidRPr="00821AC3">
        <w:t xml:space="preserve">, and that the author failed to establish that there were substantial grounds for believing that he would be at risk of being subject to persecution or asylum-relevant abuse if returned to </w:t>
      </w:r>
      <w:r w:rsidR="001877EE" w:rsidRPr="00821AC3">
        <w:rPr>
          <w:iCs/>
        </w:rPr>
        <w:t xml:space="preserve">the Islamic Republic of </w:t>
      </w:r>
      <w:r w:rsidR="00BD3EE2" w:rsidRPr="00821AC3">
        <w:t xml:space="preserve">Iran. In this connection, the Committee notes the State party’s argument that the fact that the author was born in </w:t>
      </w:r>
      <w:r w:rsidR="00C71A40" w:rsidRPr="00821AC3">
        <w:t xml:space="preserve">the </w:t>
      </w:r>
      <w:r w:rsidR="00BD3EE2" w:rsidRPr="00821AC3">
        <w:rPr>
          <w:lang w:val="en-US"/>
        </w:rPr>
        <w:t xml:space="preserve">Al-Tash refugee camp and later lived in </w:t>
      </w:r>
      <w:r w:rsidR="00C71A40" w:rsidRPr="00821AC3">
        <w:rPr>
          <w:lang w:val="en-US"/>
        </w:rPr>
        <w:t xml:space="preserve">the </w:t>
      </w:r>
      <w:r w:rsidR="00BD3EE2" w:rsidRPr="00821AC3">
        <w:rPr>
          <w:lang w:val="en-US"/>
        </w:rPr>
        <w:t xml:space="preserve">Barika refugee Camp only put him at risk of becoming the </w:t>
      </w:r>
      <w:r w:rsidR="00BD3EE2" w:rsidRPr="00821AC3">
        <w:t xml:space="preserve">object of “general attention” of the Iranian authorities </w:t>
      </w:r>
      <w:r w:rsidR="00C71A40" w:rsidRPr="00821AC3">
        <w:t xml:space="preserve">if </w:t>
      </w:r>
      <w:r w:rsidR="00BD3EE2" w:rsidRPr="00821AC3">
        <w:t>return</w:t>
      </w:r>
      <w:r w:rsidR="00C71A40" w:rsidRPr="00821AC3">
        <w:t>ed</w:t>
      </w:r>
      <w:r w:rsidR="00BD3EE2" w:rsidRPr="00821AC3">
        <w:t xml:space="preserve"> to </w:t>
      </w:r>
      <w:r w:rsidR="001877EE" w:rsidRPr="00821AC3">
        <w:rPr>
          <w:iCs/>
        </w:rPr>
        <w:t xml:space="preserve">the Islamic Republic of </w:t>
      </w:r>
      <w:r w:rsidR="00BD3EE2" w:rsidRPr="00821AC3">
        <w:t>Iran, which is not enough to substantiate a real risk of being subject to torture or ill</w:t>
      </w:r>
      <w:r w:rsidR="008F6426" w:rsidRPr="00821AC3">
        <w:t>-</w:t>
      </w:r>
      <w:r w:rsidR="00BD3EE2" w:rsidRPr="00821AC3">
        <w:t xml:space="preserve">treatment. The Committee further notes the State party’s argument that the author failed to render probable his claim that his father had been actively involved in politics in </w:t>
      </w:r>
      <w:r w:rsidR="001877EE" w:rsidRPr="00821AC3">
        <w:rPr>
          <w:iCs/>
        </w:rPr>
        <w:t xml:space="preserve">the Islamic Republic of </w:t>
      </w:r>
      <w:r w:rsidR="00BD3EE2" w:rsidRPr="00821AC3">
        <w:t xml:space="preserve">Iran. It also notes that the State party recognized the author’s membership </w:t>
      </w:r>
      <w:r w:rsidR="0094332E" w:rsidRPr="00821AC3">
        <w:t xml:space="preserve">of </w:t>
      </w:r>
      <w:r w:rsidR="00BD3EE2" w:rsidRPr="00821AC3">
        <w:t xml:space="preserve">the </w:t>
      </w:r>
      <w:r w:rsidR="0094332E" w:rsidRPr="00821AC3">
        <w:rPr>
          <w:lang w:val="en-US"/>
        </w:rPr>
        <w:t>Kurdistan Freedom Party</w:t>
      </w:r>
      <w:r w:rsidR="00BD3EE2" w:rsidRPr="00821AC3">
        <w:t>, but considered that he had not been “politically active” because he had only been a member for a few months before his departure from Iraq, and his motivation to join the party was not political, and that he would therefore not be exposed to a risk of torture of ill</w:t>
      </w:r>
      <w:r w:rsidR="008F6426" w:rsidRPr="00821AC3">
        <w:t>-</w:t>
      </w:r>
      <w:r w:rsidR="00BD3EE2" w:rsidRPr="00821AC3">
        <w:t xml:space="preserve">treatment if returned to </w:t>
      </w:r>
      <w:r w:rsidR="001877EE" w:rsidRPr="00821AC3">
        <w:rPr>
          <w:iCs/>
        </w:rPr>
        <w:t xml:space="preserve">the Islamic Republic of </w:t>
      </w:r>
      <w:r w:rsidR="00BD3EE2" w:rsidRPr="00821AC3">
        <w:t>Iran</w:t>
      </w:r>
      <w:r w:rsidR="00B2434A" w:rsidRPr="00821AC3">
        <w:t xml:space="preserve">. </w:t>
      </w:r>
    </w:p>
    <w:p w14:paraId="500A532B" w14:textId="77777777" w:rsidR="00F178DE" w:rsidRPr="00821AC3" w:rsidRDefault="004B5144">
      <w:pPr>
        <w:pStyle w:val="SingleTxtG"/>
      </w:pPr>
      <w:r w:rsidRPr="00821AC3">
        <w:t>7.</w:t>
      </w:r>
      <w:r w:rsidR="00907327" w:rsidRPr="00821AC3">
        <w:t>5</w:t>
      </w:r>
      <w:r w:rsidRPr="00821AC3">
        <w:tab/>
      </w:r>
      <w:r w:rsidR="00587931" w:rsidRPr="00821AC3">
        <w:t>The Committee</w:t>
      </w:r>
      <w:r w:rsidR="00F57A6D" w:rsidRPr="00821AC3">
        <w:t xml:space="preserve"> </w:t>
      </w:r>
      <w:r w:rsidR="00587931" w:rsidRPr="00821AC3">
        <w:t xml:space="preserve">further notes </w:t>
      </w:r>
      <w:r w:rsidR="00587931" w:rsidRPr="00821AC3">
        <w:rPr>
          <w:lang w:val="en-US"/>
        </w:rPr>
        <w:t xml:space="preserve">the author’s claim that the </w:t>
      </w:r>
      <w:r w:rsidR="003B0F08" w:rsidRPr="00821AC3">
        <w:rPr>
          <w:lang w:val="en-US"/>
        </w:rPr>
        <w:t>refugee appeals board</w:t>
      </w:r>
      <w:r w:rsidR="00587931" w:rsidRPr="00821AC3">
        <w:rPr>
          <w:lang w:val="en-US"/>
        </w:rPr>
        <w:t xml:space="preserve"> did not give sufficient weight to his membership </w:t>
      </w:r>
      <w:r w:rsidR="0094332E" w:rsidRPr="00821AC3">
        <w:rPr>
          <w:lang w:val="en-US"/>
        </w:rPr>
        <w:t xml:space="preserve">of </w:t>
      </w:r>
      <w:r w:rsidR="00587931" w:rsidRPr="00821AC3">
        <w:rPr>
          <w:lang w:val="en-US"/>
        </w:rPr>
        <w:t xml:space="preserve">the </w:t>
      </w:r>
      <w:r w:rsidR="0094332E" w:rsidRPr="00821AC3">
        <w:rPr>
          <w:lang w:val="en-US"/>
        </w:rPr>
        <w:t xml:space="preserve">Kurdistan Freedom Party </w:t>
      </w:r>
      <w:r w:rsidR="00587931" w:rsidRPr="00821AC3">
        <w:rPr>
          <w:lang w:val="en-US"/>
        </w:rPr>
        <w:t xml:space="preserve">and to his participation in political activities; and that it did not take into account some of the statements contained in several sources </w:t>
      </w:r>
      <w:r w:rsidR="00587931" w:rsidRPr="00821AC3">
        <w:t>quoted in the reports used by the State party’s immigration authorities</w:t>
      </w:r>
      <w:r w:rsidR="00C71A40" w:rsidRPr="00821AC3">
        <w:t>,</w:t>
      </w:r>
      <w:r w:rsidR="00587931" w:rsidRPr="00821AC3">
        <w:t xml:space="preserve"> according to which refugees involved in political activities of the Kurdish political groups active in the Kurdish </w:t>
      </w:r>
      <w:r w:rsidR="00377230" w:rsidRPr="00821AC3">
        <w:t>r</w:t>
      </w:r>
      <w:r w:rsidR="00587931" w:rsidRPr="00821AC3">
        <w:t xml:space="preserve">egion in Iraq, including those who lived in </w:t>
      </w:r>
      <w:r w:rsidR="00C71A40" w:rsidRPr="00821AC3">
        <w:t xml:space="preserve">the </w:t>
      </w:r>
      <w:r w:rsidR="00587931" w:rsidRPr="00821AC3">
        <w:t xml:space="preserve">Al-Tash and Barika camps, may be at risk of persecution if returned to </w:t>
      </w:r>
      <w:r w:rsidR="001877EE" w:rsidRPr="00821AC3">
        <w:rPr>
          <w:iCs/>
        </w:rPr>
        <w:t xml:space="preserve">the Islamic Republic of </w:t>
      </w:r>
      <w:r w:rsidR="00587931" w:rsidRPr="00821AC3">
        <w:t xml:space="preserve">Iran. </w:t>
      </w:r>
    </w:p>
    <w:p w14:paraId="3725710A" w14:textId="77777777" w:rsidR="00080DF9" w:rsidRPr="00821AC3" w:rsidRDefault="00641C03">
      <w:pPr>
        <w:pStyle w:val="SingleTxtG"/>
        <w:rPr>
          <w:bCs/>
        </w:rPr>
      </w:pPr>
      <w:r w:rsidRPr="00821AC3">
        <w:t>7.</w:t>
      </w:r>
      <w:r w:rsidR="00907327" w:rsidRPr="00821AC3">
        <w:t>6</w:t>
      </w:r>
      <w:r w:rsidR="00F178DE" w:rsidRPr="00821AC3">
        <w:tab/>
        <w:t xml:space="preserve">In </w:t>
      </w:r>
      <w:r w:rsidR="00BC1D9B" w:rsidRPr="00821AC3">
        <w:t>this connection</w:t>
      </w:r>
      <w:r w:rsidR="00F178DE" w:rsidRPr="00821AC3">
        <w:t xml:space="preserve">, the </w:t>
      </w:r>
      <w:r w:rsidR="005028F4" w:rsidRPr="00821AC3">
        <w:t xml:space="preserve">Committee </w:t>
      </w:r>
      <w:r w:rsidR="0029109D" w:rsidRPr="00821AC3">
        <w:t>not</w:t>
      </w:r>
      <w:r w:rsidR="0017796D" w:rsidRPr="00821AC3">
        <w:t xml:space="preserve">es </w:t>
      </w:r>
      <w:r w:rsidR="00813558" w:rsidRPr="00821AC3">
        <w:t>that</w:t>
      </w:r>
      <w:r w:rsidR="007B3974" w:rsidRPr="00821AC3">
        <w:t>,</w:t>
      </w:r>
      <w:r w:rsidR="00813558" w:rsidRPr="00821AC3">
        <w:t xml:space="preserve"> according to </w:t>
      </w:r>
      <w:r w:rsidR="0017796D" w:rsidRPr="00821AC3">
        <w:t xml:space="preserve">publicly available information, including the reports </w:t>
      </w:r>
      <w:r w:rsidR="00F85B4E" w:rsidRPr="00821AC3">
        <w:t>referred</w:t>
      </w:r>
      <w:r w:rsidR="002016F8" w:rsidRPr="00821AC3">
        <w:t xml:space="preserve"> to</w:t>
      </w:r>
      <w:r w:rsidR="00F85B4E" w:rsidRPr="00821AC3">
        <w:t xml:space="preserve"> </w:t>
      </w:r>
      <w:r w:rsidR="004B3E49" w:rsidRPr="00821AC3">
        <w:t>by the State party</w:t>
      </w:r>
      <w:r w:rsidR="0017796D" w:rsidRPr="00821AC3">
        <w:t>,</w:t>
      </w:r>
      <w:r w:rsidR="00BC36CA" w:rsidRPr="00821AC3">
        <w:rPr>
          <w:vertAlign w:val="superscript"/>
        </w:rPr>
        <w:fldChar w:fldCharType="begin"/>
      </w:r>
      <w:r w:rsidR="00BC36CA" w:rsidRPr="00821AC3">
        <w:rPr>
          <w:vertAlign w:val="superscript"/>
        </w:rPr>
        <w:instrText xml:space="preserve"> NOTEREF _Ref433032543 \h  \* MERGEFORMAT </w:instrText>
      </w:r>
      <w:r w:rsidR="00BC36CA" w:rsidRPr="00821AC3">
        <w:rPr>
          <w:vertAlign w:val="superscript"/>
        </w:rPr>
      </w:r>
      <w:r w:rsidR="00BC36CA" w:rsidRPr="00821AC3">
        <w:rPr>
          <w:vertAlign w:val="superscript"/>
        </w:rPr>
        <w:fldChar w:fldCharType="separate"/>
      </w:r>
      <w:r w:rsidR="00CC3ED2">
        <w:rPr>
          <w:vertAlign w:val="superscript"/>
        </w:rPr>
        <w:t>14</w:t>
      </w:r>
      <w:r w:rsidR="00BC36CA" w:rsidRPr="00821AC3">
        <w:rPr>
          <w:vertAlign w:val="superscript"/>
        </w:rPr>
        <w:fldChar w:fldCharType="end"/>
      </w:r>
      <w:r w:rsidR="0017796D" w:rsidRPr="00821AC3">
        <w:t xml:space="preserve"> as well as </w:t>
      </w:r>
      <w:r w:rsidR="00B72765" w:rsidRPr="00821AC3">
        <w:t>document</w:t>
      </w:r>
      <w:r w:rsidR="00F85B4E" w:rsidRPr="00821AC3">
        <w:t xml:space="preserve">s elaborated by </w:t>
      </w:r>
      <w:r w:rsidR="0017796D" w:rsidRPr="00821AC3">
        <w:t>immigration authorities from different countries and civil society organizations,</w:t>
      </w:r>
      <w:r w:rsidR="00D944D0" w:rsidRPr="00821AC3">
        <w:rPr>
          <w:rStyle w:val="FootnoteReference"/>
        </w:rPr>
        <w:footnoteReference w:id="26"/>
      </w:r>
      <w:r w:rsidR="001D177A" w:rsidRPr="00821AC3">
        <w:t xml:space="preserve"> </w:t>
      </w:r>
      <w:r w:rsidR="00A5291A" w:rsidRPr="00821AC3">
        <w:t>Kurds who can demonstrate that they are known or suspected by the Iranian authorities of being members or supporters of Kurdish political groups could be at real risk of persecution</w:t>
      </w:r>
      <w:r w:rsidR="00BC36CA" w:rsidRPr="00821AC3">
        <w:t>.</w:t>
      </w:r>
      <w:r w:rsidR="00A5291A" w:rsidRPr="00821AC3">
        <w:t xml:space="preserve"> </w:t>
      </w:r>
      <w:r w:rsidR="00BC36CA" w:rsidRPr="00821AC3">
        <w:t xml:space="preserve">It also notes </w:t>
      </w:r>
      <w:r w:rsidR="00267F8E" w:rsidRPr="00821AC3">
        <w:t>that</w:t>
      </w:r>
      <w:r w:rsidR="0033481B" w:rsidRPr="00821AC3">
        <w:t xml:space="preserve"> </w:t>
      </w:r>
      <w:r w:rsidR="00D944D0" w:rsidRPr="00821AC3">
        <w:t xml:space="preserve">failed asylum seekers </w:t>
      </w:r>
      <w:r w:rsidR="004D2214" w:rsidRPr="00821AC3">
        <w:t xml:space="preserve">may be </w:t>
      </w:r>
      <w:r w:rsidR="002B4087" w:rsidRPr="00821AC3">
        <w:t>at risk of</w:t>
      </w:r>
      <w:r w:rsidR="00D944D0" w:rsidRPr="00821AC3">
        <w:t xml:space="preserve"> persecution in </w:t>
      </w:r>
      <w:r w:rsidR="001877EE" w:rsidRPr="00821AC3">
        <w:rPr>
          <w:iCs/>
        </w:rPr>
        <w:t xml:space="preserve">the Islamic Republic of </w:t>
      </w:r>
      <w:r w:rsidR="00D944D0" w:rsidRPr="00821AC3">
        <w:t>Iran</w:t>
      </w:r>
      <w:r w:rsidR="0033481B" w:rsidRPr="00821AC3">
        <w:t>.</w:t>
      </w:r>
      <w:r w:rsidR="00B95867" w:rsidRPr="00821AC3">
        <w:t xml:space="preserve"> </w:t>
      </w:r>
      <w:r w:rsidR="00DC35E7" w:rsidRPr="00821AC3">
        <w:t>This information has not been refuted by the State party.</w:t>
      </w:r>
      <w:r w:rsidR="008B2863" w:rsidRPr="00821AC3">
        <w:rPr>
          <w:bCs/>
        </w:rPr>
        <w:t xml:space="preserve"> </w:t>
      </w:r>
      <w:r w:rsidR="00BC1D9B" w:rsidRPr="00821AC3">
        <w:t xml:space="preserve">In the present case, the Committee considers that the author’s membership </w:t>
      </w:r>
      <w:r w:rsidR="0094332E" w:rsidRPr="00821AC3">
        <w:t xml:space="preserve">of </w:t>
      </w:r>
      <w:r w:rsidR="00BC1D9B" w:rsidRPr="00821AC3">
        <w:t xml:space="preserve">the </w:t>
      </w:r>
      <w:r w:rsidR="0094332E" w:rsidRPr="00821AC3">
        <w:rPr>
          <w:lang w:val="en-US"/>
        </w:rPr>
        <w:t>Kurdistan Freedom Party</w:t>
      </w:r>
      <w:r w:rsidR="00BC1D9B" w:rsidRPr="00821AC3">
        <w:t xml:space="preserve">, </w:t>
      </w:r>
      <w:r w:rsidR="0049056D" w:rsidRPr="00821AC3">
        <w:t xml:space="preserve">together with his previous </w:t>
      </w:r>
      <w:r w:rsidR="00BC1D9B" w:rsidRPr="00821AC3">
        <w:t xml:space="preserve">participation in activities of the </w:t>
      </w:r>
      <w:r w:rsidR="0094332E" w:rsidRPr="00821AC3">
        <w:rPr>
          <w:lang w:val="en-US"/>
        </w:rPr>
        <w:t>Democratic Party of Iranian Kurdistan</w:t>
      </w:r>
      <w:r w:rsidR="00BC1D9B" w:rsidRPr="00821AC3">
        <w:t xml:space="preserve"> and Komala, </w:t>
      </w:r>
      <w:r w:rsidR="00BC36CA" w:rsidRPr="00821AC3">
        <w:t xml:space="preserve">do </w:t>
      </w:r>
      <w:r w:rsidR="00BC1D9B" w:rsidRPr="00821AC3">
        <w:t xml:space="preserve">indeed </w:t>
      </w:r>
      <w:r w:rsidR="00BC36CA" w:rsidRPr="00821AC3">
        <w:t xml:space="preserve">present </w:t>
      </w:r>
      <w:r w:rsidR="00BC1D9B" w:rsidRPr="00821AC3">
        <w:t xml:space="preserve">a risk that </w:t>
      </w:r>
      <w:r w:rsidR="00BC36CA" w:rsidRPr="00821AC3">
        <w:t xml:space="preserve">he </w:t>
      </w:r>
      <w:r w:rsidR="00BC1D9B" w:rsidRPr="00821AC3">
        <w:t xml:space="preserve">will be considered or suspected by the Iranian authorities </w:t>
      </w:r>
      <w:r w:rsidR="00BC36CA" w:rsidRPr="00821AC3">
        <w:t xml:space="preserve">of being </w:t>
      </w:r>
      <w:r w:rsidR="00BC1D9B" w:rsidRPr="00821AC3">
        <w:t xml:space="preserve">a member or supporter of Kurdish political groups and that, as such, </w:t>
      </w:r>
      <w:r w:rsidR="00BC36CA" w:rsidRPr="00821AC3">
        <w:t xml:space="preserve">he </w:t>
      </w:r>
      <w:r w:rsidR="00BC1D9B" w:rsidRPr="00821AC3">
        <w:rPr>
          <w:bCs/>
        </w:rPr>
        <w:t xml:space="preserve">would be at risk of treatment </w:t>
      </w:r>
      <w:r w:rsidR="00925205" w:rsidRPr="00821AC3">
        <w:rPr>
          <w:bCs/>
        </w:rPr>
        <w:t>contrary to article 7</w:t>
      </w:r>
      <w:r w:rsidR="0049056D" w:rsidRPr="00821AC3">
        <w:rPr>
          <w:bCs/>
        </w:rPr>
        <w:t xml:space="preserve"> of the Covenant </w:t>
      </w:r>
      <w:r w:rsidR="00BC36CA" w:rsidRPr="00821AC3">
        <w:rPr>
          <w:bCs/>
        </w:rPr>
        <w:t>if returned</w:t>
      </w:r>
      <w:r w:rsidR="00BC1D9B" w:rsidRPr="00821AC3">
        <w:rPr>
          <w:bCs/>
        </w:rPr>
        <w:t xml:space="preserve"> to </w:t>
      </w:r>
      <w:r w:rsidR="001877EE" w:rsidRPr="00821AC3">
        <w:rPr>
          <w:iCs/>
        </w:rPr>
        <w:t xml:space="preserve">the Islamic Republic of </w:t>
      </w:r>
      <w:r w:rsidR="00BC1D9B" w:rsidRPr="00821AC3">
        <w:rPr>
          <w:bCs/>
        </w:rPr>
        <w:t>Iran.</w:t>
      </w:r>
    </w:p>
    <w:p w14:paraId="326E4CFF" w14:textId="77777777" w:rsidR="00BC1D9B" w:rsidRPr="00821AC3" w:rsidRDefault="00080DF9">
      <w:pPr>
        <w:pStyle w:val="SingleTxtG"/>
        <w:rPr>
          <w:bCs/>
        </w:rPr>
      </w:pPr>
      <w:r w:rsidRPr="00821AC3">
        <w:rPr>
          <w:bCs/>
        </w:rPr>
        <w:lastRenderedPageBreak/>
        <w:t>7.</w:t>
      </w:r>
      <w:r w:rsidR="00907327" w:rsidRPr="00821AC3">
        <w:rPr>
          <w:bCs/>
        </w:rPr>
        <w:t>7</w:t>
      </w:r>
      <w:r w:rsidRPr="00821AC3">
        <w:rPr>
          <w:bCs/>
        </w:rPr>
        <w:tab/>
      </w:r>
      <w:r w:rsidR="00DC35E7" w:rsidRPr="00821AC3">
        <w:rPr>
          <w:bCs/>
        </w:rPr>
        <w:t xml:space="preserve">The Committee considers that the State party did not sufficiently take into account the totality of facts as exposed in paragraph 7.6. </w:t>
      </w:r>
      <w:r w:rsidR="00BC36CA" w:rsidRPr="00821AC3">
        <w:rPr>
          <w:bCs/>
        </w:rPr>
        <w:t>above</w:t>
      </w:r>
      <w:r w:rsidR="00DC35E7" w:rsidRPr="00821AC3">
        <w:rPr>
          <w:bCs/>
        </w:rPr>
        <w:t xml:space="preserve">, including the potential personal risk for the author </w:t>
      </w:r>
      <w:r w:rsidR="00BC36CA" w:rsidRPr="00821AC3">
        <w:rPr>
          <w:bCs/>
        </w:rPr>
        <w:t xml:space="preserve">if returned </w:t>
      </w:r>
      <w:r w:rsidR="00DC35E7" w:rsidRPr="00821AC3">
        <w:rPr>
          <w:bCs/>
        </w:rPr>
        <w:t xml:space="preserve">to </w:t>
      </w:r>
      <w:r w:rsidR="001877EE" w:rsidRPr="00821AC3">
        <w:rPr>
          <w:iCs/>
        </w:rPr>
        <w:t xml:space="preserve">the Islamic Republic of </w:t>
      </w:r>
      <w:r w:rsidR="00DC35E7" w:rsidRPr="00821AC3">
        <w:rPr>
          <w:bCs/>
        </w:rPr>
        <w:t xml:space="preserve">Iran. In this connection, </w:t>
      </w:r>
      <w:r w:rsidR="0008312A" w:rsidRPr="00821AC3">
        <w:rPr>
          <w:bCs/>
        </w:rPr>
        <w:t>t</w:t>
      </w:r>
      <w:r w:rsidR="00BC1D9B" w:rsidRPr="00821AC3">
        <w:rPr>
          <w:bCs/>
        </w:rPr>
        <w:t xml:space="preserve">he Committee considers that the personal risk faced by the author should be assessed in the light of </w:t>
      </w:r>
      <w:r w:rsidR="00BC36CA" w:rsidRPr="00821AC3">
        <w:rPr>
          <w:bCs/>
        </w:rPr>
        <w:t xml:space="preserve">a </w:t>
      </w:r>
      <w:r w:rsidR="00BC1D9B" w:rsidRPr="00821AC3">
        <w:rPr>
          <w:bCs/>
        </w:rPr>
        <w:t xml:space="preserve">combination of his political profile </w:t>
      </w:r>
      <w:r w:rsidR="00BC36CA" w:rsidRPr="00821AC3">
        <w:rPr>
          <w:bCs/>
        </w:rPr>
        <w:t xml:space="preserve">and </w:t>
      </w:r>
      <w:r w:rsidR="00BC1D9B" w:rsidRPr="00821AC3">
        <w:rPr>
          <w:bCs/>
        </w:rPr>
        <w:t>other personal circumstances</w:t>
      </w:r>
      <w:r w:rsidR="00BC36CA" w:rsidRPr="00821AC3">
        <w:rPr>
          <w:bCs/>
        </w:rPr>
        <w:t>,</w:t>
      </w:r>
      <w:r w:rsidR="00BC1D9B" w:rsidRPr="00821AC3">
        <w:rPr>
          <w:bCs/>
        </w:rPr>
        <w:t xml:space="preserve"> such as his birth in </w:t>
      </w:r>
      <w:r w:rsidR="00BC36CA" w:rsidRPr="00821AC3">
        <w:rPr>
          <w:bCs/>
        </w:rPr>
        <w:t xml:space="preserve">the </w:t>
      </w:r>
      <w:r w:rsidR="00BC1D9B" w:rsidRPr="00821AC3">
        <w:rPr>
          <w:bCs/>
          <w:lang w:val="en-US"/>
        </w:rPr>
        <w:t xml:space="preserve">Al-Tash refugee camp, his later residence in </w:t>
      </w:r>
      <w:r w:rsidR="00BC36CA" w:rsidRPr="00821AC3">
        <w:rPr>
          <w:bCs/>
          <w:lang w:val="en-US"/>
        </w:rPr>
        <w:t xml:space="preserve">the </w:t>
      </w:r>
      <w:r w:rsidR="00BC1D9B" w:rsidRPr="00821AC3">
        <w:rPr>
          <w:bCs/>
          <w:lang w:val="en-US"/>
        </w:rPr>
        <w:t>Barika refugee Camp</w:t>
      </w:r>
      <w:r w:rsidR="00BC1D9B" w:rsidRPr="00821AC3">
        <w:rPr>
          <w:bCs/>
        </w:rPr>
        <w:t xml:space="preserve"> and </w:t>
      </w:r>
      <w:r w:rsidR="00BC1D9B" w:rsidRPr="00821AC3">
        <w:rPr>
          <w:bCs/>
          <w:lang w:val="en-US"/>
        </w:rPr>
        <w:t xml:space="preserve">the fact that he has no identity documents and does not speak Farsi. </w:t>
      </w:r>
      <w:r w:rsidR="00BC1D9B" w:rsidRPr="00821AC3">
        <w:rPr>
          <w:bCs/>
        </w:rPr>
        <w:t>None of these circumstances is sufficient in itself to substantiate a real risk of being subject to torture or ill</w:t>
      </w:r>
      <w:r w:rsidR="008F6426" w:rsidRPr="00821AC3">
        <w:rPr>
          <w:bCs/>
        </w:rPr>
        <w:t>-</w:t>
      </w:r>
      <w:r w:rsidR="00BC1D9B" w:rsidRPr="00821AC3">
        <w:rPr>
          <w:bCs/>
        </w:rPr>
        <w:t xml:space="preserve">treatment in </w:t>
      </w:r>
      <w:r w:rsidR="001877EE" w:rsidRPr="00821AC3">
        <w:rPr>
          <w:iCs/>
        </w:rPr>
        <w:t xml:space="preserve">the Islamic Republic of </w:t>
      </w:r>
      <w:r w:rsidR="00BC1D9B" w:rsidRPr="00821AC3">
        <w:rPr>
          <w:bCs/>
        </w:rPr>
        <w:t xml:space="preserve">Iran. Nonetheless, the Committee considers that </w:t>
      </w:r>
      <w:r w:rsidR="00FB09DE" w:rsidRPr="00821AC3">
        <w:rPr>
          <w:bCs/>
        </w:rPr>
        <w:t xml:space="preserve">the State party should have considered them in </w:t>
      </w:r>
      <w:r w:rsidR="00BC1D9B" w:rsidRPr="00821AC3">
        <w:rPr>
          <w:bCs/>
        </w:rPr>
        <w:t>th</w:t>
      </w:r>
      <w:r w:rsidR="00FB09DE" w:rsidRPr="00821AC3">
        <w:rPr>
          <w:bCs/>
        </w:rPr>
        <w:t xml:space="preserve">eir combination, together with </w:t>
      </w:r>
      <w:r w:rsidR="00BC1D9B" w:rsidRPr="00821AC3">
        <w:rPr>
          <w:bCs/>
        </w:rPr>
        <w:t>the documente</w:t>
      </w:r>
      <w:r w:rsidR="00FB09DE" w:rsidRPr="00821AC3">
        <w:rPr>
          <w:bCs/>
        </w:rPr>
        <w:t>d prevalence of torture</w:t>
      </w:r>
      <w:r w:rsidR="00A66D95" w:rsidRPr="00821AC3">
        <w:rPr>
          <w:bCs/>
        </w:rPr>
        <w:t xml:space="preserve"> </w:t>
      </w:r>
      <w:r w:rsidR="00FB09DE" w:rsidRPr="00821AC3">
        <w:rPr>
          <w:bCs/>
        </w:rPr>
        <w:t xml:space="preserve">in </w:t>
      </w:r>
      <w:r w:rsidR="001877EE" w:rsidRPr="00821AC3">
        <w:rPr>
          <w:iCs/>
        </w:rPr>
        <w:t xml:space="preserve">the Islamic Republic of </w:t>
      </w:r>
      <w:r w:rsidR="00FB09DE" w:rsidRPr="00821AC3">
        <w:rPr>
          <w:bCs/>
        </w:rPr>
        <w:t>Iran</w:t>
      </w:r>
      <w:r w:rsidR="00A66D95" w:rsidRPr="00821AC3">
        <w:rPr>
          <w:bCs/>
        </w:rPr>
        <w:t>.</w:t>
      </w:r>
      <w:r w:rsidR="00BC1D9B" w:rsidRPr="00821AC3">
        <w:rPr>
          <w:bCs/>
          <w:vertAlign w:val="superscript"/>
        </w:rPr>
        <w:footnoteReference w:id="27"/>
      </w:r>
      <w:r w:rsidR="00BC1D9B" w:rsidRPr="00821AC3">
        <w:rPr>
          <w:bCs/>
        </w:rPr>
        <w:t xml:space="preserve"> The Committee therefore considers that the removal </w:t>
      </w:r>
      <w:r w:rsidR="0049056D" w:rsidRPr="00821AC3">
        <w:rPr>
          <w:bCs/>
        </w:rPr>
        <w:t xml:space="preserve">of </w:t>
      </w:r>
      <w:r w:rsidR="00BC1D9B" w:rsidRPr="00821AC3">
        <w:rPr>
          <w:bCs/>
        </w:rPr>
        <w:t xml:space="preserve">the author </w:t>
      </w:r>
      <w:r w:rsidR="0049056D" w:rsidRPr="00821AC3">
        <w:rPr>
          <w:bCs/>
        </w:rPr>
        <w:t xml:space="preserve">to </w:t>
      </w:r>
      <w:r w:rsidR="001877EE" w:rsidRPr="00821AC3">
        <w:rPr>
          <w:iCs/>
        </w:rPr>
        <w:t xml:space="preserve">the Islamic Republic of </w:t>
      </w:r>
      <w:r w:rsidR="0049056D" w:rsidRPr="00821AC3">
        <w:rPr>
          <w:bCs/>
        </w:rPr>
        <w:t>Iran</w:t>
      </w:r>
      <w:r w:rsidR="00FB09DE" w:rsidRPr="00821AC3">
        <w:rPr>
          <w:bCs/>
        </w:rPr>
        <w:t xml:space="preserve"> </w:t>
      </w:r>
      <w:r w:rsidR="00BC1D9B" w:rsidRPr="00821AC3">
        <w:rPr>
          <w:bCs/>
        </w:rPr>
        <w:t>would constitute a violation of article 7 of the Covenant.</w:t>
      </w:r>
    </w:p>
    <w:p w14:paraId="4C8CAD99" w14:textId="77777777" w:rsidR="0049035A" w:rsidRPr="00821AC3" w:rsidRDefault="0049035A">
      <w:pPr>
        <w:pStyle w:val="SingleTxtG"/>
      </w:pPr>
      <w:r w:rsidRPr="00821AC3">
        <w:rPr>
          <w:lang w:val="en-US"/>
        </w:rPr>
        <w:t>8.</w:t>
      </w:r>
      <w:r w:rsidRPr="00821AC3">
        <w:rPr>
          <w:lang w:val="en-US"/>
        </w:rPr>
        <w:tab/>
      </w:r>
      <w:r w:rsidRPr="00821AC3">
        <w:t>The Human Rights Committee, acting under article 5</w:t>
      </w:r>
      <w:r w:rsidR="00FE2DE8" w:rsidRPr="00821AC3">
        <w:t> (4)</w:t>
      </w:r>
      <w:r w:rsidRPr="00821AC3">
        <w:t xml:space="preserve"> of the Optional Protocol to the </w:t>
      </w:r>
      <w:r w:rsidRPr="00821AC3">
        <w:rPr>
          <w:shd w:val="clear" w:color="auto" w:fill="FFFFFF"/>
          <w:lang w:val="en-US"/>
        </w:rPr>
        <w:t>International</w:t>
      </w:r>
      <w:r w:rsidRPr="00821AC3">
        <w:t xml:space="preserve"> Covenant on Civil and Political Rights, is of the view that the author’</w:t>
      </w:r>
      <w:r w:rsidR="00BC36CA" w:rsidRPr="00821AC3">
        <w:t>s</w:t>
      </w:r>
      <w:r w:rsidRPr="00821AC3">
        <w:t xml:space="preserve"> removal to </w:t>
      </w:r>
      <w:r w:rsidR="001877EE" w:rsidRPr="00821AC3">
        <w:rPr>
          <w:iCs/>
        </w:rPr>
        <w:t xml:space="preserve">the Islamic Republic of </w:t>
      </w:r>
      <w:r w:rsidRPr="00821AC3">
        <w:t>Iran would, if implemented, violate his rights under</w:t>
      </w:r>
      <w:r w:rsidR="00F57A6D" w:rsidRPr="00821AC3">
        <w:t xml:space="preserve"> </w:t>
      </w:r>
      <w:r w:rsidRPr="00821AC3">
        <w:t>article 7 of the Covenant.</w:t>
      </w:r>
    </w:p>
    <w:p w14:paraId="4BECB40D" w14:textId="77777777" w:rsidR="0049035A" w:rsidRPr="00821AC3" w:rsidRDefault="0049035A">
      <w:pPr>
        <w:pStyle w:val="SingleTxtG"/>
        <w:rPr>
          <w:lang w:val="en-US"/>
        </w:rPr>
      </w:pPr>
      <w:r w:rsidRPr="00821AC3">
        <w:rPr>
          <w:lang w:val="en-US"/>
        </w:rPr>
        <w:t>9.</w:t>
      </w:r>
      <w:r w:rsidRPr="00821AC3">
        <w:rPr>
          <w:lang w:val="en-US"/>
        </w:rPr>
        <w:tab/>
        <w:t xml:space="preserve">In </w:t>
      </w:r>
      <w:r w:rsidRPr="00821AC3">
        <w:rPr>
          <w:shd w:val="clear" w:color="auto" w:fill="FFFFFF"/>
          <w:lang w:val="en-US"/>
        </w:rPr>
        <w:t>accordance</w:t>
      </w:r>
      <w:r w:rsidRPr="00821AC3">
        <w:rPr>
          <w:lang w:val="en-US"/>
        </w:rPr>
        <w:t xml:space="preserve"> with article 2</w:t>
      </w:r>
      <w:r w:rsidR="00FE2DE8" w:rsidRPr="00821AC3">
        <w:rPr>
          <w:lang w:val="en-US"/>
        </w:rPr>
        <w:t> (3)</w:t>
      </w:r>
      <w:r w:rsidRPr="00821AC3">
        <w:rPr>
          <w:lang w:val="en-US"/>
        </w:rPr>
        <w:t xml:space="preserve"> (a), of the Covenant, the State party is under an obligation to provide the author with an effective remedy, including a full reconsideration of </w:t>
      </w:r>
      <w:r w:rsidR="00BC36CA" w:rsidRPr="00821AC3">
        <w:rPr>
          <w:lang w:val="en-US"/>
        </w:rPr>
        <w:t xml:space="preserve">his </w:t>
      </w:r>
      <w:r w:rsidRPr="00821AC3">
        <w:rPr>
          <w:lang w:val="en-US"/>
        </w:rPr>
        <w:t xml:space="preserve">claim regarding the risk of torture, inhuman or degrading treatment or punishment </w:t>
      </w:r>
      <w:r w:rsidR="00BC36CA" w:rsidRPr="00821AC3">
        <w:rPr>
          <w:lang w:val="en-US"/>
        </w:rPr>
        <w:t xml:space="preserve">if </w:t>
      </w:r>
      <w:r w:rsidRPr="00821AC3">
        <w:rPr>
          <w:lang w:val="en-US"/>
        </w:rPr>
        <w:t xml:space="preserve">returned to </w:t>
      </w:r>
      <w:r w:rsidR="001877EE" w:rsidRPr="00821AC3">
        <w:rPr>
          <w:iCs/>
        </w:rPr>
        <w:t xml:space="preserve">the Islamic Republic of </w:t>
      </w:r>
      <w:r w:rsidRPr="00821AC3">
        <w:rPr>
          <w:lang w:val="en-US"/>
        </w:rPr>
        <w:t xml:space="preserve">Iran, taking into account the State party’s obligations under the Covenant. </w:t>
      </w:r>
    </w:p>
    <w:p w14:paraId="52C43F06" w14:textId="77777777" w:rsidR="0017796D" w:rsidRPr="00821AC3" w:rsidRDefault="00154691">
      <w:pPr>
        <w:pStyle w:val="SingleTxtG"/>
      </w:pPr>
      <w:r w:rsidRPr="00821AC3">
        <w:rPr>
          <w:lang w:val="en-US"/>
        </w:rPr>
        <w:t>10.</w:t>
      </w:r>
      <w:r w:rsidR="0049035A" w:rsidRPr="00821AC3">
        <w:rPr>
          <w:lang w:val="en-US"/>
        </w:rPr>
        <w:tab/>
      </w:r>
      <w:r w:rsidR="00BC36CA" w:rsidRPr="00821AC3">
        <w:rPr>
          <w:lang w:val="en-US"/>
        </w:rPr>
        <w:t>B</w:t>
      </w:r>
      <w:r w:rsidR="0049035A" w:rsidRPr="00821AC3">
        <w:rPr>
          <w:lang w:val="en-US"/>
        </w:rPr>
        <w:t xml:space="preserve">y becoming a </w:t>
      </w:r>
      <w:r w:rsidR="00BC36CA" w:rsidRPr="00821AC3">
        <w:rPr>
          <w:lang w:val="en-US"/>
        </w:rPr>
        <w:t xml:space="preserve">State </w:t>
      </w:r>
      <w:r w:rsidR="0049035A" w:rsidRPr="00821AC3">
        <w:rPr>
          <w:lang w:val="en-US"/>
        </w:rPr>
        <w:t xml:space="preserve">party to the Optional Protocol, the State party has recognized the competence of the Committee to determine whether </w:t>
      </w:r>
      <w:r w:rsidR="00BC36CA" w:rsidRPr="00821AC3">
        <w:rPr>
          <w:lang w:val="en-US"/>
        </w:rPr>
        <w:t xml:space="preserve">or not </w:t>
      </w:r>
      <w:r w:rsidR="0049035A" w:rsidRPr="00821AC3">
        <w:rPr>
          <w:lang w:val="en-US"/>
        </w:rPr>
        <w:t>there has been a violation of the Covenant</w:t>
      </w:r>
      <w:r w:rsidR="00BC36CA" w:rsidRPr="00821AC3">
        <w:rPr>
          <w:lang w:val="en-US"/>
        </w:rPr>
        <w:t>.</w:t>
      </w:r>
      <w:r w:rsidR="0049035A" w:rsidRPr="00821AC3">
        <w:rPr>
          <w:lang w:val="en-US"/>
        </w:rPr>
        <w:t xml:space="preserve"> </w:t>
      </w:r>
      <w:r w:rsidR="00BC36CA" w:rsidRPr="00821AC3">
        <w:rPr>
          <w:lang w:val="en-US"/>
        </w:rPr>
        <w:t>P</w:t>
      </w:r>
      <w:r w:rsidR="0049035A" w:rsidRPr="00821AC3">
        <w:rPr>
          <w:lang w:val="en-US"/>
        </w:rPr>
        <w:t xml:space="preserve">ursuant to article 2 of the Covenant, the State party has undertaken to </w:t>
      </w:r>
      <w:r w:rsidR="00BC36CA" w:rsidRPr="00821AC3">
        <w:rPr>
          <w:lang w:val="en-US"/>
        </w:rPr>
        <w:t xml:space="preserve">guarantee </w:t>
      </w:r>
      <w:r w:rsidR="0049035A" w:rsidRPr="00821AC3">
        <w:rPr>
          <w:lang w:val="en-US"/>
        </w:rPr>
        <w:t xml:space="preserve">to all individuals within its territory </w:t>
      </w:r>
      <w:r w:rsidR="00BC36CA" w:rsidRPr="00821AC3">
        <w:rPr>
          <w:lang w:val="en-US"/>
        </w:rPr>
        <w:t xml:space="preserve">and </w:t>
      </w:r>
      <w:r w:rsidR="0049035A" w:rsidRPr="00821AC3">
        <w:rPr>
          <w:lang w:val="en-US"/>
        </w:rPr>
        <w:t>subject to its jurisdiction the rights recognized in the Covenant</w:t>
      </w:r>
      <w:r w:rsidR="00BC36CA" w:rsidRPr="00821AC3">
        <w:rPr>
          <w:lang w:val="en-US"/>
        </w:rPr>
        <w:t>,</w:t>
      </w:r>
      <w:r w:rsidR="0049035A" w:rsidRPr="00821AC3">
        <w:rPr>
          <w:lang w:val="en-US"/>
        </w:rPr>
        <w:t xml:space="preserve"> and to provide an effective and enforceable remedy </w:t>
      </w:r>
      <w:r w:rsidR="007E5DF9" w:rsidRPr="00821AC3">
        <w:rPr>
          <w:lang w:val="en-US"/>
        </w:rPr>
        <w:t xml:space="preserve">where it </w:t>
      </w:r>
      <w:r w:rsidR="0049035A" w:rsidRPr="00821AC3">
        <w:rPr>
          <w:lang w:val="en-US"/>
        </w:rPr>
        <w:t xml:space="preserve">has been </w:t>
      </w:r>
      <w:r w:rsidR="007E5DF9" w:rsidRPr="00821AC3">
        <w:rPr>
          <w:lang w:val="en-US"/>
        </w:rPr>
        <w:t>determined that a violation has occurred.</w:t>
      </w:r>
      <w:r w:rsidR="0049035A" w:rsidRPr="00821AC3">
        <w:rPr>
          <w:lang w:val="en-US"/>
        </w:rPr>
        <w:t xml:space="preserve"> </w:t>
      </w:r>
      <w:r w:rsidR="007E5DF9" w:rsidRPr="00821AC3">
        <w:rPr>
          <w:lang w:val="en-US"/>
        </w:rPr>
        <w:t>T</w:t>
      </w:r>
      <w:r w:rsidR="0049035A" w:rsidRPr="00821AC3">
        <w:rPr>
          <w:lang w:val="en-US"/>
        </w:rPr>
        <w:t xml:space="preserve">he Committee </w:t>
      </w:r>
      <w:r w:rsidR="007E5DF9" w:rsidRPr="00821AC3">
        <w:rPr>
          <w:lang w:val="en-US"/>
        </w:rPr>
        <w:t xml:space="preserve">therefore requests </w:t>
      </w:r>
      <w:r w:rsidR="0049035A" w:rsidRPr="00821AC3">
        <w:rPr>
          <w:lang w:val="en-US"/>
        </w:rPr>
        <w:t>the State party</w:t>
      </w:r>
      <w:r w:rsidR="007E5DF9" w:rsidRPr="00821AC3">
        <w:rPr>
          <w:lang w:val="en-US"/>
        </w:rPr>
        <w:t xml:space="preserve"> to provide</w:t>
      </w:r>
      <w:r w:rsidR="0049035A" w:rsidRPr="00821AC3">
        <w:rPr>
          <w:lang w:val="en-US"/>
        </w:rPr>
        <w:t xml:space="preserve">, within 180 days, information about the measures taken to give effect to the </w:t>
      </w:r>
      <w:r w:rsidR="007E5DF9" w:rsidRPr="00821AC3">
        <w:rPr>
          <w:lang w:val="en-US"/>
        </w:rPr>
        <w:t xml:space="preserve">present </w:t>
      </w:r>
      <w:r w:rsidR="0049035A" w:rsidRPr="00821AC3">
        <w:rPr>
          <w:lang w:val="en-US"/>
        </w:rPr>
        <w:t xml:space="preserve">Views. The State party is also requested to publish the </w:t>
      </w:r>
      <w:r w:rsidR="007E5DF9" w:rsidRPr="00821AC3">
        <w:rPr>
          <w:lang w:val="en-US"/>
        </w:rPr>
        <w:t xml:space="preserve">present </w:t>
      </w:r>
      <w:r w:rsidR="0049035A" w:rsidRPr="00821AC3">
        <w:rPr>
          <w:lang w:val="en-US"/>
        </w:rPr>
        <w:t>Views.</w:t>
      </w:r>
    </w:p>
    <w:p w14:paraId="4DB29D06" w14:textId="77777777" w:rsidR="00156825" w:rsidRPr="00821AC3" w:rsidRDefault="00156825" w:rsidP="003521FD">
      <w:pPr>
        <w:pStyle w:val="SingleTxtG"/>
        <w:spacing w:before="240" w:after="0" w:line="480" w:lineRule="auto"/>
        <w:jc w:val="center"/>
        <w:rPr>
          <w:u w:val="single"/>
        </w:rPr>
        <w:sectPr w:rsidR="00156825" w:rsidRPr="00821AC3" w:rsidSect="00403DB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583ED2D5" w14:textId="77777777" w:rsidR="00156825" w:rsidRPr="00821AC3" w:rsidRDefault="00156825" w:rsidP="00156825">
      <w:pPr>
        <w:keepNext/>
        <w:keepLines/>
        <w:tabs>
          <w:tab w:val="right" w:pos="851"/>
        </w:tabs>
        <w:spacing w:before="360" w:after="240" w:line="300" w:lineRule="exact"/>
        <w:ind w:left="1134" w:right="1134" w:hanging="1134"/>
        <w:rPr>
          <w:b/>
          <w:sz w:val="28"/>
        </w:rPr>
      </w:pPr>
      <w:r w:rsidRPr="00821AC3">
        <w:rPr>
          <w:b/>
          <w:sz w:val="28"/>
        </w:rPr>
        <w:t>Appendix</w:t>
      </w:r>
    </w:p>
    <w:p w14:paraId="7D2B258B" w14:textId="77777777" w:rsidR="00156825" w:rsidRPr="00821AC3" w:rsidRDefault="00156825" w:rsidP="00156825">
      <w:pPr>
        <w:pStyle w:val="H1G"/>
      </w:pPr>
      <w:r w:rsidRPr="00821AC3">
        <w:rPr>
          <w:lang w:eastAsia="en-GB"/>
        </w:rPr>
        <w:tab/>
      </w:r>
      <w:r w:rsidRPr="00821AC3">
        <w:rPr>
          <w:lang w:eastAsia="en-GB"/>
        </w:rPr>
        <w:tab/>
      </w:r>
      <w:r w:rsidRPr="00821AC3">
        <w:t>Individual opinion of Committee members Yuval Shany, Yuji Iwasawa and Konstantine Vardzelashvili (dissenting)</w:t>
      </w:r>
    </w:p>
    <w:p w14:paraId="7B4C4279" w14:textId="77777777" w:rsidR="00156825" w:rsidRPr="00821AC3" w:rsidRDefault="00156825" w:rsidP="00821AC3">
      <w:pPr>
        <w:pStyle w:val="SingleTxtG"/>
      </w:pPr>
      <w:r w:rsidRPr="00821AC3">
        <w:t>1.</w:t>
      </w:r>
      <w:r w:rsidRPr="00821AC3">
        <w:tab/>
        <w:t>We regret that we are unable to join the majority on the Committee in finding that</w:t>
      </w:r>
      <w:r w:rsidR="00287CAE" w:rsidRPr="00821AC3">
        <w:t>,</w:t>
      </w:r>
      <w:r w:rsidRPr="00821AC3">
        <w:t xml:space="preserve"> in deciding to deport the author</w:t>
      </w:r>
      <w:r w:rsidR="00287CAE" w:rsidRPr="00821AC3">
        <w:t>,</w:t>
      </w:r>
      <w:r w:rsidRPr="00821AC3">
        <w:t xml:space="preserve"> Denmark would violate its obligations under article 7 of the Covenant. </w:t>
      </w:r>
    </w:p>
    <w:p w14:paraId="379F1B43" w14:textId="77777777" w:rsidR="00156825" w:rsidRPr="00821AC3" w:rsidRDefault="00156825" w:rsidP="00821AC3">
      <w:pPr>
        <w:pStyle w:val="SingleTxtG"/>
      </w:pPr>
      <w:r w:rsidRPr="00821AC3">
        <w:t>2.</w:t>
      </w:r>
      <w:r w:rsidRPr="00821AC3">
        <w:tab/>
        <w:t xml:space="preserve">In paragraph 7.2. of the </w:t>
      </w:r>
      <w:r w:rsidR="00287CAE" w:rsidRPr="00821AC3">
        <w:t xml:space="preserve">present </w:t>
      </w:r>
      <w:r w:rsidRPr="00821AC3">
        <w:t xml:space="preserve">Views, the Committee recalls that it is </w:t>
      </w:r>
      <w:r w:rsidR="00287CAE" w:rsidRPr="00821AC3">
        <w:t>“</w:t>
      </w:r>
      <w:r w:rsidRPr="00821AC3">
        <w:t>generally for the organs of States parties to the Covenant to examine the facts and evidence of the case in order to determine whether such a risk exists, unless it can be established that the assessment was arbitrary or amounted to a manifest error or denial of justice”. Yet</w:t>
      </w:r>
      <w:r w:rsidR="00287CAE" w:rsidRPr="00821AC3">
        <w:t>,</w:t>
      </w:r>
      <w:r w:rsidRPr="00821AC3">
        <w:t xml:space="preserve"> in paragraph 7.7</w:t>
      </w:r>
      <w:r w:rsidR="00287CAE" w:rsidRPr="00821AC3">
        <w:t>,</w:t>
      </w:r>
      <w:r w:rsidRPr="00821AC3">
        <w:t xml:space="preserve"> it holds that the State party </w:t>
      </w:r>
      <w:r w:rsidR="00287CAE" w:rsidRPr="00821AC3">
        <w:t>“</w:t>
      </w:r>
      <w:r w:rsidRPr="00821AC3">
        <w:t>did not sufficiently take into account the totality of facts as exposed in paragraph 7.6.</w:t>
      </w:r>
      <w:r w:rsidR="00287CAE" w:rsidRPr="00821AC3">
        <w:t xml:space="preserve"> above</w:t>
      </w:r>
      <w:r w:rsidRPr="00821AC3">
        <w:t xml:space="preserve">, including the potential personal risk for the author in case he is removed to </w:t>
      </w:r>
      <w:r w:rsidR="001877EE" w:rsidRPr="00821AC3">
        <w:rPr>
          <w:iCs/>
        </w:rPr>
        <w:t xml:space="preserve">the Islamic Republic of </w:t>
      </w:r>
      <w:r w:rsidRPr="00821AC3">
        <w:t>Iran”</w:t>
      </w:r>
      <w:r w:rsidR="00287CAE" w:rsidRPr="00821AC3">
        <w:t>.</w:t>
      </w:r>
    </w:p>
    <w:p w14:paraId="6DE5A431" w14:textId="77777777" w:rsidR="00156825" w:rsidRPr="00821AC3" w:rsidRDefault="00156825" w:rsidP="00821AC3">
      <w:pPr>
        <w:pStyle w:val="SingleTxtG"/>
      </w:pPr>
      <w:r w:rsidRPr="00821AC3">
        <w:t>3.</w:t>
      </w:r>
      <w:r w:rsidRPr="00821AC3">
        <w:tab/>
        <w:t xml:space="preserve">In past cases in which the decision of </w:t>
      </w:r>
      <w:r w:rsidR="00287CAE" w:rsidRPr="00821AC3">
        <w:t>S</w:t>
      </w:r>
      <w:r w:rsidRPr="00821AC3">
        <w:t>tate organs to deport an individual was found by the Committee to run contrary to the Covenant, the Committee attempted to base its position on inadequacies in the domestic decision-making process, which had been taken by the domestic organs of the State party, leading to the decision to deport. Such inadequacies consisted, at times, of serious procedural flaws in the conduct of the domestic review proceedings,</w:t>
      </w:r>
      <w:r w:rsidRPr="00821AC3">
        <w:rPr>
          <w:rStyle w:val="FootnoteReference"/>
        </w:rPr>
        <w:footnoteReference w:id="28"/>
      </w:r>
      <w:r w:rsidRPr="00821AC3">
        <w:t xml:space="preserve"> failure by domestic authorities to consider an important piece of information,</w:t>
      </w:r>
      <w:r w:rsidRPr="00821AC3">
        <w:rPr>
          <w:rStyle w:val="FootnoteReference"/>
        </w:rPr>
        <w:footnoteReference w:id="29"/>
      </w:r>
      <w:r w:rsidRPr="00821AC3">
        <w:t xml:space="preserve"> or on the inability of the State party to provide a reasonable justification for its decision.</w:t>
      </w:r>
      <w:r w:rsidRPr="00821AC3">
        <w:rPr>
          <w:rStyle w:val="FootnoteReference"/>
        </w:rPr>
        <w:footnoteReference w:id="30"/>
      </w:r>
      <w:r w:rsidRPr="00821AC3">
        <w:t xml:space="preserve"> In the present case, however, after reviewing the same body of evidence </w:t>
      </w:r>
      <w:r w:rsidR="00287CAE" w:rsidRPr="00821AC3">
        <w:t xml:space="preserve">that </w:t>
      </w:r>
      <w:r w:rsidRPr="00821AC3">
        <w:t xml:space="preserve">was presented to the domestic organs, the Committee simply disagrees with their conclusion that, on the whole, a real risk of a serious violation was not established. It has not been persuasively claimed before the Committee that the relevant domestic organs did not assign proper weight to any specific piece of evidence presented by the author; nor was it claimed that there was any procedural flaw in their conduct. Furthermore, the Committee itself acknowledges that none of the circumstances of the case gives rise in itself to a real risk that the author be subject to torture; it is just that in evaluating the totality of the facts and evidence, the Committee would have opted for a different substantive outcome. </w:t>
      </w:r>
    </w:p>
    <w:p w14:paraId="1DD8D740" w14:textId="77777777" w:rsidR="00156825" w:rsidRDefault="00156825" w:rsidP="00821AC3">
      <w:pPr>
        <w:pStyle w:val="SingleTxtG"/>
      </w:pPr>
      <w:r w:rsidRPr="00821AC3">
        <w:t>4.</w:t>
      </w:r>
      <w:r w:rsidRPr="00821AC3">
        <w:tab/>
        <w:t>We thus find it impossible to reconcile the holding of the Committee in this case with the applicable legal standard of deference to the organs of State parties in evaluating facts and evidence, which reflects the clear procedural advantages over the Committee that is enjoyed by local authorities, who have direct access to witnesses, in evaluating facts and evidence about direct and personal risk. We therefore dissent from the position taken by the majority on the Committee.</w:t>
      </w:r>
    </w:p>
    <w:p w14:paraId="22C67803" w14:textId="77777777" w:rsidR="003521FD" w:rsidRPr="00A36331" w:rsidRDefault="00156825" w:rsidP="006308EB">
      <w:pPr>
        <w:pStyle w:val="SingleTxtG"/>
        <w:spacing w:before="240" w:after="0"/>
        <w:jc w:val="center"/>
        <w:rPr>
          <w:u w:val="single"/>
        </w:rPr>
      </w:pPr>
      <w:r>
        <w:rPr>
          <w:u w:val="single"/>
        </w:rPr>
        <w:tab/>
      </w:r>
      <w:r>
        <w:rPr>
          <w:u w:val="single"/>
        </w:rPr>
        <w:tab/>
      </w:r>
      <w:r>
        <w:rPr>
          <w:u w:val="single"/>
        </w:rPr>
        <w:tab/>
      </w:r>
    </w:p>
    <w:sectPr w:rsidR="003521FD" w:rsidRPr="00A36331" w:rsidSect="00821AC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2T08:23:00Z" w:initials="Start">
    <w:p w14:paraId="3890F9B5" w14:textId="77777777" w:rsidR="00403DBF" w:rsidRDefault="00403D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NO&gt;&gt;N1524041E&lt;&lt;ODS JOB NO&gt;&gt;</w:t>
      </w:r>
    </w:p>
    <w:p w14:paraId="2CC87796" w14:textId="77777777" w:rsidR="00403DBF" w:rsidRDefault="00403DBF">
      <w:pPr>
        <w:pStyle w:val="CommentText"/>
      </w:pPr>
      <w:r>
        <w:t>&lt;&lt;ODS DOC SYMBOL1&gt;&gt;CCPR/C/114/D/2389/2014&lt;&lt;ODS DOC SYMBOL1&gt;&gt;</w:t>
      </w:r>
    </w:p>
    <w:p w14:paraId="21A07F60" w14:textId="77777777" w:rsidR="00403DBF" w:rsidRDefault="00403DB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07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9F4C" w14:textId="77777777" w:rsidR="00FD0EC0" w:rsidRDefault="00FD0EC0"/>
  </w:endnote>
  <w:endnote w:type="continuationSeparator" w:id="0">
    <w:p w14:paraId="7A5D7734" w14:textId="77777777" w:rsidR="00FD0EC0" w:rsidRDefault="00FD0EC0"/>
  </w:endnote>
  <w:endnote w:type="continuationNotice" w:id="1">
    <w:p w14:paraId="622EF8CC" w14:textId="77777777" w:rsidR="00FD0EC0" w:rsidRDefault="00FD0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9BBB" w14:textId="77777777" w:rsidR="00F86B6E" w:rsidRPr="00A36331" w:rsidRDefault="00F86B6E"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21602C">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3E22" w14:textId="77777777" w:rsidR="00F86B6E" w:rsidRPr="00821AC3" w:rsidRDefault="00F86B6E" w:rsidP="003521FD">
    <w:pPr>
      <w:pStyle w:val="Footer"/>
      <w:tabs>
        <w:tab w:val="right" w:pos="9638"/>
      </w:tabs>
      <w:rPr>
        <w:b/>
        <w:bCs/>
        <w:sz w:val="18"/>
      </w:rPr>
    </w:pPr>
    <w:r>
      <w:rPr>
        <w:b/>
        <w:sz w:val="18"/>
      </w:rPr>
      <w:tab/>
    </w:r>
    <w:r w:rsidRPr="00821AC3">
      <w:rPr>
        <w:b/>
        <w:bCs/>
        <w:sz w:val="18"/>
      </w:rPr>
      <w:fldChar w:fldCharType="begin"/>
    </w:r>
    <w:r w:rsidRPr="00821AC3">
      <w:rPr>
        <w:b/>
        <w:bCs/>
        <w:sz w:val="18"/>
      </w:rPr>
      <w:instrText xml:space="preserve"> PAGE  \* MERGEFORMAT </w:instrText>
    </w:r>
    <w:r w:rsidRPr="00821AC3">
      <w:rPr>
        <w:b/>
        <w:bCs/>
        <w:sz w:val="18"/>
      </w:rPr>
      <w:fldChar w:fldCharType="separate"/>
    </w:r>
    <w:r w:rsidR="0021602C">
      <w:rPr>
        <w:b/>
        <w:bCs/>
        <w:noProof/>
        <w:sz w:val="18"/>
      </w:rPr>
      <w:t>3</w:t>
    </w:r>
    <w:r w:rsidRPr="00821AC3">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03DBF" w14:paraId="152FC633" w14:textId="77777777" w:rsidTr="00403DBF">
      <w:tc>
        <w:tcPr>
          <w:tcW w:w="3614" w:type="dxa"/>
          <w:shd w:val="clear" w:color="auto" w:fill="auto"/>
        </w:tcPr>
        <w:p w14:paraId="6AD9F34D" w14:textId="77777777" w:rsidR="00403DBF" w:rsidRDefault="00403DBF" w:rsidP="00403DBF">
          <w:pPr>
            <w:pStyle w:val="Footer"/>
            <w:rPr>
              <w:sz w:val="20"/>
            </w:rPr>
          </w:pPr>
          <w:r>
            <w:rPr>
              <w:noProof/>
              <w:sz w:val="20"/>
              <w:lang w:val="en-US"/>
            </w:rPr>
            <w:drawing>
              <wp:anchor distT="0" distB="0" distL="114300" distR="114300" simplePos="0" relativeHeight="251658240" behindDoc="0" locked="0" layoutInCell="1" allowOverlap="1" wp14:anchorId="3E382C20" wp14:editId="0C01AF67">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89/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89/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GE.15-18303(E)</w:t>
          </w:r>
        </w:p>
        <w:p w14:paraId="4657C363" w14:textId="77777777" w:rsidR="00403DBF" w:rsidRPr="00403DBF" w:rsidRDefault="00403DBF" w:rsidP="00403DBF">
          <w:pPr>
            <w:pStyle w:val="Footer"/>
            <w:rPr>
              <w:rFonts w:ascii="Barcode 3 of 9 by request" w:hAnsi="Barcode 3 of 9 by request"/>
              <w:sz w:val="24"/>
            </w:rPr>
          </w:pPr>
          <w:r>
            <w:rPr>
              <w:rFonts w:ascii="Barcode 3 of 9 by request" w:hAnsi="Barcode 3 of 9 by request"/>
              <w:sz w:val="24"/>
            </w:rPr>
            <w:t>*1518303*</w:t>
          </w:r>
        </w:p>
      </w:tc>
      <w:tc>
        <w:tcPr>
          <w:tcW w:w="4752" w:type="dxa"/>
          <w:shd w:val="clear" w:color="auto" w:fill="auto"/>
        </w:tcPr>
        <w:p w14:paraId="2FEF94E4" w14:textId="77777777" w:rsidR="00403DBF" w:rsidRDefault="00403DBF" w:rsidP="00403DBF">
          <w:pPr>
            <w:pStyle w:val="Footer"/>
            <w:spacing w:line="240" w:lineRule="atLeast"/>
            <w:jc w:val="right"/>
            <w:rPr>
              <w:sz w:val="20"/>
            </w:rPr>
          </w:pPr>
          <w:r>
            <w:rPr>
              <w:noProof/>
              <w:sz w:val="20"/>
              <w:lang w:val="en-US"/>
            </w:rPr>
            <w:drawing>
              <wp:inline distT="0" distB="0" distL="0" distR="0" wp14:anchorId="37B2CBD9" wp14:editId="61431DF8">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4D33E0F" w14:textId="77777777" w:rsidR="00403DBF" w:rsidRPr="00403DBF" w:rsidRDefault="00403DBF" w:rsidP="00403DB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859B" w14:textId="77777777" w:rsidR="00FD0EC0" w:rsidRPr="000B175B" w:rsidRDefault="00FD0EC0" w:rsidP="003521FD">
      <w:pPr>
        <w:tabs>
          <w:tab w:val="right" w:pos="2155"/>
        </w:tabs>
        <w:spacing w:after="80"/>
        <w:ind w:left="680"/>
        <w:rPr>
          <w:u w:val="single"/>
        </w:rPr>
      </w:pPr>
      <w:r>
        <w:rPr>
          <w:u w:val="single"/>
        </w:rPr>
        <w:tab/>
      </w:r>
    </w:p>
  </w:footnote>
  <w:footnote w:type="continuationSeparator" w:id="0">
    <w:p w14:paraId="6058A665" w14:textId="77777777" w:rsidR="00FD0EC0" w:rsidRPr="00FC68B7" w:rsidRDefault="00FD0EC0" w:rsidP="003521FD">
      <w:pPr>
        <w:tabs>
          <w:tab w:val="left" w:pos="2155"/>
        </w:tabs>
        <w:spacing w:after="80"/>
        <w:ind w:left="680"/>
        <w:rPr>
          <w:u w:val="single"/>
        </w:rPr>
      </w:pPr>
      <w:r>
        <w:rPr>
          <w:u w:val="single"/>
        </w:rPr>
        <w:tab/>
      </w:r>
    </w:p>
  </w:footnote>
  <w:footnote w:type="continuationNotice" w:id="1">
    <w:p w14:paraId="1076F714" w14:textId="77777777" w:rsidR="00FD0EC0" w:rsidRDefault="00FD0EC0"/>
  </w:footnote>
  <w:footnote w:id="2">
    <w:p w14:paraId="66E1A0A3" w14:textId="77777777" w:rsidR="00F86B6E" w:rsidRPr="00C83A74" w:rsidRDefault="00F86B6E" w:rsidP="00255C39">
      <w:pPr>
        <w:pStyle w:val="FootnoteText"/>
        <w:rPr>
          <w:bCs/>
          <w:szCs w:val="18"/>
        </w:rPr>
      </w:pPr>
      <w:r>
        <w:rPr>
          <w:rStyle w:val="FootnoteReference"/>
        </w:rPr>
        <w:tab/>
      </w:r>
      <w:r w:rsidRPr="00C83A74">
        <w:rPr>
          <w:rStyle w:val="FootnoteReference"/>
          <w:sz w:val="20"/>
          <w:vertAlign w:val="baseline"/>
        </w:rPr>
        <w:t>*</w:t>
      </w:r>
      <w:r w:rsidRPr="00C83A74">
        <w:rPr>
          <w:rStyle w:val="FootnoteReference"/>
          <w:sz w:val="20"/>
          <w:vertAlign w:val="baseline"/>
        </w:rPr>
        <w:tab/>
      </w:r>
      <w:bookmarkStart w:id="2" w:name="OLE_LINK1"/>
      <w:bookmarkStart w:id="3" w:name="OLE_LINK2"/>
      <w:r w:rsidRPr="00C83A74">
        <w:rPr>
          <w:szCs w:val="18"/>
        </w:rPr>
        <w:t xml:space="preserve">The following members of the Committee participated in the examination of the present communication: </w:t>
      </w:r>
      <w:bookmarkEnd w:id="2"/>
      <w:bookmarkEnd w:id="3"/>
      <w:r w:rsidRPr="00C83A74">
        <w:rPr>
          <w:szCs w:val="18"/>
        </w:rPr>
        <w:t xml:space="preserve">Yadh Ben Achour, Lazhari Bouzid, Sarah Cleveland, Olivier </w:t>
      </w:r>
      <w:r w:rsidRPr="00C83A74">
        <w:rPr>
          <w:szCs w:val="18"/>
          <w:lang w:val="en-GB"/>
        </w:rPr>
        <w:t>d</w:t>
      </w:r>
      <w:r w:rsidRPr="00C83A74">
        <w:rPr>
          <w:szCs w:val="18"/>
        </w:rPr>
        <w:t>e Frouville, Yuji Iwasawa, Ivana Jeli</w:t>
      </w:r>
      <w:r w:rsidRPr="00C83A74">
        <w:t>ć</w:t>
      </w:r>
      <w:r w:rsidRPr="00C83A74">
        <w:rPr>
          <w:szCs w:val="18"/>
        </w:rPr>
        <w:t>, Duncan Muhumuza Laki, Photini Pazartzis, Fabián Omar Salvioli, Dheerujlall Seetulsingh, Anja Seibert-Fohr, Yuval Shany, Konstantine Vardzelashvili and Margo Waterval</w:t>
      </w:r>
      <w:r w:rsidRPr="00C83A74">
        <w:rPr>
          <w:bCs/>
          <w:szCs w:val="18"/>
        </w:rPr>
        <w:t>.</w:t>
      </w:r>
    </w:p>
    <w:p w14:paraId="78DC7C7B" w14:textId="77777777" w:rsidR="00F86B6E" w:rsidRPr="00C83A74" w:rsidRDefault="00F86B6E">
      <w:pPr>
        <w:pStyle w:val="FootnoteText"/>
        <w:rPr>
          <w:lang w:val="en-GB"/>
        </w:rPr>
      </w:pPr>
      <w:r w:rsidRPr="00C83A74">
        <w:rPr>
          <w:rStyle w:val="FootnoteReference"/>
          <w:sz w:val="20"/>
          <w:lang w:val="en-GB"/>
        </w:rPr>
        <w:tab/>
      </w:r>
      <w:r w:rsidRPr="00C83A74">
        <w:rPr>
          <w:rStyle w:val="FootnoteReference"/>
          <w:sz w:val="20"/>
          <w:lang w:val="en-GB"/>
        </w:rPr>
        <w:tab/>
      </w:r>
      <w:r w:rsidRPr="00C83A74">
        <w:t>The text of an individual opinion of Committee member</w:t>
      </w:r>
      <w:r w:rsidRPr="00C83A74">
        <w:rPr>
          <w:lang w:val="en-GB"/>
        </w:rPr>
        <w:t>s</w:t>
      </w:r>
      <w:r w:rsidRPr="00C83A74">
        <w:t xml:space="preserve"> Yuval Shany, Yuji Iwasawa and Konstantine Vardzelashvili (dissenting)</w:t>
      </w:r>
      <w:r w:rsidRPr="00C83A74">
        <w:rPr>
          <w:lang w:eastAsia="en-GB"/>
        </w:rPr>
        <w:t xml:space="preserve"> </w:t>
      </w:r>
      <w:r w:rsidRPr="00C83A74">
        <w:t>is appended to the present Views.</w:t>
      </w:r>
    </w:p>
  </w:footnote>
  <w:footnote w:id="3">
    <w:p w14:paraId="3DA070C5"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The author requested that his name be kept confidential.</w:t>
      </w:r>
    </w:p>
  </w:footnote>
  <w:footnote w:id="4">
    <w:p w14:paraId="4F131998" w14:textId="77777777" w:rsidR="00F86B6E" w:rsidRPr="00C83A74" w:rsidRDefault="00F86B6E" w:rsidP="00697D72">
      <w:pPr>
        <w:pStyle w:val="FootnoteText"/>
        <w:rPr>
          <w:lang w:val="en-GB"/>
        </w:rPr>
      </w:pPr>
      <w:r w:rsidRPr="00C83A74">
        <w:tab/>
      </w:r>
      <w:r w:rsidRPr="00C83A74">
        <w:rPr>
          <w:rStyle w:val="FootnoteReference"/>
        </w:rPr>
        <w:footnoteRef/>
      </w:r>
      <w:r w:rsidRPr="00C83A74">
        <w:rPr>
          <w:lang w:val="en-GB"/>
        </w:rPr>
        <w:tab/>
      </w:r>
      <w:r w:rsidRPr="00C83A74">
        <w:t>The Covenant and the Optional Protocol entered into force for the Stat</w:t>
      </w:r>
      <w:r w:rsidRPr="00C83A74">
        <w:rPr>
          <w:lang w:val="en-GB"/>
        </w:rPr>
        <w:t>e</w:t>
      </w:r>
      <w:r w:rsidRPr="00C83A74">
        <w:t xml:space="preserve"> party on 23 March 1976</w:t>
      </w:r>
      <w:r w:rsidRPr="00C83A74">
        <w:rPr>
          <w:lang w:val="en-GB"/>
        </w:rPr>
        <w:t>.</w:t>
      </w:r>
    </w:p>
  </w:footnote>
  <w:footnote w:id="5">
    <w:p w14:paraId="2AC9C8DE"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The author attached to his complaint a certificate issued by UNHCR indicating that his parents, three of his siblings and himself were granted refugee status in November 2011. The certificate expired in November 2013. In a later submission, the author indicated that his family had been granted refugee status by UNHCR since late 1970s/early 1980s and that, in November 2013, his remaining family in Iraq obtained a renewed refugee status certificate.</w:t>
      </w:r>
    </w:p>
  </w:footnote>
  <w:footnote w:id="6">
    <w:p w14:paraId="1A2BAEAA"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The author does not explain why or when he renounced to his refugee status in Iraq. </w:t>
      </w:r>
    </w:p>
  </w:footnote>
  <w:footnote w:id="7">
    <w:p w14:paraId="18D86436" w14:textId="77777777" w:rsidR="00F86B6E" w:rsidRPr="00C83A74" w:rsidRDefault="00F86B6E">
      <w:pPr>
        <w:pStyle w:val="FootnoteText"/>
        <w:rPr>
          <w:lang w:val="en-GB"/>
        </w:rPr>
      </w:pPr>
      <w:r w:rsidRPr="00C83A74">
        <w:tab/>
      </w:r>
      <w:r w:rsidRPr="00C83A74">
        <w:rPr>
          <w:rStyle w:val="FootnoteReference"/>
        </w:rPr>
        <w:footnoteRef/>
      </w:r>
      <w:r w:rsidRPr="00C83A74">
        <w:rPr>
          <w:lang w:val="en-GB"/>
        </w:rPr>
        <w:tab/>
        <w:t xml:space="preserve">Danish authorities requested the </w:t>
      </w:r>
      <w:r w:rsidRPr="00C83A74">
        <w:t xml:space="preserve">Kurdistan Freedom Party </w:t>
      </w:r>
      <w:r w:rsidRPr="00C83A74">
        <w:rPr>
          <w:lang w:val="en-GB"/>
        </w:rPr>
        <w:t>to confirm that the author was member. A copy of the author’s Party membership card was included in one of the annexes presented by the author to the Committee.</w:t>
      </w:r>
    </w:p>
  </w:footnote>
  <w:footnote w:id="8">
    <w:p w14:paraId="408924CA"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The author quotes decisions from February and March 2014. </w:t>
      </w:r>
    </w:p>
  </w:footnote>
  <w:footnote w:id="9">
    <w:p w14:paraId="6855238F"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According to the </w:t>
      </w:r>
      <w:r w:rsidR="009046D9" w:rsidRPr="00C83A74">
        <w:rPr>
          <w:lang w:val="en-GB"/>
        </w:rPr>
        <w:t xml:space="preserve">board </w:t>
      </w:r>
      <w:r w:rsidRPr="00C83A74">
        <w:rPr>
          <w:lang w:val="en-GB"/>
        </w:rPr>
        <w:t xml:space="preserve">decision of 18 March 2014, the author’s brother </w:t>
      </w:r>
      <w:r w:rsidR="009046D9" w:rsidRPr="00C83A74">
        <w:rPr>
          <w:lang w:val="en-GB"/>
        </w:rPr>
        <w:t xml:space="preserve">had </w:t>
      </w:r>
      <w:r w:rsidRPr="00C83A74">
        <w:rPr>
          <w:lang w:val="en-GB"/>
        </w:rPr>
        <w:t xml:space="preserve">agreed that </w:t>
      </w:r>
      <w:r w:rsidR="009046D9" w:rsidRPr="00C83A74">
        <w:rPr>
          <w:lang w:val="en-GB"/>
        </w:rPr>
        <w:t xml:space="preserve">the </w:t>
      </w:r>
      <w:r w:rsidRPr="00C83A74">
        <w:rPr>
          <w:lang w:val="en-GB"/>
        </w:rPr>
        <w:t>information contained in his asylum case file be used in the context of the author’s asylum proceedings.</w:t>
      </w:r>
    </w:p>
  </w:footnote>
  <w:footnote w:id="10">
    <w:p w14:paraId="25421E69" w14:textId="77777777" w:rsidR="00F86B6E" w:rsidRPr="00C83A74" w:rsidRDefault="00F86B6E">
      <w:pPr>
        <w:pStyle w:val="FootnoteText"/>
        <w:rPr>
          <w:lang w:val="en-GB"/>
        </w:rPr>
      </w:pPr>
      <w:r w:rsidRPr="00C83A74">
        <w:rPr>
          <w:lang w:val="es-ES"/>
        </w:rPr>
        <w:tab/>
      </w:r>
      <w:r w:rsidRPr="00C83A74">
        <w:rPr>
          <w:rStyle w:val="FootnoteReference"/>
        </w:rPr>
        <w:footnoteRef/>
      </w:r>
      <w:r w:rsidRPr="00C83A74">
        <w:t xml:space="preserve"> </w:t>
      </w:r>
      <w:r w:rsidRPr="00C83A74">
        <w:rPr>
          <w:lang w:val="en-GB"/>
        </w:rPr>
        <w:tab/>
        <w:t xml:space="preserve">The author quotes a letter sent by the Iraqi Embassy in Copenhagen to the </w:t>
      </w:r>
      <w:r w:rsidR="009046D9" w:rsidRPr="00C83A74">
        <w:rPr>
          <w:lang w:val="en-GB"/>
        </w:rPr>
        <w:t xml:space="preserve">board </w:t>
      </w:r>
      <w:r w:rsidRPr="00C83A74">
        <w:rPr>
          <w:lang w:val="en-GB"/>
        </w:rPr>
        <w:t xml:space="preserve">on 28 November 2012 indicating that Iraq only provides travel documents to Iraqi citizens with identity documents. </w:t>
      </w:r>
    </w:p>
  </w:footnote>
  <w:footnote w:id="11">
    <w:p w14:paraId="7495667A"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The author mentioned that, </w:t>
      </w:r>
      <w:r w:rsidR="0093331E" w:rsidRPr="00C83A74">
        <w:rPr>
          <w:lang w:val="en-GB"/>
        </w:rPr>
        <w:t xml:space="preserve">owing </w:t>
      </w:r>
      <w:r w:rsidRPr="00C83A74">
        <w:rPr>
          <w:lang w:val="en-GB"/>
        </w:rPr>
        <w:t xml:space="preserve">to the lack of identity documents, he could not purchase anything in his name in Iraq. For instance, he was not able to purchase a </w:t>
      </w:r>
      <w:r w:rsidR="0093331E" w:rsidRPr="00C83A74">
        <w:rPr>
          <w:lang w:val="en-GB"/>
        </w:rPr>
        <w:t xml:space="preserve">mobile telephone </w:t>
      </w:r>
      <w:r w:rsidRPr="00C83A74">
        <w:rPr>
          <w:lang w:val="en-GB"/>
        </w:rPr>
        <w:t>card.</w:t>
      </w:r>
    </w:p>
  </w:footnote>
  <w:footnote w:id="12">
    <w:p w14:paraId="22894956" w14:textId="77777777" w:rsidR="00F86B6E" w:rsidRPr="00C83A74" w:rsidRDefault="00F86B6E">
      <w:pPr>
        <w:pStyle w:val="FootnoteText"/>
        <w:rPr>
          <w:szCs w:val="18"/>
          <w:lang w:val="en-GB"/>
        </w:rPr>
      </w:pPr>
      <w:r w:rsidRPr="00C83A74">
        <w:rPr>
          <w:lang w:val="en-GB"/>
        </w:rPr>
        <w:tab/>
      </w:r>
      <w:r w:rsidRPr="00C83A74">
        <w:rPr>
          <w:rStyle w:val="FootnoteReference"/>
        </w:rPr>
        <w:footnoteRef/>
      </w:r>
      <w:r w:rsidRPr="00C83A74">
        <w:rPr>
          <w:lang w:val="en-GB"/>
        </w:rPr>
        <w:tab/>
      </w:r>
      <w:r w:rsidRPr="00C83A74">
        <w:rPr>
          <w:szCs w:val="18"/>
          <w:lang w:val="en-GB"/>
        </w:rPr>
        <w:t xml:space="preserve">The author provided a translation of a letter from the Danish National Police to the </w:t>
      </w:r>
      <w:r w:rsidR="0093331E" w:rsidRPr="00C83A74">
        <w:rPr>
          <w:szCs w:val="18"/>
          <w:lang w:val="en-GB"/>
        </w:rPr>
        <w:t xml:space="preserve">board </w:t>
      </w:r>
      <w:r w:rsidRPr="00C83A74">
        <w:rPr>
          <w:szCs w:val="18"/>
          <w:lang w:val="en-GB"/>
        </w:rPr>
        <w:t xml:space="preserve">dated </w:t>
      </w:r>
      <w:r w:rsidR="00880FCF" w:rsidRPr="00C83A74">
        <w:rPr>
          <w:szCs w:val="18"/>
          <w:lang w:val="en-GB"/>
        </w:rPr>
        <w:t>4 </w:t>
      </w:r>
      <w:r w:rsidRPr="00C83A74">
        <w:rPr>
          <w:szCs w:val="18"/>
          <w:lang w:val="en-GB"/>
        </w:rPr>
        <w:t xml:space="preserve">December 2012 </w:t>
      </w:r>
      <w:r w:rsidR="0093331E" w:rsidRPr="00C83A74">
        <w:rPr>
          <w:szCs w:val="18"/>
          <w:lang w:val="en-GB"/>
        </w:rPr>
        <w:t xml:space="preserve">that </w:t>
      </w:r>
      <w:r w:rsidRPr="00C83A74">
        <w:rPr>
          <w:szCs w:val="18"/>
          <w:lang w:val="en-GB"/>
        </w:rPr>
        <w:t>confirms this statement.</w:t>
      </w:r>
    </w:p>
  </w:footnote>
  <w:footnote w:id="13">
    <w:p w14:paraId="07CF3B31"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The author refers to CERD/C/DEN/CO/17, para. 13.</w:t>
      </w:r>
    </w:p>
  </w:footnote>
  <w:footnote w:id="14">
    <w:p w14:paraId="341E7D33"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The author does not make reference to article 19 of the Covenant, but implicitly invokes this article in his claim.</w:t>
      </w:r>
    </w:p>
  </w:footnote>
  <w:footnote w:id="15">
    <w:p w14:paraId="10B5E26D"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The State party cites the Committee’s views in </w:t>
      </w:r>
      <w:r w:rsidR="00317389" w:rsidRPr="00C83A74">
        <w:rPr>
          <w:lang w:val="en-GB"/>
        </w:rPr>
        <w:t>c</w:t>
      </w:r>
      <w:r w:rsidRPr="00C83A74">
        <w:rPr>
          <w:lang w:val="en-GB"/>
        </w:rPr>
        <w:t xml:space="preserve">ommunication No. 2007/2010, </w:t>
      </w:r>
      <w:r w:rsidR="00317389" w:rsidRPr="00C83A74">
        <w:rPr>
          <w:i/>
          <w:lang w:val="en-GB"/>
        </w:rPr>
        <w:t xml:space="preserve">X </w:t>
      </w:r>
      <w:r w:rsidRPr="00C83A74">
        <w:rPr>
          <w:i/>
          <w:lang w:val="en-GB"/>
        </w:rPr>
        <w:t>v. Denmark</w:t>
      </w:r>
      <w:r w:rsidRPr="00C83A74">
        <w:rPr>
          <w:iCs/>
          <w:lang w:val="en-GB"/>
        </w:rPr>
        <w:t>,</w:t>
      </w:r>
      <w:r w:rsidRPr="00C83A74">
        <w:rPr>
          <w:i/>
          <w:lang w:val="en-GB"/>
        </w:rPr>
        <w:t xml:space="preserve"> </w:t>
      </w:r>
      <w:r w:rsidRPr="00C83A74">
        <w:rPr>
          <w:lang w:val="en-GB"/>
        </w:rPr>
        <w:t>Views adopted on</w:t>
      </w:r>
      <w:r w:rsidRPr="00C83A74">
        <w:rPr>
          <w:i/>
          <w:lang w:val="en-GB"/>
        </w:rPr>
        <w:t xml:space="preserve"> </w:t>
      </w:r>
      <w:r w:rsidRPr="00C83A74">
        <w:rPr>
          <w:lang w:val="en-GB"/>
        </w:rPr>
        <w:t xml:space="preserve">26 March 2014, para. 9.2. </w:t>
      </w:r>
    </w:p>
  </w:footnote>
  <w:footnote w:id="16">
    <w:p w14:paraId="2CBC1B5B"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The State party indicates that such sources are Amnesty International, Human Rights Watch, the country reports</w:t>
      </w:r>
      <w:r w:rsidR="0002760C" w:rsidRPr="00C83A74">
        <w:rPr>
          <w:lang w:val="en-GB"/>
        </w:rPr>
        <w:t xml:space="preserve"> of the United States of America Department of State</w:t>
      </w:r>
      <w:r w:rsidRPr="00C83A74">
        <w:rPr>
          <w:lang w:val="en-GB"/>
        </w:rPr>
        <w:t xml:space="preserve">, the British Home Office, the Immigration and Refugee Board </w:t>
      </w:r>
      <w:r w:rsidR="0002760C" w:rsidRPr="00C83A74">
        <w:rPr>
          <w:lang w:val="en-GB"/>
        </w:rPr>
        <w:t xml:space="preserve">of </w:t>
      </w:r>
      <w:r w:rsidRPr="00C83A74">
        <w:rPr>
          <w:lang w:val="en-GB"/>
        </w:rPr>
        <w:t xml:space="preserve">Canada, the Norwegian Country of Origin Information </w:t>
      </w:r>
      <w:r w:rsidR="0002760C" w:rsidRPr="00C83A74">
        <w:rPr>
          <w:lang w:val="en-GB"/>
        </w:rPr>
        <w:t>C</w:t>
      </w:r>
      <w:r w:rsidRPr="00C83A74">
        <w:rPr>
          <w:lang w:val="en-GB"/>
        </w:rPr>
        <w:t>entre, Council of Europe reports and</w:t>
      </w:r>
      <w:r w:rsidR="0002760C" w:rsidRPr="00C83A74">
        <w:rPr>
          <w:lang w:val="en-GB"/>
        </w:rPr>
        <w:t>,</w:t>
      </w:r>
      <w:r w:rsidRPr="00C83A74">
        <w:rPr>
          <w:lang w:val="en-GB"/>
        </w:rPr>
        <w:t xml:space="preserve"> to some extent, articles from identifiable international journals.</w:t>
      </w:r>
    </w:p>
  </w:footnote>
  <w:footnote w:id="17">
    <w:p w14:paraId="47724EE5"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Danish Immigration Service, </w:t>
      </w:r>
      <w:r w:rsidRPr="00C83A74">
        <w:rPr>
          <w:i/>
          <w:lang w:val="en-GB"/>
        </w:rPr>
        <w:t xml:space="preserve">Landinfo </w:t>
      </w:r>
      <w:r w:rsidRPr="00C83A74">
        <w:rPr>
          <w:lang w:val="en-GB"/>
        </w:rPr>
        <w:t xml:space="preserve">and the Danish Refugee Council, </w:t>
      </w:r>
      <w:r w:rsidRPr="00C83A74">
        <w:rPr>
          <w:i/>
          <w:lang w:val="en-GB"/>
        </w:rPr>
        <w:t xml:space="preserve">Iran: On Conversion to Christianity, Issues concerning Kurds and post-2009 election protestors as well as legal issues and exit procedures, </w:t>
      </w:r>
      <w:r w:rsidRPr="00C83A74">
        <w:rPr>
          <w:lang w:val="en-GB"/>
        </w:rPr>
        <w:t xml:space="preserve">2013; and Danish Immigration Services and the Danish Refugee Council, </w:t>
      </w:r>
      <w:r w:rsidRPr="00C83A74">
        <w:rPr>
          <w:i/>
          <w:lang w:val="en-GB"/>
        </w:rPr>
        <w:t xml:space="preserve">Iranian Kurds: On conditions for Iranian Kurdish Parties in Iran and </w:t>
      </w:r>
      <w:r w:rsidR="00E47E68" w:rsidRPr="00C83A74">
        <w:rPr>
          <w:i/>
          <w:lang w:val="en-GB"/>
        </w:rPr>
        <w:t xml:space="preserve">the </w:t>
      </w:r>
      <w:r w:rsidR="00E47E68" w:rsidRPr="00C83A74">
        <w:rPr>
          <w:i/>
          <w:iCs/>
        </w:rPr>
        <w:t xml:space="preserve">Kurdish </w:t>
      </w:r>
      <w:r w:rsidR="00377230" w:rsidRPr="00C83A74">
        <w:rPr>
          <w:i/>
          <w:iCs/>
        </w:rPr>
        <w:t>r</w:t>
      </w:r>
      <w:r w:rsidR="00E47E68" w:rsidRPr="00C83A74">
        <w:rPr>
          <w:i/>
          <w:iCs/>
        </w:rPr>
        <w:t>egion in Iraq</w:t>
      </w:r>
      <w:r w:rsidRPr="00C83A74">
        <w:rPr>
          <w:i/>
          <w:lang w:val="en-GB"/>
        </w:rPr>
        <w:t xml:space="preserve">, Activities in the Kurdish Area of Iran, Conditions in Border Area and Situation of Returnees from </w:t>
      </w:r>
      <w:r w:rsidR="00E47E68" w:rsidRPr="00C83A74">
        <w:rPr>
          <w:i/>
          <w:lang w:val="en-GB"/>
        </w:rPr>
        <w:t xml:space="preserve">the </w:t>
      </w:r>
      <w:r w:rsidR="00E47E68" w:rsidRPr="00C83A74">
        <w:rPr>
          <w:i/>
          <w:iCs/>
        </w:rPr>
        <w:t xml:space="preserve">Kurdish </w:t>
      </w:r>
      <w:r w:rsidR="00377230" w:rsidRPr="00C83A74">
        <w:rPr>
          <w:i/>
          <w:iCs/>
        </w:rPr>
        <w:t>r</w:t>
      </w:r>
      <w:r w:rsidR="00E47E68" w:rsidRPr="00C83A74">
        <w:rPr>
          <w:i/>
          <w:iCs/>
        </w:rPr>
        <w:t xml:space="preserve">egion in Iraq </w:t>
      </w:r>
      <w:r w:rsidRPr="00C83A74">
        <w:rPr>
          <w:i/>
          <w:lang w:val="en-GB"/>
        </w:rPr>
        <w:t>to Iran, 30 May to 9 June 2013.</w:t>
      </w:r>
    </w:p>
  </w:footnote>
  <w:footnote w:id="18">
    <w:p w14:paraId="0749830F" w14:textId="77777777" w:rsidR="00F86B6E" w:rsidRPr="00C83A74" w:rsidRDefault="00F86B6E">
      <w:pPr>
        <w:pStyle w:val="FootnoteText"/>
      </w:pPr>
      <w:r w:rsidRPr="00C83A74">
        <w:tab/>
      </w:r>
      <w:r w:rsidRPr="00C83A74">
        <w:rPr>
          <w:rStyle w:val="FootnoteReference"/>
        </w:rPr>
        <w:footnoteRef/>
      </w:r>
      <w:r w:rsidRPr="00C83A74">
        <w:rPr>
          <w:lang w:val="en-GB"/>
        </w:rPr>
        <w:tab/>
      </w:r>
      <w:r w:rsidRPr="00C83A74">
        <w:t xml:space="preserve">The State party </w:t>
      </w:r>
      <w:r w:rsidRPr="00C83A74">
        <w:rPr>
          <w:lang w:val="en-GB"/>
        </w:rPr>
        <w:t>refers to</w:t>
      </w:r>
      <w:r w:rsidRPr="00C83A74">
        <w:t xml:space="preserve"> </w:t>
      </w:r>
      <w:r w:rsidRPr="00C83A74">
        <w:rPr>
          <w:lang w:val="en-GB"/>
        </w:rPr>
        <w:t xml:space="preserve">the Committee’s views in </w:t>
      </w:r>
      <w:r w:rsidR="008F6426" w:rsidRPr="00C83A74">
        <w:rPr>
          <w:lang w:val="en-GB"/>
        </w:rPr>
        <w:t>c</w:t>
      </w:r>
      <w:r w:rsidRPr="00C83A74">
        <w:rPr>
          <w:lang w:val="en-GB"/>
        </w:rPr>
        <w:t xml:space="preserve">ommunication No. 2186/2012, </w:t>
      </w:r>
      <w:r w:rsidRPr="00C83A74">
        <w:rPr>
          <w:i/>
          <w:lang w:val="en-GB"/>
        </w:rPr>
        <w:t>Mr.</w:t>
      </w:r>
      <w:r w:rsidRPr="00C83A74">
        <w:rPr>
          <w:lang w:val="en-GB"/>
        </w:rPr>
        <w:t xml:space="preserve"> </w:t>
      </w:r>
      <w:r w:rsidRPr="00C83A74">
        <w:rPr>
          <w:i/>
          <w:lang w:val="en-GB"/>
        </w:rPr>
        <w:t xml:space="preserve">X and Ms. X v. Denmark, </w:t>
      </w:r>
      <w:r w:rsidRPr="00C83A74">
        <w:rPr>
          <w:lang w:val="en-GB"/>
        </w:rPr>
        <w:t>Views adopted on 22 October 2014, para. 7.5.</w:t>
      </w:r>
    </w:p>
  </w:footnote>
  <w:footnote w:id="19">
    <w:p w14:paraId="2A357E17"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Danish Immigration Services and the Danish Refugee Council, </w:t>
      </w:r>
      <w:r w:rsidRPr="00C83A74">
        <w:rPr>
          <w:i/>
          <w:lang w:val="en-GB"/>
        </w:rPr>
        <w:t xml:space="preserve">Iranian Kurds: On conditions for Iranian Kurdish Parties in Iran and </w:t>
      </w:r>
      <w:r w:rsidR="00377230" w:rsidRPr="00C83A74">
        <w:rPr>
          <w:i/>
          <w:lang w:val="en-GB"/>
        </w:rPr>
        <w:t xml:space="preserve">the </w:t>
      </w:r>
      <w:r w:rsidR="00377230" w:rsidRPr="00C83A74">
        <w:rPr>
          <w:i/>
          <w:iCs/>
        </w:rPr>
        <w:t>Kurdish region in Iraq</w:t>
      </w:r>
      <w:r w:rsidRPr="00C83A74">
        <w:rPr>
          <w:i/>
          <w:lang w:val="en-GB"/>
        </w:rPr>
        <w:t xml:space="preserve">, Activities in the Kurdish Area of Iran, Conditions in Border Area and Situation of Returnees from </w:t>
      </w:r>
      <w:r w:rsidR="00377230" w:rsidRPr="00C83A74">
        <w:rPr>
          <w:i/>
          <w:lang w:val="en-GB"/>
        </w:rPr>
        <w:t xml:space="preserve">the </w:t>
      </w:r>
      <w:r w:rsidR="00377230" w:rsidRPr="00C83A74">
        <w:rPr>
          <w:i/>
          <w:iCs/>
        </w:rPr>
        <w:t xml:space="preserve">Kurdish region in Iraq </w:t>
      </w:r>
      <w:r w:rsidRPr="00C83A74">
        <w:rPr>
          <w:i/>
          <w:lang w:val="en-GB"/>
        </w:rPr>
        <w:t xml:space="preserve">to Iran, 30 May to 9 June 2013, </w:t>
      </w:r>
      <w:r w:rsidRPr="00C83A74">
        <w:rPr>
          <w:lang w:val="en-GB"/>
        </w:rPr>
        <w:t>p. 73.</w:t>
      </w:r>
    </w:p>
  </w:footnote>
  <w:footnote w:id="20">
    <w:p w14:paraId="6132EF34"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Danish Immigration Service, </w:t>
      </w:r>
      <w:r w:rsidRPr="00C83A74">
        <w:rPr>
          <w:i/>
          <w:lang w:val="en-GB"/>
        </w:rPr>
        <w:t xml:space="preserve">Landinfo </w:t>
      </w:r>
      <w:r w:rsidRPr="00C83A74">
        <w:rPr>
          <w:lang w:val="en-GB"/>
        </w:rPr>
        <w:t xml:space="preserve">and the Danish Refugee Council, </w:t>
      </w:r>
      <w:r w:rsidRPr="00C83A74">
        <w:rPr>
          <w:i/>
          <w:lang w:val="en-GB"/>
        </w:rPr>
        <w:t>Iran: On Conversion to Christianity, Issues concerning Kurds and post-2009 election protestors as well as legal issues and exit procedures,</w:t>
      </w:r>
      <w:r w:rsidR="00377230" w:rsidRPr="00C83A74">
        <w:rPr>
          <w:i/>
          <w:lang w:val="en-GB"/>
        </w:rPr>
        <w:t xml:space="preserve"> </w:t>
      </w:r>
      <w:r w:rsidRPr="00C83A74">
        <w:rPr>
          <w:lang w:val="en-GB"/>
        </w:rPr>
        <w:t>2013, p. 46.</w:t>
      </w:r>
    </w:p>
  </w:footnote>
  <w:footnote w:id="21">
    <w:p w14:paraId="7A0F763A" w14:textId="77777777" w:rsidR="00F86B6E" w:rsidRPr="00C83A74" w:rsidRDefault="00F86B6E" w:rsidP="00377230">
      <w:pPr>
        <w:pStyle w:val="FootnoteText"/>
        <w:rPr>
          <w:lang w:val="en-GB"/>
        </w:rPr>
      </w:pPr>
      <w:r w:rsidRPr="00C83A74">
        <w:rPr>
          <w:lang w:val="en-GB"/>
        </w:rPr>
        <w:tab/>
      </w:r>
      <w:r w:rsidRPr="00C83A74">
        <w:rPr>
          <w:rStyle w:val="FootnoteReference"/>
        </w:rPr>
        <w:footnoteRef/>
      </w:r>
      <w:r w:rsidRPr="00C83A74">
        <w:rPr>
          <w:lang w:val="en-GB"/>
        </w:rPr>
        <w:tab/>
        <w:t xml:space="preserve">The author submitted a copy of his father’s </w:t>
      </w:r>
      <w:r w:rsidR="00377230" w:rsidRPr="00C83A74">
        <w:t xml:space="preserve">Democratic Party of Iranian Kurdistan </w:t>
      </w:r>
      <w:r w:rsidRPr="00C83A74">
        <w:rPr>
          <w:lang w:val="en-GB"/>
        </w:rPr>
        <w:t>membership card.</w:t>
      </w:r>
    </w:p>
  </w:footnote>
  <w:footnote w:id="22">
    <w:p w14:paraId="3E379531"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See </w:t>
      </w:r>
      <w:r w:rsidR="001E5669" w:rsidRPr="00C83A74">
        <w:rPr>
          <w:lang w:val="en-GB"/>
        </w:rPr>
        <w:t>c</w:t>
      </w:r>
      <w:r w:rsidRPr="00C83A74">
        <w:rPr>
          <w:lang w:val="en-GB"/>
        </w:rPr>
        <w:t xml:space="preserve">ommunication 1547/2007, </w:t>
      </w:r>
      <w:r w:rsidRPr="00C83A74">
        <w:rPr>
          <w:i/>
          <w:lang w:val="en-GB"/>
        </w:rPr>
        <w:t>Hamida v. Canada</w:t>
      </w:r>
      <w:r w:rsidRPr="00C83A74">
        <w:rPr>
          <w:lang w:val="en-GB"/>
        </w:rPr>
        <w:t>, Views adopted on 18 March 2010, para. 7.4.</w:t>
      </w:r>
    </w:p>
  </w:footnote>
  <w:footnote w:id="23">
    <w:p w14:paraId="75635808" w14:textId="77777777" w:rsidR="00F86B6E" w:rsidRPr="00C83A74" w:rsidRDefault="00F86B6E">
      <w:pPr>
        <w:pStyle w:val="FootnoteText"/>
      </w:pPr>
      <w:r w:rsidRPr="00C83A74">
        <w:rPr>
          <w:lang w:val="en-GB"/>
        </w:rPr>
        <w:tab/>
      </w:r>
      <w:r w:rsidRPr="00C83A74">
        <w:rPr>
          <w:rStyle w:val="FootnoteReference"/>
          <w:szCs w:val="18"/>
        </w:rPr>
        <w:footnoteRef/>
      </w:r>
      <w:r w:rsidRPr="00C83A74">
        <w:rPr>
          <w:lang w:val="en-GB"/>
        </w:rPr>
        <w:tab/>
      </w:r>
      <w:r w:rsidRPr="00C83A74">
        <w:t xml:space="preserve">See </w:t>
      </w:r>
      <w:r w:rsidR="001E5669" w:rsidRPr="00C83A74">
        <w:t>g</w:t>
      </w:r>
      <w:r w:rsidRPr="00C83A74">
        <w:t xml:space="preserve">eneral </w:t>
      </w:r>
      <w:r w:rsidR="001E5669" w:rsidRPr="00C83A74">
        <w:t>c</w:t>
      </w:r>
      <w:r w:rsidRPr="00C83A74">
        <w:t>omment No. 20 of the Committee</w:t>
      </w:r>
      <w:r w:rsidRPr="00C83A74">
        <w:rPr>
          <w:lang w:val="en-GB"/>
        </w:rPr>
        <w:t>, para. 9</w:t>
      </w:r>
      <w:r w:rsidRPr="00C83A74">
        <w:t>.</w:t>
      </w:r>
    </w:p>
  </w:footnote>
  <w:footnote w:id="24">
    <w:p w14:paraId="7F3525EF"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 xml:space="preserve">See </w:t>
      </w:r>
      <w:r w:rsidR="00C71A40" w:rsidRPr="00C83A74">
        <w:rPr>
          <w:lang w:val="en-GB"/>
        </w:rPr>
        <w:t>c</w:t>
      </w:r>
      <w:r w:rsidRPr="00C83A74">
        <w:rPr>
          <w:lang w:val="en-GB"/>
        </w:rPr>
        <w:t xml:space="preserve">ommunication No. 1763/2008, </w:t>
      </w:r>
      <w:r w:rsidRPr="00C83A74">
        <w:rPr>
          <w:i/>
          <w:lang w:val="en-GB"/>
        </w:rPr>
        <w:t>Ernest Sigman Pillai et al. v. Canada</w:t>
      </w:r>
      <w:r w:rsidRPr="00C83A74">
        <w:rPr>
          <w:lang w:val="en-GB"/>
        </w:rPr>
        <w:t>, Views adopted on 25 March 2011, para. 11.2.</w:t>
      </w:r>
    </w:p>
  </w:footnote>
  <w:footnote w:id="25">
    <w:p w14:paraId="34FD4BEB" w14:textId="77777777" w:rsidR="00F86B6E" w:rsidRPr="00C83A74" w:rsidRDefault="00F86B6E" w:rsidP="00E32557">
      <w:pPr>
        <w:pStyle w:val="FootnoteText"/>
        <w:rPr>
          <w:lang w:val="en-GB"/>
        </w:rPr>
      </w:pPr>
      <w:r w:rsidRPr="00C83A74">
        <w:rPr>
          <w:lang w:val="en-GB"/>
        </w:rPr>
        <w:tab/>
      </w:r>
      <w:r w:rsidRPr="00C83A74">
        <w:rPr>
          <w:rStyle w:val="FootnoteReference"/>
        </w:rPr>
        <w:footnoteRef/>
      </w:r>
      <w:r w:rsidRPr="00C83A74">
        <w:t xml:space="preserve"> </w:t>
      </w:r>
      <w:r w:rsidRPr="00C83A74">
        <w:rPr>
          <w:lang w:val="en-GB"/>
        </w:rPr>
        <w:tab/>
      </w:r>
      <w:r w:rsidR="00E02D23" w:rsidRPr="00C83A74">
        <w:rPr>
          <w:lang w:val="en-GB"/>
        </w:rPr>
        <w:t xml:space="preserve">See </w:t>
      </w:r>
      <w:r w:rsidR="00E02D23" w:rsidRPr="00C83A74">
        <w:rPr>
          <w:i/>
          <w:iCs/>
          <w:lang w:val="en-GB"/>
        </w:rPr>
        <w:t>X v. Denmark</w:t>
      </w:r>
      <w:r w:rsidR="00E02D23" w:rsidRPr="00C83A74">
        <w:rPr>
          <w:lang w:val="en-GB"/>
        </w:rPr>
        <w:t xml:space="preserve"> (</w:t>
      </w:r>
      <w:r w:rsidR="00E02D23" w:rsidRPr="00C764D9">
        <w:rPr>
          <w:lang w:val="en-GB"/>
        </w:rPr>
        <w:t xml:space="preserve">note </w:t>
      </w:r>
      <w:r w:rsidR="00E32557" w:rsidRPr="00C764D9">
        <w:rPr>
          <w:lang w:val="en-GB"/>
        </w:rPr>
        <w:t xml:space="preserve">13 </w:t>
      </w:r>
      <w:r w:rsidR="00E02D23" w:rsidRPr="00C764D9">
        <w:rPr>
          <w:lang w:val="en-GB"/>
        </w:rPr>
        <w:t>above), para. 9.2</w:t>
      </w:r>
      <w:r w:rsidRPr="00C83A74">
        <w:rPr>
          <w:lang w:val="en-GB"/>
        </w:rPr>
        <w:t>.</w:t>
      </w:r>
    </w:p>
  </w:footnote>
  <w:footnote w:id="26">
    <w:p w14:paraId="74564737" w14:textId="77777777" w:rsidR="00F86B6E" w:rsidRPr="00C83A74" w:rsidRDefault="00F86B6E">
      <w:pPr>
        <w:pStyle w:val="FootnoteText"/>
        <w:rPr>
          <w:lang w:val="en-GB"/>
        </w:rPr>
      </w:pPr>
      <w:r w:rsidRPr="00C83A74">
        <w:rPr>
          <w:lang w:val="en-GB"/>
        </w:rPr>
        <w:tab/>
      </w:r>
      <w:r w:rsidRPr="00C83A74">
        <w:rPr>
          <w:rStyle w:val="FootnoteReference"/>
        </w:rPr>
        <w:footnoteRef/>
      </w:r>
      <w:r w:rsidRPr="00C83A74">
        <w:rPr>
          <w:lang w:val="en-GB"/>
        </w:rPr>
        <w:tab/>
        <w:t>See Border Agency</w:t>
      </w:r>
      <w:r w:rsidR="00BC36CA" w:rsidRPr="00C83A74">
        <w:rPr>
          <w:lang w:val="en-GB"/>
        </w:rPr>
        <w:t xml:space="preserve"> of the United Kingdom of Great Britain and Northern Ireland</w:t>
      </w:r>
      <w:r w:rsidRPr="00C83A74">
        <w:rPr>
          <w:lang w:val="en-GB"/>
        </w:rPr>
        <w:t xml:space="preserve">, Optional Guidance Note on Iran, October 2012, p. 35, available at </w:t>
      </w:r>
      <w:hyperlink r:id="rId1" w:history="1">
        <w:r w:rsidR="00BC36CA" w:rsidRPr="00C83A74">
          <w:rPr>
            <w:rStyle w:val="Hyperlink"/>
            <w:lang w:val="en-GB"/>
          </w:rPr>
          <w:t>www.gov.uk/government/uploads/system/uploads/attachment_data/file/311906/Iran_operational_guidance_2012.pdf</w:t>
        </w:r>
      </w:hyperlink>
      <w:r w:rsidRPr="00C83A74">
        <w:rPr>
          <w:lang w:val="en-GB"/>
        </w:rPr>
        <w:t xml:space="preserve">. The Swiss Refugee Council describes the Iranian authorities’ practice of dealing with returned asylum seekers as arbitrary and unpredictable. </w:t>
      </w:r>
      <w:r w:rsidR="00BC36CA" w:rsidRPr="00C83A74">
        <w:rPr>
          <w:lang w:val="en-GB"/>
        </w:rPr>
        <w:t xml:space="preserve">See </w:t>
      </w:r>
      <w:r w:rsidRPr="00C83A74">
        <w:rPr>
          <w:lang w:val="en-GB"/>
        </w:rPr>
        <w:t xml:space="preserve">www.ecoi.net/file_upload/1930_1418737084_q18731-iran.pdf. </w:t>
      </w:r>
    </w:p>
  </w:footnote>
  <w:footnote w:id="27">
    <w:p w14:paraId="2CF708CF" w14:textId="77777777" w:rsidR="00F86B6E" w:rsidRPr="00C83A74" w:rsidRDefault="00F86B6E" w:rsidP="00BC1D9B">
      <w:pPr>
        <w:pStyle w:val="FootnoteText"/>
      </w:pPr>
      <w:r w:rsidRPr="00C83A74">
        <w:rPr>
          <w:lang w:val="en-GB"/>
        </w:rPr>
        <w:tab/>
      </w:r>
      <w:r w:rsidRPr="00C83A74">
        <w:rPr>
          <w:rStyle w:val="FootnoteReference"/>
          <w:szCs w:val="18"/>
        </w:rPr>
        <w:footnoteRef/>
      </w:r>
      <w:r w:rsidRPr="00C83A74">
        <w:rPr>
          <w:lang w:val="en-GB"/>
        </w:rPr>
        <w:tab/>
      </w:r>
      <w:r w:rsidRPr="00C83A74">
        <w:t>See</w:t>
      </w:r>
      <w:r w:rsidR="00BC36CA" w:rsidRPr="00C83A74">
        <w:t>,</w:t>
      </w:r>
      <w:r w:rsidRPr="00C83A74">
        <w:t xml:space="preserve"> for instance</w:t>
      </w:r>
      <w:r w:rsidR="00BC36CA" w:rsidRPr="00C83A74">
        <w:t>,</w:t>
      </w:r>
      <w:r w:rsidRPr="00C83A74">
        <w:t xml:space="preserve"> paragraphs </w:t>
      </w:r>
      <w:r w:rsidRPr="00C83A74">
        <w:rPr>
          <w:lang w:val="en-GB"/>
        </w:rPr>
        <w:t xml:space="preserve">3.3 and 5.5 </w:t>
      </w:r>
      <w:r w:rsidRPr="00C83A74">
        <w:t>above.</w:t>
      </w:r>
      <w:r w:rsidRPr="00C83A74">
        <w:rPr>
          <w:lang w:val="en-GB"/>
        </w:rPr>
        <w:t xml:space="preserve"> </w:t>
      </w:r>
    </w:p>
  </w:footnote>
  <w:footnote w:id="28">
    <w:p w14:paraId="1C19C28C" w14:textId="77777777" w:rsidR="00F86B6E" w:rsidRPr="00C83A74" w:rsidRDefault="00F86B6E" w:rsidP="00821AC3">
      <w:pPr>
        <w:pStyle w:val="FootnoteText"/>
        <w:widowControl w:val="0"/>
        <w:rPr>
          <w:lang w:val="en-GB"/>
        </w:rPr>
      </w:pPr>
      <w:r w:rsidRPr="00C83A74">
        <w:tab/>
      </w:r>
      <w:r w:rsidRPr="00C83A74">
        <w:rPr>
          <w:rStyle w:val="FootnoteReference"/>
        </w:rPr>
        <w:footnoteRef/>
      </w:r>
      <w:r w:rsidRPr="00C83A74">
        <w:tab/>
        <w:t>See</w:t>
      </w:r>
      <w:r w:rsidR="00287CAE" w:rsidRPr="00C83A74">
        <w:t>,</w:t>
      </w:r>
      <w:r w:rsidRPr="00C83A74">
        <w:t xml:space="preserve"> </w:t>
      </w:r>
      <w:r w:rsidR="00287CAE" w:rsidRPr="00C83A74">
        <w:t>for example</w:t>
      </w:r>
      <w:r w:rsidRPr="00C83A74">
        <w:t xml:space="preserve">, </w:t>
      </w:r>
      <w:r w:rsidR="00287CAE" w:rsidRPr="00C83A74">
        <w:t>c</w:t>
      </w:r>
      <w:r w:rsidRPr="00C83A74">
        <w:t xml:space="preserve">ommunication No. 1051/2002, </w:t>
      </w:r>
      <w:r w:rsidRPr="00C83A74">
        <w:rPr>
          <w:i/>
          <w:iCs/>
        </w:rPr>
        <w:t>Ahani v. Canada</w:t>
      </w:r>
      <w:r w:rsidRPr="00C83A74">
        <w:t xml:space="preserve">, Views adopted on 29 March 2004, para. 10.8. </w:t>
      </w:r>
    </w:p>
  </w:footnote>
  <w:footnote w:id="29">
    <w:p w14:paraId="23492411" w14:textId="77777777" w:rsidR="00F86B6E" w:rsidRPr="00C83A74" w:rsidRDefault="00F86B6E" w:rsidP="00821AC3">
      <w:pPr>
        <w:pStyle w:val="FootnoteText"/>
        <w:widowControl w:val="0"/>
        <w:rPr>
          <w:lang w:val="en-GB"/>
        </w:rPr>
      </w:pPr>
      <w:r w:rsidRPr="00C83A74">
        <w:tab/>
      </w:r>
      <w:r w:rsidRPr="00C83A74">
        <w:rPr>
          <w:rStyle w:val="FootnoteReference"/>
        </w:rPr>
        <w:footnoteRef/>
      </w:r>
      <w:r w:rsidRPr="00C83A74">
        <w:tab/>
        <w:t>See</w:t>
      </w:r>
      <w:r w:rsidR="00287CAE" w:rsidRPr="00C83A74">
        <w:t>, for example,</w:t>
      </w:r>
      <w:r w:rsidRPr="00C83A74">
        <w:t xml:space="preserve"> </w:t>
      </w:r>
      <w:r w:rsidR="00287CAE" w:rsidRPr="00C83A74">
        <w:t>c</w:t>
      </w:r>
      <w:r w:rsidRPr="00C83A74">
        <w:t xml:space="preserve">ommunication No. 1908/2009, </w:t>
      </w:r>
      <w:r w:rsidRPr="00C83A74">
        <w:rPr>
          <w:i/>
          <w:iCs/>
        </w:rPr>
        <w:t>X v. Republic of Korea</w:t>
      </w:r>
      <w:r w:rsidRPr="00C83A74">
        <w:t xml:space="preserve">, Views adopted on 25 </w:t>
      </w:r>
      <w:r w:rsidR="00287CAE" w:rsidRPr="00C83A74">
        <w:t xml:space="preserve">March </w:t>
      </w:r>
      <w:r w:rsidRPr="00C83A74">
        <w:t xml:space="preserve">2014, para. 11.5. </w:t>
      </w:r>
    </w:p>
  </w:footnote>
  <w:footnote w:id="30">
    <w:p w14:paraId="47F96449" w14:textId="77777777" w:rsidR="00F86B6E" w:rsidRPr="00821AC3" w:rsidRDefault="00F86B6E" w:rsidP="00821AC3">
      <w:pPr>
        <w:pStyle w:val="FootnoteText"/>
        <w:widowControl w:val="0"/>
        <w:rPr>
          <w:lang w:val="fr-CH"/>
        </w:rPr>
      </w:pPr>
      <w:r w:rsidRPr="00C83A74">
        <w:tab/>
      </w:r>
      <w:r w:rsidRPr="00C83A74">
        <w:rPr>
          <w:rStyle w:val="FootnoteReference"/>
        </w:rPr>
        <w:footnoteRef/>
      </w:r>
      <w:r w:rsidRPr="00C83A74">
        <w:tab/>
        <w:t>See</w:t>
      </w:r>
      <w:r w:rsidR="00287CAE" w:rsidRPr="00C83A74">
        <w:t>, for example</w:t>
      </w:r>
      <w:r w:rsidRPr="00C83A74">
        <w:t xml:space="preserve">, </w:t>
      </w:r>
      <w:r w:rsidR="00287CAE" w:rsidRPr="00C83A74">
        <w:t>c</w:t>
      </w:r>
      <w:r w:rsidRPr="00C83A74">
        <w:t xml:space="preserve">ommunication No. 1222/2003, </w:t>
      </w:r>
      <w:r w:rsidRPr="00C83A74">
        <w:rPr>
          <w:i/>
          <w:iCs/>
        </w:rPr>
        <w:t>Byahuranga v. Denmark</w:t>
      </w:r>
      <w:r w:rsidRPr="00C83A74">
        <w:t>, Views adopted on 1 Nov</w:t>
      </w:r>
      <w:r w:rsidR="00287CAE" w:rsidRPr="00C83A74">
        <w:t>ember</w:t>
      </w:r>
      <w:r w:rsidRPr="00C83A74">
        <w:t xml:space="preserve"> 2004, para</w:t>
      </w:r>
      <w:r w:rsidR="00287CAE" w:rsidRPr="00C83A74">
        <w:t>s</w:t>
      </w:r>
      <w:r w:rsidRPr="00C83A74">
        <w:t>. 11.3</w:t>
      </w:r>
      <w:r w:rsidR="00287CAE" w:rsidRPr="00C83A74">
        <w:t xml:space="preserve"> and </w:t>
      </w:r>
      <w:r w:rsidRPr="00C83A74">
        <w:t>11.4.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A804" w14:textId="77777777" w:rsidR="00F86B6E" w:rsidRPr="00A36331" w:rsidRDefault="00F86B6E" w:rsidP="003521FD">
    <w:pPr>
      <w:pStyle w:val="Header"/>
    </w:pPr>
    <w:r>
      <w:t>CCPR/C/114/D/2389/2014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554F" w14:textId="77777777" w:rsidR="00F86B6E" w:rsidRPr="00A36331" w:rsidRDefault="00F86B6E" w:rsidP="003521FD">
    <w:pPr>
      <w:pStyle w:val="Header"/>
      <w:jc w:val="right"/>
    </w:pPr>
    <w:r>
      <w:t>CCPR/C/114/D/2389/2014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42A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1160D"/>
    <w:rsid w:val="00015C9A"/>
    <w:rsid w:val="00020C90"/>
    <w:rsid w:val="00022F2F"/>
    <w:rsid w:val="0002760C"/>
    <w:rsid w:val="00027624"/>
    <w:rsid w:val="00027E4D"/>
    <w:rsid w:val="000344FA"/>
    <w:rsid w:val="00036372"/>
    <w:rsid w:val="0003669A"/>
    <w:rsid w:val="00036D1A"/>
    <w:rsid w:val="00040E9D"/>
    <w:rsid w:val="000413BC"/>
    <w:rsid w:val="000468E7"/>
    <w:rsid w:val="000500CF"/>
    <w:rsid w:val="00051C8C"/>
    <w:rsid w:val="0005219A"/>
    <w:rsid w:val="00052B78"/>
    <w:rsid w:val="00053402"/>
    <w:rsid w:val="0005371B"/>
    <w:rsid w:val="0005393C"/>
    <w:rsid w:val="00054A2F"/>
    <w:rsid w:val="00057C3C"/>
    <w:rsid w:val="00060323"/>
    <w:rsid w:val="000647D6"/>
    <w:rsid w:val="000665FF"/>
    <w:rsid w:val="00067476"/>
    <w:rsid w:val="00067BB1"/>
    <w:rsid w:val="00070207"/>
    <w:rsid w:val="000720A1"/>
    <w:rsid w:val="00073383"/>
    <w:rsid w:val="000739DC"/>
    <w:rsid w:val="00073DBA"/>
    <w:rsid w:val="00076283"/>
    <w:rsid w:val="00076DB4"/>
    <w:rsid w:val="0007777E"/>
    <w:rsid w:val="00080DF9"/>
    <w:rsid w:val="000823B7"/>
    <w:rsid w:val="00082B88"/>
    <w:rsid w:val="0008312A"/>
    <w:rsid w:val="00085F87"/>
    <w:rsid w:val="0008640C"/>
    <w:rsid w:val="00087319"/>
    <w:rsid w:val="000929A8"/>
    <w:rsid w:val="000931D3"/>
    <w:rsid w:val="00093876"/>
    <w:rsid w:val="00096010"/>
    <w:rsid w:val="000970A9"/>
    <w:rsid w:val="000A1004"/>
    <w:rsid w:val="000A2910"/>
    <w:rsid w:val="000A2FED"/>
    <w:rsid w:val="000B196A"/>
    <w:rsid w:val="000B3796"/>
    <w:rsid w:val="000B4F14"/>
    <w:rsid w:val="000B58A4"/>
    <w:rsid w:val="000B5E58"/>
    <w:rsid w:val="000B7E50"/>
    <w:rsid w:val="000C02F4"/>
    <w:rsid w:val="000C0923"/>
    <w:rsid w:val="000C0928"/>
    <w:rsid w:val="000C25B2"/>
    <w:rsid w:val="000D3E8A"/>
    <w:rsid w:val="000D6110"/>
    <w:rsid w:val="000D671D"/>
    <w:rsid w:val="000D7C47"/>
    <w:rsid w:val="000E066A"/>
    <w:rsid w:val="000E0AC8"/>
    <w:rsid w:val="000E124B"/>
    <w:rsid w:val="000E17C5"/>
    <w:rsid w:val="000E3B8A"/>
    <w:rsid w:val="000E7F30"/>
    <w:rsid w:val="000F30FF"/>
    <w:rsid w:val="000F54A0"/>
    <w:rsid w:val="000F6923"/>
    <w:rsid w:val="00101C5A"/>
    <w:rsid w:val="00105334"/>
    <w:rsid w:val="001106A5"/>
    <w:rsid w:val="00117F05"/>
    <w:rsid w:val="001248F6"/>
    <w:rsid w:val="001277C7"/>
    <w:rsid w:val="001313EE"/>
    <w:rsid w:val="00132D6B"/>
    <w:rsid w:val="001344A6"/>
    <w:rsid w:val="001346C3"/>
    <w:rsid w:val="0013566D"/>
    <w:rsid w:val="00136DC6"/>
    <w:rsid w:val="00143C6A"/>
    <w:rsid w:val="00144490"/>
    <w:rsid w:val="001449DF"/>
    <w:rsid w:val="00146A68"/>
    <w:rsid w:val="001479E0"/>
    <w:rsid w:val="00150023"/>
    <w:rsid w:val="00150CC2"/>
    <w:rsid w:val="00151146"/>
    <w:rsid w:val="00151BD5"/>
    <w:rsid w:val="00153AA5"/>
    <w:rsid w:val="00154691"/>
    <w:rsid w:val="00155382"/>
    <w:rsid w:val="00156825"/>
    <w:rsid w:val="00157ABB"/>
    <w:rsid w:val="00160847"/>
    <w:rsid w:val="00163940"/>
    <w:rsid w:val="001640F9"/>
    <w:rsid w:val="00165320"/>
    <w:rsid w:val="0016541F"/>
    <w:rsid w:val="001704EC"/>
    <w:rsid w:val="00170ADC"/>
    <w:rsid w:val="00176EA2"/>
    <w:rsid w:val="0017796D"/>
    <w:rsid w:val="00180257"/>
    <w:rsid w:val="00180D2E"/>
    <w:rsid w:val="00182C97"/>
    <w:rsid w:val="00185783"/>
    <w:rsid w:val="001877EE"/>
    <w:rsid w:val="00191D93"/>
    <w:rsid w:val="0019222B"/>
    <w:rsid w:val="00193BB8"/>
    <w:rsid w:val="00193E25"/>
    <w:rsid w:val="001951DF"/>
    <w:rsid w:val="00196DAD"/>
    <w:rsid w:val="001A089D"/>
    <w:rsid w:val="001A1341"/>
    <w:rsid w:val="001A641F"/>
    <w:rsid w:val="001A6780"/>
    <w:rsid w:val="001B0B2A"/>
    <w:rsid w:val="001B4F20"/>
    <w:rsid w:val="001C168B"/>
    <w:rsid w:val="001C1F57"/>
    <w:rsid w:val="001C2D69"/>
    <w:rsid w:val="001C4133"/>
    <w:rsid w:val="001C4993"/>
    <w:rsid w:val="001C5029"/>
    <w:rsid w:val="001C69CB"/>
    <w:rsid w:val="001D177A"/>
    <w:rsid w:val="001D3713"/>
    <w:rsid w:val="001E5669"/>
    <w:rsid w:val="001F0BCE"/>
    <w:rsid w:val="001F1884"/>
    <w:rsid w:val="001F50C7"/>
    <w:rsid w:val="001F54B0"/>
    <w:rsid w:val="001F6867"/>
    <w:rsid w:val="002007F6"/>
    <w:rsid w:val="00200A85"/>
    <w:rsid w:val="00200BE4"/>
    <w:rsid w:val="002016F8"/>
    <w:rsid w:val="00202D1A"/>
    <w:rsid w:val="0020448B"/>
    <w:rsid w:val="0020482B"/>
    <w:rsid w:val="00206509"/>
    <w:rsid w:val="002108FF"/>
    <w:rsid w:val="0021602C"/>
    <w:rsid w:val="00220996"/>
    <w:rsid w:val="0022261C"/>
    <w:rsid w:val="00222B06"/>
    <w:rsid w:val="00223E8F"/>
    <w:rsid w:val="00223FCD"/>
    <w:rsid w:val="00227516"/>
    <w:rsid w:val="002326DD"/>
    <w:rsid w:val="00240333"/>
    <w:rsid w:val="00240C8A"/>
    <w:rsid w:val="00242301"/>
    <w:rsid w:val="002461E9"/>
    <w:rsid w:val="002473A3"/>
    <w:rsid w:val="00254321"/>
    <w:rsid w:val="00254CE8"/>
    <w:rsid w:val="00255C39"/>
    <w:rsid w:val="00255F48"/>
    <w:rsid w:val="00256BD9"/>
    <w:rsid w:val="00260F3A"/>
    <w:rsid w:val="00261982"/>
    <w:rsid w:val="00261D5A"/>
    <w:rsid w:val="002624CC"/>
    <w:rsid w:val="002654C7"/>
    <w:rsid w:val="00267F8E"/>
    <w:rsid w:val="002723D7"/>
    <w:rsid w:val="0027284B"/>
    <w:rsid w:val="002731ED"/>
    <w:rsid w:val="0027541A"/>
    <w:rsid w:val="0027701C"/>
    <w:rsid w:val="0028452B"/>
    <w:rsid w:val="00285A55"/>
    <w:rsid w:val="00286040"/>
    <w:rsid w:val="00286EDE"/>
    <w:rsid w:val="00287CAE"/>
    <w:rsid w:val="00290FB4"/>
    <w:rsid w:val="0029109D"/>
    <w:rsid w:val="00293F0E"/>
    <w:rsid w:val="00293F63"/>
    <w:rsid w:val="002952B5"/>
    <w:rsid w:val="00295A1F"/>
    <w:rsid w:val="002A33F1"/>
    <w:rsid w:val="002A3706"/>
    <w:rsid w:val="002B0579"/>
    <w:rsid w:val="002B2E9E"/>
    <w:rsid w:val="002B2ECD"/>
    <w:rsid w:val="002B3E08"/>
    <w:rsid w:val="002B4087"/>
    <w:rsid w:val="002B6103"/>
    <w:rsid w:val="002C2931"/>
    <w:rsid w:val="002C293D"/>
    <w:rsid w:val="002C31A4"/>
    <w:rsid w:val="002C4175"/>
    <w:rsid w:val="002C566A"/>
    <w:rsid w:val="002C60A9"/>
    <w:rsid w:val="002C6551"/>
    <w:rsid w:val="002D3E9B"/>
    <w:rsid w:val="002D4903"/>
    <w:rsid w:val="002D70B8"/>
    <w:rsid w:val="002E30E8"/>
    <w:rsid w:val="002E4E7C"/>
    <w:rsid w:val="002E5C5C"/>
    <w:rsid w:val="002E667A"/>
    <w:rsid w:val="002F208E"/>
    <w:rsid w:val="002F55AB"/>
    <w:rsid w:val="002F7A2B"/>
    <w:rsid w:val="00301D34"/>
    <w:rsid w:val="003029A2"/>
    <w:rsid w:val="00304913"/>
    <w:rsid w:val="003140C8"/>
    <w:rsid w:val="00314B1B"/>
    <w:rsid w:val="003163D6"/>
    <w:rsid w:val="00317389"/>
    <w:rsid w:val="00322809"/>
    <w:rsid w:val="003233BA"/>
    <w:rsid w:val="00323AE1"/>
    <w:rsid w:val="003305D4"/>
    <w:rsid w:val="00330FCC"/>
    <w:rsid w:val="00332D8F"/>
    <w:rsid w:val="00334065"/>
    <w:rsid w:val="0033481B"/>
    <w:rsid w:val="00334EAF"/>
    <w:rsid w:val="0033580E"/>
    <w:rsid w:val="00335A42"/>
    <w:rsid w:val="00335B00"/>
    <w:rsid w:val="003368E0"/>
    <w:rsid w:val="00346004"/>
    <w:rsid w:val="00350189"/>
    <w:rsid w:val="003521FD"/>
    <w:rsid w:val="0035291A"/>
    <w:rsid w:val="00352EFB"/>
    <w:rsid w:val="0035381D"/>
    <w:rsid w:val="00355B25"/>
    <w:rsid w:val="003628C0"/>
    <w:rsid w:val="00363C65"/>
    <w:rsid w:val="0036439C"/>
    <w:rsid w:val="0036583C"/>
    <w:rsid w:val="003734E3"/>
    <w:rsid w:val="00377230"/>
    <w:rsid w:val="00382901"/>
    <w:rsid w:val="003833BD"/>
    <w:rsid w:val="00383B95"/>
    <w:rsid w:val="003878C6"/>
    <w:rsid w:val="00391F31"/>
    <w:rsid w:val="00392406"/>
    <w:rsid w:val="00394CC6"/>
    <w:rsid w:val="003A6558"/>
    <w:rsid w:val="003B0F08"/>
    <w:rsid w:val="003B539C"/>
    <w:rsid w:val="003B785A"/>
    <w:rsid w:val="003B7AB3"/>
    <w:rsid w:val="003C279E"/>
    <w:rsid w:val="003C444F"/>
    <w:rsid w:val="003C62CC"/>
    <w:rsid w:val="003D0114"/>
    <w:rsid w:val="003D0740"/>
    <w:rsid w:val="003D34C3"/>
    <w:rsid w:val="003D53DD"/>
    <w:rsid w:val="003D5DBF"/>
    <w:rsid w:val="003D704C"/>
    <w:rsid w:val="003E095B"/>
    <w:rsid w:val="003E26C4"/>
    <w:rsid w:val="003E3AEE"/>
    <w:rsid w:val="003E7A58"/>
    <w:rsid w:val="003E7F11"/>
    <w:rsid w:val="003F0371"/>
    <w:rsid w:val="003F3297"/>
    <w:rsid w:val="003F36E2"/>
    <w:rsid w:val="003F3D5E"/>
    <w:rsid w:val="003F5D49"/>
    <w:rsid w:val="003F692C"/>
    <w:rsid w:val="003F74C0"/>
    <w:rsid w:val="003F7F4A"/>
    <w:rsid w:val="00400810"/>
    <w:rsid w:val="00401413"/>
    <w:rsid w:val="0040273E"/>
    <w:rsid w:val="00403DBF"/>
    <w:rsid w:val="00410917"/>
    <w:rsid w:val="004130A4"/>
    <w:rsid w:val="004150DE"/>
    <w:rsid w:val="004165B4"/>
    <w:rsid w:val="004171BE"/>
    <w:rsid w:val="0041726D"/>
    <w:rsid w:val="004205B7"/>
    <w:rsid w:val="00423075"/>
    <w:rsid w:val="00423CC6"/>
    <w:rsid w:val="00424EED"/>
    <w:rsid w:val="00425C22"/>
    <w:rsid w:val="004269BD"/>
    <w:rsid w:val="00427149"/>
    <w:rsid w:val="0043026B"/>
    <w:rsid w:val="0043040F"/>
    <w:rsid w:val="00430737"/>
    <w:rsid w:val="0043426D"/>
    <w:rsid w:val="004356F1"/>
    <w:rsid w:val="004370F4"/>
    <w:rsid w:val="00437DB5"/>
    <w:rsid w:val="00445D05"/>
    <w:rsid w:val="0045055A"/>
    <w:rsid w:val="004514F6"/>
    <w:rsid w:val="00451C91"/>
    <w:rsid w:val="004532F9"/>
    <w:rsid w:val="00454F5B"/>
    <w:rsid w:val="004554FD"/>
    <w:rsid w:val="00457329"/>
    <w:rsid w:val="00461235"/>
    <w:rsid w:val="00461A69"/>
    <w:rsid w:val="00461E68"/>
    <w:rsid w:val="004655EC"/>
    <w:rsid w:val="00465BB9"/>
    <w:rsid w:val="00466E98"/>
    <w:rsid w:val="004702F6"/>
    <w:rsid w:val="00484DEF"/>
    <w:rsid w:val="00487C03"/>
    <w:rsid w:val="0049035A"/>
    <w:rsid w:val="0049056D"/>
    <w:rsid w:val="00495158"/>
    <w:rsid w:val="004A076D"/>
    <w:rsid w:val="004A146C"/>
    <w:rsid w:val="004A2ED0"/>
    <w:rsid w:val="004A326B"/>
    <w:rsid w:val="004A3303"/>
    <w:rsid w:val="004A593B"/>
    <w:rsid w:val="004B04CD"/>
    <w:rsid w:val="004B3E49"/>
    <w:rsid w:val="004B5144"/>
    <w:rsid w:val="004B5D99"/>
    <w:rsid w:val="004C0794"/>
    <w:rsid w:val="004C1FBD"/>
    <w:rsid w:val="004C25D1"/>
    <w:rsid w:val="004C3710"/>
    <w:rsid w:val="004C4D3E"/>
    <w:rsid w:val="004C6B44"/>
    <w:rsid w:val="004C6E5E"/>
    <w:rsid w:val="004D2214"/>
    <w:rsid w:val="004D3321"/>
    <w:rsid w:val="004D6C66"/>
    <w:rsid w:val="004E01B1"/>
    <w:rsid w:val="004E0CBC"/>
    <w:rsid w:val="004E1918"/>
    <w:rsid w:val="004E19CF"/>
    <w:rsid w:val="004E1F4F"/>
    <w:rsid w:val="004E285E"/>
    <w:rsid w:val="004E4E36"/>
    <w:rsid w:val="004E5C13"/>
    <w:rsid w:val="004E786F"/>
    <w:rsid w:val="004F25F8"/>
    <w:rsid w:val="004F5B32"/>
    <w:rsid w:val="00500F7E"/>
    <w:rsid w:val="005014F4"/>
    <w:rsid w:val="0050180D"/>
    <w:rsid w:val="005028F4"/>
    <w:rsid w:val="00502D1B"/>
    <w:rsid w:val="00504C29"/>
    <w:rsid w:val="00511467"/>
    <w:rsid w:val="00511A47"/>
    <w:rsid w:val="00512990"/>
    <w:rsid w:val="00514AB4"/>
    <w:rsid w:val="00515EC0"/>
    <w:rsid w:val="00517CB0"/>
    <w:rsid w:val="00520A9E"/>
    <w:rsid w:val="00521FC9"/>
    <w:rsid w:val="00522B02"/>
    <w:rsid w:val="0052450C"/>
    <w:rsid w:val="005277ED"/>
    <w:rsid w:val="00531B86"/>
    <w:rsid w:val="005321CD"/>
    <w:rsid w:val="005353EF"/>
    <w:rsid w:val="00535DA8"/>
    <w:rsid w:val="005369ED"/>
    <w:rsid w:val="005377AA"/>
    <w:rsid w:val="005417AE"/>
    <w:rsid w:val="00543A80"/>
    <w:rsid w:val="00543BA4"/>
    <w:rsid w:val="00544238"/>
    <w:rsid w:val="00553850"/>
    <w:rsid w:val="0055730A"/>
    <w:rsid w:val="005607A9"/>
    <w:rsid w:val="005663B7"/>
    <w:rsid w:val="00566EAC"/>
    <w:rsid w:val="00572084"/>
    <w:rsid w:val="00573931"/>
    <w:rsid w:val="00573CEA"/>
    <w:rsid w:val="0057556D"/>
    <w:rsid w:val="0057740D"/>
    <w:rsid w:val="00577A74"/>
    <w:rsid w:val="00582E85"/>
    <w:rsid w:val="00583A8C"/>
    <w:rsid w:val="005840C6"/>
    <w:rsid w:val="0058490C"/>
    <w:rsid w:val="0058542A"/>
    <w:rsid w:val="00587931"/>
    <w:rsid w:val="0059048E"/>
    <w:rsid w:val="005938CE"/>
    <w:rsid w:val="00593CB6"/>
    <w:rsid w:val="00596F5C"/>
    <w:rsid w:val="005971C3"/>
    <w:rsid w:val="00597BD6"/>
    <w:rsid w:val="005A1B2D"/>
    <w:rsid w:val="005A2C27"/>
    <w:rsid w:val="005A2EE0"/>
    <w:rsid w:val="005A4DD5"/>
    <w:rsid w:val="005A7E06"/>
    <w:rsid w:val="005C19E3"/>
    <w:rsid w:val="005C1D49"/>
    <w:rsid w:val="005C4267"/>
    <w:rsid w:val="005C5A67"/>
    <w:rsid w:val="005C744E"/>
    <w:rsid w:val="005D3150"/>
    <w:rsid w:val="005D59D4"/>
    <w:rsid w:val="005E014B"/>
    <w:rsid w:val="005E4DAD"/>
    <w:rsid w:val="005E59EE"/>
    <w:rsid w:val="005E67B4"/>
    <w:rsid w:val="005F0866"/>
    <w:rsid w:val="005F219D"/>
    <w:rsid w:val="005F39EB"/>
    <w:rsid w:val="005F7529"/>
    <w:rsid w:val="00602F70"/>
    <w:rsid w:val="006030F7"/>
    <w:rsid w:val="006038D4"/>
    <w:rsid w:val="00603953"/>
    <w:rsid w:val="00603AA3"/>
    <w:rsid w:val="00613D50"/>
    <w:rsid w:val="00614CA7"/>
    <w:rsid w:val="00614FF1"/>
    <w:rsid w:val="0061653D"/>
    <w:rsid w:val="00625A04"/>
    <w:rsid w:val="006308EB"/>
    <w:rsid w:val="0063486D"/>
    <w:rsid w:val="006358CB"/>
    <w:rsid w:val="00640471"/>
    <w:rsid w:val="00640E68"/>
    <w:rsid w:val="00641C03"/>
    <w:rsid w:val="00643F32"/>
    <w:rsid w:val="00645630"/>
    <w:rsid w:val="0064746D"/>
    <w:rsid w:val="00647E2B"/>
    <w:rsid w:val="006515AF"/>
    <w:rsid w:val="00652DEA"/>
    <w:rsid w:val="00655051"/>
    <w:rsid w:val="00655722"/>
    <w:rsid w:val="00656555"/>
    <w:rsid w:val="00660089"/>
    <w:rsid w:val="00660F73"/>
    <w:rsid w:val="00661370"/>
    <w:rsid w:val="00663850"/>
    <w:rsid w:val="006640E0"/>
    <w:rsid w:val="00665513"/>
    <w:rsid w:val="006723B1"/>
    <w:rsid w:val="0067293A"/>
    <w:rsid w:val="006733CF"/>
    <w:rsid w:val="00674DBC"/>
    <w:rsid w:val="00684FFF"/>
    <w:rsid w:val="006861FD"/>
    <w:rsid w:val="006911C4"/>
    <w:rsid w:val="0069454D"/>
    <w:rsid w:val="00695203"/>
    <w:rsid w:val="00695B93"/>
    <w:rsid w:val="00695D3E"/>
    <w:rsid w:val="00697D72"/>
    <w:rsid w:val="006A3970"/>
    <w:rsid w:val="006A4908"/>
    <w:rsid w:val="006A7D8B"/>
    <w:rsid w:val="006B03AB"/>
    <w:rsid w:val="006B5433"/>
    <w:rsid w:val="006B583D"/>
    <w:rsid w:val="006B763D"/>
    <w:rsid w:val="006C0A80"/>
    <w:rsid w:val="006C10ED"/>
    <w:rsid w:val="006C6C53"/>
    <w:rsid w:val="006D1362"/>
    <w:rsid w:val="006D2C8D"/>
    <w:rsid w:val="006D2D35"/>
    <w:rsid w:val="006D4CCC"/>
    <w:rsid w:val="006E035D"/>
    <w:rsid w:val="006E09F6"/>
    <w:rsid w:val="006E1DE9"/>
    <w:rsid w:val="006E2F4E"/>
    <w:rsid w:val="006E37BE"/>
    <w:rsid w:val="006E39F9"/>
    <w:rsid w:val="006E4C01"/>
    <w:rsid w:val="006E6A91"/>
    <w:rsid w:val="006E6D8D"/>
    <w:rsid w:val="006F1B59"/>
    <w:rsid w:val="006F2B9E"/>
    <w:rsid w:val="006F336E"/>
    <w:rsid w:val="006F4BDB"/>
    <w:rsid w:val="006F53C9"/>
    <w:rsid w:val="006F5F19"/>
    <w:rsid w:val="006F5FC3"/>
    <w:rsid w:val="006F673D"/>
    <w:rsid w:val="006F691D"/>
    <w:rsid w:val="007022BA"/>
    <w:rsid w:val="007046C1"/>
    <w:rsid w:val="00711170"/>
    <w:rsid w:val="00711B13"/>
    <w:rsid w:val="00711EA4"/>
    <w:rsid w:val="00716191"/>
    <w:rsid w:val="007165EE"/>
    <w:rsid w:val="0072161B"/>
    <w:rsid w:val="00723E3B"/>
    <w:rsid w:val="007248A3"/>
    <w:rsid w:val="00725BB7"/>
    <w:rsid w:val="007270AC"/>
    <w:rsid w:val="00727117"/>
    <w:rsid w:val="007302A1"/>
    <w:rsid w:val="00731983"/>
    <w:rsid w:val="00732076"/>
    <w:rsid w:val="00733C1F"/>
    <w:rsid w:val="0073701A"/>
    <w:rsid w:val="00741E9C"/>
    <w:rsid w:val="007547EF"/>
    <w:rsid w:val="0075531F"/>
    <w:rsid w:val="00756194"/>
    <w:rsid w:val="007570F5"/>
    <w:rsid w:val="007604A0"/>
    <w:rsid w:val="00760A71"/>
    <w:rsid w:val="00761795"/>
    <w:rsid w:val="007632F5"/>
    <w:rsid w:val="00766D8C"/>
    <w:rsid w:val="00775194"/>
    <w:rsid w:val="0077731B"/>
    <w:rsid w:val="007812FA"/>
    <w:rsid w:val="00784C28"/>
    <w:rsid w:val="00785BDA"/>
    <w:rsid w:val="0079103A"/>
    <w:rsid w:val="00796BD0"/>
    <w:rsid w:val="007A04E9"/>
    <w:rsid w:val="007A06CB"/>
    <w:rsid w:val="007A130B"/>
    <w:rsid w:val="007A1E02"/>
    <w:rsid w:val="007A32EC"/>
    <w:rsid w:val="007A4D71"/>
    <w:rsid w:val="007A6029"/>
    <w:rsid w:val="007A7CFE"/>
    <w:rsid w:val="007B0DFA"/>
    <w:rsid w:val="007B0F55"/>
    <w:rsid w:val="007B0FBB"/>
    <w:rsid w:val="007B3974"/>
    <w:rsid w:val="007B4AFF"/>
    <w:rsid w:val="007C38CE"/>
    <w:rsid w:val="007C5A2F"/>
    <w:rsid w:val="007C5CE6"/>
    <w:rsid w:val="007C7D52"/>
    <w:rsid w:val="007D0B44"/>
    <w:rsid w:val="007E0247"/>
    <w:rsid w:val="007E137A"/>
    <w:rsid w:val="007E20F0"/>
    <w:rsid w:val="007E308C"/>
    <w:rsid w:val="007E328C"/>
    <w:rsid w:val="007E4918"/>
    <w:rsid w:val="007E5B4F"/>
    <w:rsid w:val="007E5DF9"/>
    <w:rsid w:val="007F05D2"/>
    <w:rsid w:val="007F2DAC"/>
    <w:rsid w:val="007F4A31"/>
    <w:rsid w:val="008053EE"/>
    <w:rsid w:val="00805DA7"/>
    <w:rsid w:val="0081228D"/>
    <w:rsid w:val="00813558"/>
    <w:rsid w:val="0081732B"/>
    <w:rsid w:val="00820D59"/>
    <w:rsid w:val="00821AC3"/>
    <w:rsid w:val="00824476"/>
    <w:rsid w:val="008279B5"/>
    <w:rsid w:val="00831A5C"/>
    <w:rsid w:val="008333CA"/>
    <w:rsid w:val="00835AED"/>
    <w:rsid w:val="00837D1C"/>
    <w:rsid w:val="0084113C"/>
    <w:rsid w:val="00841575"/>
    <w:rsid w:val="00843C8B"/>
    <w:rsid w:val="00847264"/>
    <w:rsid w:val="0085117C"/>
    <w:rsid w:val="00851321"/>
    <w:rsid w:val="00853701"/>
    <w:rsid w:val="00853FE4"/>
    <w:rsid w:val="008559B3"/>
    <w:rsid w:val="00860BBC"/>
    <w:rsid w:val="00862825"/>
    <w:rsid w:val="00865104"/>
    <w:rsid w:val="00866765"/>
    <w:rsid w:val="00870551"/>
    <w:rsid w:val="00874152"/>
    <w:rsid w:val="00874C32"/>
    <w:rsid w:val="00875162"/>
    <w:rsid w:val="00880464"/>
    <w:rsid w:val="0088080F"/>
    <w:rsid w:val="00880FCF"/>
    <w:rsid w:val="00881E61"/>
    <w:rsid w:val="00882E4B"/>
    <w:rsid w:val="00884D72"/>
    <w:rsid w:val="00885B7D"/>
    <w:rsid w:val="00885BC3"/>
    <w:rsid w:val="00887388"/>
    <w:rsid w:val="00890498"/>
    <w:rsid w:val="00890EB7"/>
    <w:rsid w:val="00891380"/>
    <w:rsid w:val="008938FC"/>
    <w:rsid w:val="008939EA"/>
    <w:rsid w:val="00895060"/>
    <w:rsid w:val="00897D68"/>
    <w:rsid w:val="008A09B7"/>
    <w:rsid w:val="008A2A53"/>
    <w:rsid w:val="008A3B5F"/>
    <w:rsid w:val="008A5CC7"/>
    <w:rsid w:val="008A6350"/>
    <w:rsid w:val="008A6745"/>
    <w:rsid w:val="008A69EB"/>
    <w:rsid w:val="008A7ABE"/>
    <w:rsid w:val="008A7F30"/>
    <w:rsid w:val="008B2863"/>
    <w:rsid w:val="008B375F"/>
    <w:rsid w:val="008B40DB"/>
    <w:rsid w:val="008B50E3"/>
    <w:rsid w:val="008B5FE0"/>
    <w:rsid w:val="008C00D8"/>
    <w:rsid w:val="008C1FC7"/>
    <w:rsid w:val="008C2883"/>
    <w:rsid w:val="008C3142"/>
    <w:rsid w:val="008C63FE"/>
    <w:rsid w:val="008D1AE2"/>
    <w:rsid w:val="008D1E0C"/>
    <w:rsid w:val="008D3EF9"/>
    <w:rsid w:val="008D668B"/>
    <w:rsid w:val="008E093B"/>
    <w:rsid w:val="008E6267"/>
    <w:rsid w:val="008F350C"/>
    <w:rsid w:val="008F6426"/>
    <w:rsid w:val="008F6B3E"/>
    <w:rsid w:val="009022DB"/>
    <w:rsid w:val="009046D9"/>
    <w:rsid w:val="00907327"/>
    <w:rsid w:val="00911297"/>
    <w:rsid w:val="00911647"/>
    <w:rsid w:val="009128CB"/>
    <w:rsid w:val="00914C00"/>
    <w:rsid w:val="009174B8"/>
    <w:rsid w:val="00917B09"/>
    <w:rsid w:val="00925205"/>
    <w:rsid w:val="00927B0C"/>
    <w:rsid w:val="00930BB4"/>
    <w:rsid w:val="00932188"/>
    <w:rsid w:val="009323F1"/>
    <w:rsid w:val="0093331E"/>
    <w:rsid w:val="00933BEE"/>
    <w:rsid w:val="00936BF3"/>
    <w:rsid w:val="00942716"/>
    <w:rsid w:val="0094332E"/>
    <w:rsid w:val="0094343E"/>
    <w:rsid w:val="00943BE7"/>
    <w:rsid w:val="009449EA"/>
    <w:rsid w:val="00946229"/>
    <w:rsid w:val="00953FCB"/>
    <w:rsid w:val="00954186"/>
    <w:rsid w:val="00957840"/>
    <w:rsid w:val="00962222"/>
    <w:rsid w:val="00964671"/>
    <w:rsid w:val="00964F38"/>
    <w:rsid w:val="009663EA"/>
    <w:rsid w:val="009667F1"/>
    <w:rsid w:val="00967A1C"/>
    <w:rsid w:val="00967C70"/>
    <w:rsid w:val="00967ED5"/>
    <w:rsid w:val="009715A4"/>
    <w:rsid w:val="009756A3"/>
    <w:rsid w:val="00977043"/>
    <w:rsid w:val="00981ADD"/>
    <w:rsid w:val="00982679"/>
    <w:rsid w:val="00982C12"/>
    <w:rsid w:val="00985016"/>
    <w:rsid w:val="009861BB"/>
    <w:rsid w:val="00990F5A"/>
    <w:rsid w:val="009928F0"/>
    <w:rsid w:val="0099708D"/>
    <w:rsid w:val="009A0DB5"/>
    <w:rsid w:val="009A2B9F"/>
    <w:rsid w:val="009A2E43"/>
    <w:rsid w:val="009A3007"/>
    <w:rsid w:val="009A492A"/>
    <w:rsid w:val="009A62AE"/>
    <w:rsid w:val="009B159E"/>
    <w:rsid w:val="009B1C23"/>
    <w:rsid w:val="009B4C6A"/>
    <w:rsid w:val="009B7231"/>
    <w:rsid w:val="009B7494"/>
    <w:rsid w:val="009B7C46"/>
    <w:rsid w:val="009C07DF"/>
    <w:rsid w:val="009C31C6"/>
    <w:rsid w:val="009C3F5C"/>
    <w:rsid w:val="009C50D4"/>
    <w:rsid w:val="009C5AE9"/>
    <w:rsid w:val="009C5B9B"/>
    <w:rsid w:val="009C6170"/>
    <w:rsid w:val="009C7F9A"/>
    <w:rsid w:val="009D1A35"/>
    <w:rsid w:val="009D1A8D"/>
    <w:rsid w:val="009D27F7"/>
    <w:rsid w:val="009D380F"/>
    <w:rsid w:val="009D4215"/>
    <w:rsid w:val="009D4A89"/>
    <w:rsid w:val="009D5C22"/>
    <w:rsid w:val="009D6F4F"/>
    <w:rsid w:val="009E5E49"/>
    <w:rsid w:val="009E7CE2"/>
    <w:rsid w:val="009F071D"/>
    <w:rsid w:val="00A00841"/>
    <w:rsid w:val="00A0340B"/>
    <w:rsid w:val="00A049F0"/>
    <w:rsid w:val="00A06325"/>
    <w:rsid w:val="00A12AE1"/>
    <w:rsid w:val="00A13A33"/>
    <w:rsid w:val="00A14293"/>
    <w:rsid w:val="00A1481D"/>
    <w:rsid w:val="00A17F1F"/>
    <w:rsid w:val="00A24C5B"/>
    <w:rsid w:val="00A254B3"/>
    <w:rsid w:val="00A3065A"/>
    <w:rsid w:val="00A31170"/>
    <w:rsid w:val="00A32505"/>
    <w:rsid w:val="00A33BA3"/>
    <w:rsid w:val="00A34DE4"/>
    <w:rsid w:val="00A36331"/>
    <w:rsid w:val="00A438FA"/>
    <w:rsid w:val="00A44388"/>
    <w:rsid w:val="00A456FA"/>
    <w:rsid w:val="00A46AB2"/>
    <w:rsid w:val="00A50902"/>
    <w:rsid w:val="00A5291A"/>
    <w:rsid w:val="00A53310"/>
    <w:rsid w:val="00A57F05"/>
    <w:rsid w:val="00A62454"/>
    <w:rsid w:val="00A639F0"/>
    <w:rsid w:val="00A66D95"/>
    <w:rsid w:val="00A707AB"/>
    <w:rsid w:val="00A736D5"/>
    <w:rsid w:val="00A763D0"/>
    <w:rsid w:val="00A81E28"/>
    <w:rsid w:val="00A8389B"/>
    <w:rsid w:val="00A8423B"/>
    <w:rsid w:val="00A84D4F"/>
    <w:rsid w:val="00A875E2"/>
    <w:rsid w:val="00A913F1"/>
    <w:rsid w:val="00A94F21"/>
    <w:rsid w:val="00A95258"/>
    <w:rsid w:val="00A9749F"/>
    <w:rsid w:val="00AA20C8"/>
    <w:rsid w:val="00AA21A4"/>
    <w:rsid w:val="00AA33D1"/>
    <w:rsid w:val="00AA3FE2"/>
    <w:rsid w:val="00AA4700"/>
    <w:rsid w:val="00AA7702"/>
    <w:rsid w:val="00AB0FA2"/>
    <w:rsid w:val="00AB371C"/>
    <w:rsid w:val="00AC12F3"/>
    <w:rsid w:val="00AC2349"/>
    <w:rsid w:val="00AC4573"/>
    <w:rsid w:val="00AC4990"/>
    <w:rsid w:val="00AC6CEC"/>
    <w:rsid w:val="00AC6EAF"/>
    <w:rsid w:val="00AD50AB"/>
    <w:rsid w:val="00AD5A37"/>
    <w:rsid w:val="00AD6E39"/>
    <w:rsid w:val="00AD719F"/>
    <w:rsid w:val="00AF38A6"/>
    <w:rsid w:val="00AF3F37"/>
    <w:rsid w:val="00AF56C7"/>
    <w:rsid w:val="00AF6062"/>
    <w:rsid w:val="00B0011E"/>
    <w:rsid w:val="00B013C3"/>
    <w:rsid w:val="00B0256D"/>
    <w:rsid w:val="00B03988"/>
    <w:rsid w:val="00B125D9"/>
    <w:rsid w:val="00B1664E"/>
    <w:rsid w:val="00B1763C"/>
    <w:rsid w:val="00B2434A"/>
    <w:rsid w:val="00B256DB"/>
    <w:rsid w:val="00B2676A"/>
    <w:rsid w:val="00B30C01"/>
    <w:rsid w:val="00B315D4"/>
    <w:rsid w:val="00B3389D"/>
    <w:rsid w:val="00B33C8E"/>
    <w:rsid w:val="00B354BC"/>
    <w:rsid w:val="00B36E4F"/>
    <w:rsid w:val="00B4493E"/>
    <w:rsid w:val="00B4597C"/>
    <w:rsid w:val="00B52262"/>
    <w:rsid w:val="00B53361"/>
    <w:rsid w:val="00B5602D"/>
    <w:rsid w:val="00B5617D"/>
    <w:rsid w:val="00B56509"/>
    <w:rsid w:val="00B56A4D"/>
    <w:rsid w:val="00B600D1"/>
    <w:rsid w:val="00B602D4"/>
    <w:rsid w:val="00B63CD7"/>
    <w:rsid w:val="00B72765"/>
    <w:rsid w:val="00B73601"/>
    <w:rsid w:val="00B74F7F"/>
    <w:rsid w:val="00B77467"/>
    <w:rsid w:val="00B853EE"/>
    <w:rsid w:val="00B86826"/>
    <w:rsid w:val="00B95867"/>
    <w:rsid w:val="00B9667F"/>
    <w:rsid w:val="00BA0B78"/>
    <w:rsid w:val="00BA1AD3"/>
    <w:rsid w:val="00BA452B"/>
    <w:rsid w:val="00BA67F8"/>
    <w:rsid w:val="00BB3131"/>
    <w:rsid w:val="00BB3C30"/>
    <w:rsid w:val="00BB4732"/>
    <w:rsid w:val="00BB6668"/>
    <w:rsid w:val="00BB6C0F"/>
    <w:rsid w:val="00BC099C"/>
    <w:rsid w:val="00BC0D9B"/>
    <w:rsid w:val="00BC19FB"/>
    <w:rsid w:val="00BC1D9B"/>
    <w:rsid w:val="00BC349C"/>
    <w:rsid w:val="00BC36CA"/>
    <w:rsid w:val="00BC4196"/>
    <w:rsid w:val="00BC5445"/>
    <w:rsid w:val="00BC66CA"/>
    <w:rsid w:val="00BD0E6B"/>
    <w:rsid w:val="00BD3EE2"/>
    <w:rsid w:val="00BD4016"/>
    <w:rsid w:val="00BE03E7"/>
    <w:rsid w:val="00BE3A93"/>
    <w:rsid w:val="00BE41FA"/>
    <w:rsid w:val="00BE4D5A"/>
    <w:rsid w:val="00BE551E"/>
    <w:rsid w:val="00BF0F62"/>
    <w:rsid w:val="00BF2768"/>
    <w:rsid w:val="00BF570D"/>
    <w:rsid w:val="00BF5864"/>
    <w:rsid w:val="00C0120F"/>
    <w:rsid w:val="00C01655"/>
    <w:rsid w:val="00C01DB8"/>
    <w:rsid w:val="00C0224F"/>
    <w:rsid w:val="00C04EA0"/>
    <w:rsid w:val="00C066C4"/>
    <w:rsid w:val="00C06826"/>
    <w:rsid w:val="00C079A4"/>
    <w:rsid w:val="00C100E7"/>
    <w:rsid w:val="00C10120"/>
    <w:rsid w:val="00C13C92"/>
    <w:rsid w:val="00C16C39"/>
    <w:rsid w:val="00C215B0"/>
    <w:rsid w:val="00C23AF6"/>
    <w:rsid w:val="00C257D7"/>
    <w:rsid w:val="00C25A3F"/>
    <w:rsid w:val="00C26ED0"/>
    <w:rsid w:val="00C302BF"/>
    <w:rsid w:val="00C37446"/>
    <w:rsid w:val="00C40193"/>
    <w:rsid w:val="00C505FA"/>
    <w:rsid w:val="00C51EE8"/>
    <w:rsid w:val="00C522A5"/>
    <w:rsid w:val="00C55C68"/>
    <w:rsid w:val="00C571FA"/>
    <w:rsid w:val="00C5784F"/>
    <w:rsid w:val="00C57B63"/>
    <w:rsid w:val="00C61CEB"/>
    <w:rsid w:val="00C649E2"/>
    <w:rsid w:val="00C65EDD"/>
    <w:rsid w:val="00C665FC"/>
    <w:rsid w:val="00C71A40"/>
    <w:rsid w:val="00C71B5C"/>
    <w:rsid w:val="00C72AB6"/>
    <w:rsid w:val="00C764D9"/>
    <w:rsid w:val="00C764DF"/>
    <w:rsid w:val="00C77B3E"/>
    <w:rsid w:val="00C80AE6"/>
    <w:rsid w:val="00C80EA5"/>
    <w:rsid w:val="00C81F8D"/>
    <w:rsid w:val="00C828B3"/>
    <w:rsid w:val="00C83A74"/>
    <w:rsid w:val="00C848BB"/>
    <w:rsid w:val="00C85938"/>
    <w:rsid w:val="00C9055D"/>
    <w:rsid w:val="00C92F41"/>
    <w:rsid w:val="00C97F06"/>
    <w:rsid w:val="00CA2EC5"/>
    <w:rsid w:val="00CA301C"/>
    <w:rsid w:val="00CA348C"/>
    <w:rsid w:val="00CB0C33"/>
    <w:rsid w:val="00CB1528"/>
    <w:rsid w:val="00CB3390"/>
    <w:rsid w:val="00CB3AA8"/>
    <w:rsid w:val="00CB6FDB"/>
    <w:rsid w:val="00CC0B23"/>
    <w:rsid w:val="00CC3ED2"/>
    <w:rsid w:val="00CC401C"/>
    <w:rsid w:val="00CC6717"/>
    <w:rsid w:val="00CD1EFF"/>
    <w:rsid w:val="00CD724B"/>
    <w:rsid w:val="00CD7A0A"/>
    <w:rsid w:val="00CE0EE0"/>
    <w:rsid w:val="00CE23C4"/>
    <w:rsid w:val="00CF1B44"/>
    <w:rsid w:val="00CF2FE4"/>
    <w:rsid w:val="00CF612C"/>
    <w:rsid w:val="00CF7884"/>
    <w:rsid w:val="00D056E0"/>
    <w:rsid w:val="00D0745E"/>
    <w:rsid w:val="00D139E6"/>
    <w:rsid w:val="00D14875"/>
    <w:rsid w:val="00D15F91"/>
    <w:rsid w:val="00D171EE"/>
    <w:rsid w:val="00D1765A"/>
    <w:rsid w:val="00D21B0B"/>
    <w:rsid w:val="00D22541"/>
    <w:rsid w:val="00D24346"/>
    <w:rsid w:val="00D24D12"/>
    <w:rsid w:val="00D26131"/>
    <w:rsid w:val="00D26642"/>
    <w:rsid w:val="00D27EA6"/>
    <w:rsid w:val="00D31896"/>
    <w:rsid w:val="00D336E4"/>
    <w:rsid w:val="00D3488E"/>
    <w:rsid w:val="00D36AD3"/>
    <w:rsid w:val="00D40FF7"/>
    <w:rsid w:val="00D423F0"/>
    <w:rsid w:val="00D4401C"/>
    <w:rsid w:val="00D44383"/>
    <w:rsid w:val="00D44AA2"/>
    <w:rsid w:val="00D50A66"/>
    <w:rsid w:val="00D51E05"/>
    <w:rsid w:val="00D53B80"/>
    <w:rsid w:val="00D53EA4"/>
    <w:rsid w:val="00D57C61"/>
    <w:rsid w:val="00D60E57"/>
    <w:rsid w:val="00D61B49"/>
    <w:rsid w:val="00D6209D"/>
    <w:rsid w:val="00D626D7"/>
    <w:rsid w:val="00D64B94"/>
    <w:rsid w:val="00D74147"/>
    <w:rsid w:val="00D744ED"/>
    <w:rsid w:val="00D7694F"/>
    <w:rsid w:val="00D76D10"/>
    <w:rsid w:val="00D84FA4"/>
    <w:rsid w:val="00D8682E"/>
    <w:rsid w:val="00D92F83"/>
    <w:rsid w:val="00D933AF"/>
    <w:rsid w:val="00D93808"/>
    <w:rsid w:val="00D944D0"/>
    <w:rsid w:val="00DA1015"/>
    <w:rsid w:val="00DA3907"/>
    <w:rsid w:val="00DA5A64"/>
    <w:rsid w:val="00DA5BE6"/>
    <w:rsid w:val="00DA71E9"/>
    <w:rsid w:val="00DA78C1"/>
    <w:rsid w:val="00DB2FC0"/>
    <w:rsid w:val="00DB6130"/>
    <w:rsid w:val="00DB78C9"/>
    <w:rsid w:val="00DC0760"/>
    <w:rsid w:val="00DC0CD3"/>
    <w:rsid w:val="00DC14F9"/>
    <w:rsid w:val="00DC2E31"/>
    <w:rsid w:val="00DC2F1A"/>
    <w:rsid w:val="00DC35E7"/>
    <w:rsid w:val="00DC5D4E"/>
    <w:rsid w:val="00DC648D"/>
    <w:rsid w:val="00DD08A3"/>
    <w:rsid w:val="00DD134C"/>
    <w:rsid w:val="00DD28A2"/>
    <w:rsid w:val="00DD391E"/>
    <w:rsid w:val="00DD57CB"/>
    <w:rsid w:val="00DE11CB"/>
    <w:rsid w:val="00DE3B58"/>
    <w:rsid w:val="00DE402D"/>
    <w:rsid w:val="00DE4E03"/>
    <w:rsid w:val="00DE56B4"/>
    <w:rsid w:val="00DE645F"/>
    <w:rsid w:val="00DE7BA9"/>
    <w:rsid w:val="00DE7BEE"/>
    <w:rsid w:val="00DF3EF2"/>
    <w:rsid w:val="00DF5E11"/>
    <w:rsid w:val="00DF6BAB"/>
    <w:rsid w:val="00DF7E82"/>
    <w:rsid w:val="00E01E03"/>
    <w:rsid w:val="00E02AC2"/>
    <w:rsid w:val="00E02D23"/>
    <w:rsid w:val="00E05F63"/>
    <w:rsid w:val="00E0701D"/>
    <w:rsid w:val="00E1078B"/>
    <w:rsid w:val="00E114E1"/>
    <w:rsid w:val="00E11EFA"/>
    <w:rsid w:val="00E12753"/>
    <w:rsid w:val="00E13C5B"/>
    <w:rsid w:val="00E14F1F"/>
    <w:rsid w:val="00E20BEC"/>
    <w:rsid w:val="00E23533"/>
    <w:rsid w:val="00E24DA8"/>
    <w:rsid w:val="00E2691A"/>
    <w:rsid w:val="00E314C2"/>
    <w:rsid w:val="00E31D5E"/>
    <w:rsid w:val="00E32557"/>
    <w:rsid w:val="00E36591"/>
    <w:rsid w:val="00E3661C"/>
    <w:rsid w:val="00E41625"/>
    <w:rsid w:val="00E44D25"/>
    <w:rsid w:val="00E44DC9"/>
    <w:rsid w:val="00E46239"/>
    <w:rsid w:val="00E46E50"/>
    <w:rsid w:val="00E474F0"/>
    <w:rsid w:val="00E47E68"/>
    <w:rsid w:val="00E50DEF"/>
    <w:rsid w:val="00E54D55"/>
    <w:rsid w:val="00E553E0"/>
    <w:rsid w:val="00E575CB"/>
    <w:rsid w:val="00E5761E"/>
    <w:rsid w:val="00E60D9F"/>
    <w:rsid w:val="00E610A3"/>
    <w:rsid w:val="00E64803"/>
    <w:rsid w:val="00E65BE9"/>
    <w:rsid w:val="00E6765D"/>
    <w:rsid w:val="00E707D3"/>
    <w:rsid w:val="00E72C24"/>
    <w:rsid w:val="00E72F5A"/>
    <w:rsid w:val="00E73CFF"/>
    <w:rsid w:val="00E74019"/>
    <w:rsid w:val="00E77B05"/>
    <w:rsid w:val="00E82329"/>
    <w:rsid w:val="00E924DF"/>
    <w:rsid w:val="00E93473"/>
    <w:rsid w:val="00E9422F"/>
    <w:rsid w:val="00EA0218"/>
    <w:rsid w:val="00EA04F3"/>
    <w:rsid w:val="00EA1C2B"/>
    <w:rsid w:val="00EA22F3"/>
    <w:rsid w:val="00EB13E1"/>
    <w:rsid w:val="00EB27C7"/>
    <w:rsid w:val="00EB5DC6"/>
    <w:rsid w:val="00EC273C"/>
    <w:rsid w:val="00EC422B"/>
    <w:rsid w:val="00EC53FB"/>
    <w:rsid w:val="00EC67FE"/>
    <w:rsid w:val="00ED028C"/>
    <w:rsid w:val="00ED0B9F"/>
    <w:rsid w:val="00ED16E2"/>
    <w:rsid w:val="00ED394B"/>
    <w:rsid w:val="00ED5EAA"/>
    <w:rsid w:val="00EE02A4"/>
    <w:rsid w:val="00EE055E"/>
    <w:rsid w:val="00EE2339"/>
    <w:rsid w:val="00EE35E1"/>
    <w:rsid w:val="00EE78B5"/>
    <w:rsid w:val="00EF2A7E"/>
    <w:rsid w:val="00EF3DA0"/>
    <w:rsid w:val="00EF6ADA"/>
    <w:rsid w:val="00EF7DB4"/>
    <w:rsid w:val="00F02C07"/>
    <w:rsid w:val="00F040E3"/>
    <w:rsid w:val="00F103C7"/>
    <w:rsid w:val="00F14BF0"/>
    <w:rsid w:val="00F17110"/>
    <w:rsid w:val="00F174E1"/>
    <w:rsid w:val="00F178DE"/>
    <w:rsid w:val="00F20C01"/>
    <w:rsid w:val="00F24FA2"/>
    <w:rsid w:val="00F2537F"/>
    <w:rsid w:val="00F274E4"/>
    <w:rsid w:val="00F30EF2"/>
    <w:rsid w:val="00F33888"/>
    <w:rsid w:val="00F34720"/>
    <w:rsid w:val="00F3690C"/>
    <w:rsid w:val="00F36C18"/>
    <w:rsid w:val="00F40A7F"/>
    <w:rsid w:val="00F41C28"/>
    <w:rsid w:val="00F43F08"/>
    <w:rsid w:val="00F44C37"/>
    <w:rsid w:val="00F45849"/>
    <w:rsid w:val="00F511F2"/>
    <w:rsid w:val="00F52916"/>
    <w:rsid w:val="00F533B8"/>
    <w:rsid w:val="00F5550B"/>
    <w:rsid w:val="00F57A6D"/>
    <w:rsid w:val="00F6094E"/>
    <w:rsid w:val="00F637AC"/>
    <w:rsid w:val="00F655CA"/>
    <w:rsid w:val="00F71FEB"/>
    <w:rsid w:val="00F740BE"/>
    <w:rsid w:val="00F74337"/>
    <w:rsid w:val="00F75036"/>
    <w:rsid w:val="00F7533C"/>
    <w:rsid w:val="00F77FBA"/>
    <w:rsid w:val="00F818EC"/>
    <w:rsid w:val="00F82529"/>
    <w:rsid w:val="00F84E98"/>
    <w:rsid w:val="00F85B4E"/>
    <w:rsid w:val="00F86B6E"/>
    <w:rsid w:val="00F91067"/>
    <w:rsid w:val="00F91221"/>
    <w:rsid w:val="00F913F0"/>
    <w:rsid w:val="00F928B3"/>
    <w:rsid w:val="00F94A19"/>
    <w:rsid w:val="00F96A62"/>
    <w:rsid w:val="00FA0312"/>
    <w:rsid w:val="00FA03CA"/>
    <w:rsid w:val="00FA3B20"/>
    <w:rsid w:val="00FA631C"/>
    <w:rsid w:val="00FB09DE"/>
    <w:rsid w:val="00FB17B9"/>
    <w:rsid w:val="00FB181D"/>
    <w:rsid w:val="00FB2606"/>
    <w:rsid w:val="00FB3BE0"/>
    <w:rsid w:val="00FB705E"/>
    <w:rsid w:val="00FB7952"/>
    <w:rsid w:val="00FB7BB1"/>
    <w:rsid w:val="00FC224F"/>
    <w:rsid w:val="00FC4EF0"/>
    <w:rsid w:val="00FD0EC0"/>
    <w:rsid w:val="00FD14B8"/>
    <w:rsid w:val="00FD1A98"/>
    <w:rsid w:val="00FD2B5F"/>
    <w:rsid w:val="00FD5F28"/>
    <w:rsid w:val="00FE21A7"/>
    <w:rsid w:val="00FE2DE8"/>
    <w:rsid w:val="00FE3DBD"/>
    <w:rsid w:val="00FE4415"/>
    <w:rsid w:val="00FE7DB9"/>
    <w:rsid w:val="00FF1FCC"/>
    <w:rsid w:val="00FF22BB"/>
    <w:rsid w:val="00FF6537"/>
    <w:rsid w:val="00FF68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8E2E1"/>
  <w15:docId w15:val="{61286702-8D71-42BE-BCE2-4399D39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87C0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87C0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311906/Iran_operational_guidance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1A49-D806-4847-9892-C57212F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43748</CharactersWithSpaces>
  <SharedDoc>false</SharedDoc>
  <HLinks>
    <vt:vector size="6" baseType="variant">
      <vt:variant>
        <vt:i4>20</vt:i4>
      </vt:variant>
      <vt:variant>
        <vt:i4>0</vt:i4>
      </vt:variant>
      <vt:variant>
        <vt:i4>0</vt:i4>
      </vt:variant>
      <vt:variant>
        <vt:i4>5</vt:i4>
      </vt:variant>
      <vt:variant>
        <vt:lpwstr>https://www.gov.uk/government/uploads/system/uploads/attachment_data/file/311906/Iran_operational_guidance_2012.pdf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2015-10-22T06:24:00Z</cp:lastPrinted>
  <dcterms:created xsi:type="dcterms:W3CDTF">2017-01-24T21:30:00Z</dcterms:created>
  <dcterms:modified xsi:type="dcterms:W3CDTF">2017-01-24T21:30:00Z</dcterms:modified>
</cp:coreProperties>
</file>