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page" w:tblpX="1134" w:tblpY="284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65C15" w:rsidTr="00CA1AEA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5C15" w:rsidRDefault="00165C15" w:rsidP="00CA1AEA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65C15" w:rsidRPr="00B97172" w:rsidRDefault="00165C15" w:rsidP="00CA1AEA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</w:t>
            </w:r>
            <w:r w:rsidR="00211D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165C15" w:rsidRPr="00D47EEA" w:rsidRDefault="007808C6" w:rsidP="007808C6">
            <w:pPr>
              <w:suppressAutoHyphens w:val="0"/>
              <w:spacing w:after="20"/>
              <w:jc w:val="right"/>
            </w:pPr>
            <w:r w:rsidRPr="007808C6">
              <w:rPr>
                <w:sz w:val="40"/>
              </w:rPr>
              <w:t>CCPR</w:t>
            </w:r>
            <w:r>
              <w:t>/C/120/D/2470/2014</w:t>
            </w:r>
          </w:p>
        </w:tc>
      </w:tr>
      <w:tr w:rsidR="00165C15" w:rsidTr="00CA1AEA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165C15" w:rsidRDefault="00165C15" w:rsidP="00CA1AEA">
            <w:pPr>
              <w:spacing w:before="120"/>
            </w:pPr>
            <w:r>
              <w:rPr>
                <w:noProof/>
                <w:lang w:val="en-US"/>
              </w:rPr>
              <w:drawing>
                <wp:inline distT="0" distB="0" distL="0" distR="0" wp14:anchorId="1F469E40" wp14:editId="7331C9C0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65C15" w:rsidRPr="00267F5F" w:rsidRDefault="00165C15" w:rsidP="00CA1AEA">
            <w:pPr>
              <w:spacing w:before="120" w:line="380" w:lineRule="exact"/>
              <w:rPr>
                <w:sz w:val="34"/>
              </w:rPr>
            </w:pPr>
            <w:r w:rsidRPr="00267F5F">
              <w:rPr>
                <w:b/>
                <w:sz w:val="34"/>
                <w:szCs w:val="40"/>
              </w:rPr>
              <w:t>International</w:t>
            </w:r>
            <w:r w:rsidR="00211D29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Covenant</w:t>
            </w:r>
            <w:r w:rsidR="00211D29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on</w:t>
            </w:r>
            <w:r>
              <w:rPr>
                <w:b/>
                <w:sz w:val="34"/>
                <w:szCs w:val="40"/>
              </w:rPr>
              <w:br/>
              <w:t>Civil</w:t>
            </w:r>
            <w:r w:rsidR="00211D29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and</w:t>
            </w:r>
            <w:r w:rsidR="00211D29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Political</w:t>
            </w:r>
            <w:r w:rsidR="00211D29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R</w:t>
            </w:r>
            <w:r w:rsidRPr="00267F5F">
              <w:rPr>
                <w:b/>
                <w:sz w:val="34"/>
                <w:szCs w:val="40"/>
              </w:rPr>
              <w:t>ights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165C15" w:rsidRDefault="007808C6" w:rsidP="007808C6">
            <w:pPr>
              <w:suppressAutoHyphens w:val="0"/>
              <w:spacing w:before="240" w:line="240" w:lineRule="exact"/>
            </w:pPr>
            <w:r>
              <w:t>Distr.:</w:t>
            </w:r>
            <w:r w:rsidR="00211D29">
              <w:t xml:space="preserve"> </w:t>
            </w:r>
            <w:r>
              <w:t>General</w:t>
            </w:r>
          </w:p>
          <w:p w:rsidR="007808C6" w:rsidRDefault="00A572C6" w:rsidP="007808C6">
            <w:pPr>
              <w:suppressAutoHyphens w:val="0"/>
            </w:pPr>
            <w:r>
              <w:t>9</w:t>
            </w:r>
            <w:r w:rsidR="00211D29">
              <w:t xml:space="preserve"> </w:t>
            </w:r>
            <w:r w:rsidR="007808C6">
              <w:t>October</w:t>
            </w:r>
            <w:r w:rsidR="00211D29">
              <w:t xml:space="preserve"> </w:t>
            </w:r>
            <w:r w:rsidR="007808C6">
              <w:t>2017</w:t>
            </w:r>
          </w:p>
          <w:p w:rsidR="007808C6" w:rsidRDefault="007808C6" w:rsidP="007808C6">
            <w:pPr>
              <w:suppressAutoHyphens w:val="0"/>
            </w:pPr>
          </w:p>
          <w:p w:rsidR="007808C6" w:rsidRDefault="007808C6" w:rsidP="007808C6">
            <w:pPr>
              <w:suppressAutoHyphens w:val="0"/>
            </w:pPr>
            <w:r>
              <w:t>Original:</w:t>
            </w:r>
            <w:r w:rsidR="00211D29">
              <w:t xml:space="preserve"> </w:t>
            </w:r>
            <w:r>
              <w:t>English</w:t>
            </w:r>
          </w:p>
        </w:tc>
      </w:tr>
    </w:tbl>
    <w:p w:rsidR="00B66C66" w:rsidRPr="008141DE" w:rsidRDefault="00B66C66" w:rsidP="00B66C66">
      <w:pPr>
        <w:spacing w:before="120"/>
        <w:rPr>
          <w:b/>
          <w:sz w:val="24"/>
          <w:szCs w:val="24"/>
        </w:rPr>
      </w:pPr>
      <w:r w:rsidRPr="008141DE">
        <w:rPr>
          <w:b/>
          <w:sz w:val="24"/>
          <w:szCs w:val="24"/>
        </w:rPr>
        <w:t>Human</w:t>
      </w:r>
      <w:r w:rsidR="00211D29">
        <w:rPr>
          <w:b/>
          <w:sz w:val="24"/>
          <w:szCs w:val="24"/>
        </w:rPr>
        <w:t xml:space="preserve"> </w:t>
      </w:r>
      <w:r w:rsidRPr="008141DE">
        <w:rPr>
          <w:b/>
          <w:sz w:val="24"/>
          <w:szCs w:val="24"/>
        </w:rPr>
        <w:t>Rights</w:t>
      </w:r>
      <w:r w:rsidR="00211D29">
        <w:rPr>
          <w:b/>
          <w:sz w:val="24"/>
          <w:szCs w:val="24"/>
        </w:rPr>
        <w:t xml:space="preserve"> </w:t>
      </w:r>
      <w:r w:rsidRPr="008141DE">
        <w:rPr>
          <w:b/>
          <w:sz w:val="24"/>
          <w:szCs w:val="24"/>
        </w:rPr>
        <w:t>Committee</w:t>
      </w:r>
    </w:p>
    <w:p w:rsidR="00B66C66" w:rsidRPr="0083704F" w:rsidRDefault="00B66C66" w:rsidP="00400652">
      <w:pPr>
        <w:pStyle w:val="HChG"/>
        <w:rPr>
          <w:b w:val="0"/>
        </w:rPr>
      </w:pPr>
      <w:r w:rsidRPr="0047574D">
        <w:tab/>
      </w:r>
      <w:r w:rsidRPr="0047574D">
        <w:tab/>
      </w:r>
      <w:r w:rsidRPr="00400652">
        <w:rPr>
          <w:rFonts w:eastAsiaTheme="minorEastAsia"/>
          <w:lang w:eastAsia="zh-CN"/>
        </w:rPr>
        <w:t>Views</w:t>
      </w:r>
      <w:r w:rsidR="00211D29">
        <w:t xml:space="preserve"> </w:t>
      </w:r>
      <w:r w:rsidRPr="0047574D">
        <w:t>adopted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5</w:t>
      </w:r>
      <w:r w:rsidR="00211D29">
        <w:t xml:space="preserve"> </w:t>
      </w:r>
      <w:r w:rsidRPr="0047574D">
        <w:t>(4)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Optional</w:t>
      </w:r>
      <w:r w:rsidR="00211D29">
        <w:t xml:space="preserve"> </w:t>
      </w:r>
      <w:r w:rsidRPr="0047574D">
        <w:t>Protocol,</w:t>
      </w:r>
      <w:r w:rsidR="00211D29">
        <w:t xml:space="preserve"> </w:t>
      </w:r>
      <w:r w:rsidRPr="0047574D">
        <w:t>concerning</w:t>
      </w:r>
      <w:r w:rsidR="00211D29">
        <w:t xml:space="preserve"> </w:t>
      </w:r>
      <w:r w:rsidRPr="0047574D">
        <w:t>communication</w:t>
      </w:r>
      <w:r w:rsidR="00211D29">
        <w:t xml:space="preserve"> </w:t>
      </w:r>
      <w:r w:rsidRPr="0047574D">
        <w:t>No.</w:t>
      </w:r>
      <w:r w:rsidR="00211D29">
        <w:t xml:space="preserve"> </w:t>
      </w:r>
      <w:r w:rsidRPr="0047574D">
        <w:t>2470/2014</w:t>
      </w:r>
      <w:r w:rsidR="00400652" w:rsidRPr="0083704F">
        <w:rPr>
          <w:rFonts w:eastAsiaTheme="minorHAnsi"/>
          <w:b w:val="0"/>
          <w:sz w:val="20"/>
        </w:rPr>
        <w:footnoteReference w:customMarkFollows="1" w:id="1"/>
        <w:t>*</w:t>
      </w:r>
      <w:r w:rsidRPr="0083704F">
        <w:rPr>
          <w:b w:val="0"/>
          <w:position w:val="8"/>
          <w:sz w:val="20"/>
        </w:rPr>
        <w:t>,</w:t>
      </w:r>
      <w:r w:rsidR="00211D29">
        <w:rPr>
          <w:b w:val="0"/>
          <w:position w:val="8"/>
          <w:sz w:val="20"/>
        </w:rPr>
        <w:t xml:space="preserve"> </w:t>
      </w:r>
      <w:r w:rsidR="00400652" w:rsidRPr="0083704F">
        <w:rPr>
          <w:rFonts w:eastAsiaTheme="minorHAnsi"/>
          <w:b w:val="0"/>
          <w:sz w:val="20"/>
        </w:rPr>
        <w:footnoteReference w:customMarkFollows="1" w:id="2"/>
        <w:t>**</w:t>
      </w:r>
      <w:r w:rsidRPr="0083704F">
        <w:rPr>
          <w:b w:val="0"/>
          <w:position w:val="8"/>
          <w:sz w:val="20"/>
        </w:rPr>
        <w:t>,</w:t>
      </w:r>
      <w:r w:rsidR="00211D29">
        <w:rPr>
          <w:b w:val="0"/>
          <w:position w:val="8"/>
          <w:sz w:val="20"/>
        </w:rPr>
        <w:t xml:space="preserve"> </w:t>
      </w:r>
      <w:r w:rsidR="0083704F" w:rsidRPr="0083704F">
        <w:rPr>
          <w:rFonts w:eastAsiaTheme="minorHAnsi"/>
          <w:b w:val="0"/>
          <w:sz w:val="20"/>
        </w:rPr>
        <w:footnoteReference w:customMarkFollows="1" w:id="3"/>
        <w:t>***</w:t>
      </w:r>
    </w:p>
    <w:p w:rsidR="00B66C66" w:rsidRPr="0047574D" w:rsidRDefault="00B66C66" w:rsidP="00400652">
      <w:pPr>
        <w:pStyle w:val="SingleTxtG"/>
        <w:tabs>
          <w:tab w:val="left" w:pos="4820"/>
        </w:tabs>
        <w:ind w:left="4536" w:hanging="3402"/>
        <w:jc w:val="left"/>
      </w:pPr>
      <w:r w:rsidRPr="00400652">
        <w:rPr>
          <w:i/>
        </w:rPr>
        <w:t>Communication</w:t>
      </w:r>
      <w:r w:rsidR="00211D29">
        <w:t xml:space="preserve"> </w:t>
      </w:r>
      <w:r w:rsidRPr="00A572C6">
        <w:rPr>
          <w:i/>
        </w:rPr>
        <w:t>submitted</w:t>
      </w:r>
      <w:r w:rsidR="00211D29" w:rsidRPr="00A572C6">
        <w:rPr>
          <w:i/>
        </w:rPr>
        <w:t xml:space="preserve"> </w:t>
      </w:r>
      <w:r w:rsidRPr="00A572C6">
        <w:rPr>
          <w:i/>
        </w:rPr>
        <w:t>by:</w:t>
      </w:r>
      <w:r w:rsidRPr="0047574D">
        <w:tab/>
        <w:t>Hibaq</w:t>
      </w:r>
      <w:r w:rsidR="00211D29">
        <w:t xml:space="preserve"> </w:t>
      </w:r>
      <w:r w:rsidRPr="0047574D">
        <w:t>Said</w:t>
      </w:r>
      <w:r w:rsidR="00211D29">
        <w:t xml:space="preserve"> </w:t>
      </w:r>
      <w:r w:rsidRPr="0047574D">
        <w:t>Hashi</w:t>
      </w:r>
      <w:r w:rsidR="00211D29">
        <w:t xml:space="preserve"> </w:t>
      </w:r>
      <w:r w:rsidRPr="0047574D">
        <w:t>(represented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counsel,</w:t>
      </w:r>
      <w:r w:rsidR="00211D29">
        <w:t xml:space="preserve"> </w:t>
      </w:r>
      <w:r w:rsidRPr="0047574D">
        <w:t>Stinne</w:t>
      </w:r>
      <w:r w:rsidR="00211D29">
        <w:t xml:space="preserve"> </w:t>
      </w:r>
      <w:r w:rsidRPr="0047574D">
        <w:t>Østergaard</w:t>
      </w:r>
      <w:r w:rsidR="00211D29">
        <w:t xml:space="preserve"> </w:t>
      </w:r>
      <w:r w:rsidRPr="0047574D">
        <w:t>Poulsen,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Danish</w:t>
      </w:r>
      <w:r w:rsidR="00211D29">
        <w:t xml:space="preserve"> </w:t>
      </w:r>
      <w:r w:rsidRPr="0047574D">
        <w:t>Refugee</w:t>
      </w:r>
      <w:r w:rsidR="00211D29">
        <w:t xml:space="preserve"> </w:t>
      </w:r>
      <w:r w:rsidRPr="0047574D">
        <w:t>Council)</w:t>
      </w:r>
    </w:p>
    <w:p w:rsidR="00B66C66" w:rsidRPr="00400652" w:rsidRDefault="00B66C66" w:rsidP="00400652">
      <w:pPr>
        <w:pStyle w:val="SingleTxtG"/>
        <w:tabs>
          <w:tab w:val="left" w:pos="4820"/>
        </w:tabs>
        <w:ind w:left="4536" w:hanging="3402"/>
        <w:jc w:val="left"/>
      </w:pPr>
      <w:r w:rsidRPr="00400652">
        <w:rPr>
          <w:i/>
        </w:rPr>
        <w:t>Alleged</w:t>
      </w:r>
      <w:r w:rsidR="00211D29">
        <w:rPr>
          <w:i/>
        </w:rPr>
        <w:t xml:space="preserve"> </w:t>
      </w:r>
      <w:r w:rsidRPr="00400652">
        <w:rPr>
          <w:i/>
        </w:rPr>
        <w:t>victims:</w:t>
      </w:r>
      <w:r w:rsidRPr="00400652">
        <w:rPr>
          <w:i/>
        </w:rPr>
        <w:tab/>
      </w:r>
      <w:r w:rsidRPr="00400652">
        <w:t>The</w:t>
      </w:r>
      <w:r w:rsidR="00211D29">
        <w:t xml:space="preserve"> </w:t>
      </w:r>
      <w:r w:rsidRPr="00400652">
        <w:t>author</w:t>
      </w:r>
      <w:r w:rsidR="00211D29">
        <w:t xml:space="preserve"> </w:t>
      </w:r>
      <w:r w:rsidRPr="00400652">
        <w:t>and</w:t>
      </w:r>
      <w:r w:rsidR="00211D29">
        <w:t xml:space="preserve"> </w:t>
      </w:r>
      <w:r w:rsidRPr="00400652">
        <w:t>her</w:t>
      </w:r>
      <w:r w:rsidR="00211D29">
        <w:t xml:space="preserve"> </w:t>
      </w:r>
      <w:r w:rsidRPr="00400652">
        <w:t>minor</w:t>
      </w:r>
      <w:r w:rsidR="00211D29">
        <w:t xml:space="preserve"> </w:t>
      </w:r>
      <w:r w:rsidRPr="00400652">
        <w:t>son,</w:t>
      </w:r>
      <w:r w:rsidR="00211D29">
        <w:t xml:space="preserve"> </w:t>
      </w:r>
      <w:r w:rsidRPr="00400652">
        <w:t>S.A.A.</w:t>
      </w:r>
      <w:r w:rsidR="00211D29">
        <w:t xml:space="preserve"> </w:t>
      </w:r>
    </w:p>
    <w:p w:rsidR="00B66C66" w:rsidRPr="00400652" w:rsidRDefault="00B66C66" w:rsidP="00400652">
      <w:pPr>
        <w:pStyle w:val="SingleTxtG"/>
        <w:tabs>
          <w:tab w:val="left" w:pos="4820"/>
        </w:tabs>
        <w:ind w:left="4536" w:hanging="3402"/>
        <w:jc w:val="left"/>
      </w:pPr>
      <w:r w:rsidRPr="00400652">
        <w:rPr>
          <w:i/>
        </w:rPr>
        <w:t>State</w:t>
      </w:r>
      <w:r w:rsidR="00211D29">
        <w:rPr>
          <w:i/>
        </w:rPr>
        <w:t xml:space="preserve"> </w:t>
      </w:r>
      <w:r w:rsidRPr="00400652">
        <w:rPr>
          <w:i/>
        </w:rPr>
        <w:t>party:</w:t>
      </w:r>
      <w:r w:rsidRPr="00400652">
        <w:rPr>
          <w:i/>
        </w:rPr>
        <w:tab/>
      </w:r>
      <w:r w:rsidRPr="00400652">
        <w:t>Denmark</w:t>
      </w:r>
    </w:p>
    <w:p w:rsidR="00B66C66" w:rsidRPr="00400652" w:rsidRDefault="00B66C66" w:rsidP="00400652">
      <w:pPr>
        <w:pStyle w:val="SingleTxtG"/>
        <w:tabs>
          <w:tab w:val="left" w:pos="4820"/>
        </w:tabs>
        <w:ind w:left="4536" w:hanging="3402"/>
        <w:jc w:val="left"/>
      </w:pPr>
      <w:r w:rsidRPr="00400652">
        <w:rPr>
          <w:i/>
        </w:rPr>
        <w:t>Date</w:t>
      </w:r>
      <w:r w:rsidR="00211D29">
        <w:rPr>
          <w:i/>
        </w:rPr>
        <w:t xml:space="preserve"> </w:t>
      </w:r>
      <w:r w:rsidRPr="00400652">
        <w:rPr>
          <w:i/>
        </w:rPr>
        <w:t>of</w:t>
      </w:r>
      <w:r w:rsidR="00211D29">
        <w:rPr>
          <w:i/>
        </w:rPr>
        <w:t xml:space="preserve"> </w:t>
      </w:r>
      <w:r w:rsidRPr="00400652">
        <w:rPr>
          <w:i/>
        </w:rPr>
        <w:t>communication:</w:t>
      </w:r>
      <w:r w:rsidRPr="00400652">
        <w:rPr>
          <w:i/>
        </w:rPr>
        <w:tab/>
      </w:r>
      <w:r w:rsidRPr="00400652">
        <w:t>27</w:t>
      </w:r>
      <w:r w:rsidR="00211D29">
        <w:t xml:space="preserve"> </w:t>
      </w:r>
      <w:r w:rsidRPr="00400652">
        <w:t>October</w:t>
      </w:r>
      <w:r w:rsidR="00211D29">
        <w:t xml:space="preserve"> </w:t>
      </w:r>
      <w:r w:rsidRPr="00400652">
        <w:t>2014</w:t>
      </w:r>
      <w:r w:rsidR="00211D29">
        <w:t xml:space="preserve"> </w:t>
      </w:r>
      <w:r w:rsidRPr="00400652">
        <w:t>(initial</w:t>
      </w:r>
      <w:r w:rsidR="00211D29">
        <w:t xml:space="preserve"> </w:t>
      </w:r>
      <w:r w:rsidRPr="00400652">
        <w:t>submission)</w:t>
      </w:r>
    </w:p>
    <w:p w:rsidR="00B66C66" w:rsidRPr="00400652" w:rsidRDefault="00B66C66" w:rsidP="00400652">
      <w:pPr>
        <w:pStyle w:val="SingleTxtG"/>
        <w:tabs>
          <w:tab w:val="left" w:pos="4820"/>
        </w:tabs>
        <w:ind w:left="4536" w:hanging="3402"/>
        <w:jc w:val="left"/>
      </w:pPr>
      <w:r w:rsidRPr="00400652">
        <w:rPr>
          <w:i/>
        </w:rPr>
        <w:t>Document</w:t>
      </w:r>
      <w:r w:rsidR="00211D29">
        <w:rPr>
          <w:i/>
        </w:rPr>
        <w:t xml:space="preserve"> </w:t>
      </w:r>
      <w:r w:rsidRPr="00400652">
        <w:rPr>
          <w:i/>
        </w:rPr>
        <w:t>references:</w:t>
      </w:r>
      <w:r w:rsidRPr="00400652">
        <w:rPr>
          <w:i/>
        </w:rPr>
        <w:tab/>
      </w:r>
      <w:r w:rsidRPr="00400652">
        <w:t>Decision</w:t>
      </w:r>
      <w:r w:rsidR="00211D29">
        <w:t xml:space="preserve"> </w:t>
      </w:r>
      <w:r w:rsidRPr="00400652">
        <w:t>taken</w:t>
      </w:r>
      <w:r w:rsidR="00211D29">
        <w:t xml:space="preserve"> </w:t>
      </w:r>
      <w:r w:rsidRPr="00400652">
        <w:t>pursuant</w:t>
      </w:r>
      <w:r w:rsidR="00211D29">
        <w:t xml:space="preserve"> </w:t>
      </w:r>
      <w:r w:rsidRPr="00400652">
        <w:t>to</w:t>
      </w:r>
      <w:r w:rsidR="00211D29">
        <w:t xml:space="preserve"> </w:t>
      </w:r>
      <w:r w:rsidRPr="00400652">
        <w:t>rule</w:t>
      </w:r>
      <w:r w:rsidR="00211D29">
        <w:t xml:space="preserve"> </w:t>
      </w:r>
      <w:r w:rsidRPr="00400652">
        <w:t>97</w:t>
      </w:r>
      <w:r w:rsidR="00211D29">
        <w:t xml:space="preserve"> </w:t>
      </w:r>
      <w:r w:rsidRPr="00400652">
        <w:t>of</w:t>
      </w:r>
      <w:r w:rsidR="00211D29">
        <w:t xml:space="preserve"> </w:t>
      </w:r>
      <w:r w:rsidRPr="00400652">
        <w:t>the</w:t>
      </w:r>
      <w:r w:rsidR="00211D29">
        <w:t xml:space="preserve"> </w:t>
      </w:r>
      <w:r w:rsidRPr="00400652">
        <w:t>Committee</w:t>
      </w:r>
      <w:r w:rsidR="005766A0">
        <w:t>’</w:t>
      </w:r>
      <w:r w:rsidRPr="00400652">
        <w:t>s</w:t>
      </w:r>
      <w:r w:rsidR="00211D29">
        <w:t xml:space="preserve"> </w:t>
      </w:r>
      <w:r w:rsidRPr="00400652">
        <w:t>rules</w:t>
      </w:r>
      <w:r w:rsidR="00211D29">
        <w:t xml:space="preserve"> </w:t>
      </w:r>
      <w:r w:rsidRPr="00400652">
        <w:t>of</w:t>
      </w:r>
      <w:r w:rsidR="00211D29">
        <w:t xml:space="preserve"> </w:t>
      </w:r>
      <w:r w:rsidRPr="00400652">
        <w:t>procedure,</w:t>
      </w:r>
      <w:r w:rsidR="00211D29">
        <w:t xml:space="preserve"> </w:t>
      </w:r>
      <w:r w:rsidRPr="00400652">
        <w:t>transmitted</w:t>
      </w:r>
      <w:r w:rsidR="00211D29">
        <w:t xml:space="preserve"> </w:t>
      </w:r>
      <w:r w:rsidRPr="00400652">
        <w:t>to</w:t>
      </w:r>
      <w:r w:rsidR="00211D29">
        <w:t xml:space="preserve"> </w:t>
      </w:r>
      <w:r w:rsidRPr="00400652">
        <w:t>the</w:t>
      </w:r>
      <w:r w:rsidR="00211D29">
        <w:t xml:space="preserve"> </w:t>
      </w:r>
      <w:r w:rsidRPr="00400652">
        <w:t>State</w:t>
      </w:r>
      <w:r w:rsidR="00211D29">
        <w:t xml:space="preserve"> </w:t>
      </w:r>
      <w:r w:rsidRPr="00400652">
        <w:t>party</w:t>
      </w:r>
      <w:r w:rsidR="00211D29">
        <w:t xml:space="preserve"> </w:t>
      </w:r>
      <w:r w:rsidRPr="00400652">
        <w:t>on</w:t>
      </w:r>
      <w:r w:rsidR="00211D29">
        <w:t xml:space="preserve"> </w:t>
      </w:r>
      <w:r w:rsidRPr="00400652">
        <w:t>27</w:t>
      </w:r>
      <w:r w:rsidR="00211D29">
        <w:t xml:space="preserve"> </w:t>
      </w:r>
      <w:r w:rsidRPr="00400652">
        <w:t>October</w:t>
      </w:r>
      <w:r w:rsidR="00211D29">
        <w:t xml:space="preserve"> </w:t>
      </w:r>
      <w:r w:rsidRPr="00400652">
        <w:t>2014</w:t>
      </w:r>
      <w:r w:rsidR="00211D29">
        <w:t xml:space="preserve"> </w:t>
      </w:r>
      <w:r w:rsidRPr="00400652">
        <w:t>(not</w:t>
      </w:r>
      <w:r w:rsidR="00211D29">
        <w:t xml:space="preserve"> </w:t>
      </w:r>
      <w:r w:rsidRPr="00400652">
        <w:t>issued</w:t>
      </w:r>
      <w:r w:rsidR="00211D29">
        <w:t xml:space="preserve"> </w:t>
      </w:r>
      <w:r w:rsidRPr="00400652">
        <w:t>in</w:t>
      </w:r>
      <w:r w:rsidR="00211D29">
        <w:t xml:space="preserve"> </w:t>
      </w:r>
      <w:r w:rsidRPr="00400652">
        <w:t>document</w:t>
      </w:r>
      <w:r w:rsidR="00211D29">
        <w:t xml:space="preserve"> </w:t>
      </w:r>
      <w:r w:rsidRPr="00400652">
        <w:t>form)</w:t>
      </w:r>
    </w:p>
    <w:p w:rsidR="00B66C66" w:rsidRPr="00400652" w:rsidRDefault="00B66C66" w:rsidP="00400652">
      <w:pPr>
        <w:pStyle w:val="SingleTxtG"/>
        <w:tabs>
          <w:tab w:val="left" w:pos="4820"/>
        </w:tabs>
        <w:ind w:left="4536" w:hanging="3402"/>
        <w:jc w:val="left"/>
      </w:pPr>
      <w:r w:rsidRPr="00400652">
        <w:rPr>
          <w:i/>
        </w:rPr>
        <w:t>Date</w:t>
      </w:r>
      <w:r w:rsidR="00211D29">
        <w:rPr>
          <w:i/>
        </w:rPr>
        <w:t xml:space="preserve"> </w:t>
      </w:r>
      <w:r w:rsidRPr="00400652">
        <w:rPr>
          <w:i/>
        </w:rPr>
        <w:t>of</w:t>
      </w:r>
      <w:r w:rsidR="00211D29">
        <w:rPr>
          <w:i/>
        </w:rPr>
        <w:t xml:space="preserve"> </w:t>
      </w:r>
      <w:r w:rsidRPr="00400652">
        <w:rPr>
          <w:i/>
        </w:rPr>
        <w:t>adoption</w:t>
      </w:r>
      <w:r w:rsidR="00211D29">
        <w:rPr>
          <w:i/>
        </w:rPr>
        <w:t xml:space="preserve"> </w:t>
      </w:r>
      <w:r w:rsidRPr="00400652">
        <w:rPr>
          <w:i/>
        </w:rPr>
        <w:t>of</w:t>
      </w:r>
      <w:r w:rsidR="00211D29">
        <w:rPr>
          <w:i/>
        </w:rPr>
        <w:t xml:space="preserve"> </w:t>
      </w:r>
      <w:r w:rsidRPr="00400652">
        <w:rPr>
          <w:i/>
        </w:rPr>
        <w:t>Views:</w:t>
      </w:r>
      <w:r w:rsidRPr="00400652">
        <w:rPr>
          <w:i/>
        </w:rPr>
        <w:tab/>
      </w:r>
      <w:r w:rsidRPr="00400652">
        <w:t>28</w:t>
      </w:r>
      <w:r w:rsidR="00211D29">
        <w:t xml:space="preserve"> </w:t>
      </w:r>
      <w:r w:rsidRPr="00400652">
        <w:t>July</w:t>
      </w:r>
      <w:r w:rsidR="00211D29">
        <w:t xml:space="preserve"> </w:t>
      </w:r>
      <w:r w:rsidRPr="00400652">
        <w:t>2017</w:t>
      </w:r>
    </w:p>
    <w:p w:rsidR="00B66C66" w:rsidRPr="00400652" w:rsidRDefault="00B66C66" w:rsidP="00400652">
      <w:pPr>
        <w:pStyle w:val="SingleTxtG"/>
        <w:tabs>
          <w:tab w:val="left" w:pos="4820"/>
        </w:tabs>
        <w:ind w:left="4536" w:hanging="3402"/>
        <w:jc w:val="left"/>
      </w:pPr>
      <w:r w:rsidRPr="00400652">
        <w:rPr>
          <w:i/>
        </w:rPr>
        <w:t>Subject</w:t>
      </w:r>
      <w:r w:rsidR="00211D29">
        <w:rPr>
          <w:i/>
        </w:rPr>
        <w:t xml:space="preserve"> </w:t>
      </w:r>
      <w:r w:rsidRPr="00400652">
        <w:rPr>
          <w:i/>
        </w:rPr>
        <w:t>matter:</w:t>
      </w:r>
      <w:r w:rsidRPr="00400652">
        <w:rPr>
          <w:i/>
        </w:rPr>
        <w:tab/>
      </w:r>
      <w:r w:rsidRPr="00400652">
        <w:t>Deportation</w:t>
      </w:r>
      <w:r w:rsidR="00211D29">
        <w:t xml:space="preserve"> </w:t>
      </w:r>
      <w:r w:rsidRPr="00400652">
        <w:t>to</w:t>
      </w:r>
      <w:r w:rsidR="00211D29">
        <w:t xml:space="preserve"> </w:t>
      </w:r>
      <w:r w:rsidRPr="00400652">
        <w:t>Italy</w:t>
      </w:r>
      <w:r w:rsidR="00211D29">
        <w:t xml:space="preserve"> </w:t>
      </w:r>
    </w:p>
    <w:p w:rsidR="00B66C66" w:rsidRPr="00400652" w:rsidRDefault="00B66C66" w:rsidP="00400652">
      <w:pPr>
        <w:pStyle w:val="SingleTxtG"/>
        <w:tabs>
          <w:tab w:val="left" w:pos="4820"/>
        </w:tabs>
        <w:ind w:left="4536" w:hanging="3402"/>
        <w:jc w:val="left"/>
      </w:pPr>
      <w:r w:rsidRPr="00400652">
        <w:rPr>
          <w:i/>
        </w:rPr>
        <w:t>Procedural</w:t>
      </w:r>
      <w:r w:rsidR="00211D29">
        <w:rPr>
          <w:i/>
        </w:rPr>
        <w:t xml:space="preserve"> </w:t>
      </w:r>
      <w:r w:rsidRPr="00400652">
        <w:rPr>
          <w:i/>
        </w:rPr>
        <w:t>issue:</w:t>
      </w:r>
      <w:r w:rsidR="00211D29">
        <w:rPr>
          <w:i/>
        </w:rPr>
        <w:t xml:space="preserve"> </w:t>
      </w:r>
      <w:r w:rsidRPr="00400652">
        <w:rPr>
          <w:i/>
        </w:rPr>
        <w:tab/>
      </w:r>
      <w:r w:rsidRPr="00400652">
        <w:t>Failure</w:t>
      </w:r>
      <w:r w:rsidR="00211D29">
        <w:t xml:space="preserve"> </w:t>
      </w:r>
      <w:r w:rsidRPr="00400652">
        <w:t>to</w:t>
      </w:r>
      <w:r w:rsidR="00211D29">
        <w:t xml:space="preserve"> </w:t>
      </w:r>
      <w:r w:rsidRPr="00400652">
        <w:t>sufficiently</w:t>
      </w:r>
      <w:r w:rsidR="00211D29">
        <w:t xml:space="preserve"> </w:t>
      </w:r>
      <w:r w:rsidRPr="00400652">
        <w:t>substantiate</w:t>
      </w:r>
      <w:r w:rsidR="00211D29">
        <w:t xml:space="preserve"> </w:t>
      </w:r>
      <w:r w:rsidRPr="00400652">
        <w:t>allegations</w:t>
      </w:r>
    </w:p>
    <w:p w:rsidR="00B66C66" w:rsidRPr="00400652" w:rsidRDefault="00B66C66" w:rsidP="00400652">
      <w:pPr>
        <w:pStyle w:val="SingleTxtG"/>
        <w:tabs>
          <w:tab w:val="left" w:pos="4820"/>
        </w:tabs>
        <w:ind w:left="4536" w:hanging="3402"/>
        <w:jc w:val="left"/>
      </w:pPr>
      <w:r w:rsidRPr="00400652">
        <w:rPr>
          <w:i/>
        </w:rPr>
        <w:t>Substantive</w:t>
      </w:r>
      <w:r w:rsidR="00211D29">
        <w:rPr>
          <w:i/>
        </w:rPr>
        <w:t xml:space="preserve"> </w:t>
      </w:r>
      <w:r w:rsidRPr="00400652">
        <w:rPr>
          <w:i/>
        </w:rPr>
        <w:t>issue:</w:t>
      </w:r>
      <w:r w:rsidR="00211D29">
        <w:rPr>
          <w:i/>
        </w:rPr>
        <w:t xml:space="preserve"> </w:t>
      </w:r>
      <w:r w:rsidRPr="00400652">
        <w:rPr>
          <w:i/>
        </w:rPr>
        <w:tab/>
      </w:r>
      <w:r w:rsidRPr="00400652">
        <w:t>Inhuman</w:t>
      </w:r>
      <w:r w:rsidR="00211D29">
        <w:t xml:space="preserve"> </w:t>
      </w:r>
      <w:r w:rsidRPr="00400652">
        <w:t>and</w:t>
      </w:r>
      <w:r w:rsidR="00211D29">
        <w:t xml:space="preserve"> </w:t>
      </w:r>
      <w:r w:rsidRPr="00400652">
        <w:t>degrading</w:t>
      </w:r>
      <w:r w:rsidR="00211D29">
        <w:t xml:space="preserve"> </w:t>
      </w:r>
      <w:r w:rsidRPr="00400652">
        <w:t>treatment</w:t>
      </w:r>
      <w:r w:rsidR="00211D29">
        <w:t xml:space="preserve"> </w:t>
      </w:r>
    </w:p>
    <w:p w:rsidR="00B66C66" w:rsidRPr="00400652" w:rsidRDefault="00B66C66" w:rsidP="00400652">
      <w:pPr>
        <w:pStyle w:val="SingleTxtG"/>
        <w:tabs>
          <w:tab w:val="left" w:pos="4820"/>
        </w:tabs>
        <w:ind w:left="4536" w:hanging="3402"/>
        <w:jc w:val="left"/>
      </w:pPr>
      <w:r w:rsidRPr="00400652">
        <w:rPr>
          <w:i/>
        </w:rPr>
        <w:t>Article</w:t>
      </w:r>
      <w:r w:rsidR="00211D29">
        <w:rPr>
          <w:i/>
        </w:rPr>
        <w:t xml:space="preserve"> </w:t>
      </w:r>
      <w:r w:rsidRPr="00400652">
        <w:rPr>
          <w:i/>
        </w:rPr>
        <w:t>of</w:t>
      </w:r>
      <w:r w:rsidR="00211D29">
        <w:rPr>
          <w:i/>
        </w:rPr>
        <w:t xml:space="preserve"> </w:t>
      </w:r>
      <w:r w:rsidRPr="00400652">
        <w:rPr>
          <w:i/>
        </w:rPr>
        <w:t>the</w:t>
      </w:r>
      <w:r w:rsidR="00211D29">
        <w:rPr>
          <w:i/>
        </w:rPr>
        <w:t xml:space="preserve"> </w:t>
      </w:r>
      <w:r w:rsidRPr="00400652">
        <w:rPr>
          <w:i/>
        </w:rPr>
        <w:t>Covenant:</w:t>
      </w:r>
      <w:r w:rsidRPr="00400652">
        <w:rPr>
          <w:i/>
        </w:rPr>
        <w:tab/>
      </w:r>
      <w:r w:rsidRPr="00400652">
        <w:t>7</w:t>
      </w:r>
      <w:r w:rsidR="00211D29">
        <w:t xml:space="preserve"> </w:t>
      </w:r>
    </w:p>
    <w:p w:rsidR="00B66C66" w:rsidRPr="00400652" w:rsidRDefault="00B66C66" w:rsidP="00400652">
      <w:pPr>
        <w:pStyle w:val="SingleTxtG"/>
        <w:tabs>
          <w:tab w:val="left" w:pos="4820"/>
        </w:tabs>
        <w:ind w:left="4536" w:hanging="3402"/>
        <w:jc w:val="left"/>
      </w:pPr>
      <w:r w:rsidRPr="00400652">
        <w:rPr>
          <w:i/>
        </w:rPr>
        <w:t>Article</w:t>
      </w:r>
      <w:r w:rsidR="00211D29">
        <w:rPr>
          <w:i/>
        </w:rPr>
        <w:t xml:space="preserve"> </w:t>
      </w:r>
      <w:r w:rsidRPr="00400652">
        <w:rPr>
          <w:i/>
        </w:rPr>
        <w:t>of</w:t>
      </w:r>
      <w:r w:rsidR="00211D29">
        <w:rPr>
          <w:i/>
        </w:rPr>
        <w:t xml:space="preserve"> </w:t>
      </w:r>
      <w:r w:rsidRPr="00400652">
        <w:rPr>
          <w:i/>
        </w:rPr>
        <w:t>the</w:t>
      </w:r>
      <w:r w:rsidR="00211D29">
        <w:rPr>
          <w:i/>
        </w:rPr>
        <w:t xml:space="preserve"> </w:t>
      </w:r>
      <w:r w:rsidRPr="00400652">
        <w:rPr>
          <w:i/>
        </w:rPr>
        <w:t>Optional</w:t>
      </w:r>
      <w:r w:rsidR="00211D29">
        <w:rPr>
          <w:i/>
        </w:rPr>
        <w:t xml:space="preserve"> </w:t>
      </w:r>
      <w:r w:rsidRPr="00400652">
        <w:rPr>
          <w:i/>
        </w:rPr>
        <w:t>Protocol:</w:t>
      </w:r>
      <w:r w:rsidRPr="00400652">
        <w:rPr>
          <w:i/>
        </w:rPr>
        <w:tab/>
      </w:r>
      <w:r w:rsidRPr="00400652">
        <w:t>2</w:t>
      </w:r>
    </w:p>
    <w:p w:rsidR="006B0EB0" w:rsidRPr="0047574D" w:rsidRDefault="00FF18D7" w:rsidP="006B0EB0">
      <w:pPr>
        <w:pStyle w:val="SingleTxtG"/>
      </w:pPr>
      <w:r>
        <w:br w:type="page"/>
      </w:r>
      <w:r w:rsidR="006B0EB0" w:rsidRPr="0047574D">
        <w:lastRenderedPageBreak/>
        <w:t>1.1</w:t>
      </w:r>
      <w:r w:rsidR="006B0EB0" w:rsidRPr="0047574D">
        <w:tab/>
        <w:t>The</w:t>
      </w:r>
      <w:r w:rsidR="00211D29">
        <w:t xml:space="preserve"> </w:t>
      </w:r>
      <w:r w:rsidR="006B0EB0" w:rsidRPr="0047574D">
        <w:t>author</w:t>
      </w:r>
      <w:r w:rsidR="00211D29">
        <w:t xml:space="preserve"> </w:t>
      </w:r>
      <w:r w:rsidR="006B0EB0" w:rsidRPr="0047574D">
        <w:t>of</w:t>
      </w:r>
      <w:r w:rsidR="00211D29">
        <w:t xml:space="preserve"> </w:t>
      </w:r>
      <w:r w:rsidR="006B0EB0" w:rsidRPr="0047574D">
        <w:t>the</w:t>
      </w:r>
      <w:r w:rsidR="00211D29">
        <w:t xml:space="preserve"> </w:t>
      </w:r>
      <w:r w:rsidR="006B0EB0" w:rsidRPr="0047574D">
        <w:t>communication</w:t>
      </w:r>
      <w:r w:rsidR="00211D29">
        <w:t xml:space="preserve"> </w:t>
      </w:r>
      <w:r w:rsidR="006B0EB0" w:rsidRPr="0047574D">
        <w:t>is</w:t>
      </w:r>
      <w:r w:rsidR="00211D29">
        <w:t xml:space="preserve"> </w:t>
      </w:r>
      <w:r w:rsidR="006B0EB0" w:rsidRPr="0047574D">
        <w:t>Hibaq</w:t>
      </w:r>
      <w:r w:rsidR="00211D29">
        <w:t xml:space="preserve"> </w:t>
      </w:r>
      <w:r w:rsidR="006B0EB0" w:rsidRPr="0047574D">
        <w:t>Said</w:t>
      </w:r>
      <w:r w:rsidR="00211D29">
        <w:t xml:space="preserve"> </w:t>
      </w:r>
      <w:r w:rsidR="006B0EB0" w:rsidRPr="0047574D">
        <w:t>Hashi,</w:t>
      </w:r>
      <w:r w:rsidR="00211D29">
        <w:t xml:space="preserve"> </w:t>
      </w:r>
      <w:r w:rsidR="006B0EB0" w:rsidRPr="0047574D">
        <w:t>a</w:t>
      </w:r>
      <w:r w:rsidR="00211D29">
        <w:t xml:space="preserve"> </w:t>
      </w:r>
      <w:r w:rsidR="006B0EB0" w:rsidRPr="0047574D">
        <w:t>national</w:t>
      </w:r>
      <w:r w:rsidR="00211D29">
        <w:t xml:space="preserve"> </w:t>
      </w:r>
      <w:r w:rsidR="006B0EB0" w:rsidRPr="0047574D">
        <w:t>of</w:t>
      </w:r>
      <w:r w:rsidR="00211D29">
        <w:t xml:space="preserve"> </w:t>
      </w:r>
      <w:r w:rsidR="006B0EB0" w:rsidRPr="0047574D">
        <w:t>Somalia</w:t>
      </w:r>
      <w:r w:rsidR="00211D29">
        <w:t xml:space="preserve"> </w:t>
      </w:r>
      <w:r w:rsidR="006B0EB0" w:rsidRPr="0047574D">
        <w:t>born</w:t>
      </w:r>
      <w:r w:rsidR="00211D29">
        <w:t xml:space="preserve"> </w:t>
      </w:r>
      <w:r w:rsidR="006B0EB0" w:rsidRPr="0047574D">
        <w:t>on</w:t>
      </w:r>
      <w:r w:rsidR="00211D29">
        <w:t xml:space="preserve"> </w:t>
      </w:r>
      <w:r w:rsidR="006B0EB0" w:rsidRPr="0047574D">
        <w:t>1</w:t>
      </w:r>
      <w:r w:rsidR="00211D29">
        <w:t xml:space="preserve"> </w:t>
      </w:r>
      <w:r w:rsidR="006B0EB0" w:rsidRPr="0047574D">
        <w:t>January</w:t>
      </w:r>
      <w:r w:rsidR="00211D29">
        <w:t xml:space="preserve"> </w:t>
      </w:r>
      <w:r w:rsidR="006B0EB0" w:rsidRPr="0047574D">
        <w:t>1989.</w:t>
      </w:r>
      <w:r w:rsidR="00211D29">
        <w:t xml:space="preserve"> </w:t>
      </w:r>
      <w:r w:rsidR="006B0EB0" w:rsidRPr="0047574D">
        <w:t>She</w:t>
      </w:r>
      <w:r w:rsidR="00211D29">
        <w:t xml:space="preserve"> </w:t>
      </w:r>
      <w:r w:rsidR="006B0EB0" w:rsidRPr="0047574D">
        <w:t>is</w:t>
      </w:r>
      <w:r w:rsidR="00211D29">
        <w:t xml:space="preserve"> </w:t>
      </w:r>
      <w:r w:rsidR="006B0EB0" w:rsidRPr="0047574D">
        <w:t>making</w:t>
      </w:r>
      <w:r w:rsidR="00211D29">
        <w:t xml:space="preserve"> </w:t>
      </w:r>
      <w:r w:rsidR="006B0EB0" w:rsidRPr="0047574D">
        <w:t>the</w:t>
      </w:r>
      <w:r w:rsidR="00211D29">
        <w:t xml:space="preserve"> </w:t>
      </w:r>
      <w:r w:rsidR="006B0EB0" w:rsidRPr="0047574D">
        <w:t>complaint</w:t>
      </w:r>
      <w:r w:rsidR="00211D29">
        <w:t xml:space="preserve"> </w:t>
      </w:r>
      <w:r w:rsidR="006B0EB0" w:rsidRPr="0047574D">
        <w:t>on</w:t>
      </w:r>
      <w:r w:rsidR="00211D29">
        <w:t xml:space="preserve"> </w:t>
      </w:r>
      <w:r w:rsidR="006B0EB0" w:rsidRPr="0047574D">
        <w:t>behalf</w:t>
      </w:r>
      <w:r w:rsidR="00211D29">
        <w:t xml:space="preserve"> </w:t>
      </w:r>
      <w:r w:rsidR="006B0EB0" w:rsidRPr="0047574D">
        <w:t>of</w:t>
      </w:r>
      <w:r w:rsidR="00211D29">
        <w:t xml:space="preserve"> </w:t>
      </w:r>
      <w:r w:rsidR="006B0EB0" w:rsidRPr="0047574D">
        <w:t>herself</w:t>
      </w:r>
      <w:r w:rsidR="00211D29">
        <w:t xml:space="preserve"> </w:t>
      </w:r>
      <w:r w:rsidR="006B0EB0" w:rsidRPr="0047574D">
        <w:t>and</w:t>
      </w:r>
      <w:r w:rsidR="00211D29">
        <w:t xml:space="preserve"> </w:t>
      </w:r>
      <w:r w:rsidR="006B0EB0" w:rsidRPr="0047574D">
        <w:t>her</w:t>
      </w:r>
      <w:r w:rsidR="00211D29">
        <w:t xml:space="preserve"> </w:t>
      </w:r>
      <w:r w:rsidR="006B0EB0" w:rsidRPr="0047574D">
        <w:t>minor</w:t>
      </w:r>
      <w:r w:rsidR="00211D29">
        <w:t xml:space="preserve"> </w:t>
      </w:r>
      <w:r w:rsidR="006B0EB0" w:rsidRPr="0047574D">
        <w:t>child,</w:t>
      </w:r>
      <w:r w:rsidR="00211D29">
        <w:t xml:space="preserve"> </w:t>
      </w:r>
      <w:r w:rsidR="006B0EB0" w:rsidRPr="0047574D">
        <w:t>S.A.A.,</w:t>
      </w:r>
      <w:r w:rsidR="00211D29">
        <w:t xml:space="preserve"> </w:t>
      </w:r>
      <w:r w:rsidR="006B0EB0" w:rsidRPr="0047574D">
        <w:t>born</w:t>
      </w:r>
      <w:r w:rsidR="00211D29">
        <w:t xml:space="preserve"> </w:t>
      </w:r>
      <w:r w:rsidR="006B0EB0" w:rsidRPr="0047574D">
        <w:t>on</w:t>
      </w:r>
      <w:r w:rsidR="00211D29">
        <w:t xml:space="preserve"> </w:t>
      </w:r>
      <w:r w:rsidR="006B0EB0" w:rsidRPr="0047574D">
        <w:t>18</w:t>
      </w:r>
      <w:r w:rsidR="00211D29">
        <w:t xml:space="preserve"> </w:t>
      </w:r>
      <w:r w:rsidR="006B0EB0" w:rsidRPr="0047574D">
        <w:t>May</w:t>
      </w:r>
      <w:r w:rsidR="00211D29">
        <w:t xml:space="preserve"> </w:t>
      </w:r>
      <w:r w:rsidR="006B0EB0" w:rsidRPr="0047574D">
        <w:t>2012</w:t>
      </w:r>
      <w:r w:rsidR="00211D29">
        <w:t xml:space="preserve"> </w:t>
      </w:r>
      <w:r w:rsidR="006B0EB0" w:rsidRPr="0047574D">
        <w:t>in</w:t>
      </w:r>
      <w:r w:rsidR="00211D29">
        <w:t xml:space="preserve"> </w:t>
      </w:r>
      <w:r w:rsidR="006B0EB0" w:rsidRPr="0047574D">
        <w:t>Sweden.</w:t>
      </w:r>
      <w:r w:rsidR="00211D29">
        <w:t xml:space="preserve"> </w:t>
      </w:r>
      <w:r w:rsidR="006B0EB0" w:rsidRPr="0047574D">
        <w:t>The</w:t>
      </w:r>
      <w:r w:rsidR="00211D29">
        <w:t xml:space="preserve"> </w:t>
      </w:r>
      <w:r w:rsidR="006B0EB0" w:rsidRPr="0047574D">
        <w:t>author</w:t>
      </w:r>
      <w:r w:rsidR="00211D29">
        <w:t xml:space="preserve"> </w:t>
      </w:r>
      <w:r w:rsidR="006B0EB0" w:rsidRPr="0047574D">
        <w:t>claims</w:t>
      </w:r>
      <w:r w:rsidR="00211D29">
        <w:t xml:space="preserve"> </w:t>
      </w:r>
      <w:r w:rsidR="006B0EB0" w:rsidRPr="0047574D">
        <w:t>that</w:t>
      </w:r>
      <w:r w:rsidR="00211D29">
        <w:t xml:space="preserve"> </w:t>
      </w:r>
      <w:r w:rsidR="006B0EB0" w:rsidRPr="0047574D">
        <w:t>if</w:t>
      </w:r>
      <w:r w:rsidR="00211D29">
        <w:t xml:space="preserve"> </w:t>
      </w:r>
      <w:r w:rsidR="006B0EB0" w:rsidRPr="0047574D">
        <w:t>the</w:t>
      </w:r>
      <w:r w:rsidR="00211D29">
        <w:t xml:space="preserve"> </w:t>
      </w:r>
      <w:r w:rsidR="006B0EB0" w:rsidRPr="0047574D">
        <w:t>State</w:t>
      </w:r>
      <w:r w:rsidR="00211D29">
        <w:t xml:space="preserve"> </w:t>
      </w:r>
      <w:r w:rsidR="006B0EB0" w:rsidRPr="0047574D">
        <w:t>party</w:t>
      </w:r>
      <w:r w:rsidR="00211D29">
        <w:t xml:space="preserve"> </w:t>
      </w:r>
      <w:r w:rsidR="006B0EB0" w:rsidRPr="0047574D">
        <w:t>were</w:t>
      </w:r>
      <w:r w:rsidR="00211D29">
        <w:t xml:space="preserve"> </w:t>
      </w:r>
      <w:r w:rsidR="006B0EB0" w:rsidRPr="0047574D">
        <w:t>to</w:t>
      </w:r>
      <w:r w:rsidR="00211D29">
        <w:t xml:space="preserve"> </w:t>
      </w:r>
      <w:r w:rsidR="006B0EB0" w:rsidRPr="0047574D">
        <w:t>forcibly</w:t>
      </w:r>
      <w:r w:rsidR="00211D29">
        <w:t xml:space="preserve"> </w:t>
      </w:r>
      <w:r w:rsidR="006B0EB0" w:rsidRPr="0047574D">
        <w:t>deport</w:t>
      </w:r>
      <w:r w:rsidR="00211D29">
        <w:t xml:space="preserve"> </w:t>
      </w:r>
      <w:r w:rsidR="006B0EB0" w:rsidRPr="0047574D">
        <w:t>her</w:t>
      </w:r>
      <w:r w:rsidR="00211D29">
        <w:t xml:space="preserve"> </w:t>
      </w:r>
      <w:r w:rsidR="006B0EB0" w:rsidRPr="0047574D">
        <w:t>and</w:t>
      </w:r>
      <w:r w:rsidR="00211D29">
        <w:t xml:space="preserve"> </w:t>
      </w:r>
      <w:r w:rsidR="006B0EB0" w:rsidRPr="0047574D">
        <w:t>her</w:t>
      </w:r>
      <w:r w:rsidR="00211D29">
        <w:t xml:space="preserve"> </w:t>
      </w:r>
      <w:r w:rsidR="006B0EB0" w:rsidRPr="0047574D">
        <w:t>son</w:t>
      </w:r>
      <w:r w:rsidR="00211D29">
        <w:t xml:space="preserve"> </w:t>
      </w:r>
      <w:r w:rsidR="006B0EB0" w:rsidRPr="0047574D">
        <w:t>to</w:t>
      </w:r>
      <w:r w:rsidR="00211D29">
        <w:t xml:space="preserve"> </w:t>
      </w:r>
      <w:r w:rsidR="006B0EB0" w:rsidRPr="0047574D">
        <w:t>Italy,</w:t>
      </w:r>
      <w:r w:rsidR="00211D29">
        <w:t xml:space="preserve"> </w:t>
      </w:r>
      <w:r w:rsidR="006B0EB0" w:rsidRPr="0047574D">
        <w:t>it</w:t>
      </w:r>
      <w:r w:rsidR="00211D29">
        <w:t xml:space="preserve"> </w:t>
      </w:r>
      <w:r w:rsidR="006B0EB0" w:rsidRPr="0047574D">
        <w:t>would</w:t>
      </w:r>
      <w:r w:rsidR="00211D29">
        <w:t xml:space="preserve"> </w:t>
      </w:r>
      <w:r w:rsidR="006B0EB0" w:rsidRPr="0047574D">
        <w:t>violate</w:t>
      </w:r>
      <w:r w:rsidR="00211D29">
        <w:t xml:space="preserve"> </w:t>
      </w:r>
      <w:r w:rsidR="006B0EB0" w:rsidRPr="0047574D">
        <w:t>their</w:t>
      </w:r>
      <w:r w:rsidR="00211D29">
        <w:t xml:space="preserve"> </w:t>
      </w:r>
      <w:r w:rsidR="006B0EB0" w:rsidRPr="0047574D">
        <w:t>rights</w:t>
      </w:r>
      <w:r w:rsidR="00211D29">
        <w:t xml:space="preserve"> </w:t>
      </w:r>
      <w:r w:rsidR="006B0EB0" w:rsidRPr="0047574D">
        <w:t>under</w:t>
      </w:r>
      <w:r w:rsidR="00211D29">
        <w:t xml:space="preserve"> </w:t>
      </w:r>
      <w:r w:rsidR="006B0EB0" w:rsidRPr="0047574D">
        <w:t>article</w:t>
      </w:r>
      <w:r w:rsidR="00211D29">
        <w:t xml:space="preserve"> </w:t>
      </w:r>
      <w:r w:rsidR="006B0EB0" w:rsidRPr="0047574D">
        <w:t>7</w:t>
      </w:r>
      <w:r w:rsidR="00211D29">
        <w:t xml:space="preserve"> </w:t>
      </w:r>
      <w:r w:rsidR="006B0EB0" w:rsidRPr="0047574D">
        <w:t>of</w:t>
      </w:r>
      <w:r w:rsidR="00211D29">
        <w:t xml:space="preserve"> </w:t>
      </w:r>
      <w:r w:rsidR="006B0EB0" w:rsidRPr="0047574D">
        <w:t>the</w:t>
      </w:r>
      <w:r w:rsidR="00211D29">
        <w:t xml:space="preserve"> </w:t>
      </w:r>
      <w:r w:rsidR="006B0EB0" w:rsidRPr="0047574D">
        <w:t>Covenant.</w:t>
      </w:r>
      <w:r w:rsidR="00211D29">
        <w:t xml:space="preserve"> </w:t>
      </w:r>
      <w:r w:rsidR="006B0EB0" w:rsidRPr="0047574D">
        <w:t>The</w:t>
      </w:r>
      <w:r w:rsidR="00211D29">
        <w:t xml:space="preserve"> </w:t>
      </w:r>
      <w:r w:rsidR="006B0EB0" w:rsidRPr="0047574D">
        <w:t>Optional</w:t>
      </w:r>
      <w:r w:rsidR="00211D29">
        <w:t xml:space="preserve"> </w:t>
      </w:r>
      <w:r w:rsidR="006B0EB0" w:rsidRPr="0047574D">
        <w:t>Protocol</w:t>
      </w:r>
      <w:r w:rsidR="00211D29">
        <w:t xml:space="preserve"> </w:t>
      </w:r>
      <w:r w:rsidR="006B0EB0" w:rsidRPr="0047574D">
        <w:t>entered</w:t>
      </w:r>
      <w:r w:rsidR="00211D29">
        <w:t xml:space="preserve"> </w:t>
      </w:r>
      <w:r w:rsidR="006B0EB0" w:rsidRPr="0047574D">
        <w:t>into</w:t>
      </w:r>
      <w:r w:rsidR="00211D29">
        <w:t xml:space="preserve"> </w:t>
      </w:r>
      <w:r w:rsidR="006B0EB0" w:rsidRPr="0047574D">
        <w:t>force</w:t>
      </w:r>
      <w:r w:rsidR="00211D29">
        <w:t xml:space="preserve"> </w:t>
      </w:r>
      <w:r w:rsidR="006B0EB0" w:rsidRPr="0047574D">
        <w:t>for</w:t>
      </w:r>
      <w:r w:rsidR="00211D29">
        <w:t xml:space="preserve"> </w:t>
      </w:r>
      <w:r w:rsidR="006B0EB0" w:rsidRPr="0047574D">
        <w:t>Denmark</w:t>
      </w:r>
      <w:r w:rsidR="00211D29">
        <w:t xml:space="preserve"> </w:t>
      </w:r>
      <w:r w:rsidR="006B0EB0" w:rsidRPr="0047574D">
        <w:t>on</w:t>
      </w:r>
      <w:r w:rsidR="00211D29">
        <w:t xml:space="preserve"> </w:t>
      </w:r>
      <w:r w:rsidR="006B0EB0" w:rsidRPr="0047574D">
        <w:t>23</w:t>
      </w:r>
      <w:r w:rsidR="00211D29">
        <w:t xml:space="preserve"> </w:t>
      </w:r>
      <w:r w:rsidR="006B0EB0" w:rsidRPr="0047574D">
        <w:t>March</w:t>
      </w:r>
      <w:r w:rsidR="00211D29">
        <w:t xml:space="preserve"> </w:t>
      </w:r>
      <w:r w:rsidR="006B0EB0" w:rsidRPr="0047574D">
        <w:t>1976.</w:t>
      </w:r>
      <w:r w:rsidR="00211D29">
        <w:t xml:space="preserve"> </w:t>
      </w:r>
      <w:r w:rsidR="006B0EB0" w:rsidRPr="0047574D">
        <w:t>The</w:t>
      </w:r>
      <w:r w:rsidR="00211D29">
        <w:t xml:space="preserve"> </w:t>
      </w:r>
      <w:r w:rsidR="006B0EB0" w:rsidRPr="0047574D">
        <w:t>author</w:t>
      </w:r>
      <w:r w:rsidR="00211D29">
        <w:t xml:space="preserve"> </w:t>
      </w:r>
      <w:r w:rsidR="006B0EB0" w:rsidRPr="0047574D">
        <w:t>is</w:t>
      </w:r>
      <w:r w:rsidR="00211D29">
        <w:t xml:space="preserve"> </w:t>
      </w:r>
      <w:r w:rsidR="006B0EB0" w:rsidRPr="0047574D">
        <w:t>represented</w:t>
      </w:r>
      <w:r w:rsidR="00211D29">
        <w:t xml:space="preserve"> </w:t>
      </w:r>
      <w:r w:rsidR="006B0EB0" w:rsidRPr="0047574D">
        <w:t>by</w:t>
      </w:r>
      <w:r w:rsidR="00211D29">
        <w:t xml:space="preserve"> </w:t>
      </w:r>
      <w:r w:rsidR="006B0EB0" w:rsidRPr="0047574D">
        <w:t>counsel.</w:t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t>1.2</w:t>
      </w:r>
      <w:r w:rsidRPr="0047574D">
        <w:tab/>
        <w:t>On</w:t>
      </w:r>
      <w:r w:rsidR="00211D29">
        <w:t xml:space="preserve"> </w:t>
      </w:r>
      <w:r w:rsidRPr="0047574D">
        <w:t>27</w:t>
      </w:r>
      <w:r w:rsidR="00211D29">
        <w:t xml:space="preserve"> </w:t>
      </w:r>
      <w:r w:rsidRPr="0047574D">
        <w:t>October</w:t>
      </w:r>
      <w:r w:rsidR="00211D29">
        <w:t xml:space="preserve"> </w:t>
      </w:r>
      <w:r w:rsidRPr="0047574D">
        <w:t>2014,</w:t>
      </w:r>
      <w:r w:rsidR="00211D29">
        <w:t xml:space="preserve"> </w:t>
      </w:r>
      <w:r w:rsidRPr="0047574D">
        <w:t>pursuant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rule</w:t>
      </w:r>
      <w:r w:rsidR="00211D29">
        <w:t xml:space="preserve"> </w:t>
      </w:r>
      <w:r w:rsidRPr="0047574D">
        <w:t>92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its</w:t>
      </w:r>
      <w:r w:rsidR="00211D29">
        <w:t xml:space="preserve"> </w:t>
      </w:r>
      <w:r w:rsidRPr="0047574D">
        <w:t>rules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procedure,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Committee,</w:t>
      </w:r>
      <w:r w:rsidR="00211D29">
        <w:t xml:space="preserve"> </w:t>
      </w:r>
      <w:r w:rsidRPr="0047574D">
        <w:t>acting</w:t>
      </w:r>
      <w:r w:rsidR="00211D29">
        <w:t xml:space="preserve"> </w:t>
      </w:r>
      <w:r w:rsidRPr="0047574D">
        <w:t>through</w:t>
      </w:r>
      <w:r w:rsidR="00211D29">
        <w:t xml:space="preserve"> </w:t>
      </w:r>
      <w:r w:rsidRPr="0047574D">
        <w:t>its</w:t>
      </w:r>
      <w:r w:rsidR="00211D29">
        <w:t xml:space="preserve"> </w:t>
      </w:r>
      <w:r w:rsidRPr="0047574D">
        <w:t>Special</w:t>
      </w:r>
      <w:r w:rsidR="00211D29">
        <w:t xml:space="preserve"> </w:t>
      </w:r>
      <w:r w:rsidRPr="0047574D">
        <w:t>Rapporteur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new</w:t>
      </w:r>
      <w:r w:rsidR="00211D29">
        <w:t xml:space="preserve"> </w:t>
      </w:r>
      <w:r w:rsidRPr="0047574D">
        <w:t>communications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interim</w:t>
      </w:r>
      <w:r w:rsidR="00211D29">
        <w:t xml:space="preserve"> </w:t>
      </w:r>
      <w:r w:rsidRPr="0047574D">
        <w:t>measures,</w:t>
      </w:r>
      <w:r w:rsidR="00211D29">
        <w:t xml:space="preserve"> </w:t>
      </w:r>
      <w:r w:rsidRPr="0047574D">
        <w:t>requested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deport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minor</w:t>
      </w:r>
      <w:r w:rsidR="00211D29">
        <w:t xml:space="preserve"> </w:t>
      </w:r>
      <w:r w:rsidRPr="0047574D">
        <w:t>son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while</w:t>
      </w:r>
      <w:r w:rsidR="00211D29">
        <w:t xml:space="preserve"> </w:t>
      </w:r>
      <w:r w:rsidRPr="0047574D">
        <w:t>their</w:t>
      </w:r>
      <w:r w:rsidR="00211D29">
        <w:t xml:space="preserve"> </w:t>
      </w:r>
      <w:r w:rsidRPr="0047574D">
        <w:t>case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consideration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Committee.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28</w:t>
      </w:r>
      <w:r w:rsidR="00211D29">
        <w:t xml:space="preserve"> </w:t>
      </w:r>
      <w:r w:rsidRPr="0047574D">
        <w:t>October</w:t>
      </w:r>
      <w:r w:rsidR="00211D29">
        <w:t xml:space="preserve"> </w:t>
      </w:r>
      <w:r w:rsidRPr="0047574D">
        <w:t>2014,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Refugee</w:t>
      </w:r>
      <w:r w:rsidR="00211D29">
        <w:t xml:space="preserve"> </w:t>
      </w:r>
      <w:r w:rsidRPr="0047574D">
        <w:t>Appeals</w:t>
      </w:r>
      <w:r w:rsidR="00211D29">
        <w:t xml:space="preserve"> </w:t>
      </w:r>
      <w:r w:rsidRPr="0047574D">
        <w:t>Board</w:t>
      </w:r>
      <w:r w:rsidR="00211D29">
        <w:t xml:space="preserve"> </w:t>
      </w:r>
      <w:r w:rsidRPr="0047574D">
        <w:t>suspended</w:t>
      </w:r>
      <w:r w:rsidR="00211D29">
        <w:t xml:space="preserve"> </w:t>
      </w:r>
      <w:r w:rsidRPr="0047574D">
        <w:t>their</w:t>
      </w:r>
      <w:r w:rsidR="00211D29">
        <w:t xml:space="preserve"> </w:t>
      </w:r>
      <w:r w:rsidRPr="0047574D">
        <w:t>deportation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until</w:t>
      </w:r>
      <w:r w:rsidR="00211D29">
        <w:t xml:space="preserve"> </w:t>
      </w:r>
      <w:r w:rsidRPr="0047574D">
        <w:t>further</w:t>
      </w:r>
      <w:r w:rsidR="00211D29">
        <w:t xml:space="preserve"> </w:t>
      </w:r>
      <w:r w:rsidRPr="0047574D">
        <w:t>notice,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compliance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request.</w:t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t>1.3</w:t>
      </w:r>
      <w:r w:rsidR="00211D29">
        <w:t xml:space="preserve"> </w:t>
      </w:r>
      <w:r w:rsidRPr="0047574D">
        <w:tab/>
        <w:t>On</w:t>
      </w:r>
      <w:r w:rsidR="00211D29">
        <w:t xml:space="preserve"> </w:t>
      </w:r>
      <w:r w:rsidRPr="0047574D">
        <w:t>28</w:t>
      </w:r>
      <w:r w:rsidR="00211D29">
        <w:t xml:space="preserve"> </w:t>
      </w:r>
      <w:r w:rsidRPr="0047574D">
        <w:t>January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December</w:t>
      </w:r>
      <w:r w:rsidR="00211D29">
        <w:t xml:space="preserve"> </w:t>
      </w:r>
      <w:r w:rsidRPr="0047574D">
        <w:t>2016,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Committee,</w:t>
      </w:r>
      <w:r w:rsidR="00211D29">
        <w:t xml:space="preserve"> </w:t>
      </w:r>
      <w:r w:rsidRPr="0047574D">
        <w:t>acting</w:t>
      </w:r>
      <w:r w:rsidR="00211D29">
        <w:t xml:space="preserve"> </w:t>
      </w:r>
      <w:r w:rsidRPr="0047574D">
        <w:t>through</w:t>
      </w:r>
      <w:r w:rsidR="00211D29">
        <w:t xml:space="preserve"> </w:t>
      </w:r>
      <w:r w:rsidRPr="0047574D">
        <w:t>its</w:t>
      </w:r>
      <w:r w:rsidR="00211D29">
        <w:t xml:space="preserve"> </w:t>
      </w:r>
      <w:r w:rsidRPr="0047574D">
        <w:t>Special</w:t>
      </w:r>
      <w:r w:rsidR="00211D29">
        <w:t xml:space="preserve"> </w:t>
      </w:r>
      <w:r w:rsidRPr="0047574D">
        <w:t>Rapporteur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new</w:t>
      </w:r>
      <w:r w:rsidR="00211D29">
        <w:t xml:space="preserve"> </w:t>
      </w:r>
      <w:r w:rsidRPr="0047574D">
        <w:t>communications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interim</w:t>
      </w:r>
      <w:r w:rsidR="00211D29">
        <w:t xml:space="preserve"> </w:t>
      </w:r>
      <w:r w:rsidRPr="0047574D">
        <w:t>measures,</w:t>
      </w:r>
      <w:r w:rsidR="00211D29">
        <w:t xml:space="preserve"> </w:t>
      </w:r>
      <w:r w:rsidRPr="0047574D">
        <w:t>denied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request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lift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interim</w:t>
      </w:r>
      <w:r w:rsidR="00211D29">
        <w:t xml:space="preserve"> </w:t>
      </w:r>
      <w:r w:rsidRPr="0047574D">
        <w:t>measures.</w:t>
      </w:r>
    </w:p>
    <w:p w:rsidR="006B0EB0" w:rsidRPr="0047574D" w:rsidRDefault="006B0EB0" w:rsidP="008A32AA">
      <w:pPr>
        <w:pStyle w:val="H23G"/>
      </w:pPr>
      <w:r w:rsidRPr="0047574D">
        <w:tab/>
      </w:r>
      <w:r w:rsidRPr="0047574D">
        <w:tab/>
        <w:t>The</w:t>
      </w:r>
      <w:r w:rsidR="00211D29">
        <w:t xml:space="preserve"> </w:t>
      </w:r>
      <w:r w:rsidRPr="0047574D">
        <w:t>facts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submitted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</w:p>
    <w:p w:rsidR="006B0EB0" w:rsidRPr="0047574D" w:rsidRDefault="006B0EB0" w:rsidP="006B0EB0">
      <w:pPr>
        <w:pStyle w:val="SingleTxtG"/>
      </w:pPr>
      <w:r w:rsidRPr="0047574D">
        <w:t>2.1</w:t>
      </w:r>
      <w:r w:rsidRPr="0047574D">
        <w:tab/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author,</w:t>
      </w:r>
      <w:r w:rsidR="00211D29">
        <w:t xml:space="preserve"> </w:t>
      </w:r>
      <w:r w:rsidRPr="0047574D">
        <w:t>originally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Qoryooley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Shabelle</w:t>
      </w:r>
      <w:r w:rsidR="00211D29">
        <w:t xml:space="preserve"> </w:t>
      </w:r>
      <w:r w:rsidRPr="0047574D">
        <w:t>Hoose,</w:t>
      </w:r>
      <w:r w:rsidR="00211D29">
        <w:t xml:space="preserve"> </w:t>
      </w:r>
      <w:r w:rsidRPr="0047574D">
        <w:t>Somalia,</w:t>
      </w:r>
      <w:r w:rsidR="00211D29">
        <w:t xml:space="preserve"> </w:t>
      </w:r>
      <w:r w:rsidRPr="0047574D">
        <w:t>belongs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Madhiban</w:t>
      </w:r>
      <w:r w:rsidR="00211D29">
        <w:t xml:space="preserve"> </w:t>
      </w:r>
      <w:r w:rsidRPr="0047574D">
        <w:t>clan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professes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Muslim</w:t>
      </w:r>
      <w:r w:rsidR="00211D29">
        <w:t xml:space="preserve"> </w:t>
      </w:r>
      <w:r w:rsidRPr="0047574D">
        <w:t>faith.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no</w:t>
      </w:r>
      <w:r w:rsidR="00211D29">
        <w:t xml:space="preserve"> </w:t>
      </w:r>
      <w:r w:rsidRPr="0047574D">
        <w:t>schooling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used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work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Somalia</w:t>
      </w:r>
      <w:r w:rsidR="00211D29">
        <w:t xml:space="preserve"> </w:t>
      </w:r>
      <w:r w:rsidRPr="0047574D">
        <w:t>painting</w:t>
      </w:r>
      <w:r w:rsidR="00211D29">
        <w:t xml:space="preserve"> </w:t>
      </w:r>
      <w:r w:rsidRPr="0047574D">
        <w:t>hands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feet</w:t>
      </w:r>
      <w:r w:rsidR="00211D29">
        <w:t xml:space="preserve"> </w:t>
      </w:r>
      <w:r w:rsidRPr="0047574D">
        <w:t>using</w:t>
      </w:r>
      <w:r w:rsidR="00211D29">
        <w:t xml:space="preserve"> </w:t>
      </w:r>
      <w:r w:rsidRPr="0047574D">
        <w:t>henna.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town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dominated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most</w:t>
      </w:r>
      <w:r w:rsidR="00211D29">
        <w:t xml:space="preserve"> </w:t>
      </w:r>
      <w:r w:rsidRPr="0047574D">
        <w:t>part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Gare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Jidle</w:t>
      </w:r>
      <w:r w:rsidR="00211D29">
        <w:t xml:space="preserve"> </w:t>
      </w:r>
      <w:r w:rsidRPr="0047574D">
        <w:t>clans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controlled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Al-Shabaab.</w:t>
      </w:r>
      <w:r w:rsidR="00211D29">
        <w:t xml:space="preserve"> </w:t>
      </w:r>
      <w:r w:rsidRPr="0047574D">
        <w:t>After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divorce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first</w:t>
      </w:r>
      <w:r w:rsidR="00211D29">
        <w:t xml:space="preserve"> </w:t>
      </w:r>
      <w:r w:rsidRPr="0047574D">
        <w:t>husband,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became</w:t>
      </w:r>
      <w:r w:rsidR="00211D29">
        <w:t xml:space="preserve"> </w:t>
      </w:r>
      <w:r w:rsidRPr="0047574D">
        <w:t>acquainted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current</w:t>
      </w:r>
      <w:r w:rsidR="00211D29">
        <w:t xml:space="preserve"> </w:t>
      </w:r>
      <w:r w:rsidRPr="0047574D">
        <w:t>spouse,</w:t>
      </w:r>
      <w:r w:rsidR="00211D29">
        <w:t xml:space="preserve"> </w:t>
      </w:r>
      <w:r w:rsidRPr="0047574D">
        <w:t>whom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married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February</w:t>
      </w:r>
      <w:r w:rsidR="00211D29">
        <w:t xml:space="preserve"> </w:t>
      </w:r>
      <w:r w:rsidRPr="0047574D">
        <w:t>2011.</w:t>
      </w:r>
      <w:r w:rsidR="00211D29">
        <w:t xml:space="preserve"> </w:t>
      </w:r>
      <w:r w:rsidRPr="0047574D">
        <w:t>When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current</w:t>
      </w:r>
      <w:r w:rsidR="00211D29">
        <w:t xml:space="preserve"> </w:t>
      </w:r>
      <w:r w:rsidRPr="0047574D">
        <w:t>spouse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family</w:t>
      </w:r>
      <w:r w:rsidR="00211D29">
        <w:t xml:space="preserve"> </w:t>
      </w:r>
      <w:r w:rsidRPr="0047574D">
        <w:t>learned</w:t>
      </w:r>
      <w:r w:rsidR="00211D29">
        <w:t xml:space="preserve"> </w:t>
      </w:r>
      <w:r w:rsidRPr="0047574D">
        <w:t>about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first</w:t>
      </w:r>
      <w:r w:rsidR="00211D29">
        <w:t xml:space="preserve"> </w:t>
      </w:r>
      <w:r w:rsidRPr="0047574D">
        <w:t>marriage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May</w:t>
      </w:r>
      <w:r w:rsidR="00211D29">
        <w:t xml:space="preserve"> </w:t>
      </w:r>
      <w:r w:rsidRPr="0047574D">
        <w:t>2011,</w:t>
      </w:r>
      <w:r w:rsidR="00211D29">
        <w:t xml:space="preserve"> </w:t>
      </w:r>
      <w:r w:rsidRPr="0047574D">
        <w:t>they</w:t>
      </w:r>
      <w:r w:rsidR="00211D29">
        <w:t xml:space="preserve"> </w:t>
      </w:r>
      <w:r w:rsidRPr="0047574D">
        <w:t>reacted</w:t>
      </w:r>
      <w:r w:rsidR="00211D29">
        <w:t xml:space="preserve"> </w:t>
      </w:r>
      <w:r w:rsidRPr="0047574D">
        <w:t>violently</w:t>
      </w:r>
      <w:r w:rsidR="00211D29">
        <w:t xml:space="preserve"> </w:t>
      </w:r>
      <w:r w:rsidRPr="0047574D">
        <w:t>since</w:t>
      </w:r>
      <w:r w:rsidR="00211D29">
        <w:t xml:space="preserve"> </w:t>
      </w:r>
      <w:r w:rsidRPr="0047574D">
        <w:t>they</w:t>
      </w:r>
      <w:r w:rsidR="00211D29">
        <w:t xml:space="preserve"> </w:t>
      </w:r>
      <w:r w:rsidRPr="0047574D">
        <w:t>did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accept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current</w:t>
      </w:r>
      <w:r w:rsidR="00211D29">
        <w:t xml:space="preserve"> </w:t>
      </w:r>
      <w:r w:rsidRPr="0047574D">
        <w:t>husband,</w:t>
      </w:r>
      <w:r w:rsidR="00211D29">
        <w:t xml:space="preserve"> </w:t>
      </w:r>
      <w:r w:rsidRPr="0047574D">
        <w:t>who</w:t>
      </w:r>
      <w:r w:rsidR="00211D29">
        <w:t xml:space="preserve"> </w:t>
      </w:r>
      <w:r w:rsidRPr="0047574D">
        <w:t>belonged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Hawadle</w:t>
      </w:r>
      <w:r w:rsidR="00211D29">
        <w:t xml:space="preserve"> </w:t>
      </w:r>
      <w:r w:rsidRPr="0047574D">
        <w:t>clan,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married</w:t>
      </w:r>
      <w:r w:rsidR="00211D29">
        <w:t xml:space="preserve"> </w:t>
      </w:r>
      <w:r w:rsidRPr="0047574D">
        <w:t>someone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different</w:t>
      </w:r>
      <w:r w:rsidR="00211D29">
        <w:t xml:space="preserve"> </w:t>
      </w:r>
      <w:r w:rsidRPr="0047574D">
        <w:t>clan.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addition,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former</w:t>
      </w:r>
      <w:r w:rsidR="00211D29">
        <w:t xml:space="preserve"> </w:t>
      </w:r>
      <w:r w:rsidRPr="0047574D">
        <w:t>husband</w:t>
      </w:r>
      <w:r w:rsidR="00211D29">
        <w:t xml:space="preserve"> </w:t>
      </w:r>
      <w:r w:rsidRPr="0047574D">
        <w:t>informed</w:t>
      </w:r>
      <w:r w:rsidR="00211D29">
        <w:t xml:space="preserve"> </w:t>
      </w:r>
      <w:r w:rsidRPr="0047574D">
        <w:t>Al-Shabaab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fact,</w:t>
      </w:r>
      <w:r w:rsidR="00211D29">
        <w:t xml:space="preserve"> </w:t>
      </w:r>
      <w:r w:rsidRPr="0047574D">
        <w:t>he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even</w:t>
      </w:r>
      <w:r w:rsidR="00211D29">
        <w:t xml:space="preserve"> </w:t>
      </w:r>
      <w:r w:rsidRPr="0047574D">
        <w:t>divorced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sexual</w:t>
      </w:r>
      <w:r w:rsidR="00211D29">
        <w:t xml:space="preserve"> </w:t>
      </w:r>
      <w:r w:rsidRPr="0047574D">
        <w:t>intercourse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another</w:t>
      </w:r>
      <w:r w:rsidR="00211D29">
        <w:t xml:space="preserve"> </w:t>
      </w:r>
      <w:r w:rsidRPr="0047574D">
        <w:t>man.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2</w:t>
      </w:r>
      <w:r w:rsidR="00211D29">
        <w:t xml:space="preserve"> </w:t>
      </w:r>
      <w:r w:rsidRPr="0047574D">
        <w:t>July</w:t>
      </w:r>
      <w:r w:rsidR="00211D29">
        <w:t xml:space="preserve"> </w:t>
      </w:r>
      <w:r w:rsidRPr="0047574D">
        <w:t>2011,</w:t>
      </w:r>
      <w:r w:rsidR="00211D29">
        <w:t xml:space="preserve"> </w:t>
      </w:r>
      <w:r w:rsidRPr="0047574D">
        <w:t>Al-Shabaab</w:t>
      </w:r>
      <w:r w:rsidR="00211D29">
        <w:t xml:space="preserve"> </w:t>
      </w:r>
      <w:r w:rsidRPr="0047574D">
        <w:t>contacted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father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informed</w:t>
      </w:r>
      <w:r w:rsidR="00211D29">
        <w:t xml:space="preserve"> </w:t>
      </w:r>
      <w:r w:rsidRPr="0047574D">
        <w:t>him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sexual</w:t>
      </w:r>
      <w:r w:rsidR="00211D29">
        <w:t xml:space="preserve"> </w:t>
      </w:r>
      <w:r w:rsidRPr="0047574D">
        <w:t>intercourse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another</w:t>
      </w:r>
      <w:r w:rsidR="00211D29">
        <w:t xml:space="preserve"> </w:t>
      </w:r>
      <w:r w:rsidRPr="0047574D">
        <w:t>man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stoned.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same</w:t>
      </w:r>
      <w:r w:rsidR="00211D29">
        <w:t xml:space="preserve"> </w:t>
      </w:r>
      <w:r w:rsidRPr="0047574D">
        <w:t>day,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father</w:t>
      </w:r>
      <w:r w:rsidR="00211D29">
        <w:t xml:space="preserve"> </w:t>
      </w:r>
      <w:r w:rsidRPr="0047574D">
        <w:t>helped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leave</w:t>
      </w:r>
      <w:r w:rsidR="00211D29">
        <w:t xml:space="preserve"> </w:t>
      </w:r>
      <w:r w:rsidRPr="0047574D">
        <w:t>Qoryooley.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3</w:t>
      </w:r>
      <w:r w:rsidR="00211D29">
        <w:t xml:space="preserve"> </w:t>
      </w:r>
      <w:r w:rsidRPr="0047574D">
        <w:t>July</w:t>
      </w:r>
      <w:r w:rsidR="00211D29">
        <w:t xml:space="preserve"> </w:t>
      </w:r>
      <w:r w:rsidRPr="0047574D">
        <w:t>2011,</w:t>
      </w:r>
      <w:r w:rsidR="00211D29">
        <w:t xml:space="preserve"> </w:t>
      </w:r>
      <w:r w:rsidRPr="0047574D">
        <w:t>Al-Shabaab</w:t>
      </w:r>
      <w:r w:rsidR="00211D29">
        <w:t xml:space="preserve"> </w:t>
      </w:r>
      <w:r w:rsidRPr="0047574D">
        <w:t>killed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father.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current</w:t>
      </w:r>
      <w:r w:rsidR="00211D29">
        <w:t xml:space="preserve"> </w:t>
      </w:r>
      <w:r w:rsidRPr="0047574D">
        <w:t>husband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sentenced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death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does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know</w:t>
      </w:r>
      <w:r w:rsidR="00211D29">
        <w:t xml:space="preserve"> </w:t>
      </w:r>
      <w:r w:rsidRPr="0047574D">
        <w:t>his</w:t>
      </w:r>
      <w:r w:rsidR="00211D29">
        <w:t xml:space="preserve"> </w:t>
      </w:r>
      <w:r w:rsidRPr="0047574D">
        <w:t>whereabouts.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fled</w:t>
      </w:r>
      <w:r w:rsidR="00211D29">
        <w:t xml:space="preserve"> </w:t>
      </w:r>
      <w:r w:rsidRPr="0047574D">
        <w:t>Somalia</w:t>
      </w:r>
      <w:r w:rsidR="00211D29">
        <w:t xml:space="preserve"> </w:t>
      </w:r>
      <w:r w:rsidRPr="0047574D">
        <w:t>because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fear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persecution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Al-Shabaab.</w:t>
      </w:r>
    </w:p>
    <w:p w:rsidR="006B0EB0" w:rsidRPr="0047574D" w:rsidRDefault="006B0EB0" w:rsidP="006B0EB0">
      <w:pPr>
        <w:pStyle w:val="SingleTxtG"/>
      </w:pPr>
      <w:r w:rsidRPr="0047574D">
        <w:t>2.2</w:t>
      </w:r>
      <w:r w:rsidRPr="0047574D">
        <w:tab/>
        <w:t>In</w:t>
      </w:r>
      <w:r w:rsidR="00211D29">
        <w:t xml:space="preserve"> </w:t>
      </w:r>
      <w:r w:rsidRPr="0047574D">
        <w:t>August</w:t>
      </w:r>
      <w:r w:rsidR="00211D29">
        <w:t xml:space="preserve"> </w:t>
      </w:r>
      <w:r w:rsidRPr="0047574D">
        <w:t>2011,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arrived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boat.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registered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11</w:t>
      </w:r>
      <w:r w:rsidR="00211D29">
        <w:t xml:space="preserve"> </w:t>
      </w:r>
      <w:r w:rsidRPr="0047574D">
        <w:t>August</w:t>
      </w:r>
      <w:r w:rsidR="00211D29">
        <w:t xml:space="preserve"> </w:t>
      </w:r>
      <w:r w:rsidRPr="0047574D">
        <w:t>2011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placed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reception</w:t>
      </w:r>
      <w:r w:rsidR="00211D29">
        <w:t xml:space="preserve"> </w:t>
      </w:r>
      <w:r w:rsidRPr="0047574D">
        <w:t>facilities.</w:t>
      </w:r>
      <w:r w:rsidR="00211D29">
        <w:t xml:space="preserve"> </w:t>
      </w:r>
      <w:r w:rsidRPr="0047574D">
        <w:t>According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living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reception</w:t>
      </w:r>
      <w:r w:rsidR="00211D29">
        <w:t xml:space="preserve"> </w:t>
      </w:r>
      <w:r w:rsidRPr="0047574D">
        <w:t>facilities</w:t>
      </w:r>
      <w:r w:rsidR="00211D29">
        <w:t xml:space="preserve"> </w:t>
      </w:r>
      <w:r w:rsidRPr="0047574D">
        <w:t>were</w:t>
      </w:r>
      <w:r w:rsidR="00211D29">
        <w:t xml:space="preserve"> </w:t>
      </w:r>
      <w:r w:rsidRPr="0047574D">
        <w:t>poor: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slept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shed</w:t>
      </w:r>
      <w:r w:rsidR="00211D29">
        <w:t xml:space="preserve"> </w:t>
      </w:r>
      <w:r w:rsidRPr="0047574D">
        <w:t>roof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mattress</w:t>
      </w:r>
      <w:r w:rsidR="00211D29">
        <w:t xml:space="preserve"> </w:t>
      </w:r>
      <w:r w:rsidRPr="0047574D">
        <w:t>without</w:t>
      </w:r>
      <w:r w:rsidR="00211D29">
        <w:t xml:space="preserve"> </w:t>
      </w:r>
      <w:r w:rsidRPr="0047574D">
        <w:t>sheets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only</w:t>
      </w:r>
      <w:r w:rsidR="00211D29">
        <w:t xml:space="preserve"> </w:t>
      </w:r>
      <w:r w:rsidRPr="0047574D">
        <w:t>one</w:t>
      </w:r>
      <w:r w:rsidR="00211D29">
        <w:t xml:space="preserve"> </w:t>
      </w:r>
      <w:r w:rsidRPr="0047574D">
        <w:t>meal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day.</w:t>
      </w:r>
      <w:r w:rsidR="00211D29">
        <w:t xml:space="preserve"> </w:t>
      </w:r>
      <w:r w:rsidRPr="0047574D">
        <w:t>Aside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initial</w:t>
      </w:r>
      <w:r w:rsidR="00211D29">
        <w:t xml:space="preserve"> </w:t>
      </w:r>
      <w:r w:rsidRPr="0047574D">
        <w:t>registration,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does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remember</w:t>
      </w:r>
      <w:r w:rsidR="00211D29">
        <w:t xml:space="preserve"> </w:t>
      </w:r>
      <w:r w:rsidRPr="0047574D">
        <w:t>being</w:t>
      </w:r>
      <w:r w:rsidR="00211D29">
        <w:t xml:space="preserve"> </w:t>
      </w:r>
      <w:r w:rsidRPr="0047574D">
        <w:t>interviewed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police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aware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permit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live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(see</w:t>
      </w:r>
      <w:r w:rsidR="00211D29">
        <w:t xml:space="preserve"> </w:t>
      </w:r>
      <w:r w:rsidRPr="0047574D">
        <w:t>para</w:t>
      </w:r>
      <w:r w:rsidR="000C1B04">
        <w:t>graph</w:t>
      </w:r>
      <w:r w:rsidR="00211D29">
        <w:t xml:space="preserve"> </w:t>
      </w:r>
      <w:r w:rsidRPr="0047574D">
        <w:t>2.6</w:t>
      </w:r>
      <w:r w:rsidR="00211D29">
        <w:t xml:space="preserve"> </w:t>
      </w:r>
      <w:r w:rsidRPr="0047574D">
        <w:t>below).</w:t>
      </w:r>
      <w:r w:rsidR="00211D29">
        <w:t xml:space="preserve"> </w:t>
      </w:r>
      <w:r w:rsidRPr="0047574D">
        <w:t>At</w:t>
      </w:r>
      <w:r w:rsidR="00211D29">
        <w:t xml:space="preserve"> </w:t>
      </w:r>
      <w:r w:rsidRPr="0047574D">
        <w:t>some</w:t>
      </w:r>
      <w:r w:rsidR="00211D29">
        <w:t xml:space="preserve"> </w:t>
      </w:r>
      <w:r w:rsidRPr="0047574D">
        <w:t>point,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became</w:t>
      </w:r>
      <w:r w:rsidR="00211D29">
        <w:t xml:space="preserve"> </w:t>
      </w:r>
      <w:r w:rsidRPr="0047574D">
        <w:t>pregnant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started</w:t>
      </w:r>
      <w:r w:rsidR="00211D29">
        <w:t xml:space="preserve"> </w:t>
      </w:r>
      <w:r w:rsidRPr="0047574D">
        <w:t>bleeding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feeling</w:t>
      </w:r>
      <w:r w:rsidR="00211D29">
        <w:t xml:space="preserve"> </w:t>
      </w:r>
      <w:r w:rsidRPr="0047574D">
        <w:t>sick.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claims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although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summary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interview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police,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reflected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Refugee</w:t>
      </w:r>
      <w:r w:rsidR="00211D29">
        <w:t xml:space="preserve"> </w:t>
      </w:r>
      <w:r w:rsidRPr="0047574D">
        <w:t>Appeals</w:t>
      </w:r>
      <w:r w:rsidR="00211D29">
        <w:t xml:space="preserve"> </w:t>
      </w:r>
      <w:r w:rsidRPr="0047574D">
        <w:t>Board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decision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13</w:t>
      </w:r>
      <w:r w:rsidR="00211D29">
        <w:t xml:space="preserve"> </w:t>
      </w:r>
      <w:r w:rsidRPr="0047574D">
        <w:t>January</w:t>
      </w:r>
      <w:r w:rsidR="00211D29">
        <w:t xml:space="preserve"> </w:t>
      </w:r>
      <w:r w:rsidRPr="0047574D">
        <w:t>2014,</w:t>
      </w:r>
      <w:r w:rsidR="00211D29">
        <w:t xml:space="preserve"> </w:t>
      </w:r>
      <w:r w:rsidRPr="0047574D">
        <w:t>indicates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hospitalized,</w:t>
      </w:r>
      <w:r w:rsidR="00211D29">
        <w:t xml:space="preserve"> </w:t>
      </w:r>
      <w:r w:rsidRPr="0047574D">
        <w:t>this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case.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informed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could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go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hospital</w:t>
      </w:r>
      <w:r w:rsidR="00211D29">
        <w:t xml:space="preserve"> </w:t>
      </w:r>
      <w:r w:rsidRPr="0047574D">
        <w:t>nor</w:t>
      </w:r>
      <w:r w:rsidR="00211D29">
        <w:t xml:space="preserve"> </w:t>
      </w:r>
      <w:r w:rsidRPr="0047574D">
        <w:t>see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doctor.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then</w:t>
      </w:r>
      <w:r w:rsidR="00211D29">
        <w:t xml:space="preserve"> </w:t>
      </w:r>
      <w:r w:rsidRPr="0047574D">
        <w:t>attended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nurse,</w:t>
      </w:r>
      <w:r w:rsidR="00211D29">
        <w:t xml:space="preserve"> </w:t>
      </w:r>
      <w:r w:rsidRPr="0047574D">
        <w:t>who</w:t>
      </w:r>
      <w:r w:rsidR="00211D29">
        <w:t xml:space="preserve"> </w:t>
      </w:r>
      <w:r w:rsidRPr="0047574D">
        <w:t>confirmed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her</w:t>
      </w:r>
      <w:r w:rsidR="00211D29">
        <w:t xml:space="preserve"> </w:t>
      </w:r>
      <w:r w:rsidR="000C1B04">
        <w:t>f</w:t>
      </w:r>
      <w:r w:rsidRPr="0047574D">
        <w:t>etus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alive,</w:t>
      </w:r>
      <w:r w:rsidR="00211D29">
        <w:t xml:space="preserve"> </w:t>
      </w:r>
      <w:r w:rsidRPr="0047574D">
        <w:t>but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did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receive</w:t>
      </w:r>
      <w:r w:rsidR="00211D29">
        <w:t xml:space="preserve"> </w:t>
      </w:r>
      <w:r w:rsidRPr="0047574D">
        <w:t>any</w:t>
      </w:r>
      <w:r w:rsidR="00211D29">
        <w:t xml:space="preserve"> </w:t>
      </w:r>
      <w:r w:rsidRPr="0047574D">
        <w:t>particular</w:t>
      </w:r>
      <w:r w:rsidR="00211D29">
        <w:t xml:space="preserve"> </w:t>
      </w:r>
      <w:r w:rsidRPr="0047574D">
        <w:t>care.</w:t>
      </w:r>
      <w:r w:rsidR="00211D29">
        <w:t xml:space="preserve"> </w:t>
      </w:r>
      <w:r w:rsidRPr="0047574D">
        <w:t>Sometimes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did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eat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too</w:t>
      </w:r>
      <w:r w:rsidR="00211D29">
        <w:t xml:space="preserve"> </w:t>
      </w:r>
      <w:r w:rsidRPr="0047574D">
        <w:t>weak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stand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line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daily</w:t>
      </w:r>
      <w:r w:rsidR="00211D29">
        <w:t xml:space="preserve"> </w:t>
      </w:r>
      <w:r w:rsidRPr="0047574D">
        <w:t>meal.</w:t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t>2.3</w:t>
      </w:r>
      <w:r w:rsidRPr="0047574D">
        <w:tab/>
        <w:t>In</w:t>
      </w:r>
      <w:r w:rsidR="00211D29">
        <w:t xml:space="preserve"> </w:t>
      </w:r>
      <w:r w:rsidRPr="0047574D">
        <w:t>March</w:t>
      </w:r>
      <w:r w:rsidR="00211D29">
        <w:t xml:space="preserve"> </w:t>
      </w:r>
      <w:r w:rsidRPr="0047574D">
        <w:t>2012,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felt</w:t>
      </w:r>
      <w:r w:rsidR="00211D29">
        <w:t xml:space="preserve"> </w:t>
      </w:r>
      <w:r w:rsidRPr="0047574D">
        <w:t>better,</w:t>
      </w:r>
      <w:r w:rsidR="00211D29">
        <w:t xml:space="preserve"> </w:t>
      </w:r>
      <w:r w:rsidRPr="0047574D">
        <w:t>but</w:t>
      </w:r>
      <w:r w:rsidR="00211D29">
        <w:t xml:space="preserve"> </w:t>
      </w:r>
      <w:r w:rsidRPr="0047574D">
        <w:t>still</w:t>
      </w:r>
      <w:r w:rsidR="00211D29">
        <w:t xml:space="preserve"> </w:t>
      </w:r>
      <w:r w:rsidRPr="0047574D">
        <w:t>faced</w:t>
      </w:r>
      <w:r w:rsidR="00211D29">
        <w:t xml:space="preserve"> </w:t>
      </w:r>
      <w:r w:rsidRPr="0047574D">
        <w:t>difficulties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getting</w:t>
      </w:r>
      <w:r w:rsidR="00211D29">
        <w:t xml:space="preserve"> </w:t>
      </w:r>
      <w:r w:rsidRPr="0047574D">
        <w:t>food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access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basic</w:t>
      </w:r>
      <w:r w:rsidR="00211D29">
        <w:t xml:space="preserve"> </w:t>
      </w:r>
      <w:r w:rsidRPr="0047574D">
        <w:t>sanitary</w:t>
      </w:r>
      <w:r w:rsidR="00211D29">
        <w:t xml:space="preserve"> </w:t>
      </w:r>
      <w:r w:rsidRPr="0047574D">
        <w:t>facilities.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found</w:t>
      </w:r>
      <w:r w:rsidR="00211D29">
        <w:t xml:space="preserve"> </w:t>
      </w:r>
      <w:r w:rsidRPr="0047574D">
        <w:t>out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access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housing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very</w:t>
      </w:r>
      <w:r w:rsidR="00211D29">
        <w:t xml:space="preserve"> </w:t>
      </w:r>
      <w:r w:rsidRPr="0047574D">
        <w:t>difficult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feared</w:t>
      </w:r>
      <w:r w:rsidR="00211D29">
        <w:t xml:space="preserve"> </w:t>
      </w:r>
      <w:r w:rsidRPr="0047574D">
        <w:t>giving</w:t>
      </w:r>
      <w:r w:rsidR="00211D29">
        <w:t xml:space="preserve"> </w:t>
      </w:r>
      <w:r w:rsidRPr="0047574D">
        <w:t>birth</w:t>
      </w:r>
      <w:r w:rsidR="00211D29">
        <w:t xml:space="preserve"> </w:t>
      </w:r>
      <w:r w:rsidRPr="0047574D">
        <w:t>without</w:t>
      </w:r>
      <w:r w:rsidR="00211D29">
        <w:t xml:space="preserve"> </w:t>
      </w:r>
      <w:r w:rsidRPr="0047574D">
        <w:t>access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medical</w:t>
      </w:r>
      <w:r w:rsidR="00211D29">
        <w:t xml:space="preserve"> </w:t>
      </w:r>
      <w:r w:rsidRPr="0047574D">
        <w:t>assistance,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travelled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Sweden,</w:t>
      </w:r>
      <w:r w:rsidR="00211D29">
        <w:t xml:space="preserve"> </w:t>
      </w:r>
      <w:r w:rsidRPr="0047574D">
        <w:t>where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gave</w:t>
      </w:r>
      <w:r w:rsidR="00211D29">
        <w:t xml:space="preserve"> </w:t>
      </w:r>
      <w:r w:rsidRPr="0047574D">
        <w:t>birth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son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18</w:t>
      </w:r>
      <w:r w:rsidR="00211D29">
        <w:t xml:space="preserve"> </w:t>
      </w:r>
      <w:r w:rsidRPr="0047574D">
        <w:t>May</w:t>
      </w:r>
      <w:r w:rsidR="00211D29">
        <w:t xml:space="preserve"> </w:t>
      </w:r>
      <w:r w:rsidRPr="0047574D">
        <w:t>2012.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claims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minor</w:t>
      </w:r>
      <w:r w:rsidR="00211D29">
        <w:t xml:space="preserve"> </w:t>
      </w:r>
      <w:r w:rsidRPr="0047574D">
        <w:t>son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registered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does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have</w:t>
      </w:r>
      <w:r w:rsidR="00211D29">
        <w:t xml:space="preserve"> </w:t>
      </w:r>
      <w:r w:rsidRPr="0047574D">
        <w:t>an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permit.</w:t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t>2.4</w:t>
      </w:r>
      <w:r w:rsidRPr="0047574D">
        <w:tab/>
        <w:t>When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learned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Swedish</w:t>
      </w:r>
      <w:r w:rsidR="00211D29">
        <w:t xml:space="preserve"> </w:t>
      </w:r>
      <w:r w:rsidRPr="0047574D">
        <w:t>authorities</w:t>
      </w:r>
      <w:r w:rsidR="00211D29">
        <w:t xml:space="preserve"> </w:t>
      </w:r>
      <w:r w:rsidRPr="0047574D">
        <w:t>planned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send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back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Italy,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decided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move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Denmark,</w:t>
      </w:r>
      <w:r w:rsidR="00211D29">
        <w:t xml:space="preserve"> </w:t>
      </w:r>
      <w:r w:rsidRPr="0047574D">
        <w:t>where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son</w:t>
      </w:r>
      <w:r w:rsidR="00211D29">
        <w:t xml:space="preserve"> </w:t>
      </w:r>
      <w:r w:rsidRPr="0047574D">
        <w:t>arrived,</w:t>
      </w:r>
      <w:r w:rsidR="00211D29">
        <w:t xml:space="preserve"> </w:t>
      </w:r>
      <w:r w:rsidRPr="0047574D">
        <w:t>without</w:t>
      </w:r>
      <w:r w:rsidR="00211D29">
        <w:t xml:space="preserve"> </w:t>
      </w:r>
      <w:r w:rsidRPr="0047574D">
        <w:t>valid</w:t>
      </w:r>
      <w:r w:rsidR="00211D29">
        <w:t xml:space="preserve"> </w:t>
      </w:r>
      <w:r w:rsidRPr="0047574D">
        <w:t>travel</w:t>
      </w:r>
      <w:r w:rsidR="00211D29">
        <w:t xml:space="preserve"> </w:t>
      </w:r>
      <w:r w:rsidRPr="0047574D">
        <w:t>documents,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1</w:t>
      </w:r>
      <w:r w:rsidR="00211D29">
        <w:t xml:space="preserve"> </w:t>
      </w:r>
      <w:r w:rsidRPr="0047574D">
        <w:t>August</w:t>
      </w:r>
      <w:r w:rsidR="00211D29">
        <w:t xml:space="preserve"> </w:t>
      </w:r>
      <w:r w:rsidRPr="0047574D">
        <w:t>2012.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2</w:t>
      </w:r>
      <w:r w:rsidR="00211D29">
        <w:t xml:space="preserve"> </w:t>
      </w:r>
      <w:r w:rsidRPr="0047574D">
        <w:t>August</w:t>
      </w:r>
      <w:r w:rsidR="00211D29">
        <w:t xml:space="preserve"> </w:t>
      </w:r>
      <w:r w:rsidRPr="0047574D">
        <w:t>2012,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applied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Danish</w:t>
      </w:r>
      <w:r w:rsidR="00211D29">
        <w:t xml:space="preserve"> </w:t>
      </w:r>
      <w:r w:rsidRPr="0047574D">
        <w:t>Immigration</w:t>
      </w:r>
      <w:r w:rsidR="00211D29">
        <w:t xml:space="preserve"> </w:t>
      </w:r>
      <w:r w:rsidRPr="0047574D">
        <w:t>Service.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claimed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if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were</w:t>
      </w:r>
      <w:r w:rsidR="00211D29">
        <w:t xml:space="preserve"> </w:t>
      </w:r>
      <w:r w:rsidRPr="0047574D">
        <w:t>returned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Somalia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persecuted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Al-Shabaab;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father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killed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this</w:t>
      </w:r>
      <w:r w:rsidR="00211D29">
        <w:t xml:space="preserve"> </w:t>
      </w:r>
      <w:r w:rsidRPr="0047574D">
        <w:t>group;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current</w:t>
      </w:r>
      <w:r w:rsidR="00211D29">
        <w:t xml:space="preserve"> </w:t>
      </w:r>
      <w:r w:rsidRPr="0047574D">
        <w:t>husband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sentenced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death.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addition,</w:t>
      </w:r>
      <w:r w:rsidR="00211D29">
        <w:t xml:space="preserve"> </w:t>
      </w:r>
      <w:r w:rsidRPr="0047574D">
        <w:t>during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proceedings,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argued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if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were</w:t>
      </w:r>
      <w:r w:rsidR="00211D29">
        <w:t xml:space="preserve"> </w:t>
      </w:r>
      <w:r w:rsidRPr="0047574D">
        <w:t>returned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once</w:t>
      </w:r>
      <w:r w:rsidR="00211D29">
        <w:t xml:space="preserve"> </w:t>
      </w:r>
      <w:r w:rsidRPr="0047574D">
        <w:t>again</w:t>
      </w:r>
      <w:r w:rsidR="00211D29">
        <w:t xml:space="preserve"> </w:t>
      </w:r>
      <w:r w:rsidRPr="0047574D">
        <w:t>experience</w:t>
      </w:r>
      <w:r w:rsidR="00211D29">
        <w:t xml:space="preserve"> </w:t>
      </w:r>
      <w:r w:rsidRPr="0047574D">
        <w:t>harsh</w:t>
      </w:r>
      <w:r w:rsidR="00211D29">
        <w:t xml:space="preserve"> </w:t>
      </w:r>
      <w:r w:rsidRPr="0047574D">
        <w:t>living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lastRenderedPageBreak/>
        <w:t>not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able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provide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son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basic</w:t>
      </w:r>
      <w:r w:rsidR="00211D29">
        <w:t xml:space="preserve"> </w:t>
      </w:r>
      <w:r w:rsidRPr="0047574D">
        <w:t>needs.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expected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face</w:t>
      </w:r>
      <w:r w:rsidR="00211D29">
        <w:t xml:space="preserve"> </w:t>
      </w:r>
      <w:r w:rsidRPr="0047574D">
        <w:t>homelessness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destitution,</w:t>
      </w:r>
      <w:r w:rsidR="00211D29">
        <w:t xml:space="preserve"> </w:t>
      </w:r>
      <w:r w:rsidRPr="0047574D">
        <w:t>being</w:t>
      </w:r>
      <w:r w:rsidR="00211D29">
        <w:t xml:space="preserve"> </w:t>
      </w:r>
      <w:r w:rsidRPr="0047574D">
        <w:t>entirely</w:t>
      </w:r>
      <w:r w:rsidR="00211D29">
        <w:t xml:space="preserve"> </w:t>
      </w:r>
      <w:r w:rsidRPr="0047574D">
        <w:t>dependent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churches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food.</w:t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t>2.5</w:t>
      </w:r>
      <w:r w:rsidR="00211D29">
        <w:t xml:space="preserve"> </w:t>
      </w:r>
      <w:r w:rsidRPr="0047574D">
        <w:tab/>
        <w:t>According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registration</w:t>
      </w:r>
      <w:r w:rsidR="00211D29">
        <w:t xml:space="preserve"> </w:t>
      </w:r>
      <w:r w:rsidRPr="0047574D">
        <w:t>report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16</w:t>
      </w:r>
      <w:r w:rsidR="00211D29">
        <w:t xml:space="preserve"> </w:t>
      </w:r>
      <w:r w:rsidRPr="0047574D">
        <w:t>August</w:t>
      </w:r>
      <w:r w:rsidR="00211D29">
        <w:t xml:space="preserve"> </w:t>
      </w:r>
      <w:r w:rsidRPr="0047574D">
        <w:t>2012</w:t>
      </w:r>
      <w:r w:rsidR="00211D29">
        <w:t xml:space="preserve"> </w:t>
      </w:r>
      <w:r w:rsidRPr="0047574D">
        <w:t>prepared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National</w:t>
      </w:r>
      <w:r w:rsidR="00211D29">
        <w:t xml:space="preserve"> </w:t>
      </w:r>
      <w:r w:rsidRPr="0047574D">
        <w:t>Aliens</w:t>
      </w:r>
      <w:r w:rsidR="00211D29">
        <w:t xml:space="preserve"> </w:t>
      </w:r>
      <w:r w:rsidRPr="0047574D">
        <w:t>Centre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Danish</w:t>
      </w:r>
      <w:r w:rsidR="00211D29">
        <w:t xml:space="preserve"> </w:t>
      </w:r>
      <w:r w:rsidRPr="0047574D">
        <w:t>National</w:t>
      </w:r>
      <w:r w:rsidR="00211D29">
        <w:t xml:space="preserve"> </w:t>
      </w:r>
      <w:r w:rsidRPr="0047574D">
        <w:t>Police,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declared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arrival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hospitalized</w:t>
      </w:r>
      <w:r w:rsidR="00211D29">
        <w:t xml:space="preserve"> </w:t>
      </w:r>
      <w:r w:rsidRPr="0047574D">
        <w:t>due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pregnancy;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asked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applied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received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permit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any</w:t>
      </w:r>
      <w:r w:rsidR="00211D29">
        <w:t xml:space="preserve"> </w:t>
      </w:r>
      <w:r w:rsidRPr="0047574D">
        <w:t>other</w:t>
      </w:r>
      <w:r w:rsidR="00211D29">
        <w:t xml:space="preserve"> </w:t>
      </w:r>
      <w:r w:rsidRPr="0047574D">
        <w:t>documents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authorities;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March</w:t>
      </w:r>
      <w:r w:rsidR="00211D29">
        <w:t xml:space="preserve"> </w:t>
      </w:r>
      <w:r w:rsidRPr="0047574D">
        <w:t>2012,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travelled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Sweden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counterfeit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passport</w:t>
      </w:r>
      <w:r w:rsidR="00211D29">
        <w:t xml:space="preserve"> </w:t>
      </w:r>
      <w:r w:rsidRPr="0047574D">
        <w:t>because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living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were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adequate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pregnant</w:t>
      </w:r>
      <w:r w:rsidR="00211D29">
        <w:t xml:space="preserve"> </w:t>
      </w:r>
      <w:r w:rsidRPr="0047574D">
        <w:t>woman.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referred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poor</w:t>
      </w:r>
      <w:r w:rsidR="00211D29">
        <w:t xml:space="preserve"> </w:t>
      </w:r>
      <w:r w:rsidRPr="0047574D">
        <w:t>quality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food,</w:t>
      </w:r>
      <w:r w:rsidR="00211D29">
        <w:t xml:space="preserve"> </w:t>
      </w:r>
      <w:r w:rsidRPr="0047574D">
        <w:t>lack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access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water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fact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left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own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unable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support</w:t>
      </w:r>
      <w:r w:rsidR="00211D29">
        <w:t xml:space="preserve"> </w:t>
      </w:r>
      <w:r w:rsidRPr="0047574D">
        <w:t>herself.</w:t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t>2.6</w:t>
      </w:r>
      <w:r w:rsidR="00211D29">
        <w:t xml:space="preserve"> </w:t>
      </w:r>
      <w:r w:rsidRPr="0047574D">
        <w:tab/>
        <w:t>On</w:t>
      </w:r>
      <w:r w:rsidR="00211D29">
        <w:t xml:space="preserve"> </w:t>
      </w:r>
      <w:r w:rsidRPr="0047574D">
        <w:t>19</w:t>
      </w:r>
      <w:r w:rsidR="00211D29">
        <w:t xml:space="preserve"> </w:t>
      </w:r>
      <w:r w:rsidRPr="0047574D">
        <w:t>March</w:t>
      </w:r>
      <w:r w:rsidR="00211D29">
        <w:t xml:space="preserve"> </w:t>
      </w:r>
      <w:r w:rsidRPr="0047574D">
        <w:t>2013,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Immigration</w:t>
      </w:r>
      <w:r w:rsidR="00211D29">
        <w:t xml:space="preserve"> </w:t>
      </w:r>
      <w:r w:rsidRPr="0047574D">
        <w:t>Service</w:t>
      </w:r>
      <w:r w:rsidR="00211D29">
        <w:t xml:space="preserve"> </w:t>
      </w:r>
      <w:r w:rsidRPr="0047574D">
        <w:t>requested</w:t>
      </w:r>
      <w:r w:rsidR="00211D29">
        <w:t xml:space="preserve"> </w:t>
      </w:r>
      <w:r w:rsidRPr="0047574D">
        <w:t>information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21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Dublin</w:t>
      </w:r>
      <w:r w:rsidR="00211D29">
        <w:t xml:space="preserve"> </w:t>
      </w:r>
      <w:r w:rsidRPr="0047574D">
        <w:t>Regulation.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4</w:t>
      </w:r>
      <w:r w:rsidR="00211D29">
        <w:t xml:space="preserve"> </w:t>
      </w:r>
      <w:r w:rsidRPr="0047574D">
        <w:t>June</w:t>
      </w:r>
      <w:r w:rsidR="00211D29">
        <w:t xml:space="preserve"> </w:t>
      </w:r>
      <w:r w:rsidRPr="0047574D">
        <w:t>2013,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authorities</w:t>
      </w:r>
      <w:r w:rsidR="00211D29">
        <w:t xml:space="preserve"> </w:t>
      </w:r>
      <w:r w:rsidRPr="0047574D">
        <w:t>informed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Danish</w:t>
      </w:r>
      <w:r w:rsidR="00211D29">
        <w:t xml:space="preserve"> </w:t>
      </w:r>
      <w:r w:rsidRPr="0047574D">
        <w:t>Immigration</w:t>
      </w:r>
      <w:r w:rsidR="00211D29">
        <w:t xml:space="preserve"> </w:t>
      </w:r>
      <w:r w:rsidRPr="0047574D">
        <w:t>Service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residency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form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subsidiary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until</w:t>
      </w:r>
      <w:r w:rsidR="00211D29">
        <w:t xml:space="preserve"> </w:t>
      </w:r>
      <w:r w:rsidRPr="0047574D">
        <w:t>22</w:t>
      </w:r>
      <w:r w:rsidR="00211D29">
        <w:t xml:space="preserve"> </w:t>
      </w:r>
      <w:r w:rsidRPr="0047574D">
        <w:t>December</w:t>
      </w:r>
      <w:r w:rsidR="00211D29">
        <w:t xml:space="preserve"> </w:t>
      </w:r>
      <w:r w:rsidRPr="0047574D">
        <w:t>2014.</w:t>
      </w:r>
    </w:p>
    <w:p w:rsidR="006B0EB0" w:rsidRPr="0047574D" w:rsidRDefault="006B0EB0" w:rsidP="006B0EB0">
      <w:pPr>
        <w:pStyle w:val="SingleTxtG"/>
      </w:pPr>
      <w:r w:rsidRPr="0047574D">
        <w:t>2.7</w:t>
      </w:r>
      <w:r w:rsidR="00211D29">
        <w:t xml:space="preserve"> </w:t>
      </w:r>
      <w:r w:rsidRPr="0047574D">
        <w:tab/>
        <w:t>On</w:t>
      </w:r>
      <w:r w:rsidR="00211D29">
        <w:t xml:space="preserve"> </w:t>
      </w:r>
      <w:r w:rsidRPr="0047574D">
        <w:t>18</w:t>
      </w:r>
      <w:r w:rsidR="00211D29">
        <w:t xml:space="preserve"> </w:t>
      </w:r>
      <w:r w:rsidRPr="0047574D">
        <w:t>November</w:t>
      </w:r>
      <w:r w:rsidR="00211D29">
        <w:t xml:space="preserve"> </w:t>
      </w:r>
      <w:r w:rsidRPr="0047574D">
        <w:t>2013,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interviewed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Immigration</w:t>
      </w:r>
      <w:r w:rsidR="00211D29">
        <w:t xml:space="preserve"> </w:t>
      </w:r>
      <w:r w:rsidRPr="0047574D">
        <w:t>Service.</w:t>
      </w:r>
      <w:r w:rsidR="00211D29">
        <w:t xml:space="preserve"> </w:t>
      </w:r>
      <w:r w:rsidRPr="0047574D">
        <w:t>According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report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interview,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stated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sure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residency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Italy;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given</w:t>
      </w:r>
      <w:r w:rsidR="00211D29">
        <w:t xml:space="preserve"> </w:t>
      </w:r>
      <w:r w:rsidRPr="0047574D">
        <w:t>many</w:t>
      </w:r>
      <w:r w:rsidR="00211D29">
        <w:t xml:space="preserve"> </w:t>
      </w:r>
      <w:r w:rsidRPr="0047574D">
        <w:t>documents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did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know</w:t>
      </w:r>
      <w:r w:rsidR="00211D29">
        <w:t xml:space="preserve"> </w:t>
      </w:r>
      <w:r w:rsidRPr="0047574D">
        <w:t>whether</w:t>
      </w:r>
      <w:r w:rsidR="00211D29">
        <w:t xml:space="preserve"> </w:t>
      </w:r>
      <w:r w:rsidRPr="0047574D">
        <w:t>they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included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permit;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ill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treated</w:t>
      </w:r>
      <w:r w:rsidR="00211D29">
        <w:t xml:space="preserve"> </w:t>
      </w:r>
      <w:r w:rsidRPr="0047574D">
        <w:t>at</w:t>
      </w:r>
      <w:r w:rsidR="00211D29">
        <w:t xml:space="preserve"> </w:t>
      </w:r>
      <w:r w:rsidRPr="0047574D">
        <w:t>hospital;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hospitalized,</w:t>
      </w:r>
      <w:r w:rsidR="00211D29">
        <w:t xml:space="preserve"> </w:t>
      </w:r>
      <w:r w:rsidRPr="0047574D">
        <w:t>but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nurse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visited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at</w:t>
      </w:r>
      <w:r w:rsidR="00211D29">
        <w:t xml:space="preserve"> </w:t>
      </w:r>
      <w:r w:rsidRPr="0047574D">
        <w:t>home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rural</w:t>
      </w:r>
      <w:r w:rsidR="00211D29">
        <w:t xml:space="preserve"> </w:t>
      </w:r>
      <w:r w:rsidRPr="0047574D">
        <w:t>dwelling</w:t>
      </w:r>
      <w:r w:rsidR="00211D29">
        <w:t xml:space="preserve"> </w:t>
      </w:r>
      <w:r w:rsidRPr="0047574D">
        <w:t>where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living</w:t>
      </w:r>
      <w:r w:rsidR="00211D29">
        <w:t xml:space="preserve"> </w:t>
      </w:r>
      <w:r w:rsidRPr="0047574D">
        <w:t>at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time;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left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immediately</w:t>
      </w:r>
      <w:r w:rsidR="00211D29">
        <w:t xml:space="preserve"> </w:t>
      </w:r>
      <w:r w:rsidRPr="0047574D">
        <w:t>after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recovered.</w:t>
      </w:r>
      <w:r w:rsidR="00211D29">
        <w:t xml:space="preserve"> </w:t>
      </w:r>
      <w:r w:rsidRPr="0047574D">
        <w:t>During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interview,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informed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4</w:t>
      </w:r>
      <w:r w:rsidR="00211D29">
        <w:t xml:space="preserve"> </w:t>
      </w:r>
      <w:r w:rsidRPr="0047574D">
        <w:t>June</w:t>
      </w:r>
      <w:r w:rsidR="00211D29">
        <w:t xml:space="preserve"> </w:t>
      </w:r>
      <w:r w:rsidRPr="0047574D">
        <w:t>2013,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authorities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stated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subsidiary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permit</w:t>
      </w:r>
      <w:r w:rsidR="00211D29">
        <w:t xml:space="preserve"> </w:t>
      </w:r>
      <w:r w:rsidRPr="0047574D">
        <w:t>valid</w:t>
      </w:r>
      <w:r w:rsidR="00211D29">
        <w:t xml:space="preserve"> </w:t>
      </w:r>
      <w:r w:rsidRPr="0047574D">
        <w:t>until</w:t>
      </w:r>
      <w:r w:rsidR="00211D29">
        <w:t xml:space="preserve"> </w:t>
      </w:r>
      <w:r w:rsidRPr="0047574D">
        <w:t>22</w:t>
      </w:r>
      <w:r w:rsidR="00211D29">
        <w:t xml:space="preserve"> </w:t>
      </w:r>
      <w:r w:rsidRPr="0047574D">
        <w:t>December</w:t>
      </w:r>
      <w:r w:rsidR="00211D29">
        <w:t xml:space="preserve"> </w:t>
      </w:r>
      <w:r w:rsidRPr="0047574D">
        <w:t>2014.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also</w:t>
      </w:r>
      <w:r w:rsidR="00211D29">
        <w:t xml:space="preserve"> </w:t>
      </w:r>
      <w:r w:rsidRPr="0047574D">
        <w:t>informed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according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judgment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European</w:t>
      </w:r>
      <w:r w:rsidR="00211D29">
        <w:t xml:space="preserve"> </w:t>
      </w:r>
      <w:r w:rsidRPr="0047574D">
        <w:t>Court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Human</w:t>
      </w:r>
      <w:r w:rsidR="00211D29">
        <w:t xml:space="preserve"> </w:t>
      </w:r>
      <w:r w:rsidRPr="0047574D">
        <w:t>Rights</w:t>
      </w:r>
      <w:r w:rsidR="00211D29">
        <w:t xml:space="preserve"> </w:t>
      </w:r>
      <w:r w:rsidRPr="0047574D">
        <w:t>in</w:t>
      </w:r>
      <w:r w:rsidR="00211D29">
        <w:t xml:space="preserve"> </w:t>
      </w:r>
      <w:r w:rsidR="00AF5C26" w:rsidRPr="00AF5C26">
        <w:rPr>
          <w:i/>
        </w:rPr>
        <w:t>Samsam</w:t>
      </w:r>
      <w:r w:rsidR="00211D29">
        <w:rPr>
          <w:i/>
        </w:rPr>
        <w:t xml:space="preserve"> </w:t>
      </w:r>
      <w:r w:rsidR="00AF5C26" w:rsidRPr="00AF5C26">
        <w:rPr>
          <w:i/>
        </w:rPr>
        <w:t>Mohammed</w:t>
      </w:r>
      <w:r w:rsidR="00211D29">
        <w:rPr>
          <w:i/>
        </w:rPr>
        <w:t xml:space="preserve"> </w:t>
      </w:r>
      <w:r w:rsidR="00AF5C26" w:rsidRPr="00AF5C26">
        <w:rPr>
          <w:i/>
        </w:rPr>
        <w:t>Hussein</w:t>
      </w:r>
      <w:r w:rsidR="00211D29">
        <w:rPr>
          <w:i/>
        </w:rPr>
        <w:t xml:space="preserve"> </w:t>
      </w:r>
      <w:r w:rsidR="00AF5C26" w:rsidRPr="00AF5C26">
        <w:rPr>
          <w:i/>
        </w:rPr>
        <w:t>and</w:t>
      </w:r>
      <w:r w:rsidR="00211D29">
        <w:rPr>
          <w:i/>
        </w:rPr>
        <w:t xml:space="preserve"> </w:t>
      </w:r>
      <w:r w:rsidR="00AF5C26" w:rsidRPr="00AF5C26">
        <w:rPr>
          <w:i/>
        </w:rPr>
        <w:t>Others</w:t>
      </w:r>
      <w:r w:rsidR="00211D29">
        <w:rPr>
          <w:i/>
        </w:rPr>
        <w:t xml:space="preserve"> </w:t>
      </w:r>
      <w:r w:rsidR="00AF5C26" w:rsidRPr="00AF5C26">
        <w:rPr>
          <w:i/>
        </w:rPr>
        <w:t>v.</w:t>
      </w:r>
      <w:r w:rsidR="00211D29">
        <w:rPr>
          <w:i/>
        </w:rPr>
        <w:t xml:space="preserve"> </w:t>
      </w:r>
      <w:r w:rsidR="00AF5C26" w:rsidRPr="00AF5C26">
        <w:rPr>
          <w:i/>
        </w:rPr>
        <w:t>the</w:t>
      </w:r>
      <w:r w:rsidR="00211D29">
        <w:rPr>
          <w:i/>
        </w:rPr>
        <w:t xml:space="preserve"> </w:t>
      </w:r>
      <w:r w:rsidR="00AF5C26" w:rsidRPr="00AF5C26">
        <w:rPr>
          <w:i/>
        </w:rPr>
        <w:t>Netherlands</w:t>
      </w:r>
      <w:r w:rsidR="00211D29">
        <w:rPr>
          <w:i/>
        </w:rPr>
        <w:t xml:space="preserve"> </w:t>
      </w:r>
      <w:r w:rsidR="00AF5C26" w:rsidRPr="00AF5C26">
        <w:rPr>
          <w:i/>
        </w:rPr>
        <w:t>and</w:t>
      </w:r>
      <w:r w:rsidR="00211D29">
        <w:rPr>
          <w:i/>
        </w:rPr>
        <w:t xml:space="preserve"> </w:t>
      </w:r>
      <w:r w:rsidR="00AF5C26" w:rsidRPr="00AF5C26">
        <w:rPr>
          <w:i/>
        </w:rPr>
        <w:t>Italy</w:t>
      </w:r>
      <w:r w:rsidRPr="0047574D">
        <w:t>,</w:t>
      </w:r>
      <w:r w:rsidRPr="00D81309">
        <w:rPr>
          <w:rStyle w:val="FootnoteReference"/>
        </w:rPr>
        <w:footnoteReference w:id="4"/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person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subsidiary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provided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renewable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permit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validity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three</w:t>
      </w:r>
      <w:r w:rsidR="00211D29">
        <w:t xml:space="preserve"> </w:t>
      </w:r>
      <w:r w:rsidRPr="0047574D">
        <w:t>years;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such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permit</w:t>
      </w:r>
      <w:r w:rsidR="00211D29">
        <w:t xml:space="preserve"> </w:t>
      </w:r>
      <w:r w:rsidRPr="0047574D">
        <w:t>entitled</w:t>
      </w:r>
      <w:r w:rsidR="00211D29">
        <w:t xml:space="preserve"> </w:t>
      </w:r>
      <w:r w:rsidRPr="0047574D">
        <w:t>its</w:t>
      </w:r>
      <w:r w:rsidR="00211D29">
        <w:t xml:space="preserve"> </w:t>
      </w:r>
      <w:r w:rsidRPr="0047574D">
        <w:t>holder</w:t>
      </w:r>
      <w:r w:rsidR="00211D29">
        <w:t xml:space="preserve"> </w:t>
      </w:r>
      <w:r w:rsidRPr="0047574D">
        <w:t>to,</w:t>
      </w:r>
      <w:r w:rsidR="00211D29">
        <w:t xml:space="preserve"> </w:t>
      </w:r>
      <w:r w:rsidRPr="0047574D">
        <w:t>inter</w:t>
      </w:r>
      <w:r w:rsidR="00211D29">
        <w:t xml:space="preserve"> </w:t>
      </w:r>
      <w:r w:rsidRPr="0047574D">
        <w:t>alia,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travel</w:t>
      </w:r>
      <w:r w:rsidR="00211D29">
        <w:t xml:space="preserve"> </w:t>
      </w:r>
      <w:r w:rsidRPr="0047574D">
        <w:t>document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aliens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right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work,</w:t>
      </w:r>
      <w:r w:rsidR="00211D29">
        <w:t xml:space="preserve"> </w:t>
      </w:r>
      <w:r w:rsidRPr="0047574D">
        <w:t>family</w:t>
      </w:r>
      <w:r w:rsidR="00211D29">
        <w:t xml:space="preserve"> </w:t>
      </w:r>
      <w:r w:rsidRPr="0047574D">
        <w:t>reunification,</w:t>
      </w:r>
      <w:r w:rsidR="00211D29">
        <w:t xml:space="preserve"> </w:t>
      </w:r>
      <w:r w:rsidRPr="0047574D">
        <w:t>social</w:t>
      </w:r>
      <w:r w:rsidR="00211D29">
        <w:t xml:space="preserve"> </w:t>
      </w:r>
      <w:r w:rsidRPr="0047574D">
        <w:t>assistance,</w:t>
      </w:r>
      <w:r w:rsidR="00211D29">
        <w:t xml:space="preserve"> </w:t>
      </w:r>
      <w:r w:rsidRPr="0047574D">
        <w:t>health</w:t>
      </w:r>
      <w:r w:rsidR="00211D29">
        <w:t xml:space="preserve"> </w:t>
      </w:r>
      <w:r w:rsidRPr="0047574D">
        <w:t>care,</w:t>
      </w:r>
      <w:r w:rsidR="00211D29">
        <w:t xml:space="preserve"> </w:t>
      </w:r>
      <w:r w:rsidRPr="0047574D">
        <w:t>social</w:t>
      </w:r>
      <w:r w:rsidR="00211D29">
        <w:t xml:space="preserve"> </w:t>
      </w:r>
      <w:r w:rsidRPr="0047574D">
        <w:t>housing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education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national</w:t>
      </w:r>
      <w:r w:rsidR="00211D29">
        <w:t xml:space="preserve"> </w:t>
      </w:r>
      <w:r w:rsidRPr="0047574D">
        <w:t>law.</w:t>
      </w:r>
      <w:bookmarkStart w:id="1" w:name="_Ref494805140"/>
      <w:r w:rsidRPr="00D81309">
        <w:rPr>
          <w:rStyle w:val="FootnoteReference"/>
        </w:rPr>
        <w:footnoteReference w:id="5"/>
      </w:r>
      <w:bookmarkEnd w:id="1"/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provided</w:t>
      </w:r>
      <w:r w:rsidR="00211D29">
        <w:t xml:space="preserve"> </w:t>
      </w:r>
      <w:r w:rsidRPr="0047574D">
        <w:t>no</w:t>
      </w:r>
      <w:r w:rsidR="00211D29">
        <w:t xml:space="preserve"> </w:t>
      </w:r>
      <w:r w:rsidRPr="0047574D">
        <w:t>comment</w:t>
      </w:r>
      <w:r w:rsidR="00211D29">
        <w:t xml:space="preserve"> </w:t>
      </w:r>
      <w:r w:rsidRPr="0047574D">
        <w:t>regarding</w:t>
      </w:r>
      <w:r w:rsidR="00211D29">
        <w:t xml:space="preserve"> </w:t>
      </w:r>
      <w:r w:rsidRPr="0047574D">
        <w:t>this</w:t>
      </w:r>
      <w:r w:rsidR="00211D29">
        <w:t xml:space="preserve"> </w:t>
      </w:r>
      <w:r w:rsidRPr="0047574D">
        <w:t>information.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same</w:t>
      </w:r>
      <w:r w:rsidR="00211D29">
        <w:t xml:space="preserve"> </w:t>
      </w:r>
      <w:r w:rsidRPr="0047574D">
        <w:t>day,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Immigration</w:t>
      </w:r>
      <w:r w:rsidR="00211D29">
        <w:t xml:space="preserve"> </w:t>
      </w:r>
      <w:r w:rsidRPr="0047574D">
        <w:t>Service</w:t>
      </w:r>
      <w:r w:rsidR="00211D29">
        <w:t xml:space="preserve"> </w:t>
      </w:r>
      <w:r w:rsidRPr="0047574D">
        <w:t>determined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need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subsidiary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owing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situation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Somalia,</w:t>
      </w:r>
      <w:r w:rsidR="00211D29">
        <w:t xml:space="preserve"> </w:t>
      </w:r>
      <w:r w:rsidRPr="0047574D">
        <w:t>but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should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deported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fist</w:t>
      </w:r>
      <w:r w:rsidR="00211D29">
        <w:t xml:space="preserve"> </w:t>
      </w:r>
      <w:r w:rsidRPr="0047574D">
        <w:t>country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asylum.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appealed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decision</w:t>
      </w:r>
      <w:r w:rsidR="00211D29">
        <w:t xml:space="preserve"> </w:t>
      </w:r>
      <w:r w:rsidRPr="0047574D">
        <w:t>before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Refugee</w:t>
      </w:r>
      <w:r w:rsidR="00211D29">
        <w:t xml:space="preserve"> </w:t>
      </w:r>
      <w:r w:rsidRPr="0047574D">
        <w:t>Appeals</w:t>
      </w:r>
      <w:r w:rsidR="00211D29">
        <w:t xml:space="preserve"> </w:t>
      </w:r>
      <w:r w:rsidRPr="0047574D">
        <w:t>Board.</w:t>
      </w:r>
    </w:p>
    <w:p w:rsidR="006B0EB0" w:rsidRPr="0047574D" w:rsidRDefault="006B0EB0" w:rsidP="006B0EB0">
      <w:pPr>
        <w:pStyle w:val="SingleTxtG"/>
      </w:pPr>
      <w:r w:rsidRPr="0047574D">
        <w:t>2.8</w:t>
      </w:r>
      <w:r w:rsidR="00211D29">
        <w:t xml:space="preserve"> </w:t>
      </w:r>
      <w:r w:rsidRPr="0047574D">
        <w:tab/>
        <w:t>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hearing</w:t>
      </w:r>
      <w:r w:rsidR="00211D29">
        <w:t xml:space="preserve"> </w:t>
      </w:r>
      <w:r w:rsidRPr="0047574D">
        <w:t>before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Board,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stated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lived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difficult</w:t>
      </w:r>
      <w:r w:rsidR="00211D29">
        <w:t xml:space="preserve"> </w:t>
      </w:r>
      <w:r w:rsidRPr="0047574D">
        <w:t>life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since,</w:t>
      </w:r>
      <w:r w:rsidR="00211D29">
        <w:t xml:space="preserve"> </w:t>
      </w:r>
      <w:r w:rsidRPr="0047574D">
        <w:t>after</w:t>
      </w:r>
      <w:r w:rsidR="00211D29">
        <w:t xml:space="preserve"> </w:t>
      </w:r>
      <w:r w:rsidRPr="0047574D">
        <w:t>receiving</w:t>
      </w:r>
      <w:r w:rsidR="00211D29">
        <w:t xml:space="preserve"> </w:t>
      </w:r>
      <w:r w:rsidRPr="0047574D">
        <w:t>little</w:t>
      </w:r>
      <w:r w:rsidR="00211D29">
        <w:t xml:space="preserve"> </w:t>
      </w:r>
      <w:r w:rsidRPr="0047574D">
        <w:t>food,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undernourished,</w:t>
      </w:r>
      <w:r w:rsidR="00211D29">
        <w:t xml:space="preserve"> </w:t>
      </w:r>
      <w:r w:rsidRPr="0047574D">
        <w:t>fainted</w:t>
      </w:r>
      <w:r w:rsidR="00211D29">
        <w:t xml:space="preserve"> </w:t>
      </w:r>
      <w:r w:rsidRPr="0047574D">
        <w:t>often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almost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miscarriage.</w:t>
      </w:r>
      <w:r w:rsidR="00211D29">
        <w:t xml:space="preserve"> </w:t>
      </w:r>
      <w:r w:rsidRPr="0047574D">
        <w:t>However,</w:t>
      </w:r>
      <w:r w:rsidR="00211D29">
        <w:t xml:space="preserve"> </w:t>
      </w:r>
      <w:r w:rsidRPr="0047574D">
        <w:t>no</w:t>
      </w:r>
      <w:r w:rsidR="00211D29">
        <w:t xml:space="preserve"> </w:t>
      </w:r>
      <w:r w:rsidRPr="0047574D">
        <w:t>one</w:t>
      </w:r>
      <w:r w:rsidR="00211D29">
        <w:t xml:space="preserve"> </w:t>
      </w:r>
      <w:r w:rsidRPr="0047574D">
        <w:t>took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hospital.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complained</w:t>
      </w:r>
      <w:r w:rsidR="00211D29">
        <w:t xml:space="preserve"> </w:t>
      </w:r>
      <w:r w:rsidRPr="0047574D">
        <w:t>about</w:t>
      </w:r>
      <w:r w:rsidR="00211D29">
        <w:t xml:space="preserve"> </w:t>
      </w:r>
      <w:r w:rsidRPr="0047574D">
        <w:t>those</w:t>
      </w:r>
      <w:r w:rsidR="00211D29">
        <w:t xml:space="preserve"> </w:t>
      </w:r>
      <w:r w:rsidRPr="0047574D">
        <w:t>living</w:t>
      </w:r>
      <w:r w:rsidR="00211D29">
        <w:t xml:space="preserve"> </w:t>
      </w:r>
      <w:r w:rsidRPr="0047574D">
        <w:t>conditions,</w:t>
      </w:r>
      <w:r w:rsidR="00211D29">
        <w:t xml:space="preserve"> </w:t>
      </w:r>
      <w:r w:rsidRPr="0047574D">
        <w:t>without</w:t>
      </w:r>
      <w:r w:rsidR="00211D29">
        <w:t xml:space="preserve"> </w:t>
      </w:r>
      <w:r w:rsidRPr="0047574D">
        <w:t>success.</w:t>
      </w:r>
      <w:r w:rsidR="00211D29">
        <w:t xml:space="preserve"> </w:t>
      </w:r>
      <w:r w:rsidRPr="0047574D">
        <w:t>Therefore,</w:t>
      </w:r>
      <w:r w:rsidR="00211D29">
        <w:t xml:space="preserve"> </w:t>
      </w:r>
      <w:r w:rsidRPr="0047574D">
        <w:t>if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were</w:t>
      </w:r>
      <w:r w:rsidR="00211D29">
        <w:t xml:space="preserve"> </w:t>
      </w:r>
      <w:r w:rsidRPr="0047574D">
        <w:t>returned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Italy,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life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at</w:t>
      </w:r>
      <w:r w:rsidR="00211D29">
        <w:t xml:space="preserve"> </w:t>
      </w:r>
      <w:r w:rsidRPr="0047574D">
        <w:t>risk.</w:t>
      </w:r>
    </w:p>
    <w:p w:rsidR="006B0EB0" w:rsidRPr="0047574D" w:rsidRDefault="006B0EB0" w:rsidP="006B0EB0">
      <w:pPr>
        <w:pStyle w:val="SingleTxtG"/>
      </w:pPr>
      <w:r w:rsidRPr="0047574D">
        <w:t>2.9</w:t>
      </w:r>
      <w:r w:rsidR="00211D29">
        <w:t xml:space="preserve"> </w:t>
      </w:r>
      <w:r w:rsidRPr="0047574D">
        <w:tab/>
        <w:t>On</w:t>
      </w:r>
      <w:r w:rsidR="00211D29">
        <w:t xml:space="preserve"> </w:t>
      </w:r>
      <w:r w:rsidRPr="0047574D">
        <w:t>13</w:t>
      </w:r>
      <w:r w:rsidR="00211D29">
        <w:t xml:space="preserve"> </w:t>
      </w:r>
      <w:r w:rsidRPr="0047574D">
        <w:t>January</w:t>
      </w:r>
      <w:r w:rsidR="00211D29">
        <w:t xml:space="preserve"> </w:t>
      </w:r>
      <w:r w:rsidRPr="0047574D">
        <w:t>2014,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Board</w:t>
      </w:r>
      <w:r w:rsidR="00211D29">
        <w:t xml:space="preserve"> </w:t>
      </w:r>
      <w:r w:rsidRPr="0047574D">
        <w:t>considered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fell</w:t>
      </w:r>
      <w:r w:rsidR="00211D29">
        <w:t xml:space="preserve"> </w:t>
      </w:r>
      <w:r w:rsidRPr="0047574D">
        <w:t>within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purview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section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(2)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Aliens</w:t>
      </w:r>
      <w:r w:rsidR="00211D29">
        <w:t xml:space="preserve"> </w:t>
      </w:r>
      <w:r w:rsidRPr="0047574D">
        <w:t>Act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result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persecution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Al-Shabaab</w:t>
      </w:r>
      <w:r w:rsidRPr="00D81309">
        <w:rPr>
          <w:rStyle w:val="FootnoteReference"/>
        </w:rPr>
        <w:footnoteReference w:id="6"/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consequently,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question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whether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could</w:t>
      </w:r>
      <w:r w:rsidR="00211D29">
        <w:t xml:space="preserve"> </w:t>
      </w:r>
      <w:r w:rsidRPr="0047574D">
        <w:t>serve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first</w:t>
      </w:r>
      <w:r w:rsidR="00211D29">
        <w:t xml:space="preserve"> </w:t>
      </w:r>
      <w:r w:rsidRPr="0047574D">
        <w:t>country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asylum,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accordance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section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(3)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Aliens</w:t>
      </w:r>
      <w:r w:rsidR="00211D29">
        <w:t xml:space="preserve"> </w:t>
      </w:r>
      <w:r w:rsidRPr="0047574D">
        <w:t>Act.</w:t>
      </w:r>
      <w:r w:rsidRPr="00D81309">
        <w:rPr>
          <w:rStyle w:val="FootnoteReference"/>
        </w:rPr>
        <w:footnoteReference w:id="7"/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Board</w:t>
      </w:r>
      <w:r w:rsidR="00211D29">
        <w:t xml:space="preserve"> </w:t>
      </w:r>
      <w:r w:rsidRPr="0047574D">
        <w:t>referred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decision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European</w:t>
      </w:r>
      <w:r w:rsidR="00211D29">
        <w:t xml:space="preserve"> </w:t>
      </w:r>
      <w:r w:rsidRPr="0047574D">
        <w:t>Court</w:t>
      </w:r>
      <w:r w:rsidR="00211D29">
        <w:t xml:space="preserve"> </w:t>
      </w:r>
      <w:r w:rsidRPr="0047574D">
        <w:t>in</w:t>
      </w:r>
      <w:r w:rsidR="00211D29">
        <w:t xml:space="preserve"> </w:t>
      </w:r>
      <w:r w:rsidR="00AF5C26" w:rsidRPr="00AF5C26">
        <w:rPr>
          <w:i/>
        </w:rPr>
        <w:t>Samsam</w:t>
      </w:r>
      <w:r w:rsidR="00211D29">
        <w:rPr>
          <w:i/>
        </w:rPr>
        <w:t xml:space="preserve"> </w:t>
      </w:r>
      <w:r w:rsidR="00AF5C26" w:rsidRPr="00AF5C26">
        <w:rPr>
          <w:i/>
        </w:rPr>
        <w:t>Mohammed</w:t>
      </w:r>
      <w:r w:rsidR="00211D29">
        <w:rPr>
          <w:i/>
        </w:rPr>
        <w:t xml:space="preserve"> </w:t>
      </w:r>
      <w:r w:rsidR="00AF5C26" w:rsidRPr="00AF5C26">
        <w:rPr>
          <w:i/>
        </w:rPr>
        <w:t>Hussein</w:t>
      </w:r>
      <w:r w:rsidR="00211D29">
        <w:rPr>
          <w:i/>
        </w:rPr>
        <w:t xml:space="preserve"> </w:t>
      </w:r>
      <w:r w:rsidR="00AF5C26" w:rsidRPr="00AF5C26">
        <w:rPr>
          <w:i/>
        </w:rPr>
        <w:t>and</w:t>
      </w:r>
      <w:r w:rsidR="00211D29">
        <w:rPr>
          <w:i/>
        </w:rPr>
        <w:t xml:space="preserve"> </w:t>
      </w:r>
      <w:r w:rsidR="00AF5C26" w:rsidRPr="00AF5C26">
        <w:rPr>
          <w:i/>
        </w:rPr>
        <w:t>Others</w:t>
      </w:r>
      <w:r w:rsidR="00211D29">
        <w:rPr>
          <w:i/>
        </w:rPr>
        <w:t xml:space="preserve"> </w:t>
      </w:r>
      <w:r w:rsidR="00AF5C26" w:rsidRPr="00AF5C26">
        <w:rPr>
          <w:i/>
        </w:rPr>
        <w:t>v.</w:t>
      </w:r>
      <w:r w:rsidR="00211D29">
        <w:rPr>
          <w:i/>
        </w:rPr>
        <w:t xml:space="preserve"> </w:t>
      </w:r>
      <w:r w:rsidR="00AF5C26" w:rsidRPr="00AF5C26">
        <w:rPr>
          <w:i/>
        </w:rPr>
        <w:t>the</w:t>
      </w:r>
      <w:r w:rsidR="00211D29">
        <w:rPr>
          <w:i/>
        </w:rPr>
        <w:t xml:space="preserve"> </w:t>
      </w:r>
      <w:r w:rsidR="00AF5C26" w:rsidRPr="00AF5C26">
        <w:rPr>
          <w:i/>
        </w:rPr>
        <w:t>Netherlands</w:t>
      </w:r>
      <w:r w:rsidR="00211D29">
        <w:rPr>
          <w:i/>
        </w:rPr>
        <w:t xml:space="preserve"> </w:t>
      </w:r>
      <w:r w:rsidR="00AF5C26" w:rsidRPr="00AF5C26">
        <w:rPr>
          <w:i/>
        </w:rPr>
        <w:t>and</w:t>
      </w:r>
      <w:r w:rsidR="00211D29">
        <w:rPr>
          <w:i/>
        </w:rPr>
        <w:t xml:space="preserve"> </w:t>
      </w:r>
      <w:r w:rsidR="00AF5C26" w:rsidRPr="00AF5C26">
        <w:rPr>
          <w:i/>
        </w:rPr>
        <w:t>Italy</w:t>
      </w:r>
      <w:r w:rsidRPr="00D81309">
        <w:rPr>
          <w:rStyle w:val="FootnoteReference"/>
        </w:rPr>
        <w:footnoteReference w:id="8"/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found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could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accepted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fact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have</w:t>
      </w:r>
      <w:r w:rsidR="00211D29">
        <w:t xml:space="preserve"> </w:t>
      </w:r>
      <w:r w:rsidRPr="0047574D">
        <w:t>starved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death</w:t>
      </w:r>
      <w:r w:rsidR="00211D29">
        <w:t xml:space="preserve"> </w:t>
      </w:r>
      <w:r w:rsidRPr="0047574D">
        <w:t>if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stayed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Italy;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protected</w:t>
      </w:r>
      <w:r w:rsidR="00211D29">
        <w:t xml:space="preserve"> </w:t>
      </w:r>
      <w:r w:rsidRPr="0047574D">
        <w:t>against</w:t>
      </w:r>
      <w:r w:rsidR="00211D29">
        <w:t xml:space="preserve"> </w:t>
      </w:r>
      <w:r w:rsidRPr="0047574D">
        <w:t>refoulement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return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Italy,</w:t>
      </w:r>
      <w:r w:rsidR="00211D29">
        <w:t xml:space="preserve"> </w:t>
      </w:r>
      <w:r w:rsidRPr="0047574D">
        <w:t>where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temporary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until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end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2014;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lastRenderedPageBreak/>
        <w:t>financial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social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offered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adequate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serve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first</w:t>
      </w:r>
      <w:r w:rsidR="00211D29">
        <w:t xml:space="preserve"> </w:t>
      </w:r>
      <w:r w:rsidRPr="0047574D">
        <w:t>country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asylum,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reference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section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(3)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Aliens</w:t>
      </w:r>
      <w:r w:rsidR="00211D29">
        <w:t xml:space="preserve"> </w:t>
      </w:r>
      <w:r w:rsidRPr="0047574D">
        <w:t>Act.</w:t>
      </w:r>
      <w:r w:rsidR="00211D29">
        <w:t xml:space="preserve"> </w:t>
      </w:r>
      <w:r w:rsidRPr="0047574D">
        <w:t>Accordingly,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Board</w:t>
      </w:r>
      <w:r w:rsidR="00211D29">
        <w:t xml:space="preserve"> </w:t>
      </w:r>
      <w:r w:rsidRPr="0047574D">
        <w:t>ordered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leave</w:t>
      </w:r>
      <w:r w:rsidR="00211D29">
        <w:t xml:space="preserve"> </w:t>
      </w:r>
      <w:r w:rsidRPr="0047574D">
        <w:t>Denmark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son</w:t>
      </w:r>
      <w:r w:rsidR="00211D29">
        <w:t xml:space="preserve"> </w:t>
      </w:r>
      <w:r w:rsidRPr="0047574D">
        <w:t>within</w:t>
      </w:r>
      <w:r w:rsidR="00211D29">
        <w:t xml:space="preserve"> </w:t>
      </w:r>
      <w:r w:rsidRPr="0047574D">
        <w:t>15</w:t>
      </w:r>
      <w:r w:rsidR="00211D29">
        <w:t xml:space="preserve"> </w:t>
      </w:r>
      <w:r w:rsidRPr="0047574D">
        <w:t>days.</w:t>
      </w:r>
    </w:p>
    <w:p w:rsidR="006B0EB0" w:rsidRPr="0047574D" w:rsidRDefault="006B0EB0" w:rsidP="006B0EB0">
      <w:pPr>
        <w:pStyle w:val="SingleTxtG"/>
      </w:pPr>
      <w:r w:rsidRPr="0047574D">
        <w:t>2.10</w:t>
      </w:r>
      <w:r w:rsidRPr="0047574D">
        <w:tab/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asserts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exhausted</w:t>
      </w:r>
      <w:r w:rsidR="00211D29">
        <w:t xml:space="preserve"> </w:t>
      </w:r>
      <w:r w:rsidRPr="0047574D">
        <w:t>all</w:t>
      </w:r>
      <w:r w:rsidR="00211D29">
        <w:t xml:space="preserve"> </w:t>
      </w:r>
      <w:r w:rsidRPr="0047574D">
        <w:t>domestic</w:t>
      </w:r>
      <w:r w:rsidR="00211D29">
        <w:t xml:space="preserve"> </w:t>
      </w:r>
      <w:r w:rsidRPr="0047574D">
        <w:t>remedies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Denmark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Board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decision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final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cannot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appealed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Danish</w:t>
      </w:r>
      <w:r w:rsidR="00211D29">
        <w:t xml:space="preserve"> </w:t>
      </w:r>
      <w:r w:rsidRPr="0047574D">
        <w:t>courts.</w:t>
      </w:r>
      <w:r w:rsidR="00211D29">
        <w:t xml:space="preserve"> </w:t>
      </w:r>
    </w:p>
    <w:p w:rsidR="006B0EB0" w:rsidRPr="0047574D" w:rsidRDefault="006B0EB0" w:rsidP="001E6C1D">
      <w:pPr>
        <w:pStyle w:val="H23G"/>
      </w:pPr>
      <w:r w:rsidRPr="0047574D">
        <w:tab/>
      </w:r>
      <w:r w:rsidRPr="0047574D">
        <w:tab/>
        <w:t>The</w:t>
      </w:r>
      <w:r w:rsidR="00211D29">
        <w:t xml:space="preserve"> </w:t>
      </w:r>
      <w:r w:rsidRPr="0047574D">
        <w:t>complaint</w:t>
      </w:r>
    </w:p>
    <w:p w:rsidR="006B0EB0" w:rsidRPr="0047574D" w:rsidRDefault="006B0EB0" w:rsidP="006B0EB0">
      <w:pPr>
        <w:pStyle w:val="SingleTxtG"/>
      </w:pPr>
      <w:r w:rsidRPr="0047574D">
        <w:t>3.1</w:t>
      </w:r>
      <w:r w:rsidRPr="0047574D">
        <w:tab/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submits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forcibly</w:t>
      </w:r>
      <w:r w:rsidR="00211D29">
        <w:t xml:space="preserve"> </w:t>
      </w:r>
      <w:r w:rsidRPr="0047574D">
        <w:t>returning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son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violate</w:t>
      </w:r>
      <w:r w:rsidR="00211D29">
        <w:t xml:space="preserve"> </w:t>
      </w:r>
      <w:r w:rsidRPr="0047574D">
        <w:t>their</w:t>
      </w:r>
      <w:r w:rsidR="00211D29">
        <w:t xml:space="preserve"> </w:t>
      </w:r>
      <w:r w:rsidRPr="0047574D">
        <w:t>rights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Covenant.</w:t>
      </w:r>
      <w:r w:rsidRPr="00D81309">
        <w:rPr>
          <w:rStyle w:val="FootnoteReference"/>
        </w:rPr>
        <w:footnoteReference w:id="9"/>
      </w:r>
      <w:r w:rsidR="00211D29">
        <w:t xml:space="preserve"> </w:t>
      </w:r>
      <w:r w:rsidRPr="0047574D">
        <w:t>Due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shortcomings</w:t>
      </w:r>
      <w:r w:rsidR="00211D29">
        <w:t xml:space="preserve"> </w:t>
      </w:r>
      <w:r w:rsidRPr="0047574D">
        <w:t>concerning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reception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refugees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temporary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permits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Italy,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and,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particular,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minor</w:t>
      </w:r>
      <w:r w:rsidR="00211D29">
        <w:t xml:space="preserve"> </w:t>
      </w:r>
      <w:r w:rsidRPr="0047574D">
        <w:t>son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at</w:t>
      </w:r>
      <w:r w:rsidR="00211D29">
        <w:t xml:space="preserve"> </w:t>
      </w:r>
      <w:r w:rsidRPr="0047574D">
        <w:t>risk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inhuman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degrading</w:t>
      </w:r>
      <w:r w:rsidR="00211D29">
        <w:t xml:space="preserve"> </w:t>
      </w:r>
      <w:r w:rsidRPr="0047574D">
        <w:t>treatment;</w:t>
      </w:r>
      <w:r w:rsidR="00211D29">
        <w:t xml:space="preserve"> </w:t>
      </w:r>
      <w:r w:rsidRPr="0047574D">
        <w:t>they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destitute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no</w:t>
      </w:r>
      <w:r w:rsidR="00211D29">
        <w:t xml:space="preserve"> </w:t>
      </w:r>
      <w:r w:rsidRPr="0047574D">
        <w:t>access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housing,</w:t>
      </w:r>
      <w:r w:rsidR="00211D29">
        <w:t xml:space="preserve"> </w:t>
      </w:r>
      <w:r w:rsidRPr="0047574D">
        <w:t>food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health</w:t>
      </w:r>
      <w:r w:rsidR="00211D29">
        <w:t xml:space="preserve"> </w:t>
      </w:r>
      <w:r w:rsidRPr="0047574D">
        <w:t>assistance.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this</w:t>
      </w:r>
      <w:r w:rsidR="00211D29">
        <w:t xml:space="preserve"> </w:t>
      </w:r>
      <w:r w:rsidRPr="0047574D">
        <w:t>connection,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refers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experience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went</w:t>
      </w:r>
      <w:r w:rsidR="00211D29">
        <w:t xml:space="preserve"> </w:t>
      </w:r>
      <w:r w:rsidRPr="0047574D">
        <w:t>through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prior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departure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points</w:t>
      </w:r>
      <w:r w:rsidR="00211D29">
        <w:t xml:space="preserve"> </w:t>
      </w:r>
      <w:r w:rsidRPr="0047574D">
        <w:t>out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despite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pregnancy,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able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find</w:t>
      </w:r>
      <w:r w:rsidR="00211D29">
        <w:t xml:space="preserve"> </w:t>
      </w:r>
      <w:r w:rsidRPr="0047574D">
        <w:t>sufficient</w:t>
      </w:r>
      <w:r w:rsidR="00211D29">
        <w:t xml:space="preserve"> </w:t>
      </w:r>
      <w:r w:rsidRPr="0047574D">
        <w:t>medical</w:t>
      </w:r>
      <w:r w:rsidR="00211D29">
        <w:t xml:space="preserve"> </w:t>
      </w:r>
      <w:r w:rsidRPr="0047574D">
        <w:t>assistance,</w:t>
      </w:r>
      <w:r w:rsidR="00211D29">
        <w:t xml:space="preserve"> </w:t>
      </w:r>
      <w:r w:rsidRPr="0047574D">
        <w:t>adequate</w:t>
      </w:r>
      <w:r w:rsidR="00211D29">
        <w:t xml:space="preserve"> </w:t>
      </w:r>
      <w:r w:rsidRPr="0047574D">
        <w:t>housing</w:t>
      </w:r>
      <w:r w:rsidR="00211D29">
        <w:t xml:space="preserve"> </w:t>
      </w:r>
      <w:r w:rsidRPr="0047574D">
        <w:t>nor</w:t>
      </w:r>
      <w:r w:rsidR="00211D29">
        <w:t xml:space="preserve"> </w:t>
      </w:r>
      <w:r w:rsidRPr="0047574D">
        <w:t>any</w:t>
      </w:r>
      <w:r w:rsidR="00211D29">
        <w:t xml:space="preserve"> </w:t>
      </w:r>
      <w:r w:rsidRPr="0047574D">
        <w:t>durable</w:t>
      </w:r>
      <w:r w:rsidR="00211D29">
        <w:t xml:space="preserve"> </w:t>
      </w:r>
      <w:r w:rsidRPr="0047574D">
        <w:t>humanitarian</w:t>
      </w:r>
      <w:r w:rsidR="00211D29">
        <w:t xml:space="preserve"> </w:t>
      </w:r>
      <w:r w:rsidRPr="0047574D">
        <w:t>solution.</w:t>
      </w:r>
      <w:r w:rsidR="00211D29">
        <w:t xml:space="preserve"> </w:t>
      </w:r>
      <w:r w:rsidRPr="0047574D">
        <w:t>If</w:t>
      </w:r>
      <w:r w:rsidR="00211D29">
        <w:t xml:space="preserve"> </w:t>
      </w:r>
      <w:r w:rsidRPr="0047574D">
        <w:t>deported,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no</w:t>
      </w:r>
      <w:r w:rsidR="00211D29">
        <w:t xml:space="preserve"> </w:t>
      </w:r>
      <w:r w:rsidRPr="0047574D">
        <w:t>longer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eligible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housing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reception</w:t>
      </w:r>
      <w:r w:rsidR="00211D29">
        <w:t xml:space="preserve"> </w:t>
      </w:r>
      <w:r w:rsidRPr="0047574D">
        <w:t>centre.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those</w:t>
      </w:r>
      <w:r w:rsidR="00211D29">
        <w:t xml:space="preserve"> </w:t>
      </w:r>
      <w:r w:rsidRPr="0047574D">
        <w:t>circumstances,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deportation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contrary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best</w:t>
      </w:r>
      <w:r w:rsidR="00211D29">
        <w:t xml:space="preserve"> </w:t>
      </w:r>
      <w:r w:rsidRPr="0047574D">
        <w:t>interests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child.</w:t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t>3.2</w:t>
      </w:r>
      <w:r w:rsidRPr="0047574D">
        <w:tab/>
        <w:t>As</w:t>
      </w:r>
      <w:r w:rsidR="00211D29">
        <w:t xml:space="preserve"> </w:t>
      </w:r>
      <w:r w:rsidRPr="0047574D">
        <w:t>regards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principle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first</w:t>
      </w:r>
      <w:r w:rsidR="00211D29">
        <w:t xml:space="preserve"> </w:t>
      </w:r>
      <w:r w:rsidRPr="0047574D">
        <w:t>country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asylum,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refers</w:t>
      </w:r>
      <w:r w:rsidR="00211D29">
        <w:t xml:space="preserve"> </w:t>
      </w:r>
      <w:r w:rsidRPr="0047574D">
        <w:t>to</w:t>
      </w:r>
      <w:r w:rsidR="00211D29">
        <w:t xml:space="preserve"> </w:t>
      </w:r>
      <w:r w:rsidR="005B7312">
        <w:t xml:space="preserve">the </w:t>
      </w:r>
      <w:r w:rsidRPr="0047574D">
        <w:t>Office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United</w:t>
      </w:r>
      <w:r w:rsidR="00211D29">
        <w:t xml:space="preserve"> </w:t>
      </w:r>
      <w:r w:rsidRPr="0047574D">
        <w:t>Nations</w:t>
      </w:r>
      <w:r w:rsidR="00211D29">
        <w:t xml:space="preserve"> </w:t>
      </w:r>
      <w:r w:rsidRPr="0047574D">
        <w:t>High</w:t>
      </w:r>
      <w:r w:rsidR="00211D29">
        <w:t xml:space="preserve"> </w:t>
      </w:r>
      <w:r w:rsidRPr="0047574D">
        <w:t>Commissioner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Refugees</w:t>
      </w:r>
      <w:r w:rsidR="00211D29">
        <w:t xml:space="preserve"> </w:t>
      </w:r>
      <w:r w:rsidRPr="0047574D">
        <w:t>(UNHCR)</w:t>
      </w:r>
      <w:r w:rsidR="00211D29">
        <w:t xml:space="preserve"> </w:t>
      </w:r>
      <w:r w:rsidRPr="0047574D">
        <w:t>Executive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conclusion</w:t>
      </w:r>
      <w:r w:rsidR="00211D29">
        <w:t xml:space="preserve"> </w:t>
      </w:r>
      <w:r w:rsidRPr="0047574D">
        <w:t>No.</w:t>
      </w:r>
      <w:r w:rsidR="00211D29">
        <w:t xml:space="preserve"> </w:t>
      </w:r>
      <w:r w:rsidRPr="0047574D">
        <w:t>58</w:t>
      </w:r>
      <w:r w:rsidR="00211D29">
        <w:t xml:space="preserve"> </w:t>
      </w:r>
      <w:r w:rsidRPr="0047574D">
        <w:t>(XL)</w:t>
      </w:r>
      <w:r w:rsidR="00211D29">
        <w:t xml:space="preserve"> </w:t>
      </w:r>
      <w:r w:rsidRPr="0047574D">
        <w:t>(1989)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problem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refugees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who</w:t>
      </w:r>
      <w:r w:rsidR="00211D29">
        <w:t xml:space="preserve"> </w:t>
      </w:r>
      <w:r w:rsidRPr="0047574D">
        <w:t>move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an</w:t>
      </w:r>
      <w:r w:rsidR="00211D29">
        <w:t xml:space="preserve"> </w:t>
      </w:r>
      <w:r w:rsidRPr="0047574D">
        <w:t>irregular</w:t>
      </w:r>
      <w:r w:rsidR="00211D29">
        <w:t xml:space="preserve"> </w:t>
      </w:r>
      <w:r w:rsidRPr="0047574D">
        <w:t>manner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a</w:t>
      </w:r>
      <w:r w:rsidR="007F1B12">
        <w:t xml:space="preserve"> </w:t>
      </w:r>
      <w:r w:rsidRPr="0047574D">
        <w:t>country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which</w:t>
      </w:r>
      <w:r w:rsidR="00211D29">
        <w:t xml:space="preserve"> </w:t>
      </w:r>
      <w:r w:rsidRPr="0047574D">
        <w:t>they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already</w:t>
      </w:r>
      <w:r w:rsidR="00211D29">
        <w:t xml:space="preserve"> </w:t>
      </w:r>
      <w:r w:rsidRPr="0047574D">
        <w:t>found</w:t>
      </w:r>
      <w:r w:rsidR="00211D29">
        <w:t xml:space="preserve"> </w:t>
      </w:r>
      <w:r w:rsidRPr="0047574D">
        <w:t>protection,</w:t>
      </w:r>
      <w:r w:rsidR="00211D29">
        <w:t xml:space="preserve"> </w:t>
      </w:r>
      <w:r w:rsidRPr="0047574D">
        <w:t>according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which</w:t>
      </w:r>
      <w:r w:rsidR="00211D29">
        <w:t xml:space="preserve"> </w:t>
      </w:r>
      <w:r w:rsidRPr="0047574D">
        <w:t>this</w:t>
      </w:r>
      <w:r w:rsidR="00211D29">
        <w:t xml:space="preserve"> </w:t>
      </w:r>
      <w:r w:rsidRPr="0047574D">
        <w:t>principle</w:t>
      </w:r>
      <w:r w:rsidR="00211D29">
        <w:t xml:space="preserve"> </w:t>
      </w:r>
      <w:r w:rsidRPr="0047574D">
        <w:t>should</w:t>
      </w:r>
      <w:r w:rsidR="00211D29">
        <w:t xml:space="preserve"> </w:t>
      </w:r>
      <w:r w:rsidRPr="0047574D">
        <w:t>only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applied</w:t>
      </w:r>
      <w:r w:rsidR="00211D29">
        <w:t xml:space="preserve"> </w:t>
      </w:r>
      <w:r w:rsidRPr="0047574D">
        <w:t>if,</w:t>
      </w:r>
      <w:r w:rsidR="00211D29">
        <w:t xml:space="preserve"> </w:t>
      </w:r>
      <w:r w:rsidRPr="0047574D">
        <w:t>once</w:t>
      </w:r>
      <w:r w:rsidR="00211D29">
        <w:t xml:space="preserve"> </w:t>
      </w:r>
      <w:r w:rsidRPr="0047574D">
        <w:t>returned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their</w:t>
      </w:r>
      <w:r w:rsidR="00211D29">
        <w:t xml:space="preserve"> </w:t>
      </w:r>
      <w:r w:rsidRPr="0047574D">
        <w:t>first</w:t>
      </w:r>
      <w:r w:rsidR="00211D29">
        <w:t xml:space="preserve"> </w:t>
      </w:r>
      <w:r w:rsidRPr="0047574D">
        <w:t>country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asylum,</w:t>
      </w:r>
      <w:r w:rsidR="00211D29">
        <w:t xml:space="preserve"> </w:t>
      </w:r>
      <w:r w:rsidRPr="0047574D">
        <w:t>refugees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are</w:t>
      </w:r>
      <w:r w:rsidR="00211D29">
        <w:t xml:space="preserve"> </w:t>
      </w:r>
      <w:r w:rsidRPr="0047574D">
        <w:t>permitted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remain</w:t>
      </w:r>
      <w:r w:rsidR="00211D29">
        <w:t xml:space="preserve"> </w:t>
      </w:r>
      <w:r w:rsidRPr="0047574D">
        <w:t>there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treated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accordance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recognized</w:t>
      </w:r>
      <w:r w:rsidR="00211D29">
        <w:t xml:space="preserve"> </w:t>
      </w:r>
      <w:r w:rsidRPr="0047574D">
        <w:t>basic</w:t>
      </w:r>
      <w:r w:rsidR="00211D29">
        <w:t xml:space="preserve"> </w:t>
      </w:r>
      <w:r w:rsidRPr="0047574D">
        <w:t>human</w:t>
      </w:r>
      <w:r w:rsidR="00211D29">
        <w:t xml:space="preserve"> </w:t>
      </w:r>
      <w:r w:rsidRPr="0047574D">
        <w:t>standards</w:t>
      </w:r>
      <w:r w:rsidR="00211D29">
        <w:t xml:space="preserve"> </w:t>
      </w:r>
      <w:r w:rsidRPr="0047574D">
        <w:t>until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durable</w:t>
      </w:r>
      <w:r w:rsidR="00211D29">
        <w:t xml:space="preserve"> </w:t>
      </w:r>
      <w:r w:rsidRPr="0047574D">
        <w:t>solution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found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them.</w:t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t>3.3</w:t>
      </w:r>
      <w:r w:rsidR="00211D29">
        <w:t xml:space="preserve"> </w:t>
      </w:r>
      <w:r w:rsidRPr="0047574D">
        <w:tab/>
        <w:t>The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reception</w:t>
      </w:r>
      <w:r w:rsidR="00211D29">
        <w:t xml:space="preserve"> </w:t>
      </w:r>
      <w:r w:rsidRPr="0047574D">
        <w:t>system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beneficiaries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international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insufficient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does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comply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basic</w:t>
      </w:r>
      <w:r w:rsidR="00211D29">
        <w:t xml:space="preserve"> </w:t>
      </w:r>
      <w:r w:rsidRPr="0047574D">
        <w:t>human</w:t>
      </w:r>
      <w:r w:rsidR="00211D29">
        <w:t xml:space="preserve"> </w:t>
      </w:r>
      <w:r w:rsidRPr="0047574D">
        <w:t>standards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international</w:t>
      </w:r>
      <w:r w:rsidR="00211D29">
        <w:t xml:space="preserve"> </w:t>
      </w:r>
      <w:r w:rsidRPr="0047574D">
        <w:t>obligations</w:t>
      </w:r>
      <w:r w:rsidR="00211D29">
        <w:t xml:space="preserve"> </w:t>
      </w:r>
      <w:r w:rsidRPr="0047574D">
        <w:t>regarding</w:t>
      </w:r>
      <w:r w:rsidR="00211D29">
        <w:t xml:space="preserve"> </w:t>
      </w:r>
      <w:r w:rsidRPr="0047574D">
        <w:t>protection.</w:t>
      </w:r>
      <w:r w:rsidR="00211D29">
        <w:t xml:space="preserve"> </w:t>
      </w:r>
      <w:r w:rsidRPr="0047574D">
        <w:t>According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reports,</w:t>
      </w:r>
      <w:r w:rsidR="00211D29">
        <w:t xml:space="preserve"> </w:t>
      </w:r>
      <w:r w:rsidRPr="0047574D">
        <w:t>hundreds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migrants,</w:t>
      </w:r>
      <w:r w:rsidR="00211D29">
        <w:t xml:space="preserve"> </w:t>
      </w:r>
      <w:r w:rsidRPr="0047574D">
        <w:t>including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seekers,</w:t>
      </w:r>
      <w:r w:rsidR="00211D29">
        <w:t xml:space="preserve"> </w:t>
      </w:r>
      <w:r w:rsidRPr="0047574D">
        <w:t>live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abandoned</w:t>
      </w:r>
      <w:r w:rsidR="00211D29">
        <w:t xml:space="preserve"> </w:t>
      </w:r>
      <w:r w:rsidRPr="0047574D">
        <w:t>buildings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Rome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have</w:t>
      </w:r>
      <w:r w:rsidR="00211D29">
        <w:t xml:space="preserve"> </w:t>
      </w:r>
      <w:r w:rsidRPr="0047574D">
        <w:t>limited</w:t>
      </w:r>
      <w:r w:rsidR="00211D29">
        <w:t xml:space="preserve"> </w:t>
      </w:r>
      <w:r w:rsidRPr="0047574D">
        <w:t>access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public</w:t>
      </w:r>
      <w:r w:rsidR="00211D29">
        <w:t xml:space="preserve"> </w:t>
      </w:r>
      <w:r w:rsidRPr="0047574D">
        <w:t>services.</w:t>
      </w:r>
      <w:bookmarkStart w:id="2" w:name="_Ref494816437"/>
      <w:r w:rsidRPr="00D81309">
        <w:rPr>
          <w:rStyle w:val="FootnoteReference"/>
        </w:rPr>
        <w:footnoteReference w:id="10"/>
      </w:r>
      <w:bookmarkEnd w:id="2"/>
      <w:r w:rsidR="00211D29">
        <w:t xml:space="preserve"> </w:t>
      </w:r>
      <w:r w:rsidRPr="0047574D">
        <w:t>Due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lack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reception</w:t>
      </w:r>
      <w:r w:rsidR="00211D29">
        <w:t xml:space="preserve"> </w:t>
      </w:r>
      <w:r w:rsidRPr="0047574D">
        <w:t>facilities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housing,</w:t>
      </w:r>
      <w:r w:rsidR="00211D29">
        <w:t xml:space="preserve"> </w:t>
      </w:r>
      <w:r w:rsidRPr="0047574D">
        <w:t>many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refugees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live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streets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only</w:t>
      </w:r>
      <w:r w:rsidR="00211D29">
        <w:t xml:space="preserve"> </w:t>
      </w:r>
      <w:r w:rsidRPr="0047574D">
        <w:t>occasionally</w:t>
      </w:r>
      <w:r w:rsidR="00211D29">
        <w:t xml:space="preserve"> </w:t>
      </w:r>
      <w:r w:rsidRPr="0047574D">
        <w:t>receive</w:t>
      </w:r>
      <w:r w:rsidR="00211D29">
        <w:t xml:space="preserve"> </w:t>
      </w:r>
      <w:r w:rsidRPr="0047574D">
        <w:t>food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shelter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churches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non-governmental</w:t>
      </w:r>
      <w:r w:rsidR="00211D29">
        <w:t xml:space="preserve"> </w:t>
      </w:r>
      <w:r w:rsidRPr="0047574D">
        <w:t>organizations.</w:t>
      </w:r>
      <w:r w:rsidR="00211D29">
        <w:t xml:space="preserve"> </w:t>
      </w:r>
      <w:r w:rsidRPr="0047574D">
        <w:t>Returnees</w:t>
      </w:r>
      <w:r w:rsidR="00211D29">
        <w:t xml:space="preserve"> </w:t>
      </w:r>
      <w:r w:rsidRPr="0047574D">
        <w:t>who</w:t>
      </w:r>
      <w:r w:rsidR="00211D29">
        <w:t xml:space="preserve"> </w:t>
      </w:r>
      <w:r w:rsidRPr="0047574D">
        <w:t>were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international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benefited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reception</w:t>
      </w:r>
      <w:r w:rsidR="00211D29">
        <w:t xml:space="preserve"> </w:t>
      </w:r>
      <w:r w:rsidRPr="0047574D">
        <w:t>system</w:t>
      </w:r>
      <w:r w:rsidR="00211D29">
        <w:t xml:space="preserve"> </w:t>
      </w:r>
      <w:r w:rsidRPr="0047574D">
        <w:t>when</w:t>
      </w:r>
      <w:r w:rsidR="00211D29">
        <w:t xml:space="preserve"> </w:t>
      </w:r>
      <w:r w:rsidRPr="0047574D">
        <w:t>they</w:t>
      </w:r>
      <w:r w:rsidR="00211D29">
        <w:t xml:space="preserve"> </w:t>
      </w:r>
      <w:r w:rsidRPr="0047574D">
        <w:t>first</w:t>
      </w:r>
      <w:r w:rsidR="00211D29">
        <w:t xml:space="preserve"> </w:t>
      </w:r>
      <w:r w:rsidRPr="0047574D">
        <w:t>arrived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are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entitled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accommodation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reception</w:t>
      </w:r>
      <w:r w:rsidR="00211D29">
        <w:t xml:space="preserve"> </w:t>
      </w:r>
      <w:r w:rsidRPr="0047574D">
        <w:t>centres.</w:t>
      </w:r>
      <w:bookmarkStart w:id="3" w:name="_Ref494816444"/>
      <w:r w:rsidRPr="00D81309">
        <w:rPr>
          <w:rStyle w:val="FootnoteReference"/>
        </w:rPr>
        <w:footnoteReference w:id="11"/>
      </w:r>
      <w:bookmarkEnd w:id="3"/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Jesuit</w:t>
      </w:r>
      <w:r w:rsidR="00211D29">
        <w:t xml:space="preserve"> </w:t>
      </w:r>
      <w:r w:rsidRPr="0047574D">
        <w:t>Refugee</w:t>
      </w:r>
      <w:r w:rsidR="00211D29">
        <w:t xml:space="preserve"> </w:t>
      </w:r>
      <w:r w:rsidRPr="0047574D">
        <w:t>Service,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its</w:t>
      </w:r>
      <w:r w:rsidR="00211D29">
        <w:t xml:space="preserve"> </w:t>
      </w:r>
      <w:r w:rsidRPr="0047574D">
        <w:t>annual</w:t>
      </w:r>
      <w:r w:rsidR="00211D29">
        <w:t xml:space="preserve"> </w:t>
      </w:r>
      <w:r w:rsidRPr="0047574D">
        <w:t>report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2013,</w:t>
      </w:r>
      <w:r w:rsidR="00211D29">
        <w:t xml:space="preserve"> </w:t>
      </w:r>
      <w:r w:rsidRPr="0047574D">
        <w:t>stated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there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real</w:t>
      </w:r>
      <w:r w:rsidR="00211D29">
        <w:t xml:space="preserve"> </w:t>
      </w:r>
      <w:r w:rsidRPr="0047574D">
        <w:t>problem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regards</w:t>
      </w:r>
      <w:r w:rsidR="00211D29">
        <w:t xml:space="preserve"> </w:t>
      </w:r>
      <w:r w:rsidRPr="0047574D">
        <w:t>those</w:t>
      </w:r>
      <w:r w:rsidR="00211D29">
        <w:t xml:space="preserve"> </w:t>
      </w:r>
      <w:r w:rsidRPr="0047574D">
        <w:t>who</w:t>
      </w:r>
      <w:r w:rsidR="00211D29">
        <w:t xml:space="preserve"> </w:t>
      </w:r>
      <w:r w:rsidRPr="0047574D">
        <w:t>were</w:t>
      </w:r>
      <w:r w:rsidR="00211D29">
        <w:t xml:space="preserve"> </w:t>
      </w:r>
      <w:r w:rsidRPr="0047574D">
        <w:t>sent</w:t>
      </w:r>
      <w:r w:rsidR="00211D29">
        <w:t xml:space="preserve"> </w:t>
      </w:r>
      <w:r w:rsidRPr="0047574D">
        <w:t>back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who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already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some</w:t>
      </w:r>
      <w:r w:rsidR="00211D29">
        <w:t xml:space="preserve"> </w:t>
      </w:r>
      <w:r w:rsidRPr="0047574D">
        <w:t>kind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protection.</w:t>
      </w:r>
      <w:r w:rsidR="00211D29">
        <w:t xml:space="preserve"> </w:t>
      </w:r>
      <w:r w:rsidRPr="0047574D">
        <w:t>If</w:t>
      </w:r>
      <w:r w:rsidR="00211D29">
        <w:t xml:space="preserve"> </w:t>
      </w:r>
      <w:r w:rsidRPr="0047574D">
        <w:t>someone</w:t>
      </w:r>
      <w:r w:rsidR="00211D29">
        <w:t xml:space="preserve"> </w:t>
      </w:r>
      <w:r w:rsidRPr="0047574D">
        <w:t>voluntarily</w:t>
      </w:r>
      <w:r w:rsidR="00211D29">
        <w:t xml:space="preserve"> </w:t>
      </w:r>
      <w:r w:rsidRPr="0047574D">
        <w:t>leaves</w:t>
      </w:r>
      <w:r w:rsidR="00211D29">
        <w:t xml:space="preserve"> </w:t>
      </w:r>
      <w:r w:rsidRPr="0047574D">
        <w:t>one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accommodation</w:t>
      </w:r>
      <w:r w:rsidR="00211D29">
        <w:t xml:space="preserve"> </w:t>
      </w:r>
      <w:r w:rsidRPr="0047574D">
        <w:t>centres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are</w:t>
      </w:r>
      <w:r w:rsidR="00211D29">
        <w:t xml:space="preserve"> </w:t>
      </w:r>
      <w:r w:rsidRPr="0047574D">
        <w:t>available</w:t>
      </w:r>
      <w:r w:rsidR="00211D29">
        <w:t xml:space="preserve"> </w:t>
      </w:r>
      <w:r w:rsidRPr="0047574D">
        <w:t>upon</w:t>
      </w:r>
      <w:r w:rsidR="00211D29">
        <w:t xml:space="preserve"> </w:t>
      </w:r>
      <w:r w:rsidRPr="0047574D">
        <w:t>arrival</w:t>
      </w:r>
      <w:r w:rsidR="00211D29">
        <w:t xml:space="preserve"> </w:t>
      </w:r>
      <w:r w:rsidRPr="0047574D">
        <w:t>before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established</w:t>
      </w:r>
      <w:r w:rsidR="00211D29">
        <w:t xml:space="preserve"> </w:t>
      </w:r>
      <w:r w:rsidRPr="0047574D">
        <w:t>time,</w:t>
      </w:r>
      <w:r w:rsidR="00211D29">
        <w:t xml:space="preserve"> </w:t>
      </w:r>
      <w:r w:rsidRPr="0047574D">
        <w:t>they</w:t>
      </w:r>
      <w:r w:rsidR="00211D29">
        <w:t xml:space="preserve"> </w:t>
      </w:r>
      <w:r w:rsidRPr="0047574D">
        <w:t>are</w:t>
      </w:r>
      <w:r w:rsidR="00211D29">
        <w:t xml:space="preserve"> </w:t>
      </w:r>
      <w:r w:rsidRPr="0047574D">
        <w:t>no</w:t>
      </w:r>
      <w:r w:rsidR="00211D29">
        <w:t xml:space="preserve"> </w:t>
      </w:r>
      <w:r w:rsidRPr="0047574D">
        <w:t>longer</w:t>
      </w:r>
      <w:r w:rsidR="00211D29">
        <w:t xml:space="preserve"> </w:t>
      </w:r>
      <w:r w:rsidRPr="0047574D">
        <w:t>entitled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such</w:t>
      </w:r>
      <w:r w:rsidR="00211D29">
        <w:t xml:space="preserve"> </w:t>
      </w:r>
      <w:r w:rsidRPr="0047574D">
        <w:t>accommodation.</w:t>
      </w:r>
      <w:r w:rsidRPr="00D81309">
        <w:rPr>
          <w:rStyle w:val="FootnoteReference"/>
        </w:rPr>
        <w:footnoteReference w:id="12"/>
      </w:r>
      <w:r w:rsidR="00211D29">
        <w:t xml:space="preserve"> </w:t>
      </w:r>
      <w:r w:rsidRPr="0047574D">
        <w:t>Most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those</w:t>
      </w:r>
      <w:r w:rsidR="00211D29">
        <w:t xml:space="preserve"> </w:t>
      </w:r>
      <w:r w:rsidRPr="0047574D">
        <w:t>occupying</w:t>
      </w:r>
      <w:r w:rsidR="00211D29">
        <w:t xml:space="preserve"> </w:t>
      </w:r>
      <w:r w:rsidRPr="0047574D">
        <w:t>abandoned</w:t>
      </w:r>
      <w:r w:rsidR="00211D29">
        <w:t xml:space="preserve"> </w:t>
      </w:r>
      <w:r w:rsidRPr="0047574D">
        <w:t>buildings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Rome</w:t>
      </w:r>
      <w:r w:rsidR="00211D29">
        <w:t xml:space="preserve"> </w:t>
      </w:r>
      <w:r w:rsidRPr="0047574D">
        <w:t>fall</w:t>
      </w:r>
      <w:r w:rsidR="00211D29">
        <w:t xml:space="preserve"> </w:t>
      </w:r>
      <w:r w:rsidRPr="0047574D">
        <w:t>into</w:t>
      </w:r>
      <w:r w:rsidR="00211D29">
        <w:t xml:space="preserve"> </w:t>
      </w:r>
      <w:r w:rsidRPr="0047574D">
        <w:t>this</w:t>
      </w:r>
      <w:r w:rsidR="00211D29">
        <w:t xml:space="preserve"> </w:t>
      </w:r>
      <w:r w:rsidRPr="0047574D">
        <w:t>category.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findings</w:t>
      </w:r>
      <w:r w:rsidR="00211D29">
        <w:t xml:space="preserve"> </w:t>
      </w:r>
      <w:r w:rsidRPr="0047574D">
        <w:t>show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lack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places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stay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significant</w:t>
      </w:r>
      <w:r w:rsidR="00211D29">
        <w:t xml:space="preserve"> </w:t>
      </w:r>
      <w:r w:rsidRPr="0047574D">
        <w:t>problem,</w:t>
      </w:r>
      <w:r w:rsidR="00211D29">
        <w:t xml:space="preserve"> </w:t>
      </w:r>
      <w:r w:rsidRPr="0047574D">
        <w:t>especially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returnees</w:t>
      </w:r>
      <w:r w:rsidR="00211D29">
        <w:t xml:space="preserve"> </w:t>
      </w:r>
      <w:r w:rsidRPr="0047574D">
        <w:t>who,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most</w:t>
      </w:r>
      <w:r w:rsidR="00211D29">
        <w:t xml:space="preserve"> </w:t>
      </w:r>
      <w:r w:rsidRPr="0047574D">
        <w:t>cases,</w:t>
      </w:r>
      <w:r w:rsidR="00211D29">
        <w:t xml:space="preserve"> </w:t>
      </w:r>
      <w:r w:rsidRPr="0047574D">
        <w:t>benefit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international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humanitarian</w:t>
      </w:r>
      <w:r w:rsidR="00211D29">
        <w:t xml:space="preserve"> </w:t>
      </w:r>
      <w:r w:rsidRPr="0047574D">
        <w:t>protection.</w:t>
      </w:r>
    </w:p>
    <w:p w:rsidR="006B0EB0" w:rsidRPr="0047574D" w:rsidRDefault="006B0EB0" w:rsidP="001E6C1D">
      <w:pPr>
        <w:pStyle w:val="H23G"/>
      </w:pPr>
      <w:r w:rsidRPr="0047574D">
        <w:tab/>
      </w:r>
      <w:r w:rsidRPr="0047574D">
        <w:tab/>
        <w:t>State</w:t>
      </w:r>
      <w:r w:rsidR="00211D29">
        <w:t xml:space="preserve"> </w:t>
      </w:r>
      <w:r w:rsidRPr="0047574D">
        <w:t>party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observations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admissibility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merits</w:t>
      </w:r>
    </w:p>
    <w:p w:rsidR="006B0EB0" w:rsidRPr="0047574D" w:rsidRDefault="006B0EB0" w:rsidP="006B0EB0">
      <w:pPr>
        <w:pStyle w:val="SingleTxtG"/>
      </w:pPr>
      <w:r w:rsidRPr="0047574D">
        <w:t>4.1</w:t>
      </w:r>
      <w:r w:rsidRPr="0047574D">
        <w:tab/>
        <w:t>On</w:t>
      </w:r>
      <w:r w:rsidR="00211D29">
        <w:t xml:space="preserve"> </w:t>
      </w:r>
      <w:r w:rsidRPr="0047574D">
        <w:t>27</w:t>
      </w:r>
      <w:r w:rsidR="00211D29">
        <w:t xml:space="preserve"> </w:t>
      </w:r>
      <w:r w:rsidRPr="0047574D">
        <w:t>April</w:t>
      </w:r>
      <w:r w:rsidR="00211D29">
        <w:t xml:space="preserve"> </w:t>
      </w:r>
      <w:r w:rsidRPr="0047574D">
        <w:t>2015,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provided</w:t>
      </w:r>
      <w:r w:rsidR="00211D29">
        <w:t xml:space="preserve"> </w:t>
      </w:r>
      <w:r w:rsidRPr="0047574D">
        <w:t>observations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admissibility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merits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communication.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considers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failed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lastRenderedPageBreak/>
        <w:t>establish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prima</w:t>
      </w:r>
      <w:r w:rsidR="00211D29">
        <w:t xml:space="preserve"> </w:t>
      </w:r>
      <w:r w:rsidRPr="0047574D">
        <w:t>facie</w:t>
      </w:r>
      <w:r w:rsidR="00211D29">
        <w:t xml:space="preserve"> </w:t>
      </w:r>
      <w:r w:rsidRPr="0047574D">
        <w:t>case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admissibility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allegations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Covenant.</w:t>
      </w:r>
      <w:r w:rsidR="00211D29">
        <w:t xml:space="preserve"> </w:t>
      </w:r>
      <w:r w:rsidRPr="0047574D">
        <w:t>There</w:t>
      </w:r>
      <w:r w:rsidR="00211D29">
        <w:t xml:space="preserve"> </w:t>
      </w:r>
      <w:r w:rsidRPr="0047574D">
        <w:t>are</w:t>
      </w:r>
      <w:r w:rsidR="00211D29">
        <w:t xml:space="preserve"> </w:t>
      </w:r>
      <w:r w:rsidRPr="0047574D">
        <w:t>no</w:t>
      </w:r>
      <w:r w:rsidR="00211D29">
        <w:t xml:space="preserve"> </w:t>
      </w:r>
      <w:r w:rsidRPr="0047574D">
        <w:t>substantial</w:t>
      </w:r>
      <w:r w:rsidR="00211D29">
        <w:t xml:space="preserve"> </w:t>
      </w:r>
      <w:r w:rsidRPr="0047574D">
        <w:t>grounds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believing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son</w:t>
      </w:r>
      <w:r w:rsidR="00211D29">
        <w:t xml:space="preserve"> </w:t>
      </w:r>
      <w:r w:rsidRPr="0047574D">
        <w:t>risk</w:t>
      </w:r>
      <w:r w:rsidR="00211D29">
        <w:t xml:space="preserve"> </w:t>
      </w:r>
      <w:r w:rsidRPr="0047574D">
        <w:t>being</w:t>
      </w:r>
      <w:r w:rsidR="00211D29">
        <w:t xml:space="preserve"> </w:t>
      </w:r>
      <w:r w:rsidRPr="0047574D">
        <w:t>subjected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torture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cruel,</w:t>
      </w:r>
      <w:r w:rsidR="00211D29">
        <w:t xml:space="preserve"> </w:t>
      </w:r>
      <w:r w:rsidRPr="0047574D">
        <w:t>inhuman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degrading</w:t>
      </w:r>
      <w:r w:rsidR="00211D29">
        <w:t xml:space="preserve"> </w:t>
      </w:r>
      <w:r w:rsidRPr="0047574D">
        <w:t>treatment</w:t>
      </w:r>
      <w:r w:rsidR="00211D29">
        <w:t xml:space="preserve"> </w:t>
      </w:r>
      <w:r w:rsidRPr="0047574D">
        <w:t>if</w:t>
      </w:r>
      <w:r w:rsidR="00211D29">
        <w:t xml:space="preserve"> </w:t>
      </w:r>
      <w:r w:rsidRPr="0047574D">
        <w:t>returned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Italy,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therefore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communication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manifestly</w:t>
      </w:r>
      <w:r w:rsidR="00211D29">
        <w:t xml:space="preserve"> </w:t>
      </w:r>
      <w:r w:rsidRPr="0047574D">
        <w:t>ill-founded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should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declared</w:t>
      </w:r>
      <w:r w:rsidR="00211D29">
        <w:t xml:space="preserve"> </w:t>
      </w:r>
      <w:r w:rsidRPr="0047574D">
        <w:t>inadmissible.</w:t>
      </w:r>
      <w:r w:rsidR="00211D29">
        <w:t xml:space="preserve"> </w:t>
      </w:r>
      <w:r w:rsidRPr="0047574D">
        <w:t>Should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view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allegations</w:t>
      </w:r>
      <w:r w:rsidR="00211D29">
        <w:t xml:space="preserve"> </w:t>
      </w:r>
      <w:r w:rsidRPr="0047574D">
        <w:t>are</w:t>
      </w:r>
      <w:r w:rsidR="00211D29">
        <w:t xml:space="preserve"> </w:t>
      </w:r>
      <w:r w:rsidRPr="0047574D">
        <w:t>admissible,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maintains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violated</w:t>
      </w:r>
      <w:r w:rsidR="00211D29">
        <w:t xml:space="preserve"> </w:t>
      </w:r>
      <w:r w:rsidRPr="0047574D">
        <w:t>if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minor</w:t>
      </w:r>
      <w:r w:rsidR="00211D29">
        <w:t xml:space="preserve"> </w:t>
      </w:r>
      <w:r w:rsidRPr="0047574D">
        <w:t>son</w:t>
      </w:r>
      <w:r w:rsidR="00211D29">
        <w:t xml:space="preserve"> </w:t>
      </w:r>
      <w:r w:rsidRPr="0047574D">
        <w:t>are</w:t>
      </w:r>
      <w:r w:rsidR="00211D29">
        <w:t xml:space="preserve"> </w:t>
      </w:r>
      <w:r w:rsidRPr="0047574D">
        <w:t>returned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Italy.</w:t>
      </w:r>
    </w:p>
    <w:p w:rsidR="006B0EB0" w:rsidRPr="0047574D" w:rsidRDefault="006B0EB0" w:rsidP="006B0EB0">
      <w:pPr>
        <w:pStyle w:val="SingleTxtG"/>
      </w:pPr>
      <w:r w:rsidRPr="0047574D">
        <w:t>4.2</w:t>
      </w:r>
      <w:r w:rsidR="00211D29">
        <w:t xml:space="preserve"> </w:t>
      </w:r>
      <w:r w:rsidRPr="0047574D">
        <w:tab/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describes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structure,</w:t>
      </w:r>
      <w:r w:rsidR="00211D29">
        <w:t xml:space="preserve"> </w:t>
      </w:r>
      <w:r w:rsidRPr="0047574D">
        <w:t>composition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functioning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Board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legislation</w:t>
      </w:r>
      <w:r w:rsidR="00211D29">
        <w:t xml:space="preserve"> </w:t>
      </w:r>
      <w:r w:rsidRPr="0047574D">
        <w:t>applying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cases</w:t>
      </w:r>
      <w:r w:rsidR="00211D29">
        <w:t xml:space="preserve"> </w:t>
      </w:r>
      <w:r w:rsidRPr="0047574D">
        <w:t>related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Dublin</w:t>
      </w:r>
      <w:r w:rsidR="00211D29">
        <w:t xml:space="preserve"> </w:t>
      </w:r>
      <w:r w:rsidRPr="0047574D">
        <w:t>Regulation.</w:t>
      </w:r>
      <w:r w:rsidRPr="00D81309">
        <w:rPr>
          <w:rStyle w:val="FootnoteReference"/>
        </w:rPr>
        <w:footnoteReference w:id="13"/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t>4.3</w:t>
      </w:r>
      <w:r w:rsidR="00211D29">
        <w:t xml:space="preserve"> </w:t>
      </w:r>
      <w:r w:rsidRPr="0047574D">
        <w:tab/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did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produce</w:t>
      </w:r>
      <w:r w:rsidR="00211D29">
        <w:t xml:space="preserve"> </w:t>
      </w:r>
      <w:r w:rsidRPr="0047574D">
        <w:t>any</w:t>
      </w:r>
      <w:r w:rsidR="00211D29">
        <w:t xml:space="preserve"> </w:t>
      </w:r>
      <w:r w:rsidRPr="0047574D">
        <w:t>essential</w:t>
      </w:r>
      <w:r w:rsidR="00211D29">
        <w:t xml:space="preserve"> </w:t>
      </w:r>
      <w:r w:rsidRPr="0047574D">
        <w:t>new</w:t>
      </w:r>
      <w:r w:rsidR="00211D29">
        <w:t xml:space="preserve"> </w:t>
      </w:r>
      <w:r w:rsidRPr="0047574D">
        <w:t>information</w:t>
      </w:r>
      <w:r w:rsidR="00211D29">
        <w:t xml:space="preserve"> </w:t>
      </w:r>
      <w:r w:rsidRPr="0047574D">
        <w:t>about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case</w:t>
      </w:r>
      <w:r w:rsidR="00211D29">
        <w:t xml:space="preserve"> </w:t>
      </w:r>
      <w:r w:rsidRPr="0047574D">
        <w:t>before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beyond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already</w:t>
      </w:r>
      <w:r w:rsidR="00211D29">
        <w:t xml:space="preserve"> </w:t>
      </w:r>
      <w:r w:rsidRPr="0047574D">
        <w:t>relied</w:t>
      </w:r>
      <w:r w:rsidR="00211D29">
        <w:t xml:space="preserve"> </w:t>
      </w:r>
      <w:r w:rsidRPr="0047574D">
        <w:t>upon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connection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proceedings.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considers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information</w:t>
      </w:r>
      <w:r w:rsidR="00211D29">
        <w:t xml:space="preserve"> </w:t>
      </w:r>
      <w:r w:rsidRPr="0047574D">
        <w:t>provided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thoroughly</w:t>
      </w:r>
      <w:r w:rsidR="00211D29">
        <w:t xml:space="preserve"> </w:t>
      </w:r>
      <w:r w:rsidRPr="0047574D">
        <w:t>reviewed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Board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its</w:t>
      </w:r>
      <w:r w:rsidR="00211D29">
        <w:t xml:space="preserve"> </w:t>
      </w:r>
      <w:r w:rsidRPr="0047574D">
        <w:t>decision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13</w:t>
      </w:r>
      <w:r w:rsidR="00211D29">
        <w:t xml:space="preserve"> </w:t>
      </w:r>
      <w:r w:rsidRPr="0047574D">
        <w:t>January</w:t>
      </w:r>
      <w:r w:rsidR="00211D29">
        <w:t xml:space="preserve"> </w:t>
      </w:r>
      <w:r w:rsidRPr="0047574D">
        <w:t>2014.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Board</w:t>
      </w:r>
      <w:r w:rsidR="00211D29">
        <w:t xml:space="preserve"> </w:t>
      </w:r>
      <w:r w:rsidRPr="0047574D">
        <w:t>found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fell</w:t>
      </w:r>
      <w:r w:rsidR="00211D29">
        <w:t xml:space="preserve"> </w:t>
      </w:r>
      <w:r w:rsidRPr="0047574D">
        <w:t>within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purview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section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(2)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Aliens</w:t>
      </w:r>
      <w:r w:rsidR="00211D29">
        <w:t xml:space="preserve"> </w:t>
      </w:r>
      <w:r w:rsidRPr="0047574D">
        <w:t>Act.</w:t>
      </w:r>
      <w:r w:rsidR="00211D29">
        <w:t xml:space="preserve"> </w:t>
      </w:r>
      <w:r w:rsidRPr="0047574D">
        <w:t>However,</w:t>
      </w:r>
      <w:r w:rsidR="00211D29">
        <w:t xml:space="preserve"> </w:t>
      </w:r>
      <w:r w:rsidRPr="0047574D">
        <w:t>since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previously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subsidiary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Italy,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could</w:t>
      </w:r>
      <w:r w:rsidR="00211D29">
        <w:t xml:space="preserve"> </w:t>
      </w:r>
      <w:r w:rsidRPr="0047574D">
        <w:t>return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stay</w:t>
      </w:r>
      <w:r w:rsidR="00211D29">
        <w:t xml:space="preserve"> </w:t>
      </w:r>
      <w:r w:rsidRPr="0047574D">
        <w:t>there</w:t>
      </w:r>
      <w:r w:rsidR="00211D29">
        <w:t xml:space="preserve"> </w:t>
      </w:r>
      <w:r w:rsidRPr="0047574D">
        <w:t>lawfully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child.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considered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first</w:t>
      </w:r>
      <w:r w:rsidR="00211D29">
        <w:t xml:space="preserve"> </w:t>
      </w:r>
      <w:r w:rsidRPr="0047574D">
        <w:t>country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asylum,</w:t>
      </w:r>
      <w:r w:rsidR="00211D29">
        <w:t xml:space="preserve"> </w:t>
      </w:r>
      <w:r w:rsidRPr="0047574D">
        <w:t>which</w:t>
      </w:r>
      <w:r w:rsidR="00211D29">
        <w:t xml:space="preserve"> </w:t>
      </w:r>
      <w:r w:rsidRPr="0047574D">
        <w:t>justifies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refusal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Danish</w:t>
      </w:r>
      <w:r w:rsidR="00211D29">
        <w:t xml:space="preserve"> </w:t>
      </w:r>
      <w:r w:rsidRPr="0047574D">
        <w:t>authorities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grant</w:t>
      </w:r>
      <w:r w:rsidR="00211D29">
        <w:t xml:space="preserve"> </w:t>
      </w:r>
      <w:r w:rsidRPr="0047574D">
        <w:t>them</w:t>
      </w:r>
      <w:r w:rsidR="00211D29">
        <w:t xml:space="preserve"> </w:t>
      </w:r>
      <w:r w:rsidRPr="0047574D">
        <w:t>asylum,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accordance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section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(3)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Aliens</w:t>
      </w:r>
      <w:r w:rsidR="00211D29">
        <w:t xml:space="preserve"> </w:t>
      </w:r>
      <w:r w:rsidRPr="0047574D">
        <w:t>Act.</w:t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t>4.4</w:t>
      </w:r>
      <w:r w:rsidRPr="0047574D">
        <w:tab/>
        <w:t>When</w:t>
      </w:r>
      <w:r w:rsidR="00211D29">
        <w:t xml:space="preserve"> </w:t>
      </w:r>
      <w:r w:rsidRPr="0047574D">
        <w:t>applying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principle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first</w:t>
      </w:r>
      <w:r w:rsidR="00211D29">
        <w:t xml:space="preserve"> </w:t>
      </w:r>
      <w:r w:rsidRPr="0047574D">
        <w:t>country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asylum,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Board</w:t>
      </w:r>
      <w:r w:rsidR="00211D29">
        <w:t xml:space="preserve"> </w:t>
      </w:r>
      <w:r w:rsidRPr="0047574D">
        <w:t>requires,</w:t>
      </w:r>
      <w:r w:rsidR="00211D29">
        <w:t xml:space="preserve"> </w:t>
      </w:r>
      <w:r w:rsidRPr="0047574D">
        <w:t>at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minimum,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protected</w:t>
      </w:r>
      <w:r w:rsidR="00211D29">
        <w:t xml:space="preserve"> </w:t>
      </w:r>
      <w:r w:rsidRPr="0047574D">
        <w:t>against</w:t>
      </w:r>
      <w:r w:rsidR="00211D29">
        <w:t xml:space="preserve"> </w:t>
      </w:r>
      <w:r w:rsidRPr="0047574D">
        <w:t>refoulement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he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able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legally</w:t>
      </w:r>
      <w:r w:rsidR="00211D29">
        <w:t xml:space="preserve"> </w:t>
      </w:r>
      <w:r w:rsidRPr="0047574D">
        <w:t>enter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take</w:t>
      </w:r>
      <w:r w:rsidR="00211D29">
        <w:t xml:space="preserve"> </w:t>
      </w:r>
      <w:r w:rsidRPr="0047574D">
        <w:t>up</w:t>
      </w:r>
      <w:r w:rsidR="00211D29">
        <w:t xml:space="preserve"> </w:t>
      </w:r>
      <w:r w:rsidRPr="0047574D">
        <w:t>lawful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country.</w:t>
      </w:r>
      <w:r w:rsidR="00211D29">
        <w:t xml:space="preserve"> </w:t>
      </w:r>
      <w:r w:rsidRPr="0047574D">
        <w:t>Such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includes</w:t>
      </w:r>
      <w:r w:rsidR="00211D29">
        <w:t xml:space="preserve"> </w:t>
      </w:r>
      <w:r w:rsidRPr="0047574D">
        <w:t>certain</w:t>
      </w:r>
      <w:r w:rsidR="00211D29">
        <w:t xml:space="preserve"> </w:t>
      </w:r>
      <w:r w:rsidRPr="0047574D">
        <w:t>social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economic</w:t>
      </w:r>
      <w:r w:rsidR="00211D29">
        <w:t xml:space="preserve"> </w:t>
      </w:r>
      <w:r w:rsidRPr="0047574D">
        <w:t>elements,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must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treated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accordance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basic</w:t>
      </w:r>
      <w:r w:rsidR="00211D29">
        <w:t xml:space="preserve"> </w:t>
      </w:r>
      <w:r w:rsidRPr="0047574D">
        <w:t>human</w:t>
      </w:r>
      <w:r w:rsidR="00211D29">
        <w:t xml:space="preserve"> </w:t>
      </w:r>
      <w:r w:rsidRPr="0047574D">
        <w:t>standards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their</w:t>
      </w:r>
      <w:r w:rsidR="00211D29">
        <w:t xml:space="preserve"> </w:t>
      </w:r>
      <w:r w:rsidRPr="0047574D">
        <w:t>personal</w:t>
      </w:r>
      <w:r w:rsidR="00211D29">
        <w:t xml:space="preserve"> </w:t>
      </w:r>
      <w:r w:rsidRPr="0047574D">
        <w:t>integrity</w:t>
      </w:r>
      <w:r w:rsidR="00211D29">
        <w:t xml:space="preserve"> </w:t>
      </w:r>
      <w:r w:rsidRPr="0047574D">
        <w:t>must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protected.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core</w:t>
      </w:r>
      <w:r w:rsidR="00211D29">
        <w:t xml:space="preserve"> </w:t>
      </w:r>
      <w:r w:rsidRPr="0047574D">
        <w:t>element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such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person</w:t>
      </w:r>
      <w:r w:rsidR="00211D29">
        <w:t xml:space="preserve"> </w:t>
      </w:r>
      <w:r w:rsidRPr="0047574D">
        <w:t>must</w:t>
      </w:r>
      <w:r w:rsidR="00211D29">
        <w:t xml:space="preserve"> </w:t>
      </w:r>
      <w:r w:rsidRPr="0047574D">
        <w:t>enjoy</w:t>
      </w:r>
      <w:r w:rsidR="00211D29">
        <w:t xml:space="preserve"> </w:t>
      </w:r>
      <w:r w:rsidRPr="0047574D">
        <w:t>personal</w:t>
      </w:r>
      <w:r w:rsidR="00211D29">
        <w:t xml:space="preserve"> </w:t>
      </w:r>
      <w:r w:rsidRPr="0047574D">
        <w:t>safety,</w:t>
      </w:r>
      <w:r w:rsidR="00211D29">
        <w:t xml:space="preserve"> </w:t>
      </w:r>
      <w:r w:rsidRPr="0047574D">
        <w:t>both</w:t>
      </w:r>
      <w:r w:rsidR="00211D29">
        <w:t xml:space="preserve"> </w:t>
      </w:r>
      <w:r w:rsidRPr="0047574D">
        <w:t>upon</w:t>
      </w:r>
      <w:r w:rsidR="00211D29">
        <w:t xml:space="preserve"> </w:t>
      </w:r>
      <w:r w:rsidRPr="0047574D">
        <w:t>entering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while</w:t>
      </w:r>
      <w:r w:rsidR="00211D29">
        <w:t xml:space="preserve"> </w:t>
      </w:r>
      <w:r w:rsidRPr="0047574D">
        <w:t>staying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first</w:t>
      </w:r>
      <w:r w:rsidR="00211D29">
        <w:t xml:space="preserve"> </w:t>
      </w:r>
      <w:r w:rsidRPr="0047574D">
        <w:t>country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asylum.</w:t>
      </w:r>
      <w:r w:rsidR="00211D29">
        <w:t xml:space="preserve"> </w:t>
      </w:r>
      <w:r w:rsidRPr="0047574D">
        <w:t>However,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considers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possible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insist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have</w:t>
      </w:r>
      <w:r w:rsidR="00211D29">
        <w:t xml:space="preserve"> </w:t>
      </w:r>
      <w:r w:rsidRPr="0047574D">
        <w:t>exactly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same</w:t>
      </w:r>
      <w:r w:rsidR="00211D29">
        <w:t xml:space="preserve"> </w:t>
      </w:r>
      <w:r w:rsidRPr="0047574D">
        <w:t>social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living</w:t>
      </w:r>
      <w:r w:rsidR="00211D29">
        <w:t xml:space="preserve"> </w:t>
      </w:r>
      <w:r w:rsidRPr="0047574D">
        <w:t>standards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nationals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country.</w:t>
      </w:r>
    </w:p>
    <w:p w:rsidR="006B0EB0" w:rsidRPr="0047574D" w:rsidRDefault="006B0EB0" w:rsidP="006B0EB0">
      <w:pPr>
        <w:pStyle w:val="SingleTxtG"/>
      </w:pPr>
      <w:r w:rsidRPr="0047574D">
        <w:t>4.5</w:t>
      </w:r>
      <w:r w:rsidRPr="0047574D">
        <w:tab/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refers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decision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inadmissibility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European</w:t>
      </w:r>
      <w:r w:rsidR="00211D29">
        <w:t xml:space="preserve"> </w:t>
      </w:r>
      <w:r w:rsidRPr="0047574D">
        <w:t>Court</w:t>
      </w:r>
      <w:r w:rsidR="00211D29">
        <w:t xml:space="preserve"> </w:t>
      </w:r>
      <w:r w:rsidRPr="0047574D">
        <w:t>in</w:t>
      </w:r>
      <w:r w:rsidR="00211D29">
        <w:t xml:space="preserve"> </w:t>
      </w:r>
      <w:r w:rsidR="00AF5C26" w:rsidRPr="00AF5C26">
        <w:rPr>
          <w:i/>
        </w:rPr>
        <w:t>Samsam</w:t>
      </w:r>
      <w:r w:rsidR="00211D29">
        <w:rPr>
          <w:i/>
        </w:rPr>
        <w:t xml:space="preserve"> </w:t>
      </w:r>
      <w:r w:rsidR="00AF5C26" w:rsidRPr="00AF5C26">
        <w:rPr>
          <w:i/>
        </w:rPr>
        <w:t>Mohammed</w:t>
      </w:r>
      <w:r w:rsidR="00211D29">
        <w:rPr>
          <w:i/>
        </w:rPr>
        <w:t xml:space="preserve"> </w:t>
      </w:r>
      <w:r w:rsidR="00AF5C26" w:rsidRPr="00AF5C26">
        <w:rPr>
          <w:i/>
        </w:rPr>
        <w:t>Hussein</w:t>
      </w:r>
      <w:r w:rsidR="00211D29">
        <w:rPr>
          <w:i/>
        </w:rPr>
        <w:t xml:space="preserve"> </w:t>
      </w:r>
      <w:r w:rsidR="00AF5C26" w:rsidRPr="00AF5C26">
        <w:rPr>
          <w:i/>
        </w:rPr>
        <w:t>and</w:t>
      </w:r>
      <w:r w:rsidR="00211D29">
        <w:rPr>
          <w:i/>
        </w:rPr>
        <w:t xml:space="preserve"> </w:t>
      </w:r>
      <w:r w:rsidR="00AF5C26" w:rsidRPr="00AF5C26">
        <w:rPr>
          <w:i/>
        </w:rPr>
        <w:t>Others</w:t>
      </w:r>
      <w:r w:rsidR="00211D29">
        <w:rPr>
          <w:i/>
        </w:rPr>
        <w:t xml:space="preserve"> </w:t>
      </w:r>
      <w:r w:rsidR="00AF5C26" w:rsidRPr="00AF5C26">
        <w:rPr>
          <w:i/>
        </w:rPr>
        <w:t>v.</w:t>
      </w:r>
      <w:r w:rsidR="00211D29">
        <w:rPr>
          <w:i/>
        </w:rPr>
        <w:t xml:space="preserve"> </w:t>
      </w:r>
      <w:r w:rsidR="00AF5C26" w:rsidRPr="00AF5C26">
        <w:rPr>
          <w:i/>
        </w:rPr>
        <w:t>the</w:t>
      </w:r>
      <w:r w:rsidR="00211D29">
        <w:rPr>
          <w:i/>
        </w:rPr>
        <w:t xml:space="preserve"> </w:t>
      </w:r>
      <w:r w:rsidR="00AF5C26" w:rsidRPr="00AF5C26">
        <w:rPr>
          <w:i/>
        </w:rPr>
        <w:t>Netherlands</w:t>
      </w:r>
      <w:r w:rsidR="00211D29">
        <w:rPr>
          <w:i/>
        </w:rPr>
        <w:t xml:space="preserve"> </w:t>
      </w:r>
      <w:r w:rsidR="00AF5C26" w:rsidRPr="00AF5C26">
        <w:rPr>
          <w:i/>
        </w:rPr>
        <w:t>and</w:t>
      </w:r>
      <w:r w:rsidR="00211D29">
        <w:rPr>
          <w:i/>
        </w:rPr>
        <w:t xml:space="preserve"> </w:t>
      </w:r>
      <w:r w:rsidR="00AF5C26" w:rsidRPr="00AF5C26">
        <w:rPr>
          <w:i/>
        </w:rPr>
        <w:t>Italy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2</w:t>
      </w:r>
      <w:r w:rsidR="00211D29">
        <w:t xml:space="preserve"> </w:t>
      </w:r>
      <w:r w:rsidRPr="0047574D">
        <w:t>April</w:t>
      </w:r>
      <w:r w:rsidR="00211D29">
        <w:t xml:space="preserve"> </w:t>
      </w:r>
      <w:r w:rsidRPr="0047574D">
        <w:t>2013</w:t>
      </w:r>
      <w:r w:rsidR="00211D29">
        <w:t xml:space="preserve"> </w:t>
      </w:r>
      <w:r w:rsidRPr="0047574D">
        <w:t>concerning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treatment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seekers,</w:t>
      </w:r>
      <w:r w:rsidR="00211D29">
        <w:t xml:space="preserve"> </w:t>
      </w:r>
      <w:r w:rsidRPr="0047574D">
        <w:t>persons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subsidiary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returnees,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accordance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Dublin</w:t>
      </w:r>
      <w:r w:rsidR="00211D29">
        <w:t xml:space="preserve"> </w:t>
      </w:r>
      <w:r w:rsidRPr="0047574D">
        <w:t>Regulation.</w:t>
      </w:r>
      <w:r w:rsidRPr="00D81309">
        <w:rPr>
          <w:rStyle w:val="FootnoteReference"/>
        </w:rPr>
        <w:footnoteReference w:id="14"/>
      </w:r>
      <w:r w:rsidR="00211D29">
        <w:t xml:space="preserve"> </w:t>
      </w:r>
      <w:r w:rsidRPr="0047574D">
        <w:t>Taking</w:t>
      </w:r>
      <w:r w:rsidR="00211D29">
        <w:t xml:space="preserve"> </w:t>
      </w:r>
      <w:r w:rsidRPr="0047574D">
        <w:t>into</w:t>
      </w:r>
      <w:r w:rsidR="00211D29">
        <w:t xml:space="preserve"> </w:t>
      </w:r>
      <w:r w:rsidRPr="0047574D">
        <w:t>account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reports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governmental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non-governmental</w:t>
      </w:r>
      <w:r w:rsidR="00211D29">
        <w:t xml:space="preserve"> </w:t>
      </w:r>
      <w:r w:rsidRPr="0047574D">
        <w:t>organizations,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Court</w:t>
      </w:r>
      <w:r w:rsidR="00211D29">
        <w:t xml:space="preserve"> </w:t>
      </w:r>
      <w:r w:rsidRPr="0047574D">
        <w:t>considered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="005766A0">
        <w:t>“</w:t>
      </w:r>
      <w:r w:rsidRPr="0047574D">
        <w:t>while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general</w:t>
      </w:r>
      <w:r w:rsidR="00211D29">
        <w:t xml:space="preserve"> </w:t>
      </w:r>
      <w:r w:rsidRPr="0047574D">
        <w:t>situation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living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seekers,</w:t>
      </w:r>
      <w:r w:rsidR="00211D29">
        <w:t xml:space="preserve"> </w:t>
      </w:r>
      <w:r w:rsidRPr="0047574D">
        <w:t>accepted</w:t>
      </w:r>
      <w:r w:rsidR="00211D29">
        <w:t xml:space="preserve"> </w:t>
      </w:r>
      <w:r w:rsidRPr="0047574D">
        <w:t>refugees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aliens</w:t>
      </w:r>
      <w:r w:rsidR="00211D29">
        <w:t xml:space="preserve"> </w:t>
      </w:r>
      <w:r w:rsidRPr="0047574D">
        <w:t>who</w:t>
      </w:r>
      <w:r w:rsidR="00211D29">
        <w:t xml:space="preserve"> </w:t>
      </w:r>
      <w:r w:rsidRPr="0047574D">
        <w:t>have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permit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international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humanitarian</w:t>
      </w:r>
      <w:r w:rsidR="00211D29">
        <w:t xml:space="preserve"> </w:t>
      </w:r>
      <w:r w:rsidRPr="0047574D">
        <w:t>purposes</w:t>
      </w:r>
      <w:r w:rsidR="00211D29">
        <w:t xml:space="preserve"> </w:t>
      </w:r>
      <w:r w:rsidRPr="0047574D">
        <w:t>may</w:t>
      </w:r>
      <w:r w:rsidR="00211D29">
        <w:t xml:space="preserve"> </w:t>
      </w:r>
      <w:r w:rsidRPr="0047574D">
        <w:t>disclose</w:t>
      </w:r>
      <w:r w:rsidR="00211D29">
        <w:t xml:space="preserve"> </w:t>
      </w:r>
      <w:r w:rsidRPr="0047574D">
        <w:t>some</w:t>
      </w:r>
      <w:r w:rsidR="00211D29">
        <w:t xml:space="preserve"> </w:t>
      </w:r>
      <w:r w:rsidRPr="0047574D">
        <w:t>shortcomings</w:t>
      </w:r>
      <w:r w:rsidR="00211D29">
        <w:t xml:space="preserve"> </w:t>
      </w:r>
      <w:r w:rsidRPr="0047574D">
        <w:t>…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shown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disclose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systemic</w:t>
      </w:r>
      <w:r w:rsidR="00211D29">
        <w:t xml:space="preserve"> </w:t>
      </w:r>
      <w:r w:rsidRPr="0047574D">
        <w:t>failure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provide</w:t>
      </w:r>
      <w:r w:rsidR="00211D29">
        <w:t xml:space="preserve"> </w:t>
      </w:r>
      <w:r w:rsidRPr="0047574D">
        <w:t>support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facilities</w:t>
      </w:r>
      <w:r w:rsidR="00211D29">
        <w:t xml:space="preserve"> </w:t>
      </w:r>
      <w:r w:rsidRPr="0047574D">
        <w:t>catering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members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particularly</w:t>
      </w:r>
      <w:r w:rsidR="00211D29">
        <w:t xml:space="preserve"> </w:t>
      </w:r>
      <w:r w:rsidRPr="0047574D">
        <w:t>vulnerable</w:t>
      </w:r>
      <w:r w:rsidR="00211D29">
        <w:t xml:space="preserve"> </w:t>
      </w:r>
      <w:r w:rsidRPr="0047574D">
        <w:t>group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people,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case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5808FB">
        <w:rPr>
          <w:i/>
        </w:rPr>
        <w:t>M.S.S.</w:t>
      </w:r>
      <w:r w:rsidR="00211D29">
        <w:rPr>
          <w:i/>
        </w:rPr>
        <w:t xml:space="preserve"> </w:t>
      </w:r>
      <w:r w:rsidRPr="005808FB">
        <w:rPr>
          <w:i/>
        </w:rPr>
        <w:t>v.</w:t>
      </w:r>
      <w:r w:rsidR="00211D29">
        <w:rPr>
          <w:i/>
        </w:rPr>
        <w:t xml:space="preserve"> </w:t>
      </w:r>
      <w:r w:rsidRPr="005808FB">
        <w:rPr>
          <w:i/>
        </w:rPr>
        <w:t>Belgium</w:t>
      </w:r>
      <w:r w:rsidR="00211D29">
        <w:rPr>
          <w:i/>
        </w:rPr>
        <w:t xml:space="preserve"> </w:t>
      </w:r>
      <w:r w:rsidRPr="005808FB">
        <w:rPr>
          <w:i/>
        </w:rPr>
        <w:t>and</w:t>
      </w:r>
      <w:r w:rsidR="00211D29">
        <w:rPr>
          <w:i/>
        </w:rPr>
        <w:t xml:space="preserve"> </w:t>
      </w:r>
      <w:r w:rsidRPr="005808FB">
        <w:rPr>
          <w:i/>
        </w:rPr>
        <w:t>Greece</w:t>
      </w:r>
      <w:r w:rsidR="005766A0">
        <w:t>”</w:t>
      </w:r>
      <w:r w:rsidRPr="0047574D">
        <w:t>.</w:t>
      </w:r>
      <w:r w:rsidRPr="00D81309">
        <w:rPr>
          <w:rStyle w:val="FootnoteReference"/>
        </w:rPr>
        <w:footnoteReference w:id="15"/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Court</w:t>
      </w:r>
      <w:r w:rsidR="00211D29">
        <w:t xml:space="preserve"> </w:t>
      </w:r>
      <w:r w:rsidRPr="0047574D">
        <w:t>noted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person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subsidiary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provided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three-year</w:t>
      </w:r>
      <w:r w:rsidR="00211D29">
        <w:t xml:space="preserve"> </w:t>
      </w:r>
      <w:r w:rsidRPr="0047574D">
        <w:t>renewable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permit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allowed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holder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work,</w:t>
      </w:r>
      <w:r w:rsidR="00211D29">
        <w:t xml:space="preserve"> </w:t>
      </w:r>
      <w:r w:rsidRPr="0047574D">
        <w:t>obtain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travel</w:t>
      </w:r>
      <w:r w:rsidR="00211D29">
        <w:t xml:space="preserve"> </w:t>
      </w:r>
      <w:r w:rsidRPr="0047574D">
        <w:t>document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aliens,</w:t>
      </w:r>
      <w:r w:rsidR="00211D29">
        <w:t xml:space="preserve"> </w:t>
      </w:r>
      <w:r w:rsidRPr="0047574D">
        <w:t>apply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family</w:t>
      </w:r>
      <w:r w:rsidR="00211D29">
        <w:t xml:space="preserve"> </w:t>
      </w:r>
      <w:r w:rsidRPr="0047574D">
        <w:t>reunification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benefit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general</w:t>
      </w:r>
      <w:r w:rsidR="00211D29">
        <w:t xml:space="preserve"> </w:t>
      </w:r>
      <w:r w:rsidRPr="0047574D">
        <w:t>schemes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social</w:t>
      </w:r>
      <w:r w:rsidR="00211D29">
        <w:t xml:space="preserve"> </w:t>
      </w:r>
      <w:r w:rsidRPr="0047574D">
        <w:t>assistance,</w:t>
      </w:r>
      <w:r w:rsidR="00211D29">
        <w:t xml:space="preserve"> </w:t>
      </w:r>
      <w:r w:rsidRPr="0047574D">
        <w:t>health</w:t>
      </w:r>
      <w:r w:rsidR="00211D29">
        <w:t xml:space="preserve"> </w:t>
      </w:r>
      <w:r w:rsidRPr="0047574D">
        <w:t>care,</w:t>
      </w:r>
      <w:r w:rsidR="00211D29">
        <w:t xml:space="preserve"> </w:t>
      </w:r>
      <w:r w:rsidRPr="0047574D">
        <w:t>social</w:t>
      </w:r>
      <w:r w:rsidR="00211D29">
        <w:t xml:space="preserve"> </w:t>
      </w:r>
      <w:r w:rsidRPr="0047574D">
        <w:t>housing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education.</w:t>
      </w:r>
      <w:r w:rsidR="00211D29">
        <w:t xml:space="preserve"> </w:t>
      </w:r>
      <w:r w:rsidRPr="0047574D">
        <w:t>Likewise,</w:t>
      </w:r>
      <w:r w:rsidR="00211D29">
        <w:t xml:space="preserve"> </w:t>
      </w:r>
      <w:r w:rsidRPr="0047574D">
        <w:t>an</w:t>
      </w:r>
      <w:r w:rsidR="00211D29">
        <w:t xml:space="preserve"> </w:t>
      </w:r>
      <w:r w:rsidRPr="0047574D">
        <w:t>alien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able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apply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renewal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his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permit</w:t>
      </w:r>
      <w:r w:rsidR="00211D29">
        <w:t xml:space="preserve"> </w:t>
      </w:r>
      <w:r w:rsidRPr="0047574D">
        <w:t>upon</w:t>
      </w:r>
      <w:r w:rsidR="00211D29">
        <w:t xml:space="preserve"> </w:t>
      </w:r>
      <w:r w:rsidRPr="0047574D">
        <w:t>its</w:t>
      </w:r>
      <w:r w:rsidR="00211D29">
        <w:t xml:space="preserve"> </w:t>
      </w:r>
      <w:r w:rsidRPr="0047574D">
        <w:t>expiry.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Court</w:t>
      </w:r>
      <w:r w:rsidR="00211D29">
        <w:t xml:space="preserve"> </w:t>
      </w:r>
      <w:r w:rsidRPr="0047574D">
        <w:t>found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applicant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allegations</w:t>
      </w:r>
      <w:r w:rsidR="00211D29">
        <w:t xml:space="preserve"> </w:t>
      </w:r>
      <w:r w:rsidRPr="0047574D">
        <w:t>manifestly</w:t>
      </w:r>
      <w:r w:rsidR="00211D29">
        <w:t xml:space="preserve"> </w:t>
      </w:r>
      <w:r w:rsidRPr="0047574D">
        <w:t>ill-founded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inadmissible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applicant</w:t>
      </w:r>
      <w:r w:rsidR="00211D29">
        <w:t xml:space="preserve"> </w:t>
      </w:r>
      <w:r w:rsidRPr="0047574D">
        <w:t>could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returned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Italy.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regard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present</w:t>
      </w:r>
      <w:r w:rsidR="00211D29">
        <w:t xml:space="preserve"> </w:t>
      </w:r>
      <w:r w:rsidRPr="0047574D">
        <w:t>case,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considers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although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relied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Court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findings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5B7312">
        <w:rPr>
          <w:i/>
        </w:rPr>
        <w:t>M.S.S.</w:t>
      </w:r>
      <w:r w:rsidR="00211D29" w:rsidRPr="005B7312">
        <w:rPr>
          <w:i/>
        </w:rPr>
        <w:t xml:space="preserve"> </w:t>
      </w:r>
      <w:r w:rsidRPr="005B7312">
        <w:rPr>
          <w:i/>
        </w:rPr>
        <w:t>v.</w:t>
      </w:r>
      <w:r w:rsidR="00211D29" w:rsidRPr="005B7312">
        <w:rPr>
          <w:i/>
        </w:rPr>
        <w:t xml:space="preserve"> </w:t>
      </w:r>
      <w:r w:rsidRPr="005B7312">
        <w:rPr>
          <w:i/>
        </w:rPr>
        <w:t>Belgium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Greece</w:t>
      </w:r>
      <w:r w:rsidR="00211D29">
        <w:t xml:space="preserve"> </w:t>
      </w:r>
      <w:r w:rsidRPr="0047574D">
        <w:t>(2011),</w:t>
      </w:r>
      <w:r w:rsidR="00211D29">
        <w:t xml:space="preserve"> </w:t>
      </w:r>
      <w:r w:rsidRPr="0047574D">
        <w:t>its</w:t>
      </w:r>
      <w:r w:rsidR="00211D29">
        <w:t xml:space="preserve"> </w:t>
      </w:r>
      <w:r w:rsidRPr="0047574D">
        <w:t>decision</w:t>
      </w:r>
      <w:r w:rsidR="00211D29">
        <w:t xml:space="preserve"> </w:t>
      </w:r>
      <w:r w:rsidRPr="0047574D">
        <w:t>in</w:t>
      </w:r>
      <w:r w:rsidR="00211D29">
        <w:t xml:space="preserve"> </w:t>
      </w:r>
      <w:r w:rsidR="00AF5C26" w:rsidRPr="00AF5C26">
        <w:rPr>
          <w:i/>
        </w:rPr>
        <w:t>Samsam</w:t>
      </w:r>
      <w:r w:rsidR="00211D29">
        <w:rPr>
          <w:i/>
        </w:rPr>
        <w:t xml:space="preserve"> </w:t>
      </w:r>
      <w:r w:rsidR="00AF5C26" w:rsidRPr="00AF5C26">
        <w:rPr>
          <w:i/>
        </w:rPr>
        <w:t>Mohammed</w:t>
      </w:r>
      <w:r w:rsidR="00211D29">
        <w:rPr>
          <w:i/>
        </w:rPr>
        <w:t xml:space="preserve"> </w:t>
      </w:r>
      <w:r w:rsidR="00AF5C26" w:rsidRPr="00AF5C26">
        <w:rPr>
          <w:i/>
        </w:rPr>
        <w:t>Hussein</w:t>
      </w:r>
      <w:r w:rsidR="00211D29">
        <w:rPr>
          <w:i/>
        </w:rPr>
        <w:t xml:space="preserve"> </w:t>
      </w:r>
      <w:r w:rsidR="00AF5C26" w:rsidRPr="00AF5C26">
        <w:rPr>
          <w:i/>
        </w:rPr>
        <w:t>and</w:t>
      </w:r>
      <w:r w:rsidR="00211D29">
        <w:rPr>
          <w:i/>
        </w:rPr>
        <w:t xml:space="preserve"> </w:t>
      </w:r>
      <w:r w:rsidR="00AF5C26" w:rsidRPr="00AF5C26">
        <w:rPr>
          <w:i/>
        </w:rPr>
        <w:t>Others</w:t>
      </w:r>
      <w:r w:rsidR="00211D29">
        <w:rPr>
          <w:i/>
        </w:rPr>
        <w:t xml:space="preserve"> </w:t>
      </w:r>
      <w:r w:rsidR="00AF5C26" w:rsidRPr="00AF5C26">
        <w:rPr>
          <w:i/>
        </w:rPr>
        <w:t>v.</w:t>
      </w:r>
      <w:r w:rsidR="00211D29">
        <w:rPr>
          <w:i/>
        </w:rPr>
        <w:t xml:space="preserve"> </w:t>
      </w:r>
      <w:r w:rsidR="00AF5C26" w:rsidRPr="00AF5C26">
        <w:rPr>
          <w:i/>
        </w:rPr>
        <w:t>the</w:t>
      </w:r>
      <w:r w:rsidR="00211D29">
        <w:rPr>
          <w:i/>
        </w:rPr>
        <w:t xml:space="preserve"> </w:t>
      </w:r>
      <w:r w:rsidR="00AF5C26" w:rsidRPr="00AF5C26">
        <w:rPr>
          <w:i/>
        </w:rPr>
        <w:t>Netherlands</w:t>
      </w:r>
      <w:r w:rsidR="00211D29">
        <w:rPr>
          <w:i/>
        </w:rPr>
        <w:t xml:space="preserve"> </w:t>
      </w:r>
      <w:r w:rsidR="00AF5C26" w:rsidRPr="00AF5C26">
        <w:rPr>
          <w:i/>
        </w:rPr>
        <w:t>and</w:t>
      </w:r>
      <w:r w:rsidR="00211D29">
        <w:rPr>
          <w:i/>
        </w:rPr>
        <w:t xml:space="preserve"> </w:t>
      </w:r>
      <w:r w:rsidR="00AF5C26" w:rsidRPr="00AF5C26">
        <w:rPr>
          <w:i/>
        </w:rPr>
        <w:t>Italy</w:t>
      </w:r>
      <w:r w:rsidR="00211D29">
        <w:t xml:space="preserve"> </w:t>
      </w:r>
      <w:r w:rsidRPr="0047574D">
        <w:t>(2013)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more</w:t>
      </w:r>
      <w:r w:rsidR="00211D29">
        <w:t xml:space="preserve"> </w:t>
      </w:r>
      <w:r w:rsidRPr="0047574D">
        <w:t>recent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specifically</w:t>
      </w:r>
      <w:r w:rsidR="00211D29">
        <w:t xml:space="preserve"> </w:t>
      </w:r>
      <w:r w:rsidRPr="0047574D">
        <w:t>addresses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Italy.</w:t>
      </w:r>
      <w:r w:rsidR="00211D29">
        <w:t xml:space="preserve"> </w:t>
      </w:r>
      <w:r w:rsidRPr="0047574D">
        <w:t>Hence,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maintains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Court</w:t>
      </w:r>
      <w:r w:rsidR="00211D29">
        <w:t xml:space="preserve"> </w:t>
      </w:r>
      <w:r w:rsidRPr="0047574D">
        <w:t>noted,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person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subsidiary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provided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three-year</w:t>
      </w:r>
      <w:r w:rsidR="00211D29">
        <w:t xml:space="preserve"> </w:t>
      </w:r>
      <w:r w:rsidRPr="0047574D">
        <w:t>renewable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permit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allowed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holder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work,</w:t>
      </w:r>
      <w:r w:rsidR="00211D29">
        <w:t xml:space="preserve"> </w:t>
      </w:r>
      <w:r w:rsidRPr="0047574D">
        <w:t>obtain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travel</w:t>
      </w:r>
      <w:r w:rsidR="00211D29">
        <w:t xml:space="preserve"> </w:t>
      </w:r>
      <w:r w:rsidRPr="0047574D">
        <w:t>document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aliens,</w:t>
      </w:r>
      <w:r w:rsidR="00211D29">
        <w:t xml:space="preserve"> </w:t>
      </w:r>
      <w:r w:rsidRPr="0047574D">
        <w:t>apply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family</w:t>
      </w:r>
      <w:r w:rsidR="00211D29">
        <w:t xml:space="preserve"> </w:t>
      </w:r>
      <w:r w:rsidRPr="0047574D">
        <w:t>reunification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benefit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general</w:t>
      </w:r>
      <w:r w:rsidR="00211D29">
        <w:t xml:space="preserve"> </w:t>
      </w:r>
      <w:r w:rsidRPr="0047574D">
        <w:t>schemes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social</w:t>
      </w:r>
      <w:r w:rsidR="00211D29">
        <w:t xml:space="preserve"> </w:t>
      </w:r>
      <w:r w:rsidRPr="0047574D">
        <w:t>assistance,</w:t>
      </w:r>
      <w:r w:rsidR="00211D29">
        <w:t xml:space="preserve"> </w:t>
      </w:r>
      <w:r w:rsidRPr="0047574D">
        <w:t>health</w:t>
      </w:r>
      <w:r w:rsidR="00211D29">
        <w:t xml:space="preserve"> </w:t>
      </w:r>
      <w:r w:rsidRPr="0047574D">
        <w:t>care,</w:t>
      </w:r>
      <w:r w:rsidR="00211D29">
        <w:t xml:space="preserve"> </w:t>
      </w:r>
      <w:r w:rsidRPr="0047574D">
        <w:t>social</w:t>
      </w:r>
      <w:r w:rsidR="00211D29">
        <w:t xml:space="preserve"> </w:t>
      </w:r>
      <w:r w:rsidRPr="0047574D">
        <w:t>housing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education.</w:t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lastRenderedPageBreak/>
        <w:t>4.6</w:t>
      </w:r>
      <w:r w:rsidRPr="0047574D">
        <w:tab/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also</w:t>
      </w:r>
      <w:r w:rsidR="00211D29">
        <w:t xml:space="preserve"> </w:t>
      </w:r>
      <w:r w:rsidRPr="0047574D">
        <w:t>refers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2013</w:t>
      </w:r>
      <w:r w:rsidR="00211D29">
        <w:t xml:space="preserve"> </w:t>
      </w:r>
      <w:r w:rsidRPr="0047574D">
        <w:t>country</w:t>
      </w:r>
      <w:r w:rsidR="00211D29">
        <w:t xml:space="preserve"> </w:t>
      </w:r>
      <w:r w:rsidRPr="0047574D">
        <w:t>report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cited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—</w:t>
      </w:r>
      <w:r w:rsidR="00211D29">
        <w:t xml:space="preserve"> </w:t>
      </w:r>
      <w:r w:rsidRPr="0047574D">
        <w:t>prepared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part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Information</w:t>
      </w:r>
      <w:r w:rsidR="00211D29">
        <w:t xml:space="preserve"> </w:t>
      </w:r>
      <w:r w:rsidRPr="0047574D">
        <w:t>Database</w:t>
      </w:r>
      <w:r w:rsidR="00211D29">
        <w:t xml:space="preserve"> </w:t>
      </w:r>
      <w:r w:rsidRPr="0047574D">
        <w:t>project</w:t>
      </w:r>
      <w:r w:rsidR="00211D29">
        <w:t xml:space="preserve"> </w:t>
      </w:r>
      <w:r w:rsidRPr="0047574D">
        <w:t>—</w:t>
      </w:r>
      <w:r w:rsidR="00211D29">
        <w:t xml:space="preserve"> </w:t>
      </w:r>
      <w:r w:rsidRPr="0047574D">
        <w:t>according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which</w:t>
      </w:r>
      <w:r w:rsidR="00211D29">
        <w:t xml:space="preserve"> </w:t>
      </w:r>
      <w:r w:rsidRPr="0047574D">
        <w:t>some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who</w:t>
      </w:r>
      <w:r w:rsidR="00211D29">
        <w:t xml:space="preserve"> </w:t>
      </w:r>
      <w:r w:rsidRPr="0047574D">
        <w:t>did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have</w:t>
      </w:r>
      <w:r w:rsidR="00211D29">
        <w:t xml:space="preserve"> </w:t>
      </w:r>
      <w:r w:rsidRPr="0047574D">
        <w:t>access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centres</w:t>
      </w:r>
      <w:r w:rsidR="00211D29">
        <w:t xml:space="preserve"> </w:t>
      </w:r>
      <w:r w:rsidRPr="0047574D">
        <w:t>were</w:t>
      </w:r>
      <w:r w:rsidR="00211D29">
        <w:t xml:space="preserve"> </w:t>
      </w:r>
      <w:r w:rsidRPr="0047574D">
        <w:t>obliged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live</w:t>
      </w:r>
      <w:r w:rsidR="00211D29">
        <w:t xml:space="preserve"> </w:t>
      </w:r>
      <w:r w:rsidRPr="0047574D">
        <w:t>in</w:t>
      </w:r>
      <w:r w:rsidR="00211D29">
        <w:t xml:space="preserve"> </w:t>
      </w:r>
      <w:r w:rsidR="005766A0">
        <w:t>“</w:t>
      </w:r>
      <w:r w:rsidRPr="0047574D">
        <w:t>self-organized</w:t>
      </w:r>
      <w:r w:rsidR="00211D29">
        <w:t xml:space="preserve"> </w:t>
      </w:r>
      <w:r w:rsidRPr="0047574D">
        <w:t>settlements</w:t>
      </w:r>
      <w:r w:rsidR="005766A0">
        <w:t>”</w:t>
      </w:r>
      <w:r w:rsidRPr="0047574D">
        <w:t>,</w:t>
      </w:r>
      <w:r w:rsidR="00211D29">
        <w:t xml:space="preserve"> </w:t>
      </w:r>
      <w:r w:rsidRPr="0047574D">
        <w:t>which</w:t>
      </w:r>
      <w:r w:rsidR="00211D29">
        <w:t xml:space="preserve"> </w:t>
      </w:r>
      <w:r w:rsidRPr="0047574D">
        <w:t>are</w:t>
      </w:r>
      <w:r w:rsidR="00211D29">
        <w:t xml:space="preserve"> </w:t>
      </w:r>
      <w:r w:rsidRPr="0047574D">
        <w:t>often</w:t>
      </w:r>
      <w:r w:rsidR="00211D29">
        <w:t xml:space="preserve"> </w:t>
      </w:r>
      <w:r w:rsidRPr="0047574D">
        <w:t>overcrowded.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submits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report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updated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December</w:t>
      </w:r>
      <w:r w:rsidR="00211D29">
        <w:t xml:space="preserve"> </w:t>
      </w:r>
      <w:r w:rsidRPr="0047574D">
        <w:t>2013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country</w:t>
      </w:r>
      <w:r w:rsidR="00211D29">
        <w:t xml:space="preserve"> </w:t>
      </w:r>
      <w:r w:rsidRPr="0047574D">
        <w:t>report</w:t>
      </w:r>
      <w:r w:rsidR="00211D29">
        <w:t xml:space="preserve"> </w:t>
      </w:r>
      <w:r w:rsidRPr="0047574D">
        <w:t>indicates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those</w:t>
      </w:r>
      <w:r w:rsidR="00211D29">
        <w:t xml:space="preserve"> </w:t>
      </w:r>
      <w:r w:rsidRPr="0047574D">
        <w:t>were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reception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aliens</w:t>
      </w:r>
      <w:r w:rsidR="00211D29">
        <w:t xml:space="preserve"> </w:t>
      </w:r>
      <w:r w:rsidRPr="0047574D">
        <w:t>who,</w:t>
      </w:r>
      <w:r w:rsidR="00211D29">
        <w:t xml:space="preserve"> </w:t>
      </w:r>
      <w:r w:rsidRPr="0047574D">
        <w:t>like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author,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already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issued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permits.</w:t>
      </w:r>
      <w:r w:rsidR="00211D29">
        <w:t xml:space="preserve"> </w:t>
      </w:r>
      <w:r w:rsidRPr="0047574D">
        <w:t>Likewise,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mainly</w:t>
      </w:r>
      <w:r w:rsidR="00211D29">
        <w:t xml:space="preserve"> </w:t>
      </w:r>
      <w:r w:rsidRPr="0047574D">
        <w:t>referred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reports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other</w:t>
      </w:r>
      <w:r w:rsidR="00211D29">
        <w:t xml:space="preserve"> </w:t>
      </w:r>
      <w:r w:rsidRPr="0047574D">
        <w:t>background</w:t>
      </w:r>
      <w:r w:rsidR="00211D29">
        <w:t xml:space="preserve"> </w:t>
      </w:r>
      <w:r w:rsidRPr="0047574D">
        <w:t>material</w:t>
      </w:r>
      <w:r w:rsidR="00211D29">
        <w:t xml:space="preserve"> </w:t>
      </w:r>
      <w:r w:rsidRPr="0047574D">
        <w:t>concerning</w:t>
      </w:r>
      <w:r w:rsidR="00211D29">
        <w:t xml:space="preserve"> </w:t>
      </w:r>
      <w:r w:rsidRPr="0047574D">
        <w:t>reception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are</w:t>
      </w:r>
      <w:r w:rsidR="00211D29">
        <w:t xml:space="preserve"> </w:t>
      </w:r>
      <w:r w:rsidRPr="0047574D">
        <w:t>only</w:t>
      </w:r>
      <w:r w:rsidR="00211D29">
        <w:t xml:space="preserve"> </w:t>
      </w:r>
      <w:r w:rsidRPr="0047574D">
        <w:t>relevant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seekers,</w:t>
      </w:r>
      <w:r w:rsidR="00211D29">
        <w:t xml:space="preserve"> </w:t>
      </w:r>
      <w:r w:rsidRPr="0047574D">
        <w:t>including</w:t>
      </w:r>
      <w:r w:rsidR="00211D29">
        <w:t xml:space="preserve"> </w:t>
      </w:r>
      <w:r w:rsidRPr="0047574D">
        <w:t>returnees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Dublin</w:t>
      </w:r>
      <w:r w:rsidR="00211D29">
        <w:t xml:space="preserve"> </w:t>
      </w:r>
      <w:r w:rsidRPr="0047574D">
        <w:t>Regulation,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persons</w:t>
      </w:r>
      <w:r w:rsidR="00211D29">
        <w:t xml:space="preserve"> </w:t>
      </w:r>
      <w:r w:rsidRPr="0047574D">
        <w:t>who</w:t>
      </w:r>
      <w:r w:rsidR="00211D29">
        <w:t xml:space="preserve"> </w:t>
      </w:r>
      <w:r w:rsidRPr="0047574D">
        <w:t>have</w:t>
      </w:r>
      <w:r w:rsidR="00211D29">
        <w:t xml:space="preserve"> </w:t>
      </w:r>
      <w:r w:rsidRPr="0047574D">
        <w:t>already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subsidiary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Italy.</w:t>
      </w:r>
      <w:r w:rsidR="00211D29">
        <w:t xml:space="preserve"> </w:t>
      </w:r>
      <w:r w:rsidRPr="0047574D">
        <w:t>Furthermore,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compared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Court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decision</w:t>
      </w:r>
      <w:r w:rsidR="00211D29">
        <w:t xml:space="preserve"> </w:t>
      </w:r>
      <w:r w:rsidRPr="0047574D">
        <w:t>in</w:t>
      </w:r>
      <w:r w:rsidR="00211D29">
        <w:t xml:space="preserve"> </w:t>
      </w:r>
      <w:r w:rsidR="00AF5C26" w:rsidRPr="00AF5C26">
        <w:rPr>
          <w:i/>
        </w:rPr>
        <w:t>Samsam</w:t>
      </w:r>
      <w:r w:rsidR="00211D29">
        <w:rPr>
          <w:i/>
        </w:rPr>
        <w:t xml:space="preserve"> </w:t>
      </w:r>
      <w:r w:rsidR="00AF5C26" w:rsidRPr="00AF5C26">
        <w:rPr>
          <w:i/>
        </w:rPr>
        <w:t>Mohammed</w:t>
      </w:r>
      <w:r w:rsidR="00211D29">
        <w:rPr>
          <w:i/>
        </w:rPr>
        <w:t xml:space="preserve"> </w:t>
      </w:r>
      <w:r w:rsidR="00AF5C26" w:rsidRPr="00AF5C26">
        <w:rPr>
          <w:i/>
        </w:rPr>
        <w:t>Hussein</w:t>
      </w:r>
      <w:r w:rsidR="00211D29">
        <w:rPr>
          <w:i/>
        </w:rPr>
        <w:t xml:space="preserve"> </w:t>
      </w:r>
      <w:r w:rsidR="00AF5C26" w:rsidRPr="00AF5C26">
        <w:rPr>
          <w:i/>
        </w:rPr>
        <w:t>and</w:t>
      </w:r>
      <w:r w:rsidR="00211D29">
        <w:rPr>
          <w:i/>
        </w:rPr>
        <w:t xml:space="preserve"> </w:t>
      </w:r>
      <w:r w:rsidR="00AF5C26" w:rsidRPr="00AF5C26">
        <w:rPr>
          <w:i/>
        </w:rPr>
        <w:t>Others</w:t>
      </w:r>
      <w:r w:rsidR="00211D29">
        <w:rPr>
          <w:i/>
        </w:rPr>
        <w:t xml:space="preserve"> </w:t>
      </w:r>
      <w:r w:rsidR="00AF5C26" w:rsidRPr="00AF5C26">
        <w:rPr>
          <w:i/>
        </w:rPr>
        <w:t>v.</w:t>
      </w:r>
      <w:r w:rsidR="00211D29">
        <w:rPr>
          <w:i/>
        </w:rPr>
        <w:t xml:space="preserve"> </w:t>
      </w:r>
      <w:r w:rsidR="00AF5C26" w:rsidRPr="00AF5C26">
        <w:rPr>
          <w:i/>
        </w:rPr>
        <w:t>the</w:t>
      </w:r>
      <w:r w:rsidR="00211D29">
        <w:rPr>
          <w:i/>
        </w:rPr>
        <w:t xml:space="preserve"> </w:t>
      </w:r>
      <w:r w:rsidR="00AF5C26" w:rsidRPr="00AF5C26">
        <w:rPr>
          <w:i/>
        </w:rPr>
        <w:t>Netherlands</w:t>
      </w:r>
      <w:r w:rsidR="00211D29">
        <w:rPr>
          <w:i/>
        </w:rPr>
        <w:t xml:space="preserve"> </w:t>
      </w:r>
      <w:r w:rsidR="00AF5C26" w:rsidRPr="00AF5C26">
        <w:rPr>
          <w:i/>
        </w:rPr>
        <w:t>and</w:t>
      </w:r>
      <w:r w:rsidR="00211D29">
        <w:rPr>
          <w:i/>
        </w:rPr>
        <w:t xml:space="preserve"> </w:t>
      </w:r>
      <w:r w:rsidR="00AF5C26" w:rsidRPr="00AF5C26">
        <w:rPr>
          <w:i/>
        </w:rPr>
        <w:t>Italy</w:t>
      </w:r>
      <w:r w:rsidRPr="0047574D">
        <w:t>,</w:t>
      </w:r>
      <w:r w:rsidR="00211D29">
        <w:t xml:space="preserve"> </w:t>
      </w:r>
      <w:r w:rsidRPr="0047574D">
        <w:t>there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no</w:t>
      </w:r>
      <w:r w:rsidR="00211D29">
        <w:t xml:space="preserve"> </w:t>
      </w:r>
      <w:r w:rsidRPr="0047574D">
        <w:t>new</w:t>
      </w:r>
      <w:r w:rsidR="00211D29">
        <w:t xml:space="preserve"> </w:t>
      </w:r>
      <w:r w:rsidRPr="0047574D">
        <w:t>information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general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persons</w:t>
      </w:r>
      <w:r w:rsidR="00211D29">
        <w:t xml:space="preserve"> </w:t>
      </w:r>
      <w:r w:rsidRPr="0047574D">
        <w:t>who</w:t>
      </w:r>
      <w:r w:rsidR="00211D29">
        <w:t xml:space="preserve"> </w:t>
      </w:r>
      <w:r w:rsidRPr="0047574D">
        <w:t>have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permit.</w:t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t>4.7</w:t>
      </w:r>
      <w:r w:rsidRPr="0047574D">
        <w:tab/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refers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another</w:t>
      </w:r>
      <w:r w:rsidR="00211D29">
        <w:t xml:space="preserve"> </w:t>
      </w:r>
      <w:r w:rsidRPr="0047574D">
        <w:t>judgment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Court,</w:t>
      </w:r>
      <w:r w:rsidR="00211D29">
        <w:t xml:space="preserve"> </w:t>
      </w:r>
      <w:r w:rsidR="00AF5C26" w:rsidRPr="00AF5C26">
        <w:rPr>
          <w:i/>
        </w:rPr>
        <w:t>Tarakhel</w:t>
      </w:r>
      <w:r w:rsidR="00211D29">
        <w:rPr>
          <w:i/>
        </w:rPr>
        <w:t xml:space="preserve"> </w:t>
      </w:r>
      <w:r w:rsidR="00AF5C26" w:rsidRPr="00AF5C26">
        <w:rPr>
          <w:i/>
        </w:rPr>
        <w:t>v.</w:t>
      </w:r>
      <w:r w:rsidR="00211D29">
        <w:rPr>
          <w:i/>
        </w:rPr>
        <w:t xml:space="preserve"> </w:t>
      </w:r>
      <w:r w:rsidR="00AF5C26" w:rsidRPr="00AF5C26">
        <w:rPr>
          <w:i/>
        </w:rPr>
        <w:t>Switzerland</w:t>
      </w:r>
      <w:r w:rsidRPr="0047574D">
        <w:t>,</w:t>
      </w:r>
      <w:r w:rsidRPr="00D81309">
        <w:rPr>
          <w:rStyle w:val="FootnoteReference"/>
        </w:rPr>
        <w:footnoteReference w:id="16"/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which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Court</w:t>
      </w:r>
      <w:r w:rsidR="00211D29">
        <w:t xml:space="preserve"> </w:t>
      </w:r>
      <w:r w:rsidRPr="0047574D">
        <w:t>found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return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an</w:t>
      </w:r>
      <w:r w:rsidR="00211D29">
        <w:t xml:space="preserve"> </w:t>
      </w:r>
      <w:r w:rsidRPr="0047574D">
        <w:t>Afghan</w:t>
      </w:r>
      <w:r w:rsidR="00211D29">
        <w:t xml:space="preserve"> </w:t>
      </w:r>
      <w:r w:rsidRPr="0047574D">
        <w:t>family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Switzerland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constitute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breach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3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Convention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Human</w:t>
      </w:r>
      <w:r w:rsidR="00211D29">
        <w:t xml:space="preserve"> </w:t>
      </w:r>
      <w:r w:rsidRPr="0047574D">
        <w:t>Rights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Fundamental</w:t>
      </w:r>
      <w:r w:rsidR="00211D29">
        <w:t xml:space="preserve"> </w:t>
      </w:r>
      <w:r w:rsidRPr="0047574D">
        <w:t>Freedoms</w:t>
      </w:r>
      <w:r w:rsidR="00211D29">
        <w:t xml:space="preserve"> </w:t>
      </w:r>
      <w:r w:rsidRPr="0047574D">
        <w:t>(European</w:t>
      </w:r>
      <w:r w:rsidR="00211D29">
        <w:t xml:space="preserve"> </w:t>
      </w:r>
      <w:r w:rsidRPr="0047574D">
        <w:t>Convention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Human</w:t>
      </w:r>
      <w:r w:rsidR="00211D29">
        <w:t xml:space="preserve"> </w:t>
      </w:r>
      <w:r w:rsidRPr="0047574D">
        <w:t>Rights)</w:t>
      </w:r>
      <w:r w:rsidR="00211D29">
        <w:t xml:space="preserve"> </w:t>
      </w:r>
      <w:r w:rsidRPr="0047574D">
        <w:t>(prohibition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inhuman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degrading</w:t>
      </w:r>
      <w:r w:rsidR="00211D29">
        <w:t xml:space="preserve"> </w:t>
      </w:r>
      <w:r w:rsidRPr="0047574D">
        <w:t>treatment)</w:t>
      </w:r>
      <w:r w:rsidR="00211D29">
        <w:t xml:space="preserve"> </w:t>
      </w:r>
      <w:r w:rsidRPr="0047574D">
        <w:t>if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Swiss</w:t>
      </w:r>
      <w:r w:rsidR="00211D29">
        <w:t xml:space="preserve"> </w:t>
      </w:r>
      <w:r w:rsidRPr="0047574D">
        <w:t>authorities</w:t>
      </w:r>
      <w:r w:rsidR="00211D29">
        <w:t xml:space="preserve"> </w:t>
      </w:r>
      <w:r w:rsidRPr="0047574D">
        <w:t>were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send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back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Dublin</w:t>
      </w:r>
      <w:r w:rsidR="00211D29">
        <w:t xml:space="preserve"> </w:t>
      </w:r>
      <w:r w:rsidRPr="0047574D">
        <w:t>Regulation</w:t>
      </w:r>
      <w:r w:rsidR="00211D29">
        <w:t xml:space="preserve"> </w:t>
      </w:r>
      <w:r w:rsidRPr="0047574D">
        <w:t>without</w:t>
      </w:r>
      <w:r w:rsidR="00211D29">
        <w:t xml:space="preserve"> </w:t>
      </w:r>
      <w:r w:rsidRPr="0047574D">
        <w:t>having</w:t>
      </w:r>
      <w:r w:rsidR="00211D29">
        <w:t xml:space="preserve"> </w:t>
      </w:r>
      <w:r w:rsidRPr="0047574D">
        <w:t>first</w:t>
      </w:r>
      <w:r w:rsidR="00211D29">
        <w:t xml:space="preserve"> </w:t>
      </w:r>
      <w:r w:rsidRPr="0047574D">
        <w:t>obtained</w:t>
      </w:r>
      <w:r w:rsidR="00211D29">
        <w:t xml:space="preserve"> </w:t>
      </w:r>
      <w:r w:rsidRPr="0047574D">
        <w:t>individual</w:t>
      </w:r>
      <w:r w:rsidR="00211D29">
        <w:t xml:space="preserve"> </w:t>
      </w:r>
      <w:r w:rsidRPr="0047574D">
        <w:t>guarantees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authorities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applicants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taken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charge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manner</w:t>
      </w:r>
      <w:r w:rsidR="00211D29">
        <w:t xml:space="preserve"> </w:t>
      </w:r>
      <w:r w:rsidRPr="0047574D">
        <w:t>adapted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age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their</w:t>
      </w:r>
      <w:r w:rsidR="00211D29">
        <w:t xml:space="preserve"> </w:t>
      </w:r>
      <w:r w:rsidRPr="0047574D">
        <w:t>children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family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kept</w:t>
      </w:r>
      <w:r w:rsidR="00211D29">
        <w:t xml:space="preserve"> </w:t>
      </w:r>
      <w:r w:rsidRPr="0047574D">
        <w:t>together.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considers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judgment</w:t>
      </w:r>
      <w:r w:rsidR="00211D29">
        <w:t xml:space="preserve"> </w:t>
      </w:r>
      <w:r w:rsidRPr="0047574D">
        <w:t>rendered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="00AF5C26" w:rsidRPr="00AF5C26">
        <w:rPr>
          <w:i/>
        </w:rPr>
        <w:t>Tarakhel</w:t>
      </w:r>
      <w:r w:rsidR="00211D29">
        <w:rPr>
          <w:i/>
        </w:rPr>
        <w:t xml:space="preserve"> </w:t>
      </w:r>
      <w:r w:rsidR="00AF5C26" w:rsidRPr="00AF5C26">
        <w:rPr>
          <w:i/>
        </w:rPr>
        <w:t>v.</w:t>
      </w:r>
      <w:r w:rsidR="00211D29">
        <w:rPr>
          <w:i/>
        </w:rPr>
        <w:t xml:space="preserve"> </w:t>
      </w:r>
      <w:r w:rsidR="00AF5C26" w:rsidRPr="00AF5C26">
        <w:rPr>
          <w:i/>
        </w:rPr>
        <w:t>Switzerland</w:t>
      </w:r>
      <w:r w:rsidR="00211D29">
        <w:t xml:space="preserve"> </w:t>
      </w:r>
      <w:r w:rsidRPr="0047574D">
        <w:t>does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deviate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Court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jurisprudence</w:t>
      </w:r>
      <w:r w:rsidR="00211D29">
        <w:t xml:space="preserve"> </w:t>
      </w:r>
      <w:r w:rsidRPr="0047574D">
        <w:t>regarding</w:t>
      </w:r>
      <w:r w:rsidR="00211D29">
        <w:t xml:space="preserve"> </w:t>
      </w:r>
      <w:r w:rsidRPr="0047574D">
        <w:t>individuals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families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permits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Italy,</w:t>
      </w:r>
      <w:r w:rsidRPr="00D81309">
        <w:rPr>
          <w:rStyle w:val="FootnoteReference"/>
        </w:rPr>
        <w:footnoteReference w:id="17"/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concerns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case</w:t>
      </w:r>
      <w:r w:rsidR="00211D29">
        <w:t xml:space="preserve"> </w:t>
      </w:r>
      <w:r w:rsidRPr="0047574D">
        <w:t>involving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seekers.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submits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States</w:t>
      </w:r>
      <w:r w:rsidR="00211D29">
        <w:t xml:space="preserve"> </w:t>
      </w:r>
      <w:r w:rsidRPr="0047574D">
        <w:t>parties</w:t>
      </w:r>
      <w:r w:rsidR="00211D29">
        <w:t xml:space="preserve"> </w:t>
      </w:r>
      <w:r w:rsidRPr="0047574D">
        <w:t>cannot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expected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obtain</w:t>
      </w:r>
      <w:r w:rsidR="00211D29">
        <w:t xml:space="preserve"> </w:t>
      </w:r>
      <w:r w:rsidRPr="0047574D">
        <w:t>individual</w:t>
      </w:r>
      <w:r w:rsidR="00211D29">
        <w:t xml:space="preserve"> </w:t>
      </w:r>
      <w:r w:rsidRPr="0047574D">
        <w:t>guarantees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authorities</w:t>
      </w:r>
      <w:r w:rsidR="00211D29">
        <w:t xml:space="preserve"> </w:t>
      </w:r>
      <w:r w:rsidRPr="0047574D">
        <w:t>before</w:t>
      </w:r>
      <w:r w:rsidR="00211D29">
        <w:t xml:space="preserve"> </w:t>
      </w:r>
      <w:r w:rsidRPr="0047574D">
        <w:t>returning</w:t>
      </w:r>
      <w:r w:rsidR="00211D29">
        <w:t xml:space="preserve"> </w:t>
      </w:r>
      <w:r w:rsidRPr="0047574D">
        <w:t>individuals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families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need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who</w:t>
      </w:r>
      <w:r w:rsidR="00211D29">
        <w:t xml:space="preserve"> </w:t>
      </w:r>
      <w:r w:rsidRPr="0047574D">
        <w:t>have</w:t>
      </w:r>
      <w:r w:rsidR="00211D29">
        <w:t xml:space="preserve"> </w:t>
      </w:r>
      <w:r w:rsidRPr="0047574D">
        <w:t>already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Italy.</w:t>
      </w:r>
    </w:p>
    <w:p w:rsidR="006B0EB0" w:rsidRPr="0047574D" w:rsidRDefault="006B0EB0" w:rsidP="00AF5C26">
      <w:pPr>
        <w:pStyle w:val="H23G"/>
      </w:pPr>
      <w:r w:rsidRPr="0047574D">
        <w:tab/>
      </w:r>
      <w:r w:rsidRPr="0047574D">
        <w:tab/>
        <w:t>Author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comments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observations</w:t>
      </w:r>
    </w:p>
    <w:p w:rsidR="006B0EB0" w:rsidRPr="0047574D" w:rsidRDefault="006B0EB0" w:rsidP="006B0EB0">
      <w:pPr>
        <w:pStyle w:val="SingleTxtG"/>
      </w:pPr>
      <w:r w:rsidRPr="0047574D">
        <w:t>5.1</w:t>
      </w:r>
      <w:r w:rsidRPr="0047574D">
        <w:tab/>
        <w:t>On</w:t>
      </w:r>
      <w:r w:rsidR="00211D29">
        <w:t xml:space="preserve"> </w:t>
      </w:r>
      <w:r w:rsidRPr="0047574D">
        <w:t>15</w:t>
      </w:r>
      <w:r w:rsidR="00211D29">
        <w:t xml:space="preserve"> </w:t>
      </w:r>
      <w:r w:rsidRPr="0047574D">
        <w:t>January</w:t>
      </w:r>
      <w:r w:rsidR="00211D29">
        <w:t xml:space="preserve"> </w:t>
      </w:r>
      <w:r w:rsidRPr="0047574D">
        <w:t>2016,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submitted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comments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observations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reiterated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previous</w:t>
      </w:r>
      <w:r w:rsidR="00211D29">
        <w:t xml:space="preserve"> </w:t>
      </w:r>
      <w:r w:rsidRPr="0047574D">
        <w:t>remarks</w:t>
      </w:r>
      <w:r w:rsidR="00211D29">
        <w:t xml:space="preserve"> </w:t>
      </w:r>
      <w:r w:rsidRPr="0047574D">
        <w:t>about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violation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Covenant.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asserts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living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beneficiaries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international</w:t>
      </w:r>
      <w:r w:rsidR="00211D29">
        <w:t xml:space="preserve"> </w:t>
      </w:r>
      <w:r w:rsidRPr="0047574D">
        <w:t>(subsidiary)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are</w:t>
      </w:r>
      <w:r w:rsidR="00211D29">
        <w:t xml:space="preserve"> </w:t>
      </w:r>
      <w:r w:rsidRPr="0047574D">
        <w:t>similar,</w:t>
      </w:r>
      <w:r w:rsidR="00211D29">
        <w:t xml:space="preserve"> </w:t>
      </w:r>
      <w:r w:rsidRPr="0047574D">
        <w:t>since</w:t>
      </w:r>
      <w:r w:rsidR="00211D29">
        <w:t xml:space="preserve"> </w:t>
      </w:r>
      <w:r w:rsidRPr="0047574D">
        <w:t>there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no</w:t>
      </w:r>
      <w:r w:rsidR="00211D29">
        <w:t xml:space="preserve"> </w:t>
      </w:r>
      <w:r w:rsidRPr="0047574D">
        <w:t>effective</w:t>
      </w:r>
      <w:r w:rsidR="00211D29">
        <w:t xml:space="preserve"> </w:t>
      </w:r>
      <w:r w:rsidRPr="0047574D">
        <w:t>integration</w:t>
      </w:r>
      <w:r w:rsidR="00211D29">
        <w:t xml:space="preserve"> </w:t>
      </w:r>
      <w:r w:rsidRPr="0047574D">
        <w:t>scheme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place.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recipients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subsidiary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thus</w:t>
      </w:r>
      <w:r w:rsidR="00211D29">
        <w:t xml:space="preserve"> </w:t>
      </w:r>
      <w:r w:rsidRPr="0047574D">
        <w:t>often</w:t>
      </w:r>
      <w:r w:rsidR="00211D29">
        <w:t xml:space="preserve"> </w:t>
      </w:r>
      <w:r w:rsidRPr="0047574D">
        <w:t>face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same</w:t>
      </w:r>
      <w:r w:rsidR="00211D29">
        <w:t xml:space="preserve"> </w:t>
      </w:r>
      <w:r w:rsidRPr="0047574D">
        <w:t>severe</w:t>
      </w:r>
      <w:r w:rsidR="00211D29">
        <w:t xml:space="preserve"> </w:t>
      </w:r>
      <w:r w:rsidRPr="0047574D">
        <w:t>difficulties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finding</w:t>
      </w:r>
      <w:r w:rsidR="00211D29">
        <w:t xml:space="preserve"> </w:t>
      </w:r>
      <w:r w:rsidRPr="0047574D">
        <w:t>basic</w:t>
      </w:r>
      <w:r w:rsidR="00211D29">
        <w:t xml:space="preserve"> </w:t>
      </w:r>
      <w:r w:rsidRPr="0047574D">
        <w:t>shelter,</w:t>
      </w:r>
      <w:r w:rsidR="00211D29">
        <w:t xml:space="preserve"> </w:t>
      </w:r>
      <w:r w:rsidRPr="0047574D">
        <w:t>access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sanitary</w:t>
      </w:r>
      <w:r w:rsidR="00211D29">
        <w:t xml:space="preserve"> </w:t>
      </w:r>
      <w:r w:rsidRPr="0047574D">
        <w:t>facilities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food.</w:t>
      </w:r>
      <w:r w:rsidRPr="00D81309">
        <w:rPr>
          <w:rStyle w:val="FootnoteReference"/>
        </w:rPr>
        <w:footnoteReference w:id="18"/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fact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reports</w:t>
      </w:r>
      <w:r w:rsidR="00211D29">
        <w:t xml:space="preserve"> </w:t>
      </w:r>
      <w:r w:rsidRPr="0047574D">
        <w:t>cited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original</w:t>
      </w:r>
      <w:r w:rsidR="00211D29">
        <w:t xml:space="preserve"> </w:t>
      </w:r>
      <w:r w:rsidRPr="0047574D">
        <w:t>communication</w:t>
      </w:r>
      <w:r w:rsidR="00211D29">
        <w:t xml:space="preserve"> </w:t>
      </w:r>
      <w:r w:rsidRPr="0047574D">
        <w:t>focus</w:t>
      </w:r>
      <w:r w:rsidR="00211D29">
        <w:t xml:space="preserve"> </w:t>
      </w:r>
      <w:r w:rsidRPr="0047574D">
        <w:t>mainly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reception</w:t>
      </w:r>
      <w:r w:rsidR="00211D29">
        <w:t xml:space="preserve"> </w:t>
      </w:r>
      <w:r w:rsidRPr="0047574D">
        <w:t>facilities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does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make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information</w:t>
      </w:r>
      <w:r w:rsidR="00211D29">
        <w:t xml:space="preserve"> </w:t>
      </w:r>
      <w:r w:rsidRPr="0047574D">
        <w:t>regarding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living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beneficiaries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international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less</w:t>
      </w:r>
      <w:r w:rsidR="00211D29">
        <w:t xml:space="preserve"> </w:t>
      </w:r>
      <w:r w:rsidRPr="0047574D">
        <w:t>valid.</w:t>
      </w:r>
    </w:p>
    <w:p w:rsidR="006B0EB0" w:rsidRPr="0047574D" w:rsidRDefault="006B0EB0" w:rsidP="006B0EB0">
      <w:pPr>
        <w:pStyle w:val="SingleTxtG"/>
      </w:pPr>
      <w:r w:rsidRPr="0047574D">
        <w:t>5.2</w:t>
      </w:r>
      <w:r w:rsidR="00211D29">
        <w:t xml:space="preserve"> </w:t>
      </w:r>
      <w:r w:rsidRPr="0047574D">
        <w:tab/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further</w:t>
      </w:r>
      <w:r w:rsidR="00211D29">
        <w:t xml:space="preserve"> </w:t>
      </w:r>
      <w:r w:rsidRPr="0047574D">
        <w:t>disputes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interpretation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jurisprudence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European</w:t>
      </w:r>
      <w:r w:rsidR="00211D29">
        <w:t xml:space="preserve"> </w:t>
      </w:r>
      <w:r w:rsidRPr="0047574D">
        <w:t>Court</w:t>
      </w:r>
      <w:r w:rsidR="00211D29">
        <w:t xml:space="preserve"> </w:t>
      </w:r>
      <w:r w:rsidRPr="0047574D">
        <w:t>referred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contends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passages</w:t>
      </w:r>
      <w:r w:rsidR="00211D29">
        <w:t xml:space="preserve"> </w:t>
      </w:r>
      <w:r w:rsidRPr="0047574D">
        <w:t>highlighted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="00AF5C26" w:rsidRPr="00AF5C26">
        <w:rPr>
          <w:i/>
        </w:rPr>
        <w:t>Samsam</w:t>
      </w:r>
      <w:r w:rsidR="00211D29">
        <w:rPr>
          <w:i/>
        </w:rPr>
        <w:t xml:space="preserve"> </w:t>
      </w:r>
      <w:r w:rsidR="00AF5C26" w:rsidRPr="00AF5C26">
        <w:rPr>
          <w:i/>
        </w:rPr>
        <w:t>Mohammed</w:t>
      </w:r>
      <w:r w:rsidR="00211D29">
        <w:rPr>
          <w:i/>
        </w:rPr>
        <w:t xml:space="preserve"> </w:t>
      </w:r>
      <w:r w:rsidR="00AF5C26" w:rsidRPr="00AF5C26">
        <w:rPr>
          <w:i/>
        </w:rPr>
        <w:t>Hussein</w:t>
      </w:r>
      <w:r w:rsidR="00211D29">
        <w:rPr>
          <w:i/>
        </w:rPr>
        <w:t xml:space="preserve"> </w:t>
      </w:r>
      <w:r w:rsidR="00AF5C26" w:rsidRPr="00AF5C26">
        <w:rPr>
          <w:i/>
        </w:rPr>
        <w:t>and</w:t>
      </w:r>
      <w:r w:rsidR="00211D29">
        <w:rPr>
          <w:i/>
        </w:rPr>
        <w:t xml:space="preserve"> </w:t>
      </w:r>
      <w:r w:rsidR="00AF5C26" w:rsidRPr="00AF5C26">
        <w:rPr>
          <w:i/>
        </w:rPr>
        <w:t>Others</w:t>
      </w:r>
      <w:r w:rsidR="00211D29">
        <w:rPr>
          <w:i/>
        </w:rPr>
        <w:t xml:space="preserve"> </w:t>
      </w:r>
      <w:r w:rsidR="00AF5C26" w:rsidRPr="00AF5C26">
        <w:rPr>
          <w:i/>
        </w:rPr>
        <w:t>v.</w:t>
      </w:r>
      <w:r w:rsidR="00211D29">
        <w:rPr>
          <w:i/>
        </w:rPr>
        <w:t xml:space="preserve"> </w:t>
      </w:r>
      <w:r w:rsidR="00AF5C26" w:rsidRPr="00AF5C26">
        <w:rPr>
          <w:i/>
        </w:rPr>
        <w:t>the</w:t>
      </w:r>
      <w:r w:rsidR="00211D29">
        <w:rPr>
          <w:i/>
        </w:rPr>
        <w:t xml:space="preserve"> </w:t>
      </w:r>
      <w:r w:rsidR="00AF5C26" w:rsidRPr="00AF5C26">
        <w:rPr>
          <w:i/>
        </w:rPr>
        <w:t>Netherlands</w:t>
      </w:r>
      <w:r w:rsidR="00211D29">
        <w:rPr>
          <w:i/>
        </w:rPr>
        <w:t xml:space="preserve"> </w:t>
      </w:r>
      <w:r w:rsidR="00AF5C26" w:rsidRPr="00AF5C26">
        <w:rPr>
          <w:i/>
        </w:rPr>
        <w:t>and</w:t>
      </w:r>
      <w:r w:rsidR="00211D29">
        <w:rPr>
          <w:i/>
        </w:rPr>
        <w:t xml:space="preserve"> </w:t>
      </w:r>
      <w:r w:rsidR="00AF5C26" w:rsidRPr="00AF5C26">
        <w:rPr>
          <w:i/>
        </w:rPr>
        <w:t>Italy</w:t>
      </w:r>
      <w:r w:rsidR="00211D29">
        <w:t xml:space="preserve"> </w:t>
      </w:r>
      <w:r w:rsidRPr="0047574D">
        <w:t>case</w:t>
      </w:r>
      <w:r w:rsidR="00211D29">
        <w:t xml:space="preserve"> </w:t>
      </w:r>
      <w:r w:rsidRPr="0047574D">
        <w:t>describe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formal</w:t>
      </w:r>
      <w:r w:rsidR="00211D29">
        <w:t xml:space="preserve"> </w:t>
      </w:r>
      <w:r w:rsidRPr="0047574D">
        <w:t>relevant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legislation</w:t>
      </w:r>
      <w:r w:rsidR="00211D29">
        <w:t xml:space="preserve"> </w:t>
      </w:r>
      <w:r w:rsidRPr="0047574D">
        <w:t>provided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authorities.</w:t>
      </w:r>
      <w:r w:rsidRPr="00D81309">
        <w:rPr>
          <w:rStyle w:val="FootnoteReference"/>
        </w:rPr>
        <w:footnoteReference w:id="19"/>
      </w:r>
      <w:r w:rsidR="00211D29">
        <w:t xml:space="preserve"> </w:t>
      </w:r>
      <w:r w:rsidRPr="0047574D">
        <w:t>However,</w:t>
      </w:r>
      <w:r w:rsidR="00211D29">
        <w:t xml:space="preserve"> </w:t>
      </w:r>
      <w:r w:rsidRPr="0047574D">
        <w:t>this</w:t>
      </w:r>
      <w:r w:rsidR="00211D29">
        <w:t xml:space="preserve"> </w:t>
      </w:r>
      <w:r w:rsidRPr="0047574D">
        <w:t>information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reception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refugees</w:t>
      </w:r>
      <w:r w:rsidR="00211D29">
        <w:t xml:space="preserve"> </w:t>
      </w:r>
      <w:r w:rsidRPr="0047574D">
        <w:t>does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correspond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findings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UNHCR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NGOs.</w:t>
      </w:r>
      <w:r w:rsidRPr="00D81309">
        <w:rPr>
          <w:rStyle w:val="FootnoteReference"/>
        </w:rPr>
        <w:footnoteReference w:id="20"/>
      </w:r>
    </w:p>
    <w:p w:rsidR="006B0EB0" w:rsidRPr="0047574D" w:rsidRDefault="006B0EB0" w:rsidP="006B0EB0">
      <w:pPr>
        <w:pStyle w:val="SingleTxtG"/>
      </w:pPr>
      <w:r w:rsidRPr="0047574D">
        <w:t>5.3</w:t>
      </w:r>
      <w:r w:rsidRPr="0047574D">
        <w:tab/>
        <w:t>Contrary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interpretation,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more</w:t>
      </w:r>
      <w:r w:rsidR="00211D29">
        <w:t xml:space="preserve"> </w:t>
      </w:r>
      <w:r w:rsidRPr="0047574D">
        <w:t>relevant</w:t>
      </w:r>
      <w:r w:rsidR="00211D29">
        <w:t xml:space="preserve"> </w:t>
      </w:r>
      <w:r w:rsidRPr="0047574D">
        <w:t>case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Court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jurisprudence</w:t>
      </w:r>
      <w:r w:rsidR="00211D29">
        <w:t xml:space="preserve"> </w:t>
      </w:r>
      <w:r w:rsidRPr="0047574D">
        <w:t>is</w:t>
      </w:r>
      <w:r w:rsidR="00211D29">
        <w:t xml:space="preserve"> </w:t>
      </w:r>
      <w:r w:rsidR="00AF5C26" w:rsidRPr="00AF5C26">
        <w:rPr>
          <w:i/>
        </w:rPr>
        <w:t>Tarakhel</w:t>
      </w:r>
      <w:r w:rsidR="00211D29">
        <w:rPr>
          <w:i/>
        </w:rPr>
        <w:t xml:space="preserve"> </w:t>
      </w:r>
      <w:r w:rsidR="00AF5C26" w:rsidRPr="00AF5C26">
        <w:rPr>
          <w:i/>
        </w:rPr>
        <w:t>v.</w:t>
      </w:r>
      <w:r w:rsidR="00211D29">
        <w:rPr>
          <w:i/>
        </w:rPr>
        <w:t xml:space="preserve"> </w:t>
      </w:r>
      <w:r w:rsidR="00AF5C26" w:rsidRPr="00AF5C26">
        <w:rPr>
          <w:i/>
        </w:rPr>
        <w:t>Switzerland</w:t>
      </w:r>
      <w:r w:rsidRPr="0047574D">
        <w:t>,</w:t>
      </w:r>
      <w:r w:rsidR="00211D29">
        <w:t xml:space="preserve"> </w:t>
      </w:r>
      <w:r w:rsidRPr="0047574D">
        <w:t>given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stated</w:t>
      </w:r>
      <w:r w:rsidR="00211D29">
        <w:t xml:space="preserve"> </w:t>
      </w:r>
      <w:r w:rsidRPr="0047574D">
        <w:t>above,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living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difficulties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finding</w:t>
      </w:r>
      <w:r w:rsidR="00211D29">
        <w:t xml:space="preserve"> </w:t>
      </w:r>
      <w:r w:rsidRPr="0047574D">
        <w:t>shelter,</w:t>
      </w:r>
      <w:r w:rsidR="00211D29">
        <w:t xml:space="preserve"> </w:t>
      </w:r>
      <w:r w:rsidRPr="0047574D">
        <w:t>health</w:t>
      </w:r>
      <w:r w:rsidR="00211D29">
        <w:t xml:space="preserve"> </w:t>
      </w:r>
      <w:r w:rsidRPr="0047574D">
        <w:t>assistance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food</w:t>
      </w:r>
      <w:r w:rsidR="00211D29">
        <w:t xml:space="preserve"> </w:t>
      </w:r>
      <w:r w:rsidRPr="0047574D">
        <w:t>are</w:t>
      </w:r>
      <w:r w:rsidR="00211D29">
        <w:t xml:space="preserve"> </w:t>
      </w:r>
      <w:r w:rsidRPr="0047574D">
        <w:t>similar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persons</w:t>
      </w:r>
      <w:r w:rsidR="00211D29">
        <w:t xml:space="preserve"> </w:t>
      </w:r>
      <w:r w:rsidRPr="0047574D">
        <w:t>who</w:t>
      </w:r>
      <w:r w:rsidR="00211D29">
        <w:t xml:space="preserve"> </w:t>
      </w:r>
      <w:r w:rsidRPr="0047574D">
        <w:t>have</w:t>
      </w:r>
      <w:r w:rsidR="00211D29">
        <w:t xml:space="preserve"> </w:t>
      </w:r>
      <w:r w:rsidRPr="0047574D">
        <w:t>already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protection.</w:t>
      </w:r>
      <w:r w:rsidR="00211D29">
        <w:t xml:space="preserve"> </w:t>
      </w:r>
      <w:r w:rsidRPr="0047574D">
        <w:t>In</w:t>
      </w:r>
      <w:r w:rsidR="00211D29">
        <w:t xml:space="preserve"> </w:t>
      </w:r>
      <w:r w:rsidR="00AF5C26" w:rsidRPr="00AF5C26">
        <w:rPr>
          <w:i/>
        </w:rPr>
        <w:t>Tarakhel</w:t>
      </w:r>
      <w:r w:rsidR="00211D29">
        <w:rPr>
          <w:i/>
        </w:rPr>
        <w:t xml:space="preserve"> </w:t>
      </w:r>
      <w:r w:rsidR="00AF5C26" w:rsidRPr="00AF5C26">
        <w:rPr>
          <w:i/>
        </w:rPr>
        <w:t>v.</w:t>
      </w:r>
      <w:r w:rsidR="00211D29">
        <w:rPr>
          <w:i/>
        </w:rPr>
        <w:t xml:space="preserve"> </w:t>
      </w:r>
      <w:r w:rsidR="00AF5C26" w:rsidRPr="00AF5C26">
        <w:rPr>
          <w:i/>
        </w:rPr>
        <w:t>Switzerland</w:t>
      </w:r>
      <w:r w:rsidRPr="0047574D">
        <w:t>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lastRenderedPageBreak/>
        <w:t>Court</w:t>
      </w:r>
      <w:r w:rsidR="00211D29">
        <w:t xml:space="preserve"> </w:t>
      </w:r>
      <w:r w:rsidRPr="0047574D">
        <w:t>stated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presumption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participating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Dublin</w:t>
      </w:r>
      <w:r w:rsidR="00211D29">
        <w:t xml:space="preserve"> </w:t>
      </w:r>
      <w:r w:rsidRPr="0047574D">
        <w:t>system</w:t>
      </w:r>
      <w:r w:rsidR="00211D29">
        <w:t xml:space="preserve"> </w:t>
      </w:r>
      <w:r w:rsidRPr="0047574D">
        <w:t>will</w:t>
      </w:r>
      <w:r w:rsidR="00211D29">
        <w:t xml:space="preserve"> </w:t>
      </w:r>
      <w:r w:rsidRPr="0047574D">
        <w:t>respect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fundamental</w:t>
      </w:r>
      <w:r w:rsidR="00211D29">
        <w:t xml:space="preserve"> </w:t>
      </w:r>
      <w:r w:rsidRPr="0047574D">
        <w:t>rights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European</w:t>
      </w:r>
      <w:r w:rsidR="00211D29">
        <w:t xml:space="preserve"> </w:t>
      </w:r>
      <w:r w:rsidRPr="0047574D">
        <w:t>Convention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Human</w:t>
      </w:r>
      <w:r w:rsidR="00211D29">
        <w:t xml:space="preserve"> </w:t>
      </w:r>
      <w:r w:rsidRPr="0047574D">
        <w:t>Rights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irrebuttable.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Court</w:t>
      </w:r>
      <w:r w:rsidR="00211D29">
        <w:t xml:space="preserve"> </w:t>
      </w:r>
      <w:r w:rsidRPr="0047574D">
        <w:t>found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current</w:t>
      </w:r>
      <w:r w:rsidR="00211D29">
        <w:t xml:space="preserve"> </w:t>
      </w:r>
      <w:r w:rsidRPr="0047574D">
        <w:t>situation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Italy,</w:t>
      </w:r>
      <w:r w:rsidR="00211D29">
        <w:t xml:space="preserve"> </w:t>
      </w:r>
      <w:r w:rsidR="005766A0">
        <w:t>“</w:t>
      </w:r>
      <w:r w:rsidRPr="0047574D">
        <w:t>the</w:t>
      </w:r>
      <w:r w:rsidR="00211D29">
        <w:t xml:space="preserve"> </w:t>
      </w:r>
      <w:r w:rsidRPr="0047574D">
        <w:t>possibility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significant</w:t>
      </w:r>
      <w:r w:rsidR="00211D29">
        <w:t xml:space="preserve"> </w:t>
      </w:r>
      <w:r w:rsidRPr="0047574D">
        <w:t>number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may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left</w:t>
      </w:r>
      <w:r w:rsidR="00211D29">
        <w:t xml:space="preserve"> </w:t>
      </w:r>
      <w:r w:rsidRPr="0047574D">
        <w:t>without</w:t>
      </w:r>
      <w:r w:rsidR="00211D29">
        <w:t xml:space="preserve"> </w:t>
      </w:r>
      <w:r w:rsidRPr="0047574D">
        <w:t>accommodation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accommodated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overcrowded</w:t>
      </w:r>
      <w:r w:rsidR="00211D29">
        <w:t xml:space="preserve"> </w:t>
      </w:r>
      <w:r w:rsidRPr="0047574D">
        <w:t>facilities</w:t>
      </w:r>
      <w:r w:rsidR="00211D29">
        <w:t xml:space="preserve"> </w:t>
      </w:r>
      <w:r w:rsidRPr="0047574D">
        <w:t>without</w:t>
      </w:r>
      <w:r w:rsidR="00211D29">
        <w:t xml:space="preserve"> </w:t>
      </w:r>
      <w:r w:rsidRPr="0047574D">
        <w:t>any</w:t>
      </w:r>
      <w:r w:rsidR="00211D29">
        <w:t xml:space="preserve"> </w:t>
      </w:r>
      <w:r w:rsidRPr="0047574D">
        <w:t>privacy,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even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insalubrious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violent</w:t>
      </w:r>
      <w:r w:rsidR="00211D29">
        <w:t xml:space="preserve"> </w:t>
      </w:r>
      <w:r w:rsidRPr="0047574D">
        <w:t>conditions,</w:t>
      </w:r>
      <w:r w:rsidR="00211D29">
        <w:t xml:space="preserve"> </w:t>
      </w:r>
      <w:r w:rsidRPr="0047574D">
        <w:t>cannot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dismissed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unfounded</w:t>
      </w:r>
      <w:r w:rsidR="005766A0">
        <w:t>”</w:t>
      </w:r>
      <w:r w:rsidRPr="0047574D">
        <w:t>.</w:t>
      </w:r>
      <w:r w:rsidRPr="00D81309">
        <w:rPr>
          <w:rStyle w:val="FootnoteReference"/>
        </w:rPr>
        <w:footnoteReference w:id="21"/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Court</w:t>
      </w:r>
      <w:r w:rsidR="00211D29">
        <w:t xml:space="preserve"> </w:t>
      </w:r>
      <w:r w:rsidRPr="0047574D">
        <w:t>required</w:t>
      </w:r>
      <w:r w:rsidR="00211D29">
        <w:t xml:space="preserve"> </w:t>
      </w:r>
      <w:r w:rsidRPr="0047574D">
        <w:t>Switzerland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obtain</w:t>
      </w:r>
      <w:r w:rsidR="00211D29">
        <w:t xml:space="preserve"> </w:t>
      </w:r>
      <w:r w:rsidRPr="0047574D">
        <w:t>assurances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its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counterparts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applicants</w:t>
      </w:r>
      <w:r w:rsidR="00211D29">
        <w:t xml:space="preserve"> </w:t>
      </w:r>
      <w:r w:rsidRPr="0047574D">
        <w:t>(a</w:t>
      </w:r>
      <w:r w:rsidR="00211D29">
        <w:t xml:space="preserve"> </w:t>
      </w:r>
      <w:r w:rsidRPr="0047574D">
        <w:t>family)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received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facilities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adapted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age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children;</w:t>
      </w:r>
      <w:r w:rsidR="00211D29">
        <w:t xml:space="preserve"> </w:t>
      </w:r>
      <w:r w:rsidRPr="0047574D">
        <w:t>if</w:t>
      </w:r>
      <w:r w:rsidR="00211D29">
        <w:t xml:space="preserve"> </w:t>
      </w:r>
      <w:r w:rsidRPr="0047574D">
        <w:t>such</w:t>
      </w:r>
      <w:r w:rsidR="00211D29">
        <w:t xml:space="preserve"> </w:t>
      </w:r>
      <w:r w:rsidRPr="0047574D">
        <w:t>assurances</w:t>
      </w:r>
      <w:r w:rsidR="00211D29">
        <w:t xml:space="preserve"> </w:t>
      </w:r>
      <w:r w:rsidRPr="0047574D">
        <w:t>were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made,</w:t>
      </w:r>
      <w:r w:rsidR="00211D29">
        <w:t xml:space="preserve"> </w:t>
      </w:r>
      <w:r w:rsidRPr="0047574D">
        <w:t>Switzerland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violation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3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Convention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transferring</w:t>
      </w:r>
      <w:r w:rsidR="00211D29">
        <w:t xml:space="preserve"> </w:t>
      </w:r>
      <w:r w:rsidRPr="0047574D">
        <w:t>them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judgment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="00AF5C26" w:rsidRPr="00AF5C26">
        <w:rPr>
          <w:i/>
        </w:rPr>
        <w:t>Tarakhel</w:t>
      </w:r>
      <w:r w:rsidR="00211D29">
        <w:rPr>
          <w:i/>
        </w:rPr>
        <w:t xml:space="preserve"> </w:t>
      </w:r>
      <w:r w:rsidR="00AF5C26" w:rsidRPr="00AF5C26">
        <w:rPr>
          <w:i/>
        </w:rPr>
        <w:t>v.</w:t>
      </w:r>
      <w:r w:rsidR="00211D29">
        <w:rPr>
          <w:i/>
        </w:rPr>
        <w:t xml:space="preserve"> </w:t>
      </w:r>
      <w:r w:rsidR="00AF5C26" w:rsidRPr="00AF5C26">
        <w:rPr>
          <w:i/>
        </w:rPr>
        <w:t>Switzerland</w:t>
      </w:r>
      <w:r w:rsidR="00211D29">
        <w:t xml:space="preserve"> </w:t>
      </w:r>
      <w:r w:rsidRPr="0047574D">
        <w:t>case</w:t>
      </w:r>
      <w:r w:rsidR="00211D29">
        <w:t xml:space="preserve"> </w:t>
      </w:r>
      <w:r w:rsidRPr="0047574D">
        <w:t>seems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indicate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assumption</w:t>
      </w:r>
      <w:r w:rsidR="00211D29">
        <w:t xml:space="preserve"> </w:t>
      </w:r>
      <w:r w:rsidRPr="0047574D">
        <w:t>premise</w:t>
      </w:r>
      <w:r w:rsidR="00211D29">
        <w:t xml:space="preserve"> </w:t>
      </w:r>
      <w:r w:rsidRPr="0047574D">
        <w:t>laid</w:t>
      </w:r>
      <w:r w:rsidR="00211D29">
        <w:t xml:space="preserve"> </w:t>
      </w:r>
      <w:r w:rsidRPr="0047574D">
        <w:t>out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decision</w:t>
      </w:r>
      <w:r w:rsidR="00211D29">
        <w:t xml:space="preserve"> </w:t>
      </w:r>
      <w:r w:rsidRPr="0047574D">
        <w:t>in</w:t>
      </w:r>
      <w:r w:rsidR="00211D29">
        <w:t xml:space="preserve"> </w:t>
      </w:r>
      <w:r w:rsidR="00AF5C26" w:rsidRPr="00AF5C26">
        <w:rPr>
          <w:i/>
        </w:rPr>
        <w:t>Samsam</w:t>
      </w:r>
      <w:r w:rsidR="00211D29">
        <w:rPr>
          <w:i/>
        </w:rPr>
        <w:t xml:space="preserve"> </w:t>
      </w:r>
      <w:r w:rsidR="00AF5C26" w:rsidRPr="00AF5C26">
        <w:rPr>
          <w:i/>
        </w:rPr>
        <w:t>Mohammed</w:t>
      </w:r>
      <w:r w:rsidR="00211D29">
        <w:rPr>
          <w:i/>
        </w:rPr>
        <w:t xml:space="preserve"> </w:t>
      </w:r>
      <w:r w:rsidR="00AF5C26" w:rsidRPr="00AF5C26">
        <w:rPr>
          <w:i/>
        </w:rPr>
        <w:t>Hussein</w:t>
      </w:r>
      <w:r w:rsidR="00211D29">
        <w:rPr>
          <w:i/>
        </w:rPr>
        <w:t xml:space="preserve"> </w:t>
      </w:r>
      <w:r w:rsidR="00AF5C26" w:rsidRPr="00AF5C26">
        <w:rPr>
          <w:i/>
        </w:rPr>
        <w:t>and</w:t>
      </w:r>
      <w:r w:rsidR="00211D29">
        <w:rPr>
          <w:i/>
        </w:rPr>
        <w:t xml:space="preserve"> </w:t>
      </w:r>
      <w:r w:rsidR="00AF5C26" w:rsidRPr="00AF5C26">
        <w:rPr>
          <w:i/>
        </w:rPr>
        <w:t>Others</w:t>
      </w:r>
      <w:r w:rsidR="00211D29">
        <w:rPr>
          <w:i/>
        </w:rPr>
        <w:t xml:space="preserve"> </w:t>
      </w:r>
      <w:r w:rsidR="00AF5C26" w:rsidRPr="00AF5C26">
        <w:rPr>
          <w:i/>
        </w:rPr>
        <w:t>v.</w:t>
      </w:r>
      <w:r w:rsidR="00211D29">
        <w:rPr>
          <w:i/>
        </w:rPr>
        <w:t xml:space="preserve"> </w:t>
      </w:r>
      <w:r w:rsidR="00AF5C26" w:rsidRPr="00AF5C26">
        <w:rPr>
          <w:i/>
        </w:rPr>
        <w:t>the</w:t>
      </w:r>
      <w:r w:rsidR="00211D29">
        <w:rPr>
          <w:i/>
        </w:rPr>
        <w:t xml:space="preserve"> </w:t>
      </w:r>
      <w:r w:rsidR="00AF5C26" w:rsidRPr="00AF5C26">
        <w:rPr>
          <w:i/>
        </w:rPr>
        <w:t>Netherlands</w:t>
      </w:r>
      <w:r w:rsidR="00211D29">
        <w:rPr>
          <w:i/>
        </w:rPr>
        <w:t xml:space="preserve"> </w:t>
      </w:r>
      <w:r w:rsidR="00AF5C26" w:rsidRPr="00AF5C26">
        <w:rPr>
          <w:i/>
        </w:rPr>
        <w:t>and</w:t>
      </w:r>
      <w:r w:rsidR="00211D29">
        <w:rPr>
          <w:i/>
        </w:rPr>
        <w:t xml:space="preserve"> </w:t>
      </w:r>
      <w:r w:rsidR="00AF5C26" w:rsidRPr="00AF5C26">
        <w:rPr>
          <w:i/>
        </w:rPr>
        <w:t>Italy</w:t>
      </w:r>
      <w:r w:rsidR="00211D29">
        <w:t xml:space="preserve"> </w:t>
      </w:r>
      <w:r w:rsidRPr="0047574D">
        <w:t>can</w:t>
      </w:r>
      <w:r w:rsidR="00211D29">
        <w:t xml:space="preserve"> </w:t>
      </w:r>
      <w:r w:rsidRPr="0047574D">
        <w:t>no</w:t>
      </w:r>
      <w:r w:rsidR="00211D29">
        <w:t xml:space="preserve"> </w:t>
      </w:r>
      <w:r w:rsidRPr="0047574D">
        <w:t>longer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regarded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sufficient.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contrary,</w:t>
      </w:r>
      <w:r w:rsidR="00211D29">
        <w:t xml:space="preserve"> </w:t>
      </w:r>
      <w:r w:rsidRPr="0047574D">
        <w:t>according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Court,</w:t>
      </w:r>
      <w:r w:rsidR="00211D29">
        <w:t xml:space="preserve"> </w:t>
      </w:r>
      <w:r w:rsidRPr="0047574D">
        <w:t>individual</w:t>
      </w:r>
      <w:r w:rsidR="00211D29">
        <w:t xml:space="preserve"> </w:t>
      </w:r>
      <w:r w:rsidRPr="0047574D">
        <w:t>guarantees,</w:t>
      </w:r>
      <w:r w:rsidR="00211D29">
        <w:t xml:space="preserve"> </w:t>
      </w:r>
      <w:r w:rsidRPr="0047574D">
        <w:t>especially</w:t>
      </w:r>
      <w:r w:rsidR="00211D29">
        <w:t xml:space="preserve"> </w:t>
      </w:r>
      <w:r w:rsidRPr="0047574D">
        <w:t>those</w:t>
      </w:r>
      <w:r w:rsidR="00211D29">
        <w:t xml:space="preserve"> </w:t>
      </w:r>
      <w:r w:rsidRPr="0047574D">
        <w:t>against</w:t>
      </w:r>
      <w:r w:rsidR="00211D29">
        <w:t xml:space="preserve"> </w:t>
      </w:r>
      <w:r w:rsidRPr="0047574D">
        <w:t>destitution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harsh</w:t>
      </w:r>
      <w:r w:rsidR="00211D29">
        <w:t xml:space="preserve"> </w:t>
      </w:r>
      <w:r w:rsidRPr="0047574D">
        <w:t>accommodation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children,</w:t>
      </w:r>
      <w:r w:rsidR="00211D29">
        <w:t xml:space="preserve"> </w:t>
      </w:r>
      <w:r w:rsidRPr="0047574D">
        <w:t>are</w:t>
      </w:r>
      <w:r w:rsidR="00211D29">
        <w:t xml:space="preserve"> </w:t>
      </w:r>
      <w:r w:rsidRPr="0047574D">
        <w:t>required.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argues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light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this</w:t>
      </w:r>
      <w:r w:rsidR="00211D29">
        <w:t xml:space="preserve"> </w:t>
      </w:r>
      <w:r w:rsidRPr="0047574D">
        <w:t>finding,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harsh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faced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recipients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subsidiary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returning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fall</w:t>
      </w:r>
      <w:r w:rsidR="00211D29">
        <w:t xml:space="preserve"> </w:t>
      </w:r>
      <w:r w:rsidRPr="0047574D">
        <w:t>within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scope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3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European</w:t>
      </w:r>
      <w:r w:rsidR="00211D29">
        <w:t xml:space="preserve"> </w:t>
      </w:r>
      <w:r w:rsidRPr="0047574D">
        <w:t>Convention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Covenant.</w:t>
      </w:r>
      <w:r w:rsidR="00211D29">
        <w:t xml:space="preserve"> </w:t>
      </w:r>
      <w:r w:rsidRPr="0047574D">
        <w:t>Accordingly,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reiterates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child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deportation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constitute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violation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Covenant.</w:t>
      </w:r>
      <w:r w:rsidRPr="00D81309">
        <w:rPr>
          <w:rStyle w:val="FootnoteReference"/>
        </w:rPr>
        <w:footnoteReference w:id="22"/>
      </w:r>
    </w:p>
    <w:p w:rsidR="006B0EB0" w:rsidRPr="0047574D" w:rsidRDefault="006B0EB0" w:rsidP="006B0EB0">
      <w:pPr>
        <w:pStyle w:val="SingleTxtG"/>
      </w:pPr>
      <w:r w:rsidRPr="0047574D">
        <w:t>5.4</w:t>
      </w:r>
      <w:r w:rsidR="00211D29">
        <w:t xml:space="preserve"> </w:t>
      </w:r>
      <w:r w:rsidRPr="0047574D">
        <w:tab/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finally</w:t>
      </w:r>
      <w:r w:rsidR="00211D29">
        <w:t xml:space="preserve"> </w:t>
      </w:r>
      <w:r w:rsidRPr="0047574D">
        <w:t>points</w:t>
      </w:r>
      <w:r w:rsidR="00211D29">
        <w:t xml:space="preserve"> </w:t>
      </w:r>
      <w:r w:rsidRPr="0047574D">
        <w:t>out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returning</w:t>
      </w:r>
      <w:r w:rsidR="00211D29">
        <w:t xml:space="preserve"> </w:t>
      </w:r>
      <w:r w:rsidRPr="0047574D">
        <w:t>families</w:t>
      </w:r>
      <w:r w:rsidR="00211D29">
        <w:t xml:space="preserve"> </w:t>
      </w:r>
      <w:r w:rsidRPr="0047574D">
        <w:t>who</w:t>
      </w:r>
      <w:r w:rsidR="00211D29">
        <w:t xml:space="preserve"> </w:t>
      </w:r>
      <w:r w:rsidRPr="0047574D">
        <w:t>have</w:t>
      </w:r>
      <w:r w:rsidR="00211D29">
        <w:t xml:space="preserve"> </w:t>
      </w:r>
      <w:r w:rsidRPr="0047574D">
        <w:t>already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international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might</w:t>
      </w:r>
      <w:r w:rsidR="00211D29">
        <w:t xml:space="preserve"> </w:t>
      </w:r>
      <w:r w:rsidRPr="0047574D">
        <w:t>even</w:t>
      </w:r>
      <w:r w:rsidR="00211D29">
        <w:t xml:space="preserve"> </w:t>
      </w:r>
      <w:r w:rsidRPr="0047574D">
        <w:t>face</w:t>
      </w:r>
      <w:r w:rsidR="00211D29">
        <w:t xml:space="preserve"> </w:t>
      </w:r>
      <w:r w:rsidRPr="0047574D">
        <w:t>greater</w:t>
      </w:r>
      <w:r w:rsidR="00211D29">
        <w:t xml:space="preserve"> </w:t>
      </w:r>
      <w:r w:rsidRPr="0047574D">
        <w:t>difficulties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finding</w:t>
      </w:r>
      <w:r w:rsidR="00211D29">
        <w:t xml:space="preserve"> </w:t>
      </w:r>
      <w:r w:rsidRPr="0047574D">
        <w:t>shelter,</w:t>
      </w:r>
      <w:r w:rsidR="00211D29">
        <w:t xml:space="preserve"> </w:t>
      </w:r>
      <w:r w:rsidRPr="0047574D">
        <w:t>access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sanitary</w:t>
      </w:r>
      <w:r w:rsidR="00211D29">
        <w:t xml:space="preserve"> </w:t>
      </w:r>
      <w:r w:rsidRPr="0047574D">
        <w:t>facilities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food</w:t>
      </w:r>
      <w:r w:rsidR="00211D29">
        <w:t xml:space="preserve"> </w:t>
      </w:r>
      <w:r w:rsidRPr="0047574D">
        <w:t>than</w:t>
      </w:r>
      <w:r w:rsidR="00211D29">
        <w:t xml:space="preserve"> </w:t>
      </w:r>
      <w:r w:rsidRPr="0047574D">
        <w:t>returning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seekers,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latter</w:t>
      </w:r>
      <w:r w:rsidR="00211D29">
        <w:t xml:space="preserve"> </w:t>
      </w:r>
      <w:r w:rsidRPr="0047574D">
        <w:t>enjoy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minimum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Dublin</w:t>
      </w:r>
      <w:r w:rsidR="00211D29">
        <w:t xml:space="preserve"> </w:t>
      </w:r>
      <w:r w:rsidRPr="0047574D">
        <w:t>Regulation</w:t>
      </w:r>
      <w:r w:rsidR="00211D29">
        <w:t xml:space="preserve"> </w:t>
      </w:r>
      <w:r w:rsidRPr="0047574D">
        <w:t>system</w:t>
      </w:r>
      <w:r w:rsidR="00211D29">
        <w:t xml:space="preserve"> </w:t>
      </w:r>
      <w:r w:rsidRPr="0047574D">
        <w:t>and,</w:t>
      </w:r>
      <w:r w:rsidR="00211D29">
        <w:t xml:space="preserve"> </w:t>
      </w:r>
      <w:r w:rsidRPr="0047574D">
        <w:t>if</w:t>
      </w:r>
      <w:r w:rsidR="00211D29">
        <w:t xml:space="preserve"> </w:t>
      </w:r>
      <w:r w:rsidRPr="0047574D">
        <w:t>fortunate,</w:t>
      </w:r>
      <w:r w:rsidR="00211D29">
        <w:t xml:space="preserve"> </w:t>
      </w:r>
      <w:r w:rsidRPr="0047574D">
        <w:t>have</w:t>
      </w:r>
      <w:r w:rsidR="00211D29">
        <w:t xml:space="preserve"> </w:t>
      </w:r>
      <w:r w:rsidRPr="0047574D">
        <w:t>access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reception</w:t>
      </w:r>
      <w:r w:rsidR="00211D29">
        <w:t xml:space="preserve"> </w:t>
      </w:r>
      <w:r w:rsidRPr="0047574D">
        <w:t>facilities</w:t>
      </w:r>
      <w:r w:rsidR="00211D29">
        <w:t xml:space="preserve"> </w:t>
      </w:r>
      <w:r w:rsidRPr="0047574D">
        <w:t>supported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European</w:t>
      </w:r>
      <w:r w:rsidR="00211D29">
        <w:t xml:space="preserve"> </w:t>
      </w:r>
      <w:r w:rsidRPr="0047574D">
        <w:t>Union.</w:t>
      </w:r>
      <w:r w:rsidR="00211D29">
        <w:t xml:space="preserve"> </w:t>
      </w:r>
      <w:r w:rsidRPr="0047574D">
        <w:t>Returning</w:t>
      </w:r>
      <w:r w:rsidR="00211D29">
        <w:t xml:space="preserve"> </w:t>
      </w:r>
      <w:r w:rsidRPr="0047574D">
        <w:t>families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international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do</w:t>
      </w:r>
      <w:r w:rsidR="00211D29">
        <w:t xml:space="preserve"> </w:t>
      </w:r>
      <w:r w:rsidRPr="0047574D">
        <w:t>not,</w:t>
      </w:r>
      <w:r w:rsidR="00211D29">
        <w:t xml:space="preserve"> </w:t>
      </w:r>
      <w:r w:rsidRPr="0047574D">
        <w:t>however,</w:t>
      </w:r>
      <w:r w:rsidR="00211D29">
        <w:t xml:space="preserve"> </w:t>
      </w:r>
      <w:r w:rsidRPr="0047574D">
        <w:t>have</w:t>
      </w:r>
      <w:r w:rsidR="00211D29">
        <w:t xml:space="preserve"> </w:t>
      </w:r>
      <w:r w:rsidRPr="0047574D">
        <w:t>access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reception</w:t>
      </w:r>
      <w:r w:rsidR="00211D29">
        <w:t xml:space="preserve"> </w:t>
      </w:r>
      <w:r w:rsidRPr="0047574D">
        <w:t>facilities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thus</w:t>
      </w:r>
      <w:r w:rsidR="00211D29">
        <w:t xml:space="preserve"> </w:t>
      </w:r>
      <w:r w:rsidRPr="0047574D">
        <w:t>face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risk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homelessness</w:t>
      </w:r>
      <w:r w:rsidR="00211D29">
        <w:t xml:space="preserve"> </w:t>
      </w:r>
      <w:r w:rsidRPr="0047574D">
        <w:t>immediately</w:t>
      </w:r>
      <w:r w:rsidR="00211D29">
        <w:t xml:space="preserve"> </w:t>
      </w:r>
      <w:r w:rsidRPr="0047574D">
        <w:t>upon</w:t>
      </w:r>
      <w:r w:rsidR="00211D29">
        <w:t xml:space="preserve"> </w:t>
      </w:r>
      <w:r w:rsidRPr="0047574D">
        <w:t>return,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little</w:t>
      </w:r>
      <w:r w:rsidR="00211D29">
        <w:t xml:space="preserve"> </w:t>
      </w:r>
      <w:r w:rsidRPr="0047574D">
        <w:t>prospect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improving</w:t>
      </w:r>
      <w:r w:rsidR="00211D29">
        <w:t xml:space="preserve"> </w:t>
      </w:r>
      <w:r w:rsidRPr="0047574D">
        <w:t>their</w:t>
      </w:r>
      <w:r w:rsidR="00211D29">
        <w:t xml:space="preserve"> </w:t>
      </w:r>
      <w:r w:rsidRPr="0047574D">
        <w:t>situation</w:t>
      </w:r>
      <w:r w:rsidR="00211D29">
        <w:t xml:space="preserve"> </w:t>
      </w:r>
      <w:r w:rsidRPr="0047574D">
        <w:t>due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malfunctions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integration</w:t>
      </w:r>
      <w:r w:rsidR="00211D29">
        <w:t xml:space="preserve"> </w:t>
      </w:r>
      <w:r w:rsidRPr="0047574D">
        <w:t>scheme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beneficiaries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international</w:t>
      </w:r>
      <w:r w:rsidR="00211D29">
        <w:t xml:space="preserve"> </w:t>
      </w:r>
      <w:r w:rsidRPr="0047574D">
        <w:t>protection.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this</w:t>
      </w:r>
      <w:r w:rsidR="00211D29">
        <w:t xml:space="preserve"> </w:t>
      </w:r>
      <w:r w:rsidRPr="0047574D">
        <w:t>connection,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refers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Views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case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211D29">
        <w:rPr>
          <w:i/>
        </w:rPr>
        <w:t>Jasin</w:t>
      </w:r>
      <w:r w:rsidR="00211D29">
        <w:rPr>
          <w:i/>
        </w:rPr>
        <w:t xml:space="preserve"> </w:t>
      </w:r>
      <w:r w:rsidRPr="00211D29">
        <w:rPr>
          <w:i/>
        </w:rPr>
        <w:t>v.</w:t>
      </w:r>
      <w:r w:rsidR="00211D29">
        <w:rPr>
          <w:i/>
        </w:rPr>
        <w:t xml:space="preserve"> </w:t>
      </w:r>
      <w:r w:rsidRPr="00211D29">
        <w:rPr>
          <w:i/>
        </w:rPr>
        <w:t>Denmark</w:t>
      </w:r>
      <w:r w:rsidRPr="0047574D">
        <w:t>,</w:t>
      </w:r>
      <w:r w:rsidRPr="00D81309">
        <w:rPr>
          <w:rStyle w:val="FootnoteReference"/>
        </w:rPr>
        <w:footnoteReference w:id="23"/>
      </w:r>
      <w:r w:rsidR="00211D29">
        <w:t xml:space="preserve"> </w:t>
      </w:r>
      <w:r w:rsidRPr="0047574D">
        <w:t>stressing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very</w:t>
      </w:r>
      <w:r w:rsidR="00211D29">
        <w:t xml:space="preserve"> </w:t>
      </w:r>
      <w:r w:rsidRPr="0047574D">
        <w:t>similar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case.</w:t>
      </w:r>
      <w:r w:rsidR="00211D29">
        <w:t xml:space="preserve"> </w:t>
      </w:r>
    </w:p>
    <w:p w:rsidR="006B0EB0" w:rsidRPr="0047574D" w:rsidRDefault="00211D29" w:rsidP="00211D29">
      <w:pPr>
        <w:pStyle w:val="H23G"/>
      </w:pPr>
      <w:r>
        <w:tab/>
      </w:r>
      <w:r>
        <w:tab/>
      </w:r>
      <w:r w:rsidR="006B0EB0" w:rsidRPr="0047574D">
        <w:t>Further</w:t>
      </w:r>
      <w:r>
        <w:t xml:space="preserve"> </w:t>
      </w:r>
      <w:r w:rsidR="006B0EB0" w:rsidRPr="0047574D">
        <w:t>submissions</w:t>
      </w:r>
      <w:r>
        <w:t xml:space="preserve"> </w:t>
      </w:r>
      <w:r w:rsidR="006B0EB0" w:rsidRPr="0047574D">
        <w:t>from</w:t>
      </w:r>
      <w:r>
        <w:t xml:space="preserve"> </w:t>
      </w:r>
      <w:r w:rsidR="006B0EB0" w:rsidRPr="0047574D">
        <w:t>the</w:t>
      </w:r>
      <w:r>
        <w:t xml:space="preserve"> </w:t>
      </w:r>
      <w:r w:rsidR="006B0EB0" w:rsidRPr="0047574D">
        <w:t>parties</w:t>
      </w:r>
    </w:p>
    <w:p w:rsidR="006B0EB0" w:rsidRPr="0047574D" w:rsidRDefault="006B0EB0" w:rsidP="006B0EB0">
      <w:pPr>
        <w:pStyle w:val="SingleTxtG"/>
      </w:pPr>
      <w:r w:rsidRPr="0047574D">
        <w:t>6.1</w:t>
      </w:r>
      <w:r w:rsidR="00211D29">
        <w:t xml:space="preserve"> </w:t>
      </w:r>
      <w:r w:rsidRPr="0047574D">
        <w:tab/>
        <w:t>On</w:t>
      </w:r>
      <w:r w:rsidR="00211D29">
        <w:t xml:space="preserve"> </w:t>
      </w:r>
      <w:r w:rsidRPr="0047574D">
        <w:t>5</w:t>
      </w:r>
      <w:r w:rsidR="00211D29">
        <w:t xml:space="preserve"> </w:t>
      </w:r>
      <w:r w:rsidRPr="0047574D">
        <w:t>October</w:t>
      </w:r>
      <w:r w:rsidR="00211D29">
        <w:t xml:space="preserve"> </w:t>
      </w:r>
      <w:r w:rsidRPr="0047574D">
        <w:t>2016,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reiterated</w:t>
      </w:r>
      <w:r w:rsidR="00211D29">
        <w:t xml:space="preserve"> </w:t>
      </w:r>
      <w:r w:rsidRPr="0047574D">
        <w:t>its</w:t>
      </w:r>
      <w:r w:rsidR="00211D29">
        <w:t xml:space="preserve"> </w:t>
      </w:r>
      <w:r w:rsidRPr="0047574D">
        <w:t>observations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admissibility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="005B7312">
        <w:t xml:space="preserve">merits.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noted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according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authorities</w:t>
      </w:r>
      <w:r w:rsidR="005766A0">
        <w:t>’</w:t>
      </w:r>
      <w:r w:rsidR="00211D29">
        <w:t xml:space="preserve"> </w:t>
      </w:r>
      <w:r w:rsidRPr="0047574D">
        <w:t>response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its</w:t>
      </w:r>
      <w:r w:rsidR="00211D29">
        <w:t xml:space="preserve"> </w:t>
      </w:r>
      <w:r w:rsidRPr="0047574D">
        <w:t>consultation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summer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2015,</w:t>
      </w:r>
      <w:r w:rsidR="00211D29">
        <w:t xml:space="preserve"> </w:t>
      </w:r>
      <w:r w:rsidRPr="0047574D">
        <w:t>an</w:t>
      </w:r>
      <w:r w:rsidR="00211D29">
        <w:t xml:space="preserve"> </w:t>
      </w:r>
      <w:r w:rsidRPr="0047574D">
        <w:t>alien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residency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refugee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status</w:t>
      </w:r>
      <w:r w:rsidR="00211D29">
        <w:t xml:space="preserve"> </w:t>
      </w:r>
      <w:r w:rsidRPr="0047574D">
        <w:t>may</w:t>
      </w:r>
      <w:r w:rsidR="00211D29">
        <w:t xml:space="preserve"> </w:t>
      </w:r>
      <w:r w:rsidRPr="0047574D">
        <w:t>apply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renewal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his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permit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his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return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Italy,</w:t>
      </w:r>
      <w:r w:rsidR="00211D29">
        <w:t xml:space="preserve"> </w:t>
      </w:r>
      <w:r w:rsidRPr="0047574D">
        <w:t>even</w:t>
      </w:r>
      <w:r w:rsidR="00211D29">
        <w:t xml:space="preserve"> </w:t>
      </w:r>
      <w:r w:rsidRPr="0047574D">
        <w:t>if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permit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expired.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authorities</w:t>
      </w:r>
      <w:r w:rsidR="00211D29">
        <w:t xml:space="preserve"> </w:t>
      </w:r>
      <w:r w:rsidRPr="0047574D">
        <w:t>also</w:t>
      </w:r>
      <w:r w:rsidR="00211D29">
        <w:t xml:space="preserve"> </w:t>
      </w:r>
      <w:r w:rsidRPr="0047574D">
        <w:t>informed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Danish</w:t>
      </w:r>
      <w:r w:rsidR="00211D29">
        <w:t xml:space="preserve"> </w:t>
      </w:r>
      <w:r w:rsidRPr="0047574D">
        <w:t>authorities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his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return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Italy,</w:t>
      </w:r>
      <w:r w:rsidR="00211D29">
        <w:t xml:space="preserve"> </w:t>
      </w:r>
      <w:r w:rsidRPr="0047574D">
        <w:t>such</w:t>
      </w:r>
      <w:r w:rsidR="00211D29">
        <w:t xml:space="preserve"> </w:t>
      </w:r>
      <w:r w:rsidRPr="0047574D">
        <w:t>an</w:t>
      </w:r>
      <w:r w:rsidR="00211D29">
        <w:t xml:space="preserve"> </w:t>
      </w:r>
      <w:r w:rsidRPr="0047574D">
        <w:t>alien</w:t>
      </w:r>
      <w:r w:rsidR="00211D29">
        <w:t xml:space="preserve"> </w:t>
      </w:r>
      <w:r w:rsidRPr="0047574D">
        <w:t>must</w:t>
      </w:r>
      <w:r w:rsidR="00211D29">
        <w:t xml:space="preserve"> </w:t>
      </w:r>
      <w:r w:rsidRPr="0047574D">
        <w:t>contact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police</w:t>
      </w:r>
      <w:r w:rsidR="00211D29">
        <w:t xml:space="preserve"> </w:t>
      </w:r>
      <w:r w:rsidRPr="0047574D">
        <w:t>station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issued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permit,</w:t>
      </w:r>
      <w:r w:rsidR="00211D29">
        <w:t xml:space="preserve"> </w:t>
      </w:r>
      <w:r w:rsidRPr="0047574D">
        <w:t>which</w:t>
      </w:r>
      <w:r w:rsidR="00211D29">
        <w:t xml:space="preserve"> </w:t>
      </w:r>
      <w:r w:rsidRPr="0047574D">
        <w:t>will</w:t>
      </w:r>
      <w:r w:rsidR="00211D29">
        <w:t xml:space="preserve"> </w:t>
      </w:r>
      <w:r w:rsidRPr="0047574D">
        <w:t>subsequently</w:t>
      </w:r>
      <w:r w:rsidR="00211D29">
        <w:t xml:space="preserve"> </w:t>
      </w:r>
      <w:r w:rsidRPr="0047574D">
        <w:t>forward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request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proper</w:t>
      </w:r>
      <w:r w:rsidR="00211D29">
        <w:t xml:space="preserve"> </w:t>
      </w:r>
      <w:r w:rsidRPr="0047574D">
        <w:t>authority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ask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verification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whether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renewal</w:t>
      </w:r>
      <w:r w:rsidR="00211D29">
        <w:t xml:space="preserve"> </w:t>
      </w:r>
      <w:r w:rsidRPr="0047574D">
        <w:t>are</w:t>
      </w:r>
      <w:r w:rsidR="00211D29">
        <w:t xml:space="preserve"> </w:t>
      </w:r>
      <w:r w:rsidRPr="0047574D">
        <w:t>met.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authorities</w:t>
      </w:r>
      <w:r w:rsidR="00211D29">
        <w:t xml:space="preserve"> </w:t>
      </w:r>
      <w:r w:rsidRPr="0047574D">
        <w:t>stated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an</w:t>
      </w:r>
      <w:r w:rsidR="00211D29">
        <w:t xml:space="preserve"> </w:t>
      </w:r>
      <w:r w:rsidRPr="0047574D">
        <w:t>alien</w:t>
      </w:r>
      <w:r w:rsidR="00211D29">
        <w:t xml:space="preserve"> </w:t>
      </w:r>
      <w:r w:rsidRPr="0047574D">
        <w:t>whose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permit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expired</w:t>
      </w:r>
      <w:r w:rsidR="00211D29">
        <w:t xml:space="preserve"> </w:t>
      </w:r>
      <w:r w:rsidRPr="0047574D">
        <w:t>may</w:t>
      </w:r>
      <w:r w:rsidR="00211D29">
        <w:t xml:space="preserve"> </w:t>
      </w:r>
      <w:r w:rsidRPr="0047574D">
        <w:t>lawfully</w:t>
      </w:r>
      <w:r w:rsidR="00211D29">
        <w:t xml:space="preserve"> </w:t>
      </w:r>
      <w:r w:rsidRPr="0047574D">
        <w:t>enter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purpose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having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renewed.</w:t>
      </w:r>
      <w:r w:rsidR="00211D29">
        <w:t xml:space="preserve"> </w:t>
      </w:r>
      <w:r w:rsidRPr="0047574D">
        <w:t>Against</w:t>
      </w:r>
      <w:r w:rsidR="00211D29">
        <w:t xml:space="preserve"> </w:t>
      </w:r>
      <w:r w:rsidRPr="0047574D">
        <w:t>this</w:t>
      </w:r>
      <w:r w:rsidR="00211D29">
        <w:t xml:space="preserve"> </w:t>
      </w:r>
      <w:r w:rsidRPr="0047574D">
        <w:t>background,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finds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can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considered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fact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author,</w:t>
      </w:r>
      <w:r w:rsidR="00211D29">
        <w:t xml:space="preserve"> </w:t>
      </w:r>
      <w:r w:rsidRPr="0047574D">
        <w:t>whose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permit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status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expired,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entitled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enter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apply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renew</w:t>
      </w:r>
      <w:r w:rsidR="00211D29">
        <w:t xml:space="preserve"> </w:t>
      </w:r>
      <w:r w:rsidRPr="0047574D">
        <w:t>it.</w:t>
      </w:r>
    </w:p>
    <w:p w:rsidR="006B0EB0" w:rsidRPr="0047574D" w:rsidRDefault="006B0EB0" w:rsidP="006B0EB0">
      <w:pPr>
        <w:pStyle w:val="SingleTxtG"/>
      </w:pPr>
      <w:r w:rsidRPr="0047574D">
        <w:t>6.2</w:t>
      </w:r>
      <w:r w:rsidR="00211D29">
        <w:t xml:space="preserve"> </w:t>
      </w:r>
      <w:r w:rsidRPr="0047574D">
        <w:tab/>
        <w:t>The</w:t>
      </w:r>
      <w:r w:rsidR="00211D29">
        <w:t xml:space="preserve"> </w:t>
      </w:r>
      <w:r w:rsidRPr="0047574D">
        <w:t>author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claims</w:t>
      </w:r>
      <w:r w:rsidR="00211D29">
        <w:t xml:space="preserve"> </w:t>
      </w:r>
      <w:r w:rsidRPr="0047574D">
        <w:t>about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experience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are</w:t>
      </w:r>
      <w:r w:rsidR="00211D29">
        <w:t xml:space="preserve"> </w:t>
      </w:r>
      <w:r w:rsidRPr="0047574D">
        <w:t>inconsistent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background</w:t>
      </w:r>
      <w:r w:rsidR="00211D29">
        <w:t xml:space="preserve"> </w:t>
      </w:r>
      <w:r w:rsidRPr="0047574D">
        <w:t>information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available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Board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information</w:t>
      </w:r>
      <w:r w:rsidR="00211D29">
        <w:t xml:space="preserve"> </w:t>
      </w:r>
      <w:r w:rsidRPr="0047574D">
        <w:t>provided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Danish</w:t>
      </w:r>
      <w:r w:rsidR="00211D29">
        <w:t xml:space="preserve"> </w:t>
      </w:r>
      <w:r w:rsidRPr="0047574D">
        <w:t>National</w:t>
      </w:r>
      <w:r w:rsidR="00211D29">
        <w:t xml:space="preserve"> </w:t>
      </w:r>
      <w:r w:rsidRPr="0047574D">
        <w:t>Police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Immigration</w:t>
      </w:r>
      <w:r w:rsidR="00211D29">
        <w:t xml:space="preserve"> </w:t>
      </w:r>
      <w:r w:rsidRPr="0047574D">
        <w:t>Service.</w:t>
      </w:r>
      <w:r w:rsidR="00211D29">
        <w:t xml:space="preserve"> </w:t>
      </w:r>
      <w:r w:rsidRPr="0047574D">
        <w:t>According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country</w:t>
      </w:r>
      <w:r w:rsidR="00211D29">
        <w:t xml:space="preserve"> </w:t>
      </w:r>
      <w:r w:rsidRPr="0047574D">
        <w:t>report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Italy,</w:t>
      </w:r>
      <w:r w:rsidR="00211D29">
        <w:t xml:space="preserve"> </w:t>
      </w:r>
      <w:r w:rsidRPr="0047574D">
        <w:t>published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December</w:t>
      </w:r>
      <w:r w:rsidR="00211D29">
        <w:t xml:space="preserve"> </w:t>
      </w:r>
      <w:r w:rsidRPr="0047574D">
        <w:t>2015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part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Information</w:t>
      </w:r>
      <w:r w:rsidR="00211D29">
        <w:t xml:space="preserve"> </w:t>
      </w:r>
      <w:r w:rsidRPr="0047574D">
        <w:t>Database</w:t>
      </w:r>
      <w:r w:rsidR="00211D29">
        <w:t xml:space="preserve"> </w:t>
      </w:r>
      <w:r w:rsidRPr="0047574D">
        <w:t>project</w:t>
      </w:r>
      <w:r w:rsidR="00211D29">
        <w:t xml:space="preserve"> </w:t>
      </w:r>
      <w:r w:rsidRPr="0047574D">
        <w:t>(pp.</w:t>
      </w:r>
      <w:r w:rsidR="00211D29">
        <w:t xml:space="preserve"> </w:t>
      </w:r>
      <w:r w:rsidRPr="0047574D">
        <w:t>83</w:t>
      </w:r>
      <w:r w:rsidR="00211D29">
        <w:t xml:space="preserve"> </w:t>
      </w:r>
      <w:r w:rsidRPr="0047574D">
        <w:t>ff),</w:t>
      </w:r>
      <w:r w:rsidR="00211D29">
        <w:t xml:space="preserve"> </w:t>
      </w:r>
      <w:r w:rsidRPr="0047574D">
        <w:t>refugees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aliens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subsidiary</w:t>
      </w:r>
      <w:r w:rsidR="00211D29">
        <w:t xml:space="preserve"> </w:t>
      </w:r>
      <w:r w:rsidRPr="0047574D">
        <w:t>protection,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case,</w:t>
      </w:r>
      <w:r w:rsidR="00211D29">
        <w:t xml:space="preserve"> </w:t>
      </w:r>
      <w:r w:rsidRPr="0047574D">
        <w:t>have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same</w:t>
      </w:r>
      <w:r w:rsidR="00211D29">
        <w:t xml:space="preserve"> </w:t>
      </w:r>
      <w:r w:rsidRPr="0047574D">
        <w:t>right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medical</w:t>
      </w:r>
      <w:r w:rsidR="00211D29">
        <w:t xml:space="preserve"> </w:t>
      </w:r>
      <w:r w:rsidRPr="0047574D">
        <w:t>treatment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nationals.</w:t>
      </w:r>
      <w:r w:rsidR="00211D29">
        <w:t xml:space="preserve"> </w:t>
      </w:r>
      <w:r w:rsidRPr="0047574D">
        <w:t>Furthermore,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appears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beneficiaries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international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benefit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health</w:t>
      </w:r>
      <w:r w:rsidR="00211D29">
        <w:t xml:space="preserve"> </w:t>
      </w:r>
      <w:r w:rsidRPr="0047574D">
        <w:t>services</w:t>
      </w:r>
      <w:r w:rsidR="00211D29">
        <w:t xml:space="preserve"> </w:t>
      </w:r>
      <w:r w:rsidRPr="0047574D">
        <w:t>free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charge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basis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self-declaration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destitution.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also</w:t>
      </w:r>
      <w:r w:rsidR="00211D29">
        <w:t xml:space="preserve"> </w:t>
      </w:r>
      <w:r w:rsidRPr="0047574D">
        <w:t>appears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right</w:t>
      </w:r>
      <w:r w:rsidR="00211D29">
        <w:t xml:space="preserve"> </w:t>
      </w:r>
      <w:r w:rsidRPr="0047574D">
        <w:lastRenderedPageBreak/>
        <w:t>to</w:t>
      </w:r>
      <w:r w:rsidR="00211D29">
        <w:t xml:space="preserve"> </w:t>
      </w:r>
      <w:r w:rsidRPr="0047574D">
        <w:t>medical</w:t>
      </w:r>
      <w:r w:rsidR="00211D29">
        <w:t xml:space="preserve"> </w:t>
      </w:r>
      <w:r w:rsidRPr="0047574D">
        <w:t>assistance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acquired</w:t>
      </w:r>
      <w:r w:rsidR="00211D29">
        <w:t xml:space="preserve"> </w:t>
      </w:r>
      <w:r w:rsidRPr="0047574D">
        <w:t>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moment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registering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request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this</w:t>
      </w:r>
      <w:r w:rsidR="00211D29">
        <w:t xml:space="preserve"> </w:t>
      </w:r>
      <w:r w:rsidRPr="0047574D">
        <w:t>right</w:t>
      </w:r>
      <w:r w:rsidR="00211D29">
        <w:t xml:space="preserve"> </w:t>
      </w:r>
      <w:r w:rsidRPr="0047574D">
        <w:t>continues</w:t>
      </w:r>
      <w:r w:rsidR="00211D29">
        <w:t xml:space="preserve"> </w:t>
      </w:r>
      <w:r w:rsidRPr="0047574D">
        <w:t>even</w:t>
      </w:r>
      <w:r w:rsidR="00211D29">
        <w:t xml:space="preserve"> </w:t>
      </w:r>
      <w:r w:rsidRPr="0047574D">
        <w:t>during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renewal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stay</w:t>
      </w:r>
      <w:r w:rsidR="00211D29">
        <w:t xml:space="preserve"> </w:t>
      </w:r>
      <w:r w:rsidRPr="0047574D">
        <w:t>permit.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addition,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appears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interview</w:t>
      </w:r>
      <w:r w:rsidR="00211D29">
        <w:t xml:space="preserve"> </w:t>
      </w:r>
      <w:r w:rsidRPr="0047574D">
        <w:t>report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Danish</w:t>
      </w:r>
      <w:r w:rsidR="00211D29">
        <w:t xml:space="preserve"> </w:t>
      </w:r>
      <w:r w:rsidRPr="0047574D">
        <w:t>National</w:t>
      </w:r>
      <w:r w:rsidR="00211D29">
        <w:t xml:space="preserve"> </w:t>
      </w:r>
      <w:r w:rsidRPr="0047574D">
        <w:t>Police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16</w:t>
      </w:r>
      <w:r w:rsidR="00211D29">
        <w:t xml:space="preserve"> </w:t>
      </w:r>
      <w:r w:rsidRPr="0047574D">
        <w:t>August</w:t>
      </w:r>
      <w:r w:rsidR="00211D29">
        <w:t xml:space="preserve"> </w:t>
      </w:r>
      <w:r w:rsidRPr="0047574D">
        <w:t>2012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stated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="005766A0">
        <w:t>“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hospitalized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5766A0">
        <w:t>”</w:t>
      </w:r>
      <w:r w:rsidRPr="0047574D">
        <w:t>.</w:t>
      </w:r>
      <w:r w:rsidR="00211D29">
        <w:t xml:space="preserve"> </w:t>
      </w:r>
      <w:r w:rsidRPr="0047574D">
        <w:t>According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report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interview</w:t>
      </w:r>
      <w:r w:rsidR="00211D29">
        <w:t xml:space="preserve"> </w:t>
      </w:r>
      <w:r w:rsidRPr="0047574D">
        <w:t>conducted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Immigration</w:t>
      </w:r>
      <w:r w:rsidR="00211D29">
        <w:t xml:space="preserve"> </w:t>
      </w:r>
      <w:r w:rsidRPr="0047574D">
        <w:t>Service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18</w:t>
      </w:r>
      <w:r w:rsidR="00211D29">
        <w:t xml:space="preserve"> </w:t>
      </w:r>
      <w:r w:rsidRPr="0047574D">
        <w:t>November</w:t>
      </w:r>
      <w:r w:rsidR="00211D29">
        <w:t xml:space="preserve"> </w:t>
      </w:r>
      <w:r w:rsidRPr="0047574D">
        <w:t>2013,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provided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following</w:t>
      </w:r>
      <w:r w:rsidR="00211D29">
        <w:t xml:space="preserve"> </w:t>
      </w:r>
      <w:r w:rsidRPr="0047574D">
        <w:t>information:</w:t>
      </w:r>
      <w:r w:rsidR="00211D29">
        <w:t xml:space="preserve"> </w:t>
      </w:r>
      <w:r w:rsidR="005766A0">
        <w:t>“</w:t>
      </w:r>
      <w:r w:rsidRPr="0047574D">
        <w:t>At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time,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applicant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ill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treated</w:t>
      </w:r>
      <w:r w:rsidR="00211D29">
        <w:t xml:space="preserve"> </w:t>
      </w:r>
      <w:r w:rsidRPr="0047574D">
        <w:t>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hospital</w:t>
      </w:r>
      <w:r w:rsidR="00211D29">
        <w:t xml:space="preserve"> </w:t>
      </w:r>
      <w:r w:rsidRPr="0047574D">
        <w:t>…</w:t>
      </w:r>
      <w:r w:rsidR="00B1273B">
        <w:t xml:space="preserve"> </w:t>
      </w:r>
      <w:r w:rsidRPr="0047574D">
        <w:t>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applicant</w:t>
      </w:r>
      <w:r w:rsidR="00211D29">
        <w:t xml:space="preserve"> </w:t>
      </w:r>
      <w:r w:rsidRPr="0047574D">
        <w:t>stated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fact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hospitalized,</w:t>
      </w:r>
      <w:r w:rsidR="00211D29">
        <w:t xml:space="preserve"> </w:t>
      </w:r>
      <w:r w:rsidRPr="0047574D">
        <w:t>but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nurse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visited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at</w:t>
      </w:r>
      <w:r w:rsidR="00211D29">
        <w:t xml:space="preserve"> </w:t>
      </w:r>
      <w:r w:rsidRPr="0047574D">
        <w:t>home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rural</w:t>
      </w:r>
      <w:r w:rsidR="00211D29">
        <w:t xml:space="preserve"> </w:t>
      </w:r>
      <w:r w:rsidRPr="0047574D">
        <w:t>dwelling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lived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at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time.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also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treated</w:t>
      </w:r>
      <w:r w:rsidR="00211D29">
        <w:t xml:space="preserve"> </w:t>
      </w:r>
      <w:r w:rsidRPr="0047574D">
        <w:t>there.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applicant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left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right</w:t>
      </w:r>
      <w:r w:rsidR="00211D29">
        <w:t xml:space="preserve"> </w:t>
      </w:r>
      <w:r w:rsidRPr="0047574D">
        <w:t>after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recovered.</w:t>
      </w:r>
      <w:r w:rsidR="005766A0">
        <w:t>”</w:t>
      </w:r>
    </w:p>
    <w:p w:rsidR="006B0EB0" w:rsidRPr="0047574D" w:rsidRDefault="006B0EB0" w:rsidP="006B0EB0">
      <w:pPr>
        <w:pStyle w:val="SingleTxtG"/>
      </w:pPr>
      <w:r w:rsidRPr="0047574D">
        <w:t>6.3</w:t>
      </w:r>
      <w:r w:rsidRPr="0047574D">
        <w:tab/>
        <w:t>Unlike</w:t>
      </w:r>
      <w:r w:rsidR="00211D29">
        <w:t xml:space="preserve"> </w:t>
      </w:r>
      <w:r w:rsidRPr="0047574D">
        <w:t>in</w:t>
      </w:r>
      <w:r w:rsidR="00211D29">
        <w:t xml:space="preserve"> </w:t>
      </w:r>
      <w:r w:rsidR="00211D29" w:rsidRPr="00211D29">
        <w:rPr>
          <w:i/>
        </w:rPr>
        <w:t>Jasin</w:t>
      </w:r>
      <w:r w:rsidR="00211D29">
        <w:rPr>
          <w:i/>
        </w:rPr>
        <w:t xml:space="preserve"> </w:t>
      </w:r>
      <w:r w:rsidR="00211D29" w:rsidRPr="00211D29">
        <w:rPr>
          <w:i/>
        </w:rPr>
        <w:t>v.</w:t>
      </w:r>
      <w:r w:rsidR="00211D29">
        <w:rPr>
          <w:i/>
        </w:rPr>
        <w:t xml:space="preserve"> </w:t>
      </w:r>
      <w:r w:rsidR="00211D29" w:rsidRPr="00211D29">
        <w:rPr>
          <w:i/>
        </w:rPr>
        <w:t>Denmark</w:t>
      </w:r>
      <w:r w:rsidRPr="0047574D">
        <w:t>,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present</w:t>
      </w:r>
      <w:r w:rsidR="00211D29">
        <w:t xml:space="preserve"> </w:t>
      </w:r>
      <w:r w:rsidRPr="0047574D">
        <w:t>case</w:t>
      </w:r>
      <w:r w:rsidR="00211D29">
        <w:t xml:space="preserve"> </w:t>
      </w:r>
      <w:r w:rsidRPr="0047574D">
        <w:t>neither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nor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son</w:t>
      </w:r>
      <w:r w:rsidR="00211D29">
        <w:t xml:space="preserve"> </w:t>
      </w:r>
      <w:r w:rsidRPr="0047574D">
        <w:t>suffers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any</w:t>
      </w:r>
      <w:r w:rsidR="00211D29">
        <w:t xml:space="preserve"> </w:t>
      </w:r>
      <w:r w:rsidRPr="0047574D">
        <w:t>diseases</w:t>
      </w:r>
      <w:r w:rsidR="00211D29">
        <w:t xml:space="preserve"> </w:t>
      </w:r>
      <w:r w:rsidRPr="0047574D">
        <w:t>requiring</w:t>
      </w:r>
      <w:r w:rsidR="00211D29">
        <w:t xml:space="preserve"> </w:t>
      </w:r>
      <w:r w:rsidRPr="0047574D">
        <w:t>medical</w:t>
      </w:r>
      <w:r w:rsidR="00211D29">
        <w:t xml:space="preserve"> </w:t>
      </w:r>
      <w:r w:rsidRPr="0047574D">
        <w:t>treatment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no</w:t>
      </w:r>
      <w:r w:rsidR="00211D29">
        <w:t xml:space="preserve"> </w:t>
      </w:r>
      <w:r w:rsidRPr="0047574D">
        <w:t>exceptional</w:t>
      </w:r>
      <w:r w:rsidR="00211D29">
        <w:t xml:space="preserve"> </w:t>
      </w:r>
      <w:r w:rsidRPr="0047574D">
        <w:t>circumstances</w:t>
      </w:r>
      <w:r w:rsidR="00211D29">
        <w:t xml:space="preserve"> </w:t>
      </w:r>
      <w:r w:rsidRPr="0047574D">
        <w:t>exist.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authorities</w:t>
      </w:r>
      <w:r w:rsidR="00211D29">
        <w:t xml:space="preserve"> </w:t>
      </w:r>
      <w:r w:rsidRPr="0047574D">
        <w:t>adequately</w:t>
      </w:r>
      <w:r w:rsidR="00211D29">
        <w:t xml:space="preserve"> </w:t>
      </w:r>
      <w:r w:rsidRPr="0047574D">
        <w:t>took</w:t>
      </w:r>
      <w:r w:rsidR="00211D29">
        <w:t xml:space="preserve"> </w:t>
      </w:r>
      <w:r w:rsidRPr="0047574D">
        <w:t>into</w:t>
      </w:r>
      <w:r w:rsidR="00211D29">
        <w:t xml:space="preserve"> </w:t>
      </w:r>
      <w:r w:rsidRPr="0047574D">
        <w:t>account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information</w:t>
      </w:r>
      <w:r w:rsidR="00211D29">
        <w:t xml:space="preserve"> </w:t>
      </w:r>
      <w:r w:rsidRPr="0047574D">
        <w:t>provided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own</w:t>
      </w:r>
      <w:r w:rsidR="00211D29">
        <w:t xml:space="preserve"> </w:t>
      </w:r>
      <w:r w:rsidRPr="0047574D">
        <w:t>experience.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case</w:t>
      </w:r>
      <w:r w:rsidR="00211D29">
        <w:t xml:space="preserve"> </w:t>
      </w:r>
      <w:r w:rsidRPr="0047574D">
        <w:t>of</w:t>
      </w:r>
      <w:r w:rsidR="00211D29">
        <w:t xml:space="preserve"> </w:t>
      </w:r>
      <w:r w:rsidR="00211D29" w:rsidRPr="00211D29">
        <w:rPr>
          <w:i/>
        </w:rPr>
        <w:t>A.A.I. and A.H.A. v. Denmark</w:t>
      </w:r>
      <w:r w:rsidRPr="0047574D">
        <w:t>,</w:t>
      </w:r>
      <w:r w:rsidRPr="00D81309">
        <w:rPr>
          <w:rStyle w:val="FootnoteReference"/>
        </w:rPr>
        <w:footnoteReference w:id="24"/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found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communication</w:t>
      </w:r>
      <w:r w:rsidR="00211D29">
        <w:t xml:space="preserve"> </w:t>
      </w:r>
      <w:r w:rsidRPr="0047574D">
        <w:t>inadmissible,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authors</w:t>
      </w:r>
      <w:r w:rsidR="005766A0">
        <w:t>’</w:t>
      </w:r>
      <w:r w:rsidR="00211D29">
        <w:t xml:space="preserve"> </w:t>
      </w:r>
      <w:r w:rsidRPr="0047574D">
        <w:t>previous</w:t>
      </w:r>
      <w:r w:rsidR="00211D29">
        <w:t xml:space="preserve"> </w:t>
      </w:r>
      <w:r w:rsidRPr="0047574D">
        <w:t>experiences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did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substantiate</w:t>
      </w:r>
      <w:r w:rsidR="00211D29">
        <w:t xml:space="preserve"> </w:t>
      </w:r>
      <w:r w:rsidRPr="0047574D">
        <w:t>their</w:t>
      </w:r>
      <w:r w:rsidR="00211D29">
        <w:t xml:space="preserve"> </w:t>
      </w:r>
      <w:r w:rsidRPr="0047574D">
        <w:t>claim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if</w:t>
      </w:r>
      <w:r w:rsidR="00211D29">
        <w:t xml:space="preserve"> </w:t>
      </w:r>
      <w:r w:rsidRPr="0047574D">
        <w:t>returned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Italy,</w:t>
      </w:r>
      <w:r w:rsidR="00211D29">
        <w:t xml:space="preserve"> </w:t>
      </w:r>
      <w:r w:rsidRPr="0047574D">
        <w:t>they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at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real</w:t>
      </w:r>
      <w:r w:rsidR="00211D29">
        <w:t xml:space="preserve"> </w:t>
      </w:r>
      <w:r w:rsidRPr="0047574D">
        <w:t>risk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cruel,</w:t>
      </w:r>
      <w:r w:rsidR="00211D29">
        <w:t xml:space="preserve"> </w:t>
      </w:r>
      <w:r w:rsidRPr="0047574D">
        <w:t>inhuman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degrading</w:t>
      </w:r>
      <w:r w:rsidR="00211D29">
        <w:t xml:space="preserve"> </w:t>
      </w:r>
      <w:r w:rsidRPr="0047574D">
        <w:t>treatment.</w:t>
      </w:r>
      <w:r w:rsidR="00211D29">
        <w:t xml:space="preserve"> </w:t>
      </w:r>
      <w:r w:rsidRPr="0047574D">
        <w:t>Most</w:t>
      </w:r>
      <w:r w:rsidR="00211D29">
        <w:t xml:space="preserve"> </w:t>
      </w:r>
      <w:r w:rsidRPr="0047574D">
        <w:t>recently,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European</w:t>
      </w:r>
      <w:r w:rsidR="00211D29">
        <w:t xml:space="preserve"> </w:t>
      </w:r>
      <w:r w:rsidRPr="0047574D">
        <w:t>Court</w:t>
      </w:r>
      <w:r w:rsidR="00211D29">
        <w:t xml:space="preserve"> </w:t>
      </w:r>
      <w:r w:rsidRPr="0047574D">
        <w:t>stated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case</w:t>
      </w:r>
      <w:r w:rsidR="00211D29">
        <w:t xml:space="preserve"> </w:t>
      </w:r>
      <w:r w:rsidRPr="0047574D">
        <w:t>concerning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deportation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single</w:t>
      </w:r>
      <w:r w:rsidR="00211D29">
        <w:t xml:space="preserve"> </w:t>
      </w:r>
      <w:r w:rsidRPr="0047574D">
        <w:t>mother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two</w:t>
      </w:r>
      <w:r w:rsidR="00211D29">
        <w:t xml:space="preserve"> </w:t>
      </w:r>
      <w:r w:rsidRPr="0047574D">
        <w:t>minor</w:t>
      </w:r>
      <w:r w:rsidR="00211D29">
        <w:t xml:space="preserve"> </w:t>
      </w:r>
      <w:r w:rsidRPr="0047574D">
        <w:t>children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="005766A0">
        <w:t>“</w:t>
      </w:r>
      <w:r w:rsidRPr="0047574D">
        <w:t>the</w:t>
      </w:r>
      <w:r w:rsidR="00211D29">
        <w:t xml:space="preserve"> </w:t>
      </w:r>
      <w:r w:rsidRPr="0047574D">
        <w:t>applicant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demonstrated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future</w:t>
      </w:r>
      <w:r w:rsidR="00211D29">
        <w:t xml:space="preserve"> </w:t>
      </w:r>
      <w:r w:rsidRPr="0047574D">
        <w:t>prospects,</w:t>
      </w:r>
      <w:r w:rsidR="00211D29">
        <w:t xml:space="preserve"> </w:t>
      </w:r>
      <w:r w:rsidRPr="0047574D">
        <w:t>if</w:t>
      </w:r>
      <w:r w:rsidR="00211D29">
        <w:t xml:space="preserve"> </w:t>
      </w:r>
      <w:r w:rsidRPr="0047574D">
        <w:t>returned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children,</w:t>
      </w:r>
      <w:r w:rsidR="00211D29">
        <w:t xml:space="preserve"> </w:t>
      </w:r>
      <w:r w:rsidRPr="0047574D">
        <w:t>whether</w:t>
      </w:r>
      <w:r w:rsidR="00211D29">
        <w:t xml:space="preserve"> </w:t>
      </w:r>
      <w:r w:rsidRPr="0047574D">
        <w:t>looked</w:t>
      </w:r>
      <w:r w:rsidR="00211D29">
        <w:t xml:space="preserve"> </w:t>
      </w:r>
      <w:r w:rsidRPr="0047574D">
        <w:t>at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material,</w:t>
      </w:r>
      <w:r w:rsidR="00211D29">
        <w:t xml:space="preserve"> </w:t>
      </w:r>
      <w:r w:rsidRPr="0047574D">
        <w:t>physical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psychological</w:t>
      </w:r>
      <w:r w:rsidR="00211D29">
        <w:t xml:space="preserve"> </w:t>
      </w:r>
      <w:r w:rsidRPr="0047574D">
        <w:t>perspective,</w:t>
      </w:r>
      <w:r w:rsidR="00211D29">
        <w:t xml:space="preserve"> </w:t>
      </w:r>
      <w:r w:rsidRPr="0047574D">
        <w:t>disclose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sufficiently</w:t>
      </w:r>
      <w:r w:rsidR="00211D29">
        <w:t xml:space="preserve"> </w:t>
      </w:r>
      <w:r w:rsidRPr="0047574D">
        <w:t>real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imminent</w:t>
      </w:r>
      <w:r w:rsidR="00211D29">
        <w:t xml:space="preserve"> </w:t>
      </w:r>
      <w:r w:rsidRPr="0047574D">
        <w:t>risk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hardship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severe</w:t>
      </w:r>
      <w:r w:rsidR="00211D29">
        <w:t xml:space="preserve"> </w:t>
      </w:r>
      <w:r w:rsidRPr="0047574D">
        <w:t>enough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fall</w:t>
      </w:r>
      <w:r w:rsidR="00211D29">
        <w:t xml:space="preserve"> </w:t>
      </w:r>
      <w:r w:rsidRPr="0047574D">
        <w:t>within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scope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3</w:t>
      </w:r>
      <w:r w:rsidR="005766A0">
        <w:t>”</w:t>
      </w:r>
      <w:r w:rsidRPr="0047574D">
        <w:t>.</w:t>
      </w:r>
      <w:r w:rsidRPr="00D81309">
        <w:rPr>
          <w:rStyle w:val="FootnoteReference"/>
        </w:rPr>
        <w:footnoteReference w:id="25"/>
      </w:r>
    </w:p>
    <w:p w:rsidR="006B0EB0" w:rsidRPr="0047574D" w:rsidRDefault="006B0EB0" w:rsidP="006B0EB0">
      <w:pPr>
        <w:pStyle w:val="SingleTxtG"/>
      </w:pPr>
      <w:r w:rsidRPr="0047574D">
        <w:t>7.</w:t>
      </w:r>
      <w:r w:rsidR="00211D29">
        <w:t xml:space="preserve"> </w:t>
      </w:r>
      <w:r w:rsidRPr="0047574D">
        <w:tab/>
        <w:t>On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October</w:t>
      </w:r>
      <w:r w:rsidR="00211D29">
        <w:t xml:space="preserve"> </w:t>
      </w:r>
      <w:r w:rsidRPr="0047574D">
        <w:t>2016,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reiterated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previous</w:t>
      </w:r>
      <w:r w:rsidR="00211D29">
        <w:t xml:space="preserve"> </w:t>
      </w:r>
      <w:r w:rsidRPr="0047574D">
        <w:t>allegations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argued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she,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single</w:t>
      </w:r>
      <w:r w:rsidR="00211D29">
        <w:t xml:space="preserve"> </w:t>
      </w:r>
      <w:r w:rsidRPr="0047574D">
        <w:t>mother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minor</w:t>
      </w:r>
      <w:r w:rsidR="00211D29">
        <w:t xml:space="preserve"> </w:t>
      </w:r>
      <w:r w:rsidRPr="0047574D">
        <w:t>child,</w:t>
      </w:r>
      <w:r w:rsidR="00211D29">
        <w:t xml:space="preserve"> </w:t>
      </w:r>
      <w:r w:rsidRPr="0047574D">
        <w:t>will</w:t>
      </w:r>
      <w:r w:rsidR="00211D29">
        <w:t xml:space="preserve"> </w:t>
      </w:r>
      <w:r w:rsidRPr="0047574D">
        <w:t>find</w:t>
      </w:r>
      <w:r w:rsidR="00211D29">
        <w:t xml:space="preserve"> </w:t>
      </w:r>
      <w:r w:rsidRPr="0047574D">
        <w:t>herself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similar</w:t>
      </w:r>
      <w:r w:rsidR="00211D29">
        <w:t xml:space="preserve"> </w:t>
      </w:r>
      <w:r w:rsidRPr="0047574D">
        <w:t>vulnerable</w:t>
      </w:r>
      <w:r w:rsidR="00211D29">
        <w:t xml:space="preserve"> </w:t>
      </w:r>
      <w:r w:rsidRPr="0047574D">
        <w:t>position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their</w:t>
      </w:r>
      <w:r w:rsidR="00211D29">
        <w:t xml:space="preserve"> </w:t>
      </w:r>
      <w:r w:rsidRPr="0047574D">
        <w:t>children</w:t>
      </w:r>
      <w:r w:rsidR="00211D29">
        <w:t xml:space="preserve"> </w:t>
      </w:r>
      <w:r w:rsidRPr="0047574D">
        <w:t>in</w:t>
      </w:r>
      <w:r w:rsidR="00211D29">
        <w:t xml:space="preserve"> </w:t>
      </w:r>
      <w:r w:rsidR="00211D29" w:rsidRPr="00211D29">
        <w:rPr>
          <w:i/>
        </w:rPr>
        <w:t>Jasin</w:t>
      </w:r>
      <w:r w:rsidR="00211D29">
        <w:rPr>
          <w:i/>
        </w:rPr>
        <w:t xml:space="preserve"> </w:t>
      </w:r>
      <w:r w:rsidR="00211D29" w:rsidRPr="00211D29">
        <w:rPr>
          <w:i/>
        </w:rPr>
        <w:t>v.</w:t>
      </w:r>
      <w:r w:rsidR="00211D29">
        <w:rPr>
          <w:i/>
        </w:rPr>
        <w:t xml:space="preserve"> </w:t>
      </w:r>
      <w:r w:rsidR="00211D29" w:rsidRPr="00211D29">
        <w:rPr>
          <w:i/>
        </w:rPr>
        <w:t>Denmark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B1273B">
        <w:rPr>
          <w:i/>
        </w:rPr>
        <w:t>Ali</w:t>
      </w:r>
      <w:r w:rsidR="00211D29" w:rsidRPr="00B1273B">
        <w:rPr>
          <w:i/>
        </w:rPr>
        <w:t xml:space="preserve"> </w:t>
      </w:r>
      <w:r w:rsidRPr="00B1273B">
        <w:rPr>
          <w:i/>
        </w:rPr>
        <w:t>and</w:t>
      </w:r>
      <w:r w:rsidR="00211D29" w:rsidRPr="00B1273B">
        <w:rPr>
          <w:i/>
        </w:rPr>
        <w:t xml:space="preserve"> </w:t>
      </w:r>
      <w:r w:rsidRPr="00B1273B">
        <w:rPr>
          <w:i/>
        </w:rPr>
        <w:t>Mohamad</w:t>
      </w:r>
      <w:r w:rsidR="00211D29" w:rsidRPr="00B1273B">
        <w:rPr>
          <w:i/>
        </w:rPr>
        <w:t xml:space="preserve"> </w:t>
      </w:r>
      <w:r w:rsidRPr="00B1273B">
        <w:rPr>
          <w:i/>
        </w:rPr>
        <w:t>v.</w:t>
      </w:r>
      <w:r w:rsidR="00211D29" w:rsidRPr="00B1273B">
        <w:rPr>
          <w:i/>
        </w:rPr>
        <w:t xml:space="preserve"> </w:t>
      </w:r>
      <w:r w:rsidRPr="00B1273B">
        <w:rPr>
          <w:i/>
        </w:rPr>
        <w:t>Denmark</w:t>
      </w:r>
      <w:r w:rsidRPr="0047574D">
        <w:t>.</w:t>
      </w:r>
      <w:r w:rsidR="00211D29">
        <w:t xml:space="preserve"> </w:t>
      </w:r>
    </w:p>
    <w:p w:rsidR="006B0EB0" w:rsidRPr="0047574D" w:rsidRDefault="006B0EB0" w:rsidP="005F6AA5">
      <w:pPr>
        <w:pStyle w:val="H23G"/>
      </w:pPr>
      <w:r w:rsidRPr="0047574D">
        <w:tab/>
      </w:r>
      <w:r w:rsidRPr="0047574D">
        <w:tab/>
        <w:t>Issues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proceedings</w:t>
      </w:r>
      <w:r w:rsidR="00211D29">
        <w:t xml:space="preserve"> </w:t>
      </w:r>
      <w:r w:rsidRPr="0047574D">
        <w:t>before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</w:p>
    <w:p w:rsidR="006B0EB0" w:rsidRPr="0047574D" w:rsidRDefault="006B0EB0" w:rsidP="005F6AA5">
      <w:pPr>
        <w:pStyle w:val="H4G"/>
      </w:pPr>
      <w:r w:rsidRPr="0047574D">
        <w:tab/>
      </w:r>
      <w:r w:rsidRPr="0047574D">
        <w:tab/>
        <w:t>Consideration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admissibility</w:t>
      </w:r>
    </w:p>
    <w:p w:rsidR="006B0EB0" w:rsidRPr="0047574D" w:rsidRDefault="006B0EB0" w:rsidP="006B0EB0">
      <w:pPr>
        <w:pStyle w:val="SingleTxtG"/>
      </w:pPr>
      <w:r w:rsidRPr="0047574D">
        <w:t>8.1</w:t>
      </w:r>
      <w:r w:rsidRPr="0047574D">
        <w:tab/>
        <w:t>Before</w:t>
      </w:r>
      <w:r w:rsidR="00211D29">
        <w:t xml:space="preserve"> </w:t>
      </w:r>
      <w:r w:rsidRPr="0047574D">
        <w:t>considering</w:t>
      </w:r>
      <w:r w:rsidR="00211D29">
        <w:t xml:space="preserve"> </w:t>
      </w:r>
      <w:r w:rsidRPr="0047574D">
        <w:t>any</w:t>
      </w:r>
      <w:r w:rsidR="00211D29">
        <w:t xml:space="preserve"> </w:t>
      </w:r>
      <w:r w:rsidRPr="0047574D">
        <w:t>claim</w:t>
      </w:r>
      <w:r w:rsidR="00211D29">
        <w:t xml:space="preserve"> </w:t>
      </w:r>
      <w:r w:rsidRPr="0047574D">
        <w:t>contained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communication,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must</w:t>
      </w:r>
      <w:r w:rsidR="00211D29">
        <w:t xml:space="preserve"> </w:t>
      </w:r>
      <w:r w:rsidRPr="0047574D">
        <w:t>decide,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accordance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93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its</w:t>
      </w:r>
      <w:r w:rsidR="00211D29">
        <w:t xml:space="preserve"> </w:t>
      </w:r>
      <w:r w:rsidRPr="0047574D">
        <w:t>rules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procedure,</w:t>
      </w:r>
      <w:r w:rsidR="00211D29">
        <w:t xml:space="preserve"> </w:t>
      </w:r>
      <w:r w:rsidRPr="0047574D">
        <w:t>whether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communication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admissible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Optional</w:t>
      </w:r>
      <w:r w:rsidR="00211D29">
        <w:t xml:space="preserve"> </w:t>
      </w:r>
      <w:r w:rsidRPr="0047574D">
        <w:t>Protocol.</w:t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t>8.2</w:t>
      </w:r>
      <w:r w:rsidRPr="0047574D">
        <w:tab/>
        <w:t>As</w:t>
      </w:r>
      <w:r w:rsidR="00211D29">
        <w:t xml:space="preserve"> </w:t>
      </w:r>
      <w:r w:rsidRPr="0047574D">
        <w:t>required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5</w:t>
      </w:r>
      <w:r w:rsidR="00211D29">
        <w:t xml:space="preserve"> </w:t>
      </w:r>
      <w:r w:rsidRPr="0047574D">
        <w:t>(2)</w:t>
      </w:r>
      <w:r w:rsidR="00211D29">
        <w:t xml:space="preserve"> </w:t>
      </w:r>
      <w:r w:rsidRPr="0047574D">
        <w:t>(a)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Optional</w:t>
      </w:r>
      <w:r w:rsidR="00211D29">
        <w:t xml:space="preserve"> </w:t>
      </w:r>
      <w:r w:rsidRPr="0047574D">
        <w:t>Protocol,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ascertained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same</w:t>
      </w:r>
      <w:r w:rsidR="00211D29">
        <w:t xml:space="preserve"> </w:t>
      </w:r>
      <w:r w:rsidRPr="0047574D">
        <w:t>matter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being</w:t>
      </w:r>
      <w:r w:rsidR="00211D29">
        <w:t xml:space="preserve"> </w:t>
      </w:r>
      <w:r w:rsidRPr="0047574D">
        <w:t>examined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another</w:t>
      </w:r>
      <w:r w:rsidR="00211D29">
        <w:t xml:space="preserve"> </w:t>
      </w:r>
      <w:r w:rsidRPr="0047574D">
        <w:t>procedure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international</w:t>
      </w:r>
      <w:r w:rsidR="00211D29">
        <w:t xml:space="preserve"> </w:t>
      </w:r>
      <w:r w:rsidRPr="0047574D">
        <w:t>investigation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settlement.</w:t>
      </w:r>
    </w:p>
    <w:p w:rsidR="006B0EB0" w:rsidRPr="0047574D" w:rsidRDefault="006B0EB0" w:rsidP="006B0EB0">
      <w:pPr>
        <w:pStyle w:val="SingleTxtG"/>
      </w:pPr>
      <w:r w:rsidRPr="0047574D">
        <w:t>8.3</w:t>
      </w:r>
      <w:r w:rsidRPr="0047574D">
        <w:tab/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notes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claim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exhausted</w:t>
      </w:r>
      <w:r w:rsidR="00211D29">
        <w:t xml:space="preserve"> </w:t>
      </w:r>
      <w:r w:rsidRPr="0047574D">
        <w:t>all</w:t>
      </w:r>
      <w:r w:rsidR="00211D29">
        <w:t xml:space="preserve"> </w:t>
      </w:r>
      <w:r w:rsidRPr="0047574D">
        <w:t>effective</w:t>
      </w:r>
      <w:r w:rsidR="00211D29">
        <w:t xml:space="preserve"> </w:t>
      </w:r>
      <w:r w:rsidRPr="0047574D">
        <w:t>domestic</w:t>
      </w:r>
      <w:r w:rsidR="00211D29">
        <w:t xml:space="preserve"> </w:t>
      </w:r>
      <w:r w:rsidRPr="0047574D">
        <w:t>remedies</w:t>
      </w:r>
      <w:r w:rsidR="00211D29">
        <w:t xml:space="preserve"> </w:t>
      </w:r>
      <w:r w:rsidRPr="0047574D">
        <w:t>available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her.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absence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any</w:t>
      </w:r>
      <w:r w:rsidR="00211D29">
        <w:t xml:space="preserve"> </w:t>
      </w:r>
      <w:r w:rsidRPr="0047574D">
        <w:t>objection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connection,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considers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requirements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5</w:t>
      </w:r>
      <w:r w:rsidR="00211D29">
        <w:t xml:space="preserve"> </w:t>
      </w:r>
      <w:r w:rsidRPr="0047574D">
        <w:t>(2)</w:t>
      </w:r>
      <w:r w:rsidR="00211D29">
        <w:t xml:space="preserve"> </w:t>
      </w:r>
      <w:r w:rsidRPr="0047574D">
        <w:t>(b)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Optional</w:t>
      </w:r>
      <w:r w:rsidR="00211D29">
        <w:t xml:space="preserve"> </w:t>
      </w:r>
      <w:r w:rsidRPr="0047574D">
        <w:t>Protocol</w:t>
      </w:r>
      <w:r w:rsidR="00211D29">
        <w:t xml:space="preserve"> </w:t>
      </w:r>
      <w:r w:rsidRPr="0047574D">
        <w:t>have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met.</w:t>
      </w:r>
    </w:p>
    <w:p w:rsidR="006B0EB0" w:rsidRPr="0047574D" w:rsidRDefault="006B0EB0" w:rsidP="006B0EB0">
      <w:pPr>
        <w:pStyle w:val="SingleTxtG"/>
      </w:pPr>
      <w:r w:rsidRPr="0047574D">
        <w:t>8.4</w:t>
      </w:r>
      <w:r w:rsidRPr="0047574D">
        <w:tab/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notes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challenge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admissibility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communication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grounds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claim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unsubstantiated.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considers,</w:t>
      </w:r>
      <w:r w:rsidR="00211D29">
        <w:t xml:space="preserve"> </w:t>
      </w:r>
      <w:r w:rsidRPr="0047574D">
        <w:t>however,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sufficiently</w:t>
      </w:r>
      <w:r w:rsidR="00211D29">
        <w:t xml:space="preserve"> </w:t>
      </w:r>
      <w:r w:rsidRPr="0047574D">
        <w:t>substantiated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claims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purposes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admissibility.</w:t>
      </w:r>
      <w:r w:rsidR="00211D29">
        <w:t xml:space="preserve"> </w:t>
      </w:r>
      <w:r w:rsidRPr="0047574D">
        <w:t>Accordingly,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declares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communication</w:t>
      </w:r>
      <w:r w:rsidR="00211D29">
        <w:t xml:space="preserve"> </w:t>
      </w:r>
      <w:r w:rsidRPr="0047574D">
        <w:t>admissible</w:t>
      </w:r>
      <w:r w:rsidR="00211D29">
        <w:t xml:space="preserve"> </w:t>
      </w:r>
      <w:r w:rsidRPr="0047574D">
        <w:t>insofar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raises</w:t>
      </w:r>
      <w:r w:rsidR="00211D29">
        <w:t xml:space="preserve"> </w:t>
      </w:r>
      <w:r w:rsidRPr="0047574D">
        <w:t>issues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proceeds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its</w:t>
      </w:r>
      <w:r w:rsidR="00211D29">
        <w:t xml:space="preserve"> </w:t>
      </w:r>
      <w:r w:rsidRPr="0047574D">
        <w:t>consideration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merits.</w:t>
      </w:r>
    </w:p>
    <w:p w:rsidR="006B0EB0" w:rsidRPr="0047574D" w:rsidRDefault="006B0EB0" w:rsidP="005F6AA5">
      <w:pPr>
        <w:pStyle w:val="H4G"/>
      </w:pPr>
      <w:r w:rsidRPr="0047574D">
        <w:tab/>
      </w:r>
      <w:r w:rsidRPr="0047574D">
        <w:tab/>
        <w:t>Consideration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merits</w:t>
      </w:r>
    </w:p>
    <w:p w:rsidR="006B0EB0" w:rsidRPr="0047574D" w:rsidRDefault="006B0EB0" w:rsidP="006B0EB0">
      <w:pPr>
        <w:pStyle w:val="SingleTxtG"/>
      </w:pPr>
      <w:r w:rsidRPr="0047574D">
        <w:t>9.1</w:t>
      </w:r>
      <w:r w:rsidRPr="0047574D">
        <w:tab/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considered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communication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light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all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information</w:t>
      </w:r>
      <w:r w:rsidR="00211D29">
        <w:t xml:space="preserve"> </w:t>
      </w:r>
      <w:r w:rsidRPr="0047574D">
        <w:t>made</w:t>
      </w:r>
      <w:r w:rsidR="00211D29">
        <w:t xml:space="preserve"> </w:t>
      </w:r>
      <w:r w:rsidRPr="0047574D">
        <w:t>available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parties,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accordance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5</w:t>
      </w:r>
      <w:r w:rsidR="00211D29">
        <w:t xml:space="preserve"> </w:t>
      </w:r>
      <w:r w:rsidRPr="0047574D">
        <w:t>(1)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Optional</w:t>
      </w:r>
      <w:r w:rsidR="00211D29">
        <w:t xml:space="preserve"> </w:t>
      </w:r>
      <w:r w:rsidRPr="0047574D">
        <w:t>Protocol.</w:t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t>9.2</w:t>
      </w:r>
      <w:r w:rsidRPr="0047574D">
        <w:tab/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notes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claim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deporting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minor</w:t>
      </w:r>
      <w:r w:rsidR="00211D29">
        <w:t xml:space="preserve"> </w:t>
      </w:r>
      <w:r w:rsidRPr="0047574D">
        <w:t>son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Italy,</w:t>
      </w:r>
      <w:r w:rsidR="00211D29">
        <w:t xml:space="preserve"> </w:t>
      </w:r>
      <w:r w:rsidRPr="0047574D">
        <w:t>based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principle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first</w:t>
      </w:r>
      <w:r w:rsidR="00211D29">
        <w:t xml:space="preserve"> </w:t>
      </w:r>
      <w:r w:rsidRPr="0047574D">
        <w:t>country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according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Dublin</w:t>
      </w:r>
      <w:r w:rsidR="00211D29">
        <w:t xml:space="preserve"> </w:t>
      </w:r>
      <w:r w:rsidRPr="0047574D">
        <w:t>Regulation,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expose</w:t>
      </w:r>
      <w:r w:rsidR="00211D29">
        <w:t xml:space="preserve"> </w:t>
      </w:r>
      <w:r w:rsidRPr="0047574D">
        <w:t>them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risk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irreparable</w:t>
      </w:r>
      <w:r w:rsidR="00211D29">
        <w:t xml:space="preserve"> </w:t>
      </w:r>
      <w:r w:rsidRPr="0047574D">
        <w:t>harm,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violation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bases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arguments</w:t>
      </w:r>
      <w:r w:rsidR="00211D29">
        <w:t xml:space="preserve"> </w:t>
      </w:r>
      <w:r w:rsidRPr="0047574D">
        <w:t>on,</w:t>
      </w:r>
      <w:r w:rsidR="00211D29">
        <w:t xml:space="preserve"> </w:t>
      </w:r>
      <w:r w:rsidRPr="0047574D">
        <w:t>inter</w:t>
      </w:r>
      <w:r w:rsidR="00211D29">
        <w:t xml:space="preserve"> </w:t>
      </w:r>
      <w:r w:rsidRPr="0047574D">
        <w:t>alia: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actual</w:t>
      </w:r>
      <w:r w:rsidR="00211D29">
        <w:t xml:space="preserve"> </w:t>
      </w:r>
      <w:r w:rsidRPr="0047574D">
        <w:t>treatment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received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Italy;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lastRenderedPageBreak/>
        <w:t>particular</w:t>
      </w:r>
      <w:r w:rsidR="00211D29">
        <w:t xml:space="preserve"> </w:t>
      </w:r>
      <w:r w:rsidRPr="0047574D">
        <w:t>vulnerability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single</w:t>
      </w:r>
      <w:r w:rsidR="00211D29">
        <w:t xml:space="preserve"> </w:t>
      </w:r>
      <w:r w:rsidRPr="0047574D">
        <w:t>mother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small</w:t>
      </w:r>
      <w:r w:rsidR="00211D29">
        <w:t xml:space="preserve"> </w:t>
      </w:r>
      <w:r w:rsidRPr="0047574D">
        <w:t>child;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general</w:t>
      </w:r>
      <w:r w:rsidR="00211D29">
        <w:t xml:space="preserve"> </w:t>
      </w:r>
      <w:r w:rsidRPr="0047574D">
        <w:t>reception</w:t>
      </w:r>
      <w:r w:rsidR="00211D29">
        <w:t xml:space="preserve"> </w:t>
      </w:r>
      <w:r w:rsidRPr="0047574D">
        <w:t>facilities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Italy;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failure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integration</w:t>
      </w:r>
      <w:r w:rsidR="00211D29">
        <w:t xml:space="preserve"> </w:t>
      </w:r>
      <w:r w:rsidRPr="0047574D">
        <w:t>scheme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beneficiaries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international</w:t>
      </w:r>
      <w:r w:rsidR="00211D29">
        <w:t xml:space="preserve"> </w:t>
      </w:r>
      <w:r w:rsidRPr="0047574D">
        <w:t>protection,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described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various</w:t>
      </w:r>
      <w:r w:rsidR="00211D29">
        <w:t xml:space="preserve"> </w:t>
      </w:r>
      <w:r w:rsidRPr="0047574D">
        <w:t>reports.</w:t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t>9.3</w:t>
      </w:r>
      <w:r w:rsidRPr="0047574D">
        <w:tab/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recalls</w:t>
      </w:r>
      <w:r w:rsidR="00211D29">
        <w:t xml:space="preserve"> </w:t>
      </w:r>
      <w:r w:rsidRPr="0047574D">
        <w:t>its</w:t>
      </w:r>
      <w:r w:rsidR="00211D29">
        <w:t xml:space="preserve"> </w:t>
      </w:r>
      <w:r w:rsidRPr="0047574D">
        <w:t>general</w:t>
      </w:r>
      <w:r w:rsidR="00211D29">
        <w:t xml:space="preserve"> </w:t>
      </w:r>
      <w:r w:rsidRPr="0047574D">
        <w:t>comment</w:t>
      </w:r>
      <w:r w:rsidR="00211D29">
        <w:t xml:space="preserve"> </w:t>
      </w:r>
      <w:r w:rsidRPr="0047574D">
        <w:t>No.</w:t>
      </w:r>
      <w:r w:rsidR="00211D29">
        <w:t xml:space="preserve"> </w:t>
      </w:r>
      <w:r w:rsidRPr="0047574D">
        <w:t>31,</w:t>
      </w:r>
      <w:r w:rsidRPr="00D81309">
        <w:rPr>
          <w:rStyle w:val="FootnoteReference"/>
        </w:rPr>
        <w:footnoteReference w:id="26"/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which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refers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obligation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States</w:t>
      </w:r>
      <w:r w:rsidR="00211D29">
        <w:t xml:space="preserve"> </w:t>
      </w:r>
      <w:r w:rsidRPr="0047574D">
        <w:t>parties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extradite,</w:t>
      </w:r>
      <w:r w:rsidR="00211D29">
        <w:t xml:space="preserve"> </w:t>
      </w:r>
      <w:r w:rsidRPr="0047574D">
        <w:t>deport,</w:t>
      </w:r>
      <w:r w:rsidR="00211D29">
        <w:t xml:space="preserve"> </w:t>
      </w:r>
      <w:r w:rsidRPr="0047574D">
        <w:t>expel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otherwise</w:t>
      </w:r>
      <w:r w:rsidR="00211D29">
        <w:t xml:space="preserve"> </w:t>
      </w:r>
      <w:r w:rsidRPr="0047574D">
        <w:t>remove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person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their</w:t>
      </w:r>
      <w:r w:rsidR="00211D29">
        <w:t xml:space="preserve"> </w:t>
      </w:r>
      <w:r w:rsidRPr="0047574D">
        <w:t>territory</w:t>
      </w:r>
      <w:r w:rsidR="00211D29">
        <w:t xml:space="preserve"> </w:t>
      </w:r>
      <w:r w:rsidRPr="0047574D">
        <w:t>when</w:t>
      </w:r>
      <w:r w:rsidR="00211D29">
        <w:t xml:space="preserve"> </w:t>
      </w:r>
      <w:r w:rsidRPr="0047574D">
        <w:t>there</w:t>
      </w:r>
      <w:r w:rsidR="00211D29">
        <w:t xml:space="preserve"> </w:t>
      </w:r>
      <w:r w:rsidRPr="0047574D">
        <w:t>are</w:t>
      </w:r>
      <w:r w:rsidR="00211D29">
        <w:t xml:space="preserve"> </w:t>
      </w:r>
      <w:r w:rsidRPr="0047574D">
        <w:t>substantial</w:t>
      </w:r>
      <w:r w:rsidR="00211D29">
        <w:t xml:space="preserve"> </w:t>
      </w:r>
      <w:r w:rsidRPr="0047574D">
        <w:t>grounds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believing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there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real</w:t>
      </w:r>
      <w:r w:rsidR="00211D29">
        <w:t xml:space="preserve"> </w:t>
      </w:r>
      <w:r w:rsidRPr="0047574D">
        <w:t>risk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irreparable</w:t>
      </w:r>
      <w:r w:rsidR="00211D29">
        <w:t xml:space="preserve"> </w:t>
      </w:r>
      <w:r w:rsidRPr="0047574D">
        <w:t>harm,</w:t>
      </w:r>
      <w:r w:rsidR="00211D29">
        <w:t xml:space="preserve"> </w:t>
      </w:r>
      <w:r w:rsidRPr="0047574D">
        <w:t>such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contemplated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Covenant,</w:t>
      </w:r>
      <w:r w:rsidR="00211D29">
        <w:t xml:space="preserve"> </w:t>
      </w:r>
      <w:r w:rsidRPr="0047574D">
        <w:t>which</w:t>
      </w:r>
      <w:r w:rsidR="00211D29">
        <w:t xml:space="preserve"> </w:t>
      </w:r>
      <w:r w:rsidRPr="0047574D">
        <w:t>prohibits</w:t>
      </w:r>
      <w:r w:rsidR="00211D29">
        <w:t xml:space="preserve"> </w:t>
      </w:r>
      <w:r w:rsidRPr="0047574D">
        <w:t>cruel,</w:t>
      </w:r>
      <w:r w:rsidR="00211D29">
        <w:t xml:space="preserve"> </w:t>
      </w:r>
      <w:r w:rsidRPr="0047574D">
        <w:t>inhuman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degrading</w:t>
      </w:r>
      <w:r w:rsidR="00211D29">
        <w:t xml:space="preserve"> </w:t>
      </w:r>
      <w:r w:rsidRPr="0047574D">
        <w:t>treatment.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also</w:t>
      </w:r>
      <w:r w:rsidR="00211D29">
        <w:t xml:space="preserve"> </w:t>
      </w:r>
      <w:r w:rsidRPr="0047574D">
        <w:t>indicated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risk</w:t>
      </w:r>
      <w:r w:rsidR="00211D29">
        <w:t xml:space="preserve"> </w:t>
      </w:r>
      <w:r w:rsidRPr="0047574D">
        <w:t>must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personal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threshold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providing</w:t>
      </w:r>
      <w:r w:rsidR="00211D29">
        <w:t xml:space="preserve"> </w:t>
      </w:r>
      <w:r w:rsidRPr="0047574D">
        <w:t>substantial</w:t>
      </w:r>
      <w:r w:rsidR="00211D29">
        <w:t xml:space="preserve"> </w:t>
      </w:r>
      <w:r w:rsidRPr="0047574D">
        <w:t>grounds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establish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real</w:t>
      </w:r>
      <w:r w:rsidR="00211D29">
        <w:t xml:space="preserve"> </w:t>
      </w:r>
      <w:r w:rsidRPr="0047574D">
        <w:t>risk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irreparable</w:t>
      </w:r>
      <w:r w:rsidR="00211D29">
        <w:t xml:space="preserve"> </w:t>
      </w:r>
      <w:r w:rsidRPr="0047574D">
        <w:t>harm</w:t>
      </w:r>
      <w:r w:rsidR="00211D29">
        <w:t xml:space="preserve"> </w:t>
      </w:r>
      <w:r w:rsidRPr="0047574D">
        <w:t>exists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high.</w:t>
      </w:r>
      <w:r w:rsidRPr="00D81309">
        <w:rPr>
          <w:rStyle w:val="FootnoteReference"/>
        </w:rPr>
        <w:footnoteReference w:id="27"/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further</w:t>
      </w:r>
      <w:r w:rsidR="00211D29">
        <w:t xml:space="preserve"> </w:t>
      </w:r>
      <w:r w:rsidRPr="0047574D">
        <w:t>recalls</w:t>
      </w:r>
      <w:r w:rsidR="00211D29">
        <w:t xml:space="preserve"> </w:t>
      </w:r>
      <w:r w:rsidRPr="0047574D">
        <w:t>its</w:t>
      </w:r>
      <w:r w:rsidR="00211D29">
        <w:t xml:space="preserve"> </w:t>
      </w:r>
      <w:r w:rsidRPr="0047574D">
        <w:t>jurisprudence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considerable</w:t>
      </w:r>
      <w:r w:rsidR="00211D29">
        <w:t xml:space="preserve"> </w:t>
      </w:r>
      <w:r w:rsidRPr="0047574D">
        <w:t>weight</w:t>
      </w:r>
      <w:r w:rsidR="00211D29">
        <w:t xml:space="preserve"> </w:t>
      </w:r>
      <w:r w:rsidRPr="0047574D">
        <w:t>should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given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assessment</w:t>
      </w:r>
      <w:r w:rsidR="00211D29">
        <w:t xml:space="preserve"> </w:t>
      </w:r>
      <w:r w:rsidRPr="0047574D">
        <w:t>conducted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party,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generally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organs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States</w:t>
      </w:r>
      <w:r w:rsidR="00211D29">
        <w:t xml:space="preserve"> </w:t>
      </w:r>
      <w:r w:rsidRPr="0047574D">
        <w:t>parties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review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evaluate</w:t>
      </w:r>
      <w:r w:rsidR="00211D29">
        <w:t xml:space="preserve"> </w:t>
      </w:r>
      <w:r w:rsidRPr="0047574D">
        <w:t>facts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evidence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order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determine</w:t>
      </w:r>
      <w:r w:rsidR="00211D29">
        <w:t xml:space="preserve"> </w:t>
      </w:r>
      <w:r w:rsidRPr="0047574D">
        <w:t>whether</w:t>
      </w:r>
      <w:r w:rsidR="00211D29">
        <w:t xml:space="preserve"> </w:t>
      </w:r>
      <w:r w:rsidRPr="0047574D">
        <w:t>such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risk</w:t>
      </w:r>
      <w:r w:rsidR="00211D29">
        <w:t xml:space="preserve"> </w:t>
      </w:r>
      <w:r w:rsidRPr="0047574D">
        <w:t>exists,</w:t>
      </w:r>
      <w:r w:rsidRPr="00D81309">
        <w:rPr>
          <w:rStyle w:val="FootnoteReference"/>
        </w:rPr>
        <w:footnoteReference w:id="28"/>
      </w:r>
      <w:r w:rsidR="00211D29">
        <w:t xml:space="preserve"> </w:t>
      </w:r>
      <w:r w:rsidRPr="0047574D">
        <w:t>unless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found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evaluation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clearly</w:t>
      </w:r>
      <w:r w:rsidR="00211D29">
        <w:t xml:space="preserve"> </w:t>
      </w:r>
      <w:r w:rsidRPr="0047574D">
        <w:t>arbitrary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amounted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denial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justice.</w:t>
      </w:r>
      <w:r w:rsidRPr="00D81309">
        <w:rPr>
          <w:rStyle w:val="FootnoteReference"/>
        </w:rPr>
        <w:footnoteReference w:id="29"/>
      </w:r>
    </w:p>
    <w:p w:rsidR="006B0EB0" w:rsidRPr="0047574D" w:rsidRDefault="006B0EB0" w:rsidP="006B0EB0">
      <w:pPr>
        <w:pStyle w:val="SingleTxtG"/>
      </w:pPr>
      <w:r w:rsidRPr="0047574D">
        <w:t>9.4</w:t>
      </w:r>
      <w:r w:rsidRPr="0047574D">
        <w:tab/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notes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challenged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information</w:t>
      </w:r>
      <w:r w:rsidR="00211D29">
        <w:t xml:space="preserve"> </w:t>
      </w:r>
      <w:r w:rsidRPr="0047574D">
        <w:t>provided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authorities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Danish</w:t>
      </w:r>
      <w:r w:rsidR="00211D29">
        <w:t xml:space="preserve"> </w:t>
      </w:r>
      <w:r w:rsidRPr="0047574D">
        <w:t>Immigration</w:t>
      </w:r>
      <w:r w:rsidR="00211D29">
        <w:t xml:space="preserve"> </w:t>
      </w:r>
      <w:r w:rsidRPr="0047574D">
        <w:t>Service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subsidiary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permit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expired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22</w:t>
      </w:r>
      <w:r w:rsidR="00211D29">
        <w:t xml:space="preserve"> </w:t>
      </w:r>
      <w:r w:rsidRPr="0047574D">
        <w:t>December</w:t>
      </w:r>
      <w:r w:rsidR="00211D29">
        <w:t xml:space="preserve"> </w:t>
      </w:r>
      <w:r w:rsidRPr="0047574D">
        <w:t>2014.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further</w:t>
      </w:r>
      <w:r w:rsidR="00211D29">
        <w:t xml:space="preserve"> </w:t>
      </w:r>
      <w:r w:rsidRPr="0047574D">
        <w:t>notes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allegation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although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pregnant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health</w:t>
      </w:r>
      <w:r w:rsidR="00211D29">
        <w:t xml:space="preserve"> </w:t>
      </w:r>
      <w:r w:rsidRPr="0047574D">
        <w:t>problems</w:t>
      </w:r>
      <w:r w:rsidR="00211D29">
        <w:t xml:space="preserve"> </w:t>
      </w:r>
      <w:r w:rsidRPr="0047574D">
        <w:t>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time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living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Italy,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given</w:t>
      </w:r>
      <w:r w:rsidR="00211D29">
        <w:t xml:space="preserve"> </w:t>
      </w:r>
      <w:r w:rsidRPr="0047574D">
        <w:t>any</w:t>
      </w:r>
      <w:r w:rsidR="00211D29">
        <w:t xml:space="preserve"> </w:t>
      </w:r>
      <w:r w:rsidRPr="0047574D">
        <w:t>special</w:t>
      </w:r>
      <w:r w:rsidR="00211D29">
        <w:t xml:space="preserve"> </w:t>
      </w:r>
      <w:r w:rsidRPr="0047574D">
        <w:t>care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difficulties</w:t>
      </w:r>
      <w:r w:rsidR="00211D29">
        <w:t xml:space="preserve"> </w:t>
      </w:r>
      <w:r w:rsidRPr="0047574D">
        <w:t>getting</w:t>
      </w:r>
      <w:r w:rsidR="00211D29">
        <w:t xml:space="preserve"> </w:t>
      </w:r>
      <w:r w:rsidRPr="0047574D">
        <w:t>food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access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basic</w:t>
      </w:r>
      <w:r w:rsidR="00211D29">
        <w:t xml:space="preserve"> </w:t>
      </w:r>
      <w:r w:rsidRPr="0047574D">
        <w:t>sanitary</w:t>
      </w:r>
      <w:r w:rsidR="00211D29">
        <w:t xml:space="preserve"> </w:t>
      </w:r>
      <w:r w:rsidRPr="0047574D">
        <w:t>facilities.</w:t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t>9.5</w:t>
      </w:r>
      <w:r w:rsidRPr="0047574D">
        <w:tab/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notes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various</w:t>
      </w:r>
      <w:r w:rsidR="00211D29">
        <w:t xml:space="preserve"> </w:t>
      </w:r>
      <w:r w:rsidRPr="0047574D">
        <w:t>reports</w:t>
      </w:r>
      <w:r w:rsidR="00211D29">
        <w:t xml:space="preserve"> </w:t>
      </w:r>
      <w:r w:rsidRPr="0047574D">
        <w:t>submitted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highlighting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lack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available</w:t>
      </w:r>
      <w:r w:rsidR="00211D29">
        <w:t xml:space="preserve"> </w:t>
      </w:r>
      <w:r w:rsidRPr="0047574D">
        <w:t>places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reception</w:t>
      </w:r>
      <w:r w:rsidR="00211D29">
        <w:t xml:space="preserve"> </w:t>
      </w:r>
      <w:r w:rsidRPr="0047574D">
        <w:t>facilities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returnees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Dublin</w:t>
      </w:r>
      <w:r w:rsidR="00211D29">
        <w:t xml:space="preserve"> </w:t>
      </w:r>
      <w:r w:rsidRPr="0047574D">
        <w:t>Regulation.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notes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particular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submission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returnees,</w:t>
      </w:r>
      <w:r w:rsidR="00211D29">
        <w:t xml:space="preserve"> </w:t>
      </w:r>
      <w:r w:rsidRPr="0047574D">
        <w:t>like</w:t>
      </w:r>
      <w:r w:rsidR="00211D29">
        <w:t xml:space="preserve"> </w:t>
      </w:r>
      <w:r w:rsidRPr="0047574D">
        <w:t>herself,</w:t>
      </w:r>
      <w:r w:rsidR="00211D29">
        <w:t xml:space="preserve"> </w:t>
      </w:r>
      <w:r w:rsidRPr="0047574D">
        <w:t>who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already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form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benefited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reception</w:t>
      </w:r>
      <w:r w:rsidR="00211D29">
        <w:t xml:space="preserve"> </w:t>
      </w:r>
      <w:r w:rsidRPr="0047574D">
        <w:t>facilities</w:t>
      </w:r>
      <w:r w:rsidR="00211D29">
        <w:t xml:space="preserve"> </w:t>
      </w:r>
      <w:r w:rsidRPr="0047574D">
        <w:t>when</w:t>
      </w:r>
      <w:r w:rsidR="00211D29">
        <w:t xml:space="preserve"> </w:t>
      </w:r>
      <w:r w:rsidRPr="0047574D">
        <w:t>they</w:t>
      </w:r>
      <w:r w:rsidR="00211D29">
        <w:t xml:space="preserve"> </w:t>
      </w:r>
      <w:r w:rsidRPr="0047574D">
        <w:t>were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are</w:t>
      </w:r>
      <w:r w:rsidR="00211D29">
        <w:t xml:space="preserve"> </w:t>
      </w:r>
      <w:r w:rsidRPr="0047574D">
        <w:t>no</w:t>
      </w:r>
      <w:r w:rsidR="00211D29">
        <w:t xml:space="preserve"> </w:t>
      </w:r>
      <w:r w:rsidRPr="0047574D">
        <w:t>longer</w:t>
      </w:r>
      <w:r w:rsidR="00211D29">
        <w:t xml:space="preserve"> </w:t>
      </w:r>
      <w:r w:rsidRPr="0047574D">
        <w:t>entitled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accommodation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public</w:t>
      </w:r>
      <w:r w:rsidR="00211D29">
        <w:t xml:space="preserve"> </w:t>
      </w:r>
      <w:r w:rsidRPr="0047574D">
        <w:t>reception</w:t>
      </w:r>
      <w:r w:rsidR="00211D29">
        <w:t xml:space="preserve"> </w:t>
      </w:r>
      <w:r w:rsidRPr="0047574D">
        <w:t>centres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seekers.</w:t>
      </w:r>
      <w:r w:rsidRPr="00D81309">
        <w:rPr>
          <w:rStyle w:val="FootnoteReference"/>
        </w:rPr>
        <w:footnoteReference w:id="30"/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also</w:t>
      </w:r>
      <w:r w:rsidR="00211D29">
        <w:t xml:space="preserve"> </w:t>
      </w:r>
      <w:r w:rsidRPr="0047574D">
        <w:t>notes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submits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returnees</w:t>
      </w:r>
      <w:r w:rsidR="00211D29">
        <w:t xml:space="preserve"> </w:t>
      </w:r>
      <w:r w:rsidRPr="0047574D">
        <w:t>also</w:t>
      </w:r>
      <w:r w:rsidR="00211D29">
        <w:t xml:space="preserve"> </w:t>
      </w:r>
      <w:r w:rsidRPr="0047574D">
        <w:t>face</w:t>
      </w:r>
      <w:r w:rsidR="00211D29">
        <w:t xml:space="preserve"> </w:t>
      </w:r>
      <w:r w:rsidRPr="0047574D">
        <w:t>severe</w:t>
      </w:r>
      <w:r w:rsidR="00211D29">
        <w:t xml:space="preserve"> </w:t>
      </w:r>
      <w:r w:rsidRPr="0047574D">
        <w:t>difficulties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finding</w:t>
      </w:r>
      <w:r w:rsidR="00211D29">
        <w:t xml:space="preserve"> </w:t>
      </w:r>
      <w:r w:rsidRPr="0047574D">
        <w:t>access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sanitary</w:t>
      </w:r>
      <w:r w:rsidR="00211D29">
        <w:t xml:space="preserve"> </w:t>
      </w:r>
      <w:r w:rsidRPr="0047574D">
        <w:t>facilities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food.</w:t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t>9.6</w:t>
      </w:r>
      <w:r w:rsidRPr="0047574D">
        <w:tab/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notes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finding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Board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should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considered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first</w:t>
      </w:r>
      <w:r w:rsidR="00211D29">
        <w:t xml:space="preserve"> </w:t>
      </w:r>
      <w:r w:rsidRPr="0047574D">
        <w:t>country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present</w:t>
      </w:r>
      <w:r w:rsidR="00211D29">
        <w:t xml:space="preserve"> </w:t>
      </w:r>
      <w:r w:rsidRPr="0047574D">
        <w:t>case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position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such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country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obliged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provide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basic</w:t>
      </w:r>
      <w:r w:rsidR="00211D29">
        <w:t xml:space="preserve"> </w:t>
      </w:r>
      <w:r w:rsidRPr="0047574D">
        <w:t>human</w:t>
      </w:r>
      <w:r w:rsidR="00211D29">
        <w:t xml:space="preserve"> </w:t>
      </w:r>
      <w:r w:rsidRPr="0047574D">
        <w:t>standards,</w:t>
      </w:r>
      <w:r w:rsidR="00211D29">
        <w:t xml:space="preserve"> </w:t>
      </w:r>
      <w:r w:rsidRPr="0047574D">
        <w:t>although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required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such</w:t>
      </w:r>
      <w:r w:rsidR="00211D29">
        <w:t xml:space="preserve"> </w:t>
      </w:r>
      <w:r w:rsidRPr="0047574D">
        <w:t>persons</w:t>
      </w:r>
      <w:r w:rsidR="00211D29">
        <w:t xml:space="preserve"> </w:t>
      </w:r>
      <w:r w:rsidRPr="0047574D">
        <w:t>have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same</w:t>
      </w:r>
      <w:r w:rsidR="00211D29">
        <w:t xml:space="preserve"> </w:t>
      </w:r>
      <w:r w:rsidRPr="0047574D">
        <w:t>social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living</w:t>
      </w:r>
      <w:r w:rsidR="00211D29">
        <w:t xml:space="preserve"> </w:t>
      </w:r>
      <w:r w:rsidRPr="0047574D">
        <w:t>standards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nationals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country</w:t>
      </w:r>
      <w:r w:rsidR="00211D29">
        <w:t xml:space="preserve"> </w:t>
      </w:r>
      <w:r w:rsidRPr="0047574D">
        <w:t>(see</w:t>
      </w:r>
      <w:r w:rsidR="00211D29">
        <w:t xml:space="preserve"> </w:t>
      </w:r>
      <w:r w:rsidRPr="0047574D">
        <w:t>para</w:t>
      </w:r>
      <w:r w:rsidR="0040083C">
        <w:t>graph</w:t>
      </w:r>
      <w:r w:rsidR="00211D29">
        <w:t xml:space="preserve"> </w:t>
      </w:r>
      <w:r w:rsidRPr="0047574D">
        <w:t>4.4</w:t>
      </w:r>
      <w:r w:rsidR="00211D29">
        <w:t xml:space="preserve"> </w:t>
      </w:r>
      <w:r w:rsidRPr="0047574D">
        <w:t>above).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also</w:t>
      </w:r>
      <w:r w:rsidR="00211D29">
        <w:t xml:space="preserve"> </w:t>
      </w:r>
      <w:r w:rsidRPr="0047574D">
        <w:t>notes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also</w:t>
      </w:r>
      <w:r w:rsidR="00211D29">
        <w:t xml:space="preserve"> </w:t>
      </w:r>
      <w:r w:rsidRPr="0047574D">
        <w:t>referred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decision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European</w:t>
      </w:r>
      <w:r w:rsidR="00211D29">
        <w:t xml:space="preserve"> </w:t>
      </w:r>
      <w:r w:rsidRPr="0047574D">
        <w:t>Court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Human</w:t>
      </w:r>
      <w:r w:rsidR="00211D29">
        <w:t xml:space="preserve"> </w:t>
      </w:r>
      <w:r w:rsidRPr="0047574D">
        <w:t>Rights,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which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Court</w:t>
      </w:r>
      <w:r w:rsidR="00211D29">
        <w:t xml:space="preserve"> </w:t>
      </w:r>
      <w:r w:rsidRPr="0047574D">
        <w:t>stated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although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situation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its</w:t>
      </w:r>
      <w:r w:rsidR="00211D29">
        <w:t xml:space="preserve"> </w:t>
      </w:r>
      <w:r w:rsidRPr="0047574D">
        <w:t>shortcomings,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disclosed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systemic</w:t>
      </w:r>
      <w:r w:rsidR="00211D29">
        <w:t xml:space="preserve"> </w:t>
      </w:r>
      <w:r w:rsidRPr="0047574D">
        <w:t>failure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provide</w:t>
      </w:r>
      <w:r w:rsidR="00211D29">
        <w:t xml:space="preserve"> </w:t>
      </w:r>
      <w:r w:rsidRPr="0047574D">
        <w:t>support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facilities</w:t>
      </w:r>
      <w:r w:rsidR="00211D29">
        <w:t xml:space="preserve"> </w:t>
      </w:r>
      <w:r w:rsidRPr="0047574D">
        <w:t>catering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(see</w:t>
      </w:r>
      <w:r w:rsidR="00211D29">
        <w:t xml:space="preserve"> </w:t>
      </w:r>
      <w:r w:rsidRPr="0047574D">
        <w:t>para</w:t>
      </w:r>
      <w:r w:rsidR="0040083C">
        <w:t>graph</w:t>
      </w:r>
      <w:r w:rsidR="00211D29">
        <w:t xml:space="preserve"> </w:t>
      </w:r>
      <w:r w:rsidRPr="0047574D">
        <w:t>4.5</w:t>
      </w:r>
      <w:r w:rsidR="00211D29">
        <w:t xml:space="preserve"> </w:t>
      </w:r>
      <w:r w:rsidRPr="0047574D">
        <w:t>above).</w:t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t>9.7</w:t>
      </w:r>
      <w:r w:rsidR="00211D29">
        <w:t xml:space="preserve"> </w:t>
      </w:r>
      <w:r w:rsidRPr="0047574D">
        <w:tab/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recalls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States</w:t>
      </w:r>
      <w:r w:rsidR="00211D29">
        <w:t xml:space="preserve"> </w:t>
      </w:r>
      <w:r w:rsidRPr="0047574D">
        <w:t>parties</w:t>
      </w:r>
      <w:r w:rsidR="00211D29">
        <w:t xml:space="preserve"> </w:t>
      </w:r>
      <w:r w:rsidRPr="0047574D">
        <w:t>should,</w:t>
      </w:r>
      <w:r w:rsidR="00211D29">
        <w:t xml:space="preserve"> </w:t>
      </w:r>
      <w:r w:rsidRPr="0047574D">
        <w:t>when</w:t>
      </w:r>
      <w:r w:rsidR="00211D29">
        <w:t xml:space="preserve"> </w:t>
      </w:r>
      <w:r w:rsidRPr="0047574D">
        <w:t>reviewing</w:t>
      </w:r>
      <w:r w:rsidR="00211D29">
        <w:t xml:space="preserve"> </w:t>
      </w:r>
      <w:r w:rsidRPr="0047574D">
        <w:t>challenges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decisions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remove</w:t>
      </w:r>
      <w:r w:rsidR="00211D29">
        <w:t xml:space="preserve"> </w:t>
      </w:r>
      <w:r w:rsidRPr="0047574D">
        <w:t>individuals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their</w:t>
      </w:r>
      <w:r w:rsidR="00211D29">
        <w:t xml:space="preserve"> </w:t>
      </w:r>
      <w:r w:rsidRPr="0047574D">
        <w:t>territory,</w:t>
      </w:r>
      <w:r w:rsidR="00211D29">
        <w:t xml:space="preserve"> </w:t>
      </w:r>
      <w:r w:rsidRPr="0047574D">
        <w:t>give</w:t>
      </w:r>
      <w:r w:rsidR="00211D29">
        <w:t xml:space="preserve"> </w:t>
      </w:r>
      <w:r w:rsidRPr="0047574D">
        <w:t>sufficient</w:t>
      </w:r>
      <w:r w:rsidR="00211D29">
        <w:t xml:space="preserve"> </w:t>
      </w:r>
      <w:r w:rsidRPr="0047574D">
        <w:t>weight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real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personal</w:t>
      </w:r>
      <w:r w:rsidR="00211D29">
        <w:t xml:space="preserve"> </w:t>
      </w:r>
      <w:r w:rsidRPr="0047574D">
        <w:t>risk</w:t>
      </w:r>
      <w:r w:rsidR="00211D29">
        <w:t xml:space="preserve"> </w:t>
      </w:r>
      <w:r w:rsidRPr="0047574D">
        <w:t>such</w:t>
      </w:r>
      <w:r w:rsidR="00211D29">
        <w:t xml:space="preserve"> </w:t>
      </w:r>
      <w:r w:rsidRPr="0047574D">
        <w:t>individuals</w:t>
      </w:r>
      <w:r w:rsidR="00211D29">
        <w:t xml:space="preserve"> </w:t>
      </w:r>
      <w:r w:rsidRPr="0047574D">
        <w:t>might</w:t>
      </w:r>
      <w:r w:rsidR="00211D29">
        <w:t xml:space="preserve"> </w:t>
      </w:r>
      <w:r w:rsidRPr="0047574D">
        <w:t>face</w:t>
      </w:r>
      <w:r w:rsidR="00211D29">
        <w:t xml:space="preserve"> </w:t>
      </w:r>
      <w:r w:rsidRPr="0047574D">
        <w:t>if</w:t>
      </w:r>
      <w:r w:rsidR="00211D29">
        <w:t xml:space="preserve"> </w:t>
      </w:r>
      <w:r w:rsidRPr="0047574D">
        <w:t>deported.</w:t>
      </w:r>
      <w:r w:rsidRPr="00D81309">
        <w:rPr>
          <w:rStyle w:val="FootnoteReference"/>
        </w:rPr>
        <w:footnoteReference w:id="31"/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particular,</w:t>
      </w:r>
      <w:r w:rsidR="00211D29">
        <w:t xml:space="preserve"> </w:t>
      </w:r>
      <w:r w:rsidRPr="0047574D">
        <w:t>any</w:t>
      </w:r>
      <w:r w:rsidR="00211D29">
        <w:t xml:space="preserve"> </w:t>
      </w:r>
      <w:r w:rsidRPr="0047574D">
        <w:t>evaluation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whether</w:t>
      </w:r>
      <w:r w:rsidR="00211D29">
        <w:t xml:space="preserve"> </w:t>
      </w:r>
      <w:r w:rsidRPr="0047574D">
        <w:t>individuals</w:t>
      </w:r>
      <w:r w:rsidR="00211D29">
        <w:t xml:space="preserve"> </w:t>
      </w:r>
      <w:r w:rsidRPr="0047574D">
        <w:t>are</w:t>
      </w:r>
      <w:r w:rsidR="00211D29">
        <w:t xml:space="preserve"> </w:t>
      </w:r>
      <w:r w:rsidRPr="0047574D">
        <w:t>likely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exposed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constituting</w:t>
      </w:r>
      <w:r w:rsidR="00211D29">
        <w:t xml:space="preserve"> </w:t>
      </w:r>
      <w:r w:rsidRPr="0047574D">
        <w:t>cruel,</w:t>
      </w:r>
      <w:r w:rsidR="00211D29">
        <w:t xml:space="preserve"> </w:t>
      </w:r>
      <w:r w:rsidRPr="0047574D">
        <w:t>inhuman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degrading</w:t>
      </w:r>
      <w:r w:rsidR="00211D29">
        <w:t xml:space="preserve"> </w:t>
      </w:r>
      <w:r w:rsidRPr="0047574D">
        <w:t>treatment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violation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</w:t>
      </w:r>
      <w:r w:rsidR="00211D29">
        <w:t xml:space="preserve"> </w:t>
      </w:r>
      <w:r w:rsidRPr="0047574D">
        <w:t>must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based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only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an</w:t>
      </w:r>
      <w:r w:rsidR="00211D29">
        <w:t xml:space="preserve"> </w:t>
      </w:r>
      <w:r w:rsidRPr="0047574D">
        <w:t>assessment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general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receiving</w:t>
      </w:r>
      <w:r w:rsidR="00211D29">
        <w:t xml:space="preserve"> </w:t>
      </w:r>
      <w:r w:rsidRPr="0047574D">
        <w:t>country,</w:t>
      </w:r>
      <w:r w:rsidR="00211D29">
        <w:t xml:space="preserve"> </w:t>
      </w:r>
      <w:r w:rsidRPr="0047574D">
        <w:t>but</w:t>
      </w:r>
      <w:r w:rsidR="00211D29">
        <w:t xml:space="preserve"> </w:t>
      </w:r>
      <w:r w:rsidRPr="0047574D">
        <w:t>also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individual</w:t>
      </w:r>
      <w:r w:rsidR="00211D29">
        <w:t xml:space="preserve"> </w:t>
      </w:r>
      <w:r w:rsidRPr="0047574D">
        <w:t>circumstances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persons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question.</w:t>
      </w:r>
      <w:r w:rsidR="00211D29">
        <w:t xml:space="preserve"> </w:t>
      </w:r>
      <w:r w:rsidRPr="0047574D">
        <w:t>Those</w:t>
      </w:r>
      <w:r w:rsidR="00211D29">
        <w:t xml:space="preserve"> </w:t>
      </w:r>
      <w:r w:rsidRPr="0047574D">
        <w:t>circumstances</w:t>
      </w:r>
      <w:r w:rsidR="00211D29">
        <w:t xml:space="preserve"> </w:t>
      </w:r>
      <w:r w:rsidRPr="0047574D">
        <w:t>include</w:t>
      </w:r>
      <w:r w:rsidR="00211D29">
        <w:t xml:space="preserve"> </w:t>
      </w:r>
      <w:r w:rsidRPr="0047574D">
        <w:t>factors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increase</w:t>
      </w:r>
      <w:r w:rsidR="00211D29">
        <w:t xml:space="preserve"> </w:t>
      </w:r>
      <w:r w:rsidRPr="0047574D">
        <w:lastRenderedPageBreak/>
        <w:t>the</w:t>
      </w:r>
      <w:r w:rsidR="00211D29">
        <w:t xml:space="preserve"> </w:t>
      </w:r>
      <w:r w:rsidRPr="0047574D">
        <w:t>vulnerability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such</w:t>
      </w:r>
      <w:r w:rsidR="00211D29">
        <w:t xml:space="preserve"> </w:t>
      </w:r>
      <w:r w:rsidRPr="0047574D">
        <w:t>persons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could</w:t>
      </w:r>
      <w:r w:rsidR="00211D29">
        <w:t xml:space="preserve"> </w:t>
      </w:r>
      <w:r w:rsidRPr="0047574D">
        <w:t>transform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situation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tolerable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most</w:t>
      </w:r>
      <w:r w:rsidR="00211D29">
        <w:t xml:space="preserve"> </w:t>
      </w:r>
      <w:r w:rsidRPr="0047574D">
        <w:t>into</w:t>
      </w:r>
      <w:r w:rsidR="00211D29">
        <w:t xml:space="preserve"> </w:t>
      </w:r>
      <w:r w:rsidRPr="0047574D">
        <w:t>an</w:t>
      </w:r>
      <w:r w:rsidR="00211D29">
        <w:t xml:space="preserve"> </w:t>
      </w:r>
      <w:r w:rsidRPr="0047574D">
        <w:t>intolerable</w:t>
      </w:r>
      <w:r w:rsidR="00211D29">
        <w:t xml:space="preserve"> </w:t>
      </w:r>
      <w:r w:rsidRPr="0047574D">
        <w:t>one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others.</w:t>
      </w:r>
      <w:r w:rsidR="00211D29">
        <w:t xml:space="preserve"> </w:t>
      </w:r>
      <w:r w:rsidRPr="0047574D">
        <w:t>They</w:t>
      </w:r>
      <w:r w:rsidR="00211D29">
        <w:t xml:space="preserve"> </w:t>
      </w:r>
      <w:r w:rsidRPr="0047574D">
        <w:t>should</w:t>
      </w:r>
      <w:r w:rsidR="00211D29">
        <w:t xml:space="preserve"> </w:t>
      </w:r>
      <w:r w:rsidRPr="0047574D">
        <w:t>also</w:t>
      </w:r>
      <w:r w:rsidR="00211D29">
        <w:t xml:space="preserve"> </w:t>
      </w:r>
      <w:r w:rsidRPr="0047574D">
        <w:t>take</w:t>
      </w:r>
      <w:r w:rsidR="00211D29">
        <w:t xml:space="preserve"> </w:t>
      </w:r>
      <w:r w:rsidRPr="0047574D">
        <w:t>into</w:t>
      </w:r>
      <w:r w:rsidR="00211D29">
        <w:t xml:space="preserve"> </w:t>
      </w:r>
      <w:r w:rsidRPr="0047574D">
        <w:t>account,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cases</w:t>
      </w:r>
      <w:r w:rsidR="00211D29">
        <w:t xml:space="preserve"> </w:t>
      </w:r>
      <w:r w:rsidRPr="0047574D">
        <w:t>considered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Dublin</w:t>
      </w:r>
      <w:r w:rsidR="00211D29">
        <w:t xml:space="preserve"> </w:t>
      </w:r>
      <w:r w:rsidRPr="0047574D">
        <w:t>Regulation,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previous</w:t>
      </w:r>
      <w:r w:rsidR="00211D29">
        <w:t xml:space="preserve"> </w:t>
      </w:r>
      <w:r w:rsidRPr="0047574D">
        <w:t>experiences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removed</w:t>
      </w:r>
      <w:r w:rsidR="00211D29">
        <w:t xml:space="preserve"> </w:t>
      </w:r>
      <w:r w:rsidRPr="0047574D">
        <w:t>individuals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first</w:t>
      </w:r>
      <w:r w:rsidR="00211D29">
        <w:t xml:space="preserve"> </w:t>
      </w:r>
      <w:r w:rsidRPr="0047574D">
        <w:t>country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asylum,</w:t>
      </w:r>
      <w:r w:rsidR="00211D29">
        <w:t xml:space="preserve"> </w:t>
      </w:r>
      <w:r w:rsidRPr="0047574D">
        <w:t>which</w:t>
      </w:r>
      <w:r w:rsidR="00211D29">
        <w:t xml:space="preserve"> </w:t>
      </w:r>
      <w:r w:rsidRPr="0047574D">
        <w:t>may</w:t>
      </w:r>
      <w:r w:rsidR="00211D29">
        <w:t xml:space="preserve"> </w:t>
      </w:r>
      <w:r w:rsidRPr="0047574D">
        <w:t>underscore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special</w:t>
      </w:r>
      <w:r w:rsidR="00211D29">
        <w:t xml:space="preserve"> </w:t>
      </w:r>
      <w:r w:rsidRPr="0047574D">
        <w:t>risks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they</w:t>
      </w:r>
      <w:r w:rsidR="00211D29">
        <w:t xml:space="preserve"> </w:t>
      </w:r>
      <w:r w:rsidRPr="0047574D">
        <w:t>are</w:t>
      </w:r>
      <w:r w:rsidR="00211D29">
        <w:t xml:space="preserve"> </w:t>
      </w:r>
      <w:r w:rsidRPr="0047574D">
        <w:t>likely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face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may</w:t>
      </w:r>
      <w:r w:rsidR="00211D29">
        <w:t xml:space="preserve"> </w:t>
      </w:r>
      <w:r w:rsidRPr="0047574D">
        <w:t>thus</w:t>
      </w:r>
      <w:r w:rsidR="00211D29">
        <w:t xml:space="preserve"> </w:t>
      </w:r>
      <w:r w:rsidRPr="0047574D">
        <w:t>render</w:t>
      </w:r>
      <w:r w:rsidR="00211D29">
        <w:t xml:space="preserve"> </w:t>
      </w:r>
      <w:r w:rsidRPr="0047574D">
        <w:t>their</w:t>
      </w:r>
      <w:r w:rsidR="00211D29">
        <w:t xml:space="preserve"> </w:t>
      </w:r>
      <w:r w:rsidRPr="0047574D">
        <w:t>return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first</w:t>
      </w:r>
      <w:r w:rsidR="00211D29">
        <w:t xml:space="preserve"> </w:t>
      </w:r>
      <w:r w:rsidRPr="0047574D">
        <w:t>country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particularly</w:t>
      </w:r>
      <w:r w:rsidR="00211D29">
        <w:t xml:space="preserve"> </w:t>
      </w:r>
      <w:r w:rsidRPr="0047574D">
        <w:t>traumatic</w:t>
      </w:r>
      <w:r w:rsidR="00211D29">
        <w:t xml:space="preserve"> </w:t>
      </w:r>
      <w:r w:rsidRPr="0047574D">
        <w:t>experience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them.</w:t>
      </w:r>
      <w:r w:rsidRPr="00D81309">
        <w:rPr>
          <w:rStyle w:val="FootnoteReference"/>
        </w:rPr>
        <w:footnoteReference w:id="32"/>
      </w:r>
    </w:p>
    <w:p w:rsidR="006B0EB0" w:rsidRPr="0047574D" w:rsidRDefault="006B0EB0" w:rsidP="006B0EB0">
      <w:pPr>
        <w:pStyle w:val="SingleTxtG"/>
      </w:pPr>
      <w:r w:rsidRPr="0047574D">
        <w:t>9.8</w:t>
      </w:r>
      <w:r w:rsidR="00211D29">
        <w:t xml:space="preserve"> </w:t>
      </w:r>
      <w:r w:rsidRPr="0047574D">
        <w:tab/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notes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information</w:t>
      </w:r>
      <w:r w:rsidR="00211D29">
        <w:t xml:space="preserve"> </w:t>
      </w:r>
      <w:r w:rsidRPr="0047574D">
        <w:t>provided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authorities</w:t>
      </w:r>
      <w:r w:rsidR="00211D29">
        <w:t xml:space="preserve"> </w:t>
      </w:r>
      <w:r w:rsidRPr="0047574D">
        <w:t>according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which</w:t>
      </w:r>
      <w:r w:rsidR="00211D29">
        <w:t xml:space="preserve"> </w:t>
      </w:r>
      <w:r w:rsidRPr="0047574D">
        <w:t>an</w:t>
      </w:r>
      <w:r w:rsidR="00211D29">
        <w:t xml:space="preserve"> </w:t>
      </w:r>
      <w:r w:rsidRPr="0047574D">
        <w:t>alien</w:t>
      </w:r>
      <w:r w:rsidR="00211D29">
        <w:t xml:space="preserve"> </w:t>
      </w:r>
      <w:r w:rsidRPr="0047574D">
        <w:t>who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residency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recognized</w:t>
      </w:r>
      <w:r w:rsidR="00211D29">
        <w:t xml:space="preserve"> </w:t>
      </w:r>
      <w:r w:rsidRPr="0047574D">
        <w:t>refugee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status</w:t>
      </w:r>
      <w:r w:rsidR="00211D29">
        <w:t xml:space="preserve"> </w:t>
      </w:r>
      <w:r w:rsidRPr="0047574D">
        <w:t>may</w:t>
      </w:r>
      <w:r w:rsidR="00211D29">
        <w:t xml:space="preserve"> </w:t>
      </w:r>
      <w:r w:rsidRPr="0047574D">
        <w:t>submit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request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renew</w:t>
      </w:r>
      <w:r w:rsidR="00211D29">
        <w:t xml:space="preserve"> </w:t>
      </w:r>
      <w:r w:rsidRPr="0047574D">
        <w:t>his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expired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permit</w:t>
      </w:r>
      <w:r w:rsidR="00211D29">
        <w:t xml:space="preserve"> </w:t>
      </w:r>
      <w:r w:rsidRPr="0047574D">
        <w:t>upon</w:t>
      </w:r>
      <w:r w:rsidR="00211D29">
        <w:t xml:space="preserve"> </w:t>
      </w:r>
      <w:r w:rsidRPr="0047574D">
        <w:t>re-entry</w:t>
      </w:r>
      <w:r w:rsidR="00211D29">
        <w:t xml:space="preserve"> </w:t>
      </w:r>
      <w:r w:rsidRPr="0047574D">
        <w:t>into</w:t>
      </w:r>
      <w:r w:rsidR="00211D29">
        <w:t xml:space="preserve"> </w:t>
      </w:r>
      <w:r w:rsidRPr="0047574D">
        <w:t>Italy.</w:t>
      </w:r>
    </w:p>
    <w:p w:rsidR="006B0EB0" w:rsidRPr="0047574D" w:rsidRDefault="006B0EB0" w:rsidP="006B0EB0">
      <w:pPr>
        <w:pStyle w:val="SingleTxtG"/>
      </w:pPr>
      <w:r w:rsidRPr="0047574D">
        <w:t>9.9</w:t>
      </w:r>
      <w:r w:rsidRPr="0047574D">
        <w:tab/>
        <w:t>However,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considers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did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fully</w:t>
      </w:r>
      <w:r w:rsidR="00211D29">
        <w:t xml:space="preserve"> </w:t>
      </w:r>
      <w:r w:rsidRPr="0047574D">
        <w:t>examine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claims,</w:t>
      </w:r>
      <w:r w:rsidR="00211D29">
        <w:t xml:space="preserve"> </w:t>
      </w:r>
      <w:r w:rsidRPr="0047574D">
        <w:t>based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personal</w:t>
      </w:r>
      <w:r w:rsidR="00211D29">
        <w:t xml:space="preserve"> </w:t>
      </w:r>
      <w:r w:rsidRPr="0047574D">
        <w:t>circumstances,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despite</w:t>
      </w:r>
      <w:r w:rsidR="00211D29">
        <w:t xml:space="preserve"> </w:t>
      </w:r>
      <w:r w:rsidRPr="0047574D">
        <w:t>being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residency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Italy,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face</w:t>
      </w:r>
      <w:r w:rsidR="00211D29">
        <w:t xml:space="preserve"> </w:t>
      </w:r>
      <w:r w:rsidRPr="0047574D">
        <w:t>unbearable</w:t>
      </w:r>
      <w:r w:rsidR="00211D29">
        <w:t xml:space="preserve"> </w:t>
      </w:r>
      <w:r w:rsidRPr="0047574D">
        <w:t>living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there.</w:t>
      </w:r>
    </w:p>
    <w:p w:rsidR="006B0EB0" w:rsidRPr="0047574D" w:rsidRDefault="006B0EB0" w:rsidP="006B0EB0">
      <w:pPr>
        <w:pStyle w:val="SingleTxtG"/>
      </w:pPr>
      <w:r w:rsidRPr="0047574D">
        <w:t>9.10</w:t>
      </w:r>
      <w:r w:rsidRPr="0047574D">
        <w:tab/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recalls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States</w:t>
      </w:r>
      <w:r w:rsidR="00211D29">
        <w:t xml:space="preserve"> </w:t>
      </w:r>
      <w:r w:rsidRPr="0047574D">
        <w:t>parties</w:t>
      </w:r>
      <w:r w:rsidR="00211D29">
        <w:t xml:space="preserve"> </w:t>
      </w:r>
      <w:r w:rsidRPr="0047574D">
        <w:t>should</w:t>
      </w:r>
      <w:r w:rsidR="00211D29">
        <w:t xml:space="preserve"> </w:t>
      </w:r>
      <w:r w:rsidRPr="0047574D">
        <w:t>give</w:t>
      </w:r>
      <w:r w:rsidR="00211D29">
        <w:t xml:space="preserve"> </w:t>
      </w:r>
      <w:r w:rsidRPr="0047574D">
        <w:t>sufficient</w:t>
      </w:r>
      <w:r w:rsidR="00211D29">
        <w:t xml:space="preserve"> </w:t>
      </w:r>
      <w:r w:rsidRPr="0047574D">
        <w:t>weight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real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personal</w:t>
      </w:r>
      <w:r w:rsidR="00211D29">
        <w:t xml:space="preserve"> </w:t>
      </w:r>
      <w:r w:rsidRPr="0047574D">
        <w:t>risk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person</w:t>
      </w:r>
      <w:r w:rsidR="00211D29">
        <w:t xml:space="preserve"> </w:t>
      </w:r>
      <w:r w:rsidRPr="0047574D">
        <w:t>might</w:t>
      </w:r>
      <w:r w:rsidR="00211D29">
        <w:t xml:space="preserve"> </w:t>
      </w:r>
      <w:r w:rsidRPr="0047574D">
        <w:t>face</w:t>
      </w:r>
      <w:r w:rsidR="00211D29">
        <w:t xml:space="preserve"> </w:t>
      </w:r>
      <w:r w:rsidRPr="0047574D">
        <w:t>if</w:t>
      </w:r>
      <w:r w:rsidR="00211D29">
        <w:t xml:space="preserve"> </w:t>
      </w:r>
      <w:r w:rsidRPr="0047574D">
        <w:t>deported</w:t>
      </w:r>
      <w:r w:rsidRPr="00D81309">
        <w:rPr>
          <w:rStyle w:val="FootnoteReference"/>
        </w:rPr>
        <w:footnoteReference w:id="33"/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considers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incumbent</w:t>
      </w:r>
      <w:r w:rsidR="00211D29">
        <w:t xml:space="preserve"> </w:t>
      </w:r>
      <w:r w:rsidRPr="0047574D">
        <w:t>upon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undertake</w:t>
      </w:r>
      <w:r w:rsidR="00211D29">
        <w:t xml:space="preserve"> </w:t>
      </w:r>
      <w:r w:rsidRPr="0047574D">
        <w:t>an</w:t>
      </w:r>
      <w:r w:rsidR="00211D29">
        <w:t xml:space="preserve"> </w:t>
      </w:r>
      <w:r w:rsidRPr="0047574D">
        <w:t>individualized</w:t>
      </w:r>
      <w:r w:rsidR="00211D29">
        <w:t xml:space="preserve"> </w:t>
      </w:r>
      <w:r w:rsidRPr="0047574D">
        <w:t>assessment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risk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son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face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Italy,</w:t>
      </w:r>
      <w:r w:rsidR="00211D29">
        <w:t xml:space="preserve"> </w:t>
      </w:r>
      <w:r w:rsidRPr="0047574D">
        <w:t>rather</w:t>
      </w:r>
      <w:r w:rsidR="00211D29">
        <w:t xml:space="preserve"> </w:t>
      </w:r>
      <w:r w:rsidRPr="0047574D">
        <w:t>than</w:t>
      </w:r>
      <w:r w:rsidR="00211D29">
        <w:t xml:space="preserve"> </w:t>
      </w:r>
      <w:r w:rsidRPr="0047574D">
        <w:t>rely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general</w:t>
      </w:r>
      <w:r w:rsidR="00211D29">
        <w:t xml:space="preserve"> </w:t>
      </w:r>
      <w:r w:rsidRPr="0047574D">
        <w:t>reports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assumption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benefited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subsidiary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past,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would,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principle,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entitled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same</w:t>
      </w:r>
      <w:r w:rsidR="00211D29">
        <w:t xml:space="preserve"> </w:t>
      </w:r>
      <w:r w:rsidRPr="0047574D">
        <w:t>level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subsidiary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today.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notes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able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stay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reception</w:t>
      </w:r>
      <w:r w:rsidR="00211D29">
        <w:t xml:space="preserve"> </w:t>
      </w:r>
      <w:r w:rsidRPr="0047574D">
        <w:t>facilities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past.</w:t>
      </w:r>
      <w:r w:rsidR="00211D29">
        <w:t xml:space="preserve"> </w:t>
      </w:r>
      <w:r w:rsidRPr="0047574D">
        <w:t>However,</w:t>
      </w:r>
      <w:r w:rsidR="00211D29">
        <w:t xml:space="preserve"> </w:t>
      </w:r>
      <w:r w:rsidRPr="0047574D">
        <w:t>according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uncontested</w:t>
      </w:r>
      <w:r w:rsidR="00211D29">
        <w:t xml:space="preserve"> </w:t>
      </w:r>
      <w:r w:rsidRPr="0047574D">
        <w:t>allegations: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faced</w:t>
      </w:r>
      <w:r w:rsidR="00211D29">
        <w:t xml:space="preserve"> </w:t>
      </w:r>
      <w:r w:rsidRPr="0047574D">
        <w:t>poor</w:t>
      </w:r>
      <w:r w:rsidR="00211D29">
        <w:t xml:space="preserve"> </w:t>
      </w:r>
      <w:r w:rsidRPr="0047574D">
        <w:t>living</w:t>
      </w:r>
      <w:r w:rsidR="00211D29">
        <w:t xml:space="preserve"> </w:t>
      </w:r>
      <w:r w:rsidRPr="0047574D">
        <w:t>conditions,</w:t>
      </w:r>
      <w:r w:rsidR="00211D29">
        <w:t xml:space="preserve"> </w:t>
      </w:r>
      <w:r w:rsidRPr="0047574D">
        <w:t>even</w:t>
      </w:r>
      <w:r w:rsidR="00211D29">
        <w:t xml:space="preserve"> </w:t>
      </w:r>
      <w:r w:rsidRPr="0047574D">
        <w:t>during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pregnancy,</w:t>
      </w:r>
      <w:r w:rsidR="00211D29">
        <w:t xml:space="preserve"> </w:t>
      </w:r>
      <w:r w:rsidRPr="0047574D">
        <w:t>since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slept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shed</w:t>
      </w:r>
      <w:r w:rsidR="00211D29">
        <w:t xml:space="preserve"> </w:t>
      </w:r>
      <w:r w:rsidRPr="0047574D">
        <w:t>roof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mattress</w:t>
      </w:r>
      <w:r w:rsidR="00211D29">
        <w:t xml:space="preserve"> </w:t>
      </w:r>
      <w:r w:rsidRPr="0047574D">
        <w:t>without</w:t>
      </w:r>
      <w:r w:rsidR="00211D29">
        <w:t xml:space="preserve"> </w:t>
      </w:r>
      <w:r w:rsidRPr="0047574D">
        <w:t>sheets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only</w:t>
      </w:r>
      <w:r w:rsidR="00211D29">
        <w:t xml:space="preserve"> </w:t>
      </w:r>
      <w:r w:rsidRPr="0047574D">
        <w:t>one</w:t>
      </w:r>
      <w:r w:rsidR="00211D29">
        <w:t xml:space="preserve"> </w:t>
      </w:r>
      <w:r w:rsidRPr="0047574D">
        <w:t>meal</w:t>
      </w:r>
      <w:r w:rsidR="00211D29">
        <w:t xml:space="preserve"> </w:t>
      </w:r>
      <w:r w:rsidRPr="0047574D">
        <w:t>per</w:t>
      </w:r>
      <w:r w:rsidR="00211D29">
        <w:t xml:space="preserve"> </w:t>
      </w:r>
      <w:r w:rsidRPr="0047574D">
        <w:t>day;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no</w:t>
      </w:r>
      <w:r w:rsidR="00211D29">
        <w:t xml:space="preserve"> </w:t>
      </w:r>
      <w:r w:rsidRPr="0047574D">
        <w:t>education;</w:t>
      </w:r>
      <w:r w:rsidR="00211D29">
        <w:t xml:space="preserve"> </w:t>
      </w:r>
      <w:r w:rsidRPr="0047574D">
        <w:t>and,</w:t>
      </w:r>
      <w:r w:rsidR="00211D29">
        <w:t xml:space="preserve"> </w:t>
      </w:r>
      <w:r w:rsidRPr="0047574D">
        <w:t>although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acknowledged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received</w:t>
      </w:r>
      <w:r w:rsidR="00211D29">
        <w:t xml:space="preserve"> </w:t>
      </w:r>
      <w:r w:rsidRPr="0047574D">
        <w:t>many</w:t>
      </w:r>
      <w:r w:rsidR="00211D29">
        <w:t xml:space="preserve"> </w:t>
      </w:r>
      <w:r w:rsidRPr="0047574D">
        <w:t>documents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authorities,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aware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permit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live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also</w:t>
      </w:r>
      <w:r w:rsidR="00211D29">
        <w:t xml:space="preserve"> </w:t>
      </w:r>
      <w:r w:rsidRPr="0047574D">
        <w:t>notes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allegations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owing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difficulties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getting</w:t>
      </w:r>
      <w:r w:rsidR="00211D29">
        <w:t xml:space="preserve"> </w:t>
      </w:r>
      <w:r w:rsidRPr="0047574D">
        <w:t>access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sufficient</w:t>
      </w:r>
      <w:r w:rsidR="00211D29">
        <w:t xml:space="preserve"> </w:t>
      </w:r>
      <w:r w:rsidRPr="0047574D">
        <w:t>food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medical</w:t>
      </w:r>
      <w:r w:rsidR="00211D29">
        <w:t xml:space="preserve"> </w:t>
      </w:r>
      <w:r w:rsidRPr="0047574D">
        <w:t>care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Italy,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undernourished,</w:t>
      </w:r>
      <w:r w:rsidR="00211D29">
        <w:t xml:space="preserve"> </w:t>
      </w:r>
      <w:r w:rsidRPr="0047574D">
        <w:t>fainted</w:t>
      </w:r>
      <w:r w:rsidR="00211D29">
        <w:t xml:space="preserve"> </w:t>
      </w:r>
      <w:r w:rsidRPr="0047574D">
        <w:t>often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almost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miscarriage.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information</w:t>
      </w:r>
      <w:r w:rsidR="00211D29">
        <w:t xml:space="preserve"> </w:t>
      </w:r>
      <w:r w:rsidRPr="0047574D">
        <w:t>before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shows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persons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situation</w:t>
      </w:r>
      <w:r w:rsidR="00211D29">
        <w:t xml:space="preserve"> </w:t>
      </w:r>
      <w:r w:rsidRPr="0047574D">
        <w:t>similar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often</w:t>
      </w:r>
      <w:r w:rsidR="00211D29">
        <w:t xml:space="preserve"> </w:t>
      </w:r>
      <w:r w:rsidRPr="0047574D">
        <w:t>end</w:t>
      </w:r>
      <w:r w:rsidR="00211D29">
        <w:t xml:space="preserve"> </w:t>
      </w:r>
      <w:r w:rsidRPr="0047574D">
        <w:t>up</w:t>
      </w:r>
      <w:r w:rsidR="00211D29">
        <w:t xml:space="preserve"> </w:t>
      </w:r>
      <w:r w:rsidRPr="0047574D">
        <w:t>living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streets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precarious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unsafe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unsuitable,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particular,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small</w:t>
      </w:r>
      <w:r w:rsidR="00211D29">
        <w:t xml:space="preserve"> </w:t>
      </w:r>
      <w:r w:rsidRPr="0047574D">
        <w:t>children.</w:t>
      </w:r>
      <w:r w:rsidR="00211D29">
        <w:t xml:space="preserve"> </w:t>
      </w:r>
      <w:r w:rsidRPr="0047574D">
        <w:t>However,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Board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decision</w:t>
      </w:r>
      <w:r w:rsidR="00211D29">
        <w:t xml:space="preserve"> </w:t>
      </w:r>
      <w:r w:rsidRPr="0047574D">
        <w:t>failed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assess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personal</w:t>
      </w:r>
      <w:r w:rsidR="00211D29">
        <w:t xml:space="preserve"> </w:t>
      </w:r>
      <w:r w:rsidRPr="0047574D">
        <w:t>past</w:t>
      </w:r>
      <w:r w:rsidR="00211D29">
        <w:t xml:space="preserve"> </w:t>
      </w:r>
      <w:r w:rsidRPr="0047574D">
        <w:t>experience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foreseeable</w:t>
      </w:r>
      <w:r w:rsidR="00211D29">
        <w:t xml:space="preserve"> </w:t>
      </w:r>
      <w:r w:rsidRPr="0047574D">
        <w:t>consequences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forcibly</w:t>
      </w:r>
      <w:r w:rsidR="00211D29">
        <w:t xml:space="preserve"> </w:t>
      </w:r>
      <w:r w:rsidRPr="0047574D">
        <w:t>returning</w:t>
      </w:r>
      <w:r w:rsidR="00211D29">
        <w:t xml:space="preserve"> </w:t>
      </w:r>
      <w:r w:rsidRPr="0047574D">
        <w:t>her.</w:t>
      </w:r>
      <w:r w:rsidR="00211D29">
        <w:t xml:space="preserve"> </w:t>
      </w:r>
      <w:r w:rsidRPr="0047574D">
        <w:t>Against</w:t>
      </w:r>
      <w:r w:rsidR="00211D29">
        <w:t xml:space="preserve"> </w:t>
      </w:r>
      <w:r w:rsidRPr="0047574D">
        <w:t>this</w:t>
      </w:r>
      <w:r w:rsidR="00211D29">
        <w:t xml:space="preserve"> </w:t>
      </w:r>
      <w:r w:rsidRPr="0047574D">
        <w:t>background,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considers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failed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give</w:t>
      </w:r>
      <w:r w:rsidR="00211D29">
        <w:t xml:space="preserve"> </w:t>
      </w:r>
      <w:r w:rsidRPr="0047574D">
        <w:t>due</w:t>
      </w:r>
      <w:r w:rsidR="00211D29">
        <w:t xml:space="preserve"> </w:t>
      </w:r>
      <w:r w:rsidRPr="0047574D">
        <w:t>consideration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special</w:t>
      </w:r>
      <w:r w:rsidR="00211D29">
        <w:t xml:space="preserve"> </w:t>
      </w:r>
      <w:r w:rsidRPr="0047574D">
        <w:t>vulnerability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author,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single</w:t>
      </w:r>
      <w:r w:rsidR="00211D29">
        <w:t xml:space="preserve"> </w:t>
      </w:r>
      <w:r w:rsidRPr="0047574D">
        <w:t>mother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no</w:t>
      </w:r>
      <w:r w:rsidR="00211D29">
        <w:t xml:space="preserve"> </w:t>
      </w:r>
      <w:r w:rsidRPr="0047574D">
        <w:t>education,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5-year-old</w:t>
      </w:r>
      <w:r w:rsidR="00211D29">
        <w:t xml:space="preserve"> </w:t>
      </w:r>
      <w:r w:rsidRPr="0047574D">
        <w:t>child,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no</w:t>
      </w:r>
      <w:r w:rsidR="00211D29">
        <w:t xml:space="preserve"> </w:t>
      </w:r>
      <w:r w:rsidRPr="0047574D">
        <w:t>previous</w:t>
      </w:r>
      <w:r w:rsidR="00211D29">
        <w:t xml:space="preserve"> </w:t>
      </w:r>
      <w:r w:rsidRPr="0047574D">
        <w:t>integration</w:t>
      </w:r>
      <w:r w:rsidR="00211D29">
        <w:t xml:space="preserve"> </w:t>
      </w:r>
      <w:r w:rsidRPr="0047574D">
        <w:t>into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society.</w:t>
      </w:r>
      <w:r w:rsidR="00211D29">
        <w:t xml:space="preserve"> </w:t>
      </w:r>
      <w:r w:rsidRPr="0047574D">
        <w:t>Notwithstanding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formal</w:t>
      </w:r>
      <w:r w:rsidR="00211D29">
        <w:t xml:space="preserve"> </w:t>
      </w:r>
      <w:r w:rsidRPr="0047574D">
        <w:t>entitlement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subsidiary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Italy,</w:t>
      </w:r>
      <w:r w:rsidR="00211D29">
        <w:t xml:space="preserve"> </w:t>
      </w:r>
      <w:r w:rsidRPr="0047574D">
        <w:t>there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no</w:t>
      </w:r>
      <w:r w:rsidR="00211D29">
        <w:t xml:space="preserve"> </w:t>
      </w:r>
      <w:r w:rsidRPr="0047574D">
        <w:t>indication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practice,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actually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able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find</w:t>
      </w:r>
      <w:r w:rsidR="00211D29">
        <w:t xml:space="preserve"> </w:t>
      </w:r>
      <w:r w:rsidRPr="0047574D">
        <w:t>accommodation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provide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herself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child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absence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assistance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authorities.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also</w:t>
      </w:r>
      <w:r w:rsidR="00211D29">
        <w:t xml:space="preserve"> </w:t>
      </w:r>
      <w:r w:rsidRPr="0047574D">
        <w:t>failed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seek</w:t>
      </w:r>
      <w:r w:rsidR="00211D29">
        <w:t xml:space="preserve"> </w:t>
      </w:r>
      <w:r w:rsidRPr="0047574D">
        <w:t>effective</w:t>
      </w:r>
      <w:r w:rsidR="00211D29">
        <w:t xml:space="preserve"> </w:t>
      </w:r>
      <w:r w:rsidRPr="0047574D">
        <w:t>assurances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authorities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son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received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compatible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their</w:t>
      </w:r>
      <w:r w:rsidR="00211D29">
        <w:t xml:space="preserve"> </w:t>
      </w:r>
      <w:r w:rsidRPr="0047574D">
        <w:t>status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entitled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temporary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guarantees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Covenant.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particular,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failed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request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undertake:</w:t>
      </w:r>
      <w:r w:rsidR="00211D29">
        <w:t xml:space="preserve"> </w:t>
      </w:r>
      <w:r w:rsidRPr="0047574D">
        <w:t>(a)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renew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permit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issue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permit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child;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(b)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receive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son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adapted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child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age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family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vulnerable</w:t>
      </w:r>
      <w:r w:rsidR="00211D29">
        <w:t xml:space="preserve"> </w:t>
      </w:r>
      <w:r w:rsidRPr="0047574D">
        <w:t>status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enable</w:t>
      </w:r>
      <w:r w:rsidR="00211D29">
        <w:t xml:space="preserve"> </w:t>
      </w:r>
      <w:r w:rsidRPr="0047574D">
        <w:t>them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remain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Italy.</w:t>
      </w:r>
      <w:r w:rsidRPr="00D81309">
        <w:rPr>
          <w:rStyle w:val="FootnoteReference"/>
        </w:rPr>
        <w:footnoteReference w:id="34"/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t>9.11</w:t>
      </w:r>
      <w:r w:rsidRPr="0047574D">
        <w:tab/>
        <w:t>Consequently,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considers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removal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son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Italy,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particular</w:t>
      </w:r>
      <w:r w:rsidR="00211D29">
        <w:t xml:space="preserve"> </w:t>
      </w:r>
      <w:r w:rsidRPr="0047574D">
        <w:t>circumstances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without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aforementioned</w:t>
      </w:r>
      <w:r w:rsidR="00211D29">
        <w:t xml:space="preserve"> </w:t>
      </w:r>
      <w:r w:rsidRPr="0047574D">
        <w:t>assurances,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amount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violation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Covenant.</w:t>
      </w:r>
    </w:p>
    <w:p w:rsidR="006B0EB0" w:rsidRPr="0047574D" w:rsidRDefault="006B0EB0" w:rsidP="006B0EB0">
      <w:pPr>
        <w:pStyle w:val="SingleTxtG"/>
      </w:pPr>
      <w:r w:rsidRPr="0047574D">
        <w:t>10.</w:t>
      </w:r>
      <w:r w:rsidRPr="0047574D">
        <w:tab/>
        <w:t>The</w:t>
      </w:r>
      <w:r w:rsidR="00211D29">
        <w:t xml:space="preserve"> </w:t>
      </w:r>
      <w:r w:rsidRPr="0047574D">
        <w:t>Committee,</w:t>
      </w:r>
      <w:r w:rsidR="00211D29">
        <w:t xml:space="preserve"> </w:t>
      </w:r>
      <w:r w:rsidRPr="0047574D">
        <w:t>acting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5</w:t>
      </w:r>
      <w:r w:rsidR="00211D29">
        <w:t xml:space="preserve"> </w:t>
      </w:r>
      <w:r w:rsidRPr="0047574D">
        <w:t>(4)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Optional</w:t>
      </w:r>
      <w:r w:rsidR="00211D29">
        <w:t xml:space="preserve"> </w:t>
      </w:r>
      <w:r w:rsidRPr="0047574D">
        <w:t>Protocol,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view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deportation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son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without</w:t>
      </w:r>
      <w:r w:rsidR="00211D29">
        <w:t xml:space="preserve"> </w:t>
      </w:r>
      <w:r w:rsidRPr="0047574D">
        <w:t>effective</w:t>
      </w:r>
      <w:r w:rsidR="00211D29">
        <w:t xml:space="preserve"> </w:t>
      </w:r>
      <w:r w:rsidRPr="0047574D">
        <w:t>assurances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violate</w:t>
      </w:r>
      <w:r w:rsidR="00211D29">
        <w:t xml:space="preserve"> </w:t>
      </w:r>
      <w:r w:rsidRPr="0047574D">
        <w:t>their</w:t>
      </w:r>
      <w:r w:rsidR="00211D29">
        <w:t xml:space="preserve"> </w:t>
      </w:r>
      <w:r w:rsidRPr="0047574D">
        <w:t>rights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Covenant.</w:t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lastRenderedPageBreak/>
        <w:t>11.</w:t>
      </w:r>
      <w:r w:rsidRPr="0047574D">
        <w:tab/>
        <w:t>In</w:t>
      </w:r>
      <w:r w:rsidR="00211D29">
        <w:t xml:space="preserve"> </w:t>
      </w:r>
      <w:r w:rsidRPr="0047574D">
        <w:t>accordance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2</w:t>
      </w:r>
      <w:r w:rsidR="00211D29">
        <w:t xml:space="preserve"> </w:t>
      </w:r>
      <w:r w:rsidRPr="0047574D">
        <w:t>(1)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Covenant,</w:t>
      </w:r>
      <w:r w:rsidR="00211D29">
        <w:t xml:space="preserve"> </w:t>
      </w:r>
      <w:r w:rsidRPr="0047574D">
        <w:t>which</w:t>
      </w:r>
      <w:r w:rsidR="00211D29">
        <w:t xml:space="preserve"> </w:t>
      </w:r>
      <w:r w:rsidRPr="0047574D">
        <w:t>establishes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States</w:t>
      </w:r>
      <w:r w:rsidR="00211D29">
        <w:t xml:space="preserve"> </w:t>
      </w:r>
      <w:r w:rsidRPr="0047574D">
        <w:t>parties</w:t>
      </w:r>
      <w:r w:rsidR="00211D29">
        <w:t xml:space="preserve"> </w:t>
      </w:r>
      <w:r w:rsidRPr="0047574D">
        <w:t>undertake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respect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ensure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all</w:t>
      </w:r>
      <w:r w:rsidR="00211D29">
        <w:t xml:space="preserve"> </w:t>
      </w:r>
      <w:r w:rsidRPr="0047574D">
        <w:t>individuals</w:t>
      </w:r>
      <w:r w:rsidR="00211D29">
        <w:t xml:space="preserve"> </w:t>
      </w:r>
      <w:r w:rsidRPr="0047574D">
        <w:t>within</w:t>
      </w:r>
      <w:r w:rsidR="00211D29">
        <w:t xml:space="preserve"> </w:t>
      </w:r>
      <w:r w:rsidRPr="0047574D">
        <w:t>their</w:t>
      </w:r>
      <w:r w:rsidR="00211D29">
        <w:t xml:space="preserve"> </w:t>
      </w:r>
      <w:r w:rsidRPr="0047574D">
        <w:t>territory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subject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their</w:t>
      </w:r>
      <w:r w:rsidR="00211D29">
        <w:t xml:space="preserve"> </w:t>
      </w:r>
      <w:r w:rsidRPr="0047574D">
        <w:t>jurisdiction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rights</w:t>
      </w:r>
      <w:r w:rsidR="00211D29">
        <w:t xml:space="preserve"> </w:t>
      </w:r>
      <w:r w:rsidRPr="0047574D">
        <w:t>recognized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an</w:t>
      </w:r>
      <w:r w:rsidR="00211D29">
        <w:t xml:space="preserve"> </w:t>
      </w:r>
      <w:r w:rsidRPr="0047574D">
        <w:t>obligation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proceed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review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claim,</w:t>
      </w:r>
      <w:r w:rsidR="00211D29">
        <w:t xml:space="preserve"> </w:t>
      </w:r>
      <w:r w:rsidRPr="0047574D">
        <w:t>taking</w:t>
      </w:r>
      <w:r w:rsidR="00211D29">
        <w:t xml:space="preserve"> </w:t>
      </w:r>
      <w:r w:rsidRPr="0047574D">
        <w:t>into</w:t>
      </w:r>
      <w:r w:rsidR="00211D29">
        <w:t xml:space="preserve"> </w:t>
      </w:r>
      <w:r w:rsidRPr="0047574D">
        <w:t>account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obligations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present</w:t>
      </w:r>
      <w:r w:rsidR="00211D29">
        <w:t xml:space="preserve"> </w:t>
      </w:r>
      <w:r w:rsidRPr="0047574D">
        <w:t>Views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need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obtain</w:t>
      </w:r>
      <w:r w:rsidR="00211D29">
        <w:t xml:space="preserve"> </w:t>
      </w:r>
      <w:r w:rsidRPr="0047574D">
        <w:t>effective</w:t>
      </w:r>
      <w:r w:rsidR="00211D29">
        <w:t xml:space="preserve"> </w:t>
      </w:r>
      <w:r w:rsidRPr="0047574D">
        <w:t>assurances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Italy,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set</w:t>
      </w:r>
      <w:r w:rsidR="00211D29">
        <w:t xml:space="preserve"> </w:t>
      </w:r>
      <w:r w:rsidRPr="0047574D">
        <w:t>out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paragraph</w:t>
      </w:r>
      <w:r w:rsidR="00211D29">
        <w:t xml:space="preserve"> </w:t>
      </w:r>
      <w:r w:rsidRPr="0047574D">
        <w:t>9.10</w:t>
      </w:r>
      <w:r w:rsidR="00211D29">
        <w:t xml:space="preserve"> </w:t>
      </w:r>
      <w:r w:rsidRPr="0047574D">
        <w:t>above.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also</w:t>
      </w:r>
      <w:r w:rsidR="00211D29">
        <w:t xml:space="preserve"> </w:t>
      </w:r>
      <w:r w:rsidRPr="0047574D">
        <w:t>requested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refrain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expelling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son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while</w:t>
      </w:r>
      <w:r w:rsidR="00211D29">
        <w:t xml:space="preserve"> </w:t>
      </w:r>
      <w:r w:rsidRPr="0047574D">
        <w:t>their</w:t>
      </w:r>
      <w:r w:rsidR="00211D29">
        <w:t xml:space="preserve"> </w:t>
      </w:r>
      <w:r w:rsidRPr="0047574D">
        <w:t>request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being</w:t>
      </w:r>
      <w:r w:rsidR="00211D29">
        <w:t xml:space="preserve"> </w:t>
      </w:r>
      <w:r w:rsidRPr="0047574D">
        <w:t>reconsidered.</w:t>
      </w:r>
      <w:r w:rsidR="00211D29">
        <w:t xml:space="preserve"> </w:t>
      </w:r>
    </w:p>
    <w:p w:rsidR="006B0EB0" w:rsidRPr="0047574D" w:rsidRDefault="006B0EB0" w:rsidP="006B0EB0">
      <w:pPr>
        <w:pStyle w:val="SingleTxtG"/>
        <w:sectPr w:rsidR="006B0EB0" w:rsidRPr="0047574D" w:rsidSect="006B0EB0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footnotePr>
            <w:numRestart w:val="eachSect"/>
          </w:footnotePr>
          <w:endnotePr>
            <w:numFmt w:val="decimal"/>
          </w:endnotePr>
          <w:type w:val="continuous"/>
          <w:pgSz w:w="11907" w:h="16840" w:code="9"/>
          <w:pgMar w:top="1417" w:right="1134" w:bottom="1134" w:left="1134" w:header="850" w:footer="567" w:gutter="0"/>
          <w:cols w:space="720"/>
          <w:titlePg/>
          <w:docGrid w:linePitch="272"/>
        </w:sectPr>
      </w:pPr>
      <w:r w:rsidRPr="0047574D">
        <w:t>12.</w:t>
      </w:r>
      <w:r w:rsidRPr="0047574D">
        <w:tab/>
        <w:t>Bearing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mind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becoming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Optional</w:t>
      </w:r>
      <w:r w:rsidR="00211D29">
        <w:t xml:space="preserve"> </w:t>
      </w:r>
      <w:r w:rsidRPr="0047574D">
        <w:t>Protocol,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recognized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competence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determine</w:t>
      </w:r>
      <w:r w:rsidR="00211D29">
        <w:t xml:space="preserve"> </w:t>
      </w:r>
      <w:r w:rsidRPr="0047574D">
        <w:t>whether</w:t>
      </w:r>
      <w:r w:rsidR="00211D29">
        <w:t xml:space="preserve"> </w:t>
      </w:r>
      <w:r w:rsidRPr="0047574D">
        <w:t>there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violation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pursuant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2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undertaken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ensure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all</w:t>
      </w:r>
      <w:r w:rsidR="00211D29">
        <w:t xml:space="preserve"> </w:t>
      </w:r>
      <w:r w:rsidRPr="0047574D">
        <w:t>individuals</w:t>
      </w:r>
      <w:r w:rsidR="00211D29">
        <w:t xml:space="preserve"> </w:t>
      </w:r>
      <w:r w:rsidRPr="0047574D">
        <w:t>within</w:t>
      </w:r>
      <w:r w:rsidR="00211D29">
        <w:t xml:space="preserve"> </w:t>
      </w:r>
      <w:r w:rsidRPr="0047574D">
        <w:t>its</w:t>
      </w:r>
      <w:r w:rsidR="00211D29">
        <w:t xml:space="preserve"> </w:t>
      </w:r>
      <w:r w:rsidRPr="0047574D">
        <w:t>territory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subject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its</w:t>
      </w:r>
      <w:r w:rsidR="00211D29">
        <w:t xml:space="preserve"> </w:t>
      </w:r>
      <w:r w:rsidRPr="0047574D">
        <w:t>jurisdiction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rights</w:t>
      </w:r>
      <w:r w:rsidR="00211D29">
        <w:t xml:space="preserve"> </w:t>
      </w:r>
      <w:r w:rsidRPr="0047574D">
        <w:t>recognized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provide</w:t>
      </w:r>
      <w:r w:rsidR="00211D29">
        <w:t xml:space="preserve"> </w:t>
      </w:r>
      <w:r w:rsidRPr="0047574D">
        <w:t>an</w:t>
      </w:r>
      <w:r w:rsidR="00211D29">
        <w:t xml:space="preserve"> </w:t>
      </w:r>
      <w:r w:rsidRPr="0047574D">
        <w:t>effective</w:t>
      </w:r>
      <w:r w:rsidR="00211D29">
        <w:t xml:space="preserve"> </w:t>
      </w:r>
      <w:r w:rsidRPr="0047574D">
        <w:t>remedy</w:t>
      </w:r>
      <w:r w:rsidR="00211D29">
        <w:t xml:space="preserve"> </w:t>
      </w:r>
      <w:r w:rsidRPr="0047574D">
        <w:t>when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determined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violation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occurred,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wishes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receive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party,</w:t>
      </w:r>
      <w:r w:rsidR="00211D29">
        <w:t xml:space="preserve"> </w:t>
      </w:r>
      <w:r w:rsidRPr="0047574D">
        <w:t>within</w:t>
      </w:r>
      <w:r w:rsidR="00211D29">
        <w:t xml:space="preserve"> </w:t>
      </w:r>
      <w:r w:rsidRPr="0047574D">
        <w:t>180</w:t>
      </w:r>
      <w:r w:rsidR="00211D29">
        <w:t xml:space="preserve"> </w:t>
      </w:r>
      <w:r w:rsidRPr="0047574D">
        <w:t>days,</w:t>
      </w:r>
      <w:r w:rsidR="00211D29">
        <w:t xml:space="preserve"> </w:t>
      </w:r>
      <w:r w:rsidRPr="0047574D">
        <w:t>information</w:t>
      </w:r>
      <w:r w:rsidR="00211D29">
        <w:t xml:space="preserve"> </w:t>
      </w:r>
      <w:r w:rsidRPr="0047574D">
        <w:t>about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measures</w:t>
      </w:r>
      <w:r w:rsidR="00211D29">
        <w:t xml:space="preserve"> </w:t>
      </w:r>
      <w:r w:rsidRPr="0047574D">
        <w:t>taken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give</w:t>
      </w:r>
      <w:r w:rsidR="00211D29">
        <w:t xml:space="preserve"> </w:t>
      </w:r>
      <w:r w:rsidRPr="0047574D">
        <w:t>effect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present</w:t>
      </w:r>
      <w:r w:rsidR="00211D29">
        <w:t xml:space="preserve"> </w:t>
      </w:r>
      <w:r w:rsidRPr="0047574D">
        <w:t>Views.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also</w:t>
      </w:r>
      <w:r w:rsidR="00211D29">
        <w:t xml:space="preserve"> </w:t>
      </w:r>
      <w:r w:rsidRPr="0047574D">
        <w:t>requested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publish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present</w:t>
      </w:r>
      <w:r w:rsidR="00211D29">
        <w:t xml:space="preserve"> </w:t>
      </w:r>
      <w:r w:rsidRPr="0047574D">
        <w:t>Views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have</w:t>
      </w:r>
      <w:r w:rsidR="00211D29">
        <w:t xml:space="preserve"> </w:t>
      </w:r>
      <w:r w:rsidRPr="0047574D">
        <w:t>them</w:t>
      </w:r>
      <w:r w:rsidR="00211D29">
        <w:t xml:space="preserve"> </w:t>
      </w:r>
      <w:r w:rsidRPr="0047574D">
        <w:t>translated</w:t>
      </w:r>
      <w:r w:rsidR="00211D29">
        <w:t xml:space="preserve"> </w:t>
      </w:r>
      <w:r w:rsidRPr="0047574D">
        <w:t>into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official</w:t>
      </w:r>
      <w:r w:rsidR="00211D29">
        <w:t xml:space="preserve"> </w:t>
      </w:r>
      <w:r w:rsidRPr="0047574D">
        <w:t>language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widely</w:t>
      </w:r>
      <w:r w:rsidR="00211D29">
        <w:t xml:space="preserve"> </w:t>
      </w:r>
      <w:r w:rsidRPr="0047574D">
        <w:t>distributed.</w:t>
      </w:r>
    </w:p>
    <w:p w:rsidR="00D81309" w:rsidRDefault="00D81309" w:rsidP="006B0EB0">
      <w:pPr>
        <w:pStyle w:val="SingleTxtG"/>
        <w:sectPr w:rsidR="00D81309" w:rsidSect="007808C6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endnotePr>
            <w:numFmt w:val="decimal"/>
          </w:endnotePr>
          <w:type w:val="continuous"/>
          <w:pgSz w:w="11907" w:h="16840" w:code="9"/>
          <w:pgMar w:top="1417" w:right="1134" w:bottom="1134" w:left="1134" w:header="850" w:footer="567" w:gutter="0"/>
          <w:cols w:space="720"/>
          <w:titlePg/>
          <w:docGrid w:linePitch="272"/>
        </w:sectPr>
      </w:pPr>
    </w:p>
    <w:p w:rsidR="006B0EB0" w:rsidRPr="0047574D" w:rsidRDefault="006B0EB0" w:rsidP="00D81309">
      <w:pPr>
        <w:pStyle w:val="HChG"/>
      </w:pPr>
      <w:r w:rsidRPr="0047574D">
        <w:lastRenderedPageBreak/>
        <w:t>Annex</w:t>
      </w:r>
    </w:p>
    <w:p w:rsidR="006B0EB0" w:rsidRPr="0047574D" w:rsidRDefault="006B0EB0" w:rsidP="00D81309">
      <w:pPr>
        <w:pStyle w:val="HChG"/>
      </w:pPr>
      <w:r w:rsidRPr="0047574D">
        <w:tab/>
      </w:r>
      <w:r w:rsidRPr="0047574D">
        <w:tab/>
        <w:t>Joint</w:t>
      </w:r>
      <w:r w:rsidR="00211D29">
        <w:t xml:space="preserve"> </w:t>
      </w:r>
      <w:r w:rsidRPr="0047574D">
        <w:t>opinion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members</w:t>
      </w:r>
      <w:r w:rsidR="00211D29">
        <w:t xml:space="preserve"> </w:t>
      </w:r>
      <w:r w:rsidRPr="0047574D">
        <w:t>Yuval</w:t>
      </w:r>
      <w:r w:rsidR="00211D29">
        <w:t xml:space="preserve"> </w:t>
      </w:r>
      <w:r w:rsidRPr="0047574D">
        <w:t>Shany,</w:t>
      </w:r>
      <w:r w:rsidR="00211D29">
        <w:t xml:space="preserve"> </w:t>
      </w:r>
      <w:r w:rsidRPr="0047574D">
        <w:t>Christof</w:t>
      </w:r>
      <w:r w:rsidR="00211D29">
        <w:t xml:space="preserve"> </w:t>
      </w:r>
      <w:r w:rsidRPr="0047574D">
        <w:t>Heyns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Photini</w:t>
      </w:r>
      <w:r w:rsidR="00211D29">
        <w:t xml:space="preserve"> </w:t>
      </w:r>
      <w:r w:rsidRPr="0047574D">
        <w:t>Pazartzis</w:t>
      </w:r>
      <w:r w:rsidR="00211D29">
        <w:t xml:space="preserve"> </w:t>
      </w:r>
      <w:r w:rsidRPr="0047574D">
        <w:t>(dissenting)</w:t>
      </w:r>
    </w:p>
    <w:p w:rsidR="006B0EB0" w:rsidRPr="0047574D" w:rsidRDefault="006B0EB0" w:rsidP="006B0EB0">
      <w:pPr>
        <w:pStyle w:val="SingleTxtG"/>
      </w:pPr>
      <w:r w:rsidRPr="0047574D">
        <w:t>1.</w:t>
      </w:r>
      <w:r w:rsidRPr="0047574D">
        <w:tab/>
        <w:t>We</w:t>
      </w:r>
      <w:r w:rsidR="00211D29">
        <w:t xml:space="preserve"> </w:t>
      </w:r>
      <w:r w:rsidRPr="0047574D">
        <w:t>regret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we</w:t>
      </w:r>
      <w:r w:rsidR="00211D29">
        <w:t xml:space="preserve"> </w:t>
      </w:r>
      <w:r w:rsidRPr="0047574D">
        <w:t>are</w:t>
      </w:r>
      <w:r w:rsidR="00211D29">
        <w:t xml:space="preserve"> </w:t>
      </w:r>
      <w:r w:rsidRPr="0047574D">
        <w:t>unable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join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majority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finding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deciding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deport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son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Italy,</w:t>
      </w:r>
      <w:r w:rsidR="00211D29">
        <w:t xml:space="preserve"> </w:t>
      </w:r>
      <w:r w:rsidRPr="0047574D">
        <w:t>Denmark</w:t>
      </w:r>
      <w:r w:rsidR="00211D29">
        <w:t xml:space="preserve"> </w:t>
      </w:r>
      <w:r w:rsidRPr="0047574D">
        <w:t>would,</w:t>
      </w:r>
      <w:r w:rsidR="00211D29">
        <w:t xml:space="preserve"> </w:t>
      </w:r>
      <w:r w:rsidRPr="0047574D">
        <w:t>if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implemented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decision,</w:t>
      </w:r>
      <w:r w:rsidR="00211D29">
        <w:t xml:space="preserve"> </w:t>
      </w:r>
      <w:r w:rsidRPr="0047574D">
        <w:t>violate</w:t>
      </w:r>
      <w:r w:rsidR="00211D29">
        <w:t xml:space="preserve"> </w:t>
      </w:r>
      <w:r w:rsidRPr="0047574D">
        <w:t>its</w:t>
      </w:r>
      <w:r w:rsidR="00211D29">
        <w:t xml:space="preserve"> </w:t>
      </w:r>
      <w:r w:rsidRPr="0047574D">
        <w:t>obligations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Covenant.</w:t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t>2.</w:t>
      </w:r>
      <w:r w:rsidRPr="0047574D">
        <w:tab/>
        <w:t>In</w:t>
      </w:r>
      <w:r w:rsidR="00211D29">
        <w:t xml:space="preserve"> </w:t>
      </w:r>
      <w:r w:rsidRPr="0047574D">
        <w:t>paragraph</w:t>
      </w:r>
      <w:r w:rsidR="00211D29">
        <w:t xml:space="preserve"> </w:t>
      </w:r>
      <w:r w:rsidRPr="0047574D">
        <w:t>9.3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Views,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recalls</w:t>
      </w:r>
      <w:r w:rsidR="00211D29">
        <w:t xml:space="preserve"> </w:t>
      </w:r>
      <w:r w:rsidRPr="0047574D">
        <w:t>that:</w:t>
      </w:r>
      <w:r w:rsidR="00211D29">
        <w:t xml:space="preserve"> </w:t>
      </w:r>
      <w:r w:rsidR="005766A0">
        <w:t>“</w:t>
      </w:r>
      <w:r w:rsidRPr="0047574D">
        <w:t>it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generally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organs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States</w:t>
      </w:r>
      <w:r w:rsidR="00211D29">
        <w:t xml:space="preserve"> </w:t>
      </w:r>
      <w:r w:rsidRPr="0047574D">
        <w:t>parties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review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evaluate</w:t>
      </w:r>
      <w:r w:rsidR="00211D29">
        <w:t xml:space="preserve"> </w:t>
      </w:r>
      <w:r w:rsidRPr="0047574D">
        <w:t>facts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evidence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order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determine</w:t>
      </w:r>
      <w:r w:rsidR="00211D29">
        <w:t xml:space="preserve"> </w:t>
      </w:r>
      <w:r w:rsidRPr="0047574D">
        <w:t>whether</w:t>
      </w:r>
      <w:r w:rsidR="00211D29">
        <w:t xml:space="preserve"> </w:t>
      </w:r>
      <w:r w:rsidRPr="0047574D">
        <w:t>such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risk</w:t>
      </w:r>
      <w:r w:rsidR="00211D29">
        <w:t xml:space="preserve"> </w:t>
      </w:r>
      <w:r w:rsidRPr="0047574D">
        <w:t>exists,</w:t>
      </w:r>
      <w:r w:rsidR="00211D29">
        <w:t xml:space="preserve"> </w:t>
      </w:r>
      <w:r w:rsidRPr="0047574D">
        <w:t>unless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found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evaluation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clearly</w:t>
      </w:r>
      <w:r w:rsidR="00211D29">
        <w:t xml:space="preserve"> </w:t>
      </w:r>
      <w:r w:rsidRPr="0047574D">
        <w:t>arbitrary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amounted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denial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justice</w:t>
      </w:r>
      <w:r w:rsidR="005766A0">
        <w:t>”</w:t>
      </w:r>
      <w:r w:rsidRPr="0047574D">
        <w:t>.</w:t>
      </w:r>
      <w:r w:rsidR="00211D29">
        <w:t xml:space="preserve"> </w:t>
      </w:r>
      <w:r w:rsidRPr="0047574D">
        <w:t>Despite</w:t>
      </w:r>
      <w:r w:rsidR="00211D29">
        <w:t xml:space="preserve"> </w:t>
      </w:r>
      <w:r w:rsidRPr="0047574D">
        <w:t>this,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majority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rejected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factual</w:t>
      </w:r>
      <w:r w:rsidR="00211D29">
        <w:t xml:space="preserve"> </w:t>
      </w:r>
      <w:r w:rsidRPr="0047574D">
        <w:t>conclusion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Immigration</w:t>
      </w:r>
      <w:r w:rsidR="00211D29">
        <w:t xml:space="preserve"> </w:t>
      </w:r>
      <w:r w:rsidRPr="0047574D">
        <w:t>Service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Board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failed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establish</w:t>
      </w:r>
      <w:r w:rsidR="00211D29">
        <w:t xml:space="preserve"> </w:t>
      </w:r>
      <w:r w:rsidRPr="0047574D">
        <w:t>grounds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because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protected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against</w:t>
      </w:r>
      <w:r w:rsidR="00211D29">
        <w:t xml:space="preserve"> </w:t>
      </w:r>
      <w:r w:rsidRPr="0047574D">
        <w:t>refoulement,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because</w:t>
      </w:r>
      <w:r w:rsidR="00211D29">
        <w:t xml:space="preserve"> </w:t>
      </w:r>
      <w:r w:rsidR="005766A0">
        <w:t>“</w:t>
      </w:r>
      <w:r w:rsidRPr="0047574D">
        <w:t>the</w:t>
      </w:r>
      <w:r w:rsidR="00211D29">
        <w:t xml:space="preserve"> </w:t>
      </w:r>
      <w:r w:rsidRPr="0047574D">
        <w:t>financial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social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offered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adequate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serve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first</w:t>
      </w:r>
      <w:r w:rsidR="00211D29">
        <w:t xml:space="preserve"> </w:t>
      </w:r>
      <w:r w:rsidRPr="0047574D">
        <w:t>country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asylum</w:t>
      </w:r>
      <w:r w:rsidR="005766A0">
        <w:t>”</w:t>
      </w:r>
      <w:r w:rsidR="00211D29">
        <w:t xml:space="preserve"> </w:t>
      </w:r>
      <w:r w:rsidRPr="0047574D">
        <w:t>(para.</w:t>
      </w:r>
      <w:r w:rsidR="00211D29">
        <w:t xml:space="preserve"> </w:t>
      </w:r>
      <w:r w:rsidRPr="0047574D">
        <w:t>2.9</w:t>
      </w:r>
      <w:r w:rsidR="00211D29">
        <w:t xml:space="preserve"> </w:t>
      </w:r>
      <w:r w:rsidRPr="0047574D">
        <w:t>above).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majority</w:t>
      </w:r>
      <w:r w:rsidR="00211D29">
        <w:t xml:space="preserve"> </w:t>
      </w:r>
      <w:r w:rsidRPr="0047574D">
        <w:t>considered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party</w:t>
      </w:r>
      <w:r w:rsidR="00211D29">
        <w:t xml:space="preserve"> </w:t>
      </w:r>
      <w:r w:rsidRPr="0047574D">
        <w:t>failed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="005766A0">
        <w:t>“</w:t>
      </w:r>
      <w:r w:rsidRPr="0047574D">
        <w:t>fully</w:t>
      </w:r>
      <w:r w:rsidR="00211D29">
        <w:t xml:space="preserve"> </w:t>
      </w:r>
      <w:r w:rsidRPr="0047574D">
        <w:t>examine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claims,</w:t>
      </w:r>
      <w:r w:rsidR="00211D29">
        <w:t xml:space="preserve"> </w:t>
      </w:r>
      <w:r w:rsidRPr="0047574D">
        <w:t>based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personal</w:t>
      </w:r>
      <w:r w:rsidR="00211D29">
        <w:t xml:space="preserve"> </w:t>
      </w:r>
      <w:r w:rsidRPr="0047574D">
        <w:t>circumstances,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despite</w:t>
      </w:r>
      <w:r w:rsidR="00211D29">
        <w:t xml:space="preserve"> </w:t>
      </w:r>
      <w:r w:rsidRPr="0047574D">
        <w:t>being</w:t>
      </w:r>
      <w:r w:rsidR="00211D29">
        <w:t xml:space="preserve"> </w:t>
      </w:r>
      <w:r w:rsidRPr="0047574D">
        <w:t>granted</w:t>
      </w:r>
      <w:r w:rsidR="00211D29">
        <w:t xml:space="preserve"> </w:t>
      </w:r>
      <w:r w:rsidRPr="0047574D">
        <w:t>residence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Italy,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face</w:t>
      </w:r>
      <w:r w:rsidR="00211D29">
        <w:t xml:space="preserve"> </w:t>
      </w:r>
      <w:r w:rsidRPr="0047574D">
        <w:t>unbearable</w:t>
      </w:r>
      <w:r w:rsidR="00211D29">
        <w:t xml:space="preserve"> </w:t>
      </w:r>
      <w:r w:rsidRPr="0047574D">
        <w:t>living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there</w:t>
      </w:r>
      <w:r w:rsidR="005766A0">
        <w:t>”</w:t>
      </w:r>
      <w:r w:rsidR="00211D29">
        <w:t xml:space="preserve"> </w:t>
      </w:r>
      <w:r w:rsidRPr="0047574D">
        <w:t>(para.</w:t>
      </w:r>
      <w:r w:rsidR="00211D29">
        <w:t xml:space="preserve"> </w:t>
      </w:r>
      <w:r w:rsidRPr="0047574D">
        <w:t>9.9).</w:t>
      </w:r>
    </w:p>
    <w:p w:rsidR="006B0EB0" w:rsidRPr="0047574D" w:rsidRDefault="006B0EB0" w:rsidP="006B0EB0">
      <w:pPr>
        <w:pStyle w:val="SingleTxtG"/>
      </w:pPr>
      <w:r w:rsidRPr="0047574D">
        <w:t>3.</w:t>
      </w:r>
      <w:r w:rsidRPr="0047574D">
        <w:tab/>
        <w:t>We</w:t>
      </w:r>
      <w:r w:rsidR="00211D29">
        <w:t xml:space="preserve"> </w:t>
      </w:r>
      <w:r w:rsidRPr="0047574D">
        <w:t>disagree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analysis</w:t>
      </w:r>
      <w:r w:rsidR="00211D29">
        <w:t xml:space="preserve"> </w:t>
      </w:r>
      <w:r w:rsidRPr="0047574D">
        <w:t>offered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majority,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shown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us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any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facts</w:t>
      </w:r>
      <w:r w:rsidR="00211D29">
        <w:t xml:space="preserve"> </w:t>
      </w:r>
      <w:r w:rsidRPr="0047574D">
        <w:t>alleged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taken</w:t>
      </w:r>
      <w:r w:rsidR="00211D29">
        <w:t xml:space="preserve"> </w:t>
      </w:r>
      <w:r w:rsidRPr="0047574D">
        <w:t>into</w:t>
      </w:r>
      <w:r w:rsidR="00211D29">
        <w:t xml:space="preserve"> </w:t>
      </w:r>
      <w:r w:rsidRPr="0047574D">
        <w:t>account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Danish</w:t>
      </w:r>
      <w:r w:rsidR="00211D29">
        <w:t xml:space="preserve"> </w:t>
      </w:r>
      <w:r w:rsidRPr="0047574D">
        <w:t>authorities.</w:t>
      </w:r>
      <w:r w:rsidR="00211D29">
        <w:t xml:space="preserve"> </w:t>
      </w:r>
      <w:r w:rsidRPr="0047574D">
        <w:t>Furthermore,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conclusion</w:t>
      </w:r>
      <w:r w:rsidR="00211D29">
        <w:t xml:space="preserve"> </w:t>
      </w:r>
      <w:r w:rsidRPr="0047574D">
        <w:t>reached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Danish</w:t>
      </w:r>
      <w:r w:rsidR="00211D29">
        <w:t xml:space="preserve"> </w:t>
      </w:r>
      <w:r w:rsidRPr="0047574D">
        <w:t>authorities</w:t>
      </w:r>
      <w:r w:rsidR="00211D29">
        <w:t xml:space="preserve"> </w:t>
      </w:r>
      <w:r w:rsidRPr="0047574D">
        <w:t>represents,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our</w:t>
      </w:r>
      <w:r w:rsidR="00211D29">
        <w:t xml:space="preserve"> </w:t>
      </w:r>
      <w:r w:rsidRPr="0047574D">
        <w:t>view,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reasonable</w:t>
      </w:r>
      <w:r w:rsidR="00211D29">
        <w:t xml:space="preserve"> </w:t>
      </w:r>
      <w:r w:rsidRPr="0047574D">
        <w:t>application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legal</w:t>
      </w:r>
      <w:r w:rsidR="00211D29">
        <w:t xml:space="preserve"> </w:t>
      </w:r>
      <w:r w:rsidRPr="0047574D">
        <w:t>standards</w:t>
      </w:r>
      <w:r w:rsidR="00211D29">
        <w:t xml:space="preserve"> </w:t>
      </w:r>
      <w:r w:rsidRPr="0047574D">
        <w:t>introduced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Covenant.</w:t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t>4.</w:t>
      </w:r>
      <w:r w:rsidRPr="0047574D">
        <w:tab/>
        <w:t>According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well-established</w:t>
      </w:r>
      <w:r w:rsidR="00211D29">
        <w:t xml:space="preserve"> </w:t>
      </w:r>
      <w:r w:rsidRPr="0047574D">
        <w:t>case</w:t>
      </w:r>
      <w:r w:rsidR="00211D29">
        <w:t xml:space="preserve"> </w:t>
      </w:r>
      <w:r w:rsidRPr="0047574D">
        <w:t>law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Committee,</w:t>
      </w:r>
      <w:r w:rsidR="00211D29">
        <w:t xml:space="preserve"> </w:t>
      </w:r>
      <w:r w:rsidRPr="0047574D">
        <w:t>States</w:t>
      </w:r>
      <w:r w:rsidR="00211D29">
        <w:t xml:space="preserve"> </w:t>
      </w:r>
      <w:r w:rsidRPr="0047574D">
        <w:t>parties</w:t>
      </w:r>
      <w:r w:rsidR="00211D29">
        <w:t xml:space="preserve"> </w:t>
      </w:r>
      <w:r w:rsidRPr="0047574D">
        <w:t>are</w:t>
      </w:r>
      <w:r w:rsidR="00211D29">
        <w:t xml:space="preserve"> </w:t>
      </w:r>
      <w:r w:rsidRPr="0047574D">
        <w:t>obliged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deport</w:t>
      </w:r>
      <w:r w:rsidR="00211D29">
        <w:t xml:space="preserve"> </w:t>
      </w:r>
      <w:r w:rsidRPr="0047574D">
        <w:t>persons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their</w:t>
      </w:r>
      <w:r w:rsidR="00211D29">
        <w:t xml:space="preserve"> </w:t>
      </w:r>
      <w:r w:rsidRPr="0047574D">
        <w:t>territory</w:t>
      </w:r>
      <w:r w:rsidR="00211D29">
        <w:t xml:space="preserve"> </w:t>
      </w:r>
      <w:r w:rsidRPr="0047574D">
        <w:t>when</w:t>
      </w:r>
      <w:r w:rsidR="00211D29">
        <w:t xml:space="preserve"> </w:t>
      </w:r>
      <w:r w:rsidRPr="0047574D">
        <w:t>there</w:t>
      </w:r>
      <w:r w:rsidR="00211D29">
        <w:t xml:space="preserve"> </w:t>
      </w:r>
      <w:r w:rsidRPr="0047574D">
        <w:t>are</w:t>
      </w:r>
      <w:r w:rsidR="00211D29">
        <w:t xml:space="preserve"> </w:t>
      </w:r>
      <w:r w:rsidRPr="0047574D">
        <w:t>substantial</w:t>
      </w:r>
      <w:r w:rsidR="00211D29">
        <w:t xml:space="preserve"> </w:t>
      </w:r>
      <w:r w:rsidRPr="0047574D">
        <w:t>grounds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believing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there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real</w:t>
      </w:r>
      <w:r w:rsidR="00211D29">
        <w:t xml:space="preserve"> </w:t>
      </w:r>
      <w:r w:rsidRPr="0047574D">
        <w:t>risk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irreparable</w:t>
      </w:r>
      <w:r w:rsidR="00211D29">
        <w:t xml:space="preserve"> </w:t>
      </w:r>
      <w:r w:rsidRPr="0047574D">
        <w:t>harm,</w:t>
      </w:r>
      <w:r w:rsidR="00211D29">
        <w:t xml:space="preserve"> </w:t>
      </w:r>
      <w:r w:rsidRPr="0047574D">
        <w:t>such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contemplated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articles</w:t>
      </w:r>
      <w:r w:rsidR="00211D29">
        <w:t xml:space="preserve"> </w:t>
      </w:r>
      <w:r w:rsidRPr="0047574D">
        <w:t>6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Covenant,</w:t>
      </w:r>
      <w:r w:rsidR="00211D29">
        <w:t xml:space="preserve"> </w:t>
      </w:r>
      <w:r w:rsidRPr="0047574D">
        <w:t>either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country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which</w:t>
      </w:r>
      <w:r w:rsidR="00211D29">
        <w:t xml:space="preserve"> </w:t>
      </w:r>
      <w:r w:rsidRPr="0047574D">
        <w:t>removal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effected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any</w:t>
      </w:r>
      <w:r w:rsidR="00211D29">
        <w:t xml:space="preserve"> </w:t>
      </w:r>
      <w:r w:rsidRPr="0047574D">
        <w:t>country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which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person</w:t>
      </w:r>
      <w:r w:rsidR="00211D29">
        <w:t xml:space="preserve"> </w:t>
      </w:r>
      <w:r w:rsidRPr="0047574D">
        <w:t>may</w:t>
      </w:r>
      <w:r w:rsidR="00211D29">
        <w:t xml:space="preserve"> </w:t>
      </w:r>
      <w:r w:rsidRPr="0047574D">
        <w:t>subsequently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removed.</w:t>
      </w:r>
      <w:r w:rsidRPr="00D81309">
        <w:rPr>
          <w:rStyle w:val="FootnoteReference"/>
        </w:rPr>
        <w:footnoteReference w:id="35"/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every</w:t>
      </w:r>
      <w:r w:rsidR="00211D29">
        <w:t xml:space="preserve"> </w:t>
      </w:r>
      <w:r w:rsidRPr="0047574D">
        <w:t>exposure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personal</w:t>
      </w:r>
      <w:r w:rsidR="00211D29">
        <w:t xml:space="preserve"> </w:t>
      </w:r>
      <w:r w:rsidRPr="0047574D">
        <w:t>hardship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country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removal</w:t>
      </w:r>
      <w:r w:rsidR="00211D29">
        <w:t xml:space="preserve"> </w:t>
      </w:r>
      <w:r w:rsidRPr="0047574D">
        <w:t>would,</w:t>
      </w:r>
      <w:r w:rsidR="00211D29">
        <w:t xml:space="preserve"> </w:t>
      </w:r>
      <w:r w:rsidRPr="0047574D">
        <w:t>however,</w:t>
      </w:r>
      <w:r w:rsidR="00211D29">
        <w:t xml:space="preserve"> </w:t>
      </w:r>
      <w:r w:rsidRPr="0047574D">
        <w:t>fall</w:t>
      </w:r>
      <w:r w:rsidR="00211D29">
        <w:t xml:space="preserve"> </w:t>
      </w:r>
      <w:r w:rsidRPr="0047574D">
        <w:t>within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scope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removing</w:t>
      </w:r>
      <w:r w:rsidR="00211D29">
        <w:t xml:space="preserve"> </w:t>
      </w:r>
      <w:r w:rsidRPr="0047574D">
        <w:t>State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obligations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regards</w:t>
      </w:r>
      <w:r w:rsidR="00211D29">
        <w:t xml:space="preserve"> </w:t>
      </w:r>
      <w:r w:rsidRPr="0047574D">
        <w:t>non-refoulement.</w:t>
      </w:r>
      <w:r w:rsidRPr="00D81309">
        <w:rPr>
          <w:rStyle w:val="FootnoteReference"/>
        </w:rPr>
        <w:footnoteReference w:id="36"/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t>5.</w:t>
      </w:r>
      <w:r w:rsidRPr="0047574D">
        <w:tab/>
        <w:t>With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possible</w:t>
      </w:r>
      <w:r w:rsidR="00211D29">
        <w:t xml:space="preserve"> </w:t>
      </w:r>
      <w:r w:rsidRPr="0047574D">
        <w:t>exceptions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those</w:t>
      </w:r>
      <w:r w:rsidR="00211D29">
        <w:t xml:space="preserve"> </w:t>
      </w:r>
      <w:r w:rsidRPr="0047574D">
        <w:t>individuals</w:t>
      </w:r>
      <w:r w:rsidR="00211D29">
        <w:t xml:space="preserve"> </w:t>
      </w:r>
      <w:r w:rsidRPr="0047574D">
        <w:t>who</w:t>
      </w:r>
      <w:r w:rsidR="00211D29">
        <w:t xml:space="preserve"> </w:t>
      </w:r>
      <w:r w:rsidRPr="0047574D">
        <w:t>face</w:t>
      </w:r>
      <w:r w:rsidR="00211D29">
        <w:t xml:space="preserve"> </w:t>
      </w:r>
      <w:r w:rsidRPr="0047574D">
        <w:t>special</w:t>
      </w:r>
      <w:r w:rsidR="00211D29">
        <w:t xml:space="preserve"> </w:t>
      </w:r>
      <w:r w:rsidRPr="0047574D">
        <w:t>hardship</w:t>
      </w:r>
      <w:r w:rsidR="00211D29">
        <w:t xml:space="preserve"> </w:t>
      </w:r>
      <w:r w:rsidRPr="0047574D">
        <w:t>due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their</w:t>
      </w:r>
      <w:r w:rsidR="00211D29">
        <w:t xml:space="preserve"> </w:t>
      </w:r>
      <w:r w:rsidRPr="0047574D">
        <w:t>particular</w:t>
      </w:r>
      <w:r w:rsidR="00211D29">
        <w:t xml:space="preserve"> </w:t>
      </w:r>
      <w:r w:rsidRPr="0047574D">
        <w:t>situation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vulnerability,</w:t>
      </w:r>
      <w:r w:rsidRPr="00D81309">
        <w:rPr>
          <w:rStyle w:val="FootnoteReference"/>
        </w:rPr>
        <w:footnoteReference w:id="37"/>
      </w:r>
      <w:r w:rsidR="00211D29">
        <w:t xml:space="preserve"> </w:t>
      </w:r>
      <w:r w:rsidRPr="0047574D">
        <w:t>which</w:t>
      </w:r>
      <w:r w:rsidR="00211D29">
        <w:t xml:space="preserve"> </w:t>
      </w:r>
      <w:r w:rsidRPr="0047574D">
        <w:t>renders</w:t>
      </w:r>
      <w:r w:rsidR="00211D29">
        <w:t xml:space="preserve"> </w:t>
      </w:r>
      <w:r w:rsidRPr="0047574D">
        <w:t>their</w:t>
      </w:r>
      <w:r w:rsidR="00211D29">
        <w:t xml:space="preserve"> </w:t>
      </w:r>
      <w:r w:rsidRPr="0047574D">
        <w:t>plight</w:t>
      </w:r>
      <w:r w:rsidR="00211D29">
        <w:t xml:space="preserve"> </w:t>
      </w:r>
      <w:r w:rsidRPr="0047574D">
        <w:t>exceptionally</w:t>
      </w:r>
      <w:r w:rsidR="00211D29">
        <w:t xml:space="preserve"> </w:t>
      </w:r>
      <w:r w:rsidRPr="0047574D">
        <w:t>harsh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irreparable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nature,</w:t>
      </w:r>
      <w:r w:rsidR="00211D29">
        <w:t xml:space="preserve"> </w:t>
      </w:r>
      <w:r w:rsidRPr="0047574D">
        <w:t>poor</w:t>
      </w:r>
      <w:r w:rsidR="00211D29">
        <w:t xml:space="preserve"> </w:t>
      </w:r>
      <w:r w:rsidRPr="0047574D">
        <w:t>living</w:t>
      </w:r>
      <w:r w:rsidR="00211D29">
        <w:t xml:space="preserve"> </w:t>
      </w:r>
      <w:r w:rsidRPr="0047574D">
        <w:t>conditions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difficulties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accessing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social</w:t>
      </w:r>
      <w:r w:rsidR="00211D29">
        <w:t xml:space="preserve"> </w:t>
      </w:r>
      <w:r w:rsidRPr="0047574D">
        <w:t>services</w:t>
      </w:r>
      <w:r w:rsidR="00211D29">
        <w:t xml:space="preserve"> </w:t>
      </w:r>
      <w:r w:rsidRPr="0047574D">
        <w:t>available</w:t>
      </w:r>
      <w:r w:rsidR="00211D29">
        <w:t xml:space="preserve"> </w:t>
      </w:r>
      <w:r w:rsidRPr="0047574D">
        <w:t>do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constitute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themselves</w:t>
      </w:r>
      <w:r w:rsidR="00211D29">
        <w:t xml:space="preserve"> </w:t>
      </w:r>
      <w:r w:rsidRPr="0047574D">
        <w:t>grounds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non-refoulement.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contrary</w:t>
      </w:r>
      <w:r w:rsidR="00211D29">
        <w:t xml:space="preserve"> </w:t>
      </w:r>
      <w:r w:rsidRPr="0047574D">
        <w:t>interpretation,</w:t>
      </w:r>
      <w:r w:rsidR="00211D29">
        <w:t xml:space="preserve"> </w:t>
      </w:r>
      <w:r w:rsidRPr="0047574D">
        <w:t>recognizing</w:t>
      </w:r>
      <w:r w:rsidR="00211D29">
        <w:t xml:space="preserve"> </w:t>
      </w:r>
      <w:r w:rsidRPr="0047574D">
        <w:t>all</w:t>
      </w:r>
      <w:r w:rsidR="00211D29">
        <w:t xml:space="preserve"> </w:t>
      </w:r>
      <w:r w:rsidRPr="0047574D">
        <w:t>individuals</w:t>
      </w:r>
      <w:r w:rsidR="00211D29">
        <w:t xml:space="preserve"> </w:t>
      </w:r>
      <w:r w:rsidRPr="0047574D">
        <w:t>facing</w:t>
      </w:r>
      <w:r w:rsidR="00211D29">
        <w:t xml:space="preserve"> </w:t>
      </w:r>
      <w:r w:rsidRPr="0047574D">
        <w:t>poverty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limited</w:t>
      </w:r>
      <w:r w:rsidR="00211D29">
        <w:t xml:space="preserve"> </w:t>
      </w:r>
      <w:r w:rsidRPr="0047574D">
        <w:t>social</w:t>
      </w:r>
      <w:r w:rsidR="00211D29">
        <w:t xml:space="preserve"> </w:t>
      </w:r>
      <w:r w:rsidRPr="0047574D">
        <w:t>assistance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potential</w:t>
      </w:r>
      <w:r w:rsidR="00211D29">
        <w:t xml:space="preserve"> </w:t>
      </w:r>
      <w:r w:rsidRPr="0047574D">
        <w:t>victims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Covenant,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little</w:t>
      </w:r>
      <w:r w:rsidR="00211D29">
        <w:t xml:space="preserve"> </w:t>
      </w:r>
      <w:r w:rsidRPr="0047574D">
        <w:t>support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case</w:t>
      </w:r>
      <w:r w:rsidR="00211D29">
        <w:t xml:space="preserve"> </w:t>
      </w:r>
      <w:r w:rsidRPr="0047574D">
        <w:t>law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State</w:t>
      </w:r>
      <w:r w:rsidR="00211D29">
        <w:t xml:space="preserve"> </w:t>
      </w:r>
      <w:r w:rsidRPr="0047574D">
        <w:t>practice,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extend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non-refoulement</w:t>
      </w:r>
      <w:r w:rsidR="00211D29">
        <w:t xml:space="preserve"> </w:t>
      </w:r>
      <w:r w:rsidRPr="0047574D">
        <w:t>principle</w:t>
      </w:r>
      <w:r w:rsidR="00211D29">
        <w:t xml:space="preserve"> </w:t>
      </w:r>
      <w:r w:rsidRPr="0047574D">
        <w:t>(which</w:t>
      </w:r>
      <w:r w:rsidR="00211D29">
        <w:t xml:space="preserve"> </w:t>
      </w:r>
      <w:r w:rsidRPr="0047574D">
        <w:t>are</w:t>
      </w:r>
      <w:r w:rsidR="00211D29">
        <w:t xml:space="preserve"> </w:t>
      </w:r>
      <w:r w:rsidRPr="0047574D">
        <w:t>absolute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nature)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breaking</w:t>
      </w:r>
      <w:r w:rsidR="00211D29">
        <w:t xml:space="preserve"> </w:t>
      </w:r>
      <w:r w:rsidRPr="0047574D">
        <w:t>point.</w:t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t>6.</w:t>
      </w:r>
      <w:r w:rsidRPr="0047574D">
        <w:tab/>
        <w:t>Although</w:t>
      </w:r>
      <w:r w:rsidR="00211D29">
        <w:t xml:space="preserve"> </w:t>
      </w:r>
      <w:r w:rsidRPr="0047574D">
        <w:t>we</w:t>
      </w:r>
      <w:r w:rsidR="00211D29">
        <w:t xml:space="preserve"> </w:t>
      </w:r>
      <w:r w:rsidRPr="0047574D">
        <w:t>support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Views</w:t>
      </w:r>
      <w:r w:rsidR="00211D29">
        <w:t xml:space="preserve"> </w:t>
      </w:r>
      <w:r w:rsidRPr="0047574D">
        <w:t>adopted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D81309">
        <w:rPr>
          <w:i/>
        </w:rPr>
        <w:t>Jasin</w:t>
      </w:r>
      <w:r w:rsidR="00211D29" w:rsidRPr="00D81309">
        <w:rPr>
          <w:i/>
        </w:rPr>
        <w:t xml:space="preserve"> </w:t>
      </w:r>
      <w:r w:rsidRPr="00D81309">
        <w:rPr>
          <w:i/>
        </w:rPr>
        <w:t>v</w:t>
      </w:r>
      <w:r w:rsidR="00D81309">
        <w:rPr>
          <w:i/>
        </w:rPr>
        <w:t>.</w:t>
      </w:r>
      <w:r w:rsidR="00211D29" w:rsidRPr="00D81309">
        <w:rPr>
          <w:i/>
        </w:rPr>
        <w:t xml:space="preserve"> </w:t>
      </w:r>
      <w:r w:rsidRPr="00D81309">
        <w:rPr>
          <w:i/>
        </w:rPr>
        <w:t>Denmark</w:t>
      </w:r>
      <w:r w:rsidRPr="0047574D">
        <w:t>,</w:t>
      </w:r>
      <w:r w:rsidRPr="00D81309">
        <w:rPr>
          <w:rStyle w:val="FootnoteReference"/>
        </w:rPr>
        <w:footnoteReference w:id="38"/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facts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case</w:t>
      </w:r>
      <w:r w:rsidR="00211D29">
        <w:t xml:space="preserve"> </w:t>
      </w:r>
      <w:r w:rsidRPr="0047574D">
        <w:t>were</w:t>
      </w:r>
      <w:r w:rsidR="00211D29">
        <w:t xml:space="preserve"> </w:t>
      </w:r>
      <w:r w:rsidRPr="0047574D">
        <w:t>significantly</w:t>
      </w:r>
      <w:r w:rsidR="00211D29">
        <w:t xml:space="preserve"> </w:t>
      </w:r>
      <w:r w:rsidRPr="0047574D">
        <w:t>different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facts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present</w:t>
      </w:r>
      <w:r w:rsidR="00211D29">
        <w:t xml:space="preserve"> </w:t>
      </w:r>
      <w:r w:rsidRPr="0047574D">
        <w:t>case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do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warrant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same</w:t>
      </w:r>
      <w:r w:rsidR="00211D29">
        <w:t xml:space="preserve"> </w:t>
      </w:r>
      <w:r w:rsidRPr="0047574D">
        <w:t>legal</w:t>
      </w:r>
      <w:r w:rsidR="00211D29">
        <w:t xml:space="preserve"> </w:t>
      </w:r>
      <w:r w:rsidRPr="0047574D">
        <w:t>conclusion.</w:t>
      </w:r>
      <w:r w:rsidR="00211D29">
        <w:t xml:space="preserve"> </w:t>
      </w:r>
      <w:r w:rsidRPr="0047574D">
        <w:t>In</w:t>
      </w:r>
      <w:r w:rsidR="00211D29">
        <w:t xml:space="preserve"> </w:t>
      </w:r>
      <w:r w:rsidR="00211D29" w:rsidRPr="00211D29">
        <w:rPr>
          <w:i/>
        </w:rPr>
        <w:t>Jasin</w:t>
      </w:r>
      <w:r w:rsidR="00211D29">
        <w:rPr>
          <w:i/>
        </w:rPr>
        <w:t xml:space="preserve"> </w:t>
      </w:r>
      <w:r w:rsidR="00211D29" w:rsidRPr="00211D29">
        <w:rPr>
          <w:i/>
        </w:rPr>
        <w:t>v.</w:t>
      </w:r>
      <w:r w:rsidR="00211D29">
        <w:rPr>
          <w:i/>
        </w:rPr>
        <w:t xml:space="preserve"> </w:t>
      </w:r>
      <w:r w:rsidR="00211D29" w:rsidRPr="00211D29">
        <w:rPr>
          <w:i/>
        </w:rPr>
        <w:t>Denmark</w:t>
      </w:r>
      <w:r w:rsidRPr="0047574D">
        <w:t>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particularly</w:t>
      </w:r>
      <w:r w:rsidR="00211D29">
        <w:t xml:space="preserve"> </w:t>
      </w:r>
      <w:r w:rsidRPr="0047574D">
        <w:t>vulnerable</w:t>
      </w:r>
      <w:r w:rsidR="00211D29">
        <w:t xml:space="preserve"> </w:t>
      </w:r>
      <w:r w:rsidRPr="0047574D">
        <w:t>situation,</w:t>
      </w:r>
      <w:r w:rsidR="00211D29">
        <w:t xml:space="preserve"> </w:t>
      </w:r>
      <w:r w:rsidRPr="0047574D">
        <w:t>which</w:t>
      </w:r>
      <w:r w:rsidR="00211D29">
        <w:t xml:space="preserve"> </w:t>
      </w:r>
      <w:r w:rsidRPr="0047574D">
        <w:t>made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nearly</w:t>
      </w:r>
      <w:r w:rsidR="00211D29">
        <w:t xml:space="preserve"> </w:t>
      </w:r>
      <w:r w:rsidRPr="0047574D">
        <w:t>impossible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confront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exceptional</w:t>
      </w:r>
      <w:r w:rsidR="00211D29">
        <w:t xml:space="preserve"> </w:t>
      </w:r>
      <w:r w:rsidRPr="0047574D">
        <w:t>hardships</w:t>
      </w:r>
      <w:r w:rsidR="00211D29">
        <w:t xml:space="preserve"> </w:t>
      </w:r>
      <w:r w:rsidRPr="0047574D">
        <w:t>expected</w:t>
      </w:r>
      <w:r w:rsidR="00211D29">
        <w:t xml:space="preserve"> </w:t>
      </w:r>
      <w:r w:rsidRPr="0047574D">
        <w:t>were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deported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Italy: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single</w:t>
      </w:r>
      <w:r w:rsidR="00211D29">
        <w:t xml:space="preserve"> </w:t>
      </w:r>
      <w:r w:rsidRPr="0047574D">
        <w:t>mother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three</w:t>
      </w:r>
      <w:r w:rsidR="00211D29">
        <w:t xml:space="preserve"> </w:t>
      </w:r>
      <w:r w:rsidRPr="0047574D">
        <w:t>small</w:t>
      </w:r>
      <w:r w:rsidR="00211D29">
        <w:t xml:space="preserve"> </w:t>
      </w:r>
      <w:r w:rsidRPr="0047574D">
        <w:t>children,</w:t>
      </w:r>
      <w:r w:rsidR="00211D29">
        <w:t xml:space="preserve"> </w:t>
      </w:r>
      <w:r w:rsidRPr="0047574D">
        <w:t>having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contend</w:t>
      </w:r>
      <w:r w:rsidR="00211D29">
        <w:t xml:space="preserve"> </w:t>
      </w:r>
      <w:r w:rsidRPr="0047574D">
        <w:t>with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own</w:t>
      </w:r>
      <w:r w:rsidR="00211D29">
        <w:t xml:space="preserve"> </w:t>
      </w:r>
      <w:r w:rsidRPr="0047574D">
        <w:t>health</w:t>
      </w:r>
      <w:r w:rsidR="00211D29">
        <w:t xml:space="preserve"> </w:t>
      </w:r>
      <w:r w:rsidRPr="0047574D">
        <w:t>problems,</w:t>
      </w:r>
      <w:r w:rsidR="00211D29">
        <w:t xml:space="preserve"> </w:t>
      </w:r>
      <w:r w:rsidRPr="0047574D">
        <w:t>who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lost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immigration</w:t>
      </w:r>
      <w:r w:rsidR="00211D29">
        <w:t xml:space="preserve"> </w:t>
      </w:r>
      <w:r w:rsidRPr="0047574D">
        <w:t>status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whom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welfare</w:t>
      </w:r>
      <w:r w:rsidR="00211D29">
        <w:t xml:space="preserve"> </w:t>
      </w:r>
      <w:r w:rsidRPr="0047574D">
        <w:t>system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demonstrably</w:t>
      </w:r>
      <w:r w:rsidR="00211D29">
        <w:t xml:space="preserve"> </w:t>
      </w:r>
      <w:r w:rsidRPr="0047574D">
        <w:t>failed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assist.</w:t>
      </w:r>
      <w:r w:rsidR="00211D29">
        <w:t xml:space="preserve"> </w:t>
      </w:r>
      <w:r w:rsidRPr="0047574D">
        <w:t>Under</w:t>
      </w:r>
      <w:r w:rsidR="00211D29">
        <w:t xml:space="preserve"> </w:t>
      </w:r>
      <w:r w:rsidRPr="0047574D">
        <w:t>these</w:t>
      </w:r>
      <w:r w:rsidR="00211D29">
        <w:t xml:space="preserve"> </w:t>
      </w:r>
      <w:r w:rsidRPr="0047574D">
        <w:t>exceptional</w:t>
      </w:r>
      <w:r w:rsidR="00211D29">
        <w:t xml:space="preserve"> </w:t>
      </w:r>
      <w:r w:rsidRPr="0047574D">
        <w:t>circumstances,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Committee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view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without</w:t>
      </w:r>
      <w:r w:rsidR="00211D29">
        <w:t xml:space="preserve"> </w:t>
      </w:r>
      <w:r w:rsidRPr="0047574D">
        <w:t>specific</w:t>
      </w:r>
      <w:r w:rsidR="00211D29">
        <w:t xml:space="preserve"> </w:t>
      </w:r>
      <w:r w:rsidRPr="0047574D">
        <w:t>assurances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social</w:t>
      </w:r>
      <w:r w:rsidR="00211D29">
        <w:t xml:space="preserve"> </w:t>
      </w:r>
      <w:r w:rsidRPr="0047574D">
        <w:t>assistance,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could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considered</w:t>
      </w:r>
      <w:r w:rsidR="00211D29">
        <w:t xml:space="preserve"> </w:t>
      </w:r>
      <w:r w:rsidRPr="0047574D">
        <w:t>a</w:t>
      </w:r>
      <w:r w:rsidR="00211D29">
        <w:t xml:space="preserve"> </w:t>
      </w:r>
      <w:r w:rsidR="005766A0">
        <w:t>“</w:t>
      </w:r>
      <w:r w:rsidRPr="0047574D">
        <w:t>safe</w:t>
      </w:r>
      <w:r w:rsidR="00211D29">
        <w:t xml:space="preserve"> </w:t>
      </w:r>
      <w:r w:rsidRPr="0047574D">
        <w:t>country</w:t>
      </w:r>
      <w:r w:rsidR="005766A0">
        <w:t>”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removal</w:t>
      </w:r>
      <w:r w:rsidR="00211D29">
        <w:t xml:space="preserve"> </w:t>
      </w:r>
      <w:r w:rsidRPr="0047574D">
        <w:t>for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lastRenderedPageBreak/>
        <w:t>and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children</w:t>
      </w:r>
      <w:r w:rsidR="00211D29">
        <w:t xml:space="preserve"> </w:t>
      </w:r>
      <w:r w:rsidRPr="0047574D">
        <w:t>(raising,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result,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possibility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de</w:t>
      </w:r>
      <w:r w:rsidR="00211D29">
        <w:t xml:space="preserve"> </w:t>
      </w:r>
      <w:r w:rsidRPr="0047574D">
        <w:t>facto</w:t>
      </w:r>
      <w:r w:rsidR="00211D29">
        <w:t xml:space="preserve"> </w:t>
      </w:r>
      <w:r w:rsidRPr="0047574D">
        <w:t>refoulement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country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origin).</w:t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t>7.</w:t>
      </w:r>
      <w:r w:rsidRPr="0047574D">
        <w:tab/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present</w:t>
      </w:r>
      <w:r w:rsidR="00211D29">
        <w:t xml:space="preserve"> </w:t>
      </w:r>
      <w:r w:rsidRPr="0047574D">
        <w:t>case,</w:t>
      </w:r>
      <w:r w:rsidR="00211D29">
        <w:t xml:space="preserve"> </w:t>
      </w:r>
      <w:r w:rsidRPr="0047574D">
        <w:t>it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disputed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author,</w:t>
      </w:r>
      <w:r w:rsidR="00211D29">
        <w:t xml:space="preserve"> </w:t>
      </w:r>
      <w:r w:rsidRPr="0047574D">
        <w:t>who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one</w:t>
      </w:r>
      <w:r w:rsidR="00211D29">
        <w:t xml:space="preserve"> </w:t>
      </w:r>
      <w:r w:rsidRPr="0047574D">
        <w:t>child,</w:t>
      </w:r>
      <w:r w:rsidR="00211D29">
        <w:t xml:space="preserve"> </w:t>
      </w:r>
      <w:r w:rsidRPr="0047574D">
        <w:t>enjoys</w:t>
      </w:r>
      <w:r w:rsidR="00211D29">
        <w:t xml:space="preserve"> </w:t>
      </w:r>
      <w:r w:rsidRPr="0047574D">
        <w:t>subsidiary</w:t>
      </w:r>
      <w:r w:rsidR="00211D29">
        <w:t xml:space="preserve"> </w:t>
      </w:r>
      <w:r w:rsidRPr="0047574D">
        <w:t>protection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entitled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receive</w:t>
      </w:r>
      <w:r w:rsidR="00211D29">
        <w:t xml:space="preserve"> </w:t>
      </w:r>
      <w:r w:rsidRPr="0047574D">
        <w:t>social</w:t>
      </w:r>
      <w:r w:rsidR="00211D29">
        <w:t xml:space="preserve"> </w:t>
      </w:r>
      <w:r w:rsidRPr="0047574D">
        <w:t>assistance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Italy.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does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have</w:t>
      </w:r>
      <w:r w:rsidR="00211D29">
        <w:t xml:space="preserve"> </w:t>
      </w:r>
      <w:r w:rsidRPr="0047574D">
        <w:t>any</w:t>
      </w:r>
      <w:r w:rsidR="00211D29">
        <w:t xml:space="preserve"> </w:t>
      </w:r>
      <w:r w:rsidRPr="0047574D">
        <w:t>health</w:t>
      </w:r>
      <w:r w:rsidR="00211D29">
        <w:t xml:space="preserve"> </w:t>
      </w:r>
      <w:r w:rsidRPr="0047574D">
        <w:t>issues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may</w:t>
      </w:r>
      <w:r w:rsidR="00211D29">
        <w:t xml:space="preserve"> </w:t>
      </w:r>
      <w:r w:rsidRPr="0047574D">
        <w:t>also</w:t>
      </w:r>
      <w:r w:rsidR="00211D29">
        <w:t xml:space="preserve"> </w:t>
      </w:r>
      <w:r w:rsidRPr="0047574D">
        <w:t>lawfully</w:t>
      </w:r>
      <w:r w:rsidR="00211D29">
        <w:t xml:space="preserve"> </w:t>
      </w:r>
      <w:r w:rsidRPr="0047574D">
        <w:t>work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support</w:t>
      </w:r>
      <w:r w:rsidR="00211D29">
        <w:t xml:space="preserve"> </w:t>
      </w:r>
      <w:r w:rsidRPr="0047574D">
        <w:t>herself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son.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facts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present</w:t>
      </w:r>
      <w:r w:rsidR="00211D29">
        <w:t xml:space="preserve"> </w:t>
      </w:r>
      <w:r w:rsidRPr="0047574D">
        <w:t>case</w:t>
      </w:r>
      <w:r w:rsidR="00211D29">
        <w:t xml:space="preserve"> </w:t>
      </w:r>
      <w:r w:rsidRPr="0047574D">
        <w:t>also</w:t>
      </w:r>
      <w:r w:rsidR="00211D29">
        <w:t xml:space="preserve"> </w:t>
      </w:r>
      <w:r w:rsidRPr="0047574D">
        <w:t>suggest</w:t>
      </w:r>
      <w:r w:rsidR="00211D29">
        <w:t xml:space="preserve"> </w:t>
      </w:r>
      <w:r w:rsidRPr="0047574D">
        <w:t>that,</w:t>
      </w:r>
      <w:r w:rsidR="00211D29">
        <w:t xml:space="preserve"> </w:t>
      </w:r>
      <w:r w:rsidRPr="0047574D">
        <w:t>unlike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case</w:t>
      </w:r>
      <w:r w:rsidR="00211D29">
        <w:t xml:space="preserve"> </w:t>
      </w:r>
      <w:r w:rsidRPr="0047574D">
        <w:t>of</w:t>
      </w:r>
      <w:r w:rsidR="00211D29">
        <w:t xml:space="preserve"> </w:t>
      </w:r>
      <w:r w:rsidR="00211D29" w:rsidRPr="00211D29">
        <w:rPr>
          <w:i/>
        </w:rPr>
        <w:t>Jasin</w:t>
      </w:r>
      <w:r w:rsidR="00211D29">
        <w:rPr>
          <w:i/>
        </w:rPr>
        <w:t xml:space="preserve"> </w:t>
      </w:r>
      <w:r w:rsidR="00211D29" w:rsidRPr="00211D29">
        <w:rPr>
          <w:i/>
        </w:rPr>
        <w:t>v.</w:t>
      </w:r>
      <w:r w:rsidR="00211D29">
        <w:rPr>
          <w:i/>
        </w:rPr>
        <w:t xml:space="preserve"> </w:t>
      </w:r>
      <w:r w:rsidR="00211D29" w:rsidRPr="00211D29">
        <w:rPr>
          <w:i/>
        </w:rPr>
        <w:t>Denmark</w:t>
      </w:r>
      <w:r w:rsidRPr="0047574D">
        <w:t>,</w:t>
      </w:r>
      <w:r w:rsidR="00211D29">
        <w:t xml:space="preserve"> </w:t>
      </w:r>
      <w:r w:rsidRPr="0047574D">
        <w:t>there</w:t>
      </w:r>
      <w:r w:rsidR="00211D29">
        <w:t xml:space="preserve"> </w:t>
      </w:r>
      <w:r w:rsidRPr="0047574D">
        <w:t>has</w:t>
      </w:r>
      <w:r w:rsidR="00211D29">
        <w:t xml:space="preserve"> </w:t>
      </w:r>
      <w:r w:rsidRPr="0047574D">
        <w:t>been</w:t>
      </w:r>
      <w:r w:rsidR="00211D29">
        <w:t xml:space="preserve"> </w:t>
      </w:r>
      <w:r w:rsidRPr="0047574D">
        <w:t>no</w:t>
      </w:r>
      <w:r w:rsidR="00211D29">
        <w:t xml:space="preserve"> </w:t>
      </w:r>
      <w:r w:rsidRPr="0047574D">
        <w:t>demonstrable</w:t>
      </w:r>
      <w:r w:rsidR="00211D29">
        <w:t xml:space="preserve"> </w:t>
      </w:r>
      <w:r w:rsidRPr="0047574D">
        <w:t>failure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Italian</w:t>
      </w:r>
      <w:r w:rsidR="00211D29">
        <w:t xml:space="preserve"> </w:t>
      </w:r>
      <w:r w:rsidRPr="0047574D">
        <w:t>authorities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attend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social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medical</w:t>
      </w:r>
      <w:r w:rsidR="00211D29">
        <w:t xml:space="preserve"> </w:t>
      </w:r>
      <w:r w:rsidRPr="0047574D">
        <w:t>needs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author: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received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housing</w:t>
      </w:r>
      <w:r w:rsidR="00211D29">
        <w:t xml:space="preserve"> </w:t>
      </w:r>
      <w:r w:rsidRPr="0047574D">
        <w:t>solution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had</w:t>
      </w:r>
      <w:r w:rsidR="00211D29">
        <w:t xml:space="preserve"> </w:t>
      </w:r>
      <w:r w:rsidRPr="0047574D">
        <w:t>access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medical</w:t>
      </w:r>
      <w:r w:rsidR="00211D29">
        <w:t xml:space="preserve"> </w:t>
      </w:r>
      <w:r w:rsidRPr="0047574D">
        <w:t>care</w:t>
      </w:r>
      <w:r w:rsidR="00211D29">
        <w:t xml:space="preserve"> </w:t>
      </w:r>
      <w:r w:rsidRPr="0047574D">
        <w:t>(see</w:t>
      </w:r>
      <w:r w:rsidR="00211D29">
        <w:t xml:space="preserve"> </w:t>
      </w:r>
      <w:r w:rsidRPr="0047574D">
        <w:t>para</w:t>
      </w:r>
      <w:r w:rsidR="002A14CF">
        <w:t>graph</w:t>
      </w:r>
      <w:r w:rsidR="00211D29">
        <w:t xml:space="preserve"> </w:t>
      </w:r>
      <w:r w:rsidRPr="0047574D">
        <w:t>2.2</w:t>
      </w:r>
      <w:r w:rsidR="00211D29">
        <w:t xml:space="preserve"> </w:t>
      </w:r>
      <w:r w:rsidRPr="0047574D">
        <w:t>above).</w:t>
      </w:r>
      <w:r w:rsidR="00211D29">
        <w:t xml:space="preserve"> </w:t>
      </w:r>
    </w:p>
    <w:p w:rsidR="006B0EB0" w:rsidRPr="0047574D" w:rsidRDefault="006B0EB0" w:rsidP="006B0EB0">
      <w:pPr>
        <w:pStyle w:val="SingleTxtG"/>
      </w:pPr>
      <w:r w:rsidRPr="0047574D">
        <w:t>8.</w:t>
      </w:r>
      <w:r w:rsidRPr="0047574D">
        <w:tab/>
        <w:t>Although</w:t>
      </w:r>
      <w:r w:rsidR="00211D29">
        <w:t xml:space="preserve"> </w:t>
      </w:r>
      <w:r w:rsidRPr="0047574D">
        <w:t>we</w:t>
      </w:r>
      <w:r w:rsidR="00211D29">
        <w:t xml:space="preserve"> </w:t>
      </w:r>
      <w:r w:rsidRPr="0047574D">
        <w:t>consider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deportation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may</w:t>
      </w:r>
      <w:r w:rsidR="00211D29">
        <w:t xml:space="preserve"> </w:t>
      </w:r>
      <w:r w:rsidRPr="0047574D">
        <w:t>put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more</w:t>
      </w:r>
      <w:r w:rsidR="00211D29">
        <w:t xml:space="preserve"> </w:t>
      </w:r>
      <w:r w:rsidRPr="0047574D">
        <w:t>difficult</w:t>
      </w:r>
      <w:r w:rsidR="00211D29">
        <w:t xml:space="preserve"> </w:t>
      </w:r>
      <w:r w:rsidRPr="0047574D">
        <w:t>situation</w:t>
      </w:r>
      <w:r w:rsidR="00211D29">
        <w:t xml:space="preserve"> </w:t>
      </w:r>
      <w:r w:rsidRPr="0047574D">
        <w:t>than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one</w:t>
      </w:r>
      <w:r w:rsidR="00211D29">
        <w:t xml:space="preserve"> </w:t>
      </w:r>
      <w:r w:rsidRPr="0047574D">
        <w:t>confronting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son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Denmark,</w:t>
      </w:r>
      <w:r w:rsidR="00211D29">
        <w:t xml:space="preserve"> </w:t>
      </w:r>
      <w:r w:rsidRPr="0047574D">
        <w:t>we</w:t>
      </w:r>
      <w:r w:rsidR="00211D29">
        <w:t xml:space="preserve"> </w:t>
      </w:r>
      <w:r w:rsidRPr="0047574D">
        <w:t>do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have</w:t>
      </w:r>
      <w:r w:rsidR="00211D29">
        <w:t xml:space="preserve"> </w:t>
      </w:r>
      <w:r w:rsidRPr="0047574D">
        <w:t>before</w:t>
      </w:r>
      <w:r w:rsidR="00211D29">
        <w:t xml:space="preserve"> </w:t>
      </w:r>
      <w:r w:rsidRPr="0047574D">
        <w:t>us</w:t>
      </w:r>
      <w:r w:rsidR="00211D29">
        <w:t xml:space="preserve"> </w:t>
      </w:r>
      <w:r w:rsidRPr="0047574D">
        <w:t>information</w:t>
      </w:r>
      <w:r w:rsidR="00211D29">
        <w:t xml:space="preserve"> </w:t>
      </w:r>
      <w:r w:rsidRPr="0047574D">
        <w:t>suggesting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their</w:t>
      </w:r>
      <w:r w:rsidR="00211D29">
        <w:t xml:space="preserve"> </w:t>
      </w:r>
      <w:r w:rsidRPr="0047574D">
        <w:t>plight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different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nature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many</w:t>
      </w:r>
      <w:r w:rsidR="00211D29">
        <w:t xml:space="preserve"> </w:t>
      </w:r>
      <w:r w:rsidRPr="0047574D">
        <w:t>other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who</w:t>
      </w:r>
      <w:r w:rsidR="00211D29">
        <w:t xml:space="preserve"> </w:t>
      </w:r>
      <w:r w:rsidRPr="0047574D">
        <w:t>have</w:t>
      </w:r>
      <w:r w:rsidR="00211D29">
        <w:t xml:space="preserve"> </w:t>
      </w:r>
      <w:r w:rsidRPr="0047574D">
        <w:t>arrived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Europe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recent</w:t>
      </w:r>
      <w:r w:rsidR="00211D29">
        <w:t xml:space="preserve"> </w:t>
      </w:r>
      <w:r w:rsidRPr="0047574D">
        <w:t>years.</w:t>
      </w:r>
      <w:r w:rsidR="00211D29">
        <w:t xml:space="preserve"> </w:t>
      </w:r>
      <w:r w:rsidRPr="0047574D">
        <w:t>Nor</w:t>
      </w:r>
      <w:r w:rsidR="00211D29">
        <w:t xml:space="preserve"> </w:t>
      </w:r>
      <w:r w:rsidRPr="0047574D">
        <w:t>are</w:t>
      </w:r>
      <w:r w:rsidR="00211D29">
        <w:t xml:space="preserve"> </w:t>
      </w:r>
      <w:r w:rsidRPr="0047574D">
        <w:t>we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position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hold,</w:t>
      </w:r>
      <w:r w:rsidR="00211D29">
        <w:t xml:space="preserve"> </w:t>
      </w:r>
      <w:r w:rsidRPr="0047574D">
        <w:t>on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basis</w:t>
      </w:r>
      <w:r w:rsidR="00211D29">
        <w:t xml:space="preserve"> </w:t>
      </w:r>
      <w:r w:rsidRPr="0047574D">
        <w:t>o</w:t>
      </w:r>
      <w:r w:rsidR="002A14CF">
        <w:t>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information</w:t>
      </w:r>
      <w:r w:rsidR="00211D29">
        <w:t xml:space="preserve"> </w:t>
      </w:r>
      <w:r w:rsidRPr="0047574D">
        <w:t>before</w:t>
      </w:r>
      <w:r w:rsidR="00211D29">
        <w:t xml:space="preserve"> </w:t>
      </w:r>
      <w:r w:rsidRPr="0047574D">
        <w:t>us,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difficulties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which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exposed</w:t>
      </w:r>
      <w:r w:rsidR="00211D29">
        <w:t xml:space="preserve"> </w:t>
      </w:r>
      <w:r w:rsidRPr="0047574D">
        <w:t>upon</w:t>
      </w:r>
      <w:r w:rsidR="00211D29">
        <w:t xml:space="preserve"> </w:t>
      </w:r>
      <w:r w:rsidRPr="0047574D">
        <w:t>deportation</w:t>
      </w:r>
      <w:r w:rsidR="00211D29">
        <w:t xml:space="preserve"> </w:t>
      </w:r>
      <w:r w:rsidRPr="0047574D">
        <w:t>could</w:t>
      </w:r>
      <w:r w:rsidR="00211D29">
        <w:t xml:space="preserve"> </w:t>
      </w:r>
      <w:r w:rsidRPr="0047574D">
        <w:t>be</w:t>
      </w:r>
      <w:r w:rsidR="00211D29">
        <w:t xml:space="preserve"> </w:t>
      </w:r>
      <w:r w:rsidRPr="0047574D">
        <w:t>expected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reach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exceptional</w:t>
      </w:r>
      <w:r w:rsidR="00211D29">
        <w:t xml:space="preserve"> </w:t>
      </w:r>
      <w:r w:rsidRPr="0047574D">
        <w:t>level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harshness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irreparability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result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violation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Covenant.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5766A0">
        <w:t>’</w:t>
      </w:r>
      <w:r w:rsidRPr="0047574D">
        <w:t>s</w:t>
      </w:r>
      <w:r w:rsidR="00211D29">
        <w:t xml:space="preserve"> </w:t>
      </w:r>
      <w:r w:rsidRPr="0047574D">
        <w:t>lack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education</w:t>
      </w:r>
      <w:r w:rsidR="00211D29">
        <w:t xml:space="preserve"> </w:t>
      </w:r>
      <w:r w:rsidRPr="0047574D">
        <w:t>does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change</w:t>
      </w:r>
      <w:r w:rsidR="00211D29">
        <w:t xml:space="preserve"> </w:t>
      </w:r>
      <w:r w:rsidRPr="0047574D">
        <w:t>this</w:t>
      </w:r>
      <w:r w:rsidR="00211D29">
        <w:t xml:space="preserve"> </w:t>
      </w:r>
      <w:r w:rsidRPr="0047574D">
        <w:t>conclusion,</w:t>
      </w:r>
      <w:r w:rsidR="00211D29">
        <w:t xml:space="preserve"> </w:t>
      </w:r>
      <w:r w:rsidRPr="0047574D">
        <w:t>as</w:t>
      </w:r>
      <w:r w:rsidR="00211D29">
        <w:t xml:space="preserve"> </w:t>
      </w:r>
      <w:r w:rsidRPr="0047574D">
        <w:t>there</w:t>
      </w:r>
      <w:r w:rsidR="00211D29">
        <w:t xml:space="preserve"> </w:t>
      </w:r>
      <w:r w:rsidRPr="0047574D">
        <w:t>is</w:t>
      </w:r>
      <w:r w:rsidR="00211D29">
        <w:t xml:space="preserve"> </w:t>
      </w:r>
      <w:r w:rsidRPr="0047574D">
        <w:t>no</w:t>
      </w:r>
      <w:r w:rsidR="00211D29">
        <w:t xml:space="preserve"> </w:t>
      </w:r>
      <w:r w:rsidRPr="0047574D">
        <w:t>reason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believe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she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unable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obtain</w:t>
      </w:r>
      <w:r w:rsidR="00211D29">
        <w:t xml:space="preserve"> </w:t>
      </w:r>
      <w:r w:rsidRPr="0047574D">
        <w:t>assistance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past</w:t>
      </w:r>
      <w:r w:rsidR="00211D29">
        <w:t xml:space="preserve"> </w:t>
      </w:r>
      <w:r w:rsidRPr="0047574D">
        <w:t>because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this</w:t>
      </w:r>
      <w:r w:rsidR="00211D29">
        <w:t xml:space="preserve"> </w:t>
      </w:r>
      <w:r w:rsidRPr="0047574D">
        <w:t>reason,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access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social</w:t>
      </w:r>
      <w:r w:rsidR="00211D29">
        <w:t xml:space="preserve"> </w:t>
      </w:r>
      <w:r w:rsidRPr="0047574D">
        <w:t>services</w:t>
      </w:r>
      <w:r w:rsidR="00211D29">
        <w:t xml:space="preserve"> </w:t>
      </w:r>
      <w:r w:rsidRPr="0047574D">
        <w:t>in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requires</w:t>
      </w:r>
      <w:r w:rsidR="00211D29">
        <w:t xml:space="preserve"> </w:t>
      </w:r>
      <w:r w:rsidRPr="0047574D">
        <w:t>asylum</w:t>
      </w:r>
      <w:r w:rsidR="00211D29">
        <w:t xml:space="preserve"> </w:t>
      </w:r>
      <w:r w:rsidRPr="0047574D">
        <w:t>seekers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possess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certain</w:t>
      </w:r>
      <w:r w:rsidR="00211D29">
        <w:t xml:space="preserve"> </w:t>
      </w:r>
      <w:r w:rsidRPr="0047574D">
        <w:t>level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education.</w:t>
      </w:r>
    </w:p>
    <w:p w:rsidR="006B0EB0" w:rsidRPr="0047574D" w:rsidRDefault="006B0EB0" w:rsidP="006B0EB0">
      <w:pPr>
        <w:pStyle w:val="SingleTxtG"/>
      </w:pPr>
      <w:r w:rsidRPr="0047574D">
        <w:t>9.</w:t>
      </w:r>
      <w:r w:rsidRPr="0047574D">
        <w:tab/>
        <w:t>Under</w:t>
      </w:r>
      <w:r w:rsidR="00211D29">
        <w:t xml:space="preserve"> </w:t>
      </w:r>
      <w:r w:rsidRPr="0047574D">
        <w:t>these</w:t>
      </w:r>
      <w:r w:rsidR="00211D29">
        <w:t xml:space="preserve"> </w:t>
      </w:r>
      <w:r w:rsidRPr="0047574D">
        <w:t>circumstances,</w:t>
      </w:r>
      <w:r w:rsidR="00211D29">
        <w:t xml:space="preserve"> </w:t>
      </w:r>
      <w:r w:rsidRPr="0047574D">
        <w:t>we</w:t>
      </w:r>
      <w:r w:rsidR="00211D29">
        <w:t xml:space="preserve"> </w:t>
      </w:r>
      <w:r w:rsidRPr="0047574D">
        <w:t>cannot</w:t>
      </w:r>
      <w:r w:rsidR="00211D29">
        <w:t xml:space="preserve"> </w:t>
      </w:r>
      <w:r w:rsidRPr="0047574D">
        <w:t>conclude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decision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Danish</w:t>
      </w:r>
      <w:r w:rsidR="00211D29">
        <w:t xml:space="preserve"> </w:t>
      </w:r>
      <w:r w:rsidRPr="0047574D">
        <w:t>authorities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deport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</w:t>
      </w:r>
      <w:r w:rsidR="00211D29">
        <w:t xml:space="preserve"> </w:t>
      </w:r>
      <w:r w:rsidRPr="0047574D">
        <w:t>and</w:t>
      </w:r>
      <w:r w:rsidR="00211D29">
        <w:t xml:space="preserve"> </w:t>
      </w:r>
      <w:r w:rsidRPr="0047574D">
        <w:t>her</w:t>
      </w:r>
      <w:r w:rsidR="00211D29">
        <w:t xml:space="preserve"> </w:t>
      </w:r>
      <w:r w:rsidRPr="0047574D">
        <w:t>son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was</w:t>
      </w:r>
      <w:r w:rsidR="00211D29">
        <w:t xml:space="preserve"> </w:t>
      </w:r>
      <w:r w:rsidRPr="0047574D">
        <w:t>arbitrary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amounted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manifest</w:t>
      </w:r>
      <w:r w:rsidR="00211D29">
        <w:t xml:space="preserve"> </w:t>
      </w:r>
      <w:r w:rsidRPr="0047574D">
        <w:t>error</w:t>
      </w:r>
      <w:r w:rsidR="00211D29">
        <w:t xml:space="preserve"> </w:t>
      </w:r>
      <w:r w:rsidRPr="0047574D">
        <w:t>or</w:t>
      </w:r>
      <w:r w:rsidR="00211D29">
        <w:t xml:space="preserve"> </w:t>
      </w:r>
      <w:r w:rsidRPr="0047574D">
        <w:t>denial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justice</w:t>
      </w:r>
      <w:r w:rsidR="00211D29">
        <w:t xml:space="preserve"> </w:t>
      </w:r>
      <w:r w:rsidRPr="0047574D">
        <w:t>that</w:t>
      </w:r>
      <w:r w:rsidR="00211D29">
        <w:t xml:space="preserve"> </w:t>
      </w:r>
      <w:r w:rsidRPr="0047574D">
        <w:t>would</w:t>
      </w:r>
      <w:r w:rsidR="00211D29">
        <w:t xml:space="preserve"> </w:t>
      </w:r>
      <w:r w:rsidRPr="0047574D">
        <w:t>entail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violation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</w:t>
      </w:r>
      <w:r w:rsidR="00211D29">
        <w:t xml:space="preserve"> </w:t>
      </w:r>
      <w:r w:rsidRPr="0047574D">
        <w:t>by</w:t>
      </w:r>
      <w:r w:rsidR="00211D29">
        <w:t xml:space="preserve"> </w:t>
      </w:r>
      <w:r w:rsidRPr="0047574D">
        <w:t>Denmark.</w:t>
      </w:r>
      <w:r w:rsidR="00211D29">
        <w:t xml:space="preserve"> </w:t>
      </w:r>
      <w:r w:rsidRPr="0047574D">
        <w:t>Thus,</w:t>
      </w:r>
      <w:r w:rsidR="00211D29">
        <w:t xml:space="preserve"> </w:t>
      </w:r>
      <w:r w:rsidRPr="0047574D">
        <w:t>although</w:t>
      </w:r>
      <w:r w:rsidR="00211D29">
        <w:t xml:space="preserve"> </w:t>
      </w:r>
      <w:r w:rsidRPr="0047574D">
        <w:t>we</w:t>
      </w:r>
      <w:r w:rsidR="00211D29">
        <w:t xml:space="preserve"> </w:t>
      </w:r>
      <w:r w:rsidRPr="0047574D">
        <w:t>regret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decision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Danish</w:t>
      </w:r>
      <w:r w:rsidR="00211D29">
        <w:t xml:space="preserve"> </w:t>
      </w:r>
      <w:r w:rsidRPr="0047574D">
        <w:t>authorities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seek</w:t>
      </w:r>
      <w:r w:rsidR="00211D29">
        <w:t xml:space="preserve"> </w:t>
      </w:r>
      <w:r w:rsidRPr="0047574D">
        <w:t>individual</w:t>
      </w:r>
      <w:r w:rsidR="00211D29">
        <w:t xml:space="preserve"> </w:t>
      </w:r>
      <w:r w:rsidRPr="0047574D">
        <w:t>assurances</w:t>
      </w:r>
      <w:r w:rsidR="00211D29">
        <w:t xml:space="preserve"> </w:t>
      </w:r>
      <w:r w:rsidRPr="0047574D">
        <w:t>from</w:t>
      </w:r>
      <w:r w:rsidR="00211D29">
        <w:t xml:space="preserve"> </w:t>
      </w:r>
      <w:r w:rsidRPr="0047574D">
        <w:t>Italy</w:t>
      </w:r>
      <w:r w:rsidR="00211D29">
        <w:t xml:space="preserve"> </w:t>
      </w:r>
      <w:r w:rsidRPr="0047574D">
        <w:t>prior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deportation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author,</w:t>
      </w:r>
      <w:r w:rsidR="00211D29">
        <w:t xml:space="preserve"> </w:t>
      </w:r>
      <w:r w:rsidRPr="0047574D">
        <w:t>we</w:t>
      </w:r>
      <w:r w:rsidR="00211D29">
        <w:t xml:space="preserve"> </w:t>
      </w:r>
      <w:r w:rsidRPr="0047574D">
        <w:t>do</w:t>
      </w:r>
      <w:r w:rsidR="00211D29">
        <w:t xml:space="preserve"> </w:t>
      </w:r>
      <w:r w:rsidRPr="0047574D">
        <w:t>not</w:t>
      </w:r>
      <w:r w:rsidR="00211D29">
        <w:t xml:space="preserve"> </w:t>
      </w:r>
      <w:r w:rsidRPr="0047574D">
        <w:t>consider</w:t>
      </w:r>
      <w:r w:rsidR="00211D29">
        <w:t xml:space="preserve"> </w:t>
      </w:r>
      <w:r w:rsidRPr="0047574D">
        <w:t>such</w:t>
      </w:r>
      <w:r w:rsidR="00211D29">
        <w:t xml:space="preserve"> </w:t>
      </w:r>
      <w:r w:rsidRPr="0047574D">
        <w:t>a</w:t>
      </w:r>
      <w:r w:rsidR="00211D29">
        <w:t xml:space="preserve"> </w:t>
      </w:r>
      <w:r w:rsidRPr="0047574D">
        <w:t>failure</w:t>
      </w:r>
      <w:r w:rsidR="00211D29">
        <w:t xml:space="preserve"> </w:t>
      </w:r>
      <w:r w:rsidRPr="0047574D">
        <w:t>to</w:t>
      </w:r>
      <w:r w:rsidR="00211D29">
        <w:t xml:space="preserve"> </w:t>
      </w:r>
      <w:r w:rsidRPr="0047574D">
        <w:t>violate</w:t>
      </w:r>
      <w:r w:rsidR="00211D29">
        <w:t xml:space="preserve"> </w:t>
      </w:r>
      <w:r w:rsidRPr="0047574D">
        <w:t>article</w:t>
      </w:r>
      <w:r w:rsidR="00211D29">
        <w:t xml:space="preserve"> </w:t>
      </w:r>
      <w:r w:rsidRPr="0047574D">
        <w:t>7</w:t>
      </w:r>
      <w:r w:rsidR="00211D29">
        <w:t xml:space="preserve"> </w:t>
      </w:r>
      <w:r w:rsidRPr="0047574D">
        <w:t>of</w:t>
      </w:r>
      <w:r w:rsidR="00211D29">
        <w:t xml:space="preserve"> </w:t>
      </w:r>
      <w:r w:rsidRPr="0047574D">
        <w:t>the</w:t>
      </w:r>
      <w:r w:rsidR="00211D29">
        <w:t xml:space="preserve"> </w:t>
      </w:r>
      <w:r w:rsidRPr="0047574D">
        <w:t>Covenant.</w:t>
      </w:r>
      <w:r w:rsidR="00211D29">
        <w:t xml:space="preserve"> </w:t>
      </w:r>
    </w:p>
    <w:p w:rsidR="003474AD" w:rsidRPr="00106A43" w:rsidRDefault="003474AD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474AD" w:rsidRPr="00106A43" w:rsidSect="003474AD">
      <w:footnotePr>
        <w:numRestart w:val="eachSect"/>
      </w:footnotePr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A69" w:rsidRPr="00B903E5" w:rsidRDefault="008B7A69" w:rsidP="00B903E5">
      <w:pPr>
        <w:pStyle w:val="Footer"/>
      </w:pPr>
    </w:p>
  </w:endnote>
  <w:endnote w:type="continuationSeparator" w:id="0">
    <w:p w:rsidR="008B7A69" w:rsidRPr="00B903E5" w:rsidRDefault="008B7A69" w:rsidP="00B903E5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09" w:rsidRPr="007E44A7" w:rsidRDefault="00D81309" w:rsidP="00211D29">
    <w:pPr>
      <w:pStyle w:val="Footer"/>
      <w:tabs>
        <w:tab w:val="right" w:pos="9638"/>
      </w:tabs>
      <w:rPr>
        <w:sz w:val="18"/>
      </w:rPr>
    </w:pPr>
    <w:r w:rsidRPr="007E44A7">
      <w:rPr>
        <w:b/>
        <w:sz w:val="18"/>
      </w:rPr>
      <w:fldChar w:fldCharType="begin"/>
    </w:r>
    <w:r w:rsidRPr="007E44A7">
      <w:rPr>
        <w:b/>
        <w:sz w:val="18"/>
      </w:rPr>
      <w:instrText xml:space="preserve"> PAGE  \* MERGEFORMAT </w:instrText>
    </w:r>
    <w:r w:rsidRPr="007E44A7">
      <w:rPr>
        <w:b/>
        <w:sz w:val="18"/>
      </w:rPr>
      <w:fldChar w:fldCharType="separate"/>
    </w:r>
    <w:r w:rsidR="00EE1E91">
      <w:rPr>
        <w:b/>
        <w:noProof/>
        <w:sz w:val="18"/>
      </w:rPr>
      <w:t>2</w:t>
    </w:r>
    <w:r w:rsidRPr="007E44A7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09" w:rsidRPr="007E44A7" w:rsidRDefault="00D81309" w:rsidP="00211D29">
    <w:pPr>
      <w:pStyle w:val="Footer"/>
      <w:tabs>
        <w:tab w:val="right" w:pos="9638"/>
      </w:tabs>
      <w:rPr>
        <w:b/>
        <w:sz w:val="18"/>
      </w:rPr>
    </w:pPr>
    <w:r>
      <w:tab/>
    </w:r>
    <w:r w:rsidRPr="007E44A7">
      <w:rPr>
        <w:b/>
        <w:sz w:val="18"/>
      </w:rPr>
      <w:fldChar w:fldCharType="begin"/>
    </w:r>
    <w:r w:rsidRPr="007E44A7">
      <w:rPr>
        <w:b/>
        <w:sz w:val="18"/>
      </w:rPr>
      <w:instrText xml:space="preserve"> PAGE  \* MERGEFORMAT </w:instrText>
    </w:r>
    <w:r w:rsidRPr="007E44A7">
      <w:rPr>
        <w:b/>
        <w:sz w:val="18"/>
      </w:rPr>
      <w:fldChar w:fldCharType="separate"/>
    </w:r>
    <w:r w:rsidR="00EE1E91">
      <w:rPr>
        <w:b/>
        <w:noProof/>
        <w:sz w:val="18"/>
      </w:rPr>
      <w:t>11</w:t>
    </w:r>
    <w:r w:rsidRPr="007E44A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97A" w:rsidRDefault="00C3497A" w:rsidP="00C3497A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92544" behindDoc="1" locked="1" layoutInCell="1" allowOverlap="1" wp14:anchorId="0AB8EDB2" wp14:editId="73837EC2">
          <wp:simplePos x="0" y="0"/>
          <wp:positionH relativeFrom="margin">
            <wp:posOffset>4320540</wp:posOffset>
          </wp:positionH>
          <wp:positionV relativeFrom="margin">
            <wp:posOffset>9145270</wp:posOffset>
          </wp:positionV>
          <wp:extent cx="932400" cy="23040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3497A" w:rsidRDefault="00C3497A" w:rsidP="00C3497A">
    <w:pPr>
      <w:pStyle w:val="Footer"/>
      <w:ind w:right="1134"/>
      <w:rPr>
        <w:sz w:val="20"/>
      </w:rPr>
    </w:pPr>
    <w:r>
      <w:rPr>
        <w:sz w:val="20"/>
      </w:rPr>
      <w:t>GE.17-17717(E)</w:t>
    </w:r>
  </w:p>
  <w:p w:rsidR="00C3497A" w:rsidRPr="00C3497A" w:rsidRDefault="00C3497A" w:rsidP="00C3497A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 w:eastAsia="en-US"/>
      </w:rPr>
      <w:drawing>
        <wp:anchor distT="0" distB="0" distL="114300" distR="114300" simplePos="0" relativeHeight="251693568" behindDoc="0" locked="0" layoutInCell="1" allowOverlap="1">
          <wp:simplePos x="0" y="0"/>
          <wp:positionH relativeFrom="margin">
            <wp:posOffset>5478780</wp:posOffset>
          </wp:positionH>
          <wp:positionV relativeFrom="margin">
            <wp:posOffset>8794750</wp:posOffset>
          </wp:positionV>
          <wp:extent cx="638175" cy="638175"/>
          <wp:effectExtent l="0" t="0" r="9525" b="9525"/>
          <wp:wrapNone/>
          <wp:docPr id="4" name="Picture 1" descr="https://undocs.org/m2/QRCode.ashx?DS=CCPR/C/120/D/2470/2014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CCPR/C/120/D/2470/2014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09" w:rsidRPr="007808C6" w:rsidRDefault="00D81309" w:rsidP="007808C6">
    <w:pPr>
      <w:pStyle w:val="Footer"/>
      <w:tabs>
        <w:tab w:val="right" w:pos="9598"/>
      </w:tabs>
    </w:pPr>
    <w:r w:rsidRPr="007808C6">
      <w:rPr>
        <w:b/>
        <w:sz w:val="18"/>
      </w:rPr>
      <w:fldChar w:fldCharType="begin"/>
    </w:r>
    <w:r w:rsidRPr="007808C6">
      <w:rPr>
        <w:b/>
        <w:sz w:val="18"/>
      </w:rPr>
      <w:instrText xml:space="preserve"> PAGE  \* MERGEFORMAT </w:instrText>
    </w:r>
    <w:r w:rsidRPr="007808C6">
      <w:rPr>
        <w:b/>
        <w:sz w:val="18"/>
      </w:rPr>
      <w:fldChar w:fldCharType="separate"/>
    </w:r>
    <w:r w:rsidR="00EE1E91">
      <w:rPr>
        <w:b/>
        <w:noProof/>
        <w:sz w:val="18"/>
      </w:rPr>
      <w:t>12</w:t>
    </w:r>
    <w:r w:rsidRPr="007808C6">
      <w:rPr>
        <w:b/>
        <w:sz w:val="18"/>
      </w:rPr>
      <w:fldChar w:fldCharType="end"/>
    </w:r>
    <w:r>
      <w:rPr>
        <w:sz w:val="18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09" w:rsidRPr="007808C6" w:rsidRDefault="00D81309" w:rsidP="007808C6">
    <w:pPr>
      <w:pStyle w:val="Footer"/>
      <w:tabs>
        <w:tab w:val="right" w:pos="9598"/>
      </w:tabs>
      <w:rPr>
        <w:b/>
        <w:sz w:val="18"/>
      </w:rPr>
    </w:pPr>
    <w:r>
      <w:tab/>
    </w:r>
    <w:r w:rsidRPr="007808C6">
      <w:rPr>
        <w:b/>
        <w:sz w:val="18"/>
      </w:rPr>
      <w:fldChar w:fldCharType="begin"/>
    </w:r>
    <w:r w:rsidRPr="007808C6">
      <w:rPr>
        <w:b/>
        <w:sz w:val="18"/>
      </w:rPr>
      <w:instrText xml:space="preserve"> PAGE  \* MERGEFORMAT </w:instrText>
    </w:r>
    <w:r w:rsidRPr="007808C6">
      <w:rPr>
        <w:b/>
        <w:sz w:val="18"/>
      </w:rPr>
      <w:fldChar w:fldCharType="separate"/>
    </w:r>
    <w:r w:rsidR="00EE1E91">
      <w:rPr>
        <w:b/>
        <w:noProof/>
        <w:sz w:val="18"/>
      </w:rPr>
      <w:t>13</w:t>
    </w:r>
    <w:r w:rsidRPr="007808C6">
      <w:rPr>
        <w:b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09" w:rsidRDefault="00D81309" w:rsidP="0006523D">
    <w:r>
      <w:rPr>
        <w:noProof/>
        <w:lang w:val="en-US"/>
      </w:rPr>
      <w:drawing>
        <wp:anchor distT="0" distB="0" distL="114300" distR="114300" simplePos="0" relativeHeight="251671040" behindDoc="0" locked="1" layoutInCell="1" allowOverlap="1" wp14:anchorId="5BBF165E" wp14:editId="4CC9F541">
          <wp:simplePos x="0" y="0"/>
          <wp:positionH relativeFrom="margin">
            <wp:posOffset>4319905</wp:posOffset>
          </wp:positionH>
          <wp:positionV relativeFrom="margin">
            <wp:posOffset>9114790</wp:posOffset>
          </wp:positionV>
          <wp:extent cx="930275" cy="230505"/>
          <wp:effectExtent l="0" t="0" r="3175" b="0"/>
          <wp:wrapSquare wrapText="bothSides"/>
          <wp:docPr id="2" name="Picture 2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1309" w:rsidRDefault="00D81309" w:rsidP="007808C6">
    <w:r>
      <w:t>GE.17-16855  (E)</w:t>
    </w:r>
  </w:p>
  <w:p w:rsidR="00D81309" w:rsidRPr="007808C6" w:rsidRDefault="00D81309" w:rsidP="007808C6">
    <w:pPr>
      <w:spacing w:line="240" w:lineRule="auto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</w:t>
    </w:r>
    <w:r>
      <w:rPr>
        <w:rFonts w:ascii="C39T30Lfz" w:hAnsi="C39T30Lfz"/>
        <w:sz w:val="56"/>
      </w:rPr>
      <w:t>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/>
      </w:rPr>
      <w:drawing>
        <wp:anchor distT="0" distB="0" distL="114300" distR="114300" simplePos="0" relativeHeight="251690496" behindDoc="0" locked="0" layoutInCell="1" allowOverlap="1">
          <wp:simplePos x="0" y="0"/>
          <wp:positionH relativeFrom="margin">
            <wp:posOffset>5478780</wp:posOffset>
          </wp:positionH>
          <wp:positionV relativeFrom="margin">
            <wp:posOffset>8794750</wp:posOffset>
          </wp:positionV>
          <wp:extent cx="638175" cy="638175"/>
          <wp:effectExtent l="0" t="0" r="9525" b="9525"/>
          <wp:wrapNone/>
          <wp:docPr id="3" name="Picture 1" descr="https://undocs.org/m2/QRCode.ashx?DS=CCPR/C/120/D/2470/2014&amp;Size=2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CCPR/C/120/D/2470/2014&amp;Size=2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A69" w:rsidRPr="00B903E5" w:rsidRDefault="008B7A69" w:rsidP="00B903E5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8B7A69" w:rsidRPr="00B903E5" w:rsidRDefault="008B7A69" w:rsidP="00B903E5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:rsidR="00D81309" w:rsidRPr="00400652" w:rsidRDefault="00D81309" w:rsidP="00D81309">
      <w:pPr>
        <w:pStyle w:val="FootnoteText"/>
      </w:pPr>
      <w:r>
        <w:tab/>
      </w:r>
      <w:r w:rsidRPr="00400652">
        <w:rPr>
          <w:sz w:val="20"/>
        </w:rPr>
        <w:t>*</w:t>
      </w:r>
      <w:r>
        <w:rPr>
          <w:sz w:val="20"/>
        </w:rPr>
        <w:tab/>
      </w:r>
      <w:r w:rsidRPr="004F2315">
        <w:t>Adopted</w:t>
      </w:r>
      <w:r>
        <w:t xml:space="preserve"> </w:t>
      </w:r>
      <w:r w:rsidRPr="004F2315">
        <w:t>by</w:t>
      </w:r>
      <w:r>
        <w:t xml:space="preserve"> </w:t>
      </w:r>
      <w:r w:rsidRPr="004F2315">
        <w:t>the</w:t>
      </w:r>
      <w:r>
        <w:t xml:space="preserve"> </w:t>
      </w:r>
      <w:r w:rsidRPr="004F2315">
        <w:t>Committee</w:t>
      </w:r>
      <w:r>
        <w:t xml:space="preserve"> </w:t>
      </w:r>
      <w:r w:rsidRPr="004F2315">
        <w:t>at</w:t>
      </w:r>
      <w:r>
        <w:t xml:space="preserve"> </w:t>
      </w:r>
      <w:r w:rsidRPr="004F2315">
        <w:t>its</w:t>
      </w:r>
      <w:r>
        <w:t xml:space="preserve"> </w:t>
      </w:r>
      <w:r w:rsidRPr="004F2315">
        <w:t>120</w:t>
      </w:r>
      <w:r w:rsidRPr="00123C7E">
        <w:t>th</w:t>
      </w:r>
      <w:r>
        <w:t xml:space="preserve"> </w:t>
      </w:r>
      <w:r w:rsidRPr="004F2315">
        <w:t>session</w:t>
      </w:r>
      <w:r>
        <w:t xml:space="preserve"> </w:t>
      </w:r>
      <w:r w:rsidRPr="004F2315">
        <w:t>(3-28</w:t>
      </w:r>
      <w:r>
        <w:t xml:space="preserve"> </w:t>
      </w:r>
      <w:r w:rsidRPr="004F2315">
        <w:t>July</w:t>
      </w:r>
      <w:r>
        <w:t xml:space="preserve"> </w:t>
      </w:r>
      <w:r w:rsidRPr="004F2315">
        <w:t>2017).</w:t>
      </w:r>
    </w:p>
  </w:footnote>
  <w:footnote w:id="2">
    <w:p w:rsidR="00D81309" w:rsidRPr="00400652" w:rsidRDefault="00D81309" w:rsidP="00D81309">
      <w:pPr>
        <w:pStyle w:val="FootnoteText"/>
      </w:pPr>
      <w:r>
        <w:tab/>
      </w:r>
      <w:r w:rsidRPr="00400652">
        <w:rPr>
          <w:sz w:val="20"/>
        </w:rPr>
        <w:t>**</w:t>
      </w:r>
      <w:r>
        <w:rPr>
          <w:sz w:val="20"/>
        </w:rPr>
        <w:tab/>
      </w:r>
      <w:r w:rsidRPr="004F2315">
        <w:t>The</w:t>
      </w:r>
      <w:r>
        <w:t xml:space="preserve"> </w:t>
      </w:r>
      <w:r w:rsidRPr="004F2315">
        <w:t>following</w:t>
      </w:r>
      <w:r>
        <w:t xml:space="preserve"> </w:t>
      </w:r>
      <w:r w:rsidRPr="004F2315">
        <w:t>members</w:t>
      </w:r>
      <w:r>
        <w:t xml:space="preserve"> </w:t>
      </w:r>
      <w:r w:rsidRPr="004F2315">
        <w:t>of</w:t>
      </w:r>
      <w:r>
        <w:t xml:space="preserve"> </w:t>
      </w:r>
      <w:r w:rsidRPr="004F2315">
        <w:t>the</w:t>
      </w:r>
      <w:r>
        <w:t xml:space="preserve"> </w:t>
      </w:r>
      <w:r w:rsidRPr="004F2315">
        <w:t>Committee</w:t>
      </w:r>
      <w:r>
        <w:t xml:space="preserve"> </w:t>
      </w:r>
      <w:r w:rsidRPr="004F2315">
        <w:t>participated</w:t>
      </w:r>
      <w:r>
        <w:t xml:space="preserve"> </w:t>
      </w:r>
      <w:r w:rsidRPr="004F2315">
        <w:t>in</w:t>
      </w:r>
      <w:r>
        <w:t xml:space="preserve"> </w:t>
      </w:r>
      <w:r w:rsidRPr="004F2315">
        <w:t>the</w:t>
      </w:r>
      <w:r>
        <w:t xml:space="preserve"> </w:t>
      </w:r>
      <w:r w:rsidRPr="004F2315">
        <w:t>examination</w:t>
      </w:r>
      <w:r>
        <w:t xml:space="preserve"> </w:t>
      </w:r>
      <w:r w:rsidRPr="004F2315">
        <w:t>of</w:t>
      </w:r>
      <w:r>
        <w:t xml:space="preserve"> </w:t>
      </w:r>
      <w:r w:rsidR="000C1B04">
        <w:t xml:space="preserve">the </w:t>
      </w:r>
      <w:r w:rsidRPr="004F2315">
        <w:t>present</w:t>
      </w:r>
      <w:r>
        <w:t xml:space="preserve"> </w:t>
      </w:r>
      <w:r w:rsidRPr="004F2315">
        <w:t>communication:</w:t>
      </w:r>
      <w:r>
        <w:t xml:space="preserve"> </w:t>
      </w:r>
      <w:r w:rsidRPr="004F2315">
        <w:t>Tania</w:t>
      </w:r>
      <w:r>
        <w:t xml:space="preserve"> </w:t>
      </w:r>
      <w:r w:rsidRPr="004F2315">
        <w:t>Mar</w:t>
      </w:r>
      <w:r w:rsidRPr="00123C7E">
        <w:t>í</w:t>
      </w:r>
      <w:r w:rsidRPr="004F2315">
        <w:t>a</w:t>
      </w:r>
      <w:r>
        <w:t xml:space="preserve"> </w:t>
      </w:r>
      <w:r w:rsidRPr="004F2315">
        <w:t>Abdo</w:t>
      </w:r>
      <w:r>
        <w:t xml:space="preserve"> </w:t>
      </w:r>
      <w:r w:rsidRPr="004F2315">
        <w:t>Rocholl,</w:t>
      </w:r>
      <w:r>
        <w:t xml:space="preserve"> </w:t>
      </w:r>
      <w:r w:rsidRPr="004F2315">
        <w:t>Yadh</w:t>
      </w:r>
      <w:r>
        <w:t xml:space="preserve"> </w:t>
      </w:r>
      <w:r w:rsidRPr="004F2315">
        <w:t>Ben</w:t>
      </w:r>
      <w:r>
        <w:t xml:space="preserve"> </w:t>
      </w:r>
      <w:r w:rsidRPr="004F2315">
        <w:t>Achour,</w:t>
      </w:r>
      <w:r>
        <w:t xml:space="preserve"> </w:t>
      </w:r>
      <w:r w:rsidRPr="004F2315">
        <w:t>Ilze</w:t>
      </w:r>
      <w:r>
        <w:t xml:space="preserve"> </w:t>
      </w:r>
      <w:r w:rsidRPr="004F2315">
        <w:t>Brands</w:t>
      </w:r>
      <w:r>
        <w:t xml:space="preserve"> </w:t>
      </w:r>
      <w:r w:rsidRPr="004F2315">
        <w:t>Kehris,</w:t>
      </w:r>
      <w:r>
        <w:t xml:space="preserve"> </w:t>
      </w:r>
      <w:r w:rsidRPr="004F2315">
        <w:t>Sarah</w:t>
      </w:r>
      <w:r>
        <w:t xml:space="preserve"> </w:t>
      </w:r>
      <w:r w:rsidRPr="004F2315">
        <w:t>Cleveland,</w:t>
      </w:r>
      <w:r>
        <w:t xml:space="preserve"> </w:t>
      </w:r>
      <w:r w:rsidRPr="00123C7E">
        <w:t>Ahmed</w:t>
      </w:r>
      <w:r>
        <w:t xml:space="preserve"> </w:t>
      </w:r>
      <w:r w:rsidRPr="00123C7E">
        <w:t>Amin</w:t>
      </w:r>
      <w:r>
        <w:t xml:space="preserve"> </w:t>
      </w:r>
      <w:r w:rsidRPr="00123C7E">
        <w:t>Fathalla,</w:t>
      </w:r>
      <w:r>
        <w:t xml:space="preserve"> </w:t>
      </w:r>
      <w:r w:rsidRPr="00123C7E">
        <w:t>Olivier</w:t>
      </w:r>
      <w:r>
        <w:t xml:space="preserve"> </w:t>
      </w:r>
      <w:r w:rsidRPr="00123C7E">
        <w:t>de</w:t>
      </w:r>
      <w:r>
        <w:t xml:space="preserve"> </w:t>
      </w:r>
      <w:r w:rsidRPr="00123C7E">
        <w:t>Frouville,</w:t>
      </w:r>
      <w:r>
        <w:t xml:space="preserve"> </w:t>
      </w:r>
      <w:r w:rsidRPr="00123C7E">
        <w:t>Christof</w:t>
      </w:r>
      <w:r>
        <w:t xml:space="preserve"> </w:t>
      </w:r>
      <w:r w:rsidRPr="00123C7E">
        <w:t>Heyns,</w:t>
      </w:r>
      <w:r>
        <w:t xml:space="preserve"> </w:t>
      </w:r>
      <w:r w:rsidRPr="00123C7E">
        <w:t>Yuji</w:t>
      </w:r>
      <w:r>
        <w:t xml:space="preserve"> </w:t>
      </w:r>
      <w:r w:rsidRPr="00123C7E">
        <w:t>Iwasawa,</w:t>
      </w:r>
      <w:r>
        <w:t xml:space="preserve"> </w:t>
      </w:r>
      <w:r w:rsidRPr="00123C7E">
        <w:t>Ivana</w:t>
      </w:r>
      <w:r>
        <w:t xml:space="preserve"> </w:t>
      </w:r>
      <w:r w:rsidRPr="00123C7E">
        <w:t>Jelić,</w:t>
      </w:r>
      <w:r>
        <w:t xml:space="preserve"> </w:t>
      </w:r>
      <w:r w:rsidRPr="00123C7E">
        <w:t>Bamariam</w:t>
      </w:r>
      <w:r>
        <w:t xml:space="preserve"> </w:t>
      </w:r>
      <w:r w:rsidRPr="00123C7E">
        <w:rPr>
          <w:lang w:val="fr-CH"/>
        </w:rPr>
        <w:t>Koita,</w:t>
      </w:r>
      <w:r>
        <w:rPr>
          <w:lang w:val="fr-CH"/>
        </w:rPr>
        <w:t xml:space="preserve"> </w:t>
      </w:r>
      <w:r w:rsidRPr="00123C7E">
        <w:rPr>
          <w:lang w:val="fr-CH"/>
        </w:rPr>
        <w:t>Marcia</w:t>
      </w:r>
      <w:r>
        <w:rPr>
          <w:lang w:val="fr-CH"/>
        </w:rPr>
        <w:t xml:space="preserve"> </w:t>
      </w:r>
      <w:r w:rsidRPr="00123C7E">
        <w:rPr>
          <w:lang w:val="fr-CH"/>
        </w:rPr>
        <w:t>V.J.</w:t>
      </w:r>
      <w:r>
        <w:rPr>
          <w:lang w:val="fr-CH"/>
        </w:rPr>
        <w:t xml:space="preserve"> </w:t>
      </w:r>
      <w:r w:rsidRPr="00123C7E">
        <w:rPr>
          <w:lang w:val="fr-CH"/>
        </w:rPr>
        <w:t>Kran,</w:t>
      </w:r>
      <w:r>
        <w:rPr>
          <w:lang w:val="fr-CH"/>
        </w:rPr>
        <w:t xml:space="preserve"> </w:t>
      </w:r>
      <w:r w:rsidRPr="00123C7E">
        <w:rPr>
          <w:lang w:val="fr-CH"/>
        </w:rPr>
        <w:t>Duncan</w:t>
      </w:r>
      <w:r>
        <w:rPr>
          <w:lang w:val="fr-CH"/>
        </w:rPr>
        <w:t xml:space="preserve"> </w:t>
      </w:r>
      <w:r w:rsidRPr="00123C7E">
        <w:rPr>
          <w:lang w:val="fr-CH"/>
        </w:rPr>
        <w:t>Laki</w:t>
      </w:r>
      <w:r>
        <w:rPr>
          <w:lang w:val="fr-CH"/>
        </w:rPr>
        <w:t xml:space="preserve"> </w:t>
      </w:r>
      <w:r w:rsidRPr="00123C7E">
        <w:rPr>
          <w:lang w:val="fr-CH"/>
        </w:rPr>
        <w:t>Muhumuza,</w:t>
      </w:r>
      <w:r>
        <w:rPr>
          <w:lang w:val="fr-CH"/>
        </w:rPr>
        <w:t xml:space="preserve"> </w:t>
      </w:r>
      <w:r w:rsidRPr="00123C7E">
        <w:rPr>
          <w:lang w:val="fr-CH"/>
        </w:rPr>
        <w:t>Photini</w:t>
      </w:r>
      <w:r>
        <w:rPr>
          <w:lang w:val="fr-CH"/>
        </w:rPr>
        <w:t xml:space="preserve"> </w:t>
      </w:r>
      <w:r w:rsidRPr="00123C7E">
        <w:rPr>
          <w:lang w:val="fr-CH"/>
        </w:rPr>
        <w:t>Pazartzis,</w:t>
      </w:r>
      <w:r>
        <w:rPr>
          <w:lang w:val="fr-CH"/>
        </w:rPr>
        <w:t xml:space="preserve"> </w:t>
      </w:r>
      <w:r w:rsidRPr="004F2315">
        <w:t>José</w:t>
      </w:r>
      <w:r>
        <w:t xml:space="preserve"> </w:t>
      </w:r>
      <w:r w:rsidRPr="004F2315">
        <w:t>Manuel</w:t>
      </w:r>
      <w:r>
        <w:t xml:space="preserve"> </w:t>
      </w:r>
      <w:r w:rsidRPr="004F2315">
        <w:t>Santos</w:t>
      </w:r>
      <w:r>
        <w:t xml:space="preserve"> </w:t>
      </w:r>
      <w:r w:rsidRPr="004F2315">
        <w:t>Pais,</w:t>
      </w:r>
      <w:r>
        <w:t xml:space="preserve"> </w:t>
      </w:r>
      <w:r w:rsidRPr="004F2315">
        <w:t>Yuval</w:t>
      </w:r>
      <w:r>
        <w:t xml:space="preserve"> </w:t>
      </w:r>
      <w:r w:rsidRPr="004F2315">
        <w:t>Shany</w:t>
      </w:r>
      <w:r>
        <w:t xml:space="preserve"> </w:t>
      </w:r>
      <w:r w:rsidRPr="004F2315">
        <w:t>and</w:t>
      </w:r>
      <w:r>
        <w:t xml:space="preserve"> </w:t>
      </w:r>
      <w:r w:rsidRPr="004F2315">
        <w:t>Margo</w:t>
      </w:r>
      <w:r>
        <w:t xml:space="preserve"> </w:t>
      </w:r>
      <w:r w:rsidRPr="004F2315">
        <w:t>Waterval</w:t>
      </w:r>
      <w:r w:rsidRPr="004F2315">
        <w:rPr>
          <w:bCs/>
        </w:rPr>
        <w:t>.</w:t>
      </w:r>
    </w:p>
  </w:footnote>
  <w:footnote w:id="3">
    <w:p w:rsidR="00D81309" w:rsidRPr="0083704F" w:rsidRDefault="00D81309" w:rsidP="00D81309">
      <w:pPr>
        <w:pStyle w:val="FootnoteText"/>
      </w:pPr>
      <w:r>
        <w:tab/>
      </w:r>
      <w:r w:rsidRPr="0083704F">
        <w:rPr>
          <w:sz w:val="20"/>
        </w:rPr>
        <w:t>***</w:t>
      </w:r>
      <w:r>
        <w:rPr>
          <w:sz w:val="20"/>
        </w:rPr>
        <w:tab/>
      </w:r>
      <w:r>
        <w:t xml:space="preserve">A joint </w:t>
      </w:r>
      <w:r w:rsidRPr="00DF23DE">
        <w:t>opinion</w:t>
      </w:r>
      <w:r>
        <w:t xml:space="preserve"> by </w:t>
      </w:r>
      <w:r w:rsidRPr="00DF23DE">
        <w:t>Committee</w:t>
      </w:r>
      <w:r>
        <w:t xml:space="preserve"> </w:t>
      </w:r>
      <w:r w:rsidRPr="00DF23DE">
        <w:t>member</w:t>
      </w:r>
      <w:r>
        <w:t xml:space="preserve">s </w:t>
      </w:r>
      <w:r w:rsidRPr="0020307A">
        <w:t>Yuval</w:t>
      </w:r>
      <w:r>
        <w:t xml:space="preserve"> </w:t>
      </w:r>
      <w:r w:rsidRPr="0020307A">
        <w:t>Shany,</w:t>
      </w:r>
      <w:r>
        <w:t xml:space="preserve"> </w:t>
      </w:r>
      <w:r w:rsidRPr="0020307A">
        <w:t>Christof</w:t>
      </w:r>
      <w:r>
        <w:t xml:space="preserve"> </w:t>
      </w:r>
      <w:r w:rsidRPr="0020307A">
        <w:t>Heyns</w:t>
      </w:r>
      <w:r>
        <w:t xml:space="preserve"> </w:t>
      </w:r>
      <w:r w:rsidRPr="0020307A">
        <w:t>and</w:t>
      </w:r>
      <w:r>
        <w:t xml:space="preserve"> </w:t>
      </w:r>
      <w:r w:rsidRPr="0020307A">
        <w:t>Photini</w:t>
      </w:r>
      <w:r>
        <w:t xml:space="preserve"> </w:t>
      </w:r>
      <w:r w:rsidRPr="0020307A">
        <w:t>Pazartzis</w:t>
      </w:r>
      <w:r>
        <w:t xml:space="preserve"> </w:t>
      </w:r>
      <w:r w:rsidRPr="00185783">
        <w:t>(</w:t>
      </w:r>
      <w:r w:rsidRPr="00295AD5">
        <w:t>dissenting</w:t>
      </w:r>
      <w:r w:rsidRPr="0020307A">
        <w:t>)</w:t>
      </w:r>
      <w:r>
        <w:t xml:space="preserve"> </w:t>
      </w:r>
      <w:r w:rsidRPr="00DF23DE">
        <w:t>is</w:t>
      </w:r>
      <w:r>
        <w:t xml:space="preserve"> </w:t>
      </w:r>
      <w:r w:rsidRPr="00DF23DE">
        <w:t>a</w:t>
      </w:r>
      <w:r>
        <w:t xml:space="preserve">nnexed </w:t>
      </w:r>
      <w:r w:rsidRPr="00DF23DE">
        <w:t>to</w:t>
      </w:r>
      <w:r>
        <w:t xml:space="preserve"> </w:t>
      </w:r>
      <w:r w:rsidRPr="00DF23DE">
        <w:t>the</w:t>
      </w:r>
      <w:r>
        <w:t xml:space="preserve"> </w:t>
      </w:r>
      <w:r w:rsidRPr="00DF23DE">
        <w:t>present</w:t>
      </w:r>
      <w:r>
        <w:t xml:space="preserve"> Views.</w:t>
      </w:r>
    </w:p>
  </w:footnote>
  <w:footnote w:id="4">
    <w:p w:rsidR="00D81309" w:rsidRPr="00123C7E" w:rsidRDefault="00D81309" w:rsidP="00D81309">
      <w:pPr>
        <w:pStyle w:val="FootnoteText"/>
        <w:rPr>
          <w:lang w:val="en-US"/>
        </w:rPr>
      </w:pPr>
      <w:r>
        <w:tab/>
      </w:r>
      <w:r w:rsidRPr="00D81309">
        <w:rPr>
          <w:rStyle w:val="FootnoteReference"/>
        </w:rPr>
        <w:footnoteRef/>
      </w:r>
      <w:r>
        <w:tab/>
      </w:r>
      <w:r w:rsidRPr="00123C7E">
        <w:t>Application</w:t>
      </w:r>
      <w:r>
        <w:t xml:space="preserve"> </w:t>
      </w:r>
      <w:r w:rsidRPr="00123C7E">
        <w:t>No.</w:t>
      </w:r>
      <w:r>
        <w:t xml:space="preserve"> </w:t>
      </w:r>
      <w:r w:rsidRPr="00123C7E">
        <w:t>27725/10</w:t>
      </w:r>
      <w:r w:rsidRPr="002A5C92">
        <w:t>,</w:t>
      </w:r>
      <w:r>
        <w:t xml:space="preserve"> </w:t>
      </w:r>
      <w:r w:rsidRPr="002A5C92">
        <w:t>decision</w:t>
      </w:r>
      <w:r>
        <w:t xml:space="preserve"> </w:t>
      </w:r>
      <w:r w:rsidRPr="002A5C92">
        <w:t>of</w:t>
      </w:r>
      <w:r>
        <w:t xml:space="preserve"> </w:t>
      </w:r>
      <w:r w:rsidRPr="002A5C92">
        <w:t>2</w:t>
      </w:r>
      <w:r>
        <w:t xml:space="preserve"> </w:t>
      </w:r>
      <w:r w:rsidRPr="002A5C92">
        <w:t>April</w:t>
      </w:r>
      <w:r>
        <w:t xml:space="preserve"> </w:t>
      </w:r>
      <w:r w:rsidRPr="002A5C92">
        <w:t>2013.</w:t>
      </w:r>
    </w:p>
  </w:footnote>
  <w:footnote w:id="5">
    <w:p w:rsidR="00D81309" w:rsidRPr="00B22165" w:rsidRDefault="00D81309" w:rsidP="00D81309">
      <w:pPr>
        <w:pStyle w:val="FootnoteText"/>
      </w:pPr>
      <w:r w:rsidRPr="004F2315">
        <w:tab/>
      </w:r>
      <w:r w:rsidRPr="00D81309">
        <w:rPr>
          <w:rStyle w:val="FootnoteReference"/>
        </w:rPr>
        <w:footnoteRef/>
      </w:r>
      <w:r>
        <w:t xml:space="preserve"> </w:t>
      </w:r>
      <w:r w:rsidRPr="00B22165">
        <w:tab/>
        <w:t>The</w:t>
      </w:r>
      <w:r>
        <w:t xml:space="preserve"> </w:t>
      </w:r>
      <w:r w:rsidRPr="00123C7E">
        <w:t>Board</w:t>
      </w:r>
      <w:r w:rsidR="005766A0">
        <w:t>’</w:t>
      </w:r>
      <w:r w:rsidRPr="00B22165">
        <w:t>s</w:t>
      </w:r>
      <w:r>
        <w:t xml:space="preserve"> </w:t>
      </w:r>
      <w:r w:rsidRPr="00B22165">
        <w:t>decision</w:t>
      </w:r>
      <w:r>
        <w:t xml:space="preserve"> </w:t>
      </w:r>
      <w:r w:rsidRPr="00B22165">
        <w:t>of</w:t>
      </w:r>
      <w:r>
        <w:t xml:space="preserve"> </w:t>
      </w:r>
      <w:r w:rsidRPr="00B22165">
        <w:t>13</w:t>
      </w:r>
      <w:r>
        <w:t xml:space="preserve"> </w:t>
      </w:r>
      <w:r w:rsidRPr="00B22165">
        <w:t>January</w:t>
      </w:r>
      <w:r>
        <w:t xml:space="preserve"> </w:t>
      </w:r>
      <w:r w:rsidRPr="00B22165">
        <w:t>2014</w:t>
      </w:r>
      <w:r>
        <w:t xml:space="preserve"> </w:t>
      </w:r>
      <w:r w:rsidRPr="00B22165">
        <w:t>refers</w:t>
      </w:r>
      <w:r>
        <w:t xml:space="preserve"> </w:t>
      </w:r>
      <w:r w:rsidRPr="00B22165">
        <w:t>to</w:t>
      </w:r>
      <w:r>
        <w:t xml:space="preserve"> </w:t>
      </w:r>
      <w:r w:rsidRPr="00B22165">
        <w:t>the</w:t>
      </w:r>
      <w:r>
        <w:t xml:space="preserve"> </w:t>
      </w:r>
      <w:r w:rsidRPr="00123C7E">
        <w:t>decision</w:t>
      </w:r>
      <w:r>
        <w:t xml:space="preserve"> </w:t>
      </w:r>
      <w:r w:rsidRPr="00123C7E">
        <w:t>of</w:t>
      </w:r>
      <w:r>
        <w:t xml:space="preserve"> </w:t>
      </w:r>
      <w:r w:rsidRPr="00123C7E">
        <w:t>the</w:t>
      </w:r>
      <w:r>
        <w:t xml:space="preserve"> </w:t>
      </w:r>
      <w:r w:rsidRPr="00123C7E">
        <w:t>European</w:t>
      </w:r>
      <w:r>
        <w:t xml:space="preserve"> </w:t>
      </w:r>
      <w:r w:rsidRPr="00123C7E">
        <w:t>Court</w:t>
      </w:r>
      <w:r>
        <w:t xml:space="preserve"> </w:t>
      </w:r>
      <w:r w:rsidRPr="00123C7E">
        <w:t>in</w:t>
      </w:r>
      <w:r>
        <w:t xml:space="preserve"> </w:t>
      </w:r>
      <w:r w:rsidRPr="00123C7E">
        <w:rPr>
          <w:i/>
        </w:rPr>
        <w:t>Samsam</w:t>
      </w:r>
      <w:r>
        <w:rPr>
          <w:i/>
        </w:rPr>
        <w:t xml:space="preserve"> </w:t>
      </w:r>
      <w:r w:rsidRPr="00123C7E">
        <w:rPr>
          <w:i/>
        </w:rPr>
        <w:t>Mohammed</w:t>
      </w:r>
      <w:r>
        <w:rPr>
          <w:i/>
        </w:rPr>
        <w:t xml:space="preserve"> </w:t>
      </w:r>
      <w:r w:rsidRPr="00123C7E">
        <w:rPr>
          <w:i/>
        </w:rPr>
        <w:t>Hussein</w:t>
      </w:r>
      <w:r>
        <w:rPr>
          <w:i/>
        </w:rPr>
        <w:t xml:space="preserve"> </w:t>
      </w:r>
      <w:r w:rsidRPr="00123C7E">
        <w:rPr>
          <w:i/>
        </w:rPr>
        <w:t>and</w:t>
      </w:r>
      <w:r>
        <w:rPr>
          <w:i/>
        </w:rPr>
        <w:t xml:space="preserve"> </w:t>
      </w:r>
      <w:r w:rsidRPr="00123C7E">
        <w:rPr>
          <w:i/>
        </w:rPr>
        <w:t>Others</w:t>
      </w:r>
      <w:r>
        <w:rPr>
          <w:i/>
        </w:rPr>
        <w:t xml:space="preserve"> </w:t>
      </w:r>
      <w:r w:rsidRPr="00123C7E">
        <w:rPr>
          <w:i/>
        </w:rPr>
        <w:t>v.</w:t>
      </w:r>
      <w:r>
        <w:rPr>
          <w:i/>
        </w:rPr>
        <w:t xml:space="preserve"> </w:t>
      </w:r>
      <w:r w:rsidRPr="00123C7E">
        <w:rPr>
          <w:i/>
        </w:rPr>
        <w:t>the</w:t>
      </w:r>
      <w:r>
        <w:rPr>
          <w:i/>
        </w:rPr>
        <w:t xml:space="preserve"> </w:t>
      </w:r>
      <w:r w:rsidRPr="00123C7E">
        <w:rPr>
          <w:i/>
        </w:rPr>
        <w:t>Netherlands</w:t>
      </w:r>
      <w:r>
        <w:rPr>
          <w:i/>
        </w:rPr>
        <w:t xml:space="preserve"> </w:t>
      </w:r>
      <w:r w:rsidRPr="00123C7E">
        <w:rPr>
          <w:i/>
        </w:rPr>
        <w:t>and</w:t>
      </w:r>
      <w:r>
        <w:rPr>
          <w:i/>
        </w:rPr>
        <w:t xml:space="preserve"> </w:t>
      </w:r>
      <w:r w:rsidRPr="00123C7E">
        <w:rPr>
          <w:i/>
        </w:rPr>
        <w:t>Italy</w:t>
      </w:r>
      <w:r w:rsidRPr="00B22165">
        <w:t>,</w:t>
      </w:r>
      <w:r>
        <w:t xml:space="preserve"> </w:t>
      </w:r>
      <w:r w:rsidRPr="00B22165">
        <w:t>paras.</w:t>
      </w:r>
      <w:r>
        <w:t xml:space="preserve"> </w:t>
      </w:r>
      <w:r w:rsidRPr="00B22165">
        <w:t>37-39.</w:t>
      </w:r>
    </w:p>
  </w:footnote>
  <w:footnote w:id="6">
    <w:p w:rsidR="00D81309" w:rsidRPr="00123C7E" w:rsidRDefault="00D81309" w:rsidP="00D81309">
      <w:pPr>
        <w:pStyle w:val="FootnoteText"/>
        <w:rPr>
          <w:highlight w:val="yellow"/>
        </w:rPr>
      </w:pPr>
      <w:r w:rsidRPr="00B22165">
        <w:tab/>
      </w:r>
      <w:r w:rsidRPr="00D81309">
        <w:rPr>
          <w:rStyle w:val="FootnoteReference"/>
        </w:rPr>
        <w:footnoteRef/>
      </w:r>
      <w:r w:rsidRPr="00B22165">
        <w:tab/>
        <w:t>Section</w:t>
      </w:r>
      <w:r>
        <w:t xml:space="preserve"> </w:t>
      </w:r>
      <w:r w:rsidRPr="00B22165">
        <w:t>7</w:t>
      </w:r>
      <w:r>
        <w:t xml:space="preserve"> </w:t>
      </w:r>
      <w:r w:rsidRPr="00B22165">
        <w:t>(2)</w:t>
      </w:r>
      <w:r>
        <w:t xml:space="preserve"> </w:t>
      </w:r>
      <w:r w:rsidRPr="00B22165">
        <w:t>establishes:</w:t>
      </w:r>
      <w:r>
        <w:t xml:space="preserve"> </w:t>
      </w:r>
      <w:r w:rsidR="005766A0">
        <w:t>“</w:t>
      </w:r>
      <w:r w:rsidRPr="00B22165">
        <w:t>Upon</w:t>
      </w:r>
      <w:r>
        <w:t xml:space="preserve"> </w:t>
      </w:r>
      <w:r w:rsidRPr="00B22165">
        <w:t>application,</w:t>
      </w:r>
      <w:r>
        <w:t xml:space="preserve"> </w:t>
      </w:r>
      <w:r w:rsidRPr="00B22165">
        <w:t>a</w:t>
      </w:r>
      <w:r>
        <w:t xml:space="preserve"> </w:t>
      </w:r>
      <w:r w:rsidRPr="00B22165">
        <w:t>residence</w:t>
      </w:r>
      <w:r>
        <w:t xml:space="preserve"> </w:t>
      </w:r>
      <w:r w:rsidRPr="00B22165">
        <w:t>permit</w:t>
      </w:r>
      <w:r>
        <w:t xml:space="preserve"> </w:t>
      </w:r>
      <w:r w:rsidRPr="00B22165">
        <w:t>will</w:t>
      </w:r>
      <w:r>
        <w:t xml:space="preserve"> </w:t>
      </w:r>
      <w:r w:rsidRPr="00B22165">
        <w:t>be</w:t>
      </w:r>
      <w:r>
        <w:t xml:space="preserve"> </w:t>
      </w:r>
      <w:r w:rsidRPr="00B22165">
        <w:t>issued</w:t>
      </w:r>
      <w:r>
        <w:t xml:space="preserve"> </w:t>
      </w:r>
      <w:r w:rsidRPr="00B22165">
        <w:t>to</w:t>
      </w:r>
      <w:r>
        <w:t xml:space="preserve"> </w:t>
      </w:r>
      <w:r w:rsidRPr="00B22165">
        <w:t>an</w:t>
      </w:r>
      <w:r>
        <w:t xml:space="preserve"> </w:t>
      </w:r>
      <w:r w:rsidRPr="00B22165">
        <w:t>alien</w:t>
      </w:r>
      <w:r>
        <w:t xml:space="preserve"> </w:t>
      </w:r>
      <w:r w:rsidRPr="00B22165">
        <w:t>if</w:t>
      </w:r>
      <w:r>
        <w:t xml:space="preserve"> </w:t>
      </w:r>
      <w:r w:rsidRPr="00B22165">
        <w:t>the</w:t>
      </w:r>
      <w:r>
        <w:t xml:space="preserve"> </w:t>
      </w:r>
      <w:r w:rsidRPr="00B22165">
        <w:t>alien</w:t>
      </w:r>
      <w:r>
        <w:t xml:space="preserve"> </w:t>
      </w:r>
      <w:r w:rsidRPr="00B22165">
        <w:t>risks</w:t>
      </w:r>
      <w:r>
        <w:t xml:space="preserve"> </w:t>
      </w:r>
      <w:r w:rsidRPr="00B22165">
        <w:t>the</w:t>
      </w:r>
      <w:r>
        <w:t xml:space="preserve"> </w:t>
      </w:r>
      <w:r w:rsidRPr="00B22165">
        <w:t>death</w:t>
      </w:r>
      <w:r>
        <w:t xml:space="preserve"> </w:t>
      </w:r>
      <w:r w:rsidRPr="00B22165">
        <w:t>penalty</w:t>
      </w:r>
      <w:r>
        <w:t xml:space="preserve"> </w:t>
      </w:r>
      <w:r w:rsidRPr="00B22165">
        <w:t>or</w:t>
      </w:r>
      <w:r>
        <w:t xml:space="preserve"> </w:t>
      </w:r>
      <w:r w:rsidRPr="00B22165">
        <w:t>being</w:t>
      </w:r>
      <w:r>
        <w:t xml:space="preserve"> </w:t>
      </w:r>
      <w:r w:rsidRPr="00B22165">
        <w:t>subjected</w:t>
      </w:r>
      <w:r>
        <w:t xml:space="preserve"> </w:t>
      </w:r>
      <w:r w:rsidRPr="00B22165">
        <w:t>to</w:t>
      </w:r>
      <w:r>
        <w:t xml:space="preserve"> </w:t>
      </w:r>
      <w:r w:rsidRPr="00B22165">
        <w:t>torture</w:t>
      </w:r>
      <w:r>
        <w:t xml:space="preserve"> </w:t>
      </w:r>
      <w:r w:rsidRPr="00B22165">
        <w:t>or</w:t>
      </w:r>
      <w:r>
        <w:t xml:space="preserve"> </w:t>
      </w:r>
      <w:r w:rsidRPr="00B22165">
        <w:t>inhuman</w:t>
      </w:r>
      <w:r>
        <w:t xml:space="preserve"> </w:t>
      </w:r>
      <w:r w:rsidRPr="00B22165">
        <w:t>or</w:t>
      </w:r>
      <w:r>
        <w:t xml:space="preserve"> </w:t>
      </w:r>
      <w:r w:rsidRPr="00B22165">
        <w:t>degrading</w:t>
      </w:r>
      <w:r>
        <w:t xml:space="preserve"> </w:t>
      </w:r>
      <w:r w:rsidRPr="00B22165">
        <w:t>treatment</w:t>
      </w:r>
      <w:r>
        <w:t xml:space="preserve"> </w:t>
      </w:r>
      <w:r w:rsidRPr="00B22165">
        <w:t>or</w:t>
      </w:r>
      <w:r>
        <w:t xml:space="preserve"> </w:t>
      </w:r>
      <w:r w:rsidRPr="00B22165">
        <w:t>punishment</w:t>
      </w:r>
      <w:r>
        <w:t xml:space="preserve"> </w:t>
      </w:r>
      <w:r w:rsidRPr="00B22165">
        <w:t>in</w:t>
      </w:r>
      <w:r>
        <w:t xml:space="preserve"> </w:t>
      </w:r>
      <w:r w:rsidRPr="00B22165">
        <w:t>case</w:t>
      </w:r>
      <w:r>
        <w:t xml:space="preserve"> </w:t>
      </w:r>
      <w:r w:rsidRPr="00B22165">
        <w:t>of</w:t>
      </w:r>
      <w:r>
        <w:t xml:space="preserve"> </w:t>
      </w:r>
      <w:r w:rsidRPr="00B22165">
        <w:t>return</w:t>
      </w:r>
      <w:r>
        <w:t xml:space="preserve"> </w:t>
      </w:r>
      <w:r w:rsidRPr="00B22165">
        <w:t>to</w:t>
      </w:r>
      <w:r>
        <w:t xml:space="preserve"> </w:t>
      </w:r>
      <w:r w:rsidRPr="00B22165">
        <w:t>his</w:t>
      </w:r>
      <w:r>
        <w:t xml:space="preserve"> </w:t>
      </w:r>
      <w:r w:rsidRPr="00B22165">
        <w:t>country</w:t>
      </w:r>
      <w:r>
        <w:t xml:space="preserve"> </w:t>
      </w:r>
      <w:r w:rsidRPr="00B22165">
        <w:t>of</w:t>
      </w:r>
      <w:r>
        <w:t xml:space="preserve"> </w:t>
      </w:r>
      <w:r w:rsidRPr="00B22165">
        <w:t>origin.</w:t>
      </w:r>
      <w:r w:rsidR="005766A0">
        <w:t>”</w:t>
      </w:r>
    </w:p>
  </w:footnote>
  <w:footnote w:id="7">
    <w:p w:rsidR="00D81309" w:rsidRPr="00492324" w:rsidRDefault="00D81309" w:rsidP="00D81309">
      <w:pPr>
        <w:pStyle w:val="FootnoteText"/>
      </w:pPr>
      <w:r w:rsidRPr="00B22165">
        <w:tab/>
      </w:r>
      <w:r w:rsidRPr="00D81309">
        <w:rPr>
          <w:rStyle w:val="FootnoteReference"/>
        </w:rPr>
        <w:footnoteRef/>
      </w:r>
      <w:r w:rsidRPr="00B22165">
        <w:tab/>
        <w:t>Section</w:t>
      </w:r>
      <w:r>
        <w:t xml:space="preserve"> </w:t>
      </w:r>
      <w:r w:rsidRPr="00B22165">
        <w:t>7</w:t>
      </w:r>
      <w:r>
        <w:t xml:space="preserve"> </w:t>
      </w:r>
      <w:r w:rsidRPr="00B22165">
        <w:t>(3)</w:t>
      </w:r>
      <w:r>
        <w:t xml:space="preserve"> </w:t>
      </w:r>
      <w:r w:rsidRPr="00B22165">
        <w:t>establishes:</w:t>
      </w:r>
      <w:r>
        <w:t xml:space="preserve"> </w:t>
      </w:r>
      <w:r w:rsidR="005766A0">
        <w:t>“</w:t>
      </w:r>
      <w:r w:rsidRPr="00B22165">
        <w:t>A</w:t>
      </w:r>
      <w:r>
        <w:t xml:space="preserve"> </w:t>
      </w:r>
      <w:r w:rsidRPr="00B22165">
        <w:t>residence</w:t>
      </w:r>
      <w:r>
        <w:t xml:space="preserve"> </w:t>
      </w:r>
      <w:r w:rsidRPr="00B22165">
        <w:t>permit</w:t>
      </w:r>
      <w:r>
        <w:t xml:space="preserve"> </w:t>
      </w:r>
      <w:r w:rsidRPr="00B22165">
        <w:t>under</w:t>
      </w:r>
      <w:r>
        <w:t xml:space="preserve"> </w:t>
      </w:r>
      <w:r w:rsidRPr="00B22165">
        <w:t>subsections</w:t>
      </w:r>
      <w:r>
        <w:t xml:space="preserve"> </w:t>
      </w:r>
      <w:r w:rsidRPr="00B22165">
        <w:t>(1)</w:t>
      </w:r>
      <w:r>
        <w:t xml:space="preserve"> </w:t>
      </w:r>
      <w:r w:rsidRPr="00B22165">
        <w:t>and</w:t>
      </w:r>
      <w:r>
        <w:t xml:space="preserve"> </w:t>
      </w:r>
      <w:r w:rsidRPr="00B22165">
        <w:t>(2)</w:t>
      </w:r>
      <w:r>
        <w:t xml:space="preserve"> </w:t>
      </w:r>
      <w:r w:rsidRPr="00B22165">
        <w:t>may</w:t>
      </w:r>
      <w:r>
        <w:t xml:space="preserve"> </w:t>
      </w:r>
      <w:r w:rsidRPr="00B22165">
        <w:t>be</w:t>
      </w:r>
      <w:r>
        <w:t xml:space="preserve"> </w:t>
      </w:r>
      <w:r w:rsidRPr="00B22165">
        <w:t>refused</w:t>
      </w:r>
      <w:r>
        <w:t xml:space="preserve"> </w:t>
      </w:r>
      <w:r w:rsidRPr="00B22165">
        <w:t>if</w:t>
      </w:r>
      <w:r>
        <w:t xml:space="preserve"> </w:t>
      </w:r>
      <w:r w:rsidRPr="00B22165">
        <w:t>the</w:t>
      </w:r>
      <w:r>
        <w:t xml:space="preserve"> </w:t>
      </w:r>
      <w:r w:rsidRPr="00B22165">
        <w:t>alien</w:t>
      </w:r>
      <w:r>
        <w:t xml:space="preserve"> </w:t>
      </w:r>
      <w:r w:rsidRPr="00B22165">
        <w:t>has</w:t>
      </w:r>
      <w:r>
        <w:t xml:space="preserve"> </w:t>
      </w:r>
      <w:r w:rsidRPr="00B22165">
        <w:t>already</w:t>
      </w:r>
      <w:r>
        <w:t xml:space="preserve"> </w:t>
      </w:r>
      <w:r w:rsidRPr="00B22165">
        <w:t>obtained</w:t>
      </w:r>
      <w:r>
        <w:t xml:space="preserve"> </w:t>
      </w:r>
      <w:r w:rsidRPr="00B22165">
        <w:t>protection</w:t>
      </w:r>
      <w:r>
        <w:t xml:space="preserve"> </w:t>
      </w:r>
      <w:r w:rsidRPr="00B22165">
        <w:t>in</w:t>
      </w:r>
      <w:r>
        <w:t xml:space="preserve"> </w:t>
      </w:r>
      <w:r w:rsidRPr="00B22165">
        <w:t>another</w:t>
      </w:r>
      <w:r>
        <w:t xml:space="preserve"> </w:t>
      </w:r>
      <w:r w:rsidRPr="00B22165">
        <w:t>country,</w:t>
      </w:r>
      <w:r>
        <w:t xml:space="preserve"> </w:t>
      </w:r>
      <w:r w:rsidRPr="00B22165">
        <w:t>or</w:t>
      </w:r>
      <w:r>
        <w:t xml:space="preserve"> </w:t>
      </w:r>
      <w:r w:rsidRPr="00B22165">
        <w:t>if</w:t>
      </w:r>
      <w:r>
        <w:t xml:space="preserve"> </w:t>
      </w:r>
      <w:r w:rsidRPr="00B22165">
        <w:t>the</w:t>
      </w:r>
      <w:r>
        <w:t xml:space="preserve"> </w:t>
      </w:r>
      <w:r w:rsidRPr="00B22165">
        <w:t>alien</w:t>
      </w:r>
      <w:r>
        <w:t xml:space="preserve"> </w:t>
      </w:r>
      <w:r w:rsidRPr="00B22165">
        <w:t>has</w:t>
      </w:r>
      <w:r>
        <w:t xml:space="preserve"> </w:t>
      </w:r>
      <w:r w:rsidRPr="00B22165">
        <w:t>close</w:t>
      </w:r>
      <w:r>
        <w:t xml:space="preserve"> </w:t>
      </w:r>
      <w:r w:rsidRPr="00B22165">
        <w:t>ties</w:t>
      </w:r>
      <w:r>
        <w:t xml:space="preserve"> </w:t>
      </w:r>
      <w:r w:rsidRPr="00B22165">
        <w:t>with</w:t>
      </w:r>
      <w:r>
        <w:t xml:space="preserve"> </w:t>
      </w:r>
      <w:r w:rsidRPr="00B22165">
        <w:t>another</w:t>
      </w:r>
      <w:r>
        <w:t xml:space="preserve"> </w:t>
      </w:r>
      <w:r w:rsidRPr="00492324">
        <w:t>country</w:t>
      </w:r>
      <w:r>
        <w:t xml:space="preserve"> </w:t>
      </w:r>
      <w:r w:rsidRPr="00492324">
        <w:t>where</w:t>
      </w:r>
      <w:r>
        <w:t xml:space="preserve"> </w:t>
      </w:r>
      <w:r w:rsidRPr="00492324">
        <w:t>the</w:t>
      </w:r>
      <w:r>
        <w:t xml:space="preserve"> </w:t>
      </w:r>
      <w:r w:rsidRPr="00492324">
        <w:t>alien</w:t>
      </w:r>
      <w:r>
        <w:t xml:space="preserve"> </w:t>
      </w:r>
      <w:r w:rsidRPr="00492324">
        <w:t>must</w:t>
      </w:r>
      <w:r>
        <w:t xml:space="preserve"> </w:t>
      </w:r>
      <w:r w:rsidRPr="00492324">
        <w:t>be</w:t>
      </w:r>
      <w:r>
        <w:t xml:space="preserve"> </w:t>
      </w:r>
      <w:r w:rsidRPr="00492324">
        <w:t>deemed</w:t>
      </w:r>
      <w:r>
        <w:t xml:space="preserve"> </w:t>
      </w:r>
      <w:r w:rsidRPr="00492324">
        <w:t>able</w:t>
      </w:r>
      <w:r>
        <w:t xml:space="preserve"> </w:t>
      </w:r>
      <w:r w:rsidRPr="00492324">
        <w:t>to</w:t>
      </w:r>
      <w:r>
        <w:t xml:space="preserve"> </w:t>
      </w:r>
      <w:r w:rsidRPr="00492324">
        <w:t>obtain</w:t>
      </w:r>
      <w:r>
        <w:t xml:space="preserve"> </w:t>
      </w:r>
      <w:r w:rsidRPr="00492324">
        <w:t>protection.</w:t>
      </w:r>
      <w:r w:rsidR="005766A0">
        <w:t>”</w:t>
      </w:r>
    </w:p>
  </w:footnote>
  <w:footnote w:id="8">
    <w:p w:rsidR="00D81309" w:rsidRPr="004F2315" w:rsidRDefault="00D81309" w:rsidP="00D81309">
      <w:pPr>
        <w:pStyle w:val="FootnoteText"/>
      </w:pPr>
      <w:r w:rsidRPr="00492324">
        <w:tab/>
      </w:r>
      <w:r w:rsidRPr="00D81309">
        <w:rPr>
          <w:rStyle w:val="FootnoteReference"/>
        </w:rPr>
        <w:footnoteRef/>
      </w:r>
      <w:r>
        <w:t xml:space="preserve"> </w:t>
      </w:r>
      <w:r w:rsidRPr="00492324">
        <w:tab/>
        <w:t>See</w:t>
      </w:r>
      <w:r>
        <w:t xml:space="preserve"> </w:t>
      </w:r>
      <w:r w:rsidRPr="00492324">
        <w:t>para</w:t>
      </w:r>
      <w:r w:rsidR="007F1B12">
        <w:t>graph</w:t>
      </w:r>
      <w:r>
        <w:t xml:space="preserve"> </w:t>
      </w:r>
      <w:r w:rsidRPr="00492324">
        <w:t>38</w:t>
      </w:r>
      <w:r>
        <w:t xml:space="preserve"> </w:t>
      </w:r>
      <w:r w:rsidRPr="00123C7E">
        <w:t>of</w:t>
      </w:r>
      <w:r>
        <w:t xml:space="preserve"> </w:t>
      </w:r>
      <w:r w:rsidRPr="00123C7E">
        <w:t>the</w:t>
      </w:r>
      <w:r>
        <w:t xml:space="preserve"> </w:t>
      </w:r>
      <w:r w:rsidRPr="00123C7E">
        <w:t>decision</w:t>
      </w:r>
      <w:r w:rsidRPr="00492324">
        <w:t>.</w:t>
      </w:r>
      <w:r>
        <w:t xml:space="preserve"> </w:t>
      </w:r>
    </w:p>
  </w:footnote>
  <w:footnote w:id="9">
    <w:p w:rsidR="00D81309" w:rsidRPr="00E717E3" w:rsidRDefault="00D81309" w:rsidP="00D81309">
      <w:pPr>
        <w:pStyle w:val="FootnoteText"/>
      </w:pPr>
      <w:r w:rsidRPr="004F2315">
        <w:tab/>
      </w:r>
      <w:r w:rsidRPr="00D81309">
        <w:rPr>
          <w:rStyle w:val="FootnoteReference"/>
        </w:rPr>
        <w:footnoteRef/>
      </w:r>
      <w:r w:rsidRPr="00E717E3">
        <w:tab/>
      </w:r>
      <w:r>
        <w:t xml:space="preserve">See </w:t>
      </w:r>
      <w:r w:rsidRPr="00E717E3">
        <w:rPr>
          <w:i/>
        </w:rPr>
        <w:t>M.S.S.</w:t>
      </w:r>
      <w:r>
        <w:rPr>
          <w:i/>
        </w:rPr>
        <w:t xml:space="preserve"> </w:t>
      </w:r>
      <w:r w:rsidRPr="00E717E3">
        <w:rPr>
          <w:i/>
        </w:rPr>
        <w:t>v.</w:t>
      </w:r>
      <w:r>
        <w:rPr>
          <w:i/>
        </w:rPr>
        <w:t xml:space="preserve"> </w:t>
      </w:r>
      <w:r w:rsidRPr="00E717E3">
        <w:rPr>
          <w:i/>
        </w:rPr>
        <w:t>Belgium</w:t>
      </w:r>
      <w:r>
        <w:rPr>
          <w:i/>
        </w:rPr>
        <w:t xml:space="preserve"> </w:t>
      </w:r>
      <w:r w:rsidRPr="00E717E3">
        <w:rPr>
          <w:i/>
        </w:rPr>
        <w:t>and</w:t>
      </w:r>
      <w:r>
        <w:rPr>
          <w:i/>
        </w:rPr>
        <w:t xml:space="preserve"> </w:t>
      </w:r>
      <w:r w:rsidRPr="00E717E3">
        <w:rPr>
          <w:i/>
        </w:rPr>
        <w:t>Greece</w:t>
      </w:r>
      <w:r>
        <w:t xml:space="preserve"> </w:t>
      </w:r>
      <w:r w:rsidRPr="00123C7E">
        <w:t>(</w:t>
      </w:r>
      <w:r w:rsidRPr="00E717E3">
        <w:t>application</w:t>
      </w:r>
      <w:r>
        <w:t xml:space="preserve"> </w:t>
      </w:r>
      <w:r w:rsidRPr="00E717E3">
        <w:t>No.</w:t>
      </w:r>
      <w:r>
        <w:t xml:space="preserve"> </w:t>
      </w:r>
      <w:r w:rsidRPr="00E717E3">
        <w:t>30696/09</w:t>
      </w:r>
      <w:r w:rsidRPr="00123C7E">
        <w:t>)</w:t>
      </w:r>
      <w:r w:rsidRPr="00E717E3">
        <w:t>,</w:t>
      </w:r>
      <w:r>
        <w:t xml:space="preserve"> </w:t>
      </w:r>
      <w:r w:rsidRPr="00E717E3">
        <w:t>judgment</w:t>
      </w:r>
      <w:r>
        <w:t xml:space="preserve"> </w:t>
      </w:r>
      <w:r w:rsidRPr="00123C7E">
        <w:t>of</w:t>
      </w:r>
      <w:r>
        <w:t xml:space="preserve"> </w:t>
      </w:r>
      <w:r w:rsidRPr="00E717E3">
        <w:t>15</w:t>
      </w:r>
      <w:r>
        <w:t xml:space="preserve"> </w:t>
      </w:r>
      <w:r w:rsidRPr="00E717E3">
        <w:t>December</w:t>
      </w:r>
      <w:r>
        <w:t xml:space="preserve"> </w:t>
      </w:r>
      <w:r w:rsidRPr="00E717E3">
        <w:t>2010;</w:t>
      </w:r>
      <w:r>
        <w:t xml:space="preserve"> </w:t>
      </w:r>
      <w:r w:rsidRPr="00E717E3">
        <w:t>and</w:t>
      </w:r>
      <w:r>
        <w:t xml:space="preserve"> </w:t>
      </w:r>
      <w:r w:rsidRPr="00123C7E">
        <w:rPr>
          <w:i/>
        </w:rPr>
        <w:t>Samsam</w:t>
      </w:r>
      <w:r>
        <w:rPr>
          <w:i/>
        </w:rPr>
        <w:t xml:space="preserve"> </w:t>
      </w:r>
      <w:r w:rsidRPr="00E717E3">
        <w:rPr>
          <w:i/>
        </w:rPr>
        <w:t>Mohammad</w:t>
      </w:r>
      <w:r>
        <w:rPr>
          <w:i/>
        </w:rPr>
        <w:t xml:space="preserve"> </w:t>
      </w:r>
      <w:r w:rsidRPr="00E717E3">
        <w:rPr>
          <w:i/>
        </w:rPr>
        <w:t>Hussein</w:t>
      </w:r>
      <w:r>
        <w:rPr>
          <w:i/>
        </w:rPr>
        <w:t xml:space="preserve"> </w:t>
      </w:r>
      <w:r w:rsidRPr="00E717E3">
        <w:rPr>
          <w:i/>
        </w:rPr>
        <w:t>and</w:t>
      </w:r>
      <w:r>
        <w:rPr>
          <w:i/>
        </w:rPr>
        <w:t xml:space="preserve"> </w:t>
      </w:r>
      <w:r w:rsidRPr="00E717E3">
        <w:rPr>
          <w:i/>
        </w:rPr>
        <w:t>Others</w:t>
      </w:r>
      <w:r>
        <w:rPr>
          <w:i/>
        </w:rPr>
        <w:t xml:space="preserve"> </w:t>
      </w:r>
      <w:r w:rsidRPr="00E717E3">
        <w:rPr>
          <w:i/>
        </w:rPr>
        <w:t>v.</w:t>
      </w:r>
      <w:r>
        <w:rPr>
          <w:i/>
        </w:rPr>
        <w:t xml:space="preserve"> </w:t>
      </w:r>
      <w:r w:rsidRPr="00E717E3">
        <w:rPr>
          <w:i/>
        </w:rPr>
        <w:t>the</w:t>
      </w:r>
      <w:r>
        <w:rPr>
          <w:i/>
        </w:rPr>
        <w:t xml:space="preserve"> </w:t>
      </w:r>
      <w:r w:rsidRPr="00E717E3">
        <w:rPr>
          <w:i/>
        </w:rPr>
        <w:t>Netherlands</w:t>
      </w:r>
      <w:r>
        <w:rPr>
          <w:i/>
        </w:rPr>
        <w:t xml:space="preserve"> </w:t>
      </w:r>
      <w:r w:rsidRPr="00E717E3">
        <w:rPr>
          <w:i/>
        </w:rPr>
        <w:t>and</w:t>
      </w:r>
      <w:r>
        <w:rPr>
          <w:i/>
        </w:rPr>
        <w:t xml:space="preserve"> </w:t>
      </w:r>
      <w:r w:rsidRPr="00E717E3">
        <w:rPr>
          <w:i/>
        </w:rPr>
        <w:t>Italy</w:t>
      </w:r>
      <w:r w:rsidRPr="00E717E3">
        <w:t>.</w:t>
      </w:r>
    </w:p>
  </w:footnote>
  <w:footnote w:id="10">
    <w:p w:rsidR="00D81309" w:rsidRPr="00E717E3" w:rsidRDefault="00D81309" w:rsidP="00D81309">
      <w:pPr>
        <w:pStyle w:val="FootnoteText"/>
      </w:pPr>
      <w:r w:rsidRPr="00E717E3">
        <w:tab/>
      </w:r>
      <w:r w:rsidRPr="00D81309">
        <w:rPr>
          <w:rStyle w:val="FootnoteReference"/>
        </w:rPr>
        <w:footnoteRef/>
      </w:r>
      <w:r>
        <w:t xml:space="preserve"> </w:t>
      </w:r>
      <w:r w:rsidRPr="00E717E3">
        <w:tab/>
      </w:r>
      <w:r>
        <w:t xml:space="preserve">See United States of America, </w:t>
      </w:r>
      <w:r w:rsidRPr="00E717E3">
        <w:t>Department</w:t>
      </w:r>
      <w:r>
        <w:t xml:space="preserve"> </w:t>
      </w:r>
      <w:r w:rsidRPr="00E717E3">
        <w:t>of</w:t>
      </w:r>
      <w:r>
        <w:t xml:space="preserve"> </w:t>
      </w:r>
      <w:r w:rsidRPr="00E717E3">
        <w:t>State</w:t>
      </w:r>
      <w:r>
        <w:t xml:space="preserve">, </w:t>
      </w:r>
      <w:r w:rsidRPr="00123C7E">
        <w:rPr>
          <w:i/>
        </w:rPr>
        <w:t>2012</w:t>
      </w:r>
      <w:r>
        <w:rPr>
          <w:i/>
        </w:rPr>
        <w:t xml:space="preserve"> </w:t>
      </w:r>
      <w:r w:rsidRPr="00123C7E">
        <w:rPr>
          <w:i/>
        </w:rPr>
        <w:t>Country</w:t>
      </w:r>
      <w:r>
        <w:rPr>
          <w:i/>
        </w:rPr>
        <w:t xml:space="preserve"> </w:t>
      </w:r>
      <w:r w:rsidRPr="00123C7E">
        <w:rPr>
          <w:i/>
        </w:rPr>
        <w:t>Reports</w:t>
      </w:r>
      <w:r>
        <w:rPr>
          <w:i/>
        </w:rPr>
        <w:t xml:space="preserve"> </w:t>
      </w:r>
      <w:r w:rsidRPr="00123C7E">
        <w:rPr>
          <w:i/>
        </w:rPr>
        <w:t>on</w:t>
      </w:r>
      <w:r>
        <w:rPr>
          <w:i/>
        </w:rPr>
        <w:t xml:space="preserve"> </w:t>
      </w:r>
      <w:r w:rsidRPr="00123C7E">
        <w:rPr>
          <w:i/>
        </w:rPr>
        <w:t>Human</w:t>
      </w:r>
      <w:r>
        <w:rPr>
          <w:i/>
        </w:rPr>
        <w:t xml:space="preserve"> </w:t>
      </w:r>
      <w:r w:rsidRPr="00123C7E">
        <w:rPr>
          <w:i/>
        </w:rPr>
        <w:t>Rights</w:t>
      </w:r>
      <w:r>
        <w:rPr>
          <w:i/>
        </w:rPr>
        <w:t xml:space="preserve"> </w:t>
      </w:r>
      <w:r w:rsidRPr="00123C7E">
        <w:rPr>
          <w:i/>
        </w:rPr>
        <w:t>Practices</w:t>
      </w:r>
      <w:r>
        <w:rPr>
          <w:i/>
        </w:rPr>
        <w:t xml:space="preserve"> </w:t>
      </w:r>
      <w:r w:rsidR="005B7312">
        <w:rPr>
          <w:i/>
        </w:rPr>
        <w:t>—</w:t>
      </w:r>
      <w:r>
        <w:rPr>
          <w:i/>
        </w:rPr>
        <w:t xml:space="preserve"> </w:t>
      </w:r>
      <w:r w:rsidRPr="00123C7E">
        <w:rPr>
          <w:i/>
        </w:rPr>
        <w:t>Italy</w:t>
      </w:r>
      <w:r>
        <w:t xml:space="preserve"> (Washington, D.C., </w:t>
      </w:r>
      <w:r w:rsidRPr="00E717E3">
        <w:t>19</w:t>
      </w:r>
      <w:r>
        <w:t xml:space="preserve"> </w:t>
      </w:r>
      <w:r w:rsidRPr="00E717E3">
        <w:t>April</w:t>
      </w:r>
      <w:r>
        <w:t xml:space="preserve"> </w:t>
      </w:r>
      <w:r w:rsidRPr="00E717E3">
        <w:t>2013</w:t>
      </w:r>
      <w:r>
        <w:t>)</w:t>
      </w:r>
      <w:r w:rsidRPr="00E717E3">
        <w:t>.</w:t>
      </w:r>
    </w:p>
  </w:footnote>
  <w:footnote w:id="11">
    <w:p w:rsidR="00D81309" w:rsidRPr="00E717E3" w:rsidRDefault="00D81309" w:rsidP="00D81309">
      <w:pPr>
        <w:pStyle w:val="FootnoteText"/>
      </w:pPr>
      <w:r w:rsidRPr="00E717E3">
        <w:tab/>
      </w:r>
      <w:r w:rsidRPr="00D81309">
        <w:rPr>
          <w:rStyle w:val="FootnoteReference"/>
        </w:rPr>
        <w:footnoteRef/>
      </w:r>
      <w:r w:rsidRPr="00E717E3">
        <w:rPr>
          <w:rFonts w:ascii="Calibri" w:eastAsia="Calibri" w:hAnsi="Calibri"/>
          <w:sz w:val="22"/>
          <w:szCs w:val="22"/>
        </w:rPr>
        <w:tab/>
      </w:r>
      <w:r>
        <w:t xml:space="preserve">See </w:t>
      </w:r>
      <w:r w:rsidRPr="00E717E3">
        <w:t>Swiss</w:t>
      </w:r>
      <w:r>
        <w:t xml:space="preserve"> </w:t>
      </w:r>
      <w:r w:rsidRPr="00E717E3">
        <w:t>Refugee</w:t>
      </w:r>
      <w:r>
        <w:t xml:space="preserve"> </w:t>
      </w:r>
      <w:r w:rsidRPr="00E717E3">
        <w:t>Council,</w:t>
      </w:r>
      <w:r>
        <w:t xml:space="preserve"> </w:t>
      </w:r>
      <w:r w:rsidRPr="00E717E3">
        <w:rPr>
          <w:i/>
          <w:iCs/>
        </w:rPr>
        <w:t>Reception</w:t>
      </w:r>
      <w:r>
        <w:rPr>
          <w:i/>
          <w:iCs/>
        </w:rPr>
        <w:t xml:space="preserve"> C</w:t>
      </w:r>
      <w:r w:rsidRPr="00E717E3">
        <w:rPr>
          <w:i/>
          <w:iCs/>
        </w:rPr>
        <w:t>onditions</w:t>
      </w:r>
      <w:r>
        <w:rPr>
          <w:i/>
          <w:iCs/>
        </w:rPr>
        <w:t xml:space="preserve"> </w:t>
      </w:r>
      <w:r w:rsidRPr="00E717E3">
        <w:rPr>
          <w:i/>
          <w:iCs/>
        </w:rPr>
        <w:t>in</w:t>
      </w:r>
      <w:r>
        <w:rPr>
          <w:i/>
          <w:iCs/>
        </w:rPr>
        <w:t xml:space="preserve"> </w:t>
      </w:r>
      <w:r w:rsidRPr="00E717E3">
        <w:rPr>
          <w:i/>
          <w:iCs/>
        </w:rPr>
        <w:t>Italy:</w:t>
      </w:r>
      <w:r>
        <w:rPr>
          <w:i/>
          <w:iCs/>
        </w:rPr>
        <w:t xml:space="preserve"> R</w:t>
      </w:r>
      <w:r w:rsidRPr="00E717E3">
        <w:rPr>
          <w:i/>
          <w:iCs/>
        </w:rPr>
        <w:t>eport</w:t>
      </w:r>
      <w:r>
        <w:rPr>
          <w:i/>
          <w:iCs/>
        </w:rPr>
        <w:t xml:space="preserve"> </w:t>
      </w:r>
      <w:r w:rsidRPr="00E717E3">
        <w:rPr>
          <w:i/>
          <w:iCs/>
        </w:rPr>
        <w:t>on</w:t>
      </w:r>
      <w:r>
        <w:rPr>
          <w:i/>
          <w:iCs/>
        </w:rPr>
        <w:t xml:space="preserve"> </w:t>
      </w:r>
      <w:r w:rsidRPr="00E717E3">
        <w:rPr>
          <w:i/>
          <w:iCs/>
        </w:rPr>
        <w:t>the</w:t>
      </w:r>
      <w:r>
        <w:rPr>
          <w:i/>
          <w:iCs/>
        </w:rPr>
        <w:t xml:space="preserve"> C</w:t>
      </w:r>
      <w:r w:rsidRPr="00E717E3">
        <w:rPr>
          <w:i/>
          <w:iCs/>
        </w:rPr>
        <w:t>urrent</w:t>
      </w:r>
      <w:r>
        <w:rPr>
          <w:i/>
          <w:iCs/>
        </w:rPr>
        <w:t xml:space="preserve"> S</w:t>
      </w:r>
      <w:r w:rsidRPr="00E717E3">
        <w:rPr>
          <w:i/>
          <w:iCs/>
        </w:rPr>
        <w:t>ituation</w:t>
      </w:r>
      <w:r>
        <w:rPr>
          <w:i/>
          <w:iCs/>
        </w:rPr>
        <w:t xml:space="preserve"> </w:t>
      </w:r>
      <w:r w:rsidRPr="00E717E3">
        <w:rPr>
          <w:i/>
          <w:iCs/>
        </w:rPr>
        <w:t>of</w:t>
      </w:r>
      <w:r>
        <w:rPr>
          <w:i/>
          <w:iCs/>
        </w:rPr>
        <w:t xml:space="preserve"> A</w:t>
      </w:r>
      <w:r w:rsidRPr="00E717E3">
        <w:rPr>
          <w:i/>
          <w:iCs/>
        </w:rPr>
        <w:t>sylum</w:t>
      </w:r>
      <w:r>
        <w:rPr>
          <w:i/>
          <w:iCs/>
        </w:rPr>
        <w:t xml:space="preserve"> S</w:t>
      </w:r>
      <w:r w:rsidRPr="00E717E3">
        <w:rPr>
          <w:i/>
          <w:iCs/>
        </w:rPr>
        <w:t>eekers</w:t>
      </w:r>
      <w:r>
        <w:rPr>
          <w:i/>
          <w:iCs/>
        </w:rPr>
        <w:t xml:space="preserve"> </w:t>
      </w:r>
      <w:r w:rsidRPr="00E717E3">
        <w:rPr>
          <w:i/>
          <w:iCs/>
        </w:rPr>
        <w:t>and</w:t>
      </w:r>
      <w:r>
        <w:rPr>
          <w:i/>
          <w:iCs/>
        </w:rPr>
        <w:t xml:space="preserve"> B</w:t>
      </w:r>
      <w:r w:rsidRPr="00E717E3">
        <w:rPr>
          <w:i/>
          <w:iCs/>
        </w:rPr>
        <w:t>eneficiaries</w:t>
      </w:r>
      <w:r>
        <w:rPr>
          <w:i/>
          <w:iCs/>
        </w:rPr>
        <w:t xml:space="preserve"> </w:t>
      </w:r>
      <w:r w:rsidRPr="00E717E3">
        <w:rPr>
          <w:i/>
          <w:iCs/>
        </w:rPr>
        <w:t>of</w:t>
      </w:r>
      <w:r>
        <w:rPr>
          <w:i/>
          <w:iCs/>
        </w:rPr>
        <w:t xml:space="preserve"> P</w:t>
      </w:r>
      <w:r w:rsidRPr="00E717E3">
        <w:rPr>
          <w:i/>
          <w:iCs/>
        </w:rPr>
        <w:t>rotection,</w:t>
      </w:r>
      <w:r>
        <w:rPr>
          <w:i/>
          <w:iCs/>
        </w:rPr>
        <w:t xml:space="preserve"> </w:t>
      </w:r>
      <w:r w:rsidRPr="00E717E3">
        <w:rPr>
          <w:i/>
          <w:iCs/>
        </w:rPr>
        <w:t>in</w:t>
      </w:r>
      <w:r>
        <w:rPr>
          <w:i/>
          <w:iCs/>
        </w:rPr>
        <w:t xml:space="preserve"> P</w:t>
      </w:r>
      <w:r w:rsidRPr="00E717E3">
        <w:rPr>
          <w:i/>
          <w:iCs/>
        </w:rPr>
        <w:t>articular</w:t>
      </w:r>
      <w:r>
        <w:rPr>
          <w:i/>
          <w:iCs/>
        </w:rPr>
        <w:t xml:space="preserve"> </w:t>
      </w:r>
      <w:r w:rsidRPr="00E717E3">
        <w:rPr>
          <w:i/>
          <w:iCs/>
        </w:rPr>
        <w:t>Dublin</w:t>
      </w:r>
      <w:r>
        <w:rPr>
          <w:i/>
          <w:iCs/>
        </w:rPr>
        <w:t xml:space="preserve"> R</w:t>
      </w:r>
      <w:r w:rsidRPr="00E717E3">
        <w:rPr>
          <w:i/>
          <w:iCs/>
        </w:rPr>
        <w:t>eturnees</w:t>
      </w:r>
      <w:r>
        <w:rPr>
          <w:i/>
          <w:iCs/>
        </w:rPr>
        <w:t xml:space="preserve">, in Italy </w:t>
      </w:r>
      <w:r>
        <w:rPr>
          <w:iCs/>
        </w:rPr>
        <w:t>(Berne, August 2016)</w:t>
      </w:r>
      <w:r>
        <w:t xml:space="preserve">; </w:t>
      </w:r>
      <w:r w:rsidRPr="00E717E3">
        <w:t>Asylum</w:t>
      </w:r>
      <w:r>
        <w:t xml:space="preserve"> </w:t>
      </w:r>
      <w:r w:rsidRPr="00E717E3">
        <w:t>Information</w:t>
      </w:r>
      <w:r>
        <w:t xml:space="preserve"> </w:t>
      </w:r>
      <w:r w:rsidRPr="00E717E3">
        <w:t>Database,</w:t>
      </w:r>
      <w:r>
        <w:t xml:space="preserve"> </w:t>
      </w:r>
      <w:r w:rsidR="005766A0">
        <w:t>“</w:t>
      </w:r>
      <w:r>
        <w:rPr>
          <w:iCs/>
        </w:rPr>
        <w:t>National c</w:t>
      </w:r>
      <w:r w:rsidRPr="00123C7E">
        <w:rPr>
          <w:iCs/>
        </w:rPr>
        <w:t>ountry</w:t>
      </w:r>
      <w:r>
        <w:rPr>
          <w:iCs/>
        </w:rPr>
        <w:t xml:space="preserve"> r</w:t>
      </w:r>
      <w:r w:rsidRPr="00123C7E">
        <w:rPr>
          <w:iCs/>
        </w:rPr>
        <w:t>eport:</w:t>
      </w:r>
      <w:r>
        <w:rPr>
          <w:iCs/>
        </w:rPr>
        <w:t xml:space="preserve"> </w:t>
      </w:r>
      <w:r w:rsidRPr="00123C7E">
        <w:rPr>
          <w:iCs/>
        </w:rPr>
        <w:t>Italy</w:t>
      </w:r>
      <w:r w:rsidR="005766A0">
        <w:rPr>
          <w:iCs/>
        </w:rPr>
        <w:t>”</w:t>
      </w:r>
      <w:r>
        <w:t xml:space="preserve"> (</w:t>
      </w:r>
      <w:r w:rsidRPr="00E717E3">
        <w:t>May</w:t>
      </w:r>
      <w:r>
        <w:t xml:space="preserve"> </w:t>
      </w:r>
      <w:r w:rsidRPr="00E717E3">
        <w:t>2013</w:t>
      </w:r>
      <w:r>
        <w:t xml:space="preserve">); and </w:t>
      </w:r>
      <w:r w:rsidRPr="00123C7E">
        <w:rPr>
          <w:iCs/>
        </w:rPr>
        <w:t>European</w:t>
      </w:r>
      <w:r>
        <w:rPr>
          <w:iCs/>
        </w:rPr>
        <w:t xml:space="preserve"> </w:t>
      </w:r>
      <w:r w:rsidRPr="00123C7E">
        <w:rPr>
          <w:iCs/>
        </w:rPr>
        <w:t>Council</w:t>
      </w:r>
      <w:r>
        <w:rPr>
          <w:iCs/>
        </w:rPr>
        <w:t xml:space="preserve"> </w:t>
      </w:r>
      <w:r w:rsidRPr="00123C7E">
        <w:rPr>
          <w:iCs/>
        </w:rPr>
        <w:t>on</w:t>
      </w:r>
      <w:r>
        <w:rPr>
          <w:iCs/>
        </w:rPr>
        <w:t xml:space="preserve"> </w:t>
      </w:r>
      <w:r w:rsidRPr="00123C7E">
        <w:rPr>
          <w:iCs/>
        </w:rPr>
        <w:t>Refugees</w:t>
      </w:r>
      <w:r>
        <w:rPr>
          <w:iCs/>
        </w:rPr>
        <w:t xml:space="preserve"> </w:t>
      </w:r>
      <w:r w:rsidRPr="00123C7E">
        <w:rPr>
          <w:iCs/>
        </w:rPr>
        <w:t>and</w:t>
      </w:r>
      <w:r>
        <w:rPr>
          <w:iCs/>
        </w:rPr>
        <w:t xml:space="preserve"> </w:t>
      </w:r>
      <w:r w:rsidRPr="00123C7E">
        <w:rPr>
          <w:iCs/>
        </w:rPr>
        <w:t>Exiles,</w:t>
      </w:r>
      <w:r>
        <w:rPr>
          <w:iCs/>
        </w:rPr>
        <w:t xml:space="preserve"> </w:t>
      </w:r>
      <w:r w:rsidR="005766A0">
        <w:rPr>
          <w:iCs/>
        </w:rPr>
        <w:t>“</w:t>
      </w:r>
      <w:r w:rsidRPr="00123C7E">
        <w:rPr>
          <w:iCs/>
        </w:rPr>
        <w:t>Dublin</w:t>
      </w:r>
      <w:r>
        <w:rPr>
          <w:iCs/>
        </w:rPr>
        <w:t xml:space="preserve"> II Regulation: national report</w:t>
      </w:r>
      <w:r w:rsidRPr="002F2578">
        <w:rPr>
          <w:iCs/>
        </w:rPr>
        <w:t>,</w:t>
      </w:r>
      <w:r>
        <w:t xml:space="preserve"> </w:t>
      </w:r>
      <w:r w:rsidRPr="00170BCB">
        <w:t>European</w:t>
      </w:r>
      <w:r>
        <w:t xml:space="preserve"> </w:t>
      </w:r>
      <w:r w:rsidRPr="00123C7E">
        <w:t>n</w:t>
      </w:r>
      <w:r w:rsidRPr="00170BCB">
        <w:t>etwork</w:t>
      </w:r>
      <w:r>
        <w:t xml:space="preserve"> </w:t>
      </w:r>
      <w:r w:rsidRPr="00170BCB">
        <w:t>for</w:t>
      </w:r>
      <w:r>
        <w:t xml:space="preserve"> </w:t>
      </w:r>
      <w:r w:rsidRPr="00123C7E">
        <w:t>t</w:t>
      </w:r>
      <w:r w:rsidRPr="00170BCB">
        <w:t>echnical</w:t>
      </w:r>
      <w:r>
        <w:t xml:space="preserve"> </w:t>
      </w:r>
      <w:r w:rsidRPr="00170BCB">
        <w:t>cooperation</w:t>
      </w:r>
      <w:r>
        <w:t xml:space="preserve"> </w:t>
      </w:r>
      <w:r w:rsidRPr="00170BCB">
        <w:t>of</w:t>
      </w:r>
      <w:r>
        <w:t xml:space="preserve"> </w:t>
      </w:r>
      <w:r w:rsidRPr="00170BCB">
        <w:t>the</w:t>
      </w:r>
      <w:r>
        <w:t xml:space="preserve"> </w:t>
      </w:r>
      <w:r w:rsidRPr="00170BCB">
        <w:t>application</w:t>
      </w:r>
      <w:r>
        <w:t xml:space="preserve"> </w:t>
      </w:r>
      <w:r w:rsidRPr="00170BCB">
        <w:t>of</w:t>
      </w:r>
      <w:r>
        <w:t xml:space="preserve"> </w:t>
      </w:r>
      <w:r w:rsidRPr="00170BCB">
        <w:t>the</w:t>
      </w:r>
      <w:r>
        <w:t xml:space="preserve"> </w:t>
      </w:r>
      <w:r w:rsidRPr="00170BCB">
        <w:t>Dublin</w:t>
      </w:r>
      <w:r>
        <w:t xml:space="preserve"> </w:t>
      </w:r>
      <w:r w:rsidRPr="00170BCB">
        <w:t>II</w:t>
      </w:r>
      <w:r>
        <w:t xml:space="preserve"> </w:t>
      </w:r>
      <w:r w:rsidRPr="00170BCB">
        <w:t>Regulation</w:t>
      </w:r>
      <w:r>
        <w:t xml:space="preserve"> </w:t>
      </w:r>
      <w:r w:rsidR="005B7312">
        <w:t>—</w:t>
      </w:r>
      <w:r>
        <w:t xml:space="preserve"> Italy</w:t>
      </w:r>
      <w:r w:rsidR="005766A0">
        <w:t>”</w:t>
      </w:r>
      <w:r>
        <w:t xml:space="preserve"> (December 2012)</w:t>
      </w:r>
      <w:r w:rsidRPr="00170BCB">
        <w:t>.</w:t>
      </w:r>
    </w:p>
  </w:footnote>
  <w:footnote w:id="12">
    <w:p w:rsidR="00D81309" w:rsidRPr="004F2315" w:rsidRDefault="00D81309" w:rsidP="00D81309">
      <w:pPr>
        <w:pStyle w:val="FootnoteText"/>
      </w:pPr>
      <w:r w:rsidRPr="00E717E3">
        <w:tab/>
      </w:r>
      <w:r w:rsidRPr="00D81309">
        <w:rPr>
          <w:rStyle w:val="FootnoteReference"/>
        </w:rPr>
        <w:footnoteRef/>
      </w:r>
      <w:r w:rsidRPr="00E717E3">
        <w:tab/>
        <w:t>Jesuit</w:t>
      </w:r>
      <w:r>
        <w:t xml:space="preserve"> </w:t>
      </w:r>
      <w:r w:rsidRPr="00E717E3">
        <w:t>Refugee</w:t>
      </w:r>
      <w:r>
        <w:t xml:space="preserve"> </w:t>
      </w:r>
      <w:r w:rsidRPr="00E717E3">
        <w:t>Service,</w:t>
      </w:r>
      <w:r>
        <w:t xml:space="preserve"> </w:t>
      </w:r>
      <w:r w:rsidRPr="00E717E3">
        <w:rPr>
          <w:i/>
        </w:rPr>
        <w:t>Protection</w:t>
      </w:r>
      <w:r>
        <w:rPr>
          <w:i/>
        </w:rPr>
        <w:t xml:space="preserve"> </w:t>
      </w:r>
      <w:r w:rsidRPr="00E717E3">
        <w:rPr>
          <w:i/>
        </w:rPr>
        <w:t>Interrupted</w:t>
      </w:r>
      <w:r>
        <w:rPr>
          <w:i/>
        </w:rPr>
        <w:t xml:space="preserve"> </w:t>
      </w:r>
      <w:r w:rsidR="005B7312">
        <w:rPr>
          <w:i/>
        </w:rPr>
        <w:t>—</w:t>
      </w:r>
      <w:r>
        <w:rPr>
          <w:i/>
        </w:rPr>
        <w:t xml:space="preserve"> </w:t>
      </w:r>
      <w:r w:rsidRPr="00E717E3">
        <w:rPr>
          <w:i/>
        </w:rPr>
        <w:t>The</w:t>
      </w:r>
      <w:r>
        <w:rPr>
          <w:i/>
        </w:rPr>
        <w:t xml:space="preserve"> </w:t>
      </w:r>
      <w:r w:rsidRPr="00E717E3">
        <w:rPr>
          <w:i/>
        </w:rPr>
        <w:t>Dublin</w:t>
      </w:r>
      <w:r>
        <w:rPr>
          <w:i/>
        </w:rPr>
        <w:t xml:space="preserve"> </w:t>
      </w:r>
      <w:r w:rsidRPr="00E717E3">
        <w:rPr>
          <w:i/>
        </w:rPr>
        <w:t>Regulation</w:t>
      </w:r>
      <w:r w:rsidR="005766A0">
        <w:rPr>
          <w:i/>
        </w:rPr>
        <w:t>’</w:t>
      </w:r>
      <w:r w:rsidRPr="00E717E3">
        <w:rPr>
          <w:i/>
        </w:rPr>
        <w:t>s</w:t>
      </w:r>
      <w:r>
        <w:rPr>
          <w:i/>
        </w:rPr>
        <w:t xml:space="preserve"> </w:t>
      </w:r>
      <w:r w:rsidRPr="00E717E3">
        <w:rPr>
          <w:i/>
        </w:rPr>
        <w:t>Impact</w:t>
      </w:r>
      <w:r>
        <w:rPr>
          <w:i/>
        </w:rPr>
        <w:t xml:space="preserve"> </w:t>
      </w:r>
      <w:r w:rsidRPr="00E717E3">
        <w:rPr>
          <w:i/>
        </w:rPr>
        <w:t>on</w:t>
      </w:r>
      <w:r>
        <w:rPr>
          <w:i/>
        </w:rPr>
        <w:t xml:space="preserve"> </w:t>
      </w:r>
      <w:r w:rsidRPr="00E717E3">
        <w:rPr>
          <w:i/>
        </w:rPr>
        <w:t>Asylum</w:t>
      </w:r>
      <w:r>
        <w:rPr>
          <w:i/>
        </w:rPr>
        <w:t xml:space="preserve"> </w:t>
      </w:r>
      <w:r w:rsidRPr="00E717E3">
        <w:rPr>
          <w:i/>
        </w:rPr>
        <w:t>Seekers</w:t>
      </w:r>
      <w:r w:rsidR="005766A0">
        <w:rPr>
          <w:i/>
        </w:rPr>
        <w:t>’</w:t>
      </w:r>
      <w:r>
        <w:rPr>
          <w:i/>
        </w:rPr>
        <w:t xml:space="preserve"> </w:t>
      </w:r>
      <w:r w:rsidRPr="00E717E3">
        <w:rPr>
          <w:i/>
        </w:rPr>
        <w:t>Protection</w:t>
      </w:r>
      <w:r>
        <w:t xml:space="preserve"> (Brussels, </w:t>
      </w:r>
      <w:r w:rsidRPr="00E717E3">
        <w:t>June</w:t>
      </w:r>
      <w:r>
        <w:t xml:space="preserve"> </w:t>
      </w:r>
      <w:r w:rsidRPr="00E717E3">
        <w:t>2013</w:t>
      </w:r>
      <w:r>
        <w:t>)</w:t>
      </w:r>
      <w:r w:rsidRPr="00E717E3">
        <w:t>,</w:t>
      </w:r>
      <w:r>
        <w:t xml:space="preserve"> p</w:t>
      </w:r>
      <w:r w:rsidRPr="00E717E3">
        <w:t>p.</w:t>
      </w:r>
      <w:r>
        <w:t xml:space="preserve"> </w:t>
      </w:r>
      <w:r w:rsidRPr="00E717E3">
        <w:t>152</w:t>
      </w:r>
      <w:r>
        <w:t xml:space="preserve"> </w:t>
      </w:r>
      <w:r w:rsidRPr="00E717E3">
        <w:t>and</w:t>
      </w:r>
      <w:r>
        <w:t xml:space="preserve"> </w:t>
      </w:r>
      <w:r w:rsidRPr="00E717E3">
        <w:t>161.</w:t>
      </w:r>
    </w:p>
  </w:footnote>
  <w:footnote w:id="13">
    <w:p w:rsidR="00D81309" w:rsidRPr="003B0CB0" w:rsidRDefault="00D81309" w:rsidP="00D81309">
      <w:pPr>
        <w:pStyle w:val="FootnoteText"/>
      </w:pPr>
      <w:r w:rsidRPr="004F2315">
        <w:tab/>
      </w:r>
      <w:r w:rsidRPr="00D81309">
        <w:rPr>
          <w:rStyle w:val="FootnoteReference"/>
        </w:rPr>
        <w:footnoteRef/>
      </w:r>
      <w:r w:rsidRPr="003B0CB0">
        <w:tab/>
        <w:t>See</w:t>
      </w:r>
      <w:r>
        <w:t xml:space="preserve"> </w:t>
      </w:r>
      <w:r w:rsidRPr="00123C7E">
        <w:t>c</w:t>
      </w:r>
      <w:r w:rsidRPr="003B0CB0">
        <w:t>ommunication</w:t>
      </w:r>
      <w:r>
        <w:t xml:space="preserve"> </w:t>
      </w:r>
      <w:r w:rsidRPr="00123C7E">
        <w:t>No.</w:t>
      </w:r>
      <w:r>
        <w:t xml:space="preserve"> </w:t>
      </w:r>
      <w:r w:rsidRPr="003B0CB0">
        <w:t>2379/2014,</w:t>
      </w:r>
      <w:r>
        <w:t xml:space="preserve"> </w:t>
      </w:r>
      <w:r w:rsidRPr="003B0CB0">
        <w:rPr>
          <w:i/>
          <w:iCs/>
        </w:rPr>
        <w:t>Ahmed</w:t>
      </w:r>
      <w:r>
        <w:rPr>
          <w:i/>
          <w:iCs/>
        </w:rPr>
        <w:t xml:space="preserve"> </w:t>
      </w:r>
      <w:r w:rsidRPr="003B0CB0">
        <w:rPr>
          <w:i/>
          <w:iCs/>
        </w:rPr>
        <w:t>v.</w:t>
      </w:r>
      <w:r>
        <w:rPr>
          <w:i/>
          <w:iCs/>
        </w:rPr>
        <w:t xml:space="preserve"> </w:t>
      </w:r>
      <w:r w:rsidRPr="003B0CB0">
        <w:rPr>
          <w:i/>
          <w:iCs/>
        </w:rPr>
        <w:t>Denmark</w:t>
      </w:r>
      <w:r w:rsidRPr="003B0CB0">
        <w:t>,</w:t>
      </w:r>
      <w:r>
        <w:t xml:space="preserve"> </w:t>
      </w:r>
      <w:r w:rsidRPr="003B0CB0">
        <w:t>Views</w:t>
      </w:r>
      <w:r>
        <w:t xml:space="preserve"> </w:t>
      </w:r>
      <w:r w:rsidRPr="003B0CB0">
        <w:t>adopted</w:t>
      </w:r>
      <w:r>
        <w:t xml:space="preserve"> </w:t>
      </w:r>
      <w:r w:rsidRPr="003B0CB0">
        <w:t>on</w:t>
      </w:r>
      <w:r>
        <w:t xml:space="preserve"> 7 </w:t>
      </w:r>
      <w:r w:rsidRPr="003B0CB0">
        <w:t>July</w:t>
      </w:r>
      <w:r>
        <w:t xml:space="preserve"> </w:t>
      </w:r>
      <w:r w:rsidRPr="003B0CB0">
        <w:t>2016,</w:t>
      </w:r>
      <w:r>
        <w:t xml:space="preserve"> </w:t>
      </w:r>
      <w:r w:rsidRPr="003B0CB0">
        <w:t>paras.</w:t>
      </w:r>
      <w:r>
        <w:t xml:space="preserve"> </w:t>
      </w:r>
      <w:r w:rsidRPr="003B0CB0">
        <w:t>4.1-4.3.</w:t>
      </w:r>
      <w:r>
        <w:t xml:space="preserve"> </w:t>
      </w:r>
    </w:p>
  </w:footnote>
  <w:footnote w:id="14">
    <w:p w:rsidR="00D81309" w:rsidRPr="003B0CB0" w:rsidRDefault="00D81309" w:rsidP="00D81309">
      <w:pPr>
        <w:pStyle w:val="FootnoteText"/>
      </w:pPr>
      <w:r w:rsidRPr="003B0CB0">
        <w:tab/>
      </w:r>
      <w:r w:rsidRPr="00D81309">
        <w:rPr>
          <w:rStyle w:val="FootnoteReference"/>
        </w:rPr>
        <w:footnoteRef/>
      </w:r>
      <w:r>
        <w:t xml:space="preserve"> </w:t>
      </w:r>
      <w:r w:rsidRPr="003B0CB0">
        <w:tab/>
        <w:t>See</w:t>
      </w:r>
      <w:r>
        <w:t xml:space="preserve"> </w:t>
      </w:r>
      <w:r w:rsidRPr="00123C7E">
        <w:rPr>
          <w:i/>
        </w:rPr>
        <w:t>Samsam</w:t>
      </w:r>
      <w:r>
        <w:rPr>
          <w:i/>
        </w:rPr>
        <w:t xml:space="preserve"> </w:t>
      </w:r>
      <w:r w:rsidRPr="003B0CB0">
        <w:rPr>
          <w:i/>
          <w:iCs/>
        </w:rPr>
        <w:t>Mohammed</w:t>
      </w:r>
      <w:r>
        <w:rPr>
          <w:i/>
          <w:iCs/>
        </w:rPr>
        <w:t xml:space="preserve"> </w:t>
      </w:r>
      <w:r w:rsidRPr="003B0CB0">
        <w:rPr>
          <w:i/>
          <w:iCs/>
        </w:rPr>
        <w:t>Hussein</w:t>
      </w:r>
      <w:r>
        <w:rPr>
          <w:i/>
          <w:iCs/>
        </w:rPr>
        <w:t xml:space="preserve"> </w:t>
      </w:r>
      <w:r w:rsidRPr="003B0CB0">
        <w:rPr>
          <w:i/>
          <w:iCs/>
        </w:rPr>
        <w:t>and</w:t>
      </w:r>
      <w:r>
        <w:rPr>
          <w:i/>
          <w:iCs/>
        </w:rPr>
        <w:t xml:space="preserve"> </w:t>
      </w:r>
      <w:r w:rsidRPr="003B0CB0">
        <w:rPr>
          <w:i/>
          <w:iCs/>
        </w:rPr>
        <w:t>Others</w:t>
      </w:r>
      <w:r>
        <w:rPr>
          <w:i/>
          <w:iCs/>
        </w:rPr>
        <w:t xml:space="preserve"> </w:t>
      </w:r>
      <w:r w:rsidRPr="003B0CB0">
        <w:rPr>
          <w:i/>
          <w:iCs/>
        </w:rPr>
        <w:t>v.</w:t>
      </w:r>
      <w:r>
        <w:rPr>
          <w:i/>
          <w:iCs/>
        </w:rPr>
        <w:t xml:space="preserve"> </w:t>
      </w:r>
      <w:r w:rsidRPr="003B0CB0">
        <w:rPr>
          <w:i/>
          <w:iCs/>
        </w:rPr>
        <w:t>the</w:t>
      </w:r>
      <w:r>
        <w:rPr>
          <w:i/>
          <w:iCs/>
        </w:rPr>
        <w:t xml:space="preserve"> </w:t>
      </w:r>
      <w:r w:rsidRPr="003B0CB0">
        <w:rPr>
          <w:i/>
          <w:iCs/>
        </w:rPr>
        <w:t>Netherlands</w:t>
      </w:r>
      <w:r>
        <w:rPr>
          <w:i/>
          <w:iCs/>
        </w:rPr>
        <w:t xml:space="preserve"> </w:t>
      </w:r>
      <w:r w:rsidRPr="003B0CB0">
        <w:rPr>
          <w:i/>
          <w:iCs/>
        </w:rPr>
        <w:t>and</w:t>
      </w:r>
      <w:r>
        <w:rPr>
          <w:i/>
          <w:iCs/>
        </w:rPr>
        <w:t xml:space="preserve"> </w:t>
      </w:r>
      <w:r w:rsidRPr="003B0CB0">
        <w:rPr>
          <w:i/>
          <w:iCs/>
        </w:rPr>
        <w:t>Italy</w:t>
      </w:r>
      <w:r w:rsidRPr="003B0CB0">
        <w:rPr>
          <w:szCs w:val="18"/>
        </w:rPr>
        <w:t>,</w:t>
      </w:r>
      <w:r>
        <w:rPr>
          <w:szCs w:val="18"/>
        </w:rPr>
        <w:t xml:space="preserve"> </w:t>
      </w:r>
      <w:r w:rsidRPr="003B0CB0">
        <w:t>para</w:t>
      </w:r>
      <w:r w:rsidRPr="00123C7E">
        <w:t>s</w:t>
      </w:r>
      <w:r w:rsidRPr="003B0CB0">
        <w:t>.</w:t>
      </w:r>
      <w:r>
        <w:t xml:space="preserve"> </w:t>
      </w:r>
      <w:r w:rsidRPr="003B0CB0">
        <w:t>38-39</w:t>
      </w:r>
      <w:r>
        <w:t xml:space="preserve"> </w:t>
      </w:r>
      <w:r w:rsidRPr="003B0CB0">
        <w:t>and</w:t>
      </w:r>
      <w:r>
        <w:t xml:space="preserve"> </w:t>
      </w:r>
      <w:r w:rsidRPr="003B0CB0">
        <w:t>47-48.</w:t>
      </w:r>
    </w:p>
  </w:footnote>
  <w:footnote w:id="15">
    <w:p w:rsidR="00D81309" w:rsidRPr="004F2315" w:rsidRDefault="00D81309" w:rsidP="00D81309">
      <w:pPr>
        <w:pStyle w:val="FootnoteText"/>
      </w:pPr>
      <w:r w:rsidRPr="003B0CB0">
        <w:tab/>
      </w:r>
      <w:r w:rsidRPr="00D81309">
        <w:rPr>
          <w:rStyle w:val="FootnoteReference"/>
        </w:rPr>
        <w:footnoteRef/>
      </w:r>
      <w:r w:rsidRPr="003B0CB0">
        <w:tab/>
      </w:r>
      <w:r>
        <w:t>Ibid.</w:t>
      </w:r>
      <w:r w:rsidRPr="003B0CB0">
        <w:rPr>
          <w:szCs w:val="18"/>
        </w:rPr>
        <w:t>,</w:t>
      </w:r>
      <w:r>
        <w:rPr>
          <w:szCs w:val="18"/>
        </w:rPr>
        <w:t xml:space="preserve"> </w:t>
      </w:r>
      <w:r w:rsidRPr="003B0CB0">
        <w:t>para.</w:t>
      </w:r>
      <w:r>
        <w:t xml:space="preserve"> </w:t>
      </w:r>
      <w:r w:rsidRPr="003B0CB0">
        <w:t>78.</w:t>
      </w:r>
    </w:p>
  </w:footnote>
  <w:footnote w:id="16">
    <w:p w:rsidR="00D81309" w:rsidRPr="00873D81" w:rsidRDefault="00D81309" w:rsidP="00D81309">
      <w:pPr>
        <w:pStyle w:val="FootnoteText"/>
      </w:pPr>
      <w:r w:rsidRPr="004F2315">
        <w:tab/>
      </w:r>
      <w:r w:rsidRPr="00D81309">
        <w:rPr>
          <w:rStyle w:val="FootnoteReference"/>
        </w:rPr>
        <w:footnoteRef/>
      </w:r>
      <w:r w:rsidRPr="004F2315">
        <w:tab/>
      </w:r>
      <w:r w:rsidRPr="00123C7E">
        <w:t>A</w:t>
      </w:r>
      <w:r w:rsidRPr="00873D81">
        <w:t>pplication</w:t>
      </w:r>
      <w:r>
        <w:t xml:space="preserve"> </w:t>
      </w:r>
      <w:r w:rsidRPr="00873D81">
        <w:t>No.</w:t>
      </w:r>
      <w:r>
        <w:t xml:space="preserve"> </w:t>
      </w:r>
      <w:r w:rsidRPr="00873D81">
        <w:t>29217/12,</w:t>
      </w:r>
      <w:r>
        <w:t xml:space="preserve"> </w:t>
      </w:r>
      <w:r w:rsidRPr="00873D81">
        <w:t>judgment</w:t>
      </w:r>
      <w:r>
        <w:t xml:space="preserve"> </w:t>
      </w:r>
      <w:r w:rsidRPr="00873D81">
        <w:t>o</w:t>
      </w:r>
      <w:r w:rsidRPr="00123C7E">
        <w:t>f</w:t>
      </w:r>
      <w:r>
        <w:t xml:space="preserve"> </w:t>
      </w:r>
      <w:r w:rsidRPr="00123C7E">
        <w:t>4</w:t>
      </w:r>
      <w:r>
        <w:t xml:space="preserve"> </w:t>
      </w:r>
      <w:r w:rsidRPr="00123C7E">
        <w:t>November</w:t>
      </w:r>
      <w:r>
        <w:t xml:space="preserve"> </w:t>
      </w:r>
      <w:r w:rsidRPr="00873D81">
        <w:t>2014.</w:t>
      </w:r>
    </w:p>
  </w:footnote>
  <w:footnote w:id="17">
    <w:p w:rsidR="00D81309" w:rsidRPr="00907FE4" w:rsidRDefault="00D81309" w:rsidP="00D81309">
      <w:pPr>
        <w:pStyle w:val="FootnoteText"/>
      </w:pPr>
      <w:r w:rsidRPr="00873D81">
        <w:tab/>
      </w:r>
      <w:r w:rsidRPr="00D81309">
        <w:rPr>
          <w:rStyle w:val="FootnoteReference"/>
        </w:rPr>
        <w:footnoteRef/>
      </w:r>
      <w:r w:rsidRPr="00907FE4">
        <w:tab/>
        <w:t>As</w:t>
      </w:r>
      <w:r>
        <w:t xml:space="preserve"> </w:t>
      </w:r>
      <w:r w:rsidRPr="00907FE4">
        <w:t>established</w:t>
      </w:r>
      <w:r>
        <w:t xml:space="preserve"> </w:t>
      </w:r>
      <w:r w:rsidRPr="00907FE4">
        <w:t>in</w:t>
      </w:r>
      <w:r>
        <w:t xml:space="preserve"> </w:t>
      </w:r>
      <w:r w:rsidRPr="00123C7E">
        <w:rPr>
          <w:i/>
        </w:rPr>
        <w:t>Samsam</w:t>
      </w:r>
      <w:r>
        <w:t xml:space="preserve"> </w:t>
      </w:r>
      <w:r w:rsidRPr="00907FE4">
        <w:rPr>
          <w:i/>
        </w:rPr>
        <w:t>Mohammed</w:t>
      </w:r>
      <w:r>
        <w:rPr>
          <w:i/>
        </w:rPr>
        <w:t xml:space="preserve"> </w:t>
      </w:r>
      <w:r w:rsidRPr="00907FE4">
        <w:rPr>
          <w:i/>
        </w:rPr>
        <w:t>Hussein</w:t>
      </w:r>
      <w:r>
        <w:rPr>
          <w:i/>
        </w:rPr>
        <w:t xml:space="preserve"> </w:t>
      </w:r>
      <w:r w:rsidRPr="00907FE4">
        <w:rPr>
          <w:i/>
        </w:rPr>
        <w:t>and</w:t>
      </w:r>
      <w:r>
        <w:rPr>
          <w:i/>
        </w:rPr>
        <w:t xml:space="preserve"> </w:t>
      </w:r>
      <w:r w:rsidRPr="00907FE4">
        <w:rPr>
          <w:i/>
        </w:rPr>
        <w:t>Others</w:t>
      </w:r>
      <w:r>
        <w:rPr>
          <w:i/>
        </w:rPr>
        <w:t xml:space="preserve"> </w:t>
      </w:r>
      <w:r w:rsidRPr="00907FE4">
        <w:rPr>
          <w:i/>
        </w:rPr>
        <w:t>v.</w:t>
      </w:r>
      <w:r>
        <w:rPr>
          <w:i/>
        </w:rPr>
        <w:t xml:space="preserve"> </w:t>
      </w:r>
      <w:r w:rsidRPr="00907FE4">
        <w:rPr>
          <w:i/>
        </w:rPr>
        <w:t>the</w:t>
      </w:r>
      <w:r>
        <w:rPr>
          <w:i/>
        </w:rPr>
        <w:t xml:space="preserve"> </w:t>
      </w:r>
      <w:r w:rsidRPr="00907FE4">
        <w:rPr>
          <w:i/>
        </w:rPr>
        <w:t>Netherlands</w:t>
      </w:r>
      <w:r>
        <w:rPr>
          <w:i/>
        </w:rPr>
        <w:t xml:space="preserve"> </w:t>
      </w:r>
      <w:r w:rsidRPr="00907FE4">
        <w:rPr>
          <w:i/>
        </w:rPr>
        <w:t>and</w:t>
      </w:r>
      <w:r>
        <w:rPr>
          <w:i/>
        </w:rPr>
        <w:t xml:space="preserve"> </w:t>
      </w:r>
      <w:r w:rsidRPr="00907FE4">
        <w:rPr>
          <w:i/>
        </w:rPr>
        <w:t>Italy.</w:t>
      </w:r>
      <w:r>
        <w:t xml:space="preserve"> </w:t>
      </w:r>
    </w:p>
  </w:footnote>
  <w:footnote w:id="18">
    <w:p w:rsidR="00D81309" w:rsidRPr="00907FE4" w:rsidRDefault="00D81309" w:rsidP="00D81309">
      <w:pPr>
        <w:pStyle w:val="FootnoteText"/>
      </w:pPr>
      <w:r w:rsidRPr="00907FE4">
        <w:rPr>
          <w:sz w:val="20"/>
        </w:rPr>
        <w:tab/>
      </w:r>
      <w:r w:rsidRPr="00D81309">
        <w:rPr>
          <w:rStyle w:val="FootnoteReference"/>
        </w:rPr>
        <w:footnoteRef/>
      </w:r>
      <w:r w:rsidRPr="00907FE4">
        <w:tab/>
      </w:r>
      <w:r>
        <w:t xml:space="preserve">See United States of America, </w:t>
      </w:r>
      <w:r w:rsidRPr="00E717E3">
        <w:t>Department</w:t>
      </w:r>
      <w:r>
        <w:t xml:space="preserve"> </w:t>
      </w:r>
      <w:r w:rsidRPr="00E717E3">
        <w:t>of</w:t>
      </w:r>
      <w:r>
        <w:t xml:space="preserve"> </w:t>
      </w:r>
      <w:r w:rsidRPr="00E717E3">
        <w:t>State</w:t>
      </w:r>
      <w:r>
        <w:t xml:space="preserve">, </w:t>
      </w:r>
      <w:r w:rsidRPr="00354CE2">
        <w:rPr>
          <w:i/>
        </w:rPr>
        <w:t>2012</w:t>
      </w:r>
      <w:r>
        <w:rPr>
          <w:i/>
        </w:rPr>
        <w:t xml:space="preserve"> </w:t>
      </w:r>
      <w:r w:rsidRPr="00354CE2">
        <w:rPr>
          <w:i/>
        </w:rPr>
        <w:t>Country</w:t>
      </w:r>
      <w:r>
        <w:rPr>
          <w:i/>
        </w:rPr>
        <w:t xml:space="preserve"> </w:t>
      </w:r>
      <w:r w:rsidRPr="00354CE2">
        <w:rPr>
          <w:i/>
        </w:rPr>
        <w:t>Reports</w:t>
      </w:r>
      <w:r>
        <w:rPr>
          <w:i/>
        </w:rPr>
        <w:t xml:space="preserve"> </w:t>
      </w:r>
      <w:r w:rsidRPr="00354CE2">
        <w:rPr>
          <w:i/>
        </w:rPr>
        <w:t>on</w:t>
      </w:r>
      <w:r>
        <w:rPr>
          <w:i/>
        </w:rPr>
        <w:t xml:space="preserve"> </w:t>
      </w:r>
      <w:r w:rsidRPr="00354CE2">
        <w:rPr>
          <w:i/>
        </w:rPr>
        <w:t>Human</w:t>
      </w:r>
      <w:r>
        <w:rPr>
          <w:i/>
        </w:rPr>
        <w:t xml:space="preserve"> </w:t>
      </w:r>
      <w:r w:rsidRPr="00354CE2">
        <w:rPr>
          <w:i/>
        </w:rPr>
        <w:t>Rights</w:t>
      </w:r>
      <w:r>
        <w:rPr>
          <w:i/>
        </w:rPr>
        <w:t xml:space="preserve"> </w:t>
      </w:r>
      <w:r w:rsidRPr="00354CE2">
        <w:rPr>
          <w:i/>
        </w:rPr>
        <w:t>Practices</w:t>
      </w:r>
      <w:r>
        <w:rPr>
          <w:i/>
        </w:rPr>
        <w:t xml:space="preserve"> </w:t>
      </w:r>
      <w:r w:rsidR="005B7312">
        <w:rPr>
          <w:i/>
        </w:rPr>
        <w:t>—</w:t>
      </w:r>
      <w:r>
        <w:rPr>
          <w:i/>
        </w:rPr>
        <w:t xml:space="preserve"> </w:t>
      </w:r>
      <w:r w:rsidRPr="00354CE2">
        <w:rPr>
          <w:i/>
        </w:rPr>
        <w:t>Italy</w:t>
      </w:r>
      <w:r>
        <w:t xml:space="preserve">; </w:t>
      </w:r>
      <w:r w:rsidRPr="00E717E3">
        <w:t>Swiss</w:t>
      </w:r>
      <w:r>
        <w:t xml:space="preserve"> </w:t>
      </w:r>
      <w:r w:rsidRPr="00E717E3">
        <w:t>Refugee</w:t>
      </w:r>
      <w:r>
        <w:t xml:space="preserve"> </w:t>
      </w:r>
      <w:r w:rsidRPr="00E717E3">
        <w:t>Council,</w:t>
      </w:r>
      <w:r>
        <w:t xml:space="preserve"> </w:t>
      </w:r>
      <w:r w:rsidRPr="00E717E3">
        <w:rPr>
          <w:i/>
          <w:iCs/>
        </w:rPr>
        <w:t>Reception</w:t>
      </w:r>
      <w:r>
        <w:rPr>
          <w:i/>
          <w:iCs/>
        </w:rPr>
        <w:t xml:space="preserve"> C</w:t>
      </w:r>
      <w:r w:rsidRPr="00E717E3">
        <w:rPr>
          <w:i/>
          <w:iCs/>
        </w:rPr>
        <w:t>onditions</w:t>
      </w:r>
      <w:r>
        <w:rPr>
          <w:i/>
          <w:iCs/>
        </w:rPr>
        <w:t xml:space="preserve"> </w:t>
      </w:r>
      <w:r w:rsidRPr="00E717E3">
        <w:rPr>
          <w:i/>
          <w:iCs/>
        </w:rPr>
        <w:t>in</w:t>
      </w:r>
      <w:r>
        <w:rPr>
          <w:i/>
          <w:iCs/>
        </w:rPr>
        <w:t xml:space="preserve"> </w:t>
      </w:r>
      <w:r w:rsidRPr="00E717E3">
        <w:rPr>
          <w:i/>
          <w:iCs/>
        </w:rPr>
        <w:t>Italy:</w:t>
      </w:r>
      <w:r>
        <w:rPr>
          <w:i/>
          <w:iCs/>
        </w:rPr>
        <w:t xml:space="preserve"> R</w:t>
      </w:r>
      <w:r w:rsidRPr="00E717E3">
        <w:rPr>
          <w:i/>
          <w:iCs/>
        </w:rPr>
        <w:t>eport</w:t>
      </w:r>
      <w:r>
        <w:rPr>
          <w:i/>
          <w:iCs/>
        </w:rPr>
        <w:t xml:space="preserve"> </w:t>
      </w:r>
      <w:r w:rsidRPr="00E717E3">
        <w:rPr>
          <w:i/>
          <w:iCs/>
        </w:rPr>
        <w:t>on</w:t>
      </w:r>
      <w:r>
        <w:rPr>
          <w:i/>
          <w:iCs/>
        </w:rPr>
        <w:t xml:space="preserve"> </w:t>
      </w:r>
      <w:r w:rsidRPr="00E717E3">
        <w:rPr>
          <w:i/>
          <w:iCs/>
        </w:rPr>
        <w:t>the</w:t>
      </w:r>
      <w:r>
        <w:rPr>
          <w:i/>
          <w:iCs/>
        </w:rPr>
        <w:t xml:space="preserve"> C</w:t>
      </w:r>
      <w:r w:rsidRPr="00E717E3">
        <w:rPr>
          <w:i/>
          <w:iCs/>
        </w:rPr>
        <w:t>urrent</w:t>
      </w:r>
      <w:r>
        <w:rPr>
          <w:i/>
          <w:iCs/>
        </w:rPr>
        <w:t xml:space="preserve"> S</w:t>
      </w:r>
      <w:r w:rsidRPr="00E717E3">
        <w:rPr>
          <w:i/>
          <w:iCs/>
        </w:rPr>
        <w:t>ituation</w:t>
      </w:r>
      <w:r>
        <w:rPr>
          <w:i/>
          <w:iCs/>
        </w:rPr>
        <w:t xml:space="preserve"> </w:t>
      </w:r>
      <w:r w:rsidRPr="00E717E3">
        <w:rPr>
          <w:i/>
          <w:iCs/>
        </w:rPr>
        <w:t>of</w:t>
      </w:r>
      <w:r>
        <w:rPr>
          <w:i/>
          <w:iCs/>
        </w:rPr>
        <w:t xml:space="preserve"> A</w:t>
      </w:r>
      <w:r w:rsidRPr="00E717E3">
        <w:rPr>
          <w:i/>
          <w:iCs/>
        </w:rPr>
        <w:t>sylum</w:t>
      </w:r>
      <w:r>
        <w:rPr>
          <w:i/>
          <w:iCs/>
        </w:rPr>
        <w:t xml:space="preserve"> S</w:t>
      </w:r>
      <w:r w:rsidRPr="00E717E3">
        <w:rPr>
          <w:i/>
          <w:iCs/>
        </w:rPr>
        <w:t>eekers</w:t>
      </w:r>
      <w:r>
        <w:rPr>
          <w:i/>
          <w:iCs/>
        </w:rPr>
        <w:t xml:space="preserve"> </w:t>
      </w:r>
      <w:r w:rsidRPr="00E717E3">
        <w:rPr>
          <w:i/>
          <w:iCs/>
        </w:rPr>
        <w:t>and</w:t>
      </w:r>
      <w:r>
        <w:rPr>
          <w:i/>
          <w:iCs/>
        </w:rPr>
        <w:t xml:space="preserve"> B</w:t>
      </w:r>
      <w:r w:rsidRPr="00E717E3">
        <w:rPr>
          <w:i/>
          <w:iCs/>
        </w:rPr>
        <w:t>eneficiaries</w:t>
      </w:r>
      <w:r>
        <w:rPr>
          <w:i/>
          <w:iCs/>
        </w:rPr>
        <w:t xml:space="preserve"> </w:t>
      </w:r>
      <w:r w:rsidRPr="00E717E3">
        <w:rPr>
          <w:i/>
          <w:iCs/>
        </w:rPr>
        <w:t>of</w:t>
      </w:r>
      <w:r>
        <w:rPr>
          <w:i/>
          <w:iCs/>
        </w:rPr>
        <w:t xml:space="preserve"> P</w:t>
      </w:r>
      <w:r w:rsidRPr="00E717E3">
        <w:rPr>
          <w:i/>
          <w:iCs/>
        </w:rPr>
        <w:t>rotection,</w:t>
      </w:r>
      <w:r>
        <w:rPr>
          <w:i/>
          <w:iCs/>
        </w:rPr>
        <w:t xml:space="preserve"> </w:t>
      </w:r>
      <w:r w:rsidRPr="00E717E3">
        <w:rPr>
          <w:i/>
          <w:iCs/>
        </w:rPr>
        <w:t>in</w:t>
      </w:r>
      <w:r>
        <w:rPr>
          <w:i/>
          <w:iCs/>
        </w:rPr>
        <w:t xml:space="preserve"> P</w:t>
      </w:r>
      <w:r w:rsidRPr="00E717E3">
        <w:rPr>
          <w:i/>
          <w:iCs/>
        </w:rPr>
        <w:t>articular</w:t>
      </w:r>
      <w:r>
        <w:rPr>
          <w:i/>
          <w:iCs/>
        </w:rPr>
        <w:t xml:space="preserve"> </w:t>
      </w:r>
      <w:r w:rsidRPr="00E717E3">
        <w:rPr>
          <w:i/>
          <w:iCs/>
        </w:rPr>
        <w:t>Dublin</w:t>
      </w:r>
      <w:r>
        <w:rPr>
          <w:i/>
          <w:iCs/>
        </w:rPr>
        <w:t xml:space="preserve"> R</w:t>
      </w:r>
      <w:r w:rsidRPr="00E717E3">
        <w:rPr>
          <w:i/>
          <w:iCs/>
        </w:rPr>
        <w:t>eturnees</w:t>
      </w:r>
      <w:r>
        <w:rPr>
          <w:i/>
          <w:iCs/>
        </w:rPr>
        <w:t>, in Italy</w:t>
      </w:r>
      <w:r>
        <w:t xml:space="preserve">; and </w:t>
      </w:r>
      <w:r w:rsidRPr="00E717E3">
        <w:t>Asylum</w:t>
      </w:r>
      <w:r>
        <w:t xml:space="preserve"> </w:t>
      </w:r>
      <w:r w:rsidRPr="00E717E3">
        <w:t>Information</w:t>
      </w:r>
      <w:r>
        <w:t xml:space="preserve"> </w:t>
      </w:r>
      <w:r w:rsidRPr="00E717E3">
        <w:t>Database,</w:t>
      </w:r>
      <w:r>
        <w:t xml:space="preserve"> </w:t>
      </w:r>
      <w:r w:rsidR="005766A0">
        <w:t>“</w:t>
      </w:r>
      <w:r>
        <w:rPr>
          <w:iCs/>
        </w:rPr>
        <w:t>National c</w:t>
      </w:r>
      <w:r w:rsidRPr="00354CE2">
        <w:rPr>
          <w:iCs/>
        </w:rPr>
        <w:t>ountry</w:t>
      </w:r>
      <w:r>
        <w:rPr>
          <w:iCs/>
        </w:rPr>
        <w:t xml:space="preserve"> r</w:t>
      </w:r>
      <w:r w:rsidRPr="00354CE2">
        <w:rPr>
          <w:iCs/>
        </w:rPr>
        <w:t>eport:</w:t>
      </w:r>
      <w:r>
        <w:rPr>
          <w:iCs/>
        </w:rPr>
        <w:t xml:space="preserve"> </w:t>
      </w:r>
      <w:r w:rsidRPr="00354CE2">
        <w:rPr>
          <w:iCs/>
        </w:rPr>
        <w:t>Italy</w:t>
      </w:r>
      <w:r w:rsidR="005766A0">
        <w:rPr>
          <w:iCs/>
        </w:rPr>
        <w:t>”</w:t>
      </w:r>
      <w:r>
        <w:t xml:space="preserve">. </w:t>
      </w:r>
    </w:p>
  </w:footnote>
  <w:footnote w:id="19">
    <w:p w:rsidR="00D81309" w:rsidRPr="00907FE4" w:rsidRDefault="00D81309" w:rsidP="00D81309">
      <w:pPr>
        <w:pStyle w:val="FootnoteText"/>
      </w:pPr>
      <w:r w:rsidRPr="00907FE4">
        <w:tab/>
      </w:r>
      <w:r w:rsidRPr="00D81309">
        <w:rPr>
          <w:rStyle w:val="FootnoteReference"/>
        </w:rPr>
        <w:footnoteRef/>
      </w:r>
      <w:r w:rsidRPr="00907FE4">
        <w:tab/>
      </w:r>
      <w:r w:rsidRPr="00907FE4">
        <w:rPr>
          <w:i/>
        </w:rPr>
        <w:t>Samsam</w:t>
      </w:r>
      <w:r>
        <w:rPr>
          <w:i/>
        </w:rPr>
        <w:t xml:space="preserve"> </w:t>
      </w:r>
      <w:r w:rsidRPr="00907FE4">
        <w:rPr>
          <w:i/>
        </w:rPr>
        <w:t>Mohammed</w:t>
      </w:r>
      <w:r>
        <w:rPr>
          <w:i/>
        </w:rPr>
        <w:t xml:space="preserve"> </w:t>
      </w:r>
      <w:r w:rsidRPr="00907FE4">
        <w:rPr>
          <w:i/>
        </w:rPr>
        <w:t>Hussein</w:t>
      </w:r>
      <w:r>
        <w:rPr>
          <w:i/>
        </w:rPr>
        <w:t xml:space="preserve"> </w:t>
      </w:r>
      <w:r w:rsidRPr="00907FE4">
        <w:rPr>
          <w:i/>
        </w:rPr>
        <w:t>and</w:t>
      </w:r>
      <w:r>
        <w:rPr>
          <w:i/>
        </w:rPr>
        <w:t xml:space="preserve"> </w:t>
      </w:r>
      <w:r w:rsidRPr="00907FE4">
        <w:rPr>
          <w:i/>
        </w:rPr>
        <w:t>Others</w:t>
      </w:r>
      <w:r>
        <w:rPr>
          <w:i/>
        </w:rPr>
        <w:t xml:space="preserve"> </w:t>
      </w:r>
      <w:r w:rsidRPr="00907FE4">
        <w:rPr>
          <w:i/>
        </w:rPr>
        <w:t>v.</w:t>
      </w:r>
      <w:r>
        <w:rPr>
          <w:i/>
        </w:rPr>
        <w:t xml:space="preserve"> </w:t>
      </w:r>
      <w:r w:rsidRPr="00907FE4">
        <w:rPr>
          <w:i/>
        </w:rPr>
        <w:t>the</w:t>
      </w:r>
      <w:r>
        <w:rPr>
          <w:i/>
        </w:rPr>
        <w:t xml:space="preserve"> </w:t>
      </w:r>
      <w:r w:rsidRPr="00907FE4">
        <w:rPr>
          <w:i/>
        </w:rPr>
        <w:t>Netherlands</w:t>
      </w:r>
      <w:r>
        <w:rPr>
          <w:i/>
        </w:rPr>
        <w:t xml:space="preserve"> </w:t>
      </w:r>
      <w:r w:rsidRPr="00907FE4">
        <w:rPr>
          <w:i/>
        </w:rPr>
        <w:t>and</w:t>
      </w:r>
      <w:r>
        <w:rPr>
          <w:i/>
        </w:rPr>
        <w:t xml:space="preserve"> </w:t>
      </w:r>
      <w:r w:rsidRPr="00907FE4">
        <w:rPr>
          <w:i/>
        </w:rPr>
        <w:t>Italy</w:t>
      </w:r>
      <w:r w:rsidRPr="00123C7E">
        <w:t>,</w:t>
      </w:r>
      <w:r>
        <w:t xml:space="preserve"> </w:t>
      </w:r>
      <w:r w:rsidRPr="00907FE4">
        <w:t>paras.</w:t>
      </w:r>
      <w:r>
        <w:t xml:space="preserve"> </w:t>
      </w:r>
      <w:r w:rsidRPr="00907FE4">
        <w:t>38-39.</w:t>
      </w:r>
      <w:r>
        <w:t xml:space="preserve"> </w:t>
      </w:r>
    </w:p>
  </w:footnote>
  <w:footnote w:id="20">
    <w:p w:rsidR="00D81309" w:rsidRPr="004F2315" w:rsidRDefault="00C26708" w:rsidP="00D81309">
      <w:pPr>
        <w:pStyle w:val="FootnoteText"/>
      </w:pPr>
      <w:r>
        <w:tab/>
      </w:r>
      <w:r w:rsidR="00D81309" w:rsidRPr="00D81309">
        <w:rPr>
          <w:rStyle w:val="FootnoteReference"/>
        </w:rPr>
        <w:footnoteRef/>
      </w:r>
      <w:r w:rsidR="00D81309">
        <w:t xml:space="preserve"> </w:t>
      </w:r>
      <w:r w:rsidR="00D81309" w:rsidRPr="00907FE4">
        <w:tab/>
      </w:r>
      <w:r w:rsidR="00D81309">
        <w:t>Ibid.</w:t>
      </w:r>
      <w:r w:rsidR="00D81309" w:rsidRPr="00907FE4">
        <w:t>,</w:t>
      </w:r>
      <w:r w:rsidR="00D81309">
        <w:t xml:space="preserve"> </w:t>
      </w:r>
      <w:r w:rsidR="00D81309" w:rsidRPr="00907FE4">
        <w:t>paras.</w:t>
      </w:r>
      <w:r w:rsidR="00D81309">
        <w:t xml:space="preserve"> </w:t>
      </w:r>
      <w:r w:rsidR="00D81309" w:rsidRPr="00907FE4">
        <w:t>77-78.</w:t>
      </w:r>
      <w:r w:rsidR="00D81309">
        <w:t xml:space="preserve"> </w:t>
      </w:r>
    </w:p>
  </w:footnote>
  <w:footnote w:id="21">
    <w:p w:rsidR="00D81309" w:rsidRPr="006A2D1F" w:rsidRDefault="00D81309" w:rsidP="00D81309">
      <w:pPr>
        <w:pStyle w:val="FootnoteText"/>
        <w:rPr>
          <w:i/>
        </w:rPr>
      </w:pPr>
      <w:r w:rsidRPr="004F2315">
        <w:tab/>
      </w:r>
      <w:r w:rsidRPr="00D81309">
        <w:rPr>
          <w:rStyle w:val="FootnoteReference"/>
        </w:rPr>
        <w:footnoteRef/>
      </w:r>
      <w:r w:rsidRPr="006A2D1F">
        <w:tab/>
      </w:r>
      <w:r>
        <w:t xml:space="preserve">See </w:t>
      </w:r>
      <w:r w:rsidRPr="006A2D1F">
        <w:rPr>
          <w:i/>
        </w:rPr>
        <w:t>Tarakhel</w:t>
      </w:r>
      <w:r>
        <w:rPr>
          <w:i/>
        </w:rPr>
        <w:t xml:space="preserve"> </w:t>
      </w:r>
      <w:r w:rsidRPr="006A2D1F">
        <w:rPr>
          <w:i/>
        </w:rPr>
        <w:t>v.</w:t>
      </w:r>
      <w:r>
        <w:rPr>
          <w:i/>
        </w:rPr>
        <w:t xml:space="preserve"> </w:t>
      </w:r>
      <w:r w:rsidRPr="006A2D1F">
        <w:rPr>
          <w:i/>
        </w:rPr>
        <w:t>Switzerland,</w:t>
      </w:r>
      <w:r>
        <w:rPr>
          <w:i/>
        </w:rPr>
        <w:t xml:space="preserve"> </w:t>
      </w:r>
      <w:r w:rsidRPr="00123C7E">
        <w:t>para.</w:t>
      </w:r>
      <w:r>
        <w:t xml:space="preserve"> </w:t>
      </w:r>
      <w:r w:rsidRPr="00123C7E">
        <w:t>115.</w:t>
      </w:r>
    </w:p>
  </w:footnote>
  <w:footnote w:id="22">
    <w:p w:rsidR="00D81309" w:rsidRPr="006A2D1F" w:rsidRDefault="00D81309" w:rsidP="00D81309">
      <w:pPr>
        <w:pStyle w:val="FootnoteText"/>
      </w:pPr>
      <w:r w:rsidRPr="006A2D1F">
        <w:tab/>
      </w:r>
      <w:r w:rsidRPr="00D81309">
        <w:rPr>
          <w:rStyle w:val="FootnoteReference"/>
        </w:rPr>
        <w:footnoteRef/>
      </w:r>
      <w:r w:rsidRPr="006A2D1F">
        <w:tab/>
        <w:t>The</w:t>
      </w:r>
      <w:r>
        <w:t xml:space="preserve"> </w:t>
      </w:r>
      <w:r w:rsidRPr="006A2D1F">
        <w:t>author</w:t>
      </w:r>
      <w:r>
        <w:t xml:space="preserve"> </w:t>
      </w:r>
      <w:r w:rsidRPr="006A2D1F">
        <w:t>quote</w:t>
      </w:r>
      <w:r>
        <w:t xml:space="preserve">s </w:t>
      </w:r>
      <w:r w:rsidRPr="006A2D1F">
        <w:t>the</w:t>
      </w:r>
      <w:r>
        <w:t xml:space="preserve"> </w:t>
      </w:r>
      <w:r w:rsidRPr="006A2D1F">
        <w:t>E</w:t>
      </w:r>
      <w:r>
        <w:t>uropean Court</w:t>
      </w:r>
      <w:r w:rsidR="005766A0">
        <w:t>’</w:t>
      </w:r>
      <w:r>
        <w:t xml:space="preserve">s judgment in </w:t>
      </w:r>
      <w:r w:rsidRPr="006A2D1F">
        <w:rPr>
          <w:i/>
        </w:rPr>
        <w:t>Tarakhel</w:t>
      </w:r>
      <w:r>
        <w:t xml:space="preserve"> </w:t>
      </w:r>
      <w:r w:rsidRPr="00123C7E">
        <w:rPr>
          <w:i/>
        </w:rPr>
        <w:t>v.</w:t>
      </w:r>
      <w:r>
        <w:rPr>
          <w:i/>
        </w:rPr>
        <w:t xml:space="preserve"> </w:t>
      </w:r>
      <w:r w:rsidRPr="00123C7E">
        <w:rPr>
          <w:i/>
        </w:rPr>
        <w:t>Switzerland</w:t>
      </w:r>
      <w:r>
        <w:t xml:space="preserve">, in which it </w:t>
      </w:r>
      <w:r w:rsidRPr="006A2D1F">
        <w:t>indicated</w:t>
      </w:r>
      <w:r>
        <w:t xml:space="preserve"> </w:t>
      </w:r>
      <w:r w:rsidRPr="006A2D1F">
        <w:t>that</w:t>
      </w:r>
      <w:r>
        <w:t xml:space="preserve">, </w:t>
      </w:r>
      <w:r w:rsidRPr="006A2D1F">
        <w:t>if</w:t>
      </w:r>
      <w:r>
        <w:t xml:space="preserve"> </w:t>
      </w:r>
      <w:r w:rsidRPr="006A2D1F">
        <w:t>no</w:t>
      </w:r>
      <w:r>
        <w:t xml:space="preserve"> </w:t>
      </w:r>
      <w:r w:rsidRPr="006A2D1F">
        <w:t>proper</w:t>
      </w:r>
      <w:r>
        <w:t xml:space="preserve"> </w:t>
      </w:r>
      <w:r w:rsidRPr="006A2D1F">
        <w:t>reception</w:t>
      </w:r>
      <w:r>
        <w:t xml:space="preserve"> </w:t>
      </w:r>
      <w:r w:rsidRPr="006A2D1F">
        <w:t>facilities</w:t>
      </w:r>
      <w:r>
        <w:t xml:space="preserve"> </w:t>
      </w:r>
      <w:r w:rsidRPr="006A2D1F">
        <w:t>adapted</w:t>
      </w:r>
      <w:r>
        <w:t xml:space="preserve"> </w:t>
      </w:r>
      <w:r w:rsidRPr="006A2D1F">
        <w:t>to</w:t>
      </w:r>
      <w:r>
        <w:t xml:space="preserve"> </w:t>
      </w:r>
      <w:r w:rsidRPr="006A2D1F">
        <w:t>children</w:t>
      </w:r>
      <w:r>
        <w:t xml:space="preserve"> were </w:t>
      </w:r>
      <w:r w:rsidRPr="006A2D1F">
        <w:t>available</w:t>
      </w:r>
      <w:r>
        <w:t xml:space="preserve">, </w:t>
      </w:r>
      <w:r w:rsidR="005766A0">
        <w:t>“</w:t>
      </w:r>
      <w:r w:rsidRPr="006A2D1F">
        <w:t>the</w:t>
      </w:r>
      <w:r>
        <w:t xml:space="preserve"> </w:t>
      </w:r>
      <w:r w:rsidRPr="006A2D1F">
        <w:t>conditions</w:t>
      </w:r>
      <w:r>
        <w:t xml:space="preserve"> </w:t>
      </w:r>
      <w:r w:rsidRPr="006A2D1F">
        <w:t>in</w:t>
      </w:r>
      <w:r>
        <w:t xml:space="preserve"> </w:t>
      </w:r>
      <w:r w:rsidRPr="006A2D1F">
        <w:t>question</w:t>
      </w:r>
      <w:r>
        <w:t xml:space="preserve"> </w:t>
      </w:r>
      <w:r w:rsidRPr="006A2D1F">
        <w:t>would</w:t>
      </w:r>
      <w:r>
        <w:t xml:space="preserve"> </w:t>
      </w:r>
      <w:r w:rsidRPr="006A2D1F">
        <w:t>attain</w:t>
      </w:r>
      <w:r>
        <w:t xml:space="preserve"> </w:t>
      </w:r>
      <w:r w:rsidRPr="006A2D1F">
        <w:t>the</w:t>
      </w:r>
      <w:r>
        <w:t xml:space="preserve"> </w:t>
      </w:r>
      <w:r w:rsidRPr="006A2D1F">
        <w:t>threshold</w:t>
      </w:r>
      <w:r>
        <w:t xml:space="preserve"> </w:t>
      </w:r>
      <w:r w:rsidRPr="006A2D1F">
        <w:t>of</w:t>
      </w:r>
      <w:r>
        <w:t xml:space="preserve"> </w:t>
      </w:r>
      <w:r w:rsidRPr="006A2D1F">
        <w:t>severity</w:t>
      </w:r>
      <w:r>
        <w:t xml:space="preserve"> </w:t>
      </w:r>
      <w:r w:rsidRPr="006A2D1F">
        <w:t>required</w:t>
      </w:r>
      <w:r>
        <w:t xml:space="preserve"> </w:t>
      </w:r>
      <w:r w:rsidRPr="006A2D1F">
        <w:t>to</w:t>
      </w:r>
      <w:r>
        <w:t xml:space="preserve"> </w:t>
      </w:r>
      <w:r w:rsidRPr="006A2D1F">
        <w:t>come</w:t>
      </w:r>
      <w:r>
        <w:t xml:space="preserve"> </w:t>
      </w:r>
      <w:r w:rsidRPr="006A2D1F">
        <w:t>within</w:t>
      </w:r>
      <w:r>
        <w:t xml:space="preserve"> </w:t>
      </w:r>
      <w:r w:rsidRPr="006A2D1F">
        <w:t>the</w:t>
      </w:r>
      <w:r>
        <w:t xml:space="preserve"> </w:t>
      </w:r>
      <w:r w:rsidRPr="006A2D1F">
        <w:t>scope</w:t>
      </w:r>
      <w:r>
        <w:t xml:space="preserve"> </w:t>
      </w:r>
      <w:r w:rsidRPr="006A2D1F">
        <w:t>of</w:t>
      </w:r>
      <w:r>
        <w:t xml:space="preserve"> </w:t>
      </w:r>
      <w:r w:rsidRPr="006A2D1F">
        <w:t>the</w:t>
      </w:r>
      <w:r>
        <w:t xml:space="preserve"> </w:t>
      </w:r>
      <w:r w:rsidRPr="006A2D1F">
        <w:t>prohibition</w:t>
      </w:r>
      <w:r>
        <w:t xml:space="preserve"> </w:t>
      </w:r>
      <w:r w:rsidRPr="006A2D1F">
        <w:t>under</w:t>
      </w:r>
      <w:r>
        <w:t xml:space="preserve"> A</w:t>
      </w:r>
      <w:r w:rsidRPr="006A2D1F">
        <w:t>rticle</w:t>
      </w:r>
      <w:r>
        <w:t xml:space="preserve"> </w:t>
      </w:r>
      <w:r w:rsidRPr="006A2D1F">
        <w:t>3</w:t>
      </w:r>
      <w:r>
        <w:t xml:space="preserve"> </w:t>
      </w:r>
      <w:r w:rsidRPr="006A2D1F">
        <w:t>of</w:t>
      </w:r>
      <w:r>
        <w:t xml:space="preserve"> </w:t>
      </w:r>
      <w:r w:rsidRPr="006A2D1F">
        <w:t>the</w:t>
      </w:r>
      <w:r>
        <w:t xml:space="preserve"> </w:t>
      </w:r>
      <w:r w:rsidRPr="006A2D1F">
        <w:t>Convention</w:t>
      </w:r>
      <w:r w:rsidR="005766A0">
        <w:t>”</w:t>
      </w:r>
      <w:r>
        <w:t xml:space="preserve"> (</w:t>
      </w:r>
      <w:r w:rsidRPr="006A2D1F">
        <w:t>para.</w:t>
      </w:r>
      <w:r>
        <w:t xml:space="preserve"> </w:t>
      </w:r>
      <w:r w:rsidRPr="006A2D1F">
        <w:t>119</w:t>
      </w:r>
      <w:r>
        <w:t>)</w:t>
      </w:r>
      <w:r w:rsidRPr="006A2D1F">
        <w:t>.</w:t>
      </w:r>
      <w:r>
        <w:t xml:space="preserve"> </w:t>
      </w:r>
    </w:p>
  </w:footnote>
  <w:footnote w:id="23">
    <w:p w:rsidR="00D81309" w:rsidRPr="004F2315" w:rsidRDefault="00D81309" w:rsidP="00D81309">
      <w:pPr>
        <w:pStyle w:val="FootnoteText"/>
      </w:pPr>
      <w:r w:rsidRPr="006A2D1F">
        <w:tab/>
      </w:r>
      <w:r w:rsidRPr="00D81309">
        <w:rPr>
          <w:rStyle w:val="FootnoteReference"/>
        </w:rPr>
        <w:footnoteRef/>
      </w:r>
      <w:r>
        <w:t xml:space="preserve"> </w:t>
      </w:r>
      <w:r w:rsidRPr="006A2D1F">
        <w:tab/>
        <w:t>Communication</w:t>
      </w:r>
      <w:r>
        <w:t xml:space="preserve"> </w:t>
      </w:r>
      <w:r w:rsidRPr="006A2D1F">
        <w:t>No.</w:t>
      </w:r>
      <w:r>
        <w:t xml:space="preserve"> </w:t>
      </w:r>
      <w:r w:rsidRPr="006A2D1F">
        <w:t>2360/2014,</w:t>
      </w:r>
      <w:r>
        <w:t xml:space="preserve"> </w:t>
      </w:r>
      <w:r w:rsidRPr="00123C7E">
        <w:rPr>
          <w:i/>
        </w:rPr>
        <w:t>Jasin</w:t>
      </w:r>
      <w:r>
        <w:rPr>
          <w:i/>
        </w:rPr>
        <w:t xml:space="preserve"> </w:t>
      </w:r>
      <w:r w:rsidRPr="00123C7E">
        <w:rPr>
          <w:i/>
        </w:rPr>
        <w:t>v.</w:t>
      </w:r>
      <w:r>
        <w:rPr>
          <w:i/>
        </w:rPr>
        <w:t xml:space="preserve"> </w:t>
      </w:r>
      <w:r w:rsidRPr="00123C7E">
        <w:rPr>
          <w:i/>
        </w:rPr>
        <w:t>Denmark</w:t>
      </w:r>
      <w:r>
        <w:t xml:space="preserve">, </w:t>
      </w:r>
      <w:r w:rsidRPr="006A2D1F">
        <w:t>Views</w:t>
      </w:r>
      <w:r>
        <w:t xml:space="preserve"> </w:t>
      </w:r>
      <w:r w:rsidRPr="006A2D1F">
        <w:t>adopted</w:t>
      </w:r>
      <w:r>
        <w:t xml:space="preserve"> </w:t>
      </w:r>
      <w:r w:rsidRPr="006A2D1F">
        <w:t>on</w:t>
      </w:r>
      <w:r>
        <w:t xml:space="preserve"> </w:t>
      </w:r>
      <w:r w:rsidRPr="006A2D1F">
        <w:t>22</w:t>
      </w:r>
      <w:r>
        <w:t xml:space="preserve"> </w:t>
      </w:r>
      <w:r w:rsidRPr="006A2D1F">
        <w:t>July</w:t>
      </w:r>
      <w:r>
        <w:t xml:space="preserve"> </w:t>
      </w:r>
      <w:r w:rsidRPr="006A2D1F">
        <w:t>2015,</w:t>
      </w:r>
      <w:r>
        <w:t xml:space="preserve"> </w:t>
      </w:r>
      <w:r w:rsidRPr="006A2D1F">
        <w:t>paras</w:t>
      </w:r>
      <w:r>
        <w:t xml:space="preserve">. </w:t>
      </w:r>
      <w:r w:rsidRPr="006A2D1F">
        <w:t>8.8-10.</w:t>
      </w:r>
    </w:p>
  </w:footnote>
  <w:footnote w:id="24">
    <w:p w:rsidR="00D81309" w:rsidRPr="00123C7E" w:rsidRDefault="00D81309" w:rsidP="00D81309">
      <w:pPr>
        <w:pStyle w:val="FootnoteText"/>
        <w:rPr>
          <w:lang w:val="en-US"/>
        </w:rPr>
      </w:pPr>
      <w:r>
        <w:tab/>
      </w:r>
      <w:r w:rsidRPr="00D81309">
        <w:rPr>
          <w:rStyle w:val="FootnoteReference"/>
        </w:rPr>
        <w:footnoteRef/>
      </w:r>
      <w:r>
        <w:t xml:space="preserve"> </w:t>
      </w:r>
      <w:r>
        <w:tab/>
        <w:t xml:space="preserve">Communication No. 2402/2014, </w:t>
      </w:r>
      <w:r w:rsidRPr="001C75CD">
        <w:rPr>
          <w:i/>
          <w:iCs/>
        </w:rPr>
        <w:t>A.A.I.</w:t>
      </w:r>
      <w:r>
        <w:rPr>
          <w:i/>
          <w:iCs/>
        </w:rPr>
        <w:t xml:space="preserve"> </w:t>
      </w:r>
      <w:r w:rsidRPr="001C75CD">
        <w:rPr>
          <w:i/>
          <w:iCs/>
        </w:rPr>
        <w:t>and</w:t>
      </w:r>
      <w:r>
        <w:rPr>
          <w:i/>
          <w:iCs/>
        </w:rPr>
        <w:t xml:space="preserve"> </w:t>
      </w:r>
      <w:r w:rsidRPr="001C75CD">
        <w:rPr>
          <w:i/>
          <w:iCs/>
        </w:rPr>
        <w:t>A.H.A.</w:t>
      </w:r>
      <w:r>
        <w:rPr>
          <w:i/>
          <w:iCs/>
        </w:rPr>
        <w:t xml:space="preserve"> </w:t>
      </w:r>
      <w:r w:rsidRPr="001C75CD">
        <w:rPr>
          <w:i/>
          <w:iCs/>
        </w:rPr>
        <w:t>v.</w:t>
      </w:r>
      <w:r>
        <w:rPr>
          <w:i/>
          <w:iCs/>
        </w:rPr>
        <w:t xml:space="preserve"> </w:t>
      </w:r>
      <w:r w:rsidRPr="001C75CD">
        <w:rPr>
          <w:i/>
          <w:iCs/>
        </w:rPr>
        <w:t>Denmark</w:t>
      </w:r>
      <w:r>
        <w:rPr>
          <w:i/>
          <w:iCs/>
        </w:rPr>
        <w:t>,</w:t>
      </w:r>
      <w:r>
        <w:t xml:space="preserve"> decision adopted on 29 March 2016.</w:t>
      </w:r>
    </w:p>
  </w:footnote>
  <w:footnote w:id="25">
    <w:p w:rsidR="00D81309" w:rsidRPr="004F2315" w:rsidRDefault="00D81309" w:rsidP="00D81309">
      <w:pPr>
        <w:pStyle w:val="FootnoteText"/>
        <w:rPr>
          <w:lang w:eastAsia="en-GB"/>
        </w:rPr>
      </w:pPr>
      <w:r w:rsidRPr="004F2315">
        <w:tab/>
      </w:r>
      <w:r w:rsidRPr="00D81309">
        <w:rPr>
          <w:rStyle w:val="FootnoteReference"/>
        </w:rPr>
        <w:footnoteRef/>
      </w:r>
      <w:r>
        <w:t xml:space="preserve"> </w:t>
      </w:r>
      <w:r w:rsidRPr="004F2315">
        <w:tab/>
      </w:r>
      <w:r>
        <w:t xml:space="preserve">See </w:t>
      </w:r>
      <w:r w:rsidRPr="00A46577">
        <w:rPr>
          <w:i/>
          <w:iCs/>
          <w:lang w:eastAsia="en-GB"/>
        </w:rPr>
        <w:t>N.A.</w:t>
      </w:r>
      <w:r>
        <w:rPr>
          <w:i/>
          <w:iCs/>
          <w:lang w:eastAsia="en-GB"/>
        </w:rPr>
        <w:t xml:space="preserve"> </w:t>
      </w:r>
      <w:r w:rsidRPr="00A46577">
        <w:rPr>
          <w:i/>
          <w:iCs/>
          <w:lang w:eastAsia="en-GB"/>
        </w:rPr>
        <w:t>and</w:t>
      </w:r>
      <w:r>
        <w:rPr>
          <w:i/>
          <w:iCs/>
          <w:lang w:eastAsia="en-GB"/>
        </w:rPr>
        <w:t xml:space="preserve"> </w:t>
      </w:r>
      <w:r w:rsidRPr="00123C7E">
        <w:rPr>
          <w:i/>
          <w:iCs/>
          <w:lang w:eastAsia="en-GB"/>
        </w:rPr>
        <w:t>O</w:t>
      </w:r>
      <w:r w:rsidRPr="00A46577">
        <w:rPr>
          <w:i/>
          <w:iCs/>
          <w:lang w:eastAsia="en-GB"/>
        </w:rPr>
        <w:t>thers</w:t>
      </w:r>
      <w:r>
        <w:rPr>
          <w:i/>
          <w:iCs/>
          <w:lang w:eastAsia="en-GB"/>
        </w:rPr>
        <w:t xml:space="preserve"> </w:t>
      </w:r>
      <w:r w:rsidRPr="00A46577">
        <w:rPr>
          <w:i/>
          <w:iCs/>
          <w:lang w:eastAsia="en-GB"/>
        </w:rPr>
        <w:t>v.</w:t>
      </w:r>
      <w:r>
        <w:rPr>
          <w:i/>
          <w:iCs/>
          <w:lang w:eastAsia="en-GB"/>
        </w:rPr>
        <w:t xml:space="preserve"> </w:t>
      </w:r>
      <w:r w:rsidRPr="00A46577">
        <w:rPr>
          <w:i/>
          <w:iCs/>
          <w:lang w:eastAsia="en-GB"/>
        </w:rPr>
        <w:t>Denmark</w:t>
      </w:r>
      <w:r>
        <w:t xml:space="preserve"> (</w:t>
      </w:r>
      <w:r w:rsidRPr="00D22E1B">
        <w:t>application</w:t>
      </w:r>
      <w:r>
        <w:t xml:space="preserve"> </w:t>
      </w:r>
      <w:r w:rsidRPr="00D22E1B">
        <w:t>No.</w:t>
      </w:r>
      <w:r>
        <w:t xml:space="preserve"> </w:t>
      </w:r>
      <w:r w:rsidRPr="00D22E1B">
        <w:t>15636/16</w:t>
      </w:r>
      <w:r>
        <w:t>)</w:t>
      </w:r>
      <w:r w:rsidRPr="00123C7E">
        <w:rPr>
          <w:iCs/>
          <w:lang w:eastAsia="en-GB"/>
        </w:rPr>
        <w:t>,</w:t>
      </w:r>
      <w:r>
        <w:rPr>
          <w:i/>
          <w:iCs/>
          <w:lang w:eastAsia="en-GB"/>
        </w:rPr>
        <w:t xml:space="preserve"> </w:t>
      </w:r>
      <w:r w:rsidRPr="00123C7E">
        <w:rPr>
          <w:iCs/>
          <w:lang w:eastAsia="en-GB"/>
        </w:rPr>
        <w:t>decision</w:t>
      </w:r>
      <w:r>
        <w:rPr>
          <w:iCs/>
          <w:lang w:eastAsia="en-GB"/>
        </w:rPr>
        <w:t xml:space="preserve"> </w:t>
      </w:r>
      <w:r w:rsidRPr="00123C7E">
        <w:rPr>
          <w:iCs/>
          <w:lang w:eastAsia="en-GB"/>
        </w:rPr>
        <w:t>of</w:t>
      </w:r>
      <w:r>
        <w:rPr>
          <w:iCs/>
          <w:lang w:eastAsia="en-GB"/>
        </w:rPr>
        <w:t xml:space="preserve"> </w:t>
      </w:r>
      <w:r w:rsidRPr="00A46577">
        <w:rPr>
          <w:lang w:eastAsia="en-GB"/>
        </w:rPr>
        <w:t>28</w:t>
      </w:r>
      <w:r>
        <w:rPr>
          <w:lang w:eastAsia="en-GB"/>
        </w:rPr>
        <w:t xml:space="preserve"> </w:t>
      </w:r>
      <w:r w:rsidRPr="00A46577">
        <w:rPr>
          <w:lang w:eastAsia="en-GB"/>
        </w:rPr>
        <w:t>June</w:t>
      </w:r>
      <w:r>
        <w:rPr>
          <w:lang w:eastAsia="en-GB"/>
        </w:rPr>
        <w:t xml:space="preserve"> </w:t>
      </w:r>
      <w:r w:rsidRPr="00A46577">
        <w:rPr>
          <w:lang w:eastAsia="en-GB"/>
        </w:rPr>
        <w:t>2016,</w:t>
      </w:r>
      <w:r>
        <w:rPr>
          <w:lang w:eastAsia="en-GB"/>
        </w:rPr>
        <w:t xml:space="preserve"> </w:t>
      </w:r>
      <w:r w:rsidRPr="00A46577">
        <w:rPr>
          <w:lang w:eastAsia="en-GB"/>
        </w:rPr>
        <w:t>para.</w:t>
      </w:r>
      <w:r>
        <w:rPr>
          <w:lang w:eastAsia="en-GB"/>
        </w:rPr>
        <w:t xml:space="preserve"> </w:t>
      </w:r>
      <w:r w:rsidRPr="00A46577">
        <w:rPr>
          <w:lang w:eastAsia="en-GB"/>
        </w:rPr>
        <w:t>32.</w:t>
      </w:r>
      <w:r>
        <w:rPr>
          <w:lang w:eastAsia="en-GB"/>
        </w:rPr>
        <w:t xml:space="preserve"> </w:t>
      </w:r>
    </w:p>
  </w:footnote>
  <w:footnote w:id="26">
    <w:p w:rsidR="00D81309" w:rsidRPr="002D7EB8" w:rsidRDefault="00D81309" w:rsidP="00D81309">
      <w:pPr>
        <w:pStyle w:val="FootnoteText"/>
      </w:pPr>
      <w:r w:rsidRPr="004F2315">
        <w:tab/>
      </w:r>
      <w:r w:rsidRPr="00D81309">
        <w:rPr>
          <w:rStyle w:val="FootnoteReference"/>
        </w:rPr>
        <w:footnoteRef/>
      </w:r>
      <w:r w:rsidRPr="002D7EB8">
        <w:tab/>
        <w:t>See</w:t>
      </w:r>
      <w:r>
        <w:t xml:space="preserve"> the Committee</w:t>
      </w:r>
      <w:r w:rsidR="005766A0">
        <w:t>’</w:t>
      </w:r>
      <w:r>
        <w:t>s g</w:t>
      </w:r>
      <w:r w:rsidRPr="002D7EB8">
        <w:t>eneral</w:t>
      </w:r>
      <w:r>
        <w:t xml:space="preserve"> </w:t>
      </w:r>
      <w:r w:rsidRPr="002D7EB8">
        <w:t>comment</w:t>
      </w:r>
      <w:r>
        <w:t xml:space="preserve"> </w:t>
      </w:r>
      <w:r w:rsidRPr="002D7EB8">
        <w:t>No.</w:t>
      </w:r>
      <w:r>
        <w:t xml:space="preserve"> </w:t>
      </w:r>
      <w:r w:rsidRPr="002D7EB8">
        <w:t>31</w:t>
      </w:r>
      <w:r>
        <w:t xml:space="preserve"> </w:t>
      </w:r>
      <w:r w:rsidRPr="002D7EB8">
        <w:t>(2004)</w:t>
      </w:r>
      <w:r>
        <w:t xml:space="preserve"> </w:t>
      </w:r>
      <w:r w:rsidRPr="002D7EB8">
        <w:t>on</w:t>
      </w:r>
      <w:r>
        <w:t xml:space="preserve"> </w:t>
      </w:r>
      <w:r w:rsidRPr="002D7EB8">
        <w:t>the</w:t>
      </w:r>
      <w:r>
        <w:t xml:space="preserve"> </w:t>
      </w:r>
      <w:r w:rsidRPr="002D7EB8">
        <w:t>nature</w:t>
      </w:r>
      <w:r>
        <w:t xml:space="preserve"> </w:t>
      </w:r>
      <w:r w:rsidRPr="002D7EB8">
        <w:t>of</w:t>
      </w:r>
      <w:r>
        <w:t xml:space="preserve"> </w:t>
      </w:r>
      <w:r w:rsidRPr="002D7EB8">
        <w:t>the</w:t>
      </w:r>
      <w:r>
        <w:t xml:space="preserve"> </w:t>
      </w:r>
      <w:r w:rsidRPr="002D7EB8">
        <w:t>general</w:t>
      </w:r>
      <w:r>
        <w:t xml:space="preserve"> </w:t>
      </w:r>
      <w:r w:rsidRPr="002D7EB8">
        <w:t>legal</w:t>
      </w:r>
      <w:r>
        <w:t xml:space="preserve"> </w:t>
      </w:r>
      <w:r w:rsidRPr="002D7EB8">
        <w:t>obligation</w:t>
      </w:r>
      <w:r>
        <w:t xml:space="preserve"> </w:t>
      </w:r>
      <w:r w:rsidRPr="002D7EB8">
        <w:t>imposed</w:t>
      </w:r>
      <w:r>
        <w:t xml:space="preserve"> </w:t>
      </w:r>
      <w:r w:rsidRPr="002D7EB8">
        <w:t>on</w:t>
      </w:r>
      <w:r>
        <w:t xml:space="preserve"> </w:t>
      </w:r>
      <w:r w:rsidRPr="002D7EB8">
        <w:t>States</w:t>
      </w:r>
      <w:r>
        <w:t xml:space="preserve"> </w:t>
      </w:r>
      <w:r w:rsidRPr="002D7EB8">
        <w:t>parties</w:t>
      </w:r>
      <w:r>
        <w:t xml:space="preserve"> </w:t>
      </w:r>
      <w:r w:rsidRPr="002D7EB8">
        <w:t>to</w:t>
      </w:r>
      <w:r>
        <w:t xml:space="preserve"> </w:t>
      </w:r>
      <w:r w:rsidRPr="002D7EB8">
        <w:t>the</w:t>
      </w:r>
      <w:r>
        <w:t xml:space="preserve"> </w:t>
      </w:r>
      <w:r w:rsidRPr="002D7EB8">
        <w:t>Covenant,</w:t>
      </w:r>
      <w:r>
        <w:t xml:space="preserve"> </w:t>
      </w:r>
      <w:r w:rsidRPr="002D7EB8">
        <w:t>para.</w:t>
      </w:r>
      <w:r>
        <w:t xml:space="preserve"> </w:t>
      </w:r>
      <w:r w:rsidRPr="002D7EB8">
        <w:t>12.</w:t>
      </w:r>
    </w:p>
  </w:footnote>
  <w:footnote w:id="27">
    <w:p w:rsidR="00D81309" w:rsidRPr="002D7EB8" w:rsidRDefault="00D81309" w:rsidP="00D81309">
      <w:pPr>
        <w:pStyle w:val="FootnoteText"/>
      </w:pPr>
      <w:r w:rsidRPr="002D7EB8">
        <w:tab/>
      </w:r>
      <w:r w:rsidRPr="00D81309">
        <w:rPr>
          <w:rStyle w:val="FootnoteReference"/>
        </w:rPr>
        <w:footnoteRef/>
      </w:r>
      <w:r w:rsidRPr="002D7EB8">
        <w:tab/>
        <w:t>See</w:t>
      </w:r>
      <w:r>
        <w:t xml:space="preserve"> </w:t>
      </w:r>
      <w:r w:rsidRPr="002D7EB8">
        <w:t>communications</w:t>
      </w:r>
      <w:r>
        <w:t xml:space="preserve"> </w:t>
      </w:r>
      <w:r w:rsidRPr="002D7EB8">
        <w:t>No.</w:t>
      </w:r>
      <w:r>
        <w:t xml:space="preserve"> </w:t>
      </w:r>
      <w:r w:rsidRPr="002D7EB8">
        <w:t>2007/2010,</w:t>
      </w:r>
      <w:r>
        <w:t xml:space="preserve"> </w:t>
      </w:r>
      <w:r w:rsidRPr="002D7EB8">
        <w:rPr>
          <w:i/>
        </w:rPr>
        <w:t>X</w:t>
      </w:r>
      <w:r>
        <w:rPr>
          <w:i/>
        </w:rPr>
        <w:t xml:space="preserve"> </w:t>
      </w:r>
      <w:r w:rsidRPr="002D7EB8">
        <w:rPr>
          <w:i/>
        </w:rPr>
        <w:t>v.</w:t>
      </w:r>
      <w:r>
        <w:rPr>
          <w:i/>
        </w:rPr>
        <w:t xml:space="preserve"> </w:t>
      </w:r>
      <w:r w:rsidRPr="002D7EB8">
        <w:rPr>
          <w:i/>
        </w:rPr>
        <w:t>Denmark</w:t>
      </w:r>
      <w:r w:rsidRPr="002D7EB8">
        <w:t>,</w:t>
      </w:r>
      <w:r>
        <w:t xml:space="preserve"> </w:t>
      </w:r>
      <w:r w:rsidRPr="002D7EB8">
        <w:t>Views</w:t>
      </w:r>
      <w:r>
        <w:t xml:space="preserve"> </w:t>
      </w:r>
      <w:r w:rsidRPr="002D7EB8">
        <w:t>adopted</w:t>
      </w:r>
      <w:r>
        <w:t xml:space="preserve"> </w:t>
      </w:r>
      <w:r w:rsidRPr="002D7EB8">
        <w:t>on</w:t>
      </w:r>
      <w:r>
        <w:t xml:space="preserve"> </w:t>
      </w:r>
      <w:r w:rsidRPr="002D7EB8">
        <w:t>26</w:t>
      </w:r>
      <w:r>
        <w:t xml:space="preserve"> </w:t>
      </w:r>
      <w:r w:rsidRPr="002D7EB8">
        <w:t>March</w:t>
      </w:r>
      <w:r>
        <w:t xml:space="preserve"> </w:t>
      </w:r>
      <w:r w:rsidRPr="002D7EB8">
        <w:t>2014,</w:t>
      </w:r>
      <w:r>
        <w:t xml:space="preserve"> </w:t>
      </w:r>
      <w:r w:rsidRPr="002D7EB8">
        <w:t>para.</w:t>
      </w:r>
      <w:r>
        <w:t xml:space="preserve"> </w:t>
      </w:r>
      <w:r w:rsidRPr="002D7EB8">
        <w:t>9.2;</w:t>
      </w:r>
      <w:r>
        <w:t xml:space="preserve"> </w:t>
      </w:r>
      <w:r w:rsidRPr="002D7EB8">
        <w:t>No.</w:t>
      </w:r>
      <w:r>
        <w:t xml:space="preserve"> </w:t>
      </w:r>
      <w:r w:rsidRPr="002D7EB8">
        <w:t>692/1996,</w:t>
      </w:r>
      <w:r>
        <w:t xml:space="preserve"> </w:t>
      </w:r>
      <w:r w:rsidRPr="002D7EB8">
        <w:rPr>
          <w:i/>
          <w:iCs/>
        </w:rPr>
        <w:t>A.R.J.</w:t>
      </w:r>
      <w:r>
        <w:rPr>
          <w:i/>
          <w:iCs/>
        </w:rPr>
        <w:t xml:space="preserve"> </w:t>
      </w:r>
      <w:r w:rsidRPr="002D7EB8">
        <w:rPr>
          <w:i/>
          <w:iCs/>
        </w:rPr>
        <w:t>v.</w:t>
      </w:r>
      <w:r>
        <w:rPr>
          <w:i/>
          <w:iCs/>
        </w:rPr>
        <w:t xml:space="preserve"> </w:t>
      </w:r>
      <w:r w:rsidRPr="002D7EB8">
        <w:rPr>
          <w:i/>
          <w:iCs/>
        </w:rPr>
        <w:t>Australia,</w:t>
      </w:r>
      <w:r>
        <w:rPr>
          <w:i/>
          <w:iCs/>
        </w:rPr>
        <w:t xml:space="preserve"> </w:t>
      </w:r>
      <w:r w:rsidRPr="002D7EB8">
        <w:t>Views</w:t>
      </w:r>
      <w:r>
        <w:t xml:space="preserve"> </w:t>
      </w:r>
      <w:r w:rsidRPr="002D7EB8">
        <w:t>adopted</w:t>
      </w:r>
      <w:r>
        <w:t xml:space="preserve"> </w:t>
      </w:r>
      <w:r w:rsidRPr="002D7EB8">
        <w:t>on</w:t>
      </w:r>
      <w:r>
        <w:t xml:space="preserve"> </w:t>
      </w:r>
      <w:r w:rsidRPr="002D7EB8">
        <w:t>28</w:t>
      </w:r>
      <w:r>
        <w:t xml:space="preserve"> </w:t>
      </w:r>
      <w:r w:rsidRPr="002D7EB8">
        <w:t>July</w:t>
      </w:r>
      <w:r>
        <w:t xml:space="preserve"> </w:t>
      </w:r>
      <w:r w:rsidRPr="002D7EB8">
        <w:t>1997,</w:t>
      </w:r>
      <w:r>
        <w:t xml:space="preserve"> </w:t>
      </w:r>
      <w:r w:rsidRPr="002D7EB8">
        <w:t>para.</w:t>
      </w:r>
      <w:r>
        <w:t xml:space="preserve"> </w:t>
      </w:r>
      <w:r w:rsidRPr="002D7EB8">
        <w:t>6.6;</w:t>
      </w:r>
      <w:r>
        <w:t xml:space="preserve"> </w:t>
      </w:r>
      <w:r w:rsidRPr="002D7EB8">
        <w:t>and</w:t>
      </w:r>
      <w:r>
        <w:t xml:space="preserve"> </w:t>
      </w:r>
      <w:r w:rsidRPr="002D7EB8">
        <w:t>No.</w:t>
      </w:r>
      <w:r>
        <w:t xml:space="preserve"> </w:t>
      </w:r>
      <w:r w:rsidRPr="002D7EB8">
        <w:t>1833/2008</w:t>
      </w:r>
      <w:r w:rsidRPr="002D7EB8">
        <w:rPr>
          <w:i/>
        </w:rPr>
        <w:t>,</w:t>
      </w:r>
      <w:r>
        <w:rPr>
          <w:i/>
        </w:rPr>
        <w:t xml:space="preserve"> </w:t>
      </w:r>
      <w:r w:rsidRPr="002D7EB8">
        <w:rPr>
          <w:i/>
        </w:rPr>
        <w:t>X</w:t>
      </w:r>
      <w:r>
        <w:rPr>
          <w:i/>
        </w:rPr>
        <w:t xml:space="preserve"> </w:t>
      </w:r>
      <w:r w:rsidRPr="002D7EB8">
        <w:rPr>
          <w:i/>
        </w:rPr>
        <w:t>v.</w:t>
      </w:r>
      <w:r>
        <w:rPr>
          <w:i/>
        </w:rPr>
        <w:t xml:space="preserve"> </w:t>
      </w:r>
      <w:r w:rsidRPr="002D7EB8">
        <w:rPr>
          <w:i/>
        </w:rPr>
        <w:t>Sweden</w:t>
      </w:r>
      <w:r w:rsidRPr="002D7EB8">
        <w:t>,</w:t>
      </w:r>
      <w:r>
        <w:t xml:space="preserve"> </w:t>
      </w:r>
      <w:r w:rsidRPr="002D7EB8">
        <w:t>Views</w:t>
      </w:r>
      <w:r>
        <w:t xml:space="preserve"> </w:t>
      </w:r>
      <w:r w:rsidRPr="002D7EB8">
        <w:t>adopted</w:t>
      </w:r>
      <w:r>
        <w:t xml:space="preserve"> </w:t>
      </w:r>
      <w:r w:rsidRPr="002D7EB8">
        <w:t>on</w:t>
      </w:r>
      <w:r>
        <w:t xml:space="preserve"> </w:t>
      </w:r>
      <w:r w:rsidRPr="002D7EB8">
        <w:t>1</w:t>
      </w:r>
      <w:r>
        <w:t xml:space="preserve"> </w:t>
      </w:r>
      <w:r w:rsidRPr="002D7EB8">
        <w:t>November</w:t>
      </w:r>
      <w:r>
        <w:t xml:space="preserve"> </w:t>
      </w:r>
      <w:r w:rsidRPr="002D7EB8">
        <w:t>2011,</w:t>
      </w:r>
      <w:r>
        <w:t xml:space="preserve"> </w:t>
      </w:r>
      <w:r w:rsidRPr="002D7EB8">
        <w:t>para.</w:t>
      </w:r>
      <w:r>
        <w:t xml:space="preserve"> </w:t>
      </w:r>
      <w:r w:rsidRPr="002D7EB8">
        <w:t>5.18.</w:t>
      </w:r>
      <w:r>
        <w:t xml:space="preserve"> </w:t>
      </w:r>
    </w:p>
  </w:footnote>
  <w:footnote w:id="28">
    <w:p w:rsidR="00D81309" w:rsidRPr="002D7EB8" w:rsidRDefault="00D81309" w:rsidP="00D81309">
      <w:pPr>
        <w:pStyle w:val="FootnoteText"/>
      </w:pPr>
      <w:r w:rsidRPr="002D7EB8">
        <w:tab/>
      </w:r>
      <w:r w:rsidRPr="00D81309">
        <w:rPr>
          <w:rStyle w:val="FootnoteReference"/>
        </w:rPr>
        <w:footnoteRef/>
      </w:r>
      <w:r w:rsidRPr="002D7EB8">
        <w:tab/>
        <w:t>See</w:t>
      </w:r>
      <w:r>
        <w:t xml:space="preserve"> </w:t>
      </w:r>
      <w:r w:rsidRPr="002D7EB8">
        <w:t>communication</w:t>
      </w:r>
      <w:r>
        <w:t xml:space="preserve"> </w:t>
      </w:r>
      <w:r w:rsidRPr="002D7EB8">
        <w:t>No.</w:t>
      </w:r>
      <w:r>
        <w:t xml:space="preserve"> </w:t>
      </w:r>
      <w:r w:rsidRPr="002D7EB8">
        <w:t>1957/2010,</w:t>
      </w:r>
      <w:r>
        <w:t xml:space="preserve"> </w:t>
      </w:r>
      <w:r w:rsidRPr="002D7EB8">
        <w:rPr>
          <w:i/>
        </w:rPr>
        <w:t>Lin</w:t>
      </w:r>
      <w:r>
        <w:rPr>
          <w:i/>
        </w:rPr>
        <w:t xml:space="preserve"> </w:t>
      </w:r>
      <w:r w:rsidRPr="00123C7E">
        <w:rPr>
          <w:i/>
          <w:iCs/>
        </w:rPr>
        <w:t>v.</w:t>
      </w:r>
      <w:r>
        <w:rPr>
          <w:i/>
        </w:rPr>
        <w:t xml:space="preserve"> </w:t>
      </w:r>
      <w:r w:rsidRPr="002D7EB8">
        <w:rPr>
          <w:i/>
        </w:rPr>
        <w:t>Australia</w:t>
      </w:r>
      <w:r w:rsidRPr="002D7EB8">
        <w:t>,</w:t>
      </w:r>
      <w:r>
        <w:t xml:space="preserve"> </w:t>
      </w:r>
      <w:r w:rsidRPr="002D7EB8">
        <w:t>Views</w:t>
      </w:r>
      <w:r>
        <w:t xml:space="preserve"> </w:t>
      </w:r>
      <w:r w:rsidRPr="002D7EB8">
        <w:t>adopted</w:t>
      </w:r>
      <w:r>
        <w:t xml:space="preserve"> </w:t>
      </w:r>
      <w:r w:rsidRPr="002D7EB8">
        <w:t>on</w:t>
      </w:r>
      <w:r>
        <w:t xml:space="preserve"> </w:t>
      </w:r>
      <w:r w:rsidRPr="002D7EB8">
        <w:t>21</w:t>
      </w:r>
      <w:r>
        <w:t xml:space="preserve"> </w:t>
      </w:r>
      <w:r w:rsidRPr="002D7EB8">
        <w:t>March</w:t>
      </w:r>
      <w:r>
        <w:t xml:space="preserve"> </w:t>
      </w:r>
      <w:r w:rsidRPr="002D7EB8">
        <w:t>2013,</w:t>
      </w:r>
      <w:r>
        <w:t xml:space="preserve"> </w:t>
      </w:r>
      <w:r w:rsidRPr="002D7EB8">
        <w:t>para.</w:t>
      </w:r>
      <w:r>
        <w:t xml:space="preserve"> </w:t>
      </w:r>
      <w:r w:rsidRPr="002D7EB8">
        <w:t>9.3.</w:t>
      </w:r>
    </w:p>
  </w:footnote>
  <w:footnote w:id="29">
    <w:p w:rsidR="00D81309" w:rsidRPr="002D7EB8" w:rsidRDefault="00D81309" w:rsidP="00D81309">
      <w:pPr>
        <w:pStyle w:val="FootnoteText"/>
      </w:pPr>
      <w:r>
        <w:t xml:space="preserve"> </w:t>
      </w:r>
      <w:r>
        <w:tab/>
      </w:r>
      <w:r w:rsidRPr="00D81309">
        <w:rPr>
          <w:rStyle w:val="FootnoteReference"/>
        </w:rPr>
        <w:footnoteRef/>
      </w:r>
      <w:r>
        <w:t xml:space="preserve"> </w:t>
      </w:r>
      <w:r w:rsidRPr="002D7EB8">
        <w:tab/>
        <w:t>See</w:t>
      </w:r>
      <w:r>
        <w:t xml:space="preserve"> </w:t>
      </w:r>
      <w:r w:rsidRPr="002D7EB8">
        <w:t>communications</w:t>
      </w:r>
      <w:r>
        <w:t xml:space="preserve"> </w:t>
      </w:r>
      <w:r w:rsidRPr="002D7EB8">
        <w:t>No.</w:t>
      </w:r>
      <w:r>
        <w:t xml:space="preserve"> </w:t>
      </w:r>
      <w:r w:rsidRPr="002D7EB8">
        <w:rPr>
          <w:szCs w:val="18"/>
        </w:rPr>
        <w:t>2681/2015,</w:t>
      </w:r>
      <w:r>
        <w:rPr>
          <w:szCs w:val="18"/>
        </w:rPr>
        <w:t xml:space="preserve"> </w:t>
      </w:r>
      <w:r w:rsidRPr="002D7EB8">
        <w:rPr>
          <w:i/>
          <w:szCs w:val="18"/>
        </w:rPr>
        <w:t>Y.A.A.</w:t>
      </w:r>
      <w:r>
        <w:rPr>
          <w:i/>
          <w:szCs w:val="18"/>
        </w:rPr>
        <w:t xml:space="preserve"> </w:t>
      </w:r>
      <w:r w:rsidRPr="002D7EB8">
        <w:rPr>
          <w:i/>
          <w:szCs w:val="18"/>
        </w:rPr>
        <w:t>and</w:t>
      </w:r>
      <w:r>
        <w:rPr>
          <w:i/>
          <w:szCs w:val="18"/>
        </w:rPr>
        <w:t xml:space="preserve"> </w:t>
      </w:r>
      <w:r w:rsidRPr="002D7EB8">
        <w:rPr>
          <w:i/>
          <w:szCs w:val="18"/>
        </w:rPr>
        <w:t>F.H.M.</w:t>
      </w:r>
      <w:r>
        <w:rPr>
          <w:i/>
          <w:szCs w:val="18"/>
        </w:rPr>
        <w:t xml:space="preserve"> </w:t>
      </w:r>
      <w:r w:rsidRPr="002D7EB8">
        <w:rPr>
          <w:i/>
          <w:szCs w:val="18"/>
        </w:rPr>
        <w:t>v.</w:t>
      </w:r>
      <w:r>
        <w:rPr>
          <w:i/>
          <w:szCs w:val="18"/>
        </w:rPr>
        <w:t xml:space="preserve"> </w:t>
      </w:r>
      <w:r w:rsidRPr="002D7EB8">
        <w:rPr>
          <w:i/>
          <w:szCs w:val="18"/>
        </w:rPr>
        <w:t>Denmark</w:t>
      </w:r>
      <w:r w:rsidRPr="002D7EB8">
        <w:rPr>
          <w:szCs w:val="18"/>
        </w:rPr>
        <w:t>,</w:t>
      </w:r>
      <w:r>
        <w:rPr>
          <w:szCs w:val="18"/>
        </w:rPr>
        <w:t xml:space="preserve"> </w:t>
      </w:r>
      <w:r w:rsidRPr="002D7EB8">
        <w:rPr>
          <w:szCs w:val="18"/>
        </w:rPr>
        <w:t>Views</w:t>
      </w:r>
      <w:r>
        <w:rPr>
          <w:szCs w:val="18"/>
        </w:rPr>
        <w:t xml:space="preserve"> </w:t>
      </w:r>
      <w:r w:rsidRPr="002D7EB8">
        <w:rPr>
          <w:szCs w:val="18"/>
        </w:rPr>
        <w:t>adopted</w:t>
      </w:r>
      <w:r>
        <w:rPr>
          <w:szCs w:val="18"/>
        </w:rPr>
        <w:t xml:space="preserve"> </w:t>
      </w:r>
      <w:r w:rsidRPr="002D7EB8">
        <w:rPr>
          <w:szCs w:val="18"/>
        </w:rPr>
        <w:t>on</w:t>
      </w:r>
      <w:r>
        <w:rPr>
          <w:szCs w:val="18"/>
        </w:rPr>
        <w:t xml:space="preserve"> </w:t>
      </w:r>
      <w:r w:rsidRPr="002D7EB8">
        <w:rPr>
          <w:szCs w:val="18"/>
        </w:rPr>
        <w:t>10</w:t>
      </w:r>
      <w:r>
        <w:rPr>
          <w:szCs w:val="18"/>
        </w:rPr>
        <w:t xml:space="preserve"> </w:t>
      </w:r>
      <w:r w:rsidRPr="002D7EB8">
        <w:rPr>
          <w:szCs w:val="18"/>
        </w:rPr>
        <w:t>March</w:t>
      </w:r>
      <w:r>
        <w:rPr>
          <w:szCs w:val="18"/>
        </w:rPr>
        <w:t xml:space="preserve"> </w:t>
      </w:r>
      <w:r w:rsidRPr="002D7EB8">
        <w:rPr>
          <w:szCs w:val="18"/>
        </w:rPr>
        <w:t>2017,</w:t>
      </w:r>
      <w:r>
        <w:rPr>
          <w:szCs w:val="18"/>
        </w:rPr>
        <w:t xml:space="preserve"> </w:t>
      </w:r>
      <w:r w:rsidRPr="002D7EB8">
        <w:rPr>
          <w:szCs w:val="18"/>
        </w:rPr>
        <w:t>para.</w:t>
      </w:r>
      <w:r>
        <w:rPr>
          <w:szCs w:val="18"/>
        </w:rPr>
        <w:t xml:space="preserve"> </w:t>
      </w:r>
      <w:r w:rsidRPr="002D7EB8">
        <w:rPr>
          <w:szCs w:val="18"/>
        </w:rPr>
        <w:t>7.3;</w:t>
      </w:r>
      <w:r>
        <w:rPr>
          <w:szCs w:val="18"/>
        </w:rPr>
        <w:t xml:space="preserve"> </w:t>
      </w:r>
      <w:r w:rsidRPr="002D7EB8">
        <w:rPr>
          <w:szCs w:val="18"/>
        </w:rPr>
        <w:t>and</w:t>
      </w:r>
      <w:r>
        <w:rPr>
          <w:szCs w:val="18"/>
        </w:rPr>
        <w:t xml:space="preserve"> </w:t>
      </w:r>
      <w:r w:rsidRPr="002D7EB8">
        <w:rPr>
          <w:szCs w:val="18"/>
        </w:rPr>
        <w:t>No.</w:t>
      </w:r>
      <w:r>
        <w:rPr>
          <w:szCs w:val="18"/>
        </w:rPr>
        <w:t xml:space="preserve"> </w:t>
      </w:r>
      <w:r w:rsidRPr="002D7EB8">
        <w:rPr>
          <w:szCs w:val="18"/>
        </w:rPr>
        <w:t>2512/2014,</w:t>
      </w:r>
      <w:r>
        <w:rPr>
          <w:szCs w:val="18"/>
        </w:rPr>
        <w:t xml:space="preserve"> </w:t>
      </w:r>
      <w:r w:rsidRPr="00123C7E">
        <w:rPr>
          <w:i/>
          <w:szCs w:val="18"/>
        </w:rPr>
        <w:t>Rezaifar</w:t>
      </w:r>
      <w:r>
        <w:rPr>
          <w:i/>
          <w:szCs w:val="18"/>
        </w:rPr>
        <w:t xml:space="preserve"> </w:t>
      </w:r>
      <w:r w:rsidRPr="00123C7E">
        <w:rPr>
          <w:i/>
          <w:szCs w:val="18"/>
        </w:rPr>
        <w:t>v.</w:t>
      </w:r>
      <w:r>
        <w:rPr>
          <w:i/>
          <w:szCs w:val="18"/>
        </w:rPr>
        <w:t xml:space="preserve"> </w:t>
      </w:r>
      <w:r w:rsidRPr="00123C7E">
        <w:rPr>
          <w:i/>
          <w:szCs w:val="18"/>
        </w:rPr>
        <w:t>Denmark</w:t>
      </w:r>
      <w:r w:rsidRPr="002D7EB8">
        <w:rPr>
          <w:szCs w:val="18"/>
        </w:rPr>
        <w:t>,</w:t>
      </w:r>
      <w:r>
        <w:rPr>
          <w:szCs w:val="18"/>
        </w:rPr>
        <w:t xml:space="preserve"> </w:t>
      </w:r>
      <w:r w:rsidRPr="002D7EB8">
        <w:rPr>
          <w:szCs w:val="18"/>
        </w:rPr>
        <w:t>Views</w:t>
      </w:r>
      <w:r>
        <w:rPr>
          <w:szCs w:val="18"/>
        </w:rPr>
        <w:t xml:space="preserve"> </w:t>
      </w:r>
      <w:r w:rsidRPr="002D7EB8">
        <w:rPr>
          <w:szCs w:val="18"/>
        </w:rPr>
        <w:t>adopted</w:t>
      </w:r>
      <w:r>
        <w:rPr>
          <w:szCs w:val="18"/>
        </w:rPr>
        <w:t xml:space="preserve"> </w:t>
      </w:r>
      <w:r w:rsidRPr="002D7EB8">
        <w:rPr>
          <w:szCs w:val="18"/>
        </w:rPr>
        <w:t>on</w:t>
      </w:r>
      <w:r>
        <w:rPr>
          <w:szCs w:val="18"/>
        </w:rPr>
        <w:t xml:space="preserve"> </w:t>
      </w:r>
      <w:r w:rsidRPr="002D7EB8">
        <w:rPr>
          <w:szCs w:val="18"/>
        </w:rPr>
        <w:t>10</w:t>
      </w:r>
      <w:r>
        <w:rPr>
          <w:szCs w:val="18"/>
        </w:rPr>
        <w:t xml:space="preserve"> </w:t>
      </w:r>
      <w:r w:rsidRPr="002D7EB8">
        <w:rPr>
          <w:szCs w:val="18"/>
        </w:rPr>
        <w:t>March</w:t>
      </w:r>
      <w:r>
        <w:rPr>
          <w:szCs w:val="18"/>
        </w:rPr>
        <w:t xml:space="preserve"> </w:t>
      </w:r>
      <w:r w:rsidRPr="002D7EB8">
        <w:rPr>
          <w:szCs w:val="18"/>
        </w:rPr>
        <w:t>2017,</w:t>
      </w:r>
      <w:r>
        <w:rPr>
          <w:szCs w:val="18"/>
        </w:rPr>
        <w:t xml:space="preserve"> </w:t>
      </w:r>
      <w:r w:rsidRPr="002D7EB8">
        <w:rPr>
          <w:szCs w:val="18"/>
        </w:rPr>
        <w:t>para.</w:t>
      </w:r>
      <w:r>
        <w:rPr>
          <w:szCs w:val="18"/>
        </w:rPr>
        <w:t xml:space="preserve"> </w:t>
      </w:r>
      <w:r w:rsidRPr="002D7EB8">
        <w:rPr>
          <w:szCs w:val="18"/>
        </w:rPr>
        <w:t>8.3.</w:t>
      </w:r>
    </w:p>
  </w:footnote>
  <w:footnote w:id="30">
    <w:p w:rsidR="00D81309" w:rsidRPr="002D7EB8" w:rsidRDefault="00D81309" w:rsidP="00D81309">
      <w:pPr>
        <w:pStyle w:val="FootnoteText"/>
      </w:pPr>
      <w:r w:rsidRPr="002D7EB8">
        <w:tab/>
      </w:r>
      <w:r w:rsidRPr="00D81309">
        <w:rPr>
          <w:rStyle w:val="FootnoteReference"/>
        </w:rPr>
        <w:footnoteRef/>
      </w:r>
      <w:r w:rsidRPr="002D7EB8">
        <w:tab/>
        <w:t>See</w:t>
      </w:r>
      <w:r>
        <w:t xml:space="preserve"> </w:t>
      </w:r>
      <w:r w:rsidRPr="00E717E3">
        <w:t>Asylum</w:t>
      </w:r>
      <w:r>
        <w:t xml:space="preserve"> </w:t>
      </w:r>
      <w:r w:rsidRPr="00E717E3">
        <w:t>Information</w:t>
      </w:r>
      <w:r>
        <w:t xml:space="preserve"> </w:t>
      </w:r>
      <w:r w:rsidRPr="00E717E3">
        <w:t>Database,</w:t>
      </w:r>
      <w:r>
        <w:t xml:space="preserve"> </w:t>
      </w:r>
      <w:r w:rsidR="005766A0">
        <w:t>“</w:t>
      </w:r>
      <w:r>
        <w:t>National c</w:t>
      </w:r>
      <w:r w:rsidRPr="00354CE2">
        <w:rPr>
          <w:iCs/>
        </w:rPr>
        <w:t>ountry</w:t>
      </w:r>
      <w:r>
        <w:rPr>
          <w:iCs/>
        </w:rPr>
        <w:t xml:space="preserve"> r</w:t>
      </w:r>
      <w:r w:rsidRPr="00354CE2">
        <w:rPr>
          <w:iCs/>
        </w:rPr>
        <w:t>eport:</w:t>
      </w:r>
      <w:r>
        <w:rPr>
          <w:iCs/>
        </w:rPr>
        <w:t xml:space="preserve"> </w:t>
      </w:r>
      <w:r w:rsidRPr="00354CE2">
        <w:rPr>
          <w:iCs/>
        </w:rPr>
        <w:t>Italy</w:t>
      </w:r>
      <w:r w:rsidR="005766A0">
        <w:rPr>
          <w:iCs/>
        </w:rPr>
        <w:t>”</w:t>
      </w:r>
      <w:r w:rsidRPr="002D7EB8">
        <w:t>,</w:t>
      </w:r>
      <w:r>
        <w:t xml:space="preserve"> p</w:t>
      </w:r>
      <w:r w:rsidRPr="002D7EB8">
        <w:t>p.</w:t>
      </w:r>
      <w:r>
        <w:t xml:space="preserve"> </w:t>
      </w:r>
      <w:r w:rsidRPr="002D7EB8">
        <w:t>54-55.</w:t>
      </w:r>
    </w:p>
  </w:footnote>
  <w:footnote w:id="31">
    <w:p w:rsidR="00D81309" w:rsidRPr="00123C7E" w:rsidRDefault="00D81309" w:rsidP="00D81309">
      <w:pPr>
        <w:pStyle w:val="FootnoteText"/>
        <w:rPr>
          <w:highlight w:val="yellow"/>
        </w:rPr>
      </w:pPr>
      <w:r w:rsidRPr="002D7EB8">
        <w:tab/>
      </w:r>
      <w:r w:rsidRPr="00D81309">
        <w:rPr>
          <w:rStyle w:val="FootnoteReference"/>
        </w:rPr>
        <w:footnoteRef/>
      </w:r>
      <w:r w:rsidRPr="002D7EB8">
        <w:tab/>
        <w:t>See</w:t>
      </w:r>
      <w:r>
        <w:t xml:space="preserve">, </w:t>
      </w:r>
      <w:r w:rsidRPr="002D7EB8">
        <w:t>for</w:t>
      </w:r>
      <w:r>
        <w:t xml:space="preserve"> </w:t>
      </w:r>
      <w:r w:rsidRPr="002D7EB8">
        <w:t>example,</w:t>
      </w:r>
      <w:r>
        <w:t xml:space="preserve"> </w:t>
      </w:r>
      <w:r w:rsidRPr="002D7EB8">
        <w:t>communication</w:t>
      </w:r>
      <w:r>
        <w:t xml:space="preserve">s </w:t>
      </w:r>
      <w:r w:rsidRPr="002D7EB8">
        <w:t>No.</w:t>
      </w:r>
      <w:r>
        <w:rPr>
          <w:lang w:bidi="he-IL"/>
        </w:rPr>
        <w:t xml:space="preserve"> </w:t>
      </w:r>
      <w:r w:rsidRPr="002D7EB8">
        <w:rPr>
          <w:lang w:bidi="he-IL"/>
        </w:rPr>
        <w:t>1763/2008,</w:t>
      </w:r>
      <w:r>
        <w:t xml:space="preserve"> </w:t>
      </w:r>
      <w:r w:rsidRPr="002D7EB8">
        <w:rPr>
          <w:i/>
          <w:iCs/>
          <w:lang w:bidi="he-IL"/>
        </w:rPr>
        <w:t>Pillai</w:t>
      </w:r>
      <w:r>
        <w:rPr>
          <w:i/>
          <w:iCs/>
        </w:rPr>
        <w:t xml:space="preserve"> et al. </w:t>
      </w:r>
      <w:r w:rsidRPr="002D7EB8">
        <w:rPr>
          <w:i/>
          <w:iCs/>
        </w:rPr>
        <w:t>v.</w:t>
      </w:r>
      <w:r>
        <w:rPr>
          <w:i/>
          <w:iCs/>
        </w:rPr>
        <w:t xml:space="preserve"> </w:t>
      </w:r>
      <w:r w:rsidRPr="002D7EB8">
        <w:rPr>
          <w:i/>
          <w:iCs/>
          <w:lang w:bidi="he-IL"/>
        </w:rPr>
        <w:t>Canada</w:t>
      </w:r>
      <w:r w:rsidRPr="002D7EB8">
        <w:rPr>
          <w:lang w:bidi="he-IL"/>
        </w:rPr>
        <w:t>,</w:t>
      </w:r>
      <w:r>
        <w:rPr>
          <w:lang w:bidi="he-IL"/>
        </w:rPr>
        <w:t xml:space="preserve"> </w:t>
      </w:r>
      <w:r w:rsidRPr="002D7EB8">
        <w:t>Views</w:t>
      </w:r>
      <w:r>
        <w:t xml:space="preserve"> </w:t>
      </w:r>
      <w:r w:rsidRPr="002D7EB8">
        <w:t>adopted</w:t>
      </w:r>
      <w:r>
        <w:t xml:space="preserve"> </w:t>
      </w:r>
      <w:r w:rsidRPr="002D7EB8">
        <w:t>on</w:t>
      </w:r>
      <w:r>
        <w:rPr>
          <w:lang w:bidi="he-IL"/>
        </w:rPr>
        <w:t xml:space="preserve"> </w:t>
      </w:r>
      <w:r w:rsidRPr="002D7EB8">
        <w:rPr>
          <w:lang w:bidi="he-IL"/>
        </w:rPr>
        <w:t>25</w:t>
      </w:r>
      <w:r>
        <w:rPr>
          <w:lang w:bidi="he-IL"/>
        </w:rPr>
        <w:t xml:space="preserve"> </w:t>
      </w:r>
      <w:r w:rsidRPr="002D7EB8">
        <w:rPr>
          <w:lang w:bidi="he-IL"/>
        </w:rPr>
        <w:t>March</w:t>
      </w:r>
      <w:r>
        <w:rPr>
          <w:lang w:bidi="he-IL"/>
        </w:rPr>
        <w:t xml:space="preserve"> </w:t>
      </w:r>
      <w:r w:rsidRPr="002D7EB8">
        <w:rPr>
          <w:lang w:bidi="he-IL"/>
        </w:rPr>
        <w:t>2011</w:t>
      </w:r>
      <w:r w:rsidRPr="002D7EB8">
        <w:t>,</w:t>
      </w:r>
      <w:r>
        <w:t xml:space="preserve"> </w:t>
      </w:r>
      <w:r w:rsidRPr="002D7EB8">
        <w:t>paras.</w:t>
      </w:r>
      <w:r>
        <w:t xml:space="preserve"> </w:t>
      </w:r>
      <w:r w:rsidRPr="002D7EB8">
        <w:rPr>
          <w:lang w:bidi="he-IL"/>
        </w:rPr>
        <w:t>11.2</w:t>
      </w:r>
      <w:r>
        <w:rPr>
          <w:lang w:bidi="he-IL"/>
        </w:rPr>
        <w:t xml:space="preserve"> </w:t>
      </w:r>
      <w:r w:rsidRPr="002D7EB8">
        <w:rPr>
          <w:lang w:bidi="he-IL"/>
        </w:rPr>
        <w:t>and</w:t>
      </w:r>
      <w:r>
        <w:rPr>
          <w:lang w:bidi="he-IL"/>
        </w:rPr>
        <w:t xml:space="preserve"> </w:t>
      </w:r>
      <w:r w:rsidRPr="002D7EB8">
        <w:rPr>
          <w:lang w:bidi="he-IL"/>
        </w:rPr>
        <w:t>11.4;</w:t>
      </w:r>
      <w:r>
        <w:rPr>
          <w:lang w:bidi="he-IL"/>
        </w:rPr>
        <w:t xml:space="preserve"> and </w:t>
      </w:r>
      <w:r w:rsidRPr="002D7EB8">
        <w:t>No.</w:t>
      </w:r>
      <w:r>
        <w:t xml:space="preserve"> </w:t>
      </w:r>
      <w:r w:rsidRPr="002D7EB8">
        <w:t>2409/2014,</w:t>
      </w:r>
      <w:r>
        <w:t xml:space="preserve"> </w:t>
      </w:r>
      <w:r w:rsidRPr="002D7EB8">
        <w:rPr>
          <w:i/>
        </w:rPr>
        <w:t>Ali</w:t>
      </w:r>
      <w:r>
        <w:rPr>
          <w:i/>
        </w:rPr>
        <w:t xml:space="preserve"> and Mohamad </w:t>
      </w:r>
      <w:r w:rsidRPr="002D7EB8">
        <w:rPr>
          <w:i/>
        </w:rPr>
        <w:t>v.</w:t>
      </w:r>
      <w:r>
        <w:rPr>
          <w:i/>
        </w:rPr>
        <w:t xml:space="preserve"> </w:t>
      </w:r>
      <w:r w:rsidRPr="002D7EB8">
        <w:rPr>
          <w:i/>
        </w:rPr>
        <w:t>Denmark</w:t>
      </w:r>
      <w:r w:rsidRPr="002D7EB8">
        <w:t>,</w:t>
      </w:r>
      <w:r>
        <w:t xml:space="preserve"> </w:t>
      </w:r>
      <w:r w:rsidRPr="002D7EB8">
        <w:t>Views</w:t>
      </w:r>
      <w:r>
        <w:t xml:space="preserve"> adopted </w:t>
      </w:r>
      <w:r w:rsidRPr="002D7EB8">
        <w:t>o</w:t>
      </w:r>
      <w:r>
        <w:t xml:space="preserve">n </w:t>
      </w:r>
      <w:r w:rsidRPr="002D7EB8">
        <w:t>29</w:t>
      </w:r>
      <w:r>
        <w:t xml:space="preserve"> </w:t>
      </w:r>
      <w:r w:rsidRPr="002D7EB8">
        <w:t>March</w:t>
      </w:r>
      <w:r>
        <w:t xml:space="preserve"> </w:t>
      </w:r>
      <w:r w:rsidRPr="002D7EB8">
        <w:t>2016,</w:t>
      </w:r>
      <w:r>
        <w:t xml:space="preserve"> </w:t>
      </w:r>
      <w:r w:rsidRPr="002D7EB8">
        <w:t>para.</w:t>
      </w:r>
      <w:r>
        <w:t xml:space="preserve"> </w:t>
      </w:r>
      <w:r w:rsidRPr="002D7EB8">
        <w:t>7.8.</w:t>
      </w:r>
    </w:p>
  </w:footnote>
  <w:footnote w:id="32">
    <w:p w:rsidR="00D81309" w:rsidRPr="00DD5CAF" w:rsidRDefault="00D81309" w:rsidP="00D81309">
      <w:pPr>
        <w:pStyle w:val="FootnoteText"/>
      </w:pPr>
      <w:r>
        <w:tab/>
      </w:r>
      <w:r w:rsidRPr="00D81309">
        <w:rPr>
          <w:rStyle w:val="FootnoteReference"/>
        </w:rPr>
        <w:footnoteRef/>
      </w:r>
      <w:r>
        <w:t xml:space="preserve"> </w:t>
      </w:r>
      <w:r>
        <w:tab/>
      </w:r>
      <w:r w:rsidRPr="00DD5CAF">
        <w:rPr>
          <w:szCs w:val="18"/>
        </w:rPr>
        <w:t>See</w:t>
      </w:r>
      <w:r>
        <w:rPr>
          <w:szCs w:val="18"/>
        </w:rPr>
        <w:t xml:space="preserve"> </w:t>
      </w:r>
      <w:r w:rsidRPr="00DD5CAF">
        <w:rPr>
          <w:i/>
          <w:szCs w:val="18"/>
        </w:rPr>
        <w:t>Y.A.A.</w:t>
      </w:r>
      <w:r>
        <w:rPr>
          <w:i/>
          <w:szCs w:val="18"/>
        </w:rPr>
        <w:t xml:space="preserve"> </w:t>
      </w:r>
      <w:r w:rsidRPr="00DD5CAF">
        <w:rPr>
          <w:i/>
          <w:szCs w:val="18"/>
        </w:rPr>
        <w:t>and</w:t>
      </w:r>
      <w:r>
        <w:rPr>
          <w:i/>
          <w:szCs w:val="18"/>
        </w:rPr>
        <w:t xml:space="preserve"> </w:t>
      </w:r>
      <w:r w:rsidRPr="00DD5CAF">
        <w:rPr>
          <w:i/>
          <w:szCs w:val="18"/>
        </w:rPr>
        <w:t>F.H.M.</w:t>
      </w:r>
      <w:r>
        <w:rPr>
          <w:i/>
          <w:szCs w:val="18"/>
        </w:rPr>
        <w:t xml:space="preserve"> </w:t>
      </w:r>
      <w:r w:rsidRPr="00DD5CAF">
        <w:rPr>
          <w:i/>
          <w:szCs w:val="18"/>
        </w:rPr>
        <w:t>v.</w:t>
      </w:r>
      <w:r>
        <w:rPr>
          <w:i/>
          <w:szCs w:val="18"/>
        </w:rPr>
        <w:t xml:space="preserve"> </w:t>
      </w:r>
      <w:r w:rsidRPr="00DD5CAF">
        <w:rPr>
          <w:i/>
          <w:szCs w:val="18"/>
        </w:rPr>
        <w:t>Denmark</w:t>
      </w:r>
      <w:r w:rsidRPr="00DD5CAF">
        <w:rPr>
          <w:szCs w:val="18"/>
        </w:rPr>
        <w:t>,</w:t>
      </w:r>
      <w:r>
        <w:rPr>
          <w:szCs w:val="18"/>
        </w:rPr>
        <w:t xml:space="preserve"> </w:t>
      </w:r>
      <w:r w:rsidRPr="00DD5CAF">
        <w:rPr>
          <w:szCs w:val="18"/>
        </w:rPr>
        <w:t>para.</w:t>
      </w:r>
      <w:r>
        <w:rPr>
          <w:szCs w:val="18"/>
        </w:rPr>
        <w:t xml:space="preserve"> </w:t>
      </w:r>
      <w:r w:rsidRPr="00DD5CAF">
        <w:rPr>
          <w:szCs w:val="18"/>
        </w:rPr>
        <w:t>7.7.</w:t>
      </w:r>
    </w:p>
  </w:footnote>
  <w:footnote w:id="33">
    <w:p w:rsidR="00D81309" w:rsidRPr="00DD5CAF" w:rsidRDefault="00D81309" w:rsidP="00D81309">
      <w:pPr>
        <w:pStyle w:val="FootnoteText"/>
      </w:pPr>
      <w:r w:rsidRPr="00DD5CAF">
        <w:tab/>
      </w:r>
      <w:r w:rsidRPr="00D81309">
        <w:rPr>
          <w:rStyle w:val="FootnoteReference"/>
        </w:rPr>
        <w:footnoteRef/>
      </w:r>
      <w:r w:rsidRPr="00DD5CAF">
        <w:tab/>
        <w:t>See</w:t>
      </w:r>
      <w:r>
        <w:t xml:space="preserve">, </w:t>
      </w:r>
      <w:r w:rsidRPr="00DD5CAF">
        <w:t>for</w:t>
      </w:r>
      <w:r>
        <w:t xml:space="preserve"> </w:t>
      </w:r>
      <w:r w:rsidRPr="00DD5CAF">
        <w:t>example</w:t>
      </w:r>
      <w:r w:rsidRPr="00DD5CAF">
        <w:rPr>
          <w:lang w:bidi="he-IL"/>
        </w:rPr>
        <w:t>,</w:t>
      </w:r>
      <w:r>
        <w:t xml:space="preserve"> </w:t>
      </w:r>
      <w:r w:rsidRPr="00DD5CAF">
        <w:rPr>
          <w:i/>
          <w:iCs/>
          <w:lang w:bidi="he-IL"/>
        </w:rPr>
        <w:t>Pillai</w:t>
      </w:r>
      <w:r>
        <w:rPr>
          <w:i/>
          <w:iCs/>
        </w:rPr>
        <w:t xml:space="preserve"> et al. </w:t>
      </w:r>
      <w:r w:rsidRPr="00DD5CAF">
        <w:rPr>
          <w:i/>
          <w:iCs/>
        </w:rPr>
        <w:t>v.</w:t>
      </w:r>
      <w:r>
        <w:rPr>
          <w:i/>
          <w:iCs/>
        </w:rPr>
        <w:t xml:space="preserve"> </w:t>
      </w:r>
      <w:r w:rsidRPr="00DD5CAF">
        <w:rPr>
          <w:i/>
          <w:iCs/>
          <w:lang w:bidi="he-IL"/>
        </w:rPr>
        <w:t>Canada</w:t>
      </w:r>
      <w:r w:rsidRPr="00DD5CAF">
        <w:t>,</w:t>
      </w:r>
      <w:r>
        <w:t xml:space="preserve"> </w:t>
      </w:r>
      <w:r w:rsidRPr="00DD5CAF">
        <w:t>paras.</w:t>
      </w:r>
      <w:r>
        <w:t xml:space="preserve"> </w:t>
      </w:r>
      <w:r w:rsidRPr="00DD5CAF">
        <w:rPr>
          <w:lang w:bidi="he-IL"/>
        </w:rPr>
        <w:t>11.2</w:t>
      </w:r>
      <w:r>
        <w:rPr>
          <w:lang w:bidi="he-IL"/>
        </w:rPr>
        <w:t xml:space="preserve"> </w:t>
      </w:r>
      <w:r w:rsidRPr="00DD5CAF">
        <w:rPr>
          <w:lang w:bidi="he-IL"/>
        </w:rPr>
        <w:t>and</w:t>
      </w:r>
      <w:r>
        <w:rPr>
          <w:lang w:bidi="he-IL"/>
        </w:rPr>
        <w:t xml:space="preserve"> </w:t>
      </w:r>
      <w:r w:rsidRPr="00DD5CAF">
        <w:rPr>
          <w:lang w:bidi="he-IL"/>
        </w:rPr>
        <w:t>11.4;</w:t>
      </w:r>
      <w:r>
        <w:rPr>
          <w:lang w:bidi="he-IL"/>
        </w:rPr>
        <w:t xml:space="preserve"> </w:t>
      </w:r>
      <w:r w:rsidRPr="00123C7E">
        <w:t>and</w:t>
      </w:r>
      <w:r>
        <w:rPr>
          <w:i/>
        </w:rPr>
        <w:t xml:space="preserve"> </w:t>
      </w:r>
      <w:r w:rsidRPr="00DD5CAF">
        <w:rPr>
          <w:i/>
        </w:rPr>
        <w:t>Ali</w:t>
      </w:r>
      <w:r>
        <w:rPr>
          <w:i/>
        </w:rPr>
        <w:t xml:space="preserve"> and Mohamad </w:t>
      </w:r>
      <w:r w:rsidRPr="00DD5CAF">
        <w:rPr>
          <w:i/>
        </w:rPr>
        <w:t>v.</w:t>
      </w:r>
      <w:r>
        <w:rPr>
          <w:i/>
        </w:rPr>
        <w:t xml:space="preserve"> </w:t>
      </w:r>
      <w:r w:rsidRPr="00DD5CAF">
        <w:rPr>
          <w:i/>
        </w:rPr>
        <w:t>Denmark</w:t>
      </w:r>
      <w:r w:rsidRPr="00DD5CAF">
        <w:t>,</w:t>
      </w:r>
      <w:r>
        <w:t xml:space="preserve"> </w:t>
      </w:r>
      <w:r w:rsidRPr="00DD5CAF">
        <w:t>para.</w:t>
      </w:r>
      <w:r>
        <w:t xml:space="preserve"> </w:t>
      </w:r>
      <w:r w:rsidRPr="00DD5CAF">
        <w:t>7.8.</w:t>
      </w:r>
    </w:p>
  </w:footnote>
  <w:footnote w:id="34">
    <w:p w:rsidR="00D81309" w:rsidRPr="004F2315" w:rsidRDefault="00D81309" w:rsidP="00D81309">
      <w:pPr>
        <w:pStyle w:val="FootnoteText"/>
      </w:pPr>
      <w:r w:rsidRPr="00DD5CAF">
        <w:tab/>
      </w:r>
      <w:r w:rsidRPr="00D81309">
        <w:rPr>
          <w:rStyle w:val="FootnoteReference"/>
        </w:rPr>
        <w:footnoteRef/>
      </w:r>
      <w:r w:rsidRPr="00DD5CAF">
        <w:tab/>
        <w:t>See</w:t>
      </w:r>
      <w:r>
        <w:t xml:space="preserve"> </w:t>
      </w:r>
      <w:r w:rsidRPr="00354CE2">
        <w:rPr>
          <w:i/>
        </w:rPr>
        <w:t>Jasin</w:t>
      </w:r>
      <w:r>
        <w:rPr>
          <w:i/>
        </w:rPr>
        <w:t xml:space="preserve"> </w:t>
      </w:r>
      <w:r w:rsidRPr="00354CE2">
        <w:rPr>
          <w:i/>
        </w:rPr>
        <w:t>v.</w:t>
      </w:r>
      <w:r>
        <w:rPr>
          <w:i/>
        </w:rPr>
        <w:t xml:space="preserve"> </w:t>
      </w:r>
      <w:r w:rsidRPr="00354CE2">
        <w:rPr>
          <w:i/>
        </w:rPr>
        <w:t>Denmark</w:t>
      </w:r>
      <w:r w:rsidRPr="00DD5CAF">
        <w:t>,</w:t>
      </w:r>
      <w:r>
        <w:t xml:space="preserve"> </w:t>
      </w:r>
      <w:r w:rsidRPr="00DD5CAF">
        <w:t>para</w:t>
      </w:r>
      <w:r w:rsidR="0040083C">
        <w:t>.</w:t>
      </w:r>
      <w:r>
        <w:t xml:space="preserve"> </w:t>
      </w:r>
      <w:r w:rsidRPr="00DD5CAF">
        <w:t>8.9;</w:t>
      </w:r>
      <w:r>
        <w:t xml:space="preserve"> </w:t>
      </w:r>
      <w:r w:rsidRPr="00354CE2">
        <w:rPr>
          <w:i/>
        </w:rPr>
        <w:t>Ali</w:t>
      </w:r>
      <w:r>
        <w:rPr>
          <w:i/>
        </w:rPr>
        <w:t xml:space="preserve"> and Mohamad </w:t>
      </w:r>
      <w:r w:rsidRPr="00354CE2">
        <w:rPr>
          <w:i/>
        </w:rPr>
        <w:t>v.</w:t>
      </w:r>
      <w:r>
        <w:rPr>
          <w:i/>
        </w:rPr>
        <w:t xml:space="preserve"> </w:t>
      </w:r>
      <w:r w:rsidRPr="00354CE2">
        <w:rPr>
          <w:i/>
        </w:rPr>
        <w:t>Denmark</w:t>
      </w:r>
      <w:r w:rsidRPr="00DD5CAF">
        <w:t>,</w:t>
      </w:r>
      <w:r>
        <w:t xml:space="preserve"> </w:t>
      </w:r>
      <w:r w:rsidRPr="00DD5CAF">
        <w:t>para.</w:t>
      </w:r>
      <w:r>
        <w:t xml:space="preserve"> </w:t>
      </w:r>
      <w:r w:rsidRPr="00DD5CAF">
        <w:t>7.8</w:t>
      </w:r>
      <w:r>
        <w:t xml:space="preserve">; </w:t>
      </w:r>
      <w:r w:rsidRPr="00DD5CAF">
        <w:t>and</w:t>
      </w:r>
      <w:r>
        <w:t xml:space="preserve"> </w:t>
      </w:r>
      <w:r w:rsidRPr="00DD5CAF">
        <w:rPr>
          <w:i/>
        </w:rPr>
        <w:t>Ahmed</w:t>
      </w:r>
      <w:r>
        <w:rPr>
          <w:i/>
        </w:rPr>
        <w:t xml:space="preserve"> </w:t>
      </w:r>
      <w:r w:rsidRPr="00DD5CAF">
        <w:t>v.</w:t>
      </w:r>
      <w:r>
        <w:t xml:space="preserve"> </w:t>
      </w:r>
      <w:r w:rsidRPr="00DD5CAF">
        <w:rPr>
          <w:i/>
        </w:rPr>
        <w:t>Denmark</w:t>
      </w:r>
      <w:r w:rsidRPr="00DD5CAF">
        <w:t>,</w:t>
      </w:r>
      <w:r>
        <w:t xml:space="preserve"> </w:t>
      </w:r>
      <w:r w:rsidRPr="00DD5CAF">
        <w:t>par</w:t>
      </w:r>
      <w:r>
        <w:t>a</w:t>
      </w:r>
      <w:r w:rsidRPr="00DD5CAF">
        <w:t>.</w:t>
      </w:r>
      <w:r>
        <w:t xml:space="preserve"> </w:t>
      </w:r>
      <w:r w:rsidRPr="00DD5CAF">
        <w:t>13.8.</w:t>
      </w:r>
    </w:p>
  </w:footnote>
  <w:footnote w:id="35">
    <w:p w:rsidR="00D81309" w:rsidRPr="00123C7E" w:rsidRDefault="00D81309" w:rsidP="00D81309">
      <w:pPr>
        <w:pStyle w:val="FootnoteText"/>
        <w:rPr>
          <w:rFonts w:asciiTheme="minorBidi" w:hAnsiTheme="minorBidi"/>
          <w:color w:val="000000" w:themeColor="text1"/>
          <w:szCs w:val="18"/>
          <w:lang w:bidi="he-IL"/>
        </w:rPr>
      </w:pPr>
      <w:r>
        <w:tab/>
      </w:r>
      <w:r w:rsidRPr="00D81309">
        <w:rPr>
          <w:rStyle w:val="FootnoteReference"/>
        </w:rPr>
        <w:footnoteRef/>
      </w:r>
      <w:r>
        <w:t xml:space="preserve"> </w:t>
      </w:r>
      <w:r>
        <w:tab/>
      </w:r>
      <w:r>
        <w:rPr>
          <w:color w:val="000000" w:themeColor="text1"/>
          <w:szCs w:val="18"/>
          <w:lang w:bidi="he-IL"/>
        </w:rPr>
        <w:t>See the Committee</w:t>
      </w:r>
      <w:r w:rsidR="005766A0">
        <w:rPr>
          <w:color w:val="000000" w:themeColor="text1"/>
          <w:szCs w:val="18"/>
          <w:lang w:bidi="he-IL"/>
        </w:rPr>
        <w:t>’</w:t>
      </w:r>
      <w:r>
        <w:rPr>
          <w:color w:val="000000" w:themeColor="text1"/>
          <w:szCs w:val="18"/>
          <w:lang w:bidi="he-IL"/>
        </w:rPr>
        <w:t>s g</w:t>
      </w:r>
      <w:r w:rsidRPr="008734CD">
        <w:rPr>
          <w:color w:val="000000" w:themeColor="text1"/>
          <w:szCs w:val="18"/>
          <w:lang w:bidi="he-IL"/>
        </w:rPr>
        <w:t>eneral</w:t>
      </w:r>
      <w:r>
        <w:rPr>
          <w:color w:val="000000" w:themeColor="text1"/>
          <w:szCs w:val="18"/>
          <w:lang w:bidi="he-IL"/>
        </w:rPr>
        <w:t xml:space="preserve"> </w:t>
      </w:r>
      <w:r w:rsidRPr="00123C7E">
        <w:rPr>
          <w:color w:val="000000" w:themeColor="text1"/>
          <w:szCs w:val="18"/>
          <w:lang w:bidi="he-IL"/>
        </w:rPr>
        <w:t>c</w:t>
      </w:r>
      <w:r w:rsidRPr="008734CD">
        <w:rPr>
          <w:color w:val="000000" w:themeColor="text1"/>
          <w:szCs w:val="18"/>
          <w:lang w:bidi="he-IL"/>
        </w:rPr>
        <w:t>omment</w:t>
      </w:r>
      <w:r>
        <w:rPr>
          <w:color w:val="000000" w:themeColor="text1"/>
          <w:szCs w:val="18"/>
          <w:lang w:bidi="he-IL"/>
        </w:rPr>
        <w:t xml:space="preserve"> </w:t>
      </w:r>
      <w:r w:rsidRPr="00123C7E">
        <w:rPr>
          <w:color w:val="000000" w:themeColor="text1"/>
          <w:szCs w:val="18"/>
          <w:lang w:bidi="he-IL"/>
        </w:rPr>
        <w:t>No.</w:t>
      </w:r>
      <w:r>
        <w:rPr>
          <w:color w:val="000000" w:themeColor="text1"/>
          <w:szCs w:val="18"/>
          <w:lang w:bidi="he-IL"/>
        </w:rPr>
        <w:t xml:space="preserve"> </w:t>
      </w:r>
      <w:r w:rsidRPr="008734CD">
        <w:rPr>
          <w:color w:val="000000" w:themeColor="text1"/>
          <w:szCs w:val="18"/>
          <w:lang w:bidi="he-IL"/>
        </w:rPr>
        <w:t>31</w:t>
      </w:r>
      <w:r>
        <w:rPr>
          <w:color w:val="000000" w:themeColor="text1"/>
          <w:szCs w:val="18"/>
          <w:lang w:bidi="he-IL"/>
        </w:rPr>
        <w:t xml:space="preserve"> </w:t>
      </w:r>
      <w:r w:rsidRPr="008734CD">
        <w:rPr>
          <w:color w:val="000000" w:themeColor="text1"/>
          <w:szCs w:val="18"/>
          <w:lang w:bidi="he-IL"/>
        </w:rPr>
        <w:t>(2004)</w:t>
      </w:r>
      <w:r>
        <w:rPr>
          <w:color w:val="000000" w:themeColor="text1"/>
          <w:szCs w:val="18"/>
          <w:lang w:bidi="he-IL"/>
        </w:rPr>
        <w:t xml:space="preserve"> </w:t>
      </w:r>
      <w:r w:rsidRPr="00123C7E">
        <w:rPr>
          <w:color w:val="000000" w:themeColor="text1"/>
          <w:szCs w:val="18"/>
          <w:lang w:bidi="he-IL"/>
        </w:rPr>
        <w:t>on</w:t>
      </w:r>
      <w:r>
        <w:rPr>
          <w:color w:val="000000" w:themeColor="text1"/>
          <w:szCs w:val="18"/>
          <w:lang w:bidi="he-IL"/>
        </w:rPr>
        <w:t xml:space="preserve"> </w:t>
      </w:r>
      <w:r w:rsidRPr="00123C7E">
        <w:rPr>
          <w:color w:val="000000" w:themeColor="text1"/>
          <w:szCs w:val="18"/>
          <w:lang w:bidi="he-IL"/>
        </w:rPr>
        <w:t>the</w:t>
      </w:r>
      <w:r>
        <w:rPr>
          <w:color w:val="000000" w:themeColor="text1"/>
          <w:szCs w:val="18"/>
          <w:lang w:bidi="he-IL"/>
        </w:rPr>
        <w:t xml:space="preserve"> </w:t>
      </w:r>
      <w:r w:rsidRPr="00123C7E">
        <w:rPr>
          <w:color w:val="000000" w:themeColor="text1"/>
          <w:szCs w:val="18"/>
          <w:lang w:bidi="he-IL"/>
        </w:rPr>
        <w:t>nature</w:t>
      </w:r>
      <w:r>
        <w:rPr>
          <w:color w:val="000000" w:themeColor="text1"/>
          <w:szCs w:val="18"/>
          <w:lang w:bidi="he-IL"/>
        </w:rPr>
        <w:t xml:space="preserve"> </w:t>
      </w:r>
      <w:r w:rsidRPr="00123C7E">
        <w:rPr>
          <w:color w:val="000000" w:themeColor="text1"/>
          <w:szCs w:val="18"/>
          <w:lang w:bidi="he-IL"/>
        </w:rPr>
        <w:t>of</w:t>
      </w:r>
      <w:r>
        <w:rPr>
          <w:color w:val="000000" w:themeColor="text1"/>
          <w:szCs w:val="18"/>
          <w:lang w:bidi="he-IL"/>
        </w:rPr>
        <w:t xml:space="preserve"> </w:t>
      </w:r>
      <w:r w:rsidRPr="00123C7E">
        <w:rPr>
          <w:color w:val="000000" w:themeColor="text1"/>
          <w:szCs w:val="18"/>
          <w:lang w:bidi="he-IL"/>
        </w:rPr>
        <w:t>the</w:t>
      </w:r>
      <w:r>
        <w:rPr>
          <w:color w:val="000000" w:themeColor="text1"/>
          <w:szCs w:val="18"/>
          <w:lang w:bidi="he-IL"/>
        </w:rPr>
        <w:t xml:space="preserve"> </w:t>
      </w:r>
      <w:r w:rsidRPr="00123C7E">
        <w:rPr>
          <w:color w:val="000000" w:themeColor="text1"/>
          <w:szCs w:val="18"/>
          <w:lang w:bidi="he-IL"/>
        </w:rPr>
        <w:t>general</w:t>
      </w:r>
      <w:r>
        <w:rPr>
          <w:color w:val="000000" w:themeColor="text1"/>
          <w:szCs w:val="18"/>
          <w:lang w:bidi="he-IL"/>
        </w:rPr>
        <w:t xml:space="preserve"> </w:t>
      </w:r>
      <w:r w:rsidRPr="00123C7E">
        <w:rPr>
          <w:color w:val="000000" w:themeColor="text1"/>
          <w:szCs w:val="18"/>
          <w:lang w:bidi="he-IL"/>
        </w:rPr>
        <w:t>legal</w:t>
      </w:r>
      <w:r>
        <w:rPr>
          <w:color w:val="000000" w:themeColor="text1"/>
          <w:szCs w:val="18"/>
          <w:lang w:bidi="he-IL"/>
        </w:rPr>
        <w:t xml:space="preserve"> </w:t>
      </w:r>
      <w:r w:rsidRPr="00123C7E">
        <w:rPr>
          <w:color w:val="000000" w:themeColor="text1"/>
          <w:szCs w:val="18"/>
          <w:lang w:bidi="he-IL"/>
        </w:rPr>
        <w:t>obligation</w:t>
      </w:r>
      <w:r>
        <w:rPr>
          <w:color w:val="000000" w:themeColor="text1"/>
          <w:szCs w:val="18"/>
          <w:lang w:bidi="he-IL"/>
        </w:rPr>
        <w:t xml:space="preserve"> </w:t>
      </w:r>
      <w:r w:rsidRPr="00123C7E">
        <w:rPr>
          <w:color w:val="000000" w:themeColor="text1"/>
          <w:szCs w:val="18"/>
          <w:lang w:bidi="he-IL"/>
        </w:rPr>
        <w:t>imposed</w:t>
      </w:r>
      <w:r>
        <w:rPr>
          <w:color w:val="000000" w:themeColor="text1"/>
          <w:szCs w:val="18"/>
          <w:lang w:bidi="he-IL"/>
        </w:rPr>
        <w:t xml:space="preserve"> </w:t>
      </w:r>
      <w:r w:rsidRPr="00123C7E">
        <w:rPr>
          <w:color w:val="000000" w:themeColor="text1"/>
          <w:szCs w:val="18"/>
          <w:lang w:bidi="he-IL"/>
        </w:rPr>
        <w:t>on</w:t>
      </w:r>
      <w:r>
        <w:rPr>
          <w:color w:val="000000" w:themeColor="text1"/>
          <w:szCs w:val="18"/>
          <w:lang w:bidi="he-IL"/>
        </w:rPr>
        <w:t xml:space="preserve"> </w:t>
      </w:r>
      <w:r w:rsidRPr="00123C7E">
        <w:rPr>
          <w:color w:val="000000" w:themeColor="text1"/>
          <w:szCs w:val="18"/>
          <w:lang w:bidi="he-IL"/>
        </w:rPr>
        <w:t>States</w:t>
      </w:r>
      <w:r>
        <w:rPr>
          <w:color w:val="000000" w:themeColor="text1"/>
          <w:szCs w:val="18"/>
          <w:lang w:bidi="he-IL"/>
        </w:rPr>
        <w:t xml:space="preserve"> </w:t>
      </w:r>
      <w:r w:rsidRPr="00123C7E">
        <w:rPr>
          <w:color w:val="000000" w:themeColor="text1"/>
          <w:szCs w:val="18"/>
          <w:lang w:bidi="he-IL"/>
        </w:rPr>
        <w:t>parties</w:t>
      </w:r>
      <w:r>
        <w:rPr>
          <w:color w:val="000000" w:themeColor="text1"/>
          <w:szCs w:val="18"/>
          <w:lang w:bidi="he-IL"/>
        </w:rPr>
        <w:t xml:space="preserve"> </w:t>
      </w:r>
      <w:r w:rsidRPr="00123C7E">
        <w:rPr>
          <w:color w:val="000000" w:themeColor="text1"/>
          <w:szCs w:val="18"/>
          <w:lang w:bidi="he-IL"/>
        </w:rPr>
        <w:t>to</w:t>
      </w:r>
      <w:r>
        <w:rPr>
          <w:color w:val="000000" w:themeColor="text1"/>
          <w:szCs w:val="18"/>
          <w:lang w:bidi="he-IL"/>
        </w:rPr>
        <w:t xml:space="preserve"> </w:t>
      </w:r>
      <w:r w:rsidRPr="00123C7E">
        <w:rPr>
          <w:color w:val="000000" w:themeColor="text1"/>
          <w:szCs w:val="18"/>
          <w:lang w:bidi="he-IL"/>
        </w:rPr>
        <w:t>the</w:t>
      </w:r>
      <w:r>
        <w:rPr>
          <w:color w:val="000000" w:themeColor="text1"/>
          <w:szCs w:val="18"/>
          <w:lang w:bidi="he-IL"/>
        </w:rPr>
        <w:t xml:space="preserve"> </w:t>
      </w:r>
      <w:r w:rsidRPr="00123C7E">
        <w:rPr>
          <w:color w:val="000000" w:themeColor="text1"/>
          <w:szCs w:val="18"/>
          <w:lang w:bidi="he-IL"/>
        </w:rPr>
        <w:t>Covenant</w:t>
      </w:r>
      <w:r w:rsidRPr="008734CD">
        <w:rPr>
          <w:color w:val="000000" w:themeColor="text1"/>
          <w:szCs w:val="18"/>
          <w:lang w:bidi="he-IL"/>
        </w:rPr>
        <w:t>,</w:t>
      </w:r>
      <w:r>
        <w:rPr>
          <w:color w:val="000000" w:themeColor="text1"/>
          <w:szCs w:val="18"/>
          <w:lang w:bidi="he-IL"/>
        </w:rPr>
        <w:t xml:space="preserve"> </w:t>
      </w:r>
      <w:r w:rsidRPr="008734CD">
        <w:rPr>
          <w:color w:val="000000" w:themeColor="text1"/>
          <w:szCs w:val="18"/>
          <w:lang w:bidi="he-IL"/>
        </w:rPr>
        <w:t>para.</w:t>
      </w:r>
      <w:r>
        <w:rPr>
          <w:color w:val="000000" w:themeColor="text1"/>
          <w:szCs w:val="18"/>
          <w:lang w:bidi="he-IL"/>
        </w:rPr>
        <w:t xml:space="preserve"> </w:t>
      </w:r>
      <w:r w:rsidRPr="008734CD">
        <w:rPr>
          <w:color w:val="000000" w:themeColor="text1"/>
          <w:szCs w:val="18"/>
          <w:lang w:bidi="he-IL"/>
        </w:rPr>
        <w:t>12</w:t>
      </w:r>
      <w:r w:rsidR="002A14CF">
        <w:rPr>
          <w:color w:val="000000" w:themeColor="text1"/>
          <w:szCs w:val="18"/>
          <w:lang w:bidi="he-IL"/>
        </w:rPr>
        <w:t>.</w:t>
      </w:r>
      <w:r>
        <w:rPr>
          <w:color w:val="000000" w:themeColor="text1"/>
          <w:szCs w:val="18"/>
          <w:lang w:bidi="he-IL"/>
        </w:rPr>
        <w:t xml:space="preserve"> </w:t>
      </w:r>
    </w:p>
  </w:footnote>
  <w:footnote w:id="36">
    <w:p w:rsidR="00D81309" w:rsidRPr="00123C7E" w:rsidRDefault="00D81309" w:rsidP="00D81309">
      <w:pPr>
        <w:pStyle w:val="FootnoteText"/>
        <w:rPr>
          <w:szCs w:val="18"/>
        </w:rPr>
      </w:pPr>
      <w:r w:rsidRPr="00CA761B">
        <w:rPr>
          <w:szCs w:val="18"/>
        </w:rPr>
        <w:tab/>
      </w:r>
      <w:r w:rsidRPr="00D81309">
        <w:rPr>
          <w:rStyle w:val="FootnoteReference"/>
        </w:rPr>
        <w:footnoteRef/>
      </w:r>
      <w:r>
        <w:rPr>
          <w:szCs w:val="18"/>
        </w:rPr>
        <w:t xml:space="preserve"> </w:t>
      </w:r>
      <w:r>
        <w:rPr>
          <w:szCs w:val="18"/>
        </w:rPr>
        <w:tab/>
      </w:r>
      <w:r w:rsidRPr="00123C7E">
        <w:rPr>
          <w:iCs/>
          <w:color w:val="000000" w:themeColor="text1"/>
          <w:szCs w:val="18"/>
          <w:lang w:bidi="he-IL"/>
        </w:rPr>
        <w:t>See</w:t>
      </w:r>
      <w:r>
        <w:rPr>
          <w:iCs/>
          <w:color w:val="000000" w:themeColor="text1"/>
          <w:szCs w:val="18"/>
          <w:lang w:bidi="he-IL"/>
        </w:rPr>
        <w:t xml:space="preserve"> </w:t>
      </w:r>
      <w:r w:rsidRPr="00BD4FE2">
        <w:rPr>
          <w:color w:val="000000" w:themeColor="text1"/>
          <w:szCs w:val="18"/>
          <w:lang w:bidi="he-IL"/>
        </w:rPr>
        <w:t>c</w:t>
      </w:r>
      <w:r w:rsidRPr="00123C7E">
        <w:rPr>
          <w:color w:val="000000" w:themeColor="text1"/>
          <w:szCs w:val="18"/>
          <w:lang w:bidi="he-IL"/>
        </w:rPr>
        <w:t>ommunication</w:t>
      </w:r>
      <w:r>
        <w:rPr>
          <w:color w:val="000000" w:themeColor="text1"/>
          <w:szCs w:val="18"/>
          <w:lang w:bidi="he-IL"/>
        </w:rPr>
        <w:t xml:space="preserve"> </w:t>
      </w:r>
      <w:r w:rsidRPr="00123C7E">
        <w:rPr>
          <w:color w:val="000000" w:themeColor="text1"/>
          <w:szCs w:val="18"/>
          <w:lang w:bidi="he-IL"/>
        </w:rPr>
        <w:t>No.</w:t>
      </w:r>
      <w:r>
        <w:rPr>
          <w:color w:val="000000" w:themeColor="text1"/>
          <w:szCs w:val="18"/>
          <w:lang w:bidi="he-IL"/>
        </w:rPr>
        <w:t xml:space="preserve"> </w:t>
      </w:r>
      <w:r w:rsidRPr="00123C7E">
        <w:rPr>
          <w:color w:val="000000" w:themeColor="text1"/>
          <w:szCs w:val="18"/>
          <w:lang w:bidi="he-IL"/>
        </w:rPr>
        <w:t>265/</w:t>
      </w:r>
      <w:r w:rsidRPr="00BD4FE2">
        <w:rPr>
          <w:color w:val="000000" w:themeColor="text1"/>
          <w:szCs w:val="18"/>
          <w:lang w:bidi="he-IL"/>
        </w:rPr>
        <w:t>19</w:t>
      </w:r>
      <w:r w:rsidRPr="00123C7E">
        <w:rPr>
          <w:color w:val="000000" w:themeColor="text1"/>
          <w:szCs w:val="18"/>
          <w:lang w:bidi="he-IL"/>
        </w:rPr>
        <w:t>87,</w:t>
      </w:r>
      <w:r>
        <w:rPr>
          <w:color w:val="000000" w:themeColor="text1"/>
          <w:szCs w:val="18"/>
          <w:lang w:bidi="he-IL"/>
        </w:rPr>
        <w:t xml:space="preserve"> </w:t>
      </w:r>
      <w:r w:rsidRPr="00CA761B">
        <w:rPr>
          <w:i/>
          <w:iCs/>
          <w:color w:val="000000" w:themeColor="text1"/>
          <w:szCs w:val="18"/>
          <w:lang w:bidi="he-IL"/>
        </w:rPr>
        <w:t>Vuolanne</w:t>
      </w:r>
      <w:r>
        <w:rPr>
          <w:i/>
          <w:iCs/>
          <w:color w:val="000000" w:themeColor="text1"/>
          <w:szCs w:val="18"/>
          <w:lang w:bidi="he-IL"/>
        </w:rPr>
        <w:t xml:space="preserve"> </w:t>
      </w:r>
      <w:r w:rsidRPr="00CA761B">
        <w:rPr>
          <w:i/>
          <w:iCs/>
          <w:color w:val="000000" w:themeColor="text1"/>
          <w:szCs w:val="18"/>
          <w:lang w:bidi="he-IL"/>
        </w:rPr>
        <w:t>v.</w:t>
      </w:r>
      <w:r>
        <w:rPr>
          <w:i/>
          <w:iCs/>
          <w:color w:val="000000" w:themeColor="text1"/>
          <w:szCs w:val="18"/>
          <w:lang w:bidi="he-IL"/>
        </w:rPr>
        <w:t xml:space="preserve"> </w:t>
      </w:r>
      <w:r w:rsidRPr="00CA761B">
        <w:rPr>
          <w:i/>
          <w:iCs/>
          <w:color w:val="000000" w:themeColor="text1"/>
          <w:szCs w:val="18"/>
          <w:lang w:bidi="he-IL"/>
        </w:rPr>
        <w:t>Finland</w:t>
      </w:r>
      <w:r w:rsidRPr="00E40E8D">
        <w:rPr>
          <w:color w:val="000000" w:themeColor="text1"/>
          <w:szCs w:val="18"/>
          <w:lang w:bidi="he-IL"/>
        </w:rPr>
        <w:t>,</w:t>
      </w:r>
      <w:r>
        <w:rPr>
          <w:color w:val="000000" w:themeColor="text1"/>
          <w:szCs w:val="18"/>
          <w:lang w:bidi="he-IL"/>
        </w:rPr>
        <w:t xml:space="preserve"> </w:t>
      </w:r>
      <w:r w:rsidRPr="00E40E8D">
        <w:rPr>
          <w:color w:val="000000" w:themeColor="text1"/>
          <w:szCs w:val="18"/>
          <w:lang w:bidi="he-IL"/>
        </w:rPr>
        <w:t>Views</w:t>
      </w:r>
      <w:r>
        <w:rPr>
          <w:color w:val="000000" w:themeColor="text1"/>
          <w:szCs w:val="18"/>
          <w:lang w:bidi="he-IL"/>
        </w:rPr>
        <w:t xml:space="preserve"> </w:t>
      </w:r>
      <w:r w:rsidRPr="00E40E8D">
        <w:rPr>
          <w:color w:val="000000" w:themeColor="text1"/>
          <w:szCs w:val="18"/>
          <w:lang w:bidi="he-IL"/>
        </w:rPr>
        <w:t>adopted</w:t>
      </w:r>
      <w:r>
        <w:rPr>
          <w:color w:val="000000" w:themeColor="text1"/>
          <w:szCs w:val="18"/>
          <w:lang w:bidi="he-IL"/>
        </w:rPr>
        <w:t xml:space="preserve"> </w:t>
      </w:r>
      <w:r w:rsidRPr="00E40E8D">
        <w:rPr>
          <w:color w:val="000000" w:themeColor="text1"/>
          <w:szCs w:val="18"/>
          <w:lang w:bidi="he-IL"/>
        </w:rPr>
        <w:t>on</w:t>
      </w:r>
      <w:r>
        <w:rPr>
          <w:color w:val="000000" w:themeColor="text1"/>
          <w:szCs w:val="18"/>
          <w:lang w:bidi="he-IL"/>
        </w:rPr>
        <w:t xml:space="preserve"> </w:t>
      </w:r>
      <w:r w:rsidRPr="00E40E8D">
        <w:rPr>
          <w:color w:val="000000" w:themeColor="text1"/>
          <w:szCs w:val="18"/>
          <w:lang w:bidi="he-IL"/>
        </w:rPr>
        <w:t>7</w:t>
      </w:r>
      <w:r>
        <w:rPr>
          <w:color w:val="000000" w:themeColor="text1"/>
          <w:szCs w:val="18"/>
          <w:lang w:bidi="he-IL"/>
        </w:rPr>
        <w:t xml:space="preserve"> </w:t>
      </w:r>
      <w:r w:rsidRPr="00E40E8D">
        <w:rPr>
          <w:color w:val="000000" w:themeColor="text1"/>
          <w:szCs w:val="18"/>
          <w:lang w:bidi="he-IL"/>
        </w:rPr>
        <w:t>April</w:t>
      </w:r>
      <w:r>
        <w:rPr>
          <w:color w:val="000000" w:themeColor="text1"/>
          <w:szCs w:val="18"/>
          <w:lang w:bidi="he-IL"/>
        </w:rPr>
        <w:t xml:space="preserve"> </w:t>
      </w:r>
      <w:r w:rsidRPr="00E40E8D">
        <w:rPr>
          <w:color w:val="000000" w:themeColor="text1"/>
          <w:szCs w:val="18"/>
          <w:lang w:bidi="he-IL"/>
        </w:rPr>
        <w:t>1989.</w:t>
      </w:r>
    </w:p>
  </w:footnote>
  <w:footnote w:id="37">
    <w:p w:rsidR="00D81309" w:rsidRPr="00123C7E" w:rsidRDefault="00D81309" w:rsidP="00D81309">
      <w:pPr>
        <w:pStyle w:val="FootnoteText"/>
        <w:rPr>
          <w:rFonts w:asciiTheme="minorBidi" w:hAnsiTheme="minorBidi"/>
          <w:color w:val="000000" w:themeColor="text1"/>
          <w:szCs w:val="18"/>
          <w:lang w:bidi="he-IL"/>
        </w:rPr>
      </w:pPr>
      <w:r>
        <w:rPr>
          <w:szCs w:val="18"/>
        </w:rPr>
        <w:tab/>
      </w:r>
      <w:r w:rsidRPr="00D81309">
        <w:rPr>
          <w:rStyle w:val="FootnoteReference"/>
        </w:rPr>
        <w:footnoteRef/>
      </w:r>
      <w:r>
        <w:rPr>
          <w:szCs w:val="18"/>
        </w:rPr>
        <w:t xml:space="preserve"> </w:t>
      </w:r>
      <w:r>
        <w:rPr>
          <w:szCs w:val="18"/>
        </w:rPr>
        <w:tab/>
      </w:r>
      <w:r w:rsidRPr="00123C7E">
        <w:rPr>
          <w:szCs w:val="18"/>
        </w:rPr>
        <w:t>See</w:t>
      </w:r>
      <w:r>
        <w:rPr>
          <w:szCs w:val="18"/>
        </w:rPr>
        <w:t xml:space="preserve"> </w:t>
      </w:r>
      <w:r w:rsidRPr="00123C7E">
        <w:rPr>
          <w:szCs w:val="18"/>
        </w:rPr>
        <w:t>communication</w:t>
      </w:r>
      <w:r>
        <w:rPr>
          <w:szCs w:val="18"/>
        </w:rPr>
        <w:t xml:space="preserve"> </w:t>
      </w:r>
      <w:r w:rsidRPr="00123C7E">
        <w:rPr>
          <w:szCs w:val="18"/>
        </w:rPr>
        <w:t>No.</w:t>
      </w:r>
      <w:r>
        <w:rPr>
          <w:szCs w:val="18"/>
        </w:rPr>
        <w:t xml:space="preserve"> </w:t>
      </w:r>
      <w:r w:rsidRPr="00123C7E">
        <w:rPr>
          <w:szCs w:val="18"/>
        </w:rPr>
        <w:t>2360/2014,</w:t>
      </w:r>
      <w:r>
        <w:rPr>
          <w:szCs w:val="18"/>
        </w:rPr>
        <w:t xml:space="preserve"> </w:t>
      </w:r>
      <w:r w:rsidRPr="00123C7E">
        <w:rPr>
          <w:i/>
          <w:szCs w:val="18"/>
        </w:rPr>
        <w:t>Jasin</w:t>
      </w:r>
      <w:r>
        <w:rPr>
          <w:i/>
          <w:szCs w:val="18"/>
        </w:rPr>
        <w:t xml:space="preserve"> </w:t>
      </w:r>
      <w:r w:rsidRPr="00123C7E">
        <w:rPr>
          <w:i/>
          <w:szCs w:val="18"/>
        </w:rPr>
        <w:t>v.</w:t>
      </w:r>
      <w:r>
        <w:rPr>
          <w:i/>
          <w:szCs w:val="18"/>
        </w:rPr>
        <w:t xml:space="preserve"> </w:t>
      </w:r>
      <w:r w:rsidRPr="00123C7E">
        <w:rPr>
          <w:i/>
          <w:szCs w:val="18"/>
        </w:rPr>
        <w:t>Denmark</w:t>
      </w:r>
      <w:r w:rsidRPr="00123C7E">
        <w:rPr>
          <w:szCs w:val="18"/>
        </w:rPr>
        <w:t>,</w:t>
      </w:r>
      <w:r>
        <w:rPr>
          <w:szCs w:val="18"/>
        </w:rPr>
        <w:t xml:space="preserve"> </w:t>
      </w:r>
      <w:r w:rsidRPr="00123C7E">
        <w:rPr>
          <w:szCs w:val="18"/>
        </w:rPr>
        <w:t>Views</w:t>
      </w:r>
      <w:r>
        <w:rPr>
          <w:szCs w:val="18"/>
        </w:rPr>
        <w:t xml:space="preserve"> </w:t>
      </w:r>
      <w:r w:rsidRPr="00123C7E">
        <w:rPr>
          <w:szCs w:val="18"/>
        </w:rPr>
        <w:t>adopted</w:t>
      </w:r>
      <w:r>
        <w:rPr>
          <w:szCs w:val="18"/>
        </w:rPr>
        <w:t xml:space="preserve"> </w:t>
      </w:r>
      <w:r w:rsidRPr="00123C7E">
        <w:rPr>
          <w:szCs w:val="18"/>
        </w:rPr>
        <w:t>on</w:t>
      </w:r>
      <w:r>
        <w:rPr>
          <w:szCs w:val="18"/>
        </w:rPr>
        <w:t xml:space="preserve"> </w:t>
      </w:r>
      <w:r w:rsidRPr="00123C7E">
        <w:rPr>
          <w:szCs w:val="18"/>
        </w:rPr>
        <w:t>22</w:t>
      </w:r>
      <w:r>
        <w:rPr>
          <w:szCs w:val="18"/>
        </w:rPr>
        <w:t xml:space="preserve"> </w:t>
      </w:r>
      <w:r w:rsidRPr="00123C7E">
        <w:rPr>
          <w:szCs w:val="18"/>
        </w:rPr>
        <w:t>July</w:t>
      </w:r>
      <w:r>
        <w:rPr>
          <w:szCs w:val="18"/>
        </w:rPr>
        <w:t xml:space="preserve"> </w:t>
      </w:r>
      <w:r w:rsidRPr="00123C7E">
        <w:rPr>
          <w:szCs w:val="18"/>
        </w:rPr>
        <w:t>2015</w:t>
      </w:r>
      <w:r w:rsidRPr="008734CD">
        <w:rPr>
          <w:color w:val="000000" w:themeColor="text1"/>
          <w:szCs w:val="18"/>
          <w:lang w:bidi="he-IL"/>
        </w:rPr>
        <w:t>.</w:t>
      </w:r>
    </w:p>
  </w:footnote>
  <w:footnote w:id="38">
    <w:p w:rsidR="00D81309" w:rsidRPr="00123C7E" w:rsidRDefault="00D81309" w:rsidP="00D81309">
      <w:pPr>
        <w:pStyle w:val="FootnoteText"/>
      </w:pPr>
      <w:r w:rsidRPr="00CA761B">
        <w:rPr>
          <w:szCs w:val="18"/>
        </w:rPr>
        <w:tab/>
      </w:r>
      <w:r w:rsidRPr="00D81309">
        <w:rPr>
          <w:rStyle w:val="FootnoteReference"/>
        </w:rPr>
        <w:footnoteRef/>
      </w:r>
      <w:r>
        <w:rPr>
          <w:szCs w:val="18"/>
        </w:rPr>
        <w:t xml:space="preserve"> </w:t>
      </w:r>
      <w:r>
        <w:rPr>
          <w:szCs w:val="18"/>
        </w:rPr>
        <w:tab/>
      </w:r>
      <w:r w:rsidRPr="00123C7E">
        <w:rPr>
          <w:iCs/>
          <w:color w:val="000000" w:themeColor="text1"/>
          <w:szCs w:val="18"/>
          <w:lang w:bidi="he-IL"/>
        </w:rPr>
        <w:t>Ibid</w:t>
      </w:r>
      <w:r w:rsidRPr="008734CD">
        <w:rPr>
          <w:iCs/>
          <w:color w:val="000000" w:themeColor="text1"/>
          <w:szCs w:val="18"/>
          <w:lang w:bidi="he-I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09" w:rsidRPr="007E44A7" w:rsidRDefault="00D81309">
    <w:pPr>
      <w:pStyle w:val="Header"/>
    </w:pPr>
    <w:r>
      <w:t>CCPR/C/120/D/2470/2014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09" w:rsidRPr="007E44A7" w:rsidRDefault="00D81309" w:rsidP="00211D29">
    <w:pPr>
      <w:pStyle w:val="Header"/>
      <w:jc w:val="right"/>
    </w:pPr>
    <w:r>
      <w:t>CCPR/C/120/D/2470/2014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09" w:rsidRPr="007808C6" w:rsidRDefault="00D81309" w:rsidP="007808C6">
    <w:pPr>
      <w:pStyle w:val="Header"/>
    </w:pPr>
    <w:r w:rsidRPr="007808C6">
      <w:t>CCPR/C/120/D/2470/2014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09" w:rsidRPr="007808C6" w:rsidRDefault="00D81309" w:rsidP="007808C6">
    <w:pPr>
      <w:pStyle w:val="Header"/>
      <w:jc w:val="right"/>
    </w:pPr>
    <w:r w:rsidRPr="007808C6">
      <w:t>CCPR/C/120/D/2470/2014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567"/>
  <w:evenAndOddHeaders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99"/>
    <w:rsid w:val="00046E92"/>
    <w:rsid w:val="0006523D"/>
    <w:rsid w:val="000C1B04"/>
    <w:rsid w:val="00131D7A"/>
    <w:rsid w:val="001638A7"/>
    <w:rsid w:val="00165C15"/>
    <w:rsid w:val="001E6C1D"/>
    <w:rsid w:val="00211D29"/>
    <w:rsid w:val="00247E2C"/>
    <w:rsid w:val="0029621C"/>
    <w:rsid w:val="002A14CF"/>
    <w:rsid w:val="002D6C53"/>
    <w:rsid w:val="002F5595"/>
    <w:rsid w:val="00334F6A"/>
    <w:rsid w:val="00342AC8"/>
    <w:rsid w:val="003474AD"/>
    <w:rsid w:val="003B4550"/>
    <w:rsid w:val="00400652"/>
    <w:rsid w:val="0040083C"/>
    <w:rsid w:val="00461253"/>
    <w:rsid w:val="00472FED"/>
    <w:rsid w:val="005042C2"/>
    <w:rsid w:val="005766A0"/>
    <w:rsid w:val="005808FB"/>
    <w:rsid w:val="005B7312"/>
    <w:rsid w:val="005F6AA5"/>
    <w:rsid w:val="00671529"/>
    <w:rsid w:val="006B0EB0"/>
    <w:rsid w:val="007268F9"/>
    <w:rsid w:val="007808C6"/>
    <w:rsid w:val="007C52B0"/>
    <w:rsid w:val="007F1B12"/>
    <w:rsid w:val="00817E57"/>
    <w:rsid w:val="0083704F"/>
    <w:rsid w:val="008A32AA"/>
    <w:rsid w:val="008B7A69"/>
    <w:rsid w:val="008D3450"/>
    <w:rsid w:val="009411B4"/>
    <w:rsid w:val="00980D07"/>
    <w:rsid w:val="009D0139"/>
    <w:rsid w:val="009F5CDC"/>
    <w:rsid w:val="00A23459"/>
    <w:rsid w:val="00A572C6"/>
    <w:rsid w:val="00A775CF"/>
    <w:rsid w:val="00AC7FDF"/>
    <w:rsid w:val="00AF5C26"/>
    <w:rsid w:val="00B06045"/>
    <w:rsid w:val="00B1273B"/>
    <w:rsid w:val="00B66C66"/>
    <w:rsid w:val="00B903E5"/>
    <w:rsid w:val="00C26708"/>
    <w:rsid w:val="00C3497A"/>
    <w:rsid w:val="00C35A27"/>
    <w:rsid w:val="00CA1AEA"/>
    <w:rsid w:val="00CD78DE"/>
    <w:rsid w:val="00CD7CA7"/>
    <w:rsid w:val="00CF56BD"/>
    <w:rsid w:val="00D81309"/>
    <w:rsid w:val="00E02C2B"/>
    <w:rsid w:val="00E07D99"/>
    <w:rsid w:val="00E877F9"/>
    <w:rsid w:val="00ED6C48"/>
    <w:rsid w:val="00EE1E91"/>
    <w:rsid w:val="00F41F0F"/>
    <w:rsid w:val="00F65F5D"/>
    <w:rsid w:val="00F86A3A"/>
    <w:rsid w:val="00F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B8E31B-2000-4C46-9345-FEA0E2A5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1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uiPriority w:val="99"/>
    <w:qFormat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qFormat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CD78DE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CD78DE"/>
    <w:pPr>
      <w:tabs>
        <w:tab w:val="right" w:pos="1021"/>
      </w:tabs>
      <w:suppressAutoHyphens w:val="0"/>
      <w:spacing w:line="220" w:lineRule="exact"/>
      <w:ind w:left="1134" w:right="1134" w:hanging="1134"/>
    </w:pPr>
    <w:rPr>
      <w:rFonts w:eastAsiaTheme="minorHAnsi"/>
      <w:sz w:val="18"/>
    </w:rPr>
  </w:style>
  <w:style w:type="paragraph" w:styleId="EndnoteText">
    <w:name w:val="endnote text"/>
    <w:aliases w:val="2_G"/>
    <w:basedOn w:val="Normal"/>
    <w:link w:val="EndnoteTextChar"/>
    <w:rsid w:val="00FF18D7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CD78DE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customStyle="1" w:styleId="Heading1Char">
    <w:name w:val="Heading 1 Char"/>
    <w:aliases w:val="Table_G Char"/>
    <w:basedOn w:val="DefaultParagraphFont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table" w:styleId="TableGrid">
    <w:name w:val="Table Grid"/>
    <w:basedOn w:val="TableNormal"/>
    <w:rsid w:val="00165C1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C1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CCP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97BA-E095-4AEE-A291-6E66573B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CCPR</Template>
  <TotalTime>0</TotalTime>
  <Pages>13</Pages>
  <Words>6698</Words>
  <Characters>38180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1717717</vt:lpstr>
    </vt:vector>
  </TitlesOfParts>
  <Company>DCM</Company>
  <LinksUpToDate>false</LinksUpToDate>
  <CharactersWithSpaces>44789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1717717</dc:title>
  <dc:subject>CCPR/C/120/D/2470/2014</dc:subject>
  <dc:creator>Cristina BRIGOLI</dc:creator>
  <cp:keywords/>
  <dc:description/>
  <cp:lastModifiedBy>Sarah Willig</cp:lastModifiedBy>
  <cp:revision>2</cp:revision>
  <cp:lastPrinted>2017-10-06T11:57:00Z</cp:lastPrinted>
  <dcterms:created xsi:type="dcterms:W3CDTF">2019-01-02T20:25:00Z</dcterms:created>
  <dcterms:modified xsi:type="dcterms:W3CDTF">2019-01-02T20:25:00Z</dcterms:modified>
</cp:coreProperties>
</file>