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D64C11" w14:paraId="2BA005B1" w14:textId="77777777">
        <w:trPr>
          <w:cantSplit/>
          <w:trHeight w:hRule="exact" w:val="851"/>
        </w:trPr>
        <w:tc>
          <w:tcPr>
            <w:tcW w:w="1276" w:type="dxa"/>
            <w:tcBorders>
              <w:bottom w:val="single" w:sz="4" w:space="0" w:color="auto"/>
            </w:tcBorders>
            <w:vAlign w:val="bottom"/>
          </w:tcPr>
          <w:p w14:paraId="02FBD9C8" w14:textId="77777777" w:rsidR="00990482" w:rsidRPr="00662C5B" w:rsidRDefault="00990482" w:rsidP="00990482">
            <w:pPr>
              <w:spacing w:after="80"/>
              <w:rPr>
                <w:noProof/>
                <w:lang w:val="en-US"/>
              </w:rPr>
            </w:pPr>
          </w:p>
        </w:tc>
        <w:tc>
          <w:tcPr>
            <w:tcW w:w="2268" w:type="dxa"/>
            <w:tcBorders>
              <w:bottom w:val="single" w:sz="4" w:space="0" w:color="auto"/>
            </w:tcBorders>
            <w:vAlign w:val="bottom"/>
          </w:tcPr>
          <w:p w14:paraId="12DE7359" w14:textId="77777777" w:rsidR="00990482" w:rsidRPr="00662C5B" w:rsidRDefault="00990482" w:rsidP="00990482">
            <w:pPr>
              <w:spacing w:after="80" w:line="300" w:lineRule="exact"/>
              <w:rPr>
                <w:b/>
                <w:noProof/>
                <w:sz w:val="24"/>
                <w:szCs w:val="24"/>
                <w:lang w:val="en-US"/>
              </w:rPr>
            </w:pPr>
            <w:r w:rsidRPr="00662C5B">
              <w:rPr>
                <w:noProof/>
                <w:sz w:val="28"/>
                <w:szCs w:val="28"/>
                <w:lang w:val="en-US"/>
              </w:rPr>
              <w:t>United Nations</w:t>
            </w:r>
          </w:p>
        </w:tc>
        <w:tc>
          <w:tcPr>
            <w:tcW w:w="6095" w:type="dxa"/>
            <w:gridSpan w:val="2"/>
            <w:tcBorders>
              <w:bottom w:val="single" w:sz="4" w:space="0" w:color="auto"/>
            </w:tcBorders>
            <w:vAlign w:val="bottom"/>
          </w:tcPr>
          <w:p w14:paraId="7AFBDED2" w14:textId="5EE0AC94" w:rsidR="00990482" w:rsidRPr="00662C5B" w:rsidRDefault="00990482" w:rsidP="00F428B5">
            <w:pPr>
              <w:jc w:val="right"/>
              <w:outlineLvl w:val="3"/>
              <w:rPr>
                <w:noProof/>
                <w:lang w:val="en-US"/>
              </w:rPr>
            </w:pPr>
            <w:r w:rsidRPr="00662C5B">
              <w:rPr>
                <w:noProof/>
                <w:sz w:val="40"/>
                <w:lang w:val="en-US"/>
              </w:rPr>
              <w:t>CCPR</w:t>
            </w:r>
            <w:r w:rsidRPr="00662C5B">
              <w:rPr>
                <w:noProof/>
                <w:lang w:val="en-US"/>
              </w:rPr>
              <w:t>/C/</w:t>
            </w:r>
            <w:r w:rsidR="00CF2552" w:rsidRPr="00662C5B">
              <w:rPr>
                <w:noProof/>
                <w:lang w:val="en-US"/>
              </w:rPr>
              <w:t>117</w:t>
            </w:r>
            <w:r w:rsidRPr="00662C5B">
              <w:rPr>
                <w:noProof/>
                <w:lang w:val="en-US"/>
              </w:rPr>
              <w:t>/D/</w:t>
            </w:r>
            <w:r w:rsidR="009F6743" w:rsidRPr="00662C5B">
              <w:rPr>
                <w:noProof/>
                <w:lang w:val="en-US"/>
              </w:rPr>
              <w:t>2493</w:t>
            </w:r>
            <w:r w:rsidR="00CF2552" w:rsidRPr="00662C5B">
              <w:rPr>
                <w:noProof/>
                <w:lang w:val="en-US"/>
              </w:rPr>
              <w:t>/2014</w:t>
            </w:r>
          </w:p>
        </w:tc>
      </w:tr>
      <w:tr w:rsidR="00990482" w:rsidRPr="00D64C11" w14:paraId="59CCD9D3" w14:textId="77777777">
        <w:trPr>
          <w:cantSplit/>
          <w:trHeight w:hRule="exact" w:val="2835"/>
        </w:trPr>
        <w:tc>
          <w:tcPr>
            <w:tcW w:w="1276" w:type="dxa"/>
            <w:tcBorders>
              <w:top w:val="single" w:sz="4" w:space="0" w:color="auto"/>
              <w:bottom w:val="single" w:sz="12" w:space="0" w:color="auto"/>
            </w:tcBorders>
          </w:tcPr>
          <w:p w14:paraId="35072441" w14:textId="77777777" w:rsidR="00990482" w:rsidRPr="00662C5B" w:rsidRDefault="008C1E24" w:rsidP="00990482">
            <w:pPr>
              <w:spacing w:before="120"/>
              <w:outlineLvl w:val="3"/>
              <w:rPr>
                <w:noProof/>
                <w:lang w:val="en-US"/>
              </w:rPr>
            </w:pPr>
            <w:r w:rsidRPr="0024063F">
              <w:rPr>
                <w:noProof/>
                <w:lang w:eastAsia="zh-CN"/>
              </w:rPr>
              <w:drawing>
                <wp:inline distT="0" distB="0" distL="0" distR="0" wp14:anchorId="615F134C" wp14:editId="177440ED">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0699FE" w14:textId="77777777" w:rsidR="00BB3955" w:rsidRPr="00662C5B" w:rsidRDefault="00990482" w:rsidP="00430382">
            <w:pPr>
              <w:spacing w:before="120" w:line="380" w:lineRule="exact"/>
              <w:rPr>
                <w:noProof/>
                <w:sz w:val="34"/>
                <w:lang w:val="en-US"/>
              </w:rPr>
            </w:pPr>
            <w:r w:rsidRPr="00662C5B">
              <w:rPr>
                <w:b/>
                <w:noProof/>
                <w:sz w:val="34"/>
                <w:szCs w:val="40"/>
                <w:lang w:val="en-US"/>
              </w:rPr>
              <w:t>International Covenant on</w:t>
            </w:r>
            <w:r w:rsidRPr="00662C5B">
              <w:rPr>
                <w:b/>
                <w:noProof/>
                <w:sz w:val="34"/>
                <w:szCs w:val="40"/>
                <w:lang w:val="en-US"/>
              </w:rPr>
              <w:br/>
              <w:t>Civil and Political Rights</w:t>
            </w:r>
          </w:p>
        </w:tc>
        <w:tc>
          <w:tcPr>
            <w:tcW w:w="2835" w:type="dxa"/>
            <w:tcBorders>
              <w:top w:val="single" w:sz="4" w:space="0" w:color="auto"/>
              <w:bottom w:val="single" w:sz="12" w:space="0" w:color="auto"/>
            </w:tcBorders>
          </w:tcPr>
          <w:p w14:paraId="0E4E90F3" w14:textId="26348F6B" w:rsidR="006F3851" w:rsidRPr="00662C5B" w:rsidRDefault="00CB68DE" w:rsidP="006F3851">
            <w:pPr>
              <w:spacing w:before="240" w:line="240" w:lineRule="exact"/>
              <w:outlineLvl w:val="3"/>
              <w:rPr>
                <w:noProof/>
                <w:lang w:val="en-US"/>
              </w:rPr>
            </w:pPr>
            <w:r w:rsidRPr="00662C5B">
              <w:rPr>
                <w:noProof/>
                <w:lang w:val="en-US"/>
              </w:rPr>
              <w:t xml:space="preserve">Distr.: </w:t>
            </w:r>
            <w:r w:rsidR="00F428B5" w:rsidRPr="00662C5B">
              <w:rPr>
                <w:noProof/>
                <w:lang w:val="en-US"/>
              </w:rPr>
              <w:t>General</w:t>
            </w:r>
          </w:p>
          <w:p w14:paraId="771B6E80" w14:textId="6EBDDB12" w:rsidR="006F3851" w:rsidRPr="00662C5B" w:rsidRDefault="00FF7358" w:rsidP="006F3851">
            <w:pPr>
              <w:spacing w:line="240" w:lineRule="exact"/>
              <w:rPr>
                <w:noProof/>
                <w:lang w:val="en-US"/>
              </w:rPr>
            </w:pPr>
            <w:r>
              <w:rPr>
                <w:noProof/>
                <w:lang w:val="en-US"/>
              </w:rPr>
              <w:t>7</w:t>
            </w:r>
            <w:r w:rsidR="003C5158" w:rsidRPr="000A1B9F">
              <w:rPr>
                <w:noProof/>
                <w:lang w:val="en-US"/>
              </w:rPr>
              <w:t xml:space="preserve"> September</w:t>
            </w:r>
            <w:r w:rsidR="00CF2552" w:rsidRPr="00662C5B">
              <w:rPr>
                <w:noProof/>
                <w:lang w:val="en-US"/>
              </w:rPr>
              <w:t xml:space="preserve"> 2016</w:t>
            </w:r>
          </w:p>
          <w:p w14:paraId="726B157D" w14:textId="77777777" w:rsidR="006F3851" w:rsidRPr="00662C5B" w:rsidRDefault="006F3851" w:rsidP="006F3851">
            <w:pPr>
              <w:spacing w:line="240" w:lineRule="exact"/>
              <w:rPr>
                <w:noProof/>
                <w:lang w:val="en-US"/>
              </w:rPr>
            </w:pPr>
          </w:p>
          <w:p w14:paraId="11245952" w14:textId="77777777" w:rsidR="00CB68DE" w:rsidRPr="00662C5B" w:rsidRDefault="00CB68DE" w:rsidP="00CB68DE">
            <w:pPr>
              <w:spacing w:line="240" w:lineRule="exact"/>
              <w:outlineLvl w:val="3"/>
              <w:rPr>
                <w:noProof/>
                <w:lang w:val="en-US"/>
              </w:rPr>
            </w:pPr>
            <w:r w:rsidRPr="00662C5B">
              <w:rPr>
                <w:noProof/>
                <w:lang w:val="en-US"/>
              </w:rPr>
              <w:t>Original: English</w:t>
            </w:r>
            <w:bookmarkStart w:id="0" w:name="_GoBack"/>
            <w:bookmarkEnd w:id="0"/>
          </w:p>
          <w:p w14:paraId="3A834A79" w14:textId="46315165" w:rsidR="00990482" w:rsidRPr="00662C5B" w:rsidRDefault="00CB68DE" w:rsidP="00F428B5">
            <w:pPr>
              <w:spacing w:line="240" w:lineRule="exact"/>
              <w:rPr>
                <w:noProof/>
                <w:lang w:val="en-US"/>
              </w:rPr>
            </w:pPr>
            <w:r w:rsidRPr="00662C5B">
              <w:rPr>
                <w:noProof/>
                <w:lang w:val="en-US"/>
              </w:rPr>
              <w:t xml:space="preserve"> </w:t>
            </w:r>
          </w:p>
        </w:tc>
      </w:tr>
    </w:tbl>
    <w:p w14:paraId="22CD53A3" w14:textId="77777777" w:rsidR="008473BF" w:rsidRPr="00662C5B" w:rsidRDefault="008473BF" w:rsidP="00CE3ECA">
      <w:pPr>
        <w:spacing w:line="20" w:lineRule="exact"/>
        <w:rPr>
          <w:b/>
          <w:noProof/>
          <w:sz w:val="2"/>
          <w:szCs w:val="24"/>
          <w:lang w:val="en-US"/>
        </w:rPr>
      </w:pPr>
    </w:p>
    <w:p w14:paraId="3A0E61D7" w14:textId="77777777" w:rsidR="00CE3ECA" w:rsidRPr="00662C5B" w:rsidRDefault="00CE3ECA" w:rsidP="008473BF">
      <w:pPr>
        <w:spacing w:line="20" w:lineRule="exact"/>
        <w:rPr>
          <w:b/>
          <w:noProof/>
          <w:sz w:val="2"/>
          <w:szCs w:val="24"/>
          <w:lang w:val="en-US"/>
        </w:rPr>
      </w:pPr>
    </w:p>
    <w:p w14:paraId="54CC55D6" w14:textId="77777777" w:rsidR="00C618A7" w:rsidRPr="00662C5B" w:rsidRDefault="00C618A7" w:rsidP="00C618A7">
      <w:pPr>
        <w:spacing w:before="120"/>
        <w:rPr>
          <w:b/>
          <w:noProof/>
          <w:sz w:val="24"/>
          <w:szCs w:val="24"/>
          <w:lang w:val="en-US"/>
        </w:rPr>
      </w:pPr>
      <w:r w:rsidRPr="00662C5B">
        <w:rPr>
          <w:b/>
          <w:noProof/>
          <w:sz w:val="24"/>
          <w:szCs w:val="24"/>
          <w:lang w:val="en-US"/>
        </w:rPr>
        <w:t>Human Rights Committee</w:t>
      </w:r>
    </w:p>
    <w:p w14:paraId="0E8CE477" w14:textId="74048661" w:rsidR="00CB68DE" w:rsidRPr="00662C5B" w:rsidRDefault="006F3851" w:rsidP="00CF22E2">
      <w:pPr>
        <w:pStyle w:val="HChG"/>
        <w:tabs>
          <w:tab w:val="left" w:pos="8647"/>
          <w:tab w:val="left" w:pos="8789"/>
        </w:tabs>
        <w:ind w:right="850"/>
        <w:rPr>
          <w:rFonts w:eastAsia="MS Mincho"/>
          <w:noProof/>
          <w:lang w:val="en-US"/>
        </w:rPr>
      </w:pPr>
      <w:r w:rsidRPr="00662C5B">
        <w:rPr>
          <w:noProof/>
          <w:lang w:val="en-US"/>
        </w:rPr>
        <w:tab/>
      </w:r>
      <w:r w:rsidRPr="00662C5B">
        <w:rPr>
          <w:noProof/>
          <w:lang w:val="en-US"/>
        </w:rPr>
        <w:tab/>
      </w:r>
      <w:r w:rsidR="00F428B5" w:rsidRPr="00662C5B">
        <w:rPr>
          <w:rFonts w:eastAsia="MS Mincho"/>
          <w:noProof/>
          <w:lang w:val="en-US"/>
        </w:rPr>
        <w:t>Views adopted by the Committee under article 5</w:t>
      </w:r>
      <w:r w:rsidR="00CF22E2" w:rsidRPr="00662C5B">
        <w:rPr>
          <w:rFonts w:eastAsia="MS Mincho"/>
          <w:noProof/>
          <w:lang w:val="en-US"/>
        </w:rPr>
        <w:t xml:space="preserve"> </w:t>
      </w:r>
      <w:r w:rsidR="00F428B5" w:rsidRPr="00662C5B">
        <w:rPr>
          <w:rFonts w:eastAsia="MS Mincho"/>
          <w:noProof/>
          <w:lang w:val="en-US"/>
        </w:rPr>
        <w:t xml:space="preserve">(4) of the Optional Protocol, concerning communication </w:t>
      </w:r>
      <w:r w:rsidR="00F428B5" w:rsidRPr="00662C5B">
        <w:rPr>
          <w:rFonts w:eastAsia="MS Mincho"/>
          <w:noProof/>
          <w:spacing w:val="-2"/>
          <w:lang w:val="en-US"/>
        </w:rPr>
        <w:t>No. 2493/2014</w:t>
      </w:r>
      <w:r w:rsidR="00F428B5" w:rsidRPr="00662C5B">
        <w:rPr>
          <w:rStyle w:val="FootnoteReference"/>
          <w:rFonts w:eastAsia="MS Mincho"/>
          <w:b w:val="0"/>
          <w:bCs/>
          <w:sz w:val="20"/>
          <w:vertAlign w:val="baseline"/>
        </w:rPr>
        <w:footnoteReference w:customMarkFollows="1" w:id="2"/>
        <w:t>*</w:t>
      </w:r>
      <w:r w:rsidR="00FF7358" w:rsidRPr="00662C5B">
        <w:rPr>
          <w:rFonts w:eastAsia="MS Mincho"/>
          <w:b w:val="0"/>
          <w:bCs/>
          <w:position w:val="4"/>
          <w:sz w:val="20"/>
        </w:rPr>
        <w:t>,</w:t>
      </w:r>
      <w:r w:rsidR="00F428B5" w:rsidRPr="00662C5B">
        <w:rPr>
          <w:rFonts w:eastAsia="MS Mincho"/>
          <w:b w:val="0"/>
          <w:bCs/>
          <w:noProof/>
          <w:sz w:val="20"/>
          <w:lang w:val="en-US"/>
        </w:rPr>
        <w:t xml:space="preserve"> </w:t>
      </w:r>
      <w:r w:rsidR="00F428B5" w:rsidRPr="00662C5B">
        <w:rPr>
          <w:rStyle w:val="FootnoteReference"/>
          <w:rFonts w:eastAsia="MS Mincho"/>
          <w:b w:val="0"/>
          <w:bCs/>
          <w:sz w:val="20"/>
          <w:vertAlign w:val="baseline"/>
        </w:rPr>
        <w:footnoteReference w:customMarkFollows="1" w:id="3"/>
        <w:t>**</w:t>
      </w:r>
      <w:r w:rsidR="00FF7358">
        <w:rPr>
          <w:rFonts w:eastAsia="MS Mincho"/>
          <w:noProof/>
          <w:vertAlign w:val="superscript"/>
          <w:lang w:val="en-US"/>
        </w:rPr>
        <w:t xml:space="preserve"> </w:t>
      </w:r>
    </w:p>
    <w:p w14:paraId="4E25567D" w14:textId="6CA42934" w:rsidR="00990482" w:rsidRPr="00662C5B" w:rsidRDefault="00D57E94" w:rsidP="00D57E94">
      <w:pPr>
        <w:pStyle w:val="SingleTxtG"/>
        <w:ind w:left="4536" w:hanging="3402"/>
        <w:jc w:val="left"/>
        <w:rPr>
          <w:noProof/>
          <w:lang w:val="en-US"/>
        </w:rPr>
      </w:pPr>
      <w:r w:rsidRPr="00662C5B">
        <w:rPr>
          <w:i/>
          <w:noProof/>
          <w:lang w:val="en-US"/>
        </w:rPr>
        <w:t>Communication s</w:t>
      </w:r>
      <w:r w:rsidR="00990482" w:rsidRPr="00662C5B">
        <w:rPr>
          <w:i/>
          <w:noProof/>
          <w:lang w:val="en-US"/>
        </w:rPr>
        <w:t>ubmitted by:</w:t>
      </w:r>
      <w:r w:rsidR="00990482" w:rsidRPr="00662C5B">
        <w:rPr>
          <w:noProof/>
          <w:lang w:val="en-US"/>
        </w:rPr>
        <w:tab/>
      </w:r>
      <w:r w:rsidR="005B2E75" w:rsidRPr="00662C5B">
        <w:rPr>
          <w:noProof/>
          <w:lang w:val="en-US"/>
        </w:rPr>
        <w:t>A</w:t>
      </w:r>
      <w:r w:rsidR="00BB6BDD" w:rsidRPr="00662C5B">
        <w:rPr>
          <w:noProof/>
          <w:lang w:val="en-US"/>
        </w:rPr>
        <w:t>.</w:t>
      </w:r>
      <w:r w:rsidR="005B2E75" w:rsidRPr="00662C5B">
        <w:rPr>
          <w:noProof/>
          <w:lang w:val="en-US"/>
        </w:rPr>
        <w:t>H</w:t>
      </w:r>
      <w:r w:rsidR="00BB6BDD" w:rsidRPr="00662C5B">
        <w:rPr>
          <w:noProof/>
          <w:lang w:val="en-US"/>
        </w:rPr>
        <w:t>.</w:t>
      </w:r>
      <w:r w:rsidR="005B2E75" w:rsidRPr="00662C5B">
        <w:rPr>
          <w:noProof/>
          <w:lang w:val="en-US"/>
        </w:rPr>
        <w:t>A</w:t>
      </w:r>
      <w:r w:rsidR="00BB6BDD" w:rsidRPr="00662C5B">
        <w:rPr>
          <w:noProof/>
          <w:lang w:val="en-US"/>
        </w:rPr>
        <w:t>.</w:t>
      </w:r>
      <w:r w:rsidR="00990482" w:rsidRPr="00662C5B">
        <w:rPr>
          <w:noProof/>
          <w:lang w:val="en-US"/>
        </w:rPr>
        <w:t xml:space="preserve"> (represented by </w:t>
      </w:r>
      <w:r w:rsidR="005B2E75" w:rsidRPr="00662C5B">
        <w:rPr>
          <w:noProof/>
          <w:lang w:val="en-US"/>
        </w:rPr>
        <w:t>counsel</w:t>
      </w:r>
      <w:r w:rsidR="00CF22E2" w:rsidRPr="00662C5B">
        <w:rPr>
          <w:noProof/>
          <w:lang w:val="en-US"/>
        </w:rPr>
        <w:t>,</w:t>
      </w:r>
      <w:r w:rsidR="005B2E75" w:rsidRPr="00662C5B">
        <w:rPr>
          <w:noProof/>
          <w:lang w:val="en-US"/>
        </w:rPr>
        <w:t xml:space="preserve"> Tage Gottsche</w:t>
      </w:r>
      <w:r w:rsidR="00990482" w:rsidRPr="00662C5B">
        <w:rPr>
          <w:noProof/>
          <w:lang w:val="en-US"/>
        </w:rPr>
        <w:t>)</w:t>
      </w:r>
      <w:r w:rsidR="008B707C" w:rsidRPr="00662C5B">
        <w:rPr>
          <w:noProof/>
          <w:lang w:val="en-US"/>
        </w:rPr>
        <w:t xml:space="preserve"> </w:t>
      </w:r>
    </w:p>
    <w:p w14:paraId="0973C82A" w14:textId="77777777" w:rsidR="00990482" w:rsidRPr="00662C5B" w:rsidRDefault="00990482" w:rsidP="001F06D5">
      <w:pPr>
        <w:pStyle w:val="SingleTxtG"/>
        <w:ind w:left="4536" w:hanging="3402"/>
        <w:jc w:val="left"/>
        <w:rPr>
          <w:noProof/>
          <w:lang w:val="en-US"/>
        </w:rPr>
      </w:pPr>
      <w:r w:rsidRPr="00662C5B">
        <w:rPr>
          <w:i/>
          <w:noProof/>
          <w:lang w:val="en-US"/>
        </w:rPr>
        <w:t>Alleged victim:</w:t>
      </w:r>
      <w:r w:rsidRPr="00662C5B">
        <w:rPr>
          <w:noProof/>
          <w:lang w:val="en-US"/>
        </w:rPr>
        <w:tab/>
        <w:t xml:space="preserve">The author </w:t>
      </w:r>
    </w:p>
    <w:p w14:paraId="39D2A310" w14:textId="77777777" w:rsidR="00990482" w:rsidRPr="00662C5B" w:rsidRDefault="00990482" w:rsidP="00850B7F">
      <w:pPr>
        <w:pStyle w:val="SingleTxtG"/>
        <w:ind w:left="4536" w:hanging="3402"/>
        <w:jc w:val="left"/>
        <w:rPr>
          <w:noProof/>
          <w:lang w:val="en-US"/>
        </w:rPr>
      </w:pPr>
      <w:r w:rsidRPr="00662C5B">
        <w:rPr>
          <w:i/>
          <w:noProof/>
          <w:lang w:val="en-US"/>
        </w:rPr>
        <w:t>State party:</w:t>
      </w:r>
      <w:r w:rsidRPr="00662C5B">
        <w:rPr>
          <w:noProof/>
          <w:lang w:val="en-US"/>
        </w:rPr>
        <w:tab/>
      </w:r>
      <w:r w:rsidR="00805CF7" w:rsidRPr="00662C5B">
        <w:rPr>
          <w:noProof/>
          <w:lang w:val="en-US"/>
        </w:rPr>
        <w:t>Denmark</w:t>
      </w:r>
    </w:p>
    <w:p w14:paraId="60C6724E" w14:textId="77777777" w:rsidR="00990482" w:rsidRPr="00662C5B" w:rsidRDefault="00990482" w:rsidP="00850B7F">
      <w:pPr>
        <w:pStyle w:val="SingleTxtG"/>
        <w:ind w:left="4536" w:hanging="3402"/>
        <w:jc w:val="left"/>
        <w:rPr>
          <w:noProof/>
          <w:lang w:val="en-US"/>
        </w:rPr>
      </w:pPr>
      <w:r w:rsidRPr="00662C5B">
        <w:rPr>
          <w:i/>
          <w:noProof/>
          <w:lang w:val="en-US"/>
        </w:rPr>
        <w:t>Date of communication:</w:t>
      </w:r>
      <w:r w:rsidRPr="00662C5B">
        <w:rPr>
          <w:noProof/>
          <w:lang w:val="en-US"/>
        </w:rPr>
        <w:tab/>
      </w:r>
      <w:r w:rsidR="005B2E75" w:rsidRPr="00662C5B">
        <w:rPr>
          <w:noProof/>
          <w:lang w:val="en-US"/>
        </w:rPr>
        <w:t>1 December 2014</w:t>
      </w:r>
      <w:r w:rsidRPr="00662C5B">
        <w:rPr>
          <w:noProof/>
          <w:lang w:val="en-US"/>
        </w:rPr>
        <w:t xml:space="preserve"> (initial submission)</w:t>
      </w:r>
    </w:p>
    <w:p w14:paraId="381BFDD7" w14:textId="77777777" w:rsidR="00990482" w:rsidRPr="00662C5B" w:rsidRDefault="00990482" w:rsidP="00D57E94">
      <w:pPr>
        <w:pStyle w:val="SingleTxtG"/>
        <w:ind w:left="4536" w:hanging="3402"/>
        <w:jc w:val="left"/>
        <w:rPr>
          <w:noProof/>
          <w:lang w:val="en-US"/>
        </w:rPr>
      </w:pPr>
      <w:r w:rsidRPr="00662C5B">
        <w:rPr>
          <w:i/>
          <w:noProof/>
          <w:lang w:val="en-US"/>
        </w:rPr>
        <w:t>Document references:</w:t>
      </w:r>
      <w:r w:rsidRPr="00662C5B">
        <w:rPr>
          <w:noProof/>
          <w:lang w:val="en-US"/>
        </w:rPr>
        <w:tab/>
      </w:r>
      <w:r w:rsidR="00D57E94" w:rsidRPr="00662C5B">
        <w:rPr>
          <w:noProof/>
          <w:lang w:val="en-US"/>
        </w:rPr>
        <w:t xml:space="preserve">Decision taken pursuant to rule 97 of the Committee’s rules of procedure, transmitted to the State party on </w:t>
      </w:r>
      <w:r w:rsidR="005B2E75" w:rsidRPr="00662C5B">
        <w:rPr>
          <w:noProof/>
          <w:lang w:val="en-US"/>
        </w:rPr>
        <w:t>9 December 2014</w:t>
      </w:r>
      <w:r w:rsidR="00D57E94" w:rsidRPr="00662C5B">
        <w:rPr>
          <w:noProof/>
          <w:lang w:val="en-US"/>
        </w:rPr>
        <w:t xml:space="preserve"> (not issued in document form)</w:t>
      </w:r>
    </w:p>
    <w:p w14:paraId="24E60357" w14:textId="19C1CA52" w:rsidR="006F3851" w:rsidRPr="00662C5B" w:rsidRDefault="00990482" w:rsidP="00850B7F">
      <w:pPr>
        <w:pStyle w:val="SingleTxtG"/>
        <w:ind w:left="4536" w:hanging="3402"/>
        <w:jc w:val="left"/>
        <w:rPr>
          <w:noProof/>
          <w:lang w:val="en-US"/>
        </w:rPr>
      </w:pPr>
      <w:r w:rsidRPr="00662C5B">
        <w:rPr>
          <w:i/>
          <w:noProof/>
          <w:lang w:val="en-US"/>
        </w:rPr>
        <w:t xml:space="preserve">Date of adoption of </w:t>
      </w:r>
      <w:r w:rsidR="006F3851" w:rsidRPr="00662C5B">
        <w:rPr>
          <w:i/>
          <w:noProof/>
          <w:lang w:val="en-US"/>
        </w:rPr>
        <w:t>V</w:t>
      </w:r>
      <w:r w:rsidRPr="00662C5B">
        <w:rPr>
          <w:i/>
          <w:noProof/>
          <w:lang w:val="en-US"/>
        </w:rPr>
        <w:t>iews:</w:t>
      </w:r>
      <w:r w:rsidRPr="00662C5B">
        <w:rPr>
          <w:noProof/>
          <w:lang w:val="en-US"/>
        </w:rPr>
        <w:tab/>
      </w:r>
      <w:r w:rsidR="00F428B5" w:rsidRPr="00662C5B">
        <w:rPr>
          <w:noProof/>
          <w:lang w:val="en-US"/>
        </w:rPr>
        <w:t>8 July</w:t>
      </w:r>
      <w:r w:rsidR="00805CF7" w:rsidRPr="00662C5B">
        <w:rPr>
          <w:noProof/>
          <w:lang w:val="en-US"/>
        </w:rPr>
        <w:t xml:space="preserve"> 2016</w:t>
      </w:r>
    </w:p>
    <w:p w14:paraId="271AD91A" w14:textId="77777777" w:rsidR="00990482" w:rsidRPr="00662C5B" w:rsidRDefault="00990482" w:rsidP="001B4EAF">
      <w:pPr>
        <w:pStyle w:val="SingleTxtG"/>
        <w:ind w:left="4536" w:hanging="3402"/>
        <w:jc w:val="left"/>
        <w:rPr>
          <w:noProof/>
          <w:lang w:val="en-US"/>
        </w:rPr>
      </w:pPr>
      <w:r w:rsidRPr="00662C5B">
        <w:rPr>
          <w:i/>
          <w:iCs/>
          <w:noProof/>
          <w:lang w:val="en-US"/>
        </w:rPr>
        <w:t>Subject matter:</w:t>
      </w:r>
      <w:r w:rsidRPr="00662C5B">
        <w:rPr>
          <w:noProof/>
          <w:lang w:val="en-US"/>
        </w:rPr>
        <w:tab/>
      </w:r>
      <w:r w:rsidR="00805CF7" w:rsidRPr="00662C5B">
        <w:rPr>
          <w:noProof/>
          <w:lang w:val="en-US"/>
        </w:rPr>
        <w:t xml:space="preserve">Deportation to </w:t>
      </w:r>
      <w:r w:rsidR="005B2E75" w:rsidRPr="00662C5B">
        <w:rPr>
          <w:noProof/>
          <w:lang w:val="en-US"/>
        </w:rPr>
        <w:t>Somalia</w:t>
      </w:r>
    </w:p>
    <w:p w14:paraId="4C0792A3" w14:textId="77777777" w:rsidR="00990482" w:rsidRPr="00662C5B" w:rsidRDefault="00990482" w:rsidP="00BB0C52">
      <w:pPr>
        <w:pStyle w:val="SingleTxtG"/>
        <w:ind w:left="4536" w:hanging="3402"/>
        <w:jc w:val="left"/>
        <w:rPr>
          <w:noProof/>
          <w:lang w:val="en-US"/>
        </w:rPr>
      </w:pPr>
      <w:r w:rsidRPr="00662C5B">
        <w:rPr>
          <w:i/>
          <w:iCs/>
          <w:noProof/>
          <w:lang w:val="en-US"/>
        </w:rPr>
        <w:t xml:space="preserve">Procedural issues: </w:t>
      </w:r>
      <w:r w:rsidRPr="00662C5B">
        <w:rPr>
          <w:i/>
          <w:iCs/>
          <w:noProof/>
          <w:lang w:val="en-US"/>
        </w:rPr>
        <w:tab/>
      </w:r>
      <w:r w:rsidR="0021603C" w:rsidRPr="00662C5B">
        <w:rPr>
          <w:noProof/>
          <w:lang w:val="en-US"/>
        </w:rPr>
        <w:t>Substantiation of claims</w:t>
      </w:r>
      <w:r w:rsidR="0009413D" w:rsidRPr="00662C5B">
        <w:rPr>
          <w:noProof/>
          <w:lang w:val="en-US"/>
        </w:rPr>
        <w:t xml:space="preserve"> </w:t>
      </w:r>
    </w:p>
    <w:p w14:paraId="59914909" w14:textId="3A7B5C1E" w:rsidR="00990482" w:rsidRPr="00662C5B" w:rsidRDefault="00990482" w:rsidP="00CF22E2">
      <w:pPr>
        <w:pStyle w:val="SingleTxtG"/>
        <w:ind w:left="4536" w:hanging="3402"/>
        <w:jc w:val="left"/>
        <w:rPr>
          <w:noProof/>
          <w:lang w:val="en-US"/>
        </w:rPr>
      </w:pPr>
      <w:r w:rsidRPr="00662C5B">
        <w:rPr>
          <w:i/>
          <w:iCs/>
          <w:noProof/>
          <w:lang w:val="en-US"/>
        </w:rPr>
        <w:t xml:space="preserve">Substantive issues: </w:t>
      </w:r>
      <w:r w:rsidRPr="00662C5B">
        <w:rPr>
          <w:i/>
          <w:iCs/>
          <w:noProof/>
          <w:lang w:val="en-US"/>
        </w:rPr>
        <w:tab/>
      </w:r>
      <w:r w:rsidR="00805CF7" w:rsidRPr="00662C5B">
        <w:rPr>
          <w:noProof/>
          <w:lang w:val="en-US"/>
        </w:rPr>
        <w:t>Torture</w:t>
      </w:r>
      <w:r w:rsidR="00CF22E2" w:rsidRPr="00662C5B">
        <w:rPr>
          <w:noProof/>
          <w:lang w:val="en-US"/>
        </w:rPr>
        <w:t>;</w:t>
      </w:r>
      <w:r w:rsidR="00805CF7" w:rsidRPr="00662C5B">
        <w:rPr>
          <w:noProof/>
          <w:lang w:val="en-US"/>
        </w:rPr>
        <w:t xml:space="preserve"> cruel, inhuman or degrading treatment or punishment</w:t>
      </w:r>
    </w:p>
    <w:p w14:paraId="35ABC599" w14:textId="2989CACF" w:rsidR="00990482" w:rsidRPr="00662C5B" w:rsidRDefault="00805CF7" w:rsidP="00990482">
      <w:pPr>
        <w:pStyle w:val="SingleTxtG"/>
        <w:ind w:left="4536" w:hanging="3402"/>
        <w:jc w:val="left"/>
        <w:rPr>
          <w:noProof/>
          <w:lang w:val="en-US"/>
        </w:rPr>
      </w:pPr>
      <w:r w:rsidRPr="00662C5B">
        <w:rPr>
          <w:i/>
          <w:iCs/>
          <w:noProof/>
          <w:lang w:val="en-US"/>
        </w:rPr>
        <w:t>Article</w:t>
      </w:r>
      <w:r w:rsidR="009B6FC3" w:rsidRPr="00662C5B">
        <w:rPr>
          <w:i/>
          <w:iCs/>
          <w:noProof/>
          <w:lang w:val="en-US"/>
        </w:rPr>
        <w:t>s</w:t>
      </w:r>
      <w:r w:rsidR="00990482" w:rsidRPr="00662C5B">
        <w:rPr>
          <w:i/>
          <w:iCs/>
          <w:noProof/>
          <w:lang w:val="en-US"/>
        </w:rPr>
        <w:t xml:space="preserve"> of the Covenant:</w:t>
      </w:r>
      <w:r w:rsidR="00990482" w:rsidRPr="00662C5B">
        <w:rPr>
          <w:noProof/>
          <w:lang w:val="en-US"/>
        </w:rPr>
        <w:t xml:space="preserve"> </w:t>
      </w:r>
      <w:r w:rsidR="00990482" w:rsidRPr="00662C5B">
        <w:rPr>
          <w:noProof/>
          <w:lang w:val="en-US"/>
        </w:rPr>
        <w:tab/>
      </w:r>
      <w:r w:rsidRPr="00662C5B">
        <w:rPr>
          <w:noProof/>
          <w:lang w:val="en-US"/>
        </w:rPr>
        <w:t>7</w:t>
      </w:r>
      <w:r w:rsidR="00CF22E2" w:rsidRPr="00662C5B">
        <w:rPr>
          <w:noProof/>
          <w:lang w:val="en-US"/>
        </w:rPr>
        <w:t xml:space="preserve"> and</w:t>
      </w:r>
      <w:r w:rsidR="009B6FC3" w:rsidRPr="00662C5B">
        <w:rPr>
          <w:noProof/>
          <w:lang w:val="en-US"/>
        </w:rPr>
        <w:t xml:space="preserve"> 9</w:t>
      </w:r>
    </w:p>
    <w:p w14:paraId="19C84491" w14:textId="77777777" w:rsidR="000266C9" w:rsidRPr="00662C5B" w:rsidRDefault="00805CF7" w:rsidP="00990482">
      <w:pPr>
        <w:pStyle w:val="SingleTxtG"/>
        <w:ind w:left="4536" w:hanging="3402"/>
        <w:jc w:val="left"/>
        <w:rPr>
          <w:iCs/>
          <w:noProof/>
          <w:lang w:val="en-US"/>
        </w:rPr>
      </w:pPr>
      <w:r w:rsidRPr="00662C5B">
        <w:rPr>
          <w:i/>
          <w:iCs/>
          <w:noProof/>
          <w:lang w:val="en-US"/>
        </w:rPr>
        <w:t>Article</w:t>
      </w:r>
      <w:r w:rsidR="00990482" w:rsidRPr="00662C5B">
        <w:rPr>
          <w:i/>
          <w:iCs/>
          <w:noProof/>
          <w:lang w:val="en-US"/>
        </w:rPr>
        <w:t xml:space="preserve"> of the Optional Protocol:</w:t>
      </w:r>
      <w:r w:rsidR="00990482" w:rsidRPr="00662C5B">
        <w:rPr>
          <w:i/>
          <w:iCs/>
          <w:noProof/>
          <w:lang w:val="en-US"/>
        </w:rPr>
        <w:tab/>
      </w:r>
      <w:r w:rsidRPr="00662C5B">
        <w:rPr>
          <w:iCs/>
          <w:noProof/>
          <w:lang w:val="en-US"/>
        </w:rPr>
        <w:t>2</w:t>
      </w:r>
    </w:p>
    <w:p w14:paraId="32FB3B2E" w14:textId="26362DDC" w:rsidR="008C289F" w:rsidRPr="00662C5B" w:rsidRDefault="008C289F" w:rsidP="008C289F">
      <w:pPr>
        <w:pStyle w:val="SingleTxtG"/>
        <w:rPr>
          <w:noProof/>
          <w:lang w:val="en-US"/>
        </w:rPr>
      </w:pPr>
    </w:p>
    <w:p w14:paraId="6B1A18A5" w14:textId="6CA1F6BE" w:rsidR="008C289F" w:rsidRPr="00662C5B" w:rsidRDefault="00990482" w:rsidP="00CE31EA">
      <w:pPr>
        <w:pStyle w:val="SingleTxtG"/>
        <w:rPr>
          <w:noProof/>
          <w:lang w:val="en-US"/>
        </w:rPr>
      </w:pPr>
      <w:r w:rsidRPr="00662C5B">
        <w:rPr>
          <w:noProof/>
          <w:lang w:val="en-US"/>
        </w:rPr>
        <w:t>1.</w:t>
      </w:r>
      <w:r w:rsidR="008C289F" w:rsidRPr="00662C5B">
        <w:rPr>
          <w:noProof/>
          <w:lang w:val="en-US"/>
        </w:rPr>
        <w:t>1</w:t>
      </w:r>
      <w:r w:rsidRPr="00662C5B">
        <w:rPr>
          <w:noProof/>
          <w:lang w:val="en-US"/>
        </w:rPr>
        <w:tab/>
      </w:r>
      <w:r w:rsidR="008C289F" w:rsidRPr="00662C5B">
        <w:rPr>
          <w:noProof/>
          <w:lang w:val="en-US"/>
        </w:rPr>
        <w:t>The author of the communication</w:t>
      </w:r>
      <w:r w:rsidR="006867D4" w:rsidRPr="00662C5B">
        <w:rPr>
          <w:noProof/>
          <w:lang w:val="en-US"/>
        </w:rPr>
        <w:t xml:space="preserve"> </w:t>
      </w:r>
      <w:r w:rsidR="00826BAF" w:rsidRPr="00662C5B">
        <w:rPr>
          <w:noProof/>
          <w:lang w:val="en-US"/>
        </w:rPr>
        <w:t>is</w:t>
      </w:r>
      <w:r w:rsidR="006867D4" w:rsidRPr="00662C5B">
        <w:rPr>
          <w:noProof/>
          <w:lang w:val="en-US"/>
        </w:rPr>
        <w:t xml:space="preserve"> </w:t>
      </w:r>
      <w:r w:rsidR="003679D3" w:rsidRPr="00662C5B">
        <w:rPr>
          <w:noProof/>
          <w:lang w:val="en-US"/>
        </w:rPr>
        <w:t>A.H.A</w:t>
      </w:r>
      <w:r w:rsidR="0042658E" w:rsidRPr="00662C5B">
        <w:rPr>
          <w:noProof/>
          <w:lang w:val="en-US"/>
        </w:rPr>
        <w:t>.,</w:t>
      </w:r>
      <w:r w:rsidR="003679D3" w:rsidRPr="00662C5B">
        <w:rPr>
          <w:noProof/>
          <w:lang w:val="en-US"/>
        </w:rPr>
        <w:t xml:space="preserve"> </w:t>
      </w:r>
      <w:r w:rsidR="00826BAF" w:rsidRPr="00662C5B">
        <w:rPr>
          <w:noProof/>
          <w:lang w:val="en-US"/>
        </w:rPr>
        <w:t>a</w:t>
      </w:r>
      <w:r w:rsidR="008C289F" w:rsidRPr="00662C5B">
        <w:rPr>
          <w:noProof/>
          <w:lang w:val="en-US"/>
        </w:rPr>
        <w:t xml:space="preserve"> Somali national</w:t>
      </w:r>
      <w:r w:rsidR="003679D3" w:rsidRPr="00662C5B">
        <w:rPr>
          <w:noProof/>
          <w:lang w:val="en-US"/>
        </w:rPr>
        <w:t xml:space="preserve"> </w:t>
      </w:r>
      <w:r w:rsidR="00282E27" w:rsidRPr="00662C5B">
        <w:rPr>
          <w:noProof/>
          <w:lang w:val="en-US"/>
        </w:rPr>
        <w:t>from Qoryooley,</w:t>
      </w:r>
      <w:r w:rsidR="009B6FC3" w:rsidRPr="00662C5B">
        <w:rPr>
          <w:noProof/>
          <w:lang w:val="en-US"/>
        </w:rPr>
        <w:t xml:space="preserve"> </w:t>
      </w:r>
      <w:r w:rsidR="003679D3" w:rsidRPr="00662C5B">
        <w:rPr>
          <w:noProof/>
          <w:lang w:val="en-US"/>
        </w:rPr>
        <w:t xml:space="preserve">born </w:t>
      </w:r>
      <w:r w:rsidR="00E00CCC" w:rsidRPr="00662C5B">
        <w:rPr>
          <w:noProof/>
          <w:lang w:val="en-US"/>
        </w:rPr>
        <w:t>in</w:t>
      </w:r>
      <w:r w:rsidR="003679D3" w:rsidRPr="00662C5B">
        <w:rPr>
          <w:noProof/>
          <w:lang w:val="en-US"/>
        </w:rPr>
        <w:t xml:space="preserve"> 1986. </w:t>
      </w:r>
      <w:r w:rsidR="008C289F" w:rsidRPr="00662C5B">
        <w:rPr>
          <w:noProof/>
          <w:lang w:val="en-US"/>
        </w:rPr>
        <w:t>The author</w:t>
      </w:r>
      <w:r w:rsidR="00021868" w:rsidRPr="00662C5B">
        <w:rPr>
          <w:noProof/>
          <w:lang w:val="en-US"/>
        </w:rPr>
        <w:t xml:space="preserve"> </w:t>
      </w:r>
      <w:r w:rsidR="003679D3" w:rsidRPr="00662C5B">
        <w:rPr>
          <w:noProof/>
          <w:lang w:val="en-US"/>
        </w:rPr>
        <w:t>is</w:t>
      </w:r>
      <w:r w:rsidR="008C289F" w:rsidRPr="00662C5B">
        <w:rPr>
          <w:noProof/>
          <w:lang w:val="en-US"/>
        </w:rPr>
        <w:t xml:space="preserve"> subject to deportation to </w:t>
      </w:r>
      <w:r w:rsidR="003679D3" w:rsidRPr="00662C5B">
        <w:rPr>
          <w:noProof/>
          <w:lang w:val="en-US"/>
        </w:rPr>
        <w:t>Somalia</w:t>
      </w:r>
      <w:r w:rsidR="008C289F" w:rsidRPr="00662C5B">
        <w:rPr>
          <w:noProof/>
          <w:lang w:val="en-US"/>
        </w:rPr>
        <w:t xml:space="preserve">, following the </w:t>
      </w:r>
      <w:r w:rsidR="003839BA" w:rsidRPr="00662C5B">
        <w:rPr>
          <w:noProof/>
          <w:lang w:val="en-US"/>
        </w:rPr>
        <w:t xml:space="preserve">rejection </w:t>
      </w:r>
      <w:r w:rsidR="008C289F" w:rsidRPr="00662C5B">
        <w:rPr>
          <w:noProof/>
          <w:lang w:val="en-US"/>
        </w:rPr>
        <w:t xml:space="preserve">of </w:t>
      </w:r>
      <w:r w:rsidR="003679D3" w:rsidRPr="00662C5B">
        <w:rPr>
          <w:noProof/>
          <w:lang w:val="en-US"/>
        </w:rPr>
        <w:t>his</w:t>
      </w:r>
      <w:r w:rsidR="008C289F" w:rsidRPr="00662C5B">
        <w:rPr>
          <w:noProof/>
          <w:lang w:val="en-US"/>
        </w:rPr>
        <w:t xml:space="preserve"> application for </w:t>
      </w:r>
      <w:r w:rsidR="00BD6142" w:rsidRPr="00662C5B">
        <w:rPr>
          <w:noProof/>
          <w:lang w:val="en-US"/>
        </w:rPr>
        <w:t>asylum</w:t>
      </w:r>
      <w:r w:rsidR="008C289F" w:rsidRPr="00662C5B">
        <w:rPr>
          <w:noProof/>
          <w:lang w:val="en-US"/>
        </w:rPr>
        <w:t xml:space="preserve"> in Denmark. The</w:t>
      </w:r>
      <w:r w:rsidR="00021868" w:rsidRPr="00662C5B">
        <w:rPr>
          <w:noProof/>
          <w:lang w:val="en-US"/>
        </w:rPr>
        <w:t xml:space="preserve"> author</w:t>
      </w:r>
      <w:r w:rsidR="008C289F" w:rsidRPr="00662C5B">
        <w:rPr>
          <w:noProof/>
          <w:lang w:val="en-US"/>
        </w:rPr>
        <w:t xml:space="preserve"> claim</w:t>
      </w:r>
      <w:r w:rsidR="00021868" w:rsidRPr="00662C5B">
        <w:rPr>
          <w:noProof/>
          <w:lang w:val="en-US"/>
        </w:rPr>
        <w:t>s</w:t>
      </w:r>
      <w:r w:rsidR="008C289F" w:rsidRPr="00662C5B">
        <w:rPr>
          <w:noProof/>
          <w:lang w:val="en-US"/>
        </w:rPr>
        <w:t xml:space="preserve"> that by forcibly deporting </w:t>
      </w:r>
      <w:r w:rsidR="003679D3" w:rsidRPr="00662C5B">
        <w:rPr>
          <w:noProof/>
          <w:lang w:val="en-US"/>
        </w:rPr>
        <w:t>him to Somalia</w:t>
      </w:r>
      <w:r w:rsidR="008C289F" w:rsidRPr="00662C5B">
        <w:rPr>
          <w:noProof/>
          <w:lang w:val="en-US"/>
        </w:rPr>
        <w:t xml:space="preserve">, Denmark would </w:t>
      </w:r>
      <w:r w:rsidR="00D05C78" w:rsidRPr="00662C5B">
        <w:rPr>
          <w:noProof/>
          <w:lang w:val="en-US"/>
        </w:rPr>
        <w:t xml:space="preserve">be </w:t>
      </w:r>
      <w:r w:rsidR="008C289F" w:rsidRPr="00662C5B">
        <w:rPr>
          <w:noProof/>
          <w:lang w:val="en-US"/>
        </w:rPr>
        <w:t>violat</w:t>
      </w:r>
      <w:r w:rsidR="00D05C78" w:rsidRPr="00662C5B">
        <w:rPr>
          <w:noProof/>
          <w:lang w:val="en-US"/>
        </w:rPr>
        <w:t>ing</w:t>
      </w:r>
      <w:r w:rsidR="008C289F" w:rsidRPr="00662C5B">
        <w:rPr>
          <w:noProof/>
          <w:lang w:val="en-US"/>
        </w:rPr>
        <w:t xml:space="preserve"> </w:t>
      </w:r>
      <w:r w:rsidR="003679D3" w:rsidRPr="00662C5B">
        <w:rPr>
          <w:noProof/>
          <w:lang w:val="en-US"/>
        </w:rPr>
        <w:t>his</w:t>
      </w:r>
      <w:r w:rsidR="008C289F" w:rsidRPr="00662C5B">
        <w:rPr>
          <w:noProof/>
          <w:lang w:val="en-US"/>
        </w:rPr>
        <w:t xml:space="preserve"> rights under article</w:t>
      </w:r>
      <w:r w:rsidR="003679D3" w:rsidRPr="00662C5B">
        <w:rPr>
          <w:noProof/>
          <w:lang w:val="en-US"/>
        </w:rPr>
        <w:t>s</w:t>
      </w:r>
      <w:r w:rsidR="008C289F" w:rsidRPr="00662C5B">
        <w:rPr>
          <w:noProof/>
          <w:lang w:val="en-US"/>
        </w:rPr>
        <w:t xml:space="preserve"> 7</w:t>
      </w:r>
      <w:r w:rsidR="003679D3" w:rsidRPr="00662C5B">
        <w:rPr>
          <w:noProof/>
          <w:lang w:val="en-US"/>
        </w:rPr>
        <w:t xml:space="preserve"> and 9</w:t>
      </w:r>
      <w:r w:rsidR="008C289F" w:rsidRPr="00662C5B">
        <w:rPr>
          <w:noProof/>
          <w:lang w:val="en-US"/>
        </w:rPr>
        <w:t xml:space="preserve"> of the </w:t>
      </w:r>
      <w:r w:rsidR="00D05C78" w:rsidRPr="00662C5B">
        <w:rPr>
          <w:noProof/>
          <w:lang w:val="en-US"/>
        </w:rPr>
        <w:t>Covenant</w:t>
      </w:r>
      <w:r w:rsidR="008C289F" w:rsidRPr="00662C5B">
        <w:rPr>
          <w:noProof/>
          <w:lang w:val="en-US"/>
        </w:rPr>
        <w:t xml:space="preserve">. The author </w:t>
      </w:r>
      <w:r w:rsidR="00021868" w:rsidRPr="00662C5B">
        <w:rPr>
          <w:noProof/>
          <w:lang w:val="en-US"/>
        </w:rPr>
        <w:t>is</w:t>
      </w:r>
      <w:r w:rsidR="008C289F" w:rsidRPr="00662C5B">
        <w:rPr>
          <w:noProof/>
          <w:lang w:val="en-US"/>
        </w:rPr>
        <w:t xml:space="preserve"> represented by </w:t>
      </w:r>
      <w:r w:rsidR="003679D3" w:rsidRPr="00662C5B">
        <w:rPr>
          <w:noProof/>
          <w:lang w:val="en-US"/>
        </w:rPr>
        <w:t>counsel</w:t>
      </w:r>
      <w:r w:rsidR="008C289F" w:rsidRPr="00662C5B">
        <w:rPr>
          <w:noProof/>
          <w:lang w:val="en-US"/>
        </w:rPr>
        <w:t xml:space="preserve">. The Optional Protocol entered into force for </w:t>
      </w:r>
      <w:r w:rsidR="00D05C78" w:rsidRPr="00662C5B">
        <w:rPr>
          <w:noProof/>
          <w:lang w:val="en-US"/>
        </w:rPr>
        <w:t xml:space="preserve">the State party </w:t>
      </w:r>
      <w:r w:rsidR="008C289F" w:rsidRPr="00662C5B">
        <w:rPr>
          <w:noProof/>
          <w:lang w:val="en-US"/>
        </w:rPr>
        <w:t>on 23 March 1976.</w:t>
      </w:r>
    </w:p>
    <w:p w14:paraId="63304FF9" w14:textId="1C83C492" w:rsidR="008C289F" w:rsidRPr="00662C5B" w:rsidRDefault="008C289F" w:rsidP="00CE31EA">
      <w:pPr>
        <w:pStyle w:val="SingleTxtG"/>
        <w:rPr>
          <w:noProof/>
          <w:lang w:val="en-US"/>
        </w:rPr>
      </w:pPr>
      <w:r w:rsidRPr="00662C5B">
        <w:rPr>
          <w:noProof/>
          <w:lang w:val="en-US"/>
        </w:rPr>
        <w:lastRenderedPageBreak/>
        <w:t>1.2</w:t>
      </w:r>
      <w:r w:rsidRPr="00662C5B">
        <w:rPr>
          <w:noProof/>
          <w:lang w:val="en-US"/>
        </w:rPr>
        <w:tab/>
        <w:t xml:space="preserve">On </w:t>
      </w:r>
      <w:r w:rsidR="003679D3" w:rsidRPr="00662C5B">
        <w:rPr>
          <w:noProof/>
          <w:lang w:val="en-US"/>
        </w:rPr>
        <w:t>9 December 2014</w:t>
      </w:r>
      <w:r w:rsidRPr="00662C5B">
        <w:rPr>
          <w:noProof/>
          <w:lang w:val="en-US"/>
        </w:rPr>
        <w:t xml:space="preserve">, pursuant to rule 92 of </w:t>
      </w:r>
      <w:r w:rsidR="00150259" w:rsidRPr="00662C5B">
        <w:rPr>
          <w:noProof/>
          <w:lang w:val="en-US"/>
        </w:rPr>
        <w:t>its</w:t>
      </w:r>
      <w:r w:rsidRPr="00662C5B">
        <w:rPr>
          <w:noProof/>
          <w:lang w:val="en-US"/>
        </w:rPr>
        <w:t xml:space="preserve"> rules of procedure, the Committee, acting through its Special Rapporteur on new communications and interim measures, requested the State party not to deport the author to </w:t>
      </w:r>
      <w:r w:rsidR="003679D3" w:rsidRPr="00662C5B">
        <w:rPr>
          <w:noProof/>
          <w:lang w:val="en-US"/>
        </w:rPr>
        <w:t>Somalia</w:t>
      </w:r>
      <w:r w:rsidRPr="00662C5B">
        <w:rPr>
          <w:noProof/>
          <w:lang w:val="en-US"/>
        </w:rPr>
        <w:t xml:space="preserve"> while </w:t>
      </w:r>
      <w:r w:rsidR="003679D3" w:rsidRPr="00662C5B">
        <w:rPr>
          <w:noProof/>
          <w:lang w:val="en-US"/>
        </w:rPr>
        <w:t>his</w:t>
      </w:r>
      <w:r w:rsidRPr="00662C5B">
        <w:rPr>
          <w:noProof/>
          <w:lang w:val="en-US"/>
        </w:rPr>
        <w:t xml:space="preserve"> case was under consideration by the Committee. </w:t>
      </w:r>
    </w:p>
    <w:p w14:paraId="4F790229" w14:textId="03075CA4" w:rsidR="00990482" w:rsidRPr="00662C5B" w:rsidRDefault="008C289F" w:rsidP="00CE31EA">
      <w:pPr>
        <w:pStyle w:val="SingleTxtG"/>
        <w:rPr>
          <w:noProof/>
          <w:lang w:val="en-US"/>
        </w:rPr>
      </w:pPr>
      <w:r w:rsidRPr="00662C5B">
        <w:rPr>
          <w:noProof/>
          <w:lang w:val="en-US"/>
        </w:rPr>
        <w:t>1.3</w:t>
      </w:r>
      <w:r w:rsidRPr="00662C5B">
        <w:rPr>
          <w:noProof/>
          <w:lang w:val="en-US"/>
        </w:rPr>
        <w:tab/>
        <w:t xml:space="preserve">On </w:t>
      </w:r>
      <w:r w:rsidR="00D05524" w:rsidRPr="00662C5B">
        <w:rPr>
          <w:noProof/>
          <w:lang w:val="en-US"/>
        </w:rPr>
        <w:t>8 October</w:t>
      </w:r>
      <w:r w:rsidRPr="00662C5B">
        <w:rPr>
          <w:noProof/>
          <w:lang w:val="en-US"/>
        </w:rPr>
        <w:t xml:space="preserve"> 2015</w:t>
      </w:r>
      <w:r w:rsidR="00F76406" w:rsidRPr="00662C5B">
        <w:rPr>
          <w:noProof/>
          <w:lang w:val="en-US"/>
        </w:rPr>
        <w:t>,</w:t>
      </w:r>
      <w:r w:rsidRPr="00662C5B">
        <w:rPr>
          <w:noProof/>
          <w:lang w:val="en-US"/>
        </w:rPr>
        <w:t xml:space="preserve"> the Committee, acting through its Special Rapporteur on new communications and interim measures, denied the State party’s request </w:t>
      </w:r>
      <w:r w:rsidR="00AE4060" w:rsidRPr="00662C5B">
        <w:rPr>
          <w:noProof/>
          <w:lang w:val="en-US"/>
        </w:rPr>
        <w:t>for</w:t>
      </w:r>
      <w:r w:rsidRPr="00662C5B">
        <w:rPr>
          <w:noProof/>
          <w:lang w:val="en-US"/>
        </w:rPr>
        <w:t xml:space="preserve"> the interim measures</w:t>
      </w:r>
      <w:r w:rsidR="003839BA" w:rsidRPr="00662C5B">
        <w:rPr>
          <w:noProof/>
          <w:lang w:val="en-US"/>
        </w:rPr>
        <w:t xml:space="preserve"> request</w:t>
      </w:r>
      <w:r w:rsidR="00AE4060" w:rsidRPr="00662C5B">
        <w:rPr>
          <w:noProof/>
          <w:lang w:val="en-US"/>
        </w:rPr>
        <w:t xml:space="preserve"> to be lifted</w:t>
      </w:r>
      <w:r w:rsidR="007A3690" w:rsidRPr="00662C5B">
        <w:rPr>
          <w:noProof/>
          <w:lang w:val="en-US"/>
        </w:rPr>
        <w:t>.</w:t>
      </w:r>
    </w:p>
    <w:p w14:paraId="7054BEA6" w14:textId="4C79BD3E" w:rsidR="0017767A" w:rsidRPr="00662C5B" w:rsidRDefault="00C618A7" w:rsidP="00CE31EA">
      <w:pPr>
        <w:pStyle w:val="H23G"/>
        <w:rPr>
          <w:noProof/>
          <w:lang w:val="en-US"/>
        </w:rPr>
      </w:pPr>
      <w:r w:rsidRPr="00662C5B">
        <w:rPr>
          <w:noProof/>
          <w:lang w:val="en-US"/>
        </w:rPr>
        <w:tab/>
      </w:r>
      <w:r w:rsidRPr="00662C5B">
        <w:rPr>
          <w:noProof/>
          <w:lang w:val="en-US"/>
        </w:rPr>
        <w:tab/>
      </w:r>
      <w:r w:rsidR="0017767A" w:rsidRPr="00662C5B">
        <w:rPr>
          <w:noProof/>
          <w:lang w:val="en-US"/>
        </w:rPr>
        <w:t xml:space="preserve">The facts as </w:t>
      </w:r>
      <w:r w:rsidR="00AE4060" w:rsidRPr="00662C5B">
        <w:rPr>
          <w:noProof/>
          <w:lang w:val="en-US"/>
        </w:rPr>
        <w:t xml:space="preserve">submitted </w:t>
      </w:r>
      <w:r w:rsidR="0017767A" w:rsidRPr="00662C5B">
        <w:rPr>
          <w:noProof/>
          <w:lang w:val="en-US"/>
        </w:rPr>
        <w:t xml:space="preserve">by the author </w:t>
      </w:r>
    </w:p>
    <w:p w14:paraId="7E22EBC0" w14:textId="035D85C0" w:rsidR="003C65E1" w:rsidRPr="00662C5B" w:rsidRDefault="003C65E1" w:rsidP="0024063F">
      <w:pPr>
        <w:pStyle w:val="SingleTxtG"/>
        <w:rPr>
          <w:noProof/>
          <w:lang w:val="en-US"/>
        </w:rPr>
      </w:pPr>
      <w:r w:rsidRPr="00662C5B">
        <w:rPr>
          <w:noProof/>
          <w:lang w:val="en-US"/>
        </w:rPr>
        <w:t>2.1</w:t>
      </w:r>
      <w:r w:rsidRPr="00662C5B">
        <w:rPr>
          <w:noProof/>
          <w:lang w:val="en-US"/>
        </w:rPr>
        <w:tab/>
        <w:t>The author belongs to the minority Ashraf clan and was born in Qoryooley</w:t>
      </w:r>
      <w:r w:rsidR="00A265DE" w:rsidRPr="00662C5B">
        <w:rPr>
          <w:noProof/>
          <w:lang w:val="en-US"/>
        </w:rPr>
        <w:t>, Somalia</w:t>
      </w:r>
      <w:r w:rsidRPr="00662C5B">
        <w:rPr>
          <w:noProof/>
          <w:lang w:val="en-US"/>
        </w:rPr>
        <w:t xml:space="preserve">. The area </w:t>
      </w:r>
      <w:r w:rsidR="00F850BD" w:rsidRPr="00662C5B">
        <w:rPr>
          <w:noProof/>
          <w:lang w:val="en-US"/>
        </w:rPr>
        <w:t xml:space="preserve">in which </w:t>
      </w:r>
      <w:r w:rsidRPr="00662C5B">
        <w:rPr>
          <w:noProof/>
          <w:lang w:val="en-US"/>
        </w:rPr>
        <w:t>Qoryooley is located has been attacked by</w:t>
      </w:r>
      <w:r w:rsidR="00BD6142" w:rsidRPr="00662C5B">
        <w:rPr>
          <w:noProof/>
          <w:lang w:val="en-US"/>
        </w:rPr>
        <w:t xml:space="preserve"> </w:t>
      </w:r>
      <w:r w:rsidR="00C122F9" w:rsidRPr="00662C5B">
        <w:rPr>
          <w:noProof/>
          <w:lang w:val="en-US"/>
        </w:rPr>
        <w:t>Al-Shabaab</w:t>
      </w:r>
      <w:r w:rsidRPr="00662C5B">
        <w:rPr>
          <w:noProof/>
          <w:lang w:val="en-US"/>
        </w:rPr>
        <w:t xml:space="preserve"> for a long period of time</w:t>
      </w:r>
      <w:r w:rsidR="007A3690" w:rsidRPr="00662C5B">
        <w:rPr>
          <w:noProof/>
          <w:lang w:val="en-US"/>
        </w:rPr>
        <w:t>.</w:t>
      </w:r>
      <w:r w:rsidRPr="00662C5B">
        <w:rPr>
          <w:noProof/>
          <w:lang w:val="en-US"/>
        </w:rPr>
        <w:t xml:space="preserve"> Even though Qoryooley </w:t>
      </w:r>
      <w:r w:rsidR="00C122F9" w:rsidRPr="00662C5B">
        <w:rPr>
          <w:noProof/>
          <w:lang w:val="en-US"/>
        </w:rPr>
        <w:t>was</w:t>
      </w:r>
      <w:r w:rsidRPr="00662C5B">
        <w:rPr>
          <w:noProof/>
          <w:lang w:val="en-US"/>
        </w:rPr>
        <w:t xml:space="preserve"> officially liberated from </w:t>
      </w:r>
      <w:r w:rsidR="00C122F9" w:rsidRPr="00662C5B">
        <w:rPr>
          <w:noProof/>
          <w:lang w:val="en-US"/>
        </w:rPr>
        <w:t>Al-Shabaab</w:t>
      </w:r>
      <w:r w:rsidRPr="00662C5B">
        <w:rPr>
          <w:noProof/>
          <w:lang w:val="en-US"/>
        </w:rPr>
        <w:t xml:space="preserve"> in March 2014, the author states that the attacks and violence still continue</w:t>
      </w:r>
      <w:r w:rsidR="007A3690" w:rsidRPr="00662C5B">
        <w:rPr>
          <w:noProof/>
          <w:lang w:val="en-US"/>
        </w:rPr>
        <w:t>.</w:t>
      </w:r>
    </w:p>
    <w:p w14:paraId="1CBB11EC" w14:textId="7286128F" w:rsidR="003C65E1" w:rsidRPr="00662C5B" w:rsidRDefault="003C65E1" w:rsidP="0024063F">
      <w:pPr>
        <w:pStyle w:val="SingleTxtG"/>
        <w:rPr>
          <w:noProof/>
          <w:lang w:val="en-US"/>
        </w:rPr>
      </w:pPr>
      <w:r w:rsidRPr="00662C5B">
        <w:rPr>
          <w:noProof/>
          <w:lang w:val="en-US"/>
        </w:rPr>
        <w:t>2.2.</w:t>
      </w:r>
      <w:r w:rsidRPr="00662C5B">
        <w:rPr>
          <w:noProof/>
          <w:lang w:val="en-US"/>
        </w:rPr>
        <w:tab/>
      </w:r>
      <w:r w:rsidR="00F444DF" w:rsidRPr="00662C5B">
        <w:rPr>
          <w:noProof/>
          <w:lang w:val="en-US"/>
        </w:rPr>
        <w:t xml:space="preserve">The author’s father owned several </w:t>
      </w:r>
      <w:r w:rsidR="003839BA" w:rsidRPr="00662C5B">
        <w:rPr>
          <w:noProof/>
          <w:lang w:val="en-US"/>
        </w:rPr>
        <w:t>plots</w:t>
      </w:r>
      <w:r w:rsidR="00F444DF" w:rsidRPr="00662C5B">
        <w:rPr>
          <w:noProof/>
          <w:lang w:val="en-US"/>
        </w:rPr>
        <w:t xml:space="preserve"> of land. One of the </w:t>
      </w:r>
      <w:r w:rsidR="003839BA" w:rsidRPr="00662C5B">
        <w:rPr>
          <w:noProof/>
          <w:lang w:val="en-US"/>
        </w:rPr>
        <w:t>plots</w:t>
      </w:r>
      <w:r w:rsidR="00F444DF" w:rsidRPr="00662C5B">
        <w:rPr>
          <w:noProof/>
          <w:lang w:val="en-US"/>
        </w:rPr>
        <w:t xml:space="preserve"> was taken from the father by another clan, </w:t>
      </w:r>
      <w:r w:rsidR="0070677D" w:rsidRPr="00662C5B">
        <w:rPr>
          <w:noProof/>
          <w:lang w:val="en-US"/>
        </w:rPr>
        <w:t xml:space="preserve">the </w:t>
      </w:r>
      <w:r w:rsidR="00F444DF" w:rsidRPr="00662C5B">
        <w:rPr>
          <w:noProof/>
          <w:lang w:val="en-US"/>
        </w:rPr>
        <w:t xml:space="preserve">Habar Gidir, some 12 years before </w:t>
      </w:r>
      <w:r w:rsidR="00C122F9" w:rsidRPr="00662C5B">
        <w:rPr>
          <w:noProof/>
          <w:lang w:val="en-US"/>
        </w:rPr>
        <w:t>Al-Shabaab</w:t>
      </w:r>
      <w:r w:rsidR="007A3690" w:rsidRPr="00662C5B">
        <w:rPr>
          <w:rStyle w:val="FootnoteReference"/>
          <w:noProof/>
          <w:lang w:val="en-US"/>
        </w:rPr>
        <w:t xml:space="preserve"> </w:t>
      </w:r>
      <w:r w:rsidR="00F444DF" w:rsidRPr="00662C5B">
        <w:rPr>
          <w:noProof/>
          <w:lang w:val="en-US"/>
        </w:rPr>
        <w:t>came to th</w:t>
      </w:r>
      <w:r w:rsidR="0070677D" w:rsidRPr="00662C5B">
        <w:rPr>
          <w:noProof/>
          <w:lang w:val="en-US"/>
        </w:rPr>
        <w:t>e</w:t>
      </w:r>
      <w:r w:rsidR="00F444DF" w:rsidRPr="00662C5B">
        <w:rPr>
          <w:noProof/>
          <w:lang w:val="en-US"/>
        </w:rPr>
        <w:t xml:space="preserve"> area</w:t>
      </w:r>
      <w:r w:rsidR="007A3690" w:rsidRPr="00662C5B">
        <w:rPr>
          <w:noProof/>
          <w:lang w:val="en-US"/>
        </w:rPr>
        <w:t>.</w:t>
      </w:r>
      <w:r w:rsidR="00F444DF" w:rsidRPr="00662C5B">
        <w:rPr>
          <w:noProof/>
          <w:lang w:val="en-US"/>
        </w:rPr>
        <w:t xml:space="preserve"> </w:t>
      </w:r>
      <w:r w:rsidRPr="00662C5B">
        <w:rPr>
          <w:noProof/>
          <w:lang w:val="en-US"/>
        </w:rPr>
        <w:t xml:space="preserve">In February 2011, </w:t>
      </w:r>
      <w:r w:rsidR="00C122F9" w:rsidRPr="00662C5B">
        <w:rPr>
          <w:noProof/>
          <w:lang w:val="en-US"/>
        </w:rPr>
        <w:t>Al-Shabaab</w:t>
      </w:r>
      <w:r w:rsidRPr="00662C5B">
        <w:rPr>
          <w:noProof/>
          <w:lang w:val="en-US"/>
        </w:rPr>
        <w:t xml:space="preserve"> </w:t>
      </w:r>
      <w:r w:rsidR="003839BA" w:rsidRPr="00662C5B">
        <w:rPr>
          <w:noProof/>
          <w:lang w:val="en-US"/>
        </w:rPr>
        <w:t xml:space="preserve">invited the </w:t>
      </w:r>
      <w:r w:rsidRPr="00662C5B">
        <w:rPr>
          <w:noProof/>
          <w:lang w:val="en-US"/>
        </w:rPr>
        <w:t xml:space="preserve">author’s father </w:t>
      </w:r>
      <w:r w:rsidR="00F444DF" w:rsidRPr="00662C5B">
        <w:rPr>
          <w:noProof/>
          <w:lang w:val="en-US"/>
        </w:rPr>
        <w:t>to pay</w:t>
      </w:r>
      <w:r w:rsidRPr="00662C5B">
        <w:rPr>
          <w:noProof/>
          <w:lang w:val="en-US"/>
        </w:rPr>
        <w:t xml:space="preserve"> a large amount of money</w:t>
      </w:r>
      <w:r w:rsidR="00F444DF" w:rsidRPr="00662C5B">
        <w:rPr>
          <w:noProof/>
          <w:lang w:val="en-US"/>
        </w:rPr>
        <w:t xml:space="preserve"> </w:t>
      </w:r>
      <w:r w:rsidR="00F850BD" w:rsidRPr="00662C5B">
        <w:rPr>
          <w:noProof/>
          <w:lang w:val="en-US"/>
        </w:rPr>
        <w:t xml:space="preserve">in order </w:t>
      </w:r>
      <w:r w:rsidR="003839BA" w:rsidRPr="00662C5B">
        <w:rPr>
          <w:noProof/>
          <w:lang w:val="en-US"/>
        </w:rPr>
        <w:t xml:space="preserve">not to be </w:t>
      </w:r>
      <w:r w:rsidR="009C3382" w:rsidRPr="00662C5B">
        <w:rPr>
          <w:noProof/>
          <w:lang w:val="en-US"/>
        </w:rPr>
        <w:t>disturbed</w:t>
      </w:r>
      <w:r w:rsidR="007A3690" w:rsidRPr="00662C5B">
        <w:rPr>
          <w:noProof/>
          <w:lang w:val="en-US"/>
        </w:rPr>
        <w:t>.</w:t>
      </w:r>
      <w:r w:rsidRPr="00662C5B">
        <w:rPr>
          <w:noProof/>
          <w:lang w:val="en-US"/>
        </w:rPr>
        <w:t xml:space="preserve"> </w:t>
      </w:r>
      <w:r w:rsidR="00C122F9" w:rsidRPr="00662C5B">
        <w:rPr>
          <w:noProof/>
          <w:lang w:val="en-US"/>
        </w:rPr>
        <w:t xml:space="preserve">When </w:t>
      </w:r>
      <w:r w:rsidRPr="00662C5B">
        <w:rPr>
          <w:noProof/>
          <w:lang w:val="en-US"/>
        </w:rPr>
        <w:t xml:space="preserve">his father </w:t>
      </w:r>
      <w:r w:rsidR="003839BA" w:rsidRPr="00662C5B">
        <w:rPr>
          <w:noProof/>
          <w:lang w:val="en-US"/>
        </w:rPr>
        <w:t xml:space="preserve">did </w:t>
      </w:r>
      <w:r w:rsidRPr="00662C5B">
        <w:rPr>
          <w:noProof/>
          <w:lang w:val="en-US"/>
        </w:rPr>
        <w:t>not pay th</w:t>
      </w:r>
      <w:r w:rsidR="003839BA" w:rsidRPr="00662C5B">
        <w:rPr>
          <w:noProof/>
          <w:lang w:val="en-US"/>
        </w:rPr>
        <w:t>e</w:t>
      </w:r>
      <w:r w:rsidRPr="00662C5B">
        <w:rPr>
          <w:noProof/>
          <w:lang w:val="en-US"/>
        </w:rPr>
        <w:t xml:space="preserve"> amount, he was killed by</w:t>
      </w:r>
      <w:r w:rsidR="00F444DF" w:rsidRPr="00662C5B">
        <w:rPr>
          <w:noProof/>
          <w:lang w:val="en-US"/>
        </w:rPr>
        <w:t xml:space="preserve"> </w:t>
      </w:r>
      <w:r w:rsidR="00C122F9" w:rsidRPr="00662C5B">
        <w:rPr>
          <w:noProof/>
          <w:lang w:val="en-US"/>
        </w:rPr>
        <w:t>Al-Shabaab</w:t>
      </w:r>
      <w:r w:rsidR="007A3690" w:rsidRPr="00662C5B">
        <w:rPr>
          <w:noProof/>
          <w:lang w:val="en-US"/>
        </w:rPr>
        <w:t>.</w:t>
      </w:r>
    </w:p>
    <w:p w14:paraId="4FAB573C" w14:textId="64324779" w:rsidR="003C65E1" w:rsidRPr="00662C5B" w:rsidRDefault="003C65E1" w:rsidP="00C618A7">
      <w:pPr>
        <w:pStyle w:val="SingleTxtG"/>
        <w:rPr>
          <w:noProof/>
          <w:lang w:val="en-US"/>
        </w:rPr>
      </w:pPr>
      <w:r w:rsidRPr="00662C5B">
        <w:rPr>
          <w:noProof/>
          <w:lang w:val="en-US"/>
        </w:rPr>
        <w:t>2.3</w:t>
      </w:r>
      <w:r w:rsidRPr="00662C5B">
        <w:rPr>
          <w:noProof/>
          <w:lang w:val="en-US"/>
        </w:rPr>
        <w:tab/>
      </w:r>
      <w:r w:rsidR="001F19CC" w:rsidRPr="00662C5B">
        <w:rPr>
          <w:noProof/>
          <w:lang w:val="en-US"/>
        </w:rPr>
        <w:t>On an unspecified date</w:t>
      </w:r>
      <w:r w:rsidRPr="00662C5B">
        <w:rPr>
          <w:noProof/>
          <w:lang w:val="en-US"/>
        </w:rPr>
        <w:t>,</w:t>
      </w:r>
      <w:r w:rsidR="0070677D" w:rsidRPr="00662C5B">
        <w:rPr>
          <w:noProof/>
          <w:lang w:val="en-US"/>
        </w:rPr>
        <w:t xml:space="preserve"> members of</w:t>
      </w:r>
      <w:r w:rsidRPr="00662C5B">
        <w:rPr>
          <w:noProof/>
          <w:lang w:val="en-US"/>
        </w:rPr>
        <w:t xml:space="preserve"> </w:t>
      </w:r>
      <w:r w:rsidR="00C122F9" w:rsidRPr="00662C5B">
        <w:rPr>
          <w:noProof/>
          <w:lang w:val="en-US"/>
        </w:rPr>
        <w:t>Al-Shabaab</w:t>
      </w:r>
      <w:r w:rsidRPr="00662C5B">
        <w:rPr>
          <w:noProof/>
          <w:lang w:val="en-US"/>
        </w:rPr>
        <w:t xml:space="preserve"> contacted the author </w:t>
      </w:r>
      <w:r w:rsidR="008B0C36" w:rsidRPr="00662C5B">
        <w:rPr>
          <w:noProof/>
          <w:lang w:val="en-US"/>
        </w:rPr>
        <w:t xml:space="preserve">at his house </w:t>
      </w:r>
      <w:r w:rsidR="003839BA" w:rsidRPr="00662C5B">
        <w:rPr>
          <w:noProof/>
          <w:lang w:val="en-US"/>
        </w:rPr>
        <w:t>and asked him to join the movement</w:t>
      </w:r>
      <w:r w:rsidRPr="00662C5B">
        <w:rPr>
          <w:noProof/>
          <w:lang w:val="en-US"/>
        </w:rPr>
        <w:t xml:space="preserve">. The author told them that he could not because he had to </w:t>
      </w:r>
      <w:r w:rsidR="00E72894" w:rsidRPr="00662C5B">
        <w:rPr>
          <w:noProof/>
          <w:lang w:val="en-US"/>
        </w:rPr>
        <w:t>help</w:t>
      </w:r>
      <w:r w:rsidRPr="00662C5B">
        <w:rPr>
          <w:noProof/>
          <w:lang w:val="en-US"/>
        </w:rPr>
        <w:t xml:space="preserve"> his </w:t>
      </w:r>
      <w:r w:rsidR="001F19CC" w:rsidRPr="00662C5B">
        <w:rPr>
          <w:noProof/>
          <w:lang w:val="en-US"/>
        </w:rPr>
        <w:t>mother</w:t>
      </w:r>
      <w:r w:rsidRPr="00662C5B">
        <w:rPr>
          <w:noProof/>
          <w:lang w:val="en-US"/>
        </w:rPr>
        <w:t>.</w:t>
      </w:r>
      <w:r w:rsidR="00E72894" w:rsidRPr="00662C5B">
        <w:rPr>
          <w:noProof/>
          <w:lang w:val="en-US"/>
        </w:rPr>
        <w:t xml:space="preserve"> </w:t>
      </w:r>
      <w:r w:rsidR="00D60DB9" w:rsidRPr="00662C5B">
        <w:rPr>
          <w:noProof/>
          <w:lang w:val="en-US"/>
        </w:rPr>
        <w:t>In total, h</w:t>
      </w:r>
      <w:r w:rsidR="00E72894" w:rsidRPr="00662C5B">
        <w:rPr>
          <w:noProof/>
          <w:lang w:val="en-US"/>
        </w:rPr>
        <w:t xml:space="preserve">e </w:t>
      </w:r>
      <w:r w:rsidR="00C122F9" w:rsidRPr="00662C5B">
        <w:rPr>
          <w:noProof/>
          <w:lang w:val="en-US"/>
        </w:rPr>
        <w:t>was</w:t>
      </w:r>
      <w:r w:rsidR="00E72894" w:rsidRPr="00662C5B">
        <w:rPr>
          <w:noProof/>
          <w:lang w:val="en-US"/>
        </w:rPr>
        <w:t xml:space="preserve"> contacted by </w:t>
      </w:r>
      <w:r w:rsidR="00C122F9" w:rsidRPr="00662C5B">
        <w:rPr>
          <w:noProof/>
          <w:lang w:val="en-US"/>
        </w:rPr>
        <w:t>Al-Shabaab</w:t>
      </w:r>
      <w:r w:rsidR="00E72894" w:rsidRPr="00662C5B">
        <w:rPr>
          <w:noProof/>
          <w:lang w:val="en-US"/>
        </w:rPr>
        <w:t xml:space="preserve"> twice</w:t>
      </w:r>
      <w:r w:rsidR="0091300C">
        <w:rPr>
          <w:noProof/>
          <w:lang w:val="en-US"/>
        </w:rPr>
        <w:t>,</w:t>
      </w:r>
      <w:r w:rsidR="00E72894" w:rsidRPr="00662C5B">
        <w:rPr>
          <w:noProof/>
          <w:lang w:val="en-US"/>
        </w:rPr>
        <w:t xml:space="preserve"> </w:t>
      </w:r>
      <w:r w:rsidR="008B0C36" w:rsidRPr="00662C5B">
        <w:rPr>
          <w:noProof/>
          <w:lang w:val="en-US"/>
        </w:rPr>
        <w:t xml:space="preserve">at his house </w:t>
      </w:r>
      <w:r w:rsidR="0091300C">
        <w:rPr>
          <w:noProof/>
          <w:lang w:val="en-US"/>
        </w:rPr>
        <w:t>and</w:t>
      </w:r>
      <w:r w:rsidR="008B0C36" w:rsidRPr="00662C5B">
        <w:rPr>
          <w:noProof/>
          <w:lang w:val="en-US"/>
        </w:rPr>
        <w:t xml:space="preserve"> at </w:t>
      </w:r>
      <w:r w:rsidR="0091300C">
        <w:rPr>
          <w:noProof/>
          <w:lang w:val="en-US"/>
        </w:rPr>
        <w:t xml:space="preserve">his </w:t>
      </w:r>
      <w:r w:rsidR="008B0C36" w:rsidRPr="00662C5B">
        <w:rPr>
          <w:noProof/>
          <w:lang w:val="en-US"/>
        </w:rPr>
        <w:t>workplace</w:t>
      </w:r>
      <w:r w:rsidR="0091300C">
        <w:rPr>
          <w:noProof/>
          <w:lang w:val="en-US"/>
        </w:rPr>
        <w:t>,</w:t>
      </w:r>
      <w:r w:rsidR="008B0C36" w:rsidRPr="00662C5B">
        <w:rPr>
          <w:noProof/>
          <w:lang w:val="en-US"/>
        </w:rPr>
        <w:t xml:space="preserve"> </w:t>
      </w:r>
      <w:r w:rsidR="00E72894" w:rsidRPr="00662C5B">
        <w:rPr>
          <w:noProof/>
          <w:lang w:val="en-US"/>
        </w:rPr>
        <w:t>between February and October 2011</w:t>
      </w:r>
      <w:r w:rsidR="00D60DB9" w:rsidRPr="00662C5B">
        <w:rPr>
          <w:noProof/>
          <w:lang w:val="en-US"/>
        </w:rPr>
        <w:t>.</w:t>
      </w:r>
    </w:p>
    <w:p w14:paraId="7B3E8417" w14:textId="7893D7F4" w:rsidR="003C65E1" w:rsidRPr="00662C5B" w:rsidRDefault="003C65E1" w:rsidP="00CE31EA">
      <w:pPr>
        <w:pStyle w:val="SingleTxtG"/>
        <w:rPr>
          <w:noProof/>
          <w:lang w:val="en-US"/>
        </w:rPr>
      </w:pPr>
      <w:r w:rsidRPr="00662C5B">
        <w:rPr>
          <w:noProof/>
          <w:lang w:val="en-US"/>
        </w:rPr>
        <w:t>2.4</w:t>
      </w:r>
      <w:r w:rsidRPr="00662C5B">
        <w:rPr>
          <w:noProof/>
          <w:lang w:val="en-US"/>
        </w:rPr>
        <w:tab/>
        <w:t xml:space="preserve">In October 2011, the author’s brother was killed by </w:t>
      </w:r>
      <w:r w:rsidR="00C122F9" w:rsidRPr="00662C5B">
        <w:rPr>
          <w:noProof/>
          <w:lang w:val="en-US"/>
        </w:rPr>
        <w:t>Al-Shabaab</w:t>
      </w:r>
      <w:r w:rsidRPr="00662C5B">
        <w:rPr>
          <w:noProof/>
          <w:lang w:val="en-US"/>
        </w:rPr>
        <w:t xml:space="preserve"> shortly after returning from Mogadishu where he had spent several years. </w:t>
      </w:r>
      <w:r w:rsidR="004619AE" w:rsidRPr="00662C5B">
        <w:rPr>
          <w:noProof/>
          <w:lang w:val="en-US"/>
        </w:rPr>
        <w:t xml:space="preserve">The brother </w:t>
      </w:r>
      <w:r w:rsidRPr="00662C5B">
        <w:rPr>
          <w:noProof/>
          <w:lang w:val="en-US"/>
        </w:rPr>
        <w:t xml:space="preserve">was accused of being a traitor because he was new in town and refused </w:t>
      </w:r>
      <w:r w:rsidR="00E72894" w:rsidRPr="00662C5B">
        <w:rPr>
          <w:noProof/>
          <w:lang w:val="en-US"/>
        </w:rPr>
        <w:t>“</w:t>
      </w:r>
      <w:r w:rsidRPr="00662C5B">
        <w:rPr>
          <w:noProof/>
          <w:lang w:val="en-US"/>
        </w:rPr>
        <w:t>to follow them to their whereabouts</w:t>
      </w:r>
      <w:r w:rsidR="00E72894" w:rsidRPr="00662C5B">
        <w:rPr>
          <w:noProof/>
          <w:lang w:val="en-US"/>
        </w:rPr>
        <w:t>”</w:t>
      </w:r>
      <w:r w:rsidRPr="00662C5B">
        <w:rPr>
          <w:noProof/>
          <w:lang w:val="en-US"/>
        </w:rPr>
        <w:t xml:space="preserve">. </w:t>
      </w:r>
      <w:r w:rsidR="000D5DFE" w:rsidRPr="00662C5B">
        <w:rPr>
          <w:noProof/>
          <w:lang w:val="en-US"/>
        </w:rPr>
        <w:t>He</w:t>
      </w:r>
      <w:r w:rsidRPr="00662C5B">
        <w:rPr>
          <w:noProof/>
          <w:lang w:val="en-US"/>
        </w:rPr>
        <w:t xml:space="preserve"> was considered </w:t>
      </w:r>
      <w:r w:rsidR="00E72894" w:rsidRPr="00662C5B">
        <w:rPr>
          <w:noProof/>
          <w:lang w:val="en-US"/>
        </w:rPr>
        <w:t xml:space="preserve">to be a </w:t>
      </w:r>
      <w:r w:rsidRPr="00662C5B">
        <w:rPr>
          <w:noProof/>
          <w:lang w:val="en-US"/>
        </w:rPr>
        <w:t xml:space="preserve">spy sent by the </w:t>
      </w:r>
      <w:r w:rsidR="000D5DFE" w:rsidRPr="00662C5B">
        <w:rPr>
          <w:noProof/>
          <w:lang w:val="en-US"/>
        </w:rPr>
        <w:t>G</w:t>
      </w:r>
      <w:r w:rsidRPr="00662C5B">
        <w:rPr>
          <w:noProof/>
          <w:lang w:val="en-US"/>
        </w:rPr>
        <w:t>overnment.</w:t>
      </w:r>
      <w:r w:rsidR="00436A61" w:rsidRPr="00662C5B">
        <w:rPr>
          <w:noProof/>
          <w:lang w:val="en-US"/>
        </w:rPr>
        <w:t xml:space="preserve"> </w:t>
      </w:r>
      <w:r w:rsidR="00E1484D" w:rsidRPr="00662C5B">
        <w:rPr>
          <w:noProof/>
          <w:lang w:val="en-US"/>
        </w:rPr>
        <w:t xml:space="preserve">Shortly after </w:t>
      </w:r>
      <w:r w:rsidR="000D5DFE" w:rsidRPr="00662C5B">
        <w:rPr>
          <w:noProof/>
          <w:lang w:val="en-US"/>
        </w:rPr>
        <w:t>the death of the author’s brother</w:t>
      </w:r>
      <w:r w:rsidR="00E1484D" w:rsidRPr="00662C5B">
        <w:rPr>
          <w:noProof/>
          <w:lang w:val="en-US"/>
        </w:rPr>
        <w:t xml:space="preserve">, </w:t>
      </w:r>
      <w:r w:rsidR="00C122F9" w:rsidRPr="00662C5B">
        <w:rPr>
          <w:noProof/>
          <w:lang w:val="en-US"/>
        </w:rPr>
        <w:t>Al-Shabaab</w:t>
      </w:r>
      <w:r w:rsidR="00E1484D" w:rsidRPr="00662C5B">
        <w:rPr>
          <w:noProof/>
          <w:lang w:val="en-US"/>
        </w:rPr>
        <w:t xml:space="preserve"> </w:t>
      </w:r>
      <w:r w:rsidR="000D5DFE" w:rsidRPr="00662C5B">
        <w:rPr>
          <w:noProof/>
          <w:lang w:val="en-US"/>
        </w:rPr>
        <w:t>asked the author twice again</w:t>
      </w:r>
      <w:r w:rsidR="00E1484D" w:rsidRPr="00662C5B">
        <w:rPr>
          <w:noProof/>
          <w:lang w:val="en-US"/>
        </w:rPr>
        <w:t xml:space="preserve"> to join </w:t>
      </w:r>
      <w:r w:rsidR="004C433C" w:rsidRPr="00662C5B">
        <w:rPr>
          <w:noProof/>
          <w:lang w:val="en-US"/>
        </w:rPr>
        <w:t>the movement</w:t>
      </w:r>
      <w:r w:rsidR="00E1484D" w:rsidRPr="00662C5B">
        <w:rPr>
          <w:noProof/>
          <w:lang w:val="en-US"/>
        </w:rPr>
        <w:t>. The author re</w:t>
      </w:r>
      <w:r w:rsidR="004C433C" w:rsidRPr="00662C5B">
        <w:rPr>
          <w:noProof/>
          <w:lang w:val="en-US"/>
        </w:rPr>
        <w:t xml:space="preserve">iterated </w:t>
      </w:r>
      <w:r w:rsidR="00A265DE" w:rsidRPr="00662C5B">
        <w:rPr>
          <w:noProof/>
          <w:lang w:val="en-US"/>
        </w:rPr>
        <w:t xml:space="preserve">that </w:t>
      </w:r>
      <w:r w:rsidR="00AD5E72" w:rsidRPr="00662C5B">
        <w:rPr>
          <w:noProof/>
          <w:lang w:val="en-US"/>
        </w:rPr>
        <w:t xml:space="preserve">he had to help his mother, but </w:t>
      </w:r>
      <w:r w:rsidR="004C433C" w:rsidRPr="00662C5B">
        <w:rPr>
          <w:noProof/>
          <w:lang w:val="en-US"/>
        </w:rPr>
        <w:t xml:space="preserve">as he </w:t>
      </w:r>
      <w:r w:rsidR="0091300C">
        <w:rPr>
          <w:lang w:val="en-GB"/>
        </w:rPr>
        <w:t>would not be able to</w:t>
      </w:r>
      <w:r w:rsidR="00C71108" w:rsidRPr="00662C5B">
        <w:rPr>
          <w:noProof/>
          <w:lang w:val="en-US"/>
        </w:rPr>
        <w:t xml:space="preserve"> avoid</w:t>
      </w:r>
      <w:r w:rsidR="004C433C" w:rsidRPr="00662C5B">
        <w:rPr>
          <w:noProof/>
          <w:lang w:val="en-US"/>
        </w:rPr>
        <w:t xml:space="preserve"> </w:t>
      </w:r>
      <w:r w:rsidR="00C122F9" w:rsidRPr="00662C5B">
        <w:rPr>
          <w:noProof/>
          <w:lang w:val="en-US"/>
        </w:rPr>
        <w:t>being</w:t>
      </w:r>
      <w:r w:rsidR="00C71108" w:rsidRPr="00662C5B">
        <w:rPr>
          <w:noProof/>
          <w:lang w:val="en-US"/>
        </w:rPr>
        <w:t xml:space="preserve"> taken as a </w:t>
      </w:r>
      <w:r w:rsidR="004C433C" w:rsidRPr="00662C5B">
        <w:rPr>
          <w:noProof/>
          <w:lang w:val="en-US"/>
        </w:rPr>
        <w:t xml:space="preserve">fighter </w:t>
      </w:r>
      <w:r w:rsidR="00C71108" w:rsidRPr="00662C5B">
        <w:rPr>
          <w:noProof/>
          <w:lang w:val="en-US"/>
        </w:rPr>
        <w:t>for Al-Shabaab</w:t>
      </w:r>
      <w:r w:rsidR="004C433C" w:rsidRPr="00662C5B">
        <w:rPr>
          <w:noProof/>
          <w:lang w:val="en-US"/>
        </w:rPr>
        <w:t xml:space="preserve">, </w:t>
      </w:r>
      <w:r w:rsidR="00C71108" w:rsidRPr="00662C5B">
        <w:rPr>
          <w:noProof/>
          <w:lang w:val="en-US"/>
        </w:rPr>
        <w:t xml:space="preserve">in November 2011 </w:t>
      </w:r>
      <w:r w:rsidR="004C433C" w:rsidRPr="00662C5B">
        <w:rPr>
          <w:noProof/>
          <w:lang w:val="en-US"/>
        </w:rPr>
        <w:t xml:space="preserve">he </w:t>
      </w:r>
      <w:r w:rsidR="00C71108" w:rsidRPr="00662C5B">
        <w:rPr>
          <w:noProof/>
          <w:lang w:val="en-US"/>
        </w:rPr>
        <w:t>fled to Boosaaso in the Bari region</w:t>
      </w:r>
      <w:r w:rsidR="007A3690" w:rsidRPr="00662C5B">
        <w:rPr>
          <w:noProof/>
          <w:lang w:val="en-US"/>
        </w:rPr>
        <w:t>.</w:t>
      </w:r>
      <w:r w:rsidR="00E1484D" w:rsidRPr="00662C5B">
        <w:rPr>
          <w:noProof/>
          <w:lang w:val="en-US"/>
        </w:rPr>
        <w:t xml:space="preserve"> </w:t>
      </w:r>
    </w:p>
    <w:p w14:paraId="285E6AC1" w14:textId="7B9CF9A4" w:rsidR="003C65E1" w:rsidRPr="00662C5B" w:rsidRDefault="00AD5E72" w:rsidP="0024063F">
      <w:pPr>
        <w:pStyle w:val="SingleTxtG"/>
        <w:rPr>
          <w:noProof/>
          <w:lang w:val="en-US"/>
        </w:rPr>
      </w:pPr>
      <w:r w:rsidRPr="00662C5B">
        <w:rPr>
          <w:noProof/>
          <w:lang w:val="en-US"/>
        </w:rPr>
        <w:t>2.5</w:t>
      </w:r>
      <w:r w:rsidR="00C618A7" w:rsidRPr="00662C5B">
        <w:rPr>
          <w:noProof/>
          <w:lang w:val="en-US"/>
        </w:rPr>
        <w:tab/>
      </w:r>
      <w:r w:rsidR="003C65E1" w:rsidRPr="00662C5B">
        <w:rPr>
          <w:noProof/>
          <w:lang w:val="en-US"/>
        </w:rPr>
        <w:t xml:space="preserve">In January 2013, he was accused of stealing money from a building in Boosaaso. The </w:t>
      </w:r>
      <w:r w:rsidR="00C8367F" w:rsidRPr="00662C5B">
        <w:rPr>
          <w:noProof/>
          <w:lang w:val="en-US"/>
        </w:rPr>
        <w:t>building owner</w:t>
      </w:r>
      <w:r w:rsidR="003C65E1" w:rsidRPr="00662C5B">
        <w:rPr>
          <w:noProof/>
          <w:lang w:val="en-US"/>
        </w:rPr>
        <w:t xml:space="preserve"> who accused him was a member of the Majeerte</w:t>
      </w:r>
      <w:r w:rsidR="00CE31EA" w:rsidRPr="00662C5B">
        <w:rPr>
          <w:noProof/>
          <w:lang w:val="en-US"/>
        </w:rPr>
        <w:t>e</w:t>
      </w:r>
      <w:r w:rsidR="003C65E1" w:rsidRPr="00662C5B">
        <w:rPr>
          <w:noProof/>
          <w:lang w:val="en-US"/>
        </w:rPr>
        <w:t xml:space="preserve">n clan, the most powerful clan in Boosaaso. This clan has always </w:t>
      </w:r>
      <w:r w:rsidR="000D5DFE" w:rsidRPr="00662C5B">
        <w:rPr>
          <w:noProof/>
          <w:lang w:val="en-US"/>
        </w:rPr>
        <w:t xml:space="preserve">been in conflict </w:t>
      </w:r>
      <w:r w:rsidR="003C65E1" w:rsidRPr="00662C5B">
        <w:rPr>
          <w:noProof/>
          <w:lang w:val="en-US"/>
        </w:rPr>
        <w:t>with the Ashraf clan. The author was</w:t>
      </w:r>
      <w:r w:rsidR="00C663AD" w:rsidRPr="00662C5B">
        <w:rPr>
          <w:noProof/>
          <w:lang w:val="en-US"/>
        </w:rPr>
        <w:t xml:space="preserve"> imprisoned for about one year </w:t>
      </w:r>
      <w:r w:rsidR="000132C9" w:rsidRPr="00662C5B">
        <w:rPr>
          <w:noProof/>
          <w:lang w:val="en-US"/>
        </w:rPr>
        <w:t xml:space="preserve">without </w:t>
      </w:r>
      <w:r w:rsidR="00C663AD" w:rsidRPr="00662C5B">
        <w:rPr>
          <w:noProof/>
          <w:lang w:val="en-US"/>
        </w:rPr>
        <w:t xml:space="preserve">ever </w:t>
      </w:r>
      <w:r w:rsidR="00C8367F" w:rsidRPr="00662C5B">
        <w:rPr>
          <w:noProof/>
          <w:lang w:val="en-US"/>
        </w:rPr>
        <w:t xml:space="preserve">being </w:t>
      </w:r>
      <w:r w:rsidR="00C663AD" w:rsidRPr="00662C5B">
        <w:rPr>
          <w:noProof/>
          <w:lang w:val="en-US"/>
        </w:rPr>
        <w:t xml:space="preserve">brought before a judge. </w:t>
      </w:r>
      <w:r w:rsidR="003C65E1" w:rsidRPr="00662C5B">
        <w:rPr>
          <w:noProof/>
          <w:lang w:val="en-US"/>
        </w:rPr>
        <w:t>While in prison, he was ill-treated by police</w:t>
      </w:r>
      <w:r w:rsidR="00C8367F" w:rsidRPr="00662C5B">
        <w:rPr>
          <w:noProof/>
          <w:lang w:val="en-US"/>
        </w:rPr>
        <w:t>,</w:t>
      </w:r>
      <w:r w:rsidR="003C65E1" w:rsidRPr="00662C5B">
        <w:rPr>
          <w:noProof/>
          <w:lang w:val="en-US"/>
        </w:rPr>
        <w:t xml:space="preserve"> who accused him of being a terrorist </w:t>
      </w:r>
      <w:r w:rsidR="00C8367F" w:rsidRPr="00662C5B">
        <w:rPr>
          <w:noProof/>
          <w:lang w:val="en-US"/>
        </w:rPr>
        <w:t>on the basis of</w:t>
      </w:r>
      <w:r w:rsidR="000132C9" w:rsidRPr="00662C5B">
        <w:rPr>
          <w:noProof/>
          <w:lang w:val="en-US"/>
        </w:rPr>
        <w:t xml:space="preserve"> the</w:t>
      </w:r>
      <w:r w:rsidR="003C65E1" w:rsidRPr="00662C5B">
        <w:rPr>
          <w:noProof/>
          <w:lang w:val="en-US"/>
        </w:rPr>
        <w:t xml:space="preserve"> clan he belonged to. He was hit</w:t>
      </w:r>
      <w:r w:rsidR="00C8367F" w:rsidRPr="00662C5B">
        <w:rPr>
          <w:noProof/>
          <w:lang w:val="en-US"/>
        </w:rPr>
        <w:t xml:space="preserve"> and</w:t>
      </w:r>
      <w:r w:rsidR="003C65E1" w:rsidRPr="00662C5B">
        <w:rPr>
          <w:noProof/>
          <w:lang w:val="en-US"/>
        </w:rPr>
        <w:t xml:space="preserve"> his leg was burn</w:t>
      </w:r>
      <w:r w:rsidR="00C122F9" w:rsidRPr="00662C5B">
        <w:rPr>
          <w:noProof/>
          <w:lang w:val="en-US"/>
        </w:rPr>
        <w:t>ed</w:t>
      </w:r>
      <w:r w:rsidR="00C8367F" w:rsidRPr="00662C5B">
        <w:rPr>
          <w:noProof/>
          <w:lang w:val="en-US"/>
        </w:rPr>
        <w:t>,</w:t>
      </w:r>
      <w:r w:rsidR="003C65E1" w:rsidRPr="00662C5B">
        <w:rPr>
          <w:noProof/>
          <w:lang w:val="en-US"/>
        </w:rPr>
        <w:t xml:space="preserve"> and he was threatened </w:t>
      </w:r>
      <w:r w:rsidR="00C122F9" w:rsidRPr="00662C5B">
        <w:rPr>
          <w:noProof/>
          <w:lang w:val="en-US"/>
        </w:rPr>
        <w:t>with death</w:t>
      </w:r>
      <w:r w:rsidR="003C65E1" w:rsidRPr="00662C5B">
        <w:rPr>
          <w:noProof/>
          <w:lang w:val="en-US"/>
        </w:rPr>
        <w:t xml:space="preserve"> if he did not acknowledge his membership </w:t>
      </w:r>
      <w:r w:rsidR="00C122F9" w:rsidRPr="00662C5B">
        <w:rPr>
          <w:noProof/>
          <w:lang w:val="en-US"/>
        </w:rPr>
        <w:t>in Al-Shabaab</w:t>
      </w:r>
      <w:r w:rsidR="007A3690" w:rsidRPr="00662C5B">
        <w:rPr>
          <w:noProof/>
          <w:lang w:val="en-US"/>
        </w:rPr>
        <w:t>.</w:t>
      </w:r>
      <w:r w:rsidR="003C65E1" w:rsidRPr="00662C5B">
        <w:rPr>
          <w:noProof/>
          <w:lang w:val="en-US"/>
        </w:rPr>
        <w:t xml:space="preserve"> </w:t>
      </w:r>
    </w:p>
    <w:p w14:paraId="49324674" w14:textId="5FBFA834" w:rsidR="003C65E1" w:rsidRPr="00662C5B" w:rsidRDefault="003C65E1" w:rsidP="0024063F">
      <w:pPr>
        <w:pStyle w:val="SingleTxtG"/>
        <w:rPr>
          <w:noProof/>
          <w:lang w:val="en-US"/>
        </w:rPr>
      </w:pPr>
      <w:r w:rsidRPr="00662C5B">
        <w:rPr>
          <w:noProof/>
          <w:lang w:val="en-US"/>
        </w:rPr>
        <w:t>2.</w:t>
      </w:r>
      <w:r w:rsidR="0093661F" w:rsidRPr="00662C5B">
        <w:rPr>
          <w:noProof/>
          <w:lang w:val="en-US"/>
        </w:rPr>
        <w:t>6</w:t>
      </w:r>
      <w:r w:rsidR="00C618A7" w:rsidRPr="00662C5B">
        <w:rPr>
          <w:noProof/>
          <w:lang w:val="en-US"/>
        </w:rPr>
        <w:tab/>
      </w:r>
      <w:r w:rsidR="00C122F9" w:rsidRPr="00662C5B">
        <w:rPr>
          <w:noProof/>
          <w:lang w:val="en-US"/>
        </w:rPr>
        <w:t xml:space="preserve">The author </w:t>
      </w:r>
      <w:r w:rsidRPr="00662C5B">
        <w:rPr>
          <w:noProof/>
          <w:lang w:val="en-US"/>
        </w:rPr>
        <w:t xml:space="preserve">was released in December 2013 because his mother contacted a council of </w:t>
      </w:r>
      <w:r w:rsidR="00333107" w:rsidRPr="00662C5B">
        <w:rPr>
          <w:noProof/>
          <w:lang w:val="en-US"/>
        </w:rPr>
        <w:t>elders</w:t>
      </w:r>
      <w:r w:rsidRPr="00662C5B">
        <w:rPr>
          <w:noProof/>
          <w:lang w:val="en-US"/>
        </w:rPr>
        <w:t xml:space="preserve"> in Boosaaso who </w:t>
      </w:r>
      <w:r w:rsidR="00AD638B" w:rsidRPr="00662C5B">
        <w:rPr>
          <w:noProof/>
          <w:lang w:val="en-US"/>
        </w:rPr>
        <w:t>we</w:t>
      </w:r>
      <w:r w:rsidR="00C122F9" w:rsidRPr="00662C5B">
        <w:rPr>
          <w:noProof/>
          <w:lang w:val="en-US"/>
        </w:rPr>
        <w:t xml:space="preserve">re </w:t>
      </w:r>
      <w:r w:rsidRPr="00662C5B">
        <w:rPr>
          <w:noProof/>
          <w:lang w:val="en-US"/>
        </w:rPr>
        <w:t xml:space="preserve">not concerned with clan relations and who helped her </w:t>
      </w:r>
      <w:r w:rsidR="00537B48" w:rsidRPr="00662C5B">
        <w:rPr>
          <w:noProof/>
          <w:lang w:val="en-US"/>
        </w:rPr>
        <w:t>to collect money for</w:t>
      </w:r>
      <w:r w:rsidRPr="00662C5B">
        <w:rPr>
          <w:noProof/>
          <w:lang w:val="en-US"/>
        </w:rPr>
        <w:t xml:space="preserve"> the author’s release</w:t>
      </w:r>
      <w:r w:rsidR="007A3690" w:rsidRPr="00662C5B">
        <w:rPr>
          <w:noProof/>
          <w:lang w:val="en-US"/>
        </w:rPr>
        <w:t>.</w:t>
      </w:r>
      <w:r w:rsidRPr="00662C5B">
        <w:rPr>
          <w:noProof/>
          <w:lang w:val="en-US"/>
        </w:rPr>
        <w:t xml:space="preserve"> The author contacted his mother in February 2014 to tell her that he want</w:t>
      </w:r>
      <w:r w:rsidR="00D85C57" w:rsidRPr="00662C5B">
        <w:rPr>
          <w:noProof/>
          <w:lang w:val="en-US"/>
        </w:rPr>
        <w:t>ed</w:t>
      </w:r>
      <w:r w:rsidRPr="00662C5B">
        <w:rPr>
          <w:noProof/>
          <w:lang w:val="en-US"/>
        </w:rPr>
        <w:t xml:space="preserve"> to leave Somalia. His mother informed him that </w:t>
      </w:r>
      <w:r w:rsidR="00C50F4D" w:rsidRPr="00662C5B">
        <w:rPr>
          <w:noProof/>
          <w:lang w:val="en-US"/>
        </w:rPr>
        <w:t xml:space="preserve">some friends had told her that </w:t>
      </w:r>
      <w:r w:rsidR="00C122F9" w:rsidRPr="00662C5B">
        <w:rPr>
          <w:noProof/>
          <w:lang w:val="en-US"/>
        </w:rPr>
        <w:t>Al-Shabaab</w:t>
      </w:r>
      <w:r w:rsidRPr="00662C5B">
        <w:rPr>
          <w:noProof/>
          <w:lang w:val="en-US"/>
        </w:rPr>
        <w:t xml:space="preserve"> was still looking for him</w:t>
      </w:r>
      <w:r w:rsidR="007A3690" w:rsidRPr="00662C5B">
        <w:rPr>
          <w:noProof/>
          <w:lang w:val="en-US"/>
        </w:rPr>
        <w:t>.</w:t>
      </w:r>
    </w:p>
    <w:p w14:paraId="28C5AFE7" w14:textId="464C02C6" w:rsidR="003C65E1" w:rsidRPr="00662C5B" w:rsidRDefault="003C65E1" w:rsidP="004F6F36">
      <w:pPr>
        <w:pStyle w:val="SingleTxtG"/>
        <w:rPr>
          <w:noProof/>
          <w:lang w:val="en-US"/>
        </w:rPr>
      </w:pPr>
      <w:r w:rsidRPr="00662C5B">
        <w:rPr>
          <w:noProof/>
          <w:lang w:val="en-US"/>
        </w:rPr>
        <w:t>2.</w:t>
      </w:r>
      <w:r w:rsidR="0093661F" w:rsidRPr="00662C5B">
        <w:rPr>
          <w:noProof/>
          <w:lang w:val="en-US"/>
        </w:rPr>
        <w:t>7</w:t>
      </w:r>
      <w:r w:rsidRPr="00662C5B">
        <w:rPr>
          <w:noProof/>
          <w:lang w:val="en-US"/>
        </w:rPr>
        <w:tab/>
        <w:t>The autho</w:t>
      </w:r>
      <w:r w:rsidR="00C50F4D" w:rsidRPr="00662C5B">
        <w:rPr>
          <w:noProof/>
          <w:lang w:val="en-US"/>
        </w:rPr>
        <w:t xml:space="preserve">r </w:t>
      </w:r>
      <w:r w:rsidR="00185E42" w:rsidRPr="00662C5B">
        <w:rPr>
          <w:noProof/>
          <w:lang w:val="en-US"/>
        </w:rPr>
        <w:t>arrived</w:t>
      </w:r>
      <w:r w:rsidRPr="00662C5B">
        <w:rPr>
          <w:noProof/>
          <w:lang w:val="en-US"/>
        </w:rPr>
        <w:t xml:space="preserve"> </w:t>
      </w:r>
      <w:r w:rsidR="00185E42" w:rsidRPr="00662C5B">
        <w:rPr>
          <w:noProof/>
          <w:lang w:val="en-US"/>
        </w:rPr>
        <w:t>in</w:t>
      </w:r>
      <w:r w:rsidRPr="00662C5B">
        <w:rPr>
          <w:noProof/>
          <w:lang w:val="en-US"/>
        </w:rPr>
        <w:t xml:space="preserve"> Denmark on 22 March 2014 without valid travel identification documents</w:t>
      </w:r>
      <w:r w:rsidR="007A3690" w:rsidRPr="00662C5B">
        <w:rPr>
          <w:noProof/>
          <w:lang w:val="en-US"/>
        </w:rPr>
        <w:t>.</w:t>
      </w:r>
      <w:r w:rsidRPr="00662C5B">
        <w:rPr>
          <w:noProof/>
          <w:lang w:val="en-US"/>
        </w:rPr>
        <w:t xml:space="preserve"> In March 2014</w:t>
      </w:r>
      <w:r w:rsidR="007A3690" w:rsidRPr="00662C5B">
        <w:rPr>
          <w:noProof/>
          <w:lang w:val="en-US"/>
        </w:rPr>
        <w:t>,</w:t>
      </w:r>
      <w:r w:rsidRPr="00662C5B">
        <w:rPr>
          <w:noProof/>
          <w:lang w:val="en-US"/>
        </w:rPr>
        <w:t xml:space="preserve"> he applied for asylum in Denmark, but </w:t>
      </w:r>
      <w:r w:rsidR="00C122F9" w:rsidRPr="00662C5B">
        <w:rPr>
          <w:noProof/>
          <w:lang w:val="en-US"/>
        </w:rPr>
        <w:t>the application</w:t>
      </w:r>
      <w:r w:rsidRPr="00662C5B">
        <w:rPr>
          <w:noProof/>
          <w:lang w:val="en-US"/>
        </w:rPr>
        <w:t xml:space="preserve"> was rejected by the Danish Immigration Service on 27 May 2014</w:t>
      </w:r>
      <w:r w:rsidR="00543DAD" w:rsidRPr="00662C5B">
        <w:rPr>
          <w:noProof/>
          <w:lang w:val="en-US"/>
        </w:rPr>
        <w:t xml:space="preserve"> on </w:t>
      </w:r>
      <w:r w:rsidR="00C122F9" w:rsidRPr="00662C5B">
        <w:rPr>
          <w:noProof/>
          <w:lang w:val="en-US"/>
        </w:rPr>
        <w:t xml:space="preserve">the </w:t>
      </w:r>
      <w:r w:rsidR="00543DAD" w:rsidRPr="00662C5B">
        <w:rPr>
          <w:noProof/>
          <w:lang w:val="en-US"/>
        </w:rPr>
        <w:t>grounds that his story and claims lacked credibility</w:t>
      </w:r>
      <w:r w:rsidR="007A3690" w:rsidRPr="00662C5B">
        <w:rPr>
          <w:noProof/>
          <w:lang w:val="en-US"/>
        </w:rPr>
        <w:t>.</w:t>
      </w:r>
      <w:r w:rsidRPr="00662C5B">
        <w:rPr>
          <w:noProof/>
          <w:lang w:val="en-US"/>
        </w:rPr>
        <w:t xml:space="preserve"> Th</w:t>
      </w:r>
      <w:r w:rsidR="004F6F36" w:rsidRPr="00662C5B">
        <w:rPr>
          <w:noProof/>
          <w:lang w:val="en-US"/>
        </w:rPr>
        <w:t>at</w:t>
      </w:r>
      <w:r w:rsidR="000132C9" w:rsidRPr="00662C5B">
        <w:rPr>
          <w:noProof/>
          <w:lang w:val="en-US"/>
        </w:rPr>
        <w:t xml:space="preserve"> </w:t>
      </w:r>
      <w:r w:rsidRPr="00662C5B">
        <w:rPr>
          <w:noProof/>
          <w:lang w:val="en-US"/>
        </w:rPr>
        <w:t xml:space="preserve">decision was upheld by the </w:t>
      </w:r>
      <w:r w:rsidR="009B6FC3" w:rsidRPr="00662C5B">
        <w:rPr>
          <w:noProof/>
          <w:lang w:val="en-US"/>
        </w:rPr>
        <w:t>Refugee Appeals Board</w:t>
      </w:r>
      <w:r w:rsidR="00517E3A" w:rsidRPr="00662C5B">
        <w:rPr>
          <w:noProof/>
          <w:lang w:val="en-US"/>
        </w:rPr>
        <w:t>,</w:t>
      </w:r>
      <w:r w:rsidR="009B6FC3" w:rsidRPr="00662C5B">
        <w:rPr>
          <w:noProof/>
          <w:lang w:val="en-US"/>
        </w:rPr>
        <w:t xml:space="preserve"> </w:t>
      </w:r>
      <w:r w:rsidRPr="00662C5B">
        <w:rPr>
          <w:noProof/>
          <w:lang w:val="en-US"/>
        </w:rPr>
        <w:t>on 6</w:t>
      </w:r>
      <w:r w:rsidR="004F6F36" w:rsidRPr="00662C5B">
        <w:rPr>
          <w:noProof/>
          <w:lang w:val="en-US"/>
        </w:rPr>
        <w:t> </w:t>
      </w:r>
      <w:r w:rsidRPr="00662C5B">
        <w:rPr>
          <w:noProof/>
          <w:lang w:val="en-US"/>
        </w:rPr>
        <w:t xml:space="preserve">August 2014. The Board found the author’s claims and story unconvincing and lacking </w:t>
      </w:r>
      <w:r w:rsidR="00517E3A" w:rsidRPr="00662C5B">
        <w:rPr>
          <w:noProof/>
          <w:lang w:val="en-US"/>
        </w:rPr>
        <w:t xml:space="preserve">in </w:t>
      </w:r>
      <w:r w:rsidRPr="00662C5B">
        <w:rPr>
          <w:noProof/>
          <w:lang w:val="en-US"/>
        </w:rPr>
        <w:t>credibility.</w:t>
      </w:r>
      <w:r w:rsidR="00C50F4D" w:rsidRPr="00662C5B">
        <w:rPr>
          <w:noProof/>
          <w:lang w:val="en-US"/>
        </w:rPr>
        <w:t xml:space="preserve"> </w:t>
      </w:r>
      <w:r w:rsidRPr="00662C5B">
        <w:rPr>
          <w:noProof/>
          <w:lang w:val="en-US"/>
        </w:rPr>
        <w:t>The author submits that he has exhausted all available domestic remedies.</w:t>
      </w:r>
    </w:p>
    <w:p w14:paraId="42F9E9A4" w14:textId="77777777" w:rsidR="000B732C" w:rsidRPr="00662C5B" w:rsidRDefault="000B732C" w:rsidP="000B732C">
      <w:pPr>
        <w:pStyle w:val="H23G"/>
        <w:spacing w:line="240" w:lineRule="auto"/>
        <w:rPr>
          <w:noProof/>
          <w:lang w:val="en-US"/>
        </w:rPr>
      </w:pPr>
      <w:r w:rsidRPr="00662C5B">
        <w:rPr>
          <w:noProof/>
          <w:lang w:val="en-US"/>
        </w:rPr>
        <w:lastRenderedPageBreak/>
        <w:tab/>
      </w:r>
      <w:r w:rsidRPr="00662C5B">
        <w:rPr>
          <w:noProof/>
          <w:lang w:val="en-US"/>
        </w:rPr>
        <w:tab/>
        <w:t>The complaint</w:t>
      </w:r>
    </w:p>
    <w:p w14:paraId="0884FF50" w14:textId="1773AF61" w:rsidR="003A3E81" w:rsidRPr="00662C5B" w:rsidRDefault="003911AC" w:rsidP="0024063F">
      <w:pPr>
        <w:pStyle w:val="SingleTxtG"/>
        <w:rPr>
          <w:noProof/>
          <w:lang w:val="en-US"/>
        </w:rPr>
      </w:pPr>
      <w:r w:rsidRPr="00662C5B">
        <w:rPr>
          <w:noProof/>
          <w:lang w:val="en-US"/>
        </w:rPr>
        <w:t>3.</w:t>
      </w:r>
      <w:r w:rsidR="00C618A7" w:rsidRPr="00662C5B">
        <w:rPr>
          <w:noProof/>
          <w:lang w:val="en-US"/>
        </w:rPr>
        <w:tab/>
      </w:r>
      <w:r w:rsidR="003A3E81" w:rsidRPr="00662C5B">
        <w:rPr>
          <w:noProof/>
          <w:lang w:val="en-US"/>
        </w:rPr>
        <w:t xml:space="preserve">The author claims that his deportation to Somalia would </w:t>
      </w:r>
      <w:r w:rsidR="00C122F9" w:rsidRPr="00662C5B">
        <w:rPr>
          <w:noProof/>
          <w:lang w:val="en-US"/>
        </w:rPr>
        <w:t>violate</w:t>
      </w:r>
      <w:r w:rsidR="003A3E81" w:rsidRPr="00662C5B">
        <w:rPr>
          <w:noProof/>
          <w:lang w:val="en-US"/>
        </w:rPr>
        <w:t xml:space="preserve"> his rights under articles 7 and 9</w:t>
      </w:r>
      <w:r w:rsidR="00A265DE" w:rsidRPr="00662C5B">
        <w:rPr>
          <w:noProof/>
          <w:lang w:val="en-US"/>
        </w:rPr>
        <w:t xml:space="preserve"> of the Covenant as </w:t>
      </w:r>
      <w:r w:rsidR="003A3E81" w:rsidRPr="00662C5B">
        <w:rPr>
          <w:noProof/>
          <w:lang w:val="en-US"/>
        </w:rPr>
        <w:t xml:space="preserve">he is at risk of being </w:t>
      </w:r>
      <w:r w:rsidR="003971E7" w:rsidRPr="00662C5B">
        <w:rPr>
          <w:noProof/>
          <w:lang w:val="en-US"/>
        </w:rPr>
        <w:t>tortured or killed</w:t>
      </w:r>
      <w:r w:rsidR="003A3E81" w:rsidRPr="00662C5B">
        <w:rPr>
          <w:noProof/>
          <w:lang w:val="en-US"/>
        </w:rPr>
        <w:t xml:space="preserve"> in Somalia. He claims that citizens who refuse to </w:t>
      </w:r>
      <w:r w:rsidR="001F7C7A" w:rsidRPr="00662C5B">
        <w:rPr>
          <w:noProof/>
          <w:lang w:val="en-US"/>
        </w:rPr>
        <w:t>join Al-Shabaab</w:t>
      </w:r>
      <w:r w:rsidR="003A3E81" w:rsidRPr="00662C5B">
        <w:rPr>
          <w:noProof/>
          <w:lang w:val="en-US"/>
        </w:rPr>
        <w:t xml:space="preserve"> are at high risk of being killed. In addition, he would always be persecuted </w:t>
      </w:r>
      <w:r w:rsidR="003971E7" w:rsidRPr="00662C5B">
        <w:rPr>
          <w:noProof/>
          <w:lang w:val="en-US"/>
        </w:rPr>
        <w:t xml:space="preserve">and subjected to human rights abuses and discrimination </w:t>
      </w:r>
      <w:r w:rsidR="003A3E81" w:rsidRPr="00662C5B">
        <w:rPr>
          <w:noProof/>
          <w:lang w:val="en-US"/>
        </w:rPr>
        <w:t xml:space="preserve">in Somalia because his minority clan is </w:t>
      </w:r>
      <w:r w:rsidR="003971E7" w:rsidRPr="00662C5B">
        <w:rPr>
          <w:noProof/>
          <w:lang w:val="en-US"/>
        </w:rPr>
        <w:t>“</w:t>
      </w:r>
      <w:r w:rsidR="003A3E81" w:rsidRPr="00662C5B">
        <w:rPr>
          <w:noProof/>
          <w:lang w:val="en-US"/>
        </w:rPr>
        <w:t>suppressed</w:t>
      </w:r>
      <w:r w:rsidR="003971E7" w:rsidRPr="00662C5B">
        <w:rPr>
          <w:noProof/>
          <w:lang w:val="en-US"/>
        </w:rPr>
        <w:t>”</w:t>
      </w:r>
      <w:r w:rsidR="003A3E81" w:rsidRPr="00662C5B">
        <w:rPr>
          <w:noProof/>
          <w:lang w:val="en-US"/>
        </w:rPr>
        <w:t>. He was falsely accused of a theft and was imprisoned because he belongs to the minority Ashraf clan</w:t>
      </w:r>
      <w:r w:rsidR="003971E7" w:rsidRPr="00662C5B">
        <w:rPr>
          <w:noProof/>
          <w:lang w:val="en-US"/>
        </w:rPr>
        <w:t>.</w:t>
      </w:r>
      <w:r w:rsidR="001F7C7A" w:rsidRPr="00662C5B">
        <w:rPr>
          <w:noProof/>
          <w:lang w:val="en-US"/>
        </w:rPr>
        <w:t xml:space="preserve"> He also considers</w:t>
      </w:r>
      <w:r w:rsidR="003A3E81" w:rsidRPr="00662C5B">
        <w:rPr>
          <w:noProof/>
          <w:lang w:val="en-US"/>
        </w:rPr>
        <w:t xml:space="preserve"> that the </w:t>
      </w:r>
      <w:r w:rsidR="009B6FC3" w:rsidRPr="00662C5B">
        <w:rPr>
          <w:noProof/>
          <w:lang w:val="en-US"/>
        </w:rPr>
        <w:t xml:space="preserve">Refugee Appeals Board </w:t>
      </w:r>
      <w:r w:rsidR="003A3E81" w:rsidRPr="00662C5B">
        <w:rPr>
          <w:noProof/>
          <w:lang w:val="en-US"/>
        </w:rPr>
        <w:t>did not examine the possible psychological and physical effects on him as a result of the murder of his father and his brother, his imprisonment and the severe situation in Somalia. The Board made no investigation to clarify the extent of the dangerous conditions in Somalia.</w:t>
      </w:r>
    </w:p>
    <w:p w14:paraId="71436585" w14:textId="77777777" w:rsidR="00467B37" w:rsidRPr="00662C5B" w:rsidRDefault="00467B37" w:rsidP="00467B37">
      <w:pPr>
        <w:pStyle w:val="H23G"/>
        <w:spacing w:line="240" w:lineRule="auto"/>
        <w:rPr>
          <w:noProof/>
          <w:lang w:val="en-US"/>
        </w:rPr>
      </w:pPr>
      <w:r w:rsidRPr="00662C5B">
        <w:rPr>
          <w:noProof/>
          <w:lang w:val="en-US"/>
        </w:rPr>
        <w:tab/>
      </w:r>
      <w:r w:rsidRPr="00662C5B">
        <w:rPr>
          <w:noProof/>
          <w:lang w:val="en-US"/>
        </w:rPr>
        <w:tab/>
        <w:t xml:space="preserve">State party’s observations on admissibility and </w:t>
      </w:r>
      <w:r w:rsidR="00F0080D" w:rsidRPr="00662C5B">
        <w:rPr>
          <w:noProof/>
          <w:lang w:val="en-US"/>
        </w:rPr>
        <w:t xml:space="preserve">the </w:t>
      </w:r>
      <w:r w:rsidRPr="00662C5B">
        <w:rPr>
          <w:noProof/>
          <w:lang w:val="en-US"/>
        </w:rPr>
        <w:t>merits</w:t>
      </w:r>
    </w:p>
    <w:p w14:paraId="419A87C4" w14:textId="5190799E" w:rsidR="00B11CF9" w:rsidRPr="00662C5B" w:rsidRDefault="00467B37" w:rsidP="00F65F03">
      <w:pPr>
        <w:pStyle w:val="SingleTxtG"/>
        <w:rPr>
          <w:noProof/>
          <w:lang w:val="en-US"/>
        </w:rPr>
      </w:pPr>
      <w:r w:rsidRPr="00662C5B">
        <w:rPr>
          <w:noProof/>
          <w:lang w:val="en-US"/>
        </w:rPr>
        <w:t>4.1</w:t>
      </w:r>
      <w:r w:rsidRPr="00662C5B">
        <w:rPr>
          <w:noProof/>
          <w:lang w:val="en-US"/>
        </w:rPr>
        <w:tab/>
        <w:t xml:space="preserve">On </w:t>
      </w:r>
      <w:r w:rsidR="00656E59" w:rsidRPr="00662C5B">
        <w:rPr>
          <w:noProof/>
          <w:lang w:val="en-US"/>
        </w:rPr>
        <w:t>9 June 2015</w:t>
      </w:r>
      <w:r w:rsidRPr="00662C5B">
        <w:rPr>
          <w:noProof/>
          <w:lang w:val="en-US"/>
        </w:rPr>
        <w:t xml:space="preserve">, the State party </w:t>
      </w:r>
      <w:r w:rsidR="00A265DE" w:rsidRPr="00662C5B">
        <w:rPr>
          <w:noProof/>
          <w:lang w:val="en-US"/>
        </w:rPr>
        <w:t>submitted</w:t>
      </w:r>
      <w:r w:rsidR="00CA785F" w:rsidRPr="00662C5B">
        <w:rPr>
          <w:noProof/>
          <w:lang w:val="en-US"/>
        </w:rPr>
        <w:t xml:space="preserve"> that the present communication </w:t>
      </w:r>
      <w:r w:rsidR="00517E3A" w:rsidRPr="00662C5B">
        <w:rPr>
          <w:noProof/>
          <w:lang w:val="en-US"/>
        </w:rPr>
        <w:t>wa</w:t>
      </w:r>
      <w:r w:rsidR="00CA785F" w:rsidRPr="00662C5B">
        <w:rPr>
          <w:noProof/>
          <w:lang w:val="en-US"/>
        </w:rPr>
        <w:t>s inadmissible and without merit</w:t>
      </w:r>
      <w:r w:rsidRPr="00662C5B">
        <w:rPr>
          <w:noProof/>
          <w:lang w:val="en-US"/>
        </w:rPr>
        <w:t>.</w:t>
      </w:r>
      <w:r w:rsidR="00CA785F" w:rsidRPr="00662C5B">
        <w:rPr>
          <w:noProof/>
          <w:lang w:val="en-US"/>
        </w:rPr>
        <w:t xml:space="preserve"> </w:t>
      </w:r>
      <w:r w:rsidR="004E16BA" w:rsidRPr="00662C5B">
        <w:rPr>
          <w:noProof/>
          <w:lang w:val="en-US"/>
        </w:rPr>
        <w:t xml:space="preserve">The State party </w:t>
      </w:r>
      <w:r w:rsidR="00C077DA" w:rsidRPr="00662C5B">
        <w:rPr>
          <w:noProof/>
          <w:lang w:val="en-US"/>
        </w:rPr>
        <w:t>recalls</w:t>
      </w:r>
      <w:r w:rsidR="004E16BA" w:rsidRPr="00662C5B">
        <w:rPr>
          <w:noProof/>
          <w:lang w:val="en-US"/>
        </w:rPr>
        <w:t xml:space="preserve"> the </w:t>
      </w:r>
      <w:r w:rsidR="001F7C7A" w:rsidRPr="00662C5B">
        <w:rPr>
          <w:noProof/>
          <w:lang w:val="en-US"/>
        </w:rPr>
        <w:t xml:space="preserve">facts of the case and refers to the </w:t>
      </w:r>
      <w:r w:rsidR="00C077DA" w:rsidRPr="00662C5B">
        <w:rPr>
          <w:noProof/>
          <w:lang w:val="en-US"/>
        </w:rPr>
        <w:t>decision of the Refugee Appeals Board of 6 August 2014</w:t>
      </w:r>
      <w:r w:rsidR="007A3690" w:rsidRPr="00662C5B">
        <w:rPr>
          <w:noProof/>
          <w:lang w:val="en-US"/>
        </w:rPr>
        <w:t>.</w:t>
      </w:r>
      <w:r w:rsidR="004E16BA" w:rsidRPr="00662C5B">
        <w:rPr>
          <w:noProof/>
          <w:lang w:val="en-US"/>
        </w:rPr>
        <w:t xml:space="preserve"> </w:t>
      </w:r>
      <w:r w:rsidR="001F7C7A" w:rsidRPr="00662C5B">
        <w:rPr>
          <w:noProof/>
          <w:lang w:val="en-US"/>
        </w:rPr>
        <w:t xml:space="preserve">It </w:t>
      </w:r>
      <w:r w:rsidR="00B11CF9" w:rsidRPr="00662C5B">
        <w:rPr>
          <w:noProof/>
          <w:lang w:val="en-US"/>
        </w:rPr>
        <w:t xml:space="preserve">notes that </w:t>
      </w:r>
      <w:r w:rsidR="0065120C" w:rsidRPr="00662C5B">
        <w:rPr>
          <w:noProof/>
          <w:lang w:val="en-US"/>
        </w:rPr>
        <w:t xml:space="preserve">the </w:t>
      </w:r>
      <w:r w:rsidR="00DE30A7" w:rsidRPr="00662C5B">
        <w:rPr>
          <w:noProof/>
          <w:lang w:val="en-US"/>
        </w:rPr>
        <w:t xml:space="preserve">Board </w:t>
      </w:r>
      <w:r w:rsidR="0065120C" w:rsidRPr="00662C5B">
        <w:rPr>
          <w:noProof/>
          <w:lang w:val="en-US"/>
        </w:rPr>
        <w:t xml:space="preserve">considered that </w:t>
      </w:r>
      <w:r w:rsidR="00B11CF9" w:rsidRPr="00662C5B">
        <w:rPr>
          <w:noProof/>
          <w:lang w:val="en-US"/>
        </w:rPr>
        <w:t xml:space="preserve">the author </w:t>
      </w:r>
      <w:r w:rsidR="00C077DA" w:rsidRPr="00662C5B">
        <w:rPr>
          <w:noProof/>
          <w:lang w:val="en-US"/>
        </w:rPr>
        <w:t>ha</w:t>
      </w:r>
      <w:r w:rsidR="00DE30A7" w:rsidRPr="00662C5B">
        <w:rPr>
          <w:noProof/>
          <w:lang w:val="en-US"/>
        </w:rPr>
        <w:t>d</w:t>
      </w:r>
      <w:r w:rsidR="00C077DA" w:rsidRPr="00662C5B">
        <w:rPr>
          <w:noProof/>
          <w:lang w:val="en-US"/>
        </w:rPr>
        <w:t xml:space="preserve"> made vague statements </w:t>
      </w:r>
      <w:r w:rsidR="00DE30A7" w:rsidRPr="00662C5B">
        <w:rPr>
          <w:noProof/>
          <w:lang w:val="en-US"/>
        </w:rPr>
        <w:t xml:space="preserve">about </w:t>
      </w:r>
      <w:r w:rsidR="00C122F9" w:rsidRPr="00662C5B">
        <w:rPr>
          <w:noProof/>
          <w:lang w:val="en-US"/>
        </w:rPr>
        <w:t>Al-Shabaab</w:t>
      </w:r>
      <w:r w:rsidR="00FA4926" w:rsidRPr="00662C5B">
        <w:rPr>
          <w:noProof/>
          <w:lang w:val="en-US"/>
        </w:rPr>
        <w:t>’s approaches</w:t>
      </w:r>
      <w:r w:rsidR="00C077DA" w:rsidRPr="00662C5B">
        <w:rPr>
          <w:noProof/>
          <w:lang w:val="en-US"/>
        </w:rPr>
        <w:t>, including</w:t>
      </w:r>
      <w:r w:rsidR="00DE30A7" w:rsidRPr="00662C5B">
        <w:rPr>
          <w:noProof/>
          <w:lang w:val="en-US"/>
        </w:rPr>
        <w:t xml:space="preserve"> about</w:t>
      </w:r>
      <w:r w:rsidR="00C077DA" w:rsidRPr="00662C5B">
        <w:rPr>
          <w:noProof/>
          <w:lang w:val="en-US"/>
        </w:rPr>
        <w:t xml:space="preserve"> his attempted escape after </w:t>
      </w:r>
      <w:r w:rsidR="00FA4926" w:rsidRPr="00662C5B">
        <w:rPr>
          <w:noProof/>
          <w:lang w:val="en-US"/>
        </w:rPr>
        <w:t xml:space="preserve">he had been approached for </w:t>
      </w:r>
      <w:r w:rsidR="00C077DA" w:rsidRPr="00662C5B">
        <w:rPr>
          <w:noProof/>
          <w:lang w:val="en-US"/>
        </w:rPr>
        <w:t>the fourt</w:t>
      </w:r>
      <w:r w:rsidR="00FA4926" w:rsidRPr="00662C5B">
        <w:rPr>
          <w:noProof/>
          <w:lang w:val="en-US"/>
        </w:rPr>
        <w:t>h time</w:t>
      </w:r>
      <w:r w:rsidR="00C122F9" w:rsidRPr="00662C5B">
        <w:rPr>
          <w:noProof/>
          <w:lang w:val="en-US"/>
        </w:rPr>
        <w:t>,</w:t>
      </w:r>
      <w:r w:rsidR="00C077DA" w:rsidRPr="00662C5B">
        <w:rPr>
          <w:noProof/>
          <w:lang w:val="en-US"/>
        </w:rPr>
        <w:t xml:space="preserve"> and </w:t>
      </w:r>
      <w:r w:rsidR="000476A4" w:rsidRPr="00662C5B">
        <w:rPr>
          <w:noProof/>
          <w:lang w:val="en-US"/>
        </w:rPr>
        <w:t xml:space="preserve">considered </w:t>
      </w:r>
      <w:r w:rsidR="00C077DA" w:rsidRPr="00662C5B">
        <w:rPr>
          <w:noProof/>
          <w:lang w:val="en-US"/>
        </w:rPr>
        <w:t xml:space="preserve">that the information </w:t>
      </w:r>
      <w:r w:rsidR="001F7C7A" w:rsidRPr="00662C5B">
        <w:rPr>
          <w:noProof/>
          <w:lang w:val="en-US"/>
        </w:rPr>
        <w:t xml:space="preserve">he gave </w:t>
      </w:r>
      <w:r w:rsidR="00FA4926" w:rsidRPr="00662C5B">
        <w:rPr>
          <w:noProof/>
          <w:lang w:val="en-US"/>
        </w:rPr>
        <w:t>on th</w:t>
      </w:r>
      <w:r w:rsidR="000476A4" w:rsidRPr="00662C5B">
        <w:rPr>
          <w:noProof/>
          <w:lang w:val="en-US"/>
        </w:rPr>
        <w:t>at</w:t>
      </w:r>
      <w:r w:rsidR="00FA4926" w:rsidRPr="00662C5B">
        <w:rPr>
          <w:noProof/>
          <w:lang w:val="en-US"/>
        </w:rPr>
        <w:t xml:space="preserve"> matter appeared</w:t>
      </w:r>
      <w:r w:rsidR="00C077DA" w:rsidRPr="00662C5B">
        <w:rPr>
          <w:noProof/>
          <w:lang w:val="en-US"/>
        </w:rPr>
        <w:t xml:space="preserve"> to be </w:t>
      </w:r>
      <w:r w:rsidR="00AC1B27" w:rsidRPr="00662C5B">
        <w:rPr>
          <w:noProof/>
          <w:lang w:val="en-US"/>
        </w:rPr>
        <w:t>“</w:t>
      </w:r>
      <w:r w:rsidR="00C077DA" w:rsidRPr="00662C5B">
        <w:rPr>
          <w:noProof/>
          <w:lang w:val="en-US"/>
        </w:rPr>
        <w:t>fabricated for the occasion</w:t>
      </w:r>
      <w:r w:rsidR="00AC1B27" w:rsidRPr="00662C5B">
        <w:rPr>
          <w:noProof/>
          <w:lang w:val="en-US"/>
        </w:rPr>
        <w:t>”</w:t>
      </w:r>
      <w:r w:rsidR="00C077DA" w:rsidRPr="00662C5B">
        <w:rPr>
          <w:noProof/>
          <w:lang w:val="en-US"/>
        </w:rPr>
        <w:t>. Further</w:t>
      </w:r>
      <w:r w:rsidR="000476A4" w:rsidRPr="00662C5B">
        <w:rPr>
          <w:noProof/>
          <w:lang w:val="en-US"/>
        </w:rPr>
        <w:t>more</w:t>
      </w:r>
      <w:r w:rsidR="00C077DA" w:rsidRPr="00662C5B">
        <w:rPr>
          <w:noProof/>
          <w:lang w:val="en-US"/>
        </w:rPr>
        <w:t xml:space="preserve">, </w:t>
      </w:r>
      <w:r w:rsidR="0065120C" w:rsidRPr="00662C5B">
        <w:rPr>
          <w:noProof/>
          <w:lang w:val="en-US"/>
        </w:rPr>
        <w:t xml:space="preserve">the Board noted that </w:t>
      </w:r>
      <w:r w:rsidR="00C077DA" w:rsidRPr="00662C5B">
        <w:rPr>
          <w:noProof/>
          <w:lang w:val="en-US"/>
        </w:rPr>
        <w:t>his fa</w:t>
      </w:r>
      <w:r w:rsidR="009C3382" w:rsidRPr="00662C5B">
        <w:rPr>
          <w:noProof/>
          <w:lang w:val="en-US"/>
        </w:rPr>
        <w:t xml:space="preserve">ther’s conflicts with the Habar </w:t>
      </w:r>
      <w:r w:rsidR="00C077DA" w:rsidRPr="00662C5B">
        <w:rPr>
          <w:noProof/>
          <w:lang w:val="en-US"/>
        </w:rPr>
        <w:t>Gidir clan date</w:t>
      </w:r>
      <w:r w:rsidR="000476A4" w:rsidRPr="00662C5B">
        <w:rPr>
          <w:noProof/>
          <w:lang w:val="en-US"/>
        </w:rPr>
        <w:t>d</w:t>
      </w:r>
      <w:r w:rsidR="00C077DA" w:rsidRPr="00662C5B">
        <w:rPr>
          <w:noProof/>
          <w:lang w:val="en-US"/>
        </w:rPr>
        <w:t xml:space="preserve"> back a long time, </w:t>
      </w:r>
      <w:r w:rsidR="000476A4" w:rsidRPr="00662C5B">
        <w:rPr>
          <w:noProof/>
          <w:lang w:val="en-US"/>
        </w:rPr>
        <w:t xml:space="preserve">but </w:t>
      </w:r>
      <w:r w:rsidR="00C077DA" w:rsidRPr="00662C5B">
        <w:rPr>
          <w:noProof/>
          <w:lang w:val="en-US"/>
        </w:rPr>
        <w:t xml:space="preserve">that the author </w:t>
      </w:r>
      <w:r w:rsidR="00B14A09" w:rsidRPr="00662C5B">
        <w:rPr>
          <w:noProof/>
          <w:lang w:val="en-US"/>
        </w:rPr>
        <w:t xml:space="preserve">himself </w:t>
      </w:r>
      <w:r w:rsidR="00C077DA" w:rsidRPr="00662C5B">
        <w:rPr>
          <w:noProof/>
          <w:lang w:val="en-US"/>
        </w:rPr>
        <w:t>ha</w:t>
      </w:r>
      <w:r w:rsidR="00B14A09" w:rsidRPr="00662C5B">
        <w:rPr>
          <w:noProof/>
          <w:lang w:val="en-US"/>
        </w:rPr>
        <w:t>d</w:t>
      </w:r>
      <w:r w:rsidR="00C077DA" w:rsidRPr="00662C5B">
        <w:rPr>
          <w:noProof/>
          <w:lang w:val="en-US"/>
        </w:rPr>
        <w:t xml:space="preserve"> had no conflicts with t</w:t>
      </w:r>
      <w:r w:rsidR="00B14A09" w:rsidRPr="00662C5B">
        <w:rPr>
          <w:noProof/>
          <w:lang w:val="en-US"/>
        </w:rPr>
        <w:t>h</w:t>
      </w:r>
      <w:r w:rsidR="000476A4" w:rsidRPr="00662C5B">
        <w:rPr>
          <w:noProof/>
          <w:lang w:val="en-US"/>
        </w:rPr>
        <w:t>at</w:t>
      </w:r>
      <w:r w:rsidR="00B14A09" w:rsidRPr="00662C5B">
        <w:rPr>
          <w:noProof/>
          <w:lang w:val="en-US"/>
        </w:rPr>
        <w:t xml:space="preserve"> clan</w:t>
      </w:r>
      <w:r w:rsidR="00C077DA" w:rsidRPr="00662C5B">
        <w:rPr>
          <w:noProof/>
          <w:lang w:val="en-US"/>
        </w:rPr>
        <w:t>. Nor ha</w:t>
      </w:r>
      <w:r w:rsidR="000476A4" w:rsidRPr="00662C5B">
        <w:rPr>
          <w:noProof/>
          <w:lang w:val="en-US"/>
        </w:rPr>
        <w:t>d</w:t>
      </w:r>
      <w:r w:rsidR="00C077DA" w:rsidRPr="00662C5B">
        <w:rPr>
          <w:noProof/>
          <w:lang w:val="en-US"/>
        </w:rPr>
        <w:t xml:space="preserve"> he had any other problems due to his clan affiliation.</w:t>
      </w:r>
      <w:r w:rsidR="0065120C" w:rsidRPr="00662C5B">
        <w:rPr>
          <w:noProof/>
          <w:lang w:val="en-US"/>
        </w:rPr>
        <w:t xml:space="preserve"> The </w:t>
      </w:r>
      <w:r w:rsidR="00517E3A" w:rsidRPr="00662C5B">
        <w:rPr>
          <w:noProof/>
          <w:lang w:val="en-US"/>
        </w:rPr>
        <w:t>Refugee Appeals Board</w:t>
      </w:r>
      <w:r w:rsidR="0065120C" w:rsidRPr="00662C5B">
        <w:rPr>
          <w:noProof/>
          <w:lang w:val="en-US"/>
        </w:rPr>
        <w:t xml:space="preserve"> also concluded that the author, who appeared to be a very low-profile individual, </w:t>
      </w:r>
      <w:r w:rsidR="00C122F9" w:rsidRPr="00662C5B">
        <w:rPr>
          <w:noProof/>
          <w:lang w:val="en-US"/>
        </w:rPr>
        <w:t>was</w:t>
      </w:r>
      <w:r w:rsidR="0065120C" w:rsidRPr="00662C5B">
        <w:rPr>
          <w:noProof/>
          <w:lang w:val="en-US"/>
        </w:rPr>
        <w:t xml:space="preserve"> unable to substantiate his grounds for asylum before the </w:t>
      </w:r>
      <w:r w:rsidR="00517E3A" w:rsidRPr="00662C5B">
        <w:rPr>
          <w:noProof/>
          <w:lang w:val="en-US"/>
        </w:rPr>
        <w:t>Board</w:t>
      </w:r>
      <w:r w:rsidR="0065120C" w:rsidRPr="00662C5B">
        <w:rPr>
          <w:noProof/>
          <w:lang w:val="en-US"/>
        </w:rPr>
        <w:t xml:space="preserve">. Therefore, the </w:t>
      </w:r>
      <w:r w:rsidR="00517E3A" w:rsidRPr="00662C5B">
        <w:rPr>
          <w:noProof/>
          <w:lang w:val="en-US"/>
        </w:rPr>
        <w:t xml:space="preserve">Board </w:t>
      </w:r>
      <w:r w:rsidR="0065120C" w:rsidRPr="00662C5B">
        <w:rPr>
          <w:noProof/>
          <w:lang w:val="en-US"/>
        </w:rPr>
        <w:t xml:space="preserve">rejected his statement that he </w:t>
      </w:r>
      <w:r w:rsidR="000476A4" w:rsidRPr="00662C5B">
        <w:rPr>
          <w:noProof/>
          <w:lang w:val="en-US"/>
        </w:rPr>
        <w:t xml:space="preserve">had </w:t>
      </w:r>
      <w:r w:rsidR="0065120C" w:rsidRPr="00662C5B">
        <w:rPr>
          <w:noProof/>
          <w:lang w:val="en-US"/>
        </w:rPr>
        <w:t xml:space="preserve">allegedly </w:t>
      </w:r>
      <w:r w:rsidR="000476A4" w:rsidRPr="00662C5B">
        <w:rPr>
          <w:noProof/>
          <w:lang w:val="en-US"/>
        </w:rPr>
        <w:t xml:space="preserve">been </w:t>
      </w:r>
      <w:r w:rsidR="0065120C" w:rsidRPr="00662C5B">
        <w:rPr>
          <w:noProof/>
          <w:lang w:val="en-US"/>
        </w:rPr>
        <w:t xml:space="preserve">pursued by </w:t>
      </w:r>
      <w:r w:rsidR="00C122F9" w:rsidRPr="00662C5B">
        <w:rPr>
          <w:noProof/>
          <w:lang w:val="en-US"/>
        </w:rPr>
        <w:t>Al-Shabaab</w:t>
      </w:r>
      <w:r w:rsidR="0065120C" w:rsidRPr="00662C5B">
        <w:rPr>
          <w:noProof/>
          <w:lang w:val="en-US"/>
        </w:rPr>
        <w:t xml:space="preserve">. According to the most recent background information on Qoryooley, the </w:t>
      </w:r>
      <w:r w:rsidR="00517E3A" w:rsidRPr="00662C5B">
        <w:rPr>
          <w:noProof/>
          <w:lang w:val="en-US"/>
        </w:rPr>
        <w:t xml:space="preserve">Board </w:t>
      </w:r>
      <w:r w:rsidR="0065120C" w:rsidRPr="00662C5B">
        <w:rPr>
          <w:noProof/>
          <w:lang w:val="en-US"/>
        </w:rPr>
        <w:t>considered it a fact that</w:t>
      </w:r>
      <w:r w:rsidR="00F65F03">
        <w:rPr>
          <w:noProof/>
          <w:lang w:val="en-US"/>
        </w:rPr>
        <w:t xml:space="preserve"> </w:t>
      </w:r>
      <w:r w:rsidR="0065120C" w:rsidRPr="00662C5B">
        <w:rPr>
          <w:noProof/>
          <w:lang w:val="en-US"/>
        </w:rPr>
        <w:t>Al</w:t>
      </w:r>
      <w:r w:rsidR="00F65F03">
        <w:rPr>
          <w:noProof/>
          <w:lang w:val="en-US"/>
        </w:rPr>
        <w:t>−</w:t>
      </w:r>
      <w:r w:rsidR="0065120C" w:rsidRPr="00662C5B">
        <w:rPr>
          <w:noProof/>
          <w:lang w:val="en-US"/>
        </w:rPr>
        <w:t>Shabaab had bee</w:t>
      </w:r>
      <w:r w:rsidR="00DF674D" w:rsidRPr="00662C5B">
        <w:rPr>
          <w:noProof/>
          <w:lang w:val="en-US"/>
        </w:rPr>
        <w:t>n driven out from that town</w:t>
      </w:r>
      <w:r w:rsidR="000476A4" w:rsidRPr="00662C5B">
        <w:rPr>
          <w:noProof/>
          <w:lang w:val="en-US"/>
        </w:rPr>
        <w:t>,</w:t>
      </w:r>
      <w:r w:rsidR="00DF674D" w:rsidRPr="00662C5B">
        <w:rPr>
          <w:noProof/>
          <w:lang w:val="en-US"/>
        </w:rPr>
        <w:t xml:space="preserve"> and that regardless of the generally difficult conditions in the area, it could not be assumed that the general security situation in the area was of such</w:t>
      </w:r>
      <w:r w:rsidR="000476A4" w:rsidRPr="00662C5B">
        <w:rPr>
          <w:noProof/>
          <w:lang w:val="en-US"/>
        </w:rPr>
        <w:t xml:space="preserve"> a</w:t>
      </w:r>
      <w:r w:rsidR="00DF674D" w:rsidRPr="00662C5B">
        <w:rPr>
          <w:noProof/>
          <w:lang w:val="en-US"/>
        </w:rPr>
        <w:t xml:space="preserve"> nature that everybody returning to Qoryooley may be deemed to be at a real risk of abuse. Consequently, the </w:t>
      </w:r>
      <w:r w:rsidR="00517E3A" w:rsidRPr="00662C5B">
        <w:rPr>
          <w:noProof/>
          <w:lang w:val="en-US"/>
        </w:rPr>
        <w:t xml:space="preserve">Board </w:t>
      </w:r>
      <w:r w:rsidR="00C122F9" w:rsidRPr="00662C5B">
        <w:rPr>
          <w:noProof/>
          <w:lang w:val="en-US"/>
        </w:rPr>
        <w:t xml:space="preserve">found that the author </w:t>
      </w:r>
      <w:r w:rsidR="00DF674D" w:rsidRPr="00662C5B">
        <w:rPr>
          <w:noProof/>
          <w:lang w:val="en-US"/>
        </w:rPr>
        <w:t xml:space="preserve">did not establish that </w:t>
      </w:r>
      <w:r w:rsidR="00C122F9" w:rsidRPr="00662C5B">
        <w:rPr>
          <w:noProof/>
          <w:lang w:val="en-US"/>
        </w:rPr>
        <w:t>he</w:t>
      </w:r>
      <w:r w:rsidR="00DF674D" w:rsidRPr="00662C5B">
        <w:rPr>
          <w:noProof/>
          <w:lang w:val="en-US"/>
        </w:rPr>
        <w:t xml:space="preserve"> was persecuted at the time when he left Somalia</w:t>
      </w:r>
      <w:r w:rsidR="00B01FF2" w:rsidRPr="00662C5B">
        <w:rPr>
          <w:noProof/>
          <w:lang w:val="en-US"/>
        </w:rPr>
        <w:t>,</w:t>
      </w:r>
      <w:r w:rsidR="00DF674D" w:rsidRPr="00662C5B">
        <w:rPr>
          <w:noProof/>
          <w:lang w:val="en-US"/>
        </w:rPr>
        <w:t xml:space="preserve"> or that he would risk persecution </w:t>
      </w:r>
      <w:r w:rsidR="00A471DA">
        <w:rPr>
          <w:lang w:val="en-GB"/>
        </w:rPr>
        <w:t>giving rise to protection under</w:t>
      </w:r>
      <w:r w:rsidR="00DF674D" w:rsidRPr="00662C5B">
        <w:rPr>
          <w:noProof/>
          <w:lang w:val="en-US"/>
        </w:rPr>
        <w:t xml:space="preserve"> section 7</w:t>
      </w:r>
      <w:r w:rsidR="00517E3A" w:rsidRPr="00662C5B">
        <w:rPr>
          <w:noProof/>
          <w:lang w:val="en-US"/>
        </w:rPr>
        <w:t xml:space="preserve"> </w:t>
      </w:r>
      <w:r w:rsidR="00DF674D" w:rsidRPr="00662C5B">
        <w:rPr>
          <w:noProof/>
          <w:lang w:val="en-US"/>
        </w:rPr>
        <w:t>(1) of the Aliens Act, or that he would risk treatment or punishment under section 7</w:t>
      </w:r>
      <w:r w:rsidR="00517E3A" w:rsidRPr="00662C5B">
        <w:rPr>
          <w:noProof/>
          <w:lang w:val="en-US"/>
        </w:rPr>
        <w:t xml:space="preserve"> </w:t>
      </w:r>
      <w:r w:rsidR="00DF674D" w:rsidRPr="00662C5B">
        <w:rPr>
          <w:noProof/>
          <w:lang w:val="en-US"/>
        </w:rPr>
        <w:t>(2) of that Act.</w:t>
      </w:r>
    </w:p>
    <w:p w14:paraId="3EAE2488" w14:textId="6FE22A97" w:rsidR="00B60EDE" w:rsidRPr="00662C5B" w:rsidRDefault="00C618A7" w:rsidP="00F90D1A">
      <w:pPr>
        <w:pStyle w:val="SingleTxtG"/>
        <w:rPr>
          <w:noProof/>
          <w:lang w:val="en-US"/>
        </w:rPr>
      </w:pPr>
      <w:r w:rsidRPr="00662C5B">
        <w:rPr>
          <w:noProof/>
          <w:lang w:val="en-US"/>
        </w:rPr>
        <w:t>4.2</w:t>
      </w:r>
      <w:r w:rsidRPr="00662C5B">
        <w:rPr>
          <w:noProof/>
          <w:lang w:val="en-US"/>
        </w:rPr>
        <w:tab/>
      </w:r>
      <w:r w:rsidR="00B01FF2" w:rsidRPr="00662C5B">
        <w:rPr>
          <w:noProof/>
          <w:lang w:val="en-US"/>
        </w:rPr>
        <w:t>T</w:t>
      </w:r>
      <w:r w:rsidR="00316892" w:rsidRPr="00662C5B">
        <w:rPr>
          <w:noProof/>
          <w:lang w:val="en-US"/>
        </w:rPr>
        <w:t xml:space="preserve">he State party </w:t>
      </w:r>
      <w:r w:rsidR="00B01FF2" w:rsidRPr="00662C5B">
        <w:rPr>
          <w:noProof/>
          <w:lang w:val="en-US"/>
        </w:rPr>
        <w:t xml:space="preserve">then </w:t>
      </w:r>
      <w:r w:rsidR="00316892" w:rsidRPr="00662C5B">
        <w:rPr>
          <w:noProof/>
          <w:lang w:val="en-US"/>
        </w:rPr>
        <w:t>proceed</w:t>
      </w:r>
      <w:r w:rsidR="00B01FF2" w:rsidRPr="00662C5B">
        <w:rPr>
          <w:noProof/>
          <w:lang w:val="en-US"/>
        </w:rPr>
        <w:t>ed</w:t>
      </w:r>
      <w:r w:rsidR="00316892" w:rsidRPr="00662C5B">
        <w:rPr>
          <w:noProof/>
          <w:lang w:val="en-US"/>
        </w:rPr>
        <w:t xml:space="preserve"> to provide a detailed description of its refugee status application proceedings, the legal basis and the functioning of the Refugee Appeals Board.</w:t>
      </w:r>
      <w:r w:rsidR="00316892" w:rsidRPr="00662C5B">
        <w:rPr>
          <w:noProof/>
          <w:vertAlign w:val="superscript"/>
          <w:lang w:val="en-US"/>
        </w:rPr>
        <w:footnoteReference w:id="4"/>
      </w:r>
      <w:r w:rsidR="00316892" w:rsidRPr="00662C5B">
        <w:rPr>
          <w:noProof/>
          <w:lang w:val="en-US"/>
        </w:rPr>
        <w:t xml:space="preserve"> </w:t>
      </w:r>
      <w:r w:rsidR="00896A7C" w:rsidRPr="00662C5B">
        <w:rPr>
          <w:noProof/>
          <w:lang w:val="en-US"/>
        </w:rPr>
        <w:t xml:space="preserve">As regards the general conditions in a country, the State party refers to the judgment of the European Court of Human Rights in </w:t>
      </w:r>
      <w:r w:rsidR="00896A7C" w:rsidRPr="00662C5B">
        <w:rPr>
          <w:i/>
          <w:iCs/>
          <w:noProof/>
          <w:lang w:val="en-US"/>
        </w:rPr>
        <w:t>NA. v. the United Kingdom</w:t>
      </w:r>
      <w:r w:rsidR="004F127B" w:rsidRPr="00662C5B">
        <w:rPr>
          <w:noProof/>
          <w:lang w:val="en-US"/>
        </w:rPr>
        <w:t>,</w:t>
      </w:r>
      <w:r w:rsidR="00896A7C" w:rsidRPr="00662C5B">
        <w:rPr>
          <w:i/>
          <w:iCs/>
          <w:noProof/>
          <w:lang w:val="en-US"/>
        </w:rPr>
        <w:t xml:space="preserve"> </w:t>
      </w:r>
      <w:r w:rsidR="004F127B" w:rsidRPr="00662C5B">
        <w:rPr>
          <w:noProof/>
          <w:lang w:val="en-US"/>
        </w:rPr>
        <w:t xml:space="preserve">in which </w:t>
      </w:r>
      <w:r w:rsidR="00896A7C" w:rsidRPr="00662C5B">
        <w:rPr>
          <w:noProof/>
          <w:lang w:val="en-US"/>
        </w:rPr>
        <w:t>it</w:t>
      </w:r>
      <w:r w:rsidR="004F127B" w:rsidRPr="00662C5B">
        <w:rPr>
          <w:noProof/>
          <w:lang w:val="en-US"/>
        </w:rPr>
        <w:t xml:space="preserve"> was</w:t>
      </w:r>
      <w:r w:rsidR="00896A7C" w:rsidRPr="00662C5B">
        <w:rPr>
          <w:noProof/>
          <w:lang w:val="en-US"/>
        </w:rPr>
        <w:t xml:space="preserve"> stated that the mere possibility of ill-treatment because of an unstable situation or a general situation of violence in the applicant’s country of origin would not</w:t>
      </w:r>
      <w:r w:rsidR="007A3434" w:rsidRPr="00662C5B">
        <w:rPr>
          <w:noProof/>
          <w:lang w:val="en-US"/>
        </w:rPr>
        <w:t>,</w:t>
      </w:r>
      <w:r w:rsidR="00896A7C" w:rsidRPr="00662C5B">
        <w:rPr>
          <w:noProof/>
          <w:lang w:val="en-US"/>
        </w:rPr>
        <w:t xml:space="preserve"> in itself</w:t>
      </w:r>
      <w:r w:rsidR="007A3434" w:rsidRPr="00662C5B">
        <w:rPr>
          <w:noProof/>
          <w:lang w:val="en-US"/>
        </w:rPr>
        <w:t>,</w:t>
      </w:r>
      <w:r w:rsidR="00896A7C" w:rsidRPr="00662C5B">
        <w:rPr>
          <w:noProof/>
          <w:lang w:val="en-US"/>
        </w:rPr>
        <w:t xml:space="preserve"> amount to a breach of article 3 of the </w:t>
      </w:r>
      <w:r w:rsidR="00DB3D69" w:rsidRPr="00662C5B">
        <w:rPr>
          <w:noProof/>
          <w:lang w:val="en-US"/>
        </w:rPr>
        <w:t>Convention for the Protection of Human Rights and Fundamental Freedoms (</w:t>
      </w:r>
      <w:r w:rsidR="00896A7C" w:rsidRPr="00662C5B">
        <w:rPr>
          <w:noProof/>
          <w:lang w:val="en-US"/>
        </w:rPr>
        <w:t>European Convention</w:t>
      </w:r>
      <w:r w:rsidR="00DB3D69" w:rsidRPr="00662C5B">
        <w:rPr>
          <w:noProof/>
          <w:lang w:val="en-US"/>
        </w:rPr>
        <w:t xml:space="preserve"> on Human Rights)</w:t>
      </w:r>
      <w:r w:rsidRPr="00662C5B">
        <w:rPr>
          <w:noProof/>
          <w:lang w:val="en-US"/>
        </w:rPr>
        <w:t>.</w:t>
      </w:r>
      <w:r w:rsidR="00896A7C" w:rsidRPr="00662C5B">
        <w:rPr>
          <w:rStyle w:val="FootnoteReference"/>
          <w:noProof/>
          <w:sz w:val="20"/>
          <w:lang w:val="en-US"/>
        </w:rPr>
        <w:footnoteReference w:id="5"/>
      </w:r>
      <w:r w:rsidR="00896A7C" w:rsidRPr="00662C5B">
        <w:rPr>
          <w:noProof/>
          <w:lang w:val="en-US"/>
        </w:rPr>
        <w:t xml:space="preserve"> In that case, the Court assessed that </w:t>
      </w:r>
      <w:r w:rsidR="00192369" w:rsidRPr="00662C5B">
        <w:rPr>
          <w:noProof/>
          <w:lang w:val="en-US"/>
        </w:rPr>
        <w:t xml:space="preserve">a </w:t>
      </w:r>
      <w:r w:rsidR="00896A7C" w:rsidRPr="00662C5B">
        <w:rPr>
          <w:noProof/>
          <w:lang w:val="en-US"/>
        </w:rPr>
        <w:t xml:space="preserve">deterioration in the security situation and </w:t>
      </w:r>
      <w:r w:rsidR="00192369" w:rsidRPr="00662C5B">
        <w:rPr>
          <w:noProof/>
          <w:lang w:val="en-US"/>
        </w:rPr>
        <w:t xml:space="preserve">an </w:t>
      </w:r>
      <w:r w:rsidR="00896A7C" w:rsidRPr="00662C5B">
        <w:rPr>
          <w:noProof/>
          <w:lang w:val="en-US"/>
        </w:rPr>
        <w:t xml:space="preserve">increase in human rights violations in </w:t>
      </w:r>
      <w:r w:rsidR="0014139A" w:rsidRPr="00662C5B">
        <w:rPr>
          <w:noProof/>
          <w:lang w:val="en-US"/>
        </w:rPr>
        <w:t>a</w:t>
      </w:r>
      <w:r w:rsidR="00896A7C" w:rsidRPr="00662C5B">
        <w:rPr>
          <w:noProof/>
          <w:lang w:val="en-US"/>
        </w:rPr>
        <w:t xml:space="preserve"> specific country did not independently create a general risk to all persons of a specific ethnic group returning to that country</w:t>
      </w:r>
      <w:r w:rsidRPr="00662C5B">
        <w:rPr>
          <w:noProof/>
          <w:lang w:val="en-US"/>
        </w:rPr>
        <w:t>.</w:t>
      </w:r>
      <w:r w:rsidR="00896A7C" w:rsidRPr="00662C5B">
        <w:rPr>
          <w:rStyle w:val="FootnoteReference"/>
          <w:noProof/>
          <w:sz w:val="20"/>
          <w:lang w:val="en-US"/>
        </w:rPr>
        <w:footnoteReference w:id="6"/>
      </w:r>
      <w:r w:rsidR="0082022D" w:rsidRPr="00662C5B">
        <w:rPr>
          <w:noProof/>
          <w:lang w:val="en-US"/>
        </w:rPr>
        <w:t xml:space="preserve"> Furthermore, the Court stated that it had never excluded the possibility that a general situation of violence in a </w:t>
      </w:r>
      <w:r w:rsidR="002152E9" w:rsidRPr="00662C5B">
        <w:rPr>
          <w:noProof/>
          <w:lang w:val="en-US"/>
        </w:rPr>
        <w:t xml:space="preserve">specific </w:t>
      </w:r>
      <w:r w:rsidR="0082022D" w:rsidRPr="00662C5B">
        <w:rPr>
          <w:noProof/>
          <w:lang w:val="en-US"/>
        </w:rPr>
        <w:t>country of origin w</w:t>
      </w:r>
      <w:r w:rsidR="00192369" w:rsidRPr="00662C5B">
        <w:rPr>
          <w:noProof/>
          <w:lang w:val="en-US"/>
        </w:rPr>
        <w:t>ould</w:t>
      </w:r>
      <w:r w:rsidR="0082022D" w:rsidRPr="00662C5B">
        <w:rPr>
          <w:noProof/>
          <w:lang w:val="en-US"/>
        </w:rPr>
        <w:t xml:space="preserve"> be of a sufficient level of intensity as to </w:t>
      </w:r>
      <w:r w:rsidR="00192369" w:rsidRPr="00662C5B">
        <w:rPr>
          <w:noProof/>
          <w:lang w:val="en-US"/>
        </w:rPr>
        <w:t xml:space="preserve">mean </w:t>
      </w:r>
      <w:r w:rsidR="0082022D" w:rsidRPr="00662C5B">
        <w:rPr>
          <w:noProof/>
          <w:lang w:val="en-US"/>
        </w:rPr>
        <w:t>that any removal to that country would necessarily breach article 3 of the European Convention</w:t>
      </w:r>
      <w:r w:rsidR="00E763D0" w:rsidRPr="00662C5B">
        <w:rPr>
          <w:noProof/>
          <w:lang w:val="en-US"/>
        </w:rPr>
        <w:t xml:space="preserve"> on Human Rights</w:t>
      </w:r>
      <w:r w:rsidR="002152E9" w:rsidRPr="00662C5B">
        <w:rPr>
          <w:noProof/>
          <w:lang w:val="en-US"/>
        </w:rPr>
        <w:t>. T</w:t>
      </w:r>
      <w:r w:rsidR="0082022D" w:rsidRPr="00662C5B">
        <w:rPr>
          <w:noProof/>
          <w:lang w:val="en-US"/>
        </w:rPr>
        <w:t xml:space="preserve">he Court would adopt such an approach only in the most extreme cases of general violence, where there was a real risk of ill-treatment simply by virtue of an individual’s presence in the area. Where it is established that an applicant is a member of a group systematically exposed to a practice of ill-treatment in his country of origin, the Court has considered that the protection of article 3 of the </w:t>
      </w:r>
      <w:r w:rsidR="00E763D0" w:rsidRPr="00662C5B">
        <w:rPr>
          <w:noProof/>
          <w:lang w:val="en-US"/>
        </w:rPr>
        <w:t>European Convention on Human Rights</w:t>
      </w:r>
      <w:r w:rsidR="0082022D" w:rsidRPr="00662C5B">
        <w:rPr>
          <w:noProof/>
          <w:lang w:val="en-US"/>
        </w:rPr>
        <w:t xml:space="preserve"> enters into play, and </w:t>
      </w:r>
      <w:r w:rsidR="00192369" w:rsidRPr="00662C5B">
        <w:rPr>
          <w:noProof/>
          <w:lang w:val="en-US"/>
        </w:rPr>
        <w:t>it</w:t>
      </w:r>
      <w:r w:rsidR="0082022D" w:rsidRPr="00662C5B">
        <w:rPr>
          <w:noProof/>
          <w:lang w:val="en-US"/>
        </w:rPr>
        <w:t xml:space="preserve"> will not then insist that the applicant show the existence of further special distinguishing features to substantiate </w:t>
      </w:r>
      <w:r w:rsidR="00F53B4F">
        <w:rPr>
          <w:noProof/>
          <w:lang w:val="en-US"/>
        </w:rPr>
        <w:t xml:space="preserve">an assertion </w:t>
      </w:r>
      <w:r w:rsidR="0082022D" w:rsidRPr="00662C5B">
        <w:rPr>
          <w:noProof/>
          <w:lang w:val="en-US"/>
        </w:rPr>
        <w:t>that he would be at risk of ill-treatment on return to his country of origin</w:t>
      </w:r>
      <w:r w:rsidRPr="00662C5B">
        <w:rPr>
          <w:noProof/>
          <w:lang w:val="en-US"/>
        </w:rPr>
        <w:t>.</w:t>
      </w:r>
      <w:r w:rsidR="0082022D" w:rsidRPr="00662C5B">
        <w:rPr>
          <w:rStyle w:val="FootnoteReference"/>
          <w:noProof/>
          <w:sz w:val="20"/>
          <w:lang w:val="en-US"/>
        </w:rPr>
        <w:footnoteReference w:id="7"/>
      </w:r>
    </w:p>
    <w:p w14:paraId="39BC4116" w14:textId="634518BD" w:rsidR="001627D5" w:rsidRPr="00662C5B" w:rsidRDefault="00501E6D" w:rsidP="000A1B9F">
      <w:pPr>
        <w:pStyle w:val="SingleTxtG"/>
        <w:rPr>
          <w:noProof/>
          <w:lang w:val="en-US"/>
        </w:rPr>
      </w:pPr>
      <w:r w:rsidRPr="00662C5B">
        <w:rPr>
          <w:noProof/>
          <w:lang w:val="en-US"/>
        </w:rPr>
        <w:t>4.</w:t>
      </w:r>
      <w:r w:rsidR="000A1B9F">
        <w:rPr>
          <w:noProof/>
          <w:lang w:val="en-US"/>
        </w:rPr>
        <w:t>3</w:t>
      </w:r>
      <w:r w:rsidR="00C618A7" w:rsidRPr="00662C5B">
        <w:rPr>
          <w:noProof/>
          <w:lang w:val="en-US"/>
        </w:rPr>
        <w:tab/>
      </w:r>
      <w:r w:rsidR="001627D5" w:rsidRPr="00662C5B">
        <w:rPr>
          <w:noProof/>
          <w:lang w:val="en-US"/>
        </w:rPr>
        <w:t>T</w:t>
      </w:r>
      <w:r w:rsidRPr="00662C5B">
        <w:rPr>
          <w:noProof/>
          <w:lang w:val="en-US"/>
        </w:rPr>
        <w:t xml:space="preserve">he State party further refers to the Court’s judgment in </w:t>
      </w:r>
      <w:r w:rsidR="00EE0164" w:rsidRPr="00662C5B">
        <w:rPr>
          <w:i/>
          <w:iCs/>
          <w:noProof/>
          <w:lang w:val="en-US"/>
        </w:rPr>
        <w:t>Sufi and Elmi v. the United Kingdom</w:t>
      </w:r>
      <w:r w:rsidRPr="00662C5B">
        <w:rPr>
          <w:noProof/>
          <w:lang w:val="en-US"/>
        </w:rPr>
        <w:t>,</w:t>
      </w:r>
      <w:r w:rsidRPr="00662C5B">
        <w:rPr>
          <w:i/>
          <w:iCs/>
          <w:noProof/>
          <w:lang w:val="en-US"/>
        </w:rPr>
        <w:t xml:space="preserve"> </w:t>
      </w:r>
      <w:r w:rsidR="00EE0164" w:rsidRPr="00662C5B">
        <w:rPr>
          <w:iCs/>
          <w:noProof/>
          <w:lang w:val="en-US"/>
        </w:rPr>
        <w:t xml:space="preserve">where the Court </w:t>
      </w:r>
      <w:r w:rsidR="00EE0164" w:rsidRPr="00662C5B">
        <w:rPr>
          <w:noProof/>
          <w:lang w:val="en-US"/>
        </w:rPr>
        <w:t xml:space="preserve">found that the removal of the applicants, Somali nationals, to Mogadishu would be contrary to article 3 of the </w:t>
      </w:r>
      <w:r w:rsidR="00E763D0" w:rsidRPr="00662C5B">
        <w:rPr>
          <w:noProof/>
          <w:lang w:val="en-US"/>
        </w:rPr>
        <w:t>European Convention on Human Rights</w:t>
      </w:r>
      <w:r w:rsidR="00C618A7" w:rsidRPr="00662C5B">
        <w:rPr>
          <w:noProof/>
          <w:lang w:val="en-US"/>
        </w:rPr>
        <w:t>.</w:t>
      </w:r>
      <w:r w:rsidR="00EE0164" w:rsidRPr="00662C5B">
        <w:rPr>
          <w:rStyle w:val="FootnoteReference"/>
          <w:noProof/>
          <w:sz w:val="20"/>
          <w:lang w:val="en-US"/>
        </w:rPr>
        <w:footnoteReference w:id="8"/>
      </w:r>
      <w:r w:rsidR="00C618A7" w:rsidRPr="00662C5B">
        <w:rPr>
          <w:noProof/>
          <w:lang w:val="en-US"/>
        </w:rPr>
        <w:t xml:space="preserve"> </w:t>
      </w:r>
      <w:r w:rsidR="00EE0164" w:rsidRPr="00662C5B">
        <w:rPr>
          <w:iCs/>
          <w:noProof/>
          <w:lang w:val="en-US"/>
        </w:rPr>
        <w:t xml:space="preserve">The State party </w:t>
      </w:r>
      <w:r w:rsidR="001627D5" w:rsidRPr="00662C5B">
        <w:rPr>
          <w:iCs/>
          <w:noProof/>
          <w:lang w:val="en-US"/>
        </w:rPr>
        <w:t>observes</w:t>
      </w:r>
      <w:r w:rsidR="00EE0164" w:rsidRPr="00662C5B">
        <w:rPr>
          <w:iCs/>
          <w:noProof/>
          <w:lang w:val="en-US"/>
        </w:rPr>
        <w:t xml:space="preserve"> </w:t>
      </w:r>
      <w:r w:rsidR="00F040FA" w:rsidRPr="00662C5B">
        <w:rPr>
          <w:iCs/>
          <w:noProof/>
          <w:lang w:val="en-US"/>
        </w:rPr>
        <w:t xml:space="preserve">that </w:t>
      </w:r>
      <w:r w:rsidR="001627D5" w:rsidRPr="00662C5B">
        <w:rPr>
          <w:iCs/>
          <w:noProof/>
          <w:lang w:val="en-US"/>
        </w:rPr>
        <w:t xml:space="preserve">article 3 of the </w:t>
      </w:r>
      <w:r w:rsidR="00E763D0" w:rsidRPr="00662C5B">
        <w:rPr>
          <w:noProof/>
          <w:lang w:val="en-US"/>
        </w:rPr>
        <w:t>European Convention on Human Rights</w:t>
      </w:r>
      <w:r w:rsidR="001627D5" w:rsidRPr="00662C5B">
        <w:rPr>
          <w:iCs/>
          <w:noProof/>
          <w:lang w:val="en-US"/>
        </w:rPr>
        <w:t xml:space="preserve"> is very similar to articles 6 and 7 of the Covenant</w:t>
      </w:r>
      <w:r w:rsidR="00F90D1A" w:rsidRPr="00662C5B">
        <w:rPr>
          <w:iCs/>
          <w:noProof/>
          <w:lang w:val="en-US"/>
        </w:rPr>
        <w:t>,</w:t>
      </w:r>
      <w:r w:rsidR="001627D5" w:rsidRPr="00662C5B">
        <w:rPr>
          <w:iCs/>
          <w:noProof/>
          <w:lang w:val="en-US"/>
        </w:rPr>
        <w:t xml:space="preserve"> and that the Court employed very specific criteria when examining the case</w:t>
      </w:r>
      <w:r w:rsidR="00F90D1A" w:rsidRPr="00662C5B">
        <w:rPr>
          <w:iCs/>
          <w:noProof/>
          <w:lang w:val="en-US"/>
        </w:rPr>
        <w:t xml:space="preserve"> of </w:t>
      </w:r>
      <w:r w:rsidR="00F90D1A" w:rsidRPr="00662C5B">
        <w:rPr>
          <w:i/>
          <w:iCs/>
          <w:noProof/>
          <w:lang w:val="en-US"/>
        </w:rPr>
        <w:t>Sufi and Elmi v. the United Kingdom</w:t>
      </w:r>
      <w:r w:rsidR="001627D5" w:rsidRPr="00662C5B">
        <w:rPr>
          <w:iCs/>
          <w:noProof/>
          <w:lang w:val="en-US"/>
        </w:rPr>
        <w:t xml:space="preserve">. In particular, </w:t>
      </w:r>
      <w:r w:rsidR="001F2052" w:rsidRPr="00662C5B">
        <w:rPr>
          <w:iCs/>
          <w:noProof/>
          <w:lang w:val="en-US"/>
        </w:rPr>
        <w:t xml:space="preserve">it assessed </w:t>
      </w:r>
      <w:r w:rsidR="001627D5" w:rsidRPr="00662C5B">
        <w:rPr>
          <w:noProof/>
          <w:lang w:val="en-US"/>
        </w:rPr>
        <w:t xml:space="preserve">whether the parties to the conflict were either employing methods and tactics of warfare which increased the risk of civilian casualties or </w:t>
      </w:r>
      <w:r w:rsidR="00F90D1A" w:rsidRPr="00662C5B">
        <w:rPr>
          <w:noProof/>
          <w:lang w:val="en-US"/>
        </w:rPr>
        <w:t xml:space="preserve">were </w:t>
      </w:r>
      <w:r w:rsidR="001627D5" w:rsidRPr="00662C5B">
        <w:rPr>
          <w:noProof/>
          <w:lang w:val="en-US"/>
        </w:rPr>
        <w:t>directly targeting civilians; whether the use of such methods and/or tactics was widespread among the parties to the conflict; whether the fighting was locali</w:t>
      </w:r>
      <w:r w:rsidR="00A36457" w:rsidRPr="00662C5B">
        <w:rPr>
          <w:noProof/>
          <w:lang w:val="en-US"/>
        </w:rPr>
        <w:t>z</w:t>
      </w:r>
      <w:r w:rsidR="001627D5" w:rsidRPr="00662C5B">
        <w:rPr>
          <w:noProof/>
          <w:lang w:val="en-US"/>
        </w:rPr>
        <w:t xml:space="preserve">ed or widespread; and the number of civilians killed, injured and displaced as a result of the fighting. </w:t>
      </w:r>
      <w:r w:rsidR="001F2052" w:rsidRPr="00662C5B">
        <w:rPr>
          <w:noProof/>
          <w:lang w:val="en-US"/>
        </w:rPr>
        <w:t>T</w:t>
      </w:r>
      <w:r w:rsidR="001627D5" w:rsidRPr="00662C5B">
        <w:rPr>
          <w:noProof/>
          <w:lang w:val="en-US"/>
        </w:rPr>
        <w:t xml:space="preserve">he State party notes that the </w:t>
      </w:r>
      <w:r w:rsidR="00F040FA" w:rsidRPr="00662C5B">
        <w:rPr>
          <w:noProof/>
          <w:lang w:val="en-US"/>
        </w:rPr>
        <w:t>Refugee Appeals Board</w:t>
      </w:r>
      <w:r w:rsidR="001627D5" w:rsidRPr="00662C5B">
        <w:rPr>
          <w:noProof/>
          <w:lang w:val="en-US"/>
        </w:rPr>
        <w:t xml:space="preserve"> also does not exclude the possibility that, due to random, generali</w:t>
      </w:r>
      <w:r w:rsidR="00E763D0" w:rsidRPr="00662C5B">
        <w:rPr>
          <w:noProof/>
          <w:lang w:val="en-US"/>
        </w:rPr>
        <w:t>z</w:t>
      </w:r>
      <w:r w:rsidR="001627D5" w:rsidRPr="00662C5B">
        <w:rPr>
          <w:noProof/>
          <w:lang w:val="en-US"/>
        </w:rPr>
        <w:t xml:space="preserve">ed violence, the general security situation in a </w:t>
      </w:r>
      <w:r w:rsidR="001F2052" w:rsidRPr="00662C5B">
        <w:rPr>
          <w:noProof/>
          <w:lang w:val="en-US"/>
        </w:rPr>
        <w:t xml:space="preserve">given </w:t>
      </w:r>
      <w:r w:rsidR="001627D5" w:rsidRPr="00662C5B">
        <w:rPr>
          <w:noProof/>
          <w:lang w:val="en-US"/>
        </w:rPr>
        <w:t xml:space="preserve">country may be of such </w:t>
      </w:r>
      <w:r w:rsidR="00A36457" w:rsidRPr="00662C5B">
        <w:rPr>
          <w:noProof/>
          <w:lang w:val="en-US"/>
        </w:rPr>
        <w:t xml:space="preserve">a </w:t>
      </w:r>
      <w:r w:rsidR="001627D5" w:rsidRPr="00662C5B">
        <w:rPr>
          <w:noProof/>
          <w:lang w:val="en-US"/>
        </w:rPr>
        <w:t xml:space="preserve">serious and extreme nature that it would </w:t>
      </w:r>
      <w:r w:rsidR="001F2052" w:rsidRPr="00662C5B">
        <w:rPr>
          <w:noProof/>
          <w:lang w:val="en-US"/>
        </w:rPr>
        <w:t xml:space="preserve">breach </w:t>
      </w:r>
      <w:r w:rsidR="001627D5" w:rsidRPr="00662C5B">
        <w:rPr>
          <w:noProof/>
          <w:lang w:val="en-US"/>
        </w:rPr>
        <w:t xml:space="preserve">article 3 of the </w:t>
      </w:r>
      <w:r w:rsidR="00E763D0" w:rsidRPr="00662C5B">
        <w:rPr>
          <w:noProof/>
          <w:lang w:val="en-US"/>
        </w:rPr>
        <w:t>European Convention on Human Rights</w:t>
      </w:r>
      <w:r w:rsidR="001627D5" w:rsidRPr="00662C5B">
        <w:rPr>
          <w:noProof/>
          <w:lang w:val="en-US"/>
        </w:rPr>
        <w:t xml:space="preserve"> to return an asylum</w:t>
      </w:r>
      <w:r w:rsidR="00A07CBD" w:rsidRPr="00662C5B">
        <w:rPr>
          <w:noProof/>
          <w:lang w:val="en-US"/>
        </w:rPr>
        <w:t xml:space="preserve"> </w:t>
      </w:r>
      <w:r w:rsidR="001627D5" w:rsidRPr="00662C5B">
        <w:rPr>
          <w:noProof/>
          <w:lang w:val="en-US"/>
        </w:rPr>
        <w:t xml:space="preserve">seeker to </w:t>
      </w:r>
      <w:r w:rsidR="0014139A" w:rsidRPr="00662C5B">
        <w:rPr>
          <w:noProof/>
          <w:lang w:val="en-US"/>
        </w:rPr>
        <w:t>that</w:t>
      </w:r>
      <w:r w:rsidR="001627D5" w:rsidRPr="00662C5B">
        <w:rPr>
          <w:noProof/>
          <w:lang w:val="en-US"/>
        </w:rPr>
        <w:t xml:space="preserve"> country and that, for this reason alone, </w:t>
      </w:r>
      <w:r w:rsidR="0014139A" w:rsidRPr="00662C5B">
        <w:rPr>
          <w:noProof/>
          <w:lang w:val="en-US"/>
        </w:rPr>
        <w:t>an</w:t>
      </w:r>
      <w:r w:rsidR="001627D5" w:rsidRPr="00662C5B">
        <w:rPr>
          <w:noProof/>
          <w:lang w:val="en-US"/>
        </w:rPr>
        <w:t xml:space="preserve"> asylum</w:t>
      </w:r>
      <w:r w:rsidR="00A07CBD" w:rsidRPr="00662C5B">
        <w:rPr>
          <w:noProof/>
          <w:lang w:val="en-US"/>
        </w:rPr>
        <w:t xml:space="preserve"> </w:t>
      </w:r>
      <w:r w:rsidR="001627D5" w:rsidRPr="00662C5B">
        <w:rPr>
          <w:noProof/>
          <w:lang w:val="en-US"/>
        </w:rPr>
        <w:t>seeker would satisfy the conditions of residence under section 7 of the Aliens Act.</w:t>
      </w:r>
    </w:p>
    <w:p w14:paraId="0619AE01" w14:textId="0ED27EA3" w:rsidR="00366CC4" w:rsidRPr="00662C5B" w:rsidRDefault="001627D5" w:rsidP="000A1B9F">
      <w:pPr>
        <w:pStyle w:val="SingleTxtG"/>
        <w:rPr>
          <w:noProof/>
          <w:lang w:val="en-US"/>
        </w:rPr>
      </w:pPr>
      <w:r w:rsidRPr="00662C5B">
        <w:rPr>
          <w:noProof/>
          <w:lang w:val="en-US"/>
        </w:rPr>
        <w:t>4.</w:t>
      </w:r>
      <w:r w:rsidR="000A1B9F">
        <w:rPr>
          <w:noProof/>
          <w:lang w:val="en-US"/>
        </w:rPr>
        <w:t>4</w:t>
      </w:r>
      <w:r w:rsidR="00C618A7" w:rsidRPr="00662C5B">
        <w:rPr>
          <w:noProof/>
          <w:lang w:val="en-US"/>
        </w:rPr>
        <w:tab/>
      </w:r>
      <w:r w:rsidRPr="00662C5B">
        <w:rPr>
          <w:noProof/>
          <w:lang w:val="en-US"/>
        </w:rPr>
        <w:t xml:space="preserve">In </w:t>
      </w:r>
      <w:r w:rsidR="00982B4E" w:rsidRPr="00662C5B">
        <w:rPr>
          <w:noProof/>
          <w:lang w:val="en-US"/>
        </w:rPr>
        <w:t xml:space="preserve">the </w:t>
      </w:r>
      <w:r w:rsidRPr="00662C5B">
        <w:rPr>
          <w:noProof/>
          <w:lang w:val="en-US"/>
        </w:rPr>
        <w:t>light of the above, w</w:t>
      </w:r>
      <w:r w:rsidR="00366CC4" w:rsidRPr="00662C5B">
        <w:rPr>
          <w:noProof/>
          <w:lang w:val="en-US"/>
        </w:rPr>
        <w:t xml:space="preserve">ith reference to </w:t>
      </w:r>
      <w:r w:rsidR="00982B4E" w:rsidRPr="00662C5B">
        <w:rPr>
          <w:noProof/>
          <w:lang w:val="en-US"/>
        </w:rPr>
        <w:t>r</w:t>
      </w:r>
      <w:r w:rsidR="00366CC4" w:rsidRPr="00662C5B">
        <w:rPr>
          <w:noProof/>
          <w:lang w:val="en-US"/>
        </w:rPr>
        <w:t xml:space="preserve">ule 96 (b) of the Committee’s </w:t>
      </w:r>
      <w:r w:rsidR="001F2052" w:rsidRPr="00662C5B">
        <w:rPr>
          <w:noProof/>
          <w:lang w:val="en-US"/>
        </w:rPr>
        <w:t>r</w:t>
      </w:r>
      <w:r w:rsidR="00366CC4" w:rsidRPr="00662C5B">
        <w:rPr>
          <w:noProof/>
          <w:lang w:val="en-US"/>
        </w:rPr>
        <w:t xml:space="preserve">ules of </w:t>
      </w:r>
      <w:r w:rsidR="001F2052" w:rsidRPr="00662C5B">
        <w:rPr>
          <w:noProof/>
          <w:lang w:val="en-US"/>
        </w:rPr>
        <w:t>p</w:t>
      </w:r>
      <w:r w:rsidR="00366CC4" w:rsidRPr="00662C5B">
        <w:rPr>
          <w:noProof/>
          <w:lang w:val="en-US"/>
        </w:rPr>
        <w:t>rocedure, the State party submits that the author has failed to establish a prima facie case for the purpose of admissibility of his claim under article 7</w:t>
      </w:r>
      <w:r w:rsidR="009E2D6D" w:rsidRPr="00662C5B">
        <w:rPr>
          <w:noProof/>
          <w:lang w:val="en-US"/>
        </w:rPr>
        <w:t xml:space="preserve"> of the Covenant</w:t>
      </w:r>
      <w:r w:rsidR="00982B4E" w:rsidRPr="00662C5B">
        <w:rPr>
          <w:noProof/>
          <w:lang w:val="en-US"/>
        </w:rPr>
        <w:t>,</w:t>
      </w:r>
      <w:r w:rsidR="009E2D6D" w:rsidRPr="00662C5B">
        <w:rPr>
          <w:noProof/>
          <w:lang w:val="en-US"/>
        </w:rPr>
        <w:t xml:space="preserve"> </w:t>
      </w:r>
      <w:r w:rsidR="00366CC4" w:rsidRPr="00662C5B">
        <w:rPr>
          <w:noProof/>
          <w:lang w:val="en-US"/>
        </w:rPr>
        <w:t xml:space="preserve">as it has not been established that there are substantial grounds for believing that the author is in danger of being subjected to torture or cruel, inhuman or degrading treatment or punishment </w:t>
      </w:r>
      <w:r w:rsidR="001F2052" w:rsidRPr="00662C5B">
        <w:rPr>
          <w:noProof/>
          <w:lang w:val="en-US"/>
        </w:rPr>
        <w:t>in</w:t>
      </w:r>
      <w:r w:rsidR="00366CC4" w:rsidRPr="00662C5B">
        <w:rPr>
          <w:noProof/>
          <w:lang w:val="en-US"/>
        </w:rPr>
        <w:t xml:space="preserve"> Somalia</w:t>
      </w:r>
      <w:r w:rsidR="00C618A7" w:rsidRPr="00662C5B">
        <w:rPr>
          <w:noProof/>
          <w:lang w:val="en-US"/>
        </w:rPr>
        <w:t>.</w:t>
      </w:r>
      <w:r w:rsidR="009E2D6D" w:rsidRPr="00662C5B">
        <w:rPr>
          <w:rStyle w:val="FootnoteReference"/>
          <w:noProof/>
          <w:lang w:val="en-US"/>
        </w:rPr>
        <w:footnoteReference w:id="9"/>
      </w:r>
      <w:r w:rsidR="00366CC4" w:rsidRPr="00662C5B">
        <w:rPr>
          <w:noProof/>
          <w:lang w:val="en-US"/>
        </w:rPr>
        <w:t xml:space="preserve"> Th</w:t>
      </w:r>
      <w:r w:rsidR="001F2052" w:rsidRPr="00662C5B">
        <w:rPr>
          <w:noProof/>
          <w:lang w:val="en-US"/>
        </w:rPr>
        <w:t>us</w:t>
      </w:r>
      <w:r w:rsidR="00366CC4" w:rsidRPr="00662C5B">
        <w:rPr>
          <w:noProof/>
          <w:lang w:val="en-US"/>
        </w:rPr>
        <w:t xml:space="preserve">, </w:t>
      </w:r>
      <w:r w:rsidR="001F2052" w:rsidRPr="00662C5B">
        <w:rPr>
          <w:noProof/>
          <w:lang w:val="en-US"/>
        </w:rPr>
        <w:t>hi</w:t>
      </w:r>
      <w:r w:rsidR="00366CC4" w:rsidRPr="00662C5B">
        <w:rPr>
          <w:noProof/>
          <w:lang w:val="en-US"/>
        </w:rPr>
        <w:t xml:space="preserve">s claim under article 7 of the Covenant is manifestly unfounded and should be considered inadmissible. </w:t>
      </w:r>
    </w:p>
    <w:p w14:paraId="22351B01" w14:textId="75C8520A" w:rsidR="00366CC4" w:rsidRPr="00662C5B" w:rsidRDefault="00366CC4" w:rsidP="000A1B9F">
      <w:pPr>
        <w:pStyle w:val="SingleTxtG"/>
        <w:rPr>
          <w:noProof/>
          <w:lang w:val="en-US"/>
        </w:rPr>
      </w:pPr>
      <w:r w:rsidRPr="00662C5B">
        <w:rPr>
          <w:noProof/>
          <w:lang w:val="en-US"/>
        </w:rPr>
        <w:t>4.</w:t>
      </w:r>
      <w:r w:rsidR="000A1B9F">
        <w:rPr>
          <w:noProof/>
          <w:lang w:val="en-US"/>
        </w:rPr>
        <w:t>5</w:t>
      </w:r>
      <w:r w:rsidR="00C618A7" w:rsidRPr="00662C5B">
        <w:rPr>
          <w:noProof/>
          <w:lang w:val="en-US"/>
        </w:rPr>
        <w:tab/>
      </w:r>
      <w:r w:rsidR="001F2052" w:rsidRPr="00662C5B">
        <w:rPr>
          <w:noProof/>
          <w:lang w:val="en-US"/>
        </w:rPr>
        <w:t xml:space="preserve">The author has further merely claimed that </w:t>
      </w:r>
      <w:r w:rsidRPr="00662C5B">
        <w:rPr>
          <w:noProof/>
          <w:lang w:val="en-US"/>
        </w:rPr>
        <w:t xml:space="preserve">his return to Somalia would </w:t>
      </w:r>
      <w:r w:rsidR="001F2052" w:rsidRPr="00662C5B">
        <w:rPr>
          <w:noProof/>
          <w:lang w:val="en-US"/>
        </w:rPr>
        <w:t>breach article 9 of the Covenant</w:t>
      </w:r>
      <w:r w:rsidRPr="00662C5B">
        <w:rPr>
          <w:noProof/>
          <w:lang w:val="en-US"/>
        </w:rPr>
        <w:t xml:space="preserve">. The author has failed to establish in any way how he risks treatment contrary to article 9 of the Covenant if returned to Somalia. </w:t>
      </w:r>
      <w:r w:rsidR="001F2052" w:rsidRPr="00662C5B">
        <w:rPr>
          <w:noProof/>
          <w:lang w:val="en-US"/>
        </w:rPr>
        <w:t>T</w:t>
      </w:r>
      <w:r w:rsidRPr="00662C5B">
        <w:rPr>
          <w:noProof/>
          <w:lang w:val="en-US"/>
        </w:rPr>
        <w:t xml:space="preserve">he State party submits that it is not aware of any findings made by the Committee that article 9 of the Covenant can be deemed to have extraterritorial effect. </w:t>
      </w:r>
      <w:r w:rsidR="0052756D" w:rsidRPr="00662C5B">
        <w:rPr>
          <w:noProof/>
          <w:lang w:val="en-US"/>
        </w:rPr>
        <w:t>I</w:t>
      </w:r>
      <w:r w:rsidRPr="00662C5B">
        <w:rPr>
          <w:noProof/>
          <w:lang w:val="en-US"/>
        </w:rPr>
        <w:t>t notes that the European Court of Human Rights held</w:t>
      </w:r>
      <w:r w:rsidR="0009070D" w:rsidRPr="00662C5B">
        <w:rPr>
          <w:noProof/>
          <w:lang w:val="en-US"/>
        </w:rPr>
        <w:t>,</w:t>
      </w:r>
      <w:r w:rsidRPr="00662C5B">
        <w:rPr>
          <w:noProof/>
          <w:lang w:val="en-US"/>
        </w:rPr>
        <w:t xml:space="preserve"> in its judgment of 17 January 2012 in </w:t>
      </w:r>
      <w:r w:rsidRPr="00662C5B">
        <w:rPr>
          <w:i/>
          <w:iCs/>
          <w:noProof/>
          <w:lang w:val="en-US"/>
        </w:rPr>
        <w:t>Othman v. the United Kingdom</w:t>
      </w:r>
      <w:r w:rsidR="00C618A7" w:rsidRPr="00662C5B">
        <w:rPr>
          <w:noProof/>
          <w:lang w:val="en-US"/>
        </w:rPr>
        <w:t>,</w:t>
      </w:r>
      <w:r w:rsidR="009E2D6D" w:rsidRPr="00662C5B">
        <w:rPr>
          <w:rStyle w:val="FootnoteReference"/>
          <w:noProof/>
          <w:lang w:val="en-US"/>
        </w:rPr>
        <w:footnoteReference w:id="10"/>
      </w:r>
      <w:r w:rsidRPr="00662C5B">
        <w:rPr>
          <w:noProof/>
          <w:lang w:val="en-US"/>
        </w:rPr>
        <w:t xml:space="preserve"> concerning article 5 of the </w:t>
      </w:r>
      <w:r w:rsidR="0052756D" w:rsidRPr="00662C5B">
        <w:rPr>
          <w:noProof/>
          <w:lang w:val="en-US"/>
        </w:rPr>
        <w:t>Convention</w:t>
      </w:r>
      <w:r w:rsidR="001F2052" w:rsidRPr="00662C5B">
        <w:rPr>
          <w:noProof/>
          <w:lang w:val="en-US"/>
        </w:rPr>
        <w:t xml:space="preserve"> (</w:t>
      </w:r>
      <w:r w:rsidRPr="00662C5B">
        <w:rPr>
          <w:noProof/>
          <w:lang w:val="en-US"/>
        </w:rPr>
        <w:t>similar to ar</w:t>
      </w:r>
      <w:r w:rsidR="009E2D6D" w:rsidRPr="00662C5B">
        <w:rPr>
          <w:noProof/>
          <w:lang w:val="en-US"/>
        </w:rPr>
        <w:t>ticle 9 of the Covenant</w:t>
      </w:r>
      <w:r w:rsidR="001F2052" w:rsidRPr="00662C5B">
        <w:rPr>
          <w:noProof/>
          <w:lang w:val="en-US"/>
        </w:rPr>
        <w:t>)</w:t>
      </w:r>
      <w:r w:rsidR="0009070D" w:rsidRPr="00662C5B">
        <w:rPr>
          <w:noProof/>
          <w:lang w:val="en-US"/>
        </w:rPr>
        <w:t>,</w:t>
      </w:r>
      <w:r w:rsidR="009E2D6D" w:rsidRPr="00662C5B">
        <w:rPr>
          <w:noProof/>
          <w:lang w:val="en-US"/>
        </w:rPr>
        <w:t xml:space="preserve"> that “a</w:t>
      </w:r>
      <w:r w:rsidRPr="00662C5B">
        <w:rPr>
          <w:noProof/>
          <w:lang w:val="en-US"/>
        </w:rPr>
        <w:t xml:space="preserve"> contracting State would be in violation of </w:t>
      </w:r>
      <w:r w:rsidR="0009070D" w:rsidRPr="00662C5B">
        <w:rPr>
          <w:noProof/>
          <w:lang w:val="en-US"/>
        </w:rPr>
        <w:t>a</w:t>
      </w:r>
      <w:r w:rsidRPr="00662C5B">
        <w:rPr>
          <w:noProof/>
          <w:lang w:val="en-US"/>
        </w:rPr>
        <w:t xml:space="preserve">rticle 5 if it removed an applicant to a State where he or she was at </w:t>
      </w:r>
      <w:r w:rsidRPr="00662C5B">
        <w:rPr>
          <w:bCs/>
          <w:noProof/>
          <w:lang w:val="en-US"/>
        </w:rPr>
        <w:t xml:space="preserve">real risk of a flagrant breach of that </w:t>
      </w:r>
      <w:r w:rsidR="0009070D" w:rsidRPr="00662C5B">
        <w:rPr>
          <w:bCs/>
          <w:noProof/>
          <w:lang w:val="en-US"/>
        </w:rPr>
        <w:t>a</w:t>
      </w:r>
      <w:r w:rsidRPr="00662C5B">
        <w:rPr>
          <w:bCs/>
          <w:noProof/>
          <w:lang w:val="en-US"/>
        </w:rPr>
        <w:t>rticle</w:t>
      </w:r>
      <w:r w:rsidRPr="00662C5B">
        <w:rPr>
          <w:noProof/>
          <w:lang w:val="en-US"/>
        </w:rPr>
        <w:t xml:space="preserve">. However, as with </w:t>
      </w:r>
      <w:r w:rsidR="0009070D" w:rsidRPr="00662C5B">
        <w:rPr>
          <w:noProof/>
          <w:lang w:val="en-US"/>
        </w:rPr>
        <w:t>a</w:t>
      </w:r>
      <w:r w:rsidRPr="00662C5B">
        <w:rPr>
          <w:noProof/>
          <w:lang w:val="en-US"/>
        </w:rPr>
        <w:t xml:space="preserve">rticle 6, a high threshold must apply. A flagrant breach of </w:t>
      </w:r>
      <w:r w:rsidR="0009070D" w:rsidRPr="00662C5B">
        <w:rPr>
          <w:noProof/>
          <w:lang w:val="en-US"/>
        </w:rPr>
        <w:t>a</w:t>
      </w:r>
      <w:r w:rsidRPr="00662C5B">
        <w:rPr>
          <w:noProof/>
          <w:lang w:val="en-US"/>
        </w:rPr>
        <w:t xml:space="preserve">rticle 5 would occur only if, for example, the receiving State arbitrarily detained an applicant for many years without any intention of bringing him or her to trial. A flagrant breach of </w:t>
      </w:r>
      <w:r w:rsidR="0009070D" w:rsidRPr="00662C5B">
        <w:rPr>
          <w:noProof/>
          <w:lang w:val="en-US"/>
        </w:rPr>
        <w:t>a</w:t>
      </w:r>
      <w:r w:rsidRPr="00662C5B">
        <w:rPr>
          <w:noProof/>
          <w:lang w:val="en-US"/>
        </w:rPr>
        <w:t xml:space="preserve">rticle 5 might also occur if an applicant would be at risk of being imprisoned for a substantial period in the receiving State, having previously been convicted after a flagrantly unfair trial.” </w:t>
      </w:r>
      <w:r w:rsidR="005367AF" w:rsidRPr="00662C5B">
        <w:rPr>
          <w:noProof/>
          <w:lang w:val="en-US"/>
        </w:rPr>
        <w:t>T</w:t>
      </w:r>
      <w:r w:rsidRPr="00662C5B">
        <w:rPr>
          <w:noProof/>
          <w:lang w:val="en-US"/>
        </w:rPr>
        <w:t xml:space="preserve">he State party submits </w:t>
      </w:r>
      <w:r w:rsidR="005367AF" w:rsidRPr="00662C5B">
        <w:rPr>
          <w:noProof/>
          <w:lang w:val="en-US"/>
        </w:rPr>
        <w:t xml:space="preserve">in this connection </w:t>
      </w:r>
      <w:r w:rsidRPr="00662C5B">
        <w:rPr>
          <w:noProof/>
          <w:lang w:val="en-US"/>
        </w:rPr>
        <w:t xml:space="preserve">that the crucial factor when assessing whether </w:t>
      </w:r>
      <w:r w:rsidR="0052756D" w:rsidRPr="00662C5B">
        <w:rPr>
          <w:noProof/>
          <w:lang w:val="en-US"/>
        </w:rPr>
        <w:t>a</w:t>
      </w:r>
      <w:r w:rsidRPr="00662C5B">
        <w:rPr>
          <w:noProof/>
          <w:lang w:val="en-US"/>
        </w:rPr>
        <w:t xml:space="preserve">rticle 5 of the </w:t>
      </w:r>
      <w:r w:rsidR="009E2D6D" w:rsidRPr="00662C5B">
        <w:rPr>
          <w:noProof/>
          <w:lang w:val="en-US"/>
        </w:rPr>
        <w:t>European Convention</w:t>
      </w:r>
      <w:r w:rsidRPr="00662C5B">
        <w:rPr>
          <w:noProof/>
          <w:lang w:val="en-US"/>
        </w:rPr>
        <w:t xml:space="preserve"> </w:t>
      </w:r>
      <w:r w:rsidR="00E763D0" w:rsidRPr="00662C5B">
        <w:rPr>
          <w:noProof/>
          <w:lang w:val="en-US"/>
        </w:rPr>
        <w:t xml:space="preserve">on Human Rights </w:t>
      </w:r>
      <w:r w:rsidRPr="00662C5B">
        <w:rPr>
          <w:noProof/>
          <w:lang w:val="en-US"/>
        </w:rPr>
        <w:t xml:space="preserve">can be deemed to have extraterritorial effect is whether there is a real risk of a </w:t>
      </w:r>
      <w:r w:rsidR="008B73C9" w:rsidRPr="00662C5B">
        <w:rPr>
          <w:noProof/>
          <w:lang w:val="en-US"/>
        </w:rPr>
        <w:t>flagrant breach of that article</w:t>
      </w:r>
      <w:r w:rsidR="008401F5" w:rsidRPr="00662C5B">
        <w:rPr>
          <w:noProof/>
          <w:lang w:val="en-US"/>
        </w:rPr>
        <w:t>,</w:t>
      </w:r>
      <w:r w:rsidRPr="00662C5B">
        <w:rPr>
          <w:noProof/>
          <w:lang w:val="en-US"/>
        </w:rPr>
        <w:t xml:space="preserve"> </w:t>
      </w:r>
      <w:r w:rsidR="008B73C9" w:rsidRPr="00662C5B">
        <w:rPr>
          <w:noProof/>
          <w:lang w:val="en-US"/>
        </w:rPr>
        <w:t>however</w:t>
      </w:r>
      <w:r w:rsidRPr="00662C5B">
        <w:rPr>
          <w:noProof/>
          <w:lang w:val="en-US"/>
        </w:rPr>
        <w:t xml:space="preserve"> a high threshold applies. Accordingly, given that the author in the present case has failed to establish in any way how he risks treatment </w:t>
      </w:r>
      <w:r w:rsidR="008B73C9" w:rsidRPr="00662C5B">
        <w:rPr>
          <w:noProof/>
          <w:lang w:val="en-US"/>
        </w:rPr>
        <w:t>contrary to</w:t>
      </w:r>
      <w:r w:rsidRPr="00662C5B">
        <w:rPr>
          <w:noProof/>
          <w:lang w:val="en-US"/>
        </w:rPr>
        <w:t xml:space="preserve"> article 9 of the Covenant if returned to Somalia, the State party maintains that the author has failed to establish a prima facie case for the purpose of </w:t>
      </w:r>
      <w:r w:rsidR="008401F5" w:rsidRPr="00662C5B">
        <w:rPr>
          <w:noProof/>
          <w:lang w:val="en-US"/>
        </w:rPr>
        <w:t xml:space="preserve">the </w:t>
      </w:r>
      <w:r w:rsidRPr="00662C5B">
        <w:rPr>
          <w:noProof/>
          <w:lang w:val="en-US"/>
        </w:rPr>
        <w:t xml:space="preserve">admissibility of his communication under article 9, and therefore this part of the communication is also manifestly unfounded and should be considered inadmissible. </w:t>
      </w:r>
    </w:p>
    <w:p w14:paraId="6A59C981" w14:textId="63547DE7" w:rsidR="00A00D61" w:rsidRPr="00662C5B" w:rsidRDefault="00366CC4" w:rsidP="000A1B9F">
      <w:pPr>
        <w:pStyle w:val="SingleTxtG"/>
        <w:rPr>
          <w:noProof/>
          <w:lang w:val="en-US"/>
        </w:rPr>
      </w:pPr>
      <w:r w:rsidRPr="00662C5B">
        <w:rPr>
          <w:noProof/>
          <w:lang w:val="en-US"/>
        </w:rPr>
        <w:t>4.</w:t>
      </w:r>
      <w:r w:rsidR="000A1B9F">
        <w:rPr>
          <w:noProof/>
          <w:lang w:val="en-US"/>
        </w:rPr>
        <w:t>6</w:t>
      </w:r>
      <w:r w:rsidR="00C618A7" w:rsidRPr="00662C5B">
        <w:rPr>
          <w:noProof/>
          <w:lang w:val="en-US"/>
        </w:rPr>
        <w:tab/>
      </w:r>
      <w:r w:rsidR="008401F5" w:rsidRPr="00662C5B">
        <w:rPr>
          <w:noProof/>
          <w:lang w:val="en-US"/>
        </w:rPr>
        <w:t xml:space="preserve">If </w:t>
      </w:r>
      <w:r w:rsidRPr="00662C5B">
        <w:rPr>
          <w:noProof/>
          <w:lang w:val="en-US"/>
        </w:rPr>
        <w:t>the Committee find</w:t>
      </w:r>
      <w:r w:rsidR="008401F5" w:rsidRPr="00662C5B">
        <w:rPr>
          <w:noProof/>
          <w:lang w:val="en-US"/>
        </w:rPr>
        <w:t>s</w:t>
      </w:r>
      <w:r w:rsidRPr="00662C5B">
        <w:rPr>
          <w:noProof/>
          <w:lang w:val="en-US"/>
        </w:rPr>
        <w:t xml:space="preserve"> the author’s communication admissible, the State party submits that the author has not sufficiently established that </w:t>
      </w:r>
      <w:r w:rsidR="005367AF" w:rsidRPr="00662C5B">
        <w:rPr>
          <w:noProof/>
          <w:lang w:val="en-US"/>
        </w:rPr>
        <w:t xml:space="preserve">his return to Somalia </w:t>
      </w:r>
      <w:r w:rsidRPr="00662C5B">
        <w:rPr>
          <w:noProof/>
          <w:lang w:val="en-US"/>
        </w:rPr>
        <w:t xml:space="preserve">would </w:t>
      </w:r>
      <w:r w:rsidR="005367AF" w:rsidRPr="00662C5B">
        <w:rPr>
          <w:noProof/>
          <w:lang w:val="en-US"/>
        </w:rPr>
        <w:t xml:space="preserve">amount to a breach </w:t>
      </w:r>
      <w:r w:rsidRPr="00662C5B">
        <w:rPr>
          <w:noProof/>
          <w:lang w:val="en-US"/>
        </w:rPr>
        <w:t>of article</w:t>
      </w:r>
      <w:r w:rsidR="005367AF" w:rsidRPr="00662C5B">
        <w:rPr>
          <w:noProof/>
          <w:lang w:val="en-US"/>
        </w:rPr>
        <w:t>s</w:t>
      </w:r>
      <w:r w:rsidRPr="00662C5B">
        <w:rPr>
          <w:noProof/>
          <w:lang w:val="en-US"/>
        </w:rPr>
        <w:t xml:space="preserve"> 7 or 9 of the Covenant. </w:t>
      </w:r>
      <w:r w:rsidR="00AA4017" w:rsidRPr="00662C5B">
        <w:rPr>
          <w:noProof/>
          <w:lang w:val="en-US"/>
        </w:rPr>
        <w:t xml:space="preserve">In particular, with regard to </w:t>
      </w:r>
      <w:r w:rsidR="00CA6AD3" w:rsidRPr="00662C5B">
        <w:rPr>
          <w:noProof/>
          <w:lang w:val="en-US"/>
        </w:rPr>
        <w:t>his</w:t>
      </w:r>
      <w:r w:rsidR="00AA4017" w:rsidRPr="00662C5B">
        <w:rPr>
          <w:noProof/>
          <w:lang w:val="en-US"/>
        </w:rPr>
        <w:t xml:space="preserve"> claim under article 7 of the Covenant, the State party observes that in his communication to the Committee </w:t>
      </w:r>
      <w:r w:rsidR="00CA6AD3" w:rsidRPr="00662C5B">
        <w:rPr>
          <w:noProof/>
          <w:lang w:val="en-US"/>
        </w:rPr>
        <w:t>he did not provide</w:t>
      </w:r>
      <w:r w:rsidR="00AA4017" w:rsidRPr="00662C5B">
        <w:rPr>
          <w:noProof/>
          <w:lang w:val="en-US"/>
        </w:rPr>
        <w:t xml:space="preserve"> any new or specific information on his situation beyond the information that ha</w:t>
      </w:r>
      <w:r w:rsidR="00CA6AD3" w:rsidRPr="00662C5B">
        <w:rPr>
          <w:noProof/>
          <w:lang w:val="en-US"/>
        </w:rPr>
        <w:t>d</w:t>
      </w:r>
      <w:r w:rsidR="00AA4017" w:rsidRPr="00662C5B">
        <w:rPr>
          <w:noProof/>
          <w:lang w:val="en-US"/>
        </w:rPr>
        <w:t xml:space="preserve"> already been assessed and applied as the basis for the decision made by the </w:t>
      </w:r>
      <w:r w:rsidR="00F040FA" w:rsidRPr="00662C5B">
        <w:rPr>
          <w:noProof/>
          <w:lang w:val="en-US"/>
        </w:rPr>
        <w:t>Refugee Appeals Board</w:t>
      </w:r>
      <w:r w:rsidR="00AA4017" w:rsidRPr="00662C5B">
        <w:rPr>
          <w:noProof/>
          <w:lang w:val="en-US"/>
        </w:rPr>
        <w:t xml:space="preserve"> on 6 August 2014.</w:t>
      </w:r>
      <w:r w:rsidR="00A00D61" w:rsidRPr="00662C5B">
        <w:rPr>
          <w:noProof/>
          <w:lang w:val="en-US"/>
        </w:rPr>
        <w:t xml:space="preserve"> </w:t>
      </w:r>
      <w:r w:rsidR="005367AF" w:rsidRPr="00662C5B">
        <w:rPr>
          <w:noProof/>
          <w:lang w:val="en-US"/>
        </w:rPr>
        <w:t>Under Danish law,</w:t>
      </w:r>
      <w:r w:rsidRPr="00662C5B">
        <w:rPr>
          <w:noProof/>
          <w:lang w:val="en-US"/>
        </w:rPr>
        <w:t xml:space="preserve"> an asylum</w:t>
      </w:r>
      <w:r w:rsidR="00A07CBD" w:rsidRPr="00662C5B">
        <w:rPr>
          <w:noProof/>
          <w:lang w:val="en-US"/>
        </w:rPr>
        <w:t xml:space="preserve"> </w:t>
      </w:r>
      <w:r w:rsidRPr="00662C5B">
        <w:rPr>
          <w:noProof/>
          <w:lang w:val="en-US"/>
        </w:rPr>
        <w:t>seeker must provide such information as is required for deciding whether he falls within section 7 of the Aliens Act</w:t>
      </w:r>
      <w:r w:rsidR="00C618A7" w:rsidRPr="00662C5B">
        <w:rPr>
          <w:noProof/>
          <w:lang w:val="en-US"/>
        </w:rPr>
        <w:t>.</w:t>
      </w:r>
      <w:r w:rsidRPr="00662C5B">
        <w:rPr>
          <w:noProof/>
          <w:lang w:val="en-US"/>
        </w:rPr>
        <w:t xml:space="preserve"> It is incumbent upon asylum</w:t>
      </w:r>
      <w:r w:rsidR="00A07CBD" w:rsidRPr="00662C5B">
        <w:rPr>
          <w:noProof/>
          <w:lang w:val="en-US"/>
        </w:rPr>
        <w:t xml:space="preserve"> </w:t>
      </w:r>
      <w:r w:rsidRPr="00662C5B">
        <w:rPr>
          <w:noProof/>
          <w:lang w:val="en-US"/>
        </w:rPr>
        <w:t xml:space="preserve">seekers to substantiate their grounds for seeking asylum and </w:t>
      </w:r>
      <w:r w:rsidR="005367AF" w:rsidRPr="00662C5B">
        <w:rPr>
          <w:noProof/>
          <w:lang w:val="en-US"/>
        </w:rPr>
        <w:t xml:space="preserve">to show </w:t>
      </w:r>
      <w:r w:rsidRPr="00662C5B">
        <w:rPr>
          <w:noProof/>
          <w:lang w:val="en-US"/>
        </w:rPr>
        <w:t xml:space="preserve">that the conditions for </w:t>
      </w:r>
      <w:r w:rsidR="00CA6AD3" w:rsidRPr="00662C5B">
        <w:rPr>
          <w:noProof/>
          <w:lang w:val="en-US"/>
        </w:rPr>
        <w:t>granting</w:t>
      </w:r>
      <w:r w:rsidRPr="00662C5B">
        <w:rPr>
          <w:noProof/>
          <w:lang w:val="en-US"/>
        </w:rPr>
        <w:t xml:space="preserve"> asylum are met. </w:t>
      </w:r>
      <w:r w:rsidR="00CA6AD3" w:rsidRPr="00662C5B">
        <w:rPr>
          <w:noProof/>
          <w:lang w:val="en-US"/>
        </w:rPr>
        <w:t>The State party also</w:t>
      </w:r>
      <w:r w:rsidRPr="00662C5B">
        <w:rPr>
          <w:noProof/>
          <w:lang w:val="en-US"/>
        </w:rPr>
        <w:t xml:space="preserve"> notes that according to paragraphs 195 and 196 of the </w:t>
      </w:r>
      <w:r w:rsidRPr="00662C5B">
        <w:rPr>
          <w:i/>
          <w:iCs/>
          <w:noProof/>
          <w:lang w:val="en-US"/>
        </w:rPr>
        <w:t xml:space="preserve">Handbook </w:t>
      </w:r>
      <w:r w:rsidR="00B453FE" w:rsidRPr="00662C5B">
        <w:rPr>
          <w:i/>
          <w:iCs/>
          <w:noProof/>
          <w:lang w:val="en-US"/>
        </w:rPr>
        <w:t xml:space="preserve">and Guidelines </w:t>
      </w:r>
      <w:r w:rsidRPr="00662C5B">
        <w:rPr>
          <w:i/>
          <w:iCs/>
          <w:noProof/>
          <w:lang w:val="en-US"/>
        </w:rPr>
        <w:t>on Procedures and Criteria for Determining Refugee Status</w:t>
      </w:r>
      <w:r w:rsidR="00CA6AD3" w:rsidRPr="00662C5B">
        <w:rPr>
          <w:noProof/>
          <w:lang w:val="en-US"/>
        </w:rPr>
        <w:t xml:space="preserve">, published by </w:t>
      </w:r>
      <w:r w:rsidR="00B453FE" w:rsidRPr="00662C5B">
        <w:rPr>
          <w:noProof/>
          <w:lang w:val="en-US"/>
        </w:rPr>
        <w:t>the</w:t>
      </w:r>
      <w:r w:rsidR="00CA6AD3" w:rsidRPr="00662C5B">
        <w:rPr>
          <w:noProof/>
          <w:lang w:val="en-US"/>
        </w:rPr>
        <w:t xml:space="preserve"> Office of the United Nations High Commissioner for Refugees</w:t>
      </w:r>
      <w:r w:rsidR="00B453FE" w:rsidRPr="00662C5B">
        <w:rPr>
          <w:noProof/>
          <w:lang w:val="en-US"/>
        </w:rPr>
        <w:t xml:space="preserve"> (UNHCR),</w:t>
      </w:r>
      <w:r w:rsidRPr="00662C5B">
        <w:rPr>
          <w:noProof/>
          <w:lang w:val="en-US"/>
        </w:rPr>
        <w:t xml:space="preserve"> </w:t>
      </w:r>
      <w:r w:rsidR="00A00D61" w:rsidRPr="00662C5B">
        <w:rPr>
          <w:noProof/>
          <w:lang w:val="en-US"/>
        </w:rPr>
        <w:t>“</w:t>
      </w:r>
      <w:r w:rsidRPr="00662C5B">
        <w:rPr>
          <w:noProof/>
          <w:lang w:val="en-US"/>
        </w:rPr>
        <w:t>the relevant facts of the individual case will have to be furnished in the first place by t</w:t>
      </w:r>
      <w:r w:rsidR="00A00D61" w:rsidRPr="00662C5B">
        <w:rPr>
          <w:noProof/>
          <w:lang w:val="en-US"/>
        </w:rPr>
        <w:t>he applicant himself”</w:t>
      </w:r>
      <w:r w:rsidR="00B453FE" w:rsidRPr="00662C5B">
        <w:rPr>
          <w:noProof/>
          <w:lang w:val="en-US"/>
        </w:rPr>
        <w:t>,</w:t>
      </w:r>
      <w:r w:rsidR="00A00D61" w:rsidRPr="00662C5B">
        <w:rPr>
          <w:noProof/>
          <w:lang w:val="en-US"/>
        </w:rPr>
        <w:t xml:space="preserve"> and that “</w:t>
      </w:r>
      <w:r w:rsidRPr="00662C5B">
        <w:rPr>
          <w:noProof/>
          <w:lang w:val="en-US"/>
        </w:rPr>
        <w:t>it is a general legal principle that the burden of proof lies o</w:t>
      </w:r>
      <w:r w:rsidR="00A00D61" w:rsidRPr="00662C5B">
        <w:rPr>
          <w:noProof/>
          <w:lang w:val="en-US"/>
        </w:rPr>
        <w:t>n the person submitting a claim”</w:t>
      </w:r>
      <w:r w:rsidRPr="00662C5B">
        <w:rPr>
          <w:noProof/>
          <w:lang w:val="en-US"/>
        </w:rPr>
        <w:t xml:space="preserve">. </w:t>
      </w:r>
      <w:r w:rsidR="005367AF" w:rsidRPr="00662C5B">
        <w:rPr>
          <w:noProof/>
          <w:lang w:val="en-US"/>
        </w:rPr>
        <w:t>T</w:t>
      </w:r>
      <w:r w:rsidRPr="00662C5B">
        <w:rPr>
          <w:noProof/>
          <w:lang w:val="en-US"/>
        </w:rPr>
        <w:t>he State party further notes that the principle that it is normally incumbent upon asylum</w:t>
      </w:r>
      <w:r w:rsidR="00A07CBD" w:rsidRPr="00662C5B">
        <w:rPr>
          <w:noProof/>
          <w:lang w:val="en-US"/>
        </w:rPr>
        <w:t xml:space="preserve"> </w:t>
      </w:r>
      <w:r w:rsidRPr="00662C5B">
        <w:rPr>
          <w:noProof/>
          <w:lang w:val="en-US"/>
        </w:rPr>
        <w:t>seekers to substantiate their grounds for seeking asylum has also been expressed in the case</w:t>
      </w:r>
      <w:r w:rsidR="00D0475D" w:rsidRPr="00662C5B">
        <w:rPr>
          <w:noProof/>
          <w:lang w:val="en-US"/>
        </w:rPr>
        <w:t xml:space="preserve"> </w:t>
      </w:r>
      <w:r w:rsidRPr="00662C5B">
        <w:rPr>
          <w:noProof/>
          <w:lang w:val="en-US"/>
        </w:rPr>
        <w:t>law of the Human Rights Committee</w:t>
      </w:r>
      <w:r w:rsidR="00C618A7" w:rsidRPr="00662C5B">
        <w:rPr>
          <w:noProof/>
          <w:lang w:val="en-US"/>
        </w:rPr>
        <w:t>.</w:t>
      </w:r>
      <w:r w:rsidRPr="00662C5B">
        <w:rPr>
          <w:rStyle w:val="FootnoteReference"/>
          <w:noProof/>
          <w:sz w:val="20"/>
          <w:lang w:val="en-US"/>
        </w:rPr>
        <w:footnoteReference w:id="11"/>
      </w:r>
    </w:p>
    <w:p w14:paraId="11945965" w14:textId="2785624F" w:rsidR="00366CC4" w:rsidRPr="00662C5B" w:rsidRDefault="00583E35" w:rsidP="00662C5B">
      <w:pPr>
        <w:pStyle w:val="SingleTxtG"/>
        <w:rPr>
          <w:noProof/>
          <w:lang w:val="en-US"/>
        </w:rPr>
      </w:pPr>
      <w:r w:rsidRPr="00662C5B">
        <w:rPr>
          <w:noProof/>
          <w:lang w:val="en-US"/>
        </w:rPr>
        <w:t>4.</w:t>
      </w:r>
      <w:r w:rsidR="000A1B9F">
        <w:rPr>
          <w:noProof/>
          <w:lang w:val="en-US"/>
        </w:rPr>
        <w:t>7</w:t>
      </w:r>
      <w:r w:rsidR="00C618A7" w:rsidRPr="00662C5B">
        <w:rPr>
          <w:noProof/>
          <w:lang w:val="en-US"/>
        </w:rPr>
        <w:tab/>
      </w:r>
      <w:r w:rsidR="00366CC4" w:rsidRPr="00662C5B">
        <w:rPr>
          <w:noProof/>
          <w:lang w:val="en-US"/>
        </w:rPr>
        <w:t xml:space="preserve">The State party </w:t>
      </w:r>
      <w:r w:rsidR="005367AF" w:rsidRPr="00662C5B">
        <w:rPr>
          <w:noProof/>
          <w:lang w:val="en-US"/>
        </w:rPr>
        <w:t>adds</w:t>
      </w:r>
      <w:r w:rsidR="00366CC4" w:rsidRPr="00662C5B">
        <w:rPr>
          <w:noProof/>
          <w:lang w:val="en-US"/>
        </w:rPr>
        <w:t xml:space="preserve"> that in the present case</w:t>
      </w:r>
      <w:r w:rsidR="00AB26B8" w:rsidRPr="00662C5B">
        <w:rPr>
          <w:noProof/>
          <w:lang w:val="en-US"/>
        </w:rPr>
        <w:t>,</w:t>
      </w:r>
      <w:r w:rsidR="00366CC4" w:rsidRPr="00662C5B">
        <w:rPr>
          <w:noProof/>
          <w:lang w:val="en-US"/>
        </w:rPr>
        <w:t xml:space="preserve"> the </w:t>
      </w:r>
      <w:r w:rsidR="00F040FA" w:rsidRPr="00662C5B">
        <w:rPr>
          <w:noProof/>
          <w:lang w:val="en-US"/>
        </w:rPr>
        <w:t>Refugee Appeals Board</w:t>
      </w:r>
      <w:r w:rsidR="00366CC4" w:rsidRPr="00662C5B">
        <w:rPr>
          <w:noProof/>
          <w:lang w:val="en-US"/>
        </w:rPr>
        <w:t xml:space="preserve"> found that the author ha</w:t>
      </w:r>
      <w:r w:rsidR="00AB26B8" w:rsidRPr="00662C5B">
        <w:rPr>
          <w:noProof/>
          <w:lang w:val="en-US"/>
        </w:rPr>
        <w:t>d</w:t>
      </w:r>
      <w:r w:rsidR="00366CC4" w:rsidRPr="00662C5B">
        <w:rPr>
          <w:noProof/>
          <w:lang w:val="en-US"/>
        </w:rPr>
        <w:t xml:space="preserve"> failed “to render probable his grounds for asylum”. </w:t>
      </w:r>
      <w:r w:rsidR="005367AF" w:rsidRPr="00662C5B">
        <w:rPr>
          <w:noProof/>
          <w:lang w:val="en-US"/>
        </w:rPr>
        <w:t>T</w:t>
      </w:r>
      <w:r w:rsidR="00366CC4" w:rsidRPr="00662C5B">
        <w:rPr>
          <w:noProof/>
          <w:lang w:val="en-US"/>
        </w:rPr>
        <w:t>he Board could not accept as a fact the author’s stat</w:t>
      </w:r>
      <w:r w:rsidR="009824A1" w:rsidRPr="00662C5B">
        <w:rPr>
          <w:noProof/>
          <w:lang w:val="en-US"/>
        </w:rPr>
        <w:t xml:space="preserve">ement that he </w:t>
      </w:r>
      <w:r w:rsidR="00AD638B" w:rsidRPr="00662C5B">
        <w:rPr>
          <w:noProof/>
          <w:lang w:val="en-US"/>
        </w:rPr>
        <w:t>had been persecuted</w:t>
      </w:r>
      <w:r w:rsidR="009824A1" w:rsidRPr="00662C5B">
        <w:rPr>
          <w:noProof/>
          <w:lang w:val="en-US"/>
        </w:rPr>
        <w:t xml:space="preserve"> by A</w:t>
      </w:r>
      <w:r w:rsidR="00366CC4" w:rsidRPr="00662C5B">
        <w:rPr>
          <w:noProof/>
          <w:lang w:val="en-US"/>
        </w:rPr>
        <w:t xml:space="preserve">l-Shabaab, nor could </w:t>
      </w:r>
      <w:r w:rsidR="005367AF" w:rsidRPr="00662C5B">
        <w:rPr>
          <w:noProof/>
          <w:lang w:val="en-US"/>
        </w:rPr>
        <w:t>it</w:t>
      </w:r>
      <w:r w:rsidR="00366CC4" w:rsidRPr="00662C5B">
        <w:rPr>
          <w:noProof/>
          <w:lang w:val="en-US"/>
        </w:rPr>
        <w:t xml:space="preserve"> accept as a fact that </w:t>
      </w:r>
      <w:r w:rsidR="005367AF" w:rsidRPr="00662C5B">
        <w:rPr>
          <w:noProof/>
          <w:lang w:val="en-US"/>
        </w:rPr>
        <w:t xml:space="preserve">prior to his departure </w:t>
      </w:r>
      <w:r w:rsidR="00AD638B" w:rsidRPr="00662C5B">
        <w:rPr>
          <w:noProof/>
          <w:lang w:val="en-US"/>
        </w:rPr>
        <w:t>he had</w:t>
      </w:r>
      <w:r w:rsidR="00BD6081" w:rsidRPr="00662C5B">
        <w:rPr>
          <w:noProof/>
          <w:lang w:val="en-US"/>
        </w:rPr>
        <w:t xml:space="preserve"> experienced</w:t>
      </w:r>
      <w:r w:rsidR="00366CC4" w:rsidRPr="00662C5B">
        <w:rPr>
          <w:noProof/>
          <w:lang w:val="en-US"/>
        </w:rPr>
        <w:t xml:space="preserve"> conflicts due to his clan affiliation. </w:t>
      </w:r>
      <w:r w:rsidR="00AD638B" w:rsidRPr="00662C5B">
        <w:rPr>
          <w:noProof/>
          <w:lang w:val="en-US"/>
        </w:rPr>
        <w:t>In this respect, t</w:t>
      </w:r>
      <w:r w:rsidR="00366CC4" w:rsidRPr="00662C5B">
        <w:rPr>
          <w:noProof/>
          <w:lang w:val="en-US"/>
        </w:rPr>
        <w:t xml:space="preserve">he </w:t>
      </w:r>
      <w:r w:rsidR="00F040FA" w:rsidRPr="00662C5B">
        <w:rPr>
          <w:noProof/>
          <w:lang w:val="en-US"/>
        </w:rPr>
        <w:t>Refugee Appeals Board</w:t>
      </w:r>
      <w:r w:rsidR="00366CC4" w:rsidRPr="00662C5B">
        <w:rPr>
          <w:noProof/>
          <w:lang w:val="en-US"/>
        </w:rPr>
        <w:t xml:space="preserve"> emphasi</w:t>
      </w:r>
      <w:r w:rsidR="00F040FA" w:rsidRPr="00662C5B">
        <w:rPr>
          <w:noProof/>
          <w:lang w:val="en-US"/>
        </w:rPr>
        <w:t>z</w:t>
      </w:r>
      <w:r w:rsidR="00366CC4" w:rsidRPr="00662C5B">
        <w:rPr>
          <w:noProof/>
          <w:lang w:val="en-US"/>
        </w:rPr>
        <w:t xml:space="preserve">ed, inter alia, that the author’s statements </w:t>
      </w:r>
      <w:r w:rsidR="00AD638B" w:rsidRPr="00662C5B">
        <w:rPr>
          <w:noProof/>
          <w:lang w:val="en-US"/>
        </w:rPr>
        <w:t xml:space="preserve">with regard to </w:t>
      </w:r>
      <w:r w:rsidR="00366CC4" w:rsidRPr="00662C5B">
        <w:rPr>
          <w:noProof/>
          <w:lang w:val="en-US"/>
        </w:rPr>
        <w:t xml:space="preserve">the </w:t>
      </w:r>
      <w:r w:rsidR="009824A1" w:rsidRPr="00662C5B">
        <w:rPr>
          <w:noProof/>
          <w:lang w:val="en-US"/>
        </w:rPr>
        <w:t xml:space="preserve">approaches </w:t>
      </w:r>
      <w:r w:rsidR="00AD638B" w:rsidRPr="00662C5B">
        <w:rPr>
          <w:noProof/>
          <w:lang w:val="en-US"/>
        </w:rPr>
        <w:t>by</w:t>
      </w:r>
      <w:r w:rsidR="009824A1" w:rsidRPr="00662C5B">
        <w:rPr>
          <w:noProof/>
          <w:lang w:val="en-US"/>
        </w:rPr>
        <w:t xml:space="preserve"> A</w:t>
      </w:r>
      <w:r w:rsidR="00366CC4" w:rsidRPr="00662C5B">
        <w:rPr>
          <w:noProof/>
          <w:lang w:val="en-US"/>
        </w:rPr>
        <w:t xml:space="preserve">l-Shabaab, including </w:t>
      </w:r>
      <w:r w:rsidR="00AD638B" w:rsidRPr="00662C5B">
        <w:rPr>
          <w:noProof/>
          <w:lang w:val="en-US"/>
        </w:rPr>
        <w:t xml:space="preserve">with regard to </w:t>
      </w:r>
      <w:r w:rsidR="00366CC4" w:rsidRPr="00662C5B">
        <w:rPr>
          <w:noProof/>
          <w:lang w:val="en-US"/>
        </w:rPr>
        <w:t xml:space="preserve">his attempted escape after the fourth </w:t>
      </w:r>
      <w:r w:rsidR="009824A1" w:rsidRPr="00662C5B">
        <w:rPr>
          <w:noProof/>
          <w:lang w:val="en-US"/>
        </w:rPr>
        <w:t>approach</w:t>
      </w:r>
      <w:r w:rsidR="00366CC4" w:rsidRPr="00662C5B">
        <w:rPr>
          <w:noProof/>
          <w:lang w:val="en-US"/>
        </w:rPr>
        <w:t xml:space="preserve">, appeared vague and fabricated for the occasion. The State party observes in this connection that </w:t>
      </w:r>
      <w:r w:rsidR="008B73C9" w:rsidRPr="00662C5B">
        <w:rPr>
          <w:noProof/>
          <w:lang w:val="en-US"/>
        </w:rPr>
        <w:t>during</w:t>
      </w:r>
      <w:r w:rsidR="00F65F03">
        <w:rPr>
          <w:noProof/>
          <w:lang w:val="en-US"/>
        </w:rPr>
        <w:t xml:space="preserve"> the asylum interview on 2 </w:t>
      </w:r>
      <w:r w:rsidR="00366CC4" w:rsidRPr="00662C5B">
        <w:rPr>
          <w:noProof/>
          <w:lang w:val="en-US"/>
        </w:rPr>
        <w:t xml:space="preserve">April 2014, the author stated that </w:t>
      </w:r>
      <w:r w:rsidR="00C122F9" w:rsidRPr="00662C5B">
        <w:rPr>
          <w:noProof/>
          <w:lang w:val="en-US"/>
        </w:rPr>
        <w:t>Al-Shabaab</w:t>
      </w:r>
      <w:r w:rsidR="00366CC4" w:rsidRPr="00662C5B">
        <w:rPr>
          <w:noProof/>
          <w:lang w:val="en-US"/>
        </w:rPr>
        <w:t xml:space="preserve"> had contacted him four times in 2011</w:t>
      </w:r>
      <w:r w:rsidR="005367AF" w:rsidRPr="00662C5B">
        <w:rPr>
          <w:noProof/>
          <w:lang w:val="en-US"/>
        </w:rPr>
        <w:t xml:space="preserve">, each time </w:t>
      </w:r>
      <w:r w:rsidR="00366CC4" w:rsidRPr="00662C5B">
        <w:rPr>
          <w:noProof/>
          <w:lang w:val="en-US"/>
        </w:rPr>
        <w:t xml:space="preserve">in the shop </w:t>
      </w:r>
      <w:r w:rsidR="00F07DE1" w:rsidRPr="00662C5B">
        <w:rPr>
          <w:noProof/>
          <w:lang w:val="en-US"/>
        </w:rPr>
        <w:t>where he</w:t>
      </w:r>
      <w:r w:rsidR="00366CC4" w:rsidRPr="00662C5B">
        <w:rPr>
          <w:noProof/>
          <w:lang w:val="en-US"/>
        </w:rPr>
        <w:t xml:space="preserve"> worked or at home. However, during the </w:t>
      </w:r>
      <w:r w:rsidR="005E3FD7" w:rsidRPr="00662C5B">
        <w:rPr>
          <w:noProof/>
          <w:lang w:val="en-US"/>
        </w:rPr>
        <w:t>“</w:t>
      </w:r>
      <w:r w:rsidR="00366CC4" w:rsidRPr="00662C5B">
        <w:rPr>
          <w:noProof/>
          <w:lang w:val="en-US"/>
        </w:rPr>
        <w:t>substantive asylum interview” conducted by the</w:t>
      </w:r>
      <w:r w:rsidR="009E7450">
        <w:rPr>
          <w:noProof/>
          <w:lang w:val="en-US"/>
        </w:rPr>
        <w:t xml:space="preserve"> Danish Immigration</w:t>
      </w:r>
      <w:r w:rsidR="00366CC4" w:rsidRPr="00662C5B">
        <w:rPr>
          <w:noProof/>
          <w:lang w:val="en-US"/>
        </w:rPr>
        <w:t xml:space="preserve"> Service</w:t>
      </w:r>
      <w:r w:rsidR="00CD7A12" w:rsidRPr="00662C5B">
        <w:rPr>
          <w:noProof/>
          <w:lang w:val="en-US"/>
        </w:rPr>
        <w:t xml:space="preserve"> on 23 April 2014</w:t>
      </w:r>
      <w:r w:rsidR="00366CC4" w:rsidRPr="00662C5B">
        <w:rPr>
          <w:noProof/>
          <w:lang w:val="en-US"/>
        </w:rPr>
        <w:t xml:space="preserve">, the author stated that he had been at a friend’s </w:t>
      </w:r>
      <w:r w:rsidR="00CD7A12" w:rsidRPr="00662C5B">
        <w:rPr>
          <w:noProof/>
          <w:lang w:val="en-US"/>
        </w:rPr>
        <w:t xml:space="preserve">house </w:t>
      </w:r>
      <w:r w:rsidR="00366CC4" w:rsidRPr="00662C5B">
        <w:rPr>
          <w:noProof/>
          <w:lang w:val="en-US"/>
        </w:rPr>
        <w:t>the last time he had</w:t>
      </w:r>
      <w:r w:rsidR="009824A1" w:rsidRPr="00662C5B">
        <w:rPr>
          <w:noProof/>
          <w:lang w:val="en-US"/>
        </w:rPr>
        <w:t xml:space="preserve"> been contacted by </w:t>
      </w:r>
      <w:r w:rsidR="00F65F03">
        <w:rPr>
          <w:noProof/>
          <w:lang w:val="en-US"/>
        </w:rPr>
        <w:t>Al−</w:t>
      </w:r>
      <w:r w:rsidR="00C122F9" w:rsidRPr="00662C5B">
        <w:rPr>
          <w:noProof/>
          <w:lang w:val="en-US"/>
        </w:rPr>
        <w:t>Shabaab</w:t>
      </w:r>
      <w:r w:rsidR="00366CC4" w:rsidRPr="00662C5B">
        <w:rPr>
          <w:noProof/>
          <w:lang w:val="en-US"/>
        </w:rPr>
        <w:t xml:space="preserve">. </w:t>
      </w:r>
      <w:r w:rsidR="00F07DE1" w:rsidRPr="00662C5B">
        <w:rPr>
          <w:noProof/>
          <w:lang w:val="en-US"/>
        </w:rPr>
        <w:t>Further</w:t>
      </w:r>
      <w:r w:rsidR="00CD7A12" w:rsidRPr="00662C5B">
        <w:rPr>
          <w:noProof/>
          <w:lang w:val="en-US"/>
        </w:rPr>
        <w:t>more</w:t>
      </w:r>
      <w:r w:rsidR="00F07DE1" w:rsidRPr="00662C5B">
        <w:rPr>
          <w:noProof/>
          <w:lang w:val="en-US"/>
        </w:rPr>
        <w:t>, d</w:t>
      </w:r>
      <w:r w:rsidR="00366CC4" w:rsidRPr="00662C5B">
        <w:rPr>
          <w:noProof/>
          <w:lang w:val="en-US"/>
        </w:rPr>
        <w:t xml:space="preserve">uring the </w:t>
      </w:r>
      <w:r w:rsidR="00CD7A12" w:rsidRPr="00662C5B">
        <w:rPr>
          <w:noProof/>
          <w:lang w:val="en-US"/>
        </w:rPr>
        <w:t>“</w:t>
      </w:r>
      <w:r w:rsidR="00366CC4" w:rsidRPr="00662C5B">
        <w:rPr>
          <w:noProof/>
          <w:lang w:val="en-US"/>
        </w:rPr>
        <w:t xml:space="preserve">substantive asylum interview”, </w:t>
      </w:r>
      <w:r w:rsidR="00CD7A12" w:rsidRPr="00662C5B">
        <w:rPr>
          <w:noProof/>
          <w:lang w:val="en-US"/>
        </w:rPr>
        <w:t>the author</w:t>
      </w:r>
      <w:r w:rsidR="00366CC4" w:rsidRPr="00662C5B">
        <w:rPr>
          <w:noProof/>
          <w:lang w:val="en-US"/>
        </w:rPr>
        <w:t xml:space="preserve"> stated that in Nove</w:t>
      </w:r>
      <w:r w:rsidR="00F07DE1" w:rsidRPr="00662C5B">
        <w:rPr>
          <w:noProof/>
          <w:lang w:val="en-US"/>
        </w:rPr>
        <w:t xml:space="preserve">mber 2011 a representative of </w:t>
      </w:r>
      <w:r w:rsidR="00C122F9" w:rsidRPr="00662C5B">
        <w:rPr>
          <w:noProof/>
          <w:lang w:val="en-US"/>
        </w:rPr>
        <w:t>Al-Shabaab</w:t>
      </w:r>
      <w:r w:rsidR="00366CC4" w:rsidRPr="00662C5B">
        <w:rPr>
          <w:noProof/>
          <w:lang w:val="en-US"/>
        </w:rPr>
        <w:t xml:space="preserve"> had come to his friend’s </w:t>
      </w:r>
      <w:r w:rsidR="00F07DE1" w:rsidRPr="00662C5B">
        <w:rPr>
          <w:noProof/>
          <w:lang w:val="en-US"/>
        </w:rPr>
        <w:t>house</w:t>
      </w:r>
      <w:r w:rsidR="00CD7A12" w:rsidRPr="00662C5B">
        <w:rPr>
          <w:noProof/>
          <w:lang w:val="en-US"/>
        </w:rPr>
        <w:t>,</w:t>
      </w:r>
      <w:r w:rsidR="00366CC4" w:rsidRPr="00662C5B">
        <w:rPr>
          <w:noProof/>
          <w:lang w:val="en-US"/>
        </w:rPr>
        <w:t xml:space="preserve"> </w:t>
      </w:r>
      <w:r w:rsidR="00F07DE1" w:rsidRPr="00662C5B">
        <w:rPr>
          <w:noProof/>
          <w:lang w:val="en-US"/>
        </w:rPr>
        <w:t>where</w:t>
      </w:r>
      <w:r w:rsidR="00366CC4" w:rsidRPr="00662C5B">
        <w:rPr>
          <w:noProof/>
          <w:lang w:val="en-US"/>
        </w:rPr>
        <w:t xml:space="preserve"> the author tried to hide. </w:t>
      </w:r>
      <w:r w:rsidR="00F07DE1" w:rsidRPr="00662C5B">
        <w:rPr>
          <w:noProof/>
          <w:lang w:val="en-US"/>
        </w:rPr>
        <w:t>T</w:t>
      </w:r>
      <w:r w:rsidR="00366CC4" w:rsidRPr="00662C5B">
        <w:rPr>
          <w:noProof/>
          <w:lang w:val="en-US"/>
        </w:rPr>
        <w:t xml:space="preserve">he representative had told the author that he would keep an eye on him until the others from </w:t>
      </w:r>
      <w:r w:rsidR="00C122F9" w:rsidRPr="00662C5B">
        <w:rPr>
          <w:noProof/>
          <w:lang w:val="en-US"/>
        </w:rPr>
        <w:t>Al-Shabaab</w:t>
      </w:r>
      <w:r w:rsidR="00366CC4" w:rsidRPr="00662C5B">
        <w:rPr>
          <w:noProof/>
          <w:lang w:val="en-US"/>
        </w:rPr>
        <w:t xml:space="preserve"> came and took him to prison. The author had managed to escape</w:t>
      </w:r>
      <w:r w:rsidR="008116EC" w:rsidRPr="00662C5B">
        <w:rPr>
          <w:noProof/>
          <w:lang w:val="en-US"/>
        </w:rPr>
        <w:t>,</w:t>
      </w:r>
      <w:r w:rsidR="00366CC4" w:rsidRPr="00662C5B">
        <w:rPr>
          <w:noProof/>
          <w:lang w:val="en-US"/>
        </w:rPr>
        <w:t xml:space="preserve"> as he had slept in one of the rooms in the house, and his friend and the </w:t>
      </w:r>
      <w:r w:rsidR="008116EC" w:rsidRPr="00662C5B">
        <w:rPr>
          <w:noProof/>
          <w:lang w:val="en-US"/>
        </w:rPr>
        <w:t xml:space="preserve">Al-Shabaab </w:t>
      </w:r>
      <w:r w:rsidR="00366CC4" w:rsidRPr="00662C5B">
        <w:rPr>
          <w:noProof/>
          <w:lang w:val="en-US"/>
        </w:rPr>
        <w:t>representative had slept in th</w:t>
      </w:r>
      <w:r w:rsidR="009824A1" w:rsidRPr="00662C5B">
        <w:rPr>
          <w:noProof/>
          <w:lang w:val="en-US"/>
        </w:rPr>
        <w:t xml:space="preserve">e other room. </w:t>
      </w:r>
      <w:r w:rsidR="008116EC" w:rsidRPr="00662C5B">
        <w:rPr>
          <w:noProof/>
          <w:lang w:val="en-US"/>
        </w:rPr>
        <w:t xml:space="preserve">The </w:t>
      </w:r>
      <w:r w:rsidR="00C122F9" w:rsidRPr="00662C5B">
        <w:rPr>
          <w:noProof/>
          <w:lang w:val="en-US"/>
        </w:rPr>
        <w:t>Al-Shabaab</w:t>
      </w:r>
      <w:r w:rsidR="00366CC4" w:rsidRPr="00662C5B">
        <w:rPr>
          <w:noProof/>
          <w:lang w:val="en-US"/>
        </w:rPr>
        <w:t xml:space="preserve"> representative had </w:t>
      </w:r>
      <w:r w:rsidR="009824A1" w:rsidRPr="00662C5B">
        <w:rPr>
          <w:noProof/>
          <w:lang w:val="en-US"/>
        </w:rPr>
        <w:t>come</w:t>
      </w:r>
      <w:r w:rsidR="00366CC4" w:rsidRPr="00662C5B">
        <w:rPr>
          <w:noProof/>
          <w:lang w:val="en-US"/>
        </w:rPr>
        <w:t xml:space="preserve"> </w:t>
      </w:r>
      <w:r w:rsidR="009824A1" w:rsidRPr="00662C5B">
        <w:rPr>
          <w:noProof/>
          <w:lang w:val="en-US"/>
        </w:rPr>
        <w:t>to</w:t>
      </w:r>
      <w:r w:rsidR="00366CC4" w:rsidRPr="00662C5B">
        <w:rPr>
          <w:noProof/>
          <w:lang w:val="en-US"/>
        </w:rPr>
        <w:t xml:space="preserve"> the ho</w:t>
      </w:r>
      <w:r w:rsidR="008116EC" w:rsidRPr="00662C5B">
        <w:rPr>
          <w:noProof/>
          <w:lang w:val="en-US"/>
        </w:rPr>
        <w:t>use</w:t>
      </w:r>
      <w:r w:rsidR="00366CC4" w:rsidRPr="00662C5B">
        <w:rPr>
          <w:noProof/>
          <w:lang w:val="en-US"/>
        </w:rPr>
        <w:t xml:space="preserve"> of the author’s friend sometime between noon and 1 p</w:t>
      </w:r>
      <w:r w:rsidR="008116EC" w:rsidRPr="00662C5B">
        <w:rPr>
          <w:noProof/>
          <w:lang w:val="en-US"/>
        </w:rPr>
        <w:t>.</w:t>
      </w:r>
      <w:r w:rsidR="00366CC4" w:rsidRPr="00662C5B">
        <w:rPr>
          <w:noProof/>
          <w:lang w:val="en-US"/>
        </w:rPr>
        <w:t xml:space="preserve">m. He had kept an eye on the author </w:t>
      </w:r>
      <w:r w:rsidR="008116EC" w:rsidRPr="00662C5B">
        <w:rPr>
          <w:noProof/>
          <w:lang w:val="en-US"/>
        </w:rPr>
        <w:t xml:space="preserve">for </w:t>
      </w:r>
      <w:r w:rsidR="00366CC4" w:rsidRPr="00662C5B">
        <w:rPr>
          <w:noProof/>
          <w:lang w:val="en-US"/>
        </w:rPr>
        <w:t xml:space="preserve">the rest of the day and </w:t>
      </w:r>
      <w:r w:rsidR="008116EC" w:rsidRPr="00662C5B">
        <w:rPr>
          <w:noProof/>
          <w:lang w:val="en-US"/>
        </w:rPr>
        <w:t>throughout the night</w:t>
      </w:r>
      <w:r w:rsidR="00366CC4" w:rsidRPr="00662C5B">
        <w:rPr>
          <w:noProof/>
          <w:lang w:val="en-US"/>
        </w:rPr>
        <w:t xml:space="preserve">. In this regard, the State party notes that only at the hearing before the </w:t>
      </w:r>
      <w:r w:rsidR="00F040FA" w:rsidRPr="00662C5B">
        <w:rPr>
          <w:noProof/>
          <w:lang w:val="en-US"/>
        </w:rPr>
        <w:t>Refugee Appeals Board</w:t>
      </w:r>
      <w:r w:rsidR="00366CC4" w:rsidRPr="00662C5B">
        <w:rPr>
          <w:noProof/>
          <w:lang w:val="en-US"/>
        </w:rPr>
        <w:t xml:space="preserve"> did the author state that he had been locked in </w:t>
      </w:r>
      <w:r w:rsidR="00F07DE1" w:rsidRPr="00662C5B">
        <w:rPr>
          <w:noProof/>
          <w:lang w:val="en-US"/>
        </w:rPr>
        <w:t>a</w:t>
      </w:r>
      <w:r w:rsidR="00366CC4" w:rsidRPr="00662C5B">
        <w:rPr>
          <w:noProof/>
          <w:lang w:val="en-US"/>
        </w:rPr>
        <w:t xml:space="preserve"> storage room</w:t>
      </w:r>
      <w:r w:rsidR="004A074D" w:rsidRPr="00662C5B">
        <w:rPr>
          <w:noProof/>
          <w:lang w:val="en-US"/>
        </w:rPr>
        <w:t xml:space="preserve"> and </w:t>
      </w:r>
      <w:r w:rsidR="00366CC4" w:rsidRPr="00662C5B">
        <w:rPr>
          <w:noProof/>
          <w:lang w:val="en-US"/>
        </w:rPr>
        <w:t xml:space="preserve">the representative of </w:t>
      </w:r>
      <w:r w:rsidR="00C122F9" w:rsidRPr="00662C5B">
        <w:rPr>
          <w:noProof/>
          <w:lang w:val="en-US"/>
        </w:rPr>
        <w:t>Al-Shabaab</w:t>
      </w:r>
      <w:r w:rsidR="00366CC4" w:rsidRPr="00662C5B">
        <w:rPr>
          <w:noProof/>
          <w:lang w:val="en-US"/>
        </w:rPr>
        <w:t xml:space="preserve"> had gone to sleep by the entrance </w:t>
      </w:r>
      <w:r w:rsidR="004A074D" w:rsidRPr="00662C5B">
        <w:rPr>
          <w:noProof/>
          <w:lang w:val="en-US"/>
        </w:rPr>
        <w:t xml:space="preserve">to it in order </w:t>
      </w:r>
      <w:r w:rsidR="00366CC4" w:rsidRPr="00662C5B">
        <w:rPr>
          <w:noProof/>
          <w:lang w:val="en-US"/>
        </w:rPr>
        <w:t xml:space="preserve">to prevent the author from escaping. At the </w:t>
      </w:r>
      <w:r w:rsidR="00F040FA" w:rsidRPr="00662C5B">
        <w:rPr>
          <w:noProof/>
          <w:lang w:val="en-US"/>
        </w:rPr>
        <w:t>Refugee Appeals Board</w:t>
      </w:r>
      <w:r w:rsidR="00366CC4" w:rsidRPr="00662C5B">
        <w:rPr>
          <w:noProof/>
          <w:lang w:val="en-US"/>
        </w:rPr>
        <w:t xml:space="preserve"> hearing, the author also stated for the first time that he had managed to escape by jumping out of a window in the ro</w:t>
      </w:r>
      <w:r w:rsidR="009824A1" w:rsidRPr="00662C5B">
        <w:rPr>
          <w:noProof/>
          <w:lang w:val="en-US"/>
        </w:rPr>
        <w:t xml:space="preserve">om </w:t>
      </w:r>
      <w:r w:rsidR="00BD6081" w:rsidRPr="00662C5B">
        <w:rPr>
          <w:noProof/>
          <w:lang w:val="en-US"/>
        </w:rPr>
        <w:t>that he had been put in</w:t>
      </w:r>
      <w:r w:rsidR="009824A1" w:rsidRPr="00662C5B">
        <w:rPr>
          <w:noProof/>
          <w:lang w:val="en-US"/>
        </w:rPr>
        <w:t xml:space="preserve">. </w:t>
      </w:r>
      <w:r w:rsidR="00721CE4" w:rsidRPr="00662C5B">
        <w:rPr>
          <w:noProof/>
          <w:lang w:val="en-US"/>
        </w:rPr>
        <w:t xml:space="preserve">The </w:t>
      </w:r>
      <w:r w:rsidR="00C122F9" w:rsidRPr="00662C5B">
        <w:rPr>
          <w:noProof/>
          <w:lang w:val="en-US"/>
        </w:rPr>
        <w:t>Al-Shabaab</w:t>
      </w:r>
      <w:r w:rsidR="00366CC4" w:rsidRPr="00662C5B">
        <w:rPr>
          <w:noProof/>
          <w:lang w:val="en-US"/>
        </w:rPr>
        <w:t xml:space="preserve"> representative </w:t>
      </w:r>
      <w:r w:rsidR="00BD6081" w:rsidRPr="00662C5B">
        <w:rPr>
          <w:noProof/>
          <w:lang w:val="en-US"/>
        </w:rPr>
        <w:t>did</w:t>
      </w:r>
      <w:r w:rsidR="00366CC4" w:rsidRPr="00662C5B">
        <w:rPr>
          <w:noProof/>
          <w:lang w:val="en-US"/>
        </w:rPr>
        <w:t xml:space="preserve"> not know that the room had a window</w:t>
      </w:r>
      <w:r w:rsidR="00BD6081" w:rsidRPr="00662C5B">
        <w:rPr>
          <w:noProof/>
          <w:lang w:val="en-US"/>
        </w:rPr>
        <w:t>,</w:t>
      </w:r>
      <w:r w:rsidR="00366CC4" w:rsidRPr="00662C5B">
        <w:rPr>
          <w:noProof/>
          <w:lang w:val="en-US"/>
        </w:rPr>
        <w:t xml:space="preserve"> as he </w:t>
      </w:r>
      <w:r w:rsidR="00721CE4" w:rsidRPr="00662C5B">
        <w:rPr>
          <w:noProof/>
          <w:lang w:val="en-US"/>
        </w:rPr>
        <w:t xml:space="preserve">was </w:t>
      </w:r>
      <w:r w:rsidR="00BD6081" w:rsidRPr="00662C5B">
        <w:rPr>
          <w:noProof/>
          <w:lang w:val="en-US"/>
        </w:rPr>
        <w:t>un</w:t>
      </w:r>
      <w:r w:rsidR="00366CC4" w:rsidRPr="00662C5B">
        <w:rPr>
          <w:noProof/>
          <w:lang w:val="en-US"/>
        </w:rPr>
        <w:t>familiar with the house. Finally, the auth</w:t>
      </w:r>
      <w:r w:rsidR="00C94A09" w:rsidRPr="00662C5B">
        <w:rPr>
          <w:noProof/>
          <w:lang w:val="en-US"/>
        </w:rPr>
        <w:t>or stated at the Board hearing,</w:t>
      </w:r>
      <w:r w:rsidR="00366CC4" w:rsidRPr="00662C5B">
        <w:rPr>
          <w:noProof/>
          <w:lang w:val="en-US"/>
        </w:rPr>
        <w:t xml:space="preserve"> </w:t>
      </w:r>
      <w:r w:rsidR="00C94A09" w:rsidRPr="00662C5B">
        <w:rPr>
          <w:noProof/>
          <w:lang w:val="en-US"/>
        </w:rPr>
        <w:t>contrary</w:t>
      </w:r>
      <w:r w:rsidR="00366CC4" w:rsidRPr="00662C5B">
        <w:rPr>
          <w:noProof/>
          <w:lang w:val="en-US"/>
        </w:rPr>
        <w:t xml:space="preserve"> to his statement at the asylum</w:t>
      </w:r>
      <w:r w:rsidR="009824A1" w:rsidRPr="00662C5B">
        <w:rPr>
          <w:noProof/>
          <w:lang w:val="en-US"/>
        </w:rPr>
        <w:t xml:space="preserve"> screening interview</w:t>
      </w:r>
      <w:r w:rsidR="00C94A09" w:rsidRPr="00662C5B">
        <w:rPr>
          <w:noProof/>
          <w:lang w:val="en-US"/>
        </w:rPr>
        <w:t>,</w:t>
      </w:r>
      <w:r w:rsidR="009824A1" w:rsidRPr="00662C5B">
        <w:rPr>
          <w:noProof/>
          <w:lang w:val="en-US"/>
        </w:rPr>
        <w:t xml:space="preserve"> that </w:t>
      </w:r>
      <w:r w:rsidR="00BD6081" w:rsidRPr="00662C5B">
        <w:rPr>
          <w:noProof/>
          <w:lang w:val="en-US"/>
        </w:rPr>
        <w:t xml:space="preserve">the </w:t>
      </w:r>
      <w:r w:rsidR="00C122F9" w:rsidRPr="00662C5B">
        <w:rPr>
          <w:noProof/>
          <w:lang w:val="en-US"/>
        </w:rPr>
        <w:t>Al-Shabaab</w:t>
      </w:r>
      <w:r w:rsidR="00366CC4" w:rsidRPr="00662C5B">
        <w:rPr>
          <w:noProof/>
          <w:lang w:val="en-US"/>
        </w:rPr>
        <w:t xml:space="preserve"> representative had arrived at the house when it was dark outside</w:t>
      </w:r>
      <w:r w:rsidR="00721CE4" w:rsidRPr="00662C5B">
        <w:rPr>
          <w:noProof/>
          <w:lang w:val="en-US"/>
        </w:rPr>
        <w:t>,</w:t>
      </w:r>
      <w:r w:rsidR="00C94A09" w:rsidRPr="00662C5B">
        <w:rPr>
          <w:noProof/>
          <w:lang w:val="en-US"/>
        </w:rPr>
        <w:t xml:space="preserve"> and not at 1</w:t>
      </w:r>
      <w:r w:rsidR="00721CE4" w:rsidRPr="00662C5B">
        <w:rPr>
          <w:noProof/>
          <w:lang w:val="en-US"/>
        </w:rPr>
        <w:t xml:space="preserve"> </w:t>
      </w:r>
      <w:r w:rsidR="00C94A09" w:rsidRPr="00662C5B">
        <w:rPr>
          <w:noProof/>
          <w:lang w:val="en-US"/>
        </w:rPr>
        <w:t>p</w:t>
      </w:r>
      <w:r w:rsidR="00721CE4" w:rsidRPr="00662C5B">
        <w:rPr>
          <w:noProof/>
          <w:lang w:val="en-US"/>
        </w:rPr>
        <w:t>.</w:t>
      </w:r>
      <w:r w:rsidR="00C94A09" w:rsidRPr="00662C5B">
        <w:rPr>
          <w:noProof/>
          <w:lang w:val="en-US"/>
        </w:rPr>
        <w:t>m</w:t>
      </w:r>
      <w:r w:rsidR="00721CE4" w:rsidRPr="00662C5B">
        <w:rPr>
          <w:noProof/>
          <w:lang w:val="en-US"/>
        </w:rPr>
        <w:t>.</w:t>
      </w:r>
      <w:r w:rsidR="00C94A09" w:rsidRPr="00662C5B">
        <w:rPr>
          <w:noProof/>
          <w:lang w:val="en-US"/>
        </w:rPr>
        <w:t xml:space="preserve"> as claimed earlier</w:t>
      </w:r>
      <w:r w:rsidR="00366CC4" w:rsidRPr="00662C5B">
        <w:rPr>
          <w:noProof/>
          <w:lang w:val="en-US"/>
        </w:rPr>
        <w:t>.</w:t>
      </w:r>
    </w:p>
    <w:p w14:paraId="03363104" w14:textId="2FC542EC" w:rsidR="00366CC4" w:rsidRPr="00662C5B" w:rsidRDefault="00583E35" w:rsidP="00662C5B">
      <w:pPr>
        <w:pStyle w:val="SingleTxtG"/>
        <w:rPr>
          <w:noProof/>
          <w:lang w:val="en-US"/>
        </w:rPr>
      </w:pPr>
      <w:r w:rsidRPr="00662C5B">
        <w:rPr>
          <w:noProof/>
          <w:lang w:val="en-US"/>
        </w:rPr>
        <w:t>4.</w:t>
      </w:r>
      <w:r w:rsidR="000A1B9F">
        <w:rPr>
          <w:noProof/>
          <w:lang w:val="en-US"/>
        </w:rPr>
        <w:t>8</w:t>
      </w:r>
      <w:r w:rsidR="00C618A7" w:rsidRPr="00662C5B">
        <w:rPr>
          <w:noProof/>
          <w:lang w:val="en-US"/>
        </w:rPr>
        <w:tab/>
      </w:r>
      <w:r w:rsidR="00366CC4" w:rsidRPr="00662C5B">
        <w:rPr>
          <w:noProof/>
          <w:lang w:val="en-US"/>
        </w:rPr>
        <w:t xml:space="preserve">In its decision, the </w:t>
      </w:r>
      <w:r w:rsidR="00F040FA" w:rsidRPr="00662C5B">
        <w:rPr>
          <w:noProof/>
          <w:lang w:val="en-US"/>
        </w:rPr>
        <w:t>Refugee Appeals Board</w:t>
      </w:r>
      <w:r w:rsidR="00366CC4" w:rsidRPr="00662C5B">
        <w:rPr>
          <w:noProof/>
          <w:lang w:val="en-US"/>
        </w:rPr>
        <w:t xml:space="preserve"> considered it </w:t>
      </w:r>
      <w:r w:rsidR="00BD6081" w:rsidRPr="00662C5B">
        <w:rPr>
          <w:noProof/>
          <w:lang w:val="en-US"/>
        </w:rPr>
        <w:t>to be</w:t>
      </w:r>
      <w:r w:rsidR="002E0EE0" w:rsidRPr="00662C5B">
        <w:rPr>
          <w:noProof/>
          <w:lang w:val="en-US"/>
        </w:rPr>
        <w:t xml:space="preserve"> a</w:t>
      </w:r>
      <w:r w:rsidR="00366CC4" w:rsidRPr="00662C5B">
        <w:rPr>
          <w:noProof/>
          <w:lang w:val="en-US"/>
        </w:rPr>
        <w:t xml:space="preserve"> fact that the author ha</w:t>
      </w:r>
      <w:r w:rsidR="00BD6081" w:rsidRPr="00662C5B">
        <w:rPr>
          <w:noProof/>
          <w:lang w:val="en-US"/>
        </w:rPr>
        <w:t>d</w:t>
      </w:r>
      <w:r w:rsidR="00366CC4" w:rsidRPr="00662C5B">
        <w:rPr>
          <w:noProof/>
          <w:lang w:val="en-US"/>
        </w:rPr>
        <w:t xml:space="preserve"> had no conflicts with the Habar Gidir clan himself, </w:t>
      </w:r>
      <w:r w:rsidR="00BD6081" w:rsidRPr="00662C5B">
        <w:rPr>
          <w:noProof/>
          <w:lang w:val="en-US"/>
        </w:rPr>
        <w:t>n</w:t>
      </w:r>
      <w:r w:rsidR="00366CC4" w:rsidRPr="00662C5B">
        <w:rPr>
          <w:noProof/>
          <w:lang w:val="en-US"/>
        </w:rPr>
        <w:t xml:space="preserve">or any other problems </w:t>
      </w:r>
      <w:r w:rsidR="00BD6081" w:rsidRPr="00662C5B">
        <w:rPr>
          <w:noProof/>
          <w:lang w:val="en-US"/>
        </w:rPr>
        <w:t>resulting from</w:t>
      </w:r>
      <w:r w:rsidR="00366CC4" w:rsidRPr="00662C5B">
        <w:rPr>
          <w:noProof/>
          <w:lang w:val="en-US"/>
        </w:rPr>
        <w:t xml:space="preserve"> his clan affiliation. In this regard, the State party notes that at the </w:t>
      </w:r>
      <w:r w:rsidR="00BD6081" w:rsidRPr="00662C5B">
        <w:rPr>
          <w:noProof/>
          <w:lang w:val="en-US"/>
        </w:rPr>
        <w:t>“</w:t>
      </w:r>
      <w:r w:rsidR="00366CC4" w:rsidRPr="00662C5B">
        <w:rPr>
          <w:noProof/>
          <w:lang w:val="en-US"/>
        </w:rPr>
        <w:t>substantive asylum interview”</w:t>
      </w:r>
      <w:r w:rsidR="00B4194C" w:rsidRPr="00662C5B">
        <w:rPr>
          <w:noProof/>
          <w:lang w:val="en-US"/>
        </w:rPr>
        <w:t>, held</w:t>
      </w:r>
      <w:r w:rsidR="00366CC4" w:rsidRPr="00662C5B">
        <w:rPr>
          <w:noProof/>
          <w:lang w:val="en-US"/>
        </w:rPr>
        <w:t xml:space="preserve"> on 23 April 2014, the author was asked whether he was wanted by anyone solely because he belonged to the Ashraf clan, </w:t>
      </w:r>
      <w:r w:rsidR="00D07E9B" w:rsidRPr="00662C5B">
        <w:rPr>
          <w:noProof/>
          <w:lang w:val="en-US"/>
        </w:rPr>
        <w:t xml:space="preserve">to </w:t>
      </w:r>
      <w:r w:rsidR="000B3317" w:rsidRPr="00662C5B">
        <w:rPr>
          <w:noProof/>
          <w:lang w:val="en-US"/>
        </w:rPr>
        <w:t xml:space="preserve">which </w:t>
      </w:r>
      <w:r w:rsidR="00D07E9B" w:rsidRPr="00662C5B">
        <w:rPr>
          <w:noProof/>
          <w:lang w:val="en-US"/>
        </w:rPr>
        <w:t>he replied</w:t>
      </w:r>
      <w:r w:rsidR="00366CC4" w:rsidRPr="00662C5B">
        <w:rPr>
          <w:noProof/>
          <w:lang w:val="en-US"/>
        </w:rPr>
        <w:t xml:space="preserve"> that he was not but it would not be possible for him to obtain protection from his clan. The author </w:t>
      </w:r>
      <w:r w:rsidR="000B3317" w:rsidRPr="00662C5B">
        <w:rPr>
          <w:noProof/>
          <w:lang w:val="en-US"/>
        </w:rPr>
        <w:t xml:space="preserve">also </w:t>
      </w:r>
      <w:r w:rsidR="00366CC4" w:rsidRPr="00662C5B">
        <w:rPr>
          <w:noProof/>
          <w:lang w:val="en-US"/>
        </w:rPr>
        <w:t xml:space="preserve">stated that the reason for his problems with the Habar Gidir clan was that </w:t>
      </w:r>
      <w:r w:rsidR="000B3317" w:rsidRPr="00662C5B">
        <w:rPr>
          <w:noProof/>
          <w:lang w:val="en-US"/>
        </w:rPr>
        <w:t>it had taken part of his family’s land</w:t>
      </w:r>
      <w:r w:rsidR="00366CC4" w:rsidRPr="00662C5B">
        <w:rPr>
          <w:noProof/>
          <w:lang w:val="en-US"/>
        </w:rPr>
        <w:t xml:space="preserve"> 17 or 18 years ago. </w:t>
      </w:r>
      <w:r w:rsidR="002E0EE0" w:rsidRPr="00662C5B">
        <w:rPr>
          <w:noProof/>
          <w:lang w:val="en-US"/>
        </w:rPr>
        <w:t>In addition</w:t>
      </w:r>
      <w:r w:rsidR="00366CC4" w:rsidRPr="00662C5B">
        <w:rPr>
          <w:noProof/>
          <w:lang w:val="en-US"/>
        </w:rPr>
        <w:t xml:space="preserve">, he stated that his sister had been forced into marriage and that his family had had to pay money to be left in peace. His family had last been charged money before </w:t>
      </w:r>
      <w:r w:rsidR="00C122F9" w:rsidRPr="00662C5B">
        <w:rPr>
          <w:noProof/>
          <w:lang w:val="en-US"/>
        </w:rPr>
        <w:t>Al-Shabaab</w:t>
      </w:r>
      <w:r w:rsidR="00366CC4" w:rsidRPr="00662C5B">
        <w:rPr>
          <w:noProof/>
          <w:lang w:val="en-US"/>
        </w:rPr>
        <w:t xml:space="preserve"> </w:t>
      </w:r>
      <w:r w:rsidR="002E0EE0" w:rsidRPr="00662C5B">
        <w:rPr>
          <w:noProof/>
          <w:lang w:val="en-US"/>
        </w:rPr>
        <w:t>took</w:t>
      </w:r>
      <w:r w:rsidR="00366CC4" w:rsidRPr="00662C5B">
        <w:rPr>
          <w:noProof/>
          <w:lang w:val="en-US"/>
        </w:rPr>
        <w:t xml:space="preserve"> control of the town</w:t>
      </w:r>
      <w:r w:rsidR="000B3317" w:rsidRPr="00662C5B">
        <w:rPr>
          <w:noProof/>
          <w:lang w:val="en-US"/>
        </w:rPr>
        <w:t>,</w:t>
      </w:r>
      <w:r w:rsidR="00366CC4" w:rsidRPr="00662C5B">
        <w:rPr>
          <w:noProof/>
          <w:lang w:val="en-US"/>
        </w:rPr>
        <w:t xml:space="preserve"> five or six years </w:t>
      </w:r>
      <w:r w:rsidR="000B3317" w:rsidRPr="00662C5B">
        <w:rPr>
          <w:noProof/>
          <w:lang w:val="en-US"/>
        </w:rPr>
        <w:t>earlier</w:t>
      </w:r>
      <w:r w:rsidR="00366CC4" w:rsidRPr="00662C5B">
        <w:rPr>
          <w:noProof/>
          <w:lang w:val="en-US"/>
        </w:rPr>
        <w:t xml:space="preserve">. He stated that he </w:t>
      </w:r>
      <w:r w:rsidR="003F13B5" w:rsidRPr="00662C5B">
        <w:rPr>
          <w:noProof/>
          <w:lang w:val="en-US"/>
        </w:rPr>
        <w:t xml:space="preserve">had had </w:t>
      </w:r>
      <w:r w:rsidR="00366CC4" w:rsidRPr="00662C5B">
        <w:rPr>
          <w:noProof/>
          <w:lang w:val="en-US"/>
        </w:rPr>
        <w:t xml:space="preserve">no other problems with the Habar Gidir clan. Accordingly, the State party submits that the </w:t>
      </w:r>
      <w:r w:rsidR="00F040FA" w:rsidRPr="00662C5B">
        <w:rPr>
          <w:noProof/>
          <w:lang w:val="en-US"/>
        </w:rPr>
        <w:t>Refugee Appeals Board</w:t>
      </w:r>
      <w:r w:rsidR="00366CC4" w:rsidRPr="00662C5B">
        <w:rPr>
          <w:noProof/>
          <w:lang w:val="en-US"/>
        </w:rPr>
        <w:t xml:space="preserve"> could not accept the author’s statement</w:t>
      </w:r>
      <w:r w:rsidR="001C0322" w:rsidRPr="00662C5B">
        <w:rPr>
          <w:noProof/>
          <w:lang w:val="en-US"/>
        </w:rPr>
        <w:t>s</w:t>
      </w:r>
      <w:r w:rsidR="00366CC4" w:rsidRPr="00662C5B">
        <w:rPr>
          <w:noProof/>
          <w:lang w:val="en-US"/>
        </w:rPr>
        <w:t xml:space="preserve"> as fact, including</w:t>
      </w:r>
      <w:r w:rsidR="0059759A" w:rsidRPr="00662C5B">
        <w:rPr>
          <w:noProof/>
          <w:lang w:val="en-US"/>
        </w:rPr>
        <w:t xml:space="preserve"> the assertion</w:t>
      </w:r>
      <w:r w:rsidR="00366CC4" w:rsidRPr="00662C5B">
        <w:rPr>
          <w:noProof/>
          <w:lang w:val="en-US"/>
        </w:rPr>
        <w:t xml:space="preserve"> that he would be persecuted by </w:t>
      </w:r>
      <w:r w:rsidR="00C122F9" w:rsidRPr="00662C5B">
        <w:rPr>
          <w:noProof/>
          <w:lang w:val="en-US"/>
        </w:rPr>
        <w:t>Al-Shabaab</w:t>
      </w:r>
      <w:r w:rsidR="00366CC4" w:rsidRPr="00662C5B">
        <w:rPr>
          <w:noProof/>
          <w:lang w:val="en-US"/>
        </w:rPr>
        <w:t xml:space="preserve"> </w:t>
      </w:r>
      <w:r w:rsidR="0059759A" w:rsidRPr="00662C5B">
        <w:rPr>
          <w:noProof/>
          <w:lang w:val="en-US"/>
        </w:rPr>
        <w:t>or would suffer</w:t>
      </w:r>
      <w:r w:rsidR="00366CC4" w:rsidRPr="00662C5B">
        <w:rPr>
          <w:noProof/>
          <w:lang w:val="en-US"/>
        </w:rPr>
        <w:t xml:space="preserve"> ongoing conflicts in his home region </w:t>
      </w:r>
      <w:r w:rsidR="0059759A" w:rsidRPr="00662C5B">
        <w:rPr>
          <w:noProof/>
          <w:lang w:val="en-US"/>
        </w:rPr>
        <w:t>on account of</w:t>
      </w:r>
      <w:r w:rsidR="00366CC4" w:rsidRPr="00662C5B">
        <w:rPr>
          <w:noProof/>
          <w:lang w:val="en-US"/>
        </w:rPr>
        <w:t xml:space="preserve"> his clan affiliation.</w:t>
      </w:r>
    </w:p>
    <w:p w14:paraId="51031834" w14:textId="0D437B7D" w:rsidR="00366CC4" w:rsidRPr="00662C5B" w:rsidRDefault="004A34ED" w:rsidP="00662C5B">
      <w:pPr>
        <w:pStyle w:val="SingleTxtG"/>
        <w:rPr>
          <w:noProof/>
          <w:lang w:val="en-US"/>
        </w:rPr>
      </w:pPr>
      <w:r w:rsidRPr="00662C5B">
        <w:rPr>
          <w:noProof/>
          <w:lang w:val="en-US"/>
        </w:rPr>
        <w:t>4.</w:t>
      </w:r>
      <w:r w:rsidR="000A1B9F">
        <w:rPr>
          <w:noProof/>
          <w:lang w:val="en-US"/>
        </w:rPr>
        <w:t>9</w:t>
      </w:r>
      <w:r w:rsidR="00C618A7" w:rsidRPr="00662C5B">
        <w:rPr>
          <w:noProof/>
          <w:lang w:val="en-US"/>
        </w:rPr>
        <w:tab/>
      </w:r>
      <w:r w:rsidR="00366CC4" w:rsidRPr="00662C5B">
        <w:rPr>
          <w:noProof/>
          <w:lang w:val="en-US"/>
        </w:rPr>
        <w:t xml:space="preserve">As regards the author’s statement before the Committee that he </w:t>
      </w:r>
      <w:r w:rsidR="008C6882" w:rsidRPr="00662C5B">
        <w:rPr>
          <w:noProof/>
          <w:lang w:val="en-US"/>
        </w:rPr>
        <w:t>was</w:t>
      </w:r>
      <w:r w:rsidR="00366CC4" w:rsidRPr="00662C5B">
        <w:rPr>
          <w:noProof/>
          <w:lang w:val="en-US"/>
        </w:rPr>
        <w:t xml:space="preserve"> imprisoned for one year due to his affiliation with the Ashraf clan, the State party observes that this statement was already taken into account in the assessment of the matter made by the </w:t>
      </w:r>
      <w:r w:rsidR="00F040FA" w:rsidRPr="00662C5B">
        <w:rPr>
          <w:noProof/>
          <w:lang w:val="en-US"/>
        </w:rPr>
        <w:t>Refugee Appeals Board</w:t>
      </w:r>
      <w:r w:rsidR="00366CC4" w:rsidRPr="00662C5B">
        <w:rPr>
          <w:noProof/>
          <w:lang w:val="en-US"/>
        </w:rPr>
        <w:t xml:space="preserve"> on 6 August 2014. The Board found that, when viewed in isolation, this circumstance did not form a basis for asylum either. According to his own statement, the author’s conflict, which took place in Boosaaso in the Bari region, must be considered to have ended</w:t>
      </w:r>
      <w:r w:rsidR="008C6882" w:rsidRPr="00662C5B">
        <w:rPr>
          <w:noProof/>
          <w:lang w:val="en-US"/>
        </w:rPr>
        <w:t>,</w:t>
      </w:r>
      <w:r w:rsidR="00366CC4" w:rsidRPr="00662C5B">
        <w:rPr>
          <w:noProof/>
          <w:lang w:val="en-US"/>
        </w:rPr>
        <w:t xml:space="preserve"> as he was released in December 2013 with assistance from the council of elders</w:t>
      </w:r>
      <w:r w:rsidR="008C6882" w:rsidRPr="00662C5B">
        <w:rPr>
          <w:noProof/>
          <w:lang w:val="en-US"/>
        </w:rPr>
        <w:t>,</w:t>
      </w:r>
      <w:r w:rsidR="00366CC4" w:rsidRPr="00662C5B">
        <w:rPr>
          <w:noProof/>
          <w:lang w:val="en-US"/>
        </w:rPr>
        <w:t xml:space="preserve"> against payment of an amount unknown to the author. Thus, the allegation that his imprisonment was due to his clan affiliation is based solely on the author’s own assumption. The State party </w:t>
      </w:r>
      <w:r w:rsidR="008C6882" w:rsidRPr="00662C5B">
        <w:rPr>
          <w:noProof/>
          <w:lang w:val="en-US"/>
        </w:rPr>
        <w:t xml:space="preserve">also </w:t>
      </w:r>
      <w:r w:rsidR="00366CC4" w:rsidRPr="00662C5B">
        <w:rPr>
          <w:noProof/>
          <w:lang w:val="en-US"/>
        </w:rPr>
        <w:t xml:space="preserve">observes that the Bari region is located far from the author’s home town of Qoryooley. </w:t>
      </w:r>
      <w:r w:rsidR="006264E0" w:rsidRPr="00662C5B">
        <w:rPr>
          <w:noProof/>
          <w:lang w:val="en-US"/>
        </w:rPr>
        <w:t>The fact</w:t>
      </w:r>
      <w:r w:rsidR="00366CC4" w:rsidRPr="00662C5B">
        <w:rPr>
          <w:noProof/>
          <w:lang w:val="en-US"/>
        </w:rPr>
        <w:t xml:space="preserve"> that the author belongs to a minority clan cannot lead to a different assessment of the matter</w:t>
      </w:r>
      <w:r w:rsidR="008C6882" w:rsidRPr="00662C5B">
        <w:rPr>
          <w:noProof/>
          <w:lang w:val="en-US"/>
        </w:rPr>
        <w:t>,</w:t>
      </w:r>
      <w:r w:rsidR="00366CC4" w:rsidRPr="00662C5B">
        <w:rPr>
          <w:noProof/>
          <w:lang w:val="en-US"/>
        </w:rPr>
        <w:t xml:space="preserve"> as </w:t>
      </w:r>
      <w:r w:rsidR="008C6882" w:rsidRPr="00662C5B">
        <w:rPr>
          <w:noProof/>
          <w:lang w:val="en-US"/>
        </w:rPr>
        <w:t>this</w:t>
      </w:r>
      <w:r w:rsidR="00366CC4" w:rsidRPr="00662C5B">
        <w:rPr>
          <w:noProof/>
          <w:lang w:val="en-US"/>
        </w:rPr>
        <w:t xml:space="preserve"> cannot independently form the basis for asylum. </w:t>
      </w:r>
      <w:r w:rsidR="006264E0" w:rsidRPr="00662C5B">
        <w:rPr>
          <w:noProof/>
          <w:lang w:val="en-US"/>
        </w:rPr>
        <w:t>The State party</w:t>
      </w:r>
      <w:r w:rsidR="00366CC4" w:rsidRPr="00662C5B">
        <w:rPr>
          <w:noProof/>
          <w:lang w:val="en-US"/>
        </w:rPr>
        <w:t xml:space="preserve"> </w:t>
      </w:r>
      <w:r w:rsidR="000F47AC" w:rsidRPr="00662C5B">
        <w:rPr>
          <w:noProof/>
          <w:lang w:val="en-US"/>
        </w:rPr>
        <w:t>reiterates</w:t>
      </w:r>
      <w:r w:rsidR="00366CC4" w:rsidRPr="00662C5B">
        <w:rPr>
          <w:noProof/>
          <w:lang w:val="en-US"/>
        </w:rPr>
        <w:t xml:space="preserve"> that the </w:t>
      </w:r>
      <w:r w:rsidR="00F040FA" w:rsidRPr="00662C5B">
        <w:rPr>
          <w:noProof/>
          <w:lang w:val="en-US"/>
        </w:rPr>
        <w:t>Refugee Appeals Board</w:t>
      </w:r>
      <w:r w:rsidR="00366CC4" w:rsidRPr="00662C5B">
        <w:rPr>
          <w:noProof/>
          <w:lang w:val="en-US"/>
        </w:rPr>
        <w:t xml:space="preserve"> considered it </w:t>
      </w:r>
      <w:r w:rsidR="008C6882" w:rsidRPr="00662C5B">
        <w:rPr>
          <w:noProof/>
          <w:lang w:val="en-US"/>
        </w:rPr>
        <w:t xml:space="preserve">to be </w:t>
      </w:r>
      <w:r w:rsidR="00366CC4" w:rsidRPr="00662C5B">
        <w:rPr>
          <w:noProof/>
          <w:lang w:val="en-US"/>
        </w:rPr>
        <w:t xml:space="preserve">a fact that the author had no clan-related conflicts himself and that </w:t>
      </w:r>
      <w:r w:rsidR="008C6882" w:rsidRPr="00662C5B">
        <w:rPr>
          <w:noProof/>
          <w:lang w:val="en-US"/>
        </w:rPr>
        <w:t>he appeared</w:t>
      </w:r>
      <w:r w:rsidR="00366CC4" w:rsidRPr="00662C5B">
        <w:rPr>
          <w:noProof/>
          <w:lang w:val="en-US"/>
        </w:rPr>
        <w:t xml:space="preserve"> </w:t>
      </w:r>
      <w:r w:rsidR="000F47AC" w:rsidRPr="00662C5B">
        <w:rPr>
          <w:noProof/>
          <w:lang w:val="en-US"/>
        </w:rPr>
        <w:t xml:space="preserve">to be </w:t>
      </w:r>
      <w:r w:rsidR="00366CC4" w:rsidRPr="00662C5B">
        <w:rPr>
          <w:noProof/>
          <w:lang w:val="en-US"/>
        </w:rPr>
        <w:t xml:space="preserve">a </w:t>
      </w:r>
      <w:r w:rsidR="008C6882" w:rsidRPr="00662C5B">
        <w:rPr>
          <w:noProof/>
          <w:lang w:val="en-US"/>
        </w:rPr>
        <w:t>“</w:t>
      </w:r>
      <w:r w:rsidR="00366CC4" w:rsidRPr="00662C5B">
        <w:rPr>
          <w:noProof/>
          <w:lang w:val="en-US"/>
        </w:rPr>
        <w:t>very low-profile individual</w:t>
      </w:r>
      <w:r w:rsidR="000F47AC" w:rsidRPr="00662C5B">
        <w:rPr>
          <w:noProof/>
          <w:lang w:val="en-US"/>
        </w:rPr>
        <w:t>”</w:t>
      </w:r>
      <w:r w:rsidR="00366CC4" w:rsidRPr="00662C5B">
        <w:rPr>
          <w:noProof/>
          <w:lang w:val="en-US"/>
        </w:rPr>
        <w:t>.</w:t>
      </w:r>
      <w:r w:rsidR="005949C0" w:rsidRPr="00662C5B">
        <w:rPr>
          <w:noProof/>
          <w:lang w:val="en-US"/>
        </w:rPr>
        <w:t xml:space="preserve"> </w:t>
      </w:r>
    </w:p>
    <w:p w14:paraId="7EC4741B" w14:textId="5D4014DC" w:rsidR="00366CC4" w:rsidRPr="00662C5B" w:rsidRDefault="000F47AC" w:rsidP="00662C5B">
      <w:pPr>
        <w:pStyle w:val="SingleTxtG"/>
        <w:rPr>
          <w:noProof/>
          <w:lang w:val="en-US"/>
        </w:rPr>
      </w:pPr>
      <w:r w:rsidRPr="00662C5B">
        <w:rPr>
          <w:noProof/>
          <w:lang w:val="en-US"/>
        </w:rPr>
        <w:t>4.1</w:t>
      </w:r>
      <w:r w:rsidR="000A1B9F">
        <w:rPr>
          <w:noProof/>
          <w:lang w:val="en-US"/>
        </w:rPr>
        <w:t>0</w:t>
      </w:r>
      <w:r w:rsidR="00C618A7" w:rsidRPr="00662C5B">
        <w:rPr>
          <w:noProof/>
          <w:lang w:val="en-US"/>
        </w:rPr>
        <w:tab/>
      </w:r>
      <w:r w:rsidR="00366CC4" w:rsidRPr="00662C5B">
        <w:rPr>
          <w:noProof/>
          <w:lang w:val="en-US"/>
        </w:rPr>
        <w:t xml:space="preserve">The author also submitted that the physical and mental consequences for him </w:t>
      </w:r>
      <w:r w:rsidR="00912EA0">
        <w:rPr>
          <w:noProof/>
          <w:lang w:val="en-US"/>
        </w:rPr>
        <w:t>resulting from</w:t>
      </w:r>
      <w:r w:rsidR="00366CC4" w:rsidRPr="00662C5B">
        <w:rPr>
          <w:noProof/>
          <w:lang w:val="en-US"/>
        </w:rPr>
        <w:t xml:space="preserve"> the killing of his father and brother and </w:t>
      </w:r>
      <w:r w:rsidR="00912EA0">
        <w:rPr>
          <w:noProof/>
          <w:lang w:val="en-US"/>
        </w:rPr>
        <w:t xml:space="preserve">from </w:t>
      </w:r>
      <w:r w:rsidR="00366CC4" w:rsidRPr="00662C5B">
        <w:rPr>
          <w:noProof/>
          <w:lang w:val="en-US"/>
        </w:rPr>
        <w:t xml:space="preserve">his own imprisonment were not taken into account during the asylum proceedings. </w:t>
      </w:r>
      <w:r w:rsidR="006264E0" w:rsidRPr="00662C5B">
        <w:rPr>
          <w:noProof/>
          <w:lang w:val="en-US"/>
        </w:rPr>
        <w:t>T</w:t>
      </w:r>
      <w:r w:rsidR="00366CC4" w:rsidRPr="00662C5B">
        <w:rPr>
          <w:noProof/>
          <w:lang w:val="en-US"/>
        </w:rPr>
        <w:t xml:space="preserve">he State party </w:t>
      </w:r>
      <w:r w:rsidR="006264E0" w:rsidRPr="00662C5B">
        <w:rPr>
          <w:noProof/>
          <w:lang w:val="en-US"/>
        </w:rPr>
        <w:t>notes</w:t>
      </w:r>
      <w:r w:rsidR="00366CC4" w:rsidRPr="00662C5B">
        <w:rPr>
          <w:noProof/>
          <w:lang w:val="en-US"/>
        </w:rPr>
        <w:t xml:space="preserve"> that if an asylum</w:t>
      </w:r>
      <w:r w:rsidR="00A07CBD" w:rsidRPr="00662C5B">
        <w:rPr>
          <w:noProof/>
          <w:lang w:val="en-US"/>
        </w:rPr>
        <w:t xml:space="preserve"> </w:t>
      </w:r>
      <w:r w:rsidR="00366CC4" w:rsidRPr="00662C5B">
        <w:rPr>
          <w:noProof/>
          <w:lang w:val="en-US"/>
        </w:rPr>
        <w:t>seeker’s statements in support of his case are characteri</w:t>
      </w:r>
      <w:r w:rsidR="00912EA0">
        <w:rPr>
          <w:noProof/>
          <w:lang w:val="en-US"/>
        </w:rPr>
        <w:t>z</w:t>
      </w:r>
      <w:r w:rsidR="00366CC4" w:rsidRPr="00662C5B">
        <w:rPr>
          <w:noProof/>
          <w:lang w:val="en-US"/>
        </w:rPr>
        <w:t xml:space="preserve">ed by inconsistencies, changing statements, expansions or omissions, the </w:t>
      </w:r>
      <w:r w:rsidR="00F040FA" w:rsidRPr="00662C5B">
        <w:rPr>
          <w:noProof/>
          <w:lang w:val="en-US"/>
        </w:rPr>
        <w:t>Refugee Appeals Board</w:t>
      </w:r>
      <w:r w:rsidR="00366CC4" w:rsidRPr="00662C5B">
        <w:rPr>
          <w:noProof/>
          <w:lang w:val="en-US"/>
        </w:rPr>
        <w:t xml:space="preserve"> will attempt to clarify the reasons. </w:t>
      </w:r>
      <w:r w:rsidR="006264E0" w:rsidRPr="00662C5B">
        <w:rPr>
          <w:noProof/>
          <w:lang w:val="en-US"/>
        </w:rPr>
        <w:t>W</w:t>
      </w:r>
      <w:r w:rsidR="00366CC4" w:rsidRPr="00662C5B">
        <w:rPr>
          <w:noProof/>
          <w:lang w:val="en-US"/>
        </w:rPr>
        <w:t>hen assessing the credibility of an asylum</w:t>
      </w:r>
      <w:r w:rsidR="00F040FA" w:rsidRPr="00662C5B">
        <w:rPr>
          <w:noProof/>
          <w:lang w:val="en-US"/>
        </w:rPr>
        <w:t xml:space="preserve"> </w:t>
      </w:r>
      <w:r w:rsidR="00366CC4" w:rsidRPr="00662C5B">
        <w:rPr>
          <w:noProof/>
          <w:lang w:val="en-US"/>
        </w:rPr>
        <w:t xml:space="preserve">seeker, the </w:t>
      </w:r>
      <w:r w:rsidR="00F040FA" w:rsidRPr="00662C5B">
        <w:rPr>
          <w:noProof/>
          <w:lang w:val="en-US"/>
        </w:rPr>
        <w:t>Refugee Appeals Board</w:t>
      </w:r>
      <w:r w:rsidR="00366CC4" w:rsidRPr="00662C5B">
        <w:rPr>
          <w:noProof/>
          <w:lang w:val="en-US"/>
        </w:rPr>
        <w:t xml:space="preserve"> will take into account the asylum</w:t>
      </w:r>
      <w:r w:rsidR="00A07CBD" w:rsidRPr="00662C5B">
        <w:rPr>
          <w:noProof/>
          <w:lang w:val="en-US"/>
        </w:rPr>
        <w:t xml:space="preserve"> </w:t>
      </w:r>
      <w:r w:rsidR="00366CC4" w:rsidRPr="00662C5B">
        <w:rPr>
          <w:noProof/>
          <w:lang w:val="en-US"/>
        </w:rPr>
        <w:t>seeker’s particular situation, such as cultural differences, age and health. However, inconsistent statements made by the asylum</w:t>
      </w:r>
      <w:r w:rsidR="00A07CBD" w:rsidRPr="00662C5B">
        <w:rPr>
          <w:noProof/>
          <w:lang w:val="en-US"/>
        </w:rPr>
        <w:t xml:space="preserve"> </w:t>
      </w:r>
      <w:r w:rsidR="00366CC4" w:rsidRPr="00662C5B">
        <w:rPr>
          <w:noProof/>
          <w:lang w:val="en-US"/>
        </w:rPr>
        <w:t>seeker about crucial elements of his grounds for seeking asylum may weaken his credibility. If in doubt about the asylum</w:t>
      </w:r>
      <w:r w:rsidR="00A07CBD" w:rsidRPr="00662C5B">
        <w:rPr>
          <w:noProof/>
          <w:lang w:val="en-US"/>
        </w:rPr>
        <w:t xml:space="preserve"> </w:t>
      </w:r>
      <w:r w:rsidR="00366CC4" w:rsidRPr="00662C5B">
        <w:rPr>
          <w:noProof/>
          <w:lang w:val="en-US"/>
        </w:rPr>
        <w:t xml:space="preserve">seeker’s credibility, the Board will always assess to what extent the principle of benefit of </w:t>
      </w:r>
      <w:r w:rsidR="00912EA0">
        <w:rPr>
          <w:noProof/>
          <w:lang w:val="en-US"/>
        </w:rPr>
        <w:t xml:space="preserve">the </w:t>
      </w:r>
      <w:r w:rsidR="00366CC4" w:rsidRPr="00662C5B">
        <w:rPr>
          <w:noProof/>
          <w:lang w:val="en-US"/>
        </w:rPr>
        <w:t>doubt should be applied.</w:t>
      </w:r>
      <w:r w:rsidR="00B868E9" w:rsidRPr="00662C5B">
        <w:rPr>
          <w:noProof/>
          <w:lang w:val="en-US"/>
        </w:rPr>
        <w:t xml:space="preserve"> </w:t>
      </w:r>
      <w:r w:rsidR="002C1028" w:rsidRPr="00662C5B">
        <w:rPr>
          <w:noProof/>
          <w:lang w:val="en-US"/>
        </w:rPr>
        <w:t>T</w:t>
      </w:r>
      <w:r w:rsidR="00B868E9" w:rsidRPr="00662C5B">
        <w:rPr>
          <w:noProof/>
          <w:lang w:val="en-US"/>
        </w:rPr>
        <w:t>he State party observes</w:t>
      </w:r>
      <w:r w:rsidR="00E50EDA">
        <w:rPr>
          <w:noProof/>
          <w:lang w:val="en-US"/>
        </w:rPr>
        <w:t>,</w:t>
      </w:r>
      <w:r w:rsidR="00B868E9" w:rsidRPr="00662C5B">
        <w:rPr>
          <w:noProof/>
          <w:lang w:val="en-US"/>
        </w:rPr>
        <w:t xml:space="preserve"> </w:t>
      </w:r>
      <w:r w:rsidR="002C1028" w:rsidRPr="00662C5B">
        <w:rPr>
          <w:noProof/>
          <w:lang w:val="en-US"/>
        </w:rPr>
        <w:t>in this context</w:t>
      </w:r>
      <w:r w:rsidR="00E50EDA">
        <w:rPr>
          <w:noProof/>
          <w:lang w:val="en-US"/>
        </w:rPr>
        <w:t>,</w:t>
      </w:r>
      <w:r w:rsidR="002C1028" w:rsidRPr="00662C5B">
        <w:rPr>
          <w:noProof/>
          <w:lang w:val="en-US"/>
        </w:rPr>
        <w:t xml:space="preserve"> </w:t>
      </w:r>
      <w:r w:rsidR="00B868E9" w:rsidRPr="00662C5B">
        <w:rPr>
          <w:noProof/>
          <w:lang w:val="en-US"/>
        </w:rPr>
        <w:t xml:space="preserve">that the </w:t>
      </w:r>
      <w:r w:rsidR="00F040FA" w:rsidRPr="00662C5B">
        <w:rPr>
          <w:noProof/>
          <w:lang w:val="en-US"/>
        </w:rPr>
        <w:t>Refugee Appeals Board</w:t>
      </w:r>
      <w:r w:rsidR="00B868E9" w:rsidRPr="00662C5B">
        <w:rPr>
          <w:noProof/>
          <w:lang w:val="en-US"/>
        </w:rPr>
        <w:t xml:space="preserve"> made its decision on 6 August 2014 on the basis of a procedure during which the author had </w:t>
      </w:r>
      <w:r w:rsidR="00E50EDA">
        <w:rPr>
          <w:noProof/>
          <w:lang w:val="en-US"/>
        </w:rPr>
        <w:t>the</w:t>
      </w:r>
      <w:r w:rsidR="00B868E9" w:rsidRPr="00662C5B">
        <w:rPr>
          <w:noProof/>
          <w:lang w:val="en-US"/>
        </w:rPr>
        <w:t xml:space="preserve"> opportunity to present his views</w:t>
      </w:r>
      <w:r w:rsidR="00E50EDA">
        <w:rPr>
          <w:noProof/>
          <w:lang w:val="en-US"/>
        </w:rPr>
        <w:t xml:space="preserve"> to the Board</w:t>
      </w:r>
      <w:r w:rsidR="00B868E9" w:rsidRPr="00662C5B">
        <w:rPr>
          <w:noProof/>
          <w:lang w:val="en-US"/>
        </w:rPr>
        <w:t>, both in writing and orally, with the assistance of his legal counsel. At the Board</w:t>
      </w:r>
      <w:r w:rsidR="002C1028" w:rsidRPr="00662C5B">
        <w:rPr>
          <w:noProof/>
          <w:lang w:val="en-US"/>
        </w:rPr>
        <w:t>’s</w:t>
      </w:r>
      <w:r w:rsidR="00B868E9" w:rsidRPr="00662C5B">
        <w:rPr>
          <w:noProof/>
          <w:lang w:val="en-US"/>
        </w:rPr>
        <w:t xml:space="preserve"> hearing, the author was allowed to make a statement and answer questions. Then counsel and the representative of the Danish Immigration Service were allowed to make closing speeches, whereupon the author was again presented with the opportunity to make a final statement. </w:t>
      </w:r>
      <w:r w:rsidR="00EF3AC9" w:rsidRPr="00662C5B">
        <w:rPr>
          <w:noProof/>
          <w:lang w:val="en-US"/>
        </w:rPr>
        <w:t xml:space="preserve">In these circumstances, the State party maintains that the </w:t>
      </w:r>
      <w:r w:rsidR="00F040FA" w:rsidRPr="00662C5B">
        <w:rPr>
          <w:noProof/>
          <w:lang w:val="en-US"/>
        </w:rPr>
        <w:t>Refugee Appeals Board</w:t>
      </w:r>
      <w:r w:rsidR="00EF3AC9" w:rsidRPr="00662C5B">
        <w:rPr>
          <w:noProof/>
          <w:lang w:val="en-US"/>
        </w:rPr>
        <w:t xml:space="preserve"> included all relevant information in its decision and that the present communication has not disclosed any information substantiating </w:t>
      </w:r>
      <w:r w:rsidR="00057047">
        <w:rPr>
          <w:noProof/>
          <w:lang w:val="en-US"/>
        </w:rPr>
        <w:t>the author’s risk of being</w:t>
      </w:r>
      <w:r w:rsidR="00EF3AC9" w:rsidRPr="00662C5B">
        <w:rPr>
          <w:noProof/>
          <w:lang w:val="en-US"/>
        </w:rPr>
        <w:t xml:space="preserve"> subjected to torture or to inhuman or degrading treatment or punishment or being killed if returned to Somalia. </w:t>
      </w:r>
    </w:p>
    <w:p w14:paraId="51A73242" w14:textId="0C9470BE" w:rsidR="00366CC4" w:rsidRPr="00662C5B" w:rsidRDefault="004A34ED" w:rsidP="00662C5B">
      <w:pPr>
        <w:pStyle w:val="SingleTxtG"/>
        <w:rPr>
          <w:noProof/>
          <w:lang w:val="en-US"/>
        </w:rPr>
      </w:pPr>
      <w:r w:rsidRPr="00662C5B">
        <w:rPr>
          <w:noProof/>
          <w:lang w:val="en-US"/>
        </w:rPr>
        <w:t>4.1</w:t>
      </w:r>
      <w:r w:rsidR="000A1B9F">
        <w:rPr>
          <w:noProof/>
          <w:lang w:val="en-US"/>
        </w:rPr>
        <w:t>1</w:t>
      </w:r>
      <w:r w:rsidR="00C618A7" w:rsidRPr="00662C5B">
        <w:rPr>
          <w:noProof/>
          <w:lang w:val="en-US"/>
        </w:rPr>
        <w:tab/>
      </w:r>
      <w:r w:rsidR="00304570">
        <w:rPr>
          <w:noProof/>
          <w:lang w:val="en-US"/>
        </w:rPr>
        <w:t>With regard</w:t>
      </w:r>
      <w:r w:rsidR="00304570" w:rsidRPr="00662C5B">
        <w:rPr>
          <w:noProof/>
          <w:lang w:val="en-US"/>
        </w:rPr>
        <w:t xml:space="preserve"> </w:t>
      </w:r>
      <w:r w:rsidR="00366CC4" w:rsidRPr="00662C5B">
        <w:rPr>
          <w:noProof/>
          <w:lang w:val="en-US"/>
        </w:rPr>
        <w:t xml:space="preserve">to the author’s claim that his return would violate his rights under article 7 of the Covenant given the general </w:t>
      </w:r>
      <w:r w:rsidR="002C1028" w:rsidRPr="00662C5B">
        <w:rPr>
          <w:noProof/>
          <w:lang w:val="en-US"/>
        </w:rPr>
        <w:t>situation</w:t>
      </w:r>
      <w:r w:rsidR="00366CC4" w:rsidRPr="00662C5B">
        <w:rPr>
          <w:noProof/>
          <w:lang w:val="en-US"/>
        </w:rPr>
        <w:t xml:space="preserve"> in Somalia, the State party submits that in its decision of 6 August 2014, the </w:t>
      </w:r>
      <w:r w:rsidR="00F040FA" w:rsidRPr="00662C5B">
        <w:rPr>
          <w:noProof/>
          <w:lang w:val="en-US"/>
        </w:rPr>
        <w:t>Refugee Appeals Board</w:t>
      </w:r>
      <w:r w:rsidR="00366CC4" w:rsidRPr="00662C5B">
        <w:rPr>
          <w:noProof/>
          <w:lang w:val="en-US"/>
        </w:rPr>
        <w:t xml:space="preserve"> found that it </w:t>
      </w:r>
      <w:r w:rsidR="00E95BA7" w:rsidRPr="00662C5B">
        <w:rPr>
          <w:noProof/>
          <w:lang w:val="en-US"/>
        </w:rPr>
        <w:t>could not</w:t>
      </w:r>
      <w:r w:rsidR="00366CC4" w:rsidRPr="00662C5B">
        <w:rPr>
          <w:noProof/>
          <w:lang w:val="en-US"/>
        </w:rPr>
        <w:t xml:space="preserve"> be assumed that the general security situation in the area surrounding Qoryooley </w:t>
      </w:r>
      <w:r w:rsidR="00304570">
        <w:rPr>
          <w:noProof/>
          <w:lang w:val="en-US"/>
        </w:rPr>
        <w:t>wa</w:t>
      </w:r>
      <w:r w:rsidR="00366CC4" w:rsidRPr="00662C5B">
        <w:rPr>
          <w:noProof/>
          <w:lang w:val="en-US"/>
        </w:rPr>
        <w:t xml:space="preserve">s of such </w:t>
      </w:r>
      <w:r w:rsidR="00304570">
        <w:rPr>
          <w:noProof/>
          <w:lang w:val="en-US"/>
        </w:rPr>
        <w:t xml:space="preserve">a </w:t>
      </w:r>
      <w:r w:rsidR="00366CC4" w:rsidRPr="00662C5B">
        <w:rPr>
          <w:noProof/>
          <w:lang w:val="en-US"/>
        </w:rPr>
        <w:t>nature that everybody returning t</w:t>
      </w:r>
      <w:r w:rsidR="002C1028" w:rsidRPr="00662C5B">
        <w:rPr>
          <w:noProof/>
          <w:lang w:val="en-US"/>
        </w:rPr>
        <w:t>here</w:t>
      </w:r>
      <w:r w:rsidR="00366CC4" w:rsidRPr="00662C5B">
        <w:rPr>
          <w:noProof/>
          <w:lang w:val="en-US"/>
        </w:rPr>
        <w:t xml:space="preserve"> may be deemed to be at a real risk of abuse contrary to </w:t>
      </w:r>
      <w:r w:rsidR="00E95BA7" w:rsidRPr="00662C5B">
        <w:rPr>
          <w:noProof/>
          <w:lang w:val="en-US"/>
        </w:rPr>
        <w:t>a</w:t>
      </w:r>
      <w:r w:rsidR="00366CC4" w:rsidRPr="00662C5B">
        <w:rPr>
          <w:noProof/>
          <w:lang w:val="en-US"/>
        </w:rPr>
        <w:t xml:space="preserve">rticle 3 of the </w:t>
      </w:r>
      <w:r w:rsidR="00E95BA7" w:rsidRPr="00662C5B">
        <w:rPr>
          <w:noProof/>
          <w:lang w:val="en-US"/>
        </w:rPr>
        <w:t>European Convention</w:t>
      </w:r>
      <w:r w:rsidR="00E763D0" w:rsidRPr="00662C5B">
        <w:rPr>
          <w:noProof/>
          <w:lang w:val="en-US"/>
        </w:rPr>
        <w:t xml:space="preserve"> on Human Rights</w:t>
      </w:r>
      <w:r w:rsidR="00366CC4" w:rsidRPr="00662C5B">
        <w:rPr>
          <w:noProof/>
          <w:lang w:val="en-US"/>
        </w:rPr>
        <w:t xml:space="preserve">. It notes that the </w:t>
      </w:r>
      <w:r w:rsidR="00F040FA" w:rsidRPr="00662C5B">
        <w:rPr>
          <w:noProof/>
          <w:lang w:val="en-US"/>
        </w:rPr>
        <w:t>Refugee Appeals Board</w:t>
      </w:r>
      <w:r w:rsidR="00366CC4" w:rsidRPr="00662C5B">
        <w:rPr>
          <w:noProof/>
          <w:lang w:val="en-US"/>
        </w:rPr>
        <w:t xml:space="preserve"> carefully considered the background information concerning the country situation, and that the Board has a comprehensive collection of background material on conditions in Somalia, including all the information to which the author has referred. According to the State party, the Board made its decision on a </w:t>
      </w:r>
      <w:r w:rsidR="00304570">
        <w:rPr>
          <w:noProof/>
          <w:lang w:val="en-US"/>
        </w:rPr>
        <w:t>“</w:t>
      </w:r>
      <w:r w:rsidR="00366CC4" w:rsidRPr="00662C5B">
        <w:rPr>
          <w:noProof/>
          <w:lang w:val="en-US"/>
        </w:rPr>
        <w:t xml:space="preserve">fully sufficient basis”, and it was not necessary to collect further information on the situation in the area. </w:t>
      </w:r>
      <w:r w:rsidR="00304570">
        <w:rPr>
          <w:noProof/>
          <w:lang w:val="en-US"/>
        </w:rPr>
        <w:t>In common with</w:t>
      </w:r>
      <w:r w:rsidR="00304570" w:rsidRPr="00662C5B">
        <w:rPr>
          <w:noProof/>
          <w:lang w:val="en-US"/>
        </w:rPr>
        <w:t xml:space="preserve"> </w:t>
      </w:r>
      <w:r w:rsidR="00366CC4" w:rsidRPr="00662C5B">
        <w:rPr>
          <w:noProof/>
          <w:lang w:val="en-US"/>
        </w:rPr>
        <w:t xml:space="preserve">the </w:t>
      </w:r>
      <w:r w:rsidR="00F040FA" w:rsidRPr="00662C5B">
        <w:rPr>
          <w:noProof/>
          <w:lang w:val="en-US"/>
        </w:rPr>
        <w:t>Refugee Appeals Board</w:t>
      </w:r>
      <w:r w:rsidR="00366CC4" w:rsidRPr="00662C5B">
        <w:rPr>
          <w:noProof/>
          <w:lang w:val="en-US"/>
        </w:rPr>
        <w:t xml:space="preserve">, the State party finds that the continued unrest in the region cannot </w:t>
      </w:r>
      <w:r w:rsidR="00AB5A7B">
        <w:rPr>
          <w:lang w:val="en-GB"/>
        </w:rPr>
        <w:t>in and of itself be taken to mean</w:t>
      </w:r>
      <w:r w:rsidR="00366CC4" w:rsidRPr="00662C5B">
        <w:rPr>
          <w:noProof/>
          <w:lang w:val="en-US"/>
        </w:rPr>
        <w:t xml:space="preserve"> that the author, who is from a government-controlled area and appears </w:t>
      </w:r>
      <w:r w:rsidR="00E95BA7" w:rsidRPr="00662C5B">
        <w:rPr>
          <w:noProof/>
          <w:lang w:val="en-US"/>
        </w:rPr>
        <w:t xml:space="preserve">to be </w:t>
      </w:r>
      <w:r w:rsidR="00366CC4" w:rsidRPr="00662C5B">
        <w:rPr>
          <w:noProof/>
          <w:lang w:val="en-US"/>
        </w:rPr>
        <w:t xml:space="preserve">a very low-profile individual, would </w:t>
      </w:r>
      <w:r w:rsidR="00304570">
        <w:rPr>
          <w:noProof/>
          <w:lang w:val="en-US"/>
        </w:rPr>
        <w:t xml:space="preserve">be at </w:t>
      </w:r>
      <w:r w:rsidR="00366CC4" w:rsidRPr="00662C5B">
        <w:rPr>
          <w:noProof/>
          <w:lang w:val="en-US"/>
        </w:rPr>
        <w:t>risk</w:t>
      </w:r>
      <w:r w:rsidR="00304570">
        <w:rPr>
          <w:noProof/>
          <w:lang w:val="en-US"/>
        </w:rPr>
        <w:t xml:space="preserve"> of</w:t>
      </w:r>
      <w:r w:rsidR="00366CC4" w:rsidRPr="00662C5B">
        <w:rPr>
          <w:noProof/>
          <w:lang w:val="en-US"/>
        </w:rPr>
        <w:t xml:space="preserve"> abuse falling within article</w:t>
      </w:r>
      <w:r w:rsidR="002C1028" w:rsidRPr="00662C5B">
        <w:rPr>
          <w:noProof/>
          <w:lang w:val="en-US"/>
        </w:rPr>
        <w:t>s</w:t>
      </w:r>
      <w:r w:rsidR="00366CC4" w:rsidRPr="00662C5B">
        <w:rPr>
          <w:noProof/>
          <w:lang w:val="en-US"/>
        </w:rPr>
        <w:t xml:space="preserve"> 7 or 9 of the Covenant. In this respect, the State party observes that according to the </w:t>
      </w:r>
      <w:r w:rsidR="00304570">
        <w:rPr>
          <w:noProof/>
          <w:lang w:val="en-US"/>
        </w:rPr>
        <w:t>background information available</w:t>
      </w:r>
      <w:r w:rsidR="00366CC4" w:rsidRPr="00662C5B">
        <w:rPr>
          <w:noProof/>
          <w:lang w:val="en-US"/>
        </w:rPr>
        <w:t xml:space="preserve">, including the </w:t>
      </w:r>
      <w:r w:rsidR="00304570">
        <w:rPr>
          <w:iCs/>
          <w:noProof/>
          <w:lang w:val="en-US"/>
        </w:rPr>
        <w:t>r</w:t>
      </w:r>
      <w:r w:rsidR="00366CC4" w:rsidRPr="00662C5B">
        <w:rPr>
          <w:iCs/>
          <w:noProof/>
          <w:lang w:val="en-US"/>
        </w:rPr>
        <w:t>eport of the Secretary-General on Somalia</w:t>
      </w:r>
      <w:r w:rsidR="00C356E2">
        <w:rPr>
          <w:iCs/>
          <w:noProof/>
          <w:lang w:val="en-US"/>
        </w:rPr>
        <w:t xml:space="preserve"> issued on 25 September 2014</w:t>
      </w:r>
      <w:r w:rsidR="00C618A7" w:rsidRPr="00662C5B">
        <w:rPr>
          <w:iCs/>
          <w:noProof/>
          <w:lang w:val="en-US"/>
        </w:rPr>
        <w:t>,</w:t>
      </w:r>
      <w:r w:rsidR="00366CC4" w:rsidRPr="00662C5B">
        <w:rPr>
          <w:rStyle w:val="FootnoteReference"/>
          <w:noProof/>
          <w:sz w:val="20"/>
          <w:lang w:val="en-US"/>
        </w:rPr>
        <w:footnoteReference w:id="12"/>
      </w:r>
      <w:r w:rsidR="00366CC4" w:rsidRPr="00662C5B">
        <w:rPr>
          <w:noProof/>
          <w:lang w:val="en-US"/>
        </w:rPr>
        <w:t xml:space="preserve"> </w:t>
      </w:r>
      <w:r w:rsidR="00E33FEE" w:rsidRPr="00E33FEE">
        <w:rPr>
          <w:noProof/>
          <w:lang w:val="en-US"/>
        </w:rPr>
        <w:t xml:space="preserve">African Union Mission in Somalia </w:t>
      </w:r>
      <w:r w:rsidR="00E33FEE">
        <w:rPr>
          <w:noProof/>
          <w:lang w:val="en-US"/>
        </w:rPr>
        <w:t>(</w:t>
      </w:r>
      <w:r w:rsidR="00366CC4" w:rsidRPr="00662C5B">
        <w:rPr>
          <w:noProof/>
          <w:lang w:val="en-US"/>
        </w:rPr>
        <w:t>AMISOM</w:t>
      </w:r>
      <w:r w:rsidR="00E33FEE">
        <w:rPr>
          <w:noProof/>
          <w:lang w:val="en-US"/>
        </w:rPr>
        <w:t>)</w:t>
      </w:r>
      <w:r w:rsidR="00366CC4" w:rsidRPr="00662C5B">
        <w:rPr>
          <w:noProof/>
          <w:lang w:val="en-US"/>
        </w:rPr>
        <w:t xml:space="preserve"> and Somali forces pushed </w:t>
      </w:r>
      <w:r w:rsidR="00C122F9" w:rsidRPr="00662C5B">
        <w:rPr>
          <w:noProof/>
          <w:lang w:val="en-US"/>
        </w:rPr>
        <w:t>Al-Shabaab</w:t>
      </w:r>
      <w:r w:rsidR="00366CC4" w:rsidRPr="00662C5B">
        <w:rPr>
          <w:noProof/>
          <w:lang w:val="en-US"/>
        </w:rPr>
        <w:t xml:space="preserve"> out of </w:t>
      </w:r>
      <w:r w:rsidR="00A719CE">
        <w:rPr>
          <w:noProof/>
          <w:lang w:val="en-US"/>
        </w:rPr>
        <w:t>10</w:t>
      </w:r>
      <w:r w:rsidR="00A719CE" w:rsidRPr="00662C5B">
        <w:rPr>
          <w:noProof/>
          <w:lang w:val="en-US"/>
        </w:rPr>
        <w:t xml:space="preserve"> </w:t>
      </w:r>
      <w:r w:rsidR="00366CC4" w:rsidRPr="00662C5B">
        <w:rPr>
          <w:noProof/>
          <w:lang w:val="en-US"/>
        </w:rPr>
        <w:t xml:space="preserve">towns, including Qoryooley, in March and April 2014. Qoryooley has been controlled by the </w:t>
      </w:r>
      <w:r w:rsidR="00BC0E9F">
        <w:rPr>
          <w:noProof/>
          <w:lang w:val="en-US"/>
        </w:rPr>
        <w:t xml:space="preserve">Government of </w:t>
      </w:r>
      <w:r w:rsidR="00E95BA7" w:rsidRPr="00662C5B">
        <w:rPr>
          <w:noProof/>
          <w:lang w:val="en-US"/>
        </w:rPr>
        <w:t>Somali</w:t>
      </w:r>
      <w:r w:rsidR="00BC0E9F">
        <w:rPr>
          <w:noProof/>
          <w:lang w:val="en-US"/>
        </w:rPr>
        <w:t>a</w:t>
      </w:r>
      <w:r w:rsidR="00E95BA7" w:rsidRPr="00662C5B">
        <w:rPr>
          <w:noProof/>
          <w:lang w:val="en-US"/>
        </w:rPr>
        <w:t xml:space="preserve"> </w:t>
      </w:r>
      <w:r w:rsidR="00366CC4" w:rsidRPr="00662C5B">
        <w:rPr>
          <w:noProof/>
          <w:lang w:val="en-US"/>
        </w:rPr>
        <w:t xml:space="preserve">since then. </w:t>
      </w:r>
      <w:r w:rsidR="00A719CE">
        <w:rPr>
          <w:noProof/>
          <w:lang w:val="en-US"/>
        </w:rPr>
        <w:t>The State party also</w:t>
      </w:r>
      <w:r w:rsidR="00366CC4" w:rsidRPr="00662C5B">
        <w:rPr>
          <w:noProof/>
          <w:lang w:val="en-US"/>
        </w:rPr>
        <w:t xml:space="preserve"> observes that according to the article </w:t>
      </w:r>
      <w:r w:rsidR="006D7DC7">
        <w:rPr>
          <w:noProof/>
          <w:lang w:val="en-US"/>
        </w:rPr>
        <w:t>“</w:t>
      </w:r>
      <w:r w:rsidR="00366CC4" w:rsidRPr="00662C5B">
        <w:rPr>
          <w:noProof/>
          <w:lang w:val="en-US"/>
        </w:rPr>
        <w:t xml:space="preserve">Somali </w:t>
      </w:r>
      <w:r w:rsidR="006D7DC7">
        <w:rPr>
          <w:noProof/>
          <w:lang w:val="en-US"/>
        </w:rPr>
        <w:t>f</w:t>
      </w:r>
      <w:r w:rsidR="00366CC4" w:rsidRPr="00662C5B">
        <w:rPr>
          <w:noProof/>
          <w:lang w:val="en-US"/>
        </w:rPr>
        <w:t xml:space="preserve">orces </w:t>
      </w:r>
      <w:r w:rsidR="006D7DC7">
        <w:rPr>
          <w:noProof/>
          <w:lang w:val="en-US"/>
        </w:rPr>
        <w:t>r</w:t>
      </w:r>
      <w:r w:rsidR="00366CC4" w:rsidRPr="00662C5B">
        <w:rPr>
          <w:noProof/>
          <w:lang w:val="en-US"/>
        </w:rPr>
        <w:t xml:space="preserve">epel Al-Shabaab </w:t>
      </w:r>
      <w:r w:rsidR="006D7DC7">
        <w:rPr>
          <w:noProof/>
          <w:lang w:val="en-US"/>
        </w:rPr>
        <w:t>a</w:t>
      </w:r>
      <w:r w:rsidR="00366CC4" w:rsidRPr="00662C5B">
        <w:rPr>
          <w:noProof/>
          <w:lang w:val="en-US"/>
        </w:rPr>
        <w:t>ttacks in Qoryooley, Mahas</w:t>
      </w:r>
      <w:r w:rsidR="006D7DC7">
        <w:rPr>
          <w:noProof/>
          <w:lang w:val="en-US"/>
        </w:rPr>
        <w:t>”</w:t>
      </w:r>
      <w:r w:rsidR="00C618A7" w:rsidRPr="00662C5B">
        <w:rPr>
          <w:noProof/>
          <w:sz w:val="18"/>
          <w:szCs w:val="18"/>
          <w:lang w:val="en-US"/>
        </w:rPr>
        <w:t>,</w:t>
      </w:r>
      <w:r w:rsidR="00366CC4" w:rsidRPr="00662C5B">
        <w:rPr>
          <w:rStyle w:val="FootnoteReference"/>
          <w:noProof/>
          <w:sz w:val="20"/>
          <w:lang w:val="en-US"/>
        </w:rPr>
        <w:footnoteReference w:id="13"/>
      </w:r>
      <w:r w:rsidR="00366CC4" w:rsidRPr="00662C5B">
        <w:rPr>
          <w:noProof/>
          <w:lang w:val="en-US"/>
        </w:rPr>
        <w:t xml:space="preserve"> government forces ha</w:t>
      </w:r>
      <w:r w:rsidR="0024063F">
        <w:rPr>
          <w:noProof/>
          <w:lang w:val="en-US"/>
        </w:rPr>
        <w:t>d</w:t>
      </w:r>
      <w:r w:rsidR="00366CC4" w:rsidRPr="00662C5B">
        <w:rPr>
          <w:noProof/>
          <w:lang w:val="en-US"/>
        </w:rPr>
        <w:t xml:space="preserve"> managed to repel the attacks </w:t>
      </w:r>
      <w:r w:rsidR="0024063F">
        <w:rPr>
          <w:noProof/>
          <w:lang w:val="en-US"/>
        </w:rPr>
        <w:t>by</w:t>
      </w:r>
      <w:r w:rsidR="00366CC4" w:rsidRPr="00662C5B">
        <w:rPr>
          <w:noProof/>
          <w:lang w:val="en-US"/>
        </w:rPr>
        <w:t xml:space="preserve"> </w:t>
      </w:r>
      <w:r w:rsidR="00C122F9" w:rsidRPr="00662C5B">
        <w:rPr>
          <w:noProof/>
          <w:lang w:val="en-US"/>
        </w:rPr>
        <w:t>Al-Shabaab</w:t>
      </w:r>
      <w:r w:rsidR="00366CC4" w:rsidRPr="00662C5B">
        <w:rPr>
          <w:noProof/>
          <w:lang w:val="en-US"/>
        </w:rPr>
        <w:t xml:space="preserve">. Accordingly, </w:t>
      </w:r>
      <w:r w:rsidR="00E95BA7" w:rsidRPr="00662C5B">
        <w:rPr>
          <w:noProof/>
          <w:lang w:val="en-US"/>
        </w:rPr>
        <w:t xml:space="preserve">contrary to the author’s statements, </w:t>
      </w:r>
      <w:r w:rsidR="00366CC4" w:rsidRPr="00662C5B">
        <w:rPr>
          <w:noProof/>
          <w:lang w:val="en-US"/>
        </w:rPr>
        <w:t xml:space="preserve">it is </w:t>
      </w:r>
      <w:r w:rsidR="00E95BA7" w:rsidRPr="00662C5B">
        <w:rPr>
          <w:noProof/>
          <w:lang w:val="en-US"/>
        </w:rPr>
        <w:t>false to maintain</w:t>
      </w:r>
      <w:r w:rsidR="00366CC4" w:rsidRPr="00662C5B">
        <w:rPr>
          <w:noProof/>
          <w:lang w:val="en-US"/>
        </w:rPr>
        <w:t xml:space="preserve"> that the situation in Somalia was not taken into account during the </w:t>
      </w:r>
      <w:r w:rsidR="00E95BA7" w:rsidRPr="00662C5B">
        <w:rPr>
          <w:noProof/>
          <w:lang w:val="en-US"/>
        </w:rPr>
        <w:t xml:space="preserve">author’s </w:t>
      </w:r>
      <w:r w:rsidR="00366CC4" w:rsidRPr="00662C5B">
        <w:rPr>
          <w:noProof/>
          <w:lang w:val="en-US"/>
        </w:rPr>
        <w:t xml:space="preserve">asylum proceedings and that the </w:t>
      </w:r>
      <w:r w:rsidR="00F040FA" w:rsidRPr="00662C5B">
        <w:rPr>
          <w:noProof/>
          <w:lang w:val="en-US"/>
        </w:rPr>
        <w:t>Refugee Appeals Board</w:t>
      </w:r>
      <w:r w:rsidR="00366CC4" w:rsidRPr="00662C5B">
        <w:rPr>
          <w:noProof/>
          <w:lang w:val="en-US"/>
        </w:rPr>
        <w:t xml:space="preserve"> </w:t>
      </w:r>
      <w:r w:rsidR="0024063F">
        <w:rPr>
          <w:noProof/>
          <w:lang w:val="en-US"/>
        </w:rPr>
        <w:t>did not investigate</w:t>
      </w:r>
      <w:r w:rsidR="00366CC4" w:rsidRPr="00662C5B">
        <w:rPr>
          <w:noProof/>
          <w:lang w:val="en-US"/>
        </w:rPr>
        <w:t xml:space="preserve"> the dangerous situation in the area at issue. </w:t>
      </w:r>
    </w:p>
    <w:p w14:paraId="163FF0F6" w14:textId="40E45A57" w:rsidR="00486634" w:rsidRPr="00662C5B" w:rsidRDefault="004277A1" w:rsidP="00662C5B">
      <w:pPr>
        <w:pStyle w:val="SingleTxtG"/>
        <w:rPr>
          <w:noProof/>
          <w:lang w:val="en-US"/>
        </w:rPr>
      </w:pPr>
      <w:r w:rsidRPr="00662C5B">
        <w:rPr>
          <w:noProof/>
          <w:lang w:val="en-US"/>
        </w:rPr>
        <w:t>4.1</w:t>
      </w:r>
      <w:r w:rsidR="000A1B9F">
        <w:rPr>
          <w:noProof/>
          <w:lang w:val="en-US"/>
        </w:rPr>
        <w:t>2</w:t>
      </w:r>
      <w:r w:rsidR="00C618A7" w:rsidRPr="00662C5B">
        <w:rPr>
          <w:noProof/>
          <w:lang w:val="en-US"/>
        </w:rPr>
        <w:tab/>
      </w:r>
      <w:r w:rsidR="0024063F">
        <w:rPr>
          <w:noProof/>
          <w:lang w:val="en-US"/>
        </w:rPr>
        <w:t>With regard</w:t>
      </w:r>
      <w:r w:rsidR="00366CC4" w:rsidRPr="00662C5B">
        <w:rPr>
          <w:noProof/>
          <w:lang w:val="en-US"/>
        </w:rPr>
        <w:t xml:space="preserve"> to the author’s claim under article 9 of the Covenant, the State party reiterates that the author has merely stated that his return to Somalia would constitute a violation of </w:t>
      </w:r>
      <w:r w:rsidR="002C1028" w:rsidRPr="00662C5B">
        <w:rPr>
          <w:noProof/>
          <w:lang w:val="en-US"/>
        </w:rPr>
        <w:t>th</w:t>
      </w:r>
      <w:r w:rsidR="0024063F">
        <w:rPr>
          <w:noProof/>
          <w:lang w:val="en-US"/>
        </w:rPr>
        <w:t>at</w:t>
      </w:r>
      <w:r w:rsidR="002C1028" w:rsidRPr="00662C5B">
        <w:rPr>
          <w:noProof/>
          <w:lang w:val="en-US"/>
        </w:rPr>
        <w:t xml:space="preserve"> provision</w:t>
      </w:r>
      <w:r w:rsidR="00366CC4" w:rsidRPr="00662C5B">
        <w:rPr>
          <w:noProof/>
          <w:lang w:val="en-US"/>
        </w:rPr>
        <w:t>. Therefore, the State party submits that the author has failed to establish that there are substantial grounds for believing that there is a real risk of a flagrant breach of article 9 if he is returned to Somalia and that the high threshold that must apply in the present case has therefore not been met</w:t>
      </w:r>
      <w:r w:rsidR="00C618A7" w:rsidRPr="00662C5B">
        <w:rPr>
          <w:noProof/>
          <w:lang w:val="en-US"/>
        </w:rPr>
        <w:t>.</w:t>
      </w:r>
      <w:r w:rsidR="00366CC4" w:rsidRPr="00662C5B">
        <w:rPr>
          <w:rStyle w:val="FootnoteReference"/>
          <w:noProof/>
          <w:sz w:val="20"/>
          <w:lang w:val="en-US"/>
        </w:rPr>
        <w:footnoteReference w:id="14"/>
      </w:r>
    </w:p>
    <w:p w14:paraId="2E0BBED2" w14:textId="7E29A176" w:rsidR="00117300" w:rsidRPr="00662C5B" w:rsidRDefault="00486634" w:rsidP="00662C5B">
      <w:pPr>
        <w:pStyle w:val="SingleTxtG"/>
        <w:rPr>
          <w:noProof/>
          <w:lang w:val="en-US"/>
        </w:rPr>
      </w:pPr>
      <w:r w:rsidRPr="00662C5B">
        <w:rPr>
          <w:noProof/>
          <w:lang w:val="en-US"/>
        </w:rPr>
        <w:t>4.1</w:t>
      </w:r>
      <w:r w:rsidR="000A1B9F">
        <w:rPr>
          <w:noProof/>
          <w:lang w:val="en-US"/>
        </w:rPr>
        <w:t>3</w:t>
      </w:r>
      <w:r w:rsidR="00C618A7" w:rsidRPr="00662C5B">
        <w:rPr>
          <w:noProof/>
          <w:lang w:val="en-US"/>
        </w:rPr>
        <w:tab/>
      </w:r>
      <w:r w:rsidR="00F24797" w:rsidRPr="00662C5B">
        <w:rPr>
          <w:noProof/>
          <w:lang w:val="en-US"/>
        </w:rPr>
        <w:t xml:space="preserve">In conclusion, the State party maintains that the </w:t>
      </w:r>
      <w:r w:rsidR="00F040FA" w:rsidRPr="00662C5B">
        <w:rPr>
          <w:noProof/>
          <w:lang w:val="en-US"/>
        </w:rPr>
        <w:t>Refugee Appeals Board</w:t>
      </w:r>
      <w:r w:rsidR="00F24797" w:rsidRPr="00662C5B">
        <w:rPr>
          <w:noProof/>
          <w:lang w:val="en-US"/>
        </w:rPr>
        <w:t xml:space="preserve"> has assessed all the relevant information and the author has not presented before the Committee any new information </w:t>
      </w:r>
      <w:r w:rsidR="00CF46E6">
        <w:rPr>
          <w:noProof/>
          <w:lang w:val="en-US"/>
        </w:rPr>
        <w:t xml:space="preserve">to </w:t>
      </w:r>
      <w:r w:rsidR="00F24797" w:rsidRPr="00662C5B">
        <w:rPr>
          <w:noProof/>
          <w:lang w:val="en-US"/>
        </w:rPr>
        <w:t>substantiat</w:t>
      </w:r>
      <w:r w:rsidR="00CF46E6">
        <w:rPr>
          <w:noProof/>
          <w:lang w:val="en-US"/>
        </w:rPr>
        <w:t>e his claim</w:t>
      </w:r>
      <w:r w:rsidR="00F24797" w:rsidRPr="00662C5B">
        <w:rPr>
          <w:noProof/>
          <w:lang w:val="en-US"/>
        </w:rPr>
        <w:t xml:space="preserve"> that he would risk being subjected to torture or to inhuman or degrading treatment or punishment or being killed if returned to Somalia. </w:t>
      </w:r>
      <w:r w:rsidR="002C1028" w:rsidRPr="00662C5B">
        <w:rPr>
          <w:noProof/>
          <w:lang w:val="en-US"/>
        </w:rPr>
        <w:t>T</w:t>
      </w:r>
      <w:r w:rsidR="00F24797" w:rsidRPr="00662C5B">
        <w:rPr>
          <w:noProof/>
          <w:lang w:val="en-US"/>
        </w:rPr>
        <w:t xml:space="preserve">he State party refers to the </w:t>
      </w:r>
      <w:r w:rsidR="00CF46E6">
        <w:rPr>
          <w:noProof/>
          <w:lang w:val="en-US"/>
        </w:rPr>
        <w:t xml:space="preserve">judgment of the </w:t>
      </w:r>
      <w:r w:rsidR="00F24797" w:rsidRPr="00662C5B">
        <w:rPr>
          <w:noProof/>
          <w:lang w:val="en-US"/>
        </w:rPr>
        <w:t xml:space="preserve">European Court of Human Rights in </w:t>
      </w:r>
      <w:r w:rsidR="00F24797" w:rsidRPr="00662C5B">
        <w:rPr>
          <w:i/>
          <w:noProof/>
          <w:lang w:val="en-US"/>
        </w:rPr>
        <w:t>R.C. v. Sweden</w:t>
      </w:r>
      <w:r w:rsidR="00C618A7" w:rsidRPr="00662C5B">
        <w:rPr>
          <w:i/>
          <w:noProof/>
          <w:lang w:val="en-US"/>
        </w:rPr>
        <w:t>,</w:t>
      </w:r>
      <w:r w:rsidR="00F24797" w:rsidRPr="00662C5B">
        <w:rPr>
          <w:rStyle w:val="FootnoteReference"/>
          <w:noProof/>
          <w:sz w:val="20"/>
          <w:lang w:val="en-US"/>
        </w:rPr>
        <w:footnoteReference w:id="15"/>
      </w:r>
      <w:r w:rsidR="00F24797" w:rsidRPr="00662C5B">
        <w:rPr>
          <w:noProof/>
          <w:lang w:val="en-US"/>
        </w:rPr>
        <w:t xml:space="preserve"> where the Court stated</w:t>
      </w:r>
      <w:r w:rsidR="00CF46E6">
        <w:rPr>
          <w:noProof/>
          <w:lang w:val="en-US"/>
        </w:rPr>
        <w:t>,</w:t>
      </w:r>
      <w:r w:rsidR="00F24797" w:rsidRPr="00662C5B">
        <w:rPr>
          <w:noProof/>
          <w:lang w:val="en-US"/>
        </w:rPr>
        <w:t xml:space="preserve"> inter alia</w:t>
      </w:r>
      <w:r w:rsidR="00CF46E6">
        <w:rPr>
          <w:noProof/>
          <w:lang w:val="en-US"/>
        </w:rPr>
        <w:t>,</w:t>
      </w:r>
      <w:r w:rsidR="00F24797" w:rsidRPr="00662C5B">
        <w:rPr>
          <w:noProof/>
          <w:lang w:val="en-US"/>
        </w:rPr>
        <w:t xml:space="preserve"> that “as a general principle, the national authorities are best placed to assess not just the facts but, more particularly, the credibility of witnesses since it is they who have had an opportunity to see, hear and assess the demeanour of the individual concerned”</w:t>
      </w:r>
      <w:r w:rsidR="00CF46E6">
        <w:rPr>
          <w:noProof/>
          <w:lang w:val="en-US"/>
        </w:rPr>
        <w:t>.</w:t>
      </w:r>
      <w:r w:rsidR="00686810" w:rsidRPr="00662C5B">
        <w:rPr>
          <w:rStyle w:val="FootnoteReference"/>
          <w:noProof/>
          <w:lang w:val="en-US"/>
        </w:rPr>
        <w:footnoteReference w:id="16"/>
      </w:r>
      <w:r w:rsidR="00686810" w:rsidRPr="00662C5B">
        <w:rPr>
          <w:noProof/>
          <w:lang w:val="en-US"/>
        </w:rPr>
        <w:t xml:space="preserve"> The State party </w:t>
      </w:r>
      <w:r w:rsidR="00CF46E6">
        <w:rPr>
          <w:noProof/>
          <w:lang w:val="en-US"/>
        </w:rPr>
        <w:t>also</w:t>
      </w:r>
      <w:r w:rsidR="00CF46E6" w:rsidRPr="00662C5B">
        <w:rPr>
          <w:noProof/>
          <w:lang w:val="en-US"/>
        </w:rPr>
        <w:t xml:space="preserve"> </w:t>
      </w:r>
      <w:r w:rsidR="00686810" w:rsidRPr="00662C5B">
        <w:rPr>
          <w:noProof/>
          <w:lang w:val="en-US"/>
        </w:rPr>
        <w:t xml:space="preserve">refers to the Court’s judgment in </w:t>
      </w:r>
      <w:r w:rsidR="00686810" w:rsidRPr="00662C5B">
        <w:rPr>
          <w:i/>
          <w:noProof/>
          <w:lang w:val="en-US"/>
        </w:rPr>
        <w:t>M.E. v. Denmark</w:t>
      </w:r>
      <w:r w:rsidR="007A3690" w:rsidRPr="00662C5B">
        <w:rPr>
          <w:iCs/>
          <w:noProof/>
          <w:lang w:val="en-US"/>
        </w:rPr>
        <w:t>,</w:t>
      </w:r>
      <w:r w:rsidR="00686810" w:rsidRPr="00662C5B">
        <w:rPr>
          <w:rStyle w:val="FootnoteReference"/>
          <w:noProof/>
          <w:lang w:val="en-US"/>
        </w:rPr>
        <w:footnoteReference w:id="17"/>
      </w:r>
      <w:r w:rsidR="00686810" w:rsidRPr="00662C5B">
        <w:rPr>
          <w:noProof/>
          <w:lang w:val="en-US"/>
        </w:rPr>
        <w:t xml:space="preserve"> wherein the Court</w:t>
      </w:r>
      <w:r w:rsidR="0022335A">
        <w:rPr>
          <w:noProof/>
          <w:lang w:val="en-US"/>
        </w:rPr>
        <w:t>,</w:t>
      </w:r>
      <w:r w:rsidR="00686810" w:rsidRPr="00662C5B">
        <w:rPr>
          <w:noProof/>
          <w:lang w:val="en-US"/>
        </w:rPr>
        <w:t xml:space="preserve"> inter alia</w:t>
      </w:r>
      <w:r w:rsidR="0022335A">
        <w:rPr>
          <w:noProof/>
          <w:lang w:val="en-US"/>
        </w:rPr>
        <w:t>,</w:t>
      </w:r>
      <w:r w:rsidR="00686810" w:rsidRPr="00662C5B">
        <w:rPr>
          <w:noProof/>
          <w:lang w:val="en-US"/>
        </w:rPr>
        <w:t xml:space="preserve"> concluded that the examination of the </w:t>
      </w:r>
      <w:r w:rsidR="00484C9C">
        <w:rPr>
          <w:noProof/>
          <w:lang w:val="en-US"/>
        </w:rPr>
        <w:t>relevant</w:t>
      </w:r>
      <w:r w:rsidR="00484C9C" w:rsidRPr="00662C5B">
        <w:rPr>
          <w:noProof/>
          <w:lang w:val="en-US"/>
        </w:rPr>
        <w:t xml:space="preserve"> </w:t>
      </w:r>
      <w:r w:rsidR="00686810" w:rsidRPr="00662C5B">
        <w:rPr>
          <w:noProof/>
          <w:lang w:val="en-US"/>
        </w:rPr>
        <w:t xml:space="preserve">asylum case by the Danish Immigration Service and the </w:t>
      </w:r>
      <w:r w:rsidR="00F040FA" w:rsidRPr="00662C5B">
        <w:rPr>
          <w:noProof/>
          <w:lang w:val="en-US"/>
        </w:rPr>
        <w:t>Refugee Appeals Board</w:t>
      </w:r>
      <w:r w:rsidR="00686810" w:rsidRPr="00662C5B">
        <w:rPr>
          <w:noProof/>
          <w:lang w:val="en-US"/>
        </w:rPr>
        <w:t xml:space="preserve"> </w:t>
      </w:r>
      <w:r w:rsidR="00484C9C">
        <w:rPr>
          <w:noProof/>
          <w:lang w:val="en-US"/>
        </w:rPr>
        <w:t>had been</w:t>
      </w:r>
      <w:r w:rsidR="00312008" w:rsidRPr="00662C5B">
        <w:rPr>
          <w:noProof/>
          <w:lang w:val="en-US"/>
        </w:rPr>
        <w:t xml:space="preserve"> adequate and that</w:t>
      </w:r>
      <w:r w:rsidR="00686810" w:rsidRPr="00662C5B">
        <w:rPr>
          <w:noProof/>
          <w:lang w:val="en-US"/>
        </w:rPr>
        <w:t xml:space="preserve"> due process guarantees</w:t>
      </w:r>
      <w:r w:rsidR="00312008" w:rsidRPr="00662C5B">
        <w:rPr>
          <w:noProof/>
          <w:lang w:val="en-US"/>
        </w:rPr>
        <w:t xml:space="preserve"> had been observed</w:t>
      </w:r>
      <w:r w:rsidR="00686810" w:rsidRPr="00662C5B">
        <w:rPr>
          <w:noProof/>
          <w:lang w:val="en-US"/>
        </w:rPr>
        <w:t>.</w:t>
      </w:r>
      <w:r w:rsidR="00581055" w:rsidRPr="00662C5B">
        <w:rPr>
          <w:noProof/>
          <w:lang w:val="en-US"/>
        </w:rPr>
        <w:t xml:space="preserve"> The State party notes that similar conclusions were </w:t>
      </w:r>
      <w:r w:rsidR="006657EE">
        <w:rPr>
          <w:noProof/>
          <w:lang w:val="en-US"/>
        </w:rPr>
        <w:t xml:space="preserve">also </w:t>
      </w:r>
      <w:r w:rsidR="00581055" w:rsidRPr="00662C5B">
        <w:rPr>
          <w:noProof/>
          <w:lang w:val="en-US"/>
        </w:rPr>
        <w:t>reached by the Committee</w:t>
      </w:r>
      <w:r w:rsidR="006657EE">
        <w:rPr>
          <w:noProof/>
          <w:lang w:val="en-US"/>
        </w:rPr>
        <w:t>,</w:t>
      </w:r>
      <w:r w:rsidR="00581055" w:rsidRPr="00662C5B">
        <w:rPr>
          <w:noProof/>
          <w:lang w:val="en-US"/>
        </w:rPr>
        <w:t xml:space="preserve"> in </w:t>
      </w:r>
      <w:r w:rsidR="00581055" w:rsidRPr="00662C5B">
        <w:rPr>
          <w:i/>
          <w:noProof/>
          <w:lang w:val="en-US"/>
        </w:rPr>
        <w:t>Mr.</w:t>
      </w:r>
      <w:r w:rsidR="00117300" w:rsidRPr="00662C5B">
        <w:rPr>
          <w:i/>
          <w:noProof/>
          <w:lang w:val="en-US"/>
        </w:rPr>
        <w:t xml:space="preserve"> </w:t>
      </w:r>
      <w:r w:rsidR="00581055" w:rsidRPr="00662C5B">
        <w:rPr>
          <w:i/>
          <w:noProof/>
          <w:lang w:val="en-US"/>
        </w:rPr>
        <w:t>X and Ms. X v. Denmark</w:t>
      </w:r>
      <w:r w:rsidR="006657EE" w:rsidRPr="00662C5B">
        <w:rPr>
          <w:iCs/>
          <w:noProof/>
          <w:lang w:val="en-US"/>
        </w:rPr>
        <w:t>,</w:t>
      </w:r>
      <w:r w:rsidR="00581055" w:rsidRPr="00662C5B">
        <w:rPr>
          <w:rStyle w:val="FootnoteReference"/>
          <w:noProof/>
          <w:lang w:val="en-US"/>
        </w:rPr>
        <w:footnoteReference w:id="18"/>
      </w:r>
      <w:r w:rsidR="00117300" w:rsidRPr="00662C5B">
        <w:rPr>
          <w:noProof/>
          <w:lang w:val="en-US"/>
        </w:rPr>
        <w:t xml:space="preserve"> where</w:t>
      </w:r>
      <w:r w:rsidR="00484C9C">
        <w:rPr>
          <w:noProof/>
          <w:lang w:val="en-US"/>
        </w:rPr>
        <w:t>in</w:t>
      </w:r>
      <w:r w:rsidR="00117300" w:rsidRPr="00662C5B">
        <w:rPr>
          <w:noProof/>
          <w:lang w:val="en-US"/>
        </w:rPr>
        <w:t xml:space="preserve"> the Committee found</w:t>
      </w:r>
      <w:r w:rsidR="006657EE">
        <w:rPr>
          <w:noProof/>
          <w:lang w:val="en-US"/>
        </w:rPr>
        <w:t>,</w:t>
      </w:r>
      <w:r w:rsidR="00117300" w:rsidRPr="00662C5B">
        <w:rPr>
          <w:noProof/>
          <w:lang w:val="en-US"/>
        </w:rPr>
        <w:t xml:space="preserve"> inter alia</w:t>
      </w:r>
      <w:r w:rsidR="006657EE">
        <w:rPr>
          <w:noProof/>
          <w:lang w:val="en-US"/>
        </w:rPr>
        <w:t>,</w:t>
      </w:r>
      <w:r w:rsidR="00117300" w:rsidRPr="00662C5B">
        <w:rPr>
          <w:noProof/>
          <w:lang w:val="en-US"/>
        </w:rPr>
        <w:t xml:space="preserve"> that the authors’ refugee claims </w:t>
      </w:r>
      <w:r w:rsidR="00484C9C">
        <w:rPr>
          <w:noProof/>
          <w:lang w:val="en-US"/>
        </w:rPr>
        <w:t>had been</w:t>
      </w:r>
      <w:r w:rsidR="00484C9C" w:rsidRPr="00662C5B">
        <w:rPr>
          <w:noProof/>
          <w:lang w:val="en-US"/>
        </w:rPr>
        <w:t xml:space="preserve"> </w:t>
      </w:r>
      <w:r w:rsidR="00117300" w:rsidRPr="00662C5B">
        <w:rPr>
          <w:noProof/>
          <w:lang w:val="en-US"/>
        </w:rPr>
        <w:t>thoroughly assessed by the State party’s authorities.</w:t>
      </w:r>
    </w:p>
    <w:p w14:paraId="13A453A3" w14:textId="1AC421C8" w:rsidR="00366CC4" w:rsidRPr="00662C5B" w:rsidRDefault="004A34ED" w:rsidP="00662C5B">
      <w:pPr>
        <w:pStyle w:val="SingleTxtG"/>
        <w:rPr>
          <w:noProof/>
          <w:lang w:val="en-US"/>
        </w:rPr>
      </w:pPr>
      <w:r w:rsidRPr="00662C5B">
        <w:rPr>
          <w:noProof/>
          <w:lang w:val="en-US"/>
        </w:rPr>
        <w:t>4.1</w:t>
      </w:r>
      <w:r w:rsidR="000A1B9F">
        <w:rPr>
          <w:noProof/>
          <w:lang w:val="en-US"/>
        </w:rPr>
        <w:t>4</w:t>
      </w:r>
      <w:r w:rsidR="00C618A7" w:rsidRPr="00662C5B">
        <w:rPr>
          <w:noProof/>
          <w:lang w:val="en-US"/>
        </w:rPr>
        <w:tab/>
      </w:r>
      <w:r w:rsidR="00117300" w:rsidRPr="00662C5B">
        <w:rPr>
          <w:noProof/>
          <w:lang w:val="en-US"/>
        </w:rPr>
        <w:t>In</w:t>
      </w:r>
      <w:r w:rsidR="00484C9C">
        <w:rPr>
          <w:noProof/>
          <w:lang w:val="en-US"/>
        </w:rPr>
        <w:t xml:space="preserve"> the</w:t>
      </w:r>
      <w:r w:rsidR="00117300" w:rsidRPr="00662C5B">
        <w:rPr>
          <w:noProof/>
          <w:lang w:val="en-US"/>
        </w:rPr>
        <w:t xml:space="preserve"> light of the above, the State party submits that the same guarantees of due process were </w:t>
      </w:r>
      <w:r w:rsidR="007E7E2B">
        <w:rPr>
          <w:noProof/>
          <w:lang w:val="en-US"/>
        </w:rPr>
        <w:t xml:space="preserve">also </w:t>
      </w:r>
      <w:r w:rsidR="00117300" w:rsidRPr="00662C5B">
        <w:rPr>
          <w:noProof/>
          <w:lang w:val="en-US"/>
        </w:rPr>
        <w:t xml:space="preserve">applied in the present case. The decision to uphold the refusal of the Danish Immigration Service to grant asylum was </w:t>
      </w:r>
      <w:r w:rsidR="00AD0AC9" w:rsidRPr="00662C5B">
        <w:rPr>
          <w:noProof/>
          <w:lang w:val="en-US"/>
        </w:rPr>
        <w:t>adopted</w:t>
      </w:r>
      <w:r w:rsidR="00117300" w:rsidRPr="00662C5B">
        <w:rPr>
          <w:noProof/>
          <w:lang w:val="en-US"/>
        </w:rPr>
        <w:t xml:space="preserve"> by the </w:t>
      </w:r>
      <w:r w:rsidR="00F040FA" w:rsidRPr="00662C5B">
        <w:rPr>
          <w:noProof/>
          <w:lang w:val="en-US"/>
        </w:rPr>
        <w:t>Refugee Appeals Board</w:t>
      </w:r>
      <w:r w:rsidR="00117300" w:rsidRPr="00662C5B">
        <w:rPr>
          <w:noProof/>
          <w:lang w:val="en-US"/>
        </w:rPr>
        <w:t xml:space="preserve">, which is a collegial and independent body of a quasi-judicial nature. </w:t>
      </w:r>
      <w:r w:rsidR="00207551" w:rsidRPr="00662C5B">
        <w:rPr>
          <w:noProof/>
          <w:lang w:val="en-US"/>
        </w:rPr>
        <w:t>Th</w:t>
      </w:r>
      <w:r w:rsidR="00AA58BA">
        <w:rPr>
          <w:noProof/>
          <w:lang w:val="en-US"/>
        </w:rPr>
        <w:t>e</w:t>
      </w:r>
      <w:r w:rsidR="00117300" w:rsidRPr="00662C5B">
        <w:rPr>
          <w:noProof/>
          <w:lang w:val="en-US"/>
        </w:rPr>
        <w:t xml:space="preserve"> decision was made on the basis of a procedure during which the author had the opportunity to present his views to the Board with the assistance of legal counsel. The Board made a thorough assessment of the author’s credibility, the background information available and the author’s specific circumstances, but found that </w:t>
      </w:r>
      <w:r w:rsidR="00797EF9">
        <w:rPr>
          <w:noProof/>
          <w:lang w:val="en-US"/>
        </w:rPr>
        <w:t>the author</w:t>
      </w:r>
      <w:r w:rsidR="00117300" w:rsidRPr="00662C5B">
        <w:rPr>
          <w:noProof/>
          <w:lang w:val="en-US"/>
        </w:rPr>
        <w:t xml:space="preserve"> had failed to </w:t>
      </w:r>
      <w:r w:rsidR="00797EF9" w:rsidRPr="00797EF9">
        <w:rPr>
          <w:noProof/>
          <w:lang w:val="en-GB"/>
        </w:rPr>
        <w:t>demonstrate that it was probable that he would be subjected</w:t>
      </w:r>
      <w:r w:rsidR="00117300" w:rsidRPr="00662C5B">
        <w:rPr>
          <w:noProof/>
          <w:lang w:val="en-US"/>
        </w:rPr>
        <w:t xml:space="preserve"> to torture or to inhuman or degrading treatment or punishment or </w:t>
      </w:r>
      <w:r w:rsidR="00C77FF9">
        <w:rPr>
          <w:noProof/>
          <w:lang w:val="en-US"/>
        </w:rPr>
        <w:t>would be</w:t>
      </w:r>
      <w:r w:rsidR="00C77FF9" w:rsidRPr="00662C5B">
        <w:rPr>
          <w:noProof/>
          <w:lang w:val="en-US"/>
        </w:rPr>
        <w:t xml:space="preserve"> </w:t>
      </w:r>
      <w:r w:rsidR="00117300" w:rsidRPr="00662C5B">
        <w:rPr>
          <w:noProof/>
          <w:lang w:val="en-US"/>
        </w:rPr>
        <w:t xml:space="preserve">killed </w:t>
      </w:r>
      <w:r w:rsidR="00AA58BA">
        <w:rPr>
          <w:noProof/>
          <w:lang w:val="en-US"/>
        </w:rPr>
        <w:t>if he were returned</w:t>
      </w:r>
      <w:r w:rsidR="00A10006" w:rsidRPr="00662C5B">
        <w:rPr>
          <w:noProof/>
          <w:lang w:val="en-US"/>
        </w:rPr>
        <w:t xml:space="preserve"> to Somalia. Consequently, according to the State party, the present communication merely reflects </w:t>
      </w:r>
      <w:r w:rsidR="00B510E4">
        <w:rPr>
          <w:noProof/>
          <w:lang w:val="en-US"/>
        </w:rPr>
        <w:t>the author’s disagreement</w:t>
      </w:r>
      <w:r w:rsidR="00A10006" w:rsidRPr="00662C5B">
        <w:rPr>
          <w:noProof/>
          <w:lang w:val="en-US"/>
        </w:rPr>
        <w:t xml:space="preserve"> with the assessment of his credibility and </w:t>
      </w:r>
      <w:r w:rsidR="00590F31">
        <w:rPr>
          <w:noProof/>
          <w:lang w:val="en-US"/>
        </w:rPr>
        <w:t xml:space="preserve">with </w:t>
      </w:r>
      <w:r w:rsidR="00A10006" w:rsidRPr="00662C5B">
        <w:rPr>
          <w:noProof/>
          <w:lang w:val="en-US"/>
        </w:rPr>
        <w:t xml:space="preserve">the background material </w:t>
      </w:r>
      <w:r w:rsidR="00590F31">
        <w:rPr>
          <w:noProof/>
          <w:lang w:val="en-US"/>
        </w:rPr>
        <w:t>used</w:t>
      </w:r>
      <w:r w:rsidR="00A10006" w:rsidRPr="00662C5B">
        <w:rPr>
          <w:noProof/>
          <w:lang w:val="en-US"/>
        </w:rPr>
        <w:t xml:space="preserve"> by the </w:t>
      </w:r>
      <w:r w:rsidR="00F040FA" w:rsidRPr="00662C5B">
        <w:rPr>
          <w:noProof/>
          <w:lang w:val="en-US"/>
        </w:rPr>
        <w:t>Refugee Appeals Board</w:t>
      </w:r>
      <w:r w:rsidR="00A10006" w:rsidRPr="00662C5B">
        <w:rPr>
          <w:noProof/>
          <w:lang w:val="en-US"/>
        </w:rPr>
        <w:t xml:space="preserve">. In this connection, the State party notes that the author has failed to identify any irregularity in the decision-making process or any risk factors that the </w:t>
      </w:r>
      <w:r w:rsidR="00F040FA" w:rsidRPr="00662C5B">
        <w:rPr>
          <w:noProof/>
          <w:lang w:val="en-US"/>
        </w:rPr>
        <w:t>Refugee Appeals Board</w:t>
      </w:r>
      <w:r w:rsidR="00A10006" w:rsidRPr="00662C5B">
        <w:rPr>
          <w:noProof/>
          <w:lang w:val="en-US"/>
        </w:rPr>
        <w:t xml:space="preserve"> </w:t>
      </w:r>
      <w:r w:rsidR="000F7F04">
        <w:rPr>
          <w:noProof/>
          <w:lang w:val="en-US"/>
        </w:rPr>
        <w:t>may have failed</w:t>
      </w:r>
      <w:r w:rsidR="00A10006" w:rsidRPr="00662C5B">
        <w:rPr>
          <w:noProof/>
          <w:lang w:val="en-US"/>
        </w:rPr>
        <w:t xml:space="preserve"> to take properly into account. </w:t>
      </w:r>
      <w:r w:rsidR="00AD0AC9" w:rsidRPr="00662C5B">
        <w:rPr>
          <w:noProof/>
          <w:lang w:val="en-US"/>
        </w:rPr>
        <w:t>According</w:t>
      </w:r>
      <w:r w:rsidR="00F27673" w:rsidRPr="00662C5B">
        <w:rPr>
          <w:noProof/>
          <w:lang w:val="en-US"/>
        </w:rPr>
        <w:t xml:space="preserve"> to</w:t>
      </w:r>
      <w:r w:rsidR="00A10006" w:rsidRPr="00662C5B">
        <w:rPr>
          <w:noProof/>
          <w:lang w:val="en-US"/>
        </w:rPr>
        <w:t xml:space="preserve"> the State party</w:t>
      </w:r>
      <w:r w:rsidR="00F27673" w:rsidRPr="00662C5B">
        <w:rPr>
          <w:noProof/>
          <w:lang w:val="en-US"/>
        </w:rPr>
        <w:t xml:space="preserve">, </w:t>
      </w:r>
      <w:r w:rsidR="00A10006" w:rsidRPr="00662C5B">
        <w:rPr>
          <w:noProof/>
          <w:lang w:val="en-US"/>
        </w:rPr>
        <w:t xml:space="preserve">the author is in fact trying to use the Committee as an appellate body to have the factual circumstances </w:t>
      </w:r>
      <w:r w:rsidR="005B61AC" w:rsidRPr="00662C5B">
        <w:rPr>
          <w:noProof/>
          <w:lang w:val="en-US"/>
        </w:rPr>
        <w:t>of his</w:t>
      </w:r>
      <w:r w:rsidR="00A10006" w:rsidRPr="00662C5B">
        <w:rPr>
          <w:noProof/>
          <w:lang w:val="en-US"/>
        </w:rPr>
        <w:t xml:space="preserve"> asylum </w:t>
      </w:r>
      <w:r w:rsidR="005B61AC" w:rsidRPr="00662C5B">
        <w:rPr>
          <w:noProof/>
          <w:lang w:val="en-US"/>
        </w:rPr>
        <w:t xml:space="preserve">case </w:t>
      </w:r>
      <w:r w:rsidR="00A10006" w:rsidRPr="00662C5B">
        <w:rPr>
          <w:noProof/>
          <w:lang w:val="en-US"/>
        </w:rPr>
        <w:t>reassessed by the Committee</w:t>
      </w:r>
      <w:r w:rsidR="005B61AC" w:rsidRPr="00662C5B">
        <w:rPr>
          <w:noProof/>
          <w:lang w:val="en-US"/>
        </w:rPr>
        <w:t>.</w:t>
      </w:r>
      <w:r w:rsidR="00862ACF" w:rsidRPr="00662C5B">
        <w:rPr>
          <w:noProof/>
          <w:lang w:val="en-US"/>
        </w:rPr>
        <w:t xml:space="preserve"> In this respect, the State party submits that the Committee must give considerable weight to the findings of fact made by the </w:t>
      </w:r>
      <w:r w:rsidR="00F040FA" w:rsidRPr="00662C5B">
        <w:rPr>
          <w:noProof/>
          <w:lang w:val="en-US"/>
        </w:rPr>
        <w:t>Refugee Appeals Board</w:t>
      </w:r>
      <w:r w:rsidR="00862ACF" w:rsidRPr="00662C5B">
        <w:rPr>
          <w:noProof/>
          <w:lang w:val="en-US"/>
        </w:rPr>
        <w:t xml:space="preserve">, which was better placed to assess the factual circumstances of the author’s case. </w:t>
      </w:r>
      <w:r w:rsidR="00F27673" w:rsidRPr="00662C5B">
        <w:rPr>
          <w:noProof/>
          <w:lang w:val="en-US"/>
        </w:rPr>
        <w:t xml:space="preserve">Thus, the author’s return to Somalia </w:t>
      </w:r>
      <w:r w:rsidR="00862ACF" w:rsidRPr="00662C5B">
        <w:rPr>
          <w:noProof/>
          <w:lang w:val="en-US"/>
        </w:rPr>
        <w:t>will not constitute a breach of article</w:t>
      </w:r>
      <w:r w:rsidR="00F27673" w:rsidRPr="00662C5B">
        <w:rPr>
          <w:noProof/>
          <w:lang w:val="en-US"/>
        </w:rPr>
        <w:t>s</w:t>
      </w:r>
      <w:r w:rsidR="00862ACF" w:rsidRPr="00662C5B">
        <w:rPr>
          <w:noProof/>
          <w:lang w:val="en-US"/>
        </w:rPr>
        <w:t xml:space="preserve"> 7 or 9 of the Covenant.</w:t>
      </w:r>
    </w:p>
    <w:p w14:paraId="2229436C" w14:textId="77777777" w:rsidR="004277A1" w:rsidRPr="00662C5B" w:rsidRDefault="007A3690" w:rsidP="00616017">
      <w:pPr>
        <w:pStyle w:val="H23G"/>
        <w:rPr>
          <w:noProof/>
          <w:lang w:val="en-US"/>
        </w:rPr>
      </w:pPr>
      <w:r w:rsidRPr="00662C5B">
        <w:rPr>
          <w:noProof/>
          <w:lang w:val="en-US"/>
        </w:rPr>
        <w:tab/>
      </w:r>
      <w:r w:rsidRPr="00662C5B">
        <w:rPr>
          <w:noProof/>
          <w:lang w:val="en-US"/>
        </w:rPr>
        <w:tab/>
      </w:r>
      <w:r w:rsidR="00052E2D" w:rsidRPr="00662C5B">
        <w:rPr>
          <w:noProof/>
          <w:lang w:val="en-US"/>
        </w:rPr>
        <w:t>Author’s comments on the State party’s observations</w:t>
      </w:r>
    </w:p>
    <w:p w14:paraId="240C4A59" w14:textId="1B4756FA" w:rsidR="00117300" w:rsidRPr="00662C5B" w:rsidRDefault="007A3690" w:rsidP="00930710">
      <w:pPr>
        <w:pStyle w:val="SingleTxtG"/>
        <w:rPr>
          <w:noProof/>
          <w:lang w:val="en-US"/>
        </w:rPr>
      </w:pPr>
      <w:r w:rsidRPr="00662C5B">
        <w:rPr>
          <w:noProof/>
          <w:lang w:val="en-US"/>
        </w:rPr>
        <w:t>5.1</w:t>
      </w:r>
      <w:r w:rsidRPr="00662C5B">
        <w:rPr>
          <w:noProof/>
          <w:lang w:val="en-US"/>
        </w:rPr>
        <w:tab/>
      </w:r>
      <w:r w:rsidR="00366CC4" w:rsidRPr="00662C5B">
        <w:rPr>
          <w:noProof/>
          <w:lang w:val="en-US"/>
        </w:rPr>
        <w:t xml:space="preserve">On 6 July 2015, the author submitted further information. </w:t>
      </w:r>
      <w:r w:rsidR="00D7501F" w:rsidRPr="00662C5B">
        <w:rPr>
          <w:noProof/>
          <w:lang w:val="en-US"/>
        </w:rPr>
        <w:t>He maintains that</w:t>
      </w:r>
      <w:r w:rsidR="00366CC4" w:rsidRPr="00662C5B">
        <w:rPr>
          <w:noProof/>
          <w:lang w:val="en-US"/>
        </w:rPr>
        <w:t xml:space="preserve"> </w:t>
      </w:r>
      <w:r w:rsidR="00D7501F" w:rsidRPr="00662C5B">
        <w:rPr>
          <w:noProof/>
          <w:lang w:val="en-US"/>
        </w:rPr>
        <w:t>irrespective of</w:t>
      </w:r>
      <w:r w:rsidR="00366CC4" w:rsidRPr="00662C5B">
        <w:rPr>
          <w:noProof/>
          <w:lang w:val="en-US"/>
        </w:rPr>
        <w:t xml:space="preserve"> where in the </w:t>
      </w:r>
      <w:r w:rsidR="002C453A" w:rsidRPr="00BF68EE">
        <w:rPr>
          <w:noProof/>
          <w:lang w:val="en-US"/>
        </w:rPr>
        <w:t>s</w:t>
      </w:r>
      <w:r w:rsidR="00366CC4" w:rsidRPr="00662C5B">
        <w:rPr>
          <w:noProof/>
          <w:lang w:val="en-US"/>
        </w:rPr>
        <w:t>outh of S</w:t>
      </w:r>
      <w:r w:rsidR="00D7501F" w:rsidRPr="00662C5B">
        <w:rPr>
          <w:noProof/>
          <w:lang w:val="en-US"/>
        </w:rPr>
        <w:t xml:space="preserve">omalia he </w:t>
      </w:r>
      <w:r w:rsidR="002C453A">
        <w:rPr>
          <w:noProof/>
          <w:lang w:val="en-US"/>
        </w:rPr>
        <w:t>were to</w:t>
      </w:r>
      <w:r w:rsidR="002C453A" w:rsidRPr="00662C5B">
        <w:rPr>
          <w:noProof/>
          <w:lang w:val="en-US"/>
        </w:rPr>
        <w:t xml:space="preserve"> </w:t>
      </w:r>
      <w:r w:rsidR="00D7501F" w:rsidRPr="00662C5B">
        <w:rPr>
          <w:noProof/>
          <w:lang w:val="en-US"/>
        </w:rPr>
        <w:t>stay, A</w:t>
      </w:r>
      <w:r w:rsidR="00366CC4" w:rsidRPr="00662C5B">
        <w:rPr>
          <w:noProof/>
          <w:lang w:val="en-US"/>
        </w:rPr>
        <w:t>l-Shabaab will find him and he will not be able to live in peace</w:t>
      </w:r>
      <w:r w:rsidR="00F71E63">
        <w:rPr>
          <w:noProof/>
          <w:lang w:val="en-US"/>
        </w:rPr>
        <w:t>,</w:t>
      </w:r>
      <w:r w:rsidR="00366CC4" w:rsidRPr="00662C5B">
        <w:rPr>
          <w:noProof/>
          <w:lang w:val="en-US"/>
        </w:rPr>
        <w:t xml:space="preserve"> </w:t>
      </w:r>
      <w:r w:rsidR="00C20EC6">
        <w:rPr>
          <w:noProof/>
          <w:lang w:val="en-US"/>
        </w:rPr>
        <w:t>and</w:t>
      </w:r>
      <w:r w:rsidR="00C20EC6" w:rsidRPr="00662C5B">
        <w:rPr>
          <w:noProof/>
          <w:lang w:val="en-US"/>
        </w:rPr>
        <w:t xml:space="preserve"> </w:t>
      </w:r>
      <w:r w:rsidR="00366CC4" w:rsidRPr="00662C5B">
        <w:rPr>
          <w:noProof/>
          <w:lang w:val="en-US"/>
        </w:rPr>
        <w:t>in the rest of Somalia</w:t>
      </w:r>
      <w:r w:rsidR="00FB0DE9" w:rsidRPr="00662C5B">
        <w:rPr>
          <w:noProof/>
          <w:lang w:val="en-US"/>
        </w:rPr>
        <w:t>,</w:t>
      </w:r>
      <w:r w:rsidR="00366CC4" w:rsidRPr="00662C5B">
        <w:rPr>
          <w:noProof/>
          <w:lang w:val="en-US"/>
        </w:rPr>
        <w:t xml:space="preserve"> he will always be persecuted because his clan is suppressed</w:t>
      </w:r>
      <w:r w:rsidR="00C20EC6">
        <w:rPr>
          <w:noProof/>
          <w:lang w:val="en-US"/>
        </w:rPr>
        <w:t>.</w:t>
      </w:r>
      <w:r w:rsidR="00366CC4" w:rsidRPr="00662C5B">
        <w:rPr>
          <w:noProof/>
          <w:lang w:val="en-US"/>
        </w:rPr>
        <w:t xml:space="preserve"> </w:t>
      </w:r>
      <w:r w:rsidR="00C20EC6">
        <w:rPr>
          <w:noProof/>
          <w:lang w:val="en-US"/>
        </w:rPr>
        <w:t xml:space="preserve">He also states </w:t>
      </w:r>
      <w:r w:rsidR="00366CC4" w:rsidRPr="00662C5B">
        <w:rPr>
          <w:noProof/>
          <w:lang w:val="en-US"/>
        </w:rPr>
        <w:t>that he recently spoke with his mother for the first time since he fled</w:t>
      </w:r>
      <w:r w:rsidRPr="00662C5B">
        <w:rPr>
          <w:noProof/>
          <w:lang w:val="en-US"/>
        </w:rPr>
        <w:t xml:space="preserve"> </w:t>
      </w:r>
      <w:r w:rsidR="00366CC4" w:rsidRPr="00662C5B">
        <w:rPr>
          <w:noProof/>
          <w:lang w:val="en-US"/>
        </w:rPr>
        <w:t xml:space="preserve">Somalia and that she told him that </w:t>
      </w:r>
      <w:r w:rsidR="00C122F9" w:rsidRPr="00662C5B">
        <w:rPr>
          <w:noProof/>
          <w:lang w:val="en-US"/>
        </w:rPr>
        <w:t>Al-Shabaab</w:t>
      </w:r>
      <w:r w:rsidR="00366CC4" w:rsidRPr="00662C5B">
        <w:rPr>
          <w:noProof/>
          <w:lang w:val="en-US"/>
        </w:rPr>
        <w:t xml:space="preserve"> </w:t>
      </w:r>
      <w:r w:rsidR="00C20EC6">
        <w:rPr>
          <w:noProof/>
          <w:lang w:val="en-US"/>
        </w:rPr>
        <w:t>was</w:t>
      </w:r>
      <w:r w:rsidR="00366CC4" w:rsidRPr="00662C5B">
        <w:rPr>
          <w:noProof/>
          <w:lang w:val="en-US"/>
        </w:rPr>
        <w:t xml:space="preserve"> </w:t>
      </w:r>
      <w:r w:rsidR="00FB0DE9" w:rsidRPr="00662C5B">
        <w:rPr>
          <w:noProof/>
          <w:lang w:val="en-US"/>
        </w:rPr>
        <w:t xml:space="preserve">still </w:t>
      </w:r>
      <w:r w:rsidR="00366CC4" w:rsidRPr="00662C5B">
        <w:rPr>
          <w:noProof/>
          <w:lang w:val="en-US"/>
        </w:rPr>
        <w:t>looking for him</w:t>
      </w:r>
      <w:r w:rsidR="00C20EC6">
        <w:rPr>
          <w:noProof/>
          <w:lang w:val="en-US"/>
        </w:rPr>
        <w:t>,</w:t>
      </w:r>
      <w:r w:rsidR="00366CC4" w:rsidRPr="00662C5B">
        <w:rPr>
          <w:noProof/>
          <w:lang w:val="en-US"/>
        </w:rPr>
        <w:t xml:space="preserve"> and that </w:t>
      </w:r>
      <w:r w:rsidR="00C20EC6">
        <w:rPr>
          <w:noProof/>
          <w:lang w:val="en-US"/>
        </w:rPr>
        <w:t>members of Al-Shabaab had</w:t>
      </w:r>
      <w:r w:rsidR="00366CC4" w:rsidRPr="00662C5B">
        <w:rPr>
          <w:noProof/>
          <w:lang w:val="en-US"/>
        </w:rPr>
        <w:t xml:space="preserve"> unsuccessfully tried to kidnap the author’s younger brother, but he had escaped and the author’s family ha</w:t>
      </w:r>
      <w:r w:rsidR="00C20EC6">
        <w:rPr>
          <w:noProof/>
          <w:lang w:val="en-US"/>
        </w:rPr>
        <w:t>d</w:t>
      </w:r>
      <w:r w:rsidR="00366CC4" w:rsidRPr="00662C5B">
        <w:rPr>
          <w:noProof/>
          <w:lang w:val="en-US"/>
        </w:rPr>
        <w:t xml:space="preserve"> now left their home</w:t>
      </w:r>
      <w:r w:rsidR="00C20EC6">
        <w:rPr>
          <w:noProof/>
          <w:lang w:val="en-US"/>
        </w:rPr>
        <w:t xml:space="preserve"> </w:t>
      </w:r>
      <w:r w:rsidR="00366CC4" w:rsidRPr="00662C5B">
        <w:rPr>
          <w:noProof/>
          <w:lang w:val="en-US"/>
        </w:rPr>
        <w:t>town</w:t>
      </w:r>
      <w:r w:rsidRPr="00662C5B">
        <w:rPr>
          <w:noProof/>
          <w:lang w:val="en-US"/>
        </w:rPr>
        <w:t>.</w:t>
      </w:r>
      <w:r w:rsidR="00366CC4" w:rsidRPr="00662C5B">
        <w:rPr>
          <w:noProof/>
          <w:lang w:val="en-US"/>
        </w:rPr>
        <w:t xml:space="preserve"> The author also submits </w:t>
      </w:r>
      <w:r w:rsidR="00D71D21" w:rsidRPr="00662C5B">
        <w:rPr>
          <w:noProof/>
          <w:lang w:val="en-US"/>
        </w:rPr>
        <w:t>that his burnt leg has been operated</w:t>
      </w:r>
      <w:r w:rsidR="00C20EC6">
        <w:rPr>
          <w:noProof/>
          <w:lang w:val="en-US"/>
        </w:rPr>
        <w:t xml:space="preserve"> on</w:t>
      </w:r>
      <w:r w:rsidR="00D71D21" w:rsidRPr="00662C5B">
        <w:rPr>
          <w:noProof/>
          <w:lang w:val="en-US"/>
        </w:rPr>
        <w:t xml:space="preserve"> twice because of severe pain and soreness</w:t>
      </w:r>
      <w:r w:rsidRPr="00662C5B">
        <w:rPr>
          <w:noProof/>
          <w:lang w:val="en-US"/>
        </w:rPr>
        <w:t>.</w:t>
      </w:r>
      <w:r w:rsidR="00366CC4" w:rsidRPr="00662C5B">
        <w:rPr>
          <w:noProof/>
          <w:lang w:val="en-US"/>
        </w:rPr>
        <w:t xml:space="preserve"> Further</w:t>
      </w:r>
      <w:r w:rsidR="00C20EC6">
        <w:rPr>
          <w:noProof/>
          <w:lang w:val="en-US"/>
        </w:rPr>
        <w:t>more</w:t>
      </w:r>
      <w:r w:rsidR="00366CC4" w:rsidRPr="00662C5B">
        <w:rPr>
          <w:noProof/>
          <w:lang w:val="en-US"/>
        </w:rPr>
        <w:t xml:space="preserve">, he reiterates that his father </w:t>
      </w:r>
      <w:r w:rsidR="002329DC" w:rsidRPr="00662C5B">
        <w:rPr>
          <w:noProof/>
          <w:lang w:val="en-US"/>
        </w:rPr>
        <w:t xml:space="preserve">and brother were killed by </w:t>
      </w:r>
      <w:r w:rsidR="00F65F03">
        <w:rPr>
          <w:noProof/>
          <w:lang w:val="en-US"/>
        </w:rPr>
        <w:t>Al−</w:t>
      </w:r>
      <w:r w:rsidR="00C122F9" w:rsidRPr="00662C5B">
        <w:rPr>
          <w:noProof/>
          <w:lang w:val="en-US"/>
        </w:rPr>
        <w:t>Shabaab</w:t>
      </w:r>
      <w:r w:rsidR="00366CC4" w:rsidRPr="00662C5B">
        <w:rPr>
          <w:noProof/>
          <w:lang w:val="en-US"/>
        </w:rPr>
        <w:t xml:space="preserve"> “when they were trying to</w:t>
      </w:r>
      <w:r w:rsidR="002329DC" w:rsidRPr="00662C5B">
        <w:rPr>
          <w:noProof/>
          <w:lang w:val="en-US"/>
        </w:rPr>
        <w:t xml:space="preserve"> flee from their home</w:t>
      </w:r>
      <w:r w:rsidR="00507AC7">
        <w:rPr>
          <w:noProof/>
          <w:lang w:val="en-US"/>
        </w:rPr>
        <w:t xml:space="preserve"> </w:t>
      </w:r>
      <w:r w:rsidR="002329DC" w:rsidRPr="00662C5B">
        <w:rPr>
          <w:noProof/>
          <w:lang w:val="en-US"/>
        </w:rPr>
        <w:t xml:space="preserve">town. </w:t>
      </w:r>
      <w:r w:rsidR="00C122F9" w:rsidRPr="00662C5B">
        <w:rPr>
          <w:noProof/>
          <w:lang w:val="en-US"/>
        </w:rPr>
        <w:t>Al-Shabaab</w:t>
      </w:r>
      <w:r w:rsidR="00366CC4" w:rsidRPr="00662C5B">
        <w:rPr>
          <w:noProof/>
          <w:lang w:val="en-US"/>
        </w:rPr>
        <w:t xml:space="preserve"> thought the father and brother were traitors</w:t>
      </w:r>
      <w:r w:rsidR="00FB0DE9" w:rsidRPr="00662C5B">
        <w:rPr>
          <w:noProof/>
          <w:lang w:val="en-US"/>
        </w:rPr>
        <w:t>”</w:t>
      </w:r>
      <w:r w:rsidR="00366CC4" w:rsidRPr="00662C5B">
        <w:rPr>
          <w:noProof/>
          <w:lang w:val="en-US"/>
        </w:rPr>
        <w:t xml:space="preserve"> and </w:t>
      </w:r>
      <w:r w:rsidR="00FB0DE9" w:rsidRPr="00662C5B">
        <w:rPr>
          <w:noProof/>
          <w:lang w:val="en-US"/>
        </w:rPr>
        <w:t>shot them</w:t>
      </w:r>
      <w:r w:rsidR="000F4224" w:rsidRPr="00662C5B">
        <w:rPr>
          <w:noProof/>
          <w:lang w:val="en-US"/>
        </w:rPr>
        <w:t>.</w:t>
      </w:r>
      <w:r w:rsidR="00366CC4" w:rsidRPr="00662C5B">
        <w:rPr>
          <w:noProof/>
          <w:lang w:val="en-US"/>
        </w:rPr>
        <w:t xml:space="preserve"> Finally, the author submits that the situation in Somalia </w:t>
      </w:r>
      <w:r w:rsidR="00507AC7">
        <w:rPr>
          <w:noProof/>
          <w:lang w:val="en-US"/>
        </w:rPr>
        <w:t>ha</w:t>
      </w:r>
      <w:r w:rsidR="00930710">
        <w:rPr>
          <w:noProof/>
          <w:lang w:val="en-US"/>
        </w:rPr>
        <w:t>s</w:t>
      </w:r>
      <w:r w:rsidR="00507AC7">
        <w:rPr>
          <w:noProof/>
          <w:lang w:val="en-US"/>
        </w:rPr>
        <w:t xml:space="preserve"> </w:t>
      </w:r>
      <w:r w:rsidR="00366CC4" w:rsidRPr="00662C5B">
        <w:rPr>
          <w:noProof/>
          <w:lang w:val="en-US"/>
        </w:rPr>
        <w:t>“severely aggravated in the past years</w:t>
      </w:r>
      <w:r w:rsidR="000F4224" w:rsidRPr="00662C5B">
        <w:rPr>
          <w:noProof/>
          <w:lang w:val="en-US"/>
        </w:rPr>
        <w:t>”</w:t>
      </w:r>
      <w:r w:rsidR="00366CC4" w:rsidRPr="00662C5B">
        <w:rPr>
          <w:noProof/>
          <w:lang w:val="en-US"/>
        </w:rPr>
        <w:t xml:space="preserve"> and that he will be </w:t>
      </w:r>
      <w:r w:rsidR="00507AC7">
        <w:rPr>
          <w:noProof/>
          <w:lang w:val="en-US"/>
        </w:rPr>
        <w:t>at</w:t>
      </w:r>
      <w:r w:rsidR="00366CC4" w:rsidRPr="00662C5B">
        <w:rPr>
          <w:noProof/>
          <w:lang w:val="en-US"/>
        </w:rPr>
        <w:t xml:space="preserve"> great risk of being killed </w:t>
      </w:r>
      <w:r w:rsidR="00FB0DE9" w:rsidRPr="00662C5B">
        <w:rPr>
          <w:noProof/>
          <w:lang w:val="en-US"/>
        </w:rPr>
        <w:t>there</w:t>
      </w:r>
      <w:r w:rsidR="00366CC4" w:rsidRPr="00662C5B">
        <w:rPr>
          <w:noProof/>
          <w:lang w:val="en-US"/>
        </w:rPr>
        <w:t>. He notes that</w:t>
      </w:r>
      <w:r w:rsidR="00507AC7">
        <w:rPr>
          <w:noProof/>
          <w:lang w:val="en-US"/>
        </w:rPr>
        <w:t xml:space="preserve"> the</w:t>
      </w:r>
      <w:r w:rsidR="00366CC4" w:rsidRPr="00662C5B">
        <w:rPr>
          <w:noProof/>
          <w:lang w:val="en-US"/>
        </w:rPr>
        <w:t xml:space="preserve"> “</w:t>
      </w:r>
      <w:r w:rsidR="00C122F9" w:rsidRPr="00662C5B">
        <w:rPr>
          <w:noProof/>
          <w:lang w:val="en-US"/>
        </w:rPr>
        <w:t>Al-Shabaab</w:t>
      </w:r>
      <w:r w:rsidR="00366CC4" w:rsidRPr="00662C5B">
        <w:rPr>
          <w:noProof/>
          <w:lang w:val="en-US"/>
        </w:rPr>
        <w:t xml:space="preserve"> force is still very active, and has just recently killed 75 </w:t>
      </w:r>
      <w:r w:rsidR="00C356E2">
        <w:rPr>
          <w:noProof/>
          <w:lang w:val="en-US"/>
        </w:rPr>
        <w:t>AMISOM</w:t>
      </w:r>
      <w:r w:rsidR="00C356E2" w:rsidRPr="00662C5B">
        <w:rPr>
          <w:noProof/>
          <w:lang w:val="en-US"/>
        </w:rPr>
        <w:t xml:space="preserve"> </w:t>
      </w:r>
      <w:r w:rsidR="002329DC" w:rsidRPr="00662C5B">
        <w:rPr>
          <w:noProof/>
          <w:lang w:val="en-US"/>
        </w:rPr>
        <w:t>troops</w:t>
      </w:r>
      <w:r w:rsidR="00366CC4" w:rsidRPr="00662C5B">
        <w:rPr>
          <w:noProof/>
          <w:lang w:val="en-US"/>
        </w:rPr>
        <w:t xml:space="preserve"> from Bu</w:t>
      </w:r>
      <w:r w:rsidR="00E46A66">
        <w:rPr>
          <w:noProof/>
          <w:lang w:val="en-US"/>
        </w:rPr>
        <w:t>ru</w:t>
      </w:r>
      <w:r w:rsidR="00366CC4" w:rsidRPr="00662C5B">
        <w:rPr>
          <w:noProof/>
          <w:lang w:val="en-US"/>
        </w:rPr>
        <w:t>ndi</w:t>
      </w:r>
      <w:r w:rsidR="00930710">
        <w:rPr>
          <w:noProof/>
          <w:lang w:val="en-US"/>
        </w:rPr>
        <w:t>,</w:t>
      </w:r>
      <w:r w:rsidR="00366CC4" w:rsidRPr="00662C5B">
        <w:rPr>
          <w:noProof/>
          <w:lang w:val="en-US"/>
        </w:rPr>
        <w:t xml:space="preserve"> in Leego</w:t>
      </w:r>
      <w:r w:rsidR="00507AC7">
        <w:rPr>
          <w:noProof/>
          <w:lang w:val="en-US"/>
        </w:rPr>
        <w:t>,</w:t>
      </w:r>
      <w:r w:rsidR="00366CC4" w:rsidRPr="00662C5B">
        <w:rPr>
          <w:noProof/>
          <w:lang w:val="en-US"/>
        </w:rPr>
        <w:t xml:space="preserve"> near </w:t>
      </w:r>
      <w:r w:rsidR="00E33FEE" w:rsidRPr="00D4506C">
        <w:rPr>
          <w:noProof/>
          <w:lang w:val="en-US"/>
        </w:rPr>
        <w:t>Qoryooley</w:t>
      </w:r>
      <w:r w:rsidR="00366CC4" w:rsidRPr="00662C5B">
        <w:rPr>
          <w:noProof/>
          <w:lang w:val="en-US"/>
        </w:rPr>
        <w:t>”</w:t>
      </w:r>
      <w:r w:rsidR="00930710">
        <w:rPr>
          <w:noProof/>
          <w:lang w:val="en-US"/>
        </w:rPr>
        <w:t>.</w:t>
      </w:r>
      <w:r w:rsidR="00366CC4" w:rsidRPr="00662C5B">
        <w:rPr>
          <w:noProof/>
          <w:lang w:val="en-US"/>
        </w:rPr>
        <w:t xml:space="preserve"> </w:t>
      </w:r>
    </w:p>
    <w:p w14:paraId="068CF015" w14:textId="3BEB2043" w:rsidR="00433FAA" w:rsidRPr="00662C5B" w:rsidRDefault="007A3690" w:rsidP="008F6FD0">
      <w:pPr>
        <w:pStyle w:val="SingleTxtG"/>
        <w:rPr>
          <w:noProof/>
          <w:lang w:val="en-US"/>
        </w:rPr>
      </w:pPr>
      <w:r w:rsidRPr="00662C5B">
        <w:rPr>
          <w:noProof/>
          <w:lang w:val="en-US"/>
        </w:rPr>
        <w:t>5.2</w:t>
      </w:r>
      <w:r w:rsidRPr="00662C5B">
        <w:rPr>
          <w:noProof/>
          <w:lang w:val="en-US"/>
        </w:rPr>
        <w:tab/>
      </w:r>
      <w:r w:rsidR="009C6FA8" w:rsidRPr="00662C5B">
        <w:rPr>
          <w:noProof/>
          <w:lang w:val="en-US"/>
        </w:rPr>
        <w:t>On</w:t>
      </w:r>
      <w:r w:rsidR="00366CC4" w:rsidRPr="00662C5B">
        <w:rPr>
          <w:noProof/>
          <w:lang w:val="en-US"/>
        </w:rPr>
        <w:t xml:space="preserve"> 21 August 2015, the author submit</w:t>
      </w:r>
      <w:r w:rsidR="00507AC7">
        <w:rPr>
          <w:noProof/>
          <w:lang w:val="en-US"/>
        </w:rPr>
        <w:t>ted</w:t>
      </w:r>
      <w:r w:rsidR="00366CC4" w:rsidRPr="00662C5B">
        <w:rPr>
          <w:noProof/>
          <w:lang w:val="en-US"/>
        </w:rPr>
        <w:t xml:space="preserve"> that </w:t>
      </w:r>
      <w:r w:rsidR="00573263" w:rsidRPr="00662C5B">
        <w:rPr>
          <w:noProof/>
          <w:lang w:val="en-US"/>
        </w:rPr>
        <w:t>“</w:t>
      </w:r>
      <w:r w:rsidR="00366CC4" w:rsidRPr="00662C5B">
        <w:rPr>
          <w:noProof/>
          <w:lang w:val="en-US"/>
        </w:rPr>
        <w:t>the Government of Somalia has reinforced its efforts in fighting Al-Shaabab, but is yet to gain control over the specific region and area</w:t>
      </w:r>
      <w:r w:rsidR="00FB0DE9" w:rsidRPr="00662C5B">
        <w:rPr>
          <w:noProof/>
          <w:lang w:val="en-US"/>
        </w:rPr>
        <w:t>”</w:t>
      </w:r>
      <w:r w:rsidR="00366CC4" w:rsidRPr="00662C5B">
        <w:rPr>
          <w:noProof/>
          <w:lang w:val="en-US"/>
        </w:rPr>
        <w:t xml:space="preserve"> from where </w:t>
      </w:r>
      <w:r w:rsidR="00FB0DE9" w:rsidRPr="00662C5B">
        <w:rPr>
          <w:noProof/>
          <w:lang w:val="en-US"/>
        </w:rPr>
        <w:t>he originates</w:t>
      </w:r>
      <w:r w:rsidR="00930710">
        <w:rPr>
          <w:noProof/>
          <w:lang w:val="en-US"/>
        </w:rPr>
        <w:t>,</w:t>
      </w:r>
      <w:r w:rsidR="00366CC4" w:rsidRPr="00662C5B">
        <w:rPr>
          <w:noProof/>
          <w:lang w:val="en-US"/>
        </w:rPr>
        <w:t xml:space="preserve"> and therefore he is </w:t>
      </w:r>
      <w:r w:rsidR="00507AC7">
        <w:rPr>
          <w:noProof/>
          <w:lang w:val="en-US"/>
        </w:rPr>
        <w:t>at</w:t>
      </w:r>
      <w:r w:rsidR="00366CC4" w:rsidRPr="00662C5B">
        <w:rPr>
          <w:noProof/>
          <w:lang w:val="en-US"/>
        </w:rPr>
        <w:t xml:space="preserve"> great risk </w:t>
      </w:r>
      <w:r w:rsidR="00507AC7">
        <w:rPr>
          <w:noProof/>
          <w:lang w:val="en-US"/>
        </w:rPr>
        <w:t>of</w:t>
      </w:r>
      <w:r w:rsidR="00366CC4" w:rsidRPr="00662C5B">
        <w:rPr>
          <w:noProof/>
          <w:lang w:val="en-US"/>
        </w:rPr>
        <w:t xml:space="preserve"> suffer</w:t>
      </w:r>
      <w:r w:rsidR="00507AC7">
        <w:rPr>
          <w:noProof/>
          <w:lang w:val="en-US"/>
        </w:rPr>
        <w:t>ing</w:t>
      </w:r>
      <w:r w:rsidR="00366CC4" w:rsidRPr="00662C5B">
        <w:rPr>
          <w:noProof/>
          <w:lang w:val="en-US"/>
        </w:rPr>
        <w:t xml:space="preserve"> inhuman or degrading treatment </w:t>
      </w:r>
      <w:r w:rsidR="00507AC7">
        <w:rPr>
          <w:noProof/>
          <w:lang w:val="en-US"/>
        </w:rPr>
        <w:t>or being killed</w:t>
      </w:r>
      <w:r w:rsidR="00366CC4" w:rsidRPr="00662C5B">
        <w:rPr>
          <w:noProof/>
          <w:lang w:val="en-US"/>
        </w:rPr>
        <w:t xml:space="preserve"> if returned to Somalia. “Due to the present situation in the Qoryooley area, there should be no doubt that </w:t>
      </w:r>
      <w:r w:rsidR="00FB0DE9" w:rsidRPr="00662C5B">
        <w:rPr>
          <w:noProof/>
          <w:lang w:val="en-US"/>
        </w:rPr>
        <w:t>[</w:t>
      </w:r>
      <w:r w:rsidR="00FC0109">
        <w:rPr>
          <w:noProof/>
          <w:lang w:val="en-US"/>
        </w:rPr>
        <w:t>I</w:t>
      </w:r>
      <w:r w:rsidR="00FB0DE9" w:rsidRPr="00662C5B">
        <w:rPr>
          <w:noProof/>
          <w:lang w:val="en-US"/>
        </w:rPr>
        <w:t>]</w:t>
      </w:r>
      <w:r w:rsidR="009C6FA8" w:rsidRPr="00662C5B">
        <w:rPr>
          <w:noProof/>
          <w:lang w:val="en-US"/>
        </w:rPr>
        <w:t xml:space="preserve"> ha</w:t>
      </w:r>
      <w:r w:rsidR="00FC0109">
        <w:rPr>
          <w:noProof/>
          <w:lang w:val="en-US"/>
        </w:rPr>
        <w:t>ve</w:t>
      </w:r>
      <w:r w:rsidR="009C6FA8" w:rsidRPr="00662C5B">
        <w:rPr>
          <w:noProof/>
          <w:lang w:val="en-US"/>
        </w:rPr>
        <w:t xml:space="preserve"> a conflict with A</w:t>
      </w:r>
      <w:r w:rsidR="00F65F03">
        <w:rPr>
          <w:noProof/>
          <w:lang w:val="en-US"/>
        </w:rPr>
        <w:t>l−</w:t>
      </w:r>
      <w:r w:rsidR="00366CC4" w:rsidRPr="00662C5B">
        <w:rPr>
          <w:noProof/>
          <w:lang w:val="en-US"/>
        </w:rPr>
        <w:t>Shabaab”</w:t>
      </w:r>
      <w:r w:rsidR="00FB0DE9" w:rsidRPr="00662C5B">
        <w:rPr>
          <w:noProof/>
          <w:lang w:val="en-US"/>
        </w:rPr>
        <w:t>.</w:t>
      </w:r>
      <w:r w:rsidR="00366CC4" w:rsidRPr="00662C5B">
        <w:rPr>
          <w:noProof/>
          <w:lang w:val="en-US"/>
        </w:rPr>
        <w:t xml:space="preserve"> The author further states in general terms that “the State </w:t>
      </w:r>
      <w:r w:rsidR="009C6FA8" w:rsidRPr="00662C5B">
        <w:rPr>
          <w:noProof/>
          <w:lang w:val="en-US"/>
        </w:rPr>
        <w:t>p</w:t>
      </w:r>
      <w:r w:rsidR="00366CC4" w:rsidRPr="00662C5B">
        <w:rPr>
          <w:noProof/>
          <w:lang w:val="en-US"/>
        </w:rPr>
        <w:t>arty has failed to establish a prima facie case for the purpose of not giving admissibility of the</w:t>
      </w:r>
      <w:r w:rsidR="00E45624" w:rsidRPr="00662C5B">
        <w:rPr>
          <w:noProof/>
          <w:lang w:val="en-US"/>
        </w:rPr>
        <w:t>…</w:t>
      </w:r>
      <w:r w:rsidR="00366CC4" w:rsidRPr="00662C5B">
        <w:rPr>
          <w:noProof/>
          <w:lang w:val="en-US"/>
        </w:rPr>
        <w:t xml:space="preserve"> communication under articles 7 and 9 of the </w:t>
      </w:r>
      <w:r w:rsidR="009C6FA8" w:rsidRPr="00662C5B">
        <w:rPr>
          <w:noProof/>
          <w:lang w:val="en-US"/>
        </w:rPr>
        <w:t>(Covenant)</w:t>
      </w:r>
      <w:r w:rsidR="00366CC4" w:rsidRPr="00662C5B">
        <w:rPr>
          <w:noProof/>
          <w:lang w:val="en-US"/>
        </w:rPr>
        <w:t xml:space="preserve">. The State party’s submission has not </w:t>
      </w:r>
      <w:r w:rsidR="009F5143">
        <w:rPr>
          <w:noProof/>
          <w:lang w:val="en-US"/>
        </w:rPr>
        <w:t>brought up</w:t>
      </w:r>
      <w:r w:rsidR="00366CC4" w:rsidRPr="00662C5B">
        <w:rPr>
          <w:noProof/>
          <w:lang w:val="en-US"/>
        </w:rPr>
        <w:t xml:space="preserve"> any reason for the </w:t>
      </w:r>
      <w:r w:rsidR="008F6FD0">
        <w:rPr>
          <w:noProof/>
          <w:lang w:val="en-US"/>
        </w:rPr>
        <w:t>communication</w:t>
      </w:r>
      <w:r w:rsidR="008F6FD0" w:rsidRPr="00662C5B">
        <w:rPr>
          <w:noProof/>
          <w:lang w:val="en-US"/>
        </w:rPr>
        <w:t xml:space="preserve"> </w:t>
      </w:r>
      <w:r w:rsidR="00006DBA" w:rsidRPr="00662C5B">
        <w:rPr>
          <w:noProof/>
          <w:lang w:val="en-US"/>
        </w:rPr>
        <w:t>to be inadmissible.</w:t>
      </w:r>
      <w:r w:rsidR="00366CC4" w:rsidRPr="00662C5B">
        <w:rPr>
          <w:noProof/>
          <w:lang w:val="en-US"/>
        </w:rPr>
        <w:t>”</w:t>
      </w:r>
      <w:r w:rsidR="009C6FA8" w:rsidRPr="00662C5B">
        <w:rPr>
          <w:rStyle w:val="FootnoteReference"/>
          <w:noProof/>
          <w:lang w:val="en-US"/>
        </w:rPr>
        <w:footnoteReference w:id="19"/>
      </w:r>
    </w:p>
    <w:p w14:paraId="67E30E7F" w14:textId="77777777" w:rsidR="00052E2D" w:rsidRPr="00662C5B" w:rsidRDefault="00616017" w:rsidP="000266C9">
      <w:pPr>
        <w:pStyle w:val="H23G"/>
        <w:rPr>
          <w:noProof/>
          <w:lang w:val="en-US"/>
        </w:rPr>
      </w:pPr>
      <w:r w:rsidRPr="00662C5B">
        <w:rPr>
          <w:noProof/>
          <w:lang w:val="en-US"/>
        </w:rPr>
        <w:tab/>
      </w:r>
      <w:r w:rsidRPr="00662C5B">
        <w:rPr>
          <w:noProof/>
          <w:lang w:val="en-US"/>
        </w:rPr>
        <w:tab/>
      </w:r>
      <w:r w:rsidR="00052E2D" w:rsidRPr="00662C5B">
        <w:rPr>
          <w:noProof/>
          <w:lang w:val="en-US"/>
        </w:rPr>
        <w:t>Further observations by the State party</w:t>
      </w:r>
    </w:p>
    <w:p w14:paraId="0CB0192C" w14:textId="7B2C4701" w:rsidR="000B77AE" w:rsidRPr="00662C5B" w:rsidRDefault="00052E2D" w:rsidP="009D4DC6">
      <w:pPr>
        <w:pStyle w:val="SingleTxtG"/>
        <w:rPr>
          <w:noProof/>
          <w:lang w:val="en-US"/>
        </w:rPr>
      </w:pPr>
      <w:r w:rsidRPr="00662C5B">
        <w:rPr>
          <w:noProof/>
          <w:lang w:val="en-US"/>
        </w:rPr>
        <w:t>6</w:t>
      </w:r>
      <w:r w:rsidR="007A3690" w:rsidRPr="00662C5B">
        <w:rPr>
          <w:noProof/>
          <w:lang w:val="en-US"/>
        </w:rPr>
        <w:t>.</w:t>
      </w:r>
      <w:r w:rsidRPr="00662C5B">
        <w:rPr>
          <w:noProof/>
          <w:lang w:val="en-US"/>
        </w:rPr>
        <w:t>1</w:t>
      </w:r>
      <w:r w:rsidR="007A3690" w:rsidRPr="00662C5B">
        <w:rPr>
          <w:noProof/>
          <w:lang w:val="en-US"/>
        </w:rPr>
        <w:tab/>
      </w:r>
      <w:r w:rsidR="004059BC" w:rsidRPr="00662C5B">
        <w:rPr>
          <w:noProof/>
          <w:lang w:val="en-US"/>
        </w:rPr>
        <w:t xml:space="preserve">In response, </w:t>
      </w:r>
      <w:r w:rsidR="00FB0DE9" w:rsidRPr="00662C5B">
        <w:rPr>
          <w:noProof/>
          <w:lang w:val="en-US"/>
        </w:rPr>
        <w:t xml:space="preserve">by </w:t>
      </w:r>
      <w:r w:rsidR="00221DA9" w:rsidRPr="00BF68EE">
        <w:rPr>
          <w:noProof/>
          <w:lang w:val="en-US"/>
        </w:rPr>
        <w:t xml:space="preserve">a </w:t>
      </w:r>
      <w:r w:rsidR="00FB0DE9" w:rsidRPr="00662C5B">
        <w:rPr>
          <w:noProof/>
          <w:lang w:val="en-US"/>
        </w:rPr>
        <w:t xml:space="preserve">note verbale </w:t>
      </w:r>
      <w:r w:rsidR="00221DA9" w:rsidRPr="00BF68EE">
        <w:rPr>
          <w:noProof/>
          <w:lang w:val="en-US"/>
        </w:rPr>
        <w:t>dated</w:t>
      </w:r>
      <w:r w:rsidR="004059BC" w:rsidRPr="00662C5B">
        <w:rPr>
          <w:noProof/>
          <w:lang w:val="en-US"/>
        </w:rPr>
        <w:t xml:space="preserve"> 25 January 2016, the State party </w:t>
      </w:r>
      <w:r w:rsidR="00E45624" w:rsidRPr="00662C5B">
        <w:rPr>
          <w:noProof/>
          <w:lang w:val="en-US"/>
        </w:rPr>
        <w:t>reiterate</w:t>
      </w:r>
      <w:r w:rsidR="00221DA9" w:rsidRPr="00BF68EE">
        <w:rPr>
          <w:noProof/>
          <w:lang w:val="en-US"/>
        </w:rPr>
        <w:t>d</w:t>
      </w:r>
      <w:r w:rsidR="004059BC" w:rsidRPr="00662C5B">
        <w:rPr>
          <w:noProof/>
          <w:lang w:val="en-US"/>
        </w:rPr>
        <w:t xml:space="preserve"> that the information provided by the author </w:t>
      </w:r>
      <w:r w:rsidR="00FB0DE9" w:rsidRPr="00662C5B">
        <w:rPr>
          <w:noProof/>
          <w:lang w:val="en-US"/>
        </w:rPr>
        <w:t xml:space="preserve">in this case </w:t>
      </w:r>
      <w:r w:rsidR="00221DA9">
        <w:rPr>
          <w:noProof/>
          <w:lang w:val="en-US"/>
        </w:rPr>
        <w:t xml:space="preserve">could </w:t>
      </w:r>
      <w:r w:rsidR="004059BC" w:rsidRPr="00662C5B">
        <w:rPr>
          <w:noProof/>
          <w:lang w:val="en-US"/>
        </w:rPr>
        <w:t xml:space="preserve">not lead to a different assessment of the author’s asylum case </w:t>
      </w:r>
      <w:r w:rsidR="00221DA9">
        <w:rPr>
          <w:noProof/>
          <w:lang w:val="en-US"/>
        </w:rPr>
        <w:t>from that</w:t>
      </w:r>
      <w:r w:rsidR="00221DA9" w:rsidRPr="00662C5B">
        <w:rPr>
          <w:noProof/>
          <w:lang w:val="en-US"/>
        </w:rPr>
        <w:t xml:space="preserve"> </w:t>
      </w:r>
      <w:r w:rsidR="004059BC" w:rsidRPr="00662C5B">
        <w:rPr>
          <w:noProof/>
          <w:lang w:val="en-US"/>
        </w:rPr>
        <w:t xml:space="preserve">already carried out by the </w:t>
      </w:r>
      <w:r w:rsidR="00F040FA" w:rsidRPr="00662C5B">
        <w:rPr>
          <w:noProof/>
          <w:lang w:val="en-US"/>
        </w:rPr>
        <w:t>Refugee Appeals Board</w:t>
      </w:r>
      <w:r w:rsidR="004059BC" w:rsidRPr="00662C5B">
        <w:rPr>
          <w:noProof/>
          <w:lang w:val="en-US"/>
        </w:rPr>
        <w:t xml:space="preserve">. </w:t>
      </w:r>
      <w:r w:rsidR="00221DA9">
        <w:rPr>
          <w:noProof/>
          <w:lang w:val="en-US"/>
        </w:rPr>
        <w:t>In regard to</w:t>
      </w:r>
      <w:r w:rsidR="004059BC" w:rsidRPr="00662C5B">
        <w:rPr>
          <w:noProof/>
          <w:lang w:val="en-US"/>
        </w:rPr>
        <w:t xml:space="preserve"> the author’s statements concerning the information provided by his mother, the State party </w:t>
      </w:r>
      <w:r w:rsidR="00FB0DE9" w:rsidRPr="00662C5B">
        <w:rPr>
          <w:noProof/>
          <w:lang w:val="en-US"/>
        </w:rPr>
        <w:t xml:space="preserve">believes </w:t>
      </w:r>
      <w:r w:rsidR="004059BC" w:rsidRPr="00662C5B">
        <w:rPr>
          <w:noProof/>
          <w:lang w:val="en-US"/>
        </w:rPr>
        <w:t xml:space="preserve">that this information is unsubstantiated and appears to be fabricated for the occasion. </w:t>
      </w:r>
      <w:r w:rsidR="00FB0DE9" w:rsidRPr="00662C5B">
        <w:rPr>
          <w:noProof/>
          <w:lang w:val="en-US"/>
        </w:rPr>
        <w:t>T</w:t>
      </w:r>
      <w:r w:rsidR="004059BC" w:rsidRPr="00662C5B">
        <w:rPr>
          <w:noProof/>
          <w:lang w:val="en-US"/>
        </w:rPr>
        <w:t xml:space="preserve">he author has previously made inconsistent statements concerning his contact with his mother. In particular, during the asylum screening interview </w:t>
      </w:r>
      <w:r w:rsidR="00E2365D">
        <w:rPr>
          <w:noProof/>
          <w:lang w:val="en-US"/>
        </w:rPr>
        <w:t>with</w:t>
      </w:r>
      <w:r w:rsidR="00E2365D" w:rsidRPr="00662C5B">
        <w:rPr>
          <w:noProof/>
          <w:lang w:val="en-US"/>
        </w:rPr>
        <w:t xml:space="preserve"> </w:t>
      </w:r>
      <w:r w:rsidR="004059BC" w:rsidRPr="00662C5B">
        <w:rPr>
          <w:noProof/>
          <w:lang w:val="en-US"/>
        </w:rPr>
        <w:t>the Danish Immigration Service on 2 April 2014, he stated that he had</w:t>
      </w:r>
      <w:r w:rsidR="00E2365D">
        <w:rPr>
          <w:noProof/>
          <w:lang w:val="en-US"/>
        </w:rPr>
        <w:t xml:space="preserve"> had</w:t>
      </w:r>
      <w:r w:rsidR="004059BC" w:rsidRPr="00662C5B">
        <w:rPr>
          <w:noProof/>
          <w:lang w:val="en-US"/>
        </w:rPr>
        <w:t xml:space="preserve"> contact with his mother and his siblings. However, when interviewed by the Danish Immigration Service on 23 April 2014, he stated that he had had no contact with his mother since his departure from Somalia. As </w:t>
      </w:r>
      <w:r w:rsidR="00E2365D">
        <w:rPr>
          <w:noProof/>
          <w:lang w:val="en-US"/>
        </w:rPr>
        <w:t>regards</w:t>
      </w:r>
      <w:r w:rsidR="004059BC" w:rsidRPr="00662C5B">
        <w:rPr>
          <w:noProof/>
          <w:lang w:val="en-US"/>
        </w:rPr>
        <w:t xml:space="preserve"> the transcript of his medical records</w:t>
      </w:r>
      <w:r w:rsidR="00E45624" w:rsidRPr="00662C5B">
        <w:rPr>
          <w:noProof/>
          <w:lang w:val="en-US"/>
        </w:rPr>
        <w:t>,</w:t>
      </w:r>
      <w:r w:rsidR="004059BC" w:rsidRPr="00662C5B">
        <w:rPr>
          <w:noProof/>
          <w:lang w:val="en-US"/>
        </w:rPr>
        <w:t xml:space="preserve"> submitted by the author to the Committee, the State party observes that the medical records do not </w:t>
      </w:r>
      <w:r w:rsidR="006D579E">
        <w:rPr>
          <w:noProof/>
          <w:lang w:val="en-US"/>
        </w:rPr>
        <w:t>demonstrate</w:t>
      </w:r>
      <w:r w:rsidR="004059BC" w:rsidRPr="00662C5B">
        <w:rPr>
          <w:noProof/>
          <w:lang w:val="en-US"/>
        </w:rPr>
        <w:t xml:space="preserve"> in any way that he was subjected to torture </w:t>
      </w:r>
      <w:r w:rsidR="00BC703F">
        <w:rPr>
          <w:noProof/>
          <w:lang w:val="en-US"/>
        </w:rPr>
        <w:t>while</w:t>
      </w:r>
      <w:r w:rsidR="00BC703F" w:rsidRPr="00662C5B">
        <w:rPr>
          <w:noProof/>
          <w:lang w:val="en-US"/>
        </w:rPr>
        <w:t xml:space="preserve"> </w:t>
      </w:r>
      <w:r w:rsidR="004059BC" w:rsidRPr="00662C5B">
        <w:rPr>
          <w:noProof/>
          <w:lang w:val="en-US"/>
        </w:rPr>
        <w:t xml:space="preserve">he </w:t>
      </w:r>
      <w:r w:rsidR="00E45624" w:rsidRPr="00662C5B">
        <w:rPr>
          <w:noProof/>
          <w:lang w:val="en-US"/>
        </w:rPr>
        <w:t>was</w:t>
      </w:r>
      <w:r w:rsidR="004059BC" w:rsidRPr="00662C5B">
        <w:rPr>
          <w:noProof/>
          <w:lang w:val="en-US"/>
        </w:rPr>
        <w:t xml:space="preserve"> imprisoned in Somalia. </w:t>
      </w:r>
      <w:r w:rsidR="00BC703F">
        <w:rPr>
          <w:noProof/>
          <w:lang w:val="en-US"/>
        </w:rPr>
        <w:t>On that matter</w:t>
      </w:r>
      <w:r w:rsidR="004059BC" w:rsidRPr="00662C5B">
        <w:rPr>
          <w:noProof/>
          <w:lang w:val="en-US"/>
        </w:rPr>
        <w:t>, the State party notes that</w:t>
      </w:r>
      <w:r w:rsidR="00BC703F">
        <w:rPr>
          <w:noProof/>
          <w:lang w:val="en-US"/>
        </w:rPr>
        <w:t>,</w:t>
      </w:r>
      <w:r w:rsidR="004059BC" w:rsidRPr="00662C5B">
        <w:rPr>
          <w:noProof/>
          <w:lang w:val="en-US"/>
        </w:rPr>
        <w:t xml:space="preserve"> </w:t>
      </w:r>
      <w:r w:rsidR="000B77AE" w:rsidRPr="00662C5B">
        <w:rPr>
          <w:noProof/>
          <w:lang w:val="en-US"/>
        </w:rPr>
        <w:t>according to</w:t>
      </w:r>
      <w:r w:rsidR="004059BC" w:rsidRPr="00662C5B">
        <w:rPr>
          <w:noProof/>
          <w:lang w:val="en-US"/>
        </w:rPr>
        <w:t xml:space="preserve"> the transcript </w:t>
      </w:r>
      <w:r w:rsidR="000B77AE" w:rsidRPr="00662C5B">
        <w:rPr>
          <w:noProof/>
          <w:lang w:val="en-US"/>
        </w:rPr>
        <w:t>of the author’s medical records,</w:t>
      </w:r>
      <w:r w:rsidR="004059BC" w:rsidRPr="00662C5B">
        <w:rPr>
          <w:noProof/>
          <w:lang w:val="en-US"/>
        </w:rPr>
        <w:t xml:space="preserve"> the r</w:t>
      </w:r>
      <w:r w:rsidR="000B77AE" w:rsidRPr="00662C5B">
        <w:rPr>
          <w:noProof/>
          <w:lang w:val="en-US"/>
        </w:rPr>
        <w:t xml:space="preserve">eason for the pain in </w:t>
      </w:r>
      <w:r w:rsidR="009D4DC6">
        <w:rPr>
          <w:noProof/>
          <w:lang w:val="en-US"/>
        </w:rPr>
        <w:t>his</w:t>
      </w:r>
      <w:r w:rsidR="00BC703F" w:rsidRPr="00662C5B">
        <w:rPr>
          <w:noProof/>
          <w:lang w:val="en-US"/>
        </w:rPr>
        <w:t xml:space="preserve"> </w:t>
      </w:r>
      <w:r w:rsidR="000B77AE" w:rsidRPr="00662C5B">
        <w:rPr>
          <w:noProof/>
          <w:lang w:val="en-US"/>
        </w:rPr>
        <w:t>leg was</w:t>
      </w:r>
      <w:r w:rsidR="004059BC" w:rsidRPr="00662C5B">
        <w:rPr>
          <w:noProof/>
          <w:lang w:val="en-US"/>
        </w:rPr>
        <w:t xml:space="preserve"> that he ha</w:t>
      </w:r>
      <w:r w:rsidR="00BC703F">
        <w:rPr>
          <w:noProof/>
          <w:lang w:val="en-US"/>
        </w:rPr>
        <w:t>d</w:t>
      </w:r>
      <w:r w:rsidR="004059BC" w:rsidRPr="00662C5B">
        <w:rPr>
          <w:noProof/>
          <w:lang w:val="en-US"/>
        </w:rPr>
        <w:t xml:space="preserve"> been diagnosed with tuberculosis</w:t>
      </w:r>
      <w:r w:rsidR="00242D05" w:rsidRPr="00662C5B">
        <w:rPr>
          <w:noProof/>
          <w:lang w:val="en-US"/>
        </w:rPr>
        <w:t xml:space="preserve"> </w:t>
      </w:r>
      <w:r w:rsidR="004059BC" w:rsidRPr="00662C5B">
        <w:rPr>
          <w:noProof/>
          <w:lang w:val="en-US"/>
        </w:rPr>
        <w:t xml:space="preserve">and </w:t>
      </w:r>
      <w:r w:rsidR="00BC703F">
        <w:rPr>
          <w:noProof/>
          <w:lang w:val="en-US"/>
        </w:rPr>
        <w:t>had had</w:t>
      </w:r>
      <w:r w:rsidR="004059BC" w:rsidRPr="00662C5B">
        <w:rPr>
          <w:noProof/>
          <w:lang w:val="en-US"/>
        </w:rPr>
        <w:t xml:space="preserve"> surgery</w:t>
      </w:r>
      <w:r w:rsidR="00FB0DE9" w:rsidRPr="00662C5B">
        <w:rPr>
          <w:noProof/>
          <w:lang w:val="en-US"/>
        </w:rPr>
        <w:t xml:space="preserve"> as his leg </w:t>
      </w:r>
      <w:r w:rsidR="00BC703F">
        <w:rPr>
          <w:noProof/>
          <w:lang w:val="en-US"/>
        </w:rPr>
        <w:t>had been</w:t>
      </w:r>
      <w:r w:rsidR="00BC703F" w:rsidRPr="00662C5B">
        <w:rPr>
          <w:noProof/>
          <w:lang w:val="en-US"/>
        </w:rPr>
        <w:t xml:space="preserve"> </w:t>
      </w:r>
      <w:r w:rsidR="00FB0DE9" w:rsidRPr="00662C5B">
        <w:rPr>
          <w:noProof/>
          <w:lang w:val="en-US"/>
        </w:rPr>
        <w:t>affected</w:t>
      </w:r>
      <w:r w:rsidR="00242D05" w:rsidRPr="00662C5B">
        <w:rPr>
          <w:noProof/>
          <w:lang w:val="en-US"/>
        </w:rPr>
        <w:t xml:space="preserve"> by the infection</w:t>
      </w:r>
      <w:r w:rsidR="007A3690" w:rsidRPr="00662C5B">
        <w:rPr>
          <w:noProof/>
          <w:lang w:val="en-US"/>
        </w:rPr>
        <w:t>.</w:t>
      </w:r>
    </w:p>
    <w:p w14:paraId="5AC26A33" w14:textId="118D3E09" w:rsidR="000B77AE" w:rsidRPr="00662C5B" w:rsidRDefault="00052E2D" w:rsidP="00DE3C1D">
      <w:pPr>
        <w:pStyle w:val="SingleTxtG"/>
        <w:rPr>
          <w:noProof/>
          <w:lang w:val="en-US"/>
        </w:rPr>
      </w:pPr>
      <w:r w:rsidRPr="00662C5B">
        <w:rPr>
          <w:noProof/>
          <w:lang w:val="en-US"/>
        </w:rPr>
        <w:t>6</w:t>
      </w:r>
      <w:r w:rsidR="007A3690" w:rsidRPr="00662C5B">
        <w:rPr>
          <w:noProof/>
          <w:lang w:val="en-US"/>
        </w:rPr>
        <w:t>.</w:t>
      </w:r>
      <w:r w:rsidRPr="00662C5B">
        <w:rPr>
          <w:noProof/>
          <w:lang w:val="en-US"/>
        </w:rPr>
        <w:t>2</w:t>
      </w:r>
      <w:r w:rsidR="007A3690" w:rsidRPr="00662C5B">
        <w:rPr>
          <w:noProof/>
          <w:lang w:val="en-US"/>
        </w:rPr>
        <w:tab/>
      </w:r>
      <w:r w:rsidR="00242D05" w:rsidRPr="00662C5B">
        <w:rPr>
          <w:noProof/>
          <w:lang w:val="en-US"/>
        </w:rPr>
        <w:t>T</w:t>
      </w:r>
      <w:r w:rsidR="000B77AE" w:rsidRPr="00662C5B">
        <w:rPr>
          <w:noProof/>
          <w:lang w:val="en-US"/>
        </w:rPr>
        <w:t xml:space="preserve">he State party </w:t>
      </w:r>
      <w:r w:rsidR="00242D05" w:rsidRPr="00662C5B">
        <w:rPr>
          <w:noProof/>
          <w:lang w:val="en-US"/>
        </w:rPr>
        <w:t>reiterates</w:t>
      </w:r>
      <w:r w:rsidR="000B77AE" w:rsidRPr="00662C5B">
        <w:rPr>
          <w:noProof/>
          <w:lang w:val="en-US"/>
        </w:rPr>
        <w:t xml:space="preserve"> that the general conditions in Somalia are not of such </w:t>
      </w:r>
      <w:r w:rsidR="009867FB">
        <w:rPr>
          <w:noProof/>
          <w:lang w:val="en-US"/>
        </w:rPr>
        <w:t xml:space="preserve">a </w:t>
      </w:r>
      <w:r w:rsidR="000B77AE" w:rsidRPr="00662C5B">
        <w:rPr>
          <w:noProof/>
          <w:lang w:val="en-US"/>
        </w:rPr>
        <w:t>nature that the author would risk being subjected to abuse falling under article</w:t>
      </w:r>
      <w:r w:rsidR="00242D05" w:rsidRPr="00662C5B">
        <w:rPr>
          <w:noProof/>
          <w:lang w:val="en-US"/>
        </w:rPr>
        <w:t>s</w:t>
      </w:r>
      <w:r w:rsidR="000B77AE" w:rsidRPr="00662C5B">
        <w:rPr>
          <w:noProof/>
          <w:lang w:val="en-US"/>
        </w:rPr>
        <w:t xml:space="preserve"> 7 or 9 of the Covenant if </w:t>
      </w:r>
      <w:r w:rsidR="00A673EA">
        <w:rPr>
          <w:noProof/>
          <w:lang w:val="en-US"/>
        </w:rPr>
        <w:t xml:space="preserve">he were </w:t>
      </w:r>
      <w:r w:rsidR="000B77AE" w:rsidRPr="00662C5B">
        <w:rPr>
          <w:noProof/>
          <w:lang w:val="en-US"/>
        </w:rPr>
        <w:t xml:space="preserve">returned to Somalia. It notes that the Danish authorities are aware that the security situation in South Somalia is precarious. </w:t>
      </w:r>
      <w:r w:rsidR="00242D05" w:rsidRPr="00662C5B">
        <w:rPr>
          <w:noProof/>
          <w:lang w:val="en-US"/>
        </w:rPr>
        <w:t>H</w:t>
      </w:r>
      <w:r w:rsidR="000B77AE" w:rsidRPr="00662C5B">
        <w:rPr>
          <w:noProof/>
          <w:lang w:val="en-US"/>
        </w:rPr>
        <w:t xml:space="preserve">owever, the </w:t>
      </w:r>
      <w:r w:rsidR="00F040FA" w:rsidRPr="00662C5B">
        <w:rPr>
          <w:noProof/>
          <w:lang w:val="en-US"/>
        </w:rPr>
        <w:t>Refugee Appeals Board</w:t>
      </w:r>
      <w:r w:rsidR="000B77AE" w:rsidRPr="00662C5B">
        <w:rPr>
          <w:noProof/>
          <w:lang w:val="en-US"/>
        </w:rPr>
        <w:t xml:space="preserve"> closely monitors the situation in Somalia, including in Qoryooley. According to the most recent background information, </w:t>
      </w:r>
      <w:r w:rsidR="00242D05" w:rsidRPr="00662C5B">
        <w:rPr>
          <w:noProof/>
          <w:lang w:val="en-US"/>
        </w:rPr>
        <w:t>such</w:t>
      </w:r>
      <w:r w:rsidR="007A3690" w:rsidRPr="00662C5B">
        <w:rPr>
          <w:noProof/>
          <w:lang w:val="en-US"/>
        </w:rPr>
        <w:t xml:space="preserve"> as</w:t>
      </w:r>
      <w:r w:rsidR="000B77AE" w:rsidRPr="00662C5B">
        <w:rPr>
          <w:noProof/>
          <w:lang w:val="en-US"/>
        </w:rPr>
        <w:t xml:space="preserve"> </w:t>
      </w:r>
      <w:r w:rsidR="00242D05" w:rsidRPr="00662C5B">
        <w:rPr>
          <w:noProof/>
          <w:lang w:val="en-US"/>
        </w:rPr>
        <w:t>“</w:t>
      </w:r>
      <w:r w:rsidR="000B77AE" w:rsidRPr="00662C5B">
        <w:rPr>
          <w:noProof/>
          <w:lang w:val="en-US"/>
        </w:rPr>
        <w:t xml:space="preserve">South Central Somalia: </w:t>
      </w:r>
      <w:r w:rsidR="00DE3C1D" w:rsidRPr="00662C5B">
        <w:rPr>
          <w:noProof/>
          <w:lang w:val="en-US"/>
        </w:rPr>
        <w:t>c</w:t>
      </w:r>
      <w:r w:rsidR="000B77AE" w:rsidRPr="00662C5B">
        <w:rPr>
          <w:noProof/>
          <w:lang w:val="en-US"/>
        </w:rPr>
        <w:t xml:space="preserve">ountry of </w:t>
      </w:r>
      <w:r w:rsidR="00DE3C1D" w:rsidRPr="00662C5B">
        <w:rPr>
          <w:noProof/>
          <w:lang w:val="en-US"/>
        </w:rPr>
        <w:t>o</w:t>
      </w:r>
      <w:r w:rsidR="000B77AE" w:rsidRPr="00662C5B">
        <w:rPr>
          <w:noProof/>
          <w:lang w:val="en-US"/>
        </w:rPr>
        <w:t xml:space="preserve">rigin </w:t>
      </w:r>
      <w:r w:rsidR="00DE3C1D" w:rsidRPr="00662C5B">
        <w:rPr>
          <w:noProof/>
          <w:lang w:val="en-US"/>
        </w:rPr>
        <w:t>i</w:t>
      </w:r>
      <w:r w:rsidR="000B77AE" w:rsidRPr="00662C5B">
        <w:rPr>
          <w:noProof/>
          <w:lang w:val="en-US"/>
        </w:rPr>
        <w:t xml:space="preserve">nformation for </w:t>
      </w:r>
      <w:r w:rsidR="00DE3C1D" w:rsidRPr="00662C5B">
        <w:rPr>
          <w:noProof/>
          <w:lang w:val="en-US"/>
        </w:rPr>
        <w:t>u</w:t>
      </w:r>
      <w:r w:rsidR="000B77AE" w:rsidRPr="00662C5B">
        <w:rPr>
          <w:noProof/>
          <w:lang w:val="en-US"/>
        </w:rPr>
        <w:t xml:space="preserve">se in the </w:t>
      </w:r>
      <w:r w:rsidR="00DE3C1D" w:rsidRPr="00662C5B">
        <w:rPr>
          <w:noProof/>
          <w:lang w:val="en-US"/>
        </w:rPr>
        <w:t>a</w:t>
      </w:r>
      <w:r w:rsidR="000B77AE" w:rsidRPr="00662C5B">
        <w:rPr>
          <w:noProof/>
          <w:lang w:val="en-US"/>
        </w:rPr>
        <w:t xml:space="preserve">sylum </w:t>
      </w:r>
      <w:r w:rsidR="00DE3C1D" w:rsidRPr="00662C5B">
        <w:rPr>
          <w:noProof/>
          <w:lang w:val="en-US"/>
        </w:rPr>
        <w:t>d</w:t>
      </w:r>
      <w:r w:rsidR="000B77AE" w:rsidRPr="00662C5B">
        <w:rPr>
          <w:noProof/>
          <w:lang w:val="en-US"/>
        </w:rPr>
        <w:t xml:space="preserve">etermination </w:t>
      </w:r>
      <w:r w:rsidR="00DE3C1D" w:rsidRPr="00662C5B">
        <w:rPr>
          <w:noProof/>
          <w:lang w:val="en-US"/>
        </w:rPr>
        <w:t>p</w:t>
      </w:r>
      <w:r w:rsidR="000B77AE" w:rsidRPr="00662C5B">
        <w:rPr>
          <w:noProof/>
          <w:lang w:val="en-US"/>
        </w:rPr>
        <w:t>rocess</w:t>
      </w:r>
      <w:r w:rsidR="00242D05" w:rsidRPr="00662C5B">
        <w:rPr>
          <w:noProof/>
          <w:lang w:val="en-US"/>
        </w:rPr>
        <w:t>”</w:t>
      </w:r>
      <w:r w:rsidR="000B77AE" w:rsidRPr="00662C5B">
        <w:rPr>
          <w:noProof/>
          <w:lang w:val="en-US"/>
        </w:rPr>
        <w:t xml:space="preserve">, a report published by the Danish Immigration Service in September 2015, Qoryooley is still controlled by the </w:t>
      </w:r>
      <w:r w:rsidR="00DE07BE">
        <w:rPr>
          <w:noProof/>
          <w:lang w:val="en-US"/>
        </w:rPr>
        <w:t xml:space="preserve">Government of </w:t>
      </w:r>
      <w:r w:rsidR="000B77AE" w:rsidRPr="00662C5B">
        <w:rPr>
          <w:noProof/>
          <w:lang w:val="en-US"/>
        </w:rPr>
        <w:t>Somali</w:t>
      </w:r>
      <w:r w:rsidR="00DE07BE">
        <w:rPr>
          <w:noProof/>
          <w:lang w:val="en-US"/>
        </w:rPr>
        <w:t>a</w:t>
      </w:r>
      <w:r w:rsidR="000B77AE" w:rsidRPr="00662C5B">
        <w:rPr>
          <w:noProof/>
          <w:lang w:val="en-US"/>
        </w:rPr>
        <w:t xml:space="preserve"> and AMISOM. Accordingly</w:t>
      </w:r>
      <w:r w:rsidR="00E45624" w:rsidRPr="00662C5B">
        <w:rPr>
          <w:noProof/>
          <w:lang w:val="en-US"/>
        </w:rPr>
        <w:t>,</w:t>
      </w:r>
      <w:r w:rsidR="000B77AE" w:rsidRPr="00662C5B">
        <w:rPr>
          <w:noProof/>
          <w:lang w:val="en-US"/>
        </w:rPr>
        <w:t xml:space="preserve"> the State party reiterates that the present communication should be declared manifestly unfounded and inadmissible. </w:t>
      </w:r>
      <w:r w:rsidR="00242D05" w:rsidRPr="00662C5B">
        <w:rPr>
          <w:noProof/>
          <w:lang w:val="en-US"/>
        </w:rPr>
        <w:t>Alternatively</w:t>
      </w:r>
      <w:r w:rsidR="000B77AE" w:rsidRPr="00662C5B">
        <w:rPr>
          <w:noProof/>
          <w:lang w:val="en-US"/>
        </w:rPr>
        <w:t xml:space="preserve">, the State party maintains that it has not been established that there are substantial grounds for believing that </w:t>
      </w:r>
      <w:r w:rsidR="00242D05" w:rsidRPr="00662C5B">
        <w:rPr>
          <w:noProof/>
          <w:lang w:val="en-US"/>
        </w:rPr>
        <w:t xml:space="preserve">the author’s return to Somalia </w:t>
      </w:r>
      <w:r w:rsidR="000B77AE" w:rsidRPr="00662C5B">
        <w:rPr>
          <w:noProof/>
          <w:lang w:val="en-US"/>
        </w:rPr>
        <w:t>would constitute a violation of article</w:t>
      </w:r>
      <w:r w:rsidR="00242D05" w:rsidRPr="00662C5B">
        <w:rPr>
          <w:noProof/>
          <w:lang w:val="en-US"/>
        </w:rPr>
        <w:t>s</w:t>
      </w:r>
      <w:r w:rsidR="000B77AE" w:rsidRPr="00662C5B">
        <w:rPr>
          <w:noProof/>
          <w:lang w:val="en-US"/>
        </w:rPr>
        <w:t xml:space="preserve"> 7 or 9 of the Covenant.</w:t>
      </w:r>
    </w:p>
    <w:p w14:paraId="6F710FB9" w14:textId="77777777" w:rsidR="00486027" w:rsidRPr="00662C5B" w:rsidRDefault="00486027" w:rsidP="00486027">
      <w:pPr>
        <w:pStyle w:val="H23G"/>
        <w:rPr>
          <w:noProof/>
          <w:lang w:val="en-US"/>
        </w:rPr>
      </w:pPr>
      <w:r w:rsidRPr="00662C5B">
        <w:rPr>
          <w:noProof/>
          <w:lang w:val="en-US"/>
        </w:rPr>
        <w:tab/>
      </w:r>
      <w:r w:rsidRPr="00662C5B">
        <w:rPr>
          <w:noProof/>
          <w:lang w:val="en-US"/>
        </w:rPr>
        <w:tab/>
        <w:t>Issues and proceedings before the Committee</w:t>
      </w:r>
    </w:p>
    <w:p w14:paraId="5F752D4F" w14:textId="77777777" w:rsidR="00486027" w:rsidRPr="00662C5B" w:rsidRDefault="00486027" w:rsidP="00486027">
      <w:pPr>
        <w:pStyle w:val="H4G"/>
        <w:rPr>
          <w:noProof/>
          <w:lang w:val="en-US"/>
        </w:rPr>
      </w:pPr>
      <w:r w:rsidRPr="00662C5B">
        <w:rPr>
          <w:noProof/>
          <w:lang w:val="en-US"/>
        </w:rPr>
        <w:tab/>
      </w:r>
      <w:r w:rsidRPr="00662C5B">
        <w:rPr>
          <w:noProof/>
          <w:lang w:val="en-US"/>
        </w:rPr>
        <w:tab/>
        <w:t>Consideration of admissibility</w:t>
      </w:r>
    </w:p>
    <w:p w14:paraId="2D580857" w14:textId="7283B53C" w:rsidR="00486027" w:rsidRPr="00662C5B" w:rsidRDefault="00052E2D" w:rsidP="003E0BCA">
      <w:pPr>
        <w:pStyle w:val="SingleTxtG"/>
        <w:rPr>
          <w:noProof/>
          <w:lang w:val="en-US"/>
        </w:rPr>
      </w:pPr>
      <w:r w:rsidRPr="00662C5B">
        <w:rPr>
          <w:noProof/>
          <w:lang w:val="en-US"/>
        </w:rPr>
        <w:t>7</w:t>
      </w:r>
      <w:r w:rsidR="00486027" w:rsidRPr="00662C5B">
        <w:rPr>
          <w:noProof/>
          <w:lang w:val="en-US"/>
        </w:rPr>
        <w:t>.1</w:t>
      </w:r>
      <w:r w:rsidR="00486027" w:rsidRPr="00662C5B">
        <w:rPr>
          <w:noProof/>
          <w:lang w:val="en-US"/>
        </w:rPr>
        <w:tab/>
        <w:t>Before considering any claims contained in a communication, the Committee must</w:t>
      </w:r>
      <w:r w:rsidR="003E0BCA">
        <w:rPr>
          <w:noProof/>
          <w:lang w:val="en-US"/>
        </w:rPr>
        <w:t xml:space="preserve"> decide</w:t>
      </w:r>
      <w:r w:rsidR="00486027" w:rsidRPr="00662C5B">
        <w:rPr>
          <w:noProof/>
          <w:lang w:val="en-US"/>
        </w:rPr>
        <w:t xml:space="preserve">, in accordance with rule 93 of its rules of procedure, whether </w:t>
      </w:r>
      <w:r w:rsidR="003E0BCA">
        <w:rPr>
          <w:noProof/>
          <w:lang w:val="en-US"/>
        </w:rPr>
        <w:t>the communication</w:t>
      </w:r>
      <w:r w:rsidR="003E0BCA" w:rsidRPr="00662C5B">
        <w:rPr>
          <w:noProof/>
          <w:lang w:val="en-US"/>
        </w:rPr>
        <w:t xml:space="preserve"> </w:t>
      </w:r>
      <w:r w:rsidR="00486027" w:rsidRPr="00662C5B">
        <w:rPr>
          <w:noProof/>
          <w:lang w:val="en-US"/>
        </w:rPr>
        <w:t>is admissible under the Optional Protocol.</w:t>
      </w:r>
    </w:p>
    <w:p w14:paraId="2544C6E0" w14:textId="77777777" w:rsidR="00486027" w:rsidRPr="00662C5B" w:rsidRDefault="00052E2D" w:rsidP="00486027">
      <w:pPr>
        <w:pStyle w:val="SingleTxtG"/>
        <w:rPr>
          <w:noProof/>
          <w:lang w:val="en-US"/>
        </w:rPr>
      </w:pPr>
      <w:r w:rsidRPr="00662C5B">
        <w:rPr>
          <w:noProof/>
          <w:lang w:val="en-US"/>
        </w:rPr>
        <w:t>7</w:t>
      </w:r>
      <w:r w:rsidR="00486027" w:rsidRPr="00662C5B">
        <w:rPr>
          <w:noProof/>
          <w:lang w:val="en-US"/>
        </w:rPr>
        <w:t>.2</w:t>
      </w:r>
      <w:r w:rsidR="00486027" w:rsidRPr="00662C5B">
        <w:rPr>
          <w:noProof/>
          <w:lang w:val="en-US"/>
        </w:rPr>
        <w:tab/>
        <w:t>The Committee has ascertained, as required under article 5 (2) (a) of the Optional Protocol, that the same matter is not being examined under another procedure of international investigation or settlement.</w:t>
      </w:r>
    </w:p>
    <w:p w14:paraId="5A8E4DF9" w14:textId="41CCBCC0" w:rsidR="00486027" w:rsidRPr="00662C5B" w:rsidRDefault="00052E2D" w:rsidP="003E0BCA">
      <w:pPr>
        <w:pStyle w:val="SingleTxtG"/>
        <w:rPr>
          <w:noProof/>
          <w:lang w:val="en-US"/>
        </w:rPr>
      </w:pPr>
      <w:r w:rsidRPr="00662C5B">
        <w:rPr>
          <w:noProof/>
          <w:lang w:val="en-US"/>
        </w:rPr>
        <w:t>7</w:t>
      </w:r>
      <w:r w:rsidR="00486027" w:rsidRPr="00662C5B">
        <w:rPr>
          <w:noProof/>
          <w:lang w:val="en-US"/>
        </w:rPr>
        <w:t>.3</w:t>
      </w:r>
      <w:r w:rsidR="00486027" w:rsidRPr="00662C5B">
        <w:rPr>
          <w:noProof/>
          <w:lang w:val="en-US"/>
        </w:rPr>
        <w:tab/>
      </w:r>
      <w:r w:rsidR="00486027" w:rsidRPr="00662C5B">
        <w:rPr>
          <w:noProof/>
          <w:lang w:val="en-US" w:eastAsia="zh-CN"/>
        </w:rPr>
        <w:t xml:space="preserve">The Committee takes note of the author’s claim that </w:t>
      </w:r>
      <w:r w:rsidR="006D579E">
        <w:rPr>
          <w:noProof/>
          <w:lang w:val="en-US" w:eastAsia="zh-CN"/>
        </w:rPr>
        <w:t xml:space="preserve">all </w:t>
      </w:r>
      <w:r w:rsidR="00486027" w:rsidRPr="00662C5B">
        <w:rPr>
          <w:noProof/>
          <w:lang w:val="en-US" w:eastAsia="zh-CN"/>
        </w:rPr>
        <w:t xml:space="preserve">domestic remedies </w:t>
      </w:r>
      <w:r w:rsidR="00242D05" w:rsidRPr="00662C5B">
        <w:rPr>
          <w:noProof/>
          <w:lang w:val="en-US" w:eastAsia="zh-CN"/>
        </w:rPr>
        <w:t>have been exhausted</w:t>
      </w:r>
      <w:r w:rsidR="00486027" w:rsidRPr="00662C5B">
        <w:rPr>
          <w:noProof/>
          <w:lang w:val="en-US" w:eastAsia="zh-CN"/>
        </w:rPr>
        <w:t>. In the absence of any objection by the State party in this connection, the Committee considers that the requirements of article 5 (2) (b) of the Optional Protocol have been met.</w:t>
      </w:r>
    </w:p>
    <w:p w14:paraId="2052380E" w14:textId="1DEB54DF" w:rsidR="004A54C9" w:rsidRPr="00662C5B" w:rsidRDefault="00052E2D" w:rsidP="00B71AD1">
      <w:pPr>
        <w:pStyle w:val="SingleTxtG"/>
        <w:rPr>
          <w:noProof/>
          <w:lang w:val="en-US"/>
        </w:rPr>
      </w:pPr>
      <w:r w:rsidRPr="00662C5B">
        <w:rPr>
          <w:noProof/>
          <w:lang w:val="en-US"/>
        </w:rPr>
        <w:t>7</w:t>
      </w:r>
      <w:r w:rsidR="00486027" w:rsidRPr="00662C5B">
        <w:rPr>
          <w:noProof/>
          <w:lang w:val="en-US"/>
        </w:rPr>
        <w:t>.4</w:t>
      </w:r>
      <w:r w:rsidR="00486027" w:rsidRPr="00662C5B">
        <w:rPr>
          <w:noProof/>
          <w:lang w:val="en-US"/>
        </w:rPr>
        <w:tab/>
      </w:r>
      <w:r w:rsidR="004A54C9" w:rsidRPr="00662C5B">
        <w:rPr>
          <w:noProof/>
          <w:lang w:val="en-US"/>
        </w:rPr>
        <w:t xml:space="preserve">The Committee notes the author’s general claim that his deportation to Somalia would violate his rights </w:t>
      </w:r>
      <w:r w:rsidR="003E2300" w:rsidRPr="00662C5B">
        <w:rPr>
          <w:noProof/>
          <w:lang w:val="en-US"/>
        </w:rPr>
        <w:t>under</w:t>
      </w:r>
      <w:r w:rsidR="004A54C9" w:rsidRPr="00662C5B">
        <w:rPr>
          <w:noProof/>
          <w:lang w:val="en-US"/>
        </w:rPr>
        <w:t xml:space="preserve"> article 9 of the Covenant. </w:t>
      </w:r>
      <w:r w:rsidR="00B71AD1">
        <w:rPr>
          <w:noProof/>
          <w:lang w:val="en-US"/>
        </w:rPr>
        <w:t>T</w:t>
      </w:r>
      <w:r w:rsidR="004A54C9" w:rsidRPr="00662C5B">
        <w:rPr>
          <w:noProof/>
          <w:lang w:val="en-US"/>
        </w:rPr>
        <w:t>he Committee observes</w:t>
      </w:r>
      <w:r w:rsidR="00B71AD1">
        <w:rPr>
          <w:noProof/>
          <w:lang w:val="en-US"/>
        </w:rPr>
        <w:t>, however,</w:t>
      </w:r>
      <w:r w:rsidR="004A54C9" w:rsidRPr="00662C5B">
        <w:rPr>
          <w:noProof/>
          <w:lang w:val="en-US"/>
        </w:rPr>
        <w:t xml:space="preserve"> that the author has failed to provide any substantiation whatsoever in th</w:t>
      </w:r>
      <w:r w:rsidR="003E0BCA">
        <w:rPr>
          <w:noProof/>
          <w:lang w:val="en-US"/>
        </w:rPr>
        <w:t>is</w:t>
      </w:r>
      <w:r w:rsidR="004A54C9" w:rsidRPr="00662C5B">
        <w:rPr>
          <w:noProof/>
          <w:lang w:val="en-US"/>
        </w:rPr>
        <w:t xml:space="preserve"> regard. </w:t>
      </w:r>
      <w:r w:rsidR="00B71AD1">
        <w:rPr>
          <w:noProof/>
          <w:lang w:val="en-US"/>
        </w:rPr>
        <w:t>Therefore t</w:t>
      </w:r>
      <w:r w:rsidR="004A54C9" w:rsidRPr="00662C5B">
        <w:rPr>
          <w:noProof/>
          <w:lang w:val="en-US"/>
        </w:rPr>
        <w:t xml:space="preserve">he Committee considers that the author has failed to sufficiently substantiate his claim for </w:t>
      </w:r>
      <w:r w:rsidR="00B71AD1">
        <w:rPr>
          <w:noProof/>
          <w:lang w:val="en-US"/>
        </w:rPr>
        <w:t xml:space="preserve">the </w:t>
      </w:r>
      <w:r w:rsidR="004A54C9" w:rsidRPr="00662C5B">
        <w:rPr>
          <w:noProof/>
          <w:lang w:val="en-US"/>
        </w:rPr>
        <w:t>purposes of admissibility</w:t>
      </w:r>
      <w:r w:rsidR="00B71AD1">
        <w:rPr>
          <w:noProof/>
          <w:lang w:val="en-US"/>
        </w:rPr>
        <w:t>,</w:t>
      </w:r>
      <w:r w:rsidR="003E2300" w:rsidRPr="00662C5B">
        <w:rPr>
          <w:noProof/>
          <w:lang w:val="en-US"/>
        </w:rPr>
        <w:t xml:space="preserve"> and </w:t>
      </w:r>
      <w:r w:rsidR="004A54C9" w:rsidRPr="00662C5B">
        <w:rPr>
          <w:noProof/>
          <w:lang w:val="en-US"/>
        </w:rPr>
        <w:t>accordingly</w:t>
      </w:r>
      <w:r w:rsidR="00B71AD1">
        <w:rPr>
          <w:noProof/>
          <w:lang w:val="en-US"/>
        </w:rPr>
        <w:t xml:space="preserve"> it</w:t>
      </w:r>
      <w:r w:rsidR="004A54C9" w:rsidRPr="00662C5B">
        <w:rPr>
          <w:noProof/>
          <w:lang w:val="en-US"/>
        </w:rPr>
        <w:t xml:space="preserve"> declares this part of the communication inadmissible pursuant to article 2 of the Optional Protocol.</w:t>
      </w:r>
      <w:r w:rsidR="00B65DB6" w:rsidRPr="00662C5B">
        <w:rPr>
          <w:rStyle w:val="FootnoteReference"/>
          <w:noProof/>
          <w:lang w:val="en-US"/>
        </w:rPr>
        <w:footnoteReference w:id="20"/>
      </w:r>
    </w:p>
    <w:p w14:paraId="0D3D2876" w14:textId="6823ADE9" w:rsidR="00486027" w:rsidRPr="00662C5B" w:rsidRDefault="00052E2D" w:rsidP="001D7860">
      <w:pPr>
        <w:pStyle w:val="SingleTxtG"/>
        <w:rPr>
          <w:noProof/>
          <w:lang w:val="en-US"/>
        </w:rPr>
      </w:pPr>
      <w:r w:rsidRPr="00662C5B">
        <w:rPr>
          <w:noProof/>
          <w:lang w:val="en-US"/>
        </w:rPr>
        <w:t>7</w:t>
      </w:r>
      <w:r w:rsidR="007A3690" w:rsidRPr="00662C5B">
        <w:rPr>
          <w:noProof/>
          <w:lang w:val="en-US"/>
        </w:rPr>
        <w:t>.5</w:t>
      </w:r>
      <w:r w:rsidR="007A3690" w:rsidRPr="00662C5B">
        <w:rPr>
          <w:noProof/>
          <w:lang w:val="en-US"/>
        </w:rPr>
        <w:tab/>
      </w:r>
      <w:r w:rsidR="00486027" w:rsidRPr="00662C5B">
        <w:rPr>
          <w:noProof/>
          <w:lang w:val="en-US"/>
        </w:rPr>
        <w:t xml:space="preserve">The Committee </w:t>
      </w:r>
      <w:r w:rsidR="001D7860">
        <w:rPr>
          <w:noProof/>
          <w:lang w:val="en-US"/>
        </w:rPr>
        <w:t>also</w:t>
      </w:r>
      <w:r w:rsidR="001D7860" w:rsidRPr="00662C5B">
        <w:rPr>
          <w:noProof/>
          <w:lang w:val="en-US"/>
        </w:rPr>
        <w:t xml:space="preserve"> </w:t>
      </w:r>
      <w:r w:rsidR="00486027" w:rsidRPr="00662C5B">
        <w:rPr>
          <w:noProof/>
          <w:lang w:val="en-US"/>
        </w:rPr>
        <w:t xml:space="preserve">notes the State party’s argument that the author’s claim with respect to article 7 of the Covenant should be held inadmissible owing to insufficient substantiation. However, the Committee considers that the author has adequately explained the reasons for which he fears that </w:t>
      </w:r>
      <w:r w:rsidR="004E4174">
        <w:rPr>
          <w:noProof/>
          <w:lang w:val="en-US"/>
        </w:rPr>
        <w:t xml:space="preserve">his </w:t>
      </w:r>
      <w:r w:rsidR="00486027" w:rsidRPr="00662C5B">
        <w:rPr>
          <w:noProof/>
          <w:lang w:val="en-US"/>
        </w:rPr>
        <w:t xml:space="preserve">forcible return to </w:t>
      </w:r>
      <w:r w:rsidR="004A54C9" w:rsidRPr="00662C5B">
        <w:rPr>
          <w:noProof/>
          <w:lang w:val="en-US"/>
        </w:rPr>
        <w:t>Somalia</w:t>
      </w:r>
      <w:r w:rsidR="00486027" w:rsidRPr="00662C5B">
        <w:rPr>
          <w:noProof/>
          <w:lang w:val="en-US"/>
        </w:rPr>
        <w:t xml:space="preserve"> would result in a risk of treatment incompatible with article 7 of the Covenant. The Committee is therefore of the opinion that, for the purposes of admissibility, the author has sufficiently substantiated his allegations under article 7.</w:t>
      </w:r>
      <w:r w:rsidR="004A54C9" w:rsidRPr="00662C5B">
        <w:rPr>
          <w:rStyle w:val="FootnoteReference"/>
          <w:noProof/>
          <w:lang w:val="en-US"/>
        </w:rPr>
        <w:footnoteReference w:id="21"/>
      </w:r>
      <w:r w:rsidR="00486027" w:rsidRPr="00662C5B">
        <w:rPr>
          <w:noProof/>
          <w:lang w:val="en-US"/>
        </w:rPr>
        <w:t xml:space="preserve"> </w:t>
      </w:r>
    </w:p>
    <w:p w14:paraId="7E45F342" w14:textId="77777777" w:rsidR="00580E42" w:rsidRPr="00662C5B" w:rsidRDefault="00052E2D" w:rsidP="00580E42">
      <w:pPr>
        <w:pStyle w:val="SingleTxtG"/>
        <w:rPr>
          <w:noProof/>
          <w:lang w:val="en-US"/>
        </w:rPr>
      </w:pPr>
      <w:r w:rsidRPr="00662C5B">
        <w:rPr>
          <w:noProof/>
          <w:lang w:val="en-US"/>
        </w:rPr>
        <w:t>7</w:t>
      </w:r>
      <w:r w:rsidR="00FD5A03" w:rsidRPr="00662C5B">
        <w:rPr>
          <w:noProof/>
          <w:lang w:val="en-US"/>
        </w:rPr>
        <w:t>.6</w:t>
      </w:r>
      <w:r w:rsidR="00486027" w:rsidRPr="00662C5B">
        <w:rPr>
          <w:noProof/>
          <w:lang w:val="en-US"/>
        </w:rPr>
        <w:tab/>
      </w:r>
      <w:r w:rsidR="00580E42" w:rsidRPr="00662C5B">
        <w:rPr>
          <w:bCs/>
          <w:noProof/>
          <w:lang w:val="en-US"/>
        </w:rPr>
        <w:t xml:space="preserve">Accordingly, the Committee considers that </w:t>
      </w:r>
      <w:r w:rsidR="002C0ECB" w:rsidRPr="00662C5B">
        <w:rPr>
          <w:bCs/>
          <w:noProof/>
          <w:lang w:val="en-US"/>
        </w:rPr>
        <w:t xml:space="preserve">the communication is admissible as far as it raises issues under </w:t>
      </w:r>
      <w:r w:rsidR="00580E42" w:rsidRPr="00662C5B">
        <w:rPr>
          <w:noProof/>
          <w:lang w:val="en-US"/>
        </w:rPr>
        <w:t xml:space="preserve">article 7 of the Covenant, and </w:t>
      </w:r>
      <w:r w:rsidR="002C0ECB" w:rsidRPr="00662C5B">
        <w:rPr>
          <w:noProof/>
          <w:lang w:val="en-US"/>
        </w:rPr>
        <w:t xml:space="preserve">it </w:t>
      </w:r>
      <w:r w:rsidR="00580E42" w:rsidRPr="00662C5B">
        <w:rPr>
          <w:noProof/>
          <w:lang w:val="en-US"/>
        </w:rPr>
        <w:t>proceeds to its examination on the merits.</w:t>
      </w:r>
    </w:p>
    <w:p w14:paraId="5C921440" w14:textId="77777777" w:rsidR="00486027" w:rsidRPr="00662C5B" w:rsidRDefault="00486027" w:rsidP="00486027">
      <w:pPr>
        <w:pStyle w:val="H4G"/>
        <w:rPr>
          <w:noProof/>
          <w:u w:val="single"/>
          <w:lang w:val="en-US"/>
        </w:rPr>
      </w:pPr>
      <w:r w:rsidRPr="00662C5B">
        <w:rPr>
          <w:noProof/>
          <w:lang w:val="en-US"/>
        </w:rPr>
        <w:tab/>
      </w:r>
      <w:r w:rsidRPr="00662C5B">
        <w:rPr>
          <w:noProof/>
          <w:lang w:val="en-US"/>
        </w:rPr>
        <w:tab/>
        <w:t>Consideration of the merits</w:t>
      </w:r>
    </w:p>
    <w:p w14:paraId="6B1FBD07" w14:textId="35CF46E6" w:rsidR="00486027" w:rsidRPr="00662C5B" w:rsidRDefault="00052E2D" w:rsidP="000B72D5">
      <w:pPr>
        <w:pStyle w:val="SingleTxtG"/>
        <w:rPr>
          <w:noProof/>
          <w:lang w:val="en-US"/>
        </w:rPr>
      </w:pPr>
      <w:r w:rsidRPr="00662C5B">
        <w:rPr>
          <w:noProof/>
          <w:lang w:val="en-US"/>
        </w:rPr>
        <w:t>8</w:t>
      </w:r>
      <w:r w:rsidR="00486027" w:rsidRPr="00662C5B">
        <w:rPr>
          <w:noProof/>
          <w:lang w:val="en-US"/>
        </w:rPr>
        <w:t>.1</w:t>
      </w:r>
      <w:r w:rsidR="00486027" w:rsidRPr="00662C5B">
        <w:rPr>
          <w:noProof/>
          <w:lang w:val="en-US"/>
        </w:rPr>
        <w:tab/>
        <w:t>The Committee has considered the communication in the light of all the information made available to it by the parties, in accordance with article 5</w:t>
      </w:r>
      <w:r w:rsidR="002C0ECB" w:rsidRPr="00662C5B">
        <w:rPr>
          <w:noProof/>
          <w:lang w:val="en-US"/>
        </w:rPr>
        <w:t xml:space="preserve"> </w:t>
      </w:r>
      <w:r w:rsidR="00486027" w:rsidRPr="00662C5B">
        <w:rPr>
          <w:noProof/>
          <w:lang w:val="en-US"/>
        </w:rPr>
        <w:t>(1) of the Optional Protocol.</w:t>
      </w:r>
    </w:p>
    <w:p w14:paraId="3BA3B752" w14:textId="02343211" w:rsidR="00D74DE0" w:rsidRPr="00662C5B" w:rsidRDefault="00052E2D" w:rsidP="00D74FB4">
      <w:pPr>
        <w:pStyle w:val="SingleTxtG"/>
        <w:rPr>
          <w:noProof/>
          <w:lang w:val="en-US"/>
        </w:rPr>
      </w:pPr>
      <w:r w:rsidRPr="00662C5B">
        <w:rPr>
          <w:noProof/>
          <w:lang w:val="en-US"/>
        </w:rPr>
        <w:t>8</w:t>
      </w:r>
      <w:r w:rsidR="00C618A7" w:rsidRPr="00662C5B">
        <w:rPr>
          <w:noProof/>
          <w:lang w:val="en-US"/>
        </w:rPr>
        <w:t>.2</w:t>
      </w:r>
      <w:r w:rsidR="00C618A7" w:rsidRPr="00662C5B">
        <w:rPr>
          <w:noProof/>
          <w:lang w:val="en-US"/>
        </w:rPr>
        <w:tab/>
      </w:r>
      <w:r w:rsidR="0066265C" w:rsidRPr="00662C5B">
        <w:rPr>
          <w:noProof/>
          <w:lang w:val="en-US"/>
        </w:rPr>
        <w:t xml:space="preserve">The Committee recalls </w:t>
      </w:r>
      <w:r w:rsidR="000B72D5">
        <w:rPr>
          <w:noProof/>
          <w:lang w:val="en-US"/>
        </w:rPr>
        <w:t xml:space="preserve">paragraph 12 of </w:t>
      </w:r>
      <w:r w:rsidR="0066265C" w:rsidRPr="00662C5B">
        <w:rPr>
          <w:noProof/>
          <w:lang w:val="en-US"/>
        </w:rPr>
        <w:t xml:space="preserve">its general comment No. 31 </w:t>
      </w:r>
      <w:r w:rsidR="000B72D5">
        <w:rPr>
          <w:noProof/>
          <w:lang w:val="en-US"/>
        </w:rPr>
        <w:t xml:space="preserve">(2004) on the nature of the general legal obligation imposed on States parties to the Covenant, </w:t>
      </w:r>
      <w:r w:rsidR="0066265C" w:rsidRPr="00662C5B">
        <w:rPr>
          <w:noProof/>
          <w:lang w:val="en-US"/>
        </w:rPr>
        <w:t>in which it refers to the obligation of States parties not to extradite, deport, expel or otherwise remove a person from their territory whe</w:t>
      </w:r>
      <w:r w:rsidR="000B72D5" w:rsidRPr="001E13CE">
        <w:rPr>
          <w:noProof/>
          <w:lang w:val="en-US"/>
        </w:rPr>
        <w:t>n</w:t>
      </w:r>
      <w:r w:rsidR="0066265C" w:rsidRPr="00662C5B">
        <w:rPr>
          <w:noProof/>
          <w:lang w:val="en-US"/>
        </w:rPr>
        <w:t xml:space="preserve"> there are substantial grounds for believing that there is a real risk of irreparable harm</w:t>
      </w:r>
      <w:r w:rsidR="000B72D5" w:rsidRPr="001E13CE">
        <w:rPr>
          <w:noProof/>
          <w:lang w:val="en-US"/>
        </w:rPr>
        <w:t>,</w:t>
      </w:r>
      <w:r w:rsidR="0066265C" w:rsidRPr="00662C5B">
        <w:rPr>
          <w:noProof/>
          <w:lang w:val="en-US"/>
        </w:rPr>
        <w:t xml:space="preserve"> such as that contemplated by articles 6 and 7 of the Covenant.</w:t>
      </w:r>
      <w:r w:rsidR="0066265C" w:rsidRPr="00662C5B">
        <w:rPr>
          <w:noProof/>
          <w:vertAlign w:val="superscript"/>
          <w:lang w:val="en-US"/>
        </w:rPr>
        <w:footnoteReference w:id="22"/>
      </w:r>
      <w:r w:rsidR="0066265C" w:rsidRPr="00662C5B">
        <w:rPr>
          <w:noProof/>
          <w:lang w:val="en-US"/>
        </w:rPr>
        <w:t xml:space="preserve"> The Committee has also indicated that the risk must be personal</w:t>
      </w:r>
      <w:r w:rsidR="0066265C" w:rsidRPr="00662C5B">
        <w:rPr>
          <w:noProof/>
          <w:sz w:val="18"/>
          <w:vertAlign w:val="superscript"/>
          <w:lang w:val="en-US"/>
        </w:rPr>
        <w:footnoteReference w:id="23"/>
      </w:r>
      <w:r w:rsidR="0066265C" w:rsidRPr="00662C5B">
        <w:rPr>
          <w:noProof/>
          <w:lang w:val="en-US"/>
        </w:rPr>
        <w:t xml:space="preserve"> and that there is a high threshold for providing substantial grounds to establish that a real risk of irreparable harm exists.</w:t>
      </w:r>
      <w:r w:rsidR="0066265C" w:rsidRPr="00662C5B">
        <w:rPr>
          <w:noProof/>
          <w:sz w:val="18"/>
          <w:vertAlign w:val="superscript"/>
          <w:lang w:val="en-US"/>
        </w:rPr>
        <w:footnoteReference w:id="24"/>
      </w:r>
      <w:r w:rsidR="0066265C" w:rsidRPr="00662C5B">
        <w:rPr>
          <w:noProof/>
          <w:lang w:val="en-US"/>
        </w:rPr>
        <w:t xml:space="preserve"> </w:t>
      </w:r>
      <w:r w:rsidR="0066265C" w:rsidRPr="00662C5B">
        <w:rPr>
          <w:noProof/>
          <w:lang w:val="en-US" w:bidi="he-IL"/>
        </w:rPr>
        <w:t>In making this assessment</w:t>
      </w:r>
      <w:r w:rsidR="0066265C" w:rsidRPr="00662C5B">
        <w:rPr>
          <w:noProof/>
          <w:lang w:val="en-US"/>
        </w:rPr>
        <w:t>, all relevant facts and circumstances must be considered, including the general human rights situation in the author</w:t>
      </w:r>
      <w:r w:rsidR="00D74FB4" w:rsidRPr="00D31B1D">
        <w:rPr>
          <w:noProof/>
          <w:lang w:val="en-US"/>
        </w:rPr>
        <w:t>’</w:t>
      </w:r>
      <w:r w:rsidR="0066265C" w:rsidRPr="00662C5B">
        <w:rPr>
          <w:noProof/>
          <w:lang w:val="en-US"/>
        </w:rPr>
        <w:t>s country of origin.</w:t>
      </w:r>
      <w:r w:rsidR="0066265C" w:rsidRPr="00662C5B">
        <w:rPr>
          <w:noProof/>
          <w:sz w:val="18"/>
          <w:vertAlign w:val="superscript"/>
          <w:lang w:val="en-US"/>
        </w:rPr>
        <w:footnoteReference w:id="25"/>
      </w:r>
      <w:r w:rsidR="0066265C" w:rsidRPr="00662C5B">
        <w:rPr>
          <w:noProof/>
          <w:lang w:val="en-US"/>
        </w:rPr>
        <w:t xml:space="preserve"> </w:t>
      </w:r>
    </w:p>
    <w:p w14:paraId="12BC8F59" w14:textId="4E8640BB" w:rsidR="002C0ECB" w:rsidRPr="00662C5B" w:rsidRDefault="00052E2D" w:rsidP="00D74FB4">
      <w:pPr>
        <w:pStyle w:val="SingleTxtG"/>
        <w:rPr>
          <w:noProof/>
          <w:lang w:val="en-US"/>
        </w:rPr>
      </w:pPr>
      <w:r w:rsidRPr="00662C5B">
        <w:rPr>
          <w:noProof/>
          <w:lang w:val="en-US"/>
        </w:rPr>
        <w:t>8</w:t>
      </w:r>
      <w:r w:rsidR="00486027" w:rsidRPr="00662C5B">
        <w:rPr>
          <w:noProof/>
          <w:lang w:val="en-US"/>
        </w:rPr>
        <w:t>.3</w:t>
      </w:r>
      <w:r w:rsidR="00486027" w:rsidRPr="00662C5B">
        <w:rPr>
          <w:noProof/>
          <w:lang w:val="en-US"/>
        </w:rPr>
        <w:tab/>
        <w:t xml:space="preserve">In the present case, </w:t>
      </w:r>
      <w:r w:rsidR="00486027" w:rsidRPr="00662C5B">
        <w:rPr>
          <w:rFonts w:eastAsia="MS Mincho"/>
          <w:noProof/>
          <w:lang w:val="en-US"/>
        </w:rPr>
        <w:t xml:space="preserve">the Committee </w:t>
      </w:r>
      <w:r w:rsidR="002C0ECB" w:rsidRPr="00662C5B">
        <w:rPr>
          <w:rFonts w:eastAsia="MS Mincho"/>
          <w:noProof/>
          <w:lang w:val="en-US"/>
        </w:rPr>
        <w:t xml:space="preserve">has noted </w:t>
      </w:r>
      <w:r w:rsidR="004C767F" w:rsidRPr="00662C5B">
        <w:rPr>
          <w:noProof/>
          <w:lang w:val="en-US"/>
        </w:rPr>
        <w:t xml:space="preserve">the argument that if returned to </w:t>
      </w:r>
      <w:r w:rsidR="00E17F31" w:rsidRPr="00662C5B">
        <w:rPr>
          <w:noProof/>
          <w:lang w:val="en-US"/>
        </w:rPr>
        <w:t>Somalia</w:t>
      </w:r>
      <w:r w:rsidR="004C767F" w:rsidRPr="00662C5B">
        <w:rPr>
          <w:noProof/>
          <w:lang w:val="en-US"/>
        </w:rPr>
        <w:t xml:space="preserve">, </w:t>
      </w:r>
      <w:r w:rsidR="002C0ECB" w:rsidRPr="00662C5B">
        <w:rPr>
          <w:noProof/>
          <w:lang w:val="en-US"/>
        </w:rPr>
        <w:t>t</w:t>
      </w:r>
      <w:r w:rsidR="004C767F" w:rsidRPr="00662C5B">
        <w:rPr>
          <w:noProof/>
          <w:lang w:val="en-US"/>
        </w:rPr>
        <w:t xml:space="preserve">he </w:t>
      </w:r>
      <w:r w:rsidR="002C0ECB" w:rsidRPr="00662C5B">
        <w:rPr>
          <w:noProof/>
          <w:lang w:val="en-US"/>
        </w:rPr>
        <w:t xml:space="preserve">author </w:t>
      </w:r>
      <w:r w:rsidR="004C767F" w:rsidRPr="00662C5B">
        <w:rPr>
          <w:noProof/>
          <w:lang w:val="en-US"/>
        </w:rPr>
        <w:t xml:space="preserve">would </w:t>
      </w:r>
      <w:r w:rsidR="00D74FB4">
        <w:rPr>
          <w:noProof/>
          <w:lang w:val="en-US"/>
        </w:rPr>
        <w:t xml:space="preserve">be at </w:t>
      </w:r>
      <w:r w:rsidR="004C767F" w:rsidRPr="00662C5B">
        <w:rPr>
          <w:noProof/>
          <w:lang w:val="en-US"/>
        </w:rPr>
        <w:t>risk</w:t>
      </w:r>
      <w:r w:rsidR="00D74FB4">
        <w:rPr>
          <w:noProof/>
          <w:lang w:val="en-US"/>
        </w:rPr>
        <w:t xml:space="preserve"> of</w:t>
      </w:r>
      <w:r w:rsidR="004C767F" w:rsidRPr="00662C5B">
        <w:rPr>
          <w:noProof/>
          <w:lang w:val="en-US"/>
        </w:rPr>
        <w:t xml:space="preserve"> being subjected to ill-treatment by </w:t>
      </w:r>
      <w:r w:rsidR="00C122F9" w:rsidRPr="00662C5B">
        <w:rPr>
          <w:noProof/>
          <w:lang w:val="en-US"/>
        </w:rPr>
        <w:t>Al-Shabaab</w:t>
      </w:r>
      <w:r w:rsidR="004C767F" w:rsidRPr="00662C5B">
        <w:rPr>
          <w:noProof/>
          <w:lang w:val="en-US"/>
        </w:rPr>
        <w:t xml:space="preserve"> and </w:t>
      </w:r>
      <w:r w:rsidR="00D74FB4">
        <w:rPr>
          <w:noProof/>
          <w:lang w:val="en-US"/>
        </w:rPr>
        <w:t xml:space="preserve">also </w:t>
      </w:r>
      <w:r w:rsidR="004C767F" w:rsidRPr="00662C5B">
        <w:rPr>
          <w:noProof/>
          <w:lang w:val="en-US"/>
        </w:rPr>
        <w:t>because he belongs to a minority clan that has always been “sup</w:t>
      </w:r>
      <w:r w:rsidR="00D74FB4">
        <w:rPr>
          <w:noProof/>
          <w:lang w:val="en-US"/>
        </w:rPr>
        <w:t>p</w:t>
      </w:r>
      <w:r w:rsidR="004C767F" w:rsidRPr="00662C5B">
        <w:rPr>
          <w:noProof/>
          <w:lang w:val="en-US"/>
        </w:rPr>
        <w:t xml:space="preserve">ressed”. He claims that he has been threatened by </w:t>
      </w:r>
      <w:r w:rsidR="00C122F9" w:rsidRPr="00662C5B">
        <w:rPr>
          <w:noProof/>
          <w:lang w:val="en-US"/>
        </w:rPr>
        <w:t>Al-Shabaab</w:t>
      </w:r>
      <w:r w:rsidR="004C767F" w:rsidRPr="00662C5B">
        <w:rPr>
          <w:noProof/>
          <w:lang w:val="en-US"/>
        </w:rPr>
        <w:t xml:space="preserve"> </w:t>
      </w:r>
      <w:r w:rsidR="001A68AA" w:rsidRPr="00662C5B">
        <w:rPr>
          <w:noProof/>
          <w:lang w:val="en-US"/>
        </w:rPr>
        <w:t>with</w:t>
      </w:r>
      <w:r w:rsidR="004C767F" w:rsidRPr="00662C5B">
        <w:rPr>
          <w:noProof/>
          <w:lang w:val="en-US"/>
        </w:rPr>
        <w:t xml:space="preserve"> </w:t>
      </w:r>
      <w:r w:rsidR="001A68AA" w:rsidRPr="00662C5B">
        <w:rPr>
          <w:noProof/>
          <w:lang w:val="en-US"/>
        </w:rPr>
        <w:t>ill-treatment</w:t>
      </w:r>
      <w:r w:rsidR="004C767F" w:rsidRPr="00662C5B">
        <w:rPr>
          <w:noProof/>
          <w:lang w:val="en-US"/>
        </w:rPr>
        <w:t xml:space="preserve"> because he refused to join </w:t>
      </w:r>
      <w:r w:rsidR="002C0ECB" w:rsidRPr="00662C5B">
        <w:rPr>
          <w:noProof/>
          <w:lang w:val="en-US"/>
        </w:rPr>
        <w:t>t</w:t>
      </w:r>
      <w:r w:rsidR="004C767F" w:rsidRPr="00662C5B">
        <w:rPr>
          <w:noProof/>
          <w:lang w:val="en-US"/>
        </w:rPr>
        <w:t xml:space="preserve">hem, </w:t>
      </w:r>
      <w:r w:rsidR="00D74FB4">
        <w:rPr>
          <w:noProof/>
          <w:lang w:val="en-US"/>
        </w:rPr>
        <w:t>and also</w:t>
      </w:r>
      <w:r w:rsidR="004C767F" w:rsidRPr="00662C5B">
        <w:rPr>
          <w:noProof/>
          <w:lang w:val="en-US"/>
        </w:rPr>
        <w:t xml:space="preserve"> that</w:t>
      </w:r>
      <w:r w:rsidR="00E17F31" w:rsidRPr="00662C5B">
        <w:rPr>
          <w:noProof/>
          <w:lang w:val="en-US"/>
        </w:rPr>
        <w:t xml:space="preserve"> he </w:t>
      </w:r>
      <w:r w:rsidR="001A68AA" w:rsidRPr="00662C5B">
        <w:rPr>
          <w:noProof/>
          <w:lang w:val="en-US"/>
        </w:rPr>
        <w:t>was</w:t>
      </w:r>
      <w:r w:rsidR="00E17F31" w:rsidRPr="00662C5B">
        <w:rPr>
          <w:noProof/>
          <w:lang w:val="en-US"/>
        </w:rPr>
        <w:t xml:space="preserve"> </w:t>
      </w:r>
      <w:r w:rsidR="004C767F" w:rsidRPr="00662C5B">
        <w:rPr>
          <w:noProof/>
          <w:lang w:val="en-US"/>
        </w:rPr>
        <w:t xml:space="preserve">imprisoned </w:t>
      </w:r>
      <w:r w:rsidR="00964EB5" w:rsidRPr="00662C5B">
        <w:rPr>
          <w:noProof/>
          <w:lang w:val="en-US"/>
        </w:rPr>
        <w:t xml:space="preserve">in 2013 </w:t>
      </w:r>
      <w:r w:rsidR="00D74FB4">
        <w:rPr>
          <w:noProof/>
          <w:lang w:val="en-US"/>
        </w:rPr>
        <w:t>after being</w:t>
      </w:r>
      <w:r w:rsidR="002C0ECB" w:rsidRPr="00662C5B">
        <w:rPr>
          <w:noProof/>
          <w:lang w:val="en-US"/>
        </w:rPr>
        <w:t xml:space="preserve"> falsely accused </w:t>
      </w:r>
      <w:r w:rsidR="00D74FB4">
        <w:rPr>
          <w:noProof/>
          <w:lang w:val="en-US"/>
        </w:rPr>
        <w:t>of</w:t>
      </w:r>
      <w:r w:rsidR="00D74FB4" w:rsidRPr="00662C5B">
        <w:rPr>
          <w:noProof/>
          <w:lang w:val="en-US"/>
        </w:rPr>
        <w:t xml:space="preserve"> </w:t>
      </w:r>
      <w:r w:rsidR="00E17F31" w:rsidRPr="00662C5B">
        <w:rPr>
          <w:noProof/>
          <w:lang w:val="en-US"/>
        </w:rPr>
        <w:t>theft</w:t>
      </w:r>
      <w:r w:rsidR="002C0ECB" w:rsidRPr="00662C5B">
        <w:rPr>
          <w:noProof/>
          <w:lang w:val="en-US"/>
        </w:rPr>
        <w:t xml:space="preserve"> </w:t>
      </w:r>
      <w:r w:rsidR="001A68AA" w:rsidRPr="00662C5B">
        <w:rPr>
          <w:noProof/>
          <w:lang w:val="en-US"/>
        </w:rPr>
        <w:t xml:space="preserve">and </w:t>
      </w:r>
      <w:r w:rsidR="002C0ECB" w:rsidRPr="00662C5B">
        <w:rPr>
          <w:noProof/>
          <w:lang w:val="en-US"/>
        </w:rPr>
        <w:t xml:space="preserve">was </w:t>
      </w:r>
      <w:r w:rsidR="00CC5088" w:rsidRPr="00662C5B">
        <w:rPr>
          <w:noProof/>
          <w:lang w:val="en-US"/>
        </w:rPr>
        <w:t>beaten and</w:t>
      </w:r>
      <w:r w:rsidR="00D74FB4">
        <w:rPr>
          <w:noProof/>
          <w:lang w:val="en-US"/>
        </w:rPr>
        <w:t xml:space="preserve"> had</w:t>
      </w:r>
      <w:r w:rsidR="00CC5088" w:rsidRPr="00662C5B">
        <w:rPr>
          <w:noProof/>
          <w:lang w:val="en-US"/>
        </w:rPr>
        <w:t xml:space="preserve"> his leg burn</w:t>
      </w:r>
      <w:r w:rsidR="00D74FB4">
        <w:rPr>
          <w:noProof/>
          <w:lang w:val="en-US"/>
        </w:rPr>
        <w:t>ed</w:t>
      </w:r>
      <w:r w:rsidR="004C767F" w:rsidRPr="00662C5B">
        <w:rPr>
          <w:noProof/>
          <w:lang w:val="en-US"/>
        </w:rPr>
        <w:t xml:space="preserve"> because he belong</w:t>
      </w:r>
      <w:r w:rsidR="00964EB5" w:rsidRPr="00662C5B">
        <w:rPr>
          <w:noProof/>
          <w:lang w:val="en-US"/>
        </w:rPr>
        <w:t>ed</w:t>
      </w:r>
      <w:r w:rsidR="004C767F" w:rsidRPr="00662C5B">
        <w:rPr>
          <w:noProof/>
          <w:lang w:val="en-US"/>
        </w:rPr>
        <w:t xml:space="preserve"> to a minority clan. </w:t>
      </w:r>
    </w:p>
    <w:p w14:paraId="66D3F28A" w14:textId="4B2700D8" w:rsidR="0080760C" w:rsidRPr="00662C5B" w:rsidRDefault="00052E2D" w:rsidP="00700260">
      <w:pPr>
        <w:pStyle w:val="SingleTxtG"/>
        <w:rPr>
          <w:noProof/>
          <w:lang w:val="en-US"/>
        </w:rPr>
      </w:pPr>
      <w:r w:rsidRPr="00662C5B">
        <w:rPr>
          <w:noProof/>
          <w:lang w:val="en-US"/>
        </w:rPr>
        <w:t>8</w:t>
      </w:r>
      <w:r w:rsidR="00C618A7" w:rsidRPr="00662C5B">
        <w:rPr>
          <w:noProof/>
          <w:lang w:val="en-US"/>
        </w:rPr>
        <w:t>.4</w:t>
      </w:r>
      <w:r w:rsidR="00C618A7" w:rsidRPr="00662C5B">
        <w:rPr>
          <w:noProof/>
          <w:lang w:val="en-US"/>
        </w:rPr>
        <w:tab/>
      </w:r>
      <w:r w:rsidR="00CC5088" w:rsidRPr="00662C5B">
        <w:rPr>
          <w:noProof/>
          <w:lang w:val="en-US"/>
        </w:rPr>
        <w:t>The Committee notes that</w:t>
      </w:r>
      <w:r w:rsidR="002C0ECB" w:rsidRPr="00662C5B">
        <w:rPr>
          <w:noProof/>
          <w:lang w:val="en-US"/>
        </w:rPr>
        <w:t xml:space="preserve"> from the material on file it </w:t>
      </w:r>
      <w:r w:rsidR="001A68AA" w:rsidRPr="00662C5B">
        <w:rPr>
          <w:noProof/>
          <w:lang w:val="en-US"/>
        </w:rPr>
        <w:t xml:space="preserve">appears </w:t>
      </w:r>
      <w:r w:rsidR="002C0ECB" w:rsidRPr="00662C5B">
        <w:rPr>
          <w:noProof/>
          <w:lang w:val="en-US"/>
        </w:rPr>
        <w:t>that</w:t>
      </w:r>
      <w:r w:rsidR="00CC5088" w:rsidRPr="00662C5B">
        <w:rPr>
          <w:noProof/>
          <w:lang w:val="en-US"/>
        </w:rPr>
        <w:t xml:space="preserve"> the </w:t>
      </w:r>
      <w:r w:rsidR="008E5331" w:rsidRPr="00662C5B">
        <w:rPr>
          <w:noProof/>
          <w:lang w:val="en-US"/>
        </w:rPr>
        <w:t>D</w:t>
      </w:r>
      <w:r w:rsidR="004D3B91" w:rsidRPr="00662C5B">
        <w:rPr>
          <w:noProof/>
          <w:lang w:val="en-US"/>
        </w:rPr>
        <w:t xml:space="preserve">anish </w:t>
      </w:r>
      <w:r w:rsidR="00BA532E" w:rsidRPr="00662C5B">
        <w:rPr>
          <w:noProof/>
          <w:lang w:val="en-US"/>
        </w:rPr>
        <w:t>i</w:t>
      </w:r>
      <w:r w:rsidR="004D3B91" w:rsidRPr="00662C5B">
        <w:rPr>
          <w:noProof/>
          <w:lang w:val="en-US"/>
        </w:rPr>
        <w:t xml:space="preserve">mmigration </w:t>
      </w:r>
      <w:r w:rsidR="00BA532E" w:rsidRPr="00662C5B">
        <w:rPr>
          <w:noProof/>
          <w:lang w:val="en-US"/>
        </w:rPr>
        <w:t>authorities</w:t>
      </w:r>
      <w:r w:rsidR="0009642B">
        <w:rPr>
          <w:noProof/>
          <w:lang w:val="en-US"/>
        </w:rPr>
        <w:t xml:space="preserve"> —</w:t>
      </w:r>
      <w:r w:rsidR="00B2626A" w:rsidRPr="00662C5B">
        <w:rPr>
          <w:noProof/>
          <w:lang w:val="en-US"/>
        </w:rPr>
        <w:t xml:space="preserve"> the Danish Immigration Service and the </w:t>
      </w:r>
      <w:r w:rsidR="00A07CBD" w:rsidRPr="00662C5B">
        <w:rPr>
          <w:noProof/>
          <w:lang w:val="en-US"/>
        </w:rPr>
        <w:t>Refugee Appeals Board</w:t>
      </w:r>
      <w:r w:rsidR="0009642B">
        <w:rPr>
          <w:noProof/>
          <w:lang w:val="en-US"/>
        </w:rPr>
        <w:t xml:space="preserve"> —</w:t>
      </w:r>
      <w:r w:rsidR="00CC5088" w:rsidRPr="00662C5B">
        <w:rPr>
          <w:noProof/>
          <w:lang w:val="en-US"/>
        </w:rPr>
        <w:t xml:space="preserve"> thoroughly examined each of the author’s claim</w:t>
      </w:r>
      <w:r w:rsidR="000266C9" w:rsidRPr="00662C5B">
        <w:rPr>
          <w:noProof/>
          <w:lang w:val="en-US"/>
        </w:rPr>
        <w:t>s, and</w:t>
      </w:r>
      <w:r w:rsidR="002C0ECB" w:rsidRPr="00662C5B">
        <w:rPr>
          <w:noProof/>
          <w:lang w:val="en-US"/>
        </w:rPr>
        <w:t xml:space="preserve"> i</w:t>
      </w:r>
      <w:r w:rsidR="00B2626A" w:rsidRPr="00662C5B">
        <w:rPr>
          <w:noProof/>
          <w:lang w:val="en-US"/>
        </w:rPr>
        <w:t>n</w:t>
      </w:r>
      <w:r w:rsidR="002C0ECB" w:rsidRPr="00662C5B">
        <w:rPr>
          <w:noProof/>
          <w:lang w:val="en-US"/>
        </w:rPr>
        <w:t xml:space="preserve"> particular they</w:t>
      </w:r>
      <w:r w:rsidR="00CC5088" w:rsidRPr="00662C5B">
        <w:rPr>
          <w:noProof/>
          <w:lang w:val="en-US"/>
        </w:rPr>
        <w:t xml:space="preserve"> </w:t>
      </w:r>
      <w:r w:rsidR="002C0ECB" w:rsidRPr="00662C5B">
        <w:rPr>
          <w:noProof/>
          <w:lang w:val="en-US"/>
        </w:rPr>
        <w:t>assessed</w:t>
      </w:r>
      <w:r w:rsidR="00CC5088" w:rsidRPr="00662C5B">
        <w:rPr>
          <w:noProof/>
          <w:lang w:val="en-US"/>
        </w:rPr>
        <w:t xml:space="preserve"> the threats allegedly received by the author in Somalia from </w:t>
      </w:r>
      <w:r w:rsidR="00C122F9" w:rsidRPr="00662C5B">
        <w:rPr>
          <w:noProof/>
          <w:lang w:val="en-US"/>
        </w:rPr>
        <w:t>Al-Shabaab</w:t>
      </w:r>
      <w:r w:rsidR="00CC5088" w:rsidRPr="00662C5B">
        <w:rPr>
          <w:noProof/>
          <w:lang w:val="en-US"/>
        </w:rPr>
        <w:t xml:space="preserve">, as well as his allegations of ill-treatment in prison in Somalia because </w:t>
      </w:r>
      <w:r w:rsidR="0009642B">
        <w:rPr>
          <w:noProof/>
          <w:lang w:val="en-US"/>
        </w:rPr>
        <w:t>of belonging</w:t>
      </w:r>
      <w:r w:rsidR="00CC5088" w:rsidRPr="00662C5B">
        <w:rPr>
          <w:noProof/>
          <w:lang w:val="en-US"/>
        </w:rPr>
        <w:t xml:space="preserve"> to a minority clan</w:t>
      </w:r>
      <w:r w:rsidR="002C0ECB" w:rsidRPr="00662C5B">
        <w:rPr>
          <w:noProof/>
          <w:lang w:val="en-US"/>
        </w:rPr>
        <w:t>. The</w:t>
      </w:r>
      <w:r w:rsidR="00B2626A" w:rsidRPr="00662C5B">
        <w:rPr>
          <w:noProof/>
          <w:lang w:val="en-US"/>
        </w:rPr>
        <w:t xml:space="preserve"> Committee observes that the State party’s</w:t>
      </w:r>
      <w:r w:rsidR="002C0ECB" w:rsidRPr="00662C5B">
        <w:rPr>
          <w:noProof/>
          <w:lang w:val="en-US"/>
        </w:rPr>
        <w:t xml:space="preserve"> immigration authorities </w:t>
      </w:r>
      <w:r w:rsidR="00CC5088" w:rsidRPr="00662C5B">
        <w:rPr>
          <w:noProof/>
          <w:lang w:val="en-US"/>
        </w:rPr>
        <w:t>found the</w:t>
      </w:r>
      <w:r w:rsidR="002C0ECB" w:rsidRPr="00662C5B">
        <w:rPr>
          <w:noProof/>
          <w:lang w:val="en-US"/>
        </w:rPr>
        <w:t xml:space="preserve">se allegations </w:t>
      </w:r>
      <w:r w:rsidR="00CC5088" w:rsidRPr="00662C5B">
        <w:rPr>
          <w:noProof/>
          <w:lang w:val="en-US"/>
        </w:rPr>
        <w:t>to be inconsistent and implausible</w:t>
      </w:r>
      <w:r w:rsidR="005F5150" w:rsidRPr="00662C5B">
        <w:rPr>
          <w:noProof/>
          <w:lang w:val="en-US"/>
        </w:rPr>
        <w:t>, as well as unsubstantiated</w:t>
      </w:r>
      <w:r w:rsidR="00CC5088" w:rsidRPr="00662C5B">
        <w:rPr>
          <w:noProof/>
          <w:lang w:val="en-US"/>
        </w:rPr>
        <w:t xml:space="preserve"> on several grounds. </w:t>
      </w:r>
      <w:r w:rsidR="005F5150" w:rsidRPr="00662C5B">
        <w:rPr>
          <w:noProof/>
          <w:lang w:val="en-US"/>
        </w:rPr>
        <w:t xml:space="preserve">In particular, the State party’s </w:t>
      </w:r>
      <w:r w:rsidR="00CF0403" w:rsidRPr="00662C5B">
        <w:rPr>
          <w:noProof/>
          <w:lang w:val="en-US"/>
        </w:rPr>
        <w:t xml:space="preserve">immigration authorities considered </w:t>
      </w:r>
      <w:r w:rsidR="0009642B">
        <w:rPr>
          <w:noProof/>
          <w:lang w:val="en-US"/>
        </w:rPr>
        <w:t xml:space="preserve">that </w:t>
      </w:r>
      <w:r w:rsidR="00CF0403" w:rsidRPr="00662C5B">
        <w:rPr>
          <w:noProof/>
          <w:lang w:val="en-US"/>
        </w:rPr>
        <w:t xml:space="preserve">the author’s statements concerning the approaches </w:t>
      </w:r>
      <w:r w:rsidR="0009642B" w:rsidRPr="00D31B1D">
        <w:rPr>
          <w:noProof/>
          <w:lang w:val="en-US"/>
        </w:rPr>
        <w:t>by</w:t>
      </w:r>
      <w:r w:rsidR="0009642B" w:rsidRPr="00662C5B">
        <w:rPr>
          <w:noProof/>
          <w:lang w:val="en-US"/>
        </w:rPr>
        <w:t xml:space="preserve"> </w:t>
      </w:r>
      <w:r w:rsidR="00C122F9" w:rsidRPr="00662C5B">
        <w:rPr>
          <w:noProof/>
          <w:lang w:val="en-US"/>
        </w:rPr>
        <w:t>Al-Shabaab</w:t>
      </w:r>
      <w:r w:rsidR="00CF0403" w:rsidRPr="00662C5B">
        <w:rPr>
          <w:noProof/>
          <w:lang w:val="en-US"/>
        </w:rPr>
        <w:t xml:space="preserve"> </w:t>
      </w:r>
      <w:r w:rsidR="0009642B" w:rsidRPr="00D31B1D">
        <w:rPr>
          <w:noProof/>
          <w:lang w:val="en-US"/>
        </w:rPr>
        <w:t xml:space="preserve">members </w:t>
      </w:r>
      <w:r w:rsidR="00CF0403" w:rsidRPr="00662C5B">
        <w:rPr>
          <w:noProof/>
          <w:lang w:val="en-US"/>
        </w:rPr>
        <w:t>and his escape from the</w:t>
      </w:r>
      <w:r w:rsidR="004D3B91" w:rsidRPr="00662C5B">
        <w:rPr>
          <w:noProof/>
          <w:lang w:val="en-US"/>
        </w:rPr>
        <w:t>m</w:t>
      </w:r>
      <w:r w:rsidR="00CF0403" w:rsidRPr="00662C5B">
        <w:rPr>
          <w:noProof/>
          <w:lang w:val="en-US"/>
        </w:rPr>
        <w:t xml:space="preserve"> in November 2011</w:t>
      </w:r>
      <w:r w:rsidR="0009642B">
        <w:rPr>
          <w:noProof/>
          <w:lang w:val="en-US"/>
        </w:rPr>
        <w:t xml:space="preserve"> were</w:t>
      </w:r>
      <w:r w:rsidR="00CF0403" w:rsidRPr="00662C5B">
        <w:rPr>
          <w:noProof/>
          <w:lang w:val="en-US"/>
        </w:rPr>
        <w:t xml:space="preserve"> vague and inconsistent; </w:t>
      </w:r>
      <w:r w:rsidR="005F5150" w:rsidRPr="00662C5B">
        <w:rPr>
          <w:noProof/>
          <w:lang w:val="en-US"/>
        </w:rPr>
        <w:t xml:space="preserve">that </w:t>
      </w:r>
      <w:r w:rsidR="004D3B91" w:rsidRPr="00662C5B">
        <w:rPr>
          <w:noProof/>
          <w:lang w:val="en-US"/>
        </w:rPr>
        <w:t>his</w:t>
      </w:r>
      <w:r w:rsidR="005F5150" w:rsidRPr="00662C5B">
        <w:rPr>
          <w:noProof/>
          <w:lang w:val="en-US"/>
        </w:rPr>
        <w:t xml:space="preserve"> father’s conflict with the Habar</w:t>
      </w:r>
      <w:r w:rsidR="007A3690" w:rsidRPr="00662C5B">
        <w:rPr>
          <w:noProof/>
          <w:lang w:val="en-US"/>
        </w:rPr>
        <w:t xml:space="preserve"> </w:t>
      </w:r>
      <w:r w:rsidR="005F5150" w:rsidRPr="00662C5B">
        <w:rPr>
          <w:noProof/>
          <w:lang w:val="en-US"/>
        </w:rPr>
        <w:t>Gidir clan dated back a long time</w:t>
      </w:r>
      <w:r w:rsidR="004D3B91" w:rsidRPr="00662C5B">
        <w:rPr>
          <w:noProof/>
          <w:lang w:val="en-US"/>
        </w:rPr>
        <w:t xml:space="preserve">, </w:t>
      </w:r>
      <w:r w:rsidR="0009642B">
        <w:rPr>
          <w:noProof/>
          <w:lang w:val="en-US"/>
        </w:rPr>
        <w:t xml:space="preserve">to </w:t>
      </w:r>
      <w:r w:rsidR="004D3B91" w:rsidRPr="00662C5B">
        <w:rPr>
          <w:noProof/>
          <w:lang w:val="en-US"/>
        </w:rPr>
        <w:t>17 or 18 years ago</w:t>
      </w:r>
      <w:r w:rsidR="005F5150" w:rsidRPr="00662C5B">
        <w:rPr>
          <w:noProof/>
          <w:lang w:val="en-US"/>
        </w:rPr>
        <w:t xml:space="preserve">; </w:t>
      </w:r>
      <w:r w:rsidR="00700260">
        <w:rPr>
          <w:noProof/>
          <w:lang w:val="en-US"/>
        </w:rPr>
        <w:t xml:space="preserve">and </w:t>
      </w:r>
      <w:r w:rsidR="005F5150" w:rsidRPr="00662C5B">
        <w:rPr>
          <w:noProof/>
          <w:lang w:val="en-US"/>
        </w:rPr>
        <w:t xml:space="preserve">that the author himself had never </w:t>
      </w:r>
      <w:r w:rsidR="0009642B">
        <w:rPr>
          <w:noProof/>
          <w:lang w:val="en-US"/>
        </w:rPr>
        <w:t>experienced</w:t>
      </w:r>
      <w:r w:rsidR="005F5150" w:rsidRPr="00662C5B">
        <w:rPr>
          <w:noProof/>
          <w:lang w:val="en-US"/>
        </w:rPr>
        <w:t xml:space="preserve"> conflict with th</w:t>
      </w:r>
      <w:r w:rsidR="0009642B">
        <w:rPr>
          <w:noProof/>
          <w:lang w:val="en-US"/>
        </w:rPr>
        <w:t>at</w:t>
      </w:r>
      <w:r w:rsidR="005F5150" w:rsidRPr="00662C5B">
        <w:rPr>
          <w:noProof/>
          <w:lang w:val="en-US"/>
        </w:rPr>
        <w:t xml:space="preserve"> clan</w:t>
      </w:r>
      <w:r w:rsidR="00700260">
        <w:rPr>
          <w:noProof/>
          <w:lang w:val="en-US"/>
        </w:rPr>
        <w:t>,</w:t>
      </w:r>
      <w:r w:rsidR="005F5150" w:rsidRPr="00662C5B">
        <w:rPr>
          <w:noProof/>
          <w:lang w:val="en-US"/>
        </w:rPr>
        <w:t xml:space="preserve"> and </w:t>
      </w:r>
      <w:r w:rsidR="00CF0403" w:rsidRPr="00662C5B">
        <w:rPr>
          <w:noProof/>
          <w:lang w:val="en-US"/>
        </w:rPr>
        <w:t xml:space="preserve">even though he claims he was falsely accused of theft and </w:t>
      </w:r>
      <w:r w:rsidR="00700260">
        <w:rPr>
          <w:noProof/>
          <w:lang w:val="en-US"/>
        </w:rPr>
        <w:t xml:space="preserve">was </w:t>
      </w:r>
      <w:r w:rsidR="00CF0403" w:rsidRPr="00662C5B">
        <w:rPr>
          <w:noProof/>
          <w:lang w:val="en-US"/>
        </w:rPr>
        <w:t xml:space="preserve">imprisoned because he belonged to a minority clan, he was </w:t>
      </w:r>
      <w:r w:rsidR="0009642B">
        <w:rPr>
          <w:noProof/>
          <w:lang w:val="en-US"/>
        </w:rPr>
        <w:t xml:space="preserve">nevertheless </w:t>
      </w:r>
      <w:r w:rsidR="00CF0403" w:rsidRPr="00700260">
        <w:rPr>
          <w:lang w:val="en-GB"/>
        </w:rPr>
        <w:t xml:space="preserve">released with </w:t>
      </w:r>
      <w:r w:rsidR="00700260">
        <w:rPr>
          <w:lang w:val="en-GB"/>
        </w:rPr>
        <w:t xml:space="preserve">the </w:t>
      </w:r>
      <w:r w:rsidR="00CF0403" w:rsidRPr="00700260">
        <w:rPr>
          <w:lang w:val="en-GB"/>
        </w:rPr>
        <w:t xml:space="preserve">assistance of </w:t>
      </w:r>
      <w:r w:rsidR="0009642B">
        <w:rPr>
          <w:noProof/>
          <w:lang w:val="en-US"/>
        </w:rPr>
        <w:t>a</w:t>
      </w:r>
      <w:r w:rsidR="00CF0403" w:rsidRPr="00662C5B">
        <w:rPr>
          <w:noProof/>
          <w:lang w:val="en-US"/>
        </w:rPr>
        <w:t xml:space="preserve"> council of </w:t>
      </w:r>
      <w:r w:rsidR="00333107" w:rsidRPr="00662C5B">
        <w:rPr>
          <w:noProof/>
          <w:lang w:val="en-US"/>
        </w:rPr>
        <w:t xml:space="preserve">elders </w:t>
      </w:r>
      <w:r w:rsidR="0009642B">
        <w:rPr>
          <w:noProof/>
          <w:lang w:val="en-US"/>
        </w:rPr>
        <w:t>that</w:t>
      </w:r>
      <w:r w:rsidR="0009642B" w:rsidRPr="00662C5B">
        <w:rPr>
          <w:noProof/>
          <w:lang w:val="en-US"/>
        </w:rPr>
        <w:t xml:space="preserve"> </w:t>
      </w:r>
      <w:r w:rsidR="00CF0403" w:rsidRPr="00662C5B">
        <w:rPr>
          <w:noProof/>
          <w:lang w:val="en-US"/>
        </w:rPr>
        <w:t>helped to pay for his release.</w:t>
      </w:r>
      <w:r w:rsidR="005F5150" w:rsidRPr="00662C5B">
        <w:rPr>
          <w:noProof/>
          <w:lang w:val="en-US"/>
        </w:rPr>
        <w:t xml:space="preserve"> </w:t>
      </w:r>
    </w:p>
    <w:p w14:paraId="6C0C9496" w14:textId="1396C874" w:rsidR="00964EB5" w:rsidRPr="00662C5B" w:rsidRDefault="00052E2D" w:rsidP="00B972D6">
      <w:pPr>
        <w:pStyle w:val="SingleTxtG"/>
        <w:rPr>
          <w:noProof/>
          <w:lang w:val="en-US"/>
        </w:rPr>
      </w:pPr>
      <w:r w:rsidRPr="00662C5B">
        <w:rPr>
          <w:noProof/>
          <w:lang w:val="en-US"/>
        </w:rPr>
        <w:t>8</w:t>
      </w:r>
      <w:r w:rsidR="00C618A7" w:rsidRPr="00662C5B">
        <w:rPr>
          <w:noProof/>
          <w:lang w:val="en-US"/>
        </w:rPr>
        <w:t>.5</w:t>
      </w:r>
      <w:r w:rsidR="00C618A7" w:rsidRPr="00662C5B">
        <w:rPr>
          <w:noProof/>
          <w:lang w:val="en-US"/>
        </w:rPr>
        <w:tab/>
      </w:r>
      <w:r w:rsidR="00CC5088" w:rsidRPr="00662C5B">
        <w:rPr>
          <w:noProof/>
          <w:lang w:val="en-US"/>
        </w:rPr>
        <w:t>In th</w:t>
      </w:r>
      <w:r w:rsidR="0080760C" w:rsidRPr="00662C5B">
        <w:rPr>
          <w:noProof/>
          <w:lang w:val="en-US"/>
        </w:rPr>
        <w:t>is</w:t>
      </w:r>
      <w:r w:rsidR="00CC5088" w:rsidRPr="00662C5B">
        <w:rPr>
          <w:noProof/>
          <w:lang w:val="en-US"/>
        </w:rPr>
        <w:t xml:space="preserve"> connection, the Committee notes that the author </w:t>
      </w:r>
      <w:r w:rsidR="00CC67D4" w:rsidRPr="00662C5B">
        <w:rPr>
          <w:noProof/>
          <w:lang w:val="en-US"/>
        </w:rPr>
        <w:t xml:space="preserve">claims that he </w:t>
      </w:r>
      <w:r w:rsidR="008E5331" w:rsidRPr="00662C5B">
        <w:rPr>
          <w:noProof/>
          <w:lang w:val="en-US"/>
        </w:rPr>
        <w:t>underwent surger</w:t>
      </w:r>
      <w:r w:rsidR="00700260">
        <w:rPr>
          <w:noProof/>
          <w:lang w:val="en-US"/>
        </w:rPr>
        <w:t>y</w:t>
      </w:r>
      <w:r w:rsidR="00CC67D4" w:rsidRPr="00662C5B">
        <w:rPr>
          <w:noProof/>
          <w:lang w:val="en-US"/>
        </w:rPr>
        <w:t xml:space="preserve"> </w:t>
      </w:r>
      <w:r w:rsidR="0080760C" w:rsidRPr="00662C5B">
        <w:rPr>
          <w:noProof/>
          <w:lang w:val="en-US"/>
        </w:rPr>
        <w:t xml:space="preserve">on two occasions </w:t>
      </w:r>
      <w:r w:rsidR="001A68AA" w:rsidRPr="00662C5B">
        <w:rPr>
          <w:noProof/>
          <w:lang w:val="en-US"/>
        </w:rPr>
        <w:t xml:space="preserve">because </w:t>
      </w:r>
      <w:r w:rsidR="0080760C" w:rsidRPr="00662C5B">
        <w:rPr>
          <w:noProof/>
          <w:lang w:val="en-US"/>
        </w:rPr>
        <w:t xml:space="preserve">his leg </w:t>
      </w:r>
      <w:r w:rsidR="00700260">
        <w:rPr>
          <w:noProof/>
          <w:lang w:val="en-US"/>
        </w:rPr>
        <w:t>had been</w:t>
      </w:r>
      <w:r w:rsidR="00700260" w:rsidRPr="00662C5B">
        <w:rPr>
          <w:noProof/>
          <w:lang w:val="en-US"/>
        </w:rPr>
        <w:t xml:space="preserve"> </w:t>
      </w:r>
      <w:r w:rsidR="00CC67D4" w:rsidRPr="00662C5B">
        <w:rPr>
          <w:noProof/>
          <w:lang w:val="en-US"/>
        </w:rPr>
        <w:t>burn</w:t>
      </w:r>
      <w:r w:rsidR="001A68AA" w:rsidRPr="00662C5B">
        <w:rPr>
          <w:noProof/>
          <w:lang w:val="en-US"/>
        </w:rPr>
        <w:t>ed</w:t>
      </w:r>
      <w:r w:rsidR="00CC67D4" w:rsidRPr="00662C5B">
        <w:rPr>
          <w:noProof/>
          <w:lang w:val="en-US"/>
        </w:rPr>
        <w:t xml:space="preserve"> in prison in Somalia. </w:t>
      </w:r>
      <w:r w:rsidR="0080760C" w:rsidRPr="00662C5B">
        <w:rPr>
          <w:noProof/>
          <w:lang w:val="en-US"/>
        </w:rPr>
        <w:t xml:space="preserve">In support of </w:t>
      </w:r>
      <w:r w:rsidR="00CC5088" w:rsidRPr="00662C5B">
        <w:rPr>
          <w:noProof/>
          <w:lang w:val="en-US"/>
        </w:rPr>
        <w:t xml:space="preserve">his </w:t>
      </w:r>
      <w:r w:rsidR="00CC67D4" w:rsidRPr="00662C5B">
        <w:rPr>
          <w:noProof/>
          <w:lang w:val="en-US"/>
        </w:rPr>
        <w:t>allegations</w:t>
      </w:r>
      <w:r w:rsidR="0080760C" w:rsidRPr="00662C5B">
        <w:rPr>
          <w:noProof/>
          <w:lang w:val="en-US"/>
        </w:rPr>
        <w:t>, the author submits</w:t>
      </w:r>
      <w:r w:rsidR="00CC5088" w:rsidRPr="00662C5B">
        <w:rPr>
          <w:noProof/>
          <w:lang w:val="en-US"/>
        </w:rPr>
        <w:t xml:space="preserve"> a copy of a medical report</w:t>
      </w:r>
      <w:r w:rsidR="00CC67D4" w:rsidRPr="00662C5B">
        <w:rPr>
          <w:noProof/>
          <w:lang w:val="en-US"/>
        </w:rPr>
        <w:t xml:space="preserve"> in Danish</w:t>
      </w:r>
      <w:r w:rsidR="00CC5088" w:rsidRPr="00662C5B">
        <w:rPr>
          <w:noProof/>
          <w:lang w:val="en-US"/>
        </w:rPr>
        <w:t>; however, the Committee observes that</w:t>
      </w:r>
      <w:r w:rsidR="001A68AA" w:rsidRPr="00662C5B">
        <w:rPr>
          <w:noProof/>
          <w:lang w:val="en-US"/>
        </w:rPr>
        <w:t xml:space="preserve"> the position of</w:t>
      </w:r>
      <w:r w:rsidR="00CC5088" w:rsidRPr="00662C5B">
        <w:rPr>
          <w:noProof/>
          <w:lang w:val="en-US"/>
        </w:rPr>
        <w:t xml:space="preserve"> the State party</w:t>
      </w:r>
      <w:r w:rsidR="001A68AA" w:rsidRPr="00662C5B">
        <w:rPr>
          <w:noProof/>
          <w:lang w:val="en-US"/>
        </w:rPr>
        <w:t>, which</w:t>
      </w:r>
      <w:r w:rsidR="00CC5088" w:rsidRPr="00662C5B">
        <w:rPr>
          <w:noProof/>
          <w:lang w:val="en-US"/>
        </w:rPr>
        <w:t xml:space="preserve"> </w:t>
      </w:r>
      <w:r w:rsidR="001A68AA" w:rsidRPr="00662C5B">
        <w:rPr>
          <w:noProof/>
          <w:lang w:val="en-US"/>
        </w:rPr>
        <w:t xml:space="preserve">remains </w:t>
      </w:r>
      <w:r w:rsidR="00CC5088" w:rsidRPr="00662C5B">
        <w:rPr>
          <w:noProof/>
          <w:lang w:val="en-US"/>
        </w:rPr>
        <w:t xml:space="preserve">unrefuted by the author, </w:t>
      </w:r>
      <w:r w:rsidR="001A68AA" w:rsidRPr="00662C5B">
        <w:rPr>
          <w:noProof/>
          <w:lang w:val="en-US"/>
        </w:rPr>
        <w:t xml:space="preserve">is that </w:t>
      </w:r>
      <w:r w:rsidR="00CC5088" w:rsidRPr="00662C5B">
        <w:rPr>
          <w:noProof/>
          <w:lang w:val="en-US"/>
        </w:rPr>
        <w:t xml:space="preserve">his leg </w:t>
      </w:r>
      <w:r w:rsidR="00B972D6">
        <w:rPr>
          <w:noProof/>
          <w:lang w:val="en-US"/>
        </w:rPr>
        <w:t>was</w:t>
      </w:r>
      <w:r w:rsidR="00CC5088" w:rsidRPr="00662C5B">
        <w:rPr>
          <w:noProof/>
          <w:lang w:val="en-US"/>
        </w:rPr>
        <w:t xml:space="preserve"> treated </w:t>
      </w:r>
      <w:r w:rsidR="00B972D6">
        <w:rPr>
          <w:noProof/>
          <w:lang w:val="en-US"/>
        </w:rPr>
        <w:t xml:space="preserve">medically </w:t>
      </w:r>
      <w:r w:rsidR="00CC5088" w:rsidRPr="00662C5B">
        <w:rPr>
          <w:noProof/>
          <w:lang w:val="en-US"/>
        </w:rPr>
        <w:t>due to</w:t>
      </w:r>
      <w:r w:rsidR="001A68AA" w:rsidRPr="00662C5B">
        <w:rPr>
          <w:noProof/>
          <w:lang w:val="en-US"/>
        </w:rPr>
        <w:t xml:space="preserve"> a</w:t>
      </w:r>
      <w:r w:rsidR="00CC5088" w:rsidRPr="00662C5B">
        <w:rPr>
          <w:noProof/>
          <w:lang w:val="en-US"/>
        </w:rPr>
        <w:t xml:space="preserve"> tuberculosis infection a</w:t>
      </w:r>
      <w:r w:rsidR="00CC67D4" w:rsidRPr="00662C5B">
        <w:rPr>
          <w:noProof/>
          <w:lang w:val="en-US"/>
        </w:rPr>
        <w:t>nd not because of</w:t>
      </w:r>
      <w:r w:rsidR="00CC5088" w:rsidRPr="00662C5B">
        <w:rPr>
          <w:noProof/>
          <w:lang w:val="en-US"/>
        </w:rPr>
        <w:t xml:space="preserve"> ill-treatment </w:t>
      </w:r>
      <w:r w:rsidR="00B972D6">
        <w:rPr>
          <w:noProof/>
          <w:lang w:val="en-US"/>
        </w:rPr>
        <w:t xml:space="preserve">that </w:t>
      </w:r>
      <w:r w:rsidR="00CC5088" w:rsidRPr="00662C5B">
        <w:rPr>
          <w:noProof/>
          <w:lang w:val="en-US"/>
        </w:rPr>
        <w:t xml:space="preserve">he claims to have suffered in prison in Somalia. </w:t>
      </w:r>
      <w:r w:rsidR="00FF01DA" w:rsidRPr="00662C5B">
        <w:rPr>
          <w:noProof/>
          <w:lang w:val="en-US"/>
        </w:rPr>
        <w:t xml:space="preserve">In addition, the Committee notes that the State party’s immigration authorities assessed </w:t>
      </w:r>
      <w:r w:rsidR="005A72D6" w:rsidRPr="00662C5B">
        <w:rPr>
          <w:noProof/>
          <w:lang w:val="en-US"/>
        </w:rPr>
        <w:t>the general conditions in Qoryooley</w:t>
      </w:r>
      <w:r w:rsidR="001A68AA" w:rsidRPr="00662C5B">
        <w:rPr>
          <w:noProof/>
          <w:lang w:val="en-US"/>
        </w:rPr>
        <w:t xml:space="preserve"> regarding </w:t>
      </w:r>
      <w:r w:rsidR="00B972D6">
        <w:rPr>
          <w:noProof/>
          <w:lang w:val="en-US"/>
        </w:rPr>
        <w:t xml:space="preserve">the </w:t>
      </w:r>
      <w:r w:rsidR="001A68AA" w:rsidRPr="00662C5B">
        <w:rPr>
          <w:noProof/>
          <w:lang w:val="en-US"/>
        </w:rPr>
        <w:t>risk of harm from the conflict with Al-Shabaab</w:t>
      </w:r>
      <w:r w:rsidR="005A72D6" w:rsidRPr="00662C5B">
        <w:rPr>
          <w:noProof/>
          <w:lang w:val="en-US"/>
        </w:rPr>
        <w:t xml:space="preserve">, but could not reach the conclusion that the general security situation in the area was of such </w:t>
      </w:r>
      <w:r w:rsidR="00B972D6">
        <w:rPr>
          <w:noProof/>
          <w:lang w:val="en-US"/>
        </w:rPr>
        <w:t xml:space="preserve">a </w:t>
      </w:r>
      <w:r w:rsidR="005A72D6" w:rsidRPr="00662C5B">
        <w:rPr>
          <w:noProof/>
          <w:lang w:val="en-US"/>
        </w:rPr>
        <w:t xml:space="preserve">nature that everybody returning </w:t>
      </w:r>
      <w:r w:rsidR="0080760C" w:rsidRPr="00662C5B">
        <w:rPr>
          <w:noProof/>
          <w:lang w:val="en-US"/>
        </w:rPr>
        <w:t xml:space="preserve">there </w:t>
      </w:r>
      <w:r w:rsidR="005A72D6" w:rsidRPr="00662C5B">
        <w:rPr>
          <w:noProof/>
          <w:lang w:val="en-US"/>
        </w:rPr>
        <w:t>may be deemed to be at a real risk of abuse</w:t>
      </w:r>
      <w:r w:rsidR="0080760C" w:rsidRPr="00662C5B">
        <w:rPr>
          <w:noProof/>
          <w:lang w:val="en-US"/>
        </w:rPr>
        <w:t xml:space="preserve"> or ill-</w:t>
      </w:r>
      <w:r w:rsidR="009C3382" w:rsidRPr="00662C5B">
        <w:rPr>
          <w:noProof/>
          <w:lang w:val="en-US"/>
        </w:rPr>
        <w:t>treatment</w:t>
      </w:r>
      <w:r w:rsidR="005A72D6" w:rsidRPr="00662C5B">
        <w:rPr>
          <w:noProof/>
          <w:lang w:val="en-US"/>
        </w:rPr>
        <w:t>.</w:t>
      </w:r>
    </w:p>
    <w:p w14:paraId="39AD3362" w14:textId="5AE43DE9" w:rsidR="006913C5" w:rsidRPr="00662C5B" w:rsidRDefault="00052E2D" w:rsidP="00B972D6">
      <w:pPr>
        <w:pStyle w:val="SingleTxtG"/>
        <w:rPr>
          <w:noProof/>
          <w:lang w:val="en-US"/>
        </w:rPr>
      </w:pPr>
      <w:r w:rsidRPr="00662C5B">
        <w:rPr>
          <w:noProof/>
          <w:lang w:val="en-US"/>
        </w:rPr>
        <w:t>8</w:t>
      </w:r>
      <w:r w:rsidR="00486027" w:rsidRPr="00662C5B">
        <w:rPr>
          <w:noProof/>
          <w:lang w:val="en-US"/>
        </w:rPr>
        <w:t>.</w:t>
      </w:r>
      <w:r w:rsidR="0080760C" w:rsidRPr="00662C5B">
        <w:rPr>
          <w:noProof/>
          <w:lang w:val="en-US"/>
        </w:rPr>
        <w:t>6</w:t>
      </w:r>
      <w:r w:rsidR="00486027" w:rsidRPr="00662C5B">
        <w:rPr>
          <w:noProof/>
          <w:lang w:val="en-US"/>
        </w:rPr>
        <w:tab/>
      </w:r>
      <w:r w:rsidR="0080760C" w:rsidRPr="00662C5B">
        <w:rPr>
          <w:noProof/>
          <w:lang w:val="en-US"/>
        </w:rPr>
        <w:t>T</w:t>
      </w:r>
      <w:r w:rsidR="00486027" w:rsidRPr="00662C5B">
        <w:rPr>
          <w:noProof/>
          <w:lang w:val="en-US"/>
        </w:rPr>
        <w:t>he Committee recalls its jurisprudence that important weight should be given to the assessment conducted by the State party, unless it is found that the evaluation was clearly arbitrary or amounted to a denial of justice,</w:t>
      </w:r>
      <w:r w:rsidR="00486027" w:rsidRPr="00662C5B">
        <w:rPr>
          <w:noProof/>
          <w:vertAlign w:val="superscript"/>
          <w:lang w:val="en-US"/>
        </w:rPr>
        <w:footnoteReference w:id="26"/>
      </w:r>
      <w:r w:rsidR="00486027" w:rsidRPr="00662C5B">
        <w:rPr>
          <w:noProof/>
          <w:lang w:val="en-US"/>
        </w:rPr>
        <w:t xml:space="preserve"> and that it is generally for the organs of States parties to the Covenant to review or evaluate facts and evidence in order to determine whether such a risk exists.</w:t>
      </w:r>
      <w:r w:rsidR="00486027" w:rsidRPr="00662C5B">
        <w:rPr>
          <w:noProof/>
          <w:vertAlign w:val="superscript"/>
          <w:lang w:val="en-US"/>
        </w:rPr>
        <w:footnoteReference w:id="27"/>
      </w:r>
      <w:r w:rsidR="00486027" w:rsidRPr="00662C5B">
        <w:rPr>
          <w:noProof/>
          <w:lang w:val="en-US"/>
        </w:rPr>
        <w:tab/>
      </w:r>
      <w:r w:rsidR="007A3690" w:rsidRPr="00662C5B">
        <w:rPr>
          <w:noProof/>
          <w:lang w:val="en-US"/>
        </w:rPr>
        <w:t xml:space="preserve"> </w:t>
      </w:r>
      <w:r w:rsidR="00486027" w:rsidRPr="00662C5B">
        <w:rPr>
          <w:noProof/>
          <w:lang w:val="en-US"/>
        </w:rPr>
        <w:t xml:space="preserve">In the </w:t>
      </w:r>
      <w:r w:rsidR="00B972D6">
        <w:rPr>
          <w:noProof/>
          <w:lang w:val="en-US"/>
        </w:rPr>
        <w:t>present</w:t>
      </w:r>
      <w:r w:rsidR="00B972D6" w:rsidRPr="00662C5B">
        <w:rPr>
          <w:noProof/>
          <w:lang w:val="en-US"/>
        </w:rPr>
        <w:t xml:space="preserve"> </w:t>
      </w:r>
      <w:r w:rsidR="00486027" w:rsidRPr="00662C5B">
        <w:rPr>
          <w:noProof/>
          <w:lang w:val="en-US"/>
        </w:rPr>
        <w:t xml:space="preserve">case, the Committee observes that the Danish Immigration Service refused the author’s asylum request, the author appealed that decision and the </w:t>
      </w:r>
      <w:r w:rsidR="00A07CBD" w:rsidRPr="00662C5B">
        <w:rPr>
          <w:noProof/>
          <w:lang w:val="en-US"/>
        </w:rPr>
        <w:t>Refugee Appeals Board</w:t>
      </w:r>
      <w:r w:rsidR="00486027" w:rsidRPr="00662C5B">
        <w:rPr>
          <w:noProof/>
          <w:lang w:val="en-US"/>
        </w:rPr>
        <w:t xml:space="preserve"> </w:t>
      </w:r>
      <w:r w:rsidR="00FC783B" w:rsidRPr="00662C5B">
        <w:rPr>
          <w:noProof/>
          <w:lang w:val="en-US"/>
        </w:rPr>
        <w:t>reviewed his case</w:t>
      </w:r>
      <w:r w:rsidR="009E2248" w:rsidRPr="00662C5B">
        <w:rPr>
          <w:noProof/>
          <w:lang w:val="en-US"/>
        </w:rPr>
        <w:t>.</w:t>
      </w:r>
    </w:p>
    <w:p w14:paraId="4498F7DD" w14:textId="28283500" w:rsidR="00486027" w:rsidRPr="00662C5B" w:rsidRDefault="006913C5" w:rsidP="00100EAE">
      <w:pPr>
        <w:pStyle w:val="SingleTxtG"/>
        <w:rPr>
          <w:noProof/>
          <w:lang w:val="en-US"/>
        </w:rPr>
      </w:pPr>
      <w:r w:rsidRPr="00662C5B">
        <w:rPr>
          <w:noProof/>
          <w:lang w:val="en-US"/>
        </w:rPr>
        <w:t>8</w:t>
      </w:r>
      <w:r w:rsidRPr="00662C5B">
        <w:rPr>
          <w:bCs/>
          <w:noProof/>
          <w:lang w:val="en-US"/>
        </w:rPr>
        <w:t>.7</w:t>
      </w:r>
      <w:r w:rsidRPr="00662C5B">
        <w:rPr>
          <w:bCs/>
          <w:noProof/>
          <w:lang w:val="en-US"/>
        </w:rPr>
        <w:tab/>
      </w:r>
      <w:r w:rsidR="00955D3B" w:rsidRPr="00662C5B">
        <w:rPr>
          <w:bCs/>
          <w:noProof/>
          <w:lang w:val="en-US"/>
        </w:rPr>
        <w:t xml:space="preserve">The Committee is aware of the existence of </w:t>
      </w:r>
      <w:r w:rsidR="00B2697A" w:rsidRPr="00662C5B">
        <w:rPr>
          <w:bCs/>
          <w:noProof/>
          <w:lang w:val="en-US"/>
        </w:rPr>
        <w:t xml:space="preserve">concerns </w:t>
      </w:r>
      <w:r w:rsidRPr="00662C5B">
        <w:rPr>
          <w:bCs/>
          <w:noProof/>
          <w:lang w:val="en-US"/>
        </w:rPr>
        <w:t>regarding the</w:t>
      </w:r>
      <w:r w:rsidR="00B2697A" w:rsidRPr="00662C5B">
        <w:rPr>
          <w:bCs/>
          <w:noProof/>
          <w:lang w:val="en-US"/>
        </w:rPr>
        <w:t xml:space="preserve"> continuing presence </w:t>
      </w:r>
      <w:r w:rsidR="00B972D6">
        <w:rPr>
          <w:bCs/>
          <w:noProof/>
          <w:lang w:val="en-US"/>
        </w:rPr>
        <w:t xml:space="preserve">of Al-Shebaab </w:t>
      </w:r>
      <w:r w:rsidR="00B2697A" w:rsidRPr="00662C5B">
        <w:rPr>
          <w:bCs/>
          <w:noProof/>
          <w:lang w:val="en-US"/>
        </w:rPr>
        <w:t xml:space="preserve">in </w:t>
      </w:r>
      <w:r w:rsidR="00B972D6">
        <w:rPr>
          <w:bCs/>
          <w:noProof/>
          <w:lang w:val="en-US"/>
        </w:rPr>
        <w:t>s</w:t>
      </w:r>
      <w:r w:rsidR="00B2697A" w:rsidRPr="00662C5B">
        <w:rPr>
          <w:bCs/>
          <w:noProof/>
          <w:lang w:val="en-US"/>
        </w:rPr>
        <w:t xml:space="preserve">outhern and </w:t>
      </w:r>
      <w:r w:rsidR="00B972D6">
        <w:rPr>
          <w:bCs/>
          <w:noProof/>
          <w:lang w:val="en-US"/>
        </w:rPr>
        <w:t>c</w:t>
      </w:r>
      <w:r w:rsidR="00B2697A" w:rsidRPr="00662C5B">
        <w:rPr>
          <w:bCs/>
          <w:noProof/>
          <w:lang w:val="en-US"/>
        </w:rPr>
        <w:t>entral Somalia</w:t>
      </w:r>
      <w:r w:rsidR="00616017" w:rsidRPr="00662C5B">
        <w:rPr>
          <w:bCs/>
          <w:noProof/>
          <w:lang w:val="en-US"/>
        </w:rPr>
        <w:t>.</w:t>
      </w:r>
      <w:r w:rsidR="00262E09" w:rsidRPr="00662C5B">
        <w:rPr>
          <w:rStyle w:val="FootnoteReference"/>
          <w:bCs/>
          <w:noProof/>
          <w:lang w:val="en-US"/>
        </w:rPr>
        <w:footnoteReference w:id="28"/>
      </w:r>
      <w:r w:rsidR="00262E09" w:rsidRPr="00662C5B">
        <w:rPr>
          <w:bCs/>
          <w:noProof/>
          <w:lang w:val="en-US"/>
        </w:rPr>
        <w:t xml:space="preserve"> </w:t>
      </w:r>
      <w:r w:rsidR="00955D3B" w:rsidRPr="00662C5B">
        <w:rPr>
          <w:bCs/>
          <w:noProof/>
          <w:lang w:val="en-US"/>
        </w:rPr>
        <w:t xml:space="preserve">However, </w:t>
      </w:r>
      <w:r w:rsidR="00262E09" w:rsidRPr="00662C5B">
        <w:rPr>
          <w:noProof/>
          <w:lang w:val="en-US"/>
        </w:rPr>
        <w:t>t</w:t>
      </w:r>
      <w:r w:rsidR="00486027" w:rsidRPr="00662C5B">
        <w:rPr>
          <w:noProof/>
          <w:lang w:val="en-US"/>
        </w:rPr>
        <w:t>he Committee notes that</w:t>
      </w:r>
      <w:r w:rsidR="00B972D6">
        <w:rPr>
          <w:noProof/>
          <w:lang w:val="en-US"/>
        </w:rPr>
        <w:t>,</w:t>
      </w:r>
      <w:r w:rsidR="00486027" w:rsidRPr="00662C5B">
        <w:rPr>
          <w:noProof/>
          <w:lang w:val="en-US"/>
        </w:rPr>
        <w:t xml:space="preserve"> in examining the author’s asylum request, the </w:t>
      </w:r>
      <w:r w:rsidR="00A07CBD" w:rsidRPr="00662C5B">
        <w:rPr>
          <w:noProof/>
          <w:lang w:val="en-US"/>
        </w:rPr>
        <w:t>Refugee Appeals Board</w:t>
      </w:r>
      <w:r w:rsidR="00486027" w:rsidRPr="00662C5B">
        <w:rPr>
          <w:noProof/>
          <w:lang w:val="en-US"/>
        </w:rPr>
        <w:t xml:space="preserve"> reviewed the author’s allegations</w:t>
      </w:r>
      <w:r w:rsidR="00563F64">
        <w:rPr>
          <w:noProof/>
          <w:lang w:val="en-US"/>
        </w:rPr>
        <w:t>,</w:t>
      </w:r>
      <w:r w:rsidR="00486027" w:rsidRPr="00662C5B">
        <w:rPr>
          <w:noProof/>
          <w:lang w:val="en-US"/>
        </w:rPr>
        <w:t xml:space="preserve"> making a specific and individual risk assessment</w:t>
      </w:r>
      <w:r w:rsidR="00563F64">
        <w:rPr>
          <w:noProof/>
          <w:lang w:val="en-US"/>
        </w:rPr>
        <w:t xml:space="preserve"> and taking</w:t>
      </w:r>
      <w:r w:rsidR="00486027" w:rsidRPr="00662C5B">
        <w:rPr>
          <w:noProof/>
          <w:lang w:val="en-US"/>
        </w:rPr>
        <w:t xml:space="preserve"> into due consideration </w:t>
      </w:r>
      <w:r w:rsidR="006F1005" w:rsidRPr="00662C5B">
        <w:rPr>
          <w:noProof/>
          <w:lang w:val="en-US"/>
        </w:rPr>
        <w:t>the</w:t>
      </w:r>
      <w:r w:rsidR="00486027" w:rsidRPr="00662C5B">
        <w:rPr>
          <w:noProof/>
          <w:lang w:val="en-US"/>
        </w:rPr>
        <w:t xml:space="preserve"> information concerning the situation </w:t>
      </w:r>
      <w:r w:rsidR="006F1005" w:rsidRPr="00662C5B">
        <w:rPr>
          <w:noProof/>
          <w:lang w:val="en-US"/>
        </w:rPr>
        <w:t>in the Qoryooley</w:t>
      </w:r>
      <w:r w:rsidR="0080760C" w:rsidRPr="00662C5B">
        <w:rPr>
          <w:noProof/>
          <w:lang w:val="en-US"/>
        </w:rPr>
        <w:t xml:space="preserve"> area</w:t>
      </w:r>
      <w:r w:rsidR="00486027" w:rsidRPr="00662C5B">
        <w:rPr>
          <w:noProof/>
          <w:lang w:val="en-US"/>
        </w:rPr>
        <w:t xml:space="preserve">. </w:t>
      </w:r>
      <w:r w:rsidR="00955D3B" w:rsidRPr="00662C5B">
        <w:rPr>
          <w:noProof/>
          <w:lang w:val="en-US"/>
        </w:rPr>
        <w:t>In addition, t</w:t>
      </w:r>
      <w:r w:rsidR="00486027" w:rsidRPr="00662C5B">
        <w:rPr>
          <w:noProof/>
          <w:lang w:val="en-US"/>
        </w:rPr>
        <w:t xml:space="preserve">he </w:t>
      </w:r>
      <w:r w:rsidR="00955D3B" w:rsidRPr="00662C5B">
        <w:rPr>
          <w:noProof/>
          <w:lang w:val="en-US"/>
        </w:rPr>
        <w:t>Committee notes that</w:t>
      </w:r>
      <w:r w:rsidR="00486027" w:rsidRPr="00662C5B">
        <w:rPr>
          <w:noProof/>
          <w:lang w:val="en-US"/>
        </w:rPr>
        <w:t xml:space="preserve"> </w:t>
      </w:r>
      <w:r w:rsidR="00955D3B" w:rsidRPr="00662C5B">
        <w:rPr>
          <w:noProof/>
          <w:lang w:val="en-US"/>
        </w:rPr>
        <w:t xml:space="preserve">the author </w:t>
      </w:r>
      <w:r w:rsidR="00486027" w:rsidRPr="00662C5B">
        <w:rPr>
          <w:noProof/>
          <w:lang w:val="en-US"/>
        </w:rPr>
        <w:t xml:space="preserve">challenges </w:t>
      </w:r>
      <w:r w:rsidR="00FF37F4">
        <w:rPr>
          <w:lang w:val="en-GB"/>
        </w:rPr>
        <w:t xml:space="preserve">the assessment </w:t>
      </w:r>
      <w:r w:rsidR="00FF37F4" w:rsidRPr="00FF37F4">
        <w:rPr>
          <w:lang w:val="en-GB"/>
        </w:rPr>
        <w:t>of evidence by the Refugee Appeals Board and the factual conclusions that the Board reached</w:t>
      </w:r>
      <w:r w:rsidR="00486027" w:rsidRPr="00662C5B">
        <w:rPr>
          <w:noProof/>
          <w:lang w:val="en-US"/>
        </w:rPr>
        <w:t xml:space="preserve"> </w:t>
      </w:r>
      <w:r w:rsidR="0080760C" w:rsidRPr="00662C5B">
        <w:rPr>
          <w:noProof/>
          <w:lang w:val="en-US"/>
        </w:rPr>
        <w:t xml:space="preserve">without </w:t>
      </w:r>
      <w:r w:rsidR="00486027" w:rsidRPr="00662C5B">
        <w:rPr>
          <w:noProof/>
          <w:lang w:val="en-US"/>
        </w:rPr>
        <w:t>however</w:t>
      </w:r>
      <w:r w:rsidR="0080760C" w:rsidRPr="00662C5B">
        <w:rPr>
          <w:noProof/>
          <w:lang w:val="en-US"/>
        </w:rPr>
        <w:t xml:space="preserve"> adducing any </w:t>
      </w:r>
      <w:r w:rsidR="00FF37F4" w:rsidRPr="00FF37F4">
        <w:rPr>
          <w:noProof/>
          <w:lang w:val="en-US"/>
        </w:rPr>
        <w:t xml:space="preserve">supporting </w:t>
      </w:r>
      <w:r w:rsidR="0080760C" w:rsidRPr="00662C5B">
        <w:rPr>
          <w:noProof/>
          <w:lang w:val="en-US"/>
        </w:rPr>
        <w:t xml:space="preserve">element </w:t>
      </w:r>
      <w:r w:rsidR="00100EAE" w:rsidRPr="00FF37F4">
        <w:rPr>
          <w:noProof/>
          <w:lang w:val="en-US"/>
        </w:rPr>
        <w:t>that would demonstrate that these were</w:t>
      </w:r>
      <w:r w:rsidR="00486027" w:rsidRPr="00662C5B">
        <w:rPr>
          <w:noProof/>
          <w:lang w:val="en-US" w:eastAsia="en-GB"/>
        </w:rPr>
        <w:t xml:space="preserve"> manifestly </w:t>
      </w:r>
      <w:r w:rsidR="00486027" w:rsidRPr="00662C5B">
        <w:rPr>
          <w:noProof/>
          <w:lang w:val="en-US"/>
        </w:rPr>
        <w:t>unreasonable</w:t>
      </w:r>
      <w:r w:rsidR="00486027" w:rsidRPr="00662C5B">
        <w:rPr>
          <w:noProof/>
          <w:lang w:val="en-US" w:eastAsia="en-GB"/>
        </w:rPr>
        <w:t xml:space="preserve"> or arbitrary.</w:t>
      </w:r>
      <w:r w:rsidR="00BA532E" w:rsidRPr="00662C5B">
        <w:rPr>
          <w:rStyle w:val="FootnoteReference"/>
          <w:noProof/>
          <w:lang w:val="en-US" w:eastAsia="en-GB"/>
        </w:rPr>
        <w:footnoteReference w:id="29"/>
      </w:r>
      <w:r w:rsidR="00486027" w:rsidRPr="00662C5B">
        <w:rPr>
          <w:noProof/>
          <w:lang w:val="en-US" w:eastAsia="en-GB"/>
        </w:rPr>
        <w:t xml:space="preserve"> </w:t>
      </w:r>
      <w:r w:rsidR="00834EE7" w:rsidRPr="00662C5B">
        <w:rPr>
          <w:rFonts w:eastAsia="MS Mincho"/>
          <w:noProof/>
          <w:lang w:val="en-US"/>
        </w:rPr>
        <w:t>In the light of the foregoing, the Committee cannot conclude that the information before it shows that there are substantial grounds for believing that there is a real risk of irreparable harm to the author, as contemplated by article 7 of the Covenant.</w:t>
      </w:r>
      <w:r w:rsidR="00834EE7" w:rsidRPr="00662C5B">
        <w:rPr>
          <w:rStyle w:val="FootnoteReference"/>
          <w:rFonts w:eastAsia="MS Mincho"/>
          <w:noProof/>
          <w:lang w:val="en-US"/>
        </w:rPr>
        <w:footnoteReference w:id="30"/>
      </w:r>
    </w:p>
    <w:p w14:paraId="3B69BB24" w14:textId="77777777" w:rsidR="00486027" w:rsidRDefault="00052E2D" w:rsidP="00486027">
      <w:pPr>
        <w:pStyle w:val="SingleTxtG"/>
        <w:rPr>
          <w:noProof/>
          <w:lang w:val="en-US" w:eastAsia="fr-FR"/>
        </w:rPr>
      </w:pPr>
      <w:r w:rsidRPr="00662C5B">
        <w:rPr>
          <w:noProof/>
          <w:lang w:val="en-US" w:eastAsia="en-GB"/>
        </w:rPr>
        <w:t>9</w:t>
      </w:r>
      <w:r w:rsidR="00486027" w:rsidRPr="00662C5B">
        <w:rPr>
          <w:noProof/>
          <w:lang w:val="en-US" w:eastAsia="en-GB"/>
        </w:rPr>
        <w:t>.</w:t>
      </w:r>
      <w:r w:rsidR="00486027" w:rsidRPr="00662C5B">
        <w:rPr>
          <w:noProof/>
          <w:lang w:val="en-US" w:eastAsia="en-GB"/>
        </w:rPr>
        <w:tab/>
        <w:t>The Human Rights Committee, acting under article 5</w:t>
      </w:r>
      <w:r w:rsidR="00A07CBD" w:rsidRPr="00662C5B">
        <w:rPr>
          <w:noProof/>
          <w:lang w:val="en-US" w:eastAsia="en-GB"/>
        </w:rPr>
        <w:t xml:space="preserve"> </w:t>
      </w:r>
      <w:r w:rsidR="00486027" w:rsidRPr="00662C5B">
        <w:rPr>
          <w:noProof/>
          <w:lang w:val="en-US" w:eastAsia="en-GB"/>
        </w:rPr>
        <w:t>(4) of the Optional Protocol</w:t>
      </w:r>
      <w:r w:rsidR="00486027" w:rsidRPr="00662C5B">
        <w:rPr>
          <w:noProof/>
          <w:lang w:val="en-US" w:eastAsia="fr-FR"/>
        </w:rPr>
        <w:t xml:space="preserve">, is of the view that the author’s removal to </w:t>
      </w:r>
      <w:r w:rsidR="00BA532E" w:rsidRPr="00662C5B">
        <w:rPr>
          <w:noProof/>
          <w:lang w:val="en-US" w:eastAsia="fr-FR"/>
        </w:rPr>
        <w:t>Somalia</w:t>
      </w:r>
      <w:r w:rsidR="00486027" w:rsidRPr="00662C5B">
        <w:rPr>
          <w:noProof/>
          <w:lang w:val="en-US" w:eastAsia="fr-FR"/>
        </w:rPr>
        <w:t xml:space="preserve"> would not violate his rights under article 7 of the Covenant.</w:t>
      </w:r>
    </w:p>
    <w:p w14:paraId="06F2F831" w14:textId="32281185" w:rsidR="000A1B9F" w:rsidRPr="00662C5B" w:rsidRDefault="000A1B9F" w:rsidP="000A1B9F">
      <w:pPr>
        <w:pStyle w:val="SingleTxtG"/>
        <w:spacing w:before="240" w:after="0"/>
        <w:jc w:val="center"/>
        <w:rPr>
          <w:noProof/>
          <w:u w:val="single"/>
          <w:lang w:val="en-US" w:eastAsia="fr-FR"/>
        </w:rPr>
      </w:pPr>
      <w:r>
        <w:rPr>
          <w:noProof/>
          <w:u w:val="single"/>
          <w:lang w:val="en-US" w:eastAsia="fr-FR"/>
        </w:rPr>
        <w:tab/>
      </w:r>
      <w:r>
        <w:rPr>
          <w:noProof/>
          <w:u w:val="single"/>
          <w:lang w:val="en-US" w:eastAsia="fr-FR"/>
        </w:rPr>
        <w:tab/>
      </w:r>
      <w:r>
        <w:rPr>
          <w:noProof/>
          <w:u w:val="single"/>
          <w:lang w:val="en-US" w:eastAsia="fr-FR"/>
        </w:rPr>
        <w:tab/>
      </w:r>
    </w:p>
    <w:p w14:paraId="623D3675" w14:textId="2985FF91" w:rsidR="00A85EB2" w:rsidRPr="00662C5B" w:rsidRDefault="00A85EB2" w:rsidP="00662C5B">
      <w:pPr>
        <w:spacing w:before="240"/>
        <w:ind w:left="1134" w:right="1134"/>
        <w:jc w:val="center"/>
        <w:rPr>
          <w:rFonts w:eastAsiaTheme="minorEastAsia"/>
          <w:noProof/>
          <w:lang w:val="en-US"/>
        </w:rPr>
      </w:pPr>
    </w:p>
    <w:sectPr w:rsidR="00A85EB2" w:rsidRPr="00662C5B" w:rsidSect="00F65F0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6E6C8" w14:textId="77777777" w:rsidR="00662C5B" w:rsidRDefault="00662C5B"/>
  </w:endnote>
  <w:endnote w:type="continuationSeparator" w:id="0">
    <w:p w14:paraId="322D704C" w14:textId="77777777" w:rsidR="00662C5B" w:rsidRDefault="00662C5B"/>
  </w:endnote>
  <w:endnote w:type="continuationNotice" w:id="1">
    <w:p w14:paraId="0A7FE72C" w14:textId="77777777" w:rsidR="00662C5B" w:rsidRDefault="00662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3F4B" w14:textId="77777777" w:rsidR="00662C5B" w:rsidRPr="00781C83" w:rsidRDefault="00662C5B"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F2225C">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B798C" w14:textId="77777777" w:rsidR="00662C5B" w:rsidRPr="00B34770" w:rsidRDefault="00662C5B"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F2225C">
      <w:rPr>
        <w:b/>
        <w:bCs/>
        <w:noProof/>
        <w:sz w:val="18"/>
      </w:rPr>
      <w:t>3</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3A494" w14:textId="59E49C47" w:rsidR="00662C5B" w:rsidRDefault="00F2225C" w:rsidP="00F2225C">
    <w:pPr>
      <w:pStyle w:val="Footer"/>
      <w:ind w:right="1134"/>
      <w:rPr>
        <w:rFonts w:asciiTheme="majorBidi" w:hAnsiTheme="majorBidi" w:cstheme="majorBidi"/>
        <w:sz w:val="20"/>
      </w:rPr>
    </w:pPr>
    <w:r w:rsidRPr="00F2225C">
      <w:rPr>
        <w:rFonts w:ascii="C39T30Lfz" w:hAnsi="C39T30Lfz" w:cstheme="majorBidi"/>
        <w:noProof/>
        <w:sz w:val="56"/>
        <w:u w:val="single"/>
      </w:rPr>
      <w:drawing>
        <wp:anchor distT="0" distB="0" distL="114300" distR="114300" simplePos="0" relativeHeight="251659264" behindDoc="0" locked="0" layoutInCell="1" allowOverlap="1" wp14:anchorId="2E226C24" wp14:editId="799B67A8">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324C4090" w14:textId="54C9715A" w:rsidR="00F2225C" w:rsidRDefault="00F2225C" w:rsidP="00F2225C">
    <w:pPr>
      <w:pStyle w:val="Footer"/>
      <w:ind w:right="1134"/>
      <w:rPr>
        <w:rFonts w:asciiTheme="majorBidi" w:hAnsiTheme="majorBidi" w:cstheme="majorBidi"/>
        <w:sz w:val="20"/>
      </w:rPr>
    </w:pPr>
    <w:r>
      <w:rPr>
        <w:rFonts w:asciiTheme="majorBidi" w:hAnsiTheme="majorBidi" w:cstheme="majorBidi"/>
        <w:sz w:val="20"/>
      </w:rPr>
      <w:t>GE.16-15477(E)</w:t>
    </w:r>
  </w:p>
  <w:p w14:paraId="4F0E6854" w14:textId="12431659" w:rsidR="00F2225C" w:rsidRPr="00F2225C" w:rsidRDefault="00F2225C" w:rsidP="00F2225C">
    <w:pPr>
      <w:pStyle w:val="Footer"/>
      <w:ind w:right="1134"/>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val="en-GB" w:eastAsia="zh-CN"/>
      </w:rPr>
      <w:drawing>
        <wp:anchor distT="0" distB="0" distL="114300" distR="114300" simplePos="0" relativeHeight="251660288" behindDoc="0" locked="0" layoutInCell="1" allowOverlap="1" wp14:anchorId="16BBDABE" wp14:editId="3D4B83F9">
          <wp:simplePos x="0" y="0"/>
          <wp:positionH relativeFrom="margin">
            <wp:posOffset>5489575</wp:posOffset>
          </wp:positionH>
          <wp:positionV relativeFrom="margin">
            <wp:posOffset>7919720</wp:posOffset>
          </wp:positionV>
          <wp:extent cx="640080" cy="640080"/>
          <wp:effectExtent l="0" t="0" r="7620" b="7620"/>
          <wp:wrapNone/>
          <wp:docPr id="2" name="Picture 1" descr="http://undocs.org/m2/QRCode.ashx?DS=CCPR/C/117/D/249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93/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E8B41" w14:textId="77777777" w:rsidR="00662C5B" w:rsidRPr="000B175B" w:rsidRDefault="00662C5B" w:rsidP="00990482">
      <w:pPr>
        <w:tabs>
          <w:tab w:val="right" w:pos="2155"/>
        </w:tabs>
        <w:spacing w:after="80"/>
        <w:ind w:left="680"/>
        <w:rPr>
          <w:u w:val="single"/>
        </w:rPr>
      </w:pPr>
      <w:r>
        <w:rPr>
          <w:u w:val="single"/>
        </w:rPr>
        <w:tab/>
      </w:r>
    </w:p>
  </w:footnote>
  <w:footnote w:type="continuationSeparator" w:id="0">
    <w:p w14:paraId="2D0D0843" w14:textId="77777777" w:rsidR="00662C5B" w:rsidRPr="00FC68B7" w:rsidRDefault="00662C5B" w:rsidP="00990482">
      <w:pPr>
        <w:tabs>
          <w:tab w:val="left" w:pos="2155"/>
        </w:tabs>
        <w:spacing w:after="80"/>
        <w:ind w:left="680"/>
        <w:rPr>
          <w:u w:val="single"/>
        </w:rPr>
      </w:pPr>
      <w:r>
        <w:rPr>
          <w:u w:val="single"/>
        </w:rPr>
        <w:tab/>
      </w:r>
    </w:p>
  </w:footnote>
  <w:footnote w:type="continuationNotice" w:id="1">
    <w:p w14:paraId="49D96680" w14:textId="77777777" w:rsidR="00662C5B" w:rsidRDefault="00662C5B"/>
  </w:footnote>
  <w:footnote w:id="2">
    <w:p w14:paraId="5C71E764" w14:textId="77777777" w:rsidR="00662C5B" w:rsidRPr="001E52C7" w:rsidRDefault="00662C5B" w:rsidP="000A1B9F">
      <w:pPr>
        <w:pStyle w:val="FootnoteText"/>
      </w:pPr>
      <w:r>
        <w:rPr>
          <w:rStyle w:val="FootnoteReference"/>
        </w:rPr>
        <w:tab/>
      </w:r>
      <w:r w:rsidRPr="000A1B9F">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1E52C7">
        <w:t>11</w:t>
      </w:r>
      <w:r>
        <w:t>7</w:t>
      </w:r>
      <w:r w:rsidRPr="001E52C7">
        <w:t>th</w:t>
      </w:r>
      <w:r w:rsidRPr="009E4187">
        <w:t xml:space="preserve"> session (</w:t>
      </w:r>
      <w:r>
        <w:t>20 June</w:t>
      </w:r>
      <w:r w:rsidRPr="001E52C7">
        <w:t>-</w:t>
      </w:r>
      <w:r>
        <w:t>15 July</w:t>
      </w:r>
      <w:r w:rsidRPr="001E52C7">
        <w:t xml:space="preserve"> 2016</w:t>
      </w:r>
      <w:r w:rsidRPr="009E4187">
        <w:t>).</w:t>
      </w:r>
    </w:p>
  </w:footnote>
  <w:footnote w:id="3">
    <w:p w14:paraId="18C6CEA8" w14:textId="62CAEE0F" w:rsidR="00662C5B" w:rsidRPr="000E50E7" w:rsidRDefault="00662C5B" w:rsidP="000A1B9F">
      <w:pPr>
        <w:pStyle w:val="FootnoteText"/>
      </w:pPr>
      <w:r>
        <w:rPr>
          <w:rStyle w:val="FootnoteReference"/>
        </w:rPr>
        <w:tab/>
      </w:r>
      <w:r w:rsidRPr="00662C5B">
        <w:rPr>
          <w:rStyle w:val="FootnoteReference"/>
          <w:sz w:val="20"/>
          <w:vertAlign w:val="baseline"/>
        </w:rPr>
        <w:t>**</w:t>
      </w:r>
      <w:r w:rsidRPr="000E50E7">
        <w:tab/>
      </w:r>
      <w:bookmarkStart w:id="1" w:name="OLE_LINK1"/>
      <w:bookmarkStart w:id="2" w:name="OLE_LINK2"/>
      <w:r w:rsidRPr="009131F3">
        <w:rPr>
          <w:szCs w:val="18"/>
        </w:rPr>
        <w:t xml:space="preserve">The following members of the Committee participated in the examination of the communication: </w:t>
      </w:r>
      <w:bookmarkEnd w:id="1"/>
      <w:bookmarkEnd w:id="2"/>
      <w:r w:rsidRPr="00C455EA">
        <w:rPr>
          <w:szCs w:val="18"/>
        </w:rPr>
        <w:t xml:space="preserve">Yadh </w:t>
      </w:r>
      <w:r>
        <w:rPr>
          <w:szCs w:val="18"/>
        </w:rPr>
        <w:t xml:space="preserve">Ben Achour, </w:t>
      </w:r>
      <w:r w:rsidRPr="00C455EA">
        <w:rPr>
          <w:szCs w:val="18"/>
        </w:rPr>
        <w:t>Lazhari Bouzid</w:t>
      </w:r>
      <w:r>
        <w:rPr>
          <w:szCs w:val="18"/>
        </w:rPr>
        <w:t xml:space="preserve">, Olivier de Frouville, Ahmed Amin Fathalla, </w:t>
      </w:r>
      <w:r w:rsidRPr="00C455EA">
        <w:rPr>
          <w:szCs w:val="18"/>
        </w:rPr>
        <w:t>Yuji Iwasawa</w:t>
      </w:r>
      <w:r>
        <w:rPr>
          <w:szCs w:val="18"/>
        </w:rPr>
        <w:t>,</w:t>
      </w:r>
      <w:r>
        <w:rPr>
          <w:szCs w:val="18"/>
        </w:rPr>
        <w:br/>
        <w:t>Ivana Jeli</w:t>
      </w:r>
      <w:r w:rsidRPr="0042658E">
        <w:rPr>
          <w:szCs w:val="18"/>
        </w:rPr>
        <w:t>ć</w:t>
      </w:r>
      <w:r>
        <w:rPr>
          <w:szCs w:val="18"/>
        </w:rPr>
        <w:t xml:space="preserve">, </w:t>
      </w:r>
      <w:r w:rsidRPr="00C455EA">
        <w:rPr>
          <w:szCs w:val="18"/>
        </w:rPr>
        <w:t>Photini Pazartzis</w:t>
      </w:r>
      <w:r>
        <w:rPr>
          <w:szCs w:val="18"/>
        </w:rPr>
        <w:t xml:space="preserve">, Mauro Politi, </w:t>
      </w:r>
      <w:r w:rsidRPr="00C455EA">
        <w:rPr>
          <w:szCs w:val="18"/>
        </w:rPr>
        <w:t>V</w:t>
      </w:r>
      <w:r w:rsidRPr="0042658E">
        <w:rPr>
          <w:szCs w:val="18"/>
        </w:rPr>
        <w:t>í</w:t>
      </w:r>
      <w:r w:rsidRPr="00C455EA">
        <w:rPr>
          <w:szCs w:val="18"/>
        </w:rPr>
        <w:t>ctor 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sidRPr="00686139">
        <w:t>.</w:t>
      </w:r>
    </w:p>
  </w:footnote>
  <w:footnote w:id="4">
    <w:p w14:paraId="19E76572" w14:textId="2462E3E4" w:rsidR="00662C5B" w:rsidRPr="00BF68EE" w:rsidRDefault="00662C5B" w:rsidP="00662C5B">
      <w:pPr>
        <w:pStyle w:val="FootnoteText"/>
      </w:pPr>
      <w:r>
        <w:tab/>
      </w:r>
      <w:r w:rsidRPr="00BF68EE">
        <w:rPr>
          <w:rStyle w:val="FootnoteReference"/>
        </w:rPr>
        <w:footnoteRef/>
      </w:r>
      <w:r w:rsidRPr="00BF68EE">
        <w:tab/>
        <w:t xml:space="preserve">For a full description, see communication No. 2379/2014, </w:t>
      </w:r>
      <w:r w:rsidRPr="00BF68EE">
        <w:rPr>
          <w:i/>
        </w:rPr>
        <w:t>Obah Hussein Ahmed v. Denmark</w:t>
      </w:r>
      <w:r w:rsidRPr="00BF68EE">
        <w:t xml:space="preserve">, Views adopted on 7 July 2016, paras. 4.1-4.4. </w:t>
      </w:r>
    </w:p>
  </w:footnote>
  <w:footnote w:id="5">
    <w:p w14:paraId="6806F077" w14:textId="00CD61F9" w:rsidR="00662C5B" w:rsidRPr="00BF68EE" w:rsidRDefault="00662C5B" w:rsidP="00662C5B">
      <w:pPr>
        <w:pStyle w:val="FootnoteText"/>
      </w:pPr>
      <w:r w:rsidRPr="00BF68EE">
        <w:tab/>
      </w:r>
      <w:r w:rsidRPr="00BF68EE">
        <w:rPr>
          <w:rStyle w:val="FootnoteReference"/>
          <w:szCs w:val="18"/>
        </w:rPr>
        <w:footnoteRef/>
      </w:r>
      <w:r w:rsidRPr="00BF68EE">
        <w:tab/>
        <w:t>Application No. 25904/07, judgment of 17 July 2008, para. 114.</w:t>
      </w:r>
    </w:p>
  </w:footnote>
  <w:footnote w:id="6">
    <w:p w14:paraId="6D43E403" w14:textId="77777777" w:rsidR="00662C5B" w:rsidRPr="0082022D" w:rsidRDefault="00662C5B" w:rsidP="00662C5B">
      <w:pPr>
        <w:pStyle w:val="FootnoteText"/>
      </w:pPr>
      <w:r w:rsidRPr="00BF68EE">
        <w:tab/>
      </w:r>
      <w:r w:rsidRPr="00BF68EE">
        <w:rPr>
          <w:rStyle w:val="FootnoteReference"/>
          <w:szCs w:val="18"/>
        </w:rPr>
        <w:footnoteRef/>
      </w:r>
      <w:r w:rsidRPr="00BF68EE">
        <w:tab/>
        <w:t>Ibid., para. 125.</w:t>
      </w:r>
    </w:p>
  </w:footnote>
  <w:footnote w:id="7">
    <w:p w14:paraId="608F3EAC" w14:textId="62342D26" w:rsidR="00662C5B" w:rsidRPr="005E7383" w:rsidRDefault="00662C5B" w:rsidP="00662C5B">
      <w:pPr>
        <w:pStyle w:val="FootnoteText"/>
      </w:pPr>
      <w:r>
        <w:tab/>
      </w:r>
      <w:r w:rsidRPr="0082022D">
        <w:rPr>
          <w:rStyle w:val="FootnoteReference"/>
          <w:szCs w:val="18"/>
        </w:rPr>
        <w:footnoteRef/>
      </w:r>
      <w:r>
        <w:tab/>
      </w:r>
      <w:r w:rsidRPr="00BF68EE">
        <w:t xml:space="preserve">Ibid., paras. 115-117; in this respect, the State party also refers to the Court’s judgment in </w:t>
      </w:r>
      <w:r w:rsidRPr="00BF68EE">
        <w:rPr>
          <w:i/>
          <w:iCs/>
        </w:rPr>
        <w:t xml:space="preserve">F.H. v. Sweden, </w:t>
      </w:r>
      <w:r w:rsidRPr="00BF68EE">
        <w:rPr>
          <w:iCs/>
        </w:rPr>
        <w:t>a</w:t>
      </w:r>
      <w:r w:rsidRPr="00BF68EE">
        <w:t xml:space="preserve">pplication No. 32621/06, </w:t>
      </w:r>
      <w:r w:rsidRPr="005E7383">
        <w:t>judgment of 20 January 2009, para. 90.</w:t>
      </w:r>
    </w:p>
  </w:footnote>
  <w:footnote w:id="8">
    <w:p w14:paraId="726448CA" w14:textId="77777777" w:rsidR="00662C5B" w:rsidRPr="005E7383" w:rsidRDefault="00662C5B" w:rsidP="00662C5B">
      <w:pPr>
        <w:pStyle w:val="FootnoteText"/>
      </w:pPr>
      <w:r w:rsidRPr="005E7383">
        <w:tab/>
      </w:r>
      <w:r w:rsidRPr="005E7383">
        <w:rPr>
          <w:rStyle w:val="FootnoteReference"/>
          <w:szCs w:val="18"/>
        </w:rPr>
        <w:footnoteRef/>
      </w:r>
      <w:r w:rsidRPr="005E7383">
        <w:tab/>
        <w:t>Applications Nos. 8319/07 and 11449/07, judgment of 28 June 2011, para. 241.</w:t>
      </w:r>
    </w:p>
  </w:footnote>
  <w:footnote w:id="9">
    <w:p w14:paraId="0C495456" w14:textId="697FD3DA" w:rsidR="00662C5B" w:rsidRPr="009C3382" w:rsidRDefault="00662C5B" w:rsidP="00662C5B">
      <w:pPr>
        <w:pStyle w:val="FootnoteText"/>
        <w:rPr>
          <w:szCs w:val="18"/>
        </w:rPr>
      </w:pPr>
      <w:r w:rsidRPr="005E7383">
        <w:tab/>
      </w:r>
      <w:r w:rsidRPr="005E7383">
        <w:rPr>
          <w:rStyle w:val="FootnoteReference"/>
        </w:rPr>
        <w:footnoteRef/>
      </w:r>
      <w:r w:rsidRPr="005E7383">
        <w:tab/>
        <w:t xml:space="preserve">The State party refers to the Committee’s Views in communication No. 2007/2010, </w:t>
      </w:r>
      <w:r>
        <w:rPr>
          <w:i/>
        </w:rPr>
        <w:t>X</w:t>
      </w:r>
      <w:r w:rsidRPr="005E7383">
        <w:rPr>
          <w:i/>
        </w:rPr>
        <w:t xml:space="preserve"> v. Denmark</w:t>
      </w:r>
      <w:r w:rsidRPr="005E7383">
        <w:t xml:space="preserve">, Views </w:t>
      </w:r>
      <w:r w:rsidRPr="005E7383">
        <w:rPr>
          <w:szCs w:val="18"/>
        </w:rPr>
        <w:t>adopted on 26 March 2014, para. 9.2.</w:t>
      </w:r>
    </w:p>
  </w:footnote>
  <w:footnote w:id="10">
    <w:p w14:paraId="743530E5" w14:textId="77777777" w:rsidR="00662C5B" w:rsidRPr="009C3382" w:rsidRDefault="00662C5B" w:rsidP="00662C5B">
      <w:pPr>
        <w:pStyle w:val="FootnoteText"/>
      </w:pPr>
      <w:r>
        <w:tab/>
      </w:r>
      <w:r w:rsidRPr="00BF68EE">
        <w:rPr>
          <w:rStyle w:val="FootnoteReference"/>
          <w:szCs w:val="18"/>
        </w:rPr>
        <w:footnoteRef/>
      </w:r>
      <w:r w:rsidRPr="00BF68EE">
        <w:tab/>
        <w:t>Application No. 8139/09, para. 233.</w:t>
      </w:r>
    </w:p>
  </w:footnote>
  <w:footnote w:id="11">
    <w:p w14:paraId="50F2CF21" w14:textId="70951E43" w:rsidR="00662C5B" w:rsidRPr="00A80DE7" w:rsidRDefault="00662C5B" w:rsidP="00662C5B">
      <w:pPr>
        <w:pStyle w:val="FootnoteText"/>
      </w:pPr>
      <w:r>
        <w:tab/>
      </w:r>
      <w:r w:rsidRPr="00BF68EE">
        <w:rPr>
          <w:rStyle w:val="FootnoteReference"/>
          <w:szCs w:val="18"/>
        </w:rPr>
        <w:footnoteRef/>
      </w:r>
      <w:r w:rsidRPr="00BF68EE">
        <w:tab/>
        <w:t xml:space="preserve">The State party refers to the decision adopted by the Committee on 10 August 2006 in </w:t>
      </w:r>
      <w:r w:rsidRPr="00BF68EE">
        <w:rPr>
          <w:i/>
          <w:iCs/>
        </w:rPr>
        <w:t xml:space="preserve">Khan v. Canada </w:t>
      </w:r>
      <w:r w:rsidRPr="00BF68EE">
        <w:t>(CCPR/C/87/D/1302/2004).</w:t>
      </w:r>
      <w:r>
        <w:t xml:space="preserve"> </w:t>
      </w:r>
    </w:p>
  </w:footnote>
  <w:footnote w:id="12">
    <w:p w14:paraId="56F4FFEB" w14:textId="23B6EB00" w:rsidR="00662C5B" w:rsidRPr="00F94DD0" w:rsidRDefault="00662C5B" w:rsidP="00662C5B">
      <w:pPr>
        <w:pStyle w:val="FootnoteText"/>
      </w:pPr>
      <w:r>
        <w:tab/>
      </w:r>
      <w:r w:rsidRPr="00F94DD0">
        <w:rPr>
          <w:rStyle w:val="FootnoteReference"/>
          <w:szCs w:val="18"/>
        </w:rPr>
        <w:footnoteRef/>
      </w:r>
      <w:r>
        <w:tab/>
        <w:t xml:space="preserve">See </w:t>
      </w:r>
      <w:r w:rsidRPr="00C356E2">
        <w:t>S/2014/699</w:t>
      </w:r>
      <w:r w:rsidRPr="0056323C">
        <w:t>.</w:t>
      </w:r>
    </w:p>
  </w:footnote>
  <w:footnote w:id="13">
    <w:p w14:paraId="100ACE10" w14:textId="77777777" w:rsidR="00662C5B" w:rsidRPr="00F94DD0" w:rsidRDefault="00662C5B" w:rsidP="00662C5B">
      <w:pPr>
        <w:pStyle w:val="FootnoteText"/>
      </w:pPr>
      <w:r>
        <w:tab/>
      </w:r>
      <w:r w:rsidRPr="00E30025">
        <w:rPr>
          <w:rStyle w:val="FootnoteReference"/>
          <w:szCs w:val="18"/>
        </w:rPr>
        <w:footnoteRef/>
      </w:r>
      <w:r w:rsidRPr="00E30025">
        <w:tab/>
        <w:t>Published on 5 May 2014 on www.sabahionline.com.</w:t>
      </w:r>
    </w:p>
  </w:footnote>
  <w:footnote w:id="14">
    <w:p w14:paraId="099000AD" w14:textId="3B621FD0" w:rsidR="00662C5B" w:rsidRPr="00BF68EE" w:rsidRDefault="00662C5B" w:rsidP="00662C5B">
      <w:pPr>
        <w:pStyle w:val="FootnoteText"/>
      </w:pPr>
      <w:r>
        <w:tab/>
      </w:r>
      <w:r w:rsidRPr="00BF68EE">
        <w:rPr>
          <w:rStyle w:val="FootnoteReference"/>
        </w:rPr>
        <w:footnoteRef/>
      </w:r>
      <w:r w:rsidRPr="00BF68EE">
        <w:tab/>
        <w:t>See para. 4.6 above.</w:t>
      </w:r>
    </w:p>
  </w:footnote>
  <w:footnote w:id="15">
    <w:p w14:paraId="74769D8C" w14:textId="77777777" w:rsidR="00662C5B" w:rsidRPr="00F24797" w:rsidRDefault="00662C5B" w:rsidP="00662C5B">
      <w:pPr>
        <w:pStyle w:val="FootnoteText"/>
      </w:pPr>
      <w:r w:rsidRPr="00BF68EE">
        <w:tab/>
      </w:r>
      <w:r w:rsidRPr="00BF68EE">
        <w:rPr>
          <w:rStyle w:val="FootnoteReference"/>
          <w:szCs w:val="18"/>
        </w:rPr>
        <w:footnoteRef/>
      </w:r>
      <w:r w:rsidRPr="00BF68EE">
        <w:tab/>
        <w:t>Application No. 41827/07, judgment of 9 March 2010, para. 52.</w:t>
      </w:r>
    </w:p>
  </w:footnote>
  <w:footnote w:id="16">
    <w:p w14:paraId="0587069D" w14:textId="77777777" w:rsidR="00662C5B" w:rsidRPr="00BF68EE" w:rsidRDefault="00662C5B" w:rsidP="00662C5B">
      <w:pPr>
        <w:pStyle w:val="FootnoteText"/>
      </w:pPr>
      <w:r>
        <w:tab/>
      </w:r>
      <w:r w:rsidRPr="00BF68EE">
        <w:rPr>
          <w:rStyle w:val="FootnoteReference"/>
        </w:rPr>
        <w:footnoteRef/>
      </w:r>
      <w:r w:rsidRPr="00BF68EE">
        <w:tab/>
        <w:t xml:space="preserve">The State party also refers to the Court’s judgment of 26 June 2014 in </w:t>
      </w:r>
      <w:r w:rsidRPr="00BF68EE">
        <w:rPr>
          <w:i/>
        </w:rPr>
        <w:t>M.E. v. Sweden</w:t>
      </w:r>
      <w:r w:rsidRPr="00BF68EE">
        <w:t>, application No. 71398/12, para. 78.</w:t>
      </w:r>
    </w:p>
  </w:footnote>
  <w:footnote w:id="17">
    <w:p w14:paraId="2815672A" w14:textId="77777777" w:rsidR="00662C5B" w:rsidRPr="00BF68EE" w:rsidRDefault="00662C5B" w:rsidP="00662C5B">
      <w:pPr>
        <w:pStyle w:val="FootnoteText"/>
      </w:pPr>
      <w:r w:rsidRPr="00BF68EE">
        <w:tab/>
      </w:r>
      <w:r w:rsidRPr="00BF68EE">
        <w:rPr>
          <w:rStyle w:val="FootnoteReference"/>
          <w:szCs w:val="18"/>
        </w:rPr>
        <w:footnoteRef/>
      </w:r>
      <w:r w:rsidRPr="00BF68EE">
        <w:tab/>
        <w:t>Application No. 58363/10, judgment of 8 July 2014, para. 63.</w:t>
      </w:r>
    </w:p>
  </w:footnote>
  <w:footnote w:id="18">
    <w:p w14:paraId="58237D97" w14:textId="3574C134" w:rsidR="00662C5B" w:rsidRPr="00581055" w:rsidRDefault="00662C5B" w:rsidP="00662C5B">
      <w:pPr>
        <w:pStyle w:val="FootnoteText"/>
      </w:pPr>
      <w:r w:rsidRPr="00BF68EE">
        <w:tab/>
      </w:r>
      <w:r w:rsidRPr="00BF68EE">
        <w:rPr>
          <w:rStyle w:val="FootnoteReference"/>
          <w:szCs w:val="18"/>
        </w:rPr>
        <w:footnoteRef/>
      </w:r>
      <w:r w:rsidRPr="00BF68EE">
        <w:tab/>
        <w:t>Communication No. 2186/2012, Views adopted on 22 October 2014, para. 7.5.</w:t>
      </w:r>
    </w:p>
  </w:footnote>
  <w:footnote w:id="19">
    <w:p w14:paraId="196C3202" w14:textId="7552DC29" w:rsidR="00662C5B" w:rsidRPr="0008237B" w:rsidRDefault="00662C5B" w:rsidP="00F65F03">
      <w:pPr>
        <w:pStyle w:val="FootnoteText"/>
      </w:pPr>
      <w:r>
        <w:tab/>
      </w:r>
      <w:r w:rsidRPr="0008237B">
        <w:rPr>
          <w:rStyle w:val="FootnoteReference"/>
          <w:szCs w:val="18"/>
        </w:rPr>
        <w:footnoteRef/>
      </w:r>
      <w:r>
        <w:tab/>
      </w:r>
      <w:r w:rsidRPr="00BF68EE">
        <w:t xml:space="preserve">The author also refers to the judgment, invoked by the State party, of the European Court of Human Rights, in </w:t>
      </w:r>
      <w:r w:rsidRPr="00BF68EE">
        <w:rPr>
          <w:i/>
          <w:iCs/>
        </w:rPr>
        <w:t>Sufi and Elmi v. the United Kingdom</w:t>
      </w:r>
      <w:r w:rsidRPr="00662C5B">
        <w:t>,</w:t>
      </w:r>
      <w:r w:rsidRPr="00BF68EE">
        <w:rPr>
          <w:i/>
          <w:iCs/>
        </w:rPr>
        <w:t xml:space="preserve"> </w:t>
      </w:r>
      <w:r w:rsidRPr="00BF68EE">
        <w:rPr>
          <w:iCs/>
        </w:rPr>
        <w:t xml:space="preserve">where the Court </w:t>
      </w:r>
      <w:r w:rsidRPr="00BF68EE">
        <w:t>found that the removal of the applicants, Somali nationals, to Mogadishu, would be contrary to article 3 of the European Convention on Human Rights. See also</w:t>
      </w:r>
      <w:r w:rsidRPr="009C3382">
        <w:t xml:space="preserve"> </w:t>
      </w:r>
      <w:r w:rsidRPr="00F65F03">
        <w:t xml:space="preserve">footnote </w:t>
      </w:r>
      <w:r w:rsidR="00F65F03">
        <w:t>4</w:t>
      </w:r>
      <w:r w:rsidRPr="009C3382">
        <w:t xml:space="preserve"> </w:t>
      </w:r>
      <w:r w:rsidRPr="00BF68EE">
        <w:t>above.</w:t>
      </w:r>
    </w:p>
  </w:footnote>
  <w:footnote w:id="20">
    <w:p w14:paraId="036E2A43" w14:textId="77777777" w:rsidR="00662C5B" w:rsidRPr="00BF68EE" w:rsidRDefault="00662C5B" w:rsidP="00662C5B">
      <w:pPr>
        <w:pStyle w:val="FootnoteText"/>
      </w:pPr>
      <w:r>
        <w:tab/>
      </w:r>
      <w:r w:rsidRPr="00BF68EE">
        <w:rPr>
          <w:rStyle w:val="FootnoteReference"/>
        </w:rPr>
        <w:footnoteRef/>
      </w:r>
      <w:r w:rsidRPr="00BF68EE">
        <w:tab/>
        <w:t>See, for example, communication No.</w:t>
      </w:r>
      <w:r w:rsidRPr="00662C5B">
        <w:t xml:space="preserve"> </w:t>
      </w:r>
      <w:r w:rsidRPr="00BF68EE">
        <w:t xml:space="preserve">2393/2014, </w:t>
      </w:r>
      <w:r w:rsidRPr="00BF68EE">
        <w:rPr>
          <w:i/>
        </w:rPr>
        <w:t>K. v. Denmark</w:t>
      </w:r>
      <w:r w:rsidRPr="00BF68EE">
        <w:t>, Views adopted on 16 July 2015, para. 6.4.</w:t>
      </w:r>
    </w:p>
  </w:footnote>
  <w:footnote w:id="21">
    <w:p w14:paraId="34580489" w14:textId="77777777" w:rsidR="00662C5B" w:rsidRPr="00BF68EE" w:rsidRDefault="00662C5B" w:rsidP="00662C5B">
      <w:pPr>
        <w:pStyle w:val="FootnoteText"/>
      </w:pPr>
      <w:r w:rsidRPr="00BF68EE">
        <w:tab/>
      </w:r>
      <w:r w:rsidRPr="00BF68EE">
        <w:rPr>
          <w:rStyle w:val="FootnoteReference"/>
        </w:rPr>
        <w:footnoteRef/>
      </w:r>
      <w:r w:rsidRPr="00BF68EE">
        <w:tab/>
        <w:t xml:space="preserve">See, for example, communication No. 2347/2014, </w:t>
      </w:r>
      <w:r w:rsidRPr="00BF68EE">
        <w:rPr>
          <w:i/>
        </w:rPr>
        <w:t>K.G. v. Denmark</w:t>
      </w:r>
      <w:r w:rsidRPr="00BF68EE">
        <w:t>, Views adopted on 22 March 2016, para. 6.4.</w:t>
      </w:r>
    </w:p>
  </w:footnote>
  <w:footnote w:id="22">
    <w:p w14:paraId="2FB2DE74" w14:textId="29511B2B" w:rsidR="00662C5B" w:rsidRPr="00BF68EE" w:rsidRDefault="00662C5B" w:rsidP="00662C5B">
      <w:pPr>
        <w:pStyle w:val="FootnoteText"/>
      </w:pPr>
      <w:r w:rsidRPr="00BF68EE">
        <w:tab/>
      </w:r>
      <w:r w:rsidRPr="00BF68EE">
        <w:rPr>
          <w:rStyle w:val="FootnoteReference"/>
        </w:rPr>
        <w:footnoteRef/>
      </w:r>
      <w:r w:rsidRPr="00BF68EE">
        <w:tab/>
        <w:t>See para. 12.</w:t>
      </w:r>
    </w:p>
  </w:footnote>
  <w:footnote w:id="23">
    <w:p w14:paraId="7C0CC414" w14:textId="1C4C9E22" w:rsidR="00662C5B" w:rsidRPr="00BF68EE" w:rsidRDefault="00662C5B" w:rsidP="00662C5B">
      <w:pPr>
        <w:pStyle w:val="FootnoteText"/>
      </w:pPr>
      <w:r w:rsidRPr="00BF68EE">
        <w:tab/>
      </w:r>
      <w:r w:rsidRPr="00BF68EE">
        <w:rPr>
          <w:rStyle w:val="FootnoteReference"/>
          <w:sz w:val="20"/>
        </w:rPr>
        <w:footnoteRef/>
      </w:r>
      <w:r w:rsidRPr="00BF68EE">
        <w:tab/>
        <w:t xml:space="preserve">See, for example, communications No. 2007/2010, </w:t>
      </w:r>
      <w:r w:rsidRPr="00BF68EE">
        <w:rPr>
          <w:i/>
        </w:rPr>
        <w:t>X v. Denmark</w:t>
      </w:r>
      <w:r w:rsidRPr="00BF68EE">
        <w:t xml:space="preserve">, Views adopted on 26 March 2014, para. 9.2; No. 282/2005, </w:t>
      </w:r>
      <w:r w:rsidRPr="00BF68EE">
        <w:rPr>
          <w:i/>
        </w:rPr>
        <w:t xml:space="preserve">S.P.A. </w:t>
      </w:r>
      <w:r w:rsidRPr="00662C5B">
        <w:rPr>
          <w:i/>
        </w:rPr>
        <w:t>v.</w:t>
      </w:r>
      <w:r w:rsidRPr="00BF68EE">
        <w:rPr>
          <w:i/>
        </w:rPr>
        <w:t xml:space="preserve"> Canada</w:t>
      </w:r>
      <w:r w:rsidRPr="00BF68EE">
        <w:t xml:space="preserve">, decision adopted on 7 November 2006; No. 333/2007, </w:t>
      </w:r>
      <w:r>
        <w:br/>
      </w:r>
      <w:r w:rsidRPr="00BF68EE">
        <w:rPr>
          <w:i/>
        </w:rPr>
        <w:t xml:space="preserve">T.I. </w:t>
      </w:r>
      <w:r w:rsidRPr="00662C5B">
        <w:rPr>
          <w:i/>
          <w:iCs/>
        </w:rPr>
        <w:t>v. Canada</w:t>
      </w:r>
      <w:r w:rsidRPr="00BF68EE">
        <w:t xml:space="preserve">, decision adopted on 15 November 2010; No. 344/2008, </w:t>
      </w:r>
      <w:r w:rsidRPr="00BF68EE">
        <w:rPr>
          <w:i/>
        </w:rPr>
        <w:t xml:space="preserve">A.M.A. </w:t>
      </w:r>
      <w:r w:rsidRPr="00662C5B">
        <w:rPr>
          <w:i/>
        </w:rPr>
        <w:t>v.</w:t>
      </w:r>
      <w:r w:rsidRPr="00BF68EE">
        <w:rPr>
          <w:i/>
        </w:rPr>
        <w:t> Switzerland</w:t>
      </w:r>
      <w:r w:rsidRPr="00BF68EE">
        <w:t xml:space="preserve">, decision adopted on 12 November 2010; and No. 692/1996, </w:t>
      </w:r>
      <w:r w:rsidRPr="00BF68EE">
        <w:rPr>
          <w:i/>
          <w:iCs/>
        </w:rPr>
        <w:t>A.R.J. v. Australia</w:t>
      </w:r>
      <w:r w:rsidRPr="00662C5B">
        <w:t>,</w:t>
      </w:r>
      <w:r w:rsidRPr="00BF68EE">
        <w:rPr>
          <w:i/>
          <w:iCs/>
        </w:rPr>
        <w:t xml:space="preserve"> </w:t>
      </w:r>
      <w:r w:rsidRPr="00BF68EE">
        <w:t>Views adopted on 28</w:t>
      </w:r>
      <w:r>
        <w:t> </w:t>
      </w:r>
      <w:r w:rsidRPr="00BF68EE">
        <w:t>July 1997, para. 6.6. </w:t>
      </w:r>
    </w:p>
  </w:footnote>
  <w:footnote w:id="24">
    <w:p w14:paraId="10CB3F76" w14:textId="7A929588" w:rsidR="00662C5B" w:rsidRPr="00176E5E" w:rsidRDefault="00662C5B" w:rsidP="00662C5B">
      <w:pPr>
        <w:pStyle w:val="FootnoteText"/>
      </w:pPr>
      <w:r w:rsidRPr="00BF68EE">
        <w:tab/>
      </w:r>
      <w:r w:rsidRPr="00BF68EE">
        <w:rPr>
          <w:rStyle w:val="FootnoteReference"/>
          <w:sz w:val="20"/>
        </w:rPr>
        <w:footnoteRef/>
      </w:r>
      <w:r w:rsidRPr="00BF68EE">
        <w:tab/>
        <w:t xml:space="preserve">See, for example, communications No. 2007/2010, </w:t>
      </w:r>
      <w:r w:rsidRPr="00BF68EE">
        <w:rPr>
          <w:i/>
        </w:rPr>
        <w:t>X v. Denmark</w:t>
      </w:r>
      <w:r w:rsidRPr="00BF68EE">
        <w:t>, Views adopted on 26 March 2014, para. 9.2; and No. 1833/2008</w:t>
      </w:r>
      <w:r w:rsidRPr="00BF68EE">
        <w:rPr>
          <w:i/>
        </w:rPr>
        <w:t>, X. v. Sweden</w:t>
      </w:r>
      <w:r w:rsidRPr="00BF68EE">
        <w:t>, Views adopted on 1 November 2011, para. 5.18.</w:t>
      </w:r>
      <w:r w:rsidRPr="00176E5E">
        <w:t xml:space="preserve"> </w:t>
      </w:r>
    </w:p>
  </w:footnote>
  <w:footnote w:id="25">
    <w:p w14:paraId="604E3FA6" w14:textId="77777777" w:rsidR="00662C5B" w:rsidRPr="00D31B1D" w:rsidRDefault="00662C5B" w:rsidP="00662C5B">
      <w:pPr>
        <w:pStyle w:val="FootnoteText"/>
      </w:pPr>
      <w:r w:rsidRPr="00176E5E">
        <w:tab/>
      </w:r>
      <w:r w:rsidRPr="00D31B1D">
        <w:rPr>
          <w:rStyle w:val="FootnoteReference"/>
          <w:sz w:val="20"/>
        </w:rPr>
        <w:footnoteRef/>
      </w:r>
      <w:r w:rsidRPr="00D31B1D">
        <w:tab/>
      </w:r>
      <w:r w:rsidRPr="00D31B1D">
        <w:rPr>
          <w:iCs/>
        </w:rPr>
        <w:t>Ibid.</w:t>
      </w:r>
    </w:p>
  </w:footnote>
  <w:footnote w:id="26">
    <w:p w14:paraId="34EC9C78" w14:textId="1F420801" w:rsidR="00662C5B" w:rsidRPr="00D31B1D" w:rsidRDefault="00662C5B" w:rsidP="000A1B9F">
      <w:pPr>
        <w:pStyle w:val="FootnoteText"/>
      </w:pPr>
      <w:r w:rsidRPr="00D31B1D">
        <w:tab/>
      </w:r>
      <w:r w:rsidRPr="00D31B1D">
        <w:rPr>
          <w:rStyle w:val="FootnoteReference"/>
          <w:szCs w:val="18"/>
        </w:rPr>
        <w:footnoteRef/>
      </w:r>
      <w:r w:rsidRPr="00D31B1D">
        <w:tab/>
        <w:t xml:space="preserve">See communications No. 2007/2010, </w:t>
      </w:r>
      <w:r w:rsidRPr="00D31B1D">
        <w:rPr>
          <w:i/>
        </w:rPr>
        <w:t>X. v. Denmark</w:t>
      </w:r>
      <w:r w:rsidRPr="00D31B1D">
        <w:t>, Views adopted on 26 March 2014, para. 9.2; No.</w:t>
      </w:r>
      <w:r w:rsidRPr="00662C5B">
        <w:t> </w:t>
      </w:r>
      <w:r w:rsidRPr="00D31B1D">
        <w:t xml:space="preserve">2272/2013, </w:t>
      </w:r>
      <w:r w:rsidRPr="00D31B1D">
        <w:rPr>
          <w:i/>
        </w:rPr>
        <w:t>P.T. v. Denmark</w:t>
      </w:r>
      <w:r w:rsidRPr="00D31B1D">
        <w:t>, Views adopted on 1 April 2015, para. 7.3</w:t>
      </w:r>
      <w:r w:rsidRPr="00662C5B">
        <w:t>;</w:t>
      </w:r>
      <w:r w:rsidRPr="00D31B1D">
        <w:t xml:space="preserve"> No. 1833/2008</w:t>
      </w:r>
      <w:r w:rsidRPr="00D31B1D">
        <w:rPr>
          <w:i/>
        </w:rPr>
        <w:t>, X. v. Sweden</w:t>
      </w:r>
      <w:r w:rsidRPr="00D31B1D">
        <w:t xml:space="preserve">, Views adopted on 1 November 2011, para. 5.18; and No. 2347/2014, </w:t>
      </w:r>
      <w:r w:rsidRPr="00D31B1D">
        <w:rPr>
          <w:i/>
        </w:rPr>
        <w:t>K.G. v. Denmark</w:t>
      </w:r>
      <w:r w:rsidRPr="00D31B1D">
        <w:t xml:space="preserve">, Views adopted on 22 March 2016, para. 7.4. </w:t>
      </w:r>
    </w:p>
  </w:footnote>
  <w:footnote w:id="27">
    <w:p w14:paraId="743B8746" w14:textId="1D323FB9" w:rsidR="00662C5B" w:rsidRDefault="00662C5B" w:rsidP="00662C5B">
      <w:pPr>
        <w:pStyle w:val="FootnoteText"/>
      </w:pPr>
      <w:r w:rsidRPr="00D31B1D">
        <w:tab/>
      </w:r>
      <w:r w:rsidRPr="00D31B1D">
        <w:rPr>
          <w:rStyle w:val="FootnoteReference"/>
        </w:rPr>
        <w:footnoteRef/>
      </w:r>
      <w:r w:rsidRPr="00D31B1D">
        <w:tab/>
        <w:t xml:space="preserve">See communications No. 1763/2008, </w:t>
      </w:r>
      <w:r w:rsidRPr="00D31B1D">
        <w:rPr>
          <w:i/>
        </w:rPr>
        <w:t>Pillai et al.</w:t>
      </w:r>
      <w:r w:rsidRPr="00662C5B">
        <w:rPr>
          <w:i/>
        </w:rPr>
        <w:t xml:space="preserve"> v. </w:t>
      </w:r>
      <w:r w:rsidRPr="00D31B1D">
        <w:rPr>
          <w:i/>
        </w:rPr>
        <w:t>Canada</w:t>
      </w:r>
      <w:r w:rsidRPr="00D31B1D">
        <w:t>, Views adopted on 25 March 2011, para. 11.4; and No. 1957/2</w:t>
      </w:r>
      <w:r w:rsidRPr="0033018F">
        <w:t xml:space="preserve">010, </w:t>
      </w:r>
      <w:r>
        <w:rPr>
          <w:i/>
        </w:rPr>
        <w:t>Z.H.</w:t>
      </w:r>
      <w:r w:rsidRPr="0033018F">
        <w:rPr>
          <w:i/>
        </w:rPr>
        <w:t xml:space="preserve"> v. Australia</w:t>
      </w:r>
      <w:r w:rsidRPr="0033018F">
        <w:t>, Views</w:t>
      </w:r>
      <w:r w:rsidRPr="00D31B1D">
        <w:t xml:space="preserve"> adopted on 21 March 2013, para. 9.3.</w:t>
      </w:r>
    </w:p>
  </w:footnote>
  <w:footnote w:id="28">
    <w:p w14:paraId="2AC186E9" w14:textId="65236BE4" w:rsidR="00662C5B" w:rsidRPr="00D10B96" w:rsidRDefault="00662C5B" w:rsidP="00662C5B">
      <w:pPr>
        <w:pStyle w:val="FootnoteText"/>
      </w:pPr>
      <w:r>
        <w:tab/>
      </w:r>
      <w:r w:rsidRPr="00D10B96">
        <w:rPr>
          <w:rStyle w:val="FootnoteReference"/>
        </w:rPr>
        <w:footnoteRef/>
      </w:r>
      <w:r w:rsidRPr="00D10B96">
        <w:tab/>
        <w:t>See, for example, “UNHCR position on returns to southern and central Somalia” update 1, UNHCR, May 2016, para. 6.</w:t>
      </w:r>
    </w:p>
  </w:footnote>
  <w:footnote w:id="29">
    <w:p w14:paraId="5D61637F" w14:textId="1AEEE41F" w:rsidR="00662C5B" w:rsidRPr="00D10B96" w:rsidRDefault="00662C5B" w:rsidP="00662C5B">
      <w:pPr>
        <w:pStyle w:val="FootnoteText"/>
      </w:pPr>
      <w:r w:rsidRPr="00D10B96">
        <w:tab/>
      </w:r>
      <w:r w:rsidRPr="00D10B96">
        <w:rPr>
          <w:rStyle w:val="FootnoteReference"/>
        </w:rPr>
        <w:footnoteRef/>
      </w:r>
      <w:r w:rsidRPr="00D10B96">
        <w:tab/>
        <w:t xml:space="preserve">See communication No. 2347/2014, </w:t>
      </w:r>
      <w:r w:rsidRPr="00D10B96">
        <w:rPr>
          <w:i/>
        </w:rPr>
        <w:t>K.G. v. Denmark</w:t>
      </w:r>
      <w:r w:rsidRPr="00D10B96">
        <w:t>, Views adopted on 22 March 2016, para. 7.4.</w:t>
      </w:r>
    </w:p>
  </w:footnote>
  <w:footnote w:id="30">
    <w:p w14:paraId="7C32EA95" w14:textId="22B6087B" w:rsidR="00662C5B" w:rsidRPr="002D677A" w:rsidRDefault="00662C5B" w:rsidP="00662C5B">
      <w:pPr>
        <w:pStyle w:val="FootnoteText"/>
      </w:pPr>
      <w:r w:rsidRPr="00D10B96">
        <w:tab/>
      </w:r>
      <w:r w:rsidRPr="00D10B96">
        <w:rPr>
          <w:rStyle w:val="FootnoteReference"/>
        </w:rPr>
        <w:footnoteRef/>
      </w:r>
      <w:r w:rsidRPr="00D10B96">
        <w:tab/>
        <w:t>See the Committee’s general comment No. 31, para. 12. See also communication No. 2327/2014,</w:t>
      </w:r>
      <w:r w:rsidRPr="00D10B96">
        <w:br/>
      </w:r>
      <w:r w:rsidRPr="00D10B96">
        <w:rPr>
          <w:i/>
        </w:rPr>
        <w:t>Y v. Canada</w:t>
      </w:r>
      <w:r w:rsidRPr="00D10B96">
        <w:t>, Views adopted on 10 March 2016, para.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738C" w14:textId="14AA2ADB" w:rsidR="00662C5B" w:rsidRPr="0048396A" w:rsidRDefault="00662C5B" w:rsidP="00990482">
    <w:pPr>
      <w:pStyle w:val="Header"/>
      <w:rPr>
        <w:lang w:val="en-GB"/>
      </w:rPr>
    </w:pPr>
    <w:r>
      <w:t>CCPR/C</w:t>
    </w:r>
    <w:r>
      <w:rPr>
        <w:lang w:val="en-GB"/>
      </w:rPr>
      <w:t>/</w:t>
    </w:r>
    <w:r w:rsidRPr="003C0189">
      <w:rPr>
        <w:lang w:val="en-GB"/>
      </w:rPr>
      <w:t>117</w:t>
    </w:r>
    <w:r w:rsidRPr="003C0189">
      <w:t>/D/</w:t>
    </w:r>
    <w:r w:rsidRPr="003C0189">
      <w:rPr>
        <w:lang w:val="en-GB"/>
      </w:rPr>
      <w:t>2</w:t>
    </w:r>
    <w:r>
      <w:rPr>
        <w:lang w:val="en-GB"/>
      </w:rPr>
      <w:t>493</w:t>
    </w:r>
    <w:r w:rsidRPr="003C0189">
      <w:rPr>
        <w:lang w:val="en-GB"/>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71D24" w14:textId="5F3ACA7B" w:rsidR="00662C5B" w:rsidRPr="00165D99" w:rsidRDefault="00662C5B" w:rsidP="00990482">
    <w:pPr>
      <w:pStyle w:val="Header"/>
      <w:jc w:val="right"/>
      <w:rPr>
        <w:lang w:val="fr-CH"/>
      </w:rPr>
    </w:pPr>
    <w:r>
      <w:t>CCPR/C</w:t>
    </w:r>
    <w:r>
      <w:rPr>
        <w:lang w:val="fr-CH"/>
      </w:rPr>
      <w:t>/</w:t>
    </w:r>
    <w:r>
      <w:t>11</w:t>
    </w:r>
    <w:r>
      <w:rPr>
        <w:lang w:val="fr-CH"/>
      </w:rPr>
      <w:t>7</w:t>
    </w:r>
    <w:r>
      <w:t>/D/2</w:t>
    </w:r>
    <w:r>
      <w:rPr>
        <w:lang w:val="fr-CH"/>
      </w:rPr>
      <w:t>493</w:t>
    </w:r>
    <w:r>
      <w:t>/201</w:t>
    </w:r>
    <w:r>
      <w:rPr>
        <w:lang w:val="fr-CH"/>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6"/>
  </w:num>
  <w:num w:numId="3">
    <w:abstractNumId w:val="14"/>
  </w:num>
  <w:num w:numId="4">
    <w:abstractNumId w:val="6"/>
  </w:num>
  <w:num w:numId="5">
    <w:abstractNumId w:val="2"/>
  </w:num>
  <w:num w:numId="6">
    <w:abstractNumId w:val="7"/>
  </w:num>
  <w:num w:numId="7">
    <w:abstractNumId w:val="4"/>
  </w:num>
  <w:num w:numId="8">
    <w:abstractNumId w:val="10"/>
  </w:num>
  <w:num w:numId="9">
    <w:abstractNumId w:val="15"/>
  </w:num>
  <w:num w:numId="10">
    <w:abstractNumId w:val="19"/>
  </w:num>
  <w:num w:numId="11">
    <w:abstractNumId w:val="17"/>
  </w:num>
  <w:num w:numId="12">
    <w:abstractNumId w:val="3"/>
  </w:num>
  <w:num w:numId="13">
    <w:abstractNumId w:val="5"/>
  </w:num>
  <w:num w:numId="14">
    <w:abstractNumId w:val="9"/>
  </w:num>
  <w:num w:numId="15">
    <w:abstractNumId w:val="11"/>
  </w:num>
  <w:num w:numId="16">
    <w:abstractNumId w:val="8"/>
  </w:num>
  <w:num w:numId="17">
    <w:abstractNumId w:val="13"/>
  </w:num>
  <w:num w:numId="18">
    <w:abstractNumId w:val="18"/>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3F67"/>
    <w:rsid w:val="00004A51"/>
    <w:rsid w:val="00006497"/>
    <w:rsid w:val="00006DBA"/>
    <w:rsid w:val="000132C9"/>
    <w:rsid w:val="00020948"/>
    <w:rsid w:val="00020D6A"/>
    <w:rsid w:val="00021868"/>
    <w:rsid w:val="0002521B"/>
    <w:rsid w:val="00026118"/>
    <w:rsid w:val="000262B5"/>
    <w:rsid w:val="000266C9"/>
    <w:rsid w:val="0003657E"/>
    <w:rsid w:val="00046923"/>
    <w:rsid w:val="00046C3F"/>
    <w:rsid w:val="000476A4"/>
    <w:rsid w:val="00052E2D"/>
    <w:rsid w:val="00055767"/>
    <w:rsid w:val="00057047"/>
    <w:rsid w:val="0006053A"/>
    <w:rsid w:val="00062561"/>
    <w:rsid w:val="00070765"/>
    <w:rsid w:val="00075162"/>
    <w:rsid w:val="0008237B"/>
    <w:rsid w:val="00085CEC"/>
    <w:rsid w:val="00085F49"/>
    <w:rsid w:val="00087B44"/>
    <w:rsid w:val="0009070D"/>
    <w:rsid w:val="000917FC"/>
    <w:rsid w:val="0009411B"/>
    <w:rsid w:val="0009413D"/>
    <w:rsid w:val="0009509D"/>
    <w:rsid w:val="0009642B"/>
    <w:rsid w:val="000A1B9F"/>
    <w:rsid w:val="000A3048"/>
    <w:rsid w:val="000B3317"/>
    <w:rsid w:val="000B3643"/>
    <w:rsid w:val="000B4683"/>
    <w:rsid w:val="000B72D5"/>
    <w:rsid w:val="000B732C"/>
    <w:rsid w:val="000B77AE"/>
    <w:rsid w:val="000C1315"/>
    <w:rsid w:val="000C3918"/>
    <w:rsid w:val="000C5906"/>
    <w:rsid w:val="000D5D20"/>
    <w:rsid w:val="000D5DFE"/>
    <w:rsid w:val="000D77A2"/>
    <w:rsid w:val="000E2F50"/>
    <w:rsid w:val="000E3567"/>
    <w:rsid w:val="000F4224"/>
    <w:rsid w:val="000F47AC"/>
    <w:rsid w:val="000F52EB"/>
    <w:rsid w:val="000F7F04"/>
    <w:rsid w:val="00100EAE"/>
    <w:rsid w:val="00102A17"/>
    <w:rsid w:val="00103D03"/>
    <w:rsid w:val="00110AF2"/>
    <w:rsid w:val="00111A0E"/>
    <w:rsid w:val="00117300"/>
    <w:rsid w:val="00124EA5"/>
    <w:rsid w:val="00125006"/>
    <w:rsid w:val="00133661"/>
    <w:rsid w:val="00136BFA"/>
    <w:rsid w:val="001404D8"/>
    <w:rsid w:val="00141125"/>
    <w:rsid w:val="0014139A"/>
    <w:rsid w:val="00143033"/>
    <w:rsid w:val="00143A66"/>
    <w:rsid w:val="001448B2"/>
    <w:rsid w:val="00150259"/>
    <w:rsid w:val="00154CD4"/>
    <w:rsid w:val="001557F1"/>
    <w:rsid w:val="001627D5"/>
    <w:rsid w:val="00164379"/>
    <w:rsid w:val="00165D99"/>
    <w:rsid w:val="00173531"/>
    <w:rsid w:val="0017767A"/>
    <w:rsid w:val="00185E42"/>
    <w:rsid w:val="00186AE1"/>
    <w:rsid w:val="00192369"/>
    <w:rsid w:val="001923BA"/>
    <w:rsid w:val="001925AC"/>
    <w:rsid w:val="00194AD6"/>
    <w:rsid w:val="001A1869"/>
    <w:rsid w:val="001A271A"/>
    <w:rsid w:val="001A386B"/>
    <w:rsid w:val="001A50C4"/>
    <w:rsid w:val="001A68AA"/>
    <w:rsid w:val="001B3B67"/>
    <w:rsid w:val="001B4EAF"/>
    <w:rsid w:val="001B5A17"/>
    <w:rsid w:val="001C0322"/>
    <w:rsid w:val="001C352E"/>
    <w:rsid w:val="001D4510"/>
    <w:rsid w:val="001D7860"/>
    <w:rsid w:val="001E13CE"/>
    <w:rsid w:val="001E3FD5"/>
    <w:rsid w:val="001E696B"/>
    <w:rsid w:val="001F06D5"/>
    <w:rsid w:val="001F19CC"/>
    <w:rsid w:val="001F2052"/>
    <w:rsid w:val="001F68DA"/>
    <w:rsid w:val="001F7C7A"/>
    <w:rsid w:val="00207551"/>
    <w:rsid w:val="00207907"/>
    <w:rsid w:val="00212A64"/>
    <w:rsid w:val="00212B0E"/>
    <w:rsid w:val="002152E9"/>
    <w:rsid w:val="00215DFC"/>
    <w:rsid w:val="0021603C"/>
    <w:rsid w:val="00217907"/>
    <w:rsid w:val="00221DA9"/>
    <w:rsid w:val="0022335A"/>
    <w:rsid w:val="002329DC"/>
    <w:rsid w:val="00233C69"/>
    <w:rsid w:val="0024063F"/>
    <w:rsid w:val="00241BFE"/>
    <w:rsid w:val="00242D05"/>
    <w:rsid w:val="00244246"/>
    <w:rsid w:val="002471E5"/>
    <w:rsid w:val="00250A88"/>
    <w:rsid w:val="00250B6F"/>
    <w:rsid w:val="00251E7C"/>
    <w:rsid w:val="00256672"/>
    <w:rsid w:val="002572D4"/>
    <w:rsid w:val="00262E09"/>
    <w:rsid w:val="00265573"/>
    <w:rsid w:val="00265AB2"/>
    <w:rsid w:val="00265CAE"/>
    <w:rsid w:val="002716A2"/>
    <w:rsid w:val="0027527A"/>
    <w:rsid w:val="002758F0"/>
    <w:rsid w:val="00282E27"/>
    <w:rsid w:val="00291C3C"/>
    <w:rsid w:val="002944F8"/>
    <w:rsid w:val="002A1E31"/>
    <w:rsid w:val="002A30FB"/>
    <w:rsid w:val="002A3B33"/>
    <w:rsid w:val="002A524A"/>
    <w:rsid w:val="002B08F8"/>
    <w:rsid w:val="002C0ECB"/>
    <w:rsid w:val="002C1028"/>
    <w:rsid w:val="002C1E51"/>
    <w:rsid w:val="002C453A"/>
    <w:rsid w:val="002D2581"/>
    <w:rsid w:val="002E0EE0"/>
    <w:rsid w:val="002E6054"/>
    <w:rsid w:val="002F2BDE"/>
    <w:rsid w:val="002F51BD"/>
    <w:rsid w:val="00301EC2"/>
    <w:rsid w:val="00304570"/>
    <w:rsid w:val="00312008"/>
    <w:rsid w:val="0031229A"/>
    <w:rsid w:val="00314741"/>
    <w:rsid w:val="00316892"/>
    <w:rsid w:val="0032315E"/>
    <w:rsid w:val="00323A4B"/>
    <w:rsid w:val="00323B36"/>
    <w:rsid w:val="00325552"/>
    <w:rsid w:val="0033018F"/>
    <w:rsid w:val="003313A1"/>
    <w:rsid w:val="00333107"/>
    <w:rsid w:val="00340118"/>
    <w:rsid w:val="00353744"/>
    <w:rsid w:val="00355F02"/>
    <w:rsid w:val="00355F91"/>
    <w:rsid w:val="00356F4C"/>
    <w:rsid w:val="003579FC"/>
    <w:rsid w:val="00366CC4"/>
    <w:rsid w:val="003679D3"/>
    <w:rsid w:val="003744BB"/>
    <w:rsid w:val="00376DCF"/>
    <w:rsid w:val="003817E5"/>
    <w:rsid w:val="003839BA"/>
    <w:rsid w:val="003911AC"/>
    <w:rsid w:val="00395E27"/>
    <w:rsid w:val="003971E7"/>
    <w:rsid w:val="003A1572"/>
    <w:rsid w:val="003A22D0"/>
    <w:rsid w:val="003A3E81"/>
    <w:rsid w:val="003A4856"/>
    <w:rsid w:val="003A4EB1"/>
    <w:rsid w:val="003A7123"/>
    <w:rsid w:val="003A7AB6"/>
    <w:rsid w:val="003B241A"/>
    <w:rsid w:val="003B2BD3"/>
    <w:rsid w:val="003B41FE"/>
    <w:rsid w:val="003B7D19"/>
    <w:rsid w:val="003C0189"/>
    <w:rsid w:val="003C13C8"/>
    <w:rsid w:val="003C5158"/>
    <w:rsid w:val="003C65E1"/>
    <w:rsid w:val="003C75D0"/>
    <w:rsid w:val="003D1D58"/>
    <w:rsid w:val="003E0BCA"/>
    <w:rsid w:val="003E1C79"/>
    <w:rsid w:val="003E2300"/>
    <w:rsid w:val="003E31DC"/>
    <w:rsid w:val="003E3A96"/>
    <w:rsid w:val="003E6098"/>
    <w:rsid w:val="003F13B5"/>
    <w:rsid w:val="003F13DE"/>
    <w:rsid w:val="004041E5"/>
    <w:rsid w:val="004059BC"/>
    <w:rsid w:val="00412FB7"/>
    <w:rsid w:val="00414EA8"/>
    <w:rsid w:val="00423A63"/>
    <w:rsid w:val="00425FFB"/>
    <w:rsid w:val="0042601A"/>
    <w:rsid w:val="0042658E"/>
    <w:rsid w:val="004277A1"/>
    <w:rsid w:val="00430382"/>
    <w:rsid w:val="00431DEB"/>
    <w:rsid w:val="00433FAA"/>
    <w:rsid w:val="00436A61"/>
    <w:rsid w:val="004372E6"/>
    <w:rsid w:val="00453AB7"/>
    <w:rsid w:val="004548B6"/>
    <w:rsid w:val="0045495D"/>
    <w:rsid w:val="004619AE"/>
    <w:rsid w:val="00461E95"/>
    <w:rsid w:val="00467B37"/>
    <w:rsid w:val="00477123"/>
    <w:rsid w:val="00480409"/>
    <w:rsid w:val="0048396A"/>
    <w:rsid w:val="00484C9C"/>
    <w:rsid w:val="00486027"/>
    <w:rsid w:val="00486494"/>
    <w:rsid w:val="00486634"/>
    <w:rsid w:val="00490BDB"/>
    <w:rsid w:val="00496CFF"/>
    <w:rsid w:val="004A074D"/>
    <w:rsid w:val="004A34ED"/>
    <w:rsid w:val="004A54C9"/>
    <w:rsid w:val="004B34B4"/>
    <w:rsid w:val="004B4182"/>
    <w:rsid w:val="004B4215"/>
    <w:rsid w:val="004B4493"/>
    <w:rsid w:val="004C02AA"/>
    <w:rsid w:val="004C2695"/>
    <w:rsid w:val="004C433C"/>
    <w:rsid w:val="004C767F"/>
    <w:rsid w:val="004D0A83"/>
    <w:rsid w:val="004D0B44"/>
    <w:rsid w:val="004D2CCE"/>
    <w:rsid w:val="004D328D"/>
    <w:rsid w:val="004D3B91"/>
    <w:rsid w:val="004E16BA"/>
    <w:rsid w:val="004E3748"/>
    <w:rsid w:val="004E4174"/>
    <w:rsid w:val="004E482E"/>
    <w:rsid w:val="004F0BE7"/>
    <w:rsid w:val="004F1239"/>
    <w:rsid w:val="004F127B"/>
    <w:rsid w:val="004F5EA8"/>
    <w:rsid w:val="004F5F70"/>
    <w:rsid w:val="004F6F36"/>
    <w:rsid w:val="005007AA"/>
    <w:rsid w:val="00501E6D"/>
    <w:rsid w:val="005045C7"/>
    <w:rsid w:val="00504895"/>
    <w:rsid w:val="00507AC7"/>
    <w:rsid w:val="005103F4"/>
    <w:rsid w:val="005117BE"/>
    <w:rsid w:val="005137EB"/>
    <w:rsid w:val="00515B13"/>
    <w:rsid w:val="0051787C"/>
    <w:rsid w:val="00517E3A"/>
    <w:rsid w:val="0052390A"/>
    <w:rsid w:val="00523FAB"/>
    <w:rsid w:val="00526140"/>
    <w:rsid w:val="0052633D"/>
    <w:rsid w:val="0052756D"/>
    <w:rsid w:val="00535E4F"/>
    <w:rsid w:val="005367AF"/>
    <w:rsid w:val="00537367"/>
    <w:rsid w:val="00537B48"/>
    <w:rsid w:val="0054321D"/>
    <w:rsid w:val="00543DAD"/>
    <w:rsid w:val="00545E84"/>
    <w:rsid w:val="0056093D"/>
    <w:rsid w:val="00561A4C"/>
    <w:rsid w:val="0056323C"/>
    <w:rsid w:val="00563F64"/>
    <w:rsid w:val="00565CA9"/>
    <w:rsid w:val="0057141D"/>
    <w:rsid w:val="00571B8F"/>
    <w:rsid w:val="00573032"/>
    <w:rsid w:val="00573263"/>
    <w:rsid w:val="00580E42"/>
    <w:rsid w:val="00581055"/>
    <w:rsid w:val="005825B7"/>
    <w:rsid w:val="00582602"/>
    <w:rsid w:val="00583E35"/>
    <w:rsid w:val="00585439"/>
    <w:rsid w:val="0058610D"/>
    <w:rsid w:val="00590F31"/>
    <w:rsid w:val="00592112"/>
    <w:rsid w:val="005949C0"/>
    <w:rsid w:val="00594A10"/>
    <w:rsid w:val="0059707F"/>
    <w:rsid w:val="0059759A"/>
    <w:rsid w:val="005A017F"/>
    <w:rsid w:val="005A11C4"/>
    <w:rsid w:val="005A3AE9"/>
    <w:rsid w:val="005A3EF4"/>
    <w:rsid w:val="005A52EF"/>
    <w:rsid w:val="005A72D6"/>
    <w:rsid w:val="005B2E75"/>
    <w:rsid w:val="005B2F50"/>
    <w:rsid w:val="005B3AC5"/>
    <w:rsid w:val="005B61AC"/>
    <w:rsid w:val="005C0BF8"/>
    <w:rsid w:val="005D22C1"/>
    <w:rsid w:val="005D3876"/>
    <w:rsid w:val="005E2AD6"/>
    <w:rsid w:val="005E3FD7"/>
    <w:rsid w:val="005E7383"/>
    <w:rsid w:val="005F5053"/>
    <w:rsid w:val="005F5150"/>
    <w:rsid w:val="0060011B"/>
    <w:rsid w:val="00603126"/>
    <w:rsid w:val="0060382D"/>
    <w:rsid w:val="00605F74"/>
    <w:rsid w:val="006109EB"/>
    <w:rsid w:val="00610BEB"/>
    <w:rsid w:val="00614CAC"/>
    <w:rsid w:val="00616017"/>
    <w:rsid w:val="006168C0"/>
    <w:rsid w:val="00624188"/>
    <w:rsid w:val="006264E0"/>
    <w:rsid w:val="006402B8"/>
    <w:rsid w:val="00641E73"/>
    <w:rsid w:val="00643F09"/>
    <w:rsid w:val="00647966"/>
    <w:rsid w:val="0065120C"/>
    <w:rsid w:val="00654C72"/>
    <w:rsid w:val="006552E7"/>
    <w:rsid w:val="00656E59"/>
    <w:rsid w:val="006613FB"/>
    <w:rsid w:val="0066223F"/>
    <w:rsid w:val="0066265C"/>
    <w:rsid w:val="00662C5B"/>
    <w:rsid w:val="00663BF2"/>
    <w:rsid w:val="006657EE"/>
    <w:rsid w:val="00666C1E"/>
    <w:rsid w:val="00670533"/>
    <w:rsid w:val="00677831"/>
    <w:rsid w:val="00682F3B"/>
    <w:rsid w:val="006867D4"/>
    <w:rsid w:val="00686810"/>
    <w:rsid w:val="00686FB2"/>
    <w:rsid w:val="006913C5"/>
    <w:rsid w:val="006A37F5"/>
    <w:rsid w:val="006B1FE8"/>
    <w:rsid w:val="006B58DD"/>
    <w:rsid w:val="006C6EF4"/>
    <w:rsid w:val="006D0E9E"/>
    <w:rsid w:val="006D2BE8"/>
    <w:rsid w:val="006D4E72"/>
    <w:rsid w:val="006D579E"/>
    <w:rsid w:val="006D6577"/>
    <w:rsid w:val="006D7DC7"/>
    <w:rsid w:val="006E02CA"/>
    <w:rsid w:val="006E212B"/>
    <w:rsid w:val="006E2F15"/>
    <w:rsid w:val="006E3527"/>
    <w:rsid w:val="006E5CCE"/>
    <w:rsid w:val="006E6038"/>
    <w:rsid w:val="006E6371"/>
    <w:rsid w:val="006E7324"/>
    <w:rsid w:val="006F1005"/>
    <w:rsid w:val="006F26EB"/>
    <w:rsid w:val="006F3851"/>
    <w:rsid w:val="006F6800"/>
    <w:rsid w:val="00700260"/>
    <w:rsid w:val="00704E6A"/>
    <w:rsid w:val="0070677D"/>
    <w:rsid w:val="00721CE4"/>
    <w:rsid w:val="00722969"/>
    <w:rsid w:val="00730950"/>
    <w:rsid w:val="007328DD"/>
    <w:rsid w:val="00736CFE"/>
    <w:rsid w:val="00741126"/>
    <w:rsid w:val="0074519A"/>
    <w:rsid w:val="00746873"/>
    <w:rsid w:val="00761F3E"/>
    <w:rsid w:val="00762271"/>
    <w:rsid w:val="00762447"/>
    <w:rsid w:val="007630C8"/>
    <w:rsid w:val="007663C8"/>
    <w:rsid w:val="007679EF"/>
    <w:rsid w:val="00771905"/>
    <w:rsid w:val="00772706"/>
    <w:rsid w:val="007743AE"/>
    <w:rsid w:val="00776618"/>
    <w:rsid w:val="00781715"/>
    <w:rsid w:val="00797EF9"/>
    <w:rsid w:val="007A3434"/>
    <w:rsid w:val="007A3690"/>
    <w:rsid w:val="007A431A"/>
    <w:rsid w:val="007B0BFC"/>
    <w:rsid w:val="007D012A"/>
    <w:rsid w:val="007D5A7F"/>
    <w:rsid w:val="007E60DA"/>
    <w:rsid w:val="007E698F"/>
    <w:rsid w:val="007E7D26"/>
    <w:rsid w:val="007E7E2B"/>
    <w:rsid w:val="00802CB9"/>
    <w:rsid w:val="008039E7"/>
    <w:rsid w:val="00804155"/>
    <w:rsid w:val="0080512E"/>
    <w:rsid w:val="00805CF7"/>
    <w:rsid w:val="0080760C"/>
    <w:rsid w:val="008076C3"/>
    <w:rsid w:val="008116EC"/>
    <w:rsid w:val="00812813"/>
    <w:rsid w:val="008157F5"/>
    <w:rsid w:val="00817857"/>
    <w:rsid w:val="0082022D"/>
    <w:rsid w:val="008216A5"/>
    <w:rsid w:val="0082396B"/>
    <w:rsid w:val="008243FB"/>
    <w:rsid w:val="00826BAF"/>
    <w:rsid w:val="00834EE7"/>
    <w:rsid w:val="008401F5"/>
    <w:rsid w:val="00843242"/>
    <w:rsid w:val="00845FEF"/>
    <w:rsid w:val="00846AA8"/>
    <w:rsid w:val="008473BF"/>
    <w:rsid w:val="00850B7F"/>
    <w:rsid w:val="008514B0"/>
    <w:rsid w:val="00862ACF"/>
    <w:rsid w:val="00863CBB"/>
    <w:rsid w:val="008657DE"/>
    <w:rsid w:val="00886809"/>
    <w:rsid w:val="00896A7C"/>
    <w:rsid w:val="008A340E"/>
    <w:rsid w:val="008A38DD"/>
    <w:rsid w:val="008B0C36"/>
    <w:rsid w:val="008B2269"/>
    <w:rsid w:val="008B3DE6"/>
    <w:rsid w:val="008B707C"/>
    <w:rsid w:val="008B73C9"/>
    <w:rsid w:val="008B7695"/>
    <w:rsid w:val="008C1E24"/>
    <w:rsid w:val="008C289F"/>
    <w:rsid w:val="008C3B4F"/>
    <w:rsid w:val="008C6882"/>
    <w:rsid w:val="008C6F2C"/>
    <w:rsid w:val="008C7513"/>
    <w:rsid w:val="008E5331"/>
    <w:rsid w:val="008F238B"/>
    <w:rsid w:val="008F4C2B"/>
    <w:rsid w:val="008F6FD0"/>
    <w:rsid w:val="009113A8"/>
    <w:rsid w:val="00912EA0"/>
    <w:rsid w:val="0091300C"/>
    <w:rsid w:val="00915306"/>
    <w:rsid w:val="00924258"/>
    <w:rsid w:val="009264BA"/>
    <w:rsid w:val="00926C2C"/>
    <w:rsid w:val="00930710"/>
    <w:rsid w:val="00934EC9"/>
    <w:rsid w:val="0093661F"/>
    <w:rsid w:val="00936E30"/>
    <w:rsid w:val="009408B7"/>
    <w:rsid w:val="00943DB0"/>
    <w:rsid w:val="00946399"/>
    <w:rsid w:val="00950BB0"/>
    <w:rsid w:val="00954909"/>
    <w:rsid w:val="00955D3B"/>
    <w:rsid w:val="00961AE1"/>
    <w:rsid w:val="00961C8A"/>
    <w:rsid w:val="00961FE4"/>
    <w:rsid w:val="00964EB5"/>
    <w:rsid w:val="00974688"/>
    <w:rsid w:val="009764DF"/>
    <w:rsid w:val="00977C46"/>
    <w:rsid w:val="0098066E"/>
    <w:rsid w:val="009824A1"/>
    <w:rsid w:val="00982B4E"/>
    <w:rsid w:val="009867FB"/>
    <w:rsid w:val="00990482"/>
    <w:rsid w:val="009927A7"/>
    <w:rsid w:val="009A1299"/>
    <w:rsid w:val="009A13DE"/>
    <w:rsid w:val="009B335F"/>
    <w:rsid w:val="009B6FC3"/>
    <w:rsid w:val="009B7379"/>
    <w:rsid w:val="009C3382"/>
    <w:rsid w:val="009C6057"/>
    <w:rsid w:val="009C6FA8"/>
    <w:rsid w:val="009D269C"/>
    <w:rsid w:val="009D3F95"/>
    <w:rsid w:val="009D4DC6"/>
    <w:rsid w:val="009D5A64"/>
    <w:rsid w:val="009E2248"/>
    <w:rsid w:val="009E2D6D"/>
    <w:rsid w:val="009E2F4A"/>
    <w:rsid w:val="009E44BA"/>
    <w:rsid w:val="009E7450"/>
    <w:rsid w:val="009F3013"/>
    <w:rsid w:val="009F36AD"/>
    <w:rsid w:val="009F4992"/>
    <w:rsid w:val="009F5143"/>
    <w:rsid w:val="009F6743"/>
    <w:rsid w:val="00A00100"/>
    <w:rsid w:val="00A00D61"/>
    <w:rsid w:val="00A07CBD"/>
    <w:rsid w:val="00A10006"/>
    <w:rsid w:val="00A20B0E"/>
    <w:rsid w:val="00A236DB"/>
    <w:rsid w:val="00A263AB"/>
    <w:rsid w:val="00A265DE"/>
    <w:rsid w:val="00A26A1D"/>
    <w:rsid w:val="00A36457"/>
    <w:rsid w:val="00A415B3"/>
    <w:rsid w:val="00A44099"/>
    <w:rsid w:val="00A471DA"/>
    <w:rsid w:val="00A53A20"/>
    <w:rsid w:val="00A6033C"/>
    <w:rsid w:val="00A673EA"/>
    <w:rsid w:val="00A719CE"/>
    <w:rsid w:val="00A819DA"/>
    <w:rsid w:val="00A84A03"/>
    <w:rsid w:val="00A85EB2"/>
    <w:rsid w:val="00A91B68"/>
    <w:rsid w:val="00AA4017"/>
    <w:rsid w:val="00AA516F"/>
    <w:rsid w:val="00AA58BA"/>
    <w:rsid w:val="00AB2611"/>
    <w:rsid w:val="00AB26B8"/>
    <w:rsid w:val="00AB5A7B"/>
    <w:rsid w:val="00AB71AF"/>
    <w:rsid w:val="00AC0B27"/>
    <w:rsid w:val="00AC12D1"/>
    <w:rsid w:val="00AC1B27"/>
    <w:rsid w:val="00AC296F"/>
    <w:rsid w:val="00AC46A2"/>
    <w:rsid w:val="00AC4B87"/>
    <w:rsid w:val="00AD0AC9"/>
    <w:rsid w:val="00AD12FD"/>
    <w:rsid w:val="00AD5E72"/>
    <w:rsid w:val="00AD638B"/>
    <w:rsid w:val="00AE4060"/>
    <w:rsid w:val="00AE618D"/>
    <w:rsid w:val="00AF55F6"/>
    <w:rsid w:val="00B01FF2"/>
    <w:rsid w:val="00B04FE4"/>
    <w:rsid w:val="00B1028C"/>
    <w:rsid w:val="00B11CF9"/>
    <w:rsid w:val="00B14A09"/>
    <w:rsid w:val="00B230E4"/>
    <w:rsid w:val="00B23B52"/>
    <w:rsid w:val="00B2626A"/>
    <w:rsid w:val="00B2697A"/>
    <w:rsid w:val="00B362DF"/>
    <w:rsid w:val="00B40EB0"/>
    <w:rsid w:val="00B4194C"/>
    <w:rsid w:val="00B43658"/>
    <w:rsid w:val="00B453FE"/>
    <w:rsid w:val="00B45684"/>
    <w:rsid w:val="00B5049B"/>
    <w:rsid w:val="00B510E4"/>
    <w:rsid w:val="00B60EDE"/>
    <w:rsid w:val="00B64941"/>
    <w:rsid w:val="00B65DB6"/>
    <w:rsid w:val="00B65EDE"/>
    <w:rsid w:val="00B67981"/>
    <w:rsid w:val="00B702E8"/>
    <w:rsid w:val="00B71AD1"/>
    <w:rsid w:val="00B8667D"/>
    <w:rsid w:val="00B868E9"/>
    <w:rsid w:val="00B91481"/>
    <w:rsid w:val="00B933FA"/>
    <w:rsid w:val="00B94711"/>
    <w:rsid w:val="00B972D6"/>
    <w:rsid w:val="00BA532E"/>
    <w:rsid w:val="00BA5DD4"/>
    <w:rsid w:val="00BA7AD9"/>
    <w:rsid w:val="00BA7B86"/>
    <w:rsid w:val="00BB0C52"/>
    <w:rsid w:val="00BB3955"/>
    <w:rsid w:val="00BB4D56"/>
    <w:rsid w:val="00BB6BDD"/>
    <w:rsid w:val="00BC0E9F"/>
    <w:rsid w:val="00BC703F"/>
    <w:rsid w:val="00BD6081"/>
    <w:rsid w:val="00BD6142"/>
    <w:rsid w:val="00BE0EC5"/>
    <w:rsid w:val="00BF0883"/>
    <w:rsid w:val="00BF102D"/>
    <w:rsid w:val="00BF3B11"/>
    <w:rsid w:val="00BF68EE"/>
    <w:rsid w:val="00BF7461"/>
    <w:rsid w:val="00C0072E"/>
    <w:rsid w:val="00C077DA"/>
    <w:rsid w:val="00C122F9"/>
    <w:rsid w:val="00C169D0"/>
    <w:rsid w:val="00C20EC6"/>
    <w:rsid w:val="00C22CD5"/>
    <w:rsid w:val="00C22FF8"/>
    <w:rsid w:val="00C23BAC"/>
    <w:rsid w:val="00C256CF"/>
    <w:rsid w:val="00C3136A"/>
    <w:rsid w:val="00C32723"/>
    <w:rsid w:val="00C34FC0"/>
    <w:rsid w:val="00C35371"/>
    <w:rsid w:val="00C356E2"/>
    <w:rsid w:val="00C3798D"/>
    <w:rsid w:val="00C474CD"/>
    <w:rsid w:val="00C50401"/>
    <w:rsid w:val="00C5096E"/>
    <w:rsid w:val="00C50F4D"/>
    <w:rsid w:val="00C53238"/>
    <w:rsid w:val="00C552E8"/>
    <w:rsid w:val="00C618A7"/>
    <w:rsid w:val="00C63003"/>
    <w:rsid w:val="00C65E17"/>
    <w:rsid w:val="00C663AD"/>
    <w:rsid w:val="00C671B1"/>
    <w:rsid w:val="00C71108"/>
    <w:rsid w:val="00C714BF"/>
    <w:rsid w:val="00C734B4"/>
    <w:rsid w:val="00C76A65"/>
    <w:rsid w:val="00C77FF9"/>
    <w:rsid w:val="00C8367F"/>
    <w:rsid w:val="00C92AA6"/>
    <w:rsid w:val="00C94A09"/>
    <w:rsid w:val="00CA3982"/>
    <w:rsid w:val="00CA658B"/>
    <w:rsid w:val="00CA6AD3"/>
    <w:rsid w:val="00CA785F"/>
    <w:rsid w:val="00CB3F23"/>
    <w:rsid w:val="00CB68DE"/>
    <w:rsid w:val="00CC2EFC"/>
    <w:rsid w:val="00CC30A2"/>
    <w:rsid w:val="00CC5088"/>
    <w:rsid w:val="00CC67D4"/>
    <w:rsid w:val="00CD48F2"/>
    <w:rsid w:val="00CD54D7"/>
    <w:rsid w:val="00CD5AD6"/>
    <w:rsid w:val="00CD7A12"/>
    <w:rsid w:val="00CE31EA"/>
    <w:rsid w:val="00CE3ECA"/>
    <w:rsid w:val="00CE44AB"/>
    <w:rsid w:val="00CE7317"/>
    <w:rsid w:val="00CF0403"/>
    <w:rsid w:val="00CF22E2"/>
    <w:rsid w:val="00CF2552"/>
    <w:rsid w:val="00CF46E6"/>
    <w:rsid w:val="00CF51BA"/>
    <w:rsid w:val="00D003DA"/>
    <w:rsid w:val="00D003E7"/>
    <w:rsid w:val="00D00B03"/>
    <w:rsid w:val="00D02097"/>
    <w:rsid w:val="00D0475D"/>
    <w:rsid w:val="00D05060"/>
    <w:rsid w:val="00D05524"/>
    <w:rsid w:val="00D05C78"/>
    <w:rsid w:val="00D07E9B"/>
    <w:rsid w:val="00D10747"/>
    <w:rsid w:val="00D10B96"/>
    <w:rsid w:val="00D24BB8"/>
    <w:rsid w:val="00D273DE"/>
    <w:rsid w:val="00D31B1D"/>
    <w:rsid w:val="00D3442C"/>
    <w:rsid w:val="00D34D18"/>
    <w:rsid w:val="00D36C6C"/>
    <w:rsid w:val="00D3747B"/>
    <w:rsid w:val="00D41ECC"/>
    <w:rsid w:val="00D42C3A"/>
    <w:rsid w:val="00D472E2"/>
    <w:rsid w:val="00D51B50"/>
    <w:rsid w:val="00D54620"/>
    <w:rsid w:val="00D57E94"/>
    <w:rsid w:val="00D60DB9"/>
    <w:rsid w:val="00D64C11"/>
    <w:rsid w:val="00D64CC6"/>
    <w:rsid w:val="00D71C5E"/>
    <w:rsid w:val="00D71D21"/>
    <w:rsid w:val="00D74DE0"/>
    <w:rsid w:val="00D74FB4"/>
    <w:rsid w:val="00D7501F"/>
    <w:rsid w:val="00D8457A"/>
    <w:rsid w:val="00D85C57"/>
    <w:rsid w:val="00D906A4"/>
    <w:rsid w:val="00D909C6"/>
    <w:rsid w:val="00DA055A"/>
    <w:rsid w:val="00DB3D69"/>
    <w:rsid w:val="00DB4F1E"/>
    <w:rsid w:val="00DB65CC"/>
    <w:rsid w:val="00DB6700"/>
    <w:rsid w:val="00DC2AB9"/>
    <w:rsid w:val="00DC3044"/>
    <w:rsid w:val="00DC6E0B"/>
    <w:rsid w:val="00DE07BE"/>
    <w:rsid w:val="00DE30A7"/>
    <w:rsid w:val="00DE3C1D"/>
    <w:rsid w:val="00DE44B5"/>
    <w:rsid w:val="00DE53A9"/>
    <w:rsid w:val="00DE5FAB"/>
    <w:rsid w:val="00DF0873"/>
    <w:rsid w:val="00DF13E3"/>
    <w:rsid w:val="00DF1F05"/>
    <w:rsid w:val="00DF3A81"/>
    <w:rsid w:val="00DF674D"/>
    <w:rsid w:val="00DF7299"/>
    <w:rsid w:val="00E00CCC"/>
    <w:rsid w:val="00E1484D"/>
    <w:rsid w:val="00E17F31"/>
    <w:rsid w:val="00E2365D"/>
    <w:rsid w:val="00E24E14"/>
    <w:rsid w:val="00E30025"/>
    <w:rsid w:val="00E319B6"/>
    <w:rsid w:val="00E33FEE"/>
    <w:rsid w:val="00E36CD0"/>
    <w:rsid w:val="00E45624"/>
    <w:rsid w:val="00E46A66"/>
    <w:rsid w:val="00E50EDA"/>
    <w:rsid w:val="00E51F2C"/>
    <w:rsid w:val="00E51FCF"/>
    <w:rsid w:val="00E56437"/>
    <w:rsid w:val="00E60986"/>
    <w:rsid w:val="00E62767"/>
    <w:rsid w:val="00E64EDB"/>
    <w:rsid w:val="00E65C44"/>
    <w:rsid w:val="00E72894"/>
    <w:rsid w:val="00E763D0"/>
    <w:rsid w:val="00E846D0"/>
    <w:rsid w:val="00E85AF1"/>
    <w:rsid w:val="00E9244A"/>
    <w:rsid w:val="00E942EF"/>
    <w:rsid w:val="00E957DF"/>
    <w:rsid w:val="00E95BA7"/>
    <w:rsid w:val="00EA5028"/>
    <w:rsid w:val="00ED785F"/>
    <w:rsid w:val="00EE0164"/>
    <w:rsid w:val="00EE1074"/>
    <w:rsid w:val="00EE3CA4"/>
    <w:rsid w:val="00EF07E4"/>
    <w:rsid w:val="00EF3AC9"/>
    <w:rsid w:val="00F0080D"/>
    <w:rsid w:val="00F040FA"/>
    <w:rsid w:val="00F05F24"/>
    <w:rsid w:val="00F07D88"/>
    <w:rsid w:val="00F07DE1"/>
    <w:rsid w:val="00F2032A"/>
    <w:rsid w:val="00F2225C"/>
    <w:rsid w:val="00F24797"/>
    <w:rsid w:val="00F2549E"/>
    <w:rsid w:val="00F2688C"/>
    <w:rsid w:val="00F27673"/>
    <w:rsid w:val="00F309C0"/>
    <w:rsid w:val="00F3274D"/>
    <w:rsid w:val="00F40981"/>
    <w:rsid w:val="00F428B5"/>
    <w:rsid w:val="00F444DF"/>
    <w:rsid w:val="00F4470F"/>
    <w:rsid w:val="00F46ACC"/>
    <w:rsid w:val="00F53B4F"/>
    <w:rsid w:val="00F56219"/>
    <w:rsid w:val="00F572DD"/>
    <w:rsid w:val="00F65F03"/>
    <w:rsid w:val="00F71E63"/>
    <w:rsid w:val="00F73679"/>
    <w:rsid w:val="00F76406"/>
    <w:rsid w:val="00F850BD"/>
    <w:rsid w:val="00F85AFE"/>
    <w:rsid w:val="00F90D1A"/>
    <w:rsid w:val="00FA4926"/>
    <w:rsid w:val="00FA57A0"/>
    <w:rsid w:val="00FA5EB2"/>
    <w:rsid w:val="00FA7AC1"/>
    <w:rsid w:val="00FB0DE9"/>
    <w:rsid w:val="00FC0109"/>
    <w:rsid w:val="00FC2AB6"/>
    <w:rsid w:val="00FC783B"/>
    <w:rsid w:val="00FD3343"/>
    <w:rsid w:val="00FD5A03"/>
    <w:rsid w:val="00FD6A54"/>
    <w:rsid w:val="00FE4150"/>
    <w:rsid w:val="00FE73D3"/>
    <w:rsid w:val="00FF01DA"/>
    <w:rsid w:val="00FF367E"/>
    <w:rsid w:val="00FF37F4"/>
    <w:rsid w:val="00FF69F2"/>
    <w:rsid w:val="00FF73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11CD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F735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F735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t1">
    <w:name w:val="st1"/>
    <w:basedOn w:val="DefaultParagraphFont"/>
    <w:rsid w:val="00A00100"/>
  </w:style>
  <w:style w:type="character" w:customStyle="1" w:styleId="apple-converted-space">
    <w:name w:val="apple-converted-space"/>
    <w:rsid w:val="00467B37"/>
  </w:style>
  <w:style w:type="paragraph" w:styleId="NoSpacing">
    <w:name w:val="No Spacing"/>
    <w:uiPriority w:val="1"/>
    <w:qFormat/>
    <w:rsid w:val="00136BF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FF735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FF735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t1">
    <w:name w:val="st1"/>
    <w:basedOn w:val="DefaultParagraphFont"/>
    <w:rsid w:val="00A00100"/>
  </w:style>
  <w:style w:type="character" w:customStyle="1" w:styleId="apple-converted-space">
    <w:name w:val="apple-converted-space"/>
    <w:rsid w:val="00467B37"/>
  </w:style>
  <w:style w:type="paragraph" w:styleId="NoSpacing">
    <w:name w:val="No Spacing"/>
    <w:uiPriority w:val="1"/>
    <w:qFormat/>
    <w:rsid w:val="00136BF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78CC-8B81-4D7F-BFA2-1BA1F362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12</Pages>
  <Words>6656</Words>
  <Characters>33301</Characters>
  <Application>Microsoft Office Word</Application>
  <DocSecurity>0</DocSecurity>
  <Lines>497</Lines>
  <Paragraphs>70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1610162</vt:lpstr>
      <vt:lpstr>United Nations</vt:lpstr>
      <vt:lpstr>United Nations</vt:lpstr>
    </vt:vector>
  </TitlesOfParts>
  <Company>CSD</Company>
  <LinksUpToDate>false</LinksUpToDate>
  <CharactersWithSpaces>39933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1615477</dc:title>
  <dc:subject>CCPR/C/117/D/2493/2014</dc:subject>
  <dc:creator>Seeber</dc:creator>
  <cp:keywords/>
  <dc:description/>
  <cp:lastModifiedBy>Seeber</cp:lastModifiedBy>
  <cp:revision>2</cp:revision>
  <cp:lastPrinted>2016-04-18T13:51:00Z</cp:lastPrinted>
  <dcterms:created xsi:type="dcterms:W3CDTF">2016-09-07T11:11:00Z</dcterms:created>
  <dcterms:modified xsi:type="dcterms:W3CDTF">2016-09-07T11:11:00Z</dcterms:modified>
</cp:coreProperties>
</file>