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DE2F2B" w:rsidP="00B6553F">
            <w:pPr>
              <w:spacing w:after="80"/>
            </w:pPr>
            <w:bookmarkStart w:id="0" w:name="_GoBack"/>
            <w:bookmarkEnd w:id="0"/>
            <w:r>
              <w:t xml:space="preserve"> </w:t>
            </w: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B5E72" w:rsidP="00F15EB4">
            <w:pPr>
              <w:jc w:val="right"/>
            </w:pPr>
            <w:r w:rsidRPr="00CB5E72">
              <w:rPr>
                <w:sz w:val="40"/>
              </w:rPr>
              <w:t>CCPR</w:t>
            </w:r>
            <w:r w:rsidR="0084377C">
              <w:t>/C/110/D/1890</w:t>
            </w:r>
            <w:r>
              <w:t>/2009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C44A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CB5E72" w:rsidP="00CB5E72">
            <w:pPr>
              <w:spacing w:before="240" w:line="240" w:lineRule="exact"/>
            </w:pPr>
            <w:r>
              <w:t>Distr.:</w:t>
            </w:r>
            <w:r w:rsidR="00D445C1">
              <w:t xml:space="preserve"> </w:t>
            </w:r>
            <w:r w:rsidR="008E7020">
              <w:t>General</w:t>
            </w:r>
          </w:p>
          <w:p w:rsidR="00CB5E72" w:rsidRDefault="00524266" w:rsidP="00CB5E72">
            <w:pPr>
              <w:spacing w:line="240" w:lineRule="exact"/>
            </w:pPr>
            <w:r>
              <w:t>2</w:t>
            </w:r>
            <w:r w:rsidR="006D5268">
              <w:t>3</w:t>
            </w:r>
            <w:r>
              <w:t xml:space="preserve"> </w:t>
            </w:r>
            <w:r w:rsidR="00A008B2">
              <w:t>April</w:t>
            </w:r>
            <w:r w:rsidR="0084377C">
              <w:t xml:space="preserve"> 201</w:t>
            </w:r>
            <w:r w:rsidR="00C97DB5">
              <w:t>4</w:t>
            </w:r>
          </w:p>
          <w:p w:rsidR="00CB5E72" w:rsidRDefault="00CB5E72" w:rsidP="00CB5E72">
            <w:pPr>
              <w:spacing w:line="240" w:lineRule="exact"/>
            </w:pPr>
          </w:p>
          <w:p w:rsidR="00A008B2" w:rsidRDefault="00CB5E72" w:rsidP="00CB5E72">
            <w:pPr>
              <w:spacing w:line="240" w:lineRule="exact"/>
            </w:pPr>
            <w:r>
              <w:t>Original: English</w:t>
            </w:r>
          </w:p>
          <w:p w:rsidR="00A008B2" w:rsidRPr="00A008B2" w:rsidRDefault="00A008B2" w:rsidP="00CB5E72">
            <w:pPr>
              <w:spacing w:line="240" w:lineRule="exact"/>
              <w:rPr>
                <w:b/>
              </w:rPr>
            </w:pPr>
          </w:p>
        </w:tc>
      </w:tr>
    </w:tbl>
    <w:p w:rsidR="00CB5E72" w:rsidRPr="00CB5E72" w:rsidRDefault="00CB5E72" w:rsidP="00CB5E72">
      <w:pPr>
        <w:spacing w:before="120"/>
        <w:rPr>
          <w:b/>
          <w:lang w:eastAsia="zh-CN"/>
        </w:rPr>
      </w:pPr>
      <w:r w:rsidRPr="00CB5E72">
        <w:rPr>
          <w:b/>
          <w:sz w:val="24"/>
          <w:szCs w:val="24"/>
          <w:lang w:val="en-US" w:eastAsia="zh-CN"/>
        </w:rPr>
        <w:t>Human Rights Committee</w:t>
      </w:r>
    </w:p>
    <w:p w:rsidR="00CB5E72" w:rsidRPr="00CB5E72" w:rsidRDefault="0084377C" w:rsidP="00B12F0A">
      <w:pPr>
        <w:pStyle w:val="HChG"/>
        <w:rPr>
          <w:lang w:eastAsia="zh-CN"/>
        </w:rPr>
      </w:pPr>
      <w:r>
        <w:rPr>
          <w:lang w:eastAsia="zh-CN"/>
        </w:rPr>
        <w:tab/>
      </w:r>
      <w:r>
        <w:rPr>
          <w:lang w:eastAsia="zh-CN"/>
        </w:rPr>
        <w:tab/>
        <w:t>Communication No. 1890</w:t>
      </w:r>
      <w:r w:rsidR="00CB5E72" w:rsidRPr="00CB5E72">
        <w:rPr>
          <w:lang w:eastAsia="zh-CN"/>
        </w:rPr>
        <w:t>/2009</w:t>
      </w:r>
    </w:p>
    <w:p w:rsidR="00CB5E72" w:rsidRPr="00CB5E72" w:rsidRDefault="00CB5E72" w:rsidP="00D445C1">
      <w:pPr>
        <w:pStyle w:val="H1G"/>
        <w:rPr>
          <w:i/>
          <w:lang w:eastAsia="zh-CN"/>
        </w:rPr>
      </w:pPr>
      <w:r w:rsidRPr="00CB5E72">
        <w:rPr>
          <w:lang w:eastAsia="zh-CN"/>
        </w:rPr>
        <w:tab/>
      </w:r>
      <w:r w:rsidRPr="00CB5E72">
        <w:rPr>
          <w:lang w:eastAsia="zh-CN"/>
        </w:rPr>
        <w:tab/>
      </w:r>
      <w:r w:rsidR="003A2300">
        <w:t xml:space="preserve">Views adopted by the Committee at its 110th session </w:t>
      </w:r>
      <w:r w:rsidR="003A2300">
        <w:br/>
        <w:t>(10</w:t>
      </w:r>
      <w:r w:rsidR="00D445C1">
        <w:t>–</w:t>
      </w:r>
      <w:r w:rsidR="003A2300">
        <w:t>28 March 2014)</w:t>
      </w:r>
    </w:p>
    <w:p w:rsidR="00CB5E72" w:rsidRPr="00CB5E72" w:rsidRDefault="00CB5E72" w:rsidP="00173D08">
      <w:pPr>
        <w:pStyle w:val="SingleTxtG"/>
        <w:tabs>
          <w:tab w:val="left" w:pos="3969"/>
        </w:tabs>
        <w:ind w:left="3969" w:hanging="2835"/>
        <w:jc w:val="left"/>
        <w:rPr>
          <w:i/>
          <w:lang w:eastAsia="zh-CN"/>
        </w:rPr>
      </w:pPr>
      <w:r w:rsidRPr="00CB5E72">
        <w:rPr>
          <w:i/>
          <w:lang w:eastAsia="zh-CN"/>
        </w:rPr>
        <w:t>Submitted by:</w:t>
      </w:r>
      <w:r w:rsidRPr="00CB5E72">
        <w:rPr>
          <w:lang w:eastAsia="zh-CN"/>
        </w:rPr>
        <w:tab/>
      </w:r>
      <w:r w:rsidR="0084377C" w:rsidRPr="00173D08">
        <w:rPr>
          <w:lang w:eastAsia="zh-CN"/>
        </w:rPr>
        <w:t>Franck Kitenge</w:t>
      </w:r>
      <w:r w:rsidR="0084377C">
        <w:rPr>
          <w:lang w:eastAsia="zh-CN"/>
        </w:rPr>
        <w:t xml:space="preserve"> </w:t>
      </w:r>
      <w:r w:rsidR="00173D08" w:rsidRPr="00173D08">
        <w:rPr>
          <w:lang w:eastAsia="zh-CN"/>
        </w:rPr>
        <w:t>Baru</w:t>
      </w:r>
      <w:r w:rsidR="00173D08">
        <w:rPr>
          <w:lang w:eastAsia="zh-CN"/>
        </w:rPr>
        <w:t>a</w:t>
      </w:r>
      <w:r w:rsidR="00173D08" w:rsidRPr="00173D08">
        <w:rPr>
          <w:lang w:eastAsia="zh-CN"/>
        </w:rPr>
        <w:t xml:space="preserve">ni </w:t>
      </w:r>
      <w:r w:rsidR="0084377C">
        <w:rPr>
          <w:lang w:eastAsia="zh-CN"/>
        </w:rPr>
        <w:t>(represented by Anna Copeland, SCALES Community Legal Centre)</w:t>
      </w:r>
    </w:p>
    <w:p w:rsidR="00CB5E72" w:rsidRPr="00CB5E72" w:rsidRDefault="00CB5E72" w:rsidP="00B12F0A">
      <w:pPr>
        <w:pStyle w:val="SingleTxtG"/>
        <w:tabs>
          <w:tab w:val="left" w:pos="3969"/>
        </w:tabs>
        <w:ind w:left="3969" w:hanging="2835"/>
        <w:jc w:val="left"/>
        <w:rPr>
          <w:i/>
          <w:lang w:eastAsia="zh-CN"/>
        </w:rPr>
      </w:pPr>
      <w:r w:rsidRPr="00CB5E72">
        <w:rPr>
          <w:i/>
          <w:lang w:eastAsia="zh-CN"/>
        </w:rPr>
        <w:t>Alleged victim:</w:t>
      </w:r>
      <w:r w:rsidRPr="00CB5E72">
        <w:rPr>
          <w:lang w:eastAsia="zh-CN"/>
        </w:rPr>
        <w:tab/>
        <w:t>The author</w:t>
      </w:r>
    </w:p>
    <w:p w:rsidR="00CB5E72" w:rsidRPr="00CB5E72" w:rsidRDefault="00CB5E72" w:rsidP="00B12F0A">
      <w:pPr>
        <w:pStyle w:val="SingleTxtG"/>
        <w:tabs>
          <w:tab w:val="left" w:pos="3969"/>
        </w:tabs>
        <w:ind w:left="3969" w:hanging="2835"/>
        <w:jc w:val="left"/>
        <w:rPr>
          <w:i/>
          <w:lang w:eastAsia="zh-CN"/>
        </w:rPr>
      </w:pPr>
      <w:r w:rsidRPr="00CB5E72">
        <w:rPr>
          <w:i/>
          <w:lang w:eastAsia="zh-CN"/>
        </w:rPr>
        <w:t>State party:</w:t>
      </w:r>
      <w:r w:rsidR="0084377C">
        <w:rPr>
          <w:lang w:eastAsia="zh-CN"/>
        </w:rPr>
        <w:tab/>
      </w:r>
      <w:smartTag w:uri="urn:schemas-microsoft-com:office:smarttags" w:element="place">
        <w:smartTag w:uri="urn:schemas-microsoft-com:office:smarttags" w:element="country-region">
          <w:r w:rsidR="0084377C">
            <w:rPr>
              <w:lang w:eastAsia="zh-CN"/>
            </w:rPr>
            <w:t>Democratic Republic of</w:t>
          </w:r>
          <w:r w:rsidR="00D445C1">
            <w:rPr>
              <w:lang w:eastAsia="zh-CN"/>
            </w:rPr>
            <w:t xml:space="preserve"> the</w:t>
          </w:r>
          <w:r w:rsidR="0084377C">
            <w:rPr>
              <w:lang w:eastAsia="zh-CN"/>
            </w:rPr>
            <w:t xml:space="preserve"> Congo</w:t>
          </w:r>
        </w:smartTag>
      </w:smartTag>
    </w:p>
    <w:p w:rsidR="00CB5E72" w:rsidRPr="00CB5E72" w:rsidRDefault="00CB5E72" w:rsidP="00B12F0A">
      <w:pPr>
        <w:pStyle w:val="SingleTxtG"/>
        <w:tabs>
          <w:tab w:val="left" w:pos="3969"/>
        </w:tabs>
        <w:ind w:left="3969" w:hanging="2835"/>
        <w:jc w:val="left"/>
        <w:rPr>
          <w:i/>
          <w:lang w:eastAsia="zh-CN"/>
        </w:rPr>
      </w:pPr>
      <w:r w:rsidRPr="00CB5E72">
        <w:rPr>
          <w:i/>
          <w:lang w:eastAsia="zh-CN"/>
        </w:rPr>
        <w:t>Date of communication:</w:t>
      </w:r>
      <w:r w:rsidRPr="00CB5E72">
        <w:rPr>
          <w:lang w:eastAsia="zh-CN"/>
        </w:rPr>
        <w:tab/>
      </w:r>
      <w:r w:rsidR="0084377C">
        <w:rPr>
          <w:lang w:eastAsia="zh-CN"/>
        </w:rPr>
        <w:t>9 June</w:t>
      </w:r>
      <w:r w:rsidRPr="00CB5E72">
        <w:rPr>
          <w:lang w:eastAsia="zh-CN"/>
        </w:rPr>
        <w:t xml:space="preserve"> 2009 (initial submission)</w:t>
      </w:r>
    </w:p>
    <w:p w:rsidR="00CB5E72" w:rsidRPr="00CB5E72" w:rsidRDefault="00CB5E72" w:rsidP="00B12F0A">
      <w:pPr>
        <w:pStyle w:val="SingleTxtG"/>
        <w:tabs>
          <w:tab w:val="left" w:pos="3969"/>
        </w:tabs>
        <w:ind w:left="3969" w:hanging="2835"/>
        <w:jc w:val="left"/>
        <w:rPr>
          <w:i/>
          <w:lang w:eastAsia="zh-CN"/>
        </w:rPr>
      </w:pPr>
      <w:r w:rsidRPr="00CB5E72">
        <w:rPr>
          <w:i/>
          <w:lang w:eastAsia="zh-CN"/>
        </w:rPr>
        <w:t>Document references:</w:t>
      </w:r>
      <w:r w:rsidRPr="00CB5E72">
        <w:rPr>
          <w:lang w:eastAsia="zh-CN"/>
        </w:rPr>
        <w:tab/>
        <w:t xml:space="preserve">Special Rapporteur’s rule 97 decision, transmitted to the State party on </w:t>
      </w:r>
      <w:r w:rsidR="0084377C">
        <w:rPr>
          <w:lang w:eastAsia="zh-CN"/>
        </w:rPr>
        <w:t>3 August</w:t>
      </w:r>
      <w:r w:rsidRPr="00CB5E72">
        <w:rPr>
          <w:lang w:eastAsia="zh-CN"/>
        </w:rPr>
        <w:t xml:space="preserve"> 2009 (not issued in document form)</w:t>
      </w:r>
    </w:p>
    <w:p w:rsidR="00CB5E72" w:rsidRPr="00CB5E72" w:rsidRDefault="00CB5E72" w:rsidP="00B12F0A">
      <w:pPr>
        <w:pStyle w:val="SingleTxtG"/>
        <w:tabs>
          <w:tab w:val="left" w:pos="3969"/>
        </w:tabs>
        <w:ind w:left="3969" w:hanging="2835"/>
        <w:jc w:val="left"/>
        <w:rPr>
          <w:i/>
          <w:lang w:eastAsia="zh-CN"/>
        </w:rPr>
      </w:pPr>
      <w:r w:rsidRPr="00CB5E72">
        <w:rPr>
          <w:i/>
          <w:lang w:eastAsia="zh-CN"/>
        </w:rPr>
        <w:t xml:space="preserve">Date of adoption of </w:t>
      </w:r>
      <w:r w:rsidR="00C97DB5">
        <w:rPr>
          <w:i/>
          <w:lang w:eastAsia="zh-CN"/>
        </w:rPr>
        <w:t>Views</w:t>
      </w:r>
      <w:r w:rsidRPr="00CB5E72">
        <w:rPr>
          <w:i/>
          <w:lang w:eastAsia="zh-CN"/>
        </w:rPr>
        <w:t>:</w:t>
      </w:r>
      <w:r w:rsidRPr="00CB5E72">
        <w:rPr>
          <w:lang w:eastAsia="zh-CN"/>
        </w:rPr>
        <w:tab/>
      </w:r>
      <w:r w:rsidR="003A2300">
        <w:rPr>
          <w:lang w:eastAsia="zh-CN"/>
        </w:rPr>
        <w:t>27</w:t>
      </w:r>
      <w:r w:rsidR="003A2300" w:rsidRPr="00CB5E72">
        <w:rPr>
          <w:lang w:eastAsia="zh-CN"/>
        </w:rPr>
        <w:t xml:space="preserve"> </w:t>
      </w:r>
      <w:r w:rsidR="0084377C">
        <w:rPr>
          <w:lang w:eastAsia="zh-CN"/>
        </w:rPr>
        <w:t>March 2014</w:t>
      </w:r>
    </w:p>
    <w:p w:rsidR="00CB5E72" w:rsidRPr="009504E1" w:rsidRDefault="00CB5E72" w:rsidP="00AB3F0A">
      <w:pPr>
        <w:pStyle w:val="SingleTxtG"/>
        <w:tabs>
          <w:tab w:val="left" w:pos="3969"/>
        </w:tabs>
        <w:ind w:left="3969" w:hanging="2835"/>
        <w:jc w:val="left"/>
        <w:rPr>
          <w:lang w:eastAsia="zh-CN"/>
        </w:rPr>
      </w:pPr>
      <w:r w:rsidRPr="00CB5E72">
        <w:rPr>
          <w:i/>
          <w:lang w:eastAsia="zh-CN"/>
        </w:rPr>
        <w:t>Subject matter:</w:t>
      </w:r>
      <w:r w:rsidR="00DE2F2B">
        <w:rPr>
          <w:i/>
          <w:lang w:eastAsia="zh-CN"/>
        </w:rPr>
        <w:t xml:space="preserve"> </w:t>
      </w:r>
      <w:r w:rsidRPr="00CB5E72">
        <w:rPr>
          <w:i/>
          <w:lang w:eastAsia="zh-CN"/>
        </w:rPr>
        <w:tab/>
      </w:r>
      <w:r w:rsidR="009504E1">
        <w:rPr>
          <w:lang w:eastAsia="zh-CN"/>
        </w:rPr>
        <w:t>Arbitrary arrest and torture</w:t>
      </w:r>
      <w:r w:rsidR="008048ED">
        <w:rPr>
          <w:lang w:eastAsia="zh-CN"/>
        </w:rPr>
        <w:t>, being accused of spying for another country</w:t>
      </w:r>
      <w:r w:rsidR="00180038">
        <w:rPr>
          <w:lang w:eastAsia="zh-CN"/>
        </w:rPr>
        <w:t xml:space="preserve"> and wanting to overthrow the </w:t>
      </w:r>
      <w:r w:rsidR="00AB3F0A">
        <w:rPr>
          <w:lang w:eastAsia="zh-CN"/>
        </w:rPr>
        <w:t>G</w:t>
      </w:r>
      <w:r w:rsidR="00180038">
        <w:rPr>
          <w:lang w:eastAsia="zh-CN"/>
        </w:rPr>
        <w:t>overnment</w:t>
      </w:r>
    </w:p>
    <w:p w:rsidR="00CB5E72" w:rsidRPr="00CB5E72" w:rsidRDefault="00CB5E72" w:rsidP="00AB3F0A">
      <w:pPr>
        <w:pStyle w:val="SingleTxtG"/>
        <w:tabs>
          <w:tab w:val="left" w:pos="3969"/>
        </w:tabs>
        <w:ind w:left="3969" w:hanging="2835"/>
        <w:jc w:val="left"/>
        <w:rPr>
          <w:i/>
          <w:lang w:eastAsia="zh-CN"/>
        </w:rPr>
      </w:pPr>
      <w:r w:rsidRPr="00CB5E72">
        <w:rPr>
          <w:i/>
          <w:lang w:eastAsia="zh-CN"/>
        </w:rPr>
        <w:t>Substantive issues:</w:t>
      </w:r>
      <w:r w:rsidRPr="00CB5E72">
        <w:rPr>
          <w:i/>
          <w:lang w:eastAsia="zh-CN"/>
        </w:rPr>
        <w:tab/>
      </w:r>
      <w:r w:rsidR="00262D13" w:rsidRPr="00262D13">
        <w:rPr>
          <w:lang w:eastAsia="zh-CN"/>
        </w:rPr>
        <w:t xml:space="preserve">Torture or cruel, inhuman or degrading treatment or punishment; </w:t>
      </w:r>
      <w:r w:rsidR="00AB3F0A">
        <w:rPr>
          <w:lang w:eastAsia="zh-CN"/>
        </w:rPr>
        <w:t>a</w:t>
      </w:r>
      <w:r w:rsidR="008048ED" w:rsidRPr="00262D13">
        <w:rPr>
          <w:lang w:eastAsia="zh-CN"/>
        </w:rPr>
        <w:t xml:space="preserve">rbitrary arrest; </w:t>
      </w:r>
      <w:r w:rsidR="00AB3F0A">
        <w:rPr>
          <w:lang w:eastAsia="zh-CN"/>
        </w:rPr>
        <w:t>a</w:t>
      </w:r>
      <w:r w:rsidR="00262D13" w:rsidRPr="00262D13">
        <w:rPr>
          <w:lang w:eastAsia="zh-CN"/>
        </w:rPr>
        <w:t xml:space="preserve">rbitrary or unlawful interference with </w:t>
      </w:r>
      <w:r w:rsidR="009504E1">
        <w:rPr>
          <w:lang w:eastAsia="zh-CN"/>
        </w:rPr>
        <w:t xml:space="preserve">privacy, </w:t>
      </w:r>
      <w:r w:rsidR="00262D13" w:rsidRPr="00262D13">
        <w:rPr>
          <w:lang w:eastAsia="zh-CN"/>
        </w:rPr>
        <w:t xml:space="preserve">family </w:t>
      </w:r>
      <w:r w:rsidR="009504E1">
        <w:rPr>
          <w:lang w:eastAsia="zh-CN"/>
        </w:rPr>
        <w:t>or home</w:t>
      </w:r>
    </w:p>
    <w:p w:rsidR="00CB5E72" w:rsidRPr="009504E1" w:rsidRDefault="00CB5E72" w:rsidP="00B12F0A">
      <w:pPr>
        <w:pStyle w:val="SingleTxtG"/>
        <w:tabs>
          <w:tab w:val="left" w:pos="3969"/>
        </w:tabs>
        <w:ind w:left="3969" w:hanging="2835"/>
        <w:jc w:val="left"/>
        <w:rPr>
          <w:lang w:eastAsia="zh-CN"/>
        </w:rPr>
      </w:pPr>
      <w:r w:rsidRPr="00CB5E72">
        <w:rPr>
          <w:i/>
          <w:lang w:eastAsia="zh-CN"/>
        </w:rPr>
        <w:t>Procedural issue:</w:t>
      </w:r>
      <w:r w:rsidRPr="00CB5E72">
        <w:rPr>
          <w:i/>
          <w:lang w:eastAsia="zh-CN"/>
        </w:rPr>
        <w:tab/>
      </w:r>
      <w:r w:rsidR="00B12F0A">
        <w:rPr>
          <w:lang w:eastAsia="zh-CN"/>
        </w:rPr>
        <w:t>Exhaustion of domestic remedies</w:t>
      </w:r>
    </w:p>
    <w:p w:rsidR="00603676" w:rsidRDefault="001C44A0" w:rsidP="00B12F0A">
      <w:pPr>
        <w:pStyle w:val="SingleTxtG"/>
        <w:tabs>
          <w:tab w:val="left" w:pos="3969"/>
        </w:tabs>
        <w:ind w:left="3969" w:hanging="2835"/>
        <w:jc w:val="left"/>
        <w:rPr>
          <w:lang w:eastAsia="zh-CN"/>
        </w:rPr>
      </w:pPr>
      <w:r>
        <w:rPr>
          <w:i/>
          <w:noProof/>
          <w:lang w:val="en-US" w:eastAsia="ja-JP"/>
        </w:rPr>
        <w:pict>
          <v:shape id="_x0000_s1026" type="#_x0000_t75" style="position:absolute;left:0;text-align:left;margin-left:432.55pt;margin-top:623.6pt;width:50.25pt;height:50.25pt;z-index:1;mso-position-horizontal-relative:margin;mso-position-vertical-relative:margin" o:allowoverlap="f">
            <v:imagedata r:id="rId8" o:title="2009&amp;Size=2 &amp;Lang=E"/>
            <w10:wrap anchorx="margin" anchory="margin"/>
          </v:shape>
        </w:pict>
      </w:r>
      <w:r w:rsidR="00CB5E72" w:rsidRPr="00CB5E72">
        <w:rPr>
          <w:i/>
          <w:lang w:eastAsia="zh-CN"/>
        </w:rPr>
        <w:t>Articles of the Covenant:</w:t>
      </w:r>
      <w:r w:rsidR="00CB5E72" w:rsidRPr="00CB5E72">
        <w:rPr>
          <w:lang w:eastAsia="zh-CN"/>
        </w:rPr>
        <w:t xml:space="preserve"> </w:t>
      </w:r>
      <w:r w:rsidR="00CB5E72" w:rsidRPr="00CB5E72">
        <w:rPr>
          <w:lang w:eastAsia="zh-CN"/>
        </w:rPr>
        <w:tab/>
      </w:r>
      <w:r w:rsidR="00B12F0A">
        <w:rPr>
          <w:lang w:eastAsia="zh-CN"/>
        </w:rPr>
        <w:t>7; 9; 17</w:t>
      </w:r>
    </w:p>
    <w:p w:rsidR="00CB5E72" w:rsidRDefault="00CB5E72" w:rsidP="00B12F0A">
      <w:pPr>
        <w:pStyle w:val="SingleTxtG"/>
        <w:tabs>
          <w:tab w:val="left" w:pos="3969"/>
        </w:tabs>
        <w:ind w:left="3969" w:hanging="2835"/>
        <w:jc w:val="left"/>
        <w:rPr>
          <w:lang w:eastAsia="zh-CN"/>
        </w:rPr>
      </w:pPr>
      <w:r w:rsidRPr="00CB5E72">
        <w:rPr>
          <w:i/>
          <w:lang w:eastAsia="zh-CN"/>
        </w:rPr>
        <w:t xml:space="preserve">Article of the Optional Protocol: </w:t>
      </w:r>
      <w:r w:rsidRPr="00CB5E72">
        <w:rPr>
          <w:i/>
          <w:lang w:eastAsia="zh-CN"/>
        </w:rPr>
        <w:tab/>
      </w:r>
      <w:r w:rsidR="00B12F0A">
        <w:rPr>
          <w:lang w:eastAsia="zh-CN"/>
        </w:rPr>
        <w:t>5 (2 b)</w:t>
      </w:r>
    </w:p>
    <w:p w:rsidR="00CB5E72" w:rsidRPr="00CB5E72" w:rsidRDefault="00CB5E72" w:rsidP="006D5268">
      <w:pPr>
        <w:pStyle w:val="SingleTxtG"/>
        <w:jc w:val="center"/>
        <w:rPr>
          <w:lang w:eastAsia="zh-CN"/>
        </w:rPr>
      </w:pPr>
      <w:r w:rsidRPr="00CB5E72">
        <w:rPr>
          <w:lang w:eastAsia="zh-CN"/>
        </w:rPr>
        <w:t>[Annex]</w:t>
      </w:r>
    </w:p>
    <w:p w:rsidR="00CB5E72" w:rsidRPr="00CB5E72" w:rsidRDefault="00CB5E72" w:rsidP="00CB5E72">
      <w:pPr>
        <w:pStyle w:val="HChG"/>
        <w:rPr>
          <w:lang w:eastAsia="zh-CN"/>
        </w:rPr>
      </w:pPr>
      <w:r>
        <w:rPr>
          <w:lang w:eastAsia="zh-CN"/>
        </w:rPr>
        <w:br w:type="page"/>
      </w:r>
      <w:r w:rsidRPr="00CB5E72">
        <w:rPr>
          <w:lang w:eastAsia="zh-CN"/>
        </w:rPr>
        <w:lastRenderedPageBreak/>
        <w:t>Annex</w:t>
      </w:r>
    </w:p>
    <w:p w:rsidR="00CB5E72" w:rsidRPr="00CB5E72" w:rsidRDefault="00CB5E72" w:rsidP="00AB3F0A">
      <w:pPr>
        <w:pStyle w:val="HChG"/>
        <w:rPr>
          <w:lang w:eastAsia="zh-CN"/>
        </w:rPr>
      </w:pPr>
      <w:r w:rsidRPr="00CB5E72">
        <w:rPr>
          <w:lang w:eastAsia="zh-CN"/>
        </w:rPr>
        <w:tab/>
      </w:r>
      <w:r>
        <w:rPr>
          <w:lang w:eastAsia="zh-CN"/>
        </w:rPr>
        <w:tab/>
      </w:r>
      <w:r w:rsidR="00262D13">
        <w:rPr>
          <w:lang w:eastAsia="zh-CN"/>
        </w:rPr>
        <w:t xml:space="preserve">Views </w:t>
      </w:r>
      <w:r w:rsidRPr="00CB5E72">
        <w:rPr>
          <w:lang w:eastAsia="zh-CN"/>
        </w:rPr>
        <w:t>of the Human Rights Committee under the Optional Protocol to the International Covenant on</w:t>
      </w:r>
      <w:r w:rsidR="00262D13">
        <w:rPr>
          <w:lang w:eastAsia="zh-CN"/>
        </w:rPr>
        <w:t xml:space="preserve"> Civil </w:t>
      </w:r>
      <w:r w:rsidR="00CD136C">
        <w:rPr>
          <w:lang w:eastAsia="zh-CN"/>
        </w:rPr>
        <w:br/>
      </w:r>
      <w:r w:rsidR="00262D13">
        <w:rPr>
          <w:lang w:eastAsia="zh-CN"/>
        </w:rPr>
        <w:t>and Political Rights (110</w:t>
      </w:r>
      <w:r w:rsidR="00AB3F0A">
        <w:rPr>
          <w:lang w:eastAsia="zh-CN"/>
        </w:rPr>
        <w:t>th</w:t>
      </w:r>
      <w:r w:rsidRPr="00CB5E72">
        <w:rPr>
          <w:lang w:eastAsia="zh-CN"/>
        </w:rPr>
        <w:t xml:space="preserve"> session)</w:t>
      </w:r>
    </w:p>
    <w:p w:rsidR="00CB5E72" w:rsidRPr="00CB5E72" w:rsidRDefault="00CB5E72" w:rsidP="00CB5E72">
      <w:pPr>
        <w:pStyle w:val="SingleTxtG"/>
        <w:rPr>
          <w:lang w:eastAsia="zh-CN"/>
        </w:rPr>
      </w:pPr>
      <w:r w:rsidRPr="00CB5E72">
        <w:rPr>
          <w:lang w:eastAsia="zh-CN"/>
        </w:rPr>
        <w:t>concerning</w:t>
      </w:r>
    </w:p>
    <w:p w:rsidR="00CB5E72" w:rsidRPr="00CB5E72" w:rsidRDefault="00CB5E72" w:rsidP="00CB5E72">
      <w:pPr>
        <w:pStyle w:val="H1G"/>
        <w:rPr>
          <w:i/>
          <w:lang w:eastAsia="zh-CN"/>
        </w:rPr>
      </w:pPr>
      <w:r w:rsidRPr="00CB5E72">
        <w:rPr>
          <w:lang w:eastAsia="zh-CN"/>
        </w:rPr>
        <w:tab/>
      </w:r>
      <w:r>
        <w:rPr>
          <w:lang w:eastAsia="zh-CN"/>
        </w:rPr>
        <w:tab/>
      </w:r>
      <w:r w:rsidRPr="00CB5E72">
        <w:rPr>
          <w:lang w:eastAsia="zh-CN"/>
        </w:rPr>
        <w:t>Communication No</w:t>
      </w:r>
      <w:r w:rsidR="00262D13">
        <w:rPr>
          <w:lang w:eastAsia="zh-CN"/>
        </w:rPr>
        <w:t>. 1890</w:t>
      </w:r>
      <w:r w:rsidRPr="00CB5E72">
        <w:rPr>
          <w:lang w:eastAsia="zh-CN"/>
        </w:rPr>
        <w:t>/2009</w:t>
      </w:r>
      <w:r w:rsidR="00A008B2">
        <w:rPr>
          <w:rStyle w:val="FootnoteReference"/>
          <w:lang w:eastAsia="zh-CN"/>
        </w:rPr>
        <w:footnoteReference w:customMarkFollows="1" w:id="2"/>
        <w:t>*</w:t>
      </w:r>
    </w:p>
    <w:p w:rsidR="00CB5E72" w:rsidRPr="00CB5E72" w:rsidRDefault="00CB5E72" w:rsidP="00173D08">
      <w:pPr>
        <w:pStyle w:val="SingleTxtG"/>
        <w:ind w:left="3969" w:hanging="2835"/>
        <w:rPr>
          <w:i/>
          <w:lang w:eastAsia="zh-CN"/>
        </w:rPr>
      </w:pPr>
      <w:r w:rsidRPr="00CB5E72">
        <w:rPr>
          <w:i/>
          <w:lang w:eastAsia="zh-CN"/>
        </w:rPr>
        <w:t>Submitted by:</w:t>
      </w:r>
      <w:r w:rsidRPr="00CB5E72">
        <w:rPr>
          <w:lang w:eastAsia="zh-CN"/>
        </w:rPr>
        <w:tab/>
      </w:r>
      <w:r w:rsidR="00262D13" w:rsidRPr="00173D08">
        <w:rPr>
          <w:lang w:eastAsia="zh-CN"/>
        </w:rPr>
        <w:t>Franck Kitenge</w:t>
      </w:r>
      <w:r w:rsidR="00262D13">
        <w:rPr>
          <w:lang w:eastAsia="zh-CN"/>
        </w:rPr>
        <w:t xml:space="preserve"> </w:t>
      </w:r>
      <w:r w:rsidR="00173D08" w:rsidRPr="00173D08">
        <w:rPr>
          <w:lang w:eastAsia="zh-CN"/>
        </w:rPr>
        <w:t>Baru</w:t>
      </w:r>
      <w:r w:rsidR="00173D08">
        <w:rPr>
          <w:lang w:eastAsia="zh-CN"/>
        </w:rPr>
        <w:t>a</w:t>
      </w:r>
      <w:r w:rsidR="00173D08" w:rsidRPr="00173D08">
        <w:rPr>
          <w:lang w:eastAsia="zh-CN"/>
        </w:rPr>
        <w:t xml:space="preserve">ni </w:t>
      </w:r>
      <w:r w:rsidR="00262D13">
        <w:rPr>
          <w:lang w:eastAsia="zh-CN"/>
        </w:rPr>
        <w:t>(represented by Anna Copeland, SCALES Community Legal Centre)</w:t>
      </w:r>
    </w:p>
    <w:p w:rsidR="00CB5E72" w:rsidRPr="00CB5E72" w:rsidRDefault="00CB5E72" w:rsidP="00CD136C">
      <w:pPr>
        <w:pStyle w:val="SingleTxtG"/>
        <w:ind w:left="3969" w:hanging="2835"/>
        <w:rPr>
          <w:i/>
          <w:lang w:eastAsia="zh-CN"/>
        </w:rPr>
      </w:pPr>
      <w:r w:rsidRPr="00CB5E72">
        <w:rPr>
          <w:i/>
          <w:lang w:eastAsia="zh-CN"/>
        </w:rPr>
        <w:t>Alleged victim:</w:t>
      </w:r>
      <w:r w:rsidRPr="00CB5E72">
        <w:rPr>
          <w:lang w:eastAsia="zh-CN"/>
        </w:rPr>
        <w:tab/>
        <w:t>The author</w:t>
      </w:r>
    </w:p>
    <w:p w:rsidR="00CB5E72" w:rsidRPr="00CB5E72" w:rsidRDefault="00CB5E72" w:rsidP="00CD136C">
      <w:pPr>
        <w:pStyle w:val="SingleTxtG"/>
        <w:ind w:left="3969" w:hanging="2835"/>
        <w:rPr>
          <w:i/>
          <w:lang w:eastAsia="zh-CN"/>
        </w:rPr>
      </w:pPr>
      <w:r w:rsidRPr="00CB5E72">
        <w:rPr>
          <w:i/>
          <w:lang w:eastAsia="zh-CN"/>
        </w:rPr>
        <w:t>State party:</w:t>
      </w:r>
      <w:r w:rsidRPr="00CB5E72">
        <w:rPr>
          <w:lang w:eastAsia="zh-CN"/>
        </w:rPr>
        <w:tab/>
      </w:r>
      <w:smartTag w:uri="urn:schemas-microsoft-com:office:smarttags" w:element="place">
        <w:smartTag w:uri="urn:schemas-microsoft-com:office:smarttags" w:element="country-region">
          <w:r w:rsidR="00262D13">
            <w:rPr>
              <w:lang w:eastAsia="zh-CN"/>
            </w:rPr>
            <w:t xml:space="preserve">Democratic Republic of </w:t>
          </w:r>
          <w:r w:rsidR="00577A4B">
            <w:rPr>
              <w:lang w:eastAsia="zh-CN"/>
            </w:rPr>
            <w:t xml:space="preserve">the </w:t>
          </w:r>
          <w:r w:rsidR="00262D13">
            <w:rPr>
              <w:lang w:eastAsia="zh-CN"/>
            </w:rPr>
            <w:t>Congo</w:t>
          </w:r>
        </w:smartTag>
      </w:smartTag>
    </w:p>
    <w:p w:rsidR="00CB5E72" w:rsidRPr="00CB5E72" w:rsidRDefault="00CB5E72" w:rsidP="00CD136C">
      <w:pPr>
        <w:pStyle w:val="SingleTxtG"/>
        <w:ind w:left="3969" w:hanging="2835"/>
        <w:rPr>
          <w:i/>
          <w:lang w:eastAsia="zh-CN"/>
        </w:rPr>
      </w:pPr>
      <w:r w:rsidRPr="00CB5E72">
        <w:rPr>
          <w:i/>
          <w:lang w:eastAsia="zh-CN"/>
        </w:rPr>
        <w:t>Date of communication:</w:t>
      </w:r>
      <w:r w:rsidRPr="00CB5E72">
        <w:rPr>
          <w:lang w:eastAsia="zh-CN"/>
        </w:rPr>
        <w:tab/>
      </w:r>
      <w:r w:rsidR="00262D13">
        <w:rPr>
          <w:lang w:eastAsia="zh-CN"/>
        </w:rPr>
        <w:t>9 June 2009</w:t>
      </w:r>
      <w:r w:rsidRPr="00CB5E72">
        <w:rPr>
          <w:lang w:eastAsia="zh-CN"/>
        </w:rPr>
        <w:t xml:space="preserve"> (initial submission)</w:t>
      </w:r>
    </w:p>
    <w:p w:rsidR="00CB5E72" w:rsidRDefault="00CB5E72" w:rsidP="00CD136C">
      <w:pPr>
        <w:pStyle w:val="SingleTxtG"/>
        <w:spacing w:before="240"/>
        <w:rPr>
          <w:lang w:eastAsia="zh-CN"/>
        </w:rPr>
      </w:pPr>
      <w:r w:rsidRPr="00CB5E72">
        <w:rPr>
          <w:i/>
          <w:lang w:eastAsia="zh-CN"/>
        </w:rPr>
        <w:tab/>
        <w:t>The Human Rights Committee</w:t>
      </w:r>
      <w:r w:rsidRPr="00CB5E72">
        <w:rPr>
          <w:lang w:eastAsia="zh-CN"/>
        </w:rPr>
        <w:t>, established under article 28 of the International Covenant on Civil and Political Rights,</w:t>
      </w:r>
    </w:p>
    <w:p w:rsidR="00C97DB5" w:rsidRPr="008216A5" w:rsidRDefault="00C97DB5" w:rsidP="00173D08">
      <w:pPr>
        <w:pStyle w:val="SingleTxtG"/>
      </w:pPr>
      <w:r>
        <w:rPr>
          <w:i/>
          <w:lang w:eastAsia="zh-CN"/>
        </w:rPr>
        <w:tab/>
      </w:r>
      <w:r w:rsidRPr="008216A5">
        <w:rPr>
          <w:i/>
        </w:rPr>
        <w:t>Having concluded</w:t>
      </w:r>
      <w:r w:rsidRPr="008216A5">
        <w:t xml:space="preserve"> its consideration of communication No. 18</w:t>
      </w:r>
      <w:r>
        <w:t>90</w:t>
      </w:r>
      <w:r w:rsidRPr="008216A5">
        <w:t>/200</w:t>
      </w:r>
      <w:r>
        <w:t>9</w:t>
      </w:r>
      <w:r w:rsidRPr="008216A5">
        <w:t xml:space="preserve">, submitted to the Human Rights Committee </w:t>
      </w:r>
      <w:r>
        <w:t xml:space="preserve">on behalf of </w:t>
      </w:r>
      <w:r w:rsidRPr="00173D08">
        <w:t>Franck Kitenge</w:t>
      </w:r>
      <w:r>
        <w:t xml:space="preserve"> </w:t>
      </w:r>
      <w:r w:rsidR="00173D08" w:rsidRPr="00173D08">
        <w:t>Baru</w:t>
      </w:r>
      <w:r w:rsidR="00173D08">
        <w:t>a</w:t>
      </w:r>
      <w:r w:rsidR="00173D08" w:rsidRPr="00173D08">
        <w:t xml:space="preserve">ni </w:t>
      </w:r>
      <w:r w:rsidRPr="008216A5">
        <w:t>under the Optional Protocol to the International Covenant on Civil and Political Rights,</w:t>
      </w:r>
    </w:p>
    <w:p w:rsidR="00C97DB5" w:rsidRPr="00CB5E72" w:rsidRDefault="00C97DB5" w:rsidP="00B760B8">
      <w:pPr>
        <w:pStyle w:val="SingleTxtG"/>
      </w:pPr>
      <w:r w:rsidRPr="008216A5">
        <w:tab/>
      </w:r>
      <w:r w:rsidRPr="008216A5">
        <w:rPr>
          <w:i/>
        </w:rPr>
        <w:t>Having taken into account</w:t>
      </w:r>
      <w:r w:rsidRPr="008216A5">
        <w:t xml:space="preserve"> all written information made available to it by the author</w:t>
      </w:r>
      <w:r>
        <w:t xml:space="preserve"> </w:t>
      </w:r>
      <w:r w:rsidRPr="008216A5">
        <w:t>of the communication and the State party,</w:t>
      </w:r>
    </w:p>
    <w:p w:rsidR="00CB5E72" w:rsidRPr="00CB5E72" w:rsidRDefault="00CB5E72" w:rsidP="00CB5E72">
      <w:pPr>
        <w:pStyle w:val="SingleTxtG"/>
        <w:rPr>
          <w:lang w:eastAsia="zh-CN"/>
        </w:rPr>
      </w:pPr>
      <w:r w:rsidRPr="00CB5E72">
        <w:rPr>
          <w:lang w:eastAsia="zh-CN"/>
        </w:rPr>
        <w:tab/>
      </w:r>
      <w:r w:rsidRPr="00CB5E72">
        <w:rPr>
          <w:i/>
          <w:lang w:eastAsia="zh-CN"/>
        </w:rPr>
        <w:t>Meeting on</w:t>
      </w:r>
      <w:r w:rsidRPr="00CB5E72">
        <w:rPr>
          <w:lang w:eastAsia="zh-CN"/>
        </w:rPr>
        <w:t xml:space="preserve"> </w:t>
      </w:r>
      <w:r w:rsidR="003A2300">
        <w:rPr>
          <w:lang w:eastAsia="zh-CN"/>
        </w:rPr>
        <w:t>27</w:t>
      </w:r>
      <w:r w:rsidR="003A2300" w:rsidRPr="00CB5E72">
        <w:rPr>
          <w:lang w:eastAsia="zh-CN"/>
        </w:rPr>
        <w:t xml:space="preserve"> </w:t>
      </w:r>
      <w:r w:rsidR="00262D13">
        <w:rPr>
          <w:lang w:eastAsia="zh-CN"/>
        </w:rPr>
        <w:t>March 2014</w:t>
      </w:r>
      <w:r w:rsidRPr="00CB5E72">
        <w:rPr>
          <w:lang w:eastAsia="zh-CN"/>
        </w:rPr>
        <w:t>,</w:t>
      </w:r>
    </w:p>
    <w:p w:rsidR="00CB5E72" w:rsidRPr="00CB5E72" w:rsidRDefault="00CB5E72" w:rsidP="00CB5E72">
      <w:pPr>
        <w:pStyle w:val="SingleTxtG"/>
        <w:rPr>
          <w:lang w:eastAsia="zh-CN"/>
        </w:rPr>
      </w:pPr>
      <w:r w:rsidRPr="00CB5E72">
        <w:rPr>
          <w:lang w:eastAsia="zh-CN"/>
        </w:rPr>
        <w:tab/>
      </w:r>
      <w:r w:rsidRPr="00CB5E72">
        <w:rPr>
          <w:i/>
          <w:lang w:eastAsia="zh-CN"/>
        </w:rPr>
        <w:t>Adopts the following</w:t>
      </w:r>
      <w:r w:rsidRPr="00CB5E72">
        <w:rPr>
          <w:lang w:eastAsia="zh-CN"/>
        </w:rPr>
        <w:t>:</w:t>
      </w:r>
    </w:p>
    <w:p w:rsidR="00CB5E72" w:rsidRPr="00CB5E72" w:rsidRDefault="00CB5E72" w:rsidP="00C97DB5">
      <w:pPr>
        <w:pStyle w:val="H1G"/>
        <w:rPr>
          <w:lang w:eastAsia="zh-CN"/>
        </w:rPr>
      </w:pPr>
      <w:r>
        <w:rPr>
          <w:lang w:eastAsia="zh-CN"/>
        </w:rPr>
        <w:tab/>
      </w:r>
      <w:r>
        <w:rPr>
          <w:lang w:eastAsia="zh-CN"/>
        </w:rPr>
        <w:tab/>
      </w:r>
      <w:r w:rsidR="00262D13">
        <w:rPr>
          <w:lang w:eastAsia="zh-CN"/>
        </w:rPr>
        <w:t>Views under article 5, paragraph 4, of the Optional Protocol</w:t>
      </w:r>
    </w:p>
    <w:p w:rsidR="008E18E6" w:rsidRDefault="00E1106A" w:rsidP="00577A4B">
      <w:pPr>
        <w:pStyle w:val="SingleTxtG"/>
      </w:pPr>
      <w:r>
        <w:t>1.</w:t>
      </w:r>
      <w:r>
        <w:tab/>
      </w:r>
      <w:r w:rsidR="008E18E6">
        <w:t xml:space="preserve">The author </w:t>
      </w:r>
      <w:r>
        <w:t xml:space="preserve">of the communication </w:t>
      </w:r>
      <w:r w:rsidR="008E18E6">
        <w:t xml:space="preserve">is </w:t>
      </w:r>
      <w:r w:rsidR="008E18E6" w:rsidRPr="00173D08">
        <w:t>Franck Kitenge Baruani</w:t>
      </w:r>
      <w:r w:rsidR="008E18E6">
        <w:t xml:space="preserve">, a national </w:t>
      </w:r>
      <w:r>
        <w:t>of</w:t>
      </w:r>
      <w:r w:rsidR="008E18E6">
        <w:t xml:space="preserve"> the </w:t>
      </w:r>
      <w:smartTag w:uri="urn:schemas-microsoft-com:office:smarttags" w:element="country-region">
        <w:r w:rsidR="008E18E6">
          <w:t xml:space="preserve">Democratic Republic of </w:t>
        </w:r>
        <w:r w:rsidR="00577A4B">
          <w:t xml:space="preserve">the </w:t>
        </w:r>
        <w:r w:rsidR="008E18E6">
          <w:t>Congo</w:t>
        </w:r>
      </w:smartTag>
      <w:r w:rsidR="00FD4D0E">
        <w:t xml:space="preserve"> and </w:t>
      </w:r>
      <w:r w:rsidR="00577A4B">
        <w:t xml:space="preserve">a </w:t>
      </w:r>
      <w:r w:rsidR="00FD4D0E">
        <w:t xml:space="preserve">permanent resident of </w:t>
      </w:r>
      <w:smartTag w:uri="urn:schemas-microsoft-com:office:smarttags" w:element="place">
        <w:smartTag w:uri="urn:schemas-microsoft-com:office:smarttags" w:element="country-region">
          <w:r w:rsidR="00FD4D0E">
            <w:t>Australia</w:t>
          </w:r>
        </w:smartTag>
      </w:smartTag>
      <w:r w:rsidR="00FD4D0E">
        <w:t xml:space="preserve"> by virtue of a </w:t>
      </w:r>
      <w:r w:rsidR="00577A4B">
        <w:t>humanitarian visa</w:t>
      </w:r>
      <w:r>
        <w:t>. He was</w:t>
      </w:r>
      <w:r w:rsidR="008E18E6">
        <w:t xml:space="preserve"> born on 27 December 1972. He claims </w:t>
      </w:r>
      <w:r w:rsidR="00FD4D0E">
        <w:t xml:space="preserve">to be a victim </w:t>
      </w:r>
      <w:r w:rsidR="00BE711F">
        <w:t>of a violation of articles 7, 9</w:t>
      </w:r>
      <w:r w:rsidR="00FD4D0E">
        <w:t xml:space="preserve"> and </w:t>
      </w:r>
      <w:r w:rsidR="008E18E6">
        <w:t>17 of the I</w:t>
      </w:r>
      <w:r w:rsidR="00FD4D0E">
        <w:t>nternational Covenant on Civil and Political Rights</w:t>
      </w:r>
      <w:r w:rsidR="008E18E6">
        <w:t xml:space="preserve">. The </w:t>
      </w:r>
      <w:smartTag w:uri="urn:schemas-microsoft-com:office:smarttags" w:element="place">
        <w:smartTag w:uri="urn:schemas-microsoft-com:office:smarttags" w:element="country-region">
          <w:r w:rsidR="00FD4D0E">
            <w:t xml:space="preserve">Democratic Republic of </w:t>
          </w:r>
          <w:r w:rsidR="00577A4B">
            <w:t xml:space="preserve">the </w:t>
          </w:r>
          <w:r w:rsidR="00FD4D0E">
            <w:t>Congo</w:t>
          </w:r>
        </w:smartTag>
      </w:smartTag>
      <w:r w:rsidR="00FD4D0E">
        <w:t xml:space="preserve"> acceded to the </w:t>
      </w:r>
      <w:r w:rsidR="008E18E6">
        <w:t xml:space="preserve">Optional Protocol </w:t>
      </w:r>
      <w:r w:rsidR="00577A4B">
        <w:t xml:space="preserve">to the Covenant </w:t>
      </w:r>
      <w:r w:rsidR="008E18E6">
        <w:t xml:space="preserve">on 1 November 1976. </w:t>
      </w:r>
      <w:r w:rsidR="00827C93">
        <w:t>The author is r</w:t>
      </w:r>
      <w:r w:rsidR="008E18E6">
        <w:t>epresented by counsel</w:t>
      </w:r>
      <w:r w:rsidR="00827C93">
        <w:t>, Anna Copeland, SCALES Community Legal Centre</w:t>
      </w:r>
      <w:r w:rsidR="008E18E6">
        <w:t>.</w:t>
      </w:r>
    </w:p>
    <w:p w:rsidR="008E18E6" w:rsidRPr="00D906A6" w:rsidRDefault="00C97DB5" w:rsidP="00C97DB5">
      <w:pPr>
        <w:pStyle w:val="H23G"/>
      </w:pPr>
      <w:r>
        <w:lastRenderedPageBreak/>
        <w:tab/>
      </w:r>
      <w:r>
        <w:tab/>
      </w:r>
      <w:r w:rsidR="00D906A6" w:rsidRPr="00D906A6">
        <w:t>The facts as presented by the author</w:t>
      </w:r>
    </w:p>
    <w:p w:rsidR="008E18E6" w:rsidRDefault="00E1106A" w:rsidP="00524266">
      <w:pPr>
        <w:pStyle w:val="SingleTxtG"/>
      </w:pPr>
      <w:r>
        <w:t>2.1</w:t>
      </w:r>
      <w:r>
        <w:tab/>
      </w:r>
      <w:r w:rsidR="008E18E6">
        <w:t xml:space="preserve">The author was born in Bukavu, </w:t>
      </w:r>
      <w:r w:rsidR="00E664BC">
        <w:t>South</w:t>
      </w:r>
      <w:r w:rsidR="00577A4B">
        <w:t xml:space="preserve"> </w:t>
      </w:r>
      <w:r w:rsidR="008E18E6">
        <w:t xml:space="preserve">Kivu province in the </w:t>
      </w:r>
      <w:smartTag w:uri="urn:schemas-microsoft-com:office:smarttags" w:element="place">
        <w:smartTag w:uri="urn:schemas-microsoft-com:office:smarttags" w:element="country-region">
          <w:r w:rsidR="008E18E6">
            <w:t xml:space="preserve">Democratic </w:t>
          </w:r>
          <w:r w:rsidR="00E664BC">
            <w:t xml:space="preserve">Republic of </w:t>
          </w:r>
          <w:r w:rsidR="00577A4B">
            <w:t xml:space="preserve">the </w:t>
          </w:r>
          <w:r w:rsidR="00E664BC">
            <w:t>Congo</w:t>
          </w:r>
        </w:smartTag>
      </w:smartTag>
      <w:r w:rsidR="00577A4B">
        <w:t>.</w:t>
      </w:r>
      <w:r w:rsidR="00E664BC">
        <w:t xml:space="preserve"> In </w:t>
      </w:r>
      <w:r w:rsidR="007A5B65">
        <w:t xml:space="preserve">September </w:t>
      </w:r>
      <w:r w:rsidR="00E664BC">
        <w:t xml:space="preserve">1998, a group of rebels emerged under the banner of the </w:t>
      </w:r>
      <w:r>
        <w:t>Congolese</w:t>
      </w:r>
      <w:r w:rsidR="00E664BC">
        <w:t xml:space="preserve"> Rally for Democracy (Rassemblement </w:t>
      </w:r>
      <w:r w:rsidR="00BD515C">
        <w:t>c</w:t>
      </w:r>
      <w:r w:rsidR="00E664BC">
        <w:t xml:space="preserve">ongolais pour la </w:t>
      </w:r>
      <w:r w:rsidR="00BD515C">
        <w:t>d</w:t>
      </w:r>
      <w:r w:rsidR="00ED1D35">
        <w:t>émocratie</w:t>
      </w:r>
      <w:r w:rsidR="00577A4B">
        <w:t>)</w:t>
      </w:r>
      <w:r w:rsidR="00ED1D35">
        <w:t xml:space="preserve"> in opposition to the</w:t>
      </w:r>
      <w:r w:rsidR="001279E4">
        <w:t xml:space="preserve"> </w:t>
      </w:r>
      <w:r w:rsidR="00E948F1">
        <w:t>G</w:t>
      </w:r>
      <w:r w:rsidR="001279E4">
        <w:t>overnment</w:t>
      </w:r>
      <w:r w:rsidR="00E664BC">
        <w:t xml:space="preserve"> of Laurent Kabila</w:t>
      </w:r>
      <w:r w:rsidR="007A5B65">
        <w:t xml:space="preserve"> and </w:t>
      </w:r>
      <w:r w:rsidR="00CA23BC">
        <w:t xml:space="preserve">allegedly </w:t>
      </w:r>
      <w:r w:rsidR="007A5B65">
        <w:t>supported by Rwandan forces</w:t>
      </w:r>
      <w:r w:rsidR="00E664BC">
        <w:t xml:space="preserve">. The </w:t>
      </w:r>
      <w:r w:rsidR="00577A4B">
        <w:t xml:space="preserve">Rally for Democracy </w:t>
      </w:r>
      <w:r w:rsidR="00E664BC">
        <w:t>was recruitin</w:t>
      </w:r>
      <w:r w:rsidR="007A5B65">
        <w:t xml:space="preserve">g men from North and </w:t>
      </w:r>
      <w:smartTag w:uri="urn:schemas-microsoft-com:office:smarttags" w:element="place">
        <w:r w:rsidR="007A5B65">
          <w:t>South Kivu</w:t>
        </w:r>
      </w:smartTag>
      <w:r w:rsidR="00BD515C">
        <w:t xml:space="preserve"> by force</w:t>
      </w:r>
      <w:r w:rsidR="007A5B65">
        <w:t xml:space="preserve">. </w:t>
      </w:r>
      <w:r w:rsidR="00CA23BC">
        <w:t>In September 1998, the author was forc</w:t>
      </w:r>
      <w:r w:rsidR="00577A4B">
        <w:t>ibly</w:t>
      </w:r>
      <w:r w:rsidR="00CA23BC">
        <w:t xml:space="preserve"> removed from </w:t>
      </w:r>
      <w:r w:rsidR="001279E4">
        <w:t xml:space="preserve">the </w:t>
      </w:r>
      <w:r w:rsidR="00CA23BC">
        <w:t xml:space="preserve">university campus, </w:t>
      </w:r>
      <w:r w:rsidR="007A5B65">
        <w:t xml:space="preserve">detained </w:t>
      </w:r>
      <w:r w:rsidR="00CA23BC">
        <w:t xml:space="preserve">by the </w:t>
      </w:r>
      <w:r w:rsidR="00577A4B">
        <w:t>Rally</w:t>
      </w:r>
      <w:r w:rsidR="00E948F1">
        <w:t xml:space="preserve"> for Democracy</w:t>
      </w:r>
      <w:r w:rsidR="00577A4B">
        <w:t xml:space="preserve"> </w:t>
      </w:r>
      <w:r w:rsidR="007A5B65">
        <w:t>for two nights in Bukavu</w:t>
      </w:r>
      <w:r w:rsidR="00577A4B">
        <w:t>,</w:t>
      </w:r>
      <w:r w:rsidR="00CA23BC">
        <w:t xml:space="preserve"> together with 20 other students</w:t>
      </w:r>
      <w:r w:rsidR="00577A4B">
        <w:t>,</w:t>
      </w:r>
      <w:r w:rsidR="007A5B65">
        <w:t xml:space="preserve"> and then taken </w:t>
      </w:r>
      <w:r w:rsidR="00CA23BC">
        <w:t xml:space="preserve">on a bus </w:t>
      </w:r>
      <w:r w:rsidR="007A5B65">
        <w:t xml:space="preserve">to Gabiro in </w:t>
      </w:r>
      <w:smartTag w:uri="urn:schemas-microsoft-com:office:smarttags" w:element="place">
        <w:smartTag w:uri="urn:schemas-microsoft-com:office:smarttags" w:element="country-region">
          <w:r w:rsidR="007A5B65">
            <w:t>Rwanda</w:t>
          </w:r>
        </w:smartTag>
      </w:smartTag>
      <w:r w:rsidR="00CA23BC">
        <w:t>, where he was held in a camp</w:t>
      </w:r>
      <w:r w:rsidR="00E664BC">
        <w:t xml:space="preserve">. </w:t>
      </w:r>
      <w:r w:rsidR="007A5B65">
        <w:t>During this time, his c</w:t>
      </w:r>
      <w:r w:rsidR="00927B6B">
        <w:t xml:space="preserve">aptors tried to recruit him </w:t>
      </w:r>
      <w:r w:rsidR="007A5B65">
        <w:t xml:space="preserve">to </w:t>
      </w:r>
      <w:r w:rsidR="00CA23BC">
        <w:t xml:space="preserve">support them in their plan to </w:t>
      </w:r>
      <w:r w:rsidR="007A5B65">
        <w:t>overthrow Laurent Kabila. After 10 months</w:t>
      </w:r>
      <w:r w:rsidR="003F6FB0">
        <w:t xml:space="preserve"> in </w:t>
      </w:r>
      <w:smartTag w:uri="urn:schemas-microsoft-com:office:smarttags" w:element="country-region">
        <w:r w:rsidR="003F6FB0">
          <w:t>Rwanda</w:t>
        </w:r>
      </w:smartTag>
      <w:r w:rsidR="007A5B65">
        <w:t xml:space="preserve">, he was </w:t>
      </w:r>
      <w:r w:rsidR="003F6FB0">
        <w:t xml:space="preserve">returned </w:t>
      </w:r>
      <w:r w:rsidR="007A5B65">
        <w:t xml:space="preserve">to the headquarters of the </w:t>
      </w:r>
      <w:r w:rsidR="00577A4B">
        <w:t xml:space="preserve">Rally for Democracy </w:t>
      </w:r>
      <w:r w:rsidR="007A5B65">
        <w:t xml:space="preserve">in </w:t>
      </w:r>
      <w:smartTag w:uri="urn:schemas-microsoft-com:office:smarttags" w:element="place">
        <w:smartTag w:uri="urn:schemas-microsoft-com:office:smarttags" w:element="City">
          <w:r w:rsidR="003F6FB0">
            <w:t>Goma</w:t>
          </w:r>
        </w:smartTag>
        <w:r w:rsidR="00A20097">
          <w:t xml:space="preserve">, </w:t>
        </w:r>
        <w:smartTag w:uri="urn:schemas-microsoft-com:office:smarttags" w:element="country-region">
          <w:r w:rsidR="00577A4B">
            <w:t>Democratic Republic of the Congo</w:t>
          </w:r>
        </w:smartTag>
      </w:smartTag>
      <w:r w:rsidR="00577A4B">
        <w:t>,</w:t>
      </w:r>
      <w:r w:rsidR="007A5B65">
        <w:t xml:space="preserve"> where he was supposed to work for the </w:t>
      </w:r>
      <w:r w:rsidR="00577A4B">
        <w:t xml:space="preserve">Rally for Democracy </w:t>
      </w:r>
      <w:r w:rsidR="007A5B65">
        <w:t xml:space="preserve">movement. </w:t>
      </w:r>
      <w:r w:rsidR="00524266">
        <w:t xml:space="preserve">However, </w:t>
      </w:r>
      <w:r w:rsidR="000F5232">
        <w:t>he</w:t>
      </w:r>
      <w:r w:rsidR="007A5B65">
        <w:t xml:space="preserve"> managed to escape and returned to Bukavu. </w:t>
      </w:r>
      <w:r w:rsidR="00577A4B">
        <w:t>F</w:t>
      </w:r>
      <w:r w:rsidR="007A5B65">
        <w:t xml:space="preserve">earing for his life, </w:t>
      </w:r>
      <w:r w:rsidR="00BD515C">
        <w:t>he</w:t>
      </w:r>
      <w:r w:rsidR="007A5B65">
        <w:t xml:space="preserve"> </w:t>
      </w:r>
      <w:r w:rsidR="00577A4B">
        <w:t xml:space="preserve">then </w:t>
      </w:r>
      <w:r w:rsidR="007A5B65">
        <w:t xml:space="preserve">decided to move to </w:t>
      </w:r>
      <w:smartTag w:uri="urn:schemas-microsoft-com:office:smarttags" w:element="City">
        <w:r w:rsidR="007A5B65">
          <w:t>Lubumbashi</w:t>
        </w:r>
      </w:smartTag>
      <w:r w:rsidR="007A5B65">
        <w:t xml:space="preserve">, </w:t>
      </w:r>
      <w:smartTag w:uri="urn:schemas-microsoft-com:office:smarttags" w:element="PlaceType">
        <w:r w:rsidR="007A5B65">
          <w:t>province</w:t>
        </w:r>
      </w:smartTag>
      <w:r w:rsidR="007A5B65">
        <w:t xml:space="preserve"> of </w:t>
      </w:r>
      <w:smartTag w:uri="urn:schemas-microsoft-com:office:smarttags" w:element="PlaceName">
        <w:r w:rsidR="007A5B65">
          <w:t>Katanga</w:t>
        </w:r>
      </w:smartTag>
      <w:r w:rsidR="00BD515C">
        <w:t xml:space="preserve">, </w:t>
      </w:r>
      <w:smartTag w:uri="urn:schemas-microsoft-com:office:smarttags" w:element="place">
        <w:smartTag w:uri="urn:schemas-microsoft-com:office:smarttags" w:element="country-region">
          <w:r w:rsidR="00BD515C">
            <w:t>Democratic Republic of the Congo</w:t>
          </w:r>
        </w:smartTag>
      </w:smartTag>
      <w:r w:rsidR="007A5B65">
        <w:t>.</w:t>
      </w:r>
      <w:r w:rsidR="005B1A06">
        <w:t xml:space="preserve"> In </w:t>
      </w:r>
      <w:smartTag w:uri="urn:schemas-microsoft-com:office:smarttags" w:element="place">
        <w:smartTag w:uri="urn:schemas-microsoft-com:office:smarttags" w:element="City">
          <w:r w:rsidR="005B1A06">
            <w:t>Lubumbashi</w:t>
          </w:r>
        </w:smartTag>
      </w:smartTag>
      <w:r w:rsidR="005B1A06">
        <w:t xml:space="preserve">, </w:t>
      </w:r>
      <w:r w:rsidR="00BD515C">
        <w:t>he</w:t>
      </w:r>
      <w:r w:rsidR="005B1A06">
        <w:t xml:space="preserve"> received a certificate issued by the national intelligence service attesting that he was an internally displaced person.</w:t>
      </w:r>
      <w:r w:rsidR="00DE2F2B">
        <w:t xml:space="preserve"> </w:t>
      </w:r>
    </w:p>
    <w:p w:rsidR="008E18E6" w:rsidRDefault="00A20097" w:rsidP="000F5232">
      <w:pPr>
        <w:pStyle w:val="SingleTxtG"/>
      </w:pPr>
      <w:r>
        <w:t>2.2</w:t>
      </w:r>
      <w:r>
        <w:tab/>
      </w:r>
      <w:r w:rsidR="00B735CD">
        <w:t>On 16 April 2002</w:t>
      </w:r>
      <w:r w:rsidR="008E18E6">
        <w:t xml:space="preserve">, </w:t>
      </w:r>
      <w:r w:rsidR="00BE711F">
        <w:t xml:space="preserve">while </w:t>
      </w:r>
      <w:r w:rsidR="003F6FB0">
        <w:t>completing an internship</w:t>
      </w:r>
      <w:r w:rsidR="00BE711F">
        <w:t xml:space="preserve">, </w:t>
      </w:r>
      <w:r w:rsidR="00927B6B">
        <w:t>the author</w:t>
      </w:r>
      <w:r w:rsidR="008E18E6">
        <w:t xml:space="preserve"> was arrested by the Presidential Special Police Department, who accused him</w:t>
      </w:r>
      <w:r w:rsidR="00B735CD">
        <w:t xml:space="preserve"> of being a spy for </w:t>
      </w:r>
      <w:smartTag w:uri="urn:schemas-microsoft-com:office:smarttags" w:element="place">
        <w:smartTag w:uri="urn:schemas-microsoft-com:office:smarttags" w:element="country-region">
          <w:r w:rsidR="00B735CD">
            <w:t>Rwanda</w:t>
          </w:r>
        </w:smartTag>
      </w:smartTag>
      <w:r w:rsidR="00B735CD">
        <w:t xml:space="preserve"> </w:t>
      </w:r>
      <w:r w:rsidR="008E18E6">
        <w:t xml:space="preserve">and looking to stage a coup against President Joseph Kabila, son of Laurent Kabila who </w:t>
      </w:r>
      <w:r w:rsidR="00ED1D35">
        <w:t>had been</w:t>
      </w:r>
      <w:r w:rsidR="008E18E6">
        <w:t xml:space="preserve"> assassinated in January 2001. </w:t>
      </w:r>
      <w:r w:rsidR="00ED1D35">
        <w:t xml:space="preserve">At the time, </w:t>
      </w:r>
      <w:r w:rsidR="001279E4">
        <w:t xml:space="preserve">the author’s </w:t>
      </w:r>
      <w:r w:rsidR="002D6D29">
        <w:t>wife had just given bi</w:t>
      </w:r>
      <w:r w:rsidR="00BE711F">
        <w:t>rth to his daughter</w:t>
      </w:r>
      <w:r w:rsidR="00BD515C">
        <w:t>,</w:t>
      </w:r>
      <w:r w:rsidR="00BE711F">
        <w:t xml:space="preserve"> who was </w:t>
      </w:r>
      <w:r w:rsidR="00E948F1">
        <w:t>six weeks</w:t>
      </w:r>
      <w:r w:rsidR="002D6D29">
        <w:t xml:space="preserve"> old. </w:t>
      </w:r>
      <w:r w:rsidR="00B735CD">
        <w:t>Upon his detention,</w:t>
      </w:r>
      <w:r w:rsidR="008E18E6">
        <w:t xml:space="preserve"> he was not provided with any information </w:t>
      </w:r>
      <w:r w:rsidR="00BD515C">
        <w:t xml:space="preserve">about </w:t>
      </w:r>
      <w:r w:rsidR="008E18E6">
        <w:t>the charges against him, where he was being taken to or for how long.</w:t>
      </w:r>
      <w:r w:rsidR="00927B6B">
        <w:t xml:space="preserve"> Fo</w:t>
      </w:r>
      <w:r w:rsidR="003F6FB0">
        <w:t xml:space="preserve">r seven days, </w:t>
      </w:r>
      <w:r w:rsidR="000F5232">
        <w:t>he</w:t>
      </w:r>
      <w:r w:rsidR="003F6FB0">
        <w:t xml:space="preserve"> </w:t>
      </w:r>
      <w:r w:rsidR="00ED1D35">
        <w:t xml:space="preserve">was </w:t>
      </w:r>
      <w:r w:rsidR="003F6FB0">
        <w:t>moved around and</w:t>
      </w:r>
      <w:r w:rsidR="00927B6B">
        <w:t xml:space="preserve"> held in di</w:t>
      </w:r>
      <w:r w:rsidR="003F6FB0">
        <w:t xml:space="preserve">fferent locations in </w:t>
      </w:r>
      <w:smartTag w:uri="urn:schemas-microsoft-com:office:smarttags" w:element="place">
        <w:smartTag w:uri="urn:schemas-microsoft-com:office:smarttags" w:element="City">
          <w:r w:rsidR="003F6FB0">
            <w:t>Lubumbashi</w:t>
          </w:r>
        </w:smartTag>
      </w:smartTag>
      <w:r w:rsidR="003F6FB0">
        <w:t>, because his university colleagues and human rights defenders were looking for him.</w:t>
      </w:r>
      <w:r w:rsidR="00927B6B">
        <w:t xml:space="preserve"> </w:t>
      </w:r>
    </w:p>
    <w:p w:rsidR="009B09C5" w:rsidRDefault="00A20097" w:rsidP="00E948F1">
      <w:pPr>
        <w:pStyle w:val="SingleTxtG"/>
      </w:pPr>
      <w:r>
        <w:t>2.3</w:t>
      </w:r>
      <w:r>
        <w:tab/>
      </w:r>
      <w:r w:rsidR="002D6D29">
        <w:t>On 23 April 2002</w:t>
      </w:r>
      <w:r w:rsidR="008E18E6">
        <w:t>, the author was taken to the</w:t>
      </w:r>
      <w:r w:rsidR="003F6FB0">
        <w:t xml:space="preserve"> premises of the national intelligence service</w:t>
      </w:r>
      <w:r w:rsidR="008E18E6">
        <w:t xml:space="preserve"> </w:t>
      </w:r>
      <w:r w:rsidR="003F6FB0">
        <w:t>(</w:t>
      </w:r>
      <w:r w:rsidR="008E18E6" w:rsidRPr="00E948F1">
        <w:t xml:space="preserve">Agence </w:t>
      </w:r>
      <w:r w:rsidR="00E948F1" w:rsidRPr="00E948F1">
        <w:t>nationale de renseignements</w:t>
      </w:r>
      <w:r w:rsidR="00E948F1">
        <w:t>)</w:t>
      </w:r>
      <w:r w:rsidR="008E18E6">
        <w:t xml:space="preserve"> in </w:t>
      </w:r>
      <w:smartTag w:uri="urn:schemas-microsoft-com:office:smarttags" w:element="place">
        <w:smartTag w:uri="urn:schemas-microsoft-com:office:smarttags" w:element="City">
          <w:r w:rsidR="008E18E6">
            <w:t>Lubumbashi</w:t>
          </w:r>
        </w:smartTag>
      </w:smartTag>
      <w:r w:rsidR="008E18E6">
        <w:t xml:space="preserve">, where he was </w:t>
      </w:r>
      <w:r w:rsidR="001A0F41">
        <w:t>ill-treated</w:t>
      </w:r>
      <w:r w:rsidR="008E18E6">
        <w:t xml:space="preserve"> for </w:t>
      </w:r>
      <w:r w:rsidR="00E948F1">
        <w:t xml:space="preserve">two </w:t>
      </w:r>
      <w:r w:rsidR="008E18E6">
        <w:t xml:space="preserve">days. </w:t>
      </w:r>
      <w:r w:rsidR="00ED1D35">
        <w:t>He was regularly beaten and accused</w:t>
      </w:r>
      <w:r w:rsidR="001A0F41">
        <w:t xml:space="preserve"> of being a spy</w:t>
      </w:r>
      <w:r w:rsidR="00E948F1">
        <w:t>.</w:t>
      </w:r>
      <w:r w:rsidR="001A0F41">
        <w:t xml:space="preserve"> He was shackled at</w:t>
      </w:r>
      <w:r w:rsidR="003F6FB0">
        <w:t xml:space="preserve"> the hands and feet and was</w:t>
      </w:r>
      <w:r w:rsidR="001A0F41">
        <w:t xml:space="preserve"> dragged </w:t>
      </w:r>
      <w:r w:rsidR="003F6FB0">
        <w:t xml:space="preserve">like this </w:t>
      </w:r>
      <w:r w:rsidR="001A0F41">
        <w:t xml:space="preserve">from one cell to another. He feared </w:t>
      </w:r>
      <w:r w:rsidR="00E948F1">
        <w:t>he would</w:t>
      </w:r>
      <w:r w:rsidR="00ED1D35">
        <w:t xml:space="preserve"> be killed</w:t>
      </w:r>
      <w:r w:rsidR="001A0F41">
        <w:t xml:space="preserve">. </w:t>
      </w:r>
      <w:r w:rsidR="008E18E6">
        <w:t xml:space="preserve">Then, he was moved </w:t>
      </w:r>
      <w:r w:rsidR="00B735CD">
        <w:t xml:space="preserve">to the premises </w:t>
      </w:r>
      <w:r w:rsidR="00E948F1">
        <w:t xml:space="preserve">of the national intelligence service </w:t>
      </w:r>
      <w:r w:rsidR="00B735CD">
        <w:t xml:space="preserve">in </w:t>
      </w:r>
      <w:smartTag w:uri="urn:schemas-microsoft-com:office:smarttags" w:element="place">
        <w:smartTag w:uri="urn:schemas-microsoft-com:office:smarttags" w:element="City">
          <w:r w:rsidR="008E18E6">
            <w:t>Kinshasa</w:t>
          </w:r>
        </w:smartTag>
      </w:smartTag>
      <w:r w:rsidR="002D6D29">
        <w:t xml:space="preserve"> on board a </w:t>
      </w:r>
      <w:r w:rsidR="00E948F1">
        <w:t xml:space="preserve">special presidential </w:t>
      </w:r>
      <w:r w:rsidR="002D6D29">
        <w:t>plane</w:t>
      </w:r>
      <w:r w:rsidR="00CD136C">
        <w:t>.</w:t>
      </w:r>
      <w:r w:rsidR="00523128" w:rsidRPr="00962715">
        <w:rPr>
          <w:rStyle w:val="FootnoteReference"/>
        </w:rPr>
        <w:footnoteReference w:id="3"/>
      </w:r>
      <w:r w:rsidR="002D6D29">
        <w:t xml:space="preserve"> He</w:t>
      </w:r>
      <w:r w:rsidR="008E18E6">
        <w:t xml:space="preserve"> was held </w:t>
      </w:r>
      <w:r w:rsidR="002D6D29">
        <w:t xml:space="preserve">there </w:t>
      </w:r>
      <w:r w:rsidR="008E18E6">
        <w:t xml:space="preserve">for </w:t>
      </w:r>
      <w:r w:rsidR="00E948F1">
        <w:t xml:space="preserve">six </w:t>
      </w:r>
      <w:r w:rsidR="008E18E6">
        <w:t>months.</w:t>
      </w:r>
    </w:p>
    <w:p w:rsidR="008E18E6" w:rsidRDefault="009B09C5" w:rsidP="000F5232">
      <w:pPr>
        <w:pStyle w:val="SingleTxtG"/>
      </w:pPr>
      <w:r>
        <w:t>2.4</w:t>
      </w:r>
      <w:r>
        <w:tab/>
        <w:t>In the premises</w:t>
      </w:r>
      <w:r w:rsidR="003F6FB0">
        <w:t xml:space="preserve"> </w:t>
      </w:r>
      <w:r w:rsidR="00E948F1">
        <w:t xml:space="preserve">of the intelligence service </w:t>
      </w:r>
      <w:r w:rsidR="003F6FB0">
        <w:t xml:space="preserve">in </w:t>
      </w:r>
      <w:smartTag w:uri="urn:schemas-microsoft-com:office:smarttags" w:element="place">
        <w:smartTag w:uri="urn:schemas-microsoft-com:office:smarttags" w:element="City">
          <w:r w:rsidR="003F6FB0">
            <w:t>Kinshasa</w:t>
          </w:r>
        </w:smartTag>
      </w:smartTag>
      <w:r>
        <w:t xml:space="preserve">, the author </w:t>
      </w:r>
      <w:r w:rsidR="008048ED">
        <w:t>was held in two different rooms;</w:t>
      </w:r>
      <w:r>
        <w:t xml:space="preserve"> in one </w:t>
      </w:r>
      <w:r w:rsidR="00BD515C">
        <w:t xml:space="preserve">room </w:t>
      </w:r>
      <w:r>
        <w:t>he spent the day and in the other he was tortured during the night</w:t>
      </w:r>
      <w:r w:rsidR="00CD136C">
        <w:t>.</w:t>
      </w:r>
      <w:r w:rsidR="00282092" w:rsidRPr="00962715">
        <w:rPr>
          <w:rStyle w:val="FootnoteReference"/>
        </w:rPr>
        <w:footnoteReference w:id="4"/>
      </w:r>
      <w:r>
        <w:t xml:space="preserve"> </w:t>
      </w:r>
      <w:r w:rsidR="000F5232">
        <w:t>He</w:t>
      </w:r>
      <w:r w:rsidR="008E18E6">
        <w:t xml:space="preserve"> was elevated vertically upside down by a machine and was continually beaten </w:t>
      </w:r>
      <w:r w:rsidR="008048ED">
        <w:t>on his genitalia</w:t>
      </w:r>
      <w:r w:rsidR="003F6FB0">
        <w:t>, backside</w:t>
      </w:r>
      <w:r w:rsidR="008048ED">
        <w:t xml:space="preserve"> and head </w:t>
      </w:r>
      <w:r w:rsidR="008E18E6">
        <w:t xml:space="preserve">with a thick metal rod that carried an electric charge. </w:t>
      </w:r>
      <w:r>
        <w:t>When hanging upside d</w:t>
      </w:r>
      <w:r w:rsidR="008048ED">
        <w:t>own, large metal pliers were</w:t>
      </w:r>
      <w:r>
        <w:t xml:space="preserve"> connected to his tongue, which would then be pulled by the officials requesting him to confess that he was planning to kill Kabila and take power in </w:t>
      </w:r>
      <w:smartTag w:uri="urn:schemas-microsoft-com:office:smarttags" w:element="place">
        <w:smartTag w:uri="urn:schemas-microsoft-com:office:smarttags" w:element="City">
          <w:r>
            <w:t>Kinshasa</w:t>
          </w:r>
        </w:smartTag>
      </w:smartTag>
      <w:r>
        <w:t xml:space="preserve">. </w:t>
      </w:r>
      <w:r w:rsidR="001A0F41">
        <w:t xml:space="preserve">After having been beaten </w:t>
      </w:r>
      <w:r w:rsidR="00E948F1">
        <w:t>in this position</w:t>
      </w:r>
      <w:r w:rsidR="001A0F41">
        <w:t>, the machine release</w:t>
      </w:r>
      <w:r w:rsidR="003F6FB0">
        <w:t>d</w:t>
      </w:r>
      <w:r w:rsidR="001A0F41">
        <w:t xml:space="preserve"> him and he </w:t>
      </w:r>
      <w:r w:rsidR="003F6FB0">
        <w:t>fell</w:t>
      </w:r>
      <w:r w:rsidR="001A0F41">
        <w:t xml:space="preserve"> to the floor unsupported. </w:t>
      </w:r>
      <w:r w:rsidR="008048ED">
        <w:t>He</w:t>
      </w:r>
      <w:r w:rsidR="008E18E6">
        <w:t xml:space="preserve"> had his genitalia repeatedly connected to an electric charge which caused him severe pain. </w:t>
      </w:r>
      <w:r w:rsidR="00A20097">
        <w:t xml:space="preserve">He was also repeatedly beaten, kicked and punched. </w:t>
      </w:r>
      <w:r w:rsidR="00E948F1">
        <w:t>The o</w:t>
      </w:r>
      <w:r w:rsidR="008048ED">
        <w:t xml:space="preserve">fficials </w:t>
      </w:r>
      <w:r w:rsidR="003F6FB0">
        <w:t xml:space="preserve">inflicting </w:t>
      </w:r>
      <w:r w:rsidR="008048ED">
        <w:t xml:space="preserve">torture </w:t>
      </w:r>
      <w:r w:rsidR="003F6FB0">
        <w:t xml:space="preserve">on him </w:t>
      </w:r>
      <w:r w:rsidR="008048ED">
        <w:t xml:space="preserve">accused him of hiding in </w:t>
      </w:r>
      <w:smartTag w:uri="urn:schemas-microsoft-com:office:smarttags" w:element="place">
        <w:smartTag w:uri="urn:schemas-microsoft-com:office:smarttags" w:element="country-region">
          <w:r w:rsidR="008048ED">
            <w:t>Rwanda</w:t>
          </w:r>
        </w:smartTag>
      </w:smartTag>
      <w:r w:rsidR="008048ED">
        <w:t xml:space="preserve"> and being the leader of Rwand</w:t>
      </w:r>
      <w:r w:rsidR="00E948F1">
        <w:t>an</w:t>
      </w:r>
      <w:r w:rsidR="008048ED">
        <w:t xml:space="preserve"> forces</w:t>
      </w:r>
      <w:r w:rsidR="00ED1D35">
        <w:t>. T</w:t>
      </w:r>
      <w:r w:rsidR="008048ED">
        <w:t xml:space="preserve">hey also asked him about his university studies. Before being returned to his </w:t>
      </w:r>
      <w:r w:rsidR="001A0F41">
        <w:t>cell, a bucket of water w</w:t>
      </w:r>
      <w:r w:rsidR="00BD515C">
        <w:t>ould be</w:t>
      </w:r>
      <w:r w:rsidR="001A0F41">
        <w:t xml:space="preserve"> thrown o</w:t>
      </w:r>
      <w:r w:rsidR="00E948F1">
        <w:t>ver</w:t>
      </w:r>
      <w:r w:rsidR="001A0F41">
        <w:t xml:space="preserve"> him. </w:t>
      </w:r>
      <w:r w:rsidR="00E948F1">
        <w:t>In addition</w:t>
      </w:r>
      <w:r w:rsidR="00A20097">
        <w:t xml:space="preserve">, </w:t>
      </w:r>
      <w:r w:rsidR="000F5232">
        <w:t>he</w:t>
      </w:r>
      <w:r w:rsidR="008E18E6">
        <w:t xml:space="preserve"> was deprived of food and water.</w:t>
      </w:r>
      <w:r w:rsidR="00B735CD">
        <w:t xml:space="preserve"> </w:t>
      </w:r>
      <w:r w:rsidR="00A05327">
        <w:t xml:space="preserve">While being held at the premises </w:t>
      </w:r>
      <w:r w:rsidR="00E948F1">
        <w:t xml:space="preserve">of the intelligence service </w:t>
      </w:r>
      <w:r w:rsidR="00A05327">
        <w:t xml:space="preserve">in </w:t>
      </w:r>
      <w:smartTag w:uri="urn:schemas-microsoft-com:office:smarttags" w:element="place">
        <w:smartTag w:uri="urn:schemas-microsoft-com:office:smarttags" w:element="City">
          <w:r w:rsidR="00A05327">
            <w:lastRenderedPageBreak/>
            <w:t>Kinshasa</w:t>
          </w:r>
        </w:smartTag>
      </w:smartTag>
      <w:r w:rsidR="00A05327">
        <w:t xml:space="preserve">, the author </w:t>
      </w:r>
      <w:r w:rsidR="00E948F1">
        <w:t>had no</w:t>
      </w:r>
      <w:r w:rsidR="00A05327">
        <w:t xml:space="preserve"> contact </w:t>
      </w:r>
      <w:r w:rsidR="00E948F1">
        <w:t xml:space="preserve">with </w:t>
      </w:r>
      <w:r w:rsidR="00A05327">
        <w:t xml:space="preserve">his wife and daughter and was very worried about them. </w:t>
      </w:r>
      <w:r w:rsidR="003F6FB0">
        <w:t xml:space="preserve">As a consequence of the torture, </w:t>
      </w:r>
      <w:r w:rsidR="000F5232">
        <w:t>he</w:t>
      </w:r>
      <w:r w:rsidR="003F6FB0">
        <w:t xml:space="preserve"> </w:t>
      </w:r>
      <w:r w:rsidR="008048ED">
        <w:t>has had one testicle removed.</w:t>
      </w:r>
      <w:r w:rsidR="008048ED" w:rsidRPr="00962715">
        <w:rPr>
          <w:rStyle w:val="FootnoteReference"/>
        </w:rPr>
        <w:footnoteReference w:id="5"/>
      </w:r>
    </w:p>
    <w:p w:rsidR="008E18E6" w:rsidRDefault="00AE6750" w:rsidP="000F5232">
      <w:pPr>
        <w:pStyle w:val="SingleTxtG"/>
      </w:pPr>
      <w:r>
        <w:t>2.5</w:t>
      </w:r>
      <w:r>
        <w:tab/>
      </w:r>
      <w:r w:rsidR="008E18E6">
        <w:t>In July 2002</w:t>
      </w:r>
      <w:r w:rsidR="00B735CD">
        <w:t>,</w:t>
      </w:r>
      <w:r w:rsidR="00A05327">
        <w:t xml:space="preserve"> without prior notice,</w:t>
      </w:r>
      <w:r w:rsidR="008E18E6">
        <w:t xml:space="preserve"> the author was taken to the Court of State Security</w:t>
      </w:r>
      <w:r w:rsidR="00A05327" w:rsidRPr="00962715">
        <w:rPr>
          <w:rStyle w:val="FootnoteReference"/>
        </w:rPr>
        <w:footnoteReference w:id="6"/>
      </w:r>
      <w:r w:rsidR="002D6D29">
        <w:t xml:space="preserve"> where he was </w:t>
      </w:r>
      <w:r w:rsidR="006E3AD2">
        <w:t xml:space="preserve">informed that he was suspected of </w:t>
      </w:r>
      <w:r w:rsidR="002D6D29">
        <w:t xml:space="preserve">being an intelligence officer </w:t>
      </w:r>
      <w:r w:rsidR="001279E4">
        <w:t xml:space="preserve">for </w:t>
      </w:r>
      <w:smartTag w:uri="urn:schemas-microsoft-com:office:smarttags" w:element="country-region">
        <w:r w:rsidR="002D6D29">
          <w:t>Rwanda</w:t>
        </w:r>
      </w:smartTag>
      <w:r w:rsidR="002D6D29">
        <w:t xml:space="preserve">, </w:t>
      </w:r>
      <w:smartTag w:uri="urn:schemas-microsoft-com:office:smarttags" w:element="country-region">
        <w:r w:rsidR="002D6D29">
          <w:t>Burundi</w:t>
        </w:r>
      </w:smartTag>
      <w:r w:rsidR="002D6D29">
        <w:t xml:space="preserve"> and </w:t>
      </w:r>
      <w:smartTag w:uri="urn:schemas-microsoft-com:office:smarttags" w:element="place">
        <w:smartTag w:uri="urn:schemas-microsoft-com:office:smarttags" w:element="country-region">
          <w:r w:rsidR="002D6D29">
            <w:t>Uganda</w:t>
          </w:r>
        </w:smartTag>
      </w:smartTag>
      <w:r w:rsidR="00BE711F">
        <w:t>;</w:t>
      </w:r>
      <w:r w:rsidR="00603800">
        <w:t xml:space="preserve"> however</w:t>
      </w:r>
      <w:r w:rsidR="00ED1D35">
        <w:t>,</w:t>
      </w:r>
      <w:r w:rsidR="00603800">
        <w:t xml:space="preserve"> no evidence against him was presented.</w:t>
      </w:r>
      <w:r w:rsidR="008E18E6">
        <w:t xml:space="preserve"> </w:t>
      </w:r>
      <w:r w:rsidR="00A05327">
        <w:t xml:space="preserve">He was represented by </w:t>
      </w:r>
      <w:r w:rsidR="00BD515C">
        <w:t>L’</w:t>
      </w:r>
      <w:r w:rsidR="000F7283" w:rsidRPr="000F7283">
        <w:t>Observa</w:t>
      </w:r>
      <w:r w:rsidR="00BD515C">
        <w:t>toire Nationale des Droits de l’</w:t>
      </w:r>
      <w:r w:rsidR="000F7283" w:rsidRPr="000F7283">
        <w:t>Homme</w:t>
      </w:r>
      <w:r w:rsidR="000F7283">
        <w:t>,</w:t>
      </w:r>
      <w:r w:rsidR="006E1FD7">
        <w:t xml:space="preserve"> whose Chair he </w:t>
      </w:r>
      <w:r w:rsidR="000442F2">
        <w:t xml:space="preserve">had </w:t>
      </w:r>
      <w:r w:rsidR="006E1FD7">
        <w:t xml:space="preserve">met while in detention </w:t>
      </w:r>
      <w:r w:rsidR="00A20097">
        <w:t xml:space="preserve">in </w:t>
      </w:r>
      <w:smartTag w:uri="urn:schemas-microsoft-com:office:smarttags" w:element="place">
        <w:smartTag w:uri="urn:schemas-microsoft-com:office:smarttags" w:element="City">
          <w:r w:rsidR="00A20097">
            <w:t>Kinshasa</w:t>
          </w:r>
        </w:smartTag>
      </w:smartTag>
      <w:r w:rsidR="00A05327">
        <w:t xml:space="preserve">. </w:t>
      </w:r>
      <w:r w:rsidR="008E18E6">
        <w:t>The same month</w:t>
      </w:r>
      <w:r>
        <w:t>,</w:t>
      </w:r>
      <w:r w:rsidR="008E18E6">
        <w:t xml:space="preserve"> the Court of State Security moved </w:t>
      </w:r>
      <w:r w:rsidR="000F5232">
        <w:t>him</w:t>
      </w:r>
      <w:r w:rsidR="008E18E6">
        <w:t xml:space="preserve"> to the Makala </w:t>
      </w:r>
      <w:r w:rsidR="00E948F1">
        <w:t xml:space="preserve">civilian prison </w:t>
      </w:r>
      <w:r w:rsidR="008E18E6">
        <w:t xml:space="preserve">in </w:t>
      </w:r>
      <w:smartTag w:uri="urn:schemas-microsoft-com:office:smarttags" w:element="place">
        <w:smartTag w:uri="urn:schemas-microsoft-com:office:smarttags" w:element="City">
          <w:r w:rsidR="008E18E6">
            <w:t>Kinshasa</w:t>
          </w:r>
        </w:smartTag>
      </w:smartTag>
      <w:r w:rsidR="00ED1D35">
        <w:t xml:space="preserve">, </w:t>
      </w:r>
      <w:r w:rsidR="00E948F1">
        <w:t xml:space="preserve">but </w:t>
      </w:r>
      <w:r w:rsidR="008E18E6">
        <w:t xml:space="preserve">without making a finding of guilt or a determination as to </w:t>
      </w:r>
      <w:r w:rsidR="00BE711F">
        <w:t>his</w:t>
      </w:r>
      <w:r w:rsidR="00B735CD">
        <w:t xml:space="preserve"> </w:t>
      </w:r>
      <w:r w:rsidR="008E18E6">
        <w:t>sentence.</w:t>
      </w:r>
    </w:p>
    <w:p w:rsidR="008E18E6" w:rsidRDefault="00AE6750" w:rsidP="00BD515C">
      <w:pPr>
        <w:pStyle w:val="SingleTxtG"/>
      </w:pPr>
      <w:r>
        <w:t>2.6</w:t>
      </w:r>
      <w:r>
        <w:tab/>
      </w:r>
      <w:r w:rsidR="00B735CD">
        <w:t>On 4 October 2002, t</w:t>
      </w:r>
      <w:r w:rsidR="008E18E6">
        <w:t xml:space="preserve">he author was released from Makala </w:t>
      </w:r>
      <w:r w:rsidR="00E948F1">
        <w:t xml:space="preserve">civilian prison </w:t>
      </w:r>
      <w:r w:rsidR="008E18E6">
        <w:t xml:space="preserve">following growing public pressure by human rights organizations and his </w:t>
      </w:r>
      <w:smartTag w:uri="urn:schemas-microsoft-com:office:smarttags" w:element="place">
        <w:smartTag w:uri="urn:schemas-microsoft-com:office:smarttags" w:element="City">
          <w:r w:rsidR="00B735CD">
            <w:t>Lubumbashi</w:t>
          </w:r>
        </w:smartTag>
      </w:smartTag>
      <w:r w:rsidR="00B735CD">
        <w:t xml:space="preserve"> </w:t>
      </w:r>
      <w:r w:rsidR="008E18E6">
        <w:t xml:space="preserve">university colleagues. </w:t>
      </w:r>
      <w:r w:rsidR="00603800">
        <w:t xml:space="preserve">The release document from prison stated that he had been imprisoned for an attempt on the security of the </w:t>
      </w:r>
      <w:r w:rsidR="00ED6649">
        <w:t>S</w:t>
      </w:r>
      <w:r w:rsidR="00603800">
        <w:t xml:space="preserve">tate, however he </w:t>
      </w:r>
      <w:r w:rsidR="00BE711F">
        <w:t>has</w:t>
      </w:r>
      <w:r w:rsidR="00603800">
        <w:t xml:space="preserve"> never been </w:t>
      </w:r>
      <w:r w:rsidR="003B3C1F">
        <w:t>sentenced for any crime</w:t>
      </w:r>
      <w:r w:rsidR="00DE2F2B">
        <w:t xml:space="preserve"> </w:t>
      </w:r>
      <w:r w:rsidR="00603800">
        <w:t xml:space="preserve">The author </w:t>
      </w:r>
      <w:r w:rsidR="008E18E6">
        <w:t xml:space="preserve">left for the Republic of </w:t>
      </w:r>
      <w:r w:rsidR="00ED6649">
        <w:t xml:space="preserve">the </w:t>
      </w:r>
      <w:smartTag w:uri="urn:schemas-microsoft-com:office:smarttags" w:element="place">
        <w:smartTag w:uri="urn:schemas-microsoft-com:office:smarttags" w:element="country-region">
          <w:r w:rsidR="008E18E6">
            <w:t>Congo</w:t>
          </w:r>
        </w:smartTag>
      </w:smartTag>
      <w:r w:rsidR="008E18E6">
        <w:t xml:space="preserve"> </w:t>
      </w:r>
      <w:r w:rsidR="00ED6649">
        <w:t xml:space="preserve">seven </w:t>
      </w:r>
      <w:r w:rsidR="008E18E6">
        <w:t xml:space="preserve">days after his release from Makala </w:t>
      </w:r>
      <w:r w:rsidR="00ED6649">
        <w:t xml:space="preserve">prison </w:t>
      </w:r>
      <w:r w:rsidR="008E18E6">
        <w:t xml:space="preserve">because he feared for his safety. After arriving in the </w:t>
      </w:r>
      <w:smartTag w:uri="urn:schemas-microsoft-com:office:smarttags" w:element="place">
        <w:smartTag w:uri="urn:schemas-microsoft-com:office:smarttags" w:element="country-region">
          <w:r w:rsidR="008E18E6">
            <w:t>Congo</w:t>
          </w:r>
        </w:smartTag>
      </w:smartTag>
      <w:r w:rsidR="008E18E6">
        <w:t xml:space="preserve">, </w:t>
      </w:r>
      <w:r w:rsidR="00BD515C">
        <w:t>he</w:t>
      </w:r>
      <w:r w:rsidR="008E18E6">
        <w:t xml:space="preserve"> </w:t>
      </w:r>
      <w:r w:rsidR="00B735CD">
        <w:t xml:space="preserve">registered </w:t>
      </w:r>
      <w:r w:rsidR="00BE711F">
        <w:t>with</w:t>
      </w:r>
      <w:r w:rsidR="008E18E6">
        <w:t xml:space="preserve"> </w:t>
      </w:r>
      <w:r w:rsidR="00ED6649">
        <w:t xml:space="preserve">the Office of the </w:t>
      </w:r>
      <w:r w:rsidR="008E18E6">
        <w:t>U</w:t>
      </w:r>
      <w:r w:rsidR="00ED1D35">
        <w:t>nited Nations High Commissioner for Refugees (U</w:t>
      </w:r>
      <w:r w:rsidR="008E18E6">
        <w:t>NHCR</w:t>
      </w:r>
      <w:r w:rsidR="00ED1D35">
        <w:t>)</w:t>
      </w:r>
      <w:r w:rsidR="008E18E6">
        <w:t xml:space="preserve"> and was granted refugee status in 2004. </w:t>
      </w:r>
      <w:r w:rsidR="00BD515C">
        <w:t>H</w:t>
      </w:r>
      <w:r w:rsidR="00B735CD">
        <w:t>owever</w:t>
      </w:r>
      <w:r w:rsidR="00ED6649">
        <w:t>,</w:t>
      </w:r>
      <w:r w:rsidR="00B735CD">
        <w:t xml:space="preserve"> </w:t>
      </w:r>
      <w:r w:rsidR="00BD515C">
        <w:t xml:space="preserve">he </w:t>
      </w:r>
      <w:r w:rsidR="00B735CD">
        <w:t xml:space="preserve">was aware that his safety could not be guaranteed due the proximity of </w:t>
      </w:r>
      <w:r w:rsidR="00ED1D35">
        <w:t>the two countries</w:t>
      </w:r>
      <w:r w:rsidR="00ED6649">
        <w:t>.</w:t>
      </w:r>
    </w:p>
    <w:p w:rsidR="008E18E6" w:rsidRDefault="00AE6750" w:rsidP="00BD515C">
      <w:pPr>
        <w:pStyle w:val="SingleTxtG"/>
      </w:pPr>
      <w:r>
        <w:t>2.7</w:t>
      </w:r>
      <w:r>
        <w:tab/>
      </w:r>
      <w:r w:rsidR="008E18E6">
        <w:t xml:space="preserve">The author obtained </w:t>
      </w:r>
      <w:r w:rsidR="00BE711F">
        <w:t xml:space="preserve">a visa for </w:t>
      </w:r>
      <w:smartTag w:uri="urn:schemas-microsoft-com:office:smarttags" w:element="place">
        <w:smartTag w:uri="urn:schemas-microsoft-com:office:smarttags" w:element="country-region">
          <w:r w:rsidR="00BE711F">
            <w:t>Australia</w:t>
          </w:r>
        </w:smartTag>
      </w:smartTag>
      <w:r w:rsidR="00BE711F">
        <w:t xml:space="preserve"> through</w:t>
      </w:r>
      <w:r w:rsidR="008E18E6">
        <w:t xml:space="preserve"> UNHCR. He and his f</w:t>
      </w:r>
      <w:r w:rsidR="00A20097">
        <w:t xml:space="preserve">amily moved to </w:t>
      </w:r>
      <w:smartTag w:uri="urn:schemas-microsoft-com:office:smarttags" w:element="place">
        <w:smartTag w:uri="urn:schemas-microsoft-com:office:smarttags" w:element="country-region">
          <w:r w:rsidR="00A20097">
            <w:t>Australia</w:t>
          </w:r>
        </w:smartTag>
      </w:smartTag>
      <w:r w:rsidR="00A20097">
        <w:t xml:space="preserve"> on </w:t>
      </w:r>
      <w:r w:rsidR="008E18E6">
        <w:t xml:space="preserve">21 August 2007. </w:t>
      </w:r>
      <w:r w:rsidR="00BD515C">
        <w:t>He</w:t>
      </w:r>
      <w:r w:rsidR="008E18E6">
        <w:t xml:space="preserve"> has obtained trauma and torture </w:t>
      </w:r>
      <w:r w:rsidR="002208AA">
        <w:t>counselling</w:t>
      </w:r>
      <w:r w:rsidR="008E18E6">
        <w:t xml:space="preserve"> since arriving in </w:t>
      </w:r>
      <w:smartTag w:uri="urn:schemas-microsoft-com:office:smarttags" w:element="place">
        <w:smartTag w:uri="urn:schemas-microsoft-com:office:smarttags" w:element="country-region">
          <w:r w:rsidR="008E18E6">
            <w:t>Australia</w:t>
          </w:r>
        </w:smartTag>
      </w:smartTag>
      <w:r w:rsidR="008E18E6">
        <w:t xml:space="preserve">. </w:t>
      </w:r>
      <w:r w:rsidR="00B725DF">
        <w:rPr>
          <w:rFonts w:eastAsia="SimSun"/>
          <w:lang w:eastAsia="zh-CN"/>
        </w:rPr>
        <w:t xml:space="preserve">According to his trauma counsellor, </w:t>
      </w:r>
      <w:r w:rsidR="00BD515C">
        <w:rPr>
          <w:rFonts w:eastAsia="SimSun"/>
          <w:lang w:eastAsia="zh-CN"/>
        </w:rPr>
        <w:t>he</w:t>
      </w:r>
      <w:r w:rsidR="00D8285D">
        <w:rPr>
          <w:rFonts w:eastAsia="SimSun"/>
          <w:lang w:eastAsia="zh-CN"/>
        </w:rPr>
        <w:t xml:space="preserve"> suffers</w:t>
      </w:r>
      <w:r w:rsidR="00B725DF">
        <w:rPr>
          <w:rFonts w:eastAsia="SimSun"/>
          <w:lang w:eastAsia="zh-CN"/>
        </w:rPr>
        <w:t xml:space="preserve"> long</w:t>
      </w:r>
      <w:r w:rsidR="00ED6649">
        <w:rPr>
          <w:rFonts w:eastAsia="SimSun"/>
          <w:lang w:eastAsia="zh-CN"/>
        </w:rPr>
        <w:t>-</w:t>
      </w:r>
      <w:r w:rsidR="00B725DF">
        <w:rPr>
          <w:rFonts w:eastAsia="SimSun"/>
          <w:lang w:eastAsia="zh-CN"/>
        </w:rPr>
        <w:t xml:space="preserve">term consequences of the trauma of his </w:t>
      </w:r>
      <w:r w:rsidR="00A20097">
        <w:rPr>
          <w:rFonts w:eastAsia="SimSun"/>
          <w:lang w:eastAsia="zh-CN"/>
        </w:rPr>
        <w:t>detention</w:t>
      </w:r>
      <w:r w:rsidR="00B725DF">
        <w:rPr>
          <w:rFonts w:eastAsia="SimSun"/>
          <w:lang w:eastAsia="zh-CN"/>
        </w:rPr>
        <w:t xml:space="preserve"> and torture, including issues </w:t>
      </w:r>
      <w:r w:rsidR="00B101EE">
        <w:rPr>
          <w:rFonts w:eastAsia="SimSun"/>
          <w:lang w:eastAsia="zh-CN"/>
        </w:rPr>
        <w:t xml:space="preserve">to do </w:t>
      </w:r>
      <w:r w:rsidR="00B725DF">
        <w:rPr>
          <w:rFonts w:eastAsia="SimSun"/>
          <w:lang w:eastAsia="zh-CN"/>
        </w:rPr>
        <w:t>with sleep, appetite, somatic pain and interpersonal problems.</w:t>
      </w:r>
    </w:p>
    <w:p w:rsidR="008E18E6" w:rsidRPr="00C71B7B" w:rsidRDefault="00C97DB5" w:rsidP="00C97DB5">
      <w:pPr>
        <w:pStyle w:val="H23G"/>
      </w:pPr>
      <w:r>
        <w:tab/>
      </w:r>
      <w:r>
        <w:tab/>
      </w:r>
      <w:r w:rsidR="008E18E6" w:rsidRPr="00C71B7B">
        <w:t>The complaint</w:t>
      </w:r>
    </w:p>
    <w:p w:rsidR="00343105" w:rsidRDefault="00572B27" w:rsidP="00ED6649">
      <w:pPr>
        <w:pStyle w:val="SingleTxtG"/>
      </w:pPr>
      <w:r>
        <w:t>3.1</w:t>
      </w:r>
      <w:r>
        <w:tab/>
      </w:r>
      <w:r w:rsidR="00343105">
        <w:t xml:space="preserve">The author claims that the </w:t>
      </w:r>
      <w:r w:rsidR="00BE711F">
        <w:t xml:space="preserve">available </w:t>
      </w:r>
      <w:r w:rsidR="00343105">
        <w:t>domestic remedies were ineffective</w:t>
      </w:r>
      <w:r w:rsidR="00CD136C">
        <w:t>,</w:t>
      </w:r>
      <w:r w:rsidR="00343105" w:rsidRPr="00962715">
        <w:rPr>
          <w:rStyle w:val="FootnoteReference"/>
        </w:rPr>
        <w:footnoteReference w:id="7"/>
      </w:r>
      <w:r w:rsidR="00343105">
        <w:t xml:space="preserve"> as the </w:t>
      </w:r>
      <w:r w:rsidR="00ED6649">
        <w:t>G</w:t>
      </w:r>
      <w:r w:rsidR="00343105">
        <w:t>overnment was the perpetrator of the breaches against him and that those breaches were directly linked to the President and the executive.</w:t>
      </w:r>
      <w:r w:rsidR="00343105" w:rsidRPr="00962715">
        <w:rPr>
          <w:rStyle w:val="FootnoteReference"/>
        </w:rPr>
        <w:footnoteReference w:id="8"/>
      </w:r>
      <w:r w:rsidR="00343105">
        <w:t xml:space="preserve"> He further claims that due to the threats on his life and the fear he felt, no remedy could safely be sought whilst </w:t>
      </w:r>
      <w:r w:rsidR="00430696">
        <w:t xml:space="preserve">he was </w:t>
      </w:r>
      <w:r w:rsidR="00343105">
        <w:t xml:space="preserve">in the </w:t>
      </w:r>
      <w:smartTag w:uri="urn:schemas-microsoft-com:office:smarttags" w:element="place">
        <w:smartTag w:uri="urn:schemas-microsoft-com:office:smarttags" w:element="country-region">
          <w:r w:rsidR="00343105">
            <w:t xml:space="preserve">Democratic Republic of </w:t>
          </w:r>
          <w:r w:rsidR="00ED6649">
            <w:t xml:space="preserve">the </w:t>
          </w:r>
          <w:r w:rsidR="00343105">
            <w:t>Congo</w:t>
          </w:r>
        </w:smartTag>
      </w:smartTag>
      <w:r w:rsidR="00343105">
        <w:t xml:space="preserve">. </w:t>
      </w:r>
    </w:p>
    <w:p w:rsidR="008E18E6" w:rsidRDefault="00AB6E76" w:rsidP="00C97DB5">
      <w:pPr>
        <w:pStyle w:val="SingleTxtG"/>
      </w:pPr>
      <w:r>
        <w:t>3.2</w:t>
      </w:r>
      <w:r>
        <w:tab/>
      </w:r>
      <w:r w:rsidR="008E18E6">
        <w:t>The author claims that the State party has violated his right to be free from torture, cruel, inhuman and degrading tr</w:t>
      </w:r>
      <w:r>
        <w:t>eatment or punishment under article</w:t>
      </w:r>
      <w:r w:rsidR="008E18E6">
        <w:t xml:space="preserve"> 7</w:t>
      </w:r>
      <w:r w:rsidR="00430696">
        <w:t xml:space="preserve"> of the Covenant</w:t>
      </w:r>
      <w:r w:rsidR="008E18E6">
        <w:t xml:space="preserve">. He states that the acts committed against him by the Congolese authorities during his detention </w:t>
      </w:r>
      <w:r>
        <w:t>amounted to torture.</w:t>
      </w:r>
      <w:r w:rsidRPr="00962715">
        <w:rPr>
          <w:rStyle w:val="FootnoteReference"/>
        </w:rPr>
        <w:footnoteReference w:id="9"/>
      </w:r>
    </w:p>
    <w:p w:rsidR="008E18E6" w:rsidRDefault="00572B27" w:rsidP="000F5232">
      <w:pPr>
        <w:pStyle w:val="SingleTxtG"/>
      </w:pPr>
      <w:r>
        <w:t>3.3</w:t>
      </w:r>
      <w:r>
        <w:tab/>
      </w:r>
      <w:r w:rsidR="008E18E6">
        <w:t>Moreover, the author claims that the State party has violated his right to be free from arbitrary arrest and detention under art</w:t>
      </w:r>
      <w:r w:rsidR="004555E5">
        <w:t>icle 9</w:t>
      </w:r>
      <w:r w:rsidR="00327414">
        <w:t>, paragraph 1</w:t>
      </w:r>
      <w:r w:rsidR="008E18E6">
        <w:t xml:space="preserve">. </w:t>
      </w:r>
      <w:r w:rsidR="004555E5">
        <w:t xml:space="preserve">He claims that his detention was not reasonable, necessary, proportionate, appropriate </w:t>
      </w:r>
      <w:r w:rsidR="00BF1F54">
        <w:t xml:space="preserve">or </w:t>
      </w:r>
      <w:r w:rsidR="004555E5">
        <w:t xml:space="preserve">justifiable and therefore arbitrary in </w:t>
      </w:r>
      <w:r w:rsidR="004555E5">
        <w:lastRenderedPageBreak/>
        <w:t>the sense of article 9, paragraph 1</w:t>
      </w:r>
      <w:r w:rsidR="00CD136C">
        <w:t>.</w:t>
      </w:r>
      <w:r w:rsidR="004555E5" w:rsidRPr="00962715">
        <w:rPr>
          <w:rStyle w:val="FootnoteReference"/>
        </w:rPr>
        <w:footnoteReference w:id="10"/>
      </w:r>
      <w:r w:rsidR="004555E5">
        <w:t xml:space="preserve"> </w:t>
      </w:r>
      <w:r w:rsidR="008E18E6">
        <w:t xml:space="preserve">He </w:t>
      </w:r>
      <w:r w:rsidR="008412C4">
        <w:t xml:space="preserve">argues </w:t>
      </w:r>
      <w:r w:rsidR="008E18E6">
        <w:t xml:space="preserve">that there are no factors particular to him as an individual that would </w:t>
      </w:r>
      <w:r w:rsidR="001279E4">
        <w:t xml:space="preserve">have </w:t>
      </w:r>
      <w:r w:rsidR="008E18E6">
        <w:t>render</w:t>
      </w:r>
      <w:r w:rsidR="001279E4">
        <w:t>ed</w:t>
      </w:r>
      <w:r w:rsidR="008E18E6">
        <w:t xml:space="preserve"> his detention and imprisonment necessary and reasonable. </w:t>
      </w:r>
      <w:r w:rsidR="00327414">
        <w:t xml:space="preserve">Whilst in detention, </w:t>
      </w:r>
      <w:r w:rsidR="000F5232">
        <w:t>he</w:t>
      </w:r>
      <w:r w:rsidR="00327414">
        <w:t xml:space="preserve"> was not informed of any charges against him</w:t>
      </w:r>
      <w:r w:rsidR="00A20097">
        <w:t xml:space="preserve">, </w:t>
      </w:r>
      <w:r w:rsidR="00327414">
        <w:t xml:space="preserve">nor was </w:t>
      </w:r>
      <w:r w:rsidR="00173D08">
        <w:t xml:space="preserve">he </w:t>
      </w:r>
      <w:r w:rsidR="00327414">
        <w:t xml:space="preserve">provided with </w:t>
      </w:r>
      <w:r w:rsidR="008E18E6">
        <w:t xml:space="preserve">any details </w:t>
      </w:r>
      <w:r w:rsidR="00327414">
        <w:t>of the</w:t>
      </w:r>
      <w:r w:rsidR="00D8285D">
        <w:t>m</w:t>
      </w:r>
      <w:r w:rsidR="008E18E6">
        <w:t xml:space="preserve">. </w:t>
      </w:r>
    </w:p>
    <w:p w:rsidR="00C71B7B" w:rsidRDefault="00000C77" w:rsidP="00296EC2">
      <w:pPr>
        <w:pStyle w:val="SingleTxtG"/>
      </w:pPr>
      <w:r>
        <w:t>3.4</w:t>
      </w:r>
      <w:r>
        <w:tab/>
      </w:r>
      <w:r w:rsidR="008E18E6">
        <w:t>The author also claims that the State party has violated his right not to be subjected to arbitrary interference with his pr</w:t>
      </w:r>
      <w:r>
        <w:t>ivacy, family or home under article 17</w:t>
      </w:r>
      <w:r w:rsidR="008E18E6">
        <w:t>.</w:t>
      </w:r>
      <w:r w:rsidRPr="00962715">
        <w:rPr>
          <w:rStyle w:val="FootnoteReference"/>
        </w:rPr>
        <w:footnoteReference w:id="11"/>
      </w:r>
      <w:r w:rsidR="008E18E6">
        <w:t xml:space="preserve"> He submits that his detention, which forced him to be separated from his wife and </w:t>
      </w:r>
      <w:r w:rsidR="00D8285D">
        <w:t>newborn daughter</w:t>
      </w:r>
      <w:r w:rsidR="008E18E6">
        <w:t xml:space="preserve">, amounts to an </w:t>
      </w:r>
      <w:r>
        <w:t>interference</w:t>
      </w:r>
      <w:r w:rsidR="008E18E6">
        <w:t xml:space="preserve"> with his family life. </w:t>
      </w:r>
      <w:r>
        <w:t>He was deeply affected and mentally distressed by this separation.</w:t>
      </w:r>
      <w:r w:rsidRPr="00962715">
        <w:rPr>
          <w:rStyle w:val="FootnoteReference"/>
        </w:rPr>
        <w:footnoteReference w:id="12"/>
      </w:r>
      <w:r>
        <w:t xml:space="preserve"> </w:t>
      </w:r>
      <w:r w:rsidR="008E18E6">
        <w:t xml:space="preserve">He states that the interference with his privacy and family was arbitrary because he was taken from his place of employment, </w:t>
      </w:r>
      <w:r w:rsidR="00296EC2">
        <w:t xml:space="preserve">he </w:t>
      </w:r>
      <w:r w:rsidR="008E18E6">
        <w:t xml:space="preserve">received no notification of </w:t>
      </w:r>
      <w:r w:rsidR="00296EC2">
        <w:t xml:space="preserve">the </w:t>
      </w:r>
      <w:r w:rsidR="008E18E6">
        <w:t>charge</w:t>
      </w:r>
      <w:r w:rsidR="00296EC2">
        <w:t xml:space="preserve"> against him</w:t>
      </w:r>
      <w:r w:rsidR="008E18E6">
        <w:t xml:space="preserve">, </w:t>
      </w:r>
      <w:r w:rsidR="00296EC2">
        <w:t xml:space="preserve">there was </w:t>
      </w:r>
      <w:r w:rsidR="008E18E6">
        <w:t xml:space="preserve">no judicial review of his detention and </w:t>
      </w:r>
      <w:r w:rsidR="00296EC2">
        <w:t xml:space="preserve">he </w:t>
      </w:r>
      <w:r w:rsidR="008E18E6">
        <w:t xml:space="preserve">did not have a full hearing with procedural safeguards. No consideration was given to the author’s family in these processes and he was unable to communicate with his family </w:t>
      </w:r>
      <w:r w:rsidR="00D86682">
        <w:t>between April and October 2002.</w:t>
      </w:r>
    </w:p>
    <w:p w:rsidR="00C71B7B" w:rsidRPr="00C71B7B" w:rsidRDefault="00C97DB5" w:rsidP="00C97DB5">
      <w:pPr>
        <w:pStyle w:val="H23G"/>
      </w:pPr>
      <w:r>
        <w:tab/>
      </w:r>
      <w:r>
        <w:tab/>
      </w:r>
      <w:r w:rsidR="00C71B7B">
        <w:t>The State party’s failure to cooperate</w:t>
      </w:r>
    </w:p>
    <w:p w:rsidR="00CB5E72" w:rsidRPr="00C71B7B" w:rsidRDefault="00F66476" w:rsidP="00296EC2">
      <w:pPr>
        <w:pStyle w:val="SingleTxtG"/>
      </w:pPr>
      <w:r w:rsidRPr="00C71B7B">
        <w:t>4.</w:t>
      </w:r>
      <w:r w:rsidRPr="00C71B7B">
        <w:tab/>
        <w:t xml:space="preserve">On 3 August 2009, 16 March 2010, </w:t>
      </w:r>
      <w:r w:rsidR="001A0F41" w:rsidRPr="00C71B7B">
        <w:t xml:space="preserve">20 October 2010, </w:t>
      </w:r>
      <w:r w:rsidRPr="00C71B7B">
        <w:t>25 January 2011</w:t>
      </w:r>
      <w:r w:rsidR="001A0F41" w:rsidRPr="00C71B7B">
        <w:t xml:space="preserve"> and 19 November 2013,</w:t>
      </w:r>
      <w:r w:rsidRPr="00C71B7B">
        <w:t xml:space="preserve"> the State party was requested to submit to the Committee information on the admissibility and merits of the communication. The Committee notes that this information has not been received. The Committee regrets the failure </w:t>
      </w:r>
      <w:r w:rsidR="00296EC2">
        <w:t xml:space="preserve">of the State party </w:t>
      </w:r>
      <w:r w:rsidRPr="00C71B7B">
        <w:t xml:space="preserve">to provide any information with regard to the admissibility or the </w:t>
      </w:r>
      <w:r w:rsidR="00ED5142">
        <w:t>merits</w:t>
      </w:r>
      <w:r w:rsidRPr="00C71B7B">
        <w:t xml:space="preserve"> of the author</w:t>
      </w:r>
      <w:r w:rsidR="00296EC2">
        <w:t>’</w:t>
      </w:r>
      <w:r w:rsidRPr="00C71B7B">
        <w:t xml:space="preserve">s claims. It recalls that it is implicit in article 4, paragraph 2, of the Optional Protocol that States parties examine in good faith all allegations brought against them and that they make available to the Committee all </w:t>
      </w:r>
      <w:r w:rsidR="00296EC2">
        <w:t xml:space="preserve">the </w:t>
      </w:r>
      <w:r w:rsidRPr="00C71B7B">
        <w:t>information at their disposal. In the absence of a reply from the State party, due weight must be given to the author</w:t>
      </w:r>
      <w:r w:rsidR="00296EC2">
        <w:t>’</w:t>
      </w:r>
      <w:r w:rsidRPr="00C71B7B">
        <w:t>s allegations, to the extent that they are substantiated.</w:t>
      </w:r>
      <w:r w:rsidR="00DE2F2B">
        <w:t xml:space="preserve"> </w:t>
      </w:r>
    </w:p>
    <w:p w:rsidR="00CB5E72" w:rsidRPr="00CB5E72" w:rsidRDefault="00CB5E72" w:rsidP="00C97DB5">
      <w:pPr>
        <w:pStyle w:val="H23G"/>
        <w:rPr>
          <w:lang w:eastAsia="zh-CN"/>
        </w:rPr>
      </w:pPr>
      <w:r>
        <w:rPr>
          <w:lang w:eastAsia="zh-CN"/>
        </w:rPr>
        <w:tab/>
      </w:r>
      <w:r>
        <w:rPr>
          <w:lang w:eastAsia="zh-CN"/>
        </w:rPr>
        <w:tab/>
      </w:r>
      <w:r w:rsidRPr="00CB5E72">
        <w:rPr>
          <w:lang w:eastAsia="zh-CN"/>
        </w:rPr>
        <w:t>Issues and proceedings before the Committee</w:t>
      </w:r>
    </w:p>
    <w:p w:rsidR="00CB5E72" w:rsidRPr="00CB5E72" w:rsidRDefault="00CB5E72" w:rsidP="00C97DB5">
      <w:pPr>
        <w:pStyle w:val="H4G"/>
        <w:rPr>
          <w:lang w:eastAsia="zh-CN"/>
        </w:rPr>
      </w:pPr>
      <w:r>
        <w:rPr>
          <w:lang w:eastAsia="zh-CN"/>
        </w:rPr>
        <w:tab/>
      </w:r>
      <w:r>
        <w:rPr>
          <w:lang w:eastAsia="zh-CN"/>
        </w:rPr>
        <w:tab/>
      </w:r>
      <w:r w:rsidRPr="00CB5E72">
        <w:rPr>
          <w:lang w:eastAsia="zh-CN"/>
        </w:rPr>
        <w:t>Consideration of admissibility</w:t>
      </w:r>
    </w:p>
    <w:p w:rsidR="005057F6" w:rsidRDefault="005057F6" w:rsidP="00C97DB5">
      <w:pPr>
        <w:pStyle w:val="SingleTxtG"/>
      </w:pPr>
      <w:r>
        <w:t>5</w:t>
      </w:r>
      <w:r w:rsidRPr="00361A6E">
        <w:t>.1</w:t>
      </w:r>
      <w:r w:rsidRPr="00361A6E">
        <w:tab/>
        <w:t xml:space="preserve">Before considering any claim contained in a communication, the Human Rights Committee must, in accordance with article 93 of its </w:t>
      </w:r>
      <w:r w:rsidR="00296EC2" w:rsidRPr="00361A6E">
        <w:t xml:space="preserve">rules of </w:t>
      </w:r>
      <w:r w:rsidR="00296EC2">
        <w:t>p</w:t>
      </w:r>
      <w:r w:rsidR="00296EC2" w:rsidRPr="00361A6E">
        <w:t>rocedure</w:t>
      </w:r>
      <w:r w:rsidRPr="00361A6E">
        <w:t xml:space="preserve">, decide whether or not it is admissible under the Optional Protocol </w:t>
      </w:r>
      <w:r>
        <w:t>to</w:t>
      </w:r>
      <w:r w:rsidRPr="00361A6E">
        <w:t xml:space="preserve"> the Covenant. </w:t>
      </w:r>
    </w:p>
    <w:p w:rsidR="005057F6" w:rsidRDefault="005057F6" w:rsidP="00C97DB5">
      <w:pPr>
        <w:pStyle w:val="SingleTxtG"/>
      </w:pPr>
      <w:r>
        <w:t>5.2</w:t>
      </w:r>
      <w:r>
        <w:tab/>
      </w:r>
      <w:r w:rsidRPr="0056470D">
        <w:t>As required under article 5, paragraph 2 (a), of the Optional Protocol, the Committee has ascertained that the same matter is not being examined under another procedure of international investigation or settlement.</w:t>
      </w:r>
    </w:p>
    <w:p w:rsidR="001A0F41" w:rsidRDefault="005057F6" w:rsidP="00296EC2">
      <w:pPr>
        <w:pStyle w:val="SingleTxtG"/>
      </w:pPr>
      <w:r>
        <w:t>5.3</w:t>
      </w:r>
      <w:r>
        <w:tab/>
      </w:r>
      <w:r w:rsidR="001A0F41" w:rsidRPr="001A0F41">
        <w:t>Having taken note of the author</w:t>
      </w:r>
      <w:r w:rsidR="00296EC2">
        <w:t>’</w:t>
      </w:r>
      <w:r w:rsidR="001A0F41" w:rsidRPr="001A0F41">
        <w:t xml:space="preserve">s arguments concerning the exhaustion of domestic remedies and taking into account the lack of cooperation by the State party, the Committee concludes that there is nothing in article 5, paragraph 2 (b), of the Optional Protocol to prevent it from considering </w:t>
      </w:r>
      <w:r w:rsidR="00ED5142">
        <w:t>the communication.</w:t>
      </w:r>
    </w:p>
    <w:p w:rsidR="00B8588E" w:rsidRPr="001A0F41" w:rsidRDefault="00B8588E" w:rsidP="00296EC2">
      <w:pPr>
        <w:pStyle w:val="SingleTxtG"/>
      </w:pPr>
      <w:r>
        <w:t>5.4</w:t>
      </w:r>
      <w:r>
        <w:tab/>
        <w:t xml:space="preserve">The Committee notes the author’s allegations that he was ill-treated from 23 to 25 April 2002 in the premises of the </w:t>
      </w:r>
      <w:r w:rsidR="00296EC2">
        <w:t xml:space="preserve">national intelligence service in </w:t>
      </w:r>
      <w:r>
        <w:t>Lubumbashi</w:t>
      </w:r>
      <w:r w:rsidR="00296EC2">
        <w:t>,</w:t>
      </w:r>
      <w:r>
        <w:t xml:space="preserve"> that he was </w:t>
      </w:r>
      <w:r>
        <w:lastRenderedPageBreak/>
        <w:t xml:space="preserve">subjected to torture during his detention at the </w:t>
      </w:r>
      <w:r w:rsidR="00296EC2">
        <w:t xml:space="preserve">premises of the national intelligence service in </w:t>
      </w:r>
      <w:r>
        <w:t xml:space="preserve">Kinshasa from April to July 2002, that he was arbitrarily detained and that his detention forced him to be separated from his </w:t>
      </w:r>
      <w:r w:rsidR="00DF3941">
        <w:t>family</w:t>
      </w:r>
      <w:r w:rsidR="00BA6827">
        <w:t xml:space="preserve"> which caused him deep mental distress. In the absence of any reply by the State party, the Committee considers that, for purposes of admissibility, the author has sufficiently substantiated his claims under articles 7, 9 and 17, of the Covenant.</w:t>
      </w:r>
    </w:p>
    <w:p w:rsidR="00C71B7B" w:rsidRDefault="005057F6" w:rsidP="00C97DB5">
      <w:pPr>
        <w:pStyle w:val="SingleTxtG"/>
      </w:pPr>
      <w:r>
        <w:t>5.</w:t>
      </w:r>
      <w:r w:rsidR="00BA6827">
        <w:t>5</w:t>
      </w:r>
      <w:r w:rsidRPr="00BD06D5">
        <w:tab/>
      </w:r>
      <w:r>
        <w:t>Having found no impediment to the admissibility of the author’s</w:t>
      </w:r>
      <w:r w:rsidRPr="00BD06D5">
        <w:t xml:space="preserve"> claims under articles 7</w:t>
      </w:r>
      <w:r w:rsidR="001A0F41">
        <w:t>, 9 and 17</w:t>
      </w:r>
      <w:r w:rsidRPr="00BD06D5">
        <w:t xml:space="preserve"> </w:t>
      </w:r>
      <w:r>
        <w:t>of the Covenant, the Committee proceeds to their examination on the merits</w:t>
      </w:r>
      <w:r w:rsidRPr="00BD06D5">
        <w:t xml:space="preserve">. </w:t>
      </w:r>
    </w:p>
    <w:p w:rsidR="001A0F41" w:rsidRPr="00C71B7B" w:rsidRDefault="00C97DB5" w:rsidP="00C97DB5">
      <w:pPr>
        <w:pStyle w:val="H4G"/>
        <w:rPr>
          <w:lang w:eastAsia="zh-CN"/>
        </w:rPr>
      </w:pPr>
      <w:r>
        <w:rPr>
          <w:lang w:eastAsia="zh-CN"/>
        </w:rPr>
        <w:tab/>
      </w:r>
      <w:r>
        <w:rPr>
          <w:lang w:eastAsia="zh-CN"/>
        </w:rPr>
        <w:tab/>
      </w:r>
      <w:r w:rsidR="001A0F41" w:rsidRPr="00C71B7B">
        <w:rPr>
          <w:lang w:eastAsia="zh-CN"/>
        </w:rPr>
        <w:t>Consideration of the merits</w:t>
      </w:r>
    </w:p>
    <w:p w:rsidR="00C03036" w:rsidRPr="00C97DB5" w:rsidRDefault="001A0F41" w:rsidP="00C97DB5">
      <w:pPr>
        <w:pStyle w:val="SingleTxtG"/>
        <w:rPr>
          <w:rFonts w:eastAsia="SimSun"/>
        </w:rPr>
      </w:pPr>
      <w:r w:rsidRPr="00C97DB5">
        <w:t>6.1</w:t>
      </w:r>
      <w:r w:rsidRPr="00C97DB5">
        <w:tab/>
      </w:r>
      <w:r w:rsidRPr="00C97DB5">
        <w:rPr>
          <w:rFonts w:eastAsia="SimSun"/>
        </w:rPr>
        <w:t xml:space="preserve">The Human Rights Committee has considered </w:t>
      </w:r>
      <w:r w:rsidR="00ED5142" w:rsidRPr="00C97DB5">
        <w:rPr>
          <w:rFonts w:eastAsia="SimSun"/>
        </w:rPr>
        <w:t>the present communication in</w:t>
      </w:r>
      <w:r w:rsidRPr="00C97DB5">
        <w:rPr>
          <w:rFonts w:eastAsia="SimSun"/>
        </w:rPr>
        <w:t xml:space="preserve"> light of all the information made available to it, as required under article 5, paragraph 1, of the Optional Protocol. </w:t>
      </w:r>
    </w:p>
    <w:p w:rsidR="00C03036" w:rsidRDefault="00C03036" w:rsidP="000F5232">
      <w:pPr>
        <w:pStyle w:val="SingleTxtG"/>
        <w:rPr>
          <w:rFonts w:eastAsia="SimSun"/>
          <w:lang w:eastAsia="zh-CN"/>
        </w:rPr>
      </w:pPr>
      <w:r>
        <w:rPr>
          <w:rFonts w:eastAsia="SimSun"/>
          <w:lang w:eastAsia="zh-CN"/>
        </w:rPr>
        <w:t>6.2</w:t>
      </w:r>
      <w:r>
        <w:rPr>
          <w:rFonts w:eastAsia="SimSun"/>
          <w:lang w:eastAsia="zh-CN"/>
        </w:rPr>
        <w:tab/>
        <w:t xml:space="preserve">The Committee notes the author’s allegations under article 7 that </w:t>
      </w:r>
      <w:r w:rsidR="00230169">
        <w:rPr>
          <w:rFonts w:eastAsia="SimSun"/>
          <w:lang w:eastAsia="zh-CN"/>
        </w:rPr>
        <w:t xml:space="preserve">from 23 to 25 April 2002, </w:t>
      </w:r>
      <w:r w:rsidR="000C510E">
        <w:rPr>
          <w:rFonts w:eastAsia="SimSun"/>
          <w:lang w:eastAsia="zh-CN"/>
        </w:rPr>
        <w:t>he</w:t>
      </w:r>
      <w:r w:rsidR="00230169">
        <w:rPr>
          <w:rFonts w:eastAsia="SimSun"/>
          <w:lang w:eastAsia="zh-CN"/>
        </w:rPr>
        <w:t xml:space="preserve"> was ill-treated </w:t>
      </w:r>
      <w:r w:rsidR="001D17CB">
        <w:rPr>
          <w:rFonts w:eastAsia="SimSun"/>
          <w:lang w:eastAsia="zh-CN"/>
        </w:rPr>
        <w:t xml:space="preserve">in the premises of the </w:t>
      </w:r>
      <w:r w:rsidR="00296EC2">
        <w:rPr>
          <w:rFonts w:eastAsia="SimSun"/>
          <w:lang w:eastAsia="zh-CN"/>
        </w:rPr>
        <w:t xml:space="preserve">national intelligence service in </w:t>
      </w:r>
      <w:smartTag w:uri="urn:schemas-microsoft-com:office:smarttags" w:element="place">
        <w:smartTag w:uri="urn:schemas-microsoft-com:office:smarttags" w:element="City">
          <w:r w:rsidR="001D17CB">
            <w:rPr>
              <w:rFonts w:eastAsia="SimSun"/>
              <w:lang w:eastAsia="zh-CN"/>
            </w:rPr>
            <w:t>Lubumbashi</w:t>
          </w:r>
        </w:smartTag>
      </w:smartTag>
      <w:r w:rsidR="001D17CB">
        <w:rPr>
          <w:rFonts w:eastAsia="SimSun"/>
          <w:lang w:eastAsia="zh-CN"/>
        </w:rPr>
        <w:t xml:space="preserve"> </w:t>
      </w:r>
      <w:r w:rsidR="00230169">
        <w:rPr>
          <w:rFonts w:eastAsia="SimSun"/>
          <w:lang w:eastAsia="zh-CN"/>
        </w:rPr>
        <w:t xml:space="preserve">by </w:t>
      </w:r>
      <w:r w:rsidR="003B3C1F">
        <w:rPr>
          <w:rFonts w:eastAsia="SimSun"/>
          <w:lang w:eastAsia="zh-CN"/>
        </w:rPr>
        <w:t>officials</w:t>
      </w:r>
      <w:r w:rsidR="000C510E">
        <w:rPr>
          <w:rFonts w:eastAsia="SimSun"/>
          <w:lang w:eastAsia="zh-CN"/>
        </w:rPr>
        <w:t xml:space="preserve"> </w:t>
      </w:r>
      <w:r w:rsidR="00383913">
        <w:rPr>
          <w:rFonts w:eastAsia="SimSun"/>
          <w:lang w:eastAsia="zh-CN"/>
        </w:rPr>
        <w:t>who accu</w:t>
      </w:r>
      <w:r w:rsidR="00BF3AE0">
        <w:rPr>
          <w:rFonts w:eastAsia="SimSun"/>
          <w:lang w:eastAsia="zh-CN"/>
        </w:rPr>
        <w:t>s</w:t>
      </w:r>
      <w:r w:rsidR="00383913">
        <w:rPr>
          <w:rFonts w:eastAsia="SimSun"/>
          <w:lang w:eastAsia="zh-CN"/>
        </w:rPr>
        <w:t>ed</w:t>
      </w:r>
      <w:r w:rsidR="00230169">
        <w:rPr>
          <w:rFonts w:eastAsia="SimSun"/>
          <w:lang w:eastAsia="zh-CN"/>
        </w:rPr>
        <w:t xml:space="preserve"> him of being a spy. He was subjected to regular beatings and fear</w:t>
      </w:r>
      <w:r w:rsidR="004109F3">
        <w:rPr>
          <w:rFonts w:eastAsia="SimSun"/>
          <w:lang w:eastAsia="zh-CN"/>
        </w:rPr>
        <w:t>ed he would be</w:t>
      </w:r>
      <w:r w:rsidR="00230169">
        <w:rPr>
          <w:rFonts w:eastAsia="SimSun"/>
          <w:lang w:eastAsia="zh-CN"/>
        </w:rPr>
        <w:t xml:space="preserve"> killed. The Committee further notes the author’s allegations that</w:t>
      </w:r>
      <w:r w:rsidR="00A207B2">
        <w:rPr>
          <w:rFonts w:eastAsia="SimSun"/>
          <w:lang w:eastAsia="zh-CN"/>
        </w:rPr>
        <w:t>,</w:t>
      </w:r>
      <w:r w:rsidR="00230169">
        <w:rPr>
          <w:rFonts w:eastAsia="SimSun"/>
          <w:lang w:eastAsia="zh-CN"/>
        </w:rPr>
        <w:t xml:space="preserve"> duri</w:t>
      </w:r>
      <w:r w:rsidR="000C510E">
        <w:rPr>
          <w:rFonts w:eastAsia="SimSun"/>
          <w:lang w:eastAsia="zh-CN"/>
        </w:rPr>
        <w:t xml:space="preserve">ng the six months </w:t>
      </w:r>
      <w:r w:rsidR="001D17CB">
        <w:rPr>
          <w:rFonts w:eastAsia="SimSun"/>
          <w:lang w:eastAsia="zh-CN"/>
        </w:rPr>
        <w:t xml:space="preserve">that </w:t>
      </w:r>
      <w:r w:rsidR="000C510E">
        <w:rPr>
          <w:rFonts w:eastAsia="SimSun"/>
          <w:lang w:eastAsia="zh-CN"/>
        </w:rPr>
        <w:t xml:space="preserve">he was </w:t>
      </w:r>
      <w:r w:rsidR="00383913">
        <w:rPr>
          <w:rFonts w:eastAsia="SimSun"/>
          <w:lang w:eastAsia="zh-CN"/>
        </w:rPr>
        <w:t xml:space="preserve">detained </w:t>
      </w:r>
      <w:r w:rsidR="000C510E">
        <w:rPr>
          <w:rFonts w:eastAsia="SimSun"/>
          <w:lang w:eastAsia="zh-CN"/>
        </w:rPr>
        <w:t>at</w:t>
      </w:r>
      <w:r w:rsidR="00230169">
        <w:rPr>
          <w:rFonts w:eastAsia="SimSun"/>
          <w:lang w:eastAsia="zh-CN"/>
        </w:rPr>
        <w:t xml:space="preserve"> the premises </w:t>
      </w:r>
      <w:r w:rsidR="00296EC2">
        <w:rPr>
          <w:rFonts w:eastAsia="SimSun"/>
          <w:lang w:eastAsia="zh-CN"/>
        </w:rPr>
        <w:t xml:space="preserve">of the national intelligence services </w:t>
      </w:r>
      <w:r w:rsidR="00230169">
        <w:rPr>
          <w:rFonts w:eastAsia="SimSun"/>
          <w:lang w:eastAsia="zh-CN"/>
        </w:rPr>
        <w:t xml:space="preserve">in </w:t>
      </w:r>
      <w:smartTag w:uri="urn:schemas-microsoft-com:office:smarttags" w:element="place">
        <w:smartTag w:uri="urn:schemas-microsoft-com:office:smarttags" w:element="City">
          <w:r w:rsidR="00230169">
            <w:rPr>
              <w:rFonts w:eastAsia="SimSun"/>
              <w:lang w:eastAsia="zh-CN"/>
            </w:rPr>
            <w:t>Kinshasa</w:t>
          </w:r>
        </w:smartTag>
      </w:smartTag>
      <w:r w:rsidR="00230169">
        <w:rPr>
          <w:rFonts w:eastAsia="SimSun"/>
          <w:lang w:eastAsia="zh-CN"/>
        </w:rPr>
        <w:t xml:space="preserve">, he was subjected to </w:t>
      </w:r>
      <w:r w:rsidR="008E7020">
        <w:rPr>
          <w:rFonts w:eastAsia="SimSun"/>
          <w:lang w:eastAsia="zh-CN"/>
        </w:rPr>
        <w:t>various brutal forms of torture</w:t>
      </w:r>
      <w:r w:rsidR="00230169">
        <w:rPr>
          <w:rFonts w:eastAsia="SimSun"/>
          <w:lang w:eastAsia="zh-CN"/>
        </w:rPr>
        <w:t xml:space="preserve">. </w:t>
      </w:r>
      <w:r w:rsidR="00B725DF">
        <w:rPr>
          <w:rFonts w:eastAsia="SimSun"/>
          <w:lang w:eastAsia="zh-CN"/>
        </w:rPr>
        <w:t xml:space="preserve">It also notes that </w:t>
      </w:r>
      <w:r w:rsidR="000F5232">
        <w:rPr>
          <w:rFonts w:eastAsia="SimSun"/>
          <w:lang w:eastAsia="zh-CN"/>
        </w:rPr>
        <w:t>he</w:t>
      </w:r>
      <w:r w:rsidR="00B725DF">
        <w:rPr>
          <w:rFonts w:eastAsia="SimSun"/>
          <w:lang w:eastAsia="zh-CN"/>
        </w:rPr>
        <w:t xml:space="preserve"> was deprived of food and water and that he did not have any contact </w:t>
      </w:r>
      <w:r w:rsidR="00A207B2">
        <w:rPr>
          <w:rFonts w:eastAsia="SimSun"/>
          <w:lang w:eastAsia="zh-CN"/>
        </w:rPr>
        <w:t xml:space="preserve">with </w:t>
      </w:r>
      <w:r w:rsidR="00B725DF">
        <w:rPr>
          <w:rFonts w:eastAsia="SimSun"/>
          <w:lang w:eastAsia="zh-CN"/>
        </w:rPr>
        <w:t xml:space="preserve">his family. Finally, it notes that according to his trauma counsellor, the </w:t>
      </w:r>
      <w:r w:rsidR="0093755E">
        <w:rPr>
          <w:rFonts w:eastAsia="SimSun"/>
          <w:lang w:eastAsia="zh-CN"/>
        </w:rPr>
        <w:t>author suffers</w:t>
      </w:r>
      <w:r w:rsidR="00B725DF">
        <w:rPr>
          <w:rFonts w:eastAsia="SimSun"/>
          <w:lang w:eastAsia="zh-CN"/>
        </w:rPr>
        <w:t xml:space="preserve"> long</w:t>
      </w:r>
      <w:r w:rsidR="00F50FCB">
        <w:rPr>
          <w:rFonts w:eastAsia="SimSun"/>
          <w:lang w:eastAsia="zh-CN"/>
        </w:rPr>
        <w:t>-</w:t>
      </w:r>
      <w:r w:rsidR="00B725DF">
        <w:rPr>
          <w:rFonts w:eastAsia="SimSun"/>
          <w:lang w:eastAsia="zh-CN"/>
        </w:rPr>
        <w:t>term conseque</w:t>
      </w:r>
      <w:r w:rsidR="00D86682">
        <w:rPr>
          <w:rFonts w:eastAsia="SimSun"/>
          <w:lang w:eastAsia="zh-CN"/>
        </w:rPr>
        <w:t>nces of the trauma of his detention</w:t>
      </w:r>
      <w:r w:rsidR="00B725DF">
        <w:rPr>
          <w:rFonts w:eastAsia="SimSun"/>
          <w:lang w:eastAsia="zh-CN"/>
        </w:rPr>
        <w:t xml:space="preserve"> and torture, including issues </w:t>
      </w:r>
      <w:r w:rsidR="00B101EE">
        <w:rPr>
          <w:rFonts w:eastAsia="SimSun"/>
          <w:lang w:eastAsia="zh-CN"/>
        </w:rPr>
        <w:t xml:space="preserve">to do </w:t>
      </w:r>
      <w:r w:rsidR="00B725DF">
        <w:rPr>
          <w:rFonts w:eastAsia="SimSun"/>
          <w:lang w:eastAsia="zh-CN"/>
        </w:rPr>
        <w:t xml:space="preserve">with sleep, appetite, somatic pain and interpersonal problems. </w:t>
      </w:r>
    </w:p>
    <w:p w:rsidR="00C03036" w:rsidRDefault="00230169" w:rsidP="00F50FCB">
      <w:pPr>
        <w:pStyle w:val="SingleTxtG"/>
        <w:rPr>
          <w:rFonts w:eastAsia="SimSun"/>
          <w:color w:val="000000"/>
          <w:lang w:eastAsia="zh-CN"/>
        </w:rPr>
      </w:pPr>
      <w:r>
        <w:rPr>
          <w:rFonts w:eastAsia="SimSun"/>
          <w:lang w:eastAsia="zh-CN"/>
        </w:rPr>
        <w:t>6.3</w:t>
      </w:r>
      <w:r w:rsidR="001A0F41">
        <w:rPr>
          <w:rFonts w:eastAsia="SimSun"/>
          <w:lang w:eastAsia="zh-CN"/>
        </w:rPr>
        <w:tab/>
      </w:r>
      <w:r w:rsidR="00C03036" w:rsidRPr="00C03036">
        <w:rPr>
          <w:rFonts w:eastAsia="SimSun"/>
          <w:color w:val="000000"/>
          <w:lang w:eastAsia="zh-CN"/>
        </w:rPr>
        <w:t>The Committee recalls that the State party has a duty to investigate in good faith all allegations of violations of the Covenant made against</w:t>
      </w:r>
      <w:r w:rsidR="006E3AD2">
        <w:rPr>
          <w:rFonts w:eastAsia="SimSun"/>
          <w:color w:val="000000"/>
          <w:lang w:eastAsia="zh-CN"/>
        </w:rPr>
        <w:t xml:space="preserve"> </w:t>
      </w:r>
      <w:r w:rsidR="00C03036" w:rsidRPr="00C03036">
        <w:rPr>
          <w:rFonts w:eastAsia="SimSun"/>
          <w:color w:val="000000"/>
          <w:lang w:eastAsia="zh-CN"/>
        </w:rPr>
        <w:t>it and to furnish to the Committee the information available to it. In cases where the allegations are corroborated by credible evidence submitted by the author and where further clarification depends on information that is solely in the hands of the State party, the Committee may consider an author</w:t>
      </w:r>
      <w:r w:rsidR="00F50FCB">
        <w:rPr>
          <w:rFonts w:eastAsia="SimSun"/>
          <w:color w:val="000000"/>
          <w:lang w:eastAsia="zh-CN"/>
        </w:rPr>
        <w:t>’</w:t>
      </w:r>
      <w:r w:rsidR="00C03036" w:rsidRPr="00C03036">
        <w:rPr>
          <w:rFonts w:eastAsia="SimSun"/>
          <w:color w:val="000000"/>
          <w:lang w:eastAsia="zh-CN"/>
        </w:rPr>
        <w:t>s allegations to be substantiated in the absence of satisfactory evidence or explanations to the contrary presented by the State party. In the absence of any explanations from the State party, due weight must be given to the author</w:t>
      </w:r>
      <w:r w:rsidR="00F50FCB">
        <w:rPr>
          <w:rFonts w:eastAsia="SimSun"/>
          <w:color w:val="000000"/>
          <w:lang w:eastAsia="zh-CN"/>
        </w:rPr>
        <w:t>’</w:t>
      </w:r>
      <w:r w:rsidR="00C03036" w:rsidRPr="00C03036">
        <w:rPr>
          <w:rFonts w:eastAsia="SimSun"/>
          <w:color w:val="000000"/>
          <w:lang w:eastAsia="zh-CN"/>
        </w:rPr>
        <w:t>s allegations</w:t>
      </w:r>
      <w:r w:rsidR="00CD136C" w:rsidRPr="000442F2">
        <w:rPr>
          <w:rFonts w:eastAsia="SimSun"/>
          <w:color w:val="000000"/>
          <w:lang w:eastAsia="zh-CN"/>
        </w:rPr>
        <w:t>.</w:t>
      </w:r>
      <w:r w:rsidR="00C03036" w:rsidRPr="000442F2">
        <w:rPr>
          <w:rStyle w:val="FootnoteReference"/>
          <w:rFonts w:eastAsia="SimSun"/>
        </w:rPr>
        <w:footnoteReference w:id="13"/>
      </w:r>
    </w:p>
    <w:p w:rsidR="00D86682" w:rsidRDefault="00F4785E" w:rsidP="00380400">
      <w:pPr>
        <w:pStyle w:val="SingleTxtG"/>
        <w:rPr>
          <w:rFonts w:eastAsia="SimSun"/>
          <w:color w:val="000000"/>
          <w:lang w:eastAsia="zh-CN"/>
        </w:rPr>
      </w:pPr>
      <w:r>
        <w:rPr>
          <w:rFonts w:eastAsia="SimSun"/>
          <w:color w:val="000000"/>
          <w:lang w:eastAsia="zh-CN"/>
        </w:rPr>
        <w:t>6.4</w:t>
      </w:r>
      <w:r>
        <w:rPr>
          <w:rFonts w:eastAsia="SimSun"/>
          <w:color w:val="000000"/>
          <w:lang w:eastAsia="zh-CN"/>
        </w:rPr>
        <w:tab/>
      </w:r>
      <w:r w:rsidRPr="00C03036">
        <w:rPr>
          <w:rFonts w:eastAsia="SimSun"/>
          <w:color w:val="000000"/>
          <w:lang w:eastAsia="zh-CN"/>
        </w:rPr>
        <w:t>On the basis of the information at its disposal, and recalling that article 7 allows no limitation, even in situations of public emergency</w:t>
      </w:r>
      <w:r w:rsidR="00CD136C">
        <w:rPr>
          <w:rFonts w:eastAsia="SimSun"/>
          <w:color w:val="000000"/>
          <w:lang w:eastAsia="zh-CN"/>
        </w:rPr>
        <w:t>,</w:t>
      </w:r>
      <w:r w:rsidRPr="00962715">
        <w:rPr>
          <w:rStyle w:val="FootnoteReference"/>
          <w:rFonts w:eastAsia="SimSun"/>
        </w:rPr>
        <w:footnoteReference w:id="14"/>
      </w:r>
      <w:r w:rsidRPr="00C03036">
        <w:rPr>
          <w:rFonts w:eastAsia="SimSun"/>
          <w:color w:val="000000"/>
          <w:lang w:eastAsia="zh-CN"/>
        </w:rPr>
        <w:t xml:space="preserve"> the Committee finds that the </w:t>
      </w:r>
      <w:r>
        <w:rPr>
          <w:rFonts w:eastAsia="SimSun"/>
          <w:color w:val="000000"/>
          <w:lang w:eastAsia="zh-CN"/>
        </w:rPr>
        <w:t>treatment</w:t>
      </w:r>
      <w:r w:rsidRPr="00C03036">
        <w:rPr>
          <w:rFonts w:eastAsia="SimSun"/>
          <w:color w:val="000000"/>
          <w:lang w:eastAsia="zh-CN"/>
        </w:rPr>
        <w:t xml:space="preserve"> to which the author was </w:t>
      </w:r>
      <w:r>
        <w:rPr>
          <w:rFonts w:eastAsia="SimSun"/>
          <w:color w:val="000000"/>
          <w:lang w:eastAsia="zh-CN"/>
        </w:rPr>
        <w:t>subjected by officials of the national intelligence services</w:t>
      </w:r>
      <w:r w:rsidR="00380400">
        <w:rPr>
          <w:rFonts w:eastAsia="SimSun"/>
          <w:color w:val="000000"/>
          <w:lang w:eastAsia="zh-CN"/>
        </w:rPr>
        <w:t>,</w:t>
      </w:r>
      <w:r>
        <w:rPr>
          <w:rFonts w:eastAsia="SimSun"/>
          <w:color w:val="000000"/>
          <w:lang w:eastAsia="zh-CN"/>
        </w:rPr>
        <w:t xml:space="preserve"> with the aim of obtaining a confession of his involvement with the </w:t>
      </w:r>
      <w:r w:rsidR="00380400">
        <w:rPr>
          <w:rFonts w:eastAsia="SimSun"/>
          <w:color w:val="000000"/>
          <w:lang w:eastAsia="zh-CN"/>
        </w:rPr>
        <w:t>G</w:t>
      </w:r>
      <w:r>
        <w:rPr>
          <w:rFonts w:eastAsia="SimSun"/>
          <w:color w:val="000000"/>
          <w:lang w:eastAsia="zh-CN"/>
        </w:rPr>
        <w:t>overnment</w:t>
      </w:r>
      <w:r w:rsidR="00D86682">
        <w:rPr>
          <w:rFonts w:eastAsia="SimSun"/>
          <w:color w:val="000000"/>
          <w:lang w:eastAsia="zh-CN"/>
        </w:rPr>
        <w:t xml:space="preserve"> </w:t>
      </w:r>
      <w:r w:rsidR="00380400">
        <w:rPr>
          <w:rFonts w:eastAsia="SimSun"/>
          <w:color w:val="000000"/>
          <w:lang w:eastAsia="zh-CN"/>
        </w:rPr>
        <w:t xml:space="preserve">of Rwanda </w:t>
      </w:r>
      <w:r w:rsidR="00D86682">
        <w:rPr>
          <w:rFonts w:eastAsia="SimSun"/>
          <w:color w:val="000000"/>
          <w:lang w:eastAsia="zh-CN"/>
        </w:rPr>
        <w:t xml:space="preserve">and his plan to overthrow the </w:t>
      </w:r>
      <w:r w:rsidR="00380400">
        <w:rPr>
          <w:rFonts w:eastAsia="SimSun"/>
          <w:color w:val="000000"/>
          <w:lang w:eastAsia="zh-CN"/>
        </w:rPr>
        <w:t>G</w:t>
      </w:r>
      <w:r w:rsidR="00D86682">
        <w:rPr>
          <w:rFonts w:eastAsia="SimSun"/>
          <w:color w:val="000000"/>
          <w:lang w:eastAsia="zh-CN"/>
        </w:rPr>
        <w:t>overnment</w:t>
      </w:r>
      <w:r w:rsidR="00380400">
        <w:rPr>
          <w:rFonts w:eastAsia="SimSun"/>
          <w:color w:val="000000"/>
          <w:lang w:eastAsia="zh-CN"/>
        </w:rPr>
        <w:t xml:space="preserve"> of the Democratic Republic of the Congo</w:t>
      </w:r>
      <w:r w:rsidRPr="00C03036">
        <w:rPr>
          <w:rFonts w:eastAsia="SimSun"/>
          <w:color w:val="000000"/>
          <w:lang w:eastAsia="zh-CN"/>
        </w:rPr>
        <w:t>, reveal</w:t>
      </w:r>
      <w:r w:rsidR="00380400">
        <w:rPr>
          <w:rFonts w:eastAsia="SimSun"/>
          <w:color w:val="000000"/>
          <w:lang w:eastAsia="zh-CN"/>
        </w:rPr>
        <w:t>s</w:t>
      </w:r>
      <w:r w:rsidRPr="00C03036">
        <w:rPr>
          <w:rFonts w:eastAsia="SimSun"/>
          <w:color w:val="000000"/>
          <w:lang w:eastAsia="zh-CN"/>
        </w:rPr>
        <w:t xml:space="preserve"> </w:t>
      </w:r>
      <w:r>
        <w:rPr>
          <w:rFonts w:eastAsia="SimSun"/>
          <w:color w:val="000000"/>
          <w:lang w:eastAsia="zh-CN"/>
        </w:rPr>
        <w:t>a violation</w:t>
      </w:r>
      <w:r w:rsidRPr="00C03036">
        <w:rPr>
          <w:rFonts w:eastAsia="SimSun"/>
          <w:color w:val="000000"/>
          <w:lang w:eastAsia="zh-CN"/>
        </w:rPr>
        <w:t xml:space="preserve"> of article 7 of the Covenant.</w:t>
      </w:r>
    </w:p>
    <w:p w:rsidR="00BC2C81" w:rsidRDefault="00F13C56" w:rsidP="00380400">
      <w:pPr>
        <w:pStyle w:val="SingleTxtG"/>
      </w:pPr>
      <w:r>
        <w:rPr>
          <w:rFonts w:eastAsia="SimSun"/>
          <w:color w:val="000000"/>
          <w:lang w:eastAsia="zh-CN"/>
        </w:rPr>
        <w:t>6.</w:t>
      </w:r>
      <w:r w:rsidR="00E06E9A">
        <w:rPr>
          <w:rFonts w:eastAsia="SimSun"/>
          <w:color w:val="000000"/>
          <w:lang w:eastAsia="zh-CN"/>
        </w:rPr>
        <w:t>5</w:t>
      </w:r>
      <w:r w:rsidR="00E06E9A">
        <w:rPr>
          <w:rFonts w:eastAsia="SimSun"/>
          <w:color w:val="000000"/>
          <w:lang w:eastAsia="zh-CN"/>
        </w:rPr>
        <w:tab/>
      </w:r>
      <w:r w:rsidR="009C2849">
        <w:rPr>
          <w:rFonts w:eastAsia="SimSun"/>
          <w:color w:val="000000"/>
          <w:lang w:eastAsia="zh-CN"/>
        </w:rPr>
        <w:t>Regarding article 9</w:t>
      </w:r>
      <w:r w:rsidR="00D86682">
        <w:rPr>
          <w:rFonts w:eastAsia="SimSun"/>
          <w:color w:val="000000"/>
          <w:lang w:eastAsia="zh-CN"/>
        </w:rPr>
        <w:t xml:space="preserve"> of the Covenant</w:t>
      </w:r>
      <w:r w:rsidR="009C2849">
        <w:rPr>
          <w:rFonts w:eastAsia="SimSun"/>
          <w:color w:val="000000"/>
          <w:lang w:eastAsia="zh-CN"/>
        </w:rPr>
        <w:t xml:space="preserve">, the Committee notes that the author was arrested on 16 April 2002 by the Presidential Special Police Department, that he was </w:t>
      </w:r>
      <w:r w:rsidR="006E1FD7">
        <w:rPr>
          <w:rFonts w:eastAsia="SimSun"/>
          <w:color w:val="000000"/>
          <w:lang w:eastAsia="zh-CN"/>
        </w:rPr>
        <w:t>brought before</w:t>
      </w:r>
      <w:r w:rsidR="009C2849">
        <w:rPr>
          <w:rFonts w:eastAsia="SimSun"/>
          <w:color w:val="000000"/>
          <w:lang w:eastAsia="zh-CN"/>
        </w:rPr>
        <w:t xml:space="preserve"> the Court of State Security in July 2002 and that he was held in detention </w:t>
      </w:r>
      <w:r w:rsidR="009C2849">
        <w:rPr>
          <w:rFonts w:eastAsia="SimSun"/>
          <w:color w:val="000000"/>
          <w:lang w:eastAsia="zh-CN"/>
        </w:rPr>
        <w:lastRenderedPageBreak/>
        <w:t>until 4 October 2002. R</w:t>
      </w:r>
      <w:r w:rsidR="009052CD">
        <w:rPr>
          <w:rFonts w:eastAsia="SimSun"/>
          <w:color w:val="000000"/>
          <w:lang w:eastAsia="zh-CN"/>
        </w:rPr>
        <w:t>eferring to</w:t>
      </w:r>
      <w:r w:rsidR="001D75B3" w:rsidRPr="001D75B3">
        <w:t xml:space="preserve"> </w:t>
      </w:r>
      <w:r w:rsidR="00380400">
        <w:t xml:space="preserve">paragraph 4 of </w:t>
      </w:r>
      <w:r w:rsidR="001D75B3" w:rsidRPr="001D75B3">
        <w:t>its general comment</w:t>
      </w:r>
      <w:r w:rsidR="009052CD">
        <w:t xml:space="preserve"> No. 8</w:t>
      </w:r>
      <w:r w:rsidR="00380400">
        <w:t xml:space="preserve"> (1982) on article 9 </w:t>
      </w:r>
      <w:r w:rsidR="00857B9B">
        <w:t xml:space="preserve">of the Covenant </w:t>
      </w:r>
      <w:r w:rsidR="00380400">
        <w:t>(</w:t>
      </w:r>
      <w:r w:rsidR="00380400" w:rsidRPr="00380400">
        <w:t>Right to liberty and security of persons</w:t>
      </w:r>
      <w:r w:rsidR="00380400">
        <w:t>)</w:t>
      </w:r>
      <w:r w:rsidR="009052CD">
        <w:t xml:space="preserve"> </w:t>
      </w:r>
      <w:r w:rsidR="00380400">
        <w:t>and</w:t>
      </w:r>
      <w:r w:rsidR="009052CD">
        <w:t xml:space="preserve"> to its jurisprudence</w:t>
      </w:r>
      <w:r w:rsidR="009C2849">
        <w:t xml:space="preserve">, the Committee </w:t>
      </w:r>
      <w:r w:rsidR="009052CD">
        <w:t xml:space="preserve">recalls </w:t>
      </w:r>
      <w:r w:rsidR="009052CD" w:rsidRPr="00A30F62">
        <w:t xml:space="preserve">that </w:t>
      </w:r>
      <w:r w:rsidR="009052CD">
        <w:rPr>
          <w:lang w:val="en-CA"/>
        </w:rPr>
        <w:t>the notion of “arbitrariness” is not to be equated with “against the law”, but must be interpreted more broadly to include elements of inappropriateness, injustice, lack of predictability and due process of law.</w:t>
      </w:r>
      <w:r w:rsidR="009052CD" w:rsidRPr="00962715">
        <w:rPr>
          <w:rStyle w:val="FootnoteReference"/>
        </w:rPr>
        <w:footnoteReference w:id="15"/>
      </w:r>
      <w:r w:rsidR="009052CD">
        <w:t xml:space="preserve"> </w:t>
      </w:r>
      <w:r w:rsidR="006E1FD7">
        <w:t>This means that remand in custody must not only be lawful</w:t>
      </w:r>
      <w:r w:rsidR="00857B9B">
        <w:t>,</w:t>
      </w:r>
      <w:r w:rsidR="006E1FD7">
        <w:t xml:space="preserve"> but reasonable and necessary in all the circumstances. </w:t>
      </w:r>
    </w:p>
    <w:p w:rsidR="0063748F" w:rsidRDefault="00BC2C81" w:rsidP="004109F3">
      <w:pPr>
        <w:pStyle w:val="SingleTxtG"/>
      </w:pPr>
      <w:r>
        <w:t>6.</w:t>
      </w:r>
      <w:r w:rsidR="00E06E9A">
        <w:t>6</w:t>
      </w:r>
      <w:r>
        <w:tab/>
      </w:r>
      <w:r w:rsidR="009052CD">
        <w:t xml:space="preserve">The information before the Committee suggests that the author was arrested without a warrant by the Presidential Special Police Department, that he was accused of being a spy for </w:t>
      </w:r>
      <w:smartTag w:uri="urn:schemas-microsoft-com:office:smarttags" w:element="place">
        <w:smartTag w:uri="urn:schemas-microsoft-com:office:smarttags" w:element="country-region">
          <w:r w:rsidR="009052CD">
            <w:t>Rwanda</w:t>
          </w:r>
        </w:smartTag>
      </w:smartTag>
      <w:r w:rsidR="009052CD">
        <w:t xml:space="preserve"> and looking to stage a coup against the President</w:t>
      </w:r>
      <w:r w:rsidR="006E3AD2">
        <w:t>. Furthermore, the information before the Committee does not show that formal charges were presented against the author</w:t>
      </w:r>
      <w:r w:rsidR="00650509">
        <w:t>,</w:t>
      </w:r>
      <w:r w:rsidR="00E06E9A">
        <w:t xml:space="preserve"> or that he was informed of the reasons for his arrest</w:t>
      </w:r>
      <w:r w:rsidR="00650509">
        <w:t>,</w:t>
      </w:r>
      <w:r w:rsidR="00E06E9A">
        <w:t xml:space="preserve"> or its legal basis. </w:t>
      </w:r>
      <w:r w:rsidR="009052CD">
        <w:t xml:space="preserve">He was held in detention from 16 April 2002 until July 2002, without </w:t>
      </w:r>
      <w:r w:rsidR="00386167">
        <w:t xml:space="preserve">access to legal </w:t>
      </w:r>
      <w:r w:rsidR="00650509">
        <w:t>assistance,</w:t>
      </w:r>
      <w:r w:rsidR="00D86682" w:rsidRPr="00D86682">
        <w:t xml:space="preserve"> </w:t>
      </w:r>
      <w:r w:rsidR="00D86682">
        <w:t xml:space="preserve">and he </w:t>
      </w:r>
      <w:r w:rsidR="004109F3">
        <w:t>had no</w:t>
      </w:r>
      <w:r w:rsidR="00D86682">
        <w:t xml:space="preserve"> contact </w:t>
      </w:r>
      <w:r w:rsidR="001D17CB">
        <w:t xml:space="preserve">with </w:t>
      </w:r>
      <w:r w:rsidR="00D86682">
        <w:t>his family until his release in October 2002</w:t>
      </w:r>
      <w:r w:rsidR="009052CD">
        <w:t xml:space="preserve">. He was taken to </w:t>
      </w:r>
      <w:r w:rsidR="00650509">
        <w:t xml:space="preserve">court </w:t>
      </w:r>
      <w:r w:rsidR="009052CD">
        <w:t xml:space="preserve">without prior notice, no evidence was presented against him and he was never convicted of any crime. </w:t>
      </w:r>
      <w:r w:rsidR="00752972">
        <w:t>In the absence of any explanations by the State party on the legality</w:t>
      </w:r>
      <w:r w:rsidR="00D86682">
        <w:t>, reasonableness and</w:t>
      </w:r>
      <w:r w:rsidR="00752972">
        <w:t xml:space="preserve"> necessity of the author’s detention, the Committee considers that there has been a violation of article 9, paragraph 1. </w:t>
      </w:r>
    </w:p>
    <w:p w:rsidR="0063748F" w:rsidRDefault="0063748F" w:rsidP="00C97DB5">
      <w:pPr>
        <w:pStyle w:val="SingleTxtG"/>
      </w:pPr>
      <w:r>
        <w:t>6.7</w:t>
      </w:r>
      <w:r>
        <w:tab/>
      </w:r>
      <w:r w:rsidR="00752972">
        <w:t xml:space="preserve">It also finds that while being accused of crimes against public security, the absence of any formal charges, information on the grounds </w:t>
      </w:r>
      <w:r w:rsidR="00B5125D">
        <w:t xml:space="preserve">for, </w:t>
      </w:r>
      <w:r w:rsidR="00752972">
        <w:t>and legal basis of</w:t>
      </w:r>
      <w:r w:rsidR="00B5125D">
        <w:t>,</w:t>
      </w:r>
      <w:r w:rsidR="00752972">
        <w:t xml:space="preserve"> the author’s arrest and detention reveal</w:t>
      </w:r>
      <w:r w:rsidR="00B5125D">
        <w:t>s</w:t>
      </w:r>
      <w:r w:rsidR="00752972">
        <w:t xml:space="preserve"> a violation of article 9, paragraph 2. </w:t>
      </w:r>
    </w:p>
    <w:p w:rsidR="0063748F" w:rsidRDefault="0063748F" w:rsidP="00B5125D">
      <w:pPr>
        <w:pStyle w:val="SingleTxtG"/>
      </w:pPr>
      <w:r>
        <w:t>6.8</w:t>
      </w:r>
      <w:r>
        <w:tab/>
        <w:t xml:space="preserve">Moreover, the Committee recalls </w:t>
      </w:r>
      <w:r w:rsidR="00B5125D">
        <w:t xml:space="preserve">paragraph 2 of </w:t>
      </w:r>
      <w:r w:rsidRPr="006C6C87">
        <w:t>its general comment No. 8 and its jurisprudence,</w:t>
      </w:r>
      <w:r w:rsidRPr="00962715">
        <w:rPr>
          <w:rStyle w:val="FootnoteReference"/>
        </w:rPr>
        <w:footnoteReference w:id="16"/>
      </w:r>
      <w:r w:rsidR="00DE2F2B">
        <w:t xml:space="preserve"> </w:t>
      </w:r>
      <w:r>
        <w:t xml:space="preserve">according to which </w:t>
      </w:r>
      <w:r w:rsidRPr="006C6C87">
        <w:t xml:space="preserve">the meaning of the term </w:t>
      </w:r>
      <w:r>
        <w:t>“</w:t>
      </w:r>
      <w:r w:rsidRPr="006C6C87">
        <w:t>promptly</w:t>
      </w:r>
      <w:r>
        <w:t>”</w:t>
      </w:r>
      <w:r w:rsidRPr="006C6C87">
        <w:t xml:space="preserve"> in article 9, paragraph 3, must be determined on a case-by-case basis, </w:t>
      </w:r>
      <w:r>
        <w:t>but that</w:t>
      </w:r>
      <w:r w:rsidRPr="006C6C87">
        <w:t xml:space="preserve"> delays should not exceed a few days. </w:t>
      </w:r>
      <w:r w:rsidRPr="004A0549">
        <w:t>The Committee further recalls that the period of police custody before a detained person is brought before a judge should not exceed 48 hours.</w:t>
      </w:r>
      <w:r w:rsidRPr="00962715">
        <w:rPr>
          <w:rStyle w:val="FootnoteReference"/>
        </w:rPr>
        <w:footnoteReference w:id="17"/>
      </w:r>
      <w:r w:rsidRPr="004A0549">
        <w:t xml:space="preserve"> Any longer period of delay would require special justification to be compatible with article 9, paragraph 3, of the Covenant.</w:t>
      </w:r>
      <w:r w:rsidRPr="00962715">
        <w:rPr>
          <w:rStyle w:val="FootnoteReference"/>
        </w:rPr>
        <w:footnoteReference w:id="18"/>
      </w:r>
      <w:r w:rsidRPr="004A0549">
        <w:t xml:space="preserve"> </w:t>
      </w:r>
      <w:r w:rsidRPr="006C6C87">
        <w:t xml:space="preserve">The Committee therefore considers the delay of three months before bringing </w:t>
      </w:r>
      <w:r>
        <w:t>the author</w:t>
      </w:r>
      <w:r w:rsidRPr="006C6C87">
        <w:t xml:space="preserve"> before a judge to be incompatible with the requirement of promptness set forth in article 9, paragraph 3 of the Covenant and thus constitutes a violation</w:t>
      </w:r>
      <w:r>
        <w:t xml:space="preserve"> thereof</w:t>
      </w:r>
      <w:r w:rsidRPr="006C6C87">
        <w:t>.</w:t>
      </w:r>
      <w:r>
        <w:t xml:space="preserve"> </w:t>
      </w:r>
    </w:p>
    <w:p w:rsidR="009C2849" w:rsidRDefault="0063748F" w:rsidP="000F5232">
      <w:pPr>
        <w:pStyle w:val="SingleTxtG"/>
      </w:pPr>
      <w:r>
        <w:t>6.9</w:t>
      </w:r>
      <w:r>
        <w:tab/>
        <w:t>Furthermore</w:t>
      </w:r>
      <w:r w:rsidR="004E0375">
        <w:t>, the Committee considers that</w:t>
      </w:r>
      <w:r w:rsidR="003D2517">
        <w:t>,</w:t>
      </w:r>
      <w:r w:rsidR="004E0375">
        <w:t xml:space="preserve"> in </w:t>
      </w:r>
      <w:r w:rsidR="003D2517">
        <w:t xml:space="preserve">the </w:t>
      </w:r>
      <w:r w:rsidR="004E0375">
        <w:t xml:space="preserve">absence of any evidence presented to the author </w:t>
      </w:r>
      <w:r w:rsidR="003D2517">
        <w:t>relating to</w:t>
      </w:r>
      <w:r w:rsidR="004E0375">
        <w:t xml:space="preserve"> the accusations against him and </w:t>
      </w:r>
      <w:r w:rsidR="003D2517">
        <w:t xml:space="preserve">his </w:t>
      </w:r>
      <w:r w:rsidR="00E06E9A">
        <w:t xml:space="preserve">having been </w:t>
      </w:r>
      <w:r w:rsidR="00E13772">
        <w:t xml:space="preserve">detained without </w:t>
      </w:r>
      <w:r w:rsidR="004109F3">
        <w:t xml:space="preserve">having </w:t>
      </w:r>
      <w:r w:rsidR="00E13772">
        <w:t xml:space="preserve">access to a lawyer or </w:t>
      </w:r>
      <w:r w:rsidR="004109F3">
        <w:t xml:space="preserve">any </w:t>
      </w:r>
      <w:r w:rsidR="00E13772">
        <w:t>contact with his family</w:t>
      </w:r>
      <w:r w:rsidR="003D2517">
        <w:t>,</w:t>
      </w:r>
      <w:r w:rsidR="00E13772">
        <w:t xml:space="preserve"> e</w:t>
      </w:r>
      <w:r w:rsidR="004E0375">
        <w:t xml:space="preserve">ffectively prevented </w:t>
      </w:r>
      <w:r w:rsidR="000F5232">
        <w:t>him</w:t>
      </w:r>
      <w:r w:rsidR="004E0375">
        <w:t xml:space="preserve"> from challenging the legality of his detention before a court and therefore also breaches article 9, paragraph 4.</w:t>
      </w:r>
    </w:p>
    <w:p w:rsidR="008E7020" w:rsidRDefault="00FE5746" w:rsidP="008E7020">
      <w:pPr>
        <w:pStyle w:val="SingleTxtG"/>
        <w:spacing w:line="240" w:lineRule="exact"/>
        <w:ind w:right="1138"/>
      </w:pPr>
      <w:r w:rsidRPr="00FE5746">
        <w:t>6.</w:t>
      </w:r>
      <w:r w:rsidR="0063748F">
        <w:t>10</w:t>
      </w:r>
      <w:r w:rsidRPr="00FE5746">
        <w:tab/>
      </w:r>
      <w:r w:rsidR="008E7020" w:rsidRPr="00FE5746">
        <w:t>Having found a violation of article</w:t>
      </w:r>
      <w:r w:rsidR="008E7020">
        <w:t>s</w:t>
      </w:r>
      <w:r w:rsidR="008E7020" w:rsidRPr="00FE5746">
        <w:t xml:space="preserve"> 7 </w:t>
      </w:r>
      <w:r w:rsidR="008E7020">
        <w:t xml:space="preserve">and 9 </w:t>
      </w:r>
      <w:r w:rsidR="008E7020" w:rsidRPr="00FE5746">
        <w:t xml:space="preserve">of the Covenant, the Committee will not consider the </w:t>
      </w:r>
      <w:r w:rsidR="008E7020">
        <w:t xml:space="preserve">author’s </w:t>
      </w:r>
      <w:r w:rsidR="008E7020" w:rsidRPr="00FE5746">
        <w:t>complaint related to the violation of article 17 of the Covenant.</w:t>
      </w:r>
    </w:p>
    <w:p w:rsidR="00F00AC6" w:rsidRDefault="00F00AC6" w:rsidP="00CD136C">
      <w:pPr>
        <w:pStyle w:val="SingleTxtG"/>
      </w:pPr>
      <w:r>
        <w:lastRenderedPageBreak/>
        <w:t>7.</w:t>
      </w:r>
      <w:r>
        <w:tab/>
      </w:r>
      <w:r w:rsidRPr="00F00AC6">
        <w:t>The Human Rights Committee, acting under article 5, paragraph 4, of the Optional Protocol to the International Covenant on Civil and Political Rights, is of the view that the information before it discloses violations by the State party of article</w:t>
      </w:r>
      <w:r w:rsidR="0063748F">
        <w:t>s</w:t>
      </w:r>
      <w:r w:rsidRPr="00F00AC6">
        <w:t xml:space="preserve"> 7</w:t>
      </w:r>
      <w:r w:rsidR="008E7020">
        <w:t xml:space="preserve"> and</w:t>
      </w:r>
      <w:r w:rsidR="0063748F">
        <w:t xml:space="preserve"> 9</w:t>
      </w:r>
      <w:r w:rsidR="00895142">
        <w:t xml:space="preserve"> </w:t>
      </w:r>
      <w:r w:rsidR="00D86682">
        <w:t>of the Covenant</w:t>
      </w:r>
      <w:r>
        <w:t>.</w:t>
      </w:r>
    </w:p>
    <w:p w:rsidR="00F00AC6" w:rsidRDefault="00F00AC6" w:rsidP="003D2517">
      <w:pPr>
        <w:pStyle w:val="SingleTxtG"/>
      </w:pPr>
      <w:r w:rsidRPr="00F00AC6">
        <w:t>8.</w:t>
      </w:r>
      <w:r w:rsidRPr="00F00AC6">
        <w:tab/>
        <w:t>In accordance with article 2, paragraph 3, of the Covenant, the State party is under an o</w:t>
      </w:r>
      <w:r>
        <w:t>bligation to provide the author</w:t>
      </w:r>
      <w:r w:rsidRPr="00F00AC6">
        <w:t xml:space="preserve"> with an effective remedy, including by (</w:t>
      </w:r>
      <w:r w:rsidR="003D2517">
        <w:t>a</w:t>
      </w:r>
      <w:r w:rsidRPr="00F00AC6">
        <w:t>) conducting a thorough and effective investigation into</w:t>
      </w:r>
      <w:r>
        <w:t xml:space="preserve"> </w:t>
      </w:r>
      <w:r w:rsidR="003D2517">
        <w:t>his</w:t>
      </w:r>
      <w:r>
        <w:t xml:space="preserve"> allegations of torture and ill-treatment</w:t>
      </w:r>
      <w:r w:rsidR="004109F3">
        <w:t>;</w:t>
      </w:r>
      <w:r w:rsidRPr="00F00AC6">
        <w:t xml:space="preserve"> </w:t>
      </w:r>
      <w:r>
        <w:t>(</w:t>
      </w:r>
      <w:r w:rsidR="003D2517">
        <w:t>b</w:t>
      </w:r>
      <w:r w:rsidRPr="00F00AC6">
        <w:t xml:space="preserve">) prosecuting, </w:t>
      </w:r>
      <w:r w:rsidR="00E06E9A">
        <w:t>bringing to trial</w:t>
      </w:r>
      <w:r w:rsidR="00E06E9A" w:rsidRPr="00F00AC6">
        <w:t xml:space="preserve"> </w:t>
      </w:r>
      <w:r w:rsidRPr="00F00AC6">
        <w:t xml:space="preserve">and punishing those responsible for </w:t>
      </w:r>
      <w:r>
        <w:t>the violations committed; and (</w:t>
      </w:r>
      <w:r w:rsidR="003D2517">
        <w:t>c</w:t>
      </w:r>
      <w:r w:rsidRPr="00F00AC6">
        <w:t>) providing adequ</w:t>
      </w:r>
      <w:r>
        <w:t>ate compensation</w:t>
      </w:r>
      <w:r w:rsidR="003D2517">
        <w:t xml:space="preserve"> and</w:t>
      </w:r>
      <w:r>
        <w:t xml:space="preserve"> </w:t>
      </w:r>
      <w:r w:rsidR="008C3709">
        <w:t xml:space="preserve">a formal </w:t>
      </w:r>
      <w:r>
        <w:t>public apology</w:t>
      </w:r>
      <w:r w:rsidR="00D86682">
        <w:t xml:space="preserve"> to the author and his family</w:t>
      </w:r>
      <w:r>
        <w:t xml:space="preserve"> </w:t>
      </w:r>
      <w:r w:rsidRPr="00F00AC6">
        <w:t>for the violations suffered</w:t>
      </w:r>
      <w:r>
        <w:t xml:space="preserve">. </w:t>
      </w:r>
      <w:r w:rsidRPr="00F00AC6">
        <w:t>The State party should also take steps to prevent similar violations f</w:t>
      </w:r>
      <w:r>
        <w:t>rom occurring in the future.</w:t>
      </w:r>
    </w:p>
    <w:p w:rsidR="00F00AC6" w:rsidRDefault="00F00AC6" w:rsidP="003D2517">
      <w:pPr>
        <w:pStyle w:val="SingleTxtG"/>
      </w:pPr>
      <w:r>
        <w:t>9.</w:t>
      </w:r>
      <w:r>
        <w:tab/>
      </w:r>
      <w:r w:rsidRPr="00F00AC6">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3D2517">
        <w:t>’</w:t>
      </w:r>
      <w:r w:rsidRPr="00F00AC6">
        <w:t>s Views. The State party is also requested to publish the present Views</w:t>
      </w:r>
      <w:r w:rsidR="00D47FED">
        <w:t xml:space="preserve"> in all official languages</w:t>
      </w:r>
      <w:r w:rsidRPr="00F00AC6">
        <w:t>.</w:t>
      </w:r>
    </w:p>
    <w:p w:rsidR="00442A83" w:rsidRPr="00C03036" w:rsidRDefault="00CB5E72" w:rsidP="00C97DB5">
      <w:pPr>
        <w:pStyle w:val="SingleTxtG"/>
        <w:rPr>
          <w:rFonts w:eastAsia="SimSun"/>
          <w:color w:val="000000"/>
          <w:lang w:eastAsia="zh-CN"/>
        </w:rPr>
      </w:pPr>
      <w:r w:rsidRPr="00C03036">
        <w:rPr>
          <w:rFonts w:eastAsia="SimSun"/>
          <w:color w:val="000000"/>
          <w:lang w:eastAsia="zh-CN"/>
        </w:rPr>
        <w:t>[Adopted in English, French and Spanish, the English text being the original version. Subsequently to be issued also in Arabic, Chinese and Russian as part of the Committee’s annual report to the General Assembly.]</w:t>
      </w:r>
    </w:p>
    <w:p w:rsidR="00CB5E72" w:rsidRPr="00CB5E72" w:rsidRDefault="00CB5E72" w:rsidP="00CB5E72">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sectPr w:rsidR="00CB5E72" w:rsidRPr="00CB5E72" w:rsidSect="00792D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A0" w:rsidRDefault="001C44A0"/>
  </w:endnote>
  <w:endnote w:type="continuationSeparator" w:id="0">
    <w:p w:rsidR="001C44A0" w:rsidRDefault="001C44A0"/>
  </w:endnote>
  <w:endnote w:type="continuationNotice" w:id="1">
    <w:p w:rsidR="001C44A0" w:rsidRDefault="001C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Pr="00792D98" w:rsidRDefault="00A269F8" w:rsidP="00792D98">
    <w:pPr>
      <w:pStyle w:val="Footer"/>
      <w:tabs>
        <w:tab w:val="right" w:pos="9638"/>
      </w:tabs>
    </w:pPr>
    <w:r w:rsidRPr="00792D98">
      <w:rPr>
        <w:b/>
        <w:sz w:val="18"/>
      </w:rPr>
      <w:fldChar w:fldCharType="begin"/>
    </w:r>
    <w:r w:rsidRPr="00792D98">
      <w:rPr>
        <w:b/>
        <w:sz w:val="18"/>
      </w:rPr>
      <w:instrText xml:space="preserve"> PAGE  \* MERGEFORMAT </w:instrText>
    </w:r>
    <w:r w:rsidRPr="00792D98">
      <w:rPr>
        <w:b/>
        <w:sz w:val="18"/>
      </w:rPr>
      <w:fldChar w:fldCharType="separate"/>
    </w:r>
    <w:r w:rsidR="0002789A">
      <w:rPr>
        <w:b/>
        <w:noProof/>
        <w:sz w:val="18"/>
      </w:rPr>
      <w:t>2</w:t>
    </w:r>
    <w:r w:rsidRPr="00792D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Pr="00792D98" w:rsidRDefault="00A269F8" w:rsidP="00792D98">
    <w:pPr>
      <w:pStyle w:val="Footer"/>
      <w:tabs>
        <w:tab w:val="right" w:pos="9638"/>
      </w:tabs>
      <w:rPr>
        <w:sz w:val="18"/>
      </w:rPr>
    </w:pPr>
    <w:r>
      <w:rPr>
        <w:b/>
        <w:sz w:val="18"/>
      </w:rPr>
      <w:tab/>
    </w:r>
    <w:r w:rsidRPr="00792D98">
      <w:rPr>
        <w:sz w:val="18"/>
      </w:rPr>
      <w:fldChar w:fldCharType="begin"/>
    </w:r>
    <w:r w:rsidRPr="00792D98">
      <w:rPr>
        <w:sz w:val="18"/>
      </w:rPr>
      <w:instrText xml:space="preserve"> PAGE  \* MERGEFORMAT </w:instrText>
    </w:r>
    <w:r w:rsidRPr="00792D98">
      <w:rPr>
        <w:sz w:val="18"/>
      </w:rPr>
      <w:fldChar w:fldCharType="separate"/>
    </w:r>
    <w:r w:rsidR="0002789A">
      <w:rPr>
        <w:noProof/>
        <w:sz w:val="18"/>
      </w:rPr>
      <w:t>3</w:t>
    </w:r>
    <w:r w:rsidRPr="00792D98">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Default="001C44A0">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A269F8">
      <w:t>GE.14-42713</w:t>
    </w:r>
    <w:r w:rsidR="00A269F8">
      <w:br/>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r w:rsidR="00A269F8" w:rsidRPr="00805C2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A0" w:rsidRPr="000B175B" w:rsidRDefault="001C44A0" w:rsidP="000B175B">
      <w:pPr>
        <w:tabs>
          <w:tab w:val="right" w:pos="2155"/>
        </w:tabs>
        <w:spacing w:after="80"/>
        <w:ind w:left="680"/>
        <w:rPr>
          <w:u w:val="single"/>
        </w:rPr>
      </w:pPr>
      <w:r>
        <w:rPr>
          <w:u w:val="single"/>
        </w:rPr>
        <w:tab/>
      </w:r>
    </w:p>
  </w:footnote>
  <w:footnote w:type="continuationSeparator" w:id="0">
    <w:p w:rsidR="001C44A0" w:rsidRPr="00FC68B7" w:rsidRDefault="001C44A0" w:rsidP="00FC68B7">
      <w:pPr>
        <w:tabs>
          <w:tab w:val="left" w:pos="2155"/>
        </w:tabs>
        <w:spacing w:after="80"/>
        <w:ind w:left="680"/>
        <w:rPr>
          <w:u w:val="single"/>
        </w:rPr>
      </w:pPr>
      <w:r>
        <w:rPr>
          <w:u w:val="single"/>
        </w:rPr>
        <w:tab/>
      </w:r>
    </w:p>
  </w:footnote>
  <w:footnote w:type="continuationNotice" w:id="1">
    <w:p w:rsidR="001C44A0" w:rsidRDefault="001C44A0"/>
  </w:footnote>
  <w:footnote w:id="2">
    <w:p w:rsidR="00A269F8" w:rsidRPr="00D445C1" w:rsidRDefault="00A269F8" w:rsidP="00AB3F0A">
      <w:pPr>
        <w:pStyle w:val="FootnoteText"/>
        <w:rPr>
          <w:lang w:val="en-US"/>
        </w:rPr>
      </w:pPr>
      <w:r>
        <w:rPr>
          <w:rStyle w:val="FootnoteReference"/>
        </w:rPr>
        <w:tab/>
      </w:r>
      <w:r w:rsidRPr="00B12F0A">
        <w:rPr>
          <w:rStyle w:val="FootnoteReference"/>
          <w:sz w:val="20"/>
          <w:vertAlign w:val="baseline"/>
        </w:rPr>
        <w:t>*</w:t>
      </w:r>
      <w:r>
        <w:tab/>
      </w:r>
      <w:r>
        <w:rPr>
          <w:szCs w:val="18"/>
        </w:rPr>
        <w:t xml:space="preserve">The following Committee members participated in the examination of the present communication: Mr. Yadh Ben Achour, </w:t>
      </w:r>
      <w:r>
        <w:rPr>
          <w:bCs/>
          <w:szCs w:val="18"/>
        </w:rPr>
        <w:t>Mr. Lazhari Bouzid,</w:t>
      </w:r>
      <w:r>
        <w:rPr>
          <w:szCs w:val="18"/>
        </w:rPr>
        <w:t xml:space="preserve"> Ms. Christine Chanet, </w:t>
      </w:r>
      <w:r>
        <w:rPr>
          <w:bCs/>
          <w:szCs w:val="18"/>
        </w:rPr>
        <w:t>Mr. Ahmad Amin Fathalla, Mr. Cornelis Flinterman, Mr.Yuji Iwasawa, Mr. Walter Kälin, Ms. Zonke Zanele Majodina, Mr. Gerald L. Neuman, Sir Nigel Rodley, Mr. Victor Manuel Rodríguez-Rescia,</w:t>
      </w:r>
      <w:r>
        <w:rPr>
          <w:bCs/>
          <w:szCs w:val="18"/>
          <w:lang w:val="en-US"/>
        </w:rPr>
        <w:t xml:space="preserve"> Mr. Fabián Omar Salvioli, Ms. Anja Seibert-Fohr, Mr. Yuval Shany, </w:t>
      </w:r>
      <w:r>
        <w:rPr>
          <w:bCs/>
          <w:szCs w:val="18"/>
        </w:rPr>
        <w:t>Mr. Konstantine Vardzelashvili,</w:t>
      </w:r>
      <w:r>
        <w:rPr>
          <w:bCs/>
          <w:szCs w:val="18"/>
          <w:lang w:val="en-US"/>
        </w:rPr>
        <w:t xml:space="preserve"> </w:t>
      </w:r>
      <w:r>
        <w:rPr>
          <w:bCs/>
          <w:szCs w:val="18"/>
        </w:rPr>
        <w:t>Ms. Margo Waterval, and Mr. Andrei Paul Zlătescu.</w:t>
      </w:r>
    </w:p>
  </w:footnote>
  <w:footnote w:id="3">
    <w:p w:rsidR="00A269F8" w:rsidRPr="00523128" w:rsidRDefault="00A269F8" w:rsidP="00B760B8">
      <w:pPr>
        <w:pStyle w:val="FootnoteText"/>
      </w:pPr>
      <w:r>
        <w:tab/>
      </w:r>
      <w:r>
        <w:rPr>
          <w:rStyle w:val="FootnoteReference"/>
        </w:rPr>
        <w:footnoteRef/>
      </w:r>
      <w:r>
        <w:tab/>
        <w:t>The author notes that the pilot had a shirt, on which the word “Presidential” was embroidered on the collar.</w:t>
      </w:r>
    </w:p>
  </w:footnote>
  <w:footnote w:id="4">
    <w:p w:rsidR="00A269F8" w:rsidRPr="005575C5" w:rsidRDefault="00A269F8" w:rsidP="00CD136C">
      <w:pPr>
        <w:pStyle w:val="FootnoteText"/>
      </w:pPr>
      <w:r>
        <w:tab/>
      </w:r>
      <w:r>
        <w:rPr>
          <w:rStyle w:val="FootnoteReference"/>
        </w:rPr>
        <w:footnoteRef/>
      </w:r>
      <w:r>
        <w:tab/>
      </w:r>
      <w:r w:rsidRPr="006E3AD2">
        <w:t xml:space="preserve">There is no information on the number of nights, during which he was exposed to the treatment he describes. </w:t>
      </w:r>
    </w:p>
  </w:footnote>
  <w:footnote w:id="5">
    <w:p w:rsidR="00A269F8" w:rsidRPr="008048ED" w:rsidRDefault="00A269F8" w:rsidP="00E948F1">
      <w:pPr>
        <w:pStyle w:val="FootnoteText"/>
      </w:pPr>
      <w:r>
        <w:tab/>
      </w:r>
      <w:r>
        <w:rPr>
          <w:rStyle w:val="FootnoteReference"/>
        </w:rPr>
        <w:footnoteRef/>
      </w:r>
      <w:r>
        <w:tab/>
      </w:r>
      <w:r w:rsidRPr="008048ED">
        <w:t>A medical certificate of 14 May 2008</w:t>
      </w:r>
      <w:r>
        <w:t xml:space="preserve"> attests to a testicular operation post trauma, as well as to lower limb weakness related to spinal problems.</w:t>
      </w:r>
    </w:p>
  </w:footnote>
  <w:footnote w:id="6">
    <w:p w:rsidR="00A269F8" w:rsidRPr="00A05327" w:rsidRDefault="00A269F8" w:rsidP="00E948F1">
      <w:pPr>
        <w:pStyle w:val="FootnoteText"/>
      </w:pPr>
      <w:r>
        <w:tab/>
      </w:r>
      <w:r>
        <w:rPr>
          <w:rStyle w:val="FootnoteReference"/>
        </w:rPr>
        <w:footnoteRef/>
      </w:r>
      <w:r>
        <w:tab/>
        <w:t xml:space="preserve">The author claims that the Chair of the Court is nominated by the President and lacks independence. </w:t>
      </w:r>
    </w:p>
  </w:footnote>
  <w:footnote w:id="7">
    <w:p w:rsidR="00A269F8" w:rsidRPr="00343105" w:rsidRDefault="00A269F8" w:rsidP="00173D08">
      <w:pPr>
        <w:pStyle w:val="FootnoteText"/>
      </w:pPr>
      <w:r>
        <w:tab/>
      </w:r>
      <w:r>
        <w:rPr>
          <w:rStyle w:val="FootnoteReference"/>
        </w:rPr>
        <w:footnoteRef/>
      </w:r>
      <w:r>
        <w:tab/>
        <w:t xml:space="preserve">See communications No. 004/1977, </w:t>
      </w:r>
      <w:r w:rsidRPr="00B760B8">
        <w:rPr>
          <w:i/>
        </w:rPr>
        <w:t>Ramirez v. Uruguay</w:t>
      </w:r>
      <w:r>
        <w:t xml:space="preserve">, Views adopted on 23 July 1980, and No. 962/2001, </w:t>
      </w:r>
      <w:r w:rsidRPr="00B760B8">
        <w:rPr>
          <w:i/>
        </w:rPr>
        <w:t xml:space="preserve">Mulezi v. Democratic Republic of </w:t>
      </w:r>
      <w:r>
        <w:rPr>
          <w:i/>
        </w:rPr>
        <w:t xml:space="preserve">the </w:t>
      </w:r>
      <w:r w:rsidRPr="00B760B8">
        <w:rPr>
          <w:i/>
        </w:rPr>
        <w:t>Congo</w:t>
      </w:r>
      <w:r>
        <w:t>, Views adopted on 8 July 2004.</w:t>
      </w:r>
    </w:p>
  </w:footnote>
  <w:footnote w:id="8">
    <w:p w:rsidR="00A269F8" w:rsidRPr="00343105" w:rsidRDefault="00A269F8" w:rsidP="000442F2">
      <w:pPr>
        <w:pStyle w:val="FootnoteText"/>
      </w:pPr>
      <w:r>
        <w:tab/>
      </w:r>
      <w:r>
        <w:rPr>
          <w:rStyle w:val="FootnoteReference"/>
        </w:rPr>
        <w:footnoteRef/>
      </w:r>
      <w:r>
        <w:tab/>
        <w:t xml:space="preserve">See  the preliminary note of the Special Rapporteur on the independence of judges and lawyers on his mission to the </w:t>
      </w:r>
      <w:smartTag w:uri="urn:schemas-microsoft-com:office:smarttags" w:element="place">
        <w:smartTag w:uri="urn:schemas-microsoft-com:office:smarttags" w:element="country-region">
          <w:r>
            <w:t>Democratic Republic of the Congo</w:t>
          </w:r>
        </w:smartTag>
      </w:smartTag>
      <w:r>
        <w:t xml:space="preserve"> (A/HRC/4/25/Add. 3), in which he concluded that interference by the executive and the army in judicial proceedings was very common and that the judicial system was rarely effective. </w:t>
      </w:r>
    </w:p>
  </w:footnote>
  <w:footnote w:id="9">
    <w:p w:rsidR="00A269F8" w:rsidRPr="00AB6E76" w:rsidRDefault="00A269F8" w:rsidP="00B760B8">
      <w:pPr>
        <w:pStyle w:val="FootnoteText"/>
      </w:pPr>
      <w:r>
        <w:tab/>
      </w:r>
      <w:r>
        <w:rPr>
          <w:rStyle w:val="FootnoteReference"/>
        </w:rPr>
        <w:footnoteRef/>
      </w:r>
      <w:r>
        <w:tab/>
      </w:r>
      <w:r w:rsidRPr="00AB6E76">
        <w:t>See communication</w:t>
      </w:r>
      <w:r>
        <w:t>s</w:t>
      </w:r>
      <w:r w:rsidRPr="00AB6E76">
        <w:t xml:space="preserve"> No. 124/1982, </w:t>
      </w:r>
      <w:r w:rsidRPr="00B760B8">
        <w:rPr>
          <w:i/>
        </w:rPr>
        <w:t>Muteba v. Zaire</w:t>
      </w:r>
      <w:r>
        <w:t>, Views adopted on 24 July 1984</w:t>
      </w:r>
      <w:r w:rsidRPr="00AB6E76">
        <w:t xml:space="preserve">; No. 194/1985, </w:t>
      </w:r>
      <w:r w:rsidRPr="00B760B8">
        <w:rPr>
          <w:i/>
        </w:rPr>
        <w:t>Miango Muiyo v. Zaire</w:t>
      </w:r>
      <w:r>
        <w:t>, Views adopted on 27 October 1987</w:t>
      </w:r>
      <w:r w:rsidRPr="00AB6E76">
        <w:t xml:space="preserve">; </w:t>
      </w:r>
      <w:r>
        <w:t xml:space="preserve">and No. </w:t>
      </w:r>
      <w:r w:rsidRPr="00AB6E76">
        <w:t xml:space="preserve">005/1977, </w:t>
      </w:r>
      <w:r w:rsidRPr="00B760B8">
        <w:rPr>
          <w:i/>
        </w:rPr>
        <w:t>Massera v. Uruguay</w:t>
      </w:r>
      <w:r>
        <w:t>, Views adopted on 15 August 1979</w:t>
      </w:r>
      <w:r w:rsidRPr="00AB6E76">
        <w:t xml:space="preserve">. </w:t>
      </w:r>
    </w:p>
  </w:footnote>
  <w:footnote w:id="10">
    <w:p w:rsidR="00A269F8" w:rsidRPr="004555E5" w:rsidRDefault="00A269F8" w:rsidP="00251C33">
      <w:pPr>
        <w:pStyle w:val="FootnoteText"/>
      </w:pPr>
      <w:r>
        <w:tab/>
      </w:r>
      <w:r>
        <w:rPr>
          <w:rStyle w:val="FootnoteReference"/>
        </w:rPr>
        <w:footnoteRef/>
      </w:r>
      <w:r>
        <w:tab/>
        <w:t xml:space="preserve">See communications No. 1050/2002, </w:t>
      </w:r>
      <w:r w:rsidRPr="00B760B8">
        <w:rPr>
          <w:i/>
        </w:rPr>
        <w:t xml:space="preserve">D and E v. </w:t>
      </w:r>
      <w:smartTag w:uri="urn:schemas-microsoft-com:office:smarttags" w:element="country-region">
        <w:r w:rsidRPr="00B760B8">
          <w:rPr>
            <w:i/>
          </w:rPr>
          <w:t>Australia</w:t>
        </w:r>
      </w:smartTag>
      <w:r>
        <w:t xml:space="preserve">, Views adopted on 11 July 2006; No. 560/1993, </w:t>
      </w:r>
      <w:r w:rsidRPr="00B760B8">
        <w:rPr>
          <w:i/>
        </w:rPr>
        <w:t xml:space="preserve">A. v. </w:t>
      </w:r>
      <w:smartTag w:uri="urn:schemas-microsoft-com:office:smarttags" w:element="place">
        <w:smartTag w:uri="urn:schemas-microsoft-com:office:smarttags" w:element="country-region">
          <w:r w:rsidRPr="00B760B8">
            <w:rPr>
              <w:i/>
            </w:rPr>
            <w:t>Australia</w:t>
          </w:r>
        </w:smartTag>
      </w:smartTag>
      <w:r>
        <w:t xml:space="preserve">, Views adopted on 3 April 1997, paras. 9.2 and 9.3; No. 305/1988, </w:t>
      </w:r>
      <w:r w:rsidRPr="00B760B8">
        <w:rPr>
          <w:i/>
        </w:rPr>
        <w:t>Van Alphen v. the Netherlands</w:t>
      </w:r>
      <w:r>
        <w:t xml:space="preserve">, Views adopted on 23 July 1990, para. 5.8; and No. 1324/2004, </w:t>
      </w:r>
      <w:r w:rsidRPr="00B760B8">
        <w:rPr>
          <w:i/>
        </w:rPr>
        <w:t xml:space="preserve">Shafiq v. </w:t>
      </w:r>
      <w:smartTag w:uri="urn:schemas-microsoft-com:office:smarttags" w:element="place">
        <w:smartTag w:uri="urn:schemas-microsoft-com:office:smarttags" w:element="country-region">
          <w:r w:rsidRPr="00B760B8">
            <w:rPr>
              <w:i/>
            </w:rPr>
            <w:t>Australia</w:t>
          </w:r>
        </w:smartTag>
      </w:smartTag>
      <w:r>
        <w:t>, Views adopted on 31 October 2006, para. 7.2.</w:t>
      </w:r>
    </w:p>
  </w:footnote>
  <w:footnote w:id="11">
    <w:p w:rsidR="00A269F8" w:rsidRPr="00000C77" w:rsidRDefault="00A269F8" w:rsidP="00857B9B">
      <w:pPr>
        <w:pStyle w:val="FootnoteText"/>
      </w:pPr>
      <w:r>
        <w:tab/>
      </w:r>
      <w:r>
        <w:rPr>
          <w:rStyle w:val="FootnoteReference"/>
        </w:rPr>
        <w:footnoteRef/>
      </w:r>
      <w:r>
        <w:tab/>
        <w:t xml:space="preserve">See general comment No. 16 (1988) on article 17 (right to privacy). </w:t>
      </w:r>
    </w:p>
  </w:footnote>
  <w:footnote w:id="12">
    <w:p w:rsidR="00A269F8" w:rsidRPr="00000C77" w:rsidRDefault="00A269F8" w:rsidP="00B760B8">
      <w:pPr>
        <w:pStyle w:val="FootnoteText"/>
      </w:pPr>
      <w:r>
        <w:tab/>
      </w:r>
      <w:r>
        <w:rPr>
          <w:rStyle w:val="FootnoteReference"/>
        </w:rPr>
        <w:footnoteRef/>
      </w:r>
      <w:r>
        <w:tab/>
        <w:t xml:space="preserve">This is confirmed by a statement from his trauma counsellor in </w:t>
      </w:r>
      <w:smartTag w:uri="urn:schemas-microsoft-com:office:smarttags" w:element="place">
        <w:smartTag w:uri="urn:schemas-microsoft-com:office:smarttags" w:element="country-region">
          <w:r>
            <w:t>Australia</w:t>
          </w:r>
        </w:smartTag>
      </w:smartTag>
      <w:r>
        <w:t>.</w:t>
      </w:r>
    </w:p>
  </w:footnote>
  <w:footnote w:id="13">
    <w:p w:rsidR="00A269F8" w:rsidRPr="00B87A63" w:rsidRDefault="00A269F8" w:rsidP="00626422">
      <w:pPr>
        <w:pStyle w:val="FootnoteText"/>
        <w:rPr>
          <w:szCs w:val="18"/>
        </w:rPr>
      </w:pPr>
      <w:r>
        <w:rPr>
          <w:szCs w:val="18"/>
        </w:rPr>
        <w:tab/>
      </w:r>
      <w:r w:rsidRPr="00B87A63">
        <w:rPr>
          <w:rStyle w:val="FootnoteReference"/>
          <w:szCs w:val="18"/>
        </w:rPr>
        <w:footnoteRef/>
      </w:r>
      <w:r>
        <w:rPr>
          <w:szCs w:val="18"/>
        </w:rPr>
        <w:tab/>
      </w:r>
      <w:r w:rsidRPr="00B101EE">
        <w:rPr>
          <w:szCs w:val="18"/>
        </w:rPr>
        <w:t xml:space="preserve">See communications No. 1761/2008, </w:t>
      </w:r>
      <w:r w:rsidRPr="00B101EE">
        <w:rPr>
          <w:i/>
          <w:szCs w:val="18"/>
        </w:rPr>
        <w:t xml:space="preserve">Giri v. Nepal, </w:t>
      </w:r>
      <w:r w:rsidRPr="00B101EE">
        <w:rPr>
          <w:szCs w:val="18"/>
        </w:rPr>
        <w:t xml:space="preserve">Views adopted on 24 March 2011, para. 7.4; No. 1295/2004, </w:t>
      </w:r>
      <w:r w:rsidRPr="00B101EE">
        <w:rPr>
          <w:i/>
          <w:iCs/>
          <w:szCs w:val="18"/>
        </w:rPr>
        <w:t>El A</w:t>
      </w:r>
      <w:r>
        <w:rPr>
          <w:i/>
          <w:iCs/>
          <w:szCs w:val="18"/>
        </w:rPr>
        <w:t>l</w:t>
      </w:r>
      <w:r w:rsidRPr="00B101EE">
        <w:rPr>
          <w:i/>
          <w:iCs/>
          <w:szCs w:val="18"/>
        </w:rPr>
        <w:t xml:space="preserve">wani </w:t>
      </w:r>
      <w:r w:rsidRPr="004109F3">
        <w:rPr>
          <w:i/>
          <w:iCs/>
          <w:szCs w:val="18"/>
        </w:rPr>
        <w:t>v.</w:t>
      </w:r>
      <w:r w:rsidRPr="00B101EE">
        <w:rPr>
          <w:i/>
          <w:iCs/>
          <w:szCs w:val="18"/>
        </w:rPr>
        <w:t xml:space="preserve"> Libyan Arab Jamahiriya</w:t>
      </w:r>
      <w:r w:rsidRPr="00B101EE">
        <w:rPr>
          <w:szCs w:val="18"/>
        </w:rPr>
        <w:t xml:space="preserve">, </w:t>
      </w:r>
      <w:r w:rsidRPr="00B101EE">
        <w:rPr>
          <w:iCs/>
          <w:szCs w:val="18"/>
        </w:rPr>
        <w:t>Views adopted on 11 July 2006</w:t>
      </w:r>
      <w:r w:rsidRPr="00B101EE">
        <w:rPr>
          <w:szCs w:val="18"/>
        </w:rPr>
        <w:t xml:space="preserve">, para. 6.5; No. 1422/2005, </w:t>
      </w:r>
      <w:r w:rsidRPr="00B101EE">
        <w:rPr>
          <w:i/>
          <w:iCs/>
          <w:szCs w:val="18"/>
        </w:rPr>
        <w:t xml:space="preserve">El Hassy </w:t>
      </w:r>
      <w:r w:rsidRPr="004109F3">
        <w:rPr>
          <w:i/>
          <w:iCs/>
          <w:szCs w:val="18"/>
        </w:rPr>
        <w:t>v.</w:t>
      </w:r>
      <w:r w:rsidRPr="00B101EE">
        <w:rPr>
          <w:i/>
          <w:iCs/>
          <w:szCs w:val="18"/>
        </w:rPr>
        <w:t xml:space="preserve"> Libyan Arab Jamahiriya, </w:t>
      </w:r>
      <w:r w:rsidRPr="00B101EE">
        <w:rPr>
          <w:szCs w:val="18"/>
        </w:rPr>
        <w:t xml:space="preserve">Views adopted on 24 October 2007, para. 6.2; No. 540/1993, </w:t>
      </w:r>
      <w:r w:rsidRPr="00626422">
        <w:rPr>
          <w:i/>
          <w:iCs/>
          <w:szCs w:val="18"/>
        </w:rPr>
        <w:t xml:space="preserve">Basilio Laureano Atachahua </w:t>
      </w:r>
      <w:r w:rsidRPr="004109F3">
        <w:rPr>
          <w:i/>
          <w:iCs/>
          <w:szCs w:val="18"/>
        </w:rPr>
        <w:t>v.</w:t>
      </w:r>
      <w:r w:rsidRPr="00B101EE">
        <w:rPr>
          <w:i/>
          <w:iCs/>
          <w:szCs w:val="18"/>
        </w:rPr>
        <w:t xml:space="preserve"> </w:t>
      </w:r>
      <w:smartTag w:uri="urn:schemas-microsoft-com:office:smarttags" w:element="place">
        <w:smartTag w:uri="urn:schemas-microsoft-com:office:smarttags" w:element="country-region">
          <w:r w:rsidRPr="00B101EE">
            <w:rPr>
              <w:i/>
              <w:iCs/>
              <w:szCs w:val="18"/>
            </w:rPr>
            <w:t>Peru</w:t>
          </w:r>
        </w:smartTag>
      </w:smartTag>
      <w:r w:rsidRPr="00B101EE">
        <w:rPr>
          <w:i/>
          <w:iCs/>
          <w:szCs w:val="18"/>
        </w:rPr>
        <w:t>,</w:t>
      </w:r>
      <w:r w:rsidRPr="00B101EE">
        <w:rPr>
          <w:szCs w:val="18"/>
        </w:rPr>
        <w:t xml:space="preserve"> </w:t>
      </w:r>
      <w:r>
        <w:rPr>
          <w:szCs w:val="18"/>
        </w:rPr>
        <w:t xml:space="preserve">Views adopted on 25 March 1996, </w:t>
      </w:r>
      <w:r w:rsidRPr="00B101EE">
        <w:rPr>
          <w:szCs w:val="18"/>
        </w:rPr>
        <w:t xml:space="preserve">para. 8.5; and No. 458/1991, </w:t>
      </w:r>
      <w:r w:rsidRPr="00B101EE">
        <w:rPr>
          <w:i/>
          <w:iCs/>
          <w:szCs w:val="18"/>
        </w:rPr>
        <w:t xml:space="preserve">Mukong </w:t>
      </w:r>
      <w:r w:rsidRPr="004109F3">
        <w:rPr>
          <w:i/>
          <w:iCs/>
          <w:szCs w:val="18"/>
        </w:rPr>
        <w:t>v.</w:t>
      </w:r>
      <w:r w:rsidRPr="00B101EE">
        <w:rPr>
          <w:i/>
          <w:iCs/>
          <w:szCs w:val="18"/>
        </w:rPr>
        <w:t xml:space="preserve"> </w:t>
      </w:r>
      <w:smartTag w:uri="urn:schemas-microsoft-com:office:smarttags" w:element="place">
        <w:smartTag w:uri="urn:schemas-microsoft-com:office:smarttags" w:element="country-region">
          <w:r w:rsidRPr="00B101EE">
            <w:rPr>
              <w:i/>
              <w:iCs/>
              <w:szCs w:val="18"/>
            </w:rPr>
            <w:t>Cameroon</w:t>
          </w:r>
        </w:smartTag>
      </w:smartTag>
      <w:r w:rsidRPr="00B101EE">
        <w:rPr>
          <w:szCs w:val="18"/>
        </w:rPr>
        <w:t>, Views adopted on 21 July 1994, para. 9.4.</w:t>
      </w:r>
    </w:p>
  </w:footnote>
  <w:footnote w:id="14">
    <w:p w:rsidR="00A269F8" w:rsidRPr="00C03036" w:rsidRDefault="00A269F8" w:rsidP="00380400">
      <w:pPr>
        <w:pStyle w:val="FootnoteText"/>
        <w:rPr>
          <w:szCs w:val="18"/>
        </w:rPr>
      </w:pPr>
      <w:r>
        <w:rPr>
          <w:szCs w:val="18"/>
          <w:lang w:val="es-ES_tradnl"/>
        </w:rPr>
        <w:tab/>
      </w:r>
      <w:r w:rsidRPr="00B87A63">
        <w:rPr>
          <w:rStyle w:val="FootnoteReference"/>
          <w:szCs w:val="18"/>
        </w:rPr>
        <w:footnoteRef/>
      </w:r>
      <w:r w:rsidRPr="00B760B8">
        <w:rPr>
          <w:szCs w:val="18"/>
        </w:rPr>
        <w:tab/>
        <w:t>Article 4 of the Covenant and general comment No. 20</w:t>
      </w:r>
      <w:r>
        <w:rPr>
          <w:szCs w:val="18"/>
        </w:rPr>
        <w:t xml:space="preserve"> (1992) of the Committee on article 7 (</w:t>
      </w:r>
      <w:r w:rsidRPr="00380400">
        <w:rPr>
          <w:szCs w:val="18"/>
        </w:rPr>
        <w:t>Prohibition of torture, or other cruel, inhuman or degrading treatment or punishment</w:t>
      </w:r>
      <w:r>
        <w:rPr>
          <w:szCs w:val="18"/>
        </w:rPr>
        <w:t>)</w:t>
      </w:r>
      <w:r w:rsidRPr="00B760B8">
        <w:rPr>
          <w:szCs w:val="18"/>
        </w:rPr>
        <w:t xml:space="preserve">, para. </w:t>
      </w:r>
      <w:r w:rsidRPr="00C03036">
        <w:rPr>
          <w:szCs w:val="18"/>
        </w:rPr>
        <w:t>3.</w:t>
      </w:r>
    </w:p>
  </w:footnote>
  <w:footnote w:id="15">
    <w:p w:rsidR="00A269F8" w:rsidRPr="00347E05" w:rsidRDefault="00A269F8" w:rsidP="00B5125D">
      <w:pPr>
        <w:pStyle w:val="FootnoteText"/>
      </w:pPr>
      <w:r>
        <w:tab/>
      </w:r>
      <w:r>
        <w:rPr>
          <w:rStyle w:val="FootnoteReference"/>
        </w:rPr>
        <w:footnoteRef/>
      </w:r>
      <w:r>
        <w:tab/>
        <w:t xml:space="preserve">See communications No. </w:t>
      </w:r>
      <w:r w:rsidRPr="00865677">
        <w:t xml:space="preserve">1134/2002, </w:t>
      </w:r>
      <w:r w:rsidRPr="00B2711D">
        <w:rPr>
          <w:i/>
        </w:rPr>
        <w:t>Gorji-Dinka v. Cameroon</w:t>
      </w:r>
      <w:r w:rsidRPr="00865677">
        <w:t>,</w:t>
      </w:r>
      <w:r>
        <w:t xml:space="preserve"> Views adopted on 17 March 2005,</w:t>
      </w:r>
      <w:r w:rsidRPr="00865677">
        <w:t xml:space="preserve"> para. </w:t>
      </w:r>
      <w:r>
        <w:t xml:space="preserve">5.1, and </w:t>
      </w:r>
      <w:r>
        <w:rPr>
          <w:i/>
        </w:rPr>
        <w:t>v</w:t>
      </w:r>
      <w:r w:rsidRPr="00B2711D">
        <w:rPr>
          <w:i/>
        </w:rPr>
        <w:t xml:space="preserve">an Alphen v. </w:t>
      </w:r>
      <w:smartTag w:uri="urn:schemas-microsoft-com:office:smarttags" w:element="place">
        <w:smartTag w:uri="urn:schemas-microsoft-com:office:smarttags" w:element="country-region">
          <w:r w:rsidRPr="00B2711D">
            <w:rPr>
              <w:i/>
            </w:rPr>
            <w:t>Netherlands</w:t>
          </w:r>
        </w:smartTag>
      </w:smartTag>
      <w:r>
        <w:t xml:space="preserve">, para. </w:t>
      </w:r>
      <w:r w:rsidRPr="00865677">
        <w:t>5.8</w:t>
      </w:r>
      <w:r>
        <w:t>.</w:t>
      </w:r>
    </w:p>
  </w:footnote>
  <w:footnote w:id="16">
    <w:p w:rsidR="00A269F8" w:rsidRPr="00B104B2" w:rsidRDefault="00A269F8" w:rsidP="00B5125D">
      <w:pPr>
        <w:pStyle w:val="FootnoteText"/>
      </w:pPr>
      <w:r>
        <w:tab/>
      </w:r>
      <w:r>
        <w:rPr>
          <w:rStyle w:val="FootnoteReference"/>
        </w:rPr>
        <w:footnoteRef/>
      </w:r>
      <w:r>
        <w:tab/>
      </w:r>
      <w:r w:rsidRPr="00DE63FC">
        <w:t xml:space="preserve">The Committee found that, in the absence of any explanations by the State party, a delay of three days in bringing a person before a judge did not meet the requirement of promptness within the meaning of article 9, paragraph 3 (see communication No. 852/1999, </w:t>
      </w:r>
      <w:r w:rsidRPr="004109F3">
        <w:rPr>
          <w:i/>
          <w:iCs/>
        </w:rPr>
        <w:t>Borisenko v.</w:t>
      </w:r>
      <w:r w:rsidRPr="00DE63FC">
        <w:t xml:space="preserve"> </w:t>
      </w:r>
      <w:r w:rsidRPr="00DE63FC">
        <w:rPr>
          <w:i/>
          <w:iCs/>
        </w:rPr>
        <w:t>Hungary</w:t>
      </w:r>
      <w:r w:rsidRPr="00DE63FC">
        <w:t xml:space="preserve">, </w:t>
      </w:r>
      <w:r>
        <w:t xml:space="preserve">Views adopted on 14 October 2002, </w:t>
      </w:r>
      <w:r w:rsidRPr="00DE63FC">
        <w:t xml:space="preserve">para. 7.4). </w:t>
      </w:r>
      <w:r>
        <w:t xml:space="preserve">See also communications No. 1910/2009, </w:t>
      </w:r>
      <w:r w:rsidRPr="00AC581B">
        <w:rPr>
          <w:i/>
        </w:rPr>
        <w:t>Zhuk v. Belarus</w:t>
      </w:r>
      <w:r>
        <w:t>, Views adopted on 30 October 2013, para. 8.3; No</w:t>
      </w:r>
      <w:r w:rsidRPr="00830846">
        <w:t>.</w:t>
      </w:r>
      <w:r w:rsidRPr="00117F63">
        <w:rPr>
          <w:bCs/>
        </w:rPr>
        <w:t xml:space="preserve"> </w:t>
      </w:r>
      <w:r w:rsidRPr="00830846">
        <w:rPr>
          <w:bCs/>
        </w:rPr>
        <w:t xml:space="preserve">2120/2011, </w:t>
      </w:r>
      <w:r w:rsidRPr="00830846">
        <w:rPr>
          <w:bCs/>
          <w:i/>
        </w:rPr>
        <w:t xml:space="preserve">Kovaleva and Kozyar </w:t>
      </w:r>
      <w:r w:rsidRPr="004109F3">
        <w:rPr>
          <w:i/>
          <w:iCs/>
        </w:rPr>
        <w:t>v.</w:t>
      </w:r>
      <w:r w:rsidRPr="00386C17">
        <w:t xml:space="preserve"> </w:t>
      </w:r>
      <w:smartTag w:uri="urn:schemas-microsoft-com:office:smarttags" w:element="place">
        <w:smartTag w:uri="urn:schemas-microsoft-com:office:smarttags" w:element="country-region">
          <w:r w:rsidRPr="00830846">
            <w:rPr>
              <w:bCs/>
              <w:i/>
            </w:rPr>
            <w:t>Belarus</w:t>
          </w:r>
        </w:smartTag>
      </w:smartTag>
      <w:r w:rsidRPr="00830846">
        <w:rPr>
          <w:bCs/>
        </w:rPr>
        <w:t xml:space="preserve">, </w:t>
      </w:r>
      <w:r>
        <w:rPr>
          <w:bCs/>
        </w:rPr>
        <w:t xml:space="preserve">Views adopted on 29 October 2012, </w:t>
      </w:r>
      <w:r w:rsidRPr="00830846">
        <w:rPr>
          <w:bCs/>
        </w:rPr>
        <w:t>para</w:t>
      </w:r>
      <w:r>
        <w:rPr>
          <w:bCs/>
        </w:rPr>
        <w:t>. 11.3</w:t>
      </w:r>
      <w:r>
        <w:t xml:space="preserve"> and No. 1787/2008, </w:t>
      </w:r>
      <w:r w:rsidRPr="00F559C6">
        <w:rPr>
          <w:i/>
        </w:rPr>
        <w:t xml:space="preserve">Kovsh </w:t>
      </w:r>
      <w:r w:rsidRPr="004109F3">
        <w:rPr>
          <w:i/>
          <w:iCs/>
        </w:rPr>
        <w:t>v</w:t>
      </w:r>
      <w:r w:rsidRPr="00386C17">
        <w:t>.</w:t>
      </w:r>
      <w:r w:rsidRPr="00F559C6">
        <w:rPr>
          <w:i/>
        </w:rPr>
        <w:t xml:space="preserve"> </w:t>
      </w:r>
      <w:smartTag w:uri="urn:schemas-microsoft-com:office:smarttags" w:element="place">
        <w:smartTag w:uri="urn:schemas-microsoft-com:office:smarttags" w:element="country-region">
          <w:r w:rsidRPr="00F559C6">
            <w:rPr>
              <w:i/>
            </w:rPr>
            <w:t>Belarus</w:t>
          </w:r>
        </w:smartTag>
      </w:smartTag>
      <w:r>
        <w:t xml:space="preserve">, Views adopted on 27 March 2013, paras. 7.3–7.5. </w:t>
      </w:r>
    </w:p>
  </w:footnote>
  <w:footnote w:id="17">
    <w:p w:rsidR="00A269F8" w:rsidRPr="00E87621" w:rsidRDefault="00A269F8" w:rsidP="000E3102">
      <w:pPr>
        <w:pStyle w:val="FootnoteText"/>
      </w:pPr>
      <w:r>
        <w:tab/>
      </w:r>
      <w:r>
        <w:rPr>
          <w:rStyle w:val="FootnoteReference"/>
        </w:rPr>
        <w:footnoteRef/>
      </w:r>
      <w:r>
        <w:tab/>
      </w:r>
      <w:r w:rsidRPr="00E87621">
        <w:t>See</w:t>
      </w:r>
      <w:r>
        <w:t xml:space="preserve"> communication No. 1592/2007, </w:t>
      </w:r>
      <w:r w:rsidRPr="008E7020">
        <w:rPr>
          <w:i/>
        </w:rPr>
        <w:t xml:space="preserve">Pichugina v. </w:t>
      </w:r>
      <w:smartTag w:uri="urn:schemas-microsoft-com:office:smarttags" w:element="place">
        <w:smartTag w:uri="urn:schemas-microsoft-com:office:smarttags" w:element="country-region">
          <w:r w:rsidRPr="008E7020">
            <w:rPr>
              <w:i/>
            </w:rPr>
            <w:t>Belarus</w:t>
          </w:r>
        </w:smartTag>
      </w:smartTag>
      <w:r>
        <w:t>, Views adopted on 17 July 2013, para. 7.4.</w:t>
      </w:r>
    </w:p>
  </w:footnote>
  <w:footnote w:id="18">
    <w:p w:rsidR="00A269F8" w:rsidRPr="00E87621" w:rsidRDefault="00A269F8" w:rsidP="003D2517">
      <w:pPr>
        <w:pStyle w:val="FootnoteText"/>
      </w:pPr>
      <w:r>
        <w:tab/>
      </w:r>
      <w:r>
        <w:rPr>
          <w:rStyle w:val="FootnoteReference"/>
        </w:rPr>
        <w:footnoteRef/>
      </w:r>
      <w:r>
        <w:tab/>
      </w:r>
      <w:r w:rsidRPr="00E87621">
        <w:t xml:space="preserve">See </w:t>
      </w:r>
      <w:r w:rsidRPr="00E87621">
        <w:rPr>
          <w:i/>
          <w:iCs/>
        </w:rPr>
        <w:t xml:space="preserve">Borisenko </w:t>
      </w:r>
      <w:r w:rsidRPr="004109F3">
        <w:rPr>
          <w:i/>
          <w:iCs/>
        </w:rPr>
        <w:t>v.</w:t>
      </w:r>
      <w:r w:rsidRPr="00E87621">
        <w:t xml:space="preserve"> </w:t>
      </w:r>
      <w:smartTag w:uri="urn:schemas-microsoft-com:office:smarttags" w:element="place">
        <w:smartTag w:uri="urn:schemas-microsoft-com:office:smarttags" w:element="country-region">
          <w:r w:rsidRPr="00E87621">
            <w:rPr>
              <w:i/>
              <w:iCs/>
            </w:rPr>
            <w:t>Hungary</w:t>
          </w:r>
        </w:smartTag>
      </w:smartTag>
      <w:r w:rsidRPr="00E87621">
        <w:t xml:space="preserve">, para. 7.4. See also </w:t>
      </w:r>
      <w:r>
        <w:t xml:space="preserve">principle 7 of the </w:t>
      </w:r>
      <w:r w:rsidRPr="00E87621">
        <w:t>Basic Principles on the Role of Lawyers,</w:t>
      </w:r>
      <w:r>
        <w:t xml:space="preserve"> adopted at the</w:t>
      </w:r>
      <w:r w:rsidRPr="00E87621">
        <w:t xml:space="preserve"> </w:t>
      </w:r>
      <w:r w:rsidRPr="00386C17">
        <w:rPr>
          <w:iCs/>
        </w:rPr>
        <w:t>Eighth United Nations Congress on the Prevention of Crime and the Treatment of Offenders</w:t>
      </w:r>
      <w:r>
        <w:rPr>
          <w:iCs/>
        </w:rPr>
        <w:t xml:space="preserve"> (</w:t>
      </w:r>
      <w:r w:rsidRPr="003D2517">
        <w:rPr>
          <w:iCs/>
        </w:rPr>
        <w:t xml:space="preserve">United Nations </w:t>
      </w:r>
      <w:r>
        <w:rPr>
          <w:iCs/>
        </w:rPr>
        <w:t>p</w:t>
      </w:r>
      <w:r w:rsidRPr="003D2517">
        <w:rPr>
          <w:iCs/>
        </w:rPr>
        <w:t>ublication</w:t>
      </w:r>
      <w:r>
        <w:rPr>
          <w:iCs/>
        </w:rPr>
        <w:t>,</w:t>
      </w:r>
      <w:r w:rsidRPr="003D2517">
        <w:rPr>
          <w:iCs/>
        </w:rPr>
        <w:t xml:space="preserve"> Sales No. E.91.IV.2</w:t>
      </w:r>
      <w:r>
        <w:rPr>
          <w:iCs/>
        </w:rPr>
        <w:t>)</w:t>
      </w:r>
      <w:r w:rsidRPr="003D2517">
        <w:rPr>
          <w:iC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Pr="00792D98" w:rsidRDefault="00A269F8" w:rsidP="00A008B2">
    <w:pPr>
      <w:pStyle w:val="Header"/>
      <w:tabs>
        <w:tab w:val="right" w:pos="9639"/>
      </w:tabs>
    </w:pPr>
    <w:r>
      <w:t>CCPR/C/110/D/1890/2009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Pr="00792D98" w:rsidRDefault="00A269F8" w:rsidP="00A008B2">
    <w:pPr>
      <w:pStyle w:val="Header"/>
      <w:tabs>
        <w:tab w:val="right" w:pos="9639"/>
      </w:tabs>
    </w:pPr>
    <w:r>
      <w:tab/>
      <w:t>CCPR/C/110/D/1890/2009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F8" w:rsidRDefault="00A269F8" w:rsidP="003A2300">
    <w:pPr>
      <w:pStyle w:val="Header"/>
      <w:tabs>
        <w:tab w:val="left" w:pos="84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3556525E"/>
    <w:multiLevelType w:val="multilevel"/>
    <w:tmpl w:val="6ADCDCBC"/>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377411AD"/>
    <w:multiLevelType w:val="multilevel"/>
    <w:tmpl w:val="7CDA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E72"/>
    <w:rsid w:val="00000C77"/>
    <w:rsid w:val="00024AD5"/>
    <w:rsid w:val="00025265"/>
    <w:rsid w:val="000272B3"/>
    <w:rsid w:val="0002789A"/>
    <w:rsid w:val="0003346A"/>
    <w:rsid w:val="000442F2"/>
    <w:rsid w:val="00050F6B"/>
    <w:rsid w:val="00057E97"/>
    <w:rsid w:val="00060C3A"/>
    <w:rsid w:val="00072C8C"/>
    <w:rsid w:val="000733B5"/>
    <w:rsid w:val="00081815"/>
    <w:rsid w:val="0008578D"/>
    <w:rsid w:val="00092E49"/>
    <w:rsid w:val="000931C0"/>
    <w:rsid w:val="00094951"/>
    <w:rsid w:val="000B175B"/>
    <w:rsid w:val="000B3A0F"/>
    <w:rsid w:val="000B4EF7"/>
    <w:rsid w:val="000C2C03"/>
    <w:rsid w:val="000C2D2E"/>
    <w:rsid w:val="000C510E"/>
    <w:rsid w:val="000D179A"/>
    <w:rsid w:val="000D5D1C"/>
    <w:rsid w:val="000E0415"/>
    <w:rsid w:val="000E2737"/>
    <w:rsid w:val="000E3102"/>
    <w:rsid w:val="000E780E"/>
    <w:rsid w:val="000F4B6F"/>
    <w:rsid w:val="000F5232"/>
    <w:rsid w:val="000F7283"/>
    <w:rsid w:val="00103BBA"/>
    <w:rsid w:val="001103AA"/>
    <w:rsid w:val="001229B0"/>
    <w:rsid w:val="00123C74"/>
    <w:rsid w:val="001279E4"/>
    <w:rsid w:val="00130242"/>
    <w:rsid w:val="00151641"/>
    <w:rsid w:val="00165F3A"/>
    <w:rsid w:val="00173D08"/>
    <w:rsid w:val="00180038"/>
    <w:rsid w:val="00183968"/>
    <w:rsid w:val="001A0A29"/>
    <w:rsid w:val="001A0F41"/>
    <w:rsid w:val="001A6686"/>
    <w:rsid w:val="001A69CE"/>
    <w:rsid w:val="001B3347"/>
    <w:rsid w:val="001B4B04"/>
    <w:rsid w:val="001C44A0"/>
    <w:rsid w:val="001C6663"/>
    <w:rsid w:val="001C7895"/>
    <w:rsid w:val="001C7FF4"/>
    <w:rsid w:val="001D0C8C"/>
    <w:rsid w:val="001D17CB"/>
    <w:rsid w:val="001D26DF"/>
    <w:rsid w:val="001D3A03"/>
    <w:rsid w:val="001D75B3"/>
    <w:rsid w:val="001E7FCC"/>
    <w:rsid w:val="00202DA8"/>
    <w:rsid w:val="00203DDF"/>
    <w:rsid w:val="00211E0B"/>
    <w:rsid w:val="002137C1"/>
    <w:rsid w:val="002208AA"/>
    <w:rsid w:val="00230169"/>
    <w:rsid w:val="0023210C"/>
    <w:rsid w:val="00251C33"/>
    <w:rsid w:val="00262D13"/>
    <w:rsid w:val="00267F5F"/>
    <w:rsid w:val="00270751"/>
    <w:rsid w:val="00282092"/>
    <w:rsid w:val="00285B75"/>
    <w:rsid w:val="00286B4D"/>
    <w:rsid w:val="00296EC2"/>
    <w:rsid w:val="002A5299"/>
    <w:rsid w:val="002B60DA"/>
    <w:rsid w:val="002C4A8E"/>
    <w:rsid w:val="002D6D29"/>
    <w:rsid w:val="002F175C"/>
    <w:rsid w:val="003008A2"/>
    <w:rsid w:val="003142E4"/>
    <w:rsid w:val="003229D8"/>
    <w:rsid w:val="00327414"/>
    <w:rsid w:val="00327AB2"/>
    <w:rsid w:val="00343105"/>
    <w:rsid w:val="00350053"/>
    <w:rsid w:val="00352709"/>
    <w:rsid w:val="00367567"/>
    <w:rsid w:val="00371178"/>
    <w:rsid w:val="00380400"/>
    <w:rsid w:val="0038336C"/>
    <w:rsid w:val="00383913"/>
    <w:rsid w:val="00386167"/>
    <w:rsid w:val="003A2300"/>
    <w:rsid w:val="003A6810"/>
    <w:rsid w:val="003B3C1F"/>
    <w:rsid w:val="003C0EB7"/>
    <w:rsid w:val="003C2CC4"/>
    <w:rsid w:val="003C4255"/>
    <w:rsid w:val="003D2517"/>
    <w:rsid w:val="003D4B23"/>
    <w:rsid w:val="003F6F2D"/>
    <w:rsid w:val="003F6FB0"/>
    <w:rsid w:val="003F7164"/>
    <w:rsid w:val="004109F3"/>
    <w:rsid w:val="00410C89"/>
    <w:rsid w:val="00426B9B"/>
    <w:rsid w:val="00430696"/>
    <w:rsid w:val="004325CB"/>
    <w:rsid w:val="00436B33"/>
    <w:rsid w:val="00442A83"/>
    <w:rsid w:val="0045495B"/>
    <w:rsid w:val="004555E5"/>
    <w:rsid w:val="0048326C"/>
    <w:rsid w:val="00487488"/>
    <w:rsid w:val="00487D19"/>
    <w:rsid w:val="004B4F0F"/>
    <w:rsid w:val="004C0016"/>
    <w:rsid w:val="004E0375"/>
    <w:rsid w:val="004F2736"/>
    <w:rsid w:val="004F6D19"/>
    <w:rsid w:val="004F7E84"/>
    <w:rsid w:val="00502B1A"/>
    <w:rsid w:val="00503212"/>
    <w:rsid w:val="005057F6"/>
    <w:rsid w:val="00506D38"/>
    <w:rsid w:val="005102C6"/>
    <w:rsid w:val="0052136D"/>
    <w:rsid w:val="00523128"/>
    <w:rsid w:val="00524266"/>
    <w:rsid w:val="0052775E"/>
    <w:rsid w:val="00534603"/>
    <w:rsid w:val="0053603C"/>
    <w:rsid w:val="00540990"/>
    <w:rsid w:val="005420F2"/>
    <w:rsid w:val="005575C5"/>
    <w:rsid w:val="005628B6"/>
    <w:rsid w:val="00572B27"/>
    <w:rsid w:val="00577A4B"/>
    <w:rsid w:val="005848B3"/>
    <w:rsid w:val="00590F87"/>
    <w:rsid w:val="00592C4A"/>
    <w:rsid w:val="005B1A06"/>
    <w:rsid w:val="005B3DB3"/>
    <w:rsid w:val="005F7717"/>
    <w:rsid w:val="005F7B75"/>
    <w:rsid w:val="006001EE"/>
    <w:rsid w:val="00600311"/>
    <w:rsid w:val="00600DCC"/>
    <w:rsid w:val="00603676"/>
    <w:rsid w:val="00603800"/>
    <w:rsid w:val="00605042"/>
    <w:rsid w:val="00611FC4"/>
    <w:rsid w:val="006174F9"/>
    <w:rsid w:val="006176FB"/>
    <w:rsid w:val="00626422"/>
    <w:rsid w:val="0063748F"/>
    <w:rsid w:val="00640B26"/>
    <w:rsid w:val="00650509"/>
    <w:rsid w:val="00652D0A"/>
    <w:rsid w:val="00660D2C"/>
    <w:rsid w:val="00662BB6"/>
    <w:rsid w:val="0068075E"/>
    <w:rsid w:val="00684C21"/>
    <w:rsid w:val="006907CE"/>
    <w:rsid w:val="00694BAF"/>
    <w:rsid w:val="006969A0"/>
    <w:rsid w:val="006C6209"/>
    <w:rsid w:val="006D37AF"/>
    <w:rsid w:val="006D51D0"/>
    <w:rsid w:val="006D5268"/>
    <w:rsid w:val="006E1FD7"/>
    <w:rsid w:val="006E3AD2"/>
    <w:rsid w:val="006E564B"/>
    <w:rsid w:val="006E7191"/>
    <w:rsid w:val="006F0CE2"/>
    <w:rsid w:val="006F7AF6"/>
    <w:rsid w:val="00703577"/>
    <w:rsid w:val="00713DC2"/>
    <w:rsid w:val="007255AC"/>
    <w:rsid w:val="0072632A"/>
    <w:rsid w:val="007327D5"/>
    <w:rsid w:val="00745669"/>
    <w:rsid w:val="00752972"/>
    <w:rsid w:val="007629C8"/>
    <w:rsid w:val="00777CF5"/>
    <w:rsid w:val="00785EEA"/>
    <w:rsid w:val="00790B84"/>
    <w:rsid w:val="00792D98"/>
    <w:rsid w:val="007A5B65"/>
    <w:rsid w:val="007B6BA5"/>
    <w:rsid w:val="007C3390"/>
    <w:rsid w:val="007C4F4B"/>
    <w:rsid w:val="007C784F"/>
    <w:rsid w:val="007E0B2D"/>
    <w:rsid w:val="007E6DC9"/>
    <w:rsid w:val="007F308A"/>
    <w:rsid w:val="007F6611"/>
    <w:rsid w:val="007F798C"/>
    <w:rsid w:val="008037CC"/>
    <w:rsid w:val="008048ED"/>
    <w:rsid w:val="00805C25"/>
    <w:rsid w:val="008105B8"/>
    <w:rsid w:val="00816E83"/>
    <w:rsid w:val="008242D7"/>
    <w:rsid w:val="008257B1"/>
    <w:rsid w:val="00827C93"/>
    <w:rsid w:val="008412C4"/>
    <w:rsid w:val="00843767"/>
    <w:rsid w:val="0084377C"/>
    <w:rsid w:val="00857B9B"/>
    <w:rsid w:val="008679D9"/>
    <w:rsid w:val="00873687"/>
    <w:rsid w:val="00874338"/>
    <w:rsid w:val="00881CD4"/>
    <w:rsid w:val="008903FE"/>
    <w:rsid w:val="00893F7E"/>
    <w:rsid w:val="00895142"/>
    <w:rsid w:val="008979B1"/>
    <w:rsid w:val="008A1DB2"/>
    <w:rsid w:val="008A32D9"/>
    <w:rsid w:val="008A6B25"/>
    <w:rsid w:val="008A6C4F"/>
    <w:rsid w:val="008B2335"/>
    <w:rsid w:val="008C3709"/>
    <w:rsid w:val="008C63B1"/>
    <w:rsid w:val="008E0678"/>
    <w:rsid w:val="008E18E6"/>
    <w:rsid w:val="008E22A6"/>
    <w:rsid w:val="008E7020"/>
    <w:rsid w:val="008F6B99"/>
    <w:rsid w:val="009052CD"/>
    <w:rsid w:val="00906CD6"/>
    <w:rsid w:val="00910F40"/>
    <w:rsid w:val="00911576"/>
    <w:rsid w:val="00912C08"/>
    <w:rsid w:val="00915CA2"/>
    <w:rsid w:val="00916624"/>
    <w:rsid w:val="009223CA"/>
    <w:rsid w:val="00927B6B"/>
    <w:rsid w:val="0093755E"/>
    <w:rsid w:val="00940F93"/>
    <w:rsid w:val="009504E1"/>
    <w:rsid w:val="009523DE"/>
    <w:rsid w:val="0095347F"/>
    <w:rsid w:val="0095381C"/>
    <w:rsid w:val="009613C8"/>
    <w:rsid w:val="00962715"/>
    <w:rsid w:val="00963C4E"/>
    <w:rsid w:val="009760F3"/>
    <w:rsid w:val="0097767B"/>
    <w:rsid w:val="009909F5"/>
    <w:rsid w:val="009A0E8D"/>
    <w:rsid w:val="009B09C5"/>
    <w:rsid w:val="009B26E7"/>
    <w:rsid w:val="009C2849"/>
    <w:rsid w:val="009E62B8"/>
    <w:rsid w:val="009F7616"/>
    <w:rsid w:val="00A008B2"/>
    <w:rsid w:val="00A00A3F"/>
    <w:rsid w:val="00A01489"/>
    <w:rsid w:val="00A01F99"/>
    <w:rsid w:val="00A05327"/>
    <w:rsid w:val="00A107E4"/>
    <w:rsid w:val="00A14400"/>
    <w:rsid w:val="00A20097"/>
    <w:rsid w:val="00A207B2"/>
    <w:rsid w:val="00A269F8"/>
    <w:rsid w:val="00A31BA2"/>
    <w:rsid w:val="00A338F1"/>
    <w:rsid w:val="00A44615"/>
    <w:rsid w:val="00A46E56"/>
    <w:rsid w:val="00A601BD"/>
    <w:rsid w:val="00A634AB"/>
    <w:rsid w:val="00A72F22"/>
    <w:rsid w:val="00A7360F"/>
    <w:rsid w:val="00A748A6"/>
    <w:rsid w:val="00A769F4"/>
    <w:rsid w:val="00A776B4"/>
    <w:rsid w:val="00A94361"/>
    <w:rsid w:val="00A95E30"/>
    <w:rsid w:val="00AA293C"/>
    <w:rsid w:val="00AB1733"/>
    <w:rsid w:val="00AB3F0A"/>
    <w:rsid w:val="00AB6E76"/>
    <w:rsid w:val="00AC581B"/>
    <w:rsid w:val="00AE0B2B"/>
    <w:rsid w:val="00AE6750"/>
    <w:rsid w:val="00B101EE"/>
    <w:rsid w:val="00B12F0A"/>
    <w:rsid w:val="00B13E9B"/>
    <w:rsid w:val="00B257E2"/>
    <w:rsid w:val="00B30179"/>
    <w:rsid w:val="00B339A7"/>
    <w:rsid w:val="00B47487"/>
    <w:rsid w:val="00B5125D"/>
    <w:rsid w:val="00B528CC"/>
    <w:rsid w:val="00B54883"/>
    <w:rsid w:val="00B56E4A"/>
    <w:rsid w:val="00B56E9C"/>
    <w:rsid w:val="00B64B1F"/>
    <w:rsid w:val="00B6553F"/>
    <w:rsid w:val="00B66E5E"/>
    <w:rsid w:val="00B725DF"/>
    <w:rsid w:val="00B735CD"/>
    <w:rsid w:val="00B760B8"/>
    <w:rsid w:val="00B77D05"/>
    <w:rsid w:val="00B81206"/>
    <w:rsid w:val="00B81E12"/>
    <w:rsid w:val="00B841C0"/>
    <w:rsid w:val="00B8588E"/>
    <w:rsid w:val="00B9067B"/>
    <w:rsid w:val="00BA6827"/>
    <w:rsid w:val="00BA6B99"/>
    <w:rsid w:val="00BB78B5"/>
    <w:rsid w:val="00BC2C23"/>
    <w:rsid w:val="00BC2C81"/>
    <w:rsid w:val="00BC74E9"/>
    <w:rsid w:val="00BD515C"/>
    <w:rsid w:val="00BD5B97"/>
    <w:rsid w:val="00BD78E1"/>
    <w:rsid w:val="00BE711F"/>
    <w:rsid w:val="00BF1F54"/>
    <w:rsid w:val="00BF3AE0"/>
    <w:rsid w:val="00BF68A8"/>
    <w:rsid w:val="00C03036"/>
    <w:rsid w:val="00C11A03"/>
    <w:rsid w:val="00C17CD3"/>
    <w:rsid w:val="00C37745"/>
    <w:rsid w:val="00C401EC"/>
    <w:rsid w:val="00C435A4"/>
    <w:rsid w:val="00C463DD"/>
    <w:rsid w:val="00C4724C"/>
    <w:rsid w:val="00C47390"/>
    <w:rsid w:val="00C629A0"/>
    <w:rsid w:val="00C71B7B"/>
    <w:rsid w:val="00C745C3"/>
    <w:rsid w:val="00C8028F"/>
    <w:rsid w:val="00C97DB5"/>
    <w:rsid w:val="00CA23BC"/>
    <w:rsid w:val="00CA5C6F"/>
    <w:rsid w:val="00CB5E72"/>
    <w:rsid w:val="00CC2679"/>
    <w:rsid w:val="00CD136C"/>
    <w:rsid w:val="00CE4A8F"/>
    <w:rsid w:val="00D2031B"/>
    <w:rsid w:val="00D213F8"/>
    <w:rsid w:val="00D25FE2"/>
    <w:rsid w:val="00D42A14"/>
    <w:rsid w:val="00D43252"/>
    <w:rsid w:val="00D445C1"/>
    <w:rsid w:val="00D45C87"/>
    <w:rsid w:val="00D47EEA"/>
    <w:rsid w:val="00D47FED"/>
    <w:rsid w:val="00D54E4C"/>
    <w:rsid w:val="00D55680"/>
    <w:rsid w:val="00D774EA"/>
    <w:rsid w:val="00D80556"/>
    <w:rsid w:val="00D8285D"/>
    <w:rsid w:val="00D86682"/>
    <w:rsid w:val="00D906A6"/>
    <w:rsid w:val="00D95303"/>
    <w:rsid w:val="00D96473"/>
    <w:rsid w:val="00D978C6"/>
    <w:rsid w:val="00DA3111"/>
    <w:rsid w:val="00DA3C1C"/>
    <w:rsid w:val="00DB0C79"/>
    <w:rsid w:val="00DB41C0"/>
    <w:rsid w:val="00DC7244"/>
    <w:rsid w:val="00DD0ECD"/>
    <w:rsid w:val="00DE2F2B"/>
    <w:rsid w:val="00DF3941"/>
    <w:rsid w:val="00E01B1C"/>
    <w:rsid w:val="00E06E9A"/>
    <w:rsid w:val="00E07FC2"/>
    <w:rsid w:val="00E10663"/>
    <w:rsid w:val="00E1106A"/>
    <w:rsid w:val="00E13772"/>
    <w:rsid w:val="00E16E43"/>
    <w:rsid w:val="00E27346"/>
    <w:rsid w:val="00E44643"/>
    <w:rsid w:val="00E664BC"/>
    <w:rsid w:val="00E71BC8"/>
    <w:rsid w:val="00E7260F"/>
    <w:rsid w:val="00E779FC"/>
    <w:rsid w:val="00E948F1"/>
    <w:rsid w:val="00E96630"/>
    <w:rsid w:val="00EA48D2"/>
    <w:rsid w:val="00EA6B6A"/>
    <w:rsid w:val="00EB2581"/>
    <w:rsid w:val="00ED1D35"/>
    <w:rsid w:val="00ED4BBB"/>
    <w:rsid w:val="00ED5142"/>
    <w:rsid w:val="00ED6649"/>
    <w:rsid w:val="00ED7A2A"/>
    <w:rsid w:val="00EF1D7F"/>
    <w:rsid w:val="00F00AC6"/>
    <w:rsid w:val="00F13C56"/>
    <w:rsid w:val="00F15EB4"/>
    <w:rsid w:val="00F20C3D"/>
    <w:rsid w:val="00F2592B"/>
    <w:rsid w:val="00F27A49"/>
    <w:rsid w:val="00F42990"/>
    <w:rsid w:val="00F43E9E"/>
    <w:rsid w:val="00F4785E"/>
    <w:rsid w:val="00F50FCB"/>
    <w:rsid w:val="00F60BB0"/>
    <w:rsid w:val="00F643BD"/>
    <w:rsid w:val="00F66476"/>
    <w:rsid w:val="00F9057C"/>
    <w:rsid w:val="00F906D7"/>
    <w:rsid w:val="00F9211D"/>
    <w:rsid w:val="00F93781"/>
    <w:rsid w:val="00FB613B"/>
    <w:rsid w:val="00FC68B7"/>
    <w:rsid w:val="00FD4D0E"/>
    <w:rsid w:val="00FE106A"/>
    <w:rsid w:val="00FE5746"/>
    <w:rsid w:val="00FE59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369735D5-AF0B-481E-8F5C-BC336D9D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Char,Footnote Reference1,Char,Footnote Text Char1 Char1,Footnote Text Char1 Char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Characters">
    <w:name w:val="Footnote Characters"/>
    <w:rsid w:val="00CB5E72"/>
    <w:rPr>
      <w:rFonts w:ascii="Times New Roman" w:hAnsi="Times New Roman" w:cs="Times New Roman"/>
      <w:sz w:val="18"/>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rsid w:val="00792D98"/>
    <w:rPr>
      <w:sz w:val="18"/>
      <w:lang w:eastAsia="en-US"/>
    </w:rPr>
  </w:style>
  <w:style w:type="paragraph" w:styleId="BalloonText">
    <w:name w:val="Balloon Text"/>
    <w:basedOn w:val="Normal"/>
    <w:link w:val="BalloonTextChar"/>
    <w:rsid w:val="00BE711F"/>
    <w:pPr>
      <w:spacing w:line="240" w:lineRule="auto"/>
    </w:pPr>
    <w:rPr>
      <w:rFonts w:ascii="Tahoma" w:hAnsi="Tahoma"/>
      <w:sz w:val="16"/>
      <w:szCs w:val="16"/>
    </w:rPr>
  </w:style>
  <w:style w:type="character" w:customStyle="1" w:styleId="BalloonTextChar">
    <w:name w:val="Balloon Text Char"/>
    <w:link w:val="BalloonText"/>
    <w:rsid w:val="00BE711F"/>
    <w:rPr>
      <w:rFonts w:ascii="Tahoma" w:hAnsi="Tahoma" w:cs="Tahoma"/>
      <w:sz w:val="16"/>
      <w:szCs w:val="16"/>
      <w:lang w:eastAsia="en-US"/>
    </w:rPr>
  </w:style>
  <w:style w:type="paragraph" w:styleId="NormalWeb">
    <w:name w:val="Normal (Web)"/>
    <w:basedOn w:val="Normal"/>
    <w:uiPriority w:val="99"/>
    <w:unhideWhenUsed/>
    <w:rsid w:val="00502B1A"/>
    <w:pPr>
      <w:suppressAutoHyphens w:val="0"/>
      <w:spacing w:before="100" w:beforeAutospacing="1" w:after="100" w:afterAutospacing="1" w:line="240" w:lineRule="auto"/>
    </w:pPr>
    <w:rPr>
      <w:color w:val="000000"/>
      <w:sz w:val="24"/>
      <w:szCs w:val="24"/>
      <w:lang w:eastAsia="en-GB"/>
    </w:rPr>
  </w:style>
  <w:style w:type="character" w:styleId="CommentReference">
    <w:name w:val="annotation reference"/>
    <w:rsid w:val="001279E4"/>
    <w:rPr>
      <w:sz w:val="16"/>
      <w:szCs w:val="16"/>
    </w:rPr>
  </w:style>
  <w:style w:type="paragraph" w:styleId="CommentText">
    <w:name w:val="annotation text"/>
    <w:basedOn w:val="Normal"/>
    <w:link w:val="CommentTextChar"/>
    <w:rsid w:val="001279E4"/>
  </w:style>
  <w:style w:type="character" w:customStyle="1" w:styleId="CommentTextChar">
    <w:name w:val="Comment Text Char"/>
    <w:link w:val="CommentText"/>
    <w:rsid w:val="001279E4"/>
    <w:rPr>
      <w:lang w:eastAsia="en-US"/>
    </w:rPr>
  </w:style>
  <w:style w:type="paragraph" w:styleId="CommentSubject">
    <w:name w:val="annotation subject"/>
    <w:basedOn w:val="CommentText"/>
    <w:next w:val="CommentText"/>
    <w:link w:val="CommentSubjectChar"/>
    <w:rsid w:val="001279E4"/>
    <w:rPr>
      <w:b/>
      <w:bCs/>
    </w:rPr>
  </w:style>
  <w:style w:type="character" w:customStyle="1" w:styleId="CommentSubjectChar">
    <w:name w:val="Comment Subject Char"/>
    <w:link w:val="CommentSubject"/>
    <w:rsid w:val="001279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9411">
      <w:bodyDiv w:val="1"/>
      <w:marLeft w:val="0"/>
      <w:marRight w:val="0"/>
      <w:marTop w:val="0"/>
      <w:marBottom w:val="0"/>
      <w:divBdr>
        <w:top w:val="none" w:sz="0" w:space="0" w:color="auto"/>
        <w:left w:val="none" w:sz="0" w:space="0" w:color="auto"/>
        <w:bottom w:val="none" w:sz="0" w:space="0" w:color="auto"/>
        <w:right w:val="none" w:sz="0" w:space="0" w:color="auto"/>
      </w:divBdr>
    </w:div>
    <w:div w:id="782456372">
      <w:bodyDiv w:val="1"/>
      <w:marLeft w:val="0"/>
      <w:marRight w:val="0"/>
      <w:marTop w:val="0"/>
      <w:marBottom w:val="0"/>
      <w:divBdr>
        <w:top w:val="none" w:sz="0" w:space="0" w:color="auto"/>
        <w:left w:val="none" w:sz="0" w:space="0" w:color="auto"/>
        <w:bottom w:val="none" w:sz="0" w:space="0" w:color="auto"/>
        <w:right w:val="none" w:sz="0" w:space="0" w:color="auto"/>
      </w:divBdr>
    </w:div>
    <w:div w:id="805585973">
      <w:bodyDiv w:val="1"/>
      <w:marLeft w:val="0"/>
      <w:marRight w:val="0"/>
      <w:marTop w:val="0"/>
      <w:marBottom w:val="0"/>
      <w:divBdr>
        <w:top w:val="none" w:sz="0" w:space="0" w:color="auto"/>
        <w:left w:val="none" w:sz="0" w:space="0" w:color="auto"/>
        <w:bottom w:val="none" w:sz="0" w:space="0" w:color="auto"/>
        <w:right w:val="none" w:sz="0" w:space="0" w:color="auto"/>
      </w:divBdr>
    </w:div>
    <w:div w:id="992685077">
      <w:bodyDiv w:val="1"/>
      <w:marLeft w:val="0"/>
      <w:marRight w:val="0"/>
      <w:marTop w:val="0"/>
      <w:marBottom w:val="0"/>
      <w:divBdr>
        <w:top w:val="none" w:sz="0" w:space="0" w:color="auto"/>
        <w:left w:val="none" w:sz="0" w:space="0" w:color="auto"/>
        <w:bottom w:val="none" w:sz="0" w:space="0" w:color="auto"/>
        <w:right w:val="none" w:sz="0" w:space="0" w:color="auto"/>
      </w:divBdr>
    </w:div>
    <w:div w:id="1467504645">
      <w:bodyDiv w:val="1"/>
      <w:marLeft w:val="0"/>
      <w:marRight w:val="0"/>
      <w:marTop w:val="0"/>
      <w:marBottom w:val="0"/>
      <w:divBdr>
        <w:top w:val="none" w:sz="0" w:space="0" w:color="auto"/>
        <w:left w:val="none" w:sz="0" w:space="0" w:color="auto"/>
        <w:bottom w:val="none" w:sz="0" w:space="0" w:color="auto"/>
        <w:right w:val="none" w:sz="0" w:space="0" w:color="auto"/>
      </w:divBdr>
    </w:div>
    <w:div w:id="1517036029">
      <w:bodyDiv w:val="1"/>
      <w:marLeft w:val="0"/>
      <w:marRight w:val="0"/>
      <w:marTop w:val="0"/>
      <w:marBottom w:val="0"/>
      <w:divBdr>
        <w:top w:val="none" w:sz="0" w:space="0" w:color="auto"/>
        <w:left w:val="none" w:sz="0" w:space="0" w:color="auto"/>
        <w:bottom w:val="none" w:sz="0" w:space="0" w:color="auto"/>
        <w:right w:val="none" w:sz="0" w:space="0" w:color="auto"/>
      </w:divBdr>
    </w:div>
    <w:div w:id="1632436460">
      <w:bodyDiv w:val="1"/>
      <w:marLeft w:val="0"/>
      <w:marRight w:val="0"/>
      <w:marTop w:val="0"/>
      <w:marBottom w:val="0"/>
      <w:divBdr>
        <w:top w:val="none" w:sz="0" w:space="0" w:color="auto"/>
        <w:left w:val="none" w:sz="0" w:space="0" w:color="auto"/>
        <w:bottom w:val="none" w:sz="0" w:space="0" w:color="auto"/>
        <w:right w:val="none" w:sz="0" w:space="0" w:color="auto"/>
      </w:divBdr>
    </w:div>
    <w:div w:id="1683510405">
      <w:bodyDiv w:val="1"/>
      <w:marLeft w:val="0"/>
      <w:marRight w:val="0"/>
      <w:marTop w:val="0"/>
      <w:marBottom w:val="0"/>
      <w:divBdr>
        <w:top w:val="none" w:sz="0" w:space="0" w:color="auto"/>
        <w:left w:val="none" w:sz="0" w:space="0" w:color="auto"/>
        <w:bottom w:val="none" w:sz="0" w:space="0" w:color="auto"/>
        <w:right w:val="none" w:sz="0" w:space="0" w:color="auto"/>
      </w:divBdr>
    </w:div>
    <w:div w:id="19537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2014-04-24T14:44:00Z</cp:lastPrinted>
  <dcterms:created xsi:type="dcterms:W3CDTF">2017-01-24T21:39:00Z</dcterms:created>
  <dcterms:modified xsi:type="dcterms:W3CDTF">2017-01-24T21:39:00Z</dcterms:modified>
</cp:coreProperties>
</file>