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F761B" w:rsidRPr="008F761B" w:rsidTr="00AC234C">
        <w:trPr>
          <w:cantSplit/>
          <w:trHeight w:hRule="exact" w:val="851"/>
        </w:trPr>
        <w:tc>
          <w:tcPr>
            <w:tcW w:w="1276" w:type="dxa"/>
            <w:tcBorders>
              <w:bottom w:val="single" w:sz="4" w:space="0" w:color="auto"/>
            </w:tcBorders>
            <w:shd w:val="clear" w:color="auto" w:fill="auto"/>
            <w:vAlign w:val="bottom"/>
          </w:tcPr>
          <w:p w:rsidR="008F761B" w:rsidRPr="008F761B" w:rsidRDefault="008F761B" w:rsidP="008F761B">
            <w:pPr>
              <w:spacing w:after="80"/>
              <w:rPr>
                <w:rFonts w:eastAsia="Times New Roman"/>
              </w:rPr>
            </w:pPr>
            <w:bookmarkStart w:id="0" w:name="_GoBack"/>
            <w:bookmarkEnd w:id="0"/>
          </w:p>
        </w:tc>
        <w:tc>
          <w:tcPr>
            <w:tcW w:w="2268" w:type="dxa"/>
            <w:tcBorders>
              <w:bottom w:val="single" w:sz="4" w:space="0" w:color="auto"/>
            </w:tcBorders>
            <w:shd w:val="clear" w:color="auto" w:fill="auto"/>
            <w:vAlign w:val="bottom"/>
          </w:tcPr>
          <w:p w:rsidR="008F761B" w:rsidRPr="008F761B" w:rsidRDefault="008F761B" w:rsidP="008F761B">
            <w:pPr>
              <w:spacing w:after="80" w:line="300" w:lineRule="exact"/>
              <w:rPr>
                <w:rFonts w:eastAsia="Times New Roman"/>
                <w:b/>
                <w:sz w:val="24"/>
                <w:szCs w:val="24"/>
              </w:rPr>
            </w:pPr>
            <w:r w:rsidRPr="008F761B">
              <w:rPr>
                <w:rFonts w:eastAsia="Times New Roman"/>
                <w:sz w:val="28"/>
                <w:szCs w:val="28"/>
              </w:rPr>
              <w:t>United Nations</w:t>
            </w:r>
          </w:p>
        </w:tc>
        <w:tc>
          <w:tcPr>
            <w:tcW w:w="6095" w:type="dxa"/>
            <w:gridSpan w:val="2"/>
            <w:tcBorders>
              <w:bottom w:val="single" w:sz="4" w:space="0" w:color="auto"/>
            </w:tcBorders>
            <w:shd w:val="clear" w:color="auto" w:fill="auto"/>
            <w:vAlign w:val="bottom"/>
          </w:tcPr>
          <w:p w:rsidR="008F761B" w:rsidRPr="008F761B" w:rsidRDefault="008F761B" w:rsidP="008F6F48">
            <w:pPr>
              <w:suppressAutoHyphens w:val="0"/>
              <w:spacing w:after="20"/>
              <w:jc w:val="right"/>
              <w:rPr>
                <w:rFonts w:eastAsia="Times New Roman"/>
              </w:rPr>
            </w:pPr>
            <w:r w:rsidRPr="008F761B">
              <w:rPr>
                <w:rFonts w:eastAsia="Times New Roman"/>
                <w:sz w:val="40"/>
              </w:rPr>
              <w:t>CCPR</w:t>
            </w:r>
            <w:r w:rsidRPr="008F761B">
              <w:rPr>
                <w:rFonts w:eastAsia="Times New Roman"/>
              </w:rPr>
              <w:t>/C/</w:t>
            </w:r>
            <w:r>
              <w:rPr>
                <w:rFonts w:eastAsia="Times New Roman"/>
              </w:rPr>
              <w:t>112</w:t>
            </w:r>
            <w:r w:rsidRPr="008F761B">
              <w:rPr>
                <w:rFonts w:eastAsia="Times New Roman"/>
              </w:rPr>
              <w:t>/D/</w:t>
            </w:r>
            <w:r>
              <w:rPr>
                <w:rFonts w:eastAsia="Times New Roman"/>
              </w:rPr>
              <w:t>1998</w:t>
            </w:r>
            <w:r w:rsidRPr="008F761B">
              <w:rPr>
                <w:rFonts w:eastAsia="Times New Roman"/>
              </w:rPr>
              <w:t>/2010</w:t>
            </w:r>
          </w:p>
        </w:tc>
      </w:tr>
      <w:tr w:rsidR="008F761B" w:rsidRPr="008F761B" w:rsidTr="00AC234C">
        <w:trPr>
          <w:cantSplit/>
          <w:trHeight w:hRule="exact" w:val="2835"/>
        </w:trPr>
        <w:tc>
          <w:tcPr>
            <w:tcW w:w="1276" w:type="dxa"/>
            <w:tcBorders>
              <w:top w:val="single" w:sz="4" w:space="0" w:color="auto"/>
              <w:bottom w:val="single" w:sz="12" w:space="0" w:color="auto"/>
            </w:tcBorders>
            <w:shd w:val="clear" w:color="auto" w:fill="auto"/>
          </w:tcPr>
          <w:p w:rsidR="008F761B" w:rsidRPr="008F761B" w:rsidRDefault="007E64A1" w:rsidP="008F761B">
            <w:pPr>
              <w:spacing w:before="120"/>
              <w:rPr>
                <w:rFonts w:eastAsia="Times New Roman"/>
              </w:rPr>
            </w:pPr>
            <w:r>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8F761B" w:rsidRDefault="008F761B" w:rsidP="008F761B">
            <w:pPr>
              <w:spacing w:before="120" w:line="380" w:lineRule="exact"/>
              <w:rPr>
                <w:rFonts w:eastAsia="Times New Roman"/>
                <w:b/>
                <w:sz w:val="34"/>
                <w:szCs w:val="40"/>
              </w:rPr>
            </w:pPr>
            <w:r w:rsidRPr="008F761B">
              <w:rPr>
                <w:rFonts w:eastAsia="Times New Roman"/>
                <w:b/>
                <w:sz w:val="34"/>
                <w:szCs w:val="40"/>
              </w:rPr>
              <w:t>International Covenant on</w:t>
            </w:r>
            <w:r w:rsidRPr="008F761B">
              <w:rPr>
                <w:rFonts w:eastAsia="Times New Roman"/>
                <w:b/>
                <w:sz w:val="34"/>
                <w:szCs w:val="40"/>
              </w:rPr>
              <w:br/>
              <w:t>Civil and Political Rights</w:t>
            </w:r>
          </w:p>
          <w:p w:rsidR="00836072" w:rsidRPr="004672D4" w:rsidRDefault="00836072" w:rsidP="008F761B">
            <w:pPr>
              <w:spacing w:before="120" w:line="380" w:lineRule="exact"/>
              <w:rPr>
                <w:rFonts w:eastAsia="Times New Roman"/>
                <w:sz w:val="34"/>
              </w:rPr>
            </w:pPr>
          </w:p>
        </w:tc>
        <w:tc>
          <w:tcPr>
            <w:tcW w:w="2835" w:type="dxa"/>
            <w:tcBorders>
              <w:top w:val="single" w:sz="4" w:space="0" w:color="auto"/>
              <w:bottom w:val="single" w:sz="12" w:space="0" w:color="auto"/>
            </w:tcBorders>
            <w:shd w:val="clear" w:color="auto" w:fill="auto"/>
          </w:tcPr>
          <w:p w:rsidR="008F761B" w:rsidRPr="008F761B" w:rsidRDefault="008F761B" w:rsidP="008F761B">
            <w:pPr>
              <w:suppressAutoHyphens w:val="0"/>
              <w:spacing w:before="240" w:line="240" w:lineRule="exact"/>
              <w:rPr>
                <w:rFonts w:eastAsia="Times New Roman"/>
              </w:rPr>
            </w:pPr>
            <w:r w:rsidRPr="008F761B">
              <w:rPr>
                <w:rFonts w:eastAsia="Times New Roman"/>
              </w:rPr>
              <w:t xml:space="preserve">Distr.: </w:t>
            </w:r>
            <w:r w:rsidR="005E77A0">
              <w:rPr>
                <w:rFonts w:eastAsia="Times New Roman"/>
              </w:rPr>
              <w:t>General</w:t>
            </w:r>
          </w:p>
          <w:p w:rsidR="008F761B" w:rsidRDefault="0029506F" w:rsidP="008F761B">
            <w:pPr>
              <w:suppressAutoHyphens w:val="0"/>
              <w:rPr>
                <w:rFonts w:eastAsia="Times New Roman"/>
              </w:rPr>
            </w:pPr>
            <w:r>
              <w:rPr>
                <w:rFonts w:eastAsia="Times New Roman"/>
              </w:rPr>
              <w:t>1</w:t>
            </w:r>
            <w:r w:rsidR="002736ED">
              <w:rPr>
                <w:rFonts w:eastAsia="Times New Roman"/>
              </w:rPr>
              <w:t>7</w:t>
            </w:r>
            <w:r w:rsidR="00F74106">
              <w:rPr>
                <w:rFonts w:eastAsia="Times New Roman"/>
              </w:rPr>
              <w:t xml:space="preserve"> November</w:t>
            </w:r>
            <w:r w:rsidR="008F6F48">
              <w:rPr>
                <w:rFonts w:eastAsia="Times New Roman"/>
              </w:rPr>
              <w:t xml:space="preserve"> 2014</w:t>
            </w:r>
          </w:p>
          <w:p w:rsidR="005B27D5" w:rsidRPr="008F761B" w:rsidRDefault="005B27D5" w:rsidP="008F761B">
            <w:pPr>
              <w:suppressAutoHyphens w:val="0"/>
              <w:rPr>
                <w:rFonts w:eastAsia="Times New Roman"/>
              </w:rPr>
            </w:pPr>
          </w:p>
          <w:p w:rsidR="008F761B" w:rsidRPr="008F761B" w:rsidRDefault="008F761B" w:rsidP="008F761B">
            <w:pPr>
              <w:suppressAutoHyphens w:val="0"/>
              <w:rPr>
                <w:rFonts w:eastAsia="Times New Roman"/>
              </w:rPr>
            </w:pPr>
            <w:r w:rsidRPr="008F761B">
              <w:rPr>
                <w:rFonts w:eastAsia="Times New Roman"/>
              </w:rPr>
              <w:t>Original: English</w:t>
            </w:r>
          </w:p>
        </w:tc>
      </w:tr>
    </w:tbl>
    <w:p w:rsidR="008F761B" w:rsidRPr="008F761B" w:rsidRDefault="008F761B" w:rsidP="008F761B">
      <w:pPr>
        <w:spacing w:before="120"/>
        <w:rPr>
          <w:rFonts w:eastAsia="Times New Roman"/>
          <w:b/>
          <w:sz w:val="24"/>
          <w:szCs w:val="24"/>
        </w:rPr>
      </w:pPr>
      <w:r w:rsidRPr="008F761B">
        <w:rPr>
          <w:rFonts w:eastAsia="Times New Roman"/>
          <w:b/>
          <w:sz w:val="24"/>
          <w:szCs w:val="24"/>
        </w:rPr>
        <w:t>Human Rights Committee</w:t>
      </w:r>
      <w:r w:rsidR="007E64A1">
        <w:rPr>
          <w:rFonts w:eastAsia="Times New Roman"/>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8F761B" w:rsidRPr="008F761B" w:rsidRDefault="008F761B" w:rsidP="00EA2C64">
      <w:pPr>
        <w:pStyle w:val="HChG"/>
      </w:pPr>
      <w:r w:rsidRPr="008F761B">
        <w:tab/>
      </w:r>
      <w:r w:rsidRPr="008F761B">
        <w:tab/>
        <w:t xml:space="preserve">Communication No. </w:t>
      </w:r>
      <w:r>
        <w:t>1998/2010</w:t>
      </w:r>
    </w:p>
    <w:p w:rsidR="008F761B" w:rsidRPr="008F761B" w:rsidRDefault="008F761B" w:rsidP="00EA2C64">
      <w:pPr>
        <w:pStyle w:val="H1G"/>
        <w:rPr>
          <w:rFonts w:eastAsia="Times New Roman"/>
        </w:rPr>
      </w:pPr>
      <w:r w:rsidRPr="008F761B">
        <w:rPr>
          <w:rFonts w:eastAsia="Times New Roman"/>
        </w:rPr>
        <w:tab/>
      </w:r>
      <w:r w:rsidRPr="008F761B">
        <w:rPr>
          <w:rFonts w:eastAsia="Times New Roman"/>
        </w:rPr>
        <w:tab/>
      </w:r>
      <w:r w:rsidR="005E77A0" w:rsidRPr="001B2B85">
        <w:t>Views adopted by the Committee at its 112th session</w:t>
      </w:r>
      <w:r w:rsidR="004672D4">
        <w:br/>
      </w:r>
      <w:r w:rsidR="005E77A0" w:rsidRPr="001B2B85">
        <w:t>(</w:t>
      </w:r>
      <w:r w:rsidR="005E77A0">
        <w:t>7</w:t>
      </w:r>
      <w:r w:rsidR="0029506F">
        <w:t>–</w:t>
      </w:r>
      <w:r w:rsidR="005E77A0">
        <w:t xml:space="preserve">31 </w:t>
      </w:r>
      <w:r w:rsidR="005E77A0" w:rsidRPr="001B2B85">
        <w:t>October 2014)</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8F761B" w:rsidRPr="008F761B" w:rsidTr="00EA2C64">
        <w:tc>
          <w:tcPr>
            <w:tcW w:w="3402" w:type="dxa"/>
            <w:shd w:val="clear" w:color="auto" w:fill="auto"/>
          </w:tcPr>
          <w:p w:rsidR="008F761B" w:rsidRPr="008F761B" w:rsidRDefault="008F761B" w:rsidP="00EA2C64">
            <w:pPr>
              <w:spacing w:after="120"/>
              <w:rPr>
                <w:rFonts w:eastAsia="Times New Roman"/>
                <w:i/>
              </w:rPr>
            </w:pPr>
            <w:r w:rsidRPr="008F761B">
              <w:rPr>
                <w:rFonts w:eastAsia="Times New Roman"/>
                <w:i/>
              </w:rPr>
              <w:t>Submitted by:</w:t>
            </w:r>
          </w:p>
        </w:tc>
        <w:tc>
          <w:tcPr>
            <w:tcW w:w="3969" w:type="dxa"/>
            <w:shd w:val="clear" w:color="auto" w:fill="auto"/>
          </w:tcPr>
          <w:p w:rsidR="008F761B" w:rsidRPr="008F761B" w:rsidRDefault="00B20855" w:rsidP="00EA2C64">
            <w:pPr>
              <w:spacing w:after="120"/>
              <w:rPr>
                <w:rFonts w:eastAsia="Times New Roman"/>
              </w:rPr>
            </w:pPr>
            <w:r>
              <w:rPr>
                <w:rFonts w:eastAsia="Times New Roman"/>
              </w:rPr>
              <w:t>A.W.K.</w:t>
            </w:r>
            <w:r w:rsidR="006B4CC4">
              <w:rPr>
                <w:rFonts w:eastAsia="Times New Roman"/>
              </w:rPr>
              <w:t xml:space="preserve"> </w:t>
            </w:r>
            <w:r w:rsidR="0029506F">
              <w:rPr>
                <w:rFonts w:eastAsia="Times New Roman"/>
              </w:rPr>
              <w:t>(</w:t>
            </w:r>
            <w:r w:rsidR="006B4CC4">
              <w:rPr>
                <w:rFonts w:eastAsia="Times New Roman"/>
              </w:rPr>
              <w:t xml:space="preserve">represented </w:t>
            </w:r>
            <w:r w:rsidR="006B4CC4" w:rsidRPr="00AD1049">
              <w:rPr>
                <w:rFonts w:eastAsia="Times New Roman"/>
              </w:rPr>
              <w:t xml:space="preserve">by </w:t>
            </w:r>
            <w:r w:rsidR="00AD1049">
              <w:rPr>
                <w:rFonts w:eastAsia="Times New Roman"/>
              </w:rPr>
              <w:t xml:space="preserve">counsel, </w:t>
            </w:r>
            <w:r w:rsidR="006B4CC4" w:rsidRPr="00AD1049">
              <w:rPr>
                <w:rFonts w:eastAsia="Times New Roman"/>
              </w:rPr>
              <w:t>Frank</w:t>
            </w:r>
            <w:r w:rsidR="006B4CC4">
              <w:rPr>
                <w:rFonts w:eastAsia="Times New Roman"/>
              </w:rPr>
              <w:t xml:space="preserve"> Deliu</w:t>
            </w:r>
            <w:r w:rsidR="0029506F">
              <w:rPr>
                <w:rFonts w:eastAsia="Times New Roman"/>
              </w:rPr>
              <w:t>)</w:t>
            </w:r>
          </w:p>
        </w:tc>
      </w:tr>
      <w:tr w:rsidR="008F761B" w:rsidRPr="008F761B" w:rsidTr="00EA2C64">
        <w:tc>
          <w:tcPr>
            <w:tcW w:w="3402" w:type="dxa"/>
            <w:shd w:val="clear" w:color="auto" w:fill="auto"/>
          </w:tcPr>
          <w:p w:rsidR="008F761B" w:rsidRPr="008F761B" w:rsidRDefault="008F761B" w:rsidP="00EA2C64">
            <w:pPr>
              <w:spacing w:after="120"/>
              <w:rPr>
                <w:rFonts w:eastAsia="Times New Roman"/>
                <w:i/>
              </w:rPr>
            </w:pPr>
            <w:r w:rsidRPr="008F761B">
              <w:rPr>
                <w:rFonts w:eastAsia="Times New Roman"/>
                <w:i/>
              </w:rPr>
              <w:t>Alleged victim:</w:t>
            </w:r>
          </w:p>
        </w:tc>
        <w:tc>
          <w:tcPr>
            <w:tcW w:w="3969" w:type="dxa"/>
            <w:shd w:val="clear" w:color="auto" w:fill="auto"/>
          </w:tcPr>
          <w:p w:rsidR="008F761B" w:rsidRPr="008F761B" w:rsidRDefault="00B20855" w:rsidP="00EA2C64">
            <w:pPr>
              <w:spacing w:after="120"/>
              <w:rPr>
                <w:rFonts w:eastAsia="Times New Roman"/>
              </w:rPr>
            </w:pPr>
            <w:r>
              <w:rPr>
                <w:rFonts w:eastAsia="Times New Roman"/>
                <w:lang w:val="en-US"/>
              </w:rPr>
              <w:t>A.W.K.</w:t>
            </w:r>
          </w:p>
        </w:tc>
      </w:tr>
      <w:tr w:rsidR="008F761B" w:rsidRPr="008F761B" w:rsidTr="00EA2C64">
        <w:tc>
          <w:tcPr>
            <w:tcW w:w="3402" w:type="dxa"/>
            <w:shd w:val="clear" w:color="auto" w:fill="auto"/>
          </w:tcPr>
          <w:p w:rsidR="008F761B" w:rsidRPr="008F761B" w:rsidRDefault="008F761B" w:rsidP="00EA2C64">
            <w:pPr>
              <w:spacing w:after="120"/>
              <w:rPr>
                <w:rFonts w:eastAsia="Times New Roman"/>
                <w:i/>
              </w:rPr>
            </w:pPr>
            <w:r w:rsidRPr="008F761B">
              <w:rPr>
                <w:rFonts w:eastAsia="Times New Roman"/>
                <w:i/>
              </w:rPr>
              <w:t>State party:</w:t>
            </w:r>
          </w:p>
        </w:tc>
        <w:tc>
          <w:tcPr>
            <w:tcW w:w="3969" w:type="dxa"/>
            <w:shd w:val="clear" w:color="auto" w:fill="auto"/>
          </w:tcPr>
          <w:p w:rsidR="008F761B" w:rsidRPr="008F761B" w:rsidRDefault="008F761B" w:rsidP="00EA2C64">
            <w:pPr>
              <w:spacing w:after="120"/>
              <w:rPr>
                <w:rFonts w:eastAsia="Times New Roman"/>
              </w:rPr>
            </w:pPr>
            <w:r>
              <w:rPr>
                <w:rFonts w:eastAsia="Times New Roman"/>
              </w:rPr>
              <w:t>New Zealand</w:t>
            </w:r>
          </w:p>
        </w:tc>
      </w:tr>
      <w:tr w:rsidR="008F761B" w:rsidRPr="008F761B" w:rsidTr="00EA2C64">
        <w:tc>
          <w:tcPr>
            <w:tcW w:w="3402" w:type="dxa"/>
            <w:shd w:val="clear" w:color="auto" w:fill="auto"/>
          </w:tcPr>
          <w:p w:rsidR="008F761B" w:rsidRPr="008F761B" w:rsidRDefault="008F761B" w:rsidP="00EA2C64">
            <w:pPr>
              <w:spacing w:after="120"/>
              <w:rPr>
                <w:rFonts w:eastAsia="Times New Roman"/>
                <w:i/>
              </w:rPr>
            </w:pPr>
            <w:r w:rsidRPr="008F761B">
              <w:rPr>
                <w:rFonts w:eastAsia="Times New Roman"/>
                <w:i/>
              </w:rPr>
              <w:t>Date of communication:</w:t>
            </w:r>
          </w:p>
        </w:tc>
        <w:tc>
          <w:tcPr>
            <w:tcW w:w="3969" w:type="dxa"/>
            <w:shd w:val="clear" w:color="auto" w:fill="auto"/>
          </w:tcPr>
          <w:p w:rsidR="008F761B" w:rsidRPr="008F761B" w:rsidRDefault="008F761B" w:rsidP="00EA2C64">
            <w:pPr>
              <w:spacing w:after="120"/>
              <w:rPr>
                <w:rFonts w:eastAsia="Times New Roman"/>
              </w:rPr>
            </w:pPr>
            <w:r>
              <w:rPr>
                <w:rFonts w:eastAsia="Times New Roman"/>
              </w:rPr>
              <w:t>2 August 2010</w:t>
            </w:r>
            <w:r w:rsidRPr="008F761B">
              <w:rPr>
                <w:rFonts w:eastAsia="Times New Roman"/>
              </w:rPr>
              <w:t xml:space="preserve"> (initial submission)</w:t>
            </w:r>
          </w:p>
        </w:tc>
      </w:tr>
      <w:tr w:rsidR="008F761B" w:rsidRPr="008F761B" w:rsidTr="00EA2C64">
        <w:tc>
          <w:tcPr>
            <w:tcW w:w="3402" w:type="dxa"/>
            <w:shd w:val="clear" w:color="auto" w:fill="auto"/>
          </w:tcPr>
          <w:p w:rsidR="008F761B" w:rsidRPr="008F761B" w:rsidRDefault="008F761B" w:rsidP="00EA2C64">
            <w:pPr>
              <w:spacing w:after="120"/>
              <w:rPr>
                <w:rFonts w:eastAsia="Times New Roman"/>
                <w:i/>
              </w:rPr>
            </w:pPr>
            <w:r w:rsidRPr="008F761B">
              <w:rPr>
                <w:rFonts w:eastAsia="Times New Roman"/>
                <w:i/>
              </w:rPr>
              <w:t>Document references:</w:t>
            </w:r>
          </w:p>
        </w:tc>
        <w:tc>
          <w:tcPr>
            <w:tcW w:w="3969" w:type="dxa"/>
            <w:shd w:val="clear" w:color="auto" w:fill="auto"/>
          </w:tcPr>
          <w:p w:rsidR="008F761B" w:rsidRPr="008F761B" w:rsidRDefault="008F761B" w:rsidP="00EA2C64">
            <w:pPr>
              <w:spacing w:after="120"/>
              <w:rPr>
                <w:rFonts w:eastAsia="Times New Roman"/>
              </w:rPr>
            </w:pPr>
            <w:r w:rsidRPr="008F761B">
              <w:rPr>
                <w:rFonts w:eastAsia="Times New Roman"/>
              </w:rPr>
              <w:t xml:space="preserve">Special Rapporteur’s rule 97 decision, transmitted to the State party </w:t>
            </w:r>
            <w:r w:rsidR="0029506F">
              <w:rPr>
                <w:rFonts w:eastAsia="Times New Roman"/>
              </w:rPr>
              <w:t xml:space="preserve">on </w:t>
            </w:r>
            <w:r>
              <w:rPr>
                <w:rFonts w:eastAsia="Times New Roman"/>
              </w:rPr>
              <w:t>3 May 2011</w:t>
            </w:r>
            <w:r w:rsidRPr="008F761B">
              <w:rPr>
                <w:rFonts w:eastAsia="Times New Roman"/>
              </w:rPr>
              <w:t xml:space="preserve"> (not issued in document form)</w:t>
            </w:r>
          </w:p>
        </w:tc>
      </w:tr>
      <w:tr w:rsidR="008F761B" w:rsidRPr="008F761B" w:rsidTr="00EA2C64">
        <w:tc>
          <w:tcPr>
            <w:tcW w:w="3402" w:type="dxa"/>
            <w:shd w:val="clear" w:color="auto" w:fill="auto"/>
          </w:tcPr>
          <w:p w:rsidR="008F761B" w:rsidRPr="00596050" w:rsidRDefault="008F761B" w:rsidP="00F80407">
            <w:pPr>
              <w:spacing w:after="120"/>
              <w:rPr>
                <w:rFonts w:eastAsia="Times New Roman"/>
              </w:rPr>
            </w:pPr>
            <w:r w:rsidRPr="008F761B">
              <w:rPr>
                <w:rFonts w:eastAsia="Times New Roman"/>
                <w:i/>
              </w:rPr>
              <w:t xml:space="preserve">Date of </w:t>
            </w:r>
            <w:r w:rsidR="0029506F">
              <w:rPr>
                <w:rFonts w:eastAsia="Times New Roman"/>
                <w:i/>
              </w:rPr>
              <w:t>d</w:t>
            </w:r>
            <w:r w:rsidR="00596050">
              <w:rPr>
                <w:rFonts w:eastAsia="Times New Roman"/>
                <w:i/>
              </w:rPr>
              <w:t>ecision</w:t>
            </w:r>
            <w:r w:rsidRPr="008F761B">
              <w:rPr>
                <w:rFonts w:eastAsia="Times New Roman"/>
                <w:i/>
              </w:rPr>
              <w:t>:</w:t>
            </w:r>
          </w:p>
        </w:tc>
        <w:tc>
          <w:tcPr>
            <w:tcW w:w="3969" w:type="dxa"/>
            <w:shd w:val="clear" w:color="auto" w:fill="auto"/>
            <w:vAlign w:val="bottom"/>
          </w:tcPr>
          <w:p w:rsidR="00596050" w:rsidRPr="008F761B" w:rsidRDefault="00BB00ED" w:rsidP="00EA2C64">
            <w:pPr>
              <w:spacing w:after="120"/>
              <w:rPr>
                <w:rFonts w:eastAsia="Times New Roman"/>
              </w:rPr>
            </w:pPr>
            <w:r>
              <w:rPr>
                <w:rFonts w:eastAsia="Times New Roman"/>
              </w:rPr>
              <w:t>28</w:t>
            </w:r>
            <w:r w:rsidRPr="008F761B">
              <w:rPr>
                <w:rFonts w:eastAsia="Times New Roman"/>
              </w:rPr>
              <w:t xml:space="preserve"> </w:t>
            </w:r>
            <w:r w:rsidR="008F761B">
              <w:rPr>
                <w:rFonts w:eastAsia="Times New Roman"/>
              </w:rPr>
              <w:t>October</w:t>
            </w:r>
            <w:r w:rsidR="008F761B" w:rsidRPr="008F761B">
              <w:rPr>
                <w:rFonts w:eastAsia="Times New Roman"/>
              </w:rPr>
              <w:t xml:space="preserve"> 2014</w:t>
            </w:r>
          </w:p>
        </w:tc>
      </w:tr>
      <w:tr w:rsidR="008F761B" w:rsidRPr="008F761B" w:rsidTr="00EA2C64">
        <w:tc>
          <w:tcPr>
            <w:tcW w:w="3402" w:type="dxa"/>
            <w:shd w:val="clear" w:color="auto" w:fill="auto"/>
          </w:tcPr>
          <w:p w:rsidR="008F761B" w:rsidRPr="008F761B" w:rsidRDefault="008F761B" w:rsidP="00EA2C64">
            <w:pPr>
              <w:spacing w:after="120"/>
              <w:rPr>
                <w:rFonts w:eastAsia="Times New Roman"/>
                <w:i/>
              </w:rPr>
            </w:pPr>
            <w:r w:rsidRPr="008F761B">
              <w:rPr>
                <w:rFonts w:eastAsia="Times New Roman"/>
                <w:i/>
                <w:iCs/>
              </w:rPr>
              <w:t>Subject matter:</w:t>
            </w:r>
          </w:p>
        </w:tc>
        <w:tc>
          <w:tcPr>
            <w:tcW w:w="3969" w:type="dxa"/>
            <w:shd w:val="clear" w:color="auto" w:fill="auto"/>
          </w:tcPr>
          <w:p w:rsidR="008F761B" w:rsidRPr="008F761B" w:rsidRDefault="006730EF" w:rsidP="00EA2C64">
            <w:pPr>
              <w:spacing w:after="120"/>
              <w:rPr>
                <w:rFonts w:eastAsia="Times New Roman"/>
              </w:rPr>
            </w:pPr>
            <w:r>
              <w:rPr>
                <w:rFonts w:eastAsia="Times New Roman"/>
              </w:rPr>
              <w:t>Fairness of criminal proceedings</w:t>
            </w:r>
          </w:p>
        </w:tc>
      </w:tr>
      <w:tr w:rsidR="0029506F" w:rsidRPr="008F761B" w:rsidTr="00EA2C64">
        <w:tc>
          <w:tcPr>
            <w:tcW w:w="3402" w:type="dxa"/>
            <w:shd w:val="clear" w:color="auto" w:fill="auto"/>
          </w:tcPr>
          <w:p w:rsidR="0029506F" w:rsidRPr="008F761B" w:rsidRDefault="0029506F" w:rsidP="00EA2C64">
            <w:pPr>
              <w:spacing w:after="120"/>
              <w:rPr>
                <w:rFonts w:eastAsia="Times New Roman"/>
                <w:i/>
                <w:iCs/>
              </w:rPr>
            </w:pPr>
            <w:r w:rsidRPr="006730EF">
              <w:rPr>
                <w:rFonts w:eastAsia="Times New Roman"/>
                <w:i/>
                <w:iCs/>
              </w:rPr>
              <w:t>Substantive issues:</w:t>
            </w:r>
          </w:p>
        </w:tc>
        <w:tc>
          <w:tcPr>
            <w:tcW w:w="3969" w:type="dxa"/>
            <w:shd w:val="clear" w:color="auto" w:fill="auto"/>
          </w:tcPr>
          <w:p w:rsidR="0029506F" w:rsidRDefault="0029506F" w:rsidP="00EA2C64">
            <w:pPr>
              <w:spacing w:after="120"/>
              <w:rPr>
                <w:rFonts w:eastAsia="Times New Roman"/>
              </w:rPr>
            </w:pPr>
            <w:r>
              <w:rPr>
                <w:rFonts w:eastAsia="Times New Roman"/>
              </w:rPr>
              <w:t>Right to f</w:t>
            </w:r>
            <w:r w:rsidRPr="006730EF">
              <w:rPr>
                <w:rFonts w:eastAsia="Times New Roman"/>
              </w:rPr>
              <w:t xml:space="preserve">air hearing; </w:t>
            </w:r>
            <w:r>
              <w:rPr>
                <w:rFonts w:eastAsia="Times New Roman"/>
              </w:rPr>
              <w:t xml:space="preserve">right to </w:t>
            </w:r>
            <w:r w:rsidRPr="0094486F">
              <w:rPr>
                <w:lang w:val="en-US"/>
              </w:rPr>
              <w:t>effective remedy</w:t>
            </w:r>
            <w:r>
              <w:rPr>
                <w:lang w:val="en-US"/>
              </w:rPr>
              <w:t xml:space="preserve">; right to </w:t>
            </w:r>
            <w:r>
              <w:rPr>
                <w:rFonts w:eastAsia="Times New Roman"/>
              </w:rPr>
              <w:t xml:space="preserve">interpreter; right to know the nature and cause of charges; opportunity to present a defence; right to counsel; right to face accusers; right to appeal conviction </w:t>
            </w:r>
          </w:p>
        </w:tc>
      </w:tr>
      <w:tr w:rsidR="008F761B" w:rsidRPr="008F761B" w:rsidTr="00EA2C64">
        <w:tc>
          <w:tcPr>
            <w:tcW w:w="3402" w:type="dxa"/>
            <w:shd w:val="clear" w:color="auto" w:fill="auto"/>
          </w:tcPr>
          <w:p w:rsidR="008F761B" w:rsidRPr="008F761B" w:rsidRDefault="008F761B" w:rsidP="00EA2C64">
            <w:pPr>
              <w:spacing w:after="120"/>
              <w:rPr>
                <w:rFonts w:eastAsia="Times New Roman"/>
                <w:i/>
                <w:iCs/>
              </w:rPr>
            </w:pPr>
            <w:r w:rsidRPr="008F761B">
              <w:rPr>
                <w:rFonts w:eastAsia="Times New Roman"/>
                <w:i/>
                <w:iCs/>
              </w:rPr>
              <w:t>Procedural issues</w:t>
            </w:r>
            <w:r w:rsidRPr="008F761B">
              <w:rPr>
                <w:rFonts w:eastAsia="Times New Roman"/>
                <w:i/>
              </w:rPr>
              <w:t>:</w:t>
            </w:r>
          </w:p>
        </w:tc>
        <w:tc>
          <w:tcPr>
            <w:tcW w:w="3969" w:type="dxa"/>
            <w:shd w:val="clear" w:color="auto" w:fill="auto"/>
          </w:tcPr>
          <w:p w:rsidR="008F761B" w:rsidRPr="008F761B" w:rsidRDefault="006730EF" w:rsidP="00EA2C64">
            <w:pPr>
              <w:spacing w:after="120"/>
              <w:rPr>
                <w:rFonts w:eastAsia="Times New Roman"/>
              </w:rPr>
            </w:pPr>
            <w:r>
              <w:rPr>
                <w:rFonts w:eastAsia="Times New Roman"/>
              </w:rPr>
              <w:t>Substantiation of claims</w:t>
            </w:r>
          </w:p>
        </w:tc>
      </w:tr>
      <w:tr w:rsidR="008F761B" w:rsidRPr="004431F8" w:rsidTr="00EA2C64">
        <w:tc>
          <w:tcPr>
            <w:tcW w:w="3402" w:type="dxa"/>
            <w:shd w:val="clear" w:color="auto" w:fill="auto"/>
          </w:tcPr>
          <w:p w:rsidR="008F761B" w:rsidRPr="006730EF" w:rsidRDefault="00AB74CB" w:rsidP="00EA2C64">
            <w:pPr>
              <w:spacing w:after="120"/>
              <w:rPr>
                <w:rFonts w:eastAsia="Times New Roman"/>
                <w:i/>
                <w:iCs/>
              </w:rPr>
            </w:pPr>
            <w:r>
              <w:rPr>
                <w:rFonts w:eastAsia="Times New Roman"/>
                <w:i/>
                <w:iCs/>
              </w:rPr>
              <w:t>Articles </w:t>
            </w:r>
            <w:r w:rsidR="008F761B" w:rsidRPr="006730EF">
              <w:rPr>
                <w:rFonts w:eastAsia="Times New Roman"/>
                <w:i/>
                <w:iCs/>
              </w:rPr>
              <w:t>of the Covenant</w:t>
            </w:r>
            <w:r w:rsidR="008F761B" w:rsidRPr="006730EF">
              <w:rPr>
                <w:rFonts w:eastAsia="Times New Roman"/>
                <w:i/>
              </w:rPr>
              <w:t>:</w:t>
            </w:r>
          </w:p>
        </w:tc>
        <w:tc>
          <w:tcPr>
            <w:tcW w:w="3969" w:type="dxa"/>
            <w:shd w:val="clear" w:color="auto" w:fill="auto"/>
          </w:tcPr>
          <w:p w:rsidR="008F761B" w:rsidRPr="004431F8" w:rsidRDefault="008F761B" w:rsidP="00EA2C64">
            <w:pPr>
              <w:spacing w:after="120"/>
              <w:rPr>
                <w:rFonts w:eastAsia="Times New Roman"/>
                <w:lang w:val="es-ES"/>
              </w:rPr>
            </w:pPr>
            <w:r w:rsidRPr="004431F8">
              <w:rPr>
                <w:rFonts w:eastAsia="Times New Roman"/>
                <w:lang w:val="en-US"/>
              </w:rPr>
              <w:t xml:space="preserve">2 </w:t>
            </w:r>
            <w:r w:rsidR="006B059E" w:rsidRPr="004431F8">
              <w:rPr>
                <w:rFonts w:eastAsia="Times New Roman"/>
                <w:lang w:val="en-US"/>
              </w:rPr>
              <w:t>(</w:t>
            </w:r>
            <w:r w:rsidR="00AB74CB" w:rsidRPr="004431F8">
              <w:rPr>
                <w:rFonts w:eastAsia="Times New Roman"/>
                <w:lang w:val="en-US"/>
              </w:rPr>
              <w:t>para</w:t>
            </w:r>
            <w:r w:rsidR="006B059E">
              <w:rPr>
                <w:rFonts w:eastAsia="Times New Roman"/>
                <w:lang w:val="en-US"/>
              </w:rPr>
              <w:t>.</w:t>
            </w:r>
            <w:r w:rsidR="00AB74CB" w:rsidRPr="004431F8">
              <w:rPr>
                <w:rFonts w:eastAsia="Times New Roman"/>
                <w:lang w:val="en-US"/>
              </w:rPr>
              <w:t> </w:t>
            </w:r>
            <w:r w:rsidR="00C80A0B" w:rsidRPr="004431F8">
              <w:rPr>
                <w:rFonts w:eastAsia="Times New Roman"/>
                <w:lang w:val="es-ES"/>
              </w:rPr>
              <w:t>3</w:t>
            </w:r>
            <w:r w:rsidR="006B059E" w:rsidRPr="004431F8">
              <w:rPr>
                <w:rFonts w:eastAsia="Times New Roman"/>
                <w:lang w:val="es-ES"/>
              </w:rPr>
              <w:t>)</w:t>
            </w:r>
            <w:r w:rsidR="006730EF" w:rsidRPr="004431F8">
              <w:rPr>
                <w:rFonts w:eastAsia="Times New Roman"/>
                <w:lang w:val="es-ES"/>
              </w:rPr>
              <w:t xml:space="preserve">; 14 </w:t>
            </w:r>
            <w:r w:rsidR="006B059E" w:rsidRPr="004431F8">
              <w:rPr>
                <w:rFonts w:eastAsia="Times New Roman"/>
                <w:lang w:val="es-ES"/>
              </w:rPr>
              <w:t>(</w:t>
            </w:r>
            <w:r w:rsidR="00AB74CB" w:rsidRPr="004431F8">
              <w:rPr>
                <w:rFonts w:eastAsia="Times New Roman"/>
                <w:lang w:val="es-ES"/>
              </w:rPr>
              <w:t>para</w:t>
            </w:r>
            <w:r w:rsidR="006B059E" w:rsidRPr="004431F8">
              <w:rPr>
                <w:rFonts w:eastAsia="Times New Roman"/>
                <w:lang w:val="es-ES"/>
              </w:rPr>
              <w:t>.</w:t>
            </w:r>
            <w:r w:rsidR="00AB74CB" w:rsidRPr="004431F8">
              <w:rPr>
                <w:rFonts w:eastAsia="Times New Roman"/>
                <w:lang w:val="es-ES"/>
              </w:rPr>
              <w:t> </w:t>
            </w:r>
            <w:r w:rsidR="006730EF" w:rsidRPr="004431F8">
              <w:rPr>
                <w:rFonts w:eastAsia="Times New Roman"/>
                <w:lang w:val="es-ES"/>
              </w:rPr>
              <w:t>1</w:t>
            </w:r>
            <w:r w:rsidR="006B059E" w:rsidRPr="004431F8">
              <w:rPr>
                <w:rFonts w:eastAsia="Times New Roman"/>
                <w:lang w:val="es-ES"/>
              </w:rPr>
              <w:t>)</w:t>
            </w:r>
            <w:r w:rsidR="006730EF" w:rsidRPr="004431F8">
              <w:rPr>
                <w:rFonts w:eastAsia="Times New Roman"/>
                <w:lang w:val="es-ES"/>
              </w:rPr>
              <w:t>;</w:t>
            </w:r>
            <w:r w:rsidRPr="004431F8">
              <w:rPr>
                <w:rFonts w:eastAsia="Times New Roman"/>
                <w:lang w:val="es-ES"/>
              </w:rPr>
              <w:t xml:space="preserve"> 3 </w:t>
            </w:r>
            <w:r w:rsidR="006730EF" w:rsidRPr="004431F8">
              <w:rPr>
                <w:rFonts w:eastAsia="Times New Roman"/>
                <w:lang w:val="es-ES"/>
              </w:rPr>
              <w:t xml:space="preserve">(a), </w:t>
            </w:r>
            <w:r w:rsidRPr="004431F8">
              <w:rPr>
                <w:rFonts w:eastAsia="Times New Roman"/>
                <w:lang w:val="es-ES"/>
              </w:rPr>
              <w:t>(b)</w:t>
            </w:r>
            <w:r w:rsidR="006730EF" w:rsidRPr="004431F8">
              <w:rPr>
                <w:rFonts w:eastAsia="Times New Roman"/>
                <w:lang w:val="es-ES"/>
              </w:rPr>
              <w:t>, (d), (e)</w:t>
            </w:r>
            <w:r w:rsidR="00820FCF" w:rsidRPr="004431F8">
              <w:rPr>
                <w:rFonts w:eastAsia="Times New Roman"/>
                <w:lang w:val="es-ES"/>
              </w:rPr>
              <w:t xml:space="preserve"> and (f)</w:t>
            </w:r>
            <w:r w:rsidR="006730EF" w:rsidRPr="004431F8">
              <w:rPr>
                <w:rFonts w:eastAsia="Times New Roman"/>
                <w:lang w:val="es-ES"/>
              </w:rPr>
              <w:t>; 5</w:t>
            </w:r>
          </w:p>
        </w:tc>
      </w:tr>
      <w:tr w:rsidR="008F761B" w:rsidRPr="008F761B" w:rsidTr="00EA2C64">
        <w:tc>
          <w:tcPr>
            <w:tcW w:w="3402" w:type="dxa"/>
            <w:shd w:val="clear" w:color="auto" w:fill="auto"/>
          </w:tcPr>
          <w:p w:rsidR="008F761B" w:rsidRPr="00EB5C9F" w:rsidRDefault="00AB74CB" w:rsidP="00EA2C64">
            <w:pPr>
              <w:spacing w:after="120"/>
              <w:rPr>
                <w:rFonts w:eastAsia="Times New Roman"/>
                <w:i/>
                <w:iCs/>
              </w:rPr>
            </w:pPr>
            <w:r>
              <w:rPr>
                <w:rFonts w:eastAsia="Times New Roman"/>
                <w:i/>
                <w:iCs/>
              </w:rPr>
              <w:t>Article</w:t>
            </w:r>
            <w:r w:rsidR="0029506F">
              <w:rPr>
                <w:rFonts w:eastAsia="Times New Roman"/>
                <w:i/>
                <w:iCs/>
              </w:rPr>
              <w:t>s</w:t>
            </w:r>
            <w:r>
              <w:rPr>
                <w:rFonts w:eastAsia="Times New Roman"/>
                <w:i/>
                <w:iCs/>
              </w:rPr>
              <w:t> </w:t>
            </w:r>
            <w:r w:rsidR="008F761B" w:rsidRPr="00EB5C9F">
              <w:rPr>
                <w:rFonts w:eastAsia="Times New Roman"/>
                <w:i/>
                <w:iCs/>
              </w:rPr>
              <w:t>of the Optional Protocol:</w:t>
            </w:r>
          </w:p>
        </w:tc>
        <w:tc>
          <w:tcPr>
            <w:tcW w:w="3969" w:type="dxa"/>
            <w:shd w:val="clear" w:color="auto" w:fill="auto"/>
          </w:tcPr>
          <w:p w:rsidR="008F761B" w:rsidRPr="00EB5C9F" w:rsidRDefault="004C67BE" w:rsidP="00EA2C64">
            <w:pPr>
              <w:spacing w:after="120"/>
              <w:rPr>
                <w:rFonts w:eastAsia="Times New Roman"/>
              </w:rPr>
            </w:pPr>
            <w:r w:rsidRPr="00EB5C9F">
              <w:rPr>
                <w:rFonts w:eastAsia="Times New Roman"/>
              </w:rPr>
              <w:t>2</w:t>
            </w:r>
          </w:p>
        </w:tc>
      </w:tr>
    </w:tbl>
    <w:p w:rsidR="008F761B" w:rsidRPr="008F761B" w:rsidRDefault="004431F8" w:rsidP="004431F8">
      <w:pPr>
        <w:pStyle w:val="HChG"/>
      </w:pPr>
      <w:r>
        <w:br w:type="page"/>
      </w:r>
      <w:r w:rsidR="008F761B" w:rsidRPr="004431F8">
        <w:rPr>
          <w:rFonts w:eastAsia="Times New Roman"/>
        </w:rPr>
        <w:lastRenderedPageBreak/>
        <w:t>Annex</w:t>
      </w:r>
    </w:p>
    <w:p w:rsidR="008F761B" w:rsidRPr="008F761B" w:rsidRDefault="008F761B" w:rsidP="00F44E23">
      <w:pPr>
        <w:pStyle w:val="HChG"/>
        <w:rPr>
          <w:rFonts w:eastAsia="Times New Roman"/>
          <w:b w:val="0"/>
        </w:rPr>
      </w:pPr>
      <w:r w:rsidRPr="008F761B">
        <w:rPr>
          <w:rFonts w:eastAsia="Times New Roman"/>
          <w:b w:val="0"/>
        </w:rPr>
        <w:tab/>
      </w:r>
      <w:r w:rsidRPr="008F761B">
        <w:rPr>
          <w:rFonts w:eastAsia="Times New Roman"/>
          <w:b w:val="0"/>
        </w:rPr>
        <w:tab/>
      </w:r>
      <w:r w:rsidR="00F44E23" w:rsidRPr="007B1541">
        <w:t xml:space="preserve">Decision of the Human Rights Committee under </w:t>
      </w:r>
      <w:r w:rsidR="00EA2C64">
        <w:br/>
      </w:r>
      <w:r w:rsidR="00F44E23" w:rsidRPr="007B1541">
        <w:t>the Optional Protocol to the International Covenant</w:t>
      </w:r>
      <w:r w:rsidR="00F44E23">
        <w:t xml:space="preserve"> </w:t>
      </w:r>
      <w:r w:rsidR="00EA2C64">
        <w:br/>
      </w:r>
      <w:r w:rsidR="00F44E23">
        <w:t>on Civil and Political Rights (112</w:t>
      </w:r>
      <w:r w:rsidR="00F44E23" w:rsidRPr="00041FAB">
        <w:t>th</w:t>
      </w:r>
      <w:r w:rsidR="00F44E23">
        <w:t xml:space="preserve"> session)</w:t>
      </w:r>
    </w:p>
    <w:p w:rsidR="008F761B" w:rsidRPr="008F761B" w:rsidRDefault="008F761B" w:rsidP="00EA2C64">
      <w:pPr>
        <w:pStyle w:val="SingleTxtG"/>
      </w:pPr>
      <w:r w:rsidRPr="008F761B">
        <w:t>concerning</w:t>
      </w:r>
    </w:p>
    <w:p w:rsidR="008F761B" w:rsidRPr="008F761B" w:rsidRDefault="008F761B" w:rsidP="00EA2C64">
      <w:pPr>
        <w:pStyle w:val="H1G"/>
      </w:pPr>
      <w:r w:rsidRPr="008F761B">
        <w:tab/>
      </w:r>
      <w:r w:rsidRPr="008F761B">
        <w:tab/>
        <w:t xml:space="preserve">Communication No. </w:t>
      </w:r>
      <w:r w:rsidR="00E00CA6">
        <w:t>1998/2010</w:t>
      </w:r>
      <w:r w:rsidR="00836072" w:rsidRPr="00EA2C64">
        <w:rPr>
          <w:rStyle w:val="FootnoteReference"/>
          <w:b w:val="0"/>
          <w:bCs/>
          <w:sz w:val="20"/>
          <w:vertAlign w:val="baseline"/>
        </w:rPr>
        <w:footnoteReference w:customMarkFollows="1" w:id="2"/>
        <w:t>*</w:t>
      </w:r>
    </w:p>
    <w:tbl>
      <w:tblPr>
        <w:tblW w:w="7371" w:type="dxa"/>
        <w:tblInd w:w="1134" w:type="dxa"/>
        <w:tblLayout w:type="fixed"/>
        <w:tblCellMar>
          <w:left w:w="0" w:type="dxa"/>
          <w:right w:w="0" w:type="dxa"/>
        </w:tblCellMar>
        <w:tblLook w:val="01E0" w:firstRow="1" w:lastRow="1" w:firstColumn="1" w:lastColumn="1" w:noHBand="0" w:noVBand="0"/>
      </w:tblPr>
      <w:tblGrid>
        <w:gridCol w:w="3379"/>
        <w:gridCol w:w="3992"/>
      </w:tblGrid>
      <w:tr w:rsidR="008F761B" w:rsidRPr="008F761B" w:rsidTr="00EA2C64">
        <w:tc>
          <w:tcPr>
            <w:tcW w:w="3119" w:type="dxa"/>
            <w:shd w:val="clear" w:color="auto" w:fill="auto"/>
          </w:tcPr>
          <w:p w:rsidR="008F761B" w:rsidRPr="008F761B" w:rsidRDefault="008F761B" w:rsidP="008F761B">
            <w:pPr>
              <w:spacing w:after="120"/>
              <w:rPr>
                <w:rFonts w:eastAsia="Times New Roman"/>
                <w:i/>
              </w:rPr>
            </w:pPr>
            <w:r w:rsidRPr="008F761B">
              <w:rPr>
                <w:rFonts w:eastAsia="Times New Roman"/>
                <w:i/>
              </w:rPr>
              <w:t>Submitted by:</w:t>
            </w:r>
          </w:p>
        </w:tc>
        <w:tc>
          <w:tcPr>
            <w:tcW w:w="3685" w:type="dxa"/>
            <w:shd w:val="clear" w:color="auto" w:fill="auto"/>
          </w:tcPr>
          <w:p w:rsidR="008F761B" w:rsidRPr="008F761B" w:rsidRDefault="00B20855" w:rsidP="008F761B">
            <w:pPr>
              <w:spacing w:after="120"/>
              <w:rPr>
                <w:rFonts w:eastAsia="Times New Roman"/>
              </w:rPr>
            </w:pPr>
            <w:r>
              <w:rPr>
                <w:rFonts w:eastAsia="Times New Roman"/>
              </w:rPr>
              <w:t>A.W.K.</w:t>
            </w:r>
            <w:r w:rsidR="006B4CC4">
              <w:rPr>
                <w:rFonts w:eastAsia="Times New Roman"/>
              </w:rPr>
              <w:t xml:space="preserve"> </w:t>
            </w:r>
            <w:r w:rsidR="006B059E">
              <w:rPr>
                <w:rFonts w:eastAsia="Times New Roman"/>
              </w:rPr>
              <w:t>(</w:t>
            </w:r>
            <w:r w:rsidR="006B4CC4">
              <w:rPr>
                <w:rFonts w:eastAsia="Times New Roman"/>
              </w:rPr>
              <w:t xml:space="preserve">represented </w:t>
            </w:r>
            <w:r w:rsidR="006B4CC4" w:rsidRPr="00AD1049">
              <w:rPr>
                <w:rFonts w:eastAsia="Times New Roman"/>
              </w:rPr>
              <w:t xml:space="preserve">by </w:t>
            </w:r>
            <w:r w:rsidR="00AD1049">
              <w:rPr>
                <w:rFonts w:eastAsia="Times New Roman"/>
              </w:rPr>
              <w:t xml:space="preserve">counsel, </w:t>
            </w:r>
            <w:r w:rsidR="006B4CC4" w:rsidRPr="00AD1049">
              <w:rPr>
                <w:rFonts w:eastAsia="Times New Roman"/>
              </w:rPr>
              <w:t>Frank</w:t>
            </w:r>
            <w:r w:rsidR="006B4CC4">
              <w:rPr>
                <w:rFonts w:eastAsia="Times New Roman"/>
              </w:rPr>
              <w:t xml:space="preserve"> Deliu</w:t>
            </w:r>
            <w:r w:rsidR="006B059E">
              <w:rPr>
                <w:rFonts w:eastAsia="Times New Roman"/>
              </w:rPr>
              <w:t>)</w:t>
            </w:r>
          </w:p>
        </w:tc>
      </w:tr>
      <w:tr w:rsidR="008F761B" w:rsidRPr="008F761B" w:rsidTr="00EA2C64">
        <w:tc>
          <w:tcPr>
            <w:tcW w:w="3119" w:type="dxa"/>
            <w:shd w:val="clear" w:color="auto" w:fill="auto"/>
          </w:tcPr>
          <w:p w:rsidR="008F761B" w:rsidRPr="008F761B" w:rsidRDefault="008F761B" w:rsidP="008F761B">
            <w:pPr>
              <w:spacing w:after="120"/>
              <w:rPr>
                <w:rFonts w:eastAsia="Times New Roman"/>
                <w:i/>
              </w:rPr>
            </w:pPr>
            <w:r w:rsidRPr="008F761B">
              <w:rPr>
                <w:rFonts w:eastAsia="Times New Roman"/>
                <w:i/>
              </w:rPr>
              <w:t>Alleged victim:</w:t>
            </w:r>
          </w:p>
        </w:tc>
        <w:tc>
          <w:tcPr>
            <w:tcW w:w="3685" w:type="dxa"/>
            <w:shd w:val="clear" w:color="auto" w:fill="auto"/>
          </w:tcPr>
          <w:p w:rsidR="008F761B" w:rsidRPr="008F761B" w:rsidRDefault="00B20855" w:rsidP="008F761B">
            <w:pPr>
              <w:spacing w:after="120"/>
              <w:rPr>
                <w:rFonts w:eastAsia="Times New Roman"/>
              </w:rPr>
            </w:pPr>
            <w:r>
              <w:rPr>
                <w:rFonts w:eastAsia="Times New Roman"/>
                <w:lang w:val="en-US"/>
              </w:rPr>
              <w:t>A.W.K.</w:t>
            </w:r>
          </w:p>
        </w:tc>
      </w:tr>
      <w:tr w:rsidR="008F761B" w:rsidRPr="008F761B" w:rsidTr="00EA2C64">
        <w:tc>
          <w:tcPr>
            <w:tcW w:w="3119" w:type="dxa"/>
            <w:shd w:val="clear" w:color="auto" w:fill="auto"/>
          </w:tcPr>
          <w:p w:rsidR="008F761B" w:rsidRPr="008F761B" w:rsidRDefault="008F761B" w:rsidP="008F761B">
            <w:pPr>
              <w:spacing w:after="120"/>
              <w:rPr>
                <w:rFonts w:eastAsia="Times New Roman"/>
                <w:i/>
              </w:rPr>
            </w:pPr>
            <w:r w:rsidRPr="008F761B">
              <w:rPr>
                <w:rFonts w:eastAsia="Times New Roman"/>
                <w:i/>
              </w:rPr>
              <w:t>State party:</w:t>
            </w:r>
          </w:p>
        </w:tc>
        <w:tc>
          <w:tcPr>
            <w:tcW w:w="3685" w:type="dxa"/>
            <w:shd w:val="clear" w:color="auto" w:fill="auto"/>
          </w:tcPr>
          <w:p w:rsidR="008F761B" w:rsidRPr="008F761B" w:rsidRDefault="008F761B" w:rsidP="008F761B">
            <w:pPr>
              <w:spacing w:after="120"/>
              <w:rPr>
                <w:rFonts w:eastAsia="Times New Roman"/>
              </w:rPr>
            </w:pPr>
            <w:r>
              <w:rPr>
                <w:rFonts w:eastAsia="Times New Roman"/>
              </w:rPr>
              <w:t>New Zealand</w:t>
            </w:r>
          </w:p>
        </w:tc>
      </w:tr>
      <w:tr w:rsidR="008F761B" w:rsidRPr="008F761B" w:rsidTr="00EA2C64">
        <w:tc>
          <w:tcPr>
            <w:tcW w:w="3119" w:type="dxa"/>
            <w:shd w:val="clear" w:color="auto" w:fill="auto"/>
          </w:tcPr>
          <w:p w:rsidR="008F761B" w:rsidRPr="008F761B" w:rsidRDefault="008F761B" w:rsidP="008F761B">
            <w:pPr>
              <w:spacing w:after="240"/>
              <w:rPr>
                <w:rFonts w:eastAsia="Times New Roman"/>
                <w:i/>
              </w:rPr>
            </w:pPr>
            <w:r w:rsidRPr="008F761B">
              <w:rPr>
                <w:rFonts w:eastAsia="Times New Roman"/>
                <w:i/>
              </w:rPr>
              <w:t>Date of communication:</w:t>
            </w:r>
          </w:p>
        </w:tc>
        <w:tc>
          <w:tcPr>
            <w:tcW w:w="3685" w:type="dxa"/>
            <w:shd w:val="clear" w:color="auto" w:fill="auto"/>
          </w:tcPr>
          <w:p w:rsidR="008F761B" w:rsidRPr="008F761B" w:rsidRDefault="008F761B" w:rsidP="008F761B">
            <w:pPr>
              <w:spacing w:after="240"/>
              <w:rPr>
                <w:rFonts w:eastAsia="Times New Roman"/>
              </w:rPr>
            </w:pPr>
            <w:r>
              <w:rPr>
                <w:rFonts w:eastAsia="Times New Roman"/>
              </w:rPr>
              <w:t>2 August 2010</w:t>
            </w:r>
            <w:r w:rsidRPr="008F761B">
              <w:rPr>
                <w:rFonts w:eastAsia="Times New Roman"/>
              </w:rPr>
              <w:t xml:space="preserve"> (initial submission)</w:t>
            </w:r>
          </w:p>
        </w:tc>
      </w:tr>
    </w:tbl>
    <w:p w:rsidR="008F761B" w:rsidRPr="008F761B" w:rsidRDefault="008F761B" w:rsidP="00EA2C64">
      <w:pPr>
        <w:pStyle w:val="SingleTxtG"/>
      </w:pPr>
      <w:r w:rsidRPr="008F761B">
        <w:tab/>
      </w:r>
      <w:r w:rsidRPr="008F761B">
        <w:rPr>
          <w:i/>
        </w:rPr>
        <w:t>The Human Rights Committee</w:t>
      </w:r>
      <w:r w:rsidRPr="008F761B">
        <w:t xml:space="preserve">, established under </w:t>
      </w:r>
      <w:r w:rsidR="00AB74CB">
        <w:t>article </w:t>
      </w:r>
      <w:r w:rsidRPr="008F761B">
        <w:t>28 of the International Covenant on Civil and Political Rights,</w:t>
      </w:r>
    </w:p>
    <w:p w:rsidR="008F761B" w:rsidRPr="008F761B" w:rsidRDefault="008F761B" w:rsidP="00EA2C64">
      <w:pPr>
        <w:pStyle w:val="SingleTxtG"/>
      </w:pPr>
      <w:r w:rsidRPr="008F761B">
        <w:rPr>
          <w:color w:val="6699FF"/>
        </w:rPr>
        <w:tab/>
      </w:r>
      <w:r w:rsidRPr="008F761B">
        <w:rPr>
          <w:i/>
        </w:rPr>
        <w:t>Meeting</w:t>
      </w:r>
      <w:r w:rsidR="003E32D9">
        <w:t xml:space="preserve"> on </w:t>
      </w:r>
      <w:r w:rsidR="00BB00ED">
        <w:t xml:space="preserve">28 </w:t>
      </w:r>
      <w:r w:rsidR="003E32D9">
        <w:t>October 2014,</w:t>
      </w:r>
    </w:p>
    <w:p w:rsidR="008F761B" w:rsidRPr="008F761B" w:rsidRDefault="008F761B" w:rsidP="00EA2C64">
      <w:pPr>
        <w:pStyle w:val="SingleTxtG"/>
      </w:pPr>
      <w:r w:rsidRPr="008F761B">
        <w:rPr>
          <w:i/>
        </w:rPr>
        <w:tab/>
        <w:t>Adopts</w:t>
      </w:r>
      <w:r w:rsidRPr="008F761B">
        <w:t xml:space="preserve"> the following:</w:t>
      </w:r>
    </w:p>
    <w:p w:rsidR="008F761B" w:rsidRPr="008F761B" w:rsidRDefault="008F761B" w:rsidP="008C6A3E">
      <w:pPr>
        <w:pStyle w:val="H1G"/>
      </w:pPr>
      <w:r w:rsidRPr="008F761B">
        <w:tab/>
      </w:r>
      <w:r w:rsidRPr="008F761B">
        <w:tab/>
      </w:r>
      <w:r w:rsidR="00F44E23" w:rsidRPr="00F44E23">
        <w:t>Decision on admissibility</w:t>
      </w:r>
    </w:p>
    <w:p w:rsidR="008F761B" w:rsidRDefault="00D45844" w:rsidP="00D45844">
      <w:pPr>
        <w:spacing w:after="120"/>
        <w:ind w:left="1134" w:right="1134"/>
        <w:jc w:val="both"/>
        <w:rPr>
          <w:rFonts w:eastAsia="Times New Roman"/>
        </w:rPr>
      </w:pPr>
      <w:r>
        <w:rPr>
          <w:rFonts w:eastAsia="Times New Roman"/>
        </w:rPr>
        <w:t>1.</w:t>
      </w:r>
      <w:r w:rsidR="005275D9">
        <w:rPr>
          <w:rFonts w:eastAsia="Times New Roman"/>
        </w:rPr>
        <w:t>1</w:t>
      </w:r>
      <w:r w:rsidR="008F761B" w:rsidRPr="008F761B">
        <w:rPr>
          <w:rFonts w:eastAsia="Times New Roman"/>
        </w:rPr>
        <w:tab/>
      </w:r>
      <w:r w:rsidR="008F761B" w:rsidRPr="00784254">
        <w:rPr>
          <w:rStyle w:val="SingleTxtGChar"/>
        </w:rPr>
        <w:t>The author of the complaint, dated 2 August 2010,</w:t>
      </w:r>
      <w:r w:rsidRPr="00784254">
        <w:rPr>
          <w:rStyle w:val="SingleTxtGChar"/>
        </w:rPr>
        <w:t xml:space="preserve"> is </w:t>
      </w:r>
      <w:r w:rsidR="00B20855">
        <w:rPr>
          <w:rStyle w:val="SingleTxtGChar"/>
        </w:rPr>
        <w:t>A.W.K.</w:t>
      </w:r>
      <w:r w:rsidRPr="00784254">
        <w:rPr>
          <w:rStyle w:val="SingleTxtGChar"/>
        </w:rPr>
        <w:t>, a national of New Zealand. He claims to be a victim o</w:t>
      </w:r>
      <w:r w:rsidR="008F761B" w:rsidRPr="00784254">
        <w:rPr>
          <w:rStyle w:val="SingleTxtGChar"/>
        </w:rPr>
        <w:t>f</w:t>
      </w:r>
      <w:r w:rsidR="00930569" w:rsidRPr="00784254">
        <w:rPr>
          <w:rStyle w:val="SingleTxtGChar"/>
        </w:rPr>
        <w:t xml:space="preserve"> </w:t>
      </w:r>
      <w:r w:rsidR="008F761B" w:rsidRPr="00784254">
        <w:rPr>
          <w:rStyle w:val="SingleTxtGChar"/>
        </w:rPr>
        <w:t>violation</w:t>
      </w:r>
      <w:r w:rsidR="00930569" w:rsidRPr="00784254">
        <w:rPr>
          <w:rStyle w:val="SingleTxtGChar"/>
        </w:rPr>
        <w:t>s</w:t>
      </w:r>
      <w:r w:rsidR="008F761B" w:rsidRPr="00784254">
        <w:rPr>
          <w:rStyle w:val="SingleTxtGChar"/>
        </w:rPr>
        <w:t xml:space="preserve"> by </w:t>
      </w:r>
      <w:r w:rsidRPr="00784254">
        <w:rPr>
          <w:rStyle w:val="SingleTxtGChar"/>
        </w:rPr>
        <w:t>New Zealand of his righ</w:t>
      </w:r>
      <w:r w:rsidR="00C80A0B" w:rsidRPr="00784254">
        <w:rPr>
          <w:rStyle w:val="SingleTxtGChar"/>
        </w:rPr>
        <w:t xml:space="preserve">ts under </w:t>
      </w:r>
      <w:r w:rsidR="00AB74CB">
        <w:rPr>
          <w:rStyle w:val="SingleTxtGChar"/>
        </w:rPr>
        <w:t>article </w:t>
      </w:r>
      <w:r w:rsidR="00C80A0B" w:rsidRPr="00784254">
        <w:rPr>
          <w:rStyle w:val="SingleTxtGChar"/>
        </w:rPr>
        <w:t xml:space="preserve">2, </w:t>
      </w:r>
      <w:r w:rsidR="00AB74CB">
        <w:rPr>
          <w:rStyle w:val="SingleTxtGChar"/>
        </w:rPr>
        <w:t>paragraph </w:t>
      </w:r>
      <w:r w:rsidR="00C80A0B" w:rsidRPr="00784254">
        <w:rPr>
          <w:rStyle w:val="SingleTxtGChar"/>
        </w:rPr>
        <w:t>3</w:t>
      </w:r>
      <w:r w:rsidR="006B4CC4" w:rsidRPr="00784254">
        <w:rPr>
          <w:rStyle w:val="SingleTxtGChar"/>
        </w:rPr>
        <w:t xml:space="preserve">, read alone; and </w:t>
      </w:r>
      <w:r w:rsidR="00AB74CB">
        <w:rPr>
          <w:rStyle w:val="SingleTxtGChar"/>
        </w:rPr>
        <w:t>article </w:t>
      </w:r>
      <w:r w:rsidRPr="00784254">
        <w:rPr>
          <w:rStyle w:val="SingleTxtGChar"/>
        </w:rPr>
        <w:t xml:space="preserve">14, </w:t>
      </w:r>
      <w:r w:rsidR="00AB74CB">
        <w:rPr>
          <w:rStyle w:val="SingleTxtGChar"/>
        </w:rPr>
        <w:t>paragraphs </w:t>
      </w:r>
      <w:r w:rsidR="00C80A0B" w:rsidRPr="00784254">
        <w:rPr>
          <w:rStyle w:val="SingleTxtGChar"/>
        </w:rPr>
        <w:t>1</w:t>
      </w:r>
      <w:r w:rsidR="00252F05" w:rsidRPr="00784254">
        <w:rPr>
          <w:rStyle w:val="SingleTxtGChar"/>
        </w:rPr>
        <w:t>,</w:t>
      </w:r>
      <w:r w:rsidR="00550000" w:rsidRPr="00784254">
        <w:rPr>
          <w:rStyle w:val="SingleTxtGChar"/>
        </w:rPr>
        <w:t xml:space="preserve"> </w:t>
      </w:r>
      <w:r w:rsidR="00C80A0B" w:rsidRPr="00784254">
        <w:rPr>
          <w:rStyle w:val="SingleTxtGChar"/>
        </w:rPr>
        <w:t>3</w:t>
      </w:r>
      <w:r w:rsidR="00550000" w:rsidRPr="00784254">
        <w:rPr>
          <w:rStyle w:val="SingleTxtGChar"/>
        </w:rPr>
        <w:t xml:space="preserve"> and 5</w:t>
      </w:r>
      <w:r w:rsidR="00252F05" w:rsidRPr="00784254">
        <w:rPr>
          <w:rStyle w:val="SingleTxtGChar"/>
        </w:rPr>
        <w:t>,</w:t>
      </w:r>
      <w:r w:rsidRPr="00784254">
        <w:rPr>
          <w:rStyle w:val="SingleTxtGChar"/>
        </w:rPr>
        <w:t xml:space="preserve"> of the I</w:t>
      </w:r>
      <w:r w:rsidR="008F761B" w:rsidRPr="00784254">
        <w:rPr>
          <w:rStyle w:val="SingleTxtGChar"/>
        </w:rPr>
        <w:t xml:space="preserve">nternational Covenant on Civil and Political Rights, </w:t>
      </w:r>
      <w:r w:rsidR="007F4EE2" w:rsidRPr="00784254">
        <w:rPr>
          <w:rStyle w:val="SingleTxtGChar"/>
        </w:rPr>
        <w:t xml:space="preserve">with regard to procedural aspects of </w:t>
      </w:r>
      <w:r w:rsidR="006C6E54">
        <w:rPr>
          <w:rStyle w:val="SingleTxtGChar"/>
        </w:rPr>
        <w:t>his</w:t>
      </w:r>
      <w:r w:rsidR="007F4EE2" w:rsidRPr="006C6E54">
        <w:rPr>
          <w:rStyle w:val="SingleTxtGChar"/>
        </w:rPr>
        <w:t xml:space="preserve"> trial</w:t>
      </w:r>
      <w:r w:rsidR="007F4EE2" w:rsidRPr="00784254">
        <w:rPr>
          <w:rStyle w:val="SingleTxtGChar"/>
        </w:rPr>
        <w:t xml:space="preserve"> and </w:t>
      </w:r>
      <w:r w:rsidR="006C6E54">
        <w:rPr>
          <w:rStyle w:val="SingleTxtGChar"/>
        </w:rPr>
        <w:t xml:space="preserve">the </w:t>
      </w:r>
      <w:r w:rsidR="007F4EE2" w:rsidRPr="00784254">
        <w:rPr>
          <w:rStyle w:val="SingleTxtGChar"/>
        </w:rPr>
        <w:t>appeals he filed against his criminal conviction for importing methamphetamine drugs and possessing them for supply purposes.</w:t>
      </w:r>
      <w:r w:rsidR="008F761B" w:rsidRPr="00B74D2B">
        <w:rPr>
          <w:rStyle w:val="FootnoteReference"/>
        </w:rPr>
        <w:footnoteReference w:id="3"/>
      </w:r>
      <w:r w:rsidR="008F761B" w:rsidRPr="00784254">
        <w:rPr>
          <w:rStyle w:val="SingleTxtGChar"/>
        </w:rPr>
        <w:t xml:space="preserve"> The </w:t>
      </w:r>
      <w:r w:rsidRPr="00784254">
        <w:rPr>
          <w:rStyle w:val="SingleTxtGChar"/>
        </w:rPr>
        <w:t xml:space="preserve">author is </w:t>
      </w:r>
      <w:r w:rsidR="008F761B" w:rsidRPr="00784254">
        <w:rPr>
          <w:rStyle w:val="SingleTxtGChar"/>
        </w:rPr>
        <w:t xml:space="preserve">represented by counsel, </w:t>
      </w:r>
      <w:r w:rsidRPr="00784254">
        <w:rPr>
          <w:rStyle w:val="SingleTxtGChar"/>
        </w:rPr>
        <w:t>Frank Deliu</w:t>
      </w:r>
      <w:r w:rsidRPr="007F4EE2">
        <w:rPr>
          <w:rFonts w:eastAsia="Times New Roman"/>
        </w:rPr>
        <w:t>.</w:t>
      </w:r>
      <w:r>
        <w:rPr>
          <w:rFonts w:eastAsia="Times New Roman"/>
        </w:rPr>
        <w:t xml:space="preserve"> </w:t>
      </w:r>
    </w:p>
    <w:p w:rsidR="005275D9" w:rsidRPr="008F761B" w:rsidRDefault="005275D9" w:rsidP="00931D6B">
      <w:pPr>
        <w:pStyle w:val="SingleTxtG"/>
        <w:rPr>
          <w:rFonts w:eastAsia="Times New Roman"/>
        </w:rPr>
      </w:pPr>
      <w:r>
        <w:rPr>
          <w:rFonts w:eastAsia="Times New Roman"/>
        </w:rPr>
        <w:t>1.2</w:t>
      </w:r>
      <w:r>
        <w:rPr>
          <w:rFonts w:eastAsia="Times New Roman"/>
        </w:rPr>
        <w:tab/>
      </w:r>
      <w:r w:rsidR="006948FA" w:rsidRPr="00784254">
        <w:t xml:space="preserve">On 26 April 2012, the Committee, acting through </w:t>
      </w:r>
      <w:r w:rsidR="00931D6B">
        <w:t>the</w:t>
      </w:r>
      <w:r w:rsidR="006948FA" w:rsidRPr="00784254">
        <w:t xml:space="preserve"> Special </w:t>
      </w:r>
      <w:r w:rsidR="00931D6B">
        <w:t>R</w:t>
      </w:r>
      <w:r w:rsidR="006948FA" w:rsidRPr="00784254">
        <w:t>apporteur on new communications</w:t>
      </w:r>
      <w:r w:rsidR="00931D6B">
        <w:t xml:space="preserve"> and interim measures</w:t>
      </w:r>
      <w:r w:rsidR="006948FA" w:rsidRPr="00784254">
        <w:t>, granted the request of the State party to s</w:t>
      </w:r>
      <w:r w:rsidR="00AD1049">
        <w:t>eparate</w:t>
      </w:r>
      <w:r w:rsidR="006948FA" w:rsidRPr="00784254">
        <w:t xml:space="preserve"> the consideration of the admissibility of the communication from </w:t>
      </w:r>
      <w:r w:rsidR="00AD1049">
        <w:t xml:space="preserve">the consideration of </w:t>
      </w:r>
      <w:r w:rsidR="006948FA" w:rsidRPr="00784254">
        <w:t>its merits</w:t>
      </w:r>
      <w:r w:rsidR="006948FA" w:rsidRPr="001E70FF">
        <w:t>.</w:t>
      </w:r>
      <w:r w:rsidR="008F4A7F">
        <w:t xml:space="preserve"> </w:t>
      </w:r>
      <w:r w:rsidR="008F4A7F" w:rsidRPr="00784254">
        <w:t xml:space="preserve">On 8 June 2012, </w:t>
      </w:r>
      <w:r w:rsidR="008F4A7F">
        <w:t>pursuant to rule </w:t>
      </w:r>
      <w:r w:rsidR="008F4A7F" w:rsidRPr="00784254">
        <w:t>92 of its rules of procedure, t</w:t>
      </w:r>
      <w:r w:rsidR="00931D6B">
        <w:t>he Committee, acting through the same special rapporteur</w:t>
      </w:r>
      <w:r w:rsidR="008F4A7F" w:rsidRPr="00784254">
        <w:t>, denied the author’s request for interim measures</w:t>
      </w:r>
      <w:r w:rsidR="008F4A7F">
        <w:t>, namely,</w:t>
      </w:r>
      <w:r w:rsidR="008F4A7F" w:rsidRPr="00784254">
        <w:t xml:space="preserve"> </w:t>
      </w:r>
      <w:r w:rsidR="008F4A7F" w:rsidRPr="009A24D1">
        <w:t>for the State party to release him</w:t>
      </w:r>
      <w:r w:rsidR="008F4A7F" w:rsidRPr="00784254">
        <w:t xml:space="preserve"> on bail from prison. The author remains incarcerated in New Zealand. </w:t>
      </w:r>
    </w:p>
    <w:p w:rsidR="008F761B" w:rsidRPr="008F761B" w:rsidRDefault="008F761B" w:rsidP="008F761B">
      <w:pPr>
        <w:keepNext/>
        <w:keepLines/>
        <w:tabs>
          <w:tab w:val="right" w:pos="851"/>
        </w:tabs>
        <w:spacing w:before="240" w:after="120" w:line="240" w:lineRule="exact"/>
        <w:ind w:left="1134" w:right="1134" w:hanging="1134"/>
        <w:rPr>
          <w:rFonts w:eastAsia="Times New Roman"/>
          <w:b/>
        </w:rPr>
      </w:pPr>
      <w:r w:rsidRPr="008F761B">
        <w:rPr>
          <w:rFonts w:eastAsia="Times New Roman"/>
          <w:b/>
        </w:rPr>
        <w:lastRenderedPageBreak/>
        <w:tab/>
      </w:r>
      <w:r w:rsidRPr="008F761B">
        <w:rPr>
          <w:rFonts w:eastAsia="Times New Roman"/>
          <w:b/>
        </w:rPr>
        <w:tab/>
      </w:r>
      <w:r w:rsidR="006B4CC4">
        <w:rPr>
          <w:rFonts w:eastAsia="Times New Roman"/>
          <w:b/>
        </w:rPr>
        <w:t>Factual background</w:t>
      </w:r>
    </w:p>
    <w:p w:rsidR="00E00CA6" w:rsidRPr="00E00CA6" w:rsidRDefault="008F761B" w:rsidP="00784254">
      <w:pPr>
        <w:pStyle w:val="SingleTxtG"/>
      </w:pPr>
      <w:r w:rsidRPr="008F761B">
        <w:t>2.1</w:t>
      </w:r>
      <w:r w:rsidRPr="008F761B">
        <w:tab/>
      </w:r>
      <w:r w:rsidR="005F495A">
        <w:t>On 16 June 2006, t</w:t>
      </w:r>
      <w:r w:rsidR="00E00CA6" w:rsidRPr="00E00CA6">
        <w:t xml:space="preserve">he author was convicted </w:t>
      </w:r>
      <w:r w:rsidR="005F495A">
        <w:t>of having imported and possessed methamphetamine</w:t>
      </w:r>
      <w:r w:rsidR="00034BA8">
        <w:t xml:space="preserve"> drugs</w:t>
      </w:r>
      <w:r w:rsidR="005F495A">
        <w:t xml:space="preserve"> in July 2004.</w:t>
      </w:r>
      <w:r w:rsidR="00D32197" w:rsidRPr="00B74D2B">
        <w:rPr>
          <w:rStyle w:val="FootnoteReference"/>
        </w:rPr>
        <w:footnoteReference w:id="4"/>
      </w:r>
      <w:r w:rsidR="005F495A">
        <w:t xml:space="preserve"> O</w:t>
      </w:r>
      <w:r w:rsidR="005F495A" w:rsidRPr="00E00CA6">
        <w:t>n 8 September 2006</w:t>
      </w:r>
      <w:r w:rsidR="005F495A">
        <w:t>, he was sentenced</w:t>
      </w:r>
      <w:r w:rsidR="005F495A" w:rsidRPr="00E00CA6">
        <w:t xml:space="preserve"> to 17 years</w:t>
      </w:r>
      <w:r w:rsidR="005F495A">
        <w:t xml:space="preserve"> of imprisonment for th</w:t>
      </w:r>
      <w:r w:rsidR="002F7A83">
        <w:t>o</w:t>
      </w:r>
      <w:r w:rsidR="005F495A">
        <w:t>se offences.</w:t>
      </w:r>
      <w:r w:rsidR="00CA54DB" w:rsidRPr="00B74D2B">
        <w:rPr>
          <w:rStyle w:val="FootnoteReference"/>
        </w:rPr>
        <w:footnoteReference w:id="5"/>
      </w:r>
      <w:r w:rsidR="005F495A">
        <w:t xml:space="preserve"> </w:t>
      </w:r>
      <w:r w:rsidR="00467B79">
        <w:t>O</w:t>
      </w:r>
      <w:r w:rsidR="00E00CA6" w:rsidRPr="00E00CA6">
        <w:t>n 14 April 2008</w:t>
      </w:r>
      <w:r w:rsidR="00467B79">
        <w:t>,</w:t>
      </w:r>
      <w:r w:rsidR="00E00CA6" w:rsidRPr="00E00CA6">
        <w:t xml:space="preserve"> the Supreme Court granted his </w:t>
      </w:r>
      <w:r w:rsidR="00B656C7">
        <w:t xml:space="preserve">appeal and ordered </w:t>
      </w:r>
      <w:r w:rsidR="00E00CA6" w:rsidRPr="00E00CA6">
        <w:t>a retrial.</w:t>
      </w:r>
      <w:r w:rsidR="00B656C7" w:rsidRPr="00B74D2B">
        <w:rPr>
          <w:rStyle w:val="FootnoteReference"/>
        </w:rPr>
        <w:footnoteReference w:id="6"/>
      </w:r>
      <w:r w:rsidR="00034BA8">
        <w:t xml:space="preserve"> The drugs in question were destroyed at the request of the New Zealand police after the conclusion of the first trial in 2006. Thus, when the author attempted to have the drugs independently retested before his second trial, he was unable to do so.</w:t>
      </w:r>
      <w:r w:rsidR="00034BA8" w:rsidRPr="00B74D2B">
        <w:rPr>
          <w:rStyle w:val="FootnoteReference"/>
        </w:rPr>
        <w:footnoteReference w:id="7"/>
      </w:r>
      <w:r w:rsidR="00034BA8">
        <w:t xml:space="preserve"> The author</w:t>
      </w:r>
      <w:r w:rsidR="00034BA8" w:rsidRPr="00E00CA6">
        <w:t xml:space="preserve"> was incarcerated between June 2006 and April 2008, when he was granted bail </w:t>
      </w:r>
      <w:r w:rsidR="00034BA8">
        <w:t>pending the second trial.</w:t>
      </w:r>
    </w:p>
    <w:p w:rsidR="00E00CA6" w:rsidRPr="00E00CA6" w:rsidRDefault="005B27D5" w:rsidP="00C27FB3">
      <w:pPr>
        <w:pStyle w:val="SingleTxtG"/>
      </w:pPr>
      <w:r>
        <w:t>2.2</w:t>
      </w:r>
      <w:r>
        <w:tab/>
      </w:r>
      <w:r w:rsidR="00E00CA6" w:rsidRPr="00784254">
        <w:t xml:space="preserve">The author </w:t>
      </w:r>
      <w:r w:rsidR="006B4CC4" w:rsidRPr="00784254">
        <w:t>chose to represent himself</w:t>
      </w:r>
      <w:r w:rsidR="00E00CA6" w:rsidRPr="00784254">
        <w:t xml:space="preserve"> during the second jury trial, which took place </w:t>
      </w:r>
      <w:r w:rsidR="00467B79" w:rsidRPr="00784254">
        <w:t>before</w:t>
      </w:r>
      <w:r w:rsidR="00E00CA6" w:rsidRPr="00784254">
        <w:t xml:space="preserve"> the Auckland High Court</w:t>
      </w:r>
      <w:r w:rsidR="006B4CC4" w:rsidRPr="00784254">
        <w:t>.</w:t>
      </w:r>
      <w:r w:rsidR="00E00CA6" w:rsidRPr="00784254">
        <w:t xml:space="preserve"> </w:t>
      </w:r>
      <w:r w:rsidR="006B4CC4" w:rsidRPr="00784254">
        <w:t xml:space="preserve">The author submits that during the retrial, </w:t>
      </w:r>
      <w:r w:rsidR="00467B79" w:rsidRPr="00784254">
        <w:t xml:space="preserve">the judge committed a number of errors, </w:t>
      </w:r>
      <w:r w:rsidR="00E00CA6" w:rsidRPr="00784254">
        <w:t xml:space="preserve">resulting in violations of his rights under </w:t>
      </w:r>
      <w:r w:rsidR="00AB74CB">
        <w:t>article </w:t>
      </w:r>
      <w:r w:rsidR="00E00CA6" w:rsidRPr="00784254">
        <w:t xml:space="preserve">14 of the Covenant. </w:t>
      </w:r>
      <w:r w:rsidR="00270477" w:rsidRPr="00784254">
        <w:t>In th</w:t>
      </w:r>
      <w:r w:rsidR="00276440">
        <w:t>at</w:t>
      </w:r>
      <w:r w:rsidR="00270477" w:rsidRPr="00784254">
        <w:t xml:space="preserve"> regard, the author alleges that after </w:t>
      </w:r>
      <w:r w:rsidR="00467B79" w:rsidRPr="00784254">
        <w:t xml:space="preserve">several hours of jury deliberations, </w:t>
      </w:r>
      <w:r w:rsidR="002A5731" w:rsidRPr="00784254">
        <w:t>the foreperson</w:t>
      </w:r>
      <w:r w:rsidR="00467B79" w:rsidRPr="00784254">
        <w:t xml:space="preserve"> of the jury s</w:t>
      </w:r>
      <w:r w:rsidR="00E00CA6" w:rsidRPr="00784254">
        <w:t xml:space="preserve">ent a note to the judge stating that </w:t>
      </w:r>
      <w:r w:rsidR="001F6578" w:rsidRPr="00784254">
        <w:t>the jury</w:t>
      </w:r>
      <w:r w:rsidR="00E00CA6" w:rsidRPr="00784254">
        <w:t xml:space="preserve"> had “finished deliberating” and </w:t>
      </w:r>
      <w:r w:rsidR="00467B79" w:rsidRPr="00784254">
        <w:t>had</w:t>
      </w:r>
      <w:r w:rsidR="00E00CA6" w:rsidRPr="00784254">
        <w:t xml:space="preserve"> “reached a decision”. The judge </w:t>
      </w:r>
      <w:r w:rsidR="00467B79" w:rsidRPr="00784254">
        <w:t xml:space="preserve">then requested clarification. She received a </w:t>
      </w:r>
      <w:r w:rsidR="00870B5E" w:rsidRPr="00784254">
        <w:t>second</w:t>
      </w:r>
      <w:r w:rsidR="00467B79" w:rsidRPr="00784254">
        <w:t xml:space="preserve"> note stating that the jury was unable to </w:t>
      </w:r>
      <w:r w:rsidR="00E00CA6" w:rsidRPr="00784254">
        <w:t>“reach a unanimous verdict” and that “any further effort would result in bullying”. The judge th</w:t>
      </w:r>
      <w:r w:rsidR="00270477" w:rsidRPr="00784254">
        <w:t>e</w:t>
      </w:r>
      <w:r w:rsidR="00E00CA6" w:rsidRPr="00784254">
        <w:t>n consulted with the parties and gave the jury what is known as a “</w:t>
      </w:r>
      <w:r w:rsidR="00E00CA6" w:rsidRPr="004431F8">
        <w:rPr>
          <w:i/>
          <w:iCs/>
        </w:rPr>
        <w:t xml:space="preserve">Papadopoulos </w:t>
      </w:r>
      <w:r w:rsidR="00E00CA6" w:rsidRPr="00784254">
        <w:t xml:space="preserve">direction”, instructing them to retire again and to </w:t>
      </w:r>
      <w:r w:rsidR="001F6578" w:rsidRPr="00784254">
        <w:t>see if they could reach</w:t>
      </w:r>
      <w:r w:rsidR="00E00CA6" w:rsidRPr="00784254">
        <w:t xml:space="preserve"> a unanimous verdict</w:t>
      </w:r>
      <w:r w:rsidR="00E00CA6" w:rsidRPr="00E00CA6">
        <w:t>.</w:t>
      </w:r>
      <w:r w:rsidR="00E00CA6" w:rsidRPr="00B74D2B">
        <w:rPr>
          <w:rStyle w:val="FootnoteReference"/>
        </w:rPr>
        <w:footnoteReference w:id="8"/>
      </w:r>
      <w:r w:rsidR="00E00CA6" w:rsidRPr="00E00CA6">
        <w:t xml:space="preserve"> The </w:t>
      </w:r>
      <w:r w:rsidR="007D3EE4">
        <w:t xml:space="preserve">instruction was given at </w:t>
      </w:r>
      <w:r w:rsidR="007D3EE4">
        <w:lastRenderedPageBreak/>
        <w:t>2</w:t>
      </w:r>
      <w:r w:rsidR="00E653BF">
        <w:t>.</w:t>
      </w:r>
      <w:r w:rsidR="007D3EE4">
        <w:t>25 </w:t>
      </w:r>
      <w:r w:rsidR="001F6578" w:rsidRPr="00784254">
        <w:t>p.m.</w:t>
      </w:r>
      <w:r w:rsidR="00E00CA6" w:rsidRPr="00784254">
        <w:t xml:space="preserve"> and the jury came back with a guilty verdi</w:t>
      </w:r>
      <w:r w:rsidR="002A5731" w:rsidRPr="00784254">
        <w:t>c</w:t>
      </w:r>
      <w:r w:rsidR="007D3EE4">
        <w:t>t at 3</w:t>
      </w:r>
      <w:r w:rsidR="00E653BF">
        <w:t>.</w:t>
      </w:r>
      <w:r w:rsidR="007D3EE4">
        <w:t>20 </w:t>
      </w:r>
      <w:r w:rsidR="002A5731" w:rsidRPr="00784254">
        <w:t>pm. While the foreperson</w:t>
      </w:r>
      <w:r w:rsidR="00E00CA6" w:rsidRPr="00784254">
        <w:t xml:space="preserve"> was delivering the verdict, she appeared distressed and started crying.</w:t>
      </w:r>
      <w:r w:rsidR="007918D7" w:rsidRPr="00B74D2B">
        <w:rPr>
          <w:rStyle w:val="FootnoteReference"/>
        </w:rPr>
        <w:footnoteReference w:id="9"/>
      </w:r>
      <w:r w:rsidR="00E00CA6" w:rsidRPr="00784254">
        <w:t xml:space="preserve"> On 1 May 2009, the author was sentenced to 14 years</w:t>
      </w:r>
      <w:r w:rsidR="005B05C2">
        <w:t xml:space="preserve"> and</w:t>
      </w:r>
      <w:r w:rsidR="00E00CA6" w:rsidRPr="00784254">
        <w:t xml:space="preserve"> six months of imprisonment.</w:t>
      </w:r>
      <w:r w:rsidR="006D7602" w:rsidRPr="00784254">
        <w:t xml:space="preserve"> </w:t>
      </w:r>
      <w:r w:rsidR="00F562B8" w:rsidRPr="00784254">
        <w:t>When</w:t>
      </w:r>
      <w:r w:rsidR="00E00CA6" w:rsidRPr="00784254">
        <w:t xml:space="preserve"> </w:t>
      </w:r>
      <w:r w:rsidR="005B05C2">
        <w:t>the author</w:t>
      </w:r>
      <w:r w:rsidR="00E00CA6" w:rsidRPr="00784254">
        <w:t xml:space="preserve"> applied for permission to interview the jurors in order to obtain evidence of the bullying</w:t>
      </w:r>
      <w:r w:rsidR="00F562B8" w:rsidRPr="00784254">
        <w:t xml:space="preserve">, </w:t>
      </w:r>
      <w:r w:rsidR="005B05C2">
        <w:t>he</w:t>
      </w:r>
      <w:r w:rsidR="00E00CA6" w:rsidRPr="00784254">
        <w:t xml:space="preserve"> was denied permission by the appellate courts</w:t>
      </w:r>
      <w:r w:rsidR="00E00CA6" w:rsidRPr="00E00CA6">
        <w:t>.</w:t>
      </w:r>
      <w:r w:rsidR="006E370E" w:rsidRPr="00B74D2B">
        <w:rPr>
          <w:rStyle w:val="FootnoteReference"/>
        </w:rPr>
        <w:footnoteReference w:id="10"/>
      </w:r>
      <w:r w:rsidR="00E00CA6" w:rsidRPr="00E00CA6">
        <w:t xml:space="preserve"> </w:t>
      </w:r>
    </w:p>
    <w:p w:rsidR="00E00CA6" w:rsidRPr="008F761B" w:rsidRDefault="002927FA" w:rsidP="00A41DA8">
      <w:pPr>
        <w:pStyle w:val="SingleTxtG"/>
        <w:rPr>
          <w:rFonts w:eastAsia="Times New Roman"/>
        </w:rPr>
      </w:pPr>
      <w:r>
        <w:rPr>
          <w:rFonts w:eastAsia="Times New Roman"/>
        </w:rPr>
        <w:t>2.</w:t>
      </w:r>
      <w:r w:rsidR="002F1F9A">
        <w:rPr>
          <w:rFonts w:eastAsia="Times New Roman"/>
        </w:rPr>
        <w:t>3</w:t>
      </w:r>
      <w:r w:rsidR="00E00CA6" w:rsidRPr="00E00CA6">
        <w:rPr>
          <w:rFonts w:eastAsia="Times New Roman"/>
        </w:rPr>
        <w:tab/>
      </w:r>
      <w:r w:rsidR="00E00CA6" w:rsidRPr="00784254">
        <w:rPr>
          <w:rStyle w:val="SingleTxtGChar"/>
        </w:rPr>
        <w:t>The author appealed his conviction and sentence to the Court of Appeal, raising</w:t>
      </w:r>
      <w:r w:rsidR="00A945CD">
        <w:rPr>
          <w:rStyle w:val="SingleTxtGChar"/>
        </w:rPr>
        <w:t>,</w:t>
      </w:r>
      <w:r w:rsidR="00E00CA6" w:rsidRPr="00784254">
        <w:rPr>
          <w:rStyle w:val="SingleTxtGChar"/>
        </w:rPr>
        <w:t xml:space="preserve"> inter alia</w:t>
      </w:r>
      <w:r w:rsidR="00A945CD">
        <w:rPr>
          <w:rStyle w:val="SingleTxtGChar"/>
        </w:rPr>
        <w:t>,</w:t>
      </w:r>
      <w:r w:rsidR="00E00CA6" w:rsidRPr="00784254">
        <w:rPr>
          <w:rStyle w:val="SingleTxtGChar"/>
        </w:rPr>
        <w:t xml:space="preserve"> the fair trial issues summari</w:t>
      </w:r>
      <w:r w:rsidR="00A945CD">
        <w:rPr>
          <w:rStyle w:val="SingleTxtGChar"/>
        </w:rPr>
        <w:t>z</w:t>
      </w:r>
      <w:r w:rsidR="00E00CA6" w:rsidRPr="00784254">
        <w:rPr>
          <w:rStyle w:val="SingleTxtGChar"/>
        </w:rPr>
        <w:t>ed above.</w:t>
      </w:r>
      <w:r w:rsidR="004C62F8" w:rsidRPr="00B74D2B">
        <w:rPr>
          <w:rStyle w:val="FootnoteReference"/>
        </w:rPr>
        <w:footnoteReference w:id="11"/>
      </w:r>
      <w:r w:rsidR="00F65F78" w:rsidRPr="00784254">
        <w:rPr>
          <w:rStyle w:val="SingleTxtGChar"/>
        </w:rPr>
        <w:t xml:space="preserve"> </w:t>
      </w:r>
      <w:r w:rsidR="006D1A8C" w:rsidRPr="00784254">
        <w:rPr>
          <w:rStyle w:val="SingleTxtGChar"/>
        </w:rPr>
        <w:t>The sole</w:t>
      </w:r>
      <w:r w:rsidR="004C62F8" w:rsidRPr="00784254">
        <w:rPr>
          <w:rStyle w:val="SingleTxtGChar"/>
        </w:rPr>
        <w:t xml:space="preserve"> issue of substance </w:t>
      </w:r>
      <w:r w:rsidR="00210061" w:rsidRPr="00784254">
        <w:rPr>
          <w:rStyle w:val="SingleTxtGChar"/>
        </w:rPr>
        <w:t xml:space="preserve">addressed </w:t>
      </w:r>
      <w:r w:rsidR="006D1A8C" w:rsidRPr="00784254">
        <w:rPr>
          <w:rStyle w:val="SingleTxtGChar"/>
        </w:rPr>
        <w:t>at appeal was</w:t>
      </w:r>
      <w:r w:rsidR="004C62F8" w:rsidRPr="00784254">
        <w:rPr>
          <w:rStyle w:val="SingleTxtGChar"/>
        </w:rPr>
        <w:t xml:space="preserve"> whether the judge’s conventional </w:t>
      </w:r>
      <w:r w:rsidR="004C62F8" w:rsidRPr="004431F8">
        <w:rPr>
          <w:rStyle w:val="SingleTxtGChar"/>
          <w:i/>
          <w:iCs/>
        </w:rPr>
        <w:t>Papadopoulos</w:t>
      </w:r>
      <w:r w:rsidR="004C62F8" w:rsidRPr="00784254">
        <w:rPr>
          <w:rStyle w:val="SingleTxtGChar"/>
        </w:rPr>
        <w:t xml:space="preserve"> direction resulted in an unsafe verdict by the deadlocked jury. The Court found that the judge was clearly correct to clarify the first communication (stating: “We have finished deliberating and reached a decision”), because it </w:t>
      </w:r>
      <w:r w:rsidR="00BE3532">
        <w:rPr>
          <w:rStyle w:val="SingleTxtGChar"/>
        </w:rPr>
        <w:t>had</w:t>
      </w:r>
      <w:r w:rsidR="00BE3532" w:rsidRPr="00784254">
        <w:rPr>
          <w:rStyle w:val="SingleTxtGChar"/>
        </w:rPr>
        <w:t xml:space="preserve"> </w:t>
      </w:r>
      <w:r w:rsidR="004C62F8" w:rsidRPr="00784254">
        <w:rPr>
          <w:rStyle w:val="SingleTxtGChar"/>
        </w:rPr>
        <w:t>not confirm</w:t>
      </w:r>
      <w:r w:rsidR="00BE3532">
        <w:rPr>
          <w:rStyle w:val="SingleTxtGChar"/>
        </w:rPr>
        <w:t>ed</w:t>
      </w:r>
      <w:r w:rsidR="004C62F8" w:rsidRPr="00784254">
        <w:rPr>
          <w:rStyle w:val="SingleTxtGChar"/>
        </w:rPr>
        <w:t xml:space="preserve"> that the jury had reached verdicts. The </w:t>
      </w:r>
      <w:r w:rsidR="0060778D">
        <w:rPr>
          <w:rStyle w:val="SingleTxtGChar"/>
        </w:rPr>
        <w:t>C</w:t>
      </w:r>
      <w:r w:rsidR="004C62F8" w:rsidRPr="00784254">
        <w:rPr>
          <w:rStyle w:val="SingleTxtGChar"/>
        </w:rPr>
        <w:t xml:space="preserve">ourt noted that the decision to give a </w:t>
      </w:r>
      <w:r w:rsidR="004C62F8" w:rsidRPr="004431F8">
        <w:rPr>
          <w:rStyle w:val="SingleTxtGChar"/>
          <w:i/>
          <w:iCs/>
        </w:rPr>
        <w:t>Papadopoulos</w:t>
      </w:r>
      <w:r w:rsidR="004C62F8" w:rsidRPr="00784254">
        <w:rPr>
          <w:rStyle w:val="SingleTxtGChar"/>
        </w:rPr>
        <w:t xml:space="preserve"> direction </w:t>
      </w:r>
      <w:r w:rsidR="00BE3532">
        <w:rPr>
          <w:rStyle w:val="SingleTxtGChar"/>
        </w:rPr>
        <w:t>wa</w:t>
      </w:r>
      <w:r w:rsidR="004C62F8" w:rsidRPr="00784254">
        <w:rPr>
          <w:rStyle w:val="SingleTxtGChar"/>
        </w:rPr>
        <w:t xml:space="preserve">s within the </w:t>
      </w:r>
      <w:r w:rsidR="00247066" w:rsidRPr="00784254">
        <w:rPr>
          <w:rStyle w:val="SingleTxtGChar"/>
        </w:rPr>
        <w:t xml:space="preserve">discretion </w:t>
      </w:r>
      <w:r w:rsidR="004C62F8" w:rsidRPr="00784254">
        <w:rPr>
          <w:rStyle w:val="SingleTxtGChar"/>
        </w:rPr>
        <w:t>of the trial judge, and that the Supreme Court ha</w:t>
      </w:r>
      <w:r w:rsidR="00BE3532">
        <w:rPr>
          <w:rStyle w:val="SingleTxtGChar"/>
        </w:rPr>
        <w:t>d</w:t>
      </w:r>
      <w:r w:rsidR="004C62F8" w:rsidRPr="00784254">
        <w:rPr>
          <w:rStyle w:val="SingleTxtGChar"/>
        </w:rPr>
        <w:t xml:space="preserve"> confirmed that a good deal of latitude </w:t>
      </w:r>
      <w:r w:rsidR="00BE3532">
        <w:rPr>
          <w:rStyle w:val="SingleTxtGChar"/>
        </w:rPr>
        <w:t>wa</w:t>
      </w:r>
      <w:r w:rsidR="004C62F8" w:rsidRPr="00784254">
        <w:rPr>
          <w:rStyle w:val="SingleTxtGChar"/>
        </w:rPr>
        <w:t>s given to trial judges in the exercise of that discretion.</w:t>
      </w:r>
      <w:r w:rsidR="00BF1DEB" w:rsidRPr="00B74D2B">
        <w:rPr>
          <w:rStyle w:val="FootnoteReference"/>
        </w:rPr>
        <w:footnoteReference w:id="12"/>
      </w:r>
      <w:r w:rsidR="004C62F8" w:rsidRPr="00784254">
        <w:rPr>
          <w:rStyle w:val="SingleTxtGChar"/>
        </w:rPr>
        <w:t xml:space="preserve"> </w:t>
      </w:r>
      <w:r w:rsidR="00210061" w:rsidRPr="00784254">
        <w:rPr>
          <w:rStyle w:val="SingleTxtGChar"/>
        </w:rPr>
        <w:t xml:space="preserve">The </w:t>
      </w:r>
      <w:r w:rsidR="00BE3532">
        <w:rPr>
          <w:rStyle w:val="SingleTxtGChar"/>
        </w:rPr>
        <w:t>C</w:t>
      </w:r>
      <w:r w:rsidR="00210061" w:rsidRPr="00784254">
        <w:rPr>
          <w:rStyle w:val="SingleTxtGChar"/>
        </w:rPr>
        <w:t xml:space="preserve">ourt found that the judge </w:t>
      </w:r>
      <w:r w:rsidR="00BE3532">
        <w:rPr>
          <w:rStyle w:val="SingleTxtGChar"/>
        </w:rPr>
        <w:t xml:space="preserve">had </w:t>
      </w:r>
      <w:r w:rsidR="00210061" w:rsidRPr="00784254">
        <w:rPr>
          <w:rStyle w:val="SingleTxtGChar"/>
        </w:rPr>
        <w:t>correctly approached the decision.</w:t>
      </w:r>
      <w:r w:rsidR="00210061" w:rsidRPr="00B74D2B">
        <w:rPr>
          <w:rStyle w:val="FootnoteReference"/>
        </w:rPr>
        <w:footnoteReference w:id="13"/>
      </w:r>
      <w:r w:rsidR="00210061" w:rsidRPr="004431F8">
        <w:rPr>
          <w:rStyle w:val="SingleTxtGChar"/>
        </w:rPr>
        <w:t xml:space="preserve"> </w:t>
      </w:r>
      <w:r w:rsidR="00BE3532">
        <w:rPr>
          <w:rStyle w:val="SingleTxtGChar"/>
        </w:rPr>
        <w:t>It</w:t>
      </w:r>
      <w:r w:rsidR="00210061" w:rsidRPr="00784254">
        <w:rPr>
          <w:rStyle w:val="SingleTxtGChar"/>
        </w:rPr>
        <w:t xml:space="preserve"> </w:t>
      </w:r>
      <w:r w:rsidR="00BE3532">
        <w:rPr>
          <w:rStyle w:val="SingleTxtGChar"/>
        </w:rPr>
        <w:t>also</w:t>
      </w:r>
      <w:r w:rsidR="00210061" w:rsidRPr="00784254">
        <w:rPr>
          <w:rStyle w:val="SingleTxtGChar"/>
        </w:rPr>
        <w:t xml:space="preserve"> </w:t>
      </w:r>
      <w:r w:rsidR="00917741">
        <w:rPr>
          <w:rStyle w:val="SingleTxtGChar"/>
        </w:rPr>
        <w:t>observed</w:t>
      </w:r>
      <w:r w:rsidR="00917741" w:rsidRPr="00784254">
        <w:rPr>
          <w:rStyle w:val="SingleTxtGChar"/>
        </w:rPr>
        <w:t xml:space="preserve"> </w:t>
      </w:r>
      <w:r w:rsidR="0021377B" w:rsidRPr="00784254">
        <w:rPr>
          <w:rStyle w:val="SingleTxtGChar"/>
        </w:rPr>
        <w:t xml:space="preserve">that </w:t>
      </w:r>
      <w:r w:rsidR="00210061" w:rsidRPr="00784254">
        <w:rPr>
          <w:rStyle w:val="SingleTxtGChar"/>
        </w:rPr>
        <w:t xml:space="preserve">the note provided by the jury did not indicate that there had been bullying, but merely that the </w:t>
      </w:r>
      <w:r w:rsidR="00917741">
        <w:rPr>
          <w:rStyle w:val="SingleTxtGChar"/>
        </w:rPr>
        <w:t xml:space="preserve">members of the </w:t>
      </w:r>
      <w:r w:rsidR="00210061" w:rsidRPr="00784254">
        <w:rPr>
          <w:rStyle w:val="SingleTxtGChar"/>
        </w:rPr>
        <w:t>jury were unable to agree at that time and</w:t>
      </w:r>
      <w:r w:rsidR="0021377B" w:rsidRPr="00784254">
        <w:rPr>
          <w:rStyle w:val="SingleTxtGChar"/>
        </w:rPr>
        <w:t xml:space="preserve"> that</w:t>
      </w:r>
      <w:r w:rsidR="00210061" w:rsidRPr="00210061">
        <w:rPr>
          <w:szCs w:val="18"/>
        </w:rPr>
        <w:t xml:space="preserve"> there was a risk of intimidation were they to continue.</w:t>
      </w:r>
      <w:r w:rsidR="00210061" w:rsidRPr="00B74D2B">
        <w:rPr>
          <w:rStyle w:val="FootnoteReference"/>
        </w:rPr>
        <w:footnoteReference w:id="14"/>
      </w:r>
      <w:r w:rsidR="00210061">
        <w:rPr>
          <w:szCs w:val="18"/>
        </w:rPr>
        <w:t xml:space="preserve"> </w:t>
      </w:r>
      <w:r w:rsidR="00022D78" w:rsidRPr="00022D78">
        <w:rPr>
          <w:szCs w:val="18"/>
        </w:rPr>
        <w:t xml:space="preserve">In analysing the issue of </w:t>
      </w:r>
      <w:r w:rsidR="00022D78" w:rsidRPr="00022D78">
        <w:rPr>
          <w:szCs w:val="18"/>
        </w:rPr>
        <w:lastRenderedPageBreak/>
        <w:t xml:space="preserve">whether the judge erred by failing to add to the conventional </w:t>
      </w:r>
      <w:r w:rsidR="00022D78" w:rsidRPr="00022D78">
        <w:rPr>
          <w:i/>
          <w:szCs w:val="18"/>
        </w:rPr>
        <w:t>Papadopoulos</w:t>
      </w:r>
      <w:r w:rsidR="00022D78" w:rsidRPr="00022D78">
        <w:rPr>
          <w:szCs w:val="18"/>
        </w:rPr>
        <w:t xml:space="preserve"> direction by warning the jurors not to engage in bullying or intimidation of other jurors, the </w:t>
      </w:r>
      <w:r w:rsidR="00A41DA8">
        <w:rPr>
          <w:szCs w:val="18"/>
        </w:rPr>
        <w:t>C</w:t>
      </w:r>
      <w:r w:rsidR="00022D78" w:rsidRPr="00022D78">
        <w:rPr>
          <w:szCs w:val="18"/>
        </w:rPr>
        <w:t xml:space="preserve">ourt concluded that </w:t>
      </w:r>
      <w:r w:rsidR="00CC6BB6">
        <w:rPr>
          <w:szCs w:val="18"/>
        </w:rPr>
        <w:t>the judge</w:t>
      </w:r>
      <w:r w:rsidR="00022D78" w:rsidRPr="00022D78">
        <w:rPr>
          <w:szCs w:val="18"/>
        </w:rPr>
        <w:t xml:space="preserve"> had not erred in th</w:t>
      </w:r>
      <w:r w:rsidR="00A41DA8">
        <w:rPr>
          <w:szCs w:val="18"/>
        </w:rPr>
        <w:t>at</w:t>
      </w:r>
      <w:r w:rsidR="00022D78" w:rsidRPr="00022D78">
        <w:rPr>
          <w:szCs w:val="18"/>
        </w:rPr>
        <w:t xml:space="preserve"> respect, because she </w:t>
      </w:r>
      <w:r w:rsidR="00A41DA8">
        <w:rPr>
          <w:szCs w:val="18"/>
        </w:rPr>
        <w:t xml:space="preserve">had </w:t>
      </w:r>
      <w:r w:rsidR="00022D78" w:rsidRPr="00022D78">
        <w:rPr>
          <w:szCs w:val="18"/>
        </w:rPr>
        <w:t xml:space="preserve">made it clear that the direction was given in response to the jury </w:t>
      </w:r>
      <w:r w:rsidR="00022D78" w:rsidRPr="00784254">
        <w:t xml:space="preserve">communications, and she </w:t>
      </w:r>
      <w:r w:rsidR="00A41DA8">
        <w:t xml:space="preserve">had </w:t>
      </w:r>
      <w:r w:rsidR="00022D78" w:rsidRPr="00784254">
        <w:t>cautioned that no juror should give in for the sake of agreement</w:t>
      </w:r>
      <w:r w:rsidR="00CC6BB6" w:rsidRPr="00784254">
        <w:t>. T</w:t>
      </w:r>
      <w:r w:rsidR="00022D78" w:rsidRPr="00784254">
        <w:t>he jury’s communications did</w:t>
      </w:r>
      <w:r w:rsidR="00022D78" w:rsidRPr="00022D78">
        <w:rPr>
          <w:szCs w:val="18"/>
        </w:rPr>
        <w:t xml:space="preserve"> not indicate that problems had arisen within the jury</w:t>
      </w:r>
      <w:r w:rsidR="00A41DA8">
        <w:rPr>
          <w:szCs w:val="18"/>
        </w:rPr>
        <w:t>,</w:t>
      </w:r>
      <w:r w:rsidR="00022D78" w:rsidRPr="00022D78">
        <w:rPr>
          <w:szCs w:val="18"/>
        </w:rPr>
        <w:t xml:space="preserve"> they had not been deliberating for long in the circumstances</w:t>
      </w:r>
      <w:r w:rsidR="00A41DA8">
        <w:rPr>
          <w:szCs w:val="18"/>
        </w:rPr>
        <w:t>,</w:t>
      </w:r>
      <w:r w:rsidR="00022D78" w:rsidRPr="00022D78">
        <w:rPr>
          <w:szCs w:val="18"/>
        </w:rPr>
        <w:t xml:space="preserve"> they had not been sequestered overnight </w:t>
      </w:r>
      <w:r w:rsidR="0021377B">
        <w:rPr>
          <w:szCs w:val="18"/>
        </w:rPr>
        <w:t xml:space="preserve">and </w:t>
      </w:r>
      <w:r w:rsidR="00022D78" w:rsidRPr="00022D78">
        <w:rPr>
          <w:szCs w:val="18"/>
        </w:rPr>
        <w:t>jurors often become distressed when a verdict is delivered</w:t>
      </w:r>
      <w:r w:rsidR="00CC6BB6">
        <w:rPr>
          <w:szCs w:val="18"/>
        </w:rPr>
        <w:t>.</w:t>
      </w:r>
      <w:r w:rsidR="00F315D1" w:rsidRPr="00B74D2B">
        <w:rPr>
          <w:rStyle w:val="FootnoteReference"/>
        </w:rPr>
        <w:footnoteReference w:id="15"/>
      </w:r>
      <w:r w:rsidR="00CC6BB6">
        <w:rPr>
          <w:szCs w:val="18"/>
        </w:rPr>
        <w:t xml:space="preserve"> I</w:t>
      </w:r>
      <w:r w:rsidR="00022D78" w:rsidRPr="00022D78">
        <w:rPr>
          <w:szCs w:val="18"/>
        </w:rPr>
        <w:t>n this case</w:t>
      </w:r>
      <w:r w:rsidR="00CC6BB6">
        <w:rPr>
          <w:szCs w:val="18"/>
        </w:rPr>
        <w:t>,</w:t>
      </w:r>
      <w:r w:rsidR="00022D78" w:rsidRPr="00022D78">
        <w:rPr>
          <w:szCs w:val="18"/>
        </w:rPr>
        <w:t xml:space="preserve"> there was no evidence of dissent, and the only evidence of distress was that the wailing of the author’s mother triggered the foreperson’s tears after the verdicts were delivered; nothing that happened after the jury’s two communications suggested that the jury’s deliberations had gone awry.</w:t>
      </w:r>
      <w:r w:rsidR="00022D78" w:rsidRPr="00B74D2B">
        <w:rPr>
          <w:rStyle w:val="FootnoteReference"/>
        </w:rPr>
        <w:footnoteReference w:id="16"/>
      </w:r>
      <w:r w:rsidR="00022D78" w:rsidRPr="00022D78">
        <w:rPr>
          <w:szCs w:val="18"/>
        </w:rPr>
        <w:t xml:space="preserve"> </w:t>
      </w:r>
      <w:r w:rsidR="00E00CA6" w:rsidRPr="00E00CA6">
        <w:rPr>
          <w:rFonts w:eastAsia="Times New Roman"/>
        </w:rPr>
        <w:t>The appeal was dismissed on 28 September 2009. The author further appealed the second instance decision to the Supreme Court of New Zealand, which dismissed his application for leave to appeal on 2 March 2010.</w:t>
      </w:r>
      <w:r w:rsidR="00B835C9" w:rsidRPr="00B74D2B">
        <w:rPr>
          <w:rStyle w:val="FootnoteReference"/>
        </w:rPr>
        <w:footnoteReference w:id="17"/>
      </w:r>
    </w:p>
    <w:p w:rsidR="008F761B" w:rsidRPr="008F761B" w:rsidRDefault="008F761B" w:rsidP="001A4DBB">
      <w:pPr>
        <w:pStyle w:val="H23G"/>
      </w:pPr>
      <w:r w:rsidRPr="008F761B">
        <w:tab/>
      </w:r>
      <w:r w:rsidRPr="008F761B">
        <w:tab/>
        <w:t>The complaint</w:t>
      </w:r>
    </w:p>
    <w:p w:rsidR="002F1F9A" w:rsidRPr="00B74D2B" w:rsidRDefault="00F562B8" w:rsidP="00880591">
      <w:pPr>
        <w:pStyle w:val="SingleTxtG"/>
      </w:pPr>
      <w:r w:rsidRPr="00B74D2B">
        <w:t>3.1</w:t>
      </w:r>
      <w:r w:rsidRPr="00B74D2B">
        <w:tab/>
      </w:r>
      <w:r w:rsidR="002F1F9A" w:rsidRPr="00B74D2B">
        <w:t xml:space="preserve">The author asserts that his right to a fair hearing, as set forth in </w:t>
      </w:r>
      <w:r w:rsidR="00AB74CB">
        <w:t>article </w:t>
      </w:r>
      <w:r w:rsidR="002F1F9A" w:rsidRPr="00B74D2B">
        <w:t xml:space="preserve">14, </w:t>
      </w:r>
      <w:r w:rsidR="00AB74CB">
        <w:t>paragraph </w:t>
      </w:r>
      <w:r w:rsidR="002F1F9A" w:rsidRPr="00B74D2B">
        <w:t>1</w:t>
      </w:r>
      <w:r w:rsidR="00A911EA">
        <w:t>,</w:t>
      </w:r>
      <w:r w:rsidR="002F1F9A" w:rsidRPr="00B74D2B">
        <w:t xml:space="preserve"> of the Covenant, was violated because of procedural errors committed by the judge presiding over his second trial.</w:t>
      </w:r>
      <w:r w:rsidR="00194251" w:rsidRPr="00B74D2B">
        <w:rPr>
          <w:rStyle w:val="FootnoteReference"/>
        </w:rPr>
        <w:footnoteReference w:id="18"/>
      </w:r>
      <w:r w:rsidR="002F1F9A" w:rsidRPr="00B74D2B">
        <w:t xml:space="preserve"> </w:t>
      </w:r>
      <w:r w:rsidRPr="00B74D2B">
        <w:t>The author submits that after receiving the first note</w:t>
      </w:r>
      <w:r w:rsidR="00790F4D">
        <w:t>,</w:t>
      </w:r>
      <w:r w:rsidRPr="00B74D2B">
        <w:t xml:space="preserve"> </w:t>
      </w:r>
      <w:r w:rsidR="00CF295B" w:rsidRPr="00B74D2B">
        <w:t>in which the jury stated that it had finished deliberating and had reached a decision, the judge should not have</w:t>
      </w:r>
      <w:r w:rsidR="00FF59BD" w:rsidRPr="00B74D2B">
        <w:t xml:space="preserve"> </w:t>
      </w:r>
      <w:r w:rsidR="00880591">
        <w:t>made further inquiries of</w:t>
      </w:r>
      <w:r w:rsidR="00FF59BD" w:rsidRPr="00F76C30">
        <w:t xml:space="preserve"> the jury</w:t>
      </w:r>
      <w:r w:rsidR="00FF59BD" w:rsidRPr="00B74D2B">
        <w:t xml:space="preserve"> and should have instead </w:t>
      </w:r>
      <w:r w:rsidRPr="00B74D2B">
        <w:t xml:space="preserve">brought the jury into open court to ask for its verdict, which would have resulted in a mistrial; that once the judge learned of the </w:t>
      </w:r>
      <w:r w:rsidR="00FF59BD" w:rsidRPr="00B74D2B">
        <w:t>jury’s “bullying” concerns</w:t>
      </w:r>
      <w:r w:rsidRPr="00B74D2B">
        <w:t xml:space="preserve">, she should have immediately discharged the jury; that </w:t>
      </w:r>
      <w:r w:rsidR="00DE2B1C">
        <w:t>the judge</w:t>
      </w:r>
      <w:r w:rsidRPr="00B74D2B">
        <w:t xml:space="preserve"> failed to ask the jury for clarification as to what was </w:t>
      </w:r>
      <w:r w:rsidRPr="00B74D2B">
        <w:lastRenderedPageBreak/>
        <w:t xml:space="preserve">meant by “bullying” and to ask whether it had already occurred; that </w:t>
      </w:r>
      <w:r w:rsidR="00DE2B1C">
        <w:t>the judge</w:t>
      </w:r>
      <w:r w:rsidRPr="00B74D2B">
        <w:t xml:space="preserve"> did not give the jury a direction that they could hold their vote; that she failed to ask the foreperson why she was distressed; </w:t>
      </w:r>
      <w:r w:rsidR="00DE2B1C">
        <w:t xml:space="preserve">and </w:t>
      </w:r>
      <w:r w:rsidRPr="00B74D2B">
        <w:t>that she failed to poll the jury to ensure that the verdict was ind</w:t>
      </w:r>
      <w:r w:rsidR="00194251" w:rsidRPr="00B74D2B">
        <w:t>eed unanimous and not coerced.</w:t>
      </w:r>
      <w:r w:rsidR="00147266" w:rsidRPr="00B74D2B">
        <w:rPr>
          <w:rStyle w:val="FootnoteReference"/>
        </w:rPr>
        <w:footnoteReference w:id="19"/>
      </w:r>
      <w:r w:rsidR="00352911" w:rsidRPr="00B74D2B">
        <w:t xml:space="preserve"> </w:t>
      </w:r>
      <w:r w:rsidR="00706D34" w:rsidRPr="00B74D2B">
        <w:t xml:space="preserve">The author argues </w:t>
      </w:r>
      <w:r w:rsidR="00D56C8E" w:rsidRPr="00B74D2B">
        <w:t xml:space="preserve">that </w:t>
      </w:r>
      <w:r w:rsidR="00706D34" w:rsidRPr="00B74D2B">
        <w:t>the judge’s oversight of procedural standards</w:t>
      </w:r>
      <w:r w:rsidR="00D56C8E" w:rsidRPr="00B74D2B">
        <w:t xml:space="preserve"> compromised</w:t>
      </w:r>
      <w:r w:rsidR="00706D34" w:rsidRPr="00B74D2B">
        <w:t xml:space="preserve"> </w:t>
      </w:r>
      <w:r w:rsidR="00706D34" w:rsidRPr="00F34BE3">
        <w:t>his</w:t>
      </w:r>
      <w:r w:rsidR="00706D34" w:rsidRPr="00B74D2B">
        <w:t xml:space="preserve"> fundamental right to substantive justice.</w:t>
      </w:r>
      <w:r w:rsidR="00706D34" w:rsidRPr="00B74D2B">
        <w:rPr>
          <w:rStyle w:val="FootnoteReference"/>
        </w:rPr>
        <w:footnoteReference w:id="20"/>
      </w:r>
      <w:r w:rsidR="00D56C8E" w:rsidRPr="00B74D2B">
        <w:t xml:space="preserve"> </w:t>
      </w:r>
    </w:p>
    <w:p w:rsidR="008F761B" w:rsidRPr="00B74D2B" w:rsidRDefault="002F1F9A" w:rsidP="00503DE1">
      <w:pPr>
        <w:pStyle w:val="SingleTxtG"/>
      </w:pPr>
      <w:r w:rsidRPr="00B74D2B">
        <w:t>3.2</w:t>
      </w:r>
      <w:r w:rsidRPr="00B74D2B">
        <w:tab/>
        <w:t xml:space="preserve">The author further asserts that his rights under </w:t>
      </w:r>
      <w:r w:rsidR="00AB74CB">
        <w:t>article </w:t>
      </w:r>
      <w:r w:rsidRPr="00B74D2B">
        <w:t xml:space="preserve">14, </w:t>
      </w:r>
      <w:r w:rsidR="00AB74CB">
        <w:t>paragraph</w:t>
      </w:r>
      <w:r w:rsidR="009957E3">
        <w:t xml:space="preserve"> 3 </w:t>
      </w:r>
      <w:r w:rsidRPr="00B74D2B">
        <w:t>(b)</w:t>
      </w:r>
      <w:r w:rsidR="00DE2B1C">
        <w:t>,</w:t>
      </w:r>
      <w:r w:rsidRPr="00B74D2B">
        <w:t xml:space="preserve"> of the Covenant were violated because he was denied adequate facilities for the preparation of his defence. Specifically, the author maintains</w:t>
      </w:r>
      <w:r w:rsidR="008A5720" w:rsidRPr="00B74D2B">
        <w:t xml:space="preserve"> that </w:t>
      </w:r>
      <w:r w:rsidRPr="00B74D2B">
        <w:t>the methamphetamine drugs that he was convicted of possessing and importing were destroyed</w:t>
      </w:r>
      <w:r w:rsidR="002D0B8E" w:rsidRPr="00B74D2B">
        <w:t xml:space="preserve"> without a court order</w:t>
      </w:r>
      <w:r w:rsidRPr="00B74D2B">
        <w:t xml:space="preserve"> after the conclusion of his first trial in 2006, and that he was therefore unable to </w:t>
      </w:r>
      <w:r w:rsidR="008A5720" w:rsidRPr="00B74D2B">
        <w:t xml:space="preserve">have the drug evidence independently retested </w:t>
      </w:r>
      <w:r w:rsidRPr="00B74D2B">
        <w:t>before his second trial</w:t>
      </w:r>
      <w:r w:rsidR="008A5720" w:rsidRPr="00B74D2B">
        <w:t>.</w:t>
      </w:r>
      <w:r w:rsidR="00D56C8E" w:rsidRPr="00B74D2B">
        <w:rPr>
          <w:rStyle w:val="FootnoteReference"/>
        </w:rPr>
        <w:footnoteReference w:id="21"/>
      </w:r>
      <w:r w:rsidR="008A5720" w:rsidRPr="00B74D2B">
        <w:t xml:space="preserve"> </w:t>
      </w:r>
      <w:r w:rsidR="002D0B8E" w:rsidRPr="00B74D2B">
        <w:t>He submits that he was unable to mount a defence without access to the drug evidence</w:t>
      </w:r>
      <w:r w:rsidR="008C3DED" w:rsidRPr="00B74D2B">
        <w:t>, and suggests that the police could have kept a small sample of the drugs but failed to do so</w:t>
      </w:r>
      <w:r w:rsidR="002D0B8E" w:rsidRPr="00B74D2B">
        <w:t xml:space="preserve">. </w:t>
      </w:r>
      <w:r w:rsidR="008C3DED" w:rsidRPr="00B74D2B">
        <w:t>The author</w:t>
      </w:r>
      <w:r w:rsidR="002D0B8E" w:rsidRPr="00B74D2B">
        <w:t xml:space="preserve"> further states that </w:t>
      </w:r>
      <w:r w:rsidR="00134559" w:rsidRPr="00B74D2B">
        <w:t xml:space="preserve">he provided evidence to the High Court </w:t>
      </w:r>
      <w:r w:rsidR="00503DE1">
        <w:t xml:space="preserve">of New Zealand </w:t>
      </w:r>
      <w:r w:rsidR="00134559" w:rsidRPr="00B74D2B">
        <w:t>that the shipment which he was convicted of importing and possessing was not a toxic substance.</w:t>
      </w:r>
      <w:r w:rsidR="00134559" w:rsidRPr="00B74D2B">
        <w:rPr>
          <w:rStyle w:val="FootnoteReference"/>
        </w:rPr>
        <w:footnoteReference w:id="22"/>
      </w:r>
      <w:r w:rsidR="00134559" w:rsidRPr="00B74D2B">
        <w:t xml:space="preserve"> </w:t>
      </w:r>
    </w:p>
    <w:p w:rsidR="008A5720" w:rsidRPr="00B74D2B" w:rsidRDefault="008A5720" w:rsidP="00B74D2B">
      <w:pPr>
        <w:pStyle w:val="SingleTxtG"/>
      </w:pPr>
      <w:r w:rsidRPr="00B74D2B">
        <w:t>3.3</w:t>
      </w:r>
      <w:r w:rsidR="006D7602" w:rsidRPr="00B74D2B">
        <w:tab/>
        <w:t xml:space="preserve">The author also submits that, in violation of </w:t>
      </w:r>
      <w:r w:rsidR="00AB74CB">
        <w:t>article </w:t>
      </w:r>
      <w:r w:rsidR="006D7602" w:rsidRPr="00B74D2B">
        <w:t xml:space="preserve">2, </w:t>
      </w:r>
      <w:r w:rsidR="00AB74CB">
        <w:t>paragraph </w:t>
      </w:r>
      <w:r w:rsidR="006D7602" w:rsidRPr="00B74D2B">
        <w:t xml:space="preserve">3, of the Covenant, the State party denied him a realistic prospect of obtaining an effective remedy, </w:t>
      </w:r>
      <w:r w:rsidR="00F562B8" w:rsidRPr="00B74D2B">
        <w:t xml:space="preserve">because </w:t>
      </w:r>
      <w:r w:rsidR="005D5E0F" w:rsidRPr="00B74D2B">
        <w:t xml:space="preserve">the appellate courts denied him permission to interview </w:t>
      </w:r>
      <w:r w:rsidR="00F562B8" w:rsidRPr="00B74D2B">
        <w:t xml:space="preserve">the jurors in order to obtain evidence of the bullying, </w:t>
      </w:r>
      <w:r w:rsidR="007D26F2" w:rsidRPr="00B74D2B">
        <w:t xml:space="preserve">as jury members are </w:t>
      </w:r>
      <w:r w:rsidR="005D5E0F" w:rsidRPr="00B74D2B">
        <w:t>protected by the secrecy of the legal system</w:t>
      </w:r>
      <w:r w:rsidR="00F562B8" w:rsidRPr="00B74D2B">
        <w:t>.</w:t>
      </w:r>
      <w:r w:rsidR="00213A5F" w:rsidRPr="00B74D2B">
        <w:t xml:space="preserve"> The author’s </w:t>
      </w:r>
      <w:r w:rsidR="00ED500D">
        <w:t>submission</w:t>
      </w:r>
      <w:r w:rsidR="00213A5F" w:rsidRPr="00B74D2B">
        <w:t xml:space="preserve"> includes an audio recording of part of the author’s 2009 hearing before the Court of Appeal, and a video recording of a focus group discussion conducted on behalf of the author, in which members of the public were asked to comment on the issues raised by the author in respect of the jury.</w:t>
      </w:r>
    </w:p>
    <w:p w:rsidR="008F761B" w:rsidRPr="008F761B" w:rsidRDefault="008F761B" w:rsidP="001A4DBB">
      <w:pPr>
        <w:pStyle w:val="H23G"/>
      </w:pPr>
      <w:r w:rsidRPr="008F761B">
        <w:tab/>
      </w:r>
      <w:r w:rsidRPr="008F761B">
        <w:tab/>
        <w:t>The State party’s observations on admissibilit</w:t>
      </w:r>
      <w:r w:rsidRPr="00395152">
        <w:t xml:space="preserve">y </w:t>
      </w:r>
      <w:r w:rsidR="002D4C0C" w:rsidRPr="00395152">
        <w:t xml:space="preserve">and the merits </w:t>
      </w:r>
      <w:r w:rsidR="00B74D2B">
        <w:br/>
      </w:r>
      <w:r w:rsidRPr="00395152">
        <w:t>of the communication</w:t>
      </w:r>
    </w:p>
    <w:p w:rsidR="008D17E8" w:rsidRPr="00B74D2B" w:rsidRDefault="008F761B" w:rsidP="009635D1">
      <w:pPr>
        <w:pStyle w:val="SingleTxtG"/>
      </w:pPr>
      <w:r w:rsidRPr="00B74D2B">
        <w:t>4.1</w:t>
      </w:r>
      <w:r w:rsidRPr="00B74D2B">
        <w:tab/>
      </w:r>
      <w:r w:rsidR="00B5440C" w:rsidRPr="00B74D2B">
        <w:t xml:space="preserve">In its </w:t>
      </w:r>
      <w:r w:rsidR="00873F74" w:rsidRPr="00B74D2B">
        <w:t>observations</w:t>
      </w:r>
      <w:r w:rsidR="00B5440C" w:rsidRPr="00B74D2B">
        <w:t xml:space="preserve"> dated</w:t>
      </w:r>
      <w:r w:rsidRPr="00B74D2B">
        <w:t xml:space="preserve"> </w:t>
      </w:r>
      <w:r w:rsidR="00873F74" w:rsidRPr="00B74D2B">
        <w:t>14 April 2011,</w:t>
      </w:r>
      <w:r w:rsidRPr="00B74D2B">
        <w:t xml:space="preserve"> the State party </w:t>
      </w:r>
      <w:r w:rsidR="0066555D" w:rsidRPr="00B74D2B">
        <w:t xml:space="preserve">adds to the factual background of the communication, </w:t>
      </w:r>
      <w:r w:rsidR="00D223C6" w:rsidRPr="00B74D2B">
        <w:t>observing</w:t>
      </w:r>
      <w:r w:rsidR="0066555D" w:rsidRPr="00B74D2B">
        <w:t xml:space="preserve"> that the author’s offending was serious, as </w:t>
      </w:r>
      <w:r w:rsidR="008D69E5" w:rsidRPr="00B74D2B">
        <w:t>he was convicted of importing approximately 8.9 kilograms of</w:t>
      </w:r>
      <w:r w:rsidR="0066555D" w:rsidRPr="00B74D2B">
        <w:t xml:space="preserve"> methamphetamine </w:t>
      </w:r>
      <w:r w:rsidR="008D69E5" w:rsidRPr="00B74D2B">
        <w:t xml:space="preserve">that was dissolved in liquid contained in lava lamps. The methamphetamine, a Class A illegal drug, </w:t>
      </w:r>
      <w:r w:rsidR="0066555D" w:rsidRPr="00B74D2B">
        <w:t xml:space="preserve">had a total value, depending on the intended manner of sale, of between </w:t>
      </w:r>
      <w:r w:rsidR="009957E3">
        <w:t>2.5</w:t>
      </w:r>
      <w:r w:rsidR="00312774">
        <w:t xml:space="preserve"> million and </w:t>
      </w:r>
      <w:r w:rsidR="009957E3">
        <w:t>8.9 </w:t>
      </w:r>
      <w:r w:rsidR="0066555D" w:rsidRPr="00B74D2B">
        <w:t>million</w:t>
      </w:r>
      <w:r w:rsidR="00790F4D">
        <w:t xml:space="preserve"> New Zealand dollars</w:t>
      </w:r>
      <w:r w:rsidR="0066555D" w:rsidRPr="00B74D2B">
        <w:t>.</w:t>
      </w:r>
      <w:r w:rsidR="00C80E9E" w:rsidRPr="00B74D2B">
        <w:rPr>
          <w:rStyle w:val="FootnoteReference"/>
        </w:rPr>
        <w:footnoteReference w:id="23"/>
      </w:r>
      <w:r w:rsidR="0066555D" w:rsidRPr="00B74D2B">
        <w:t xml:space="preserve"> </w:t>
      </w:r>
      <w:r w:rsidR="008D69E5" w:rsidRPr="00B74D2B">
        <w:t xml:space="preserve">The author received a sentence of 14 and </w:t>
      </w:r>
      <w:r w:rsidR="00CA3794" w:rsidRPr="00B74D2B">
        <w:t xml:space="preserve">a </w:t>
      </w:r>
      <w:r w:rsidR="008D69E5" w:rsidRPr="00B74D2B">
        <w:t>half years of imprisonment, with a parole ineligibility period of seven and a</w:t>
      </w:r>
      <w:r w:rsidR="00CA3794" w:rsidRPr="00B74D2B">
        <w:t xml:space="preserve"> </w:t>
      </w:r>
      <w:r w:rsidR="008D69E5" w:rsidRPr="00B74D2B">
        <w:t xml:space="preserve">half years. </w:t>
      </w:r>
      <w:r w:rsidR="0066555D" w:rsidRPr="00B74D2B">
        <w:t xml:space="preserve">The State party also notes that the author’s conviction was confirmed by the Court of Appeal in September 2009, that an application for leave to pursue a further appeal was denied by the Supreme Court in March 2010, </w:t>
      </w:r>
      <w:r w:rsidR="00D223C6" w:rsidRPr="00B74D2B">
        <w:t>that</w:t>
      </w:r>
      <w:r w:rsidR="0066555D" w:rsidRPr="00B74D2B">
        <w:t xml:space="preserve"> a second application for leave made on other grounds after the filing of the present communication was denied in March 2011, and that the first trial in 2006 was set </w:t>
      </w:r>
      <w:r w:rsidR="00D223C6" w:rsidRPr="00B74D2B">
        <w:t>aside and a retrial was ordered</w:t>
      </w:r>
      <w:r w:rsidR="0066555D" w:rsidRPr="00B74D2B">
        <w:t xml:space="preserve"> because the first trial was wrongly allowed to continue after the withdrawal of two jurors.</w:t>
      </w:r>
      <w:r w:rsidR="00870B5E" w:rsidRPr="00B74D2B">
        <w:t xml:space="preserve"> The domestic courts </w:t>
      </w:r>
      <w:r w:rsidR="00E1246E" w:rsidRPr="00B74D2B">
        <w:t>found</w:t>
      </w:r>
      <w:r w:rsidR="00870B5E" w:rsidRPr="00B74D2B">
        <w:t xml:space="preserve"> that the trial judge</w:t>
      </w:r>
      <w:r w:rsidR="00E1246E" w:rsidRPr="00B74D2B">
        <w:t xml:space="preserve">, </w:t>
      </w:r>
      <w:r w:rsidR="00E1246E" w:rsidRPr="00B74D2B">
        <w:lastRenderedPageBreak/>
        <w:t>consistent with New Zealand criminal procedure law and practice,</w:t>
      </w:r>
      <w:r w:rsidR="00870B5E" w:rsidRPr="00B74D2B">
        <w:t xml:space="preserve"> considered a number of factors </w:t>
      </w:r>
      <w:r w:rsidR="00E1246E" w:rsidRPr="00B74D2B">
        <w:t>when</w:t>
      </w:r>
      <w:r w:rsidR="00870B5E" w:rsidRPr="00B74D2B">
        <w:t xml:space="preserve"> </w:t>
      </w:r>
      <w:r w:rsidR="00E1246E" w:rsidRPr="00B74D2B">
        <w:t>deciding to</w:t>
      </w:r>
      <w:r w:rsidR="00870B5E" w:rsidRPr="00B74D2B">
        <w:t xml:space="preserve"> </w:t>
      </w:r>
      <w:r w:rsidR="00753A7E" w:rsidRPr="00B74D2B">
        <w:t xml:space="preserve">give a </w:t>
      </w:r>
      <w:r w:rsidR="00870B5E" w:rsidRPr="004431F8">
        <w:rPr>
          <w:i/>
          <w:iCs/>
        </w:rPr>
        <w:t>Papadopoulos</w:t>
      </w:r>
      <w:r w:rsidR="00870B5E" w:rsidRPr="00B74D2B">
        <w:t xml:space="preserve"> direction.</w:t>
      </w:r>
      <w:r w:rsidR="00870B5E" w:rsidRPr="00B74D2B">
        <w:rPr>
          <w:rStyle w:val="FootnoteReference"/>
        </w:rPr>
        <w:footnoteReference w:id="24"/>
      </w:r>
      <w:r w:rsidR="006F7FF8" w:rsidRPr="00B74D2B">
        <w:t xml:space="preserve"> Concerning the crying by the jury foreperson, </w:t>
      </w:r>
      <w:r w:rsidR="00E1246E" w:rsidRPr="00B74D2B">
        <w:t>the Court of Appeal noted that jurors commonly become distressed when a verdict is delivered, and described the incident as follows: “The only evidence of distress is that the wailing of the appellant’s mother triggered the foreperson’s tears after the verdicts were delivered.” The Supreme Court similarly commented that the tears were apparently induced by the author’s mother’s cries, and added that the foreperson’s willingness to deliver the verdicts very much suggests that she was not a victim of bullying.</w:t>
      </w:r>
      <w:r w:rsidR="00EB582C" w:rsidRPr="00B74D2B">
        <w:rPr>
          <w:rStyle w:val="FootnoteReference"/>
        </w:rPr>
        <w:footnoteReference w:id="25"/>
      </w:r>
      <w:r w:rsidR="00E1246E" w:rsidRPr="00B74D2B">
        <w:t xml:space="preserve"> </w:t>
      </w:r>
    </w:p>
    <w:p w:rsidR="006A7E3E" w:rsidRPr="00B74D2B" w:rsidRDefault="006A7E3E" w:rsidP="00ED500D">
      <w:pPr>
        <w:pStyle w:val="SingleTxtG"/>
      </w:pPr>
      <w:r w:rsidRPr="00B74D2B">
        <w:t>4.2</w:t>
      </w:r>
      <w:r w:rsidRPr="00B74D2B">
        <w:tab/>
        <w:t>The State party considers that the communication conta</w:t>
      </w:r>
      <w:r w:rsidR="0093647B" w:rsidRPr="00B74D2B">
        <w:t xml:space="preserve">ins a number of factual errors. Concerning the author’s assertion that the trial judge failed to make a contemporaneous record of what occurred, </w:t>
      </w:r>
      <w:r w:rsidR="00937B54" w:rsidRPr="00B74D2B">
        <w:t xml:space="preserve">such a record was </w:t>
      </w:r>
      <w:r w:rsidR="00EC0534" w:rsidRPr="00B74D2B">
        <w:t xml:space="preserve">in fact </w:t>
      </w:r>
      <w:r w:rsidR="00937B54" w:rsidRPr="00B74D2B">
        <w:t xml:space="preserve">reflected in the report issued </w:t>
      </w:r>
      <w:r w:rsidR="009635D1">
        <w:t xml:space="preserve">in a timely manner </w:t>
      </w:r>
      <w:r w:rsidR="00937B54" w:rsidRPr="00B74D2B">
        <w:t>by the</w:t>
      </w:r>
      <w:r w:rsidR="0093647B" w:rsidRPr="00B74D2B">
        <w:t xml:space="preserve"> trial judge </w:t>
      </w:r>
      <w:r w:rsidR="00937B54" w:rsidRPr="00B74D2B">
        <w:t>on 14 September 2009</w:t>
      </w:r>
      <w:r w:rsidR="0093647B" w:rsidRPr="00B74D2B">
        <w:t xml:space="preserve"> in response to an inquiry by the Court of Appeal</w:t>
      </w:r>
      <w:r w:rsidR="00937B54" w:rsidRPr="00B74D2B">
        <w:t>.</w:t>
      </w:r>
      <w:r w:rsidR="00937B54" w:rsidRPr="00B74D2B">
        <w:rPr>
          <w:rStyle w:val="FootnoteReference"/>
        </w:rPr>
        <w:footnoteReference w:id="26"/>
      </w:r>
      <w:r w:rsidR="00937B54" w:rsidRPr="00B74D2B">
        <w:t xml:space="preserve"> </w:t>
      </w:r>
      <w:r w:rsidR="00CA3794" w:rsidRPr="00B74D2B">
        <w:t>Additionally</w:t>
      </w:r>
      <w:r w:rsidR="00EC0534" w:rsidRPr="00B74D2B">
        <w:t>, although the author asserts that the trial proceeded “without any drugs evidence” and that the seized methamphetamine was “the main” or “the only real piece of hard evidence”, the charges against the author were pursued at both trials on the basis of expert analytical evidence as to the seized substance, while the methamphetamine itself was never introduced as evidence.</w:t>
      </w:r>
      <w:r w:rsidR="00EC0534" w:rsidRPr="00B74D2B">
        <w:rPr>
          <w:rStyle w:val="FootnoteReference"/>
        </w:rPr>
        <w:footnoteReference w:id="27"/>
      </w:r>
      <w:r w:rsidR="005E6913" w:rsidRPr="00B74D2B">
        <w:t xml:space="preserve"> Although the author asserts that he provided proof that the shipment of drugs showed no toxicity, the certificate he provided at trial was not accepted by the jury. Although he asserts that the seized methamphetamine was destroyed without a lawful order, because the seized drugs were never used as evidence, they remained in the custody of the Customs Service and/or the Police and, for that reason, no court order was required to authorize its destruction following the trial. In spite of the author’s assertion that the destruction </w:t>
      </w:r>
      <w:r w:rsidR="00483091" w:rsidRPr="00B74D2B">
        <w:t>was “flagrant”</w:t>
      </w:r>
      <w:r w:rsidR="005E6913" w:rsidRPr="00B74D2B">
        <w:t>, the drugs were destroyed for security reasons, as outlined in the trial judge’s two rulings.</w:t>
      </w:r>
      <w:r w:rsidR="007B4174" w:rsidRPr="00B74D2B">
        <w:rPr>
          <w:rStyle w:val="FootnoteReference"/>
        </w:rPr>
        <w:footnoteReference w:id="28"/>
      </w:r>
      <w:r w:rsidR="005E6913" w:rsidRPr="00B74D2B">
        <w:t xml:space="preserve"> </w:t>
      </w:r>
    </w:p>
    <w:p w:rsidR="00167463" w:rsidRPr="00B74D2B" w:rsidRDefault="002F2338" w:rsidP="00B74D2B">
      <w:pPr>
        <w:pStyle w:val="SingleTxtG"/>
      </w:pPr>
      <w:r w:rsidRPr="00B74D2B">
        <w:t>4.</w:t>
      </w:r>
      <w:r w:rsidR="006A7E3E" w:rsidRPr="00B74D2B">
        <w:t>3</w:t>
      </w:r>
      <w:r w:rsidR="00167463" w:rsidRPr="00B74D2B">
        <w:tab/>
        <w:t>The State party also considers that the author’s claim</w:t>
      </w:r>
      <w:r w:rsidR="00B97FC0" w:rsidRPr="00B74D2B">
        <w:t xml:space="preserve"> </w:t>
      </w:r>
      <w:r w:rsidR="00C80A0B" w:rsidRPr="00B74D2B">
        <w:t xml:space="preserve">under </w:t>
      </w:r>
      <w:r w:rsidR="00AB74CB">
        <w:t>article </w:t>
      </w:r>
      <w:r w:rsidR="00C80A0B" w:rsidRPr="00B74D2B">
        <w:t xml:space="preserve">14, </w:t>
      </w:r>
      <w:r w:rsidR="00AB74CB">
        <w:t>paragraph </w:t>
      </w:r>
      <w:r w:rsidR="00C80A0B" w:rsidRPr="00B74D2B">
        <w:t>1</w:t>
      </w:r>
      <w:r w:rsidR="00167463" w:rsidRPr="00B74D2B">
        <w:t xml:space="preserve"> of the Covenant, relating to the adequacy of the judge’s </w:t>
      </w:r>
      <w:r w:rsidR="00D223C6" w:rsidRPr="004431F8">
        <w:rPr>
          <w:i/>
          <w:iCs/>
        </w:rPr>
        <w:t xml:space="preserve">Papadopoulos </w:t>
      </w:r>
      <w:r w:rsidR="00167463" w:rsidRPr="00B74D2B">
        <w:t>direction in response to the diff</w:t>
      </w:r>
      <w:r w:rsidR="00B97FC0" w:rsidRPr="00B74D2B">
        <w:t xml:space="preserve">iculties expressed by the jury, </w:t>
      </w:r>
      <w:r w:rsidR="00167463" w:rsidRPr="00B74D2B">
        <w:t xml:space="preserve">is inadmissible because </w:t>
      </w:r>
      <w:r w:rsidR="003866AC" w:rsidRPr="00B74D2B">
        <w:t>it is insufficiently substantiated. T</w:t>
      </w:r>
      <w:r w:rsidR="00167463" w:rsidRPr="00B74D2B">
        <w:t xml:space="preserve">he Committee does not revisit jury instructions </w:t>
      </w:r>
      <w:r w:rsidR="00B97FC0" w:rsidRPr="00B74D2B">
        <w:t xml:space="preserve">or national court determinations </w:t>
      </w:r>
      <w:r w:rsidR="00167463" w:rsidRPr="00B74D2B">
        <w:t xml:space="preserve">absent arbitrariness or manifest injustice, neither of which is present in this </w:t>
      </w:r>
      <w:r w:rsidR="00167463" w:rsidRPr="00B74D2B">
        <w:lastRenderedPageBreak/>
        <w:t>case.</w:t>
      </w:r>
      <w:r w:rsidR="00694FE0" w:rsidRPr="00B74D2B">
        <w:rPr>
          <w:rStyle w:val="FootnoteReference"/>
        </w:rPr>
        <w:footnoteReference w:id="29"/>
      </w:r>
      <w:r w:rsidR="00167463" w:rsidRPr="00B74D2B">
        <w:t xml:space="preserve"> </w:t>
      </w:r>
      <w:r w:rsidR="00B97FC0" w:rsidRPr="00B74D2B">
        <w:t xml:space="preserve">Moreover, the claim rests upon the author’s factual claim that the jury had been subjected to or was at risk of bullying, and this contention was rejected by domestic courts without manifest injustice. </w:t>
      </w:r>
      <w:r w:rsidR="00167463" w:rsidRPr="00B74D2B">
        <w:t>The State party observes that the direction was upheld on appeal in accordance with domestic trial procedure, and that the communication advances no adequate basis on which the Committee ought to revisit questions of t</w:t>
      </w:r>
      <w:r w:rsidR="00B753B9" w:rsidRPr="00B74D2B">
        <w:t>he application of domestic law.</w:t>
      </w:r>
    </w:p>
    <w:p w:rsidR="0066555D" w:rsidRPr="00B74D2B" w:rsidRDefault="001D4081" w:rsidP="009957E3">
      <w:pPr>
        <w:pStyle w:val="SingleTxtG"/>
      </w:pPr>
      <w:r w:rsidRPr="00B74D2B">
        <w:t>4.</w:t>
      </w:r>
      <w:r w:rsidR="006A7E3E" w:rsidRPr="00B74D2B">
        <w:t>4</w:t>
      </w:r>
      <w:r w:rsidRPr="00B74D2B">
        <w:tab/>
        <w:t xml:space="preserve">The State party further considers that the </w:t>
      </w:r>
      <w:r w:rsidR="0066555D" w:rsidRPr="00B74D2B">
        <w:t xml:space="preserve">author’s claim under </w:t>
      </w:r>
      <w:r w:rsidR="00AB74CB">
        <w:t>article </w:t>
      </w:r>
      <w:r w:rsidR="0066555D" w:rsidRPr="00B74D2B">
        <w:t xml:space="preserve">14, </w:t>
      </w:r>
      <w:r w:rsidR="00AB74CB">
        <w:t>paragraph</w:t>
      </w:r>
      <w:r w:rsidR="009957E3">
        <w:t xml:space="preserve"> </w:t>
      </w:r>
      <w:r w:rsidR="0066555D" w:rsidRPr="00B74D2B">
        <w:t>3</w:t>
      </w:r>
      <w:r w:rsidR="009957E3">
        <w:t> </w:t>
      </w:r>
      <w:r w:rsidR="0066555D" w:rsidRPr="00B74D2B">
        <w:t>(b)</w:t>
      </w:r>
      <w:r w:rsidR="003217C4">
        <w:t>,</w:t>
      </w:r>
      <w:r w:rsidR="0066555D" w:rsidRPr="00B74D2B">
        <w:t xml:space="preserve"> of the Covenant, </w:t>
      </w:r>
      <w:r w:rsidR="002F2338" w:rsidRPr="00B74D2B">
        <w:t>concerning the alleged prejudice caused by his inability upon retrial to obtain an independent analysis of the seized drugs</w:t>
      </w:r>
      <w:r w:rsidR="0066555D" w:rsidRPr="00B74D2B">
        <w:t>, is inadmissible for failure to exhaust domestic remedies</w:t>
      </w:r>
      <w:r w:rsidR="00D67A96" w:rsidRPr="00B74D2B">
        <w:t>. The State party argues that</w:t>
      </w:r>
      <w:r w:rsidR="0066555D" w:rsidRPr="00B74D2B">
        <w:t xml:space="preserve"> the author could have appeal</w:t>
      </w:r>
      <w:r w:rsidR="00D67A96" w:rsidRPr="00B74D2B">
        <w:t>ed</w:t>
      </w:r>
      <w:r w:rsidR="0066555D" w:rsidRPr="00B74D2B">
        <w:t xml:space="preserve"> this issue before domestic courts</w:t>
      </w:r>
      <w:r w:rsidR="00D67A96" w:rsidRPr="00B74D2B">
        <w:t xml:space="preserve"> but did not do so</w:t>
      </w:r>
      <w:r w:rsidR="0066555D" w:rsidRPr="00B74D2B">
        <w:t xml:space="preserve">. In his complaint, the author states that although he raised this appellate point, he did not “actively pursu[e] it, to preserve it for an eventual complaint to [the Committee]”. The State party further considers that the </w:t>
      </w:r>
      <w:r w:rsidR="00C058F8" w:rsidRPr="00B74D2B">
        <w:t>claim is inadmissible</w:t>
      </w:r>
      <w:r w:rsidR="003866AC" w:rsidRPr="00B74D2B">
        <w:t xml:space="preserve"> </w:t>
      </w:r>
      <w:r w:rsidR="00D67A96" w:rsidRPr="00B74D2B">
        <w:t>for lack of substantiation</w:t>
      </w:r>
      <w:r w:rsidR="003866AC" w:rsidRPr="00B74D2B">
        <w:t>. The claim</w:t>
      </w:r>
      <w:r w:rsidR="00C058F8" w:rsidRPr="00B74D2B">
        <w:t xml:space="preserve"> rests on the contention that the seized substance was not in fact methamphetamine or that the author could not adequately pursue this point at trial, and </w:t>
      </w:r>
      <w:r w:rsidR="00B97FC0" w:rsidRPr="00B74D2B">
        <w:t>this contention was rejected by domestic courts without manifest injustice.</w:t>
      </w:r>
    </w:p>
    <w:p w:rsidR="008D17E8" w:rsidRPr="00B74D2B" w:rsidRDefault="002F2338" w:rsidP="00B74D2B">
      <w:pPr>
        <w:pStyle w:val="SingleTxtG"/>
      </w:pPr>
      <w:r w:rsidRPr="00B74D2B">
        <w:t>4.</w:t>
      </w:r>
      <w:r w:rsidR="006A7E3E" w:rsidRPr="00B74D2B">
        <w:t>5</w:t>
      </w:r>
      <w:r w:rsidR="00694FE0" w:rsidRPr="00B74D2B">
        <w:tab/>
        <w:t xml:space="preserve">On the merits, the State party considers that </w:t>
      </w:r>
      <w:r w:rsidR="00972594" w:rsidRPr="00B74D2B">
        <w:t xml:space="preserve">each of the author’s three claims under </w:t>
      </w:r>
      <w:r w:rsidR="00AB74CB">
        <w:t>article </w:t>
      </w:r>
      <w:r w:rsidR="00972594" w:rsidRPr="00B74D2B">
        <w:t xml:space="preserve">14, </w:t>
      </w:r>
      <w:r w:rsidR="00AB74CB">
        <w:t>paragraph </w:t>
      </w:r>
      <w:r w:rsidR="00C80A0B" w:rsidRPr="00B74D2B">
        <w:t>1</w:t>
      </w:r>
      <w:r w:rsidR="003217C4">
        <w:t>,</w:t>
      </w:r>
      <w:r w:rsidR="00972594" w:rsidRPr="00B74D2B">
        <w:t xml:space="preserve"> of the Covenant has no </w:t>
      </w:r>
      <w:r w:rsidRPr="00B74D2B">
        <w:t>substance</w:t>
      </w:r>
      <w:r w:rsidR="00972594" w:rsidRPr="00B74D2B">
        <w:t xml:space="preserve">. </w:t>
      </w:r>
      <w:r w:rsidR="00805185" w:rsidRPr="00B74D2B">
        <w:t>Firstly, t</w:t>
      </w:r>
      <w:r w:rsidR="00972594" w:rsidRPr="00B74D2B">
        <w:t xml:space="preserve">he author’s allegation that the jury was subject to or was at risk of bullying was rejected by successive decisions of domestic courts, and the communication contains no sufficient basis on which to question those decisions. </w:t>
      </w:r>
      <w:r w:rsidR="00805185" w:rsidRPr="00B74D2B">
        <w:t>Secondly, t</w:t>
      </w:r>
      <w:r w:rsidR="00972594" w:rsidRPr="00B74D2B">
        <w:t xml:space="preserve">he author’s allegation that the trial judge erred by giving a formal </w:t>
      </w:r>
      <w:r w:rsidR="00972594" w:rsidRPr="004431F8">
        <w:rPr>
          <w:i/>
          <w:iCs/>
        </w:rPr>
        <w:t xml:space="preserve">Papadopoulos </w:t>
      </w:r>
      <w:r w:rsidR="00972594" w:rsidRPr="00B74D2B">
        <w:t>direction is unfounded, because domestic criminal procedure allows such a direction in appropriate circumstances, and the appellate courts determined that the circumstances were appropriately addressed by the formal direction. Finally, the author’s allegation that the confidentiality of jury deliberations prevents him from establishing that bullying occurred has no merit, because jury confidentiality is an essential element of the jury trial system and has been repeatedly upheld as consistent with fair trial rights by the European Court of Human Rights;</w:t>
      </w:r>
      <w:r w:rsidR="005E6913" w:rsidRPr="00B74D2B">
        <w:rPr>
          <w:rStyle w:val="FootnoteReference"/>
        </w:rPr>
        <w:footnoteReference w:id="30"/>
      </w:r>
      <w:r w:rsidR="00972594" w:rsidRPr="00B74D2B">
        <w:t xml:space="preserve"> the New Zealand courts can in appropriate but exceptional circumstances inquire into jury deliberations,</w:t>
      </w:r>
      <w:r w:rsidR="005E6913" w:rsidRPr="00B74D2B">
        <w:rPr>
          <w:rStyle w:val="FootnoteReference"/>
        </w:rPr>
        <w:footnoteReference w:id="31"/>
      </w:r>
      <w:r w:rsidR="00972594" w:rsidRPr="00B74D2B">
        <w:t xml:space="preserve"> but such circumstances were not present in this case. </w:t>
      </w:r>
    </w:p>
    <w:p w:rsidR="00972594" w:rsidRPr="00B74D2B" w:rsidRDefault="002F2338" w:rsidP="00B74D2B">
      <w:pPr>
        <w:pStyle w:val="SingleTxtG"/>
      </w:pPr>
      <w:r w:rsidRPr="00B74D2B">
        <w:t>4.</w:t>
      </w:r>
      <w:r w:rsidR="006A7E3E" w:rsidRPr="00B74D2B">
        <w:t>6</w:t>
      </w:r>
      <w:r w:rsidR="00972594" w:rsidRPr="00B74D2B">
        <w:tab/>
      </w:r>
      <w:r w:rsidR="00051277" w:rsidRPr="00B74D2B">
        <w:t xml:space="preserve">The State party also considers that the author’s claim under </w:t>
      </w:r>
      <w:r w:rsidR="00AB74CB">
        <w:t>article </w:t>
      </w:r>
      <w:r w:rsidR="00051277" w:rsidRPr="00B74D2B">
        <w:t>14,</w:t>
      </w:r>
      <w:r w:rsidRPr="00B74D2B">
        <w:t xml:space="preserve"> </w:t>
      </w:r>
      <w:r w:rsidR="00AB74CB">
        <w:t>paragraph </w:t>
      </w:r>
      <w:r w:rsidR="00C80A0B" w:rsidRPr="00B74D2B">
        <w:t>3,</w:t>
      </w:r>
      <w:r w:rsidRPr="00B74D2B">
        <w:t xml:space="preserve"> of the Covenant</w:t>
      </w:r>
      <w:r w:rsidR="00051277" w:rsidRPr="00B74D2B">
        <w:t xml:space="preserve"> has </w:t>
      </w:r>
      <w:r w:rsidRPr="00B74D2B">
        <w:t xml:space="preserve">no merit because </w:t>
      </w:r>
      <w:r w:rsidR="007F2F9D" w:rsidRPr="00B74D2B">
        <w:t xml:space="preserve">New Zealand criminal procedure law makes robust provision for instances in which evidence sought by the defence is </w:t>
      </w:r>
      <w:r w:rsidR="00567F58" w:rsidRPr="00B74D2B">
        <w:t>unavailable</w:t>
      </w:r>
      <w:r w:rsidR="007F2F9D" w:rsidRPr="00B74D2B">
        <w:t>. Specifically, and consistently with the Committee’s approach, New Zealand criminal procedure law provides for the assessment of whether there is unacceptable prejudice to the defence and, if so, provides that prosecutions can be stayed if necessary. In this instance, the trial judge determin</w:t>
      </w:r>
      <w:r w:rsidR="00567F58" w:rsidRPr="00B74D2B">
        <w:t>ed, in accordance with the law, that the defence was not prejudiced and could properly advance the contention that the seized substance was not methamphetamine at trial.</w:t>
      </w:r>
      <w:r w:rsidR="00BD0527" w:rsidRPr="00B74D2B">
        <w:rPr>
          <w:rStyle w:val="FootnoteReference"/>
        </w:rPr>
        <w:footnoteReference w:id="32"/>
      </w:r>
      <w:r w:rsidR="00BD0527" w:rsidRPr="00B74D2B">
        <w:t xml:space="preserve"> </w:t>
      </w:r>
      <w:r w:rsidR="00567F58" w:rsidRPr="00B74D2B">
        <w:t>The author was able to challenge that analytical evidence,</w:t>
      </w:r>
      <w:r w:rsidR="00B027CA" w:rsidRPr="00B74D2B">
        <w:t xml:space="preserve"> and </w:t>
      </w:r>
      <w:r w:rsidR="00B027CA" w:rsidRPr="00B74D2B">
        <w:lastRenderedPageBreak/>
        <w:t>he did so,</w:t>
      </w:r>
      <w:r w:rsidR="00567F58" w:rsidRPr="00B74D2B">
        <w:t xml:space="preserve"> but without success.</w:t>
      </w:r>
      <w:r w:rsidR="00BD0527" w:rsidRPr="00B74D2B">
        <w:rPr>
          <w:rStyle w:val="FootnoteReference"/>
        </w:rPr>
        <w:footnoteReference w:id="33"/>
      </w:r>
      <w:r w:rsidR="00567F58" w:rsidRPr="00B74D2B">
        <w:t xml:space="preserve"> The author was also able to appeal the trial judge’s determinations, but</w:t>
      </w:r>
      <w:r w:rsidR="00B027CA" w:rsidRPr="00B74D2B">
        <w:t xml:space="preserve"> he</w:t>
      </w:r>
      <w:r w:rsidR="00567F58" w:rsidRPr="00B74D2B">
        <w:t xml:space="preserve"> did not do so. </w:t>
      </w:r>
    </w:p>
    <w:p w:rsidR="00075E98" w:rsidRPr="00B74D2B" w:rsidRDefault="006A7E3E" w:rsidP="00ED500D">
      <w:pPr>
        <w:pStyle w:val="SingleTxtG"/>
      </w:pPr>
      <w:r w:rsidRPr="00B74D2B">
        <w:t>4.7</w:t>
      </w:r>
      <w:r w:rsidR="00075E98" w:rsidRPr="00B74D2B">
        <w:tab/>
        <w:t>Concerning the author’s claim that an effective remedy is warran</w:t>
      </w:r>
      <w:r w:rsidR="00C80A0B" w:rsidRPr="00B74D2B">
        <w:t xml:space="preserve">ted under </w:t>
      </w:r>
      <w:r w:rsidR="00AB74CB">
        <w:t>article </w:t>
      </w:r>
      <w:r w:rsidR="00C80A0B" w:rsidRPr="00B74D2B">
        <w:t xml:space="preserve">2, </w:t>
      </w:r>
      <w:r w:rsidR="00AB74CB">
        <w:t>paragraph </w:t>
      </w:r>
      <w:r w:rsidR="00C80A0B" w:rsidRPr="00B74D2B">
        <w:t>3</w:t>
      </w:r>
      <w:r w:rsidR="00075E98" w:rsidRPr="00B74D2B">
        <w:t>, of the Covenant, the State party considers that the author contradicts himself on this issue. Specifically, the author states that he seeks a retrial, and yet simultaneously states he should not be subjected to further retrial.</w:t>
      </w:r>
      <w:r w:rsidR="00075E98" w:rsidRPr="00B74D2B">
        <w:rPr>
          <w:rStyle w:val="FootnoteReference"/>
        </w:rPr>
        <w:footnoteReference w:id="34"/>
      </w:r>
      <w:r w:rsidR="00EF40B4" w:rsidRPr="00B74D2B">
        <w:t xml:space="preserve"> The State party further considers that it would not be appropriate to release the author without the possibility of retri</w:t>
      </w:r>
      <w:r w:rsidR="00671B27" w:rsidRPr="00B74D2B">
        <w:t xml:space="preserve">al, because he </w:t>
      </w:r>
      <w:r w:rsidR="00EF40B4" w:rsidRPr="00B74D2B">
        <w:t xml:space="preserve">has been convicted by a trial jury of a grave offence, and the conviction has been upheld twice on appeal. </w:t>
      </w:r>
      <w:r w:rsidR="00EE7E8C" w:rsidRPr="00B74D2B">
        <w:t xml:space="preserve">The State party also notes that </w:t>
      </w:r>
      <w:r w:rsidR="00EF40B4" w:rsidRPr="00B74D2B">
        <w:t xml:space="preserve">the communication raises no issue of undue delay, </w:t>
      </w:r>
      <w:r w:rsidR="00EE7E8C" w:rsidRPr="00B74D2B">
        <w:t xml:space="preserve">and infers that this is due to </w:t>
      </w:r>
      <w:r w:rsidR="00EF40B4" w:rsidRPr="00B74D2B">
        <w:t xml:space="preserve">what the </w:t>
      </w:r>
      <w:r w:rsidR="00ED500D">
        <w:t>submission</w:t>
      </w:r>
      <w:r w:rsidR="00ED500D" w:rsidRPr="00B74D2B">
        <w:t xml:space="preserve"> </w:t>
      </w:r>
      <w:r w:rsidR="00EF40B4" w:rsidRPr="00B74D2B">
        <w:t>describes as a “myriad of interlocutory and related proceedings”</w:t>
      </w:r>
      <w:r w:rsidR="0067588E">
        <w:t>,</w:t>
      </w:r>
      <w:r w:rsidR="00EF40B4" w:rsidRPr="00B74D2B">
        <w:t xml:space="preserve"> as well as repeated appeals. </w:t>
      </w:r>
    </w:p>
    <w:p w:rsidR="008D69E5" w:rsidRPr="00B74D2B" w:rsidRDefault="00213A5F" w:rsidP="00B74D2B">
      <w:pPr>
        <w:pStyle w:val="SingleTxtG"/>
      </w:pPr>
      <w:r w:rsidRPr="00B74D2B">
        <w:t>4.8</w:t>
      </w:r>
      <w:r w:rsidRPr="00B74D2B">
        <w:tab/>
        <w:t>Regarding the audio recording submitted by the author, the State party notes that the appropriate permiss</w:t>
      </w:r>
      <w:r w:rsidR="008D69E5" w:rsidRPr="00B74D2B">
        <w:t xml:space="preserve">ion was not sought or obtained, </w:t>
      </w:r>
      <w:r w:rsidR="002F4857" w:rsidRPr="00B74D2B">
        <w:t xml:space="preserve">and </w:t>
      </w:r>
      <w:r w:rsidR="007825F6" w:rsidRPr="00B74D2B">
        <w:t>that the recording was</w:t>
      </w:r>
      <w:r w:rsidR="008D69E5" w:rsidRPr="00B74D2B">
        <w:t xml:space="preserve"> </w:t>
      </w:r>
      <w:r w:rsidRPr="00B74D2B">
        <w:t>therefore</w:t>
      </w:r>
      <w:r w:rsidR="007825F6" w:rsidRPr="00B74D2B">
        <w:t xml:space="preserve"> not authorized and</w:t>
      </w:r>
      <w:r w:rsidR="008D69E5" w:rsidRPr="00B74D2B">
        <w:t xml:space="preserve"> </w:t>
      </w:r>
      <w:r w:rsidRPr="00B74D2B">
        <w:t>has no official or authoritative</w:t>
      </w:r>
      <w:r w:rsidR="008D69E5" w:rsidRPr="00B74D2B">
        <w:t xml:space="preserve"> character</w:t>
      </w:r>
      <w:r w:rsidRPr="00B74D2B">
        <w:t>. Regarding the video recording</w:t>
      </w:r>
      <w:r w:rsidR="002C01EE" w:rsidRPr="00B74D2B">
        <w:t xml:space="preserve"> of the focus group</w:t>
      </w:r>
      <w:r w:rsidRPr="00B74D2B">
        <w:t>, the State party notes that the author’s counsel sought to adduce the recording before the Supreme Court, which commented that it had “no probative value” and that it was “a completely artificial exercise divorced from the evidence and circumstances of the trial”</w:t>
      </w:r>
      <w:r w:rsidR="0067588E">
        <w:t>.</w:t>
      </w:r>
      <w:r w:rsidRPr="00B74D2B">
        <w:rPr>
          <w:rStyle w:val="FootnoteReference"/>
        </w:rPr>
        <w:footnoteReference w:id="35"/>
      </w:r>
      <w:r w:rsidR="008D69E5" w:rsidRPr="00B74D2B">
        <w:t xml:space="preserve"> </w:t>
      </w:r>
    </w:p>
    <w:p w:rsidR="008F761B" w:rsidRPr="008F761B" w:rsidRDefault="001A4DBB" w:rsidP="001A4DBB">
      <w:pPr>
        <w:pStyle w:val="H23G"/>
      </w:pPr>
      <w:r>
        <w:tab/>
      </w:r>
      <w:r>
        <w:tab/>
      </w:r>
      <w:r w:rsidR="00E83C07">
        <w:t>The author’s</w:t>
      </w:r>
      <w:r w:rsidR="008F761B" w:rsidRPr="008F761B">
        <w:t xml:space="preserve"> comments on the State party’s submission</w:t>
      </w:r>
    </w:p>
    <w:p w:rsidR="006B0C97" w:rsidRPr="00B74D2B" w:rsidRDefault="008F761B" w:rsidP="00CF33DC">
      <w:pPr>
        <w:pStyle w:val="SingleTxtG"/>
      </w:pPr>
      <w:r w:rsidRPr="00B74D2B">
        <w:t>5.1</w:t>
      </w:r>
      <w:r w:rsidRPr="00B74D2B">
        <w:tab/>
        <w:t xml:space="preserve">By submission dated </w:t>
      </w:r>
      <w:r w:rsidR="00BF03AD" w:rsidRPr="00B74D2B">
        <w:t>28 June 2011,</w:t>
      </w:r>
      <w:r w:rsidR="001017B4" w:rsidRPr="00B74D2B">
        <w:t xml:space="preserve"> the author repeat</w:t>
      </w:r>
      <w:r w:rsidR="0067588E">
        <w:t>ed</w:t>
      </w:r>
      <w:r w:rsidR="001017B4" w:rsidRPr="00B74D2B">
        <w:t xml:space="preserve"> his assertions that the trial judge’s failure to conduct a diligent investigation as to whether the jury was deciding the case according to facts in evidence and nothing else constituted a breach of his rights under </w:t>
      </w:r>
      <w:r w:rsidR="00AB74CB">
        <w:t>article </w:t>
      </w:r>
      <w:r w:rsidR="001017B4" w:rsidRPr="00B74D2B">
        <w:t xml:space="preserve">14, </w:t>
      </w:r>
      <w:r w:rsidR="00AB74CB">
        <w:t>paragraph </w:t>
      </w:r>
      <w:r w:rsidR="001017B4" w:rsidRPr="00B74D2B">
        <w:t>1, of the Covenant.</w:t>
      </w:r>
      <w:r w:rsidR="0040421B" w:rsidRPr="00B74D2B">
        <w:rPr>
          <w:rStyle w:val="FootnoteReference"/>
        </w:rPr>
        <w:footnoteReference w:id="36"/>
      </w:r>
      <w:r w:rsidR="001017B4" w:rsidRPr="00B74D2B">
        <w:t xml:space="preserve"> </w:t>
      </w:r>
      <w:r w:rsidR="00FB2E0A" w:rsidRPr="00B74D2B">
        <w:t xml:space="preserve">The author stresses that the judge gave a template </w:t>
      </w:r>
      <w:r w:rsidR="00FB2E0A" w:rsidRPr="004431F8">
        <w:rPr>
          <w:i/>
          <w:iCs/>
        </w:rPr>
        <w:t>Papadopoulos</w:t>
      </w:r>
      <w:r w:rsidR="00FB2E0A" w:rsidRPr="00B74D2B">
        <w:t xml:space="preserve"> direction that did not properly address the issue of bullying that was made clear by the jury’s second note. He maintains that the jury foreperson was “clearly distressed” during the reading of the verdicts. </w:t>
      </w:r>
    </w:p>
    <w:p w:rsidR="00BF03AD" w:rsidRPr="00B74D2B" w:rsidRDefault="006B0C97" w:rsidP="00B74D2B">
      <w:pPr>
        <w:pStyle w:val="SingleTxtG"/>
      </w:pPr>
      <w:r w:rsidRPr="00B74D2B">
        <w:lastRenderedPageBreak/>
        <w:t>5.2</w:t>
      </w:r>
      <w:r w:rsidRPr="00B74D2B">
        <w:tab/>
      </w:r>
      <w:r w:rsidR="001017B4" w:rsidRPr="00B74D2B">
        <w:t xml:space="preserve">Regarding his claim under </w:t>
      </w:r>
      <w:r w:rsidR="00AB74CB">
        <w:t>article </w:t>
      </w:r>
      <w:r w:rsidR="001017B4" w:rsidRPr="00B74D2B">
        <w:t xml:space="preserve">14, </w:t>
      </w:r>
      <w:r w:rsidR="00AB74CB">
        <w:t>paragraph </w:t>
      </w:r>
      <w:r w:rsidR="009957E3">
        <w:t>3 </w:t>
      </w:r>
      <w:r w:rsidR="001017B4" w:rsidRPr="00B74D2B">
        <w:t xml:space="preserve">(b), of the Covenant, the author argues that he was denied equality of arms due to his inability to have the drug evidence tested. </w:t>
      </w:r>
      <w:r w:rsidR="00FB2E0A" w:rsidRPr="00B74D2B">
        <w:t>He further submits that the State party’s courts unfairly placed the burden of proof on him to show evidence that the seized substance was not methamphetamine, and that he was therefore placed in an “extraordinary dilemma” because the drug evidence had been destroyed.</w:t>
      </w:r>
      <w:r w:rsidR="00FB2E0A" w:rsidRPr="00B74D2B">
        <w:rPr>
          <w:rStyle w:val="FootnoteReference"/>
        </w:rPr>
        <w:footnoteReference w:id="37"/>
      </w:r>
      <w:r w:rsidR="00FB2E0A" w:rsidRPr="00B74D2B">
        <w:t xml:space="preserve"> </w:t>
      </w:r>
      <w:r w:rsidR="001017B4" w:rsidRPr="00B74D2B">
        <w:t>The author acknowledges that the toxicity report he presented was not accepted by the trial jury, but asserts that this rejection was due to</w:t>
      </w:r>
      <w:r w:rsidR="007825F6" w:rsidRPr="00B74D2B">
        <w:t xml:space="preserve"> the fact that he was not </w:t>
      </w:r>
      <w:r w:rsidR="007F3A5F" w:rsidRPr="00B74D2B">
        <w:t xml:space="preserve">permitted </w:t>
      </w:r>
      <w:r w:rsidR="007825F6" w:rsidRPr="00B74D2B">
        <w:t xml:space="preserve">to present his </w:t>
      </w:r>
      <w:r w:rsidR="007F3A5F" w:rsidRPr="00B74D2B">
        <w:t xml:space="preserve">own </w:t>
      </w:r>
      <w:r w:rsidR="001017B4" w:rsidRPr="00B74D2B">
        <w:t xml:space="preserve">evidence as to the seized substance. The author further submits that the State party does not cite any legal authority in support of its observation that it is entitled to destroy property such as the drug evidence without </w:t>
      </w:r>
      <w:r w:rsidR="007F3A5F" w:rsidRPr="00B74D2B">
        <w:t>a legal order</w:t>
      </w:r>
      <w:r w:rsidR="001017B4" w:rsidRPr="00B74D2B">
        <w:t xml:space="preserve">. </w:t>
      </w:r>
      <w:r w:rsidR="00D3466C" w:rsidRPr="00B74D2B">
        <w:t xml:space="preserve">Regarding the State party’s observation that the drugs were destroyed for security reasons, the author maintains that he had an appeal pending when the drugs were destroyed, that the drugs were destroyed about two years after they were seized and were therefore “secure enough for a couple of years”, and that it would have sufficed to keep only a minute </w:t>
      </w:r>
      <w:r w:rsidR="009957E3">
        <w:t>sample for independent testing.</w:t>
      </w:r>
    </w:p>
    <w:p w:rsidR="00696CEA" w:rsidRPr="00B74D2B" w:rsidRDefault="00696CEA" w:rsidP="00ED500D">
      <w:pPr>
        <w:pStyle w:val="SingleTxtG"/>
      </w:pPr>
      <w:r w:rsidRPr="00B74D2B">
        <w:t>5.3</w:t>
      </w:r>
      <w:r w:rsidRPr="00B74D2B">
        <w:tab/>
      </w:r>
      <w:r w:rsidRPr="00B74D2B">
        <w:rPr>
          <w:rStyle w:val="SingleTxtGChar"/>
        </w:rPr>
        <w:t xml:space="preserve">The author maintains that the communication </w:t>
      </w:r>
      <w:r w:rsidR="004764CB" w:rsidRPr="00B74D2B">
        <w:rPr>
          <w:rStyle w:val="SingleTxtGChar"/>
        </w:rPr>
        <w:t xml:space="preserve">is </w:t>
      </w:r>
      <w:r w:rsidRPr="00B74D2B">
        <w:rPr>
          <w:rStyle w:val="SingleTxtGChar"/>
        </w:rPr>
        <w:t xml:space="preserve">admissible because he does not dispute the substantive trial issues but instead seeks redress for procedural defects that </w:t>
      </w:r>
      <w:r w:rsidR="00ED500D">
        <w:rPr>
          <w:rStyle w:val="SingleTxtGChar"/>
        </w:rPr>
        <w:t>amounted to a denial of</w:t>
      </w:r>
      <w:r w:rsidRPr="00B74D2B">
        <w:rPr>
          <w:rStyle w:val="SingleTxtGChar"/>
        </w:rPr>
        <w:t xml:space="preserve"> the fair trial process to which he was entitled. In the alternative, the author submits that the circumstances of the trial judge’s direction are exceptional and warrant close scrutiny by the Committee. </w:t>
      </w:r>
      <w:r w:rsidR="004764CB" w:rsidRPr="00B74D2B">
        <w:rPr>
          <w:rStyle w:val="SingleTxtGChar"/>
        </w:rPr>
        <w:t>The author also maintains that</w:t>
      </w:r>
      <w:r w:rsidR="00CC0644" w:rsidRPr="00B74D2B">
        <w:rPr>
          <w:rStyle w:val="SingleTxtGChar"/>
        </w:rPr>
        <w:t xml:space="preserve"> he exhausted domestic remedies with regard to the drug destruction issue</w:t>
      </w:r>
      <w:r w:rsidR="004764CB" w:rsidRPr="00B74D2B">
        <w:t xml:space="preserve"> because he unsuccessfully raise</w:t>
      </w:r>
      <w:r w:rsidR="00CC0644" w:rsidRPr="00B74D2B">
        <w:t>d</w:t>
      </w:r>
      <w:r w:rsidR="004764CB" w:rsidRPr="00B74D2B">
        <w:t xml:space="preserve"> </w:t>
      </w:r>
      <w:r w:rsidR="00CC0644" w:rsidRPr="00B74D2B">
        <w:t xml:space="preserve">it </w:t>
      </w:r>
      <w:r w:rsidR="00394C4B">
        <w:t>in</w:t>
      </w:r>
      <w:r w:rsidR="00CC0644" w:rsidRPr="00B74D2B">
        <w:t xml:space="preserve"> t</w:t>
      </w:r>
      <w:r w:rsidR="0040421B" w:rsidRPr="00B74D2B">
        <w:t xml:space="preserve">he trial court, during the 2009 </w:t>
      </w:r>
      <w:r w:rsidR="004764CB" w:rsidRPr="00B74D2B">
        <w:t>Su</w:t>
      </w:r>
      <w:r w:rsidR="0040421B" w:rsidRPr="00B74D2B">
        <w:t>preme Court appeal and again in 2010 before the Supreme Court.</w:t>
      </w:r>
      <w:r w:rsidR="004764CB" w:rsidRPr="00B74D2B">
        <w:t xml:space="preserve"> </w:t>
      </w:r>
    </w:p>
    <w:p w:rsidR="00E83C07" w:rsidRPr="00E83C07" w:rsidRDefault="001A4DBB" w:rsidP="001A4DBB">
      <w:pPr>
        <w:pStyle w:val="H23G"/>
      </w:pPr>
      <w:r>
        <w:tab/>
      </w:r>
      <w:r>
        <w:tab/>
      </w:r>
      <w:r w:rsidR="00E83C07">
        <w:t>Further comments by the author</w:t>
      </w:r>
    </w:p>
    <w:p w:rsidR="00DD75E9" w:rsidRPr="00B74D2B" w:rsidRDefault="00CC0644" w:rsidP="00DC0356">
      <w:pPr>
        <w:pStyle w:val="SingleTxtG"/>
      </w:pPr>
      <w:r w:rsidRPr="00B74D2B">
        <w:t>6.1</w:t>
      </w:r>
      <w:r w:rsidRPr="00B74D2B">
        <w:tab/>
      </w:r>
      <w:r w:rsidR="00394C4B">
        <w:t>In a</w:t>
      </w:r>
      <w:r w:rsidRPr="00B74D2B">
        <w:t xml:space="preserve"> submission dated 22 December 2011, the author introduced additional claims under </w:t>
      </w:r>
      <w:r w:rsidR="00AB74CB">
        <w:t>articles </w:t>
      </w:r>
      <w:r w:rsidRPr="00B74D2B">
        <w:t xml:space="preserve">14, </w:t>
      </w:r>
      <w:r w:rsidR="00AB74CB">
        <w:t>paragraph </w:t>
      </w:r>
      <w:r w:rsidRPr="00B74D2B">
        <w:t>3</w:t>
      </w:r>
      <w:r w:rsidR="00DD75E9" w:rsidRPr="00B74D2B">
        <w:t>,</w:t>
      </w:r>
      <w:r w:rsidRPr="00B74D2B">
        <w:t xml:space="preserve"> and 2, </w:t>
      </w:r>
      <w:r w:rsidR="00AB74CB">
        <w:t>paragraph </w:t>
      </w:r>
      <w:r w:rsidR="006446B9" w:rsidRPr="00B74D2B">
        <w:t>3</w:t>
      </w:r>
      <w:r w:rsidRPr="00B74D2B">
        <w:t xml:space="preserve">. </w:t>
      </w:r>
      <w:r w:rsidR="00DD75E9" w:rsidRPr="00B74D2B">
        <w:t>In th</w:t>
      </w:r>
      <w:r w:rsidR="00F221E0">
        <w:t>at</w:t>
      </w:r>
      <w:r w:rsidR="00DD75E9" w:rsidRPr="00B74D2B">
        <w:t xml:space="preserve"> regard, the author argues that he</w:t>
      </w:r>
      <w:r w:rsidR="004A0880" w:rsidRPr="00B74D2B">
        <w:t xml:space="preserve"> is originally from China</w:t>
      </w:r>
      <w:r w:rsidR="00613858" w:rsidRPr="00B74D2B">
        <w:t xml:space="preserve"> and </w:t>
      </w:r>
      <w:r w:rsidR="004A0880" w:rsidRPr="00B74D2B">
        <w:t>his native tongue is the Cantonese dialect</w:t>
      </w:r>
      <w:r w:rsidR="00613858" w:rsidRPr="00B74D2B">
        <w:t>. H</w:t>
      </w:r>
      <w:r w:rsidR="004A0880" w:rsidRPr="00B74D2B">
        <w:t>e is not fluent in the English language</w:t>
      </w:r>
      <w:r w:rsidR="00352911" w:rsidRPr="00B74D2B">
        <w:t xml:space="preserve">, has only an intermediate level of education, and is a non-professional individual with no legal training. During his retrial in 2009, he had no counsel </w:t>
      </w:r>
      <w:r w:rsidR="00613858" w:rsidRPr="00B74D2B">
        <w:t>to represent</w:t>
      </w:r>
      <w:r w:rsidR="00352911" w:rsidRPr="00B74D2B">
        <w:t xml:space="preserve"> him and because of his lack of English abilities</w:t>
      </w:r>
      <w:r w:rsidR="00613858" w:rsidRPr="00B74D2B">
        <w:t>, he</w:t>
      </w:r>
      <w:r w:rsidR="00352911" w:rsidRPr="00B74D2B">
        <w:t xml:space="preserve"> had an interpreter appointed for him by the Court. However, his </w:t>
      </w:r>
      <w:r w:rsidR="00E64635" w:rsidRPr="00B74D2B">
        <w:t xml:space="preserve">interpreter did not interpret the opening statement and closing submissions from the prosecution, the judge’s summation to the jury and some of the witness testimony and judicial rulings. The only real interpretation was done when there were direct communications with him, and even when there was interpretation it was often in a whisper and </w:t>
      </w:r>
      <w:r w:rsidR="00FC3D0B" w:rsidRPr="00B74D2B">
        <w:t xml:space="preserve">was </w:t>
      </w:r>
      <w:r w:rsidR="00E64635" w:rsidRPr="00B74D2B">
        <w:t xml:space="preserve">not </w:t>
      </w:r>
      <w:r w:rsidR="005E643D">
        <w:t>“</w:t>
      </w:r>
      <w:r w:rsidR="00E64635" w:rsidRPr="00B74D2B">
        <w:t>contemporaneous</w:t>
      </w:r>
      <w:r w:rsidR="005E643D">
        <w:t>”</w:t>
      </w:r>
      <w:r w:rsidR="00E64635" w:rsidRPr="00B74D2B">
        <w:t>.</w:t>
      </w:r>
      <w:r w:rsidR="00600768" w:rsidRPr="00B74D2B">
        <w:t xml:space="preserve"> </w:t>
      </w:r>
      <w:r w:rsidR="00FC3D0B" w:rsidRPr="00B74D2B">
        <w:t xml:space="preserve">His attempts to communicate with the amicus curiae appointed by the Court were also not properly interpreted, and he was not provided with </w:t>
      </w:r>
      <w:r w:rsidR="00880591">
        <w:t>“</w:t>
      </w:r>
      <w:r w:rsidR="00FC3D0B" w:rsidRPr="00B74D2B">
        <w:t>transliterated</w:t>
      </w:r>
      <w:r w:rsidR="00880591">
        <w:t>”</w:t>
      </w:r>
      <w:r w:rsidR="00FC3D0B" w:rsidRPr="00B74D2B">
        <w:t xml:space="preserve"> copies of the written evidence against him. The author also encountered the following procedural obstacles: the trial judge repeatedly refused to release to him a copy of the audio recording of his trial; his </w:t>
      </w:r>
      <w:r w:rsidR="00C70A8B" w:rsidRPr="00B74D2B">
        <w:t xml:space="preserve">appeal to the Supreme Court was dismissed </w:t>
      </w:r>
      <w:r w:rsidR="009E16B9" w:rsidRPr="00B74D2B">
        <w:t>in 2011 with an intimation that he may have to revert to the Court of Appeal;</w:t>
      </w:r>
      <w:r w:rsidR="00F221E0">
        <w:t xml:space="preserve"> and</w:t>
      </w:r>
      <w:r w:rsidR="009E16B9" w:rsidRPr="00B74D2B">
        <w:t xml:space="preserve"> the Court of Appeal originally refused to accept his </w:t>
      </w:r>
      <w:r w:rsidR="009E16B9" w:rsidRPr="008C3552">
        <w:t>further appeal</w:t>
      </w:r>
      <w:r w:rsidR="009E16B9" w:rsidRPr="00B74D2B">
        <w:t xml:space="preserve"> paperwork for filing, and it was only through the insistence of counsel that he was able to file the new papers</w:t>
      </w:r>
      <w:r w:rsidR="00613858" w:rsidRPr="00B74D2B">
        <w:t>. W</w:t>
      </w:r>
      <w:r w:rsidR="009E16B9" w:rsidRPr="00B74D2B">
        <w:t xml:space="preserve">hen the Court of Appeal did finally allow access to the audio recording in early 2011, it was only on the basis that counsel and an expert could attend the </w:t>
      </w:r>
      <w:r w:rsidR="006432ED" w:rsidRPr="00B74D2B">
        <w:t>trial</w:t>
      </w:r>
      <w:r w:rsidR="00613858" w:rsidRPr="00B74D2B">
        <w:t xml:space="preserve">. </w:t>
      </w:r>
    </w:p>
    <w:p w:rsidR="00E64635" w:rsidRPr="00B74D2B" w:rsidRDefault="00DD75E9" w:rsidP="00880591">
      <w:pPr>
        <w:pStyle w:val="SingleTxtG"/>
      </w:pPr>
      <w:r w:rsidRPr="00B74D2B">
        <w:t>6.2</w:t>
      </w:r>
      <w:r w:rsidRPr="00B74D2B">
        <w:tab/>
      </w:r>
      <w:r w:rsidR="00613858" w:rsidRPr="00B74D2B">
        <w:t xml:space="preserve">The author further argues that </w:t>
      </w:r>
      <w:r w:rsidR="006432ED" w:rsidRPr="00B74D2B">
        <w:t xml:space="preserve">the Court of Appeal initially questioned why the author needed an interpreter at his further appeal hearing, and did not provide him one, requiring him to pay for his own interpreter (and because the </w:t>
      </w:r>
      <w:r w:rsidR="006432ED" w:rsidRPr="00DC0356">
        <w:t xml:space="preserve">Minute was </w:t>
      </w:r>
      <w:r w:rsidR="00880591">
        <w:t>not</w:t>
      </w:r>
      <w:r w:rsidR="006432ED" w:rsidRPr="00DC0356">
        <w:t xml:space="preserve"> timely</w:t>
      </w:r>
      <w:r w:rsidR="006432ED" w:rsidRPr="00B74D2B">
        <w:t xml:space="preserve"> </w:t>
      </w:r>
      <w:r w:rsidR="006432ED" w:rsidRPr="00B74D2B">
        <w:lastRenderedPageBreak/>
        <w:t>provided to the author, he was unable to obtain his own interpreter</w:t>
      </w:r>
      <w:r w:rsidR="00613858" w:rsidRPr="00B74D2B">
        <w:t>).</w:t>
      </w:r>
      <w:r w:rsidR="00613858" w:rsidRPr="00B74D2B">
        <w:rPr>
          <w:rStyle w:val="FootnoteReference"/>
        </w:rPr>
        <w:footnoteReference w:id="38"/>
      </w:r>
      <w:r w:rsidR="00613858" w:rsidRPr="00B74D2B">
        <w:t xml:space="preserve"> The </w:t>
      </w:r>
      <w:r w:rsidR="006432ED" w:rsidRPr="00B74D2B">
        <w:t>Court of Appeal dismissed his appeal on the merits</w:t>
      </w:r>
      <w:r w:rsidR="00394C4B">
        <w:t>,</w:t>
      </w:r>
      <w:r w:rsidR="006432ED" w:rsidRPr="00B74D2B">
        <w:t xml:space="preserve"> even though the only hearing held was a jurisdiction hearing</w:t>
      </w:r>
      <w:r w:rsidR="00613858" w:rsidRPr="00B74D2B">
        <w:t>. T</w:t>
      </w:r>
      <w:r w:rsidR="006432ED" w:rsidRPr="00B74D2B">
        <w:t>he author</w:t>
      </w:r>
      <w:r w:rsidR="00613858" w:rsidRPr="00B74D2B">
        <w:t xml:space="preserve"> alleges that he</w:t>
      </w:r>
      <w:r w:rsidR="006432ED" w:rsidRPr="00B74D2B">
        <w:t xml:space="preserve"> was unable to present evidence on the merits</w:t>
      </w:r>
      <w:r w:rsidR="00613858" w:rsidRPr="00B74D2B">
        <w:t xml:space="preserve">, </w:t>
      </w:r>
      <w:r w:rsidR="006432ED" w:rsidRPr="00B74D2B">
        <w:t xml:space="preserve">and </w:t>
      </w:r>
      <w:r w:rsidR="00613858" w:rsidRPr="00B74D2B">
        <w:t xml:space="preserve">that </w:t>
      </w:r>
      <w:r w:rsidR="006432ED" w:rsidRPr="00B74D2B">
        <w:t xml:space="preserve">the Supreme Court Registry refused to accept his paperwork for filing a final appeal. In </w:t>
      </w:r>
      <w:r w:rsidR="00613858" w:rsidRPr="00B74D2B">
        <w:t xml:space="preserve">the </w:t>
      </w:r>
      <w:r w:rsidR="006432ED" w:rsidRPr="00B74D2B">
        <w:t xml:space="preserve">light of the foregoing facts, the author submits that the State party’s courts grossly abused his </w:t>
      </w:r>
      <w:r w:rsidR="00801A7A" w:rsidRPr="00B74D2B">
        <w:t>rights, because he was denied the high standard of interpretation to which he was entitled during his retrial</w:t>
      </w:r>
      <w:r w:rsidR="006A3320" w:rsidRPr="00B74D2B">
        <w:t>;</w:t>
      </w:r>
      <w:r w:rsidR="00801A7A" w:rsidRPr="00B74D2B">
        <w:rPr>
          <w:rStyle w:val="FootnoteReference"/>
        </w:rPr>
        <w:footnoteReference w:id="39"/>
      </w:r>
      <w:r w:rsidR="00801A7A" w:rsidRPr="00B74D2B">
        <w:t xml:space="preserve"> the courts refused to give him a hearing on the merits and instead frustrated his efforts at both the trial and appellate levels; he was not informed of the nature and the cause of the charge against him in a language which he understood</w:t>
      </w:r>
      <w:r w:rsidR="006A3320" w:rsidRPr="00B74D2B">
        <w:t xml:space="preserve">; </w:t>
      </w:r>
      <w:r w:rsidR="00AF1746" w:rsidRPr="00B74D2B">
        <w:t xml:space="preserve">he was unable to present a defence because he was acting </w:t>
      </w:r>
      <w:r w:rsidR="00AF1746" w:rsidRPr="004431F8">
        <w:rPr>
          <w:i/>
          <w:iCs/>
        </w:rPr>
        <w:t>pro se</w:t>
      </w:r>
      <w:r w:rsidR="00AF1746" w:rsidRPr="00B74D2B">
        <w:t xml:space="preserve"> and did not understand the key issues in the trial due to the poor interpretation; he was in essence denied the right to counsel because he was his own lawyer and was denied suitable interpretation; </w:t>
      </w:r>
      <w:r w:rsidR="00394C4B">
        <w:t xml:space="preserve">and </w:t>
      </w:r>
      <w:r w:rsidR="00AF1746" w:rsidRPr="00B74D2B">
        <w:t>he was denied the right to face his accusers because he was unable to understand what they were saying.</w:t>
      </w:r>
    </w:p>
    <w:p w:rsidR="00CC0644" w:rsidRPr="00B74D2B" w:rsidRDefault="00E64635" w:rsidP="00B74D2B">
      <w:pPr>
        <w:pStyle w:val="SingleTxtG"/>
      </w:pPr>
      <w:r w:rsidRPr="00B74D2B">
        <w:t>6.</w:t>
      </w:r>
      <w:r w:rsidR="00DD75E9" w:rsidRPr="00B74D2B">
        <w:t>3</w:t>
      </w:r>
      <w:r w:rsidRPr="00B74D2B">
        <w:tab/>
      </w:r>
      <w:r w:rsidR="003622B5" w:rsidRPr="00B74D2B">
        <w:t xml:space="preserve">Regarding </w:t>
      </w:r>
      <w:r w:rsidR="00613858" w:rsidRPr="00B74D2B">
        <w:t xml:space="preserve">the </w:t>
      </w:r>
      <w:r w:rsidR="003622B5" w:rsidRPr="00B74D2B">
        <w:t>exhaustion of domestic remedies, the author states that h</w:t>
      </w:r>
      <w:r w:rsidR="00704C72" w:rsidRPr="00B74D2B">
        <w:t xml:space="preserve">e did not in his 2009 and 2010 appeals raise any issue related to the quality of interpretation at his retrial because he only became aware of this as a potential appellate issue after those appeals had closed. He then sought leave to further appeal to the Supreme Court, but in early 2011, this was declined with the intimation that the Court of Appeal might be the proper avenue to seek to further appeal. After the Court of Appeal </w:t>
      </w:r>
      <w:r w:rsidR="00D433F9">
        <w:t>R</w:t>
      </w:r>
      <w:r w:rsidR="00704C72" w:rsidRPr="00B74D2B">
        <w:t>egistry initially refused to accept his paperwork for filing</w:t>
      </w:r>
      <w:r w:rsidR="00916136" w:rsidRPr="00B74D2B">
        <w:t>,</w:t>
      </w:r>
      <w:r w:rsidR="00704C72" w:rsidRPr="00B74D2B">
        <w:t xml:space="preserve"> he was finally given a hearing on an application for a further appeal</w:t>
      </w:r>
      <w:r w:rsidR="00D433F9">
        <w:t>,</w:t>
      </w:r>
      <w:r w:rsidR="00704C72" w:rsidRPr="00B74D2B">
        <w:t xml:space="preserve"> but this was declined in November 2011. </w:t>
      </w:r>
      <w:r w:rsidR="00916136" w:rsidRPr="00B74D2B">
        <w:t>His appeal of this decision was not accepted by the Supreme Court Registry.</w:t>
      </w:r>
      <w:r w:rsidR="00B74D2B">
        <w:t xml:space="preserve"> </w:t>
      </w:r>
    </w:p>
    <w:p w:rsidR="009B72F1" w:rsidRDefault="001A4DBB" w:rsidP="001A4DBB">
      <w:pPr>
        <w:pStyle w:val="H23G"/>
      </w:pPr>
      <w:r>
        <w:tab/>
      </w:r>
      <w:r>
        <w:tab/>
      </w:r>
      <w:r w:rsidR="008F761B" w:rsidRPr="008F761B">
        <w:t>The State party’s furthe</w:t>
      </w:r>
      <w:r w:rsidR="00C245B1">
        <w:t>r observations on admissibility</w:t>
      </w:r>
    </w:p>
    <w:p w:rsidR="00DD75E9" w:rsidRPr="00B74D2B" w:rsidRDefault="00696CEA" w:rsidP="00DC59F5">
      <w:pPr>
        <w:pStyle w:val="SingleTxtG"/>
      </w:pPr>
      <w:r w:rsidRPr="00B74D2B">
        <w:t>7</w:t>
      </w:r>
      <w:r w:rsidR="008F761B" w:rsidRPr="00B74D2B">
        <w:t>.1</w:t>
      </w:r>
      <w:r w:rsidR="008F761B" w:rsidRPr="00B74D2B">
        <w:tab/>
      </w:r>
      <w:r w:rsidR="00664F96" w:rsidRPr="00B74D2B">
        <w:t>On</w:t>
      </w:r>
      <w:r w:rsidR="008F761B" w:rsidRPr="00B74D2B">
        <w:t xml:space="preserve"> </w:t>
      </w:r>
      <w:r w:rsidR="00BE3D9A" w:rsidRPr="00B74D2B">
        <w:t>13 April 2012,</w:t>
      </w:r>
      <w:r w:rsidR="008F761B" w:rsidRPr="00B74D2B">
        <w:t xml:space="preserve"> the State party submitted further observations on </w:t>
      </w:r>
      <w:r w:rsidR="00664F96" w:rsidRPr="00B74D2B">
        <w:t xml:space="preserve">the </w:t>
      </w:r>
      <w:r w:rsidR="008F761B" w:rsidRPr="00B74D2B">
        <w:t>admissibility and</w:t>
      </w:r>
      <w:r w:rsidR="00BE3D9A" w:rsidRPr="00B74D2B">
        <w:t xml:space="preserve"> </w:t>
      </w:r>
      <w:r w:rsidR="008F761B" w:rsidRPr="00B74D2B">
        <w:t>merits</w:t>
      </w:r>
      <w:r w:rsidR="00664F96" w:rsidRPr="00B74D2B">
        <w:t xml:space="preserve"> of the communication</w:t>
      </w:r>
      <w:r w:rsidR="008F761B" w:rsidRPr="00B74D2B">
        <w:t xml:space="preserve">. With regard to the </w:t>
      </w:r>
      <w:r w:rsidR="00E83C07" w:rsidRPr="00B74D2B">
        <w:t>author’s</w:t>
      </w:r>
      <w:r w:rsidR="008F761B" w:rsidRPr="00B74D2B">
        <w:t xml:space="preserve"> </w:t>
      </w:r>
      <w:r w:rsidR="00947258" w:rsidRPr="00B74D2B">
        <w:t xml:space="preserve">new </w:t>
      </w:r>
      <w:r w:rsidR="008F761B" w:rsidRPr="00B74D2B">
        <w:t>claim</w:t>
      </w:r>
      <w:r w:rsidR="00947258" w:rsidRPr="00B74D2B">
        <w:t xml:space="preserve">s </w:t>
      </w:r>
      <w:r w:rsidR="00C347BF" w:rsidRPr="00B74D2B">
        <w:t xml:space="preserve">(in the submission dated 22 December 2011) </w:t>
      </w:r>
      <w:r w:rsidR="00947258" w:rsidRPr="00B74D2B">
        <w:t xml:space="preserve">relating to the adequacy of interpretation provided during his retrial, the State party notes that this point was not raised in the </w:t>
      </w:r>
      <w:r w:rsidR="00664F96" w:rsidRPr="00B74D2B">
        <w:t xml:space="preserve">initial </w:t>
      </w:r>
      <w:r w:rsidR="00947258" w:rsidRPr="00B74D2B">
        <w:t xml:space="preserve">communication or in the author’s earlier appeals in the New Zealand appellate courts prior to mid-2010. The State party considers that the point was raised before </w:t>
      </w:r>
      <w:r w:rsidR="00EF2DF1" w:rsidRPr="00B74D2B">
        <w:t xml:space="preserve">the Court of Appeal </w:t>
      </w:r>
      <w:r w:rsidR="00947258" w:rsidRPr="00B74D2B">
        <w:t xml:space="preserve">and </w:t>
      </w:r>
      <w:r w:rsidR="00EF2DF1" w:rsidRPr="00B74D2B">
        <w:t>was thoroughly considered,</w:t>
      </w:r>
      <w:r w:rsidR="00947258" w:rsidRPr="00B74D2B">
        <w:t xml:space="preserve"> </w:t>
      </w:r>
      <w:r w:rsidR="00383BCB" w:rsidRPr="00B74D2B">
        <w:t xml:space="preserve">and is inadmissible </w:t>
      </w:r>
      <w:r w:rsidR="00833789" w:rsidRPr="00B74D2B">
        <w:t xml:space="preserve">under </w:t>
      </w:r>
      <w:r w:rsidR="00AB74CB">
        <w:t>articles </w:t>
      </w:r>
      <w:r w:rsidR="00833789" w:rsidRPr="00B74D2B">
        <w:t xml:space="preserve">2 and/or 3 of the Optional Protocol </w:t>
      </w:r>
      <w:r w:rsidR="00383BCB" w:rsidRPr="00B74D2B">
        <w:t xml:space="preserve">due to the absence of any substantiated suggestion of arbitrariness, manifest error, denial of justice or partiality. </w:t>
      </w:r>
      <w:r w:rsidR="00CC51BC" w:rsidRPr="00B74D2B">
        <w:t xml:space="preserve">Specifically, </w:t>
      </w:r>
      <w:r w:rsidR="00A01B88" w:rsidRPr="00B74D2B">
        <w:t xml:space="preserve">the State party </w:t>
      </w:r>
      <w:r w:rsidR="00CC51BC" w:rsidRPr="00B74D2B">
        <w:t xml:space="preserve">cites </w:t>
      </w:r>
      <w:r w:rsidR="009B72F1" w:rsidRPr="00B74D2B">
        <w:t xml:space="preserve">the Court of Appeal decision stating that </w:t>
      </w:r>
      <w:r w:rsidR="00CC51BC" w:rsidRPr="00B74D2B">
        <w:t>“</w:t>
      </w:r>
      <w:r w:rsidR="00B74D2B">
        <w:t>Mr. </w:t>
      </w:r>
      <w:r w:rsidR="00952886">
        <w:t>[</w:t>
      </w:r>
      <w:r w:rsidR="008E0908" w:rsidRPr="00B74D2B">
        <w:t>W.</w:t>
      </w:r>
      <w:r w:rsidR="00952886">
        <w:t>]</w:t>
      </w:r>
      <w:r w:rsidR="008E0908" w:rsidRPr="00B74D2B">
        <w:t xml:space="preserve"> </w:t>
      </w:r>
      <w:r w:rsidR="00CC51BC" w:rsidRPr="00B74D2B">
        <w:t>has not pointed to any aspect of the conduct of the defence that was affected by any of the alleged failings on the part of [the interpreter.] In particular, he does not say that he did not understand what the Crown case against him was.”</w:t>
      </w:r>
      <w:r w:rsidR="009B72F1" w:rsidRPr="00B74D2B">
        <w:rPr>
          <w:rStyle w:val="FootnoteReference"/>
        </w:rPr>
        <w:footnoteReference w:id="40"/>
      </w:r>
      <w:r w:rsidR="00CC51BC" w:rsidRPr="00B74D2B">
        <w:t xml:space="preserve"> </w:t>
      </w:r>
      <w:r w:rsidR="009B72F1" w:rsidRPr="00B74D2B">
        <w:t xml:space="preserve">The State party also cites the portion of the decision relating to the assessment made by the </w:t>
      </w:r>
      <w:r w:rsidR="00CC51BC" w:rsidRPr="00B74D2B">
        <w:t xml:space="preserve">amicus curiae barrister appointed to assist </w:t>
      </w:r>
      <w:r w:rsidR="00DC59F5">
        <w:t>A.K.</w:t>
      </w:r>
      <w:r w:rsidR="008E0908" w:rsidRPr="00B74D2B">
        <w:t>W.</w:t>
      </w:r>
      <w:r w:rsidR="00CC51BC" w:rsidRPr="00B74D2B">
        <w:t xml:space="preserve">: “From his closing address it is clear that </w:t>
      </w:r>
      <w:r w:rsidR="00B74D2B">
        <w:t>Mr. </w:t>
      </w:r>
      <w:r w:rsidR="00DC59F5">
        <w:t>[</w:t>
      </w:r>
      <w:r w:rsidR="008E0908" w:rsidRPr="00B74D2B">
        <w:t>W.</w:t>
      </w:r>
      <w:r w:rsidR="00DC59F5">
        <w:t>]</w:t>
      </w:r>
      <w:r w:rsidR="008E0908" w:rsidRPr="00B74D2B">
        <w:t xml:space="preserve"> </w:t>
      </w:r>
      <w:r w:rsidR="00CC51BC" w:rsidRPr="00B74D2B">
        <w:t xml:space="preserve">understood that the case against him was circumstantial and that the Crown had asked the jury to draw certain inferences on the basis of particular facts. </w:t>
      </w:r>
      <w:r w:rsidR="00B74D2B">
        <w:t>Mr. </w:t>
      </w:r>
      <w:r w:rsidR="00DC59F5">
        <w:t>[</w:t>
      </w:r>
      <w:r w:rsidR="008E0908" w:rsidRPr="00B74D2B">
        <w:t>W.</w:t>
      </w:r>
      <w:r w:rsidR="00DC59F5">
        <w:t>]</w:t>
      </w:r>
      <w:r w:rsidR="00CC51BC" w:rsidRPr="00B74D2B">
        <w:t xml:space="preserve"> pointed out the dangers of drawing inferences and challenged the inferences that the Crown had asked the jury to draw. In doing so, he referred to the various counts against </w:t>
      </w:r>
      <w:r w:rsidR="00CC51BC" w:rsidRPr="00B74D2B">
        <w:lastRenderedPageBreak/>
        <w:t>him, to particular submissions made by the Crown, to specific evidence, including exhibits, and asked why the police had not investigated further.”</w:t>
      </w:r>
      <w:r w:rsidR="009B72F1" w:rsidRPr="00B74D2B">
        <w:rPr>
          <w:rStyle w:val="FootnoteReference"/>
        </w:rPr>
        <w:footnoteReference w:id="41"/>
      </w:r>
      <w:r w:rsidR="00CC51BC" w:rsidRPr="00B74D2B">
        <w:t xml:space="preserve"> </w:t>
      </w:r>
    </w:p>
    <w:p w:rsidR="00383BCB" w:rsidRPr="00B74D2B" w:rsidRDefault="00DD75E9" w:rsidP="00DC59F5">
      <w:pPr>
        <w:pStyle w:val="SingleTxtG"/>
      </w:pPr>
      <w:r w:rsidRPr="00B74D2B">
        <w:t>7.2</w:t>
      </w:r>
      <w:r w:rsidRPr="00B74D2B">
        <w:tab/>
      </w:r>
      <w:r w:rsidR="009B72F1" w:rsidRPr="00B74D2B">
        <w:t>The State party also quotes the decision recording the view of the trial judge, who instructed the jury</w:t>
      </w:r>
      <w:r w:rsidR="00EF5691">
        <w:t xml:space="preserve"> as follows</w:t>
      </w:r>
      <w:r w:rsidR="000A6A6E" w:rsidRPr="00B74D2B">
        <w:t xml:space="preserve">: </w:t>
      </w:r>
      <w:r w:rsidR="00CC51BC" w:rsidRPr="00B74D2B">
        <w:t xml:space="preserve">“In this case </w:t>
      </w:r>
      <w:r w:rsidR="00B74D2B">
        <w:t>Mr. </w:t>
      </w:r>
      <w:r w:rsidR="00DC59F5">
        <w:t>[</w:t>
      </w:r>
      <w:r w:rsidR="008E0908" w:rsidRPr="00B74D2B">
        <w:t>W.</w:t>
      </w:r>
      <w:r w:rsidR="00DC59F5">
        <w:t>]</w:t>
      </w:r>
      <w:r w:rsidR="008E0908" w:rsidRPr="00B74D2B">
        <w:t xml:space="preserve"> </w:t>
      </w:r>
      <w:r w:rsidR="00CC51BC" w:rsidRPr="00B74D2B">
        <w:t>has been assisted by an interprete</w:t>
      </w:r>
      <w:r w:rsidR="000A6A6E" w:rsidRPr="00B74D2B">
        <w:t>r</w:t>
      </w:r>
      <w:r w:rsidR="00CC51BC" w:rsidRPr="00B74D2B">
        <w:t xml:space="preserve"> because English is not his first language. It is very important that the accused be able easily to follow the proceedings and the evidence given in court. You must not draw any inference adverse to </w:t>
      </w:r>
      <w:r w:rsidR="00B74D2B">
        <w:t>Mr. </w:t>
      </w:r>
      <w:r w:rsidR="002601DF">
        <w:t>[</w:t>
      </w:r>
      <w:r w:rsidR="008E0908" w:rsidRPr="00B74D2B">
        <w:t>W.</w:t>
      </w:r>
      <w:r w:rsidR="002601DF">
        <w:t>]</w:t>
      </w:r>
      <w:r w:rsidR="008E0908" w:rsidRPr="00B74D2B">
        <w:t xml:space="preserve"> </w:t>
      </w:r>
      <w:r w:rsidR="00CC51BC" w:rsidRPr="00B74D2B">
        <w:t xml:space="preserve">because of the use of the interpreter. However, sometimes something can be lost in translation even when, as here, we have had the benefit of an excellent interpreter in </w:t>
      </w:r>
      <w:r w:rsidR="00B74D2B">
        <w:t>Ms. </w:t>
      </w:r>
      <w:r w:rsidR="00CC51BC" w:rsidRPr="00B74D2B">
        <w:t>Law.</w:t>
      </w:r>
      <w:r w:rsidR="002601DF">
        <w:t xml:space="preserve"> </w:t>
      </w:r>
      <w:r w:rsidR="00CC51BC" w:rsidRPr="00B74D2B">
        <w:t xml:space="preserve">… You will need to make allowance for the fact that </w:t>
      </w:r>
      <w:r w:rsidR="00B74D2B">
        <w:t>Mr. </w:t>
      </w:r>
      <w:r w:rsidR="002601DF">
        <w:t>[</w:t>
      </w:r>
      <w:r w:rsidR="008E0908" w:rsidRPr="00B74D2B">
        <w:t>W.</w:t>
      </w:r>
      <w:r w:rsidR="002601DF">
        <w:t>]</w:t>
      </w:r>
      <w:r w:rsidR="008E0908" w:rsidRPr="00B74D2B">
        <w:t xml:space="preserve"> </w:t>
      </w:r>
      <w:r w:rsidR="00CC51BC" w:rsidRPr="00B74D2B">
        <w:t>throughout the trial asked questions in cross-examination through the interpreter and that he made his opening statement and closing address to you through the interpreter.”</w:t>
      </w:r>
      <w:r w:rsidR="009B72F1" w:rsidRPr="00B74D2B">
        <w:rPr>
          <w:rStyle w:val="FootnoteReference"/>
        </w:rPr>
        <w:footnoteReference w:id="42"/>
      </w:r>
      <w:r w:rsidR="00402CE4" w:rsidRPr="00B74D2B">
        <w:t xml:space="preserve"> Finally, the State party considers that the decision indicates that the author ha</w:t>
      </w:r>
      <w:r w:rsidR="00FE68A4" w:rsidRPr="00B74D2B">
        <w:t>d</w:t>
      </w:r>
      <w:r w:rsidR="00402CE4" w:rsidRPr="00B74D2B">
        <w:t xml:space="preserve"> no concern about the quality of the interpretation, quoting the following excerpt: “</w:t>
      </w:r>
      <w:r w:rsidR="00B74D2B">
        <w:t>Mr. </w:t>
      </w:r>
      <w:r w:rsidR="00DC59F5">
        <w:t>[</w:t>
      </w:r>
      <w:r w:rsidR="008E0908" w:rsidRPr="00B74D2B">
        <w:t>W.</w:t>
      </w:r>
      <w:r w:rsidR="00DC59F5">
        <w:t>]</w:t>
      </w:r>
      <w:r w:rsidR="00E733F5" w:rsidRPr="00B74D2B">
        <w:t xml:space="preserve"> has had considerable experience with interpreters in the criminal justice context. In particular, he </w:t>
      </w:r>
      <w:r w:rsidR="00DC59F5">
        <w:t>was</w:t>
      </w:r>
      <w:r w:rsidR="00E733F5" w:rsidRPr="00B74D2B">
        <w:t xml:space="preserve"> assisted by an interpreter in relation to his retrial from at least October 2008 and </w:t>
      </w:r>
      <w:r w:rsidR="00B74D2B">
        <w:t>Ms. </w:t>
      </w:r>
      <w:r w:rsidR="00402CE4" w:rsidRPr="00B74D2B">
        <w:t xml:space="preserve">Law had been interpreting for him from at least 20 February 2009 (and perhaps earlier, the record is unclear). If he considered that he did not understand what was happening at any particular point, or that significant parts of the trial were not being translated for him so that he could not follow what was happening, we would have expected </w:t>
      </w:r>
      <w:r w:rsidR="00B74D2B">
        <w:t>Mr. </w:t>
      </w:r>
      <w:r w:rsidR="00DC59F5">
        <w:t>[</w:t>
      </w:r>
      <w:r w:rsidR="008E0908" w:rsidRPr="00B74D2B">
        <w:t>W.</w:t>
      </w:r>
      <w:r w:rsidR="00DC59F5">
        <w:t>]</w:t>
      </w:r>
      <w:r w:rsidR="00402CE4" w:rsidRPr="00B74D2B">
        <w:t xml:space="preserve"> to have raised his concerns with </w:t>
      </w:r>
      <w:r w:rsidR="00B74D2B">
        <w:t>Ms. </w:t>
      </w:r>
      <w:r w:rsidR="00402CE4" w:rsidRPr="00B74D2B">
        <w:t xml:space="preserve">Law and, if he did not receive a satisfactory response from her, </w:t>
      </w:r>
      <w:r w:rsidR="005C1CC1" w:rsidRPr="00B74D2B">
        <w:t xml:space="preserve">with </w:t>
      </w:r>
      <w:r w:rsidR="00402CE4" w:rsidRPr="00B74D2B">
        <w:t>[t</w:t>
      </w:r>
      <w:r w:rsidR="00E733F5" w:rsidRPr="00B74D2B">
        <w:t xml:space="preserve">he amicus curiae] or the Court. … He did not raise then any deficiencies in her interpretation at trial. We do not accept </w:t>
      </w:r>
      <w:r w:rsidR="00B74D2B">
        <w:t>Mr. </w:t>
      </w:r>
      <w:r w:rsidR="00DC59F5">
        <w:t>[</w:t>
      </w:r>
      <w:r w:rsidR="008E0908" w:rsidRPr="00B74D2B">
        <w:t>W.</w:t>
      </w:r>
      <w:r w:rsidR="00E733F5" w:rsidRPr="00B74D2B">
        <w:t>’s</w:t>
      </w:r>
      <w:r w:rsidR="00DC59F5">
        <w:t>]</w:t>
      </w:r>
      <w:r w:rsidR="00E733F5" w:rsidRPr="00B74D2B">
        <w:t xml:space="preserve"> explanation that he did not understand his rights in relation to an interpreter at that stage, given his experience of the criminal justice system and his confidence that he could represent himself both </w:t>
      </w:r>
      <w:r w:rsidR="00B25186" w:rsidRPr="00B74D2B">
        <w:t>before and during the trial despite his language difficulties.”</w:t>
      </w:r>
      <w:r w:rsidR="00B25186" w:rsidRPr="00B74D2B">
        <w:rPr>
          <w:rStyle w:val="FootnoteReference"/>
        </w:rPr>
        <w:footnoteReference w:id="43"/>
      </w:r>
      <w:r w:rsidR="00A01B88" w:rsidRPr="00B74D2B">
        <w:t xml:space="preserve"> The State party considers that domestic law robustly provides for the right to an interpreter, and that the Court of Appeal decision fully considered that this right was not denied to the author.</w:t>
      </w:r>
      <w:r w:rsidR="00A01B88" w:rsidRPr="00B74D2B">
        <w:rPr>
          <w:rStyle w:val="FootnoteReference"/>
        </w:rPr>
        <w:footnoteReference w:id="44"/>
      </w:r>
    </w:p>
    <w:p w:rsidR="00833789" w:rsidRPr="00B74D2B" w:rsidRDefault="00833789" w:rsidP="00B74D2B">
      <w:pPr>
        <w:pStyle w:val="SingleTxtG"/>
      </w:pPr>
      <w:r w:rsidRPr="00B74D2B">
        <w:lastRenderedPageBreak/>
        <w:t>7.</w:t>
      </w:r>
      <w:r w:rsidR="00DD75E9" w:rsidRPr="00B74D2B">
        <w:t>3</w:t>
      </w:r>
      <w:r w:rsidRPr="00B74D2B">
        <w:tab/>
        <w:t xml:space="preserve">The State party considers that the </w:t>
      </w:r>
      <w:r w:rsidR="00C347BF" w:rsidRPr="00B74D2B">
        <w:t xml:space="preserve">author’s new claims </w:t>
      </w:r>
      <w:r w:rsidR="000A6A6E" w:rsidRPr="00B74D2B">
        <w:t xml:space="preserve">raised </w:t>
      </w:r>
      <w:r w:rsidR="00C347BF" w:rsidRPr="00B74D2B">
        <w:t xml:space="preserve">in </w:t>
      </w:r>
      <w:r w:rsidR="000A6A6E" w:rsidRPr="00B74D2B">
        <w:t xml:space="preserve">his </w:t>
      </w:r>
      <w:r w:rsidR="00C347BF" w:rsidRPr="00B74D2B">
        <w:t>submission dated 22 December 2011 are</w:t>
      </w:r>
      <w:r w:rsidRPr="00B74D2B">
        <w:t xml:space="preserve"> inadmissible as manifestly ill-founded and/or incompatible with the Covenant,</w:t>
      </w:r>
      <w:r w:rsidR="00A84077" w:rsidRPr="00B74D2B">
        <w:t xml:space="preserve"> because </w:t>
      </w:r>
      <w:r w:rsidR="00EF2DF1" w:rsidRPr="00B74D2B">
        <w:t>they seek to reopen</w:t>
      </w:r>
      <w:r w:rsidR="00A84077" w:rsidRPr="00B74D2B">
        <w:t xml:space="preserve"> specific factual findings of the New Zealand Court of Appeal.</w:t>
      </w:r>
      <w:r w:rsidR="00A84077" w:rsidRPr="00B74D2B">
        <w:rPr>
          <w:rStyle w:val="FootnoteReference"/>
        </w:rPr>
        <w:footnoteReference w:id="45"/>
      </w:r>
      <w:r w:rsidRPr="00B74D2B">
        <w:t xml:space="preserve"> </w:t>
      </w:r>
      <w:r w:rsidR="00C347BF" w:rsidRPr="00B74D2B">
        <w:t>The State party further considers that these claims are an abuse of the right of submission, as they were not raised in the communication only because the author had not thought to do so.</w:t>
      </w:r>
      <w:r w:rsidR="00C347BF" w:rsidRPr="00B74D2B">
        <w:rPr>
          <w:rStyle w:val="FootnoteReference"/>
        </w:rPr>
        <w:footnoteReference w:id="46"/>
      </w:r>
      <w:r w:rsidR="00310897" w:rsidRPr="00B74D2B">
        <w:t xml:space="preserve"> </w:t>
      </w:r>
    </w:p>
    <w:p w:rsidR="008F761B" w:rsidRPr="008F761B" w:rsidRDefault="00681895" w:rsidP="00681895">
      <w:pPr>
        <w:pStyle w:val="H23G"/>
        <w:rPr>
          <w:lang w:val="en-US"/>
        </w:rPr>
      </w:pPr>
      <w:r>
        <w:rPr>
          <w:lang w:val="en-US"/>
        </w:rPr>
        <w:tab/>
      </w:r>
      <w:r>
        <w:rPr>
          <w:lang w:val="en-US"/>
        </w:rPr>
        <w:tab/>
      </w:r>
      <w:r w:rsidR="008F761B" w:rsidRPr="008F761B">
        <w:rPr>
          <w:lang w:val="en-US"/>
        </w:rPr>
        <w:t xml:space="preserve">Further comments by the </w:t>
      </w:r>
      <w:r w:rsidR="00E83C07">
        <w:rPr>
          <w:lang w:val="en-US"/>
        </w:rPr>
        <w:t>author</w:t>
      </w:r>
    </w:p>
    <w:p w:rsidR="008F761B" w:rsidRPr="00B5440C" w:rsidRDefault="003E7C33" w:rsidP="009A3040">
      <w:pPr>
        <w:pStyle w:val="SingleTxtG"/>
        <w:rPr>
          <w:lang w:val="en-US"/>
        </w:rPr>
      </w:pPr>
      <w:r w:rsidRPr="002F7C4A">
        <w:t>8</w:t>
      </w:r>
      <w:r w:rsidR="00956CA2">
        <w:t>.</w:t>
      </w:r>
      <w:r w:rsidR="008F761B" w:rsidRPr="002F7C4A">
        <w:tab/>
        <w:t>By submission</w:t>
      </w:r>
      <w:r w:rsidR="00F0090D">
        <w:t>s</w:t>
      </w:r>
      <w:r w:rsidR="008F761B" w:rsidRPr="002F7C4A">
        <w:t xml:space="preserve"> dated </w:t>
      </w:r>
      <w:r w:rsidRPr="002F7C4A">
        <w:t>27 December 2012</w:t>
      </w:r>
      <w:r w:rsidR="00F0090D">
        <w:t xml:space="preserve"> and 22 March 2013</w:t>
      </w:r>
      <w:r w:rsidRPr="002F7C4A">
        <w:t>,</w:t>
      </w:r>
      <w:r w:rsidR="008F761B" w:rsidRPr="002F7C4A">
        <w:t xml:space="preserve"> </w:t>
      </w:r>
      <w:r w:rsidRPr="002F7C4A">
        <w:t>the author</w:t>
      </w:r>
      <w:r w:rsidR="008F761B" w:rsidRPr="002F7C4A">
        <w:t xml:space="preserve"> submitted </w:t>
      </w:r>
      <w:r w:rsidR="000C59CA" w:rsidRPr="002F7C4A">
        <w:t>new information concerning his application for a prerogative of mercy, which was denied by the Ministry of Justice on 20 December 2012.</w:t>
      </w:r>
      <w:r w:rsidR="006A04F5" w:rsidRPr="00B74D2B">
        <w:rPr>
          <w:rStyle w:val="FootnoteReference"/>
        </w:rPr>
        <w:footnoteReference w:id="47"/>
      </w:r>
      <w:r w:rsidR="000C59CA" w:rsidRPr="002F7C4A">
        <w:t xml:space="preserve"> </w:t>
      </w:r>
      <w:r w:rsidR="00CB1144" w:rsidRPr="002F7C4A">
        <w:t>The author asserts tha</w:t>
      </w:r>
      <w:r w:rsidR="002F7C4A" w:rsidRPr="002F7C4A">
        <w:t>t no reasons were provided for the decision, and that he is unable to obtain</w:t>
      </w:r>
      <w:r w:rsidR="002F7C4A">
        <w:t xml:space="preserve"> justice in New Zealand.</w:t>
      </w:r>
    </w:p>
    <w:p w:rsidR="008F761B" w:rsidRPr="008F761B" w:rsidRDefault="008F761B" w:rsidP="00681895">
      <w:pPr>
        <w:pStyle w:val="H23G"/>
      </w:pPr>
      <w:r w:rsidRPr="008F761B">
        <w:tab/>
      </w:r>
      <w:r w:rsidRPr="008F761B">
        <w:tab/>
        <w:t>Issues and proceedings before the Committee</w:t>
      </w:r>
    </w:p>
    <w:p w:rsidR="008F761B" w:rsidRPr="008F761B" w:rsidRDefault="008F761B" w:rsidP="00681895">
      <w:pPr>
        <w:pStyle w:val="H4G"/>
      </w:pPr>
      <w:r w:rsidRPr="008F761B">
        <w:tab/>
      </w:r>
      <w:r w:rsidRPr="008F761B">
        <w:tab/>
        <w:t>Consideration of admissibility</w:t>
      </w:r>
    </w:p>
    <w:p w:rsidR="008F761B" w:rsidRPr="00EA2C64" w:rsidRDefault="007918D7" w:rsidP="00EA2C64">
      <w:pPr>
        <w:pStyle w:val="SingleTxtG"/>
      </w:pPr>
      <w:r w:rsidRPr="00EA2C64">
        <w:t>9</w:t>
      </w:r>
      <w:r w:rsidR="008F761B" w:rsidRPr="00EA2C64">
        <w:t>.1</w:t>
      </w:r>
      <w:r w:rsidR="008F761B" w:rsidRPr="00EA2C64">
        <w:tab/>
        <w:t>Before considering any claim contained in a communication, the Human Rights Committee must</w:t>
      </w:r>
      <w:r w:rsidR="00704276">
        <w:t xml:space="preserve"> decide</w:t>
      </w:r>
      <w:r w:rsidR="008F761B" w:rsidRPr="00EA2C64">
        <w:t xml:space="preserve">, in accordance with rule 93 of its rules of procedure, whether </w:t>
      </w:r>
      <w:r w:rsidR="00704276">
        <w:t>the communication</w:t>
      </w:r>
      <w:r w:rsidR="008F761B" w:rsidRPr="00EA2C64">
        <w:t xml:space="preserve"> is admissible under the Optional Protocol to the Covenant.</w:t>
      </w:r>
      <w:r w:rsidR="008F761B" w:rsidRPr="00EA2C64">
        <w:tab/>
      </w:r>
    </w:p>
    <w:p w:rsidR="00AE356C" w:rsidRPr="00EA2C64" w:rsidRDefault="007918D7" w:rsidP="009957E3">
      <w:pPr>
        <w:pStyle w:val="SingleTxtG"/>
      </w:pPr>
      <w:r w:rsidRPr="00EA2C64">
        <w:t>9</w:t>
      </w:r>
      <w:r w:rsidR="00AE356C" w:rsidRPr="00EA2C64">
        <w:t>.2</w:t>
      </w:r>
      <w:r w:rsidR="00AE356C" w:rsidRPr="00EA2C64">
        <w:tab/>
        <w:t xml:space="preserve">The Committee notes, as required by </w:t>
      </w:r>
      <w:r w:rsidR="00AB74CB">
        <w:t>article </w:t>
      </w:r>
      <w:r w:rsidR="00AE356C" w:rsidRPr="00EA2C64">
        <w:t xml:space="preserve">5, </w:t>
      </w:r>
      <w:r w:rsidR="00AB74CB">
        <w:t>paragraph</w:t>
      </w:r>
      <w:r w:rsidR="009957E3">
        <w:t xml:space="preserve"> </w:t>
      </w:r>
      <w:r w:rsidR="00AE356C" w:rsidRPr="00EA2C64">
        <w:t>2</w:t>
      </w:r>
      <w:r w:rsidR="009957E3">
        <w:t> </w:t>
      </w:r>
      <w:r w:rsidR="00AE356C" w:rsidRPr="00EA2C64">
        <w:t>(a), of the Optional Protocol, that the same matter is not being examined under any other procedure of international investigation or settlement.</w:t>
      </w:r>
    </w:p>
    <w:p w:rsidR="008F761B" w:rsidRPr="00EA2C64" w:rsidRDefault="007918D7" w:rsidP="00704276">
      <w:pPr>
        <w:pStyle w:val="SingleTxtG"/>
      </w:pPr>
      <w:r w:rsidRPr="00EA2C64">
        <w:t>9</w:t>
      </w:r>
      <w:r w:rsidR="008F761B" w:rsidRPr="00EA2C64">
        <w:t>.</w:t>
      </w:r>
      <w:r w:rsidR="00671B27" w:rsidRPr="00EA2C64">
        <w:t>3</w:t>
      </w:r>
      <w:r w:rsidR="008F761B" w:rsidRPr="00EA2C64">
        <w:tab/>
      </w:r>
      <w:r w:rsidR="00DD205A" w:rsidRPr="00EA2C64">
        <w:t xml:space="preserve">The Committee notes </w:t>
      </w:r>
      <w:r w:rsidR="00B17430" w:rsidRPr="00EA2C64">
        <w:t>the author’s arguments</w:t>
      </w:r>
      <w:r w:rsidR="00DD205A" w:rsidRPr="00EA2C64">
        <w:t xml:space="preserve"> that the State party </w:t>
      </w:r>
      <w:r w:rsidR="00671B27" w:rsidRPr="00EA2C64">
        <w:t xml:space="preserve">violated his rights </w:t>
      </w:r>
      <w:r w:rsidR="00E31345" w:rsidRPr="00EA2C64">
        <w:t xml:space="preserve">under </w:t>
      </w:r>
      <w:r w:rsidR="00AB74CB">
        <w:t>article </w:t>
      </w:r>
      <w:r w:rsidR="007F3A5F" w:rsidRPr="00EA2C64">
        <w:t xml:space="preserve">14, </w:t>
      </w:r>
      <w:r w:rsidR="00AB74CB">
        <w:t>paragraphs </w:t>
      </w:r>
      <w:r w:rsidR="007F3A5F" w:rsidRPr="00EA2C64">
        <w:t>1,</w:t>
      </w:r>
      <w:r w:rsidR="00DD205A" w:rsidRPr="00EA2C64">
        <w:t xml:space="preserve"> </w:t>
      </w:r>
      <w:r w:rsidR="00E31345" w:rsidRPr="00EA2C64">
        <w:t>3</w:t>
      </w:r>
      <w:r w:rsidR="00DD205A" w:rsidRPr="00EA2C64">
        <w:t xml:space="preserve"> and 5</w:t>
      </w:r>
      <w:r w:rsidR="00E31345" w:rsidRPr="00EA2C64">
        <w:t>, of the Covenant</w:t>
      </w:r>
      <w:r w:rsidR="007F3A5F" w:rsidRPr="00EA2C64">
        <w:t xml:space="preserve"> </w:t>
      </w:r>
      <w:r w:rsidR="009957E3">
        <w:t>(</w:t>
      </w:r>
      <w:r w:rsidR="00704276">
        <w:t>a</w:t>
      </w:r>
      <w:r w:rsidR="009957E3">
        <w:t>) </w:t>
      </w:r>
      <w:r w:rsidR="008F761B" w:rsidRPr="00EA2C64">
        <w:t xml:space="preserve">because </w:t>
      </w:r>
      <w:r w:rsidR="00E31345" w:rsidRPr="00EA2C64">
        <w:t xml:space="preserve">the judge presiding over his retrial committed a number of procedural errors relating to the </w:t>
      </w:r>
      <w:r w:rsidR="001047A3" w:rsidRPr="004431F8">
        <w:rPr>
          <w:i/>
          <w:iCs/>
        </w:rPr>
        <w:t>Papadopoulos</w:t>
      </w:r>
      <w:r w:rsidR="001047A3" w:rsidRPr="00EA2C64">
        <w:t xml:space="preserve"> </w:t>
      </w:r>
      <w:r w:rsidR="00DD205A" w:rsidRPr="00EA2C64">
        <w:t xml:space="preserve">direction </w:t>
      </w:r>
      <w:r w:rsidR="001047A3" w:rsidRPr="00EA2C64">
        <w:t>she gave</w:t>
      </w:r>
      <w:r w:rsidR="004F6E70" w:rsidRPr="00EA2C64">
        <w:t xml:space="preserve"> to the jury;</w:t>
      </w:r>
      <w:r w:rsidR="00DD205A" w:rsidRPr="00EA2C64">
        <w:t xml:space="preserve"> </w:t>
      </w:r>
      <w:r w:rsidR="009957E3">
        <w:t>(</w:t>
      </w:r>
      <w:r w:rsidR="00704276">
        <w:t>b</w:t>
      </w:r>
      <w:r w:rsidR="009957E3">
        <w:t>) </w:t>
      </w:r>
      <w:r w:rsidR="00AD6AB9" w:rsidRPr="00EA2C64">
        <w:t>because the</w:t>
      </w:r>
      <w:r w:rsidR="001047A3" w:rsidRPr="00EA2C64">
        <w:t xml:space="preserve"> State party</w:t>
      </w:r>
      <w:r w:rsidR="00DF748C" w:rsidRPr="00EA2C64">
        <w:t>, by destroying</w:t>
      </w:r>
      <w:r w:rsidR="001047A3" w:rsidRPr="00EA2C64">
        <w:t xml:space="preserve"> the drug evidence that was</w:t>
      </w:r>
      <w:r w:rsidR="00AD6AB9" w:rsidRPr="00EA2C64">
        <w:t xml:space="preserve"> the basis for his conviction while he had a pending appeal of his conviction and sentence</w:t>
      </w:r>
      <w:r w:rsidR="00DF748C" w:rsidRPr="00EA2C64">
        <w:t>,</w:t>
      </w:r>
      <w:r w:rsidR="001047A3" w:rsidRPr="00EA2C64">
        <w:t xml:space="preserve"> denied him the possibility to have the evidence independently tested</w:t>
      </w:r>
      <w:r w:rsidR="004F6E70" w:rsidRPr="00EA2C64">
        <w:t>;</w:t>
      </w:r>
      <w:r w:rsidR="00AD6AB9" w:rsidRPr="00EA2C64">
        <w:t xml:space="preserve"> </w:t>
      </w:r>
      <w:r w:rsidR="009957E3">
        <w:t>(</w:t>
      </w:r>
      <w:r w:rsidR="005A7606">
        <w:t>c</w:t>
      </w:r>
      <w:r w:rsidR="009957E3">
        <w:t>) </w:t>
      </w:r>
      <w:r w:rsidR="00DD205A" w:rsidRPr="00EA2C64">
        <w:t>b</w:t>
      </w:r>
      <w:r w:rsidR="006313D2" w:rsidRPr="00EA2C64">
        <w:t>ecause the State party provided ineffectiv</w:t>
      </w:r>
      <w:r w:rsidR="001047A3" w:rsidRPr="00EA2C64">
        <w:t xml:space="preserve">e interpretation services to him </w:t>
      </w:r>
      <w:r w:rsidR="00DD205A" w:rsidRPr="00EA2C64">
        <w:t>during criminal proceedings</w:t>
      </w:r>
      <w:r w:rsidR="004F6E70" w:rsidRPr="00EA2C64">
        <w:t>;</w:t>
      </w:r>
      <w:r w:rsidR="00DD205A" w:rsidRPr="00EA2C64">
        <w:t xml:space="preserve"> and </w:t>
      </w:r>
      <w:r w:rsidR="009957E3">
        <w:t>(</w:t>
      </w:r>
      <w:r w:rsidR="00C67F81">
        <w:t>d</w:t>
      </w:r>
      <w:r w:rsidR="009957E3">
        <w:t>) </w:t>
      </w:r>
      <w:r w:rsidR="00DD205A" w:rsidRPr="00EA2C64">
        <w:t>because he was denied the right to appeal his conviction.</w:t>
      </w:r>
      <w:r w:rsidR="00B5440C" w:rsidRPr="00EA2C64">
        <w:t xml:space="preserve"> </w:t>
      </w:r>
      <w:r w:rsidR="00BF46B0" w:rsidRPr="00EA2C64">
        <w:t xml:space="preserve">The Committee takes the view that these allegations relate essentially to the evaluation of the facts and the evidence carried out by the </w:t>
      </w:r>
      <w:r w:rsidR="006446B9" w:rsidRPr="00EA2C64">
        <w:t xml:space="preserve">New Zealand </w:t>
      </w:r>
      <w:r w:rsidR="00BF46B0" w:rsidRPr="00EA2C64">
        <w:t>courts</w:t>
      </w:r>
      <w:r w:rsidR="00244F9D" w:rsidRPr="00EA2C64">
        <w:t>, and to the application of domestic legislation</w:t>
      </w:r>
      <w:r w:rsidR="00BF46B0" w:rsidRPr="00EA2C64">
        <w:t>.</w:t>
      </w:r>
      <w:r w:rsidR="00B74D2B">
        <w:t xml:space="preserve"> </w:t>
      </w:r>
      <w:r w:rsidR="00855107" w:rsidRPr="00EA2C64">
        <w:t>The Committee recalls that it has repeatedly held that it is not a final instance competent to re-evaluate findings of fact or the application of domestic legislation, unless it can be ascertained that the proceedings before the domestic courts were arbitrary or amounted to a denial of justice.</w:t>
      </w:r>
      <w:r w:rsidR="00855107" w:rsidRPr="00B74D2B">
        <w:rPr>
          <w:rStyle w:val="FootnoteReference"/>
        </w:rPr>
        <w:footnoteReference w:id="48"/>
      </w:r>
      <w:r w:rsidR="00855107" w:rsidRPr="00EA2C64">
        <w:t xml:space="preserve"> </w:t>
      </w:r>
      <w:r w:rsidR="00B14D16" w:rsidRPr="00EA2C64">
        <w:t xml:space="preserve">In the present case, the </w:t>
      </w:r>
      <w:r w:rsidR="00BA7ABA" w:rsidRPr="00EA2C64">
        <w:t xml:space="preserve">Committee considers </w:t>
      </w:r>
      <w:r w:rsidR="008F761B" w:rsidRPr="00EA2C64">
        <w:t xml:space="preserve">that the </w:t>
      </w:r>
      <w:r w:rsidR="00B5440C" w:rsidRPr="00EA2C64">
        <w:t>author has</w:t>
      </w:r>
      <w:r w:rsidR="008F761B" w:rsidRPr="00EA2C64">
        <w:t xml:space="preserve"> failed to substantiate, for purposes of admissibility, that the conduct of the </w:t>
      </w:r>
      <w:r w:rsidR="008F761B" w:rsidRPr="00EA2C64">
        <w:lastRenderedPageBreak/>
        <w:t xml:space="preserve">domestic courts amounted to arbitrariness or a denial of justice. Accordingly, these claims </w:t>
      </w:r>
      <w:r w:rsidR="003279D1" w:rsidRPr="00EA2C64">
        <w:t xml:space="preserve">are inadmissible under </w:t>
      </w:r>
      <w:r w:rsidR="00AB74CB">
        <w:t>article </w:t>
      </w:r>
      <w:r w:rsidR="003279D1" w:rsidRPr="00EA2C64">
        <w:t>2</w:t>
      </w:r>
      <w:r w:rsidR="008F761B" w:rsidRPr="00EA2C64">
        <w:t xml:space="preserve"> of the Optional Protocol. </w:t>
      </w:r>
    </w:p>
    <w:p w:rsidR="00C2022B" w:rsidRPr="00EA2C64" w:rsidRDefault="00C2022B" w:rsidP="00EA2C64">
      <w:pPr>
        <w:pStyle w:val="SingleTxtG"/>
      </w:pPr>
      <w:r w:rsidRPr="00EA2C64">
        <w:t>9.4</w:t>
      </w:r>
      <w:r w:rsidRPr="00EA2C64">
        <w:tab/>
      </w:r>
      <w:r w:rsidR="005749C7" w:rsidRPr="00EA2C64">
        <w:t xml:space="preserve">The Committee </w:t>
      </w:r>
      <w:r w:rsidR="004D4FE8" w:rsidRPr="00EA2C64">
        <w:t xml:space="preserve">further </w:t>
      </w:r>
      <w:r w:rsidR="005749C7" w:rsidRPr="00EA2C64">
        <w:t xml:space="preserve">notes that according to the author, the State party violated his right to an effective remedy under </w:t>
      </w:r>
      <w:r w:rsidR="00AB74CB">
        <w:t>article </w:t>
      </w:r>
      <w:r w:rsidR="005749C7" w:rsidRPr="00EA2C64">
        <w:t xml:space="preserve">2, </w:t>
      </w:r>
      <w:r w:rsidR="00AB74CB">
        <w:t>paragraph </w:t>
      </w:r>
      <w:r w:rsidR="005749C7" w:rsidRPr="00EA2C64">
        <w:t>3</w:t>
      </w:r>
      <w:r w:rsidR="006331CA">
        <w:t>,</w:t>
      </w:r>
      <w:r w:rsidR="005749C7" w:rsidRPr="00EA2C64">
        <w:t xml:space="preserve"> of the Covenant because the appellate courts denied him permission to interview the jurors in order to obtain evidence of the alleged bullying, and because he was denied the right to file an </w:t>
      </w:r>
      <w:r w:rsidR="004D4FE8" w:rsidRPr="00EA2C64">
        <w:t>appeal before the Supreme Court</w:t>
      </w:r>
      <w:r w:rsidR="00DD0FB3" w:rsidRPr="00EA2C64">
        <w:t xml:space="preserve">. </w:t>
      </w:r>
      <w:r w:rsidRPr="00EA2C64">
        <w:t>The Committee recalls</w:t>
      </w:r>
      <w:r w:rsidR="00AB1ABF" w:rsidRPr="00EA2C64">
        <w:t xml:space="preserve"> that </w:t>
      </w:r>
      <w:r w:rsidR="00AB74CB">
        <w:t>article </w:t>
      </w:r>
      <w:r w:rsidR="00AB1ABF" w:rsidRPr="00EA2C64">
        <w:t>2</w:t>
      </w:r>
      <w:r w:rsidR="003147B9" w:rsidRPr="00EA2C64">
        <w:t xml:space="preserve">, </w:t>
      </w:r>
      <w:r w:rsidR="00AB74CB">
        <w:t>paragraph </w:t>
      </w:r>
      <w:r w:rsidR="003147B9" w:rsidRPr="00EA2C64">
        <w:t>3,</w:t>
      </w:r>
      <w:r w:rsidR="00AB1ABF" w:rsidRPr="00EA2C64">
        <w:t xml:space="preserve"> of the Covenant can be invoked by individuals only in conjunction with other </w:t>
      </w:r>
      <w:r w:rsidR="00AB74CB">
        <w:t>articles</w:t>
      </w:r>
      <w:r w:rsidR="000B7353">
        <w:t xml:space="preserve"> </w:t>
      </w:r>
      <w:r w:rsidR="00AB1ABF" w:rsidRPr="00EA2C64">
        <w:t xml:space="preserve">of the Covenant, </w:t>
      </w:r>
      <w:r w:rsidR="006331CA">
        <w:t xml:space="preserve">and </w:t>
      </w:r>
      <w:r w:rsidR="003147B9" w:rsidRPr="00EA2C64">
        <w:t>cannot, in and of itself, give rise to a claim under the Optional Protocol.</w:t>
      </w:r>
      <w:r w:rsidR="00B74D2B">
        <w:t xml:space="preserve"> </w:t>
      </w:r>
      <w:r w:rsidR="003147B9" w:rsidRPr="00EA2C64">
        <w:t xml:space="preserve">The Committee therefore considers that the author’s contentions in this regard are inadmissible under </w:t>
      </w:r>
      <w:r w:rsidR="00AB74CB">
        <w:t>article </w:t>
      </w:r>
      <w:r w:rsidR="003147B9" w:rsidRPr="00EA2C64">
        <w:t>2 of the Optional Protocol.</w:t>
      </w:r>
      <w:r w:rsidR="003147B9" w:rsidRPr="00B74D2B">
        <w:rPr>
          <w:rStyle w:val="FootnoteReference"/>
        </w:rPr>
        <w:footnoteReference w:id="49"/>
      </w:r>
    </w:p>
    <w:p w:rsidR="005177CC" w:rsidRPr="00EA2C64" w:rsidRDefault="007918D7" w:rsidP="00EA2C64">
      <w:pPr>
        <w:pStyle w:val="SingleTxtG"/>
      </w:pPr>
      <w:r w:rsidRPr="00EA2C64">
        <w:t>9</w:t>
      </w:r>
      <w:r w:rsidR="00C245B1" w:rsidRPr="00EA2C64">
        <w:t>.</w:t>
      </w:r>
      <w:r w:rsidR="00C2022B" w:rsidRPr="00EA2C64">
        <w:t>5</w:t>
      </w:r>
      <w:r w:rsidR="00C245B1" w:rsidRPr="00EA2C64">
        <w:tab/>
        <w:t xml:space="preserve">In </w:t>
      </w:r>
      <w:r w:rsidR="006331CA">
        <w:t xml:space="preserve">the </w:t>
      </w:r>
      <w:r w:rsidR="00C245B1" w:rsidRPr="00EA2C64">
        <w:t xml:space="preserve">light of the foregoing, the Committee considers that </w:t>
      </w:r>
      <w:r w:rsidR="00E35510" w:rsidRPr="00EA2C64">
        <w:t xml:space="preserve">the communication is inadmissible </w:t>
      </w:r>
      <w:r w:rsidR="00C245B1" w:rsidRPr="00EA2C64">
        <w:t xml:space="preserve">under </w:t>
      </w:r>
      <w:r w:rsidR="00AB74CB">
        <w:t>article </w:t>
      </w:r>
      <w:r w:rsidR="00E35510" w:rsidRPr="00EA2C64">
        <w:t>2</w:t>
      </w:r>
      <w:r w:rsidR="00C245B1" w:rsidRPr="00EA2C64">
        <w:t xml:space="preserve"> of the Optional Protocol</w:t>
      </w:r>
      <w:r w:rsidR="00E35510" w:rsidRPr="00EA2C64">
        <w:t>.</w:t>
      </w:r>
    </w:p>
    <w:p w:rsidR="008F761B" w:rsidRPr="00EA2C64" w:rsidRDefault="007918D7" w:rsidP="00EA2C64">
      <w:pPr>
        <w:pStyle w:val="SingleTxtG"/>
      </w:pPr>
      <w:r w:rsidRPr="00EA2C64">
        <w:t>10</w:t>
      </w:r>
      <w:r w:rsidR="008F761B" w:rsidRPr="00EA2C64">
        <w:t>.</w:t>
      </w:r>
      <w:r w:rsidR="008F761B" w:rsidRPr="00EA2C64">
        <w:tab/>
        <w:t>The Human Rights Committee therefore decides:</w:t>
      </w:r>
    </w:p>
    <w:p w:rsidR="008F761B" w:rsidRPr="00EA2C64" w:rsidRDefault="008F761B" w:rsidP="009957E3">
      <w:pPr>
        <w:pStyle w:val="SingleTxtG"/>
        <w:ind w:firstLine="567"/>
      </w:pPr>
      <w:r w:rsidRPr="00EA2C64">
        <w:t>(a)</w:t>
      </w:r>
      <w:r w:rsidR="006B3ACA" w:rsidRPr="00EA2C64">
        <w:tab/>
      </w:r>
      <w:r w:rsidRPr="00EA2C64">
        <w:t xml:space="preserve">That the communication is inadmissible under </w:t>
      </w:r>
      <w:r w:rsidR="00AB74CB">
        <w:t>article </w:t>
      </w:r>
      <w:r w:rsidR="00E35510" w:rsidRPr="00EA2C64">
        <w:t>2</w:t>
      </w:r>
      <w:r w:rsidRPr="00EA2C64">
        <w:t xml:space="preserve"> of the Optional Protocol;</w:t>
      </w:r>
    </w:p>
    <w:p w:rsidR="00EA2C64" w:rsidRDefault="008F761B" w:rsidP="009957E3">
      <w:pPr>
        <w:pStyle w:val="SingleTxtG"/>
        <w:ind w:firstLine="567"/>
      </w:pPr>
      <w:r w:rsidRPr="00EA2C64">
        <w:t>(b)</w:t>
      </w:r>
      <w:r w:rsidR="006B3ACA" w:rsidRPr="00EA2C64">
        <w:tab/>
      </w:r>
      <w:r w:rsidRPr="00EA2C64">
        <w:t>That th</w:t>
      </w:r>
      <w:r w:rsidR="006331CA">
        <w:t>is</w:t>
      </w:r>
      <w:r w:rsidRPr="00EA2C64">
        <w:t xml:space="preserve"> decision </w:t>
      </w:r>
      <w:r w:rsidR="006331CA">
        <w:t xml:space="preserve">shall </w:t>
      </w:r>
      <w:r w:rsidRPr="00EA2C64">
        <w:t>be transmitted to the State party and to the author</w:t>
      </w:r>
      <w:r w:rsidR="00AF5F1C">
        <w:t xml:space="preserve"> of the communication</w:t>
      </w:r>
      <w:r w:rsidRPr="00EA2C64">
        <w:t>.</w:t>
      </w:r>
    </w:p>
    <w:p w:rsidR="001C6663" w:rsidRPr="008238B1" w:rsidRDefault="00EA2C64" w:rsidP="00EA2C64">
      <w:pPr>
        <w:pStyle w:val="SingleTxtG"/>
        <w:spacing w:before="240" w:after="0"/>
        <w:jc w:val="center"/>
        <w:rPr>
          <w:rFonts w:eastAsia="Times New Roman"/>
          <w:u w:val="single"/>
        </w:rPr>
      </w:pPr>
      <w:r>
        <w:rPr>
          <w:u w:val="single"/>
        </w:rPr>
        <w:tab/>
      </w:r>
      <w:r>
        <w:rPr>
          <w:u w:val="single"/>
        </w:rPr>
        <w:tab/>
      </w:r>
      <w:r>
        <w:rPr>
          <w:u w:val="single"/>
        </w:rPr>
        <w:tab/>
      </w:r>
    </w:p>
    <w:sectPr w:rsidR="001C6663" w:rsidRPr="008238B1" w:rsidSect="0078425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A1" w:rsidRDefault="007E64A1"/>
  </w:endnote>
  <w:endnote w:type="continuationSeparator" w:id="0">
    <w:p w:rsidR="007E64A1" w:rsidRDefault="007E64A1"/>
  </w:endnote>
  <w:endnote w:type="continuationNotice" w:id="1">
    <w:p w:rsidR="007E64A1" w:rsidRDefault="007E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A3" w:rsidRPr="00742D24" w:rsidRDefault="00E27CA3" w:rsidP="00AC234C">
    <w:pPr>
      <w:pStyle w:val="Footer"/>
      <w:tabs>
        <w:tab w:val="right" w:pos="9598"/>
      </w:tabs>
    </w:pPr>
    <w:r w:rsidRPr="00742D24">
      <w:rPr>
        <w:b/>
        <w:sz w:val="18"/>
      </w:rPr>
      <w:fldChar w:fldCharType="begin"/>
    </w:r>
    <w:r w:rsidRPr="00742D24">
      <w:rPr>
        <w:b/>
        <w:sz w:val="18"/>
      </w:rPr>
      <w:instrText xml:space="preserve"> PAGE  \* MERGEFORMAT </w:instrText>
    </w:r>
    <w:r w:rsidRPr="00742D24">
      <w:rPr>
        <w:b/>
        <w:sz w:val="18"/>
      </w:rPr>
      <w:fldChar w:fldCharType="separate"/>
    </w:r>
    <w:r w:rsidR="00663A56">
      <w:rPr>
        <w:b/>
        <w:noProof/>
        <w:sz w:val="18"/>
      </w:rPr>
      <w:t>2</w:t>
    </w:r>
    <w:r w:rsidRPr="00742D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A3" w:rsidRPr="00742D24" w:rsidRDefault="00E27CA3" w:rsidP="00AC234C">
    <w:pPr>
      <w:pStyle w:val="Footer"/>
      <w:tabs>
        <w:tab w:val="right" w:pos="9598"/>
      </w:tabs>
      <w:rPr>
        <w:b/>
        <w:sz w:val="18"/>
      </w:rPr>
    </w:pPr>
    <w:r>
      <w:tab/>
    </w:r>
    <w:r w:rsidRPr="00742D24">
      <w:rPr>
        <w:b/>
        <w:sz w:val="18"/>
      </w:rPr>
      <w:fldChar w:fldCharType="begin"/>
    </w:r>
    <w:r w:rsidRPr="00742D24">
      <w:rPr>
        <w:b/>
        <w:sz w:val="18"/>
      </w:rPr>
      <w:instrText xml:space="preserve"> PAGE  \* MERGEFORMAT </w:instrText>
    </w:r>
    <w:r w:rsidRPr="00742D24">
      <w:rPr>
        <w:b/>
        <w:sz w:val="18"/>
      </w:rPr>
      <w:fldChar w:fldCharType="separate"/>
    </w:r>
    <w:r w:rsidR="00663A56">
      <w:rPr>
        <w:b/>
        <w:noProof/>
        <w:sz w:val="18"/>
      </w:rPr>
      <w:t>3</w:t>
    </w:r>
    <w:r w:rsidRPr="00742D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A3" w:rsidRDefault="007E64A1">
    <w:pPr>
      <w:pStyle w:val="Foote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E27CA3">
      <w:rPr>
        <w:sz w:val="20"/>
      </w:rPr>
      <w:t>GE.14-</w:t>
    </w:r>
    <w:r w:rsidR="00A77404">
      <w:rPr>
        <w:sz w:val="20"/>
      </w:rPr>
      <w:t>22185</w:t>
    </w:r>
    <w:r w:rsidR="005A3232">
      <w:rPr>
        <w:sz w:val="20"/>
      </w:rPr>
      <w:t xml:space="preserve">  (E)</w:t>
    </w:r>
    <w:r w:rsidR="005A3232">
      <w:rPr>
        <w:sz w:val="20"/>
      </w:rPr>
      <w:br/>
    </w:r>
    <w:r w:rsidR="005A3232">
      <w:rPr>
        <w:rFonts w:ascii="C39T30Lfz" w:hAnsi="C39T30Lfz"/>
        <w:sz w:val="56"/>
      </w:rPr>
      <w:t></w:t>
    </w:r>
    <w:r w:rsidR="005A3232">
      <w:rPr>
        <w:rFonts w:ascii="C39T30Lfz" w:hAnsi="C39T30Lfz"/>
        <w:sz w:val="56"/>
      </w:rPr>
      <w:t></w:t>
    </w:r>
    <w:r w:rsidR="005A3232">
      <w:rPr>
        <w:rFonts w:ascii="C39T30Lfz" w:hAnsi="C39T30Lfz"/>
        <w:sz w:val="56"/>
      </w:rPr>
      <w:t></w:t>
    </w:r>
    <w:r w:rsidR="005A3232">
      <w:rPr>
        <w:rFonts w:ascii="C39T30Lfz" w:hAnsi="C39T30Lfz"/>
        <w:sz w:val="56"/>
      </w:rPr>
      <w:t></w:t>
    </w:r>
    <w:r w:rsidR="005A3232">
      <w:rPr>
        <w:rFonts w:ascii="C39T30Lfz" w:hAnsi="C39T30Lfz"/>
        <w:sz w:val="56"/>
      </w:rPr>
      <w:t></w:t>
    </w:r>
    <w:r w:rsidR="005A3232">
      <w:rPr>
        <w:rFonts w:ascii="C39T30Lfz" w:hAnsi="C39T30Lfz"/>
        <w:sz w:val="56"/>
      </w:rPr>
      <w:t></w:t>
    </w:r>
    <w:r w:rsidR="005A3232">
      <w:rPr>
        <w:rFonts w:ascii="C39T30Lfz" w:hAnsi="C39T30Lfz"/>
        <w:sz w:val="56"/>
      </w:rPr>
      <w:t></w:t>
    </w:r>
    <w:r w:rsidR="005A3232">
      <w:rPr>
        <w:rFonts w:ascii="C39T30Lfz" w:hAnsi="C39T30Lfz"/>
        <w:sz w:val="56"/>
      </w:rPr>
      <w:t></w:t>
    </w:r>
    <w:r w:rsidR="005A3232" w:rsidRPr="005A323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A1" w:rsidRPr="000B175B" w:rsidRDefault="007E64A1" w:rsidP="000B175B">
      <w:pPr>
        <w:tabs>
          <w:tab w:val="right" w:pos="2155"/>
        </w:tabs>
        <w:spacing w:after="80"/>
        <w:ind w:left="680"/>
        <w:rPr>
          <w:u w:val="single"/>
        </w:rPr>
      </w:pPr>
      <w:r>
        <w:rPr>
          <w:u w:val="single"/>
        </w:rPr>
        <w:tab/>
      </w:r>
    </w:p>
  </w:footnote>
  <w:footnote w:type="continuationSeparator" w:id="0">
    <w:p w:rsidR="007E64A1" w:rsidRPr="00FC68B7" w:rsidRDefault="007E64A1" w:rsidP="00FC68B7">
      <w:pPr>
        <w:tabs>
          <w:tab w:val="left" w:pos="2155"/>
        </w:tabs>
        <w:spacing w:after="80"/>
        <w:ind w:left="680"/>
        <w:rPr>
          <w:u w:val="single"/>
        </w:rPr>
      </w:pPr>
      <w:r>
        <w:rPr>
          <w:u w:val="single"/>
        </w:rPr>
        <w:tab/>
      </w:r>
    </w:p>
  </w:footnote>
  <w:footnote w:type="continuationNotice" w:id="1">
    <w:p w:rsidR="007E64A1" w:rsidRDefault="007E64A1"/>
  </w:footnote>
  <w:footnote w:id="2">
    <w:p w:rsidR="00E27CA3" w:rsidRPr="006B3ACA" w:rsidRDefault="00E27CA3" w:rsidP="00A466FF">
      <w:pPr>
        <w:pStyle w:val="FootnoteText"/>
      </w:pPr>
      <w:r>
        <w:rPr>
          <w:sz w:val="20"/>
        </w:rPr>
        <w:tab/>
      </w:r>
      <w:r w:rsidRPr="00EA2C64">
        <w:rPr>
          <w:rStyle w:val="FootnoteReference"/>
          <w:sz w:val="20"/>
          <w:vertAlign w:val="baseline"/>
        </w:rPr>
        <w:t>*</w:t>
      </w:r>
      <w:r>
        <w:rPr>
          <w:rStyle w:val="FootnoteReference"/>
        </w:rPr>
        <w:tab/>
      </w:r>
      <w:r>
        <w:rPr>
          <w:bCs/>
          <w:szCs w:val="18"/>
        </w:rPr>
        <w:t xml:space="preserve">The following members of the Committee participated in the </w:t>
      </w:r>
      <w:r w:rsidR="007076A9">
        <w:rPr>
          <w:bCs/>
          <w:szCs w:val="18"/>
        </w:rPr>
        <w:t>consideration</w:t>
      </w:r>
      <w:r>
        <w:rPr>
          <w:bCs/>
          <w:szCs w:val="18"/>
        </w:rPr>
        <w:t xml:space="preserve"> of the present communication: Yadh Ben Achour, Lazhari Bouzid, Christine Chanet, Ahmed Amin Fathalla, Cornelis Flinterman, Yuji Iwasawa, Walter Kälin, </w:t>
      </w:r>
      <w:r>
        <w:rPr>
          <w:bCs/>
          <w:szCs w:val="18"/>
          <w:lang w:val="en-US"/>
        </w:rPr>
        <w:t xml:space="preserve">Zonke Zanele Majodina, </w:t>
      </w:r>
      <w:r>
        <w:rPr>
          <w:bCs/>
          <w:szCs w:val="18"/>
        </w:rPr>
        <w:t xml:space="preserve">Gerald L. Neuman, Sir Nigel Rodley, Victor Manuel Rodríguez-Rescia, Fabián Omar Salvioli, Dheerujlall Seetulsingh, </w:t>
      </w:r>
      <w:r>
        <w:rPr>
          <w:bCs/>
          <w:szCs w:val="18"/>
          <w:lang w:val="en-US"/>
        </w:rPr>
        <w:t xml:space="preserve">Anja Seibert-Fohr, </w:t>
      </w:r>
      <w:r>
        <w:rPr>
          <w:bCs/>
          <w:szCs w:val="18"/>
        </w:rPr>
        <w:t>Yuval Shany, Konstantine Vardzelashvili, Margo Waterval and Andrei Paul Zlătescu.</w:t>
      </w:r>
      <w:r>
        <w:rPr>
          <w:bCs/>
          <w:lang w:val="en-US"/>
        </w:rPr>
        <w:tab/>
      </w:r>
    </w:p>
  </w:footnote>
  <w:footnote w:id="3">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Optional Protocol to the International Covenant on Civil and Political Rights entered into force for New Zealand on 26 August 1989.</w:t>
      </w:r>
    </w:p>
  </w:footnote>
  <w:footnote w:id="4">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provides a copy of the judg</w:t>
      </w:r>
      <w:r>
        <w:rPr>
          <w:szCs w:val="18"/>
        </w:rPr>
        <w:t>e</w:t>
      </w:r>
      <w:r w:rsidRPr="00EB582C">
        <w:rPr>
          <w:szCs w:val="18"/>
        </w:rPr>
        <w:t>ment rendered on his pretrial applications before the second trial at the High Court of New Zealand. (</w:t>
      </w:r>
      <w:r w:rsidRPr="00EB582C">
        <w:rPr>
          <w:i/>
          <w:szCs w:val="18"/>
        </w:rPr>
        <w:t>The Queen</w:t>
      </w:r>
      <w:r w:rsidRPr="00EB582C">
        <w:rPr>
          <w:szCs w:val="18"/>
        </w:rPr>
        <w:t xml:space="preserve"> </w:t>
      </w:r>
      <w:r w:rsidRPr="004431F8">
        <w:rPr>
          <w:iCs/>
          <w:szCs w:val="18"/>
        </w:rPr>
        <w:t>v.</w:t>
      </w:r>
      <w:r w:rsidRPr="00EB582C">
        <w:rPr>
          <w:szCs w:val="18"/>
        </w:rPr>
        <w:t xml:space="preserve"> </w:t>
      </w:r>
      <w:r w:rsidRPr="009A24D1">
        <w:rPr>
          <w:szCs w:val="18"/>
        </w:rPr>
        <w:t>[</w:t>
      </w:r>
      <w:r w:rsidRPr="009A24D1">
        <w:rPr>
          <w:i/>
          <w:szCs w:val="18"/>
        </w:rPr>
        <w:t>A.K.W.</w:t>
      </w:r>
      <w:r w:rsidRPr="009A24D1">
        <w:rPr>
          <w:iCs/>
          <w:szCs w:val="18"/>
        </w:rPr>
        <w:t>]</w:t>
      </w:r>
      <w:r w:rsidRPr="00EB582C">
        <w:rPr>
          <w:szCs w:val="18"/>
        </w:rPr>
        <w:t xml:space="preserve">, CRI 2005-004-15296 (16 </w:t>
      </w:r>
      <w:r w:rsidRPr="00C27FB3">
        <w:rPr>
          <w:szCs w:val="18"/>
        </w:rPr>
        <w:t>January</w:t>
      </w:r>
      <w:r w:rsidRPr="00EB582C">
        <w:rPr>
          <w:szCs w:val="18"/>
        </w:rPr>
        <w:t xml:space="preserve"> 2009)). The judg</w:t>
      </w:r>
      <w:r>
        <w:rPr>
          <w:szCs w:val="18"/>
        </w:rPr>
        <w:t>e</w:t>
      </w:r>
      <w:r w:rsidRPr="00EB582C">
        <w:rPr>
          <w:szCs w:val="18"/>
        </w:rPr>
        <w:t xml:space="preserve">ment states that the author was convicted in 2004 of five counts: two counts of importing methamphetamine into New Zealand, one count of supplying methamphetamine to a person or persons unknown, one count of possessing methamphetamine for the purposes of supply, and engaging in money laundering in a sum of not less than $150,000. </w:t>
      </w:r>
    </w:p>
  </w:footnote>
  <w:footnote w:id="5">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provides a copy of the sentencing judg</w:t>
      </w:r>
      <w:r>
        <w:rPr>
          <w:szCs w:val="18"/>
        </w:rPr>
        <w:t>e</w:t>
      </w:r>
      <w:r w:rsidRPr="00EB582C">
        <w:rPr>
          <w:szCs w:val="18"/>
        </w:rPr>
        <w:t>ment of the Hig</w:t>
      </w:r>
      <w:r>
        <w:rPr>
          <w:szCs w:val="18"/>
        </w:rPr>
        <w:t>h Court of New Zealand, dated 1 </w:t>
      </w:r>
      <w:r w:rsidRPr="00EB582C">
        <w:rPr>
          <w:szCs w:val="18"/>
        </w:rPr>
        <w:t>May 2009 (</w:t>
      </w:r>
      <w:r w:rsidRPr="00EB582C">
        <w:rPr>
          <w:i/>
          <w:szCs w:val="18"/>
        </w:rPr>
        <w:t xml:space="preserve">The Queen </w:t>
      </w:r>
      <w:r w:rsidRPr="004431F8">
        <w:rPr>
          <w:iCs/>
          <w:szCs w:val="18"/>
        </w:rPr>
        <w:t>v.</w:t>
      </w:r>
      <w:r w:rsidRPr="00EB582C">
        <w:rPr>
          <w:szCs w:val="18"/>
        </w:rPr>
        <w:t xml:space="preserve"> </w:t>
      </w:r>
      <w:r>
        <w:rPr>
          <w:szCs w:val="18"/>
        </w:rPr>
        <w:t>[</w:t>
      </w:r>
      <w:r w:rsidRPr="008821D1">
        <w:rPr>
          <w:i/>
          <w:szCs w:val="18"/>
        </w:rPr>
        <w:t>A.K.W.</w:t>
      </w:r>
      <w:r w:rsidRPr="008821D1">
        <w:rPr>
          <w:iCs/>
          <w:szCs w:val="18"/>
        </w:rPr>
        <w:t>]</w:t>
      </w:r>
      <w:r w:rsidRPr="00EB582C">
        <w:rPr>
          <w:szCs w:val="18"/>
        </w:rPr>
        <w:t xml:space="preserve">, CRI 2005-004-15296). </w:t>
      </w:r>
    </w:p>
  </w:footnote>
  <w:footnote w:id="6">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provides a copy of the judg</w:t>
      </w:r>
      <w:r>
        <w:rPr>
          <w:szCs w:val="18"/>
        </w:rPr>
        <w:t>e</w:t>
      </w:r>
      <w:r w:rsidRPr="00EB582C">
        <w:rPr>
          <w:szCs w:val="18"/>
        </w:rPr>
        <w:t xml:space="preserve">ment of the Supreme Court of New Zealand, </w:t>
      </w:r>
      <w:r>
        <w:rPr>
          <w:szCs w:val="18"/>
        </w:rPr>
        <w:t>[</w:t>
      </w:r>
      <w:r>
        <w:rPr>
          <w:i/>
          <w:iCs/>
          <w:szCs w:val="18"/>
        </w:rPr>
        <w:t>A.K.</w:t>
      </w:r>
      <w:r>
        <w:rPr>
          <w:i/>
          <w:szCs w:val="18"/>
        </w:rPr>
        <w:t>W.</w:t>
      </w:r>
      <w:r>
        <w:rPr>
          <w:iCs/>
          <w:szCs w:val="18"/>
        </w:rPr>
        <w:t>]</w:t>
      </w:r>
      <w:r w:rsidRPr="00EB582C">
        <w:rPr>
          <w:szCs w:val="18"/>
        </w:rPr>
        <w:t xml:space="preserve"> </w:t>
      </w:r>
      <w:r w:rsidRPr="004431F8">
        <w:rPr>
          <w:iCs/>
          <w:szCs w:val="18"/>
        </w:rPr>
        <w:t>v.</w:t>
      </w:r>
      <w:r w:rsidRPr="00EB582C">
        <w:rPr>
          <w:szCs w:val="18"/>
        </w:rPr>
        <w:t xml:space="preserve"> </w:t>
      </w:r>
      <w:r w:rsidRPr="00EB582C">
        <w:rPr>
          <w:i/>
          <w:szCs w:val="18"/>
        </w:rPr>
        <w:t>The</w:t>
      </w:r>
      <w:r w:rsidRPr="00EB582C">
        <w:rPr>
          <w:szCs w:val="18"/>
        </w:rPr>
        <w:t xml:space="preserve"> </w:t>
      </w:r>
      <w:r w:rsidRPr="00EB582C">
        <w:rPr>
          <w:i/>
          <w:szCs w:val="18"/>
        </w:rPr>
        <w:t>Queen</w:t>
      </w:r>
      <w:r w:rsidRPr="00EB582C">
        <w:rPr>
          <w:szCs w:val="18"/>
        </w:rPr>
        <w:t>, SC 53/2007 [2008] NZSC 29 (14 April 2008), in which the Supreme Court allowed the author’s appeal and ordered a retrial. The Supreme Court based its decision on the finding that there did not exist “exceptional circumstances” that justified the trial court’s use of a jury with a reduced number of 10 members.</w:t>
      </w:r>
    </w:p>
  </w:footnote>
  <w:footnote w:id="7">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cites a pretrial hearing transcript in which the police officer stated that he gave the order to destroy the drugs without informing the author or his lawyer about th</w:t>
      </w:r>
      <w:r>
        <w:rPr>
          <w:szCs w:val="18"/>
        </w:rPr>
        <w:t>at</w:t>
      </w:r>
      <w:r w:rsidRPr="00EB582C">
        <w:rPr>
          <w:szCs w:val="18"/>
        </w:rPr>
        <w:t xml:space="preserve"> decision. The officer stated that </w:t>
      </w:r>
      <w:r>
        <w:rPr>
          <w:szCs w:val="18"/>
        </w:rPr>
        <w:t xml:space="preserve">the </w:t>
      </w:r>
      <w:r w:rsidRPr="00EB582C">
        <w:rPr>
          <w:szCs w:val="18"/>
        </w:rPr>
        <w:t xml:space="preserve">destruction of drugs by law enforcement officials is a common practice and is done on a case-by-case basis. The officer stated that he </w:t>
      </w:r>
      <w:r>
        <w:rPr>
          <w:szCs w:val="18"/>
        </w:rPr>
        <w:t xml:space="preserve">had </w:t>
      </w:r>
      <w:r w:rsidRPr="00EB582C">
        <w:rPr>
          <w:szCs w:val="18"/>
        </w:rPr>
        <w:t xml:space="preserve">made the decision to destroy the drugs for security reasons and in </w:t>
      </w:r>
      <w:r>
        <w:rPr>
          <w:szCs w:val="18"/>
        </w:rPr>
        <w:t xml:space="preserve">the </w:t>
      </w:r>
      <w:r w:rsidRPr="00EB582C">
        <w:rPr>
          <w:szCs w:val="18"/>
        </w:rPr>
        <w:t>light of the fact that the drugs had been fully analysed already; that a statement of the analysis had been disclosed to defence counsel; that there had been no request for further analysis during the trial; and that there had been no dispute as to the analysis. The author also provides a copy of the judg</w:t>
      </w:r>
      <w:r>
        <w:rPr>
          <w:szCs w:val="18"/>
        </w:rPr>
        <w:t>e</w:t>
      </w:r>
      <w:r w:rsidRPr="00EB582C">
        <w:rPr>
          <w:szCs w:val="18"/>
        </w:rPr>
        <w:t xml:space="preserve">ment rendered on his pretrial applications before the second trial at the High Court of New Zealand, </w:t>
      </w:r>
      <w:r w:rsidRPr="00EB582C">
        <w:rPr>
          <w:i/>
          <w:szCs w:val="18"/>
        </w:rPr>
        <w:t>The Queen</w:t>
      </w:r>
      <w:r w:rsidRPr="00EB582C">
        <w:rPr>
          <w:szCs w:val="18"/>
        </w:rPr>
        <w:t xml:space="preserve"> </w:t>
      </w:r>
      <w:r w:rsidRPr="004431F8">
        <w:rPr>
          <w:iCs/>
          <w:szCs w:val="18"/>
        </w:rPr>
        <w:t>v.</w:t>
      </w:r>
      <w:r w:rsidRPr="00EB582C">
        <w:rPr>
          <w:szCs w:val="18"/>
        </w:rPr>
        <w:t xml:space="preserve"> </w:t>
      </w:r>
      <w:r>
        <w:rPr>
          <w:szCs w:val="18"/>
        </w:rPr>
        <w:t>[</w:t>
      </w:r>
      <w:r>
        <w:rPr>
          <w:i/>
          <w:szCs w:val="18"/>
        </w:rPr>
        <w:t>A.K.W.</w:t>
      </w:r>
      <w:r>
        <w:rPr>
          <w:iCs/>
          <w:szCs w:val="18"/>
        </w:rPr>
        <w:t>]</w:t>
      </w:r>
      <w:r w:rsidRPr="00EB582C">
        <w:rPr>
          <w:szCs w:val="18"/>
        </w:rPr>
        <w:t xml:space="preserve">, CRI 2005-004-15296 (16 </w:t>
      </w:r>
      <w:r w:rsidRPr="008821D1">
        <w:rPr>
          <w:szCs w:val="18"/>
        </w:rPr>
        <w:t>January</w:t>
      </w:r>
      <w:r w:rsidRPr="00EB582C">
        <w:rPr>
          <w:szCs w:val="18"/>
        </w:rPr>
        <w:t xml:space="preserve"> 2009); this judg</w:t>
      </w:r>
      <w:r>
        <w:rPr>
          <w:szCs w:val="18"/>
        </w:rPr>
        <w:t>e</w:t>
      </w:r>
      <w:r w:rsidRPr="00EB582C">
        <w:rPr>
          <w:szCs w:val="18"/>
        </w:rPr>
        <w:t xml:space="preserve">ment denied the author’s application for independent analysis of the drugs because the drugs had been destroyed. </w:t>
      </w:r>
    </w:p>
  </w:footnote>
  <w:footnote w:id="8">
    <w:p w:rsidR="00E27CA3" w:rsidRPr="00EB582C" w:rsidRDefault="00E27CA3" w:rsidP="0060778D">
      <w:pPr>
        <w:pStyle w:val="FootnoteText"/>
        <w:rPr>
          <w:szCs w:val="18"/>
        </w:rPr>
      </w:pPr>
      <w:r>
        <w:rPr>
          <w:szCs w:val="18"/>
        </w:rPr>
        <w:tab/>
      </w:r>
      <w:r w:rsidRPr="00B74D2B">
        <w:rPr>
          <w:rStyle w:val="FootnoteReference"/>
        </w:rPr>
        <w:footnoteRef/>
      </w:r>
      <w:r>
        <w:rPr>
          <w:szCs w:val="18"/>
        </w:rPr>
        <w:tab/>
      </w:r>
      <w:r w:rsidRPr="00EB582C">
        <w:rPr>
          <w:szCs w:val="18"/>
        </w:rPr>
        <w:t xml:space="preserve">The author provides a copy of the text of the judge’s </w:t>
      </w:r>
      <w:r w:rsidRPr="00EB582C">
        <w:rPr>
          <w:i/>
          <w:szCs w:val="18"/>
        </w:rPr>
        <w:t>Papadopoulos</w:t>
      </w:r>
      <w:r w:rsidRPr="00EB582C">
        <w:rPr>
          <w:szCs w:val="18"/>
        </w:rPr>
        <w:t xml:space="preserve"> direction, and a partial copy of the judge’s reasons for giving the direction (“Reasons of Potter J Relating to </w:t>
      </w:r>
      <w:r w:rsidRPr="00EB582C">
        <w:rPr>
          <w:i/>
          <w:szCs w:val="18"/>
        </w:rPr>
        <w:t>Papadopoulos</w:t>
      </w:r>
      <w:r w:rsidRPr="00EB582C">
        <w:rPr>
          <w:szCs w:val="18"/>
        </w:rPr>
        <w:t xml:space="preserve"> direction”, 12 March 2009). The text of the direction states in part</w:t>
      </w:r>
      <w:r>
        <w:rPr>
          <w:szCs w:val="18"/>
        </w:rPr>
        <w:t>:</w:t>
      </w:r>
      <w:r w:rsidRPr="00EB582C">
        <w:rPr>
          <w:szCs w:val="18"/>
        </w:rPr>
        <w:t xml:space="preserve"> “Do remember that a view honestly held can equally honestly be changed, so within the oath there is scope for discussion, argument and for give and take. That is often the way in fact in which the end unanimous agreement is reached. But of course no one should be false to his or her oath or affirmation. No one should give in merely for the sake of agreement or to avoid inconvenience. If in the end you honestly cannot agree after trying to look at the case calmly and objectively and weighing carefully the opinions of others, you must say so.” The text of the “Reasons” states that the judge gave the direction in </w:t>
      </w:r>
      <w:r>
        <w:rPr>
          <w:szCs w:val="18"/>
        </w:rPr>
        <w:t xml:space="preserve">the </w:t>
      </w:r>
      <w:r w:rsidRPr="00EB582C">
        <w:rPr>
          <w:szCs w:val="18"/>
        </w:rPr>
        <w:t xml:space="preserve">light of </w:t>
      </w:r>
      <w:r>
        <w:rPr>
          <w:szCs w:val="18"/>
        </w:rPr>
        <w:t>a number of</w:t>
      </w:r>
      <w:r w:rsidRPr="00EB582C">
        <w:rPr>
          <w:szCs w:val="18"/>
        </w:rPr>
        <w:t xml:space="preserve"> circumstances</w:t>
      </w:r>
      <w:r>
        <w:rPr>
          <w:szCs w:val="18"/>
        </w:rPr>
        <w:t>, including, among others, the following</w:t>
      </w:r>
      <w:r w:rsidRPr="00EB582C">
        <w:rPr>
          <w:szCs w:val="18"/>
        </w:rPr>
        <w:t>: the jury had been in deliberation for a total of about seven hours, including a lunch break and two cigarette breaks; the jury had not been sequestered overnight; the jury was required to deliver verdicts on five charges covering two alleged importations of methamphetamine and a charge of money laundering; the prosecution’s case was circumstantial and extremely detailed, featuring 19 witnesses; the jury w</w:t>
      </w:r>
      <w:r>
        <w:rPr>
          <w:szCs w:val="18"/>
        </w:rPr>
        <w:t>as</w:t>
      </w:r>
      <w:r w:rsidRPr="00EB582C">
        <w:rPr>
          <w:szCs w:val="18"/>
        </w:rPr>
        <w:t xml:space="preserve"> required to consider a </w:t>
      </w:r>
      <w:r>
        <w:rPr>
          <w:szCs w:val="18"/>
        </w:rPr>
        <w:t>s</w:t>
      </w:r>
      <w:r w:rsidRPr="00EB582C">
        <w:rPr>
          <w:szCs w:val="18"/>
        </w:rPr>
        <w:t xml:space="preserve">ource and </w:t>
      </w:r>
      <w:r>
        <w:rPr>
          <w:szCs w:val="18"/>
        </w:rPr>
        <w:t>d</w:t>
      </w:r>
      <w:r w:rsidRPr="00EB582C">
        <w:rPr>
          <w:szCs w:val="18"/>
        </w:rPr>
        <w:t>isposition statement assessing unexplained income and financial data;</w:t>
      </w:r>
      <w:r>
        <w:rPr>
          <w:szCs w:val="18"/>
        </w:rPr>
        <w:t xml:space="preserve"> and</w:t>
      </w:r>
      <w:r w:rsidRPr="00EB582C">
        <w:rPr>
          <w:szCs w:val="18"/>
        </w:rPr>
        <w:t xml:space="preserve"> there were extensive documentary exhibits.</w:t>
      </w:r>
    </w:p>
  </w:footnote>
  <w:footnote w:id="9">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provides an affidavit dated 30 March 2009 from Sai Law, the court interpreter during his retrial, who states that “[a] moment after the guilty verdicts were read, [the author’s] mother began to break into a wail which could be heard throughout the courtroom. Right after that, I saw the jury forewoman, a Caucasian woman in her forties, begin to cry and dab at her eyes. She was visibly distressed.”</w:t>
      </w:r>
    </w:p>
  </w:footnote>
  <w:footnote w:id="10">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 xml:space="preserve">The author cites </w:t>
      </w:r>
      <w:r w:rsidRPr="004431F8">
        <w:rPr>
          <w:szCs w:val="18"/>
        </w:rPr>
        <w:t>[</w:t>
      </w:r>
      <w:r w:rsidRPr="004431F8">
        <w:rPr>
          <w:i/>
          <w:iCs/>
          <w:szCs w:val="18"/>
        </w:rPr>
        <w:t>A.K.</w:t>
      </w:r>
      <w:r w:rsidRPr="00077DE0">
        <w:rPr>
          <w:i/>
          <w:szCs w:val="18"/>
        </w:rPr>
        <w:t>W.</w:t>
      </w:r>
      <w:r w:rsidRPr="004431F8">
        <w:rPr>
          <w:iCs/>
          <w:szCs w:val="18"/>
        </w:rPr>
        <w:t>]</w:t>
      </w:r>
      <w:r w:rsidRPr="00077DE0">
        <w:rPr>
          <w:szCs w:val="18"/>
        </w:rPr>
        <w:t xml:space="preserve"> </w:t>
      </w:r>
      <w:r w:rsidRPr="004431F8">
        <w:rPr>
          <w:iCs/>
          <w:szCs w:val="18"/>
        </w:rPr>
        <w:t xml:space="preserve">v. </w:t>
      </w:r>
      <w:r w:rsidRPr="004431F8">
        <w:rPr>
          <w:i/>
          <w:szCs w:val="18"/>
        </w:rPr>
        <w:t>Registrar of the Auckland High Court</w:t>
      </w:r>
      <w:r w:rsidRPr="004431F8">
        <w:rPr>
          <w:szCs w:val="18"/>
        </w:rPr>
        <w:t xml:space="preserve"> [2008] 1 NZLR 849 (HC), para. 72. (“</w:t>
      </w:r>
      <w:r w:rsidRPr="00EB582C">
        <w:rPr>
          <w:szCs w:val="18"/>
        </w:rPr>
        <w:t>The application for access to the criminal file on the applicant’s trial for the purpose of identifying the jurors who sat on his trial so they can be approached to explore the question of bias, due to the circumstances surrounding the discharge of juror X, is denied.”)</w:t>
      </w:r>
    </w:p>
  </w:footnote>
  <w:footnote w:id="11">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provides a copy of the judg</w:t>
      </w:r>
      <w:r>
        <w:rPr>
          <w:szCs w:val="18"/>
        </w:rPr>
        <w:t>e</w:t>
      </w:r>
      <w:r w:rsidRPr="00EB582C">
        <w:rPr>
          <w:szCs w:val="18"/>
        </w:rPr>
        <w:t xml:space="preserve">ment dismissing his appeal against his conviction and sentence (Court of Appeal of New Zealand, </w:t>
      </w:r>
      <w:r w:rsidRPr="00EB582C">
        <w:rPr>
          <w:i/>
          <w:szCs w:val="18"/>
        </w:rPr>
        <w:t xml:space="preserve">The Queen </w:t>
      </w:r>
      <w:r w:rsidRPr="004431F8">
        <w:rPr>
          <w:iCs/>
          <w:szCs w:val="18"/>
        </w:rPr>
        <w:t>v.</w:t>
      </w:r>
      <w:r w:rsidRPr="00EB582C">
        <w:rPr>
          <w:i/>
          <w:szCs w:val="18"/>
        </w:rPr>
        <w:t xml:space="preserve"> </w:t>
      </w:r>
      <w:r>
        <w:rPr>
          <w:iCs/>
          <w:szCs w:val="18"/>
        </w:rPr>
        <w:t>[</w:t>
      </w:r>
      <w:r>
        <w:rPr>
          <w:i/>
          <w:szCs w:val="18"/>
        </w:rPr>
        <w:t>A.K.W.</w:t>
      </w:r>
      <w:r>
        <w:rPr>
          <w:iCs/>
          <w:szCs w:val="18"/>
        </w:rPr>
        <w:t>]</w:t>
      </w:r>
      <w:r w:rsidRPr="00EB582C">
        <w:rPr>
          <w:szCs w:val="18"/>
        </w:rPr>
        <w:t>, CA190/2009 [2009] NZCA 440 (28 September 2009)). The appeal related to one charge of importing methamphetamine and another charge of possessing it for supply.</w:t>
      </w:r>
    </w:p>
  </w:footnote>
  <w:footnote w:id="12">
    <w:p w:rsidR="00E27CA3" w:rsidRPr="00EB582C" w:rsidRDefault="00E27CA3" w:rsidP="003B197E">
      <w:pPr>
        <w:pStyle w:val="FootnoteText"/>
        <w:rPr>
          <w:szCs w:val="18"/>
        </w:rPr>
      </w:pPr>
      <w:r>
        <w:rPr>
          <w:szCs w:val="18"/>
        </w:rPr>
        <w:tab/>
      </w:r>
      <w:r w:rsidRPr="00B74D2B">
        <w:rPr>
          <w:rStyle w:val="FootnoteReference"/>
        </w:rPr>
        <w:footnoteRef/>
      </w:r>
      <w:r>
        <w:rPr>
          <w:szCs w:val="18"/>
        </w:rPr>
        <w:tab/>
      </w:r>
      <w:r w:rsidRPr="00EB582C">
        <w:rPr>
          <w:szCs w:val="18"/>
        </w:rPr>
        <w:t xml:space="preserve">On this point, the </w:t>
      </w:r>
      <w:r>
        <w:rPr>
          <w:szCs w:val="18"/>
        </w:rPr>
        <w:t>C</w:t>
      </w:r>
      <w:r w:rsidRPr="00EB582C">
        <w:rPr>
          <w:szCs w:val="18"/>
        </w:rPr>
        <w:t xml:space="preserve">ourt cited </w:t>
      </w:r>
      <w:r w:rsidRPr="00077DE0">
        <w:rPr>
          <w:i/>
          <w:szCs w:val="18"/>
        </w:rPr>
        <w:t>Hookway</w:t>
      </w:r>
      <w:r w:rsidRPr="00077DE0">
        <w:rPr>
          <w:szCs w:val="18"/>
        </w:rPr>
        <w:t xml:space="preserve"> </w:t>
      </w:r>
      <w:r w:rsidRPr="004431F8">
        <w:rPr>
          <w:szCs w:val="18"/>
        </w:rPr>
        <w:t>v.</w:t>
      </w:r>
      <w:r w:rsidRPr="00077DE0">
        <w:rPr>
          <w:i/>
          <w:szCs w:val="18"/>
        </w:rPr>
        <w:t xml:space="preserve"> </w:t>
      </w:r>
      <w:r w:rsidRPr="004431F8">
        <w:rPr>
          <w:i/>
          <w:szCs w:val="18"/>
        </w:rPr>
        <w:t>The Queen</w:t>
      </w:r>
      <w:r w:rsidRPr="00EB582C">
        <w:rPr>
          <w:szCs w:val="18"/>
        </w:rPr>
        <w:t xml:space="preserve"> [2007] NZCA 567 and stated that the judge should have given a </w:t>
      </w:r>
      <w:r w:rsidRPr="00EB582C">
        <w:rPr>
          <w:i/>
          <w:szCs w:val="18"/>
        </w:rPr>
        <w:t>Papadopoulos</w:t>
      </w:r>
      <w:r w:rsidRPr="00EB582C">
        <w:rPr>
          <w:szCs w:val="18"/>
        </w:rPr>
        <w:t xml:space="preserve"> direction for the jury to continue deliberating only if she was satisfied that there was no risk of an unsafe verdict in the circumstances.</w:t>
      </w:r>
    </w:p>
  </w:footnote>
  <w:footnote w:id="13">
    <w:p w:rsidR="00E27CA3" w:rsidRPr="00EB582C" w:rsidRDefault="00E27CA3" w:rsidP="005D5355">
      <w:pPr>
        <w:pStyle w:val="FootnoteText"/>
        <w:rPr>
          <w:szCs w:val="18"/>
        </w:rPr>
      </w:pPr>
      <w:r>
        <w:rPr>
          <w:szCs w:val="18"/>
        </w:rPr>
        <w:tab/>
      </w:r>
      <w:r w:rsidRPr="00B74D2B">
        <w:rPr>
          <w:rStyle w:val="FootnoteReference"/>
        </w:rPr>
        <w:footnoteRef/>
      </w:r>
      <w:r>
        <w:rPr>
          <w:szCs w:val="18"/>
        </w:rPr>
        <w:tab/>
      </w:r>
      <w:r w:rsidRPr="00EB582C">
        <w:rPr>
          <w:szCs w:val="18"/>
        </w:rPr>
        <w:t xml:space="preserve">The </w:t>
      </w:r>
      <w:r>
        <w:rPr>
          <w:szCs w:val="18"/>
        </w:rPr>
        <w:t>C</w:t>
      </w:r>
      <w:r w:rsidRPr="00EB582C">
        <w:rPr>
          <w:szCs w:val="18"/>
        </w:rPr>
        <w:t>ourt based this finding on the judge’s reasons stated in</w:t>
      </w:r>
      <w:r>
        <w:rPr>
          <w:szCs w:val="18"/>
        </w:rPr>
        <w:t xml:space="preserve"> paragraph 14 of</w:t>
      </w:r>
      <w:r w:rsidRPr="00EB582C">
        <w:rPr>
          <w:szCs w:val="18"/>
        </w:rPr>
        <w:t xml:space="preserve"> the decision of 12 March. The </w:t>
      </w:r>
      <w:r>
        <w:rPr>
          <w:szCs w:val="18"/>
        </w:rPr>
        <w:t xml:space="preserve">reasons given by the </w:t>
      </w:r>
      <w:r w:rsidRPr="00EB582C">
        <w:rPr>
          <w:szCs w:val="18"/>
        </w:rPr>
        <w:t xml:space="preserve">judge </w:t>
      </w:r>
      <w:r>
        <w:rPr>
          <w:szCs w:val="18"/>
        </w:rPr>
        <w:t>were the following:</w:t>
      </w:r>
      <w:r w:rsidRPr="00EB582C">
        <w:rPr>
          <w:szCs w:val="18"/>
        </w:rPr>
        <w:t xml:space="preserve"> the jury had been deliberating for seven hours but that was not a long period given the number of charges, the circumstances and extremely detailed nature of the Crown case, which included many documents, and the need to consider a source and dispositions statement which assessed the appellant’s unexplained income over a period of six months; the jury had b</w:t>
      </w:r>
      <w:r>
        <w:rPr>
          <w:szCs w:val="18"/>
        </w:rPr>
        <w:t>egun its deliberations at 12.45 </w:t>
      </w:r>
      <w:r w:rsidRPr="00EB582C">
        <w:rPr>
          <w:szCs w:val="18"/>
        </w:rPr>
        <w:t xml:space="preserve">p.m. on 10 March and </w:t>
      </w:r>
      <w:r>
        <w:rPr>
          <w:szCs w:val="18"/>
        </w:rPr>
        <w:t>had been</w:t>
      </w:r>
      <w:r w:rsidRPr="00EB582C">
        <w:rPr>
          <w:szCs w:val="18"/>
        </w:rPr>
        <w:t xml:space="preserve"> sent home for the evening at 4</w:t>
      </w:r>
      <w:r>
        <w:rPr>
          <w:szCs w:val="18"/>
        </w:rPr>
        <w:t>.</w:t>
      </w:r>
      <w:r w:rsidRPr="00EB582C">
        <w:rPr>
          <w:szCs w:val="18"/>
        </w:rPr>
        <w:t xml:space="preserve">50 p.m. after a lunch break and two cigarette breaks; the first communication from the jury </w:t>
      </w:r>
      <w:r>
        <w:rPr>
          <w:szCs w:val="18"/>
        </w:rPr>
        <w:t>had been</w:t>
      </w:r>
      <w:r w:rsidRPr="00EB582C">
        <w:rPr>
          <w:szCs w:val="18"/>
        </w:rPr>
        <w:t xml:space="preserve"> conveyed after just three hours of deliberations following their return at about 10 a.m. on 11 March; there had been no previous indication of problems with the jury; and finality was desirable because it was a retrial. (Court of Appeal of New Zealand, </w:t>
      </w:r>
      <w:r w:rsidRPr="00EB582C">
        <w:rPr>
          <w:i/>
          <w:szCs w:val="18"/>
        </w:rPr>
        <w:t xml:space="preserve">The Queen </w:t>
      </w:r>
      <w:r w:rsidRPr="004431F8">
        <w:rPr>
          <w:iCs/>
          <w:szCs w:val="18"/>
        </w:rPr>
        <w:t>v.</w:t>
      </w:r>
      <w:r w:rsidRPr="00EB582C">
        <w:rPr>
          <w:i/>
          <w:szCs w:val="18"/>
        </w:rPr>
        <w:t xml:space="preserve"> </w:t>
      </w:r>
      <w:r>
        <w:rPr>
          <w:iCs/>
          <w:szCs w:val="18"/>
        </w:rPr>
        <w:t>[</w:t>
      </w:r>
      <w:r>
        <w:rPr>
          <w:i/>
          <w:szCs w:val="18"/>
        </w:rPr>
        <w:t>A.K.W.</w:t>
      </w:r>
      <w:r>
        <w:rPr>
          <w:iCs/>
          <w:szCs w:val="18"/>
        </w:rPr>
        <w:t>]</w:t>
      </w:r>
      <w:r w:rsidRPr="00EB582C">
        <w:rPr>
          <w:szCs w:val="18"/>
        </w:rPr>
        <w:t>, CA190/2009 [2009] NZCA 440 (28 September 2009)).</w:t>
      </w:r>
    </w:p>
  </w:footnote>
  <w:footnote w:id="14">
    <w:p w:rsidR="00E27CA3" w:rsidRPr="00EB582C" w:rsidRDefault="00E27CA3" w:rsidP="005D5355">
      <w:pPr>
        <w:pStyle w:val="FootnoteText"/>
        <w:rPr>
          <w:szCs w:val="18"/>
        </w:rPr>
      </w:pPr>
      <w:r>
        <w:rPr>
          <w:szCs w:val="18"/>
        </w:rPr>
        <w:tab/>
      </w:r>
      <w:r w:rsidRPr="00B74D2B">
        <w:rPr>
          <w:rStyle w:val="FootnoteReference"/>
        </w:rPr>
        <w:footnoteRef/>
      </w:r>
      <w:r>
        <w:rPr>
          <w:szCs w:val="18"/>
        </w:rPr>
        <w:tab/>
      </w:r>
      <w:r w:rsidRPr="00EB582C">
        <w:rPr>
          <w:szCs w:val="18"/>
        </w:rPr>
        <w:t xml:space="preserve">The </w:t>
      </w:r>
      <w:r>
        <w:rPr>
          <w:szCs w:val="18"/>
        </w:rPr>
        <w:t>C</w:t>
      </w:r>
      <w:r w:rsidRPr="00EB582C">
        <w:rPr>
          <w:szCs w:val="18"/>
        </w:rPr>
        <w:t xml:space="preserve">ourt analogized these circumstances to those in the </w:t>
      </w:r>
      <w:r w:rsidRPr="00EB582C">
        <w:rPr>
          <w:i/>
          <w:szCs w:val="18"/>
        </w:rPr>
        <w:t>Hookway</w:t>
      </w:r>
      <w:r w:rsidRPr="00EB582C">
        <w:rPr>
          <w:szCs w:val="18"/>
        </w:rPr>
        <w:t xml:space="preserve"> case, in which the </w:t>
      </w:r>
      <w:r>
        <w:rPr>
          <w:szCs w:val="18"/>
        </w:rPr>
        <w:t xml:space="preserve">members of the </w:t>
      </w:r>
      <w:r w:rsidRPr="00EB582C">
        <w:rPr>
          <w:szCs w:val="18"/>
        </w:rPr>
        <w:t xml:space="preserve">jury were given a </w:t>
      </w:r>
      <w:r w:rsidRPr="00EB582C">
        <w:rPr>
          <w:i/>
          <w:szCs w:val="18"/>
        </w:rPr>
        <w:t>Papadopoulos</w:t>
      </w:r>
      <w:r w:rsidRPr="00EB582C">
        <w:rPr>
          <w:szCs w:val="18"/>
        </w:rPr>
        <w:t xml:space="preserve"> direction after advising that they were split 50/50 on the charges and positions were “rock solid”. In </w:t>
      </w:r>
      <w:r>
        <w:rPr>
          <w:szCs w:val="18"/>
        </w:rPr>
        <w:t>that case</w:t>
      </w:r>
      <w:r w:rsidRPr="00EB582C">
        <w:rPr>
          <w:szCs w:val="18"/>
        </w:rPr>
        <w:t xml:space="preserve">, the </w:t>
      </w:r>
      <w:r>
        <w:rPr>
          <w:szCs w:val="18"/>
        </w:rPr>
        <w:t>C</w:t>
      </w:r>
      <w:r w:rsidRPr="00EB582C">
        <w:rPr>
          <w:szCs w:val="18"/>
        </w:rPr>
        <w:t xml:space="preserve">ourt </w:t>
      </w:r>
      <w:r>
        <w:rPr>
          <w:szCs w:val="18"/>
        </w:rPr>
        <w:t xml:space="preserve">had </w:t>
      </w:r>
      <w:r w:rsidRPr="00EB582C">
        <w:rPr>
          <w:szCs w:val="18"/>
        </w:rPr>
        <w:t xml:space="preserve">accepted that the trial judge did not err by asking the jury to continue. (Court of Appeal of New Zealand, </w:t>
      </w:r>
      <w:r w:rsidRPr="00EB582C">
        <w:rPr>
          <w:i/>
          <w:szCs w:val="18"/>
        </w:rPr>
        <w:t xml:space="preserve">The Queen </w:t>
      </w:r>
      <w:r w:rsidRPr="004431F8">
        <w:rPr>
          <w:iCs/>
          <w:szCs w:val="18"/>
        </w:rPr>
        <w:t>v.</w:t>
      </w:r>
      <w:r w:rsidRPr="00EB582C">
        <w:rPr>
          <w:i/>
          <w:szCs w:val="18"/>
        </w:rPr>
        <w:t xml:space="preserve"> </w:t>
      </w:r>
      <w:r>
        <w:rPr>
          <w:iCs/>
          <w:szCs w:val="18"/>
        </w:rPr>
        <w:t>[</w:t>
      </w:r>
      <w:r>
        <w:rPr>
          <w:i/>
          <w:szCs w:val="18"/>
        </w:rPr>
        <w:t>A.K.W.</w:t>
      </w:r>
      <w:r>
        <w:rPr>
          <w:iCs/>
          <w:szCs w:val="18"/>
        </w:rPr>
        <w:t>]</w:t>
      </w:r>
      <w:r w:rsidRPr="00EB582C">
        <w:rPr>
          <w:szCs w:val="18"/>
        </w:rPr>
        <w:t>, CA190/2009 [2009] NZCA 440 (28 September 2009)).</w:t>
      </w:r>
    </w:p>
  </w:footnote>
  <w:footnote w:id="15">
    <w:p w:rsidR="00E27CA3" w:rsidRPr="00EB582C" w:rsidRDefault="00E27CA3" w:rsidP="00077DE0">
      <w:pPr>
        <w:pStyle w:val="FootnoteText"/>
        <w:rPr>
          <w:szCs w:val="18"/>
        </w:rPr>
      </w:pPr>
      <w:r>
        <w:rPr>
          <w:szCs w:val="18"/>
        </w:rPr>
        <w:tab/>
      </w:r>
      <w:r w:rsidRPr="00B74D2B">
        <w:rPr>
          <w:rStyle w:val="FootnoteReference"/>
        </w:rPr>
        <w:footnoteRef/>
      </w:r>
      <w:r>
        <w:rPr>
          <w:szCs w:val="18"/>
        </w:rPr>
        <w:tab/>
      </w:r>
      <w:r w:rsidR="00077DE0">
        <w:rPr>
          <w:szCs w:val="18"/>
        </w:rPr>
        <w:t>T</w:t>
      </w:r>
      <w:r w:rsidRPr="00EB582C">
        <w:rPr>
          <w:szCs w:val="18"/>
        </w:rPr>
        <w:t xml:space="preserve">he </w:t>
      </w:r>
      <w:r>
        <w:rPr>
          <w:szCs w:val="18"/>
        </w:rPr>
        <w:t>C</w:t>
      </w:r>
      <w:r w:rsidRPr="00EB582C">
        <w:rPr>
          <w:szCs w:val="18"/>
        </w:rPr>
        <w:t xml:space="preserve">ourt cited </w:t>
      </w:r>
      <w:r w:rsidRPr="00042318">
        <w:rPr>
          <w:i/>
          <w:szCs w:val="18"/>
        </w:rPr>
        <w:t>The Queen</w:t>
      </w:r>
      <w:r w:rsidRPr="00EB582C">
        <w:rPr>
          <w:szCs w:val="18"/>
        </w:rPr>
        <w:t xml:space="preserve"> </w:t>
      </w:r>
      <w:r w:rsidRPr="004431F8">
        <w:rPr>
          <w:iCs/>
          <w:szCs w:val="18"/>
        </w:rPr>
        <w:t>v.</w:t>
      </w:r>
      <w:r w:rsidRPr="00EB582C">
        <w:rPr>
          <w:szCs w:val="18"/>
        </w:rPr>
        <w:t xml:space="preserve"> </w:t>
      </w:r>
      <w:r w:rsidRPr="00EB582C">
        <w:rPr>
          <w:i/>
          <w:szCs w:val="18"/>
        </w:rPr>
        <w:t>Accused</w:t>
      </w:r>
      <w:r w:rsidRPr="00EB582C">
        <w:rPr>
          <w:szCs w:val="18"/>
        </w:rPr>
        <w:t xml:space="preserve"> (1996) 14 CRNZ 516</w:t>
      </w:r>
      <w:r>
        <w:rPr>
          <w:szCs w:val="18"/>
        </w:rPr>
        <w:t>, para.</w:t>
      </w:r>
      <w:r w:rsidRPr="00EB582C">
        <w:rPr>
          <w:szCs w:val="18"/>
        </w:rPr>
        <w:t xml:space="preserve"> 522.</w:t>
      </w:r>
    </w:p>
  </w:footnote>
  <w:footnote w:id="16">
    <w:p w:rsidR="00E27CA3" w:rsidRPr="00EB582C" w:rsidRDefault="00E27CA3" w:rsidP="00CD4D41">
      <w:pPr>
        <w:pStyle w:val="FootnoteText"/>
        <w:rPr>
          <w:szCs w:val="18"/>
        </w:rPr>
      </w:pPr>
      <w:r>
        <w:rPr>
          <w:szCs w:val="18"/>
        </w:rPr>
        <w:tab/>
      </w:r>
      <w:r w:rsidRPr="00B74D2B">
        <w:rPr>
          <w:rStyle w:val="FootnoteReference"/>
        </w:rPr>
        <w:footnoteRef/>
      </w:r>
      <w:r>
        <w:rPr>
          <w:szCs w:val="18"/>
        </w:rPr>
        <w:tab/>
      </w:r>
      <w:r w:rsidRPr="00EB582C">
        <w:rPr>
          <w:szCs w:val="18"/>
        </w:rPr>
        <w:t xml:space="preserve">The </w:t>
      </w:r>
      <w:r>
        <w:rPr>
          <w:szCs w:val="18"/>
        </w:rPr>
        <w:t>C</w:t>
      </w:r>
      <w:r w:rsidRPr="00EB582C">
        <w:rPr>
          <w:szCs w:val="18"/>
        </w:rPr>
        <w:t xml:space="preserve">ourt further rejected the author’s argument that the verdicts were inconsistent and may have reflected a compromise, and that the judge should have informed the </w:t>
      </w:r>
      <w:r>
        <w:rPr>
          <w:szCs w:val="18"/>
        </w:rPr>
        <w:t xml:space="preserve">members of the </w:t>
      </w:r>
      <w:r w:rsidRPr="00EB582C">
        <w:rPr>
          <w:szCs w:val="18"/>
        </w:rPr>
        <w:t xml:space="preserve">jury that the </w:t>
      </w:r>
      <w:r>
        <w:rPr>
          <w:szCs w:val="18"/>
        </w:rPr>
        <w:t>C</w:t>
      </w:r>
      <w:r w:rsidRPr="00EB582C">
        <w:rPr>
          <w:szCs w:val="18"/>
        </w:rPr>
        <w:t>ourt could accept verdicts on those counts upon which they could agree if they were having difficulty reaching unanimous verdicts</w:t>
      </w:r>
      <w:r>
        <w:rPr>
          <w:szCs w:val="18"/>
        </w:rPr>
        <w:t>.</w:t>
      </w:r>
      <w:r w:rsidRPr="00EB582C">
        <w:rPr>
          <w:szCs w:val="18"/>
        </w:rPr>
        <w:t xml:space="preserve"> </w:t>
      </w:r>
      <w:r>
        <w:rPr>
          <w:szCs w:val="18"/>
        </w:rPr>
        <w:t>It</w:t>
      </w:r>
      <w:r w:rsidRPr="00EB582C">
        <w:rPr>
          <w:szCs w:val="18"/>
        </w:rPr>
        <w:t xml:space="preserve"> </w:t>
      </w:r>
      <w:r>
        <w:rPr>
          <w:szCs w:val="18"/>
        </w:rPr>
        <w:t>stated</w:t>
      </w:r>
      <w:r w:rsidRPr="00EB582C">
        <w:rPr>
          <w:szCs w:val="18"/>
        </w:rPr>
        <w:t xml:space="preserve"> that mere inconsistency is not sufficient to justify quashing a conviction</w:t>
      </w:r>
      <w:r>
        <w:rPr>
          <w:szCs w:val="18"/>
        </w:rPr>
        <w:t xml:space="preserve"> and</w:t>
      </w:r>
      <w:r w:rsidRPr="00EB582C">
        <w:rPr>
          <w:szCs w:val="18"/>
        </w:rPr>
        <w:t xml:space="preserve"> </w:t>
      </w:r>
      <w:r>
        <w:rPr>
          <w:szCs w:val="18"/>
        </w:rPr>
        <w:t xml:space="preserve">that </w:t>
      </w:r>
      <w:r w:rsidRPr="00EB582C">
        <w:rPr>
          <w:szCs w:val="18"/>
        </w:rPr>
        <w:t xml:space="preserve">the author did not meet his burden of explaining why no reasonable jury could arrive at the different verdicts, </w:t>
      </w:r>
      <w:r>
        <w:rPr>
          <w:szCs w:val="18"/>
        </w:rPr>
        <w:t>reasoning</w:t>
      </w:r>
      <w:r w:rsidRPr="00EB582C">
        <w:rPr>
          <w:szCs w:val="18"/>
        </w:rPr>
        <w:t xml:space="preserve"> </w:t>
      </w:r>
      <w:r>
        <w:rPr>
          <w:szCs w:val="18"/>
        </w:rPr>
        <w:t>that the July</w:t>
      </w:r>
      <w:r w:rsidRPr="00EB582C">
        <w:rPr>
          <w:szCs w:val="18"/>
        </w:rPr>
        <w:t xml:space="preserve"> </w:t>
      </w:r>
      <w:r>
        <w:rPr>
          <w:szCs w:val="18"/>
        </w:rPr>
        <w:t>counts</w:t>
      </w:r>
      <w:r w:rsidRPr="00EB582C">
        <w:rPr>
          <w:szCs w:val="18"/>
        </w:rPr>
        <w:t xml:space="preserve"> were supported by direct evidence </w:t>
      </w:r>
      <w:r>
        <w:rPr>
          <w:szCs w:val="18"/>
        </w:rPr>
        <w:t>and the May counts depended on an</w:t>
      </w:r>
      <w:r w:rsidRPr="00EB582C">
        <w:rPr>
          <w:szCs w:val="18"/>
        </w:rPr>
        <w:t xml:space="preserve"> inference. The </w:t>
      </w:r>
      <w:r>
        <w:rPr>
          <w:szCs w:val="18"/>
        </w:rPr>
        <w:t>C</w:t>
      </w:r>
      <w:r w:rsidRPr="00EB582C">
        <w:rPr>
          <w:szCs w:val="18"/>
        </w:rPr>
        <w:t xml:space="preserve">ourt also rejected the author’s argument that the money laundering charge should not have been brought before the jury; </w:t>
      </w:r>
      <w:r>
        <w:rPr>
          <w:szCs w:val="18"/>
        </w:rPr>
        <w:t>it</w:t>
      </w:r>
      <w:r w:rsidRPr="00EB582C">
        <w:rPr>
          <w:szCs w:val="18"/>
        </w:rPr>
        <w:t xml:space="preserve"> reasoned that the charge was properly joined in the indictment, since all of the counts were linked in time and circumstance, and that there was ample circumstantial evidence to support the charge. The </w:t>
      </w:r>
      <w:r>
        <w:rPr>
          <w:szCs w:val="18"/>
        </w:rPr>
        <w:t>C</w:t>
      </w:r>
      <w:r w:rsidRPr="00EB582C">
        <w:rPr>
          <w:szCs w:val="18"/>
        </w:rPr>
        <w:t xml:space="preserve">ourt further rejected the author’s argument that the verdicts were unreasonable due to insufficient evidence; the court analysed the importation case against the author and found it circumstantial but cogent. The court also analysed and rejected the author’s various other arguments relating to admissibility of evidence, the author’s right to conduct his own defence and make a proper opening statement, and the sentence imposed by the judge. (Court of Appeal of New Zealand, </w:t>
      </w:r>
      <w:r w:rsidRPr="00EB582C">
        <w:rPr>
          <w:i/>
          <w:szCs w:val="18"/>
        </w:rPr>
        <w:t xml:space="preserve">The Queen </w:t>
      </w:r>
      <w:r w:rsidRPr="004431F8">
        <w:rPr>
          <w:iCs/>
          <w:szCs w:val="18"/>
        </w:rPr>
        <w:t>v.</w:t>
      </w:r>
      <w:r w:rsidRPr="00EB582C">
        <w:rPr>
          <w:i/>
          <w:szCs w:val="18"/>
        </w:rPr>
        <w:t xml:space="preserve"> </w:t>
      </w:r>
      <w:r>
        <w:rPr>
          <w:iCs/>
          <w:szCs w:val="18"/>
        </w:rPr>
        <w:t>[</w:t>
      </w:r>
      <w:r>
        <w:rPr>
          <w:i/>
          <w:szCs w:val="18"/>
        </w:rPr>
        <w:t>A.K.W.</w:t>
      </w:r>
      <w:r>
        <w:rPr>
          <w:iCs/>
          <w:szCs w:val="18"/>
        </w:rPr>
        <w:t>]</w:t>
      </w:r>
      <w:r w:rsidRPr="00EB582C">
        <w:rPr>
          <w:szCs w:val="18"/>
        </w:rPr>
        <w:t>, CA190/2009 [2009] NZCA 440 (28 September 2009)).</w:t>
      </w:r>
    </w:p>
  </w:footnote>
  <w:footnote w:id="17">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provides a copy of his Notice of Application for Leave to Appeal, dated 16 October 2009, and a partial copy of the judg</w:t>
      </w:r>
      <w:r>
        <w:rPr>
          <w:szCs w:val="18"/>
        </w:rPr>
        <w:t>e</w:t>
      </w:r>
      <w:r w:rsidRPr="00EB582C">
        <w:rPr>
          <w:szCs w:val="18"/>
        </w:rPr>
        <w:t>ment of the Supreme Court of New Zealand denying the application for leave to appeal. (</w:t>
      </w:r>
      <w:r>
        <w:rPr>
          <w:szCs w:val="18"/>
        </w:rPr>
        <w:t>[</w:t>
      </w:r>
      <w:r>
        <w:rPr>
          <w:i/>
          <w:szCs w:val="18"/>
        </w:rPr>
        <w:t>A.K.W.</w:t>
      </w:r>
      <w:r>
        <w:rPr>
          <w:iCs/>
          <w:szCs w:val="18"/>
        </w:rPr>
        <w:t>]</w:t>
      </w:r>
      <w:r>
        <w:rPr>
          <w:i/>
          <w:szCs w:val="18"/>
        </w:rPr>
        <w:t xml:space="preserve"> </w:t>
      </w:r>
      <w:r w:rsidRPr="004431F8">
        <w:rPr>
          <w:iCs/>
          <w:szCs w:val="18"/>
        </w:rPr>
        <w:t>v.</w:t>
      </w:r>
      <w:r w:rsidRPr="00EB582C">
        <w:rPr>
          <w:szCs w:val="18"/>
        </w:rPr>
        <w:t xml:space="preserve"> </w:t>
      </w:r>
      <w:r w:rsidRPr="00EB582C">
        <w:rPr>
          <w:i/>
          <w:szCs w:val="18"/>
        </w:rPr>
        <w:t>The Queen</w:t>
      </w:r>
      <w:r w:rsidRPr="00EB582C">
        <w:rPr>
          <w:szCs w:val="18"/>
        </w:rPr>
        <w:t>, SC 96/2009 [2010] NZSC 14 (2 March 2010)). The author does not provide the full version of the judg</w:t>
      </w:r>
      <w:r>
        <w:rPr>
          <w:szCs w:val="18"/>
        </w:rPr>
        <w:t>e</w:t>
      </w:r>
      <w:r w:rsidRPr="00EB582C">
        <w:rPr>
          <w:szCs w:val="18"/>
        </w:rPr>
        <w:t xml:space="preserve">ment, which considered the issue of whether, in circumstances where a jury note referred to the possibility of bullying if there were further deliberations, it was open to the judge to have given a </w:t>
      </w:r>
      <w:r w:rsidRPr="00EB582C">
        <w:rPr>
          <w:i/>
          <w:szCs w:val="18"/>
        </w:rPr>
        <w:t>Papadopoulos</w:t>
      </w:r>
      <w:r w:rsidRPr="00EB582C">
        <w:rPr>
          <w:szCs w:val="18"/>
        </w:rPr>
        <w:t xml:space="preserve"> direction and whether the direction actually given was adequate to deal with that possibility. </w:t>
      </w:r>
    </w:p>
  </w:footnote>
  <w:footnote w:id="18">
    <w:p w:rsidR="00E27CA3" w:rsidRPr="00EB582C" w:rsidRDefault="00E27CA3" w:rsidP="00DE2B1C">
      <w:pPr>
        <w:pStyle w:val="FootnoteText"/>
        <w:rPr>
          <w:szCs w:val="18"/>
        </w:rPr>
      </w:pPr>
      <w:r>
        <w:rPr>
          <w:szCs w:val="18"/>
        </w:rPr>
        <w:tab/>
      </w:r>
      <w:r w:rsidRPr="00B74D2B">
        <w:rPr>
          <w:rStyle w:val="FootnoteReference"/>
        </w:rPr>
        <w:footnoteRef/>
      </w:r>
      <w:r>
        <w:rPr>
          <w:szCs w:val="18"/>
        </w:rPr>
        <w:tab/>
      </w:r>
      <w:r w:rsidRPr="00EB582C">
        <w:rPr>
          <w:szCs w:val="18"/>
        </w:rPr>
        <w:t>The author cites communication</w:t>
      </w:r>
      <w:r>
        <w:rPr>
          <w:szCs w:val="18"/>
        </w:rPr>
        <w:t>s</w:t>
      </w:r>
      <w:r w:rsidRPr="00EB582C">
        <w:rPr>
          <w:szCs w:val="18"/>
        </w:rPr>
        <w:t xml:space="preserve"> </w:t>
      </w:r>
      <w:r>
        <w:rPr>
          <w:szCs w:val="18"/>
        </w:rPr>
        <w:t>No. </w:t>
      </w:r>
      <w:r w:rsidRPr="00EB582C">
        <w:rPr>
          <w:szCs w:val="18"/>
        </w:rPr>
        <w:t xml:space="preserve">1098/2002, </w:t>
      </w:r>
      <w:r w:rsidRPr="00EB582C">
        <w:rPr>
          <w:i/>
          <w:szCs w:val="18"/>
        </w:rPr>
        <w:t>Guardiola Martínez</w:t>
      </w:r>
      <w:r w:rsidRPr="00EB582C">
        <w:rPr>
          <w:szCs w:val="18"/>
        </w:rPr>
        <w:t xml:space="preserve"> </w:t>
      </w:r>
      <w:r w:rsidRPr="004431F8">
        <w:rPr>
          <w:iCs/>
          <w:szCs w:val="18"/>
        </w:rPr>
        <w:t>v.</w:t>
      </w:r>
      <w:r w:rsidRPr="00EB582C">
        <w:rPr>
          <w:szCs w:val="18"/>
        </w:rPr>
        <w:t xml:space="preserve"> </w:t>
      </w:r>
      <w:r w:rsidRPr="00EB582C">
        <w:rPr>
          <w:i/>
          <w:szCs w:val="18"/>
        </w:rPr>
        <w:t>Spain</w:t>
      </w:r>
      <w:r w:rsidRPr="00EB582C">
        <w:rPr>
          <w:szCs w:val="18"/>
        </w:rPr>
        <w:t xml:space="preserve">, decision of inadmissibility </w:t>
      </w:r>
      <w:r>
        <w:rPr>
          <w:szCs w:val="18"/>
        </w:rPr>
        <w:t xml:space="preserve">adopted on </w:t>
      </w:r>
      <w:r w:rsidRPr="00EB582C">
        <w:rPr>
          <w:szCs w:val="18"/>
        </w:rPr>
        <w:t xml:space="preserve">31 October 2006, </w:t>
      </w:r>
      <w:r>
        <w:rPr>
          <w:szCs w:val="18"/>
        </w:rPr>
        <w:t>para. </w:t>
      </w:r>
      <w:r w:rsidRPr="00EB582C">
        <w:rPr>
          <w:szCs w:val="18"/>
        </w:rPr>
        <w:t>6.4</w:t>
      </w:r>
      <w:r>
        <w:rPr>
          <w:szCs w:val="18"/>
        </w:rPr>
        <w:t>,</w:t>
      </w:r>
      <w:r w:rsidRPr="00EB582C">
        <w:rPr>
          <w:szCs w:val="18"/>
        </w:rPr>
        <w:t xml:space="preserve"> </w:t>
      </w:r>
      <w:r>
        <w:rPr>
          <w:szCs w:val="18"/>
        </w:rPr>
        <w:t>and</w:t>
      </w:r>
      <w:r w:rsidRPr="00EB582C">
        <w:rPr>
          <w:szCs w:val="18"/>
        </w:rPr>
        <w:t xml:space="preserve"> </w:t>
      </w:r>
      <w:r>
        <w:rPr>
          <w:szCs w:val="18"/>
        </w:rPr>
        <w:t>No. </w:t>
      </w:r>
      <w:r w:rsidRPr="00EB582C">
        <w:rPr>
          <w:szCs w:val="18"/>
        </w:rPr>
        <w:t xml:space="preserve">1376/2005, </w:t>
      </w:r>
      <w:r w:rsidRPr="00EB582C">
        <w:rPr>
          <w:i/>
          <w:szCs w:val="18"/>
        </w:rPr>
        <w:t>Bandaranayake</w:t>
      </w:r>
      <w:r w:rsidRPr="00EB582C">
        <w:rPr>
          <w:szCs w:val="18"/>
        </w:rPr>
        <w:t xml:space="preserve"> </w:t>
      </w:r>
      <w:r w:rsidRPr="004431F8">
        <w:rPr>
          <w:iCs/>
          <w:szCs w:val="18"/>
        </w:rPr>
        <w:t>v.</w:t>
      </w:r>
      <w:r w:rsidRPr="00EB582C">
        <w:rPr>
          <w:szCs w:val="18"/>
        </w:rPr>
        <w:t xml:space="preserve"> </w:t>
      </w:r>
      <w:r w:rsidRPr="00EB582C">
        <w:rPr>
          <w:i/>
          <w:szCs w:val="18"/>
        </w:rPr>
        <w:t>Sri Lanka</w:t>
      </w:r>
      <w:r w:rsidRPr="00EB582C">
        <w:rPr>
          <w:szCs w:val="18"/>
        </w:rPr>
        <w:t xml:space="preserve">, Views adopted on 24 July 2008, </w:t>
      </w:r>
      <w:r>
        <w:rPr>
          <w:szCs w:val="18"/>
        </w:rPr>
        <w:t>para. </w:t>
      </w:r>
      <w:r w:rsidRPr="00EB582C">
        <w:rPr>
          <w:szCs w:val="18"/>
        </w:rPr>
        <w:t>6.5.</w:t>
      </w:r>
    </w:p>
  </w:footnote>
  <w:footnote w:id="19">
    <w:p w:rsidR="00E27CA3" w:rsidRPr="00EB582C" w:rsidRDefault="00E27CA3" w:rsidP="000A04A9">
      <w:pPr>
        <w:pStyle w:val="FootnoteText"/>
        <w:rPr>
          <w:szCs w:val="18"/>
          <w:lang w:val="en-US"/>
        </w:rPr>
      </w:pPr>
      <w:r>
        <w:rPr>
          <w:szCs w:val="18"/>
        </w:rPr>
        <w:tab/>
      </w:r>
      <w:r w:rsidRPr="00B74D2B">
        <w:rPr>
          <w:rStyle w:val="FootnoteReference"/>
        </w:rPr>
        <w:footnoteRef/>
      </w:r>
      <w:r>
        <w:rPr>
          <w:szCs w:val="18"/>
        </w:rPr>
        <w:tab/>
      </w:r>
      <w:r w:rsidRPr="00EB582C">
        <w:rPr>
          <w:szCs w:val="18"/>
          <w:lang w:val="en-US"/>
        </w:rPr>
        <w:t xml:space="preserve">These arguments are featured in the “Memorandum of Counsel’s </w:t>
      </w:r>
      <w:r>
        <w:rPr>
          <w:szCs w:val="18"/>
          <w:lang w:val="en-US"/>
        </w:rPr>
        <w:t>s</w:t>
      </w:r>
      <w:r w:rsidRPr="00EB582C">
        <w:rPr>
          <w:szCs w:val="18"/>
          <w:lang w:val="en-US"/>
        </w:rPr>
        <w:t xml:space="preserve">ynopsis of </w:t>
      </w:r>
      <w:r>
        <w:rPr>
          <w:szCs w:val="18"/>
          <w:lang w:val="en-US"/>
        </w:rPr>
        <w:t>s</w:t>
      </w:r>
      <w:r w:rsidRPr="00EB582C">
        <w:rPr>
          <w:szCs w:val="18"/>
          <w:lang w:val="en-US"/>
        </w:rPr>
        <w:t>ubmissions”</w:t>
      </w:r>
      <w:r>
        <w:rPr>
          <w:szCs w:val="18"/>
          <w:lang w:val="en-US"/>
        </w:rPr>
        <w:t>,</w:t>
      </w:r>
      <w:r w:rsidRPr="00EB582C">
        <w:rPr>
          <w:szCs w:val="18"/>
          <w:lang w:val="en-US"/>
        </w:rPr>
        <w:t xml:space="preserve"> dated 18 November 2009 and filed before the Supreme Court of New Zealand in support of the author’s application for leave to appeal; the author provides a copy of th</w:t>
      </w:r>
      <w:r>
        <w:rPr>
          <w:szCs w:val="18"/>
          <w:lang w:val="en-US"/>
        </w:rPr>
        <w:t>at</w:t>
      </w:r>
      <w:r w:rsidRPr="00EB582C">
        <w:rPr>
          <w:szCs w:val="18"/>
          <w:lang w:val="en-US"/>
        </w:rPr>
        <w:t xml:space="preserve"> </w:t>
      </w:r>
      <w:r>
        <w:rPr>
          <w:szCs w:val="18"/>
          <w:lang w:val="en-US"/>
        </w:rPr>
        <w:t>m</w:t>
      </w:r>
      <w:r w:rsidRPr="00EB582C">
        <w:rPr>
          <w:szCs w:val="18"/>
          <w:lang w:val="en-US"/>
        </w:rPr>
        <w:t>emorandum.</w:t>
      </w:r>
    </w:p>
  </w:footnote>
  <w:footnote w:id="20">
    <w:p w:rsidR="00E27CA3" w:rsidRPr="00EB582C" w:rsidRDefault="00E27CA3" w:rsidP="00F34BE3">
      <w:pPr>
        <w:pStyle w:val="FootnoteText"/>
        <w:rPr>
          <w:szCs w:val="18"/>
        </w:rPr>
      </w:pPr>
      <w:r>
        <w:rPr>
          <w:szCs w:val="18"/>
        </w:rPr>
        <w:tab/>
      </w:r>
      <w:r w:rsidRPr="00B74D2B">
        <w:rPr>
          <w:rStyle w:val="FootnoteReference"/>
        </w:rPr>
        <w:footnoteRef/>
      </w:r>
      <w:r>
        <w:rPr>
          <w:szCs w:val="18"/>
        </w:rPr>
        <w:tab/>
      </w:r>
      <w:r w:rsidRPr="00EB582C">
        <w:rPr>
          <w:szCs w:val="18"/>
        </w:rPr>
        <w:t>The author cites communication</w:t>
      </w:r>
      <w:r>
        <w:rPr>
          <w:szCs w:val="18"/>
        </w:rPr>
        <w:t>s</w:t>
      </w:r>
      <w:r w:rsidRPr="00EB582C">
        <w:rPr>
          <w:szCs w:val="18"/>
        </w:rPr>
        <w:t xml:space="preserve"> </w:t>
      </w:r>
      <w:r>
        <w:rPr>
          <w:szCs w:val="18"/>
        </w:rPr>
        <w:t>No. </w:t>
      </w:r>
      <w:r w:rsidRPr="00EB582C">
        <w:rPr>
          <w:szCs w:val="18"/>
        </w:rPr>
        <w:t xml:space="preserve">1514/2006, </w:t>
      </w:r>
      <w:r w:rsidRPr="00EB582C">
        <w:rPr>
          <w:i/>
          <w:szCs w:val="18"/>
        </w:rPr>
        <w:t>Casanovas</w:t>
      </w:r>
      <w:r w:rsidRPr="00EB582C">
        <w:rPr>
          <w:szCs w:val="18"/>
        </w:rPr>
        <w:t xml:space="preserve"> </w:t>
      </w:r>
      <w:r w:rsidRPr="004431F8">
        <w:rPr>
          <w:iCs/>
          <w:szCs w:val="18"/>
        </w:rPr>
        <w:t>v.</w:t>
      </w:r>
      <w:r w:rsidRPr="00EB582C">
        <w:rPr>
          <w:szCs w:val="18"/>
        </w:rPr>
        <w:t xml:space="preserve"> </w:t>
      </w:r>
      <w:r w:rsidRPr="00EB582C">
        <w:rPr>
          <w:i/>
          <w:szCs w:val="18"/>
        </w:rPr>
        <w:t>France</w:t>
      </w:r>
      <w:r w:rsidRPr="00EB582C">
        <w:rPr>
          <w:szCs w:val="18"/>
        </w:rPr>
        <w:t xml:space="preserve">, </w:t>
      </w:r>
      <w:r>
        <w:rPr>
          <w:szCs w:val="18"/>
        </w:rPr>
        <w:t>Views adopted on 28 October 2008, para. </w:t>
      </w:r>
      <w:r w:rsidRPr="00EB582C">
        <w:rPr>
          <w:szCs w:val="18"/>
        </w:rPr>
        <w:t>11.3</w:t>
      </w:r>
      <w:r>
        <w:rPr>
          <w:szCs w:val="18"/>
        </w:rPr>
        <w:t>, and</w:t>
      </w:r>
      <w:r w:rsidRPr="00EB582C">
        <w:rPr>
          <w:szCs w:val="18"/>
        </w:rPr>
        <w:t xml:space="preserve"> </w:t>
      </w:r>
      <w:r>
        <w:rPr>
          <w:szCs w:val="18"/>
        </w:rPr>
        <w:t>No. </w:t>
      </w:r>
      <w:r w:rsidRPr="00EB582C">
        <w:rPr>
          <w:szCs w:val="18"/>
        </w:rPr>
        <w:t xml:space="preserve">912/2000, </w:t>
      </w:r>
      <w:r w:rsidRPr="00EB582C">
        <w:rPr>
          <w:i/>
          <w:szCs w:val="18"/>
        </w:rPr>
        <w:t>Deolall</w:t>
      </w:r>
      <w:r w:rsidRPr="00EB582C">
        <w:rPr>
          <w:szCs w:val="18"/>
        </w:rPr>
        <w:t xml:space="preserve"> </w:t>
      </w:r>
      <w:r w:rsidRPr="004431F8">
        <w:rPr>
          <w:iCs/>
          <w:szCs w:val="18"/>
        </w:rPr>
        <w:t>v.</w:t>
      </w:r>
      <w:r w:rsidRPr="00EB582C">
        <w:rPr>
          <w:szCs w:val="18"/>
        </w:rPr>
        <w:t xml:space="preserve"> </w:t>
      </w:r>
      <w:r w:rsidRPr="00EB582C">
        <w:rPr>
          <w:i/>
          <w:szCs w:val="18"/>
        </w:rPr>
        <w:t>Guyana</w:t>
      </w:r>
      <w:r w:rsidRPr="00EB582C">
        <w:rPr>
          <w:szCs w:val="18"/>
        </w:rPr>
        <w:t>,</w:t>
      </w:r>
      <w:r>
        <w:rPr>
          <w:szCs w:val="18"/>
        </w:rPr>
        <w:t xml:space="preserve"> Views adopted on 1 November 2004,</w:t>
      </w:r>
      <w:r w:rsidRPr="00EB582C">
        <w:rPr>
          <w:szCs w:val="18"/>
        </w:rPr>
        <w:t xml:space="preserve"> </w:t>
      </w:r>
      <w:r>
        <w:rPr>
          <w:szCs w:val="18"/>
        </w:rPr>
        <w:t>para. </w:t>
      </w:r>
      <w:r w:rsidRPr="00EB582C">
        <w:rPr>
          <w:szCs w:val="18"/>
        </w:rPr>
        <w:t xml:space="preserve">5.2. </w:t>
      </w:r>
    </w:p>
  </w:footnote>
  <w:footnote w:id="21">
    <w:p w:rsidR="00E27CA3" w:rsidRPr="00EB582C" w:rsidRDefault="00E27CA3" w:rsidP="00503DE1">
      <w:pPr>
        <w:pStyle w:val="FootnoteText"/>
        <w:rPr>
          <w:szCs w:val="18"/>
        </w:rPr>
      </w:pPr>
      <w:r>
        <w:rPr>
          <w:szCs w:val="18"/>
        </w:rPr>
        <w:tab/>
      </w:r>
      <w:r w:rsidRPr="00B74D2B">
        <w:rPr>
          <w:rStyle w:val="FootnoteReference"/>
        </w:rPr>
        <w:footnoteRef/>
      </w:r>
      <w:r>
        <w:rPr>
          <w:szCs w:val="18"/>
        </w:rPr>
        <w:tab/>
        <w:t xml:space="preserve">See para. 2.1 and footnote </w:t>
      </w:r>
      <w:r w:rsidRPr="004431F8">
        <w:rPr>
          <w:szCs w:val="18"/>
        </w:rPr>
        <w:t>5.</w:t>
      </w:r>
      <w:r>
        <w:rPr>
          <w:szCs w:val="18"/>
        </w:rPr>
        <w:t xml:space="preserve"> </w:t>
      </w:r>
    </w:p>
  </w:footnote>
  <w:footnote w:id="22">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 xml:space="preserve">The author cites a </w:t>
      </w:r>
      <w:r>
        <w:rPr>
          <w:szCs w:val="18"/>
        </w:rPr>
        <w:t>r</w:t>
      </w:r>
      <w:r w:rsidRPr="00EB582C">
        <w:rPr>
          <w:szCs w:val="18"/>
        </w:rPr>
        <w:t>eport dated 7 June 2004, obtained from Guangzhou City Chemical Industry Research Institute.</w:t>
      </w:r>
    </w:p>
  </w:footnote>
  <w:footnote w:id="23">
    <w:p w:rsidR="00E27CA3" w:rsidRPr="00EB582C" w:rsidRDefault="00E27CA3" w:rsidP="00944989">
      <w:pPr>
        <w:pStyle w:val="FootnoteText"/>
        <w:rPr>
          <w:szCs w:val="18"/>
        </w:rPr>
      </w:pPr>
      <w:r>
        <w:rPr>
          <w:szCs w:val="18"/>
        </w:rPr>
        <w:tab/>
      </w:r>
      <w:r w:rsidRPr="00B74D2B">
        <w:rPr>
          <w:rStyle w:val="FootnoteReference"/>
        </w:rPr>
        <w:footnoteRef/>
      </w:r>
      <w:r>
        <w:rPr>
          <w:szCs w:val="18"/>
        </w:rPr>
        <w:tab/>
      </w:r>
      <w:r w:rsidRPr="00EB582C">
        <w:rPr>
          <w:szCs w:val="18"/>
        </w:rPr>
        <w:t>At current exchange rates, 2.5 million</w:t>
      </w:r>
      <w:r>
        <w:rPr>
          <w:szCs w:val="18"/>
        </w:rPr>
        <w:t>–</w:t>
      </w:r>
      <w:r w:rsidRPr="00EB582C">
        <w:rPr>
          <w:szCs w:val="18"/>
        </w:rPr>
        <w:t>8.9 million</w:t>
      </w:r>
      <w:r w:rsidR="00790F4D">
        <w:rPr>
          <w:szCs w:val="18"/>
        </w:rPr>
        <w:t xml:space="preserve"> New Zealand dollars</w:t>
      </w:r>
      <w:r w:rsidRPr="00EB582C">
        <w:rPr>
          <w:szCs w:val="18"/>
        </w:rPr>
        <w:t xml:space="preserve"> is equiv</w:t>
      </w:r>
      <w:r>
        <w:rPr>
          <w:szCs w:val="18"/>
        </w:rPr>
        <w:t xml:space="preserve">alent to </w:t>
      </w:r>
      <w:r w:rsidR="00944989">
        <w:rPr>
          <w:szCs w:val="18"/>
        </w:rPr>
        <w:t xml:space="preserve">about </w:t>
      </w:r>
      <w:r>
        <w:rPr>
          <w:szCs w:val="18"/>
        </w:rPr>
        <w:t>2.2 million–7.8 </w:t>
      </w:r>
      <w:r w:rsidRPr="00EB582C">
        <w:rPr>
          <w:szCs w:val="18"/>
        </w:rPr>
        <w:t>million</w:t>
      </w:r>
      <w:r w:rsidR="00790F4D">
        <w:rPr>
          <w:szCs w:val="18"/>
        </w:rPr>
        <w:t xml:space="preserve"> United States dollars</w:t>
      </w:r>
      <w:r w:rsidRPr="00EB582C">
        <w:rPr>
          <w:szCs w:val="18"/>
        </w:rPr>
        <w:t>.</w:t>
      </w:r>
    </w:p>
  </w:footnote>
  <w:footnote w:id="24">
    <w:p w:rsidR="00E27CA3" w:rsidRPr="00EB582C" w:rsidRDefault="00E27CA3" w:rsidP="00756B53">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cites </w:t>
      </w:r>
      <w:r>
        <w:rPr>
          <w:iCs/>
          <w:szCs w:val="18"/>
        </w:rPr>
        <w:t>[</w:t>
      </w:r>
      <w:r>
        <w:rPr>
          <w:i/>
          <w:szCs w:val="18"/>
        </w:rPr>
        <w:t>A.K.W.</w:t>
      </w:r>
      <w:r>
        <w:rPr>
          <w:iCs/>
          <w:szCs w:val="18"/>
        </w:rPr>
        <w:t>]</w:t>
      </w:r>
      <w:r w:rsidRPr="00EB582C">
        <w:rPr>
          <w:i/>
          <w:szCs w:val="18"/>
        </w:rPr>
        <w:t xml:space="preserve"> </w:t>
      </w:r>
      <w:r w:rsidRPr="004431F8">
        <w:rPr>
          <w:iCs/>
          <w:szCs w:val="18"/>
        </w:rPr>
        <w:t>v.</w:t>
      </w:r>
      <w:r w:rsidRPr="00EB582C">
        <w:rPr>
          <w:i/>
          <w:szCs w:val="18"/>
        </w:rPr>
        <w:t xml:space="preserve"> </w:t>
      </w:r>
      <w:r>
        <w:rPr>
          <w:i/>
          <w:szCs w:val="18"/>
        </w:rPr>
        <w:t>The Queen</w:t>
      </w:r>
      <w:r w:rsidR="003F1D92">
        <w:rPr>
          <w:i/>
          <w:szCs w:val="18"/>
        </w:rPr>
        <w:t>,</w:t>
      </w:r>
      <w:r w:rsidRPr="00EB582C">
        <w:rPr>
          <w:szCs w:val="18"/>
        </w:rPr>
        <w:t xml:space="preserve"> </w:t>
      </w:r>
      <w:r w:rsidRPr="003F1D92">
        <w:rPr>
          <w:szCs w:val="18"/>
        </w:rPr>
        <w:t>[2010] NZSC 14 (2 March 2010</w:t>
      </w:r>
      <w:r w:rsidRPr="00EB582C">
        <w:rPr>
          <w:szCs w:val="18"/>
        </w:rPr>
        <w:t xml:space="preserve">), </w:t>
      </w:r>
      <w:r>
        <w:rPr>
          <w:szCs w:val="18"/>
        </w:rPr>
        <w:t>paras. </w:t>
      </w:r>
      <w:r w:rsidRPr="00EB582C">
        <w:rPr>
          <w:szCs w:val="18"/>
        </w:rPr>
        <w:t>2</w:t>
      </w:r>
      <w:r>
        <w:rPr>
          <w:szCs w:val="18"/>
        </w:rPr>
        <w:t>–</w:t>
      </w:r>
      <w:r w:rsidRPr="00EB582C">
        <w:rPr>
          <w:szCs w:val="18"/>
        </w:rPr>
        <w:t xml:space="preserve">3; </w:t>
      </w:r>
      <w:r>
        <w:rPr>
          <w:iCs/>
          <w:szCs w:val="18"/>
        </w:rPr>
        <w:t>[</w:t>
      </w:r>
      <w:r>
        <w:rPr>
          <w:i/>
          <w:szCs w:val="18"/>
        </w:rPr>
        <w:t>A.K.W.</w:t>
      </w:r>
      <w:r>
        <w:rPr>
          <w:iCs/>
          <w:szCs w:val="18"/>
        </w:rPr>
        <w:t>]</w:t>
      </w:r>
      <w:r w:rsidRPr="00EB582C">
        <w:rPr>
          <w:i/>
          <w:szCs w:val="18"/>
        </w:rPr>
        <w:t xml:space="preserve"> </w:t>
      </w:r>
      <w:r w:rsidRPr="004431F8">
        <w:rPr>
          <w:iCs/>
          <w:szCs w:val="18"/>
        </w:rPr>
        <w:t>v.</w:t>
      </w:r>
      <w:r w:rsidRPr="00EB582C">
        <w:rPr>
          <w:i/>
          <w:szCs w:val="18"/>
        </w:rPr>
        <w:t xml:space="preserve"> </w:t>
      </w:r>
      <w:r>
        <w:rPr>
          <w:i/>
          <w:szCs w:val="18"/>
        </w:rPr>
        <w:t>The Queen</w:t>
      </w:r>
      <w:r w:rsidR="00944989">
        <w:rPr>
          <w:iCs/>
          <w:szCs w:val="18"/>
        </w:rPr>
        <w:t>,</w:t>
      </w:r>
      <w:r w:rsidRPr="00756B53">
        <w:rPr>
          <w:i/>
          <w:szCs w:val="18"/>
        </w:rPr>
        <w:t xml:space="preserve"> </w:t>
      </w:r>
      <w:r w:rsidRPr="00756B53">
        <w:rPr>
          <w:szCs w:val="18"/>
        </w:rPr>
        <w:t>[2009] NZCA 440</w:t>
      </w:r>
      <w:r w:rsidRPr="00EB582C">
        <w:rPr>
          <w:szCs w:val="18"/>
        </w:rPr>
        <w:t xml:space="preserve"> (28 September 2009), </w:t>
      </w:r>
      <w:r>
        <w:rPr>
          <w:szCs w:val="18"/>
        </w:rPr>
        <w:t>paras. </w:t>
      </w:r>
      <w:r w:rsidRPr="00EB582C">
        <w:rPr>
          <w:szCs w:val="18"/>
        </w:rPr>
        <w:t>23</w:t>
      </w:r>
      <w:r>
        <w:rPr>
          <w:szCs w:val="18"/>
        </w:rPr>
        <w:t>–</w:t>
      </w:r>
      <w:r w:rsidRPr="00EB582C">
        <w:rPr>
          <w:szCs w:val="18"/>
        </w:rPr>
        <w:t>24.</w:t>
      </w:r>
    </w:p>
  </w:footnote>
  <w:footnote w:id="25">
    <w:p w:rsidR="00E27CA3" w:rsidRPr="00EB582C" w:rsidRDefault="00E27CA3" w:rsidP="00756B53">
      <w:pPr>
        <w:pStyle w:val="FootnoteText"/>
        <w:rPr>
          <w:szCs w:val="18"/>
        </w:rPr>
      </w:pPr>
      <w:r>
        <w:rPr>
          <w:szCs w:val="18"/>
        </w:rPr>
        <w:tab/>
      </w:r>
      <w:r w:rsidRPr="00B74D2B">
        <w:rPr>
          <w:rStyle w:val="FootnoteReference"/>
        </w:rPr>
        <w:footnoteRef/>
      </w:r>
      <w:r>
        <w:rPr>
          <w:szCs w:val="18"/>
        </w:rPr>
        <w:tab/>
      </w:r>
      <w:r w:rsidRPr="00EB582C">
        <w:rPr>
          <w:szCs w:val="18"/>
        </w:rPr>
        <w:t>The Supreme Court also found that there was no error with respect to the jury direction</w:t>
      </w:r>
      <w:r w:rsidR="00944989">
        <w:rPr>
          <w:szCs w:val="18"/>
        </w:rPr>
        <w:t>,</w:t>
      </w:r>
      <w:r w:rsidRPr="00EB582C">
        <w:rPr>
          <w:szCs w:val="18"/>
        </w:rPr>
        <w:t xml:space="preserve"> because the jury note did not indicate that there had actually been intimidation of any juror; the language used by the judge was sufficient to reference the possibility of bullying; there was no sign of disagreement by any juror when the verdicts were delivered; and the tendered affidavits from the author’s parents did not contradict the judge’s observations of what occurred when the jury verdicts were given. (</w:t>
      </w:r>
      <w:r>
        <w:rPr>
          <w:szCs w:val="18"/>
        </w:rPr>
        <w:t>[</w:t>
      </w:r>
      <w:r>
        <w:rPr>
          <w:i/>
          <w:szCs w:val="18"/>
        </w:rPr>
        <w:t>A.K.W.</w:t>
      </w:r>
      <w:r>
        <w:rPr>
          <w:iCs/>
          <w:szCs w:val="18"/>
        </w:rPr>
        <w:t>]</w:t>
      </w:r>
      <w:r w:rsidRPr="00EB582C">
        <w:rPr>
          <w:i/>
          <w:szCs w:val="18"/>
        </w:rPr>
        <w:t xml:space="preserve"> </w:t>
      </w:r>
      <w:r w:rsidRPr="004431F8">
        <w:rPr>
          <w:iCs/>
          <w:szCs w:val="18"/>
        </w:rPr>
        <w:t>v.</w:t>
      </w:r>
      <w:r w:rsidRPr="00EB582C">
        <w:rPr>
          <w:i/>
          <w:szCs w:val="18"/>
        </w:rPr>
        <w:t xml:space="preserve"> </w:t>
      </w:r>
      <w:r>
        <w:rPr>
          <w:i/>
          <w:szCs w:val="18"/>
        </w:rPr>
        <w:t>The Queen</w:t>
      </w:r>
      <w:r w:rsidR="003F1D92">
        <w:rPr>
          <w:i/>
          <w:szCs w:val="18"/>
        </w:rPr>
        <w:t>,</w:t>
      </w:r>
      <w:r w:rsidRPr="00EB582C">
        <w:rPr>
          <w:szCs w:val="18"/>
        </w:rPr>
        <w:t xml:space="preserve"> </w:t>
      </w:r>
      <w:r w:rsidRPr="003F1D92">
        <w:rPr>
          <w:szCs w:val="18"/>
        </w:rPr>
        <w:t>[2010] NZSC 14</w:t>
      </w:r>
      <w:r w:rsidRPr="00EB582C">
        <w:rPr>
          <w:szCs w:val="18"/>
        </w:rPr>
        <w:t xml:space="preserve"> (2 March 2010)</w:t>
      </w:r>
      <w:r>
        <w:rPr>
          <w:szCs w:val="18"/>
        </w:rPr>
        <w:t>, para. 3</w:t>
      </w:r>
      <w:r w:rsidRPr="00EB582C">
        <w:rPr>
          <w:szCs w:val="18"/>
        </w:rPr>
        <w:t>.)</w:t>
      </w:r>
    </w:p>
  </w:footnote>
  <w:footnote w:id="26">
    <w:p w:rsidR="00E27CA3" w:rsidRPr="00EB582C" w:rsidRDefault="00E27CA3" w:rsidP="00756B53">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notes that the trial judge stated in the report: </w:t>
      </w:r>
      <w:r w:rsidRPr="00EB582C">
        <w:rPr>
          <w:rFonts w:eastAsia="Times New Roman"/>
          <w:szCs w:val="18"/>
          <w:lang w:val="en-US"/>
        </w:rPr>
        <w:t xml:space="preserve">“The Foreperson confirmed the verdicts were unanimous. She delivered the verdicts without hesitation in a clear, firm voice. There was no indication of dissent from any member of the jury. I closely observed the jury while the Foreperson was delivering the verdicts on the five charges and as she confirmed that the verdicts were unanimous.” (Citing </w:t>
      </w:r>
      <w:r>
        <w:rPr>
          <w:rFonts w:eastAsia="Times New Roman"/>
          <w:i/>
          <w:szCs w:val="18"/>
          <w:lang w:val="en-US"/>
        </w:rPr>
        <w:t>The Queen</w:t>
      </w:r>
      <w:r w:rsidRPr="00EB582C">
        <w:rPr>
          <w:rFonts w:eastAsia="Times New Roman"/>
          <w:i/>
          <w:szCs w:val="18"/>
          <w:lang w:val="en-US"/>
        </w:rPr>
        <w:t xml:space="preserve"> </w:t>
      </w:r>
      <w:r w:rsidRPr="004431F8">
        <w:rPr>
          <w:rFonts w:eastAsia="Times New Roman"/>
          <w:iCs/>
          <w:szCs w:val="18"/>
          <w:lang w:val="en-US"/>
        </w:rPr>
        <w:t>v.</w:t>
      </w:r>
      <w:r w:rsidRPr="00EB582C">
        <w:rPr>
          <w:rFonts w:eastAsia="Times New Roman"/>
          <w:i/>
          <w:szCs w:val="18"/>
          <w:lang w:val="en-US"/>
        </w:rPr>
        <w:t xml:space="preserve"> </w:t>
      </w:r>
      <w:r>
        <w:rPr>
          <w:rFonts w:eastAsia="Times New Roman"/>
          <w:iCs/>
          <w:szCs w:val="18"/>
          <w:lang w:val="en-US"/>
        </w:rPr>
        <w:t>[</w:t>
      </w:r>
      <w:r>
        <w:rPr>
          <w:rFonts w:eastAsia="Times New Roman"/>
          <w:i/>
          <w:szCs w:val="18"/>
          <w:lang w:val="en-US"/>
        </w:rPr>
        <w:t>A.K.W.</w:t>
      </w:r>
      <w:r>
        <w:rPr>
          <w:rFonts w:eastAsia="Times New Roman"/>
          <w:iCs/>
          <w:szCs w:val="18"/>
          <w:lang w:val="en-US"/>
        </w:rPr>
        <w:t>]</w:t>
      </w:r>
      <w:r w:rsidRPr="00EB582C">
        <w:rPr>
          <w:rFonts w:eastAsia="Times New Roman"/>
          <w:szCs w:val="18"/>
          <w:lang w:val="en-US"/>
        </w:rPr>
        <w:t xml:space="preserve">, </w:t>
      </w:r>
      <w:r w:rsidRPr="003F1D92">
        <w:rPr>
          <w:rFonts w:eastAsia="Times New Roman"/>
          <w:szCs w:val="18"/>
          <w:lang w:val="en-US"/>
        </w:rPr>
        <w:t>CRI 2005-004-15296, Report of Potter J. (14 September 2009), para. 2</w:t>
      </w:r>
      <w:r w:rsidRPr="00EB582C">
        <w:rPr>
          <w:rFonts w:eastAsia="Times New Roman"/>
          <w:szCs w:val="18"/>
          <w:lang w:val="en-US"/>
        </w:rPr>
        <w:t>).</w:t>
      </w:r>
    </w:p>
  </w:footnote>
  <w:footnote w:id="27">
    <w:p w:rsidR="00E27CA3" w:rsidRPr="00EB582C" w:rsidRDefault="00E27CA3" w:rsidP="004F6692">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cites </w:t>
      </w:r>
      <w:r>
        <w:rPr>
          <w:i/>
          <w:szCs w:val="18"/>
        </w:rPr>
        <w:t>The Queen</w:t>
      </w:r>
      <w:r w:rsidRPr="00EB582C">
        <w:rPr>
          <w:szCs w:val="18"/>
        </w:rPr>
        <w:t xml:space="preserve"> </w:t>
      </w:r>
      <w:r w:rsidRPr="004431F8">
        <w:rPr>
          <w:iCs/>
          <w:szCs w:val="18"/>
        </w:rPr>
        <w:t>v.</w:t>
      </w:r>
      <w:r w:rsidRPr="00EB582C">
        <w:rPr>
          <w:szCs w:val="18"/>
        </w:rPr>
        <w:t xml:space="preserve"> </w:t>
      </w:r>
      <w:r>
        <w:rPr>
          <w:szCs w:val="18"/>
        </w:rPr>
        <w:t>[</w:t>
      </w:r>
      <w:r>
        <w:rPr>
          <w:i/>
          <w:iCs/>
          <w:szCs w:val="18"/>
        </w:rPr>
        <w:t>A.K.</w:t>
      </w:r>
      <w:r>
        <w:rPr>
          <w:i/>
          <w:szCs w:val="18"/>
        </w:rPr>
        <w:t>W</w:t>
      </w:r>
      <w:r>
        <w:rPr>
          <w:iCs/>
          <w:szCs w:val="18"/>
        </w:rPr>
        <w:t>]</w:t>
      </w:r>
      <w:r>
        <w:rPr>
          <w:szCs w:val="18"/>
        </w:rPr>
        <w:t>,</w:t>
      </w:r>
      <w:r w:rsidRPr="00EB582C">
        <w:rPr>
          <w:szCs w:val="18"/>
        </w:rPr>
        <w:t xml:space="preserve"> </w:t>
      </w:r>
      <w:r>
        <w:rPr>
          <w:szCs w:val="18"/>
        </w:rPr>
        <w:t>j</w:t>
      </w:r>
      <w:r w:rsidRPr="00EB582C">
        <w:rPr>
          <w:szCs w:val="18"/>
        </w:rPr>
        <w:t>udg</w:t>
      </w:r>
      <w:r>
        <w:rPr>
          <w:szCs w:val="18"/>
        </w:rPr>
        <w:t>e</w:t>
      </w:r>
      <w:r w:rsidRPr="00EB582C">
        <w:rPr>
          <w:szCs w:val="18"/>
        </w:rPr>
        <w:t xml:space="preserve">ment on pretrial applications, CRI 2005-004-15296 (16 February 2009), </w:t>
      </w:r>
      <w:r>
        <w:rPr>
          <w:szCs w:val="18"/>
        </w:rPr>
        <w:t>paras. </w:t>
      </w:r>
      <w:r w:rsidRPr="00EB582C">
        <w:rPr>
          <w:szCs w:val="18"/>
        </w:rPr>
        <w:t>25</w:t>
      </w:r>
      <w:r>
        <w:rPr>
          <w:szCs w:val="18"/>
        </w:rPr>
        <w:t>–</w:t>
      </w:r>
      <w:r w:rsidRPr="00EB582C">
        <w:rPr>
          <w:szCs w:val="18"/>
        </w:rPr>
        <w:t xml:space="preserve">27; and </w:t>
      </w:r>
      <w:r>
        <w:rPr>
          <w:i/>
          <w:szCs w:val="18"/>
        </w:rPr>
        <w:t>The Queen</w:t>
      </w:r>
      <w:r w:rsidRPr="00EB582C">
        <w:rPr>
          <w:szCs w:val="18"/>
        </w:rPr>
        <w:t xml:space="preserve"> </w:t>
      </w:r>
      <w:r w:rsidRPr="004431F8">
        <w:rPr>
          <w:iCs/>
          <w:szCs w:val="18"/>
        </w:rPr>
        <w:t>v.</w:t>
      </w:r>
      <w:r w:rsidRPr="00EB582C">
        <w:rPr>
          <w:szCs w:val="18"/>
        </w:rPr>
        <w:t xml:space="preserve"> </w:t>
      </w:r>
      <w:r>
        <w:rPr>
          <w:szCs w:val="18"/>
        </w:rPr>
        <w:t>[</w:t>
      </w:r>
      <w:r>
        <w:rPr>
          <w:i/>
          <w:iCs/>
          <w:szCs w:val="18"/>
        </w:rPr>
        <w:t>A.K.</w:t>
      </w:r>
      <w:r>
        <w:rPr>
          <w:i/>
          <w:szCs w:val="18"/>
        </w:rPr>
        <w:t>W.</w:t>
      </w:r>
      <w:r>
        <w:rPr>
          <w:szCs w:val="18"/>
        </w:rPr>
        <w:t>],</w:t>
      </w:r>
      <w:r w:rsidRPr="00EB582C">
        <w:rPr>
          <w:szCs w:val="18"/>
        </w:rPr>
        <w:t xml:space="preserve"> </w:t>
      </w:r>
      <w:r>
        <w:rPr>
          <w:szCs w:val="18"/>
        </w:rPr>
        <w:t>r</w:t>
      </w:r>
      <w:r w:rsidRPr="00EB582C">
        <w:rPr>
          <w:szCs w:val="18"/>
        </w:rPr>
        <w:t xml:space="preserve">easons on pretrial applications, CRI 2005-004-15296 (5 March 2009), </w:t>
      </w:r>
      <w:r>
        <w:rPr>
          <w:szCs w:val="18"/>
        </w:rPr>
        <w:t>para. </w:t>
      </w:r>
      <w:r w:rsidRPr="00EB582C">
        <w:rPr>
          <w:szCs w:val="18"/>
        </w:rPr>
        <w:t>9</w:t>
      </w:r>
      <w:r>
        <w:rPr>
          <w:szCs w:val="18"/>
        </w:rPr>
        <w:t>, second subpara</w:t>
      </w:r>
      <w:r w:rsidR="00944989">
        <w:rPr>
          <w:szCs w:val="18"/>
        </w:rPr>
        <w:t>gra</w:t>
      </w:r>
      <w:r>
        <w:rPr>
          <w:szCs w:val="18"/>
        </w:rPr>
        <w:t>ph</w:t>
      </w:r>
      <w:r w:rsidRPr="00EB582C">
        <w:rPr>
          <w:szCs w:val="18"/>
        </w:rPr>
        <w:t xml:space="preserve">. </w:t>
      </w:r>
    </w:p>
  </w:footnote>
  <w:footnote w:id="28">
    <w:p w:rsidR="00E27CA3" w:rsidRPr="00EB582C" w:rsidRDefault="00E27CA3" w:rsidP="00ED500D">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cites </w:t>
      </w:r>
      <w:r w:rsidR="00ED500D">
        <w:rPr>
          <w:szCs w:val="18"/>
        </w:rPr>
        <w:t>the author’s submission</w:t>
      </w:r>
      <w:r w:rsidRPr="00EB582C">
        <w:rPr>
          <w:szCs w:val="18"/>
        </w:rPr>
        <w:t>,</w:t>
      </w:r>
      <w:r w:rsidR="00944989">
        <w:rPr>
          <w:szCs w:val="18"/>
        </w:rPr>
        <w:t xml:space="preserve"> in</w:t>
      </w:r>
      <w:r w:rsidRPr="00EB582C">
        <w:rPr>
          <w:szCs w:val="18"/>
        </w:rPr>
        <w:t xml:space="preserve"> which</w:t>
      </w:r>
      <w:r>
        <w:rPr>
          <w:szCs w:val="18"/>
        </w:rPr>
        <w:t xml:space="preserve"> the author’s counsel</w:t>
      </w:r>
      <w:r w:rsidRPr="00EB582C">
        <w:rPr>
          <w:szCs w:val="18"/>
        </w:rPr>
        <w:t xml:space="preserve"> states, “It really is in my submission inexcusable that my client</w:t>
      </w:r>
      <w:r>
        <w:rPr>
          <w:szCs w:val="18"/>
        </w:rPr>
        <w:t xml:space="preserve"> can go to prison for almost 15 </w:t>
      </w:r>
      <w:r w:rsidRPr="00EB582C">
        <w:rPr>
          <w:szCs w:val="18"/>
        </w:rPr>
        <w:t>years with such flagrant destruction of the only real evidence that could have been used both against him, but also possibly by him for exoneration purposes.”</w:t>
      </w:r>
    </w:p>
  </w:footnote>
  <w:footnote w:id="29">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cites </w:t>
      </w:r>
      <w:r>
        <w:rPr>
          <w:szCs w:val="18"/>
        </w:rPr>
        <w:t xml:space="preserve">the Committee’s </w:t>
      </w:r>
      <w:r w:rsidRPr="00EB582C">
        <w:rPr>
          <w:szCs w:val="18"/>
        </w:rPr>
        <w:t xml:space="preserve">general comment </w:t>
      </w:r>
      <w:r>
        <w:rPr>
          <w:szCs w:val="18"/>
        </w:rPr>
        <w:t>No. </w:t>
      </w:r>
      <w:r w:rsidRPr="00EB582C">
        <w:rPr>
          <w:szCs w:val="18"/>
        </w:rPr>
        <w:t>32</w:t>
      </w:r>
      <w:r>
        <w:rPr>
          <w:szCs w:val="18"/>
        </w:rPr>
        <w:t xml:space="preserve"> (2007) on the right to equality before courts and tribunals and to a fair trial, and</w:t>
      </w:r>
      <w:r w:rsidRPr="00EB582C">
        <w:rPr>
          <w:szCs w:val="18"/>
        </w:rPr>
        <w:t xml:space="preserve"> communication </w:t>
      </w:r>
      <w:r>
        <w:rPr>
          <w:szCs w:val="18"/>
        </w:rPr>
        <w:t>No. </w:t>
      </w:r>
      <w:r w:rsidRPr="00EB582C">
        <w:rPr>
          <w:szCs w:val="18"/>
        </w:rPr>
        <w:t xml:space="preserve">1758/2008, </w:t>
      </w:r>
      <w:r w:rsidRPr="00EB582C">
        <w:rPr>
          <w:i/>
          <w:szCs w:val="18"/>
        </w:rPr>
        <w:t xml:space="preserve">Jessop </w:t>
      </w:r>
      <w:r w:rsidRPr="004431F8">
        <w:rPr>
          <w:iCs/>
          <w:szCs w:val="18"/>
        </w:rPr>
        <w:t>v.</w:t>
      </w:r>
      <w:r w:rsidRPr="00EB582C">
        <w:rPr>
          <w:i/>
          <w:szCs w:val="18"/>
        </w:rPr>
        <w:t xml:space="preserve"> New Zealand</w:t>
      </w:r>
      <w:r w:rsidRPr="00EB582C">
        <w:rPr>
          <w:szCs w:val="18"/>
        </w:rPr>
        <w:t xml:space="preserve">, </w:t>
      </w:r>
      <w:r w:rsidR="004B5012">
        <w:rPr>
          <w:szCs w:val="18"/>
        </w:rPr>
        <w:t xml:space="preserve">Views adopted on 29 March 2011, </w:t>
      </w:r>
      <w:r>
        <w:rPr>
          <w:szCs w:val="18"/>
        </w:rPr>
        <w:t>para. </w:t>
      </w:r>
      <w:r w:rsidRPr="00EB582C">
        <w:rPr>
          <w:szCs w:val="18"/>
        </w:rPr>
        <w:t>7.11.</w:t>
      </w:r>
    </w:p>
  </w:footnote>
  <w:footnote w:id="30">
    <w:p w:rsidR="00E27CA3" w:rsidRPr="007D3EE4" w:rsidRDefault="00E27CA3" w:rsidP="00D051E8">
      <w:pPr>
        <w:pStyle w:val="FootnoteText"/>
        <w:rPr>
          <w:szCs w:val="18"/>
          <w:lang w:val="es-ES"/>
        </w:rPr>
      </w:pPr>
      <w:r>
        <w:rPr>
          <w:szCs w:val="18"/>
        </w:rPr>
        <w:tab/>
      </w:r>
      <w:r w:rsidRPr="00B74D2B">
        <w:rPr>
          <w:rStyle w:val="FootnoteReference"/>
        </w:rPr>
        <w:footnoteRef/>
      </w:r>
      <w:r>
        <w:rPr>
          <w:szCs w:val="18"/>
        </w:rPr>
        <w:tab/>
      </w:r>
      <w:r w:rsidRPr="00EB582C">
        <w:rPr>
          <w:szCs w:val="18"/>
        </w:rPr>
        <w:t xml:space="preserve">The State party cites </w:t>
      </w:r>
      <w:r>
        <w:rPr>
          <w:szCs w:val="18"/>
        </w:rPr>
        <w:t xml:space="preserve">European Court of Human Rights, </w:t>
      </w:r>
      <w:r w:rsidRPr="00EB582C">
        <w:rPr>
          <w:i/>
          <w:szCs w:val="18"/>
        </w:rPr>
        <w:t xml:space="preserve">Gregory </w:t>
      </w:r>
      <w:r w:rsidRPr="004431F8">
        <w:rPr>
          <w:iCs/>
          <w:szCs w:val="18"/>
        </w:rPr>
        <w:t xml:space="preserve">v. </w:t>
      </w:r>
      <w:r w:rsidRPr="00EB582C">
        <w:rPr>
          <w:i/>
          <w:szCs w:val="18"/>
        </w:rPr>
        <w:t>United Kingdom</w:t>
      </w:r>
      <w:r>
        <w:rPr>
          <w:szCs w:val="18"/>
        </w:rPr>
        <w:t xml:space="preserve">, Application No. </w:t>
      </w:r>
      <w:r w:rsidRPr="00D051E8">
        <w:rPr>
          <w:szCs w:val="18"/>
        </w:rPr>
        <w:t>22299/93</w:t>
      </w:r>
      <w:r>
        <w:rPr>
          <w:szCs w:val="18"/>
        </w:rPr>
        <w:t>, judgement of 25 February 1997</w:t>
      </w:r>
      <w:r w:rsidRPr="00EB582C">
        <w:rPr>
          <w:szCs w:val="18"/>
        </w:rPr>
        <w:t xml:space="preserve">, </w:t>
      </w:r>
      <w:r>
        <w:rPr>
          <w:szCs w:val="18"/>
        </w:rPr>
        <w:t>para. </w:t>
      </w:r>
      <w:r w:rsidRPr="00EB582C">
        <w:rPr>
          <w:szCs w:val="18"/>
        </w:rPr>
        <w:t xml:space="preserve">44, recently endorsed in </w:t>
      </w:r>
      <w:r w:rsidRPr="00EB582C">
        <w:rPr>
          <w:i/>
          <w:szCs w:val="18"/>
        </w:rPr>
        <w:t xml:space="preserve">Szypusz </w:t>
      </w:r>
      <w:r w:rsidRPr="004431F8">
        <w:rPr>
          <w:iCs/>
          <w:szCs w:val="18"/>
        </w:rPr>
        <w:t>v.</w:t>
      </w:r>
      <w:r w:rsidRPr="00EB582C">
        <w:rPr>
          <w:szCs w:val="18"/>
        </w:rPr>
        <w:t xml:space="preserve"> </w:t>
      </w:r>
      <w:r w:rsidRPr="00EB582C">
        <w:rPr>
          <w:i/>
          <w:szCs w:val="18"/>
        </w:rPr>
        <w:t>United Kingdom</w:t>
      </w:r>
      <w:r w:rsidR="00BA66C5">
        <w:rPr>
          <w:iCs/>
          <w:szCs w:val="18"/>
        </w:rPr>
        <w:t>,</w:t>
      </w:r>
      <w:r w:rsidRPr="00EB582C">
        <w:rPr>
          <w:szCs w:val="18"/>
        </w:rPr>
        <w:t xml:space="preserve"> App</w:t>
      </w:r>
      <w:r>
        <w:rPr>
          <w:szCs w:val="18"/>
        </w:rPr>
        <w:t>lication</w:t>
      </w:r>
      <w:r w:rsidRPr="00EB582C">
        <w:rPr>
          <w:szCs w:val="18"/>
        </w:rPr>
        <w:t xml:space="preserve"> </w:t>
      </w:r>
      <w:r>
        <w:rPr>
          <w:szCs w:val="18"/>
        </w:rPr>
        <w:t>No. </w:t>
      </w:r>
      <w:r w:rsidRPr="00EB582C">
        <w:rPr>
          <w:szCs w:val="18"/>
        </w:rPr>
        <w:t>8400/07</w:t>
      </w:r>
      <w:r>
        <w:rPr>
          <w:szCs w:val="18"/>
        </w:rPr>
        <w:t>, judgement of 21 September 2010</w:t>
      </w:r>
      <w:r w:rsidRPr="00EB582C">
        <w:rPr>
          <w:szCs w:val="18"/>
        </w:rPr>
        <w:t xml:space="preserve">, </w:t>
      </w:r>
      <w:r>
        <w:rPr>
          <w:szCs w:val="18"/>
        </w:rPr>
        <w:t>para. </w:t>
      </w:r>
      <w:r w:rsidRPr="007D3EE4">
        <w:rPr>
          <w:szCs w:val="18"/>
          <w:lang w:val="es-ES"/>
        </w:rPr>
        <w:t xml:space="preserve">80. </w:t>
      </w:r>
    </w:p>
  </w:footnote>
  <w:footnote w:id="31">
    <w:p w:rsidR="00E27CA3" w:rsidRPr="007D3EE4" w:rsidRDefault="00E27CA3" w:rsidP="00756B53">
      <w:pPr>
        <w:pStyle w:val="FootnoteText"/>
        <w:rPr>
          <w:szCs w:val="18"/>
          <w:lang w:val="es-ES"/>
        </w:rPr>
      </w:pPr>
      <w:r>
        <w:rPr>
          <w:szCs w:val="18"/>
          <w:lang w:val="es-ES"/>
        </w:rPr>
        <w:tab/>
      </w:r>
      <w:r w:rsidRPr="00B74D2B">
        <w:rPr>
          <w:rStyle w:val="FootnoteReference"/>
        </w:rPr>
        <w:footnoteRef/>
      </w:r>
      <w:r w:rsidRPr="004431F8">
        <w:rPr>
          <w:szCs w:val="18"/>
          <w:lang w:val="en-US"/>
        </w:rPr>
        <w:tab/>
        <w:t xml:space="preserve">The State party cites </w:t>
      </w:r>
      <w:r w:rsidRPr="004431F8">
        <w:rPr>
          <w:i/>
          <w:szCs w:val="18"/>
          <w:lang w:val="en-US"/>
        </w:rPr>
        <w:t xml:space="preserve">The Queen </w:t>
      </w:r>
      <w:r w:rsidRPr="004431F8">
        <w:rPr>
          <w:iCs/>
          <w:szCs w:val="18"/>
          <w:lang w:val="en-US"/>
        </w:rPr>
        <w:t>v.</w:t>
      </w:r>
      <w:r w:rsidRPr="004431F8">
        <w:rPr>
          <w:i/>
          <w:szCs w:val="18"/>
          <w:lang w:val="en-US"/>
        </w:rPr>
        <w:t xml:space="preserve"> Papadopoulos </w:t>
      </w:r>
      <w:r w:rsidRPr="004431F8">
        <w:rPr>
          <w:szCs w:val="18"/>
          <w:lang w:val="en-US"/>
        </w:rPr>
        <w:t xml:space="preserve">(No. 2) [1979] 1 NZLR 729, n. 9, 627; </w:t>
      </w:r>
      <w:r w:rsidRPr="004431F8">
        <w:rPr>
          <w:i/>
          <w:szCs w:val="18"/>
          <w:lang w:val="en-US"/>
        </w:rPr>
        <w:t xml:space="preserve">The Queen </w:t>
      </w:r>
      <w:r w:rsidRPr="004431F8">
        <w:rPr>
          <w:iCs/>
          <w:szCs w:val="18"/>
          <w:lang w:val="en-US"/>
        </w:rPr>
        <w:t>v.</w:t>
      </w:r>
      <w:r w:rsidRPr="004431F8">
        <w:rPr>
          <w:i/>
          <w:szCs w:val="18"/>
          <w:lang w:val="en-US"/>
        </w:rPr>
        <w:t xml:space="preserve"> Fernando</w:t>
      </w:r>
      <w:r w:rsidRPr="004431F8">
        <w:rPr>
          <w:szCs w:val="18"/>
          <w:lang w:val="en-US"/>
        </w:rPr>
        <w:t xml:space="preserve"> [2007] NZCA 485, para. </w:t>
      </w:r>
      <w:r w:rsidRPr="00ED500D">
        <w:rPr>
          <w:szCs w:val="18"/>
          <w:lang w:val="es-ES"/>
        </w:rPr>
        <w:t>80.</w:t>
      </w:r>
      <w:r w:rsidRPr="007D3EE4">
        <w:rPr>
          <w:szCs w:val="18"/>
          <w:lang w:val="es-ES"/>
        </w:rPr>
        <w:t xml:space="preserve"> </w:t>
      </w:r>
    </w:p>
  </w:footnote>
  <w:footnote w:id="32">
    <w:p w:rsidR="00E27CA3" w:rsidRPr="00EB582C" w:rsidRDefault="00E27CA3" w:rsidP="000A04A9">
      <w:pPr>
        <w:pStyle w:val="FootnoteText"/>
        <w:rPr>
          <w:szCs w:val="18"/>
        </w:rPr>
      </w:pPr>
      <w:r w:rsidRPr="007D3EE4">
        <w:rPr>
          <w:szCs w:val="18"/>
          <w:lang w:val="es-ES"/>
        </w:rPr>
        <w:tab/>
      </w:r>
      <w:r w:rsidRPr="00B74D2B">
        <w:rPr>
          <w:rStyle w:val="FootnoteReference"/>
        </w:rPr>
        <w:footnoteRef/>
      </w:r>
      <w:r>
        <w:rPr>
          <w:szCs w:val="18"/>
        </w:rPr>
        <w:tab/>
      </w:r>
      <w:r w:rsidRPr="00EB582C">
        <w:rPr>
          <w:szCs w:val="18"/>
        </w:rPr>
        <w:t xml:space="preserve">The reasons of the judge on the author’s pretrial application describe the evidence presented to the jury and used to convict the author of importation and possession </w:t>
      </w:r>
      <w:r>
        <w:rPr>
          <w:szCs w:val="18"/>
        </w:rPr>
        <w:t xml:space="preserve">of </w:t>
      </w:r>
      <w:r w:rsidRPr="00EB582C">
        <w:rPr>
          <w:szCs w:val="18"/>
        </w:rPr>
        <w:t>the drug for supply. The evidence includes an analysis of the liquids that were sent to “ESR” (undefined) by New Zealand Customs following interception of the 2004 drug shipment at Auckland International Airport. The analysis stated that all the liquids contained methamphetamine, and that th</w:t>
      </w:r>
      <w:r>
        <w:rPr>
          <w:szCs w:val="18"/>
        </w:rPr>
        <w:t xml:space="preserve">e content was equivalent to 8.9 </w:t>
      </w:r>
      <w:r w:rsidRPr="00EB582C">
        <w:rPr>
          <w:szCs w:val="18"/>
        </w:rPr>
        <w:t>kilograms of methamphetamine hydrochloride with a purity between 43 and 48 per</w:t>
      </w:r>
      <w:r>
        <w:rPr>
          <w:szCs w:val="18"/>
        </w:rPr>
        <w:t xml:space="preserve"> </w:t>
      </w:r>
      <w:r w:rsidRPr="00EB582C">
        <w:rPr>
          <w:szCs w:val="18"/>
        </w:rPr>
        <w:t xml:space="preserve">cent (“Reasons of Potter J on pre-trial applications”, </w:t>
      </w:r>
      <w:r w:rsidRPr="00EB582C">
        <w:rPr>
          <w:i/>
          <w:szCs w:val="18"/>
        </w:rPr>
        <w:t>The Queen</w:t>
      </w:r>
      <w:r w:rsidRPr="00EB582C">
        <w:rPr>
          <w:szCs w:val="18"/>
        </w:rPr>
        <w:t xml:space="preserve"> </w:t>
      </w:r>
      <w:r w:rsidRPr="004431F8">
        <w:rPr>
          <w:iCs/>
          <w:szCs w:val="18"/>
        </w:rPr>
        <w:t>v.</w:t>
      </w:r>
      <w:r w:rsidRPr="00EB582C">
        <w:rPr>
          <w:szCs w:val="18"/>
        </w:rPr>
        <w:t xml:space="preserve"> </w:t>
      </w:r>
      <w:r>
        <w:rPr>
          <w:szCs w:val="18"/>
        </w:rPr>
        <w:t>[</w:t>
      </w:r>
      <w:r>
        <w:rPr>
          <w:i/>
          <w:szCs w:val="18"/>
        </w:rPr>
        <w:t>A.K.W.</w:t>
      </w:r>
      <w:r w:rsidRPr="004431F8">
        <w:rPr>
          <w:iCs/>
          <w:szCs w:val="18"/>
        </w:rPr>
        <w:t>]</w:t>
      </w:r>
      <w:r w:rsidRPr="00EB582C">
        <w:rPr>
          <w:szCs w:val="18"/>
        </w:rPr>
        <w:t>, CRI 2005-004-15296 (17 February 2009)).</w:t>
      </w:r>
    </w:p>
  </w:footnote>
  <w:footnote w:id="33">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 xml:space="preserve">The reasons of the judge reject the author’s application for exclusion of the drug evidence due to prejudice. The judge reasoned that the drugs were no longer available for testing because the police </w:t>
      </w:r>
      <w:r w:rsidR="00F42823">
        <w:rPr>
          <w:szCs w:val="18"/>
        </w:rPr>
        <w:t xml:space="preserve">had </w:t>
      </w:r>
      <w:r w:rsidRPr="00EB582C">
        <w:rPr>
          <w:szCs w:val="18"/>
        </w:rPr>
        <w:t xml:space="preserve">destroyed them through a routine decision against the background that at no point had any request been made by the defence for access to the drugs, and that the author had never sought a peer review of the analysis and processes undertaken by ESR, which had supplied the drug analysis used by the prosecution. The judge further considered the evidence provided by the author, namely, the </w:t>
      </w:r>
      <w:r w:rsidR="00F42823">
        <w:rPr>
          <w:szCs w:val="18"/>
        </w:rPr>
        <w:t>l</w:t>
      </w:r>
      <w:r w:rsidRPr="00EB582C">
        <w:rPr>
          <w:szCs w:val="18"/>
        </w:rPr>
        <w:t xml:space="preserve">aboratory </w:t>
      </w:r>
      <w:r w:rsidR="00F42823">
        <w:rPr>
          <w:szCs w:val="18"/>
        </w:rPr>
        <w:t>t</w:t>
      </w:r>
      <w:r w:rsidRPr="00EB582C">
        <w:rPr>
          <w:szCs w:val="18"/>
        </w:rPr>
        <w:t xml:space="preserve">est </w:t>
      </w:r>
      <w:r w:rsidR="00F42823">
        <w:rPr>
          <w:szCs w:val="18"/>
        </w:rPr>
        <w:t>r</w:t>
      </w:r>
      <w:r w:rsidRPr="00EB582C">
        <w:rPr>
          <w:szCs w:val="18"/>
        </w:rPr>
        <w:t>eport from Guangzhou City Chemical Industry Research Instituted dated 7 June 2004, stating that the “lamp” contained a “general product” that did not belong to category 6 toxic substances. The judge concluded that the report was of little probative worth, because no details of the single lamp were given, and was dated about one month before the date of importation of the cartons into New Zealand. (“</w:t>
      </w:r>
      <w:r w:rsidRPr="00ED500D">
        <w:rPr>
          <w:szCs w:val="18"/>
        </w:rPr>
        <w:t xml:space="preserve">Reasons of Potter J for Rulings dated 25 February 2009), </w:t>
      </w:r>
      <w:r w:rsidRPr="00ED500D">
        <w:rPr>
          <w:i/>
          <w:szCs w:val="18"/>
        </w:rPr>
        <w:t>The Queen</w:t>
      </w:r>
      <w:r w:rsidRPr="00ED500D">
        <w:rPr>
          <w:szCs w:val="18"/>
        </w:rPr>
        <w:t xml:space="preserve"> </w:t>
      </w:r>
      <w:r w:rsidRPr="004431F8">
        <w:rPr>
          <w:iCs/>
          <w:szCs w:val="18"/>
        </w:rPr>
        <w:t>v.</w:t>
      </w:r>
      <w:r w:rsidRPr="00ED500D">
        <w:rPr>
          <w:szCs w:val="18"/>
        </w:rPr>
        <w:t xml:space="preserve"> [</w:t>
      </w:r>
      <w:r w:rsidRPr="00ED500D">
        <w:rPr>
          <w:i/>
          <w:szCs w:val="18"/>
        </w:rPr>
        <w:t>A.K.W.</w:t>
      </w:r>
      <w:r w:rsidRPr="00ED500D">
        <w:rPr>
          <w:iCs/>
          <w:szCs w:val="18"/>
        </w:rPr>
        <w:t>]</w:t>
      </w:r>
      <w:r w:rsidRPr="00ED500D">
        <w:rPr>
          <w:szCs w:val="18"/>
        </w:rPr>
        <w:t>, CRI 2005-004-15296 (5 March 2009)).</w:t>
      </w:r>
    </w:p>
  </w:footnote>
  <w:footnote w:id="34">
    <w:p w:rsidR="00E27CA3" w:rsidRPr="00EB582C" w:rsidRDefault="00E27CA3" w:rsidP="00ED500D">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cites </w:t>
      </w:r>
      <w:r>
        <w:rPr>
          <w:szCs w:val="18"/>
        </w:rPr>
        <w:t>paras. </w:t>
      </w:r>
      <w:r w:rsidRPr="00EB582C">
        <w:rPr>
          <w:szCs w:val="18"/>
        </w:rPr>
        <w:t xml:space="preserve">31 and 88 </w:t>
      </w:r>
      <w:r w:rsidRPr="00ED500D">
        <w:rPr>
          <w:szCs w:val="18"/>
        </w:rPr>
        <w:t xml:space="preserve">of the </w:t>
      </w:r>
      <w:r w:rsidR="00ED500D">
        <w:rPr>
          <w:szCs w:val="18"/>
        </w:rPr>
        <w:t>submission</w:t>
      </w:r>
      <w:r w:rsidRPr="00EB582C">
        <w:rPr>
          <w:szCs w:val="18"/>
        </w:rPr>
        <w:t>.</w:t>
      </w:r>
    </w:p>
  </w:footnote>
  <w:footnote w:id="35">
    <w:p w:rsidR="00E27CA3" w:rsidRPr="00EB582C" w:rsidRDefault="00E27CA3" w:rsidP="0067588E">
      <w:pPr>
        <w:pStyle w:val="FootnoteText"/>
        <w:rPr>
          <w:szCs w:val="18"/>
        </w:rPr>
      </w:pPr>
      <w:r>
        <w:rPr>
          <w:szCs w:val="18"/>
        </w:rPr>
        <w:tab/>
      </w:r>
      <w:r w:rsidRPr="00B74D2B">
        <w:rPr>
          <w:rStyle w:val="FootnoteReference"/>
        </w:rPr>
        <w:footnoteRef/>
      </w:r>
      <w:r>
        <w:rPr>
          <w:szCs w:val="18"/>
        </w:rPr>
        <w:tab/>
      </w:r>
      <w:r w:rsidRPr="00EB582C">
        <w:rPr>
          <w:szCs w:val="18"/>
        </w:rPr>
        <w:t xml:space="preserve">The State party cites </w:t>
      </w:r>
      <w:r w:rsidRPr="00DD2E13">
        <w:rPr>
          <w:szCs w:val="18"/>
        </w:rPr>
        <w:t>[</w:t>
      </w:r>
      <w:r w:rsidRPr="004431F8">
        <w:rPr>
          <w:i/>
          <w:szCs w:val="18"/>
        </w:rPr>
        <w:t>A.K.</w:t>
      </w:r>
      <w:r w:rsidRPr="00DD2E13">
        <w:rPr>
          <w:i/>
          <w:szCs w:val="18"/>
        </w:rPr>
        <w:t>W.</w:t>
      </w:r>
      <w:r w:rsidRPr="00DD2E13">
        <w:rPr>
          <w:iCs/>
          <w:szCs w:val="18"/>
        </w:rPr>
        <w:t>]</w:t>
      </w:r>
      <w:r w:rsidRPr="00DD2E13">
        <w:rPr>
          <w:i/>
          <w:szCs w:val="18"/>
        </w:rPr>
        <w:t xml:space="preserve"> </w:t>
      </w:r>
      <w:r w:rsidRPr="004431F8">
        <w:rPr>
          <w:iCs/>
          <w:szCs w:val="18"/>
        </w:rPr>
        <w:t>v.</w:t>
      </w:r>
      <w:r w:rsidRPr="00DD2E13">
        <w:rPr>
          <w:i/>
          <w:szCs w:val="18"/>
        </w:rPr>
        <w:t xml:space="preserve"> The Queen</w:t>
      </w:r>
      <w:r w:rsidRPr="00DD2E13">
        <w:rPr>
          <w:szCs w:val="18"/>
        </w:rPr>
        <w:t xml:space="preserve"> [2010] NZSC 14, 2 March 2010</w:t>
      </w:r>
      <w:r w:rsidRPr="00EB582C">
        <w:rPr>
          <w:szCs w:val="18"/>
        </w:rPr>
        <w:t xml:space="preserve">, </w:t>
      </w:r>
      <w:r>
        <w:rPr>
          <w:szCs w:val="18"/>
        </w:rPr>
        <w:t>para. </w:t>
      </w:r>
      <w:r w:rsidRPr="00EB582C">
        <w:rPr>
          <w:szCs w:val="18"/>
        </w:rPr>
        <w:t>5.</w:t>
      </w:r>
    </w:p>
  </w:footnote>
  <w:footnote w:id="36">
    <w:p w:rsidR="00E27CA3" w:rsidRPr="00EB582C" w:rsidRDefault="00E27CA3" w:rsidP="00FD61BD">
      <w:pPr>
        <w:pStyle w:val="FootnoteText"/>
        <w:rPr>
          <w:szCs w:val="18"/>
        </w:rPr>
      </w:pPr>
      <w:r>
        <w:rPr>
          <w:szCs w:val="18"/>
        </w:rPr>
        <w:tab/>
      </w:r>
      <w:r w:rsidRPr="00B74D2B">
        <w:rPr>
          <w:rStyle w:val="FootnoteReference"/>
        </w:rPr>
        <w:footnoteRef/>
      </w:r>
      <w:r>
        <w:rPr>
          <w:szCs w:val="18"/>
        </w:rPr>
        <w:tab/>
      </w:r>
      <w:r w:rsidRPr="00EB582C">
        <w:rPr>
          <w:szCs w:val="18"/>
        </w:rPr>
        <w:t>The author cites communication</w:t>
      </w:r>
      <w:r>
        <w:rPr>
          <w:szCs w:val="18"/>
        </w:rPr>
        <w:t>s</w:t>
      </w:r>
      <w:r w:rsidRPr="00EB582C">
        <w:rPr>
          <w:szCs w:val="18"/>
        </w:rPr>
        <w:t xml:space="preserve"> </w:t>
      </w:r>
      <w:r>
        <w:rPr>
          <w:szCs w:val="18"/>
        </w:rPr>
        <w:t>No. </w:t>
      </w:r>
      <w:r w:rsidRPr="00EB582C">
        <w:rPr>
          <w:szCs w:val="18"/>
        </w:rPr>
        <w:t xml:space="preserve">811/1998, </w:t>
      </w:r>
      <w:r w:rsidRPr="00EB582C">
        <w:rPr>
          <w:i/>
          <w:szCs w:val="18"/>
        </w:rPr>
        <w:t xml:space="preserve">Mulai </w:t>
      </w:r>
      <w:r w:rsidRPr="004431F8">
        <w:rPr>
          <w:iCs/>
          <w:szCs w:val="18"/>
        </w:rPr>
        <w:t>v.</w:t>
      </w:r>
      <w:r w:rsidRPr="00EB582C">
        <w:rPr>
          <w:i/>
          <w:szCs w:val="18"/>
        </w:rPr>
        <w:t xml:space="preserve"> Guyana</w:t>
      </w:r>
      <w:r>
        <w:rPr>
          <w:iCs/>
          <w:szCs w:val="18"/>
        </w:rPr>
        <w:t>, Views adopted on</w:t>
      </w:r>
      <w:r w:rsidRPr="00EB582C">
        <w:rPr>
          <w:szCs w:val="18"/>
        </w:rPr>
        <w:t xml:space="preserve"> 20 July 2004, </w:t>
      </w:r>
      <w:r>
        <w:rPr>
          <w:szCs w:val="18"/>
        </w:rPr>
        <w:t>para. </w:t>
      </w:r>
      <w:r w:rsidRPr="00EB582C">
        <w:rPr>
          <w:szCs w:val="18"/>
        </w:rPr>
        <w:t>6.1</w:t>
      </w:r>
      <w:r>
        <w:rPr>
          <w:szCs w:val="18"/>
        </w:rPr>
        <w:t xml:space="preserve"> and</w:t>
      </w:r>
      <w:r w:rsidRPr="00EB582C">
        <w:rPr>
          <w:szCs w:val="18"/>
        </w:rPr>
        <w:t xml:space="preserve"> </w:t>
      </w:r>
      <w:r>
        <w:rPr>
          <w:szCs w:val="18"/>
        </w:rPr>
        <w:t>No. </w:t>
      </w:r>
      <w:r w:rsidRPr="00EB582C">
        <w:rPr>
          <w:szCs w:val="18"/>
        </w:rPr>
        <w:t>912/2000</w:t>
      </w:r>
      <w:r w:rsidR="00394C4B">
        <w:rPr>
          <w:szCs w:val="18"/>
        </w:rPr>
        <w:t>,</w:t>
      </w:r>
      <w:r w:rsidRPr="00EB582C">
        <w:rPr>
          <w:szCs w:val="18"/>
        </w:rPr>
        <w:t xml:space="preserve"> </w:t>
      </w:r>
      <w:r w:rsidRPr="004431F8">
        <w:rPr>
          <w:i/>
          <w:iCs/>
          <w:szCs w:val="18"/>
        </w:rPr>
        <w:t>Deolall</w:t>
      </w:r>
      <w:r w:rsidRPr="00127ECC">
        <w:rPr>
          <w:i/>
          <w:iCs/>
          <w:szCs w:val="18"/>
        </w:rPr>
        <w:t xml:space="preserve"> </w:t>
      </w:r>
      <w:r w:rsidRPr="004431F8">
        <w:rPr>
          <w:iCs/>
          <w:szCs w:val="18"/>
        </w:rPr>
        <w:t>v.</w:t>
      </w:r>
      <w:r w:rsidRPr="00EB582C">
        <w:rPr>
          <w:i/>
          <w:szCs w:val="18"/>
        </w:rPr>
        <w:t xml:space="preserve"> Guyana</w:t>
      </w:r>
      <w:r>
        <w:rPr>
          <w:iCs/>
          <w:szCs w:val="18"/>
        </w:rPr>
        <w:t xml:space="preserve">, </w:t>
      </w:r>
      <w:r>
        <w:rPr>
          <w:szCs w:val="18"/>
        </w:rPr>
        <w:t xml:space="preserve">Views adopted on </w:t>
      </w:r>
      <w:r w:rsidRPr="00EB582C">
        <w:rPr>
          <w:szCs w:val="18"/>
        </w:rPr>
        <w:t xml:space="preserve">1 November 2004; and Committee on the Elimination of Racial Discrimination communication </w:t>
      </w:r>
      <w:r>
        <w:rPr>
          <w:szCs w:val="18"/>
        </w:rPr>
        <w:t>No. </w:t>
      </w:r>
      <w:r w:rsidRPr="00EB582C">
        <w:rPr>
          <w:szCs w:val="18"/>
        </w:rPr>
        <w:t xml:space="preserve">3/1991, </w:t>
      </w:r>
      <w:r w:rsidRPr="00EB582C">
        <w:rPr>
          <w:i/>
          <w:szCs w:val="18"/>
        </w:rPr>
        <w:t xml:space="preserve">Narrainen </w:t>
      </w:r>
      <w:r w:rsidRPr="004431F8">
        <w:rPr>
          <w:iCs/>
          <w:szCs w:val="18"/>
        </w:rPr>
        <w:t>v.</w:t>
      </w:r>
      <w:r w:rsidRPr="00EB582C">
        <w:rPr>
          <w:i/>
          <w:szCs w:val="18"/>
        </w:rPr>
        <w:t xml:space="preserve"> Norway</w:t>
      </w:r>
      <w:r>
        <w:rPr>
          <w:iCs/>
          <w:szCs w:val="18"/>
        </w:rPr>
        <w:t>, opinion adopted on</w:t>
      </w:r>
      <w:r w:rsidRPr="00EB582C">
        <w:rPr>
          <w:szCs w:val="18"/>
        </w:rPr>
        <w:t xml:space="preserve"> 15 March 1994, </w:t>
      </w:r>
      <w:r>
        <w:rPr>
          <w:szCs w:val="18"/>
        </w:rPr>
        <w:t>para. </w:t>
      </w:r>
      <w:r w:rsidRPr="00EB582C">
        <w:rPr>
          <w:szCs w:val="18"/>
        </w:rPr>
        <w:t>9.3.</w:t>
      </w:r>
    </w:p>
  </w:footnote>
  <w:footnote w:id="37">
    <w:p w:rsidR="00E27CA3" w:rsidRPr="00EB582C" w:rsidRDefault="00E27CA3" w:rsidP="00CF33DC">
      <w:pPr>
        <w:pStyle w:val="FootnoteText"/>
        <w:rPr>
          <w:szCs w:val="18"/>
        </w:rPr>
      </w:pPr>
      <w:r>
        <w:rPr>
          <w:szCs w:val="18"/>
        </w:rPr>
        <w:tab/>
      </w:r>
      <w:r w:rsidRPr="00B74D2B">
        <w:rPr>
          <w:rStyle w:val="FootnoteReference"/>
        </w:rPr>
        <w:footnoteRef/>
      </w:r>
      <w:r>
        <w:rPr>
          <w:szCs w:val="18"/>
        </w:rPr>
        <w:tab/>
        <w:t>The author cites section </w:t>
      </w:r>
      <w:r w:rsidRPr="00EB582C">
        <w:rPr>
          <w:szCs w:val="18"/>
        </w:rPr>
        <w:t>31 of the Misuse of Drugs Act 1975</w:t>
      </w:r>
      <w:r>
        <w:rPr>
          <w:szCs w:val="18"/>
        </w:rPr>
        <w:t xml:space="preserve"> of New Zealand</w:t>
      </w:r>
      <w:r w:rsidRPr="00EB582C">
        <w:rPr>
          <w:szCs w:val="18"/>
        </w:rPr>
        <w:t>.</w:t>
      </w:r>
    </w:p>
  </w:footnote>
  <w:footnote w:id="38">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author does not further clarify this assertion.</w:t>
      </w:r>
    </w:p>
  </w:footnote>
  <w:footnote w:id="39">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 xml:space="preserve">The author cites </w:t>
      </w:r>
      <w:r w:rsidRPr="00EB582C">
        <w:rPr>
          <w:i/>
          <w:szCs w:val="18"/>
        </w:rPr>
        <w:t>Abdula</w:t>
      </w:r>
      <w:r w:rsidRPr="00EB582C">
        <w:rPr>
          <w:szCs w:val="18"/>
        </w:rPr>
        <w:t xml:space="preserve"> </w:t>
      </w:r>
      <w:r w:rsidRPr="004431F8">
        <w:rPr>
          <w:iCs/>
          <w:szCs w:val="18"/>
        </w:rPr>
        <w:t>v.</w:t>
      </w:r>
      <w:r w:rsidRPr="00EB582C">
        <w:rPr>
          <w:szCs w:val="18"/>
        </w:rPr>
        <w:t xml:space="preserve"> </w:t>
      </w:r>
      <w:r>
        <w:rPr>
          <w:i/>
          <w:szCs w:val="18"/>
        </w:rPr>
        <w:t>The Queen</w:t>
      </w:r>
      <w:r w:rsidRPr="004431F8">
        <w:rPr>
          <w:iCs/>
          <w:szCs w:val="18"/>
        </w:rPr>
        <w:t>,</w:t>
      </w:r>
      <w:r>
        <w:rPr>
          <w:iCs/>
          <w:szCs w:val="18"/>
        </w:rPr>
        <w:t xml:space="preserve"> SC 80/2010</w:t>
      </w:r>
      <w:r w:rsidRPr="00EB582C">
        <w:rPr>
          <w:szCs w:val="18"/>
        </w:rPr>
        <w:t xml:space="preserve"> [2011] NZSC 130</w:t>
      </w:r>
      <w:r>
        <w:rPr>
          <w:szCs w:val="18"/>
        </w:rPr>
        <w:t>, judgement of 25 March 2011</w:t>
      </w:r>
      <w:r w:rsidRPr="00EB582C">
        <w:rPr>
          <w:szCs w:val="18"/>
        </w:rPr>
        <w:t xml:space="preserve">, </w:t>
      </w:r>
      <w:r>
        <w:rPr>
          <w:szCs w:val="18"/>
        </w:rPr>
        <w:t>paras. </w:t>
      </w:r>
      <w:r w:rsidRPr="00EB582C">
        <w:rPr>
          <w:szCs w:val="18"/>
        </w:rPr>
        <w:t>22</w:t>
      </w:r>
      <w:r>
        <w:rPr>
          <w:szCs w:val="18"/>
        </w:rPr>
        <w:t>–</w:t>
      </w:r>
      <w:r w:rsidRPr="00EB582C">
        <w:rPr>
          <w:szCs w:val="18"/>
        </w:rPr>
        <w:t>39.</w:t>
      </w:r>
    </w:p>
  </w:footnote>
  <w:footnote w:id="40">
    <w:p w:rsidR="00E27CA3" w:rsidRPr="00EB582C" w:rsidRDefault="00E27CA3" w:rsidP="00756B53">
      <w:pPr>
        <w:pStyle w:val="FootnoteText"/>
        <w:rPr>
          <w:szCs w:val="18"/>
          <w:lang w:val="en-US"/>
        </w:rPr>
      </w:pPr>
      <w:r>
        <w:rPr>
          <w:szCs w:val="18"/>
          <w:lang w:val="en-US"/>
        </w:rPr>
        <w:tab/>
      </w:r>
      <w:r w:rsidRPr="00B74D2B">
        <w:rPr>
          <w:rStyle w:val="FootnoteReference"/>
        </w:rPr>
        <w:footnoteRef/>
      </w:r>
      <w:r>
        <w:rPr>
          <w:szCs w:val="18"/>
          <w:lang w:val="en-US"/>
        </w:rPr>
        <w:tab/>
      </w:r>
      <w:r w:rsidRPr="00EB582C">
        <w:rPr>
          <w:szCs w:val="18"/>
          <w:lang w:val="en-US"/>
        </w:rPr>
        <w:t xml:space="preserve">The State party cites </w:t>
      </w:r>
      <w:r>
        <w:rPr>
          <w:rFonts w:eastAsia="Times New Roman"/>
          <w:i/>
          <w:szCs w:val="18"/>
          <w:lang w:val="en-US"/>
        </w:rPr>
        <w:t>The Queen</w:t>
      </w:r>
      <w:r w:rsidRPr="00EB582C">
        <w:rPr>
          <w:rFonts w:eastAsia="Times New Roman"/>
          <w:szCs w:val="18"/>
          <w:lang w:val="en-US"/>
        </w:rPr>
        <w:t xml:space="preserve"> </w:t>
      </w:r>
      <w:r w:rsidRPr="004431F8">
        <w:rPr>
          <w:rFonts w:eastAsia="Times New Roman"/>
          <w:iCs/>
          <w:szCs w:val="18"/>
          <w:lang w:val="en-US"/>
        </w:rPr>
        <w:t>v.</w:t>
      </w:r>
      <w:r w:rsidRPr="00EB582C">
        <w:rPr>
          <w:rFonts w:eastAsia="Times New Roman"/>
          <w:szCs w:val="18"/>
          <w:lang w:val="en-US"/>
        </w:rPr>
        <w:t xml:space="preserve"> </w:t>
      </w:r>
      <w:r>
        <w:rPr>
          <w:rFonts w:eastAsia="Times New Roman"/>
          <w:szCs w:val="18"/>
          <w:lang w:val="en-US"/>
        </w:rPr>
        <w:t>[</w:t>
      </w:r>
      <w:r>
        <w:rPr>
          <w:rFonts w:eastAsia="Times New Roman"/>
          <w:i/>
          <w:iCs/>
          <w:szCs w:val="18"/>
          <w:lang w:val="en-US"/>
        </w:rPr>
        <w:t>A.K.</w:t>
      </w:r>
      <w:r>
        <w:rPr>
          <w:rFonts w:eastAsia="Times New Roman"/>
          <w:i/>
          <w:szCs w:val="18"/>
          <w:lang w:val="en-US"/>
        </w:rPr>
        <w:t>W.</w:t>
      </w:r>
      <w:r>
        <w:rPr>
          <w:rFonts w:eastAsia="Times New Roman"/>
          <w:iCs/>
          <w:szCs w:val="18"/>
          <w:lang w:val="en-US"/>
        </w:rPr>
        <w:t>]</w:t>
      </w:r>
      <w:r w:rsidRPr="00EB582C">
        <w:rPr>
          <w:rFonts w:eastAsia="Times New Roman"/>
          <w:szCs w:val="18"/>
          <w:lang w:val="en-US"/>
        </w:rPr>
        <w:t xml:space="preserve"> [2009] NZCA 440, </w:t>
      </w:r>
      <w:r>
        <w:rPr>
          <w:rFonts w:eastAsia="Times New Roman"/>
          <w:szCs w:val="18"/>
          <w:lang w:val="en-US"/>
        </w:rPr>
        <w:t>para. </w:t>
      </w:r>
      <w:r w:rsidRPr="00EB582C">
        <w:rPr>
          <w:rFonts w:eastAsia="Times New Roman"/>
          <w:szCs w:val="18"/>
          <w:lang w:val="en-US"/>
        </w:rPr>
        <w:t xml:space="preserve">26. It appears the State party intended to cite </w:t>
      </w:r>
      <w:r>
        <w:rPr>
          <w:rFonts w:eastAsia="Times New Roman"/>
          <w:i/>
          <w:szCs w:val="18"/>
          <w:lang w:val="en-US"/>
        </w:rPr>
        <w:t>The Queen</w:t>
      </w:r>
      <w:r w:rsidRPr="00EB582C">
        <w:rPr>
          <w:rFonts w:eastAsia="Times New Roman"/>
          <w:szCs w:val="18"/>
          <w:lang w:val="en-US"/>
        </w:rPr>
        <w:t xml:space="preserve"> </w:t>
      </w:r>
      <w:r w:rsidRPr="004431F8">
        <w:rPr>
          <w:rFonts w:eastAsia="Times New Roman"/>
          <w:iCs/>
          <w:szCs w:val="18"/>
          <w:lang w:val="en-US"/>
        </w:rPr>
        <w:t>v.</w:t>
      </w:r>
      <w:r w:rsidRPr="00EB582C">
        <w:rPr>
          <w:rFonts w:eastAsia="Times New Roman"/>
          <w:szCs w:val="18"/>
          <w:lang w:val="en-US"/>
        </w:rPr>
        <w:t xml:space="preserve"> </w:t>
      </w:r>
      <w:r>
        <w:rPr>
          <w:rFonts w:eastAsia="Times New Roman"/>
          <w:szCs w:val="18"/>
          <w:lang w:val="en-US"/>
        </w:rPr>
        <w:t>[</w:t>
      </w:r>
      <w:r>
        <w:rPr>
          <w:rFonts w:eastAsia="Times New Roman"/>
          <w:i/>
          <w:iCs/>
          <w:szCs w:val="18"/>
          <w:lang w:val="en-US"/>
        </w:rPr>
        <w:t>A.K.</w:t>
      </w:r>
      <w:r w:rsidRPr="00EB582C">
        <w:rPr>
          <w:rFonts w:eastAsia="Times New Roman"/>
          <w:i/>
          <w:szCs w:val="18"/>
          <w:lang w:val="en-US"/>
        </w:rPr>
        <w:t>W</w:t>
      </w:r>
      <w:r w:rsidRPr="004431F8">
        <w:rPr>
          <w:rFonts w:eastAsia="Times New Roman"/>
          <w:iCs/>
          <w:szCs w:val="18"/>
          <w:lang w:val="en-US"/>
        </w:rPr>
        <w:t>.</w:t>
      </w:r>
      <w:r>
        <w:rPr>
          <w:rFonts w:eastAsia="Times New Roman"/>
          <w:iCs/>
          <w:szCs w:val="18"/>
          <w:lang w:val="en-US"/>
        </w:rPr>
        <w:t>], CA227/2011,</w:t>
      </w:r>
      <w:r w:rsidRPr="00EB582C">
        <w:rPr>
          <w:rFonts w:eastAsia="Times New Roman"/>
          <w:szCs w:val="18"/>
          <w:lang w:val="en-US"/>
        </w:rPr>
        <w:t xml:space="preserve"> [2011] NZCA 563.</w:t>
      </w:r>
    </w:p>
  </w:footnote>
  <w:footnote w:id="41">
    <w:p w:rsidR="00E27CA3" w:rsidRPr="00EB582C" w:rsidRDefault="00E27CA3" w:rsidP="00756B53">
      <w:pPr>
        <w:pStyle w:val="FootnoteText"/>
        <w:rPr>
          <w:szCs w:val="18"/>
          <w:lang w:val="en-US"/>
        </w:rPr>
      </w:pPr>
      <w:r>
        <w:rPr>
          <w:szCs w:val="18"/>
          <w:lang w:val="en-US"/>
        </w:rPr>
        <w:tab/>
      </w:r>
      <w:r w:rsidRPr="00B74D2B">
        <w:rPr>
          <w:rStyle w:val="FootnoteReference"/>
        </w:rPr>
        <w:footnoteRef/>
      </w:r>
      <w:r>
        <w:rPr>
          <w:szCs w:val="18"/>
          <w:lang w:val="en-US"/>
        </w:rPr>
        <w:tab/>
      </w:r>
      <w:r w:rsidRPr="00EB582C">
        <w:rPr>
          <w:szCs w:val="18"/>
          <w:lang w:val="en-US"/>
        </w:rPr>
        <w:t xml:space="preserve">The State party cites </w:t>
      </w:r>
      <w:r>
        <w:rPr>
          <w:rFonts w:eastAsia="Times New Roman"/>
          <w:i/>
          <w:szCs w:val="18"/>
          <w:lang w:val="en-US"/>
        </w:rPr>
        <w:t>The Queen</w:t>
      </w:r>
      <w:r w:rsidRPr="00EB582C">
        <w:rPr>
          <w:rFonts w:eastAsia="Times New Roman"/>
          <w:szCs w:val="18"/>
          <w:lang w:val="en-US"/>
        </w:rPr>
        <w:t xml:space="preserve"> </w:t>
      </w:r>
      <w:r w:rsidRPr="004431F8">
        <w:rPr>
          <w:iCs/>
          <w:szCs w:val="18"/>
          <w:lang w:val="en-US"/>
        </w:rPr>
        <w:t>v.</w:t>
      </w:r>
      <w:r w:rsidRPr="00127ECC">
        <w:rPr>
          <w:iCs/>
          <w:szCs w:val="18"/>
          <w:lang w:val="en-US"/>
        </w:rPr>
        <w:t xml:space="preserve"> [</w:t>
      </w:r>
      <w:r>
        <w:rPr>
          <w:rFonts w:eastAsia="Times New Roman"/>
          <w:i/>
          <w:iCs/>
          <w:szCs w:val="18"/>
          <w:lang w:val="en-US"/>
        </w:rPr>
        <w:t>A.K.</w:t>
      </w:r>
      <w:r w:rsidRPr="00EB582C">
        <w:rPr>
          <w:i/>
          <w:szCs w:val="18"/>
          <w:lang w:val="en-US"/>
        </w:rPr>
        <w:t>W</w:t>
      </w:r>
      <w:r w:rsidRPr="004431F8">
        <w:rPr>
          <w:iCs/>
          <w:szCs w:val="18"/>
          <w:lang w:val="en-US"/>
        </w:rPr>
        <w:t>.</w:t>
      </w:r>
      <w:r>
        <w:rPr>
          <w:iCs/>
          <w:szCs w:val="18"/>
          <w:lang w:val="en-US"/>
        </w:rPr>
        <w:t>]</w:t>
      </w:r>
      <w:r w:rsidRPr="00EB582C">
        <w:rPr>
          <w:szCs w:val="18"/>
          <w:lang w:val="en-US"/>
        </w:rPr>
        <w:t xml:space="preserve"> [2009] NZCA 440, </w:t>
      </w:r>
      <w:r>
        <w:rPr>
          <w:rFonts w:eastAsia="Times New Roman"/>
          <w:szCs w:val="18"/>
          <w:lang w:val="en-US"/>
        </w:rPr>
        <w:t>paras. </w:t>
      </w:r>
      <w:r w:rsidRPr="00EB582C">
        <w:rPr>
          <w:rFonts w:eastAsia="Times New Roman"/>
          <w:szCs w:val="18"/>
          <w:lang w:val="en-US"/>
        </w:rPr>
        <w:t xml:space="preserve">27-28. It appears the State party intended to cite </w:t>
      </w:r>
      <w:r>
        <w:rPr>
          <w:rFonts w:eastAsia="Times New Roman"/>
          <w:i/>
          <w:szCs w:val="18"/>
          <w:lang w:val="en-US"/>
        </w:rPr>
        <w:t>The Queen</w:t>
      </w:r>
      <w:r w:rsidRPr="00EB582C">
        <w:rPr>
          <w:rFonts w:eastAsia="Times New Roman"/>
          <w:szCs w:val="18"/>
          <w:lang w:val="en-US"/>
        </w:rPr>
        <w:t xml:space="preserve"> </w:t>
      </w:r>
      <w:r w:rsidRPr="004431F8">
        <w:rPr>
          <w:rFonts w:eastAsia="Times New Roman"/>
          <w:iCs/>
          <w:szCs w:val="18"/>
          <w:lang w:val="en-US"/>
        </w:rPr>
        <w:t>v.</w:t>
      </w:r>
      <w:r w:rsidRPr="00EB582C">
        <w:rPr>
          <w:rFonts w:eastAsia="Times New Roman"/>
          <w:szCs w:val="18"/>
          <w:lang w:val="en-US"/>
        </w:rPr>
        <w:t xml:space="preserve"> </w:t>
      </w:r>
      <w:r>
        <w:rPr>
          <w:rFonts w:eastAsia="Times New Roman"/>
          <w:szCs w:val="18"/>
          <w:lang w:val="en-US"/>
        </w:rPr>
        <w:t>[</w:t>
      </w:r>
      <w:r>
        <w:rPr>
          <w:rFonts w:eastAsia="Times New Roman"/>
          <w:i/>
          <w:iCs/>
          <w:szCs w:val="18"/>
          <w:lang w:val="en-US"/>
        </w:rPr>
        <w:t>A.K.</w:t>
      </w:r>
      <w:r w:rsidRPr="00EB582C">
        <w:rPr>
          <w:rFonts w:eastAsia="Times New Roman"/>
          <w:i/>
          <w:szCs w:val="18"/>
          <w:lang w:val="en-US"/>
        </w:rPr>
        <w:t>W</w:t>
      </w:r>
      <w:r w:rsidRPr="004431F8">
        <w:rPr>
          <w:rFonts w:eastAsia="Times New Roman"/>
          <w:iCs/>
          <w:szCs w:val="18"/>
          <w:lang w:val="en-US"/>
        </w:rPr>
        <w:t>.</w:t>
      </w:r>
      <w:r>
        <w:rPr>
          <w:rFonts w:eastAsia="Times New Roman"/>
          <w:iCs/>
          <w:szCs w:val="18"/>
          <w:lang w:val="en-US"/>
        </w:rPr>
        <w:t>]</w:t>
      </w:r>
      <w:r w:rsidRPr="00EB582C">
        <w:rPr>
          <w:rFonts w:eastAsia="Times New Roman"/>
          <w:szCs w:val="18"/>
          <w:lang w:val="en-US"/>
        </w:rPr>
        <w:t xml:space="preserve"> </w:t>
      </w:r>
      <w:r>
        <w:rPr>
          <w:rFonts w:eastAsia="Times New Roman"/>
          <w:iCs/>
          <w:szCs w:val="18"/>
          <w:lang w:val="en-US"/>
        </w:rPr>
        <w:t>CA227/2011</w:t>
      </w:r>
      <w:r w:rsidRPr="00EB582C">
        <w:rPr>
          <w:rFonts w:eastAsia="Times New Roman"/>
          <w:szCs w:val="18"/>
          <w:lang w:val="en-US"/>
        </w:rPr>
        <w:t xml:space="preserve"> [2011] NZCA 563, </w:t>
      </w:r>
      <w:r>
        <w:rPr>
          <w:rFonts w:eastAsia="Times New Roman"/>
          <w:szCs w:val="18"/>
          <w:lang w:val="en-US"/>
        </w:rPr>
        <w:t>para. </w:t>
      </w:r>
      <w:r w:rsidRPr="00EB582C">
        <w:rPr>
          <w:rFonts w:eastAsia="Times New Roman"/>
          <w:szCs w:val="18"/>
          <w:lang w:val="en-US"/>
        </w:rPr>
        <w:t>27.</w:t>
      </w:r>
    </w:p>
  </w:footnote>
  <w:footnote w:id="42">
    <w:p w:rsidR="00E27CA3" w:rsidRPr="00EB582C" w:rsidRDefault="00E27CA3" w:rsidP="00756B53">
      <w:pPr>
        <w:pStyle w:val="FootnoteText"/>
        <w:rPr>
          <w:szCs w:val="18"/>
          <w:lang w:val="en-US"/>
        </w:rPr>
      </w:pPr>
      <w:r>
        <w:rPr>
          <w:szCs w:val="18"/>
          <w:lang w:val="en-US"/>
        </w:rPr>
        <w:tab/>
      </w:r>
      <w:r w:rsidRPr="00B74D2B">
        <w:rPr>
          <w:rStyle w:val="FootnoteReference"/>
        </w:rPr>
        <w:footnoteRef/>
      </w:r>
      <w:r>
        <w:rPr>
          <w:szCs w:val="18"/>
          <w:lang w:val="en-US"/>
        </w:rPr>
        <w:tab/>
      </w:r>
      <w:r w:rsidRPr="00EB582C">
        <w:rPr>
          <w:szCs w:val="18"/>
          <w:lang w:val="en-US"/>
        </w:rPr>
        <w:t xml:space="preserve">The State party cites </w:t>
      </w:r>
      <w:r>
        <w:rPr>
          <w:i/>
          <w:szCs w:val="18"/>
          <w:lang w:val="en-US"/>
        </w:rPr>
        <w:t>The Queen</w:t>
      </w:r>
      <w:r w:rsidRPr="00EB582C">
        <w:rPr>
          <w:szCs w:val="18"/>
          <w:lang w:val="en-US"/>
        </w:rPr>
        <w:t xml:space="preserve"> </w:t>
      </w:r>
      <w:r w:rsidRPr="004431F8">
        <w:rPr>
          <w:iCs/>
          <w:szCs w:val="18"/>
          <w:lang w:val="en-US"/>
        </w:rPr>
        <w:t>v.</w:t>
      </w:r>
      <w:r w:rsidRPr="00EB582C">
        <w:rPr>
          <w:szCs w:val="18"/>
          <w:lang w:val="en-US"/>
        </w:rPr>
        <w:t xml:space="preserve"> </w:t>
      </w:r>
      <w:r>
        <w:rPr>
          <w:szCs w:val="18"/>
          <w:lang w:val="en-US"/>
        </w:rPr>
        <w:t>[</w:t>
      </w:r>
      <w:r>
        <w:rPr>
          <w:rFonts w:eastAsia="Times New Roman"/>
          <w:i/>
          <w:iCs/>
          <w:szCs w:val="18"/>
          <w:lang w:val="en-US"/>
        </w:rPr>
        <w:t>A.K.</w:t>
      </w:r>
      <w:r w:rsidRPr="00EB582C">
        <w:rPr>
          <w:i/>
          <w:szCs w:val="18"/>
          <w:lang w:val="en-US"/>
        </w:rPr>
        <w:t>W</w:t>
      </w:r>
      <w:r w:rsidRPr="004431F8">
        <w:rPr>
          <w:iCs/>
          <w:szCs w:val="18"/>
          <w:lang w:val="en-US"/>
        </w:rPr>
        <w:t>.</w:t>
      </w:r>
      <w:r>
        <w:rPr>
          <w:iCs/>
          <w:szCs w:val="18"/>
          <w:lang w:val="en-US"/>
        </w:rPr>
        <w:t>]</w:t>
      </w:r>
      <w:r w:rsidRPr="00EB582C">
        <w:rPr>
          <w:szCs w:val="18"/>
          <w:lang w:val="en-US"/>
        </w:rPr>
        <w:t xml:space="preserve"> [2009] NZCA 440, </w:t>
      </w:r>
      <w:r>
        <w:rPr>
          <w:rFonts w:eastAsia="Times New Roman"/>
          <w:szCs w:val="18"/>
          <w:lang w:val="en-US"/>
        </w:rPr>
        <w:t>para. </w:t>
      </w:r>
      <w:r w:rsidRPr="00EB582C">
        <w:rPr>
          <w:rFonts w:eastAsia="Times New Roman"/>
          <w:szCs w:val="18"/>
          <w:lang w:val="en-US"/>
        </w:rPr>
        <w:t xml:space="preserve">30. It appears the State party intended to cite </w:t>
      </w:r>
      <w:r>
        <w:rPr>
          <w:rFonts w:eastAsia="Times New Roman"/>
          <w:i/>
          <w:szCs w:val="18"/>
          <w:lang w:val="en-US"/>
        </w:rPr>
        <w:t>The Queen</w:t>
      </w:r>
      <w:r w:rsidRPr="00EB582C">
        <w:rPr>
          <w:rFonts w:eastAsia="Times New Roman"/>
          <w:szCs w:val="18"/>
          <w:lang w:val="en-US"/>
        </w:rPr>
        <w:t xml:space="preserve"> </w:t>
      </w:r>
      <w:r w:rsidRPr="004431F8">
        <w:rPr>
          <w:rFonts w:eastAsia="Times New Roman"/>
          <w:iCs/>
          <w:szCs w:val="18"/>
          <w:lang w:val="en-US"/>
        </w:rPr>
        <w:t>v.</w:t>
      </w:r>
      <w:r w:rsidRPr="00EB582C">
        <w:rPr>
          <w:rFonts w:eastAsia="Times New Roman"/>
          <w:szCs w:val="18"/>
          <w:lang w:val="en-US"/>
        </w:rPr>
        <w:t xml:space="preserve"> </w:t>
      </w:r>
      <w:r>
        <w:rPr>
          <w:rFonts w:eastAsia="Times New Roman"/>
          <w:szCs w:val="18"/>
          <w:lang w:val="en-US"/>
        </w:rPr>
        <w:t>[</w:t>
      </w:r>
      <w:r>
        <w:rPr>
          <w:rFonts w:eastAsia="Times New Roman"/>
          <w:i/>
          <w:iCs/>
          <w:szCs w:val="18"/>
          <w:lang w:val="en-US"/>
        </w:rPr>
        <w:t>A.K.</w:t>
      </w:r>
      <w:r w:rsidRPr="00EB582C">
        <w:rPr>
          <w:rFonts w:eastAsia="Times New Roman"/>
          <w:i/>
          <w:szCs w:val="18"/>
          <w:lang w:val="en-US"/>
        </w:rPr>
        <w:t>W</w:t>
      </w:r>
      <w:r w:rsidRPr="004431F8">
        <w:rPr>
          <w:rFonts w:eastAsia="Times New Roman"/>
          <w:iCs/>
          <w:szCs w:val="18"/>
          <w:lang w:val="en-US"/>
        </w:rPr>
        <w:t>.</w:t>
      </w:r>
      <w:r>
        <w:rPr>
          <w:rFonts w:eastAsia="Times New Roman"/>
          <w:iCs/>
          <w:szCs w:val="18"/>
          <w:lang w:val="en-US"/>
        </w:rPr>
        <w:t>]</w:t>
      </w:r>
      <w:r w:rsidRPr="00EB582C">
        <w:rPr>
          <w:rFonts w:eastAsia="Times New Roman"/>
          <w:szCs w:val="18"/>
          <w:lang w:val="en-US"/>
        </w:rPr>
        <w:t xml:space="preserve"> [2011] NZCA 563, </w:t>
      </w:r>
      <w:r>
        <w:rPr>
          <w:rFonts w:eastAsia="Times New Roman"/>
          <w:szCs w:val="18"/>
          <w:lang w:val="en-US"/>
        </w:rPr>
        <w:t>para. </w:t>
      </w:r>
      <w:r w:rsidRPr="00EB582C">
        <w:rPr>
          <w:rFonts w:eastAsia="Times New Roman"/>
          <w:szCs w:val="18"/>
          <w:lang w:val="en-US"/>
        </w:rPr>
        <w:t>30.</w:t>
      </w:r>
    </w:p>
  </w:footnote>
  <w:footnote w:id="43">
    <w:p w:rsidR="00E27CA3" w:rsidRPr="00EB582C" w:rsidRDefault="00E27CA3" w:rsidP="00756B53">
      <w:pPr>
        <w:pStyle w:val="FootnoteText"/>
        <w:rPr>
          <w:rFonts w:eastAsia="Times New Roman"/>
          <w:szCs w:val="18"/>
          <w:lang w:val="en-US"/>
        </w:rPr>
      </w:pPr>
      <w:r>
        <w:rPr>
          <w:szCs w:val="18"/>
          <w:lang w:val="en-US"/>
        </w:rPr>
        <w:tab/>
      </w:r>
      <w:r w:rsidRPr="00B74D2B">
        <w:rPr>
          <w:rStyle w:val="FootnoteReference"/>
        </w:rPr>
        <w:footnoteRef/>
      </w:r>
      <w:r>
        <w:rPr>
          <w:szCs w:val="18"/>
          <w:lang w:val="en-US"/>
        </w:rPr>
        <w:tab/>
      </w:r>
      <w:r w:rsidRPr="00EB582C">
        <w:rPr>
          <w:szCs w:val="18"/>
          <w:lang w:val="en-US"/>
        </w:rPr>
        <w:t xml:space="preserve">The State party cites </w:t>
      </w:r>
      <w:r>
        <w:rPr>
          <w:i/>
          <w:szCs w:val="18"/>
          <w:lang w:val="en-US"/>
        </w:rPr>
        <w:t>The Queen</w:t>
      </w:r>
      <w:r w:rsidRPr="00EB582C">
        <w:rPr>
          <w:szCs w:val="18"/>
          <w:lang w:val="en-US"/>
        </w:rPr>
        <w:t xml:space="preserve"> </w:t>
      </w:r>
      <w:r w:rsidRPr="004431F8">
        <w:rPr>
          <w:iCs/>
          <w:szCs w:val="18"/>
          <w:lang w:val="en-US"/>
        </w:rPr>
        <w:t>v.</w:t>
      </w:r>
      <w:r w:rsidRPr="00EB582C">
        <w:rPr>
          <w:szCs w:val="18"/>
          <w:lang w:val="en-US"/>
        </w:rPr>
        <w:t xml:space="preserve"> </w:t>
      </w:r>
      <w:r>
        <w:rPr>
          <w:szCs w:val="18"/>
          <w:lang w:val="en-US"/>
        </w:rPr>
        <w:t>[</w:t>
      </w:r>
      <w:r>
        <w:rPr>
          <w:rFonts w:eastAsia="Times New Roman"/>
          <w:i/>
          <w:iCs/>
          <w:szCs w:val="18"/>
          <w:lang w:val="en-US"/>
        </w:rPr>
        <w:t>A.K.</w:t>
      </w:r>
      <w:r w:rsidRPr="00EB582C">
        <w:rPr>
          <w:i/>
          <w:szCs w:val="18"/>
          <w:lang w:val="en-US"/>
        </w:rPr>
        <w:t>W</w:t>
      </w:r>
      <w:r w:rsidRPr="004431F8">
        <w:rPr>
          <w:iCs/>
          <w:szCs w:val="18"/>
          <w:lang w:val="en-US"/>
        </w:rPr>
        <w:t>.</w:t>
      </w:r>
      <w:r>
        <w:rPr>
          <w:iCs/>
          <w:szCs w:val="18"/>
          <w:lang w:val="en-US"/>
        </w:rPr>
        <w:t>]</w:t>
      </w:r>
      <w:r w:rsidRPr="00EB582C">
        <w:rPr>
          <w:szCs w:val="18"/>
          <w:lang w:val="en-US"/>
        </w:rPr>
        <w:t xml:space="preserve"> [2009] NZCA 440, </w:t>
      </w:r>
      <w:r>
        <w:rPr>
          <w:rFonts w:eastAsia="Times New Roman"/>
          <w:szCs w:val="18"/>
          <w:lang w:val="en-US"/>
        </w:rPr>
        <w:t>para. </w:t>
      </w:r>
      <w:r w:rsidRPr="00EB582C">
        <w:rPr>
          <w:rFonts w:eastAsia="Times New Roman"/>
          <w:szCs w:val="18"/>
          <w:lang w:val="en-US"/>
        </w:rPr>
        <w:t xml:space="preserve">29. It appears the State party intended to cite </w:t>
      </w:r>
      <w:r>
        <w:rPr>
          <w:rFonts w:eastAsia="Times New Roman"/>
          <w:i/>
          <w:szCs w:val="18"/>
          <w:lang w:val="en-US"/>
        </w:rPr>
        <w:t>The Queen</w:t>
      </w:r>
      <w:r>
        <w:rPr>
          <w:rFonts w:eastAsia="Times New Roman"/>
          <w:szCs w:val="18"/>
          <w:lang w:val="en-US"/>
        </w:rPr>
        <w:t> </w:t>
      </w:r>
      <w:r w:rsidRPr="004431F8">
        <w:rPr>
          <w:rFonts w:eastAsia="Times New Roman"/>
          <w:iCs/>
          <w:szCs w:val="18"/>
          <w:lang w:val="en-US"/>
        </w:rPr>
        <w:t>v.</w:t>
      </w:r>
      <w:r w:rsidRPr="00EB582C">
        <w:rPr>
          <w:rFonts w:eastAsia="Times New Roman"/>
          <w:szCs w:val="18"/>
          <w:lang w:val="en-US"/>
        </w:rPr>
        <w:t xml:space="preserve"> </w:t>
      </w:r>
      <w:r>
        <w:rPr>
          <w:rFonts w:eastAsia="Times New Roman"/>
          <w:szCs w:val="18"/>
          <w:lang w:val="en-US"/>
        </w:rPr>
        <w:t>[</w:t>
      </w:r>
      <w:r>
        <w:rPr>
          <w:rFonts w:eastAsia="Times New Roman"/>
          <w:i/>
          <w:iCs/>
          <w:szCs w:val="18"/>
          <w:lang w:val="en-US"/>
        </w:rPr>
        <w:t>A.K.</w:t>
      </w:r>
      <w:r>
        <w:rPr>
          <w:rFonts w:eastAsia="Times New Roman"/>
          <w:i/>
          <w:szCs w:val="18"/>
          <w:lang w:val="en-US"/>
        </w:rPr>
        <w:t>W.</w:t>
      </w:r>
      <w:r>
        <w:rPr>
          <w:rFonts w:eastAsia="Times New Roman"/>
          <w:iCs/>
          <w:szCs w:val="18"/>
          <w:lang w:val="en-US"/>
        </w:rPr>
        <w:t>]</w:t>
      </w:r>
      <w:r w:rsidRPr="00EB582C">
        <w:rPr>
          <w:rFonts w:eastAsia="Times New Roman"/>
          <w:szCs w:val="18"/>
          <w:lang w:val="en-US"/>
        </w:rPr>
        <w:t xml:space="preserve"> [2011] NZCA 563, </w:t>
      </w:r>
      <w:r>
        <w:rPr>
          <w:rFonts w:eastAsia="Times New Roman"/>
          <w:szCs w:val="18"/>
          <w:lang w:val="en-US"/>
        </w:rPr>
        <w:t>para. </w:t>
      </w:r>
      <w:r w:rsidRPr="00EB582C">
        <w:rPr>
          <w:rFonts w:eastAsia="Times New Roman"/>
          <w:szCs w:val="18"/>
          <w:lang w:val="en-US"/>
        </w:rPr>
        <w:t xml:space="preserve">29. </w:t>
      </w:r>
      <w:r>
        <w:rPr>
          <w:rFonts w:eastAsia="Times New Roman"/>
          <w:szCs w:val="18"/>
          <w:lang w:val="en-US"/>
        </w:rPr>
        <w:t>In the decision, t</w:t>
      </w:r>
      <w:r w:rsidRPr="00EB582C">
        <w:rPr>
          <w:rFonts w:eastAsia="Times New Roman"/>
          <w:szCs w:val="18"/>
          <w:lang w:val="en-US"/>
        </w:rPr>
        <w:t xml:space="preserve">he Court of Appeal further bases its conclusion regarding the author’s argument that he was denied the right to an effective interpreter on the following observations. At his first trial, the author had been provided with the assistance of an interpreter and had been represented by counsel; thus, although he was a layperson, he was not a novice as far as the trial process was concerned. Moreover, the author’s conduct during the retrial indicated that he had a reasonable grasp of the relevant processes and concepts and was able to look after his own interests. For example, when the judge dealt with the question of bail on 6 August 2008, he was not aware of a minute issued by the Court on 16 July 2008, and the author drew the Court’s minute to the judge’s attention by letter dated 7 August 2008. Also, he sought and was granted leave to have a McKenzie friend and made numerous applications as to the admissibility of evidence, and he made a further application to adjourn the trial so that he could appeal adverse pretrial rulings. He requested a copy of the transcript of the evidence in his first trial, and according to his affidavit, this was used to assist him in his cross-examination of the prosecution’s witnesses. Further, the court transcripts indicate that the author was well aware of what was happening: for example, when the prosecution attempted to produce a hearsay statement from an unavailable witness, the author asked why the prosecution was permitted to use a hearsay statement while he had not been allowed to use his father’s evidence during his first trial (the judge explained the position to him). The </w:t>
      </w:r>
      <w:r>
        <w:rPr>
          <w:rFonts w:eastAsia="Times New Roman"/>
          <w:szCs w:val="18"/>
          <w:lang w:val="en-US"/>
        </w:rPr>
        <w:t>Court</w:t>
      </w:r>
      <w:r w:rsidRPr="00EB582C">
        <w:rPr>
          <w:rFonts w:eastAsia="Times New Roman"/>
          <w:szCs w:val="18"/>
          <w:lang w:val="en-US"/>
        </w:rPr>
        <w:t xml:space="preserve"> concluded that the author had not demonstrated the “exceptional circumstances” required to reopen the trial court decision.</w:t>
      </w:r>
    </w:p>
  </w:footnote>
  <w:footnote w:id="44">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State party cites sections 24</w:t>
      </w:r>
      <w:r>
        <w:rPr>
          <w:szCs w:val="18"/>
        </w:rPr>
        <w:t> </w:t>
      </w:r>
      <w:r w:rsidRPr="00EB582C">
        <w:rPr>
          <w:szCs w:val="18"/>
        </w:rPr>
        <w:t>(g) and 25</w:t>
      </w:r>
      <w:r>
        <w:rPr>
          <w:szCs w:val="18"/>
        </w:rPr>
        <w:t> </w:t>
      </w:r>
      <w:r w:rsidRPr="00EB582C">
        <w:rPr>
          <w:szCs w:val="18"/>
        </w:rPr>
        <w:t>(a) of the New Zealand Bill of Rights Act 1990.</w:t>
      </w:r>
    </w:p>
  </w:footnote>
  <w:footnote w:id="45">
    <w:p w:rsidR="00E27CA3" w:rsidRPr="00EB582C" w:rsidRDefault="00E27CA3" w:rsidP="00AC5532">
      <w:pPr>
        <w:pStyle w:val="FootnoteText"/>
        <w:rPr>
          <w:szCs w:val="18"/>
        </w:rPr>
      </w:pPr>
      <w:r>
        <w:rPr>
          <w:szCs w:val="18"/>
        </w:rPr>
        <w:tab/>
      </w:r>
      <w:r w:rsidRPr="00B74D2B">
        <w:rPr>
          <w:rStyle w:val="FootnoteReference"/>
        </w:rPr>
        <w:footnoteRef/>
      </w:r>
      <w:r>
        <w:rPr>
          <w:szCs w:val="18"/>
        </w:rPr>
        <w:tab/>
      </w:r>
      <w:r w:rsidRPr="00EB582C">
        <w:rPr>
          <w:szCs w:val="18"/>
        </w:rPr>
        <w:t xml:space="preserve">The State </w:t>
      </w:r>
      <w:r>
        <w:rPr>
          <w:szCs w:val="18"/>
        </w:rPr>
        <w:t>party cites general comment No. </w:t>
      </w:r>
      <w:r w:rsidRPr="00EB582C">
        <w:rPr>
          <w:szCs w:val="18"/>
        </w:rPr>
        <w:t>32</w:t>
      </w:r>
      <w:r>
        <w:rPr>
          <w:szCs w:val="18"/>
        </w:rPr>
        <w:t xml:space="preserve"> and</w:t>
      </w:r>
      <w:r w:rsidRPr="00EB582C">
        <w:rPr>
          <w:szCs w:val="18"/>
        </w:rPr>
        <w:t xml:space="preserve"> </w:t>
      </w:r>
      <w:r w:rsidRPr="00EB582C">
        <w:rPr>
          <w:i/>
          <w:szCs w:val="18"/>
        </w:rPr>
        <w:t>Jessop</w:t>
      </w:r>
      <w:r w:rsidRPr="00EB582C">
        <w:rPr>
          <w:szCs w:val="18"/>
        </w:rPr>
        <w:t xml:space="preserve"> </w:t>
      </w:r>
      <w:r w:rsidRPr="004431F8">
        <w:rPr>
          <w:iCs/>
          <w:szCs w:val="18"/>
        </w:rPr>
        <w:t>v.</w:t>
      </w:r>
      <w:r w:rsidRPr="00EB582C">
        <w:rPr>
          <w:szCs w:val="18"/>
        </w:rPr>
        <w:t xml:space="preserve"> </w:t>
      </w:r>
      <w:r w:rsidRPr="00EB582C">
        <w:rPr>
          <w:i/>
          <w:szCs w:val="18"/>
        </w:rPr>
        <w:t>New Zealand</w:t>
      </w:r>
      <w:r>
        <w:rPr>
          <w:szCs w:val="18"/>
        </w:rPr>
        <w:t>, para. </w:t>
      </w:r>
      <w:r w:rsidRPr="00EB582C">
        <w:rPr>
          <w:szCs w:val="18"/>
        </w:rPr>
        <w:t>7.11.</w:t>
      </w:r>
    </w:p>
  </w:footnote>
  <w:footnote w:id="46">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The Stat</w:t>
      </w:r>
      <w:r>
        <w:rPr>
          <w:szCs w:val="18"/>
        </w:rPr>
        <w:t>e party cites communication No. </w:t>
      </w:r>
      <w:r w:rsidRPr="00EB582C">
        <w:rPr>
          <w:szCs w:val="18"/>
        </w:rPr>
        <w:t xml:space="preserve">958/2000, </w:t>
      </w:r>
      <w:r w:rsidRPr="00EB582C">
        <w:rPr>
          <w:i/>
          <w:szCs w:val="18"/>
        </w:rPr>
        <w:t>Jazairi</w:t>
      </w:r>
      <w:r w:rsidRPr="00EB582C">
        <w:rPr>
          <w:szCs w:val="18"/>
        </w:rPr>
        <w:t xml:space="preserve"> </w:t>
      </w:r>
      <w:r w:rsidRPr="004431F8">
        <w:rPr>
          <w:iCs/>
          <w:szCs w:val="18"/>
        </w:rPr>
        <w:t>v.</w:t>
      </w:r>
      <w:r w:rsidRPr="00EB582C">
        <w:rPr>
          <w:szCs w:val="18"/>
        </w:rPr>
        <w:t xml:space="preserve"> </w:t>
      </w:r>
      <w:r w:rsidRPr="00EB582C">
        <w:rPr>
          <w:i/>
          <w:szCs w:val="18"/>
        </w:rPr>
        <w:t>Canada</w:t>
      </w:r>
      <w:r>
        <w:rPr>
          <w:szCs w:val="18"/>
        </w:rPr>
        <w:t>, decision of inadmissibility adopted on 26 October 2004, para. </w:t>
      </w:r>
      <w:r w:rsidRPr="00EB582C">
        <w:rPr>
          <w:szCs w:val="18"/>
        </w:rPr>
        <w:t>7.2.</w:t>
      </w:r>
    </w:p>
  </w:footnote>
  <w:footnote w:id="47">
    <w:p w:rsidR="00E27CA3" w:rsidRPr="00EB582C" w:rsidRDefault="00E27CA3" w:rsidP="000A04A9">
      <w:pPr>
        <w:pStyle w:val="FootnoteText"/>
        <w:rPr>
          <w:szCs w:val="18"/>
        </w:rPr>
      </w:pPr>
      <w:r>
        <w:rPr>
          <w:szCs w:val="18"/>
        </w:rPr>
        <w:tab/>
      </w:r>
      <w:r w:rsidRPr="00B74D2B">
        <w:rPr>
          <w:rStyle w:val="FootnoteReference"/>
        </w:rPr>
        <w:footnoteRef/>
      </w:r>
      <w:r>
        <w:rPr>
          <w:szCs w:val="18"/>
        </w:rPr>
        <w:tab/>
      </w:r>
      <w:r w:rsidRPr="00EB582C">
        <w:rPr>
          <w:szCs w:val="18"/>
        </w:rPr>
        <w:t xml:space="preserve">The copy of the decision on the application for the royal prerogative of mercy states that the recourse is an exceptional power typically exercised in cases where fresh and significant evidence becomes available, and does not operate as a further right of appeal or an opportunity to repeat arguments or re-examine evidence already considered by the courts. </w:t>
      </w:r>
    </w:p>
  </w:footnote>
  <w:footnote w:id="48">
    <w:p w:rsidR="00E27CA3" w:rsidRPr="00EB582C" w:rsidRDefault="00E27CA3" w:rsidP="00562B3A">
      <w:pPr>
        <w:pStyle w:val="FootnoteText"/>
        <w:rPr>
          <w:szCs w:val="18"/>
        </w:rPr>
      </w:pPr>
      <w:r>
        <w:rPr>
          <w:szCs w:val="18"/>
        </w:rPr>
        <w:tab/>
      </w:r>
      <w:r w:rsidRPr="00B74D2B">
        <w:rPr>
          <w:rStyle w:val="FootnoteReference"/>
        </w:rPr>
        <w:footnoteRef/>
      </w:r>
      <w:r>
        <w:rPr>
          <w:szCs w:val="18"/>
        </w:rPr>
        <w:tab/>
        <w:t>See communications No. </w:t>
      </w:r>
      <w:r w:rsidRPr="00EB582C">
        <w:rPr>
          <w:szCs w:val="18"/>
        </w:rPr>
        <w:t xml:space="preserve">541/1993, </w:t>
      </w:r>
      <w:r w:rsidRPr="00EB582C">
        <w:rPr>
          <w:i/>
          <w:szCs w:val="18"/>
        </w:rPr>
        <w:t xml:space="preserve">Simms </w:t>
      </w:r>
      <w:r w:rsidRPr="004431F8">
        <w:rPr>
          <w:iCs/>
          <w:szCs w:val="18"/>
        </w:rPr>
        <w:t>v.</w:t>
      </w:r>
      <w:r w:rsidRPr="00EB582C">
        <w:rPr>
          <w:i/>
          <w:szCs w:val="18"/>
        </w:rPr>
        <w:t xml:space="preserve"> Jamaica</w:t>
      </w:r>
      <w:r w:rsidRPr="00EB582C">
        <w:rPr>
          <w:szCs w:val="18"/>
        </w:rPr>
        <w:t xml:space="preserve">, decision of </w:t>
      </w:r>
      <w:r>
        <w:rPr>
          <w:szCs w:val="18"/>
        </w:rPr>
        <w:t xml:space="preserve">inadmissibility adopted on </w:t>
      </w:r>
      <w:r w:rsidRPr="00EB582C">
        <w:rPr>
          <w:szCs w:val="18"/>
        </w:rPr>
        <w:t xml:space="preserve">3 April 1995, </w:t>
      </w:r>
      <w:r>
        <w:rPr>
          <w:szCs w:val="18"/>
        </w:rPr>
        <w:t>para. </w:t>
      </w:r>
      <w:r w:rsidRPr="00EB582C">
        <w:rPr>
          <w:szCs w:val="18"/>
        </w:rPr>
        <w:t xml:space="preserve">6.2; </w:t>
      </w:r>
      <w:r>
        <w:rPr>
          <w:szCs w:val="18"/>
        </w:rPr>
        <w:t>No. </w:t>
      </w:r>
      <w:r w:rsidRPr="00EB582C">
        <w:rPr>
          <w:szCs w:val="18"/>
        </w:rPr>
        <w:t xml:space="preserve">1138/2002, </w:t>
      </w:r>
      <w:r w:rsidRPr="00EB582C">
        <w:rPr>
          <w:i/>
          <w:szCs w:val="18"/>
        </w:rPr>
        <w:t xml:space="preserve">Arenz et al. </w:t>
      </w:r>
      <w:r w:rsidRPr="004431F8">
        <w:rPr>
          <w:iCs/>
          <w:szCs w:val="18"/>
        </w:rPr>
        <w:t>v.</w:t>
      </w:r>
      <w:r w:rsidRPr="00EB582C">
        <w:rPr>
          <w:i/>
          <w:szCs w:val="18"/>
        </w:rPr>
        <w:t xml:space="preserve"> Germany</w:t>
      </w:r>
      <w:r w:rsidRPr="00EB582C">
        <w:rPr>
          <w:szCs w:val="18"/>
        </w:rPr>
        <w:t xml:space="preserve">, decision of </w:t>
      </w:r>
      <w:r>
        <w:rPr>
          <w:szCs w:val="18"/>
        </w:rPr>
        <w:t xml:space="preserve">inadmissibility adopted on </w:t>
      </w:r>
      <w:r w:rsidRPr="00EB582C">
        <w:rPr>
          <w:szCs w:val="18"/>
        </w:rPr>
        <w:t>24</w:t>
      </w:r>
      <w:r>
        <w:rPr>
          <w:szCs w:val="18"/>
        </w:rPr>
        <w:t> </w:t>
      </w:r>
      <w:r w:rsidRPr="00EB582C">
        <w:rPr>
          <w:szCs w:val="18"/>
        </w:rPr>
        <w:t xml:space="preserve">March 2004, </w:t>
      </w:r>
      <w:r>
        <w:rPr>
          <w:szCs w:val="18"/>
        </w:rPr>
        <w:t>para. </w:t>
      </w:r>
      <w:r w:rsidRPr="00EB582C">
        <w:rPr>
          <w:szCs w:val="18"/>
        </w:rPr>
        <w:t xml:space="preserve">8.6; </w:t>
      </w:r>
      <w:r>
        <w:rPr>
          <w:szCs w:val="18"/>
        </w:rPr>
        <w:t xml:space="preserve">No. </w:t>
      </w:r>
      <w:r w:rsidRPr="00EB582C">
        <w:rPr>
          <w:szCs w:val="18"/>
        </w:rPr>
        <w:t xml:space="preserve">917/2000, </w:t>
      </w:r>
      <w:r w:rsidRPr="00EB582C">
        <w:rPr>
          <w:i/>
          <w:szCs w:val="18"/>
        </w:rPr>
        <w:t xml:space="preserve">Arutyunyan </w:t>
      </w:r>
      <w:r w:rsidRPr="004431F8">
        <w:rPr>
          <w:iCs/>
          <w:szCs w:val="18"/>
        </w:rPr>
        <w:t>v.</w:t>
      </w:r>
      <w:r w:rsidRPr="00EB582C">
        <w:rPr>
          <w:i/>
          <w:szCs w:val="18"/>
        </w:rPr>
        <w:t xml:space="preserve"> Uzbekistan</w:t>
      </w:r>
      <w:r w:rsidRPr="00EB582C">
        <w:rPr>
          <w:szCs w:val="18"/>
        </w:rPr>
        <w:t xml:space="preserve">, Views </w:t>
      </w:r>
      <w:r>
        <w:rPr>
          <w:szCs w:val="18"/>
        </w:rPr>
        <w:t>adopted on</w:t>
      </w:r>
      <w:r w:rsidRPr="00EB582C">
        <w:rPr>
          <w:szCs w:val="18"/>
        </w:rPr>
        <w:t xml:space="preserve"> 29 March 2004, </w:t>
      </w:r>
      <w:r>
        <w:rPr>
          <w:szCs w:val="18"/>
        </w:rPr>
        <w:t>para. </w:t>
      </w:r>
      <w:r w:rsidRPr="00EB582C">
        <w:rPr>
          <w:szCs w:val="18"/>
        </w:rPr>
        <w:t xml:space="preserve">5.7; </w:t>
      </w:r>
      <w:r>
        <w:rPr>
          <w:szCs w:val="18"/>
        </w:rPr>
        <w:t xml:space="preserve">and No. </w:t>
      </w:r>
      <w:r w:rsidRPr="00EB582C">
        <w:rPr>
          <w:szCs w:val="18"/>
        </w:rPr>
        <w:t xml:space="preserve">1528/2006, </w:t>
      </w:r>
      <w:r w:rsidRPr="00EB582C">
        <w:rPr>
          <w:i/>
          <w:szCs w:val="18"/>
        </w:rPr>
        <w:t xml:space="preserve">Fernández Murcia </w:t>
      </w:r>
      <w:r w:rsidRPr="004431F8">
        <w:rPr>
          <w:iCs/>
          <w:szCs w:val="18"/>
        </w:rPr>
        <w:t>v.</w:t>
      </w:r>
      <w:r w:rsidRPr="00EB582C">
        <w:rPr>
          <w:i/>
          <w:szCs w:val="18"/>
        </w:rPr>
        <w:t xml:space="preserve"> Spain</w:t>
      </w:r>
      <w:r>
        <w:rPr>
          <w:szCs w:val="18"/>
        </w:rPr>
        <w:t>, decision of inadmissibility adopted on 1 </w:t>
      </w:r>
      <w:r w:rsidRPr="00EB582C">
        <w:rPr>
          <w:szCs w:val="18"/>
        </w:rPr>
        <w:t>April 2008</w:t>
      </w:r>
      <w:r>
        <w:rPr>
          <w:szCs w:val="18"/>
        </w:rPr>
        <w:t>, para. 4.3</w:t>
      </w:r>
      <w:r w:rsidRPr="00EB582C">
        <w:rPr>
          <w:szCs w:val="18"/>
        </w:rPr>
        <w:t>.</w:t>
      </w:r>
    </w:p>
  </w:footnote>
  <w:footnote w:id="49">
    <w:p w:rsidR="00E27CA3" w:rsidRPr="009801FA" w:rsidRDefault="00E27CA3" w:rsidP="003147B9">
      <w:pPr>
        <w:pStyle w:val="FootnoteText"/>
        <w:rPr>
          <w:lang w:val="en-US"/>
        </w:rPr>
      </w:pPr>
      <w:r>
        <w:tab/>
      </w:r>
      <w:r w:rsidRPr="00B74D2B">
        <w:rPr>
          <w:rStyle w:val="FootnoteReference"/>
        </w:rPr>
        <w:footnoteRef/>
      </w:r>
      <w:r>
        <w:tab/>
      </w:r>
      <w:r>
        <w:rPr>
          <w:lang w:val="en-US"/>
        </w:rPr>
        <w:t xml:space="preserve">See, </w:t>
      </w:r>
      <w:r w:rsidRPr="004431F8">
        <w:rPr>
          <w:iCs/>
          <w:lang w:val="en-US"/>
        </w:rPr>
        <w:t>inter alia</w:t>
      </w:r>
      <w:r>
        <w:rPr>
          <w:lang w:val="en-US"/>
        </w:rPr>
        <w:t xml:space="preserve">, communication No. 1834/2008, </w:t>
      </w:r>
      <w:r>
        <w:rPr>
          <w:i/>
          <w:lang w:val="en-US"/>
        </w:rPr>
        <w:t xml:space="preserve">A.P. </w:t>
      </w:r>
      <w:r w:rsidRPr="004431F8">
        <w:rPr>
          <w:iCs/>
          <w:lang w:val="en-US"/>
        </w:rPr>
        <w:t>v.</w:t>
      </w:r>
      <w:r>
        <w:rPr>
          <w:i/>
          <w:lang w:val="en-US"/>
        </w:rPr>
        <w:t xml:space="preserve"> Ukraine</w:t>
      </w:r>
      <w:r>
        <w:rPr>
          <w:lang w:val="en-US"/>
        </w:rPr>
        <w:t>, decision of inadmissibility adopted on 23 July 2012,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A3" w:rsidRPr="00742D24" w:rsidRDefault="00E27CA3" w:rsidP="00AC234C">
    <w:pPr>
      <w:pStyle w:val="Header"/>
    </w:pPr>
    <w:r>
      <w:t>CCPR/C/112/D/1998/2010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A3" w:rsidRPr="00742D24" w:rsidRDefault="00E27CA3" w:rsidP="00AC234C">
    <w:pPr>
      <w:pStyle w:val="Header"/>
      <w:jc w:val="right"/>
    </w:pPr>
    <w:r>
      <w:t>CCPR/C/112/D/1998/2010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61B"/>
    <w:rsid w:val="00002A7D"/>
    <w:rsid w:val="000038A8"/>
    <w:rsid w:val="00006790"/>
    <w:rsid w:val="000153D8"/>
    <w:rsid w:val="00020B59"/>
    <w:rsid w:val="00022274"/>
    <w:rsid w:val="00022D78"/>
    <w:rsid w:val="00027624"/>
    <w:rsid w:val="00034BA8"/>
    <w:rsid w:val="00034BE1"/>
    <w:rsid w:val="00040EA4"/>
    <w:rsid w:val="0004107F"/>
    <w:rsid w:val="00042318"/>
    <w:rsid w:val="00044E42"/>
    <w:rsid w:val="00050F6B"/>
    <w:rsid w:val="00051277"/>
    <w:rsid w:val="00055CB5"/>
    <w:rsid w:val="0006018A"/>
    <w:rsid w:val="00064EC3"/>
    <w:rsid w:val="000678CD"/>
    <w:rsid w:val="0007091A"/>
    <w:rsid w:val="00072C8C"/>
    <w:rsid w:val="00074A96"/>
    <w:rsid w:val="00075E98"/>
    <w:rsid w:val="00077DE0"/>
    <w:rsid w:val="000817E3"/>
    <w:rsid w:val="00081CE0"/>
    <w:rsid w:val="00084D30"/>
    <w:rsid w:val="00085053"/>
    <w:rsid w:val="00087744"/>
    <w:rsid w:val="00090320"/>
    <w:rsid w:val="000931C0"/>
    <w:rsid w:val="000A04A9"/>
    <w:rsid w:val="000A2774"/>
    <w:rsid w:val="000A2E09"/>
    <w:rsid w:val="000A57CA"/>
    <w:rsid w:val="000A6261"/>
    <w:rsid w:val="000A6A6E"/>
    <w:rsid w:val="000B175B"/>
    <w:rsid w:val="000B21EA"/>
    <w:rsid w:val="000B33CE"/>
    <w:rsid w:val="000B3A0F"/>
    <w:rsid w:val="000B7353"/>
    <w:rsid w:val="000B76B0"/>
    <w:rsid w:val="000C16CE"/>
    <w:rsid w:val="000C1DC6"/>
    <w:rsid w:val="000C59CA"/>
    <w:rsid w:val="000C6296"/>
    <w:rsid w:val="000C7963"/>
    <w:rsid w:val="000D0DDC"/>
    <w:rsid w:val="000D5CE6"/>
    <w:rsid w:val="000D7F1C"/>
    <w:rsid w:val="000E0415"/>
    <w:rsid w:val="000E2FF9"/>
    <w:rsid w:val="000E3DCF"/>
    <w:rsid w:val="000F1ED1"/>
    <w:rsid w:val="000F500A"/>
    <w:rsid w:val="000F56E2"/>
    <w:rsid w:val="000F5B33"/>
    <w:rsid w:val="000F7715"/>
    <w:rsid w:val="000F7B6F"/>
    <w:rsid w:val="000F7B76"/>
    <w:rsid w:val="001013AA"/>
    <w:rsid w:val="001017B4"/>
    <w:rsid w:val="001047A3"/>
    <w:rsid w:val="00106422"/>
    <w:rsid w:val="001154A6"/>
    <w:rsid w:val="0011568F"/>
    <w:rsid w:val="00123A23"/>
    <w:rsid w:val="00127ECC"/>
    <w:rsid w:val="001301FB"/>
    <w:rsid w:val="00134559"/>
    <w:rsid w:val="00147266"/>
    <w:rsid w:val="00156B99"/>
    <w:rsid w:val="00157E74"/>
    <w:rsid w:val="001619F4"/>
    <w:rsid w:val="00163255"/>
    <w:rsid w:val="00166124"/>
    <w:rsid w:val="00166158"/>
    <w:rsid w:val="00167463"/>
    <w:rsid w:val="00170916"/>
    <w:rsid w:val="001714AC"/>
    <w:rsid w:val="0017273E"/>
    <w:rsid w:val="00177420"/>
    <w:rsid w:val="001833C3"/>
    <w:rsid w:val="0018490B"/>
    <w:rsid w:val="00184DDA"/>
    <w:rsid w:val="0018514A"/>
    <w:rsid w:val="00185F71"/>
    <w:rsid w:val="001900CD"/>
    <w:rsid w:val="00194056"/>
    <w:rsid w:val="001941D4"/>
    <w:rsid w:val="00194251"/>
    <w:rsid w:val="00195087"/>
    <w:rsid w:val="001A0440"/>
    <w:rsid w:val="001A0452"/>
    <w:rsid w:val="001A3FA6"/>
    <w:rsid w:val="001A4DBB"/>
    <w:rsid w:val="001B2BE0"/>
    <w:rsid w:val="001B4B04"/>
    <w:rsid w:val="001B5875"/>
    <w:rsid w:val="001C4B9C"/>
    <w:rsid w:val="001C62B7"/>
    <w:rsid w:val="001C6663"/>
    <w:rsid w:val="001C7895"/>
    <w:rsid w:val="001D26DF"/>
    <w:rsid w:val="001D4081"/>
    <w:rsid w:val="001D660F"/>
    <w:rsid w:val="001D75BF"/>
    <w:rsid w:val="001F055B"/>
    <w:rsid w:val="001F1599"/>
    <w:rsid w:val="001F19C4"/>
    <w:rsid w:val="001F42E4"/>
    <w:rsid w:val="001F6578"/>
    <w:rsid w:val="0020317C"/>
    <w:rsid w:val="002043F0"/>
    <w:rsid w:val="002074BD"/>
    <w:rsid w:val="00207A63"/>
    <w:rsid w:val="00210061"/>
    <w:rsid w:val="00211A51"/>
    <w:rsid w:val="00211E0B"/>
    <w:rsid w:val="0021377B"/>
    <w:rsid w:val="00213A5F"/>
    <w:rsid w:val="00213F74"/>
    <w:rsid w:val="0021775D"/>
    <w:rsid w:val="002255A3"/>
    <w:rsid w:val="0023098D"/>
    <w:rsid w:val="00232575"/>
    <w:rsid w:val="00232C1C"/>
    <w:rsid w:val="002373AF"/>
    <w:rsid w:val="00240E46"/>
    <w:rsid w:val="00244F9D"/>
    <w:rsid w:val="00247066"/>
    <w:rsid w:val="00247258"/>
    <w:rsid w:val="00247D90"/>
    <w:rsid w:val="00250165"/>
    <w:rsid w:val="00251174"/>
    <w:rsid w:val="0025165B"/>
    <w:rsid w:val="00252F05"/>
    <w:rsid w:val="00257224"/>
    <w:rsid w:val="00257CAC"/>
    <w:rsid w:val="002601DF"/>
    <w:rsid w:val="002609C5"/>
    <w:rsid w:val="00266AD3"/>
    <w:rsid w:val="00266B6D"/>
    <w:rsid w:val="002676CC"/>
    <w:rsid w:val="00270477"/>
    <w:rsid w:val="00272F6D"/>
    <w:rsid w:val="002736ED"/>
    <w:rsid w:val="00275A7C"/>
    <w:rsid w:val="00276440"/>
    <w:rsid w:val="00283790"/>
    <w:rsid w:val="002927FA"/>
    <w:rsid w:val="0029506F"/>
    <w:rsid w:val="002974E9"/>
    <w:rsid w:val="00297540"/>
    <w:rsid w:val="002A5731"/>
    <w:rsid w:val="002A74FF"/>
    <w:rsid w:val="002A7F94"/>
    <w:rsid w:val="002B109A"/>
    <w:rsid w:val="002B21F2"/>
    <w:rsid w:val="002C01EE"/>
    <w:rsid w:val="002C5206"/>
    <w:rsid w:val="002C54C7"/>
    <w:rsid w:val="002C5644"/>
    <w:rsid w:val="002C6D45"/>
    <w:rsid w:val="002D06FB"/>
    <w:rsid w:val="002D0B8E"/>
    <w:rsid w:val="002D4C0C"/>
    <w:rsid w:val="002D57D1"/>
    <w:rsid w:val="002D6E53"/>
    <w:rsid w:val="002E3E4B"/>
    <w:rsid w:val="002E436E"/>
    <w:rsid w:val="002E59C1"/>
    <w:rsid w:val="002E5C50"/>
    <w:rsid w:val="002F046D"/>
    <w:rsid w:val="002F193F"/>
    <w:rsid w:val="002F1F9A"/>
    <w:rsid w:val="002F2338"/>
    <w:rsid w:val="002F4857"/>
    <w:rsid w:val="002F6316"/>
    <w:rsid w:val="002F7A83"/>
    <w:rsid w:val="002F7C4A"/>
    <w:rsid w:val="00300205"/>
    <w:rsid w:val="00301764"/>
    <w:rsid w:val="00301988"/>
    <w:rsid w:val="00310897"/>
    <w:rsid w:val="0031136D"/>
    <w:rsid w:val="00312774"/>
    <w:rsid w:val="003147B9"/>
    <w:rsid w:val="0031499F"/>
    <w:rsid w:val="003217C4"/>
    <w:rsid w:val="003225DB"/>
    <w:rsid w:val="003229D8"/>
    <w:rsid w:val="003242EB"/>
    <w:rsid w:val="003279D1"/>
    <w:rsid w:val="00336C97"/>
    <w:rsid w:val="00342432"/>
    <w:rsid w:val="00352911"/>
    <w:rsid w:val="00352D4B"/>
    <w:rsid w:val="00353451"/>
    <w:rsid w:val="0035638C"/>
    <w:rsid w:val="003564C4"/>
    <w:rsid w:val="003568C1"/>
    <w:rsid w:val="00357F61"/>
    <w:rsid w:val="003622B5"/>
    <w:rsid w:val="00364D77"/>
    <w:rsid w:val="003709D8"/>
    <w:rsid w:val="00380A9A"/>
    <w:rsid w:val="003812A1"/>
    <w:rsid w:val="00382202"/>
    <w:rsid w:val="00383BCB"/>
    <w:rsid w:val="00384F54"/>
    <w:rsid w:val="003866AC"/>
    <w:rsid w:val="00393BD4"/>
    <w:rsid w:val="00394C4B"/>
    <w:rsid w:val="00394D05"/>
    <w:rsid w:val="0039501D"/>
    <w:rsid w:val="00395152"/>
    <w:rsid w:val="003A46BB"/>
    <w:rsid w:val="003A4EC7"/>
    <w:rsid w:val="003A7295"/>
    <w:rsid w:val="003B197E"/>
    <w:rsid w:val="003B1F60"/>
    <w:rsid w:val="003B3775"/>
    <w:rsid w:val="003C0114"/>
    <w:rsid w:val="003C0293"/>
    <w:rsid w:val="003C2CC4"/>
    <w:rsid w:val="003D4B23"/>
    <w:rsid w:val="003D727A"/>
    <w:rsid w:val="003E278A"/>
    <w:rsid w:val="003E32D9"/>
    <w:rsid w:val="003E7B11"/>
    <w:rsid w:val="003E7C33"/>
    <w:rsid w:val="003F1D92"/>
    <w:rsid w:val="00400963"/>
    <w:rsid w:val="00402CE4"/>
    <w:rsid w:val="00403949"/>
    <w:rsid w:val="0040421B"/>
    <w:rsid w:val="00407EC5"/>
    <w:rsid w:val="00413520"/>
    <w:rsid w:val="00424440"/>
    <w:rsid w:val="004325CB"/>
    <w:rsid w:val="00437448"/>
    <w:rsid w:val="00440A07"/>
    <w:rsid w:val="00442F9F"/>
    <w:rsid w:val="004431F8"/>
    <w:rsid w:val="004506F7"/>
    <w:rsid w:val="00451982"/>
    <w:rsid w:val="00453030"/>
    <w:rsid w:val="00462880"/>
    <w:rsid w:val="0046599B"/>
    <w:rsid w:val="004672D4"/>
    <w:rsid w:val="00467B79"/>
    <w:rsid w:val="00471A2F"/>
    <w:rsid w:val="004764CB"/>
    <w:rsid w:val="00476F24"/>
    <w:rsid w:val="00483091"/>
    <w:rsid w:val="004861E9"/>
    <w:rsid w:val="00487DB0"/>
    <w:rsid w:val="00494310"/>
    <w:rsid w:val="004951FF"/>
    <w:rsid w:val="004A0880"/>
    <w:rsid w:val="004A10CB"/>
    <w:rsid w:val="004A58A1"/>
    <w:rsid w:val="004B3127"/>
    <w:rsid w:val="004B5012"/>
    <w:rsid w:val="004B5CE6"/>
    <w:rsid w:val="004C4252"/>
    <w:rsid w:val="004C55B0"/>
    <w:rsid w:val="004C62F8"/>
    <w:rsid w:val="004C67BE"/>
    <w:rsid w:val="004C6B7B"/>
    <w:rsid w:val="004D0AA0"/>
    <w:rsid w:val="004D4FE8"/>
    <w:rsid w:val="004E04A1"/>
    <w:rsid w:val="004E517A"/>
    <w:rsid w:val="004F1A10"/>
    <w:rsid w:val="004F6692"/>
    <w:rsid w:val="004F6BA0"/>
    <w:rsid w:val="004F6E70"/>
    <w:rsid w:val="005004C6"/>
    <w:rsid w:val="00503863"/>
    <w:rsid w:val="00503BEA"/>
    <w:rsid w:val="00503DE1"/>
    <w:rsid w:val="00506A3F"/>
    <w:rsid w:val="00516A1F"/>
    <w:rsid w:val="00516F95"/>
    <w:rsid w:val="005177CC"/>
    <w:rsid w:val="0052531C"/>
    <w:rsid w:val="005275D9"/>
    <w:rsid w:val="00533616"/>
    <w:rsid w:val="00535ABA"/>
    <w:rsid w:val="0053768B"/>
    <w:rsid w:val="005420F2"/>
    <w:rsid w:val="0054285C"/>
    <w:rsid w:val="00546224"/>
    <w:rsid w:val="00547F68"/>
    <w:rsid w:val="00550000"/>
    <w:rsid w:val="00561A94"/>
    <w:rsid w:val="0056237B"/>
    <w:rsid w:val="00562B3A"/>
    <w:rsid w:val="00563130"/>
    <w:rsid w:val="00567F58"/>
    <w:rsid w:val="005700C2"/>
    <w:rsid w:val="0057222D"/>
    <w:rsid w:val="005749C7"/>
    <w:rsid w:val="0058127E"/>
    <w:rsid w:val="00584173"/>
    <w:rsid w:val="00587997"/>
    <w:rsid w:val="00595520"/>
    <w:rsid w:val="00596050"/>
    <w:rsid w:val="005A3211"/>
    <w:rsid w:val="005A3232"/>
    <w:rsid w:val="005A3A2D"/>
    <w:rsid w:val="005A4018"/>
    <w:rsid w:val="005A44B9"/>
    <w:rsid w:val="005A7606"/>
    <w:rsid w:val="005A7B35"/>
    <w:rsid w:val="005B05C2"/>
    <w:rsid w:val="005B1BA0"/>
    <w:rsid w:val="005B27D5"/>
    <w:rsid w:val="005B2D9A"/>
    <w:rsid w:val="005B311B"/>
    <w:rsid w:val="005B3DB3"/>
    <w:rsid w:val="005B4DBF"/>
    <w:rsid w:val="005B5664"/>
    <w:rsid w:val="005C145C"/>
    <w:rsid w:val="005C1CC1"/>
    <w:rsid w:val="005C35C2"/>
    <w:rsid w:val="005D15CA"/>
    <w:rsid w:val="005D5355"/>
    <w:rsid w:val="005D5E0F"/>
    <w:rsid w:val="005D6677"/>
    <w:rsid w:val="005E643D"/>
    <w:rsid w:val="005E6913"/>
    <w:rsid w:val="005E77A0"/>
    <w:rsid w:val="005F22DB"/>
    <w:rsid w:val="005F3066"/>
    <w:rsid w:val="005F3E61"/>
    <w:rsid w:val="005F495A"/>
    <w:rsid w:val="005F5BC4"/>
    <w:rsid w:val="00600768"/>
    <w:rsid w:val="00604DDD"/>
    <w:rsid w:val="00605704"/>
    <w:rsid w:val="0060778D"/>
    <w:rsid w:val="00610A77"/>
    <w:rsid w:val="006115CC"/>
    <w:rsid w:val="00611FC4"/>
    <w:rsid w:val="00613858"/>
    <w:rsid w:val="006176FB"/>
    <w:rsid w:val="00620065"/>
    <w:rsid w:val="006229CD"/>
    <w:rsid w:val="00624E86"/>
    <w:rsid w:val="00630FCB"/>
    <w:rsid w:val="006313D2"/>
    <w:rsid w:val="00632D4F"/>
    <w:rsid w:val="006331CA"/>
    <w:rsid w:val="00636011"/>
    <w:rsid w:val="00640B26"/>
    <w:rsid w:val="00641130"/>
    <w:rsid w:val="00642FE6"/>
    <w:rsid w:val="006432ED"/>
    <w:rsid w:val="006446B9"/>
    <w:rsid w:val="006456E1"/>
    <w:rsid w:val="0064599F"/>
    <w:rsid w:val="006467BE"/>
    <w:rsid w:val="0064719F"/>
    <w:rsid w:val="006507EC"/>
    <w:rsid w:val="00661503"/>
    <w:rsid w:val="00663A56"/>
    <w:rsid w:val="00664F96"/>
    <w:rsid w:val="0066555D"/>
    <w:rsid w:val="00671B27"/>
    <w:rsid w:val="006720A1"/>
    <w:rsid w:val="006730EF"/>
    <w:rsid w:val="0067588E"/>
    <w:rsid w:val="0067618F"/>
    <w:rsid w:val="006770B2"/>
    <w:rsid w:val="00677E4B"/>
    <w:rsid w:val="00681895"/>
    <w:rsid w:val="006940E1"/>
    <w:rsid w:val="006948FA"/>
    <w:rsid w:val="00694FE0"/>
    <w:rsid w:val="00696CEA"/>
    <w:rsid w:val="006A0259"/>
    <w:rsid w:val="006A04F5"/>
    <w:rsid w:val="006A1420"/>
    <w:rsid w:val="006A3320"/>
    <w:rsid w:val="006A3C72"/>
    <w:rsid w:val="006A7392"/>
    <w:rsid w:val="006A7E3E"/>
    <w:rsid w:val="006B03A1"/>
    <w:rsid w:val="006B059E"/>
    <w:rsid w:val="006B0C97"/>
    <w:rsid w:val="006B1072"/>
    <w:rsid w:val="006B2D7D"/>
    <w:rsid w:val="006B3ACA"/>
    <w:rsid w:val="006B4CC4"/>
    <w:rsid w:val="006B628A"/>
    <w:rsid w:val="006B67D9"/>
    <w:rsid w:val="006C5535"/>
    <w:rsid w:val="006C6E54"/>
    <w:rsid w:val="006D0196"/>
    <w:rsid w:val="006D0589"/>
    <w:rsid w:val="006D1A8C"/>
    <w:rsid w:val="006D34A4"/>
    <w:rsid w:val="006D402E"/>
    <w:rsid w:val="006D7602"/>
    <w:rsid w:val="006E23F2"/>
    <w:rsid w:val="006E370E"/>
    <w:rsid w:val="006E564B"/>
    <w:rsid w:val="006E7154"/>
    <w:rsid w:val="006F7FF8"/>
    <w:rsid w:val="007003CD"/>
    <w:rsid w:val="00703C13"/>
    <w:rsid w:val="00704276"/>
    <w:rsid w:val="00704C72"/>
    <w:rsid w:val="00706D34"/>
    <w:rsid w:val="0070701E"/>
    <w:rsid w:val="007070A5"/>
    <w:rsid w:val="007076A9"/>
    <w:rsid w:val="00710573"/>
    <w:rsid w:val="0071067D"/>
    <w:rsid w:val="00714618"/>
    <w:rsid w:val="0072101A"/>
    <w:rsid w:val="0072632A"/>
    <w:rsid w:val="0073038C"/>
    <w:rsid w:val="007358E8"/>
    <w:rsid w:val="00736ECE"/>
    <w:rsid w:val="00737621"/>
    <w:rsid w:val="0074533B"/>
    <w:rsid w:val="00753A7E"/>
    <w:rsid w:val="00754FD1"/>
    <w:rsid w:val="00756B53"/>
    <w:rsid w:val="00757473"/>
    <w:rsid w:val="007643BC"/>
    <w:rsid w:val="0076548B"/>
    <w:rsid w:val="007654B1"/>
    <w:rsid w:val="00767868"/>
    <w:rsid w:val="00767EA7"/>
    <w:rsid w:val="00771DA2"/>
    <w:rsid w:val="00776A28"/>
    <w:rsid w:val="007825F6"/>
    <w:rsid w:val="00784254"/>
    <w:rsid w:val="007872D9"/>
    <w:rsid w:val="00790F4D"/>
    <w:rsid w:val="007918D7"/>
    <w:rsid w:val="007947FD"/>
    <w:rsid w:val="007959FE"/>
    <w:rsid w:val="00797ECA"/>
    <w:rsid w:val="007A07F0"/>
    <w:rsid w:val="007A0CF1"/>
    <w:rsid w:val="007B0BF5"/>
    <w:rsid w:val="007B2A22"/>
    <w:rsid w:val="007B4174"/>
    <w:rsid w:val="007B6BA5"/>
    <w:rsid w:val="007C2E9D"/>
    <w:rsid w:val="007C3390"/>
    <w:rsid w:val="007C42D8"/>
    <w:rsid w:val="007C4F4B"/>
    <w:rsid w:val="007C5542"/>
    <w:rsid w:val="007D26F2"/>
    <w:rsid w:val="007D3EE4"/>
    <w:rsid w:val="007D7362"/>
    <w:rsid w:val="007E04D3"/>
    <w:rsid w:val="007E45C4"/>
    <w:rsid w:val="007E562A"/>
    <w:rsid w:val="007E64A1"/>
    <w:rsid w:val="007F2F9D"/>
    <w:rsid w:val="007F3A5F"/>
    <w:rsid w:val="007F4EE2"/>
    <w:rsid w:val="007F5CE2"/>
    <w:rsid w:val="007F6611"/>
    <w:rsid w:val="00801A7A"/>
    <w:rsid w:val="00805185"/>
    <w:rsid w:val="00810BAC"/>
    <w:rsid w:val="00811885"/>
    <w:rsid w:val="008175E9"/>
    <w:rsid w:val="00820330"/>
    <w:rsid w:val="0082035E"/>
    <w:rsid w:val="008203A2"/>
    <w:rsid w:val="00820FCF"/>
    <w:rsid w:val="008238B1"/>
    <w:rsid w:val="008242D7"/>
    <w:rsid w:val="0082577B"/>
    <w:rsid w:val="00833270"/>
    <w:rsid w:val="00833789"/>
    <w:rsid w:val="00834BED"/>
    <w:rsid w:val="00836072"/>
    <w:rsid w:val="00840F28"/>
    <w:rsid w:val="00841784"/>
    <w:rsid w:val="00846A63"/>
    <w:rsid w:val="00853FC1"/>
    <w:rsid w:val="00855107"/>
    <w:rsid w:val="00857036"/>
    <w:rsid w:val="00857296"/>
    <w:rsid w:val="00860685"/>
    <w:rsid w:val="00864959"/>
    <w:rsid w:val="00866893"/>
    <w:rsid w:val="00866F02"/>
    <w:rsid w:val="00867D18"/>
    <w:rsid w:val="008701A6"/>
    <w:rsid w:val="00870B5E"/>
    <w:rsid w:val="00871F9A"/>
    <w:rsid w:val="00871FD5"/>
    <w:rsid w:val="00873F74"/>
    <w:rsid w:val="008758C8"/>
    <w:rsid w:val="00880591"/>
    <w:rsid w:val="0088172E"/>
    <w:rsid w:val="00881EFA"/>
    <w:rsid w:val="008821D1"/>
    <w:rsid w:val="00896835"/>
    <w:rsid w:val="008979B1"/>
    <w:rsid w:val="008A41D9"/>
    <w:rsid w:val="008A5720"/>
    <w:rsid w:val="008A6B25"/>
    <w:rsid w:val="008A6C4F"/>
    <w:rsid w:val="008A7B48"/>
    <w:rsid w:val="008B1494"/>
    <w:rsid w:val="008B389E"/>
    <w:rsid w:val="008B7964"/>
    <w:rsid w:val="008C3060"/>
    <w:rsid w:val="008C3552"/>
    <w:rsid w:val="008C3DED"/>
    <w:rsid w:val="008C6A3E"/>
    <w:rsid w:val="008C6CD7"/>
    <w:rsid w:val="008D045E"/>
    <w:rsid w:val="008D17E8"/>
    <w:rsid w:val="008D3F25"/>
    <w:rsid w:val="008D4D82"/>
    <w:rsid w:val="008D69E5"/>
    <w:rsid w:val="008E0908"/>
    <w:rsid w:val="008E0E46"/>
    <w:rsid w:val="008E40EB"/>
    <w:rsid w:val="008E47FA"/>
    <w:rsid w:val="008E5A7D"/>
    <w:rsid w:val="008E7116"/>
    <w:rsid w:val="008E7E35"/>
    <w:rsid w:val="008F143B"/>
    <w:rsid w:val="008F3882"/>
    <w:rsid w:val="008F4A7F"/>
    <w:rsid w:val="008F4B7C"/>
    <w:rsid w:val="008F4D62"/>
    <w:rsid w:val="008F5ABF"/>
    <w:rsid w:val="008F6F48"/>
    <w:rsid w:val="008F761B"/>
    <w:rsid w:val="00911B42"/>
    <w:rsid w:val="009139D8"/>
    <w:rsid w:val="00913AB7"/>
    <w:rsid w:val="00916136"/>
    <w:rsid w:val="00917741"/>
    <w:rsid w:val="00925DBA"/>
    <w:rsid w:val="009265B3"/>
    <w:rsid w:val="00926E47"/>
    <w:rsid w:val="00930569"/>
    <w:rsid w:val="00931D6B"/>
    <w:rsid w:val="0093333C"/>
    <w:rsid w:val="0093647B"/>
    <w:rsid w:val="00937B54"/>
    <w:rsid w:val="009403E7"/>
    <w:rsid w:val="00944989"/>
    <w:rsid w:val="009466A1"/>
    <w:rsid w:val="00947162"/>
    <w:rsid w:val="00947258"/>
    <w:rsid w:val="00952886"/>
    <w:rsid w:val="0095621D"/>
    <w:rsid w:val="00956CA2"/>
    <w:rsid w:val="009635D1"/>
    <w:rsid w:val="0096375C"/>
    <w:rsid w:val="0096582A"/>
    <w:rsid w:val="009662E6"/>
    <w:rsid w:val="0097095E"/>
    <w:rsid w:val="00972289"/>
    <w:rsid w:val="00972594"/>
    <w:rsid w:val="00973598"/>
    <w:rsid w:val="00975149"/>
    <w:rsid w:val="0098592B"/>
    <w:rsid w:val="00985A2F"/>
    <w:rsid w:val="00985FC4"/>
    <w:rsid w:val="00990766"/>
    <w:rsid w:val="00991261"/>
    <w:rsid w:val="00991B1D"/>
    <w:rsid w:val="0099390D"/>
    <w:rsid w:val="009957E3"/>
    <w:rsid w:val="009964C4"/>
    <w:rsid w:val="009A24D1"/>
    <w:rsid w:val="009A2FAA"/>
    <w:rsid w:val="009A3040"/>
    <w:rsid w:val="009A320D"/>
    <w:rsid w:val="009A7B81"/>
    <w:rsid w:val="009B2E66"/>
    <w:rsid w:val="009B72F1"/>
    <w:rsid w:val="009C40DB"/>
    <w:rsid w:val="009D01C0"/>
    <w:rsid w:val="009D6A08"/>
    <w:rsid w:val="009E0A16"/>
    <w:rsid w:val="009E16B9"/>
    <w:rsid w:val="009E7394"/>
    <w:rsid w:val="009E7970"/>
    <w:rsid w:val="009F0941"/>
    <w:rsid w:val="009F2EAC"/>
    <w:rsid w:val="009F57E3"/>
    <w:rsid w:val="009F5C41"/>
    <w:rsid w:val="00A01B88"/>
    <w:rsid w:val="00A04275"/>
    <w:rsid w:val="00A10F4F"/>
    <w:rsid w:val="00A11067"/>
    <w:rsid w:val="00A11599"/>
    <w:rsid w:val="00A12727"/>
    <w:rsid w:val="00A1519F"/>
    <w:rsid w:val="00A1704A"/>
    <w:rsid w:val="00A21339"/>
    <w:rsid w:val="00A41DA8"/>
    <w:rsid w:val="00A425EB"/>
    <w:rsid w:val="00A45359"/>
    <w:rsid w:val="00A466FF"/>
    <w:rsid w:val="00A5219A"/>
    <w:rsid w:val="00A53B12"/>
    <w:rsid w:val="00A5676C"/>
    <w:rsid w:val="00A65B63"/>
    <w:rsid w:val="00A72F22"/>
    <w:rsid w:val="00A733BC"/>
    <w:rsid w:val="00A748A6"/>
    <w:rsid w:val="00A76A69"/>
    <w:rsid w:val="00A77404"/>
    <w:rsid w:val="00A84077"/>
    <w:rsid w:val="00A879A4"/>
    <w:rsid w:val="00A911EA"/>
    <w:rsid w:val="00A945CD"/>
    <w:rsid w:val="00AB1ABF"/>
    <w:rsid w:val="00AB2A4A"/>
    <w:rsid w:val="00AB6220"/>
    <w:rsid w:val="00AB74CB"/>
    <w:rsid w:val="00AC03D6"/>
    <w:rsid w:val="00AC0F2C"/>
    <w:rsid w:val="00AC234C"/>
    <w:rsid w:val="00AC502A"/>
    <w:rsid w:val="00AC5532"/>
    <w:rsid w:val="00AD1049"/>
    <w:rsid w:val="00AD6AB9"/>
    <w:rsid w:val="00AE356C"/>
    <w:rsid w:val="00AE5D85"/>
    <w:rsid w:val="00AE6558"/>
    <w:rsid w:val="00AF1746"/>
    <w:rsid w:val="00AF1E0C"/>
    <w:rsid w:val="00AF58C1"/>
    <w:rsid w:val="00AF59BA"/>
    <w:rsid w:val="00AF5F1C"/>
    <w:rsid w:val="00AF69B1"/>
    <w:rsid w:val="00B027CA"/>
    <w:rsid w:val="00B06643"/>
    <w:rsid w:val="00B1014D"/>
    <w:rsid w:val="00B14D16"/>
    <w:rsid w:val="00B15055"/>
    <w:rsid w:val="00B17430"/>
    <w:rsid w:val="00B20127"/>
    <w:rsid w:val="00B20321"/>
    <w:rsid w:val="00B20855"/>
    <w:rsid w:val="00B2509D"/>
    <w:rsid w:val="00B25186"/>
    <w:rsid w:val="00B30179"/>
    <w:rsid w:val="00B305F1"/>
    <w:rsid w:val="00B32012"/>
    <w:rsid w:val="00B33A88"/>
    <w:rsid w:val="00B37B15"/>
    <w:rsid w:val="00B40E20"/>
    <w:rsid w:val="00B45C02"/>
    <w:rsid w:val="00B53C63"/>
    <w:rsid w:val="00B5440C"/>
    <w:rsid w:val="00B54E3F"/>
    <w:rsid w:val="00B5657E"/>
    <w:rsid w:val="00B567C4"/>
    <w:rsid w:val="00B656C7"/>
    <w:rsid w:val="00B72A1E"/>
    <w:rsid w:val="00B7316E"/>
    <w:rsid w:val="00B74D2B"/>
    <w:rsid w:val="00B753B9"/>
    <w:rsid w:val="00B81E12"/>
    <w:rsid w:val="00B835C9"/>
    <w:rsid w:val="00B93389"/>
    <w:rsid w:val="00B97FC0"/>
    <w:rsid w:val="00BA339B"/>
    <w:rsid w:val="00BA5214"/>
    <w:rsid w:val="00BA66C5"/>
    <w:rsid w:val="00BA6E3F"/>
    <w:rsid w:val="00BA7ABA"/>
    <w:rsid w:val="00BB00ED"/>
    <w:rsid w:val="00BB2195"/>
    <w:rsid w:val="00BB263E"/>
    <w:rsid w:val="00BB527B"/>
    <w:rsid w:val="00BC021A"/>
    <w:rsid w:val="00BC1E7E"/>
    <w:rsid w:val="00BC2391"/>
    <w:rsid w:val="00BC486B"/>
    <w:rsid w:val="00BC6556"/>
    <w:rsid w:val="00BC74E9"/>
    <w:rsid w:val="00BC7E77"/>
    <w:rsid w:val="00BD0527"/>
    <w:rsid w:val="00BE3532"/>
    <w:rsid w:val="00BE36A9"/>
    <w:rsid w:val="00BE3D9A"/>
    <w:rsid w:val="00BE618E"/>
    <w:rsid w:val="00BE6DF8"/>
    <w:rsid w:val="00BE7BEC"/>
    <w:rsid w:val="00BF03AD"/>
    <w:rsid w:val="00BF0A5A"/>
    <w:rsid w:val="00BF0E63"/>
    <w:rsid w:val="00BF12A3"/>
    <w:rsid w:val="00BF16D7"/>
    <w:rsid w:val="00BF1DEB"/>
    <w:rsid w:val="00BF2373"/>
    <w:rsid w:val="00BF46B0"/>
    <w:rsid w:val="00BF5A0C"/>
    <w:rsid w:val="00C044E2"/>
    <w:rsid w:val="00C048CB"/>
    <w:rsid w:val="00C04A00"/>
    <w:rsid w:val="00C058F8"/>
    <w:rsid w:val="00C066F3"/>
    <w:rsid w:val="00C13858"/>
    <w:rsid w:val="00C148FA"/>
    <w:rsid w:val="00C16F77"/>
    <w:rsid w:val="00C2022B"/>
    <w:rsid w:val="00C21751"/>
    <w:rsid w:val="00C23924"/>
    <w:rsid w:val="00C245B1"/>
    <w:rsid w:val="00C27FB3"/>
    <w:rsid w:val="00C347BF"/>
    <w:rsid w:val="00C37891"/>
    <w:rsid w:val="00C414EE"/>
    <w:rsid w:val="00C463DD"/>
    <w:rsid w:val="00C5152E"/>
    <w:rsid w:val="00C53961"/>
    <w:rsid w:val="00C638DA"/>
    <w:rsid w:val="00C67F81"/>
    <w:rsid w:val="00C67FDD"/>
    <w:rsid w:val="00C70021"/>
    <w:rsid w:val="00C70A8B"/>
    <w:rsid w:val="00C738BC"/>
    <w:rsid w:val="00C740A2"/>
    <w:rsid w:val="00C745C3"/>
    <w:rsid w:val="00C747B3"/>
    <w:rsid w:val="00C80A0B"/>
    <w:rsid w:val="00C80E9E"/>
    <w:rsid w:val="00C8230B"/>
    <w:rsid w:val="00C86787"/>
    <w:rsid w:val="00C90D8C"/>
    <w:rsid w:val="00C90E5B"/>
    <w:rsid w:val="00C9213B"/>
    <w:rsid w:val="00C9238C"/>
    <w:rsid w:val="00C96DC7"/>
    <w:rsid w:val="00CA24A4"/>
    <w:rsid w:val="00CA3794"/>
    <w:rsid w:val="00CA54DB"/>
    <w:rsid w:val="00CB1144"/>
    <w:rsid w:val="00CB348D"/>
    <w:rsid w:val="00CB6661"/>
    <w:rsid w:val="00CC0028"/>
    <w:rsid w:val="00CC0644"/>
    <w:rsid w:val="00CC4EDE"/>
    <w:rsid w:val="00CC51A8"/>
    <w:rsid w:val="00CC51BC"/>
    <w:rsid w:val="00CC553A"/>
    <w:rsid w:val="00CC6BB6"/>
    <w:rsid w:val="00CD318B"/>
    <w:rsid w:val="00CD46F5"/>
    <w:rsid w:val="00CD4A27"/>
    <w:rsid w:val="00CD4D41"/>
    <w:rsid w:val="00CD6D40"/>
    <w:rsid w:val="00CE2985"/>
    <w:rsid w:val="00CE4A8F"/>
    <w:rsid w:val="00CE7F94"/>
    <w:rsid w:val="00CF071D"/>
    <w:rsid w:val="00CF295B"/>
    <w:rsid w:val="00CF33DC"/>
    <w:rsid w:val="00D051E8"/>
    <w:rsid w:val="00D15B04"/>
    <w:rsid w:val="00D2031B"/>
    <w:rsid w:val="00D223C6"/>
    <w:rsid w:val="00D25FE2"/>
    <w:rsid w:val="00D269A0"/>
    <w:rsid w:val="00D313FE"/>
    <w:rsid w:val="00D32197"/>
    <w:rsid w:val="00D3466C"/>
    <w:rsid w:val="00D34BA9"/>
    <w:rsid w:val="00D37DA9"/>
    <w:rsid w:val="00D406A7"/>
    <w:rsid w:val="00D40A10"/>
    <w:rsid w:val="00D43252"/>
    <w:rsid w:val="00D433F9"/>
    <w:rsid w:val="00D44D86"/>
    <w:rsid w:val="00D45844"/>
    <w:rsid w:val="00D46595"/>
    <w:rsid w:val="00D50B7D"/>
    <w:rsid w:val="00D52012"/>
    <w:rsid w:val="00D56C8E"/>
    <w:rsid w:val="00D67A96"/>
    <w:rsid w:val="00D704E5"/>
    <w:rsid w:val="00D72727"/>
    <w:rsid w:val="00D7526D"/>
    <w:rsid w:val="00D863DA"/>
    <w:rsid w:val="00D87200"/>
    <w:rsid w:val="00D92444"/>
    <w:rsid w:val="00D973C4"/>
    <w:rsid w:val="00D978C6"/>
    <w:rsid w:val="00DA0956"/>
    <w:rsid w:val="00DA1B55"/>
    <w:rsid w:val="00DA357F"/>
    <w:rsid w:val="00DA3E12"/>
    <w:rsid w:val="00DA3FDA"/>
    <w:rsid w:val="00DB0A31"/>
    <w:rsid w:val="00DC0356"/>
    <w:rsid w:val="00DC119B"/>
    <w:rsid w:val="00DC18AD"/>
    <w:rsid w:val="00DC59F5"/>
    <w:rsid w:val="00DD0FB3"/>
    <w:rsid w:val="00DD193E"/>
    <w:rsid w:val="00DD205A"/>
    <w:rsid w:val="00DD2E13"/>
    <w:rsid w:val="00DD469C"/>
    <w:rsid w:val="00DD75E9"/>
    <w:rsid w:val="00DE083B"/>
    <w:rsid w:val="00DE2B1C"/>
    <w:rsid w:val="00DE591A"/>
    <w:rsid w:val="00DE77BD"/>
    <w:rsid w:val="00DF1504"/>
    <w:rsid w:val="00DF748C"/>
    <w:rsid w:val="00DF7CAE"/>
    <w:rsid w:val="00E00CA6"/>
    <w:rsid w:val="00E00FCC"/>
    <w:rsid w:val="00E101D8"/>
    <w:rsid w:val="00E109F4"/>
    <w:rsid w:val="00E1246E"/>
    <w:rsid w:val="00E15023"/>
    <w:rsid w:val="00E15252"/>
    <w:rsid w:val="00E27CA3"/>
    <w:rsid w:val="00E31345"/>
    <w:rsid w:val="00E35510"/>
    <w:rsid w:val="00E3765E"/>
    <w:rsid w:val="00E377B3"/>
    <w:rsid w:val="00E423C0"/>
    <w:rsid w:val="00E450D1"/>
    <w:rsid w:val="00E6414C"/>
    <w:rsid w:val="00E64635"/>
    <w:rsid w:val="00E64E73"/>
    <w:rsid w:val="00E653BF"/>
    <w:rsid w:val="00E7260F"/>
    <w:rsid w:val="00E733F5"/>
    <w:rsid w:val="00E77B38"/>
    <w:rsid w:val="00E82633"/>
    <w:rsid w:val="00E83C07"/>
    <w:rsid w:val="00E85A71"/>
    <w:rsid w:val="00E85E7E"/>
    <w:rsid w:val="00E8702D"/>
    <w:rsid w:val="00E916A9"/>
    <w:rsid w:val="00E916DE"/>
    <w:rsid w:val="00E96630"/>
    <w:rsid w:val="00EA2C64"/>
    <w:rsid w:val="00EA3F42"/>
    <w:rsid w:val="00EA40FE"/>
    <w:rsid w:val="00EB582C"/>
    <w:rsid w:val="00EB5C9F"/>
    <w:rsid w:val="00EB777F"/>
    <w:rsid w:val="00EC0534"/>
    <w:rsid w:val="00ED1629"/>
    <w:rsid w:val="00ED18DC"/>
    <w:rsid w:val="00ED1B82"/>
    <w:rsid w:val="00ED2028"/>
    <w:rsid w:val="00ED500D"/>
    <w:rsid w:val="00ED6201"/>
    <w:rsid w:val="00ED7617"/>
    <w:rsid w:val="00ED7A2A"/>
    <w:rsid w:val="00EE7E8C"/>
    <w:rsid w:val="00EF1D7F"/>
    <w:rsid w:val="00EF2DF1"/>
    <w:rsid w:val="00EF40B4"/>
    <w:rsid w:val="00EF5691"/>
    <w:rsid w:val="00F0090D"/>
    <w:rsid w:val="00F0137E"/>
    <w:rsid w:val="00F035E5"/>
    <w:rsid w:val="00F17B25"/>
    <w:rsid w:val="00F21786"/>
    <w:rsid w:val="00F221E0"/>
    <w:rsid w:val="00F22670"/>
    <w:rsid w:val="00F24CC3"/>
    <w:rsid w:val="00F315D1"/>
    <w:rsid w:val="00F316C7"/>
    <w:rsid w:val="00F32F63"/>
    <w:rsid w:val="00F34BE3"/>
    <w:rsid w:val="00F3742B"/>
    <w:rsid w:val="00F42823"/>
    <w:rsid w:val="00F44E23"/>
    <w:rsid w:val="00F54B1D"/>
    <w:rsid w:val="00F562B8"/>
    <w:rsid w:val="00F56D63"/>
    <w:rsid w:val="00F609A9"/>
    <w:rsid w:val="00F6121C"/>
    <w:rsid w:val="00F61B65"/>
    <w:rsid w:val="00F6468D"/>
    <w:rsid w:val="00F65236"/>
    <w:rsid w:val="00F65F78"/>
    <w:rsid w:val="00F662EF"/>
    <w:rsid w:val="00F74106"/>
    <w:rsid w:val="00F75677"/>
    <w:rsid w:val="00F76C30"/>
    <w:rsid w:val="00F80407"/>
    <w:rsid w:val="00F80C99"/>
    <w:rsid w:val="00F842D3"/>
    <w:rsid w:val="00F867EC"/>
    <w:rsid w:val="00F91B2B"/>
    <w:rsid w:val="00F97CD5"/>
    <w:rsid w:val="00FB1921"/>
    <w:rsid w:val="00FB205F"/>
    <w:rsid w:val="00FB2E0A"/>
    <w:rsid w:val="00FC03CD"/>
    <w:rsid w:val="00FC0646"/>
    <w:rsid w:val="00FC3D0B"/>
    <w:rsid w:val="00FC509F"/>
    <w:rsid w:val="00FC68B7"/>
    <w:rsid w:val="00FC6DED"/>
    <w:rsid w:val="00FC6FD2"/>
    <w:rsid w:val="00FD0A24"/>
    <w:rsid w:val="00FD3520"/>
    <w:rsid w:val="00FD3597"/>
    <w:rsid w:val="00FD61BD"/>
    <w:rsid w:val="00FE123B"/>
    <w:rsid w:val="00FE166A"/>
    <w:rsid w:val="00FE68A4"/>
    <w:rsid w:val="00FE6985"/>
    <w:rsid w:val="00FF34FD"/>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A2A0A9-17BD-4A83-9D31-C53F2A18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NoSpacing">
    <w:name w:val="No Spacing"/>
    <w:uiPriority w:val="1"/>
    <w:qFormat/>
    <w:rsid w:val="008F761B"/>
    <w:pPr>
      <w:suppressAutoHyphens/>
    </w:pPr>
    <w:rPr>
      <w:lang w:val="en-GB"/>
    </w:rPr>
  </w:style>
  <w:style w:type="character" w:styleId="CommentReference">
    <w:name w:val="annotation reference"/>
    <w:rsid w:val="0020317C"/>
    <w:rPr>
      <w:sz w:val="16"/>
      <w:szCs w:val="16"/>
    </w:rPr>
  </w:style>
  <w:style w:type="paragraph" w:styleId="CommentText">
    <w:name w:val="annotation text"/>
    <w:basedOn w:val="Normal"/>
    <w:link w:val="CommentTextChar"/>
    <w:rsid w:val="0020317C"/>
  </w:style>
  <w:style w:type="character" w:customStyle="1" w:styleId="CommentTextChar">
    <w:name w:val="Comment Text Char"/>
    <w:link w:val="CommentText"/>
    <w:rsid w:val="0020317C"/>
    <w:rPr>
      <w:lang w:val="en-GB"/>
    </w:rPr>
  </w:style>
  <w:style w:type="paragraph" w:styleId="CommentSubject">
    <w:name w:val="annotation subject"/>
    <w:basedOn w:val="CommentText"/>
    <w:next w:val="CommentText"/>
    <w:link w:val="CommentSubjectChar"/>
    <w:rsid w:val="0020317C"/>
    <w:rPr>
      <w:b/>
      <w:bCs/>
    </w:rPr>
  </w:style>
  <w:style w:type="character" w:customStyle="1" w:styleId="CommentSubjectChar">
    <w:name w:val="Comment Subject Char"/>
    <w:link w:val="CommentSubject"/>
    <w:rsid w:val="0020317C"/>
    <w:rPr>
      <w:b/>
      <w:bCs/>
      <w:lang w:val="en-GB"/>
    </w:rPr>
  </w:style>
  <w:style w:type="paragraph" w:styleId="BalloonText">
    <w:name w:val="Balloon Text"/>
    <w:basedOn w:val="Normal"/>
    <w:link w:val="BalloonTextChar"/>
    <w:rsid w:val="0020317C"/>
    <w:pPr>
      <w:spacing w:line="240" w:lineRule="auto"/>
    </w:pPr>
    <w:rPr>
      <w:rFonts w:ascii="Tahoma" w:hAnsi="Tahoma"/>
      <w:sz w:val="16"/>
      <w:szCs w:val="16"/>
    </w:rPr>
  </w:style>
  <w:style w:type="character" w:customStyle="1" w:styleId="BalloonTextChar">
    <w:name w:val="Balloon Text Char"/>
    <w:link w:val="BalloonText"/>
    <w:rsid w:val="0020317C"/>
    <w:rPr>
      <w:rFonts w:ascii="Tahoma" w:hAnsi="Tahoma" w:cs="Tahoma"/>
      <w:sz w:val="16"/>
      <w:szCs w:val="16"/>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
    <w:link w:val="FootnoteText"/>
    <w:locked/>
    <w:rsid w:val="00AE356C"/>
    <w:rPr>
      <w:sz w:val="18"/>
      <w:lang w:val="en-GB"/>
    </w:rPr>
  </w:style>
  <w:style w:type="character" w:customStyle="1" w:styleId="SingleTxtGChar">
    <w:name w:val="_ Single Txt_G Char"/>
    <w:link w:val="SingleTxtG"/>
    <w:locked/>
    <w:rsid w:val="00AE356C"/>
    <w:rPr>
      <w:lang w:val="en-GB"/>
    </w:rPr>
  </w:style>
  <w:style w:type="paragraph" w:styleId="Revision">
    <w:name w:val="Revision"/>
    <w:hidden/>
    <w:uiPriority w:val="99"/>
    <w:semiHidden/>
    <w:rsid w:val="004672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2906">
      <w:bodyDiv w:val="1"/>
      <w:marLeft w:val="0"/>
      <w:marRight w:val="0"/>
      <w:marTop w:val="0"/>
      <w:marBottom w:val="0"/>
      <w:divBdr>
        <w:top w:val="none" w:sz="0" w:space="0" w:color="auto"/>
        <w:left w:val="none" w:sz="0" w:space="0" w:color="auto"/>
        <w:bottom w:val="none" w:sz="0" w:space="0" w:color="auto"/>
        <w:right w:val="none" w:sz="0" w:space="0" w:color="auto"/>
      </w:divBdr>
    </w:div>
    <w:div w:id="1333607485">
      <w:bodyDiv w:val="1"/>
      <w:marLeft w:val="0"/>
      <w:marRight w:val="0"/>
      <w:marTop w:val="0"/>
      <w:marBottom w:val="0"/>
      <w:divBdr>
        <w:top w:val="none" w:sz="0" w:space="0" w:color="auto"/>
        <w:left w:val="none" w:sz="0" w:space="0" w:color="auto"/>
        <w:bottom w:val="none" w:sz="0" w:space="0" w:color="auto"/>
        <w:right w:val="none" w:sz="0" w:space="0" w:color="auto"/>
      </w:divBdr>
    </w:div>
    <w:div w:id="1400789261">
      <w:bodyDiv w:val="1"/>
      <w:marLeft w:val="0"/>
      <w:marRight w:val="0"/>
      <w:marTop w:val="0"/>
      <w:marBottom w:val="0"/>
      <w:divBdr>
        <w:top w:val="none" w:sz="0" w:space="0" w:color="auto"/>
        <w:left w:val="none" w:sz="0" w:space="0" w:color="auto"/>
        <w:bottom w:val="none" w:sz="0" w:space="0" w:color="auto"/>
        <w:right w:val="none" w:sz="0" w:space="0" w:color="auto"/>
      </w:divBdr>
    </w:div>
    <w:div w:id="20100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Balasingham</dc:creator>
  <cp:keywords/>
  <cp:lastModifiedBy>Sarah Willig</cp:lastModifiedBy>
  <cp:revision>2</cp:revision>
  <cp:lastPrinted>2014-11-12T15:01:00Z</cp:lastPrinted>
  <dcterms:created xsi:type="dcterms:W3CDTF">2017-04-05T20:03:00Z</dcterms:created>
  <dcterms:modified xsi:type="dcterms:W3CDTF">2017-04-05T20:03:00Z</dcterms:modified>
</cp:coreProperties>
</file>