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w:t>
            </w:r>
            <w:r w:rsidR="009345EA">
              <w:rPr>
                <w:sz w:val="28"/>
                <w:szCs w:val="28"/>
              </w:rPr>
              <w:t xml:space="preserve"> </w:t>
            </w:r>
            <w:r>
              <w:rPr>
                <w:sz w:val="28"/>
                <w:szCs w:val="28"/>
              </w:rPr>
              <w:t>Nations</w:t>
            </w:r>
          </w:p>
        </w:tc>
        <w:tc>
          <w:tcPr>
            <w:tcW w:w="6095" w:type="dxa"/>
            <w:gridSpan w:val="2"/>
            <w:tcBorders>
              <w:bottom w:val="single" w:sz="4" w:space="0" w:color="auto"/>
            </w:tcBorders>
            <w:vAlign w:val="bottom"/>
          </w:tcPr>
          <w:p w:rsidR="00165C15" w:rsidRPr="00D47EEA" w:rsidRDefault="00D06B7B" w:rsidP="00D06B7B">
            <w:pPr>
              <w:suppressAutoHyphens w:val="0"/>
              <w:spacing w:after="20"/>
              <w:jc w:val="right"/>
            </w:pPr>
            <w:r w:rsidRPr="00D06B7B">
              <w:rPr>
                <w:sz w:val="40"/>
              </w:rPr>
              <w:t>CCPR</w:t>
            </w:r>
            <w:r>
              <w:t>/C/120/D/2256/2013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International</w:t>
            </w:r>
            <w:r w:rsidR="009345EA">
              <w:rPr>
                <w:b/>
                <w:sz w:val="34"/>
                <w:szCs w:val="40"/>
              </w:rPr>
              <w:t xml:space="preserve"> </w:t>
            </w:r>
            <w:r>
              <w:rPr>
                <w:b/>
                <w:sz w:val="34"/>
                <w:szCs w:val="40"/>
              </w:rPr>
              <w:t>Covenant</w:t>
            </w:r>
            <w:r w:rsidR="009345EA">
              <w:rPr>
                <w:b/>
                <w:sz w:val="34"/>
                <w:szCs w:val="40"/>
              </w:rPr>
              <w:t xml:space="preserve"> </w:t>
            </w:r>
            <w:r>
              <w:rPr>
                <w:b/>
                <w:sz w:val="34"/>
                <w:szCs w:val="40"/>
              </w:rPr>
              <w:t>on</w:t>
            </w:r>
            <w:r>
              <w:rPr>
                <w:b/>
                <w:sz w:val="34"/>
                <w:szCs w:val="40"/>
              </w:rPr>
              <w:br/>
              <w:t>Civil</w:t>
            </w:r>
            <w:r w:rsidR="009345EA">
              <w:rPr>
                <w:b/>
                <w:sz w:val="34"/>
                <w:szCs w:val="40"/>
              </w:rPr>
              <w:t xml:space="preserve"> </w:t>
            </w:r>
            <w:r>
              <w:rPr>
                <w:b/>
                <w:sz w:val="34"/>
                <w:szCs w:val="40"/>
              </w:rPr>
              <w:t>and</w:t>
            </w:r>
            <w:r w:rsidR="009345EA">
              <w:rPr>
                <w:b/>
                <w:sz w:val="34"/>
                <w:szCs w:val="40"/>
              </w:rPr>
              <w:t xml:space="preserve"> </w:t>
            </w:r>
            <w:r>
              <w:rPr>
                <w:b/>
                <w:sz w:val="34"/>
                <w:szCs w:val="40"/>
              </w:rPr>
              <w:t>Political</w:t>
            </w:r>
            <w:r w:rsidR="009345EA">
              <w:rPr>
                <w:b/>
                <w:sz w:val="34"/>
                <w:szCs w:val="40"/>
              </w:rPr>
              <w:t xml:space="preserve"> </w:t>
            </w:r>
            <w:r>
              <w:rPr>
                <w:b/>
                <w:sz w:val="34"/>
                <w:szCs w:val="40"/>
              </w:rPr>
              <w:t>R</w:t>
            </w:r>
            <w:r w:rsidRPr="00267F5F">
              <w:rPr>
                <w:b/>
                <w:sz w:val="34"/>
                <w:szCs w:val="40"/>
              </w:rPr>
              <w:t>ights</w:t>
            </w:r>
          </w:p>
        </w:tc>
        <w:tc>
          <w:tcPr>
            <w:tcW w:w="2835" w:type="dxa"/>
            <w:tcBorders>
              <w:top w:val="single" w:sz="4" w:space="0" w:color="auto"/>
              <w:bottom w:val="single" w:sz="12" w:space="0" w:color="auto"/>
            </w:tcBorders>
          </w:tcPr>
          <w:p w:rsidR="00165C15" w:rsidRDefault="00D06B7B" w:rsidP="00D06B7B">
            <w:pPr>
              <w:suppressAutoHyphens w:val="0"/>
              <w:spacing w:before="240" w:line="240" w:lineRule="exact"/>
            </w:pPr>
            <w:r>
              <w:t>Distr.:</w:t>
            </w:r>
            <w:r w:rsidR="009345EA">
              <w:t xml:space="preserve"> </w:t>
            </w:r>
            <w:r>
              <w:t>General</w:t>
            </w:r>
          </w:p>
          <w:p w:rsidR="00D06B7B" w:rsidRDefault="00D06B7B" w:rsidP="00D06B7B">
            <w:pPr>
              <w:suppressAutoHyphens w:val="0"/>
            </w:pPr>
            <w:r>
              <w:t>22</w:t>
            </w:r>
            <w:r w:rsidR="009345EA">
              <w:t xml:space="preserve"> </w:t>
            </w:r>
            <w:r>
              <w:t>August</w:t>
            </w:r>
            <w:r w:rsidR="009345EA">
              <w:t xml:space="preserve"> </w:t>
            </w:r>
            <w:r>
              <w:t>2017</w:t>
            </w:r>
          </w:p>
          <w:p w:rsidR="00D06B7B" w:rsidRDefault="00D06B7B" w:rsidP="00D06B7B">
            <w:pPr>
              <w:suppressAutoHyphens w:val="0"/>
            </w:pPr>
          </w:p>
          <w:p w:rsidR="00D06B7B" w:rsidRDefault="00D06B7B" w:rsidP="00D06B7B">
            <w:pPr>
              <w:suppressAutoHyphens w:val="0"/>
            </w:pPr>
            <w:r>
              <w:t>Original:</w:t>
            </w:r>
            <w:r w:rsidR="009345EA">
              <w:t xml:space="preserve"> </w:t>
            </w:r>
            <w:r>
              <w:t>English</w:t>
            </w:r>
          </w:p>
        </w:tc>
      </w:tr>
    </w:tbl>
    <w:p w:rsidR="00D06B7B" w:rsidRPr="001B0759" w:rsidRDefault="00D06B7B" w:rsidP="001B0759">
      <w:pPr>
        <w:spacing w:before="120"/>
        <w:rPr>
          <w:b/>
          <w:sz w:val="24"/>
          <w:szCs w:val="24"/>
        </w:rPr>
      </w:pPr>
      <w:r w:rsidRPr="001B0759">
        <w:rPr>
          <w:b/>
          <w:sz w:val="24"/>
          <w:szCs w:val="24"/>
        </w:rPr>
        <w:t>Human</w:t>
      </w:r>
      <w:r w:rsidR="009345EA">
        <w:rPr>
          <w:b/>
          <w:sz w:val="24"/>
          <w:szCs w:val="24"/>
        </w:rPr>
        <w:t xml:space="preserve"> </w:t>
      </w:r>
      <w:r w:rsidRPr="001B0759">
        <w:rPr>
          <w:b/>
          <w:sz w:val="24"/>
          <w:szCs w:val="24"/>
        </w:rPr>
        <w:t>Rights</w:t>
      </w:r>
      <w:r w:rsidR="009345EA">
        <w:rPr>
          <w:b/>
          <w:sz w:val="24"/>
          <w:szCs w:val="24"/>
        </w:rPr>
        <w:t xml:space="preserve"> </w:t>
      </w:r>
      <w:r w:rsidRPr="001B0759">
        <w:rPr>
          <w:b/>
          <w:sz w:val="24"/>
          <w:szCs w:val="24"/>
        </w:rPr>
        <w:t>Committee</w:t>
      </w:r>
    </w:p>
    <w:p w:rsidR="00D06B7B" w:rsidRPr="00C85E6C" w:rsidRDefault="00D06B7B" w:rsidP="001B0759">
      <w:pPr>
        <w:pStyle w:val="HChG"/>
      </w:pPr>
      <w:r w:rsidRPr="00C85E6C">
        <w:tab/>
      </w:r>
      <w:r w:rsidRPr="00C85E6C">
        <w:tab/>
        <w:t>Views</w:t>
      </w:r>
      <w:r w:rsidR="009345EA">
        <w:t xml:space="preserve"> </w:t>
      </w:r>
      <w:r w:rsidRPr="00C85E6C">
        <w:t>adopted</w:t>
      </w:r>
      <w:r w:rsidR="009345EA">
        <w:t xml:space="preserve"> </w:t>
      </w:r>
      <w:r w:rsidRPr="00C85E6C">
        <w:t>by</w:t>
      </w:r>
      <w:r w:rsidR="009345EA">
        <w:t xml:space="preserve"> </w:t>
      </w:r>
      <w:r w:rsidRPr="00C85E6C">
        <w:t>the</w:t>
      </w:r>
      <w:r w:rsidR="009345EA">
        <w:t xml:space="preserve"> </w:t>
      </w:r>
      <w:r w:rsidRPr="00C85E6C">
        <w:t>Committee</w:t>
      </w:r>
      <w:r w:rsidR="009345EA">
        <w:t xml:space="preserve"> </w:t>
      </w:r>
      <w:r w:rsidRPr="00C85E6C">
        <w:t>under</w:t>
      </w:r>
      <w:r w:rsidR="009345EA">
        <w:t xml:space="preserve"> </w:t>
      </w:r>
      <w:r w:rsidRPr="00C85E6C">
        <w:t>article</w:t>
      </w:r>
      <w:r w:rsidR="009345EA">
        <w:t xml:space="preserve"> </w:t>
      </w:r>
      <w:r w:rsidRPr="00C85E6C">
        <w:t>5</w:t>
      </w:r>
      <w:r w:rsidR="009345EA">
        <w:t xml:space="preserve"> </w:t>
      </w:r>
      <w:r w:rsidRPr="00C85E6C">
        <w:t>(4)</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concerning</w:t>
      </w:r>
      <w:r w:rsidR="009345EA">
        <w:t xml:space="preserve"> </w:t>
      </w:r>
      <w:r w:rsidRPr="00C85E6C">
        <w:t>communication</w:t>
      </w:r>
      <w:r w:rsidR="009345EA">
        <w:t xml:space="preserve"> </w:t>
      </w:r>
      <w:r w:rsidRPr="00C85E6C">
        <w:t>No.</w:t>
      </w:r>
      <w:r w:rsidR="009345EA">
        <w:t xml:space="preserve"> </w:t>
      </w:r>
      <w:r w:rsidRPr="00C85E6C">
        <w:t>2256/2013</w:t>
      </w:r>
      <w:r w:rsidRPr="00FF3573">
        <w:rPr>
          <w:rStyle w:val="FootnoteReference"/>
          <w:b w:val="0"/>
          <w:sz w:val="20"/>
          <w:vertAlign w:val="baseline"/>
        </w:rPr>
        <w:footnoteReference w:customMarkFollows="1" w:id="1"/>
        <w:t>*</w:t>
      </w:r>
      <w:r w:rsidRPr="00FF3573">
        <w:rPr>
          <w:b w:val="0"/>
          <w:position w:val="8"/>
          <w:sz w:val="20"/>
        </w:rPr>
        <w:t>,</w:t>
      </w:r>
      <w:r w:rsidR="009345EA">
        <w:rPr>
          <w:b w:val="0"/>
          <w:position w:val="8"/>
          <w:sz w:val="20"/>
        </w:rPr>
        <w:t xml:space="preserve"> </w:t>
      </w:r>
      <w:r w:rsidRPr="00FF3573">
        <w:rPr>
          <w:rStyle w:val="FootnoteReference"/>
          <w:b w:val="0"/>
          <w:sz w:val="20"/>
          <w:vertAlign w:val="baseline"/>
        </w:rPr>
        <w:footnoteReference w:customMarkFollows="1" w:id="2"/>
        <w:t>**</w:t>
      </w:r>
    </w:p>
    <w:p w:rsidR="00D06B7B" w:rsidRPr="000F0F3E" w:rsidRDefault="00D06B7B" w:rsidP="00223C8D">
      <w:pPr>
        <w:pStyle w:val="SingleTxtG"/>
        <w:ind w:left="4536" w:hanging="3402"/>
        <w:jc w:val="left"/>
      </w:pPr>
      <w:r w:rsidRPr="004224DA">
        <w:rPr>
          <w:i/>
        </w:rPr>
        <w:t>Submitted</w:t>
      </w:r>
      <w:r w:rsidR="009345EA" w:rsidRPr="004224DA">
        <w:rPr>
          <w:i/>
        </w:rPr>
        <w:t xml:space="preserve"> </w:t>
      </w:r>
      <w:r w:rsidRPr="004224DA">
        <w:rPr>
          <w:i/>
        </w:rPr>
        <w:t>by:</w:t>
      </w:r>
      <w:r w:rsidRPr="000F0F3E">
        <w:tab/>
        <w:t>X.</w:t>
      </w:r>
      <w:r w:rsidR="009345EA">
        <w:t xml:space="preserve"> </w:t>
      </w:r>
      <w:r w:rsidRPr="000F0F3E">
        <w:t>(represented</w:t>
      </w:r>
      <w:r w:rsidR="009345EA">
        <w:t xml:space="preserve"> </w:t>
      </w:r>
      <w:r w:rsidRPr="000F0F3E">
        <w:t>by</w:t>
      </w:r>
      <w:r w:rsidR="009345EA">
        <w:t xml:space="preserve"> </w:t>
      </w:r>
      <w:r w:rsidRPr="000F0F3E">
        <w:t>counsel,</w:t>
      </w:r>
      <w:r w:rsidR="009345EA">
        <w:t xml:space="preserve"> </w:t>
      </w:r>
      <w:r w:rsidRPr="000F0F3E">
        <w:t>Sergey</w:t>
      </w:r>
      <w:r w:rsidR="009345EA">
        <w:t xml:space="preserve"> </w:t>
      </w:r>
      <w:r w:rsidRPr="000F0F3E">
        <w:t>A.</w:t>
      </w:r>
      <w:r w:rsidR="009345EA">
        <w:t xml:space="preserve"> </w:t>
      </w:r>
      <w:r w:rsidRPr="000F0F3E">
        <w:t>Golubok</w:t>
      </w:r>
      <w:r w:rsidR="009345EA">
        <w:t xml:space="preserve"> </w:t>
      </w:r>
      <w:r w:rsidRPr="000F0F3E">
        <w:t>and</w:t>
      </w:r>
      <w:r w:rsidR="009345EA">
        <w:t xml:space="preserve"> </w:t>
      </w:r>
      <w:r w:rsidRPr="000F0F3E">
        <w:t>the</w:t>
      </w:r>
      <w:r w:rsidR="009345EA">
        <w:t xml:space="preserve"> </w:t>
      </w:r>
      <w:r w:rsidRPr="000F0F3E">
        <w:t>Redress</w:t>
      </w:r>
      <w:r w:rsidR="009345EA">
        <w:t xml:space="preserve"> </w:t>
      </w:r>
      <w:r w:rsidRPr="000F0F3E">
        <w:t>Trust)</w:t>
      </w:r>
      <w:r w:rsidR="009345EA">
        <w:t xml:space="preserve"> </w:t>
      </w:r>
    </w:p>
    <w:p w:rsidR="00D06B7B" w:rsidRPr="000F0F3E" w:rsidRDefault="00D06B7B" w:rsidP="00223C8D">
      <w:pPr>
        <w:pStyle w:val="SingleTxtG"/>
        <w:ind w:left="4536" w:hanging="3402"/>
        <w:jc w:val="left"/>
      </w:pPr>
      <w:r w:rsidRPr="004224DA">
        <w:rPr>
          <w:i/>
        </w:rPr>
        <w:t>Alleged</w:t>
      </w:r>
      <w:r w:rsidR="009345EA" w:rsidRPr="004224DA">
        <w:rPr>
          <w:i/>
        </w:rPr>
        <w:t xml:space="preserve"> </w:t>
      </w:r>
      <w:r w:rsidRPr="004224DA">
        <w:rPr>
          <w:i/>
        </w:rPr>
        <w:t>victim:</w:t>
      </w:r>
      <w:r w:rsidRPr="000F0F3E">
        <w:tab/>
        <w:t>The</w:t>
      </w:r>
      <w:r w:rsidR="009345EA">
        <w:t xml:space="preserve"> </w:t>
      </w:r>
      <w:r w:rsidRPr="000F0F3E">
        <w:t>author</w:t>
      </w:r>
      <w:r w:rsidR="009345EA">
        <w:t xml:space="preserve"> </w:t>
      </w:r>
    </w:p>
    <w:p w:rsidR="00D06B7B" w:rsidRPr="000F0F3E" w:rsidRDefault="00D06B7B" w:rsidP="00223C8D">
      <w:pPr>
        <w:pStyle w:val="SingleTxtG"/>
        <w:ind w:left="4536" w:hanging="3402"/>
        <w:jc w:val="left"/>
      </w:pPr>
      <w:r w:rsidRPr="004224DA">
        <w:rPr>
          <w:i/>
        </w:rPr>
        <w:t>State</w:t>
      </w:r>
      <w:r w:rsidR="009345EA" w:rsidRPr="004224DA">
        <w:rPr>
          <w:i/>
        </w:rPr>
        <w:t xml:space="preserve"> </w:t>
      </w:r>
      <w:r w:rsidRPr="004224DA">
        <w:rPr>
          <w:i/>
        </w:rPr>
        <w:t>party:</w:t>
      </w:r>
      <w:r w:rsidRPr="000F0F3E">
        <w:tab/>
        <w:t>Sri</w:t>
      </w:r>
      <w:r w:rsidR="009345EA">
        <w:t xml:space="preserve"> </w:t>
      </w:r>
      <w:r w:rsidRPr="000F0F3E">
        <w:t>Lanka</w:t>
      </w:r>
      <w:r w:rsidR="009345EA">
        <w:t xml:space="preserve"> </w:t>
      </w:r>
    </w:p>
    <w:p w:rsidR="00D06B7B" w:rsidRPr="000F0F3E" w:rsidRDefault="00D06B7B" w:rsidP="00223C8D">
      <w:pPr>
        <w:pStyle w:val="SingleTxtG"/>
        <w:ind w:left="4536" w:hanging="3402"/>
        <w:jc w:val="left"/>
      </w:pPr>
      <w:r w:rsidRPr="004224DA">
        <w:rPr>
          <w:i/>
        </w:rPr>
        <w:t>Date</w:t>
      </w:r>
      <w:r w:rsidR="009345EA" w:rsidRPr="004224DA">
        <w:rPr>
          <w:i/>
        </w:rPr>
        <w:t xml:space="preserve"> </w:t>
      </w:r>
      <w:r w:rsidRPr="004224DA">
        <w:rPr>
          <w:i/>
        </w:rPr>
        <w:t>of</w:t>
      </w:r>
      <w:r w:rsidR="009345EA" w:rsidRPr="004224DA">
        <w:rPr>
          <w:i/>
        </w:rPr>
        <w:t xml:space="preserve"> </w:t>
      </w:r>
      <w:r w:rsidRPr="004224DA">
        <w:rPr>
          <w:i/>
        </w:rPr>
        <w:t>communication:</w:t>
      </w:r>
      <w:r w:rsidRPr="000F0F3E">
        <w:tab/>
        <w:t>11</w:t>
      </w:r>
      <w:r w:rsidR="009345EA">
        <w:t xml:space="preserve"> </w:t>
      </w:r>
      <w:r w:rsidRPr="000F0F3E">
        <w:t>February</w:t>
      </w:r>
      <w:r w:rsidR="009345EA">
        <w:t xml:space="preserve"> </w:t>
      </w:r>
      <w:r w:rsidRPr="000F0F3E">
        <w:t>2013</w:t>
      </w:r>
      <w:r w:rsidR="009345EA">
        <w:t xml:space="preserve"> </w:t>
      </w:r>
      <w:r w:rsidRPr="000F0F3E">
        <w:t>(initial</w:t>
      </w:r>
      <w:r w:rsidR="009345EA">
        <w:t xml:space="preserve"> </w:t>
      </w:r>
      <w:r w:rsidRPr="000F0F3E">
        <w:t>submission)</w:t>
      </w:r>
    </w:p>
    <w:p w:rsidR="00D06B7B" w:rsidRPr="000F0F3E" w:rsidRDefault="00D06B7B" w:rsidP="00223C8D">
      <w:pPr>
        <w:pStyle w:val="SingleTxtG"/>
        <w:ind w:left="4536" w:hanging="3402"/>
        <w:jc w:val="left"/>
      </w:pPr>
      <w:r w:rsidRPr="004224DA">
        <w:rPr>
          <w:i/>
        </w:rPr>
        <w:t>Document</w:t>
      </w:r>
      <w:r w:rsidR="009345EA" w:rsidRPr="004224DA">
        <w:rPr>
          <w:i/>
        </w:rPr>
        <w:t xml:space="preserve"> </w:t>
      </w:r>
      <w:r w:rsidRPr="004224DA">
        <w:rPr>
          <w:i/>
        </w:rPr>
        <w:t>references:</w:t>
      </w:r>
      <w:r w:rsidRPr="000F0F3E">
        <w:tab/>
        <w:t>Decision</w:t>
      </w:r>
      <w:r w:rsidR="009345EA">
        <w:t xml:space="preserve"> </w:t>
      </w:r>
      <w:r w:rsidRPr="000F0F3E">
        <w:t>taken</w:t>
      </w:r>
      <w:r w:rsidR="009345EA">
        <w:t xml:space="preserve"> </w:t>
      </w:r>
      <w:r w:rsidRPr="000F0F3E">
        <w:t>pursuant</w:t>
      </w:r>
      <w:r w:rsidR="009345EA">
        <w:t xml:space="preserve"> </w:t>
      </w:r>
      <w:r w:rsidRPr="000F0F3E">
        <w:t>to</w:t>
      </w:r>
      <w:r w:rsidR="009345EA">
        <w:t xml:space="preserve"> </w:t>
      </w:r>
      <w:r w:rsidRPr="000F0F3E">
        <w:t>rule</w:t>
      </w:r>
      <w:r w:rsidR="009345EA">
        <w:t xml:space="preserve"> </w:t>
      </w:r>
      <w:r w:rsidRPr="000F0F3E">
        <w:t>97</w:t>
      </w:r>
      <w:r w:rsidR="009345EA">
        <w:t xml:space="preserve"> </w:t>
      </w:r>
      <w:r w:rsidRPr="000F0F3E">
        <w:t>of</w:t>
      </w:r>
      <w:r w:rsidR="009345EA">
        <w:t xml:space="preserve"> </w:t>
      </w:r>
      <w:r w:rsidRPr="000F0F3E">
        <w:t>the</w:t>
      </w:r>
      <w:r w:rsidR="009345EA">
        <w:t xml:space="preserve"> </w:t>
      </w:r>
      <w:r w:rsidRPr="000F0F3E">
        <w:t>Committee</w:t>
      </w:r>
      <w:r w:rsidR="00EB40F1">
        <w:t>’</w:t>
      </w:r>
      <w:r w:rsidRPr="000F0F3E">
        <w:t>s</w:t>
      </w:r>
      <w:r w:rsidR="009345EA">
        <w:t xml:space="preserve"> </w:t>
      </w:r>
      <w:r w:rsidRPr="000F0F3E">
        <w:t>rules</w:t>
      </w:r>
      <w:r w:rsidR="009345EA">
        <w:t xml:space="preserve"> </w:t>
      </w:r>
      <w:r w:rsidRPr="000F0F3E">
        <w:t>of</w:t>
      </w:r>
      <w:r w:rsidR="009345EA">
        <w:t xml:space="preserve"> </w:t>
      </w:r>
      <w:r w:rsidRPr="000F0F3E">
        <w:t>procedure,</w:t>
      </w:r>
      <w:r w:rsidR="009345EA">
        <w:t xml:space="preserve"> </w:t>
      </w:r>
      <w:r w:rsidRPr="000F0F3E">
        <w:t>transmitted</w:t>
      </w:r>
      <w:r w:rsidR="009345EA">
        <w:t xml:space="preserve"> </w:t>
      </w:r>
      <w:r w:rsidRPr="000F0F3E">
        <w:t>to</w:t>
      </w:r>
      <w:r w:rsidR="009345EA">
        <w:t xml:space="preserve"> </w:t>
      </w:r>
      <w:r w:rsidRPr="000F0F3E">
        <w:t>the</w:t>
      </w:r>
      <w:r w:rsidR="009345EA">
        <w:t xml:space="preserve"> </w:t>
      </w:r>
      <w:r w:rsidRPr="000F0F3E">
        <w:t>State</w:t>
      </w:r>
      <w:r w:rsidR="009345EA">
        <w:t xml:space="preserve"> </w:t>
      </w:r>
      <w:r w:rsidRPr="000F0F3E">
        <w:t>party</w:t>
      </w:r>
      <w:r w:rsidR="009345EA">
        <w:t xml:space="preserve"> </w:t>
      </w:r>
      <w:r w:rsidRPr="000F0F3E">
        <w:t>on</w:t>
      </w:r>
      <w:r w:rsidR="009345EA">
        <w:t xml:space="preserve"> </w:t>
      </w:r>
      <w:r w:rsidRPr="000F0F3E">
        <w:t>13</w:t>
      </w:r>
      <w:r w:rsidR="009345EA">
        <w:t xml:space="preserve"> </w:t>
      </w:r>
      <w:r w:rsidRPr="000F0F3E">
        <w:t>June</w:t>
      </w:r>
      <w:r w:rsidR="009345EA">
        <w:t xml:space="preserve"> </w:t>
      </w:r>
      <w:r w:rsidRPr="000F0F3E">
        <w:t>2013</w:t>
      </w:r>
      <w:r w:rsidR="009345EA">
        <w:t xml:space="preserve"> </w:t>
      </w:r>
      <w:r w:rsidRPr="000F0F3E">
        <w:t>(not</w:t>
      </w:r>
      <w:r w:rsidR="009345EA">
        <w:t xml:space="preserve"> </w:t>
      </w:r>
      <w:r w:rsidRPr="000F0F3E">
        <w:t>issued</w:t>
      </w:r>
      <w:r w:rsidR="009345EA">
        <w:t xml:space="preserve"> </w:t>
      </w:r>
      <w:r w:rsidRPr="000F0F3E">
        <w:t>in</w:t>
      </w:r>
      <w:r w:rsidR="009345EA">
        <w:t xml:space="preserve"> </w:t>
      </w:r>
      <w:r w:rsidRPr="000F0F3E">
        <w:t>a</w:t>
      </w:r>
      <w:r w:rsidR="009345EA">
        <w:t xml:space="preserve"> </w:t>
      </w:r>
      <w:r w:rsidRPr="000F0F3E">
        <w:t>document</w:t>
      </w:r>
      <w:r w:rsidR="009345EA">
        <w:t xml:space="preserve"> </w:t>
      </w:r>
      <w:r w:rsidRPr="000F0F3E">
        <w:t>form)</w:t>
      </w:r>
    </w:p>
    <w:p w:rsidR="00D06B7B" w:rsidRPr="000F0F3E" w:rsidRDefault="00D06B7B" w:rsidP="00223C8D">
      <w:pPr>
        <w:pStyle w:val="SingleTxtG"/>
        <w:ind w:left="4536" w:hanging="3402"/>
        <w:jc w:val="left"/>
      </w:pPr>
      <w:r w:rsidRPr="004224DA">
        <w:rPr>
          <w:i/>
        </w:rPr>
        <w:t>Date</w:t>
      </w:r>
      <w:r w:rsidR="009345EA" w:rsidRPr="004224DA">
        <w:rPr>
          <w:i/>
        </w:rPr>
        <w:t xml:space="preserve"> </w:t>
      </w:r>
      <w:r w:rsidRPr="004224DA">
        <w:rPr>
          <w:i/>
        </w:rPr>
        <w:t>of</w:t>
      </w:r>
      <w:r w:rsidR="009345EA" w:rsidRPr="004224DA">
        <w:rPr>
          <w:i/>
        </w:rPr>
        <w:t xml:space="preserve"> </w:t>
      </w:r>
      <w:r w:rsidRPr="004224DA">
        <w:rPr>
          <w:i/>
        </w:rPr>
        <w:t>adoption</w:t>
      </w:r>
      <w:r w:rsidR="009345EA" w:rsidRPr="004224DA">
        <w:rPr>
          <w:i/>
        </w:rPr>
        <w:t xml:space="preserve"> </w:t>
      </w:r>
      <w:r w:rsidRPr="004224DA">
        <w:rPr>
          <w:i/>
        </w:rPr>
        <w:t>of</w:t>
      </w:r>
      <w:r w:rsidR="009345EA" w:rsidRPr="004224DA">
        <w:rPr>
          <w:i/>
        </w:rPr>
        <w:t xml:space="preserve"> </w:t>
      </w:r>
      <w:r w:rsidRPr="004224DA">
        <w:rPr>
          <w:i/>
        </w:rPr>
        <w:t>Views:</w:t>
      </w:r>
      <w:r w:rsidRPr="000F0F3E">
        <w:tab/>
        <w:t>27</w:t>
      </w:r>
      <w:r w:rsidR="009345EA">
        <w:t xml:space="preserve"> </w:t>
      </w:r>
      <w:r w:rsidRPr="000F0F3E">
        <w:t>July</w:t>
      </w:r>
      <w:r w:rsidR="009345EA">
        <w:t xml:space="preserve"> </w:t>
      </w:r>
      <w:r w:rsidRPr="000F0F3E">
        <w:t>2017</w:t>
      </w:r>
    </w:p>
    <w:p w:rsidR="00D06B7B" w:rsidRPr="000F0F3E" w:rsidRDefault="00D06B7B" w:rsidP="00223C8D">
      <w:pPr>
        <w:pStyle w:val="SingleTxtG"/>
        <w:ind w:left="4536" w:hanging="3402"/>
        <w:jc w:val="left"/>
      </w:pPr>
      <w:r w:rsidRPr="004224DA">
        <w:rPr>
          <w:i/>
        </w:rPr>
        <w:t>Subject</w:t>
      </w:r>
      <w:r w:rsidR="009345EA" w:rsidRPr="004224DA">
        <w:rPr>
          <w:i/>
        </w:rPr>
        <w:t xml:space="preserve"> </w:t>
      </w:r>
      <w:r w:rsidRPr="004224DA">
        <w:rPr>
          <w:i/>
        </w:rPr>
        <w:t>matter:</w:t>
      </w:r>
      <w:r w:rsidRPr="000F0F3E">
        <w:tab/>
        <w:t>Lack</w:t>
      </w:r>
      <w:r w:rsidR="009345EA">
        <w:t xml:space="preserve"> </w:t>
      </w:r>
      <w:r w:rsidRPr="000F0F3E">
        <w:t>of</w:t>
      </w:r>
      <w:r w:rsidR="009345EA">
        <w:t xml:space="preserve"> </w:t>
      </w:r>
      <w:r w:rsidRPr="000F0F3E">
        <w:t>investigation</w:t>
      </w:r>
      <w:r w:rsidR="009345EA">
        <w:t xml:space="preserve"> </w:t>
      </w:r>
      <w:r w:rsidRPr="000F0F3E">
        <w:t>of</w:t>
      </w:r>
      <w:r w:rsidR="009345EA">
        <w:t xml:space="preserve"> </w:t>
      </w:r>
      <w:r w:rsidRPr="000F0F3E">
        <w:t>rape</w:t>
      </w:r>
      <w:r w:rsidR="009345EA">
        <w:t xml:space="preserve"> </w:t>
      </w:r>
      <w:r w:rsidRPr="000F0F3E">
        <w:t>allegations</w:t>
      </w:r>
      <w:r w:rsidR="009345EA">
        <w:t xml:space="preserve"> </w:t>
      </w:r>
    </w:p>
    <w:p w:rsidR="00D06B7B" w:rsidRPr="000F0F3E" w:rsidRDefault="00D06B7B" w:rsidP="00223C8D">
      <w:pPr>
        <w:pStyle w:val="SingleTxtG"/>
        <w:ind w:left="4536" w:hanging="3402"/>
        <w:jc w:val="left"/>
      </w:pPr>
      <w:r w:rsidRPr="004224DA">
        <w:rPr>
          <w:i/>
        </w:rPr>
        <w:t>Procedural</w:t>
      </w:r>
      <w:r w:rsidR="009345EA" w:rsidRPr="004224DA">
        <w:rPr>
          <w:i/>
        </w:rPr>
        <w:t xml:space="preserve"> </w:t>
      </w:r>
      <w:r w:rsidRPr="004224DA">
        <w:rPr>
          <w:i/>
        </w:rPr>
        <w:t>issue:</w:t>
      </w:r>
      <w:r w:rsidR="009345EA">
        <w:t xml:space="preserve"> </w:t>
      </w:r>
      <w:r w:rsidRPr="000F0F3E">
        <w:tab/>
        <w:t>Exhaustion</w:t>
      </w:r>
      <w:r w:rsidR="009345EA">
        <w:t xml:space="preserve"> </w:t>
      </w:r>
      <w:r w:rsidRPr="000F0F3E">
        <w:t>of</w:t>
      </w:r>
      <w:r w:rsidR="009345EA">
        <w:t xml:space="preserve"> </w:t>
      </w:r>
      <w:r w:rsidRPr="000F0F3E">
        <w:t>domestic</w:t>
      </w:r>
      <w:r w:rsidR="009345EA">
        <w:t xml:space="preserve"> </w:t>
      </w:r>
      <w:r w:rsidRPr="000F0F3E">
        <w:t>remedies</w:t>
      </w:r>
      <w:r w:rsidR="009345EA">
        <w:t xml:space="preserve"> </w:t>
      </w:r>
      <w:r w:rsidRPr="000F0F3E">
        <w:t>—</w:t>
      </w:r>
      <w:r w:rsidR="009345EA">
        <w:t xml:space="preserve"> </w:t>
      </w:r>
      <w:r w:rsidRPr="000F0F3E">
        <w:t>unreasonably</w:t>
      </w:r>
      <w:r w:rsidR="009345EA">
        <w:t xml:space="preserve"> </w:t>
      </w:r>
      <w:r w:rsidRPr="000F0F3E">
        <w:t>prolonged</w:t>
      </w:r>
      <w:r w:rsidR="009345EA">
        <w:t xml:space="preserve"> </w:t>
      </w:r>
      <w:r w:rsidRPr="000F0F3E">
        <w:t>delay</w:t>
      </w:r>
    </w:p>
    <w:p w:rsidR="00D06B7B" w:rsidRPr="000F0F3E" w:rsidRDefault="00D06B7B" w:rsidP="00223C8D">
      <w:pPr>
        <w:pStyle w:val="SingleTxtG"/>
        <w:ind w:left="4536" w:hanging="3402"/>
        <w:jc w:val="left"/>
      </w:pPr>
      <w:r w:rsidRPr="004224DA">
        <w:rPr>
          <w:i/>
        </w:rPr>
        <w:t>Substantive</w:t>
      </w:r>
      <w:r w:rsidR="009345EA" w:rsidRPr="004224DA">
        <w:rPr>
          <w:i/>
        </w:rPr>
        <w:t xml:space="preserve"> </w:t>
      </w:r>
      <w:r w:rsidRPr="004224DA">
        <w:rPr>
          <w:i/>
        </w:rPr>
        <w:t>issue:</w:t>
      </w:r>
      <w:r w:rsidR="009345EA">
        <w:t xml:space="preserve"> </w:t>
      </w:r>
      <w:r w:rsidRPr="000F0F3E">
        <w:tab/>
        <w:t>Rape</w:t>
      </w:r>
      <w:r w:rsidR="009345EA">
        <w:t xml:space="preserve"> </w:t>
      </w:r>
      <w:r w:rsidRPr="000F0F3E">
        <w:t>as</w:t>
      </w:r>
      <w:r w:rsidR="009345EA">
        <w:t xml:space="preserve"> </w:t>
      </w:r>
      <w:r w:rsidRPr="000F0F3E">
        <w:t>a</w:t>
      </w:r>
      <w:r w:rsidR="009345EA">
        <w:t xml:space="preserve"> </w:t>
      </w:r>
      <w:r w:rsidRPr="000F0F3E">
        <w:t>form</w:t>
      </w:r>
      <w:r w:rsidR="009345EA">
        <w:t xml:space="preserve"> </w:t>
      </w:r>
      <w:r w:rsidRPr="000F0F3E">
        <w:t>of</w:t>
      </w:r>
      <w:r w:rsidR="009345EA">
        <w:t xml:space="preserve"> </w:t>
      </w:r>
      <w:r w:rsidRPr="000F0F3E">
        <w:t>torture,</w:t>
      </w:r>
      <w:r w:rsidR="009345EA">
        <w:t xml:space="preserve"> </w:t>
      </w:r>
      <w:r w:rsidRPr="000F0F3E">
        <w:t>based</w:t>
      </w:r>
      <w:r w:rsidR="009345EA">
        <w:t xml:space="preserve"> </w:t>
      </w:r>
      <w:r w:rsidRPr="000F0F3E">
        <w:t>on</w:t>
      </w:r>
      <w:r w:rsidR="009345EA">
        <w:t xml:space="preserve"> </w:t>
      </w:r>
      <w:r w:rsidRPr="000F0F3E">
        <w:t>discrimination</w:t>
      </w:r>
      <w:r w:rsidR="009345EA">
        <w:t xml:space="preserve"> </w:t>
      </w:r>
      <w:r w:rsidRPr="000F0F3E">
        <w:t>due</w:t>
      </w:r>
      <w:r w:rsidR="009345EA">
        <w:t xml:space="preserve"> </w:t>
      </w:r>
      <w:r w:rsidRPr="000F0F3E">
        <w:t>to</w:t>
      </w:r>
      <w:r w:rsidR="009345EA">
        <w:t xml:space="preserve"> </w:t>
      </w:r>
      <w:r w:rsidRPr="000F0F3E">
        <w:t>ethnicity,</w:t>
      </w:r>
      <w:r w:rsidR="009345EA">
        <w:t xml:space="preserve"> </w:t>
      </w:r>
      <w:r w:rsidRPr="000F0F3E">
        <w:t>minority</w:t>
      </w:r>
      <w:r w:rsidR="009345EA">
        <w:t xml:space="preserve"> </w:t>
      </w:r>
      <w:r w:rsidRPr="000F0F3E">
        <w:t>status</w:t>
      </w:r>
      <w:r w:rsidR="009345EA">
        <w:t xml:space="preserve"> </w:t>
      </w:r>
      <w:r w:rsidRPr="000F0F3E">
        <w:t>and</w:t>
      </w:r>
      <w:r w:rsidR="009345EA">
        <w:t xml:space="preserve"> </w:t>
      </w:r>
      <w:r w:rsidRPr="000F0F3E">
        <w:t>gender</w:t>
      </w:r>
      <w:r w:rsidR="009345EA">
        <w:t xml:space="preserve"> </w:t>
      </w:r>
    </w:p>
    <w:p w:rsidR="00D06B7B" w:rsidRPr="000F0F3E" w:rsidRDefault="00D06B7B" w:rsidP="00223C8D">
      <w:pPr>
        <w:pStyle w:val="SingleTxtG"/>
        <w:ind w:left="4536" w:hanging="3402"/>
        <w:jc w:val="left"/>
      </w:pPr>
      <w:r w:rsidRPr="004224DA">
        <w:rPr>
          <w:i/>
        </w:rPr>
        <w:t>Articles</w:t>
      </w:r>
      <w:r w:rsidR="009345EA" w:rsidRPr="004224DA">
        <w:rPr>
          <w:i/>
        </w:rPr>
        <w:t xml:space="preserve"> </w:t>
      </w:r>
      <w:r w:rsidRPr="004224DA">
        <w:rPr>
          <w:i/>
        </w:rPr>
        <w:t>of</w:t>
      </w:r>
      <w:r w:rsidR="009345EA" w:rsidRPr="004224DA">
        <w:rPr>
          <w:i/>
        </w:rPr>
        <w:t xml:space="preserve"> </w:t>
      </w:r>
      <w:r w:rsidRPr="004224DA">
        <w:rPr>
          <w:i/>
        </w:rPr>
        <w:t>the</w:t>
      </w:r>
      <w:r w:rsidR="009345EA" w:rsidRPr="004224DA">
        <w:rPr>
          <w:i/>
        </w:rPr>
        <w:t xml:space="preserve"> </w:t>
      </w:r>
      <w:r w:rsidRPr="004224DA">
        <w:rPr>
          <w:i/>
        </w:rPr>
        <w:t>Covenant:</w:t>
      </w:r>
      <w:r w:rsidRPr="000F0F3E">
        <w:tab/>
        <w:t>2</w:t>
      </w:r>
      <w:r w:rsidR="009345EA">
        <w:t xml:space="preserve"> </w:t>
      </w:r>
      <w:r w:rsidRPr="000F0F3E">
        <w:t>(1)</w:t>
      </w:r>
      <w:r w:rsidR="009345EA">
        <w:t xml:space="preserve"> </w:t>
      </w:r>
      <w:r w:rsidRPr="000F0F3E">
        <w:t>and</w:t>
      </w:r>
      <w:r w:rsidR="009345EA">
        <w:t xml:space="preserve"> </w:t>
      </w:r>
      <w:r w:rsidRPr="000F0F3E">
        <w:t>(3),</w:t>
      </w:r>
      <w:r w:rsidR="009345EA">
        <w:t xml:space="preserve"> </w:t>
      </w:r>
      <w:r w:rsidRPr="000F0F3E">
        <w:t>3,</w:t>
      </w:r>
      <w:r w:rsidR="009345EA">
        <w:t xml:space="preserve"> </w:t>
      </w:r>
      <w:r w:rsidRPr="000F0F3E">
        <w:t>7,</w:t>
      </w:r>
      <w:r w:rsidR="009345EA">
        <w:t xml:space="preserve"> </w:t>
      </w:r>
      <w:r w:rsidRPr="000F0F3E">
        <w:t>24</w:t>
      </w:r>
      <w:r w:rsidR="009345EA">
        <w:t xml:space="preserve"> </w:t>
      </w:r>
      <w:r w:rsidRPr="000F0F3E">
        <w:t>(1)</w:t>
      </w:r>
      <w:r w:rsidR="009345EA">
        <w:t xml:space="preserve"> </w:t>
      </w:r>
      <w:r w:rsidRPr="000F0F3E">
        <w:t>and</w:t>
      </w:r>
      <w:r w:rsidR="009345EA">
        <w:t xml:space="preserve"> </w:t>
      </w:r>
      <w:r w:rsidRPr="000F0F3E">
        <w:t>26</w:t>
      </w:r>
    </w:p>
    <w:p w:rsidR="00D06B7B" w:rsidRPr="000F0F3E" w:rsidRDefault="00D06B7B" w:rsidP="00223C8D">
      <w:pPr>
        <w:pStyle w:val="SingleTxtG"/>
        <w:ind w:left="4536" w:hanging="3402"/>
        <w:jc w:val="left"/>
      </w:pPr>
      <w:r w:rsidRPr="004224DA">
        <w:rPr>
          <w:i/>
        </w:rPr>
        <w:t>Articles</w:t>
      </w:r>
      <w:r w:rsidR="009345EA" w:rsidRPr="004224DA">
        <w:rPr>
          <w:i/>
        </w:rPr>
        <w:t xml:space="preserve"> </w:t>
      </w:r>
      <w:r w:rsidRPr="004224DA">
        <w:rPr>
          <w:i/>
        </w:rPr>
        <w:t>of</w:t>
      </w:r>
      <w:r w:rsidR="009345EA" w:rsidRPr="004224DA">
        <w:rPr>
          <w:i/>
        </w:rPr>
        <w:t xml:space="preserve"> </w:t>
      </w:r>
      <w:r w:rsidRPr="004224DA">
        <w:rPr>
          <w:i/>
        </w:rPr>
        <w:t>the</w:t>
      </w:r>
      <w:r w:rsidR="009345EA" w:rsidRPr="004224DA">
        <w:rPr>
          <w:i/>
        </w:rPr>
        <w:t xml:space="preserve"> </w:t>
      </w:r>
      <w:r w:rsidRPr="004224DA">
        <w:rPr>
          <w:i/>
        </w:rPr>
        <w:t>Optional</w:t>
      </w:r>
      <w:r w:rsidR="009345EA" w:rsidRPr="004224DA">
        <w:rPr>
          <w:i/>
        </w:rPr>
        <w:t xml:space="preserve"> </w:t>
      </w:r>
      <w:r w:rsidRPr="004224DA">
        <w:rPr>
          <w:i/>
        </w:rPr>
        <w:t>Protocol:</w:t>
      </w:r>
      <w:r w:rsidRPr="000F0F3E">
        <w:tab/>
        <w:t>2</w:t>
      </w:r>
      <w:r w:rsidR="009345EA">
        <w:t xml:space="preserve"> </w:t>
      </w:r>
      <w:r w:rsidRPr="000F0F3E">
        <w:t>and</w:t>
      </w:r>
      <w:r w:rsidR="009345EA">
        <w:t xml:space="preserve"> </w:t>
      </w:r>
      <w:r w:rsidRPr="000F0F3E">
        <w:t>5</w:t>
      </w:r>
      <w:r w:rsidR="009345EA">
        <w:t xml:space="preserve"> </w:t>
      </w:r>
      <w:r w:rsidRPr="000F0F3E">
        <w:t>(2)</w:t>
      </w:r>
      <w:r w:rsidR="009345EA">
        <w:t xml:space="preserve"> </w:t>
      </w:r>
      <w:r w:rsidRPr="000F0F3E">
        <w:t>(a)</w:t>
      </w:r>
      <w:r w:rsidR="009345EA">
        <w:t xml:space="preserve"> </w:t>
      </w:r>
      <w:r w:rsidRPr="000F0F3E">
        <w:t>and</w:t>
      </w:r>
      <w:r w:rsidR="009345EA">
        <w:t xml:space="preserve"> </w:t>
      </w:r>
      <w:r w:rsidRPr="000F0F3E">
        <w:t>(b)</w:t>
      </w:r>
      <w:r w:rsidR="009345EA">
        <w:t xml:space="preserve"> </w:t>
      </w:r>
    </w:p>
    <w:p w:rsidR="00D06B7B" w:rsidRPr="00C85E6C" w:rsidRDefault="00D06B7B" w:rsidP="00843F41">
      <w:pPr>
        <w:pStyle w:val="SingleTxtG"/>
        <w:spacing w:before="120"/>
      </w:pPr>
      <w:r w:rsidRPr="00C85E6C">
        <w:t>1.</w:t>
      </w:r>
      <w:r w:rsidR="009345EA">
        <w:t xml:space="preserve"> </w:t>
      </w:r>
      <w:r w:rsidRPr="00C85E6C">
        <w:tab/>
        <w:t>The</w:t>
      </w:r>
      <w:r w:rsidR="009345EA">
        <w:t xml:space="preserve"> </w:t>
      </w:r>
      <w:r w:rsidRPr="00C85E6C">
        <w:t>author</w:t>
      </w:r>
      <w:r w:rsidR="009345EA">
        <w:t xml:space="preserve"> </w:t>
      </w:r>
      <w:r w:rsidRPr="00C85E6C">
        <w:t>of</w:t>
      </w:r>
      <w:r w:rsidR="009345EA">
        <w:t xml:space="preserve"> </w:t>
      </w:r>
      <w:r w:rsidRPr="00C85E6C">
        <w:t>the</w:t>
      </w:r>
      <w:r w:rsidR="009345EA">
        <w:t xml:space="preserve"> </w:t>
      </w:r>
      <w:r w:rsidRPr="00C85E6C">
        <w:t>communication</w:t>
      </w:r>
      <w:r w:rsidR="009345EA">
        <w:t xml:space="preserve"> </w:t>
      </w:r>
      <w:r w:rsidRPr="00C85E6C">
        <w:t>is</w:t>
      </w:r>
      <w:r w:rsidR="009345EA">
        <w:t xml:space="preserve"> </w:t>
      </w:r>
      <w:r w:rsidRPr="00C85E6C">
        <w:t>X,</w:t>
      </w:r>
      <w:r w:rsidR="009345EA">
        <w:t xml:space="preserve"> </w:t>
      </w:r>
      <w:r w:rsidRPr="00C85E6C">
        <w:t>a</w:t>
      </w:r>
      <w:r w:rsidR="009345EA">
        <w:t xml:space="preserve"> </w:t>
      </w:r>
      <w:r w:rsidRPr="00C85E6C">
        <w:t>Sri</w:t>
      </w:r>
      <w:r w:rsidR="009345EA">
        <w:t xml:space="preserve"> </w:t>
      </w:r>
      <w:r w:rsidRPr="00C85E6C">
        <w:t>Lankan</w:t>
      </w:r>
      <w:r w:rsidR="009345EA">
        <w:t xml:space="preserve"> </w:t>
      </w:r>
      <w:r w:rsidRPr="00C85E6C">
        <w:t>national</w:t>
      </w:r>
      <w:r w:rsidR="009345EA">
        <w:t xml:space="preserve"> </w:t>
      </w:r>
      <w:r w:rsidRPr="00C85E6C">
        <w:t>born</w:t>
      </w:r>
      <w:r w:rsidR="009345EA">
        <w:t xml:space="preserve"> </w:t>
      </w:r>
      <w:r w:rsidRPr="00C85E6C">
        <w:t>on</w:t>
      </w:r>
      <w:r w:rsidR="009345EA">
        <w:t xml:space="preserve"> </w:t>
      </w:r>
      <w:r w:rsidRPr="00C85E6C">
        <w:t>28</w:t>
      </w:r>
      <w:r w:rsidR="009345EA">
        <w:t xml:space="preserve"> </w:t>
      </w:r>
      <w:r w:rsidRPr="00C85E6C">
        <w:t>August</w:t>
      </w:r>
      <w:r w:rsidR="009345EA">
        <w:t xml:space="preserve"> </w:t>
      </w:r>
      <w:r w:rsidRPr="00C85E6C">
        <w:t>1983.</w:t>
      </w:r>
      <w:r w:rsidR="009345EA">
        <w:t xml:space="preserve"> </w:t>
      </w:r>
      <w:r w:rsidRPr="00C85E6C">
        <w:t>She</w:t>
      </w:r>
      <w:r w:rsidR="009345EA">
        <w:t xml:space="preserve"> </w:t>
      </w:r>
      <w:r w:rsidRPr="00C85E6C">
        <w:t>claims</w:t>
      </w:r>
      <w:r w:rsidR="009345EA">
        <w:t xml:space="preserve"> </w:t>
      </w:r>
      <w:r w:rsidRPr="00C85E6C">
        <w:t>that</w:t>
      </w:r>
      <w:r w:rsidR="009345EA">
        <w:t xml:space="preserve"> </w:t>
      </w:r>
      <w:r w:rsidRPr="00C85E6C">
        <w:t>Sri</w:t>
      </w:r>
      <w:r w:rsidR="009345EA">
        <w:t xml:space="preserve"> </w:t>
      </w:r>
      <w:r w:rsidRPr="00C85E6C">
        <w:t>Lanka</w:t>
      </w:r>
      <w:r w:rsidR="009345EA">
        <w:t xml:space="preserve"> </w:t>
      </w:r>
      <w:r w:rsidRPr="00C85E6C">
        <w:t>has</w:t>
      </w:r>
      <w:r w:rsidR="009345EA">
        <w:t xml:space="preserve"> </w:t>
      </w:r>
      <w:r w:rsidRPr="00C85E6C">
        <w:t>violated</w:t>
      </w:r>
      <w:r w:rsidR="009345EA">
        <w:t xml:space="preserve"> </w:t>
      </w:r>
      <w:r w:rsidRPr="00C85E6C">
        <w:t>her</w:t>
      </w:r>
      <w:r w:rsidR="009345EA">
        <w:t xml:space="preserve"> </w:t>
      </w:r>
      <w:r w:rsidRPr="00C85E6C">
        <w:t>rights</w:t>
      </w:r>
      <w:r w:rsidR="009345EA">
        <w:t xml:space="preserve"> </w:t>
      </w:r>
      <w:r w:rsidRPr="00C85E6C">
        <w:t>under</w:t>
      </w:r>
      <w:r w:rsidR="009345EA">
        <w:t xml:space="preserve"> </w:t>
      </w:r>
      <w:r w:rsidRPr="00C85E6C">
        <w:t>articles</w:t>
      </w:r>
      <w:r w:rsidR="009345EA">
        <w:t xml:space="preserve"> </w:t>
      </w:r>
      <w:r w:rsidRPr="00C85E6C">
        <w:t>2</w:t>
      </w:r>
      <w:r w:rsidR="009345EA">
        <w:t xml:space="preserve"> </w:t>
      </w:r>
      <w:r w:rsidRPr="00C85E6C">
        <w:t>(1)</w:t>
      </w:r>
      <w:r w:rsidR="009345EA">
        <w:t xml:space="preserve"> </w:t>
      </w:r>
      <w:r w:rsidRPr="00C85E6C">
        <w:t>and</w:t>
      </w:r>
      <w:r w:rsidR="009345EA">
        <w:t xml:space="preserve"> </w:t>
      </w:r>
      <w:r w:rsidRPr="00C85E6C">
        <w:t>(3),</w:t>
      </w:r>
      <w:r w:rsidR="009345EA">
        <w:t xml:space="preserve"> </w:t>
      </w:r>
      <w:r w:rsidRPr="00C85E6C">
        <w:t>3,</w:t>
      </w:r>
      <w:r w:rsidR="009345EA">
        <w:t xml:space="preserve"> </w:t>
      </w:r>
      <w:r w:rsidRPr="00C85E6C">
        <w:t>7,</w:t>
      </w:r>
      <w:r w:rsidR="009345EA">
        <w:t xml:space="preserve"> </w:t>
      </w:r>
      <w:r w:rsidRPr="00C85E6C">
        <w:t>24</w:t>
      </w:r>
      <w:r w:rsidR="009345EA">
        <w:t xml:space="preserve"> </w:t>
      </w:r>
      <w:r w:rsidRPr="00C85E6C">
        <w:t>(1)</w:t>
      </w:r>
      <w:r w:rsidR="009345EA">
        <w:t xml:space="preserve"> </w:t>
      </w:r>
      <w:r w:rsidRPr="00C85E6C">
        <w:t>and</w:t>
      </w:r>
      <w:r w:rsidR="009345EA">
        <w:t xml:space="preserve"> </w:t>
      </w:r>
      <w:r w:rsidRPr="00C85E6C">
        <w:t>26</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author</w:t>
      </w:r>
      <w:r w:rsidR="009345EA">
        <w:t xml:space="preserve"> </w:t>
      </w:r>
      <w:r w:rsidRPr="00C85E6C">
        <w:t>is</w:t>
      </w:r>
      <w:r w:rsidR="009345EA">
        <w:t xml:space="preserve"> </w:t>
      </w:r>
      <w:r w:rsidRPr="00C85E6C">
        <w:t>represented</w:t>
      </w:r>
      <w:r w:rsidR="009345EA">
        <w:t xml:space="preserve"> </w:t>
      </w:r>
      <w:r w:rsidRPr="00C85E6C">
        <w:t>by</w:t>
      </w:r>
      <w:r w:rsidR="009345EA">
        <w:t xml:space="preserve"> </w:t>
      </w:r>
      <w:r w:rsidRPr="00C85E6C">
        <w:t>counsel,</w:t>
      </w:r>
      <w:r w:rsidR="009345EA">
        <w:t xml:space="preserve"> </w:t>
      </w:r>
      <w:r w:rsidRPr="00C85E6C">
        <w:t>Sergey</w:t>
      </w:r>
      <w:r w:rsidR="009345EA">
        <w:t xml:space="preserve"> </w:t>
      </w:r>
      <w:r w:rsidRPr="00C85E6C">
        <w:t>A.</w:t>
      </w:r>
      <w:r w:rsidR="009345EA">
        <w:t xml:space="preserve"> </w:t>
      </w:r>
      <w:r w:rsidRPr="00C85E6C">
        <w:t>Golubok</w:t>
      </w:r>
      <w:r w:rsidR="009345EA">
        <w:t xml:space="preserve"> </w:t>
      </w:r>
      <w:r w:rsidRPr="00C85E6C">
        <w:t>and</w:t>
      </w:r>
      <w:r w:rsidR="009345EA">
        <w:t xml:space="preserve"> </w:t>
      </w:r>
      <w:r w:rsidRPr="00C85E6C">
        <w:t>the</w:t>
      </w:r>
      <w:r w:rsidR="009345EA">
        <w:t xml:space="preserve"> </w:t>
      </w:r>
      <w:r w:rsidRPr="00C85E6C">
        <w:t>Redress</w:t>
      </w:r>
      <w:r w:rsidR="009345EA">
        <w:t xml:space="preserve"> </w:t>
      </w:r>
      <w:r w:rsidRPr="00C85E6C">
        <w:t>Trust.</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entered</w:t>
      </w:r>
      <w:r w:rsidR="009345EA">
        <w:t xml:space="preserve"> </w:t>
      </w:r>
      <w:r w:rsidRPr="00C85E6C">
        <w:t>into</w:t>
      </w:r>
      <w:r w:rsidR="009345EA">
        <w:t xml:space="preserve"> </w:t>
      </w:r>
      <w:r w:rsidRPr="00C85E6C">
        <w:t>force</w:t>
      </w:r>
      <w:r w:rsidR="009345EA">
        <w:t xml:space="preserve"> </w:t>
      </w:r>
      <w:r w:rsidRPr="00C85E6C">
        <w:t>for</w:t>
      </w:r>
      <w:r w:rsidR="009345EA">
        <w:t xml:space="preserve"> </w:t>
      </w:r>
      <w:r w:rsidRPr="00C85E6C">
        <w:t>Sri</w:t>
      </w:r>
      <w:r w:rsidR="009345EA">
        <w:t xml:space="preserve"> </w:t>
      </w:r>
      <w:r w:rsidRPr="00C85E6C">
        <w:t>Lanka</w:t>
      </w:r>
      <w:r w:rsidR="009345EA">
        <w:t xml:space="preserve"> </w:t>
      </w:r>
      <w:r w:rsidRPr="00C85E6C">
        <w:t>on</w:t>
      </w:r>
      <w:r w:rsidR="009345EA">
        <w:t xml:space="preserve"> </w:t>
      </w:r>
      <w:r w:rsidRPr="00C85E6C">
        <w:t>3</w:t>
      </w:r>
      <w:r w:rsidR="009345EA">
        <w:t xml:space="preserve"> </w:t>
      </w:r>
      <w:r w:rsidRPr="00C85E6C">
        <w:t>January</w:t>
      </w:r>
      <w:r w:rsidR="009345EA">
        <w:t xml:space="preserve"> </w:t>
      </w:r>
      <w:r w:rsidRPr="00C85E6C">
        <w:t>1998.</w:t>
      </w:r>
      <w:r w:rsidRPr="00D06B7B">
        <w:rPr>
          <w:rStyle w:val="FootnoteReference"/>
        </w:rPr>
        <w:footnoteReference w:id="3"/>
      </w:r>
    </w:p>
    <w:p w:rsidR="00D06B7B" w:rsidRPr="00C85E6C" w:rsidRDefault="00D06B7B" w:rsidP="00FF3573">
      <w:pPr>
        <w:pStyle w:val="H23G"/>
      </w:pPr>
      <w:r w:rsidRPr="00C85E6C">
        <w:lastRenderedPageBreak/>
        <w:tab/>
      </w:r>
      <w:r w:rsidRPr="00C85E6C">
        <w:tab/>
        <w:t>The</w:t>
      </w:r>
      <w:r w:rsidR="009345EA">
        <w:t xml:space="preserve"> </w:t>
      </w:r>
      <w:r w:rsidRPr="00C85E6C">
        <w:t>facts</w:t>
      </w:r>
      <w:r w:rsidR="009345EA">
        <w:t xml:space="preserve"> </w:t>
      </w:r>
      <w:r w:rsidRPr="00C85E6C">
        <w:t>as</w:t>
      </w:r>
      <w:r w:rsidR="009345EA">
        <w:t xml:space="preserve"> </w:t>
      </w:r>
      <w:r w:rsidRPr="00C85E6C">
        <w:t>submitted</w:t>
      </w:r>
      <w:r w:rsidR="009345EA">
        <w:t xml:space="preserve"> </w:t>
      </w:r>
      <w:r w:rsidRPr="00C85E6C">
        <w:t>by</w:t>
      </w:r>
      <w:r w:rsidR="009345EA">
        <w:t xml:space="preserve"> </w:t>
      </w:r>
      <w:r w:rsidRPr="00C85E6C">
        <w:t>the</w:t>
      </w:r>
      <w:r w:rsidR="009345EA">
        <w:t xml:space="preserve"> </w:t>
      </w:r>
      <w:r w:rsidRPr="00C85E6C">
        <w:t>author</w:t>
      </w:r>
    </w:p>
    <w:p w:rsidR="00D06B7B" w:rsidRPr="00C85E6C" w:rsidRDefault="00D06B7B" w:rsidP="00FF3573">
      <w:pPr>
        <w:pStyle w:val="SingleTxtG"/>
      </w:pPr>
      <w:r w:rsidRPr="00C85E6C">
        <w:t>2.1</w:t>
      </w:r>
      <w:r w:rsidRPr="00C85E6C">
        <w:tab/>
        <w:t>The</w:t>
      </w:r>
      <w:r w:rsidR="009345EA">
        <w:t xml:space="preserve"> </w:t>
      </w:r>
      <w:r w:rsidRPr="00C85E6C">
        <w:t>author</w:t>
      </w:r>
      <w:r w:rsidR="009345EA">
        <w:t xml:space="preserve"> </w:t>
      </w:r>
      <w:r w:rsidRPr="00C85E6C">
        <w:t>is</w:t>
      </w:r>
      <w:r w:rsidR="009345EA">
        <w:t xml:space="preserve"> </w:t>
      </w:r>
      <w:r w:rsidRPr="00C85E6C">
        <w:t>an</w:t>
      </w:r>
      <w:r w:rsidR="009345EA">
        <w:t xml:space="preserve"> </w:t>
      </w:r>
      <w:r w:rsidRPr="00C85E6C">
        <w:t>Indian</w:t>
      </w:r>
      <w:r w:rsidR="009345EA">
        <w:t xml:space="preserve"> </w:t>
      </w:r>
      <w:r w:rsidRPr="00C85E6C">
        <w:t>Tamil.</w:t>
      </w:r>
      <w:r w:rsidR="009345EA">
        <w:t xml:space="preserve"> </w:t>
      </w:r>
      <w:r w:rsidRPr="00C85E6C">
        <w:t>On</w:t>
      </w:r>
      <w:r w:rsidR="009345EA">
        <w:t xml:space="preserve"> </w:t>
      </w:r>
      <w:r w:rsidRPr="00C85E6C">
        <w:t>12</w:t>
      </w:r>
      <w:r w:rsidR="009345EA">
        <w:t xml:space="preserve"> </w:t>
      </w:r>
      <w:r w:rsidRPr="00C85E6C">
        <w:t>August</w:t>
      </w:r>
      <w:r w:rsidR="009345EA">
        <w:t xml:space="preserve"> </w:t>
      </w:r>
      <w:r w:rsidRPr="00C85E6C">
        <w:t>2001,</w:t>
      </w:r>
      <w:r w:rsidR="009345EA">
        <w:t xml:space="preserve"> </w:t>
      </w:r>
      <w:r w:rsidRPr="00C85E6C">
        <w:t>when</w:t>
      </w:r>
      <w:r w:rsidR="009345EA">
        <w:t xml:space="preserve"> </w:t>
      </w:r>
      <w:r w:rsidRPr="00C85E6C">
        <w:t>she</w:t>
      </w:r>
      <w:r w:rsidR="009345EA">
        <w:t xml:space="preserve"> </w:t>
      </w:r>
      <w:r w:rsidRPr="00C85E6C">
        <w:t>was</w:t>
      </w:r>
      <w:r w:rsidR="009345EA">
        <w:t xml:space="preserve"> </w:t>
      </w:r>
      <w:r w:rsidRPr="00C85E6C">
        <w:t>17</w:t>
      </w:r>
      <w:r w:rsidR="009345EA">
        <w:t xml:space="preserve"> </w:t>
      </w:r>
      <w:r w:rsidRPr="00C85E6C">
        <w:t>years</w:t>
      </w:r>
      <w:r w:rsidR="009345EA">
        <w:t xml:space="preserve"> </w:t>
      </w:r>
      <w:r w:rsidRPr="00C85E6C">
        <w:t>old,</w:t>
      </w:r>
      <w:r w:rsidR="009345EA">
        <w:t xml:space="preserve"> </w:t>
      </w:r>
      <w:r w:rsidRPr="00C85E6C">
        <w:t>she</w:t>
      </w:r>
      <w:r w:rsidR="009345EA">
        <w:t xml:space="preserve"> </w:t>
      </w:r>
      <w:r w:rsidRPr="00C85E6C">
        <w:t>was</w:t>
      </w:r>
      <w:r w:rsidR="009345EA">
        <w:t xml:space="preserve"> </w:t>
      </w:r>
      <w:r w:rsidRPr="00C85E6C">
        <w:t>abducted</w:t>
      </w:r>
      <w:r w:rsidR="009345EA">
        <w:t xml:space="preserve"> </w:t>
      </w:r>
      <w:r w:rsidRPr="00C85E6C">
        <w:t>by</w:t>
      </w:r>
      <w:r w:rsidR="009345EA">
        <w:t xml:space="preserve"> </w:t>
      </w:r>
      <w:r w:rsidRPr="00C85E6C">
        <w:t>two</w:t>
      </w:r>
      <w:r w:rsidR="009345EA">
        <w:t xml:space="preserve"> </w:t>
      </w:r>
      <w:r w:rsidRPr="00C85E6C">
        <w:t>Sinhalese</w:t>
      </w:r>
      <w:r w:rsidR="009345EA">
        <w:t xml:space="preserve"> </w:t>
      </w:r>
      <w:r w:rsidRPr="00C85E6C">
        <w:t>men</w:t>
      </w:r>
      <w:r w:rsidR="009345EA">
        <w:t xml:space="preserve"> </w:t>
      </w:r>
      <w:r w:rsidRPr="00C85E6C">
        <w:t>on</w:t>
      </w:r>
      <w:r w:rsidR="009345EA">
        <w:t xml:space="preserve"> </w:t>
      </w:r>
      <w:r w:rsidRPr="00C85E6C">
        <w:t>her</w:t>
      </w:r>
      <w:r w:rsidR="009345EA">
        <w:t xml:space="preserve"> </w:t>
      </w:r>
      <w:r w:rsidRPr="00C85E6C">
        <w:t>way</w:t>
      </w:r>
      <w:r w:rsidR="009345EA">
        <w:t xml:space="preserve"> </w:t>
      </w:r>
      <w:r w:rsidRPr="00C85E6C">
        <w:t>home</w:t>
      </w:r>
      <w:r w:rsidR="009345EA">
        <w:t xml:space="preserve"> </w:t>
      </w:r>
      <w:r w:rsidRPr="00C85E6C">
        <w:t>from</w:t>
      </w:r>
      <w:r w:rsidR="009345EA">
        <w:t xml:space="preserve"> </w:t>
      </w:r>
      <w:r w:rsidRPr="00C85E6C">
        <w:t>Sunday</w:t>
      </w:r>
      <w:r w:rsidR="009345EA">
        <w:t xml:space="preserve"> </w:t>
      </w:r>
      <w:r w:rsidRPr="00C85E6C">
        <w:t>school</w:t>
      </w:r>
      <w:r w:rsidR="009345EA">
        <w:t xml:space="preserve"> </w:t>
      </w:r>
      <w:r w:rsidRPr="00C85E6C">
        <w:t>in</w:t>
      </w:r>
      <w:r w:rsidR="009345EA">
        <w:t xml:space="preserve"> </w:t>
      </w:r>
      <w:r w:rsidRPr="00C85E6C">
        <w:t>the</w:t>
      </w:r>
      <w:r w:rsidR="009345EA">
        <w:t xml:space="preserve"> </w:t>
      </w:r>
      <w:r w:rsidRPr="00C85E6C">
        <w:t>town</w:t>
      </w:r>
      <w:r w:rsidR="009345EA">
        <w:t xml:space="preserve"> </w:t>
      </w:r>
      <w:r w:rsidRPr="00C85E6C">
        <w:t>of</w:t>
      </w:r>
      <w:r w:rsidR="009345EA">
        <w:t xml:space="preserve"> </w:t>
      </w:r>
      <w:r w:rsidRPr="00C85E6C">
        <w:t>Talawakelle</w:t>
      </w:r>
      <w:r w:rsidR="009345EA">
        <w:t xml:space="preserve"> </w:t>
      </w:r>
      <w:r w:rsidRPr="00C85E6C">
        <w:t>in</w:t>
      </w:r>
      <w:r w:rsidR="009345EA">
        <w:t xml:space="preserve"> </w:t>
      </w:r>
      <w:r w:rsidRPr="00C85E6C">
        <w:t>Nuwara</w:t>
      </w:r>
      <w:r w:rsidR="009345EA">
        <w:t xml:space="preserve"> </w:t>
      </w:r>
      <w:r w:rsidRPr="00C85E6C">
        <w:t>Eliya</w:t>
      </w:r>
      <w:r w:rsidR="009345EA">
        <w:t xml:space="preserve"> </w:t>
      </w:r>
      <w:r w:rsidRPr="00C85E6C">
        <w:t>District,</w:t>
      </w:r>
      <w:r w:rsidR="009345EA">
        <w:t xml:space="preserve"> </w:t>
      </w:r>
      <w:r w:rsidRPr="00C85E6C">
        <w:t>Central</w:t>
      </w:r>
      <w:r w:rsidR="009345EA">
        <w:t xml:space="preserve"> </w:t>
      </w:r>
      <w:r w:rsidRPr="00C85E6C">
        <w:t>Province,</w:t>
      </w:r>
      <w:r w:rsidR="009345EA">
        <w:t xml:space="preserve"> </w:t>
      </w:r>
      <w:r w:rsidRPr="00C85E6C">
        <w:t>Sri</w:t>
      </w:r>
      <w:r w:rsidR="009345EA">
        <w:t xml:space="preserve"> </w:t>
      </w:r>
      <w:r w:rsidRPr="00C85E6C">
        <w:t>Lanka.</w:t>
      </w:r>
      <w:r w:rsidR="009345EA">
        <w:t xml:space="preserve"> </w:t>
      </w:r>
      <w:r w:rsidRPr="00C85E6C">
        <w:t>She</w:t>
      </w:r>
      <w:r w:rsidR="009345EA">
        <w:t xml:space="preserve"> </w:t>
      </w:r>
      <w:r w:rsidRPr="00C85E6C">
        <w:t>was</w:t>
      </w:r>
      <w:r w:rsidR="009345EA">
        <w:t xml:space="preserve"> </w:t>
      </w:r>
      <w:r w:rsidRPr="00C85E6C">
        <w:t>raped</w:t>
      </w:r>
      <w:r w:rsidR="009345EA">
        <w:t xml:space="preserve"> </w:t>
      </w:r>
      <w:r w:rsidRPr="00C85E6C">
        <w:t>by</w:t>
      </w:r>
      <w:r w:rsidR="009345EA">
        <w:t xml:space="preserve"> </w:t>
      </w:r>
      <w:r w:rsidRPr="00C85E6C">
        <w:t>both</w:t>
      </w:r>
      <w:r w:rsidR="009345EA">
        <w:t xml:space="preserve"> </w:t>
      </w:r>
      <w:r w:rsidRPr="00C85E6C">
        <w:t>men</w:t>
      </w:r>
      <w:r w:rsidR="009345EA">
        <w:t xml:space="preserve"> </w:t>
      </w:r>
      <w:r w:rsidRPr="00C85E6C">
        <w:t>inside</w:t>
      </w:r>
      <w:r w:rsidR="009345EA">
        <w:t xml:space="preserve"> </w:t>
      </w:r>
      <w:r w:rsidRPr="00C85E6C">
        <w:t>their</w:t>
      </w:r>
      <w:r w:rsidR="009345EA">
        <w:t xml:space="preserve"> </w:t>
      </w:r>
      <w:r w:rsidRPr="00C85E6C">
        <w:t>car</w:t>
      </w:r>
      <w:r w:rsidR="009345EA">
        <w:t xml:space="preserve"> </w:t>
      </w:r>
      <w:r w:rsidRPr="00C85E6C">
        <w:t>between</w:t>
      </w:r>
      <w:r w:rsidR="009345EA">
        <w:t xml:space="preserve"> </w:t>
      </w:r>
      <w:r w:rsidRPr="00C85E6C">
        <w:t>2</w:t>
      </w:r>
      <w:r w:rsidR="009345EA">
        <w:t xml:space="preserve"> </w:t>
      </w:r>
      <w:r w:rsidRPr="00C85E6C">
        <w:t>and</w:t>
      </w:r>
      <w:r w:rsidR="009345EA">
        <w:t xml:space="preserve"> </w:t>
      </w:r>
      <w:r w:rsidRPr="00C85E6C">
        <w:t>6</w:t>
      </w:r>
      <w:r w:rsidR="009345EA">
        <w:t xml:space="preserve"> </w:t>
      </w:r>
      <w:r w:rsidRPr="00C85E6C">
        <w:t>p.m.</w:t>
      </w:r>
      <w:r w:rsidR="009345EA">
        <w:t xml:space="preserve"> </w:t>
      </w:r>
      <w:r w:rsidRPr="00C85E6C">
        <w:t>She</w:t>
      </w:r>
      <w:r w:rsidR="009345EA">
        <w:t xml:space="preserve"> </w:t>
      </w:r>
      <w:r w:rsidRPr="00C85E6C">
        <w:t>alleges</w:t>
      </w:r>
      <w:r w:rsidR="009345EA">
        <w:t xml:space="preserve"> </w:t>
      </w:r>
      <w:r w:rsidRPr="00C85E6C">
        <w:t>that</w:t>
      </w:r>
      <w:r w:rsidR="009345EA">
        <w:t xml:space="preserve"> </w:t>
      </w:r>
      <w:r w:rsidRPr="00C85E6C">
        <w:t>Indian</w:t>
      </w:r>
      <w:r w:rsidR="009345EA">
        <w:t xml:space="preserve"> </w:t>
      </w:r>
      <w:r w:rsidRPr="00C85E6C">
        <w:t>Tamils</w:t>
      </w:r>
      <w:r w:rsidR="009345EA">
        <w:t xml:space="preserve"> </w:t>
      </w:r>
      <w:r w:rsidRPr="00C85E6C">
        <w:t>living</w:t>
      </w:r>
      <w:r w:rsidR="009345EA">
        <w:t xml:space="preserve"> </w:t>
      </w:r>
      <w:r w:rsidRPr="00C85E6C">
        <w:t>on</w:t>
      </w:r>
      <w:r w:rsidR="009345EA">
        <w:t xml:space="preserve"> </w:t>
      </w:r>
      <w:r w:rsidRPr="00C85E6C">
        <w:t>tea</w:t>
      </w:r>
      <w:r w:rsidR="009345EA">
        <w:t xml:space="preserve"> </w:t>
      </w:r>
      <w:r w:rsidRPr="00C85E6C">
        <w:t>plantations,</w:t>
      </w:r>
      <w:r w:rsidR="009345EA">
        <w:t xml:space="preserve"> </w:t>
      </w:r>
      <w:r w:rsidRPr="00C85E6C">
        <w:t>such</w:t>
      </w:r>
      <w:r w:rsidR="009345EA">
        <w:t xml:space="preserve"> </w:t>
      </w:r>
      <w:r w:rsidRPr="00C85E6C">
        <w:t>as</w:t>
      </w:r>
      <w:r w:rsidR="009345EA">
        <w:t xml:space="preserve"> </w:t>
      </w:r>
      <w:r w:rsidRPr="00C85E6C">
        <w:t>the</w:t>
      </w:r>
      <w:r w:rsidR="009345EA">
        <w:t xml:space="preserve"> </w:t>
      </w:r>
      <w:r w:rsidRPr="00C85E6C">
        <w:t>author</w:t>
      </w:r>
      <w:r w:rsidR="009345EA">
        <w:t xml:space="preserve"> </w:t>
      </w:r>
      <w:r w:rsidRPr="00C85E6C">
        <w:t>and</w:t>
      </w:r>
      <w:r w:rsidR="009345EA">
        <w:t xml:space="preserve"> </w:t>
      </w:r>
      <w:r w:rsidRPr="00C85E6C">
        <w:t>her</w:t>
      </w:r>
      <w:r w:rsidR="009345EA">
        <w:t xml:space="preserve"> </w:t>
      </w:r>
      <w:r w:rsidRPr="00C85E6C">
        <w:t>family,</w:t>
      </w:r>
      <w:r w:rsidR="009345EA">
        <w:t xml:space="preserve"> </w:t>
      </w:r>
      <w:r w:rsidRPr="00C85E6C">
        <w:t>are</w:t>
      </w:r>
      <w:r w:rsidR="009345EA">
        <w:t xml:space="preserve"> </w:t>
      </w:r>
      <w:r w:rsidRPr="00C85E6C">
        <w:t>historically</w:t>
      </w:r>
      <w:r w:rsidR="009345EA">
        <w:t xml:space="preserve"> </w:t>
      </w:r>
      <w:r w:rsidRPr="00C85E6C">
        <w:t>the</w:t>
      </w:r>
      <w:r w:rsidR="009345EA">
        <w:t xml:space="preserve"> </w:t>
      </w:r>
      <w:r w:rsidRPr="00C85E6C">
        <w:t>most</w:t>
      </w:r>
      <w:r w:rsidR="009345EA">
        <w:t xml:space="preserve"> </w:t>
      </w:r>
      <w:r w:rsidRPr="00C85E6C">
        <w:t>marginalized</w:t>
      </w:r>
      <w:r w:rsidR="009345EA">
        <w:t xml:space="preserve"> </w:t>
      </w:r>
      <w:r w:rsidRPr="00C85E6C">
        <w:t>and</w:t>
      </w:r>
      <w:r w:rsidR="009345EA">
        <w:t xml:space="preserve"> </w:t>
      </w:r>
      <w:r w:rsidRPr="00C85E6C">
        <w:t>socially</w:t>
      </w:r>
      <w:r w:rsidR="009345EA">
        <w:t xml:space="preserve"> </w:t>
      </w:r>
      <w:r w:rsidRPr="00C85E6C">
        <w:t>and</w:t>
      </w:r>
      <w:r w:rsidR="009345EA">
        <w:t xml:space="preserve"> </w:t>
      </w:r>
      <w:r w:rsidRPr="00C85E6C">
        <w:t>economically</w:t>
      </w:r>
      <w:r w:rsidR="009345EA">
        <w:t xml:space="preserve"> </w:t>
      </w:r>
      <w:r w:rsidRPr="00C85E6C">
        <w:t>disadvantaged</w:t>
      </w:r>
      <w:r w:rsidR="009345EA">
        <w:t xml:space="preserve"> </w:t>
      </w:r>
      <w:r w:rsidRPr="00C85E6C">
        <w:t>minority</w:t>
      </w:r>
      <w:r w:rsidR="009345EA">
        <w:t xml:space="preserve"> </w:t>
      </w:r>
      <w:r w:rsidRPr="00C85E6C">
        <w:t>in</w:t>
      </w:r>
      <w:r w:rsidR="009345EA">
        <w:t xml:space="preserve"> </w:t>
      </w:r>
      <w:r w:rsidRPr="00C85E6C">
        <w:t>Sri</w:t>
      </w:r>
      <w:r w:rsidR="009345EA">
        <w:t xml:space="preserve"> </w:t>
      </w:r>
      <w:r w:rsidRPr="00C85E6C">
        <w:t>Lanka.</w:t>
      </w:r>
      <w:r w:rsidR="009345EA">
        <w:t xml:space="preserve"> </w:t>
      </w:r>
    </w:p>
    <w:p w:rsidR="00D06B7B" w:rsidRPr="00C85E6C" w:rsidRDefault="00D06B7B" w:rsidP="00FF3573">
      <w:pPr>
        <w:pStyle w:val="SingleTxtG"/>
      </w:pPr>
      <w:r w:rsidRPr="00C85E6C">
        <w:t>2.2</w:t>
      </w:r>
      <w:r w:rsidRPr="00C85E6C">
        <w:tab/>
        <w:t>On</w:t>
      </w:r>
      <w:r w:rsidR="009345EA">
        <w:t xml:space="preserve"> </w:t>
      </w:r>
      <w:r w:rsidRPr="00C85E6C">
        <w:t>14</w:t>
      </w:r>
      <w:r w:rsidR="009345EA">
        <w:t xml:space="preserve"> </w:t>
      </w:r>
      <w:r w:rsidRPr="00C85E6C">
        <w:t>August</w:t>
      </w:r>
      <w:r w:rsidR="009345EA">
        <w:t xml:space="preserve"> </w:t>
      </w:r>
      <w:r w:rsidRPr="00C85E6C">
        <w:t>2001,</w:t>
      </w:r>
      <w:r w:rsidR="009345EA">
        <w:t xml:space="preserve"> </w:t>
      </w:r>
      <w:r w:rsidRPr="00C85E6C">
        <w:t>the</w:t>
      </w:r>
      <w:r w:rsidR="009345EA">
        <w:t xml:space="preserve"> </w:t>
      </w:r>
      <w:r w:rsidRPr="00C85E6C">
        <w:t>author</w:t>
      </w:r>
      <w:r w:rsidR="009345EA">
        <w:t xml:space="preserve"> </w:t>
      </w:r>
      <w:r w:rsidRPr="00C85E6C">
        <w:t>filed,</w:t>
      </w:r>
      <w:r w:rsidR="009345EA">
        <w:t xml:space="preserve"> </w:t>
      </w:r>
      <w:r w:rsidRPr="00C85E6C">
        <w:t>at</w:t>
      </w:r>
      <w:r w:rsidR="009345EA">
        <w:t xml:space="preserve"> </w:t>
      </w:r>
      <w:r w:rsidRPr="00C85E6C">
        <w:t>the</w:t>
      </w:r>
      <w:r w:rsidR="009345EA">
        <w:t xml:space="preserve"> </w:t>
      </w:r>
      <w:r w:rsidRPr="00C85E6C">
        <w:t>Talawakelle</w:t>
      </w:r>
      <w:r w:rsidR="009345EA">
        <w:t xml:space="preserve"> </w:t>
      </w:r>
      <w:r w:rsidRPr="00C85E6C">
        <w:t>police</w:t>
      </w:r>
      <w:r w:rsidR="009345EA">
        <w:t xml:space="preserve"> </w:t>
      </w:r>
      <w:r w:rsidRPr="00C85E6C">
        <w:t>station,</w:t>
      </w:r>
      <w:r w:rsidR="009345EA">
        <w:t xml:space="preserve"> </w:t>
      </w:r>
      <w:r w:rsidRPr="00C85E6C">
        <w:t>a</w:t>
      </w:r>
      <w:r w:rsidR="009345EA">
        <w:t xml:space="preserve"> </w:t>
      </w:r>
      <w:r w:rsidRPr="00C85E6C">
        <w:t>complaint</w:t>
      </w:r>
      <w:r w:rsidR="009345EA">
        <w:t xml:space="preserve"> </w:t>
      </w:r>
      <w:r w:rsidRPr="00C85E6C">
        <w:t>for</w:t>
      </w:r>
      <w:r w:rsidR="009345EA">
        <w:t xml:space="preserve"> </w:t>
      </w:r>
      <w:r w:rsidRPr="00C85E6C">
        <w:t>rape.</w:t>
      </w:r>
      <w:r w:rsidR="009345EA">
        <w:t xml:space="preserve"> </w:t>
      </w:r>
      <w:r w:rsidRPr="00C85E6C">
        <w:t>She</w:t>
      </w:r>
      <w:r w:rsidR="009345EA">
        <w:t xml:space="preserve"> </w:t>
      </w:r>
      <w:r w:rsidRPr="00C85E6C">
        <w:t>was</w:t>
      </w:r>
      <w:r w:rsidR="009345EA">
        <w:t xml:space="preserve"> </w:t>
      </w:r>
      <w:r w:rsidRPr="00C85E6C">
        <w:t>forced</w:t>
      </w:r>
      <w:r w:rsidR="009345EA">
        <w:t xml:space="preserve"> </w:t>
      </w:r>
      <w:r w:rsidRPr="00C85E6C">
        <w:t>to</w:t>
      </w:r>
      <w:r w:rsidR="009345EA">
        <w:t xml:space="preserve"> </w:t>
      </w:r>
      <w:r w:rsidRPr="00C85E6C">
        <w:t>make</w:t>
      </w:r>
      <w:r w:rsidR="009345EA">
        <w:t xml:space="preserve"> </w:t>
      </w:r>
      <w:r w:rsidRPr="00C85E6C">
        <w:t>her</w:t>
      </w:r>
      <w:r w:rsidR="009345EA">
        <w:t xml:space="preserve"> </w:t>
      </w:r>
      <w:r w:rsidRPr="00C85E6C">
        <w:t>statement</w:t>
      </w:r>
      <w:r w:rsidR="009345EA">
        <w:t xml:space="preserve"> </w:t>
      </w:r>
      <w:r w:rsidRPr="00C85E6C">
        <w:t>through</w:t>
      </w:r>
      <w:r w:rsidR="009345EA">
        <w:t xml:space="preserve"> </w:t>
      </w:r>
      <w:r w:rsidRPr="00C85E6C">
        <w:t>an</w:t>
      </w:r>
      <w:r w:rsidR="009345EA">
        <w:t xml:space="preserve"> </w:t>
      </w:r>
      <w:r w:rsidRPr="00C85E6C">
        <w:t>unofficial</w:t>
      </w:r>
      <w:r w:rsidR="009345EA">
        <w:t xml:space="preserve"> </w:t>
      </w:r>
      <w:r w:rsidRPr="00C85E6C">
        <w:t>interpreter</w:t>
      </w:r>
      <w:r w:rsidR="009345EA">
        <w:t xml:space="preserve"> </w:t>
      </w:r>
      <w:r w:rsidRPr="00C85E6C">
        <w:t>translating</w:t>
      </w:r>
      <w:r w:rsidR="009345EA">
        <w:t xml:space="preserve"> </w:t>
      </w:r>
      <w:r w:rsidRPr="00C85E6C">
        <w:t>into</w:t>
      </w:r>
      <w:r w:rsidR="009345EA">
        <w:t xml:space="preserve"> </w:t>
      </w:r>
      <w:r w:rsidRPr="00C85E6C">
        <w:t>Sinhala,</w:t>
      </w:r>
      <w:r w:rsidR="009345EA">
        <w:t xml:space="preserve"> </w:t>
      </w:r>
      <w:r w:rsidRPr="00C85E6C">
        <w:t>since</w:t>
      </w:r>
      <w:r w:rsidR="009345EA">
        <w:t xml:space="preserve"> </w:t>
      </w:r>
      <w:r w:rsidRPr="00C85E6C">
        <w:t>no</w:t>
      </w:r>
      <w:r w:rsidR="009345EA">
        <w:t xml:space="preserve"> </w:t>
      </w:r>
      <w:r w:rsidRPr="00C85E6C">
        <w:t>facilities</w:t>
      </w:r>
      <w:r w:rsidR="009345EA">
        <w:t xml:space="preserve"> </w:t>
      </w:r>
      <w:r w:rsidRPr="00C85E6C">
        <w:t>to</w:t>
      </w:r>
      <w:r w:rsidR="009345EA">
        <w:t xml:space="preserve"> </w:t>
      </w:r>
      <w:r w:rsidRPr="00C85E6C">
        <w:t>record</w:t>
      </w:r>
      <w:r w:rsidR="009345EA">
        <w:t xml:space="preserve"> </w:t>
      </w:r>
      <w:r w:rsidRPr="00C85E6C">
        <w:t>her</w:t>
      </w:r>
      <w:r w:rsidR="009345EA">
        <w:t xml:space="preserve"> </w:t>
      </w:r>
      <w:r w:rsidRPr="00C85E6C">
        <w:t>statement</w:t>
      </w:r>
      <w:r w:rsidR="009345EA">
        <w:t xml:space="preserve"> </w:t>
      </w:r>
      <w:r w:rsidRPr="00C85E6C">
        <w:t>in</w:t>
      </w:r>
      <w:r w:rsidR="009345EA">
        <w:t xml:space="preserve"> </w:t>
      </w:r>
      <w:r w:rsidRPr="00C85E6C">
        <w:t>Tamil</w:t>
      </w:r>
      <w:r w:rsidR="009345EA">
        <w:t xml:space="preserve"> </w:t>
      </w:r>
      <w:r w:rsidRPr="00C85E6C">
        <w:t>were</w:t>
      </w:r>
      <w:r w:rsidR="009345EA">
        <w:t xml:space="preserve"> </w:t>
      </w:r>
      <w:r w:rsidRPr="00C85E6C">
        <w:t>provided,</w:t>
      </w:r>
      <w:r w:rsidR="009345EA">
        <w:t xml:space="preserve"> </w:t>
      </w:r>
      <w:r w:rsidRPr="00C85E6C">
        <w:t>even</w:t>
      </w:r>
      <w:r w:rsidR="009345EA">
        <w:t xml:space="preserve"> </w:t>
      </w:r>
      <w:r w:rsidRPr="00C85E6C">
        <w:t>though</w:t>
      </w:r>
      <w:r w:rsidR="009345EA">
        <w:t xml:space="preserve"> </w:t>
      </w:r>
      <w:r w:rsidRPr="00C85E6C">
        <w:t>Tamil</w:t>
      </w:r>
      <w:r w:rsidR="009345EA">
        <w:t xml:space="preserve"> </w:t>
      </w:r>
      <w:r w:rsidRPr="00C85E6C">
        <w:t>is</w:t>
      </w:r>
      <w:r w:rsidR="009345EA">
        <w:t xml:space="preserve"> </w:t>
      </w:r>
      <w:r w:rsidRPr="00C85E6C">
        <w:t>an</w:t>
      </w:r>
      <w:r w:rsidR="009345EA">
        <w:t xml:space="preserve"> </w:t>
      </w:r>
      <w:r w:rsidRPr="00C85E6C">
        <w:t>official</w:t>
      </w:r>
      <w:r w:rsidR="009345EA">
        <w:t xml:space="preserve"> </w:t>
      </w:r>
      <w:r w:rsidRPr="00C85E6C">
        <w:t>language</w:t>
      </w:r>
      <w:r w:rsidR="009345EA">
        <w:t xml:space="preserve"> </w:t>
      </w:r>
      <w:r w:rsidRPr="00C85E6C">
        <w:t>of</w:t>
      </w:r>
      <w:r w:rsidR="009345EA">
        <w:t xml:space="preserve"> </w:t>
      </w:r>
      <w:r w:rsidRPr="00C85E6C">
        <w:t>Sri</w:t>
      </w:r>
      <w:r w:rsidR="009345EA">
        <w:t xml:space="preserve"> </w:t>
      </w:r>
      <w:r w:rsidRPr="00C85E6C">
        <w:t>Lanka.</w:t>
      </w:r>
      <w:r w:rsidRPr="00D06B7B">
        <w:rPr>
          <w:rStyle w:val="FootnoteReference"/>
        </w:rPr>
        <w:footnoteReference w:id="4"/>
      </w:r>
      <w:r w:rsidR="009345EA">
        <w:t xml:space="preserve"> </w:t>
      </w:r>
      <w:r w:rsidRPr="00C85E6C">
        <w:t>The</w:t>
      </w:r>
      <w:r w:rsidR="009345EA">
        <w:t xml:space="preserve"> </w:t>
      </w:r>
      <w:r w:rsidRPr="00C85E6C">
        <w:t>author</w:t>
      </w:r>
      <w:r w:rsidR="009345EA">
        <w:t xml:space="preserve"> </w:t>
      </w:r>
      <w:r w:rsidRPr="00C85E6C">
        <w:t>was</w:t>
      </w:r>
      <w:r w:rsidR="009345EA">
        <w:t xml:space="preserve"> </w:t>
      </w:r>
      <w:r w:rsidRPr="00C85E6C">
        <w:t>then</w:t>
      </w:r>
      <w:r w:rsidR="009345EA">
        <w:t xml:space="preserve"> </w:t>
      </w:r>
      <w:r w:rsidRPr="00C85E6C">
        <w:t>taken</w:t>
      </w:r>
      <w:r w:rsidR="009345EA">
        <w:t xml:space="preserve"> </w:t>
      </w:r>
      <w:r w:rsidRPr="00C85E6C">
        <w:t>to</w:t>
      </w:r>
      <w:r w:rsidR="009345EA">
        <w:t xml:space="preserve"> </w:t>
      </w:r>
      <w:r w:rsidRPr="00C85E6C">
        <w:t>Kotagala</w:t>
      </w:r>
      <w:r w:rsidR="009345EA">
        <w:t xml:space="preserve"> </w:t>
      </w:r>
      <w:r w:rsidRPr="00C85E6C">
        <w:t>hospital</w:t>
      </w:r>
      <w:r w:rsidR="009345EA">
        <w:t xml:space="preserve"> </w:t>
      </w:r>
      <w:r w:rsidRPr="00C85E6C">
        <w:t>and</w:t>
      </w:r>
      <w:r w:rsidR="009345EA">
        <w:t xml:space="preserve"> </w:t>
      </w:r>
      <w:r w:rsidRPr="00C85E6C">
        <w:t>subsequently</w:t>
      </w:r>
      <w:r w:rsidR="009345EA">
        <w:t xml:space="preserve"> </w:t>
      </w:r>
      <w:r w:rsidRPr="00C85E6C">
        <w:t>to</w:t>
      </w:r>
      <w:r w:rsidR="009345EA">
        <w:t xml:space="preserve"> </w:t>
      </w:r>
      <w:r w:rsidRPr="00C85E6C">
        <w:t>Nuwara</w:t>
      </w:r>
      <w:r w:rsidR="009345EA">
        <w:t xml:space="preserve"> </w:t>
      </w:r>
      <w:r w:rsidRPr="00C85E6C">
        <w:t>Eliya</w:t>
      </w:r>
      <w:r w:rsidR="009345EA">
        <w:t xml:space="preserve"> </w:t>
      </w:r>
      <w:r w:rsidRPr="00C85E6C">
        <w:t>hospital,</w:t>
      </w:r>
      <w:r w:rsidR="009345EA">
        <w:t xml:space="preserve"> </w:t>
      </w:r>
      <w:r w:rsidRPr="00C85E6C">
        <w:t>from</w:t>
      </w:r>
      <w:r w:rsidR="009345EA">
        <w:t xml:space="preserve"> </w:t>
      </w:r>
      <w:r w:rsidRPr="00C85E6C">
        <w:t>where</w:t>
      </w:r>
      <w:r w:rsidR="009345EA">
        <w:t xml:space="preserve"> </w:t>
      </w:r>
      <w:r w:rsidRPr="00C85E6C">
        <w:t>she</w:t>
      </w:r>
      <w:r w:rsidR="009345EA">
        <w:t xml:space="preserve"> </w:t>
      </w:r>
      <w:r w:rsidRPr="00C85E6C">
        <w:t>was</w:t>
      </w:r>
      <w:r w:rsidR="009345EA">
        <w:t xml:space="preserve"> </w:t>
      </w:r>
      <w:r w:rsidRPr="00C85E6C">
        <w:t>discharged</w:t>
      </w:r>
      <w:r w:rsidR="009345EA">
        <w:t xml:space="preserve"> </w:t>
      </w:r>
      <w:r w:rsidRPr="00C85E6C">
        <w:t>on</w:t>
      </w:r>
      <w:r w:rsidR="009345EA">
        <w:t xml:space="preserve"> </w:t>
      </w:r>
      <w:r w:rsidRPr="00C85E6C">
        <w:t>16</w:t>
      </w:r>
      <w:r w:rsidR="009345EA">
        <w:t xml:space="preserve"> </w:t>
      </w:r>
      <w:r w:rsidRPr="00C85E6C">
        <w:t>August</w:t>
      </w:r>
      <w:r w:rsidR="009345EA">
        <w:t xml:space="preserve"> </w:t>
      </w:r>
      <w:r w:rsidRPr="00C85E6C">
        <w:t>2001.</w:t>
      </w:r>
      <w:r w:rsidR="009345EA">
        <w:t xml:space="preserve"> </w:t>
      </w:r>
      <w:r w:rsidRPr="00C85E6C">
        <w:t>The</w:t>
      </w:r>
      <w:r w:rsidR="009345EA">
        <w:t xml:space="preserve"> </w:t>
      </w:r>
      <w:r w:rsidRPr="00C85E6C">
        <w:t>medical</w:t>
      </w:r>
      <w:r w:rsidR="009345EA">
        <w:t xml:space="preserve"> </w:t>
      </w:r>
      <w:r w:rsidRPr="00C85E6C">
        <w:t>records</w:t>
      </w:r>
      <w:r w:rsidR="009345EA">
        <w:t xml:space="preserve"> </w:t>
      </w:r>
      <w:r w:rsidRPr="00C85E6C">
        <w:t>indicated</w:t>
      </w:r>
      <w:r w:rsidR="009345EA">
        <w:t xml:space="preserve"> </w:t>
      </w:r>
      <w:r w:rsidRPr="00C85E6C">
        <w:t>that</w:t>
      </w:r>
      <w:r w:rsidR="009345EA">
        <w:t xml:space="preserve"> </w:t>
      </w:r>
      <w:r w:rsidRPr="00C85E6C">
        <w:t>it</w:t>
      </w:r>
      <w:r w:rsidR="009345EA">
        <w:t xml:space="preserve"> </w:t>
      </w:r>
      <w:r w:rsidRPr="00C85E6C">
        <w:t>was</w:t>
      </w:r>
      <w:r w:rsidR="009345EA">
        <w:t xml:space="preserve"> </w:t>
      </w:r>
      <w:r w:rsidR="00EB40F1">
        <w:t>“</w:t>
      </w:r>
      <w:r w:rsidRPr="00C85E6C">
        <w:t>a</w:t>
      </w:r>
      <w:r w:rsidR="009345EA">
        <w:t xml:space="preserve"> </w:t>
      </w:r>
      <w:r w:rsidRPr="00C85E6C">
        <w:t>case</w:t>
      </w:r>
      <w:r w:rsidR="009345EA">
        <w:t xml:space="preserve"> </w:t>
      </w:r>
      <w:r w:rsidRPr="00C85E6C">
        <w:t>of</w:t>
      </w:r>
      <w:r w:rsidR="009345EA">
        <w:t xml:space="preserve"> </w:t>
      </w:r>
      <w:r w:rsidRPr="00C85E6C">
        <w:t>rape</w:t>
      </w:r>
      <w:r w:rsidR="00EB40F1">
        <w:t>”</w:t>
      </w:r>
      <w:r w:rsidRPr="00C85E6C">
        <w:t>.</w:t>
      </w:r>
      <w:r w:rsidRPr="00D06B7B">
        <w:rPr>
          <w:rStyle w:val="FootnoteReference"/>
        </w:rPr>
        <w:footnoteReference w:id="5"/>
      </w:r>
      <w:r w:rsidR="009345EA">
        <w:t xml:space="preserve"> </w:t>
      </w:r>
    </w:p>
    <w:p w:rsidR="00D06B7B" w:rsidRPr="00C85E6C" w:rsidRDefault="00D06B7B" w:rsidP="00FF3573">
      <w:pPr>
        <w:pStyle w:val="SingleTxtG"/>
      </w:pPr>
      <w:r w:rsidRPr="00C85E6C">
        <w:t>2.3</w:t>
      </w:r>
      <w:r w:rsidRPr="00C85E6C">
        <w:tab/>
        <w:t>The</w:t>
      </w:r>
      <w:r w:rsidR="009345EA">
        <w:t xml:space="preserve"> </w:t>
      </w:r>
      <w:r w:rsidRPr="00C85E6C">
        <w:t>victim</w:t>
      </w:r>
      <w:r w:rsidR="009345EA">
        <w:t xml:space="preserve"> </w:t>
      </w:r>
      <w:r w:rsidRPr="00C85E6C">
        <w:t>identified</w:t>
      </w:r>
      <w:r w:rsidR="009345EA">
        <w:t xml:space="preserve"> </w:t>
      </w:r>
      <w:r w:rsidRPr="00C85E6C">
        <w:t>both</w:t>
      </w:r>
      <w:r w:rsidR="009345EA">
        <w:t xml:space="preserve"> </w:t>
      </w:r>
      <w:r w:rsidRPr="00C85E6C">
        <w:t>perpetrators,</w:t>
      </w:r>
      <w:r w:rsidR="009345EA">
        <w:t xml:space="preserve"> </w:t>
      </w:r>
      <w:r w:rsidRPr="00C85E6C">
        <w:t>who</w:t>
      </w:r>
      <w:r w:rsidR="009345EA">
        <w:t xml:space="preserve"> </w:t>
      </w:r>
      <w:r w:rsidRPr="00C85E6C">
        <w:t>were</w:t>
      </w:r>
      <w:r w:rsidR="009345EA">
        <w:t xml:space="preserve"> </w:t>
      </w:r>
      <w:r w:rsidRPr="00C85E6C">
        <w:t>arrested</w:t>
      </w:r>
      <w:r w:rsidR="009345EA">
        <w:t xml:space="preserve"> </w:t>
      </w:r>
      <w:r w:rsidRPr="00C85E6C">
        <w:t>on</w:t>
      </w:r>
      <w:r w:rsidR="009345EA">
        <w:t xml:space="preserve"> </w:t>
      </w:r>
      <w:r w:rsidRPr="00C85E6C">
        <w:t>18</w:t>
      </w:r>
      <w:r w:rsidR="009345EA">
        <w:t xml:space="preserve"> </w:t>
      </w:r>
      <w:r w:rsidRPr="00C85E6C">
        <w:t>August</w:t>
      </w:r>
      <w:r w:rsidR="009345EA">
        <w:t xml:space="preserve"> </w:t>
      </w:r>
      <w:r w:rsidRPr="00C85E6C">
        <w:t>2001</w:t>
      </w:r>
      <w:r w:rsidR="009345EA">
        <w:t xml:space="preserve"> </w:t>
      </w:r>
      <w:r w:rsidRPr="00C85E6C">
        <w:t>and</w:t>
      </w:r>
      <w:r w:rsidR="009345EA">
        <w:t xml:space="preserve"> </w:t>
      </w:r>
      <w:r w:rsidRPr="00C85E6C">
        <w:t>held</w:t>
      </w:r>
      <w:r w:rsidR="009345EA">
        <w:t xml:space="preserve"> </w:t>
      </w:r>
      <w:r w:rsidRPr="00C85E6C">
        <w:t>on</w:t>
      </w:r>
      <w:r w:rsidR="009345EA">
        <w:t xml:space="preserve"> </w:t>
      </w:r>
      <w:r w:rsidRPr="00C85E6C">
        <w:t>police</w:t>
      </w:r>
      <w:r w:rsidR="009345EA">
        <w:t xml:space="preserve"> </w:t>
      </w:r>
      <w:r w:rsidRPr="00C85E6C">
        <w:t>remand.</w:t>
      </w:r>
      <w:r w:rsidR="009345EA">
        <w:t xml:space="preserve"> </w:t>
      </w:r>
      <w:r w:rsidRPr="00C85E6C">
        <w:t>The</w:t>
      </w:r>
      <w:r w:rsidR="009345EA">
        <w:t xml:space="preserve"> </w:t>
      </w:r>
      <w:r w:rsidRPr="00C85E6C">
        <w:t>magistrates</w:t>
      </w:r>
      <w:r w:rsidR="00EB40F1">
        <w:t>’</w:t>
      </w:r>
      <w:r w:rsidR="009345EA">
        <w:t xml:space="preserve"> </w:t>
      </w:r>
      <w:r w:rsidRPr="00C85E6C">
        <w:t>court</w:t>
      </w:r>
      <w:r w:rsidR="009345EA">
        <w:t xml:space="preserve"> </w:t>
      </w:r>
      <w:r w:rsidRPr="00C85E6C">
        <w:t>of</w:t>
      </w:r>
      <w:r w:rsidR="009345EA">
        <w:t xml:space="preserve"> </w:t>
      </w:r>
      <w:r w:rsidRPr="00C85E6C">
        <w:t>Nuwara</w:t>
      </w:r>
      <w:r w:rsidR="009345EA">
        <w:t xml:space="preserve"> </w:t>
      </w:r>
      <w:r w:rsidRPr="00C85E6C">
        <w:t>Eliya</w:t>
      </w:r>
      <w:r w:rsidR="009345EA">
        <w:t xml:space="preserve"> </w:t>
      </w:r>
      <w:r w:rsidRPr="00C85E6C">
        <w:t>initiated</w:t>
      </w:r>
      <w:r w:rsidR="009345EA">
        <w:t xml:space="preserve"> </w:t>
      </w:r>
      <w:r w:rsidRPr="00C85E6C">
        <w:t>non-summary</w:t>
      </w:r>
      <w:r w:rsidR="009345EA">
        <w:t xml:space="preserve"> </w:t>
      </w:r>
      <w:r w:rsidRPr="00C85E6C">
        <w:t>proceedings</w:t>
      </w:r>
      <w:r w:rsidR="009345EA">
        <w:t xml:space="preserve"> </w:t>
      </w:r>
      <w:r w:rsidRPr="00C85E6C">
        <w:t>following</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complaint.</w:t>
      </w:r>
      <w:r w:rsidR="009345EA">
        <w:t xml:space="preserve"> </w:t>
      </w:r>
      <w:r w:rsidRPr="00C85E6C">
        <w:t>On</w:t>
      </w:r>
      <w:r w:rsidR="009345EA">
        <w:t xml:space="preserve"> </w:t>
      </w:r>
      <w:r w:rsidRPr="00C85E6C">
        <w:t>28</w:t>
      </w:r>
      <w:r w:rsidR="009345EA">
        <w:t xml:space="preserve"> </w:t>
      </w:r>
      <w:r w:rsidRPr="00C85E6C">
        <w:t>August</w:t>
      </w:r>
      <w:r w:rsidR="009345EA">
        <w:t xml:space="preserve"> </w:t>
      </w:r>
      <w:r w:rsidRPr="00C85E6C">
        <w:t>2001,</w:t>
      </w:r>
      <w:r w:rsidR="009345EA">
        <w:t xml:space="preserve"> </w:t>
      </w:r>
      <w:r w:rsidRPr="00C85E6C">
        <w:t>both</w:t>
      </w:r>
      <w:r w:rsidR="009345EA">
        <w:t xml:space="preserve"> </w:t>
      </w:r>
      <w:r w:rsidRPr="00C85E6C">
        <w:t>suspects</w:t>
      </w:r>
      <w:r w:rsidR="009345EA">
        <w:t xml:space="preserve"> </w:t>
      </w:r>
      <w:r w:rsidRPr="00C85E6C">
        <w:t>were</w:t>
      </w:r>
      <w:r w:rsidR="009345EA">
        <w:t xml:space="preserve"> </w:t>
      </w:r>
      <w:r w:rsidRPr="00C85E6C">
        <w:t>released</w:t>
      </w:r>
      <w:r w:rsidR="009345EA">
        <w:t xml:space="preserve"> </w:t>
      </w:r>
      <w:r w:rsidRPr="00C85E6C">
        <w:t>on</w:t>
      </w:r>
      <w:r w:rsidR="009345EA">
        <w:t xml:space="preserve"> </w:t>
      </w:r>
      <w:r w:rsidRPr="00C85E6C">
        <w:t>bail.</w:t>
      </w:r>
      <w:r w:rsidR="009345EA">
        <w:t xml:space="preserve"> </w:t>
      </w:r>
      <w:r w:rsidRPr="00C85E6C">
        <w:t>During</w:t>
      </w:r>
      <w:r w:rsidR="009345EA">
        <w:t xml:space="preserve"> </w:t>
      </w:r>
      <w:r w:rsidRPr="00C85E6C">
        <w:t>the</w:t>
      </w:r>
      <w:r w:rsidR="009345EA">
        <w:t xml:space="preserve"> </w:t>
      </w:r>
      <w:r w:rsidRPr="00C85E6C">
        <w:t>hearing,</w:t>
      </w:r>
      <w:r w:rsidR="009345EA">
        <w:t xml:space="preserve"> </w:t>
      </w:r>
      <w:r w:rsidRPr="00C85E6C">
        <w:t>the</w:t>
      </w:r>
      <w:r w:rsidR="009345EA">
        <w:t xml:space="preserve"> </w:t>
      </w:r>
      <w:r w:rsidRPr="00C85E6C">
        <w:t>defendants</w:t>
      </w:r>
      <w:r w:rsidR="00EB40F1">
        <w:t>’</w:t>
      </w:r>
      <w:r w:rsidR="009345EA">
        <w:t xml:space="preserve"> </w:t>
      </w:r>
      <w:r w:rsidRPr="00C85E6C">
        <w:t>counsel</w:t>
      </w:r>
      <w:r w:rsidR="009345EA">
        <w:t xml:space="preserve"> </w:t>
      </w:r>
      <w:r w:rsidRPr="00C85E6C">
        <w:t>publicly</w:t>
      </w:r>
      <w:r w:rsidR="009345EA">
        <w:t xml:space="preserve"> </w:t>
      </w:r>
      <w:r w:rsidRPr="00C85E6C">
        <w:t>referred</w:t>
      </w:r>
      <w:r w:rsidR="009345EA">
        <w:t xml:space="preserve"> </w:t>
      </w:r>
      <w:r w:rsidRPr="00C85E6C">
        <w:t>to</w:t>
      </w:r>
      <w:r w:rsidR="009345EA">
        <w:t xml:space="preserve"> </w:t>
      </w:r>
      <w:r w:rsidRPr="00C85E6C">
        <w:t>the</w:t>
      </w:r>
      <w:r w:rsidR="009345EA">
        <w:t xml:space="preserve"> </w:t>
      </w:r>
      <w:r w:rsidRPr="00C85E6C">
        <w:t>author</w:t>
      </w:r>
      <w:r w:rsidR="009345EA">
        <w:t xml:space="preserve"> </w:t>
      </w:r>
      <w:r w:rsidRPr="00C85E6C">
        <w:t>as</w:t>
      </w:r>
      <w:r w:rsidR="009345EA">
        <w:t xml:space="preserve"> </w:t>
      </w:r>
      <w:r w:rsidRPr="00C85E6C">
        <w:t>a</w:t>
      </w:r>
      <w:r w:rsidR="009345EA">
        <w:t xml:space="preserve"> </w:t>
      </w:r>
      <w:r w:rsidRPr="00C85E6C">
        <w:t>professional</w:t>
      </w:r>
      <w:r w:rsidR="009345EA">
        <w:t xml:space="preserve"> </w:t>
      </w:r>
      <w:r w:rsidRPr="00C85E6C">
        <w:t>prostitute;</w:t>
      </w:r>
      <w:r w:rsidR="009345EA">
        <w:t xml:space="preserve"> </w:t>
      </w:r>
      <w:r w:rsidRPr="00C85E6C">
        <w:t>no</w:t>
      </w:r>
      <w:r w:rsidR="009345EA">
        <w:t xml:space="preserve"> </w:t>
      </w:r>
      <w:r w:rsidRPr="00C85E6C">
        <w:t>judge</w:t>
      </w:r>
      <w:r w:rsidR="009345EA">
        <w:t xml:space="preserve"> </w:t>
      </w:r>
      <w:r w:rsidRPr="00C85E6C">
        <w:t>took</w:t>
      </w:r>
      <w:r w:rsidR="009345EA">
        <w:t xml:space="preserve"> </w:t>
      </w:r>
      <w:r w:rsidRPr="00C85E6C">
        <w:t>action</w:t>
      </w:r>
      <w:r w:rsidR="009345EA">
        <w:t xml:space="preserve"> </w:t>
      </w:r>
      <w:r w:rsidRPr="00C85E6C">
        <w:t>to</w:t>
      </w:r>
      <w:r w:rsidR="009345EA">
        <w:t xml:space="preserve"> </w:t>
      </w:r>
      <w:r w:rsidRPr="00C85E6C">
        <w:t>protect</w:t>
      </w:r>
      <w:r w:rsidR="009345EA">
        <w:t xml:space="preserve"> </w:t>
      </w:r>
      <w:r w:rsidRPr="00C85E6C">
        <w:t>the</w:t>
      </w:r>
      <w:r w:rsidR="009345EA">
        <w:t xml:space="preserve"> </w:t>
      </w:r>
      <w:r w:rsidRPr="00C85E6C">
        <w:t>dignity</w:t>
      </w:r>
      <w:r w:rsidR="009345EA">
        <w:t xml:space="preserve"> </w:t>
      </w:r>
      <w:r w:rsidRPr="00C85E6C">
        <w:t>of</w:t>
      </w:r>
      <w:r w:rsidR="009345EA">
        <w:t xml:space="preserve"> </w:t>
      </w:r>
      <w:r w:rsidRPr="00C85E6C">
        <w:t>the</w:t>
      </w:r>
      <w:r w:rsidR="009345EA">
        <w:t xml:space="preserve"> </w:t>
      </w:r>
      <w:r w:rsidRPr="00C85E6C">
        <w:t>author</w:t>
      </w:r>
      <w:r w:rsidR="009345EA">
        <w:t xml:space="preserve"> </w:t>
      </w:r>
      <w:r w:rsidRPr="00C85E6C">
        <w:t>as</w:t>
      </w:r>
      <w:r w:rsidR="009345EA">
        <w:t xml:space="preserve"> </w:t>
      </w:r>
      <w:r w:rsidRPr="00C85E6C">
        <w:t>a</w:t>
      </w:r>
      <w:r w:rsidR="009345EA">
        <w:t xml:space="preserve"> </w:t>
      </w:r>
      <w:r w:rsidRPr="00C85E6C">
        <w:t>victim</w:t>
      </w:r>
      <w:r w:rsidR="009345EA">
        <w:t xml:space="preserve"> </w:t>
      </w:r>
      <w:r w:rsidRPr="00C85E6C">
        <w:t>of</w:t>
      </w:r>
      <w:r w:rsidR="009345EA">
        <w:t xml:space="preserve"> </w:t>
      </w:r>
      <w:r w:rsidRPr="00C85E6C">
        <w:t>rape,</w:t>
      </w:r>
      <w:r w:rsidR="009345EA">
        <w:t xml:space="preserve"> </w:t>
      </w:r>
      <w:r w:rsidRPr="00C85E6C">
        <w:t>despite</w:t>
      </w:r>
      <w:r w:rsidR="009345EA">
        <w:t xml:space="preserve"> </w:t>
      </w:r>
      <w:r w:rsidRPr="00C85E6C">
        <w:t>being</w:t>
      </w:r>
      <w:r w:rsidR="009345EA">
        <w:t xml:space="preserve"> </w:t>
      </w:r>
      <w:r w:rsidRPr="00C85E6C">
        <w:t>urged</w:t>
      </w:r>
      <w:r w:rsidR="009345EA">
        <w:t xml:space="preserve"> </w:t>
      </w:r>
      <w:r w:rsidRPr="00C85E6C">
        <w:t>to</w:t>
      </w:r>
      <w:r w:rsidR="009345EA">
        <w:t xml:space="preserve"> </w:t>
      </w:r>
      <w:r w:rsidRPr="00C85E6C">
        <w:t>do</w:t>
      </w:r>
      <w:r w:rsidR="009345EA">
        <w:t xml:space="preserve"> </w:t>
      </w:r>
      <w:r w:rsidRPr="00C85E6C">
        <w:t>so</w:t>
      </w:r>
      <w:r w:rsidR="009345EA">
        <w:t xml:space="preserve"> </w:t>
      </w:r>
      <w:r w:rsidRPr="00C85E6C">
        <w:t>by</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counsel.</w:t>
      </w:r>
      <w:r w:rsidR="009345EA">
        <w:t xml:space="preserve"> </w:t>
      </w:r>
      <w:r w:rsidRPr="00C85E6C">
        <w:t>Such</w:t>
      </w:r>
      <w:r w:rsidR="009345EA">
        <w:t xml:space="preserve"> </w:t>
      </w:r>
      <w:r w:rsidRPr="00C85E6C">
        <w:t>attitudes</w:t>
      </w:r>
      <w:r w:rsidR="009345EA">
        <w:t xml:space="preserve"> </w:t>
      </w:r>
      <w:r w:rsidRPr="00C85E6C">
        <w:t>reinforced</w:t>
      </w:r>
      <w:r w:rsidR="009345EA">
        <w:t xml:space="preserve"> </w:t>
      </w:r>
      <w:r w:rsidRPr="00C85E6C">
        <w:t>the</w:t>
      </w:r>
      <w:r w:rsidR="009345EA">
        <w:t xml:space="preserve"> </w:t>
      </w:r>
      <w:r w:rsidRPr="00C85E6C">
        <w:t>stigma</w:t>
      </w:r>
      <w:r w:rsidR="009345EA">
        <w:t xml:space="preserve"> </w:t>
      </w:r>
      <w:r w:rsidRPr="00C85E6C">
        <w:t>attached</w:t>
      </w:r>
      <w:r w:rsidR="009345EA">
        <w:t xml:space="preserve"> </w:t>
      </w:r>
      <w:r w:rsidRPr="00C85E6C">
        <w:t>to</w:t>
      </w:r>
      <w:r w:rsidR="009345EA">
        <w:t xml:space="preserve"> </w:t>
      </w:r>
      <w:r w:rsidRPr="00C85E6C">
        <w:t>the</w:t>
      </w:r>
      <w:r w:rsidR="009345EA">
        <w:t xml:space="preserve"> </w:t>
      </w:r>
      <w:r w:rsidRPr="00C85E6C">
        <w:t>author</w:t>
      </w:r>
      <w:r w:rsidR="009345EA">
        <w:t xml:space="preserve"> </w:t>
      </w:r>
      <w:r w:rsidRPr="00C85E6C">
        <w:t>as</w:t>
      </w:r>
      <w:r w:rsidR="009345EA">
        <w:t xml:space="preserve"> </w:t>
      </w:r>
      <w:r w:rsidRPr="00C85E6C">
        <w:t>a</w:t>
      </w:r>
      <w:r w:rsidR="009345EA">
        <w:t xml:space="preserve"> </w:t>
      </w:r>
      <w:r w:rsidRPr="00C85E6C">
        <w:t>woman</w:t>
      </w:r>
      <w:r w:rsidR="009345EA">
        <w:t xml:space="preserve"> </w:t>
      </w:r>
      <w:r w:rsidRPr="00C85E6C">
        <w:t>victim</w:t>
      </w:r>
      <w:r w:rsidR="009345EA">
        <w:t xml:space="preserve"> </w:t>
      </w:r>
      <w:r w:rsidRPr="00C85E6C">
        <w:t>of</w:t>
      </w:r>
      <w:r w:rsidR="009345EA">
        <w:t xml:space="preserve"> </w:t>
      </w:r>
      <w:r w:rsidRPr="00C85E6C">
        <w:t>rape</w:t>
      </w:r>
      <w:r w:rsidR="009345EA">
        <w:t xml:space="preserve"> </w:t>
      </w:r>
      <w:r w:rsidRPr="00C85E6C">
        <w:t>in</w:t>
      </w:r>
      <w:r w:rsidR="009345EA">
        <w:t xml:space="preserve"> </w:t>
      </w:r>
      <w:r w:rsidRPr="00C85E6C">
        <w:t>a</w:t>
      </w:r>
      <w:r w:rsidR="009345EA">
        <w:t xml:space="preserve"> </w:t>
      </w:r>
      <w:r w:rsidRPr="00C85E6C">
        <w:t>conservative</w:t>
      </w:r>
      <w:r w:rsidR="009345EA">
        <w:t xml:space="preserve"> </w:t>
      </w:r>
      <w:r w:rsidRPr="00C85E6C">
        <w:t>society.</w:t>
      </w:r>
      <w:r w:rsidR="009345EA">
        <w:t xml:space="preserve"> </w:t>
      </w:r>
      <w:r w:rsidRPr="00C85E6C">
        <w:t>No</w:t>
      </w:r>
      <w:r w:rsidR="009345EA">
        <w:t xml:space="preserve"> </w:t>
      </w:r>
      <w:r w:rsidRPr="00C85E6C">
        <w:t>mention</w:t>
      </w:r>
      <w:r w:rsidR="009345EA">
        <w:t xml:space="preserve"> </w:t>
      </w:r>
      <w:r w:rsidRPr="00C85E6C">
        <w:t>was</w:t>
      </w:r>
      <w:r w:rsidR="009345EA">
        <w:t xml:space="preserve"> </w:t>
      </w:r>
      <w:r w:rsidRPr="00C85E6C">
        <w:t>made</w:t>
      </w:r>
      <w:r w:rsidR="009345EA">
        <w:t xml:space="preserve"> </w:t>
      </w:r>
      <w:r w:rsidRPr="00C85E6C">
        <w:t>during</w:t>
      </w:r>
      <w:r w:rsidR="009345EA">
        <w:t xml:space="preserve"> </w:t>
      </w:r>
      <w:r w:rsidRPr="00C85E6C">
        <w:t>the</w:t>
      </w:r>
      <w:r w:rsidR="009345EA">
        <w:t xml:space="preserve"> </w:t>
      </w:r>
      <w:r w:rsidRPr="00C85E6C">
        <w:t>proceedings</w:t>
      </w:r>
      <w:r w:rsidR="009345EA">
        <w:t xml:space="preserve"> </w:t>
      </w:r>
      <w:r w:rsidRPr="00C85E6C">
        <w:t>of</w:t>
      </w:r>
      <w:r w:rsidR="009345EA">
        <w:t xml:space="preserve"> </w:t>
      </w:r>
      <w:r w:rsidRPr="00C85E6C">
        <w:t>the</w:t>
      </w:r>
      <w:r w:rsidR="009345EA">
        <w:t xml:space="preserve"> </w:t>
      </w:r>
      <w:r w:rsidRPr="00C85E6C">
        <w:t>fact</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a</w:t>
      </w:r>
      <w:r w:rsidR="009345EA">
        <w:t xml:space="preserve"> </w:t>
      </w:r>
      <w:r w:rsidRPr="00C85E6C">
        <w:t>minor</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the</w:t>
      </w:r>
      <w:r w:rsidR="009345EA">
        <w:t xml:space="preserve"> </w:t>
      </w:r>
      <w:r w:rsidRPr="00C85E6C">
        <w:t>offence.</w:t>
      </w:r>
      <w:r w:rsidR="009345EA">
        <w:t xml:space="preserve"> </w:t>
      </w:r>
    </w:p>
    <w:p w:rsidR="00D06B7B" w:rsidRPr="00C85E6C" w:rsidRDefault="00D06B7B" w:rsidP="00FF3573">
      <w:pPr>
        <w:pStyle w:val="SingleTxtG"/>
      </w:pPr>
      <w:r w:rsidRPr="00C85E6C">
        <w:t>2.4</w:t>
      </w:r>
      <w:r w:rsidRPr="00C85E6C">
        <w:tab/>
        <w:t>In</w:t>
      </w:r>
      <w:r w:rsidR="009345EA">
        <w:t xml:space="preserve"> </w:t>
      </w:r>
      <w:r w:rsidRPr="00C85E6C">
        <w:t>2005,</w:t>
      </w:r>
      <w:r w:rsidR="009345EA">
        <w:t xml:space="preserve"> </w:t>
      </w:r>
      <w:r w:rsidRPr="00C85E6C">
        <w:t>after</w:t>
      </w:r>
      <w:r w:rsidR="009345EA">
        <w:t xml:space="preserve"> </w:t>
      </w:r>
      <w:r w:rsidRPr="00C85E6C">
        <w:t>more</w:t>
      </w:r>
      <w:r w:rsidR="009345EA">
        <w:t xml:space="preserve"> </w:t>
      </w:r>
      <w:r w:rsidRPr="00C85E6C">
        <w:t>than</w:t>
      </w:r>
      <w:r w:rsidR="009345EA">
        <w:t xml:space="preserve"> </w:t>
      </w:r>
      <w:r w:rsidRPr="00C85E6C">
        <w:t>three</w:t>
      </w:r>
      <w:r w:rsidR="009345EA">
        <w:t xml:space="preserve"> </w:t>
      </w:r>
      <w:r w:rsidRPr="00C85E6C">
        <w:t>years,</w:t>
      </w:r>
      <w:r w:rsidR="009345EA">
        <w:t xml:space="preserve"> </w:t>
      </w:r>
      <w:r w:rsidRPr="00C85E6C">
        <w:t>the</w:t>
      </w:r>
      <w:r w:rsidR="009345EA">
        <w:t xml:space="preserve"> </w:t>
      </w:r>
      <w:r w:rsidRPr="00C85E6C">
        <w:t>magistrates</w:t>
      </w:r>
      <w:r w:rsidR="00EB40F1">
        <w:t>’</w:t>
      </w:r>
      <w:r w:rsidR="009345EA">
        <w:t xml:space="preserve"> </w:t>
      </w:r>
      <w:r w:rsidRPr="00C85E6C">
        <w:t>court</w:t>
      </w:r>
      <w:r w:rsidR="009345EA">
        <w:t xml:space="preserve"> </w:t>
      </w:r>
      <w:r w:rsidRPr="00C85E6C">
        <w:t>concluded</w:t>
      </w:r>
      <w:r w:rsidR="009345EA">
        <w:t xml:space="preserve"> </w:t>
      </w:r>
      <w:r w:rsidRPr="00C85E6C">
        <w:t>that</w:t>
      </w:r>
      <w:r w:rsidR="009345EA">
        <w:t xml:space="preserve"> </w:t>
      </w:r>
      <w:r w:rsidRPr="00C85E6C">
        <w:t>there</w:t>
      </w:r>
      <w:r w:rsidR="009345EA">
        <w:t xml:space="preserve"> </w:t>
      </w:r>
      <w:r w:rsidRPr="00C85E6C">
        <w:t>was</w:t>
      </w:r>
      <w:r w:rsidR="009345EA">
        <w:t xml:space="preserve"> </w:t>
      </w:r>
      <w:r w:rsidRPr="00C85E6C">
        <w:t>sufficient</w:t>
      </w:r>
      <w:r w:rsidR="009345EA">
        <w:t xml:space="preserve"> </w:t>
      </w:r>
      <w:r w:rsidRPr="00C85E6C">
        <w:t>evidence</w:t>
      </w:r>
      <w:r w:rsidR="009345EA">
        <w:t xml:space="preserve"> </w:t>
      </w:r>
      <w:r w:rsidRPr="00C85E6C">
        <w:t>to</w:t>
      </w:r>
      <w:r w:rsidR="009345EA">
        <w:t xml:space="preserve"> </w:t>
      </w:r>
      <w:r w:rsidRPr="00C85E6C">
        <w:t>charge</w:t>
      </w:r>
      <w:r w:rsidR="009345EA">
        <w:t xml:space="preserve"> </w:t>
      </w:r>
      <w:r w:rsidRPr="00C85E6C">
        <w:t>the</w:t>
      </w:r>
      <w:r w:rsidR="009345EA">
        <w:t xml:space="preserve"> </w:t>
      </w:r>
      <w:r w:rsidRPr="00C85E6C">
        <w:t>alleged</w:t>
      </w:r>
      <w:r w:rsidR="009345EA">
        <w:t xml:space="preserve"> </w:t>
      </w:r>
      <w:r w:rsidRPr="00C85E6C">
        <w:t>perpetrators</w:t>
      </w:r>
      <w:r w:rsidR="009345EA">
        <w:t xml:space="preserve"> </w:t>
      </w:r>
      <w:r w:rsidRPr="00C85E6C">
        <w:t>and</w:t>
      </w:r>
      <w:r w:rsidR="009345EA">
        <w:t xml:space="preserve"> </w:t>
      </w:r>
      <w:r w:rsidRPr="00C85E6C">
        <w:t>referred</w:t>
      </w:r>
      <w:r w:rsidR="009345EA">
        <w:t xml:space="preserve"> </w:t>
      </w:r>
      <w:r w:rsidRPr="00C85E6C">
        <w:t>the</w:t>
      </w:r>
      <w:r w:rsidR="009345EA">
        <w:t xml:space="preserve"> </w:t>
      </w:r>
      <w:r w:rsidRPr="00C85E6C">
        <w:t>case</w:t>
      </w:r>
      <w:r w:rsidR="009345EA">
        <w:t xml:space="preserve"> </w:t>
      </w:r>
      <w:r w:rsidRPr="00C85E6C">
        <w:t>to</w:t>
      </w:r>
      <w:r w:rsidR="009345EA">
        <w:t xml:space="preserve"> </w:t>
      </w:r>
      <w:r w:rsidRPr="00C85E6C">
        <w:t>the</w:t>
      </w:r>
      <w:r w:rsidR="009345EA">
        <w:t xml:space="preserve"> </w:t>
      </w:r>
      <w:r w:rsidRPr="00C85E6C">
        <w:t>Attorney</w:t>
      </w:r>
      <w:r w:rsidR="009345EA">
        <w:t xml:space="preserve"> </w:t>
      </w:r>
      <w:r w:rsidRPr="00C85E6C">
        <w:t>General.</w:t>
      </w:r>
      <w:r w:rsidR="009345EA">
        <w:t xml:space="preserve"> </w:t>
      </w:r>
      <w:r w:rsidRPr="00C85E6C">
        <w:t>On</w:t>
      </w:r>
      <w:r w:rsidR="009345EA">
        <w:t xml:space="preserve"> </w:t>
      </w:r>
      <w:r w:rsidRPr="00C85E6C">
        <w:t>23</w:t>
      </w:r>
      <w:r w:rsidR="009345EA">
        <w:t xml:space="preserve"> </w:t>
      </w:r>
      <w:r w:rsidRPr="00C85E6C">
        <w:t>October</w:t>
      </w:r>
      <w:r w:rsidR="009345EA">
        <w:t xml:space="preserve"> </w:t>
      </w:r>
      <w:r w:rsidRPr="00C85E6C">
        <w:t>2006,</w:t>
      </w:r>
      <w:r w:rsidR="009345EA">
        <w:t xml:space="preserve"> </w:t>
      </w:r>
      <w:r w:rsidRPr="00C85E6C">
        <w:t>both</w:t>
      </w:r>
      <w:r w:rsidR="009345EA">
        <w:t xml:space="preserve"> </w:t>
      </w:r>
      <w:r w:rsidRPr="00C85E6C">
        <w:t>suspects</w:t>
      </w:r>
      <w:r w:rsidR="009345EA">
        <w:t xml:space="preserve"> </w:t>
      </w:r>
      <w:r w:rsidRPr="00C85E6C">
        <w:t>were</w:t>
      </w:r>
      <w:r w:rsidR="009345EA">
        <w:t xml:space="preserve"> </w:t>
      </w:r>
      <w:r w:rsidRPr="00C85E6C">
        <w:t>indicted</w:t>
      </w:r>
      <w:r w:rsidR="009345EA">
        <w:t xml:space="preserve"> </w:t>
      </w:r>
      <w:r w:rsidRPr="00C85E6C">
        <w:t>by</w:t>
      </w:r>
      <w:r w:rsidR="009345EA">
        <w:t xml:space="preserve"> </w:t>
      </w:r>
      <w:r w:rsidRPr="00C85E6C">
        <w:t>the</w:t>
      </w:r>
      <w:r w:rsidR="009345EA">
        <w:t xml:space="preserve"> </w:t>
      </w:r>
      <w:r w:rsidRPr="00C85E6C">
        <w:t>High</w:t>
      </w:r>
      <w:r w:rsidR="009345EA">
        <w:t xml:space="preserve"> </w:t>
      </w:r>
      <w:r w:rsidRPr="00C85E6C">
        <w:t>Court</w:t>
      </w:r>
      <w:r w:rsidR="009345EA">
        <w:t xml:space="preserve"> </w:t>
      </w:r>
      <w:r w:rsidRPr="00C85E6C">
        <w:t>of</w:t>
      </w:r>
      <w:r w:rsidR="009345EA">
        <w:t xml:space="preserve"> </w:t>
      </w:r>
      <w:r w:rsidRPr="00C85E6C">
        <w:t>Kandy</w:t>
      </w:r>
      <w:r w:rsidR="009345EA">
        <w:t xml:space="preserve"> </w:t>
      </w:r>
      <w:r w:rsidRPr="00C85E6C">
        <w:t>under</w:t>
      </w:r>
      <w:r w:rsidR="009345EA">
        <w:t xml:space="preserve"> </w:t>
      </w:r>
      <w:r w:rsidRPr="00C85E6C">
        <w:t>sections</w:t>
      </w:r>
      <w:r w:rsidR="009345EA">
        <w:t xml:space="preserve"> </w:t>
      </w:r>
      <w:r w:rsidRPr="00C85E6C">
        <w:t>357</w:t>
      </w:r>
      <w:r w:rsidR="009345EA">
        <w:t xml:space="preserve"> </w:t>
      </w:r>
      <w:r w:rsidRPr="00C85E6C">
        <w:t>and</w:t>
      </w:r>
      <w:r w:rsidR="009345EA">
        <w:t xml:space="preserve"> </w:t>
      </w:r>
      <w:r w:rsidRPr="00C85E6C">
        <w:t>364</w:t>
      </w:r>
      <w:r w:rsidR="00511120">
        <w:t xml:space="preserve"> </w:t>
      </w:r>
      <w:r w:rsidRPr="00C85E6C">
        <w:t>(2)</w:t>
      </w:r>
      <w:r w:rsidR="00511120">
        <w:t xml:space="preserve"> </w:t>
      </w:r>
      <w:r w:rsidRPr="00C85E6C">
        <w:t>(G),</w:t>
      </w:r>
      <w:r w:rsidR="009345EA">
        <w:t xml:space="preserve"> </w:t>
      </w:r>
      <w:r w:rsidRPr="00C85E6C">
        <w:t>read</w:t>
      </w:r>
      <w:r w:rsidR="009345EA">
        <w:t xml:space="preserve"> </w:t>
      </w:r>
      <w:r w:rsidRPr="00C85E6C">
        <w:t>together</w:t>
      </w:r>
      <w:r w:rsidR="009345EA">
        <w:t xml:space="preserve"> </w:t>
      </w:r>
      <w:r w:rsidRPr="00C85E6C">
        <w:t>with</w:t>
      </w:r>
      <w:r w:rsidR="009345EA">
        <w:t xml:space="preserve"> </w:t>
      </w:r>
      <w:r w:rsidRPr="00C85E6C">
        <w:t>section</w:t>
      </w:r>
      <w:r w:rsidR="009345EA">
        <w:t xml:space="preserve"> </w:t>
      </w:r>
      <w:r w:rsidRPr="00C85E6C">
        <w:t>32,</w:t>
      </w:r>
      <w:r w:rsidR="009345EA">
        <w:t xml:space="preserve"> </w:t>
      </w:r>
      <w:r w:rsidRPr="00C85E6C">
        <w:t>of</w:t>
      </w:r>
      <w:r w:rsidR="009345EA">
        <w:t xml:space="preserve"> </w:t>
      </w:r>
      <w:r w:rsidRPr="00C85E6C">
        <w:t>the</w:t>
      </w:r>
      <w:r w:rsidR="009345EA">
        <w:t xml:space="preserve"> </w:t>
      </w:r>
      <w:r w:rsidRPr="00C85E6C">
        <w:t>Penal</w:t>
      </w:r>
      <w:r w:rsidR="009345EA">
        <w:t xml:space="preserve"> </w:t>
      </w:r>
      <w:r w:rsidRPr="00C85E6C">
        <w:t>Code.</w:t>
      </w:r>
      <w:r w:rsidRPr="00D06B7B">
        <w:rPr>
          <w:rStyle w:val="FootnoteReference"/>
        </w:rPr>
        <w:footnoteReference w:id="6"/>
      </w:r>
      <w:r w:rsidR="009345EA">
        <w:t xml:space="preserve"> </w:t>
      </w:r>
    </w:p>
    <w:p w:rsidR="00D06B7B" w:rsidRPr="00C85E6C" w:rsidRDefault="00D06B7B" w:rsidP="00FF3573">
      <w:pPr>
        <w:pStyle w:val="SingleTxtG"/>
      </w:pPr>
      <w:r w:rsidRPr="00C85E6C">
        <w:t>2.5</w:t>
      </w:r>
      <w:r w:rsidRPr="00C85E6C">
        <w:tab/>
        <w:t>On</w:t>
      </w:r>
      <w:r w:rsidR="009345EA">
        <w:t xml:space="preserve"> </w:t>
      </w:r>
      <w:r w:rsidRPr="00C85E6C">
        <w:t>26</w:t>
      </w:r>
      <w:r w:rsidR="009345EA">
        <w:t xml:space="preserve"> </w:t>
      </w:r>
      <w:r w:rsidRPr="00C85E6C">
        <w:t>March</w:t>
      </w:r>
      <w:r w:rsidR="009345EA">
        <w:t xml:space="preserve"> </w:t>
      </w:r>
      <w:r w:rsidRPr="00C85E6C">
        <w:t>2007,</w:t>
      </w:r>
      <w:r w:rsidR="009345EA">
        <w:t xml:space="preserve"> </w:t>
      </w:r>
      <w:r w:rsidRPr="00C85E6C">
        <w:t>the</w:t>
      </w:r>
      <w:r w:rsidR="009345EA">
        <w:t xml:space="preserve"> </w:t>
      </w:r>
      <w:r w:rsidRPr="00C85E6C">
        <w:t>High</w:t>
      </w:r>
      <w:r w:rsidR="009345EA">
        <w:t xml:space="preserve"> </w:t>
      </w:r>
      <w:r w:rsidRPr="00C85E6C">
        <w:t>Court</w:t>
      </w:r>
      <w:r w:rsidR="009345EA">
        <w:t xml:space="preserve"> </w:t>
      </w:r>
      <w:r w:rsidRPr="00C85E6C">
        <w:t>approved</w:t>
      </w:r>
      <w:r w:rsidR="009345EA">
        <w:t xml:space="preserve"> </w:t>
      </w:r>
      <w:r w:rsidRPr="00C85E6C">
        <w:t>new</w:t>
      </w:r>
      <w:r w:rsidR="009345EA">
        <w:t xml:space="preserve"> </w:t>
      </w:r>
      <w:r w:rsidRPr="00C85E6C">
        <w:t>bail</w:t>
      </w:r>
      <w:r w:rsidR="009345EA">
        <w:t xml:space="preserve"> </w:t>
      </w:r>
      <w:r w:rsidRPr="00C85E6C">
        <w:t>conditions</w:t>
      </w:r>
      <w:r w:rsidR="009345EA">
        <w:t xml:space="preserve"> </w:t>
      </w:r>
      <w:r w:rsidRPr="00C85E6C">
        <w:t>for</w:t>
      </w:r>
      <w:r w:rsidR="009345EA">
        <w:t xml:space="preserve"> </w:t>
      </w:r>
      <w:r w:rsidRPr="00C85E6C">
        <w:t>the</w:t>
      </w:r>
      <w:r w:rsidR="009345EA">
        <w:t xml:space="preserve"> </w:t>
      </w:r>
      <w:r w:rsidRPr="00C85E6C">
        <w:t>suspects,</w:t>
      </w:r>
      <w:r w:rsidR="009345EA">
        <w:t xml:space="preserve"> </w:t>
      </w:r>
      <w:r w:rsidRPr="00C85E6C">
        <w:t>and</w:t>
      </w:r>
      <w:r w:rsidR="009345EA">
        <w:t xml:space="preserve"> </w:t>
      </w:r>
      <w:r w:rsidRPr="00C85E6C">
        <w:t>on</w:t>
      </w:r>
      <w:r w:rsidR="009345EA">
        <w:t xml:space="preserve"> </w:t>
      </w:r>
      <w:r w:rsidRPr="00C85E6C">
        <w:t>27</w:t>
      </w:r>
      <w:r w:rsidR="009345EA">
        <w:t xml:space="preserve"> </w:t>
      </w:r>
      <w:r w:rsidRPr="00C85E6C">
        <w:t>April</w:t>
      </w:r>
      <w:r w:rsidR="009345EA">
        <w:t xml:space="preserve"> </w:t>
      </w:r>
      <w:r w:rsidRPr="00C85E6C">
        <w:t>2007,</w:t>
      </w:r>
      <w:r w:rsidR="009345EA">
        <w:t xml:space="preserve"> </w:t>
      </w:r>
      <w:r w:rsidRPr="00C85E6C">
        <w:t>they</w:t>
      </w:r>
      <w:r w:rsidR="009345EA">
        <w:t xml:space="preserve"> </w:t>
      </w:r>
      <w:r w:rsidRPr="00C85E6C">
        <w:t>were</w:t>
      </w:r>
      <w:r w:rsidR="009345EA">
        <w:t xml:space="preserve"> </w:t>
      </w:r>
      <w:r w:rsidRPr="00C85E6C">
        <w:t>released</w:t>
      </w:r>
      <w:r w:rsidR="009345EA">
        <w:t xml:space="preserve"> </w:t>
      </w:r>
      <w:r w:rsidRPr="00C85E6C">
        <w:t>on</w:t>
      </w:r>
      <w:r w:rsidR="009345EA">
        <w:t xml:space="preserve"> </w:t>
      </w:r>
      <w:r w:rsidRPr="00C85E6C">
        <w:t>bail</w:t>
      </w:r>
      <w:r w:rsidR="009345EA">
        <w:t xml:space="preserve"> </w:t>
      </w:r>
      <w:r w:rsidRPr="00C85E6C">
        <w:t>again.</w:t>
      </w:r>
      <w:r w:rsidR="009345EA">
        <w:t xml:space="preserve"> </w:t>
      </w:r>
      <w:r w:rsidRPr="00C85E6C">
        <w:t>On</w:t>
      </w:r>
      <w:r w:rsidR="009345EA">
        <w:t xml:space="preserve"> </w:t>
      </w:r>
      <w:r w:rsidRPr="00C85E6C">
        <w:t>18</w:t>
      </w:r>
      <w:r w:rsidR="009345EA">
        <w:t xml:space="preserve"> </w:t>
      </w:r>
      <w:r w:rsidRPr="00C85E6C">
        <w:t>October</w:t>
      </w:r>
      <w:r w:rsidR="009345EA">
        <w:t xml:space="preserve"> </w:t>
      </w:r>
      <w:r w:rsidRPr="00C85E6C">
        <w:t>2007,</w:t>
      </w:r>
      <w:r w:rsidR="009345EA">
        <w:t xml:space="preserve"> </w:t>
      </w:r>
      <w:r w:rsidRPr="00C85E6C">
        <w:t>the</w:t>
      </w:r>
      <w:r w:rsidR="009345EA">
        <w:t xml:space="preserve"> </w:t>
      </w:r>
      <w:r w:rsidRPr="00C85E6C">
        <w:t>case</w:t>
      </w:r>
      <w:r w:rsidR="009345EA">
        <w:t xml:space="preserve"> </w:t>
      </w:r>
      <w:r w:rsidRPr="00C85E6C">
        <w:t>was</w:t>
      </w:r>
      <w:r w:rsidR="009345EA">
        <w:t xml:space="preserve"> </w:t>
      </w:r>
      <w:r w:rsidRPr="00C85E6C">
        <w:t>called</w:t>
      </w:r>
      <w:r w:rsidR="009345EA">
        <w:t xml:space="preserve"> </w:t>
      </w:r>
      <w:r w:rsidRPr="00C85E6C">
        <w:t>for</w:t>
      </w:r>
      <w:r w:rsidR="009345EA">
        <w:t xml:space="preserve"> </w:t>
      </w:r>
      <w:r w:rsidRPr="00C85E6C">
        <w:t>trial,</w:t>
      </w:r>
      <w:r w:rsidR="009345EA">
        <w:t xml:space="preserve"> </w:t>
      </w:r>
      <w:r w:rsidRPr="00C85E6C">
        <w:t>but</w:t>
      </w:r>
      <w:r w:rsidR="009345EA">
        <w:t xml:space="preserve"> </w:t>
      </w:r>
      <w:r w:rsidRPr="00C85E6C">
        <w:t>the</w:t>
      </w:r>
      <w:r w:rsidR="009345EA">
        <w:t xml:space="preserve"> </w:t>
      </w:r>
      <w:r w:rsidRPr="00C85E6C">
        <w:t>hearing</w:t>
      </w:r>
      <w:r w:rsidR="009345EA">
        <w:t xml:space="preserve"> </w:t>
      </w:r>
      <w:r w:rsidRPr="00C85E6C">
        <w:t>was</w:t>
      </w:r>
      <w:r w:rsidR="009345EA">
        <w:t xml:space="preserve"> </w:t>
      </w:r>
      <w:r w:rsidRPr="00C85E6C">
        <w:t>postponed</w:t>
      </w:r>
      <w:r w:rsidR="009345EA">
        <w:t xml:space="preserve"> </w:t>
      </w:r>
      <w:r w:rsidRPr="00C85E6C">
        <w:t>as</w:t>
      </w:r>
      <w:r w:rsidR="009345EA">
        <w:t xml:space="preserve"> </w:t>
      </w:r>
      <w:r w:rsidRPr="00C85E6C">
        <w:t>the</w:t>
      </w:r>
      <w:r w:rsidR="009345EA">
        <w:t xml:space="preserve"> </w:t>
      </w:r>
      <w:r w:rsidRPr="00C85E6C">
        <w:t>prosecution</w:t>
      </w:r>
      <w:r w:rsidR="009345EA">
        <w:t xml:space="preserve"> </w:t>
      </w:r>
      <w:r w:rsidRPr="00C85E6C">
        <w:t>had</w:t>
      </w:r>
      <w:r w:rsidR="009345EA">
        <w:t xml:space="preserve"> </w:t>
      </w:r>
      <w:r w:rsidRPr="00C85E6C">
        <w:t>failed</w:t>
      </w:r>
      <w:r w:rsidR="009345EA">
        <w:t xml:space="preserve"> </w:t>
      </w:r>
      <w:r w:rsidRPr="00C85E6C">
        <w:t>to</w:t>
      </w:r>
      <w:r w:rsidR="009345EA">
        <w:t xml:space="preserve"> </w:t>
      </w:r>
      <w:r w:rsidRPr="00C85E6C">
        <w:t>produce</w:t>
      </w:r>
      <w:r w:rsidR="009345EA">
        <w:t xml:space="preserve"> </w:t>
      </w:r>
      <w:r w:rsidRPr="00C85E6C">
        <w:t>all</w:t>
      </w:r>
      <w:r w:rsidR="009345EA">
        <w:t xml:space="preserve"> </w:t>
      </w:r>
      <w:r w:rsidRPr="00C85E6C">
        <w:t>the</w:t>
      </w:r>
      <w:r w:rsidR="009345EA">
        <w:t xml:space="preserve"> </w:t>
      </w:r>
      <w:r w:rsidRPr="00C85E6C">
        <w:t>evidence</w:t>
      </w:r>
      <w:r w:rsidR="009345EA">
        <w:t xml:space="preserve"> </w:t>
      </w:r>
      <w:r w:rsidRPr="00C85E6C">
        <w:t>on</w:t>
      </w:r>
      <w:r w:rsidR="009345EA">
        <w:t xml:space="preserve"> </w:t>
      </w:r>
      <w:r w:rsidRPr="00C85E6C">
        <w:t>time.</w:t>
      </w:r>
      <w:r w:rsidR="009345EA">
        <w:t xml:space="preserve"> </w:t>
      </w:r>
    </w:p>
    <w:p w:rsidR="00D06B7B" w:rsidRPr="00C85E6C" w:rsidRDefault="00D06B7B" w:rsidP="00FF3573">
      <w:pPr>
        <w:pStyle w:val="SingleTxtG"/>
      </w:pPr>
      <w:r w:rsidRPr="00C85E6C">
        <w:t>2.6</w:t>
      </w:r>
      <w:r w:rsidRPr="00C85E6C">
        <w:tab/>
        <w:t>The</w:t>
      </w:r>
      <w:r w:rsidR="009345EA">
        <w:t xml:space="preserve"> </w:t>
      </w:r>
      <w:r w:rsidRPr="00C85E6C">
        <w:t>proceedings</w:t>
      </w:r>
      <w:r w:rsidR="009345EA">
        <w:t xml:space="preserve"> </w:t>
      </w:r>
      <w:r w:rsidRPr="00C85E6C">
        <w:t>were</w:t>
      </w:r>
      <w:r w:rsidR="009345EA">
        <w:t xml:space="preserve"> </w:t>
      </w:r>
      <w:r w:rsidRPr="00C85E6C">
        <w:t>then</w:t>
      </w:r>
      <w:r w:rsidR="009345EA">
        <w:t xml:space="preserve"> </w:t>
      </w:r>
      <w:r w:rsidRPr="00C85E6C">
        <w:t>adjourned:</w:t>
      </w:r>
      <w:r w:rsidR="009345EA">
        <w:t xml:space="preserve"> </w:t>
      </w:r>
      <w:r w:rsidRPr="00C85E6C">
        <w:t>on</w:t>
      </w:r>
      <w:r w:rsidR="009345EA">
        <w:t xml:space="preserve"> </w:t>
      </w:r>
      <w:r w:rsidRPr="00C85E6C">
        <w:t>1</w:t>
      </w:r>
      <w:r w:rsidR="009345EA">
        <w:t xml:space="preserve"> </w:t>
      </w:r>
      <w:r w:rsidRPr="00C85E6C">
        <w:t>February</w:t>
      </w:r>
      <w:r w:rsidR="009345EA">
        <w:t xml:space="preserve"> </w:t>
      </w:r>
      <w:r w:rsidRPr="00C85E6C">
        <w:t>2008,</w:t>
      </w:r>
      <w:r w:rsidR="009345EA">
        <w:t xml:space="preserve"> </w:t>
      </w:r>
      <w:r w:rsidRPr="00C85E6C">
        <w:t>due</w:t>
      </w:r>
      <w:r w:rsidR="009345EA">
        <w:t xml:space="preserve"> </w:t>
      </w:r>
      <w:r w:rsidRPr="00C85E6C">
        <w:t>to</w:t>
      </w:r>
      <w:r w:rsidR="009345EA">
        <w:t xml:space="preserve"> </w:t>
      </w:r>
      <w:r w:rsidRPr="00C85E6C">
        <w:t>the</w:t>
      </w:r>
      <w:r w:rsidR="009345EA">
        <w:t xml:space="preserve"> </w:t>
      </w:r>
      <w:r w:rsidRPr="00C85E6C">
        <w:t>absence</w:t>
      </w:r>
      <w:r w:rsidR="009345EA">
        <w:t xml:space="preserve"> </w:t>
      </w:r>
      <w:r w:rsidRPr="00C85E6C">
        <w:t>of</w:t>
      </w:r>
      <w:r w:rsidR="009345EA">
        <w:t xml:space="preserve"> </w:t>
      </w:r>
      <w:r w:rsidRPr="00C85E6C">
        <w:t>the</w:t>
      </w:r>
      <w:r w:rsidR="009345EA">
        <w:t xml:space="preserve"> </w:t>
      </w:r>
      <w:r w:rsidRPr="00C85E6C">
        <w:t>presiding</w:t>
      </w:r>
      <w:r w:rsidR="009345EA">
        <w:t xml:space="preserve"> </w:t>
      </w:r>
      <w:r w:rsidRPr="00C85E6C">
        <w:t>judge;</w:t>
      </w:r>
      <w:r w:rsidR="009345EA">
        <w:t xml:space="preserve"> </w:t>
      </w:r>
      <w:r w:rsidRPr="00C85E6C">
        <w:t>on</w:t>
      </w:r>
      <w:r w:rsidR="009345EA">
        <w:t xml:space="preserve"> </w:t>
      </w:r>
      <w:r w:rsidRPr="00C85E6C">
        <w:t>30</w:t>
      </w:r>
      <w:r w:rsidR="009345EA">
        <w:t xml:space="preserve"> </w:t>
      </w:r>
      <w:r w:rsidRPr="00C85E6C">
        <w:t>May</w:t>
      </w:r>
      <w:r w:rsidR="009345EA">
        <w:t xml:space="preserve"> </w:t>
      </w:r>
      <w:r w:rsidRPr="00C85E6C">
        <w:t>2008,</w:t>
      </w:r>
      <w:r w:rsidR="009345EA">
        <w:t xml:space="preserve"> </w:t>
      </w:r>
      <w:r w:rsidRPr="00C85E6C">
        <w:t>due</w:t>
      </w:r>
      <w:r w:rsidR="009345EA">
        <w:t xml:space="preserve"> </w:t>
      </w:r>
      <w:r w:rsidRPr="00C85E6C">
        <w:t>to</w:t>
      </w:r>
      <w:r w:rsidR="009345EA">
        <w:t xml:space="preserve"> </w:t>
      </w:r>
      <w:r w:rsidRPr="00C85E6C">
        <w:t>the</w:t>
      </w:r>
      <w:r w:rsidR="009345EA">
        <w:t xml:space="preserve"> </w:t>
      </w:r>
      <w:r w:rsidRPr="00C85E6C">
        <w:t>absence</w:t>
      </w:r>
      <w:r w:rsidR="009345EA">
        <w:t xml:space="preserve"> </w:t>
      </w:r>
      <w:r w:rsidRPr="00C85E6C">
        <w:t>of</w:t>
      </w:r>
      <w:r w:rsidR="009345EA">
        <w:t xml:space="preserve"> </w:t>
      </w:r>
      <w:r w:rsidRPr="00C85E6C">
        <w:t>the</w:t>
      </w:r>
      <w:r w:rsidR="009345EA">
        <w:t xml:space="preserve"> </w:t>
      </w:r>
      <w:r w:rsidRPr="00C85E6C">
        <w:t>prosecuting</w:t>
      </w:r>
      <w:r w:rsidR="009345EA">
        <w:t xml:space="preserve"> </w:t>
      </w:r>
      <w:r w:rsidRPr="00C85E6C">
        <w:t>State</w:t>
      </w:r>
      <w:r w:rsidR="009345EA">
        <w:t xml:space="preserve"> </w:t>
      </w:r>
      <w:r w:rsidRPr="00C85E6C">
        <w:t>counsel;</w:t>
      </w:r>
      <w:r w:rsidR="009345EA">
        <w:t xml:space="preserve"> </w:t>
      </w:r>
      <w:r w:rsidRPr="00C85E6C">
        <w:t>on</w:t>
      </w:r>
      <w:r w:rsidR="009345EA">
        <w:t xml:space="preserve"> </w:t>
      </w:r>
      <w:r w:rsidRPr="00C85E6C">
        <w:t>30</w:t>
      </w:r>
      <w:r w:rsidR="009345EA">
        <w:t xml:space="preserve"> </w:t>
      </w:r>
      <w:r w:rsidRPr="00C85E6C">
        <w:t>January</w:t>
      </w:r>
      <w:r w:rsidR="009345EA">
        <w:t xml:space="preserve"> </w:t>
      </w:r>
      <w:r w:rsidRPr="00C85E6C">
        <w:t>2009,</w:t>
      </w:r>
      <w:r w:rsidR="009345EA">
        <w:t xml:space="preserve"> </w:t>
      </w:r>
      <w:r w:rsidRPr="00C85E6C">
        <w:t>due</w:t>
      </w:r>
      <w:r w:rsidR="009345EA">
        <w:t xml:space="preserve"> </w:t>
      </w:r>
      <w:r w:rsidRPr="00C85E6C">
        <w:t>to</w:t>
      </w:r>
      <w:r w:rsidR="009345EA">
        <w:t xml:space="preserve"> </w:t>
      </w:r>
      <w:r w:rsidRPr="00C85E6C">
        <w:t>the</w:t>
      </w:r>
      <w:r w:rsidR="009345EA">
        <w:t xml:space="preserve"> </w:t>
      </w:r>
      <w:r w:rsidRPr="00C85E6C">
        <w:t>absence</w:t>
      </w:r>
      <w:r w:rsidR="009345EA">
        <w:t xml:space="preserve"> </w:t>
      </w:r>
      <w:r w:rsidRPr="00C85E6C">
        <w:t>of</w:t>
      </w:r>
      <w:r w:rsidR="009345EA">
        <w:t xml:space="preserve"> </w:t>
      </w:r>
      <w:r w:rsidRPr="00C85E6C">
        <w:t>a</w:t>
      </w:r>
      <w:r w:rsidR="009345EA">
        <w:t xml:space="preserve"> </w:t>
      </w:r>
      <w:r w:rsidRPr="00C85E6C">
        <w:t>permanent</w:t>
      </w:r>
      <w:r w:rsidR="009345EA">
        <w:t xml:space="preserve"> </w:t>
      </w:r>
      <w:r w:rsidRPr="00C85E6C">
        <w:t>judge;</w:t>
      </w:r>
      <w:r w:rsidR="009345EA">
        <w:t xml:space="preserve"> </w:t>
      </w:r>
      <w:r w:rsidRPr="00C85E6C">
        <w:t>and</w:t>
      </w:r>
      <w:r w:rsidR="009345EA">
        <w:t xml:space="preserve"> </w:t>
      </w:r>
      <w:r w:rsidRPr="00C85E6C">
        <w:t>on</w:t>
      </w:r>
      <w:r w:rsidR="009345EA">
        <w:t xml:space="preserve"> </w:t>
      </w:r>
      <w:r w:rsidRPr="00C85E6C">
        <w:t>15</w:t>
      </w:r>
      <w:r w:rsidR="009345EA">
        <w:t xml:space="preserve"> </w:t>
      </w:r>
      <w:r w:rsidRPr="00C85E6C">
        <w:t>May</w:t>
      </w:r>
      <w:r w:rsidR="009345EA">
        <w:t xml:space="preserve"> </w:t>
      </w:r>
      <w:r w:rsidRPr="00C85E6C">
        <w:t>2009,</w:t>
      </w:r>
      <w:r w:rsidR="009345EA">
        <w:t xml:space="preserve"> </w:t>
      </w:r>
      <w:r w:rsidRPr="00C85E6C">
        <w:t>due</w:t>
      </w:r>
      <w:r w:rsidR="009345EA">
        <w:t xml:space="preserve"> </w:t>
      </w:r>
      <w:r w:rsidRPr="00C85E6C">
        <w:t>to</w:t>
      </w:r>
      <w:r w:rsidR="009345EA">
        <w:t xml:space="preserve"> </w:t>
      </w:r>
      <w:r w:rsidRPr="00C85E6C">
        <w:t>the</w:t>
      </w:r>
      <w:r w:rsidR="009345EA">
        <w:t xml:space="preserve"> </w:t>
      </w:r>
      <w:r w:rsidRPr="00C85E6C">
        <w:t>fact</w:t>
      </w:r>
      <w:r w:rsidR="009345EA">
        <w:t xml:space="preserve"> </w:t>
      </w:r>
      <w:r w:rsidRPr="00C85E6C">
        <w:t>that</w:t>
      </w:r>
      <w:r w:rsidR="009345EA">
        <w:t xml:space="preserve"> </w:t>
      </w:r>
      <w:r w:rsidRPr="00C85E6C">
        <w:t>all</w:t>
      </w:r>
      <w:r w:rsidR="009345EA">
        <w:t xml:space="preserve"> </w:t>
      </w:r>
      <w:r w:rsidRPr="00C85E6C">
        <w:t>the</w:t>
      </w:r>
      <w:r w:rsidR="009345EA">
        <w:t xml:space="preserve"> </w:t>
      </w:r>
      <w:r w:rsidRPr="00C85E6C">
        <w:t>evidence</w:t>
      </w:r>
      <w:r w:rsidR="009345EA">
        <w:t xml:space="preserve"> </w:t>
      </w:r>
      <w:r w:rsidRPr="00C85E6C">
        <w:t>had</w:t>
      </w:r>
      <w:r w:rsidR="009345EA">
        <w:t xml:space="preserve"> </w:t>
      </w:r>
      <w:r w:rsidRPr="00C85E6C">
        <w:t>not</w:t>
      </w:r>
      <w:r w:rsidR="009345EA">
        <w:t xml:space="preserve"> </w:t>
      </w:r>
      <w:r w:rsidRPr="00C85E6C">
        <w:t>yet</w:t>
      </w:r>
      <w:r w:rsidR="009345EA">
        <w:t xml:space="preserve"> </w:t>
      </w:r>
      <w:r w:rsidRPr="00C85E6C">
        <w:t>been</w:t>
      </w:r>
      <w:r w:rsidR="009345EA">
        <w:t xml:space="preserve"> </w:t>
      </w:r>
      <w:r w:rsidRPr="00C85E6C">
        <w:t>received</w:t>
      </w:r>
      <w:r w:rsidR="009345EA">
        <w:t xml:space="preserve"> </w:t>
      </w:r>
      <w:r w:rsidRPr="00C85E6C">
        <w:t>by</w:t>
      </w:r>
      <w:r w:rsidR="009345EA">
        <w:t xml:space="preserve"> </w:t>
      </w:r>
      <w:r w:rsidRPr="00C85E6C">
        <w:t>the</w:t>
      </w:r>
      <w:r w:rsidR="009345EA">
        <w:t xml:space="preserve"> </w:t>
      </w:r>
      <w:r w:rsidRPr="00C85E6C">
        <w:t>court.</w:t>
      </w:r>
      <w:r w:rsidR="009345EA">
        <w:t xml:space="preserve"> </w:t>
      </w:r>
      <w:r w:rsidRPr="00C85E6C">
        <w:t>On</w:t>
      </w:r>
      <w:r w:rsidR="009345EA">
        <w:t xml:space="preserve"> </w:t>
      </w:r>
      <w:r w:rsidRPr="00C85E6C">
        <w:t>19</w:t>
      </w:r>
      <w:r w:rsidR="009345EA">
        <w:t xml:space="preserve"> </w:t>
      </w:r>
      <w:r w:rsidRPr="00C85E6C">
        <w:t>October</w:t>
      </w:r>
      <w:r w:rsidR="009345EA">
        <w:t xml:space="preserve"> </w:t>
      </w:r>
      <w:r w:rsidRPr="00C85E6C">
        <w:t>2009,</w:t>
      </w:r>
      <w:r w:rsidR="009345EA">
        <w:t xml:space="preserve"> </w:t>
      </w:r>
      <w:r w:rsidRPr="00C85E6C">
        <w:t>it</w:t>
      </w:r>
      <w:r w:rsidR="009345EA">
        <w:t xml:space="preserve"> </w:t>
      </w:r>
      <w:r w:rsidRPr="00C85E6C">
        <w:t>was</w:t>
      </w:r>
      <w:r w:rsidR="009345EA">
        <w:t xml:space="preserve"> </w:t>
      </w:r>
      <w:r w:rsidRPr="00C85E6C">
        <w:t>decided</w:t>
      </w:r>
      <w:r w:rsidR="009345EA">
        <w:t xml:space="preserve"> </w:t>
      </w:r>
      <w:r w:rsidRPr="00C85E6C">
        <w:t>that</w:t>
      </w:r>
      <w:r w:rsidR="009345EA">
        <w:t xml:space="preserve"> </w:t>
      </w:r>
      <w:r w:rsidRPr="00C85E6C">
        <w:t>the</w:t>
      </w:r>
      <w:r w:rsidR="009345EA">
        <w:t xml:space="preserve"> </w:t>
      </w:r>
      <w:r w:rsidRPr="00C85E6C">
        <w:t>case</w:t>
      </w:r>
      <w:r w:rsidR="009345EA">
        <w:t xml:space="preserve"> </w:t>
      </w:r>
      <w:r w:rsidRPr="00C85E6C">
        <w:t>had</w:t>
      </w:r>
      <w:r w:rsidR="009345EA">
        <w:t xml:space="preserve"> </w:t>
      </w:r>
      <w:r w:rsidRPr="00C85E6C">
        <w:t>to</w:t>
      </w:r>
      <w:r w:rsidR="009345EA">
        <w:t xml:space="preserve"> </w:t>
      </w:r>
      <w:r w:rsidRPr="00C85E6C">
        <w:t>be</w:t>
      </w:r>
      <w:r w:rsidR="009345EA">
        <w:t xml:space="preserve"> </w:t>
      </w:r>
      <w:r w:rsidRPr="00C85E6C">
        <w:t>transferred</w:t>
      </w:r>
      <w:r w:rsidR="009345EA">
        <w:t xml:space="preserve"> </w:t>
      </w:r>
      <w:r w:rsidRPr="00C85E6C">
        <w:t>to</w:t>
      </w:r>
      <w:r w:rsidR="009345EA">
        <w:t xml:space="preserve"> </w:t>
      </w:r>
      <w:r w:rsidRPr="00C85E6C">
        <w:t>the</w:t>
      </w:r>
      <w:r w:rsidR="009345EA">
        <w:t xml:space="preserve"> </w:t>
      </w:r>
      <w:r w:rsidRPr="00C85E6C">
        <w:t>new</w:t>
      </w:r>
      <w:r w:rsidR="009345EA">
        <w:t xml:space="preserve"> </w:t>
      </w:r>
      <w:r w:rsidRPr="00C85E6C">
        <w:t>High</w:t>
      </w:r>
      <w:r w:rsidR="009345EA">
        <w:t xml:space="preserve"> </w:t>
      </w:r>
      <w:r w:rsidRPr="00C85E6C">
        <w:t>Court</w:t>
      </w:r>
      <w:r w:rsidR="009345EA">
        <w:t xml:space="preserve"> </w:t>
      </w:r>
      <w:r w:rsidRPr="00C85E6C">
        <w:t>of</w:t>
      </w:r>
      <w:r w:rsidR="009345EA">
        <w:t xml:space="preserve"> </w:t>
      </w:r>
      <w:r w:rsidRPr="00C85E6C">
        <w:t>Nuwara</w:t>
      </w:r>
      <w:r w:rsidR="009345EA">
        <w:t xml:space="preserve"> </w:t>
      </w:r>
      <w:r w:rsidRPr="00C85E6C">
        <w:t>Eliya,</w:t>
      </w:r>
      <w:r w:rsidR="009345EA">
        <w:t xml:space="preserve"> </w:t>
      </w:r>
      <w:r w:rsidRPr="00C85E6C">
        <w:t>which</w:t>
      </w:r>
      <w:r w:rsidR="009345EA">
        <w:t xml:space="preserve"> </w:t>
      </w:r>
      <w:r w:rsidRPr="00C85E6C">
        <w:t>had</w:t>
      </w:r>
      <w:r w:rsidR="009345EA">
        <w:t xml:space="preserve"> </w:t>
      </w:r>
      <w:r w:rsidRPr="00C85E6C">
        <w:t>just</w:t>
      </w:r>
      <w:r w:rsidR="009345EA">
        <w:t xml:space="preserve"> </w:t>
      </w:r>
      <w:r w:rsidRPr="00C85E6C">
        <w:t>been</w:t>
      </w:r>
      <w:r w:rsidR="009345EA">
        <w:t xml:space="preserve"> </w:t>
      </w:r>
      <w:r w:rsidRPr="00C85E6C">
        <w:t>established.</w:t>
      </w:r>
      <w:r w:rsidR="009345EA">
        <w:t xml:space="preserve"> </w:t>
      </w:r>
    </w:p>
    <w:p w:rsidR="00D06B7B" w:rsidRPr="00C85E6C" w:rsidRDefault="00D06B7B" w:rsidP="00FF3573">
      <w:pPr>
        <w:pStyle w:val="SingleTxtG"/>
      </w:pPr>
      <w:r w:rsidRPr="00C85E6C">
        <w:t>2.7</w:t>
      </w:r>
      <w:r w:rsidRPr="00C85E6C">
        <w:tab/>
        <w:t>The</w:t>
      </w:r>
      <w:r w:rsidR="009345EA">
        <w:t xml:space="preserve"> </w:t>
      </w:r>
      <w:r w:rsidRPr="00C85E6C">
        <w:t>new</w:t>
      </w:r>
      <w:r w:rsidR="009345EA">
        <w:t xml:space="preserve"> </w:t>
      </w:r>
      <w:r w:rsidRPr="00C85E6C">
        <w:t>High</w:t>
      </w:r>
      <w:r w:rsidR="009345EA">
        <w:t xml:space="preserve"> </w:t>
      </w:r>
      <w:r w:rsidRPr="00C85E6C">
        <w:t>Court</w:t>
      </w:r>
      <w:r w:rsidR="009345EA">
        <w:t xml:space="preserve"> </w:t>
      </w:r>
      <w:r w:rsidRPr="00C85E6C">
        <w:t>was</w:t>
      </w:r>
      <w:r w:rsidR="009345EA">
        <w:t xml:space="preserve"> </w:t>
      </w:r>
      <w:r w:rsidRPr="00C85E6C">
        <w:t>formally</w:t>
      </w:r>
      <w:r w:rsidR="009345EA">
        <w:t xml:space="preserve"> </w:t>
      </w:r>
      <w:r w:rsidRPr="00C85E6C">
        <w:t>seized</w:t>
      </w:r>
      <w:r w:rsidR="009345EA">
        <w:t xml:space="preserve"> </w:t>
      </w:r>
      <w:r w:rsidRPr="00C85E6C">
        <w:t>of</w:t>
      </w:r>
      <w:r w:rsidR="009345EA">
        <w:t xml:space="preserve"> </w:t>
      </w:r>
      <w:r w:rsidRPr="00C85E6C">
        <w:t>the</w:t>
      </w:r>
      <w:r w:rsidR="009345EA">
        <w:t xml:space="preserve"> </w:t>
      </w:r>
      <w:r w:rsidRPr="00C85E6C">
        <w:t>case</w:t>
      </w:r>
      <w:r w:rsidR="009345EA">
        <w:t xml:space="preserve"> </w:t>
      </w:r>
      <w:r w:rsidRPr="00C85E6C">
        <w:t>early</w:t>
      </w:r>
      <w:r w:rsidR="009345EA">
        <w:t xml:space="preserve"> </w:t>
      </w:r>
      <w:r w:rsidRPr="00C85E6C">
        <w:t>in</w:t>
      </w:r>
      <w:r w:rsidR="009345EA">
        <w:t xml:space="preserve"> </w:t>
      </w:r>
      <w:r w:rsidRPr="00C85E6C">
        <w:t>2010.</w:t>
      </w:r>
      <w:r w:rsidR="009345EA">
        <w:t xml:space="preserve"> </w:t>
      </w:r>
      <w:r w:rsidRPr="00C85E6C">
        <w:t>On</w:t>
      </w:r>
      <w:r w:rsidR="009345EA">
        <w:t xml:space="preserve"> </w:t>
      </w:r>
      <w:r w:rsidRPr="00C85E6C">
        <w:t>12</w:t>
      </w:r>
      <w:r w:rsidR="009345EA">
        <w:t xml:space="preserve"> </w:t>
      </w:r>
      <w:r w:rsidRPr="00C85E6C">
        <w:t>July</w:t>
      </w:r>
      <w:r w:rsidR="009345EA">
        <w:t xml:space="preserve"> </w:t>
      </w:r>
      <w:r w:rsidRPr="00C85E6C">
        <w:t>2010,</w:t>
      </w:r>
      <w:r w:rsidR="009345EA">
        <w:t xml:space="preserve"> </w:t>
      </w:r>
      <w:r w:rsidRPr="00C85E6C">
        <w:t>the</w:t>
      </w:r>
      <w:r w:rsidR="009345EA">
        <w:t xml:space="preserve"> </w:t>
      </w:r>
      <w:r w:rsidRPr="00C85E6C">
        <w:t>case</w:t>
      </w:r>
      <w:r w:rsidR="009345EA">
        <w:t xml:space="preserve"> </w:t>
      </w:r>
      <w:r w:rsidRPr="00C85E6C">
        <w:t>was</w:t>
      </w:r>
      <w:r w:rsidR="009345EA">
        <w:t xml:space="preserve"> </w:t>
      </w:r>
      <w:r w:rsidRPr="00C85E6C">
        <w:t>called</w:t>
      </w:r>
      <w:r w:rsidR="009345EA">
        <w:t xml:space="preserve"> </w:t>
      </w:r>
      <w:r w:rsidRPr="00C85E6C">
        <w:t>for</w:t>
      </w:r>
      <w:r w:rsidR="009345EA">
        <w:t xml:space="preserve"> </w:t>
      </w:r>
      <w:r w:rsidRPr="00C85E6C">
        <w:t>trial,</w:t>
      </w:r>
      <w:r w:rsidR="009345EA">
        <w:t xml:space="preserve"> </w:t>
      </w:r>
      <w:r w:rsidRPr="00C85E6C">
        <w:t>but</w:t>
      </w:r>
      <w:r w:rsidR="009345EA">
        <w:t xml:space="preserve"> </w:t>
      </w:r>
      <w:r w:rsidRPr="00C85E6C">
        <w:t>the</w:t>
      </w:r>
      <w:r w:rsidR="009345EA">
        <w:t xml:space="preserve"> </w:t>
      </w:r>
      <w:r w:rsidRPr="00C85E6C">
        <w:t>hearing</w:t>
      </w:r>
      <w:r w:rsidR="009345EA">
        <w:t xml:space="preserve"> </w:t>
      </w:r>
      <w:r w:rsidRPr="00C85E6C">
        <w:t>was</w:t>
      </w:r>
      <w:r w:rsidR="009345EA">
        <w:t xml:space="preserve"> </w:t>
      </w:r>
      <w:r w:rsidRPr="00C85E6C">
        <w:t>postponed</w:t>
      </w:r>
      <w:r w:rsidR="009345EA">
        <w:t xml:space="preserve"> </w:t>
      </w:r>
      <w:r w:rsidRPr="00C85E6C">
        <w:t>due</w:t>
      </w:r>
      <w:r w:rsidR="009345EA">
        <w:t xml:space="preserve"> </w:t>
      </w:r>
      <w:r w:rsidRPr="00C85E6C">
        <w:t>to</w:t>
      </w:r>
      <w:r w:rsidR="009345EA">
        <w:t xml:space="preserve"> </w:t>
      </w:r>
      <w:r w:rsidRPr="00C85E6C">
        <w:t>delays</w:t>
      </w:r>
      <w:r w:rsidR="009345EA">
        <w:t xml:space="preserve"> </w:t>
      </w:r>
      <w:r w:rsidRPr="00C85E6C">
        <w:t>in</w:t>
      </w:r>
      <w:r w:rsidR="009345EA">
        <w:t xml:space="preserve"> </w:t>
      </w:r>
      <w:r w:rsidRPr="00C85E6C">
        <w:t>the</w:t>
      </w:r>
      <w:r w:rsidR="009345EA">
        <w:t xml:space="preserve"> </w:t>
      </w:r>
      <w:r w:rsidRPr="00C85E6C">
        <w:t>transfer</w:t>
      </w:r>
      <w:r w:rsidR="009345EA">
        <w:t xml:space="preserve"> </w:t>
      </w:r>
      <w:r w:rsidRPr="00C85E6C">
        <w:t>of</w:t>
      </w:r>
      <w:r w:rsidR="009345EA">
        <w:t xml:space="preserve"> </w:t>
      </w:r>
      <w:r w:rsidRPr="00C85E6C">
        <w:t>the</w:t>
      </w:r>
      <w:r w:rsidR="009345EA">
        <w:t xml:space="preserve"> </w:t>
      </w:r>
      <w:r w:rsidRPr="00C85E6C">
        <w:t>case.</w:t>
      </w:r>
      <w:r w:rsidR="009345EA">
        <w:t xml:space="preserve"> </w:t>
      </w:r>
      <w:r w:rsidRPr="00C85E6C">
        <w:t>On</w:t>
      </w:r>
      <w:r w:rsidR="009345EA">
        <w:t xml:space="preserve"> </w:t>
      </w:r>
      <w:r w:rsidRPr="00C85E6C">
        <w:t>5</w:t>
      </w:r>
      <w:r w:rsidR="009345EA">
        <w:t xml:space="preserve"> </w:t>
      </w:r>
      <w:r w:rsidRPr="00C85E6C">
        <w:t>October</w:t>
      </w:r>
      <w:r w:rsidR="009345EA">
        <w:t xml:space="preserve"> </w:t>
      </w:r>
      <w:r w:rsidRPr="00C85E6C">
        <w:t>2010,</w:t>
      </w:r>
      <w:r w:rsidR="009345EA">
        <w:t xml:space="preserve"> </w:t>
      </w:r>
      <w:r w:rsidRPr="00C85E6C">
        <w:t>the</w:t>
      </w:r>
      <w:r w:rsidR="009345EA">
        <w:t xml:space="preserve"> </w:t>
      </w:r>
      <w:r w:rsidRPr="00C85E6C">
        <w:t>case</w:t>
      </w:r>
      <w:r w:rsidR="009345EA">
        <w:t xml:space="preserve"> </w:t>
      </w:r>
      <w:r w:rsidRPr="00C85E6C">
        <w:t>was</w:t>
      </w:r>
      <w:r w:rsidR="009345EA">
        <w:t xml:space="preserve"> </w:t>
      </w:r>
      <w:r w:rsidRPr="00C85E6C">
        <w:t>adjourned</w:t>
      </w:r>
      <w:r w:rsidR="009345EA">
        <w:t xml:space="preserve"> </w:t>
      </w:r>
      <w:r w:rsidRPr="00C85E6C">
        <w:t>because</w:t>
      </w:r>
      <w:r w:rsidR="009345EA">
        <w:t xml:space="preserve"> </w:t>
      </w:r>
      <w:r w:rsidRPr="00C85E6C">
        <w:t>one</w:t>
      </w:r>
      <w:r w:rsidR="009345EA">
        <w:t xml:space="preserve"> </w:t>
      </w:r>
      <w:r w:rsidRPr="00C85E6C">
        <w:t>of</w:t>
      </w:r>
      <w:r w:rsidR="009345EA">
        <w:t xml:space="preserve"> </w:t>
      </w:r>
      <w:r w:rsidRPr="00C85E6C">
        <w:t>the</w:t>
      </w:r>
      <w:r w:rsidR="009345EA">
        <w:t xml:space="preserve"> </w:t>
      </w:r>
      <w:r w:rsidRPr="00C85E6C">
        <w:t>accused</w:t>
      </w:r>
      <w:r w:rsidR="009345EA">
        <w:t xml:space="preserve"> </w:t>
      </w:r>
      <w:r w:rsidRPr="00C85E6C">
        <w:t>failed</w:t>
      </w:r>
      <w:r w:rsidR="009345EA">
        <w:t xml:space="preserve"> </w:t>
      </w:r>
      <w:r w:rsidRPr="00C85E6C">
        <w:t>to</w:t>
      </w:r>
      <w:r w:rsidR="009345EA">
        <w:t xml:space="preserve"> </w:t>
      </w:r>
      <w:r w:rsidRPr="00C85E6C">
        <w:t>present</w:t>
      </w:r>
      <w:r w:rsidR="009345EA">
        <w:t xml:space="preserve"> </w:t>
      </w:r>
      <w:r w:rsidRPr="00C85E6C">
        <w:t>himself</w:t>
      </w:r>
      <w:r w:rsidR="009345EA">
        <w:t xml:space="preserve"> </w:t>
      </w:r>
      <w:r w:rsidRPr="00C85E6C">
        <w:t>in</w:t>
      </w:r>
      <w:r w:rsidR="009345EA">
        <w:t xml:space="preserve"> </w:t>
      </w:r>
      <w:r w:rsidRPr="00C85E6C">
        <w:t>court.</w:t>
      </w:r>
      <w:r w:rsidR="009345EA">
        <w:t xml:space="preserve"> </w:t>
      </w:r>
      <w:r w:rsidRPr="00C85E6C">
        <w:t>On</w:t>
      </w:r>
      <w:r w:rsidR="009345EA">
        <w:t xml:space="preserve"> </w:t>
      </w:r>
      <w:r w:rsidRPr="00C85E6C">
        <w:t>20</w:t>
      </w:r>
      <w:r w:rsidR="009345EA">
        <w:t xml:space="preserve"> </w:t>
      </w:r>
      <w:r w:rsidRPr="00C85E6C">
        <w:t>April</w:t>
      </w:r>
      <w:r w:rsidR="009345EA">
        <w:t xml:space="preserve"> </w:t>
      </w:r>
      <w:r w:rsidRPr="00C85E6C">
        <w:t>2011,</w:t>
      </w:r>
      <w:r w:rsidR="009345EA">
        <w:t xml:space="preserve"> </w:t>
      </w:r>
      <w:r w:rsidRPr="00C85E6C">
        <w:t>the</w:t>
      </w:r>
      <w:r w:rsidR="009345EA">
        <w:t xml:space="preserve"> </w:t>
      </w:r>
      <w:r w:rsidRPr="00C85E6C">
        <w:t>process</w:t>
      </w:r>
      <w:r w:rsidR="009345EA">
        <w:t xml:space="preserve"> </w:t>
      </w:r>
      <w:r w:rsidRPr="00C85E6C">
        <w:t>was</w:t>
      </w:r>
      <w:r w:rsidR="009345EA">
        <w:t xml:space="preserve"> </w:t>
      </w:r>
      <w:r w:rsidRPr="00C85E6C">
        <w:t>postponed</w:t>
      </w:r>
      <w:r w:rsidR="009345EA">
        <w:t xml:space="preserve"> </w:t>
      </w:r>
      <w:r w:rsidRPr="00C85E6C">
        <w:t>again</w:t>
      </w:r>
      <w:r w:rsidR="009345EA">
        <w:t xml:space="preserve"> </w:t>
      </w:r>
      <w:r w:rsidRPr="00C85E6C">
        <w:t>at</w:t>
      </w:r>
      <w:r w:rsidR="009345EA">
        <w:t xml:space="preserve"> </w:t>
      </w:r>
      <w:r w:rsidRPr="00C85E6C">
        <w:t>the</w:t>
      </w:r>
      <w:r w:rsidR="009345EA">
        <w:t xml:space="preserve"> </w:t>
      </w:r>
      <w:r w:rsidRPr="00C85E6C">
        <w:t>request</w:t>
      </w:r>
      <w:r w:rsidR="009345EA">
        <w:t xml:space="preserve"> </w:t>
      </w:r>
      <w:r w:rsidRPr="00C85E6C">
        <w:t>of</w:t>
      </w:r>
      <w:r w:rsidR="009345EA">
        <w:t xml:space="preserve"> </w:t>
      </w:r>
      <w:r w:rsidRPr="00C85E6C">
        <w:t>a</w:t>
      </w:r>
      <w:r w:rsidR="009345EA">
        <w:t xml:space="preserve"> </w:t>
      </w:r>
      <w:r w:rsidRPr="00C85E6C">
        <w:t>lawyer</w:t>
      </w:r>
      <w:r w:rsidR="009345EA">
        <w:t xml:space="preserve"> </w:t>
      </w:r>
      <w:r w:rsidRPr="00C85E6C">
        <w:t>of</w:t>
      </w:r>
      <w:r w:rsidR="009345EA">
        <w:t xml:space="preserve"> </w:t>
      </w:r>
      <w:r w:rsidRPr="00C85E6C">
        <w:t>one</w:t>
      </w:r>
      <w:r w:rsidR="009345EA">
        <w:t xml:space="preserve"> </w:t>
      </w:r>
      <w:r w:rsidRPr="00C85E6C">
        <w:t>of</w:t>
      </w:r>
      <w:r w:rsidR="009345EA">
        <w:t xml:space="preserve"> </w:t>
      </w:r>
      <w:r w:rsidRPr="00C85E6C">
        <w:t>the</w:t>
      </w:r>
      <w:r w:rsidR="009345EA">
        <w:t xml:space="preserve"> </w:t>
      </w:r>
      <w:r w:rsidRPr="00C85E6C">
        <w:t>accused.</w:t>
      </w:r>
      <w:r w:rsidR="009345EA">
        <w:t xml:space="preserve"> </w:t>
      </w:r>
      <w:r w:rsidRPr="00C85E6C">
        <w:t>The</w:t>
      </w:r>
      <w:r w:rsidR="009345EA">
        <w:t xml:space="preserve"> </w:t>
      </w:r>
      <w:r w:rsidRPr="00C85E6C">
        <w:t>presentation</w:t>
      </w:r>
      <w:r w:rsidR="009345EA">
        <w:t xml:space="preserve"> </w:t>
      </w:r>
      <w:r w:rsidRPr="00C85E6C">
        <w:t>of</w:t>
      </w:r>
      <w:r w:rsidR="009345EA">
        <w:t xml:space="preserve"> </w:t>
      </w:r>
      <w:r w:rsidRPr="00C85E6C">
        <w:t>evidence</w:t>
      </w:r>
      <w:r w:rsidR="009345EA">
        <w:t xml:space="preserve"> </w:t>
      </w:r>
      <w:r w:rsidRPr="00C85E6C">
        <w:t>started</w:t>
      </w:r>
      <w:r w:rsidR="009345EA">
        <w:t xml:space="preserve"> </w:t>
      </w:r>
      <w:r w:rsidRPr="00C85E6C">
        <w:t>on</w:t>
      </w:r>
      <w:r w:rsidR="009345EA">
        <w:t xml:space="preserve"> </w:t>
      </w:r>
      <w:r w:rsidRPr="00C85E6C">
        <w:t>14</w:t>
      </w:r>
      <w:r w:rsidR="009345EA">
        <w:t xml:space="preserve"> </w:t>
      </w:r>
      <w:r w:rsidRPr="00C85E6C">
        <w:t>June</w:t>
      </w:r>
      <w:r w:rsidR="009345EA">
        <w:t xml:space="preserve"> </w:t>
      </w:r>
      <w:r w:rsidRPr="00C85E6C">
        <w:t>2011,</w:t>
      </w:r>
      <w:r w:rsidR="009345EA">
        <w:t xml:space="preserve"> </w:t>
      </w:r>
      <w:r w:rsidRPr="00C85E6C">
        <w:t>and</w:t>
      </w:r>
      <w:r w:rsidR="009345EA">
        <w:t xml:space="preserve"> </w:t>
      </w:r>
      <w:r w:rsidRPr="00C85E6C">
        <w:t>was</w:t>
      </w:r>
      <w:r w:rsidR="009345EA">
        <w:t xml:space="preserve"> </w:t>
      </w:r>
      <w:r w:rsidRPr="00C85E6C">
        <w:t>ongoing</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the</w:t>
      </w:r>
      <w:r w:rsidR="009345EA">
        <w:t xml:space="preserve"> </w:t>
      </w:r>
      <w:r w:rsidRPr="00C85E6C">
        <w:t>complaint</w:t>
      </w:r>
      <w:r w:rsidR="009345EA">
        <w:t xml:space="preserve"> </w:t>
      </w:r>
      <w:r w:rsidRPr="00C85E6C">
        <w:t>to</w:t>
      </w:r>
      <w:r w:rsidR="009345EA">
        <w:t xml:space="preserve"> </w:t>
      </w:r>
      <w:r w:rsidRPr="00C85E6C">
        <w:t>the</w:t>
      </w:r>
      <w:r w:rsidR="009345EA">
        <w:t xml:space="preserve"> </w:t>
      </w:r>
      <w:r w:rsidRPr="00C85E6C">
        <w:t>Committee.</w:t>
      </w:r>
      <w:r w:rsidRPr="00D06B7B">
        <w:rPr>
          <w:rStyle w:val="FootnoteReference"/>
        </w:rPr>
        <w:footnoteReference w:id="7"/>
      </w:r>
      <w:r w:rsidR="009345EA">
        <w:t xml:space="preserve"> </w:t>
      </w:r>
      <w:r w:rsidRPr="00C85E6C">
        <w:t>The</w:t>
      </w:r>
      <w:r w:rsidR="009345EA">
        <w:t xml:space="preserve"> </w:t>
      </w:r>
      <w:r w:rsidRPr="00C85E6C">
        <w:t>author</w:t>
      </w:r>
      <w:r w:rsidR="009345EA">
        <w:t xml:space="preserve"> </w:t>
      </w:r>
      <w:r w:rsidRPr="00C85E6C">
        <w:t>never</w:t>
      </w:r>
      <w:r w:rsidR="009345EA">
        <w:t xml:space="preserve"> </w:t>
      </w:r>
      <w:r w:rsidRPr="00C85E6C">
        <w:t>failed</w:t>
      </w:r>
      <w:r w:rsidR="009345EA">
        <w:t xml:space="preserve"> </w:t>
      </w:r>
      <w:r w:rsidRPr="00C85E6C">
        <w:t>to</w:t>
      </w:r>
      <w:r w:rsidR="009345EA">
        <w:t xml:space="preserve"> </w:t>
      </w:r>
      <w:r w:rsidRPr="00C85E6C">
        <w:t>attend</w:t>
      </w:r>
      <w:r w:rsidR="009345EA">
        <w:t xml:space="preserve"> </w:t>
      </w:r>
      <w:r w:rsidRPr="00C85E6C">
        <w:t>hearings,</w:t>
      </w:r>
      <w:r w:rsidR="009345EA">
        <w:t xml:space="preserve"> </w:t>
      </w:r>
      <w:r w:rsidRPr="00C85E6C">
        <w:t>and</w:t>
      </w:r>
      <w:r w:rsidR="009345EA">
        <w:t xml:space="preserve"> </w:t>
      </w:r>
      <w:r w:rsidRPr="00C85E6C">
        <w:t>she</w:t>
      </w:r>
      <w:r w:rsidR="009345EA">
        <w:t xml:space="preserve"> </w:t>
      </w:r>
      <w:r w:rsidRPr="00C85E6C">
        <w:t>has</w:t>
      </w:r>
      <w:r w:rsidR="009345EA">
        <w:t xml:space="preserve"> </w:t>
      </w:r>
      <w:r w:rsidRPr="00C85E6C">
        <w:t>not</w:t>
      </w:r>
      <w:r w:rsidR="009345EA">
        <w:t xml:space="preserve"> </w:t>
      </w:r>
      <w:r w:rsidRPr="00C85E6C">
        <w:t>been</w:t>
      </w:r>
      <w:r w:rsidR="009345EA">
        <w:t xml:space="preserve"> </w:t>
      </w:r>
      <w:r w:rsidRPr="00C85E6C">
        <w:t>responsible</w:t>
      </w:r>
      <w:r w:rsidR="009345EA">
        <w:t xml:space="preserve"> </w:t>
      </w:r>
      <w:r w:rsidRPr="00C85E6C">
        <w:t>for</w:t>
      </w:r>
      <w:r w:rsidR="009345EA">
        <w:t xml:space="preserve"> </w:t>
      </w:r>
      <w:r w:rsidRPr="00C85E6C">
        <w:t>any</w:t>
      </w:r>
      <w:r w:rsidR="009345EA">
        <w:t xml:space="preserve"> </w:t>
      </w:r>
      <w:r w:rsidRPr="00C85E6C">
        <w:t>of</w:t>
      </w:r>
      <w:r w:rsidR="009345EA">
        <w:t xml:space="preserve"> </w:t>
      </w:r>
      <w:r w:rsidRPr="00C85E6C">
        <w:t>the</w:t>
      </w:r>
      <w:r w:rsidR="009345EA">
        <w:t xml:space="preserve"> </w:t>
      </w:r>
      <w:r w:rsidRPr="00C85E6C">
        <w:t>delays</w:t>
      </w:r>
      <w:r w:rsidR="009345EA">
        <w:t xml:space="preserve"> </w:t>
      </w:r>
      <w:r w:rsidRPr="00C85E6C">
        <w:t>in</w:t>
      </w:r>
      <w:r w:rsidR="009345EA">
        <w:t xml:space="preserve"> </w:t>
      </w:r>
      <w:r w:rsidRPr="00C85E6C">
        <w:t>the</w:t>
      </w:r>
      <w:r w:rsidR="009345EA">
        <w:t xml:space="preserve"> </w:t>
      </w:r>
      <w:r w:rsidRPr="00C85E6C">
        <w:t>proceedings.</w:t>
      </w:r>
      <w:r w:rsidR="009345EA">
        <w:t xml:space="preserve"> </w:t>
      </w:r>
      <w:r w:rsidRPr="00C85E6C">
        <w:t>In</w:t>
      </w:r>
      <w:r w:rsidR="009345EA">
        <w:t xml:space="preserve"> </w:t>
      </w:r>
      <w:r w:rsidRPr="00C85E6C">
        <w:t>2004,</w:t>
      </w:r>
      <w:r w:rsidR="009345EA">
        <w:t xml:space="preserve"> </w:t>
      </w:r>
      <w:r w:rsidRPr="00C85E6C">
        <w:t>the</w:t>
      </w:r>
      <w:r w:rsidR="009345EA">
        <w:t xml:space="preserve"> </w:t>
      </w:r>
      <w:r w:rsidRPr="00C85E6C">
        <w:t>author</w:t>
      </w:r>
      <w:r w:rsidR="009345EA">
        <w:t xml:space="preserve"> </w:t>
      </w:r>
      <w:r w:rsidRPr="00C85E6C">
        <w:t>lodged</w:t>
      </w:r>
      <w:r w:rsidR="009345EA">
        <w:t xml:space="preserve"> </w:t>
      </w:r>
      <w:r w:rsidRPr="00C85E6C">
        <w:t>a</w:t>
      </w:r>
      <w:r w:rsidR="009345EA">
        <w:t xml:space="preserve"> </w:t>
      </w:r>
      <w:r w:rsidRPr="00C85E6C">
        <w:t>civil</w:t>
      </w:r>
      <w:r w:rsidR="009345EA">
        <w:t xml:space="preserve"> </w:t>
      </w:r>
      <w:r w:rsidRPr="00C85E6C">
        <w:t>claim</w:t>
      </w:r>
      <w:r w:rsidR="009345EA">
        <w:t xml:space="preserve"> </w:t>
      </w:r>
      <w:r w:rsidRPr="00C85E6C">
        <w:t>for</w:t>
      </w:r>
      <w:r w:rsidR="009345EA">
        <w:t xml:space="preserve"> </w:t>
      </w:r>
      <w:r w:rsidRPr="00C85E6C">
        <w:t>damages,</w:t>
      </w:r>
      <w:r w:rsidR="009345EA">
        <w:t xml:space="preserve"> </w:t>
      </w:r>
      <w:r w:rsidRPr="00C85E6C">
        <w:t>which</w:t>
      </w:r>
      <w:r w:rsidR="009345EA">
        <w:t xml:space="preserve"> </w:t>
      </w:r>
      <w:r w:rsidRPr="00C85E6C">
        <w:t>is</w:t>
      </w:r>
      <w:r w:rsidR="009345EA">
        <w:t xml:space="preserve"> </w:t>
      </w:r>
      <w:r w:rsidRPr="00C85E6C">
        <w:t>also</w:t>
      </w:r>
      <w:r w:rsidR="009345EA">
        <w:t xml:space="preserve"> </w:t>
      </w:r>
      <w:r w:rsidRPr="00C85E6C">
        <w:t>still</w:t>
      </w:r>
      <w:r w:rsidR="009345EA">
        <w:t xml:space="preserve"> </w:t>
      </w:r>
      <w:r w:rsidRPr="00C85E6C">
        <w:t>pending</w:t>
      </w:r>
      <w:r w:rsidR="009345EA">
        <w:t xml:space="preserve"> </w:t>
      </w:r>
      <w:r w:rsidRPr="00C85E6C">
        <w:t>before</w:t>
      </w:r>
      <w:r w:rsidR="009345EA">
        <w:t xml:space="preserve"> </w:t>
      </w:r>
      <w:r w:rsidRPr="00C85E6C">
        <w:t>the</w:t>
      </w:r>
      <w:r w:rsidR="009345EA">
        <w:t xml:space="preserve"> </w:t>
      </w:r>
      <w:r w:rsidRPr="00C85E6C">
        <w:t>District</w:t>
      </w:r>
      <w:r w:rsidR="009345EA">
        <w:t xml:space="preserve"> </w:t>
      </w:r>
      <w:r w:rsidRPr="00C85E6C">
        <w:t>Court</w:t>
      </w:r>
      <w:r w:rsidR="009345EA">
        <w:t xml:space="preserve"> </w:t>
      </w:r>
      <w:r w:rsidRPr="00C85E6C">
        <w:t>of</w:t>
      </w:r>
      <w:r w:rsidR="009345EA">
        <w:t xml:space="preserve"> </w:t>
      </w:r>
      <w:r w:rsidRPr="00C85E6C">
        <w:t>Nuwara</w:t>
      </w:r>
      <w:r w:rsidR="009345EA">
        <w:t xml:space="preserve"> </w:t>
      </w:r>
      <w:r w:rsidRPr="00C85E6C">
        <w:t>Eliya.</w:t>
      </w:r>
      <w:r w:rsidR="009345EA">
        <w:t xml:space="preserve"> </w:t>
      </w:r>
    </w:p>
    <w:p w:rsidR="00D06B7B" w:rsidRPr="00C85E6C" w:rsidRDefault="00D06B7B" w:rsidP="00FF3573">
      <w:pPr>
        <w:pStyle w:val="SingleTxtG"/>
      </w:pPr>
      <w:r w:rsidRPr="00C85E6C">
        <w:lastRenderedPageBreak/>
        <w:t>2.8</w:t>
      </w:r>
      <w:r w:rsidRPr="00C85E6C">
        <w:tab/>
        <w:t>In</w:t>
      </w:r>
      <w:r w:rsidR="009345EA">
        <w:t xml:space="preserve"> </w:t>
      </w:r>
      <w:r w:rsidRPr="00C85E6C">
        <w:t>addition</w:t>
      </w:r>
      <w:r w:rsidR="009345EA">
        <w:t xml:space="preserve"> </w:t>
      </w:r>
      <w:r w:rsidRPr="00C85E6C">
        <w:t>to</w:t>
      </w:r>
      <w:r w:rsidR="009345EA">
        <w:t xml:space="preserve"> </w:t>
      </w:r>
      <w:r w:rsidRPr="00C85E6C">
        <w:t>the</w:t>
      </w:r>
      <w:r w:rsidR="009345EA">
        <w:t xml:space="preserve"> </w:t>
      </w:r>
      <w:r w:rsidRPr="00C85E6C">
        <w:t>immediate</w:t>
      </w:r>
      <w:r w:rsidR="009345EA">
        <w:t xml:space="preserve"> </w:t>
      </w:r>
      <w:r w:rsidRPr="00C85E6C">
        <w:t>physical</w:t>
      </w:r>
      <w:r w:rsidR="009345EA">
        <w:t xml:space="preserve"> </w:t>
      </w:r>
      <w:r w:rsidRPr="00C85E6C">
        <w:t>harm</w:t>
      </w:r>
      <w:r w:rsidR="009345EA">
        <w:t xml:space="preserve"> </w:t>
      </w:r>
      <w:r w:rsidRPr="00C85E6C">
        <w:t>and</w:t>
      </w:r>
      <w:r w:rsidR="009345EA">
        <w:t xml:space="preserve"> </w:t>
      </w:r>
      <w:r w:rsidRPr="00C85E6C">
        <w:t>trauma</w:t>
      </w:r>
      <w:r w:rsidR="009345EA">
        <w:t xml:space="preserve"> </w:t>
      </w:r>
      <w:r w:rsidRPr="00C85E6C">
        <w:t>caused</w:t>
      </w:r>
      <w:r w:rsidR="009345EA">
        <w:t xml:space="preserve"> </w:t>
      </w:r>
      <w:r w:rsidRPr="00C85E6C">
        <w:t>by</w:t>
      </w:r>
      <w:r w:rsidR="009345EA">
        <w:t xml:space="preserve"> </w:t>
      </w:r>
      <w:r w:rsidRPr="00C85E6C">
        <w:t>the</w:t>
      </w:r>
      <w:r w:rsidR="009345EA">
        <w:t xml:space="preserve"> </w:t>
      </w:r>
      <w:r w:rsidRPr="00C85E6C">
        <w:t>rape,</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suffered</w:t>
      </w:r>
      <w:r w:rsidR="009345EA">
        <w:t xml:space="preserve"> </w:t>
      </w:r>
      <w:r w:rsidRPr="00C85E6C">
        <w:t>continuing</w:t>
      </w:r>
      <w:r w:rsidR="009345EA">
        <w:t xml:space="preserve"> </w:t>
      </w:r>
      <w:r w:rsidRPr="00C85E6C">
        <w:t>negative</w:t>
      </w:r>
      <w:r w:rsidR="009345EA">
        <w:t xml:space="preserve"> </w:t>
      </w:r>
      <w:r w:rsidRPr="00C85E6C">
        <w:t>psychological</w:t>
      </w:r>
      <w:r w:rsidR="009345EA">
        <w:t xml:space="preserve"> </w:t>
      </w:r>
      <w:r w:rsidRPr="00C85E6C">
        <w:t>consequences.</w:t>
      </w:r>
      <w:r w:rsidR="009345EA">
        <w:t xml:space="preserve"> </w:t>
      </w:r>
      <w:r w:rsidRPr="00C85E6C">
        <w:t>From</w:t>
      </w:r>
      <w:r w:rsidR="009345EA">
        <w:t xml:space="preserve"> </w:t>
      </w:r>
      <w:r w:rsidRPr="00C85E6C">
        <w:t>2001</w:t>
      </w:r>
      <w:r w:rsidR="009345EA">
        <w:t xml:space="preserve"> </w:t>
      </w:r>
      <w:r w:rsidRPr="00C85E6C">
        <w:t>onward,</w:t>
      </w:r>
      <w:r w:rsidR="009345EA">
        <w:t xml:space="preserve"> </w:t>
      </w:r>
      <w:r w:rsidRPr="00C85E6C">
        <w:t>the</w:t>
      </w:r>
      <w:r w:rsidR="009345EA">
        <w:t xml:space="preserve"> </w:t>
      </w:r>
      <w:r w:rsidRPr="00C85E6C">
        <w:t>author</w:t>
      </w:r>
      <w:r w:rsidR="009345EA">
        <w:t xml:space="preserve"> </w:t>
      </w:r>
      <w:r w:rsidRPr="00C85E6C">
        <w:t>and</w:t>
      </w:r>
      <w:r w:rsidR="009345EA">
        <w:t xml:space="preserve"> </w:t>
      </w:r>
      <w:r w:rsidRPr="00C85E6C">
        <w:t>her</w:t>
      </w:r>
      <w:r w:rsidR="009345EA">
        <w:t xml:space="preserve"> </w:t>
      </w:r>
      <w:r w:rsidRPr="00C85E6C">
        <w:t>family</w:t>
      </w:r>
      <w:r w:rsidR="009345EA">
        <w:t xml:space="preserve"> </w:t>
      </w:r>
      <w:r w:rsidRPr="00C85E6C">
        <w:t>have</w:t>
      </w:r>
      <w:r w:rsidR="009345EA">
        <w:t xml:space="preserve"> </w:t>
      </w:r>
      <w:r w:rsidRPr="00C85E6C">
        <w:t>been</w:t>
      </w:r>
      <w:r w:rsidR="009345EA">
        <w:t xml:space="preserve"> </w:t>
      </w:r>
      <w:r w:rsidRPr="00C85E6C">
        <w:t>harassed</w:t>
      </w:r>
      <w:r w:rsidR="009345EA">
        <w:t xml:space="preserve"> </w:t>
      </w:r>
      <w:r w:rsidRPr="00C85E6C">
        <w:t>by</w:t>
      </w:r>
      <w:r w:rsidR="009345EA">
        <w:t xml:space="preserve"> </w:t>
      </w:r>
      <w:r w:rsidRPr="00C85E6C">
        <w:t>the</w:t>
      </w:r>
      <w:r w:rsidR="009345EA">
        <w:t xml:space="preserve"> </w:t>
      </w:r>
      <w:r w:rsidRPr="00C85E6C">
        <w:t>perpetrators,</w:t>
      </w:r>
      <w:r w:rsidR="009345EA">
        <w:t xml:space="preserve"> </w:t>
      </w:r>
      <w:r w:rsidRPr="00C85E6C">
        <w:t>who</w:t>
      </w:r>
      <w:r w:rsidR="009345EA">
        <w:t xml:space="preserve"> </w:t>
      </w:r>
      <w:r w:rsidRPr="00C85E6C">
        <w:t>attempted</w:t>
      </w:r>
      <w:r w:rsidR="009345EA">
        <w:t xml:space="preserve"> </w:t>
      </w:r>
      <w:r w:rsidRPr="00C85E6C">
        <w:t>to</w:t>
      </w:r>
      <w:r w:rsidR="009345EA">
        <w:t xml:space="preserve"> </w:t>
      </w:r>
      <w:r w:rsidRPr="00C85E6C">
        <w:t>intimidate</w:t>
      </w:r>
      <w:r w:rsidR="009345EA">
        <w:t xml:space="preserve"> </w:t>
      </w:r>
      <w:r w:rsidRPr="00C85E6C">
        <w:t>her</w:t>
      </w:r>
      <w:r w:rsidR="009345EA">
        <w:t xml:space="preserve"> </w:t>
      </w:r>
      <w:r w:rsidRPr="00C85E6C">
        <w:t>into</w:t>
      </w:r>
      <w:r w:rsidR="009345EA">
        <w:t xml:space="preserve"> </w:t>
      </w:r>
      <w:r w:rsidRPr="00C85E6C">
        <w:t>withdrawing</w:t>
      </w:r>
      <w:r w:rsidR="009345EA">
        <w:t xml:space="preserve"> </w:t>
      </w:r>
      <w:r w:rsidRPr="00C85E6C">
        <w:t>the</w:t>
      </w:r>
      <w:r w:rsidR="009345EA">
        <w:t xml:space="preserve"> </w:t>
      </w:r>
      <w:r w:rsidRPr="00C85E6C">
        <w:t>complaint</w:t>
      </w:r>
      <w:r w:rsidR="009345EA">
        <w:t xml:space="preserve"> </w:t>
      </w:r>
      <w:r w:rsidRPr="00C85E6C">
        <w:t>she</w:t>
      </w:r>
      <w:r w:rsidR="009345EA">
        <w:t xml:space="preserve"> </w:t>
      </w:r>
      <w:r w:rsidRPr="00C85E6C">
        <w:t>had</w:t>
      </w:r>
      <w:r w:rsidR="009345EA">
        <w:t xml:space="preserve"> </w:t>
      </w:r>
      <w:r w:rsidRPr="00C85E6C">
        <w:t>submitted</w:t>
      </w:r>
      <w:r w:rsidR="009345EA">
        <w:t xml:space="preserve"> </w:t>
      </w:r>
      <w:r w:rsidRPr="00C85E6C">
        <w:t>to</w:t>
      </w:r>
      <w:r w:rsidR="009345EA">
        <w:t xml:space="preserve"> </w:t>
      </w:r>
      <w:r w:rsidRPr="00C85E6C">
        <w:t>the</w:t>
      </w:r>
      <w:r w:rsidR="009345EA">
        <w:t xml:space="preserve"> </w:t>
      </w:r>
      <w:r w:rsidRPr="00C85E6C">
        <w:t>police,</w:t>
      </w:r>
      <w:r w:rsidR="009345EA">
        <w:t xml:space="preserve"> </w:t>
      </w:r>
      <w:r w:rsidRPr="00C85E6C">
        <w:t>forcing</w:t>
      </w:r>
      <w:r w:rsidR="009345EA">
        <w:t xml:space="preserve"> </w:t>
      </w:r>
      <w:r w:rsidRPr="00C85E6C">
        <w:t>her</w:t>
      </w:r>
      <w:r w:rsidR="009345EA">
        <w:t xml:space="preserve"> </w:t>
      </w:r>
      <w:r w:rsidRPr="00C85E6C">
        <w:t>to</w:t>
      </w:r>
      <w:r w:rsidR="009345EA">
        <w:t xml:space="preserve"> </w:t>
      </w:r>
      <w:r w:rsidRPr="00C85E6C">
        <w:t>leave</w:t>
      </w:r>
      <w:r w:rsidR="009345EA">
        <w:t xml:space="preserve"> </w:t>
      </w:r>
      <w:r w:rsidRPr="00C85E6C">
        <w:t>her</w:t>
      </w:r>
      <w:r w:rsidR="009345EA">
        <w:t xml:space="preserve"> </w:t>
      </w:r>
      <w:r w:rsidRPr="00C85E6C">
        <w:t>family</w:t>
      </w:r>
      <w:r w:rsidR="009345EA">
        <w:t xml:space="preserve"> </w:t>
      </w:r>
      <w:r w:rsidRPr="00C85E6C">
        <w:t>and</w:t>
      </w:r>
      <w:r w:rsidR="009345EA">
        <w:t xml:space="preserve"> </w:t>
      </w:r>
      <w:r w:rsidRPr="00C85E6C">
        <w:t>miss</w:t>
      </w:r>
      <w:r w:rsidR="009345EA">
        <w:t xml:space="preserve"> </w:t>
      </w:r>
      <w:r w:rsidRPr="00C85E6C">
        <w:t>school</w:t>
      </w:r>
      <w:r w:rsidR="009345EA">
        <w:t xml:space="preserve"> </w:t>
      </w:r>
      <w:r w:rsidRPr="00C85E6C">
        <w:t>to</w:t>
      </w:r>
      <w:r w:rsidR="009345EA">
        <w:t xml:space="preserve"> </w:t>
      </w:r>
      <w:r w:rsidRPr="00C85E6C">
        <w:t>hide</w:t>
      </w:r>
      <w:r w:rsidR="009345EA">
        <w:t xml:space="preserve"> </w:t>
      </w:r>
      <w:r w:rsidRPr="00C85E6C">
        <w:t>in</w:t>
      </w:r>
      <w:r w:rsidR="009345EA">
        <w:t xml:space="preserve"> </w:t>
      </w:r>
      <w:r w:rsidRPr="00C85E6C">
        <w:t>a</w:t>
      </w:r>
      <w:r w:rsidR="009345EA">
        <w:t xml:space="preserve"> </w:t>
      </w:r>
      <w:r w:rsidRPr="00C85E6C">
        <w:t>safe</w:t>
      </w:r>
      <w:r w:rsidR="009345EA">
        <w:t xml:space="preserve"> </w:t>
      </w:r>
      <w:r w:rsidRPr="00C85E6C">
        <w:t>house.</w:t>
      </w:r>
      <w:r w:rsidRPr="00D06B7B">
        <w:rPr>
          <w:rStyle w:val="FootnoteReference"/>
        </w:rPr>
        <w:footnoteReference w:id="8"/>
      </w:r>
      <w:r w:rsidR="009345EA">
        <w:t xml:space="preserve"> </w:t>
      </w:r>
      <w:r w:rsidRPr="00C85E6C">
        <w:t>The</w:t>
      </w:r>
      <w:r w:rsidR="009345EA">
        <w:t xml:space="preserve"> </w:t>
      </w:r>
      <w:r w:rsidRPr="00C85E6C">
        <w:t>author</w:t>
      </w:r>
      <w:r w:rsidR="009345EA">
        <w:t xml:space="preserve"> </w:t>
      </w:r>
      <w:r w:rsidRPr="00C85E6C">
        <w:t>also</w:t>
      </w:r>
      <w:r w:rsidR="009345EA">
        <w:t xml:space="preserve"> </w:t>
      </w:r>
      <w:r w:rsidRPr="00C85E6C">
        <w:t>faced</w:t>
      </w:r>
      <w:r w:rsidR="009345EA">
        <w:t xml:space="preserve"> </w:t>
      </w:r>
      <w:r w:rsidRPr="00C85E6C">
        <w:t>strong</w:t>
      </w:r>
      <w:r w:rsidR="009345EA">
        <w:t xml:space="preserve"> </w:t>
      </w:r>
      <w:r w:rsidRPr="00C85E6C">
        <w:t>stigmatization</w:t>
      </w:r>
      <w:r w:rsidR="009345EA">
        <w:t xml:space="preserve"> </w:t>
      </w:r>
      <w:r w:rsidRPr="00C85E6C">
        <w:t>as</w:t>
      </w:r>
      <w:r w:rsidR="009345EA">
        <w:t xml:space="preserve"> </w:t>
      </w:r>
      <w:r w:rsidRPr="00C85E6C">
        <w:t>a</w:t>
      </w:r>
      <w:r w:rsidR="009345EA">
        <w:t xml:space="preserve"> </w:t>
      </w:r>
      <w:r w:rsidRPr="00C85E6C">
        <w:t>rape</w:t>
      </w:r>
      <w:r w:rsidR="009345EA">
        <w:t xml:space="preserve"> </w:t>
      </w:r>
      <w:r w:rsidRPr="00C85E6C">
        <w:t>victim,</w:t>
      </w:r>
      <w:r w:rsidR="009345EA">
        <w:t xml:space="preserve"> </w:t>
      </w:r>
      <w:r w:rsidRPr="00C85E6C">
        <w:t>and</w:t>
      </w:r>
      <w:r w:rsidR="009345EA">
        <w:t xml:space="preserve"> </w:t>
      </w:r>
      <w:r w:rsidRPr="00C85E6C">
        <w:t>she</w:t>
      </w:r>
      <w:r w:rsidR="009345EA">
        <w:t xml:space="preserve"> </w:t>
      </w:r>
      <w:r w:rsidRPr="00C85E6C">
        <w:t>was</w:t>
      </w:r>
      <w:r w:rsidR="009345EA">
        <w:t xml:space="preserve"> </w:t>
      </w:r>
      <w:r w:rsidRPr="00C85E6C">
        <w:t>forced</w:t>
      </w:r>
      <w:r w:rsidR="009345EA">
        <w:t xml:space="preserve"> </w:t>
      </w:r>
      <w:r w:rsidRPr="00C85E6C">
        <w:t>to</w:t>
      </w:r>
      <w:r w:rsidR="009345EA">
        <w:t xml:space="preserve"> </w:t>
      </w:r>
      <w:r w:rsidRPr="00C85E6C">
        <w:t>leave</w:t>
      </w:r>
      <w:r w:rsidR="009345EA">
        <w:t xml:space="preserve"> </w:t>
      </w:r>
      <w:r w:rsidRPr="00C85E6C">
        <w:t>three</w:t>
      </w:r>
      <w:r w:rsidR="009345EA">
        <w:t xml:space="preserve"> </w:t>
      </w:r>
      <w:r w:rsidRPr="00C85E6C">
        <w:t>jobs,</w:t>
      </w:r>
      <w:r w:rsidR="009345EA">
        <w:t xml:space="preserve"> </w:t>
      </w:r>
      <w:r w:rsidRPr="00C85E6C">
        <w:t>where</w:t>
      </w:r>
      <w:r w:rsidR="009345EA">
        <w:t xml:space="preserve"> </w:t>
      </w:r>
      <w:r w:rsidRPr="00C85E6C">
        <w:t>she</w:t>
      </w:r>
      <w:r w:rsidR="009345EA">
        <w:t xml:space="preserve"> </w:t>
      </w:r>
      <w:r w:rsidRPr="00C85E6C">
        <w:t>was</w:t>
      </w:r>
      <w:r w:rsidR="009345EA">
        <w:t xml:space="preserve"> </w:t>
      </w:r>
      <w:r w:rsidRPr="00C85E6C">
        <w:t>perceived</w:t>
      </w:r>
      <w:r w:rsidR="009345EA">
        <w:t xml:space="preserve"> </w:t>
      </w:r>
      <w:r w:rsidRPr="00C85E6C">
        <w:t>as</w:t>
      </w:r>
      <w:r w:rsidR="009345EA">
        <w:t xml:space="preserve"> </w:t>
      </w:r>
      <w:r w:rsidRPr="00C85E6C">
        <w:t>either</w:t>
      </w:r>
      <w:r w:rsidR="009345EA">
        <w:t xml:space="preserve"> </w:t>
      </w:r>
      <w:r w:rsidRPr="00C85E6C">
        <w:t>a</w:t>
      </w:r>
      <w:r w:rsidR="009345EA">
        <w:t xml:space="preserve"> </w:t>
      </w:r>
      <w:r w:rsidRPr="00C85E6C">
        <w:t>prostitute</w:t>
      </w:r>
      <w:r w:rsidR="009345EA">
        <w:t xml:space="preserve"> </w:t>
      </w:r>
      <w:r w:rsidRPr="00C85E6C">
        <w:t>or</w:t>
      </w:r>
      <w:r w:rsidR="009345EA">
        <w:t xml:space="preserve"> </w:t>
      </w:r>
      <w:r w:rsidRPr="00C85E6C">
        <w:t>an</w:t>
      </w:r>
      <w:r w:rsidR="009345EA">
        <w:t xml:space="preserve"> </w:t>
      </w:r>
      <w:r w:rsidR="00EB40F1">
        <w:t>“</w:t>
      </w:r>
      <w:r w:rsidRPr="00C85E6C">
        <w:t>easy</w:t>
      </w:r>
      <w:r w:rsidR="00EB40F1">
        <w:t>”</w:t>
      </w:r>
      <w:r w:rsidR="009345EA">
        <w:t xml:space="preserve"> </w:t>
      </w:r>
      <w:r w:rsidRPr="00C85E6C">
        <w:t>woman.</w:t>
      </w:r>
      <w:r w:rsidR="009345EA">
        <w:t xml:space="preserve"> </w:t>
      </w:r>
      <w:r w:rsidRPr="00C85E6C">
        <w:t>As</w:t>
      </w:r>
      <w:r w:rsidR="009345EA">
        <w:t xml:space="preserve"> </w:t>
      </w:r>
      <w:r w:rsidRPr="00C85E6C">
        <w:t>a</w:t>
      </w:r>
      <w:r w:rsidR="009345EA">
        <w:t xml:space="preserve"> </w:t>
      </w:r>
      <w:r w:rsidRPr="00C85E6C">
        <w:t>result,</w:t>
      </w:r>
      <w:r w:rsidR="009345EA">
        <w:t xml:space="preserve"> </w:t>
      </w:r>
      <w:r w:rsidRPr="00C85E6C">
        <w:t>she</w:t>
      </w:r>
      <w:r w:rsidR="009345EA">
        <w:t xml:space="preserve"> </w:t>
      </w:r>
      <w:r w:rsidRPr="00C85E6C">
        <w:t>was</w:t>
      </w:r>
      <w:r w:rsidR="009345EA">
        <w:t xml:space="preserve"> </w:t>
      </w:r>
      <w:r w:rsidRPr="00C85E6C">
        <w:t>unemployed</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her</w:t>
      </w:r>
      <w:r w:rsidR="009345EA">
        <w:t xml:space="preserve"> </w:t>
      </w:r>
      <w:r w:rsidRPr="00C85E6C">
        <w:t>initial</w:t>
      </w:r>
      <w:r w:rsidR="009345EA">
        <w:t xml:space="preserve"> </w:t>
      </w:r>
      <w:r w:rsidRPr="00C85E6C">
        <w:t>communication.</w:t>
      </w:r>
      <w:r w:rsidR="009345EA">
        <w:t xml:space="preserve"> </w:t>
      </w:r>
      <w:r w:rsidRPr="00C85E6C">
        <w:t>The</w:t>
      </w:r>
      <w:r w:rsidR="009345EA">
        <w:t xml:space="preserve"> </w:t>
      </w:r>
      <w:r w:rsidRPr="00C85E6C">
        <w:t>stigmatization</w:t>
      </w:r>
      <w:r w:rsidR="009345EA">
        <w:t xml:space="preserve"> </w:t>
      </w:r>
      <w:r w:rsidRPr="00C85E6C">
        <w:t>she</w:t>
      </w:r>
      <w:r w:rsidR="009345EA">
        <w:t xml:space="preserve"> </w:t>
      </w:r>
      <w:r w:rsidRPr="00C85E6C">
        <w:t>faced</w:t>
      </w:r>
      <w:r w:rsidR="009345EA">
        <w:t xml:space="preserve"> </w:t>
      </w:r>
      <w:r w:rsidRPr="00C85E6C">
        <w:t>also</w:t>
      </w:r>
      <w:r w:rsidR="009345EA">
        <w:t xml:space="preserve"> </w:t>
      </w:r>
      <w:r w:rsidRPr="00C85E6C">
        <w:t>had</w:t>
      </w:r>
      <w:r w:rsidR="009345EA">
        <w:t xml:space="preserve"> </w:t>
      </w:r>
      <w:r w:rsidRPr="00C85E6C">
        <w:t>an</w:t>
      </w:r>
      <w:r w:rsidR="009345EA">
        <w:t xml:space="preserve"> </w:t>
      </w:r>
      <w:r w:rsidRPr="00C85E6C">
        <w:t>impact</w:t>
      </w:r>
      <w:r w:rsidR="009345EA">
        <w:t xml:space="preserve"> </w:t>
      </w:r>
      <w:r w:rsidRPr="00C85E6C">
        <w:t>on</w:t>
      </w:r>
      <w:r w:rsidR="009345EA">
        <w:t xml:space="preserve"> </w:t>
      </w:r>
      <w:r w:rsidRPr="00C85E6C">
        <w:t>her</w:t>
      </w:r>
      <w:r w:rsidR="009345EA">
        <w:t xml:space="preserve"> </w:t>
      </w:r>
      <w:r w:rsidRPr="00C85E6C">
        <w:t>personal</w:t>
      </w:r>
      <w:r w:rsidR="009345EA">
        <w:t xml:space="preserve"> </w:t>
      </w:r>
      <w:r w:rsidRPr="00C85E6C">
        <w:t>life,</w:t>
      </w:r>
      <w:r w:rsidR="009345EA">
        <w:t xml:space="preserve"> </w:t>
      </w:r>
      <w:r w:rsidRPr="00C85E6C">
        <w:t>and</w:t>
      </w:r>
      <w:r w:rsidR="009345EA">
        <w:t xml:space="preserve"> </w:t>
      </w:r>
      <w:r w:rsidRPr="00C85E6C">
        <w:t>she</w:t>
      </w:r>
      <w:r w:rsidR="009345EA">
        <w:t xml:space="preserve"> </w:t>
      </w:r>
      <w:r w:rsidRPr="00C85E6C">
        <w:t>struggled</w:t>
      </w:r>
      <w:r w:rsidR="009345EA">
        <w:t xml:space="preserve"> </w:t>
      </w:r>
      <w:r w:rsidRPr="00C85E6C">
        <w:t>to</w:t>
      </w:r>
      <w:r w:rsidR="009345EA">
        <w:t xml:space="preserve"> </w:t>
      </w:r>
      <w:r w:rsidRPr="00C85E6C">
        <w:t>find</w:t>
      </w:r>
      <w:r w:rsidR="009345EA">
        <w:t xml:space="preserve"> </w:t>
      </w:r>
      <w:r w:rsidRPr="00C85E6C">
        <w:t>a</w:t>
      </w:r>
      <w:r w:rsidR="009345EA">
        <w:t xml:space="preserve"> </w:t>
      </w:r>
      <w:r w:rsidRPr="00C85E6C">
        <w:t>husband;</w:t>
      </w:r>
      <w:r w:rsidR="009345EA">
        <w:t xml:space="preserve"> </w:t>
      </w:r>
      <w:r w:rsidRPr="00C85E6C">
        <w:t>she</w:t>
      </w:r>
      <w:r w:rsidR="009345EA">
        <w:t xml:space="preserve"> </w:t>
      </w:r>
      <w:r w:rsidRPr="00C85E6C">
        <w:t>ultimately</w:t>
      </w:r>
      <w:r w:rsidR="009345EA">
        <w:t xml:space="preserve"> </w:t>
      </w:r>
      <w:r w:rsidRPr="00C85E6C">
        <w:t>did</w:t>
      </w:r>
      <w:r w:rsidR="009345EA">
        <w:t xml:space="preserve"> </w:t>
      </w:r>
      <w:r w:rsidRPr="00C85E6C">
        <w:t>marry.</w:t>
      </w:r>
      <w:r w:rsidR="009345EA">
        <w:t xml:space="preserve"> </w:t>
      </w:r>
      <w:r w:rsidRPr="00C85E6C">
        <w:t>However,</w:t>
      </w:r>
      <w:r w:rsidR="009345EA">
        <w:t xml:space="preserve"> </w:t>
      </w:r>
      <w:r w:rsidRPr="00C85E6C">
        <w:t>the</w:t>
      </w:r>
      <w:r w:rsidR="009345EA">
        <w:t xml:space="preserve"> </w:t>
      </w:r>
      <w:r w:rsidRPr="00C85E6C">
        <w:t>author</w:t>
      </w:r>
      <w:r w:rsidR="009345EA">
        <w:t xml:space="preserve"> </w:t>
      </w:r>
      <w:r w:rsidRPr="00C85E6C">
        <w:t>refrained</w:t>
      </w:r>
      <w:r w:rsidR="009345EA">
        <w:t xml:space="preserve"> </w:t>
      </w:r>
      <w:r w:rsidRPr="00C85E6C">
        <w:t>from</w:t>
      </w:r>
      <w:r w:rsidR="009345EA">
        <w:t xml:space="preserve"> </w:t>
      </w:r>
      <w:r w:rsidRPr="00C85E6C">
        <w:t>having</w:t>
      </w:r>
      <w:r w:rsidR="009345EA">
        <w:t xml:space="preserve"> </w:t>
      </w:r>
      <w:r w:rsidRPr="00C85E6C">
        <w:t>children,</w:t>
      </w:r>
      <w:r w:rsidR="009345EA">
        <w:t xml:space="preserve"> </w:t>
      </w:r>
      <w:r w:rsidRPr="00C85E6C">
        <w:t>out</w:t>
      </w:r>
      <w:r w:rsidR="009345EA">
        <w:t xml:space="preserve"> </w:t>
      </w:r>
      <w:r w:rsidRPr="00C85E6C">
        <w:t>of</w:t>
      </w:r>
      <w:r w:rsidR="009345EA">
        <w:t xml:space="preserve"> </w:t>
      </w:r>
      <w:r w:rsidRPr="00C85E6C">
        <w:t>shame.</w:t>
      </w:r>
      <w:r w:rsidR="009345EA">
        <w:t xml:space="preserve"> </w:t>
      </w:r>
    </w:p>
    <w:p w:rsidR="00D06B7B" w:rsidRPr="00C85E6C" w:rsidRDefault="00D06B7B" w:rsidP="00FF3573">
      <w:pPr>
        <w:pStyle w:val="SingleTxtG"/>
      </w:pPr>
      <w:r w:rsidRPr="00C85E6C">
        <w:t>2.9</w:t>
      </w:r>
      <w:r w:rsidRPr="00C85E6C">
        <w:tab/>
        <w:t>The</w:t>
      </w:r>
      <w:r w:rsidR="009345EA">
        <w:t xml:space="preserve"> </w:t>
      </w:r>
      <w:r w:rsidRPr="00C85E6C">
        <w:t>author</w:t>
      </w:r>
      <w:r w:rsidR="009345EA">
        <w:t xml:space="preserve"> </w:t>
      </w:r>
      <w:r w:rsidRPr="00C85E6C">
        <w:t>claims</w:t>
      </w:r>
      <w:r w:rsidR="009345EA">
        <w:t xml:space="preserve"> </w:t>
      </w:r>
      <w:r w:rsidRPr="00C85E6C">
        <w:t>that</w:t>
      </w:r>
      <w:r w:rsidR="009345EA">
        <w:t xml:space="preserve"> </w:t>
      </w:r>
      <w:r w:rsidRPr="00C85E6C">
        <w:t>she</w:t>
      </w:r>
      <w:r w:rsidR="009345EA">
        <w:t xml:space="preserve"> </w:t>
      </w:r>
      <w:r w:rsidRPr="00C85E6C">
        <w:t>has</w:t>
      </w:r>
      <w:r w:rsidR="009345EA">
        <w:t xml:space="preserve"> </w:t>
      </w:r>
      <w:r w:rsidRPr="00C85E6C">
        <w:t>exhausted</w:t>
      </w:r>
      <w:r w:rsidR="009345EA">
        <w:t xml:space="preserve"> </w:t>
      </w:r>
      <w:r w:rsidRPr="00C85E6C">
        <w:t>all</w:t>
      </w:r>
      <w:r w:rsidR="009345EA">
        <w:t xml:space="preserve"> </w:t>
      </w:r>
      <w:r w:rsidRPr="00C85E6C">
        <w:t>effective</w:t>
      </w:r>
      <w:r w:rsidR="009345EA">
        <w:t xml:space="preserve"> </w:t>
      </w:r>
      <w:r w:rsidRPr="00C85E6C">
        <w:t>domestic</w:t>
      </w:r>
      <w:r w:rsidR="009345EA">
        <w:t xml:space="preserve"> </w:t>
      </w:r>
      <w:r w:rsidRPr="00C85E6C">
        <w:t>remedies</w:t>
      </w:r>
      <w:r w:rsidR="009345EA">
        <w:t xml:space="preserve"> </w:t>
      </w:r>
      <w:r w:rsidRPr="00C85E6C">
        <w:t>insofar</w:t>
      </w:r>
      <w:r w:rsidR="009345EA">
        <w:t xml:space="preserve"> </w:t>
      </w:r>
      <w:r w:rsidRPr="00C85E6C">
        <w:t>as</w:t>
      </w:r>
      <w:r w:rsidR="009345EA">
        <w:t xml:space="preserve"> </w:t>
      </w:r>
      <w:r w:rsidRPr="00C85E6C">
        <w:t>11</w:t>
      </w:r>
      <w:r w:rsidR="009345EA">
        <w:t xml:space="preserve"> </w:t>
      </w:r>
      <w:r w:rsidRPr="00C85E6C">
        <w:t>years</w:t>
      </w:r>
      <w:r w:rsidR="009345EA">
        <w:t xml:space="preserve"> </w:t>
      </w:r>
      <w:r w:rsidRPr="00C85E6C">
        <w:t>have</w:t>
      </w:r>
      <w:r w:rsidR="009345EA">
        <w:t xml:space="preserve"> </w:t>
      </w:r>
      <w:r w:rsidRPr="00C85E6C">
        <w:t>passed</w:t>
      </w:r>
      <w:r w:rsidR="009345EA">
        <w:t xml:space="preserve"> </w:t>
      </w:r>
      <w:r w:rsidRPr="00C85E6C">
        <w:t>since</w:t>
      </w:r>
      <w:r w:rsidR="009345EA">
        <w:t xml:space="preserve"> </w:t>
      </w:r>
      <w:r w:rsidRPr="00C85E6C">
        <w:t>her</w:t>
      </w:r>
      <w:r w:rsidR="009345EA">
        <w:t xml:space="preserve"> </w:t>
      </w:r>
      <w:r w:rsidRPr="00C85E6C">
        <w:t>application</w:t>
      </w:r>
      <w:r w:rsidR="009345EA">
        <w:t xml:space="preserve"> </w:t>
      </w:r>
      <w:r w:rsidRPr="00C85E6C">
        <w:t>for</w:t>
      </w:r>
      <w:r w:rsidR="009345EA">
        <w:t xml:space="preserve"> </w:t>
      </w:r>
      <w:r w:rsidRPr="00C85E6C">
        <w:t>a</w:t>
      </w:r>
      <w:r w:rsidR="009345EA">
        <w:t xml:space="preserve"> </w:t>
      </w:r>
      <w:r w:rsidRPr="00C85E6C">
        <w:t>remedy,</w:t>
      </w:r>
      <w:r w:rsidRPr="00D06B7B">
        <w:rPr>
          <w:rStyle w:val="FootnoteReference"/>
        </w:rPr>
        <w:footnoteReference w:id="9"/>
      </w:r>
      <w:r w:rsidR="009345EA">
        <w:t xml:space="preserve"> </w:t>
      </w:r>
      <w:r w:rsidRPr="00C85E6C">
        <w:t>which</w:t>
      </w:r>
      <w:r w:rsidR="009345EA">
        <w:t xml:space="preserve"> </w:t>
      </w:r>
      <w:r w:rsidRPr="00C85E6C">
        <w:t>constitutes</w:t>
      </w:r>
      <w:r w:rsidR="009345EA">
        <w:t xml:space="preserve"> </w:t>
      </w:r>
      <w:r w:rsidRPr="00C85E6C">
        <w:t>an</w:t>
      </w:r>
      <w:r w:rsidR="009345EA">
        <w:t xml:space="preserve"> </w:t>
      </w:r>
      <w:r w:rsidR="00EB40F1">
        <w:t>“</w:t>
      </w:r>
      <w:r w:rsidRPr="00C85E6C">
        <w:t>unreasonably</w:t>
      </w:r>
      <w:r w:rsidR="009345EA">
        <w:t xml:space="preserve"> </w:t>
      </w:r>
      <w:r w:rsidRPr="00C85E6C">
        <w:t>prolonged</w:t>
      </w:r>
      <w:r w:rsidR="009345EA">
        <w:t xml:space="preserve"> </w:t>
      </w:r>
      <w:r w:rsidRPr="00C85E6C">
        <w:t>delay</w:t>
      </w:r>
      <w:r w:rsidR="00EB40F1">
        <w:t>”</w:t>
      </w:r>
      <w:r w:rsidRPr="00C85E6C">
        <w:t>.</w:t>
      </w:r>
      <w:r w:rsidRPr="00D06B7B">
        <w:rPr>
          <w:rStyle w:val="FootnoteReference"/>
        </w:rPr>
        <w:footnoteReference w:id="10"/>
      </w:r>
    </w:p>
    <w:p w:rsidR="00D06B7B" w:rsidRPr="00C85E6C" w:rsidRDefault="00D06B7B" w:rsidP="00AF5A6A">
      <w:pPr>
        <w:pStyle w:val="H23G"/>
      </w:pPr>
      <w:r w:rsidRPr="00C85E6C">
        <w:tab/>
      </w:r>
      <w:r w:rsidRPr="00C85E6C">
        <w:tab/>
        <w:t>The</w:t>
      </w:r>
      <w:r w:rsidR="009345EA">
        <w:t xml:space="preserve"> </w:t>
      </w:r>
      <w:r w:rsidRPr="00C85E6C">
        <w:t>complaint</w:t>
      </w:r>
    </w:p>
    <w:p w:rsidR="00D06B7B" w:rsidRPr="00C85E6C" w:rsidRDefault="00D06B7B" w:rsidP="00FF3573">
      <w:pPr>
        <w:pStyle w:val="SingleTxtG"/>
      </w:pPr>
      <w:r w:rsidRPr="00C85E6C">
        <w:t>3.1</w:t>
      </w:r>
      <w:r w:rsidRPr="00C85E6C">
        <w:tab/>
        <w:t>The</w:t>
      </w:r>
      <w:r w:rsidR="009345EA">
        <w:t xml:space="preserve"> </w:t>
      </w:r>
      <w:r w:rsidRPr="00C85E6C">
        <w:t>author</w:t>
      </w:r>
      <w:r w:rsidR="009345EA">
        <w:t xml:space="preserve"> </w:t>
      </w:r>
      <w:r w:rsidRPr="00C85E6C">
        <w:t>alleges</w:t>
      </w:r>
      <w:r w:rsidR="009345EA">
        <w:t xml:space="preserve"> </w:t>
      </w:r>
      <w:r w:rsidRPr="00C85E6C">
        <w:t>that</w:t>
      </w:r>
      <w:r w:rsidR="009345EA">
        <w:t xml:space="preserve"> </w:t>
      </w:r>
      <w:r w:rsidRPr="00C85E6C">
        <w:t>she</w:t>
      </w:r>
      <w:r w:rsidR="009345EA">
        <w:t xml:space="preserve"> </w:t>
      </w:r>
      <w:r w:rsidRPr="00C85E6C">
        <w:t>suffered</w:t>
      </w:r>
      <w:r w:rsidR="009345EA">
        <w:t xml:space="preserve"> </w:t>
      </w:r>
      <w:r w:rsidRPr="00C85E6C">
        <w:t>severe</w:t>
      </w:r>
      <w:r w:rsidR="009345EA">
        <w:t xml:space="preserve"> </w:t>
      </w:r>
      <w:r w:rsidRPr="00C85E6C">
        <w:t>physical</w:t>
      </w:r>
      <w:r w:rsidR="009345EA">
        <w:t xml:space="preserve"> </w:t>
      </w:r>
      <w:r w:rsidRPr="00C85E6C">
        <w:t>and</w:t>
      </w:r>
      <w:r w:rsidR="009345EA">
        <w:t xml:space="preserve"> </w:t>
      </w:r>
      <w:r w:rsidRPr="00C85E6C">
        <w:t>mental</w:t>
      </w:r>
      <w:r w:rsidR="009345EA">
        <w:t xml:space="preserve"> </w:t>
      </w:r>
      <w:r w:rsidRPr="00C85E6C">
        <w:t>pain</w:t>
      </w:r>
      <w:r w:rsidR="009345EA">
        <w:t xml:space="preserve"> </w:t>
      </w:r>
      <w:r w:rsidRPr="00C85E6C">
        <w:t>due</w:t>
      </w:r>
      <w:r w:rsidR="009345EA">
        <w:t xml:space="preserve"> </w:t>
      </w:r>
      <w:r w:rsidRPr="00C85E6C">
        <w:t>to</w:t>
      </w:r>
      <w:r w:rsidR="009345EA">
        <w:t xml:space="preserve"> </w:t>
      </w:r>
      <w:r w:rsidRPr="00C85E6C">
        <w:t>being</w:t>
      </w:r>
      <w:r w:rsidR="009345EA">
        <w:t xml:space="preserve"> </w:t>
      </w:r>
      <w:r w:rsidRPr="00C85E6C">
        <w:t>raped.</w:t>
      </w:r>
      <w:r w:rsidR="009345EA">
        <w:t xml:space="preserve"> </w:t>
      </w:r>
      <w:r w:rsidRPr="00C85E6C">
        <w:t>Her</w:t>
      </w:r>
      <w:r w:rsidR="009345EA">
        <w:t xml:space="preserve"> </w:t>
      </w:r>
      <w:r w:rsidRPr="00C85E6C">
        <w:t>suffering</w:t>
      </w:r>
      <w:r w:rsidR="009345EA">
        <w:t xml:space="preserve"> </w:t>
      </w:r>
      <w:r w:rsidRPr="00C85E6C">
        <w:t>was</w:t>
      </w:r>
      <w:r w:rsidR="009345EA">
        <w:t xml:space="preserve"> </w:t>
      </w:r>
      <w:r w:rsidRPr="00C85E6C">
        <w:t>further</w:t>
      </w:r>
      <w:r w:rsidR="009345EA">
        <w:t xml:space="preserve"> </w:t>
      </w:r>
      <w:r w:rsidRPr="00C85E6C">
        <w:t>exacerbated</w:t>
      </w:r>
      <w:r w:rsidR="009345EA">
        <w:t xml:space="preserve"> </w:t>
      </w:r>
      <w:r w:rsidRPr="00C85E6C">
        <w:t>because</w:t>
      </w:r>
      <w:r w:rsidR="009345EA">
        <w:t xml:space="preserve"> </w:t>
      </w:r>
      <w:r w:rsidRPr="00C85E6C">
        <w:t>she</w:t>
      </w:r>
      <w:r w:rsidR="009345EA">
        <w:t xml:space="preserve"> </w:t>
      </w:r>
      <w:r w:rsidRPr="00C85E6C">
        <w:t>was</w:t>
      </w:r>
      <w:r w:rsidR="009345EA">
        <w:t xml:space="preserve"> </w:t>
      </w:r>
      <w:r w:rsidRPr="00C85E6C">
        <w:t>a</w:t>
      </w:r>
      <w:r w:rsidR="009345EA">
        <w:t xml:space="preserve"> </w:t>
      </w:r>
      <w:r w:rsidRPr="00C85E6C">
        <w:t>minor,</w:t>
      </w:r>
      <w:r w:rsidRPr="00D06B7B">
        <w:rPr>
          <w:rStyle w:val="FootnoteReference"/>
        </w:rPr>
        <w:footnoteReference w:id="11"/>
      </w:r>
      <w:r w:rsidR="009345EA">
        <w:t xml:space="preserve"> </w:t>
      </w:r>
      <w:r w:rsidRPr="00C85E6C">
        <w:t>a</w:t>
      </w:r>
      <w:r w:rsidR="009345EA">
        <w:t xml:space="preserve"> </w:t>
      </w:r>
      <w:r w:rsidRPr="00C85E6C">
        <w:t>girl</w:t>
      </w:r>
      <w:r w:rsidR="009345EA">
        <w:t xml:space="preserve"> </w:t>
      </w:r>
      <w:r w:rsidRPr="00C85E6C">
        <w:t>and</w:t>
      </w:r>
      <w:r w:rsidR="009345EA">
        <w:t xml:space="preserve"> </w:t>
      </w:r>
      <w:r w:rsidRPr="00C85E6C">
        <w:t>a</w:t>
      </w:r>
      <w:r w:rsidR="009345EA">
        <w:t xml:space="preserve"> </w:t>
      </w:r>
      <w:r w:rsidRPr="00C85E6C">
        <w:t>member</w:t>
      </w:r>
      <w:r w:rsidR="009345EA">
        <w:t xml:space="preserve"> </w:t>
      </w:r>
      <w:r w:rsidRPr="00C85E6C">
        <w:t>of</w:t>
      </w:r>
      <w:r w:rsidR="009345EA">
        <w:t xml:space="preserve"> </w:t>
      </w:r>
      <w:r w:rsidRPr="00C85E6C">
        <w:t>the</w:t>
      </w:r>
      <w:r w:rsidR="009345EA">
        <w:t xml:space="preserve"> </w:t>
      </w:r>
      <w:r w:rsidRPr="00C85E6C">
        <w:t>Indian</w:t>
      </w:r>
      <w:r w:rsidR="009345EA">
        <w:t xml:space="preserve"> </w:t>
      </w:r>
      <w:r w:rsidRPr="00C85E6C">
        <w:t>Tamil</w:t>
      </w:r>
      <w:r w:rsidR="009345EA">
        <w:t xml:space="preserve"> </w:t>
      </w:r>
      <w:r w:rsidRPr="00C85E6C">
        <w:t>minority,</w:t>
      </w:r>
      <w:r w:rsidR="009345EA">
        <w:t xml:space="preserve"> </w:t>
      </w:r>
      <w:r w:rsidRPr="00C85E6C">
        <w:t>making</w:t>
      </w:r>
      <w:r w:rsidR="009345EA">
        <w:t xml:space="preserve"> </w:t>
      </w:r>
      <w:r w:rsidRPr="00C85E6C">
        <w:t>the</w:t>
      </w:r>
      <w:r w:rsidR="009345EA">
        <w:t xml:space="preserve"> </w:t>
      </w:r>
      <w:r w:rsidRPr="00C85E6C">
        <w:t>act</w:t>
      </w:r>
      <w:r w:rsidR="009345EA">
        <w:t xml:space="preserve"> </w:t>
      </w:r>
      <w:r w:rsidRPr="00C85E6C">
        <w:t>of</w:t>
      </w:r>
      <w:r w:rsidR="009345EA">
        <w:t xml:space="preserve"> </w:t>
      </w:r>
      <w:r w:rsidRPr="00C85E6C">
        <w:t>rape</w:t>
      </w:r>
      <w:r w:rsidR="009345EA">
        <w:t xml:space="preserve"> </w:t>
      </w:r>
      <w:r w:rsidRPr="00C85E6C">
        <w:t>severe</w:t>
      </w:r>
      <w:r w:rsidR="009345EA">
        <w:t xml:space="preserve"> </w:t>
      </w:r>
      <w:r w:rsidRPr="00C85E6C">
        <w:t>enough</w:t>
      </w:r>
      <w:r w:rsidR="009345EA">
        <w:t xml:space="preserve"> </w:t>
      </w:r>
      <w:r w:rsidRPr="00C85E6C">
        <w:t>to</w:t>
      </w:r>
      <w:r w:rsidR="009345EA">
        <w:t xml:space="preserve"> </w:t>
      </w:r>
      <w:r w:rsidRPr="00C85E6C">
        <w:t>constitute</w:t>
      </w:r>
      <w:r w:rsidR="009345EA">
        <w:t xml:space="preserve"> </w:t>
      </w:r>
      <w:r w:rsidRPr="00C85E6C">
        <w:t>torture</w:t>
      </w:r>
      <w:r w:rsidR="009345EA">
        <w:t xml:space="preserve"> </w:t>
      </w:r>
      <w:r w:rsidRPr="00C85E6C">
        <w:t>under</w:t>
      </w:r>
      <w:r w:rsidR="009345EA">
        <w:t xml:space="preserve"> </w:t>
      </w:r>
      <w:r w:rsidRPr="00C85E6C">
        <w:t>article</w:t>
      </w:r>
      <w:r w:rsidR="009345EA">
        <w:t xml:space="preserve"> </w:t>
      </w:r>
      <w:r w:rsidRPr="00C85E6C">
        <w:t>7</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author</w:t>
      </w:r>
      <w:r w:rsidR="009345EA">
        <w:t xml:space="preserve"> </w:t>
      </w:r>
      <w:r w:rsidRPr="00C85E6C">
        <w:t>contends</w:t>
      </w:r>
      <w:r w:rsidR="009345EA">
        <w:t xml:space="preserve"> </w:t>
      </w:r>
      <w:r w:rsidRPr="00C85E6C">
        <w:t>that,</w:t>
      </w:r>
      <w:r w:rsidR="009345EA">
        <w:t xml:space="preserve"> </w:t>
      </w:r>
      <w:r w:rsidRPr="00C85E6C">
        <w:t>pursuant</w:t>
      </w:r>
      <w:r w:rsidR="009345EA">
        <w:t xml:space="preserve"> </w:t>
      </w:r>
      <w:r w:rsidRPr="00C85E6C">
        <w:t>to</w:t>
      </w:r>
      <w:r w:rsidR="009345EA">
        <w:t xml:space="preserve"> </w:t>
      </w:r>
      <w:r w:rsidRPr="00C85E6C">
        <w:t>the</w:t>
      </w:r>
      <w:r w:rsidR="009345EA">
        <w:t xml:space="preserve"> </w:t>
      </w:r>
      <w:r w:rsidRPr="00C85E6C">
        <w:t>Committee</w:t>
      </w:r>
      <w:r w:rsidR="00EB40F1">
        <w:t>’</w:t>
      </w:r>
      <w:r w:rsidRPr="00C85E6C">
        <w:t>s</w:t>
      </w:r>
      <w:r w:rsidR="009345EA">
        <w:t xml:space="preserve"> </w:t>
      </w:r>
      <w:r w:rsidRPr="00C85E6C">
        <w:t>general</w:t>
      </w:r>
      <w:r w:rsidR="009345EA">
        <w:t xml:space="preserve"> </w:t>
      </w:r>
      <w:r w:rsidRPr="00C85E6C">
        <w:t>comment</w:t>
      </w:r>
      <w:r w:rsidR="009345EA">
        <w:t xml:space="preserve"> </w:t>
      </w:r>
      <w:r w:rsidRPr="00C85E6C">
        <w:t>No.</w:t>
      </w:r>
      <w:r w:rsidR="009345EA">
        <w:t xml:space="preserve"> </w:t>
      </w:r>
      <w:r w:rsidRPr="00C85E6C">
        <w:t>20</w:t>
      </w:r>
      <w:r w:rsidR="009345EA">
        <w:t xml:space="preserve"> </w:t>
      </w:r>
      <w:r w:rsidRPr="00C85E6C">
        <w:t>(1992)</w:t>
      </w:r>
      <w:r w:rsidR="009345EA">
        <w:t xml:space="preserve"> </w:t>
      </w:r>
      <w:r w:rsidRPr="00C85E6C">
        <w:t>on</w:t>
      </w:r>
      <w:r w:rsidR="009345EA">
        <w:t xml:space="preserve"> </w:t>
      </w:r>
      <w:r w:rsidRPr="00C85E6C">
        <w:t>the</w:t>
      </w:r>
      <w:r w:rsidR="009345EA">
        <w:t xml:space="preserve"> </w:t>
      </w:r>
      <w:r w:rsidRPr="00C85E6C">
        <w:t>prohibition</w:t>
      </w:r>
      <w:r w:rsidR="009345EA">
        <w:t xml:space="preserve"> </w:t>
      </w:r>
      <w:r w:rsidRPr="00C85E6C">
        <w:t>of</w:t>
      </w:r>
      <w:r w:rsidR="009345EA">
        <w:t xml:space="preserve"> </w:t>
      </w:r>
      <w:r w:rsidRPr="00C85E6C">
        <w:t>torture</w:t>
      </w:r>
      <w:r w:rsidR="009345EA">
        <w:t xml:space="preserve"> </w:t>
      </w:r>
      <w:r w:rsidRPr="00C85E6C">
        <w:t>or</w:t>
      </w:r>
      <w:r w:rsidR="009345EA">
        <w:t xml:space="preserve"> </w:t>
      </w:r>
      <w:r w:rsidRPr="00C85E6C">
        <w:t>other</w:t>
      </w:r>
      <w:r w:rsidR="009345EA">
        <w:t xml:space="preserve"> </w:t>
      </w:r>
      <w:r w:rsidRPr="00C85E6C">
        <w:t>cruel,</w:t>
      </w:r>
      <w:r w:rsidR="009345EA">
        <w:t xml:space="preserve"> </w:t>
      </w:r>
      <w:r w:rsidRPr="00C85E6C">
        <w:t>inhuman</w:t>
      </w:r>
      <w:r w:rsidR="009345EA">
        <w:t xml:space="preserve"> </w:t>
      </w:r>
      <w:r w:rsidRPr="00C85E6C">
        <w:t>or</w:t>
      </w:r>
      <w:r w:rsidR="009345EA">
        <w:t xml:space="preserve"> </w:t>
      </w:r>
      <w:r w:rsidRPr="00C85E6C">
        <w:t>degrading</w:t>
      </w:r>
      <w:r w:rsidR="009345EA">
        <w:t xml:space="preserve"> </w:t>
      </w:r>
      <w:r w:rsidRPr="00C85E6C">
        <w:t>treatment</w:t>
      </w:r>
      <w:r w:rsidR="009345EA">
        <w:t xml:space="preserve"> </w:t>
      </w:r>
      <w:r w:rsidRPr="00C85E6C">
        <w:t>or</w:t>
      </w:r>
      <w:r w:rsidR="009345EA">
        <w:t xml:space="preserve"> </w:t>
      </w:r>
      <w:r w:rsidRPr="00C85E6C">
        <w:t>punishment,</w:t>
      </w:r>
      <w:r w:rsidR="009345EA">
        <w:t xml:space="preserve"> </w:t>
      </w:r>
      <w:r w:rsidRPr="00C85E6C">
        <w:t>States</w:t>
      </w:r>
      <w:r w:rsidR="009345EA">
        <w:t xml:space="preserve"> </w:t>
      </w:r>
      <w:r w:rsidRPr="00C85E6C">
        <w:t>parties</w:t>
      </w:r>
      <w:r w:rsidR="009345EA">
        <w:t xml:space="preserve"> </w:t>
      </w:r>
      <w:r w:rsidRPr="00C85E6C">
        <w:t>have</w:t>
      </w:r>
      <w:r w:rsidR="009345EA">
        <w:t xml:space="preserve"> </w:t>
      </w:r>
      <w:r w:rsidRPr="00C85E6C">
        <w:t>the</w:t>
      </w:r>
      <w:r w:rsidR="009345EA">
        <w:t xml:space="preserve"> </w:t>
      </w:r>
      <w:r w:rsidRPr="00C85E6C">
        <w:t>obligation</w:t>
      </w:r>
      <w:r w:rsidR="009345EA">
        <w:t xml:space="preserve"> </w:t>
      </w:r>
      <w:r w:rsidRPr="00C85E6C">
        <w:t>to</w:t>
      </w:r>
      <w:r w:rsidR="009345EA">
        <w:t xml:space="preserve"> </w:t>
      </w:r>
      <w:r w:rsidRPr="00C85E6C">
        <w:t>provide</w:t>
      </w:r>
      <w:r w:rsidR="009345EA">
        <w:t xml:space="preserve"> </w:t>
      </w:r>
      <w:r w:rsidRPr="00C85E6C">
        <w:t>protection</w:t>
      </w:r>
      <w:r w:rsidR="009345EA">
        <w:t xml:space="preserve"> </w:t>
      </w:r>
      <w:r w:rsidRPr="00C85E6C">
        <w:t>and</w:t>
      </w:r>
      <w:r w:rsidR="009345EA">
        <w:t xml:space="preserve"> </w:t>
      </w:r>
      <w:r w:rsidRPr="00C85E6C">
        <w:t>legal</w:t>
      </w:r>
      <w:r w:rsidR="009345EA">
        <w:t xml:space="preserve"> </w:t>
      </w:r>
      <w:r w:rsidRPr="00C85E6C">
        <w:t>remedies</w:t>
      </w:r>
      <w:r w:rsidR="009345EA">
        <w:t xml:space="preserve"> </w:t>
      </w:r>
      <w:r w:rsidRPr="00C85E6C">
        <w:t>in</w:t>
      </w:r>
      <w:r w:rsidR="009345EA">
        <w:t xml:space="preserve"> </w:t>
      </w:r>
      <w:r w:rsidRPr="00C85E6C">
        <w:t>cases</w:t>
      </w:r>
      <w:r w:rsidR="009345EA">
        <w:t xml:space="preserve"> </w:t>
      </w:r>
      <w:r w:rsidRPr="00C85E6C">
        <w:t>of</w:t>
      </w:r>
      <w:r w:rsidR="009345EA">
        <w:t xml:space="preserve"> </w:t>
      </w:r>
      <w:r w:rsidRPr="00C85E6C">
        <w:t>rape</w:t>
      </w:r>
      <w:r w:rsidR="009345EA">
        <w:t xml:space="preserve"> </w:t>
      </w:r>
      <w:r w:rsidRPr="00C85E6C">
        <w:t>committed</w:t>
      </w:r>
      <w:r w:rsidR="009345EA">
        <w:t xml:space="preserve"> </w:t>
      </w:r>
      <w:r w:rsidRPr="00C85E6C">
        <w:t>by</w:t>
      </w:r>
      <w:r w:rsidR="009345EA">
        <w:t xml:space="preserve"> </w:t>
      </w:r>
      <w:r w:rsidRPr="00C85E6C">
        <w:t>private</w:t>
      </w:r>
      <w:r w:rsidR="009345EA">
        <w:t xml:space="preserve"> </w:t>
      </w:r>
      <w:r w:rsidRPr="00C85E6C">
        <w:t>persons.</w:t>
      </w:r>
      <w:r w:rsidR="009345EA">
        <w:t xml:space="preserve"> </w:t>
      </w:r>
      <w:r w:rsidRPr="00C85E6C">
        <w:t>The</w:t>
      </w:r>
      <w:r w:rsidR="009345EA">
        <w:t xml:space="preserve"> </w:t>
      </w:r>
      <w:r w:rsidRPr="00C85E6C">
        <w:t>author</w:t>
      </w:r>
      <w:r w:rsidR="009345EA">
        <w:t xml:space="preserve"> </w:t>
      </w:r>
      <w:r w:rsidRPr="00C85E6C">
        <w:t>further</w:t>
      </w:r>
      <w:r w:rsidR="009345EA">
        <w:t xml:space="preserve"> </w:t>
      </w:r>
      <w:r w:rsidRPr="00C85E6C">
        <w:t>claims</w:t>
      </w:r>
      <w:r w:rsidR="009345EA">
        <w:t xml:space="preserve"> </w:t>
      </w:r>
      <w:r w:rsidRPr="00C85E6C">
        <w:t>that</w:t>
      </w:r>
      <w:r w:rsidR="009345EA">
        <w:t xml:space="preserve"> </w:t>
      </w:r>
      <w:r w:rsidRPr="00C85E6C">
        <w:t>the</w:t>
      </w:r>
      <w:r w:rsidR="009345EA">
        <w:t xml:space="preserve"> </w:t>
      </w:r>
      <w:r w:rsidRPr="00C85E6C">
        <w:t>consequences</w:t>
      </w:r>
      <w:r w:rsidR="009345EA">
        <w:t xml:space="preserve"> </w:t>
      </w:r>
      <w:r w:rsidRPr="00C85E6C">
        <w:t>of</w:t>
      </w:r>
      <w:r w:rsidR="009345EA">
        <w:t xml:space="preserve"> </w:t>
      </w:r>
      <w:r w:rsidRPr="00C85E6C">
        <w:t>a</w:t>
      </w:r>
      <w:r w:rsidR="009345EA">
        <w:t xml:space="preserve"> </w:t>
      </w:r>
      <w:r w:rsidRPr="00C85E6C">
        <w:t>rape</w:t>
      </w:r>
      <w:r w:rsidR="009345EA">
        <w:t xml:space="preserve"> </w:t>
      </w:r>
      <w:r w:rsidRPr="00C85E6C">
        <w:t>are</w:t>
      </w:r>
      <w:r w:rsidR="009345EA">
        <w:t xml:space="preserve"> </w:t>
      </w:r>
      <w:r w:rsidRPr="00C85E6C">
        <w:t>not</w:t>
      </w:r>
      <w:r w:rsidR="009345EA">
        <w:t xml:space="preserve"> </w:t>
      </w:r>
      <w:r w:rsidRPr="00C85E6C">
        <w:t>dependent</w:t>
      </w:r>
      <w:r w:rsidR="009345EA">
        <w:t xml:space="preserve"> </w:t>
      </w:r>
      <w:r w:rsidRPr="00C85E6C">
        <w:t>on</w:t>
      </w:r>
      <w:r w:rsidR="009345EA">
        <w:t xml:space="preserve"> </w:t>
      </w:r>
      <w:r w:rsidRPr="00C85E6C">
        <w:t>the</w:t>
      </w:r>
      <w:r w:rsidR="009345EA">
        <w:t xml:space="preserve"> </w:t>
      </w:r>
      <w:r w:rsidRPr="00C85E6C">
        <w:t>status</w:t>
      </w:r>
      <w:r w:rsidR="009345EA">
        <w:t xml:space="preserve"> </w:t>
      </w:r>
      <w:r w:rsidRPr="00C85E6C">
        <w:t>of</w:t>
      </w:r>
      <w:r w:rsidR="009345EA">
        <w:t xml:space="preserve"> </w:t>
      </w:r>
      <w:r w:rsidRPr="00C85E6C">
        <w:t>the</w:t>
      </w:r>
      <w:r w:rsidR="009345EA">
        <w:t xml:space="preserve"> </w:t>
      </w:r>
      <w:r w:rsidRPr="00C85E6C">
        <w:t>perpetrator,</w:t>
      </w:r>
      <w:r w:rsidR="009345EA">
        <w:t xml:space="preserve"> </w:t>
      </w:r>
      <w:r w:rsidRPr="00C85E6C">
        <w:t>and</w:t>
      </w:r>
      <w:r w:rsidR="009345EA">
        <w:t xml:space="preserve"> </w:t>
      </w:r>
      <w:r w:rsidRPr="00C85E6C">
        <w:t>that</w:t>
      </w:r>
      <w:r w:rsidR="009345EA">
        <w:t xml:space="preserve"> </w:t>
      </w:r>
      <w:r w:rsidRPr="00C85E6C">
        <w:t>according</w:t>
      </w:r>
      <w:r w:rsidR="009345EA">
        <w:t xml:space="preserve"> </w:t>
      </w:r>
      <w:r w:rsidRPr="00C85E6C">
        <w:t>to</w:t>
      </w:r>
      <w:r w:rsidR="009345EA">
        <w:t xml:space="preserve"> </w:t>
      </w:r>
      <w:r w:rsidRPr="00C85E6C">
        <w:t>the</w:t>
      </w:r>
      <w:r w:rsidR="009345EA">
        <w:t xml:space="preserve"> </w:t>
      </w:r>
      <w:r w:rsidRPr="00C85E6C">
        <w:t>jurisprudence</w:t>
      </w:r>
      <w:r w:rsidR="009345EA">
        <w:t xml:space="preserve"> </w:t>
      </w:r>
      <w:r w:rsidRPr="00C85E6C">
        <w:t>of</w:t>
      </w:r>
      <w:r w:rsidR="009345EA">
        <w:t xml:space="preserve"> </w:t>
      </w:r>
      <w:r w:rsidRPr="00C85E6C">
        <w:t>international</w:t>
      </w:r>
      <w:r w:rsidR="009345EA">
        <w:t xml:space="preserve"> </w:t>
      </w:r>
      <w:r w:rsidRPr="00C85E6C">
        <w:t>and</w:t>
      </w:r>
      <w:r w:rsidR="009345EA">
        <w:t xml:space="preserve"> </w:t>
      </w:r>
      <w:r w:rsidRPr="00C85E6C">
        <w:t>regional</w:t>
      </w:r>
      <w:r w:rsidR="009345EA">
        <w:t xml:space="preserve"> </w:t>
      </w:r>
      <w:r w:rsidRPr="00C85E6C">
        <w:t>courts</w:t>
      </w:r>
      <w:r w:rsidR="009345EA">
        <w:t xml:space="preserve"> </w:t>
      </w:r>
      <w:r w:rsidRPr="00C85E6C">
        <w:t>and</w:t>
      </w:r>
      <w:r w:rsidR="009345EA">
        <w:t xml:space="preserve"> </w:t>
      </w:r>
      <w:r w:rsidRPr="00C85E6C">
        <w:t>human</w:t>
      </w:r>
      <w:r w:rsidR="009345EA">
        <w:t xml:space="preserve"> </w:t>
      </w:r>
      <w:r w:rsidRPr="00C85E6C">
        <w:t>rights</w:t>
      </w:r>
      <w:r w:rsidR="009345EA">
        <w:t xml:space="preserve"> </w:t>
      </w:r>
      <w:r w:rsidRPr="00C85E6C">
        <w:t>bodies,</w:t>
      </w:r>
      <w:r w:rsidR="009345EA">
        <w:t xml:space="preserve"> </w:t>
      </w:r>
      <w:r w:rsidRPr="00C85E6C">
        <w:t>a</w:t>
      </w:r>
      <w:r w:rsidR="009345EA">
        <w:t xml:space="preserve"> </w:t>
      </w:r>
      <w:r w:rsidRPr="00C85E6C">
        <w:t>State</w:t>
      </w:r>
      <w:r w:rsidR="009345EA">
        <w:t xml:space="preserve"> </w:t>
      </w:r>
      <w:r w:rsidRPr="00C85E6C">
        <w:t>is</w:t>
      </w:r>
      <w:r w:rsidR="009345EA">
        <w:t xml:space="preserve"> </w:t>
      </w:r>
      <w:r w:rsidRPr="00C85E6C">
        <w:t>responsible</w:t>
      </w:r>
      <w:r w:rsidR="009345EA">
        <w:t xml:space="preserve"> </w:t>
      </w:r>
      <w:r w:rsidRPr="00C85E6C">
        <w:t>for</w:t>
      </w:r>
      <w:r w:rsidR="009345EA">
        <w:t xml:space="preserve"> </w:t>
      </w:r>
      <w:r w:rsidRPr="00C85E6C">
        <w:t>a</w:t>
      </w:r>
      <w:r w:rsidR="009345EA">
        <w:t xml:space="preserve"> </w:t>
      </w:r>
      <w:r w:rsidRPr="00C85E6C">
        <w:t>violation</w:t>
      </w:r>
      <w:r w:rsidR="009345EA">
        <w:t xml:space="preserve"> </w:t>
      </w:r>
      <w:r w:rsidRPr="00C85E6C">
        <w:t>of</w:t>
      </w:r>
      <w:r w:rsidR="009345EA">
        <w:t xml:space="preserve"> </w:t>
      </w:r>
      <w:r w:rsidRPr="00C85E6C">
        <w:t>its</w:t>
      </w:r>
      <w:r w:rsidR="009345EA">
        <w:t xml:space="preserve"> </w:t>
      </w:r>
      <w:r w:rsidRPr="00C85E6C">
        <w:t>obligations</w:t>
      </w:r>
      <w:r w:rsidR="009345EA">
        <w:t xml:space="preserve"> </w:t>
      </w:r>
      <w:r w:rsidRPr="00C85E6C">
        <w:t>in</w:t>
      </w:r>
      <w:r w:rsidR="009345EA">
        <w:t xml:space="preserve"> </w:t>
      </w:r>
      <w:r w:rsidRPr="00C85E6C">
        <w:t>relation</w:t>
      </w:r>
      <w:r w:rsidR="009345EA">
        <w:t xml:space="preserve"> </w:t>
      </w:r>
      <w:r w:rsidRPr="00C85E6C">
        <w:t>to</w:t>
      </w:r>
      <w:r w:rsidR="009345EA">
        <w:t xml:space="preserve"> </w:t>
      </w:r>
      <w:r w:rsidRPr="00C85E6C">
        <w:t>the</w:t>
      </w:r>
      <w:r w:rsidR="009345EA">
        <w:t xml:space="preserve"> </w:t>
      </w:r>
      <w:r w:rsidRPr="00C85E6C">
        <w:t>prohibition</w:t>
      </w:r>
      <w:r w:rsidR="009345EA">
        <w:t xml:space="preserve"> </w:t>
      </w:r>
      <w:r w:rsidRPr="00C85E6C">
        <w:t>of</w:t>
      </w:r>
      <w:r w:rsidR="009345EA">
        <w:t xml:space="preserve"> </w:t>
      </w:r>
      <w:r w:rsidRPr="00C85E6C">
        <w:t>torture</w:t>
      </w:r>
      <w:r w:rsidR="009345EA">
        <w:t xml:space="preserve"> </w:t>
      </w:r>
      <w:r w:rsidRPr="00C85E6C">
        <w:t>or</w:t>
      </w:r>
      <w:r w:rsidR="009345EA">
        <w:t xml:space="preserve"> </w:t>
      </w:r>
      <w:r w:rsidRPr="00C85E6C">
        <w:t>other</w:t>
      </w:r>
      <w:r w:rsidR="009345EA">
        <w:t xml:space="preserve"> </w:t>
      </w:r>
      <w:r w:rsidRPr="00C85E6C">
        <w:t>ill-treatment</w:t>
      </w:r>
      <w:r w:rsidR="009345EA">
        <w:t xml:space="preserve"> </w:t>
      </w:r>
      <w:r w:rsidRPr="00C85E6C">
        <w:t>where</w:t>
      </w:r>
      <w:r w:rsidR="009345EA">
        <w:t xml:space="preserve"> </w:t>
      </w:r>
      <w:r w:rsidRPr="00C85E6C">
        <w:t>it</w:t>
      </w:r>
      <w:r w:rsidR="009345EA">
        <w:t xml:space="preserve"> </w:t>
      </w:r>
      <w:r w:rsidRPr="00C85E6C">
        <w:t>has</w:t>
      </w:r>
      <w:r w:rsidR="009345EA">
        <w:t xml:space="preserve"> </w:t>
      </w:r>
      <w:r w:rsidRPr="00C85E6C">
        <w:t>failed</w:t>
      </w:r>
      <w:r w:rsidR="009345EA">
        <w:t xml:space="preserve"> </w:t>
      </w:r>
      <w:r w:rsidRPr="00C85E6C">
        <w:t>to</w:t>
      </w:r>
      <w:r w:rsidR="009345EA">
        <w:t xml:space="preserve"> </w:t>
      </w:r>
      <w:r w:rsidRPr="00C85E6C">
        <w:t>protect</w:t>
      </w:r>
      <w:r w:rsidR="009345EA">
        <w:t xml:space="preserve"> </w:t>
      </w:r>
      <w:r w:rsidRPr="00C85E6C">
        <w:t>against</w:t>
      </w:r>
      <w:r w:rsidR="009345EA">
        <w:t xml:space="preserve"> </w:t>
      </w:r>
      <w:r w:rsidRPr="00C85E6C">
        <w:t>or</w:t>
      </w:r>
      <w:r w:rsidR="009345EA">
        <w:t xml:space="preserve"> </w:t>
      </w:r>
      <w:r w:rsidRPr="00C85E6C">
        <w:t>adequately</w:t>
      </w:r>
      <w:r w:rsidR="009345EA">
        <w:t xml:space="preserve"> </w:t>
      </w:r>
      <w:r w:rsidRPr="00C85E6C">
        <w:t>respond</w:t>
      </w:r>
      <w:r w:rsidR="009345EA">
        <w:t xml:space="preserve"> </w:t>
      </w:r>
      <w:r w:rsidRPr="00C85E6C">
        <w:t>to</w:t>
      </w:r>
      <w:r w:rsidR="009345EA">
        <w:t xml:space="preserve"> </w:t>
      </w:r>
      <w:r w:rsidRPr="00C85E6C">
        <w:t>rape</w:t>
      </w:r>
      <w:r w:rsidR="009345EA">
        <w:t xml:space="preserve"> </w:t>
      </w:r>
      <w:r w:rsidRPr="00C85E6C">
        <w:t>and</w:t>
      </w:r>
      <w:r w:rsidR="009345EA">
        <w:t xml:space="preserve"> </w:t>
      </w:r>
      <w:r w:rsidRPr="00C85E6C">
        <w:t>other</w:t>
      </w:r>
      <w:r w:rsidR="009345EA">
        <w:t xml:space="preserve"> </w:t>
      </w:r>
      <w:r w:rsidRPr="00C85E6C">
        <w:t>forms</w:t>
      </w:r>
      <w:r w:rsidR="009345EA">
        <w:t xml:space="preserve"> </w:t>
      </w:r>
      <w:r w:rsidRPr="00C85E6C">
        <w:t>of</w:t>
      </w:r>
      <w:r w:rsidR="009345EA">
        <w:t xml:space="preserve"> </w:t>
      </w:r>
      <w:r w:rsidRPr="00C85E6C">
        <w:t>violence</w:t>
      </w:r>
      <w:r w:rsidR="009345EA">
        <w:t xml:space="preserve"> </w:t>
      </w:r>
      <w:r w:rsidRPr="00C85E6C">
        <w:t>against</w:t>
      </w:r>
      <w:r w:rsidR="009345EA">
        <w:t xml:space="preserve"> </w:t>
      </w:r>
      <w:r w:rsidRPr="00C85E6C">
        <w:t>women.</w:t>
      </w:r>
    </w:p>
    <w:p w:rsidR="00D06B7B" w:rsidRPr="00C85E6C" w:rsidRDefault="00D06B7B" w:rsidP="00FF3573">
      <w:pPr>
        <w:pStyle w:val="SingleTxtG"/>
      </w:pPr>
      <w:r w:rsidRPr="00C85E6C">
        <w:t>3.2</w:t>
      </w:r>
      <w:r w:rsidRPr="00C85E6C">
        <w:tab/>
        <w:t>The</w:t>
      </w:r>
      <w:r w:rsidR="009345EA">
        <w:t xml:space="preserve"> </w:t>
      </w:r>
      <w:r w:rsidRPr="00C85E6C">
        <w:t>author</w:t>
      </w:r>
      <w:r w:rsidR="009345EA">
        <w:t xml:space="preserve"> </w:t>
      </w:r>
      <w:r w:rsidRPr="00C85E6C">
        <w:t>argues</w:t>
      </w:r>
      <w:r w:rsidR="009345EA">
        <w:t xml:space="preserve"> </w:t>
      </w:r>
      <w:r w:rsidRPr="00C85E6C">
        <w:t>that</w:t>
      </w:r>
      <w:r w:rsidR="009345EA">
        <w:t xml:space="preserve"> </w:t>
      </w:r>
      <w:r w:rsidRPr="00C85E6C">
        <w:t>she</w:t>
      </w:r>
      <w:r w:rsidR="009345EA">
        <w:t xml:space="preserve"> </w:t>
      </w:r>
      <w:r w:rsidRPr="00C85E6C">
        <w:t>has</w:t>
      </w:r>
      <w:r w:rsidR="009345EA">
        <w:t xml:space="preserve"> </w:t>
      </w:r>
      <w:r w:rsidRPr="00C85E6C">
        <w:t>been</w:t>
      </w:r>
      <w:r w:rsidR="009345EA">
        <w:t xml:space="preserve"> </w:t>
      </w:r>
      <w:r w:rsidRPr="00C85E6C">
        <w:t>waiting</w:t>
      </w:r>
      <w:r w:rsidR="009345EA">
        <w:t xml:space="preserve"> </w:t>
      </w:r>
      <w:r w:rsidRPr="00C85E6C">
        <w:t>more</w:t>
      </w:r>
      <w:r w:rsidR="009345EA">
        <w:t xml:space="preserve"> </w:t>
      </w:r>
      <w:r w:rsidRPr="00C85E6C">
        <w:t>than</w:t>
      </w:r>
      <w:r w:rsidR="009345EA">
        <w:t xml:space="preserve"> </w:t>
      </w:r>
      <w:r w:rsidRPr="00C85E6C">
        <w:t>11</w:t>
      </w:r>
      <w:r w:rsidR="009345EA">
        <w:t xml:space="preserve"> </w:t>
      </w:r>
      <w:r w:rsidRPr="00C85E6C">
        <w:t>years</w:t>
      </w:r>
      <w:r w:rsidR="009345EA">
        <w:t xml:space="preserve"> </w:t>
      </w:r>
      <w:r w:rsidRPr="00C85E6C">
        <w:t>for</w:t>
      </w:r>
      <w:r w:rsidR="009345EA">
        <w:t xml:space="preserve"> </w:t>
      </w:r>
      <w:r w:rsidRPr="00C85E6C">
        <w:t>an</w:t>
      </w:r>
      <w:r w:rsidR="009345EA">
        <w:t xml:space="preserve"> </w:t>
      </w:r>
      <w:r w:rsidRPr="00C85E6C">
        <w:t>effective</w:t>
      </w:r>
      <w:r w:rsidR="009345EA">
        <w:t xml:space="preserve"> </w:t>
      </w:r>
      <w:r w:rsidRPr="00C85E6C">
        <w:t>remedy.</w:t>
      </w:r>
      <w:r w:rsidR="009345EA">
        <w:t xml:space="preserve"> </w:t>
      </w:r>
      <w:r w:rsidRPr="00C85E6C">
        <w:t>Such</w:t>
      </w:r>
      <w:r w:rsidR="009345EA">
        <w:t xml:space="preserve"> </w:t>
      </w:r>
      <w:r w:rsidRPr="00C85E6C">
        <w:t>delays</w:t>
      </w:r>
      <w:r w:rsidR="009345EA">
        <w:t xml:space="preserve"> </w:t>
      </w:r>
      <w:r w:rsidRPr="00C85E6C">
        <w:t>are</w:t>
      </w:r>
      <w:r w:rsidR="009345EA">
        <w:t xml:space="preserve"> </w:t>
      </w:r>
      <w:r w:rsidRPr="00C85E6C">
        <w:t>unjustified,</w:t>
      </w:r>
      <w:r w:rsidR="009345EA">
        <w:t xml:space="preserve"> </w:t>
      </w:r>
      <w:r w:rsidRPr="00C85E6C">
        <w:t>as</w:t>
      </w:r>
      <w:r w:rsidR="009345EA">
        <w:t xml:space="preserve"> </w:t>
      </w:r>
      <w:r w:rsidRPr="00C85E6C">
        <w:t>the</w:t>
      </w:r>
      <w:r w:rsidR="009345EA">
        <w:t xml:space="preserve"> </w:t>
      </w:r>
      <w:r w:rsidRPr="00C85E6C">
        <w:t>alleged</w:t>
      </w:r>
      <w:r w:rsidR="009345EA">
        <w:t xml:space="preserve"> </w:t>
      </w:r>
      <w:r w:rsidRPr="00C85E6C">
        <w:t>offenders</w:t>
      </w:r>
      <w:r w:rsidR="009345EA">
        <w:t xml:space="preserve"> </w:t>
      </w:r>
      <w:r w:rsidRPr="00C85E6C">
        <w:t>have</w:t>
      </w:r>
      <w:r w:rsidR="009345EA">
        <w:t xml:space="preserve"> </w:t>
      </w:r>
      <w:r w:rsidRPr="00C85E6C">
        <w:t>been</w:t>
      </w:r>
      <w:r w:rsidR="009345EA">
        <w:t xml:space="preserve"> </w:t>
      </w:r>
      <w:r w:rsidRPr="00C85E6C">
        <w:t>identified,</w:t>
      </w:r>
      <w:r w:rsidR="009345EA">
        <w:t xml:space="preserve"> </w:t>
      </w:r>
      <w:r w:rsidRPr="00C85E6C">
        <w:t>and</w:t>
      </w:r>
      <w:r w:rsidR="009345EA">
        <w:t xml:space="preserve"> </w:t>
      </w:r>
      <w:r w:rsidRPr="00C85E6C">
        <w:t>the</w:t>
      </w:r>
      <w:r w:rsidR="009345EA">
        <w:t xml:space="preserve"> </w:t>
      </w:r>
      <w:r w:rsidRPr="00C85E6C">
        <w:t>case</w:t>
      </w:r>
      <w:r w:rsidR="009345EA">
        <w:t xml:space="preserve"> </w:t>
      </w:r>
      <w:r w:rsidRPr="00C85E6C">
        <w:t>does</w:t>
      </w:r>
      <w:r w:rsidR="009345EA">
        <w:t xml:space="preserve"> </w:t>
      </w:r>
      <w:r w:rsidRPr="00C85E6C">
        <w:t>not</w:t>
      </w:r>
      <w:r w:rsidR="009345EA">
        <w:t xml:space="preserve"> </w:t>
      </w:r>
      <w:r w:rsidRPr="00C85E6C">
        <w:t>involve</w:t>
      </w:r>
      <w:r w:rsidR="009345EA">
        <w:t xml:space="preserve"> </w:t>
      </w:r>
      <w:r w:rsidRPr="00C85E6C">
        <w:t>any</w:t>
      </w:r>
      <w:r w:rsidR="009345EA">
        <w:t xml:space="preserve"> </w:t>
      </w:r>
      <w:r w:rsidRPr="00C85E6C">
        <w:t>complex</w:t>
      </w:r>
      <w:r w:rsidR="009345EA">
        <w:t xml:space="preserve"> </w:t>
      </w:r>
      <w:r w:rsidRPr="00C85E6C">
        <w:t>legal</w:t>
      </w:r>
      <w:r w:rsidR="009345EA">
        <w:t xml:space="preserve"> </w:t>
      </w:r>
      <w:r w:rsidRPr="00C85E6C">
        <w:t>or</w:t>
      </w:r>
      <w:r w:rsidR="009345EA">
        <w:t xml:space="preserve"> </w:t>
      </w:r>
      <w:r w:rsidRPr="00C85E6C">
        <w:t>factual</w:t>
      </w:r>
      <w:r w:rsidR="009345EA">
        <w:t xml:space="preserve"> </w:t>
      </w:r>
      <w:r w:rsidRPr="00C85E6C">
        <w:t>issues.</w:t>
      </w:r>
      <w:r w:rsidR="009345EA">
        <w:t xml:space="preserve"> </w:t>
      </w:r>
      <w:r w:rsidRPr="00C85E6C">
        <w:t>The</w:t>
      </w:r>
      <w:r w:rsidR="009345EA">
        <w:t xml:space="preserve"> </w:t>
      </w:r>
      <w:r w:rsidRPr="00C85E6C">
        <w:t>author</w:t>
      </w:r>
      <w:r w:rsidR="009345EA">
        <w:t xml:space="preserve"> </w:t>
      </w:r>
      <w:r w:rsidRPr="00C85E6C">
        <w:t>does</w:t>
      </w:r>
      <w:r w:rsidR="009345EA">
        <w:t xml:space="preserve"> </w:t>
      </w:r>
      <w:r w:rsidRPr="00C85E6C">
        <w:t>not</w:t>
      </w:r>
      <w:r w:rsidR="009345EA">
        <w:t xml:space="preserve"> </w:t>
      </w:r>
      <w:r w:rsidRPr="00C85E6C">
        <w:t>have</w:t>
      </w:r>
      <w:r w:rsidR="009345EA">
        <w:t xml:space="preserve"> </w:t>
      </w:r>
      <w:r w:rsidRPr="00C85E6C">
        <w:t>any</w:t>
      </w:r>
      <w:r w:rsidR="009345EA">
        <w:t xml:space="preserve"> </w:t>
      </w:r>
      <w:r w:rsidRPr="00C85E6C">
        <w:t>domestic</w:t>
      </w:r>
      <w:r w:rsidR="009345EA">
        <w:t xml:space="preserve"> </w:t>
      </w:r>
      <w:r w:rsidRPr="00C85E6C">
        <w:t>recourse</w:t>
      </w:r>
      <w:r w:rsidR="009345EA">
        <w:t xml:space="preserve"> </w:t>
      </w:r>
      <w:r w:rsidRPr="00C85E6C">
        <w:t>to</w:t>
      </w:r>
      <w:r w:rsidR="009345EA">
        <w:t xml:space="preserve"> </w:t>
      </w:r>
      <w:r w:rsidRPr="00C85E6C">
        <w:t>expedite</w:t>
      </w:r>
      <w:r w:rsidR="009345EA">
        <w:t xml:space="preserve"> </w:t>
      </w:r>
      <w:r w:rsidRPr="00C85E6C">
        <w:t>the</w:t>
      </w:r>
      <w:r w:rsidR="009345EA">
        <w:t xml:space="preserve"> </w:t>
      </w:r>
      <w:r w:rsidRPr="00C85E6C">
        <w:t>criminal</w:t>
      </w:r>
      <w:r w:rsidR="009345EA">
        <w:t xml:space="preserve"> </w:t>
      </w:r>
      <w:r w:rsidRPr="00C85E6C">
        <w:t>or</w:t>
      </w:r>
      <w:r w:rsidR="009345EA">
        <w:t xml:space="preserve"> </w:t>
      </w:r>
      <w:r w:rsidRPr="00C85E6C">
        <w:t>civil</w:t>
      </w:r>
      <w:r w:rsidR="009345EA">
        <w:t xml:space="preserve"> </w:t>
      </w:r>
      <w:r w:rsidRPr="00C85E6C">
        <w:t>proceedings</w:t>
      </w:r>
      <w:r w:rsidR="009345EA">
        <w:t xml:space="preserve"> </w:t>
      </w:r>
      <w:r w:rsidRPr="00C85E6C">
        <w:t>and,</w:t>
      </w:r>
      <w:r w:rsidR="009345EA">
        <w:t xml:space="preserve"> </w:t>
      </w:r>
      <w:r w:rsidRPr="00C85E6C">
        <w:t>considering</w:t>
      </w:r>
      <w:r w:rsidR="009345EA">
        <w:t xml:space="preserve"> </w:t>
      </w:r>
      <w:r w:rsidRPr="00C85E6C">
        <w:t>that</w:t>
      </w:r>
      <w:r w:rsidR="009345EA">
        <w:t xml:space="preserve"> </w:t>
      </w:r>
      <w:r w:rsidRPr="00C85E6C">
        <w:t>both</w:t>
      </w:r>
      <w:r w:rsidR="009345EA">
        <w:t xml:space="preserve"> </w:t>
      </w:r>
      <w:r w:rsidRPr="00C85E6C">
        <w:t>cases</w:t>
      </w:r>
      <w:r w:rsidR="009345EA">
        <w:t xml:space="preserve"> </w:t>
      </w:r>
      <w:r w:rsidRPr="00C85E6C">
        <w:t>were</w:t>
      </w:r>
      <w:r w:rsidR="009345EA">
        <w:t xml:space="preserve"> </w:t>
      </w:r>
      <w:r w:rsidRPr="00C85E6C">
        <w:t>still</w:t>
      </w:r>
      <w:r w:rsidR="009345EA">
        <w:t xml:space="preserve"> </w:t>
      </w:r>
      <w:r w:rsidRPr="00C85E6C">
        <w:t>at</w:t>
      </w:r>
      <w:r w:rsidR="009345EA">
        <w:t xml:space="preserve"> </w:t>
      </w:r>
      <w:r w:rsidRPr="00C85E6C">
        <w:t>first</w:t>
      </w:r>
      <w:r w:rsidR="009345EA">
        <w:t xml:space="preserve"> </w:t>
      </w:r>
      <w:r w:rsidRPr="00C85E6C">
        <w:t>instance</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her</w:t>
      </w:r>
      <w:r w:rsidR="009345EA">
        <w:t xml:space="preserve"> </w:t>
      </w:r>
      <w:r w:rsidRPr="00C85E6C">
        <w:t>complaint,</w:t>
      </w:r>
      <w:r w:rsidR="009345EA">
        <w:t xml:space="preserve"> </w:t>
      </w:r>
      <w:r w:rsidRPr="00C85E6C">
        <w:t>proceedings</w:t>
      </w:r>
      <w:r w:rsidR="009345EA">
        <w:t xml:space="preserve"> </w:t>
      </w:r>
      <w:r w:rsidRPr="00C85E6C">
        <w:t>before</w:t>
      </w:r>
      <w:r w:rsidR="009345EA">
        <w:t xml:space="preserve"> </w:t>
      </w:r>
      <w:r w:rsidRPr="00C85E6C">
        <w:t>the</w:t>
      </w:r>
      <w:r w:rsidR="009345EA">
        <w:t xml:space="preserve"> </w:t>
      </w:r>
      <w:r w:rsidRPr="00C85E6C">
        <w:t>superior</w:t>
      </w:r>
      <w:r w:rsidR="009345EA">
        <w:t xml:space="preserve"> </w:t>
      </w:r>
      <w:r w:rsidRPr="00C85E6C">
        <w:t>courts</w:t>
      </w:r>
      <w:r w:rsidR="009345EA">
        <w:t xml:space="preserve"> </w:t>
      </w:r>
      <w:r w:rsidRPr="00C85E6C">
        <w:t>are</w:t>
      </w:r>
      <w:r w:rsidR="009345EA">
        <w:t xml:space="preserve"> </w:t>
      </w:r>
      <w:r w:rsidRPr="00C85E6C">
        <w:t>likely</w:t>
      </w:r>
      <w:r w:rsidR="009345EA">
        <w:t xml:space="preserve"> </w:t>
      </w:r>
      <w:r w:rsidRPr="00C85E6C">
        <w:t>to</w:t>
      </w:r>
      <w:r w:rsidR="009345EA">
        <w:t xml:space="preserve"> </w:t>
      </w:r>
      <w:r w:rsidRPr="00C85E6C">
        <w:t>bring</w:t>
      </w:r>
      <w:r w:rsidR="009345EA">
        <w:t xml:space="preserve"> </w:t>
      </w:r>
      <w:r w:rsidRPr="00C85E6C">
        <w:t>further</w:t>
      </w:r>
      <w:r w:rsidR="009345EA">
        <w:t xml:space="preserve"> </w:t>
      </w:r>
      <w:r w:rsidRPr="00C85E6C">
        <w:t>delays.</w:t>
      </w:r>
      <w:r w:rsidR="009345EA">
        <w:t xml:space="preserve"> </w:t>
      </w:r>
      <w:r w:rsidRPr="00C85E6C">
        <w:t>The</w:t>
      </w:r>
      <w:r w:rsidR="009345EA">
        <w:t xml:space="preserve"> </w:t>
      </w:r>
      <w:r w:rsidRPr="00C85E6C">
        <w:t>author</w:t>
      </w:r>
      <w:r w:rsidR="009345EA">
        <w:t xml:space="preserve"> </w:t>
      </w:r>
      <w:r w:rsidRPr="00C85E6C">
        <w:t>claims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therefore</w:t>
      </w:r>
      <w:r w:rsidR="009345EA">
        <w:t xml:space="preserve"> </w:t>
      </w:r>
      <w:r w:rsidRPr="00C85E6C">
        <w:t>failed</w:t>
      </w:r>
      <w:r w:rsidR="009345EA">
        <w:t xml:space="preserve"> </w:t>
      </w:r>
      <w:r w:rsidRPr="00C85E6C">
        <w:t>in</w:t>
      </w:r>
      <w:r w:rsidR="009345EA">
        <w:t xml:space="preserve"> </w:t>
      </w:r>
      <w:r w:rsidRPr="00C85E6C">
        <w:t>its</w:t>
      </w:r>
      <w:r w:rsidR="009345EA">
        <w:t xml:space="preserve"> </w:t>
      </w:r>
      <w:r w:rsidRPr="00C85E6C">
        <w:t>positive</w:t>
      </w:r>
      <w:r w:rsidR="009345EA">
        <w:t xml:space="preserve"> </w:t>
      </w:r>
      <w:r w:rsidRPr="00C85E6C">
        <w:t>obligations</w:t>
      </w:r>
      <w:r w:rsidR="009345EA">
        <w:t xml:space="preserve"> </w:t>
      </w:r>
      <w:r w:rsidRPr="00C85E6C">
        <w:t>to</w:t>
      </w:r>
      <w:r w:rsidR="009345EA">
        <w:t xml:space="preserve"> </w:t>
      </w:r>
      <w:r w:rsidRPr="00C85E6C">
        <w:t>protect</w:t>
      </w:r>
      <w:r w:rsidR="009345EA">
        <w:t xml:space="preserve"> </w:t>
      </w:r>
      <w:r w:rsidRPr="00C85E6C">
        <w:t>her,</w:t>
      </w:r>
      <w:r w:rsidR="009345EA">
        <w:t xml:space="preserve"> </w:t>
      </w:r>
      <w:r w:rsidRPr="00C85E6C">
        <w:t>to</w:t>
      </w:r>
      <w:r w:rsidR="009345EA">
        <w:t xml:space="preserve"> </w:t>
      </w:r>
      <w:r w:rsidRPr="00C85E6C">
        <w:t>effectively</w:t>
      </w:r>
      <w:r w:rsidR="009345EA">
        <w:t xml:space="preserve"> </w:t>
      </w:r>
      <w:r w:rsidRPr="00C85E6C">
        <w:t>investigate</w:t>
      </w:r>
      <w:r w:rsidR="009345EA">
        <w:t xml:space="preserve"> </w:t>
      </w:r>
      <w:r w:rsidRPr="00C85E6C">
        <w:t>her</w:t>
      </w:r>
      <w:r w:rsidR="009345EA">
        <w:t xml:space="preserve"> </w:t>
      </w:r>
      <w:r w:rsidRPr="00C85E6C">
        <w:t>claim</w:t>
      </w:r>
      <w:r w:rsidR="009345EA">
        <w:t xml:space="preserve"> </w:t>
      </w:r>
      <w:r w:rsidRPr="00C85E6C">
        <w:t>and</w:t>
      </w:r>
      <w:r w:rsidR="009345EA">
        <w:t xml:space="preserve"> </w:t>
      </w:r>
      <w:r w:rsidRPr="00C85E6C">
        <w:t>to</w:t>
      </w:r>
      <w:r w:rsidR="009345EA">
        <w:t xml:space="preserve"> </w:t>
      </w:r>
      <w:r w:rsidRPr="00C85E6C">
        <w:t>prosecute</w:t>
      </w:r>
      <w:r w:rsidR="009345EA">
        <w:t xml:space="preserve"> </w:t>
      </w:r>
      <w:r w:rsidRPr="00C85E6C">
        <w:t>the</w:t>
      </w:r>
      <w:r w:rsidR="009345EA">
        <w:t xml:space="preserve"> </w:t>
      </w:r>
      <w:r w:rsidRPr="00C85E6C">
        <w:t>offenders,</w:t>
      </w:r>
      <w:r w:rsidR="009345EA">
        <w:t xml:space="preserve"> </w:t>
      </w:r>
      <w:r w:rsidRPr="00C85E6C">
        <w:t>thereby</w:t>
      </w:r>
      <w:r w:rsidR="009345EA">
        <w:t xml:space="preserve"> </w:t>
      </w:r>
      <w:r w:rsidRPr="00C85E6C">
        <w:t>violating</w:t>
      </w:r>
      <w:r w:rsidR="009345EA">
        <w:t xml:space="preserve"> </w:t>
      </w:r>
      <w:r w:rsidRPr="00C85E6C">
        <w:t>her</w:t>
      </w:r>
      <w:r w:rsidR="009345EA">
        <w:t xml:space="preserve"> </w:t>
      </w:r>
      <w:r w:rsidRPr="00C85E6C">
        <w:t>rights</w:t>
      </w:r>
      <w:r w:rsidR="009345EA">
        <w:t xml:space="preserve"> </w:t>
      </w:r>
      <w:r w:rsidRPr="00C85E6C">
        <w:t>under</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read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7,</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p>
    <w:p w:rsidR="00D06B7B" w:rsidRPr="00C85E6C" w:rsidRDefault="00D06B7B" w:rsidP="00FF3573">
      <w:pPr>
        <w:pStyle w:val="SingleTxtG"/>
      </w:pPr>
      <w:r w:rsidRPr="00C85E6C">
        <w:t>3.3</w:t>
      </w:r>
      <w:r w:rsidRPr="00C85E6C">
        <w:tab/>
        <w:t>The</w:t>
      </w:r>
      <w:r w:rsidR="009345EA">
        <w:t xml:space="preserve"> </w:t>
      </w:r>
      <w:r w:rsidRPr="00C85E6C">
        <w:t>author</w:t>
      </w:r>
      <w:r w:rsidR="009345EA">
        <w:t xml:space="preserve"> </w:t>
      </w:r>
      <w:r w:rsidRPr="00C85E6C">
        <w:t>moreover</w:t>
      </w:r>
      <w:r w:rsidR="009345EA">
        <w:t xml:space="preserve"> </w:t>
      </w:r>
      <w:r w:rsidRPr="00C85E6C">
        <w:t>contends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EB40F1">
        <w:t>’</w:t>
      </w:r>
      <w:r w:rsidRPr="00C85E6C">
        <w:t>s</w:t>
      </w:r>
      <w:r w:rsidR="009345EA">
        <w:t xml:space="preserve"> </w:t>
      </w:r>
      <w:r w:rsidRPr="00C85E6C">
        <w:t>authorities</w:t>
      </w:r>
      <w:r w:rsidR="009345EA">
        <w:t xml:space="preserve"> </w:t>
      </w:r>
      <w:r w:rsidRPr="00C85E6C">
        <w:t>failed</w:t>
      </w:r>
      <w:r w:rsidR="009345EA">
        <w:t xml:space="preserve"> </w:t>
      </w:r>
      <w:r w:rsidRPr="00C85E6C">
        <w:t>to</w:t>
      </w:r>
      <w:r w:rsidR="009345EA">
        <w:t xml:space="preserve"> </w:t>
      </w:r>
      <w:r w:rsidRPr="00C85E6C">
        <w:t>carry</w:t>
      </w:r>
      <w:r w:rsidR="009345EA">
        <w:t xml:space="preserve"> </w:t>
      </w:r>
      <w:r w:rsidRPr="00C85E6C">
        <w:t>out</w:t>
      </w:r>
      <w:r w:rsidR="009345EA">
        <w:t xml:space="preserve"> </w:t>
      </w:r>
      <w:r w:rsidRPr="00C85E6C">
        <w:t>a</w:t>
      </w:r>
      <w:r w:rsidR="009345EA">
        <w:t xml:space="preserve"> </w:t>
      </w:r>
      <w:r w:rsidRPr="00C85E6C">
        <w:t>child-sensitive</w:t>
      </w:r>
      <w:r w:rsidR="009345EA">
        <w:t xml:space="preserve"> </w:t>
      </w:r>
      <w:r w:rsidRPr="00C85E6C">
        <w:t>and</w:t>
      </w:r>
      <w:r w:rsidR="009345EA">
        <w:t xml:space="preserve"> </w:t>
      </w:r>
      <w:r w:rsidRPr="00C85E6C">
        <w:t>effective</w:t>
      </w:r>
      <w:r w:rsidR="009345EA">
        <w:t xml:space="preserve"> </w:t>
      </w:r>
      <w:r w:rsidRPr="00C85E6C">
        <w:t>approach</w:t>
      </w:r>
      <w:r w:rsidR="009345EA">
        <w:t xml:space="preserve"> </w:t>
      </w:r>
      <w:r w:rsidRPr="00C85E6C">
        <w:t>during</w:t>
      </w:r>
      <w:r w:rsidR="009345EA">
        <w:t xml:space="preserve"> </w:t>
      </w:r>
      <w:r w:rsidRPr="00C85E6C">
        <w:t>the</w:t>
      </w:r>
      <w:r w:rsidR="009345EA">
        <w:t xml:space="preserve"> </w:t>
      </w:r>
      <w:r w:rsidRPr="00C85E6C">
        <w:t>investigation</w:t>
      </w:r>
      <w:r w:rsidR="009345EA">
        <w:t xml:space="preserve"> </w:t>
      </w:r>
      <w:r w:rsidRPr="00C85E6C">
        <w:t>and</w:t>
      </w:r>
      <w:r w:rsidR="009345EA">
        <w:t xml:space="preserve"> </w:t>
      </w:r>
      <w:r w:rsidRPr="00C85E6C">
        <w:t>court</w:t>
      </w:r>
      <w:r w:rsidR="009345EA">
        <w:t xml:space="preserve"> </w:t>
      </w:r>
      <w:r w:rsidRPr="00C85E6C">
        <w:t>proceedings,</w:t>
      </w:r>
      <w:r w:rsidR="009345EA">
        <w:t xml:space="preserve"> </w:t>
      </w:r>
      <w:r w:rsidRPr="00C85E6C">
        <w:t>and</w:t>
      </w:r>
      <w:r w:rsidR="009345EA">
        <w:t xml:space="preserve"> </w:t>
      </w:r>
      <w:r w:rsidRPr="00C85E6C">
        <w:t>to</w:t>
      </w:r>
      <w:r w:rsidR="009345EA">
        <w:t xml:space="preserve"> </w:t>
      </w:r>
      <w:r w:rsidRPr="00C85E6C">
        <w:t>provide</w:t>
      </w:r>
      <w:r w:rsidR="009345EA">
        <w:t xml:space="preserve"> </w:t>
      </w:r>
      <w:r w:rsidRPr="00C85E6C">
        <w:t>her</w:t>
      </w:r>
      <w:r w:rsidR="009345EA">
        <w:t xml:space="preserve"> </w:t>
      </w:r>
      <w:r w:rsidRPr="00C85E6C">
        <w:t>with</w:t>
      </w:r>
      <w:r w:rsidR="009345EA">
        <w:t xml:space="preserve"> </w:t>
      </w:r>
      <w:r w:rsidRPr="00C85E6C">
        <w:t>effective</w:t>
      </w:r>
      <w:r w:rsidR="009345EA">
        <w:t xml:space="preserve"> </w:t>
      </w:r>
      <w:r w:rsidRPr="00C85E6C">
        <w:t>remedies,</w:t>
      </w:r>
      <w:r w:rsidR="009345EA">
        <w:t xml:space="preserve"> </w:t>
      </w:r>
      <w:r w:rsidRPr="00C85E6C">
        <w:t>thereby</w:t>
      </w:r>
      <w:r w:rsidR="009345EA">
        <w:t xml:space="preserve"> </w:t>
      </w:r>
      <w:r w:rsidRPr="00C85E6C">
        <w:t>breaching</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read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24</w:t>
      </w:r>
      <w:r w:rsidR="009345EA">
        <w:t xml:space="preserve"> </w:t>
      </w:r>
      <w:r w:rsidRPr="00C85E6C">
        <w:t>(1),</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p>
    <w:p w:rsidR="00D06B7B" w:rsidRPr="00C85E6C" w:rsidRDefault="00D06B7B" w:rsidP="00FF3573">
      <w:pPr>
        <w:pStyle w:val="SingleTxtG"/>
      </w:pPr>
      <w:r w:rsidRPr="00C85E6C">
        <w:t>3.4</w:t>
      </w:r>
      <w:r w:rsidRPr="00C85E6C">
        <w:tab/>
        <w:t>Finally,</w:t>
      </w:r>
      <w:r w:rsidR="009345EA">
        <w:t xml:space="preserve"> </w:t>
      </w:r>
      <w:r w:rsidRPr="00C85E6C">
        <w:t>the</w:t>
      </w:r>
      <w:r w:rsidR="009345EA">
        <w:t xml:space="preserve"> </w:t>
      </w:r>
      <w:r w:rsidRPr="00C85E6C">
        <w:t>author</w:t>
      </w:r>
      <w:r w:rsidR="009345EA">
        <w:t xml:space="preserve"> </w:t>
      </w:r>
      <w:r w:rsidRPr="00C85E6C">
        <w:t>contends</w:t>
      </w:r>
      <w:r w:rsidR="009345EA">
        <w:t xml:space="preserve"> </w:t>
      </w:r>
      <w:r w:rsidRPr="00C85E6C">
        <w:t>that</w:t>
      </w:r>
      <w:r w:rsidR="009345EA">
        <w:t xml:space="preserve"> </w:t>
      </w:r>
      <w:r w:rsidRPr="00C85E6C">
        <w:t>the</w:t>
      </w:r>
      <w:r w:rsidR="009345EA">
        <w:t xml:space="preserve"> </w:t>
      </w:r>
      <w:r w:rsidRPr="00C85E6C">
        <w:t>failure</w:t>
      </w:r>
      <w:r w:rsidR="009345EA">
        <w:t xml:space="preserve"> </w:t>
      </w:r>
      <w:r w:rsidRPr="00C85E6C">
        <w:t>of</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to</w:t>
      </w:r>
      <w:r w:rsidR="009345EA">
        <w:t xml:space="preserve"> </w:t>
      </w:r>
      <w:r w:rsidRPr="00C85E6C">
        <w:t>take</w:t>
      </w:r>
      <w:r w:rsidR="009345EA">
        <w:t xml:space="preserve"> </w:t>
      </w:r>
      <w:r w:rsidRPr="00C85E6C">
        <w:t>effective</w:t>
      </w:r>
      <w:r w:rsidR="009345EA">
        <w:t xml:space="preserve"> </w:t>
      </w:r>
      <w:r w:rsidRPr="00C85E6C">
        <w:t>action</w:t>
      </w:r>
      <w:r w:rsidR="009345EA">
        <w:t xml:space="preserve"> </w:t>
      </w:r>
      <w:r w:rsidRPr="00C85E6C">
        <w:t>following</w:t>
      </w:r>
      <w:r w:rsidR="009345EA">
        <w:t xml:space="preserve"> </w:t>
      </w:r>
      <w:r w:rsidRPr="00C85E6C">
        <w:t>her</w:t>
      </w:r>
      <w:r w:rsidR="009345EA">
        <w:t xml:space="preserve"> </w:t>
      </w:r>
      <w:r w:rsidRPr="00C85E6C">
        <w:t>rape</w:t>
      </w:r>
      <w:r w:rsidR="009345EA">
        <w:t xml:space="preserve"> </w:t>
      </w:r>
      <w:r w:rsidRPr="00C85E6C">
        <w:t>breached</w:t>
      </w:r>
      <w:r w:rsidR="009345EA">
        <w:t xml:space="preserve"> </w:t>
      </w:r>
      <w:r w:rsidRPr="00C85E6C">
        <w:t>articles</w:t>
      </w:r>
      <w:r w:rsidR="009345EA">
        <w:t xml:space="preserve"> </w:t>
      </w:r>
      <w:r w:rsidRPr="00C85E6C">
        <w:t>2</w:t>
      </w:r>
      <w:r w:rsidR="009345EA">
        <w:t xml:space="preserve"> </w:t>
      </w:r>
      <w:r w:rsidRPr="00C85E6C">
        <w:t>(1),</w:t>
      </w:r>
      <w:r w:rsidR="009345EA">
        <w:t xml:space="preserve"> </w:t>
      </w:r>
      <w:r w:rsidRPr="00C85E6C">
        <w:t>3</w:t>
      </w:r>
      <w:r w:rsidR="009345EA">
        <w:t xml:space="preserve"> </w:t>
      </w:r>
      <w:r w:rsidRPr="00C85E6C">
        <w:t>and</w:t>
      </w:r>
      <w:r w:rsidR="009345EA">
        <w:t xml:space="preserve"> </w:t>
      </w:r>
      <w:r w:rsidRPr="00C85E6C">
        <w:t>26</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due</w:t>
      </w:r>
      <w:r w:rsidR="009345EA">
        <w:t xml:space="preserve"> </w:t>
      </w:r>
      <w:r w:rsidRPr="00C85E6C">
        <w:t>to</w:t>
      </w:r>
      <w:r w:rsidR="009345EA">
        <w:t xml:space="preserve"> </w:t>
      </w:r>
      <w:r w:rsidRPr="00C85E6C">
        <w:t>the</w:t>
      </w:r>
      <w:r w:rsidR="009345EA">
        <w:t xml:space="preserve"> </w:t>
      </w:r>
      <w:r w:rsidRPr="00C85E6C">
        <w:t>discriminatory</w:t>
      </w:r>
      <w:r w:rsidR="009345EA">
        <w:t xml:space="preserve"> </w:t>
      </w:r>
      <w:r w:rsidRPr="00C85E6C">
        <w:t>treatment</w:t>
      </w:r>
      <w:r w:rsidR="009345EA">
        <w:t xml:space="preserve"> </w:t>
      </w:r>
      <w:r w:rsidRPr="00C85E6C">
        <w:t>that</w:t>
      </w:r>
      <w:r w:rsidR="009345EA">
        <w:t xml:space="preserve"> </w:t>
      </w:r>
      <w:r w:rsidRPr="00C85E6C">
        <w:t>she</w:t>
      </w:r>
      <w:r w:rsidR="009345EA">
        <w:t xml:space="preserve"> </w:t>
      </w:r>
      <w:r w:rsidRPr="00C85E6C">
        <w:t>has</w:t>
      </w:r>
      <w:r w:rsidR="009345EA">
        <w:t xml:space="preserve"> </w:t>
      </w:r>
      <w:r w:rsidRPr="00C85E6C">
        <w:t>been</w:t>
      </w:r>
      <w:r w:rsidR="009345EA">
        <w:t xml:space="preserve"> </w:t>
      </w:r>
      <w:r w:rsidRPr="00C85E6C">
        <w:t>subjected</w:t>
      </w:r>
      <w:r w:rsidR="009345EA">
        <w:t xml:space="preserve"> </w:t>
      </w:r>
      <w:r w:rsidRPr="00C85E6C">
        <w:t>to</w:t>
      </w:r>
      <w:r w:rsidR="009345EA">
        <w:t xml:space="preserve"> </w:t>
      </w:r>
      <w:r w:rsidRPr="00C85E6C">
        <w:t>by</w:t>
      </w:r>
      <w:r w:rsidR="009345EA">
        <w:t xml:space="preserve"> </w:t>
      </w:r>
      <w:r w:rsidRPr="00C85E6C">
        <w:t>the</w:t>
      </w:r>
      <w:r w:rsidR="009345EA">
        <w:t xml:space="preserve"> </w:t>
      </w:r>
      <w:r w:rsidRPr="00C85E6C">
        <w:t>Sri</w:t>
      </w:r>
      <w:r w:rsidR="009345EA">
        <w:t xml:space="preserve"> </w:t>
      </w:r>
      <w:r w:rsidRPr="00C85E6C">
        <w:t>Lankan</w:t>
      </w:r>
      <w:r w:rsidR="009345EA">
        <w:t xml:space="preserve"> </w:t>
      </w:r>
      <w:r w:rsidRPr="00C85E6C">
        <w:t>authorities,</w:t>
      </w:r>
      <w:r w:rsidR="009345EA">
        <w:t xml:space="preserve"> </w:t>
      </w:r>
      <w:r w:rsidRPr="00C85E6C">
        <w:t>which</w:t>
      </w:r>
      <w:r w:rsidR="009345EA">
        <w:t xml:space="preserve"> </w:t>
      </w:r>
      <w:r w:rsidRPr="00C85E6C">
        <w:t>failed</w:t>
      </w:r>
      <w:r w:rsidR="009345EA">
        <w:t xml:space="preserve"> </w:t>
      </w:r>
      <w:r w:rsidRPr="00C85E6C">
        <w:t>to</w:t>
      </w:r>
      <w:r w:rsidR="009345EA">
        <w:t xml:space="preserve"> </w:t>
      </w:r>
      <w:r w:rsidRPr="00C85E6C">
        <w:t>afford</w:t>
      </w:r>
      <w:r w:rsidR="009345EA">
        <w:t xml:space="preserve"> </w:t>
      </w:r>
      <w:r w:rsidRPr="00C85E6C">
        <w:t>protection</w:t>
      </w:r>
      <w:r w:rsidR="009345EA">
        <w:t xml:space="preserve"> </w:t>
      </w:r>
      <w:r w:rsidRPr="00C85E6C">
        <w:t>to</w:t>
      </w:r>
      <w:r w:rsidR="009345EA">
        <w:t xml:space="preserve"> </w:t>
      </w:r>
      <w:r w:rsidRPr="00C85E6C">
        <w:t>the</w:t>
      </w:r>
      <w:r w:rsidR="009345EA">
        <w:t xml:space="preserve"> </w:t>
      </w:r>
      <w:r w:rsidRPr="00C85E6C">
        <w:t>author</w:t>
      </w:r>
      <w:r w:rsidR="009345EA">
        <w:t xml:space="preserve"> </w:t>
      </w:r>
      <w:r w:rsidRPr="00C85E6C">
        <w:t>as</w:t>
      </w:r>
      <w:r w:rsidR="009345EA">
        <w:t xml:space="preserve"> </w:t>
      </w:r>
      <w:r w:rsidRPr="00C85E6C">
        <w:t>a</w:t>
      </w:r>
      <w:r w:rsidR="009345EA">
        <w:t xml:space="preserve"> </w:t>
      </w:r>
      <w:r w:rsidRPr="00C85E6C">
        <w:t>Tamil</w:t>
      </w:r>
      <w:r w:rsidR="009345EA">
        <w:t xml:space="preserve"> </w:t>
      </w:r>
      <w:r w:rsidRPr="00C85E6C">
        <w:t>woman.</w:t>
      </w:r>
      <w:r w:rsidR="009345EA">
        <w:t xml:space="preserve"> </w:t>
      </w:r>
      <w:r w:rsidRPr="00C85E6C">
        <w:t>She</w:t>
      </w:r>
      <w:r w:rsidR="009345EA">
        <w:t xml:space="preserve"> </w:t>
      </w:r>
      <w:r w:rsidRPr="00C85E6C">
        <w:t>submits</w:t>
      </w:r>
      <w:r w:rsidR="009345EA">
        <w:t xml:space="preserve"> </w:t>
      </w:r>
      <w:r w:rsidRPr="00C85E6C">
        <w:t>that</w:t>
      </w:r>
      <w:r w:rsidR="009345EA">
        <w:t xml:space="preserve"> </w:t>
      </w:r>
      <w:r w:rsidRPr="00C85E6C">
        <w:t>her</w:t>
      </w:r>
      <w:r w:rsidR="009345EA">
        <w:t xml:space="preserve"> </w:t>
      </w:r>
      <w:r w:rsidRPr="00C85E6C">
        <w:t>allegations</w:t>
      </w:r>
      <w:r w:rsidR="009345EA">
        <w:t xml:space="preserve"> </w:t>
      </w:r>
      <w:r w:rsidRPr="00C85E6C">
        <w:t>in</w:t>
      </w:r>
      <w:r w:rsidR="009345EA">
        <w:t xml:space="preserve"> </w:t>
      </w:r>
      <w:r w:rsidRPr="00C85E6C">
        <w:t>that</w:t>
      </w:r>
      <w:r w:rsidR="009345EA">
        <w:t xml:space="preserve"> </w:t>
      </w:r>
      <w:r w:rsidRPr="00C85E6C">
        <w:t>regard</w:t>
      </w:r>
      <w:r w:rsidR="009345EA">
        <w:t xml:space="preserve"> </w:t>
      </w:r>
      <w:r w:rsidRPr="00C85E6C">
        <w:t>should</w:t>
      </w:r>
      <w:r w:rsidR="009345EA">
        <w:t xml:space="preserve"> </w:t>
      </w:r>
      <w:r w:rsidRPr="00C85E6C">
        <w:t>be</w:t>
      </w:r>
      <w:r w:rsidR="009345EA">
        <w:t xml:space="preserve"> </w:t>
      </w:r>
      <w:r w:rsidRPr="00C85E6C">
        <w:t>considered</w:t>
      </w:r>
      <w:r w:rsidR="009345EA">
        <w:t xml:space="preserve"> </w:t>
      </w:r>
      <w:r w:rsidRPr="00C85E6C">
        <w:t>in</w:t>
      </w:r>
      <w:r w:rsidR="009345EA">
        <w:t xml:space="preserve"> </w:t>
      </w:r>
      <w:r w:rsidRPr="00C85E6C">
        <w:t>the</w:t>
      </w:r>
      <w:r w:rsidR="009345EA">
        <w:t xml:space="preserve"> </w:t>
      </w:r>
      <w:r w:rsidRPr="00C85E6C">
        <w:t>context</w:t>
      </w:r>
      <w:r w:rsidR="009345EA">
        <w:t xml:space="preserve"> </w:t>
      </w:r>
      <w:r w:rsidRPr="00C85E6C">
        <w:t>of</w:t>
      </w:r>
      <w:r w:rsidR="009345EA">
        <w:t xml:space="preserve"> </w:t>
      </w:r>
      <w:r w:rsidRPr="00C85E6C">
        <w:t>the</w:t>
      </w:r>
      <w:r w:rsidR="009345EA">
        <w:t xml:space="preserve"> </w:t>
      </w:r>
      <w:r w:rsidRPr="00C85E6C">
        <w:t>long-standing</w:t>
      </w:r>
      <w:r w:rsidR="009345EA">
        <w:t xml:space="preserve"> </w:t>
      </w:r>
      <w:r w:rsidRPr="00C85E6C">
        <w:t>and</w:t>
      </w:r>
      <w:r w:rsidR="009345EA">
        <w:t xml:space="preserve"> </w:t>
      </w:r>
      <w:r w:rsidRPr="00C85E6C">
        <w:t>widespread</w:t>
      </w:r>
      <w:r w:rsidR="009345EA">
        <w:t xml:space="preserve"> </w:t>
      </w:r>
      <w:r w:rsidRPr="00C85E6C">
        <w:t>discrimination</w:t>
      </w:r>
      <w:r w:rsidR="009345EA">
        <w:t xml:space="preserve"> </w:t>
      </w:r>
      <w:r w:rsidRPr="00C85E6C">
        <w:t>against</w:t>
      </w:r>
      <w:r w:rsidR="009345EA">
        <w:t xml:space="preserve"> </w:t>
      </w:r>
      <w:r w:rsidRPr="00C85E6C">
        <w:t>women</w:t>
      </w:r>
      <w:r w:rsidR="009345EA">
        <w:t xml:space="preserve"> </w:t>
      </w:r>
      <w:r w:rsidRPr="00C85E6C">
        <w:t>and</w:t>
      </w:r>
      <w:r w:rsidR="009345EA">
        <w:t xml:space="preserve"> </w:t>
      </w:r>
      <w:r w:rsidRPr="00C85E6C">
        <w:t>Indian</w:t>
      </w:r>
      <w:r w:rsidR="009345EA">
        <w:t xml:space="preserve"> </w:t>
      </w:r>
      <w:r w:rsidRPr="00C85E6C">
        <w:t>Tamils</w:t>
      </w:r>
      <w:r w:rsidR="009345EA">
        <w:t xml:space="preserve"> </w:t>
      </w:r>
      <w:r w:rsidRPr="00C85E6C">
        <w:t>in</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She</w:t>
      </w:r>
      <w:r w:rsidR="009345EA">
        <w:t xml:space="preserve"> </w:t>
      </w:r>
      <w:r w:rsidRPr="00C85E6C">
        <w:t>submits</w:t>
      </w:r>
      <w:r w:rsidR="009345EA">
        <w:t xml:space="preserve"> </w:t>
      </w:r>
      <w:r w:rsidRPr="00C85E6C">
        <w:t>that</w:t>
      </w:r>
      <w:r w:rsidR="009345EA">
        <w:t xml:space="preserve"> </w:t>
      </w:r>
      <w:r w:rsidRPr="00C85E6C">
        <w:t>her</w:t>
      </w:r>
      <w:r w:rsidR="009345EA">
        <w:t xml:space="preserve"> </w:t>
      </w:r>
      <w:r w:rsidRPr="00C85E6C">
        <w:t>gender</w:t>
      </w:r>
      <w:r w:rsidR="009345EA">
        <w:t xml:space="preserve"> </w:t>
      </w:r>
      <w:r w:rsidRPr="00C85E6C">
        <w:t>and</w:t>
      </w:r>
      <w:r w:rsidR="009345EA">
        <w:t xml:space="preserve"> </w:t>
      </w:r>
      <w:r w:rsidRPr="00C85E6C">
        <w:t>ethnicity</w:t>
      </w:r>
      <w:r w:rsidR="009345EA">
        <w:t xml:space="preserve"> </w:t>
      </w:r>
      <w:r w:rsidRPr="00C85E6C">
        <w:t>made</w:t>
      </w:r>
      <w:r w:rsidR="009345EA">
        <w:t xml:space="preserve"> </w:t>
      </w:r>
      <w:r w:rsidRPr="00C85E6C">
        <w:t>her</w:t>
      </w:r>
      <w:r w:rsidR="009345EA">
        <w:t xml:space="preserve"> </w:t>
      </w:r>
      <w:r w:rsidRPr="00C85E6C">
        <w:t>an</w:t>
      </w:r>
      <w:r w:rsidR="009345EA">
        <w:t xml:space="preserve"> </w:t>
      </w:r>
      <w:r w:rsidRPr="00C85E6C">
        <w:t>easy</w:t>
      </w:r>
      <w:r w:rsidR="009345EA">
        <w:t xml:space="preserve"> </w:t>
      </w:r>
      <w:r w:rsidRPr="00C85E6C">
        <w:t>target</w:t>
      </w:r>
      <w:r w:rsidR="009345EA">
        <w:t xml:space="preserve"> </w:t>
      </w:r>
      <w:r w:rsidRPr="00C85E6C">
        <w:t>for</w:t>
      </w:r>
      <w:r w:rsidR="009345EA">
        <w:t xml:space="preserve"> </w:t>
      </w:r>
      <w:r w:rsidRPr="00C85E6C">
        <w:t>rape,</w:t>
      </w:r>
      <w:r w:rsidR="009345EA">
        <w:t xml:space="preserve"> </w:t>
      </w:r>
      <w:r w:rsidRPr="00C85E6C">
        <w:t>which</w:t>
      </w:r>
      <w:r w:rsidR="009345EA">
        <w:t xml:space="preserve"> </w:t>
      </w:r>
      <w:r w:rsidRPr="00C85E6C">
        <w:t>is</w:t>
      </w:r>
      <w:r w:rsidR="009345EA">
        <w:t xml:space="preserve"> </w:t>
      </w:r>
      <w:r w:rsidRPr="00C85E6C">
        <w:t>to</w:t>
      </w:r>
      <w:r w:rsidR="009345EA">
        <w:t xml:space="preserve"> </w:t>
      </w:r>
      <w:r w:rsidRPr="00C85E6C">
        <w:t>be</w:t>
      </w:r>
      <w:r w:rsidR="009345EA">
        <w:t xml:space="preserve"> </w:t>
      </w:r>
      <w:r w:rsidRPr="00C85E6C">
        <w:t>considered</w:t>
      </w:r>
      <w:r w:rsidR="009345EA">
        <w:t xml:space="preserve"> </w:t>
      </w:r>
      <w:r w:rsidRPr="00C85E6C">
        <w:t>as</w:t>
      </w:r>
      <w:r w:rsidR="009345EA">
        <w:t xml:space="preserve"> </w:t>
      </w:r>
      <w:r w:rsidRPr="00C85E6C">
        <w:t>an</w:t>
      </w:r>
      <w:r w:rsidR="009345EA">
        <w:t xml:space="preserve"> </w:t>
      </w:r>
      <w:r w:rsidRPr="00C85E6C">
        <w:t>act</w:t>
      </w:r>
      <w:r w:rsidR="009345EA">
        <w:t xml:space="preserve"> </w:t>
      </w:r>
      <w:r w:rsidRPr="00C85E6C">
        <w:t>of</w:t>
      </w:r>
      <w:r w:rsidR="009345EA">
        <w:t xml:space="preserve"> </w:t>
      </w:r>
      <w:r w:rsidRPr="00C85E6C">
        <w:t>discrimination</w:t>
      </w:r>
      <w:r w:rsidR="009345EA">
        <w:t xml:space="preserve"> </w:t>
      </w:r>
      <w:r w:rsidRPr="00C85E6C">
        <w:t>in</w:t>
      </w:r>
      <w:r w:rsidR="009345EA">
        <w:t xml:space="preserve"> </w:t>
      </w:r>
      <w:r w:rsidRPr="00C85E6C">
        <w:t>itself.</w:t>
      </w:r>
      <w:r w:rsidR="009345EA">
        <w:t xml:space="preserve"> </w:t>
      </w:r>
      <w:r w:rsidRPr="00C85E6C">
        <w:t>The</w:t>
      </w:r>
      <w:r w:rsidR="009345EA">
        <w:t xml:space="preserve"> </w:t>
      </w:r>
      <w:r w:rsidRPr="00C85E6C">
        <w:t>author</w:t>
      </w:r>
      <w:r w:rsidR="009345EA">
        <w:t xml:space="preserve"> </w:t>
      </w:r>
      <w:r w:rsidRPr="00C85E6C">
        <w:t>also</w:t>
      </w:r>
      <w:r w:rsidR="009345EA">
        <w:t xml:space="preserve"> </w:t>
      </w:r>
      <w:r w:rsidRPr="00C85E6C">
        <w:t>submits</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denied</w:t>
      </w:r>
      <w:r w:rsidR="009345EA">
        <w:t xml:space="preserve"> </w:t>
      </w:r>
      <w:r w:rsidRPr="00C85E6C">
        <w:t>the</w:t>
      </w:r>
      <w:r w:rsidR="009345EA">
        <w:t xml:space="preserve"> </w:t>
      </w:r>
      <w:r w:rsidRPr="00C85E6C">
        <w:t>right</w:t>
      </w:r>
      <w:r w:rsidR="009345EA">
        <w:t xml:space="preserve"> </w:t>
      </w:r>
      <w:r w:rsidRPr="00C85E6C">
        <w:t>to</w:t>
      </w:r>
      <w:r w:rsidR="009345EA">
        <w:t xml:space="preserve"> </w:t>
      </w:r>
      <w:r w:rsidRPr="00C85E6C">
        <w:t>make</w:t>
      </w:r>
      <w:r w:rsidR="009345EA">
        <w:t xml:space="preserve"> </w:t>
      </w:r>
      <w:r w:rsidRPr="00C85E6C">
        <w:t>a</w:t>
      </w:r>
      <w:r w:rsidR="009345EA">
        <w:t xml:space="preserve"> </w:t>
      </w:r>
      <w:r w:rsidRPr="00C85E6C">
        <w:t>complaint</w:t>
      </w:r>
      <w:r w:rsidR="009345EA">
        <w:t xml:space="preserve"> </w:t>
      </w:r>
      <w:r w:rsidRPr="00C85E6C">
        <w:t>in</w:t>
      </w:r>
      <w:r w:rsidR="009345EA">
        <w:t xml:space="preserve"> </w:t>
      </w:r>
      <w:r w:rsidRPr="00C85E6C">
        <w:t>her</w:t>
      </w:r>
      <w:r w:rsidR="009345EA">
        <w:t xml:space="preserve"> </w:t>
      </w:r>
      <w:r w:rsidRPr="00C85E6C">
        <w:t>own</w:t>
      </w:r>
      <w:r w:rsidR="009345EA">
        <w:t xml:space="preserve"> </w:t>
      </w:r>
      <w:r w:rsidRPr="00C85E6C">
        <w:t>language,</w:t>
      </w:r>
      <w:r w:rsidR="009345EA">
        <w:t xml:space="preserve"> </w:t>
      </w:r>
      <w:r w:rsidRPr="00C85E6C">
        <w:t>despite</w:t>
      </w:r>
      <w:r w:rsidR="009345EA">
        <w:t xml:space="preserve"> </w:t>
      </w:r>
      <w:r w:rsidRPr="00C85E6C">
        <w:t>legal</w:t>
      </w:r>
      <w:r w:rsidR="009345EA">
        <w:t xml:space="preserve"> </w:t>
      </w:r>
      <w:r w:rsidRPr="00C85E6C">
        <w:t>provisions</w:t>
      </w:r>
      <w:r w:rsidR="009345EA">
        <w:t xml:space="preserve"> </w:t>
      </w:r>
      <w:r w:rsidRPr="00C85E6C">
        <w:t>allowing</w:t>
      </w:r>
      <w:r w:rsidR="009345EA">
        <w:t xml:space="preserve"> </w:t>
      </w:r>
      <w:r w:rsidRPr="00C85E6C">
        <w:t>her</w:t>
      </w:r>
      <w:r w:rsidR="009345EA">
        <w:t xml:space="preserve"> </w:t>
      </w:r>
      <w:r w:rsidRPr="00C85E6C">
        <w:t>to</w:t>
      </w:r>
      <w:r w:rsidR="009345EA">
        <w:t xml:space="preserve"> </w:t>
      </w:r>
      <w:r w:rsidRPr="00C85E6C">
        <w:t>do</w:t>
      </w:r>
      <w:r w:rsidR="009345EA">
        <w:t xml:space="preserve"> </w:t>
      </w:r>
      <w:r w:rsidRPr="00C85E6C">
        <w:t>so.</w:t>
      </w:r>
      <w:r w:rsidR="009345EA">
        <w:t xml:space="preserve"> </w:t>
      </w:r>
      <w:r w:rsidRPr="00C85E6C">
        <w:t>She</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general</w:t>
      </w:r>
      <w:r w:rsidR="009345EA">
        <w:t xml:space="preserve"> </w:t>
      </w:r>
      <w:r w:rsidRPr="00C85E6C">
        <w:t>attitude</w:t>
      </w:r>
      <w:r w:rsidR="009345EA">
        <w:t xml:space="preserve"> </w:t>
      </w:r>
      <w:r w:rsidRPr="00C85E6C">
        <w:t>of</w:t>
      </w:r>
      <w:r w:rsidR="009345EA">
        <w:t xml:space="preserve"> </w:t>
      </w:r>
      <w:r w:rsidRPr="00C85E6C">
        <w:t>State</w:t>
      </w:r>
      <w:r w:rsidR="009345EA">
        <w:t xml:space="preserve"> </w:t>
      </w:r>
      <w:r w:rsidRPr="00C85E6C">
        <w:t>officials</w:t>
      </w:r>
      <w:r w:rsidR="009345EA">
        <w:t xml:space="preserve"> </w:t>
      </w:r>
      <w:r w:rsidRPr="00C85E6C">
        <w:t>in</w:t>
      </w:r>
      <w:r w:rsidR="009345EA">
        <w:t xml:space="preserve"> </w:t>
      </w:r>
      <w:r w:rsidRPr="00C85E6C">
        <w:t>the</w:t>
      </w:r>
      <w:r w:rsidR="009345EA">
        <w:t xml:space="preserve"> </w:t>
      </w:r>
      <w:r w:rsidRPr="00C85E6C">
        <w:t>justice</w:t>
      </w:r>
      <w:r w:rsidR="009345EA">
        <w:t xml:space="preserve"> </w:t>
      </w:r>
      <w:r w:rsidRPr="00C85E6C">
        <w:t>system,</w:t>
      </w:r>
      <w:r w:rsidR="009345EA">
        <w:t xml:space="preserve"> </w:t>
      </w:r>
      <w:r w:rsidRPr="00C85E6C">
        <w:t>including</w:t>
      </w:r>
      <w:r w:rsidR="009345EA">
        <w:t xml:space="preserve"> </w:t>
      </w:r>
      <w:r w:rsidRPr="00C85E6C">
        <w:t>the</w:t>
      </w:r>
      <w:r w:rsidR="009345EA">
        <w:t xml:space="preserve"> </w:t>
      </w:r>
      <w:r w:rsidRPr="00C85E6C">
        <w:lastRenderedPageBreak/>
        <w:t>inaction</w:t>
      </w:r>
      <w:r w:rsidR="009345EA">
        <w:t xml:space="preserve"> </w:t>
      </w:r>
      <w:r w:rsidRPr="00C85E6C">
        <w:t>of</w:t>
      </w:r>
      <w:r w:rsidR="009345EA">
        <w:t xml:space="preserve"> </w:t>
      </w:r>
      <w:r w:rsidRPr="00C85E6C">
        <w:t>judges</w:t>
      </w:r>
      <w:r w:rsidR="009345EA">
        <w:t xml:space="preserve"> </w:t>
      </w:r>
      <w:r w:rsidRPr="00C85E6C">
        <w:t>when</w:t>
      </w:r>
      <w:r w:rsidR="009345EA">
        <w:t xml:space="preserve"> </w:t>
      </w:r>
      <w:r w:rsidRPr="00C85E6C">
        <w:t>she</w:t>
      </w:r>
      <w:r w:rsidR="009345EA">
        <w:t xml:space="preserve"> </w:t>
      </w:r>
      <w:r w:rsidRPr="00C85E6C">
        <w:t>was</w:t>
      </w:r>
      <w:r w:rsidR="009345EA">
        <w:t xml:space="preserve"> </w:t>
      </w:r>
      <w:r w:rsidRPr="00C85E6C">
        <w:t>called</w:t>
      </w:r>
      <w:r w:rsidR="009345EA">
        <w:t xml:space="preserve"> </w:t>
      </w:r>
      <w:r w:rsidRPr="00C85E6C">
        <w:t>a</w:t>
      </w:r>
      <w:r w:rsidR="009345EA">
        <w:t xml:space="preserve"> </w:t>
      </w:r>
      <w:r w:rsidRPr="00C85E6C">
        <w:t>prostitute</w:t>
      </w:r>
      <w:r w:rsidR="009345EA">
        <w:t xml:space="preserve"> </w:t>
      </w:r>
      <w:r w:rsidRPr="00C85E6C">
        <w:t>during</w:t>
      </w:r>
      <w:r w:rsidR="009345EA">
        <w:t xml:space="preserve"> </w:t>
      </w:r>
      <w:r w:rsidRPr="00C85E6C">
        <w:t>court</w:t>
      </w:r>
      <w:r w:rsidR="009345EA">
        <w:t xml:space="preserve"> </w:t>
      </w:r>
      <w:r w:rsidRPr="00C85E6C">
        <w:t>proceedings,</w:t>
      </w:r>
      <w:r w:rsidR="009345EA">
        <w:t xml:space="preserve"> </w:t>
      </w:r>
      <w:r w:rsidRPr="00C85E6C">
        <w:t>also</w:t>
      </w:r>
      <w:r w:rsidR="009345EA">
        <w:t xml:space="preserve"> </w:t>
      </w:r>
      <w:r w:rsidRPr="00C85E6C">
        <w:t>constitute</w:t>
      </w:r>
      <w:r w:rsidR="009345EA">
        <w:t xml:space="preserve"> </w:t>
      </w:r>
      <w:r w:rsidRPr="00C85E6C">
        <w:t>discrimination</w:t>
      </w:r>
      <w:r w:rsidR="009345EA">
        <w:t xml:space="preserve"> </w:t>
      </w:r>
      <w:r w:rsidRPr="00C85E6C">
        <w:t>against</w:t>
      </w:r>
      <w:r w:rsidR="009345EA">
        <w:t xml:space="preserve"> </w:t>
      </w:r>
      <w:r w:rsidRPr="00C85E6C">
        <w:t>her</w:t>
      </w:r>
      <w:r w:rsidR="009345EA">
        <w:t xml:space="preserve"> </w:t>
      </w:r>
      <w:r w:rsidRPr="00C85E6C">
        <w:t>as</w:t>
      </w:r>
      <w:r w:rsidR="009345EA">
        <w:t xml:space="preserve"> </w:t>
      </w:r>
      <w:r w:rsidRPr="00C85E6C">
        <w:t>a</w:t>
      </w:r>
      <w:r w:rsidR="009345EA">
        <w:t xml:space="preserve"> </w:t>
      </w:r>
      <w:r w:rsidRPr="00C85E6C">
        <w:t>woman</w:t>
      </w:r>
      <w:r w:rsidR="009345EA">
        <w:t xml:space="preserve"> </w:t>
      </w:r>
      <w:r w:rsidRPr="00C85E6C">
        <w:t>and</w:t>
      </w:r>
      <w:r w:rsidR="009345EA">
        <w:t xml:space="preserve"> </w:t>
      </w:r>
      <w:r w:rsidRPr="00C85E6C">
        <w:t>as</w:t>
      </w:r>
      <w:r w:rsidR="009345EA">
        <w:t xml:space="preserve"> </w:t>
      </w:r>
      <w:r w:rsidRPr="00C85E6C">
        <w:t>a</w:t>
      </w:r>
      <w:r w:rsidR="009345EA">
        <w:t xml:space="preserve"> </w:t>
      </w:r>
      <w:r w:rsidRPr="00C85E6C">
        <w:t>member</w:t>
      </w:r>
      <w:r w:rsidR="009345EA">
        <w:t xml:space="preserve"> </w:t>
      </w:r>
      <w:r w:rsidRPr="00C85E6C">
        <w:t>of</w:t>
      </w:r>
      <w:r w:rsidR="009345EA">
        <w:t xml:space="preserve"> </w:t>
      </w:r>
      <w:r w:rsidRPr="00C85E6C">
        <w:t>the</w:t>
      </w:r>
      <w:r w:rsidR="009345EA">
        <w:t xml:space="preserve"> </w:t>
      </w:r>
      <w:r w:rsidRPr="00C85E6C">
        <w:t>Indian</w:t>
      </w:r>
      <w:r w:rsidR="009345EA">
        <w:t xml:space="preserve"> </w:t>
      </w:r>
      <w:r w:rsidRPr="00C85E6C">
        <w:t>Tamil</w:t>
      </w:r>
      <w:r w:rsidR="009345EA">
        <w:t xml:space="preserve"> </w:t>
      </w:r>
      <w:r w:rsidRPr="00C85E6C">
        <w:t>minority.</w:t>
      </w:r>
    </w:p>
    <w:p w:rsidR="00D06B7B" w:rsidRPr="00C85E6C" w:rsidRDefault="00D06B7B" w:rsidP="00FF3573">
      <w:pPr>
        <w:pStyle w:val="SingleTxtG"/>
      </w:pPr>
      <w:r w:rsidRPr="00C85E6C">
        <w:t>3.5</w:t>
      </w:r>
      <w:r w:rsidRPr="00C85E6C">
        <w:tab/>
        <w:t>As</w:t>
      </w:r>
      <w:r w:rsidR="009345EA">
        <w:t xml:space="preserve"> </w:t>
      </w:r>
      <w:r w:rsidRPr="00C85E6C">
        <w:t>a</w:t>
      </w:r>
      <w:r w:rsidR="009345EA">
        <w:t xml:space="preserve"> </w:t>
      </w:r>
      <w:r w:rsidRPr="00C85E6C">
        <w:t>remedy,</w:t>
      </w:r>
      <w:r w:rsidR="009345EA">
        <w:t xml:space="preserve"> </w:t>
      </w:r>
      <w:r w:rsidRPr="00C85E6C">
        <w:t>the</w:t>
      </w:r>
      <w:r w:rsidR="009345EA">
        <w:t xml:space="preserve"> </w:t>
      </w:r>
      <w:r w:rsidRPr="00C85E6C">
        <w:t>author</w:t>
      </w:r>
      <w:r w:rsidR="009345EA">
        <w:t xml:space="preserve"> </w:t>
      </w:r>
      <w:r w:rsidRPr="00C85E6C">
        <w:t>requests</w:t>
      </w:r>
      <w:r w:rsidR="009345EA">
        <w:t xml:space="preserve"> </w:t>
      </w:r>
      <w:r w:rsidRPr="00C85E6C">
        <w:t>that</w:t>
      </w:r>
      <w:r w:rsidR="009345EA">
        <w:t xml:space="preserve"> </w:t>
      </w:r>
      <w:r w:rsidRPr="00C85E6C">
        <w:t>an</w:t>
      </w:r>
      <w:r w:rsidR="009345EA">
        <w:t xml:space="preserve"> </w:t>
      </w:r>
      <w:r w:rsidRPr="00C85E6C">
        <w:t>independent</w:t>
      </w:r>
      <w:r w:rsidR="009345EA">
        <w:t xml:space="preserve"> </w:t>
      </w:r>
      <w:r w:rsidRPr="00C85E6C">
        <w:t>investigation</w:t>
      </w:r>
      <w:r w:rsidR="009345EA">
        <w:t xml:space="preserve"> </w:t>
      </w:r>
      <w:r w:rsidRPr="00C85E6C">
        <w:t>be</w:t>
      </w:r>
      <w:r w:rsidR="009345EA">
        <w:t xml:space="preserve"> </w:t>
      </w:r>
      <w:r w:rsidRPr="00C85E6C">
        <w:t>conducted,</w:t>
      </w:r>
      <w:r w:rsidR="009345EA">
        <w:t xml:space="preserve"> </w:t>
      </w:r>
      <w:r w:rsidRPr="00C85E6C">
        <w:t>that</w:t>
      </w:r>
      <w:r w:rsidR="009345EA">
        <w:t xml:space="preserve"> </w:t>
      </w:r>
      <w:r w:rsidRPr="00C85E6C">
        <w:t>the</w:t>
      </w:r>
      <w:r w:rsidR="009345EA">
        <w:t xml:space="preserve"> </w:t>
      </w:r>
      <w:r w:rsidRPr="00C85E6C">
        <w:t>alleged</w:t>
      </w:r>
      <w:r w:rsidR="009345EA">
        <w:t xml:space="preserve"> </w:t>
      </w:r>
      <w:r w:rsidRPr="00C85E6C">
        <w:t>perpetrators</w:t>
      </w:r>
      <w:r w:rsidR="009345EA">
        <w:t xml:space="preserve"> </w:t>
      </w:r>
      <w:r w:rsidRPr="00C85E6C">
        <w:t>be</w:t>
      </w:r>
      <w:r w:rsidR="009345EA">
        <w:t xml:space="preserve"> </w:t>
      </w:r>
      <w:r w:rsidRPr="00C85E6C">
        <w:t>prosecuted,</w:t>
      </w:r>
      <w:r w:rsidR="009345EA">
        <w:t xml:space="preserve"> </w:t>
      </w:r>
      <w:r w:rsidRPr="00C85E6C">
        <w:t>that</w:t>
      </w:r>
      <w:r w:rsidR="009345EA">
        <w:t xml:space="preserve"> </w:t>
      </w:r>
      <w:r w:rsidRPr="00C85E6C">
        <w:t>the</w:t>
      </w:r>
      <w:r w:rsidR="009345EA">
        <w:t xml:space="preserve"> </w:t>
      </w:r>
      <w:r w:rsidRPr="00C85E6C">
        <w:t>civil</w:t>
      </w:r>
      <w:r w:rsidR="009345EA">
        <w:t xml:space="preserve"> </w:t>
      </w:r>
      <w:r w:rsidRPr="00C85E6C">
        <w:t>claim</w:t>
      </w:r>
      <w:r w:rsidR="009345EA">
        <w:t xml:space="preserve"> </w:t>
      </w:r>
      <w:r w:rsidRPr="00C85E6C">
        <w:t>she</w:t>
      </w:r>
      <w:r w:rsidR="009345EA">
        <w:t xml:space="preserve"> </w:t>
      </w:r>
      <w:r w:rsidRPr="00C85E6C">
        <w:t>lodged</w:t>
      </w:r>
      <w:r w:rsidR="009345EA">
        <w:t xml:space="preserve"> </w:t>
      </w:r>
      <w:r w:rsidRPr="00C85E6C">
        <w:t>be</w:t>
      </w:r>
      <w:r w:rsidR="009345EA">
        <w:t xml:space="preserve"> </w:t>
      </w:r>
      <w:r w:rsidRPr="00C85E6C">
        <w:t>expedited</w:t>
      </w:r>
      <w:r w:rsidR="009345EA">
        <w:t xml:space="preserve"> </w:t>
      </w:r>
      <w:r w:rsidRPr="00C85E6C">
        <w:t>and</w:t>
      </w:r>
      <w:r w:rsidR="009345EA">
        <w:t xml:space="preserve"> </w:t>
      </w:r>
      <w:r w:rsidRPr="00C85E6C">
        <w:t>concluded</w:t>
      </w:r>
      <w:r w:rsidR="009345EA">
        <w:t xml:space="preserve"> </w:t>
      </w:r>
      <w:r w:rsidRPr="00C85E6C">
        <w:t>and</w:t>
      </w:r>
      <w:r w:rsidR="009345EA">
        <w:t xml:space="preserve"> </w:t>
      </w:r>
      <w:r w:rsidRPr="00C85E6C">
        <w:t>that</w:t>
      </w:r>
      <w:r w:rsidR="009345EA">
        <w:t xml:space="preserve"> </w:t>
      </w:r>
      <w:r w:rsidRPr="00C85E6C">
        <w:t>a</w:t>
      </w:r>
      <w:r w:rsidR="009345EA">
        <w:t xml:space="preserve"> </w:t>
      </w:r>
      <w:r w:rsidRPr="00C85E6C">
        <w:t>full</w:t>
      </w:r>
      <w:r w:rsidR="009345EA">
        <w:t xml:space="preserve"> </w:t>
      </w:r>
      <w:r w:rsidRPr="00C85E6C">
        <w:t>and</w:t>
      </w:r>
      <w:r w:rsidR="009345EA">
        <w:t xml:space="preserve"> </w:t>
      </w:r>
      <w:r w:rsidRPr="00C85E6C">
        <w:t>adequate</w:t>
      </w:r>
      <w:r w:rsidR="009345EA">
        <w:t xml:space="preserve"> </w:t>
      </w:r>
      <w:r w:rsidRPr="00C85E6C">
        <w:t>compensation</w:t>
      </w:r>
      <w:r w:rsidR="009345EA">
        <w:t xml:space="preserve"> </w:t>
      </w:r>
      <w:r w:rsidRPr="00C85E6C">
        <w:t>be</w:t>
      </w:r>
      <w:r w:rsidR="009345EA">
        <w:t xml:space="preserve"> </w:t>
      </w:r>
      <w:r w:rsidRPr="00C85E6C">
        <w:t>paid</w:t>
      </w:r>
      <w:r w:rsidR="009345EA">
        <w:t xml:space="preserve"> </w:t>
      </w:r>
      <w:r w:rsidRPr="00C85E6C">
        <w:t>to</w:t>
      </w:r>
      <w:r w:rsidR="009345EA">
        <w:t xml:space="preserve"> </w:t>
      </w:r>
      <w:r w:rsidRPr="00C85E6C">
        <w:t>her.</w:t>
      </w:r>
      <w:r w:rsidRPr="00D06B7B">
        <w:rPr>
          <w:rStyle w:val="FootnoteReference"/>
        </w:rPr>
        <w:footnoteReference w:id="12"/>
      </w:r>
      <w:r w:rsidR="009345EA">
        <w:t xml:space="preserve"> </w:t>
      </w:r>
      <w:r w:rsidRPr="00C85E6C">
        <w:t>The</w:t>
      </w:r>
      <w:r w:rsidR="009345EA">
        <w:t xml:space="preserve"> </w:t>
      </w:r>
      <w:r w:rsidRPr="00C85E6C">
        <w:t>author</w:t>
      </w:r>
      <w:r w:rsidR="009345EA">
        <w:t xml:space="preserve"> </w:t>
      </w:r>
      <w:r w:rsidRPr="00C85E6C">
        <w:t>also</w:t>
      </w:r>
      <w:r w:rsidR="009345EA">
        <w:t xml:space="preserve"> </w:t>
      </w:r>
      <w:r w:rsidRPr="00C85E6C">
        <w:t>makes</w:t>
      </w:r>
      <w:r w:rsidR="009345EA">
        <w:t xml:space="preserve"> </w:t>
      </w:r>
      <w:r w:rsidRPr="00C85E6C">
        <w:t>a</w:t>
      </w:r>
      <w:r w:rsidR="009345EA">
        <w:t xml:space="preserve"> </w:t>
      </w:r>
      <w:r w:rsidRPr="00C85E6C">
        <w:t>request</w:t>
      </w:r>
      <w:r w:rsidR="009345EA">
        <w:t xml:space="preserve"> </w:t>
      </w:r>
      <w:r w:rsidRPr="00C85E6C">
        <w:t>to</w:t>
      </w:r>
      <w:r w:rsidR="009345EA">
        <w:t xml:space="preserve"> </w:t>
      </w:r>
      <w:r w:rsidRPr="00C85E6C">
        <w:t>receive</w:t>
      </w:r>
      <w:r w:rsidR="009345EA">
        <w:t xml:space="preserve"> </w:t>
      </w:r>
      <w:r w:rsidRPr="00C85E6C">
        <w:t>the</w:t>
      </w:r>
      <w:r w:rsidR="009345EA">
        <w:t xml:space="preserve"> </w:t>
      </w:r>
      <w:r w:rsidRPr="00C85E6C">
        <w:t>fullest</w:t>
      </w:r>
      <w:r w:rsidR="009345EA">
        <w:t xml:space="preserve"> </w:t>
      </w:r>
      <w:r w:rsidRPr="00C85E6C">
        <w:t>possible</w:t>
      </w:r>
      <w:r w:rsidR="009345EA">
        <w:t xml:space="preserve"> </w:t>
      </w:r>
      <w:r w:rsidRPr="00C85E6C">
        <w:t>rehabilitation</w:t>
      </w:r>
      <w:r w:rsidR="009345EA">
        <w:t xml:space="preserve"> </w:t>
      </w:r>
      <w:r w:rsidRPr="00C85E6C">
        <w:t>and</w:t>
      </w:r>
      <w:r w:rsidR="009345EA">
        <w:t xml:space="preserve"> </w:t>
      </w:r>
      <w:r w:rsidRPr="00C85E6C">
        <w:t>a</w:t>
      </w:r>
      <w:r w:rsidR="009345EA">
        <w:t xml:space="preserve"> </w:t>
      </w:r>
      <w:r w:rsidRPr="00C85E6C">
        <w:t>public</w:t>
      </w:r>
      <w:r w:rsidR="009345EA">
        <w:t xml:space="preserve"> </w:t>
      </w:r>
      <w:r w:rsidRPr="00C85E6C">
        <w:t>apology</w:t>
      </w:r>
      <w:r w:rsidR="009345EA">
        <w:t xml:space="preserve"> </w:t>
      </w:r>
      <w:r w:rsidRPr="00C85E6C">
        <w:t>acknowledging</w:t>
      </w:r>
      <w:r w:rsidR="009345EA">
        <w:t xml:space="preserve"> </w:t>
      </w:r>
      <w:r w:rsidRPr="00C85E6C">
        <w:t>the</w:t>
      </w:r>
      <w:r w:rsidR="009345EA">
        <w:t xml:space="preserve"> </w:t>
      </w:r>
      <w:r w:rsidRPr="00C85E6C">
        <w:t>violations</w:t>
      </w:r>
      <w:r w:rsidR="009345EA">
        <w:t xml:space="preserve"> </w:t>
      </w:r>
      <w:r w:rsidRPr="00C85E6C">
        <w:t>of</w:t>
      </w:r>
      <w:r w:rsidR="009345EA">
        <w:t xml:space="preserve"> </w:t>
      </w:r>
      <w:r w:rsidRPr="00C85E6C">
        <w:t>her</w:t>
      </w:r>
      <w:r w:rsidR="009345EA">
        <w:t xml:space="preserve"> </w:t>
      </w:r>
      <w:r w:rsidRPr="00C85E6C">
        <w:t>rights.</w:t>
      </w:r>
      <w:r w:rsidR="009345EA">
        <w:t xml:space="preserve"> </w:t>
      </w:r>
    </w:p>
    <w:p w:rsidR="00D06B7B" w:rsidRPr="00C85E6C" w:rsidRDefault="00D06B7B" w:rsidP="003307A9">
      <w:pPr>
        <w:pStyle w:val="H23G"/>
      </w:pPr>
      <w:r w:rsidRPr="00C85E6C">
        <w:tab/>
      </w:r>
      <w:r w:rsidRPr="00C85E6C">
        <w:tab/>
        <w:t>State</w:t>
      </w:r>
      <w:r w:rsidR="009345EA">
        <w:t xml:space="preserve"> </w:t>
      </w:r>
      <w:r w:rsidRPr="00C85E6C">
        <w:t>party</w:t>
      </w:r>
      <w:r w:rsidR="00EB40F1">
        <w:t>’</w:t>
      </w:r>
      <w:r w:rsidRPr="00C85E6C">
        <w:t>s</w:t>
      </w:r>
      <w:r w:rsidR="009345EA">
        <w:t xml:space="preserve"> </w:t>
      </w:r>
      <w:r w:rsidRPr="00C85E6C">
        <w:t>observations</w:t>
      </w:r>
      <w:r w:rsidR="009345EA">
        <w:t xml:space="preserve"> </w:t>
      </w:r>
    </w:p>
    <w:p w:rsidR="00D06B7B" w:rsidRPr="00C85E6C" w:rsidRDefault="00D06B7B" w:rsidP="00FF3573">
      <w:pPr>
        <w:pStyle w:val="SingleTxtG"/>
      </w:pPr>
      <w:r w:rsidRPr="00C85E6C">
        <w:t>4.1</w:t>
      </w:r>
      <w:r w:rsidRPr="00C85E6C">
        <w:tab/>
        <w:t>On</w:t>
      </w:r>
      <w:r w:rsidR="009345EA">
        <w:t xml:space="preserve"> </w:t>
      </w:r>
      <w:r w:rsidRPr="00C85E6C">
        <w:t>2</w:t>
      </w:r>
      <w:r w:rsidR="009345EA">
        <w:t xml:space="preserve"> </w:t>
      </w:r>
      <w:r w:rsidRPr="00C85E6C">
        <w:t>December</w:t>
      </w:r>
      <w:r w:rsidR="009345EA">
        <w:t xml:space="preserve"> </w:t>
      </w:r>
      <w:r w:rsidRPr="00C85E6C">
        <w:t>2014,</w:t>
      </w:r>
      <w:r w:rsidR="009345EA">
        <w:t xml:space="preserve"> </w:t>
      </w:r>
      <w:r w:rsidRPr="00C85E6C">
        <w:t>in</w:t>
      </w:r>
      <w:r w:rsidR="009345EA">
        <w:t xml:space="preserve"> </w:t>
      </w:r>
      <w:r w:rsidRPr="00C85E6C">
        <w:t>response</w:t>
      </w:r>
      <w:r w:rsidR="009345EA">
        <w:t xml:space="preserve"> </w:t>
      </w:r>
      <w:r w:rsidRPr="00C85E6C">
        <w:t>to</w:t>
      </w:r>
      <w:r w:rsidR="009345EA">
        <w:t xml:space="preserve"> </w:t>
      </w:r>
      <w:r w:rsidRPr="00C85E6C">
        <w:t>the</w:t>
      </w:r>
      <w:r w:rsidR="009345EA">
        <w:t xml:space="preserve"> </w:t>
      </w:r>
      <w:r w:rsidRPr="00C85E6C">
        <w:t>Committee</w:t>
      </w:r>
      <w:r w:rsidR="00EB40F1">
        <w:t>’</w:t>
      </w:r>
      <w:r w:rsidRPr="00C85E6C">
        <w:t>s</w:t>
      </w:r>
      <w:r w:rsidR="009345EA">
        <w:t xml:space="preserve"> </w:t>
      </w:r>
      <w:r w:rsidRPr="00C85E6C">
        <w:t>request</w:t>
      </w:r>
      <w:r w:rsidR="009345EA">
        <w:t xml:space="preserve"> </w:t>
      </w:r>
      <w:r w:rsidRPr="00C85E6C">
        <w:t>for</w:t>
      </w:r>
      <w:r w:rsidR="009345EA">
        <w:t xml:space="preserve"> </w:t>
      </w:r>
      <w:r w:rsidRPr="00C85E6C">
        <w:t>information</w:t>
      </w:r>
      <w:r w:rsidR="009345EA">
        <w:t xml:space="preserve"> </w:t>
      </w:r>
      <w:r w:rsidRPr="00C85E6C">
        <w:t>and</w:t>
      </w:r>
      <w:r w:rsidR="009345EA">
        <w:t xml:space="preserve"> </w:t>
      </w:r>
      <w:r w:rsidRPr="00C85E6C">
        <w:t>observations</w:t>
      </w:r>
      <w:r w:rsidR="009345EA">
        <w:t xml:space="preserve"> </w:t>
      </w:r>
      <w:r w:rsidRPr="00C85E6C">
        <w:t>on</w:t>
      </w:r>
      <w:r w:rsidR="009345EA">
        <w:t xml:space="preserve"> </w:t>
      </w:r>
      <w:r w:rsidRPr="00C85E6C">
        <w:t>admissibility</w:t>
      </w:r>
      <w:r w:rsidR="009345EA">
        <w:t xml:space="preserve"> </w:t>
      </w:r>
      <w:r w:rsidRPr="00C85E6C">
        <w:t>and</w:t>
      </w:r>
      <w:r w:rsidR="009345EA">
        <w:t xml:space="preserve"> </w:t>
      </w:r>
      <w:r w:rsidRPr="00C85E6C">
        <w:t>the</w:t>
      </w:r>
      <w:r w:rsidR="009345EA">
        <w:t xml:space="preserve"> </w:t>
      </w:r>
      <w:r w:rsidRPr="00C85E6C">
        <w:t>merits,</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informed</w:t>
      </w:r>
      <w:r w:rsidR="009345EA">
        <w:t xml:space="preserve"> </w:t>
      </w:r>
      <w:r w:rsidRPr="00C85E6C">
        <w:t>the</w:t>
      </w:r>
      <w:r w:rsidR="009345EA">
        <w:t xml:space="preserve"> </w:t>
      </w:r>
      <w:r w:rsidRPr="00C85E6C">
        <w:t>Committee</w:t>
      </w:r>
      <w:r w:rsidR="009345EA">
        <w:t xml:space="preserve"> </w:t>
      </w:r>
      <w:r w:rsidRPr="00C85E6C">
        <w:t>that</w:t>
      </w:r>
      <w:r w:rsidR="009345EA">
        <w:t xml:space="preserve"> </w:t>
      </w:r>
      <w:r w:rsidRPr="00C85E6C">
        <w:t>it</w:t>
      </w:r>
      <w:r w:rsidR="009345EA">
        <w:t xml:space="preserve"> </w:t>
      </w:r>
      <w:r w:rsidRPr="00C85E6C">
        <w:t>was</w:t>
      </w:r>
      <w:r w:rsidR="009345EA">
        <w:t xml:space="preserve"> </w:t>
      </w:r>
      <w:r w:rsidRPr="00C85E6C">
        <w:t>unable</w:t>
      </w:r>
      <w:r w:rsidR="009345EA">
        <w:t xml:space="preserve"> </w:t>
      </w:r>
      <w:r w:rsidRPr="00C85E6C">
        <w:t>to</w:t>
      </w:r>
      <w:r w:rsidR="009345EA">
        <w:t xml:space="preserve"> </w:t>
      </w:r>
      <w:r w:rsidRPr="00C85E6C">
        <w:t>submit</w:t>
      </w:r>
      <w:r w:rsidR="009345EA">
        <w:t xml:space="preserve"> </w:t>
      </w:r>
      <w:r w:rsidRPr="00C85E6C">
        <w:t>its</w:t>
      </w:r>
      <w:r w:rsidR="009345EA">
        <w:t xml:space="preserve"> </w:t>
      </w:r>
      <w:r w:rsidRPr="00C85E6C">
        <w:t>observations</w:t>
      </w:r>
      <w:r w:rsidR="009345EA">
        <w:t xml:space="preserve"> </w:t>
      </w:r>
      <w:r w:rsidRPr="00C85E6C">
        <w:t>owing</w:t>
      </w:r>
      <w:r w:rsidR="009345EA">
        <w:t xml:space="preserve"> </w:t>
      </w:r>
      <w:r w:rsidRPr="00C85E6C">
        <w:t>to</w:t>
      </w:r>
      <w:r w:rsidR="009345EA">
        <w:t xml:space="preserve"> </w:t>
      </w:r>
      <w:r w:rsidRPr="00C85E6C">
        <w:t>the</w:t>
      </w:r>
      <w:r w:rsidR="009345EA">
        <w:t xml:space="preserve"> </w:t>
      </w:r>
      <w:r w:rsidRPr="00C85E6C">
        <w:t>Supreme</w:t>
      </w:r>
      <w:r w:rsidR="009345EA">
        <w:t xml:space="preserve"> </w:t>
      </w:r>
      <w:r w:rsidRPr="00C85E6C">
        <w:t>Court</w:t>
      </w:r>
      <w:r w:rsidR="00EB40F1">
        <w:t>’</w:t>
      </w:r>
      <w:r w:rsidRPr="00C85E6C">
        <w:t>s</w:t>
      </w:r>
      <w:r w:rsidR="009345EA">
        <w:t xml:space="preserve"> </w:t>
      </w:r>
      <w:r w:rsidRPr="00C85E6C">
        <w:t>judgment</w:t>
      </w:r>
      <w:r w:rsidR="009345EA">
        <w:t xml:space="preserve"> </w:t>
      </w:r>
      <w:r w:rsidRPr="00C85E6C">
        <w:t>in</w:t>
      </w:r>
      <w:r w:rsidR="009345EA">
        <w:t xml:space="preserve"> </w:t>
      </w:r>
      <w:r w:rsidRPr="00C85E6C">
        <w:t>the</w:t>
      </w:r>
      <w:r w:rsidR="009345EA">
        <w:t xml:space="preserve"> </w:t>
      </w:r>
      <w:r w:rsidRPr="00BF3D9E">
        <w:rPr>
          <w:i/>
        </w:rPr>
        <w:t>Singarasa</w:t>
      </w:r>
      <w:r w:rsidR="009345EA">
        <w:t xml:space="preserve"> </w:t>
      </w:r>
      <w:r w:rsidRPr="00C85E6C">
        <w:t>case,</w:t>
      </w:r>
      <w:r w:rsidRPr="00D06B7B">
        <w:rPr>
          <w:rStyle w:val="FootnoteReference"/>
        </w:rPr>
        <w:footnoteReference w:id="13"/>
      </w:r>
      <w:r w:rsidR="009345EA">
        <w:t xml:space="preserve"> </w:t>
      </w:r>
      <w:r w:rsidRPr="00C85E6C">
        <w:t>citing</w:t>
      </w:r>
      <w:r w:rsidR="009345EA">
        <w:t xml:space="preserve"> </w:t>
      </w:r>
      <w:r w:rsidRPr="00C85E6C">
        <w:t>respect</w:t>
      </w:r>
      <w:r w:rsidR="009345EA">
        <w:t xml:space="preserve"> </w:t>
      </w:r>
      <w:r w:rsidRPr="00C85E6C">
        <w:t>for</w:t>
      </w:r>
      <w:r w:rsidR="009345EA">
        <w:t xml:space="preserve"> </w:t>
      </w:r>
      <w:r w:rsidRPr="00C85E6C">
        <w:t>the</w:t>
      </w:r>
      <w:r w:rsidR="009345EA">
        <w:t xml:space="preserve"> </w:t>
      </w:r>
      <w:r w:rsidRPr="00C85E6C">
        <w:t>judgment</w:t>
      </w:r>
      <w:r w:rsidR="009345EA">
        <w:t xml:space="preserve"> </w:t>
      </w:r>
      <w:r w:rsidRPr="00C85E6C">
        <w:t>of</w:t>
      </w:r>
      <w:r w:rsidR="009345EA">
        <w:t xml:space="preserve"> </w:t>
      </w:r>
      <w:r w:rsidRPr="00C85E6C">
        <w:t>its</w:t>
      </w:r>
      <w:r w:rsidR="009345EA">
        <w:t xml:space="preserve"> </w:t>
      </w:r>
      <w:r w:rsidRPr="00C85E6C">
        <w:t>domestic</w:t>
      </w:r>
      <w:r w:rsidR="009345EA">
        <w:t xml:space="preserve"> </w:t>
      </w:r>
      <w:r w:rsidRPr="00C85E6C">
        <w:t>courts</w:t>
      </w:r>
      <w:r w:rsidR="009345EA">
        <w:t xml:space="preserve"> </w:t>
      </w:r>
      <w:r w:rsidRPr="00C85E6C">
        <w:t>as</w:t>
      </w:r>
      <w:r w:rsidR="009345EA">
        <w:t xml:space="preserve"> </w:t>
      </w:r>
      <w:r w:rsidRPr="00C85E6C">
        <w:t>the</w:t>
      </w:r>
      <w:r w:rsidR="009345EA">
        <w:t xml:space="preserve"> </w:t>
      </w:r>
      <w:r w:rsidRPr="00C85E6C">
        <w:t>justification.</w:t>
      </w:r>
      <w:r w:rsidR="009345EA">
        <w:t xml:space="preserve"> </w:t>
      </w:r>
    </w:p>
    <w:p w:rsidR="00D06B7B" w:rsidRPr="00C85E6C" w:rsidRDefault="00D06B7B" w:rsidP="00FF3573">
      <w:pPr>
        <w:pStyle w:val="SingleTxtG"/>
      </w:pPr>
      <w:r w:rsidRPr="00C85E6C">
        <w:t>4.2</w:t>
      </w:r>
      <w:r w:rsidRPr="00C85E6C">
        <w:tab/>
        <w:t>The</w:t>
      </w:r>
      <w:r w:rsidR="009345EA">
        <w:t xml:space="preserve"> </w:t>
      </w:r>
      <w:r w:rsidRPr="00BF3D9E">
        <w:rPr>
          <w:i/>
        </w:rPr>
        <w:t>Singarasa</w:t>
      </w:r>
      <w:r w:rsidR="009345EA">
        <w:t xml:space="preserve"> </w:t>
      </w:r>
      <w:r w:rsidRPr="00C85E6C">
        <w:t>case</w:t>
      </w:r>
      <w:r w:rsidR="009345EA">
        <w:t xml:space="preserve"> </w:t>
      </w:r>
      <w:r w:rsidRPr="00C85E6C">
        <w:t>involved</w:t>
      </w:r>
      <w:r w:rsidR="009345EA">
        <w:t xml:space="preserve"> </w:t>
      </w:r>
      <w:r w:rsidRPr="00C85E6C">
        <w:t>the</w:t>
      </w:r>
      <w:r w:rsidR="009345EA">
        <w:t xml:space="preserve"> </w:t>
      </w:r>
      <w:r w:rsidRPr="00C85E6C">
        <w:t>issue</w:t>
      </w:r>
      <w:r w:rsidR="009345EA">
        <w:t xml:space="preserve"> </w:t>
      </w:r>
      <w:r w:rsidRPr="00C85E6C">
        <w:t>of</w:t>
      </w:r>
      <w:r w:rsidR="009345EA">
        <w:t xml:space="preserve"> </w:t>
      </w:r>
      <w:r w:rsidRPr="00C85E6C">
        <w:t>justiciability</w:t>
      </w:r>
      <w:r w:rsidR="009345EA">
        <w:t xml:space="preserve"> </w:t>
      </w:r>
      <w:r w:rsidRPr="00C85E6C">
        <w:t>and</w:t>
      </w:r>
      <w:r w:rsidR="009345EA">
        <w:t xml:space="preserve"> </w:t>
      </w:r>
      <w:r w:rsidRPr="00C85E6C">
        <w:t>enforcement</w:t>
      </w:r>
      <w:r w:rsidR="009345EA">
        <w:t xml:space="preserve"> </w:t>
      </w:r>
      <w:r w:rsidRPr="00C85E6C">
        <w:t>of</w:t>
      </w:r>
      <w:r w:rsidR="009345EA">
        <w:t xml:space="preserve"> </w:t>
      </w:r>
      <w:r w:rsidRPr="00C85E6C">
        <w:t>the</w:t>
      </w:r>
      <w:r w:rsidR="009345EA">
        <w:t xml:space="preserve"> </w:t>
      </w:r>
      <w:r w:rsidRPr="00C85E6C">
        <w:t>Committee</w:t>
      </w:r>
      <w:r w:rsidR="00EB40F1">
        <w:t>’</w:t>
      </w:r>
      <w:r w:rsidRPr="00C85E6C">
        <w:t>s</w:t>
      </w:r>
      <w:r w:rsidR="009345EA">
        <w:t xml:space="preserve"> </w:t>
      </w:r>
      <w:r w:rsidRPr="00C85E6C">
        <w:t>recommendations</w:t>
      </w:r>
      <w:r w:rsidR="009345EA">
        <w:t xml:space="preserve"> </w:t>
      </w:r>
      <w:r w:rsidRPr="00C85E6C">
        <w:t>at</w:t>
      </w:r>
      <w:r w:rsidR="009345EA">
        <w:t xml:space="preserve"> </w:t>
      </w:r>
      <w:r w:rsidRPr="00C85E6C">
        <w:t>the</w:t>
      </w:r>
      <w:r w:rsidR="009345EA">
        <w:t xml:space="preserve"> </w:t>
      </w:r>
      <w:r w:rsidRPr="00C85E6C">
        <w:t>domestic</w:t>
      </w:r>
      <w:r w:rsidR="009345EA">
        <w:t xml:space="preserve"> </w:t>
      </w:r>
      <w:r w:rsidRPr="00C85E6C">
        <w:t>level.</w:t>
      </w:r>
      <w:r w:rsidR="009345EA">
        <w:t xml:space="preserve"> </w:t>
      </w:r>
      <w:r w:rsidRPr="00C85E6C">
        <w:t>The</w:t>
      </w:r>
      <w:r w:rsidR="009345EA">
        <w:t xml:space="preserve"> </w:t>
      </w:r>
      <w:r w:rsidRPr="00C85E6C">
        <w:t>Supreme</w:t>
      </w:r>
      <w:r w:rsidR="009345EA">
        <w:t xml:space="preserve"> </w:t>
      </w:r>
      <w:r w:rsidRPr="00C85E6C">
        <w:t>Court</w:t>
      </w:r>
      <w:r w:rsidR="00EB40F1">
        <w:t>’</w:t>
      </w:r>
      <w:r w:rsidRPr="00C85E6C">
        <w:t>s</w:t>
      </w:r>
      <w:r w:rsidR="009345EA">
        <w:t xml:space="preserve"> </w:t>
      </w:r>
      <w:r w:rsidRPr="00C85E6C">
        <w:t>judgment</w:t>
      </w:r>
      <w:r w:rsidR="009345EA">
        <w:t xml:space="preserve"> </w:t>
      </w:r>
      <w:r w:rsidRPr="00C85E6C">
        <w:t>set</w:t>
      </w:r>
      <w:r w:rsidR="009345EA">
        <w:t xml:space="preserve"> </w:t>
      </w:r>
      <w:r w:rsidRPr="00C85E6C">
        <w:t>an</w:t>
      </w:r>
      <w:r w:rsidR="009345EA">
        <w:t xml:space="preserve"> </w:t>
      </w:r>
      <w:r w:rsidRPr="00C85E6C">
        <w:t>interpretational</w:t>
      </w:r>
      <w:r w:rsidR="009345EA">
        <w:t xml:space="preserve"> </w:t>
      </w:r>
      <w:r w:rsidRPr="00C85E6C">
        <w:t>precedent</w:t>
      </w:r>
      <w:r w:rsidR="009345EA">
        <w:t xml:space="preserve"> </w:t>
      </w:r>
      <w:r w:rsidRPr="00C85E6C">
        <w:t>for</w:t>
      </w:r>
      <w:r w:rsidR="009345EA">
        <w:t xml:space="preserve"> </w:t>
      </w:r>
      <w:r w:rsidRPr="00C85E6C">
        <w:t>dualism</w:t>
      </w:r>
      <w:r w:rsidR="009345EA">
        <w:t xml:space="preserve"> </w:t>
      </w:r>
      <w:r w:rsidRPr="00C85E6C">
        <w:t>in</w:t>
      </w:r>
      <w:r w:rsidR="009345EA">
        <w:t xml:space="preserve"> </w:t>
      </w:r>
      <w:r w:rsidRPr="00C85E6C">
        <w:t>the</w:t>
      </w:r>
      <w:r w:rsidR="009345EA">
        <w:t xml:space="preserve"> </w:t>
      </w:r>
      <w:r w:rsidRPr="00C85E6C">
        <w:t>context</w:t>
      </w:r>
      <w:r w:rsidR="009345EA">
        <w:t xml:space="preserve"> </w:t>
      </w:r>
      <w:r w:rsidRPr="00C85E6C">
        <w:t>of</w:t>
      </w:r>
      <w:r w:rsidR="009345EA">
        <w:t xml:space="preserve"> </w:t>
      </w:r>
      <w:r w:rsidRPr="00C85E6C">
        <w:t>Sri</w:t>
      </w:r>
      <w:r w:rsidR="009345EA">
        <w:t xml:space="preserve"> </w:t>
      </w:r>
      <w:r w:rsidRPr="00C85E6C">
        <w:t>Lanka.</w:t>
      </w:r>
      <w:r w:rsidRPr="00D06B7B">
        <w:rPr>
          <w:rStyle w:val="FootnoteReference"/>
        </w:rPr>
        <w:footnoteReference w:id="14"/>
      </w:r>
      <w:r w:rsidR="009345EA">
        <w:t xml:space="preserve"> </w:t>
      </w:r>
      <w:r w:rsidRPr="00C85E6C">
        <w:t>The</w:t>
      </w:r>
      <w:r w:rsidR="009345EA">
        <w:t xml:space="preserve"> </w:t>
      </w:r>
      <w:r w:rsidRPr="00C85E6C">
        <w:t>court</w:t>
      </w:r>
      <w:r w:rsidR="009345EA">
        <w:t xml:space="preserve"> </w:t>
      </w:r>
      <w:r w:rsidRPr="00C85E6C">
        <w:t>held</w:t>
      </w:r>
      <w:r w:rsidR="009345EA">
        <w:t xml:space="preserve"> </w:t>
      </w:r>
      <w:r w:rsidRPr="00C85E6C">
        <w:t>that</w:t>
      </w:r>
      <w:r w:rsidR="009345EA">
        <w:t xml:space="preserve"> </w:t>
      </w:r>
      <w:r w:rsidRPr="00C85E6C">
        <w:t>the</w:t>
      </w:r>
      <w:r w:rsidR="009345EA">
        <w:t xml:space="preserve"> </w:t>
      </w:r>
      <w:r w:rsidRPr="00C85E6C">
        <w:t>accession</w:t>
      </w:r>
      <w:r w:rsidR="009345EA">
        <w:t xml:space="preserve"> </w:t>
      </w:r>
      <w:r w:rsidRPr="00C85E6C">
        <w:t>to</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by</w:t>
      </w:r>
      <w:r w:rsidR="009345EA">
        <w:t xml:space="preserve"> </w:t>
      </w:r>
      <w:r w:rsidRPr="00C85E6C">
        <w:t>an</w:t>
      </w:r>
      <w:r w:rsidR="009345EA">
        <w:t xml:space="preserve"> </w:t>
      </w:r>
      <w:r w:rsidRPr="00C85E6C">
        <w:t>act</w:t>
      </w:r>
      <w:r w:rsidR="009345EA">
        <w:t xml:space="preserve"> </w:t>
      </w:r>
      <w:r w:rsidRPr="00C85E6C">
        <w:t>of</w:t>
      </w:r>
      <w:r w:rsidR="009345EA">
        <w:t xml:space="preserve"> </w:t>
      </w:r>
      <w:r w:rsidRPr="00C85E6C">
        <w:t>the</w:t>
      </w:r>
      <w:r w:rsidR="009345EA">
        <w:t xml:space="preserve"> </w:t>
      </w:r>
      <w:r w:rsidRPr="00C85E6C">
        <w:t>President</w:t>
      </w:r>
      <w:r w:rsidR="009345EA">
        <w:t xml:space="preserve"> </w:t>
      </w:r>
      <w:r w:rsidRPr="00C85E6C">
        <w:t>was</w:t>
      </w:r>
      <w:r w:rsidR="009345EA">
        <w:t xml:space="preserve"> </w:t>
      </w:r>
      <w:r w:rsidRPr="00C85E6C">
        <w:t>a</w:t>
      </w:r>
      <w:r w:rsidR="009345EA">
        <w:t xml:space="preserve"> </w:t>
      </w:r>
      <w:r w:rsidR="00EB40F1">
        <w:t>“</w:t>
      </w:r>
      <w:r w:rsidRPr="00C85E6C">
        <w:t>purported</w:t>
      </w:r>
      <w:r w:rsidR="009345EA">
        <w:t xml:space="preserve"> </w:t>
      </w:r>
      <w:r w:rsidRPr="00C85E6C">
        <w:t>exercise</w:t>
      </w:r>
      <w:r w:rsidR="009345EA">
        <w:t xml:space="preserve"> </w:t>
      </w:r>
      <w:r w:rsidRPr="00C85E6C">
        <w:t>of</w:t>
      </w:r>
      <w:r w:rsidR="009345EA">
        <w:t xml:space="preserve"> </w:t>
      </w:r>
      <w:r w:rsidRPr="00C85E6C">
        <w:t>legislative</w:t>
      </w:r>
      <w:r w:rsidR="009345EA">
        <w:t xml:space="preserve"> </w:t>
      </w:r>
      <w:r w:rsidRPr="00C85E6C">
        <w:t>power</w:t>
      </w:r>
      <w:r w:rsidR="00EB40F1">
        <w:t>”</w:t>
      </w:r>
      <w:r w:rsidRPr="00C85E6C">
        <w:t>,</w:t>
      </w:r>
      <w:r w:rsidR="009345EA">
        <w:t xml:space="preserve"> </w:t>
      </w:r>
      <w:r w:rsidRPr="00C85E6C">
        <w:t>and</w:t>
      </w:r>
      <w:r w:rsidR="009345EA">
        <w:t xml:space="preserve"> </w:t>
      </w:r>
      <w:r w:rsidRPr="00C85E6C">
        <w:t>that</w:t>
      </w:r>
      <w:r w:rsidR="009345EA">
        <w:t xml:space="preserve"> </w:t>
      </w:r>
      <w:r w:rsidRPr="00C85E6C">
        <w:t>since</w:t>
      </w:r>
      <w:r w:rsidR="009345EA">
        <w:t xml:space="preserve"> </w:t>
      </w:r>
      <w:r w:rsidRPr="00C85E6C">
        <w:t>no</w:t>
      </w:r>
      <w:r w:rsidR="009345EA">
        <w:t xml:space="preserve"> </w:t>
      </w:r>
      <w:r w:rsidRPr="00C85E6C">
        <w:t>steps</w:t>
      </w:r>
      <w:r w:rsidR="009345EA">
        <w:t xml:space="preserve"> </w:t>
      </w:r>
      <w:r w:rsidRPr="00C85E6C">
        <w:t>were</w:t>
      </w:r>
      <w:r w:rsidR="009345EA">
        <w:t xml:space="preserve"> </w:t>
      </w:r>
      <w:r w:rsidRPr="00C85E6C">
        <w:t>taken</w:t>
      </w:r>
      <w:r w:rsidR="009345EA">
        <w:t xml:space="preserve"> </w:t>
      </w:r>
      <w:r w:rsidRPr="00C85E6C">
        <w:t>to</w:t>
      </w:r>
      <w:r w:rsidR="009345EA">
        <w:t xml:space="preserve"> </w:t>
      </w:r>
      <w:r w:rsidRPr="00C85E6C">
        <w:t>give</w:t>
      </w:r>
      <w:r w:rsidR="009345EA">
        <w:t xml:space="preserve"> </w:t>
      </w:r>
      <w:r w:rsidRPr="00C85E6C">
        <w:t>statutory</w:t>
      </w:r>
      <w:r w:rsidR="009345EA">
        <w:t xml:space="preserve"> </w:t>
      </w:r>
      <w:r w:rsidRPr="00C85E6C">
        <w:t>effect</w:t>
      </w:r>
      <w:r w:rsidR="009345EA">
        <w:t xml:space="preserve"> </w:t>
      </w:r>
      <w:r w:rsidRPr="00C85E6C">
        <w:t>to</w:t>
      </w:r>
      <w:r w:rsidR="009345EA">
        <w:t xml:space="preserve"> </w:t>
      </w:r>
      <w:r w:rsidRPr="00C85E6C">
        <w:t>the</w:t>
      </w:r>
      <w:r w:rsidR="009345EA">
        <w:t xml:space="preserve"> </w:t>
      </w:r>
      <w:r w:rsidRPr="00C85E6C">
        <w:t>rights</w:t>
      </w:r>
      <w:r w:rsidR="009345EA">
        <w:t xml:space="preserve"> </w:t>
      </w:r>
      <w:r w:rsidRPr="00C85E6C">
        <w:t>enshrined</w:t>
      </w:r>
      <w:r w:rsidR="009345EA">
        <w:t xml:space="preserve"> </w:t>
      </w:r>
      <w:r w:rsidRPr="00C85E6C">
        <w:t>in</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findings</w:t>
      </w:r>
      <w:r w:rsidR="009345EA">
        <w:t xml:space="preserve"> </w:t>
      </w:r>
      <w:r w:rsidRPr="00C85E6C">
        <w:t>of</w:t>
      </w:r>
      <w:r w:rsidR="009345EA">
        <w:t xml:space="preserve"> </w:t>
      </w:r>
      <w:r w:rsidRPr="00C85E6C">
        <w:t>the</w:t>
      </w:r>
      <w:r w:rsidR="009345EA">
        <w:t xml:space="preserve"> </w:t>
      </w:r>
      <w:r w:rsidRPr="00C85E6C">
        <w:t>Committee</w:t>
      </w:r>
      <w:r w:rsidR="009345EA">
        <w:t xml:space="preserve"> </w:t>
      </w:r>
      <w:r w:rsidRPr="00C85E6C">
        <w:t>would</w:t>
      </w:r>
      <w:r w:rsidR="009345EA">
        <w:t xml:space="preserve"> </w:t>
      </w:r>
      <w:r w:rsidRPr="00C85E6C">
        <w:t>be</w:t>
      </w:r>
      <w:r w:rsidR="009345EA">
        <w:t xml:space="preserve"> </w:t>
      </w:r>
      <w:r w:rsidRPr="00C85E6C">
        <w:t>unenforceable</w:t>
      </w:r>
      <w:r w:rsidR="009345EA">
        <w:t xml:space="preserve"> </w:t>
      </w:r>
      <w:r w:rsidRPr="00C85E6C">
        <w:t>and</w:t>
      </w:r>
      <w:r w:rsidR="009345EA">
        <w:t xml:space="preserve"> </w:t>
      </w:r>
      <w:r w:rsidRPr="00C85E6C">
        <w:t>the</w:t>
      </w:r>
      <w:r w:rsidR="009345EA">
        <w:t xml:space="preserve"> </w:t>
      </w:r>
      <w:r w:rsidRPr="00C85E6C">
        <w:t>court</w:t>
      </w:r>
      <w:r w:rsidR="009345EA">
        <w:t xml:space="preserve"> </w:t>
      </w:r>
      <w:r w:rsidRPr="00C85E6C">
        <w:t>was</w:t>
      </w:r>
      <w:r w:rsidR="009345EA">
        <w:t xml:space="preserve"> </w:t>
      </w:r>
      <w:r w:rsidRPr="00C85E6C">
        <w:t>not</w:t>
      </w:r>
      <w:r w:rsidR="009345EA">
        <w:t xml:space="preserve"> </w:t>
      </w:r>
      <w:r w:rsidRPr="00C85E6C">
        <w:t>expected</w:t>
      </w:r>
      <w:r w:rsidR="009345EA">
        <w:t xml:space="preserve"> </w:t>
      </w:r>
      <w:r w:rsidRPr="00C85E6C">
        <w:t>to</w:t>
      </w:r>
      <w:r w:rsidR="009345EA">
        <w:t xml:space="preserve"> </w:t>
      </w:r>
      <w:r w:rsidRPr="00C85E6C">
        <w:t>give</w:t>
      </w:r>
      <w:r w:rsidR="009345EA">
        <w:t xml:space="preserve"> </w:t>
      </w:r>
      <w:r w:rsidRPr="00C85E6C">
        <w:t>them</w:t>
      </w:r>
      <w:r w:rsidR="009345EA">
        <w:t xml:space="preserve"> </w:t>
      </w:r>
      <w:r w:rsidRPr="00C85E6C">
        <w:t>effect.</w:t>
      </w:r>
      <w:r w:rsidRPr="00D06B7B">
        <w:rPr>
          <w:rStyle w:val="FootnoteReference"/>
        </w:rPr>
        <w:footnoteReference w:id="15"/>
      </w:r>
      <w:r w:rsidR="009345EA">
        <w:t xml:space="preserve"> </w:t>
      </w:r>
    </w:p>
    <w:p w:rsidR="00D06B7B" w:rsidRPr="00C85E6C" w:rsidRDefault="00D06B7B" w:rsidP="003307A9">
      <w:pPr>
        <w:pStyle w:val="H23G"/>
      </w:pPr>
      <w:r w:rsidRPr="00C85E6C">
        <w:tab/>
      </w:r>
      <w:r w:rsidRPr="00C85E6C">
        <w:tab/>
        <w:t>Author</w:t>
      </w:r>
      <w:r w:rsidR="00EB40F1">
        <w:t>’</w:t>
      </w:r>
      <w:r w:rsidRPr="00C85E6C">
        <w:t>s</w:t>
      </w:r>
      <w:r w:rsidR="009345EA">
        <w:t xml:space="preserve"> </w:t>
      </w:r>
      <w:r w:rsidRPr="00C85E6C">
        <w:t>further</w:t>
      </w:r>
      <w:r w:rsidR="009345EA">
        <w:t xml:space="preserve"> </w:t>
      </w:r>
      <w:r w:rsidRPr="00C85E6C">
        <w:t>submission</w:t>
      </w:r>
    </w:p>
    <w:p w:rsidR="00D06B7B" w:rsidRPr="00C85E6C" w:rsidRDefault="00D06B7B" w:rsidP="00FF3573">
      <w:pPr>
        <w:pStyle w:val="SingleTxtG"/>
      </w:pPr>
      <w:r w:rsidRPr="00C85E6C">
        <w:t>5.</w:t>
      </w:r>
      <w:r w:rsidRPr="00C85E6C">
        <w:tab/>
        <w:t>In</w:t>
      </w:r>
      <w:r w:rsidR="009345EA">
        <w:t xml:space="preserve"> </w:t>
      </w:r>
      <w:r w:rsidRPr="00C85E6C">
        <w:t>a</w:t>
      </w:r>
      <w:r w:rsidR="009345EA">
        <w:t xml:space="preserve"> </w:t>
      </w:r>
      <w:r w:rsidRPr="00C85E6C">
        <w:t>submission</w:t>
      </w:r>
      <w:r w:rsidR="009345EA">
        <w:t xml:space="preserve"> </w:t>
      </w:r>
      <w:r w:rsidRPr="00C85E6C">
        <w:t>dated</w:t>
      </w:r>
      <w:r w:rsidR="009345EA">
        <w:t xml:space="preserve"> </w:t>
      </w:r>
      <w:r w:rsidRPr="00C85E6C">
        <w:t>15</w:t>
      </w:r>
      <w:r w:rsidR="009345EA">
        <w:t xml:space="preserve"> </w:t>
      </w:r>
      <w:r w:rsidRPr="00C85E6C">
        <w:t>June</w:t>
      </w:r>
      <w:r w:rsidR="009345EA">
        <w:t xml:space="preserve"> </w:t>
      </w:r>
      <w:r w:rsidRPr="00C85E6C">
        <w:t>2017,</w:t>
      </w:r>
      <w:r w:rsidR="009345EA">
        <w:t xml:space="preserve"> </w:t>
      </w:r>
      <w:r w:rsidRPr="00C85E6C">
        <w:t>the</w:t>
      </w:r>
      <w:r w:rsidR="009345EA">
        <w:t xml:space="preserve"> </w:t>
      </w:r>
      <w:r w:rsidRPr="00C85E6C">
        <w:t>author</w:t>
      </w:r>
      <w:r w:rsidR="009345EA">
        <w:t xml:space="preserve"> </w:t>
      </w:r>
      <w:r w:rsidRPr="00C85E6C">
        <w:t>informs</w:t>
      </w:r>
      <w:r w:rsidR="009345EA">
        <w:t xml:space="preserve"> </w:t>
      </w:r>
      <w:r w:rsidRPr="00C85E6C">
        <w:t>the</w:t>
      </w:r>
      <w:r w:rsidR="009345EA">
        <w:t xml:space="preserve"> </w:t>
      </w:r>
      <w:r w:rsidRPr="00C85E6C">
        <w:t>Committee</w:t>
      </w:r>
      <w:r w:rsidR="009345EA">
        <w:t xml:space="preserve"> </w:t>
      </w:r>
      <w:r w:rsidRPr="00C85E6C">
        <w:t>that</w:t>
      </w:r>
      <w:r w:rsidR="009345EA">
        <w:t xml:space="preserve"> </w:t>
      </w:r>
      <w:r w:rsidRPr="00C85E6C">
        <w:t>in</w:t>
      </w:r>
      <w:r w:rsidR="009345EA">
        <w:t xml:space="preserve"> </w:t>
      </w:r>
      <w:r w:rsidRPr="00C85E6C">
        <w:t>December</w:t>
      </w:r>
      <w:r w:rsidR="009345EA">
        <w:t xml:space="preserve"> </w:t>
      </w:r>
      <w:r w:rsidRPr="00C85E6C">
        <w:t>2015,</w:t>
      </w:r>
      <w:r w:rsidR="009345EA">
        <w:t xml:space="preserve"> </w:t>
      </w:r>
      <w:r w:rsidRPr="00C85E6C">
        <w:t>the</w:t>
      </w:r>
      <w:r w:rsidR="009345EA">
        <w:t xml:space="preserve"> </w:t>
      </w:r>
      <w:r w:rsidRPr="00C85E6C">
        <w:t>two</w:t>
      </w:r>
      <w:r w:rsidR="009345EA">
        <w:t xml:space="preserve"> </w:t>
      </w:r>
      <w:r w:rsidRPr="00C85E6C">
        <w:t>perpetrators</w:t>
      </w:r>
      <w:r w:rsidR="009345EA">
        <w:t xml:space="preserve"> </w:t>
      </w:r>
      <w:r w:rsidRPr="00C85E6C">
        <w:t>of</w:t>
      </w:r>
      <w:r w:rsidR="009345EA">
        <w:t xml:space="preserve"> </w:t>
      </w:r>
      <w:r w:rsidRPr="00C85E6C">
        <w:t>the</w:t>
      </w:r>
      <w:r w:rsidR="009345EA">
        <w:t xml:space="preserve"> </w:t>
      </w:r>
      <w:r w:rsidRPr="00C85E6C">
        <w:t>rape</w:t>
      </w:r>
      <w:r w:rsidR="009345EA">
        <w:t xml:space="preserve"> </w:t>
      </w:r>
      <w:r w:rsidRPr="00C85E6C">
        <w:t>were</w:t>
      </w:r>
      <w:r w:rsidR="009345EA">
        <w:t xml:space="preserve"> </w:t>
      </w:r>
      <w:r w:rsidRPr="00C85E6C">
        <w:t>convicted</w:t>
      </w:r>
      <w:r w:rsidR="009345EA">
        <w:t xml:space="preserve"> </w:t>
      </w:r>
      <w:r w:rsidRPr="00C85E6C">
        <w:t>and</w:t>
      </w:r>
      <w:r w:rsidR="009345EA">
        <w:t xml:space="preserve"> </w:t>
      </w:r>
      <w:r w:rsidRPr="00C85E6C">
        <w:t>sentenced</w:t>
      </w:r>
      <w:r w:rsidR="009345EA">
        <w:t xml:space="preserve"> </w:t>
      </w:r>
      <w:r w:rsidRPr="00C85E6C">
        <w:t>by</w:t>
      </w:r>
      <w:r w:rsidR="009345EA">
        <w:t xml:space="preserve"> </w:t>
      </w:r>
      <w:r w:rsidRPr="00C85E6C">
        <w:t>the</w:t>
      </w:r>
      <w:r w:rsidR="009345EA">
        <w:t xml:space="preserve"> </w:t>
      </w:r>
      <w:r w:rsidRPr="00C85E6C">
        <w:t>High</w:t>
      </w:r>
      <w:r w:rsidR="009345EA">
        <w:t xml:space="preserve"> </w:t>
      </w:r>
      <w:r w:rsidRPr="00C85E6C">
        <w:t>Court</w:t>
      </w:r>
      <w:r w:rsidR="009345EA">
        <w:t xml:space="preserve"> </w:t>
      </w:r>
      <w:r w:rsidRPr="00C85E6C">
        <w:t>of</w:t>
      </w:r>
      <w:r w:rsidR="009345EA">
        <w:t xml:space="preserve"> </w:t>
      </w:r>
      <w:r w:rsidRPr="00C85E6C">
        <w:t>Kandy,</w:t>
      </w:r>
      <w:r w:rsidR="009345EA">
        <w:t xml:space="preserve"> </w:t>
      </w:r>
      <w:r w:rsidRPr="00C85E6C">
        <w:t>both</w:t>
      </w:r>
      <w:r w:rsidR="009345EA">
        <w:t xml:space="preserve"> </w:t>
      </w:r>
      <w:r w:rsidRPr="00C85E6C">
        <w:t>to</w:t>
      </w:r>
      <w:r w:rsidR="009345EA">
        <w:t xml:space="preserve"> </w:t>
      </w:r>
      <w:r w:rsidRPr="00C85E6C">
        <w:t>23</w:t>
      </w:r>
      <w:r w:rsidR="009345EA">
        <w:t xml:space="preserve"> </w:t>
      </w:r>
      <w:r w:rsidRPr="00C85E6C">
        <w:t>years</w:t>
      </w:r>
      <w:r w:rsidR="009345EA">
        <w:t xml:space="preserve"> </w:t>
      </w:r>
      <w:r w:rsidRPr="00C85E6C">
        <w:t>of</w:t>
      </w:r>
      <w:r w:rsidR="009345EA">
        <w:t xml:space="preserve"> </w:t>
      </w:r>
      <w:r w:rsidRPr="00C85E6C">
        <w:t>imprisonment.</w:t>
      </w:r>
      <w:r w:rsidR="009345EA">
        <w:t xml:space="preserve"> </w:t>
      </w:r>
      <w:r w:rsidRPr="00C85E6C">
        <w:t>While</w:t>
      </w:r>
      <w:r w:rsidR="009345EA">
        <w:t xml:space="preserve"> </w:t>
      </w:r>
      <w:r w:rsidRPr="00C85E6C">
        <w:t>the</w:t>
      </w:r>
      <w:r w:rsidR="009345EA">
        <w:t xml:space="preserve"> </w:t>
      </w:r>
      <w:r w:rsidRPr="00C85E6C">
        <w:t>conviction</w:t>
      </w:r>
      <w:r w:rsidR="009345EA">
        <w:t xml:space="preserve"> </w:t>
      </w:r>
      <w:r w:rsidRPr="00C85E6C">
        <w:t>of</w:t>
      </w:r>
      <w:r w:rsidR="009345EA">
        <w:t xml:space="preserve"> </w:t>
      </w:r>
      <w:r w:rsidRPr="00C85E6C">
        <w:t>the</w:t>
      </w:r>
      <w:r w:rsidR="009345EA">
        <w:t xml:space="preserve"> </w:t>
      </w:r>
      <w:r w:rsidRPr="00C85E6C">
        <w:t>perpetrators,</w:t>
      </w:r>
      <w:r w:rsidR="009345EA">
        <w:t xml:space="preserve"> </w:t>
      </w:r>
      <w:r w:rsidRPr="00C85E6C">
        <w:t>which</w:t>
      </w:r>
      <w:r w:rsidR="009345EA">
        <w:t xml:space="preserve"> </w:t>
      </w:r>
      <w:r w:rsidRPr="00C85E6C">
        <w:t>had</w:t>
      </w:r>
      <w:r w:rsidR="009345EA">
        <w:t xml:space="preserve"> </w:t>
      </w:r>
      <w:r w:rsidRPr="00C85E6C">
        <w:t>been</w:t>
      </w:r>
      <w:r w:rsidR="009345EA">
        <w:t xml:space="preserve"> </w:t>
      </w:r>
      <w:r w:rsidRPr="00C85E6C">
        <w:t>obtained</w:t>
      </w:r>
      <w:r w:rsidR="009345EA">
        <w:t xml:space="preserve"> </w:t>
      </w:r>
      <w:r w:rsidRPr="00C85E6C">
        <w:t>after</w:t>
      </w:r>
      <w:r w:rsidR="009345EA">
        <w:t xml:space="preserve"> </w:t>
      </w:r>
      <w:r w:rsidRPr="00C85E6C">
        <w:t>extensive</w:t>
      </w:r>
      <w:r w:rsidR="009345EA">
        <w:t xml:space="preserve"> </w:t>
      </w:r>
      <w:r w:rsidRPr="00C85E6C">
        <w:t>delays,</w:t>
      </w:r>
      <w:r w:rsidR="009345EA">
        <w:t xml:space="preserve"> </w:t>
      </w:r>
      <w:r w:rsidRPr="00C85E6C">
        <w:t>was</w:t>
      </w:r>
      <w:r w:rsidR="009345EA">
        <w:t xml:space="preserve"> </w:t>
      </w:r>
      <w:r w:rsidRPr="00C85E6C">
        <w:t>welcome,</w:t>
      </w:r>
      <w:r w:rsidR="009345EA">
        <w:t xml:space="preserve"> </w:t>
      </w:r>
      <w:r w:rsidRPr="00C85E6C">
        <w:t>most</w:t>
      </w:r>
      <w:r w:rsidR="009345EA">
        <w:t xml:space="preserve"> </w:t>
      </w:r>
      <w:r w:rsidRPr="00C85E6C">
        <w:t>of</w:t>
      </w:r>
      <w:r w:rsidR="009345EA">
        <w:t xml:space="preserve"> </w:t>
      </w:r>
      <w:r w:rsidRPr="00C85E6C">
        <w:t>the</w:t>
      </w:r>
      <w:r w:rsidR="009345EA">
        <w:t xml:space="preserve"> </w:t>
      </w:r>
      <w:r w:rsidRPr="00C85E6C">
        <w:t>violations</w:t>
      </w:r>
      <w:r w:rsidR="009345EA">
        <w:t xml:space="preserve"> </w:t>
      </w:r>
      <w:r w:rsidRPr="00C85E6C">
        <w:t>of</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rights</w:t>
      </w:r>
      <w:r w:rsidR="009345EA">
        <w:t xml:space="preserve"> </w:t>
      </w:r>
      <w:r w:rsidRPr="00C85E6C">
        <w:t>have</w:t>
      </w:r>
      <w:r w:rsidR="009345EA">
        <w:t xml:space="preserve"> </w:t>
      </w:r>
      <w:r w:rsidRPr="00C85E6C">
        <w:t>remained</w:t>
      </w:r>
      <w:r w:rsidR="009345EA">
        <w:t xml:space="preserve"> </w:t>
      </w:r>
      <w:r w:rsidRPr="00C85E6C">
        <w:t>unaddressed</w:t>
      </w:r>
      <w:r w:rsidR="009345EA">
        <w:t xml:space="preserve"> </w:t>
      </w:r>
      <w:r w:rsidRPr="00C85E6C">
        <w:t>and</w:t>
      </w:r>
      <w:r w:rsidR="009345EA">
        <w:t xml:space="preserve"> </w:t>
      </w:r>
      <w:r w:rsidRPr="00C85E6C">
        <w:t>the</w:t>
      </w:r>
      <w:r w:rsidR="009345EA">
        <w:t xml:space="preserve"> </w:t>
      </w:r>
      <w:r w:rsidRPr="00C85E6C">
        <w:t>remedies</w:t>
      </w:r>
      <w:r w:rsidR="009345EA">
        <w:t xml:space="preserve"> </w:t>
      </w:r>
      <w:r w:rsidRPr="00C85E6C">
        <w:t>at</w:t>
      </w:r>
      <w:r w:rsidR="009345EA">
        <w:t xml:space="preserve"> </w:t>
      </w:r>
      <w:r w:rsidRPr="00C85E6C">
        <w:t>the</w:t>
      </w:r>
      <w:r w:rsidR="009345EA">
        <w:t xml:space="preserve"> </w:t>
      </w:r>
      <w:r w:rsidRPr="00C85E6C">
        <w:t>domestic</w:t>
      </w:r>
      <w:r w:rsidR="009345EA">
        <w:t xml:space="preserve"> </w:t>
      </w:r>
      <w:r w:rsidRPr="00C85E6C">
        <w:t>level</w:t>
      </w:r>
      <w:r w:rsidR="009345EA">
        <w:t xml:space="preserve"> </w:t>
      </w:r>
      <w:r w:rsidRPr="00C85E6C">
        <w:t>have</w:t>
      </w:r>
      <w:r w:rsidR="009345EA">
        <w:t xml:space="preserve"> </w:t>
      </w:r>
      <w:r w:rsidRPr="00C85E6C">
        <w:t>remained</w:t>
      </w:r>
      <w:r w:rsidR="009345EA">
        <w:t xml:space="preserve"> </w:t>
      </w:r>
      <w:r w:rsidRPr="00C85E6C">
        <w:t>ineffective.</w:t>
      </w:r>
      <w:r w:rsidR="009345EA">
        <w:t xml:space="preserve"> </w:t>
      </w:r>
      <w:r w:rsidRPr="00C85E6C">
        <w:t>The</w:t>
      </w:r>
      <w:r w:rsidR="009345EA">
        <w:t xml:space="preserve"> </w:t>
      </w:r>
      <w:r w:rsidRPr="00C85E6C">
        <w:t>author</w:t>
      </w:r>
      <w:r w:rsidR="009345EA">
        <w:t xml:space="preserve"> </w:t>
      </w:r>
      <w:r w:rsidRPr="00C85E6C">
        <w:t>recalls</w:t>
      </w:r>
      <w:r w:rsidR="009345EA">
        <w:t xml:space="preserve"> </w:t>
      </w:r>
      <w:r w:rsidRPr="00C85E6C">
        <w:t>the</w:t>
      </w:r>
      <w:r w:rsidR="009345EA">
        <w:t xml:space="preserve"> </w:t>
      </w:r>
      <w:r w:rsidRPr="00C85E6C">
        <w:t>previous</w:t>
      </w:r>
      <w:r w:rsidR="009345EA">
        <w:t xml:space="preserve"> </w:t>
      </w:r>
      <w:r w:rsidRPr="00C85E6C">
        <w:t>jurisprudence</w:t>
      </w:r>
      <w:r w:rsidR="009345EA">
        <w:t xml:space="preserve"> </w:t>
      </w:r>
      <w:r w:rsidRPr="00C85E6C">
        <w:t>of</w:t>
      </w:r>
      <w:r w:rsidR="009345EA">
        <w:t xml:space="preserve"> </w:t>
      </w:r>
      <w:r w:rsidRPr="00C85E6C">
        <w:t>the</w:t>
      </w:r>
      <w:r w:rsidR="009345EA">
        <w:t xml:space="preserve"> </w:t>
      </w:r>
      <w:r w:rsidRPr="00C85E6C">
        <w:t>Committee,</w:t>
      </w:r>
      <w:r w:rsidR="009345EA">
        <w:t xml:space="preserve"> </w:t>
      </w:r>
      <w:r w:rsidRPr="00C85E6C">
        <w:t>arguing</w:t>
      </w:r>
      <w:r w:rsidR="009345EA">
        <w:t xml:space="preserve"> </w:t>
      </w:r>
      <w:r w:rsidRPr="00C85E6C">
        <w:t>that</w:t>
      </w:r>
      <w:r w:rsidR="009345EA">
        <w:t xml:space="preserve"> </w:t>
      </w:r>
      <w:r w:rsidRPr="00C85E6C">
        <w:t>the</w:t>
      </w:r>
      <w:r w:rsidR="009345EA">
        <w:t xml:space="preserve"> </w:t>
      </w:r>
      <w:r w:rsidRPr="00C85E6C">
        <w:t>recent</w:t>
      </w:r>
      <w:r w:rsidR="009345EA">
        <w:t xml:space="preserve"> </w:t>
      </w:r>
      <w:r w:rsidRPr="00C85E6C">
        <w:t>remedy</w:t>
      </w:r>
      <w:r w:rsidR="009345EA">
        <w:t xml:space="preserve"> </w:t>
      </w:r>
      <w:r w:rsidRPr="00C85E6C">
        <w:t>should</w:t>
      </w:r>
      <w:r w:rsidR="009345EA">
        <w:t xml:space="preserve"> </w:t>
      </w:r>
      <w:r w:rsidRPr="00C85E6C">
        <w:t>not</w:t>
      </w:r>
      <w:r w:rsidR="009345EA">
        <w:t xml:space="preserve"> </w:t>
      </w:r>
      <w:r w:rsidRPr="00C85E6C">
        <w:t>hamper</w:t>
      </w:r>
      <w:r w:rsidR="009345EA">
        <w:t xml:space="preserve"> </w:t>
      </w:r>
      <w:r w:rsidRPr="00C85E6C">
        <w:t>the</w:t>
      </w:r>
      <w:r w:rsidR="009345EA">
        <w:t xml:space="preserve"> </w:t>
      </w:r>
      <w:r w:rsidRPr="00C85E6C">
        <w:t>assessment</w:t>
      </w:r>
      <w:r w:rsidR="009345EA">
        <w:t xml:space="preserve"> </w:t>
      </w:r>
      <w:r w:rsidRPr="00C85E6C">
        <w:t>of</w:t>
      </w:r>
      <w:r w:rsidR="009345EA">
        <w:t xml:space="preserve"> </w:t>
      </w:r>
      <w:r w:rsidRPr="00C85E6C">
        <w:t>the</w:t>
      </w:r>
      <w:r w:rsidR="009345EA">
        <w:t xml:space="preserve"> </w:t>
      </w:r>
      <w:r w:rsidRPr="00C85E6C">
        <w:t>merits</w:t>
      </w:r>
      <w:r w:rsidR="009345EA">
        <w:t xml:space="preserve"> </w:t>
      </w:r>
      <w:r w:rsidRPr="00C85E6C">
        <w:t>of</w:t>
      </w:r>
      <w:r w:rsidR="009345EA">
        <w:t xml:space="preserve"> </w:t>
      </w:r>
      <w:r w:rsidRPr="00C85E6C">
        <w:t>her</w:t>
      </w:r>
      <w:r w:rsidR="009345EA">
        <w:t xml:space="preserve"> </w:t>
      </w:r>
      <w:r w:rsidRPr="00C85E6C">
        <w:t>complaint,</w:t>
      </w:r>
      <w:r w:rsidR="009345EA">
        <w:t xml:space="preserve"> </w:t>
      </w:r>
      <w:r w:rsidRPr="00C85E6C">
        <w:t>including</w:t>
      </w:r>
      <w:r w:rsidR="009345EA">
        <w:t xml:space="preserve"> </w:t>
      </w:r>
      <w:r w:rsidRPr="00C85E6C">
        <w:t>the</w:t>
      </w:r>
      <w:r w:rsidR="009345EA">
        <w:t xml:space="preserve"> </w:t>
      </w:r>
      <w:r w:rsidRPr="00C85E6C">
        <w:t>evaluation</w:t>
      </w:r>
      <w:r w:rsidR="009345EA">
        <w:t xml:space="preserve"> </w:t>
      </w:r>
      <w:r w:rsidRPr="00C85E6C">
        <w:t>of</w:t>
      </w:r>
      <w:r w:rsidR="009345EA">
        <w:t xml:space="preserve"> </w:t>
      </w:r>
      <w:r w:rsidRPr="00C85E6C">
        <w:t>whether</w:t>
      </w:r>
      <w:r w:rsidR="009345EA">
        <w:t xml:space="preserve"> </w:t>
      </w:r>
      <w:r w:rsidRPr="00C85E6C">
        <w:t>an</w:t>
      </w:r>
      <w:r w:rsidR="009345EA">
        <w:t xml:space="preserve"> </w:t>
      </w:r>
      <w:r w:rsidRPr="00C85E6C">
        <w:t>appropriate</w:t>
      </w:r>
      <w:r w:rsidR="009345EA">
        <w:t xml:space="preserve"> </w:t>
      </w:r>
      <w:r w:rsidRPr="00C85E6C">
        <w:t>and</w:t>
      </w:r>
      <w:r w:rsidR="009345EA">
        <w:t xml:space="preserve"> </w:t>
      </w:r>
      <w:r w:rsidRPr="00C85E6C">
        <w:t>effective</w:t>
      </w:r>
      <w:r w:rsidR="009345EA">
        <w:t xml:space="preserve"> </w:t>
      </w:r>
      <w:r w:rsidRPr="00C85E6C">
        <w:t>remedy</w:t>
      </w:r>
      <w:r w:rsidR="009345EA">
        <w:t xml:space="preserve"> </w:t>
      </w:r>
      <w:r w:rsidRPr="00C85E6C">
        <w:t>has</w:t>
      </w:r>
      <w:r w:rsidR="009345EA">
        <w:t xml:space="preserve"> </w:t>
      </w:r>
      <w:r w:rsidRPr="00C85E6C">
        <w:t>been</w:t>
      </w:r>
      <w:r w:rsidR="009345EA">
        <w:t xml:space="preserve"> </w:t>
      </w:r>
      <w:r w:rsidRPr="00C85E6C">
        <w:t>provided.</w:t>
      </w:r>
      <w:r w:rsidRPr="00D06B7B">
        <w:rPr>
          <w:rStyle w:val="FootnoteReference"/>
        </w:rPr>
        <w:footnoteReference w:id="16"/>
      </w:r>
      <w:r w:rsidR="009345EA">
        <w:t xml:space="preserve"> </w:t>
      </w:r>
      <w:r w:rsidRPr="00C85E6C">
        <w:t>In</w:t>
      </w:r>
      <w:r w:rsidR="009345EA">
        <w:t xml:space="preserve"> </w:t>
      </w:r>
      <w:r w:rsidRPr="00C85E6C">
        <w:t>the</w:t>
      </w:r>
      <w:r w:rsidR="009345EA">
        <w:t xml:space="preserve"> </w:t>
      </w:r>
      <w:r w:rsidRPr="00C85E6C">
        <w:t>view</w:t>
      </w:r>
      <w:r w:rsidR="009345EA">
        <w:t xml:space="preserve"> </w:t>
      </w:r>
      <w:r w:rsidRPr="00C85E6C">
        <w:t>of</w:t>
      </w:r>
      <w:r w:rsidR="009345EA">
        <w:t xml:space="preserve"> </w:t>
      </w:r>
      <w:r w:rsidRPr="00C85E6C">
        <w:t>the</w:t>
      </w:r>
      <w:r w:rsidR="009345EA">
        <w:t xml:space="preserve"> </w:t>
      </w:r>
      <w:r w:rsidRPr="00C85E6C">
        <w:t>author,</w:t>
      </w:r>
      <w:r w:rsidR="009345EA">
        <w:t xml:space="preserve"> </w:t>
      </w:r>
      <w:r w:rsidRPr="00C85E6C">
        <w:t>the</w:t>
      </w:r>
      <w:r w:rsidR="009345EA">
        <w:t xml:space="preserve"> </w:t>
      </w:r>
      <w:r w:rsidRPr="00C85E6C">
        <w:t>recent</w:t>
      </w:r>
      <w:r w:rsidR="009345EA">
        <w:t xml:space="preserve"> </w:t>
      </w:r>
      <w:r w:rsidRPr="00C85E6C">
        <w:t>convictions</w:t>
      </w:r>
      <w:r w:rsidR="009345EA">
        <w:t xml:space="preserve"> </w:t>
      </w:r>
      <w:r w:rsidRPr="00C85E6C">
        <w:t>do</w:t>
      </w:r>
      <w:r w:rsidR="009345EA">
        <w:t xml:space="preserve"> </w:t>
      </w:r>
      <w:r w:rsidRPr="00C85E6C">
        <w:t>not</w:t>
      </w:r>
      <w:r w:rsidR="009345EA">
        <w:t xml:space="preserve"> </w:t>
      </w:r>
      <w:r w:rsidRPr="00C85E6C">
        <w:t>alter</w:t>
      </w:r>
      <w:r w:rsidR="009345EA">
        <w:t xml:space="preserve"> </w:t>
      </w:r>
      <w:r w:rsidRPr="00C85E6C">
        <w:t>the</w:t>
      </w:r>
      <w:r w:rsidR="009345EA">
        <w:t xml:space="preserve"> </w:t>
      </w:r>
      <w:r w:rsidRPr="00C85E6C">
        <w:t>fact</w:t>
      </w:r>
      <w:r w:rsidR="009345EA">
        <w:t xml:space="preserve"> </w:t>
      </w:r>
      <w:r w:rsidRPr="00C85E6C">
        <w:t>that</w:t>
      </w:r>
      <w:r w:rsidR="009345EA">
        <w:t xml:space="preserve"> </w:t>
      </w:r>
      <w:r w:rsidRPr="00C85E6C">
        <w:t>the</w:t>
      </w:r>
      <w:r w:rsidR="009345EA">
        <w:t xml:space="preserve"> </w:t>
      </w:r>
      <w:r w:rsidRPr="00C85E6C">
        <w:t>investigations</w:t>
      </w:r>
      <w:r w:rsidR="009345EA">
        <w:t xml:space="preserve"> </w:t>
      </w:r>
      <w:r w:rsidRPr="00C85E6C">
        <w:t>and</w:t>
      </w:r>
      <w:r w:rsidR="009345EA">
        <w:t xml:space="preserve"> </w:t>
      </w:r>
      <w:r w:rsidRPr="00C85E6C">
        <w:t>prosecutions</w:t>
      </w:r>
      <w:r w:rsidR="009345EA">
        <w:t xml:space="preserve"> </w:t>
      </w:r>
      <w:r w:rsidRPr="00C85E6C">
        <w:t>were</w:t>
      </w:r>
      <w:r w:rsidR="009345EA">
        <w:t xml:space="preserve"> </w:t>
      </w:r>
      <w:r w:rsidRPr="00C85E6C">
        <w:t>unduly</w:t>
      </w:r>
      <w:r w:rsidR="009345EA">
        <w:t xml:space="preserve"> </w:t>
      </w:r>
      <w:r w:rsidRPr="00C85E6C">
        <w:t>prolonged</w:t>
      </w:r>
      <w:r w:rsidR="009345EA">
        <w:t xml:space="preserve"> </w:t>
      </w:r>
      <w:r w:rsidRPr="00C85E6C">
        <w:t>and</w:t>
      </w:r>
      <w:r w:rsidR="009345EA">
        <w:t xml:space="preserve"> </w:t>
      </w:r>
      <w:r w:rsidRPr="00C85E6C">
        <w:t>delayed,</w:t>
      </w:r>
      <w:r w:rsidR="009345EA">
        <w:t xml:space="preserve"> </w:t>
      </w:r>
      <w:r w:rsidRPr="00C85E6C">
        <w:t>and</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received</w:t>
      </w:r>
      <w:r w:rsidR="009345EA">
        <w:t xml:space="preserve"> </w:t>
      </w:r>
      <w:r w:rsidRPr="00C85E6C">
        <w:t>no</w:t>
      </w:r>
      <w:r w:rsidR="009345EA">
        <w:t xml:space="preserve"> </w:t>
      </w:r>
      <w:r w:rsidRPr="00C85E6C">
        <w:t>civil</w:t>
      </w:r>
      <w:r w:rsidR="009345EA">
        <w:t xml:space="preserve"> </w:t>
      </w:r>
      <w:r w:rsidRPr="00C85E6C">
        <w:t>remedy.</w:t>
      </w:r>
      <w:r w:rsidR="009345EA">
        <w:t xml:space="preserve"> </w:t>
      </w:r>
      <w:r w:rsidRPr="00C85E6C">
        <w:t>The</w:t>
      </w:r>
      <w:r w:rsidR="009345EA">
        <w:t xml:space="preserve"> </w:t>
      </w:r>
      <w:r w:rsidRPr="00C85E6C">
        <w:t>author</w:t>
      </w:r>
      <w:r w:rsidR="009345EA">
        <w:t xml:space="preserve"> </w:t>
      </w:r>
      <w:r w:rsidRPr="00C85E6C">
        <w:t>hence</w:t>
      </w:r>
      <w:r w:rsidR="009345EA">
        <w:t xml:space="preserve"> </w:t>
      </w:r>
      <w:r w:rsidRPr="00C85E6C">
        <w:t>requests</w:t>
      </w:r>
      <w:r w:rsidR="009345EA">
        <w:t xml:space="preserve"> </w:t>
      </w:r>
      <w:r w:rsidRPr="00C85E6C">
        <w:t>the</w:t>
      </w:r>
      <w:r w:rsidR="009345EA">
        <w:t xml:space="preserve"> </w:t>
      </w:r>
      <w:r w:rsidRPr="00C85E6C">
        <w:t>Committee</w:t>
      </w:r>
      <w:r w:rsidR="009345EA">
        <w:t xml:space="preserve"> </w:t>
      </w:r>
      <w:r w:rsidRPr="00C85E6C">
        <w:t>to</w:t>
      </w:r>
      <w:r w:rsidR="009345EA">
        <w:t xml:space="preserve"> </w:t>
      </w:r>
      <w:r w:rsidRPr="00C85E6C">
        <w:t>find</w:t>
      </w:r>
      <w:r w:rsidR="009345EA">
        <w:t xml:space="preserve"> </w:t>
      </w:r>
      <w:r w:rsidRPr="00C85E6C">
        <w:t>the</w:t>
      </w:r>
      <w:r w:rsidR="009345EA">
        <w:t xml:space="preserve"> </w:t>
      </w:r>
      <w:r w:rsidRPr="00C85E6C">
        <w:t>communication</w:t>
      </w:r>
      <w:r w:rsidR="009345EA">
        <w:t xml:space="preserve"> </w:t>
      </w:r>
      <w:r w:rsidRPr="00C85E6C">
        <w:t>admissible,</w:t>
      </w:r>
      <w:r w:rsidR="009345EA">
        <w:t xml:space="preserve"> </w:t>
      </w:r>
      <w:r w:rsidRPr="00C85E6C">
        <w:t>assess</w:t>
      </w:r>
      <w:r w:rsidR="009345EA">
        <w:t xml:space="preserve"> </w:t>
      </w:r>
      <w:r w:rsidRPr="00C85E6C">
        <w:t>the</w:t>
      </w:r>
      <w:r w:rsidR="009345EA">
        <w:t xml:space="preserve"> </w:t>
      </w:r>
      <w:r w:rsidRPr="00C85E6C">
        <w:t>merits</w:t>
      </w:r>
      <w:r w:rsidR="009345EA">
        <w:t xml:space="preserve"> </w:t>
      </w:r>
      <w:r w:rsidRPr="00C85E6C">
        <w:t>of</w:t>
      </w:r>
      <w:r w:rsidR="009345EA">
        <w:t xml:space="preserve"> </w:t>
      </w:r>
      <w:r w:rsidRPr="00C85E6C">
        <w:t>her</w:t>
      </w:r>
      <w:r w:rsidR="009345EA">
        <w:t xml:space="preserve"> </w:t>
      </w:r>
      <w:r w:rsidRPr="00C85E6C">
        <w:t>complaint,</w:t>
      </w:r>
      <w:r w:rsidR="009345EA">
        <w:t xml:space="preserve"> </w:t>
      </w:r>
      <w:r w:rsidRPr="00C85E6C">
        <w:t>consider</w:t>
      </w:r>
      <w:r w:rsidR="009345EA">
        <w:t xml:space="preserve"> </w:t>
      </w:r>
      <w:r w:rsidRPr="00C85E6C">
        <w:t>the</w:t>
      </w:r>
      <w:r w:rsidR="009345EA">
        <w:t xml:space="preserve"> </w:t>
      </w:r>
      <w:r w:rsidRPr="00C85E6C">
        <w:t>adequacy</w:t>
      </w:r>
      <w:r w:rsidR="009345EA">
        <w:t xml:space="preserve"> </w:t>
      </w:r>
      <w:r w:rsidRPr="00C85E6C">
        <w:t>of</w:t>
      </w:r>
      <w:r w:rsidR="009345EA">
        <w:t xml:space="preserve"> </w:t>
      </w:r>
      <w:r w:rsidRPr="00C85E6C">
        <w:t>the</w:t>
      </w:r>
      <w:r w:rsidR="009345EA">
        <w:t xml:space="preserve"> </w:t>
      </w:r>
      <w:r w:rsidRPr="00C85E6C">
        <w:t>remedy</w:t>
      </w:r>
      <w:r w:rsidR="009345EA">
        <w:t xml:space="preserve"> </w:t>
      </w:r>
      <w:r w:rsidRPr="00C85E6C">
        <w:t>provided</w:t>
      </w:r>
      <w:r w:rsidR="009345EA">
        <w:t xml:space="preserve"> </w:t>
      </w:r>
      <w:r w:rsidRPr="00C85E6C">
        <w:t>and</w:t>
      </w:r>
      <w:r w:rsidR="009345EA">
        <w:t xml:space="preserve"> </w:t>
      </w:r>
      <w:r w:rsidRPr="00C85E6C">
        <w:t>identify</w:t>
      </w:r>
      <w:r w:rsidR="009345EA">
        <w:t xml:space="preserve"> </w:t>
      </w:r>
      <w:r w:rsidRPr="00C85E6C">
        <w:t>the</w:t>
      </w:r>
      <w:r w:rsidR="009345EA">
        <w:t xml:space="preserve"> </w:t>
      </w:r>
      <w:r w:rsidRPr="00C85E6C">
        <w:t>need</w:t>
      </w:r>
      <w:r w:rsidR="009345EA">
        <w:t xml:space="preserve"> </w:t>
      </w:r>
      <w:r w:rsidRPr="00C85E6C">
        <w:t>for</w:t>
      </w:r>
      <w:r w:rsidR="009345EA">
        <w:t xml:space="preserve"> </w:t>
      </w:r>
      <w:r w:rsidRPr="00C85E6C">
        <w:t>further</w:t>
      </w:r>
      <w:r w:rsidR="009345EA">
        <w:t xml:space="preserve"> </w:t>
      </w:r>
      <w:r w:rsidRPr="00C85E6C">
        <w:t>action</w:t>
      </w:r>
      <w:r w:rsidR="009345EA">
        <w:t xml:space="preserve"> </w:t>
      </w:r>
      <w:r w:rsidRPr="00C85E6C">
        <w:t>by</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to</w:t>
      </w:r>
      <w:r w:rsidR="009345EA">
        <w:t xml:space="preserve"> </w:t>
      </w:r>
      <w:r w:rsidRPr="00C85E6C">
        <w:t>provide</w:t>
      </w:r>
      <w:r w:rsidR="009345EA">
        <w:t xml:space="preserve"> </w:t>
      </w:r>
      <w:r w:rsidRPr="00C85E6C">
        <w:t>an</w:t>
      </w:r>
      <w:r w:rsidR="009345EA">
        <w:t xml:space="preserve"> </w:t>
      </w:r>
      <w:r w:rsidRPr="00C85E6C">
        <w:t>appropriate</w:t>
      </w:r>
      <w:r w:rsidR="009345EA">
        <w:t xml:space="preserve"> </w:t>
      </w:r>
      <w:r w:rsidRPr="00C85E6C">
        <w:t>and</w:t>
      </w:r>
      <w:r w:rsidR="009345EA">
        <w:t xml:space="preserve"> </w:t>
      </w:r>
      <w:r w:rsidRPr="00C85E6C">
        <w:t>effective</w:t>
      </w:r>
      <w:r w:rsidR="009345EA">
        <w:t xml:space="preserve"> </w:t>
      </w:r>
      <w:r w:rsidRPr="00C85E6C">
        <w:t>remedy.</w:t>
      </w:r>
      <w:r w:rsidR="009345EA">
        <w:t xml:space="preserve"> </w:t>
      </w:r>
    </w:p>
    <w:p w:rsidR="00D06B7B" w:rsidRPr="00C85E6C" w:rsidRDefault="00D06B7B" w:rsidP="003307A9">
      <w:pPr>
        <w:pStyle w:val="H23G"/>
      </w:pPr>
      <w:r w:rsidRPr="00C85E6C">
        <w:tab/>
      </w:r>
      <w:r w:rsidRPr="00C85E6C">
        <w:tab/>
        <w:t>Issues</w:t>
      </w:r>
      <w:r w:rsidR="009345EA">
        <w:t xml:space="preserve"> </w:t>
      </w:r>
      <w:r w:rsidRPr="00C85E6C">
        <w:t>and</w:t>
      </w:r>
      <w:r w:rsidR="009345EA">
        <w:t xml:space="preserve"> </w:t>
      </w:r>
      <w:r w:rsidRPr="00C85E6C">
        <w:t>proceedings</w:t>
      </w:r>
      <w:r w:rsidR="009345EA">
        <w:t xml:space="preserve"> </w:t>
      </w:r>
      <w:r w:rsidRPr="00C85E6C">
        <w:t>before</w:t>
      </w:r>
      <w:r w:rsidR="009345EA">
        <w:t xml:space="preserve"> </w:t>
      </w:r>
      <w:r w:rsidRPr="00C85E6C">
        <w:t>the</w:t>
      </w:r>
      <w:r w:rsidR="009345EA">
        <w:t xml:space="preserve"> </w:t>
      </w:r>
      <w:r w:rsidRPr="00C85E6C">
        <w:t>Committee</w:t>
      </w:r>
    </w:p>
    <w:p w:rsidR="00D06B7B" w:rsidRPr="00C85E6C" w:rsidRDefault="00D06B7B" w:rsidP="003307A9">
      <w:pPr>
        <w:pStyle w:val="H4G"/>
      </w:pPr>
      <w:r w:rsidRPr="00C85E6C">
        <w:tab/>
      </w:r>
      <w:r w:rsidRPr="00C85E6C">
        <w:tab/>
        <w:t>Consideration</w:t>
      </w:r>
      <w:r w:rsidR="009345EA">
        <w:t xml:space="preserve"> </w:t>
      </w:r>
      <w:r w:rsidRPr="00C85E6C">
        <w:t>of</w:t>
      </w:r>
      <w:r w:rsidR="009345EA">
        <w:t xml:space="preserve"> </w:t>
      </w:r>
      <w:r w:rsidRPr="00C85E6C">
        <w:t>admissibility</w:t>
      </w:r>
    </w:p>
    <w:p w:rsidR="00D06B7B" w:rsidRPr="00C85E6C" w:rsidRDefault="00D06B7B" w:rsidP="00FF3573">
      <w:pPr>
        <w:pStyle w:val="SingleTxtG"/>
      </w:pPr>
      <w:r w:rsidRPr="00C85E6C">
        <w:t>6.1</w:t>
      </w:r>
      <w:r w:rsidRPr="00C85E6C">
        <w:tab/>
        <w:t>Before</w:t>
      </w:r>
      <w:r w:rsidR="009345EA">
        <w:t xml:space="preserve"> </w:t>
      </w:r>
      <w:r w:rsidRPr="00C85E6C">
        <w:t>considering</w:t>
      </w:r>
      <w:r w:rsidR="009345EA">
        <w:t xml:space="preserve"> </w:t>
      </w:r>
      <w:r w:rsidRPr="00C85E6C">
        <w:t>any</w:t>
      </w:r>
      <w:r w:rsidR="009345EA">
        <w:t xml:space="preserve"> </w:t>
      </w:r>
      <w:r w:rsidRPr="00C85E6C">
        <w:t>claim</w:t>
      </w:r>
      <w:r w:rsidR="009345EA">
        <w:t xml:space="preserve"> </w:t>
      </w:r>
      <w:r w:rsidRPr="00C85E6C">
        <w:t>contained</w:t>
      </w:r>
      <w:r w:rsidR="009345EA">
        <w:t xml:space="preserve"> </w:t>
      </w:r>
      <w:r w:rsidRPr="00C85E6C">
        <w:t>in</w:t>
      </w:r>
      <w:r w:rsidR="009345EA">
        <w:t xml:space="preserve"> </w:t>
      </w:r>
      <w:r w:rsidRPr="00C85E6C">
        <w:t>a</w:t>
      </w:r>
      <w:r w:rsidR="009345EA">
        <w:t xml:space="preserve"> </w:t>
      </w:r>
      <w:r w:rsidRPr="00C85E6C">
        <w:t>communication,</w:t>
      </w:r>
      <w:r w:rsidR="009345EA">
        <w:t xml:space="preserve"> </w:t>
      </w:r>
      <w:r w:rsidRPr="00C85E6C">
        <w:t>the</w:t>
      </w:r>
      <w:r w:rsidR="009345EA">
        <w:t xml:space="preserve"> </w:t>
      </w:r>
      <w:r w:rsidRPr="00C85E6C">
        <w:t>Committee</w:t>
      </w:r>
      <w:r w:rsidR="009345EA">
        <w:t xml:space="preserve"> </w:t>
      </w:r>
      <w:r w:rsidRPr="00C85E6C">
        <w:t>must</w:t>
      </w:r>
      <w:r w:rsidR="009345EA">
        <w:t xml:space="preserve"> </w:t>
      </w:r>
      <w:r w:rsidRPr="00C85E6C">
        <w:t>decide,</w:t>
      </w:r>
      <w:r w:rsidR="009345EA">
        <w:t xml:space="preserve"> </w:t>
      </w:r>
      <w:r w:rsidRPr="00C85E6C">
        <w:t>in</w:t>
      </w:r>
      <w:r w:rsidR="009345EA">
        <w:t xml:space="preserve"> </w:t>
      </w:r>
      <w:r w:rsidRPr="00C85E6C">
        <w:t>accordance</w:t>
      </w:r>
      <w:r w:rsidR="009345EA">
        <w:t xml:space="preserve"> </w:t>
      </w:r>
      <w:r w:rsidRPr="00C85E6C">
        <w:t>with</w:t>
      </w:r>
      <w:r w:rsidR="009345EA">
        <w:t xml:space="preserve"> </w:t>
      </w:r>
      <w:r w:rsidRPr="00C85E6C">
        <w:t>rule</w:t>
      </w:r>
      <w:r w:rsidR="009345EA">
        <w:t xml:space="preserve"> </w:t>
      </w:r>
      <w:r w:rsidRPr="00C85E6C">
        <w:t>93</w:t>
      </w:r>
      <w:r w:rsidR="009345EA">
        <w:t xml:space="preserve"> </w:t>
      </w:r>
      <w:r w:rsidRPr="00C85E6C">
        <w:t>of</w:t>
      </w:r>
      <w:r w:rsidR="009345EA">
        <w:t xml:space="preserve"> </w:t>
      </w:r>
      <w:r w:rsidRPr="00C85E6C">
        <w:t>its</w:t>
      </w:r>
      <w:r w:rsidR="009345EA">
        <w:t xml:space="preserve"> </w:t>
      </w:r>
      <w:r w:rsidRPr="00C85E6C">
        <w:t>rules</w:t>
      </w:r>
      <w:r w:rsidR="009345EA">
        <w:t xml:space="preserve"> </w:t>
      </w:r>
      <w:r w:rsidRPr="00C85E6C">
        <w:t>of</w:t>
      </w:r>
      <w:r w:rsidR="009345EA">
        <w:t xml:space="preserve"> </w:t>
      </w:r>
      <w:r w:rsidRPr="00C85E6C">
        <w:t>procedure,</w:t>
      </w:r>
      <w:r w:rsidR="009345EA">
        <w:t xml:space="preserve"> </w:t>
      </w:r>
      <w:r w:rsidRPr="00C85E6C">
        <w:t>whether</w:t>
      </w:r>
      <w:r w:rsidR="009345EA">
        <w:t xml:space="preserve"> </w:t>
      </w:r>
      <w:r w:rsidRPr="00C85E6C">
        <w:t>the</w:t>
      </w:r>
      <w:r w:rsidR="009345EA">
        <w:t xml:space="preserve"> </w:t>
      </w:r>
      <w:r w:rsidRPr="00C85E6C">
        <w:t>communication</w:t>
      </w:r>
      <w:r w:rsidR="009345EA">
        <w:t xml:space="preserve"> </w:t>
      </w:r>
      <w:r w:rsidRPr="00C85E6C">
        <w:t>is</w:t>
      </w:r>
      <w:r w:rsidR="009345EA">
        <w:t xml:space="preserve"> </w:t>
      </w:r>
      <w:r w:rsidRPr="00C85E6C">
        <w:lastRenderedPageBreak/>
        <w:t>admissible</w:t>
      </w:r>
      <w:r w:rsidR="009345EA">
        <w:t xml:space="preserve"> </w:t>
      </w:r>
      <w:r w:rsidRPr="00C85E6C">
        <w:t>under</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In</w:t>
      </w:r>
      <w:r w:rsidR="009345EA">
        <w:t xml:space="preserve"> </w:t>
      </w:r>
      <w:r w:rsidRPr="00C85E6C">
        <w:t>the</w:t>
      </w:r>
      <w:r w:rsidR="009345EA">
        <w:t xml:space="preserve"> </w:t>
      </w:r>
      <w:r w:rsidRPr="00C85E6C">
        <w:t>absence</w:t>
      </w:r>
      <w:r w:rsidR="009345EA">
        <w:t xml:space="preserve"> </w:t>
      </w:r>
      <w:r w:rsidRPr="00C85E6C">
        <w:t>of</w:t>
      </w:r>
      <w:r w:rsidR="009345EA">
        <w:t xml:space="preserve"> </w:t>
      </w:r>
      <w:r w:rsidRPr="00C85E6C">
        <w:t>a</w:t>
      </w:r>
      <w:r w:rsidR="009345EA">
        <w:t xml:space="preserve"> </w:t>
      </w:r>
      <w:r w:rsidRPr="00C85E6C">
        <w:t>response</w:t>
      </w:r>
      <w:r w:rsidR="009345EA">
        <w:t xml:space="preserve"> </w:t>
      </w:r>
      <w:r w:rsidRPr="00C85E6C">
        <w:t>by</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due</w:t>
      </w:r>
      <w:r w:rsidR="009345EA">
        <w:t xml:space="preserve"> </w:t>
      </w:r>
      <w:r w:rsidRPr="00C85E6C">
        <w:t>weight</w:t>
      </w:r>
      <w:r w:rsidR="009345EA">
        <w:t xml:space="preserve"> </w:t>
      </w:r>
      <w:r w:rsidRPr="00C85E6C">
        <w:t>should</w:t>
      </w:r>
      <w:r w:rsidR="009345EA">
        <w:t xml:space="preserve"> </w:t>
      </w:r>
      <w:r w:rsidRPr="00C85E6C">
        <w:t>be</w:t>
      </w:r>
      <w:r w:rsidR="009345EA">
        <w:t xml:space="preserve"> </w:t>
      </w:r>
      <w:r w:rsidRPr="00C85E6C">
        <w:t>given</w:t>
      </w:r>
      <w:r w:rsidR="009345EA">
        <w:t xml:space="preserve"> </w:t>
      </w:r>
      <w:r w:rsidRPr="00C85E6C">
        <w:t>to</w:t>
      </w:r>
      <w:r w:rsidR="009345EA">
        <w:t xml:space="preserve"> </w:t>
      </w:r>
      <w:r w:rsidRPr="00C85E6C">
        <w:t>the</w:t>
      </w:r>
      <w:r w:rsidR="009345EA">
        <w:t xml:space="preserve"> </w:t>
      </w:r>
      <w:r w:rsidRPr="00C85E6C">
        <w:t>allegations</w:t>
      </w:r>
      <w:r w:rsidR="009345EA">
        <w:t xml:space="preserve"> </w:t>
      </w:r>
      <w:r w:rsidRPr="00C85E6C">
        <w:t>of</w:t>
      </w:r>
      <w:r w:rsidR="009345EA">
        <w:t xml:space="preserve"> </w:t>
      </w:r>
      <w:r w:rsidRPr="00C85E6C">
        <w:t>the</w:t>
      </w:r>
      <w:r w:rsidR="009345EA">
        <w:t xml:space="preserve"> </w:t>
      </w:r>
      <w:r w:rsidRPr="00C85E6C">
        <w:t>author.</w:t>
      </w:r>
      <w:r w:rsidR="009345EA">
        <w:t xml:space="preserve"> </w:t>
      </w:r>
    </w:p>
    <w:p w:rsidR="00D06B7B" w:rsidRPr="00C85E6C" w:rsidRDefault="00D06B7B" w:rsidP="00FF3573">
      <w:pPr>
        <w:pStyle w:val="SingleTxtG"/>
      </w:pPr>
      <w:r w:rsidRPr="00C85E6C">
        <w:t>6.2</w:t>
      </w:r>
      <w:r w:rsidRPr="00C85E6C">
        <w:tab/>
        <w:t>The</w:t>
      </w:r>
      <w:r w:rsidR="009345EA">
        <w:t xml:space="preserve"> </w:t>
      </w:r>
      <w:r w:rsidRPr="00C85E6C">
        <w:t>Committee</w:t>
      </w:r>
      <w:r w:rsidR="009345EA">
        <w:t xml:space="preserve"> </w:t>
      </w:r>
      <w:r w:rsidRPr="00C85E6C">
        <w:t>has</w:t>
      </w:r>
      <w:r w:rsidR="009345EA">
        <w:t xml:space="preserve"> </w:t>
      </w:r>
      <w:r w:rsidRPr="00C85E6C">
        <w:t>ascertained,</w:t>
      </w:r>
      <w:r w:rsidR="009345EA">
        <w:t xml:space="preserve"> </w:t>
      </w:r>
      <w:r w:rsidRPr="00C85E6C">
        <w:t>as</w:t>
      </w:r>
      <w:r w:rsidR="009345EA">
        <w:t xml:space="preserve"> </w:t>
      </w:r>
      <w:r w:rsidRPr="00C85E6C">
        <w:t>required</w:t>
      </w:r>
      <w:r w:rsidR="009345EA">
        <w:t xml:space="preserve"> </w:t>
      </w:r>
      <w:r w:rsidRPr="00C85E6C">
        <w:t>under</w:t>
      </w:r>
      <w:r w:rsidR="009345EA">
        <w:t xml:space="preserve"> </w:t>
      </w:r>
      <w:r w:rsidRPr="00C85E6C">
        <w:t>article</w:t>
      </w:r>
      <w:r w:rsidR="009345EA">
        <w:t xml:space="preserve"> </w:t>
      </w:r>
      <w:r w:rsidRPr="00C85E6C">
        <w:t>5</w:t>
      </w:r>
      <w:r w:rsidR="009345EA">
        <w:t xml:space="preserve"> </w:t>
      </w:r>
      <w:r w:rsidRPr="00C85E6C">
        <w:t>(2)</w:t>
      </w:r>
      <w:r w:rsidR="009345EA">
        <w:t xml:space="preserve"> </w:t>
      </w:r>
      <w:r w:rsidRPr="00C85E6C">
        <w:t>(a)</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that</w:t>
      </w:r>
      <w:r w:rsidR="009345EA">
        <w:t xml:space="preserve"> </w:t>
      </w:r>
      <w:r w:rsidRPr="00C85E6C">
        <w:t>the</w:t>
      </w:r>
      <w:r w:rsidR="009345EA">
        <w:t xml:space="preserve"> </w:t>
      </w:r>
      <w:r w:rsidRPr="00C85E6C">
        <w:t>same</w:t>
      </w:r>
      <w:r w:rsidR="009345EA">
        <w:t xml:space="preserve"> </w:t>
      </w:r>
      <w:r w:rsidRPr="00C85E6C">
        <w:t>matter</w:t>
      </w:r>
      <w:r w:rsidR="009345EA">
        <w:t xml:space="preserve"> </w:t>
      </w:r>
      <w:r w:rsidRPr="00C85E6C">
        <w:t>is</w:t>
      </w:r>
      <w:r w:rsidR="009345EA">
        <w:t xml:space="preserve"> </w:t>
      </w:r>
      <w:r w:rsidRPr="00C85E6C">
        <w:t>not</w:t>
      </w:r>
      <w:r w:rsidR="009345EA">
        <w:t xml:space="preserve"> </w:t>
      </w:r>
      <w:r w:rsidRPr="00C85E6C">
        <w:t>being</w:t>
      </w:r>
      <w:r w:rsidR="009345EA">
        <w:t xml:space="preserve"> </w:t>
      </w:r>
      <w:r w:rsidRPr="00C85E6C">
        <w:t>examined</w:t>
      </w:r>
      <w:r w:rsidR="009345EA">
        <w:t xml:space="preserve"> </w:t>
      </w:r>
      <w:r w:rsidRPr="00C85E6C">
        <w:t>under</w:t>
      </w:r>
      <w:r w:rsidR="009345EA">
        <w:t xml:space="preserve"> </w:t>
      </w:r>
      <w:r w:rsidRPr="00C85E6C">
        <w:t>another</w:t>
      </w:r>
      <w:r w:rsidR="009345EA">
        <w:t xml:space="preserve"> </w:t>
      </w:r>
      <w:r w:rsidRPr="00C85E6C">
        <w:t>procedure</w:t>
      </w:r>
      <w:r w:rsidR="009345EA">
        <w:t xml:space="preserve"> </w:t>
      </w:r>
      <w:r w:rsidRPr="00C85E6C">
        <w:t>of</w:t>
      </w:r>
      <w:r w:rsidR="009345EA">
        <w:t xml:space="preserve"> </w:t>
      </w:r>
      <w:r w:rsidRPr="00C85E6C">
        <w:t>international</w:t>
      </w:r>
      <w:r w:rsidR="009345EA">
        <w:t xml:space="preserve"> </w:t>
      </w:r>
      <w:r w:rsidRPr="00C85E6C">
        <w:t>investigation</w:t>
      </w:r>
      <w:r w:rsidR="009345EA">
        <w:t xml:space="preserve"> </w:t>
      </w:r>
      <w:r w:rsidRPr="00C85E6C">
        <w:t>or</w:t>
      </w:r>
      <w:r w:rsidR="009345EA">
        <w:t xml:space="preserve"> </w:t>
      </w:r>
      <w:r w:rsidRPr="00C85E6C">
        <w:t>settlement.</w:t>
      </w:r>
      <w:r w:rsidR="009345EA">
        <w:t xml:space="preserve"> </w:t>
      </w:r>
    </w:p>
    <w:p w:rsidR="00D06B7B" w:rsidRPr="00C85E6C" w:rsidRDefault="00D06B7B" w:rsidP="00FF3573">
      <w:pPr>
        <w:pStyle w:val="SingleTxtG"/>
      </w:pPr>
      <w:r w:rsidRPr="00C85E6C">
        <w:t>6.3</w:t>
      </w:r>
      <w:r w:rsidRPr="00C85E6C">
        <w:tab/>
        <w:t>The</w:t>
      </w:r>
      <w:r w:rsidR="009345EA">
        <w:t xml:space="preserve"> </w:t>
      </w:r>
      <w:r w:rsidRPr="00C85E6C">
        <w:t>Committee</w:t>
      </w:r>
      <w:r w:rsidR="009345EA">
        <w:t xml:space="preserve"> </w:t>
      </w:r>
      <w:r w:rsidRPr="00C85E6C">
        <w:t>takes</w:t>
      </w:r>
      <w:r w:rsidR="009345EA">
        <w:t xml:space="preserve"> </w:t>
      </w:r>
      <w:r w:rsidRPr="00C85E6C">
        <w:t>note</w:t>
      </w:r>
      <w:r w:rsidR="009345EA">
        <w:t xml:space="preserve"> </w:t>
      </w:r>
      <w:r w:rsidRPr="00C85E6C">
        <w:t>of</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w:t>
      </w:r>
      <w:r w:rsidR="009345EA">
        <w:t xml:space="preserve"> </w:t>
      </w:r>
      <w:r w:rsidRPr="00C85E6C">
        <w:t>that</w:t>
      </w:r>
      <w:r w:rsidR="009345EA">
        <w:t xml:space="preserve"> </w:t>
      </w:r>
      <w:r w:rsidRPr="00C85E6C">
        <w:t>she</w:t>
      </w:r>
      <w:r w:rsidR="009345EA">
        <w:t xml:space="preserve"> </w:t>
      </w:r>
      <w:r w:rsidRPr="00C85E6C">
        <w:t>has</w:t>
      </w:r>
      <w:r w:rsidR="009345EA">
        <w:t xml:space="preserve"> </w:t>
      </w:r>
      <w:r w:rsidRPr="00C85E6C">
        <w:t>exhausted</w:t>
      </w:r>
      <w:r w:rsidR="009345EA">
        <w:t xml:space="preserve"> </w:t>
      </w:r>
      <w:r w:rsidRPr="00C85E6C">
        <w:t>all</w:t>
      </w:r>
      <w:r w:rsidR="009345EA">
        <w:t xml:space="preserve"> </w:t>
      </w:r>
      <w:r w:rsidRPr="00C85E6C">
        <w:t>effective</w:t>
      </w:r>
      <w:r w:rsidR="009345EA">
        <w:t xml:space="preserve"> </w:t>
      </w:r>
      <w:r w:rsidRPr="00C85E6C">
        <w:t>domestic</w:t>
      </w:r>
      <w:r w:rsidR="009345EA">
        <w:t xml:space="preserve"> </w:t>
      </w:r>
      <w:r w:rsidRPr="00C85E6C">
        <w:t>remedies,</w:t>
      </w:r>
      <w:r w:rsidR="009345EA">
        <w:t xml:space="preserve"> </w:t>
      </w:r>
      <w:r w:rsidRPr="00C85E6C">
        <w:t>as</w:t>
      </w:r>
      <w:r w:rsidR="009345EA">
        <w:t xml:space="preserve"> </w:t>
      </w:r>
      <w:r w:rsidRPr="00C85E6C">
        <w:t>required</w:t>
      </w:r>
      <w:r w:rsidR="009345EA">
        <w:t xml:space="preserve"> </w:t>
      </w:r>
      <w:r w:rsidRPr="00C85E6C">
        <w:t>under</w:t>
      </w:r>
      <w:r w:rsidR="009345EA">
        <w:t xml:space="preserve"> </w:t>
      </w:r>
      <w:r w:rsidRPr="00C85E6C">
        <w:t>article</w:t>
      </w:r>
      <w:r w:rsidR="009345EA">
        <w:t xml:space="preserve"> </w:t>
      </w:r>
      <w:r w:rsidRPr="00C85E6C">
        <w:t>5</w:t>
      </w:r>
      <w:r w:rsidR="009345EA">
        <w:t xml:space="preserve"> </w:t>
      </w:r>
      <w:r w:rsidRPr="00C85E6C">
        <w:t>(2)</w:t>
      </w:r>
      <w:r w:rsidR="009345EA">
        <w:t xml:space="preserve"> </w:t>
      </w:r>
      <w:r w:rsidRPr="00C85E6C">
        <w:t>(b)</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insofar</w:t>
      </w:r>
      <w:r w:rsidR="009345EA">
        <w:t xml:space="preserve"> </w:t>
      </w:r>
      <w:r w:rsidRPr="00C85E6C">
        <w:t>as</w:t>
      </w:r>
      <w:r w:rsidR="009345EA">
        <w:t xml:space="preserve"> </w:t>
      </w:r>
      <w:r w:rsidRPr="00C85E6C">
        <w:t>her</w:t>
      </w:r>
      <w:r w:rsidR="009345EA">
        <w:t xml:space="preserve"> </w:t>
      </w:r>
      <w:r w:rsidRPr="00C85E6C">
        <w:t>application</w:t>
      </w:r>
      <w:r w:rsidR="009345EA">
        <w:t xml:space="preserve"> </w:t>
      </w:r>
      <w:r w:rsidRPr="00C85E6C">
        <w:t>for</w:t>
      </w:r>
      <w:r w:rsidR="009345EA">
        <w:t xml:space="preserve"> </w:t>
      </w:r>
      <w:r w:rsidRPr="00C85E6C">
        <w:t>a</w:t>
      </w:r>
      <w:r w:rsidR="009345EA">
        <w:t xml:space="preserve"> </w:t>
      </w:r>
      <w:r w:rsidRPr="00C85E6C">
        <w:t>remedy,</w:t>
      </w:r>
      <w:r w:rsidR="009345EA">
        <w:t xml:space="preserve"> </w:t>
      </w:r>
      <w:r w:rsidRPr="00C85E6C">
        <w:t>which</w:t>
      </w:r>
      <w:r w:rsidR="009345EA">
        <w:t xml:space="preserve"> </w:t>
      </w:r>
      <w:r w:rsidRPr="00C85E6C">
        <w:t>had</w:t>
      </w:r>
      <w:r w:rsidR="009345EA">
        <w:t xml:space="preserve"> </w:t>
      </w:r>
      <w:r w:rsidRPr="00C85E6C">
        <w:t>already</w:t>
      </w:r>
      <w:r w:rsidR="009345EA">
        <w:t xml:space="preserve"> </w:t>
      </w:r>
      <w:r w:rsidRPr="00C85E6C">
        <w:t>been</w:t>
      </w:r>
      <w:r w:rsidR="009345EA">
        <w:t xml:space="preserve"> </w:t>
      </w:r>
      <w:r w:rsidRPr="00C85E6C">
        <w:t>delayed</w:t>
      </w:r>
      <w:r w:rsidR="009345EA">
        <w:t xml:space="preserve"> </w:t>
      </w:r>
      <w:r w:rsidRPr="00C85E6C">
        <w:t>for</w:t>
      </w:r>
      <w:r w:rsidR="009345EA">
        <w:t xml:space="preserve"> </w:t>
      </w:r>
      <w:r w:rsidRPr="00C85E6C">
        <w:t>11</w:t>
      </w:r>
      <w:r w:rsidR="009345EA">
        <w:t xml:space="preserve"> </w:t>
      </w:r>
      <w:r w:rsidRPr="00C85E6C">
        <w:t>years</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initial</w:t>
      </w:r>
      <w:r w:rsidR="009345EA">
        <w:t xml:space="preserve"> </w:t>
      </w:r>
      <w:r w:rsidRPr="00C85E6C">
        <w:t>communication,</w:t>
      </w:r>
      <w:r w:rsidR="009345EA">
        <w:t xml:space="preserve"> </w:t>
      </w:r>
      <w:r w:rsidRPr="00C85E6C">
        <w:t>constitutes</w:t>
      </w:r>
      <w:r w:rsidR="009345EA">
        <w:t xml:space="preserve"> </w:t>
      </w:r>
      <w:r w:rsidRPr="00C85E6C">
        <w:t>an</w:t>
      </w:r>
      <w:r w:rsidR="009345EA">
        <w:t xml:space="preserve"> </w:t>
      </w:r>
      <w:r w:rsidR="00EB40F1">
        <w:t>“</w:t>
      </w:r>
      <w:r w:rsidRPr="00C85E6C">
        <w:t>unreasonably</w:t>
      </w:r>
      <w:r w:rsidR="009345EA">
        <w:t xml:space="preserve"> </w:t>
      </w:r>
      <w:r w:rsidRPr="00C85E6C">
        <w:t>prolonged</w:t>
      </w:r>
      <w:r w:rsidR="009345EA">
        <w:t xml:space="preserve"> </w:t>
      </w:r>
      <w:r w:rsidRPr="00C85E6C">
        <w:t>delay</w:t>
      </w:r>
      <w:r w:rsidR="00EB40F1">
        <w:t>”</w:t>
      </w:r>
      <w:r w:rsidRPr="00C85E6C">
        <w:t>.</w:t>
      </w:r>
      <w:r w:rsidRPr="00D06B7B">
        <w:rPr>
          <w:rStyle w:val="FootnoteReference"/>
        </w:rPr>
        <w:footnoteReference w:id="17"/>
      </w:r>
      <w:r w:rsidR="009345EA">
        <w:t xml:space="preserve"> </w:t>
      </w:r>
      <w:r w:rsidRPr="00C85E6C">
        <w:t>Firstly,</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alleged</w:t>
      </w:r>
      <w:r w:rsidR="009345EA">
        <w:t xml:space="preserve"> </w:t>
      </w:r>
      <w:r w:rsidRPr="00C85E6C">
        <w:t>perpetrators</w:t>
      </w:r>
      <w:r w:rsidR="009345EA">
        <w:t xml:space="preserve"> </w:t>
      </w:r>
      <w:r w:rsidRPr="00C85E6C">
        <w:t>were</w:t>
      </w:r>
      <w:r w:rsidR="009345EA">
        <w:t xml:space="preserve"> </w:t>
      </w:r>
      <w:r w:rsidRPr="00C85E6C">
        <w:t>identified</w:t>
      </w:r>
      <w:r w:rsidR="009345EA">
        <w:t xml:space="preserve"> </w:t>
      </w:r>
      <w:r w:rsidRPr="00C85E6C">
        <w:t>early</w:t>
      </w:r>
      <w:r w:rsidR="009345EA">
        <w:t xml:space="preserve"> </w:t>
      </w:r>
      <w:r w:rsidRPr="00C85E6C">
        <w:t>on,</w:t>
      </w:r>
      <w:r w:rsidR="009345EA">
        <w:t xml:space="preserve"> </w:t>
      </w:r>
      <w:r w:rsidRPr="00C85E6C">
        <w:t>and</w:t>
      </w:r>
      <w:r w:rsidR="009345EA">
        <w:t xml:space="preserve"> </w:t>
      </w:r>
      <w:r w:rsidRPr="00C85E6C">
        <w:t>the</w:t>
      </w:r>
      <w:r w:rsidR="009345EA">
        <w:t xml:space="preserve"> </w:t>
      </w:r>
      <w:r w:rsidRPr="00C85E6C">
        <w:t>case</w:t>
      </w:r>
      <w:r w:rsidR="009345EA">
        <w:t xml:space="preserve"> </w:t>
      </w:r>
      <w:r w:rsidRPr="00C85E6C">
        <w:t>did</w:t>
      </w:r>
      <w:r w:rsidR="009345EA">
        <w:t xml:space="preserve"> </w:t>
      </w:r>
      <w:r w:rsidRPr="00C85E6C">
        <w:t>not</w:t>
      </w:r>
      <w:r w:rsidR="009345EA">
        <w:t xml:space="preserve"> </w:t>
      </w:r>
      <w:r w:rsidRPr="00C85E6C">
        <w:t>involve</w:t>
      </w:r>
      <w:r w:rsidR="009345EA">
        <w:t xml:space="preserve"> </w:t>
      </w:r>
      <w:r w:rsidRPr="00C85E6C">
        <w:t>complex</w:t>
      </w:r>
      <w:r w:rsidR="009345EA">
        <w:t xml:space="preserve"> </w:t>
      </w:r>
      <w:r w:rsidRPr="00C85E6C">
        <w:t>factual</w:t>
      </w:r>
      <w:r w:rsidR="009345EA">
        <w:t xml:space="preserve"> </w:t>
      </w:r>
      <w:r w:rsidRPr="00C85E6C">
        <w:t>or</w:t>
      </w:r>
      <w:r w:rsidR="009345EA">
        <w:t xml:space="preserve"> </w:t>
      </w:r>
      <w:r w:rsidRPr="00C85E6C">
        <w:t>legal</w:t>
      </w:r>
      <w:r w:rsidR="009345EA">
        <w:t xml:space="preserve"> </w:t>
      </w:r>
      <w:r w:rsidRPr="00C85E6C">
        <w:t>issues</w:t>
      </w:r>
      <w:r w:rsidR="009345EA">
        <w:t xml:space="preserve"> </w:t>
      </w:r>
      <w:r w:rsidRPr="00C85E6C">
        <w:t>that</w:t>
      </w:r>
      <w:r w:rsidR="009345EA">
        <w:t xml:space="preserve"> </w:t>
      </w:r>
      <w:r w:rsidRPr="00C85E6C">
        <w:t>could</w:t>
      </w:r>
      <w:r w:rsidR="009345EA">
        <w:t xml:space="preserve"> </w:t>
      </w:r>
      <w:r w:rsidRPr="00C85E6C">
        <w:t>justify</w:t>
      </w:r>
      <w:r w:rsidR="009345EA">
        <w:t xml:space="preserve"> </w:t>
      </w:r>
      <w:r w:rsidRPr="00C85E6C">
        <w:t>such</w:t>
      </w:r>
      <w:r w:rsidR="009345EA">
        <w:t xml:space="preserve"> </w:t>
      </w:r>
      <w:r w:rsidRPr="00C85E6C">
        <w:t>a</w:t>
      </w:r>
      <w:r w:rsidR="009345EA">
        <w:t xml:space="preserve"> </w:t>
      </w:r>
      <w:r w:rsidRPr="00C85E6C">
        <w:t>delay.</w:t>
      </w:r>
      <w:r w:rsidR="009345EA">
        <w:t xml:space="preserve"> </w:t>
      </w:r>
      <w:r w:rsidRPr="00C85E6C">
        <w:t>Secondly,</w:t>
      </w:r>
      <w:r w:rsidR="009345EA">
        <w:t xml:space="preserve"> </w:t>
      </w:r>
      <w:r w:rsidRPr="00C85E6C">
        <w:t>it</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was</w:t>
      </w:r>
      <w:r w:rsidR="009345EA">
        <w:t xml:space="preserve"> </w:t>
      </w:r>
      <w:r w:rsidRPr="00C85E6C">
        <w:t>not</w:t>
      </w:r>
      <w:r w:rsidR="009345EA">
        <w:t xml:space="preserve"> </w:t>
      </w:r>
      <w:r w:rsidRPr="00C85E6C">
        <w:t>responsible</w:t>
      </w:r>
      <w:r w:rsidR="009345EA">
        <w:t xml:space="preserve"> </w:t>
      </w:r>
      <w:r w:rsidRPr="00C85E6C">
        <w:t>for</w:t>
      </w:r>
      <w:r w:rsidR="009345EA">
        <w:t xml:space="preserve"> </w:t>
      </w:r>
      <w:r w:rsidRPr="00C85E6C">
        <w:t>the</w:t>
      </w:r>
      <w:r w:rsidR="009345EA">
        <w:t xml:space="preserve"> </w:t>
      </w:r>
      <w:r w:rsidRPr="00C85E6C">
        <w:t>delays</w:t>
      </w:r>
      <w:r w:rsidR="009345EA">
        <w:t xml:space="preserve"> </w:t>
      </w:r>
      <w:r w:rsidRPr="00C85E6C">
        <w:t>and</w:t>
      </w:r>
      <w:r w:rsidR="009345EA">
        <w:t xml:space="preserve"> </w:t>
      </w:r>
      <w:r w:rsidRPr="00C85E6C">
        <w:t>did</w:t>
      </w:r>
      <w:r w:rsidR="009345EA">
        <w:t xml:space="preserve"> </w:t>
      </w:r>
      <w:r w:rsidRPr="00C85E6C">
        <w:t>not</w:t>
      </w:r>
      <w:r w:rsidR="009345EA">
        <w:t xml:space="preserve"> </w:t>
      </w:r>
      <w:r w:rsidRPr="00C85E6C">
        <w:t>have</w:t>
      </w:r>
      <w:r w:rsidR="009345EA">
        <w:t xml:space="preserve"> </w:t>
      </w:r>
      <w:r w:rsidRPr="00C85E6C">
        <w:t>access</w:t>
      </w:r>
      <w:r w:rsidR="009345EA">
        <w:t xml:space="preserve"> </w:t>
      </w:r>
      <w:r w:rsidRPr="00C85E6C">
        <w:t>to</w:t>
      </w:r>
      <w:r w:rsidR="009345EA">
        <w:t xml:space="preserve"> </w:t>
      </w:r>
      <w:r w:rsidRPr="00C85E6C">
        <w:t>any</w:t>
      </w:r>
      <w:r w:rsidR="009345EA">
        <w:t xml:space="preserve"> </w:t>
      </w:r>
      <w:r w:rsidRPr="00C85E6C">
        <w:t>domestic</w:t>
      </w:r>
      <w:r w:rsidR="009345EA">
        <w:t xml:space="preserve"> </w:t>
      </w:r>
      <w:r w:rsidRPr="00C85E6C">
        <w:t>recourse</w:t>
      </w:r>
      <w:r w:rsidR="009345EA">
        <w:t xml:space="preserve"> </w:t>
      </w:r>
      <w:r w:rsidRPr="00C85E6C">
        <w:t>to</w:t>
      </w:r>
      <w:r w:rsidR="009345EA">
        <w:t xml:space="preserve"> </w:t>
      </w:r>
      <w:r w:rsidRPr="00C85E6C">
        <w:t>expedite</w:t>
      </w:r>
      <w:r w:rsidR="009345EA">
        <w:t xml:space="preserve"> </w:t>
      </w:r>
      <w:r w:rsidRPr="00C85E6C">
        <w:t>the</w:t>
      </w:r>
      <w:r w:rsidR="009345EA">
        <w:t xml:space="preserve"> </w:t>
      </w:r>
      <w:r w:rsidRPr="00C85E6C">
        <w:t>criminal</w:t>
      </w:r>
      <w:r w:rsidR="009345EA">
        <w:t xml:space="preserve"> </w:t>
      </w:r>
      <w:r w:rsidRPr="00C85E6C">
        <w:t>or</w:t>
      </w:r>
      <w:r w:rsidR="009345EA">
        <w:t xml:space="preserve"> </w:t>
      </w:r>
      <w:r w:rsidRPr="00C85E6C">
        <w:t>civil</w:t>
      </w:r>
      <w:r w:rsidR="009345EA">
        <w:t xml:space="preserve"> </w:t>
      </w:r>
      <w:r w:rsidRPr="00C85E6C">
        <w:t>proceedings.</w:t>
      </w:r>
      <w:r w:rsidR="009345EA">
        <w:t xml:space="preserve"> </w:t>
      </w:r>
      <w:r w:rsidRPr="00C85E6C">
        <w:t>Thirdly,</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it</w:t>
      </w:r>
      <w:r w:rsidR="009345EA">
        <w:t xml:space="preserve"> </w:t>
      </w:r>
      <w:r w:rsidRPr="00C85E6C">
        <w:t>took</w:t>
      </w:r>
      <w:r w:rsidR="009345EA">
        <w:t xml:space="preserve"> </w:t>
      </w:r>
      <w:r w:rsidRPr="00C85E6C">
        <w:t>more</w:t>
      </w:r>
      <w:r w:rsidR="009345EA">
        <w:t xml:space="preserve"> </w:t>
      </w:r>
      <w:r w:rsidRPr="00C85E6C">
        <w:t>than</w:t>
      </w:r>
      <w:r w:rsidR="009345EA">
        <w:t xml:space="preserve"> </w:t>
      </w:r>
      <w:r w:rsidRPr="00C85E6C">
        <w:t>five</w:t>
      </w:r>
      <w:r w:rsidR="009345EA">
        <w:t xml:space="preserve"> </w:t>
      </w:r>
      <w:r w:rsidRPr="00C85E6C">
        <w:t>years</w:t>
      </w:r>
      <w:r w:rsidR="009345EA">
        <w:t xml:space="preserve"> </w:t>
      </w:r>
      <w:r w:rsidRPr="00C85E6C">
        <w:t>for</w:t>
      </w:r>
      <w:r w:rsidR="009345EA">
        <w:t xml:space="preserve"> </w:t>
      </w:r>
      <w:r w:rsidRPr="00C85E6C">
        <w:t>the</w:t>
      </w:r>
      <w:r w:rsidR="009345EA">
        <w:t xml:space="preserve"> </w:t>
      </w:r>
      <w:r w:rsidRPr="00C85E6C">
        <w:t>authorities</w:t>
      </w:r>
      <w:r w:rsidR="009345EA">
        <w:t xml:space="preserve"> </w:t>
      </w:r>
      <w:r w:rsidRPr="00C85E6C">
        <w:t>to</w:t>
      </w:r>
      <w:r w:rsidR="009345EA">
        <w:t xml:space="preserve"> </w:t>
      </w:r>
      <w:r w:rsidRPr="00C85E6C">
        <w:t>file</w:t>
      </w:r>
      <w:r w:rsidR="009345EA">
        <w:t xml:space="preserve"> </w:t>
      </w:r>
      <w:r w:rsidRPr="00C85E6C">
        <w:t>(in</w:t>
      </w:r>
      <w:r w:rsidR="009345EA">
        <w:t xml:space="preserve"> </w:t>
      </w:r>
      <w:r w:rsidRPr="00C85E6C">
        <w:t>2006)</w:t>
      </w:r>
      <w:r w:rsidR="009345EA">
        <w:t xml:space="preserve"> </w:t>
      </w:r>
      <w:r w:rsidRPr="00C85E6C">
        <w:t>the</w:t>
      </w:r>
      <w:r w:rsidR="009345EA">
        <w:t xml:space="preserve"> </w:t>
      </w:r>
      <w:r w:rsidRPr="00C85E6C">
        <w:t>first</w:t>
      </w:r>
      <w:r w:rsidR="009345EA">
        <w:t xml:space="preserve"> </w:t>
      </w:r>
      <w:r w:rsidRPr="00C85E6C">
        <w:t>indictment</w:t>
      </w:r>
      <w:r w:rsidR="009345EA">
        <w:t xml:space="preserve"> </w:t>
      </w:r>
      <w:r w:rsidRPr="00C85E6C">
        <w:t>against</w:t>
      </w:r>
      <w:r w:rsidR="009345EA">
        <w:t xml:space="preserve"> </w:t>
      </w:r>
      <w:r w:rsidRPr="00C85E6C">
        <w:t>the</w:t>
      </w:r>
      <w:r w:rsidR="009345EA">
        <w:t xml:space="preserve"> </w:t>
      </w:r>
      <w:r w:rsidRPr="00C85E6C">
        <w:t>alleged</w:t>
      </w:r>
      <w:r w:rsidR="009345EA">
        <w:t xml:space="preserve"> </w:t>
      </w:r>
      <w:r w:rsidRPr="00C85E6C">
        <w:t>offenders</w:t>
      </w:r>
      <w:r w:rsidR="009345EA">
        <w:t xml:space="preserve"> </w:t>
      </w:r>
      <w:r w:rsidRPr="00C85E6C">
        <w:t>and</w:t>
      </w:r>
      <w:r w:rsidR="009345EA">
        <w:t xml:space="preserve"> </w:t>
      </w:r>
      <w:r w:rsidRPr="00C85E6C">
        <w:t>that,</w:t>
      </w:r>
      <w:r w:rsidR="009345EA">
        <w:t xml:space="preserve"> </w:t>
      </w:r>
      <w:r w:rsidRPr="00C85E6C">
        <w:t>as</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the</w:t>
      </w:r>
      <w:r w:rsidR="009345EA">
        <w:t xml:space="preserve"> </w:t>
      </w:r>
      <w:r w:rsidRPr="00C85E6C">
        <w:t>initial</w:t>
      </w:r>
      <w:r w:rsidR="009345EA">
        <w:t xml:space="preserve"> </w:t>
      </w:r>
      <w:r w:rsidRPr="00C85E6C">
        <w:t>communication,</w:t>
      </w:r>
      <w:r w:rsidR="009345EA">
        <w:t xml:space="preserve"> </w:t>
      </w:r>
      <w:r w:rsidRPr="00C85E6C">
        <w:t>the</w:t>
      </w:r>
      <w:r w:rsidR="009345EA">
        <w:t xml:space="preserve"> </w:t>
      </w:r>
      <w:r w:rsidRPr="00C85E6C">
        <w:t>case</w:t>
      </w:r>
      <w:r w:rsidR="009345EA">
        <w:t xml:space="preserve"> </w:t>
      </w:r>
      <w:r w:rsidRPr="00C85E6C">
        <w:t>had</w:t>
      </w:r>
      <w:r w:rsidR="009345EA">
        <w:t xml:space="preserve"> </w:t>
      </w:r>
      <w:r w:rsidRPr="00C85E6C">
        <w:t>been</w:t>
      </w:r>
      <w:r w:rsidR="009345EA">
        <w:t xml:space="preserve"> </w:t>
      </w:r>
      <w:r w:rsidRPr="00C85E6C">
        <w:t>delayed</w:t>
      </w:r>
      <w:r w:rsidR="009345EA">
        <w:t xml:space="preserve"> </w:t>
      </w:r>
      <w:r w:rsidRPr="00C85E6C">
        <w:t>a</w:t>
      </w:r>
      <w:r w:rsidR="009345EA">
        <w:t xml:space="preserve"> </w:t>
      </w:r>
      <w:r w:rsidRPr="00C85E6C">
        <w:t>further</w:t>
      </w:r>
      <w:r w:rsidR="009345EA">
        <w:t xml:space="preserve"> </w:t>
      </w:r>
      <w:r w:rsidRPr="00C85E6C">
        <w:t>seven</w:t>
      </w:r>
      <w:r w:rsidR="009345EA">
        <w:t xml:space="preserve"> </w:t>
      </w:r>
      <w:r w:rsidRPr="00C85E6C">
        <w:t>years</w:t>
      </w:r>
      <w:r w:rsidR="009345EA">
        <w:t xml:space="preserve"> </w:t>
      </w:r>
      <w:r w:rsidRPr="00C85E6C">
        <w:t>amid</w:t>
      </w:r>
      <w:r w:rsidR="009345EA">
        <w:t xml:space="preserve"> </w:t>
      </w:r>
      <w:r w:rsidRPr="00C85E6C">
        <w:t>a</w:t>
      </w:r>
      <w:r w:rsidR="009345EA">
        <w:t xml:space="preserve"> </w:t>
      </w:r>
      <w:r w:rsidRPr="00C85E6C">
        <w:t>series</w:t>
      </w:r>
      <w:r w:rsidR="009345EA">
        <w:t xml:space="preserve"> </w:t>
      </w:r>
      <w:r w:rsidRPr="00C85E6C">
        <w:t>of</w:t>
      </w:r>
      <w:r w:rsidR="009345EA">
        <w:t xml:space="preserve"> </w:t>
      </w:r>
      <w:r w:rsidRPr="00C85E6C">
        <w:t>adjournments.</w:t>
      </w:r>
      <w:r w:rsidR="009345EA">
        <w:t xml:space="preserve"> </w:t>
      </w:r>
      <w:r w:rsidRPr="00C85E6C">
        <w:t>Concerning</w:t>
      </w:r>
      <w:r w:rsidR="009345EA">
        <w:t xml:space="preserve"> </w:t>
      </w:r>
      <w:r w:rsidRPr="00C85E6C">
        <w:t>the</w:t>
      </w:r>
      <w:r w:rsidR="009345EA">
        <w:t xml:space="preserve"> </w:t>
      </w:r>
      <w:r w:rsidRPr="00C85E6C">
        <w:t>civil</w:t>
      </w:r>
      <w:r w:rsidR="009345EA">
        <w:t xml:space="preserve"> </w:t>
      </w:r>
      <w:r w:rsidRPr="00C85E6C">
        <w:t>claim,</w:t>
      </w:r>
      <w:r w:rsidR="009345EA">
        <w:t xml:space="preserve"> </w:t>
      </w:r>
      <w:r w:rsidRPr="00C85E6C">
        <w:t>it</w:t>
      </w:r>
      <w:r w:rsidR="009345EA">
        <w:t xml:space="preserve"> </w:t>
      </w:r>
      <w:r w:rsidRPr="00C85E6C">
        <w:t>has</w:t>
      </w:r>
      <w:r w:rsidR="009345EA">
        <w:t xml:space="preserve"> </w:t>
      </w:r>
      <w:r w:rsidRPr="00C85E6C">
        <w:t>been</w:t>
      </w:r>
      <w:r w:rsidR="009345EA">
        <w:t xml:space="preserve"> </w:t>
      </w:r>
      <w:r w:rsidRPr="00C85E6C">
        <w:t>pending</w:t>
      </w:r>
      <w:r w:rsidR="009345EA">
        <w:t xml:space="preserve"> </w:t>
      </w:r>
      <w:r w:rsidRPr="00C85E6C">
        <w:t>for</w:t>
      </w:r>
      <w:r w:rsidR="009345EA">
        <w:t xml:space="preserve"> </w:t>
      </w:r>
      <w:r w:rsidRPr="00C85E6C">
        <w:t>eight</w:t>
      </w:r>
      <w:r w:rsidR="009345EA">
        <w:t xml:space="preserve"> </w:t>
      </w:r>
      <w:r w:rsidRPr="00C85E6C">
        <w:t>years</w:t>
      </w:r>
      <w:r w:rsidR="009345EA">
        <w:t xml:space="preserve"> </w:t>
      </w:r>
      <w:r w:rsidRPr="00C85E6C">
        <w:t>before</w:t>
      </w:r>
      <w:r w:rsidR="009345EA">
        <w:t xml:space="preserve"> </w:t>
      </w:r>
      <w:r w:rsidRPr="00C85E6C">
        <w:t>the</w:t>
      </w:r>
      <w:r w:rsidR="009345EA">
        <w:t xml:space="preserve"> </w:t>
      </w:r>
      <w:r w:rsidRPr="00C85E6C">
        <w:t>District</w:t>
      </w:r>
      <w:r w:rsidR="009345EA">
        <w:t xml:space="preserve"> </w:t>
      </w:r>
      <w:r w:rsidRPr="00C85E6C">
        <w:t>Court.</w:t>
      </w:r>
      <w:r w:rsidR="009345EA">
        <w:t xml:space="preserve"> </w:t>
      </w:r>
      <w:r w:rsidRPr="00C85E6C">
        <w:t>Additionally,</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a</w:t>
      </w:r>
      <w:r w:rsidR="009345EA">
        <w:t xml:space="preserve"> </w:t>
      </w:r>
      <w:r w:rsidRPr="00C85E6C">
        <w:t>likelihood</w:t>
      </w:r>
      <w:r w:rsidR="009345EA">
        <w:t xml:space="preserve"> </w:t>
      </w:r>
      <w:r w:rsidRPr="00C85E6C">
        <w:t>of</w:t>
      </w:r>
      <w:r w:rsidR="009345EA">
        <w:t xml:space="preserve"> </w:t>
      </w:r>
      <w:r w:rsidRPr="00C85E6C">
        <w:t>further</w:t>
      </w:r>
      <w:r w:rsidR="009345EA">
        <w:t xml:space="preserve"> </w:t>
      </w:r>
      <w:r w:rsidRPr="00C85E6C">
        <w:t>delay</w:t>
      </w:r>
      <w:r w:rsidR="009345EA">
        <w:t xml:space="preserve"> </w:t>
      </w:r>
      <w:r w:rsidRPr="00C85E6C">
        <w:t>in</w:t>
      </w:r>
      <w:r w:rsidR="009345EA">
        <w:t xml:space="preserve"> </w:t>
      </w:r>
      <w:r w:rsidRPr="00C85E6C">
        <w:t>the</w:t>
      </w:r>
      <w:r w:rsidR="009345EA">
        <w:t xml:space="preserve"> </w:t>
      </w:r>
      <w:r w:rsidRPr="00C85E6C">
        <w:t>domestic</w:t>
      </w:r>
      <w:r w:rsidR="009345EA">
        <w:t xml:space="preserve"> </w:t>
      </w:r>
      <w:r w:rsidRPr="00C85E6C">
        <w:t>proceedings,</w:t>
      </w:r>
      <w:r w:rsidR="009345EA">
        <w:t xml:space="preserve"> </w:t>
      </w:r>
      <w:r w:rsidRPr="00C85E6C">
        <w:t>since</w:t>
      </w:r>
      <w:r w:rsidR="009345EA">
        <w:t xml:space="preserve"> </w:t>
      </w:r>
      <w:r w:rsidRPr="00C85E6C">
        <w:t>the</w:t>
      </w:r>
      <w:r w:rsidR="009345EA">
        <w:t xml:space="preserve"> </w:t>
      </w:r>
      <w:r w:rsidRPr="00C85E6C">
        <w:t>criminal</w:t>
      </w:r>
      <w:r w:rsidR="009345EA">
        <w:t xml:space="preserve"> </w:t>
      </w:r>
      <w:r w:rsidRPr="00C85E6C">
        <w:t>and</w:t>
      </w:r>
      <w:r w:rsidR="009345EA">
        <w:t xml:space="preserve"> </w:t>
      </w:r>
      <w:r w:rsidRPr="00C85E6C">
        <w:t>civil</w:t>
      </w:r>
      <w:r w:rsidR="009345EA">
        <w:t xml:space="preserve"> </w:t>
      </w:r>
      <w:r w:rsidRPr="00C85E6C">
        <w:t>proceedings</w:t>
      </w:r>
      <w:r w:rsidR="009345EA">
        <w:t xml:space="preserve"> </w:t>
      </w:r>
      <w:r w:rsidRPr="00C85E6C">
        <w:t>were</w:t>
      </w:r>
      <w:r w:rsidR="009345EA">
        <w:t xml:space="preserve"> </w:t>
      </w:r>
      <w:r w:rsidRPr="00C85E6C">
        <w:t>at</w:t>
      </w:r>
      <w:r w:rsidR="009345EA">
        <w:t xml:space="preserve"> </w:t>
      </w:r>
      <w:r w:rsidRPr="00C85E6C">
        <w:t>first</w:t>
      </w:r>
      <w:r w:rsidR="009345EA">
        <w:t xml:space="preserve"> </w:t>
      </w:r>
      <w:r w:rsidRPr="00C85E6C">
        <w:t>instance</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the</w:t>
      </w:r>
      <w:r w:rsidR="009345EA">
        <w:t xml:space="preserve"> </w:t>
      </w:r>
      <w:r w:rsidRPr="00C85E6C">
        <w:t>initial</w:t>
      </w:r>
      <w:r w:rsidR="009345EA">
        <w:t xml:space="preserve"> </w:t>
      </w:r>
      <w:r w:rsidRPr="00C85E6C">
        <w:t>communication.</w:t>
      </w:r>
      <w:r w:rsidRPr="00D06B7B">
        <w:rPr>
          <w:rStyle w:val="FootnoteReference"/>
        </w:rPr>
        <w:footnoteReference w:id="18"/>
      </w:r>
      <w:r w:rsidR="009345EA">
        <w:t xml:space="preserve"> </w:t>
      </w:r>
      <w:r w:rsidRPr="00C85E6C">
        <w:t>The</w:t>
      </w:r>
      <w:r w:rsidR="009345EA">
        <w:t xml:space="preserve"> </w:t>
      </w:r>
      <w:r w:rsidRPr="00C85E6C">
        <w:t>Committee</w:t>
      </w:r>
      <w:r w:rsidR="009345EA">
        <w:t xml:space="preserve"> </w:t>
      </w:r>
      <w:r w:rsidRPr="00C85E6C">
        <w:t>recalls</w:t>
      </w:r>
      <w:r w:rsidR="009345EA">
        <w:t xml:space="preserve"> </w:t>
      </w:r>
      <w:r w:rsidRPr="00C85E6C">
        <w:t>that,</w:t>
      </w:r>
      <w:r w:rsidR="009345EA">
        <w:t xml:space="preserve"> </w:t>
      </w:r>
      <w:r w:rsidRPr="00C85E6C">
        <w:t>as</w:t>
      </w:r>
      <w:r w:rsidR="009345EA">
        <w:t xml:space="preserve"> </w:t>
      </w:r>
      <w:r w:rsidRPr="00C85E6C">
        <w:t>highlighted</w:t>
      </w:r>
      <w:r w:rsidR="009345EA">
        <w:t xml:space="preserve"> </w:t>
      </w:r>
      <w:r w:rsidRPr="00C85E6C">
        <w:t>in</w:t>
      </w:r>
      <w:r w:rsidR="009345EA">
        <w:t xml:space="preserve"> </w:t>
      </w:r>
      <w:r w:rsidRPr="00C85E6C">
        <w:t>its</w:t>
      </w:r>
      <w:r w:rsidR="009345EA">
        <w:t xml:space="preserve"> </w:t>
      </w:r>
      <w:r w:rsidRPr="00C85E6C">
        <w:t>previous</w:t>
      </w:r>
      <w:r w:rsidR="009345EA">
        <w:t xml:space="preserve"> </w:t>
      </w:r>
      <w:r w:rsidRPr="00C85E6C">
        <w:t>jurisprudence,</w:t>
      </w:r>
      <w:r w:rsidR="009345EA">
        <w:t xml:space="preserve"> </w:t>
      </w:r>
      <w:r w:rsidRPr="00C85E6C">
        <w:t>proceedings</w:t>
      </w:r>
      <w:r w:rsidR="009345EA">
        <w:t xml:space="preserve"> </w:t>
      </w:r>
      <w:r w:rsidRPr="00C85E6C">
        <w:t>before</w:t>
      </w:r>
      <w:r w:rsidR="009345EA">
        <w:t xml:space="preserve"> </w:t>
      </w:r>
      <w:r w:rsidRPr="00C85E6C">
        <w:t>the</w:t>
      </w:r>
      <w:r w:rsidR="009345EA">
        <w:t xml:space="preserve"> </w:t>
      </w:r>
      <w:r w:rsidRPr="00C85E6C">
        <w:t>superior</w:t>
      </w:r>
      <w:r w:rsidR="009345EA">
        <w:t xml:space="preserve"> </w:t>
      </w:r>
      <w:r w:rsidRPr="00C85E6C">
        <w:t>courts</w:t>
      </w:r>
      <w:r w:rsidR="009345EA">
        <w:t xml:space="preserve"> </w:t>
      </w:r>
      <w:r w:rsidRPr="00C85E6C">
        <w:t>in</w:t>
      </w:r>
      <w:r w:rsidR="009345EA">
        <w:t xml:space="preserve"> </w:t>
      </w:r>
      <w:r w:rsidRPr="00C85E6C">
        <w:t>Sri</w:t>
      </w:r>
      <w:r w:rsidR="009345EA">
        <w:t xml:space="preserve"> </w:t>
      </w:r>
      <w:r w:rsidRPr="00C85E6C">
        <w:t>Lanka,</w:t>
      </w:r>
      <w:r w:rsidR="009345EA">
        <w:t xml:space="preserve"> </w:t>
      </w:r>
      <w:r w:rsidRPr="00C85E6C">
        <w:t>such</w:t>
      </w:r>
      <w:r w:rsidR="009345EA">
        <w:t xml:space="preserve"> </w:t>
      </w:r>
      <w:r w:rsidRPr="00C85E6C">
        <w:t>as</w:t>
      </w:r>
      <w:r w:rsidR="009345EA">
        <w:t xml:space="preserve"> </w:t>
      </w:r>
      <w:r w:rsidRPr="00C85E6C">
        <w:t>the</w:t>
      </w:r>
      <w:r w:rsidR="009345EA">
        <w:t xml:space="preserve"> </w:t>
      </w:r>
      <w:r w:rsidRPr="00C85E6C">
        <w:t>Court</w:t>
      </w:r>
      <w:r w:rsidR="009345EA">
        <w:t xml:space="preserve"> </w:t>
      </w:r>
      <w:r w:rsidRPr="00C85E6C">
        <w:t>of</w:t>
      </w:r>
      <w:r w:rsidR="009345EA">
        <w:t xml:space="preserve"> </w:t>
      </w:r>
      <w:r w:rsidRPr="00C85E6C">
        <w:t>Appeal,</w:t>
      </w:r>
      <w:r w:rsidR="009345EA">
        <w:t xml:space="preserve"> </w:t>
      </w:r>
      <w:r w:rsidRPr="00C85E6C">
        <w:t>have</w:t>
      </w:r>
      <w:r w:rsidR="009345EA">
        <w:t xml:space="preserve"> </w:t>
      </w:r>
      <w:r w:rsidRPr="00C85E6C">
        <w:t>been</w:t>
      </w:r>
      <w:r w:rsidR="009345EA">
        <w:t xml:space="preserve"> </w:t>
      </w:r>
      <w:r w:rsidRPr="00C85E6C">
        <w:t>prolonged.</w:t>
      </w:r>
      <w:r w:rsidRPr="00D06B7B">
        <w:rPr>
          <w:rStyle w:val="FootnoteReference"/>
        </w:rPr>
        <w:footnoteReference w:id="19"/>
      </w:r>
      <w:r w:rsidR="009345EA">
        <w:t xml:space="preserve"> </w:t>
      </w:r>
      <w:r w:rsidRPr="00C85E6C">
        <w:t>The</w:t>
      </w:r>
      <w:r w:rsidR="009345EA">
        <w:t xml:space="preserve"> </w:t>
      </w:r>
      <w:r w:rsidRPr="00C85E6C">
        <w:t>Committee</w:t>
      </w:r>
      <w:r w:rsidR="009345EA">
        <w:t xml:space="preserve"> </w:t>
      </w:r>
      <w:r w:rsidRPr="00C85E6C">
        <w:t>further</w:t>
      </w:r>
      <w:r w:rsidR="009345EA">
        <w:t xml:space="preserve"> </w:t>
      </w:r>
      <w:r w:rsidRPr="00C85E6C">
        <w:t>recalls</w:t>
      </w:r>
      <w:r w:rsidR="009345EA">
        <w:t xml:space="preserve"> </w:t>
      </w:r>
      <w:r w:rsidRPr="00C85E6C">
        <w:t>its</w:t>
      </w:r>
      <w:r w:rsidR="009345EA">
        <w:t xml:space="preserve"> </w:t>
      </w:r>
      <w:r w:rsidRPr="00C85E6C">
        <w:t>jurisprudence</w:t>
      </w:r>
      <w:r w:rsidR="009345EA">
        <w:t xml:space="preserve"> </w:t>
      </w:r>
      <w:r w:rsidRPr="00C85E6C">
        <w:t>to</w:t>
      </w:r>
      <w:r w:rsidR="009345EA">
        <w:t xml:space="preserve"> </w:t>
      </w:r>
      <w:r w:rsidRPr="00C85E6C">
        <w:t>the</w:t>
      </w:r>
      <w:r w:rsidR="009345EA">
        <w:t xml:space="preserve"> </w:t>
      </w:r>
      <w:r w:rsidRPr="00C85E6C">
        <w:t>effect</w:t>
      </w:r>
      <w:r w:rsidR="009345EA">
        <w:t xml:space="preserve"> </w:t>
      </w:r>
      <w:r w:rsidRPr="00C85E6C">
        <w:t>that</w:t>
      </w:r>
      <w:r w:rsidR="009345EA">
        <w:t xml:space="preserve"> </w:t>
      </w:r>
      <w:r w:rsidRPr="00C85E6C">
        <w:t>a</w:t>
      </w:r>
      <w:r w:rsidR="009345EA">
        <w:t xml:space="preserve"> </w:t>
      </w:r>
      <w:r w:rsidRPr="00C85E6C">
        <w:t>remedy</w:t>
      </w:r>
      <w:r w:rsidR="009345EA">
        <w:t xml:space="preserve"> </w:t>
      </w:r>
      <w:r w:rsidRPr="00C85E6C">
        <w:t>that</w:t>
      </w:r>
      <w:r w:rsidR="009345EA">
        <w:t xml:space="preserve"> </w:t>
      </w:r>
      <w:r w:rsidRPr="00C85E6C">
        <w:t>has</w:t>
      </w:r>
      <w:r w:rsidR="009345EA">
        <w:t xml:space="preserve"> </w:t>
      </w:r>
      <w:r w:rsidRPr="00C85E6C">
        <w:t>no</w:t>
      </w:r>
      <w:r w:rsidR="009345EA">
        <w:t xml:space="preserve"> </w:t>
      </w:r>
      <w:r w:rsidRPr="00C85E6C">
        <w:t>chance</w:t>
      </w:r>
      <w:r w:rsidR="009345EA">
        <w:t xml:space="preserve"> </w:t>
      </w:r>
      <w:r w:rsidRPr="00C85E6C">
        <w:t>of</w:t>
      </w:r>
      <w:r w:rsidR="009345EA">
        <w:t xml:space="preserve"> </w:t>
      </w:r>
      <w:r w:rsidRPr="00C85E6C">
        <w:t>being</w:t>
      </w:r>
      <w:r w:rsidR="009345EA">
        <w:t xml:space="preserve"> </w:t>
      </w:r>
      <w:r w:rsidRPr="00C85E6C">
        <w:t>successful</w:t>
      </w:r>
      <w:r w:rsidR="009345EA">
        <w:t xml:space="preserve"> </w:t>
      </w:r>
      <w:r w:rsidRPr="00C85E6C">
        <w:t>cannot</w:t>
      </w:r>
      <w:r w:rsidR="009345EA">
        <w:t xml:space="preserve"> </w:t>
      </w:r>
      <w:r w:rsidRPr="00C85E6C">
        <w:t>count</w:t>
      </w:r>
      <w:r w:rsidR="009345EA">
        <w:t xml:space="preserve"> </w:t>
      </w:r>
      <w:r w:rsidRPr="00C85E6C">
        <w:t>as</w:t>
      </w:r>
      <w:r w:rsidR="009345EA">
        <w:t xml:space="preserve"> </w:t>
      </w:r>
      <w:r w:rsidRPr="00C85E6C">
        <w:t>such</w:t>
      </w:r>
      <w:r w:rsidR="009345EA">
        <w:t xml:space="preserve"> </w:t>
      </w:r>
      <w:r w:rsidRPr="00C85E6C">
        <w:t>and</w:t>
      </w:r>
      <w:r w:rsidR="009345EA">
        <w:t xml:space="preserve"> </w:t>
      </w:r>
      <w:r w:rsidRPr="00C85E6C">
        <w:t>does</w:t>
      </w:r>
      <w:r w:rsidR="009345EA">
        <w:t xml:space="preserve"> </w:t>
      </w:r>
      <w:r w:rsidRPr="00C85E6C">
        <w:t>not</w:t>
      </w:r>
      <w:r w:rsidR="009345EA">
        <w:t xml:space="preserve"> </w:t>
      </w:r>
      <w:r w:rsidRPr="00C85E6C">
        <w:t>need</w:t>
      </w:r>
      <w:r w:rsidR="009345EA">
        <w:t xml:space="preserve"> </w:t>
      </w:r>
      <w:r w:rsidRPr="00C85E6C">
        <w:t>to</w:t>
      </w:r>
      <w:r w:rsidR="009345EA">
        <w:t xml:space="preserve"> </w:t>
      </w:r>
      <w:r w:rsidRPr="00C85E6C">
        <w:t>be</w:t>
      </w:r>
      <w:r w:rsidR="009345EA">
        <w:t xml:space="preserve"> </w:t>
      </w:r>
      <w:r w:rsidRPr="00C85E6C">
        <w:t>exhausted</w:t>
      </w:r>
      <w:r w:rsidR="009345EA">
        <w:t xml:space="preserve"> </w:t>
      </w:r>
      <w:r w:rsidRPr="00C85E6C">
        <w:t>for</w:t>
      </w:r>
      <w:r w:rsidR="009345EA">
        <w:t xml:space="preserve"> </w:t>
      </w:r>
      <w:r w:rsidRPr="00C85E6C">
        <w:t>the</w:t>
      </w:r>
      <w:r w:rsidR="009345EA">
        <w:t xml:space="preserve"> </w:t>
      </w:r>
      <w:r w:rsidRPr="00C85E6C">
        <w:t>purposes</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Pr="00D06B7B">
        <w:rPr>
          <w:rStyle w:val="FootnoteReference"/>
        </w:rPr>
        <w:footnoteReference w:id="20"/>
      </w:r>
      <w:r w:rsidR="009345EA">
        <w:t xml:space="preserve"> </w:t>
      </w:r>
      <w:r w:rsidRPr="00C85E6C">
        <w:t>However,</w:t>
      </w:r>
      <w:r w:rsidR="009345EA">
        <w:t xml:space="preserve"> </w:t>
      </w:r>
      <w:r w:rsidRPr="00C85E6C">
        <w:t>it</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perpetrators</w:t>
      </w:r>
      <w:r w:rsidR="009345EA">
        <w:t xml:space="preserve"> </w:t>
      </w:r>
      <w:r w:rsidRPr="00C85E6C">
        <w:t>were</w:t>
      </w:r>
      <w:r w:rsidR="009345EA">
        <w:t xml:space="preserve"> </w:t>
      </w:r>
      <w:r w:rsidRPr="00C85E6C">
        <w:t>finally</w:t>
      </w:r>
      <w:r w:rsidR="009345EA">
        <w:t xml:space="preserve"> </w:t>
      </w:r>
      <w:r w:rsidRPr="00C85E6C">
        <w:t>convicted</w:t>
      </w:r>
      <w:r w:rsidR="009345EA">
        <w:t xml:space="preserve"> </w:t>
      </w:r>
      <w:r w:rsidRPr="00C85E6C">
        <w:t>and</w:t>
      </w:r>
      <w:r w:rsidR="009345EA">
        <w:t xml:space="preserve"> </w:t>
      </w:r>
      <w:r w:rsidRPr="00C85E6C">
        <w:t>sentenced</w:t>
      </w:r>
      <w:r w:rsidR="009345EA">
        <w:t xml:space="preserve"> </w:t>
      </w:r>
      <w:r w:rsidRPr="00C85E6C">
        <w:t>in</w:t>
      </w:r>
      <w:r w:rsidR="009345EA">
        <w:t xml:space="preserve"> </w:t>
      </w:r>
      <w:r w:rsidRPr="00C85E6C">
        <w:t>December</w:t>
      </w:r>
      <w:r w:rsidR="009345EA">
        <w:t xml:space="preserve"> </w:t>
      </w:r>
      <w:r w:rsidRPr="00C85E6C">
        <w:t>2015,</w:t>
      </w:r>
      <w:r w:rsidR="009345EA">
        <w:t xml:space="preserve"> </w:t>
      </w:r>
      <w:r w:rsidRPr="00C85E6C">
        <w:t>some</w:t>
      </w:r>
      <w:r w:rsidR="009345EA">
        <w:t xml:space="preserve"> </w:t>
      </w:r>
      <w:r w:rsidRPr="00C85E6C">
        <w:t>14</w:t>
      </w:r>
      <w:r w:rsidR="009345EA">
        <w:t xml:space="preserve"> </w:t>
      </w:r>
      <w:r w:rsidRPr="00C85E6C">
        <w:t>years</w:t>
      </w:r>
      <w:r w:rsidR="009345EA">
        <w:t xml:space="preserve"> </w:t>
      </w:r>
      <w:r w:rsidRPr="00C85E6C">
        <w:t>after</w:t>
      </w:r>
      <w:r w:rsidR="009345EA">
        <w:t xml:space="preserve"> </w:t>
      </w:r>
      <w:r w:rsidRPr="00C85E6C">
        <w:t>the</w:t>
      </w:r>
      <w:r w:rsidR="009345EA">
        <w:t xml:space="preserve"> </w:t>
      </w:r>
      <w:r w:rsidRPr="00C85E6C">
        <w:t>submission</w:t>
      </w:r>
      <w:r w:rsidR="009345EA">
        <w:t xml:space="preserve"> </w:t>
      </w:r>
      <w:r w:rsidRPr="00C85E6C">
        <w:t>of</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complaint</w:t>
      </w:r>
      <w:r w:rsidR="009345EA">
        <w:t xml:space="preserve"> </w:t>
      </w:r>
      <w:r w:rsidRPr="00C85E6C">
        <w:t>to</w:t>
      </w:r>
      <w:r w:rsidR="009345EA">
        <w:t xml:space="preserve"> </w:t>
      </w:r>
      <w:r w:rsidRPr="00C85E6C">
        <w:t>the</w:t>
      </w:r>
      <w:r w:rsidR="009345EA">
        <w:t xml:space="preserve"> </w:t>
      </w:r>
      <w:r w:rsidRPr="00C85E6C">
        <w:t>police.</w:t>
      </w:r>
      <w:r w:rsidR="009345EA">
        <w:t xml:space="preserve"> </w:t>
      </w:r>
      <w:r w:rsidRPr="00C85E6C">
        <w:t>Since</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has</w:t>
      </w:r>
      <w:r w:rsidR="009345EA">
        <w:t xml:space="preserve"> </w:t>
      </w:r>
      <w:r w:rsidRPr="00C85E6C">
        <w:t>not</w:t>
      </w:r>
      <w:r w:rsidR="009345EA">
        <w:t xml:space="preserve"> </w:t>
      </w:r>
      <w:r w:rsidRPr="00C85E6C">
        <w:t>contested</w:t>
      </w:r>
      <w:r w:rsidR="009345EA">
        <w:t xml:space="preserve"> </w:t>
      </w:r>
      <w:r w:rsidRPr="00C85E6C">
        <w:t>the</w:t>
      </w:r>
      <w:r w:rsidR="009345EA">
        <w:t xml:space="preserve"> </w:t>
      </w:r>
      <w:r w:rsidRPr="00C85E6C">
        <w:t>admissibility</w:t>
      </w:r>
      <w:r w:rsidR="009345EA">
        <w:t xml:space="preserve"> </w:t>
      </w:r>
      <w:r w:rsidRPr="00C85E6C">
        <w:t>of</w:t>
      </w:r>
      <w:r w:rsidR="009345EA">
        <w:t xml:space="preserve"> </w:t>
      </w:r>
      <w:r w:rsidRPr="00C85E6C">
        <w:t>any</w:t>
      </w:r>
      <w:r w:rsidR="009345EA">
        <w:t xml:space="preserve"> </w:t>
      </w:r>
      <w:r w:rsidRPr="00C85E6C">
        <w:t>of</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claims,</w:t>
      </w:r>
      <w:r w:rsidR="009345EA">
        <w:t xml:space="preserve"> </w:t>
      </w:r>
      <w:r w:rsidRPr="00C85E6C">
        <w:t>the</w:t>
      </w:r>
      <w:r w:rsidR="009345EA">
        <w:t xml:space="preserve"> </w:t>
      </w:r>
      <w:r w:rsidRPr="00C85E6C">
        <w:t>Committee</w:t>
      </w:r>
      <w:r w:rsidR="009345EA">
        <w:t xml:space="preserve"> </w:t>
      </w:r>
      <w:r w:rsidRPr="00C85E6C">
        <w:t>considers</w:t>
      </w:r>
      <w:r w:rsidR="009345EA">
        <w:t xml:space="preserve"> </w:t>
      </w:r>
      <w:r w:rsidRPr="00C85E6C">
        <w:t>that</w:t>
      </w:r>
      <w:r w:rsidR="009345EA">
        <w:t xml:space="preserve"> </w:t>
      </w:r>
      <w:r w:rsidRPr="00C85E6C">
        <w:t>due</w:t>
      </w:r>
      <w:r w:rsidR="009345EA">
        <w:t xml:space="preserve"> </w:t>
      </w:r>
      <w:r w:rsidRPr="00C85E6C">
        <w:t>weight</w:t>
      </w:r>
      <w:r w:rsidR="009345EA">
        <w:t xml:space="preserve"> </w:t>
      </w:r>
      <w:r w:rsidRPr="00C85E6C">
        <w:t>must</w:t>
      </w:r>
      <w:r w:rsidR="009345EA">
        <w:t xml:space="preserve"> </w:t>
      </w:r>
      <w:r w:rsidRPr="00C85E6C">
        <w:t>be</w:t>
      </w:r>
      <w:r w:rsidR="009345EA">
        <w:t xml:space="preserve"> </w:t>
      </w:r>
      <w:r w:rsidRPr="00C85E6C">
        <w:t>given</w:t>
      </w:r>
      <w:r w:rsidR="009345EA">
        <w:t xml:space="preserve"> </w:t>
      </w:r>
      <w:r w:rsidRPr="00C85E6C">
        <w:t>to</w:t>
      </w:r>
      <w:r w:rsidR="009345EA">
        <w:t xml:space="preserve"> </w:t>
      </w:r>
      <w:r w:rsidRPr="00C85E6C">
        <w:t>her</w:t>
      </w:r>
      <w:r w:rsidR="009345EA">
        <w:t xml:space="preserve"> </w:t>
      </w:r>
      <w:r w:rsidRPr="00C85E6C">
        <w:t>contentions</w:t>
      </w:r>
      <w:r w:rsidR="009345EA">
        <w:t xml:space="preserve"> </w:t>
      </w:r>
      <w:r w:rsidRPr="00C85E6C">
        <w:t>that</w:t>
      </w:r>
      <w:r w:rsidR="009345EA">
        <w:t xml:space="preserve"> </w:t>
      </w:r>
      <w:r w:rsidRPr="00C85E6C">
        <w:t>the</w:t>
      </w:r>
      <w:r w:rsidR="009345EA">
        <w:t xml:space="preserve"> </w:t>
      </w:r>
      <w:r w:rsidRPr="00C85E6C">
        <w:t>domestic</w:t>
      </w:r>
      <w:r w:rsidR="009345EA">
        <w:t xml:space="preserve"> </w:t>
      </w:r>
      <w:r w:rsidRPr="00C85E6C">
        <w:t>remedies</w:t>
      </w:r>
      <w:r w:rsidR="009345EA">
        <w:t xml:space="preserve"> </w:t>
      </w:r>
      <w:r w:rsidRPr="00C85E6C">
        <w:t>have</w:t>
      </w:r>
      <w:r w:rsidR="009345EA">
        <w:t xml:space="preserve"> </w:t>
      </w:r>
      <w:r w:rsidRPr="00C85E6C">
        <w:t>been</w:t>
      </w:r>
      <w:r w:rsidR="009345EA">
        <w:t xml:space="preserve"> </w:t>
      </w:r>
      <w:r w:rsidRPr="00C85E6C">
        <w:t>unduly</w:t>
      </w:r>
      <w:r w:rsidR="009345EA">
        <w:t xml:space="preserve"> </w:t>
      </w:r>
      <w:r w:rsidRPr="00C85E6C">
        <w:t>prolonged</w:t>
      </w:r>
      <w:r w:rsidR="009345EA">
        <w:t xml:space="preserve"> </w:t>
      </w:r>
      <w:r w:rsidRPr="00C85E6C">
        <w:t>in</w:t>
      </w:r>
      <w:r w:rsidR="009345EA">
        <w:t xml:space="preserve"> </w:t>
      </w:r>
      <w:r w:rsidRPr="00C85E6C">
        <w:t>the</w:t>
      </w:r>
      <w:r w:rsidR="009345EA">
        <w:t xml:space="preserve"> </w:t>
      </w:r>
      <w:r w:rsidRPr="00C85E6C">
        <w:t>circumstances</w:t>
      </w:r>
      <w:r w:rsidR="009345EA">
        <w:t xml:space="preserve"> </w:t>
      </w:r>
      <w:r w:rsidRPr="00C85E6C">
        <w:t>of</w:t>
      </w:r>
      <w:r w:rsidR="009345EA">
        <w:t xml:space="preserve"> </w:t>
      </w:r>
      <w:r w:rsidRPr="00C85E6C">
        <w:t>this</w:t>
      </w:r>
      <w:r w:rsidR="009345EA">
        <w:t xml:space="preserve"> </w:t>
      </w:r>
      <w:r w:rsidRPr="00C85E6C">
        <w:t>case.</w:t>
      </w:r>
      <w:r w:rsidR="009345EA">
        <w:t xml:space="preserve"> </w:t>
      </w:r>
      <w:r w:rsidRPr="00C85E6C">
        <w:t>Consequently,</w:t>
      </w:r>
      <w:r w:rsidR="009345EA">
        <w:t xml:space="preserve"> </w:t>
      </w:r>
      <w:r w:rsidRPr="00C85E6C">
        <w:t>the</w:t>
      </w:r>
      <w:r w:rsidR="009345EA">
        <w:t xml:space="preserve"> </w:t>
      </w:r>
      <w:r w:rsidRPr="00C85E6C">
        <w:t>Committee</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requirements</w:t>
      </w:r>
      <w:r w:rsidR="009345EA">
        <w:t xml:space="preserve"> </w:t>
      </w:r>
      <w:r w:rsidRPr="00C85E6C">
        <w:t>of</w:t>
      </w:r>
      <w:r w:rsidR="009345EA">
        <w:t xml:space="preserve"> </w:t>
      </w:r>
      <w:r w:rsidRPr="00C85E6C">
        <w:t>article</w:t>
      </w:r>
      <w:r w:rsidR="009345EA">
        <w:t xml:space="preserve"> </w:t>
      </w:r>
      <w:r w:rsidRPr="00C85E6C">
        <w:t>5</w:t>
      </w:r>
      <w:r w:rsidR="009345EA">
        <w:t xml:space="preserve"> </w:t>
      </w:r>
      <w:r w:rsidRPr="00C85E6C">
        <w:t>(2)</w:t>
      </w:r>
      <w:r w:rsidR="009345EA">
        <w:t xml:space="preserve"> </w:t>
      </w:r>
      <w:r w:rsidRPr="00C85E6C">
        <w:t>(b)</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have</w:t>
      </w:r>
      <w:r w:rsidR="009345EA">
        <w:t xml:space="preserve"> </w:t>
      </w:r>
      <w:r w:rsidRPr="00C85E6C">
        <w:t>been</w:t>
      </w:r>
      <w:r w:rsidR="009345EA">
        <w:t xml:space="preserve"> </w:t>
      </w:r>
      <w:r w:rsidRPr="00C85E6C">
        <w:t>met.</w:t>
      </w:r>
    </w:p>
    <w:p w:rsidR="00D06B7B" w:rsidRPr="00C85E6C" w:rsidRDefault="00D06B7B" w:rsidP="00FF3573">
      <w:pPr>
        <w:pStyle w:val="SingleTxtG"/>
      </w:pPr>
      <w:r w:rsidRPr="00C85E6C">
        <w:t>6.4</w:t>
      </w:r>
      <w:r w:rsidRPr="00C85E6C">
        <w:tab/>
        <w:t>The</w:t>
      </w:r>
      <w:r w:rsidR="009345EA">
        <w:t xml:space="preserve"> </w:t>
      </w:r>
      <w:r w:rsidRPr="00C85E6C">
        <w:t>Committee</w:t>
      </w:r>
      <w:r w:rsidR="009345EA">
        <w:t xml:space="preserve"> </w:t>
      </w:r>
      <w:r w:rsidRPr="00C85E6C">
        <w:t>notes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claims</w:t>
      </w:r>
      <w:r w:rsidR="009345EA">
        <w:t xml:space="preserve"> </w:t>
      </w:r>
      <w:r w:rsidRPr="00C85E6C">
        <w:t>that</w:t>
      </w:r>
      <w:r w:rsidR="009345EA">
        <w:t xml:space="preserve"> </w:t>
      </w:r>
      <w:r w:rsidRPr="00C85E6C">
        <w:t>her</w:t>
      </w:r>
      <w:r w:rsidR="009345EA">
        <w:t xml:space="preserve"> </w:t>
      </w:r>
      <w:r w:rsidRPr="00C85E6C">
        <w:t>rape</w:t>
      </w:r>
      <w:r w:rsidR="009345EA">
        <w:t xml:space="preserve"> </w:t>
      </w:r>
      <w:r w:rsidRPr="00C85E6C">
        <w:t>was</w:t>
      </w:r>
      <w:r w:rsidR="009345EA">
        <w:t xml:space="preserve"> </w:t>
      </w:r>
      <w:r w:rsidRPr="00C85E6C">
        <w:t>of</w:t>
      </w:r>
      <w:r w:rsidR="009345EA">
        <w:t xml:space="preserve"> </w:t>
      </w:r>
      <w:r w:rsidRPr="00C85E6C">
        <w:t>a</w:t>
      </w:r>
      <w:r w:rsidR="009345EA">
        <w:t xml:space="preserve"> </w:t>
      </w:r>
      <w:r w:rsidRPr="00C85E6C">
        <w:t>sufficient</w:t>
      </w:r>
      <w:r w:rsidR="009345EA">
        <w:t xml:space="preserve"> </w:t>
      </w:r>
      <w:r w:rsidRPr="00C85E6C">
        <w:t>severity</w:t>
      </w:r>
      <w:r w:rsidR="009345EA">
        <w:t xml:space="preserve"> </w:t>
      </w:r>
      <w:r w:rsidRPr="00C85E6C">
        <w:t>to</w:t>
      </w:r>
      <w:r w:rsidR="009345EA">
        <w:t xml:space="preserve"> </w:t>
      </w:r>
      <w:r w:rsidRPr="00C85E6C">
        <w:t>constitute</w:t>
      </w:r>
      <w:r w:rsidR="009345EA">
        <w:t xml:space="preserve"> </w:t>
      </w:r>
      <w:r w:rsidRPr="00C85E6C">
        <w:t>torture,</w:t>
      </w:r>
      <w:r w:rsidR="009345EA">
        <w:t xml:space="preserve"> </w:t>
      </w:r>
      <w:r w:rsidRPr="00C85E6C">
        <w:t>and</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violated</w:t>
      </w:r>
      <w:r w:rsidR="009345EA">
        <w:t xml:space="preserve"> </w:t>
      </w:r>
      <w:r w:rsidRPr="00C85E6C">
        <w:t>her</w:t>
      </w:r>
      <w:r w:rsidR="009345EA">
        <w:t xml:space="preserve"> </w:t>
      </w:r>
      <w:r w:rsidRPr="00C85E6C">
        <w:t>rights</w:t>
      </w:r>
      <w:r w:rsidR="009345EA">
        <w:t xml:space="preserve"> </w:t>
      </w:r>
      <w:r w:rsidRPr="00C85E6C">
        <w:t>by</w:t>
      </w:r>
      <w:r w:rsidR="009345EA">
        <w:t xml:space="preserve"> </w:t>
      </w:r>
      <w:r w:rsidRPr="00C85E6C">
        <w:t>failing</w:t>
      </w:r>
      <w:r w:rsidR="009345EA">
        <w:t xml:space="preserve"> </w:t>
      </w:r>
      <w:r w:rsidRPr="00C85E6C">
        <w:t>to</w:t>
      </w:r>
      <w:r w:rsidR="009345EA">
        <w:t xml:space="preserve"> </w:t>
      </w:r>
      <w:r w:rsidRPr="00C85E6C">
        <w:t>provide</w:t>
      </w:r>
      <w:r w:rsidR="009345EA">
        <w:t xml:space="preserve"> </w:t>
      </w:r>
      <w:r w:rsidRPr="00C85E6C">
        <w:t>accessible</w:t>
      </w:r>
      <w:r w:rsidR="009345EA">
        <w:t xml:space="preserve"> </w:t>
      </w:r>
      <w:r w:rsidRPr="00C85E6C">
        <w:t>and</w:t>
      </w:r>
      <w:r w:rsidR="009345EA">
        <w:t xml:space="preserve"> </w:t>
      </w:r>
      <w:r w:rsidRPr="00C85E6C">
        <w:t>effective</w:t>
      </w:r>
      <w:r w:rsidR="009345EA">
        <w:t xml:space="preserve"> </w:t>
      </w:r>
      <w:r w:rsidRPr="00C85E6C">
        <w:t>remedies</w:t>
      </w:r>
      <w:r w:rsidR="009345EA">
        <w:t xml:space="preserve"> </w:t>
      </w:r>
      <w:r w:rsidRPr="00C85E6C">
        <w:t>to</w:t>
      </w:r>
      <w:r w:rsidR="009345EA">
        <w:t xml:space="preserve"> </w:t>
      </w:r>
      <w:r w:rsidRPr="00C85E6C">
        <w:t>vindicate</w:t>
      </w:r>
      <w:r w:rsidR="009345EA">
        <w:t xml:space="preserve"> </w:t>
      </w:r>
      <w:r w:rsidRPr="00C85E6C">
        <w:t>her</w:t>
      </w:r>
      <w:r w:rsidR="009345EA">
        <w:t xml:space="preserve"> </w:t>
      </w:r>
      <w:r w:rsidRPr="00C85E6C">
        <w:t>right</w:t>
      </w:r>
      <w:r w:rsidR="009345EA">
        <w:t xml:space="preserve"> </w:t>
      </w:r>
      <w:r w:rsidRPr="00C85E6C">
        <w:t>not</w:t>
      </w:r>
      <w:r w:rsidR="009345EA">
        <w:t xml:space="preserve"> </w:t>
      </w:r>
      <w:r w:rsidRPr="00C85E6C">
        <w:t>to</w:t>
      </w:r>
      <w:r w:rsidR="009345EA">
        <w:t xml:space="preserve"> </w:t>
      </w:r>
      <w:r w:rsidRPr="00C85E6C">
        <w:t>be</w:t>
      </w:r>
      <w:r w:rsidR="009345EA">
        <w:t xml:space="preserve"> </w:t>
      </w:r>
      <w:r w:rsidRPr="00C85E6C">
        <w:t>subjected</w:t>
      </w:r>
      <w:r w:rsidR="009345EA">
        <w:t xml:space="preserve"> </w:t>
      </w:r>
      <w:r w:rsidRPr="00C85E6C">
        <w:t>to</w:t>
      </w:r>
      <w:r w:rsidR="009345EA">
        <w:t xml:space="preserve"> </w:t>
      </w:r>
      <w:r w:rsidRPr="00C85E6C">
        <w:t>torture.</w:t>
      </w:r>
      <w:r w:rsidR="009345EA">
        <w:t xml:space="preserve"> </w:t>
      </w:r>
      <w:r w:rsidRPr="00C85E6C">
        <w:t>The</w:t>
      </w:r>
      <w:r w:rsidR="009345EA">
        <w:t xml:space="preserve"> </w:t>
      </w:r>
      <w:r w:rsidRPr="00C85E6C">
        <w:t>Committee</w:t>
      </w:r>
      <w:r w:rsidR="009345EA">
        <w:t xml:space="preserve"> </w:t>
      </w:r>
      <w:r w:rsidRPr="00C85E6C">
        <w:t>also</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presented</w:t>
      </w:r>
      <w:r w:rsidR="009345EA">
        <w:t xml:space="preserve"> </w:t>
      </w:r>
      <w:r w:rsidRPr="00C85E6C">
        <w:t>medical</w:t>
      </w:r>
      <w:r w:rsidR="009345EA">
        <w:t xml:space="preserve"> </w:t>
      </w:r>
      <w:r w:rsidRPr="00C85E6C">
        <w:t>records</w:t>
      </w:r>
      <w:r w:rsidR="009345EA">
        <w:t xml:space="preserve"> </w:t>
      </w:r>
      <w:r w:rsidRPr="00C85E6C">
        <w:t>as</w:t>
      </w:r>
      <w:r w:rsidR="009345EA">
        <w:t xml:space="preserve"> </w:t>
      </w:r>
      <w:r w:rsidRPr="00C85E6C">
        <w:t>evidence</w:t>
      </w:r>
      <w:r w:rsidR="009345EA">
        <w:t xml:space="preserve"> </w:t>
      </w:r>
      <w:r w:rsidRPr="00C85E6C">
        <w:t>of</w:t>
      </w:r>
      <w:r w:rsidR="009345EA">
        <w:t xml:space="preserve"> </w:t>
      </w:r>
      <w:r w:rsidRPr="00C85E6C">
        <w:t>the</w:t>
      </w:r>
      <w:r w:rsidR="009345EA">
        <w:t xml:space="preserve"> </w:t>
      </w:r>
      <w:r w:rsidRPr="00C85E6C">
        <w:t>rape</w:t>
      </w:r>
      <w:r w:rsidR="009345EA">
        <w:t xml:space="preserve"> </w:t>
      </w:r>
      <w:r w:rsidRPr="00C85E6C">
        <w:t>that</w:t>
      </w:r>
      <w:r w:rsidR="009345EA">
        <w:t xml:space="preserve"> </w:t>
      </w:r>
      <w:r w:rsidRPr="00C85E6C">
        <w:t>resulted</w:t>
      </w:r>
      <w:r w:rsidR="009345EA">
        <w:t xml:space="preserve"> </w:t>
      </w:r>
      <w:r w:rsidRPr="00C85E6C">
        <w:t>in</w:t>
      </w:r>
      <w:r w:rsidR="009345EA">
        <w:t xml:space="preserve"> </w:t>
      </w:r>
      <w:r w:rsidRPr="00C85E6C">
        <w:t>her</w:t>
      </w:r>
      <w:r w:rsidR="009345EA">
        <w:t xml:space="preserve"> </w:t>
      </w:r>
      <w:r w:rsidRPr="00C85E6C">
        <w:t>suffering</w:t>
      </w:r>
      <w:r w:rsidR="009345EA">
        <w:t xml:space="preserve"> </w:t>
      </w:r>
      <w:r w:rsidRPr="00C85E6C">
        <w:t>physical</w:t>
      </w:r>
      <w:r w:rsidR="009345EA">
        <w:t xml:space="preserve"> </w:t>
      </w:r>
      <w:r w:rsidRPr="00C85E6C">
        <w:t>and</w:t>
      </w:r>
      <w:r w:rsidR="009345EA">
        <w:t xml:space="preserve"> </w:t>
      </w:r>
      <w:r w:rsidRPr="00C85E6C">
        <w:t>mental</w:t>
      </w:r>
      <w:r w:rsidR="009345EA">
        <w:t xml:space="preserve"> </w:t>
      </w:r>
      <w:r w:rsidRPr="00C85E6C">
        <w:t>pain.</w:t>
      </w:r>
      <w:r w:rsidR="009345EA">
        <w:t xml:space="preserve"> </w:t>
      </w:r>
      <w:r w:rsidRPr="00C85E6C">
        <w:t>It</w:t>
      </w:r>
      <w:r w:rsidR="009345EA">
        <w:t xml:space="preserve"> </w:t>
      </w:r>
      <w:r w:rsidRPr="00C85E6C">
        <w:t>further</w:t>
      </w:r>
      <w:r w:rsidR="009345EA">
        <w:t xml:space="preserve"> </w:t>
      </w:r>
      <w:r w:rsidRPr="00C85E6C">
        <w:t>notes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allegations</w:t>
      </w:r>
      <w:r w:rsidR="009345EA">
        <w:t xml:space="preserve"> </w:t>
      </w:r>
      <w:r w:rsidRPr="00C85E6C">
        <w:t>that</w:t>
      </w:r>
      <w:r w:rsidR="009345EA">
        <w:t xml:space="preserve"> </w:t>
      </w:r>
      <w:r w:rsidRPr="00C85E6C">
        <w:t>the</w:t>
      </w:r>
      <w:r w:rsidR="009345EA">
        <w:t xml:space="preserve"> </w:t>
      </w:r>
      <w:r w:rsidRPr="00C85E6C">
        <w:t>pain</w:t>
      </w:r>
      <w:r w:rsidR="009345EA">
        <w:t xml:space="preserve"> </w:t>
      </w:r>
      <w:r w:rsidRPr="00C85E6C">
        <w:t>and</w:t>
      </w:r>
      <w:r w:rsidR="009345EA">
        <w:t xml:space="preserve"> </w:t>
      </w:r>
      <w:r w:rsidRPr="00C85E6C">
        <w:t>suffering</w:t>
      </w:r>
      <w:r w:rsidR="009345EA">
        <w:t xml:space="preserve"> </w:t>
      </w:r>
      <w:r w:rsidRPr="00C85E6C">
        <w:t>she</w:t>
      </w:r>
      <w:r w:rsidR="009345EA">
        <w:t xml:space="preserve"> </w:t>
      </w:r>
      <w:r w:rsidRPr="00C85E6C">
        <w:t>has</w:t>
      </w:r>
      <w:r w:rsidR="009345EA">
        <w:t xml:space="preserve"> </w:t>
      </w:r>
      <w:r w:rsidRPr="00C85E6C">
        <w:t>faced</w:t>
      </w:r>
      <w:r w:rsidR="009345EA">
        <w:t xml:space="preserve"> </w:t>
      </w:r>
      <w:r w:rsidRPr="00C85E6C">
        <w:t>are</w:t>
      </w:r>
      <w:r w:rsidR="009345EA">
        <w:t xml:space="preserve"> </w:t>
      </w:r>
      <w:r w:rsidRPr="00C85E6C">
        <w:t>attributable</w:t>
      </w:r>
      <w:r w:rsidR="009345EA">
        <w:t xml:space="preserve"> </w:t>
      </w:r>
      <w:r w:rsidRPr="00C85E6C">
        <w:t>to</w:t>
      </w:r>
      <w:r w:rsidR="009345EA">
        <w:t xml:space="preserve"> </w:t>
      </w:r>
      <w:r w:rsidRPr="00C85E6C">
        <w:t>the</w:t>
      </w:r>
      <w:r w:rsidR="009345EA">
        <w:t xml:space="preserve"> </w:t>
      </w:r>
      <w:r w:rsidRPr="00C85E6C">
        <w:t>Sri</w:t>
      </w:r>
      <w:r w:rsidR="009345EA">
        <w:t xml:space="preserve"> </w:t>
      </w:r>
      <w:r w:rsidRPr="00C85E6C">
        <w:t>Lankan</w:t>
      </w:r>
      <w:r w:rsidR="009345EA">
        <w:t xml:space="preserve"> </w:t>
      </w:r>
      <w:r w:rsidRPr="00C85E6C">
        <w:t>authorities</w:t>
      </w:r>
      <w:r w:rsidR="009345EA">
        <w:t xml:space="preserve"> </w:t>
      </w:r>
      <w:r w:rsidRPr="00C85E6C">
        <w:t>because</w:t>
      </w:r>
      <w:r w:rsidR="009345EA">
        <w:t xml:space="preserve"> </w:t>
      </w:r>
      <w:r w:rsidRPr="00C85E6C">
        <w:t>the</w:t>
      </w:r>
      <w:r w:rsidR="009345EA">
        <w:t xml:space="preserve"> </w:t>
      </w:r>
      <w:r w:rsidRPr="00C85E6C">
        <w:t>authorities</w:t>
      </w:r>
      <w:r w:rsidR="009345EA">
        <w:t xml:space="preserve"> </w:t>
      </w:r>
      <w:r w:rsidRPr="00C85E6C">
        <w:t>failed</w:t>
      </w:r>
      <w:r w:rsidR="009345EA">
        <w:t xml:space="preserve"> </w:t>
      </w:r>
      <w:r w:rsidRPr="00C85E6C">
        <w:t>to</w:t>
      </w:r>
      <w:r w:rsidR="009345EA">
        <w:t xml:space="preserve"> </w:t>
      </w:r>
      <w:r w:rsidRPr="00C85E6C">
        <w:t>prevent</w:t>
      </w:r>
      <w:r w:rsidR="009345EA">
        <w:t xml:space="preserve"> </w:t>
      </w:r>
      <w:r w:rsidRPr="00C85E6C">
        <w:t>gender-based</w:t>
      </w:r>
      <w:r w:rsidR="009345EA">
        <w:t xml:space="preserve"> </w:t>
      </w:r>
      <w:r w:rsidRPr="00C85E6C">
        <w:t>violence,</w:t>
      </w:r>
      <w:r w:rsidR="009345EA">
        <w:t xml:space="preserve"> </w:t>
      </w:r>
      <w:r w:rsidRPr="00C85E6C">
        <w:t>to</w:t>
      </w:r>
      <w:r w:rsidR="009345EA">
        <w:t xml:space="preserve"> </w:t>
      </w:r>
      <w:r w:rsidRPr="00C85E6C">
        <w:t>investigate</w:t>
      </w:r>
      <w:r w:rsidR="009345EA">
        <w:t xml:space="preserve"> </w:t>
      </w:r>
      <w:r w:rsidRPr="00C85E6C">
        <w:t>and</w:t>
      </w:r>
      <w:r w:rsidR="009345EA">
        <w:t xml:space="preserve"> </w:t>
      </w:r>
      <w:r w:rsidRPr="00C85E6C">
        <w:t>prosecute</w:t>
      </w:r>
      <w:r w:rsidR="009345EA">
        <w:t xml:space="preserve"> </w:t>
      </w:r>
      <w:r w:rsidRPr="00C85E6C">
        <w:t>those</w:t>
      </w:r>
      <w:r w:rsidR="009345EA">
        <w:t xml:space="preserve"> </w:t>
      </w:r>
      <w:r w:rsidRPr="00C85E6C">
        <w:t>violations</w:t>
      </w:r>
      <w:r w:rsidR="009345EA">
        <w:t xml:space="preserve"> </w:t>
      </w:r>
      <w:r w:rsidRPr="00C85E6C">
        <w:t>successfully</w:t>
      </w:r>
      <w:r w:rsidR="009345EA">
        <w:t xml:space="preserve"> </w:t>
      </w:r>
      <w:r w:rsidRPr="00C85E6C">
        <w:t>and</w:t>
      </w:r>
      <w:r w:rsidR="009345EA">
        <w:t xml:space="preserve"> </w:t>
      </w:r>
      <w:r w:rsidRPr="00C85E6C">
        <w:t>to</w:t>
      </w:r>
      <w:r w:rsidR="009345EA">
        <w:t xml:space="preserve"> </w:t>
      </w:r>
      <w:r w:rsidRPr="00C85E6C">
        <w:t>provide</w:t>
      </w:r>
      <w:r w:rsidR="009345EA">
        <w:t xml:space="preserve"> </w:t>
      </w:r>
      <w:r w:rsidRPr="00C85E6C">
        <w:t>the</w:t>
      </w:r>
      <w:r w:rsidR="009345EA">
        <w:t xml:space="preserve"> </w:t>
      </w:r>
      <w:r w:rsidRPr="00C85E6C">
        <w:t>author</w:t>
      </w:r>
      <w:r w:rsidR="009345EA">
        <w:t xml:space="preserve"> </w:t>
      </w:r>
      <w:r w:rsidRPr="00C85E6C">
        <w:t>with</w:t>
      </w:r>
      <w:r w:rsidR="009345EA">
        <w:t xml:space="preserve"> </w:t>
      </w:r>
      <w:r w:rsidRPr="00C85E6C">
        <w:t>any</w:t>
      </w:r>
      <w:r w:rsidR="009345EA">
        <w:t xml:space="preserve"> </w:t>
      </w:r>
      <w:r w:rsidRPr="00C85E6C">
        <w:t>kind</w:t>
      </w:r>
      <w:r w:rsidR="009345EA">
        <w:t xml:space="preserve"> </w:t>
      </w:r>
      <w:r w:rsidRPr="00C85E6C">
        <w:t>of</w:t>
      </w:r>
      <w:r w:rsidR="009345EA">
        <w:t xml:space="preserve"> </w:t>
      </w:r>
      <w:r w:rsidRPr="00C85E6C">
        <w:t>support</w:t>
      </w:r>
      <w:r w:rsidR="009345EA">
        <w:t xml:space="preserve"> </w:t>
      </w:r>
      <w:r w:rsidRPr="00C85E6C">
        <w:t>or</w:t>
      </w:r>
      <w:r w:rsidR="009345EA">
        <w:t xml:space="preserve"> </w:t>
      </w:r>
      <w:r w:rsidRPr="00C85E6C">
        <w:t>remedy.</w:t>
      </w:r>
      <w:r w:rsidR="009345EA">
        <w:t xml:space="preserve"> </w:t>
      </w:r>
      <w:r w:rsidRPr="00C85E6C">
        <w:t>The</w:t>
      </w:r>
      <w:r w:rsidR="009345EA">
        <w:t xml:space="preserve"> </w:t>
      </w:r>
      <w:r w:rsidRPr="00C85E6C">
        <w:t>author</w:t>
      </w:r>
      <w:r w:rsidR="009345EA">
        <w:t xml:space="preserve"> </w:t>
      </w:r>
      <w:r w:rsidRPr="00C85E6C">
        <w:t>further</w:t>
      </w:r>
      <w:r w:rsidR="009345EA">
        <w:t xml:space="preserve"> </w:t>
      </w:r>
      <w:r w:rsidRPr="00C85E6C">
        <w:t>alleges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has</w:t>
      </w:r>
      <w:r w:rsidR="009345EA">
        <w:t xml:space="preserve"> </w:t>
      </w:r>
      <w:r w:rsidRPr="00C85E6C">
        <w:t>failed</w:t>
      </w:r>
      <w:r w:rsidR="009345EA">
        <w:t xml:space="preserve"> </w:t>
      </w:r>
      <w:r w:rsidRPr="00C85E6C">
        <w:t>to</w:t>
      </w:r>
      <w:r w:rsidR="009345EA">
        <w:t xml:space="preserve"> </w:t>
      </w:r>
      <w:r w:rsidRPr="00C85E6C">
        <w:t>protect</w:t>
      </w:r>
      <w:r w:rsidR="009345EA">
        <w:t xml:space="preserve"> </w:t>
      </w:r>
      <w:r w:rsidRPr="00C85E6C">
        <w:t>her</w:t>
      </w:r>
      <w:r w:rsidR="009345EA">
        <w:t xml:space="preserve"> </w:t>
      </w:r>
      <w:r w:rsidRPr="00C85E6C">
        <w:t>during</w:t>
      </w:r>
      <w:r w:rsidR="009345EA">
        <w:t xml:space="preserve"> </w:t>
      </w:r>
      <w:r w:rsidRPr="00C85E6C">
        <w:t>the</w:t>
      </w:r>
      <w:r w:rsidR="009345EA">
        <w:t xml:space="preserve"> </w:t>
      </w:r>
      <w:r w:rsidRPr="00C85E6C">
        <w:t>proceedings</w:t>
      </w:r>
      <w:r w:rsidR="009345EA">
        <w:t xml:space="preserve"> </w:t>
      </w:r>
      <w:r w:rsidRPr="00C85E6C">
        <w:t>because</w:t>
      </w:r>
      <w:r w:rsidR="009345EA">
        <w:t xml:space="preserve"> </w:t>
      </w:r>
      <w:r w:rsidRPr="00C85E6C">
        <w:t>(a)</w:t>
      </w:r>
      <w:r w:rsidR="009345EA">
        <w:t xml:space="preserve"> </w:t>
      </w:r>
      <w:r w:rsidRPr="00C85E6C">
        <w:t>it</w:t>
      </w:r>
      <w:r w:rsidR="009345EA">
        <w:t xml:space="preserve"> </w:t>
      </w:r>
      <w:r w:rsidRPr="00C85E6C">
        <w:t>has</w:t>
      </w:r>
      <w:r w:rsidR="009345EA">
        <w:t xml:space="preserve"> </w:t>
      </w:r>
      <w:r w:rsidRPr="00C85E6C">
        <w:t>not</w:t>
      </w:r>
      <w:r w:rsidR="009345EA">
        <w:t xml:space="preserve"> </w:t>
      </w:r>
      <w:r w:rsidRPr="00C85E6C">
        <w:t>provided</w:t>
      </w:r>
      <w:r w:rsidR="009345EA">
        <w:t xml:space="preserve"> </w:t>
      </w:r>
      <w:r w:rsidRPr="00C85E6C">
        <w:t>her</w:t>
      </w:r>
      <w:r w:rsidR="009345EA">
        <w:t xml:space="preserve"> </w:t>
      </w:r>
      <w:r w:rsidRPr="00C85E6C">
        <w:t>with</w:t>
      </w:r>
      <w:r w:rsidR="009345EA">
        <w:t xml:space="preserve"> </w:t>
      </w:r>
      <w:r w:rsidRPr="00C85E6C">
        <w:t>an</w:t>
      </w:r>
      <w:r w:rsidR="009345EA">
        <w:t xml:space="preserve"> </w:t>
      </w:r>
      <w:r w:rsidRPr="00C85E6C">
        <w:t>official</w:t>
      </w:r>
      <w:r w:rsidR="009345EA">
        <w:t xml:space="preserve"> </w:t>
      </w:r>
      <w:r w:rsidRPr="00C85E6C">
        <w:t>interpreter,</w:t>
      </w:r>
      <w:r w:rsidR="009345EA">
        <w:t xml:space="preserve"> </w:t>
      </w:r>
      <w:r w:rsidRPr="00C85E6C">
        <w:t>(b)</w:t>
      </w:r>
      <w:r w:rsidR="009345EA">
        <w:t xml:space="preserve"> </w:t>
      </w:r>
      <w:r w:rsidRPr="00C85E6C">
        <w:t>judges</w:t>
      </w:r>
      <w:r w:rsidR="009345EA">
        <w:t xml:space="preserve"> </w:t>
      </w:r>
      <w:r w:rsidRPr="00C85E6C">
        <w:t>failed</w:t>
      </w:r>
      <w:r w:rsidR="009345EA">
        <w:t xml:space="preserve"> </w:t>
      </w:r>
      <w:r w:rsidRPr="00C85E6C">
        <w:t>to</w:t>
      </w:r>
      <w:r w:rsidR="009345EA">
        <w:t xml:space="preserve"> </w:t>
      </w:r>
      <w:r w:rsidRPr="00C85E6C">
        <w:t>acknowledge</w:t>
      </w:r>
      <w:r w:rsidR="009345EA">
        <w:t xml:space="preserve"> </w:t>
      </w:r>
      <w:r w:rsidRPr="00C85E6C">
        <w:t>her</w:t>
      </w:r>
      <w:r w:rsidR="009345EA">
        <w:t xml:space="preserve"> </w:t>
      </w:r>
      <w:r w:rsidRPr="00C85E6C">
        <w:t>vulnerability</w:t>
      </w:r>
      <w:r w:rsidR="009345EA">
        <w:t xml:space="preserve"> </w:t>
      </w:r>
      <w:r w:rsidRPr="00C85E6C">
        <w:t>as</w:t>
      </w:r>
      <w:r w:rsidR="009345EA">
        <w:t xml:space="preserve"> </w:t>
      </w:r>
      <w:r w:rsidRPr="00C85E6C">
        <w:t>a</w:t>
      </w:r>
      <w:r w:rsidR="009345EA">
        <w:t xml:space="preserve"> </w:t>
      </w:r>
      <w:r w:rsidRPr="00C85E6C">
        <w:t>minor</w:t>
      </w:r>
      <w:r w:rsidR="009345EA">
        <w:t xml:space="preserve"> </w:t>
      </w:r>
      <w:r w:rsidRPr="00C85E6C">
        <w:t>member</w:t>
      </w:r>
      <w:r w:rsidR="009345EA">
        <w:t xml:space="preserve"> </w:t>
      </w:r>
      <w:r w:rsidRPr="00C85E6C">
        <w:t>of</w:t>
      </w:r>
      <w:r w:rsidR="009345EA">
        <w:t xml:space="preserve"> </w:t>
      </w:r>
      <w:r w:rsidRPr="00C85E6C">
        <w:t>an</w:t>
      </w:r>
      <w:r w:rsidR="009345EA">
        <w:t xml:space="preserve"> </w:t>
      </w:r>
      <w:r w:rsidRPr="00C85E6C">
        <w:t>ethnic</w:t>
      </w:r>
      <w:r w:rsidR="009345EA">
        <w:t xml:space="preserve"> </w:t>
      </w:r>
      <w:r w:rsidRPr="00C85E6C">
        <w:t>minority,</w:t>
      </w:r>
      <w:r w:rsidR="009345EA">
        <w:t xml:space="preserve"> </w:t>
      </w:r>
      <w:r w:rsidRPr="00C85E6C">
        <w:t>(c)</w:t>
      </w:r>
      <w:r w:rsidR="009345EA">
        <w:t xml:space="preserve"> </w:t>
      </w:r>
      <w:r w:rsidRPr="00C85E6C">
        <w:t>one</w:t>
      </w:r>
      <w:r w:rsidR="009345EA">
        <w:t xml:space="preserve"> </w:t>
      </w:r>
      <w:r w:rsidRPr="00C85E6C">
        <w:t>of</w:t>
      </w:r>
      <w:r w:rsidR="009345EA">
        <w:t xml:space="preserve"> </w:t>
      </w:r>
      <w:r w:rsidRPr="00C85E6C">
        <w:t>the</w:t>
      </w:r>
      <w:r w:rsidR="009345EA">
        <w:t xml:space="preserve"> </w:t>
      </w:r>
      <w:r w:rsidRPr="00C85E6C">
        <w:t>judges</w:t>
      </w:r>
      <w:r w:rsidR="009345EA">
        <w:t xml:space="preserve"> </w:t>
      </w:r>
      <w:r w:rsidRPr="00C85E6C">
        <w:t>acquiesced</w:t>
      </w:r>
      <w:r w:rsidR="009345EA">
        <w:t xml:space="preserve"> </w:t>
      </w:r>
      <w:r w:rsidRPr="00C85E6C">
        <w:t>to</w:t>
      </w:r>
      <w:r w:rsidR="009345EA">
        <w:t xml:space="preserve"> </w:t>
      </w:r>
      <w:r w:rsidRPr="00C85E6C">
        <w:t>manifestly</w:t>
      </w:r>
      <w:r w:rsidR="009345EA">
        <w:t xml:space="preserve"> </w:t>
      </w:r>
      <w:r w:rsidRPr="00C85E6C">
        <w:t>unfounded</w:t>
      </w:r>
      <w:r w:rsidR="009345EA">
        <w:t xml:space="preserve"> </w:t>
      </w:r>
      <w:r w:rsidRPr="00C85E6C">
        <w:t>claims</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a</w:t>
      </w:r>
      <w:r w:rsidR="009345EA">
        <w:t xml:space="preserve"> </w:t>
      </w:r>
      <w:r w:rsidRPr="00C85E6C">
        <w:t>professional</w:t>
      </w:r>
      <w:r w:rsidR="009345EA">
        <w:t xml:space="preserve"> </w:t>
      </w:r>
      <w:r w:rsidRPr="00C85E6C">
        <w:t>prostitute</w:t>
      </w:r>
      <w:r w:rsidR="009345EA">
        <w:t xml:space="preserve"> </w:t>
      </w:r>
      <w:r w:rsidRPr="00C85E6C">
        <w:t>and</w:t>
      </w:r>
      <w:r w:rsidR="009345EA">
        <w:t xml:space="preserve"> </w:t>
      </w:r>
      <w:r w:rsidRPr="00C85E6C">
        <w:lastRenderedPageBreak/>
        <w:t>(d)</w:t>
      </w:r>
      <w:r w:rsidR="009345EA">
        <w:t xml:space="preserve"> </w:t>
      </w:r>
      <w:r w:rsidRPr="00C85E6C">
        <w:t>the</w:t>
      </w:r>
      <w:r w:rsidR="009345EA">
        <w:t xml:space="preserve"> </w:t>
      </w:r>
      <w:r w:rsidRPr="00C85E6C">
        <w:t>delays</w:t>
      </w:r>
      <w:r w:rsidR="009345EA">
        <w:t xml:space="preserve"> </w:t>
      </w:r>
      <w:r w:rsidRPr="00C85E6C">
        <w:t>in</w:t>
      </w:r>
      <w:r w:rsidR="009345EA">
        <w:t xml:space="preserve"> </w:t>
      </w:r>
      <w:r w:rsidRPr="00C85E6C">
        <w:t>investigation</w:t>
      </w:r>
      <w:r w:rsidR="009345EA">
        <w:t xml:space="preserve"> </w:t>
      </w:r>
      <w:r w:rsidRPr="00C85E6C">
        <w:t>and</w:t>
      </w:r>
      <w:r w:rsidR="009345EA">
        <w:t xml:space="preserve"> </w:t>
      </w:r>
      <w:r w:rsidRPr="00C85E6C">
        <w:t>prosecution</w:t>
      </w:r>
      <w:r w:rsidR="009345EA">
        <w:t xml:space="preserve"> </w:t>
      </w:r>
      <w:r w:rsidRPr="00C85E6C">
        <w:t>have</w:t>
      </w:r>
      <w:r w:rsidR="009345EA">
        <w:t xml:space="preserve"> </w:t>
      </w:r>
      <w:r w:rsidRPr="00C85E6C">
        <w:t>been</w:t>
      </w:r>
      <w:r w:rsidR="009345EA">
        <w:t xml:space="preserve"> </w:t>
      </w:r>
      <w:r w:rsidRPr="00C85E6C">
        <w:t>unduly</w:t>
      </w:r>
      <w:r w:rsidR="009345EA">
        <w:t xml:space="preserve"> </w:t>
      </w:r>
      <w:r w:rsidRPr="00C85E6C">
        <w:t>prolonged.</w:t>
      </w:r>
      <w:r w:rsidRPr="00D06B7B">
        <w:rPr>
          <w:rStyle w:val="FootnoteReference"/>
        </w:rPr>
        <w:footnoteReference w:id="21"/>
      </w:r>
      <w:r w:rsidR="009345EA">
        <w:t xml:space="preserve"> </w:t>
      </w:r>
      <w:r w:rsidRPr="00C85E6C">
        <w:t>Since</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failed</w:t>
      </w:r>
      <w:r w:rsidR="009345EA">
        <w:t xml:space="preserve"> </w:t>
      </w:r>
      <w:r w:rsidRPr="00C85E6C">
        <w:t>to</w:t>
      </w:r>
      <w:r w:rsidR="009345EA">
        <w:t xml:space="preserve"> </w:t>
      </w:r>
      <w:r w:rsidRPr="00C85E6C">
        <w:t>protect</w:t>
      </w:r>
      <w:r w:rsidR="009345EA">
        <w:t xml:space="preserve"> </w:t>
      </w:r>
      <w:r w:rsidRPr="00C85E6C">
        <w:t>the</w:t>
      </w:r>
      <w:r w:rsidR="009345EA">
        <w:t xml:space="preserve"> </w:t>
      </w:r>
      <w:r w:rsidRPr="00C85E6C">
        <w:t>author</w:t>
      </w:r>
      <w:r w:rsidR="009345EA">
        <w:t xml:space="preserve"> </w:t>
      </w:r>
      <w:r w:rsidRPr="00C85E6C">
        <w:t>against,</w:t>
      </w:r>
      <w:r w:rsidR="009345EA">
        <w:t xml:space="preserve"> </w:t>
      </w:r>
      <w:r w:rsidRPr="00C85E6C">
        <w:t>or</w:t>
      </w:r>
      <w:r w:rsidR="009345EA">
        <w:t xml:space="preserve"> </w:t>
      </w:r>
      <w:r w:rsidRPr="00C85E6C">
        <w:t>adequately</w:t>
      </w:r>
      <w:r w:rsidR="009345EA">
        <w:t xml:space="preserve"> </w:t>
      </w:r>
      <w:r w:rsidRPr="00C85E6C">
        <w:t>respond</w:t>
      </w:r>
      <w:r w:rsidR="009345EA">
        <w:t xml:space="preserve"> </w:t>
      </w:r>
      <w:r w:rsidRPr="00C85E6C">
        <w:t>to,</w:t>
      </w:r>
      <w:r w:rsidR="009345EA">
        <w:t xml:space="preserve"> </w:t>
      </w:r>
      <w:r w:rsidRPr="00C85E6C">
        <w:t>the</w:t>
      </w:r>
      <w:r w:rsidR="009345EA">
        <w:t xml:space="preserve"> </w:t>
      </w:r>
      <w:r w:rsidRPr="00C85E6C">
        <w:t>rape,</w:t>
      </w:r>
      <w:r w:rsidR="009345EA">
        <w:t xml:space="preserve"> </w:t>
      </w:r>
      <w:r w:rsidRPr="00C85E6C">
        <w:t>the</w:t>
      </w:r>
      <w:r w:rsidR="009345EA">
        <w:t xml:space="preserve"> </w:t>
      </w:r>
      <w:r w:rsidRPr="00C85E6C">
        <w:t>Committee</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claims</w:t>
      </w:r>
      <w:r w:rsidR="009345EA">
        <w:t xml:space="preserve"> </w:t>
      </w:r>
      <w:r w:rsidRPr="00C85E6C">
        <w:t>of</w:t>
      </w:r>
      <w:r w:rsidR="009345EA">
        <w:t xml:space="preserve"> </w:t>
      </w:r>
      <w:r w:rsidRPr="00C85E6C">
        <w:t>a</w:t>
      </w:r>
      <w:r w:rsidR="009345EA">
        <w:t xml:space="preserve"> </w:t>
      </w:r>
      <w:r w:rsidRPr="00C85E6C">
        <w:t>violation</w:t>
      </w:r>
      <w:r w:rsidR="009345EA">
        <w:t xml:space="preserve"> </w:t>
      </w:r>
      <w:r w:rsidRPr="00C85E6C">
        <w:t>of</w:t>
      </w:r>
      <w:r w:rsidR="009345EA">
        <w:t xml:space="preserve"> </w:t>
      </w:r>
      <w:r w:rsidRPr="00C85E6C">
        <w:t>article</w:t>
      </w:r>
      <w:r w:rsidR="009345EA">
        <w:t xml:space="preserve"> </w:t>
      </w:r>
      <w:r w:rsidRPr="00C85E6C">
        <w:t>7,</w:t>
      </w:r>
      <w:r w:rsidR="009345EA">
        <w:t xml:space="preserve"> </w:t>
      </w:r>
      <w:r w:rsidRPr="00C85E6C">
        <w:t>read</w:t>
      </w:r>
      <w:r w:rsidR="009345EA">
        <w:t xml:space="preserve"> </w:t>
      </w:r>
      <w:r w:rsidRPr="00C85E6C">
        <w:t>alone</w:t>
      </w:r>
      <w:r w:rsidR="009345EA">
        <w:t xml:space="preserve"> </w:t>
      </w:r>
      <w:r w:rsidRPr="00C85E6C">
        <w:t>and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are</w:t>
      </w:r>
      <w:r w:rsidR="009345EA">
        <w:t xml:space="preserve"> </w:t>
      </w:r>
      <w:r w:rsidRPr="00C85E6C">
        <w:t>sufficiently</w:t>
      </w:r>
      <w:r w:rsidR="009345EA">
        <w:t xml:space="preserve"> </w:t>
      </w:r>
      <w:r w:rsidRPr="00C85E6C">
        <w:t>substantiated</w:t>
      </w:r>
      <w:r w:rsidR="009345EA">
        <w:t xml:space="preserve"> </w:t>
      </w:r>
      <w:r w:rsidRPr="00C85E6C">
        <w:t>for</w:t>
      </w:r>
      <w:r w:rsidR="009345EA">
        <w:t xml:space="preserve"> </w:t>
      </w:r>
      <w:r w:rsidRPr="00C85E6C">
        <w:t>purposes</w:t>
      </w:r>
      <w:r w:rsidR="009345EA">
        <w:t xml:space="preserve"> </w:t>
      </w:r>
      <w:r w:rsidRPr="00C85E6C">
        <w:t>of</w:t>
      </w:r>
      <w:r w:rsidR="009345EA">
        <w:t xml:space="preserve"> </w:t>
      </w:r>
      <w:r w:rsidRPr="00C85E6C">
        <w:t>admissibility.</w:t>
      </w:r>
      <w:r w:rsidR="009345EA">
        <w:t xml:space="preserve"> </w:t>
      </w:r>
    </w:p>
    <w:p w:rsidR="00D06B7B" w:rsidRPr="00C85E6C" w:rsidRDefault="00D06B7B" w:rsidP="00FF3573">
      <w:pPr>
        <w:pStyle w:val="SingleTxtG"/>
      </w:pPr>
      <w:r w:rsidRPr="00C85E6C">
        <w:t>6.5</w:t>
      </w:r>
      <w:r w:rsidRPr="00C85E6C">
        <w:tab/>
        <w:t>As</w:t>
      </w:r>
      <w:r w:rsidR="009345EA">
        <w:t xml:space="preserve"> </w:t>
      </w:r>
      <w:r w:rsidRPr="00C85E6C">
        <w:t>regards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allegations</w:t>
      </w:r>
      <w:r w:rsidR="009345EA">
        <w:t xml:space="preserve"> </w:t>
      </w:r>
      <w:r w:rsidRPr="00C85E6C">
        <w:t>related</w:t>
      </w:r>
      <w:r w:rsidR="009345EA">
        <w:t xml:space="preserve"> </w:t>
      </w:r>
      <w:r w:rsidRPr="00C85E6C">
        <w:t>to</w:t>
      </w:r>
      <w:r w:rsidR="009345EA">
        <w:t xml:space="preserve"> </w:t>
      </w:r>
      <w:r w:rsidRPr="00C85E6C">
        <w:t>article</w:t>
      </w:r>
      <w:r w:rsidR="009345EA">
        <w:t xml:space="preserve"> </w:t>
      </w:r>
      <w:r w:rsidRPr="00C85E6C">
        <w:t>24</w:t>
      </w:r>
      <w:r w:rsidR="009345EA">
        <w:t xml:space="preserve"> </w:t>
      </w:r>
      <w:r w:rsidRPr="00C85E6C">
        <w:t>(1)</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according</w:t>
      </w:r>
      <w:r w:rsidR="009345EA">
        <w:t xml:space="preserve"> </w:t>
      </w:r>
      <w:r w:rsidRPr="00C85E6C">
        <w:t>to</w:t>
      </w:r>
      <w:r w:rsidR="009345EA">
        <w:t xml:space="preserve"> </w:t>
      </w:r>
      <w:r w:rsidRPr="00C85E6C">
        <w:t>the</w:t>
      </w:r>
      <w:r w:rsidR="009345EA">
        <w:t xml:space="preserve"> </w:t>
      </w:r>
      <w:r w:rsidRPr="00C85E6C">
        <w:t>author,</w:t>
      </w:r>
      <w:r w:rsidR="009345EA">
        <w:t xml:space="preserve"> </w:t>
      </w:r>
      <w:r w:rsidRPr="00C85E6C">
        <w:t>no</w:t>
      </w:r>
      <w:r w:rsidR="009345EA">
        <w:t xml:space="preserve"> </w:t>
      </w:r>
      <w:r w:rsidRPr="00C85E6C">
        <w:t>mention</w:t>
      </w:r>
      <w:r w:rsidR="009345EA">
        <w:t xml:space="preserve"> </w:t>
      </w:r>
      <w:r w:rsidRPr="00C85E6C">
        <w:t>was</w:t>
      </w:r>
      <w:r w:rsidR="009345EA">
        <w:t xml:space="preserve"> </w:t>
      </w:r>
      <w:r w:rsidRPr="00C85E6C">
        <w:t>made</w:t>
      </w:r>
      <w:r w:rsidR="009345EA">
        <w:t xml:space="preserve"> </w:t>
      </w:r>
      <w:r w:rsidRPr="00C85E6C">
        <w:t>during</w:t>
      </w:r>
      <w:r w:rsidR="009345EA">
        <w:t xml:space="preserve"> </w:t>
      </w:r>
      <w:r w:rsidRPr="00C85E6C">
        <w:t>the</w:t>
      </w:r>
      <w:r w:rsidR="009345EA">
        <w:t xml:space="preserve"> </w:t>
      </w:r>
      <w:r w:rsidRPr="00C85E6C">
        <w:t>proceedings</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a</w:t>
      </w:r>
      <w:r w:rsidR="009345EA">
        <w:t xml:space="preserve"> </w:t>
      </w:r>
      <w:r w:rsidRPr="00C85E6C">
        <w:t>minor</w:t>
      </w:r>
      <w:r w:rsidR="009345EA">
        <w:t xml:space="preserve"> </w:t>
      </w:r>
      <w:r w:rsidRPr="00C85E6C">
        <w:t>when</w:t>
      </w:r>
      <w:r w:rsidR="009345EA">
        <w:t xml:space="preserve"> </w:t>
      </w:r>
      <w:r w:rsidRPr="00C85E6C">
        <w:t>she</w:t>
      </w:r>
      <w:r w:rsidR="009345EA">
        <w:t xml:space="preserve"> </w:t>
      </w:r>
      <w:r w:rsidRPr="00C85E6C">
        <w:t>was</w:t>
      </w:r>
      <w:r w:rsidR="009345EA">
        <w:t xml:space="preserve"> </w:t>
      </w:r>
      <w:r w:rsidRPr="00C85E6C">
        <w:t>raped,</w:t>
      </w:r>
      <w:r w:rsidR="009345EA">
        <w:t xml:space="preserve"> </w:t>
      </w:r>
      <w:r w:rsidRPr="00C85E6C">
        <w:t>and</w:t>
      </w:r>
      <w:r w:rsidR="009345EA">
        <w:t xml:space="preserve"> </w:t>
      </w:r>
      <w:r w:rsidRPr="00C85E6C">
        <w:t>that</w:t>
      </w:r>
      <w:r w:rsidR="009345EA">
        <w:t xml:space="preserve"> </w:t>
      </w:r>
      <w:r w:rsidRPr="00C85E6C">
        <w:t>the</w:t>
      </w:r>
      <w:r w:rsidR="009345EA">
        <w:t xml:space="preserve"> </w:t>
      </w:r>
      <w:r w:rsidRPr="00C85E6C">
        <w:t>authorities</w:t>
      </w:r>
      <w:r w:rsidR="009345EA">
        <w:t xml:space="preserve"> </w:t>
      </w:r>
      <w:r w:rsidRPr="00C85E6C">
        <w:t>of</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failed</w:t>
      </w:r>
      <w:r w:rsidR="009345EA">
        <w:t xml:space="preserve"> </w:t>
      </w:r>
      <w:r w:rsidRPr="00C85E6C">
        <w:t>to</w:t>
      </w:r>
      <w:r w:rsidR="009345EA">
        <w:t xml:space="preserve"> </w:t>
      </w:r>
      <w:r w:rsidRPr="00C85E6C">
        <w:t>acknowledge</w:t>
      </w:r>
      <w:r w:rsidR="009345EA">
        <w:t xml:space="preserve"> </w:t>
      </w:r>
      <w:r w:rsidRPr="00C85E6C">
        <w:t>her</w:t>
      </w:r>
      <w:r w:rsidR="009345EA">
        <w:t xml:space="preserve"> </w:t>
      </w:r>
      <w:r w:rsidRPr="00C85E6C">
        <w:t>vulnerability</w:t>
      </w:r>
      <w:r w:rsidR="009345EA">
        <w:t xml:space="preserve"> </w:t>
      </w:r>
      <w:r w:rsidRPr="00C85E6C">
        <w:t>as</w:t>
      </w:r>
      <w:r w:rsidR="009345EA">
        <w:t xml:space="preserve"> </w:t>
      </w:r>
      <w:r w:rsidRPr="00C85E6C">
        <w:t>a</w:t>
      </w:r>
      <w:r w:rsidR="009345EA">
        <w:t xml:space="preserve"> </w:t>
      </w:r>
      <w:r w:rsidRPr="00C85E6C">
        <w:t>minor.</w:t>
      </w:r>
      <w:r w:rsidR="009345EA">
        <w:t xml:space="preserve"> </w:t>
      </w:r>
      <w:r w:rsidRPr="00C85E6C">
        <w:t>Nonetheless,</w:t>
      </w:r>
      <w:r w:rsidR="009345EA">
        <w:t xml:space="preserve"> </w:t>
      </w:r>
      <w:r w:rsidRPr="00C85E6C">
        <w:t>the</w:t>
      </w:r>
      <w:r w:rsidR="009345EA">
        <w:t xml:space="preserve"> </w:t>
      </w:r>
      <w:r w:rsidRPr="00C85E6C">
        <w:t>Committee</w:t>
      </w:r>
      <w:r w:rsidR="009345EA">
        <w:t xml:space="preserve"> </w:t>
      </w:r>
      <w:r w:rsidRPr="00C85E6C">
        <w:t>also</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failed</w:t>
      </w:r>
      <w:r w:rsidR="009345EA">
        <w:t xml:space="preserve"> </w:t>
      </w:r>
      <w:r w:rsidRPr="00C85E6C">
        <w:t>to</w:t>
      </w:r>
      <w:r w:rsidR="009345EA">
        <w:t xml:space="preserve"> </w:t>
      </w:r>
      <w:r w:rsidRPr="00C85E6C">
        <w:t>sufficiently</w:t>
      </w:r>
      <w:r w:rsidR="009345EA">
        <w:t xml:space="preserve"> </w:t>
      </w:r>
      <w:r w:rsidRPr="00C85E6C">
        <w:t>substantiate</w:t>
      </w:r>
      <w:r w:rsidR="009345EA">
        <w:t xml:space="preserve"> </w:t>
      </w:r>
      <w:r w:rsidRPr="00C85E6C">
        <w:t>the</w:t>
      </w:r>
      <w:r w:rsidR="009345EA">
        <w:t xml:space="preserve"> </w:t>
      </w:r>
      <w:r w:rsidRPr="00C85E6C">
        <w:t>special</w:t>
      </w:r>
      <w:r w:rsidR="009345EA">
        <w:t xml:space="preserve"> </w:t>
      </w:r>
      <w:r w:rsidRPr="00C85E6C">
        <w:t>care</w:t>
      </w:r>
      <w:r w:rsidR="009345EA">
        <w:t xml:space="preserve"> </w:t>
      </w:r>
      <w:r w:rsidRPr="00C85E6C">
        <w:t>that</w:t>
      </w:r>
      <w:r w:rsidR="009345EA">
        <w:t xml:space="preserve"> </w:t>
      </w:r>
      <w:r w:rsidRPr="00C85E6C">
        <w:t>she</w:t>
      </w:r>
      <w:r w:rsidR="009345EA">
        <w:t xml:space="preserve"> </w:t>
      </w:r>
      <w:r w:rsidRPr="00C85E6C">
        <w:t>should</w:t>
      </w:r>
      <w:r w:rsidR="009345EA">
        <w:t xml:space="preserve"> </w:t>
      </w:r>
      <w:r w:rsidRPr="00C85E6C">
        <w:t>have</w:t>
      </w:r>
      <w:r w:rsidR="009345EA">
        <w:t xml:space="preserve"> </w:t>
      </w:r>
      <w:r w:rsidRPr="00C85E6C">
        <w:t>been</w:t>
      </w:r>
      <w:r w:rsidR="009345EA">
        <w:t xml:space="preserve"> </w:t>
      </w:r>
      <w:r w:rsidRPr="00C85E6C">
        <w:t>provided</w:t>
      </w:r>
      <w:r w:rsidR="009345EA">
        <w:t xml:space="preserve"> </w:t>
      </w:r>
      <w:r w:rsidRPr="00C85E6C">
        <w:t>by</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as</w:t>
      </w:r>
      <w:r w:rsidR="009345EA">
        <w:t xml:space="preserve"> </w:t>
      </w:r>
      <w:r w:rsidRPr="00C85E6C">
        <w:t>a</w:t>
      </w:r>
      <w:r w:rsidR="009345EA">
        <w:t xml:space="preserve"> </w:t>
      </w:r>
      <w:r w:rsidRPr="00C85E6C">
        <w:t>minor,</w:t>
      </w:r>
      <w:r w:rsidR="009345EA">
        <w:t xml:space="preserve"> </w:t>
      </w:r>
      <w:r w:rsidRPr="00C85E6C">
        <w:t>while</w:t>
      </w:r>
      <w:r w:rsidR="009345EA">
        <w:t xml:space="preserve"> </w:t>
      </w:r>
      <w:r w:rsidRPr="00C85E6C">
        <w:t>taking</w:t>
      </w:r>
      <w:r w:rsidR="009345EA">
        <w:t xml:space="preserve"> </w:t>
      </w:r>
      <w:r w:rsidRPr="00C85E6C">
        <w:t>into</w:t>
      </w:r>
      <w:r w:rsidR="009345EA">
        <w:t xml:space="preserve"> </w:t>
      </w:r>
      <w:r w:rsidRPr="00C85E6C">
        <w:t>account</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represented</w:t>
      </w:r>
      <w:r w:rsidR="009345EA">
        <w:t xml:space="preserve"> </w:t>
      </w:r>
      <w:r w:rsidRPr="00C85E6C">
        <w:t>by</w:t>
      </w:r>
      <w:r w:rsidR="009345EA">
        <w:t xml:space="preserve"> </w:t>
      </w:r>
      <w:r w:rsidRPr="00C85E6C">
        <w:t>a</w:t>
      </w:r>
      <w:r w:rsidR="009345EA">
        <w:t xml:space="preserve"> </w:t>
      </w:r>
      <w:r w:rsidRPr="00C85E6C">
        <w:t>counsel</w:t>
      </w:r>
      <w:r w:rsidR="009345EA">
        <w:t xml:space="preserve"> </w:t>
      </w:r>
      <w:r w:rsidRPr="00C85E6C">
        <w:t>during</w:t>
      </w:r>
      <w:r w:rsidR="009345EA">
        <w:t xml:space="preserve"> </w:t>
      </w:r>
      <w:r w:rsidRPr="00C85E6C">
        <w:t>the</w:t>
      </w:r>
      <w:r w:rsidR="009345EA">
        <w:t xml:space="preserve"> </w:t>
      </w:r>
      <w:r w:rsidRPr="00C85E6C">
        <w:t>investigation</w:t>
      </w:r>
      <w:r w:rsidR="009345EA">
        <w:t xml:space="preserve"> </w:t>
      </w:r>
      <w:r w:rsidRPr="00C85E6C">
        <w:t>and</w:t>
      </w:r>
      <w:r w:rsidR="009345EA">
        <w:t xml:space="preserve"> </w:t>
      </w:r>
      <w:r w:rsidRPr="00C85E6C">
        <w:t>court</w:t>
      </w:r>
      <w:r w:rsidR="009345EA">
        <w:t xml:space="preserve"> </w:t>
      </w:r>
      <w:r w:rsidRPr="00C85E6C">
        <w:t>proceedings</w:t>
      </w:r>
      <w:r w:rsidR="009345EA">
        <w:t xml:space="preserve"> </w:t>
      </w:r>
      <w:r w:rsidRPr="00C85E6C">
        <w:t>and</w:t>
      </w:r>
      <w:r w:rsidR="009345EA">
        <w:t xml:space="preserve"> </w:t>
      </w:r>
      <w:r w:rsidRPr="00C85E6C">
        <w:t>that</w:t>
      </w:r>
      <w:r w:rsidR="009345EA">
        <w:t xml:space="preserve"> </w:t>
      </w:r>
      <w:r w:rsidRPr="00C85E6C">
        <w:t>she</w:t>
      </w:r>
      <w:r w:rsidR="009345EA">
        <w:t xml:space="preserve"> </w:t>
      </w:r>
      <w:r w:rsidRPr="00C85E6C">
        <w:t>became</w:t>
      </w:r>
      <w:r w:rsidR="009345EA">
        <w:t xml:space="preserve"> </w:t>
      </w:r>
      <w:r w:rsidRPr="00C85E6C">
        <w:t>an</w:t>
      </w:r>
      <w:r w:rsidR="009345EA">
        <w:t xml:space="preserve"> </w:t>
      </w:r>
      <w:r w:rsidRPr="00C85E6C">
        <w:t>adult</w:t>
      </w:r>
      <w:r w:rsidR="009345EA">
        <w:t xml:space="preserve"> </w:t>
      </w:r>
      <w:r w:rsidRPr="00C85E6C">
        <w:t>14</w:t>
      </w:r>
      <w:r w:rsidR="009345EA">
        <w:t xml:space="preserve"> </w:t>
      </w:r>
      <w:r w:rsidRPr="00C85E6C">
        <w:t>days</w:t>
      </w:r>
      <w:r w:rsidR="009345EA">
        <w:t xml:space="preserve"> </w:t>
      </w:r>
      <w:r w:rsidRPr="00C85E6C">
        <w:t>after</w:t>
      </w:r>
      <w:r w:rsidR="009345EA">
        <w:t xml:space="preserve"> </w:t>
      </w:r>
      <w:r w:rsidRPr="00C85E6C">
        <w:t>the</w:t>
      </w:r>
      <w:r w:rsidR="009345EA">
        <w:t xml:space="preserve"> </w:t>
      </w:r>
      <w:r w:rsidRPr="00C85E6C">
        <w:t>beginning</w:t>
      </w:r>
      <w:r w:rsidR="009345EA">
        <w:t xml:space="preserve"> </w:t>
      </w:r>
      <w:r w:rsidRPr="00C85E6C">
        <w:t>of</w:t>
      </w:r>
      <w:r w:rsidR="009345EA">
        <w:t xml:space="preserve"> </w:t>
      </w:r>
      <w:r w:rsidRPr="00C85E6C">
        <w:t>the</w:t>
      </w:r>
      <w:r w:rsidR="009345EA">
        <w:t xml:space="preserve"> </w:t>
      </w:r>
      <w:r w:rsidRPr="00C85E6C">
        <w:t>investigation</w:t>
      </w:r>
      <w:r w:rsidR="009345EA">
        <w:t xml:space="preserve"> </w:t>
      </w:r>
      <w:r w:rsidRPr="00C85E6C">
        <w:t>of</w:t>
      </w:r>
      <w:r w:rsidR="009345EA">
        <w:t xml:space="preserve"> </w:t>
      </w:r>
      <w:r w:rsidRPr="00C85E6C">
        <w:t>her</w:t>
      </w:r>
      <w:r w:rsidR="009345EA">
        <w:t xml:space="preserve"> </w:t>
      </w:r>
      <w:r w:rsidRPr="00C85E6C">
        <w:t>case.</w:t>
      </w:r>
      <w:r w:rsidR="009345EA">
        <w:t xml:space="preserve"> </w:t>
      </w:r>
      <w:r w:rsidRPr="00C85E6C">
        <w:t>Consequently,</w:t>
      </w:r>
      <w:r w:rsidR="009345EA">
        <w:t xml:space="preserve"> </w:t>
      </w:r>
      <w:r w:rsidRPr="00C85E6C">
        <w:t>the</w:t>
      </w:r>
      <w:r w:rsidR="009345EA">
        <w:t xml:space="preserve"> </w:t>
      </w:r>
      <w:r w:rsidRPr="00C85E6C">
        <w:t>part</w:t>
      </w:r>
      <w:r w:rsidR="009345EA">
        <w:t xml:space="preserve"> </w:t>
      </w:r>
      <w:r w:rsidRPr="00C85E6C">
        <w:t>of</w:t>
      </w:r>
      <w:r w:rsidR="009345EA">
        <w:t xml:space="preserve"> </w:t>
      </w:r>
      <w:r w:rsidRPr="00C85E6C">
        <w:t>the</w:t>
      </w:r>
      <w:r w:rsidR="009345EA">
        <w:t xml:space="preserve"> </w:t>
      </w:r>
      <w:r w:rsidRPr="00C85E6C">
        <w:t>complaint</w:t>
      </w:r>
      <w:r w:rsidR="009345EA">
        <w:t xml:space="preserve"> </w:t>
      </w:r>
      <w:r w:rsidRPr="00C85E6C">
        <w:t>referring</w:t>
      </w:r>
      <w:r w:rsidR="009345EA">
        <w:t xml:space="preserve"> </w:t>
      </w:r>
      <w:r w:rsidRPr="00C85E6C">
        <w:t>to</w:t>
      </w:r>
      <w:r w:rsidR="009345EA">
        <w:t xml:space="preserve"> </w:t>
      </w:r>
      <w:r w:rsidRPr="00C85E6C">
        <w:t>article</w:t>
      </w:r>
      <w:r w:rsidR="009345EA">
        <w:t xml:space="preserve"> </w:t>
      </w:r>
      <w:r w:rsidRPr="00C85E6C">
        <w:t>24,</w:t>
      </w:r>
      <w:r w:rsidR="009345EA">
        <w:t xml:space="preserve"> </w:t>
      </w:r>
      <w:r w:rsidRPr="00C85E6C">
        <w:t>read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is</w:t>
      </w:r>
      <w:r w:rsidR="009345EA">
        <w:t xml:space="preserve"> </w:t>
      </w:r>
      <w:r w:rsidRPr="00C85E6C">
        <w:t>declared</w:t>
      </w:r>
      <w:r w:rsidR="009345EA">
        <w:t xml:space="preserve"> </w:t>
      </w:r>
      <w:r w:rsidRPr="00C85E6C">
        <w:t>inadmissible</w:t>
      </w:r>
      <w:r w:rsidR="009345EA">
        <w:t xml:space="preserve"> </w:t>
      </w:r>
      <w:r w:rsidRPr="00C85E6C">
        <w:t>under</w:t>
      </w:r>
      <w:r w:rsidR="009345EA">
        <w:t xml:space="preserve"> </w:t>
      </w:r>
      <w:r w:rsidRPr="00C85E6C">
        <w:t>article</w:t>
      </w:r>
      <w:r w:rsidR="009345EA">
        <w:t xml:space="preserve"> </w:t>
      </w:r>
      <w:r w:rsidRPr="00C85E6C">
        <w:t>2</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p>
    <w:p w:rsidR="00D06B7B" w:rsidRPr="00C85E6C" w:rsidRDefault="00D06B7B" w:rsidP="00FF3573">
      <w:pPr>
        <w:pStyle w:val="SingleTxtG"/>
      </w:pPr>
      <w:r w:rsidRPr="00C85E6C">
        <w:t>6.6</w:t>
      </w:r>
      <w:r w:rsidRPr="00C85E6C">
        <w:tab/>
        <w:t>The</w:t>
      </w:r>
      <w:r w:rsidR="009345EA">
        <w:t xml:space="preserve"> </w:t>
      </w:r>
      <w:r w:rsidRPr="00C85E6C">
        <w:t>Committee</w:t>
      </w:r>
      <w:r w:rsidR="009345EA">
        <w:t xml:space="preserve"> </w:t>
      </w:r>
      <w:r w:rsidRPr="00C85E6C">
        <w:t>further</w:t>
      </w:r>
      <w:r w:rsidR="009345EA">
        <w:t xml:space="preserve"> </w:t>
      </w:r>
      <w:r w:rsidRPr="00C85E6C">
        <w:t>notes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violated</w:t>
      </w:r>
      <w:r w:rsidR="009345EA">
        <w:t xml:space="preserve"> </w:t>
      </w:r>
      <w:r w:rsidRPr="00C85E6C">
        <w:t>her</w:t>
      </w:r>
      <w:r w:rsidR="009345EA">
        <w:t xml:space="preserve"> </w:t>
      </w:r>
      <w:r w:rsidRPr="00C85E6C">
        <w:t>rights</w:t>
      </w:r>
      <w:r w:rsidR="009345EA">
        <w:t xml:space="preserve"> </w:t>
      </w:r>
      <w:r w:rsidRPr="00C85E6C">
        <w:t>under</w:t>
      </w:r>
      <w:r w:rsidR="009345EA">
        <w:t xml:space="preserve"> </w:t>
      </w:r>
      <w:r w:rsidRPr="00C85E6C">
        <w:t>articles</w:t>
      </w:r>
      <w:r w:rsidR="009345EA">
        <w:t xml:space="preserve"> </w:t>
      </w:r>
      <w:r w:rsidRPr="00C85E6C">
        <w:t>2</w:t>
      </w:r>
      <w:r w:rsidR="009345EA">
        <w:t xml:space="preserve"> </w:t>
      </w:r>
      <w:r w:rsidRPr="00C85E6C">
        <w:t>(1),</w:t>
      </w:r>
      <w:r w:rsidR="009345EA">
        <w:t xml:space="preserve"> </w:t>
      </w:r>
      <w:r w:rsidRPr="00C85E6C">
        <w:t>3</w:t>
      </w:r>
      <w:r w:rsidR="009345EA">
        <w:t xml:space="preserve"> </w:t>
      </w:r>
      <w:r w:rsidRPr="00C85E6C">
        <w:t>and</w:t>
      </w:r>
      <w:r w:rsidR="009345EA">
        <w:t xml:space="preserve"> </w:t>
      </w:r>
      <w:r w:rsidRPr="00C85E6C">
        <w:t>26</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not</w:t>
      </w:r>
      <w:r w:rsidR="009345EA">
        <w:t xml:space="preserve"> </w:t>
      </w:r>
      <w:r w:rsidRPr="00C85E6C">
        <w:t>to</w:t>
      </w:r>
      <w:r w:rsidR="009345EA">
        <w:t xml:space="preserve"> </w:t>
      </w:r>
      <w:r w:rsidRPr="00C85E6C">
        <w:t>be</w:t>
      </w:r>
      <w:r w:rsidR="009345EA">
        <w:t xml:space="preserve"> </w:t>
      </w:r>
      <w:r w:rsidRPr="00C85E6C">
        <w:t>subjected</w:t>
      </w:r>
      <w:r w:rsidR="009345EA">
        <w:t xml:space="preserve"> </w:t>
      </w:r>
      <w:r w:rsidRPr="00C85E6C">
        <w:t>to</w:t>
      </w:r>
      <w:r w:rsidR="009345EA">
        <w:t xml:space="preserve"> </w:t>
      </w:r>
      <w:r w:rsidRPr="00C85E6C">
        <w:t>discrimination</w:t>
      </w:r>
      <w:r w:rsidR="009345EA">
        <w:t xml:space="preserve"> </w:t>
      </w:r>
      <w:r w:rsidRPr="00C85E6C">
        <w:t>as</w:t>
      </w:r>
      <w:r w:rsidR="009345EA">
        <w:t xml:space="preserve"> </w:t>
      </w:r>
      <w:r w:rsidRPr="00C85E6C">
        <w:t>a</w:t>
      </w:r>
      <w:r w:rsidR="009345EA">
        <w:t xml:space="preserve"> </w:t>
      </w:r>
      <w:r w:rsidRPr="00C85E6C">
        <w:t>Tamil</w:t>
      </w:r>
      <w:r w:rsidR="009345EA">
        <w:t xml:space="preserve"> </w:t>
      </w:r>
      <w:r w:rsidRPr="00C85E6C">
        <w:t>woman.</w:t>
      </w:r>
      <w:r w:rsidR="009345EA">
        <w:t xml:space="preserve"> </w:t>
      </w:r>
      <w:r w:rsidRPr="00C85E6C">
        <w:t>The</w:t>
      </w:r>
      <w:r w:rsidR="009345EA">
        <w:t xml:space="preserve"> </w:t>
      </w:r>
      <w:r w:rsidRPr="00C85E6C">
        <w:t>Committee</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sufficiently</w:t>
      </w:r>
      <w:r w:rsidR="009345EA">
        <w:t xml:space="preserve"> </w:t>
      </w:r>
      <w:r w:rsidRPr="00C85E6C">
        <w:t>substantiated</w:t>
      </w:r>
      <w:r w:rsidR="009345EA">
        <w:t xml:space="preserve"> </w:t>
      </w:r>
      <w:r w:rsidRPr="00C85E6C">
        <w:t>this</w:t>
      </w:r>
      <w:r w:rsidR="009345EA">
        <w:t xml:space="preserve"> </w:t>
      </w:r>
      <w:r w:rsidRPr="00C85E6C">
        <w:t>claim</w:t>
      </w:r>
      <w:r w:rsidR="009345EA">
        <w:t xml:space="preserve"> </w:t>
      </w:r>
      <w:r w:rsidRPr="00C85E6C">
        <w:t>for</w:t>
      </w:r>
      <w:r w:rsidR="009345EA">
        <w:t xml:space="preserve"> </w:t>
      </w:r>
      <w:r w:rsidRPr="00C85E6C">
        <w:t>purposes</w:t>
      </w:r>
      <w:r w:rsidR="009345EA">
        <w:t xml:space="preserve"> </w:t>
      </w:r>
      <w:r w:rsidRPr="00C85E6C">
        <w:t>of</w:t>
      </w:r>
      <w:r w:rsidR="009345EA">
        <w:t xml:space="preserve"> </w:t>
      </w:r>
      <w:r w:rsidRPr="00C85E6C">
        <w:t>admissibility</w:t>
      </w:r>
      <w:r w:rsidR="009345EA">
        <w:t xml:space="preserve"> </w:t>
      </w:r>
      <w:r w:rsidRPr="00C85E6C">
        <w:t>and</w:t>
      </w:r>
      <w:r w:rsidR="009345EA">
        <w:t xml:space="preserve"> </w:t>
      </w:r>
      <w:r w:rsidRPr="00C85E6C">
        <w:t>declares</w:t>
      </w:r>
      <w:r w:rsidR="009345EA">
        <w:t xml:space="preserve"> </w:t>
      </w:r>
      <w:r w:rsidRPr="00C85E6C">
        <w:t>it</w:t>
      </w:r>
      <w:r w:rsidR="009345EA">
        <w:t xml:space="preserve"> </w:t>
      </w:r>
      <w:r w:rsidRPr="00C85E6C">
        <w:t>admissible</w:t>
      </w:r>
      <w:r w:rsidR="009345EA">
        <w:t xml:space="preserve"> </w:t>
      </w:r>
      <w:r w:rsidRPr="00C85E6C">
        <w:t>insofar</w:t>
      </w:r>
      <w:r w:rsidR="009345EA">
        <w:t xml:space="preserve"> </w:t>
      </w:r>
      <w:r w:rsidRPr="00C85E6C">
        <w:t>as</w:t>
      </w:r>
      <w:r w:rsidR="009345EA">
        <w:t xml:space="preserve"> </w:t>
      </w:r>
      <w:r w:rsidRPr="00C85E6C">
        <w:t>it</w:t>
      </w:r>
      <w:r w:rsidR="009345EA">
        <w:t xml:space="preserve"> </w:t>
      </w:r>
      <w:r w:rsidRPr="00C85E6C">
        <w:t>raises</w:t>
      </w:r>
      <w:r w:rsidR="009345EA">
        <w:t xml:space="preserve"> </w:t>
      </w:r>
      <w:r w:rsidRPr="00C85E6C">
        <w:t>issues</w:t>
      </w:r>
      <w:r w:rsidR="009345EA">
        <w:t xml:space="preserve"> </w:t>
      </w:r>
      <w:r w:rsidRPr="00C85E6C">
        <w:t>under</w:t>
      </w:r>
      <w:r w:rsidR="009345EA">
        <w:t xml:space="preserve"> </w:t>
      </w:r>
      <w:r w:rsidRPr="00C85E6C">
        <w:t>article</w:t>
      </w:r>
      <w:r w:rsidR="009345EA">
        <w:t xml:space="preserve"> </w:t>
      </w:r>
      <w:r w:rsidRPr="00C85E6C">
        <w:t>26.</w:t>
      </w:r>
      <w:r w:rsidR="009345EA">
        <w:t xml:space="preserve"> </w:t>
      </w:r>
      <w:r w:rsidRPr="00C85E6C">
        <w:t>As</w:t>
      </w:r>
      <w:r w:rsidR="009345EA">
        <w:t xml:space="preserve"> </w:t>
      </w:r>
      <w:r w:rsidRPr="00C85E6C">
        <w:t>no</w:t>
      </w:r>
      <w:r w:rsidR="009345EA">
        <w:t xml:space="preserve"> </w:t>
      </w:r>
      <w:r w:rsidRPr="00C85E6C">
        <w:t>separate</w:t>
      </w:r>
      <w:r w:rsidR="009345EA">
        <w:t xml:space="preserve"> </w:t>
      </w:r>
      <w:r w:rsidRPr="00C85E6C">
        <w:t>issue</w:t>
      </w:r>
      <w:r w:rsidR="009345EA">
        <w:t xml:space="preserve"> </w:t>
      </w:r>
      <w:r w:rsidRPr="00C85E6C">
        <w:t>arises</w:t>
      </w:r>
      <w:r w:rsidR="009345EA">
        <w:t xml:space="preserve"> </w:t>
      </w:r>
      <w:r w:rsidRPr="00C85E6C">
        <w:t>under</w:t>
      </w:r>
      <w:r w:rsidR="009345EA">
        <w:t xml:space="preserve"> </w:t>
      </w:r>
      <w:r w:rsidRPr="00C85E6C">
        <w:t>articles</w:t>
      </w:r>
      <w:r w:rsidR="009345EA">
        <w:t xml:space="preserve"> </w:t>
      </w:r>
      <w:r w:rsidRPr="00C85E6C">
        <w:t>2</w:t>
      </w:r>
      <w:r w:rsidR="009345EA">
        <w:t xml:space="preserve"> </w:t>
      </w:r>
      <w:r w:rsidRPr="00C85E6C">
        <w:t>(1)</w:t>
      </w:r>
      <w:r w:rsidR="009345EA">
        <w:t xml:space="preserve"> </w:t>
      </w:r>
      <w:r w:rsidRPr="00C85E6C">
        <w:t>and</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Committee</w:t>
      </w:r>
      <w:r w:rsidR="009345EA">
        <w:t xml:space="preserve"> </w:t>
      </w:r>
      <w:r w:rsidRPr="00C85E6C">
        <w:t>will</w:t>
      </w:r>
      <w:r w:rsidR="009345EA">
        <w:t xml:space="preserve"> </w:t>
      </w:r>
      <w:r w:rsidRPr="00C85E6C">
        <w:t>not</w:t>
      </w:r>
      <w:r w:rsidR="009345EA">
        <w:t xml:space="preserve"> </w:t>
      </w:r>
      <w:r w:rsidRPr="00C85E6C">
        <w:t>examine</w:t>
      </w:r>
      <w:r w:rsidR="009345EA">
        <w:t xml:space="preserve"> </w:t>
      </w:r>
      <w:r w:rsidRPr="00C85E6C">
        <w:t>the</w:t>
      </w:r>
      <w:r w:rsidR="009345EA">
        <w:t xml:space="preserve"> </w:t>
      </w:r>
      <w:r w:rsidRPr="00C85E6C">
        <w:t>admissibility</w:t>
      </w:r>
      <w:r w:rsidR="009345EA">
        <w:t xml:space="preserve"> </w:t>
      </w:r>
      <w:r w:rsidRPr="00C85E6C">
        <w:t>of</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claims</w:t>
      </w:r>
      <w:r w:rsidR="009345EA">
        <w:t xml:space="preserve"> </w:t>
      </w:r>
      <w:r w:rsidRPr="00C85E6C">
        <w:t>under</w:t>
      </w:r>
      <w:r w:rsidR="009345EA">
        <w:t xml:space="preserve"> </w:t>
      </w:r>
      <w:r w:rsidRPr="00C85E6C">
        <w:t>those</w:t>
      </w:r>
      <w:r w:rsidR="009345EA">
        <w:t xml:space="preserve"> </w:t>
      </w:r>
      <w:r w:rsidRPr="00C85E6C">
        <w:t>provisions.</w:t>
      </w:r>
      <w:r w:rsidR="009345EA">
        <w:t xml:space="preserve"> </w:t>
      </w:r>
    </w:p>
    <w:p w:rsidR="00D06B7B" w:rsidRPr="00C85E6C" w:rsidRDefault="00D06B7B" w:rsidP="00FF3573">
      <w:pPr>
        <w:pStyle w:val="SingleTxtG"/>
      </w:pPr>
      <w:r w:rsidRPr="00C85E6C">
        <w:t>6.7</w:t>
      </w:r>
      <w:r w:rsidRPr="00C85E6C">
        <w:tab/>
        <w:t>As</w:t>
      </w:r>
      <w:r w:rsidR="009345EA">
        <w:t xml:space="preserve"> </w:t>
      </w:r>
      <w:r w:rsidRPr="00C85E6C">
        <w:t>all</w:t>
      </w:r>
      <w:r w:rsidR="009345EA">
        <w:t xml:space="preserve"> </w:t>
      </w:r>
      <w:r w:rsidRPr="00C85E6C">
        <w:t>admissibility</w:t>
      </w:r>
      <w:r w:rsidR="009345EA">
        <w:t xml:space="preserve"> </w:t>
      </w:r>
      <w:r w:rsidRPr="00C85E6C">
        <w:t>requirements</w:t>
      </w:r>
      <w:r w:rsidR="009345EA">
        <w:t xml:space="preserve"> </w:t>
      </w:r>
      <w:r w:rsidRPr="00C85E6C">
        <w:t>have</w:t>
      </w:r>
      <w:r w:rsidR="009345EA">
        <w:t xml:space="preserve"> </w:t>
      </w:r>
      <w:r w:rsidRPr="00C85E6C">
        <w:t>been</w:t>
      </w:r>
      <w:r w:rsidR="009345EA">
        <w:t xml:space="preserve"> </w:t>
      </w:r>
      <w:r w:rsidRPr="00C85E6C">
        <w:t>met,</w:t>
      </w:r>
      <w:r w:rsidR="009345EA">
        <w:t xml:space="preserve"> </w:t>
      </w:r>
      <w:r w:rsidRPr="00C85E6C">
        <w:t>the</w:t>
      </w:r>
      <w:r w:rsidR="009345EA">
        <w:t xml:space="preserve"> </w:t>
      </w:r>
      <w:r w:rsidRPr="00C85E6C">
        <w:t>Committee</w:t>
      </w:r>
      <w:r w:rsidR="009345EA">
        <w:t xml:space="preserve"> </w:t>
      </w:r>
      <w:r w:rsidRPr="00C85E6C">
        <w:t>declares</w:t>
      </w:r>
      <w:r w:rsidR="009345EA">
        <w:t xml:space="preserve"> </w:t>
      </w:r>
      <w:r w:rsidRPr="00C85E6C">
        <w:t>the</w:t>
      </w:r>
      <w:r w:rsidR="009345EA">
        <w:t xml:space="preserve"> </w:t>
      </w:r>
      <w:r w:rsidRPr="00C85E6C">
        <w:t>communication</w:t>
      </w:r>
      <w:r w:rsidR="009345EA">
        <w:t xml:space="preserve"> </w:t>
      </w:r>
      <w:r w:rsidRPr="00C85E6C">
        <w:t>admissible</w:t>
      </w:r>
      <w:r w:rsidR="009345EA">
        <w:t xml:space="preserve"> </w:t>
      </w:r>
      <w:r w:rsidRPr="00C85E6C">
        <w:t>regarding</w:t>
      </w:r>
      <w:r w:rsidR="009345EA">
        <w:t xml:space="preserve"> </w:t>
      </w:r>
      <w:r w:rsidRPr="00C85E6C">
        <w:t>claims</w:t>
      </w:r>
      <w:r w:rsidR="009345EA">
        <w:t xml:space="preserve"> </w:t>
      </w:r>
      <w:r w:rsidRPr="00C85E6C">
        <w:t>under</w:t>
      </w:r>
      <w:r w:rsidR="009345EA">
        <w:t xml:space="preserve"> </w:t>
      </w:r>
      <w:r w:rsidRPr="00C85E6C">
        <w:t>article</w:t>
      </w:r>
      <w:r w:rsidR="009345EA">
        <w:t xml:space="preserve"> </w:t>
      </w:r>
      <w:r w:rsidRPr="00C85E6C">
        <w:t>7,</w:t>
      </w:r>
      <w:r w:rsidR="009345EA">
        <w:t xml:space="preserve"> </w:t>
      </w:r>
      <w:r w:rsidRPr="00C85E6C">
        <w:t>read</w:t>
      </w:r>
      <w:r w:rsidR="009345EA">
        <w:t xml:space="preserve"> </w:t>
      </w:r>
      <w:r w:rsidRPr="00C85E6C">
        <w:t>alone</w:t>
      </w:r>
      <w:r w:rsidR="009345EA">
        <w:t xml:space="preserve"> </w:t>
      </w:r>
      <w:r w:rsidRPr="00C85E6C">
        <w:t>and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and</w:t>
      </w:r>
      <w:r w:rsidR="009345EA">
        <w:t xml:space="preserve"> </w:t>
      </w:r>
      <w:r w:rsidRPr="00C85E6C">
        <w:t>article</w:t>
      </w:r>
      <w:r w:rsidR="009345EA">
        <w:t xml:space="preserve"> </w:t>
      </w:r>
      <w:r w:rsidRPr="00C85E6C">
        <w:t>26</w:t>
      </w:r>
      <w:r w:rsidR="009345EA">
        <w:t xml:space="preserve"> </w:t>
      </w:r>
      <w:r w:rsidRPr="00C85E6C">
        <w:t>and</w:t>
      </w:r>
      <w:r w:rsidR="009345EA">
        <w:t xml:space="preserve"> </w:t>
      </w:r>
      <w:r w:rsidRPr="00C85E6C">
        <w:t>proceeds</w:t>
      </w:r>
      <w:r w:rsidR="009345EA">
        <w:t xml:space="preserve"> </w:t>
      </w:r>
      <w:r w:rsidRPr="00C85E6C">
        <w:t>to</w:t>
      </w:r>
      <w:r w:rsidR="009345EA">
        <w:t xml:space="preserve"> </w:t>
      </w:r>
      <w:r w:rsidRPr="00C85E6C">
        <w:t>its</w:t>
      </w:r>
      <w:r w:rsidR="009345EA">
        <w:t xml:space="preserve"> </w:t>
      </w:r>
      <w:r w:rsidRPr="00C85E6C">
        <w:t>examination</w:t>
      </w:r>
      <w:r w:rsidR="009345EA">
        <w:t xml:space="preserve"> </w:t>
      </w:r>
      <w:r w:rsidRPr="00C85E6C">
        <w:t>on</w:t>
      </w:r>
      <w:r w:rsidR="009345EA">
        <w:t xml:space="preserve"> </w:t>
      </w:r>
      <w:r w:rsidRPr="00C85E6C">
        <w:t>the</w:t>
      </w:r>
      <w:r w:rsidR="009345EA">
        <w:t xml:space="preserve"> </w:t>
      </w:r>
      <w:r w:rsidRPr="00C85E6C">
        <w:t>merits.</w:t>
      </w:r>
      <w:r w:rsidR="009345EA">
        <w:t xml:space="preserve"> </w:t>
      </w:r>
    </w:p>
    <w:p w:rsidR="00D06B7B" w:rsidRPr="00C85E6C" w:rsidRDefault="00D06B7B" w:rsidP="00BE0881">
      <w:pPr>
        <w:pStyle w:val="H4G"/>
      </w:pPr>
      <w:r w:rsidRPr="00C85E6C">
        <w:tab/>
      </w:r>
      <w:r w:rsidRPr="00C85E6C">
        <w:tab/>
        <w:t>Consideration</w:t>
      </w:r>
      <w:r w:rsidR="009345EA">
        <w:t xml:space="preserve"> </w:t>
      </w:r>
      <w:r w:rsidRPr="00C85E6C">
        <w:t>of</w:t>
      </w:r>
      <w:r w:rsidR="009345EA">
        <w:t xml:space="preserve"> </w:t>
      </w:r>
      <w:r w:rsidRPr="00C85E6C">
        <w:t>the</w:t>
      </w:r>
      <w:r w:rsidR="009345EA">
        <w:t xml:space="preserve"> </w:t>
      </w:r>
      <w:r w:rsidRPr="00C85E6C">
        <w:t>merits</w:t>
      </w:r>
    </w:p>
    <w:p w:rsidR="00D06B7B" w:rsidRPr="00C85E6C" w:rsidRDefault="00D06B7B" w:rsidP="00FF3573">
      <w:pPr>
        <w:pStyle w:val="SingleTxtG"/>
      </w:pPr>
      <w:r w:rsidRPr="00C85E6C">
        <w:t>7.1</w:t>
      </w:r>
      <w:r w:rsidRPr="00C85E6C">
        <w:tab/>
        <w:t>The</w:t>
      </w:r>
      <w:r w:rsidR="009345EA">
        <w:t xml:space="preserve"> </w:t>
      </w:r>
      <w:r w:rsidRPr="00C85E6C">
        <w:t>Committee</w:t>
      </w:r>
      <w:r w:rsidR="009345EA">
        <w:t xml:space="preserve"> </w:t>
      </w:r>
      <w:r w:rsidRPr="00C85E6C">
        <w:t>has</w:t>
      </w:r>
      <w:r w:rsidR="009345EA">
        <w:t xml:space="preserve"> </w:t>
      </w:r>
      <w:r w:rsidRPr="00C85E6C">
        <w:t>considered</w:t>
      </w:r>
      <w:r w:rsidR="009345EA">
        <w:t xml:space="preserve"> </w:t>
      </w:r>
      <w:r w:rsidRPr="00C85E6C">
        <w:t>the</w:t>
      </w:r>
      <w:r w:rsidR="009345EA">
        <w:t xml:space="preserve"> </w:t>
      </w:r>
      <w:r w:rsidRPr="00C85E6C">
        <w:t>communication</w:t>
      </w:r>
      <w:r w:rsidR="009345EA">
        <w:t xml:space="preserve"> </w:t>
      </w:r>
      <w:r w:rsidRPr="00C85E6C">
        <w:t>in</w:t>
      </w:r>
      <w:r w:rsidR="009345EA">
        <w:t xml:space="preserve"> </w:t>
      </w:r>
      <w:r w:rsidRPr="00C85E6C">
        <w:t>the</w:t>
      </w:r>
      <w:r w:rsidR="009345EA">
        <w:t xml:space="preserve"> </w:t>
      </w:r>
      <w:r w:rsidRPr="00C85E6C">
        <w:t>light</w:t>
      </w:r>
      <w:r w:rsidR="009345EA">
        <w:t xml:space="preserve"> </w:t>
      </w:r>
      <w:r w:rsidRPr="00C85E6C">
        <w:t>of</w:t>
      </w:r>
      <w:r w:rsidR="009345EA">
        <w:t xml:space="preserve"> </w:t>
      </w:r>
      <w:r w:rsidRPr="00C85E6C">
        <w:t>all</w:t>
      </w:r>
      <w:r w:rsidR="009345EA">
        <w:t xml:space="preserve"> </w:t>
      </w:r>
      <w:r w:rsidRPr="00C85E6C">
        <w:t>the</w:t>
      </w:r>
      <w:r w:rsidR="009345EA">
        <w:t xml:space="preserve"> </w:t>
      </w:r>
      <w:r w:rsidRPr="00C85E6C">
        <w:t>information</w:t>
      </w:r>
      <w:r w:rsidR="009345EA">
        <w:t xml:space="preserve"> </w:t>
      </w:r>
      <w:r w:rsidRPr="00C85E6C">
        <w:t>made</w:t>
      </w:r>
      <w:r w:rsidR="009345EA">
        <w:t xml:space="preserve"> </w:t>
      </w:r>
      <w:r w:rsidRPr="00C85E6C">
        <w:t>available</w:t>
      </w:r>
      <w:r w:rsidR="009345EA">
        <w:t xml:space="preserve"> </w:t>
      </w:r>
      <w:r w:rsidRPr="00C85E6C">
        <w:t>to</w:t>
      </w:r>
      <w:r w:rsidR="009345EA">
        <w:t xml:space="preserve"> </w:t>
      </w:r>
      <w:r w:rsidRPr="00C85E6C">
        <w:t>it</w:t>
      </w:r>
      <w:r w:rsidR="009345EA">
        <w:t xml:space="preserve"> </w:t>
      </w:r>
      <w:r w:rsidRPr="00C85E6C">
        <w:t>by</w:t>
      </w:r>
      <w:r w:rsidR="009345EA">
        <w:t xml:space="preserve"> </w:t>
      </w:r>
      <w:r w:rsidRPr="00C85E6C">
        <w:t>the</w:t>
      </w:r>
      <w:r w:rsidR="009345EA">
        <w:t xml:space="preserve"> </w:t>
      </w:r>
      <w:r w:rsidRPr="00C85E6C">
        <w:t>parties,</w:t>
      </w:r>
      <w:r w:rsidR="009345EA">
        <w:t xml:space="preserve"> </w:t>
      </w:r>
      <w:r w:rsidRPr="00C85E6C">
        <w:t>in</w:t>
      </w:r>
      <w:r w:rsidR="009345EA">
        <w:t xml:space="preserve"> </w:t>
      </w:r>
      <w:r w:rsidRPr="00C85E6C">
        <w:t>accordance</w:t>
      </w:r>
      <w:r w:rsidR="009345EA">
        <w:t xml:space="preserve"> </w:t>
      </w:r>
      <w:r w:rsidRPr="00C85E6C">
        <w:t>with</w:t>
      </w:r>
      <w:r w:rsidR="009345EA">
        <w:t xml:space="preserve"> </w:t>
      </w:r>
      <w:r w:rsidRPr="00C85E6C">
        <w:t>article</w:t>
      </w:r>
      <w:r w:rsidR="009345EA">
        <w:t xml:space="preserve"> </w:t>
      </w:r>
      <w:r w:rsidRPr="00C85E6C">
        <w:t>5</w:t>
      </w:r>
      <w:r w:rsidR="009345EA">
        <w:t xml:space="preserve"> </w:t>
      </w:r>
      <w:r w:rsidRPr="00C85E6C">
        <w:t>(1)</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p>
    <w:p w:rsidR="00D06B7B" w:rsidRPr="00C85E6C" w:rsidRDefault="00D06B7B" w:rsidP="00FF3573">
      <w:pPr>
        <w:pStyle w:val="SingleTxtG"/>
      </w:pPr>
      <w:r w:rsidRPr="00C85E6C">
        <w:t>7.2</w:t>
      </w:r>
      <w:r w:rsidRPr="00C85E6C">
        <w:tab/>
        <w:t>As</w:t>
      </w:r>
      <w:r w:rsidR="009345EA">
        <w:t xml:space="preserve"> </w:t>
      </w:r>
      <w:r w:rsidRPr="00C85E6C">
        <w:t>regards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w:t>
      </w:r>
      <w:r w:rsidR="009345EA">
        <w:t xml:space="preserve"> </w:t>
      </w:r>
      <w:r w:rsidRPr="00C85E6C">
        <w:t>of</w:t>
      </w:r>
      <w:r w:rsidR="009345EA">
        <w:t xml:space="preserve"> </w:t>
      </w:r>
      <w:r w:rsidRPr="00C85E6C">
        <w:t>a</w:t>
      </w:r>
      <w:r w:rsidR="009345EA">
        <w:t xml:space="preserve"> </w:t>
      </w:r>
      <w:r w:rsidRPr="00C85E6C">
        <w:t>violation</w:t>
      </w:r>
      <w:r w:rsidR="009345EA">
        <w:t xml:space="preserve"> </w:t>
      </w:r>
      <w:r w:rsidRPr="00C85E6C">
        <w:t>of</w:t>
      </w:r>
      <w:r w:rsidR="009345EA">
        <w:t xml:space="preserve"> </w:t>
      </w:r>
      <w:r w:rsidR="0088783B">
        <w:t xml:space="preserve">article </w:t>
      </w:r>
      <w:r w:rsidRPr="00C85E6C">
        <w:t>7,</w:t>
      </w:r>
      <w:r w:rsidR="009345EA">
        <w:t xml:space="preserve"> </w:t>
      </w:r>
      <w:r w:rsidRPr="00C85E6C">
        <w:t>read</w:t>
      </w:r>
      <w:r w:rsidR="009345EA">
        <w:t xml:space="preserve"> </w:t>
      </w:r>
      <w:r w:rsidRPr="00C85E6C">
        <w:t>alone</w:t>
      </w:r>
      <w:r w:rsidR="009345EA">
        <w:t xml:space="preserve"> </w:t>
      </w:r>
      <w:r w:rsidRPr="00C85E6C">
        <w:t>and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criminal</w:t>
      </w:r>
      <w:r w:rsidR="009345EA">
        <w:t xml:space="preserve"> </w:t>
      </w:r>
      <w:r w:rsidRPr="00C85E6C">
        <w:t>and</w:t>
      </w:r>
      <w:r w:rsidR="009345EA">
        <w:t xml:space="preserve"> </w:t>
      </w:r>
      <w:r w:rsidRPr="00C85E6C">
        <w:t>civil</w:t>
      </w:r>
      <w:r w:rsidR="009345EA">
        <w:t xml:space="preserve"> </w:t>
      </w:r>
      <w:r w:rsidRPr="00C85E6C">
        <w:t>proceedings</w:t>
      </w:r>
      <w:r w:rsidR="009345EA">
        <w:t xml:space="preserve"> </w:t>
      </w:r>
      <w:r w:rsidRPr="00C85E6C">
        <w:t>in</w:t>
      </w:r>
      <w:r w:rsidR="009345EA">
        <w:t xml:space="preserve"> </w:t>
      </w:r>
      <w:r w:rsidRPr="00C85E6C">
        <w:t>the</w:t>
      </w:r>
      <w:r w:rsidR="009345EA">
        <w:t xml:space="preserve"> </w:t>
      </w:r>
      <w:r w:rsidRPr="00C85E6C">
        <w:t>present</w:t>
      </w:r>
      <w:r w:rsidR="009345EA">
        <w:t xml:space="preserve"> </w:t>
      </w:r>
      <w:r w:rsidRPr="00C85E6C">
        <w:t>case</w:t>
      </w:r>
      <w:r w:rsidR="009345EA">
        <w:t xml:space="preserve"> </w:t>
      </w:r>
      <w:r w:rsidRPr="00C85E6C">
        <w:t>have</w:t>
      </w:r>
      <w:r w:rsidR="009345EA">
        <w:t xml:space="preserve"> </w:t>
      </w:r>
      <w:r w:rsidRPr="00C85E6C">
        <w:t>been</w:t>
      </w:r>
      <w:r w:rsidR="009345EA">
        <w:t xml:space="preserve"> </w:t>
      </w:r>
      <w:r w:rsidRPr="00C85E6C">
        <w:t>pending</w:t>
      </w:r>
      <w:r w:rsidR="009345EA">
        <w:t xml:space="preserve"> </w:t>
      </w:r>
      <w:r w:rsidRPr="00C85E6C">
        <w:t>since</w:t>
      </w:r>
      <w:r w:rsidR="009345EA">
        <w:t xml:space="preserve"> </w:t>
      </w:r>
      <w:r w:rsidRPr="00C85E6C">
        <w:t>2001</w:t>
      </w:r>
      <w:r w:rsidR="009345EA">
        <w:t xml:space="preserve"> </w:t>
      </w:r>
      <w:r w:rsidRPr="00C85E6C">
        <w:t>and</w:t>
      </w:r>
      <w:r w:rsidR="009345EA">
        <w:t xml:space="preserve"> </w:t>
      </w:r>
      <w:r w:rsidRPr="00C85E6C">
        <w:t>2004,</w:t>
      </w:r>
      <w:r w:rsidR="009345EA">
        <w:t xml:space="preserve"> </w:t>
      </w:r>
      <w:r w:rsidRPr="00C85E6C">
        <w:t>respectively,</w:t>
      </w:r>
      <w:r w:rsidR="009345EA">
        <w:t xml:space="preserve"> </w:t>
      </w:r>
      <w:r w:rsidRPr="00C85E6C">
        <w:t>and</w:t>
      </w:r>
      <w:r w:rsidR="009345EA">
        <w:t xml:space="preserve"> </w:t>
      </w:r>
      <w:r w:rsidRPr="00C85E6C">
        <w:t>are</w:t>
      </w:r>
      <w:r w:rsidR="009345EA">
        <w:t xml:space="preserve"> </w:t>
      </w:r>
      <w:r w:rsidRPr="00C85E6C">
        <w:t>ongoing</w:t>
      </w:r>
      <w:r w:rsidR="009345EA">
        <w:t xml:space="preserve"> </w:t>
      </w:r>
      <w:r w:rsidRPr="00C85E6C">
        <w:t>as</w:t>
      </w:r>
      <w:r w:rsidR="009345EA">
        <w:t xml:space="preserve"> </w:t>
      </w:r>
      <w:r w:rsidRPr="00C85E6C">
        <w:t>regards</w:t>
      </w:r>
      <w:r w:rsidR="009345EA">
        <w:t xml:space="preserve"> </w:t>
      </w:r>
      <w:r w:rsidRPr="00C85E6C">
        <w:t>civil</w:t>
      </w:r>
      <w:r w:rsidR="009345EA">
        <w:t xml:space="preserve"> </w:t>
      </w:r>
      <w:r w:rsidRPr="00C85E6C">
        <w:t>remedies,</w:t>
      </w:r>
      <w:r w:rsidR="009345EA">
        <w:t xml:space="preserve"> </w:t>
      </w:r>
      <w:r w:rsidRPr="00C85E6C">
        <w:t>while</w:t>
      </w:r>
      <w:r w:rsidR="009345EA">
        <w:t xml:space="preserve"> </w:t>
      </w:r>
      <w:r w:rsidRPr="00C85E6C">
        <w:t>the</w:t>
      </w:r>
      <w:r w:rsidR="009345EA">
        <w:t xml:space="preserve"> </w:t>
      </w:r>
      <w:r w:rsidRPr="00C85E6C">
        <w:t>criminal</w:t>
      </w:r>
      <w:r w:rsidR="009345EA">
        <w:t xml:space="preserve"> </w:t>
      </w:r>
      <w:r w:rsidRPr="00C85E6C">
        <w:t>sentence</w:t>
      </w:r>
      <w:r w:rsidR="009345EA">
        <w:t xml:space="preserve"> </w:t>
      </w:r>
      <w:r w:rsidRPr="00C85E6C">
        <w:t>of</w:t>
      </w:r>
      <w:r w:rsidR="009345EA">
        <w:t xml:space="preserve"> </w:t>
      </w:r>
      <w:r w:rsidRPr="00C85E6C">
        <w:t>the</w:t>
      </w:r>
      <w:r w:rsidR="009345EA">
        <w:t xml:space="preserve"> </w:t>
      </w:r>
      <w:r w:rsidRPr="00C85E6C">
        <w:t>perpetrators</w:t>
      </w:r>
      <w:r w:rsidR="009345EA">
        <w:t xml:space="preserve"> </w:t>
      </w:r>
      <w:r w:rsidRPr="00C85E6C">
        <w:t>was</w:t>
      </w:r>
      <w:r w:rsidR="009345EA">
        <w:t xml:space="preserve"> </w:t>
      </w:r>
      <w:r w:rsidRPr="00C85E6C">
        <w:t>handed</w:t>
      </w:r>
      <w:r w:rsidR="009345EA">
        <w:t xml:space="preserve"> </w:t>
      </w:r>
      <w:r w:rsidRPr="00C85E6C">
        <w:t>down</w:t>
      </w:r>
      <w:r w:rsidR="009345EA">
        <w:t xml:space="preserve"> </w:t>
      </w:r>
      <w:r w:rsidRPr="00C85E6C">
        <w:t>in</w:t>
      </w:r>
      <w:r w:rsidR="009345EA">
        <w:t xml:space="preserve"> </w:t>
      </w:r>
      <w:r w:rsidRPr="00C85E6C">
        <w:t>December</w:t>
      </w:r>
      <w:r w:rsidR="009345EA">
        <w:t xml:space="preserve"> </w:t>
      </w:r>
      <w:r w:rsidRPr="00C85E6C">
        <w:t>2015.</w:t>
      </w:r>
      <w:r w:rsidR="009345EA">
        <w:t xml:space="preserve"> </w:t>
      </w:r>
      <w:r w:rsidRPr="00C85E6C">
        <w:t>The</w:t>
      </w:r>
      <w:r w:rsidR="009345EA">
        <w:t xml:space="preserve"> </w:t>
      </w:r>
      <w:r w:rsidRPr="00C85E6C">
        <w:t>Committee</w:t>
      </w:r>
      <w:r w:rsidR="009345EA">
        <w:t xml:space="preserve"> </w:t>
      </w:r>
      <w:r w:rsidRPr="00C85E6C">
        <w:t>also</w:t>
      </w:r>
      <w:r w:rsidR="009345EA">
        <w:t xml:space="preserve"> </w:t>
      </w:r>
      <w:r w:rsidRPr="00C85E6C">
        <w:t>notes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w:t>
      </w:r>
      <w:r w:rsidR="009345EA">
        <w:t xml:space="preserve"> </w:t>
      </w:r>
      <w:r w:rsidRPr="00C85E6C">
        <w:t>that</w:t>
      </w:r>
      <w:r w:rsidR="009345EA">
        <w:t xml:space="preserve"> </w:t>
      </w:r>
      <w:r w:rsidRPr="00C85E6C">
        <w:t>protection</w:t>
      </w:r>
      <w:r w:rsidR="009345EA">
        <w:t xml:space="preserve"> </w:t>
      </w:r>
      <w:r w:rsidRPr="00C85E6C">
        <w:t>against</w:t>
      </w:r>
      <w:r w:rsidR="009345EA">
        <w:t xml:space="preserve"> </w:t>
      </w:r>
      <w:r w:rsidRPr="00C85E6C">
        <w:t>and</w:t>
      </w:r>
      <w:r w:rsidR="009345EA">
        <w:t xml:space="preserve"> </w:t>
      </w:r>
      <w:r w:rsidRPr="00C85E6C">
        <w:t>the</w:t>
      </w:r>
      <w:r w:rsidR="009345EA">
        <w:t xml:space="preserve"> </w:t>
      </w:r>
      <w:r w:rsidRPr="00C85E6C">
        <w:t>investigation</w:t>
      </w:r>
      <w:r w:rsidR="009345EA">
        <w:t xml:space="preserve"> </w:t>
      </w:r>
      <w:r w:rsidRPr="00C85E6C">
        <w:t>of</w:t>
      </w:r>
      <w:r w:rsidR="009345EA">
        <w:t xml:space="preserve"> </w:t>
      </w:r>
      <w:r w:rsidRPr="00C85E6C">
        <w:t>an</w:t>
      </w:r>
      <w:r w:rsidR="009345EA">
        <w:t xml:space="preserve"> </w:t>
      </w:r>
      <w:r w:rsidRPr="00C85E6C">
        <w:t>act</w:t>
      </w:r>
      <w:r w:rsidR="009345EA">
        <w:t xml:space="preserve"> </w:t>
      </w:r>
      <w:r w:rsidRPr="00C85E6C">
        <w:t>of</w:t>
      </w:r>
      <w:r w:rsidR="009345EA">
        <w:t xml:space="preserve"> </w:t>
      </w:r>
      <w:r w:rsidRPr="00C85E6C">
        <w:t>rape</w:t>
      </w:r>
      <w:r w:rsidR="009345EA">
        <w:t xml:space="preserve"> </w:t>
      </w:r>
      <w:r w:rsidRPr="00C85E6C">
        <w:t>cannot</w:t>
      </w:r>
      <w:r w:rsidR="009345EA">
        <w:t xml:space="preserve"> </w:t>
      </w:r>
      <w:r w:rsidRPr="00C85E6C">
        <w:t>be</w:t>
      </w:r>
      <w:r w:rsidR="009345EA">
        <w:t xml:space="preserve"> </w:t>
      </w:r>
      <w:r w:rsidRPr="00C85E6C">
        <w:t>dependent</w:t>
      </w:r>
      <w:r w:rsidR="009345EA">
        <w:t xml:space="preserve"> </w:t>
      </w:r>
      <w:r w:rsidRPr="00C85E6C">
        <w:t>on</w:t>
      </w:r>
      <w:r w:rsidR="009345EA">
        <w:t xml:space="preserve"> </w:t>
      </w:r>
      <w:r w:rsidRPr="00C85E6C">
        <w:t>the</w:t>
      </w:r>
      <w:r w:rsidR="009345EA">
        <w:t xml:space="preserve"> </w:t>
      </w:r>
      <w:r w:rsidRPr="00C85E6C">
        <w:t>status</w:t>
      </w:r>
      <w:r w:rsidR="009345EA">
        <w:t xml:space="preserve"> </w:t>
      </w:r>
      <w:r w:rsidRPr="00C85E6C">
        <w:t>of</w:t>
      </w:r>
      <w:r w:rsidR="009345EA">
        <w:t xml:space="preserve"> </w:t>
      </w:r>
      <w:r w:rsidRPr="00C85E6C">
        <w:t>the</w:t>
      </w:r>
      <w:r w:rsidR="009345EA">
        <w:t xml:space="preserve"> </w:t>
      </w:r>
      <w:r w:rsidRPr="00C85E6C">
        <w:t>perpetrator</w:t>
      </w:r>
      <w:r w:rsidR="009345EA">
        <w:t xml:space="preserve"> </w:t>
      </w:r>
      <w:r w:rsidRPr="00C85E6C">
        <w:t>and</w:t>
      </w:r>
      <w:r w:rsidR="009345EA">
        <w:t xml:space="preserve"> </w:t>
      </w:r>
      <w:r w:rsidRPr="00C85E6C">
        <w:t>that,</w:t>
      </w:r>
      <w:r w:rsidR="009345EA">
        <w:t xml:space="preserve"> </w:t>
      </w:r>
      <w:r w:rsidRPr="00C85E6C">
        <w:t>in</w:t>
      </w:r>
      <w:r w:rsidR="009345EA">
        <w:t xml:space="preserve"> </w:t>
      </w:r>
      <w:r w:rsidRPr="00C85E6C">
        <w:t>accordance</w:t>
      </w:r>
      <w:r w:rsidR="009345EA">
        <w:t xml:space="preserve"> </w:t>
      </w:r>
      <w:r w:rsidRPr="00C85E6C">
        <w:t>with</w:t>
      </w:r>
      <w:r w:rsidR="009345EA">
        <w:t xml:space="preserve"> </w:t>
      </w:r>
      <w:r w:rsidRPr="00C85E6C">
        <w:t>the</w:t>
      </w:r>
      <w:r w:rsidR="009345EA">
        <w:t xml:space="preserve"> </w:t>
      </w:r>
      <w:r w:rsidRPr="00C85E6C">
        <w:t>jurisprudence</w:t>
      </w:r>
      <w:r w:rsidR="009345EA">
        <w:t xml:space="preserve"> </w:t>
      </w:r>
      <w:r w:rsidRPr="00C85E6C">
        <w:t>of</w:t>
      </w:r>
      <w:r w:rsidR="009345EA">
        <w:t xml:space="preserve"> </w:t>
      </w:r>
      <w:r w:rsidRPr="00C85E6C">
        <w:t>international</w:t>
      </w:r>
      <w:r w:rsidR="009345EA">
        <w:t xml:space="preserve"> </w:t>
      </w:r>
      <w:r w:rsidRPr="00C85E6C">
        <w:t>and</w:t>
      </w:r>
      <w:r w:rsidR="009345EA">
        <w:t xml:space="preserve"> </w:t>
      </w:r>
      <w:r w:rsidRPr="00C85E6C">
        <w:t>regional</w:t>
      </w:r>
      <w:r w:rsidR="009345EA">
        <w:t xml:space="preserve"> </w:t>
      </w:r>
      <w:r w:rsidRPr="00C85E6C">
        <w:t>courts</w:t>
      </w:r>
      <w:r w:rsidR="009345EA">
        <w:t xml:space="preserve"> </w:t>
      </w:r>
      <w:r w:rsidRPr="00C85E6C">
        <w:t>and</w:t>
      </w:r>
      <w:r w:rsidR="009345EA">
        <w:t xml:space="preserve"> </w:t>
      </w:r>
      <w:r w:rsidRPr="00C85E6C">
        <w:t>human</w:t>
      </w:r>
      <w:r w:rsidR="009345EA">
        <w:t xml:space="preserve"> </w:t>
      </w:r>
      <w:r w:rsidRPr="00C85E6C">
        <w:t>rights</w:t>
      </w:r>
      <w:r w:rsidR="009345EA">
        <w:t xml:space="preserve"> </w:t>
      </w:r>
      <w:r w:rsidRPr="00C85E6C">
        <w:t>bodies,</w:t>
      </w:r>
      <w:r w:rsidR="009345EA">
        <w:t xml:space="preserve"> </w:t>
      </w:r>
      <w:r w:rsidRPr="00C85E6C">
        <w:t>a</w:t>
      </w:r>
      <w:r w:rsidR="009345EA">
        <w:t xml:space="preserve"> </w:t>
      </w:r>
      <w:r w:rsidRPr="00C85E6C">
        <w:t>State</w:t>
      </w:r>
      <w:r w:rsidR="009345EA">
        <w:t xml:space="preserve"> </w:t>
      </w:r>
      <w:r w:rsidRPr="00C85E6C">
        <w:t>is</w:t>
      </w:r>
      <w:r w:rsidR="009345EA">
        <w:t xml:space="preserve"> </w:t>
      </w:r>
      <w:r w:rsidRPr="00C85E6C">
        <w:t>responsible</w:t>
      </w:r>
      <w:r w:rsidR="009345EA">
        <w:t xml:space="preserve"> </w:t>
      </w:r>
      <w:r w:rsidRPr="00C85E6C">
        <w:t>for</w:t>
      </w:r>
      <w:r w:rsidR="009345EA">
        <w:t xml:space="preserve"> </w:t>
      </w:r>
      <w:r w:rsidRPr="00C85E6C">
        <w:t>a</w:t>
      </w:r>
      <w:r w:rsidR="009345EA">
        <w:t xml:space="preserve"> </w:t>
      </w:r>
      <w:r w:rsidRPr="00C85E6C">
        <w:t>violation</w:t>
      </w:r>
      <w:r w:rsidR="009345EA">
        <w:t xml:space="preserve"> </w:t>
      </w:r>
      <w:r w:rsidRPr="00C85E6C">
        <w:t>of</w:t>
      </w:r>
      <w:r w:rsidR="009345EA">
        <w:t xml:space="preserve"> </w:t>
      </w:r>
      <w:r w:rsidRPr="00C85E6C">
        <w:t>its</w:t>
      </w:r>
      <w:r w:rsidR="009345EA">
        <w:t xml:space="preserve"> </w:t>
      </w:r>
      <w:r w:rsidRPr="00C85E6C">
        <w:t>obligations</w:t>
      </w:r>
      <w:r w:rsidR="009345EA">
        <w:t xml:space="preserve"> </w:t>
      </w:r>
      <w:r w:rsidRPr="00C85E6C">
        <w:t>in</w:t>
      </w:r>
      <w:r w:rsidR="009345EA">
        <w:t xml:space="preserve"> </w:t>
      </w:r>
      <w:r w:rsidRPr="00C85E6C">
        <w:t>relation</w:t>
      </w:r>
      <w:r w:rsidR="009345EA">
        <w:t xml:space="preserve"> </w:t>
      </w:r>
      <w:r w:rsidRPr="00C85E6C">
        <w:t>to</w:t>
      </w:r>
      <w:r w:rsidR="009345EA">
        <w:t xml:space="preserve"> </w:t>
      </w:r>
      <w:r w:rsidRPr="00C85E6C">
        <w:t>the</w:t>
      </w:r>
      <w:r w:rsidR="009345EA">
        <w:t xml:space="preserve"> </w:t>
      </w:r>
      <w:r w:rsidRPr="00C85E6C">
        <w:t>prohibition</w:t>
      </w:r>
      <w:r w:rsidR="009345EA">
        <w:t xml:space="preserve"> </w:t>
      </w:r>
      <w:r w:rsidRPr="00C85E6C">
        <w:t>of</w:t>
      </w:r>
      <w:r w:rsidR="009345EA">
        <w:t xml:space="preserve"> </w:t>
      </w:r>
      <w:r w:rsidRPr="00C85E6C">
        <w:t>torture</w:t>
      </w:r>
      <w:r w:rsidR="009345EA">
        <w:t xml:space="preserve"> </w:t>
      </w:r>
      <w:r w:rsidRPr="00C85E6C">
        <w:t>or</w:t>
      </w:r>
      <w:r w:rsidR="009345EA">
        <w:t xml:space="preserve"> </w:t>
      </w:r>
      <w:r w:rsidRPr="00C85E6C">
        <w:t>other</w:t>
      </w:r>
      <w:r w:rsidR="009345EA">
        <w:t xml:space="preserve"> </w:t>
      </w:r>
      <w:r w:rsidRPr="00C85E6C">
        <w:t>ill-treatment</w:t>
      </w:r>
      <w:r w:rsidR="009345EA">
        <w:t xml:space="preserve"> </w:t>
      </w:r>
      <w:r w:rsidRPr="00C85E6C">
        <w:t>where</w:t>
      </w:r>
      <w:r w:rsidR="009345EA">
        <w:t xml:space="preserve"> </w:t>
      </w:r>
      <w:r w:rsidRPr="00C85E6C">
        <w:t>it</w:t>
      </w:r>
      <w:r w:rsidR="009345EA">
        <w:t xml:space="preserve"> </w:t>
      </w:r>
      <w:r w:rsidRPr="00C85E6C">
        <w:t>has</w:t>
      </w:r>
      <w:r w:rsidR="009345EA">
        <w:t xml:space="preserve"> </w:t>
      </w:r>
      <w:r w:rsidRPr="00C85E6C">
        <w:t>failed</w:t>
      </w:r>
      <w:r w:rsidR="009345EA">
        <w:t xml:space="preserve"> </w:t>
      </w:r>
      <w:r w:rsidRPr="00C85E6C">
        <w:t>to</w:t>
      </w:r>
      <w:r w:rsidR="009345EA">
        <w:t xml:space="preserve"> </w:t>
      </w:r>
      <w:r w:rsidRPr="00C85E6C">
        <w:t>protect</w:t>
      </w:r>
      <w:r w:rsidR="009345EA">
        <w:t xml:space="preserve"> </w:t>
      </w:r>
      <w:r w:rsidRPr="00C85E6C">
        <w:t>against</w:t>
      </w:r>
      <w:r w:rsidR="009345EA">
        <w:t xml:space="preserve"> </w:t>
      </w:r>
      <w:r w:rsidRPr="00C85E6C">
        <w:t>or</w:t>
      </w:r>
      <w:r w:rsidR="009345EA">
        <w:t xml:space="preserve"> </w:t>
      </w:r>
      <w:r w:rsidRPr="00C85E6C">
        <w:t>adequately</w:t>
      </w:r>
      <w:r w:rsidR="009345EA">
        <w:t xml:space="preserve"> </w:t>
      </w:r>
      <w:r w:rsidRPr="00C85E6C">
        <w:t>respond</w:t>
      </w:r>
      <w:r w:rsidR="009345EA">
        <w:t xml:space="preserve"> </w:t>
      </w:r>
      <w:r w:rsidRPr="00C85E6C">
        <w:t>to</w:t>
      </w:r>
      <w:r w:rsidR="009345EA">
        <w:t xml:space="preserve"> </w:t>
      </w:r>
      <w:r w:rsidRPr="00C85E6C">
        <w:t>rape</w:t>
      </w:r>
      <w:r w:rsidR="009345EA">
        <w:t xml:space="preserve"> </w:t>
      </w:r>
      <w:r w:rsidRPr="00C85E6C">
        <w:t>and</w:t>
      </w:r>
      <w:r w:rsidR="009345EA">
        <w:t xml:space="preserve"> </w:t>
      </w:r>
      <w:r w:rsidRPr="00C85E6C">
        <w:t>other</w:t>
      </w:r>
      <w:r w:rsidR="009345EA">
        <w:t xml:space="preserve"> </w:t>
      </w:r>
      <w:r w:rsidRPr="00C85E6C">
        <w:t>forms</w:t>
      </w:r>
      <w:r w:rsidR="009345EA">
        <w:t xml:space="preserve"> </w:t>
      </w:r>
      <w:r w:rsidRPr="00C85E6C">
        <w:t>of</w:t>
      </w:r>
      <w:r w:rsidR="009345EA">
        <w:t xml:space="preserve"> </w:t>
      </w:r>
      <w:r w:rsidRPr="00C85E6C">
        <w:t>violence</w:t>
      </w:r>
      <w:r w:rsidR="009345EA">
        <w:t xml:space="preserve"> </w:t>
      </w:r>
      <w:r w:rsidRPr="00C85E6C">
        <w:t>against</w:t>
      </w:r>
      <w:r w:rsidR="009345EA">
        <w:t xml:space="preserve"> </w:t>
      </w:r>
      <w:r w:rsidRPr="00C85E6C">
        <w:t>women.</w:t>
      </w:r>
      <w:r w:rsidR="009345EA">
        <w:t xml:space="preserve"> </w:t>
      </w:r>
    </w:p>
    <w:p w:rsidR="00D06B7B" w:rsidRPr="00C85E6C" w:rsidRDefault="00D06B7B" w:rsidP="00FF3573">
      <w:pPr>
        <w:pStyle w:val="SingleTxtG"/>
      </w:pPr>
      <w:r w:rsidRPr="00C85E6C">
        <w:t>7.3</w:t>
      </w:r>
      <w:r w:rsidRPr="00C85E6C">
        <w:tab/>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promptly</w:t>
      </w:r>
      <w:r w:rsidR="009345EA">
        <w:t xml:space="preserve"> </w:t>
      </w:r>
      <w:r w:rsidRPr="00C85E6C">
        <w:t>filed</w:t>
      </w:r>
      <w:r w:rsidR="009345EA">
        <w:t xml:space="preserve"> </w:t>
      </w:r>
      <w:r w:rsidRPr="00C85E6C">
        <w:t>a</w:t>
      </w:r>
      <w:r w:rsidR="009345EA">
        <w:t xml:space="preserve"> </w:t>
      </w:r>
      <w:r w:rsidRPr="00C85E6C">
        <w:t>complaint</w:t>
      </w:r>
      <w:r w:rsidR="009345EA">
        <w:t xml:space="preserve"> </w:t>
      </w:r>
      <w:r w:rsidRPr="00C85E6C">
        <w:t>with</w:t>
      </w:r>
      <w:r w:rsidR="009345EA">
        <w:t xml:space="preserve"> </w:t>
      </w:r>
      <w:r w:rsidRPr="00C85E6C">
        <w:t>the</w:t>
      </w:r>
      <w:r w:rsidR="009345EA">
        <w:t xml:space="preserve"> </w:t>
      </w:r>
      <w:r w:rsidRPr="00C85E6C">
        <w:t>police</w:t>
      </w:r>
      <w:r w:rsidR="009345EA">
        <w:t xml:space="preserve"> </w:t>
      </w:r>
      <w:r w:rsidRPr="00C85E6C">
        <w:t>on</w:t>
      </w:r>
      <w:r w:rsidR="009345EA">
        <w:t xml:space="preserve"> </w:t>
      </w:r>
      <w:r w:rsidRPr="00C85E6C">
        <w:t>14</w:t>
      </w:r>
      <w:r w:rsidR="009345EA">
        <w:t xml:space="preserve"> </w:t>
      </w:r>
      <w:r w:rsidRPr="00C85E6C">
        <w:t>August</w:t>
      </w:r>
      <w:r w:rsidR="009345EA">
        <w:t xml:space="preserve"> </w:t>
      </w:r>
      <w:r w:rsidRPr="00C85E6C">
        <w:t>2001,</w:t>
      </w:r>
      <w:r w:rsidR="009345EA">
        <w:t xml:space="preserve"> </w:t>
      </w:r>
      <w:r w:rsidRPr="00C85E6C">
        <w:t>two</w:t>
      </w:r>
      <w:r w:rsidR="009345EA">
        <w:t xml:space="preserve"> </w:t>
      </w:r>
      <w:r w:rsidRPr="00C85E6C">
        <w:t>days</w:t>
      </w:r>
      <w:r w:rsidR="009345EA">
        <w:t xml:space="preserve"> </w:t>
      </w:r>
      <w:r w:rsidRPr="00C85E6C">
        <w:t>after</w:t>
      </w:r>
      <w:r w:rsidR="009345EA">
        <w:t xml:space="preserve"> </w:t>
      </w:r>
      <w:r w:rsidRPr="00C85E6C">
        <w:t>the</w:t>
      </w:r>
      <w:r w:rsidR="009345EA">
        <w:t xml:space="preserve"> </w:t>
      </w:r>
      <w:r w:rsidRPr="00C85E6C">
        <w:t>rape.</w:t>
      </w:r>
      <w:r w:rsidR="009345EA">
        <w:t xml:space="preserve"> </w:t>
      </w:r>
      <w:r w:rsidRPr="00C85E6C">
        <w:t>The</w:t>
      </w:r>
      <w:r w:rsidR="009345EA">
        <w:t xml:space="preserve"> </w:t>
      </w:r>
      <w:r w:rsidRPr="00C85E6C">
        <w:t>suspects</w:t>
      </w:r>
      <w:r w:rsidR="009345EA">
        <w:t xml:space="preserve"> </w:t>
      </w:r>
      <w:r w:rsidRPr="00C85E6C">
        <w:t>were</w:t>
      </w:r>
      <w:r w:rsidR="009345EA">
        <w:t xml:space="preserve"> </w:t>
      </w:r>
      <w:r w:rsidRPr="00C85E6C">
        <w:t>identified</w:t>
      </w:r>
      <w:r w:rsidR="009345EA">
        <w:t xml:space="preserve"> </w:t>
      </w:r>
      <w:r w:rsidRPr="00C85E6C">
        <w:t>and</w:t>
      </w:r>
      <w:r w:rsidR="009345EA">
        <w:t xml:space="preserve"> </w:t>
      </w:r>
      <w:r w:rsidRPr="00C85E6C">
        <w:t>arrested</w:t>
      </w:r>
      <w:r w:rsidR="009345EA">
        <w:t xml:space="preserve"> </w:t>
      </w:r>
      <w:r w:rsidRPr="00C85E6C">
        <w:t>on</w:t>
      </w:r>
      <w:r w:rsidR="009345EA">
        <w:t xml:space="preserve"> </w:t>
      </w:r>
      <w:r w:rsidRPr="00C85E6C">
        <w:t>18</w:t>
      </w:r>
      <w:r w:rsidR="009345EA">
        <w:t xml:space="preserve"> </w:t>
      </w:r>
      <w:r w:rsidRPr="00C85E6C">
        <w:t>August</w:t>
      </w:r>
      <w:r w:rsidR="009345EA">
        <w:t xml:space="preserve"> </w:t>
      </w:r>
      <w:r w:rsidRPr="00C85E6C">
        <w:t>2001;</w:t>
      </w:r>
      <w:r w:rsidR="009345EA">
        <w:t xml:space="preserve"> </w:t>
      </w:r>
      <w:r w:rsidRPr="00C85E6C">
        <w:t>however,</w:t>
      </w:r>
      <w:r w:rsidR="009345EA">
        <w:t xml:space="preserve"> </w:t>
      </w:r>
      <w:r w:rsidRPr="00C85E6C">
        <w:t>they</w:t>
      </w:r>
      <w:r w:rsidR="009345EA">
        <w:t xml:space="preserve"> </w:t>
      </w:r>
      <w:r w:rsidRPr="00C85E6C">
        <w:t>were</w:t>
      </w:r>
      <w:r w:rsidR="009345EA">
        <w:t xml:space="preserve"> </w:t>
      </w:r>
      <w:r w:rsidRPr="00C85E6C">
        <w:t>released</w:t>
      </w:r>
      <w:r w:rsidR="009345EA">
        <w:t xml:space="preserve"> </w:t>
      </w:r>
      <w:r w:rsidRPr="00C85E6C">
        <w:t>on</w:t>
      </w:r>
      <w:r w:rsidR="009345EA">
        <w:t xml:space="preserve"> </w:t>
      </w:r>
      <w:r w:rsidRPr="00C85E6C">
        <w:t>bail</w:t>
      </w:r>
      <w:r w:rsidR="009345EA">
        <w:t xml:space="preserve"> </w:t>
      </w:r>
      <w:r w:rsidRPr="00C85E6C">
        <w:t>on</w:t>
      </w:r>
      <w:r w:rsidR="009345EA">
        <w:t xml:space="preserve"> </w:t>
      </w:r>
      <w:r w:rsidRPr="00C85E6C">
        <w:t>28</w:t>
      </w:r>
      <w:r w:rsidR="009345EA">
        <w:t xml:space="preserve"> </w:t>
      </w:r>
      <w:r w:rsidRPr="00C85E6C">
        <w:t>August</w:t>
      </w:r>
      <w:r w:rsidR="009345EA">
        <w:t xml:space="preserve"> </w:t>
      </w:r>
      <w:r w:rsidRPr="00C85E6C">
        <w:t>2001.</w:t>
      </w:r>
      <w:r w:rsidR="009345EA">
        <w:t xml:space="preserve"> </w:t>
      </w:r>
      <w:r w:rsidRPr="00C85E6C">
        <w:t>It</w:t>
      </w:r>
      <w:r w:rsidR="009345EA">
        <w:t xml:space="preserve"> </w:t>
      </w:r>
      <w:r w:rsidRPr="00C85E6C">
        <w:t>took</w:t>
      </w:r>
      <w:r w:rsidR="009345EA">
        <w:t xml:space="preserve"> </w:t>
      </w:r>
      <w:r w:rsidRPr="00C85E6C">
        <w:t>more</w:t>
      </w:r>
      <w:r w:rsidR="009345EA">
        <w:t xml:space="preserve"> </w:t>
      </w:r>
      <w:r w:rsidRPr="00C85E6C">
        <w:t>than</w:t>
      </w:r>
      <w:r w:rsidR="009345EA">
        <w:t xml:space="preserve"> </w:t>
      </w:r>
      <w:r w:rsidRPr="00C85E6C">
        <w:t>five</w:t>
      </w:r>
      <w:r w:rsidR="009345EA">
        <w:t xml:space="preserve"> </w:t>
      </w:r>
      <w:r w:rsidRPr="00C85E6C">
        <w:t>years</w:t>
      </w:r>
      <w:r w:rsidR="009345EA">
        <w:t xml:space="preserve"> </w:t>
      </w:r>
      <w:r w:rsidRPr="00C85E6C">
        <w:t>for</w:t>
      </w:r>
      <w:r w:rsidR="009345EA">
        <w:t xml:space="preserve"> </w:t>
      </w:r>
      <w:r w:rsidRPr="00C85E6C">
        <w:t>the</w:t>
      </w:r>
      <w:r w:rsidR="009345EA">
        <w:t xml:space="preserve"> </w:t>
      </w:r>
      <w:r w:rsidRPr="00C85E6C">
        <w:t>authorities</w:t>
      </w:r>
      <w:r w:rsidR="009345EA">
        <w:t xml:space="preserve"> </w:t>
      </w:r>
      <w:r w:rsidRPr="00C85E6C">
        <w:t>to</w:t>
      </w:r>
      <w:r w:rsidR="009345EA">
        <w:t xml:space="preserve"> </w:t>
      </w:r>
      <w:r w:rsidRPr="00C85E6C">
        <w:t>file</w:t>
      </w:r>
      <w:r w:rsidR="009345EA">
        <w:t xml:space="preserve"> </w:t>
      </w:r>
      <w:r w:rsidRPr="00C85E6C">
        <w:t>the</w:t>
      </w:r>
      <w:r w:rsidR="009345EA">
        <w:t xml:space="preserve"> </w:t>
      </w:r>
      <w:r w:rsidRPr="00C85E6C">
        <w:t>first</w:t>
      </w:r>
      <w:r w:rsidR="009345EA">
        <w:t xml:space="preserve"> </w:t>
      </w:r>
      <w:r w:rsidRPr="00C85E6C">
        <w:t>indictment</w:t>
      </w:r>
      <w:r w:rsidR="009345EA">
        <w:t xml:space="preserve"> </w:t>
      </w:r>
      <w:r w:rsidRPr="00C85E6C">
        <w:t>against</w:t>
      </w:r>
      <w:r w:rsidR="009345EA">
        <w:t xml:space="preserve"> </w:t>
      </w:r>
      <w:r w:rsidRPr="00C85E6C">
        <w:t>the</w:t>
      </w:r>
      <w:r w:rsidR="009345EA">
        <w:t xml:space="preserve"> </w:t>
      </w:r>
      <w:r w:rsidRPr="00C85E6C">
        <w:t>suspects</w:t>
      </w:r>
      <w:r w:rsidR="009345EA">
        <w:t xml:space="preserve"> </w:t>
      </w:r>
      <w:r w:rsidRPr="00C85E6C">
        <w:t>and,</w:t>
      </w:r>
      <w:r w:rsidR="009345EA">
        <w:t xml:space="preserve"> </w:t>
      </w:r>
      <w:r w:rsidRPr="00C85E6C">
        <w:t>at</w:t>
      </w:r>
      <w:r w:rsidR="009345EA">
        <w:t xml:space="preserve"> </w:t>
      </w:r>
      <w:r w:rsidRPr="00C85E6C">
        <w:t>the</w:t>
      </w:r>
      <w:r w:rsidR="009345EA">
        <w:t xml:space="preserve"> </w:t>
      </w:r>
      <w:r w:rsidRPr="00C85E6C">
        <w:t>time</w:t>
      </w:r>
      <w:r w:rsidR="009345EA">
        <w:t xml:space="preserve"> </w:t>
      </w:r>
      <w:r w:rsidRPr="00C85E6C">
        <w:t>of</w:t>
      </w:r>
      <w:r w:rsidR="009345EA">
        <w:t xml:space="preserve"> </w:t>
      </w:r>
      <w:r w:rsidRPr="00C85E6C">
        <w:t>submission</w:t>
      </w:r>
      <w:r w:rsidR="009345EA">
        <w:t xml:space="preserve"> </w:t>
      </w:r>
      <w:r w:rsidRPr="00C85E6C">
        <w:t>of</w:t>
      </w:r>
      <w:r w:rsidR="009345EA">
        <w:t xml:space="preserve"> </w:t>
      </w:r>
      <w:r w:rsidRPr="00C85E6C">
        <w:t>the</w:t>
      </w:r>
      <w:r w:rsidR="009345EA">
        <w:t xml:space="preserve"> </w:t>
      </w:r>
      <w:r w:rsidRPr="00C85E6C">
        <w:t>initial</w:t>
      </w:r>
      <w:r w:rsidR="009345EA">
        <w:t xml:space="preserve"> </w:t>
      </w:r>
      <w:r w:rsidRPr="00C85E6C">
        <w:t>communication</w:t>
      </w:r>
      <w:r w:rsidR="009345EA">
        <w:t xml:space="preserve"> </w:t>
      </w:r>
      <w:r w:rsidRPr="00C85E6C">
        <w:t>to</w:t>
      </w:r>
      <w:r w:rsidR="009345EA">
        <w:t xml:space="preserve"> </w:t>
      </w:r>
      <w:r w:rsidRPr="00C85E6C">
        <w:t>the</w:t>
      </w:r>
      <w:r w:rsidR="009345EA">
        <w:t xml:space="preserve"> </w:t>
      </w:r>
      <w:r w:rsidRPr="00C85E6C">
        <w:t>Committee,</w:t>
      </w:r>
      <w:r w:rsidR="009345EA">
        <w:t xml:space="preserve"> </w:t>
      </w:r>
      <w:r w:rsidRPr="00C85E6C">
        <w:t>the</w:t>
      </w:r>
      <w:r w:rsidR="009345EA">
        <w:t xml:space="preserve"> </w:t>
      </w:r>
      <w:r w:rsidRPr="00C85E6C">
        <w:t>case</w:t>
      </w:r>
      <w:r w:rsidR="009345EA">
        <w:t xml:space="preserve"> </w:t>
      </w:r>
      <w:r w:rsidRPr="00C85E6C">
        <w:t>had</w:t>
      </w:r>
      <w:r w:rsidR="009345EA">
        <w:t xml:space="preserve"> </w:t>
      </w:r>
      <w:r w:rsidRPr="00C85E6C">
        <w:t>been</w:t>
      </w:r>
      <w:r w:rsidR="009345EA">
        <w:t xml:space="preserve"> </w:t>
      </w:r>
      <w:r w:rsidRPr="00C85E6C">
        <w:t>delayed</w:t>
      </w:r>
      <w:r w:rsidR="009345EA">
        <w:t xml:space="preserve"> </w:t>
      </w:r>
      <w:r w:rsidRPr="00C85E6C">
        <w:t>for</w:t>
      </w:r>
      <w:r w:rsidR="009345EA">
        <w:t xml:space="preserve"> </w:t>
      </w:r>
      <w:r w:rsidRPr="00C85E6C">
        <w:t>a</w:t>
      </w:r>
      <w:r w:rsidR="009345EA">
        <w:t xml:space="preserve"> </w:t>
      </w:r>
      <w:r w:rsidRPr="00C85E6C">
        <w:t>further</w:t>
      </w:r>
      <w:r w:rsidR="009345EA">
        <w:t xml:space="preserve"> </w:t>
      </w:r>
      <w:r w:rsidRPr="00C85E6C">
        <w:t>seven</w:t>
      </w:r>
      <w:r w:rsidR="009345EA">
        <w:t xml:space="preserve"> </w:t>
      </w:r>
      <w:r w:rsidRPr="00C85E6C">
        <w:t>years</w:t>
      </w:r>
      <w:r w:rsidR="009345EA">
        <w:t xml:space="preserve"> </w:t>
      </w:r>
      <w:r w:rsidRPr="00C85E6C">
        <w:t>amid</w:t>
      </w:r>
      <w:r w:rsidR="009345EA">
        <w:t xml:space="preserve"> </w:t>
      </w:r>
      <w:r w:rsidRPr="00C85E6C">
        <w:t>a</w:t>
      </w:r>
      <w:r w:rsidR="009345EA">
        <w:t xml:space="preserve"> </w:t>
      </w:r>
      <w:r w:rsidRPr="00C85E6C">
        <w:t>series</w:t>
      </w:r>
      <w:r w:rsidR="009345EA">
        <w:t xml:space="preserve"> </w:t>
      </w:r>
      <w:r w:rsidRPr="00C85E6C">
        <w:t>of</w:t>
      </w:r>
      <w:r w:rsidR="009345EA">
        <w:t xml:space="preserve"> </w:t>
      </w:r>
      <w:r w:rsidRPr="00C85E6C">
        <w:t>adjournments.</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not</w:t>
      </w:r>
      <w:r w:rsidR="009345EA">
        <w:t xml:space="preserve"> </w:t>
      </w:r>
      <w:r w:rsidRPr="00C85E6C">
        <w:t>been</w:t>
      </w:r>
      <w:r w:rsidR="009345EA">
        <w:t xml:space="preserve"> </w:t>
      </w:r>
      <w:r w:rsidRPr="00C85E6C">
        <w:t>responsible</w:t>
      </w:r>
      <w:r w:rsidR="009345EA">
        <w:t xml:space="preserve"> </w:t>
      </w:r>
      <w:r w:rsidRPr="00C85E6C">
        <w:t>for</w:t>
      </w:r>
      <w:r w:rsidR="009345EA">
        <w:t xml:space="preserve"> </w:t>
      </w:r>
      <w:r w:rsidRPr="00C85E6C">
        <w:t>any</w:t>
      </w:r>
      <w:r w:rsidR="009345EA">
        <w:t xml:space="preserve"> </w:t>
      </w:r>
      <w:r w:rsidRPr="00C85E6C">
        <w:t>of</w:t>
      </w:r>
      <w:r w:rsidR="009345EA">
        <w:t xml:space="preserve"> </w:t>
      </w:r>
      <w:r w:rsidRPr="00C85E6C">
        <w:t>the</w:t>
      </w:r>
      <w:r w:rsidR="009345EA">
        <w:t xml:space="preserve"> </w:t>
      </w:r>
      <w:r w:rsidRPr="00C85E6C">
        <w:t>delays</w:t>
      </w:r>
      <w:r w:rsidR="009345EA">
        <w:t xml:space="preserve"> </w:t>
      </w:r>
      <w:r w:rsidRPr="00C85E6C">
        <w:t>in</w:t>
      </w:r>
      <w:r w:rsidR="009345EA">
        <w:t xml:space="preserve"> </w:t>
      </w:r>
      <w:r w:rsidRPr="00C85E6C">
        <w:t>court</w:t>
      </w:r>
      <w:r w:rsidR="009345EA">
        <w:t xml:space="preserve"> </w:t>
      </w:r>
      <w:r w:rsidRPr="00C85E6C">
        <w:t>proceedings</w:t>
      </w:r>
      <w:r w:rsidR="009345EA">
        <w:t xml:space="preserve"> </w:t>
      </w:r>
      <w:r w:rsidRPr="00C85E6C">
        <w:t>and</w:t>
      </w:r>
      <w:r w:rsidR="009345EA">
        <w:t xml:space="preserve"> </w:t>
      </w:r>
      <w:r w:rsidRPr="00C85E6C">
        <w:t>has</w:t>
      </w:r>
      <w:r w:rsidR="009345EA">
        <w:t xml:space="preserve"> </w:t>
      </w:r>
      <w:r w:rsidRPr="00C85E6C">
        <w:t>never</w:t>
      </w:r>
      <w:r w:rsidR="009345EA">
        <w:t xml:space="preserve"> </w:t>
      </w:r>
      <w:r w:rsidRPr="00C85E6C">
        <w:t>failed</w:t>
      </w:r>
      <w:r w:rsidR="009345EA">
        <w:t xml:space="preserve"> </w:t>
      </w:r>
      <w:r w:rsidRPr="00C85E6C">
        <w:t>to</w:t>
      </w:r>
      <w:r w:rsidR="009345EA">
        <w:t xml:space="preserve"> </w:t>
      </w:r>
      <w:r w:rsidRPr="00C85E6C">
        <w:t>attend</w:t>
      </w:r>
      <w:r w:rsidR="009345EA">
        <w:t xml:space="preserve"> </w:t>
      </w:r>
      <w:r w:rsidRPr="00C85E6C">
        <w:t>hearings.</w:t>
      </w:r>
      <w:r w:rsidR="009345EA">
        <w:t xml:space="preserve"> </w:t>
      </w:r>
      <w:r w:rsidRPr="00C85E6C">
        <w:t>Also,</w:t>
      </w:r>
      <w:r w:rsidR="009345EA">
        <w:t xml:space="preserve"> </w:t>
      </w:r>
      <w:r w:rsidRPr="00C85E6C">
        <w:t>the</w:t>
      </w:r>
      <w:r w:rsidR="009345EA">
        <w:t xml:space="preserve"> </w:t>
      </w:r>
      <w:r w:rsidRPr="00C85E6C">
        <w:t>case</w:t>
      </w:r>
      <w:r w:rsidR="009345EA">
        <w:t xml:space="preserve"> </w:t>
      </w:r>
      <w:r w:rsidRPr="00C85E6C">
        <w:t>does</w:t>
      </w:r>
      <w:r w:rsidR="009345EA">
        <w:t xml:space="preserve"> </w:t>
      </w:r>
      <w:r w:rsidRPr="00C85E6C">
        <w:t>not</w:t>
      </w:r>
      <w:r w:rsidR="009345EA">
        <w:t xml:space="preserve"> </w:t>
      </w:r>
      <w:r w:rsidRPr="00C85E6C">
        <w:t>involve</w:t>
      </w:r>
      <w:r w:rsidR="009345EA">
        <w:t xml:space="preserve"> </w:t>
      </w:r>
      <w:r w:rsidRPr="00C85E6C">
        <w:t>complex</w:t>
      </w:r>
      <w:r w:rsidR="009345EA">
        <w:t xml:space="preserve"> </w:t>
      </w:r>
      <w:r w:rsidRPr="00C85E6C">
        <w:t>legal</w:t>
      </w:r>
      <w:r w:rsidR="009345EA">
        <w:t xml:space="preserve"> </w:t>
      </w:r>
      <w:r w:rsidRPr="00C85E6C">
        <w:t>or</w:t>
      </w:r>
      <w:r w:rsidR="009345EA">
        <w:t xml:space="preserve"> </w:t>
      </w:r>
      <w:r w:rsidRPr="00C85E6C">
        <w:t>factual</w:t>
      </w:r>
      <w:r w:rsidR="009345EA">
        <w:t xml:space="preserve"> </w:t>
      </w:r>
      <w:r w:rsidRPr="00C85E6C">
        <w:t>issues</w:t>
      </w:r>
      <w:r w:rsidR="009345EA">
        <w:t xml:space="preserve"> </w:t>
      </w:r>
      <w:r w:rsidRPr="00C85E6C">
        <w:t>that</w:t>
      </w:r>
      <w:r w:rsidR="009345EA">
        <w:t xml:space="preserve"> </w:t>
      </w:r>
      <w:r w:rsidRPr="00C85E6C">
        <w:t>could</w:t>
      </w:r>
      <w:r w:rsidR="009345EA">
        <w:t xml:space="preserve"> </w:t>
      </w:r>
      <w:r w:rsidRPr="00C85E6C">
        <w:t>explain</w:t>
      </w:r>
      <w:r w:rsidR="009345EA">
        <w:t xml:space="preserve"> </w:t>
      </w:r>
      <w:r w:rsidRPr="00C85E6C">
        <w:t>the</w:t>
      </w:r>
      <w:r w:rsidR="009345EA">
        <w:t xml:space="preserve"> </w:t>
      </w:r>
      <w:r w:rsidRPr="00C85E6C">
        <w:t>delay</w:t>
      </w:r>
      <w:r w:rsidR="009345EA">
        <w:t xml:space="preserve"> </w:t>
      </w:r>
      <w:r w:rsidRPr="00C85E6C">
        <w:t>and,</w:t>
      </w:r>
      <w:r w:rsidR="009345EA">
        <w:t xml:space="preserve"> </w:t>
      </w:r>
      <w:r w:rsidRPr="00C85E6C">
        <w:t>furthermore,</w:t>
      </w:r>
      <w:r w:rsidR="009345EA">
        <w:t xml:space="preserve"> </w:t>
      </w:r>
      <w:r w:rsidRPr="00C85E6C">
        <w:t>the</w:t>
      </w:r>
      <w:r w:rsidR="009345EA">
        <w:t xml:space="preserve"> </w:t>
      </w:r>
      <w:r w:rsidRPr="00C85E6C">
        <w:t>perpetrators</w:t>
      </w:r>
      <w:r w:rsidR="009345EA">
        <w:t xml:space="preserve"> </w:t>
      </w:r>
      <w:r w:rsidRPr="00C85E6C">
        <w:t>were</w:t>
      </w:r>
      <w:r w:rsidR="009345EA">
        <w:t xml:space="preserve"> </w:t>
      </w:r>
      <w:r w:rsidRPr="00C85E6C">
        <w:t>identified</w:t>
      </w:r>
      <w:r w:rsidR="009345EA">
        <w:t xml:space="preserve"> </w:t>
      </w:r>
      <w:r w:rsidRPr="00C85E6C">
        <w:t>early</w:t>
      </w:r>
      <w:r w:rsidR="009345EA">
        <w:t xml:space="preserve"> </w:t>
      </w:r>
      <w:r w:rsidRPr="00C85E6C">
        <w:t>on.</w:t>
      </w:r>
      <w:r w:rsidR="009345EA">
        <w:t xml:space="preserve"> </w:t>
      </w:r>
      <w:r w:rsidRPr="00C85E6C">
        <w:t>The</w:t>
      </w:r>
      <w:r w:rsidR="009345EA">
        <w:t xml:space="preserve"> </w:t>
      </w:r>
      <w:r w:rsidRPr="00C85E6C">
        <w:lastRenderedPageBreak/>
        <w:t>Committee</w:t>
      </w:r>
      <w:r w:rsidR="009345EA">
        <w:t xml:space="preserve"> </w:t>
      </w:r>
      <w:r w:rsidRPr="00C85E6C">
        <w:t>notes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w:t>
      </w:r>
      <w:r w:rsidR="009345EA">
        <w:t xml:space="preserve"> </w:t>
      </w:r>
      <w:r w:rsidRPr="00C85E6C">
        <w:t>that</w:t>
      </w:r>
      <w:r w:rsidR="009345EA">
        <w:t xml:space="preserve"> </w:t>
      </w:r>
      <w:r w:rsidRPr="00C85E6C">
        <w:t>the</w:t>
      </w:r>
      <w:r w:rsidR="009345EA">
        <w:t xml:space="preserve"> </w:t>
      </w:r>
      <w:r w:rsidRPr="00C85E6C">
        <w:t>14</w:t>
      </w:r>
      <w:r w:rsidR="009345EA">
        <w:t xml:space="preserve"> </w:t>
      </w:r>
      <w:r w:rsidRPr="00C85E6C">
        <w:t>years</w:t>
      </w:r>
      <w:r w:rsidR="009345EA">
        <w:t xml:space="preserve"> </w:t>
      </w:r>
      <w:r w:rsidRPr="00C85E6C">
        <w:t>that</w:t>
      </w:r>
      <w:r w:rsidR="009345EA">
        <w:t xml:space="preserve"> </w:t>
      </w:r>
      <w:r w:rsidRPr="00C85E6C">
        <w:t>passed</w:t>
      </w:r>
      <w:r w:rsidR="009345EA">
        <w:t xml:space="preserve"> </w:t>
      </w:r>
      <w:r w:rsidRPr="00C85E6C">
        <w:t>between</w:t>
      </w:r>
      <w:r w:rsidR="009345EA">
        <w:t xml:space="preserve"> </w:t>
      </w:r>
      <w:r w:rsidRPr="00C85E6C">
        <w:t>the</w:t>
      </w:r>
      <w:r w:rsidR="009345EA">
        <w:t xml:space="preserve"> </w:t>
      </w:r>
      <w:r w:rsidRPr="00C85E6C">
        <w:t>rape</w:t>
      </w:r>
      <w:r w:rsidR="009345EA">
        <w:t xml:space="preserve"> </w:t>
      </w:r>
      <w:r w:rsidRPr="00C85E6C">
        <w:t>and</w:t>
      </w:r>
      <w:r w:rsidR="009345EA">
        <w:t xml:space="preserve"> </w:t>
      </w:r>
      <w:r w:rsidRPr="00C85E6C">
        <w:t>the</w:t>
      </w:r>
      <w:r w:rsidR="009345EA">
        <w:t xml:space="preserve"> </w:t>
      </w:r>
      <w:r w:rsidRPr="00C85E6C">
        <w:t>conviction</w:t>
      </w:r>
      <w:r w:rsidR="009345EA">
        <w:t xml:space="preserve"> </w:t>
      </w:r>
      <w:r w:rsidRPr="00C85E6C">
        <w:t>constitute</w:t>
      </w:r>
      <w:r w:rsidR="009345EA">
        <w:t xml:space="preserve"> </w:t>
      </w:r>
      <w:r w:rsidRPr="00C85E6C">
        <w:t>an</w:t>
      </w:r>
      <w:r w:rsidR="009345EA">
        <w:t xml:space="preserve"> </w:t>
      </w:r>
      <w:r w:rsidRPr="00C85E6C">
        <w:t>unreasonably</w:t>
      </w:r>
      <w:r w:rsidR="009345EA">
        <w:t xml:space="preserve"> </w:t>
      </w:r>
      <w:r w:rsidRPr="00C85E6C">
        <w:t>prolonged</w:t>
      </w:r>
      <w:r w:rsidR="009345EA">
        <w:t xml:space="preserve"> </w:t>
      </w:r>
      <w:r w:rsidRPr="00C85E6C">
        <w:t>delay</w:t>
      </w:r>
      <w:r w:rsidR="009345EA">
        <w:t xml:space="preserve"> </w:t>
      </w:r>
      <w:r w:rsidRPr="00C85E6C">
        <w:t>in</w:t>
      </w:r>
      <w:r w:rsidR="009345EA">
        <w:t xml:space="preserve"> </w:t>
      </w:r>
      <w:r w:rsidRPr="00C85E6C">
        <w:t>the</w:t>
      </w:r>
      <w:r w:rsidR="009345EA">
        <w:t xml:space="preserve"> </w:t>
      </w:r>
      <w:r w:rsidRPr="00C85E6C">
        <w:t>investigation</w:t>
      </w:r>
      <w:r w:rsidR="009345EA">
        <w:t xml:space="preserve"> </w:t>
      </w:r>
      <w:r w:rsidRPr="00C85E6C">
        <w:t>of</w:t>
      </w:r>
      <w:r w:rsidR="009345EA">
        <w:t xml:space="preserve"> </w:t>
      </w:r>
      <w:r w:rsidRPr="00C85E6C">
        <w:t>her</w:t>
      </w:r>
      <w:r w:rsidR="009345EA">
        <w:t xml:space="preserve"> </w:t>
      </w:r>
      <w:r w:rsidRPr="00C85E6C">
        <w:t>complaint</w:t>
      </w:r>
      <w:r w:rsidR="009345EA">
        <w:t xml:space="preserve"> </w:t>
      </w:r>
      <w:r w:rsidRPr="00C85E6C">
        <w:t>and</w:t>
      </w:r>
      <w:r w:rsidR="009345EA">
        <w:t xml:space="preserve"> </w:t>
      </w:r>
      <w:r w:rsidRPr="00C85E6C">
        <w:t>the</w:t>
      </w:r>
      <w:r w:rsidR="009345EA">
        <w:t xml:space="preserve"> </w:t>
      </w:r>
      <w:r w:rsidRPr="00C85E6C">
        <w:t>criminal</w:t>
      </w:r>
      <w:r w:rsidR="009345EA">
        <w:t xml:space="preserve"> </w:t>
      </w:r>
      <w:r w:rsidRPr="00C85E6C">
        <w:t>prosecution</w:t>
      </w:r>
      <w:r w:rsidR="009345EA">
        <w:t xml:space="preserve"> </w:t>
      </w:r>
      <w:r w:rsidRPr="00C85E6C">
        <w:t>of</w:t>
      </w:r>
      <w:r w:rsidR="009345EA">
        <w:t xml:space="preserve"> </w:t>
      </w:r>
      <w:r w:rsidRPr="00C85E6C">
        <w:t>the</w:t>
      </w:r>
      <w:r w:rsidR="009345EA">
        <w:t xml:space="preserve"> </w:t>
      </w:r>
      <w:r w:rsidRPr="00C85E6C">
        <w:t>suspects.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civil</w:t>
      </w:r>
      <w:r w:rsidR="009345EA">
        <w:t xml:space="preserve"> </w:t>
      </w:r>
      <w:r w:rsidRPr="00C85E6C">
        <w:t>suit</w:t>
      </w:r>
      <w:r w:rsidR="009345EA">
        <w:t xml:space="preserve"> </w:t>
      </w:r>
      <w:r w:rsidRPr="00C85E6C">
        <w:t>against</w:t>
      </w:r>
      <w:r w:rsidR="009345EA">
        <w:t xml:space="preserve"> </w:t>
      </w:r>
      <w:r w:rsidRPr="00C85E6C">
        <w:t>the</w:t>
      </w:r>
      <w:r w:rsidR="009345EA">
        <w:t xml:space="preserve"> </w:t>
      </w:r>
      <w:r w:rsidRPr="00C85E6C">
        <w:t>perpetrators</w:t>
      </w:r>
      <w:r w:rsidR="009345EA">
        <w:t xml:space="preserve"> </w:t>
      </w:r>
      <w:r w:rsidRPr="00C85E6C">
        <w:t>has</w:t>
      </w:r>
      <w:r w:rsidR="009345EA">
        <w:t xml:space="preserve"> </w:t>
      </w:r>
      <w:r w:rsidRPr="00C85E6C">
        <w:t>also</w:t>
      </w:r>
      <w:r w:rsidR="009345EA">
        <w:t xml:space="preserve"> </w:t>
      </w:r>
      <w:r w:rsidRPr="00C85E6C">
        <w:t>been</w:t>
      </w:r>
      <w:r w:rsidR="009345EA">
        <w:t xml:space="preserve"> </w:t>
      </w:r>
      <w:r w:rsidRPr="00C85E6C">
        <w:t>unreasonably</w:t>
      </w:r>
      <w:r w:rsidR="009345EA">
        <w:t xml:space="preserve"> </w:t>
      </w:r>
      <w:r w:rsidRPr="00C85E6C">
        <w:t>delayed.</w:t>
      </w:r>
      <w:r w:rsidR="009345EA">
        <w:t xml:space="preserve"> </w:t>
      </w:r>
    </w:p>
    <w:p w:rsidR="00D06B7B" w:rsidRPr="00C85E6C" w:rsidRDefault="00D06B7B" w:rsidP="00FF3573">
      <w:pPr>
        <w:pStyle w:val="SingleTxtG"/>
      </w:pPr>
      <w:r w:rsidRPr="00C85E6C">
        <w:t>7.4</w:t>
      </w:r>
      <w:r w:rsidRPr="00C85E6C">
        <w:tab/>
        <w:t>The</w:t>
      </w:r>
      <w:r w:rsidR="009345EA">
        <w:t xml:space="preserve"> </w:t>
      </w:r>
      <w:r w:rsidRPr="00C85E6C">
        <w:t>Committee</w:t>
      </w:r>
      <w:r w:rsidR="009345EA">
        <w:t xml:space="preserve"> </w:t>
      </w:r>
      <w:r w:rsidRPr="00C85E6C">
        <w:t>reiterates</w:t>
      </w:r>
      <w:r w:rsidR="009345EA">
        <w:t xml:space="preserve"> </w:t>
      </w:r>
      <w:r w:rsidRPr="00C85E6C">
        <w:t>its</w:t>
      </w:r>
      <w:r w:rsidR="009345EA">
        <w:t xml:space="preserve"> </w:t>
      </w:r>
      <w:r w:rsidRPr="00C85E6C">
        <w:t>jurisprudence</w:t>
      </w:r>
      <w:r w:rsidR="009345EA">
        <w:t xml:space="preserve"> </w:t>
      </w:r>
      <w:r w:rsidRPr="00C85E6C">
        <w:t>that</w:t>
      </w:r>
      <w:r w:rsidR="009345EA">
        <w:t xml:space="preserve"> </w:t>
      </w:r>
      <w:r w:rsidRPr="00C85E6C">
        <w:t>the</w:t>
      </w:r>
      <w:r w:rsidR="009345EA">
        <w:t xml:space="preserve"> </w:t>
      </w:r>
      <w:r w:rsidRPr="00C85E6C">
        <w:t>Covenant</w:t>
      </w:r>
      <w:r w:rsidR="009345EA">
        <w:t xml:space="preserve"> </w:t>
      </w:r>
      <w:r w:rsidRPr="00C85E6C">
        <w:t>does</w:t>
      </w:r>
      <w:r w:rsidR="009345EA">
        <w:t xml:space="preserve"> </w:t>
      </w:r>
      <w:r w:rsidRPr="00C85E6C">
        <w:t>not</w:t>
      </w:r>
      <w:r w:rsidR="009345EA">
        <w:t xml:space="preserve"> </w:t>
      </w:r>
      <w:r w:rsidRPr="00C85E6C">
        <w:t>provide</w:t>
      </w:r>
      <w:r w:rsidR="009345EA">
        <w:t xml:space="preserve"> </w:t>
      </w:r>
      <w:r w:rsidRPr="00C85E6C">
        <w:t>a</w:t>
      </w:r>
      <w:r w:rsidR="009345EA">
        <w:t xml:space="preserve"> </w:t>
      </w:r>
      <w:r w:rsidRPr="00C85E6C">
        <w:t>right</w:t>
      </w:r>
      <w:r w:rsidR="009345EA">
        <w:t xml:space="preserve"> </w:t>
      </w:r>
      <w:r w:rsidRPr="00C85E6C">
        <w:t>for</w:t>
      </w:r>
      <w:r w:rsidR="009345EA">
        <w:t xml:space="preserve"> </w:t>
      </w:r>
      <w:r w:rsidRPr="00C85E6C">
        <w:t>individuals</w:t>
      </w:r>
      <w:r w:rsidR="009345EA">
        <w:t xml:space="preserve"> </w:t>
      </w:r>
      <w:r w:rsidRPr="00C85E6C">
        <w:t>to</w:t>
      </w:r>
      <w:r w:rsidR="009345EA">
        <w:t xml:space="preserve"> </w:t>
      </w:r>
      <w:r w:rsidRPr="00C85E6C">
        <w:t>require</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criminally</w:t>
      </w:r>
      <w:r w:rsidR="009345EA">
        <w:t xml:space="preserve"> </w:t>
      </w:r>
      <w:r w:rsidRPr="00C85E6C">
        <w:t>prosecute</w:t>
      </w:r>
      <w:r w:rsidR="009345EA">
        <w:t xml:space="preserve"> </w:t>
      </w:r>
      <w:r w:rsidRPr="00C85E6C">
        <w:t>another</w:t>
      </w:r>
      <w:r w:rsidR="009345EA">
        <w:t xml:space="preserve"> </w:t>
      </w:r>
      <w:r w:rsidRPr="00C85E6C">
        <w:t>person.</w:t>
      </w:r>
      <w:r w:rsidRPr="00D06B7B">
        <w:rPr>
          <w:rStyle w:val="FootnoteReference"/>
        </w:rPr>
        <w:footnoteReference w:id="22"/>
      </w:r>
      <w:r w:rsidR="009345EA">
        <w:t xml:space="preserve"> </w:t>
      </w:r>
      <w:r w:rsidRPr="00C85E6C">
        <w:t>It</w:t>
      </w:r>
      <w:r w:rsidR="009345EA">
        <w:t xml:space="preserve"> </w:t>
      </w:r>
      <w:r w:rsidRPr="00C85E6C">
        <w:t>considers,</w:t>
      </w:r>
      <w:r w:rsidR="009345EA">
        <w:t xml:space="preserve"> </w:t>
      </w:r>
      <w:r w:rsidRPr="00C85E6C">
        <w:t>nonetheless,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is</w:t>
      </w:r>
      <w:r w:rsidR="009345EA">
        <w:t xml:space="preserve"> </w:t>
      </w:r>
      <w:r w:rsidRPr="00C85E6C">
        <w:t>under</w:t>
      </w:r>
      <w:r w:rsidR="009345EA">
        <w:t xml:space="preserve"> </w:t>
      </w:r>
      <w:r w:rsidRPr="00C85E6C">
        <w:t>a</w:t>
      </w:r>
      <w:r w:rsidR="009345EA">
        <w:t xml:space="preserve"> </w:t>
      </w:r>
      <w:r w:rsidRPr="00C85E6C">
        <w:t>duty</w:t>
      </w:r>
      <w:r w:rsidR="009345EA">
        <w:t xml:space="preserve"> </w:t>
      </w:r>
      <w:r w:rsidRPr="00C85E6C">
        <w:t>to</w:t>
      </w:r>
      <w:r w:rsidR="009345EA">
        <w:t xml:space="preserve"> </w:t>
      </w:r>
      <w:r w:rsidRPr="00C85E6C">
        <w:t>investigate</w:t>
      </w:r>
      <w:r w:rsidR="009345EA">
        <w:t xml:space="preserve"> </w:t>
      </w:r>
      <w:r w:rsidRPr="00C85E6C">
        <w:t>promptly,</w:t>
      </w:r>
      <w:r w:rsidR="009345EA">
        <w:t xml:space="preserve"> </w:t>
      </w:r>
      <w:r w:rsidRPr="00C85E6C">
        <w:t>impartially</w:t>
      </w:r>
      <w:r w:rsidR="009345EA">
        <w:t xml:space="preserve"> </w:t>
      </w:r>
      <w:r w:rsidRPr="00C85E6C">
        <w:t>and</w:t>
      </w:r>
      <w:r w:rsidR="009345EA">
        <w:t xml:space="preserve"> </w:t>
      </w:r>
      <w:r w:rsidRPr="00C85E6C">
        <w:t>thoroughly</w:t>
      </w:r>
      <w:r w:rsidR="009345EA">
        <w:t xml:space="preserve"> </w:t>
      </w:r>
      <w:r w:rsidRPr="00C85E6C">
        <w:t>alleged</w:t>
      </w:r>
      <w:r w:rsidR="009345EA">
        <w:t xml:space="preserve"> </w:t>
      </w:r>
      <w:r w:rsidRPr="00C85E6C">
        <w:t>violations</w:t>
      </w:r>
      <w:r w:rsidR="009345EA">
        <w:t xml:space="preserve"> </w:t>
      </w:r>
      <w:r w:rsidRPr="00C85E6C">
        <w:t>of</w:t>
      </w:r>
      <w:r w:rsidR="009345EA">
        <w:t xml:space="preserve"> </w:t>
      </w:r>
      <w:r w:rsidRPr="00C85E6C">
        <w:t>human</w:t>
      </w:r>
      <w:r w:rsidR="009345EA">
        <w:t xml:space="preserve"> </w:t>
      </w:r>
      <w:r w:rsidRPr="00C85E6C">
        <w:t>rights,</w:t>
      </w:r>
      <w:r w:rsidR="009345EA">
        <w:t xml:space="preserve"> </w:t>
      </w:r>
      <w:r w:rsidRPr="00C85E6C">
        <w:t>to</w:t>
      </w:r>
      <w:r w:rsidR="009345EA">
        <w:t xml:space="preserve"> </w:t>
      </w:r>
      <w:r w:rsidRPr="00C85E6C">
        <w:t>prosecute</w:t>
      </w:r>
      <w:r w:rsidR="009345EA">
        <w:t xml:space="preserve"> </w:t>
      </w:r>
      <w:r w:rsidRPr="00C85E6C">
        <w:t>the</w:t>
      </w:r>
      <w:r w:rsidR="009345EA">
        <w:t xml:space="preserve"> </w:t>
      </w:r>
      <w:r w:rsidRPr="00C85E6C">
        <w:t>suspects</w:t>
      </w:r>
      <w:r w:rsidR="009345EA">
        <w:t xml:space="preserve"> </w:t>
      </w:r>
      <w:r w:rsidRPr="00C85E6C">
        <w:t>and</w:t>
      </w:r>
      <w:r w:rsidR="009345EA">
        <w:t xml:space="preserve"> </w:t>
      </w:r>
      <w:r w:rsidRPr="00C85E6C">
        <w:t>punish</w:t>
      </w:r>
      <w:r w:rsidR="009345EA">
        <w:t xml:space="preserve"> </w:t>
      </w:r>
      <w:r w:rsidRPr="00C85E6C">
        <w:t>those</w:t>
      </w:r>
      <w:r w:rsidR="009345EA">
        <w:t xml:space="preserve"> </w:t>
      </w:r>
      <w:r w:rsidRPr="00C85E6C">
        <w:t>held</w:t>
      </w:r>
      <w:r w:rsidR="009345EA">
        <w:t xml:space="preserve"> </w:t>
      </w:r>
      <w:r w:rsidRPr="00C85E6C">
        <w:t>responsible</w:t>
      </w:r>
      <w:r w:rsidR="009345EA">
        <w:t xml:space="preserve"> </w:t>
      </w:r>
      <w:r w:rsidRPr="00C85E6C">
        <w:t>for</w:t>
      </w:r>
      <w:r w:rsidR="009345EA">
        <w:t xml:space="preserve"> </w:t>
      </w:r>
      <w:r w:rsidRPr="00C85E6C">
        <w:t>such</w:t>
      </w:r>
      <w:r w:rsidR="009345EA">
        <w:t xml:space="preserve"> </w:t>
      </w:r>
      <w:r w:rsidRPr="00C85E6C">
        <w:t>violations</w:t>
      </w:r>
      <w:r w:rsidRPr="00D06B7B">
        <w:rPr>
          <w:rStyle w:val="FootnoteReference"/>
        </w:rPr>
        <w:footnoteReference w:id="23"/>
      </w:r>
      <w:r w:rsidR="009345EA">
        <w:t xml:space="preserve"> </w:t>
      </w:r>
      <w:r w:rsidRPr="00C85E6C">
        <w:t>and</w:t>
      </w:r>
      <w:r w:rsidR="009345EA">
        <w:t xml:space="preserve"> </w:t>
      </w:r>
      <w:r w:rsidRPr="00C85E6C">
        <w:t>to</w:t>
      </w:r>
      <w:r w:rsidR="009345EA">
        <w:t xml:space="preserve"> </w:t>
      </w:r>
      <w:r w:rsidRPr="00C85E6C">
        <w:t>provide</w:t>
      </w:r>
      <w:r w:rsidR="009345EA">
        <w:t xml:space="preserve"> </w:t>
      </w:r>
      <w:r w:rsidRPr="00C85E6C">
        <w:t>other</w:t>
      </w:r>
      <w:r w:rsidR="009345EA">
        <w:t xml:space="preserve"> </w:t>
      </w:r>
      <w:r w:rsidRPr="00C85E6C">
        <w:t>forms</w:t>
      </w:r>
      <w:r w:rsidR="009345EA">
        <w:t xml:space="preserve"> </w:t>
      </w:r>
      <w:r w:rsidRPr="00C85E6C">
        <w:t>of</w:t>
      </w:r>
      <w:r w:rsidR="009345EA">
        <w:t xml:space="preserve"> </w:t>
      </w:r>
      <w:r w:rsidRPr="00C85E6C">
        <w:t>reparation,</w:t>
      </w:r>
      <w:r w:rsidR="009345EA">
        <w:t xml:space="preserve"> </w:t>
      </w:r>
      <w:r w:rsidRPr="00C85E6C">
        <w:t>including</w:t>
      </w:r>
      <w:r w:rsidR="009345EA">
        <w:t xml:space="preserve"> </w:t>
      </w:r>
      <w:r w:rsidRPr="00C85E6C">
        <w:t>compensation.</w:t>
      </w:r>
      <w:r w:rsidRPr="00D06B7B">
        <w:rPr>
          <w:rStyle w:val="FootnoteReference"/>
        </w:rPr>
        <w:footnoteReference w:id="24"/>
      </w:r>
      <w:r w:rsidR="009345EA">
        <w:t xml:space="preserve"> </w:t>
      </w:r>
      <w:r w:rsidRPr="00C85E6C">
        <w:t>The</w:t>
      </w:r>
      <w:r w:rsidR="009345EA">
        <w:t xml:space="preserve"> </w:t>
      </w:r>
      <w:r w:rsidRPr="00C85E6C">
        <w:t>Committee</w:t>
      </w:r>
      <w:r w:rsidR="009345EA">
        <w:t xml:space="preserve"> </w:t>
      </w:r>
      <w:r w:rsidRPr="00C85E6C">
        <w:t>has</w:t>
      </w:r>
      <w:r w:rsidR="009345EA">
        <w:t xml:space="preserve"> </w:t>
      </w:r>
      <w:r w:rsidRPr="00C85E6C">
        <w:t>also</w:t>
      </w:r>
      <w:r w:rsidR="009345EA">
        <w:t xml:space="preserve"> </w:t>
      </w:r>
      <w:r w:rsidRPr="00C85E6C">
        <w:t>recognized</w:t>
      </w:r>
      <w:r w:rsidR="009345EA">
        <w:t xml:space="preserve"> </w:t>
      </w:r>
      <w:r w:rsidRPr="00C85E6C">
        <w:t>the</w:t>
      </w:r>
      <w:r w:rsidR="009345EA">
        <w:t xml:space="preserve"> </w:t>
      </w:r>
      <w:r w:rsidRPr="00C85E6C">
        <w:t>obligation</w:t>
      </w:r>
      <w:r w:rsidR="009345EA">
        <w:t xml:space="preserve"> </w:t>
      </w:r>
      <w:r w:rsidRPr="00C85E6C">
        <w:t>to</w:t>
      </w:r>
      <w:r w:rsidR="009345EA">
        <w:t xml:space="preserve"> </w:t>
      </w:r>
      <w:r w:rsidRPr="00C85E6C">
        <w:t>punish</w:t>
      </w:r>
      <w:r w:rsidR="009345EA">
        <w:t xml:space="preserve"> </w:t>
      </w:r>
      <w:r w:rsidRPr="00C85E6C">
        <w:t>violations</w:t>
      </w:r>
      <w:r w:rsidR="009345EA">
        <w:t xml:space="preserve"> </w:t>
      </w:r>
      <w:r w:rsidRPr="00C85E6C">
        <w:t>by</w:t>
      </w:r>
      <w:r w:rsidR="009345EA">
        <w:t xml:space="preserve"> </w:t>
      </w:r>
      <w:r w:rsidRPr="00C85E6C">
        <w:t>both</w:t>
      </w:r>
      <w:r w:rsidR="009345EA">
        <w:t xml:space="preserve"> </w:t>
      </w:r>
      <w:r w:rsidRPr="00C85E6C">
        <w:t>State</w:t>
      </w:r>
      <w:r w:rsidR="009345EA">
        <w:t xml:space="preserve"> </w:t>
      </w:r>
      <w:r w:rsidRPr="00C85E6C">
        <w:t>and</w:t>
      </w:r>
      <w:r w:rsidR="009345EA">
        <w:t xml:space="preserve"> </w:t>
      </w:r>
      <w:r w:rsidRPr="00C85E6C">
        <w:t>non-State</w:t>
      </w:r>
      <w:r w:rsidR="009345EA">
        <w:t xml:space="preserve"> </w:t>
      </w:r>
      <w:r w:rsidRPr="00C85E6C">
        <w:t>actors.</w:t>
      </w:r>
      <w:r w:rsidRPr="00D06B7B">
        <w:rPr>
          <w:rStyle w:val="FootnoteReference"/>
        </w:rPr>
        <w:footnoteReference w:id="25"/>
      </w:r>
      <w:r w:rsidR="009345EA">
        <w:t xml:space="preserve"> </w:t>
      </w:r>
      <w:r w:rsidRPr="00C85E6C">
        <w:t>Under</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has</w:t>
      </w:r>
      <w:r w:rsidR="009345EA">
        <w:t xml:space="preserve"> </w:t>
      </w:r>
      <w:r w:rsidRPr="00C85E6C">
        <w:t>an</w:t>
      </w:r>
      <w:r w:rsidR="009345EA">
        <w:t xml:space="preserve"> </w:t>
      </w:r>
      <w:r w:rsidRPr="00C85E6C">
        <w:t>obligation</w:t>
      </w:r>
      <w:r w:rsidR="009345EA">
        <w:t xml:space="preserve"> </w:t>
      </w:r>
      <w:r w:rsidRPr="00C85E6C">
        <w:t>to</w:t>
      </w:r>
      <w:r w:rsidR="009345EA">
        <w:t xml:space="preserve"> </w:t>
      </w:r>
      <w:r w:rsidRPr="00C85E6C">
        <w:t>ensure</w:t>
      </w:r>
      <w:r w:rsidR="009345EA">
        <w:t xml:space="preserve"> </w:t>
      </w:r>
      <w:r w:rsidRPr="00C85E6C">
        <w:t>that</w:t>
      </w:r>
      <w:r w:rsidR="009345EA">
        <w:t xml:space="preserve"> </w:t>
      </w:r>
      <w:r w:rsidRPr="00C85E6C">
        <w:t>remedies</w:t>
      </w:r>
      <w:r w:rsidR="009345EA">
        <w:t xml:space="preserve"> </w:t>
      </w:r>
      <w:r w:rsidRPr="00C85E6C">
        <w:t>are</w:t>
      </w:r>
      <w:r w:rsidR="009345EA">
        <w:t xml:space="preserve"> </w:t>
      </w:r>
      <w:r w:rsidRPr="00C85E6C">
        <w:t>effective.</w:t>
      </w:r>
      <w:r w:rsidR="009345EA">
        <w:t xml:space="preserve"> </w:t>
      </w:r>
      <w:r w:rsidRPr="00C85E6C">
        <w:t>Expedition</w:t>
      </w:r>
      <w:r w:rsidR="009345EA">
        <w:t xml:space="preserve"> </w:t>
      </w:r>
      <w:r w:rsidRPr="00C85E6C">
        <w:t>and</w:t>
      </w:r>
      <w:r w:rsidR="009345EA">
        <w:t xml:space="preserve"> </w:t>
      </w:r>
      <w:r w:rsidRPr="00C85E6C">
        <w:t>effectiveness</w:t>
      </w:r>
      <w:r w:rsidR="009345EA">
        <w:t xml:space="preserve"> </w:t>
      </w:r>
      <w:r w:rsidRPr="00C85E6C">
        <w:t>are</w:t>
      </w:r>
      <w:r w:rsidR="009345EA">
        <w:t xml:space="preserve"> </w:t>
      </w:r>
      <w:r w:rsidRPr="00C85E6C">
        <w:t>particularly</w:t>
      </w:r>
      <w:r w:rsidR="009345EA">
        <w:t xml:space="preserve"> </w:t>
      </w:r>
      <w:r w:rsidRPr="00C85E6C">
        <w:t>important</w:t>
      </w:r>
      <w:r w:rsidR="009345EA">
        <w:t xml:space="preserve"> </w:t>
      </w:r>
      <w:r w:rsidRPr="00C85E6C">
        <w:t>in</w:t>
      </w:r>
      <w:r w:rsidR="009345EA">
        <w:t xml:space="preserve"> </w:t>
      </w:r>
      <w:r w:rsidRPr="00C85E6C">
        <w:t>the</w:t>
      </w:r>
      <w:r w:rsidR="009345EA">
        <w:t xml:space="preserve"> </w:t>
      </w:r>
      <w:r w:rsidRPr="00C85E6C">
        <w:t>adjudication</w:t>
      </w:r>
      <w:r w:rsidR="009345EA">
        <w:t xml:space="preserve"> </w:t>
      </w:r>
      <w:r w:rsidRPr="00C85E6C">
        <w:t>of</w:t>
      </w:r>
      <w:r w:rsidR="009345EA">
        <w:t xml:space="preserve"> </w:t>
      </w:r>
      <w:r w:rsidRPr="00C85E6C">
        <w:t>cases</w:t>
      </w:r>
      <w:r w:rsidR="009345EA">
        <w:t xml:space="preserve"> </w:t>
      </w:r>
      <w:r w:rsidRPr="00C85E6C">
        <w:t>involving</w:t>
      </w:r>
      <w:r w:rsidR="009345EA">
        <w:t xml:space="preserve"> </w:t>
      </w:r>
      <w:r w:rsidRPr="00C85E6C">
        <w:t>claims</w:t>
      </w:r>
      <w:r w:rsidR="009345EA">
        <w:t xml:space="preserve"> </w:t>
      </w:r>
      <w:r w:rsidRPr="00C85E6C">
        <w:t>of</w:t>
      </w:r>
      <w:r w:rsidR="009345EA">
        <w:t xml:space="preserve"> </w:t>
      </w:r>
      <w:r w:rsidRPr="00C85E6C">
        <w:t>such</w:t>
      </w:r>
      <w:r w:rsidR="009345EA">
        <w:t xml:space="preserve"> </w:t>
      </w:r>
      <w:r w:rsidRPr="00C85E6C">
        <w:t>gravity</w:t>
      </w:r>
      <w:r w:rsidR="009345EA">
        <w:t xml:space="preserve"> </w:t>
      </w:r>
      <w:r w:rsidRPr="00C85E6C">
        <w:t>as</w:t>
      </w:r>
      <w:r w:rsidR="009345EA">
        <w:t xml:space="preserve"> </w:t>
      </w:r>
      <w:r w:rsidRPr="00C85E6C">
        <w:t>rape.</w:t>
      </w:r>
      <w:r w:rsidR="009345EA">
        <w:t xml:space="preserve"> </w:t>
      </w:r>
      <w:r w:rsidRPr="00C85E6C">
        <w:t>The</w:t>
      </w:r>
      <w:r w:rsidR="009345EA">
        <w:t xml:space="preserve"> </w:t>
      </w:r>
      <w:r w:rsidRPr="00C85E6C">
        <w:t>Committee</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may</w:t>
      </w:r>
      <w:r w:rsidR="009345EA">
        <w:t xml:space="preserve"> </w:t>
      </w:r>
      <w:r w:rsidRPr="00C85E6C">
        <w:t>not</w:t>
      </w:r>
      <w:r w:rsidR="009345EA">
        <w:t xml:space="preserve"> </w:t>
      </w:r>
      <w:r w:rsidRPr="00C85E6C">
        <w:t>avoid</w:t>
      </w:r>
      <w:r w:rsidR="009345EA">
        <w:t xml:space="preserve"> </w:t>
      </w:r>
      <w:r w:rsidRPr="00C85E6C">
        <w:t>its</w:t>
      </w:r>
      <w:r w:rsidR="009345EA">
        <w:t xml:space="preserve"> </w:t>
      </w:r>
      <w:r w:rsidRPr="00C85E6C">
        <w:t>responsibilities</w:t>
      </w:r>
      <w:r w:rsidR="009345EA">
        <w:t xml:space="preserve"> </w:t>
      </w:r>
      <w:r w:rsidRPr="00C85E6C">
        <w:t>under</w:t>
      </w:r>
      <w:r w:rsidR="009345EA">
        <w:t xml:space="preserve"> </w:t>
      </w:r>
      <w:r w:rsidRPr="00C85E6C">
        <w:t>the</w:t>
      </w:r>
      <w:r w:rsidR="009345EA">
        <w:t xml:space="preserve"> </w:t>
      </w:r>
      <w:r w:rsidRPr="00C85E6C">
        <w:t>Covenant</w:t>
      </w:r>
      <w:r w:rsidR="009345EA">
        <w:t xml:space="preserve"> </w:t>
      </w:r>
      <w:r w:rsidRPr="00C85E6C">
        <w:t>by</w:t>
      </w:r>
      <w:r w:rsidR="009345EA">
        <w:t xml:space="preserve"> </w:t>
      </w:r>
      <w:r w:rsidRPr="00C85E6C">
        <w:t>pointing</w:t>
      </w:r>
      <w:r w:rsidR="009345EA">
        <w:t xml:space="preserve"> </w:t>
      </w:r>
      <w:r w:rsidRPr="00C85E6C">
        <w:t>to</w:t>
      </w:r>
      <w:r w:rsidR="009345EA">
        <w:t xml:space="preserve"> </w:t>
      </w:r>
      <w:r w:rsidRPr="00C85E6C">
        <w:t>the</w:t>
      </w:r>
      <w:r w:rsidR="009345EA">
        <w:t xml:space="preserve"> </w:t>
      </w:r>
      <w:r w:rsidRPr="00C85E6C">
        <w:t>fact</w:t>
      </w:r>
      <w:r w:rsidR="009345EA">
        <w:t xml:space="preserve"> </w:t>
      </w:r>
      <w:r w:rsidRPr="00C85E6C">
        <w:t>that</w:t>
      </w:r>
      <w:r w:rsidR="009345EA">
        <w:t xml:space="preserve"> </w:t>
      </w:r>
      <w:r w:rsidRPr="00C85E6C">
        <w:t>the</w:t>
      </w:r>
      <w:r w:rsidR="009345EA">
        <w:t xml:space="preserve"> </w:t>
      </w:r>
      <w:r w:rsidRPr="00C85E6C">
        <w:t>domestic</w:t>
      </w:r>
      <w:r w:rsidR="009345EA">
        <w:t xml:space="preserve"> </w:t>
      </w:r>
      <w:r w:rsidRPr="00C85E6C">
        <w:t>courts</w:t>
      </w:r>
      <w:r w:rsidR="009345EA">
        <w:t xml:space="preserve"> </w:t>
      </w:r>
      <w:r w:rsidRPr="00C85E6C">
        <w:t>have</w:t>
      </w:r>
      <w:r w:rsidR="009345EA">
        <w:t xml:space="preserve"> </w:t>
      </w:r>
      <w:r w:rsidRPr="00C85E6C">
        <w:t>already</w:t>
      </w:r>
      <w:r w:rsidR="009345EA">
        <w:t xml:space="preserve"> </w:t>
      </w:r>
      <w:r w:rsidRPr="00C85E6C">
        <w:t>dealt</w:t>
      </w:r>
      <w:r w:rsidR="009345EA">
        <w:t xml:space="preserve"> </w:t>
      </w:r>
      <w:r w:rsidRPr="00C85E6C">
        <w:t>or</w:t>
      </w:r>
      <w:r w:rsidR="009345EA">
        <w:t xml:space="preserve"> </w:t>
      </w:r>
      <w:r w:rsidRPr="00C85E6C">
        <w:t>are</w:t>
      </w:r>
      <w:r w:rsidR="009345EA">
        <w:t xml:space="preserve"> </w:t>
      </w:r>
      <w:r w:rsidRPr="00C85E6C">
        <w:t>still</w:t>
      </w:r>
      <w:r w:rsidR="009345EA">
        <w:t xml:space="preserve"> </w:t>
      </w:r>
      <w:r w:rsidRPr="00C85E6C">
        <w:t>dealing</w:t>
      </w:r>
      <w:r w:rsidR="009345EA">
        <w:t xml:space="preserve"> </w:t>
      </w:r>
      <w:r w:rsidRPr="00C85E6C">
        <w:t>with</w:t>
      </w:r>
      <w:r w:rsidR="009345EA">
        <w:t xml:space="preserve"> </w:t>
      </w:r>
      <w:r w:rsidRPr="00C85E6C">
        <w:t>the</w:t>
      </w:r>
      <w:r w:rsidR="009345EA">
        <w:t xml:space="preserve"> </w:t>
      </w:r>
      <w:r w:rsidRPr="00C85E6C">
        <w:t>matter,</w:t>
      </w:r>
      <w:r w:rsidR="009345EA">
        <w:t xml:space="preserve"> </w:t>
      </w:r>
      <w:r w:rsidRPr="00C85E6C">
        <w:t>when</w:t>
      </w:r>
      <w:r w:rsidR="009345EA">
        <w:t xml:space="preserve"> </w:t>
      </w:r>
      <w:r w:rsidRPr="00C85E6C">
        <w:t>it</w:t>
      </w:r>
      <w:r w:rsidR="009345EA">
        <w:t xml:space="preserve"> </w:t>
      </w:r>
      <w:r w:rsidRPr="00C85E6C">
        <w:t>is</w:t>
      </w:r>
      <w:r w:rsidR="009345EA">
        <w:t xml:space="preserve"> </w:t>
      </w:r>
      <w:r w:rsidRPr="00C85E6C">
        <w:t>clear</w:t>
      </w:r>
      <w:r w:rsidR="009345EA">
        <w:t xml:space="preserve"> </w:t>
      </w:r>
      <w:r w:rsidRPr="00C85E6C">
        <w:t>that</w:t>
      </w:r>
      <w:r w:rsidR="009345EA">
        <w:t xml:space="preserve"> </w:t>
      </w:r>
      <w:r w:rsidRPr="00C85E6C">
        <w:t>the</w:t>
      </w:r>
      <w:r w:rsidR="009345EA">
        <w:t xml:space="preserve"> </w:t>
      </w:r>
      <w:r w:rsidRPr="00C85E6C">
        <w:t>remedies</w:t>
      </w:r>
      <w:r w:rsidR="009345EA">
        <w:t xml:space="preserve"> </w:t>
      </w:r>
      <w:r w:rsidRPr="00C85E6C">
        <w:t>granted</w:t>
      </w:r>
      <w:r w:rsidR="009345EA">
        <w:t xml:space="preserve"> </w:t>
      </w:r>
      <w:r w:rsidRPr="00C85E6C">
        <w:t>or</w:t>
      </w:r>
      <w:r w:rsidR="009345EA">
        <w:t xml:space="preserve"> </w:t>
      </w:r>
      <w:r w:rsidRPr="00C85E6C">
        <w:t>pending</w:t>
      </w:r>
      <w:r w:rsidR="009345EA">
        <w:t xml:space="preserve"> </w:t>
      </w:r>
      <w:r w:rsidRPr="00C85E6C">
        <w:t>in</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have</w:t>
      </w:r>
      <w:r w:rsidR="009345EA">
        <w:t xml:space="preserve"> </w:t>
      </w:r>
      <w:r w:rsidRPr="00C85E6C">
        <w:t>been</w:t>
      </w:r>
      <w:r w:rsidR="009345EA">
        <w:t xml:space="preserve"> </w:t>
      </w:r>
      <w:r w:rsidRPr="00C85E6C">
        <w:t>unduly</w:t>
      </w:r>
      <w:r w:rsidR="009345EA">
        <w:t xml:space="preserve"> </w:t>
      </w:r>
      <w:r w:rsidRPr="00C85E6C">
        <w:t>prolonged</w:t>
      </w:r>
      <w:r w:rsidR="009345EA">
        <w:t xml:space="preserve"> </w:t>
      </w:r>
      <w:r w:rsidRPr="00C85E6C">
        <w:t>and</w:t>
      </w:r>
      <w:r w:rsidR="009345EA">
        <w:t xml:space="preserve"> </w:t>
      </w:r>
      <w:r w:rsidRPr="00C85E6C">
        <w:t>would</w:t>
      </w:r>
      <w:r w:rsidR="009345EA">
        <w:t xml:space="preserve"> </w:t>
      </w:r>
      <w:r w:rsidRPr="00C85E6C">
        <w:t>appear</w:t>
      </w:r>
      <w:r w:rsidR="009345EA">
        <w:t xml:space="preserve"> </w:t>
      </w:r>
      <w:r w:rsidRPr="00C85E6C">
        <w:t>to</w:t>
      </w:r>
      <w:r w:rsidR="009345EA">
        <w:t xml:space="preserve"> </w:t>
      </w:r>
      <w:r w:rsidRPr="00C85E6C">
        <w:t>be</w:t>
      </w:r>
      <w:r w:rsidR="009345EA">
        <w:t xml:space="preserve"> </w:t>
      </w:r>
      <w:r w:rsidRPr="00C85E6C">
        <w:t>ineffective.</w:t>
      </w:r>
      <w:r w:rsidR="009345EA">
        <w:t xml:space="preserve"> </w:t>
      </w:r>
      <w:r w:rsidRPr="00C85E6C">
        <w:t>Regarding</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allegations</w:t>
      </w:r>
      <w:r w:rsidR="009345EA">
        <w:t xml:space="preserve"> </w:t>
      </w:r>
      <w:r w:rsidRPr="00C85E6C">
        <w:t>concerning</w:t>
      </w:r>
      <w:r w:rsidR="009345EA">
        <w:t xml:space="preserve"> </w:t>
      </w:r>
      <w:r w:rsidRPr="00C85E6C">
        <w:t>the</w:t>
      </w:r>
      <w:r w:rsidR="009345EA">
        <w:t xml:space="preserve"> </w:t>
      </w:r>
      <w:r w:rsidRPr="00C85E6C">
        <w:t>physical</w:t>
      </w:r>
      <w:r w:rsidR="009345EA">
        <w:t xml:space="preserve"> </w:t>
      </w:r>
      <w:r w:rsidRPr="00C85E6C">
        <w:t>and</w:t>
      </w:r>
      <w:r w:rsidR="009345EA">
        <w:t xml:space="preserve"> </w:t>
      </w:r>
      <w:r w:rsidRPr="00C85E6C">
        <w:t>mental</w:t>
      </w:r>
      <w:r w:rsidR="009345EA">
        <w:t xml:space="preserve"> </w:t>
      </w:r>
      <w:r w:rsidRPr="00C85E6C">
        <w:t>suffering</w:t>
      </w:r>
      <w:r w:rsidR="009345EA">
        <w:t xml:space="preserve"> </w:t>
      </w:r>
      <w:r w:rsidRPr="00C85E6C">
        <w:t>that</w:t>
      </w:r>
      <w:r w:rsidR="009345EA">
        <w:t xml:space="preserve"> </w:t>
      </w:r>
      <w:r w:rsidRPr="00C85E6C">
        <w:t>she</w:t>
      </w:r>
      <w:r w:rsidR="009345EA">
        <w:t xml:space="preserve"> </w:t>
      </w:r>
      <w:r w:rsidRPr="00C85E6C">
        <w:t>endured</w:t>
      </w:r>
      <w:r w:rsidR="009345EA">
        <w:t xml:space="preserve"> </w:t>
      </w:r>
      <w:r w:rsidRPr="00C85E6C">
        <w:t>as</w:t>
      </w:r>
      <w:r w:rsidR="009345EA">
        <w:t xml:space="preserve"> </w:t>
      </w:r>
      <w:r w:rsidRPr="00C85E6C">
        <w:t>a</w:t>
      </w:r>
      <w:r w:rsidR="009345EA">
        <w:t xml:space="preserve"> </w:t>
      </w:r>
      <w:r w:rsidRPr="00C85E6C">
        <w:t>consequence</w:t>
      </w:r>
      <w:r w:rsidR="009345EA">
        <w:t xml:space="preserve"> </w:t>
      </w:r>
      <w:r w:rsidRPr="00C85E6C">
        <w:t>of</w:t>
      </w:r>
      <w:r w:rsidR="009345EA">
        <w:t xml:space="preserve"> </w:t>
      </w:r>
      <w:r w:rsidRPr="00C85E6C">
        <w:t>rape</w:t>
      </w:r>
      <w:r w:rsidR="009345EA">
        <w:t xml:space="preserve"> </w:t>
      </w:r>
      <w:r w:rsidRPr="00C85E6C">
        <w:t>and</w:t>
      </w:r>
      <w:r w:rsidR="009345EA">
        <w:t xml:space="preserve"> </w:t>
      </w:r>
      <w:r w:rsidRPr="00C85E6C">
        <w:t>the</w:t>
      </w:r>
      <w:r w:rsidR="009345EA">
        <w:t xml:space="preserve"> </w:t>
      </w:r>
      <w:r w:rsidRPr="00C85E6C">
        <w:t>State</w:t>
      </w:r>
      <w:r w:rsidR="009345EA">
        <w:t xml:space="preserve"> </w:t>
      </w:r>
      <w:r w:rsidRPr="00C85E6C">
        <w:t>party</w:t>
      </w:r>
      <w:r w:rsidR="00EB40F1">
        <w:t>’</w:t>
      </w:r>
      <w:r w:rsidRPr="00C85E6C">
        <w:t>s</w:t>
      </w:r>
      <w:r w:rsidR="009345EA">
        <w:t xml:space="preserve"> </w:t>
      </w:r>
      <w:r w:rsidRPr="00C85E6C">
        <w:t>failure</w:t>
      </w:r>
      <w:r w:rsidR="009345EA">
        <w:t xml:space="preserve"> </w:t>
      </w:r>
      <w:r w:rsidRPr="00C85E6C">
        <w:t>to</w:t>
      </w:r>
      <w:r w:rsidR="009345EA">
        <w:t xml:space="preserve"> </w:t>
      </w:r>
      <w:r w:rsidRPr="00C85E6C">
        <w:t>protect</w:t>
      </w:r>
      <w:r w:rsidR="009345EA">
        <w:t xml:space="preserve"> </w:t>
      </w:r>
      <w:r w:rsidRPr="00C85E6C">
        <w:t>her</w:t>
      </w:r>
      <w:r w:rsidR="009345EA">
        <w:t xml:space="preserve"> </w:t>
      </w:r>
      <w:r w:rsidRPr="00C85E6C">
        <w:t>against</w:t>
      </w:r>
      <w:r w:rsidR="009345EA">
        <w:t xml:space="preserve"> </w:t>
      </w:r>
      <w:r w:rsidRPr="00C85E6C">
        <w:t>or</w:t>
      </w:r>
      <w:r w:rsidR="009345EA">
        <w:t xml:space="preserve"> </w:t>
      </w:r>
      <w:r w:rsidRPr="00C85E6C">
        <w:t>adequately</w:t>
      </w:r>
      <w:r w:rsidR="009345EA">
        <w:t xml:space="preserve"> </w:t>
      </w:r>
      <w:r w:rsidRPr="00C85E6C">
        <w:t>respond</w:t>
      </w:r>
      <w:r w:rsidR="009345EA">
        <w:t xml:space="preserve"> </w:t>
      </w:r>
      <w:r w:rsidRPr="00C85E6C">
        <w:t>to</w:t>
      </w:r>
      <w:r w:rsidR="009345EA">
        <w:t xml:space="preserve"> </w:t>
      </w:r>
      <w:r w:rsidRPr="00C85E6C">
        <w:t>rape,</w:t>
      </w:r>
      <w:r w:rsidR="009345EA">
        <w:t xml:space="preserve"> </w:t>
      </w:r>
      <w:r w:rsidRPr="00C85E6C">
        <w:t>the</w:t>
      </w:r>
      <w:r w:rsidR="009345EA">
        <w:t xml:space="preserve"> </w:t>
      </w:r>
      <w:r w:rsidRPr="00C85E6C">
        <w:t>Committee</w:t>
      </w:r>
      <w:r w:rsidR="009345EA">
        <w:t xml:space="preserve"> </w:t>
      </w:r>
      <w:r w:rsidRPr="00C85E6C">
        <w:t>considers</w:t>
      </w:r>
      <w:r w:rsidR="009345EA">
        <w:t xml:space="preserve"> </w:t>
      </w:r>
      <w:r w:rsidRPr="00C85E6C">
        <w:t>that</w:t>
      </w:r>
      <w:r w:rsidR="009345EA">
        <w:t xml:space="preserve"> </w:t>
      </w:r>
      <w:r w:rsidRPr="00C85E6C">
        <w:t>the</w:t>
      </w:r>
      <w:r w:rsidR="009345EA">
        <w:t xml:space="preserve"> </w:t>
      </w:r>
      <w:r w:rsidRPr="00C85E6C">
        <w:t>lack</w:t>
      </w:r>
      <w:r w:rsidR="009345EA">
        <w:t xml:space="preserve"> </w:t>
      </w:r>
      <w:r w:rsidRPr="00C85E6C">
        <w:t>of</w:t>
      </w:r>
      <w:r w:rsidR="009345EA">
        <w:t xml:space="preserve"> </w:t>
      </w:r>
      <w:r w:rsidRPr="00C85E6C">
        <w:t>effective</w:t>
      </w:r>
      <w:r w:rsidR="009345EA">
        <w:t xml:space="preserve"> </w:t>
      </w:r>
      <w:r w:rsidRPr="00C85E6C">
        <w:t>investigation,</w:t>
      </w:r>
      <w:r w:rsidR="009345EA">
        <w:t xml:space="preserve"> </w:t>
      </w:r>
      <w:r w:rsidRPr="00C85E6C">
        <w:t>the</w:t>
      </w:r>
      <w:r w:rsidR="009345EA">
        <w:t xml:space="preserve"> </w:t>
      </w:r>
      <w:r w:rsidRPr="00C85E6C">
        <w:t>unduly</w:t>
      </w:r>
      <w:r w:rsidR="009345EA">
        <w:t xml:space="preserve"> </w:t>
      </w:r>
      <w:r w:rsidRPr="00C85E6C">
        <w:t>prolonged</w:t>
      </w:r>
      <w:r w:rsidR="009345EA">
        <w:t xml:space="preserve"> </w:t>
      </w:r>
      <w:r w:rsidRPr="00C85E6C">
        <w:t>prosecution</w:t>
      </w:r>
      <w:r w:rsidR="009345EA">
        <w:t xml:space="preserve"> </w:t>
      </w:r>
      <w:r w:rsidRPr="00C85E6C">
        <w:t>of</w:t>
      </w:r>
      <w:r w:rsidR="009345EA">
        <w:t xml:space="preserve"> </w:t>
      </w:r>
      <w:r w:rsidRPr="00C85E6C">
        <w:t>the</w:t>
      </w:r>
      <w:r w:rsidR="009345EA">
        <w:t xml:space="preserve"> </w:t>
      </w:r>
      <w:r w:rsidRPr="00C85E6C">
        <w:t>suspects</w:t>
      </w:r>
      <w:r w:rsidR="009345EA">
        <w:t xml:space="preserve"> </w:t>
      </w:r>
      <w:r w:rsidRPr="00C85E6C">
        <w:t>and</w:t>
      </w:r>
      <w:r w:rsidR="009345EA">
        <w:t xml:space="preserve"> </w:t>
      </w:r>
      <w:r w:rsidRPr="00C85E6C">
        <w:t>the</w:t>
      </w:r>
      <w:r w:rsidR="009345EA">
        <w:t xml:space="preserve"> </w:t>
      </w:r>
      <w:r w:rsidRPr="00C85E6C">
        <w:t>punishment</w:t>
      </w:r>
      <w:r w:rsidR="009345EA">
        <w:t xml:space="preserve"> </w:t>
      </w:r>
      <w:r w:rsidRPr="00C85E6C">
        <w:t>of</w:t>
      </w:r>
      <w:r w:rsidR="009345EA">
        <w:t xml:space="preserve"> </w:t>
      </w:r>
      <w:r w:rsidRPr="00C85E6C">
        <w:t>those</w:t>
      </w:r>
      <w:r w:rsidR="009345EA">
        <w:t xml:space="preserve"> </w:t>
      </w:r>
      <w:r w:rsidRPr="00C85E6C">
        <w:t>held</w:t>
      </w:r>
      <w:r w:rsidR="009345EA">
        <w:t xml:space="preserve"> </w:t>
      </w:r>
      <w:r w:rsidRPr="00C85E6C">
        <w:t>responsible</w:t>
      </w:r>
      <w:r w:rsidR="009345EA">
        <w:t xml:space="preserve"> </w:t>
      </w:r>
      <w:r w:rsidRPr="00C85E6C">
        <w:t>only</w:t>
      </w:r>
      <w:r w:rsidR="009345EA">
        <w:t xml:space="preserve"> </w:t>
      </w:r>
      <w:r w:rsidRPr="00C85E6C">
        <w:t>14</w:t>
      </w:r>
      <w:r w:rsidR="009345EA">
        <w:t xml:space="preserve"> </w:t>
      </w:r>
      <w:r w:rsidRPr="00C85E6C">
        <w:t>years</w:t>
      </w:r>
      <w:r w:rsidR="009345EA">
        <w:t xml:space="preserve"> </w:t>
      </w:r>
      <w:r w:rsidRPr="00C85E6C">
        <w:t>on,</w:t>
      </w:r>
      <w:r w:rsidR="009345EA">
        <w:t xml:space="preserve"> </w:t>
      </w:r>
      <w:r w:rsidRPr="00C85E6C">
        <w:t>without</w:t>
      </w:r>
      <w:r w:rsidR="009345EA">
        <w:t xml:space="preserve"> </w:t>
      </w:r>
      <w:r w:rsidRPr="00C85E6C">
        <w:t>adequate</w:t>
      </w:r>
      <w:r w:rsidR="009345EA">
        <w:t xml:space="preserve"> </w:t>
      </w:r>
      <w:r w:rsidRPr="00C85E6C">
        <w:t>reparation,</w:t>
      </w:r>
      <w:r w:rsidR="009345EA">
        <w:t xml:space="preserve"> </w:t>
      </w:r>
      <w:r w:rsidRPr="00C85E6C">
        <w:t>as</w:t>
      </w:r>
      <w:r w:rsidR="009345EA">
        <w:t xml:space="preserve"> </w:t>
      </w:r>
      <w:r w:rsidRPr="00C85E6C">
        <w:t>well</w:t>
      </w:r>
      <w:r w:rsidR="009345EA">
        <w:t xml:space="preserve"> </w:t>
      </w:r>
      <w:r w:rsidRPr="00C85E6C">
        <w:t>as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treatment</w:t>
      </w:r>
      <w:r w:rsidR="009345EA">
        <w:t xml:space="preserve"> </w:t>
      </w:r>
      <w:r w:rsidRPr="00C85E6C">
        <w:t>during</w:t>
      </w:r>
      <w:r w:rsidR="009345EA">
        <w:t xml:space="preserve"> </w:t>
      </w:r>
      <w:r w:rsidRPr="00C85E6C">
        <w:t>the</w:t>
      </w:r>
      <w:r w:rsidR="009345EA">
        <w:t xml:space="preserve"> </w:t>
      </w:r>
      <w:r w:rsidRPr="00C85E6C">
        <w:t>court</w:t>
      </w:r>
      <w:r w:rsidR="009345EA">
        <w:t xml:space="preserve"> </w:t>
      </w:r>
      <w:r w:rsidRPr="00C85E6C">
        <w:t>proceedings,</w:t>
      </w:r>
      <w:r w:rsidR="009345EA">
        <w:t xml:space="preserve"> </w:t>
      </w:r>
      <w:r w:rsidRPr="00C85E6C">
        <w:t>when</w:t>
      </w:r>
      <w:r w:rsidR="009345EA">
        <w:t xml:space="preserve"> </w:t>
      </w:r>
      <w:r w:rsidRPr="00C85E6C">
        <w:t>derogatory</w:t>
      </w:r>
      <w:r w:rsidR="009345EA">
        <w:t xml:space="preserve"> </w:t>
      </w:r>
      <w:r w:rsidRPr="00C85E6C">
        <w:t>statements</w:t>
      </w:r>
      <w:r w:rsidR="009345EA">
        <w:t xml:space="preserve"> </w:t>
      </w:r>
      <w:r w:rsidRPr="00C85E6C">
        <w:t>were</w:t>
      </w:r>
      <w:r w:rsidR="009345EA">
        <w:t xml:space="preserve"> </w:t>
      </w:r>
      <w:r w:rsidRPr="00C85E6C">
        <w:t>made</w:t>
      </w:r>
      <w:r w:rsidR="009345EA">
        <w:t xml:space="preserve"> </w:t>
      </w:r>
      <w:r w:rsidRPr="00C85E6C">
        <w:t>against</w:t>
      </w:r>
      <w:r w:rsidR="009345EA">
        <w:t xml:space="preserve"> </w:t>
      </w:r>
      <w:r w:rsidRPr="00C85E6C">
        <w:t>her,</w:t>
      </w:r>
      <w:r w:rsidR="009345EA">
        <w:t xml:space="preserve"> </w:t>
      </w:r>
      <w:r w:rsidRPr="00C85E6C">
        <w:t>contributed</w:t>
      </w:r>
      <w:r w:rsidR="009345EA">
        <w:t xml:space="preserve"> </w:t>
      </w:r>
      <w:r w:rsidRPr="00C85E6C">
        <w:t>to</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re</w:t>
      </w:r>
      <w:r w:rsidR="004645ED">
        <w:t>-</w:t>
      </w:r>
      <w:r w:rsidRPr="00C85E6C">
        <w:t>victimization,</w:t>
      </w:r>
      <w:r w:rsidR="009345EA">
        <w:t xml:space="preserve"> </w:t>
      </w:r>
      <w:r w:rsidRPr="00C85E6C">
        <w:t>which</w:t>
      </w:r>
      <w:r w:rsidR="009345EA">
        <w:t xml:space="preserve"> </w:t>
      </w:r>
      <w:r w:rsidRPr="00C85E6C">
        <w:t>was</w:t>
      </w:r>
      <w:r w:rsidR="009345EA">
        <w:t xml:space="preserve"> </w:t>
      </w:r>
      <w:r w:rsidRPr="00C85E6C">
        <w:t>aggravated</w:t>
      </w:r>
      <w:r w:rsidR="009345EA">
        <w:t xml:space="preserve"> </w:t>
      </w:r>
      <w:r w:rsidRPr="00C85E6C">
        <w:t>by</w:t>
      </w:r>
      <w:r w:rsidR="009345EA">
        <w:t xml:space="preserve"> </w:t>
      </w:r>
      <w:r w:rsidRPr="00C85E6C">
        <w:t>the</w:t>
      </w:r>
      <w:r w:rsidR="009345EA">
        <w:t xml:space="preserve"> </w:t>
      </w:r>
      <w:r w:rsidRPr="00C85E6C">
        <w:t>fact</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a</w:t>
      </w:r>
      <w:r w:rsidR="009345EA">
        <w:t xml:space="preserve"> </w:t>
      </w:r>
      <w:r w:rsidRPr="00C85E6C">
        <w:t>minor</w:t>
      </w:r>
      <w:r w:rsidR="009345EA">
        <w:t xml:space="preserve"> </w:t>
      </w:r>
      <w:r w:rsidRPr="00C85E6C">
        <w:t>when</w:t>
      </w:r>
      <w:r w:rsidR="009345EA">
        <w:t xml:space="preserve"> </w:t>
      </w:r>
      <w:r w:rsidRPr="00C85E6C">
        <w:t>she</w:t>
      </w:r>
      <w:r w:rsidR="009345EA">
        <w:t xml:space="preserve"> </w:t>
      </w:r>
      <w:r w:rsidRPr="00C85E6C">
        <w:t>was</w:t>
      </w:r>
      <w:r w:rsidR="009345EA">
        <w:t xml:space="preserve"> </w:t>
      </w:r>
      <w:r w:rsidRPr="00C85E6C">
        <w:t>raped.</w:t>
      </w:r>
      <w:r w:rsidR="009345EA">
        <w:t xml:space="preserve"> </w:t>
      </w:r>
      <w:r w:rsidRPr="00C85E6C">
        <w:t>The</w:t>
      </w:r>
      <w:r w:rsidR="009345EA">
        <w:t xml:space="preserve"> </w:t>
      </w:r>
      <w:r w:rsidRPr="00C85E6C">
        <w:t>Committee</w:t>
      </w:r>
      <w:r w:rsidR="009345EA">
        <w:t xml:space="preserve"> </w:t>
      </w:r>
      <w:r w:rsidRPr="00C85E6C">
        <w:t>recalls</w:t>
      </w:r>
      <w:r w:rsidR="009345EA">
        <w:t xml:space="preserve"> </w:t>
      </w:r>
      <w:r w:rsidRPr="00C85E6C">
        <w:t>that,</w:t>
      </w:r>
      <w:r w:rsidR="009345EA">
        <w:t xml:space="preserve"> </w:t>
      </w:r>
      <w:r w:rsidRPr="00C85E6C">
        <w:t>as</w:t>
      </w:r>
      <w:r w:rsidR="009345EA">
        <w:t xml:space="preserve"> </w:t>
      </w:r>
      <w:r w:rsidRPr="00C85E6C">
        <w:t>pointed</w:t>
      </w:r>
      <w:r w:rsidR="009345EA">
        <w:t xml:space="preserve"> </w:t>
      </w:r>
      <w:r w:rsidRPr="00C85E6C">
        <w:t>out</w:t>
      </w:r>
      <w:r w:rsidR="009345EA">
        <w:t xml:space="preserve"> </w:t>
      </w:r>
      <w:r w:rsidRPr="00C85E6C">
        <w:t>in</w:t>
      </w:r>
      <w:r w:rsidR="009345EA">
        <w:t xml:space="preserve"> </w:t>
      </w:r>
      <w:r w:rsidRPr="00C85E6C">
        <w:t>paragraph</w:t>
      </w:r>
      <w:r w:rsidR="009345EA">
        <w:t xml:space="preserve"> </w:t>
      </w:r>
      <w:r w:rsidRPr="00C85E6C">
        <w:t>5</w:t>
      </w:r>
      <w:r w:rsidR="009345EA">
        <w:t xml:space="preserve"> </w:t>
      </w:r>
      <w:r w:rsidRPr="00C85E6C">
        <w:t>of</w:t>
      </w:r>
      <w:r w:rsidR="009345EA">
        <w:t xml:space="preserve"> </w:t>
      </w:r>
      <w:r w:rsidRPr="00C85E6C">
        <w:t>its</w:t>
      </w:r>
      <w:r w:rsidR="009345EA">
        <w:t xml:space="preserve"> </w:t>
      </w:r>
      <w:r w:rsidRPr="00C85E6C">
        <w:t>general</w:t>
      </w:r>
      <w:r w:rsidR="009345EA">
        <w:t xml:space="preserve"> </w:t>
      </w:r>
      <w:r w:rsidRPr="00C85E6C">
        <w:t>comment</w:t>
      </w:r>
      <w:r w:rsidR="009345EA">
        <w:t xml:space="preserve"> </w:t>
      </w:r>
      <w:r w:rsidRPr="00C85E6C">
        <w:t>No.</w:t>
      </w:r>
      <w:r w:rsidR="009345EA">
        <w:t xml:space="preserve"> </w:t>
      </w:r>
      <w:r w:rsidRPr="00C85E6C">
        <w:t>20</w:t>
      </w:r>
      <w:r w:rsidR="009345EA">
        <w:t xml:space="preserve"> </w:t>
      </w:r>
      <w:r w:rsidRPr="00C85E6C">
        <w:t>and</w:t>
      </w:r>
      <w:r w:rsidR="009345EA">
        <w:t xml:space="preserve"> </w:t>
      </w:r>
      <w:r w:rsidRPr="00C85E6C">
        <w:t>its</w:t>
      </w:r>
      <w:r w:rsidR="009345EA">
        <w:t xml:space="preserve"> </w:t>
      </w:r>
      <w:r w:rsidRPr="00C85E6C">
        <w:t>jurisprudence,</w:t>
      </w:r>
      <w:r w:rsidR="009345EA">
        <w:t xml:space="preserve"> </w:t>
      </w:r>
      <w:r w:rsidRPr="00C85E6C">
        <w:t>the</w:t>
      </w:r>
      <w:r w:rsidR="009345EA">
        <w:t xml:space="preserve"> </w:t>
      </w:r>
      <w:r w:rsidRPr="00C85E6C">
        <w:t>right</w:t>
      </w:r>
      <w:r w:rsidR="009345EA">
        <w:t xml:space="preserve"> </w:t>
      </w:r>
      <w:r w:rsidRPr="00C85E6C">
        <w:t>protected</w:t>
      </w:r>
      <w:r w:rsidR="009345EA">
        <w:t xml:space="preserve"> </w:t>
      </w:r>
      <w:r w:rsidRPr="00C85E6C">
        <w:t>under</w:t>
      </w:r>
      <w:r w:rsidR="009345EA">
        <w:t xml:space="preserve"> </w:t>
      </w:r>
      <w:r w:rsidRPr="00C85E6C">
        <w:t>article</w:t>
      </w:r>
      <w:r w:rsidR="009345EA">
        <w:t xml:space="preserve"> </w:t>
      </w:r>
      <w:r w:rsidRPr="00C85E6C">
        <w:t>7</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covers</w:t>
      </w:r>
      <w:r w:rsidR="009345EA">
        <w:t xml:space="preserve"> </w:t>
      </w:r>
      <w:r w:rsidRPr="00C85E6C">
        <w:t>not</w:t>
      </w:r>
      <w:r w:rsidR="009345EA">
        <w:t xml:space="preserve"> </w:t>
      </w:r>
      <w:r w:rsidRPr="00C85E6C">
        <w:t>only</w:t>
      </w:r>
      <w:r w:rsidR="009345EA">
        <w:t xml:space="preserve"> </w:t>
      </w:r>
      <w:r w:rsidRPr="00C85E6C">
        <w:t>physical</w:t>
      </w:r>
      <w:r w:rsidR="009345EA">
        <w:t xml:space="preserve"> </w:t>
      </w:r>
      <w:r w:rsidRPr="00C85E6C">
        <w:t>pain</w:t>
      </w:r>
      <w:r w:rsidR="009345EA">
        <w:t xml:space="preserve"> </w:t>
      </w:r>
      <w:r w:rsidRPr="00C85E6C">
        <w:t>but</w:t>
      </w:r>
      <w:r w:rsidR="009345EA">
        <w:t xml:space="preserve"> </w:t>
      </w:r>
      <w:r w:rsidRPr="00C85E6C">
        <w:t>also</w:t>
      </w:r>
      <w:r w:rsidR="009345EA">
        <w:t xml:space="preserve"> </w:t>
      </w:r>
      <w:r w:rsidRPr="00C85E6C">
        <w:t>mental</w:t>
      </w:r>
      <w:r w:rsidR="009345EA">
        <w:t xml:space="preserve"> </w:t>
      </w:r>
      <w:r w:rsidRPr="00C85E6C">
        <w:t>suffering.</w:t>
      </w:r>
      <w:r w:rsidRPr="00D06B7B">
        <w:rPr>
          <w:rStyle w:val="FootnoteReference"/>
        </w:rPr>
        <w:footnoteReference w:id="26"/>
      </w:r>
      <w:r w:rsidR="009345EA">
        <w:t xml:space="preserve"> </w:t>
      </w:r>
      <w:r w:rsidRPr="00C85E6C">
        <w:t>In</w:t>
      </w:r>
      <w:r w:rsidR="009345EA">
        <w:t xml:space="preserve"> </w:t>
      </w:r>
      <w:r w:rsidRPr="00C85E6C">
        <w:t>the</w:t>
      </w:r>
      <w:r w:rsidR="009345EA">
        <w:t xml:space="preserve"> </w:t>
      </w:r>
      <w:r w:rsidRPr="00C85E6C">
        <w:t>circumstances</w:t>
      </w:r>
      <w:r w:rsidR="009345EA">
        <w:t xml:space="preserve"> </w:t>
      </w:r>
      <w:r w:rsidRPr="00C85E6C">
        <w:t>of</w:t>
      </w:r>
      <w:r w:rsidR="009345EA">
        <w:t xml:space="preserve"> </w:t>
      </w:r>
      <w:r w:rsidRPr="00C85E6C">
        <w:t>the</w:t>
      </w:r>
      <w:r w:rsidR="009345EA">
        <w:t xml:space="preserve"> </w:t>
      </w:r>
      <w:r w:rsidRPr="00C85E6C">
        <w:t>present</w:t>
      </w:r>
      <w:r w:rsidR="009345EA">
        <w:t xml:space="preserve"> </w:t>
      </w:r>
      <w:r w:rsidRPr="00C85E6C">
        <w:t>case,</w:t>
      </w:r>
      <w:r w:rsidR="009345EA">
        <w:t xml:space="preserve"> </w:t>
      </w:r>
      <w:r w:rsidRPr="00C85E6C">
        <w:t>the</w:t>
      </w:r>
      <w:r w:rsidR="009345EA">
        <w:t xml:space="preserve"> </w:t>
      </w:r>
      <w:r w:rsidRPr="00C85E6C">
        <w:t>Committee</w:t>
      </w:r>
      <w:r w:rsidR="009345EA">
        <w:t xml:space="preserve"> </w:t>
      </w:r>
      <w:r w:rsidRPr="00C85E6C">
        <w:t>concludes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was</w:t>
      </w:r>
      <w:r w:rsidR="009345EA">
        <w:t xml:space="preserve"> </w:t>
      </w:r>
      <w:r w:rsidRPr="00C85E6C">
        <w:t>the</w:t>
      </w:r>
      <w:r w:rsidR="009345EA">
        <w:t xml:space="preserve"> </w:t>
      </w:r>
      <w:r w:rsidRPr="00C85E6C">
        <w:t>victim</w:t>
      </w:r>
      <w:r w:rsidR="009345EA">
        <w:t xml:space="preserve"> </w:t>
      </w:r>
      <w:r w:rsidRPr="00C85E6C">
        <w:t>of</w:t>
      </w:r>
      <w:r w:rsidR="009345EA">
        <w:t xml:space="preserve"> </w:t>
      </w:r>
      <w:r w:rsidRPr="00C85E6C">
        <w:t>treatment</w:t>
      </w:r>
      <w:r w:rsidR="009345EA">
        <w:t xml:space="preserve"> </w:t>
      </w:r>
      <w:r w:rsidRPr="00C85E6C">
        <w:t>that</w:t>
      </w:r>
      <w:r w:rsidR="009345EA">
        <w:t xml:space="preserve"> </w:t>
      </w:r>
      <w:r w:rsidRPr="00C85E6C">
        <w:t>is</w:t>
      </w:r>
      <w:r w:rsidR="009345EA">
        <w:t xml:space="preserve"> </w:t>
      </w:r>
      <w:r w:rsidRPr="00C85E6C">
        <w:t>in</w:t>
      </w:r>
      <w:r w:rsidR="009345EA">
        <w:t xml:space="preserve"> </w:t>
      </w:r>
      <w:r w:rsidRPr="00C85E6C">
        <w:t>breach</w:t>
      </w:r>
      <w:r w:rsidR="009345EA">
        <w:t xml:space="preserve"> </w:t>
      </w:r>
      <w:r w:rsidRPr="00C85E6C">
        <w:t>of</w:t>
      </w:r>
      <w:r w:rsidR="009345EA">
        <w:t xml:space="preserve"> </w:t>
      </w:r>
      <w:r w:rsidRPr="00C85E6C">
        <w:t>article</w:t>
      </w:r>
      <w:r w:rsidR="009345EA">
        <w:t xml:space="preserve"> </w:t>
      </w:r>
      <w:r w:rsidRPr="00C85E6C">
        <w:t>7,</w:t>
      </w:r>
      <w:r w:rsidR="009345EA">
        <w:t xml:space="preserve"> </w:t>
      </w:r>
      <w:r w:rsidRPr="00C85E6C">
        <w:t>read</w:t>
      </w:r>
      <w:r w:rsidR="009345EA">
        <w:t xml:space="preserve"> </w:t>
      </w:r>
      <w:r w:rsidRPr="00C85E6C">
        <w:t>alone</w:t>
      </w:r>
      <w:r w:rsidR="009345EA">
        <w:t xml:space="preserve"> </w:t>
      </w:r>
      <w:r w:rsidRPr="00C85E6C">
        <w:t>and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Pr="00D06B7B">
        <w:rPr>
          <w:rStyle w:val="FootnoteReference"/>
        </w:rPr>
        <w:footnoteReference w:id="27"/>
      </w:r>
      <w:r w:rsidR="009345EA">
        <w:t xml:space="preserve"> </w:t>
      </w:r>
    </w:p>
    <w:p w:rsidR="00D06B7B" w:rsidRPr="00C85E6C" w:rsidRDefault="00D06B7B" w:rsidP="00FF3573">
      <w:pPr>
        <w:pStyle w:val="SingleTxtG"/>
      </w:pPr>
      <w:r w:rsidRPr="00C85E6C">
        <w:t>7.5</w:t>
      </w:r>
      <w:r w:rsidRPr="00C85E6C">
        <w:tab/>
        <w:t>As</w:t>
      </w:r>
      <w:r w:rsidR="009345EA">
        <w:t xml:space="preserve"> </w:t>
      </w:r>
      <w:r w:rsidRPr="00C85E6C">
        <w:t>to</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w:t>
      </w:r>
      <w:r w:rsidR="009345EA">
        <w:t xml:space="preserve"> </w:t>
      </w:r>
      <w:r w:rsidRPr="00C85E6C">
        <w:t>of</w:t>
      </w:r>
      <w:r w:rsidR="009345EA">
        <w:t xml:space="preserve"> </w:t>
      </w:r>
      <w:r w:rsidRPr="00C85E6C">
        <w:t>discrimination</w:t>
      </w:r>
      <w:r w:rsidR="009345EA">
        <w:t xml:space="preserve"> </w:t>
      </w:r>
      <w:r w:rsidRPr="00C85E6C">
        <w:t>under</w:t>
      </w:r>
      <w:r w:rsidR="009345EA">
        <w:t xml:space="preserve"> </w:t>
      </w:r>
      <w:r w:rsidRPr="00C85E6C">
        <w:t>article</w:t>
      </w:r>
      <w:r w:rsidR="009345EA">
        <w:t xml:space="preserve"> </w:t>
      </w:r>
      <w:r w:rsidRPr="00C85E6C">
        <w:t>26</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on</w:t>
      </w:r>
      <w:r w:rsidR="009345EA">
        <w:t xml:space="preserve"> </w:t>
      </w:r>
      <w:r w:rsidRPr="00C85E6C">
        <w:t>the</w:t>
      </w:r>
      <w:r w:rsidR="009345EA">
        <w:t xml:space="preserve"> </w:t>
      </w:r>
      <w:r w:rsidRPr="00C85E6C">
        <w:t>grounds</w:t>
      </w:r>
      <w:r w:rsidR="009345EA">
        <w:t xml:space="preserve"> </w:t>
      </w:r>
      <w:r w:rsidRPr="00C85E6C">
        <w:t>of</w:t>
      </w:r>
      <w:r w:rsidR="009345EA">
        <w:t xml:space="preserve"> </w:t>
      </w:r>
      <w:r w:rsidRPr="00C85E6C">
        <w:t>sex</w:t>
      </w:r>
      <w:r w:rsidR="009345EA">
        <w:t xml:space="preserve"> </w:t>
      </w:r>
      <w:r w:rsidRPr="00C85E6C">
        <w:t>(gender),</w:t>
      </w:r>
      <w:r w:rsidR="009345EA">
        <w:t xml:space="preserve"> </w:t>
      </w:r>
      <w:r w:rsidRPr="00C85E6C">
        <w:t>language</w:t>
      </w:r>
      <w:r w:rsidR="009345EA">
        <w:t xml:space="preserve"> </w:t>
      </w:r>
      <w:r w:rsidRPr="00C85E6C">
        <w:t>and</w:t>
      </w:r>
      <w:r w:rsidR="009345EA">
        <w:t xml:space="preserve"> </w:t>
      </w:r>
      <w:r w:rsidRPr="00C85E6C">
        <w:t>ethnicity,</w:t>
      </w:r>
      <w:r w:rsidR="009345EA">
        <w:t xml:space="preserve"> </w:t>
      </w:r>
      <w:r w:rsidRPr="00C85E6C">
        <w:t>the</w:t>
      </w:r>
      <w:r w:rsidR="009345EA">
        <w:t xml:space="preserve"> </w:t>
      </w:r>
      <w:r w:rsidRPr="00C85E6C">
        <w:t>Committee</w:t>
      </w:r>
      <w:r w:rsidR="009345EA">
        <w:t xml:space="preserve"> </w:t>
      </w:r>
      <w:r w:rsidRPr="00C85E6C">
        <w:t>refers</w:t>
      </w:r>
      <w:r w:rsidR="009345EA">
        <w:t xml:space="preserve"> </w:t>
      </w:r>
      <w:r w:rsidRPr="00C85E6C">
        <w:t>to</w:t>
      </w:r>
      <w:r w:rsidR="009345EA">
        <w:t xml:space="preserve"> </w:t>
      </w:r>
      <w:r w:rsidRPr="00C85E6C">
        <w:t>its</w:t>
      </w:r>
      <w:r w:rsidR="009345EA">
        <w:t xml:space="preserve"> </w:t>
      </w:r>
      <w:r w:rsidRPr="00C85E6C">
        <w:t>long-standing</w:t>
      </w:r>
      <w:r w:rsidR="009345EA">
        <w:t xml:space="preserve"> </w:t>
      </w:r>
      <w:r w:rsidRPr="00C85E6C">
        <w:t>jurisprudence</w:t>
      </w:r>
      <w:r w:rsidR="009345EA">
        <w:t xml:space="preserve"> </w:t>
      </w:r>
      <w:r w:rsidRPr="00C85E6C">
        <w:t>that</w:t>
      </w:r>
      <w:r w:rsidR="009345EA">
        <w:t xml:space="preserve"> </w:t>
      </w:r>
      <w:r w:rsidRPr="00C85E6C">
        <w:t>a</w:t>
      </w:r>
      <w:r w:rsidR="009345EA">
        <w:t xml:space="preserve"> </w:t>
      </w:r>
      <w:r w:rsidRPr="00C85E6C">
        <w:t>differentiation</w:t>
      </w:r>
      <w:r w:rsidR="009345EA">
        <w:t xml:space="preserve"> </w:t>
      </w:r>
      <w:r w:rsidRPr="00C85E6C">
        <w:t>of</w:t>
      </w:r>
      <w:r w:rsidR="009345EA">
        <w:t xml:space="preserve"> </w:t>
      </w:r>
      <w:r w:rsidRPr="00C85E6C">
        <w:t>treatment</w:t>
      </w:r>
      <w:r w:rsidR="009345EA">
        <w:t xml:space="preserve"> </w:t>
      </w:r>
      <w:r w:rsidRPr="00C85E6C">
        <w:t>will</w:t>
      </w:r>
      <w:r w:rsidR="009345EA">
        <w:t xml:space="preserve"> </w:t>
      </w:r>
      <w:r w:rsidRPr="00C85E6C">
        <w:t>constitute</w:t>
      </w:r>
      <w:r w:rsidR="009345EA">
        <w:t xml:space="preserve"> </w:t>
      </w:r>
      <w:r w:rsidRPr="00C85E6C">
        <w:t>discrimination</w:t>
      </w:r>
      <w:r w:rsidR="009345EA">
        <w:t xml:space="preserve"> </w:t>
      </w:r>
      <w:r w:rsidRPr="00C85E6C">
        <w:t>unless</w:t>
      </w:r>
      <w:r w:rsidR="009345EA">
        <w:t xml:space="preserve"> </w:t>
      </w:r>
      <w:r w:rsidRPr="00C85E6C">
        <w:t>the</w:t>
      </w:r>
      <w:r w:rsidR="009345EA">
        <w:t xml:space="preserve"> </w:t>
      </w:r>
      <w:r w:rsidRPr="00C85E6C">
        <w:t>criteria</w:t>
      </w:r>
      <w:r w:rsidR="009345EA">
        <w:t xml:space="preserve"> </w:t>
      </w:r>
      <w:r w:rsidRPr="00C85E6C">
        <w:t>for</w:t>
      </w:r>
      <w:r w:rsidR="009345EA">
        <w:t xml:space="preserve"> </w:t>
      </w:r>
      <w:r w:rsidRPr="00C85E6C">
        <w:t>such</w:t>
      </w:r>
      <w:r w:rsidR="009345EA">
        <w:t xml:space="preserve"> </w:t>
      </w:r>
      <w:r w:rsidRPr="00C85E6C">
        <w:t>differentiation</w:t>
      </w:r>
      <w:r w:rsidR="009345EA">
        <w:t xml:space="preserve"> </w:t>
      </w:r>
      <w:r w:rsidRPr="00C85E6C">
        <w:t>are</w:t>
      </w:r>
      <w:r w:rsidR="009345EA">
        <w:t xml:space="preserve"> </w:t>
      </w:r>
      <w:r w:rsidRPr="00C85E6C">
        <w:t>reasonable</w:t>
      </w:r>
      <w:r w:rsidR="009345EA">
        <w:t xml:space="preserve"> </w:t>
      </w:r>
      <w:r w:rsidRPr="00C85E6C">
        <w:t>and</w:t>
      </w:r>
      <w:r w:rsidR="009345EA">
        <w:t xml:space="preserve"> </w:t>
      </w:r>
      <w:r w:rsidRPr="00C85E6C">
        <w:t>objective</w:t>
      </w:r>
      <w:r w:rsidR="009345EA">
        <w:t xml:space="preserve"> </w:t>
      </w:r>
      <w:r w:rsidRPr="00C85E6C">
        <w:t>and</w:t>
      </w:r>
      <w:r w:rsidR="009345EA">
        <w:t xml:space="preserve"> </w:t>
      </w:r>
      <w:r w:rsidRPr="00C85E6C">
        <w:t>the</w:t>
      </w:r>
      <w:r w:rsidR="009345EA">
        <w:t xml:space="preserve"> </w:t>
      </w:r>
      <w:r w:rsidRPr="00C85E6C">
        <w:t>aim</w:t>
      </w:r>
      <w:r w:rsidR="009345EA">
        <w:t xml:space="preserve"> </w:t>
      </w:r>
      <w:r w:rsidRPr="00C85E6C">
        <w:t>is</w:t>
      </w:r>
      <w:r w:rsidR="009345EA">
        <w:t xml:space="preserve"> </w:t>
      </w:r>
      <w:r w:rsidRPr="00C85E6C">
        <w:t>to</w:t>
      </w:r>
      <w:r w:rsidR="009345EA">
        <w:t xml:space="preserve"> </w:t>
      </w:r>
      <w:r w:rsidRPr="00C85E6C">
        <w:t>achieve</w:t>
      </w:r>
      <w:r w:rsidR="009345EA">
        <w:t xml:space="preserve"> </w:t>
      </w:r>
      <w:r w:rsidRPr="00C85E6C">
        <w:t>a</w:t>
      </w:r>
      <w:r w:rsidR="009345EA">
        <w:t xml:space="preserve"> </w:t>
      </w:r>
      <w:r w:rsidRPr="00C85E6C">
        <w:t>purpose</w:t>
      </w:r>
      <w:r w:rsidR="009345EA">
        <w:t xml:space="preserve"> </w:t>
      </w:r>
      <w:r w:rsidRPr="00C85E6C">
        <w:t>which</w:t>
      </w:r>
      <w:r w:rsidR="009345EA">
        <w:t xml:space="preserve"> </w:t>
      </w:r>
      <w:r w:rsidRPr="00C85E6C">
        <w:t>is</w:t>
      </w:r>
      <w:r w:rsidR="009345EA">
        <w:t xml:space="preserve"> </w:t>
      </w:r>
      <w:r w:rsidRPr="00C85E6C">
        <w:t>legitimate</w:t>
      </w:r>
      <w:r w:rsidR="009345EA">
        <w:t xml:space="preserve"> </w:t>
      </w:r>
      <w:r w:rsidRPr="00C85E6C">
        <w:t>under</w:t>
      </w:r>
      <w:r w:rsidR="009345EA">
        <w:t xml:space="preserve"> </w:t>
      </w:r>
      <w:r w:rsidRPr="00C85E6C">
        <w:t>the</w:t>
      </w:r>
      <w:r w:rsidR="009345EA">
        <w:t xml:space="preserve"> </w:t>
      </w:r>
      <w:r w:rsidRPr="00C85E6C">
        <w:t>Covenant.</w:t>
      </w:r>
      <w:r w:rsidR="009345EA">
        <w:t xml:space="preserve"> </w:t>
      </w:r>
      <w:r w:rsidRPr="00C85E6C">
        <w:t>In</w:t>
      </w:r>
      <w:r w:rsidR="009345EA">
        <w:t xml:space="preserve"> </w:t>
      </w:r>
      <w:r w:rsidRPr="00C85E6C">
        <w:t>the</w:t>
      </w:r>
      <w:r w:rsidR="009345EA">
        <w:t xml:space="preserve"> </w:t>
      </w:r>
      <w:r w:rsidRPr="00C85E6C">
        <w:t>present</w:t>
      </w:r>
      <w:r w:rsidR="009345EA">
        <w:t xml:space="preserve"> </w:t>
      </w:r>
      <w:r w:rsidRPr="00C85E6C">
        <w:t>case,</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claimed</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targeted</w:t>
      </w:r>
      <w:r w:rsidR="009345EA">
        <w:t xml:space="preserve"> </w:t>
      </w:r>
      <w:r w:rsidRPr="00C85E6C">
        <w:t>as</w:t>
      </w:r>
      <w:r w:rsidR="009345EA">
        <w:t xml:space="preserve"> </w:t>
      </w:r>
      <w:r w:rsidRPr="00C85E6C">
        <w:t>a</w:t>
      </w:r>
      <w:r w:rsidR="009345EA">
        <w:t xml:space="preserve"> </w:t>
      </w:r>
      <w:r w:rsidRPr="00C85E6C">
        <w:t>teenaged</w:t>
      </w:r>
      <w:r w:rsidR="009345EA">
        <w:t xml:space="preserve"> </w:t>
      </w:r>
      <w:r w:rsidRPr="00C85E6C">
        <w:t>girl</w:t>
      </w:r>
      <w:r w:rsidR="009345EA">
        <w:t xml:space="preserve"> </w:t>
      </w:r>
      <w:r w:rsidRPr="00C85E6C">
        <w:t>from</w:t>
      </w:r>
      <w:r w:rsidR="009345EA">
        <w:t xml:space="preserve"> </w:t>
      </w:r>
      <w:r w:rsidRPr="00C85E6C">
        <w:t>the</w:t>
      </w:r>
      <w:r w:rsidR="009345EA">
        <w:t xml:space="preserve"> </w:t>
      </w:r>
      <w:r w:rsidRPr="00C85E6C">
        <w:t>most</w:t>
      </w:r>
      <w:r w:rsidR="009345EA">
        <w:t xml:space="preserve"> </w:t>
      </w:r>
      <w:r w:rsidRPr="00C85E6C">
        <w:t>marginalized</w:t>
      </w:r>
      <w:r w:rsidR="009345EA">
        <w:t xml:space="preserve"> </w:t>
      </w:r>
      <w:r w:rsidRPr="00C85E6C">
        <w:t>and</w:t>
      </w:r>
      <w:r w:rsidR="009345EA">
        <w:t xml:space="preserve"> </w:t>
      </w:r>
      <w:r w:rsidRPr="00C85E6C">
        <w:t>impoverished</w:t>
      </w:r>
      <w:r w:rsidR="009345EA">
        <w:t xml:space="preserve"> </w:t>
      </w:r>
      <w:r w:rsidRPr="00C85E6C">
        <w:t>ethnic</w:t>
      </w:r>
      <w:r w:rsidR="009345EA">
        <w:t xml:space="preserve"> </w:t>
      </w:r>
      <w:r w:rsidRPr="00C85E6C">
        <w:t>group</w:t>
      </w:r>
      <w:r w:rsidR="009345EA">
        <w:t xml:space="preserve"> </w:t>
      </w:r>
      <w:r w:rsidRPr="00C85E6C">
        <w:t>in</w:t>
      </w:r>
      <w:r w:rsidR="009345EA">
        <w:t xml:space="preserve"> </w:t>
      </w:r>
      <w:r w:rsidRPr="00C85E6C">
        <w:t>Sri</w:t>
      </w:r>
      <w:r w:rsidR="009345EA">
        <w:t xml:space="preserve"> </w:t>
      </w:r>
      <w:r w:rsidRPr="00C85E6C">
        <w:t>Lanka</w:t>
      </w:r>
      <w:r w:rsidR="009345EA">
        <w:t xml:space="preserve"> </w:t>
      </w:r>
      <w:r w:rsidRPr="00C85E6C">
        <w:t>and</w:t>
      </w:r>
      <w:r w:rsidR="009345EA">
        <w:t xml:space="preserve"> </w:t>
      </w:r>
      <w:r w:rsidRPr="00C85E6C">
        <w:t>that</w:t>
      </w:r>
      <w:r w:rsidR="009345EA">
        <w:t xml:space="preserve"> </w:t>
      </w:r>
      <w:r w:rsidRPr="00C85E6C">
        <w:t>during</w:t>
      </w:r>
      <w:r w:rsidR="009345EA">
        <w:t xml:space="preserve"> </w:t>
      </w:r>
      <w:r w:rsidRPr="00C85E6C">
        <w:t>the</w:t>
      </w:r>
      <w:r w:rsidR="009345EA">
        <w:t xml:space="preserve"> </w:t>
      </w:r>
      <w:r w:rsidRPr="00C85E6C">
        <w:t>investigation</w:t>
      </w:r>
      <w:r w:rsidR="009345EA">
        <w:t xml:space="preserve"> </w:t>
      </w:r>
      <w:r w:rsidRPr="00C85E6C">
        <w:t>of</w:t>
      </w:r>
      <w:r w:rsidR="009345EA">
        <w:t xml:space="preserve"> </w:t>
      </w:r>
      <w:r w:rsidRPr="00C85E6C">
        <w:t>her</w:t>
      </w:r>
      <w:r w:rsidR="009345EA">
        <w:t xml:space="preserve"> </w:t>
      </w:r>
      <w:r w:rsidRPr="00C85E6C">
        <w:t>complaint</w:t>
      </w:r>
      <w:r w:rsidR="009345EA">
        <w:t xml:space="preserve"> </w:t>
      </w:r>
      <w:r w:rsidRPr="00C85E6C">
        <w:t>of</w:t>
      </w:r>
      <w:r w:rsidR="009345EA">
        <w:t xml:space="preserve"> </w:t>
      </w:r>
      <w:r w:rsidRPr="00C85E6C">
        <w:t>rape,</w:t>
      </w:r>
      <w:r w:rsidR="009345EA">
        <w:t xml:space="preserve"> </w:t>
      </w:r>
      <w:r w:rsidRPr="00C85E6C">
        <w:t>the</w:t>
      </w:r>
      <w:r w:rsidR="009345EA">
        <w:t xml:space="preserve"> </w:t>
      </w:r>
      <w:r w:rsidRPr="00C85E6C">
        <w:t>police</w:t>
      </w:r>
      <w:r w:rsidR="009345EA">
        <w:t xml:space="preserve"> </w:t>
      </w:r>
      <w:r w:rsidRPr="00C85E6C">
        <w:t>failed</w:t>
      </w:r>
      <w:r w:rsidR="009345EA">
        <w:t xml:space="preserve"> </w:t>
      </w:r>
      <w:r w:rsidRPr="00C85E6C">
        <w:t>to</w:t>
      </w:r>
      <w:r w:rsidR="009345EA">
        <w:t xml:space="preserve"> </w:t>
      </w:r>
      <w:r w:rsidRPr="00C85E6C">
        <w:t>provide</w:t>
      </w:r>
      <w:r w:rsidR="009345EA">
        <w:t xml:space="preserve"> </w:t>
      </w:r>
      <w:r w:rsidRPr="00C85E6C">
        <w:t>any</w:t>
      </w:r>
      <w:r w:rsidR="009345EA">
        <w:t xml:space="preserve"> </w:t>
      </w:r>
      <w:r w:rsidRPr="00C85E6C">
        <w:t>official</w:t>
      </w:r>
      <w:r w:rsidR="009345EA">
        <w:t xml:space="preserve"> </w:t>
      </w:r>
      <w:r w:rsidRPr="00C85E6C">
        <w:t>interpretation</w:t>
      </w:r>
      <w:r w:rsidR="009345EA">
        <w:t xml:space="preserve"> </w:t>
      </w:r>
      <w:r w:rsidRPr="00C85E6C">
        <w:t>or</w:t>
      </w:r>
      <w:r w:rsidR="009345EA">
        <w:t xml:space="preserve"> </w:t>
      </w:r>
      <w:r w:rsidRPr="00C85E6C">
        <w:t>translation</w:t>
      </w:r>
      <w:r w:rsidR="009345EA">
        <w:t xml:space="preserve"> </w:t>
      </w:r>
      <w:r w:rsidRPr="00C85E6C">
        <w:t>from</w:t>
      </w:r>
      <w:r w:rsidR="009345EA">
        <w:t xml:space="preserve"> </w:t>
      </w:r>
      <w:r w:rsidRPr="00C85E6C">
        <w:t>Tamil</w:t>
      </w:r>
      <w:r w:rsidR="009345EA">
        <w:t xml:space="preserve"> </w:t>
      </w:r>
      <w:r w:rsidRPr="00C85E6C">
        <w:t>to</w:t>
      </w:r>
      <w:r w:rsidR="009345EA">
        <w:t xml:space="preserve"> </w:t>
      </w:r>
      <w:r w:rsidRPr="00C85E6C">
        <w:t>Sinhalese</w:t>
      </w:r>
      <w:r w:rsidR="009345EA">
        <w:t xml:space="preserve"> </w:t>
      </w:r>
      <w:r w:rsidRPr="00C85E6C">
        <w:t>while</w:t>
      </w:r>
      <w:r w:rsidR="009345EA">
        <w:t xml:space="preserve"> </w:t>
      </w:r>
      <w:r w:rsidRPr="00C85E6C">
        <w:t>recording</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statement,</w:t>
      </w:r>
      <w:r w:rsidR="009345EA">
        <w:t xml:space="preserve"> </w:t>
      </w:r>
      <w:r w:rsidRPr="00C85E6C">
        <w:t>and</w:t>
      </w:r>
      <w:r w:rsidR="009345EA">
        <w:t xml:space="preserve"> </w:t>
      </w:r>
      <w:r w:rsidRPr="00C85E6C">
        <w:t>that</w:t>
      </w:r>
      <w:r w:rsidR="009345EA">
        <w:t xml:space="preserve"> </w:t>
      </w:r>
      <w:r w:rsidRPr="00C85E6C">
        <w:t>she</w:t>
      </w:r>
      <w:r w:rsidR="009345EA">
        <w:t xml:space="preserve"> </w:t>
      </w:r>
      <w:r w:rsidRPr="00C85E6C">
        <w:t>had</w:t>
      </w:r>
      <w:r w:rsidR="009345EA">
        <w:t xml:space="preserve"> </w:t>
      </w:r>
      <w:r w:rsidRPr="00C85E6C">
        <w:t>to</w:t>
      </w:r>
      <w:r w:rsidR="009345EA">
        <w:t xml:space="preserve"> </w:t>
      </w:r>
      <w:r w:rsidRPr="00C85E6C">
        <w:t>make</w:t>
      </w:r>
      <w:r w:rsidR="009345EA">
        <w:t xml:space="preserve"> </w:t>
      </w:r>
      <w:r w:rsidRPr="00C85E6C">
        <w:t>her</w:t>
      </w:r>
      <w:r w:rsidR="009345EA">
        <w:t xml:space="preserve"> </w:t>
      </w:r>
      <w:r w:rsidRPr="00C85E6C">
        <w:t>statement</w:t>
      </w:r>
      <w:r w:rsidR="009345EA">
        <w:t xml:space="preserve"> </w:t>
      </w:r>
      <w:r w:rsidRPr="00C85E6C">
        <w:t>through</w:t>
      </w:r>
      <w:r w:rsidR="009345EA">
        <w:t xml:space="preserve"> </w:t>
      </w:r>
      <w:r w:rsidRPr="00C85E6C">
        <w:t>an</w:t>
      </w:r>
      <w:r w:rsidR="009345EA">
        <w:t xml:space="preserve"> </w:t>
      </w:r>
      <w:r w:rsidRPr="00C85E6C">
        <w:t>unofficial</w:t>
      </w:r>
      <w:r w:rsidR="009345EA">
        <w:t xml:space="preserve"> </w:t>
      </w:r>
      <w:r w:rsidRPr="00C85E6C">
        <w:t>interpreter</w:t>
      </w:r>
      <w:r w:rsidR="009345EA">
        <w:t xml:space="preserve"> </w:t>
      </w:r>
      <w:r w:rsidRPr="00C85E6C">
        <w:t>translating</w:t>
      </w:r>
      <w:r w:rsidR="009345EA">
        <w:t xml:space="preserve"> </w:t>
      </w:r>
      <w:r w:rsidRPr="00C85E6C">
        <w:t>into</w:t>
      </w:r>
      <w:r w:rsidR="009345EA">
        <w:t xml:space="preserve"> </w:t>
      </w:r>
      <w:r w:rsidRPr="00C85E6C">
        <w:t>Sinhala,</w:t>
      </w:r>
      <w:r w:rsidR="009345EA">
        <w:t xml:space="preserve"> </w:t>
      </w:r>
      <w:r w:rsidRPr="00C85E6C">
        <w:t>even</w:t>
      </w:r>
      <w:r w:rsidR="009345EA">
        <w:t xml:space="preserve"> </w:t>
      </w:r>
      <w:r w:rsidRPr="00C85E6C">
        <w:t>though</w:t>
      </w:r>
      <w:r w:rsidR="009345EA">
        <w:t xml:space="preserve"> </w:t>
      </w:r>
      <w:r w:rsidRPr="00C85E6C">
        <w:t>Tamil</w:t>
      </w:r>
      <w:r w:rsidR="009345EA">
        <w:t xml:space="preserve"> </w:t>
      </w:r>
      <w:r w:rsidRPr="00C85E6C">
        <w:t>is</w:t>
      </w:r>
      <w:r w:rsidR="009345EA">
        <w:t xml:space="preserve"> </w:t>
      </w:r>
      <w:r w:rsidRPr="00C85E6C">
        <w:t>an</w:t>
      </w:r>
      <w:r w:rsidR="009345EA">
        <w:t xml:space="preserve"> </w:t>
      </w:r>
      <w:r w:rsidRPr="00C85E6C">
        <w:t>official</w:t>
      </w:r>
      <w:r w:rsidR="009345EA">
        <w:t xml:space="preserve"> </w:t>
      </w:r>
      <w:r w:rsidRPr="00C85E6C">
        <w:t>language</w:t>
      </w:r>
      <w:r w:rsidR="009345EA">
        <w:t xml:space="preserve"> </w:t>
      </w:r>
      <w:r w:rsidRPr="00C85E6C">
        <w:t>of</w:t>
      </w:r>
      <w:r w:rsidR="009345EA">
        <w:t xml:space="preserve"> </w:t>
      </w:r>
      <w:r w:rsidRPr="00C85E6C">
        <w:t>Sri</w:t>
      </w:r>
      <w:r w:rsidR="009345EA">
        <w:t xml:space="preserve"> </w:t>
      </w:r>
      <w:r w:rsidRPr="00C85E6C">
        <w:t>Lanka.</w:t>
      </w:r>
      <w:r w:rsidR="009345EA">
        <w:t xml:space="preserve"> </w:t>
      </w:r>
      <w:r w:rsidRPr="00C85E6C">
        <w:t>The</w:t>
      </w:r>
      <w:r w:rsidR="009345EA">
        <w:t xml:space="preserve"> </w:t>
      </w:r>
      <w:r w:rsidRPr="00C85E6C">
        <w:t>Committee</w:t>
      </w:r>
      <w:r w:rsidR="009345EA">
        <w:t xml:space="preserve"> </w:t>
      </w:r>
      <w:r w:rsidRPr="00C85E6C">
        <w:t>also</w:t>
      </w:r>
      <w:r w:rsidR="009345EA">
        <w:t xml:space="preserve"> </w:t>
      </w:r>
      <w:r w:rsidRPr="00C85E6C">
        <w:t>notes</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w:t>
      </w:r>
      <w:r w:rsidR="009345EA">
        <w:t xml:space="preserve"> </w:t>
      </w:r>
      <w:r w:rsidRPr="00C85E6C">
        <w:t>that</w:t>
      </w:r>
      <w:r w:rsidR="009345EA">
        <w:t xml:space="preserve"> </w:t>
      </w:r>
      <w:r w:rsidRPr="00C85E6C">
        <w:t>she</w:t>
      </w:r>
      <w:r w:rsidR="009345EA">
        <w:t xml:space="preserve"> </w:t>
      </w:r>
      <w:r w:rsidRPr="00C85E6C">
        <w:t>was</w:t>
      </w:r>
      <w:r w:rsidR="009345EA">
        <w:t xml:space="preserve"> </w:t>
      </w:r>
      <w:r w:rsidRPr="00C85E6C">
        <w:t>not</w:t>
      </w:r>
      <w:r w:rsidR="009345EA">
        <w:t xml:space="preserve"> </w:t>
      </w:r>
      <w:r w:rsidRPr="00C85E6C">
        <w:t>afforded</w:t>
      </w:r>
      <w:r w:rsidR="009345EA">
        <w:t xml:space="preserve"> </w:t>
      </w:r>
      <w:r w:rsidRPr="00C85E6C">
        <w:t>the</w:t>
      </w:r>
      <w:r w:rsidR="009345EA">
        <w:t xml:space="preserve"> </w:t>
      </w:r>
      <w:r w:rsidRPr="00C85E6C">
        <w:t>protection</w:t>
      </w:r>
      <w:r w:rsidR="009345EA">
        <w:t xml:space="preserve"> </w:t>
      </w:r>
      <w:r w:rsidRPr="00C85E6C">
        <w:t>she</w:t>
      </w:r>
      <w:r w:rsidR="009345EA">
        <w:t xml:space="preserve"> </w:t>
      </w:r>
      <w:r w:rsidRPr="00C85E6C">
        <w:t>needed</w:t>
      </w:r>
      <w:r w:rsidR="009345EA">
        <w:t xml:space="preserve"> </w:t>
      </w:r>
      <w:r w:rsidRPr="00C85E6C">
        <w:t>as</w:t>
      </w:r>
      <w:r w:rsidR="009345EA">
        <w:t xml:space="preserve"> </w:t>
      </w:r>
      <w:r w:rsidRPr="00C85E6C">
        <w:t>a</w:t>
      </w:r>
      <w:r w:rsidR="009345EA">
        <w:t xml:space="preserve"> </w:t>
      </w:r>
      <w:r w:rsidRPr="00C85E6C">
        <w:t>woman</w:t>
      </w:r>
      <w:r w:rsidR="009345EA">
        <w:t xml:space="preserve"> </w:t>
      </w:r>
      <w:r w:rsidRPr="00C85E6C">
        <w:t>of</w:t>
      </w:r>
      <w:r w:rsidR="009345EA">
        <w:t xml:space="preserve"> </w:t>
      </w:r>
      <w:r w:rsidRPr="00C85E6C">
        <w:t>Tamil</w:t>
      </w:r>
      <w:r w:rsidR="009345EA">
        <w:t xml:space="preserve"> </w:t>
      </w:r>
      <w:r w:rsidRPr="00C85E6C">
        <w:t>ethnicity,</w:t>
      </w:r>
      <w:r w:rsidR="009345EA">
        <w:t xml:space="preserve"> </w:t>
      </w:r>
      <w:r w:rsidRPr="00C85E6C">
        <w:t>and</w:t>
      </w:r>
      <w:r w:rsidR="009345EA">
        <w:t xml:space="preserve"> </w:t>
      </w:r>
      <w:r w:rsidRPr="00C85E6C">
        <w:t>that</w:t>
      </w:r>
      <w:r w:rsidR="009345EA">
        <w:t xml:space="preserve"> </w:t>
      </w:r>
      <w:r w:rsidRPr="00C85E6C">
        <w:t>judges</w:t>
      </w:r>
      <w:r w:rsidR="009345EA">
        <w:t xml:space="preserve"> </w:t>
      </w:r>
      <w:r w:rsidRPr="00C85E6C">
        <w:t>failed</w:t>
      </w:r>
      <w:r w:rsidR="009345EA">
        <w:t xml:space="preserve"> </w:t>
      </w:r>
      <w:r w:rsidRPr="00C85E6C">
        <w:t>to</w:t>
      </w:r>
      <w:r w:rsidR="009345EA">
        <w:t xml:space="preserve"> </w:t>
      </w:r>
      <w:r w:rsidRPr="00C85E6C">
        <w:t>acknowledge</w:t>
      </w:r>
      <w:r w:rsidR="009345EA">
        <w:t xml:space="preserve"> </w:t>
      </w:r>
      <w:r w:rsidRPr="00C85E6C">
        <w:t>her</w:t>
      </w:r>
      <w:r w:rsidR="009345EA">
        <w:t xml:space="preserve"> </w:t>
      </w:r>
      <w:r w:rsidRPr="00C85E6C">
        <w:t>vulnerability</w:t>
      </w:r>
      <w:r w:rsidR="009345EA">
        <w:t xml:space="preserve"> </w:t>
      </w:r>
      <w:r w:rsidRPr="00C85E6C">
        <w:t>as</w:t>
      </w:r>
      <w:r w:rsidR="009345EA">
        <w:t xml:space="preserve"> </w:t>
      </w:r>
      <w:r w:rsidRPr="00C85E6C">
        <w:t>a</w:t>
      </w:r>
      <w:r w:rsidR="009345EA">
        <w:t xml:space="preserve"> </w:t>
      </w:r>
      <w:r w:rsidRPr="00C85E6C">
        <w:t>minor</w:t>
      </w:r>
      <w:r w:rsidR="009345EA">
        <w:t xml:space="preserve"> </w:t>
      </w:r>
      <w:r w:rsidRPr="00C85E6C">
        <w:t>member</w:t>
      </w:r>
      <w:r w:rsidR="009345EA">
        <w:t xml:space="preserve"> </w:t>
      </w:r>
      <w:r w:rsidRPr="00C85E6C">
        <w:t>of</w:t>
      </w:r>
      <w:r w:rsidR="009345EA">
        <w:t xml:space="preserve"> </w:t>
      </w:r>
      <w:r w:rsidRPr="00C85E6C">
        <w:t>an</w:t>
      </w:r>
      <w:r w:rsidR="009345EA">
        <w:t xml:space="preserve"> </w:t>
      </w:r>
      <w:r w:rsidRPr="00C85E6C">
        <w:t>ethnic</w:t>
      </w:r>
      <w:r w:rsidR="009345EA">
        <w:t xml:space="preserve"> </w:t>
      </w:r>
      <w:r w:rsidRPr="00C85E6C">
        <w:t>minority</w:t>
      </w:r>
      <w:r w:rsidR="009345EA">
        <w:t xml:space="preserve"> </w:t>
      </w:r>
      <w:r w:rsidRPr="00C85E6C">
        <w:t>and</w:t>
      </w:r>
      <w:r w:rsidR="009345EA">
        <w:t xml:space="preserve"> </w:t>
      </w:r>
      <w:r w:rsidRPr="00C85E6C">
        <w:t>to</w:t>
      </w:r>
      <w:r w:rsidR="009345EA">
        <w:t xml:space="preserve"> </w:t>
      </w:r>
      <w:r w:rsidRPr="00C85E6C">
        <w:t>intervene</w:t>
      </w:r>
      <w:r w:rsidR="009345EA">
        <w:t xml:space="preserve"> </w:t>
      </w:r>
      <w:r w:rsidRPr="00C85E6C">
        <w:t>to</w:t>
      </w:r>
      <w:r w:rsidR="009345EA">
        <w:t xml:space="preserve"> </w:t>
      </w:r>
      <w:r w:rsidRPr="00C85E6C">
        <w:t>stop</w:t>
      </w:r>
      <w:r w:rsidR="009345EA">
        <w:t xml:space="preserve"> </w:t>
      </w:r>
      <w:r w:rsidRPr="00C85E6C">
        <w:t>the</w:t>
      </w:r>
      <w:r w:rsidR="009345EA">
        <w:t xml:space="preserve"> </w:t>
      </w:r>
      <w:r w:rsidRPr="00C85E6C">
        <w:t>humiliating</w:t>
      </w:r>
      <w:r w:rsidR="009345EA">
        <w:t xml:space="preserve"> </w:t>
      </w:r>
      <w:r w:rsidRPr="00C85E6C">
        <w:t>treatment</w:t>
      </w:r>
      <w:r w:rsidR="009345EA">
        <w:t xml:space="preserve"> </w:t>
      </w:r>
      <w:r w:rsidRPr="00C85E6C">
        <w:t>of</w:t>
      </w:r>
      <w:r w:rsidR="009345EA">
        <w:t xml:space="preserve"> </w:t>
      </w:r>
      <w:r w:rsidRPr="00C85E6C">
        <w:t>the</w:t>
      </w:r>
      <w:r w:rsidR="009345EA">
        <w:t xml:space="preserve"> </w:t>
      </w:r>
      <w:r w:rsidRPr="00C85E6C">
        <w:t>author,</w:t>
      </w:r>
      <w:r w:rsidR="009345EA">
        <w:t xml:space="preserve"> </w:t>
      </w:r>
      <w:r w:rsidRPr="00C85E6C">
        <w:t>in</w:t>
      </w:r>
      <w:r w:rsidR="009345EA">
        <w:t xml:space="preserve"> </w:t>
      </w:r>
      <w:r w:rsidRPr="00C85E6C">
        <w:t>particular</w:t>
      </w:r>
      <w:r w:rsidR="009345EA">
        <w:t xml:space="preserve"> </w:t>
      </w:r>
      <w:r w:rsidRPr="00C85E6C">
        <w:t>when</w:t>
      </w:r>
      <w:r w:rsidR="009345EA">
        <w:t xml:space="preserve"> </w:t>
      </w:r>
      <w:r w:rsidRPr="00C85E6C">
        <w:t>the</w:t>
      </w:r>
      <w:r w:rsidR="009345EA">
        <w:t xml:space="preserve"> </w:t>
      </w:r>
      <w:r w:rsidRPr="00C85E6C">
        <w:t>defence</w:t>
      </w:r>
      <w:r w:rsidR="009345EA">
        <w:t xml:space="preserve"> </w:t>
      </w:r>
      <w:r w:rsidRPr="00C85E6C">
        <w:t>counsel</w:t>
      </w:r>
      <w:r w:rsidR="009345EA">
        <w:t xml:space="preserve"> </w:t>
      </w:r>
      <w:r w:rsidRPr="00C85E6C">
        <w:t>publicly</w:t>
      </w:r>
      <w:r w:rsidR="009345EA">
        <w:t xml:space="preserve"> </w:t>
      </w:r>
      <w:r w:rsidRPr="00C85E6C">
        <w:t>and</w:t>
      </w:r>
      <w:r w:rsidR="009345EA">
        <w:t xml:space="preserve"> </w:t>
      </w:r>
      <w:r w:rsidRPr="00C85E6C">
        <w:t>repeatedly</w:t>
      </w:r>
      <w:r w:rsidR="009345EA">
        <w:t xml:space="preserve"> </w:t>
      </w:r>
      <w:r w:rsidRPr="00C85E6C">
        <w:t>called</w:t>
      </w:r>
      <w:r w:rsidR="009345EA">
        <w:t xml:space="preserve"> </w:t>
      </w:r>
      <w:r w:rsidRPr="00C85E6C">
        <w:t>her</w:t>
      </w:r>
      <w:r w:rsidR="009345EA">
        <w:t xml:space="preserve"> </w:t>
      </w:r>
      <w:r w:rsidRPr="00C85E6C">
        <w:t>a</w:t>
      </w:r>
      <w:r w:rsidR="009345EA">
        <w:t xml:space="preserve"> </w:t>
      </w:r>
      <w:r w:rsidR="00EB40F1">
        <w:t>“</w:t>
      </w:r>
      <w:r w:rsidRPr="00C85E6C">
        <w:t>professional</w:t>
      </w:r>
      <w:r w:rsidR="009345EA">
        <w:t xml:space="preserve"> </w:t>
      </w:r>
      <w:r w:rsidRPr="00C85E6C">
        <w:t>prostitute</w:t>
      </w:r>
      <w:r w:rsidR="00EB40F1">
        <w:t>”</w:t>
      </w:r>
      <w:r w:rsidRPr="00C85E6C">
        <w:t>.</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considered</w:t>
      </w:r>
      <w:r w:rsidR="009345EA">
        <w:t xml:space="preserve"> </w:t>
      </w:r>
      <w:r w:rsidRPr="00C85E6C">
        <w:t>this</w:t>
      </w:r>
      <w:r w:rsidR="009345EA">
        <w:t xml:space="preserve"> </w:t>
      </w:r>
      <w:r w:rsidRPr="00C85E6C">
        <w:t>as</w:t>
      </w:r>
      <w:r w:rsidR="009345EA">
        <w:t xml:space="preserve"> </w:t>
      </w:r>
      <w:r w:rsidRPr="00C85E6C">
        <w:t>an</w:t>
      </w:r>
      <w:r w:rsidR="009345EA">
        <w:t xml:space="preserve"> </w:t>
      </w:r>
      <w:r w:rsidRPr="00C85E6C">
        <w:t>attack</w:t>
      </w:r>
      <w:r w:rsidR="009345EA">
        <w:t xml:space="preserve"> </w:t>
      </w:r>
      <w:r w:rsidRPr="00C85E6C">
        <w:lastRenderedPageBreak/>
        <w:t>on</w:t>
      </w:r>
      <w:r w:rsidR="009345EA">
        <w:t xml:space="preserve"> </w:t>
      </w:r>
      <w:r w:rsidRPr="00C85E6C">
        <w:t>her</w:t>
      </w:r>
      <w:r w:rsidR="009345EA">
        <w:t xml:space="preserve"> </w:t>
      </w:r>
      <w:r w:rsidRPr="00C85E6C">
        <w:t>morality</w:t>
      </w:r>
      <w:r w:rsidR="009345EA">
        <w:t xml:space="preserve"> </w:t>
      </w:r>
      <w:r w:rsidRPr="00C85E6C">
        <w:t>and</w:t>
      </w:r>
      <w:r w:rsidR="009345EA">
        <w:t xml:space="preserve"> </w:t>
      </w:r>
      <w:r w:rsidRPr="00C85E6C">
        <w:t>reputation,</w:t>
      </w:r>
      <w:r w:rsidR="009345EA">
        <w:t xml:space="preserve"> </w:t>
      </w:r>
      <w:r w:rsidRPr="00C85E6C">
        <w:t>exacerbated</w:t>
      </w:r>
      <w:r w:rsidR="009345EA">
        <w:t xml:space="preserve"> </w:t>
      </w:r>
      <w:r w:rsidRPr="00C85E6C">
        <w:t>by</w:t>
      </w:r>
      <w:r w:rsidR="009345EA">
        <w:t xml:space="preserve"> </w:t>
      </w:r>
      <w:r w:rsidRPr="00C85E6C">
        <w:t>the</w:t>
      </w:r>
      <w:r w:rsidR="009345EA">
        <w:t xml:space="preserve"> </w:t>
      </w:r>
      <w:r w:rsidRPr="00C85E6C">
        <w:t>fact</w:t>
      </w:r>
      <w:r w:rsidR="009345EA">
        <w:t xml:space="preserve"> </w:t>
      </w:r>
      <w:r w:rsidRPr="00C85E6C">
        <w:t>that</w:t>
      </w:r>
      <w:r w:rsidR="009345EA">
        <w:t xml:space="preserve"> </w:t>
      </w:r>
      <w:r w:rsidRPr="00C85E6C">
        <w:t>the</w:t>
      </w:r>
      <w:r w:rsidR="009345EA">
        <w:t xml:space="preserve"> </w:t>
      </w:r>
      <w:r w:rsidRPr="00C85E6C">
        <w:t>society</w:t>
      </w:r>
      <w:r w:rsidR="009345EA">
        <w:t xml:space="preserve"> </w:t>
      </w:r>
      <w:r w:rsidRPr="00C85E6C">
        <w:t>she</w:t>
      </w:r>
      <w:r w:rsidR="009345EA">
        <w:t xml:space="preserve"> </w:t>
      </w:r>
      <w:r w:rsidRPr="00C85E6C">
        <w:t>is</w:t>
      </w:r>
      <w:r w:rsidR="009345EA">
        <w:t xml:space="preserve"> </w:t>
      </w:r>
      <w:r w:rsidRPr="00C85E6C">
        <w:t>living</w:t>
      </w:r>
      <w:r w:rsidR="009345EA">
        <w:t xml:space="preserve"> </w:t>
      </w:r>
      <w:r w:rsidRPr="00C85E6C">
        <w:t>in</w:t>
      </w:r>
      <w:r w:rsidR="009345EA">
        <w:t xml:space="preserve"> </w:t>
      </w:r>
      <w:r w:rsidRPr="00C85E6C">
        <w:t>considers</w:t>
      </w:r>
      <w:r w:rsidR="009345EA">
        <w:t xml:space="preserve"> </w:t>
      </w:r>
      <w:r w:rsidRPr="00C85E6C">
        <w:t>her</w:t>
      </w:r>
      <w:r w:rsidR="009345EA">
        <w:t xml:space="preserve"> </w:t>
      </w:r>
      <w:r w:rsidR="00EB40F1">
        <w:t>“</w:t>
      </w:r>
      <w:r w:rsidRPr="00C85E6C">
        <w:t>polluted</w:t>
      </w:r>
      <w:r w:rsidR="00EB40F1">
        <w:t>”</w:t>
      </w:r>
      <w:r w:rsidR="009345EA">
        <w:t xml:space="preserve"> </w:t>
      </w:r>
      <w:r w:rsidRPr="00C85E6C">
        <w:t>since</w:t>
      </w:r>
      <w:r w:rsidR="009345EA">
        <w:t xml:space="preserve"> </w:t>
      </w:r>
      <w:r w:rsidRPr="00C85E6C">
        <w:t>her</w:t>
      </w:r>
      <w:r w:rsidR="009345EA">
        <w:t xml:space="preserve"> </w:t>
      </w:r>
      <w:r w:rsidRPr="00C85E6C">
        <w:t>virginity</w:t>
      </w:r>
      <w:r w:rsidR="009345EA">
        <w:t xml:space="preserve"> </w:t>
      </w:r>
      <w:r w:rsidRPr="00C85E6C">
        <w:t>was</w:t>
      </w:r>
      <w:r w:rsidR="009345EA">
        <w:t xml:space="preserve"> </w:t>
      </w:r>
      <w:r w:rsidRPr="00C85E6C">
        <w:t>lost</w:t>
      </w:r>
      <w:r w:rsidR="009345EA">
        <w:t xml:space="preserve"> </w:t>
      </w:r>
      <w:r w:rsidRPr="00C85E6C">
        <w:t>before</w:t>
      </w:r>
      <w:r w:rsidR="009345EA">
        <w:t xml:space="preserve"> </w:t>
      </w:r>
      <w:r w:rsidRPr="00C85E6C">
        <w:t>she</w:t>
      </w:r>
      <w:r w:rsidR="009345EA">
        <w:t xml:space="preserve"> </w:t>
      </w:r>
      <w:r w:rsidRPr="00C85E6C">
        <w:t>was</w:t>
      </w:r>
      <w:r w:rsidR="009345EA">
        <w:t xml:space="preserve"> </w:t>
      </w:r>
      <w:r w:rsidRPr="00C85E6C">
        <w:t>married.</w:t>
      </w:r>
      <w:r w:rsidR="009345EA">
        <w:t xml:space="preserve"> </w:t>
      </w:r>
    </w:p>
    <w:p w:rsidR="00D06B7B" w:rsidRPr="00C85E6C" w:rsidRDefault="00D06B7B" w:rsidP="00FF3573">
      <w:pPr>
        <w:pStyle w:val="SingleTxtG"/>
      </w:pPr>
      <w:r w:rsidRPr="00C85E6C">
        <w:t>7.6</w:t>
      </w:r>
      <w:r w:rsidRPr="00C85E6C">
        <w:tab/>
        <w:t>The</w:t>
      </w:r>
      <w:r w:rsidR="009345EA">
        <w:t xml:space="preserve"> </w:t>
      </w:r>
      <w:r w:rsidRPr="00C85E6C">
        <w:t>Committee</w:t>
      </w:r>
      <w:r w:rsidR="009345EA">
        <w:t xml:space="preserve"> </w:t>
      </w:r>
      <w:r w:rsidRPr="00C85E6C">
        <w:t>recalls</w:t>
      </w:r>
      <w:r w:rsidR="009345EA">
        <w:t xml:space="preserve"> </w:t>
      </w:r>
      <w:r w:rsidRPr="00C85E6C">
        <w:t>paragraph</w:t>
      </w:r>
      <w:r w:rsidR="009345EA">
        <w:t xml:space="preserve"> </w:t>
      </w:r>
      <w:r w:rsidRPr="00C85E6C">
        <w:t>10</w:t>
      </w:r>
      <w:r w:rsidR="009345EA">
        <w:t xml:space="preserve"> </w:t>
      </w:r>
      <w:r w:rsidRPr="00C85E6C">
        <w:t>of</w:t>
      </w:r>
      <w:r w:rsidR="009345EA">
        <w:t xml:space="preserve"> </w:t>
      </w:r>
      <w:r w:rsidRPr="00C85E6C">
        <w:t>its</w:t>
      </w:r>
      <w:r w:rsidR="009345EA">
        <w:t xml:space="preserve"> </w:t>
      </w:r>
      <w:r w:rsidRPr="00C85E6C">
        <w:t>general</w:t>
      </w:r>
      <w:r w:rsidR="009345EA">
        <w:t xml:space="preserve"> </w:t>
      </w:r>
      <w:r w:rsidRPr="00C85E6C">
        <w:t>comment</w:t>
      </w:r>
      <w:r w:rsidR="009345EA">
        <w:t xml:space="preserve"> </w:t>
      </w:r>
      <w:r w:rsidRPr="00C85E6C">
        <w:t>No.</w:t>
      </w:r>
      <w:r w:rsidR="009345EA">
        <w:t xml:space="preserve"> </w:t>
      </w:r>
      <w:r w:rsidRPr="00C85E6C">
        <w:t>18</w:t>
      </w:r>
      <w:r w:rsidR="009345EA">
        <w:t xml:space="preserve"> </w:t>
      </w:r>
      <w:r w:rsidRPr="00C85E6C">
        <w:t>(1989)</w:t>
      </w:r>
      <w:r w:rsidR="009345EA">
        <w:t xml:space="preserve"> </w:t>
      </w:r>
      <w:r w:rsidRPr="00C85E6C">
        <w:t>on</w:t>
      </w:r>
      <w:r w:rsidR="009345EA">
        <w:t xml:space="preserve"> </w:t>
      </w:r>
      <w:r w:rsidRPr="00C85E6C">
        <w:t>non-discrimination,</w:t>
      </w:r>
      <w:r w:rsidR="009345EA">
        <w:t xml:space="preserve"> </w:t>
      </w:r>
      <w:r w:rsidRPr="00C85E6C">
        <w:t>in</w:t>
      </w:r>
      <w:r w:rsidR="009345EA">
        <w:t xml:space="preserve"> </w:t>
      </w:r>
      <w:r w:rsidRPr="00C85E6C">
        <w:t>which</w:t>
      </w:r>
      <w:r w:rsidR="009345EA">
        <w:t xml:space="preserve"> </w:t>
      </w:r>
      <w:r w:rsidRPr="00C85E6C">
        <w:t>it</w:t>
      </w:r>
      <w:r w:rsidR="009345EA">
        <w:t xml:space="preserve"> </w:t>
      </w:r>
      <w:r w:rsidRPr="00C85E6C">
        <w:t>indicates</w:t>
      </w:r>
      <w:r w:rsidR="009345EA">
        <w:t xml:space="preserve"> </w:t>
      </w:r>
      <w:r w:rsidRPr="00C85E6C">
        <w:t>that,</w:t>
      </w:r>
      <w:r w:rsidR="009345EA">
        <w:t xml:space="preserve"> </w:t>
      </w:r>
      <w:r w:rsidRPr="00C85E6C">
        <w:t>in</w:t>
      </w:r>
      <w:r w:rsidR="009345EA">
        <w:t xml:space="preserve"> </w:t>
      </w:r>
      <w:r w:rsidRPr="00C85E6C">
        <w:t>a</w:t>
      </w:r>
      <w:r w:rsidR="009345EA">
        <w:t xml:space="preserve"> </w:t>
      </w:r>
      <w:r w:rsidRPr="00C85E6C">
        <w:t>State</w:t>
      </w:r>
      <w:r w:rsidR="009345EA">
        <w:t xml:space="preserve"> </w:t>
      </w:r>
      <w:r w:rsidRPr="00C85E6C">
        <w:t>where</w:t>
      </w:r>
      <w:r w:rsidR="009345EA">
        <w:t xml:space="preserve"> </w:t>
      </w:r>
      <w:r w:rsidRPr="00C85E6C">
        <w:t>the</w:t>
      </w:r>
      <w:r w:rsidR="009345EA">
        <w:t xml:space="preserve"> </w:t>
      </w:r>
      <w:r w:rsidRPr="00C85E6C">
        <w:t>general</w:t>
      </w:r>
      <w:r w:rsidR="009345EA">
        <w:t xml:space="preserve"> </w:t>
      </w:r>
      <w:r w:rsidRPr="00C85E6C">
        <w:t>conditions</w:t>
      </w:r>
      <w:r w:rsidR="009345EA">
        <w:t xml:space="preserve"> </w:t>
      </w:r>
      <w:r w:rsidRPr="00C85E6C">
        <w:t>of</w:t>
      </w:r>
      <w:r w:rsidR="009345EA">
        <w:t xml:space="preserve"> </w:t>
      </w:r>
      <w:r w:rsidRPr="00C85E6C">
        <w:t>a</w:t>
      </w:r>
      <w:r w:rsidR="009345EA">
        <w:t xml:space="preserve"> </w:t>
      </w:r>
      <w:r w:rsidRPr="00C85E6C">
        <w:t>certain</w:t>
      </w:r>
      <w:r w:rsidR="009345EA">
        <w:t xml:space="preserve"> </w:t>
      </w:r>
      <w:r w:rsidRPr="00C85E6C">
        <w:t>part</w:t>
      </w:r>
      <w:r w:rsidR="009345EA">
        <w:t xml:space="preserve"> </w:t>
      </w:r>
      <w:r w:rsidRPr="00C85E6C">
        <w:t>of</w:t>
      </w:r>
      <w:r w:rsidR="009345EA">
        <w:t xml:space="preserve"> </w:t>
      </w:r>
      <w:r w:rsidRPr="00C85E6C">
        <w:t>the</w:t>
      </w:r>
      <w:r w:rsidR="009345EA">
        <w:t xml:space="preserve"> </w:t>
      </w:r>
      <w:r w:rsidRPr="00C85E6C">
        <w:t>population</w:t>
      </w:r>
      <w:r w:rsidR="009345EA">
        <w:t xml:space="preserve"> </w:t>
      </w:r>
      <w:r w:rsidRPr="00C85E6C">
        <w:t>prevent</w:t>
      </w:r>
      <w:r w:rsidR="009345EA">
        <w:t xml:space="preserve"> </w:t>
      </w:r>
      <w:r w:rsidRPr="00C85E6C">
        <w:t>or</w:t>
      </w:r>
      <w:r w:rsidR="009345EA">
        <w:t xml:space="preserve"> </w:t>
      </w:r>
      <w:r w:rsidRPr="00C85E6C">
        <w:t>impair</w:t>
      </w:r>
      <w:r w:rsidR="009345EA">
        <w:t xml:space="preserve"> </w:t>
      </w:r>
      <w:r w:rsidRPr="00C85E6C">
        <w:t>their</w:t>
      </w:r>
      <w:r w:rsidR="009345EA">
        <w:t xml:space="preserve"> </w:t>
      </w:r>
      <w:r w:rsidRPr="00C85E6C">
        <w:t>enjoyment</w:t>
      </w:r>
      <w:r w:rsidR="009345EA">
        <w:t xml:space="preserve"> </w:t>
      </w:r>
      <w:r w:rsidRPr="00C85E6C">
        <w:t>of</w:t>
      </w:r>
      <w:r w:rsidR="009345EA">
        <w:t xml:space="preserve"> </w:t>
      </w:r>
      <w:r w:rsidRPr="00C85E6C">
        <w:t>human</w:t>
      </w:r>
      <w:r w:rsidR="009345EA">
        <w:t xml:space="preserve"> </w:t>
      </w:r>
      <w:r w:rsidRPr="00C85E6C">
        <w:t>rights,</w:t>
      </w:r>
      <w:r w:rsidR="009345EA">
        <w:t xml:space="preserve"> </w:t>
      </w:r>
      <w:r w:rsidRPr="00C85E6C">
        <w:t>the</w:t>
      </w:r>
      <w:r w:rsidR="009345EA">
        <w:t xml:space="preserve"> </w:t>
      </w:r>
      <w:r w:rsidRPr="00C85E6C">
        <w:t>State</w:t>
      </w:r>
      <w:r w:rsidR="009345EA">
        <w:t xml:space="preserve"> </w:t>
      </w:r>
      <w:r w:rsidRPr="00C85E6C">
        <w:t>should</w:t>
      </w:r>
      <w:r w:rsidR="009345EA">
        <w:t xml:space="preserve"> </w:t>
      </w:r>
      <w:r w:rsidRPr="00C85E6C">
        <w:t>take</w:t>
      </w:r>
      <w:r w:rsidR="009345EA">
        <w:t xml:space="preserve"> </w:t>
      </w:r>
      <w:r w:rsidRPr="00C85E6C">
        <w:t>specific</w:t>
      </w:r>
      <w:r w:rsidR="009345EA">
        <w:t xml:space="preserve"> </w:t>
      </w:r>
      <w:r w:rsidRPr="00C85E6C">
        <w:t>action</w:t>
      </w:r>
      <w:r w:rsidR="009345EA">
        <w:t xml:space="preserve"> </w:t>
      </w:r>
      <w:r w:rsidRPr="00C85E6C">
        <w:t>to</w:t>
      </w:r>
      <w:r w:rsidR="009345EA">
        <w:t xml:space="preserve"> </w:t>
      </w:r>
      <w:r w:rsidRPr="00C85E6C">
        <w:t>correct</w:t>
      </w:r>
      <w:r w:rsidR="009345EA">
        <w:t xml:space="preserve"> </w:t>
      </w:r>
      <w:r w:rsidRPr="00C85E6C">
        <w:t>those</w:t>
      </w:r>
      <w:r w:rsidR="009345EA">
        <w:t xml:space="preserve"> </w:t>
      </w:r>
      <w:r w:rsidRPr="00C85E6C">
        <w:t>conditions.</w:t>
      </w:r>
      <w:r w:rsidR="009345EA">
        <w:t xml:space="preserve"> </w:t>
      </w:r>
      <w:r w:rsidRPr="00C85E6C">
        <w:t>In</w:t>
      </w:r>
      <w:r w:rsidR="009345EA">
        <w:t xml:space="preserve"> </w:t>
      </w:r>
      <w:r w:rsidRPr="00C85E6C">
        <w:t>this</w:t>
      </w:r>
      <w:r w:rsidR="009345EA">
        <w:t xml:space="preserve"> </w:t>
      </w:r>
      <w:r w:rsidRPr="00C85E6C">
        <w:t>connection,</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is</w:t>
      </w:r>
      <w:r w:rsidR="009345EA">
        <w:t xml:space="preserve"> </w:t>
      </w:r>
      <w:r w:rsidRPr="00C85E6C">
        <w:t>under</w:t>
      </w:r>
      <w:r w:rsidR="009345EA">
        <w:t xml:space="preserve"> </w:t>
      </w:r>
      <w:r w:rsidRPr="00C85E6C">
        <w:t>an</w:t>
      </w:r>
      <w:r w:rsidR="009345EA">
        <w:t xml:space="preserve"> </w:t>
      </w:r>
      <w:r w:rsidRPr="00C85E6C">
        <w:t>obligation</w:t>
      </w:r>
      <w:r w:rsidR="009345EA">
        <w:t xml:space="preserve"> </w:t>
      </w:r>
      <w:r w:rsidRPr="00C85E6C">
        <w:t>to</w:t>
      </w:r>
      <w:r w:rsidR="009345EA">
        <w:t xml:space="preserve"> </w:t>
      </w:r>
      <w:r w:rsidRPr="00C85E6C">
        <w:t>provide</w:t>
      </w:r>
      <w:r w:rsidR="009345EA">
        <w:t xml:space="preserve"> </w:t>
      </w:r>
      <w:r w:rsidRPr="00C85E6C">
        <w:t>protection</w:t>
      </w:r>
      <w:r w:rsidR="009345EA">
        <w:t xml:space="preserve"> </w:t>
      </w:r>
      <w:r w:rsidRPr="00C85E6C">
        <w:t>and</w:t>
      </w:r>
      <w:r w:rsidR="009345EA">
        <w:t xml:space="preserve"> </w:t>
      </w:r>
      <w:r w:rsidRPr="00C85E6C">
        <w:t>ensure</w:t>
      </w:r>
      <w:r w:rsidR="009345EA">
        <w:t xml:space="preserve"> </w:t>
      </w:r>
      <w:r w:rsidRPr="00C85E6C">
        <w:t>accountability</w:t>
      </w:r>
      <w:r w:rsidR="009345EA">
        <w:t xml:space="preserve"> </w:t>
      </w:r>
      <w:r w:rsidRPr="00C85E6C">
        <w:t>for</w:t>
      </w:r>
      <w:r w:rsidR="009345EA">
        <w:t xml:space="preserve"> </w:t>
      </w:r>
      <w:r w:rsidRPr="00C85E6C">
        <w:t>discriminatory</w:t>
      </w:r>
      <w:r w:rsidR="009345EA">
        <w:t xml:space="preserve"> </w:t>
      </w:r>
      <w:r w:rsidRPr="00C85E6C">
        <w:t>acts</w:t>
      </w:r>
      <w:r w:rsidR="009345EA">
        <w:t xml:space="preserve"> </w:t>
      </w:r>
      <w:r w:rsidRPr="00C85E6C">
        <w:t>such</w:t>
      </w:r>
      <w:r w:rsidR="009345EA">
        <w:t xml:space="preserve"> </w:t>
      </w:r>
      <w:r w:rsidRPr="00C85E6C">
        <w:t>as</w:t>
      </w:r>
      <w:r w:rsidR="009345EA">
        <w:t xml:space="preserve"> </w:t>
      </w:r>
      <w:r w:rsidRPr="00C85E6C">
        <w:t>violence</w:t>
      </w:r>
      <w:r w:rsidR="009345EA">
        <w:t xml:space="preserve"> </w:t>
      </w:r>
      <w:r w:rsidRPr="00C85E6C">
        <w:t>against</w:t>
      </w:r>
      <w:r w:rsidR="009345EA">
        <w:t xml:space="preserve"> </w:t>
      </w:r>
      <w:r w:rsidRPr="00C85E6C">
        <w:t>women,</w:t>
      </w:r>
      <w:r w:rsidR="009345EA">
        <w:t xml:space="preserve"> </w:t>
      </w:r>
      <w:r w:rsidRPr="00C85E6C">
        <w:t>and</w:t>
      </w:r>
      <w:r w:rsidR="009345EA">
        <w:t xml:space="preserve"> </w:t>
      </w:r>
      <w:r w:rsidRPr="00C85E6C">
        <w:t>rape</w:t>
      </w:r>
      <w:r w:rsidR="009345EA">
        <w:t xml:space="preserve"> </w:t>
      </w:r>
      <w:r w:rsidRPr="00C85E6C">
        <w:t>in</w:t>
      </w:r>
      <w:r w:rsidR="009345EA">
        <w:t xml:space="preserve"> </w:t>
      </w:r>
      <w:r w:rsidRPr="00C85E6C">
        <w:t>particular.</w:t>
      </w:r>
      <w:r w:rsidR="009345EA">
        <w:t xml:space="preserve"> </w:t>
      </w:r>
      <w:r w:rsidRPr="00C85E6C">
        <w:t>The</w:t>
      </w:r>
      <w:r w:rsidR="009345EA">
        <w:t xml:space="preserve"> </w:t>
      </w:r>
      <w:r w:rsidRPr="00C85E6C">
        <w:t>Committee</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has</w:t>
      </w:r>
      <w:r w:rsidR="009345EA">
        <w:t xml:space="preserve"> </w:t>
      </w:r>
      <w:r w:rsidRPr="00C85E6C">
        <w:t>not</w:t>
      </w:r>
      <w:r w:rsidR="009345EA">
        <w:t xml:space="preserve"> </w:t>
      </w:r>
      <w:r w:rsidRPr="00C85E6C">
        <w:t>contested</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claims</w:t>
      </w:r>
      <w:r w:rsidR="009345EA">
        <w:t xml:space="preserve"> </w:t>
      </w:r>
      <w:r w:rsidRPr="00C85E6C">
        <w:t>under</w:t>
      </w:r>
      <w:r w:rsidR="009345EA">
        <w:t xml:space="preserve"> </w:t>
      </w:r>
      <w:r w:rsidRPr="00C85E6C">
        <w:t>article</w:t>
      </w:r>
      <w:r w:rsidR="009345EA">
        <w:t xml:space="preserve"> </w:t>
      </w:r>
      <w:r w:rsidRPr="00C85E6C">
        <w:t>26,</w:t>
      </w:r>
      <w:r w:rsidR="009345EA">
        <w:t xml:space="preserve"> </w:t>
      </w:r>
      <w:r w:rsidRPr="00C85E6C">
        <w:t>and</w:t>
      </w:r>
      <w:r w:rsidR="009345EA">
        <w:t xml:space="preserve"> </w:t>
      </w:r>
      <w:r w:rsidRPr="00C85E6C">
        <w:t>that</w:t>
      </w:r>
      <w:r w:rsidR="009345EA">
        <w:t xml:space="preserve"> </w:t>
      </w:r>
      <w:r w:rsidRPr="00C85E6C">
        <w:t>it</w:t>
      </w:r>
      <w:r w:rsidR="009345EA">
        <w:t xml:space="preserve"> </w:t>
      </w:r>
      <w:r w:rsidRPr="00C85E6C">
        <w:t>failed</w:t>
      </w:r>
      <w:r w:rsidR="009345EA">
        <w:t xml:space="preserve"> </w:t>
      </w:r>
      <w:r w:rsidRPr="00C85E6C">
        <w:t>to</w:t>
      </w:r>
      <w:r w:rsidR="009345EA">
        <w:t xml:space="preserve"> </w:t>
      </w:r>
      <w:r w:rsidRPr="00C85E6C">
        <w:t>enable</w:t>
      </w:r>
      <w:r w:rsidR="009345EA">
        <w:t xml:space="preserve"> </w:t>
      </w:r>
      <w:r w:rsidRPr="00C85E6C">
        <w:t>the</w:t>
      </w:r>
      <w:r w:rsidR="009345EA">
        <w:t xml:space="preserve"> </w:t>
      </w:r>
      <w:r w:rsidRPr="00C85E6C">
        <w:t>author</w:t>
      </w:r>
      <w:r w:rsidR="009345EA">
        <w:t xml:space="preserve"> </w:t>
      </w:r>
      <w:r w:rsidRPr="00C85E6C">
        <w:t>to</w:t>
      </w:r>
      <w:r w:rsidR="009345EA">
        <w:t xml:space="preserve"> </w:t>
      </w:r>
      <w:r w:rsidRPr="00C85E6C">
        <w:t>make</w:t>
      </w:r>
      <w:r w:rsidR="009345EA">
        <w:t xml:space="preserve"> </w:t>
      </w:r>
      <w:r w:rsidRPr="00C85E6C">
        <w:t>a</w:t>
      </w:r>
      <w:r w:rsidR="009345EA">
        <w:t xml:space="preserve"> </w:t>
      </w:r>
      <w:r w:rsidRPr="00C85E6C">
        <w:t>complaint</w:t>
      </w:r>
      <w:r w:rsidR="009345EA">
        <w:t xml:space="preserve"> </w:t>
      </w:r>
      <w:r w:rsidRPr="00C85E6C">
        <w:t>in</w:t>
      </w:r>
      <w:r w:rsidR="009345EA">
        <w:t xml:space="preserve"> </w:t>
      </w:r>
      <w:r w:rsidRPr="00C85E6C">
        <w:t>her</w:t>
      </w:r>
      <w:r w:rsidR="009345EA">
        <w:t xml:space="preserve"> </w:t>
      </w:r>
      <w:r w:rsidRPr="00C85E6C">
        <w:t>mother</w:t>
      </w:r>
      <w:r w:rsidR="009345EA">
        <w:t xml:space="preserve"> </w:t>
      </w:r>
      <w:r w:rsidRPr="00C85E6C">
        <w:t>tongue,</w:t>
      </w:r>
      <w:r w:rsidR="009345EA">
        <w:t xml:space="preserve"> </w:t>
      </w:r>
      <w:r w:rsidRPr="00C85E6C">
        <w:t>Tamil,</w:t>
      </w:r>
      <w:r w:rsidR="009345EA">
        <w:t xml:space="preserve"> </w:t>
      </w:r>
      <w:r w:rsidRPr="00C85E6C">
        <w:t>as</w:t>
      </w:r>
      <w:r w:rsidR="009345EA">
        <w:t xml:space="preserve"> </w:t>
      </w:r>
      <w:r w:rsidRPr="00C85E6C">
        <w:t>guaranteed</w:t>
      </w:r>
      <w:r w:rsidR="009345EA">
        <w:t xml:space="preserve"> </w:t>
      </w:r>
      <w:r w:rsidRPr="00C85E6C">
        <w:t>by</w:t>
      </w:r>
      <w:r w:rsidR="009345EA">
        <w:t xml:space="preserve"> </w:t>
      </w:r>
      <w:r w:rsidRPr="00C85E6C">
        <w:t>the</w:t>
      </w:r>
      <w:r w:rsidR="009345EA">
        <w:t xml:space="preserve"> </w:t>
      </w:r>
      <w:r w:rsidRPr="00C85E6C">
        <w:t>Code</w:t>
      </w:r>
      <w:r w:rsidR="009345EA">
        <w:t xml:space="preserve"> </w:t>
      </w:r>
      <w:r w:rsidRPr="00C85E6C">
        <w:t>of</w:t>
      </w:r>
      <w:r w:rsidR="009345EA">
        <w:t xml:space="preserve"> </w:t>
      </w:r>
      <w:r w:rsidRPr="00C85E6C">
        <w:t>Criminal</w:t>
      </w:r>
      <w:r w:rsidR="009345EA">
        <w:t xml:space="preserve"> </w:t>
      </w:r>
      <w:r w:rsidRPr="00C85E6C">
        <w:t>Procedure.</w:t>
      </w:r>
      <w:r w:rsidRPr="00D06B7B">
        <w:rPr>
          <w:rStyle w:val="FootnoteReference"/>
        </w:rPr>
        <w:footnoteReference w:id="28"/>
      </w:r>
      <w:r w:rsidR="009345EA">
        <w:t xml:space="preserve"> </w:t>
      </w:r>
      <w:r w:rsidRPr="00C85E6C">
        <w:t>The</w:t>
      </w:r>
      <w:r w:rsidR="009345EA">
        <w:t xml:space="preserve"> </w:t>
      </w:r>
      <w:r w:rsidRPr="00C85E6C">
        <w:t>Committee</w:t>
      </w:r>
      <w:r w:rsidR="009345EA">
        <w:t xml:space="preserve"> </w:t>
      </w:r>
      <w:r w:rsidRPr="00C85E6C">
        <w:t>also</w:t>
      </w:r>
      <w:r w:rsidR="009345EA">
        <w:t xml:space="preserve"> </w:t>
      </w:r>
      <w:r w:rsidRPr="00C85E6C">
        <w:t>notes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EB40F1">
        <w:t>’</w:t>
      </w:r>
      <w:r w:rsidRPr="00C85E6C">
        <w:t>s</w:t>
      </w:r>
      <w:r w:rsidR="009345EA">
        <w:t xml:space="preserve"> </w:t>
      </w:r>
      <w:r w:rsidRPr="00C85E6C">
        <w:t>judges</w:t>
      </w:r>
      <w:r w:rsidR="009345EA">
        <w:t xml:space="preserve"> </w:t>
      </w:r>
      <w:r w:rsidRPr="00C85E6C">
        <w:t>failed</w:t>
      </w:r>
      <w:r w:rsidR="009345EA">
        <w:t xml:space="preserve"> </w:t>
      </w:r>
      <w:r w:rsidRPr="00C85E6C">
        <w:t>to</w:t>
      </w:r>
      <w:r w:rsidR="009345EA">
        <w:t xml:space="preserve"> </w:t>
      </w:r>
      <w:r w:rsidRPr="00C85E6C">
        <w:t>acknowledge</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vulnerability</w:t>
      </w:r>
      <w:r w:rsidR="009345EA">
        <w:t xml:space="preserve"> </w:t>
      </w:r>
      <w:r w:rsidRPr="00C85E6C">
        <w:t>as</w:t>
      </w:r>
      <w:r w:rsidR="009345EA">
        <w:t xml:space="preserve"> </w:t>
      </w:r>
      <w:r w:rsidRPr="00C85E6C">
        <w:t>a</w:t>
      </w:r>
      <w:r w:rsidR="009345EA">
        <w:t xml:space="preserve"> </w:t>
      </w:r>
      <w:r w:rsidRPr="00C85E6C">
        <w:t>minor</w:t>
      </w:r>
      <w:r w:rsidR="009345EA">
        <w:t xml:space="preserve"> </w:t>
      </w:r>
      <w:r w:rsidRPr="00C85E6C">
        <w:t>member</w:t>
      </w:r>
      <w:r w:rsidR="009345EA">
        <w:t xml:space="preserve"> </w:t>
      </w:r>
      <w:r w:rsidRPr="00C85E6C">
        <w:t>of</w:t>
      </w:r>
      <w:r w:rsidR="009345EA">
        <w:t xml:space="preserve"> </w:t>
      </w:r>
      <w:r w:rsidRPr="00C85E6C">
        <w:t>an</w:t>
      </w:r>
      <w:r w:rsidR="009345EA">
        <w:t xml:space="preserve"> </w:t>
      </w:r>
      <w:r w:rsidRPr="00C85E6C">
        <w:t>ethnic</w:t>
      </w:r>
      <w:r w:rsidR="009345EA">
        <w:t xml:space="preserve"> </w:t>
      </w:r>
      <w:r w:rsidRPr="00C85E6C">
        <w:t>minority,</w:t>
      </w:r>
      <w:r w:rsidR="009345EA">
        <w:t xml:space="preserve"> </w:t>
      </w:r>
      <w:r w:rsidRPr="00C85E6C">
        <w:t>in</w:t>
      </w:r>
      <w:r w:rsidR="009345EA">
        <w:t xml:space="preserve"> </w:t>
      </w:r>
      <w:r w:rsidRPr="00C85E6C">
        <w:t>particular</w:t>
      </w:r>
      <w:r w:rsidR="009345EA">
        <w:t xml:space="preserve"> </w:t>
      </w:r>
      <w:r w:rsidRPr="00C85E6C">
        <w:t>as</w:t>
      </w:r>
      <w:r w:rsidR="009345EA">
        <w:t xml:space="preserve"> </w:t>
      </w:r>
      <w:r w:rsidRPr="00C85E6C">
        <w:t>they</w:t>
      </w:r>
      <w:r w:rsidR="009345EA">
        <w:t xml:space="preserve"> </w:t>
      </w:r>
      <w:r w:rsidRPr="00C85E6C">
        <w:t>failed</w:t>
      </w:r>
      <w:r w:rsidR="009345EA">
        <w:t xml:space="preserve"> </w:t>
      </w:r>
      <w:r w:rsidRPr="00C85E6C">
        <w:t>to</w:t>
      </w:r>
      <w:r w:rsidR="009345EA">
        <w:t xml:space="preserve"> </w:t>
      </w:r>
      <w:r w:rsidRPr="00C85E6C">
        <w:t>intervene</w:t>
      </w:r>
      <w:r w:rsidR="009345EA">
        <w:t xml:space="preserve"> </w:t>
      </w:r>
      <w:r w:rsidRPr="00C85E6C">
        <w:t>to</w:t>
      </w:r>
      <w:r w:rsidR="009345EA">
        <w:t xml:space="preserve"> </w:t>
      </w:r>
      <w:r w:rsidRPr="00C85E6C">
        <w:t>prevent</w:t>
      </w:r>
      <w:r w:rsidR="009345EA">
        <w:t xml:space="preserve"> </w:t>
      </w:r>
      <w:r w:rsidRPr="00C85E6C">
        <w:t>the</w:t>
      </w:r>
      <w:r w:rsidR="009345EA">
        <w:t xml:space="preserve"> </w:t>
      </w:r>
      <w:r w:rsidRPr="00C85E6C">
        <w:t>unjustified</w:t>
      </w:r>
      <w:r w:rsidR="009345EA">
        <w:t xml:space="preserve"> </w:t>
      </w:r>
      <w:r w:rsidRPr="00C85E6C">
        <w:t>public</w:t>
      </w:r>
      <w:r w:rsidR="009345EA">
        <w:t xml:space="preserve"> </w:t>
      </w:r>
      <w:r w:rsidRPr="00C85E6C">
        <w:t>humiliation</w:t>
      </w:r>
      <w:r w:rsidR="009345EA">
        <w:t xml:space="preserve"> </w:t>
      </w:r>
      <w:r w:rsidRPr="00C85E6C">
        <w:t>of</w:t>
      </w:r>
      <w:r w:rsidR="009345EA">
        <w:t xml:space="preserve"> </w:t>
      </w:r>
      <w:r w:rsidRPr="00C85E6C">
        <w:t>the</w:t>
      </w:r>
      <w:r w:rsidR="009345EA">
        <w:t xml:space="preserve"> </w:t>
      </w:r>
      <w:r w:rsidRPr="00C85E6C">
        <w:t>author</w:t>
      </w:r>
      <w:r w:rsidR="009345EA">
        <w:t xml:space="preserve"> </w:t>
      </w:r>
      <w:r w:rsidRPr="00C85E6C">
        <w:t>by</w:t>
      </w:r>
      <w:r w:rsidR="009345EA">
        <w:t xml:space="preserve"> </w:t>
      </w:r>
      <w:r w:rsidRPr="00C85E6C">
        <w:t>the</w:t>
      </w:r>
      <w:r w:rsidR="009345EA">
        <w:t xml:space="preserve"> </w:t>
      </w:r>
      <w:r w:rsidRPr="00C85E6C">
        <w:t>defence</w:t>
      </w:r>
      <w:r w:rsidR="009345EA">
        <w:t xml:space="preserve"> </w:t>
      </w:r>
      <w:r w:rsidRPr="00C85E6C">
        <w:t>counsel,</w:t>
      </w:r>
      <w:r w:rsidR="009345EA">
        <w:t xml:space="preserve"> </w:t>
      </w:r>
      <w:r w:rsidRPr="00C85E6C">
        <w:t>casting</w:t>
      </w:r>
      <w:r w:rsidR="009345EA">
        <w:t xml:space="preserve"> </w:t>
      </w:r>
      <w:r w:rsidRPr="00C85E6C">
        <w:t>doubt</w:t>
      </w:r>
      <w:r w:rsidR="009345EA">
        <w:t xml:space="preserve"> </w:t>
      </w:r>
      <w:r w:rsidRPr="00C85E6C">
        <w:t>on</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morality</w:t>
      </w:r>
      <w:r w:rsidR="009345EA">
        <w:t xml:space="preserve"> </w:t>
      </w:r>
      <w:r w:rsidRPr="00C85E6C">
        <w:t>and</w:t>
      </w:r>
      <w:r w:rsidR="009345EA">
        <w:t xml:space="preserve"> </w:t>
      </w:r>
      <w:r w:rsidRPr="00C85E6C">
        <w:t>credibility,</w:t>
      </w:r>
      <w:r w:rsidR="009345EA">
        <w:t xml:space="preserve"> </w:t>
      </w:r>
      <w:r w:rsidRPr="00C85E6C">
        <w:t>without</w:t>
      </w:r>
      <w:r w:rsidR="009345EA">
        <w:t xml:space="preserve"> </w:t>
      </w:r>
      <w:r w:rsidRPr="00C85E6C">
        <w:t>adequate</w:t>
      </w:r>
      <w:r w:rsidR="009345EA">
        <w:t xml:space="preserve"> </w:t>
      </w:r>
      <w:r w:rsidRPr="00C85E6C">
        <w:t>regard</w:t>
      </w:r>
      <w:r w:rsidR="009345EA">
        <w:t xml:space="preserve"> </w:t>
      </w:r>
      <w:r w:rsidRPr="00C85E6C">
        <w:t>for</w:t>
      </w:r>
      <w:r w:rsidR="009345EA">
        <w:t xml:space="preserve"> </w:t>
      </w:r>
      <w:r w:rsidRPr="00C85E6C">
        <w:t>her</w:t>
      </w:r>
      <w:r w:rsidR="009345EA">
        <w:t xml:space="preserve"> </w:t>
      </w:r>
      <w:r w:rsidRPr="00C85E6C">
        <w:t>reputation,</w:t>
      </w:r>
      <w:r w:rsidR="009345EA">
        <w:t xml:space="preserve"> </w:t>
      </w:r>
      <w:r w:rsidRPr="00C85E6C">
        <w:t>honour</w:t>
      </w:r>
      <w:r w:rsidR="009345EA">
        <w:t xml:space="preserve"> </w:t>
      </w:r>
      <w:r w:rsidRPr="00C85E6C">
        <w:t>or</w:t>
      </w:r>
      <w:r w:rsidR="009345EA">
        <w:t xml:space="preserve"> </w:t>
      </w:r>
      <w:r w:rsidRPr="00C85E6C">
        <w:t>dignity.</w:t>
      </w:r>
      <w:r w:rsidR="009345EA">
        <w:t xml:space="preserve"> </w:t>
      </w:r>
      <w:r w:rsidRPr="00C85E6C">
        <w:t>In</w:t>
      </w:r>
      <w:r w:rsidR="009345EA">
        <w:t xml:space="preserve"> </w:t>
      </w:r>
      <w:r w:rsidRPr="00C85E6C">
        <w:t>the</w:t>
      </w:r>
      <w:r w:rsidR="009345EA">
        <w:t xml:space="preserve"> </w:t>
      </w:r>
      <w:r w:rsidRPr="00C85E6C">
        <w:t>light</w:t>
      </w:r>
      <w:r w:rsidR="009345EA">
        <w:t xml:space="preserve"> </w:t>
      </w:r>
      <w:r w:rsidRPr="00C85E6C">
        <w:t>of</w:t>
      </w:r>
      <w:r w:rsidR="009345EA">
        <w:t xml:space="preserve"> </w:t>
      </w:r>
      <w:r w:rsidRPr="00C85E6C">
        <w:t>the</w:t>
      </w:r>
      <w:r w:rsidR="009345EA">
        <w:t xml:space="preserve"> </w:t>
      </w:r>
      <w:r w:rsidRPr="00C85E6C">
        <w:t>uncontested</w:t>
      </w:r>
      <w:r w:rsidR="009345EA">
        <w:t xml:space="preserve"> </w:t>
      </w:r>
      <w:r w:rsidRPr="00C85E6C">
        <w:t>facts</w:t>
      </w:r>
      <w:r w:rsidR="009345EA">
        <w:t xml:space="preserve"> </w:t>
      </w:r>
      <w:r w:rsidRPr="00C85E6C">
        <w:t>before</w:t>
      </w:r>
      <w:r w:rsidR="009345EA">
        <w:t xml:space="preserve"> </w:t>
      </w:r>
      <w:r w:rsidRPr="00C85E6C">
        <w:t>it,</w:t>
      </w:r>
      <w:r w:rsidR="009345EA">
        <w:t xml:space="preserve"> </w:t>
      </w:r>
      <w:r w:rsidRPr="00C85E6C">
        <w:t>the</w:t>
      </w:r>
      <w:r w:rsidR="009345EA">
        <w:t xml:space="preserve"> </w:t>
      </w:r>
      <w:r w:rsidRPr="00C85E6C">
        <w:t>Committee</w:t>
      </w:r>
      <w:r w:rsidR="009345EA">
        <w:t xml:space="preserve"> </w:t>
      </w:r>
      <w:r w:rsidRPr="00C85E6C">
        <w:t>finds</w:t>
      </w:r>
      <w:r w:rsidR="009345EA">
        <w:t xml:space="preserve"> </w:t>
      </w:r>
      <w:r w:rsidRPr="00C85E6C">
        <w:t>that</w:t>
      </w:r>
      <w:r w:rsidR="009345EA">
        <w:t xml:space="preserve"> </w:t>
      </w:r>
      <w:r w:rsidRPr="00C85E6C">
        <w:t>the</w:t>
      </w:r>
      <w:r w:rsidR="009345EA">
        <w:t xml:space="preserve"> </w:t>
      </w:r>
      <w:r w:rsidRPr="00C85E6C">
        <w:t>author</w:t>
      </w:r>
      <w:r w:rsidR="009345EA">
        <w:t xml:space="preserve"> </w:t>
      </w:r>
      <w:r w:rsidRPr="00C85E6C">
        <w:t>could</w:t>
      </w:r>
      <w:r w:rsidR="009345EA">
        <w:t xml:space="preserve"> </w:t>
      </w:r>
      <w:r w:rsidRPr="00C85E6C">
        <w:t>not</w:t>
      </w:r>
      <w:r w:rsidR="009345EA">
        <w:t xml:space="preserve"> </w:t>
      </w:r>
      <w:r w:rsidRPr="00C85E6C">
        <w:t>enjoy</w:t>
      </w:r>
      <w:r w:rsidR="009345EA">
        <w:t xml:space="preserve"> </w:t>
      </w:r>
      <w:r w:rsidRPr="00C85E6C">
        <w:t>equality</w:t>
      </w:r>
      <w:r w:rsidR="009345EA">
        <w:t xml:space="preserve"> </w:t>
      </w:r>
      <w:r w:rsidRPr="00C85E6C">
        <w:t>before</w:t>
      </w:r>
      <w:r w:rsidR="009345EA">
        <w:t xml:space="preserve"> </w:t>
      </w:r>
      <w:r w:rsidRPr="00C85E6C">
        <w:t>the</w:t>
      </w:r>
      <w:r w:rsidR="009345EA">
        <w:t xml:space="preserve"> </w:t>
      </w:r>
      <w:r w:rsidRPr="00C85E6C">
        <w:t>law</w:t>
      </w:r>
      <w:r w:rsidR="009345EA">
        <w:t xml:space="preserve"> </w:t>
      </w:r>
      <w:r w:rsidRPr="00C85E6C">
        <w:t>and</w:t>
      </w:r>
      <w:r w:rsidR="009345EA">
        <w:t xml:space="preserve"> </w:t>
      </w:r>
      <w:r w:rsidRPr="00C85E6C">
        <w:t>equal</w:t>
      </w:r>
      <w:r w:rsidR="009345EA">
        <w:t xml:space="preserve"> </w:t>
      </w:r>
      <w:r w:rsidRPr="00C85E6C">
        <w:t>protection</w:t>
      </w:r>
      <w:r w:rsidR="009345EA">
        <w:t xml:space="preserve"> </w:t>
      </w:r>
      <w:r w:rsidRPr="00C85E6C">
        <w:t>of</w:t>
      </w:r>
      <w:r w:rsidR="009345EA">
        <w:t xml:space="preserve"> </w:t>
      </w:r>
      <w:r w:rsidRPr="00C85E6C">
        <w:t>the</w:t>
      </w:r>
      <w:r w:rsidR="009345EA">
        <w:t xml:space="preserve"> </w:t>
      </w:r>
      <w:r w:rsidRPr="00C85E6C">
        <w:t>law,</w:t>
      </w:r>
      <w:r w:rsidR="009345EA">
        <w:t xml:space="preserve"> </w:t>
      </w:r>
      <w:r w:rsidRPr="00C85E6C">
        <w:t>thereby</w:t>
      </w:r>
      <w:r w:rsidR="009345EA">
        <w:t xml:space="preserve"> </w:t>
      </w:r>
      <w:r w:rsidRPr="00C85E6C">
        <w:t>suffering</w:t>
      </w:r>
      <w:r w:rsidR="009345EA">
        <w:t xml:space="preserve"> </w:t>
      </w:r>
      <w:r w:rsidRPr="00C85E6C">
        <w:t>discrimination</w:t>
      </w:r>
      <w:r w:rsidR="009345EA">
        <w:t xml:space="preserve"> </w:t>
      </w:r>
      <w:r w:rsidRPr="00C85E6C">
        <w:t>on</w:t>
      </w:r>
      <w:r w:rsidR="009345EA">
        <w:t xml:space="preserve"> </w:t>
      </w:r>
      <w:r w:rsidRPr="00C85E6C">
        <w:t>grounds</w:t>
      </w:r>
      <w:r w:rsidR="009345EA">
        <w:t xml:space="preserve"> </w:t>
      </w:r>
      <w:r w:rsidRPr="00C85E6C">
        <w:t>of</w:t>
      </w:r>
      <w:r w:rsidR="009345EA">
        <w:t xml:space="preserve"> </w:t>
      </w:r>
      <w:r w:rsidRPr="00C85E6C">
        <w:t>her</w:t>
      </w:r>
      <w:r w:rsidR="009345EA">
        <w:t xml:space="preserve"> </w:t>
      </w:r>
      <w:r w:rsidRPr="00C85E6C">
        <w:t>ethnicity</w:t>
      </w:r>
      <w:r w:rsidR="009345EA">
        <w:t xml:space="preserve"> </w:t>
      </w:r>
      <w:r w:rsidRPr="00C85E6C">
        <w:t>and</w:t>
      </w:r>
      <w:r w:rsidR="009345EA">
        <w:t xml:space="preserve"> </w:t>
      </w:r>
      <w:r w:rsidRPr="00C85E6C">
        <w:t>gender,</w:t>
      </w:r>
      <w:r w:rsidR="009345EA">
        <w:t xml:space="preserve"> </w:t>
      </w:r>
      <w:r w:rsidRPr="00C85E6C">
        <w:t>in</w:t>
      </w:r>
      <w:r w:rsidR="009345EA">
        <w:t xml:space="preserve"> </w:t>
      </w:r>
      <w:r w:rsidRPr="00C85E6C">
        <w:t>violation</w:t>
      </w:r>
      <w:r w:rsidR="009345EA">
        <w:t xml:space="preserve"> </w:t>
      </w:r>
      <w:r w:rsidRPr="00C85E6C">
        <w:t>of</w:t>
      </w:r>
      <w:r w:rsidR="009345EA">
        <w:t xml:space="preserve"> </w:t>
      </w:r>
      <w:r w:rsidRPr="00C85E6C">
        <w:t>article</w:t>
      </w:r>
      <w:r w:rsidR="009345EA">
        <w:t xml:space="preserve"> </w:t>
      </w:r>
      <w:r w:rsidRPr="00C85E6C">
        <w:t>26</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Moreover,</w:t>
      </w:r>
      <w:r w:rsidR="009345EA">
        <w:t xml:space="preserve"> </w:t>
      </w:r>
      <w:r w:rsidRPr="00C85E6C">
        <w:t>the</w:t>
      </w:r>
      <w:r w:rsidR="009345EA">
        <w:t xml:space="preserve"> </w:t>
      </w:r>
      <w:r w:rsidRPr="00C85E6C">
        <w:t>Committee</w:t>
      </w:r>
      <w:r w:rsidR="009345EA">
        <w:t xml:space="preserve"> </w:t>
      </w:r>
      <w:r w:rsidRPr="00C85E6C">
        <w:t>concludes</w:t>
      </w:r>
      <w:r w:rsidR="009345EA">
        <w:t xml:space="preserve"> </w:t>
      </w:r>
      <w:r w:rsidRPr="00C85E6C">
        <w:t>that</w:t>
      </w:r>
      <w:r w:rsidR="009345EA">
        <w:t xml:space="preserve"> </w:t>
      </w:r>
      <w:r w:rsidRPr="00C85E6C">
        <w:t>the</w:t>
      </w:r>
      <w:r w:rsidR="009345EA">
        <w:t xml:space="preserve"> </w:t>
      </w:r>
      <w:r w:rsidRPr="00C85E6C">
        <w:t>State</w:t>
      </w:r>
      <w:r w:rsidR="009345EA">
        <w:t xml:space="preserve"> </w:t>
      </w:r>
      <w:r w:rsidRPr="00C85E6C">
        <w:t>party</w:t>
      </w:r>
      <w:r w:rsidR="00EB40F1">
        <w:t>’</w:t>
      </w:r>
      <w:r w:rsidRPr="00C85E6C">
        <w:t>s</w:t>
      </w:r>
      <w:r w:rsidR="009345EA">
        <w:t xml:space="preserve"> </w:t>
      </w:r>
      <w:r w:rsidRPr="00C85E6C">
        <w:t>failure</w:t>
      </w:r>
      <w:r w:rsidR="009345EA">
        <w:t xml:space="preserve"> </w:t>
      </w:r>
      <w:r w:rsidRPr="00C85E6C">
        <w:t>to</w:t>
      </w:r>
      <w:r w:rsidR="009345EA">
        <w:t xml:space="preserve"> </w:t>
      </w:r>
      <w:r w:rsidRPr="00C85E6C">
        <w:t>conduct</w:t>
      </w:r>
      <w:r w:rsidR="009345EA">
        <w:t xml:space="preserve"> </w:t>
      </w:r>
      <w:r w:rsidRPr="00C85E6C">
        <w:t>an</w:t>
      </w:r>
      <w:r w:rsidR="009345EA">
        <w:t xml:space="preserve"> </w:t>
      </w:r>
      <w:r w:rsidRPr="00C85E6C">
        <w:t>effective</w:t>
      </w:r>
      <w:r w:rsidR="009345EA">
        <w:t xml:space="preserve"> </w:t>
      </w:r>
      <w:r w:rsidRPr="00C85E6C">
        <w:t>investigation</w:t>
      </w:r>
      <w:r w:rsidR="009345EA">
        <w:t xml:space="preserve"> </w:t>
      </w:r>
      <w:r w:rsidRPr="00C85E6C">
        <w:t>into</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complaint,</w:t>
      </w:r>
      <w:r w:rsidR="009345EA">
        <w:t xml:space="preserve"> </w:t>
      </w:r>
      <w:r w:rsidRPr="00C85E6C">
        <w:t>to</w:t>
      </w:r>
      <w:r w:rsidR="009345EA">
        <w:t xml:space="preserve"> </w:t>
      </w:r>
      <w:r w:rsidRPr="00C85E6C">
        <w:t>promptly</w:t>
      </w:r>
      <w:r w:rsidR="009345EA">
        <w:t xml:space="preserve"> </w:t>
      </w:r>
      <w:r w:rsidRPr="00C85E6C">
        <w:t>bring</w:t>
      </w:r>
      <w:r w:rsidR="009345EA">
        <w:t xml:space="preserve"> </w:t>
      </w:r>
      <w:r w:rsidRPr="00C85E6C">
        <w:t>to</w:t>
      </w:r>
      <w:r w:rsidR="009345EA">
        <w:t xml:space="preserve"> </w:t>
      </w:r>
      <w:r w:rsidRPr="00C85E6C">
        <w:t>justice</w:t>
      </w:r>
      <w:r w:rsidR="009345EA">
        <w:t xml:space="preserve"> </w:t>
      </w:r>
      <w:r w:rsidRPr="00C85E6C">
        <w:t>those</w:t>
      </w:r>
      <w:r w:rsidR="009345EA">
        <w:t xml:space="preserve"> </w:t>
      </w:r>
      <w:r w:rsidRPr="00C85E6C">
        <w:t>allegedly</w:t>
      </w:r>
      <w:r w:rsidR="009345EA">
        <w:t xml:space="preserve"> </w:t>
      </w:r>
      <w:r w:rsidRPr="00C85E6C">
        <w:t>responsible</w:t>
      </w:r>
      <w:r w:rsidR="009345EA">
        <w:t xml:space="preserve"> </w:t>
      </w:r>
      <w:r w:rsidRPr="00C85E6C">
        <w:t>and</w:t>
      </w:r>
      <w:r w:rsidR="009345EA">
        <w:t xml:space="preserve"> </w:t>
      </w:r>
      <w:r w:rsidRPr="00C85E6C">
        <w:t>to</w:t>
      </w:r>
      <w:r w:rsidR="009345EA">
        <w:t xml:space="preserve"> </w:t>
      </w:r>
      <w:r w:rsidRPr="00C85E6C">
        <w:t>provide</w:t>
      </w:r>
      <w:r w:rsidR="009345EA">
        <w:t xml:space="preserve"> </w:t>
      </w:r>
      <w:r w:rsidRPr="00C85E6C">
        <w:t>reparation</w:t>
      </w:r>
      <w:r w:rsidR="009345EA">
        <w:t xml:space="preserve"> </w:t>
      </w:r>
      <w:r w:rsidRPr="00C85E6C">
        <w:t>to</w:t>
      </w:r>
      <w:r w:rsidR="009345EA">
        <w:t xml:space="preserve"> </w:t>
      </w:r>
      <w:r w:rsidRPr="00C85E6C">
        <w:t>the</w:t>
      </w:r>
      <w:r w:rsidR="009345EA">
        <w:t xml:space="preserve"> </w:t>
      </w:r>
      <w:r w:rsidRPr="00C85E6C">
        <w:t>author</w:t>
      </w:r>
      <w:r w:rsidR="009345EA">
        <w:t xml:space="preserve"> </w:t>
      </w:r>
      <w:r w:rsidRPr="00C85E6C">
        <w:t>has</w:t>
      </w:r>
      <w:r w:rsidR="009345EA">
        <w:t xml:space="preserve"> </w:t>
      </w:r>
      <w:r w:rsidRPr="00C85E6C">
        <w:t>also</w:t>
      </w:r>
      <w:r w:rsidR="009345EA">
        <w:t xml:space="preserve"> </w:t>
      </w:r>
      <w:r w:rsidRPr="00C85E6C">
        <w:t>amounted</w:t>
      </w:r>
      <w:r w:rsidR="009345EA">
        <w:t xml:space="preserve"> </w:t>
      </w:r>
      <w:r w:rsidRPr="00C85E6C">
        <w:t>to</w:t>
      </w:r>
      <w:r w:rsidR="009345EA">
        <w:t xml:space="preserve"> </w:t>
      </w:r>
      <w:r w:rsidRPr="00C85E6C">
        <w:t>the</w:t>
      </w:r>
      <w:r w:rsidR="009345EA">
        <w:t xml:space="preserve"> </w:t>
      </w:r>
      <w:r w:rsidRPr="00C85E6C">
        <w:t>author</w:t>
      </w:r>
      <w:r w:rsidR="00EB40F1">
        <w:t>’</w:t>
      </w:r>
      <w:r w:rsidRPr="00C85E6C">
        <w:t>s</w:t>
      </w:r>
      <w:r w:rsidR="009345EA">
        <w:t xml:space="preserve"> </w:t>
      </w:r>
      <w:r w:rsidRPr="00C85E6C">
        <w:t>discrimination</w:t>
      </w:r>
      <w:r w:rsidR="009345EA">
        <w:t xml:space="preserve"> </w:t>
      </w:r>
      <w:r w:rsidRPr="00C85E6C">
        <w:t>on</w:t>
      </w:r>
      <w:r w:rsidR="009345EA">
        <w:t xml:space="preserve"> </w:t>
      </w:r>
      <w:r w:rsidRPr="00C85E6C">
        <w:t>grounds</w:t>
      </w:r>
      <w:r w:rsidR="009345EA">
        <w:t xml:space="preserve"> </w:t>
      </w:r>
      <w:r w:rsidRPr="00C85E6C">
        <w:t>of</w:t>
      </w:r>
      <w:r w:rsidR="009345EA">
        <w:t xml:space="preserve"> </w:t>
      </w:r>
      <w:r w:rsidRPr="00C85E6C">
        <w:t>her</w:t>
      </w:r>
      <w:r w:rsidR="009345EA">
        <w:t xml:space="preserve"> </w:t>
      </w:r>
      <w:r w:rsidRPr="00C85E6C">
        <w:t>gender</w:t>
      </w:r>
      <w:r w:rsidR="009345EA">
        <w:t xml:space="preserve"> </w:t>
      </w:r>
      <w:r w:rsidRPr="00C85E6C">
        <w:t>and</w:t>
      </w:r>
      <w:r w:rsidR="009345EA">
        <w:t xml:space="preserve"> </w:t>
      </w:r>
      <w:r w:rsidRPr="00C85E6C">
        <w:t>ethnicity,</w:t>
      </w:r>
      <w:r w:rsidR="009345EA">
        <w:t xml:space="preserve"> </w:t>
      </w:r>
      <w:r w:rsidRPr="00C85E6C">
        <w:t>in</w:t>
      </w:r>
      <w:r w:rsidR="009345EA">
        <w:t xml:space="preserve"> </w:t>
      </w:r>
      <w:r w:rsidRPr="00C85E6C">
        <w:t>violation</w:t>
      </w:r>
      <w:r w:rsidR="009345EA">
        <w:t xml:space="preserve"> </w:t>
      </w:r>
      <w:r w:rsidRPr="00C85E6C">
        <w:t>of</w:t>
      </w:r>
      <w:r w:rsidR="009345EA">
        <w:t xml:space="preserve"> </w:t>
      </w:r>
      <w:r w:rsidRPr="00C85E6C">
        <w:t>article</w:t>
      </w:r>
      <w:r w:rsidR="009345EA">
        <w:t xml:space="preserve"> </w:t>
      </w:r>
      <w:r w:rsidRPr="00C85E6C">
        <w:t>26</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p>
    <w:p w:rsidR="00D06B7B" w:rsidRPr="00C85E6C" w:rsidRDefault="00D06B7B" w:rsidP="00FF3573">
      <w:pPr>
        <w:pStyle w:val="SingleTxtG"/>
      </w:pPr>
      <w:r w:rsidRPr="00C85E6C">
        <w:t>8.</w:t>
      </w:r>
      <w:r w:rsidR="009345EA">
        <w:t xml:space="preserve"> </w:t>
      </w:r>
      <w:r w:rsidRPr="00C85E6C">
        <w:tab/>
        <w:t>The</w:t>
      </w:r>
      <w:r w:rsidR="009345EA">
        <w:t xml:space="preserve"> </w:t>
      </w:r>
      <w:r w:rsidRPr="00C85E6C">
        <w:t>Committee,</w:t>
      </w:r>
      <w:r w:rsidR="009345EA">
        <w:t xml:space="preserve"> </w:t>
      </w:r>
      <w:r w:rsidRPr="00C85E6C">
        <w:t>acting</w:t>
      </w:r>
      <w:r w:rsidR="009345EA">
        <w:t xml:space="preserve"> </w:t>
      </w:r>
      <w:r w:rsidRPr="00C85E6C">
        <w:t>under</w:t>
      </w:r>
      <w:r w:rsidR="009345EA">
        <w:t xml:space="preserve"> </w:t>
      </w:r>
      <w:r w:rsidRPr="00C85E6C">
        <w:t>article</w:t>
      </w:r>
      <w:r w:rsidR="009345EA">
        <w:t xml:space="preserve"> </w:t>
      </w:r>
      <w:r w:rsidRPr="00C85E6C">
        <w:t>5</w:t>
      </w:r>
      <w:r w:rsidR="009345EA">
        <w:t xml:space="preserve"> </w:t>
      </w:r>
      <w:r w:rsidRPr="00C85E6C">
        <w:t>(4)</w:t>
      </w:r>
      <w:r w:rsidR="009345EA">
        <w:t xml:space="preserve"> </w:t>
      </w:r>
      <w:r w:rsidRPr="00C85E6C">
        <w:t>of</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is</w:t>
      </w:r>
      <w:r w:rsidR="009345EA">
        <w:t xml:space="preserve"> </w:t>
      </w:r>
      <w:r w:rsidRPr="00C85E6C">
        <w:t>of</w:t>
      </w:r>
      <w:r w:rsidR="009345EA">
        <w:t xml:space="preserve"> </w:t>
      </w:r>
      <w:r w:rsidRPr="00C85E6C">
        <w:t>the</w:t>
      </w:r>
      <w:r w:rsidR="009345EA">
        <w:t xml:space="preserve"> </w:t>
      </w:r>
      <w:r w:rsidRPr="00C85E6C">
        <w:t>view</w:t>
      </w:r>
      <w:r w:rsidR="009345EA">
        <w:t xml:space="preserve"> </w:t>
      </w:r>
      <w:r w:rsidRPr="00C85E6C">
        <w:t>that</w:t>
      </w:r>
      <w:r w:rsidR="009345EA">
        <w:t xml:space="preserve"> </w:t>
      </w:r>
      <w:r w:rsidRPr="00C85E6C">
        <w:t>the</w:t>
      </w:r>
      <w:r w:rsidR="009345EA">
        <w:t xml:space="preserve"> </w:t>
      </w:r>
      <w:r w:rsidRPr="00C85E6C">
        <w:t>facts</w:t>
      </w:r>
      <w:r w:rsidR="009345EA">
        <w:t xml:space="preserve"> </w:t>
      </w:r>
      <w:r w:rsidRPr="00C85E6C">
        <w:t>before</w:t>
      </w:r>
      <w:r w:rsidR="009345EA">
        <w:t xml:space="preserve"> </w:t>
      </w:r>
      <w:r w:rsidRPr="00C85E6C">
        <w:t>it</w:t>
      </w:r>
      <w:r w:rsidR="009345EA">
        <w:t xml:space="preserve"> </w:t>
      </w:r>
      <w:r w:rsidRPr="00C85E6C">
        <w:t>reveal</w:t>
      </w:r>
      <w:r w:rsidR="009345EA">
        <w:t xml:space="preserve"> </w:t>
      </w:r>
      <w:r w:rsidRPr="00C85E6C">
        <w:t>violations</w:t>
      </w:r>
      <w:r w:rsidR="009345EA">
        <w:t xml:space="preserve"> </w:t>
      </w:r>
      <w:r w:rsidRPr="00C85E6C">
        <w:t>by</w:t>
      </w:r>
      <w:r w:rsidR="009345EA">
        <w:t xml:space="preserve"> </w:t>
      </w:r>
      <w:r w:rsidRPr="00C85E6C">
        <w:t>Sri</w:t>
      </w:r>
      <w:r w:rsidR="009345EA">
        <w:t xml:space="preserve"> </w:t>
      </w:r>
      <w:r w:rsidRPr="00C85E6C">
        <w:t>Lanka</w:t>
      </w:r>
      <w:r w:rsidR="009345EA">
        <w:t xml:space="preserve"> </w:t>
      </w:r>
      <w:r w:rsidRPr="00C85E6C">
        <w:t>of</w:t>
      </w:r>
      <w:r w:rsidR="009345EA">
        <w:t xml:space="preserve"> </w:t>
      </w:r>
      <w:r w:rsidRPr="00C85E6C">
        <w:t>article</w:t>
      </w:r>
      <w:r w:rsidR="009345EA">
        <w:t xml:space="preserve"> </w:t>
      </w:r>
      <w:r w:rsidRPr="00C85E6C">
        <w:t>7,</w:t>
      </w:r>
      <w:r w:rsidR="009345EA">
        <w:t xml:space="preserve"> </w:t>
      </w:r>
      <w:r w:rsidRPr="00C85E6C">
        <w:t>read</w:t>
      </w:r>
      <w:r w:rsidR="009345EA">
        <w:t xml:space="preserve"> </w:t>
      </w:r>
      <w:r w:rsidRPr="00C85E6C">
        <w:t>alone</w:t>
      </w:r>
      <w:r w:rsidR="009345EA">
        <w:t xml:space="preserve"> </w:t>
      </w:r>
      <w:r w:rsidRPr="00C85E6C">
        <w:t>and</w:t>
      </w:r>
      <w:r w:rsidR="009345EA">
        <w:t xml:space="preserve"> </w:t>
      </w:r>
      <w:r w:rsidRPr="00C85E6C">
        <w:t>in</w:t>
      </w:r>
      <w:r w:rsidR="009345EA">
        <w:t xml:space="preserve"> </w:t>
      </w:r>
      <w:r w:rsidRPr="00C85E6C">
        <w:t>conjunction</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and</w:t>
      </w:r>
      <w:r w:rsidR="009345EA">
        <w:t xml:space="preserve"> </w:t>
      </w:r>
      <w:r w:rsidRPr="00C85E6C">
        <w:t>of</w:t>
      </w:r>
      <w:r w:rsidR="009345EA">
        <w:t xml:space="preserve"> </w:t>
      </w:r>
      <w:r w:rsidRPr="00C85E6C">
        <w:t>article</w:t>
      </w:r>
      <w:r w:rsidR="009345EA">
        <w:t xml:space="preserve"> </w:t>
      </w:r>
      <w:r w:rsidRPr="00C85E6C">
        <w:t>26,</w:t>
      </w:r>
      <w:r w:rsidR="009345EA">
        <w:t xml:space="preserve"> </w:t>
      </w:r>
      <w:r w:rsidRPr="00C85E6C">
        <w:t>read</w:t>
      </w:r>
      <w:r w:rsidR="009345EA">
        <w:t xml:space="preserve"> </w:t>
      </w:r>
      <w:r w:rsidRPr="00C85E6C">
        <w:t>alone.</w:t>
      </w:r>
      <w:r w:rsidR="009345EA">
        <w:t xml:space="preserve"> </w:t>
      </w:r>
    </w:p>
    <w:p w:rsidR="00D06B7B" w:rsidRPr="00C85E6C" w:rsidRDefault="00D06B7B" w:rsidP="00FF3573">
      <w:pPr>
        <w:pStyle w:val="SingleTxtG"/>
      </w:pPr>
      <w:r w:rsidRPr="00C85E6C">
        <w:t>9.</w:t>
      </w:r>
      <w:r w:rsidR="009345EA">
        <w:t xml:space="preserve"> </w:t>
      </w:r>
      <w:r w:rsidRPr="00C85E6C">
        <w:tab/>
        <w:t>In</w:t>
      </w:r>
      <w:r w:rsidR="009345EA">
        <w:t xml:space="preserve"> </w:t>
      </w:r>
      <w:r w:rsidRPr="00C85E6C">
        <w:t>accordance</w:t>
      </w:r>
      <w:r w:rsidR="009345EA">
        <w:t xml:space="preserve"> </w:t>
      </w:r>
      <w:r w:rsidRPr="00C85E6C">
        <w:t>with</w:t>
      </w:r>
      <w:r w:rsidR="009345EA">
        <w:t xml:space="preserve"> </w:t>
      </w:r>
      <w:r w:rsidRPr="00C85E6C">
        <w:t>article</w:t>
      </w:r>
      <w:r w:rsidR="009345EA">
        <w:t xml:space="preserve"> </w:t>
      </w:r>
      <w:r w:rsidRPr="00C85E6C">
        <w:t>2</w:t>
      </w:r>
      <w:r w:rsidR="009345EA">
        <w:t xml:space="preserve"> </w:t>
      </w:r>
      <w:r w:rsidRPr="00C85E6C">
        <w:t>(3)</w:t>
      </w:r>
      <w:r w:rsidR="009345EA">
        <w:t xml:space="preserve"> </w:t>
      </w:r>
      <w:r w:rsidRPr="00C85E6C">
        <w:t>(a)</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is</w:t>
      </w:r>
      <w:r w:rsidR="009345EA">
        <w:t xml:space="preserve"> </w:t>
      </w:r>
      <w:r w:rsidRPr="00C85E6C">
        <w:t>under</w:t>
      </w:r>
      <w:r w:rsidR="009345EA">
        <w:t xml:space="preserve"> </w:t>
      </w:r>
      <w:r w:rsidRPr="00C85E6C">
        <w:t>an</w:t>
      </w:r>
      <w:r w:rsidR="009345EA">
        <w:t xml:space="preserve"> </w:t>
      </w:r>
      <w:r w:rsidRPr="00C85E6C">
        <w:t>obligation</w:t>
      </w:r>
      <w:r w:rsidR="009345EA">
        <w:t xml:space="preserve"> </w:t>
      </w:r>
      <w:r w:rsidRPr="00C85E6C">
        <w:t>to</w:t>
      </w:r>
      <w:r w:rsidR="009345EA">
        <w:t xml:space="preserve"> </w:t>
      </w:r>
      <w:r w:rsidRPr="00C85E6C">
        <w:t>provide</w:t>
      </w:r>
      <w:r w:rsidR="009345EA">
        <w:t xml:space="preserve"> </w:t>
      </w:r>
      <w:r w:rsidRPr="00C85E6C">
        <w:t>individuals</w:t>
      </w:r>
      <w:r w:rsidR="009345EA">
        <w:t xml:space="preserve"> </w:t>
      </w:r>
      <w:r w:rsidRPr="00C85E6C">
        <w:t>whose</w:t>
      </w:r>
      <w:r w:rsidR="009345EA">
        <w:t xml:space="preserve"> </w:t>
      </w:r>
      <w:r w:rsidRPr="00C85E6C">
        <w:t>Covenant</w:t>
      </w:r>
      <w:r w:rsidR="009345EA">
        <w:t xml:space="preserve"> </w:t>
      </w:r>
      <w:r w:rsidRPr="00C85E6C">
        <w:t>rights</w:t>
      </w:r>
      <w:r w:rsidR="009345EA">
        <w:t xml:space="preserve"> </w:t>
      </w:r>
      <w:r w:rsidRPr="00C85E6C">
        <w:t>have</w:t>
      </w:r>
      <w:r w:rsidR="009345EA">
        <w:t xml:space="preserve"> </w:t>
      </w:r>
      <w:r w:rsidRPr="00C85E6C">
        <w:t>been</w:t>
      </w:r>
      <w:r w:rsidR="009345EA">
        <w:t xml:space="preserve"> </w:t>
      </w:r>
      <w:r w:rsidRPr="00C85E6C">
        <w:t>violated</w:t>
      </w:r>
      <w:r w:rsidR="009345EA">
        <w:t xml:space="preserve"> </w:t>
      </w:r>
      <w:r w:rsidRPr="00C85E6C">
        <w:t>with</w:t>
      </w:r>
      <w:r w:rsidR="009345EA">
        <w:t xml:space="preserve"> </w:t>
      </w:r>
      <w:r w:rsidRPr="00C85E6C">
        <w:t>an</w:t>
      </w:r>
      <w:r w:rsidR="009345EA">
        <w:t xml:space="preserve"> </w:t>
      </w:r>
      <w:r w:rsidRPr="00C85E6C">
        <w:t>effective</w:t>
      </w:r>
      <w:r w:rsidR="009345EA">
        <w:t xml:space="preserve"> </w:t>
      </w:r>
      <w:r w:rsidRPr="00C85E6C">
        <w:t>remedy</w:t>
      </w:r>
      <w:r w:rsidR="009345EA">
        <w:t xml:space="preserve"> </w:t>
      </w:r>
      <w:r w:rsidRPr="00C85E6C">
        <w:t>in</w:t>
      </w:r>
      <w:r w:rsidR="009345EA">
        <w:t xml:space="preserve"> </w:t>
      </w:r>
      <w:r w:rsidRPr="00C85E6C">
        <w:t>the</w:t>
      </w:r>
      <w:r w:rsidR="009345EA">
        <w:t xml:space="preserve"> </w:t>
      </w:r>
      <w:r w:rsidRPr="00C85E6C">
        <w:t>form</w:t>
      </w:r>
      <w:r w:rsidR="009345EA">
        <w:t xml:space="preserve"> </w:t>
      </w:r>
      <w:r w:rsidRPr="00C85E6C">
        <w:t>of</w:t>
      </w:r>
      <w:r w:rsidR="009345EA">
        <w:t xml:space="preserve"> </w:t>
      </w:r>
      <w:r w:rsidRPr="00C85E6C">
        <w:t>full</w:t>
      </w:r>
      <w:r w:rsidR="009345EA">
        <w:t xml:space="preserve"> </w:t>
      </w:r>
      <w:r w:rsidRPr="00C85E6C">
        <w:t>reparation.</w:t>
      </w:r>
      <w:r w:rsidR="009345EA">
        <w:t xml:space="preserve"> </w:t>
      </w:r>
      <w:r w:rsidRPr="00C85E6C">
        <w:t>Accordingly,</w:t>
      </w:r>
      <w:r w:rsidR="009345EA">
        <w:t xml:space="preserve"> </w:t>
      </w:r>
      <w:r w:rsidRPr="00C85E6C">
        <w:t>in</w:t>
      </w:r>
      <w:r w:rsidR="009345EA">
        <w:t xml:space="preserve"> </w:t>
      </w:r>
      <w:r w:rsidRPr="00C85E6C">
        <w:t>the</w:t>
      </w:r>
      <w:r w:rsidR="009345EA">
        <w:t xml:space="preserve"> </w:t>
      </w:r>
      <w:r w:rsidRPr="00C85E6C">
        <w:t>present</w:t>
      </w:r>
      <w:r w:rsidR="009345EA">
        <w:t xml:space="preserve"> </w:t>
      </w:r>
      <w:r w:rsidRPr="00C85E6C">
        <w:t>case,</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is</w:t>
      </w:r>
      <w:r w:rsidR="009345EA">
        <w:t xml:space="preserve"> </w:t>
      </w:r>
      <w:r w:rsidRPr="00C85E6C">
        <w:t>obligated</w:t>
      </w:r>
      <w:r w:rsidR="009345EA">
        <w:t xml:space="preserve"> </w:t>
      </w:r>
      <w:r w:rsidRPr="00C85E6C">
        <w:t>to,</w:t>
      </w:r>
      <w:r w:rsidR="009345EA">
        <w:t xml:space="preserve"> </w:t>
      </w:r>
      <w:r w:rsidRPr="00C85E6C">
        <w:t>inter</w:t>
      </w:r>
      <w:r w:rsidR="009345EA">
        <w:t xml:space="preserve"> </w:t>
      </w:r>
      <w:r w:rsidRPr="00C85E6C">
        <w:t>alia,</w:t>
      </w:r>
      <w:r w:rsidR="009345EA">
        <w:t xml:space="preserve"> </w:t>
      </w:r>
      <w:r w:rsidRPr="00C85E6C">
        <w:t>provide</w:t>
      </w:r>
      <w:r w:rsidR="009345EA">
        <w:t xml:space="preserve"> </w:t>
      </w:r>
      <w:r w:rsidRPr="00C85E6C">
        <w:t>the</w:t>
      </w:r>
      <w:r w:rsidR="009345EA">
        <w:t xml:space="preserve"> </w:t>
      </w:r>
      <w:r w:rsidRPr="00C85E6C">
        <w:t>author</w:t>
      </w:r>
      <w:r w:rsidR="009345EA">
        <w:t xml:space="preserve"> </w:t>
      </w:r>
      <w:r w:rsidRPr="00C85E6C">
        <w:t>with:</w:t>
      </w:r>
      <w:r w:rsidR="009345EA">
        <w:t xml:space="preserve"> </w:t>
      </w:r>
      <w:r w:rsidRPr="00C85E6C">
        <w:t>(a)</w:t>
      </w:r>
      <w:r w:rsidR="009345EA">
        <w:t xml:space="preserve"> </w:t>
      </w:r>
      <w:r w:rsidRPr="00C85E6C">
        <w:t>adequate</w:t>
      </w:r>
      <w:r w:rsidR="009345EA">
        <w:t xml:space="preserve"> </w:t>
      </w:r>
      <w:r w:rsidRPr="00C85E6C">
        <w:t>compensation</w:t>
      </w:r>
      <w:r w:rsidR="009345EA">
        <w:t xml:space="preserve"> </w:t>
      </w:r>
      <w:r w:rsidRPr="00C85E6C">
        <w:t>for</w:t>
      </w:r>
      <w:r w:rsidR="009345EA">
        <w:t xml:space="preserve"> </w:t>
      </w:r>
      <w:r w:rsidRPr="00C85E6C">
        <w:t>the</w:t>
      </w:r>
      <w:r w:rsidR="009345EA">
        <w:t xml:space="preserve"> </w:t>
      </w:r>
      <w:r w:rsidRPr="00C85E6C">
        <w:t>harm</w:t>
      </w:r>
      <w:r w:rsidR="009345EA">
        <w:t xml:space="preserve"> </w:t>
      </w:r>
      <w:r w:rsidRPr="00C85E6C">
        <w:t>she</w:t>
      </w:r>
      <w:r w:rsidR="009345EA">
        <w:t xml:space="preserve"> </w:t>
      </w:r>
      <w:r w:rsidRPr="00C85E6C">
        <w:t>suffered;</w:t>
      </w:r>
      <w:r w:rsidR="009345EA">
        <w:t xml:space="preserve"> </w:t>
      </w:r>
      <w:r w:rsidRPr="00C85E6C">
        <w:t>(b)</w:t>
      </w:r>
      <w:r w:rsidR="009345EA">
        <w:t xml:space="preserve"> </w:t>
      </w:r>
      <w:r w:rsidRPr="00C85E6C">
        <w:t>appropriate</w:t>
      </w:r>
      <w:r w:rsidR="009345EA">
        <w:t xml:space="preserve"> </w:t>
      </w:r>
      <w:r w:rsidRPr="00C85E6C">
        <w:t>means</w:t>
      </w:r>
      <w:r w:rsidR="009345EA">
        <w:t xml:space="preserve"> </w:t>
      </w:r>
      <w:r w:rsidRPr="00C85E6C">
        <w:t>of</w:t>
      </w:r>
      <w:r w:rsidR="009345EA">
        <w:t xml:space="preserve"> </w:t>
      </w:r>
      <w:r w:rsidRPr="00C85E6C">
        <w:t>satisfaction,</w:t>
      </w:r>
      <w:r w:rsidR="009345EA">
        <w:t xml:space="preserve"> </w:t>
      </w:r>
      <w:r w:rsidRPr="00C85E6C">
        <w:t>including</w:t>
      </w:r>
      <w:r w:rsidR="009345EA">
        <w:t xml:space="preserve"> </w:t>
      </w:r>
      <w:r w:rsidRPr="00C85E6C">
        <w:t>a</w:t>
      </w:r>
      <w:r w:rsidR="009345EA">
        <w:t xml:space="preserve"> </w:t>
      </w:r>
      <w:r w:rsidRPr="00C85E6C">
        <w:t>public</w:t>
      </w:r>
      <w:r w:rsidR="009345EA">
        <w:t xml:space="preserve"> </w:t>
      </w:r>
      <w:r w:rsidRPr="00C85E6C">
        <w:t>apology,</w:t>
      </w:r>
      <w:r w:rsidR="009345EA">
        <w:t xml:space="preserve"> </w:t>
      </w:r>
      <w:r w:rsidRPr="00C85E6C">
        <w:t>with</w:t>
      </w:r>
      <w:r w:rsidR="009345EA">
        <w:t xml:space="preserve"> </w:t>
      </w:r>
      <w:r w:rsidRPr="00C85E6C">
        <w:t>a</w:t>
      </w:r>
      <w:r w:rsidR="009345EA">
        <w:t xml:space="preserve"> </w:t>
      </w:r>
      <w:r w:rsidRPr="00C85E6C">
        <w:t>view</w:t>
      </w:r>
      <w:r w:rsidR="009345EA">
        <w:t xml:space="preserve"> </w:t>
      </w:r>
      <w:r w:rsidRPr="00C85E6C">
        <w:t>to</w:t>
      </w:r>
      <w:r w:rsidR="009345EA">
        <w:t xml:space="preserve"> </w:t>
      </w:r>
      <w:r w:rsidRPr="00C85E6C">
        <w:t>restoring</w:t>
      </w:r>
      <w:r w:rsidR="009345EA">
        <w:t xml:space="preserve"> </w:t>
      </w:r>
      <w:r w:rsidRPr="00C85E6C">
        <w:t>her</w:t>
      </w:r>
      <w:r w:rsidR="009345EA">
        <w:t xml:space="preserve"> </w:t>
      </w:r>
      <w:r w:rsidRPr="00C85E6C">
        <w:t>reputation</w:t>
      </w:r>
      <w:r w:rsidR="009345EA">
        <w:t xml:space="preserve"> </w:t>
      </w:r>
      <w:r w:rsidRPr="00C85E6C">
        <w:t>and</w:t>
      </w:r>
      <w:r w:rsidR="009345EA">
        <w:t xml:space="preserve"> </w:t>
      </w:r>
      <w:r w:rsidR="00E63373" w:rsidRPr="00C85E6C">
        <w:t>honour</w:t>
      </w:r>
      <w:r w:rsidRPr="00C85E6C">
        <w:t>;</w:t>
      </w:r>
      <w:r w:rsidR="009345EA">
        <w:t xml:space="preserve"> </w:t>
      </w:r>
      <w:r w:rsidRPr="00C85E6C">
        <w:t>and</w:t>
      </w:r>
      <w:r w:rsidR="009345EA">
        <w:t xml:space="preserve"> </w:t>
      </w:r>
      <w:r w:rsidRPr="00C85E6C">
        <w:t>(c)</w:t>
      </w:r>
      <w:r w:rsidR="009345EA">
        <w:t xml:space="preserve"> </w:t>
      </w:r>
      <w:r w:rsidRPr="00C85E6C">
        <w:t>social</w:t>
      </w:r>
      <w:r w:rsidR="009345EA">
        <w:t xml:space="preserve"> </w:t>
      </w:r>
      <w:r w:rsidRPr="00C85E6C">
        <w:t>and</w:t>
      </w:r>
      <w:r w:rsidR="009345EA">
        <w:t xml:space="preserve"> </w:t>
      </w:r>
      <w:r w:rsidRPr="00C85E6C">
        <w:t>psychological</w:t>
      </w:r>
      <w:r w:rsidR="009345EA">
        <w:t xml:space="preserve"> </w:t>
      </w:r>
      <w:r w:rsidRPr="00C85E6C">
        <w:t>rehabilitation.</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is</w:t>
      </w:r>
      <w:r w:rsidR="009345EA">
        <w:t xml:space="preserve"> </w:t>
      </w:r>
      <w:r w:rsidRPr="00C85E6C">
        <w:t>also</w:t>
      </w:r>
      <w:r w:rsidR="009345EA">
        <w:t xml:space="preserve"> </w:t>
      </w:r>
      <w:r w:rsidRPr="00C85E6C">
        <w:t>under</w:t>
      </w:r>
      <w:r w:rsidR="009345EA">
        <w:t xml:space="preserve"> </w:t>
      </w:r>
      <w:r w:rsidRPr="00C85E6C">
        <w:t>an</w:t>
      </w:r>
      <w:r w:rsidR="009345EA">
        <w:t xml:space="preserve"> </w:t>
      </w:r>
      <w:r w:rsidRPr="00C85E6C">
        <w:t>obligation</w:t>
      </w:r>
      <w:r w:rsidR="009345EA">
        <w:t xml:space="preserve"> </w:t>
      </w:r>
      <w:r w:rsidRPr="00C85E6C">
        <w:t>to</w:t>
      </w:r>
      <w:r w:rsidR="009345EA">
        <w:t xml:space="preserve"> </w:t>
      </w:r>
      <w:r w:rsidRPr="00C85E6C">
        <w:t>take</w:t>
      </w:r>
      <w:r w:rsidR="009345EA">
        <w:t xml:space="preserve"> </w:t>
      </w:r>
      <w:r w:rsidRPr="00C85E6C">
        <w:t>steps</w:t>
      </w:r>
      <w:r w:rsidR="009345EA">
        <w:t xml:space="preserve"> </w:t>
      </w:r>
      <w:r w:rsidRPr="00C85E6C">
        <w:t>to</w:t>
      </w:r>
      <w:r w:rsidR="009345EA">
        <w:t xml:space="preserve"> </w:t>
      </w:r>
      <w:r w:rsidRPr="00C85E6C">
        <w:t>prevent</w:t>
      </w:r>
      <w:r w:rsidR="009345EA">
        <w:t xml:space="preserve"> </w:t>
      </w:r>
      <w:r w:rsidRPr="00C85E6C">
        <w:t>similar</w:t>
      </w:r>
      <w:r w:rsidR="009345EA">
        <w:t xml:space="preserve"> </w:t>
      </w:r>
      <w:r w:rsidRPr="00C85E6C">
        <w:t>violations</w:t>
      </w:r>
      <w:r w:rsidR="009345EA">
        <w:t xml:space="preserve"> </w:t>
      </w:r>
      <w:r w:rsidRPr="00C85E6C">
        <w:t>from</w:t>
      </w:r>
      <w:r w:rsidR="009345EA">
        <w:t xml:space="preserve"> </w:t>
      </w:r>
      <w:r w:rsidRPr="00C85E6C">
        <w:t>occurring</w:t>
      </w:r>
      <w:r w:rsidR="009345EA">
        <w:t xml:space="preserve"> </w:t>
      </w:r>
      <w:r w:rsidRPr="00C85E6C">
        <w:t>in</w:t>
      </w:r>
      <w:r w:rsidR="009345EA">
        <w:t xml:space="preserve"> </w:t>
      </w:r>
      <w:r w:rsidRPr="00C85E6C">
        <w:t>the</w:t>
      </w:r>
      <w:r w:rsidR="009345EA">
        <w:t xml:space="preserve"> </w:t>
      </w:r>
      <w:r w:rsidRPr="00C85E6C">
        <w:t>future.</w:t>
      </w:r>
      <w:r w:rsidR="009345EA">
        <w:t xml:space="preserve"> </w:t>
      </w:r>
    </w:p>
    <w:p w:rsidR="00D06B7B" w:rsidRPr="00C85E6C" w:rsidRDefault="00D06B7B" w:rsidP="00FF3573">
      <w:pPr>
        <w:pStyle w:val="SingleTxtG"/>
      </w:pPr>
      <w:r w:rsidRPr="00C85E6C">
        <w:t>10.</w:t>
      </w:r>
      <w:r w:rsidRPr="00C85E6C">
        <w:tab/>
        <w:t>Bearing</w:t>
      </w:r>
      <w:r w:rsidR="009345EA">
        <w:t xml:space="preserve"> </w:t>
      </w:r>
      <w:r w:rsidRPr="00C85E6C">
        <w:t>in</w:t>
      </w:r>
      <w:r w:rsidR="009345EA">
        <w:t xml:space="preserve"> </w:t>
      </w:r>
      <w:r w:rsidRPr="00C85E6C">
        <w:t>mind</w:t>
      </w:r>
      <w:r w:rsidR="009345EA">
        <w:t xml:space="preserve"> </w:t>
      </w:r>
      <w:r w:rsidRPr="00C85E6C">
        <w:t>that,</w:t>
      </w:r>
      <w:r w:rsidR="009345EA">
        <w:t xml:space="preserve"> </w:t>
      </w:r>
      <w:r w:rsidRPr="00C85E6C">
        <w:t>by</w:t>
      </w:r>
      <w:r w:rsidR="009345EA">
        <w:t xml:space="preserve"> </w:t>
      </w:r>
      <w:r w:rsidRPr="00C85E6C">
        <w:t>becoming</w:t>
      </w:r>
      <w:r w:rsidR="009345EA">
        <w:t xml:space="preserve"> </w:t>
      </w:r>
      <w:r w:rsidRPr="00C85E6C">
        <w:t>a</w:t>
      </w:r>
      <w:r w:rsidR="009345EA">
        <w:t xml:space="preserve"> </w:t>
      </w:r>
      <w:r w:rsidRPr="00C85E6C">
        <w:t>party</w:t>
      </w:r>
      <w:r w:rsidR="009345EA">
        <w:t xml:space="preserve"> </w:t>
      </w:r>
      <w:r w:rsidRPr="00C85E6C">
        <w:t>to</w:t>
      </w:r>
      <w:r w:rsidR="009345EA">
        <w:t xml:space="preserve"> </w:t>
      </w:r>
      <w:r w:rsidRPr="00C85E6C">
        <w:t>the</w:t>
      </w:r>
      <w:r w:rsidR="009345EA">
        <w:t xml:space="preserve"> </w:t>
      </w:r>
      <w:r w:rsidRPr="00C85E6C">
        <w:t>Optional</w:t>
      </w:r>
      <w:r w:rsidR="009345EA">
        <w:t xml:space="preserve"> </w:t>
      </w:r>
      <w:r w:rsidRPr="00C85E6C">
        <w:t>Protocol,</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has</w:t>
      </w:r>
      <w:r w:rsidR="009345EA">
        <w:t xml:space="preserve"> </w:t>
      </w:r>
      <w:r w:rsidRPr="00C85E6C">
        <w:t>recognized</w:t>
      </w:r>
      <w:r w:rsidR="009345EA">
        <w:t xml:space="preserve"> </w:t>
      </w:r>
      <w:r w:rsidRPr="00C85E6C">
        <w:t>the</w:t>
      </w:r>
      <w:r w:rsidR="009345EA">
        <w:t xml:space="preserve"> </w:t>
      </w:r>
      <w:r w:rsidRPr="00C85E6C">
        <w:t>competence</w:t>
      </w:r>
      <w:r w:rsidR="009345EA">
        <w:t xml:space="preserve"> </w:t>
      </w:r>
      <w:r w:rsidRPr="00C85E6C">
        <w:t>of</w:t>
      </w:r>
      <w:r w:rsidR="009345EA">
        <w:t xml:space="preserve"> </w:t>
      </w:r>
      <w:r w:rsidRPr="00C85E6C">
        <w:t>the</w:t>
      </w:r>
      <w:r w:rsidR="009345EA">
        <w:t xml:space="preserve"> </w:t>
      </w:r>
      <w:r w:rsidRPr="00C85E6C">
        <w:t>Committee</w:t>
      </w:r>
      <w:r w:rsidR="009345EA">
        <w:t xml:space="preserve"> </w:t>
      </w:r>
      <w:r w:rsidRPr="00C85E6C">
        <w:t>to</w:t>
      </w:r>
      <w:r w:rsidR="009345EA">
        <w:t xml:space="preserve"> </w:t>
      </w:r>
      <w:r w:rsidRPr="00C85E6C">
        <w:t>determine</w:t>
      </w:r>
      <w:r w:rsidR="009345EA">
        <w:t xml:space="preserve"> </w:t>
      </w:r>
      <w:r w:rsidRPr="00C85E6C">
        <w:t>whether</w:t>
      </w:r>
      <w:r w:rsidR="009345EA">
        <w:t xml:space="preserve"> </w:t>
      </w:r>
      <w:r w:rsidRPr="00C85E6C">
        <w:t>there</w:t>
      </w:r>
      <w:r w:rsidR="009345EA">
        <w:t xml:space="preserve"> </w:t>
      </w:r>
      <w:r w:rsidRPr="00C85E6C">
        <w:t>has</w:t>
      </w:r>
      <w:r w:rsidR="009345EA">
        <w:t xml:space="preserve"> </w:t>
      </w:r>
      <w:r w:rsidRPr="00C85E6C">
        <w:t>been</w:t>
      </w:r>
      <w:r w:rsidR="009345EA">
        <w:t xml:space="preserve"> </w:t>
      </w:r>
      <w:r w:rsidRPr="00C85E6C">
        <w:t>a</w:t>
      </w:r>
      <w:r w:rsidR="009345EA">
        <w:t xml:space="preserve"> </w:t>
      </w:r>
      <w:r w:rsidRPr="00C85E6C">
        <w:t>violation</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and</w:t>
      </w:r>
      <w:r w:rsidR="009345EA">
        <w:t xml:space="preserve"> </w:t>
      </w:r>
      <w:r w:rsidRPr="00C85E6C">
        <w:t>that,</w:t>
      </w:r>
      <w:r w:rsidR="009345EA">
        <w:t xml:space="preserve"> </w:t>
      </w:r>
      <w:r w:rsidRPr="00C85E6C">
        <w:t>pursuant</w:t>
      </w:r>
      <w:r w:rsidR="009345EA">
        <w:t xml:space="preserve"> </w:t>
      </w:r>
      <w:r w:rsidRPr="00C85E6C">
        <w:t>to</w:t>
      </w:r>
      <w:r w:rsidR="009345EA">
        <w:t xml:space="preserve"> </w:t>
      </w:r>
      <w:r w:rsidRPr="00C85E6C">
        <w:t>article</w:t>
      </w:r>
      <w:r w:rsidR="009345EA">
        <w:t xml:space="preserve"> </w:t>
      </w:r>
      <w:r w:rsidRPr="00C85E6C">
        <w:t>2</w:t>
      </w:r>
      <w:r w:rsidR="009345EA">
        <w:t xml:space="preserve"> </w:t>
      </w:r>
      <w:r w:rsidRPr="00C85E6C">
        <w:t>of</w:t>
      </w:r>
      <w:r w:rsidR="009345EA">
        <w:t xml:space="preserve"> </w:t>
      </w:r>
      <w:r w:rsidRPr="00C85E6C">
        <w:t>the</w:t>
      </w:r>
      <w:r w:rsidR="009345EA">
        <w:t xml:space="preserve"> </w:t>
      </w:r>
      <w:r w:rsidRPr="00C85E6C">
        <w:t>Covenant,</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has</w:t>
      </w:r>
      <w:r w:rsidR="009345EA">
        <w:t xml:space="preserve"> </w:t>
      </w:r>
      <w:r w:rsidRPr="00C85E6C">
        <w:t>undertaken</w:t>
      </w:r>
      <w:r w:rsidR="009345EA">
        <w:t xml:space="preserve"> </w:t>
      </w:r>
      <w:r w:rsidRPr="00C85E6C">
        <w:t>to</w:t>
      </w:r>
      <w:r w:rsidR="009345EA">
        <w:t xml:space="preserve"> </w:t>
      </w:r>
      <w:r w:rsidRPr="00C85E6C">
        <w:t>ensure</w:t>
      </w:r>
      <w:r w:rsidR="009345EA">
        <w:t xml:space="preserve"> </w:t>
      </w:r>
      <w:r w:rsidRPr="00C85E6C">
        <w:t>to</w:t>
      </w:r>
      <w:r w:rsidR="009345EA">
        <w:t xml:space="preserve"> </w:t>
      </w:r>
      <w:r w:rsidRPr="00C85E6C">
        <w:t>all</w:t>
      </w:r>
      <w:r w:rsidR="009345EA">
        <w:t xml:space="preserve"> </w:t>
      </w:r>
      <w:r w:rsidRPr="00C85E6C">
        <w:t>individuals</w:t>
      </w:r>
      <w:r w:rsidR="009345EA">
        <w:t xml:space="preserve"> </w:t>
      </w:r>
      <w:r w:rsidRPr="00C85E6C">
        <w:t>within</w:t>
      </w:r>
      <w:r w:rsidR="009345EA">
        <w:t xml:space="preserve"> </w:t>
      </w:r>
      <w:r w:rsidRPr="00C85E6C">
        <w:t>its</w:t>
      </w:r>
      <w:r w:rsidR="009345EA">
        <w:t xml:space="preserve"> </w:t>
      </w:r>
      <w:r w:rsidRPr="00C85E6C">
        <w:t>territory</w:t>
      </w:r>
      <w:r w:rsidR="009345EA">
        <w:t xml:space="preserve"> </w:t>
      </w:r>
      <w:r w:rsidRPr="00C85E6C">
        <w:t>and</w:t>
      </w:r>
      <w:r w:rsidR="009345EA">
        <w:t xml:space="preserve"> </w:t>
      </w:r>
      <w:r w:rsidRPr="00C85E6C">
        <w:t>subject</w:t>
      </w:r>
      <w:r w:rsidR="009345EA">
        <w:t xml:space="preserve"> </w:t>
      </w:r>
      <w:r w:rsidRPr="00C85E6C">
        <w:t>to</w:t>
      </w:r>
      <w:r w:rsidR="009345EA">
        <w:t xml:space="preserve"> </w:t>
      </w:r>
      <w:r w:rsidRPr="00C85E6C">
        <w:t>its</w:t>
      </w:r>
      <w:r w:rsidR="009345EA">
        <w:t xml:space="preserve"> </w:t>
      </w:r>
      <w:r w:rsidRPr="00C85E6C">
        <w:t>jurisdiction</w:t>
      </w:r>
      <w:r w:rsidR="009345EA">
        <w:t xml:space="preserve"> </w:t>
      </w:r>
      <w:r w:rsidRPr="00C85E6C">
        <w:t>the</w:t>
      </w:r>
      <w:r w:rsidR="009345EA">
        <w:t xml:space="preserve"> </w:t>
      </w:r>
      <w:r w:rsidRPr="00C85E6C">
        <w:t>rights</w:t>
      </w:r>
      <w:r w:rsidR="009345EA">
        <w:t xml:space="preserve"> </w:t>
      </w:r>
      <w:r w:rsidRPr="00C85E6C">
        <w:t>recognized</w:t>
      </w:r>
      <w:r w:rsidR="009345EA">
        <w:t xml:space="preserve"> </w:t>
      </w:r>
      <w:r w:rsidRPr="00C85E6C">
        <w:t>in</w:t>
      </w:r>
      <w:r w:rsidR="009345EA">
        <w:t xml:space="preserve"> </w:t>
      </w:r>
      <w:r w:rsidRPr="00C85E6C">
        <w:t>the</w:t>
      </w:r>
      <w:r w:rsidR="009345EA">
        <w:t xml:space="preserve"> </w:t>
      </w:r>
      <w:r w:rsidRPr="00C85E6C">
        <w:t>Covenant,</w:t>
      </w:r>
      <w:r w:rsidR="009345EA">
        <w:t xml:space="preserve"> </w:t>
      </w:r>
      <w:r w:rsidRPr="00C85E6C">
        <w:t>and</w:t>
      </w:r>
      <w:r w:rsidR="009345EA">
        <w:t xml:space="preserve"> </w:t>
      </w:r>
      <w:r w:rsidRPr="00C85E6C">
        <w:t>to</w:t>
      </w:r>
      <w:r w:rsidR="009345EA">
        <w:t xml:space="preserve"> </w:t>
      </w:r>
      <w:r w:rsidRPr="00C85E6C">
        <w:t>provide</w:t>
      </w:r>
      <w:r w:rsidR="009345EA">
        <w:t xml:space="preserve"> </w:t>
      </w:r>
      <w:r w:rsidRPr="00C85E6C">
        <w:t>an</w:t>
      </w:r>
      <w:r w:rsidR="009345EA">
        <w:t xml:space="preserve"> </w:t>
      </w:r>
      <w:r w:rsidRPr="00C85E6C">
        <w:t>effective</w:t>
      </w:r>
      <w:r w:rsidR="009345EA">
        <w:t xml:space="preserve"> </w:t>
      </w:r>
      <w:r w:rsidRPr="00C85E6C">
        <w:t>and</w:t>
      </w:r>
      <w:r w:rsidR="009345EA">
        <w:t xml:space="preserve"> </w:t>
      </w:r>
      <w:r w:rsidRPr="00C85E6C">
        <w:t>enforceable</w:t>
      </w:r>
      <w:r w:rsidR="009345EA">
        <w:t xml:space="preserve"> </w:t>
      </w:r>
      <w:r w:rsidRPr="00C85E6C">
        <w:t>remedy</w:t>
      </w:r>
      <w:r w:rsidR="009345EA">
        <w:t xml:space="preserve"> </w:t>
      </w:r>
      <w:r w:rsidRPr="00C85E6C">
        <w:t>when</w:t>
      </w:r>
      <w:r w:rsidR="009345EA">
        <w:t xml:space="preserve"> </w:t>
      </w:r>
      <w:r w:rsidRPr="00C85E6C">
        <w:t>it</w:t>
      </w:r>
      <w:r w:rsidR="009345EA">
        <w:t xml:space="preserve"> </w:t>
      </w:r>
      <w:r w:rsidRPr="00C85E6C">
        <w:t>has</w:t>
      </w:r>
      <w:r w:rsidR="009345EA">
        <w:t xml:space="preserve"> </w:t>
      </w:r>
      <w:r w:rsidRPr="00C85E6C">
        <w:t>been</w:t>
      </w:r>
      <w:r w:rsidR="009345EA">
        <w:t xml:space="preserve"> </w:t>
      </w:r>
      <w:r w:rsidRPr="00C85E6C">
        <w:t>determined</w:t>
      </w:r>
      <w:r w:rsidR="009345EA">
        <w:t xml:space="preserve"> </w:t>
      </w:r>
      <w:r w:rsidRPr="00C85E6C">
        <w:t>that</w:t>
      </w:r>
      <w:r w:rsidR="009345EA">
        <w:t xml:space="preserve"> </w:t>
      </w:r>
      <w:r w:rsidRPr="00C85E6C">
        <w:t>a</w:t>
      </w:r>
      <w:r w:rsidR="009345EA">
        <w:t xml:space="preserve"> </w:t>
      </w:r>
      <w:r w:rsidRPr="00C85E6C">
        <w:t>violation</w:t>
      </w:r>
      <w:r w:rsidR="009345EA">
        <w:t xml:space="preserve"> </w:t>
      </w:r>
      <w:r w:rsidRPr="00C85E6C">
        <w:t>has</w:t>
      </w:r>
      <w:r w:rsidR="009345EA">
        <w:t xml:space="preserve"> </w:t>
      </w:r>
      <w:r w:rsidRPr="00C85E6C">
        <w:t>occurred,</w:t>
      </w:r>
      <w:r w:rsidR="009345EA">
        <w:t xml:space="preserve"> </w:t>
      </w:r>
      <w:r w:rsidRPr="00C85E6C">
        <w:t>the</w:t>
      </w:r>
      <w:r w:rsidR="009345EA">
        <w:t xml:space="preserve"> </w:t>
      </w:r>
      <w:r w:rsidRPr="00C85E6C">
        <w:t>Committee</w:t>
      </w:r>
      <w:r w:rsidR="009345EA">
        <w:t xml:space="preserve"> </w:t>
      </w:r>
      <w:r w:rsidRPr="00C85E6C">
        <w:t>wishes</w:t>
      </w:r>
      <w:r w:rsidR="009345EA">
        <w:t xml:space="preserve"> </w:t>
      </w:r>
      <w:r w:rsidRPr="00C85E6C">
        <w:t>to</w:t>
      </w:r>
      <w:r w:rsidR="009345EA">
        <w:t xml:space="preserve"> </w:t>
      </w:r>
      <w:r w:rsidRPr="00C85E6C">
        <w:t>receive</w:t>
      </w:r>
      <w:r w:rsidR="009345EA">
        <w:t xml:space="preserve"> </w:t>
      </w:r>
      <w:r w:rsidRPr="00C85E6C">
        <w:t>from</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within</w:t>
      </w:r>
      <w:r w:rsidR="009345EA">
        <w:t xml:space="preserve"> </w:t>
      </w:r>
      <w:r w:rsidRPr="00C85E6C">
        <w:t>180</w:t>
      </w:r>
      <w:r w:rsidR="009345EA">
        <w:t xml:space="preserve"> </w:t>
      </w:r>
      <w:r w:rsidRPr="00C85E6C">
        <w:t>days,</w:t>
      </w:r>
      <w:r w:rsidR="009345EA">
        <w:t xml:space="preserve"> </w:t>
      </w:r>
      <w:r w:rsidRPr="00C85E6C">
        <w:t>information</w:t>
      </w:r>
      <w:r w:rsidR="009345EA">
        <w:t xml:space="preserve"> </w:t>
      </w:r>
      <w:r w:rsidRPr="00C85E6C">
        <w:t>about</w:t>
      </w:r>
      <w:r w:rsidR="009345EA">
        <w:t xml:space="preserve"> </w:t>
      </w:r>
      <w:r w:rsidRPr="00C85E6C">
        <w:t>the</w:t>
      </w:r>
      <w:r w:rsidR="009345EA">
        <w:t xml:space="preserve"> </w:t>
      </w:r>
      <w:r w:rsidRPr="00C85E6C">
        <w:t>measures</w:t>
      </w:r>
      <w:r w:rsidR="009345EA">
        <w:t xml:space="preserve"> </w:t>
      </w:r>
      <w:r w:rsidRPr="00C85E6C">
        <w:t>taken</w:t>
      </w:r>
      <w:r w:rsidR="009345EA">
        <w:t xml:space="preserve"> </w:t>
      </w:r>
      <w:r w:rsidRPr="00C85E6C">
        <w:t>to</w:t>
      </w:r>
      <w:r w:rsidR="009345EA">
        <w:t xml:space="preserve"> </w:t>
      </w:r>
      <w:r w:rsidRPr="00C85E6C">
        <w:t>give</w:t>
      </w:r>
      <w:r w:rsidR="009345EA">
        <w:t xml:space="preserve"> </w:t>
      </w:r>
      <w:r w:rsidRPr="00C85E6C">
        <w:t>effect</w:t>
      </w:r>
      <w:r w:rsidR="009345EA">
        <w:t xml:space="preserve"> </w:t>
      </w:r>
      <w:r w:rsidRPr="00C85E6C">
        <w:t>to</w:t>
      </w:r>
      <w:r w:rsidR="009345EA">
        <w:t xml:space="preserve"> </w:t>
      </w:r>
      <w:r w:rsidRPr="00C85E6C">
        <w:t>the</w:t>
      </w:r>
      <w:r w:rsidR="009345EA">
        <w:t xml:space="preserve"> </w:t>
      </w:r>
      <w:r w:rsidRPr="00C85E6C">
        <w:t>Committee</w:t>
      </w:r>
      <w:r w:rsidR="00EB40F1">
        <w:t>’</w:t>
      </w:r>
      <w:r w:rsidRPr="00C85E6C">
        <w:t>s</w:t>
      </w:r>
      <w:r w:rsidR="009345EA">
        <w:t xml:space="preserve"> </w:t>
      </w:r>
      <w:r w:rsidRPr="00C85E6C">
        <w:t>Views.</w:t>
      </w:r>
      <w:r w:rsidR="009345EA">
        <w:t xml:space="preserve"> </w:t>
      </w:r>
      <w:r w:rsidRPr="00C85E6C">
        <w:t>The</w:t>
      </w:r>
      <w:r w:rsidR="009345EA">
        <w:t xml:space="preserve"> </w:t>
      </w:r>
      <w:r w:rsidRPr="00C85E6C">
        <w:t>State</w:t>
      </w:r>
      <w:r w:rsidR="009345EA">
        <w:t xml:space="preserve"> </w:t>
      </w:r>
      <w:r w:rsidRPr="00C85E6C">
        <w:t>party</w:t>
      </w:r>
      <w:r w:rsidR="009345EA">
        <w:t xml:space="preserve"> </w:t>
      </w:r>
      <w:r w:rsidRPr="00C85E6C">
        <w:t>is</w:t>
      </w:r>
      <w:r w:rsidR="009345EA">
        <w:t xml:space="preserve"> </w:t>
      </w:r>
      <w:r w:rsidRPr="00C85E6C">
        <w:t>also</w:t>
      </w:r>
      <w:r w:rsidR="009345EA">
        <w:t xml:space="preserve"> </w:t>
      </w:r>
      <w:r w:rsidRPr="00C85E6C">
        <w:t>requested</w:t>
      </w:r>
      <w:r w:rsidR="009345EA">
        <w:t xml:space="preserve"> </w:t>
      </w:r>
      <w:r w:rsidRPr="00C85E6C">
        <w:t>to</w:t>
      </w:r>
      <w:r w:rsidR="009345EA">
        <w:t xml:space="preserve"> </w:t>
      </w:r>
      <w:r w:rsidRPr="00C85E6C">
        <w:t>publish</w:t>
      </w:r>
      <w:r w:rsidR="009345EA">
        <w:t xml:space="preserve"> </w:t>
      </w:r>
      <w:r w:rsidRPr="00C85E6C">
        <w:t>the</w:t>
      </w:r>
      <w:r w:rsidR="009345EA">
        <w:t xml:space="preserve"> </w:t>
      </w:r>
      <w:r w:rsidRPr="00C85E6C">
        <w:t>Committee</w:t>
      </w:r>
      <w:r w:rsidR="00EB40F1">
        <w:t>’</w:t>
      </w:r>
      <w:r w:rsidRPr="00C85E6C">
        <w:t>s</w:t>
      </w:r>
      <w:r w:rsidR="009345EA">
        <w:t xml:space="preserve"> </w:t>
      </w:r>
      <w:r w:rsidRPr="00C85E6C">
        <w:t>Views.</w:t>
      </w:r>
    </w:p>
    <w:p w:rsidR="00A23459" w:rsidRPr="00BE0881" w:rsidRDefault="00BE0881" w:rsidP="00BE0881">
      <w:pPr>
        <w:spacing w:before="240"/>
        <w:jc w:val="center"/>
        <w:rPr>
          <w:u w:val="single"/>
        </w:rPr>
      </w:pPr>
      <w:r>
        <w:rPr>
          <w:u w:val="single"/>
        </w:rPr>
        <w:tab/>
      </w:r>
      <w:r>
        <w:rPr>
          <w:u w:val="single"/>
        </w:rPr>
        <w:tab/>
      </w:r>
      <w:r>
        <w:rPr>
          <w:u w:val="single"/>
        </w:rPr>
        <w:tab/>
      </w:r>
    </w:p>
    <w:sectPr w:rsidR="00A23459" w:rsidRPr="00BE0881" w:rsidSect="00D06B7B">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98" w:rsidRPr="00B903E5" w:rsidRDefault="001A0998" w:rsidP="00B903E5">
      <w:pPr>
        <w:pStyle w:val="Footer"/>
      </w:pPr>
    </w:p>
  </w:endnote>
  <w:endnote w:type="continuationSeparator" w:id="0">
    <w:p w:rsidR="001A0998" w:rsidRPr="00B903E5" w:rsidRDefault="001A0998"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EA" w:rsidRPr="00D06B7B" w:rsidRDefault="009345EA" w:rsidP="00D06B7B">
    <w:pPr>
      <w:pStyle w:val="Footer"/>
      <w:tabs>
        <w:tab w:val="right" w:pos="9598"/>
      </w:tabs>
    </w:pPr>
    <w:r w:rsidRPr="00D06B7B">
      <w:rPr>
        <w:b/>
        <w:sz w:val="18"/>
      </w:rPr>
      <w:fldChar w:fldCharType="begin"/>
    </w:r>
    <w:r w:rsidRPr="00D06B7B">
      <w:rPr>
        <w:b/>
        <w:sz w:val="18"/>
      </w:rPr>
      <w:instrText xml:space="preserve"> PAGE  \* MERGEFORMAT </w:instrText>
    </w:r>
    <w:r w:rsidRPr="00D06B7B">
      <w:rPr>
        <w:b/>
        <w:sz w:val="18"/>
      </w:rPr>
      <w:fldChar w:fldCharType="separate"/>
    </w:r>
    <w:r w:rsidR="000A57CA">
      <w:rPr>
        <w:b/>
        <w:noProof/>
        <w:sz w:val="18"/>
      </w:rPr>
      <w:t>2</w:t>
    </w:r>
    <w:r w:rsidRPr="00D06B7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EA" w:rsidRPr="00D06B7B" w:rsidRDefault="009345EA" w:rsidP="00D06B7B">
    <w:pPr>
      <w:pStyle w:val="Footer"/>
      <w:tabs>
        <w:tab w:val="right" w:pos="9598"/>
      </w:tabs>
      <w:rPr>
        <w:b/>
        <w:sz w:val="18"/>
      </w:rPr>
    </w:pPr>
    <w:r>
      <w:tab/>
    </w:r>
    <w:r w:rsidRPr="00D06B7B">
      <w:rPr>
        <w:b/>
        <w:sz w:val="18"/>
      </w:rPr>
      <w:fldChar w:fldCharType="begin"/>
    </w:r>
    <w:r w:rsidRPr="00D06B7B">
      <w:rPr>
        <w:b/>
        <w:sz w:val="18"/>
      </w:rPr>
      <w:instrText xml:space="preserve"> PAGE  \* MERGEFORMAT </w:instrText>
    </w:r>
    <w:r w:rsidRPr="00D06B7B">
      <w:rPr>
        <w:b/>
        <w:sz w:val="18"/>
      </w:rPr>
      <w:fldChar w:fldCharType="separate"/>
    </w:r>
    <w:r w:rsidR="000A57CA">
      <w:rPr>
        <w:b/>
        <w:noProof/>
        <w:sz w:val="18"/>
      </w:rPr>
      <w:t>7</w:t>
    </w:r>
    <w:r w:rsidRPr="00D06B7B">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F4A" w:rsidRDefault="00247F4A" w:rsidP="00247F4A">
    <w:pPr>
      <w:pStyle w:val="Footer"/>
    </w:pPr>
    <w:r>
      <w:rPr>
        <w:noProof/>
        <w:lang w:val="en-US" w:eastAsia="en-US"/>
      </w:rPr>
      <w:drawing>
        <wp:anchor distT="0" distB="0" distL="114300" distR="114300" simplePos="0" relativeHeight="251659264" behindDoc="1" locked="1" layoutInCell="1" allowOverlap="1" wp14:anchorId="0AB8EDB2" wp14:editId="73837E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247F4A" w:rsidRDefault="00247F4A" w:rsidP="00247F4A">
    <w:pPr>
      <w:pStyle w:val="Footer"/>
      <w:ind w:right="1134"/>
      <w:rPr>
        <w:sz w:val="20"/>
      </w:rPr>
    </w:pPr>
    <w:r>
      <w:rPr>
        <w:sz w:val="20"/>
      </w:rPr>
      <w:t>GE.17-14462(E)</w:t>
    </w:r>
  </w:p>
  <w:p w:rsidR="00247F4A" w:rsidRPr="00247F4A" w:rsidRDefault="00247F4A" w:rsidP="00247F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20/D/2256/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20/D/2256/201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98" w:rsidRPr="00B903E5" w:rsidRDefault="001A0998" w:rsidP="00B903E5">
      <w:pPr>
        <w:tabs>
          <w:tab w:val="right" w:pos="2155"/>
        </w:tabs>
        <w:spacing w:after="80" w:line="240" w:lineRule="auto"/>
        <w:ind w:left="680"/>
      </w:pPr>
      <w:r>
        <w:rPr>
          <w:u w:val="single"/>
        </w:rPr>
        <w:tab/>
      </w:r>
    </w:p>
  </w:footnote>
  <w:footnote w:type="continuationSeparator" w:id="0">
    <w:p w:rsidR="001A0998" w:rsidRPr="00B903E5" w:rsidRDefault="001A0998" w:rsidP="00B903E5">
      <w:pPr>
        <w:tabs>
          <w:tab w:val="right" w:pos="2155"/>
        </w:tabs>
        <w:spacing w:after="80" w:line="240" w:lineRule="auto"/>
        <w:ind w:left="680"/>
      </w:pPr>
      <w:r>
        <w:rPr>
          <w:u w:val="single"/>
        </w:rPr>
        <w:tab/>
      </w:r>
    </w:p>
  </w:footnote>
  <w:footnote w:id="1">
    <w:p w:rsidR="009345EA" w:rsidRDefault="009345EA" w:rsidP="00D06B7B">
      <w:pPr>
        <w:pStyle w:val="FootnoteText"/>
      </w:pPr>
      <w:r>
        <w:tab/>
      </w:r>
      <w:r w:rsidRPr="00AE53B4">
        <w:rPr>
          <w:rStyle w:val="FootnoteReference"/>
          <w:sz w:val="20"/>
          <w:vertAlign w:val="baseline"/>
        </w:rPr>
        <w:t>*</w:t>
      </w:r>
      <w:r>
        <w:tab/>
        <w:t xml:space="preserve">Adopted by the Committee </w:t>
      </w:r>
      <w:r w:rsidRPr="009E4187">
        <w:t xml:space="preserve">at its </w:t>
      </w:r>
      <w:r w:rsidRPr="0059501B">
        <w:t>1</w:t>
      </w:r>
      <w:r>
        <w:t>20</w:t>
      </w:r>
      <w:r w:rsidRPr="009D570F">
        <w:t>th</w:t>
      </w:r>
      <w:r>
        <w:t xml:space="preserve"> </w:t>
      </w:r>
      <w:r w:rsidRPr="009E4187">
        <w:t>session (</w:t>
      </w:r>
      <w:r>
        <w:t xml:space="preserve">3-28 July </w:t>
      </w:r>
      <w:r w:rsidRPr="001147E8">
        <w:t>201</w:t>
      </w:r>
      <w:r>
        <w:t>7</w:t>
      </w:r>
      <w:r w:rsidRPr="009E4187">
        <w:t>).</w:t>
      </w:r>
    </w:p>
  </w:footnote>
  <w:footnote w:id="2">
    <w:p w:rsidR="009345EA" w:rsidRDefault="009345EA" w:rsidP="00D06B7B">
      <w:pPr>
        <w:pStyle w:val="FootnoteText"/>
      </w:pPr>
      <w:r>
        <w:rPr>
          <w:vertAlign w:val="superscript"/>
        </w:rPr>
        <w:tab/>
      </w:r>
      <w:r w:rsidRPr="00AE53B4">
        <w:rPr>
          <w:rStyle w:val="FootnoteReference"/>
          <w:sz w:val="20"/>
          <w:vertAlign w:val="baseline"/>
        </w:rPr>
        <w:t>**</w:t>
      </w:r>
      <w:r>
        <w:tab/>
      </w:r>
      <w:r w:rsidRPr="004256A1">
        <w:t xml:space="preserve">The </w:t>
      </w:r>
      <w:r w:rsidRPr="00E56497">
        <w:t>following</w:t>
      </w:r>
      <w:r w:rsidRPr="004256A1">
        <w:t xml:space="preserve"> member</w:t>
      </w:r>
      <w:r>
        <w:t xml:space="preserve">s of the Committee participated </w:t>
      </w:r>
      <w:r w:rsidRPr="004256A1">
        <w:t>in the examination of the</w:t>
      </w:r>
      <w:r>
        <w:t xml:space="preserve"> </w:t>
      </w:r>
      <w:r w:rsidRPr="00B87CBA">
        <w:t>communication: Tania Mar</w:t>
      </w:r>
      <w:r>
        <w:rPr>
          <w:lang w:val="cs-CZ"/>
        </w:rPr>
        <w:t>í</w:t>
      </w:r>
      <w:r w:rsidRPr="00B87CBA">
        <w:t>a Abdo Rocholl, Yadh Ben Achour, Ilze Brands Kehris,</w:t>
      </w:r>
      <w:r>
        <w:t xml:space="preserve"> </w:t>
      </w:r>
      <w:r w:rsidRPr="00B87CBA">
        <w:t>Ahm</w:t>
      </w:r>
      <w:r>
        <w:t>ed</w:t>
      </w:r>
      <w:r w:rsidRPr="00B87CBA">
        <w:t xml:space="preserve"> Amin Fathalla, </w:t>
      </w:r>
      <w:r>
        <w:t xml:space="preserve">Olivier de Frouville, Christof Heyns, </w:t>
      </w:r>
      <w:r w:rsidRPr="00B87CBA">
        <w:t xml:space="preserve">Yuji Iwasawa, </w:t>
      </w:r>
      <w:r>
        <w:t xml:space="preserve">Bamariam Koita, Marcia V.J. Kran, Duncan Laki Muhumuza, </w:t>
      </w:r>
      <w:r w:rsidRPr="00B87CBA">
        <w:t>Photini Pazartzis, Mauro Politi,</w:t>
      </w:r>
      <w:r>
        <w:t xml:space="preserve"> </w:t>
      </w:r>
      <w:r w:rsidRPr="00B87CBA">
        <w:t xml:space="preserve">José Manuel Santos Pais, </w:t>
      </w:r>
      <w:r w:rsidRPr="004E179F">
        <w:t>Yuval Shany</w:t>
      </w:r>
      <w:r>
        <w:t xml:space="preserve"> and </w:t>
      </w:r>
      <w:r w:rsidRPr="00DF19D0">
        <w:t>Margo Waterval</w:t>
      </w:r>
      <w:r w:rsidRPr="00DF19D0">
        <w:rPr>
          <w:bCs/>
        </w:rPr>
        <w:t>.</w:t>
      </w:r>
      <w:r>
        <w:t xml:space="preserve"> </w:t>
      </w:r>
    </w:p>
  </w:footnote>
  <w:footnote w:id="3">
    <w:p w:rsidR="009345EA" w:rsidRPr="00F56A1C" w:rsidRDefault="009345EA" w:rsidP="00D06B7B">
      <w:pPr>
        <w:pStyle w:val="FootnoteText"/>
      </w:pPr>
      <w:r>
        <w:tab/>
      </w:r>
      <w:r w:rsidRPr="00D06B7B">
        <w:rPr>
          <w:rStyle w:val="FootnoteReference"/>
        </w:rPr>
        <w:footnoteRef/>
      </w:r>
      <w:r>
        <w:t xml:space="preserve"> </w:t>
      </w:r>
      <w:r>
        <w:tab/>
        <w:t xml:space="preserve">The </w:t>
      </w:r>
      <w:r w:rsidRPr="00F56A1C">
        <w:t xml:space="preserve">State party </w:t>
      </w:r>
      <w:r>
        <w:t>did</w:t>
      </w:r>
      <w:r w:rsidRPr="00F56A1C">
        <w:t xml:space="preserve"> not enter any reservation upon ratification of the Optional Protocol.</w:t>
      </w:r>
    </w:p>
  </w:footnote>
  <w:footnote w:id="4">
    <w:p w:rsidR="009345EA" w:rsidRPr="005C6692" w:rsidRDefault="009345EA" w:rsidP="00D06B7B">
      <w:pPr>
        <w:pStyle w:val="FootnoteText"/>
      </w:pPr>
      <w:r>
        <w:tab/>
      </w:r>
      <w:r w:rsidRPr="00D06B7B">
        <w:rPr>
          <w:rStyle w:val="FootnoteReference"/>
        </w:rPr>
        <w:footnoteRef/>
      </w:r>
      <w:r w:rsidRPr="005C6692">
        <w:t xml:space="preserve"> </w:t>
      </w:r>
      <w:r>
        <w:tab/>
      </w:r>
      <w:r w:rsidRPr="00BF6FBF">
        <w:t xml:space="preserve">Sections 109 and 110 of the Code of Criminal Procedure provide that victims should be allowed to </w:t>
      </w:r>
      <w:r w:rsidRPr="00CB7D06">
        <w:t xml:space="preserve">receive information in a language they understand and to </w:t>
      </w:r>
      <w:r w:rsidRPr="00B30428">
        <w:t>give</w:t>
      </w:r>
      <w:r w:rsidRPr="00BF6FBF">
        <w:t xml:space="preserve"> their statement in writing in the language of their choice.</w:t>
      </w:r>
      <w:r w:rsidRPr="005C6692">
        <w:t xml:space="preserve"> </w:t>
      </w:r>
    </w:p>
  </w:footnote>
  <w:footnote w:id="5">
    <w:p w:rsidR="009345EA" w:rsidRPr="0082455A" w:rsidRDefault="009345EA" w:rsidP="00D06B7B">
      <w:pPr>
        <w:pStyle w:val="FootnoteText"/>
      </w:pPr>
      <w:r>
        <w:tab/>
      </w:r>
      <w:r w:rsidRPr="00D06B7B">
        <w:rPr>
          <w:rStyle w:val="FootnoteReference"/>
        </w:rPr>
        <w:footnoteRef/>
      </w:r>
      <w:r w:rsidRPr="005C6692">
        <w:t xml:space="preserve"> </w:t>
      </w:r>
      <w:r>
        <w:tab/>
        <w:t>M</w:t>
      </w:r>
      <w:r w:rsidRPr="005C6692">
        <w:t>edical record</w:t>
      </w:r>
      <w:r>
        <w:t>s</w:t>
      </w:r>
      <w:r w:rsidRPr="005C6692">
        <w:t xml:space="preserve"> issued by </w:t>
      </w:r>
      <w:r>
        <w:t xml:space="preserve">the </w:t>
      </w:r>
      <w:r w:rsidRPr="005C6692">
        <w:t>Nuwara Eliya hospital on 15 August 2001</w:t>
      </w:r>
      <w:r w:rsidRPr="0082455A">
        <w:t>.</w:t>
      </w:r>
    </w:p>
  </w:footnote>
  <w:footnote w:id="6">
    <w:p w:rsidR="009345EA" w:rsidRPr="00E63373" w:rsidRDefault="00E63373" w:rsidP="00D06B7B">
      <w:pPr>
        <w:pStyle w:val="FootnoteText"/>
      </w:pPr>
      <w:r>
        <w:tab/>
      </w:r>
      <w:r w:rsidR="009345EA" w:rsidRPr="00D06B7B">
        <w:rPr>
          <w:rStyle w:val="FootnoteReference"/>
        </w:rPr>
        <w:footnoteRef/>
      </w:r>
      <w:r w:rsidR="009345EA">
        <w:tab/>
      </w:r>
      <w:r w:rsidR="009345EA" w:rsidRPr="009D570F">
        <w:rPr>
          <w:rStyle w:val="FootnoteTextChar"/>
        </w:rPr>
        <w:t>Section 357 of the Penal Code prohibits illicit intercourse; section 364 (2) (G) provides for the punishment of gang rape, and section 32 specifies that when a criminal act is done by several persons in furtherance of the common intention of all, each of such persons is liable for that act in the same manner as if it were done by him alone.</w:t>
      </w:r>
    </w:p>
  </w:footnote>
  <w:footnote w:id="7">
    <w:p w:rsidR="009345EA" w:rsidRPr="00802089" w:rsidRDefault="009345EA" w:rsidP="00D06B7B">
      <w:pPr>
        <w:pStyle w:val="FootnoteText"/>
      </w:pPr>
      <w:r>
        <w:tab/>
      </w:r>
      <w:r w:rsidRPr="00D06B7B">
        <w:rPr>
          <w:rStyle w:val="FootnoteReference"/>
        </w:rPr>
        <w:footnoteRef/>
      </w:r>
      <w:r>
        <w:t xml:space="preserve"> </w:t>
      </w:r>
      <w:r>
        <w:tab/>
        <w:t xml:space="preserve">The file does not contain any updates on the current status of the domestic proceedings. </w:t>
      </w:r>
    </w:p>
  </w:footnote>
  <w:footnote w:id="8">
    <w:p w:rsidR="009345EA" w:rsidRPr="00C95C86" w:rsidRDefault="009345EA" w:rsidP="00D06B7B">
      <w:pPr>
        <w:pStyle w:val="FootnoteText"/>
      </w:pPr>
      <w:r>
        <w:tab/>
      </w:r>
      <w:r w:rsidRPr="00D06B7B">
        <w:rPr>
          <w:rStyle w:val="FootnoteReference"/>
        </w:rPr>
        <w:footnoteRef/>
      </w:r>
      <w:r w:rsidRPr="00C95C86">
        <w:t xml:space="preserve"> </w:t>
      </w:r>
      <w:r>
        <w:tab/>
      </w:r>
      <w:r w:rsidRPr="00C95C86">
        <w:rPr>
          <w:bCs/>
          <w:szCs w:val="22"/>
        </w:rPr>
        <w:t>The shelter (safe</w:t>
      </w:r>
      <w:r>
        <w:rPr>
          <w:bCs/>
          <w:szCs w:val="22"/>
        </w:rPr>
        <w:t xml:space="preserve"> </w:t>
      </w:r>
      <w:r w:rsidRPr="00C95C86">
        <w:rPr>
          <w:bCs/>
          <w:szCs w:val="22"/>
        </w:rPr>
        <w:t xml:space="preserve">house) </w:t>
      </w:r>
      <w:r>
        <w:rPr>
          <w:bCs/>
          <w:szCs w:val="22"/>
        </w:rPr>
        <w:t>was</w:t>
      </w:r>
      <w:r w:rsidRPr="00C95C86">
        <w:rPr>
          <w:bCs/>
          <w:szCs w:val="22"/>
        </w:rPr>
        <w:t xml:space="preserve"> provided by the Human Rights Office of Kandy, a civil society organization.</w:t>
      </w:r>
    </w:p>
  </w:footnote>
  <w:footnote w:id="9">
    <w:p w:rsidR="009345EA" w:rsidRPr="002A177E" w:rsidRDefault="009345EA" w:rsidP="00D06B7B">
      <w:pPr>
        <w:pStyle w:val="FootnoteText"/>
        <w:rPr>
          <w:lang w:val="en-US"/>
        </w:rPr>
      </w:pPr>
      <w:r>
        <w:tab/>
      </w:r>
      <w:r w:rsidRPr="00D06B7B">
        <w:rPr>
          <w:rStyle w:val="FootnoteReference"/>
        </w:rPr>
        <w:footnoteRef/>
      </w:r>
      <w:r>
        <w:t xml:space="preserve"> </w:t>
      </w:r>
      <w:r>
        <w:tab/>
      </w:r>
      <w:r>
        <w:rPr>
          <w:lang w:val="en-US"/>
        </w:rPr>
        <w:t xml:space="preserve">At the time of submission. </w:t>
      </w:r>
    </w:p>
  </w:footnote>
  <w:footnote w:id="10">
    <w:p w:rsidR="009345EA" w:rsidRPr="00750B72" w:rsidRDefault="00E63373" w:rsidP="00D06B7B">
      <w:pPr>
        <w:pStyle w:val="FootnoteText"/>
      </w:pPr>
      <w:r>
        <w:tab/>
      </w:r>
      <w:r w:rsidR="009345EA" w:rsidRPr="00D06B7B">
        <w:rPr>
          <w:rStyle w:val="FootnoteReference"/>
        </w:rPr>
        <w:footnoteRef/>
      </w:r>
      <w:r w:rsidR="009345EA" w:rsidRPr="00750B72">
        <w:t xml:space="preserve"> </w:t>
      </w:r>
      <w:r w:rsidR="009345EA">
        <w:tab/>
      </w:r>
      <w:r w:rsidR="009345EA" w:rsidRPr="00750B72">
        <w:t xml:space="preserve">For the </w:t>
      </w:r>
      <w:r w:rsidR="009345EA">
        <w:t xml:space="preserve">jurisprudence on </w:t>
      </w:r>
      <w:r w:rsidR="00EB40F1">
        <w:t>“</w:t>
      </w:r>
      <w:r w:rsidR="009345EA" w:rsidRPr="00750B72">
        <w:t>unreasonably prolonged delay</w:t>
      </w:r>
      <w:r w:rsidR="00EB40F1">
        <w:t>”</w:t>
      </w:r>
      <w:r w:rsidR="009345EA">
        <w:t>, s</w:t>
      </w:r>
      <w:r w:rsidR="009345EA" w:rsidRPr="00750B72">
        <w:t>ee</w:t>
      </w:r>
      <w:r w:rsidR="009345EA">
        <w:t>, for example, communication No. </w:t>
      </w:r>
      <w:r w:rsidR="009345EA" w:rsidRPr="002058D3">
        <w:t>1432/2005</w:t>
      </w:r>
      <w:r w:rsidR="009345EA">
        <w:t>,</w:t>
      </w:r>
      <w:r w:rsidR="009345EA" w:rsidRPr="002058D3">
        <w:t xml:space="preserve"> </w:t>
      </w:r>
      <w:r w:rsidR="009345EA" w:rsidRPr="00750B72">
        <w:rPr>
          <w:i/>
        </w:rPr>
        <w:t>Gunaratna v. Sri Lanka</w:t>
      </w:r>
      <w:r w:rsidR="009345EA" w:rsidRPr="009D570F">
        <w:t>,</w:t>
      </w:r>
      <w:r w:rsidR="009345EA">
        <w:rPr>
          <w:i/>
        </w:rPr>
        <w:t xml:space="preserve"> </w:t>
      </w:r>
      <w:r w:rsidR="009345EA" w:rsidRPr="002058D3">
        <w:t xml:space="preserve">Views adopted on </w:t>
      </w:r>
      <w:r w:rsidR="009345EA" w:rsidRPr="00B42AFA">
        <w:t>17 March 2009,</w:t>
      </w:r>
      <w:r w:rsidR="009345EA" w:rsidRPr="00750B72">
        <w:rPr>
          <w:i/>
        </w:rPr>
        <w:t xml:space="preserve"> </w:t>
      </w:r>
      <w:r w:rsidR="009345EA">
        <w:t xml:space="preserve">para. 7.5. </w:t>
      </w:r>
    </w:p>
  </w:footnote>
  <w:footnote w:id="11">
    <w:p w:rsidR="009345EA" w:rsidRPr="00C95C86" w:rsidRDefault="00E63373" w:rsidP="00D06B7B">
      <w:pPr>
        <w:pStyle w:val="FootnoteText"/>
      </w:pPr>
      <w:r>
        <w:tab/>
      </w:r>
      <w:r w:rsidR="009345EA" w:rsidRPr="00D06B7B">
        <w:rPr>
          <w:rStyle w:val="FootnoteReference"/>
        </w:rPr>
        <w:footnoteRef/>
      </w:r>
      <w:r>
        <w:tab/>
      </w:r>
      <w:r w:rsidR="009345EA" w:rsidRPr="00C95C86">
        <w:t>The victim</w:t>
      </w:r>
      <w:r w:rsidR="009345EA">
        <w:t xml:space="preserve"> </w:t>
      </w:r>
      <w:r w:rsidR="009345EA" w:rsidRPr="00C95C86">
        <w:t>was allegedly raped on 12 August 2001, i.e.</w:t>
      </w:r>
      <w:r w:rsidR="009345EA">
        <w:t>,</w:t>
      </w:r>
      <w:r w:rsidR="009345EA" w:rsidRPr="00C95C86">
        <w:t xml:space="preserve"> two weeks before she turned 18.</w:t>
      </w:r>
    </w:p>
  </w:footnote>
  <w:footnote w:id="12">
    <w:p w:rsidR="009345EA" w:rsidRPr="00DF0247" w:rsidRDefault="009345EA" w:rsidP="00D06B7B">
      <w:pPr>
        <w:pStyle w:val="FootnoteText"/>
      </w:pPr>
      <w:r>
        <w:tab/>
      </w:r>
      <w:r w:rsidRPr="00D06B7B">
        <w:rPr>
          <w:rStyle w:val="FootnoteReference"/>
        </w:rPr>
        <w:footnoteRef/>
      </w:r>
      <w:r w:rsidRPr="009D570F">
        <w:rPr>
          <w:lang w:val="en-US"/>
        </w:rPr>
        <w:tab/>
        <w:t xml:space="preserve">See </w:t>
      </w:r>
      <w:r>
        <w:t xml:space="preserve">communication No. </w:t>
      </w:r>
      <w:r w:rsidRPr="00A95BF9">
        <w:t>1610/</w:t>
      </w:r>
      <w:r w:rsidRPr="007F135A">
        <w:t xml:space="preserve">2007, </w:t>
      </w:r>
      <w:r w:rsidRPr="009D570F">
        <w:rPr>
          <w:i/>
          <w:lang w:val="en-US"/>
        </w:rPr>
        <w:t>L.N.P. v. Argentina</w:t>
      </w:r>
      <w:r w:rsidRPr="009D570F">
        <w:rPr>
          <w:lang w:val="en-US"/>
        </w:rPr>
        <w:t xml:space="preserve">, </w:t>
      </w:r>
      <w:r w:rsidRPr="007F135A">
        <w:t>Views adopted on 18 July 2011</w:t>
      </w:r>
      <w:r>
        <w:t xml:space="preserve">, </w:t>
      </w:r>
      <w:r w:rsidRPr="009D570F">
        <w:rPr>
          <w:lang w:val="en-US"/>
        </w:rPr>
        <w:t xml:space="preserve">para. </w:t>
      </w:r>
      <w:r w:rsidRPr="0055624A">
        <w:t>10.1.</w:t>
      </w:r>
      <w:r>
        <w:t xml:space="preserve"> </w:t>
      </w:r>
      <w:r w:rsidRPr="00DF0247">
        <w:t xml:space="preserve">See </w:t>
      </w:r>
      <w:r w:rsidRPr="001F73A9">
        <w:t>also</w:t>
      </w:r>
      <w:r>
        <w:t xml:space="preserve"> the Basic Principles and Guidelines on the Right to a Remedy and Reparation for Victims of Gross Violations of International Human Rights Law and Serious Violations of International Humanitarian Law. </w:t>
      </w:r>
    </w:p>
  </w:footnote>
  <w:footnote w:id="13">
    <w:p w:rsidR="009345EA" w:rsidRPr="003C2300" w:rsidRDefault="009345EA" w:rsidP="00D06B7B">
      <w:pPr>
        <w:pStyle w:val="FootnoteText"/>
      </w:pPr>
      <w:r w:rsidRPr="00DF0247">
        <w:tab/>
      </w:r>
      <w:r w:rsidRPr="00D06B7B">
        <w:rPr>
          <w:rStyle w:val="FootnoteReference"/>
        </w:rPr>
        <w:footnoteRef/>
      </w:r>
      <w:r w:rsidRPr="003C2300">
        <w:t xml:space="preserve"> </w:t>
      </w:r>
      <w:r>
        <w:tab/>
        <w:t xml:space="preserve">Supreme Court of Sri Lanka, </w:t>
      </w:r>
      <w:r w:rsidRPr="003C2300">
        <w:rPr>
          <w:i/>
        </w:rPr>
        <w:t>Sin</w:t>
      </w:r>
      <w:r>
        <w:rPr>
          <w:i/>
        </w:rPr>
        <w:t>g</w:t>
      </w:r>
      <w:r w:rsidRPr="003C2300">
        <w:rPr>
          <w:i/>
        </w:rPr>
        <w:t>arasa v</w:t>
      </w:r>
      <w:r>
        <w:rPr>
          <w:i/>
        </w:rPr>
        <w:t>. Attorney General</w:t>
      </w:r>
      <w:r w:rsidRPr="003C2300">
        <w:t xml:space="preserve">, </w:t>
      </w:r>
      <w:r>
        <w:t xml:space="preserve">judgment of </w:t>
      </w:r>
      <w:r w:rsidRPr="003C2300">
        <w:t>15 September 2006.</w:t>
      </w:r>
    </w:p>
  </w:footnote>
  <w:footnote w:id="14">
    <w:p w:rsidR="009345EA" w:rsidRPr="003C2300" w:rsidRDefault="009345EA" w:rsidP="00D06B7B">
      <w:pPr>
        <w:pStyle w:val="FootnoteText"/>
      </w:pPr>
      <w:r>
        <w:tab/>
      </w:r>
      <w:r w:rsidRPr="00D06B7B">
        <w:rPr>
          <w:rStyle w:val="FootnoteReference"/>
        </w:rPr>
        <w:footnoteRef/>
      </w:r>
      <w:r w:rsidRPr="003C2300">
        <w:t xml:space="preserve"> </w:t>
      </w:r>
      <w:r>
        <w:tab/>
        <w:t xml:space="preserve">Such </w:t>
      </w:r>
      <w:r w:rsidRPr="003C2300">
        <w:t>inte</w:t>
      </w:r>
      <w:r>
        <w:t>r</w:t>
      </w:r>
      <w:r w:rsidRPr="003C2300">
        <w:t xml:space="preserve">pretational </w:t>
      </w:r>
      <w:r>
        <w:t xml:space="preserve">precedent is, however, </w:t>
      </w:r>
      <w:r w:rsidRPr="003C2300">
        <w:t>inconsistent with the doctrine a</w:t>
      </w:r>
      <w:r>
        <w:t xml:space="preserve">nd </w:t>
      </w:r>
      <w:r w:rsidRPr="003C2300">
        <w:t xml:space="preserve">jurisprudence of the Committee. </w:t>
      </w:r>
      <w:r>
        <w:t xml:space="preserve">See in this regard paragraph 4 of </w:t>
      </w:r>
      <w:r w:rsidRPr="003C2300">
        <w:t>the Committee</w:t>
      </w:r>
      <w:r w:rsidR="00EB40F1">
        <w:t>’</w:t>
      </w:r>
      <w:r>
        <w:t>s</w:t>
      </w:r>
      <w:r w:rsidRPr="003C2300">
        <w:t xml:space="preserve"> </w:t>
      </w:r>
      <w:r>
        <w:t>g</w:t>
      </w:r>
      <w:r w:rsidRPr="003C2300">
        <w:t xml:space="preserve">eneral </w:t>
      </w:r>
      <w:r>
        <w:t xml:space="preserve">comment </w:t>
      </w:r>
      <w:r w:rsidRPr="003C2300">
        <w:t>No. 31</w:t>
      </w:r>
      <w:r w:rsidRPr="00D44360">
        <w:t xml:space="preserve"> </w:t>
      </w:r>
      <w:r>
        <w:t xml:space="preserve">(2004) on the </w:t>
      </w:r>
      <w:r w:rsidRPr="00D44360">
        <w:t xml:space="preserve">nature of the general legal obligation imposed on States </w:t>
      </w:r>
      <w:r>
        <w:t>p</w:t>
      </w:r>
      <w:r w:rsidRPr="00D44360">
        <w:t>arties to the Covenant</w:t>
      </w:r>
      <w:r w:rsidRPr="003C2300">
        <w:t>.</w:t>
      </w:r>
      <w:r w:rsidRPr="00F06C40">
        <w:t xml:space="preserve"> </w:t>
      </w:r>
      <w:r>
        <w:t xml:space="preserve">See also </w:t>
      </w:r>
      <w:r w:rsidRPr="00F06C40">
        <w:t xml:space="preserve">article 27 of the Vienna Convention on the Law of Treaties, according to which a State </w:t>
      </w:r>
      <w:r>
        <w:t>p</w:t>
      </w:r>
      <w:r w:rsidRPr="00F06C40">
        <w:t>arty may not invoke the provisions of its internal law as justification for its failure to perform a treaty.</w:t>
      </w:r>
    </w:p>
  </w:footnote>
  <w:footnote w:id="15">
    <w:p w:rsidR="009345EA" w:rsidRPr="00041A12" w:rsidRDefault="009345EA" w:rsidP="00D06B7B">
      <w:pPr>
        <w:pStyle w:val="FootnoteText"/>
      </w:pPr>
      <w:r>
        <w:tab/>
      </w:r>
      <w:r w:rsidRPr="00D06B7B">
        <w:rPr>
          <w:rStyle w:val="FootnoteReference"/>
        </w:rPr>
        <w:footnoteRef/>
      </w:r>
      <w:r>
        <w:tab/>
      </w:r>
      <w:r w:rsidRPr="00041A12">
        <w:t>On 22 December 2014, the State party</w:t>
      </w:r>
      <w:r w:rsidR="00EB40F1">
        <w:t>’</w:t>
      </w:r>
      <w:r w:rsidRPr="00041A12">
        <w:t>s observations were submitted to counsel for information.</w:t>
      </w:r>
    </w:p>
  </w:footnote>
  <w:footnote w:id="16">
    <w:p w:rsidR="009345EA" w:rsidRPr="00373D50" w:rsidRDefault="00520E18" w:rsidP="00D06B7B">
      <w:pPr>
        <w:pStyle w:val="FootnoteText"/>
        <w:rPr>
          <w:lang w:val="en-US"/>
        </w:rPr>
      </w:pPr>
      <w:r>
        <w:tab/>
      </w:r>
      <w:r w:rsidR="009345EA" w:rsidRPr="00D06B7B">
        <w:rPr>
          <w:rStyle w:val="FootnoteReference"/>
        </w:rPr>
        <w:footnoteRef/>
      </w:r>
      <w:r>
        <w:tab/>
      </w:r>
      <w:r w:rsidR="009345EA">
        <w:t xml:space="preserve">See communications No. 868/1999, </w:t>
      </w:r>
      <w:r w:rsidR="009345EA" w:rsidRPr="00010178">
        <w:rPr>
          <w:i/>
        </w:rPr>
        <w:t>Wilson v. Philippines</w:t>
      </w:r>
      <w:r w:rsidR="009345EA" w:rsidRPr="00313921">
        <w:t>,</w:t>
      </w:r>
      <w:r w:rsidR="009345EA">
        <w:rPr>
          <w:i/>
        </w:rPr>
        <w:t xml:space="preserve"> </w:t>
      </w:r>
      <w:r w:rsidR="009345EA">
        <w:t xml:space="preserve">Views adopted on 30 October 2003, para. 6.3, and No. 328/1988, </w:t>
      </w:r>
      <w:r w:rsidR="009345EA" w:rsidRPr="00241864">
        <w:rPr>
          <w:i/>
        </w:rPr>
        <w:t>Blanco v. Nicaragua</w:t>
      </w:r>
      <w:r w:rsidR="009345EA">
        <w:t>, Views adopted on 20 July 1994, para. 9.2.</w:t>
      </w:r>
    </w:p>
  </w:footnote>
  <w:footnote w:id="17">
    <w:p w:rsidR="009345EA" w:rsidRPr="00750B72" w:rsidRDefault="009345EA" w:rsidP="00D06B7B">
      <w:pPr>
        <w:pStyle w:val="FootnoteText"/>
      </w:pPr>
      <w:r>
        <w:tab/>
      </w:r>
      <w:r w:rsidRPr="00D06B7B">
        <w:rPr>
          <w:rStyle w:val="FootnoteReference"/>
        </w:rPr>
        <w:footnoteRef/>
      </w:r>
      <w:r>
        <w:tab/>
      </w:r>
      <w:r w:rsidRPr="00750B72">
        <w:t xml:space="preserve">For </w:t>
      </w:r>
      <w:r w:rsidRPr="00B30428">
        <w:t xml:space="preserve">the criteria for what constitutes an </w:t>
      </w:r>
      <w:r w:rsidR="00EB40F1">
        <w:t>“</w:t>
      </w:r>
      <w:r w:rsidRPr="00B30428">
        <w:t>unreasonably</w:t>
      </w:r>
      <w:r w:rsidRPr="00750B72">
        <w:t xml:space="preserve"> prolonged delay</w:t>
      </w:r>
      <w:r w:rsidR="00EB40F1">
        <w:t>”</w:t>
      </w:r>
      <w:r>
        <w:t>,</w:t>
      </w:r>
      <w:r w:rsidRPr="00750B72">
        <w:t xml:space="preserve"> see </w:t>
      </w:r>
      <w:r w:rsidRPr="00750B72">
        <w:rPr>
          <w:i/>
        </w:rPr>
        <w:t>Gunaratna v. Sri Lanka</w:t>
      </w:r>
      <w:r>
        <w:t xml:space="preserve">, </w:t>
      </w:r>
      <w:r w:rsidRPr="00750B72">
        <w:t>para. 7.5</w:t>
      </w:r>
      <w:r w:rsidR="00AF5A6A">
        <w:t>.</w:t>
      </w:r>
    </w:p>
  </w:footnote>
  <w:footnote w:id="18">
    <w:p w:rsidR="009345EA" w:rsidRPr="00750B72" w:rsidRDefault="009345EA" w:rsidP="00D06B7B">
      <w:pPr>
        <w:pStyle w:val="FootnoteText"/>
      </w:pPr>
      <w:r>
        <w:tab/>
      </w:r>
      <w:r w:rsidRPr="00D06B7B">
        <w:rPr>
          <w:rStyle w:val="FootnoteReference"/>
        </w:rPr>
        <w:footnoteRef/>
      </w:r>
      <w:r>
        <w:tab/>
        <w:t>See, for example, c</w:t>
      </w:r>
      <w:r w:rsidRPr="00750B72">
        <w:t xml:space="preserve">ommunication </w:t>
      </w:r>
      <w:r>
        <w:t xml:space="preserve">No. </w:t>
      </w:r>
      <w:r w:rsidRPr="00750B72">
        <w:t>747/1997</w:t>
      </w:r>
      <w:r w:rsidRPr="006A0941">
        <w:t xml:space="preserve">, </w:t>
      </w:r>
      <w:r w:rsidRPr="006A0941">
        <w:rPr>
          <w:i/>
        </w:rPr>
        <w:t>Des Fours Walderode and Kammerlander</w:t>
      </w:r>
      <w:r>
        <w:rPr>
          <w:i/>
        </w:rPr>
        <w:t xml:space="preserve"> </w:t>
      </w:r>
      <w:r w:rsidRPr="00387838">
        <w:rPr>
          <w:i/>
        </w:rPr>
        <w:t>v. Czech Republic</w:t>
      </w:r>
      <w:r w:rsidRPr="00387838">
        <w:t xml:space="preserve">, </w:t>
      </w:r>
      <w:r>
        <w:t>Views adopted on 30 October</w:t>
      </w:r>
      <w:r w:rsidRPr="00387838">
        <w:t xml:space="preserve"> 2001, </w:t>
      </w:r>
      <w:r w:rsidRPr="00750B72">
        <w:t>para. 6.4</w:t>
      </w:r>
      <w:r>
        <w:t xml:space="preserve">, </w:t>
      </w:r>
      <w:r w:rsidRPr="00750B72">
        <w:t xml:space="preserve">with respect to </w:t>
      </w:r>
      <w:r>
        <w:t xml:space="preserve">the </w:t>
      </w:r>
      <w:r w:rsidRPr="00750B72">
        <w:t>likelihood of a further delay</w:t>
      </w:r>
      <w:r>
        <w:t xml:space="preserve">. See also paragraph 5.2 of communication No. 336/1988, </w:t>
      </w:r>
      <w:r w:rsidRPr="00750B72">
        <w:rPr>
          <w:i/>
        </w:rPr>
        <w:t>Fillastre and Bizouarn v. Bolivia</w:t>
      </w:r>
      <w:r w:rsidRPr="009D570F">
        <w:t>,</w:t>
      </w:r>
      <w:r>
        <w:t xml:space="preserve"> Views adopted on 5 November 1991, in</w:t>
      </w:r>
      <w:r>
        <w:rPr>
          <w:i/>
        </w:rPr>
        <w:t xml:space="preserve"> </w:t>
      </w:r>
      <w:r w:rsidRPr="00750B72">
        <w:t xml:space="preserve">which </w:t>
      </w:r>
      <w:r>
        <w:t xml:space="preserve">the Committee </w:t>
      </w:r>
      <w:r w:rsidRPr="00750B72">
        <w:t xml:space="preserve">determined that a delay of </w:t>
      </w:r>
      <w:r>
        <w:t>over three</w:t>
      </w:r>
      <w:r w:rsidRPr="00750B72">
        <w:t xml:space="preserve"> years of adjudication at first instance, discounting the availability of subsequent appeals</w:t>
      </w:r>
      <w:r>
        <w:t xml:space="preserve">, </w:t>
      </w:r>
      <w:r w:rsidRPr="00750B72">
        <w:t xml:space="preserve">was unreasonably prolonged </w:t>
      </w:r>
      <w:r>
        <w:t>within the meaning of</w:t>
      </w:r>
      <w:r w:rsidRPr="00750B72">
        <w:t xml:space="preserve"> </w:t>
      </w:r>
      <w:r>
        <w:t xml:space="preserve">article </w:t>
      </w:r>
      <w:r w:rsidRPr="00750B72">
        <w:t>5</w:t>
      </w:r>
      <w:r>
        <w:t> </w:t>
      </w:r>
      <w:r w:rsidRPr="00750B72">
        <w:t>(2)</w:t>
      </w:r>
      <w:r>
        <w:t> </w:t>
      </w:r>
      <w:r w:rsidRPr="00750B72">
        <w:t>(b)</w:t>
      </w:r>
      <w:r>
        <w:t xml:space="preserve"> of the Optional Protocol</w:t>
      </w:r>
      <w:r w:rsidRPr="00750B72">
        <w:t>.</w:t>
      </w:r>
    </w:p>
  </w:footnote>
  <w:footnote w:id="19">
    <w:p w:rsidR="009345EA" w:rsidRPr="00750B72" w:rsidRDefault="009345EA" w:rsidP="00D06B7B">
      <w:pPr>
        <w:pStyle w:val="FootnoteText"/>
      </w:pPr>
      <w:r>
        <w:tab/>
      </w:r>
      <w:r w:rsidRPr="00D06B7B">
        <w:rPr>
          <w:rStyle w:val="FootnoteReference"/>
        </w:rPr>
        <w:footnoteRef/>
      </w:r>
      <w:r>
        <w:tab/>
        <w:t xml:space="preserve">See, for example, communication No. 1250/2004, </w:t>
      </w:r>
      <w:r w:rsidRPr="00750B72">
        <w:rPr>
          <w:i/>
        </w:rPr>
        <w:t>Rajapakse v. Sri Lanka</w:t>
      </w:r>
      <w:r w:rsidRPr="00750B72">
        <w:t xml:space="preserve">, </w:t>
      </w:r>
      <w:r>
        <w:t xml:space="preserve">Views adopted on 14 July 2006, </w:t>
      </w:r>
      <w:r w:rsidRPr="00750B72">
        <w:t>para</w:t>
      </w:r>
      <w:r>
        <w:t>.</w:t>
      </w:r>
      <w:r w:rsidRPr="00750B72">
        <w:t xml:space="preserve"> 9.4, and </w:t>
      </w:r>
      <w:r>
        <w:rPr>
          <w:i/>
        </w:rPr>
        <w:t>Gu</w:t>
      </w:r>
      <w:r w:rsidRPr="00750B72">
        <w:rPr>
          <w:i/>
        </w:rPr>
        <w:t>naratna v</w:t>
      </w:r>
      <w:r>
        <w:rPr>
          <w:i/>
        </w:rPr>
        <w:t xml:space="preserve">. </w:t>
      </w:r>
      <w:r w:rsidRPr="00750B72">
        <w:rPr>
          <w:i/>
        </w:rPr>
        <w:t>Sri Lanka</w:t>
      </w:r>
      <w:r>
        <w:t>, para. 7.5.</w:t>
      </w:r>
      <w:r w:rsidRPr="00750B72">
        <w:t xml:space="preserve"> </w:t>
      </w:r>
    </w:p>
  </w:footnote>
  <w:footnote w:id="20">
    <w:p w:rsidR="009345EA" w:rsidRPr="007F135A" w:rsidRDefault="009345EA" w:rsidP="00D06B7B">
      <w:pPr>
        <w:pStyle w:val="FootnoteText"/>
      </w:pPr>
      <w:r>
        <w:tab/>
      </w:r>
      <w:r w:rsidRPr="00D06B7B">
        <w:rPr>
          <w:rStyle w:val="FootnoteReference"/>
        </w:rPr>
        <w:footnoteRef/>
      </w:r>
      <w:r>
        <w:t xml:space="preserve"> </w:t>
      </w:r>
      <w:r>
        <w:tab/>
      </w:r>
      <w:r w:rsidRPr="003B3D8C">
        <w:t>See</w:t>
      </w:r>
      <w:r>
        <w:t>, for example, c</w:t>
      </w:r>
      <w:r w:rsidRPr="003B3D8C">
        <w:t>ommunication</w:t>
      </w:r>
      <w:r>
        <w:t>s</w:t>
      </w:r>
      <w:r w:rsidRPr="003B3D8C">
        <w:t xml:space="preserve"> No. 701/1996, </w:t>
      </w:r>
      <w:r w:rsidRPr="003B3D8C">
        <w:rPr>
          <w:i/>
        </w:rPr>
        <w:t>Gómez Vázquez v. Spain</w:t>
      </w:r>
      <w:r>
        <w:t>,</w:t>
      </w:r>
      <w:r w:rsidRPr="003B3D8C">
        <w:t xml:space="preserve"> Views adopted on 20 July 2000, para. 6.2., and No. 1153/2003, </w:t>
      </w:r>
      <w:r w:rsidRPr="003B3D8C">
        <w:rPr>
          <w:i/>
        </w:rPr>
        <w:t>K.</w:t>
      </w:r>
      <w:r>
        <w:rPr>
          <w:i/>
        </w:rPr>
        <w:t>N.</w:t>
      </w:r>
      <w:r w:rsidRPr="003B3D8C">
        <w:rPr>
          <w:i/>
        </w:rPr>
        <w:t>L.</w:t>
      </w:r>
      <w:r>
        <w:rPr>
          <w:i/>
        </w:rPr>
        <w:t>H.</w:t>
      </w:r>
      <w:r w:rsidRPr="003B3D8C">
        <w:rPr>
          <w:i/>
        </w:rPr>
        <w:t xml:space="preserve"> v. Peru</w:t>
      </w:r>
      <w:r w:rsidRPr="003B3D8C">
        <w:t>, Views adopted on 24 October 2005</w:t>
      </w:r>
      <w:r>
        <w:t>, para. 5.2.</w:t>
      </w:r>
      <w:r w:rsidRPr="00A95BF9">
        <w:t xml:space="preserve"> </w:t>
      </w:r>
      <w:r>
        <w:t xml:space="preserve">See </w:t>
      </w:r>
      <w:r w:rsidRPr="009A7391">
        <w:t xml:space="preserve">also </w:t>
      </w:r>
      <w:r w:rsidRPr="009A7391">
        <w:rPr>
          <w:i/>
        </w:rPr>
        <w:t>L.N.P. v. Argentina</w:t>
      </w:r>
      <w:r w:rsidRPr="00B47F20">
        <w:t>,</w:t>
      </w:r>
      <w:r w:rsidRPr="009A7391">
        <w:rPr>
          <w:i/>
        </w:rPr>
        <w:t xml:space="preserve"> </w:t>
      </w:r>
      <w:r w:rsidRPr="009A7391">
        <w:t>para. 12.3</w:t>
      </w:r>
      <w:r w:rsidR="00B47F20">
        <w:t>.</w:t>
      </w:r>
    </w:p>
  </w:footnote>
  <w:footnote w:id="21">
    <w:p w:rsidR="009345EA" w:rsidRPr="009D570F" w:rsidRDefault="009345EA" w:rsidP="00D06B7B">
      <w:pPr>
        <w:pStyle w:val="FootnoteText"/>
      </w:pPr>
      <w:r>
        <w:tab/>
      </w:r>
      <w:r w:rsidRPr="00D06B7B">
        <w:rPr>
          <w:rStyle w:val="FootnoteReference"/>
        </w:rPr>
        <w:footnoteRef/>
      </w:r>
      <w:r w:rsidRPr="00750B72">
        <w:t xml:space="preserve"> </w:t>
      </w:r>
      <w:r>
        <w:tab/>
      </w:r>
      <w:r w:rsidRPr="0008730F">
        <w:t xml:space="preserve">The author cites </w:t>
      </w:r>
      <w:r>
        <w:t>the Committee</w:t>
      </w:r>
      <w:r w:rsidR="00EB40F1">
        <w:t>’</w:t>
      </w:r>
      <w:r>
        <w:t>s g</w:t>
      </w:r>
      <w:r w:rsidRPr="0008730F">
        <w:t xml:space="preserve">eneral </w:t>
      </w:r>
      <w:r>
        <w:t>c</w:t>
      </w:r>
      <w:r w:rsidRPr="0008730F">
        <w:t>omment No. 20, para</w:t>
      </w:r>
      <w:r>
        <w:t>.</w:t>
      </w:r>
      <w:r w:rsidRPr="0008730F">
        <w:t xml:space="preserve"> 2 </w:t>
      </w:r>
      <w:r>
        <w:t>and</w:t>
      </w:r>
      <w:r w:rsidRPr="0008730F">
        <w:t xml:space="preserve"> </w:t>
      </w:r>
      <w:r>
        <w:t>g</w:t>
      </w:r>
      <w:r w:rsidRPr="0008730F">
        <w:t xml:space="preserve">eneral </w:t>
      </w:r>
      <w:r>
        <w:t>c</w:t>
      </w:r>
      <w:r w:rsidRPr="0008730F">
        <w:t xml:space="preserve">omment No. </w:t>
      </w:r>
      <w:r>
        <w:t>2</w:t>
      </w:r>
      <w:r w:rsidRPr="0008730F">
        <w:t>8</w:t>
      </w:r>
      <w:r w:rsidRPr="00E66F0E">
        <w:t xml:space="preserve"> (</w:t>
      </w:r>
      <w:r>
        <w:t>2000) on t</w:t>
      </w:r>
      <w:r w:rsidRPr="00E66F0E">
        <w:t>he equality of rights between men and women</w:t>
      </w:r>
      <w:r w:rsidRPr="0008730F">
        <w:t xml:space="preserve">, para. </w:t>
      </w:r>
      <w:r w:rsidRPr="009D570F">
        <w:rPr>
          <w:lang w:val="en-US"/>
        </w:rPr>
        <w:t xml:space="preserve">11; European Court of Human Rights, </w:t>
      </w:r>
      <w:r w:rsidRPr="009D570F">
        <w:rPr>
          <w:i/>
          <w:lang w:val="en-US"/>
        </w:rPr>
        <w:t>C</w:t>
      </w:r>
      <w:r>
        <w:rPr>
          <w:i/>
          <w:lang w:val="en-US"/>
        </w:rPr>
        <w:t>.</w:t>
      </w:r>
      <w:r w:rsidRPr="009D570F">
        <w:rPr>
          <w:i/>
          <w:lang w:val="en-US"/>
        </w:rPr>
        <w:t>A</w:t>
      </w:r>
      <w:r>
        <w:rPr>
          <w:i/>
          <w:lang w:val="en-US"/>
        </w:rPr>
        <w:t>.</w:t>
      </w:r>
      <w:r w:rsidRPr="009D570F">
        <w:rPr>
          <w:i/>
          <w:lang w:val="en-US"/>
        </w:rPr>
        <w:t>S</w:t>
      </w:r>
      <w:r>
        <w:rPr>
          <w:i/>
          <w:lang w:val="en-US"/>
        </w:rPr>
        <w:t>.</w:t>
      </w:r>
      <w:r w:rsidRPr="009D570F">
        <w:rPr>
          <w:i/>
          <w:lang w:val="en-US"/>
        </w:rPr>
        <w:t xml:space="preserve"> and C</w:t>
      </w:r>
      <w:r>
        <w:rPr>
          <w:i/>
          <w:lang w:val="en-US"/>
        </w:rPr>
        <w:t>.</w:t>
      </w:r>
      <w:r w:rsidRPr="009D570F">
        <w:rPr>
          <w:i/>
          <w:lang w:val="en-US"/>
        </w:rPr>
        <w:t>S</w:t>
      </w:r>
      <w:r>
        <w:rPr>
          <w:i/>
          <w:lang w:val="en-US"/>
        </w:rPr>
        <w:t>.</w:t>
      </w:r>
      <w:r w:rsidRPr="009D570F">
        <w:rPr>
          <w:i/>
          <w:lang w:val="en-US"/>
        </w:rPr>
        <w:t xml:space="preserve"> v</w:t>
      </w:r>
      <w:r>
        <w:rPr>
          <w:i/>
          <w:lang w:val="en-US"/>
        </w:rPr>
        <w:t>.</w:t>
      </w:r>
      <w:r w:rsidRPr="009D570F">
        <w:rPr>
          <w:i/>
          <w:lang w:val="en-US"/>
        </w:rPr>
        <w:t xml:space="preserve"> Romania</w:t>
      </w:r>
      <w:r>
        <w:rPr>
          <w:lang w:val="en-US"/>
        </w:rPr>
        <w:t xml:space="preserve"> (application No. 26692/05), judgment of 20 March 2012, </w:t>
      </w:r>
      <w:r w:rsidRPr="009D570F">
        <w:rPr>
          <w:lang w:val="en-US"/>
        </w:rPr>
        <w:t xml:space="preserve">para. 69; Committee on the Elimination of Discrimination against Women, communication No. </w:t>
      </w:r>
      <w:r>
        <w:rPr>
          <w:lang w:val="en-US"/>
        </w:rPr>
        <w:t xml:space="preserve">18/2008, </w:t>
      </w:r>
      <w:r w:rsidRPr="009D570F">
        <w:rPr>
          <w:i/>
          <w:lang w:val="en-US"/>
        </w:rPr>
        <w:t>Tayag Vertido v. Philippines</w:t>
      </w:r>
      <w:r w:rsidRPr="009D570F">
        <w:rPr>
          <w:lang w:val="en-US"/>
        </w:rPr>
        <w:t xml:space="preserve">, </w:t>
      </w:r>
      <w:r w:rsidR="0024052C" w:rsidRPr="009D570F">
        <w:rPr>
          <w:lang w:val="en-US"/>
        </w:rPr>
        <w:t xml:space="preserve">Views </w:t>
      </w:r>
      <w:r w:rsidRPr="009D570F">
        <w:rPr>
          <w:lang w:val="en-US"/>
        </w:rPr>
        <w:t xml:space="preserve">adopted on 16 July 2010; Inter-American Court of Human Rights, </w:t>
      </w:r>
      <w:r w:rsidRPr="009D570F">
        <w:rPr>
          <w:i/>
          <w:lang w:val="en-US"/>
        </w:rPr>
        <w:t>Vel</w:t>
      </w:r>
      <w:r>
        <w:rPr>
          <w:i/>
          <w:lang w:val="en-US"/>
        </w:rPr>
        <w:t>á</w:t>
      </w:r>
      <w:r w:rsidRPr="009D570F">
        <w:rPr>
          <w:i/>
          <w:lang w:val="en-US"/>
        </w:rPr>
        <w:t>squez Rodr</w:t>
      </w:r>
      <w:r>
        <w:rPr>
          <w:i/>
          <w:lang w:val="en-US"/>
        </w:rPr>
        <w:t>í</w:t>
      </w:r>
      <w:r w:rsidRPr="009D570F">
        <w:rPr>
          <w:i/>
          <w:lang w:val="en-US"/>
        </w:rPr>
        <w:t>guez v. Honduras</w:t>
      </w:r>
      <w:r>
        <w:rPr>
          <w:lang w:val="en-US"/>
        </w:rPr>
        <w:t>, judgment of</w:t>
      </w:r>
      <w:r w:rsidRPr="009D570F">
        <w:rPr>
          <w:lang w:val="en-US"/>
        </w:rPr>
        <w:t xml:space="preserve"> 29 July 1988, para. 172; and </w:t>
      </w:r>
      <w:r w:rsidRPr="00495278">
        <w:rPr>
          <w:lang w:val="en-US"/>
        </w:rPr>
        <w:t>Inter-American Court of Human Rights</w:t>
      </w:r>
      <w:r>
        <w:rPr>
          <w:lang w:val="en-US"/>
        </w:rPr>
        <w:t>,</w:t>
      </w:r>
      <w:r w:rsidRPr="009D570F">
        <w:rPr>
          <w:i/>
          <w:lang w:val="en-US"/>
        </w:rPr>
        <w:t xml:space="preserve"> Gonz</w:t>
      </w:r>
      <w:r>
        <w:rPr>
          <w:i/>
          <w:lang w:val="en-US"/>
        </w:rPr>
        <w:t>á</w:t>
      </w:r>
      <w:r w:rsidRPr="009D570F">
        <w:rPr>
          <w:i/>
          <w:lang w:val="en-US"/>
        </w:rPr>
        <w:t xml:space="preserve">lez </w:t>
      </w:r>
      <w:r>
        <w:rPr>
          <w:i/>
          <w:lang w:val="en-US"/>
        </w:rPr>
        <w:t>et al. (</w:t>
      </w:r>
      <w:r w:rsidR="00EB40F1">
        <w:rPr>
          <w:i/>
          <w:lang w:val="en-US"/>
        </w:rPr>
        <w:t>“</w:t>
      </w:r>
      <w:r>
        <w:rPr>
          <w:i/>
          <w:lang w:val="en-US"/>
        </w:rPr>
        <w:t>Cotton Field</w:t>
      </w:r>
      <w:r w:rsidR="00EB40F1">
        <w:rPr>
          <w:i/>
          <w:lang w:val="en-US"/>
        </w:rPr>
        <w:t>”</w:t>
      </w:r>
      <w:r>
        <w:rPr>
          <w:i/>
          <w:lang w:val="en-US"/>
        </w:rPr>
        <w:t xml:space="preserve">) </w:t>
      </w:r>
      <w:r w:rsidRPr="009D570F">
        <w:rPr>
          <w:i/>
          <w:lang w:val="en-US"/>
        </w:rPr>
        <w:t>v. Mexico</w:t>
      </w:r>
      <w:r w:rsidRPr="009D570F">
        <w:rPr>
          <w:lang w:val="en-US"/>
        </w:rPr>
        <w:t xml:space="preserve">, </w:t>
      </w:r>
      <w:r>
        <w:rPr>
          <w:lang w:val="en-US"/>
        </w:rPr>
        <w:t xml:space="preserve">judgment of 16 November 2009, </w:t>
      </w:r>
      <w:r w:rsidRPr="009D570F">
        <w:rPr>
          <w:lang w:val="en-US"/>
        </w:rPr>
        <w:t xml:space="preserve">para. </w:t>
      </w:r>
      <w:r w:rsidRPr="00482647">
        <w:t>289.</w:t>
      </w:r>
      <w:r>
        <w:t xml:space="preserve"> </w:t>
      </w:r>
    </w:p>
  </w:footnote>
  <w:footnote w:id="22">
    <w:p w:rsidR="009345EA" w:rsidRPr="00041970" w:rsidRDefault="009345EA" w:rsidP="00D06B7B">
      <w:pPr>
        <w:pStyle w:val="FootnoteText"/>
      </w:pPr>
      <w:r>
        <w:tab/>
      </w:r>
      <w:r w:rsidRPr="00D06B7B">
        <w:rPr>
          <w:rStyle w:val="FootnoteReference"/>
        </w:rPr>
        <w:footnoteRef/>
      </w:r>
      <w:r>
        <w:t xml:space="preserve"> </w:t>
      </w:r>
      <w:r>
        <w:tab/>
        <w:t xml:space="preserve">See, for example, communications No. 213/1986, </w:t>
      </w:r>
      <w:r w:rsidRPr="00041970">
        <w:rPr>
          <w:i/>
        </w:rPr>
        <w:t>H.C.M.A. v. Netherlands</w:t>
      </w:r>
      <w:r>
        <w:t xml:space="preserve">, decision of inadmissibility adopted on 30 March 1989, para. 11.6; No. 275/1988, </w:t>
      </w:r>
      <w:r w:rsidRPr="00041970">
        <w:rPr>
          <w:i/>
        </w:rPr>
        <w:t>S.E. v. Argentina</w:t>
      </w:r>
      <w:r>
        <w:t xml:space="preserve">, decision of inadmissibility adopted on 26 March 1990, para. 5.5; Nos. 343-345/1988, </w:t>
      </w:r>
      <w:r w:rsidRPr="00041970">
        <w:rPr>
          <w:i/>
        </w:rPr>
        <w:t>R.A.V.N. et al. v. Argentina</w:t>
      </w:r>
      <w:r>
        <w:t xml:space="preserve">, decision of inadmissibility adopted on 26 March 1990, para. 5.5; and </w:t>
      </w:r>
      <w:r w:rsidRPr="00565299">
        <w:rPr>
          <w:i/>
        </w:rPr>
        <w:t>Rajapakse v. Sri Lanka</w:t>
      </w:r>
      <w:r w:rsidRPr="009A7391">
        <w:t>, para. 9.3.</w:t>
      </w:r>
      <w:r>
        <w:t xml:space="preserve"> </w:t>
      </w:r>
    </w:p>
  </w:footnote>
  <w:footnote w:id="23">
    <w:p w:rsidR="009345EA" w:rsidRPr="00683A34" w:rsidRDefault="009345EA" w:rsidP="00D06B7B">
      <w:pPr>
        <w:pStyle w:val="FootnoteText"/>
        <w:rPr>
          <w:lang w:val="en-US"/>
        </w:rPr>
      </w:pPr>
      <w:r>
        <w:tab/>
      </w:r>
      <w:r w:rsidRPr="00D06B7B">
        <w:rPr>
          <w:rStyle w:val="FootnoteReference"/>
        </w:rPr>
        <w:footnoteRef/>
      </w:r>
      <w:r>
        <w:t xml:space="preserve"> </w:t>
      </w:r>
      <w:r>
        <w:tab/>
      </w:r>
      <w:r w:rsidRPr="00565299">
        <w:t xml:space="preserve">See </w:t>
      </w:r>
      <w:r w:rsidRPr="00565299">
        <w:rPr>
          <w:i/>
        </w:rPr>
        <w:t>Rajapakse v. Sri Lanka</w:t>
      </w:r>
      <w:r w:rsidRPr="00565299">
        <w:t>, para. 9.3</w:t>
      </w:r>
      <w:r w:rsidRPr="009A7391">
        <w:t>.</w:t>
      </w:r>
    </w:p>
  </w:footnote>
  <w:footnote w:id="24">
    <w:p w:rsidR="009345EA" w:rsidRPr="00432FB9" w:rsidRDefault="009345EA" w:rsidP="00D06B7B">
      <w:pPr>
        <w:pStyle w:val="FootnoteText"/>
        <w:rPr>
          <w:lang w:val="en-US"/>
        </w:rPr>
      </w:pPr>
      <w:r>
        <w:tab/>
      </w:r>
      <w:r w:rsidRPr="00D06B7B">
        <w:rPr>
          <w:rStyle w:val="FootnoteReference"/>
        </w:rPr>
        <w:footnoteRef/>
      </w:r>
      <w:r>
        <w:t xml:space="preserve"> </w:t>
      </w:r>
      <w:r>
        <w:tab/>
        <w:t xml:space="preserve">See, for example, communications No. 1589/2007, </w:t>
      </w:r>
      <w:r w:rsidRPr="00A84395">
        <w:rPr>
          <w:i/>
        </w:rPr>
        <w:t>Gapirjanov v. Uzbekistan</w:t>
      </w:r>
      <w:r>
        <w:t xml:space="preserve">, Views adopted on 18 March 2010, para. 10, and No. 1862/2009, </w:t>
      </w:r>
      <w:r w:rsidRPr="00A84395">
        <w:rPr>
          <w:i/>
        </w:rPr>
        <w:t xml:space="preserve">Peiris </w:t>
      </w:r>
      <w:r>
        <w:rPr>
          <w:i/>
        </w:rPr>
        <w:t xml:space="preserve">et al. </w:t>
      </w:r>
      <w:r w:rsidRPr="00A84395">
        <w:rPr>
          <w:i/>
        </w:rPr>
        <w:t>v. Sri Lanka</w:t>
      </w:r>
      <w:r>
        <w:t xml:space="preserve">, Views adopted on 26 October 2011, para. 9. </w:t>
      </w:r>
    </w:p>
  </w:footnote>
  <w:footnote w:id="25">
    <w:p w:rsidR="009345EA" w:rsidRPr="00D0063F" w:rsidRDefault="009345EA" w:rsidP="00D06B7B">
      <w:pPr>
        <w:pStyle w:val="FootnoteText"/>
        <w:rPr>
          <w:lang w:val="en-US"/>
        </w:rPr>
      </w:pPr>
      <w:r>
        <w:tab/>
      </w:r>
      <w:r w:rsidRPr="00D06B7B">
        <w:rPr>
          <w:rStyle w:val="FootnoteReference"/>
        </w:rPr>
        <w:footnoteRef/>
      </w:r>
      <w:r>
        <w:t xml:space="preserve"> </w:t>
      </w:r>
      <w:r>
        <w:tab/>
        <w:t>See the Committee</w:t>
      </w:r>
      <w:r w:rsidR="00EB40F1">
        <w:t>’</w:t>
      </w:r>
      <w:r>
        <w:t xml:space="preserve">s general comment No. 20, </w:t>
      </w:r>
      <w:r w:rsidRPr="00B30428">
        <w:t xml:space="preserve">para. </w:t>
      </w:r>
      <w:r w:rsidRPr="009D570F">
        <w:t>13</w:t>
      </w:r>
      <w:r w:rsidRPr="00B30428">
        <w:t>.</w:t>
      </w:r>
      <w:r>
        <w:t xml:space="preserve"> </w:t>
      </w:r>
    </w:p>
  </w:footnote>
  <w:footnote w:id="26">
    <w:p w:rsidR="009345EA" w:rsidRPr="00C03230" w:rsidRDefault="009345EA" w:rsidP="00D06B7B">
      <w:pPr>
        <w:pStyle w:val="FootnoteText"/>
      </w:pPr>
      <w:r>
        <w:tab/>
      </w:r>
      <w:r w:rsidRPr="00D06B7B">
        <w:rPr>
          <w:rStyle w:val="FootnoteReference"/>
        </w:rPr>
        <w:footnoteRef/>
      </w:r>
      <w:r>
        <w:t xml:space="preserve"> </w:t>
      </w:r>
      <w:r>
        <w:tab/>
        <w:t xml:space="preserve">See, for example, </w:t>
      </w:r>
      <w:r w:rsidRPr="00D94CA6">
        <w:rPr>
          <w:i/>
        </w:rPr>
        <w:t>K.N.L.H. v. Peru</w:t>
      </w:r>
      <w:r>
        <w:t xml:space="preserve">, </w:t>
      </w:r>
      <w:r w:rsidRPr="00D94CA6">
        <w:t xml:space="preserve">para. 6.3, and </w:t>
      </w:r>
      <w:r>
        <w:t xml:space="preserve">communication No. </w:t>
      </w:r>
      <w:r w:rsidRPr="00D94CA6">
        <w:t>1608/2007</w:t>
      </w:r>
      <w:r>
        <w:t xml:space="preserve">, </w:t>
      </w:r>
      <w:r w:rsidRPr="00D94CA6">
        <w:rPr>
          <w:i/>
        </w:rPr>
        <w:t>L.M.R. v. Argentina</w:t>
      </w:r>
      <w:r>
        <w:t xml:space="preserve">, Views adopted on 29 March 2011, para. 9.2. </w:t>
      </w:r>
    </w:p>
  </w:footnote>
  <w:footnote w:id="27">
    <w:p w:rsidR="009345EA" w:rsidRPr="008A6644" w:rsidRDefault="009345EA" w:rsidP="00D06B7B">
      <w:pPr>
        <w:pStyle w:val="FootnoteText"/>
      </w:pPr>
      <w:r>
        <w:tab/>
      </w:r>
      <w:r w:rsidRPr="00D06B7B">
        <w:rPr>
          <w:rStyle w:val="FootnoteReference"/>
        </w:rPr>
        <w:footnoteRef/>
      </w:r>
      <w:r>
        <w:t xml:space="preserve"> </w:t>
      </w:r>
      <w:r>
        <w:tab/>
        <w:t>See, for example, c</w:t>
      </w:r>
      <w:r w:rsidRPr="003F6FAB">
        <w:t>ommunication No. 1956/2010</w:t>
      </w:r>
      <w:r>
        <w:t xml:space="preserve">, </w:t>
      </w:r>
      <w:r w:rsidRPr="008A6644">
        <w:rPr>
          <w:i/>
        </w:rPr>
        <w:t>Durić and Durić v. Bosnia and Herzegovina</w:t>
      </w:r>
      <w:r>
        <w:t xml:space="preserve">, Views adopted on </w:t>
      </w:r>
      <w:r w:rsidRPr="008A6644">
        <w:t>16 July 2014</w:t>
      </w:r>
      <w:r>
        <w:t>, para. 9.6.</w:t>
      </w:r>
      <w:r w:rsidRPr="004E764D">
        <w:t xml:space="preserve"> See</w:t>
      </w:r>
      <w:r>
        <w:t xml:space="preserve"> also </w:t>
      </w:r>
      <w:r w:rsidRPr="004E764D">
        <w:t>the Committee</w:t>
      </w:r>
      <w:r w:rsidR="00EB40F1">
        <w:t>’</w:t>
      </w:r>
      <w:r w:rsidRPr="004E764D">
        <w:t xml:space="preserve">s </w:t>
      </w:r>
      <w:r>
        <w:t>g</w:t>
      </w:r>
      <w:r w:rsidRPr="004E764D">
        <w:t xml:space="preserve">eneral </w:t>
      </w:r>
      <w:r>
        <w:t>c</w:t>
      </w:r>
      <w:r w:rsidRPr="004E764D">
        <w:t xml:space="preserve">omment No. 20, para. </w:t>
      </w:r>
      <w:r>
        <w:t>2</w:t>
      </w:r>
      <w:r w:rsidRPr="004E764D">
        <w:t>.</w:t>
      </w:r>
    </w:p>
  </w:footnote>
  <w:footnote w:id="28">
    <w:p w:rsidR="009345EA" w:rsidRPr="00886B02" w:rsidRDefault="009345EA" w:rsidP="00D06B7B">
      <w:pPr>
        <w:pStyle w:val="FootnoteText"/>
      </w:pPr>
      <w:r w:rsidRPr="00B063AC">
        <w:tab/>
      </w:r>
      <w:r w:rsidRPr="00D06B7B">
        <w:rPr>
          <w:rStyle w:val="FootnoteReference"/>
        </w:rPr>
        <w:footnoteRef/>
      </w:r>
      <w:r w:rsidRPr="00B063AC">
        <w:t xml:space="preserve"> </w:t>
      </w:r>
      <w:r w:rsidRPr="00B063AC">
        <w:tab/>
        <w:t>See, for example, communication</w:t>
      </w:r>
      <w:r>
        <w:t xml:space="preserve"> No. 760/1997, </w:t>
      </w:r>
      <w:r w:rsidRPr="00886B02">
        <w:rPr>
          <w:i/>
        </w:rPr>
        <w:t xml:space="preserve">Diergaardt </w:t>
      </w:r>
      <w:r>
        <w:rPr>
          <w:i/>
        </w:rPr>
        <w:t xml:space="preserve">et al. </w:t>
      </w:r>
      <w:r w:rsidRPr="00886B02">
        <w:rPr>
          <w:i/>
        </w:rPr>
        <w:t>v. Namibia</w:t>
      </w:r>
      <w:r>
        <w:t xml:space="preserve">, Views adopted on 25 July 2000, para. 10.10.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EA" w:rsidRPr="00D06B7B" w:rsidRDefault="009345EA" w:rsidP="00D06B7B">
    <w:pPr>
      <w:pStyle w:val="Header"/>
    </w:pPr>
    <w:r w:rsidRPr="00D06B7B">
      <w:t>CCPR/C/120/D/2256/2013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EA" w:rsidRPr="00D06B7B" w:rsidRDefault="009345EA" w:rsidP="00D06B7B">
    <w:pPr>
      <w:pStyle w:val="Header"/>
      <w:jc w:val="right"/>
    </w:pPr>
    <w:r w:rsidRPr="00D06B7B">
      <w:t>CCPR/C/120/D/2256/2013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2E"/>
    <w:rsid w:val="00046E92"/>
    <w:rsid w:val="0006523D"/>
    <w:rsid w:val="00065563"/>
    <w:rsid w:val="000A57CA"/>
    <w:rsid w:val="000F0F3E"/>
    <w:rsid w:val="00131D7A"/>
    <w:rsid w:val="00165C15"/>
    <w:rsid w:val="001A0998"/>
    <w:rsid w:val="001B0759"/>
    <w:rsid w:val="00223C8D"/>
    <w:rsid w:val="0024052C"/>
    <w:rsid w:val="00247E2C"/>
    <w:rsid w:val="00247F4A"/>
    <w:rsid w:val="002D4693"/>
    <w:rsid w:val="002D6C53"/>
    <w:rsid w:val="002F5595"/>
    <w:rsid w:val="00313921"/>
    <w:rsid w:val="003169EE"/>
    <w:rsid w:val="003307A9"/>
    <w:rsid w:val="00334F6A"/>
    <w:rsid w:val="00342AC8"/>
    <w:rsid w:val="003B4550"/>
    <w:rsid w:val="004224DA"/>
    <w:rsid w:val="00461253"/>
    <w:rsid w:val="004645ED"/>
    <w:rsid w:val="004678C9"/>
    <w:rsid w:val="00472FED"/>
    <w:rsid w:val="005042C2"/>
    <w:rsid w:val="00511120"/>
    <w:rsid w:val="00520E18"/>
    <w:rsid w:val="00671529"/>
    <w:rsid w:val="007268F9"/>
    <w:rsid w:val="007C52B0"/>
    <w:rsid w:val="008024B9"/>
    <w:rsid w:val="00817E57"/>
    <w:rsid w:val="00843F41"/>
    <w:rsid w:val="0088783B"/>
    <w:rsid w:val="008D3450"/>
    <w:rsid w:val="0090606E"/>
    <w:rsid w:val="009345EA"/>
    <w:rsid w:val="009411B4"/>
    <w:rsid w:val="00995FD7"/>
    <w:rsid w:val="009D0139"/>
    <w:rsid w:val="009F50C6"/>
    <w:rsid w:val="009F5CDC"/>
    <w:rsid w:val="00A23459"/>
    <w:rsid w:val="00A2552A"/>
    <w:rsid w:val="00A775CF"/>
    <w:rsid w:val="00A9462E"/>
    <w:rsid w:val="00AE53B4"/>
    <w:rsid w:val="00AF5A6A"/>
    <w:rsid w:val="00B06045"/>
    <w:rsid w:val="00B47F20"/>
    <w:rsid w:val="00B903E5"/>
    <w:rsid w:val="00BE0881"/>
    <w:rsid w:val="00BF3D9E"/>
    <w:rsid w:val="00C35A27"/>
    <w:rsid w:val="00CA1AEA"/>
    <w:rsid w:val="00D06B7B"/>
    <w:rsid w:val="00DD28AE"/>
    <w:rsid w:val="00DE2CF0"/>
    <w:rsid w:val="00DF5D99"/>
    <w:rsid w:val="00E02C2B"/>
    <w:rsid w:val="00E63373"/>
    <w:rsid w:val="00EB40F1"/>
    <w:rsid w:val="00ED6C48"/>
    <w:rsid w:val="00EF6E0B"/>
    <w:rsid w:val="00F41F0F"/>
    <w:rsid w:val="00F570F5"/>
    <w:rsid w:val="00F65F5D"/>
    <w:rsid w:val="00F86A3A"/>
    <w:rsid w:val="00FC03B4"/>
    <w:rsid w:val="00FE7DFF"/>
    <w:rsid w:val="00FF357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4392AA-1002-4932-AC74-0E89EDDC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styleId="CommentText">
    <w:name w:val="annotation text"/>
    <w:basedOn w:val="Normal"/>
    <w:link w:val="CommentTextChar"/>
    <w:semiHidden/>
    <w:rsid w:val="00D06B7B"/>
    <w:pPr>
      <w:spacing w:line="240" w:lineRule="auto"/>
    </w:pPr>
  </w:style>
  <w:style w:type="character" w:customStyle="1" w:styleId="CommentTextChar">
    <w:name w:val="Comment Text Char"/>
    <w:basedOn w:val="DefaultParagraphFont"/>
    <w:link w:val="CommentText"/>
    <w:semiHidden/>
    <w:rsid w:val="00D06B7B"/>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BB464-41FD-4B44-A3A2-1AAAC2F26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8</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1714462</vt:lpstr>
    </vt:vector>
  </TitlesOfParts>
  <Company>DCM</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1714462</dc:title>
  <dc:subject>CCPR/C/120/D/2256/2013</dc:subject>
  <dc:creator>Generic Desk Anglais</dc:creator>
  <cp:keywords/>
  <dc:description/>
  <cp:lastModifiedBy>Sarah Willig</cp:lastModifiedBy>
  <cp:revision>2</cp:revision>
  <dcterms:created xsi:type="dcterms:W3CDTF">2019-01-02T22:34:00Z</dcterms:created>
  <dcterms:modified xsi:type="dcterms:W3CDTF">2019-01-02T22:34:00Z</dcterms:modified>
</cp:coreProperties>
</file>