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557D58" w14:paraId="041BD850" w14:textId="77777777" w:rsidTr="00B6553F">
        <w:trPr>
          <w:cantSplit/>
          <w:trHeight w:hRule="exact" w:val="851"/>
        </w:trPr>
        <w:tc>
          <w:tcPr>
            <w:tcW w:w="1276" w:type="dxa"/>
            <w:tcBorders>
              <w:bottom w:val="single" w:sz="4" w:space="0" w:color="auto"/>
            </w:tcBorders>
            <w:vAlign w:val="bottom"/>
          </w:tcPr>
          <w:p w14:paraId="22173E15" w14:textId="77777777" w:rsidR="00B56E9C" w:rsidRPr="009C15C4" w:rsidRDefault="009C15C4" w:rsidP="009C15C4">
            <w:pPr>
              <w:spacing w:line="20" w:lineRule="exact"/>
              <w:rPr>
                <w:sz w:val="2"/>
              </w:rPr>
            </w:pPr>
            <w:r>
              <w:rPr>
                <w:rStyle w:val="CommentReference"/>
                <w:lang w:val="x-none"/>
              </w:rPr>
              <w:commentReference w:id="0"/>
            </w:r>
            <w:bookmarkStart w:id="1" w:name="_GoBack"/>
            <w:bookmarkEnd w:id="1"/>
          </w:p>
          <w:p w14:paraId="70B56E63" w14:textId="77777777" w:rsidR="009C15C4" w:rsidRPr="00557D58" w:rsidRDefault="009C15C4" w:rsidP="00B6553F">
            <w:pPr>
              <w:spacing w:after="80"/>
            </w:pPr>
          </w:p>
        </w:tc>
        <w:tc>
          <w:tcPr>
            <w:tcW w:w="2268" w:type="dxa"/>
            <w:tcBorders>
              <w:bottom w:val="single" w:sz="4" w:space="0" w:color="auto"/>
            </w:tcBorders>
            <w:vAlign w:val="bottom"/>
          </w:tcPr>
          <w:p w14:paraId="7B58C618" w14:textId="77777777" w:rsidR="00B56E9C" w:rsidRPr="00557D58" w:rsidRDefault="00B56E9C" w:rsidP="00B6553F">
            <w:pPr>
              <w:spacing w:after="80" w:line="300" w:lineRule="exact"/>
              <w:rPr>
                <w:b/>
                <w:sz w:val="24"/>
                <w:szCs w:val="24"/>
              </w:rPr>
            </w:pPr>
            <w:r w:rsidRPr="00557D58">
              <w:rPr>
                <w:sz w:val="28"/>
                <w:szCs w:val="28"/>
              </w:rPr>
              <w:t>United Nations</w:t>
            </w:r>
          </w:p>
        </w:tc>
        <w:tc>
          <w:tcPr>
            <w:tcW w:w="6095" w:type="dxa"/>
            <w:gridSpan w:val="2"/>
            <w:tcBorders>
              <w:bottom w:val="single" w:sz="4" w:space="0" w:color="auto"/>
            </w:tcBorders>
            <w:vAlign w:val="bottom"/>
          </w:tcPr>
          <w:p w14:paraId="17B489EC" w14:textId="77777777" w:rsidR="00B56E9C" w:rsidRPr="00557D58" w:rsidRDefault="008216A5" w:rsidP="002B642C">
            <w:pPr>
              <w:jc w:val="right"/>
            </w:pPr>
            <w:r w:rsidRPr="00557D58">
              <w:rPr>
                <w:sz w:val="40"/>
              </w:rPr>
              <w:t>CCPR</w:t>
            </w:r>
            <w:r w:rsidRPr="00557D58">
              <w:t>/C/1</w:t>
            </w:r>
            <w:r w:rsidR="00711F00" w:rsidRPr="00557D58">
              <w:t>1</w:t>
            </w:r>
            <w:r w:rsidR="006A2387" w:rsidRPr="00557D58">
              <w:t>4</w:t>
            </w:r>
            <w:r w:rsidRPr="00557D58">
              <w:t>/D/</w:t>
            </w:r>
            <w:r w:rsidR="006A2387" w:rsidRPr="00557D58">
              <w:t>2234</w:t>
            </w:r>
            <w:r w:rsidRPr="00557D58">
              <w:t>/</w:t>
            </w:r>
            <w:r w:rsidR="00AE50CE" w:rsidRPr="00557D58">
              <w:t>20</w:t>
            </w:r>
            <w:r w:rsidR="00540F02" w:rsidRPr="00557D58">
              <w:t>1</w:t>
            </w:r>
            <w:r w:rsidR="006A2387" w:rsidRPr="00557D58">
              <w:t>3</w:t>
            </w:r>
          </w:p>
        </w:tc>
      </w:tr>
      <w:tr w:rsidR="00B56E9C" w:rsidRPr="00557D58" w14:paraId="05C25A5C" w14:textId="77777777" w:rsidTr="00A9008E">
        <w:trPr>
          <w:cantSplit/>
          <w:trHeight w:hRule="exact" w:val="2706"/>
        </w:trPr>
        <w:tc>
          <w:tcPr>
            <w:tcW w:w="1276" w:type="dxa"/>
            <w:tcBorders>
              <w:top w:val="single" w:sz="4" w:space="0" w:color="auto"/>
              <w:bottom w:val="single" w:sz="12" w:space="0" w:color="auto"/>
            </w:tcBorders>
          </w:tcPr>
          <w:p w14:paraId="3B4623AB" w14:textId="77777777" w:rsidR="00B56E9C" w:rsidRPr="00557D58" w:rsidRDefault="00DE6BB0" w:rsidP="00B6553F">
            <w:pPr>
              <w:spacing w:before="120"/>
            </w:pPr>
            <w:r w:rsidRPr="00557D58">
              <w:rPr>
                <w:noProof/>
                <w:lang w:val="en-US"/>
              </w:rPr>
              <w:drawing>
                <wp:inline distT="0" distB="0" distL="0" distR="0" wp14:anchorId="7E89DAC0" wp14:editId="0999F70F">
                  <wp:extent cx="709295" cy="586105"/>
                  <wp:effectExtent l="0" t="0" r="0" b="4445"/>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9295" cy="58610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CD33037" w14:textId="77777777" w:rsidR="00B56E9C" w:rsidRPr="00557D58" w:rsidRDefault="00B56E9C" w:rsidP="00267F5F">
            <w:pPr>
              <w:spacing w:before="120" w:line="380" w:lineRule="exact"/>
              <w:rPr>
                <w:b/>
                <w:sz w:val="34"/>
                <w:szCs w:val="40"/>
              </w:rPr>
            </w:pPr>
            <w:r w:rsidRPr="00557D58">
              <w:rPr>
                <w:b/>
                <w:sz w:val="34"/>
                <w:szCs w:val="40"/>
              </w:rPr>
              <w:t xml:space="preserve">International </w:t>
            </w:r>
            <w:r w:rsidR="00060C3A" w:rsidRPr="00557D58">
              <w:rPr>
                <w:b/>
                <w:sz w:val="34"/>
                <w:szCs w:val="40"/>
              </w:rPr>
              <w:t>Covenant on</w:t>
            </w:r>
            <w:r w:rsidR="00060C3A" w:rsidRPr="00557D58">
              <w:rPr>
                <w:b/>
                <w:sz w:val="34"/>
                <w:szCs w:val="40"/>
              </w:rPr>
              <w:br/>
              <w:t>Civil and Political R</w:t>
            </w:r>
            <w:r w:rsidR="00703577" w:rsidRPr="00557D58">
              <w:rPr>
                <w:b/>
                <w:sz w:val="34"/>
                <w:szCs w:val="40"/>
              </w:rPr>
              <w:t>ights</w:t>
            </w:r>
          </w:p>
          <w:p w14:paraId="1CED6056" w14:textId="77777777" w:rsidR="00DE6BB0" w:rsidRPr="00557D58" w:rsidRDefault="00DE6BB0" w:rsidP="00267F5F">
            <w:pPr>
              <w:spacing w:before="120" w:line="380" w:lineRule="exact"/>
              <w:rPr>
                <w:sz w:val="34"/>
              </w:rPr>
            </w:pPr>
          </w:p>
        </w:tc>
        <w:tc>
          <w:tcPr>
            <w:tcW w:w="2835" w:type="dxa"/>
            <w:tcBorders>
              <w:top w:val="single" w:sz="4" w:space="0" w:color="auto"/>
              <w:bottom w:val="single" w:sz="12" w:space="0" w:color="auto"/>
            </w:tcBorders>
          </w:tcPr>
          <w:p w14:paraId="5995791D" w14:textId="77777777" w:rsidR="00B56E9C" w:rsidRPr="00557D58" w:rsidRDefault="008216A5" w:rsidP="008216A5">
            <w:pPr>
              <w:spacing w:before="240" w:line="240" w:lineRule="exact"/>
            </w:pPr>
            <w:r w:rsidRPr="00557D58">
              <w:t xml:space="preserve">Distr.: </w:t>
            </w:r>
            <w:r w:rsidR="002B642C" w:rsidRPr="00557D58">
              <w:t>General</w:t>
            </w:r>
          </w:p>
          <w:p w14:paraId="56543E60" w14:textId="77777777" w:rsidR="008216A5" w:rsidRPr="00557D58" w:rsidRDefault="003A6946" w:rsidP="008216A5">
            <w:pPr>
              <w:spacing w:line="240" w:lineRule="exact"/>
            </w:pPr>
            <w:r w:rsidRPr="00557D58">
              <w:t>2</w:t>
            </w:r>
            <w:r w:rsidR="002036FB">
              <w:t>1</w:t>
            </w:r>
            <w:r w:rsidR="00FF2478" w:rsidRPr="00557D58">
              <w:t xml:space="preserve"> October</w:t>
            </w:r>
            <w:r w:rsidR="003623E2" w:rsidRPr="00557D58">
              <w:t xml:space="preserve"> </w:t>
            </w:r>
            <w:r w:rsidR="006A2387" w:rsidRPr="00557D58">
              <w:t>2015</w:t>
            </w:r>
          </w:p>
          <w:p w14:paraId="78E9D7D7" w14:textId="77777777" w:rsidR="008216A5" w:rsidRPr="00557D58" w:rsidRDefault="008216A5" w:rsidP="008216A5">
            <w:pPr>
              <w:spacing w:line="240" w:lineRule="exact"/>
            </w:pPr>
          </w:p>
          <w:p w14:paraId="3E0A53AF" w14:textId="77777777" w:rsidR="008216A5" w:rsidRPr="00557D58" w:rsidRDefault="008216A5" w:rsidP="008216A5">
            <w:pPr>
              <w:spacing w:line="240" w:lineRule="exact"/>
            </w:pPr>
            <w:r w:rsidRPr="00557D58">
              <w:t>Original: English</w:t>
            </w:r>
          </w:p>
          <w:p w14:paraId="2D392EBA" w14:textId="77777777" w:rsidR="008C205D" w:rsidRPr="00557D58" w:rsidRDefault="008C205D" w:rsidP="008216A5">
            <w:pPr>
              <w:spacing w:line="240" w:lineRule="exact"/>
            </w:pPr>
          </w:p>
        </w:tc>
      </w:tr>
    </w:tbl>
    <w:p w14:paraId="0C112529" w14:textId="77777777" w:rsidR="008216A5" w:rsidRPr="00557D58" w:rsidRDefault="00C6782C" w:rsidP="00C6782C">
      <w:pPr>
        <w:spacing w:before="120"/>
        <w:rPr>
          <w:b/>
          <w:sz w:val="24"/>
          <w:szCs w:val="24"/>
        </w:rPr>
      </w:pPr>
      <w:r w:rsidRPr="00557D58">
        <w:rPr>
          <w:b/>
          <w:sz w:val="24"/>
          <w:szCs w:val="24"/>
        </w:rPr>
        <w:t>Human Rights Committee</w:t>
      </w:r>
    </w:p>
    <w:p w14:paraId="08CB500B" w14:textId="77777777" w:rsidR="003134AC" w:rsidRPr="00557D58" w:rsidRDefault="003134AC" w:rsidP="00C6782C">
      <w:pPr>
        <w:pStyle w:val="HChG"/>
      </w:pPr>
      <w:r w:rsidRPr="00557D58">
        <w:tab/>
      </w:r>
      <w:r w:rsidRPr="00557D58">
        <w:tab/>
        <w:t xml:space="preserve">Communication No. </w:t>
      </w:r>
      <w:r w:rsidR="006A2387" w:rsidRPr="00557D58">
        <w:t>2234</w:t>
      </w:r>
      <w:r w:rsidRPr="00557D58">
        <w:t>/20</w:t>
      </w:r>
      <w:r w:rsidR="00540F02" w:rsidRPr="00557D58">
        <w:t>1</w:t>
      </w:r>
      <w:r w:rsidR="006A2387" w:rsidRPr="00557D58">
        <w:t>3</w:t>
      </w:r>
    </w:p>
    <w:p w14:paraId="7ACA67AC" w14:textId="77777777" w:rsidR="003134AC" w:rsidRPr="00557D58" w:rsidRDefault="003134AC" w:rsidP="00572DE0">
      <w:pPr>
        <w:pStyle w:val="H1G"/>
      </w:pPr>
      <w:r w:rsidRPr="00557D58">
        <w:tab/>
      </w:r>
      <w:r w:rsidRPr="00557D58">
        <w:tab/>
      </w:r>
      <w:r w:rsidR="002B642C" w:rsidRPr="00557D58">
        <w:t>Views adopted by the Committee at its 114</w:t>
      </w:r>
      <w:r w:rsidR="003E1C55">
        <w:t>th</w:t>
      </w:r>
      <w:r w:rsidR="002B642C" w:rsidRPr="00557D58">
        <w:t xml:space="preserve"> session </w:t>
      </w:r>
      <w:r w:rsidR="002B642C" w:rsidRPr="00557D58">
        <w:br/>
        <w:t>(</w:t>
      </w:r>
      <w:r w:rsidR="002B642C" w:rsidRPr="00557D58">
        <w:rPr>
          <w:bCs/>
        </w:rPr>
        <w:t>29 June</w:t>
      </w:r>
      <w:r w:rsidR="00BD0AC4" w:rsidRPr="00557D58">
        <w:rPr>
          <w:bCs/>
        </w:rPr>
        <w:t>-</w:t>
      </w:r>
      <w:r w:rsidR="002B642C" w:rsidRPr="00557D58">
        <w:rPr>
          <w:bCs/>
        </w:rPr>
        <w:t>24 July 2015)</w:t>
      </w:r>
    </w:p>
    <w:p w14:paraId="41F81BBC" w14:textId="77777777" w:rsidR="006A2387" w:rsidRPr="00557D58" w:rsidRDefault="003134AC" w:rsidP="00895641">
      <w:pPr>
        <w:pStyle w:val="SingleTxtG"/>
        <w:ind w:left="4536" w:hanging="3402"/>
        <w:jc w:val="left"/>
        <w:rPr>
          <w:lang w:val="en-GB"/>
        </w:rPr>
      </w:pPr>
      <w:r w:rsidRPr="00557D58">
        <w:rPr>
          <w:i/>
          <w:lang w:val="en-GB"/>
        </w:rPr>
        <w:t>Submitted by:</w:t>
      </w:r>
      <w:r w:rsidRPr="00557D58">
        <w:rPr>
          <w:lang w:val="en-GB"/>
        </w:rPr>
        <w:tab/>
      </w:r>
      <w:r w:rsidR="006A2387" w:rsidRPr="00557D58">
        <w:rPr>
          <w:lang w:val="en-GB"/>
        </w:rPr>
        <w:t>M.T. (represented by counsel</w:t>
      </w:r>
      <w:r w:rsidR="006F0C14" w:rsidRPr="00557D58">
        <w:rPr>
          <w:lang w:val="en-GB"/>
        </w:rPr>
        <w:t xml:space="preserve">, the Redress Trust and the </w:t>
      </w:r>
      <w:r w:rsidR="0003204D" w:rsidRPr="002036FB">
        <w:rPr>
          <w:lang w:val="en-GB"/>
        </w:rPr>
        <w:t>International</w:t>
      </w:r>
      <w:r w:rsidR="0003204D">
        <w:rPr>
          <w:lang w:val="en-GB"/>
        </w:rPr>
        <w:t xml:space="preserve"> Federation for Human Rights</w:t>
      </w:r>
      <w:r w:rsidR="006A2387" w:rsidRPr="00557D58">
        <w:rPr>
          <w:lang w:val="en-GB"/>
        </w:rPr>
        <w:t>)</w:t>
      </w:r>
    </w:p>
    <w:p w14:paraId="664CC4A6" w14:textId="77777777" w:rsidR="003134AC" w:rsidRPr="00557D58" w:rsidRDefault="003134AC" w:rsidP="00895641">
      <w:pPr>
        <w:pStyle w:val="SingleTxtG"/>
        <w:ind w:left="4536" w:hanging="3402"/>
        <w:jc w:val="left"/>
        <w:rPr>
          <w:lang w:val="en-GB"/>
        </w:rPr>
      </w:pPr>
      <w:r w:rsidRPr="00557D58">
        <w:rPr>
          <w:i/>
          <w:lang w:val="en-GB"/>
        </w:rPr>
        <w:t>Alleged victim:</w:t>
      </w:r>
      <w:r w:rsidRPr="00557D58">
        <w:rPr>
          <w:lang w:val="en-GB"/>
        </w:rPr>
        <w:tab/>
        <w:t>The author</w:t>
      </w:r>
    </w:p>
    <w:p w14:paraId="2A210DD7" w14:textId="77777777" w:rsidR="003134AC" w:rsidRPr="00557D58" w:rsidRDefault="003134AC" w:rsidP="00895641">
      <w:pPr>
        <w:pStyle w:val="SingleTxtG"/>
        <w:ind w:left="4536" w:hanging="3402"/>
        <w:jc w:val="left"/>
        <w:rPr>
          <w:lang w:val="en-GB"/>
        </w:rPr>
      </w:pPr>
      <w:r w:rsidRPr="00557D58">
        <w:rPr>
          <w:i/>
          <w:lang w:val="en-GB"/>
        </w:rPr>
        <w:t>State party:</w:t>
      </w:r>
      <w:r w:rsidRPr="00557D58">
        <w:rPr>
          <w:lang w:val="en-GB"/>
        </w:rPr>
        <w:tab/>
      </w:r>
      <w:r w:rsidR="006A2387" w:rsidRPr="00557D58">
        <w:rPr>
          <w:lang w:val="en-GB"/>
        </w:rPr>
        <w:t>Uzbekistan</w:t>
      </w:r>
    </w:p>
    <w:p w14:paraId="511CBC68" w14:textId="77777777" w:rsidR="003134AC" w:rsidRPr="00895641" w:rsidRDefault="003134AC" w:rsidP="00895641">
      <w:pPr>
        <w:pStyle w:val="SingleTxtG"/>
        <w:ind w:left="4536" w:hanging="3402"/>
        <w:jc w:val="left"/>
        <w:rPr>
          <w:lang w:val="en-GB"/>
        </w:rPr>
      </w:pPr>
      <w:r w:rsidRPr="00557D58">
        <w:rPr>
          <w:i/>
          <w:lang w:val="en-GB"/>
        </w:rPr>
        <w:t>Date of communication:</w:t>
      </w:r>
      <w:r w:rsidRPr="00557D58">
        <w:rPr>
          <w:lang w:val="en-GB"/>
        </w:rPr>
        <w:tab/>
      </w:r>
      <w:r w:rsidR="00EF3514" w:rsidRPr="00557D58">
        <w:rPr>
          <w:lang w:val="en-GB"/>
        </w:rPr>
        <w:t>1</w:t>
      </w:r>
      <w:r w:rsidR="006A2387" w:rsidRPr="00557D58">
        <w:rPr>
          <w:lang w:val="en-GB"/>
        </w:rPr>
        <w:t xml:space="preserve">8 December </w:t>
      </w:r>
      <w:r w:rsidR="001844A0" w:rsidRPr="00557D58">
        <w:rPr>
          <w:lang w:val="en-GB"/>
        </w:rPr>
        <w:t>201</w:t>
      </w:r>
      <w:r w:rsidR="006A2387" w:rsidRPr="00557D58">
        <w:rPr>
          <w:lang w:val="en-GB"/>
        </w:rPr>
        <w:t>2</w:t>
      </w:r>
      <w:r w:rsidRPr="00557D58">
        <w:rPr>
          <w:lang w:val="en-GB"/>
        </w:rPr>
        <w:t xml:space="preserve"> (initial submission)</w:t>
      </w:r>
    </w:p>
    <w:p w14:paraId="5674D0AD" w14:textId="77777777" w:rsidR="003134AC" w:rsidRPr="00557D58" w:rsidRDefault="003134AC" w:rsidP="00895641">
      <w:pPr>
        <w:pStyle w:val="SingleTxtG"/>
        <w:ind w:left="4536" w:hanging="3402"/>
        <w:jc w:val="left"/>
        <w:rPr>
          <w:lang w:val="en-GB"/>
        </w:rPr>
      </w:pPr>
      <w:r w:rsidRPr="00557D58">
        <w:rPr>
          <w:i/>
          <w:lang w:val="en-GB"/>
        </w:rPr>
        <w:t>Document references:</w:t>
      </w:r>
      <w:r w:rsidRPr="00557D58">
        <w:rPr>
          <w:lang w:val="en-GB"/>
        </w:rPr>
        <w:tab/>
        <w:t>Special Rapporteur’s rule</w:t>
      </w:r>
      <w:r w:rsidR="00D46C27" w:rsidRPr="00557D58">
        <w:rPr>
          <w:lang w:val="en-GB"/>
        </w:rPr>
        <w:t xml:space="preserve"> </w:t>
      </w:r>
      <w:r w:rsidRPr="00557D58">
        <w:rPr>
          <w:lang w:val="en-GB"/>
        </w:rPr>
        <w:t xml:space="preserve">97 decision, transmitted to the State party on </w:t>
      </w:r>
      <w:r w:rsidR="006A2387" w:rsidRPr="00557D58">
        <w:rPr>
          <w:lang w:val="en-GB"/>
        </w:rPr>
        <w:t>5 February</w:t>
      </w:r>
      <w:r w:rsidR="007B412F" w:rsidRPr="00557D58">
        <w:rPr>
          <w:lang w:val="en-GB"/>
        </w:rPr>
        <w:t xml:space="preserve"> 201</w:t>
      </w:r>
      <w:r w:rsidR="006A2387" w:rsidRPr="00557D58">
        <w:rPr>
          <w:lang w:val="en-GB"/>
        </w:rPr>
        <w:t>3</w:t>
      </w:r>
      <w:r w:rsidRPr="00557D58">
        <w:rPr>
          <w:lang w:val="en-GB"/>
        </w:rPr>
        <w:t xml:space="preserve"> (not issued in a document form)</w:t>
      </w:r>
    </w:p>
    <w:p w14:paraId="5A765017" w14:textId="77777777" w:rsidR="003134AC" w:rsidRPr="00557D58" w:rsidRDefault="003134AC" w:rsidP="00895641">
      <w:pPr>
        <w:pStyle w:val="SingleTxtG"/>
        <w:ind w:left="4536" w:hanging="3402"/>
        <w:jc w:val="left"/>
        <w:rPr>
          <w:lang w:val="en-GB"/>
        </w:rPr>
      </w:pPr>
      <w:r w:rsidRPr="00557D58">
        <w:rPr>
          <w:i/>
          <w:lang w:val="en-GB"/>
        </w:rPr>
        <w:t>Date of adoption of Views:</w:t>
      </w:r>
      <w:r w:rsidRPr="00557D58">
        <w:rPr>
          <w:lang w:val="en-GB"/>
        </w:rPr>
        <w:tab/>
      </w:r>
      <w:r w:rsidR="002B642C" w:rsidRPr="00895641">
        <w:rPr>
          <w:lang w:val="en-GB"/>
        </w:rPr>
        <w:t>23</w:t>
      </w:r>
      <w:r w:rsidRPr="00557D58">
        <w:rPr>
          <w:lang w:val="en-GB"/>
        </w:rPr>
        <w:t xml:space="preserve"> </w:t>
      </w:r>
      <w:r w:rsidR="006A2387" w:rsidRPr="00557D58">
        <w:rPr>
          <w:lang w:val="en-GB"/>
        </w:rPr>
        <w:t>July</w:t>
      </w:r>
      <w:r w:rsidRPr="00557D58">
        <w:rPr>
          <w:lang w:val="en-GB"/>
        </w:rPr>
        <w:t xml:space="preserve"> 201</w:t>
      </w:r>
      <w:r w:rsidR="001844A0" w:rsidRPr="00557D58">
        <w:rPr>
          <w:lang w:val="en-GB"/>
        </w:rPr>
        <w:t>5</w:t>
      </w:r>
    </w:p>
    <w:p w14:paraId="07EB7AFE" w14:textId="77777777" w:rsidR="00E04CCE" w:rsidRPr="00557D58" w:rsidRDefault="00E04CCE" w:rsidP="00895641">
      <w:pPr>
        <w:pStyle w:val="SingleTxtG"/>
        <w:ind w:left="4536" w:hanging="3402"/>
        <w:jc w:val="left"/>
        <w:rPr>
          <w:lang w:val="en-GB"/>
        </w:rPr>
      </w:pPr>
      <w:r w:rsidRPr="00557D58">
        <w:rPr>
          <w:i/>
          <w:iCs/>
          <w:lang w:val="en-GB"/>
        </w:rPr>
        <w:t>Subject matter:</w:t>
      </w:r>
      <w:r w:rsidRPr="00557D58">
        <w:rPr>
          <w:lang w:val="en-GB"/>
        </w:rPr>
        <w:tab/>
      </w:r>
      <w:r w:rsidRPr="00557D58">
        <w:rPr>
          <w:lang w:val="en-GB"/>
        </w:rPr>
        <w:tab/>
        <w:t>Human rights defender convicted on false criminal charges and tortured while in detention</w:t>
      </w:r>
    </w:p>
    <w:p w14:paraId="6FDA26AE" w14:textId="77777777" w:rsidR="00A2791D" w:rsidRPr="00557D58" w:rsidRDefault="00A2791D" w:rsidP="00895641">
      <w:pPr>
        <w:pStyle w:val="SingleTxtG"/>
        <w:spacing w:before="120"/>
        <w:ind w:left="4536" w:hanging="3402"/>
        <w:jc w:val="left"/>
        <w:rPr>
          <w:i/>
          <w:iCs/>
          <w:lang w:val="en-GB"/>
        </w:rPr>
      </w:pPr>
      <w:r w:rsidRPr="00557D58">
        <w:rPr>
          <w:i/>
          <w:iCs/>
          <w:lang w:val="en-GB"/>
        </w:rPr>
        <w:t xml:space="preserve">Procedural issues: </w:t>
      </w:r>
      <w:r w:rsidRPr="00557D58">
        <w:rPr>
          <w:i/>
          <w:iCs/>
          <w:lang w:val="en-GB"/>
        </w:rPr>
        <w:tab/>
      </w:r>
      <w:r w:rsidRPr="00557D58">
        <w:rPr>
          <w:iCs/>
          <w:lang w:val="en-GB"/>
        </w:rPr>
        <w:tab/>
      </w:r>
      <w:r w:rsidR="008C4F79" w:rsidRPr="00557D58">
        <w:rPr>
          <w:iCs/>
          <w:lang w:val="en-GB"/>
        </w:rPr>
        <w:t>Admissibility</w:t>
      </w:r>
      <w:r w:rsidR="003E1C55">
        <w:rPr>
          <w:iCs/>
          <w:lang w:val="en-GB"/>
        </w:rPr>
        <w:t xml:space="preserve">; </w:t>
      </w:r>
      <w:r w:rsidR="008C4F79" w:rsidRPr="00557D58">
        <w:rPr>
          <w:iCs/>
          <w:lang w:val="en-GB"/>
        </w:rPr>
        <w:t>s</w:t>
      </w:r>
      <w:r w:rsidRPr="00557D58">
        <w:rPr>
          <w:iCs/>
          <w:lang w:val="en-GB"/>
        </w:rPr>
        <w:t>ubstantiation</w:t>
      </w:r>
      <w:r w:rsidRPr="00557D58">
        <w:rPr>
          <w:i/>
          <w:iCs/>
          <w:lang w:val="en-GB"/>
        </w:rPr>
        <w:t xml:space="preserve"> </w:t>
      </w:r>
    </w:p>
    <w:p w14:paraId="1F0ADB32" w14:textId="77777777" w:rsidR="003134AC" w:rsidRPr="00557D58" w:rsidRDefault="003134AC" w:rsidP="00895641">
      <w:pPr>
        <w:pStyle w:val="SingleTxtG"/>
        <w:ind w:left="4536" w:hanging="3402"/>
        <w:jc w:val="left"/>
        <w:rPr>
          <w:lang w:val="en-GB"/>
        </w:rPr>
      </w:pPr>
      <w:r w:rsidRPr="00557D58">
        <w:rPr>
          <w:i/>
          <w:iCs/>
          <w:lang w:val="en-GB"/>
        </w:rPr>
        <w:t xml:space="preserve">Substantive issues: </w:t>
      </w:r>
      <w:r w:rsidRPr="00557D58">
        <w:rPr>
          <w:i/>
          <w:iCs/>
          <w:lang w:val="en-GB"/>
        </w:rPr>
        <w:tab/>
      </w:r>
      <w:r w:rsidR="006A2387" w:rsidRPr="00557D58">
        <w:rPr>
          <w:lang w:val="en-GB"/>
        </w:rPr>
        <w:tab/>
      </w:r>
      <w:r w:rsidR="00A2791D" w:rsidRPr="00557D58">
        <w:rPr>
          <w:lang w:val="en-GB"/>
        </w:rPr>
        <w:t>Torture, arbitrary detention, ill-treatment, fair trial, arbitrary interference with privacy, freedoms of expression, association and assembly, discrimination, effective remedy</w:t>
      </w:r>
    </w:p>
    <w:p w14:paraId="7E87DBE9" w14:textId="77777777" w:rsidR="005C11C1" w:rsidRPr="00557D58" w:rsidRDefault="003134AC" w:rsidP="00895641">
      <w:pPr>
        <w:pStyle w:val="SingleTxtG"/>
        <w:ind w:left="4536" w:hanging="3402"/>
        <w:jc w:val="left"/>
        <w:rPr>
          <w:lang w:val="en-GB"/>
        </w:rPr>
      </w:pPr>
      <w:r w:rsidRPr="00557D58">
        <w:rPr>
          <w:i/>
          <w:iCs/>
          <w:lang w:val="en-GB"/>
        </w:rPr>
        <w:t>Articles of the Covenant:</w:t>
      </w:r>
      <w:r w:rsidRPr="00557D58">
        <w:rPr>
          <w:lang w:val="en-GB"/>
        </w:rPr>
        <w:t xml:space="preserve"> </w:t>
      </w:r>
      <w:r w:rsidRPr="00557D58">
        <w:rPr>
          <w:lang w:val="en-GB"/>
        </w:rPr>
        <w:tab/>
      </w:r>
      <w:r w:rsidR="004C290E" w:rsidRPr="00557D58">
        <w:rPr>
          <w:lang w:val="en-GB"/>
        </w:rPr>
        <w:t>2 (3) read separately and in conjunction with 7, 9 (1), (2) and (4), 10 (1) and</w:t>
      </w:r>
      <w:r w:rsidR="003E1C55">
        <w:rPr>
          <w:lang w:val="en-GB"/>
        </w:rPr>
        <w:t xml:space="preserve"> (</w:t>
      </w:r>
      <w:r w:rsidR="004C290E" w:rsidRPr="00557D58">
        <w:rPr>
          <w:lang w:val="en-GB"/>
        </w:rPr>
        <w:t>2</w:t>
      </w:r>
      <w:r w:rsidR="003E1C55">
        <w:rPr>
          <w:lang w:val="en-GB"/>
        </w:rPr>
        <w:t>)</w:t>
      </w:r>
      <w:r w:rsidR="004C290E" w:rsidRPr="00557D58">
        <w:rPr>
          <w:lang w:val="en-GB"/>
        </w:rPr>
        <w:t xml:space="preserve"> (a), 14 (1) and (3) (b) and (e) and (5), </w:t>
      </w:r>
      <w:r w:rsidR="00A2791D" w:rsidRPr="00557D58">
        <w:rPr>
          <w:lang w:val="en-GB"/>
        </w:rPr>
        <w:t xml:space="preserve">17, </w:t>
      </w:r>
      <w:r w:rsidR="004C290E" w:rsidRPr="00557D58">
        <w:rPr>
          <w:lang w:val="en-GB"/>
        </w:rPr>
        <w:t>19 (2), 21, 22 and 26</w:t>
      </w:r>
    </w:p>
    <w:p w14:paraId="3D0C762D" w14:textId="77777777" w:rsidR="003134AC" w:rsidRPr="00557D58" w:rsidRDefault="003134AC" w:rsidP="00895641">
      <w:pPr>
        <w:pStyle w:val="SingleTxtG"/>
        <w:ind w:left="4536" w:hanging="3402"/>
        <w:jc w:val="left"/>
        <w:rPr>
          <w:lang w:val="en-GB"/>
        </w:rPr>
      </w:pPr>
      <w:r w:rsidRPr="00557D58">
        <w:rPr>
          <w:i/>
          <w:iCs/>
          <w:lang w:val="en-GB"/>
        </w:rPr>
        <w:t>Articles of the Optional Protocol:</w:t>
      </w:r>
      <w:r w:rsidR="00735F4E" w:rsidRPr="00557D58">
        <w:rPr>
          <w:i/>
          <w:iCs/>
          <w:lang w:val="en-GB"/>
        </w:rPr>
        <w:tab/>
      </w:r>
      <w:r w:rsidR="006A2387" w:rsidRPr="00557D58">
        <w:rPr>
          <w:i/>
          <w:iCs/>
          <w:lang w:val="en-GB"/>
        </w:rPr>
        <w:tab/>
      </w:r>
      <w:r w:rsidR="004E01F0" w:rsidRPr="00557D58">
        <w:rPr>
          <w:iCs/>
          <w:lang w:val="en-GB"/>
        </w:rPr>
        <w:t>2</w:t>
      </w:r>
    </w:p>
    <w:p w14:paraId="221E71FE" w14:textId="77777777" w:rsidR="003134AC" w:rsidRPr="00557D58" w:rsidRDefault="003134AC" w:rsidP="003134AC">
      <w:pPr>
        <w:pStyle w:val="HChG"/>
      </w:pPr>
      <w:r w:rsidRPr="00557D58">
        <w:br w:type="page"/>
      </w:r>
      <w:r w:rsidRPr="00557D58">
        <w:lastRenderedPageBreak/>
        <w:t>Annex</w:t>
      </w:r>
    </w:p>
    <w:p w14:paraId="0507E85B" w14:textId="77777777" w:rsidR="003134AC" w:rsidRPr="00557D58" w:rsidRDefault="003134AC" w:rsidP="003134AC">
      <w:pPr>
        <w:pStyle w:val="HChG"/>
        <w:rPr>
          <w:bCs/>
        </w:rPr>
      </w:pPr>
      <w:r w:rsidRPr="00557D58">
        <w:tab/>
      </w:r>
      <w:r w:rsidRPr="00557D58">
        <w:tab/>
        <w:t xml:space="preserve">Views of the Human Rights Committee under article 5 </w:t>
      </w:r>
      <w:r w:rsidR="003E1C55">
        <w:t>(</w:t>
      </w:r>
      <w:r w:rsidRPr="00557D58">
        <w:t>4</w:t>
      </w:r>
      <w:r w:rsidR="003E1C55">
        <w:t>)</w:t>
      </w:r>
      <w:r w:rsidRPr="00557D58">
        <w:t xml:space="preserve"> of the Optional Protocol to the International Covenant on Civil and Political rights (</w:t>
      </w:r>
      <w:r w:rsidR="00744227" w:rsidRPr="00557D58">
        <w:t xml:space="preserve">114th </w:t>
      </w:r>
      <w:r w:rsidRPr="00557D58">
        <w:rPr>
          <w:bCs/>
        </w:rPr>
        <w:t>session)</w:t>
      </w:r>
    </w:p>
    <w:p w14:paraId="1B699EB0" w14:textId="77777777" w:rsidR="003134AC" w:rsidRPr="00557D58" w:rsidRDefault="003134AC" w:rsidP="003134AC">
      <w:pPr>
        <w:pStyle w:val="SingleTxtG"/>
        <w:rPr>
          <w:b/>
          <w:bCs/>
          <w:lang w:val="en-GB"/>
        </w:rPr>
      </w:pPr>
      <w:r w:rsidRPr="00557D58">
        <w:rPr>
          <w:lang w:val="en-GB"/>
        </w:rPr>
        <w:t>concerning</w:t>
      </w:r>
    </w:p>
    <w:p w14:paraId="3DF97F2F" w14:textId="77777777" w:rsidR="00284B32" w:rsidRPr="00557D58" w:rsidRDefault="003134AC" w:rsidP="00895641">
      <w:pPr>
        <w:pStyle w:val="HChG"/>
        <w:rPr>
          <w:szCs w:val="24"/>
          <w:lang w:eastAsia="en-GB"/>
        </w:rPr>
      </w:pPr>
      <w:r w:rsidRPr="00557D58">
        <w:tab/>
      </w:r>
      <w:r w:rsidRPr="00557D58">
        <w:tab/>
        <w:t xml:space="preserve">Communication No. </w:t>
      </w:r>
      <w:r w:rsidR="006A2387" w:rsidRPr="00557D58">
        <w:t>2234</w:t>
      </w:r>
      <w:r w:rsidRPr="00557D58">
        <w:t>/</w:t>
      </w:r>
      <w:r w:rsidR="00A9008E" w:rsidRPr="00557D58">
        <w:t>201</w:t>
      </w:r>
      <w:r w:rsidR="006A2387" w:rsidRPr="00557D58">
        <w:t>3</w:t>
      </w:r>
      <w:r w:rsidR="00DE6BB0" w:rsidRPr="00895641">
        <w:rPr>
          <w:rStyle w:val="FootnoteReference"/>
          <w:bCs/>
          <w:sz w:val="20"/>
          <w:vertAlign w:val="baseline"/>
        </w:rPr>
        <w:footnoteReference w:customMarkFollows="1" w:id="2"/>
        <w:t>*</w:t>
      </w:r>
    </w:p>
    <w:p w14:paraId="2790FF39" w14:textId="77777777" w:rsidR="006A2387" w:rsidRPr="00557D58" w:rsidRDefault="006A2387" w:rsidP="00895641">
      <w:pPr>
        <w:pStyle w:val="SingleTxtG"/>
        <w:ind w:left="4536" w:hanging="3402"/>
        <w:jc w:val="left"/>
        <w:rPr>
          <w:lang w:val="en-GB"/>
        </w:rPr>
      </w:pPr>
      <w:r w:rsidRPr="00557D58">
        <w:rPr>
          <w:i/>
          <w:lang w:val="en-GB"/>
        </w:rPr>
        <w:t>Submitted by:</w:t>
      </w:r>
      <w:r w:rsidRPr="00557D58">
        <w:rPr>
          <w:lang w:val="en-GB"/>
        </w:rPr>
        <w:tab/>
        <w:t>M.T. (represented by counsel</w:t>
      </w:r>
      <w:r w:rsidR="006F0C14" w:rsidRPr="00557D58">
        <w:rPr>
          <w:lang w:val="en-GB"/>
        </w:rPr>
        <w:t xml:space="preserve">, the Redress Trust, and the </w:t>
      </w:r>
      <w:r w:rsidR="000B71F4">
        <w:rPr>
          <w:lang w:val="en-GB"/>
        </w:rPr>
        <w:t>International Federation for Human Rights</w:t>
      </w:r>
      <w:r w:rsidRPr="00557D58">
        <w:rPr>
          <w:lang w:val="en-GB"/>
        </w:rPr>
        <w:t>)</w:t>
      </w:r>
    </w:p>
    <w:p w14:paraId="009BFCB0" w14:textId="77777777" w:rsidR="006A2387" w:rsidRPr="00557D58" w:rsidRDefault="006A2387" w:rsidP="00895641">
      <w:pPr>
        <w:pStyle w:val="SingleTxtG"/>
        <w:ind w:left="4536" w:hanging="3402"/>
        <w:jc w:val="left"/>
        <w:rPr>
          <w:lang w:val="en-GB"/>
        </w:rPr>
      </w:pPr>
      <w:r w:rsidRPr="00557D58">
        <w:rPr>
          <w:i/>
          <w:lang w:val="en-GB"/>
        </w:rPr>
        <w:t>Alleged victim:</w:t>
      </w:r>
      <w:r w:rsidRPr="00557D58">
        <w:rPr>
          <w:lang w:val="en-GB"/>
        </w:rPr>
        <w:tab/>
        <w:t>The author</w:t>
      </w:r>
    </w:p>
    <w:p w14:paraId="7B398A48" w14:textId="77777777" w:rsidR="006A2387" w:rsidRPr="00557D58" w:rsidRDefault="006A2387" w:rsidP="00895641">
      <w:pPr>
        <w:pStyle w:val="SingleTxtG"/>
        <w:ind w:left="4536" w:hanging="3402"/>
        <w:jc w:val="left"/>
        <w:rPr>
          <w:lang w:val="en-GB"/>
        </w:rPr>
      </w:pPr>
      <w:r w:rsidRPr="00557D58">
        <w:rPr>
          <w:i/>
          <w:lang w:val="en-GB"/>
        </w:rPr>
        <w:t>State party:</w:t>
      </w:r>
      <w:r w:rsidRPr="00557D58">
        <w:rPr>
          <w:lang w:val="en-GB"/>
        </w:rPr>
        <w:tab/>
        <w:t>Uzbekistan</w:t>
      </w:r>
    </w:p>
    <w:p w14:paraId="697ADBA6" w14:textId="77777777" w:rsidR="006A2387" w:rsidRPr="00557D58" w:rsidRDefault="006A2387" w:rsidP="00895641">
      <w:pPr>
        <w:pStyle w:val="SingleTxtG"/>
        <w:ind w:left="4536" w:hanging="3402"/>
        <w:jc w:val="left"/>
        <w:rPr>
          <w:lang w:val="en-GB"/>
        </w:rPr>
      </w:pPr>
      <w:r w:rsidRPr="00557D58">
        <w:rPr>
          <w:i/>
          <w:lang w:val="en-GB"/>
        </w:rPr>
        <w:t>Date of communication:</w:t>
      </w:r>
      <w:r w:rsidRPr="00557D58">
        <w:rPr>
          <w:lang w:val="en-GB"/>
        </w:rPr>
        <w:tab/>
        <w:t>18 December 2012</w:t>
      </w:r>
      <w:r w:rsidR="008C205D" w:rsidRPr="00557D58">
        <w:rPr>
          <w:lang w:val="en-GB"/>
        </w:rPr>
        <w:t xml:space="preserve"> (initial submission)</w:t>
      </w:r>
    </w:p>
    <w:p w14:paraId="29495F79" w14:textId="77777777" w:rsidR="003134AC" w:rsidRPr="00557D58" w:rsidRDefault="003134AC" w:rsidP="006A2387">
      <w:pPr>
        <w:pStyle w:val="SingleTxtG"/>
        <w:rPr>
          <w:lang w:val="en-GB"/>
        </w:rPr>
      </w:pPr>
      <w:r w:rsidRPr="00557D58">
        <w:rPr>
          <w:lang w:val="en-GB"/>
        </w:rPr>
        <w:tab/>
      </w:r>
      <w:r w:rsidRPr="00557D58">
        <w:rPr>
          <w:i/>
          <w:lang w:val="en-GB"/>
        </w:rPr>
        <w:t>The Human Rights Committee</w:t>
      </w:r>
      <w:r w:rsidRPr="00557D58">
        <w:rPr>
          <w:lang w:val="en-GB"/>
        </w:rPr>
        <w:t xml:space="preserve">, established under article 28 of the International Covenant on Civil and Political Rights, </w:t>
      </w:r>
    </w:p>
    <w:p w14:paraId="7EE07B92" w14:textId="77777777" w:rsidR="003134AC" w:rsidRPr="00557D58" w:rsidRDefault="003134AC" w:rsidP="003134AC">
      <w:pPr>
        <w:pStyle w:val="SingleTxtG"/>
        <w:rPr>
          <w:lang w:val="en-GB"/>
        </w:rPr>
      </w:pPr>
      <w:r w:rsidRPr="00557D58">
        <w:rPr>
          <w:lang w:val="en-GB"/>
        </w:rPr>
        <w:tab/>
      </w:r>
      <w:r w:rsidRPr="00557D58">
        <w:rPr>
          <w:i/>
          <w:lang w:val="en-GB"/>
        </w:rPr>
        <w:t xml:space="preserve">Meeting </w:t>
      </w:r>
      <w:r w:rsidRPr="00895641">
        <w:rPr>
          <w:lang w:val="en-GB"/>
        </w:rPr>
        <w:t>on</w:t>
      </w:r>
      <w:r w:rsidRPr="00557D58">
        <w:rPr>
          <w:lang w:val="en-GB"/>
        </w:rPr>
        <w:t xml:space="preserve"> </w:t>
      </w:r>
      <w:r w:rsidR="002B642C" w:rsidRPr="00895641">
        <w:rPr>
          <w:lang w:val="en-GB"/>
        </w:rPr>
        <w:t>23</w:t>
      </w:r>
      <w:r w:rsidRPr="00557D58">
        <w:rPr>
          <w:lang w:val="en-GB"/>
        </w:rPr>
        <w:t xml:space="preserve"> </w:t>
      </w:r>
      <w:r w:rsidR="006A2387" w:rsidRPr="00557D58">
        <w:rPr>
          <w:lang w:val="en-GB"/>
        </w:rPr>
        <w:t>July</w:t>
      </w:r>
      <w:r w:rsidRPr="00557D58">
        <w:rPr>
          <w:lang w:val="en-GB"/>
        </w:rPr>
        <w:t xml:space="preserve"> 201</w:t>
      </w:r>
      <w:r w:rsidR="001844A0" w:rsidRPr="00557D58">
        <w:rPr>
          <w:lang w:val="en-GB"/>
        </w:rPr>
        <w:t>5</w:t>
      </w:r>
      <w:r w:rsidRPr="00557D58">
        <w:rPr>
          <w:lang w:val="en-GB"/>
        </w:rPr>
        <w:t>,</w:t>
      </w:r>
    </w:p>
    <w:p w14:paraId="04F18F59" w14:textId="77777777" w:rsidR="003134AC" w:rsidRPr="00557D58" w:rsidRDefault="003134AC" w:rsidP="003134AC">
      <w:pPr>
        <w:pStyle w:val="SingleTxtG"/>
        <w:rPr>
          <w:lang w:val="en-GB"/>
        </w:rPr>
      </w:pPr>
      <w:r w:rsidRPr="00557D58">
        <w:rPr>
          <w:lang w:val="en-GB"/>
        </w:rPr>
        <w:tab/>
      </w:r>
      <w:r w:rsidRPr="00557D58">
        <w:rPr>
          <w:i/>
          <w:lang w:val="en-GB"/>
        </w:rPr>
        <w:t>Having concluded</w:t>
      </w:r>
      <w:r w:rsidRPr="00557D58">
        <w:rPr>
          <w:lang w:val="en-GB"/>
        </w:rPr>
        <w:t xml:space="preserve"> its consideration of communication No. </w:t>
      </w:r>
      <w:r w:rsidR="006A2387" w:rsidRPr="00557D58">
        <w:rPr>
          <w:lang w:val="en-GB"/>
        </w:rPr>
        <w:t>2234</w:t>
      </w:r>
      <w:r w:rsidRPr="00557D58">
        <w:rPr>
          <w:lang w:val="en-GB"/>
        </w:rPr>
        <w:t>/20</w:t>
      </w:r>
      <w:r w:rsidR="001844A0" w:rsidRPr="00557D58">
        <w:rPr>
          <w:lang w:val="en-GB"/>
        </w:rPr>
        <w:t>1</w:t>
      </w:r>
      <w:r w:rsidR="006A2387" w:rsidRPr="00557D58">
        <w:rPr>
          <w:lang w:val="en-GB"/>
        </w:rPr>
        <w:t>3</w:t>
      </w:r>
      <w:r w:rsidRPr="00557D58">
        <w:rPr>
          <w:lang w:val="en-GB"/>
        </w:rPr>
        <w:t xml:space="preserve">, submitted to </w:t>
      </w:r>
      <w:r w:rsidR="003E1C55">
        <w:rPr>
          <w:lang w:val="en-GB"/>
        </w:rPr>
        <w:t>it</w:t>
      </w:r>
      <w:r w:rsidRPr="00557D58">
        <w:rPr>
          <w:lang w:val="en-GB"/>
        </w:rPr>
        <w:t xml:space="preserve"> under the Optional Protocol to the Covenant,</w:t>
      </w:r>
    </w:p>
    <w:p w14:paraId="4214EDD3" w14:textId="77777777" w:rsidR="003134AC" w:rsidRPr="00557D58" w:rsidRDefault="003134AC" w:rsidP="003134AC">
      <w:pPr>
        <w:pStyle w:val="SingleTxtG"/>
        <w:rPr>
          <w:lang w:val="en-GB"/>
        </w:rPr>
      </w:pPr>
      <w:r w:rsidRPr="00557D58">
        <w:rPr>
          <w:lang w:val="en-GB"/>
        </w:rPr>
        <w:tab/>
      </w:r>
      <w:r w:rsidRPr="00557D58">
        <w:rPr>
          <w:i/>
          <w:lang w:val="en-GB"/>
        </w:rPr>
        <w:t>Having taken into account</w:t>
      </w:r>
      <w:r w:rsidRPr="00557D58">
        <w:rPr>
          <w:lang w:val="en-GB"/>
        </w:rPr>
        <w:t xml:space="preserve"> all written information made available to it by the author of the communication and the State party,</w:t>
      </w:r>
    </w:p>
    <w:p w14:paraId="37F47CBD" w14:textId="77777777" w:rsidR="003134AC" w:rsidRPr="00557D58" w:rsidRDefault="003134AC" w:rsidP="003134AC">
      <w:pPr>
        <w:pStyle w:val="SingleTxtG"/>
        <w:rPr>
          <w:lang w:val="en-GB"/>
        </w:rPr>
      </w:pPr>
      <w:r w:rsidRPr="00557D58">
        <w:rPr>
          <w:lang w:val="en-GB"/>
        </w:rPr>
        <w:tab/>
      </w:r>
      <w:r w:rsidRPr="00557D58">
        <w:rPr>
          <w:i/>
          <w:lang w:val="en-GB"/>
        </w:rPr>
        <w:t xml:space="preserve">Adopts </w:t>
      </w:r>
      <w:r w:rsidRPr="00895641">
        <w:rPr>
          <w:iCs/>
          <w:lang w:val="en-GB"/>
        </w:rPr>
        <w:t>the following</w:t>
      </w:r>
      <w:r w:rsidRPr="00557D58">
        <w:rPr>
          <w:lang w:val="en-GB"/>
        </w:rPr>
        <w:t>:</w:t>
      </w:r>
    </w:p>
    <w:p w14:paraId="39622445" w14:textId="77777777" w:rsidR="002B642C" w:rsidRPr="00557D58" w:rsidRDefault="003134AC" w:rsidP="002B642C">
      <w:pPr>
        <w:pStyle w:val="H1G"/>
      </w:pPr>
      <w:r w:rsidRPr="00557D58">
        <w:tab/>
      </w:r>
      <w:r w:rsidRPr="00557D58">
        <w:tab/>
        <w:t xml:space="preserve">Views under article 5 </w:t>
      </w:r>
      <w:r w:rsidR="003E1C55">
        <w:t>(</w:t>
      </w:r>
      <w:r w:rsidRPr="00557D58">
        <w:t>4</w:t>
      </w:r>
      <w:r w:rsidR="003E1C55">
        <w:t>)</w:t>
      </w:r>
      <w:r w:rsidRPr="00557D58">
        <w:t xml:space="preserve"> of the Optional Protocol</w:t>
      </w:r>
      <w:r w:rsidR="002B642C" w:rsidRPr="00557D58">
        <w:t xml:space="preserve"> </w:t>
      </w:r>
    </w:p>
    <w:p w14:paraId="05163B18" w14:textId="77777777" w:rsidR="006A2387" w:rsidRPr="00557D58" w:rsidRDefault="006A2387">
      <w:pPr>
        <w:pStyle w:val="SingleTxtG"/>
        <w:rPr>
          <w:lang w:val="en-GB"/>
        </w:rPr>
      </w:pPr>
      <w:r w:rsidRPr="00557D58">
        <w:rPr>
          <w:lang w:val="en-GB"/>
        </w:rPr>
        <w:t>1.</w:t>
      </w:r>
      <w:r w:rsidRPr="00557D58">
        <w:rPr>
          <w:lang w:val="en-GB"/>
        </w:rPr>
        <w:tab/>
        <w:t xml:space="preserve">The author of the communication is M.T., </w:t>
      </w:r>
      <w:r w:rsidR="00F914D6" w:rsidRPr="00557D58">
        <w:rPr>
          <w:lang w:val="en-GB"/>
        </w:rPr>
        <w:t xml:space="preserve">an </w:t>
      </w:r>
      <w:r w:rsidRPr="00557D58">
        <w:rPr>
          <w:lang w:val="en-GB"/>
        </w:rPr>
        <w:t xml:space="preserve">Uzbek national, born in 1962. </w:t>
      </w:r>
      <w:r w:rsidR="00742421" w:rsidRPr="00557D58">
        <w:rPr>
          <w:lang w:val="en-GB"/>
        </w:rPr>
        <w:t>She</w:t>
      </w:r>
      <w:r w:rsidR="00F914D6" w:rsidRPr="00557D58">
        <w:rPr>
          <w:lang w:val="en-GB"/>
        </w:rPr>
        <w:t xml:space="preserve"> </w:t>
      </w:r>
      <w:r w:rsidR="000965A7">
        <w:rPr>
          <w:lang w:val="en-GB"/>
        </w:rPr>
        <w:t xml:space="preserve">has </w:t>
      </w:r>
      <w:r w:rsidR="00F914D6" w:rsidRPr="00557D58">
        <w:rPr>
          <w:lang w:val="en-GB"/>
        </w:rPr>
        <w:t>reside</w:t>
      </w:r>
      <w:r w:rsidR="000965A7">
        <w:rPr>
          <w:lang w:val="en-GB"/>
        </w:rPr>
        <w:t>d</w:t>
      </w:r>
      <w:r w:rsidR="00F914D6" w:rsidRPr="00557D58">
        <w:rPr>
          <w:lang w:val="en-GB"/>
        </w:rPr>
        <w:t xml:space="preserve"> in France, where she was granted refugee status, s</w:t>
      </w:r>
      <w:r w:rsidRPr="00557D58">
        <w:rPr>
          <w:lang w:val="en-GB"/>
        </w:rPr>
        <w:t xml:space="preserve">ince 15 March 2009. She is an independent journalist and founder of the </w:t>
      </w:r>
      <w:r w:rsidR="000965A7" w:rsidRPr="00557D58">
        <w:rPr>
          <w:lang w:val="en-GB"/>
        </w:rPr>
        <w:t>O’tyuraklar</w:t>
      </w:r>
      <w:r w:rsidR="000965A7">
        <w:rPr>
          <w:lang w:val="en-GB"/>
        </w:rPr>
        <w:t xml:space="preserve"> </w:t>
      </w:r>
      <w:r w:rsidRPr="00557D58">
        <w:rPr>
          <w:lang w:val="en-GB"/>
        </w:rPr>
        <w:t xml:space="preserve">human rights </w:t>
      </w:r>
      <w:r w:rsidR="00192AEF" w:rsidRPr="00557D58">
        <w:rPr>
          <w:lang w:val="en-GB"/>
        </w:rPr>
        <w:t>organization</w:t>
      </w:r>
      <w:r w:rsidRPr="00557D58">
        <w:rPr>
          <w:lang w:val="en-GB"/>
        </w:rPr>
        <w:t xml:space="preserve">. She claims to be a victim of violations by Uzbekistan of article 2 (3) read separately and in conjunction with articles 7, 9 (1), (2) and (4), 10 (1) and </w:t>
      </w:r>
      <w:r w:rsidR="000965A7">
        <w:rPr>
          <w:lang w:val="en-GB"/>
        </w:rPr>
        <w:t>(</w:t>
      </w:r>
      <w:r w:rsidRPr="00557D58">
        <w:rPr>
          <w:lang w:val="en-GB"/>
        </w:rPr>
        <w:t>2</w:t>
      </w:r>
      <w:r w:rsidR="000965A7">
        <w:rPr>
          <w:lang w:val="en-GB"/>
        </w:rPr>
        <w:t>)</w:t>
      </w:r>
      <w:r w:rsidRPr="00557D58">
        <w:rPr>
          <w:lang w:val="en-GB"/>
        </w:rPr>
        <w:t xml:space="preserve"> (a), 14 (1) and (3) (b) and (e) and (5), 19 (2), 21, 22 and 26. The author is represented by </w:t>
      </w:r>
      <w:r w:rsidR="00A442AD" w:rsidRPr="00557D58">
        <w:rPr>
          <w:lang w:val="en-GB"/>
        </w:rPr>
        <w:t>counsel</w:t>
      </w:r>
      <w:r w:rsidRPr="00557D58">
        <w:rPr>
          <w:lang w:val="en-GB"/>
        </w:rPr>
        <w:t>.</w:t>
      </w:r>
      <w:r w:rsidR="00EB1AF3" w:rsidRPr="00557D58">
        <w:rPr>
          <w:rStyle w:val="FootnoteReference"/>
          <w:lang w:val="en-GB"/>
        </w:rPr>
        <w:footnoteReference w:id="3"/>
      </w:r>
    </w:p>
    <w:p w14:paraId="40E5BAE5" w14:textId="77777777" w:rsidR="006A2387" w:rsidRPr="00557D58" w:rsidRDefault="008C205D" w:rsidP="008C205D">
      <w:pPr>
        <w:pStyle w:val="H23G"/>
      </w:pPr>
      <w:r w:rsidRPr="00557D58">
        <w:lastRenderedPageBreak/>
        <w:tab/>
      </w:r>
      <w:r w:rsidRPr="00557D58">
        <w:tab/>
      </w:r>
      <w:r w:rsidR="006A2387" w:rsidRPr="00557D58">
        <w:t>The facts as presented by the author</w:t>
      </w:r>
    </w:p>
    <w:p w14:paraId="483FBF5A" w14:textId="77777777" w:rsidR="006A2387" w:rsidRPr="00557D58" w:rsidRDefault="006A2387" w:rsidP="004C05A1">
      <w:pPr>
        <w:pStyle w:val="SingleTxtG"/>
        <w:rPr>
          <w:lang w:val="en-GB"/>
        </w:rPr>
      </w:pPr>
      <w:r w:rsidRPr="00557D58">
        <w:rPr>
          <w:lang w:val="en-GB"/>
        </w:rPr>
        <w:t>2.1</w:t>
      </w:r>
      <w:r w:rsidRPr="00557D58">
        <w:rPr>
          <w:lang w:val="en-GB"/>
        </w:rPr>
        <w:tab/>
        <w:t>On 1 July 2002, the author was arrested by two police officers</w:t>
      </w:r>
      <w:r w:rsidR="00192AEF" w:rsidRPr="00557D58">
        <w:rPr>
          <w:lang w:val="en-GB"/>
        </w:rPr>
        <w:t>,</w:t>
      </w:r>
      <w:r w:rsidRPr="00557D58">
        <w:rPr>
          <w:lang w:val="en-GB"/>
        </w:rPr>
        <w:t xml:space="preserve"> w</w:t>
      </w:r>
      <w:r w:rsidR="00192AEF" w:rsidRPr="00557D58">
        <w:rPr>
          <w:lang w:val="en-GB"/>
        </w:rPr>
        <w:t>ho did not</w:t>
      </w:r>
      <w:r w:rsidRPr="00557D58">
        <w:rPr>
          <w:lang w:val="en-GB"/>
        </w:rPr>
        <w:t xml:space="preserve"> inform her of the reasons for her arrest. </w:t>
      </w:r>
      <w:r w:rsidR="00192AEF" w:rsidRPr="00557D58">
        <w:rPr>
          <w:lang w:val="en-GB"/>
        </w:rPr>
        <w:t>After the arrest</w:t>
      </w:r>
      <w:r w:rsidR="000965A7">
        <w:rPr>
          <w:lang w:val="en-GB"/>
        </w:rPr>
        <w:t>,</w:t>
      </w:r>
      <w:r w:rsidR="00192AEF" w:rsidRPr="00557D58">
        <w:rPr>
          <w:lang w:val="en-GB"/>
        </w:rPr>
        <w:t xml:space="preserve"> s</w:t>
      </w:r>
      <w:r w:rsidRPr="00557D58">
        <w:rPr>
          <w:lang w:val="en-GB"/>
        </w:rPr>
        <w:t xml:space="preserve">he was interrogated </w:t>
      </w:r>
      <w:r w:rsidR="001639AD" w:rsidRPr="00557D58">
        <w:rPr>
          <w:lang w:val="en-GB"/>
        </w:rPr>
        <w:t xml:space="preserve">by the </w:t>
      </w:r>
      <w:r w:rsidR="005E5238" w:rsidRPr="00557D58">
        <w:rPr>
          <w:lang w:val="en-GB"/>
        </w:rPr>
        <w:t>H</w:t>
      </w:r>
      <w:r w:rsidR="001639AD" w:rsidRPr="00557D58">
        <w:rPr>
          <w:lang w:val="en-GB"/>
        </w:rPr>
        <w:t xml:space="preserve">ead and the </w:t>
      </w:r>
      <w:r w:rsidR="005E5238" w:rsidRPr="00557D58">
        <w:rPr>
          <w:lang w:val="en-GB"/>
        </w:rPr>
        <w:t>D</w:t>
      </w:r>
      <w:r w:rsidR="001639AD" w:rsidRPr="00557D58">
        <w:rPr>
          <w:lang w:val="en-GB"/>
        </w:rPr>
        <w:t xml:space="preserve">eputy </w:t>
      </w:r>
      <w:r w:rsidR="005E5238" w:rsidRPr="00557D58">
        <w:rPr>
          <w:lang w:val="en-GB"/>
        </w:rPr>
        <w:t>H</w:t>
      </w:r>
      <w:r w:rsidR="001639AD" w:rsidRPr="00557D58">
        <w:rPr>
          <w:lang w:val="en-GB"/>
        </w:rPr>
        <w:t>ead of the</w:t>
      </w:r>
      <w:r w:rsidR="00742421" w:rsidRPr="00557D58">
        <w:rPr>
          <w:lang w:val="en-GB"/>
        </w:rPr>
        <w:t xml:space="preserve"> Kirgulin Region</w:t>
      </w:r>
      <w:r w:rsidR="001639AD" w:rsidRPr="00557D58">
        <w:rPr>
          <w:lang w:val="en-GB"/>
        </w:rPr>
        <w:t xml:space="preserve"> </w:t>
      </w:r>
      <w:r w:rsidR="000B71F4">
        <w:rPr>
          <w:lang w:val="en-GB"/>
        </w:rPr>
        <w:t>P</w:t>
      </w:r>
      <w:r w:rsidR="001639AD" w:rsidRPr="00557D58">
        <w:rPr>
          <w:lang w:val="en-GB"/>
        </w:rPr>
        <w:t xml:space="preserve">olice </w:t>
      </w:r>
      <w:r w:rsidR="000B71F4">
        <w:rPr>
          <w:lang w:val="en-GB"/>
        </w:rPr>
        <w:t>D</w:t>
      </w:r>
      <w:r w:rsidR="001639AD" w:rsidRPr="00557D58">
        <w:rPr>
          <w:lang w:val="en-GB"/>
        </w:rPr>
        <w:t xml:space="preserve">epartment </w:t>
      </w:r>
      <w:r w:rsidRPr="00557D58">
        <w:rPr>
          <w:lang w:val="en-GB"/>
        </w:rPr>
        <w:t>about her human rights activities</w:t>
      </w:r>
      <w:r w:rsidR="00192AEF" w:rsidRPr="00557D58">
        <w:rPr>
          <w:lang w:val="en-GB"/>
        </w:rPr>
        <w:t>,</w:t>
      </w:r>
      <w:r w:rsidRPr="00557D58">
        <w:rPr>
          <w:lang w:val="en-GB"/>
        </w:rPr>
        <w:t xml:space="preserve"> beaten and threatened with rape. On 2 July 2002, she was charged with offending an officer and refusing to follow police orders. </w:t>
      </w:r>
      <w:r w:rsidR="00192AEF" w:rsidRPr="00557D58">
        <w:rPr>
          <w:lang w:val="en-GB"/>
        </w:rPr>
        <w:t xml:space="preserve">A </w:t>
      </w:r>
      <w:r w:rsidRPr="00557D58">
        <w:rPr>
          <w:lang w:val="en-GB"/>
        </w:rPr>
        <w:t>judge ordered her release from detention</w:t>
      </w:r>
      <w:r w:rsidR="00192AEF" w:rsidRPr="00557D58">
        <w:rPr>
          <w:lang w:val="en-GB"/>
        </w:rPr>
        <w:t>,</w:t>
      </w:r>
      <w:r w:rsidRPr="00557D58">
        <w:rPr>
          <w:lang w:val="en-GB"/>
        </w:rPr>
        <w:t xml:space="preserve"> but transferred the case to the District </w:t>
      </w:r>
      <w:r w:rsidR="004C05A1">
        <w:rPr>
          <w:lang w:val="en-GB"/>
        </w:rPr>
        <w:t>Procurator</w:t>
      </w:r>
      <w:r w:rsidR="004C05A1" w:rsidRPr="00557D58">
        <w:rPr>
          <w:lang w:val="en-GB"/>
        </w:rPr>
        <w:t xml:space="preserve"> </w:t>
      </w:r>
      <w:r w:rsidRPr="00557D58">
        <w:rPr>
          <w:lang w:val="en-GB"/>
        </w:rPr>
        <w:t>for further investigation</w:t>
      </w:r>
      <w:r w:rsidR="005E5238" w:rsidRPr="00557D58">
        <w:rPr>
          <w:lang w:val="en-GB"/>
        </w:rPr>
        <w:t>. The case</w:t>
      </w:r>
      <w:r w:rsidRPr="00557D58">
        <w:rPr>
          <w:lang w:val="en-GB"/>
        </w:rPr>
        <w:t xml:space="preserve"> was eventually dismissed for lack of evidence. On 5 September 2002, a criminal investigation was opened into the author’s arrest and ill-treatment; </w:t>
      </w:r>
      <w:r w:rsidRPr="00600471">
        <w:rPr>
          <w:lang w:val="en-GB"/>
        </w:rPr>
        <w:t>however</w:t>
      </w:r>
      <w:r w:rsidR="00600471">
        <w:rPr>
          <w:lang w:val="en-GB"/>
        </w:rPr>
        <w:t>,</w:t>
      </w:r>
      <w:r w:rsidRPr="00600471">
        <w:rPr>
          <w:lang w:val="en-GB"/>
        </w:rPr>
        <w:t xml:space="preserve"> the investigation was closed without charge</w:t>
      </w:r>
      <w:r w:rsidRPr="00557D58">
        <w:rPr>
          <w:lang w:val="en-GB"/>
        </w:rPr>
        <w:t xml:space="preserve">. </w:t>
      </w:r>
    </w:p>
    <w:p w14:paraId="509CC991" w14:textId="77777777" w:rsidR="008335F5" w:rsidRPr="00557D58" w:rsidRDefault="006A2387" w:rsidP="004C05A1">
      <w:pPr>
        <w:pStyle w:val="SingleTxtG"/>
        <w:rPr>
          <w:lang w:val="en-GB"/>
        </w:rPr>
      </w:pPr>
      <w:r w:rsidRPr="00557D58">
        <w:rPr>
          <w:lang w:val="en-GB"/>
        </w:rPr>
        <w:t>2.2</w:t>
      </w:r>
      <w:r w:rsidRPr="00557D58">
        <w:rPr>
          <w:lang w:val="en-GB"/>
        </w:rPr>
        <w:tab/>
        <w:t xml:space="preserve">On 15 June and 20 August 2003, the author </w:t>
      </w:r>
      <w:r w:rsidR="00410104">
        <w:rPr>
          <w:lang w:val="en-GB"/>
        </w:rPr>
        <w:t>picketed</w:t>
      </w:r>
      <w:r w:rsidRPr="00557D58">
        <w:rPr>
          <w:lang w:val="en-GB"/>
        </w:rPr>
        <w:t xml:space="preserve"> the Regional </w:t>
      </w:r>
      <w:r w:rsidR="004C05A1">
        <w:rPr>
          <w:lang w:val="en-GB"/>
        </w:rPr>
        <w:t>Procurator</w:t>
      </w:r>
      <w:r w:rsidR="004C05A1" w:rsidRPr="00557D58">
        <w:rPr>
          <w:lang w:val="en-GB"/>
        </w:rPr>
        <w:t xml:space="preserve">’s </w:t>
      </w:r>
      <w:r w:rsidRPr="00557D58">
        <w:rPr>
          <w:lang w:val="en-GB"/>
        </w:rPr>
        <w:t>Office to protest against human rights violations. Both times, she was attacked by group</w:t>
      </w:r>
      <w:r w:rsidR="008335F5" w:rsidRPr="00557D58">
        <w:rPr>
          <w:lang w:val="en-GB"/>
        </w:rPr>
        <w:t>s</w:t>
      </w:r>
      <w:r w:rsidRPr="00557D58">
        <w:rPr>
          <w:lang w:val="en-GB"/>
        </w:rPr>
        <w:t xml:space="preserve"> of women</w:t>
      </w:r>
      <w:r w:rsidR="0003204D">
        <w:rPr>
          <w:lang w:val="en-GB"/>
        </w:rPr>
        <w:t>,</w:t>
      </w:r>
      <w:r w:rsidR="00410104">
        <w:rPr>
          <w:lang w:val="en-GB"/>
        </w:rPr>
        <w:t xml:space="preserve"> whom</w:t>
      </w:r>
      <w:r w:rsidR="008335F5" w:rsidRPr="00557D58">
        <w:rPr>
          <w:lang w:val="en-GB"/>
        </w:rPr>
        <w:t xml:space="preserve"> she</w:t>
      </w:r>
      <w:r w:rsidRPr="00557D58">
        <w:rPr>
          <w:lang w:val="en-GB"/>
        </w:rPr>
        <w:t xml:space="preserve"> believe</w:t>
      </w:r>
      <w:r w:rsidR="008335F5" w:rsidRPr="00557D58">
        <w:rPr>
          <w:lang w:val="en-GB"/>
        </w:rPr>
        <w:t>s</w:t>
      </w:r>
      <w:r w:rsidRPr="00557D58">
        <w:rPr>
          <w:lang w:val="en-GB"/>
        </w:rPr>
        <w:t xml:space="preserve"> to be prostitutes paid by the authorities </w:t>
      </w:r>
      <w:r w:rsidR="00410104">
        <w:rPr>
          <w:lang w:val="en-GB"/>
        </w:rPr>
        <w:t>to carry out</w:t>
      </w:r>
      <w:r w:rsidR="00410104" w:rsidRPr="00557D58">
        <w:rPr>
          <w:lang w:val="en-GB"/>
        </w:rPr>
        <w:t xml:space="preserve"> </w:t>
      </w:r>
      <w:r w:rsidRPr="00557D58">
        <w:rPr>
          <w:lang w:val="en-GB"/>
        </w:rPr>
        <w:t>the attack</w:t>
      </w:r>
      <w:r w:rsidR="008335F5" w:rsidRPr="00557D58">
        <w:rPr>
          <w:lang w:val="en-GB"/>
        </w:rPr>
        <w:t>s</w:t>
      </w:r>
      <w:r w:rsidR="008E1BA8" w:rsidRPr="00557D58">
        <w:rPr>
          <w:lang w:val="en-GB"/>
        </w:rPr>
        <w:t>,</w:t>
      </w:r>
      <w:r w:rsidR="005E5238" w:rsidRPr="00557D58">
        <w:rPr>
          <w:rStyle w:val="FootnoteReference"/>
          <w:lang w:val="en-GB"/>
        </w:rPr>
        <w:footnoteReference w:id="4"/>
      </w:r>
      <w:r w:rsidR="00BA1EDE" w:rsidRPr="00557D58">
        <w:rPr>
          <w:lang w:val="en-GB"/>
        </w:rPr>
        <w:t xml:space="preserve"> </w:t>
      </w:r>
      <w:r w:rsidRPr="00557D58">
        <w:rPr>
          <w:lang w:val="en-GB"/>
        </w:rPr>
        <w:t xml:space="preserve">who beat her, destroyed her posters and stole her personal items. The second attack left her </w:t>
      </w:r>
      <w:r w:rsidR="00192AEF" w:rsidRPr="00557D58">
        <w:rPr>
          <w:lang w:val="en-GB"/>
        </w:rPr>
        <w:t>hospitalized</w:t>
      </w:r>
      <w:r w:rsidRPr="00557D58">
        <w:rPr>
          <w:lang w:val="en-GB"/>
        </w:rPr>
        <w:t xml:space="preserve"> for 14 days. </w:t>
      </w:r>
      <w:r w:rsidR="008335F5" w:rsidRPr="00557D58">
        <w:rPr>
          <w:lang w:val="en-GB"/>
        </w:rPr>
        <w:t>The authorities were present during the attack</w:t>
      </w:r>
      <w:r w:rsidR="00735650" w:rsidRPr="00557D58">
        <w:rPr>
          <w:lang w:val="en-GB"/>
        </w:rPr>
        <w:t>s</w:t>
      </w:r>
      <w:r w:rsidR="008335F5" w:rsidRPr="00557D58">
        <w:rPr>
          <w:lang w:val="en-GB"/>
        </w:rPr>
        <w:t xml:space="preserve"> but failed to intervene, </w:t>
      </w:r>
      <w:r w:rsidR="00410104">
        <w:rPr>
          <w:lang w:val="en-GB"/>
        </w:rPr>
        <w:t xml:space="preserve">even </w:t>
      </w:r>
      <w:r w:rsidR="00410104" w:rsidRPr="00557D58">
        <w:rPr>
          <w:lang w:val="en-GB"/>
        </w:rPr>
        <w:t xml:space="preserve">filming </w:t>
      </w:r>
      <w:r w:rsidR="00735650" w:rsidRPr="00557D58">
        <w:rPr>
          <w:lang w:val="en-GB"/>
        </w:rPr>
        <w:t xml:space="preserve">the second incident </w:t>
      </w:r>
      <w:r w:rsidR="008335F5" w:rsidRPr="00557D58">
        <w:rPr>
          <w:lang w:val="en-GB"/>
        </w:rPr>
        <w:t xml:space="preserve">instead. </w:t>
      </w:r>
      <w:r w:rsidR="00735650" w:rsidRPr="00557D58">
        <w:rPr>
          <w:lang w:val="en-GB"/>
        </w:rPr>
        <w:t>On both occasions</w:t>
      </w:r>
      <w:r w:rsidR="0003204D">
        <w:rPr>
          <w:lang w:val="en-GB"/>
        </w:rPr>
        <w:t>,</w:t>
      </w:r>
      <w:r w:rsidR="00735650" w:rsidRPr="00557D58">
        <w:rPr>
          <w:lang w:val="en-GB"/>
        </w:rPr>
        <w:t xml:space="preserve"> charges were filed against the author for </w:t>
      </w:r>
      <w:r w:rsidR="008335F5" w:rsidRPr="00557D58">
        <w:rPr>
          <w:lang w:val="en-GB"/>
        </w:rPr>
        <w:t>holding illegal demonstration</w:t>
      </w:r>
      <w:r w:rsidR="00735650" w:rsidRPr="00557D58">
        <w:rPr>
          <w:lang w:val="en-GB"/>
        </w:rPr>
        <w:t>s</w:t>
      </w:r>
      <w:r w:rsidR="008335F5" w:rsidRPr="00557D58">
        <w:rPr>
          <w:lang w:val="en-GB"/>
        </w:rPr>
        <w:t xml:space="preserve">, </w:t>
      </w:r>
      <w:r w:rsidR="00735650" w:rsidRPr="00557D58">
        <w:rPr>
          <w:lang w:val="en-GB"/>
        </w:rPr>
        <w:t xml:space="preserve">but were dismissed by the </w:t>
      </w:r>
      <w:r w:rsidR="008335F5" w:rsidRPr="00557D58">
        <w:rPr>
          <w:lang w:val="en-GB"/>
        </w:rPr>
        <w:t>court</w:t>
      </w:r>
      <w:r w:rsidR="00735650" w:rsidRPr="00557D58">
        <w:rPr>
          <w:lang w:val="en-GB"/>
        </w:rPr>
        <w:t>s on 14 August 2003 and</w:t>
      </w:r>
      <w:r w:rsidR="008335F5" w:rsidRPr="00557D58">
        <w:rPr>
          <w:lang w:val="en-GB"/>
        </w:rPr>
        <w:t xml:space="preserve"> 2 February 2004</w:t>
      </w:r>
      <w:r w:rsidR="00410104">
        <w:rPr>
          <w:lang w:val="en-GB"/>
        </w:rPr>
        <w:t>,</w:t>
      </w:r>
      <w:r w:rsidR="00410104" w:rsidRPr="00410104">
        <w:rPr>
          <w:lang w:val="en-GB"/>
        </w:rPr>
        <w:t xml:space="preserve"> </w:t>
      </w:r>
      <w:r w:rsidR="00410104" w:rsidRPr="00557D58">
        <w:rPr>
          <w:lang w:val="en-GB"/>
        </w:rPr>
        <w:t>respectively</w:t>
      </w:r>
      <w:r w:rsidR="008335F5" w:rsidRPr="00557D58">
        <w:rPr>
          <w:lang w:val="en-GB"/>
        </w:rPr>
        <w:t>.</w:t>
      </w:r>
    </w:p>
    <w:p w14:paraId="29EDB2C4" w14:textId="77777777" w:rsidR="006A2387" w:rsidRPr="00557D58" w:rsidRDefault="006A2387" w:rsidP="0003204D">
      <w:pPr>
        <w:pStyle w:val="SingleTxtG"/>
        <w:rPr>
          <w:lang w:val="en-GB"/>
        </w:rPr>
      </w:pPr>
      <w:r w:rsidRPr="00557D58">
        <w:rPr>
          <w:lang w:val="en-GB"/>
        </w:rPr>
        <w:t>2.3</w:t>
      </w:r>
      <w:r w:rsidRPr="00557D58">
        <w:rPr>
          <w:lang w:val="en-GB"/>
        </w:rPr>
        <w:tab/>
        <w:t xml:space="preserve">On 15 April 2005, unidentified officials in plain clothes arrested the author and brought her to the Bektemir District Department of Internal </w:t>
      </w:r>
      <w:r w:rsidRPr="00EA02C7">
        <w:rPr>
          <w:lang w:val="en-GB"/>
        </w:rPr>
        <w:t>Affairs</w:t>
      </w:r>
      <w:r w:rsidR="006140FC" w:rsidRPr="00EA02C7">
        <w:rPr>
          <w:lang w:val="en-GB"/>
        </w:rPr>
        <w:t>,</w:t>
      </w:r>
      <w:r w:rsidRPr="00557D58">
        <w:rPr>
          <w:lang w:val="en-GB"/>
        </w:rPr>
        <w:t xml:space="preserve"> where she was interrogated about her human rights activities and accused of spreading propaganda against the </w:t>
      </w:r>
      <w:r w:rsidR="0003204D">
        <w:rPr>
          <w:lang w:val="en-GB"/>
        </w:rPr>
        <w:t>G</w:t>
      </w:r>
      <w:r w:rsidRPr="00557D58">
        <w:rPr>
          <w:lang w:val="en-GB"/>
        </w:rPr>
        <w:t xml:space="preserve">overnment. Subsequently, one of the police officers took her to an office where three unidentified men beat her and took turns in raping her several times until she </w:t>
      </w:r>
      <w:r w:rsidR="0003204D">
        <w:rPr>
          <w:lang w:val="en-GB"/>
        </w:rPr>
        <w:t>lost</w:t>
      </w:r>
      <w:r w:rsidR="0003204D" w:rsidRPr="00557D58">
        <w:rPr>
          <w:lang w:val="en-GB"/>
        </w:rPr>
        <w:t xml:space="preserve"> </w:t>
      </w:r>
      <w:r w:rsidRPr="00557D58">
        <w:rPr>
          <w:lang w:val="en-GB"/>
        </w:rPr>
        <w:t>conscious</w:t>
      </w:r>
      <w:r w:rsidR="0003204D">
        <w:rPr>
          <w:lang w:val="en-GB"/>
        </w:rPr>
        <w:t>ness</w:t>
      </w:r>
      <w:r w:rsidRPr="00557D58">
        <w:rPr>
          <w:lang w:val="en-GB"/>
        </w:rPr>
        <w:t xml:space="preserve">. She was eventually released the same day without charge. After </w:t>
      </w:r>
      <w:r w:rsidR="00192AEF" w:rsidRPr="00557D58">
        <w:rPr>
          <w:lang w:val="en-GB"/>
        </w:rPr>
        <w:t>being threatened</w:t>
      </w:r>
      <w:r w:rsidRPr="00557D58">
        <w:rPr>
          <w:lang w:val="en-GB"/>
        </w:rPr>
        <w:t xml:space="preserve"> by the </w:t>
      </w:r>
      <w:r w:rsidR="00192AEF" w:rsidRPr="004C05A1">
        <w:rPr>
          <w:lang w:val="en-GB"/>
        </w:rPr>
        <w:t>H</w:t>
      </w:r>
      <w:r w:rsidRPr="004C05A1">
        <w:rPr>
          <w:lang w:val="en-GB"/>
        </w:rPr>
        <w:t>ead of the Criminal Investigations and Anti-Terrori</w:t>
      </w:r>
      <w:r w:rsidR="0003204D">
        <w:rPr>
          <w:lang w:val="en-GB"/>
        </w:rPr>
        <w:t>s</w:t>
      </w:r>
      <w:r w:rsidRPr="004C05A1">
        <w:rPr>
          <w:lang w:val="en-GB"/>
        </w:rPr>
        <w:t>m</w:t>
      </w:r>
      <w:r w:rsidR="0003204D">
        <w:rPr>
          <w:lang w:val="en-GB"/>
        </w:rPr>
        <w:t xml:space="preserve"> Unit</w:t>
      </w:r>
      <w:r w:rsidRPr="004C05A1">
        <w:rPr>
          <w:lang w:val="en-GB"/>
        </w:rPr>
        <w:t xml:space="preserve"> </w:t>
      </w:r>
      <w:r w:rsidR="000B71F4">
        <w:rPr>
          <w:lang w:val="en-GB"/>
        </w:rPr>
        <w:t xml:space="preserve">of the </w:t>
      </w:r>
      <w:r w:rsidRPr="004C05A1">
        <w:rPr>
          <w:lang w:val="en-GB"/>
        </w:rPr>
        <w:t>Ferghana Police Department</w:t>
      </w:r>
      <w:r w:rsidRPr="00557D58">
        <w:rPr>
          <w:lang w:val="en-GB"/>
        </w:rPr>
        <w:t>, she refrained from filing a complaint.</w:t>
      </w:r>
    </w:p>
    <w:p w14:paraId="1EEFE30B" w14:textId="77777777" w:rsidR="006A2387" w:rsidRPr="00557D58" w:rsidRDefault="006A2387" w:rsidP="006A2387">
      <w:pPr>
        <w:pStyle w:val="SingleTxtG"/>
        <w:rPr>
          <w:lang w:val="en-GB"/>
        </w:rPr>
      </w:pPr>
      <w:r w:rsidRPr="00557D58">
        <w:rPr>
          <w:lang w:val="en-GB"/>
        </w:rPr>
        <w:t>2.4</w:t>
      </w:r>
      <w:r w:rsidRPr="00557D58">
        <w:rPr>
          <w:lang w:val="en-GB"/>
        </w:rPr>
        <w:tab/>
        <w:t xml:space="preserve">On 13 May 2005, the day of the Andijan events, the author was </w:t>
      </w:r>
      <w:r w:rsidR="009D6BC8" w:rsidRPr="00557D58">
        <w:rPr>
          <w:lang w:val="en-GB"/>
        </w:rPr>
        <w:t xml:space="preserve">arrested </w:t>
      </w:r>
      <w:r w:rsidRPr="00557D58">
        <w:rPr>
          <w:lang w:val="en-GB"/>
        </w:rPr>
        <w:t xml:space="preserve">and detained at the </w:t>
      </w:r>
      <w:r w:rsidR="00BA1EDE" w:rsidRPr="004C05A1">
        <w:rPr>
          <w:lang w:val="en-GB"/>
        </w:rPr>
        <w:t>Ferghana P</w:t>
      </w:r>
      <w:r w:rsidRPr="004C05A1">
        <w:rPr>
          <w:lang w:val="en-GB"/>
        </w:rPr>
        <w:t xml:space="preserve">olice </w:t>
      </w:r>
      <w:r w:rsidR="00BA1EDE" w:rsidRPr="004C05A1">
        <w:rPr>
          <w:lang w:val="en-GB"/>
        </w:rPr>
        <w:t>D</w:t>
      </w:r>
      <w:r w:rsidRPr="004C05A1">
        <w:rPr>
          <w:lang w:val="en-GB"/>
        </w:rPr>
        <w:t>epartment</w:t>
      </w:r>
      <w:r w:rsidRPr="00557D58">
        <w:rPr>
          <w:lang w:val="en-GB"/>
        </w:rPr>
        <w:t xml:space="preserve"> until 16 May 2005 without charge. During her detention, she was not allowed to see her lawyer or </w:t>
      </w:r>
      <w:r w:rsidR="0003204D">
        <w:rPr>
          <w:lang w:val="en-GB"/>
        </w:rPr>
        <w:t xml:space="preserve">her </w:t>
      </w:r>
      <w:r w:rsidRPr="00557D58">
        <w:rPr>
          <w:lang w:val="en-GB"/>
        </w:rPr>
        <w:t>family.</w:t>
      </w:r>
      <w:r w:rsidRPr="00557D58">
        <w:rPr>
          <w:lang w:val="en-GB"/>
        </w:rPr>
        <w:tab/>
      </w:r>
    </w:p>
    <w:p w14:paraId="73E5EEAA" w14:textId="77777777" w:rsidR="00192AEF" w:rsidRPr="00557D58" w:rsidRDefault="006A2387" w:rsidP="006A2387">
      <w:pPr>
        <w:pStyle w:val="SingleTxtG"/>
        <w:rPr>
          <w:lang w:val="en-GB"/>
        </w:rPr>
      </w:pPr>
      <w:r w:rsidRPr="00557D58">
        <w:rPr>
          <w:lang w:val="en-GB"/>
        </w:rPr>
        <w:t>2.</w:t>
      </w:r>
      <w:r w:rsidR="00192AEF" w:rsidRPr="00557D58">
        <w:rPr>
          <w:lang w:val="en-GB"/>
        </w:rPr>
        <w:t>5</w:t>
      </w:r>
      <w:r w:rsidRPr="00557D58">
        <w:rPr>
          <w:lang w:val="en-GB"/>
        </w:rPr>
        <w:tab/>
        <w:t>On 7 October 2005, 30 heavily armed police officers arrested the author at her home</w:t>
      </w:r>
      <w:r w:rsidR="00192AEF" w:rsidRPr="00557D58">
        <w:rPr>
          <w:lang w:val="en-GB"/>
        </w:rPr>
        <w:t xml:space="preserve">. </w:t>
      </w:r>
      <w:r w:rsidR="002D1FCA" w:rsidRPr="00557D58">
        <w:rPr>
          <w:lang w:val="en-GB"/>
        </w:rPr>
        <w:t xml:space="preserve">Before being taken to the police station, she was charged with extortion. </w:t>
      </w:r>
      <w:r w:rsidRPr="00557D58">
        <w:rPr>
          <w:lang w:val="en-GB"/>
        </w:rPr>
        <w:t>Her flat and offices were searched and personal and work</w:t>
      </w:r>
      <w:r w:rsidR="00AF7A28">
        <w:rPr>
          <w:lang w:val="en-GB"/>
        </w:rPr>
        <w:t>-</w:t>
      </w:r>
      <w:r w:rsidRPr="00557D58">
        <w:rPr>
          <w:lang w:val="en-GB"/>
        </w:rPr>
        <w:t>related items were seized in her absence. She was questioned</w:t>
      </w:r>
      <w:r w:rsidR="002D1FCA" w:rsidRPr="00557D58">
        <w:rPr>
          <w:lang w:val="en-GB"/>
        </w:rPr>
        <w:t xml:space="preserve"> for se</w:t>
      </w:r>
      <w:r w:rsidR="009D6BC8" w:rsidRPr="00557D58">
        <w:rPr>
          <w:lang w:val="en-GB"/>
        </w:rPr>
        <w:t>v</w:t>
      </w:r>
      <w:r w:rsidR="002D1FCA" w:rsidRPr="00557D58">
        <w:rPr>
          <w:lang w:val="en-GB"/>
        </w:rPr>
        <w:t xml:space="preserve">eral hours </w:t>
      </w:r>
      <w:r w:rsidRPr="00557D58">
        <w:rPr>
          <w:lang w:val="en-GB"/>
        </w:rPr>
        <w:t xml:space="preserve">about her </w:t>
      </w:r>
      <w:r w:rsidR="00192AEF" w:rsidRPr="00557D58">
        <w:rPr>
          <w:lang w:val="en-GB"/>
        </w:rPr>
        <w:t>organization</w:t>
      </w:r>
      <w:r w:rsidRPr="00557D58">
        <w:rPr>
          <w:lang w:val="en-GB"/>
        </w:rPr>
        <w:t xml:space="preserve"> and its funding. </w:t>
      </w:r>
      <w:r w:rsidR="002D1FCA" w:rsidRPr="00557D58">
        <w:rPr>
          <w:lang w:val="en-GB"/>
        </w:rPr>
        <w:t xml:space="preserve">Her repeated requests to have her lawyer present were rejected. </w:t>
      </w:r>
    </w:p>
    <w:p w14:paraId="5701EF82" w14:textId="77777777" w:rsidR="002D1FCA" w:rsidRPr="00557D58" w:rsidRDefault="00192AEF" w:rsidP="004C05A1">
      <w:pPr>
        <w:pStyle w:val="SingleTxtG"/>
        <w:rPr>
          <w:lang w:val="en-GB"/>
        </w:rPr>
      </w:pPr>
      <w:r w:rsidRPr="00557D58">
        <w:rPr>
          <w:lang w:val="en-GB"/>
        </w:rPr>
        <w:t>2.6</w:t>
      </w:r>
      <w:r w:rsidRPr="00557D58">
        <w:rPr>
          <w:lang w:val="en-GB"/>
        </w:rPr>
        <w:tab/>
      </w:r>
      <w:r w:rsidR="002D1FCA" w:rsidRPr="00557D58">
        <w:rPr>
          <w:lang w:val="en-GB"/>
        </w:rPr>
        <w:t>On 8 October 2005 at around 6</w:t>
      </w:r>
      <w:r w:rsidR="008570A9" w:rsidRPr="00557D58">
        <w:rPr>
          <w:lang w:val="en-GB"/>
        </w:rPr>
        <w:t xml:space="preserve"> </w:t>
      </w:r>
      <w:r w:rsidR="002D1FCA" w:rsidRPr="00557D58">
        <w:rPr>
          <w:lang w:val="en-GB"/>
        </w:rPr>
        <w:t>a</w:t>
      </w:r>
      <w:r w:rsidR="00187E8A">
        <w:rPr>
          <w:lang w:val="en-GB"/>
        </w:rPr>
        <w:t>.</w:t>
      </w:r>
      <w:r w:rsidR="002D1FCA" w:rsidRPr="00557D58">
        <w:rPr>
          <w:lang w:val="en-GB"/>
        </w:rPr>
        <w:t>m</w:t>
      </w:r>
      <w:r w:rsidR="00187E8A">
        <w:rPr>
          <w:lang w:val="en-GB"/>
        </w:rPr>
        <w:t>.</w:t>
      </w:r>
      <w:r w:rsidR="002D1FCA" w:rsidRPr="00557D58">
        <w:rPr>
          <w:lang w:val="en-GB"/>
        </w:rPr>
        <w:t xml:space="preserve">, the author was transferred to a temporary holding cell in the basement of the police station. </w:t>
      </w:r>
      <w:r w:rsidR="008570A9" w:rsidRPr="00557D58">
        <w:rPr>
          <w:lang w:val="en-GB"/>
        </w:rPr>
        <w:t>S</w:t>
      </w:r>
      <w:r w:rsidR="002D1FCA" w:rsidRPr="00557D58">
        <w:rPr>
          <w:lang w:val="en-GB"/>
        </w:rPr>
        <w:t xml:space="preserve">he </w:t>
      </w:r>
      <w:r w:rsidR="008570A9" w:rsidRPr="00557D58">
        <w:rPr>
          <w:lang w:val="en-GB"/>
        </w:rPr>
        <w:t>was allowed to see</w:t>
      </w:r>
      <w:r w:rsidR="002D1FCA" w:rsidRPr="00557D58">
        <w:rPr>
          <w:lang w:val="en-GB"/>
        </w:rPr>
        <w:t xml:space="preserve"> her lawyer</w:t>
      </w:r>
      <w:r w:rsidR="008570A9" w:rsidRPr="00557D58">
        <w:rPr>
          <w:lang w:val="en-GB"/>
        </w:rPr>
        <w:t xml:space="preserve"> for </w:t>
      </w:r>
      <w:r w:rsidR="0003204D">
        <w:rPr>
          <w:lang w:val="en-GB"/>
        </w:rPr>
        <w:t>the</w:t>
      </w:r>
      <w:r w:rsidR="008570A9" w:rsidRPr="00557D58">
        <w:rPr>
          <w:lang w:val="en-GB"/>
        </w:rPr>
        <w:t xml:space="preserve"> first time</w:t>
      </w:r>
      <w:r w:rsidR="002D1FCA" w:rsidRPr="00557D58">
        <w:rPr>
          <w:lang w:val="en-GB"/>
        </w:rPr>
        <w:t xml:space="preserve"> </w:t>
      </w:r>
      <w:r w:rsidR="00187E8A">
        <w:rPr>
          <w:lang w:val="en-GB"/>
        </w:rPr>
        <w:t xml:space="preserve">at </w:t>
      </w:r>
      <w:r w:rsidR="002D1FCA" w:rsidRPr="00557D58">
        <w:rPr>
          <w:lang w:val="en-GB"/>
        </w:rPr>
        <w:t>around 5</w:t>
      </w:r>
      <w:r w:rsidR="00187E8A">
        <w:rPr>
          <w:lang w:val="en-GB"/>
        </w:rPr>
        <w:t xml:space="preserve"> </w:t>
      </w:r>
      <w:r w:rsidR="002D1FCA" w:rsidRPr="00557D58">
        <w:rPr>
          <w:lang w:val="en-GB"/>
        </w:rPr>
        <w:t>p</w:t>
      </w:r>
      <w:r w:rsidR="00187E8A">
        <w:rPr>
          <w:lang w:val="en-GB"/>
        </w:rPr>
        <w:t>.</w:t>
      </w:r>
      <w:r w:rsidR="002D1FCA" w:rsidRPr="00557D58">
        <w:rPr>
          <w:lang w:val="en-GB"/>
        </w:rPr>
        <w:t>m</w:t>
      </w:r>
      <w:r w:rsidR="00187E8A">
        <w:rPr>
          <w:lang w:val="en-GB"/>
        </w:rPr>
        <w:t>.</w:t>
      </w:r>
      <w:r w:rsidR="002D1FCA" w:rsidRPr="00557D58">
        <w:rPr>
          <w:lang w:val="en-GB"/>
        </w:rPr>
        <w:t xml:space="preserve"> </w:t>
      </w:r>
      <w:r w:rsidR="008570A9" w:rsidRPr="00557D58">
        <w:rPr>
          <w:lang w:val="en-GB"/>
        </w:rPr>
        <w:t xml:space="preserve">on </w:t>
      </w:r>
      <w:r w:rsidR="002D1FCA" w:rsidRPr="00557D58">
        <w:rPr>
          <w:lang w:val="en-GB"/>
        </w:rPr>
        <w:t>the same da</w:t>
      </w:r>
      <w:r w:rsidR="008570A9" w:rsidRPr="00557D58">
        <w:rPr>
          <w:lang w:val="en-GB"/>
        </w:rPr>
        <w:t>te.</w:t>
      </w:r>
      <w:r w:rsidR="002D1FCA" w:rsidRPr="00557D58">
        <w:rPr>
          <w:lang w:val="en-GB"/>
        </w:rPr>
        <w:t xml:space="preserve"> The police continued to question her for about three hours, in the presence of her lawyer. The transcript of the interrogation</w:t>
      </w:r>
      <w:r w:rsidR="008570A9" w:rsidRPr="00557D58">
        <w:rPr>
          <w:lang w:val="en-GB"/>
        </w:rPr>
        <w:t>,</w:t>
      </w:r>
      <w:r w:rsidR="002D1FCA" w:rsidRPr="00557D58">
        <w:rPr>
          <w:lang w:val="en-GB"/>
        </w:rPr>
        <w:t xml:space="preserve"> which the author was asked to sign</w:t>
      </w:r>
      <w:r w:rsidR="008570A9" w:rsidRPr="00557D58">
        <w:rPr>
          <w:lang w:val="en-GB"/>
        </w:rPr>
        <w:t>,</w:t>
      </w:r>
      <w:r w:rsidR="002D1FCA" w:rsidRPr="00557D58">
        <w:rPr>
          <w:lang w:val="en-GB"/>
        </w:rPr>
        <w:t xml:space="preserve"> did not reflect her testimony, and she refused to sign it. The author was not presented to a judge for a review of the legality of her arrest. Contrary to Uzbek law, she was not brought before a </w:t>
      </w:r>
      <w:r w:rsidR="004C05A1">
        <w:rPr>
          <w:lang w:val="en-GB"/>
        </w:rPr>
        <w:t>procurator</w:t>
      </w:r>
      <w:r w:rsidR="004C05A1" w:rsidRPr="00557D58">
        <w:rPr>
          <w:lang w:val="en-GB"/>
        </w:rPr>
        <w:t xml:space="preserve"> </w:t>
      </w:r>
      <w:r w:rsidR="002D1FCA" w:rsidRPr="00557D58">
        <w:rPr>
          <w:lang w:val="en-GB"/>
        </w:rPr>
        <w:t xml:space="preserve">for the first </w:t>
      </w:r>
      <w:r w:rsidR="00187E8A">
        <w:rPr>
          <w:lang w:val="en-GB"/>
        </w:rPr>
        <w:t>10</w:t>
      </w:r>
      <w:r w:rsidR="00187E8A" w:rsidRPr="00557D58">
        <w:rPr>
          <w:lang w:val="en-GB"/>
        </w:rPr>
        <w:t xml:space="preserve"> </w:t>
      </w:r>
      <w:r w:rsidR="002D1FCA" w:rsidRPr="00557D58">
        <w:rPr>
          <w:lang w:val="en-GB"/>
        </w:rPr>
        <w:t>days of her detention</w:t>
      </w:r>
      <w:r w:rsidR="007343E4" w:rsidRPr="00557D58">
        <w:rPr>
          <w:lang w:val="en-GB"/>
        </w:rPr>
        <w:t>.</w:t>
      </w:r>
      <w:r w:rsidR="002D1FCA" w:rsidRPr="00557D58">
        <w:rPr>
          <w:lang w:val="en-GB"/>
        </w:rPr>
        <w:t xml:space="preserve"> </w:t>
      </w:r>
    </w:p>
    <w:p w14:paraId="004E42E5" w14:textId="77777777" w:rsidR="006A2387" w:rsidRPr="00557D58" w:rsidRDefault="003A27BE" w:rsidP="0003204D">
      <w:pPr>
        <w:pStyle w:val="SingleTxtG"/>
        <w:rPr>
          <w:lang w:val="en-GB"/>
        </w:rPr>
      </w:pPr>
      <w:r w:rsidRPr="00557D58">
        <w:rPr>
          <w:lang w:val="en-GB"/>
        </w:rPr>
        <w:t>2.7</w:t>
      </w:r>
      <w:r w:rsidRPr="00557D58">
        <w:rPr>
          <w:lang w:val="en-GB"/>
        </w:rPr>
        <w:tab/>
      </w:r>
      <w:r w:rsidR="00064022" w:rsidRPr="00557D58">
        <w:rPr>
          <w:lang w:val="en-GB"/>
        </w:rPr>
        <w:t xml:space="preserve">On or around 18 October 2005, the </w:t>
      </w:r>
      <w:r w:rsidR="007343E4" w:rsidRPr="00557D58">
        <w:rPr>
          <w:lang w:val="en-GB"/>
        </w:rPr>
        <w:t>a</w:t>
      </w:r>
      <w:r w:rsidR="00064022" w:rsidRPr="00557D58">
        <w:rPr>
          <w:lang w:val="en-GB"/>
        </w:rPr>
        <w:t xml:space="preserve">uthor was transferred to </w:t>
      </w:r>
      <w:r w:rsidR="008D6530" w:rsidRPr="004C05A1">
        <w:rPr>
          <w:lang w:val="en-GB"/>
        </w:rPr>
        <w:t xml:space="preserve">Ferghana </w:t>
      </w:r>
      <w:r w:rsidR="00064022" w:rsidRPr="004C05A1">
        <w:rPr>
          <w:lang w:val="en-GB"/>
        </w:rPr>
        <w:t>Remand Centre No</w:t>
      </w:r>
      <w:r w:rsidR="00187E8A" w:rsidRPr="004C05A1">
        <w:rPr>
          <w:lang w:val="en-GB"/>
        </w:rPr>
        <w:t xml:space="preserve">. </w:t>
      </w:r>
      <w:r w:rsidR="00064022" w:rsidRPr="004C05A1">
        <w:rPr>
          <w:lang w:val="en-GB"/>
        </w:rPr>
        <w:t>10</w:t>
      </w:r>
      <w:r w:rsidR="00064022" w:rsidRPr="00557D58">
        <w:rPr>
          <w:lang w:val="en-GB"/>
        </w:rPr>
        <w:t xml:space="preserve">, where she was held until January 2006. On 29 January 2006, the </w:t>
      </w:r>
      <w:r w:rsidR="007343E4" w:rsidRPr="00557D58">
        <w:rPr>
          <w:lang w:val="en-GB"/>
        </w:rPr>
        <w:t>a</w:t>
      </w:r>
      <w:r w:rsidR="00064022" w:rsidRPr="00557D58">
        <w:rPr>
          <w:lang w:val="en-GB"/>
        </w:rPr>
        <w:t xml:space="preserve">uthor was transferred to a cell in the basement of Kuyi Chirchik </w:t>
      </w:r>
      <w:r w:rsidR="0003204D">
        <w:rPr>
          <w:lang w:val="en-GB"/>
        </w:rPr>
        <w:t>D</w:t>
      </w:r>
      <w:r w:rsidR="00064022" w:rsidRPr="00557D58">
        <w:rPr>
          <w:lang w:val="en-GB"/>
        </w:rPr>
        <w:t xml:space="preserve">istrict </w:t>
      </w:r>
      <w:r w:rsidR="0003204D">
        <w:rPr>
          <w:lang w:val="en-GB"/>
        </w:rPr>
        <w:t>P</w:t>
      </w:r>
      <w:r w:rsidR="00064022" w:rsidRPr="00557D58">
        <w:rPr>
          <w:lang w:val="en-GB"/>
        </w:rPr>
        <w:t xml:space="preserve">olice </w:t>
      </w:r>
      <w:r w:rsidR="0003204D">
        <w:rPr>
          <w:lang w:val="en-GB"/>
        </w:rPr>
        <w:t>S</w:t>
      </w:r>
      <w:r w:rsidR="00064022" w:rsidRPr="00557D58">
        <w:rPr>
          <w:lang w:val="en-GB"/>
        </w:rPr>
        <w:t xml:space="preserve">tation, where she was held until the end of her trial on 6 March 2006. </w:t>
      </w:r>
      <w:r w:rsidR="007343E4" w:rsidRPr="00557D58">
        <w:rPr>
          <w:lang w:val="en-GB"/>
        </w:rPr>
        <w:t>D</w:t>
      </w:r>
      <w:r w:rsidR="00192AEF" w:rsidRPr="00557D58">
        <w:rPr>
          <w:lang w:val="en-GB"/>
        </w:rPr>
        <w:t xml:space="preserve">uring the </w:t>
      </w:r>
      <w:r w:rsidR="006A2387" w:rsidRPr="00557D58">
        <w:rPr>
          <w:lang w:val="en-GB"/>
        </w:rPr>
        <w:t>detention</w:t>
      </w:r>
      <w:r w:rsidR="00192AEF" w:rsidRPr="00557D58">
        <w:rPr>
          <w:lang w:val="en-GB"/>
        </w:rPr>
        <w:t xml:space="preserve">, </w:t>
      </w:r>
      <w:r w:rsidR="007343E4" w:rsidRPr="00557D58">
        <w:rPr>
          <w:lang w:val="en-GB"/>
        </w:rPr>
        <w:t>she was</w:t>
      </w:r>
      <w:r w:rsidR="006A2387" w:rsidRPr="00557D58">
        <w:rPr>
          <w:lang w:val="en-GB"/>
        </w:rPr>
        <w:t xml:space="preserve"> denied medical care</w:t>
      </w:r>
      <w:r w:rsidR="00DE6BB0" w:rsidRPr="00557D58">
        <w:rPr>
          <w:lang w:val="en-GB"/>
        </w:rPr>
        <w:t>.</w:t>
      </w:r>
      <w:r w:rsidR="006A2387" w:rsidRPr="00557D58">
        <w:rPr>
          <w:lang w:val="en-GB"/>
        </w:rPr>
        <w:t xml:space="preserve"> She was placed in detention together with convicted persons</w:t>
      </w:r>
      <w:r w:rsidR="003942AA" w:rsidRPr="00557D58">
        <w:rPr>
          <w:lang w:val="en-GB"/>
        </w:rPr>
        <w:t>.</w:t>
      </w:r>
      <w:r w:rsidR="006A2387" w:rsidRPr="00557D58">
        <w:rPr>
          <w:lang w:val="en-GB"/>
        </w:rPr>
        <w:t xml:space="preserve"> Her lawyers </w:t>
      </w:r>
      <w:r w:rsidR="006A2387" w:rsidRPr="00557D58">
        <w:rPr>
          <w:lang w:val="en-GB"/>
        </w:rPr>
        <w:lastRenderedPageBreak/>
        <w:t xml:space="preserve">were denied access to her on several occasions and were not allowed to speak to the author confidentially. </w:t>
      </w:r>
      <w:r w:rsidRPr="00557D58">
        <w:rPr>
          <w:lang w:val="en-GB"/>
        </w:rPr>
        <w:t>On 24 December 2005, t</w:t>
      </w:r>
      <w:r w:rsidR="006A2387" w:rsidRPr="00557D58">
        <w:rPr>
          <w:lang w:val="en-GB"/>
        </w:rPr>
        <w:t xml:space="preserve">he </w:t>
      </w:r>
      <w:r w:rsidR="006A2387" w:rsidRPr="004C05A1">
        <w:rPr>
          <w:lang w:val="en-GB"/>
        </w:rPr>
        <w:t>prosecution</w:t>
      </w:r>
      <w:r w:rsidR="006A2387" w:rsidRPr="00557D58">
        <w:rPr>
          <w:lang w:val="en-GB"/>
        </w:rPr>
        <w:t xml:space="preserve"> informed the author’s lawyer</w:t>
      </w:r>
      <w:r w:rsidR="00192AEF" w:rsidRPr="00557D58">
        <w:rPr>
          <w:lang w:val="en-GB"/>
        </w:rPr>
        <w:t>s</w:t>
      </w:r>
      <w:r w:rsidR="006A2387" w:rsidRPr="00557D58">
        <w:rPr>
          <w:lang w:val="en-GB"/>
        </w:rPr>
        <w:t xml:space="preserve"> that her case had been broadened to</w:t>
      </w:r>
      <w:r w:rsidR="0003204D">
        <w:rPr>
          <w:lang w:val="en-GB"/>
        </w:rPr>
        <w:t xml:space="preserve"> include</w:t>
      </w:r>
      <w:r w:rsidR="006A2387" w:rsidRPr="00557D58">
        <w:rPr>
          <w:lang w:val="en-GB"/>
        </w:rPr>
        <w:t xml:space="preserve"> </w:t>
      </w:r>
      <w:r w:rsidR="00417616">
        <w:rPr>
          <w:lang w:val="en-GB"/>
        </w:rPr>
        <w:t>18</w:t>
      </w:r>
      <w:r w:rsidR="00417616" w:rsidRPr="00557D58">
        <w:rPr>
          <w:lang w:val="en-GB"/>
        </w:rPr>
        <w:t xml:space="preserve"> </w:t>
      </w:r>
      <w:r w:rsidR="006A2387" w:rsidRPr="00557D58">
        <w:rPr>
          <w:lang w:val="en-GB"/>
        </w:rPr>
        <w:t>charges</w:t>
      </w:r>
      <w:r w:rsidR="0003204D">
        <w:rPr>
          <w:lang w:val="en-GB"/>
        </w:rPr>
        <w:t xml:space="preserve"> rather than 2 charges</w:t>
      </w:r>
      <w:r w:rsidR="006A2387" w:rsidRPr="00557D58">
        <w:rPr>
          <w:lang w:val="en-GB"/>
        </w:rPr>
        <w:t xml:space="preserve">. The author’s lawyers had only 15 days to study the 13 volumes of the case </w:t>
      </w:r>
      <w:r w:rsidR="00192AEF" w:rsidRPr="00557D58">
        <w:rPr>
          <w:lang w:val="en-GB"/>
        </w:rPr>
        <w:t xml:space="preserve">file </w:t>
      </w:r>
      <w:r w:rsidR="006A2387" w:rsidRPr="00557D58">
        <w:rPr>
          <w:lang w:val="en-GB"/>
        </w:rPr>
        <w:t>before her trial started on 30 January 2006.</w:t>
      </w:r>
    </w:p>
    <w:p w14:paraId="5568F78C" w14:textId="77777777" w:rsidR="006A2387" w:rsidRPr="00557D58" w:rsidRDefault="003A27BE" w:rsidP="00CB4248">
      <w:pPr>
        <w:pStyle w:val="SingleTxtG"/>
        <w:rPr>
          <w:lang w:val="en-GB"/>
        </w:rPr>
      </w:pPr>
      <w:r w:rsidRPr="00557D58">
        <w:rPr>
          <w:lang w:val="en-GB"/>
        </w:rPr>
        <w:t>2.8</w:t>
      </w:r>
      <w:r w:rsidRPr="00557D58">
        <w:rPr>
          <w:lang w:val="en-GB"/>
        </w:rPr>
        <w:tab/>
      </w:r>
      <w:r w:rsidR="006A2387" w:rsidRPr="00557D58">
        <w:rPr>
          <w:lang w:val="en-GB"/>
        </w:rPr>
        <w:t xml:space="preserve">During </w:t>
      </w:r>
      <w:r w:rsidR="00192AEF" w:rsidRPr="00557D58">
        <w:rPr>
          <w:lang w:val="en-GB"/>
        </w:rPr>
        <w:t>the</w:t>
      </w:r>
      <w:r w:rsidR="006A2387" w:rsidRPr="00557D58">
        <w:rPr>
          <w:lang w:val="en-GB"/>
        </w:rPr>
        <w:t xml:space="preserve"> trial, the author was not allowed to meet her lawyers outside the court room. Her lawyers could not call crucial witnesses for her </w:t>
      </w:r>
      <w:r w:rsidR="00B53ECC" w:rsidRPr="00557D58">
        <w:rPr>
          <w:lang w:val="en-GB"/>
        </w:rPr>
        <w:t>defen</w:t>
      </w:r>
      <w:r w:rsidR="00417616">
        <w:rPr>
          <w:lang w:val="en-GB"/>
        </w:rPr>
        <w:t>c</w:t>
      </w:r>
      <w:r w:rsidR="00B53ECC" w:rsidRPr="00557D58">
        <w:rPr>
          <w:lang w:val="en-GB"/>
        </w:rPr>
        <w:t>e</w:t>
      </w:r>
      <w:r w:rsidR="006A2387" w:rsidRPr="00557D58">
        <w:rPr>
          <w:lang w:val="en-GB"/>
        </w:rPr>
        <w:t xml:space="preserve">, and the Court prevented cross-examination of key prosecution witnesses. The </w:t>
      </w:r>
      <w:r w:rsidRPr="00557D58">
        <w:rPr>
          <w:lang w:val="en-GB"/>
        </w:rPr>
        <w:t>p</w:t>
      </w:r>
      <w:r w:rsidR="006A2387" w:rsidRPr="00557D58">
        <w:rPr>
          <w:lang w:val="en-GB"/>
        </w:rPr>
        <w:t xml:space="preserve">rosecution failed to provide her lawyers with </w:t>
      </w:r>
      <w:r w:rsidR="00417616">
        <w:rPr>
          <w:lang w:val="en-GB"/>
        </w:rPr>
        <w:t>three</w:t>
      </w:r>
      <w:r w:rsidR="006A2387" w:rsidRPr="00557D58">
        <w:rPr>
          <w:lang w:val="en-GB"/>
        </w:rPr>
        <w:t xml:space="preserve"> volumes of the relevant evidence and the Court denied the lawyer’s request for </w:t>
      </w:r>
      <w:r w:rsidRPr="00557D58">
        <w:rPr>
          <w:lang w:val="en-GB"/>
        </w:rPr>
        <w:t>access to</w:t>
      </w:r>
      <w:r w:rsidR="006A2387" w:rsidRPr="00557D58">
        <w:rPr>
          <w:lang w:val="en-GB"/>
        </w:rPr>
        <w:t xml:space="preserve"> these volumes. On 6 March 2006, the Tashkent Criminal Court found the author guilty of </w:t>
      </w:r>
      <w:r w:rsidR="00417616">
        <w:rPr>
          <w:lang w:val="en-GB"/>
        </w:rPr>
        <w:t>13</w:t>
      </w:r>
      <w:r w:rsidR="00417616" w:rsidRPr="00557D58">
        <w:rPr>
          <w:lang w:val="en-GB"/>
        </w:rPr>
        <w:t xml:space="preserve"> </w:t>
      </w:r>
      <w:r w:rsidR="00B53ECC" w:rsidRPr="00557D58">
        <w:rPr>
          <w:lang w:val="en-GB"/>
        </w:rPr>
        <w:t>charges</w:t>
      </w:r>
      <w:r w:rsidR="006A2387" w:rsidRPr="00557D58">
        <w:rPr>
          <w:lang w:val="en-GB"/>
        </w:rPr>
        <w:t xml:space="preserve"> and convicted her to </w:t>
      </w:r>
      <w:r w:rsidR="00EA02C7">
        <w:rPr>
          <w:lang w:val="en-GB"/>
        </w:rPr>
        <w:t>eight</w:t>
      </w:r>
      <w:r w:rsidR="006A2387" w:rsidRPr="00557D58">
        <w:rPr>
          <w:lang w:val="en-GB"/>
        </w:rPr>
        <w:t xml:space="preserve"> years</w:t>
      </w:r>
      <w:r w:rsidR="00294573">
        <w:rPr>
          <w:lang w:val="en-GB"/>
        </w:rPr>
        <w:t>’</w:t>
      </w:r>
      <w:r w:rsidR="006A2387" w:rsidRPr="00557D58">
        <w:rPr>
          <w:lang w:val="en-GB"/>
        </w:rPr>
        <w:t xml:space="preserve"> imprisonment.</w:t>
      </w:r>
      <w:r w:rsidR="00B53ECC" w:rsidRPr="00557D58">
        <w:rPr>
          <w:lang w:val="en-GB"/>
        </w:rPr>
        <w:t xml:space="preserve"> </w:t>
      </w:r>
      <w:r w:rsidR="006A2387" w:rsidRPr="00557D58">
        <w:rPr>
          <w:lang w:val="en-GB"/>
        </w:rPr>
        <w:t xml:space="preserve">The </w:t>
      </w:r>
      <w:r w:rsidR="004C05A1">
        <w:rPr>
          <w:lang w:val="en-GB"/>
        </w:rPr>
        <w:t>appeal chamber</w:t>
      </w:r>
      <w:r w:rsidR="006A2387" w:rsidRPr="004C05A1">
        <w:rPr>
          <w:lang w:val="en-GB"/>
        </w:rPr>
        <w:t xml:space="preserve"> of the</w:t>
      </w:r>
      <w:r w:rsidR="00600471">
        <w:rPr>
          <w:lang w:val="en-GB"/>
        </w:rPr>
        <w:t xml:space="preserve"> criminal division of the</w:t>
      </w:r>
      <w:r w:rsidR="006A2387" w:rsidRPr="004C05A1">
        <w:rPr>
          <w:lang w:val="en-GB"/>
        </w:rPr>
        <w:t xml:space="preserve"> Tashkent Regional Court </w:t>
      </w:r>
      <w:r w:rsidR="006A2387" w:rsidRPr="00557D58">
        <w:rPr>
          <w:lang w:val="en-GB"/>
        </w:rPr>
        <w:t xml:space="preserve">dismissed the author’s appeal </w:t>
      </w:r>
      <w:r w:rsidR="00B53ECC" w:rsidRPr="00557D58">
        <w:rPr>
          <w:lang w:val="en-GB"/>
        </w:rPr>
        <w:t xml:space="preserve">against the verdict </w:t>
      </w:r>
      <w:r w:rsidR="006A2387" w:rsidRPr="00557D58">
        <w:rPr>
          <w:lang w:val="en-GB"/>
        </w:rPr>
        <w:t xml:space="preserve">on 30 May 2006. </w:t>
      </w:r>
    </w:p>
    <w:p w14:paraId="36EDA415" w14:textId="77777777" w:rsidR="00693D20" w:rsidRPr="00557D58" w:rsidRDefault="003A27BE" w:rsidP="00CB4248">
      <w:pPr>
        <w:pStyle w:val="SingleTxtG"/>
        <w:rPr>
          <w:lang w:val="en-GB"/>
        </w:rPr>
      </w:pPr>
      <w:r w:rsidRPr="00557D58">
        <w:rPr>
          <w:lang w:val="en-GB"/>
        </w:rPr>
        <w:t>2.9</w:t>
      </w:r>
      <w:r w:rsidRPr="00557D58">
        <w:rPr>
          <w:lang w:val="en-GB"/>
        </w:rPr>
        <w:tab/>
      </w:r>
      <w:r w:rsidR="006A2387" w:rsidRPr="00557D58">
        <w:rPr>
          <w:lang w:val="en-GB"/>
        </w:rPr>
        <w:t xml:space="preserve">On 6 March 2006, the author was imprisoned </w:t>
      </w:r>
      <w:r w:rsidR="004C05A1">
        <w:rPr>
          <w:lang w:val="en-GB"/>
        </w:rPr>
        <w:t>in</w:t>
      </w:r>
      <w:r w:rsidR="004C05A1" w:rsidRPr="00557D58">
        <w:rPr>
          <w:lang w:val="en-GB"/>
        </w:rPr>
        <w:t xml:space="preserve"> </w:t>
      </w:r>
      <w:r w:rsidR="006A2387" w:rsidRPr="00557D58">
        <w:rPr>
          <w:lang w:val="en-GB"/>
        </w:rPr>
        <w:t xml:space="preserve">the women’s ward of </w:t>
      </w:r>
      <w:r w:rsidR="007343E4" w:rsidRPr="004C05A1">
        <w:rPr>
          <w:lang w:val="en-GB"/>
        </w:rPr>
        <w:t>R</w:t>
      </w:r>
      <w:r w:rsidR="006A2387" w:rsidRPr="004C05A1">
        <w:rPr>
          <w:lang w:val="en-GB"/>
        </w:rPr>
        <w:t xml:space="preserve">emand </w:t>
      </w:r>
      <w:r w:rsidR="007343E4" w:rsidRPr="004C05A1">
        <w:rPr>
          <w:lang w:val="en-GB"/>
        </w:rPr>
        <w:t>Cent</w:t>
      </w:r>
      <w:r w:rsidR="00614DB8" w:rsidRPr="004C05A1">
        <w:rPr>
          <w:lang w:val="en-GB"/>
        </w:rPr>
        <w:t>r</w:t>
      </w:r>
      <w:r w:rsidR="007343E4" w:rsidRPr="004C05A1">
        <w:rPr>
          <w:lang w:val="en-GB"/>
        </w:rPr>
        <w:t>e</w:t>
      </w:r>
      <w:r w:rsidR="006A2387" w:rsidRPr="004C05A1">
        <w:rPr>
          <w:lang w:val="en-GB"/>
        </w:rPr>
        <w:t xml:space="preserve"> No. 1</w:t>
      </w:r>
      <w:r w:rsidR="00B53ECC" w:rsidRPr="00557D58">
        <w:rPr>
          <w:lang w:val="en-GB"/>
        </w:rPr>
        <w:t>. On</w:t>
      </w:r>
      <w:r w:rsidR="006A2387" w:rsidRPr="00557D58">
        <w:rPr>
          <w:lang w:val="en-GB"/>
        </w:rPr>
        <w:t xml:space="preserve"> 7 July 2006</w:t>
      </w:r>
      <w:r w:rsidR="00B53ECC" w:rsidRPr="00557D58">
        <w:rPr>
          <w:lang w:val="en-GB"/>
        </w:rPr>
        <w:t>, she was transferred</w:t>
      </w:r>
      <w:r w:rsidR="006A2387" w:rsidRPr="00557D58">
        <w:rPr>
          <w:lang w:val="en-GB"/>
        </w:rPr>
        <w:t xml:space="preserve"> to </w:t>
      </w:r>
      <w:r w:rsidR="00B53ECC" w:rsidRPr="00557D58">
        <w:rPr>
          <w:lang w:val="en-GB"/>
        </w:rPr>
        <w:t>a</w:t>
      </w:r>
      <w:r w:rsidR="006A2387" w:rsidRPr="00557D58">
        <w:rPr>
          <w:lang w:val="en-GB"/>
        </w:rPr>
        <w:t xml:space="preserve"> </w:t>
      </w:r>
      <w:r w:rsidR="006A2387" w:rsidRPr="004C05A1">
        <w:rPr>
          <w:lang w:val="en-GB"/>
        </w:rPr>
        <w:t>women’s colony</w:t>
      </w:r>
      <w:r w:rsidR="00B53ECC" w:rsidRPr="00557D58">
        <w:rPr>
          <w:lang w:val="en-GB"/>
        </w:rPr>
        <w:t>, where she remained</w:t>
      </w:r>
      <w:r w:rsidR="006A2387" w:rsidRPr="00557D58">
        <w:rPr>
          <w:lang w:val="en-GB"/>
        </w:rPr>
        <w:t xml:space="preserve"> until her release on 2 June 2008. </w:t>
      </w:r>
      <w:r w:rsidR="00693D20" w:rsidRPr="00557D58">
        <w:rPr>
          <w:lang w:val="en-GB"/>
        </w:rPr>
        <w:t>Upon her arrival</w:t>
      </w:r>
      <w:r w:rsidR="00614DB8">
        <w:rPr>
          <w:lang w:val="en-GB"/>
        </w:rPr>
        <w:t xml:space="preserve"> at the </w:t>
      </w:r>
      <w:r w:rsidR="00614DB8" w:rsidRPr="004C05A1">
        <w:rPr>
          <w:lang w:val="en-GB"/>
        </w:rPr>
        <w:t>colony</w:t>
      </w:r>
      <w:r w:rsidR="00693D20" w:rsidRPr="00557D58">
        <w:rPr>
          <w:lang w:val="en-GB"/>
        </w:rPr>
        <w:t xml:space="preserve">, she was placed in a psychiatric ward, together with drug addicts and dangerous criminals. The administration of the </w:t>
      </w:r>
      <w:r w:rsidR="00693D20" w:rsidRPr="004C05A1">
        <w:rPr>
          <w:lang w:val="en-GB"/>
        </w:rPr>
        <w:t>women’s colony</w:t>
      </w:r>
      <w:r w:rsidR="00693D20" w:rsidRPr="00557D58">
        <w:rPr>
          <w:lang w:val="en-GB"/>
        </w:rPr>
        <w:t xml:space="preserve"> argued that</w:t>
      </w:r>
      <w:r w:rsidRPr="00557D58">
        <w:rPr>
          <w:lang w:val="en-GB"/>
        </w:rPr>
        <w:t>,</w:t>
      </w:r>
      <w:r w:rsidR="00693D20" w:rsidRPr="00557D58">
        <w:rPr>
          <w:lang w:val="en-GB"/>
        </w:rPr>
        <w:t xml:space="preserve"> as the author had been in need of medical assistance during trial, it was best to put her in the psychiatric unit </w:t>
      </w:r>
      <w:r w:rsidR="00CB4248">
        <w:rPr>
          <w:lang w:val="en-GB"/>
        </w:rPr>
        <w:t xml:space="preserve">in order </w:t>
      </w:r>
      <w:r w:rsidR="00693D20" w:rsidRPr="00557D58">
        <w:rPr>
          <w:lang w:val="en-GB"/>
        </w:rPr>
        <w:t xml:space="preserve">for her to adapt to the women’s colony. </w:t>
      </w:r>
      <w:r w:rsidRPr="00557D58">
        <w:rPr>
          <w:lang w:val="en-GB"/>
        </w:rPr>
        <w:t>The author had neither requested nor needed psychiatric treatment before or during her trial and n</w:t>
      </w:r>
      <w:r w:rsidR="00693D20" w:rsidRPr="00557D58">
        <w:rPr>
          <w:lang w:val="en-GB"/>
        </w:rPr>
        <w:t>o psychiatric assessment of the author was</w:t>
      </w:r>
      <w:r w:rsidRPr="00557D58">
        <w:rPr>
          <w:lang w:val="en-GB"/>
        </w:rPr>
        <w:t xml:space="preserve"> ever</w:t>
      </w:r>
      <w:r w:rsidR="00693D20" w:rsidRPr="00557D58">
        <w:rPr>
          <w:lang w:val="en-GB"/>
        </w:rPr>
        <w:t xml:space="preserve"> carried out. While in </w:t>
      </w:r>
      <w:r w:rsidR="00614DB8">
        <w:rPr>
          <w:lang w:val="en-GB"/>
        </w:rPr>
        <w:t xml:space="preserve">the </w:t>
      </w:r>
      <w:r w:rsidR="00693D20" w:rsidRPr="00557D58">
        <w:rPr>
          <w:lang w:val="en-GB"/>
        </w:rPr>
        <w:t xml:space="preserve">ward, she was threatened by another inmate; she was injured during a fight between inmates and medical personnel, yet did not receive medical treatment; medical staff tried to give her injections for her </w:t>
      </w:r>
      <w:r w:rsidR="00614DB8">
        <w:rPr>
          <w:lang w:val="en-GB"/>
        </w:rPr>
        <w:t>“</w:t>
      </w:r>
      <w:r w:rsidR="00693D20" w:rsidRPr="00557D58">
        <w:rPr>
          <w:lang w:val="en-GB"/>
        </w:rPr>
        <w:t>condition</w:t>
      </w:r>
      <w:r w:rsidR="00614DB8">
        <w:rPr>
          <w:lang w:val="en-GB"/>
        </w:rPr>
        <w:t>”</w:t>
      </w:r>
      <w:r w:rsidR="00693D20" w:rsidRPr="00557D58">
        <w:rPr>
          <w:lang w:val="en-GB"/>
        </w:rPr>
        <w:t xml:space="preserve">, yet refused to inform her what </w:t>
      </w:r>
      <w:r w:rsidR="00614DB8">
        <w:rPr>
          <w:lang w:val="en-GB"/>
        </w:rPr>
        <w:t xml:space="preserve">the </w:t>
      </w:r>
      <w:r w:rsidR="00693D20" w:rsidRPr="00557D58">
        <w:rPr>
          <w:lang w:val="en-GB"/>
        </w:rPr>
        <w:t>medic</w:t>
      </w:r>
      <w:r w:rsidR="003942AA" w:rsidRPr="00557D58">
        <w:rPr>
          <w:lang w:val="en-GB"/>
        </w:rPr>
        <w:t>ation</w:t>
      </w:r>
      <w:r w:rsidR="00693D20" w:rsidRPr="00557D58">
        <w:rPr>
          <w:lang w:val="en-GB"/>
        </w:rPr>
        <w:t xml:space="preserve"> was. The author’s lawyers succeeded in</w:t>
      </w:r>
      <w:r w:rsidR="00614DB8">
        <w:rPr>
          <w:lang w:val="en-GB"/>
        </w:rPr>
        <w:t xml:space="preserve"> having</w:t>
      </w:r>
      <w:r w:rsidR="00693D20" w:rsidRPr="00557D58">
        <w:rPr>
          <w:lang w:val="en-GB"/>
        </w:rPr>
        <w:t xml:space="preserve"> her </w:t>
      </w:r>
      <w:r w:rsidR="00614DB8">
        <w:rPr>
          <w:lang w:val="en-GB"/>
        </w:rPr>
        <w:t xml:space="preserve">moved </w:t>
      </w:r>
      <w:r w:rsidR="00693D20" w:rsidRPr="00557D58">
        <w:rPr>
          <w:lang w:val="en-GB"/>
        </w:rPr>
        <w:t xml:space="preserve">to a different part of the </w:t>
      </w:r>
      <w:r w:rsidR="00693D20" w:rsidRPr="004C05A1">
        <w:rPr>
          <w:lang w:val="en-GB"/>
        </w:rPr>
        <w:t>colony</w:t>
      </w:r>
      <w:r w:rsidR="00693D20" w:rsidRPr="00557D58">
        <w:rPr>
          <w:lang w:val="en-GB"/>
        </w:rPr>
        <w:t xml:space="preserve"> after </w:t>
      </w:r>
      <w:r w:rsidR="00614DB8">
        <w:rPr>
          <w:lang w:val="en-GB"/>
        </w:rPr>
        <w:t>10</w:t>
      </w:r>
      <w:r w:rsidR="00614DB8" w:rsidRPr="00557D58">
        <w:rPr>
          <w:lang w:val="en-GB"/>
        </w:rPr>
        <w:t xml:space="preserve"> </w:t>
      </w:r>
      <w:r w:rsidR="00693D20" w:rsidRPr="00557D58">
        <w:rPr>
          <w:lang w:val="en-GB"/>
        </w:rPr>
        <w:t xml:space="preserve">days in the psychiatric ward. </w:t>
      </w:r>
    </w:p>
    <w:p w14:paraId="55BC82E8" w14:textId="77777777" w:rsidR="00DC452C" w:rsidRPr="00557D58" w:rsidRDefault="00693D20" w:rsidP="00E17765">
      <w:pPr>
        <w:pStyle w:val="SingleTxtG"/>
        <w:rPr>
          <w:lang w:val="en-GB"/>
        </w:rPr>
      </w:pPr>
      <w:r w:rsidRPr="00557D58">
        <w:rPr>
          <w:lang w:val="en-GB"/>
        </w:rPr>
        <w:t>2.</w:t>
      </w:r>
      <w:r w:rsidR="003A27BE" w:rsidRPr="00557D58">
        <w:rPr>
          <w:lang w:val="en-GB"/>
        </w:rPr>
        <w:t>10</w:t>
      </w:r>
      <w:r w:rsidRPr="00557D58">
        <w:rPr>
          <w:lang w:val="en-GB"/>
        </w:rPr>
        <w:tab/>
        <w:t>D</w:t>
      </w:r>
      <w:r w:rsidR="006A2387" w:rsidRPr="00557D58">
        <w:rPr>
          <w:lang w:val="en-GB"/>
        </w:rPr>
        <w:t xml:space="preserve">uring her imprisonment, </w:t>
      </w:r>
      <w:r w:rsidRPr="00557D58">
        <w:rPr>
          <w:lang w:val="en-GB"/>
        </w:rPr>
        <w:t>t</w:t>
      </w:r>
      <w:r w:rsidR="006A2387" w:rsidRPr="00557D58">
        <w:rPr>
          <w:lang w:val="en-GB"/>
        </w:rPr>
        <w:t>he</w:t>
      </w:r>
      <w:r w:rsidRPr="00557D58">
        <w:rPr>
          <w:lang w:val="en-GB"/>
        </w:rPr>
        <w:t xml:space="preserve"> author</w:t>
      </w:r>
      <w:r w:rsidR="006A2387" w:rsidRPr="00557D58">
        <w:rPr>
          <w:lang w:val="en-GB"/>
        </w:rPr>
        <w:t xml:space="preserve"> was forced to work </w:t>
      </w:r>
      <w:r w:rsidR="00015DCC">
        <w:rPr>
          <w:lang w:val="en-GB"/>
        </w:rPr>
        <w:t>nine</w:t>
      </w:r>
      <w:r w:rsidR="006A2387" w:rsidRPr="00557D58">
        <w:rPr>
          <w:lang w:val="en-GB"/>
        </w:rPr>
        <w:t xml:space="preserve"> hours </w:t>
      </w:r>
      <w:r w:rsidR="00E17765">
        <w:rPr>
          <w:lang w:val="en-GB"/>
        </w:rPr>
        <w:t>a</w:t>
      </w:r>
      <w:r w:rsidR="00E17765" w:rsidRPr="00557D58">
        <w:rPr>
          <w:lang w:val="en-GB"/>
        </w:rPr>
        <w:t xml:space="preserve"> </w:t>
      </w:r>
      <w:r w:rsidR="006A2387" w:rsidRPr="00557D58">
        <w:rPr>
          <w:lang w:val="en-GB"/>
        </w:rPr>
        <w:t xml:space="preserve">day, followed sometimes by </w:t>
      </w:r>
      <w:r w:rsidR="00015DCC">
        <w:rPr>
          <w:lang w:val="en-GB"/>
        </w:rPr>
        <w:t>seven</w:t>
      </w:r>
      <w:r w:rsidR="006A2387" w:rsidRPr="00557D58">
        <w:rPr>
          <w:lang w:val="en-GB"/>
        </w:rPr>
        <w:t xml:space="preserve"> hours of forced standing. </w:t>
      </w:r>
      <w:r w:rsidR="003942AA" w:rsidRPr="00557D58">
        <w:rPr>
          <w:lang w:val="en-GB"/>
        </w:rPr>
        <w:t>Her complaints regarding such</w:t>
      </w:r>
      <w:r w:rsidR="00DC452C" w:rsidRPr="00557D58">
        <w:rPr>
          <w:lang w:val="en-GB"/>
        </w:rPr>
        <w:t xml:space="preserve"> incidents</w:t>
      </w:r>
      <w:r w:rsidR="00015DCC">
        <w:rPr>
          <w:lang w:val="en-GB"/>
        </w:rPr>
        <w:t xml:space="preserve"> </w:t>
      </w:r>
      <w:r w:rsidR="00DC452C" w:rsidRPr="00557D58">
        <w:rPr>
          <w:lang w:val="en-GB"/>
        </w:rPr>
        <w:t xml:space="preserve">were either not </w:t>
      </w:r>
      <w:r w:rsidR="007343E4" w:rsidRPr="00557D58">
        <w:rPr>
          <w:lang w:val="en-GB"/>
        </w:rPr>
        <w:t>transmitted</w:t>
      </w:r>
      <w:r w:rsidR="00DC452C" w:rsidRPr="00557D58">
        <w:rPr>
          <w:lang w:val="en-GB"/>
        </w:rPr>
        <w:t xml:space="preserve"> by the </w:t>
      </w:r>
      <w:r w:rsidR="00E17765">
        <w:rPr>
          <w:lang w:val="en-GB"/>
        </w:rPr>
        <w:t>wardens</w:t>
      </w:r>
      <w:r w:rsidR="00DC452C" w:rsidRPr="00557D58">
        <w:rPr>
          <w:lang w:val="en-GB"/>
        </w:rPr>
        <w:t xml:space="preserve">, or were ignored by the administration and the </w:t>
      </w:r>
      <w:r w:rsidR="004C05A1" w:rsidRPr="00600471">
        <w:rPr>
          <w:lang w:val="en-GB"/>
        </w:rPr>
        <w:t>procurator</w:t>
      </w:r>
      <w:r w:rsidR="00DC452C" w:rsidRPr="00557D58">
        <w:rPr>
          <w:lang w:val="en-GB"/>
        </w:rPr>
        <w:t>.</w:t>
      </w:r>
      <w:r w:rsidR="00DC452C" w:rsidRPr="00557D58">
        <w:rPr>
          <w:rStyle w:val="FootnoteReference"/>
          <w:lang w:val="en-GB"/>
        </w:rPr>
        <w:footnoteReference w:id="5"/>
      </w:r>
      <w:r w:rsidR="00DC452C" w:rsidRPr="00557D58">
        <w:rPr>
          <w:lang w:val="en-GB"/>
        </w:rPr>
        <w:t xml:space="preserve"> From July 2006 to April 2008, the </w:t>
      </w:r>
      <w:r w:rsidR="00E17765">
        <w:rPr>
          <w:lang w:val="en-GB"/>
        </w:rPr>
        <w:t>wardens</w:t>
      </w:r>
      <w:r w:rsidR="00E17765" w:rsidRPr="00557D58">
        <w:rPr>
          <w:lang w:val="en-GB"/>
        </w:rPr>
        <w:t xml:space="preserve"> </w:t>
      </w:r>
      <w:r w:rsidR="00DC452C" w:rsidRPr="00557D58">
        <w:rPr>
          <w:lang w:val="en-GB"/>
        </w:rPr>
        <w:t xml:space="preserve">continuously accused the author of violating prison regulations, yet she was denied the possibility to review the documentation that served as a basis for the accusations. When the author went on a hunger strike in November 2006 to protest against her treatment, three prison </w:t>
      </w:r>
      <w:r w:rsidR="00E17765">
        <w:rPr>
          <w:lang w:val="en-GB"/>
        </w:rPr>
        <w:t>wardens</w:t>
      </w:r>
      <w:r w:rsidR="00E17765" w:rsidRPr="00557D58">
        <w:rPr>
          <w:lang w:val="en-GB"/>
        </w:rPr>
        <w:t xml:space="preserve"> </w:t>
      </w:r>
      <w:r w:rsidR="00DC452C" w:rsidRPr="00557D58">
        <w:rPr>
          <w:lang w:val="en-GB"/>
        </w:rPr>
        <w:t xml:space="preserve">took her to a punishment cell, where they handcuffed her and hung her </w:t>
      </w:r>
      <w:r w:rsidR="00E17765">
        <w:rPr>
          <w:lang w:val="en-GB"/>
        </w:rPr>
        <w:t>by</w:t>
      </w:r>
      <w:r w:rsidR="00E17765" w:rsidRPr="00557D58">
        <w:rPr>
          <w:lang w:val="en-GB"/>
        </w:rPr>
        <w:t xml:space="preserve"> </w:t>
      </w:r>
      <w:r w:rsidR="00DC452C" w:rsidRPr="00557D58">
        <w:rPr>
          <w:lang w:val="en-GB"/>
        </w:rPr>
        <w:t xml:space="preserve">a hook on the wall. One of them </w:t>
      </w:r>
      <w:r w:rsidR="00457AE0" w:rsidRPr="00557D58">
        <w:rPr>
          <w:lang w:val="en-GB"/>
        </w:rPr>
        <w:t xml:space="preserve">placed </w:t>
      </w:r>
      <w:r w:rsidR="00DC452C" w:rsidRPr="00557D58">
        <w:rPr>
          <w:lang w:val="en-GB"/>
        </w:rPr>
        <w:t xml:space="preserve">one end of a dirty hose in a toilet and threatened </w:t>
      </w:r>
      <w:r w:rsidR="00D178AC" w:rsidRPr="00557D58">
        <w:rPr>
          <w:lang w:val="en-GB"/>
        </w:rPr>
        <w:t>that</w:t>
      </w:r>
      <w:r w:rsidR="00DC452C" w:rsidRPr="00557D58">
        <w:rPr>
          <w:lang w:val="en-GB"/>
        </w:rPr>
        <w:t xml:space="preserve"> she </w:t>
      </w:r>
      <w:r w:rsidR="007343E4" w:rsidRPr="00557D58">
        <w:rPr>
          <w:lang w:val="en-GB"/>
        </w:rPr>
        <w:t>would</w:t>
      </w:r>
      <w:r w:rsidR="00DC452C" w:rsidRPr="00557D58">
        <w:rPr>
          <w:lang w:val="en-GB"/>
        </w:rPr>
        <w:t xml:space="preserve"> be force</w:t>
      </w:r>
      <w:r w:rsidR="000856E6">
        <w:rPr>
          <w:lang w:val="en-GB"/>
        </w:rPr>
        <w:t>-</w:t>
      </w:r>
      <w:r w:rsidR="00DC452C" w:rsidRPr="00557D58">
        <w:rPr>
          <w:lang w:val="en-GB"/>
        </w:rPr>
        <w:t>fed</w:t>
      </w:r>
      <w:r w:rsidR="007343E4" w:rsidRPr="00557D58">
        <w:rPr>
          <w:lang w:val="en-GB"/>
        </w:rPr>
        <w:t xml:space="preserve"> with it</w:t>
      </w:r>
      <w:r w:rsidR="00DC452C" w:rsidRPr="00557D58">
        <w:rPr>
          <w:lang w:val="en-GB"/>
        </w:rPr>
        <w:t xml:space="preserve">. She was left hanging from the wall and displayed to a group of law students who were brought in her cell. Following a visit from her brother in January 2007, </w:t>
      </w:r>
      <w:r w:rsidR="00EA02C7">
        <w:rPr>
          <w:lang w:val="en-GB"/>
        </w:rPr>
        <w:t>during</w:t>
      </w:r>
      <w:r w:rsidR="00DC452C" w:rsidRPr="00557D58">
        <w:rPr>
          <w:lang w:val="en-GB"/>
        </w:rPr>
        <w:t xml:space="preserve"> which the </w:t>
      </w:r>
      <w:r w:rsidR="0088518D" w:rsidRPr="00557D58">
        <w:rPr>
          <w:lang w:val="en-GB"/>
        </w:rPr>
        <w:t>a</w:t>
      </w:r>
      <w:r w:rsidR="00DC452C" w:rsidRPr="00557D58">
        <w:rPr>
          <w:lang w:val="en-GB"/>
        </w:rPr>
        <w:t xml:space="preserve">uthor informed him about the detention conditions, </w:t>
      </w:r>
      <w:r w:rsidR="00E17765">
        <w:rPr>
          <w:lang w:val="en-GB"/>
        </w:rPr>
        <w:t>wardens</w:t>
      </w:r>
      <w:r w:rsidR="00E17765" w:rsidRPr="00557D58">
        <w:rPr>
          <w:lang w:val="en-GB"/>
        </w:rPr>
        <w:t xml:space="preserve"> </w:t>
      </w:r>
      <w:r w:rsidR="00DC452C" w:rsidRPr="00557D58">
        <w:rPr>
          <w:lang w:val="en-GB"/>
        </w:rPr>
        <w:t xml:space="preserve">at the women’s colony forced </w:t>
      </w:r>
      <w:r w:rsidR="0088518D" w:rsidRPr="00557D58">
        <w:rPr>
          <w:lang w:val="en-GB"/>
        </w:rPr>
        <w:t>her</w:t>
      </w:r>
      <w:r w:rsidR="00DC452C" w:rsidRPr="00557D58">
        <w:rPr>
          <w:lang w:val="en-GB"/>
        </w:rPr>
        <w:t xml:space="preserve"> to stand outside in the rain in freezing conditions for two hours. </w:t>
      </w:r>
    </w:p>
    <w:p w14:paraId="3BF6F0D9" w14:textId="77777777" w:rsidR="006A2387" w:rsidRPr="00557D58" w:rsidRDefault="0088518D" w:rsidP="00E17765">
      <w:pPr>
        <w:pStyle w:val="SingleTxtG"/>
        <w:rPr>
          <w:lang w:val="en-GB"/>
        </w:rPr>
      </w:pPr>
      <w:r w:rsidRPr="00557D58">
        <w:rPr>
          <w:lang w:val="en-GB"/>
        </w:rPr>
        <w:t>2.1</w:t>
      </w:r>
      <w:r w:rsidR="003A27BE" w:rsidRPr="00557D58">
        <w:rPr>
          <w:lang w:val="en-GB"/>
        </w:rPr>
        <w:t>1</w:t>
      </w:r>
      <w:r w:rsidRPr="00557D58">
        <w:rPr>
          <w:lang w:val="en-GB"/>
        </w:rPr>
        <w:tab/>
        <w:t>T</w:t>
      </w:r>
      <w:r w:rsidR="006A2387" w:rsidRPr="00557D58">
        <w:rPr>
          <w:lang w:val="en-GB"/>
        </w:rPr>
        <w:t>he</w:t>
      </w:r>
      <w:r w:rsidRPr="00557D58">
        <w:rPr>
          <w:lang w:val="en-GB"/>
        </w:rPr>
        <w:t xml:space="preserve"> author submits that she</w:t>
      </w:r>
      <w:r w:rsidR="006A2387" w:rsidRPr="00557D58">
        <w:rPr>
          <w:lang w:val="en-GB"/>
        </w:rPr>
        <w:t xml:space="preserve"> spent a total of 112 days in solitary confinement. </w:t>
      </w:r>
      <w:r w:rsidR="00234035" w:rsidRPr="00557D58">
        <w:rPr>
          <w:lang w:val="en-GB"/>
        </w:rPr>
        <w:t>T</w:t>
      </w:r>
      <w:r w:rsidR="006A2387" w:rsidRPr="00557D58">
        <w:rPr>
          <w:lang w:val="en-GB"/>
        </w:rPr>
        <w:t>he law prohibits detention for more than 15 days. On several occasions, the author was released after 15 days for a few hours and then placed again in isolation. She was deliberately exposed to freezing conditions</w:t>
      </w:r>
      <w:r w:rsidR="00B53ECC" w:rsidRPr="00557D58">
        <w:rPr>
          <w:lang w:val="en-GB"/>
        </w:rPr>
        <w:t>,</w:t>
      </w:r>
      <w:r w:rsidR="006A2387" w:rsidRPr="00557D58">
        <w:rPr>
          <w:lang w:val="en-GB"/>
        </w:rPr>
        <w:t xml:space="preserve"> resulting in </w:t>
      </w:r>
      <w:r w:rsidR="000856E6">
        <w:rPr>
          <w:lang w:val="en-GB"/>
        </w:rPr>
        <w:t xml:space="preserve">a </w:t>
      </w:r>
      <w:r w:rsidR="00457AE0" w:rsidRPr="00557D58">
        <w:rPr>
          <w:lang w:val="en-GB"/>
        </w:rPr>
        <w:t xml:space="preserve">deterioration </w:t>
      </w:r>
      <w:r w:rsidR="006A2387" w:rsidRPr="00557D58">
        <w:rPr>
          <w:lang w:val="en-GB"/>
        </w:rPr>
        <w:t xml:space="preserve">of her </w:t>
      </w:r>
      <w:r w:rsidR="00B53ECC" w:rsidRPr="00557D58">
        <w:rPr>
          <w:lang w:val="en-GB"/>
        </w:rPr>
        <w:t>health</w:t>
      </w:r>
      <w:r w:rsidR="006A2387" w:rsidRPr="00557D58">
        <w:rPr>
          <w:lang w:val="en-GB"/>
        </w:rPr>
        <w:t xml:space="preserve">. She was physically attacked </w:t>
      </w:r>
      <w:r w:rsidR="00234035" w:rsidRPr="00557D58">
        <w:rPr>
          <w:lang w:val="en-GB"/>
        </w:rPr>
        <w:t xml:space="preserve">by prison </w:t>
      </w:r>
      <w:r w:rsidR="00E17765">
        <w:rPr>
          <w:lang w:val="en-GB"/>
        </w:rPr>
        <w:t>wardens</w:t>
      </w:r>
      <w:r w:rsidR="00234035" w:rsidRPr="00557D58">
        <w:rPr>
          <w:lang w:val="en-GB"/>
        </w:rPr>
        <w:t>,</w:t>
      </w:r>
      <w:r w:rsidR="006A2387" w:rsidRPr="00557D58">
        <w:rPr>
          <w:lang w:val="en-GB"/>
        </w:rPr>
        <w:t xml:space="preserve"> forced to stand naked in the cold until she </w:t>
      </w:r>
      <w:r w:rsidR="00E17765">
        <w:rPr>
          <w:lang w:val="en-GB"/>
        </w:rPr>
        <w:t>lost</w:t>
      </w:r>
      <w:r w:rsidR="00E17765" w:rsidRPr="00557D58">
        <w:rPr>
          <w:lang w:val="en-GB"/>
        </w:rPr>
        <w:t xml:space="preserve"> </w:t>
      </w:r>
      <w:r w:rsidR="006A2387" w:rsidRPr="00557D58">
        <w:rPr>
          <w:lang w:val="en-GB"/>
        </w:rPr>
        <w:t>conscious</w:t>
      </w:r>
      <w:r w:rsidR="00E17765">
        <w:rPr>
          <w:lang w:val="en-GB"/>
        </w:rPr>
        <w:t>ness</w:t>
      </w:r>
      <w:r w:rsidR="00457AE0" w:rsidRPr="00557D58">
        <w:rPr>
          <w:lang w:val="en-GB"/>
        </w:rPr>
        <w:t>.</w:t>
      </w:r>
      <w:r w:rsidR="006A2387" w:rsidRPr="00557D58">
        <w:rPr>
          <w:lang w:val="en-GB"/>
        </w:rPr>
        <w:t xml:space="preserve"> She did not have access to her lawyers from 8 July 2006 to 2 June 2008.</w:t>
      </w:r>
      <w:r w:rsidR="00CB5E70" w:rsidRPr="00557D58">
        <w:rPr>
          <w:lang w:val="en-GB"/>
        </w:rPr>
        <w:t xml:space="preserve"> </w:t>
      </w:r>
      <w:r w:rsidR="006A2387" w:rsidRPr="00557D58">
        <w:rPr>
          <w:lang w:val="en-GB"/>
        </w:rPr>
        <w:t xml:space="preserve">She </w:t>
      </w:r>
      <w:r w:rsidR="006A2387" w:rsidRPr="00557D58">
        <w:rPr>
          <w:lang w:val="en-GB"/>
        </w:rPr>
        <w:lastRenderedPageBreak/>
        <w:t xml:space="preserve">was not allowed to receive any visits from her family or friends </w:t>
      </w:r>
      <w:r w:rsidR="00B53ECC" w:rsidRPr="00557D58">
        <w:rPr>
          <w:lang w:val="en-GB"/>
        </w:rPr>
        <w:t xml:space="preserve">between </w:t>
      </w:r>
      <w:r w:rsidR="006A2387" w:rsidRPr="00557D58">
        <w:rPr>
          <w:lang w:val="en-GB"/>
        </w:rPr>
        <w:t xml:space="preserve">January </w:t>
      </w:r>
      <w:r w:rsidR="00B53ECC" w:rsidRPr="00557D58">
        <w:rPr>
          <w:lang w:val="en-GB"/>
        </w:rPr>
        <w:t>and</w:t>
      </w:r>
      <w:r w:rsidR="006A2387" w:rsidRPr="00557D58">
        <w:rPr>
          <w:lang w:val="en-GB"/>
        </w:rPr>
        <w:t xml:space="preserve"> August 2007. </w:t>
      </w:r>
    </w:p>
    <w:p w14:paraId="0B828442" w14:textId="77777777" w:rsidR="00457AE0" w:rsidRPr="00557D58" w:rsidRDefault="006A2387" w:rsidP="00D178AC">
      <w:pPr>
        <w:pStyle w:val="SingleTxtG"/>
        <w:rPr>
          <w:lang w:val="en-GB"/>
        </w:rPr>
      </w:pPr>
      <w:r w:rsidRPr="00557D58">
        <w:rPr>
          <w:lang w:val="en-GB"/>
        </w:rPr>
        <w:t>2.</w:t>
      </w:r>
      <w:r w:rsidR="0088518D" w:rsidRPr="00557D58">
        <w:rPr>
          <w:lang w:val="en-GB"/>
        </w:rPr>
        <w:t>1</w:t>
      </w:r>
      <w:r w:rsidR="003A27BE" w:rsidRPr="00557D58">
        <w:rPr>
          <w:lang w:val="en-GB"/>
        </w:rPr>
        <w:t>2</w:t>
      </w:r>
      <w:r w:rsidRPr="00557D58">
        <w:rPr>
          <w:lang w:val="en-GB"/>
        </w:rPr>
        <w:tab/>
        <w:t xml:space="preserve">On 18 March 2008, </w:t>
      </w:r>
      <w:r w:rsidR="00B53ECC" w:rsidRPr="00557D58">
        <w:rPr>
          <w:lang w:val="en-GB"/>
        </w:rPr>
        <w:t xml:space="preserve">the </w:t>
      </w:r>
      <w:r w:rsidRPr="00557D58">
        <w:rPr>
          <w:lang w:val="en-GB"/>
        </w:rPr>
        <w:t xml:space="preserve">author </w:t>
      </w:r>
      <w:r w:rsidR="00B53ECC" w:rsidRPr="00557D58">
        <w:rPr>
          <w:lang w:val="en-GB"/>
        </w:rPr>
        <w:t xml:space="preserve">was operated </w:t>
      </w:r>
      <w:r w:rsidRPr="00557D58">
        <w:rPr>
          <w:lang w:val="en-GB"/>
        </w:rPr>
        <w:t xml:space="preserve">against her will. The authorities failed to inform her about the reasons for </w:t>
      </w:r>
      <w:r w:rsidR="00B53ECC" w:rsidRPr="00557D58">
        <w:rPr>
          <w:lang w:val="en-GB"/>
        </w:rPr>
        <w:t>the surgery</w:t>
      </w:r>
      <w:r w:rsidRPr="00557D58">
        <w:rPr>
          <w:lang w:val="en-GB"/>
        </w:rPr>
        <w:t xml:space="preserve">, and did not tell her that her uterus was to be removed during the surgery. After having been returned to the </w:t>
      </w:r>
      <w:r w:rsidRPr="004C05A1">
        <w:rPr>
          <w:lang w:val="en-GB"/>
        </w:rPr>
        <w:t>colony</w:t>
      </w:r>
      <w:r w:rsidR="00B53ECC" w:rsidRPr="00557D58">
        <w:rPr>
          <w:lang w:val="en-GB"/>
        </w:rPr>
        <w:t>,</w:t>
      </w:r>
      <w:r w:rsidRPr="00557D58">
        <w:rPr>
          <w:lang w:val="en-GB"/>
        </w:rPr>
        <w:t xml:space="preserve"> where she did not receive any medication, she was released on 2 June 2008 on medical grounds</w:t>
      </w:r>
      <w:r w:rsidR="00B53ECC" w:rsidRPr="00557D58">
        <w:rPr>
          <w:lang w:val="en-GB"/>
        </w:rPr>
        <w:t xml:space="preserve">. </w:t>
      </w:r>
    </w:p>
    <w:p w14:paraId="2918A022" w14:textId="77777777" w:rsidR="00A9008E" w:rsidRPr="00557D58" w:rsidRDefault="00693D20" w:rsidP="00E17765">
      <w:pPr>
        <w:pStyle w:val="SingleTxtG"/>
        <w:rPr>
          <w:lang w:val="en-GB"/>
        </w:rPr>
      </w:pPr>
      <w:r w:rsidRPr="00557D58">
        <w:rPr>
          <w:lang w:val="en-GB"/>
        </w:rPr>
        <w:t>2.1</w:t>
      </w:r>
      <w:r w:rsidR="003A27BE" w:rsidRPr="00557D58">
        <w:rPr>
          <w:lang w:val="en-GB"/>
        </w:rPr>
        <w:t>3</w:t>
      </w:r>
      <w:r w:rsidR="006A2387" w:rsidRPr="00557D58">
        <w:rPr>
          <w:lang w:val="en-GB"/>
        </w:rPr>
        <w:tab/>
        <w:t xml:space="preserve">After her release, the author sought </w:t>
      </w:r>
      <w:r w:rsidR="00B53ECC" w:rsidRPr="00557D58">
        <w:rPr>
          <w:lang w:val="en-GB"/>
        </w:rPr>
        <w:t xml:space="preserve">medical </w:t>
      </w:r>
      <w:r w:rsidR="006A2387" w:rsidRPr="00557D58">
        <w:rPr>
          <w:lang w:val="en-GB"/>
        </w:rPr>
        <w:t>treatment; however</w:t>
      </w:r>
      <w:r w:rsidR="00B53ECC" w:rsidRPr="00557D58">
        <w:rPr>
          <w:lang w:val="en-GB"/>
        </w:rPr>
        <w:t xml:space="preserve">, her </w:t>
      </w:r>
      <w:r w:rsidR="006A2387" w:rsidRPr="00557D58">
        <w:rPr>
          <w:lang w:val="en-GB"/>
        </w:rPr>
        <w:t>doctors did not have access to her complete medical file from the women’s colony, as the author’s requests for the file were denied.</w:t>
      </w:r>
      <w:r w:rsidR="009779EA" w:rsidRPr="00557D58">
        <w:rPr>
          <w:lang w:val="en-GB"/>
        </w:rPr>
        <w:t xml:space="preserve"> The author submits that</w:t>
      </w:r>
      <w:r w:rsidR="000856E6">
        <w:rPr>
          <w:lang w:val="en-GB"/>
        </w:rPr>
        <w:t>,</w:t>
      </w:r>
      <w:r w:rsidR="009779EA" w:rsidRPr="00557D58">
        <w:rPr>
          <w:lang w:val="en-GB"/>
        </w:rPr>
        <w:t xml:space="preserve"> on 13 October 2008, she travelled</w:t>
      </w:r>
      <w:r w:rsidR="00587429" w:rsidRPr="00557D58">
        <w:rPr>
          <w:lang w:val="en-GB"/>
        </w:rPr>
        <w:t xml:space="preserve"> to</w:t>
      </w:r>
      <w:r w:rsidR="009779EA" w:rsidRPr="00557D58">
        <w:rPr>
          <w:lang w:val="en-GB"/>
        </w:rPr>
        <w:t xml:space="preserve"> Germany, where she </w:t>
      </w:r>
      <w:r w:rsidR="00587429" w:rsidRPr="00557D58">
        <w:rPr>
          <w:lang w:val="en-GB"/>
        </w:rPr>
        <w:t>sought</w:t>
      </w:r>
      <w:r w:rsidR="009779EA" w:rsidRPr="00557D58">
        <w:rPr>
          <w:lang w:val="en-GB"/>
        </w:rPr>
        <w:t xml:space="preserve"> medical care. Additionally, surgery was carried out on the author in Switzerland.</w:t>
      </w:r>
      <w:r w:rsidR="00033A75" w:rsidRPr="00557D58">
        <w:rPr>
          <w:lang w:val="en-GB"/>
        </w:rPr>
        <w:t xml:space="preserve"> </w:t>
      </w:r>
      <w:r w:rsidR="006A2387" w:rsidRPr="00557D58">
        <w:rPr>
          <w:lang w:val="en-GB"/>
        </w:rPr>
        <w:t>Doctors</w:t>
      </w:r>
      <w:r w:rsidR="00033A75" w:rsidRPr="00557D58">
        <w:rPr>
          <w:lang w:val="en-GB"/>
        </w:rPr>
        <w:t xml:space="preserve"> </w:t>
      </w:r>
      <w:r w:rsidR="006A2387" w:rsidRPr="00557D58">
        <w:rPr>
          <w:lang w:val="en-GB"/>
        </w:rPr>
        <w:t xml:space="preserve">in </w:t>
      </w:r>
      <w:r w:rsidR="00587429" w:rsidRPr="00557D58">
        <w:rPr>
          <w:lang w:val="en-GB"/>
        </w:rPr>
        <w:t xml:space="preserve">both </w:t>
      </w:r>
      <w:r w:rsidR="006A2387" w:rsidRPr="00557D58">
        <w:rPr>
          <w:lang w:val="en-GB"/>
        </w:rPr>
        <w:t>Germany and Switzerland encountered problems when seeking to establish why the author had been operated on</w:t>
      </w:r>
      <w:r w:rsidR="00DE6BB0" w:rsidRPr="00557D58">
        <w:rPr>
          <w:lang w:val="en-GB"/>
        </w:rPr>
        <w:t>.</w:t>
      </w:r>
      <w:r w:rsidR="006A2387" w:rsidRPr="00557D58">
        <w:rPr>
          <w:lang w:val="en-GB"/>
        </w:rPr>
        <w:t xml:space="preserve"> </w:t>
      </w:r>
      <w:r w:rsidR="000856E6">
        <w:rPr>
          <w:lang w:val="en-GB"/>
        </w:rPr>
        <w:t>Owing</w:t>
      </w:r>
      <w:r w:rsidR="000856E6" w:rsidRPr="00557D58">
        <w:rPr>
          <w:lang w:val="en-GB"/>
        </w:rPr>
        <w:t xml:space="preserve"> </w:t>
      </w:r>
      <w:r w:rsidR="006A2387" w:rsidRPr="00557D58">
        <w:rPr>
          <w:lang w:val="en-GB"/>
        </w:rPr>
        <w:t xml:space="preserve">to fear for her </w:t>
      </w:r>
      <w:r w:rsidR="00B67CC5" w:rsidRPr="00557D58">
        <w:rPr>
          <w:lang w:val="en-GB"/>
        </w:rPr>
        <w:t xml:space="preserve">and </w:t>
      </w:r>
      <w:r w:rsidR="006A2387" w:rsidRPr="00557D58">
        <w:rPr>
          <w:lang w:val="en-GB"/>
        </w:rPr>
        <w:t>her family’s safety, the author</w:t>
      </w:r>
      <w:r w:rsidR="00AC6407" w:rsidRPr="00557D58">
        <w:rPr>
          <w:lang w:val="en-GB"/>
        </w:rPr>
        <w:t xml:space="preserve"> subsequently</w:t>
      </w:r>
      <w:r w:rsidR="006A2387" w:rsidRPr="00557D58">
        <w:rPr>
          <w:lang w:val="en-GB"/>
        </w:rPr>
        <w:t xml:space="preserve"> left Uzbekistan for France in March 2009.</w:t>
      </w:r>
    </w:p>
    <w:p w14:paraId="30C40F1F" w14:textId="77777777" w:rsidR="00E573A6" w:rsidRPr="00895641" w:rsidRDefault="00B53ECC">
      <w:pPr>
        <w:pStyle w:val="SingleTxtG"/>
        <w:rPr>
          <w:lang w:val="en-GB"/>
        </w:rPr>
      </w:pPr>
      <w:r w:rsidRPr="00557D58">
        <w:rPr>
          <w:lang w:val="en-GB"/>
        </w:rPr>
        <w:t>2.1</w:t>
      </w:r>
      <w:r w:rsidR="003A27BE" w:rsidRPr="00557D58">
        <w:rPr>
          <w:lang w:val="en-GB"/>
        </w:rPr>
        <w:t>4</w:t>
      </w:r>
      <w:r w:rsidRPr="00557D58">
        <w:rPr>
          <w:lang w:val="en-GB"/>
        </w:rPr>
        <w:tab/>
      </w:r>
      <w:r w:rsidR="00B541DB" w:rsidRPr="00557D58">
        <w:rPr>
          <w:lang w:val="en-GB"/>
        </w:rPr>
        <w:t>A</w:t>
      </w:r>
      <w:r w:rsidR="00E573A6" w:rsidRPr="00557D58">
        <w:rPr>
          <w:lang w:val="en-GB"/>
        </w:rPr>
        <w:t xml:space="preserve">s a result of </w:t>
      </w:r>
      <w:r w:rsidR="004058EB" w:rsidRPr="00557D58">
        <w:rPr>
          <w:lang w:val="en-GB"/>
        </w:rPr>
        <w:t>the torture and incarceration</w:t>
      </w:r>
      <w:r w:rsidR="00B541DB" w:rsidRPr="00557D58">
        <w:rPr>
          <w:lang w:val="en-GB"/>
        </w:rPr>
        <w:t>, the author</w:t>
      </w:r>
      <w:r w:rsidR="00E573A6" w:rsidRPr="00557D58">
        <w:rPr>
          <w:lang w:val="en-GB"/>
        </w:rPr>
        <w:t xml:space="preserve"> has difficulties walking</w:t>
      </w:r>
      <w:r w:rsidR="00B541DB" w:rsidRPr="00557D58">
        <w:rPr>
          <w:lang w:val="en-GB"/>
        </w:rPr>
        <w:t xml:space="preserve">, </w:t>
      </w:r>
      <w:r w:rsidR="00E573A6" w:rsidRPr="00557D58">
        <w:rPr>
          <w:lang w:val="en-GB"/>
        </w:rPr>
        <w:t>severe diabetes</w:t>
      </w:r>
      <w:r w:rsidR="00B67CC5" w:rsidRPr="00557D58">
        <w:rPr>
          <w:lang w:val="en-GB"/>
        </w:rPr>
        <w:t>,</w:t>
      </w:r>
      <w:r w:rsidR="00E573A6" w:rsidRPr="00557D58">
        <w:rPr>
          <w:lang w:val="en-GB"/>
        </w:rPr>
        <w:t xml:space="preserve"> significant problems to her eyesight</w:t>
      </w:r>
      <w:r w:rsidR="000856E6">
        <w:rPr>
          <w:lang w:val="en-GB"/>
        </w:rPr>
        <w:t>,</w:t>
      </w:r>
      <w:r w:rsidR="00B541DB" w:rsidRPr="00557D58">
        <w:rPr>
          <w:lang w:val="en-GB"/>
        </w:rPr>
        <w:t xml:space="preserve"> </w:t>
      </w:r>
      <w:r w:rsidR="00E573A6" w:rsidRPr="00557D58">
        <w:rPr>
          <w:lang w:val="en-GB"/>
        </w:rPr>
        <w:t xml:space="preserve">depression, memory loss and anxiety. The </w:t>
      </w:r>
      <w:r w:rsidR="004058EB" w:rsidRPr="00557D58">
        <w:rPr>
          <w:lang w:val="en-GB"/>
        </w:rPr>
        <w:t>a</w:t>
      </w:r>
      <w:r w:rsidR="00E573A6" w:rsidRPr="00557D58">
        <w:rPr>
          <w:lang w:val="en-GB"/>
        </w:rPr>
        <w:t xml:space="preserve">uthor was examined by </w:t>
      </w:r>
      <w:r w:rsidR="00234035" w:rsidRPr="00557D58">
        <w:rPr>
          <w:lang w:val="en-GB"/>
        </w:rPr>
        <w:t>medical specialists from</w:t>
      </w:r>
      <w:r w:rsidR="00E573A6" w:rsidRPr="00557D58">
        <w:rPr>
          <w:lang w:val="en-GB"/>
        </w:rPr>
        <w:t xml:space="preserve"> </w:t>
      </w:r>
      <w:r w:rsidR="00E573A6" w:rsidRPr="004C05A1">
        <w:rPr>
          <w:lang w:val="en-GB"/>
        </w:rPr>
        <w:t xml:space="preserve">TRACES and the </w:t>
      </w:r>
      <w:r w:rsidR="00EA02C7" w:rsidRPr="004C05A1">
        <w:rPr>
          <w:lang w:val="en-GB"/>
        </w:rPr>
        <w:t>medical cent</w:t>
      </w:r>
      <w:r w:rsidR="00EA02C7">
        <w:rPr>
          <w:lang w:val="en-GB"/>
        </w:rPr>
        <w:t xml:space="preserve">re </w:t>
      </w:r>
      <w:r w:rsidR="004C05A1">
        <w:rPr>
          <w:lang w:val="en-GB"/>
        </w:rPr>
        <w:t>of the non-governmental organization</w:t>
      </w:r>
      <w:r w:rsidR="00E573A6" w:rsidRPr="004C05A1">
        <w:rPr>
          <w:lang w:val="en-GB"/>
        </w:rPr>
        <w:t xml:space="preserve"> </w:t>
      </w:r>
      <w:r w:rsidR="00E573A6" w:rsidRPr="00895641">
        <w:rPr>
          <w:bCs/>
          <w:iCs/>
          <w:lang w:val="en-GB"/>
        </w:rPr>
        <w:t xml:space="preserve">Parcours </w:t>
      </w:r>
      <w:r w:rsidR="00EA02C7" w:rsidRPr="00EA02C7">
        <w:rPr>
          <w:bCs/>
          <w:iCs/>
          <w:lang w:val="en-GB"/>
        </w:rPr>
        <w:t>d’exil</w:t>
      </w:r>
      <w:r w:rsidR="00E573A6" w:rsidRPr="00895641">
        <w:rPr>
          <w:bCs/>
          <w:iCs/>
          <w:lang w:val="en-GB"/>
        </w:rPr>
        <w:t>,</w:t>
      </w:r>
      <w:r w:rsidR="00E573A6" w:rsidRPr="00557D58">
        <w:rPr>
          <w:bCs/>
          <w:lang w:val="en-GB"/>
        </w:rPr>
        <w:t xml:space="preserve"> who f</w:t>
      </w:r>
      <w:r w:rsidR="004058EB" w:rsidRPr="00557D58">
        <w:rPr>
          <w:bCs/>
          <w:lang w:val="en-GB"/>
        </w:rPr>
        <w:t>oun</w:t>
      </w:r>
      <w:r w:rsidR="00E573A6" w:rsidRPr="00557D58">
        <w:rPr>
          <w:bCs/>
          <w:lang w:val="en-GB"/>
        </w:rPr>
        <w:t xml:space="preserve">d that </w:t>
      </w:r>
      <w:r w:rsidR="004058EB" w:rsidRPr="00557D58">
        <w:rPr>
          <w:bCs/>
          <w:lang w:val="en-GB"/>
        </w:rPr>
        <w:t>she</w:t>
      </w:r>
      <w:r w:rsidR="00E573A6" w:rsidRPr="00557D58">
        <w:rPr>
          <w:bCs/>
          <w:lang w:val="en-GB"/>
        </w:rPr>
        <w:t xml:space="preserve"> </w:t>
      </w:r>
      <w:r w:rsidR="00EA02C7">
        <w:rPr>
          <w:bCs/>
          <w:lang w:val="en-GB"/>
        </w:rPr>
        <w:t>wa</w:t>
      </w:r>
      <w:r w:rsidR="00E573A6" w:rsidRPr="00557D58">
        <w:rPr>
          <w:bCs/>
          <w:lang w:val="en-GB"/>
        </w:rPr>
        <w:t xml:space="preserve">s suffering from post-traumatic stress disorder, and that </w:t>
      </w:r>
      <w:r w:rsidR="004058EB" w:rsidRPr="00557D58">
        <w:rPr>
          <w:bCs/>
          <w:lang w:val="en-GB"/>
        </w:rPr>
        <w:t>her</w:t>
      </w:r>
      <w:r w:rsidR="00E573A6" w:rsidRPr="00557D58">
        <w:rPr>
          <w:bCs/>
          <w:lang w:val="en-GB"/>
        </w:rPr>
        <w:t xml:space="preserve"> allegations </w:t>
      </w:r>
      <w:r w:rsidR="00EA02C7">
        <w:rPr>
          <w:bCs/>
          <w:lang w:val="en-GB"/>
        </w:rPr>
        <w:t>we</w:t>
      </w:r>
      <w:r w:rsidR="004058EB" w:rsidRPr="00557D58">
        <w:rPr>
          <w:bCs/>
          <w:lang w:val="en-GB"/>
        </w:rPr>
        <w:t xml:space="preserve">re consistent with </w:t>
      </w:r>
      <w:r w:rsidR="00E573A6" w:rsidRPr="00557D58">
        <w:rPr>
          <w:bCs/>
          <w:lang w:val="en-GB"/>
        </w:rPr>
        <w:t xml:space="preserve">the </w:t>
      </w:r>
      <w:r w:rsidR="00AC6407" w:rsidRPr="00557D58">
        <w:rPr>
          <w:bCs/>
          <w:lang w:val="en-GB"/>
        </w:rPr>
        <w:t>their</w:t>
      </w:r>
      <w:r w:rsidR="00E573A6" w:rsidRPr="00557D58">
        <w:rPr>
          <w:bCs/>
          <w:lang w:val="en-GB"/>
        </w:rPr>
        <w:t xml:space="preserve"> findings. </w:t>
      </w:r>
    </w:p>
    <w:p w14:paraId="6C84D8C6" w14:textId="77777777" w:rsidR="00A9008E" w:rsidRPr="00557D58" w:rsidRDefault="00E573A6" w:rsidP="00D178AC">
      <w:pPr>
        <w:pStyle w:val="H23G"/>
      </w:pPr>
      <w:r w:rsidRPr="00557D58">
        <w:tab/>
      </w:r>
      <w:r w:rsidR="00D178AC" w:rsidRPr="00557D58">
        <w:tab/>
      </w:r>
      <w:r w:rsidR="00A9008E" w:rsidRPr="00557D58">
        <w:t xml:space="preserve">The complaint </w:t>
      </w:r>
    </w:p>
    <w:p w14:paraId="3F7D0CD4" w14:textId="77777777" w:rsidR="006A2387" w:rsidRPr="00557D58" w:rsidRDefault="00A9008E" w:rsidP="00E77EE3">
      <w:pPr>
        <w:pStyle w:val="SingleTxtG"/>
        <w:rPr>
          <w:lang w:val="en-GB"/>
        </w:rPr>
      </w:pPr>
      <w:r w:rsidRPr="00557D58">
        <w:rPr>
          <w:lang w:val="en-GB"/>
        </w:rPr>
        <w:t>3.1</w:t>
      </w:r>
      <w:r w:rsidRPr="00557D58">
        <w:rPr>
          <w:lang w:val="en-GB"/>
        </w:rPr>
        <w:tab/>
      </w:r>
      <w:r w:rsidR="00102FB6" w:rsidRPr="00557D58">
        <w:rPr>
          <w:lang w:val="en-GB"/>
        </w:rPr>
        <w:t>T</w:t>
      </w:r>
      <w:r w:rsidR="006A2387" w:rsidRPr="00557D58">
        <w:rPr>
          <w:lang w:val="en-GB"/>
        </w:rPr>
        <w:t xml:space="preserve">he author </w:t>
      </w:r>
      <w:r w:rsidR="00102FB6" w:rsidRPr="00557D58">
        <w:rPr>
          <w:lang w:val="en-GB"/>
        </w:rPr>
        <w:t>submits</w:t>
      </w:r>
      <w:r w:rsidR="006A2387" w:rsidRPr="00557D58">
        <w:rPr>
          <w:lang w:val="en-GB"/>
        </w:rPr>
        <w:t xml:space="preserve"> that</w:t>
      </w:r>
      <w:r w:rsidR="00102FB6" w:rsidRPr="00557D58">
        <w:rPr>
          <w:lang w:val="en-GB"/>
        </w:rPr>
        <w:t>, in violation of article 7 of the Covenant,</w:t>
      </w:r>
      <w:r w:rsidR="006A2387" w:rsidRPr="00557D58">
        <w:rPr>
          <w:lang w:val="en-GB"/>
        </w:rPr>
        <w:t xml:space="preserve"> from July 2002 to June 2008 she was the victim of an officially sanctioned campaign of harassment, ill-treatment and torture in response to her human rights activities. </w:t>
      </w:r>
      <w:r w:rsidR="007343E4" w:rsidRPr="00557D58">
        <w:rPr>
          <w:lang w:val="en-GB"/>
        </w:rPr>
        <w:t xml:space="preserve">While in </w:t>
      </w:r>
      <w:r w:rsidR="00432F62" w:rsidRPr="00557D58">
        <w:rPr>
          <w:lang w:val="en-GB"/>
        </w:rPr>
        <w:t xml:space="preserve">the </w:t>
      </w:r>
      <w:r w:rsidR="00432F62" w:rsidRPr="004C05A1">
        <w:rPr>
          <w:lang w:val="en-GB"/>
        </w:rPr>
        <w:t>F</w:t>
      </w:r>
      <w:r w:rsidR="000B71F4">
        <w:rPr>
          <w:lang w:val="en-GB"/>
        </w:rPr>
        <w:t xml:space="preserve">erghana </w:t>
      </w:r>
      <w:r w:rsidR="00432F62" w:rsidRPr="004C05A1">
        <w:rPr>
          <w:lang w:val="en-GB"/>
        </w:rPr>
        <w:t>R</w:t>
      </w:r>
      <w:r w:rsidR="000B71F4">
        <w:rPr>
          <w:lang w:val="en-GB"/>
        </w:rPr>
        <w:t xml:space="preserve">emand </w:t>
      </w:r>
      <w:r w:rsidR="00432F62" w:rsidRPr="004C05A1">
        <w:rPr>
          <w:lang w:val="en-GB"/>
        </w:rPr>
        <w:t>C</w:t>
      </w:r>
      <w:r w:rsidR="000B71F4">
        <w:rPr>
          <w:lang w:val="en-GB"/>
        </w:rPr>
        <w:t>entre</w:t>
      </w:r>
      <w:r w:rsidR="00432F62" w:rsidRPr="004C05A1">
        <w:rPr>
          <w:lang w:val="en-GB"/>
        </w:rPr>
        <w:t xml:space="preserve"> No</w:t>
      </w:r>
      <w:r w:rsidR="000856E6" w:rsidRPr="004C05A1">
        <w:rPr>
          <w:lang w:val="en-GB"/>
        </w:rPr>
        <w:t xml:space="preserve">. </w:t>
      </w:r>
      <w:r w:rsidR="00432F62" w:rsidRPr="004C05A1">
        <w:rPr>
          <w:lang w:val="en-GB"/>
        </w:rPr>
        <w:t>10</w:t>
      </w:r>
      <w:r w:rsidR="00432F62" w:rsidRPr="00557D58">
        <w:rPr>
          <w:lang w:val="en-GB"/>
        </w:rPr>
        <w:t xml:space="preserve"> and in </w:t>
      </w:r>
      <w:r w:rsidR="007343E4" w:rsidRPr="00557D58">
        <w:rPr>
          <w:lang w:val="en-GB"/>
        </w:rPr>
        <w:t>prison</w:t>
      </w:r>
      <w:r w:rsidR="006A2387" w:rsidRPr="00557D58">
        <w:rPr>
          <w:lang w:val="en-GB"/>
        </w:rPr>
        <w:t xml:space="preserve">, the </w:t>
      </w:r>
      <w:r w:rsidR="009A6AC4" w:rsidRPr="00557D58">
        <w:rPr>
          <w:lang w:val="en-GB"/>
        </w:rPr>
        <w:t>a</w:t>
      </w:r>
      <w:r w:rsidR="006A2387" w:rsidRPr="00557D58">
        <w:rPr>
          <w:lang w:val="en-GB"/>
        </w:rPr>
        <w:t xml:space="preserve">uthor was subjected to a wide range of severe abuses by the </w:t>
      </w:r>
      <w:r w:rsidR="006A2387" w:rsidRPr="004C05A1">
        <w:rPr>
          <w:lang w:val="en-GB"/>
        </w:rPr>
        <w:t>prison wardens</w:t>
      </w:r>
      <w:r w:rsidR="006A2387" w:rsidRPr="00557D58">
        <w:rPr>
          <w:lang w:val="en-GB"/>
        </w:rPr>
        <w:t xml:space="preserve"> and the prison administration aimed at breaking </w:t>
      </w:r>
      <w:r w:rsidR="00E17765">
        <w:rPr>
          <w:lang w:val="en-GB"/>
        </w:rPr>
        <w:t xml:space="preserve">down </w:t>
      </w:r>
      <w:r w:rsidR="006A2387" w:rsidRPr="00557D58">
        <w:rPr>
          <w:lang w:val="en-GB"/>
        </w:rPr>
        <w:t>her resistance</w:t>
      </w:r>
      <w:r w:rsidR="00E17765">
        <w:rPr>
          <w:lang w:val="en-GB"/>
        </w:rPr>
        <w:t xml:space="preserve"> in order</w:t>
      </w:r>
      <w:r w:rsidR="006A2387" w:rsidRPr="00557D58">
        <w:rPr>
          <w:lang w:val="en-GB"/>
        </w:rPr>
        <w:t xml:space="preserve"> to force her to confess to running an illegal </w:t>
      </w:r>
      <w:r w:rsidR="009A6AC4" w:rsidRPr="00557D58">
        <w:rPr>
          <w:lang w:val="en-GB"/>
        </w:rPr>
        <w:t>organization</w:t>
      </w:r>
      <w:r w:rsidR="006A2387" w:rsidRPr="00557D58">
        <w:rPr>
          <w:lang w:val="en-GB"/>
        </w:rPr>
        <w:t xml:space="preserve"> and </w:t>
      </w:r>
      <w:r w:rsidR="000856E6">
        <w:rPr>
          <w:lang w:val="en-GB"/>
        </w:rPr>
        <w:t xml:space="preserve">to </w:t>
      </w:r>
      <w:r w:rsidR="006A2387" w:rsidRPr="00557D58">
        <w:rPr>
          <w:lang w:val="en-GB"/>
        </w:rPr>
        <w:t xml:space="preserve">request a pardon from the President. </w:t>
      </w:r>
      <w:r w:rsidR="00B541DB" w:rsidRPr="00557D58">
        <w:rPr>
          <w:lang w:val="en-GB"/>
        </w:rPr>
        <w:t>T</w:t>
      </w:r>
      <w:r w:rsidR="006A2387" w:rsidRPr="00557D58">
        <w:rPr>
          <w:lang w:val="en-GB"/>
        </w:rPr>
        <w:t xml:space="preserve">he author submits that a person in custody should not be subjected to any medical </w:t>
      </w:r>
      <w:r w:rsidR="00F70328">
        <w:rPr>
          <w:lang w:val="en-GB"/>
        </w:rPr>
        <w:t>procedures</w:t>
      </w:r>
      <w:r w:rsidR="00F70328" w:rsidRPr="00557D58">
        <w:rPr>
          <w:lang w:val="en-GB"/>
        </w:rPr>
        <w:t xml:space="preserve"> </w:t>
      </w:r>
      <w:r w:rsidR="00102FB6" w:rsidRPr="00557D58">
        <w:rPr>
          <w:lang w:val="en-GB"/>
        </w:rPr>
        <w:t xml:space="preserve">without informed consent. </w:t>
      </w:r>
      <w:r w:rsidR="006A2387" w:rsidRPr="00557D58">
        <w:rPr>
          <w:lang w:val="en-GB"/>
        </w:rPr>
        <w:t xml:space="preserve">The forced surgery included her forced </w:t>
      </w:r>
      <w:r w:rsidR="00640CEB" w:rsidRPr="00557D58">
        <w:rPr>
          <w:lang w:val="en-GB"/>
        </w:rPr>
        <w:t>sterilization</w:t>
      </w:r>
      <w:r w:rsidR="006A2387" w:rsidRPr="00557D58">
        <w:rPr>
          <w:lang w:val="en-GB"/>
        </w:rPr>
        <w:t>, which amount</w:t>
      </w:r>
      <w:r w:rsidR="00102FB6" w:rsidRPr="00557D58">
        <w:rPr>
          <w:lang w:val="en-GB"/>
        </w:rPr>
        <w:t>s</w:t>
      </w:r>
      <w:r w:rsidR="006A2387" w:rsidRPr="00557D58">
        <w:rPr>
          <w:lang w:val="en-GB"/>
        </w:rPr>
        <w:t xml:space="preserve"> to an addit</w:t>
      </w:r>
      <w:r w:rsidR="00640CEB" w:rsidRPr="00557D58">
        <w:rPr>
          <w:lang w:val="en-GB"/>
        </w:rPr>
        <w:t>ional violation of а</w:t>
      </w:r>
      <w:r w:rsidR="006A2387" w:rsidRPr="00557D58">
        <w:rPr>
          <w:lang w:val="en-GB"/>
        </w:rPr>
        <w:t xml:space="preserve">rticle 7. </w:t>
      </w:r>
    </w:p>
    <w:p w14:paraId="3B62063F" w14:textId="77777777" w:rsidR="006A2387" w:rsidRPr="00557D58" w:rsidRDefault="006A2387" w:rsidP="006A2387">
      <w:pPr>
        <w:pStyle w:val="SingleTxtG"/>
        <w:rPr>
          <w:lang w:val="en-GB"/>
        </w:rPr>
      </w:pPr>
      <w:r w:rsidRPr="00557D58">
        <w:rPr>
          <w:lang w:val="en-GB"/>
        </w:rPr>
        <w:t>3.</w:t>
      </w:r>
      <w:r w:rsidR="008C4F79" w:rsidRPr="00557D58">
        <w:rPr>
          <w:lang w:val="en-GB"/>
        </w:rPr>
        <w:t>2</w:t>
      </w:r>
      <w:r w:rsidRPr="00557D58">
        <w:rPr>
          <w:lang w:val="en-GB"/>
        </w:rPr>
        <w:tab/>
      </w:r>
      <w:r w:rsidR="00640CEB" w:rsidRPr="00557D58">
        <w:rPr>
          <w:lang w:val="en-GB"/>
        </w:rPr>
        <w:t xml:space="preserve">The author </w:t>
      </w:r>
      <w:r w:rsidRPr="00557D58">
        <w:rPr>
          <w:lang w:val="en-GB"/>
        </w:rPr>
        <w:t xml:space="preserve">further </w:t>
      </w:r>
      <w:r w:rsidR="00640CEB" w:rsidRPr="00557D58">
        <w:rPr>
          <w:lang w:val="en-GB"/>
        </w:rPr>
        <w:t>submits that the State p</w:t>
      </w:r>
      <w:r w:rsidRPr="00557D58">
        <w:rPr>
          <w:lang w:val="en-GB"/>
        </w:rPr>
        <w:t xml:space="preserve">arty’s failure to adequately investigate her allegations of torture violated article 2 </w:t>
      </w:r>
      <w:r w:rsidR="000856E6">
        <w:rPr>
          <w:lang w:val="en-GB"/>
        </w:rPr>
        <w:t>(</w:t>
      </w:r>
      <w:r w:rsidRPr="00557D58">
        <w:rPr>
          <w:lang w:val="en-GB"/>
        </w:rPr>
        <w:t>3</w:t>
      </w:r>
      <w:r w:rsidR="000856E6">
        <w:rPr>
          <w:lang w:val="en-GB"/>
        </w:rPr>
        <w:t>),</w:t>
      </w:r>
      <w:r w:rsidRPr="00557D58">
        <w:rPr>
          <w:lang w:val="en-GB"/>
        </w:rPr>
        <w:t xml:space="preserve"> read in conjunction with article 7.</w:t>
      </w:r>
    </w:p>
    <w:p w14:paraId="3A966193" w14:textId="77777777" w:rsidR="006A2387" w:rsidRPr="00557D58" w:rsidRDefault="006A2387" w:rsidP="006A2387">
      <w:pPr>
        <w:pStyle w:val="SingleTxtG"/>
        <w:rPr>
          <w:lang w:val="en-GB"/>
        </w:rPr>
      </w:pPr>
      <w:r w:rsidRPr="00557D58">
        <w:rPr>
          <w:lang w:val="en-GB"/>
        </w:rPr>
        <w:t>3.</w:t>
      </w:r>
      <w:r w:rsidR="008C4F79" w:rsidRPr="00557D58">
        <w:rPr>
          <w:lang w:val="en-GB"/>
        </w:rPr>
        <w:t>3</w:t>
      </w:r>
      <w:r w:rsidRPr="00557D58">
        <w:rPr>
          <w:lang w:val="en-GB"/>
        </w:rPr>
        <w:tab/>
        <w:t xml:space="preserve">With regard to article 10, the author claims to be the victim of a breach </w:t>
      </w:r>
      <w:r w:rsidR="00E95DB2" w:rsidRPr="00557D58">
        <w:rPr>
          <w:lang w:val="en-GB"/>
        </w:rPr>
        <w:t xml:space="preserve">of </w:t>
      </w:r>
      <w:r w:rsidRPr="00557D58">
        <w:rPr>
          <w:lang w:val="en-GB"/>
        </w:rPr>
        <w:t>numerous provisions of the Standard Minimum Rules</w:t>
      </w:r>
      <w:r w:rsidR="000856E6">
        <w:rPr>
          <w:lang w:val="en-GB"/>
        </w:rPr>
        <w:t xml:space="preserve"> for the Treatment of Prisoners</w:t>
      </w:r>
      <w:r w:rsidRPr="00557D58">
        <w:rPr>
          <w:lang w:val="en-GB"/>
        </w:rPr>
        <w:t xml:space="preserve">, </w:t>
      </w:r>
      <w:r w:rsidR="00A11325">
        <w:rPr>
          <w:lang w:val="en-GB"/>
        </w:rPr>
        <w:t>as she was not, for example,</w:t>
      </w:r>
      <w:r w:rsidRPr="00557D58">
        <w:rPr>
          <w:lang w:val="en-GB"/>
        </w:rPr>
        <w:t xml:space="preserve"> provided with adequate medical care, separated from convicted prisoners </w:t>
      </w:r>
      <w:r w:rsidR="00A11325">
        <w:rPr>
          <w:lang w:val="en-GB"/>
        </w:rPr>
        <w:t>or</w:t>
      </w:r>
      <w:r w:rsidR="00A11325" w:rsidRPr="00557D58">
        <w:rPr>
          <w:lang w:val="en-GB"/>
        </w:rPr>
        <w:t xml:space="preserve"> </w:t>
      </w:r>
      <w:r w:rsidR="00102FB6" w:rsidRPr="00557D58">
        <w:rPr>
          <w:lang w:val="en-GB"/>
        </w:rPr>
        <w:t>allowed</w:t>
      </w:r>
      <w:r w:rsidRPr="00557D58">
        <w:rPr>
          <w:lang w:val="en-GB"/>
        </w:rPr>
        <w:t xml:space="preserve"> to present a </w:t>
      </w:r>
      <w:r w:rsidR="00640CEB" w:rsidRPr="00557D58">
        <w:rPr>
          <w:lang w:val="en-GB"/>
        </w:rPr>
        <w:t>defen</w:t>
      </w:r>
      <w:r w:rsidR="00A11325">
        <w:rPr>
          <w:lang w:val="en-GB"/>
        </w:rPr>
        <w:t>c</w:t>
      </w:r>
      <w:r w:rsidR="00640CEB" w:rsidRPr="00557D58">
        <w:rPr>
          <w:lang w:val="en-GB"/>
        </w:rPr>
        <w:t>e</w:t>
      </w:r>
      <w:r w:rsidRPr="00557D58">
        <w:rPr>
          <w:lang w:val="en-GB"/>
        </w:rPr>
        <w:t xml:space="preserve"> </w:t>
      </w:r>
      <w:r w:rsidR="00A11325">
        <w:rPr>
          <w:lang w:val="en-GB"/>
        </w:rPr>
        <w:t>with</w:t>
      </w:r>
      <w:r w:rsidR="00A11325" w:rsidRPr="00557D58">
        <w:rPr>
          <w:lang w:val="en-GB"/>
        </w:rPr>
        <w:t xml:space="preserve"> </w:t>
      </w:r>
      <w:r w:rsidRPr="00557D58">
        <w:rPr>
          <w:lang w:val="en-GB"/>
        </w:rPr>
        <w:t xml:space="preserve">regard to disciplinary measures. </w:t>
      </w:r>
      <w:r w:rsidR="00102FB6" w:rsidRPr="00557D58">
        <w:rPr>
          <w:lang w:val="en-GB"/>
        </w:rPr>
        <w:t>S</w:t>
      </w:r>
      <w:r w:rsidRPr="00557D58">
        <w:rPr>
          <w:lang w:val="en-GB"/>
        </w:rPr>
        <w:t>he was systematically denied contact with the outside world for prolonged periods of time. The authorities furthermore repeatedly rejected her requests for access to her medical file.</w:t>
      </w:r>
    </w:p>
    <w:p w14:paraId="362A1134" w14:textId="77777777" w:rsidR="006A2387" w:rsidRPr="00557D58" w:rsidRDefault="006A2387" w:rsidP="00D178AC">
      <w:pPr>
        <w:pStyle w:val="SingleTxtG"/>
        <w:rPr>
          <w:lang w:val="en-GB"/>
        </w:rPr>
      </w:pPr>
      <w:r w:rsidRPr="00557D58">
        <w:rPr>
          <w:lang w:val="en-GB"/>
        </w:rPr>
        <w:t>3.</w:t>
      </w:r>
      <w:r w:rsidR="008C4F79" w:rsidRPr="00557D58">
        <w:rPr>
          <w:lang w:val="en-GB"/>
        </w:rPr>
        <w:t>4</w:t>
      </w:r>
      <w:r w:rsidRPr="00557D58">
        <w:rPr>
          <w:lang w:val="en-GB"/>
        </w:rPr>
        <w:tab/>
      </w:r>
      <w:r w:rsidR="0097458B" w:rsidRPr="00557D58">
        <w:rPr>
          <w:lang w:val="en-GB"/>
        </w:rPr>
        <w:t>With regard to</w:t>
      </w:r>
      <w:r w:rsidRPr="00557D58">
        <w:rPr>
          <w:lang w:val="en-GB"/>
        </w:rPr>
        <w:t xml:space="preserve"> her arrest on 7 October 2005 </w:t>
      </w:r>
      <w:r w:rsidR="00D178AC" w:rsidRPr="00557D58">
        <w:rPr>
          <w:lang w:val="en-GB"/>
        </w:rPr>
        <w:t xml:space="preserve">the author submits that </w:t>
      </w:r>
      <w:r w:rsidR="0097458B" w:rsidRPr="00557D58">
        <w:rPr>
          <w:lang w:val="en-GB"/>
        </w:rPr>
        <w:t xml:space="preserve">the authorities </w:t>
      </w:r>
      <w:r w:rsidRPr="00557D58">
        <w:rPr>
          <w:lang w:val="en-GB"/>
        </w:rPr>
        <w:t>failed to promptly inform her of the reasons for her arrest and detention, contrary to article 9 (2)</w:t>
      </w:r>
      <w:r w:rsidR="00335543" w:rsidRPr="00557D58">
        <w:rPr>
          <w:lang w:val="en-GB"/>
        </w:rPr>
        <w:t xml:space="preserve"> of the Covenant</w:t>
      </w:r>
      <w:r w:rsidR="003A2A0D">
        <w:rPr>
          <w:lang w:val="en-GB"/>
        </w:rPr>
        <w:t>,</w:t>
      </w:r>
      <w:r w:rsidRPr="00557D58">
        <w:rPr>
          <w:lang w:val="en-GB"/>
        </w:rPr>
        <w:t xml:space="preserve"> and to bring her before a judge or enable her to challenge the legality of detention, contrary to</w:t>
      </w:r>
      <w:r w:rsidR="006F0575">
        <w:rPr>
          <w:lang w:val="en-GB"/>
        </w:rPr>
        <w:t>,</w:t>
      </w:r>
      <w:r w:rsidRPr="00557D58">
        <w:rPr>
          <w:lang w:val="en-GB"/>
        </w:rPr>
        <w:t xml:space="preserve"> </w:t>
      </w:r>
      <w:r w:rsidR="006F0575" w:rsidRPr="00557D58">
        <w:rPr>
          <w:lang w:val="en-GB"/>
        </w:rPr>
        <w:t>respectively</w:t>
      </w:r>
      <w:r w:rsidR="006F0575">
        <w:rPr>
          <w:lang w:val="en-GB"/>
        </w:rPr>
        <w:t>,</w:t>
      </w:r>
      <w:r w:rsidR="006F0575" w:rsidRPr="00557D58">
        <w:rPr>
          <w:lang w:val="en-GB"/>
        </w:rPr>
        <w:t xml:space="preserve"> </w:t>
      </w:r>
      <w:r w:rsidRPr="00557D58">
        <w:rPr>
          <w:lang w:val="en-GB"/>
        </w:rPr>
        <w:t>article 9</w:t>
      </w:r>
      <w:r w:rsidR="00335543" w:rsidRPr="00557D58">
        <w:rPr>
          <w:lang w:val="en-GB"/>
        </w:rPr>
        <w:t xml:space="preserve"> </w:t>
      </w:r>
      <w:r w:rsidR="006F0575">
        <w:rPr>
          <w:lang w:val="en-GB"/>
        </w:rPr>
        <w:t>(</w:t>
      </w:r>
      <w:r w:rsidRPr="00557D58">
        <w:rPr>
          <w:lang w:val="en-GB"/>
        </w:rPr>
        <w:t>3</w:t>
      </w:r>
      <w:r w:rsidR="006F0575">
        <w:rPr>
          <w:lang w:val="en-GB"/>
        </w:rPr>
        <w:t>) and</w:t>
      </w:r>
      <w:r w:rsidRPr="00557D58">
        <w:rPr>
          <w:lang w:val="en-GB"/>
        </w:rPr>
        <w:t xml:space="preserve"> </w:t>
      </w:r>
      <w:r w:rsidR="006F0575">
        <w:rPr>
          <w:lang w:val="en-GB"/>
        </w:rPr>
        <w:t>(</w:t>
      </w:r>
      <w:r w:rsidRPr="00557D58">
        <w:rPr>
          <w:lang w:val="en-GB"/>
        </w:rPr>
        <w:t>4</w:t>
      </w:r>
      <w:r w:rsidR="006F0575">
        <w:rPr>
          <w:lang w:val="en-GB"/>
        </w:rPr>
        <w:t>)</w:t>
      </w:r>
      <w:r w:rsidR="00335543" w:rsidRPr="00557D58">
        <w:rPr>
          <w:lang w:val="en-GB"/>
        </w:rPr>
        <w:t xml:space="preserve"> of the Covenant</w:t>
      </w:r>
      <w:r w:rsidRPr="00557D58">
        <w:rPr>
          <w:lang w:val="en-GB"/>
        </w:rPr>
        <w:t xml:space="preserve">. </w:t>
      </w:r>
    </w:p>
    <w:p w14:paraId="06E2D8B4" w14:textId="77777777" w:rsidR="008570A9" w:rsidRPr="00557D58" w:rsidRDefault="0075299A" w:rsidP="003A2A0D">
      <w:pPr>
        <w:pStyle w:val="SingleTxtG"/>
        <w:rPr>
          <w:lang w:val="en-GB"/>
        </w:rPr>
      </w:pPr>
      <w:r w:rsidRPr="00557D58">
        <w:rPr>
          <w:lang w:val="en-GB"/>
        </w:rPr>
        <w:t>3.</w:t>
      </w:r>
      <w:r w:rsidR="008C4F79" w:rsidRPr="00557D58">
        <w:rPr>
          <w:lang w:val="en-GB"/>
        </w:rPr>
        <w:t>5</w:t>
      </w:r>
      <w:r w:rsidRPr="00557D58">
        <w:rPr>
          <w:lang w:val="en-GB"/>
        </w:rPr>
        <w:tab/>
      </w:r>
      <w:r w:rsidRPr="00043E43">
        <w:rPr>
          <w:lang w:val="en-GB"/>
        </w:rPr>
        <w:t xml:space="preserve">The author further </w:t>
      </w:r>
      <w:r w:rsidR="00335543" w:rsidRPr="00043E43">
        <w:rPr>
          <w:lang w:val="en-GB"/>
        </w:rPr>
        <w:t>submits</w:t>
      </w:r>
      <w:r w:rsidRPr="00043E43">
        <w:rPr>
          <w:lang w:val="en-GB"/>
        </w:rPr>
        <w:t xml:space="preserve"> that the</w:t>
      </w:r>
      <w:r w:rsidRPr="00557D58">
        <w:rPr>
          <w:lang w:val="en-GB"/>
        </w:rPr>
        <w:t xml:space="preserve"> State party failed to ensure her right to a fair trial by an independent and impartial court contrary to article 14</w:t>
      </w:r>
      <w:r w:rsidR="00335543" w:rsidRPr="00557D58">
        <w:rPr>
          <w:lang w:val="en-GB"/>
        </w:rPr>
        <w:t xml:space="preserve"> </w:t>
      </w:r>
      <w:r w:rsidR="00043E43">
        <w:rPr>
          <w:lang w:val="en-GB"/>
        </w:rPr>
        <w:t>(</w:t>
      </w:r>
      <w:r w:rsidRPr="00557D58">
        <w:rPr>
          <w:lang w:val="en-GB"/>
        </w:rPr>
        <w:t>1</w:t>
      </w:r>
      <w:r w:rsidR="00043E43">
        <w:rPr>
          <w:lang w:val="en-GB"/>
        </w:rPr>
        <w:t>) of the Covenant</w:t>
      </w:r>
      <w:r w:rsidRPr="00557D58">
        <w:rPr>
          <w:lang w:val="en-GB"/>
        </w:rPr>
        <w:t xml:space="preserve"> and to provide her with adequate time and facilities for the preparation of her </w:t>
      </w:r>
      <w:r w:rsidR="00335543" w:rsidRPr="00557D58">
        <w:rPr>
          <w:lang w:val="en-GB"/>
        </w:rPr>
        <w:t>defen</w:t>
      </w:r>
      <w:r w:rsidR="009762BE">
        <w:rPr>
          <w:lang w:val="en-GB"/>
        </w:rPr>
        <w:t>c</w:t>
      </w:r>
      <w:r w:rsidR="00335543" w:rsidRPr="00557D58">
        <w:rPr>
          <w:lang w:val="en-GB"/>
        </w:rPr>
        <w:t>e</w:t>
      </w:r>
      <w:r w:rsidRPr="00557D58">
        <w:rPr>
          <w:lang w:val="en-GB"/>
        </w:rPr>
        <w:t xml:space="preserve"> and to communicate with her lawyers contrary to article 14</w:t>
      </w:r>
      <w:r w:rsidR="00335543" w:rsidRPr="00557D58">
        <w:rPr>
          <w:lang w:val="en-GB"/>
        </w:rPr>
        <w:t xml:space="preserve"> </w:t>
      </w:r>
      <w:r w:rsidR="009762BE">
        <w:rPr>
          <w:lang w:val="en-GB"/>
        </w:rPr>
        <w:t>(</w:t>
      </w:r>
      <w:r w:rsidRPr="00557D58">
        <w:rPr>
          <w:lang w:val="en-GB"/>
        </w:rPr>
        <w:t>3</w:t>
      </w:r>
      <w:r w:rsidR="009762BE">
        <w:rPr>
          <w:lang w:val="en-GB"/>
        </w:rPr>
        <w:t>)</w:t>
      </w:r>
      <w:r w:rsidRPr="00557D58">
        <w:rPr>
          <w:lang w:val="en-GB"/>
        </w:rPr>
        <w:t xml:space="preserve"> (b), and to allow for the procedural guarantees enshrined in article 14</w:t>
      </w:r>
      <w:r w:rsidR="00335543" w:rsidRPr="00557D58">
        <w:rPr>
          <w:lang w:val="en-GB"/>
        </w:rPr>
        <w:t xml:space="preserve"> </w:t>
      </w:r>
      <w:r w:rsidR="009762BE">
        <w:rPr>
          <w:lang w:val="en-GB"/>
        </w:rPr>
        <w:t>(</w:t>
      </w:r>
      <w:r w:rsidRPr="00557D58">
        <w:rPr>
          <w:lang w:val="en-GB"/>
        </w:rPr>
        <w:t>3</w:t>
      </w:r>
      <w:r w:rsidR="009762BE">
        <w:rPr>
          <w:lang w:val="en-GB"/>
        </w:rPr>
        <w:t>)</w:t>
      </w:r>
      <w:r w:rsidRPr="00557D58">
        <w:rPr>
          <w:lang w:val="en-GB"/>
        </w:rPr>
        <w:t xml:space="preserve"> (e). </w:t>
      </w:r>
      <w:r w:rsidR="008570A9" w:rsidRPr="00557D58">
        <w:rPr>
          <w:lang w:val="en-GB"/>
        </w:rPr>
        <w:t xml:space="preserve">The author also submits that the review of the </w:t>
      </w:r>
      <w:r w:rsidR="008570A9" w:rsidRPr="004C05A1">
        <w:rPr>
          <w:lang w:val="en-GB"/>
        </w:rPr>
        <w:t>trial protocol</w:t>
      </w:r>
      <w:r w:rsidR="008570A9" w:rsidRPr="00557D58">
        <w:rPr>
          <w:lang w:val="en-GB"/>
        </w:rPr>
        <w:t xml:space="preserve"> and consideration by the </w:t>
      </w:r>
      <w:r w:rsidR="00E17765">
        <w:rPr>
          <w:lang w:val="en-GB"/>
        </w:rPr>
        <w:t>appeal</w:t>
      </w:r>
      <w:r w:rsidR="004C05A1">
        <w:rPr>
          <w:lang w:val="en-GB"/>
        </w:rPr>
        <w:t xml:space="preserve"> chamber</w:t>
      </w:r>
      <w:r w:rsidR="008570A9" w:rsidRPr="00557D58">
        <w:rPr>
          <w:lang w:val="en-GB"/>
        </w:rPr>
        <w:t xml:space="preserve"> of the author’s appeal were carried out and dismissed by the Tashkent Regional Court, the same Court, if not the same judges, </w:t>
      </w:r>
      <w:r w:rsidR="008570A9" w:rsidRPr="00557D58">
        <w:rPr>
          <w:lang w:val="en-GB"/>
        </w:rPr>
        <w:lastRenderedPageBreak/>
        <w:t>that rendered the judg</w:t>
      </w:r>
      <w:r w:rsidR="00EA02C7">
        <w:rPr>
          <w:lang w:val="en-GB"/>
        </w:rPr>
        <w:t>e</w:t>
      </w:r>
      <w:r w:rsidR="008570A9" w:rsidRPr="00557D58">
        <w:rPr>
          <w:lang w:val="en-GB"/>
        </w:rPr>
        <w:t xml:space="preserve">ment against the author. This does not constitute a higher tribunal as stipulated </w:t>
      </w:r>
      <w:r w:rsidR="00B816EE">
        <w:rPr>
          <w:lang w:val="en-GB"/>
        </w:rPr>
        <w:t>in</w:t>
      </w:r>
      <w:r w:rsidR="00B816EE" w:rsidRPr="00557D58">
        <w:rPr>
          <w:lang w:val="en-GB"/>
        </w:rPr>
        <w:t xml:space="preserve"> </w:t>
      </w:r>
      <w:r w:rsidR="008570A9" w:rsidRPr="00557D58">
        <w:rPr>
          <w:lang w:val="en-GB"/>
        </w:rPr>
        <w:t xml:space="preserve">article 14 </w:t>
      </w:r>
      <w:r w:rsidR="00B816EE">
        <w:rPr>
          <w:lang w:val="en-GB"/>
        </w:rPr>
        <w:t>(</w:t>
      </w:r>
      <w:r w:rsidR="008570A9" w:rsidRPr="00557D58">
        <w:rPr>
          <w:lang w:val="en-GB"/>
        </w:rPr>
        <w:t>5</w:t>
      </w:r>
      <w:r w:rsidR="00B816EE">
        <w:rPr>
          <w:lang w:val="en-GB"/>
        </w:rPr>
        <w:t>)</w:t>
      </w:r>
      <w:r w:rsidR="008570A9" w:rsidRPr="00557D58">
        <w:rPr>
          <w:lang w:val="en-GB"/>
        </w:rPr>
        <w:t xml:space="preserve">. </w:t>
      </w:r>
      <w:r w:rsidR="00C677B1" w:rsidRPr="00557D58">
        <w:rPr>
          <w:lang w:val="en-GB"/>
        </w:rPr>
        <w:t>The</w:t>
      </w:r>
      <w:r w:rsidR="008570A9" w:rsidRPr="00557D58">
        <w:rPr>
          <w:lang w:val="en-GB"/>
        </w:rPr>
        <w:t xml:space="preserve"> author’s requests for review and appeal to the Supreme Court were denied. </w:t>
      </w:r>
    </w:p>
    <w:p w14:paraId="47A01894" w14:textId="77777777" w:rsidR="0075299A" w:rsidRPr="00557D58" w:rsidRDefault="0075299A">
      <w:pPr>
        <w:pStyle w:val="SingleTxtG"/>
        <w:rPr>
          <w:lang w:val="en-GB"/>
        </w:rPr>
      </w:pPr>
      <w:r w:rsidRPr="00557D58">
        <w:rPr>
          <w:lang w:val="en-GB"/>
        </w:rPr>
        <w:t>3.</w:t>
      </w:r>
      <w:r w:rsidR="008C4F79" w:rsidRPr="00557D58">
        <w:rPr>
          <w:lang w:val="en-GB"/>
        </w:rPr>
        <w:t>6</w:t>
      </w:r>
      <w:r w:rsidRPr="00557D58">
        <w:rPr>
          <w:lang w:val="en-GB"/>
        </w:rPr>
        <w:tab/>
        <w:t>The author claims that her arrest on 7 October 2005 by over thirty heavily armed law enforcement officers and the raid of her apartment and offices in her absence breached article 17</w:t>
      </w:r>
      <w:r w:rsidR="00335543" w:rsidRPr="00557D58">
        <w:rPr>
          <w:lang w:val="en-GB"/>
        </w:rPr>
        <w:t xml:space="preserve"> </w:t>
      </w:r>
      <w:r w:rsidR="008F2304">
        <w:rPr>
          <w:lang w:val="en-GB"/>
        </w:rPr>
        <w:t>(</w:t>
      </w:r>
      <w:r w:rsidRPr="00557D58">
        <w:rPr>
          <w:lang w:val="en-GB"/>
        </w:rPr>
        <w:t>1</w:t>
      </w:r>
      <w:r w:rsidR="008F2304">
        <w:rPr>
          <w:lang w:val="en-GB"/>
        </w:rPr>
        <w:t>)</w:t>
      </w:r>
      <w:r w:rsidR="00335543" w:rsidRPr="00557D58">
        <w:rPr>
          <w:lang w:val="en-GB"/>
        </w:rPr>
        <w:t xml:space="preserve"> of the Covenant</w:t>
      </w:r>
      <w:r w:rsidRPr="00557D58">
        <w:rPr>
          <w:lang w:val="en-GB"/>
        </w:rPr>
        <w:t>.</w:t>
      </w:r>
      <w:r w:rsidR="00CB5E70" w:rsidRPr="00557D58">
        <w:rPr>
          <w:lang w:val="en-GB"/>
        </w:rPr>
        <w:t xml:space="preserve"> </w:t>
      </w:r>
    </w:p>
    <w:p w14:paraId="63DBBF87" w14:textId="77777777" w:rsidR="0075299A" w:rsidRPr="00557D58" w:rsidRDefault="00335543" w:rsidP="00EA02C7">
      <w:pPr>
        <w:pStyle w:val="SingleTxtG"/>
        <w:rPr>
          <w:lang w:val="en-GB"/>
        </w:rPr>
      </w:pPr>
      <w:r w:rsidRPr="00557D58">
        <w:rPr>
          <w:lang w:val="en-GB"/>
        </w:rPr>
        <w:t>3.</w:t>
      </w:r>
      <w:r w:rsidR="008C4F79" w:rsidRPr="00557D58">
        <w:rPr>
          <w:lang w:val="en-GB"/>
        </w:rPr>
        <w:t>7</w:t>
      </w:r>
      <w:r w:rsidR="0075299A" w:rsidRPr="00557D58">
        <w:rPr>
          <w:lang w:val="en-GB"/>
        </w:rPr>
        <w:tab/>
        <w:t xml:space="preserve">The author </w:t>
      </w:r>
      <w:r w:rsidRPr="00557D58">
        <w:rPr>
          <w:lang w:val="en-GB"/>
        </w:rPr>
        <w:t>submits that</w:t>
      </w:r>
      <w:r w:rsidR="008F2304">
        <w:rPr>
          <w:lang w:val="en-GB"/>
        </w:rPr>
        <w:t>,</w:t>
      </w:r>
      <w:r w:rsidRPr="00557D58">
        <w:rPr>
          <w:lang w:val="en-GB"/>
        </w:rPr>
        <w:t xml:space="preserve"> when she </w:t>
      </w:r>
      <w:r w:rsidR="0075299A" w:rsidRPr="00557D58">
        <w:rPr>
          <w:lang w:val="en-GB"/>
        </w:rPr>
        <w:t>was attacked while holding pickets in May and August 2003</w:t>
      </w:r>
      <w:r w:rsidRPr="00557D58">
        <w:rPr>
          <w:lang w:val="en-GB"/>
        </w:rPr>
        <w:t>,</w:t>
      </w:r>
      <w:r w:rsidR="0075299A" w:rsidRPr="00557D58">
        <w:rPr>
          <w:lang w:val="en-GB"/>
        </w:rPr>
        <w:t xml:space="preserve"> the authorities failed to adequately investigate the attack</w:t>
      </w:r>
      <w:r w:rsidR="008F2304">
        <w:rPr>
          <w:lang w:val="en-GB"/>
        </w:rPr>
        <w:t>s</w:t>
      </w:r>
      <w:r w:rsidR="0075299A" w:rsidRPr="00557D58">
        <w:rPr>
          <w:lang w:val="en-GB"/>
        </w:rPr>
        <w:t xml:space="preserve"> and</w:t>
      </w:r>
      <w:r w:rsidR="008F2304">
        <w:rPr>
          <w:lang w:val="en-GB"/>
        </w:rPr>
        <w:t>,</w:t>
      </w:r>
      <w:r w:rsidR="0075299A" w:rsidRPr="00557D58">
        <w:rPr>
          <w:lang w:val="en-GB"/>
        </w:rPr>
        <w:t xml:space="preserve"> on both occasions, </w:t>
      </w:r>
      <w:r w:rsidR="00234035" w:rsidRPr="00557D58">
        <w:rPr>
          <w:lang w:val="en-GB"/>
        </w:rPr>
        <w:t>she</w:t>
      </w:r>
      <w:r w:rsidR="0075299A" w:rsidRPr="00557D58">
        <w:rPr>
          <w:lang w:val="en-GB"/>
        </w:rPr>
        <w:t xml:space="preserve"> was charged for holding an unlawful demonstration. Even though these charges were eventually dropped, the attacks, the failure to hold the perpetrators responsible </w:t>
      </w:r>
      <w:r w:rsidR="00C677B1" w:rsidRPr="00557D58">
        <w:rPr>
          <w:lang w:val="en-GB"/>
        </w:rPr>
        <w:t>and</w:t>
      </w:r>
      <w:r w:rsidR="0075299A" w:rsidRPr="00557D58">
        <w:rPr>
          <w:lang w:val="en-GB"/>
        </w:rPr>
        <w:t xml:space="preserve"> </w:t>
      </w:r>
      <w:r w:rsidRPr="00557D58">
        <w:rPr>
          <w:lang w:val="en-GB"/>
        </w:rPr>
        <w:t>the prosecutions</w:t>
      </w:r>
      <w:r w:rsidR="00B73D70">
        <w:rPr>
          <w:lang w:val="en-GB"/>
        </w:rPr>
        <w:t xml:space="preserve"> of the author</w:t>
      </w:r>
      <w:r w:rsidR="0075299A" w:rsidRPr="00557D58">
        <w:rPr>
          <w:lang w:val="en-GB"/>
        </w:rPr>
        <w:t xml:space="preserve"> were carried out on account of </w:t>
      </w:r>
      <w:r w:rsidR="00B73D70">
        <w:rPr>
          <w:lang w:val="en-GB"/>
        </w:rPr>
        <w:t>her</w:t>
      </w:r>
      <w:r w:rsidR="0075299A" w:rsidRPr="00557D58">
        <w:rPr>
          <w:lang w:val="en-GB"/>
        </w:rPr>
        <w:t xml:space="preserve"> human rights activities, and as such constituted an interference with her right to freedom of expression and opinion that were not justified by any of the exceptions provided for in article 19</w:t>
      </w:r>
      <w:r w:rsidRPr="00557D58">
        <w:rPr>
          <w:lang w:val="en-GB"/>
        </w:rPr>
        <w:t xml:space="preserve"> </w:t>
      </w:r>
      <w:r w:rsidR="00B73D70">
        <w:rPr>
          <w:lang w:val="en-GB"/>
        </w:rPr>
        <w:t>(</w:t>
      </w:r>
      <w:r w:rsidR="0075299A" w:rsidRPr="00557D58">
        <w:rPr>
          <w:lang w:val="en-GB"/>
        </w:rPr>
        <w:t>3</w:t>
      </w:r>
      <w:r w:rsidR="00B73D70">
        <w:rPr>
          <w:lang w:val="en-GB"/>
        </w:rPr>
        <w:t>)</w:t>
      </w:r>
      <w:r w:rsidR="0075299A" w:rsidRPr="00557D58">
        <w:rPr>
          <w:lang w:val="en-GB"/>
        </w:rPr>
        <w:t xml:space="preserve"> (a) and (b).</w:t>
      </w:r>
      <w:r w:rsidR="00CB5E70" w:rsidRPr="00557D58">
        <w:rPr>
          <w:lang w:val="en-GB"/>
        </w:rPr>
        <w:t xml:space="preserve"> </w:t>
      </w:r>
      <w:r w:rsidR="0075299A" w:rsidRPr="00557D58">
        <w:rPr>
          <w:lang w:val="en-GB"/>
        </w:rPr>
        <w:t xml:space="preserve">The author was also </w:t>
      </w:r>
      <w:r w:rsidRPr="00557D58">
        <w:rPr>
          <w:lang w:val="en-GB"/>
        </w:rPr>
        <w:t xml:space="preserve">detained, </w:t>
      </w:r>
      <w:r w:rsidR="0075299A" w:rsidRPr="00557D58">
        <w:rPr>
          <w:lang w:val="en-GB"/>
        </w:rPr>
        <w:t xml:space="preserve">charged, indicted and later convicted and imprisoned for </w:t>
      </w:r>
      <w:r w:rsidRPr="00557D58">
        <w:rPr>
          <w:lang w:val="en-GB"/>
        </w:rPr>
        <w:t xml:space="preserve">allegedly </w:t>
      </w:r>
      <w:r w:rsidR="0075299A" w:rsidRPr="00557D58">
        <w:rPr>
          <w:lang w:val="en-GB"/>
        </w:rPr>
        <w:t>distributing propaganda material, threatening the public order and establish</w:t>
      </w:r>
      <w:r w:rsidR="00EA02C7">
        <w:rPr>
          <w:lang w:val="en-GB"/>
        </w:rPr>
        <w:t>ing</w:t>
      </w:r>
      <w:r w:rsidR="0075299A" w:rsidRPr="00557D58">
        <w:rPr>
          <w:lang w:val="en-GB"/>
        </w:rPr>
        <w:t xml:space="preserve"> an unregistered public </w:t>
      </w:r>
      <w:r w:rsidR="004C290E" w:rsidRPr="00557D58">
        <w:rPr>
          <w:lang w:val="en-GB"/>
        </w:rPr>
        <w:t>organization.</w:t>
      </w:r>
    </w:p>
    <w:p w14:paraId="004F8F1D" w14:textId="77777777" w:rsidR="0075299A" w:rsidRPr="00557D58" w:rsidRDefault="00102FB6">
      <w:pPr>
        <w:pStyle w:val="SingleTxtG"/>
        <w:rPr>
          <w:lang w:val="en-GB"/>
        </w:rPr>
      </w:pPr>
      <w:r w:rsidRPr="00557D58">
        <w:rPr>
          <w:lang w:val="en-GB"/>
        </w:rPr>
        <w:t>3.</w:t>
      </w:r>
      <w:r w:rsidR="008C4F79" w:rsidRPr="00557D58">
        <w:rPr>
          <w:lang w:val="en-GB"/>
        </w:rPr>
        <w:t>8</w:t>
      </w:r>
      <w:r w:rsidRPr="00557D58">
        <w:rPr>
          <w:lang w:val="en-GB"/>
        </w:rPr>
        <w:tab/>
      </w:r>
      <w:r w:rsidR="0075299A" w:rsidRPr="00557D58">
        <w:rPr>
          <w:lang w:val="en-GB"/>
        </w:rPr>
        <w:t xml:space="preserve">The law enforcement authorities charged her </w:t>
      </w:r>
      <w:r w:rsidR="00432F62" w:rsidRPr="00557D58">
        <w:rPr>
          <w:lang w:val="en-GB"/>
        </w:rPr>
        <w:t xml:space="preserve">with </w:t>
      </w:r>
      <w:r w:rsidR="0075299A" w:rsidRPr="00557D58">
        <w:rPr>
          <w:lang w:val="en-GB"/>
        </w:rPr>
        <w:t>organizing unlawful demonstration</w:t>
      </w:r>
      <w:r w:rsidR="00432F62" w:rsidRPr="00557D58">
        <w:rPr>
          <w:lang w:val="en-GB"/>
        </w:rPr>
        <w:t>s</w:t>
      </w:r>
      <w:r w:rsidR="0075299A" w:rsidRPr="00557D58">
        <w:rPr>
          <w:lang w:val="en-GB"/>
        </w:rPr>
        <w:t xml:space="preserve"> </w:t>
      </w:r>
      <w:r w:rsidR="009C52A4">
        <w:rPr>
          <w:lang w:val="en-GB"/>
        </w:rPr>
        <w:t>with</w:t>
      </w:r>
      <w:r w:rsidR="009C52A4" w:rsidRPr="00557D58">
        <w:rPr>
          <w:lang w:val="en-GB"/>
        </w:rPr>
        <w:t xml:space="preserve"> </w:t>
      </w:r>
      <w:r w:rsidR="0075299A" w:rsidRPr="00557D58">
        <w:rPr>
          <w:lang w:val="en-GB"/>
        </w:rPr>
        <w:t xml:space="preserve">regard to the pickets held in May and August 2003. These restrictions on her freedom </w:t>
      </w:r>
      <w:r w:rsidR="009C52A4">
        <w:rPr>
          <w:lang w:val="en-GB"/>
        </w:rPr>
        <w:t>of</w:t>
      </w:r>
      <w:r w:rsidR="009C52A4" w:rsidRPr="00557D58">
        <w:rPr>
          <w:lang w:val="en-GB"/>
        </w:rPr>
        <w:t xml:space="preserve"> </w:t>
      </w:r>
      <w:r w:rsidR="0075299A" w:rsidRPr="00557D58">
        <w:rPr>
          <w:lang w:val="en-GB"/>
        </w:rPr>
        <w:t>assembl</w:t>
      </w:r>
      <w:r w:rsidR="009C52A4">
        <w:rPr>
          <w:lang w:val="en-GB"/>
        </w:rPr>
        <w:t>y</w:t>
      </w:r>
      <w:r w:rsidR="0075299A" w:rsidRPr="00557D58">
        <w:rPr>
          <w:lang w:val="en-GB"/>
        </w:rPr>
        <w:t xml:space="preserve"> are not justified</w:t>
      </w:r>
      <w:r w:rsidR="009C52A4">
        <w:rPr>
          <w:lang w:val="en-GB"/>
        </w:rPr>
        <w:t>,</w:t>
      </w:r>
      <w:r w:rsidR="0075299A" w:rsidRPr="00557D58">
        <w:rPr>
          <w:lang w:val="en-GB"/>
        </w:rPr>
        <w:t xml:space="preserve"> as they were neither in the interest of national security or public safety, nor necessary for the protection of public health, morals or rights and freedoms of others. The measures </w:t>
      </w:r>
      <w:r w:rsidR="00EA02C7">
        <w:rPr>
          <w:lang w:val="en-GB"/>
        </w:rPr>
        <w:t>a</w:t>
      </w:r>
      <w:r w:rsidR="0075299A" w:rsidRPr="00557D58">
        <w:rPr>
          <w:lang w:val="en-GB"/>
        </w:rPr>
        <w:t>re also disproportionate in violation of article 21</w:t>
      </w:r>
      <w:r w:rsidR="009C52A4">
        <w:rPr>
          <w:lang w:val="en-GB"/>
        </w:rPr>
        <w:t xml:space="preserve"> of the Covenant</w:t>
      </w:r>
      <w:r w:rsidR="0075299A" w:rsidRPr="00557D58">
        <w:rPr>
          <w:lang w:val="en-GB"/>
        </w:rPr>
        <w:t xml:space="preserve">. </w:t>
      </w:r>
    </w:p>
    <w:p w14:paraId="073202B0" w14:textId="77777777" w:rsidR="0075299A" w:rsidRPr="00557D58" w:rsidRDefault="00335543">
      <w:pPr>
        <w:pStyle w:val="SingleTxtG"/>
        <w:rPr>
          <w:lang w:val="en-GB"/>
        </w:rPr>
      </w:pPr>
      <w:r w:rsidRPr="00557D58">
        <w:rPr>
          <w:lang w:val="en-GB"/>
        </w:rPr>
        <w:t>3.</w:t>
      </w:r>
      <w:r w:rsidR="008C4F79" w:rsidRPr="00557D58">
        <w:rPr>
          <w:lang w:val="en-GB"/>
        </w:rPr>
        <w:t>9</w:t>
      </w:r>
      <w:r w:rsidR="0075299A" w:rsidRPr="00557D58">
        <w:rPr>
          <w:lang w:val="en-GB"/>
        </w:rPr>
        <w:tab/>
        <w:t xml:space="preserve">The author was </w:t>
      </w:r>
      <w:r w:rsidRPr="00557D58">
        <w:rPr>
          <w:lang w:val="en-GB"/>
        </w:rPr>
        <w:t xml:space="preserve">detained, </w:t>
      </w:r>
      <w:r w:rsidR="0075299A" w:rsidRPr="00557D58">
        <w:rPr>
          <w:lang w:val="en-GB"/>
        </w:rPr>
        <w:t>charged, indicted</w:t>
      </w:r>
      <w:r w:rsidR="00C677B1" w:rsidRPr="00557D58">
        <w:rPr>
          <w:lang w:val="en-GB"/>
        </w:rPr>
        <w:t>,</w:t>
      </w:r>
      <w:r w:rsidR="009C52A4">
        <w:rPr>
          <w:lang w:val="en-GB"/>
        </w:rPr>
        <w:t xml:space="preserve"> </w:t>
      </w:r>
      <w:r w:rsidR="0075299A" w:rsidRPr="00557D58">
        <w:rPr>
          <w:lang w:val="en-GB"/>
        </w:rPr>
        <w:t xml:space="preserve">convicted and imprisoned for </w:t>
      </w:r>
      <w:r w:rsidR="00EA02C7">
        <w:rPr>
          <w:lang w:val="en-GB"/>
        </w:rPr>
        <w:t>having</w:t>
      </w:r>
      <w:r w:rsidR="00EA02C7" w:rsidRPr="00557D58">
        <w:rPr>
          <w:lang w:val="en-GB"/>
        </w:rPr>
        <w:t xml:space="preserve"> </w:t>
      </w:r>
      <w:r w:rsidR="0075299A" w:rsidRPr="00557D58">
        <w:rPr>
          <w:lang w:val="en-GB"/>
        </w:rPr>
        <w:t>establish</w:t>
      </w:r>
      <w:r w:rsidR="00EA02C7">
        <w:rPr>
          <w:lang w:val="en-GB"/>
        </w:rPr>
        <w:t>ed</w:t>
      </w:r>
      <w:r w:rsidR="0075299A" w:rsidRPr="00557D58">
        <w:rPr>
          <w:lang w:val="en-GB"/>
        </w:rPr>
        <w:t xml:space="preserve"> an unregistered public </w:t>
      </w:r>
      <w:r w:rsidR="00602A0F" w:rsidRPr="00557D58">
        <w:rPr>
          <w:lang w:val="en-GB"/>
        </w:rPr>
        <w:t>organization</w:t>
      </w:r>
      <w:r w:rsidR="0075299A" w:rsidRPr="00557D58">
        <w:rPr>
          <w:lang w:val="en-GB"/>
        </w:rPr>
        <w:t xml:space="preserve">. The severe restriction on her freedom of association did not meet any of the criteria listed in </w:t>
      </w:r>
      <w:r w:rsidRPr="00557D58">
        <w:rPr>
          <w:lang w:val="en-GB"/>
        </w:rPr>
        <w:t>a</w:t>
      </w:r>
      <w:r w:rsidR="0075299A" w:rsidRPr="00557D58">
        <w:rPr>
          <w:lang w:val="en-GB"/>
        </w:rPr>
        <w:t>rticle 22</w:t>
      </w:r>
      <w:r w:rsidRPr="00557D58">
        <w:rPr>
          <w:lang w:val="en-GB"/>
        </w:rPr>
        <w:t xml:space="preserve"> </w:t>
      </w:r>
      <w:r w:rsidR="009C52A4">
        <w:rPr>
          <w:lang w:val="en-GB"/>
        </w:rPr>
        <w:t>(</w:t>
      </w:r>
      <w:r w:rsidR="0075299A" w:rsidRPr="00557D58">
        <w:rPr>
          <w:lang w:val="en-GB"/>
        </w:rPr>
        <w:t>2</w:t>
      </w:r>
      <w:r w:rsidR="009C52A4">
        <w:rPr>
          <w:lang w:val="en-GB"/>
        </w:rPr>
        <w:t>)</w:t>
      </w:r>
      <w:r w:rsidRPr="00557D58">
        <w:rPr>
          <w:lang w:val="en-GB"/>
        </w:rPr>
        <w:t xml:space="preserve"> of the Covenant</w:t>
      </w:r>
      <w:r w:rsidR="0075299A" w:rsidRPr="00557D58">
        <w:rPr>
          <w:lang w:val="en-GB"/>
        </w:rPr>
        <w:t>.</w:t>
      </w:r>
    </w:p>
    <w:p w14:paraId="249DC16E" w14:textId="77777777" w:rsidR="0075299A" w:rsidRPr="00557D58" w:rsidRDefault="0075299A" w:rsidP="0075299A">
      <w:pPr>
        <w:pStyle w:val="SingleTxtG"/>
        <w:rPr>
          <w:lang w:val="en-GB"/>
        </w:rPr>
      </w:pPr>
      <w:r w:rsidRPr="00557D58">
        <w:rPr>
          <w:lang w:val="en-GB"/>
        </w:rPr>
        <w:t>3.1</w:t>
      </w:r>
      <w:r w:rsidR="008C4F79" w:rsidRPr="00557D58">
        <w:rPr>
          <w:lang w:val="en-GB"/>
        </w:rPr>
        <w:t>0</w:t>
      </w:r>
      <w:r w:rsidRPr="00557D58">
        <w:rPr>
          <w:lang w:val="en-GB"/>
        </w:rPr>
        <w:tab/>
        <w:t xml:space="preserve">The author submits that the gang rape committed against her on 15 April 2005 at </w:t>
      </w:r>
      <w:r w:rsidRPr="00E17765">
        <w:rPr>
          <w:lang w:val="en-GB"/>
        </w:rPr>
        <w:t>Bektemir District Department of Internal Affairs</w:t>
      </w:r>
      <w:r w:rsidRPr="00557D58">
        <w:rPr>
          <w:lang w:val="en-GB"/>
        </w:rPr>
        <w:t xml:space="preserve">, as well as </w:t>
      </w:r>
      <w:r w:rsidR="009C52A4">
        <w:rPr>
          <w:lang w:val="en-GB"/>
        </w:rPr>
        <w:t>her</w:t>
      </w:r>
      <w:r w:rsidR="009C52A4" w:rsidRPr="00557D58">
        <w:rPr>
          <w:lang w:val="en-GB"/>
        </w:rPr>
        <w:t xml:space="preserve"> </w:t>
      </w:r>
      <w:r w:rsidR="00335543" w:rsidRPr="00557D58">
        <w:rPr>
          <w:lang w:val="en-GB"/>
        </w:rPr>
        <w:t>sterilization</w:t>
      </w:r>
      <w:r w:rsidRPr="00557D58">
        <w:rPr>
          <w:lang w:val="en-GB"/>
        </w:rPr>
        <w:t xml:space="preserve"> without her consent </w:t>
      </w:r>
      <w:r w:rsidR="00335543" w:rsidRPr="00557D58">
        <w:rPr>
          <w:lang w:val="en-GB"/>
        </w:rPr>
        <w:t>constitute</w:t>
      </w:r>
      <w:r w:rsidRPr="00557D58">
        <w:rPr>
          <w:lang w:val="en-GB"/>
        </w:rPr>
        <w:t xml:space="preserve"> violation</w:t>
      </w:r>
      <w:r w:rsidR="00335543" w:rsidRPr="00557D58">
        <w:rPr>
          <w:lang w:val="en-GB"/>
        </w:rPr>
        <w:t>s</w:t>
      </w:r>
      <w:r w:rsidRPr="00557D58">
        <w:rPr>
          <w:lang w:val="en-GB"/>
        </w:rPr>
        <w:t xml:space="preserve"> of article 26, as </w:t>
      </w:r>
      <w:r w:rsidR="00335543" w:rsidRPr="00557D58">
        <w:rPr>
          <w:lang w:val="en-GB"/>
        </w:rPr>
        <w:t>they amount to</w:t>
      </w:r>
      <w:r w:rsidRPr="00557D58">
        <w:rPr>
          <w:lang w:val="en-GB"/>
        </w:rPr>
        <w:t xml:space="preserve"> discrimination on the basis of her sex. The author submits that</w:t>
      </w:r>
      <w:r w:rsidR="00AA20DC">
        <w:rPr>
          <w:lang w:val="en-GB"/>
        </w:rPr>
        <w:t>,</w:t>
      </w:r>
      <w:r w:rsidRPr="00557D58">
        <w:rPr>
          <w:lang w:val="en-GB"/>
        </w:rPr>
        <w:t xml:space="preserve"> by arbitrarily and unlawfully arresting</w:t>
      </w:r>
      <w:r w:rsidR="00C677B1" w:rsidRPr="00557D58">
        <w:rPr>
          <w:lang w:val="en-GB"/>
        </w:rPr>
        <w:t>,</w:t>
      </w:r>
      <w:r w:rsidRPr="00557D58">
        <w:rPr>
          <w:lang w:val="en-GB"/>
        </w:rPr>
        <w:t xml:space="preserve"> detaining, prosecuting and convicting her on account of her human rights activities, the State party </w:t>
      </w:r>
      <w:r w:rsidR="009C52A4">
        <w:rPr>
          <w:lang w:val="en-GB"/>
        </w:rPr>
        <w:t>also</w:t>
      </w:r>
      <w:r w:rsidR="009C52A4" w:rsidRPr="00557D58">
        <w:rPr>
          <w:lang w:val="en-GB"/>
        </w:rPr>
        <w:t xml:space="preserve"> </w:t>
      </w:r>
      <w:r w:rsidRPr="00557D58">
        <w:rPr>
          <w:lang w:val="en-GB"/>
        </w:rPr>
        <w:t>violated her rights under article 26, which protects against discrimination on grounds of political or other opinion.</w:t>
      </w:r>
    </w:p>
    <w:p w14:paraId="5312503F" w14:textId="77777777" w:rsidR="001C3120" w:rsidRPr="00557D58" w:rsidRDefault="007B3302" w:rsidP="001C3120">
      <w:pPr>
        <w:pStyle w:val="H23G"/>
      </w:pPr>
      <w:r w:rsidRPr="00557D58">
        <w:tab/>
      </w:r>
      <w:r w:rsidRPr="00557D58">
        <w:tab/>
      </w:r>
      <w:r w:rsidR="001C3120" w:rsidRPr="00847731">
        <w:t>State party</w:t>
      </w:r>
      <w:r w:rsidR="00557D58" w:rsidRPr="00847731">
        <w:t>’</w:t>
      </w:r>
      <w:r w:rsidR="001C3120" w:rsidRPr="00847731">
        <w:t xml:space="preserve">s observations on </w:t>
      </w:r>
      <w:r w:rsidR="00F914D6" w:rsidRPr="00847731">
        <w:t>the merits</w:t>
      </w:r>
    </w:p>
    <w:p w14:paraId="009D73CB" w14:textId="77777777" w:rsidR="00DC465A" w:rsidRPr="00557D58" w:rsidRDefault="001C3120" w:rsidP="00D178AC">
      <w:pPr>
        <w:pStyle w:val="SingleTxtG"/>
        <w:rPr>
          <w:lang w:val="en-GB"/>
        </w:rPr>
      </w:pPr>
      <w:r w:rsidRPr="00557D58">
        <w:rPr>
          <w:lang w:val="en-GB"/>
        </w:rPr>
        <w:t>4.</w:t>
      </w:r>
      <w:r w:rsidR="003E09EC" w:rsidRPr="00557D58">
        <w:rPr>
          <w:lang w:val="en-GB"/>
        </w:rPr>
        <w:t>1</w:t>
      </w:r>
      <w:r w:rsidRPr="00557D58">
        <w:rPr>
          <w:lang w:val="en-GB"/>
        </w:rPr>
        <w:tab/>
      </w:r>
      <w:r w:rsidR="00F914D6" w:rsidRPr="00557D58">
        <w:rPr>
          <w:lang w:val="en-GB"/>
        </w:rPr>
        <w:t>On 4 July 2014, the State party submits that the author’s complaint had been reviewed by the competent authorities in Uzbekistan, who concluded that her allegations were in</w:t>
      </w:r>
      <w:r w:rsidR="002927BC" w:rsidRPr="00557D58">
        <w:rPr>
          <w:lang w:val="en-GB"/>
        </w:rPr>
        <w:t>vented</w:t>
      </w:r>
      <w:r w:rsidR="00F914D6" w:rsidRPr="00557D58">
        <w:rPr>
          <w:lang w:val="en-GB"/>
        </w:rPr>
        <w:t xml:space="preserve"> and biased. </w:t>
      </w:r>
      <w:r w:rsidR="009C52A4">
        <w:rPr>
          <w:lang w:val="en-GB"/>
        </w:rPr>
        <w:t>Its</w:t>
      </w:r>
      <w:r w:rsidR="00B63B05" w:rsidRPr="00557D58">
        <w:rPr>
          <w:lang w:val="en-GB"/>
        </w:rPr>
        <w:t xml:space="preserve"> verification established that</w:t>
      </w:r>
      <w:r w:rsidR="00432F62" w:rsidRPr="00557D58">
        <w:rPr>
          <w:lang w:val="en-GB"/>
        </w:rPr>
        <w:t xml:space="preserve"> between 2002 and October 2005</w:t>
      </w:r>
      <w:r w:rsidR="00B63B05" w:rsidRPr="00557D58">
        <w:rPr>
          <w:lang w:val="en-GB"/>
        </w:rPr>
        <w:t xml:space="preserve"> no criminal investigations were initiated against the author</w:t>
      </w:r>
      <w:r w:rsidR="003E09EC" w:rsidRPr="00557D58">
        <w:rPr>
          <w:lang w:val="en-GB"/>
        </w:rPr>
        <w:t xml:space="preserve"> and the Ferg</w:t>
      </w:r>
      <w:r w:rsidR="008D6530" w:rsidRPr="00557D58">
        <w:rPr>
          <w:lang w:val="en-GB"/>
        </w:rPr>
        <w:t>h</w:t>
      </w:r>
      <w:r w:rsidR="003E09EC" w:rsidRPr="00557D58">
        <w:rPr>
          <w:lang w:val="en-GB"/>
        </w:rPr>
        <w:t>ana Regional Court did not hear any administrative affairs against her.</w:t>
      </w:r>
    </w:p>
    <w:p w14:paraId="336FE7F2" w14:textId="77777777" w:rsidR="003E09EC" w:rsidRPr="00557D58" w:rsidRDefault="003E09EC" w:rsidP="004C05A1">
      <w:pPr>
        <w:pStyle w:val="SingleTxtG"/>
        <w:rPr>
          <w:lang w:val="en-GB"/>
        </w:rPr>
      </w:pPr>
      <w:r w:rsidRPr="00557D58">
        <w:rPr>
          <w:lang w:val="en-GB"/>
        </w:rPr>
        <w:t>4.2</w:t>
      </w:r>
      <w:r w:rsidRPr="00557D58">
        <w:rPr>
          <w:lang w:val="en-GB"/>
        </w:rPr>
        <w:tab/>
        <w:t xml:space="preserve">The State party submits that, on 6 October 2005, the author was arrested by officers of the </w:t>
      </w:r>
      <w:r w:rsidRPr="004C05A1">
        <w:rPr>
          <w:lang w:val="en-GB"/>
        </w:rPr>
        <w:t>Ferg</w:t>
      </w:r>
      <w:r w:rsidR="008D6530" w:rsidRPr="004C05A1">
        <w:rPr>
          <w:lang w:val="en-GB"/>
        </w:rPr>
        <w:t>h</w:t>
      </w:r>
      <w:r w:rsidRPr="004C05A1">
        <w:rPr>
          <w:lang w:val="en-GB"/>
        </w:rPr>
        <w:t>ana Region</w:t>
      </w:r>
      <w:r w:rsidR="004C05A1">
        <w:rPr>
          <w:lang w:val="en-GB"/>
        </w:rPr>
        <w:t>al</w:t>
      </w:r>
      <w:r w:rsidRPr="004C05A1">
        <w:rPr>
          <w:lang w:val="en-GB"/>
        </w:rPr>
        <w:t xml:space="preserve"> </w:t>
      </w:r>
      <w:r w:rsidR="004C05A1">
        <w:rPr>
          <w:lang w:val="en-GB"/>
        </w:rPr>
        <w:t>Procurator</w:t>
      </w:r>
      <w:r w:rsidR="004C05A1" w:rsidRPr="004C05A1">
        <w:rPr>
          <w:lang w:val="en-GB"/>
        </w:rPr>
        <w:t xml:space="preserve">’s </w:t>
      </w:r>
      <w:r w:rsidRPr="004C05A1">
        <w:rPr>
          <w:lang w:val="en-GB"/>
        </w:rPr>
        <w:t>Office</w:t>
      </w:r>
      <w:r w:rsidRPr="00557D58">
        <w:rPr>
          <w:lang w:val="en-GB"/>
        </w:rPr>
        <w:t xml:space="preserve"> </w:t>
      </w:r>
      <w:r w:rsidR="00847731">
        <w:rPr>
          <w:lang w:val="en-US"/>
        </w:rPr>
        <w:t>when</w:t>
      </w:r>
      <w:r w:rsidR="00847731" w:rsidRPr="00557D58">
        <w:rPr>
          <w:lang w:val="en-GB"/>
        </w:rPr>
        <w:t xml:space="preserve"> </w:t>
      </w:r>
      <w:r w:rsidRPr="00557D58">
        <w:rPr>
          <w:lang w:val="en-GB"/>
        </w:rPr>
        <w:t xml:space="preserve">she was </w:t>
      </w:r>
      <w:r w:rsidR="009C52A4">
        <w:rPr>
          <w:lang w:val="en-GB"/>
        </w:rPr>
        <w:t>being given</w:t>
      </w:r>
      <w:r w:rsidR="009C52A4" w:rsidRPr="00557D58">
        <w:rPr>
          <w:lang w:val="en-GB"/>
        </w:rPr>
        <w:t xml:space="preserve"> </w:t>
      </w:r>
      <w:r w:rsidRPr="00557D58">
        <w:rPr>
          <w:lang w:val="en-GB"/>
        </w:rPr>
        <w:t xml:space="preserve">money </w:t>
      </w:r>
      <w:r w:rsidR="009C52A4">
        <w:rPr>
          <w:lang w:val="en-GB"/>
        </w:rPr>
        <w:t>by</w:t>
      </w:r>
      <w:r w:rsidR="009C52A4" w:rsidRPr="00557D58">
        <w:rPr>
          <w:lang w:val="en-GB"/>
        </w:rPr>
        <w:t xml:space="preserve"> </w:t>
      </w:r>
      <w:r w:rsidR="00AD20B5" w:rsidRPr="00557D58">
        <w:rPr>
          <w:lang w:val="en-GB"/>
        </w:rPr>
        <w:t xml:space="preserve">a </w:t>
      </w:r>
      <w:r w:rsidRPr="00557D58">
        <w:rPr>
          <w:lang w:val="en-GB"/>
        </w:rPr>
        <w:t>certain Mr. M</w:t>
      </w:r>
      <w:r w:rsidR="00AD20B5" w:rsidRPr="00557D58">
        <w:rPr>
          <w:lang w:val="en-GB"/>
        </w:rPr>
        <w:t>.</w:t>
      </w:r>
      <w:r w:rsidRPr="00557D58">
        <w:rPr>
          <w:lang w:val="en-GB"/>
        </w:rPr>
        <w:t xml:space="preserve"> On 7 October 2005, a</w:t>
      </w:r>
      <w:r w:rsidR="000F05ED" w:rsidRPr="00557D58">
        <w:rPr>
          <w:lang w:val="en-GB"/>
        </w:rPr>
        <w:t xml:space="preserve"> criminal</w:t>
      </w:r>
      <w:r w:rsidRPr="00557D58">
        <w:rPr>
          <w:lang w:val="en-GB"/>
        </w:rPr>
        <w:t xml:space="preserve"> investigation </w:t>
      </w:r>
      <w:r w:rsidR="000F05ED" w:rsidRPr="00557D58">
        <w:rPr>
          <w:lang w:val="en-GB"/>
        </w:rPr>
        <w:t xml:space="preserve">for extortion </w:t>
      </w:r>
      <w:r w:rsidRPr="00557D58">
        <w:rPr>
          <w:lang w:val="en-GB"/>
        </w:rPr>
        <w:t xml:space="preserve">was initiated </w:t>
      </w:r>
      <w:r w:rsidR="000F05ED" w:rsidRPr="00557D58">
        <w:rPr>
          <w:lang w:val="en-GB"/>
        </w:rPr>
        <w:t>and</w:t>
      </w:r>
      <w:r w:rsidR="009C52A4">
        <w:rPr>
          <w:lang w:val="en-GB"/>
        </w:rPr>
        <w:t>,</w:t>
      </w:r>
      <w:r w:rsidR="000F05ED" w:rsidRPr="00557D58">
        <w:rPr>
          <w:lang w:val="en-GB"/>
        </w:rPr>
        <w:t xml:space="preserve"> o</w:t>
      </w:r>
      <w:r w:rsidRPr="00557D58">
        <w:rPr>
          <w:lang w:val="en-GB"/>
        </w:rPr>
        <w:t xml:space="preserve">n 8 October 2005, </w:t>
      </w:r>
      <w:r w:rsidR="000F05ED" w:rsidRPr="00557D58">
        <w:rPr>
          <w:lang w:val="en-GB"/>
        </w:rPr>
        <w:t xml:space="preserve">extortion </w:t>
      </w:r>
      <w:r w:rsidRPr="00557D58">
        <w:rPr>
          <w:lang w:val="en-GB"/>
        </w:rPr>
        <w:t>charges</w:t>
      </w:r>
      <w:r w:rsidR="000F05ED" w:rsidRPr="00557D58">
        <w:rPr>
          <w:lang w:val="en-GB"/>
        </w:rPr>
        <w:t xml:space="preserve"> </w:t>
      </w:r>
      <w:r w:rsidRPr="00557D58">
        <w:rPr>
          <w:lang w:val="en-GB"/>
        </w:rPr>
        <w:t xml:space="preserve">were </w:t>
      </w:r>
      <w:r w:rsidR="00E223AD">
        <w:rPr>
          <w:lang w:val="en-GB"/>
        </w:rPr>
        <w:t>brought</w:t>
      </w:r>
      <w:r w:rsidRPr="00557D58">
        <w:rPr>
          <w:lang w:val="en-GB"/>
        </w:rPr>
        <w:t xml:space="preserve"> against the author. </w:t>
      </w:r>
      <w:r w:rsidR="00946C5A" w:rsidRPr="00557D58">
        <w:rPr>
          <w:lang w:val="en-GB"/>
        </w:rPr>
        <w:t>She was detained on remand</w:t>
      </w:r>
      <w:r w:rsidR="000F05ED" w:rsidRPr="00557D58">
        <w:rPr>
          <w:lang w:val="en-GB"/>
        </w:rPr>
        <w:t xml:space="preserve"> and</w:t>
      </w:r>
      <w:r w:rsidR="00E223AD">
        <w:rPr>
          <w:lang w:val="en-GB"/>
        </w:rPr>
        <w:t>,</w:t>
      </w:r>
      <w:r w:rsidR="000F05ED" w:rsidRPr="00557D58">
        <w:rPr>
          <w:lang w:val="en-GB"/>
        </w:rPr>
        <w:t xml:space="preserve"> o</w:t>
      </w:r>
      <w:r w:rsidR="00946C5A" w:rsidRPr="00557D58">
        <w:rPr>
          <w:lang w:val="en-GB"/>
        </w:rPr>
        <w:t xml:space="preserve">n 14 October 2005, she was placed in </w:t>
      </w:r>
      <w:r w:rsidR="007B1EA6" w:rsidRPr="004C05A1">
        <w:rPr>
          <w:lang w:val="en-GB"/>
        </w:rPr>
        <w:t>F</w:t>
      </w:r>
      <w:r w:rsidR="000B71F4">
        <w:rPr>
          <w:lang w:val="en-GB"/>
        </w:rPr>
        <w:t xml:space="preserve">erghana </w:t>
      </w:r>
      <w:r w:rsidR="007B1EA6" w:rsidRPr="004C05A1">
        <w:rPr>
          <w:lang w:val="en-GB"/>
        </w:rPr>
        <w:t>R</w:t>
      </w:r>
      <w:r w:rsidR="000B71F4">
        <w:rPr>
          <w:lang w:val="en-GB"/>
        </w:rPr>
        <w:t xml:space="preserve">emand </w:t>
      </w:r>
      <w:r w:rsidR="007B1EA6" w:rsidRPr="004C05A1">
        <w:rPr>
          <w:lang w:val="en-GB"/>
        </w:rPr>
        <w:t>C</w:t>
      </w:r>
      <w:r w:rsidR="000B71F4">
        <w:rPr>
          <w:lang w:val="en-GB"/>
        </w:rPr>
        <w:t>entre</w:t>
      </w:r>
      <w:r w:rsidR="007B1EA6" w:rsidRPr="00895641">
        <w:rPr>
          <w:lang w:val="en-GB"/>
        </w:rPr>
        <w:t xml:space="preserve"> No</w:t>
      </w:r>
      <w:r w:rsidR="00E223AD" w:rsidRPr="004C05A1">
        <w:rPr>
          <w:lang w:val="en-GB"/>
        </w:rPr>
        <w:t xml:space="preserve">. </w:t>
      </w:r>
      <w:r w:rsidR="00946C5A" w:rsidRPr="004C05A1">
        <w:rPr>
          <w:lang w:val="en-GB"/>
        </w:rPr>
        <w:t>10</w:t>
      </w:r>
      <w:r w:rsidR="00946C5A" w:rsidRPr="00557D58">
        <w:rPr>
          <w:lang w:val="en-GB"/>
        </w:rPr>
        <w:t xml:space="preserve">. On 21 January 2006, the author was moved to </w:t>
      </w:r>
      <w:r w:rsidR="007B1EA6" w:rsidRPr="004C05A1">
        <w:rPr>
          <w:lang w:val="en-GB"/>
        </w:rPr>
        <w:t>F</w:t>
      </w:r>
      <w:r w:rsidR="000B71F4">
        <w:rPr>
          <w:lang w:val="en-GB"/>
        </w:rPr>
        <w:t xml:space="preserve">erghana </w:t>
      </w:r>
      <w:r w:rsidR="007B1EA6" w:rsidRPr="004C05A1">
        <w:rPr>
          <w:lang w:val="en-GB"/>
        </w:rPr>
        <w:t>R</w:t>
      </w:r>
      <w:r w:rsidR="000B71F4">
        <w:rPr>
          <w:lang w:val="en-GB"/>
        </w:rPr>
        <w:t xml:space="preserve">emand </w:t>
      </w:r>
      <w:r w:rsidR="007B1EA6" w:rsidRPr="004C05A1">
        <w:rPr>
          <w:lang w:val="en-GB"/>
        </w:rPr>
        <w:t>C</w:t>
      </w:r>
      <w:r w:rsidR="000B71F4">
        <w:rPr>
          <w:lang w:val="en-GB"/>
        </w:rPr>
        <w:t>entre</w:t>
      </w:r>
      <w:r w:rsidR="00234035" w:rsidRPr="004C05A1">
        <w:rPr>
          <w:lang w:val="en-GB"/>
        </w:rPr>
        <w:t xml:space="preserve"> </w:t>
      </w:r>
      <w:r w:rsidR="007B1EA6" w:rsidRPr="00895641">
        <w:rPr>
          <w:lang w:val="en-GB"/>
        </w:rPr>
        <w:t>No</w:t>
      </w:r>
      <w:r w:rsidR="00E223AD" w:rsidRPr="004C05A1">
        <w:rPr>
          <w:lang w:val="en-GB"/>
        </w:rPr>
        <w:t xml:space="preserve">. </w:t>
      </w:r>
      <w:r w:rsidR="00946C5A" w:rsidRPr="004C05A1">
        <w:rPr>
          <w:lang w:val="en-GB"/>
        </w:rPr>
        <w:t>1</w:t>
      </w:r>
      <w:r w:rsidR="00E223AD">
        <w:rPr>
          <w:lang w:val="en-GB"/>
        </w:rPr>
        <w:t>, in accordance with</w:t>
      </w:r>
      <w:r w:rsidR="00946C5A" w:rsidRPr="00557D58">
        <w:rPr>
          <w:lang w:val="en-GB"/>
        </w:rPr>
        <w:t xml:space="preserve"> </w:t>
      </w:r>
      <w:r w:rsidR="00E223AD">
        <w:rPr>
          <w:lang w:val="en-GB"/>
        </w:rPr>
        <w:t>the</w:t>
      </w:r>
      <w:r w:rsidR="00946C5A" w:rsidRPr="00557D58">
        <w:rPr>
          <w:lang w:val="en-GB"/>
        </w:rPr>
        <w:t xml:space="preserve"> decision of the Tashkent Regional Court of 18 January 2006.</w:t>
      </w:r>
    </w:p>
    <w:p w14:paraId="67220767" w14:textId="77777777" w:rsidR="00946C5A" w:rsidRPr="00557D58" w:rsidRDefault="00946C5A">
      <w:pPr>
        <w:pStyle w:val="SingleTxtG"/>
        <w:rPr>
          <w:lang w:val="en-GB"/>
        </w:rPr>
      </w:pPr>
      <w:r w:rsidRPr="00557D58">
        <w:rPr>
          <w:lang w:val="en-GB"/>
        </w:rPr>
        <w:t>4.3</w:t>
      </w:r>
      <w:r w:rsidRPr="00557D58">
        <w:rPr>
          <w:lang w:val="en-GB"/>
        </w:rPr>
        <w:tab/>
        <w:t xml:space="preserve">In accordance with the 6 March 2006 verdict issued by the </w:t>
      </w:r>
      <w:r w:rsidRPr="004C05A1">
        <w:rPr>
          <w:lang w:val="en-GB"/>
        </w:rPr>
        <w:t>Tashkent Regional Court</w:t>
      </w:r>
      <w:r w:rsidRPr="00557D58">
        <w:rPr>
          <w:lang w:val="en-GB"/>
        </w:rPr>
        <w:t xml:space="preserve">, which was confirmed upon appeal on 30 May 2006, the author was found guilty of </w:t>
      </w:r>
      <w:r w:rsidR="00E223AD">
        <w:rPr>
          <w:lang w:val="en-GB"/>
        </w:rPr>
        <w:t>13</w:t>
      </w:r>
      <w:r w:rsidR="007B1EA6" w:rsidRPr="00557D58">
        <w:rPr>
          <w:lang w:val="en-GB"/>
        </w:rPr>
        <w:t xml:space="preserve"> different charges and</w:t>
      </w:r>
      <w:r w:rsidR="00A35831" w:rsidRPr="00557D58">
        <w:rPr>
          <w:lang w:val="en-GB"/>
        </w:rPr>
        <w:t xml:space="preserve"> was convicted to </w:t>
      </w:r>
      <w:r w:rsidR="00EA02C7">
        <w:rPr>
          <w:lang w:val="en-GB"/>
        </w:rPr>
        <w:t xml:space="preserve">eight </w:t>
      </w:r>
      <w:r w:rsidR="00A35831" w:rsidRPr="00557D58">
        <w:rPr>
          <w:lang w:val="en-GB"/>
        </w:rPr>
        <w:t>years</w:t>
      </w:r>
      <w:r w:rsidR="00E223AD">
        <w:rPr>
          <w:lang w:val="en-GB"/>
        </w:rPr>
        <w:t>’</w:t>
      </w:r>
      <w:r w:rsidR="00A35831" w:rsidRPr="00557D58">
        <w:rPr>
          <w:lang w:val="en-GB"/>
        </w:rPr>
        <w:t xml:space="preserve"> imprisonment. According to the verdict</w:t>
      </w:r>
      <w:r w:rsidR="00E223AD">
        <w:rPr>
          <w:lang w:val="en-GB"/>
        </w:rPr>
        <w:t>,</w:t>
      </w:r>
      <w:r w:rsidR="00A35831" w:rsidRPr="00557D58">
        <w:rPr>
          <w:lang w:val="en-GB"/>
        </w:rPr>
        <w:t xml:space="preserve"> </w:t>
      </w:r>
      <w:r w:rsidR="00A35831" w:rsidRPr="00557D58">
        <w:rPr>
          <w:lang w:val="en-GB"/>
        </w:rPr>
        <w:lastRenderedPageBreak/>
        <w:t xml:space="preserve">the author </w:t>
      </w:r>
      <w:r w:rsidR="00E223AD">
        <w:rPr>
          <w:lang w:val="en-GB"/>
        </w:rPr>
        <w:t>had founded</w:t>
      </w:r>
      <w:r w:rsidR="00E223AD" w:rsidRPr="00557D58">
        <w:rPr>
          <w:lang w:val="en-GB"/>
        </w:rPr>
        <w:t xml:space="preserve"> </w:t>
      </w:r>
      <w:r w:rsidR="00E223AD">
        <w:rPr>
          <w:lang w:val="en-GB"/>
        </w:rPr>
        <w:t>the</w:t>
      </w:r>
      <w:r w:rsidR="00E223AD" w:rsidRPr="00557D58">
        <w:rPr>
          <w:lang w:val="en-GB"/>
        </w:rPr>
        <w:t xml:space="preserve"> </w:t>
      </w:r>
      <w:r w:rsidR="00A35831" w:rsidRPr="00557D58">
        <w:rPr>
          <w:lang w:val="en-GB"/>
        </w:rPr>
        <w:t xml:space="preserve">illegal </w:t>
      </w:r>
      <w:r w:rsidR="00600471" w:rsidRPr="00557D58">
        <w:rPr>
          <w:lang w:val="en-GB"/>
        </w:rPr>
        <w:t>O’tyuraklar</w:t>
      </w:r>
      <w:r w:rsidR="00E223AD" w:rsidRPr="00557D58">
        <w:rPr>
          <w:lang w:val="en-GB"/>
        </w:rPr>
        <w:t xml:space="preserve"> </w:t>
      </w:r>
      <w:r w:rsidR="00A35831" w:rsidRPr="00557D58">
        <w:rPr>
          <w:lang w:val="en-GB"/>
        </w:rPr>
        <w:t>organi</w:t>
      </w:r>
      <w:r w:rsidR="00E223AD">
        <w:rPr>
          <w:lang w:val="en-GB"/>
        </w:rPr>
        <w:t>z</w:t>
      </w:r>
      <w:r w:rsidR="00A35831" w:rsidRPr="00557D58">
        <w:rPr>
          <w:lang w:val="en-GB"/>
        </w:rPr>
        <w:t xml:space="preserve">ation; she was engaged in the production and dissemination of materials containing threats to public safety and </w:t>
      </w:r>
      <w:r w:rsidR="00A34CFF">
        <w:rPr>
          <w:lang w:val="en-GB"/>
        </w:rPr>
        <w:t xml:space="preserve">the </w:t>
      </w:r>
      <w:r w:rsidR="00A35831" w:rsidRPr="00557D58">
        <w:rPr>
          <w:lang w:val="en-GB"/>
        </w:rPr>
        <w:t xml:space="preserve">public order. She received financial assistance from </w:t>
      </w:r>
      <w:r w:rsidR="00A34CFF">
        <w:rPr>
          <w:lang w:val="en-GB"/>
        </w:rPr>
        <w:t>various</w:t>
      </w:r>
      <w:r w:rsidR="00A34CFF" w:rsidRPr="00557D58">
        <w:rPr>
          <w:lang w:val="en-GB"/>
        </w:rPr>
        <w:t xml:space="preserve"> </w:t>
      </w:r>
      <w:r w:rsidR="00A35831" w:rsidRPr="00557D58">
        <w:rPr>
          <w:lang w:val="en-GB"/>
        </w:rPr>
        <w:t>foreign organi</w:t>
      </w:r>
      <w:r w:rsidR="00A34CFF">
        <w:rPr>
          <w:lang w:val="en-GB"/>
        </w:rPr>
        <w:t>z</w:t>
      </w:r>
      <w:r w:rsidR="00A35831" w:rsidRPr="00557D58">
        <w:rPr>
          <w:lang w:val="en-GB"/>
        </w:rPr>
        <w:t xml:space="preserve">ations </w:t>
      </w:r>
      <w:r w:rsidR="00A34CFF">
        <w:rPr>
          <w:lang w:val="en-GB"/>
        </w:rPr>
        <w:t>to operate</w:t>
      </w:r>
      <w:r w:rsidR="00A35831" w:rsidRPr="00557D58">
        <w:rPr>
          <w:lang w:val="en-GB"/>
        </w:rPr>
        <w:t xml:space="preserve"> the above</w:t>
      </w:r>
      <w:r w:rsidR="00A34CFF">
        <w:rPr>
          <w:lang w:val="en-GB"/>
        </w:rPr>
        <w:t>-mentioned</w:t>
      </w:r>
      <w:r w:rsidR="00A35831" w:rsidRPr="00557D58">
        <w:rPr>
          <w:lang w:val="en-GB"/>
        </w:rPr>
        <w:t xml:space="preserve"> illegal organi</w:t>
      </w:r>
      <w:r w:rsidR="00A34CFF">
        <w:rPr>
          <w:lang w:val="en-GB"/>
        </w:rPr>
        <w:t>z</w:t>
      </w:r>
      <w:r w:rsidR="00A35831" w:rsidRPr="00557D58">
        <w:rPr>
          <w:lang w:val="en-GB"/>
        </w:rPr>
        <w:t>ation, used these funds in a manner not corresponding to the purpose for which the</w:t>
      </w:r>
      <w:r w:rsidR="00FB3196">
        <w:rPr>
          <w:lang w:val="en-GB"/>
        </w:rPr>
        <w:t>y</w:t>
      </w:r>
      <w:r w:rsidR="00A35831" w:rsidRPr="00557D58">
        <w:rPr>
          <w:lang w:val="en-GB"/>
        </w:rPr>
        <w:t xml:space="preserve"> had been granted</w:t>
      </w:r>
      <w:r w:rsidR="00A34CFF">
        <w:rPr>
          <w:lang w:val="en-GB"/>
        </w:rPr>
        <w:t>,</w:t>
      </w:r>
      <w:r w:rsidR="00A35831" w:rsidRPr="00557D58">
        <w:rPr>
          <w:lang w:val="en-GB"/>
        </w:rPr>
        <w:t xml:space="preserve"> and evaded paying taxes. Further</w:t>
      </w:r>
      <w:r w:rsidR="00A34CFF">
        <w:rPr>
          <w:lang w:val="en-GB"/>
        </w:rPr>
        <w:t>more</w:t>
      </w:r>
      <w:r w:rsidR="00A35831" w:rsidRPr="00557D58">
        <w:rPr>
          <w:lang w:val="en-GB"/>
        </w:rPr>
        <w:t xml:space="preserve">, she gained the trust of two individuals and </w:t>
      </w:r>
      <w:r w:rsidR="00D41F1C" w:rsidRPr="00557D58">
        <w:rPr>
          <w:lang w:val="en-GB"/>
        </w:rPr>
        <w:t>extorted from them 100</w:t>
      </w:r>
      <w:r w:rsidR="00A34CFF">
        <w:rPr>
          <w:lang w:val="en-GB"/>
        </w:rPr>
        <w:t>,</w:t>
      </w:r>
      <w:r w:rsidR="00D41F1C" w:rsidRPr="00557D58">
        <w:rPr>
          <w:lang w:val="en-GB"/>
        </w:rPr>
        <w:t xml:space="preserve">000 Uzbek </w:t>
      </w:r>
      <w:r w:rsidR="00A34CFF">
        <w:rPr>
          <w:lang w:val="en-GB"/>
        </w:rPr>
        <w:t>su</w:t>
      </w:r>
      <w:r w:rsidR="00D41F1C" w:rsidRPr="00557D58">
        <w:rPr>
          <w:lang w:val="en-GB"/>
        </w:rPr>
        <w:t xml:space="preserve">m and 900 </w:t>
      </w:r>
      <w:r w:rsidR="00A34CFF">
        <w:rPr>
          <w:lang w:val="en-GB"/>
        </w:rPr>
        <w:t>United States dollars</w:t>
      </w:r>
      <w:r w:rsidR="00D41F1C" w:rsidRPr="00557D58">
        <w:rPr>
          <w:lang w:val="en-GB"/>
        </w:rPr>
        <w:t xml:space="preserve">; she also attempted to extort money from the family of </w:t>
      </w:r>
      <w:r w:rsidR="00A34CFF">
        <w:rPr>
          <w:lang w:val="en-GB"/>
        </w:rPr>
        <w:t xml:space="preserve">a </w:t>
      </w:r>
      <w:r w:rsidR="00D41F1C" w:rsidRPr="00557D58">
        <w:rPr>
          <w:lang w:val="en-GB"/>
        </w:rPr>
        <w:t>certain Mr. M</w:t>
      </w:r>
      <w:r w:rsidR="00AD20B5" w:rsidRPr="00557D58">
        <w:rPr>
          <w:lang w:val="en-GB"/>
        </w:rPr>
        <w:t>.</w:t>
      </w:r>
      <w:r w:rsidR="00602A0F" w:rsidRPr="00557D58">
        <w:rPr>
          <w:lang w:val="en-GB"/>
        </w:rPr>
        <w:t xml:space="preserve"> </w:t>
      </w:r>
      <w:r w:rsidR="00D41F1C" w:rsidRPr="00557D58">
        <w:rPr>
          <w:lang w:val="en-GB"/>
        </w:rPr>
        <w:t xml:space="preserve">and was apprehended </w:t>
      </w:r>
      <w:r w:rsidR="00847731">
        <w:rPr>
          <w:lang w:val="en-GB"/>
        </w:rPr>
        <w:t>as she</w:t>
      </w:r>
      <w:r w:rsidR="00847731" w:rsidRPr="00557D58">
        <w:rPr>
          <w:lang w:val="en-GB"/>
        </w:rPr>
        <w:t xml:space="preserve"> </w:t>
      </w:r>
      <w:r w:rsidR="00D41F1C" w:rsidRPr="00557D58">
        <w:rPr>
          <w:lang w:val="en-GB"/>
        </w:rPr>
        <w:t>receiv</w:t>
      </w:r>
      <w:r w:rsidR="00847731">
        <w:rPr>
          <w:lang w:val="en-GB"/>
        </w:rPr>
        <w:t>ed</w:t>
      </w:r>
      <w:r w:rsidR="00D41F1C" w:rsidRPr="00557D58">
        <w:rPr>
          <w:lang w:val="en-GB"/>
        </w:rPr>
        <w:t xml:space="preserve"> 600</w:t>
      </w:r>
      <w:r w:rsidR="00A34CFF">
        <w:rPr>
          <w:lang w:val="en-GB"/>
        </w:rPr>
        <w:t>,</w:t>
      </w:r>
      <w:r w:rsidR="00D41F1C" w:rsidRPr="00557D58">
        <w:rPr>
          <w:lang w:val="en-GB"/>
        </w:rPr>
        <w:t xml:space="preserve">000 </w:t>
      </w:r>
      <w:r w:rsidR="00A34CFF">
        <w:rPr>
          <w:lang w:val="en-GB"/>
        </w:rPr>
        <w:t>su</w:t>
      </w:r>
      <w:r w:rsidR="00D41F1C" w:rsidRPr="00557D58">
        <w:rPr>
          <w:lang w:val="en-GB"/>
        </w:rPr>
        <w:t>m.</w:t>
      </w:r>
      <w:r w:rsidR="00541862" w:rsidRPr="00557D58">
        <w:rPr>
          <w:lang w:val="en-GB"/>
        </w:rPr>
        <w:t xml:space="preserve"> </w:t>
      </w:r>
      <w:r w:rsidR="00A442AD" w:rsidRPr="00557D58">
        <w:rPr>
          <w:lang w:val="en-GB"/>
        </w:rPr>
        <w:t>I</w:t>
      </w:r>
      <w:r w:rsidR="00541862" w:rsidRPr="00557D58">
        <w:rPr>
          <w:lang w:val="en-GB"/>
        </w:rPr>
        <w:t xml:space="preserve">n her capacity of manager of the </w:t>
      </w:r>
      <w:r w:rsidR="00A34CFF" w:rsidRPr="00557D58">
        <w:rPr>
          <w:lang w:val="en-GB"/>
        </w:rPr>
        <w:t xml:space="preserve">Hakikat </w:t>
      </w:r>
      <w:r w:rsidR="00541862" w:rsidRPr="00557D58">
        <w:rPr>
          <w:lang w:val="en-GB"/>
        </w:rPr>
        <w:t>company, she committed fo</w:t>
      </w:r>
      <w:r w:rsidR="0050774D" w:rsidRPr="00557D58">
        <w:rPr>
          <w:lang w:val="en-GB"/>
        </w:rPr>
        <w:t>r</w:t>
      </w:r>
      <w:r w:rsidR="00541862" w:rsidRPr="00557D58">
        <w:rPr>
          <w:lang w:val="en-GB"/>
        </w:rPr>
        <w:t>g</w:t>
      </w:r>
      <w:r w:rsidR="0050774D" w:rsidRPr="00557D58">
        <w:rPr>
          <w:lang w:val="en-GB"/>
        </w:rPr>
        <w:t>e</w:t>
      </w:r>
      <w:r w:rsidR="00541862" w:rsidRPr="00557D58">
        <w:rPr>
          <w:lang w:val="en-GB"/>
        </w:rPr>
        <w:t xml:space="preserve">ry in order to obtain a </w:t>
      </w:r>
      <w:r w:rsidR="001739B0">
        <w:rPr>
          <w:lang w:val="en-GB"/>
        </w:rPr>
        <w:t>loan</w:t>
      </w:r>
      <w:r w:rsidR="001739B0" w:rsidRPr="00557D58">
        <w:rPr>
          <w:lang w:val="en-GB"/>
        </w:rPr>
        <w:t xml:space="preserve"> </w:t>
      </w:r>
      <w:r w:rsidR="00541862" w:rsidRPr="00557D58">
        <w:rPr>
          <w:lang w:val="en-GB"/>
        </w:rPr>
        <w:t>of 800</w:t>
      </w:r>
      <w:r w:rsidR="001739B0">
        <w:rPr>
          <w:lang w:val="en-GB"/>
        </w:rPr>
        <w:t>,</w:t>
      </w:r>
      <w:r w:rsidR="00541862" w:rsidRPr="00557D58">
        <w:rPr>
          <w:lang w:val="en-GB"/>
        </w:rPr>
        <w:t xml:space="preserve">000 </w:t>
      </w:r>
      <w:r w:rsidR="001739B0">
        <w:rPr>
          <w:lang w:val="en-GB"/>
        </w:rPr>
        <w:t>su</w:t>
      </w:r>
      <w:r w:rsidR="00541862" w:rsidRPr="00557D58">
        <w:rPr>
          <w:lang w:val="en-GB"/>
        </w:rPr>
        <w:t>m. The guilt of the author was fully prove</w:t>
      </w:r>
      <w:r w:rsidR="001E336C" w:rsidRPr="00557D58">
        <w:rPr>
          <w:lang w:val="en-GB"/>
        </w:rPr>
        <w:t>n</w:t>
      </w:r>
      <w:r w:rsidR="00541862" w:rsidRPr="00557D58">
        <w:rPr>
          <w:lang w:val="en-GB"/>
        </w:rPr>
        <w:t xml:space="preserve"> by the testimony of the victims and other evidence.</w:t>
      </w:r>
      <w:r w:rsidR="00612F02" w:rsidRPr="00557D58">
        <w:rPr>
          <w:lang w:val="en-GB"/>
        </w:rPr>
        <w:t xml:space="preserve"> The verdict and the </w:t>
      </w:r>
      <w:r w:rsidR="00612F02" w:rsidRPr="00847731">
        <w:rPr>
          <w:lang w:val="en-GB"/>
        </w:rPr>
        <w:t>second instance decision</w:t>
      </w:r>
      <w:r w:rsidR="00612F02" w:rsidRPr="00557D58">
        <w:rPr>
          <w:lang w:val="en-GB"/>
        </w:rPr>
        <w:t xml:space="preserve"> were amended by a Supreme Court ruling of 2 June 2008 whereby her sentence was reduced to</w:t>
      </w:r>
      <w:r w:rsidR="00FF6496">
        <w:rPr>
          <w:lang w:val="en-GB"/>
        </w:rPr>
        <w:t xml:space="preserve"> a</w:t>
      </w:r>
      <w:r w:rsidR="00612F02" w:rsidRPr="00557D58">
        <w:rPr>
          <w:lang w:val="en-GB"/>
        </w:rPr>
        <w:t xml:space="preserve"> </w:t>
      </w:r>
      <w:r w:rsidR="00FF6496">
        <w:rPr>
          <w:lang w:val="en-GB"/>
        </w:rPr>
        <w:t>three-</w:t>
      </w:r>
      <w:r w:rsidR="00612F02" w:rsidRPr="00557D58">
        <w:rPr>
          <w:lang w:val="en-GB"/>
        </w:rPr>
        <w:t>year suspended</w:t>
      </w:r>
      <w:r w:rsidR="00FF6496">
        <w:rPr>
          <w:lang w:val="en-GB"/>
        </w:rPr>
        <w:t xml:space="preserve"> sentence</w:t>
      </w:r>
      <w:r w:rsidR="00A442AD" w:rsidRPr="00557D58">
        <w:rPr>
          <w:lang w:val="en-GB"/>
        </w:rPr>
        <w:t>.</w:t>
      </w:r>
    </w:p>
    <w:p w14:paraId="1F82F39E" w14:textId="77777777" w:rsidR="00541862" w:rsidRPr="00557D58" w:rsidRDefault="00541862">
      <w:pPr>
        <w:pStyle w:val="SingleTxtG"/>
        <w:rPr>
          <w:lang w:val="en-GB"/>
        </w:rPr>
      </w:pPr>
      <w:r w:rsidRPr="00557D58">
        <w:rPr>
          <w:lang w:val="en-GB"/>
        </w:rPr>
        <w:t>4.4</w:t>
      </w:r>
      <w:r w:rsidRPr="00557D58">
        <w:rPr>
          <w:lang w:val="en-GB"/>
        </w:rPr>
        <w:tab/>
      </w:r>
      <w:r w:rsidRPr="002B49FA">
        <w:rPr>
          <w:lang w:val="en-GB"/>
        </w:rPr>
        <w:t xml:space="preserve">The State party submits that </w:t>
      </w:r>
      <w:r w:rsidR="00612F02" w:rsidRPr="002B49FA">
        <w:rPr>
          <w:lang w:val="en-GB"/>
        </w:rPr>
        <w:t>the author’s</w:t>
      </w:r>
      <w:r w:rsidR="00612F02" w:rsidRPr="00557D58">
        <w:rPr>
          <w:lang w:val="en-GB"/>
        </w:rPr>
        <w:t xml:space="preserve"> claims regarding impermissible treatment against her while in pretrial detention </w:t>
      </w:r>
      <w:r w:rsidR="002B49FA">
        <w:rPr>
          <w:lang w:val="en-GB"/>
        </w:rPr>
        <w:t>had been considered</w:t>
      </w:r>
      <w:r w:rsidR="00612F02" w:rsidRPr="00557D58">
        <w:rPr>
          <w:lang w:val="en-GB"/>
        </w:rPr>
        <w:t xml:space="preserve"> and could not be confirmed. The State party notes that meetings </w:t>
      </w:r>
      <w:r w:rsidR="007B1EA6" w:rsidRPr="00557D58">
        <w:rPr>
          <w:lang w:val="en-GB"/>
        </w:rPr>
        <w:t xml:space="preserve">of </w:t>
      </w:r>
      <w:r w:rsidR="00612F02" w:rsidRPr="00557D58">
        <w:rPr>
          <w:lang w:val="en-GB"/>
        </w:rPr>
        <w:t>persons under arrest with their legal representative</w:t>
      </w:r>
      <w:r w:rsidR="00432F62" w:rsidRPr="00557D58">
        <w:rPr>
          <w:lang w:val="en-GB"/>
        </w:rPr>
        <w:t xml:space="preserve"> and</w:t>
      </w:r>
      <w:r w:rsidR="00612F02" w:rsidRPr="00557D58">
        <w:rPr>
          <w:lang w:val="en-GB"/>
        </w:rPr>
        <w:t xml:space="preserve"> relatives a</w:t>
      </w:r>
      <w:r w:rsidR="004204BA" w:rsidRPr="00557D58">
        <w:rPr>
          <w:lang w:val="en-GB"/>
        </w:rPr>
        <w:t xml:space="preserve">re </w:t>
      </w:r>
      <w:r w:rsidR="00612F02" w:rsidRPr="00557D58">
        <w:rPr>
          <w:lang w:val="en-GB"/>
        </w:rPr>
        <w:t xml:space="preserve">allowed with the written permission of the official in charge </w:t>
      </w:r>
      <w:r w:rsidR="00822BE0">
        <w:rPr>
          <w:lang w:val="en-GB"/>
        </w:rPr>
        <w:t>of</w:t>
      </w:r>
      <w:r w:rsidR="00822BE0" w:rsidRPr="00557D58">
        <w:rPr>
          <w:lang w:val="en-GB"/>
        </w:rPr>
        <w:t xml:space="preserve"> </w:t>
      </w:r>
      <w:r w:rsidR="00612F02" w:rsidRPr="00557D58">
        <w:rPr>
          <w:lang w:val="en-GB"/>
        </w:rPr>
        <w:t>the criminal case</w:t>
      </w:r>
      <w:r w:rsidR="00822BE0">
        <w:rPr>
          <w:lang w:val="en-GB"/>
        </w:rPr>
        <w:t>,</w:t>
      </w:r>
      <w:r w:rsidR="00612F02" w:rsidRPr="00557D58">
        <w:rPr>
          <w:lang w:val="en-GB"/>
        </w:rPr>
        <w:t xml:space="preserve"> and that administrat</w:t>
      </w:r>
      <w:r w:rsidR="004204BA" w:rsidRPr="00557D58">
        <w:rPr>
          <w:lang w:val="en-GB"/>
        </w:rPr>
        <w:t>ors</w:t>
      </w:r>
      <w:r w:rsidR="00612F02" w:rsidRPr="00557D58">
        <w:rPr>
          <w:lang w:val="en-GB"/>
        </w:rPr>
        <w:t xml:space="preserve"> of detention cent</w:t>
      </w:r>
      <w:r w:rsidR="002B49FA">
        <w:rPr>
          <w:lang w:val="en-GB"/>
        </w:rPr>
        <w:t>r</w:t>
      </w:r>
      <w:r w:rsidR="00612F02" w:rsidRPr="00557D58">
        <w:rPr>
          <w:lang w:val="en-GB"/>
        </w:rPr>
        <w:t xml:space="preserve">es </w:t>
      </w:r>
      <w:r w:rsidR="004204BA" w:rsidRPr="00557D58">
        <w:rPr>
          <w:lang w:val="en-GB"/>
        </w:rPr>
        <w:t>are</w:t>
      </w:r>
      <w:r w:rsidR="00612F02" w:rsidRPr="00557D58">
        <w:rPr>
          <w:lang w:val="en-GB"/>
        </w:rPr>
        <w:t xml:space="preserve"> not among officials authori</w:t>
      </w:r>
      <w:r w:rsidR="00822BE0">
        <w:rPr>
          <w:lang w:val="en-GB"/>
        </w:rPr>
        <w:t>z</w:t>
      </w:r>
      <w:r w:rsidR="00612F02" w:rsidRPr="00557D58">
        <w:rPr>
          <w:lang w:val="en-GB"/>
        </w:rPr>
        <w:t>ed to issue permission</w:t>
      </w:r>
      <w:r w:rsidR="00822BE0">
        <w:rPr>
          <w:lang w:val="en-GB"/>
        </w:rPr>
        <w:t xml:space="preserve"> for meeting</w:t>
      </w:r>
      <w:r w:rsidR="00612F02" w:rsidRPr="00557D58">
        <w:rPr>
          <w:lang w:val="en-GB"/>
        </w:rPr>
        <w:t>s. All parcels received in the detention cent</w:t>
      </w:r>
      <w:r w:rsidR="002B49FA">
        <w:rPr>
          <w:lang w:val="en-GB"/>
        </w:rPr>
        <w:t>r</w:t>
      </w:r>
      <w:r w:rsidR="00612F02" w:rsidRPr="00557D58">
        <w:rPr>
          <w:lang w:val="en-GB"/>
        </w:rPr>
        <w:t>e for the author were handed over to her in a timely manner by the administration. Du</w:t>
      </w:r>
      <w:r w:rsidR="0050774D" w:rsidRPr="00557D58">
        <w:rPr>
          <w:lang w:val="en-GB"/>
        </w:rPr>
        <w:t>ring her stay in the pretrial detention cent</w:t>
      </w:r>
      <w:r w:rsidR="00822BE0">
        <w:rPr>
          <w:lang w:val="en-GB"/>
        </w:rPr>
        <w:t>re</w:t>
      </w:r>
      <w:r w:rsidR="00847731">
        <w:rPr>
          <w:lang w:val="en-GB"/>
        </w:rPr>
        <w:t>,</w:t>
      </w:r>
      <w:r w:rsidR="0050774D" w:rsidRPr="00557D58">
        <w:rPr>
          <w:lang w:val="en-GB"/>
        </w:rPr>
        <w:t xml:space="preserve"> the</w:t>
      </w:r>
      <w:r w:rsidR="00612F02" w:rsidRPr="00557D58">
        <w:rPr>
          <w:lang w:val="en-GB"/>
        </w:rPr>
        <w:t xml:space="preserve"> </w:t>
      </w:r>
      <w:r w:rsidR="0050774D" w:rsidRPr="00557D58">
        <w:rPr>
          <w:lang w:val="en-GB"/>
        </w:rPr>
        <w:t>author did not request medical assistance from the</w:t>
      </w:r>
      <w:r w:rsidR="00822BE0">
        <w:rPr>
          <w:lang w:val="en-GB"/>
        </w:rPr>
        <w:t xml:space="preserve"> centre’s</w:t>
      </w:r>
      <w:r w:rsidR="0050774D" w:rsidRPr="00557D58">
        <w:rPr>
          <w:lang w:val="en-GB"/>
        </w:rPr>
        <w:t xml:space="preserve"> medical personnel. During the daily inspection of the cells and questioning by the personnel of the cent</w:t>
      </w:r>
      <w:r w:rsidR="00822BE0">
        <w:rPr>
          <w:lang w:val="en-GB"/>
        </w:rPr>
        <w:t>r</w:t>
      </w:r>
      <w:r w:rsidR="0050774D" w:rsidRPr="00557D58">
        <w:rPr>
          <w:lang w:val="en-GB"/>
        </w:rPr>
        <w:t xml:space="preserve">e, </w:t>
      </w:r>
      <w:r w:rsidR="00FB3196">
        <w:rPr>
          <w:lang w:val="en-GB"/>
        </w:rPr>
        <w:t>t</w:t>
      </w:r>
      <w:r w:rsidR="0050774D" w:rsidRPr="00557D58">
        <w:rPr>
          <w:lang w:val="en-GB"/>
        </w:rPr>
        <w:t>he author did not have any health</w:t>
      </w:r>
      <w:r w:rsidR="00822BE0">
        <w:rPr>
          <w:lang w:val="en-GB"/>
        </w:rPr>
        <w:t>-</w:t>
      </w:r>
      <w:r w:rsidR="0050774D" w:rsidRPr="00557D58">
        <w:rPr>
          <w:lang w:val="en-GB"/>
        </w:rPr>
        <w:t xml:space="preserve">related complaints. </w:t>
      </w:r>
    </w:p>
    <w:p w14:paraId="7DC8B37C" w14:textId="77777777" w:rsidR="00304890" w:rsidRPr="00557D58" w:rsidRDefault="0050774D">
      <w:pPr>
        <w:pStyle w:val="SingleTxtG"/>
        <w:rPr>
          <w:lang w:val="en-GB"/>
        </w:rPr>
      </w:pPr>
      <w:r w:rsidRPr="00557D58">
        <w:rPr>
          <w:lang w:val="en-GB"/>
        </w:rPr>
        <w:t>4.5</w:t>
      </w:r>
      <w:r w:rsidRPr="00557D58">
        <w:rPr>
          <w:lang w:val="en-GB"/>
        </w:rPr>
        <w:tab/>
        <w:t>The State party submits that</w:t>
      </w:r>
      <w:r w:rsidR="00822BE0">
        <w:rPr>
          <w:lang w:val="en-GB"/>
        </w:rPr>
        <w:t>,</w:t>
      </w:r>
      <w:r w:rsidRPr="00557D58">
        <w:rPr>
          <w:lang w:val="en-GB"/>
        </w:rPr>
        <w:t xml:space="preserve"> according to </w:t>
      </w:r>
      <w:r w:rsidRPr="00847731">
        <w:rPr>
          <w:lang w:val="en-GB"/>
        </w:rPr>
        <w:t>paragraph 56 of the Code of Execution of Punishments</w:t>
      </w:r>
      <w:r w:rsidR="00822BE0">
        <w:rPr>
          <w:lang w:val="en-GB"/>
        </w:rPr>
        <w:t>,</w:t>
      </w:r>
      <w:r w:rsidRPr="00557D58">
        <w:rPr>
          <w:lang w:val="en-GB"/>
        </w:rPr>
        <w:t xml:space="preserve"> convict</w:t>
      </w:r>
      <w:r w:rsidR="00822BE0">
        <w:rPr>
          <w:lang w:val="en-GB"/>
        </w:rPr>
        <w:t>ed person</w:t>
      </w:r>
      <w:r w:rsidRPr="00557D58">
        <w:rPr>
          <w:lang w:val="en-GB"/>
        </w:rPr>
        <w:t xml:space="preserve">s are placed in </w:t>
      </w:r>
      <w:r w:rsidR="00602A0F" w:rsidRPr="00557D58">
        <w:rPr>
          <w:lang w:val="en-GB"/>
        </w:rPr>
        <w:t>an</w:t>
      </w:r>
      <w:r w:rsidRPr="00557D58">
        <w:rPr>
          <w:lang w:val="en-GB"/>
        </w:rPr>
        <w:t xml:space="preserve"> admission ward</w:t>
      </w:r>
      <w:r w:rsidR="00822BE0">
        <w:rPr>
          <w:lang w:val="en-GB"/>
        </w:rPr>
        <w:t xml:space="preserve"> </w:t>
      </w:r>
      <w:r w:rsidR="00822BE0" w:rsidRPr="00557D58">
        <w:rPr>
          <w:lang w:val="en-GB"/>
        </w:rPr>
        <w:t>upon arrival</w:t>
      </w:r>
      <w:r w:rsidR="00EB0893" w:rsidRPr="00557D58">
        <w:rPr>
          <w:lang w:val="en-GB"/>
        </w:rPr>
        <w:t xml:space="preserve">, for a period not exceeding 15 days, in order </w:t>
      </w:r>
      <w:r w:rsidR="00822BE0">
        <w:rPr>
          <w:lang w:val="en-GB"/>
        </w:rPr>
        <w:t>that</w:t>
      </w:r>
      <w:r w:rsidR="00EB0893" w:rsidRPr="00557D58">
        <w:rPr>
          <w:lang w:val="en-GB"/>
        </w:rPr>
        <w:t xml:space="preserve"> their personality and </w:t>
      </w:r>
      <w:r w:rsidR="00847731">
        <w:rPr>
          <w:lang w:val="en-GB"/>
        </w:rPr>
        <w:t xml:space="preserve">how they are adjusting to incarceration </w:t>
      </w:r>
      <w:r w:rsidR="00822BE0">
        <w:rPr>
          <w:lang w:val="en-GB"/>
        </w:rPr>
        <w:t xml:space="preserve">can be </w:t>
      </w:r>
      <w:r w:rsidR="00847731">
        <w:rPr>
          <w:lang w:val="en-GB"/>
        </w:rPr>
        <w:t>examined</w:t>
      </w:r>
      <w:r w:rsidR="00EB0893" w:rsidRPr="00557D58">
        <w:rPr>
          <w:lang w:val="en-GB"/>
        </w:rPr>
        <w:t>.</w:t>
      </w:r>
      <w:r w:rsidRPr="00557D58">
        <w:rPr>
          <w:lang w:val="en-GB"/>
        </w:rPr>
        <w:t xml:space="preserve"> </w:t>
      </w:r>
      <w:r w:rsidR="00EB0893" w:rsidRPr="00557D58">
        <w:rPr>
          <w:lang w:val="en-GB"/>
        </w:rPr>
        <w:t xml:space="preserve">The admission ward is not a medical or psychiatric institution. </w:t>
      </w:r>
      <w:r w:rsidR="00304890" w:rsidRPr="00557D58">
        <w:rPr>
          <w:lang w:val="en-GB"/>
        </w:rPr>
        <w:t xml:space="preserve">Upon arrival on 7 July 2006 </w:t>
      </w:r>
      <w:r w:rsidR="00822BE0">
        <w:rPr>
          <w:lang w:val="en-GB"/>
        </w:rPr>
        <w:t>at</w:t>
      </w:r>
      <w:r w:rsidR="00822BE0" w:rsidRPr="00557D58">
        <w:rPr>
          <w:lang w:val="en-GB"/>
        </w:rPr>
        <w:t xml:space="preserve"> </w:t>
      </w:r>
      <w:r w:rsidR="00304890" w:rsidRPr="00557D58">
        <w:rPr>
          <w:lang w:val="en-GB"/>
        </w:rPr>
        <w:t xml:space="preserve">the </w:t>
      </w:r>
      <w:r w:rsidR="00FB3196" w:rsidRPr="00847731">
        <w:rPr>
          <w:lang w:val="en-GB"/>
        </w:rPr>
        <w:t>detention centre</w:t>
      </w:r>
      <w:r w:rsidR="00FB3196" w:rsidRPr="00557D58">
        <w:rPr>
          <w:lang w:val="en-GB"/>
        </w:rPr>
        <w:t xml:space="preserve"> </w:t>
      </w:r>
      <w:r w:rsidR="00304890" w:rsidRPr="00557D58">
        <w:rPr>
          <w:lang w:val="en-GB"/>
        </w:rPr>
        <w:t>in Tashkent, the author was placed in the admission ward, subjected to a complete medical examination, clinical tests and a biochemical analysis. She was diagnosed with emotional exhaustion, cardio-psychoneurosis</w:t>
      </w:r>
      <w:r w:rsidR="00822BE0">
        <w:rPr>
          <w:lang w:val="en-GB"/>
        </w:rPr>
        <w:t xml:space="preserve"> and</w:t>
      </w:r>
      <w:r w:rsidR="00304890" w:rsidRPr="00557D58">
        <w:rPr>
          <w:lang w:val="en-GB"/>
        </w:rPr>
        <w:t xml:space="preserve"> hypertension. She received both inpatient and outpatient care. Upon the conclusion of the adjustment period, the author was transferred to</w:t>
      </w:r>
      <w:r w:rsidR="00822BE0">
        <w:rPr>
          <w:lang w:val="en-GB"/>
        </w:rPr>
        <w:t xml:space="preserve"> join</w:t>
      </w:r>
      <w:r w:rsidR="00304890" w:rsidRPr="00557D58">
        <w:rPr>
          <w:lang w:val="en-GB"/>
        </w:rPr>
        <w:t xml:space="preserve"> the general</w:t>
      </w:r>
      <w:r w:rsidR="00822BE0">
        <w:rPr>
          <w:lang w:val="en-GB"/>
        </w:rPr>
        <w:t xml:space="preserve"> </w:t>
      </w:r>
      <w:r w:rsidR="00822BE0" w:rsidRPr="00847731">
        <w:rPr>
          <w:lang w:val="en-GB"/>
        </w:rPr>
        <w:t>prison</w:t>
      </w:r>
      <w:r w:rsidR="00304890" w:rsidRPr="00557D58">
        <w:rPr>
          <w:lang w:val="en-GB"/>
        </w:rPr>
        <w:t xml:space="preserve"> population in a satisfactory </w:t>
      </w:r>
      <w:r w:rsidR="00602A0F" w:rsidRPr="00557D58">
        <w:rPr>
          <w:lang w:val="en-GB"/>
        </w:rPr>
        <w:t>condition</w:t>
      </w:r>
      <w:r w:rsidR="00304890" w:rsidRPr="00557D58">
        <w:rPr>
          <w:lang w:val="en-GB"/>
        </w:rPr>
        <w:t>. She did not have any complaints regarding</w:t>
      </w:r>
      <w:r w:rsidR="00822BE0">
        <w:rPr>
          <w:lang w:val="en-GB"/>
        </w:rPr>
        <w:t xml:space="preserve"> a</w:t>
      </w:r>
      <w:r w:rsidR="00304890" w:rsidRPr="00557D58">
        <w:rPr>
          <w:lang w:val="en-GB"/>
        </w:rPr>
        <w:t xml:space="preserve"> </w:t>
      </w:r>
      <w:r w:rsidR="00602A0F" w:rsidRPr="00557D58">
        <w:rPr>
          <w:lang w:val="en-GB"/>
        </w:rPr>
        <w:t>deterioration of</w:t>
      </w:r>
      <w:r w:rsidR="00304890" w:rsidRPr="00557D58">
        <w:rPr>
          <w:lang w:val="en-GB"/>
        </w:rPr>
        <w:t xml:space="preserve"> her health. There are no facts supporting the claim that the </w:t>
      </w:r>
      <w:r w:rsidR="00F47A1D" w:rsidRPr="00557D58">
        <w:rPr>
          <w:lang w:val="en-GB"/>
        </w:rPr>
        <w:t>author</w:t>
      </w:r>
      <w:r w:rsidR="00304890" w:rsidRPr="00557D58">
        <w:rPr>
          <w:lang w:val="en-GB"/>
        </w:rPr>
        <w:t xml:space="preserve"> had a fight with the medical personnel, or that there were any attempts to give </w:t>
      </w:r>
      <w:r w:rsidR="00F47A1D" w:rsidRPr="00557D58">
        <w:rPr>
          <w:lang w:val="en-GB"/>
        </w:rPr>
        <w:t>her</w:t>
      </w:r>
      <w:r w:rsidR="00CB5E70" w:rsidRPr="00557D58">
        <w:rPr>
          <w:lang w:val="en-GB"/>
        </w:rPr>
        <w:t xml:space="preserve"> </w:t>
      </w:r>
      <w:r w:rsidR="00304890" w:rsidRPr="00557D58">
        <w:rPr>
          <w:lang w:val="en-GB"/>
        </w:rPr>
        <w:t xml:space="preserve">any injections. </w:t>
      </w:r>
      <w:r w:rsidR="00F47A1D" w:rsidRPr="00557D58">
        <w:rPr>
          <w:lang w:val="en-GB"/>
        </w:rPr>
        <w:t>Her</w:t>
      </w:r>
      <w:r w:rsidR="00304890" w:rsidRPr="00557D58">
        <w:rPr>
          <w:lang w:val="en-GB"/>
        </w:rPr>
        <w:t xml:space="preserve"> claims that</w:t>
      </w:r>
      <w:r w:rsidR="00822BE0">
        <w:rPr>
          <w:lang w:val="en-GB"/>
        </w:rPr>
        <w:t>,</w:t>
      </w:r>
      <w:r w:rsidR="00304890" w:rsidRPr="00557D58">
        <w:rPr>
          <w:lang w:val="en-GB"/>
        </w:rPr>
        <w:t xml:space="preserve"> after </w:t>
      </w:r>
      <w:r w:rsidR="00822BE0">
        <w:rPr>
          <w:lang w:val="en-GB"/>
        </w:rPr>
        <w:t>10</w:t>
      </w:r>
      <w:r w:rsidR="00822BE0" w:rsidRPr="00557D58">
        <w:rPr>
          <w:lang w:val="en-GB"/>
        </w:rPr>
        <w:t xml:space="preserve"> </w:t>
      </w:r>
      <w:r w:rsidR="00304890" w:rsidRPr="00557D58">
        <w:rPr>
          <w:lang w:val="en-GB"/>
        </w:rPr>
        <w:t xml:space="preserve">days spent in the psychiatric unit, her attorney was able to obtain her transfer to a </w:t>
      </w:r>
      <w:r w:rsidR="00304890" w:rsidRPr="00847731">
        <w:rPr>
          <w:lang w:val="en-GB"/>
        </w:rPr>
        <w:t>different unit in the colony</w:t>
      </w:r>
      <w:r w:rsidR="00F47A1D" w:rsidRPr="00557D58">
        <w:rPr>
          <w:lang w:val="en-GB"/>
        </w:rPr>
        <w:t xml:space="preserve"> are </w:t>
      </w:r>
      <w:r w:rsidR="00602A0F" w:rsidRPr="00557D58">
        <w:rPr>
          <w:lang w:val="en-GB"/>
        </w:rPr>
        <w:t>“</w:t>
      </w:r>
      <w:r w:rsidR="00304890" w:rsidRPr="00557D58">
        <w:rPr>
          <w:lang w:val="en-GB"/>
        </w:rPr>
        <w:t>absurd and agenda-driven</w:t>
      </w:r>
      <w:r w:rsidR="00822BE0">
        <w:rPr>
          <w:lang w:val="en-GB"/>
        </w:rPr>
        <w:t>”</w:t>
      </w:r>
      <w:r w:rsidR="00304890" w:rsidRPr="00557D58">
        <w:rPr>
          <w:lang w:val="en-GB"/>
        </w:rPr>
        <w:t>, since the time</w:t>
      </w:r>
      <w:r w:rsidR="00822BE0">
        <w:rPr>
          <w:lang w:val="en-GB"/>
        </w:rPr>
        <w:t xml:space="preserve"> </w:t>
      </w:r>
      <w:r w:rsidR="00304890" w:rsidRPr="00557D58">
        <w:rPr>
          <w:lang w:val="en-GB"/>
        </w:rPr>
        <w:t xml:space="preserve">frame for the adjustment period for the convicted individuals is established </w:t>
      </w:r>
      <w:r w:rsidR="00822BE0">
        <w:rPr>
          <w:lang w:val="en-GB"/>
        </w:rPr>
        <w:t>in</w:t>
      </w:r>
      <w:r w:rsidR="00822BE0" w:rsidRPr="00557D58">
        <w:rPr>
          <w:lang w:val="en-GB"/>
        </w:rPr>
        <w:t xml:space="preserve"> </w:t>
      </w:r>
      <w:r w:rsidR="00304890" w:rsidRPr="00557D58">
        <w:rPr>
          <w:lang w:val="en-GB"/>
        </w:rPr>
        <w:t>article 56 of the Criminal Code, and defen</w:t>
      </w:r>
      <w:r w:rsidR="00822BE0">
        <w:rPr>
          <w:lang w:val="en-GB"/>
        </w:rPr>
        <w:t>c</w:t>
      </w:r>
      <w:r w:rsidR="00304890" w:rsidRPr="00557D58">
        <w:rPr>
          <w:lang w:val="en-GB"/>
        </w:rPr>
        <w:t>e attorneys are not able to i</w:t>
      </w:r>
      <w:r w:rsidR="004204BA" w:rsidRPr="00557D58">
        <w:rPr>
          <w:lang w:val="en-GB"/>
        </w:rPr>
        <w:t>nfluence</w:t>
      </w:r>
      <w:r w:rsidR="00304890" w:rsidRPr="00557D58">
        <w:rPr>
          <w:lang w:val="en-GB"/>
        </w:rPr>
        <w:t xml:space="preserve"> it.</w:t>
      </w:r>
    </w:p>
    <w:p w14:paraId="179A9A01" w14:textId="77777777" w:rsidR="00B6117E" w:rsidRPr="00557D58" w:rsidRDefault="001B5FD4" w:rsidP="0088447F">
      <w:pPr>
        <w:pStyle w:val="SingleTxtG"/>
        <w:rPr>
          <w:lang w:val="en-GB"/>
        </w:rPr>
      </w:pPr>
      <w:r w:rsidRPr="00557D58">
        <w:rPr>
          <w:lang w:val="en-GB"/>
        </w:rPr>
        <w:t>4.6</w:t>
      </w:r>
      <w:r w:rsidRPr="00557D58">
        <w:rPr>
          <w:lang w:val="en-GB"/>
        </w:rPr>
        <w:tab/>
      </w:r>
      <w:r w:rsidR="00A4142F" w:rsidRPr="00557D58">
        <w:rPr>
          <w:lang w:val="en-GB"/>
        </w:rPr>
        <w:t xml:space="preserve">Over the course of her time in the detention facilities, </w:t>
      </w:r>
      <w:r w:rsidR="00304890" w:rsidRPr="00557D58">
        <w:rPr>
          <w:lang w:val="en-GB"/>
        </w:rPr>
        <w:t>the author</w:t>
      </w:r>
      <w:r w:rsidR="00A4142F" w:rsidRPr="00557D58">
        <w:rPr>
          <w:lang w:val="en-GB"/>
        </w:rPr>
        <w:t xml:space="preserve"> did not request medical attention from the doctors of the facilities. </w:t>
      </w:r>
      <w:r w:rsidR="00F47A1D" w:rsidRPr="00557D58">
        <w:rPr>
          <w:lang w:val="en-GB"/>
        </w:rPr>
        <w:t>The State party submits that the author</w:t>
      </w:r>
      <w:r w:rsidR="00432F62" w:rsidRPr="00557D58">
        <w:rPr>
          <w:lang w:val="en-GB"/>
        </w:rPr>
        <w:t>’s claims</w:t>
      </w:r>
      <w:r w:rsidR="00F47A1D" w:rsidRPr="00557D58">
        <w:rPr>
          <w:lang w:val="en-GB"/>
        </w:rPr>
        <w:t xml:space="preserve"> </w:t>
      </w:r>
      <w:r w:rsidR="00432F62" w:rsidRPr="00557D58">
        <w:rPr>
          <w:lang w:val="en-GB"/>
        </w:rPr>
        <w:t xml:space="preserve">that she was forced to work </w:t>
      </w:r>
      <w:r w:rsidR="00822BE0">
        <w:rPr>
          <w:lang w:val="en-GB"/>
        </w:rPr>
        <w:t>nine</w:t>
      </w:r>
      <w:r w:rsidR="00432F62" w:rsidRPr="00557D58">
        <w:rPr>
          <w:lang w:val="en-GB"/>
        </w:rPr>
        <w:t xml:space="preserve"> hours </w:t>
      </w:r>
      <w:r w:rsidR="00822BE0">
        <w:rPr>
          <w:lang w:val="en-GB"/>
        </w:rPr>
        <w:t>a</w:t>
      </w:r>
      <w:r w:rsidR="00432F62" w:rsidRPr="00557D58">
        <w:rPr>
          <w:lang w:val="en-GB"/>
        </w:rPr>
        <w:t xml:space="preserve"> day and had to spend seven hours a day on her feet were</w:t>
      </w:r>
      <w:r w:rsidR="00F47A1D" w:rsidRPr="00557D58">
        <w:rPr>
          <w:lang w:val="en-GB"/>
        </w:rPr>
        <w:t xml:space="preserve"> fabricated</w:t>
      </w:r>
      <w:r w:rsidR="00432F62" w:rsidRPr="00895641">
        <w:rPr>
          <w:lang w:val="en-GB"/>
        </w:rPr>
        <w:t>.</w:t>
      </w:r>
      <w:r w:rsidR="00A4142F" w:rsidRPr="00557D58">
        <w:rPr>
          <w:lang w:val="en-GB"/>
        </w:rPr>
        <w:t xml:space="preserve"> </w:t>
      </w:r>
      <w:r w:rsidR="00F70E73" w:rsidRPr="00557D58">
        <w:rPr>
          <w:lang w:val="en-GB"/>
        </w:rPr>
        <w:t>A</w:t>
      </w:r>
      <w:r w:rsidR="00A4142F" w:rsidRPr="00557D58">
        <w:rPr>
          <w:lang w:val="en-GB"/>
        </w:rPr>
        <w:t xml:space="preserve">ccording to </w:t>
      </w:r>
      <w:r w:rsidR="00F47A1D" w:rsidRPr="00751E20">
        <w:rPr>
          <w:lang w:val="en-GB"/>
        </w:rPr>
        <w:t>a</w:t>
      </w:r>
      <w:r w:rsidR="00A4142F" w:rsidRPr="00751E20">
        <w:rPr>
          <w:lang w:val="en-GB"/>
        </w:rPr>
        <w:t xml:space="preserve">rticle 88 of the </w:t>
      </w:r>
      <w:r w:rsidR="00F47A1D" w:rsidRPr="00751E20">
        <w:rPr>
          <w:lang w:val="en-GB"/>
        </w:rPr>
        <w:t>Criminal</w:t>
      </w:r>
      <w:r w:rsidR="00A4142F" w:rsidRPr="00751E20">
        <w:rPr>
          <w:lang w:val="en-GB"/>
        </w:rPr>
        <w:t xml:space="preserve"> Code</w:t>
      </w:r>
      <w:r w:rsidR="00A4142F" w:rsidRPr="00557D58">
        <w:rPr>
          <w:lang w:val="en-GB"/>
        </w:rPr>
        <w:t>,</w:t>
      </w:r>
      <w:r w:rsidR="00BA5BF4" w:rsidRPr="00557D58">
        <w:rPr>
          <w:lang w:val="en-GB"/>
        </w:rPr>
        <w:t xml:space="preserve"> </w:t>
      </w:r>
      <w:r w:rsidR="007B1EA6" w:rsidRPr="00557D58">
        <w:rPr>
          <w:lang w:val="en-GB"/>
        </w:rPr>
        <w:t>prisoners</w:t>
      </w:r>
      <w:r w:rsidR="00A4142F" w:rsidRPr="00557D58">
        <w:rPr>
          <w:lang w:val="en-GB"/>
        </w:rPr>
        <w:t xml:space="preserve"> are involved in</w:t>
      </w:r>
      <w:r w:rsidR="00BA5BF4" w:rsidRPr="00557D58">
        <w:rPr>
          <w:lang w:val="en-GB"/>
        </w:rPr>
        <w:t xml:space="preserve"> </w:t>
      </w:r>
      <w:r w:rsidR="00A4142F" w:rsidRPr="00557D58">
        <w:rPr>
          <w:lang w:val="en-GB"/>
        </w:rPr>
        <w:t>labo</w:t>
      </w:r>
      <w:r w:rsidR="00822BE0">
        <w:rPr>
          <w:lang w:val="en-GB"/>
        </w:rPr>
        <w:t>u</w:t>
      </w:r>
      <w:r w:rsidR="00A4142F" w:rsidRPr="00557D58">
        <w:rPr>
          <w:lang w:val="en-GB"/>
        </w:rPr>
        <w:t>r according to their sex, age, health and ability to work. The working</w:t>
      </w:r>
      <w:r w:rsidR="00BA5BF4" w:rsidRPr="00557D58">
        <w:rPr>
          <w:lang w:val="en-GB"/>
        </w:rPr>
        <w:t xml:space="preserve"> </w:t>
      </w:r>
      <w:r w:rsidR="00A4142F" w:rsidRPr="00557D58">
        <w:rPr>
          <w:lang w:val="en-GB"/>
        </w:rPr>
        <w:t>conditions are re</w:t>
      </w:r>
      <w:r w:rsidR="00F47A1D" w:rsidRPr="00557D58">
        <w:rPr>
          <w:lang w:val="en-GB"/>
        </w:rPr>
        <w:t xml:space="preserve">gulated </w:t>
      </w:r>
      <w:r w:rsidR="00822BE0">
        <w:rPr>
          <w:lang w:val="en-GB"/>
        </w:rPr>
        <w:t>in</w:t>
      </w:r>
      <w:r w:rsidR="00822BE0" w:rsidRPr="00557D58">
        <w:rPr>
          <w:lang w:val="en-GB"/>
        </w:rPr>
        <w:t xml:space="preserve"> </w:t>
      </w:r>
      <w:r w:rsidR="00822BE0">
        <w:rPr>
          <w:lang w:val="en-GB"/>
        </w:rPr>
        <w:t>the</w:t>
      </w:r>
      <w:r w:rsidR="00822BE0" w:rsidRPr="00557D58">
        <w:rPr>
          <w:lang w:val="en-GB"/>
        </w:rPr>
        <w:t xml:space="preserve"> </w:t>
      </w:r>
      <w:r w:rsidR="00F47A1D" w:rsidRPr="00557D58">
        <w:rPr>
          <w:lang w:val="en-GB"/>
        </w:rPr>
        <w:t>labo</w:t>
      </w:r>
      <w:r w:rsidR="00822BE0">
        <w:rPr>
          <w:lang w:val="en-GB"/>
        </w:rPr>
        <w:t>u</w:t>
      </w:r>
      <w:r w:rsidR="00F47A1D" w:rsidRPr="00557D58">
        <w:rPr>
          <w:lang w:val="en-GB"/>
        </w:rPr>
        <w:t>r laws</w:t>
      </w:r>
      <w:r w:rsidR="00BA5BF4" w:rsidRPr="00557D58">
        <w:rPr>
          <w:lang w:val="en-GB"/>
        </w:rPr>
        <w:t>;</w:t>
      </w:r>
      <w:r w:rsidR="00F47A1D" w:rsidRPr="00557D58">
        <w:rPr>
          <w:lang w:val="en-GB"/>
        </w:rPr>
        <w:t xml:space="preserve"> t</w:t>
      </w:r>
      <w:r w:rsidR="00A4142F" w:rsidRPr="00557D58">
        <w:rPr>
          <w:lang w:val="en-GB"/>
        </w:rPr>
        <w:t xml:space="preserve">he length of the working day for the detainees is established </w:t>
      </w:r>
      <w:r w:rsidR="00822BE0">
        <w:rPr>
          <w:lang w:val="en-GB"/>
        </w:rPr>
        <w:t>in</w:t>
      </w:r>
      <w:r w:rsidR="00822BE0" w:rsidRPr="00557D58">
        <w:rPr>
          <w:lang w:val="en-GB"/>
        </w:rPr>
        <w:t xml:space="preserve"> </w:t>
      </w:r>
      <w:r w:rsidR="00A4142F" w:rsidRPr="00557D58">
        <w:rPr>
          <w:lang w:val="en-GB"/>
        </w:rPr>
        <w:t>the Labo</w:t>
      </w:r>
      <w:r w:rsidR="00822BE0">
        <w:rPr>
          <w:lang w:val="en-GB"/>
        </w:rPr>
        <w:t>u</w:t>
      </w:r>
      <w:r w:rsidR="00A4142F" w:rsidRPr="00557D58">
        <w:rPr>
          <w:lang w:val="en-GB"/>
        </w:rPr>
        <w:t>r</w:t>
      </w:r>
      <w:r w:rsidR="00BA5BF4" w:rsidRPr="00557D58">
        <w:rPr>
          <w:lang w:val="en-GB"/>
        </w:rPr>
        <w:t xml:space="preserve"> </w:t>
      </w:r>
      <w:r w:rsidR="00A4142F" w:rsidRPr="00557D58">
        <w:rPr>
          <w:lang w:val="en-GB"/>
        </w:rPr>
        <w:t xml:space="preserve">Code and does not exceed </w:t>
      </w:r>
      <w:r w:rsidR="00822BE0">
        <w:rPr>
          <w:lang w:val="en-GB"/>
        </w:rPr>
        <w:t>40</w:t>
      </w:r>
      <w:r w:rsidR="00822BE0" w:rsidRPr="00557D58">
        <w:rPr>
          <w:lang w:val="en-GB"/>
        </w:rPr>
        <w:t xml:space="preserve"> </w:t>
      </w:r>
      <w:r w:rsidR="00A4142F" w:rsidRPr="00557D58">
        <w:rPr>
          <w:lang w:val="en-GB"/>
        </w:rPr>
        <w:t>hours per week</w:t>
      </w:r>
      <w:r w:rsidR="00F47A1D" w:rsidRPr="00557D58">
        <w:rPr>
          <w:lang w:val="en-GB"/>
        </w:rPr>
        <w:t>; t</w:t>
      </w:r>
      <w:r w:rsidR="00A4142F" w:rsidRPr="00557D58">
        <w:rPr>
          <w:lang w:val="en-GB"/>
        </w:rPr>
        <w:t xml:space="preserve">he </w:t>
      </w:r>
      <w:r w:rsidR="00304890" w:rsidRPr="00557D58">
        <w:rPr>
          <w:lang w:val="en-GB"/>
        </w:rPr>
        <w:t>author</w:t>
      </w:r>
      <w:r w:rsidR="00A4142F" w:rsidRPr="00557D58">
        <w:rPr>
          <w:lang w:val="en-GB"/>
        </w:rPr>
        <w:t xml:space="preserve"> worked in the </w:t>
      </w:r>
      <w:r w:rsidR="00A4142F" w:rsidRPr="00751E20">
        <w:rPr>
          <w:lang w:val="en-GB"/>
        </w:rPr>
        <w:t>manufacturing</w:t>
      </w:r>
      <w:r w:rsidR="00BA5BF4" w:rsidRPr="00751E20">
        <w:rPr>
          <w:lang w:val="en-GB"/>
        </w:rPr>
        <w:t xml:space="preserve"> </w:t>
      </w:r>
      <w:r w:rsidR="00A4142F" w:rsidRPr="00751E20">
        <w:rPr>
          <w:lang w:val="en-GB"/>
        </w:rPr>
        <w:t>facility in the sewing unit</w:t>
      </w:r>
      <w:r w:rsidR="00A4142F" w:rsidRPr="00557D58">
        <w:rPr>
          <w:lang w:val="en-GB"/>
        </w:rPr>
        <w:t>, which</w:t>
      </w:r>
      <w:r w:rsidR="00BA5BF4" w:rsidRPr="00557D58">
        <w:rPr>
          <w:lang w:val="en-GB"/>
        </w:rPr>
        <w:t xml:space="preserve"> </w:t>
      </w:r>
      <w:r w:rsidR="00A4142F" w:rsidRPr="00557D58">
        <w:rPr>
          <w:lang w:val="en-GB"/>
        </w:rPr>
        <w:t>cannot be done while spending seven hours on her feet.</w:t>
      </w:r>
      <w:r w:rsidR="00BA5BF4" w:rsidRPr="00557D58">
        <w:rPr>
          <w:lang w:val="en-GB"/>
        </w:rPr>
        <w:t xml:space="preserve"> </w:t>
      </w:r>
      <w:r w:rsidR="00A4142F" w:rsidRPr="00557D58">
        <w:rPr>
          <w:lang w:val="en-GB"/>
        </w:rPr>
        <w:t xml:space="preserve">The employee of the </w:t>
      </w:r>
      <w:r w:rsidR="00A4142F" w:rsidRPr="00751E20">
        <w:rPr>
          <w:lang w:val="en-GB"/>
        </w:rPr>
        <w:t>facility</w:t>
      </w:r>
      <w:r w:rsidR="00A4142F" w:rsidRPr="00557D58">
        <w:rPr>
          <w:lang w:val="en-GB"/>
        </w:rPr>
        <w:t xml:space="preserve"> named in </w:t>
      </w:r>
      <w:r w:rsidR="00DC452C" w:rsidRPr="00557D58">
        <w:rPr>
          <w:lang w:val="en-GB"/>
        </w:rPr>
        <w:t>the author</w:t>
      </w:r>
      <w:r w:rsidR="00557D58" w:rsidRPr="00557D58">
        <w:rPr>
          <w:lang w:val="en-GB"/>
        </w:rPr>
        <w:t>’</w:t>
      </w:r>
      <w:r w:rsidR="00A4142F" w:rsidRPr="00557D58">
        <w:rPr>
          <w:lang w:val="en-GB"/>
        </w:rPr>
        <w:t xml:space="preserve">s </w:t>
      </w:r>
      <w:r w:rsidR="00DC452C" w:rsidRPr="00557D58">
        <w:rPr>
          <w:lang w:val="en-GB"/>
        </w:rPr>
        <w:t>communication</w:t>
      </w:r>
      <w:r w:rsidR="00A4142F" w:rsidRPr="00557D58">
        <w:rPr>
          <w:lang w:val="en-GB"/>
        </w:rPr>
        <w:t xml:space="preserve"> </w:t>
      </w:r>
      <w:r w:rsidR="00DC452C" w:rsidRPr="00557D58">
        <w:rPr>
          <w:lang w:val="en-GB"/>
        </w:rPr>
        <w:t>wa</w:t>
      </w:r>
      <w:r w:rsidR="00A4142F" w:rsidRPr="00557D58">
        <w:rPr>
          <w:lang w:val="en-GB"/>
        </w:rPr>
        <w:t xml:space="preserve">s an instructor in the </w:t>
      </w:r>
      <w:r w:rsidR="00D80524">
        <w:rPr>
          <w:lang w:val="en-GB"/>
        </w:rPr>
        <w:t xml:space="preserve">young offenders’ </w:t>
      </w:r>
      <w:r w:rsidR="00A4142F" w:rsidRPr="00E77EE3">
        <w:rPr>
          <w:lang w:val="en-GB"/>
        </w:rPr>
        <w:t xml:space="preserve">unit </w:t>
      </w:r>
      <w:r w:rsidR="00A4142F" w:rsidRPr="00557D58">
        <w:rPr>
          <w:lang w:val="en-GB"/>
        </w:rPr>
        <w:t>and</w:t>
      </w:r>
      <w:r w:rsidR="007B1EA6" w:rsidRPr="00895641">
        <w:rPr>
          <w:lang w:val="en-GB"/>
        </w:rPr>
        <w:t xml:space="preserve"> </w:t>
      </w:r>
      <w:r w:rsidR="00A4142F" w:rsidRPr="00557D58">
        <w:rPr>
          <w:lang w:val="en-GB"/>
        </w:rPr>
        <w:t xml:space="preserve">could under no circumstances </w:t>
      </w:r>
      <w:r w:rsidR="00822BE0">
        <w:rPr>
          <w:lang w:val="en-GB"/>
        </w:rPr>
        <w:t xml:space="preserve">have </w:t>
      </w:r>
      <w:r w:rsidR="00A4142F" w:rsidRPr="00557D58">
        <w:rPr>
          <w:lang w:val="en-GB"/>
        </w:rPr>
        <w:t>be</w:t>
      </w:r>
      <w:r w:rsidR="00822BE0">
        <w:rPr>
          <w:lang w:val="en-GB"/>
        </w:rPr>
        <w:t>en</w:t>
      </w:r>
      <w:r w:rsidR="00A4142F" w:rsidRPr="00557D58">
        <w:rPr>
          <w:lang w:val="en-GB"/>
        </w:rPr>
        <w:t xml:space="preserve"> in contact with </w:t>
      </w:r>
      <w:r w:rsidR="00DC452C" w:rsidRPr="00557D58">
        <w:rPr>
          <w:lang w:val="en-GB"/>
        </w:rPr>
        <w:t>the author</w:t>
      </w:r>
      <w:r w:rsidR="00BA5BF4" w:rsidRPr="00557D58">
        <w:rPr>
          <w:lang w:val="en-GB"/>
        </w:rPr>
        <w:t>.</w:t>
      </w:r>
      <w:r w:rsidR="00A4142F" w:rsidRPr="00557D58">
        <w:rPr>
          <w:lang w:val="en-GB"/>
        </w:rPr>
        <w:t xml:space="preserve"> </w:t>
      </w:r>
    </w:p>
    <w:p w14:paraId="2112D8E1" w14:textId="77777777" w:rsidR="00A4142F" w:rsidRPr="00557D58" w:rsidRDefault="00B6117E" w:rsidP="00C6453C">
      <w:pPr>
        <w:pStyle w:val="SingleTxtG"/>
        <w:rPr>
          <w:lang w:val="en-GB"/>
        </w:rPr>
      </w:pPr>
      <w:r w:rsidRPr="00557D58">
        <w:rPr>
          <w:lang w:val="en-GB"/>
        </w:rPr>
        <w:t>4.</w:t>
      </w:r>
      <w:r w:rsidR="001E336C" w:rsidRPr="00557D58">
        <w:rPr>
          <w:lang w:val="en-GB"/>
        </w:rPr>
        <w:t>7</w:t>
      </w:r>
      <w:r w:rsidRPr="00557D58">
        <w:rPr>
          <w:lang w:val="en-GB"/>
        </w:rPr>
        <w:tab/>
      </w:r>
      <w:r w:rsidR="00A4142F" w:rsidRPr="00557D58">
        <w:rPr>
          <w:lang w:val="en-GB"/>
        </w:rPr>
        <w:t>The</w:t>
      </w:r>
      <w:r w:rsidRPr="00557D58">
        <w:rPr>
          <w:lang w:val="en-GB"/>
        </w:rPr>
        <w:t xml:space="preserve"> State party maintains that the</w:t>
      </w:r>
      <w:r w:rsidR="00A4142F" w:rsidRPr="00557D58">
        <w:rPr>
          <w:lang w:val="en-GB"/>
        </w:rPr>
        <w:t xml:space="preserve"> </w:t>
      </w:r>
      <w:r w:rsidR="00304890" w:rsidRPr="00557D58">
        <w:rPr>
          <w:lang w:val="en-GB"/>
        </w:rPr>
        <w:t>author</w:t>
      </w:r>
      <w:r w:rsidR="00A4142F" w:rsidRPr="00557D58">
        <w:rPr>
          <w:lang w:val="en-GB"/>
        </w:rPr>
        <w:t xml:space="preserve"> was not subjected to any illegal</w:t>
      </w:r>
      <w:r w:rsidR="00BA5BF4" w:rsidRPr="00557D58">
        <w:rPr>
          <w:lang w:val="en-GB"/>
        </w:rPr>
        <w:t xml:space="preserve"> </w:t>
      </w:r>
      <w:r w:rsidR="00A4142F" w:rsidRPr="00557D58">
        <w:rPr>
          <w:lang w:val="en-GB"/>
        </w:rPr>
        <w:t>acts, rough treatment or torture by the administration of the facility.</w:t>
      </w:r>
      <w:r w:rsidR="00BA5BF4" w:rsidRPr="00557D58">
        <w:rPr>
          <w:lang w:val="en-GB"/>
        </w:rPr>
        <w:t xml:space="preserve"> </w:t>
      </w:r>
      <w:r w:rsidRPr="00557D58">
        <w:rPr>
          <w:lang w:val="en-GB"/>
        </w:rPr>
        <w:t>She was</w:t>
      </w:r>
      <w:r w:rsidR="00A4142F" w:rsidRPr="00557D58">
        <w:rPr>
          <w:lang w:val="en-GB"/>
        </w:rPr>
        <w:t xml:space="preserve"> not refused access to the </w:t>
      </w:r>
      <w:r w:rsidR="00A4142F" w:rsidRPr="00557D58">
        <w:rPr>
          <w:lang w:val="en-GB"/>
        </w:rPr>
        <w:lastRenderedPageBreak/>
        <w:t>administration</w:t>
      </w:r>
      <w:r w:rsidR="00BA5BF4" w:rsidRPr="00557D58">
        <w:rPr>
          <w:lang w:val="en-GB"/>
        </w:rPr>
        <w:t xml:space="preserve"> </w:t>
      </w:r>
      <w:r w:rsidR="00A4142F" w:rsidRPr="00557D58">
        <w:rPr>
          <w:lang w:val="en-GB"/>
        </w:rPr>
        <w:t xml:space="preserve">of the facility or to the </w:t>
      </w:r>
      <w:r w:rsidR="004C05A1">
        <w:rPr>
          <w:lang w:val="en-GB"/>
        </w:rPr>
        <w:t>procurator</w:t>
      </w:r>
      <w:r w:rsidR="00A4142F" w:rsidRPr="00557D58">
        <w:rPr>
          <w:lang w:val="en-GB"/>
        </w:rPr>
        <w:t>. The administration of the facility conducts daily</w:t>
      </w:r>
      <w:r w:rsidR="00BA5BF4" w:rsidRPr="00557D58">
        <w:rPr>
          <w:lang w:val="en-GB"/>
        </w:rPr>
        <w:t xml:space="preserve"> </w:t>
      </w:r>
      <w:r w:rsidR="00A4142F" w:rsidRPr="00557D58">
        <w:rPr>
          <w:lang w:val="en-GB"/>
        </w:rPr>
        <w:t xml:space="preserve">rounds and conducts interviews </w:t>
      </w:r>
      <w:r w:rsidR="00052602" w:rsidRPr="00895641">
        <w:rPr>
          <w:lang w:val="en-GB"/>
        </w:rPr>
        <w:t>with</w:t>
      </w:r>
      <w:r w:rsidR="00A4142F" w:rsidRPr="00557D58">
        <w:rPr>
          <w:lang w:val="en-GB"/>
        </w:rPr>
        <w:t xml:space="preserve"> the detainee</w:t>
      </w:r>
      <w:r w:rsidR="00A4142F" w:rsidRPr="00C6453C">
        <w:rPr>
          <w:lang w:val="en-GB"/>
        </w:rPr>
        <w:t xml:space="preserve">s, </w:t>
      </w:r>
      <w:r w:rsidR="00052602" w:rsidRPr="00895641">
        <w:rPr>
          <w:lang w:val="en-GB"/>
        </w:rPr>
        <w:t>in</w:t>
      </w:r>
      <w:r w:rsidR="00052602" w:rsidRPr="00C6453C">
        <w:rPr>
          <w:lang w:val="en-GB"/>
        </w:rPr>
        <w:t>quiring</w:t>
      </w:r>
      <w:r w:rsidR="00A4142F" w:rsidRPr="00C6453C">
        <w:rPr>
          <w:lang w:val="en-GB"/>
        </w:rPr>
        <w:t xml:space="preserve"> specifically </w:t>
      </w:r>
      <w:r w:rsidR="00052602" w:rsidRPr="00895641">
        <w:rPr>
          <w:lang w:val="en-GB"/>
        </w:rPr>
        <w:t xml:space="preserve">regarding </w:t>
      </w:r>
      <w:r w:rsidR="00A4142F" w:rsidRPr="00C6453C">
        <w:rPr>
          <w:lang w:val="en-GB"/>
        </w:rPr>
        <w:t>the</w:t>
      </w:r>
      <w:r w:rsidR="00A4142F" w:rsidRPr="00557D58">
        <w:rPr>
          <w:lang w:val="en-GB"/>
        </w:rPr>
        <w:t xml:space="preserve"> treatment by the personnel</w:t>
      </w:r>
      <w:r w:rsidRPr="00557D58">
        <w:rPr>
          <w:lang w:val="en-GB"/>
        </w:rPr>
        <w:t>. O</w:t>
      </w:r>
      <w:r w:rsidR="00A4142F" w:rsidRPr="00557D58">
        <w:rPr>
          <w:lang w:val="en-GB"/>
        </w:rPr>
        <w:t>n a weekly</w:t>
      </w:r>
      <w:r w:rsidR="00BA5BF4" w:rsidRPr="00557D58">
        <w:rPr>
          <w:lang w:val="en-GB"/>
        </w:rPr>
        <w:t xml:space="preserve"> </w:t>
      </w:r>
      <w:r w:rsidR="00A4142F" w:rsidRPr="00557D58">
        <w:rPr>
          <w:lang w:val="en-GB"/>
        </w:rPr>
        <w:t xml:space="preserve">basis, the facility is visited by the </w:t>
      </w:r>
      <w:r w:rsidR="00A4142F" w:rsidRPr="004C05A1">
        <w:rPr>
          <w:lang w:val="en-GB"/>
        </w:rPr>
        <w:t>special</w:t>
      </w:r>
      <w:r w:rsidR="004551B2" w:rsidRPr="004C05A1">
        <w:rPr>
          <w:lang w:val="en-GB"/>
        </w:rPr>
        <w:t xml:space="preserve"> </w:t>
      </w:r>
      <w:r w:rsidR="004C05A1">
        <w:rPr>
          <w:lang w:val="en-GB"/>
        </w:rPr>
        <w:t>procurator</w:t>
      </w:r>
      <w:r w:rsidR="00A4142F" w:rsidRPr="004C05A1">
        <w:rPr>
          <w:lang w:val="en-GB"/>
        </w:rPr>
        <w:t xml:space="preserve"> for </w:t>
      </w:r>
      <w:r w:rsidR="00E17765">
        <w:rPr>
          <w:lang w:val="en-GB"/>
        </w:rPr>
        <w:t>prison oversight</w:t>
      </w:r>
      <w:r w:rsidR="00A4142F" w:rsidRPr="00557D58">
        <w:rPr>
          <w:lang w:val="en-GB"/>
        </w:rPr>
        <w:t xml:space="preserve"> (who</w:t>
      </w:r>
      <w:r w:rsidR="00BA5BF4" w:rsidRPr="00557D58">
        <w:rPr>
          <w:lang w:val="en-GB"/>
        </w:rPr>
        <w:t xml:space="preserve"> </w:t>
      </w:r>
      <w:r w:rsidR="00A4142F" w:rsidRPr="00557D58">
        <w:rPr>
          <w:lang w:val="en-GB"/>
        </w:rPr>
        <w:t>also conducts interviews with the convicted individuals with the goal of identifying</w:t>
      </w:r>
      <w:r w:rsidR="00BA5BF4" w:rsidRPr="00557D58">
        <w:rPr>
          <w:lang w:val="en-GB"/>
        </w:rPr>
        <w:t xml:space="preserve"> </w:t>
      </w:r>
      <w:r w:rsidR="00A4142F" w:rsidRPr="00557D58">
        <w:rPr>
          <w:lang w:val="en-GB"/>
        </w:rPr>
        <w:t xml:space="preserve">prohibited treatment, violations of conditions of detention etc.). </w:t>
      </w:r>
      <w:r w:rsidRPr="00557D58">
        <w:rPr>
          <w:lang w:val="en-GB"/>
        </w:rPr>
        <w:t>T</w:t>
      </w:r>
      <w:r w:rsidR="00A4142F" w:rsidRPr="00557D58">
        <w:rPr>
          <w:lang w:val="en-GB"/>
        </w:rPr>
        <w:t>he</w:t>
      </w:r>
      <w:r w:rsidR="00BA5BF4" w:rsidRPr="00557D58">
        <w:rPr>
          <w:lang w:val="en-GB"/>
        </w:rPr>
        <w:t xml:space="preserve"> </w:t>
      </w:r>
      <w:r w:rsidR="00A4142F" w:rsidRPr="00557D58">
        <w:rPr>
          <w:lang w:val="en-GB"/>
        </w:rPr>
        <w:t xml:space="preserve">facility has a </w:t>
      </w:r>
      <w:r w:rsidR="00A4142F" w:rsidRPr="00751E20">
        <w:rPr>
          <w:lang w:val="en-GB"/>
        </w:rPr>
        <w:t>box for correspondence</w:t>
      </w:r>
      <w:r w:rsidR="00A4142F" w:rsidRPr="00557D58">
        <w:rPr>
          <w:lang w:val="en-GB"/>
        </w:rPr>
        <w:t xml:space="preserve"> placed in a highly visible location, addressed to</w:t>
      </w:r>
      <w:r w:rsidR="00BA5BF4" w:rsidRPr="00557D58">
        <w:rPr>
          <w:lang w:val="en-GB"/>
        </w:rPr>
        <w:t xml:space="preserve"> </w:t>
      </w:r>
      <w:r w:rsidR="00A4142F" w:rsidRPr="00557D58">
        <w:rPr>
          <w:lang w:val="en-GB"/>
        </w:rPr>
        <w:t xml:space="preserve">the </w:t>
      </w:r>
      <w:r w:rsidR="004C05A1">
        <w:rPr>
          <w:lang w:val="en-GB"/>
        </w:rPr>
        <w:t>procurator</w:t>
      </w:r>
      <w:r w:rsidR="00A4142F" w:rsidRPr="00557D58">
        <w:rPr>
          <w:lang w:val="en-GB"/>
        </w:rPr>
        <w:t xml:space="preserve">, which </w:t>
      </w:r>
      <w:r w:rsidR="005427CE">
        <w:rPr>
          <w:lang w:val="en-GB"/>
        </w:rPr>
        <w:t>can</w:t>
      </w:r>
      <w:r w:rsidR="005427CE" w:rsidRPr="00557D58">
        <w:rPr>
          <w:lang w:val="en-GB"/>
        </w:rPr>
        <w:t xml:space="preserve"> </w:t>
      </w:r>
      <w:r w:rsidR="00A4142F" w:rsidRPr="00557D58">
        <w:rPr>
          <w:lang w:val="en-GB"/>
        </w:rPr>
        <w:t xml:space="preserve">only </w:t>
      </w:r>
      <w:r w:rsidR="005427CE">
        <w:rPr>
          <w:lang w:val="en-GB"/>
        </w:rPr>
        <w:t>be accessed by</w:t>
      </w:r>
      <w:r w:rsidR="00A4142F" w:rsidRPr="00557D58">
        <w:rPr>
          <w:lang w:val="en-GB"/>
        </w:rPr>
        <w:t xml:space="preserve"> a member of the</w:t>
      </w:r>
      <w:r w:rsidR="00BA5BF4" w:rsidRPr="00557D58">
        <w:rPr>
          <w:lang w:val="en-GB"/>
        </w:rPr>
        <w:t xml:space="preserve"> </w:t>
      </w:r>
      <w:r w:rsidR="004C05A1">
        <w:rPr>
          <w:lang w:val="en-GB"/>
        </w:rPr>
        <w:t>procurator’s</w:t>
      </w:r>
      <w:r w:rsidR="00A4142F" w:rsidRPr="004C05A1">
        <w:rPr>
          <w:lang w:val="en-GB"/>
        </w:rPr>
        <w:t xml:space="preserve"> office</w:t>
      </w:r>
      <w:r w:rsidR="00A4142F" w:rsidRPr="00557D58">
        <w:rPr>
          <w:lang w:val="en-GB"/>
        </w:rPr>
        <w:t>.</w:t>
      </w:r>
    </w:p>
    <w:p w14:paraId="6B16F246" w14:textId="77777777" w:rsidR="00A4142F" w:rsidRPr="00557D58" w:rsidRDefault="00B6117E">
      <w:pPr>
        <w:pStyle w:val="SingleTxtG"/>
        <w:rPr>
          <w:lang w:val="en-GB"/>
        </w:rPr>
      </w:pPr>
      <w:r w:rsidRPr="00557D58">
        <w:rPr>
          <w:lang w:val="en-GB"/>
        </w:rPr>
        <w:t>4.</w:t>
      </w:r>
      <w:r w:rsidR="001E336C" w:rsidRPr="00557D58">
        <w:rPr>
          <w:lang w:val="en-GB"/>
        </w:rPr>
        <w:t>8</w:t>
      </w:r>
      <w:r w:rsidRPr="00557D58">
        <w:rPr>
          <w:lang w:val="en-GB"/>
        </w:rPr>
        <w:tab/>
      </w:r>
      <w:r w:rsidR="00BA5BF4" w:rsidRPr="00557D58">
        <w:rPr>
          <w:lang w:val="en-GB"/>
        </w:rPr>
        <w:t xml:space="preserve">The </w:t>
      </w:r>
      <w:r w:rsidRPr="00557D58">
        <w:rPr>
          <w:lang w:val="en-GB"/>
        </w:rPr>
        <w:t>State party submit</w:t>
      </w:r>
      <w:r w:rsidR="008E20C8" w:rsidRPr="00557D58">
        <w:rPr>
          <w:lang w:val="en-GB"/>
        </w:rPr>
        <w:t>s</w:t>
      </w:r>
      <w:r w:rsidRPr="00557D58">
        <w:rPr>
          <w:lang w:val="en-GB"/>
        </w:rPr>
        <w:t xml:space="preserve"> that</w:t>
      </w:r>
      <w:r w:rsidR="005427CE">
        <w:rPr>
          <w:lang w:val="en-GB"/>
        </w:rPr>
        <w:t>,</w:t>
      </w:r>
      <w:r w:rsidRPr="00557D58">
        <w:rPr>
          <w:lang w:val="en-GB"/>
        </w:rPr>
        <w:t xml:space="preserve"> </w:t>
      </w:r>
      <w:r w:rsidR="00052602" w:rsidRPr="00557D58">
        <w:rPr>
          <w:lang w:val="en-GB"/>
        </w:rPr>
        <w:t>while</w:t>
      </w:r>
      <w:r w:rsidR="00A4142F" w:rsidRPr="00557D58">
        <w:rPr>
          <w:lang w:val="en-GB"/>
        </w:rPr>
        <w:t xml:space="preserve"> serving her sentence</w:t>
      </w:r>
      <w:r w:rsidR="00C6453C">
        <w:rPr>
          <w:lang w:val="en-GB"/>
        </w:rPr>
        <w:t>,</w:t>
      </w:r>
      <w:r w:rsidR="00A4142F" w:rsidRPr="00557D58">
        <w:rPr>
          <w:lang w:val="en-GB"/>
        </w:rPr>
        <w:t xml:space="preserve"> the </w:t>
      </w:r>
      <w:r w:rsidR="00304890" w:rsidRPr="00557D58">
        <w:rPr>
          <w:lang w:val="en-GB"/>
        </w:rPr>
        <w:t>author</w:t>
      </w:r>
      <w:r w:rsidR="00BA5BF4" w:rsidRPr="00557D58">
        <w:rPr>
          <w:lang w:val="en-GB"/>
        </w:rPr>
        <w:t xml:space="preserve"> </w:t>
      </w:r>
      <w:r w:rsidR="000F05ED" w:rsidRPr="00895641">
        <w:rPr>
          <w:lang w:val="en-GB"/>
        </w:rPr>
        <w:t>never</w:t>
      </w:r>
      <w:r w:rsidR="00A4142F" w:rsidRPr="00557D58">
        <w:rPr>
          <w:lang w:val="en-GB"/>
        </w:rPr>
        <w:t xml:space="preserve"> announce</w:t>
      </w:r>
      <w:r w:rsidR="000F05ED" w:rsidRPr="00895641">
        <w:rPr>
          <w:lang w:val="en-GB"/>
        </w:rPr>
        <w:t>d</w:t>
      </w:r>
      <w:r w:rsidR="00A4142F" w:rsidRPr="00557D58">
        <w:rPr>
          <w:lang w:val="en-GB"/>
        </w:rPr>
        <w:t xml:space="preserve"> any</w:t>
      </w:r>
      <w:r w:rsidR="00BA5BF4" w:rsidRPr="00557D58">
        <w:rPr>
          <w:lang w:val="en-GB"/>
        </w:rPr>
        <w:t xml:space="preserve"> </w:t>
      </w:r>
      <w:r w:rsidR="0098664A">
        <w:rPr>
          <w:lang w:val="en-GB"/>
        </w:rPr>
        <w:t>“</w:t>
      </w:r>
      <w:r w:rsidR="00A4142F" w:rsidRPr="00557D58">
        <w:rPr>
          <w:lang w:val="en-GB"/>
        </w:rPr>
        <w:t>hunger strikes</w:t>
      </w:r>
      <w:r w:rsidR="0098664A">
        <w:rPr>
          <w:lang w:val="en-GB"/>
        </w:rPr>
        <w:t>”</w:t>
      </w:r>
      <w:r w:rsidRPr="00557D58">
        <w:rPr>
          <w:lang w:val="en-GB"/>
        </w:rPr>
        <w:t xml:space="preserve"> and was never</w:t>
      </w:r>
      <w:r w:rsidR="00A4142F" w:rsidRPr="00557D58">
        <w:rPr>
          <w:lang w:val="en-GB"/>
        </w:rPr>
        <w:t xml:space="preserve"> shown off in a</w:t>
      </w:r>
      <w:r w:rsidR="00BA5BF4" w:rsidRPr="00557D58">
        <w:rPr>
          <w:lang w:val="en-GB"/>
        </w:rPr>
        <w:t xml:space="preserve"> </w:t>
      </w:r>
      <w:r w:rsidR="00A4142F" w:rsidRPr="00557D58">
        <w:rPr>
          <w:lang w:val="en-GB"/>
        </w:rPr>
        <w:t xml:space="preserve">state of being suspended from a wall to </w:t>
      </w:r>
      <w:r w:rsidR="005427CE">
        <w:rPr>
          <w:lang w:val="en-GB"/>
        </w:rPr>
        <w:t>l</w:t>
      </w:r>
      <w:r w:rsidR="00052602" w:rsidRPr="00895641">
        <w:rPr>
          <w:lang w:val="en-GB"/>
        </w:rPr>
        <w:t xml:space="preserve">aw </w:t>
      </w:r>
      <w:r w:rsidR="00A4142F" w:rsidRPr="00557D58">
        <w:rPr>
          <w:lang w:val="en-GB"/>
        </w:rPr>
        <w:t xml:space="preserve">students. </w:t>
      </w:r>
      <w:r w:rsidRPr="00557D58">
        <w:rPr>
          <w:lang w:val="en-GB"/>
        </w:rPr>
        <w:t>V</w:t>
      </w:r>
      <w:r w:rsidR="00A4142F" w:rsidRPr="00557D58">
        <w:rPr>
          <w:lang w:val="en-GB"/>
        </w:rPr>
        <w:t xml:space="preserve">isits to </w:t>
      </w:r>
      <w:r w:rsidR="00A4142F" w:rsidRPr="00751E20">
        <w:rPr>
          <w:lang w:val="en-GB"/>
        </w:rPr>
        <w:t>penal colonies</w:t>
      </w:r>
      <w:r w:rsidR="00A4142F" w:rsidRPr="00557D58">
        <w:rPr>
          <w:lang w:val="en-GB"/>
        </w:rPr>
        <w:t xml:space="preserve"> are not </w:t>
      </w:r>
      <w:r w:rsidR="00751E20">
        <w:rPr>
          <w:lang w:val="en-GB"/>
        </w:rPr>
        <w:t>o</w:t>
      </w:r>
      <w:r w:rsidR="00A4142F" w:rsidRPr="00557D58">
        <w:rPr>
          <w:lang w:val="en-GB"/>
        </w:rPr>
        <w:t>n the curriculum</w:t>
      </w:r>
      <w:r w:rsidR="005427CE">
        <w:rPr>
          <w:lang w:val="en-GB"/>
        </w:rPr>
        <w:t xml:space="preserve"> of</w:t>
      </w:r>
      <w:r w:rsidRPr="00557D58">
        <w:rPr>
          <w:lang w:val="en-GB"/>
        </w:rPr>
        <w:t xml:space="preserve"> the law school</w:t>
      </w:r>
      <w:r w:rsidR="000F05ED" w:rsidRPr="00895641">
        <w:rPr>
          <w:lang w:val="en-GB"/>
        </w:rPr>
        <w:t>.</w:t>
      </w:r>
    </w:p>
    <w:p w14:paraId="6A594CA8" w14:textId="77777777" w:rsidR="00A4142F" w:rsidRPr="00557D58" w:rsidRDefault="00B6117E" w:rsidP="00C6453C">
      <w:pPr>
        <w:pStyle w:val="SingleTxtG"/>
        <w:rPr>
          <w:lang w:val="en-GB"/>
        </w:rPr>
      </w:pPr>
      <w:r w:rsidRPr="00557D58">
        <w:rPr>
          <w:lang w:val="en-GB"/>
        </w:rPr>
        <w:t>4.</w:t>
      </w:r>
      <w:r w:rsidR="001E336C" w:rsidRPr="00557D58">
        <w:rPr>
          <w:lang w:val="en-GB"/>
        </w:rPr>
        <w:t>9</w:t>
      </w:r>
      <w:r w:rsidRPr="00557D58">
        <w:rPr>
          <w:lang w:val="en-GB"/>
        </w:rPr>
        <w:tab/>
      </w:r>
      <w:r w:rsidR="00A4142F" w:rsidRPr="00557D58">
        <w:rPr>
          <w:lang w:val="en-GB"/>
        </w:rPr>
        <w:t xml:space="preserve">In response to the </w:t>
      </w:r>
      <w:r w:rsidRPr="00557D58">
        <w:rPr>
          <w:lang w:val="en-GB"/>
        </w:rPr>
        <w:t xml:space="preserve">allegations that </w:t>
      </w:r>
      <w:r w:rsidR="00A4142F" w:rsidRPr="00557D58">
        <w:rPr>
          <w:lang w:val="en-GB"/>
        </w:rPr>
        <w:t xml:space="preserve">the author was placed in solitary confinement on </w:t>
      </w:r>
      <w:r w:rsidR="005427CE">
        <w:rPr>
          <w:lang w:val="en-GB"/>
        </w:rPr>
        <w:t>10</w:t>
      </w:r>
      <w:r w:rsidR="005427CE" w:rsidRPr="00557D58">
        <w:rPr>
          <w:lang w:val="en-GB"/>
        </w:rPr>
        <w:t xml:space="preserve"> </w:t>
      </w:r>
      <w:r w:rsidR="00A4142F" w:rsidRPr="00557D58">
        <w:rPr>
          <w:lang w:val="en-GB"/>
        </w:rPr>
        <w:t>occasions</w:t>
      </w:r>
      <w:r w:rsidRPr="00557D58">
        <w:rPr>
          <w:lang w:val="en-GB"/>
        </w:rPr>
        <w:t xml:space="preserve"> and</w:t>
      </w:r>
      <w:r w:rsidR="0005348F">
        <w:rPr>
          <w:lang w:val="en-GB"/>
        </w:rPr>
        <w:t xml:space="preserve"> that</w:t>
      </w:r>
      <w:r w:rsidR="00A4142F" w:rsidRPr="00557D58">
        <w:rPr>
          <w:lang w:val="en-GB"/>
        </w:rPr>
        <w:t xml:space="preserve"> she spent 112 days in various isolations cells</w:t>
      </w:r>
      <w:r w:rsidRPr="00557D58">
        <w:rPr>
          <w:lang w:val="en-GB"/>
        </w:rPr>
        <w:t xml:space="preserve">, the State party submits that </w:t>
      </w:r>
      <w:r w:rsidR="007B1EA6" w:rsidRPr="00557D58">
        <w:rPr>
          <w:lang w:val="en-GB"/>
        </w:rPr>
        <w:t>t</w:t>
      </w:r>
      <w:r w:rsidR="001E336C" w:rsidRPr="00557D58">
        <w:rPr>
          <w:lang w:val="en-GB"/>
        </w:rPr>
        <w:t xml:space="preserve">he </w:t>
      </w:r>
      <w:r w:rsidR="00304890" w:rsidRPr="00557D58">
        <w:rPr>
          <w:lang w:val="en-GB"/>
        </w:rPr>
        <w:t>author</w:t>
      </w:r>
      <w:r w:rsidR="00A4142F" w:rsidRPr="00557D58">
        <w:rPr>
          <w:lang w:val="en-GB"/>
        </w:rPr>
        <w:t xml:space="preserve"> was an inveterate violator of the rules of</w:t>
      </w:r>
      <w:r w:rsidR="00BA5BF4" w:rsidRPr="00557D58">
        <w:rPr>
          <w:lang w:val="en-GB"/>
        </w:rPr>
        <w:t xml:space="preserve"> </w:t>
      </w:r>
      <w:r w:rsidR="00A4142F" w:rsidRPr="00557D58">
        <w:rPr>
          <w:lang w:val="en-GB"/>
        </w:rPr>
        <w:t xml:space="preserve">confinement, on numerous occasions the </w:t>
      </w:r>
      <w:r w:rsidR="00A4142F" w:rsidRPr="00751E20">
        <w:rPr>
          <w:lang w:val="en-GB"/>
        </w:rPr>
        <w:t>facilit</w:t>
      </w:r>
      <w:r w:rsidR="00751E20">
        <w:rPr>
          <w:lang w:val="en-GB"/>
        </w:rPr>
        <w:t>y’s</w:t>
      </w:r>
      <w:r w:rsidR="00A4142F" w:rsidRPr="00751E20">
        <w:rPr>
          <w:lang w:val="en-GB"/>
        </w:rPr>
        <w:t xml:space="preserve"> personnel had to conduct</w:t>
      </w:r>
      <w:r w:rsidR="00BA5BF4" w:rsidRPr="00751E20">
        <w:rPr>
          <w:lang w:val="en-GB"/>
        </w:rPr>
        <w:t xml:space="preserve"> </w:t>
      </w:r>
      <w:r w:rsidR="00A4142F" w:rsidRPr="00751E20">
        <w:rPr>
          <w:lang w:val="en-GB"/>
        </w:rPr>
        <w:t>conversations with her of an instructive</w:t>
      </w:r>
      <w:r w:rsidR="00E2465A" w:rsidRPr="00751E20">
        <w:rPr>
          <w:lang w:val="en-GB"/>
        </w:rPr>
        <w:t xml:space="preserve"> and </w:t>
      </w:r>
      <w:r w:rsidR="00A4142F" w:rsidRPr="00751E20">
        <w:rPr>
          <w:lang w:val="en-GB"/>
        </w:rPr>
        <w:t>preventive nature, but she did not take any</w:t>
      </w:r>
      <w:r w:rsidR="00BA5BF4" w:rsidRPr="00751E20">
        <w:rPr>
          <w:lang w:val="en-GB"/>
        </w:rPr>
        <w:t xml:space="preserve"> </w:t>
      </w:r>
      <w:r w:rsidR="00A4142F" w:rsidRPr="00751E20">
        <w:rPr>
          <w:lang w:val="en-GB"/>
        </w:rPr>
        <w:t>positive lessons for herself</w:t>
      </w:r>
      <w:r w:rsidR="00A4142F" w:rsidRPr="00557D58">
        <w:rPr>
          <w:lang w:val="en-GB"/>
        </w:rPr>
        <w:t xml:space="preserve"> and continued to intentionally violate the rules of</w:t>
      </w:r>
      <w:r w:rsidR="00BA5BF4" w:rsidRPr="00557D58">
        <w:rPr>
          <w:lang w:val="en-GB"/>
        </w:rPr>
        <w:t xml:space="preserve"> </w:t>
      </w:r>
      <w:r w:rsidR="00A4142F" w:rsidRPr="00557D58">
        <w:rPr>
          <w:lang w:val="en-GB"/>
        </w:rPr>
        <w:t>confinement. After repeated warnings for gross violations of rules of confinement the</w:t>
      </w:r>
      <w:r w:rsidR="00BA5BF4" w:rsidRPr="00557D58">
        <w:rPr>
          <w:lang w:val="en-GB"/>
        </w:rPr>
        <w:t xml:space="preserve"> </w:t>
      </w:r>
      <w:r w:rsidR="00A4142F" w:rsidRPr="00557D58">
        <w:rPr>
          <w:lang w:val="en-GB"/>
        </w:rPr>
        <w:t>administration of the facility transferred the detainee to the</w:t>
      </w:r>
      <w:r w:rsidR="00BA5BF4" w:rsidRPr="00557D58">
        <w:rPr>
          <w:lang w:val="en-GB"/>
        </w:rPr>
        <w:t xml:space="preserve"> </w:t>
      </w:r>
      <w:r w:rsidR="00A4142F" w:rsidRPr="00557D58">
        <w:rPr>
          <w:lang w:val="en-GB"/>
        </w:rPr>
        <w:t>disciplinary unit for 15 days.</w:t>
      </w:r>
    </w:p>
    <w:p w14:paraId="7EDEB227" w14:textId="77777777" w:rsidR="00A4142F" w:rsidRPr="00557D58" w:rsidRDefault="001E336C" w:rsidP="00B140C8">
      <w:pPr>
        <w:pStyle w:val="SingleTxtG"/>
        <w:rPr>
          <w:lang w:val="en-GB"/>
        </w:rPr>
      </w:pPr>
      <w:r w:rsidRPr="00557D58">
        <w:rPr>
          <w:lang w:val="en-GB"/>
        </w:rPr>
        <w:t>4.10</w:t>
      </w:r>
      <w:r w:rsidRPr="00557D58">
        <w:rPr>
          <w:lang w:val="en-GB"/>
        </w:rPr>
        <w:tab/>
      </w:r>
      <w:r w:rsidRPr="00B140C8">
        <w:rPr>
          <w:lang w:val="en-GB"/>
        </w:rPr>
        <w:t>The State party submits that</w:t>
      </w:r>
      <w:r w:rsidRPr="00557D58">
        <w:rPr>
          <w:lang w:val="en-GB"/>
        </w:rPr>
        <w:t xml:space="preserve"> </w:t>
      </w:r>
      <w:r w:rsidR="00A4142F" w:rsidRPr="00557D58">
        <w:rPr>
          <w:lang w:val="en-GB"/>
        </w:rPr>
        <w:t xml:space="preserve">the </w:t>
      </w:r>
      <w:r w:rsidRPr="00751E20">
        <w:rPr>
          <w:lang w:val="en-GB"/>
        </w:rPr>
        <w:t>detention facility UYa 64-</w:t>
      </w:r>
      <w:r w:rsidR="00A4142F" w:rsidRPr="00751E20">
        <w:rPr>
          <w:lang w:val="en-GB"/>
        </w:rPr>
        <w:t>7</w:t>
      </w:r>
      <w:r w:rsidR="00A4142F" w:rsidRPr="00557D58">
        <w:rPr>
          <w:lang w:val="en-GB"/>
        </w:rPr>
        <w:t xml:space="preserve"> is</w:t>
      </w:r>
      <w:r w:rsidR="00BA5BF4" w:rsidRPr="00557D58">
        <w:rPr>
          <w:lang w:val="en-GB"/>
        </w:rPr>
        <w:t xml:space="preserve"> </w:t>
      </w:r>
      <w:r w:rsidR="00A4142F" w:rsidRPr="00557D58">
        <w:rPr>
          <w:lang w:val="en-GB"/>
        </w:rPr>
        <w:t>located within the centr</w:t>
      </w:r>
      <w:r w:rsidR="006E0D15">
        <w:rPr>
          <w:lang w:val="en-GB"/>
        </w:rPr>
        <w:t>e</w:t>
      </w:r>
      <w:r w:rsidR="00A4142F" w:rsidRPr="00557D58">
        <w:rPr>
          <w:lang w:val="en-GB"/>
        </w:rPr>
        <w:t xml:space="preserve"> of Tashkent and connected to the</w:t>
      </w:r>
      <w:r w:rsidR="00BA5BF4" w:rsidRPr="00557D58">
        <w:rPr>
          <w:lang w:val="en-GB"/>
        </w:rPr>
        <w:t xml:space="preserve"> </w:t>
      </w:r>
      <w:r w:rsidR="00A4142F" w:rsidRPr="00557D58">
        <w:rPr>
          <w:lang w:val="en-GB"/>
        </w:rPr>
        <w:t>munici</w:t>
      </w:r>
      <w:r w:rsidRPr="00557D58">
        <w:rPr>
          <w:lang w:val="en-GB"/>
        </w:rPr>
        <w:t xml:space="preserve">pal water and heating </w:t>
      </w:r>
      <w:r w:rsidR="003E23F3">
        <w:rPr>
          <w:lang w:val="en-GB"/>
        </w:rPr>
        <w:t>supplies</w:t>
      </w:r>
      <w:r w:rsidR="003E23F3" w:rsidRPr="00557D58">
        <w:rPr>
          <w:lang w:val="en-GB"/>
        </w:rPr>
        <w:t xml:space="preserve"> </w:t>
      </w:r>
      <w:r w:rsidRPr="00557D58">
        <w:rPr>
          <w:lang w:val="en-GB"/>
        </w:rPr>
        <w:t>and</w:t>
      </w:r>
      <w:r w:rsidR="00A4142F" w:rsidRPr="00557D58">
        <w:rPr>
          <w:lang w:val="en-GB"/>
        </w:rPr>
        <w:t xml:space="preserve"> there were no problems with the heating of the</w:t>
      </w:r>
      <w:r w:rsidR="00BA5BF4" w:rsidRPr="00557D58">
        <w:rPr>
          <w:lang w:val="en-GB"/>
        </w:rPr>
        <w:t xml:space="preserve"> </w:t>
      </w:r>
      <w:r w:rsidR="003E23F3">
        <w:rPr>
          <w:lang w:val="en-GB"/>
        </w:rPr>
        <w:t xml:space="preserve">various </w:t>
      </w:r>
      <w:r w:rsidR="003E23F3" w:rsidRPr="00751E20">
        <w:rPr>
          <w:lang w:val="en-GB"/>
        </w:rPr>
        <w:t>blocks</w:t>
      </w:r>
      <w:r w:rsidR="003E23F3" w:rsidRPr="00557D58">
        <w:rPr>
          <w:lang w:val="en-GB"/>
        </w:rPr>
        <w:t xml:space="preserve"> </w:t>
      </w:r>
      <w:r w:rsidR="00A4142F" w:rsidRPr="00557D58">
        <w:rPr>
          <w:lang w:val="en-GB"/>
        </w:rPr>
        <w:t xml:space="preserve">(including the disciplinary </w:t>
      </w:r>
      <w:r w:rsidR="00751E20">
        <w:rPr>
          <w:lang w:val="en-GB"/>
        </w:rPr>
        <w:t>units</w:t>
      </w:r>
      <w:r w:rsidR="00A4142F" w:rsidRPr="00557D58">
        <w:rPr>
          <w:lang w:val="en-GB"/>
        </w:rPr>
        <w:t xml:space="preserve">) of the facility. </w:t>
      </w:r>
      <w:r w:rsidR="003E23F3">
        <w:rPr>
          <w:lang w:val="en-GB"/>
        </w:rPr>
        <w:t>Throughout</w:t>
      </w:r>
      <w:r w:rsidR="00A4142F" w:rsidRPr="00557D58">
        <w:rPr>
          <w:lang w:val="en-GB"/>
        </w:rPr>
        <w:t xml:space="preserve"> </w:t>
      </w:r>
      <w:r w:rsidR="000F05ED" w:rsidRPr="00557D58">
        <w:rPr>
          <w:lang w:val="en-GB"/>
        </w:rPr>
        <w:t xml:space="preserve">its </w:t>
      </w:r>
      <w:r w:rsidR="00A4142F" w:rsidRPr="00557D58">
        <w:rPr>
          <w:lang w:val="en-GB"/>
        </w:rPr>
        <w:t>premises</w:t>
      </w:r>
      <w:r w:rsidR="003E23F3">
        <w:rPr>
          <w:lang w:val="en-GB"/>
        </w:rPr>
        <w:t>,</w:t>
      </w:r>
      <w:r w:rsidR="00A4142F" w:rsidRPr="00557D58">
        <w:rPr>
          <w:lang w:val="en-GB"/>
        </w:rPr>
        <w:t xml:space="preserve"> </w:t>
      </w:r>
      <w:r w:rsidR="00415D65" w:rsidRPr="00557D58">
        <w:rPr>
          <w:lang w:val="en-GB"/>
        </w:rPr>
        <w:t xml:space="preserve">the windows have </w:t>
      </w:r>
      <w:r w:rsidR="00A4142F" w:rsidRPr="00557D58">
        <w:rPr>
          <w:lang w:val="en-GB"/>
        </w:rPr>
        <w:t>pa</w:t>
      </w:r>
      <w:r w:rsidR="004204BA" w:rsidRPr="00557D58">
        <w:rPr>
          <w:lang w:val="en-GB"/>
        </w:rPr>
        <w:t>ne</w:t>
      </w:r>
      <w:r w:rsidR="00A4142F" w:rsidRPr="00557D58">
        <w:rPr>
          <w:lang w:val="en-GB"/>
        </w:rPr>
        <w:t>s</w:t>
      </w:r>
      <w:r w:rsidR="003E23F3">
        <w:rPr>
          <w:lang w:val="en-GB"/>
        </w:rPr>
        <w:t xml:space="preserve"> of glass and</w:t>
      </w:r>
      <w:r w:rsidR="00A4142F" w:rsidRPr="00557D58">
        <w:rPr>
          <w:lang w:val="en-GB"/>
        </w:rPr>
        <w:t xml:space="preserve"> the floors are</w:t>
      </w:r>
      <w:r w:rsidR="00BA5BF4" w:rsidRPr="00557D58">
        <w:rPr>
          <w:lang w:val="en-GB"/>
        </w:rPr>
        <w:t xml:space="preserve"> </w:t>
      </w:r>
      <w:r w:rsidR="00A4142F" w:rsidRPr="00557D58">
        <w:rPr>
          <w:lang w:val="en-GB"/>
        </w:rPr>
        <w:t>made of wood and are dry. The</w:t>
      </w:r>
      <w:r w:rsidR="00CB5E70" w:rsidRPr="00557D58">
        <w:rPr>
          <w:lang w:val="en-GB"/>
        </w:rPr>
        <w:t xml:space="preserve"> </w:t>
      </w:r>
      <w:r w:rsidR="00A4142F" w:rsidRPr="00557D58">
        <w:rPr>
          <w:lang w:val="en-GB"/>
        </w:rPr>
        <w:t xml:space="preserve">staff of the </w:t>
      </w:r>
      <w:r w:rsidR="00A4142F" w:rsidRPr="00751E20">
        <w:rPr>
          <w:lang w:val="en-GB"/>
        </w:rPr>
        <w:t>disciplinary unit</w:t>
      </w:r>
      <w:r w:rsidR="00A4142F" w:rsidRPr="00557D58">
        <w:rPr>
          <w:lang w:val="en-GB"/>
        </w:rPr>
        <w:t xml:space="preserve"> conduct</w:t>
      </w:r>
      <w:r w:rsidR="00415D65" w:rsidRPr="00557D58">
        <w:rPr>
          <w:lang w:val="en-GB"/>
        </w:rPr>
        <w:t>s</w:t>
      </w:r>
      <w:r w:rsidR="00A4142F" w:rsidRPr="00557D58">
        <w:rPr>
          <w:lang w:val="en-GB"/>
        </w:rPr>
        <w:t xml:space="preserve"> daily rounds inspecting the</w:t>
      </w:r>
      <w:r w:rsidR="00BA5BF4" w:rsidRPr="00557D58">
        <w:rPr>
          <w:lang w:val="en-GB"/>
        </w:rPr>
        <w:t xml:space="preserve"> </w:t>
      </w:r>
      <w:r w:rsidR="00A4142F" w:rsidRPr="00557D58">
        <w:rPr>
          <w:lang w:val="en-GB"/>
        </w:rPr>
        <w:t>premises. In the event that the cells show any need for repair, the detainees are</w:t>
      </w:r>
      <w:r w:rsidR="00BA5BF4" w:rsidRPr="00557D58">
        <w:rPr>
          <w:lang w:val="en-GB"/>
        </w:rPr>
        <w:t xml:space="preserve"> </w:t>
      </w:r>
      <w:r w:rsidR="00A4142F" w:rsidRPr="00557D58">
        <w:rPr>
          <w:lang w:val="en-GB"/>
        </w:rPr>
        <w:t>transferred to another cell.</w:t>
      </w:r>
      <w:r w:rsidR="00BA5BF4" w:rsidRPr="00557D58">
        <w:rPr>
          <w:lang w:val="en-GB"/>
        </w:rPr>
        <w:t xml:space="preserve"> </w:t>
      </w:r>
      <w:r w:rsidR="00A4142F" w:rsidRPr="00557D58">
        <w:rPr>
          <w:lang w:val="en-GB"/>
        </w:rPr>
        <w:t xml:space="preserve">During the period that the </w:t>
      </w:r>
      <w:r w:rsidR="00304890" w:rsidRPr="00557D58">
        <w:rPr>
          <w:lang w:val="en-GB"/>
        </w:rPr>
        <w:t>author</w:t>
      </w:r>
      <w:r w:rsidR="00A4142F" w:rsidRPr="00557D58">
        <w:rPr>
          <w:lang w:val="en-GB"/>
        </w:rPr>
        <w:t xml:space="preserve"> spent in the</w:t>
      </w:r>
      <w:r w:rsidR="00BA5BF4" w:rsidRPr="00557D58">
        <w:rPr>
          <w:lang w:val="en-GB"/>
        </w:rPr>
        <w:t xml:space="preserve"> </w:t>
      </w:r>
      <w:r w:rsidR="00A4142F" w:rsidRPr="00557D58">
        <w:rPr>
          <w:lang w:val="en-GB"/>
        </w:rPr>
        <w:t xml:space="preserve">disciplinary unit, she did not </w:t>
      </w:r>
      <w:r w:rsidR="00415D65" w:rsidRPr="00557D58">
        <w:rPr>
          <w:lang w:val="en-GB"/>
        </w:rPr>
        <w:t>make</w:t>
      </w:r>
      <w:r w:rsidR="00A4142F" w:rsidRPr="00557D58">
        <w:rPr>
          <w:lang w:val="en-GB"/>
        </w:rPr>
        <w:t xml:space="preserve"> any complaint</w:t>
      </w:r>
      <w:r w:rsidR="00415D65" w:rsidRPr="00557D58">
        <w:rPr>
          <w:lang w:val="en-GB"/>
        </w:rPr>
        <w:t>s</w:t>
      </w:r>
      <w:r w:rsidR="00A4142F" w:rsidRPr="00557D58">
        <w:rPr>
          <w:lang w:val="en-GB"/>
        </w:rPr>
        <w:t>.</w:t>
      </w:r>
      <w:r w:rsidR="00BA5BF4" w:rsidRPr="00557D58">
        <w:rPr>
          <w:lang w:val="en-GB"/>
        </w:rPr>
        <w:t xml:space="preserve"> </w:t>
      </w:r>
      <w:r w:rsidR="00415D65" w:rsidRPr="00557D58">
        <w:rPr>
          <w:lang w:val="en-GB"/>
        </w:rPr>
        <w:t xml:space="preserve">Her </w:t>
      </w:r>
      <w:r w:rsidR="00A4142F" w:rsidRPr="00557D58">
        <w:rPr>
          <w:lang w:val="en-GB"/>
        </w:rPr>
        <w:t xml:space="preserve">allegations </w:t>
      </w:r>
      <w:r w:rsidR="00415D65" w:rsidRPr="00557D58">
        <w:rPr>
          <w:lang w:val="en-GB"/>
        </w:rPr>
        <w:t xml:space="preserve">regarding </w:t>
      </w:r>
      <w:r w:rsidR="00A4142F" w:rsidRPr="00557D58">
        <w:rPr>
          <w:lang w:val="en-GB"/>
        </w:rPr>
        <w:t>the supposed</w:t>
      </w:r>
      <w:r w:rsidR="00BA5BF4" w:rsidRPr="00557D58">
        <w:rPr>
          <w:lang w:val="en-GB"/>
        </w:rPr>
        <w:t xml:space="preserve"> </w:t>
      </w:r>
      <w:r w:rsidR="00A4142F" w:rsidRPr="00557D58">
        <w:rPr>
          <w:lang w:val="en-GB"/>
        </w:rPr>
        <w:t>instances of prohibited treatment by the facility</w:t>
      </w:r>
      <w:r w:rsidR="003E23F3">
        <w:rPr>
          <w:lang w:val="en-GB"/>
        </w:rPr>
        <w:t>’s</w:t>
      </w:r>
      <w:r w:rsidR="00A4142F" w:rsidRPr="00557D58">
        <w:rPr>
          <w:lang w:val="en-GB"/>
        </w:rPr>
        <w:t xml:space="preserve"> personnel were investigated</w:t>
      </w:r>
      <w:r w:rsidR="007B1EA6" w:rsidRPr="00895641">
        <w:rPr>
          <w:lang w:val="en-GB"/>
        </w:rPr>
        <w:t>,</w:t>
      </w:r>
      <w:r w:rsidR="00A4142F" w:rsidRPr="00557D58">
        <w:rPr>
          <w:lang w:val="en-GB"/>
        </w:rPr>
        <w:t xml:space="preserve"> but could</w:t>
      </w:r>
      <w:r w:rsidR="00BA5BF4" w:rsidRPr="00557D58">
        <w:rPr>
          <w:lang w:val="en-GB"/>
        </w:rPr>
        <w:t xml:space="preserve"> </w:t>
      </w:r>
      <w:r w:rsidR="00A4142F" w:rsidRPr="00557D58">
        <w:rPr>
          <w:lang w:val="en-GB"/>
        </w:rPr>
        <w:t xml:space="preserve">not be confirmed. </w:t>
      </w:r>
      <w:r w:rsidR="00415D65" w:rsidRPr="00557D58">
        <w:rPr>
          <w:lang w:val="en-GB"/>
        </w:rPr>
        <w:t>The author’s</w:t>
      </w:r>
      <w:r w:rsidR="00A4142F" w:rsidRPr="00557D58">
        <w:rPr>
          <w:lang w:val="en-GB"/>
        </w:rPr>
        <w:t xml:space="preserve"> complaint is fabricated</w:t>
      </w:r>
      <w:r w:rsidR="003E23F3">
        <w:rPr>
          <w:lang w:val="en-GB"/>
        </w:rPr>
        <w:t>,</w:t>
      </w:r>
      <w:r w:rsidR="00A4142F" w:rsidRPr="00557D58">
        <w:rPr>
          <w:lang w:val="en-GB"/>
        </w:rPr>
        <w:t xml:space="preserve"> </w:t>
      </w:r>
      <w:r w:rsidR="00415D65" w:rsidRPr="00557D58">
        <w:rPr>
          <w:lang w:val="en-GB"/>
        </w:rPr>
        <w:t xml:space="preserve">which is </w:t>
      </w:r>
      <w:r w:rsidR="00A4142F" w:rsidRPr="00557D58">
        <w:rPr>
          <w:lang w:val="en-GB"/>
        </w:rPr>
        <w:t>confirmed by</w:t>
      </w:r>
      <w:r w:rsidR="00BA5BF4" w:rsidRPr="00557D58">
        <w:rPr>
          <w:lang w:val="en-GB"/>
        </w:rPr>
        <w:t xml:space="preserve"> </w:t>
      </w:r>
      <w:r w:rsidR="00A4142F" w:rsidRPr="00557D58">
        <w:rPr>
          <w:lang w:val="en-GB"/>
        </w:rPr>
        <w:t xml:space="preserve">the contradictory nature of </w:t>
      </w:r>
      <w:r w:rsidR="00415D65" w:rsidRPr="00557D58">
        <w:rPr>
          <w:lang w:val="en-GB"/>
        </w:rPr>
        <w:t>her</w:t>
      </w:r>
      <w:r w:rsidR="00A4142F" w:rsidRPr="00557D58">
        <w:rPr>
          <w:lang w:val="en-GB"/>
        </w:rPr>
        <w:t xml:space="preserve"> allegations</w:t>
      </w:r>
      <w:r w:rsidR="00415D65" w:rsidRPr="00557D58">
        <w:rPr>
          <w:lang w:val="en-GB"/>
        </w:rPr>
        <w:t>. For example, she</w:t>
      </w:r>
      <w:r w:rsidR="00A4142F" w:rsidRPr="00557D58">
        <w:rPr>
          <w:lang w:val="en-GB"/>
        </w:rPr>
        <w:t xml:space="preserve"> indicated </w:t>
      </w:r>
      <w:r w:rsidR="00415D65" w:rsidRPr="00557D58">
        <w:rPr>
          <w:lang w:val="en-GB"/>
        </w:rPr>
        <w:t xml:space="preserve">in one paragraph </w:t>
      </w:r>
      <w:r w:rsidR="00A4142F" w:rsidRPr="00557D58">
        <w:rPr>
          <w:lang w:val="en-GB"/>
        </w:rPr>
        <w:t>that after 58 days of</w:t>
      </w:r>
      <w:r w:rsidR="00BA5BF4" w:rsidRPr="00557D58">
        <w:rPr>
          <w:lang w:val="en-GB"/>
        </w:rPr>
        <w:t xml:space="preserve"> </w:t>
      </w:r>
      <w:r w:rsidR="00A4142F" w:rsidRPr="00557D58">
        <w:rPr>
          <w:lang w:val="en-GB"/>
        </w:rPr>
        <w:t xml:space="preserve">continuous detention in the </w:t>
      </w:r>
      <w:r w:rsidR="00415D65" w:rsidRPr="00557D58">
        <w:rPr>
          <w:lang w:val="en-GB"/>
        </w:rPr>
        <w:t xml:space="preserve">a solitary cell </w:t>
      </w:r>
      <w:r w:rsidR="00A4142F" w:rsidRPr="00557D58">
        <w:rPr>
          <w:lang w:val="en-GB"/>
        </w:rPr>
        <w:t xml:space="preserve">in November and December, </w:t>
      </w:r>
      <w:r w:rsidR="00415D65" w:rsidRPr="00557D58">
        <w:rPr>
          <w:lang w:val="en-GB"/>
        </w:rPr>
        <w:t>she</w:t>
      </w:r>
      <w:r w:rsidR="00A4142F" w:rsidRPr="00557D58">
        <w:rPr>
          <w:lang w:val="en-GB"/>
        </w:rPr>
        <w:t xml:space="preserve"> lost</w:t>
      </w:r>
      <w:r w:rsidR="00BA5BF4" w:rsidRPr="00557D58">
        <w:rPr>
          <w:lang w:val="en-GB"/>
        </w:rPr>
        <w:t xml:space="preserve"> </w:t>
      </w:r>
      <w:r w:rsidR="00A4142F" w:rsidRPr="00557D58">
        <w:rPr>
          <w:lang w:val="en-GB"/>
        </w:rPr>
        <w:t xml:space="preserve">consciousness and was only then transferred to the medical </w:t>
      </w:r>
      <w:r w:rsidR="008A4B12">
        <w:rPr>
          <w:lang w:val="en-GB"/>
        </w:rPr>
        <w:t>unit</w:t>
      </w:r>
      <w:r w:rsidR="00415D65" w:rsidRPr="00557D58">
        <w:rPr>
          <w:lang w:val="en-GB"/>
        </w:rPr>
        <w:t xml:space="preserve">; in another paragraph </w:t>
      </w:r>
      <w:r w:rsidR="00A4142F" w:rsidRPr="00557D58">
        <w:rPr>
          <w:lang w:val="en-GB"/>
        </w:rPr>
        <w:t xml:space="preserve">she claims that she spent </w:t>
      </w:r>
      <w:r w:rsidR="00415D65" w:rsidRPr="00557D58">
        <w:rPr>
          <w:lang w:val="en-GB"/>
        </w:rPr>
        <w:t xml:space="preserve">up to 40 days </w:t>
      </w:r>
      <w:r w:rsidR="00A4142F" w:rsidRPr="00557D58">
        <w:rPr>
          <w:lang w:val="en-GB"/>
        </w:rPr>
        <w:t xml:space="preserve">in </w:t>
      </w:r>
      <w:r w:rsidR="00415D65" w:rsidRPr="00557D58">
        <w:rPr>
          <w:lang w:val="en-GB"/>
        </w:rPr>
        <w:t>solitary confinement</w:t>
      </w:r>
      <w:r w:rsidR="00A4142F" w:rsidRPr="00557D58">
        <w:rPr>
          <w:lang w:val="en-GB"/>
        </w:rPr>
        <w:t>.</w:t>
      </w:r>
    </w:p>
    <w:p w14:paraId="40657C4D" w14:textId="77777777" w:rsidR="00A4142F" w:rsidRPr="00557D58" w:rsidRDefault="00415D65">
      <w:pPr>
        <w:pStyle w:val="SingleTxtG"/>
        <w:rPr>
          <w:lang w:val="en-GB"/>
        </w:rPr>
      </w:pPr>
      <w:r w:rsidRPr="00557D58">
        <w:rPr>
          <w:lang w:val="en-GB"/>
        </w:rPr>
        <w:t>4.11</w:t>
      </w:r>
      <w:r w:rsidRPr="00557D58">
        <w:rPr>
          <w:lang w:val="en-GB"/>
        </w:rPr>
        <w:tab/>
        <w:t>The State party maintains that</w:t>
      </w:r>
      <w:r w:rsidR="003E23F3">
        <w:rPr>
          <w:lang w:val="en-GB"/>
        </w:rPr>
        <w:t>,</w:t>
      </w:r>
      <w:r w:rsidRPr="00557D58">
        <w:rPr>
          <w:lang w:val="en-GB"/>
        </w:rPr>
        <w:t xml:space="preserve"> while she </w:t>
      </w:r>
      <w:r w:rsidR="00A4142F" w:rsidRPr="00557D58">
        <w:rPr>
          <w:lang w:val="en-GB"/>
        </w:rPr>
        <w:t xml:space="preserve">stayed in </w:t>
      </w:r>
      <w:r w:rsidRPr="00557D58">
        <w:rPr>
          <w:lang w:val="en-GB"/>
        </w:rPr>
        <w:t xml:space="preserve">solitary confinement, </w:t>
      </w:r>
      <w:r w:rsidR="00A4142F" w:rsidRPr="00557D58">
        <w:rPr>
          <w:lang w:val="en-GB"/>
        </w:rPr>
        <w:t>the</w:t>
      </w:r>
      <w:r w:rsidRPr="00557D58">
        <w:rPr>
          <w:lang w:val="en-GB"/>
        </w:rPr>
        <w:t xml:space="preserve"> author</w:t>
      </w:r>
      <w:r w:rsidR="00A4142F" w:rsidRPr="00557D58">
        <w:rPr>
          <w:lang w:val="en-GB"/>
        </w:rPr>
        <w:t xml:space="preserve"> </w:t>
      </w:r>
      <w:r w:rsidR="00FB3196">
        <w:rPr>
          <w:lang w:val="en-GB"/>
        </w:rPr>
        <w:t>was</w:t>
      </w:r>
      <w:r w:rsidR="00FB3196" w:rsidRPr="00557D58">
        <w:rPr>
          <w:lang w:val="en-GB"/>
        </w:rPr>
        <w:t xml:space="preserve"> </w:t>
      </w:r>
      <w:r w:rsidRPr="00557D58">
        <w:rPr>
          <w:lang w:val="en-GB"/>
        </w:rPr>
        <w:t xml:space="preserve">not </w:t>
      </w:r>
      <w:r w:rsidR="00A4142F" w:rsidRPr="00557D58">
        <w:rPr>
          <w:lang w:val="en-GB"/>
        </w:rPr>
        <w:t>subjected to any physical or psychological pressure from the administration</w:t>
      </w:r>
      <w:r w:rsidR="00BA5BF4" w:rsidRPr="00557D58">
        <w:rPr>
          <w:lang w:val="en-GB"/>
        </w:rPr>
        <w:t xml:space="preserve"> </w:t>
      </w:r>
      <w:r w:rsidR="00A4142F" w:rsidRPr="00557D58">
        <w:rPr>
          <w:lang w:val="en-GB"/>
        </w:rPr>
        <w:t xml:space="preserve">of the facility, nor did </w:t>
      </w:r>
      <w:r w:rsidRPr="00557D58">
        <w:rPr>
          <w:lang w:val="en-GB"/>
        </w:rPr>
        <w:t>she</w:t>
      </w:r>
      <w:r w:rsidR="00A4142F" w:rsidRPr="00557D58">
        <w:rPr>
          <w:lang w:val="en-GB"/>
        </w:rPr>
        <w:t xml:space="preserve"> make any complaints or statements to</w:t>
      </w:r>
      <w:r w:rsidR="00BA5BF4" w:rsidRPr="00557D58">
        <w:rPr>
          <w:lang w:val="en-GB"/>
        </w:rPr>
        <w:t xml:space="preserve"> </w:t>
      </w:r>
      <w:r w:rsidR="00A4142F" w:rsidRPr="00557D58">
        <w:rPr>
          <w:lang w:val="en-GB"/>
        </w:rPr>
        <w:t xml:space="preserve">the administration, including about any deterioration </w:t>
      </w:r>
      <w:r w:rsidR="00B9170F">
        <w:rPr>
          <w:lang w:val="en-GB"/>
        </w:rPr>
        <w:t>of</w:t>
      </w:r>
      <w:r w:rsidR="00B9170F" w:rsidRPr="00557D58">
        <w:rPr>
          <w:lang w:val="en-GB"/>
        </w:rPr>
        <w:t xml:space="preserve"> </w:t>
      </w:r>
      <w:r w:rsidR="00A4142F" w:rsidRPr="00557D58">
        <w:rPr>
          <w:lang w:val="en-GB"/>
        </w:rPr>
        <w:t>her health.</w:t>
      </w:r>
      <w:r w:rsidRPr="00557D58">
        <w:rPr>
          <w:lang w:val="en-GB"/>
        </w:rPr>
        <w:t xml:space="preserve"> </w:t>
      </w:r>
      <w:r w:rsidR="00F70E73" w:rsidRPr="00557D58">
        <w:rPr>
          <w:lang w:val="en-GB"/>
        </w:rPr>
        <w:t>H</w:t>
      </w:r>
      <w:r w:rsidRPr="00557D58">
        <w:rPr>
          <w:lang w:val="en-GB"/>
        </w:rPr>
        <w:t xml:space="preserve">er claims that she </w:t>
      </w:r>
      <w:r w:rsidR="00FB3196">
        <w:rPr>
          <w:lang w:val="en-GB"/>
        </w:rPr>
        <w:t>was</w:t>
      </w:r>
      <w:r w:rsidRPr="00557D58">
        <w:rPr>
          <w:lang w:val="en-GB"/>
        </w:rPr>
        <w:t xml:space="preserve"> forced to stand naked in the cold in February 2007 </w:t>
      </w:r>
      <w:r w:rsidR="008C43B2" w:rsidRPr="00557D58">
        <w:rPr>
          <w:lang w:val="en-GB"/>
        </w:rPr>
        <w:t>in the hallway “</w:t>
      </w:r>
      <w:r w:rsidR="00A4142F" w:rsidRPr="00557D58">
        <w:rPr>
          <w:lang w:val="en-GB"/>
        </w:rPr>
        <w:t>have no basis in fact and are of an obviously slanderous nature towards the</w:t>
      </w:r>
      <w:r w:rsidR="00BA5BF4" w:rsidRPr="00557D58">
        <w:rPr>
          <w:lang w:val="en-GB"/>
        </w:rPr>
        <w:t xml:space="preserve"> </w:t>
      </w:r>
      <w:r w:rsidR="008C43B2" w:rsidRPr="00557D58">
        <w:rPr>
          <w:lang w:val="en-GB"/>
        </w:rPr>
        <w:t>employees of the facility”</w:t>
      </w:r>
      <w:r w:rsidR="00A4142F" w:rsidRPr="00557D58">
        <w:rPr>
          <w:lang w:val="en-GB"/>
        </w:rPr>
        <w:t>.</w:t>
      </w:r>
      <w:r w:rsidR="00BA5BF4" w:rsidRPr="00557D58">
        <w:rPr>
          <w:lang w:val="en-GB"/>
        </w:rPr>
        <w:t xml:space="preserve"> </w:t>
      </w:r>
      <w:r w:rsidR="00A4142F" w:rsidRPr="00557D58">
        <w:rPr>
          <w:lang w:val="en-GB"/>
        </w:rPr>
        <w:t xml:space="preserve">Regarding the </w:t>
      </w:r>
      <w:r w:rsidR="008C43B2" w:rsidRPr="00557D58">
        <w:rPr>
          <w:lang w:val="en-GB"/>
        </w:rPr>
        <w:t xml:space="preserve">allegations that </w:t>
      </w:r>
      <w:r w:rsidR="00B67CC5" w:rsidRPr="00557D58">
        <w:rPr>
          <w:lang w:val="en-GB"/>
        </w:rPr>
        <w:t>the author</w:t>
      </w:r>
      <w:r w:rsidR="008C43B2" w:rsidRPr="00557D58">
        <w:rPr>
          <w:lang w:val="en-GB"/>
        </w:rPr>
        <w:t xml:space="preserve"> </w:t>
      </w:r>
      <w:r w:rsidR="00FB3196">
        <w:rPr>
          <w:lang w:val="en-GB"/>
        </w:rPr>
        <w:t>was</w:t>
      </w:r>
      <w:r w:rsidR="008C43B2" w:rsidRPr="00557D58">
        <w:rPr>
          <w:lang w:val="en-GB"/>
        </w:rPr>
        <w:t xml:space="preserve"> </w:t>
      </w:r>
      <w:r w:rsidR="00A4142F" w:rsidRPr="00557D58">
        <w:rPr>
          <w:lang w:val="en-GB"/>
        </w:rPr>
        <w:t>refused medical</w:t>
      </w:r>
      <w:r w:rsidR="00BA5BF4" w:rsidRPr="00557D58">
        <w:rPr>
          <w:lang w:val="en-GB"/>
        </w:rPr>
        <w:t xml:space="preserve"> </w:t>
      </w:r>
      <w:r w:rsidR="00A4142F" w:rsidRPr="00557D58">
        <w:rPr>
          <w:lang w:val="en-GB"/>
        </w:rPr>
        <w:t>attention</w:t>
      </w:r>
      <w:r w:rsidR="008C43B2" w:rsidRPr="00557D58">
        <w:rPr>
          <w:lang w:val="en-GB"/>
        </w:rPr>
        <w:t>, the State party submits that</w:t>
      </w:r>
      <w:r w:rsidR="00926C4D">
        <w:rPr>
          <w:lang w:val="en-GB"/>
        </w:rPr>
        <w:t>,</w:t>
      </w:r>
      <w:r w:rsidR="008C43B2" w:rsidRPr="00557D58">
        <w:rPr>
          <w:lang w:val="en-GB"/>
        </w:rPr>
        <w:t xml:space="preserve"> </w:t>
      </w:r>
      <w:r w:rsidR="00A4142F" w:rsidRPr="00557D58">
        <w:rPr>
          <w:lang w:val="en-GB"/>
        </w:rPr>
        <w:t xml:space="preserve">upon arrival </w:t>
      </w:r>
      <w:r w:rsidR="00926C4D">
        <w:rPr>
          <w:lang w:val="en-GB"/>
        </w:rPr>
        <w:t>at</w:t>
      </w:r>
      <w:r w:rsidR="00926C4D" w:rsidRPr="00557D58">
        <w:rPr>
          <w:lang w:val="en-GB"/>
        </w:rPr>
        <w:t xml:space="preserve"> </w:t>
      </w:r>
      <w:r w:rsidR="00A4142F" w:rsidRPr="00557D58">
        <w:rPr>
          <w:lang w:val="en-GB"/>
        </w:rPr>
        <w:t>the detention facility</w:t>
      </w:r>
      <w:r w:rsidR="00926C4D">
        <w:rPr>
          <w:lang w:val="en-GB"/>
        </w:rPr>
        <w:t>,</w:t>
      </w:r>
      <w:r w:rsidR="00BA5BF4" w:rsidRPr="00557D58">
        <w:rPr>
          <w:lang w:val="en-GB"/>
        </w:rPr>
        <w:t xml:space="preserve"> </w:t>
      </w:r>
      <w:r w:rsidR="008C43B2" w:rsidRPr="00557D58">
        <w:rPr>
          <w:lang w:val="en-GB"/>
        </w:rPr>
        <w:t xml:space="preserve">the author </w:t>
      </w:r>
      <w:r w:rsidR="00926C4D">
        <w:rPr>
          <w:lang w:val="en-GB"/>
        </w:rPr>
        <w:t>under</w:t>
      </w:r>
      <w:r w:rsidR="00A4142F" w:rsidRPr="00557D58">
        <w:rPr>
          <w:lang w:val="en-GB"/>
        </w:rPr>
        <w:t xml:space="preserve">went a </w:t>
      </w:r>
      <w:r w:rsidR="008C43B2" w:rsidRPr="00557D58">
        <w:rPr>
          <w:lang w:val="en-GB"/>
        </w:rPr>
        <w:t>medical</w:t>
      </w:r>
      <w:r w:rsidR="00A4142F" w:rsidRPr="00557D58">
        <w:rPr>
          <w:lang w:val="en-GB"/>
        </w:rPr>
        <w:t xml:space="preserve"> examination.</w:t>
      </w:r>
      <w:r w:rsidR="00BA5BF4" w:rsidRPr="00557D58">
        <w:rPr>
          <w:lang w:val="en-GB"/>
        </w:rPr>
        <w:t xml:space="preserve"> </w:t>
      </w:r>
      <w:r w:rsidR="008C43B2" w:rsidRPr="00557D58">
        <w:rPr>
          <w:lang w:val="en-GB"/>
        </w:rPr>
        <w:t>While s</w:t>
      </w:r>
      <w:r w:rsidR="00A4142F" w:rsidRPr="00557D58">
        <w:rPr>
          <w:lang w:val="en-GB"/>
        </w:rPr>
        <w:t xml:space="preserve">erving her sentence </w:t>
      </w:r>
      <w:r w:rsidR="008C43B2" w:rsidRPr="00557D58">
        <w:rPr>
          <w:lang w:val="en-GB"/>
        </w:rPr>
        <w:t xml:space="preserve">she </w:t>
      </w:r>
      <w:r w:rsidR="00A4142F" w:rsidRPr="00557D58">
        <w:rPr>
          <w:lang w:val="en-GB"/>
        </w:rPr>
        <w:t>was under regular</w:t>
      </w:r>
      <w:r w:rsidR="00BA5BF4" w:rsidRPr="00557D58">
        <w:rPr>
          <w:lang w:val="en-GB"/>
        </w:rPr>
        <w:t xml:space="preserve"> </w:t>
      </w:r>
      <w:r w:rsidR="00A4142F" w:rsidRPr="00557D58">
        <w:rPr>
          <w:lang w:val="en-GB"/>
        </w:rPr>
        <w:t>follow-up care and</w:t>
      </w:r>
      <w:r w:rsidR="00926C4D">
        <w:rPr>
          <w:lang w:val="en-GB"/>
        </w:rPr>
        <w:t>,</w:t>
      </w:r>
      <w:r w:rsidR="00A4142F" w:rsidRPr="00557D58">
        <w:rPr>
          <w:lang w:val="en-GB"/>
        </w:rPr>
        <w:t xml:space="preserve"> at the recommendation of </w:t>
      </w:r>
      <w:r w:rsidR="00FB3196">
        <w:rPr>
          <w:lang w:val="en-GB"/>
        </w:rPr>
        <w:t xml:space="preserve">a </w:t>
      </w:r>
      <w:r w:rsidR="00A4142F" w:rsidRPr="00557D58">
        <w:rPr>
          <w:lang w:val="en-GB"/>
        </w:rPr>
        <w:t>doctor, she was provided with</w:t>
      </w:r>
      <w:r w:rsidR="00BA5BF4" w:rsidRPr="00557D58">
        <w:rPr>
          <w:lang w:val="en-GB"/>
        </w:rPr>
        <w:t xml:space="preserve"> </w:t>
      </w:r>
      <w:r w:rsidR="00A4142F" w:rsidRPr="00557D58">
        <w:rPr>
          <w:lang w:val="en-GB"/>
        </w:rPr>
        <w:t>qualified medical attention</w:t>
      </w:r>
      <w:r w:rsidR="00B67CC5" w:rsidRPr="00557D58">
        <w:rPr>
          <w:lang w:val="en-GB"/>
        </w:rPr>
        <w:t xml:space="preserve"> on numerous occasions</w:t>
      </w:r>
      <w:r w:rsidR="00A4142F" w:rsidRPr="00557D58">
        <w:rPr>
          <w:lang w:val="en-GB"/>
        </w:rPr>
        <w:t xml:space="preserve">, both </w:t>
      </w:r>
      <w:r w:rsidR="00926C4D">
        <w:rPr>
          <w:lang w:val="en-GB"/>
        </w:rPr>
        <w:t>as</w:t>
      </w:r>
      <w:r w:rsidR="00926C4D" w:rsidRPr="00557D58">
        <w:rPr>
          <w:lang w:val="en-GB"/>
        </w:rPr>
        <w:t xml:space="preserve"> </w:t>
      </w:r>
      <w:r w:rsidR="00A4142F" w:rsidRPr="00557D58">
        <w:rPr>
          <w:lang w:val="en-GB"/>
        </w:rPr>
        <w:t>an outpatient and an inpatient.</w:t>
      </w:r>
      <w:r w:rsidR="00B67CC5" w:rsidRPr="00895641">
        <w:rPr>
          <w:lang w:val="en-GB"/>
        </w:rPr>
        <w:t xml:space="preserve"> </w:t>
      </w:r>
      <w:r w:rsidR="00A56EAF" w:rsidRPr="00557D58">
        <w:rPr>
          <w:lang w:val="en-GB"/>
        </w:rPr>
        <w:t xml:space="preserve">Medical staff of the </w:t>
      </w:r>
      <w:r w:rsidR="00A56EAF" w:rsidRPr="008A4B12">
        <w:rPr>
          <w:lang w:val="en-GB"/>
        </w:rPr>
        <w:t>correctional facility</w:t>
      </w:r>
      <w:r w:rsidR="00A56EAF" w:rsidRPr="00557D58">
        <w:rPr>
          <w:lang w:val="en-GB"/>
        </w:rPr>
        <w:t xml:space="preserve"> and specialists from the Ministry of Health conducted examinations of the author using different diagnostic techniques and she received appropriate medical care for her condition. </w:t>
      </w:r>
    </w:p>
    <w:p w14:paraId="105E72D0" w14:textId="77777777" w:rsidR="007B4240" w:rsidRPr="00557D58" w:rsidRDefault="00A56EAF" w:rsidP="004C05A1">
      <w:pPr>
        <w:pStyle w:val="SingleTxtG"/>
        <w:rPr>
          <w:lang w:val="en-GB"/>
        </w:rPr>
      </w:pPr>
      <w:r w:rsidRPr="00557D58">
        <w:rPr>
          <w:lang w:val="en-GB"/>
        </w:rPr>
        <w:t>4.12</w:t>
      </w:r>
      <w:r w:rsidRPr="00557D58">
        <w:rPr>
          <w:lang w:val="en-GB"/>
        </w:rPr>
        <w:tab/>
        <w:t xml:space="preserve">The State party maintains </w:t>
      </w:r>
      <w:r w:rsidR="00B9170F">
        <w:rPr>
          <w:lang w:val="en-GB"/>
        </w:rPr>
        <w:t>that,</w:t>
      </w:r>
      <w:r w:rsidR="002A101E" w:rsidRPr="00895641">
        <w:rPr>
          <w:lang w:val="en-GB"/>
        </w:rPr>
        <w:t xml:space="preserve"> </w:t>
      </w:r>
      <w:r w:rsidR="002A101E" w:rsidRPr="00557D58">
        <w:rPr>
          <w:lang w:val="en-GB"/>
        </w:rPr>
        <w:t>w</w:t>
      </w:r>
      <w:r w:rsidR="002A101E" w:rsidRPr="00895641">
        <w:rPr>
          <w:lang w:val="en-GB"/>
        </w:rPr>
        <w:t xml:space="preserve">ith </w:t>
      </w:r>
      <w:r w:rsidR="00A4142F" w:rsidRPr="00557D58">
        <w:rPr>
          <w:lang w:val="en-GB"/>
        </w:rPr>
        <w:t xml:space="preserve">regard to the medically necessary operation performed on the </w:t>
      </w:r>
      <w:r w:rsidRPr="00557D58">
        <w:rPr>
          <w:lang w:val="en-GB"/>
        </w:rPr>
        <w:t>author</w:t>
      </w:r>
      <w:r w:rsidR="00A4142F" w:rsidRPr="00557D58">
        <w:rPr>
          <w:lang w:val="en-GB"/>
        </w:rPr>
        <w:t xml:space="preserve"> in March</w:t>
      </w:r>
      <w:r w:rsidR="007B4240" w:rsidRPr="00557D58">
        <w:rPr>
          <w:lang w:val="en-GB"/>
        </w:rPr>
        <w:t xml:space="preserve"> </w:t>
      </w:r>
      <w:r w:rsidR="00A4142F" w:rsidRPr="00557D58">
        <w:rPr>
          <w:lang w:val="en-GB"/>
        </w:rPr>
        <w:t xml:space="preserve">2008, </w:t>
      </w:r>
      <w:r w:rsidRPr="00557D58">
        <w:rPr>
          <w:lang w:val="en-GB"/>
        </w:rPr>
        <w:t xml:space="preserve">she had been </w:t>
      </w:r>
      <w:r w:rsidR="00A4142F" w:rsidRPr="00557D58">
        <w:rPr>
          <w:lang w:val="en-GB"/>
        </w:rPr>
        <w:t>notified in a timely manner about the necessity of the upcoming</w:t>
      </w:r>
      <w:r w:rsidR="007B4240" w:rsidRPr="00557D58">
        <w:rPr>
          <w:lang w:val="en-GB"/>
        </w:rPr>
        <w:t xml:space="preserve"> </w:t>
      </w:r>
      <w:r w:rsidR="00A4142F" w:rsidRPr="00557D58">
        <w:rPr>
          <w:lang w:val="en-GB"/>
        </w:rPr>
        <w:t xml:space="preserve">surgical procedure to be conducted in a civilian facility, and </w:t>
      </w:r>
      <w:r w:rsidR="00B9170F">
        <w:rPr>
          <w:lang w:val="en-GB"/>
        </w:rPr>
        <w:t xml:space="preserve">that </w:t>
      </w:r>
      <w:r w:rsidR="00A4142F" w:rsidRPr="00557D58">
        <w:rPr>
          <w:lang w:val="en-GB"/>
        </w:rPr>
        <w:t>this surgical</w:t>
      </w:r>
      <w:r w:rsidR="007B4240" w:rsidRPr="00557D58">
        <w:rPr>
          <w:lang w:val="en-GB"/>
        </w:rPr>
        <w:t xml:space="preserve"> </w:t>
      </w:r>
      <w:r w:rsidR="00F70328">
        <w:rPr>
          <w:lang w:val="en-GB"/>
        </w:rPr>
        <w:t>procedure</w:t>
      </w:r>
      <w:r w:rsidR="00F70328" w:rsidRPr="00557D58">
        <w:rPr>
          <w:lang w:val="en-GB"/>
        </w:rPr>
        <w:t xml:space="preserve"> </w:t>
      </w:r>
      <w:r w:rsidR="00A4142F" w:rsidRPr="00557D58">
        <w:rPr>
          <w:lang w:val="en-GB"/>
        </w:rPr>
        <w:t xml:space="preserve">could not have been performed without her consent. After the </w:t>
      </w:r>
      <w:r w:rsidR="00B67CC5" w:rsidRPr="00895641">
        <w:rPr>
          <w:lang w:val="en-GB"/>
        </w:rPr>
        <w:t>surgery</w:t>
      </w:r>
      <w:r w:rsidR="00A4142F" w:rsidRPr="00557D58">
        <w:rPr>
          <w:lang w:val="en-GB"/>
        </w:rPr>
        <w:t>, she was returned</w:t>
      </w:r>
      <w:r w:rsidR="007B4240" w:rsidRPr="00557D58">
        <w:rPr>
          <w:lang w:val="en-GB"/>
        </w:rPr>
        <w:t xml:space="preserve"> </w:t>
      </w:r>
      <w:r w:rsidR="00A4142F" w:rsidRPr="00557D58">
        <w:rPr>
          <w:lang w:val="en-GB"/>
        </w:rPr>
        <w:t>to the correction</w:t>
      </w:r>
      <w:r w:rsidR="00B9170F">
        <w:rPr>
          <w:lang w:val="en-GB"/>
        </w:rPr>
        <w:t>al</w:t>
      </w:r>
      <w:r w:rsidR="00A4142F" w:rsidRPr="00557D58">
        <w:rPr>
          <w:lang w:val="en-GB"/>
        </w:rPr>
        <w:t xml:space="preserve"> facility in a satisfactory </w:t>
      </w:r>
      <w:r w:rsidR="004204BA" w:rsidRPr="00557D58">
        <w:rPr>
          <w:lang w:val="en-GB"/>
        </w:rPr>
        <w:t xml:space="preserve">condition </w:t>
      </w:r>
      <w:r w:rsidR="00A4142F" w:rsidRPr="00557D58">
        <w:rPr>
          <w:lang w:val="en-GB"/>
        </w:rPr>
        <w:t xml:space="preserve">in April </w:t>
      </w:r>
      <w:r w:rsidR="00A4142F" w:rsidRPr="00557D58">
        <w:rPr>
          <w:lang w:val="en-GB"/>
        </w:rPr>
        <w:lastRenderedPageBreak/>
        <w:t>2008</w:t>
      </w:r>
      <w:r w:rsidR="00B67CC5" w:rsidRPr="00895641">
        <w:rPr>
          <w:lang w:val="en-GB"/>
        </w:rPr>
        <w:t xml:space="preserve"> and</w:t>
      </w:r>
      <w:r w:rsidR="00A4142F" w:rsidRPr="00557D58">
        <w:rPr>
          <w:lang w:val="en-GB"/>
        </w:rPr>
        <w:t xml:space="preserve"> she was placed in the inpatient unit for further observation. </w:t>
      </w:r>
      <w:r w:rsidR="00FB3196">
        <w:rPr>
          <w:lang w:val="en-GB"/>
        </w:rPr>
        <w:t>By</w:t>
      </w:r>
      <w:r w:rsidR="007B4240" w:rsidRPr="00557D58">
        <w:rPr>
          <w:lang w:val="en-GB"/>
        </w:rPr>
        <w:t xml:space="preserve"> </w:t>
      </w:r>
      <w:r w:rsidR="00A4142F" w:rsidRPr="00557D58">
        <w:rPr>
          <w:lang w:val="en-GB"/>
        </w:rPr>
        <w:t xml:space="preserve">May 2008, </w:t>
      </w:r>
      <w:r w:rsidR="00B67CC5" w:rsidRPr="00895641">
        <w:rPr>
          <w:lang w:val="en-GB"/>
        </w:rPr>
        <w:t xml:space="preserve">her </w:t>
      </w:r>
      <w:r w:rsidR="00B67CC5" w:rsidRPr="00557D58">
        <w:rPr>
          <w:lang w:val="en-GB"/>
        </w:rPr>
        <w:t>health had improved</w:t>
      </w:r>
      <w:r w:rsidR="00B67CC5" w:rsidRPr="00895641">
        <w:rPr>
          <w:lang w:val="en-GB"/>
        </w:rPr>
        <w:t xml:space="preserve"> and</w:t>
      </w:r>
      <w:r w:rsidR="00B67CC5" w:rsidRPr="00557D58">
        <w:rPr>
          <w:lang w:val="en-GB"/>
        </w:rPr>
        <w:t xml:space="preserve"> </w:t>
      </w:r>
      <w:r w:rsidR="00B67CC5" w:rsidRPr="00895641">
        <w:rPr>
          <w:lang w:val="en-GB"/>
        </w:rPr>
        <w:t>she</w:t>
      </w:r>
      <w:r w:rsidR="00A4142F" w:rsidRPr="00557D58">
        <w:rPr>
          <w:lang w:val="en-GB"/>
        </w:rPr>
        <w:t xml:space="preserve"> was released</w:t>
      </w:r>
      <w:r w:rsidR="0098664A">
        <w:rPr>
          <w:lang w:val="en-GB"/>
        </w:rPr>
        <w:t xml:space="preserve"> </w:t>
      </w:r>
      <w:r w:rsidR="00A4142F" w:rsidRPr="00557D58">
        <w:rPr>
          <w:lang w:val="en-GB"/>
        </w:rPr>
        <w:t>to the general population.</w:t>
      </w:r>
      <w:r w:rsidR="007B4240" w:rsidRPr="00557D58">
        <w:rPr>
          <w:lang w:val="en-GB"/>
        </w:rPr>
        <w:t xml:space="preserve"> </w:t>
      </w:r>
    </w:p>
    <w:p w14:paraId="12674B10" w14:textId="77777777" w:rsidR="007B4240" w:rsidRPr="00557D58" w:rsidRDefault="00A56EAF">
      <w:pPr>
        <w:pStyle w:val="SingleTxtG"/>
        <w:rPr>
          <w:lang w:val="en-GB"/>
        </w:rPr>
      </w:pPr>
      <w:r w:rsidRPr="00557D58">
        <w:rPr>
          <w:lang w:val="en-GB"/>
        </w:rPr>
        <w:t>4.13</w:t>
      </w:r>
      <w:r w:rsidRPr="00557D58">
        <w:rPr>
          <w:lang w:val="en-GB"/>
        </w:rPr>
        <w:tab/>
        <w:t>With regard to the</w:t>
      </w:r>
      <w:r w:rsidR="00A4142F" w:rsidRPr="00557D58">
        <w:rPr>
          <w:lang w:val="en-GB"/>
        </w:rPr>
        <w:t xml:space="preserve"> </w:t>
      </w:r>
      <w:r w:rsidRPr="00557D58">
        <w:rPr>
          <w:lang w:val="en-GB"/>
        </w:rPr>
        <w:t>possibilities for</w:t>
      </w:r>
      <w:r w:rsidR="00A4142F" w:rsidRPr="00557D58">
        <w:rPr>
          <w:lang w:val="en-GB"/>
        </w:rPr>
        <w:t xml:space="preserve"> </w:t>
      </w:r>
      <w:r w:rsidRPr="00557D58">
        <w:rPr>
          <w:lang w:val="en-GB"/>
        </w:rPr>
        <w:t>prisoners</w:t>
      </w:r>
      <w:r w:rsidR="00A4142F" w:rsidRPr="00557D58">
        <w:rPr>
          <w:lang w:val="en-GB"/>
        </w:rPr>
        <w:t xml:space="preserve"> to submit statements and complaints</w:t>
      </w:r>
      <w:r w:rsidRPr="00557D58">
        <w:rPr>
          <w:lang w:val="en-GB"/>
        </w:rPr>
        <w:t>, a</w:t>
      </w:r>
      <w:r w:rsidR="00A4142F" w:rsidRPr="00557D58">
        <w:rPr>
          <w:lang w:val="en-GB"/>
        </w:rPr>
        <w:t xml:space="preserve">ll </w:t>
      </w:r>
      <w:r w:rsidR="008D6530" w:rsidRPr="00895641">
        <w:rPr>
          <w:lang w:val="en-GB"/>
        </w:rPr>
        <w:t>prisoners</w:t>
      </w:r>
      <w:r w:rsidR="00A4142F" w:rsidRPr="00557D58">
        <w:rPr>
          <w:lang w:val="en-GB"/>
        </w:rPr>
        <w:t xml:space="preserve"> can </w:t>
      </w:r>
      <w:r w:rsidR="008D6530" w:rsidRPr="00895641">
        <w:rPr>
          <w:lang w:val="en-GB"/>
        </w:rPr>
        <w:t xml:space="preserve">complain </w:t>
      </w:r>
      <w:r w:rsidR="00A4142F" w:rsidRPr="00557D58">
        <w:rPr>
          <w:lang w:val="en-GB"/>
        </w:rPr>
        <w:t>to</w:t>
      </w:r>
      <w:r w:rsidR="007B4240" w:rsidRPr="00557D58">
        <w:rPr>
          <w:lang w:val="en-GB"/>
        </w:rPr>
        <w:t xml:space="preserve"> </w:t>
      </w:r>
      <w:r w:rsidR="00A4142F" w:rsidRPr="00557D58">
        <w:rPr>
          <w:lang w:val="en-GB"/>
        </w:rPr>
        <w:t>the facility</w:t>
      </w:r>
      <w:r w:rsidR="00557D58" w:rsidRPr="00557D58">
        <w:rPr>
          <w:lang w:val="en-GB"/>
        </w:rPr>
        <w:t>’</w:t>
      </w:r>
      <w:r w:rsidR="00A4142F" w:rsidRPr="00557D58">
        <w:rPr>
          <w:lang w:val="en-GB"/>
        </w:rPr>
        <w:t>s administration</w:t>
      </w:r>
      <w:r w:rsidR="008D6530" w:rsidRPr="00895641">
        <w:rPr>
          <w:lang w:val="en-GB"/>
        </w:rPr>
        <w:t xml:space="preserve"> and</w:t>
      </w:r>
      <w:r w:rsidR="0098664A">
        <w:rPr>
          <w:lang w:val="en-GB"/>
        </w:rPr>
        <w:t xml:space="preserve"> </w:t>
      </w:r>
      <w:r w:rsidR="00A4142F" w:rsidRPr="00557D58">
        <w:rPr>
          <w:lang w:val="en-GB"/>
        </w:rPr>
        <w:t>members of the</w:t>
      </w:r>
      <w:r w:rsidR="007B4240" w:rsidRPr="00557D58">
        <w:rPr>
          <w:lang w:val="en-GB"/>
        </w:rPr>
        <w:t xml:space="preserve"> </w:t>
      </w:r>
      <w:r w:rsidR="004C05A1">
        <w:rPr>
          <w:lang w:val="en-GB"/>
        </w:rPr>
        <w:t>procurator</w:t>
      </w:r>
      <w:r w:rsidR="00557D58" w:rsidRPr="00557D58">
        <w:rPr>
          <w:lang w:val="en-GB"/>
        </w:rPr>
        <w:t>’</w:t>
      </w:r>
      <w:r w:rsidR="00A4142F" w:rsidRPr="00557D58">
        <w:rPr>
          <w:lang w:val="en-GB"/>
        </w:rPr>
        <w:t>s office.</w:t>
      </w:r>
      <w:r w:rsidR="007B4240" w:rsidRPr="00557D58">
        <w:rPr>
          <w:lang w:val="en-GB"/>
        </w:rPr>
        <w:t xml:space="preserve"> </w:t>
      </w:r>
      <w:r w:rsidR="00A4142F" w:rsidRPr="00557D58">
        <w:rPr>
          <w:lang w:val="en-GB"/>
        </w:rPr>
        <w:t>All petitions are registered according to the facts stated therein and a</w:t>
      </w:r>
      <w:r w:rsidR="007B4240" w:rsidRPr="00557D58">
        <w:rPr>
          <w:lang w:val="en-GB"/>
        </w:rPr>
        <w:t xml:space="preserve"> </w:t>
      </w:r>
      <w:r w:rsidR="00A4142F" w:rsidRPr="00557D58">
        <w:rPr>
          <w:lang w:val="en-GB"/>
        </w:rPr>
        <w:t xml:space="preserve">thorough investigation is conducted. There were no </w:t>
      </w:r>
      <w:r w:rsidR="00A442AD" w:rsidRPr="00557D58">
        <w:rPr>
          <w:lang w:val="en-GB"/>
        </w:rPr>
        <w:t>obstacles</w:t>
      </w:r>
      <w:r w:rsidR="00A4142F" w:rsidRPr="00557D58">
        <w:rPr>
          <w:lang w:val="en-GB"/>
        </w:rPr>
        <w:t xml:space="preserve"> prevent</w:t>
      </w:r>
      <w:r w:rsidR="00A442AD" w:rsidRPr="00557D58">
        <w:rPr>
          <w:lang w:val="en-GB"/>
        </w:rPr>
        <w:t>ing</w:t>
      </w:r>
      <w:r w:rsidR="00A4142F" w:rsidRPr="00557D58">
        <w:rPr>
          <w:lang w:val="en-GB"/>
        </w:rPr>
        <w:t xml:space="preserve"> the </w:t>
      </w:r>
      <w:r w:rsidR="00304890" w:rsidRPr="00557D58">
        <w:rPr>
          <w:lang w:val="en-GB"/>
        </w:rPr>
        <w:t>author</w:t>
      </w:r>
      <w:r w:rsidR="00A4142F" w:rsidRPr="00557D58">
        <w:rPr>
          <w:lang w:val="en-GB"/>
        </w:rPr>
        <w:t xml:space="preserve"> from petitioning the administration of the facility</w:t>
      </w:r>
      <w:r w:rsidR="008D6530" w:rsidRPr="00895641">
        <w:rPr>
          <w:lang w:val="en-GB"/>
        </w:rPr>
        <w:t xml:space="preserve"> or</w:t>
      </w:r>
      <w:r w:rsidR="0098664A">
        <w:rPr>
          <w:lang w:val="en-GB"/>
        </w:rPr>
        <w:t xml:space="preserve"> </w:t>
      </w:r>
      <w:r w:rsidR="00A4142F" w:rsidRPr="00557D58">
        <w:rPr>
          <w:lang w:val="en-GB"/>
        </w:rPr>
        <w:t xml:space="preserve">the </w:t>
      </w:r>
      <w:r w:rsidR="004C05A1">
        <w:rPr>
          <w:lang w:val="en-GB"/>
        </w:rPr>
        <w:t>procurator</w:t>
      </w:r>
      <w:r w:rsidR="004C05A1" w:rsidRPr="00557D58">
        <w:rPr>
          <w:lang w:val="en-GB"/>
        </w:rPr>
        <w:t xml:space="preserve">’s </w:t>
      </w:r>
      <w:r w:rsidR="00A4142F" w:rsidRPr="00557D58">
        <w:rPr>
          <w:lang w:val="en-GB"/>
        </w:rPr>
        <w:t>office.</w:t>
      </w:r>
      <w:r w:rsidR="007B4240" w:rsidRPr="00557D58">
        <w:rPr>
          <w:lang w:val="en-GB"/>
        </w:rPr>
        <w:t xml:space="preserve"> </w:t>
      </w:r>
      <w:r w:rsidR="00A23946" w:rsidRPr="00557D58">
        <w:rPr>
          <w:lang w:val="en-GB"/>
        </w:rPr>
        <w:t>All her complaints in that regard are</w:t>
      </w:r>
      <w:r w:rsidR="00A4142F" w:rsidRPr="00557D58">
        <w:rPr>
          <w:lang w:val="en-GB"/>
        </w:rPr>
        <w:t xml:space="preserve"> groundless.</w:t>
      </w:r>
      <w:r w:rsidR="007B4240" w:rsidRPr="00557D58">
        <w:rPr>
          <w:lang w:val="en-GB"/>
        </w:rPr>
        <w:t xml:space="preserve"> </w:t>
      </w:r>
      <w:r w:rsidR="00A4142F" w:rsidRPr="00557D58">
        <w:rPr>
          <w:lang w:val="en-GB"/>
        </w:rPr>
        <w:t>The instances described in the communication did not occur and could not have</w:t>
      </w:r>
      <w:r w:rsidR="007B4240" w:rsidRPr="00557D58">
        <w:rPr>
          <w:lang w:val="en-GB"/>
        </w:rPr>
        <w:t xml:space="preserve"> </w:t>
      </w:r>
      <w:r w:rsidR="00A4142F" w:rsidRPr="00557D58">
        <w:rPr>
          <w:lang w:val="en-GB"/>
        </w:rPr>
        <w:t>occurred</w:t>
      </w:r>
      <w:r w:rsidR="00A23946" w:rsidRPr="00557D58">
        <w:rPr>
          <w:lang w:val="en-GB"/>
        </w:rPr>
        <w:t>. T</w:t>
      </w:r>
      <w:r w:rsidR="00A4142F" w:rsidRPr="00557D58">
        <w:rPr>
          <w:lang w:val="en-GB"/>
        </w:rPr>
        <w:t>he personnel of the law enforcement agencies acted strictly within the</w:t>
      </w:r>
      <w:r w:rsidR="007B4240" w:rsidRPr="00557D58">
        <w:rPr>
          <w:lang w:val="en-GB"/>
        </w:rPr>
        <w:t xml:space="preserve"> </w:t>
      </w:r>
      <w:r w:rsidR="00A4142F" w:rsidRPr="00557D58">
        <w:rPr>
          <w:lang w:val="en-GB"/>
        </w:rPr>
        <w:t>bounds of their professional duties</w:t>
      </w:r>
      <w:r w:rsidR="008D6530" w:rsidRPr="00895641">
        <w:rPr>
          <w:lang w:val="en-GB"/>
        </w:rPr>
        <w:t>.</w:t>
      </w:r>
      <w:r w:rsidR="00A4142F" w:rsidRPr="00557D58">
        <w:rPr>
          <w:lang w:val="en-GB"/>
        </w:rPr>
        <w:t xml:space="preserve"> The </w:t>
      </w:r>
      <w:r w:rsidR="00A4142F" w:rsidRPr="008A4B12">
        <w:rPr>
          <w:lang w:val="en-GB"/>
        </w:rPr>
        <w:t>penitentiary</w:t>
      </w:r>
      <w:r w:rsidR="007B4240" w:rsidRPr="008A4B12">
        <w:rPr>
          <w:lang w:val="en-GB"/>
        </w:rPr>
        <w:t xml:space="preserve"> </w:t>
      </w:r>
      <w:r w:rsidR="00A4142F" w:rsidRPr="008A4B12">
        <w:rPr>
          <w:lang w:val="en-GB"/>
        </w:rPr>
        <w:t>facilities</w:t>
      </w:r>
      <w:r w:rsidR="00A4142F" w:rsidRPr="00557D58">
        <w:rPr>
          <w:lang w:val="en-GB"/>
        </w:rPr>
        <w:t xml:space="preserve"> of Uzbekistan implement in a timely manner measures to prevent the</w:t>
      </w:r>
      <w:r w:rsidR="007B4240" w:rsidRPr="00557D58">
        <w:rPr>
          <w:lang w:val="en-GB"/>
        </w:rPr>
        <w:t xml:space="preserve"> </w:t>
      </w:r>
      <w:r w:rsidR="00A4142F" w:rsidRPr="00557D58">
        <w:rPr>
          <w:lang w:val="en-GB"/>
        </w:rPr>
        <w:t xml:space="preserve">occurrence of any actions </w:t>
      </w:r>
      <w:r w:rsidR="00FB3196">
        <w:rPr>
          <w:lang w:val="en-GB"/>
        </w:rPr>
        <w:t>that</w:t>
      </w:r>
      <w:r w:rsidR="00FB3196" w:rsidRPr="00557D58">
        <w:rPr>
          <w:lang w:val="en-GB"/>
        </w:rPr>
        <w:t xml:space="preserve"> </w:t>
      </w:r>
      <w:r w:rsidR="00A4142F" w:rsidRPr="00557D58">
        <w:rPr>
          <w:lang w:val="en-GB"/>
        </w:rPr>
        <w:t>would infringe on the legal rights of individuals who</w:t>
      </w:r>
      <w:r w:rsidR="007B4240" w:rsidRPr="00557D58">
        <w:rPr>
          <w:lang w:val="en-GB"/>
        </w:rPr>
        <w:t xml:space="preserve"> </w:t>
      </w:r>
      <w:r w:rsidR="00A4142F" w:rsidRPr="00557D58">
        <w:rPr>
          <w:lang w:val="en-GB"/>
        </w:rPr>
        <w:t>are being held in detention or who have been sentenced to incarceration. I</w:t>
      </w:r>
      <w:r w:rsidR="008D6530" w:rsidRPr="00895641">
        <w:rPr>
          <w:lang w:val="en-GB"/>
        </w:rPr>
        <w:t>f</w:t>
      </w:r>
      <w:r w:rsidR="00A4142F" w:rsidRPr="00557D58">
        <w:rPr>
          <w:lang w:val="en-GB"/>
        </w:rPr>
        <w:t xml:space="preserve"> an instance of</w:t>
      </w:r>
      <w:r w:rsidR="0098664A">
        <w:rPr>
          <w:lang w:val="en-GB"/>
        </w:rPr>
        <w:t xml:space="preserve"> </w:t>
      </w:r>
      <w:r w:rsidR="00A4142F" w:rsidRPr="00557D58">
        <w:rPr>
          <w:lang w:val="en-GB"/>
        </w:rPr>
        <w:t>use of physical force or prohibited treatment is discovered, the</w:t>
      </w:r>
      <w:r w:rsidR="007B4240" w:rsidRPr="00557D58">
        <w:rPr>
          <w:lang w:val="en-GB"/>
        </w:rPr>
        <w:t xml:space="preserve"> </w:t>
      </w:r>
      <w:r w:rsidR="00A4142F" w:rsidRPr="00557D58">
        <w:rPr>
          <w:lang w:val="en-GB"/>
        </w:rPr>
        <w:t>guilty parties are strictly disciplined or charged with a criminal act.</w:t>
      </w:r>
      <w:r w:rsidR="007B4240" w:rsidRPr="00557D58">
        <w:rPr>
          <w:lang w:val="en-GB"/>
        </w:rPr>
        <w:t xml:space="preserve"> </w:t>
      </w:r>
    </w:p>
    <w:p w14:paraId="1FB772D1" w14:textId="77777777" w:rsidR="00A4142F" w:rsidRPr="00557D58" w:rsidRDefault="00D178AC" w:rsidP="00D178AC">
      <w:pPr>
        <w:pStyle w:val="H23G"/>
      </w:pPr>
      <w:r w:rsidRPr="00557D58">
        <w:tab/>
      </w:r>
      <w:r w:rsidRPr="00557D58">
        <w:tab/>
      </w:r>
      <w:r w:rsidR="00A4142F" w:rsidRPr="00557D58">
        <w:t>Author’s comments on the State party’s observations</w:t>
      </w:r>
    </w:p>
    <w:p w14:paraId="5BBC72C6" w14:textId="77777777" w:rsidR="001B5FD4" w:rsidRPr="00557D58" w:rsidRDefault="00A4142F" w:rsidP="00856840">
      <w:pPr>
        <w:pStyle w:val="SingleTxtG"/>
        <w:rPr>
          <w:lang w:val="en-GB"/>
        </w:rPr>
      </w:pPr>
      <w:r w:rsidRPr="00557D58">
        <w:rPr>
          <w:lang w:val="en-GB"/>
        </w:rPr>
        <w:t>5.1</w:t>
      </w:r>
      <w:r w:rsidRPr="00557D58">
        <w:rPr>
          <w:lang w:val="en-GB"/>
        </w:rPr>
        <w:tab/>
      </w:r>
      <w:r w:rsidR="001B5FD4" w:rsidRPr="00557D58">
        <w:rPr>
          <w:lang w:val="en-GB"/>
        </w:rPr>
        <w:t xml:space="preserve">On </w:t>
      </w:r>
      <w:r w:rsidR="00EC0BB9" w:rsidRPr="00557D58">
        <w:rPr>
          <w:lang w:val="en-GB"/>
        </w:rPr>
        <w:t xml:space="preserve">11 September </w:t>
      </w:r>
      <w:r w:rsidR="001B5FD4" w:rsidRPr="00557D58">
        <w:rPr>
          <w:lang w:val="en-GB"/>
        </w:rPr>
        <w:t>2014, the author submits that</w:t>
      </w:r>
      <w:r w:rsidR="00B9170F">
        <w:rPr>
          <w:lang w:val="en-GB"/>
        </w:rPr>
        <w:t>,</w:t>
      </w:r>
      <w:r w:rsidR="001B5FD4" w:rsidRPr="00557D58">
        <w:rPr>
          <w:lang w:val="en-GB"/>
        </w:rPr>
        <w:t xml:space="preserve"> in her communication, she has set out a detailed and consistent account of a campaign of persecution by the State party’s authorities directed against her as a result of her human rights activities, which lasted from early 2002 until the author was forced to leave Uzbekistan in March 2009. It involved</w:t>
      </w:r>
      <w:r w:rsidR="00B9170F">
        <w:rPr>
          <w:lang w:val="en-GB"/>
        </w:rPr>
        <w:t>,</w:t>
      </w:r>
      <w:r w:rsidR="001B5FD4" w:rsidRPr="00557D58">
        <w:rPr>
          <w:lang w:val="en-GB"/>
        </w:rPr>
        <w:t xml:space="preserve"> </w:t>
      </w:r>
      <w:r w:rsidR="001B5FD4" w:rsidRPr="00895641">
        <w:rPr>
          <w:lang w:val="en-GB"/>
        </w:rPr>
        <w:t>inter alia</w:t>
      </w:r>
      <w:r w:rsidR="00B9170F">
        <w:rPr>
          <w:lang w:val="en-GB"/>
        </w:rPr>
        <w:t>,</w:t>
      </w:r>
      <w:r w:rsidR="001B5FD4" w:rsidRPr="00557D58">
        <w:rPr>
          <w:i/>
          <w:iCs/>
          <w:lang w:val="en-GB"/>
        </w:rPr>
        <w:t xml:space="preserve"> </w:t>
      </w:r>
      <w:r w:rsidR="001B5FD4" w:rsidRPr="00557D58">
        <w:rPr>
          <w:lang w:val="en-GB"/>
        </w:rPr>
        <w:t xml:space="preserve">arbitrary arrest and unlawful detention, torture and other forms of cruel, inhuman or degrading treatment or punishment and a violation of her right to a fair trial. She substantiates her account of these violations </w:t>
      </w:r>
      <w:r w:rsidR="00B9170F">
        <w:rPr>
          <w:lang w:val="en-GB"/>
        </w:rPr>
        <w:t>with</w:t>
      </w:r>
      <w:r w:rsidR="00B9170F" w:rsidRPr="00557D58">
        <w:rPr>
          <w:lang w:val="en-GB"/>
        </w:rPr>
        <w:t xml:space="preserve"> </w:t>
      </w:r>
      <w:r w:rsidR="001B5FD4" w:rsidRPr="00557D58">
        <w:rPr>
          <w:lang w:val="en-GB"/>
        </w:rPr>
        <w:t>medical and psychological reports, witnesses’ testimonies</w:t>
      </w:r>
      <w:r w:rsidR="00B9170F">
        <w:rPr>
          <w:lang w:val="en-GB"/>
        </w:rPr>
        <w:t xml:space="preserve"> and</w:t>
      </w:r>
      <w:r w:rsidR="001B5FD4" w:rsidRPr="00557D58">
        <w:rPr>
          <w:lang w:val="en-GB"/>
        </w:rPr>
        <w:t xml:space="preserve"> copies of court orders, decisions </w:t>
      </w:r>
      <w:r w:rsidR="00B9170F">
        <w:rPr>
          <w:lang w:val="en-GB"/>
        </w:rPr>
        <w:t>of the</w:t>
      </w:r>
      <w:r w:rsidR="001B5FD4" w:rsidRPr="00557D58">
        <w:rPr>
          <w:lang w:val="en-GB"/>
        </w:rPr>
        <w:t xml:space="preserve"> authorities dismissing her complaints, judg</w:t>
      </w:r>
      <w:r w:rsidR="00B9170F">
        <w:rPr>
          <w:lang w:val="en-GB"/>
        </w:rPr>
        <w:t>e</w:t>
      </w:r>
      <w:r w:rsidR="001B5FD4" w:rsidRPr="00557D58">
        <w:rPr>
          <w:lang w:val="en-GB"/>
        </w:rPr>
        <w:t xml:space="preserve">ments </w:t>
      </w:r>
      <w:r w:rsidR="00B9170F">
        <w:rPr>
          <w:lang w:val="en-GB"/>
        </w:rPr>
        <w:t xml:space="preserve">and </w:t>
      </w:r>
      <w:r w:rsidR="001B5FD4" w:rsidRPr="00557D58">
        <w:rPr>
          <w:lang w:val="en-GB"/>
        </w:rPr>
        <w:t xml:space="preserve">media articles and reports of non-governmental and international </w:t>
      </w:r>
      <w:r w:rsidR="00B9170F">
        <w:rPr>
          <w:lang w:val="en-GB"/>
        </w:rPr>
        <w:t>organizations</w:t>
      </w:r>
      <w:r w:rsidR="001B5FD4" w:rsidRPr="00557D58">
        <w:rPr>
          <w:lang w:val="en-GB"/>
        </w:rPr>
        <w:t>, including the U</w:t>
      </w:r>
      <w:r w:rsidR="00B9170F">
        <w:rPr>
          <w:lang w:val="en-GB"/>
        </w:rPr>
        <w:t xml:space="preserve">nited </w:t>
      </w:r>
      <w:r w:rsidR="001B5FD4" w:rsidRPr="00557D58">
        <w:rPr>
          <w:lang w:val="en-GB"/>
        </w:rPr>
        <w:t>N</w:t>
      </w:r>
      <w:r w:rsidR="00B9170F">
        <w:rPr>
          <w:lang w:val="en-GB"/>
        </w:rPr>
        <w:t>ations</w:t>
      </w:r>
      <w:r w:rsidR="001B5FD4" w:rsidRPr="00557D58">
        <w:rPr>
          <w:lang w:val="en-GB"/>
        </w:rPr>
        <w:t>.</w:t>
      </w:r>
    </w:p>
    <w:p w14:paraId="678BEE45" w14:textId="77777777" w:rsidR="001B5FD4" w:rsidRPr="00557D58" w:rsidRDefault="0071085C" w:rsidP="00B140C8">
      <w:pPr>
        <w:pStyle w:val="SingleTxtG"/>
        <w:rPr>
          <w:b/>
          <w:bCs/>
          <w:i/>
          <w:iCs/>
          <w:lang w:val="en-GB"/>
        </w:rPr>
      </w:pPr>
      <w:r w:rsidRPr="00557D58">
        <w:rPr>
          <w:lang w:val="en-GB"/>
        </w:rPr>
        <w:t>5.2</w:t>
      </w:r>
      <w:r w:rsidRPr="00557D58">
        <w:rPr>
          <w:lang w:val="en-GB"/>
        </w:rPr>
        <w:tab/>
      </w:r>
      <w:r w:rsidR="001B5FD4" w:rsidRPr="00557D58">
        <w:rPr>
          <w:lang w:val="en-GB"/>
        </w:rPr>
        <w:t xml:space="preserve">The author submits that the State </w:t>
      </w:r>
      <w:r w:rsidR="00052602" w:rsidRPr="00895641">
        <w:rPr>
          <w:lang w:val="en-GB"/>
        </w:rPr>
        <w:t>p</w:t>
      </w:r>
      <w:r w:rsidR="001B5FD4" w:rsidRPr="00557D58">
        <w:rPr>
          <w:lang w:val="en-GB"/>
        </w:rPr>
        <w:t>arty</w:t>
      </w:r>
      <w:r w:rsidRPr="00557D58">
        <w:rPr>
          <w:lang w:val="en-GB"/>
        </w:rPr>
        <w:t>’s</w:t>
      </w:r>
      <w:r w:rsidR="001B5FD4" w:rsidRPr="00557D58">
        <w:rPr>
          <w:lang w:val="en-GB"/>
        </w:rPr>
        <w:t xml:space="preserve"> observations consisted in an outright denial</w:t>
      </w:r>
      <w:r w:rsidRPr="00557D58">
        <w:rPr>
          <w:lang w:val="en-GB"/>
        </w:rPr>
        <w:t xml:space="preserve"> of her allegations</w:t>
      </w:r>
      <w:r w:rsidR="008A4B12">
        <w:rPr>
          <w:lang w:val="en-GB"/>
        </w:rPr>
        <w:t xml:space="preserve"> and</w:t>
      </w:r>
      <w:r w:rsidRPr="00557D58">
        <w:rPr>
          <w:lang w:val="en-GB"/>
        </w:rPr>
        <w:t xml:space="preserve"> that the</w:t>
      </w:r>
      <w:r w:rsidR="001B5FD4" w:rsidRPr="00557D58">
        <w:rPr>
          <w:lang w:val="en-GB"/>
        </w:rPr>
        <w:t xml:space="preserve"> State party has not adduced any relevant evidence in support of its account </w:t>
      </w:r>
      <w:r w:rsidRPr="00557D58">
        <w:rPr>
          <w:lang w:val="en-GB"/>
        </w:rPr>
        <w:t>and</w:t>
      </w:r>
      <w:r w:rsidR="001B5FD4" w:rsidRPr="00557D58">
        <w:rPr>
          <w:lang w:val="en-GB"/>
        </w:rPr>
        <w:t xml:space="preserve"> did not address the evidence submitted by the author. The author notes that the State </w:t>
      </w:r>
      <w:r w:rsidR="00B9170F">
        <w:rPr>
          <w:lang w:val="en-GB"/>
        </w:rPr>
        <w:t>p</w:t>
      </w:r>
      <w:r w:rsidR="001B5FD4" w:rsidRPr="00557D58">
        <w:rPr>
          <w:lang w:val="en-GB"/>
        </w:rPr>
        <w:t xml:space="preserve">arty chose not to address a number of violations highlighted in her complaint, in particular </w:t>
      </w:r>
      <w:r w:rsidRPr="00557D58">
        <w:rPr>
          <w:lang w:val="en-GB"/>
        </w:rPr>
        <w:t>t</w:t>
      </w:r>
      <w:r w:rsidR="001B5FD4" w:rsidRPr="00557D58">
        <w:rPr>
          <w:lang w:val="en-GB"/>
        </w:rPr>
        <w:t xml:space="preserve">he lack of access to her family and her lawyers during her imprisonment in the </w:t>
      </w:r>
      <w:r w:rsidR="001B5FD4" w:rsidRPr="008A4B12">
        <w:rPr>
          <w:lang w:val="en-GB"/>
        </w:rPr>
        <w:t>women’s colony</w:t>
      </w:r>
      <w:r w:rsidR="001B5FD4" w:rsidRPr="00557D58">
        <w:rPr>
          <w:lang w:val="en-GB"/>
        </w:rPr>
        <w:t xml:space="preserve"> in violation of </w:t>
      </w:r>
      <w:r w:rsidR="00080FAC" w:rsidRPr="00557D58">
        <w:rPr>
          <w:lang w:val="en-GB"/>
        </w:rPr>
        <w:t>a</w:t>
      </w:r>
      <w:r w:rsidR="001B5FD4" w:rsidRPr="00557D58">
        <w:rPr>
          <w:lang w:val="en-GB"/>
        </w:rPr>
        <w:t>rticles 7 and 10</w:t>
      </w:r>
      <w:r w:rsidR="00B9170F">
        <w:rPr>
          <w:lang w:val="en-GB"/>
        </w:rPr>
        <w:t xml:space="preserve"> and</w:t>
      </w:r>
      <w:r w:rsidR="001B5FD4" w:rsidRPr="00557D58">
        <w:rPr>
          <w:lang w:val="en-GB"/>
        </w:rPr>
        <w:t xml:space="preserve"> </w:t>
      </w:r>
      <w:r w:rsidRPr="00557D58">
        <w:rPr>
          <w:lang w:val="en-GB"/>
        </w:rPr>
        <w:t>t</w:t>
      </w:r>
      <w:r w:rsidR="001B5FD4" w:rsidRPr="00557D58">
        <w:rPr>
          <w:lang w:val="en-GB"/>
        </w:rPr>
        <w:t xml:space="preserve">he violation of </w:t>
      </w:r>
      <w:r w:rsidR="00080FAC" w:rsidRPr="00557D58">
        <w:rPr>
          <w:lang w:val="en-GB"/>
        </w:rPr>
        <w:t>a</w:t>
      </w:r>
      <w:r w:rsidR="001B5FD4" w:rsidRPr="00557D58">
        <w:rPr>
          <w:lang w:val="en-GB"/>
        </w:rPr>
        <w:t>rticles 17, 19</w:t>
      </w:r>
      <w:r w:rsidR="00B9170F">
        <w:rPr>
          <w:lang w:val="en-GB"/>
        </w:rPr>
        <w:t>-</w:t>
      </w:r>
      <w:r w:rsidR="001B5FD4" w:rsidRPr="00557D58">
        <w:rPr>
          <w:lang w:val="en-GB"/>
        </w:rPr>
        <w:t xml:space="preserve">21 and 26. </w:t>
      </w:r>
    </w:p>
    <w:p w14:paraId="7E40ACD2" w14:textId="77777777" w:rsidR="00BC080D" w:rsidRPr="00557D58" w:rsidRDefault="0071085C">
      <w:pPr>
        <w:pStyle w:val="SingleTxtG"/>
        <w:rPr>
          <w:lang w:val="en-GB"/>
        </w:rPr>
      </w:pPr>
      <w:r w:rsidRPr="00557D58">
        <w:rPr>
          <w:lang w:val="en-GB"/>
        </w:rPr>
        <w:t>5.3</w:t>
      </w:r>
      <w:r w:rsidRPr="00557D58">
        <w:rPr>
          <w:lang w:val="en-GB"/>
        </w:rPr>
        <w:tab/>
      </w:r>
      <w:r w:rsidR="004204BA" w:rsidRPr="00557D58">
        <w:rPr>
          <w:lang w:val="en-GB"/>
        </w:rPr>
        <w:t>In response to the State party’s denial that</w:t>
      </w:r>
      <w:r w:rsidR="001B5FD4" w:rsidRPr="00557D58">
        <w:rPr>
          <w:lang w:val="en-GB"/>
        </w:rPr>
        <w:t xml:space="preserve"> the </w:t>
      </w:r>
      <w:r w:rsidR="00406AFE" w:rsidRPr="00557D58">
        <w:rPr>
          <w:lang w:val="en-GB"/>
        </w:rPr>
        <w:t>a</w:t>
      </w:r>
      <w:r w:rsidR="001B5FD4" w:rsidRPr="00557D58">
        <w:rPr>
          <w:lang w:val="en-GB"/>
        </w:rPr>
        <w:t xml:space="preserve">uthor </w:t>
      </w:r>
      <w:r w:rsidR="00BC080D" w:rsidRPr="00557D58">
        <w:rPr>
          <w:lang w:val="en-GB"/>
        </w:rPr>
        <w:t>has been</w:t>
      </w:r>
      <w:r w:rsidR="001B5FD4" w:rsidRPr="00557D58">
        <w:rPr>
          <w:lang w:val="en-GB"/>
        </w:rPr>
        <w:t xml:space="preserve"> subjected to torture or any other form of ill</w:t>
      </w:r>
      <w:r w:rsidR="001B5FD4" w:rsidRPr="00557D58">
        <w:rPr>
          <w:rFonts w:ascii="Cambria Math" w:hAnsi="Cambria Math" w:cs="Cambria Math"/>
          <w:lang w:val="en-GB"/>
        </w:rPr>
        <w:t>‐</w:t>
      </w:r>
      <w:r w:rsidR="001B5FD4" w:rsidRPr="00557D58">
        <w:rPr>
          <w:lang w:val="en-GB"/>
        </w:rPr>
        <w:t>treatment</w:t>
      </w:r>
      <w:r w:rsidR="0066030E" w:rsidRPr="00557D58">
        <w:rPr>
          <w:lang w:val="en-GB"/>
        </w:rPr>
        <w:t xml:space="preserve">, </w:t>
      </w:r>
      <w:r w:rsidR="008D6530" w:rsidRPr="00557D58">
        <w:rPr>
          <w:lang w:val="en-GB"/>
        </w:rPr>
        <w:t>she</w:t>
      </w:r>
      <w:r w:rsidR="001B5FD4" w:rsidRPr="00557D58">
        <w:rPr>
          <w:lang w:val="en-GB"/>
        </w:rPr>
        <w:t xml:space="preserve"> provide</w:t>
      </w:r>
      <w:r w:rsidR="00FB3196">
        <w:rPr>
          <w:lang w:val="en-GB"/>
        </w:rPr>
        <w:t>s</w:t>
      </w:r>
      <w:r w:rsidR="001B5FD4" w:rsidRPr="00557D58">
        <w:rPr>
          <w:lang w:val="en-GB"/>
        </w:rPr>
        <w:t xml:space="preserve"> a detailed account of the different types of persecution</w:t>
      </w:r>
      <w:r w:rsidR="00B9170F">
        <w:rPr>
          <w:lang w:val="en-GB"/>
        </w:rPr>
        <w:t xml:space="preserve"> to which</w:t>
      </w:r>
      <w:r w:rsidR="001B5FD4" w:rsidRPr="00557D58">
        <w:rPr>
          <w:lang w:val="en-GB"/>
        </w:rPr>
        <w:t xml:space="preserve"> she was subjected by State officials from 2002 to 2005, ranging from repeated arbitrary arrest and unlawful detention to gang</w:t>
      </w:r>
      <w:r w:rsidR="00B9170F">
        <w:rPr>
          <w:lang w:val="en-GB"/>
        </w:rPr>
        <w:t xml:space="preserve"> </w:t>
      </w:r>
      <w:r w:rsidR="001B5FD4" w:rsidRPr="00557D58">
        <w:rPr>
          <w:lang w:val="en-GB"/>
        </w:rPr>
        <w:t xml:space="preserve">rape, beatings, threats and other forms of torture and of ill-treatment. The </w:t>
      </w:r>
      <w:r w:rsidR="00080FAC" w:rsidRPr="00557D58">
        <w:rPr>
          <w:lang w:val="en-GB"/>
        </w:rPr>
        <w:t>a</w:t>
      </w:r>
      <w:r w:rsidR="001B5FD4" w:rsidRPr="00557D58">
        <w:rPr>
          <w:lang w:val="en-GB"/>
        </w:rPr>
        <w:t>uthor’s account is supported by detailed, consistent and multiple</w:t>
      </w:r>
      <w:r w:rsidR="00B9170F">
        <w:rPr>
          <w:lang w:val="en-GB"/>
        </w:rPr>
        <w:t xml:space="preserve"> pieces of</w:t>
      </w:r>
      <w:r w:rsidR="001B5FD4" w:rsidRPr="00557D58">
        <w:rPr>
          <w:lang w:val="en-GB"/>
        </w:rPr>
        <w:t xml:space="preserve"> evidence</w:t>
      </w:r>
      <w:r w:rsidR="008D6530" w:rsidRPr="00895641">
        <w:rPr>
          <w:lang w:val="en-GB"/>
        </w:rPr>
        <w:t xml:space="preserve">, </w:t>
      </w:r>
      <w:r w:rsidR="001B5FD4" w:rsidRPr="00557D58">
        <w:rPr>
          <w:lang w:val="en-GB"/>
        </w:rPr>
        <w:t>includ</w:t>
      </w:r>
      <w:r w:rsidR="008D6530" w:rsidRPr="00895641">
        <w:rPr>
          <w:lang w:val="en-GB"/>
        </w:rPr>
        <w:t>in</w:t>
      </w:r>
      <w:r w:rsidR="008D6530" w:rsidRPr="00557D58">
        <w:rPr>
          <w:lang w:val="en-GB"/>
        </w:rPr>
        <w:t>g</w:t>
      </w:r>
      <w:r w:rsidR="001B5FD4" w:rsidRPr="00557D58">
        <w:rPr>
          <w:lang w:val="en-GB"/>
        </w:rPr>
        <w:t xml:space="preserve"> the </w:t>
      </w:r>
      <w:r w:rsidR="00080FAC" w:rsidRPr="00557D58">
        <w:rPr>
          <w:lang w:val="en-GB"/>
        </w:rPr>
        <w:t>a</w:t>
      </w:r>
      <w:r w:rsidR="001B5FD4" w:rsidRPr="00557D58">
        <w:rPr>
          <w:lang w:val="en-GB"/>
        </w:rPr>
        <w:t>uthor’s affidavit in which she identified the perpetrators of her ill</w:t>
      </w:r>
      <w:r w:rsidR="001B5FD4" w:rsidRPr="00557D58">
        <w:rPr>
          <w:rFonts w:ascii="Cambria Math" w:hAnsi="Cambria Math" w:cs="Cambria Math"/>
          <w:lang w:val="en-GB"/>
        </w:rPr>
        <w:t>‐</w:t>
      </w:r>
      <w:r w:rsidR="001B5FD4" w:rsidRPr="00557D58">
        <w:rPr>
          <w:lang w:val="en-GB"/>
        </w:rPr>
        <w:t xml:space="preserve">treatment, a </w:t>
      </w:r>
      <w:r w:rsidR="00B9170F">
        <w:rPr>
          <w:lang w:val="en-GB"/>
        </w:rPr>
        <w:t>c</w:t>
      </w:r>
      <w:r w:rsidR="001B5FD4" w:rsidRPr="00557D58">
        <w:rPr>
          <w:lang w:val="en-GB"/>
        </w:rPr>
        <w:t xml:space="preserve">ourt order of 5 September 2002 to open an investigation against those responsible for the </w:t>
      </w:r>
      <w:r w:rsidR="00080FAC" w:rsidRPr="00557D58">
        <w:rPr>
          <w:lang w:val="en-GB"/>
        </w:rPr>
        <w:t>a</w:t>
      </w:r>
      <w:r w:rsidR="001B5FD4" w:rsidRPr="00557D58">
        <w:rPr>
          <w:lang w:val="en-GB"/>
        </w:rPr>
        <w:t xml:space="preserve">uthor’s arrest and ill-treatment, photographs of the </w:t>
      </w:r>
      <w:r w:rsidR="00080FAC" w:rsidRPr="00557D58">
        <w:rPr>
          <w:lang w:val="en-GB"/>
        </w:rPr>
        <w:t>a</w:t>
      </w:r>
      <w:r w:rsidR="001B5FD4" w:rsidRPr="00557D58">
        <w:rPr>
          <w:lang w:val="en-GB"/>
        </w:rPr>
        <w:t>uthor’s injuries,</w:t>
      </w:r>
      <w:r w:rsidR="00CB5E70" w:rsidRPr="00557D58">
        <w:rPr>
          <w:lang w:val="en-GB"/>
        </w:rPr>
        <w:t xml:space="preserve"> </w:t>
      </w:r>
      <w:r w:rsidR="001B5FD4" w:rsidRPr="00557D58">
        <w:rPr>
          <w:lang w:val="en-GB"/>
        </w:rPr>
        <w:t xml:space="preserve">media articles </w:t>
      </w:r>
      <w:r w:rsidR="00B140C8">
        <w:rPr>
          <w:lang w:val="en-GB"/>
        </w:rPr>
        <w:t xml:space="preserve">and </w:t>
      </w:r>
      <w:r w:rsidR="001B5FD4" w:rsidRPr="00557D58">
        <w:rPr>
          <w:lang w:val="en-GB"/>
        </w:rPr>
        <w:t xml:space="preserve">a reference to one of the incidents in the </w:t>
      </w:r>
      <w:r w:rsidR="00080FAC" w:rsidRPr="00557D58">
        <w:rPr>
          <w:lang w:val="en-GB"/>
        </w:rPr>
        <w:t>r</w:t>
      </w:r>
      <w:r w:rsidR="001B5FD4" w:rsidRPr="00557D58">
        <w:rPr>
          <w:lang w:val="en-GB"/>
        </w:rPr>
        <w:t xml:space="preserve">eport of the Special Rapporteur on </w:t>
      </w:r>
      <w:r w:rsidR="00B140C8">
        <w:rPr>
          <w:lang w:val="en-GB"/>
        </w:rPr>
        <w:t>t</w:t>
      </w:r>
      <w:r w:rsidR="001B5FD4" w:rsidRPr="00557D58">
        <w:rPr>
          <w:lang w:val="en-GB"/>
        </w:rPr>
        <w:t>orture</w:t>
      </w:r>
      <w:r w:rsidR="00B140C8">
        <w:rPr>
          <w:lang w:val="en-GB"/>
        </w:rPr>
        <w:t xml:space="preserve"> and other cruel, inhuman or degrading treatment or punishment</w:t>
      </w:r>
      <w:r w:rsidR="001B5FD4" w:rsidRPr="00557D58">
        <w:rPr>
          <w:lang w:val="en-GB"/>
        </w:rPr>
        <w:t xml:space="preserve"> following his mission to Uzbekistan</w:t>
      </w:r>
      <w:r w:rsidR="00B140C8">
        <w:rPr>
          <w:lang w:val="en-GB"/>
        </w:rPr>
        <w:t xml:space="preserve"> (see </w:t>
      </w:r>
      <w:r w:rsidR="00B140C8" w:rsidRPr="00600471">
        <w:rPr>
          <w:lang w:val="en-GB"/>
        </w:rPr>
        <w:t>A/HRC/7/3/Add.</w:t>
      </w:r>
      <w:r w:rsidR="00600471" w:rsidRPr="00895641">
        <w:rPr>
          <w:lang w:val="en-GB"/>
        </w:rPr>
        <w:t>1</w:t>
      </w:r>
      <w:r w:rsidR="00B140C8" w:rsidRPr="00600471">
        <w:rPr>
          <w:lang w:val="en-GB"/>
        </w:rPr>
        <w:t>)</w:t>
      </w:r>
      <w:r w:rsidR="001B5FD4" w:rsidRPr="00600471">
        <w:rPr>
          <w:lang w:val="en-GB"/>
        </w:rPr>
        <w:t>.</w:t>
      </w:r>
      <w:r w:rsidR="001B5FD4" w:rsidRPr="00557D58">
        <w:rPr>
          <w:lang w:val="en-GB"/>
        </w:rPr>
        <w:t xml:space="preserve"> </w:t>
      </w:r>
    </w:p>
    <w:p w14:paraId="1232F9BD" w14:textId="77777777" w:rsidR="001B5FD4" w:rsidRPr="00557D58" w:rsidRDefault="00BC080D" w:rsidP="001B5FD4">
      <w:pPr>
        <w:pStyle w:val="SingleTxtG"/>
        <w:rPr>
          <w:lang w:val="en-GB"/>
        </w:rPr>
      </w:pPr>
      <w:r w:rsidRPr="00557D58">
        <w:rPr>
          <w:lang w:val="en-GB"/>
        </w:rPr>
        <w:t>5.4</w:t>
      </w:r>
      <w:r w:rsidRPr="00557D58">
        <w:rPr>
          <w:lang w:val="en-GB"/>
        </w:rPr>
        <w:tab/>
      </w:r>
      <w:r w:rsidR="001B5FD4" w:rsidRPr="00557D58">
        <w:rPr>
          <w:lang w:val="en-GB"/>
        </w:rPr>
        <w:t xml:space="preserve">The State </w:t>
      </w:r>
      <w:r w:rsidR="00080FAC" w:rsidRPr="00557D58">
        <w:rPr>
          <w:lang w:val="en-GB"/>
        </w:rPr>
        <w:t>p</w:t>
      </w:r>
      <w:r w:rsidR="001B5FD4" w:rsidRPr="00557D58">
        <w:rPr>
          <w:lang w:val="en-GB"/>
        </w:rPr>
        <w:t xml:space="preserve">arty dismisses the </w:t>
      </w:r>
      <w:r w:rsidR="00080FAC" w:rsidRPr="00557D58">
        <w:rPr>
          <w:lang w:val="en-GB"/>
        </w:rPr>
        <w:t>a</w:t>
      </w:r>
      <w:r w:rsidR="001B5FD4" w:rsidRPr="00557D58">
        <w:rPr>
          <w:lang w:val="en-GB"/>
        </w:rPr>
        <w:t>uthor’s account of her gang</w:t>
      </w:r>
      <w:r w:rsidR="00B140C8">
        <w:rPr>
          <w:rFonts w:ascii="Cambria Math" w:hAnsi="Cambria Math" w:cs="Cambria Math"/>
          <w:lang w:val="en-GB"/>
        </w:rPr>
        <w:t xml:space="preserve"> </w:t>
      </w:r>
      <w:r w:rsidR="001B5FD4" w:rsidRPr="00557D58">
        <w:rPr>
          <w:lang w:val="en-GB"/>
        </w:rPr>
        <w:t>rape by three security officers</w:t>
      </w:r>
      <w:r w:rsidRPr="00557D58">
        <w:rPr>
          <w:lang w:val="en-GB"/>
        </w:rPr>
        <w:t>.</w:t>
      </w:r>
      <w:r w:rsidR="001B5FD4" w:rsidRPr="00557D58">
        <w:rPr>
          <w:lang w:val="en-GB"/>
        </w:rPr>
        <w:t xml:space="preserve"> The </w:t>
      </w:r>
      <w:r w:rsidR="00080FAC" w:rsidRPr="00557D58">
        <w:rPr>
          <w:lang w:val="en-GB"/>
        </w:rPr>
        <w:t>a</w:t>
      </w:r>
      <w:r w:rsidR="001B5FD4" w:rsidRPr="00557D58">
        <w:rPr>
          <w:lang w:val="en-GB"/>
        </w:rPr>
        <w:t>uthor provided a detailed account of the rape in her testimony. In</w:t>
      </w:r>
      <w:r w:rsidR="00B140C8">
        <w:rPr>
          <w:lang w:val="en-GB"/>
        </w:rPr>
        <w:t xml:space="preserve"> the</w:t>
      </w:r>
      <w:r w:rsidR="001B5FD4" w:rsidRPr="00557D58">
        <w:rPr>
          <w:lang w:val="en-GB"/>
        </w:rPr>
        <w:t xml:space="preserve"> light of the challenges in documenting acts of rape, particularly rape in detention, the </w:t>
      </w:r>
      <w:r w:rsidR="00080FAC" w:rsidRPr="00557D58">
        <w:rPr>
          <w:lang w:val="en-GB"/>
        </w:rPr>
        <w:t>a</w:t>
      </w:r>
      <w:r w:rsidR="001B5FD4" w:rsidRPr="00557D58">
        <w:rPr>
          <w:lang w:val="en-GB"/>
        </w:rPr>
        <w:t xml:space="preserve">uthor’s testimony </w:t>
      </w:r>
      <w:r w:rsidR="002A101E" w:rsidRPr="00895641">
        <w:rPr>
          <w:lang w:val="en-GB"/>
        </w:rPr>
        <w:t>constitutes</w:t>
      </w:r>
      <w:r w:rsidR="002A101E" w:rsidRPr="00557D58">
        <w:rPr>
          <w:lang w:val="en-GB"/>
        </w:rPr>
        <w:t xml:space="preserve"> </w:t>
      </w:r>
      <w:r w:rsidR="001B5FD4" w:rsidRPr="00557D58">
        <w:rPr>
          <w:lang w:val="en-GB"/>
        </w:rPr>
        <w:t>sufficient</w:t>
      </w:r>
      <w:r w:rsidR="002A101E" w:rsidRPr="00895641">
        <w:rPr>
          <w:lang w:val="en-GB"/>
        </w:rPr>
        <w:t xml:space="preserve"> </w:t>
      </w:r>
      <w:r w:rsidR="001B5FD4" w:rsidRPr="00557D58">
        <w:rPr>
          <w:lang w:val="en-GB"/>
        </w:rPr>
        <w:t xml:space="preserve">evidence. There is no </w:t>
      </w:r>
      <w:r w:rsidR="00FE7FA8" w:rsidRPr="00557D58">
        <w:rPr>
          <w:lang w:val="en-GB"/>
        </w:rPr>
        <w:t xml:space="preserve">indication </w:t>
      </w:r>
      <w:r w:rsidR="001B5FD4" w:rsidRPr="00557D58">
        <w:rPr>
          <w:lang w:val="en-GB"/>
        </w:rPr>
        <w:t>that the State</w:t>
      </w:r>
      <w:r w:rsidR="00CB5E70" w:rsidRPr="00557D58">
        <w:rPr>
          <w:lang w:val="en-GB"/>
        </w:rPr>
        <w:t xml:space="preserve"> </w:t>
      </w:r>
      <w:r w:rsidR="00635F28" w:rsidRPr="00557D58">
        <w:rPr>
          <w:lang w:val="en-GB"/>
        </w:rPr>
        <w:t>p</w:t>
      </w:r>
      <w:r w:rsidR="001B5FD4" w:rsidRPr="00557D58">
        <w:rPr>
          <w:lang w:val="en-GB"/>
        </w:rPr>
        <w:t xml:space="preserve">arty carried out any effective and impartial investigation into the alleged incidents. </w:t>
      </w:r>
    </w:p>
    <w:p w14:paraId="48A38E78" w14:textId="77777777" w:rsidR="001B5FD4" w:rsidRPr="00557D58" w:rsidRDefault="00BC080D" w:rsidP="00E77EE3">
      <w:pPr>
        <w:pStyle w:val="SingleTxtG"/>
        <w:rPr>
          <w:lang w:val="en-GB"/>
        </w:rPr>
      </w:pPr>
      <w:r w:rsidRPr="00557D58">
        <w:rPr>
          <w:lang w:val="en-GB"/>
        </w:rPr>
        <w:lastRenderedPageBreak/>
        <w:t>5.5</w:t>
      </w:r>
      <w:r w:rsidRPr="00557D58">
        <w:rPr>
          <w:lang w:val="en-GB"/>
        </w:rPr>
        <w:tab/>
      </w:r>
      <w:r w:rsidR="001B5FD4" w:rsidRPr="00557D58">
        <w:rPr>
          <w:lang w:val="en-GB"/>
        </w:rPr>
        <w:t xml:space="preserve">The State </w:t>
      </w:r>
      <w:r w:rsidR="00B140C8">
        <w:rPr>
          <w:lang w:val="en-GB"/>
        </w:rPr>
        <w:t>p</w:t>
      </w:r>
      <w:r w:rsidR="001B5FD4" w:rsidRPr="00557D58">
        <w:rPr>
          <w:lang w:val="en-GB"/>
        </w:rPr>
        <w:t xml:space="preserve">arty submits that the </w:t>
      </w:r>
      <w:r w:rsidR="00635F28" w:rsidRPr="00557D58">
        <w:rPr>
          <w:lang w:val="en-GB"/>
        </w:rPr>
        <w:t>a</w:t>
      </w:r>
      <w:r w:rsidR="001B5FD4" w:rsidRPr="00557D58">
        <w:rPr>
          <w:lang w:val="en-GB"/>
        </w:rPr>
        <w:t xml:space="preserve">uthor was arrested on 6 October 2005 and, after having been charged on 8 May 2005 with crimes under </w:t>
      </w:r>
      <w:r w:rsidR="00635F28" w:rsidRPr="00557D58">
        <w:rPr>
          <w:lang w:val="en-GB"/>
        </w:rPr>
        <w:t>a</w:t>
      </w:r>
      <w:r w:rsidR="001B5FD4" w:rsidRPr="00557D58">
        <w:rPr>
          <w:lang w:val="en-GB"/>
        </w:rPr>
        <w:t>rticle</w:t>
      </w:r>
      <w:r w:rsidR="00635F28" w:rsidRPr="00557D58">
        <w:rPr>
          <w:lang w:val="en-GB"/>
        </w:rPr>
        <w:t>s</w:t>
      </w:r>
      <w:r w:rsidR="001B5FD4" w:rsidRPr="00557D58">
        <w:rPr>
          <w:lang w:val="en-GB"/>
        </w:rPr>
        <w:t xml:space="preserve"> 165 and 168 of the Criminal Code, she was ordered to be placed </w:t>
      </w:r>
      <w:r w:rsidR="00B140C8">
        <w:rPr>
          <w:lang w:val="en-GB"/>
        </w:rPr>
        <w:t>in</w:t>
      </w:r>
      <w:r w:rsidR="00B140C8" w:rsidRPr="00557D58">
        <w:rPr>
          <w:lang w:val="en-GB"/>
        </w:rPr>
        <w:t xml:space="preserve"> </w:t>
      </w:r>
      <w:r w:rsidR="001B5FD4" w:rsidRPr="00557D58">
        <w:rPr>
          <w:lang w:val="en-GB"/>
        </w:rPr>
        <w:t xml:space="preserve">detention. According to the State </w:t>
      </w:r>
      <w:r w:rsidR="00635F28" w:rsidRPr="00557D58">
        <w:rPr>
          <w:lang w:val="en-GB"/>
        </w:rPr>
        <w:t>p</w:t>
      </w:r>
      <w:r w:rsidR="001B5FD4" w:rsidRPr="00557D58">
        <w:rPr>
          <w:lang w:val="en-GB"/>
        </w:rPr>
        <w:t xml:space="preserve">arty, however, she was transferred to </w:t>
      </w:r>
      <w:r w:rsidR="001B5FD4" w:rsidRPr="004C05A1">
        <w:rPr>
          <w:lang w:val="en-GB"/>
        </w:rPr>
        <w:t>F</w:t>
      </w:r>
      <w:r w:rsidR="000B71F4">
        <w:rPr>
          <w:lang w:val="en-GB"/>
        </w:rPr>
        <w:t xml:space="preserve">erghana </w:t>
      </w:r>
      <w:r w:rsidR="008D6530" w:rsidRPr="00895641">
        <w:rPr>
          <w:lang w:val="en-GB"/>
        </w:rPr>
        <w:t>R</w:t>
      </w:r>
      <w:r w:rsidR="000B71F4">
        <w:rPr>
          <w:lang w:val="en-GB"/>
        </w:rPr>
        <w:t xml:space="preserve">emand </w:t>
      </w:r>
      <w:r w:rsidR="008D6530" w:rsidRPr="00895641">
        <w:rPr>
          <w:lang w:val="en-GB"/>
        </w:rPr>
        <w:t>C</w:t>
      </w:r>
      <w:r w:rsidR="000B71F4">
        <w:rPr>
          <w:lang w:val="en-GB"/>
        </w:rPr>
        <w:t>entre</w:t>
      </w:r>
      <w:r w:rsidR="001B5FD4" w:rsidRPr="004C05A1">
        <w:rPr>
          <w:lang w:val="en-GB"/>
        </w:rPr>
        <w:t xml:space="preserve"> No.</w:t>
      </w:r>
      <w:r w:rsidR="00A2016E" w:rsidRPr="004C05A1">
        <w:rPr>
          <w:lang w:val="en-GB"/>
        </w:rPr>
        <w:t xml:space="preserve"> </w:t>
      </w:r>
      <w:r w:rsidR="001B5FD4" w:rsidRPr="004C05A1">
        <w:rPr>
          <w:lang w:val="en-GB"/>
        </w:rPr>
        <w:t>10</w:t>
      </w:r>
      <w:r w:rsidR="001B5FD4" w:rsidRPr="00557D58">
        <w:rPr>
          <w:lang w:val="en-GB"/>
        </w:rPr>
        <w:t xml:space="preserve"> only on 14 October 2005. While</w:t>
      </w:r>
      <w:r w:rsidR="00CB5E70" w:rsidRPr="00557D58">
        <w:rPr>
          <w:lang w:val="en-GB"/>
        </w:rPr>
        <w:t xml:space="preserve"> </w:t>
      </w:r>
      <w:r w:rsidR="001B5FD4" w:rsidRPr="00557D58">
        <w:rPr>
          <w:lang w:val="en-GB"/>
        </w:rPr>
        <w:t xml:space="preserve">the </w:t>
      </w:r>
      <w:r w:rsidR="00635F28" w:rsidRPr="00557D58">
        <w:rPr>
          <w:lang w:val="en-GB"/>
        </w:rPr>
        <w:t>a</w:t>
      </w:r>
      <w:r w:rsidR="001B5FD4" w:rsidRPr="00557D58">
        <w:rPr>
          <w:lang w:val="en-GB"/>
        </w:rPr>
        <w:t xml:space="preserve">uthor </w:t>
      </w:r>
      <w:r w:rsidRPr="00557D58">
        <w:rPr>
          <w:lang w:val="en-GB"/>
        </w:rPr>
        <w:t>maintains</w:t>
      </w:r>
      <w:r w:rsidR="001B5FD4" w:rsidRPr="00557D58">
        <w:rPr>
          <w:lang w:val="en-GB"/>
        </w:rPr>
        <w:t xml:space="preserve"> that she was transferred </w:t>
      </w:r>
      <w:r w:rsidR="00856840">
        <w:rPr>
          <w:lang w:val="en-GB"/>
        </w:rPr>
        <w:t xml:space="preserve">on </w:t>
      </w:r>
      <w:r w:rsidR="001B5FD4" w:rsidRPr="00557D58">
        <w:rPr>
          <w:lang w:val="en-GB"/>
        </w:rPr>
        <w:t xml:space="preserve">around 18 October 2005, </w:t>
      </w:r>
      <w:r w:rsidRPr="00557D58">
        <w:rPr>
          <w:lang w:val="en-GB"/>
        </w:rPr>
        <w:t>she</w:t>
      </w:r>
      <w:r w:rsidR="001B5FD4" w:rsidRPr="00557D58">
        <w:rPr>
          <w:lang w:val="en-GB"/>
        </w:rPr>
        <w:t xml:space="preserve"> notes that the State </w:t>
      </w:r>
      <w:r w:rsidR="00635F28" w:rsidRPr="00557D58">
        <w:rPr>
          <w:lang w:val="en-GB"/>
        </w:rPr>
        <w:t>p</w:t>
      </w:r>
      <w:r w:rsidR="001B5FD4" w:rsidRPr="00557D58">
        <w:rPr>
          <w:lang w:val="en-GB"/>
        </w:rPr>
        <w:t>arty admits that she was detained for eight days in a temporary holding cell, contrary to the Uzbek Code</w:t>
      </w:r>
      <w:r w:rsidR="00B140C8">
        <w:rPr>
          <w:lang w:val="en-GB"/>
        </w:rPr>
        <w:t xml:space="preserve"> of Criminal Procedure</w:t>
      </w:r>
      <w:r w:rsidR="001B5FD4" w:rsidRPr="00557D58">
        <w:rPr>
          <w:lang w:val="en-GB"/>
        </w:rPr>
        <w:t>, which require</w:t>
      </w:r>
      <w:r w:rsidRPr="00557D58">
        <w:rPr>
          <w:lang w:val="en-GB"/>
        </w:rPr>
        <w:t>s</w:t>
      </w:r>
      <w:r w:rsidR="001B5FD4" w:rsidRPr="00557D58">
        <w:rPr>
          <w:lang w:val="en-GB"/>
        </w:rPr>
        <w:t xml:space="preserve"> transfer from a temporary holding cell within </w:t>
      </w:r>
      <w:r w:rsidR="00635F28" w:rsidRPr="00557D58">
        <w:rPr>
          <w:lang w:val="en-GB"/>
        </w:rPr>
        <w:t>72 hours. The State p</w:t>
      </w:r>
      <w:r w:rsidR="001B5FD4" w:rsidRPr="00557D58">
        <w:rPr>
          <w:lang w:val="en-GB"/>
        </w:rPr>
        <w:t xml:space="preserve">arty appears to </w:t>
      </w:r>
      <w:r w:rsidR="00635F28" w:rsidRPr="00557D58">
        <w:rPr>
          <w:lang w:val="en-GB"/>
        </w:rPr>
        <w:t>acknowledge therefore that the a</w:t>
      </w:r>
      <w:r w:rsidR="001B5FD4" w:rsidRPr="00557D58">
        <w:rPr>
          <w:lang w:val="en-GB"/>
        </w:rPr>
        <w:t>uthor’s detention was unlawful</w:t>
      </w:r>
      <w:r w:rsidR="00B140C8">
        <w:rPr>
          <w:lang w:val="en-GB"/>
        </w:rPr>
        <w:t>,</w:t>
      </w:r>
      <w:r w:rsidR="001B5FD4" w:rsidRPr="00557D58">
        <w:rPr>
          <w:lang w:val="en-GB"/>
        </w:rPr>
        <w:t xml:space="preserve"> in violation</w:t>
      </w:r>
      <w:r w:rsidR="00CB5E70" w:rsidRPr="00557D58">
        <w:rPr>
          <w:lang w:val="en-GB"/>
        </w:rPr>
        <w:t xml:space="preserve"> </w:t>
      </w:r>
      <w:r w:rsidR="001B5FD4" w:rsidRPr="00557D58">
        <w:rPr>
          <w:lang w:val="en-GB"/>
        </w:rPr>
        <w:t xml:space="preserve">of </w:t>
      </w:r>
      <w:r w:rsidRPr="00557D58">
        <w:rPr>
          <w:lang w:val="en-GB"/>
        </w:rPr>
        <w:t>a</w:t>
      </w:r>
      <w:r w:rsidR="001B5FD4" w:rsidRPr="00557D58">
        <w:rPr>
          <w:lang w:val="en-GB"/>
        </w:rPr>
        <w:t>rticle 9 (1).</w:t>
      </w:r>
    </w:p>
    <w:p w14:paraId="459D5E05" w14:textId="77777777" w:rsidR="001B5FD4" w:rsidRPr="00557D58" w:rsidRDefault="00BC080D" w:rsidP="001B5FD4">
      <w:pPr>
        <w:pStyle w:val="SingleTxtG"/>
        <w:rPr>
          <w:lang w:val="en-GB"/>
        </w:rPr>
      </w:pPr>
      <w:r w:rsidRPr="00557D58">
        <w:rPr>
          <w:lang w:val="en-GB"/>
        </w:rPr>
        <w:t>5.6</w:t>
      </w:r>
      <w:r w:rsidRPr="00557D58">
        <w:rPr>
          <w:lang w:val="en-GB"/>
        </w:rPr>
        <w:tab/>
      </w:r>
      <w:r w:rsidR="001B5FD4" w:rsidRPr="00557D58">
        <w:rPr>
          <w:lang w:val="en-GB"/>
        </w:rPr>
        <w:t xml:space="preserve">The </w:t>
      </w:r>
      <w:r w:rsidR="0071085C" w:rsidRPr="00557D58">
        <w:rPr>
          <w:lang w:val="en-GB"/>
        </w:rPr>
        <w:t>a</w:t>
      </w:r>
      <w:r w:rsidR="001B5FD4" w:rsidRPr="00557D58">
        <w:rPr>
          <w:lang w:val="en-GB"/>
        </w:rPr>
        <w:t>uthor</w:t>
      </w:r>
      <w:r w:rsidR="0071085C" w:rsidRPr="00557D58">
        <w:rPr>
          <w:lang w:val="en-GB"/>
        </w:rPr>
        <w:t xml:space="preserve"> reiterates </w:t>
      </w:r>
      <w:r w:rsidR="001B5FD4" w:rsidRPr="00557D58">
        <w:rPr>
          <w:lang w:val="en-GB"/>
        </w:rPr>
        <w:t xml:space="preserve">that the State </w:t>
      </w:r>
      <w:r w:rsidR="0071085C" w:rsidRPr="00557D58">
        <w:rPr>
          <w:lang w:val="en-GB"/>
        </w:rPr>
        <w:t>p</w:t>
      </w:r>
      <w:r w:rsidR="001B5FD4" w:rsidRPr="00557D58">
        <w:rPr>
          <w:lang w:val="en-GB"/>
        </w:rPr>
        <w:t>arty failed to ensure a fair</w:t>
      </w:r>
      <w:r w:rsidR="00CB5E70" w:rsidRPr="00557D58">
        <w:rPr>
          <w:lang w:val="en-GB"/>
        </w:rPr>
        <w:t xml:space="preserve"> </w:t>
      </w:r>
      <w:r w:rsidR="001B5FD4" w:rsidRPr="00557D58">
        <w:rPr>
          <w:lang w:val="en-GB"/>
        </w:rPr>
        <w:t>trial by an independent and</w:t>
      </w:r>
      <w:r w:rsidR="00CB5E70" w:rsidRPr="00557D58">
        <w:rPr>
          <w:lang w:val="en-GB"/>
        </w:rPr>
        <w:t xml:space="preserve"> </w:t>
      </w:r>
      <w:r w:rsidR="001B5FD4" w:rsidRPr="00557D58">
        <w:rPr>
          <w:lang w:val="en-GB"/>
        </w:rPr>
        <w:t>impartial court and</w:t>
      </w:r>
      <w:r w:rsidR="00CB5E70" w:rsidRPr="00557D58">
        <w:rPr>
          <w:lang w:val="en-GB"/>
        </w:rPr>
        <w:t xml:space="preserve"> </w:t>
      </w:r>
      <w:r w:rsidR="001B5FD4" w:rsidRPr="00557D58">
        <w:rPr>
          <w:lang w:val="en-GB"/>
        </w:rPr>
        <w:t xml:space="preserve">to guarantee and uphold </w:t>
      </w:r>
      <w:r w:rsidR="0071085C" w:rsidRPr="00557D58">
        <w:rPr>
          <w:lang w:val="en-GB"/>
        </w:rPr>
        <w:t>her</w:t>
      </w:r>
      <w:r w:rsidR="001B5FD4" w:rsidRPr="00557D58">
        <w:rPr>
          <w:lang w:val="en-GB"/>
        </w:rPr>
        <w:t xml:space="preserve"> right to equality of arms. The </w:t>
      </w:r>
      <w:r w:rsidR="0071085C" w:rsidRPr="00557D58">
        <w:rPr>
          <w:lang w:val="en-GB"/>
        </w:rPr>
        <w:t>a</w:t>
      </w:r>
      <w:r w:rsidR="001B5FD4" w:rsidRPr="00557D58">
        <w:rPr>
          <w:lang w:val="en-GB"/>
        </w:rPr>
        <w:t>uthor’s detailed allegations included that</w:t>
      </w:r>
      <w:r w:rsidR="00B140C8">
        <w:rPr>
          <w:lang w:val="en-GB"/>
        </w:rPr>
        <w:t>:</w:t>
      </w:r>
      <w:r w:rsidR="001B5FD4" w:rsidRPr="00557D58">
        <w:rPr>
          <w:lang w:val="en-GB"/>
        </w:rPr>
        <w:t xml:space="preserve"> her lawyers had been threatened and not been provided with sufficient time to prepare for the trial</w:t>
      </w:r>
      <w:r w:rsidR="0071085C" w:rsidRPr="00557D58">
        <w:rPr>
          <w:lang w:val="en-GB"/>
        </w:rPr>
        <w:t xml:space="preserve">; </w:t>
      </w:r>
      <w:r w:rsidR="001B5FD4" w:rsidRPr="00557D58">
        <w:rPr>
          <w:lang w:val="en-GB"/>
        </w:rPr>
        <w:t>the</w:t>
      </w:r>
      <w:r w:rsidR="00CB5E70" w:rsidRPr="00557D58">
        <w:rPr>
          <w:lang w:val="en-GB"/>
        </w:rPr>
        <w:t xml:space="preserve"> </w:t>
      </w:r>
      <w:r w:rsidR="001B5FD4" w:rsidRPr="00557D58">
        <w:rPr>
          <w:lang w:val="en-GB"/>
        </w:rPr>
        <w:t xml:space="preserve">prosecution had deliberately prevented her lawyers from consulting with </w:t>
      </w:r>
      <w:r w:rsidR="00FE7FA8" w:rsidRPr="00557D58">
        <w:rPr>
          <w:lang w:val="en-GB"/>
        </w:rPr>
        <w:t>her</w:t>
      </w:r>
      <w:r w:rsidR="001B5FD4" w:rsidRPr="00557D58">
        <w:rPr>
          <w:lang w:val="en-GB"/>
        </w:rPr>
        <w:t xml:space="preserve"> and from accessing the entire case file</w:t>
      </w:r>
      <w:r w:rsidR="0071085C" w:rsidRPr="00557D58">
        <w:rPr>
          <w:lang w:val="en-GB"/>
        </w:rPr>
        <w:t>;</w:t>
      </w:r>
      <w:r w:rsidR="00B140C8">
        <w:rPr>
          <w:lang w:val="en-GB"/>
        </w:rPr>
        <w:t xml:space="preserve"> and</w:t>
      </w:r>
      <w:r w:rsidR="0071085C" w:rsidRPr="00557D58">
        <w:rPr>
          <w:lang w:val="en-GB"/>
        </w:rPr>
        <w:t xml:space="preserve"> he</w:t>
      </w:r>
      <w:r w:rsidR="001B5FD4" w:rsidRPr="00557D58">
        <w:rPr>
          <w:lang w:val="en-GB"/>
        </w:rPr>
        <w:t xml:space="preserve">r lawyers were not given permission to cross-examine key prosecution witnesses. The State </w:t>
      </w:r>
      <w:r w:rsidR="0071085C" w:rsidRPr="00557D58">
        <w:rPr>
          <w:lang w:val="en-GB"/>
        </w:rPr>
        <w:t>p</w:t>
      </w:r>
      <w:r w:rsidR="001B5FD4" w:rsidRPr="00557D58">
        <w:rPr>
          <w:lang w:val="en-GB"/>
        </w:rPr>
        <w:t xml:space="preserve">arty chose not to address any of the specific allegations </w:t>
      </w:r>
      <w:r w:rsidR="00FE7FA8" w:rsidRPr="00557D58">
        <w:rPr>
          <w:lang w:val="en-GB"/>
        </w:rPr>
        <w:t>or</w:t>
      </w:r>
      <w:r w:rsidR="001B5FD4" w:rsidRPr="00557D58">
        <w:rPr>
          <w:lang w:val="en-GB"/>
        </w:rPr>
        <w:t xml:space="preserve"> the evidence show</w:t>
      </w:r>
      <w:r w:rsidR="002A101E" w:rsidRPr="00895641">
        <w:rPr>
          <w:lang w:val="en-GB"/>
        </w:rPr>
        <w:t>ing</w:t>
      </w:r>
      <w:r w:rsidR="001B5FD4" w:rsidRPr="00557D58">
        <w:rPr>
          <w:lang w:val="en-GB"/>
        </w:rPr>
        <w:t xml:space="preserve"> that the author did not receive a fair trial. The </w:t>
      </w:r>
      <w:r w:rsidR="0071085C" w:rsidRPr="00557D58">
        <w:rPr>
          <w:lang w:val="en-GB"/>
        </w:rPr>
        <w:t>a</w:t>
      </w:r>
      <w:r w:rsidR="001B5FD4" w:rsidRPr="00557D58">
        <w:rPr>
          <w:lang w:val="en-GB"/>
        </w:rPr>
        <w:t xml:space="preserve">uthor submits that she has discharged </w:t>
      </w:r>
      <w:r w:rsidR="0071085C" w:rsidRPr="00557D58">
        <w:rPr>
          <w:lang w:val="en-GB"/>
        </w:rPr>
        <w:t>her</w:t>
      </w:r>
      <w:r w:rsidR="001B5FD4" w:rsidRPr="00557D58">
        <w:rPr>
          <w:lang w:val="en-GB"/>
        </w:rPr>
        <w:t xml:space="preserve"> burden of proof and establishe</w:t>
      </w:r>
      <w:r w:rsidR="0071085C" w:rsidRPr="00557D58">
        <w:rPr>
          <w:lang w:val="en-GB"/>
        </w:rPr>
        <w:t>d</w:t>
      </w:r>
      <w:r w:rsidR="001B5FD4" w:rsidRPr="00557D58">
        <w:rPr>
          <w:lang w:val="en-GB"/>
        </w:rPr>
        <w:t xml:space="preserve"> a prima facie case that the State </w:t>
      </w:r>
      <w:r w:rsidR="0071085C" w:rsidRPr="00557D58">
        <w:rPr>
          <w:lang w:val="en-GB"/>
        </w:rPr>
        <w:t>p</w:t>
      </w:r>
      <w:r w:rsidR="001B5FD4" w:rsidRPr="00557D58">
        <w:rPr>
          <w:lang w:val="en-GB"/>
        </w:rPr>
        <w:t xml:space="preserve">arty is responsible for a violation of </w:t>
      </w:r>
      <w:r w:rsidR="0071085C" w:rsidRPr="00557D58">
        <w:rPr>
          <w:lang w:val="en-GB"/>
        </w:rPr>
        <w:t>a</w:t>
      </w:r>
      <w:r w:rsidR="001B5FD4" w:rsidRPr="00557D58">
        <w:rPr>
          <w:lang w:val="en-GB"/>
        </w:rPr>
        <w:t>rticle 14</w:t>
      </w:r>
      <w:r w:rsidR="0071085C" w:rsidRPr="00557D58">
        <w:rPr>
          <w:lang w:val="en-GB"/>
        </w:rPr>
        <w:t>.</w:t>
      </w:r>
    </w:p>
    <w:p w14:paraId="412CCA25" w14:textId="77777777" w:rsidR="001B5FD4" w:rsidRPr="00557D58" w:rsidRDefault="00BC080D" w:rsidP="00BC080D">
      <w:pPr>
        <w:pStyle w:val="SingleTxtG"/>
        <w:rPr>
          <w:lang w:val="en-GB"/>
        </w:rPr>
      </w:pPr>
      <w:r w:rsidRPr="00557D58">
        <w:rPr>
          <w:lang w:val="en-GB"/>
        </w:rPr>
        <w:t>5.7</w:t>
      </w:r>
      <w:r w:rsidRPr="00557D58">
        <w:rPr>
          <w:lang w:val="en-GB"/>
        </w:rPr>
        <w:tab/>
      </w:r>
      <w:r w:rsidR="001B5FD4" w:rsidRPr="00557D58">
        <w:rPr>
          <w:lang w:val="en-GB"/>
        </w:rPr>
        <w:t xml:space="preserve">The State </w:t>
      </w:r>
      <w:r w:rsidRPr="00557D58">
        <w:rPr>
          <w:lang w:val="en-GB"/>
        </w:rPr>
        <w:t>p</w:t>
      </w:r>
      <w:r w:rsidR="001B5FD4" w:rsidRPr="00557D58">
        <w:rPr>
          <w:lang w:val="en-GB"/>
        </w:rPr>
        <w:t xml:space="preserve">arty claims that it had investigated allegations of ill-treatment against the </w:t>
      </w:r>
      <w:r w:rsidRPr="00557D58">
        <w:rPr>
          <w:lang w:val="en-GB"/>
        </w:rPr>
        <w:t>a</w:t>
      </w:r>
      <w:r w:rsidR="001B5FD4" w:rsidRPr="00557D58">
        <w:rPr>
          <w:lang w:val="en-GB"/>
        </w:rPr>
        <w:t xml:space="preserve">uthor during pretrial detention and that </w:t>
      </w:r>
      <w:r w:rsidRPr="00557D58">
        <w:rPr>
          <w:lang w:val="en-GB"/>
        </w:rPr>
        <w:t>the latter remained un</w:t>
      </w:r>
      <w:r w:rsidR="001B5FD4" w:rsidRPr="00557D58">
        <w:rPr>
          <w:lang w:val="en-GB"/>
        </w:rPr>
        <w:t>substantiate</w:t>
      </w:r>
      <w:r w:rsidRPr="00557D58">
        <w:rPr>
          <w:lang w:val="en-GB"/>
        </w:rPr>
        <w:t>d</w:t>
      </w:r>
      <w:r w:rsidR="001B5FD4" w:rsidRPr="00557D58">
        <w:rPr>
          <w:lang w:val="en-GB"/>
        </w:rPr>
        <w:t>.</w:t>
      </w:r>
      <w:r w:rsidRPr="00557D58">
        <w:rPr>
          <w:lang w:val="en-GB"/>
        </w:rPr>
        <w:t xml:space="preserve"> T</w:t>
      </w:r>
      <w:r w:rsidR="001B5FD4" w:rsidRPr="00557D58">
        <w:rPr>
          <w:lang w:val="en-GB"/>
        </w:rPr>
        <w:t xml:space="preserve">he </w:t>
      </w:r>
      <w:r w:rsidRPr="00557D58">
        <w:rPr>
          <w:lang w:val="en-GB"/>
        </w:rPr>
        <w:t>a</w:t>
      </w:r>
      <w:r w:rsidR="001B5FD4" w:rsidRPr="00557D58">
        <w:rPr>
          <w:lang w:val="en-GB"/>
        </w:rPr>
        <w:t xml:space="preserve">uthor submits that she had specified the different incidents of ill-treatment, and provided extensive evidence in support. The State </w:t>
      </w:r>
      <w:r w:rsidRPr="00557D58">
        <w:rPr>
          <w:lang w:val="en-GB"/>
        </w:rPr>
        <w:t>p</w:t>
      </w:r>
      <w:r w:rsidR="001B5FD4" w:rsidRPr="00557D58">
        <w:rPr>
          <w:lang w:val="en-GB"/>
        </w:rPr>
        <w:t xml:space="preserve">arty was therefore in a position to investigate the incidents of ill-treatment </w:t>
      </w:r>
      <w:r w:rsidRPr="00557D58">
        <w:rPr>
          <w:lang w:val="en-GB"/>
        </w:rPr>
        <w:t>since the a</w:t>
      </w:r>
      <w:r w:rsidR="001B5FD4" w:rsidRPr="00557D58">
        <w:rPr>
          <w:lang w:val="en-GB"/>
        </w:rPr>
        <w:t xml:space="preserve">uthor had provided dates </w:t>
      </w:r>
      <w:r w:rsidR="008D6530" w:rsidRPr="00895641">
        <w:rPr>
          <w:lang w:val="en-GB"/>
        </w:rPr>
        <w:t>and</w:t>
      </w:r>
      <w:r w:rsidR="001B5FD4" w:rsidRPr="00557D58">
        <w:rPr>
          <w:lang w:val="en-GB"/>
        </w:rPr>
        <w:t xml:space="preserve"> names of witnesses and perpetrators of the incidents. The State </w:t>
      </w:r>
      <w:r w:rsidRPr="00557D58">
        <w:rPr>
          <w:lang w:val="en-GB"/>
        </w:rPr>
        <w:t>p</w:t>
      </w:r>
      <w:r w:rsidR="001B5FD4" w:rsidRPr="00557D58">
        <w:rPr>
          <w:lang w:val="en-GB"/>
        </w:rPr>
        <w:t>arty does not, however, provide evidence of any investigation into the</w:t>
      </w:r>
      <w:r w:rsidR="008D6530" w:rsidRPr="00895641">
        <w:rPr>
          <w:lang w:val="en-GB"/>
        </w:rPr>
        <w:t>se</w:t>
      </w:r>
      <w:r w:rsidR="001B5FD4" w:rsidRPr="00557D58">
        <w:rPr>
          <w:lang w:val="en-GB"/>
        </w:rPr>
        <w:t xml:space="preserve"> allegations. </w:t>
      </w:r>
      <w:r w:rsidR="008D6530" w:rsidRPr="00895641">
        <w:rPr>
          <w:lang w:val="en-GB"/>
        </w:rPr>
        <w:t>T</w:t>
      </w:r>
      <w:r w:rsidR="001B5FD4" w:rsidRPr="00557D58">
        <w:rPr>
          <w:lang w:val="en-GB"/>
        </w:rPr>
        <w:t xml:space="preserve">he </w:t>
      </w:r>
      <w:r w:rsidRPr="00557D58">
        <w:rPr>
          <w:lang w:val="en-GB"/>
        </w:rPr>
        <w:t>a</w:t>
      </w:r>
      <w:r w:rsidR="001B5FD4" w:rsidRPr="00557D58">
        <w:rPr>
          <w:lang w:val="en-GB"/>
        </w:rPr>
        <w:t xml:space="preserve">uthor submits that it is insufficient for the State </w:t>
      </w:r>
      <w:r w:rsidRPr="00557D58">
        <w:rPr>
          <w:lang w:val="en-GB"/>
        </w:rPr>
        <w:t>p</w:t>
      </w:r>
      <w:r w:rsidR="001B5FD4" w:rsidRPr="00557D58">
        <w:rPr>
          <w:lang w:val="en-GB"/>
        </w:rPr>
        <w:t xml:space="preserve">arty to claim that it investigated the alleged incidents of ill-treatment. </w:t>
      </w:r>
    </w:p>
    <w:p w14:paraId="6E53CF98" w14:textId="77777777" w:rsidR="001B5FD4" w:rsidRPr="00557D58" w:rsidRDefault="00BC080D" w:rsidP="001B5FD4">
      <w:pPr>
        <w:pStyle w:val="SingleTxtG"/>
        <w:rPr>
          <w:lang w:val="en-GB"/>
        </w:rPr>
      </w:pPr>
      <w:r w:rsidRPr="00557D58">
        <w:rPr>
          <w:lang w:val="en-GB"/>
        </w:rPr>
        <w:t>5.8</w:t>
      </w:r>
      <w:r w:rsidRPr="00557D58">
        <w:rPr>
          <w:lang w:val="en-GB"/>
        </w:rPr>
        <w:tab/>
      </w:r>
      <w:r w:rsidR="001B5FD4" w:rsidRPr="00557D58">
        <w:rPr>
          <w:lang w:val="en-GB"/>
        </w:rPr>
        <w:t xml:space="preserve">The </w:t>
      </w:r>
      <w:r w:rsidRPr="00557D58">
        <w:rPr>
          <w:lang w:val="en-GB"/>
        </w:rPr>
        <w:t>a</w:t>
      </w:r>
      <w:r w:rsidR="001B5FD4" w:rsidRPr="00557D58">
        <w:rPr>
          <w:lang w:val="en-GB"/>
        </w:rPr>
        <w:t xml:space="preserve">uthor </w:t>
      </w:r>
      <w:r w:rsidR="002A101E" w:rsidRPr="00895641">
        <w:rPr>
          <w:lang w:val="en-GB"/>
        </w:rPr>
        <w:t xml:space="preserve">reiterates that she </w:t>
      </w:r>
      <w:r w:rsidRPr="00557D58">
        <w:rPr>
          <w:lang w:val="en-GB"/>
        </w:rPr>
        <w:t>has</w:t>
      </w:r>
      <w:r w:rsidR="001B5FD4" w:rsidRPr="00557D58">
        <w:rPr>
          <w:lang w:val="en-GB"/>
        </w:rPr>
        <w:t xml:space="preserve"> submitted </w:t>
      </w:r>
      <w:r w:rsidRPr="00557D58">
        <w:rPr>
          <w:lang w:val="en-GB"/>
        </w:rPr>
        <w:t>to</w:t>
      </w:r>
      <w:r w:rsidR="001B5FD4" w:rsidRPr="00557D58">
        <w:rPr>
          <w:lang w:val="en-GB"/>
        </w:rPr>
        <w:t xml:space="preserve"> the Committee two complaints from her lawyer raising the lack of access to her client</w:t>
      </w:r>
      <w:r w:rsidR="002A101E" w:rsidRPr="00895641">
        <w:rPr>
          <w:lang w:val="en-GB"/>
        </w:rPr>
        <w:t xml:space="preserve"> and that the</w:t>
      </w:r>
      <w:r w:rsidR="001B5FD4" w:rsidRPr="00557D58">
        <w:rPr>
          <w:lang w:val="en-GB"/>
        </w:rPr>
        <w:t xml:space="preserve"> State </w:t>
      </w:r>
      <w:r w:rsidRPr="00557D58">
        <w:rPr>
          <w:lang w:val="en-GB"/>
        </w:rPr>
        <w:t>p</w:t>
      </w:r>
      <w:r w:rsidR="001B5FD4" w:rsidRPr="00557D58">
        <w:rPr>
          <w:lang w:val="en-GB"/>
        </w:rPr>
        <w:t>arty did not address th</w:t>
      </w:r>
      <w:r w:rsidR="002A101E" w:rsidRPr="00895641">
        <w:rPr>
          <w:lang w:val="en-GB"/>
        </w:rPr>
        <w:t>at</w:t>
      </w:r>
      <w:r w:rsidR="00B140C8">
        <w:rPr>
          <w:lang w:val="en-GB"/>
        </w:rPr>
        <w:t xml:space="preserve"> which was</w:t>
      </w:r>
      <w:r w:rsidR="001B5FD4" w:rsidRPr="00557D58">
        <w:rPr>
          <w:lang w:val="en-GB"/>
        </w:rPr>
        <w:t xml:space="preserve"> submitted. The </w:t>
      </w:r>
      <w:r w:rsidRPr="00557D58">
        <w:rPr>
          <w:lang w:val="en-GB"/>
        </w:rPr>
        <w:t>a</w:t>
      </w:r>
      <w:r w:rsidR="001B5FD4" w:rsidRPr="00557D58">
        <w:rPr>
          <w:lang w:val="en-GB"/>
        </w:rPr>
        <w:t>uthor reiterates that</w:t>
      </w:r>
      <w:r w:rsidR="00C936E6">
        <w:rPr>
          <w:lang w:val="en-GB"/>
        </w:rPr>
        <w:t>,</w:t>
      </w:r>
      <w:r w:rsidR="001B5FD4" w:rsidRPr="00557D58">
        <w:rPr>
          <w:lang w:val="en-GB"/>
        </w:rPr>
        <w:t xml:space="preserve"> with the exception of a one</w:t>
      </w:r>
      <w:r w:rsidR="00B140C8">
        <w:rPr>
          <w:lang w:val="en-GB"/>
        </w:rPr>
        <w:t>-</w:t>
      </w:r>
      <w:r w:rsidR="001B5FD4" w:rsidRPr="00557D58">
        <w:rPr>
          <w:lang w:val="en-GB"/>
        </w:rPr>
        <w:t>hour visit from her daughter</w:t>
      </w:r>
      <w:r w:rsidR="00CB5E70" w:rsidRPr="00557D58">
        <w:rPr>
          <w:lang w:val="en-GB"/>
        </w:rPr>
        <w:t xml:space="preserve"> </w:t>
      </w:r>
      <w:r w:rsidR="001B5FD4" w:rsidRPr="00557D58">
        <w:rPr>
          <w:lang w:val="en-GB"/>
        </w:rPr>
        <w:t>in</w:t>
      </w:r>
      <w:r w:rsidR="00CB5E70" w:rsidRPr="00557D58">
        <w:rPr>
          <w:lang w:val="en-GB"/>
        </w:rPr>
        <w:t xml:space="preserve"> </w:t>
      </w:r>
      <w:r w:rsidR="001B5FD4" w:rsidRPr="00557D58">
        <w:rPr>
          <w:lang w:val="en-GB"/>
        </w:rPr>
        <w:t xml:space="preserve">October 2005, the detention authorities refused to allow visits from family and friends for more than three months. The </w:t>
      </w:r>
      <w:r w:rsidRPr="00557D58">
        <w:rPr>
          <w:lang w:val="en-GB"/>
        </w:rPr>
        <w:t>a</w:t>
      </w:r>
      <w:r w:rsidR="001B5FD4" w:rsidRPr="00557D58">
        <w:rPr>
          <w:lang w:val="en-GB"/>
        </w:rPr>
        <w:t>uthor reiterates that</w:t>
      </w:r>
      <w:r w:rsidR="00C936E6">
        <w:rPr>
          <w:lang w:val="en-GB"/>
        </w:rPr>
        <w:t>,</w:t>
      </w:r>
      <w:r w:rsidR="001B5FD4" w:rsidRPr="00557D58">
        <w:rPr>
          <w:lang w:val="en-GB"/>
        </w:rPr>
        <w:t xml:space="preserve"> contrary to the State </w:t>
      </w:r>
      <w:r w:rsidRPr="00557D58">
        <w:rPr>
          <w:lang w:val="en-GB"/>
        </w:rPr>
        <w:t>p</w:t>
      </w:r>
      <w:r w:rsidR="001B5FD4" w:rsidRPr="00557D58">
        <w:rPr>
          <w:lang w:val="en-GB"/>
        </w:rPr>
        <w:t xml:space="preserve">arty’s assertion, she did not receive parcels of food and clothes brought to </w:t>
      </w:r>
      <w:r w:rsidR="001B5FD4" w:rsidRPr="004C05A1">
        <w:rPr>
          <w:lang w:val="en-GB"/>
        </w:rPr>
        <w:t>F</w:t>
      </w:r>
      <w:r w:rsidR="000B71F4">
        <w:rPr>
          <w:lang w:val="en-GB"/>
        </w:rPr>
        <w:t xml:space="preserve">erghana </w:t>
      </w:r>
      <w:r w:rsidR="007B1EA6" w:rsidRPr="00895641">
        <w:rPr>
          <w:lang w:val="en-GB"/>
        </w:rPr>
        <w:t>R</w:t>
      </w:r>
      <w:r w:rsidR="000B71F4">
        <w:rPr>
          <w:lang w:val="en-GB"/>
        </w:rPr>
        <w:t xml:space="preserve">emand </w:t>
      </w:r>
      <w:r w:rsidR="007B1EA6" w:rsidRPr="00895641">
        <w:rPr>
          <w:lang w:val="en-GB"/>
        </w:rPr>
        <w:t>C</w:t>
      </w:r>
      <w:r w:rsidR="000B71F4">
        <w:rPr>
          <w:lang w:val="en-GB"/>
        </w:rPr>
        <w:t>entre</w:t>
      </w:r>
      <w:r w:rsidR="001B5FD4" w:rsidRPr="004C05A1">
        <w:rPr>
          <w:lang w:val="en-GB"/>
        </w:rPr>
        <w:t xml:space="preserve"> No.</w:t>
      </w:r>
      <w:r w:rsidR="00A2016E" w:rsidRPr="004C05A1">
        <w:rPr>
          <w:lang w:val="en-GB"/>
        </w:rPr>
        <w:t xml:space="preserve"> </w:t>
      </w:r>
      <w:r w:rsidR="001B5FD4" w:rsidRPr="004C05A1">
        <w:rPr>
          <w:lang w:val="en-GB"/>
        </w:rPr>
        <w:t>1</w:t>
      </w:r>
      <w:r w:rsidR="001B5FD4" w:rsidRPr="00557D58">
        <w:rPr>
          <w:lang w:val="en-GB"/>
        </w:rPr>
        <w:t xml:space="preserve"> by her parents.</w:t>
      </w:r>
    </w:p>
    <w:p w14:paraId="204FF87A" w14:textId="77777777" w:rsidR="001B5FD4" w:rsidRPr="00557D58" w:rsidRDefault="00BC080D" w:rsidP="00E77EE3">
      <w:pPr>
        <w:pStyle w:val="SingleTxtG"/>
        <w:rPr>
          <w:lang w:val="en-GB"/>
        </w:rPr>
      </w:pPr>
      <w:r w:rsidRPr="00557D58">
        <w:rPr>
          <w:lang w:val="en-GB"/>
        </w:rPr>
        <w:t>5.9</w:t>
      </w:r>
      <w:r w:rsidRPr="00557D58">
        <w:rPr>
          <w:lang w:val="en-GB"/>
        </w:rPr>
        <w:tab/>
      </w:r>
      <w:r w:rsidR="001B5FD4" w:rsidRPr="00557D58">
        <w:rPr>
          <w:lang w:val="en-GB"/>
        </w:rPr>
        <w:t xml:space="preserve">The State </w:t>
      </w:r>
      <w:r w:rsidRPr="00557D58">
        <w:rPr>
          <w:lang w:val="en-GB"/>
        </w:rPr>
        <w:t>p</w:t>
      </w:r>
      <w:r w:rsidR="001B5FD4" w:rsidRPr="00557D58">
        <w:rPr>
          <w:lang w:val="en-GB"/>
        </w:rPr>
        <w:t xml:space="preserve">arty fails to provide any evidence to show that qualified medical personnel is employed at </w:t>
      </w:r>
      <w:r w:rsidRPr="00557D58">
        <w:rPr>
          <w:lang w:val="en-GB"/>
        </w:rPr>
        <w:t>those</w:t>
      </w:r>
      <w:r w:rsidR="001B5FD4" w:rsidRPr="00557D58">
        <w:rPr>
          <w:lang w:val="en-GB"/>
        </w:rPr>
        <w:t xml:space="preserve"> </w:t>
      </w:r>
      <w:r w:rsidR="00B140C8" w:rsidRPr="00361717">
        <w:rPr>
          <w:lang w:val="en-GB"/>
        </w:rPr>
        <w:t>c</w:t>
      </w:r>
      <w:r w:rsidR="001B5FD4" w:rsidRPr="00361717">
        <w:rPr>
          <w:lang w:val="en-GB"/>
        </w:rPr>
        <w:t>entre</w:t>
      </w:r>
      <w:r w:rsidRPr="00361717">
        <w:rPr>
          <w:lang w:val="en-GB"/>
        </w:rPr>
        <w:t>s</w:t>
      </w:r>
      <w:r w:rsidR="001B5FD4" w:rsidRPr="00557D58">
        <w:rPr>
          <w:lang w:val="en-GB"/>
        </w:rPr>
        <w:t>, including a medical officer with knowledge of psychiatry as provided for in the Standard Minimum Rules f</w:t>
      </w:r>
      <w:r w:rsidRPr="00557D58">
        <w:rPr>
          <w:lang w:val="en-GB"/>
        </w:rPr>
        <w:t xml:space="preserve">or the Treatment of Prisoners. She maintains that </w:t>
      </w:r>
      <w:r w:rsidR="001B5FD4" w:rsidRPr="00557D58">
        <w:rPr>
          <w:lang w:val="en-GB"/>
        </w:rPr>
        <w:t xml:space="preserve">the administration of </w:t>
      </w:r>
      <w:r w:rsidR="002A101E" w:rsidRPr="00895641">
        <w:rPr>
          <w:lang w:val="en-GB"/>
        </w:rPr>
        <w:t>F</w:t>
      </w:r>
      <w:r w:rsidR="000B71F4">
        <w:rPr>
          <w:lang w:val="en-GB"/>
        </w:rPr>
        <w:t xml:space="preserve">erghana </w:t>
      </w:r>
      <w:r w:rsidR="002A101E" w:rsidRPr="00895641">
        <w:rPr>
          <w:lang w:val="en-GB"/>
        </w:rPr>
        <w:t>R</w:t>
      </w:r>
      <w:r w:rsidR="000B71F4">
        <w:rPr>
          <w:lang w:val="en-GB"/>
        </w:rPr>
        <w:t xml:space="preserve">emand </w:t>
      </w:r>
      <w:r w:rsidR="002A101E" w:rsidRPr="00895641">
        <w:rPr>
          <w:lang w:val="en-GB"/>
        </w:rPr>
        <w:t>C</w:t>
      </w:r>
      <w:r w:rsidR="000B71F4">
        <w:rPr>
          <w:lang w:val="en-GB"/>
        </w:rPr>
        <w:t>entre</w:t>
      </w:r>
      <w:r w:rsidR="001B5FD4" w:rsidRPr="004C05A1">
        <w:rPr>
          <w:lang w:val="en-GB"/>
        </w:rPr>
        <w:t xml:space="preserve"> No.</w:t>
      </w:r>
      <w:r w:rsidR="00A2016E" w:rsidRPr="004C05A1">
        <w:rPr>
          <w:lang w:val="en-GB"/>
        </w:rPr>
        <w:t xml:space="preserve"> </w:t>
      </w:r>
      <w:r w:rsidR="001B5FD4" w:rsidRPr="004C05A1">
        <w:rPr>
          <w:lang w:val="en-GB"/>
        </w:rPr>
        <w:t>10</w:t>
      </w:r>
      <w:r w:rsidR="001B5FD4" w:rsidRPr="00557D58">
        <w:rPr>
          <w:lang w:val="en-GB"/>
        </w:rPr>
        <w:t xml:space="preserve"> failed to provide her with adequate medication on several occasions, and failed to diagnose the impact the conditions of detention had on her, driving her to attempt suicide in late December 2005. </w:t>
      </w:r>
    </w:p>
    <w:p w14:paraId="36FC1658" w14:textId="77777777" w:rsidR="001B5FD4" w:rsidRPr="00895641" w:rsidRDefault="00BC080D" w:rsidP="004C05A1">
      <w:pPr>
        <w:pStyle w:val="SingleTxtG"/>
        <w:rPr>
          <w:lang w:val="en-GB"/>
        </w:rPr>
      </w:pPr>
      <w:r w:rsidRPr="00557D58">
        <w:rPr>
          <w:lang w:val="en-GB"/>
        </w:rPr>
        <w:t>5.10</w:t>
      </w:r>
      <w:r w:rsidRPr="00557D58">
        <w:rPr>
          <w:lang w:val="en-GB"/>
        </w:rPr>
        <w:tab/>
        <w:t>The State p</w:t>
      </w:r>
      <w:r w:rsidR="001B5FD4" w:rsidRPr="00557D58">
        <w:rPr>
          <w:lang w:val="en-GB"/>
        </w:rPr>
        <w:t>arty claims that</w:t>
      </w:r>
      <w:r w:rsidR="00B140C8">
        <w:rPr>
          <w:lang w:val="en-GB"/>
        </w:rPr>
        <w:t>,</w:t>
      </w:r>
      <w:r w:rsidR="001B5FD4" w:rsidRPr="00557D58">
        <w:rPr>
          <w:lang w:val="en-GB"/>
        </w:rPr>
        <w:t xml:space="preserve"> </w:t>
      </w:r>
      <w:r w:rsidRPr="00557D58">
        <w:rPr>
          <w:lang w:val="en-GB"/>
        </w:rPr>
        <w:t xml:space="preserve">upon arrival at the </w:t>
      </w:r>
      <w:r w:rsidRPr="00361717">
        <w:rPr>
          <w:lang w:val="en-GB"/>
        </w:rPr>
        <w:t>women’s colony</w:t>
      </w:r>
      <w:r w:rsidRPr="00557D58">
        <w:rPr>
          <w:lang w:val="en-GB"/>
        </w:rPr>
        <w:t xml:space="preserve"> on 7 July 2006</w:t>
      </w:r>
      <w:r w:rsidR="00C936E6">
        <w:rPr>
          <w:lang w:val="en-GB"/>
        </w:rPr>
        <w:t>,</w:t>
      </w:r>
      <w:r w:rsidRPr="00557D58">
        <w:rPr>
          <w:lang w:val="en-GB"/>
        </w:rPr>
        <w:t xml:space="preserve"> </w:t>
      </w:r>
      <w:r w:rsidR="001B5FD4" w:rsidRPr="00557D58">
        <w:rPr>
          <w:lang w:val="en-GB"/>
        </w:rPr>
        <w:t xml:space="preserve">the </w:t>
      </w:r>
      <w:r w:rsidRPr="00557D58">
        <w:rPr>
          <w:lang w:val="en-GB"/>
        </w:rPr>
        <w:t>a</w:t>
      </w:r>
      <w:r w:rsidR="001B5FD4" w:rsidRPr="00557D58">
        <w:rPr>
          <w:lang w:val="en-GB"/>
        </w:rPr>
        <w:t xml:space="preserve">uthor </w:t>
      </w:r>
      <w:r w:rsidR="00FE7FA8" w:rsidRPr="00557D58">
        <w:rPr>
          <w:lang w:val="en-GB"/>
        </w:rPr>
        <w:t xml:space="preserve">was </w:t>
      </w:r>
      <w:r w:rsidR="001B5FD4" w:rsidRPr="00557D58">
        <w:rPr>
          <w:lang w:val="en-GB"/>
        </w:rPr>
        <w:t>placed in a</w:t>
      </w:r>
      <w:r w:rsidRPr="00557D58">
        <w:rPr>
          <w:lang w:val="en-GB"/>
        </w:rPr>
        <w:t>n admission unit</w:t>
      </w:r>
      <w:r w:rsidR="002D227C" w:rsidRPr="00557D58">
        <w:rPr>
          <w:lang w:val="en-GB"/>
        </w:rPr>
        <w:t xml:space="preserve"> </w:t>
      </w:r>
      <w:r w:rsidR="00B140C8">
        <w:rPr>
          <w:lang w:val="en-GB"/>
        </w:rPr>
        <w:t>in accordance with</w:t>
      </w:r>
      <w:r w:rsidR="002D227C" w:rsidRPr="00557D58">
        <w:rPr>
          <w:lang w:val="en-GB"/>
        </w:rPr>
        <w:t xml:space="preserve"> a</w:t>
      </w:r>
      <w:r w:rsidR="001B5FD4" w:rsidRPr="00557D58">
        <w:rPr>
          <w:lang w:val="en-GB"/>
        </w:rPr>
        <w:t xml:space="preserve">rticle 56 of the </w:t>
      </w:r>
      <w:r w:rsidR="002D227C" w:rsidRPr="00557D58">
        <w:rPr>
          <w:lang w:val="en-GB"/>
        </w:rPr>
        <w:t xml:space="preserve">Criminal </w:t>
      </w:r>
      <w:r w:rsidR="001B5FD4" w:rsidRPr="00557D58">
        <w:rPr>
          <w:lang w:val="en-GB"/>
        </w:rPr>
        <w:t>Code. However, it</w:t>
      </w:r>
      <w:r w:rsidR="00CB5E70" w:rsidRPr="00557D58">
        <w:rPr>
          <w:lang w:val="en-GB"/>
        </w:rPr>
        <w:t xml:space="preserve"> </w:t>
      </w:r>
      <w:r w:rsidR="001B5FD4" w:rsidRPr="00557D58">
        <w:rPr>
          <w:lang w:val="en-GB"/>
        </w:rPr>
        <w:t xml:space="preserve">does not produce any evidence to show that or how </w:t>
      </w:r>
      <w:r w:rsidR="002D227C" w:rsidRPr="00557D58">
        <w:rPr>
          <w:lang w:val="en-GB"/>
        </w:rPr>
        <w:t>a</w:t>
      </w:r>
      <w:r w:rsidR="001B5FD4" w:rsidRPr="00557D58">
        <w:rPr>
          <w:lang w:val="en-GB"/>
        </w:rPr>
        <w:t xml:space="preserve">rticle 56 was complied with in the present case. </w:t>
      </w:r>
      <w:r w:rsidR="007C4257" w:rsidRPr="00557D58">
        <w:rPr>
          <w:lang w:val="en-GB"/>
        </w:rPr>
        <w:t>T</w:t>
      </w:r>
      <w:r w:rsidR="001B5FD4" w:rsidRPr="00557D58">
        <w:rPr>
          <w:lang w:val="en-GB"/>
        </w:rPr>
        <w:t xml:space="preserve">he State </w:t>
      </w:r>
      <w:r w:rsidR="002D227C" w:rsidRPr="00557D58">
        <w:rPr>
          <w:lang w:val="en-GB"/>
        </w:rPr>
        <w:t>p</w:t>
      </w:r>
      <w:r w:rsidR="001B5FD4" w:rsidRPr="00557D58">
        <w:rPr>
          <w:lang w:val="en-GB"/>
        </w:rPr>
        <w:t>arty</w:t>
      </w:r>
      <w:r w:rsidR="007C4257" w:rsidRPr="00557D58">
        <w:rPr>
          <w:lang w:val="en-GB"/>
        </w:rPr>
        <w:t xml:space="preserve"> also</w:t>
      </w:r>
      <w:r w:rsidR="001B5FD4" w:rsidRPr="00557D58">
        <w:rPr>
          <w:lang w:val="en-GB"/>
        </w:rPr>
        <w:t xml:space="preserve"> fails to address the </w:t>
      </w:r>
      <w:r w:rsidR="002D227C" w:rsidRPr="00557D58">
        <w:rPr>
          <w:lang w:val="en-GB"/>
        </w:rPr>
        <w:t xml:space="preserve">submitted evidence, which </w:t>
      </w:r>
      <w:r w:rsidR="001B5FD4" w:rsidRPr="00557D58">
        <w:rPr>
          <w:lang w:val="en-GB"/>
        </w:rPr>
        <w:t>includes an appeal filed by her lawyer to the prison administration and the administration’s response of 24 July 2006</w:t>
      </w:r>
      <w:r w:rsidR="002D227C" w:rsidRPr="00557D58">
        <w:rPr>
          <w:lang w:val="en-GB"/>
        </w:rPr>
        <w:t>,</w:t>
      </w:r>
      <w:r w:rsidR="001B5FD4" w:rsidRPr="00557D58">
        <w:rPr>
          <w:lang w:val="en-GB"/>
        </w:rPr>
        <w:t xml:space="preserve"> confirm</w:t>
      </w:r>
      <w:r w:rsidR="002D227C" w:rsidRPr="00557D58">
        <w:rPr>
          <w:lang w:val="en-GB"/>
        </w:rPr>
        <w:t xml:space="preserve">ing </w:t>
      </w:r>
      <w:r w:rsidR="001B5FD4" w:rsidRPr="00557D58">
        <w:rPr>
          <w:lang w:val="en-GB"/>
        </w:rPr>
        <w:t xml:space="preserve">that </w:t>
      </w:r>
      <w:r w:rsidR="002D227C" w:rsidRPr="00557D58">
        <w:rPr>
          <w:lang w:val="en-GB"/>
        </w:rPr>
        <w:t>sh</w:t>
      </w:r>
      <w:r w:rsidR="001B5FD4" w:rsidRPr="00557D58">
        <w:rPr>
          <w:lang w:val="en-GB"/>
        </w:rPr>
        <w:t xml:space="preserve">e was placed </w:t>
      </w:r>
      <w:r w:rsidR="00D80524">
        <w:rPr>
          <w:lang w:val="en-GB"/>
        </w:rPr>
        <w:t>o</w:t>
      </w:r>
      <w:r w:rsidR="001B5FD4" w:rsidRPr="00557D58">
        <w:rPr>
          <w:lang w:val="en-GB"/>
        </w:rPr>
        <w:t>n the psychiatric</w:t>
      </w:r>
      <w:r w:rsidR="002D227C" w:rsidRPr="00557D58">
        <w:rPr>
          <w:lang w:val="en-GB"/>
        </w:rPr>
        <w:t xml:space="preserve"> ward</w:t>
      </w:r>
      <w:r w:rsidR="001B5FD4" w:rsidRPr="00557D58">
        <w:rPr>
          <w:lang w:val="en-GB"/>
        </w:rPr>
        <w:t xml:space="preserve">. The State </w:t>
      </w:r>
      <w:r w:rsidR="002D227C" w:rsidRPr="00557D58">
        <w:rPr>
          <w:lang w:val="en-GB"/>
        </w:rPr>
        <w:t>p</w:t>
      </w:r>
      <w:r w:rsidR="001B5FD4" w:rsidRPr="00557D58">
        <w:rPr>
          <w:lang w:val="en-GB"/>
        </w:rPr>
        <w:t>arty’s practice of forcing political prisoners to undergo psychiatric treatment as a form of punishment and retaliation is well documented.</w:t>
      </w:r>
    </w:p>
    <w:p w14:paraId="7FF20661" w14:textId="77777777" w:rsidR="001B5FD4" w:rsidRPr="00557D58" w:rsidRDefault="002D227C" w:rsidP="004C05A1">
      <w:pPr>
        <w:pStyle w:val="SingleTxtG"/>
        <w:rPr>
          <w:lang w:val="en-GB"/>
        </w:rPr>
      </w:pPr>
      <w:r w:rsidRPr="00557D58">
        <w:rPr>
          <w:lang w:val="en-GB"/>
        </w:rPr>
        <w:t>5.11</w:t>
      </w:r>
      <w:r w:rsidRPr="00557D58">
        <w:rPr>
          <w:lang w:val="en-GB"/>
        </w:rPr>
        <w:tab/>
      </w:r>
      <w:r w:rsidR="001B5FD4" w:rsidRPr="00557D58">
        <w:rPr>
          <w:lang w:val="en-GB"/>
        </w:rPr>
        <w:t xml:space="preserve">The </w:t>
      </w:r>
      <w:r w:rsidRPr="00557D58">
        <w:rPr>
          <w:lang w:val="en-GB"/>
        </w:rPr>
        <w:t xml:space="preserve">author further submits that the </w:t>
      </w:r>
      <w:r w:rsidR="001B5FD4" w:rsidRPr="00557D58">
        <w:rPr>
          <w:lang w:val="en-GB"/>
        </w:rPr>
        <w:t xml:space="preserve">State </w:t>
      </w:r>
      <w:r w:rsidRPr="00557D58">
        <w:rPr>
          <w:lang w:val="en-GB"/>
        </w:rPr>
        <w:t>p</w:t>
      </w:r>
      <w:r w:rsidR="001B5FD4" w:rsidRPr="00557D58">
        <w:rPr>
          <w:lang w:val="en-GB"/>
        </w:rPr>
        <w:t>arty fail</w:t>
      </w:r>
      <w:r w:rsidRPr="00557D58">
        <w:rPr>
          <w:lang w:val="en-GB"/>
        </w:rPr>
        <w:t>s</w:t>
      </w:r>
      <w:r w:rsidR="001B5FD4" w:rsidRPr="00557D58">
        <w:rPr>
          <w:lang w:val="en-GB"/>
        </w:rPr>
        <w:t xml:space="preserve"> to distinguish between the working hours, and the requirement </w:t>
      </w:r>
      <w:r w:rsidR="00FE7FA8" w:rsidRPr="00557D58">
        <w:rPr>
          <w:lang w:val="en-GB"/>
        </w:rPr>
        <w:t>for</w:t>
      </w:r>
      <w:r w:rsidR="00D80524">
        <w:rPr>
          <w:lang w:val="en-GB"/>
        </w:rPr>
        <w:t xml:space="preserve"> </w:t>
      </w:r>
      <w:r w:rsidR="001B5FD4" w:rsidRPr="00557D58">
        <w:rPr>
          <w:lang w:val="en-GB"/>
        </w:rPr>
        <w:t xml:space="preserve">prisoners to “do service”, requiring prisoners to </w:t>
      </w:r>
      <w:r w:rsidR="001B5FD4" w:rsidRPr="00557D58">
        <w:rPr>
          <w:lang w:val="en-GB"/>
        </w:rPr>
        <w:lastRenderedPageBreak/>
        <w:t xml:space="preserve">stand and keep guard at various </w:t>
      </w:r>
      <w:r w:rsidR="00D80524">
        <w:rPr>
          <w:lang w:val="en-GB"/>
        </w:rPr>
        <w:t>posts</w:t>
      </w:r>
      <w:r w:rsidR="00D80524" w:rsidRPr="00557D58">
        <w:rPr>
          <w:lang w:val="en-GB"/>
        </w:rPr>
        <w:t xml:space="preserve"> </w:t>
      </w:r>
      <w:r w:rsidR="001B5FD4" w:rsidRPr="00557D58">
        <w:rPr>
          <w:lang w:val="en-GB"/>
        </w:rPr>
        <w:t xml:space="preserve">within the colony. While all prisoners are required to carry out this service once or twice a month for approximately two hours, the administration has a practice of forcing political prisoners to do service several times per month for up to seven hours, during which </w:t>
      </w:r>
      <w:r w:rsidR="00C936E6">
        <w:rPr>
          <w:lang w:val="en-GB"/>
        </w:rPr>
        <w:t xml:space="preserve">time </w:t>
      </w:r>
      <w:r w:rsidR="001B5FD4" w:rsidRPr="00557D58">
        <w:rPr>
          <w:lang w:val="en-GB"/>
        </w:rPr>
        <w:t xml:space="preserve">they are not allowed to leave their assigned place. The </w:t>
      </w:r>
      <w:r w:rsidRPr="00557D58">
        <w:rPr>
          <w:lang w:val="en-GB"/>
        </w:rPr>
        <w:t>a</w:t>
      </w:r>
      <w:r w:rsidR="001B5FD4" w:rsidRPr="00557D58">
        <w:rPr>
          <w:lang w:val="en-GB"/>
        </w:rPr>
        <w:t xml:space="preserve">uthor reiterates that </w:t>
      </w:r>
      <w:r w:rsidRPr="00557D58">
        <w:rPr>
          <w:lang w:val="en-GB"/>
        </w:rPr>
        <w:t xml:space="preserve">often </w:t>
      </w:r>
      <w:r w:rsidR="001B5FD4" w:rsidRPr="00557D58">
        <w:rPr>
          <w:lang w:val="en-GB"/>
        </w:rPr>
        <w:t>she had to work for nine hours and then “do service”</w:t>
      </w:r>
      <w:r w:rsidR="00CB5E70" w:rsidRPr="00557D58">
        <w:rPr>
          <w:lang w:val="en-GB"/>
        </w:rPr>
        <w:t xml:space="preserve"> </w:t>
      </w:r>
      <w:r w:rsidR="001B5FD4" w:rsidRPr="00557D58">
        <w:rPr>
          <w:lang w:val="en-GB"/>
        </w:rPr>
        <w:t>for seven hours.</w:t>
      </w:r>
    </w:p>
    <w:p w14:paraId="02EBC455" w14:textId="77777777" w:rsidR="001B5FD4" w:rsidRPr="00557D58" w:rsidRDefault="002D227C">
      <w:pPr>
        <w:pStyle w:val="SingleTxtG"/>
        <w:rPr>
          <w:lang w:val="en-GB"/>
        </w:rPr>
      </w:pPr>
      <w:r w:rsidRPr="00557D58">
        <w:rPr>
          <w:lang w:val="en-GB"/>
        </w:rPr>
        <w:t>5.12</w:t>
      </w:r>
      <w:r w:rsidRPr="00557D58">
        <w:rPr>
          <w:lang w:val="en-GB"/>
        </w:rPr>
        <w:tab/>
      </w:r>
      <w:r w:rsidR="001B5FD4" w:rsidRPr="00557D58">
        <w:rPr>
          <w:lang w:val="en-GB"/>
        </w:rPr>
        <w:t xml:space="preserve">The State </w:t>
      </w:r>
      <w:r w:rsidR="00D80524">
        <w:rPr>
          <w:lang w:val="en-GB"/>
        </w:rPr>
        <w:t>p</w:t>
      </w:r>
      <w:r w:rsidR="001B5FD4" w:rsidRPr="00557D58">
        <w:rPr>
          <w:lang w:val="en-GB"/>
        </w:rPr>
        <w:t xml:space="preserve">arty </w:t>
      </w:r>
      <w:r w:rsidR="00FE7FA8" w:rsidRPr="00557D58">
        <w:rPr>
          <w:lang w:val="en-GB"/>
        </w:rPr>
        <w:t>contests</w:t>
      </w:r>
      <w:r w:rsidR="001B5FD4" w:rsidRPr="00557D58">
        <w:rPr>
          <w:lang w:val="en-GB"/>
        </w:rPr>
        <w:t xml:space="preserve"> the </w:t>
      </w:r>
      <w:r w:rsidRPr="00557D58">
        <w:rPr>
          <w:lang w:val="en-GB"/>
        </w:rPr>
        <w:t>a</w:t>
      </w:r>
      <w:r w:rsidR="001B5FD4" w:rsidRPr="00557D58">
        <w:rPr>
          <w:lang w:val="en-GB"/>
        </w:rPr>
        <w:t xml:space="preserve">uthor’s account that </w:t>
      </w:r>
      <w:r w:rsidRPr="00557D58">
        <w:rPr>
          <w:lang w:val="en-GB"/>
        </w:rPr>
        <w:t xml:space="preserve">a particular </w:t>
      </w:r>
      <w:r w:rsidR="001B5FD4" w:rsidRPr="00361717">
        <w:rPr>
          <w:lang w:val="en-GB"/>
        </w:rPr>
        <w:t>prison warden</w:t>
      </w:r>
      <w:r w:rsidR="001B5FD4" w:rsidRPr="00557D58">
        <w:rPr>
          <w:lang w:val="en-GB"/>
        </w:rPr>
        <w:t xml:space="preserve"> humiliated, assaulted and otherwise ill</w:t>
      </w:r>
      <w:r w:rsidR="001B5FD4" w:rsidRPr="00557D58">
        <w:rPr>
          <w:rFonts w:ascii="Cambria Math" w:hAnsi="Cambria Math" w:cs="Cambria Math"/>
          <w:lang w:val="en-GB"/>
        </w:rPr>
        <w:t>‐</w:t>
      </w:r>
      <w:r w:rsidR="001B5FD4" w:rsidRPr="00557D58">
        <w:rPr>
          <w:lang w:val="en-GB"/>
        </w:rPr>
        <w:t xml:space="preserve">treated and tortured her, arguing that </w:t>
      </w:r>
      <w:r w:rsidRPr="00557D58">
        <w:rPr>
          <w:lang w:val="en-GB"/>
        </w:rPr>
        <w:t>the said warden wa</w:t>
      </w:r>
      <w:r w:rsidR="001B5FD4" w:rsidRPr="00557D58">
        <w:rPr>
          <w:lang w:val="en-GB"/>
        </w:rPr>
        <w:t xml:space="preserve">s an instructor in the </w:t>
      </w:r>
      <w:r w:rsidR="00D80524" w:rsidRPr="00361717">
        <w:rPr>
          <w:lang w:val="en-GB"/>
        </w:rPr>
        <w:t>young offenders’ unit</w:t>
      </w:r>
      <w:r w:rsidR="00D80524">
        <w:rPr>
          <w:lang w:val="en-GB"/>
        </w:rPr>
        <w:t xml:space="preserve"> </w:t>
      </w:r>
      <w:r w:rsidR="001B5FD4" w:rsidRPr="00557D58">
        <w:rPr>
          <w:lang w:val="en-GB"/>
        </w:rPr>
        <w:t xml:space="preserve">and </w:t>
      </w:r>
      <w:r w:rsidR="00D80524">
        <w:rPr>
          <w:lang w:val="en-GB"/>
        </w:rPr>
        <w:t>therefore</w:t>
      </w:r>
      <w:r w:rsidR="001B5FD4" w:rsidRPr="00557D58">
        <w:rPr>
          <w:lang w:val="en-GB"/>
        </w:rPr>
        <w:t xml:space="preserve"> could not </w:t>
      </w:r>
      <w:r w:rsidR="00D80524">
        <w:rPr>
          <w:lang w:val="en-GB"/>
        </w:rPr>
        <w:t xml:space="preserve">have </w:t>
      </w:r>
      <w:r w:rsidR="001B5FD4" w:rsidRPr="00557D58">
        <w:rPr>
          <w:lang w:val="en-GB"/>
        </w:rPr>
        <w:t>be</w:t>
      </w:r>
      <w:r w:rsidR="00D80524">
        <w:rPr>
          <w:lang w:val="en-GB"/>
        </w:rPr>
        <w:t>en</w:t>
      </w:r>
      <w:r w:rsidR="001B5FD4" w:rsidRPr="00557D58">
        <w:rPr>
          <w:lang w:val="en-GB"/>
        </w:rPr>
        <w:t xml:space="preserve"> in contact with the </w:t>
      </w:r>
      <w:r w:rsidRPr="00557D58">
        <w:rPr>
          <w:lang w:val="en-GB"/>
        </w:rPr>
        <w:t>a</w:t>
      </w:r>
      <w:r w:rsidR="001B5FD4" w:rsidRPr="00557D58">
        <w:rPr>
          <w:lang w:val="en-GB"/>
        </w:rPr>
        <w:t xml:space="preserve">uthor. The </w:t>
      </w:r>
      <w:r w:rsidRPr="00557D58">
        <w:rPr>
          <w:lang w:val="en-GB"/>
        </w:rPr>
        <w:t>author submits that she wr</w:t>
      </w:r>
      <w:r w:rsidR="00FB3196">
        <w:rPr>
          <w:lang w:val="en-GB"/>
        </w:rPr>
        <w:t>ote</w:t>
      </w:r>
      <w:r w:rsidRPr="00557D58">
        <w:rPr>
          <w:lang w:val="en-GB"/>
        </w:rPr>
        <w:t xml:space="preserve"> </w:t>
      </w:r>
      <w:r w:rsidR="001B5FD4" w:rsidRPr="00557D58">
        <w:rPr>
          <w:lang w:val="en-GB"/>
        </w:rPr>
        <w:t xml:space="preserve">about </w:t>
      </w:r>
      <w:r w:rsidRPr="00557D58">
        <w:rPr>
          <w:lang w:val="en-GB"/>
        </w:rPr>
        <w:t>the</w:t>
      </w:r>
      <w:r w:rsidR="001B5FD4" w:rsidRPr="00557D58">
        <w:rPr>
          <w:lang w:val="en-GB"/>
        </w:rPr>
        <w:t xml:space="preserve"> abuse in a letter to her daughter smuggled out of prison</w:t>
      </w:r>
      <w:r w:rsidRPr="00557D58">
        <w:rPr>
          <w:lang w:val="en-GB"/>
        </w:rPr>
        <w:t>. Once the report about the a</w:t>
      </w:r>
      <w:r w:rsidR="001B5FD4" w:rsidRPr="00557D58">
        <w:rPr>
          <w:lang w:val="en-GB"/>
        </w:rPr>
        <w:t xml:space="preserve">uthor’s abuse was covered by international human rights groups, on 3 January 2007, the prison administration terminated the employment of </w:t>
      </w:r>
      <w:r w:rsidRPr="00557D58">
        <w:rPr>
          <w:lang w:val="en-GB"/>
        </w:rPr>
        <w:t>the warden in question</w:t>
      </w:r>
      <w:r w:rsidR="001B5FD4" w:rsidRPr="00557D58">
        <w:rPr>
          <w:lang w:val="en-GB"/>
        </w:rPr>
        <w:t xml:space="preserve">. The </w:t>
      </w:r>
      <w:r w:rsidRPr="00557D58">
        <w:rPr>
          <w:lang w:val="en-GB"/>
        </w:rPr>
        <w:t>a</w:t>
      </w:r>
      <w:r w:rsidR="001B5FD4" w:rsidRPr="00557D58">
        <w:rPr>
          <w:lang w:val="en-GB"/>
        </w:rPr>
        <w:t>uthor</w:t>
      </w:r>
      <w:r w:rsidRPr="00557D58">
        <w:rPr>
          <w:lang w:val="en-GB"/>
        </w:rPr>
        <w:t xml:space="preserve"> maintains that the above</w:t>
      </w:r>
      <w:r w:rsidR="001B5FD4" w:rsidRPr="00557D58">
        <w:rPr>
          <w:lang w:val="en-GB"/>
        </w:rPr>
        <w:t xml:space="preserve"> is additional evidence to support </w:t>
      </w:r>
      <w:r w:rsidR="00FB3196">
        <w:rPr>
          <w:lang w:val="en-GB"/>
        </w:rPr>
        <w:t>was</w:t>
      </w:r>
      <w:r w:rsidR="000310AC" w:rsidRPr="00557D58">
        <w:rPr>
          <w:lang w:val="en-GB"/>
        </w:rPr>
        <w:t xml:space="preserve"> repeatedly</w:t>
      </w:r>
      <w:r w:rsidR="001B5FD4" w:rsidRPr="00557D58">
        <w:rPr>
          <w:lang w:val="en-GB"/>
        </w:rPr>
        <w:t xml:space="preserve"> placed in punishment cells, c</w:t>
      </w:r>
      <w:r w:rsidRPr="00557D58">
        <w:rPr>
          <w:lang w:val="en-GB"/>
        </w:rPr>
        <w:t xml:space="preserve">laiming that she was a </w:t>
      </w:r>
      <w:r w:rsidR="001B5FD4" w:rsidRPr="00557D58">
        <w:rPr>
          <w:lang w:val="en-GB"/>
        </w:rPr>
        <w:t>violator of the rules of confinement</w:t>
      </w:r>
      <w:r w:rsidR="000310AC" w:rsidRPr="00557D58">
        <w:rPr>
          <w:lang w:val="en-GB"/>
        </w:rPr>
        <w:t>, but fails</w:t>
      </w:r>
      <w:r w:rsidR="001B5FD4" w:rsidRPr="00557D58">
        <w:rPr>
          <w:lang w:val="en-GB"/>
        </w:rPr>
        <w:t xml:space="preserve"> to provide any information on how </w:t>
      </w:r>
      <w:r w:rsidR="00284B32" w:rsidRPr="00557D58">
        <w:rPr>
          <w:lang w:val="en-GB"/>
        </w:rPr>
        <w:t>she</w:t>
      </w:r>
      <w:r w:rsidR="001B5FD4" w:rsidRPr="00557D58">
        <w:rPr>
          <w:lang w:val="en-GB"/>
        </w:rPr>
        <w:t xml:space="preserve"> had allegedly violated the rules of confinement. The State </w:t>
      </w:r>
      <w:r w:rsidR="000310AC" w:rsidRPr="00557D58">
        <w:rPr>
          <w:lang w:val="en-GB"/>
        </w:rPr>
        <w:t>p</w:t>
      </w:r>
      <w:r w:rsidR="001B5FD4" w:rsidRPr="00557D58">
        <w:rPr>
          <w:lang w:val="en-GB"/>
        </w:rPr>
        <w:t xml:space="preserve">arty then dismisses the </w:t>
      </w:r>
      <w:r w:rsidR="000310AC" w:rsidRPr="00557D58">
        <w:rPr>
          <w:lang w:val="en-GB"/>
        </w:rPr>
        <w:t>a</w:t>
      </w:r>
      <w:r w:rsidR="001B5FD4" w:rsidRPr="00557D58">
        <w:rPr>
          <w:lang w:val="en-GB"/>
        </w:rPr>
        <w:t>uthor’s account of having spent a total of 112 days in solitary confinement</w:t>
      </w:r>
      <w:r w:rsidR="000310AC" w:rsidRPr="00557D58">
        <w:rPr>
          <w:lang w:val="en-GB"/>
        </w:rPr>
        <w:t xml:space="preserve">, </w:t>
      </w:r>
      <w:r w:rsidR="001B5FD4" w:rsidRPr="00557D58">
        <w:rPr>
          <w:lang w:val="en-GB"/>
        </w:rPr>
        <w:t>argu</w:t>
      </w:r>
      <w:r w:rsidR="000310AC" w:rsidRPr="00557D58">
        <w:rPr>
          <w:lang w:val="en-GB"/>
        </w:rPr>
        <w:t>ing</w:t>
      </w:r>
      <w:r w:rsidR="001B5FD4" w:rsidRPr="00557D58">
        <w:rPr>
          <w:lang w:val="en-GB"/>
        </w:rPr>
        <w:t xml:space="preserve"> that </w:t>
      </w:r>
      <w:r w:rsidR="000310AC" w:rsidRPr="00557D58">
        <w:rPr>
          <w:lang w:val="en-GB"/>
        </w:rPr>
        <w:t>her</w:t>
      </w:r>
      <w:r w:rsidR="001B5FD4" w:rsidRPr="00557D58">
        <w:rPr>
          <w:lang w:val="en-GB"/>
        </w:rPr>
        <w:t xml:space="preserve"> account is fabricated </w:t>
      </w:r>
      <w:r w:rsidR="000310AC" w:rsidRPr="00557D58">
        <w:rPr>
          <w:lang w:val="en-GB"/>
        </w:rPr>
        <w:t>and</w:t>
      </w:r>
      <w:r w:rsidR="001B5FD4" w:rsidRPr="00557D58">
        <w:rPr>
          <w:lang w:val="en-GB"/>
        </w:rPr>
        <w:t xml:space="preserve"> contradictory</w:t>
      </w:r>
      <w:r w:rsidR="000310AC" w:rsidRPr="00557D58">
        <w:rPr>
          <w:lang w:val="en-GB"/>
        </w:rPr>
        <w:t xml:space="preserve">, but fails to address her </w:t>
      </w:r>
      <w:r w:rsidR="001B5FD4" w:rsidRPr="00557D58">
        <w:rPr>
          <w:lang w:val="en-GB"/>
        </w:rPr>
        <w:t xml:space="preserve">allegations </w:t>
      </w:r>
      <w:r w:rsidR="000310AC" w:rsidRPr="00557D58">
        <w:rPr>
          <w:lang w:val="en-GB"/>
        </w:rPr>
        <w:t>that</w:t>
      </w:r>
      <w:r w:rsidR="001B5FD4" w:rsidRPr="00557D58">
        <w:rPr>
          <w:lang w:val="en-GB"/>
        </w:rPr>
        <w:t xml:space="preserve"> the administration made sure that she would not spent more than 15 days in a row in the punishment cells, by releasing her after</w:t>
      </w:r>
      <w:r w:rsidR="00CB5E70" w:rsidRPr="00557D58">
        <w:rPr>
          <w:lang w:val="en-GB"/>
        </w:rPr>
        <w:t xml:space="preserve"> </w:t>
      </w:r>
      <w:r w:rsidR="001B5FD4" w:rsidRPr="00557D58">
        <w:rPr>
          <w:lang w:val="en-GB"/>
        </w:rPr>
        <w:t>15 days, only to send her back</w:t>
      </w:r>
      <w:r w:rsidR="00CB5E70" w:rsidRPr="00557D58">
        <w:rPr>
          <w:lang w:val="en-GB"/>
        </w:rPr>
        <w:t xml:space="preserve"> </w:t>
      </w:r>
      <w:r w:rsidR="001B5FD4" w:rsidRPr="00557D58">
        <w:rPr>
          <w:lang w:val="en-GB"/>
        </w:rPr>
        <w:t>several</w:t>
      </w:r>
      <w:r w:rsidR="00CB5E70" w:rsidRPr="00557D58">
        <w:rPr>
          <w:lang w:val="en-GB"/>
        </w:rPr>
        <w:t xml:space="preserve"> </w:t>
      </w:r>
      <w:r w:rsidR="001B5FD4" w:rsidRPr="00557D58">
        <w:rPr>
          <w:lang w:val="en-GB"/>
        </w:rPr>
        <w:t>hours later or the next</w:t>
      </w:r>
      <w:r w:rsidR="00CB5E70" w:rsidRPr="00557D58">
        <w:rPr>
          <w:lang w:val="en-GB"/>
        </w:rPr>
        <w:t xml:space="preserve"> </w:t>
      </w:r>
      <w:r w:rsidR="001B5FD4" w:rsidRPr="00557D58">
        <w:rPr>
          <w:lang w:val="en-GB"/>
        </w:rPr>
        <w:t xml:space="preserve">day. </w:t>
      </w:r>
    </w:p>
    <w:p w14:paraId="29D7A58E" w14:textId="77777777" w:rsidR="001B5FD4" w:rsidRPr="00557D58" w:rsidRDefault="000310AC" w:rsidP="004C05A1">
      <w:pPr>
        <w:pStyle w:val="SingleTxtG"/>
        <w:rPr>
          <w:lang w:val="en-GB"/>
        </w:rPr>
      </w:pPr>
      <w:r w:rsidRPr="00557D58">
        <w:rPr>
          <w:lang w:val="en-GB"/>
        </w:rPr>
        <w:t>5.13</w:t>
      </w:r>
      <w:r w:rsidRPr="00557D58">
        <w:rPr>
          <w:lang w:val="en-GB"/>
        </w:rPr>
        <w:tab/>
        <w:t>The a</w:t>
      </w:r>
      <w:r w:rsidR="001B5FD4" w:rsidRPr="00557D58">
        <w:rPr>
          <w:lang w:val="en-GB"/>
        </w:rPr>
        <w:t>uthor testified in great detail about the inadequacy of</w:t>
      </w:r>
      <w:r w:rsidR="00FB3196">
        <w:rPr>
          <w:lang w:val="en-GB"/>
        </w:rPr>
        <w:t>, in</w:t>
      </w:r>
      <w:r w:rsidR="001B5FD4" w:rsidRPr="00557D58">
        <w:rPr>
          <w:lang w:val="en-GB"/>
        </w:rPr>
        <w:t xml:space="preserve"> particular</w:t>
      </w:r>
      <w:r w:rsidR="00FB3196">
        <w:rPr>
          <w:lang w:val="en-GB"/>
        </w:rPr>
        <w:t>,</w:t>
      </w:r>
      <w:r w:rsidR="001B5FD4" w:rsidRPr="00557D58">
        <w:rPr>
          <w:lang w:val="en-GB"/>
        </w:rPr>
        <w:t xml:space="preserve"> the punishment cells and stands by her account, which </w:t>
      </w:r>
      <w:r w:rsidR="00AE0806">
        <w:rPr>
          <w:lang w:val="en-GB"/>
        </w:rPr>
        <w:t xml:space="preserve">inadequacy </w:t>
      </w:r>
      <w:r w:rsidR="001B5FD4" w:rsidRPr="00557D58">
        <w:rPr>
          <w:lang w:val="en-GB"/>
        </w:rPr>
        <w:t xml:space="preserve">is also highlighted in letters the </w:t>
      </w:r>
      <w:r w:rsidRPr="00557D58">
        <w:rPr>
          <w:lang w:val="en-GB"/>
        </w:rPr>
        <w:t>a</w:t>
      </w:r>
      <w:r w:rsidR="001B5FD4" w:rsidRPr="00557D58">
        <w:rPr>
          <w:lang w:val="en-GB"/>
        </w:rPr>
        <w:t xml:space="preserve">uthor </w:t>
      </w:r>
      <w:r w:rsidRPr="00557D58">
        <w:rPr>
          <w:lang w:val="en-GB"/>
        </w:rPr>
        <w:t xml:space="preserve">had </w:t>
      </w:r>
      <w:r w:rsidR="001B5FD4" w:rsidRPr="00557D58">
        <w:rPr>
          <w:lang w:val="en-GB"/>
        </w:rPr>
        <w:t>sent to various human rights organi</w:t>
      </w:r>
      <w:r w:rsidR="00D80524">
        <w:rPr>
          <w:lang w:val="en-GB"/>
        </w:rPr>
        <w:t>z</w:t>
      </w:r>
      <w:r w:rsidR="001B5FD4" w:rsidRPr="00557D58">
        <w:rPr>
          <w:lang w:val="en-GB"/>
        </w:rPr>
        <w:t>ations while still in detention.</w:t>
      </w:r>
      <w:r w:rsidRPr="00557D58">
        <w:rPr>
          <w:lang w:val="en-GB"/>
        </w:rPr>
        <w:t xml:space="preserve"> </w:t>
      </w:r>
    </w:p>
    <w:p w14:paraId="50F706AA" w14:textId="77777777" w:rsidR="001B5FD4" w:rsidRPr="00557D58" w:rsidRDefault="000310AC">
      <w:pPr>
        <w:pStyle w:val="SingleTxtG"/>
        <w:rPr>
          <w:lang w:val="en-GB"/>
        </w:rPr>
      </w:pPr>
      <w:r w:rsidRPr="00557D58">
        <w:rPr>
          <w:lang w:val="en-GB"/>
        </w:rPr>
        <w:t>5.14</w:t>
      </w:r>
      <w:r w:rsidRPr="00557D58">
        <w:rPr>
          <w:lang w:val="en-GB"/>
        </w:rPr>
        <w:tab/>
      </w:r>
      <w:r w:rsidR="00D80524">
        <w:rPr>
          <w:lang w:val="en-GB"/>
        </w:rPr>
        <w:t>Regarding</w:t>
      </w:r>
      <w:r w:rsidR="00FE7FA8" w:rsidRPr="00557D58">
        <w:rPr>
          <w:lang w:val="en-GB"/>
        </w:rPr>
        <w:t xml:space="preserve"> medical treatment while in prison, the</w:t>
      </w:r>
      <w:r w:rsidRPr="00557D58">
        <w:rPr>
          <w:lang w:val="en-GB"/>
        </w:rPr>
        <w:t xml:space="preserve"> a</w:t>
      </w:r>
      <w:r w:rsidR="001B5FD4" w:rsidRPr="00557D58">
        <w:rPr>
          <w:lang w:val="en-GB"/>
        </w:rPr>
        <w:t xml:space="preserve">uthor </w:t>
      </w:r>
      <w:r w:rsidRPr="00557D58">
        <w:rPr>
          <w:lang w:val="en-GB"/>
        </w:rPr>
        <w:t>reiterates that w</w:t>
      </w:r>
      <w:r w:rsidR="001B5FD4" w:rsidRPr="00557D58">
        <w:rPr>
          <w:lang w:val="en-GB"/>
        </w:rPr>
        <w:t xml:space="preserve">hile some treatment was provided, it was </w:t>
      </w:r>
      <w:r w:rsidR="00FB3196">
        <w:rPr>
          <w:lang w:val="en-GB"/>
        </w:rPr>
        <w:t xml:space="preserve">in general </w:t>
      </w:r>
      <w:r w:rsidR="001B5FD4" w:rsidRPr="00557D58">
        <w:rPr>
          <w:lang w:val="en-GB"/>
        </w:rPr>
        <w:t>only when her condition became too</w:t>
      </w:r>
      <w:r w:rsidR="00D178AC" w:rsidRPr="00557D58">
        <w:rPr>
          <w:lang w:val="en-GB"/>
        </w:rPr>
        <w:t xml:space="preserve"> serious for the authorities to</w:t>
      </w:r>
      <w:r w:rsidR="001B5FD4" w:rsidRPr="00557D58">
        <w:rPr>
          <w:lang w:val="en-GB"/>
        </w:rPr>
        <w:t xml:space="preserve"> ignore and after repeated requests for treatment had been</w:t>
      </w:r>
      <w:r w:rsidR="00CB5E70" w:rsidRPr="00557D58">
        <w:rPr>
          <w:lang w:val="en-GB"/>
        </w:rPr>
        <w:t xml:space="preserve"> </w:t>
      </w:r>
      <w:r w:rsidR="001B5FD4" w:rsidRPr="00557D58">
        <w:rPr>
          <w:lang w:val="en-GB"/>
        </w:rPr>
        <w:t>rejected.</w:t>
      </w:r>
      <w:r w:rsidRPr="00557D58">
        <w:rPr>
          <w:lang w:val="en-GB"/>
        </w:rPr>
        <w:t xml:space="preserve"> </w:t>
      </w:r>
      <w:r w:rsidR="001B5FD4" w:rsidRPr="00557D58">
        <w:rPr>
          <w:lang w:val="en-GB"/>
        </w:rPr>
        <w:t>Mor</w:t>
      </w:r>
      <w:r w:rsidRPr="00557D58">
        <w:rPr>
          <w:lang w:val="en-GB"/>
        </w:rPr>
        <w:t>eover, the State</w:t>
      </w:r>
      <w:r w:rsidR="00CB5E70" w:rsidRPr="00557D58">
        <w:rPr>
          <w:lang w:val="en-GB"/>
        </w:rPr>
        <w:t xml:space="preserve"> </w:t>
      </w:r>
      <w:r w:rsidRPr="00557D58">
        <w:rPr>
          <w:lang w:val="en-GB"/>
        </w:rPr>
        <w:t>p</w:t>
      </w:r>
      <w:r w:rsidR="001B5FD4" w:rsidRPr="00557D58">
        <w:rPr>
          <w:lang w:val="en-GB"/>
        </w:rPr>
        <w:t>arty has failed to provide any details o</w:t>
      </w:r>
      <w:r w:rsidR="00FE7FA8" w:rsidRPr="00557D58">
        <w:rPr>
          <w:lang w:val="en-GB"/>
        </w:rPr>
        <w:t>f</w:t>
      </w:r>
      <w:r w:rsidR="001B5FD4" w:rsidRPr="00557D58">
        <w:rPr>
          <w:lang w:val="en-GB"/>
        </w:rPr>
        <w:t xml:space="preserve"> the treatment allegedly provided to the </w:t>
      </w:r>
      <w:r w:rsidRPr="00557D58">
        <w:rPr>
          <w:lang w:val="en-GB"/>
        </w:rPr>
        <w:t>a</w:t>
      </w:r>
      <w:r w:rsidR="001B5FD4" w:rsidRPr="00557D58">
        <w:rPr>
          <w:lang w:val="en-GB"/>
        </w:rPr>
        <w:t>uthor</w:t>
      </w:r>
      <w:r w:rsidR="00D80524">
        <w:rPr>
          <w:lang w:val="en-GB"/>
        </w:rPr>
        <w:t>,</w:t>
      </w:r>
      <w:r w:rsidR="001B5FD4" w:rsidRPr="00557D58">
        <w:rPr>
          <w:lang w:val="en-GB"/>
        </w:rPr>
        <w:t xml:space="preserve"> such as the reasons for the treatment or the results of the various examinations. It has also not adduced any evidence such as medical reports</w:t>
      </w:r>
      <w:r w:rsidR="00D80524">
        <w:rPr>
          <w:lang w:val="en-GB"/>
        </w:rPr>
        <w:t>,</w:t>
      </w:r>
      <w:r w:rsidR="001B5FD4" w:rsidRPr="00557D58">
        <w:rPr>
          <w:lang w:val="en-GB"/>
        </w:rPr>
        <w:t xml:space="preserve"> in support of its claim that it provided adequate medical care. The claim that</w:t>
      </w:r>
      <w:r w:rsidR="00CB5E70" w:rsidRPr="00557D58">
        <w:rPr>
          <w:lang w:val="en-GB"/>
        </w:rPr>
        <w:t xml:space="preserve"> </w:t>
      </w:r>
      <w:r w:rsidR="001B5FD4" w:rsidRPr="00557D58">
        <w:rPr>
          <w:lang w:val="en-GB"/>
        </w:rPr>
        <w:t xml:space="preserve">the </w:t>
      </w:r>
      <w:r w:rsidR="00E341D8" w:rsidRPr="00557D58">
        <w:rPr>
          <w:lang w:val="en-GB"/>
        </w:rPr>
        <w:t>a</w:t>
      </w:r>
      <w:r w:rsidR="001B5FD4" w:rsidRPr="00557D58">
        <w:rPr>
          <w:lang w:val="en-GB"/>
        </w:rPr>
        <w:t>uthor received</w:t>
      </w:r>
      <w:r w:rsidR="00CB5E70" w:rsidRPr="00557D58">
        <w:rPr>
          <w:lang w:val="en-GB"/>
        </w:rPr>
        <w:t xml:space="preserve"> </w:t>
      </w:r>
      <w:r w:rsidR="001B5FD4" w:rsidRPr="00557D58">
        <w:rPr>
          <w:lang w:val="en-GB"/>
        </w:rPr>
        <w:t>adequate medical care contradicts reports</w:t>
      </w:r>
      <w:r w:rsidR="00FE7FA8" w:rsidRPr="00557D58">
        <w:rPr>
          <w:lang w:val="en-GB"/>
        </w:rPr>
        <w:t xml:space="preserve"> (see </w:t>
      </w:r>
      <w:r w:rsidR="00FE7FA8" w:rsidRPr="00361717">
        <w:rPr>
          <w:lang w:val="en-GB"/>
        </w:rPr>
        <w:t>para</w:t>
      </w:r>
      <w:r w:rsidR="00D80524" w:rsidRPr="00895641">
        <w:rPr>
          <w:lang w:val="en-GB"/>
        </w:rPr>
        <w:t>.</w:t>
      </w:r>
      <w:r w:rsidR="00FE7FA8" w:rsidRPr="00361717">
        <w:rPr>
          <w:lang w:val="en-GB"/>
        </w:rPr>
        <w:t xml:space="preserve"> 2.14</w:t>
      </w:r>
      <w:r w:rsidR="00D80524">
        <w:rPr>
          <w:lang w:val="en-GB"/>
        </w:rPr>
        <w:t xml:space="preserve"> above</w:t>
      </w:r>
      <w:r w:rsidR="00FE7FA8" w:rsidRPr="00557D58">
        <w:rPr>
          <w:lang w:val="en-GB"/>
        </w:rPr>
        <w:t>)</w:t>
      </w:r>
      <w:r w:rsidR="001B5FD4" w:rsidRPr="00557D58">
        <w:rPr>
          <w:lang w:val="en-GB"/>
        </w:rPr>
        <w:t xml:space="preserve"> confirming that the </w:t>
      </w:r>
      <w:r w:rsidR="00E341D8" w:rsidRPr="00557D58">
        <w:rPr>
          <w:lang w:val="en-GB"/>
        </w:rPr>
        <w:t>a</w:t>
      </w:r>
      <w:r w:rsidR="001B5FD4" w:rsidRPr="00557D58">
        <w:rPr>
          <w:lang w:val="en-GB"/>
        </w:rPr>
        <w:t xml:space="preserve">uthor’s health </w:t>
      </w:r>
      <w:r w:rsidR="00FE7FA8" w:rsidRPr="00557D58">
        <w:rPr>
          <w:lang w:val="en-GB"/>
        </w:rPr>
        <w:t>deteriorated</w:t>
      </w:r>
      <w:r w:rsidR="001B5FD4" w:rsidRPr="00557D58">
        <w:rPr>
          <w:lang w:val="en-GB"/>
        </w:rPr>
        <w:t xml:space="preserve"> significantly as a result of the conditions in which she </w:t>
      </w:r>
      <w:r w:rsidR="00D80524">
        <w:rPr>
          <w:lang w:val="en-GB"/>
        </w:rPr>
        <w:t>wa</w:t>
      </w:r>
      <w:r w:rsidR="001B5FD4" w:rsidRPr="00557D58">
        <w:rPr>
          <w:lang w:val="en-GB"/>
        </w:rPr>
        <w:t>s held</w:t>
      </w:r>
      <w:r w:rsidR="00FE7FA8" w:rsidRPr="00557D58">
        <w:rPr>
          <w:lang w:val="en-GB"/>
        </w:rPr>
        <w:t>.</w:t>
      </w:r>
      <w:r w:rsidR="001B5FD4" w:rsidRPr="00557D58">
        <w:rPr>
          <w:lang w:val="en-GB"/>
        </w:rPr>
        <w:t xml:space="preserve"> </w:t>
      </w:r>
    </w:p>
    <w:p w14:paraId="2FC77C94" w14:textId="77777777" w:rsidR="001B5FD4" w:rsidRPr="00557D58" w:rsidRDefault="00E341D8">
      <w:pPr>
        <w:pStyle w:val="SingleTxtG"/>
        <w:rPr>
          <w:lang w:val="en-GB"/>
        </w:rPr>
      </w:pPr>
      <w:r w:rsidRPr="00557D58">
        <w:rPr>
          <w:lang w:val="en-GB"/>
        </w:rPr>
        <w:t>5.15</w:t>
      </w:r>
      <w:r w:rsidRPr="00557D58">
        <w:rPr>
          <w:lang w:val="en-GB"/>
        </w:rPr>
        <w:tab/>
      </w:r>
      <w:r w:rsidR="001B5FD4" w:rsidRPr="00557D58">
        <w:rPr>
          <w:lang w:val="en-GB"/>
        </w:rPr>
        <w:t xml:space="preserve">The </w:t>
      </w:r>
      <w:r w:rsidRPr="00557D58">
        <w:rPr>
          <w:lang w:val="en-GB"/>
        </w:rPr>
        <w:t>a</w:t>
      </w:r>
      <w:r w:rsidR="001B5FD4" w:rsidRPr="00557D58">
        <w:rPr>
          <w:lang w:val="en-GB"/>
        </w:rPr>
        <w:t xml:space="preserve">uthor </w:t>
      </w:r>
      <w:r w:rsidRPr="00557D58">
        <w:rPr>
          <w:lang w:val="en-GB"/>
        </w:rPr>
        <w:t>submits that, with regard to</w:t>
      </w:r>
      <w:r w:rsidR="001B5FD4" w:rsidRPr="00557D58">
        <w:rPr>
          <w:lang w:val="en-GB"/>
        </w:rPr>
        <w:t xml:space="preserve"> </w:t>
      </w:r>
      <w:r w:rsidRPr="00557D58">
        <w:rPr>
          <w:lang w:val="en-GB"/>
        </w:rPr>
        <w:t xml:space="preserve">the surgery performed on her in March 2008, </w:t>
      </w:r>
      <w:r w:rsidR="001B5FD4" w:rsidRPr="00557D58">
        <w:rPr>
          <w:lang w:val="en-GB"/>
        </w:rPr>
        <w:t xml:space="preserve">the State </w:t>
      </w:r>
      <w:r w:rsidR="00D80524">
        <w:rPr>
          <w:lang w:val="en-GB"/>
        </w:rPr>
        <w:t>p</w:t>
      </w:r>
      <w:r w:rsidR="001B5FD4" w:rsidRPr="00557D58">
        <w:rPr>
          <w:lang w:val="en-GB"/>
        </w:rPr>
        <w:t xml:space="preserve">arty </w:t>
      </w:r>
      <w:r w:rsidRPr="00557D58">
        <w:rPr>
          <w:lang w:val="en-GB"/>
        </w:rPr>
        <w:t xml:space="preserve">has not </w:t>
      </w:r>
      <w:r w:rsidR="001B5FD4" w:rsidRPr="00557D58">
        <w:rPr>
          <w:lang w:val="en-GB"/>
        </w:rPr>
        <w:t>provide</w:t>
      </w:r>
      <w:r w:rsidRPr="00557D58">
        <w:rPr>
          <w:lang w:val="en-GB"/>
        </w:rPr>
        <w:t>d</w:t>
      </w:r>
      <w:r w:rsidR="001B5FD4" w:rsidRPr="00557D58">
        <w:rPr>
          <w:lang w:val="en-GB"/>
        </w:rPr>
        <w:t xml:space="preserve"> any evidence in support of its claim that the surgery was medically necessary</w:t>
      </w:r>
      <w:r w:rsidRPr="00557D58">
        <w:rPr>
          <w:lang w:val="en-GB"/>
        </w:rPr>
        <w:t>,</w:t>
      </w:r>
      <w:r w:rsidR="00FB3196">
        <w:rPr>
          <w:lang w:val="en-GB"/>
        </w:rPr>
        <w:t xml:space="preserve"> and</w:t>
      </w:r>
      <w:r w:rsidRPr="00557D58">
        <w:rPr>
          <w:lang w:val="en-GB"/>
        </w:rPr>
        <w:t xml:space="preserve"> has</w:t>
      </w:r>
      <w:r w:rsidR="001B5FD4" w:rsidRPr="00557D58">
        <w:rPr>
          <w:lang w:val="en-GB"/>
        </w:rPr>
        <w:t xml:space="preserve"> not identif</w:t>
      </w:r>
      <w:r w:rsidRPr="00557D58">
        <w:rPr>
          <w:lang w:val="en-GB"/>
        </w:rPr>
        <w:t>ied</w:t>
      </w:r>
      <w:r w:rsidR="001B5FD4" w:rsidRPr="00557D58">
        <w:rPr>
          <w:lang w:val="en-GB"/>
        </w:rPr>
        <w:t xml:space="preserve"> the treatment </w:t>
      </w:r>
      <w:r w:rsidRPr="00557D58">
        <w:rPr>
          <w:lang w:val="en-GB"/>
        </w:rPr>
        <w:t xml:space="preserve">or adduced any medical reports </w:t>
      </w:r>
      <w:r w:rsidR="001B5FD4" w:rsidRPr="00557D58">
        <w:rPr>
          <w:lang w:val="en-GB"/>
        </w:rPr>
        <w:t xml:space="preserve">that would show that the hysterectomy was necessary. </w:t>
      </w:r>
      <w:r w:rsidR="00284B32" w:rsidRPr="00557D58">
        <w:rPr>
          <w:lang w:val="en-GB"/>
        </w:rPr>
        <w:t>T</w:t>
      </w:r>
      <w:r w:rsidR="001B5FD4" w:rsidRPr="00557D58">
        <w:rPr>
          <w:lang w:val="en-GB"/>
        </w:rPr>
        <w:t xml:space="preserve">he State </w:t>
      </w:r>
      <w:r w:rsidRPr="00557D58">
        <w:rPr>
          <w:lang w:val="en-GB"/>
        </w:rPr>
        <w:t>p</w:t>
      </w:r>
      <w:r w:rsidR="001B5FD4" w:rsidRPr="00557D58">
        <w:rPr>
          <w:lang w:val="en-GB"/>
        </w:rPr>
        <w:t>arty’s failure to provide such information means that</w:t>
      </w:r>
      <w:r w:rsidR="00D80524">
        <w:rPr>
          <w:lang w:val="en-GB"/>
        </w:rPr>
        <w:t>,</w:t>
      </w:r>
      <w:r w:rsidR="001B5FD4" w:rsidRPr="00557D58">
        <w:rPr>
          <w:lang w:val="en-GB"/>
        </w:rPr>
        <w:t xml:space="preserve"> more than six years after the surgery, the </w:t>
      </w:r>
      <w:r w:rsidRPr="00557D58">
        <w:rPr>
          <w:lang w:val="en-GB"/>
        </w:rPr>
        <w:t>a</w:t>
      </w:r>
      <w:r w:rsidR="001B5FD4" w:rsidRPr="00557D58">
        <w:rPr>
          <w:lang w:val="en-GB"/>
        </w:rPr>
        <w:t xml:space="preserve">uthor </w:t>
      </w:r>
      <w:r w:rsidR="00FB3196" w:rsidRPr="00557D58">
        <w:rPr>
          <w:lang w:val="en-GB"/>
        </w:rPr>
        <w:t xml:space="preserve">still </w:t>
      </w:r>
      <w:r w:rsidR="001B5FD4" w:rsidRPr="00557D58">
        <w:rPr>
          <w:lang w:val="en-GB"/>
        </w:rPr>
        <w:t>does not know the reasons for the forced sterili</w:t>
      </w:r>
      <w:r w:rsidR="00D80524">
        <w:rPr>
          <w:lang w:val="en-GB"/>
        </w:rPr>
        <w:t>z</w:t>
      </w:r>
      <w:r w:rsidR="001B5FD4" w:rsidRPr="00557D58">
        <w:rPr>
          <w:lang w:val="en-GB"/>
        </w:rPr>
        <w:t xml:space="preserve">ation </w:t>
      </w:r>
      <w:r w:rsidR="00D80524">
        <w:rPr>
          <w:lang w:val="en-GB"/>
        </w:rPr>
        <w:t xml:space="preserve">to which </w:t>
      </w:r>
      <w:r w:rsidR="001B5FD4" w:rsidRPr="00557D58">
        <w:rPr>
          <w:lang w:val="en-GB"/>
        </w:rPr>
        <w:t xml:space="preserve">she was subjected. The State </w:t>
      </w:r>
      <w:r w:rsidRPr="00557D58">
        <w:rPr>
          <w:lang w:val="en-GB"/>
        </w:rPr>
        <w:t>p</w:t>
      </w:r>
      <w:r w:rsidR="001B5FD4" w:rsidRPr="00557D58">
        <w:rPr>
          <w:lang w:val="en-GB"/>
        </w:rPr>
        <w:t xml:space="preserve">arty </w:t>
      </w:r>
      <w:r w:rsidR="00FB3196">
        <w:rPr>
          <w:lang w:val="en-GB"/>
        </w:rPr>
        <w:t xml:space="preserve">has </w:t>
      </w:r>
      <w:r w:rsidR="001B5FD4" w:rsidRPr="00557D58">
        <w:rPr>
          <w:lang w:val="en-GB"/>
        </w:rPr>
        <w:t>also fail</w:t>
      </w:r>
      <w:r w:rsidRPr="00557D58">
        <w:rPr>
          <w:lang w:val="en-GB"/>
        </w:rPr>
        <w:t>ed</w:t>
      </w:r>
      <w:r w:rsidR="001B5FD4" w:rsidRPr="00557D58">
        <w:rPr>
          <w:lang w:val="en-GB"/>
        </w:rPr>
        <w:t xml:space="preserve"> to demonstrate how it allegedly informed the </w:t>
      </w:r>
      <w:r w:rsidRPr="00557D58">
        <w:rPr>
          <w:lang w:val="en-GB"/>
        </w:rPr>
        <w:t>a</w:t>
      </w:r>
      <w:r w:rsidR="001B5FD4" w:rsidRPr="00557D58">
        <w:rPr>
          <w:lang w:val="en-GB"/>
        </w:rPr>
        <w:t xml:space="preserve">uthor about the need for the surgery. Notably, the State </w:t>
      </w:r>
      <w:r w:rsidRPr="00557D58">
        <w:rPr>
          <w:lang w:val="en-GB"/>
        </w:rPr>
        <w:t>p</w:t>
      </w:r>
      <w:r w:rsidR="001B5FD4" w:rsidRPr="00557D58">
        <w:rPr>
          <w:lang w:val="en-GB"/>
        </w:rPr>
        <w:t xml:space="preserve">arty does not expressly refute the </w:t>
      </w:r>
      <w:r w:rsidRPr="00557D58">
        <w:rPr>
          <w:lang w:val="en-GB"/>
        </w:rPr>
        <w:t>a</w:t>
      </w:r>
      <w:r w:rsidR="001B5FD4" w:rsidRPr="00557D58">
        <w:rPr>
          <w:lang w:val="en-GB"/>
        </w:rPr>
        <w:t xml:space="preserve">uthor’s submission that she did not agree to the hysterectomy. The State </w:t>
      </w:r>
      <w:r w:rsidRPr="00557D58">
        <w:rPr>
          <w:lang w:val="en-GB"/>
        </w:rPr>
        <w:t>p</w:t>
      </w:r>
      <w:r w:rsidR="001B5FD4" w:rsidRPr="00557D58">
        <w:rPr>
          <w:lang w:val="en-GB"/>
        </w:rPr>
        <w:t xml:space="preserve">arty does not address the extensive expert evidence submitted by the </w:t>
      </w:r>
      <w:r w:rsidRPr="00557D58">
        <w:rPr>
          <w:lang w:val="en-GB"/>
        </w:rPr>
        <w:t>a</w:t>
      </w:r>
      <w:r w:rsidR="001B5FD4" w:rsidRPr="00557D58">
        <w:rPr>
          <w:lang w:val="en-GB"/>
        </w:rPr>
        <w:t>uthor</w:t>
      </w:r>
      <w:r w:rsidR="005A3A00">
        <w:rPr>
          <w:lang w:val="en-GB"/>
        </w:rPr>
        <w:t>,</w:t>
      </w:r>
      <w:r w:rsidR="001B5FD4" w:rsidRPr="00557D58">
        <w:rPr>
          <w:lang w:val="en-GB"/>
        </w:rPr>
        <w:t xml:space="preserve"> which shows that it resulted in permanent physical and severe mental </w:t>
      </w:r>
      <w:r w:rsidR="005C3266" w:rsidRPr="00557D58">
        <w:rPr>
          <w:lang w:val="en-GB"/>
        </w:rPr>
        <w:t>damage</w:t>
      </w:r>
      <w:r w:rsidRPr="00557D58">
        <w:rPr>
          <w:lang w:val="en-GB"/>
        </w:rPr>
        <w:t xml:space="preserve">. </w:t>
      </w:r>
      <w:r w:rsidR="001B5FD4" w:rsidRPr="00557D58">
        <w:rPr>
          <w:lang w:val="en-GB"/>
        </w:rPr>
        <w:t xml:space="preserve">The </w:t>
      </w:r>
      <w:r w:rsidRPr="00557D58">
        <w:rPr>
          <w:lang w:val="en-GB"/>
        </w:rPr>
        <w:t>a</w:t>
      </w:r>
      <w:r w:rsidR="001B5FD4" w:rsidRPr="00557D58">
        <w:rPr>
          <w:lang w:val="en-GB"/>
        </w:rPr>
        <w:t xml:space="preserve">uthor </w:t>
      </w:r>
      <w:r w:rsidRPr="00557D58">
        <w:rPr>
          <w:lang w:val="en-GB"/>
        </w:rPr>
        <w:t xml:space="preserve">maintains that </w:t>
      </w:r>
      <w:r w:rsidR="001B5FD4" w:rsidRPr="00557D58">
        <w:rPr>
          <w:lang w:val="en-GB"/>
        </w:rPr>
        <w:t xml:space="preserve">she established a more than credible prima facie case that the hysterectomy was carried out without </w:t>
      </w:r>
      <w:r w:rsidRPr="00557D58">
        <w:rPr>
          <w:lang w:val="en-GB"/>
        </w:rPr>
        <w:t xml:space="preserve">her </w:t>
      </w:r>
      <w:r w:rsidR="001B5FD4" w:rsidRPr="00557D58">
        <w:rPr>
          <w:lang w:val="en-GB"/>
        </w:rPr>
        <w:t>consent</w:t>
      </w:r>
      <w:r w:rsidRPr="00557D58">
        <w:rPr>
          <w:lang w:val="en-GB"/>
        </w:rPr>
        <w:t>,</w:t>
      </w:r>
      <w:r w:rsidR="001B5FD4" w:rsidRPr="00557D58">
        <w:rPr>
          <w:lang w:val="en-GB"/>
        </w:rPr>
        <w:t xml:space="preserve"> caused severe pain and suffering and constituted </w:t>
      </w:r>
      <w:r w:rsidRPr="00557D58">
        <w:rPr>
          <w:lang w:val="en-GB"/>
        </w:rPr>
        <w:t>torture</w:t>
      </w:r>
      <w:r w:rsidR="005A3A00">
        <w:rPr>
          <w:lang w:val="en-GB"/>
        </w:rPr>
        <w:t>,</w:t>
      </w:r>
      <w:r w:rsidRPr="00557D58">
        <w:rPr>
          <w:lang w:val="en-GB"/>
        </w:rPr>
        <w:t xml:space="preserve"> in violation of article </w:t>
      </w:r>
      <w:r w:rsidR="001B5FD4" w:rsidRPr="00557D58">
        <w:rPr>
          <w:lang w:val="en-GB"/>
        </w:rPr>
        <w:t>7.</w:t>
      </w:r>
    </w:p>
    <w:p w14:paraId="130304EC" w14:textId="77777777" w:rsidR="001B5FD4" w:rsidRPr="00557D58" w:rsidRDefault="00E341D8" w:rsidP="004C05A1">
      <w:pPr>
        <w:pStyle w:val="SingleTxtG"/>
        <w:rPr>
          <w:lang w:val="en-GB"/>
        </w:rPr>
      </w:pPr>
      <w:r w:rsidRPr="00557D58">
        <w:rPr>
          <w:lang w:val="en-GB"/>
        </w:rPr>
        <w:t>5.16</w:t>
      </w:r>
      <w:r w:rsidRPr="00557D58">
        <w:rPr>
          <w:lang w:val="en-GB"/>
        </w:rPr>
        <w:tab/>
      </w:r>
      <w:r w:rsidR="001B5FD4" w:rsidRPr="00557D58">
        <w:rPr>
          <w:lang w:val="en-GB"/>
        </w:rPr>
        <w:t xml:space="preserve">The </w:t>
      </w:r>
      <w:r w:rsidRPr="00557D58">
        <w:rPr>
          <w:lang w:val="en-GB"/>
        </w:rPr>
        <w:t>a</w:t>
      </w:r>
      <w:r w:rsidR="001B5FD4" w:rsidRPr="00557D58">
        <w:rPr>
          <w:lang w:val="en-GB"/>
        </w:rPr>
        <w:t xml:space="preserve">uthor </w:t>
      </w:r>
      <w:r w:rsidRPr="00557D58">
        <w:rPr>
          <w:lang w:val="en-GB"/>
        </w:rPr>
        <w:t>submits that</w:t>
      </w:r>
      <w:r w:rsidR="00D80524">
        <w:rPr>
          <w:lang w:val="en-GB"/>
        </w:rPr>
        <w:t>,</w:t>
      </w:r>
      <w:r w:rsidRPr="00557D58">
        <w:rPr>
          <w:lang w:val="en-GB"/>
        </w:rPr>
        <w:t xml:space="preserve"> d</w:t>
      </w:r>
      <w:r w:rsidR="001B5FD4" w:rsidRPr="00557D58">
        <w:rPr>
          <w:lang w:val="en-GB"/>
        </w:rPr>
        <w:t xml:space="preserve">uring the 23 months </w:t>
      </w:r>
      <w:r w:rsidR="00D80524">
        <w:rPr>
          <w:lang w:val="en-GB"/>
        </w:rPr>
        <w:t xml:space="preserve">for which </w:t>
      </w:r>
      <w:r w:rsidRPr="00557D58">
        <w:rPr>
          <w:lang w:val="en-GB"/>
        </w:rPr>
        <w:t>she</w:t>
      </w:r>
      <w:r w:rsidR="001B5FD4" w:rsidRPr="00557D58">
        <w:rPr>
          <w:lang w:val="en-GB"/>
        </w:rPr>
        <w:t xml:space="preserve"> was imprisoned, the special </w:t>
      </w:r>
      <w:r w:rsidR="004C05A1">
        <w:rPr>
          <w:lang w:val="en-GB"/>
        </w:rPr>
        <w:t>procurator</w:t>
      </w:r>
      <w:r w:rsidR="004C05A1" w:rsidRPr="00557D58">
        <w:rPr>
          <w:lang w:val="en-GB"/>
        </w:rPr>
        <w:t xml:space="preserve"> </w:t>
      </w:r>
      <w:r w:rsidR="001B5FD4" w:rsidRPr="00557D58">
        <w:rPr>
          <w:lang w:val="en-GB"/>
        </w:rPr>
        <w:t xml:space="preserve">visited only on two occasions, on or around 20 September 2006 and on or around 28 March 2007. On both occasions, the administration had the </w:t>
      </w:r>
      <w:r w:rsidRPr="00557D58">
        <w:rPr>
          <w:lang w:val="en-GB"/>
        </w:rPr>
        <w:t>a</w:t>
      </w:r>
      <w:r w:rsidR="001B5FD4" w:rsidRPr="00557D58">
        <w:rPr>
          <w:lang w:val="en-GB"/>
        </w:rPr>
        <w:t xml:space="preserve">uthor sent to the punishment cells. </w:t>
      </w:r>
      <w:r w:rsidR="00234035" w:rsidRPr="00895641">
        <w:rPr>
          <w:lang w:val="en-GB"/>
        </w:rPr>
        <w:t>D</w:t>
      </w:r>
      <w:r w:rsidR="001B5FD4" w:rsidRPr="00557D58">
        <w:rPr>
          <w:lang w:val="en-GB"/>
        </w:rPr>
        <w:t>uring the second visit</w:t>
      </w:r>
      <w:r w:rsidR="00D80524">
        <w:rPr>
          <w:lang w:val="en-GB"/>
        </w:rPr>
        <w:t>,</w:t>
      </w:r>
      <w:r w:rsidR="001B5FD4" w:rsidRPr="00557D58">
        <w:rPr>
          <w:lang w:val="en-GB"/>
        </w:rPr>
        <w:t xml:space="preserve"> the adminis</w:t>
      </w:r>
      <w:r w:rsidRPr="00557D58">
        <w:rPr>
          <w:lang w:val="en-GB"/>
        </w:rPr>
        <w:t>tration release</w:t>
      </w:r>
      <w:r w:rsidR="00234035" w:rsidRPr="00895641">
        <w:rPr>
          <w:lang w:val="en-GB"/>
        </w:rPr>
        <w:t>d her</w:t>
      </w:r>
      <w:r w:rsidR="001B5FD4" w:rsidRPr="00557D58">
        <w:rPr>
          <w:lang w:val="en-GB"/>
        </w:rPr>
        <w:t xml:space="preserve"> from the punishment cell and allowed her to meet with </w:t>
      </w:r>
      <w:r w:rsidRPr="00557D58">
        <w:rPr>
          <w:lang w:val="en-GB"/>
        </w:rPr>
        <w:t xml:space="preserve">the </w:t>
      </w:r>
      <w:r w:rsidR="004C05A1">
        <w:rPr>
          <w:lang w:val="en-GB"/>
        </w:rPr>
        <w:t>procurator</w:t>
      </w:r>
      <w:r w:rsidR="00234035" w:rsidRPr="00557D58">
        <w:rPr>
          <w:lang w:val="en-GB"/>
        </w:rPr>
        <w:t>, but, a</w:t>
      </w:r>
      <w:r w:rsidR="00456F29" w:rsidRPr="00557D58">
        <w:rPr>
          <w:lang w:val="en-GB"/>
        </w:rPr>
        <w:t>lthough s</w:t>
      </w:r>
      <w:r w:rsidR="00602A0F" w:rsidRPr="00557D58">
        <w:rPr>
          <w:lang w:val="en-GB"/>
        </w:rPr>
        <w:t xml:space="preserve">he raised </w:t>
      </w:r>
      <w:r w:rsidR="00D80524" w:rsidRPr="00557D58">
        <w:rPr>
          <w:lang w:val="en-GB"/>
        </w:rPr>
        <w:lastRenderedPageBreak/>
        <w:t>complaints</w:t>
      </w:r>
      <w:r w:rsidR="00D80524">
        <w:rPr>
          <w:lang w:val="en-GB"/>
        </w:rPr>
        <w:t xml:space="preserve"> of </w:t>
      </w:r>
      <w:r w:rsidR="00456F29" w:rsidRPr="00557D58">
        <w:rPr>
          <w:lang w:val="en-GB"/>
        </w:rPr>
        <w:t>ill-treatment</w:t>
      </w:r>
      <w:r w:rsidR="001B5FD4" w:rsidRPr="00557D58">
        <w:rPr>
          <w:lang w:val="en-GB"/>
        </w:rPr>
        <w:t xml:space="preserve">, </w:t>
      </w:r>
      <w:r w:rsidR="002D34B4" w:rsidRPr="00557D58">
        <w:rPr>
          <w:lang w:val="en-GB"/>
        </w:rPr>
        <w:t xml:space="preserve">the </w:t>
      </w:r>
      <w:r w:rsidR="004C05A1">
        <w:rPr>
          <w:lang w:val="en-GB"/>
        </w:rPr>
        <w:t>procurator</w:t>
      </w:r>
      <w:r w:rsidR="004C05A1" w:rsidRPr="00557D58">
        <w:rPr>
          <w:lang w:val="en-GB"/>
        </w:rPr>
        <w:t xml:space="preserve"> </w:t>
      </w:r>
      <w:r w:rsidR="001B5FD4" w:rsidRPr="00557D58">
        <w:rPr>
          <w:lang w:val="en-GB"/>
        </w:rPr>
        <w:t xml:space="preserve">failed to investigate </w:t>
      </w:r>
      <w:r w:rsidR="00D80524">
        <w:rPr>
          <w:lang w:val="en-GB"/>
        </w:rPr>
        <w:t>or</w:t>
      </w:r>
      <w:r w:rsidR="001B5FD4" w:rsidRPr="00557D58">
        <w:rPr>
          <w:lang w:val="en-GB"/>
        </w:rPr>
        <w:t xml:space="preserve"> take any measures to address</w:t>
      </w:r>
      <w:r w:rsidR="00D80524">
        <w:rPr>
          <w:lang w:val="en-GB"/>
        </w:rPr>
        <w:t xml:space="preserve"> </w:t>
      </w:r>
      <w:r w:rsidR="00456F29" w:rsidRPr="00557D58">
        <w:rPr>
          <w:lang w:val="en-GB"/>
        </w:rPr>
        <w:t>th</w:t>
      </w:r>
      <w:r w:rsidR="00D80524">
        <w:rPr>
          <w:lang w:val="en-GB"/>
        </w:rPr>
        <w:t>o</w:t>
      </w:r>
      <w:r w:rsidR="00456F29" w:rsidRPr="00557D58">
        <w:rPr>
          <w:lang w:val="en-GB"/>
        </w:rPr>
        <w:t>se</w:t>
      </w:r>
      <w:r w:rsidR="00D80524">
        <w:rPr>
          <w:lang w:val="en-GB"/>
        </w:rPr>
        <w:t xml:space="preserve"> complaints</w:t>
      </w:r>
      <w:r w:rsidR="001B5FD4" w:rsidRPr="00557D58">
        <w:rPr>
          <w:lang w:val="en-GB"/>
        </w:rPr>
        <w:t>. The author submits that</w:t>
      </w:r>
      <w:r w:rsidR="00CB5E70" w:rsidRPr="00557D58">
        <w:rPr>
          <w:lang w:val="en-GB"/>
        </w:rPr>
        <w:t xml:space="preserve"> </w:t>
      </w:r>
      <w:r w:rsidR="001B5FD4" w:rsidRPr="00557D58">
        <w:rPr>
          <w:lang w:val="en-GB"/>
        </w:rPr>
        <w:t xml:space="preserve">the </w:t>
      </w:r>
      <w:r w:rsidR="001B5FD4" w:rsidRPr="00361717">
        <w:rPr>
          <w:lang w:val="en-GB"/>
        </w:rPr>
        <w:t>prison administration</w:t>
      </w:r>
      <w:r w:rsidR="001B5FD4" w:rsidRPr="00557D58">
        <w:rPr>
          <w:lang w:val="en-GB"/>
        </w:rPr>
        <w:t xml:space="preserve"> regularly reviews complaints placed in the public mailbox in the </w:t>
      </w:r>
      <w:r w:rsidR="00D80524">
        <w:rPr>
          <w:lang w:val="en-GB"/>
        </w:rPr>
        <w:t>w</w:t>
      </w:r>
      <w:r w:rsidR="001B5FD4" w:rsidRPr="00557D58">
        <w:rPr>
          <w:lang w:val="en-GB"/>
        </w:rPr>
        <w:t xml:space="preserve">omen’s </w:t>
      </w:r>
      <w:r w:rsidR="00D80524">
        <w:rPr>
          <w:lang w:val="en-GB"/>
        </w:rPr>
        <w:t>c</w:t>
      </w:r>
      <w:r w:rsidR="001B5FD4" w:rsidRPr="00557D58">
        <w:rPr>
          <w:lang w:val="en-GB"/>
        </w:rPr>
        <w:t xml:space="preserve">olony. The mailbox is placed </w:t>
      </w:r>
      <w:r w:rsidR="00234035" w:rsidRPr="00895641">
        <w:rPr>
          <w:lang w:val="en-GB"/>
        </w:rPr>
        <w:t>in</w:t>
      </w:r>
      <w:r w:rsidR="00234035" w:rsidRPr="00557D58">
        <w:rPr>
          <w:lang w:val="en-GB"/>
        </w:rPr>
        <w:t xml:space="preserve"> </w:t>
      </w:r>
      <w:r w:rsidR="00234035" w:rsidRPr="00895641">
        <w:rPr>
          <w:lang w:val="en-GB"/>
        </w:rPr>
        <w:t>a visi</w:t>
      </w:r>
      <w:r w:rsidR="00234035" w:rsidRPr="00557D58">
        <w:rPr>
          <w:lang w:val="en-GB"/>
        </w:rPr>
        <w:t>ble location</w:t>
      </w:r>
      <w:r w:rsidR="00D80524">
        <w:rPr>
          <w:lang w:val="en-GB"/>
        </w:rPr>
        <w:t xml:space="preserve"> </w:t>
      </w:r>
      <w:r w:rsidR="001B5FD4" w:rsidRPr="00557D58">
        <w:rPr>
          <w:lang w:val="en-GB"/>
        </w:rPr>
        <w:t xml:space="preserve">in the colony, and it is impossible to submit complaints without the administration </w:t>
      </w:r>
      <w:r w:rsidR="00234035" w:rsidRPr="00895641">
        <w:rPr>
          <w:lang w:val="en-GB"/>
        </w:rPr>
        <w:t>noticing</w:t>
      </w:r>
      <w:r w:rsidR="001B5FD4" w:rsidRPr="00557D58">
        <w:rPr>
          <w:lang w:val="en-GB"/>
        </w:rPr>
        <w:t xml:space="preserve">. </w:t>
      </w:r>
      <w:r w:rsidR="00456F29" w:rsidRPr="00557D58">
        <w:rPr>
          <w:lang w:val="en-GB"/>
        </w:rPr>
        <w:t>D</w:t>
      </w:r>
      <w:r w:rsidR="001B5FD4" w:rsidRPr="00557D58">
        <w:rPr>
          <w:lang w:val="en-GB"/>
        </w:rPr>
        <w:t>etainees who complai</w:t>
      </w:r>
      <w:r w:rsidR="002D34B4" w:rsidRPr="00557D58">
        <w:rPr>
          <w:lang w:val="en-GB"/>
        </w:rPr>
        <w:t>n</w:t>
      </w:r>
      <w:r w:rsidR="00456F29" w:rsidRPr="00557D58">
        <w:rPr>
          <w:lang w:val="en-GB"/>
        </w:rPr>
        <w:t>ed</w:t>
      </w:r>
      <w:r w:rsidR="00D178AC" w:rsidRPr="00557D58">
        <w:rPr>
          <w:lang w:val="en-GB"/>
        </w:rPr>
        <w:t xml:space="preserve"> </w:t>
      </w:r>
      <w:r w:rsidR="00456F29" w:rsidRPr="00557D58">
        <w:rPr>
          <w:lang w:val="en-GB"/>
        </w:rPr>
        <w:t>we</w:t>
      </w:r>
      <w:r w:rsidR="001B5FD4" w:rsidRPr="00557D58">
        <w:rPr>
          <w:lang w:val="en-GB"/>
        </w:rPr>
        <w:t xml:space="preserve">re then </w:t>
      </w:r>
      <w:r w:rsidR="00D80524">
        <w:rPr>
          <w:lang w:val="en-GB"/>
        </w:rPr>
        <w:t>“</w:t>
      </w:r>
      <w:r w:rsidR="001B5FD4" w:rsidRPr="00557D58">
        <w:rPr>
          <w:lang w:val="en-GB"/>
        </w:rPr>
        <w:t>disciplined</w:t>
      </w:r>
      <w:r w:rsidR="00D80524">
        <w:rPr>
          <w:lang w:val="en-GB"/>
        </w:rPr>
        <w:t>”</w:t>
      </w:r>
      <w:r w:rsidR="001B5FD4" w:rsidRPr="00557D58">
        <w:rPr>
          <w:lang w:val="en-GB"/>
        </w:rPr>
        <w:t xml:space="preserve"> and sent to solitary confinement.</w:t>
      </w:r>
    </w:p>
    <w:p w14:paraId="75E08C53" w14:textId="77777777" w:rsidR="00F35149" w:rsidRPr="00557D58" w:rsidRDefault="003134AC" w:rsidP="00F35149">
      <w:pPr>
        <w:pStyle w:val="H23G"/>
      </w:pPr>
      <w:r w:rsidRPr="00557D58">
        <w:tab/>
      </w:r>
      <w:r w:rsidRPr="00557D58">
        <w:tab/>
      </w:r>
      <w:r w:rsidR="00F35149" w:rsidRPr="00557D58">
        <w:t>Issues and proceedings before the Committee</w:t>
      </w:r>
    </w:p>
    <w:p w14:paraId="42744E01" w14:textId="77777777" w:rsidR="00F35149" w:rsidRPr="00557D58" w:rsidRDefault="00F35149" w:rsidP="00895641">
      <w:pPr>
        <w:pStyle w:val="H23G"/>
      </w:pPr>
      <w:r w:rsidRPr="00557D58">
        <w:tab/>
      </w:r>
      <w:r w:rsidRPr="00557D58">
        <w:tab/>
        <w:t>Consideration of admissibility</w:t>
      </w:r>
    </w:p>
    <w:p w14:paraId="02E14DF7" w14:textId="77777777" w:rsidR="00F35149" w:rsidRPr="00557D58" w:rsidRDefault="001C3120" w:rsidP="00F35149">
      <w:pPr>
        <w:pStyle w:val="SingleTxtG"/>
        <w:rPr>
          <w:bCs/>
          <w:lang w:val="en-GB"/>
        </w:rPr>
      </w:pPr>
      <w:r w:rsidRPr="00557D58">
        <w:rPr>
          <w:bCs/>
          <w:lang w:val="en-GB"/>
        </w:rPr>
        <w:t>6</w:t>
      </w:r>
      <w:r w:rsidR="00F35149" w:rsidRPr="00557D58">
        <w:rPr>
          <w:bCs/>
          <w:lang w:val="en-GB"/>
        </w:rPr>
        <w:t>.1</w:t>
      </w:r>
      <w:r w:rsidR="00F35149" w:rsidRPr="00557D58">
        <w:rPr>
          <w:bCs/>
          <w:lang w:val="en-GB"/>
        </w:rPr>
        <w:tab/>
        <w:t xml:space="preserve">Before considering any claims contained in a communication, the Human Rights Committee must, in accordance with rule 93 of its rules of procedure, decide whether or not it is admissible under the </w:t>
      </w:r>
      <w:r w:rsidR="00F35149" w:rsidRPr="00557D58">
        <w:rPr>
          <w:lang w:val="en-GB"/>
        </w:rPr>
        <w:t>Optional</w:t>
      </w:r>
      <w:r w:rsidR="00F35149" w:rsidRPr="00557D58">
        <w:rPr>
          <w:bCs/>
          <w:lang w:val="en-GB"/>
        </w:rPr>
        <w:t xml:space="preserve"> Protocol to the Covenant.</w:t>
      </w:r>
    </w:p>
    <w:p w14:paraId="1878A8CB" w14:textId="77777777" w:rsidR="00F35149" w:rsidRPr="00557D58" w:rsidRDefault="001C3120" w:rsidP="00AA20DC">
      <w:pPr>
        <w:pStyle w:val="SingleTxtG"/>
        <w:rPr>
          <w:bCs/>
          <w:lang w:val="en-GB"/>
        </w:rPr>
      </w:pPr>
      <w:r w:rsidRPr="00557D58">
        <w:rPr>
          <w:bCs/>
          <w:lang w:val="en-GB"/>
        </w:rPr>
        <w:t>6</w:t>
      </w:r>
      <w:r w:rsidR="00F35149" w:rsidRPr="00557D58">
        <w:rPr>
          <w:bCs/>
          <w:lang w:val="en-GB"/>
        </w:rPr>
        <w:t>.2</w:t>
      </w:r>
      <w:r w:rsidR="00F35149" w:rsidRPr="00557D58">
        <w:rPr>
          <w:bCs/>
          <w:lang w:val="en-GB"/>
        </w:rPr>
        <w:tab/>
      </w:r>
      <w:r w:rsidR="00AA20DC">
        <w:rPr>
          <w:bCs/>
          <w:lang w:val="en-GB"/>
        </w:rPr>
        <w:t>A</w:t>
      </w:r>
      <w:r w:rsidR="00F35149" w:rsidRPr="00557D58">
        <w:rPr>
          <w:bCs/>
          <w:lang w:val="en-GB"/>
        </w:rPr>
        <w:t xml:space="preserve">s required under article 5 </w:t>
      </w:r>
      <w:r w:rsidR="00D80524">
        <w:rPr>
          <w:bCs/>
          <w:lang w:val="en-GB"/>
        </w:rPr>
        <w:t>(</w:t>
      </w:r>
      <w:r w:rsidR="00F35149" w:rsidRPr="00557D58">
        <w:rPr>
          <w:bCs/>
          <w:lang w:val="en-GB"/>
        </w:rPr>
        <w:t>2</w:t>
      </w:r>
      <w:r w:rsidR="00D80524">
        <w:rPr>
          <w:bCs/>
          <w:lang w:val="en-GB"/>
        </w:rPr>
        <w:t>)</w:t>
      </w:r>
      <w:r w:rsidR="00F35149" w:rsidRPr="00557D58">
        <w:rPr>
          <w:bCs/>
          <w:lang w:val="en-GB"/>
        </w:rPr>
        <w:t xml:space="preserve"> (a) of the Optional Protocol, </w:t>
      </w:r>
      <w:r w:rsidR="00AA20DC">
        <w:rPr>
          <w:bCs/>
          <w:lang w:val="en-GB"/>
        </w:rPr>
        <w:t xml:space="preserve">the Committee has ascertained </w:t>
      </w:r>
      <w:r w:rsidR="00F35149" w:rsidRPr="00557D58">
        <w:rPr>
          <w:bCs/>
          <w:lang w:val="en-GB"/>
        </w:rPr>
        <w:t>that the same matter is not being examined under another procedure of international investigation or settlement.</w:t>
      </w:r>
    </w:p>
    <w:p w14:paraId="67F01FBB" w14:textId="77777777" w:rsidR="00AC6407" w:rsidRPr="00557D58" w:rsidRDefault="00AC6407" w:rsidP="004C05A1">
      <w:pPr>
        <w:pStyle w:val="SingleTxtG"/>
        <w:rPr>
          <w:lang w:val="en-GB"/>
        </w:rPr>
      </w:pPr>
      <w:r w:rsidRPr="00557D58">
        <w:rPr>
          <w:bCs/>
          <w:lang w:val="en-GB"/>
        </w:rPr>
        <w:t>6.3</w:t>
      </w:r>
      <w:r w:rsidRPr="00557D58">
        <w:rPr>
          <w:bCs/>
          <w:lang w:val="en-GB"/>
        </w:rPr>
        <w:tab/>
      </w:r>
      <w:r w:rsidRPr="00557D58">
        <w:rPr>
          <w:color w:val="000000"/>
          <w:lang w:val="en-GB" w:eastAsia="en-GB"/>
        </w:rPr>
        <w:t xml:space="preserve">The Committee takes note of the author’s claim that </w:t>
      </w:r>
      <w:r w:rsidR="00996FA4" w:rsidRPr="00557D58">
        <w:rPr>
          <w:color w:val="000000"/>
          <w:lang w:val="en-GB" w:eastAsia="en-GB"/>
        </w:rPr>
        <w:t>s</w:t>
      </w:r>
      <w:r w:rsidRPr="00557D58">
        <w:rPr>
          <w:color w:val="000000"/>
          <w:lang w:val="en-GB" w:eastAsia="en-GB"/>
        </w:rPr>
        <w:t>he has exhausted all effective domestic remedies available to</w:t>
      </w:r>
      <w:r w:rsidR="00996FA4" w:rsidRPr="00557D58">
        <w:rPr>
          <w:color w:val="000000"/>
          <w:lang w:val="en-GB" w:eastAsia="en-GB"/>
        </w:rPr>
        <w:t xml:space="preserve"> her</w:t>
      </w:r>
      <w:r w:rsidRPr="00557D58">
        <w:rPr>
          <w:color w:val="000000"/>
          <w:lang w:val="en-GB" w:eastAsia="en-GB"/>
        </w:rPr>
        <w:t xml:space="preserve">. In the absence of any objection by the State party in this connection, the Committee considers that the requirements of article 5 </w:t>
      </w:r>
      <w:r w:rsidR="00D80524">
        <w:rPr>
          <w:color w:val="000000"/>
          <w:lang w:val="en-GB" w:eastAsia="en-GB"/>
        </w:rPr>
        <w:t>(</w:t>
      </w:r>
      <w:r w:rsidRPr="00557D58">
        <w:rPr>
          <w:color w:val="000000"/>
          <w:lang w:val="en-GB" w:eastAsia="en-GB"/>
        </w:rPr>
        <w:t>2</w:t>
      </w:r>
      <w:r w:rsidR="00D80524">
        <w:rPr>
          <w:color w:val="000000"/>
          <w:lang w:val="en-GB" w:eastAsia="en-GB"/>
        </w:rPr>
        <w:t>)</w:t>
      </w:r>
      <w:r w:rsidRPr="00557D58">
        <w:rPr>
          <w:color w:val="000000"/>
          <w:lang w:val="en-GB" w:eastAsia="en-GB"/>
        </w:rPr>
        <w:t xml:space="preserve"> (b) of the Optional Protocol have been met.</w:t>
      </w:r>
    </w:p>
    <w:p w14:paraId="01FE2B52" w14:textId="77777777" w:rsidR="001F1088" w:rsidRPr="00557D58" w:rsidRDefault="001C3120" w:rsidP="00E77EE3">
      <w:pPr>
        <w:pStyle w:val="SingleTxtG"/>
        <w:rPr>
          <w:lang w:val="en-GB"/>
        </w:rPr>
      </w:pPr>
      <w:r w:rsidRPr="00557D58">
        <w:rPr>
          <w:lang w:val="en-GB"/>
        </w:rPr>
        <w:t>6</w:t>
      </w:r>
      <w:r w:rsidR="00F60C3B" w:rsidRPr="00557D58">
        <w:rPr>
          <w:lang w:val="en-GB"/>
        </w:rPr>
        <w:t>.</w:t>
      </w:r>
      <w:r w:rsidR="00AC6407" w:rsidRPr="00557D58">
        <w:rPr>
          <w:lang w:val="en-GB"/>
        </w:rPr>
        <w:t>4</w:t>
      </w:r>
      <w:r w:rsidR="00F60C3B" w:rsidRPr="00557D58">
        <w:rPr>
          <w:lang w:val="en-GB"/>
        </w:rPr>
        <w:tab/>
      </w:r>
      <w:r w:rsidR="005C3266" w:rsidRPr="00557D58">
        <w:rPr>
          <w:lang w:val="en-GB"/>
        </w:rPr>
        <w:t xml:space="preserve">The Committee takes note of the author’s claim that her rights under article 2 </w:t>
      </w:r>
      <w:r w:rsidR="00D80524">
        <w:rPr>
          <w:lang w:val="en-GB"/>
        </w:rPr>
        <w:t>(</w:t>
      </w:r>
      <w:r w:rsidR="005C3266" w:rsidRPr="00557D58">
        <w:rPr>
          <w:lang w:val="en-GB"/>
        </w:rPr>
        <w:t>3</w:t>
      </w:r>
      <w:r w:rsidR="00D80524">
        <w:rPr>
          <w:lang w:val="en-GB"/>
        </w:rPr>
        <w:t>)</w:t>
      </w:r>
      <w:r w:rsidR="005C3266" w:rsidRPr="00557D58">
        <w:rPr>
          <w:lang w:val="en-GB"/>
        </w:rPr>
        <w:t xml:space="preserve"> have been violated as the State party did not provide her with effective means of protection of h</w:t>
      </w:r>
      <w:r w:rsidR="00D80524">
        <w:rPr>
          <w:lang w:val="en-GB"/>
        </w:rPr>
        <w:t>er</w:t>
      </w:r>
      <w:r w:rsidR="005C3266" w:rsidRPr="00557D58">
        <w:rPr>
          <w:lang w:val="en-GB"/>
        </w:rPr>
        <w:t xml:space="preserve"> Covenant rights. The Committee recalls, however, that article 2 </w:t>
      </w:r>
      <w:r w:rsidR="00D80524">
        <w:rPr>
          <w:lang w:val="en-GB"/>
        </w:rPr>
        <w:t>(</w:t>
      </w:r>
      <w:r w:rsidR="005C3266" w:rsidRPr="00557D58">
        <w:rPr>
          <w:lang w:val="en-GB"/>
        </w:rPr>
        <w:t>3</w:t>
      </w:r>
      <w:r w:rsidR="00D80524">
        <w:rPr>
          <w:lang w:val="en-GB"/>
        </w:rPr>
        <w:t>)</w:t>
      </w:r>
      <w:r w:rsidR="005C3266" w:rsidRPr="00557D58">
        <w:rPr>
          <w:lang w:val="en-GB"/>
        </w:rPr>
        <w:t xml:space="preserve"> of the Covenant can be invoked by individuals only in conjunction with other articles of the Covenant and cannot, in and of itself, give rise to a claim under the Optional Protocol.</w:t>
      </w:r>
      <w:r w:rsidR="005C3266" w:rsidRPr="00557D58">
        <w:rPr>
          <w:rStyle w:val="FootnoteReference"/>
          <w:lang w:val="en-GB"/>
        </w:rPr>
        <w:footnoteReference w:id="6"/>
      </w:r>
      <w:r w:rsidR="005C3266" w:rsidRPr="00557D58">
        <w:rPr>
          <w:rFonts w:ascii="Sylfaen" w:hAnsi="Sylfaen"/>
          <w:lang w:val="en-GB"/>
        </w:rPr>
        <w:t xml:space="preserve"> </w:t>
      </w:r>
      <w:r w:rsidR="005C3266" w:rsidRPr="00895641">
        <w:rPr>
          <w:lang w:val="en-GB"/>
        </w:rPr>
        <w:t xml:space="preserve">The Committee therefore </w:t>
      </w:r>
      <w:r w:rsidR="005C3266" w:rsidRPr="00557D58">
        <w:rPr>
          <w:lang w:val="en-GB"/>
        </w:rPr>
        <w:t>considers</w:t>
      </w:r>
      <w:r w:rsidR="005C3266" w:rsidRPr="00895641">
        <w:rPr>
          <w:lang w:val="en-GB"/>
        </w:rPr>
        <w:t xml:space="preserve"> that the author’s contentions in this regard are inadmissible under article 2 of the Optional Protocol.</w:t>
      </w:r>
    </w:p>
    <w:p w14:paraId="0ED088DD" w14:textId="77777777" w:rsidR="008570A9" w:rsidRPr="00557D58" w:rsidRDefault="00FD1D08" w:rsidP="0003204D">
      <w:pPr>
        <w:pStyle w:val="SingleTxtG"/>
        <w:rPr>
          <w:lang w:val="en-GB"/>
        </w:rPr>
      </w:pPr>
      <w:r w:rsidRPr="00557D58">
        <w:rPr>
          <w:lang w:val="en-GB"/>
        </w:rPr>
        <w:t>6.</w:t>
      </w:r>
      <w:r w:rsidR="00AC6407" w:rsidRPr="00557D58">
        <w:rPr>
          <w:lang w:val="en-GB"/>
        </w:rPr>
        <w:t>5</w:t>
      </w:r>
      <w:r w:rsidR="001F1088" w:rsidRPr="00557D58">
        <w:rPr>
          <w:lang w:val="en-GB"/>
        </w:rPr>
        <w:tab/>
      </w:r>
      <w:r w:rsidR="008570A9" w:rsidRPr="00557D58">
        <w:rPr>
          <w:lang w:val="en-GB"/>
        </w:rPr>
        <w:t xml:space="preserve">The Committee notes the author’s claims that the review of the trial protocol, and consideration by the </w:t>
      </w:r>
      <w:r w:rsidR="00600471">
        <w:rPr>
          <w:lang w:val="en-GB"/>
        </w:rPr>
        <w:t>appeal</w:t>
      </w:r>
      <w:r w:rsidR="0003204D">
        <w:rPr>
          <w:lang w:val="en-GB"/>
        </w:rPr>
        <w:t xml:space="preserve"> chamber</w:t>
      </w:r>
      <w:r w:rsidR="00600471">
        <w:rPr>
          <w:lang w:val="en-GB"/>
        </w:rPr>
        <w:t xml:space="preserve"> of the criminal division</w:t>
      </w:r>
      <w:r w:rsidR="008570A9" w:rsidRPr="00557D58">
        <w:rPr>
          <w:lang w:val="en-GB"/>
        </w:rPr>
        <w:t xml:space="preserve"> of the her appeal against the verdict were carried out and dismissed by the Tashkent Regional Court, the same </w:t>
      </w:r>
      <w:r w:rsidR="00D80524">
        <w:rPr>
          <w:lang w:val="en-GB"/>
        </w:rPr>
        <w:t>c</w:t>
      </w:r>
      <w:r w:rsidR="008570A9" w:rsidRPr="00557D58">
        <w:rPr>
          <w:lang w:val="en-GB"/>
        </w:rPr>
        <w:t>ourt that rendered the initial verdict</w:t>
      </w:r>
      <w:r w:rsidR="00D80524">
        <w:rPr>
          <w:lang w:val="en-GB"/>
        </w:rPr>
        <w:t>,</w:t>
      </w:r>
      <w:r w:rsidR="008570A9" w:rsidRPr="00557D58">
        <w:rPr>
          <w:lang w:val="en-GB"/>
        </w:rPr>
        <w:t xml:space="preserve"> and that requests for review and appeal to the Supreme Court were denied and that the above constituted a violation of article 14 </w:t>
      </w:r>
      <w:r w:rsidR="00D80524">
        <w:rPr>
          <w:lang w:val="en-GB"/>
        </w:rPr>
        <w:t>(</w:t>
      </w:r>
      <w:r w:rsidR="008570A9" w:rsidRPr="00557D58">
        <w:rPr>
          <w:lang w:val="en-GB"/>
        </w:rPr>
        <w:t>5</w:t>
      </w:r>
      <w:r w:rsidR="00D80524">
        <w:rPr>
          <w:lang w:val="en-GB"/>
        </w:rPr>
        <w:t>)</w:t>
      </w:r>
      <w:r w:rsidR="008570A9" w:rsidRPr="00557D58">
        <w:rPr>
          <w:lang w:val="en-GB"/>
        </w:rPr>
        <w:t xml:space="preserve"> of the Covenant.</w:t>
      </w:r>
      <w:r w:rsidR="00602A0F" w:rsidRPr="00557D58">
        <w:rPr>
          <w:lang w:val="en-GB"/>
        </w:rPr>
        <w:t xml:space="preserve"> </w:t>
      </w:r>
      <w:r w:rsidR="008040C7" w:rsidRPr="00557D58">
        <w:rPr>
          <w:lang w:val="en-GB"/>
        </w:rPr>
        <w:t>The Committee, however, finds the above claim inadmissible under article 2 of the Optional Protocol, for insufficient substantiation.</w:t>
      </w:r>
    </w:p>
    <w:p w14:paraId="711F2FDF" w14:textId="77777777" w:rsidR="001F1088" w:rsidRPr="00557D58" w:rsidRDefault="008570A9" w:rsidP="000B2D51">
      <w:pPr>
        <w:pStyle w:val="SingleTxtG"/>
        <w:rPr>
          <w:lang w:val="en-GB"/>
        </w:rPr>
      </w:pPr>
      <w:r w:rsidRPr="00557D58">
        <w:rPr>
          <w:lang w:val="en-GB"/>
        </w:rPr>
        <w:t>6.</w:t>
      </w:r>
      <w:r w:rsidR="00AC6407" w:rsidRPr="00557D58">
        <w:rPr>
          <w:lang w:val="en-GB"/>
        </w:rPr>
        <w:t>6</w:t>
      </w:r>
      <w:r w:rsidRPr="00557D58">
        <w:rPr>
          <w:lang w:val="en-GB"/>
        </w:rPr>
        <w:tab/>
      </w:r>
      <w:r w:rsidR="00E212BA" w:rsidRPr="00557D58">
        <w:rPr>
          <w:lang w:val="en-GB"/>
        </w:rPr>
        <w:t>T</w:t>
      </w:r>
      <w:r w:rsidR="001F1088" w:rsidRPr="00557D58">
        <w:rPr>
          <w:lang w:val="en-GB"/>
        </w:rPr>
        <w:t>he Committee</w:t>
      </w:r>
      <w:r w:rsidR="00E212BA" w:rsidRPr="00557D58">
        <w:rPr>
          <w:lang w:val="en-GB"/>
        </w:rPr>
        <w:t xml:space="preserve"> notes that the State party has not challenged the admissibility of the communication and </w:t>
      </w:r>
      <w:r w:rsidR="001F1088" w:rsidRPr="00557D58">
        <w:rPr>
          <w:lang w:val="en-GB"/>
        </w:rPr>
        <w:t>considers that the author ha</w:t>
      </w:r>
      <w:r w:rsidR="00E212BA" w:rsidRPr="00557D58">
        <w:rPr>
          <w:lang w:val="en-GB"/>
        </w:rPr>
        <w:t>s</w:t>
      </w:r>
      <w:r w:rsidR="001F1088" w:rsidRPr="00557D58">
        <w:rPr>
          <w:lang w:val="en-GB"/>
        </w:rPr>
        <w:t xml:space="preserve"> sufficiently substantiated </w:t>
      </w:r>
      <w:r w:rsidR="00E212BA" w:rsidRPr="00557D58">
        <w:rPr>
          <w:lang w:val="en-GB"/>
        </w:rPr>
        <w:t>her</w:t>
      </w:r>
      <w:r w:rsidR="001F1088" w:rsidRPr="00557D58">
        <w:rPr>
          <w:lang w:val="en-GB"/>
        </w:rPr>
        <w:t xml:space="preserve"> remaining claims that raise issues covered under </w:t>
      </w:r>
      <w:r w:rsidR="00E212BA" w:rsidRPr="00557D58">
        <w:rPr>
          <w:lang w:val="en-GB"/>
        </w:rPr>
        <w:t xml:space="preserve">articles 7, 9 (1), (2) and (4), 10 (1) and </w:t>
      </w:r>
      <w:r w:rsidR="00D80524">
        <w:rPr>
          <w:lang w:val="en-GB"/>
        </w:rPr>
        <w:t>(</w:t>
      </w:r>
      <w:r w:rsidR="00E212BA" w:rsidRPr="00557D58">
        <w:rPr>
          <w:lang w:val="en-GB"/>
        </w:rPr>
        <w:t>2</w:t>
      </w:r>
      <w:r w:rsidR="00D80524">
        <w:rPr>
          <w:lang w:val="en-GB"/>
        </w:rPr>
        <w:t>)</w:t>
      </w:r>
      <w:r w:rsidR="00E212BA" w:rsidRPr="00557D58">
        <w:rPr>
          <w:lang w:val="en-GB"/>
        </w:rPr>
        <w:t xml:space="preserve"> (a), 14 (1) and (3) (b) and (e),</w:t>
      </w:r>
      <w:r w:rsidR="00AC6407" w:rsidRPr="00557D58">
        <w:rPr>
          <w:lang w:val="en-GB"/>
        </w:rPr>
        <w:t xml:space="preserve"> 17 (1),</w:t>
      </w:r>
      <w:r w:rsidR="00E212BA" w:rsidRPr="00557D58">
        <w:rPr>
          <w:lang w:val="en-GB"/>
        </w:rPr>
        <w:t xml:space="preserve"> 19 (2), 21, 22 and 26 </w:t>
      </w:r>
      <w:r w:rsidR="006011C4" w:rsidRPr="00557D58">
        <w:rPr>
          <w:lang w:val="en-GB"/>
        </w:rPr>
        <w:t xml:space="preserve">and article 2 </w:t>
      </w:r>
      <w:r w:rsidR="00D80524">
        <w:rPr>
          <w:lang w:val="en-GB"/>
        </w:rPr>
        <w:t>(</w:t>
      </w:r>
      <w:r w:rsidR="006011C4" w:rsidRPr="00557D58">
        <w:rPr>
          <w:lang w:val="en-GB"/>
        </w:rPr>
        <w:t>3</w:t>
      </w:r>
      <w:r w:rsidR="00D80524">
        <w:rPr>
          <w:lang w:val="en-GB"/>
        </w:rPr>
        <w:t>)</w:t>
      </w:r>
      <w:r w:rsidR="006011C4" w:rsidRPr="00557D58">
        <w:rPr>
          <w:lang w:val="en-GB"/>
        </w:rPr>
        <w:t xml:space="preserve"> read on conjunction with the above articles </w:t>
      </w:r>
      <w:r w:rsidR="001F1088" w:rsidRPr="00557D58">
        <w:rPr>
          <w:lang w:val="en-GB"/>
        </w:rPr>
        <w:t>of the Covenant for purposes of admissibility. It declares the communication admissible with regard to th</w:t>
      </w:r>
      <w:r w:rsidR="00D80524">
        <w:rPr>
          <w:lang w:val="en-GB"/>
        </w:rPr>
        <w:t>o</w:t>
      </w:r>
      <w:r w:rsidR="001F1088" w:rsidRPr="00557D58">
        <w:rPr>
          <w:lang w:val="en-GB"/>
        </w:rPr>
        <w:t>se provisions of the Covenant and proceeds to its examination on the merits.</w:t>
      </w:r>
    </w:p>
    <w:p w14:paraId="547C6796" w14:textId="77777777" w:rsidR="00F35149" w:rsidRPr="00557D58" w:rsidRDefault="00F35149" w:rsidP="00895641">
      <w:pPr>
        <w:pStyle w:val="H23G"/>
      </w:pPr>
      <w:r w:rsidRPr="00557D58">
        <w:lastRenderedPageBreak/>
        <w:tab/>
      </w:r>
      <w:r w:rsidRPr="00557D58">
        <w:tab/>
        <w:t>Consideration of the merits</w:t>
      </w:r>
    </w:p>
    <w:p w14:paraId="439EBCC9" w14:textId="77777777" w:rsidR="0018481A" w:rsidRPr="00557D58" w:rsidRDefault="00446ABC">
      <w:pPr>
        <w:pStyle w:val="SingleTxtG"/>
        <w:rPr>
          <w:lang w:val="en-GB"/>
        </w:rPr>
      </w:pPr>
      <w:r w:rsidRPr="00557D58">
        <w:rPr>
          <w:lang w:val="en-GB"/>
        </w:rPr>
        <w:t>7</w:t>
      </w:r>
      <w:r w:rsidR="00F35149" w:rsidRPr="00557D58">
        <w:rPr>
          <w:lang w:val="en-GB"/>
        </w:rPr>
        <w:t>.</w:t>
      </w:r>
      <w:r w:rsidR="0018481A" w:rsidRPr="00557D58">
        <w:rPr>
          <w:lang w:val="en-GB"/>
        </w:rPr>
        <w:t>1</w:t>
      </w:r>
      <w:r w:rsidR="00F35149" w:rsidRPr="00557D58">
        <w:rPr>
          <w:lang w:val="en-GB"/>
        </w:rPr>
        <w:tab/>
      </w:r>
      <w:r w:rsidR="0018481A" w:rsidRPr="00557D58">
        <w:rPr>
          <w:lang w:val="en-GB"/>
        </w:rPr>
        <w:t xml:space="preserve">The Committee has considered the present communication in the light of all the information made available to it by the parties, as required under article 5 </w:t>
      </w:r>
      <w:r w:rsidR="00D80524">
        <w:rPr>
          <w:lang w:val="en-GB"/>
        </w:rPr>
        <w:t>(</w:t>
      </w:r>
      <w:r w:rsidR="0018481A" w:rsidRPr="00557D58">
        <w:rPr>
          <w:lang w:val="en-GB"/>
        </w:rPr>
        <w:t>1</w:t>
      </w:r>
      <w:r w:rsidR="00D80524">
        <w:rPr>
          <w:lang w:val="en-GB"/>
        </w:rPr>
        <w:t>)</w:t>
      </w:r>
      <w:r w:rsidR="0018481A" w:rsidRPr="00557D58">
        <w:rPr>
          <w:lang w:val="en-GB"/>
        </w:rPr>
        <w:t xml:space="preserve"> of the Optional Protocol.</w:t>
      </w:r>
    </w:p>
    <w:p w14:paraId="3BBD35F3" w14:textId="77777777" w:rsidR="00321C15" w:rsidRPr="00557D58" w:rsidRDefault="0018481A">
      <w:pPr>
        <w:pStyle w:val="SingleTxtG"/>
        <w:rPr>
          <w:lang w:val="en-GB"/>
        </w:rPr>
      </w:pPr>
      <w:r w:rsidRPr="00557D58">
        <w:rPr>
          <w:lang w:val="en-GB"/>
        </w:rPr>
        <w:t>7.2</w:t>
      </w:r>
      <w:r w:rsidRPr="00557D58">
        <w:rPr>
          <w:lang w:val="en-GB"/>
        </w:rPr>
        <w:tab/>
      </w:r>
      <w:r w:rsidR="000920F1" w:rsidRPr="00557D58">
        <w:rPr>
          <w:lang w:val="en-GB"/>
        </w:rPr>
        <w:t>The Committee has also noted the author</w:t>
      </w:r>
      <w:r w:rsidR="00FB3196">
        <w:rPr>
          <w:lang w:val="en-GB"/>
        </w:rPr>
        <w:t>’</w:t>
      </w:r>
      <w:r w:rsidR="000920F1" w:rsidRPr="00557D58">
        <w:rPr>
          <w:lang w:val="en-GB"/>
        </w:rPr>
        <w:t xml:space="preserve">s claims that: on 1 July 2002, she was verbally abused, degraded and humiliated by the </w:t>
      </w:r>
      <w:r w:rsidR="000920F1" w:rsidRPr="004C05A1">
        <w:rPr>
          <w:lang w:val="en-GB"/>
        </w:rPr>
        <w:t xml:space="preserve">Head and the Deputy Head of the </w:t>
      </w:r>
      <w:r w:rsidR="000B71F4">
        <w:rPr>
          <w:lang w:val="en-GB"/>
        </w:rPr>
        <w:t>P</w:t>
      </w:r>
      <w:r w:rsidR="000920F1" w:rsidRPr="004C05A1">
        <w:rPr>
          <w:lang w:val="en-GB"/>
        </w:rPr>
        <w:t xml:space="preserve">olice </w:t>
      </w:r>
      <w:r w:rsidR="000B71F4">
        <w:rPr>
          <w:lang w:val="en-GB"/>
        </w:rPr>
        <w:t>D</w:t>
      </w:r>
      <w:r w:rsidR="000920F1" w:rsidRPr="004C05A1">
        <w:rPr>
          <w:lang w:val="en-GB"/>
        </w:rPr>
        <w:t>epartment</w:t>
      </w:r>
      <w:r w:rsidR="000920F1" w:rsidRPr="00557D58">
        <w:rPr>
          <w:lang w:val="en-GB"/>
        </w:rPr>
        <w:t xml:space="preserve">, who inflicted severe physical and mental pain and suffering by kicking and beating her with a truncheon, hitting her head on the door of her cell and tearing </w:t>
      </w:r>
      <w:r w:rsidR="00D80524">
        <w:rPr>
          <w:lang w:val="en-GB"/>
        </w:rPr>
        <w:t>open</w:t>
      </w:r>
      <w:r w:rsidR="00D80524" w:rsidRPr="00557D58">
        <w:rPr>
          <w:lang w:val="en-GB"/>
        </w:rPr>
        <w:t xml:space="preserve"> </w:t>
      </w:r>
      <w:r w:rsidR="000920F1" w:rsidRPr="00557D58">
        <w:rPr>
          <w:lang w:val="en-GB"/>
        </w:rPr>
        <w:t>the author’s clothes and threatening to rape her; on 15 April 2005, she was gang</w:t>
      </w:r>
      <w:r w:rsidR="00F70328">
        <w:rPr>
          <w:lang w:val="en-GB"/>
        </w:rPr>
        <w:t>-</w:t>
      </w:r>
      <w:r w:rsidR="000920F1" w:rsidRPr="00557D58">
        <w:rPr>
          <w:lang w:val="en-GB"/>
        </w:rPr>
        <w:t xml:space="preserve">raped causing such pain and suffering that she fell unconscious; the detention authorities of </w:t>
      </w:r>
      <w:r w:rsidR="000920F1" w:rsidRPr="004C05A1">
        <w:rPr>
          <w:lang w:val="en-GB"/>
        </w:rPr>
        <w:t>F</w:t>
      </w:r>
      <w:r w:rsidR="000B71F4">
        <w:rPr>
          <w:lang w:val="en-GB"/>
        </w:rPr>
        <w:t xml:space="preserve">erghana </w:t>
      </w:r>
      <w:r w:rsidR="007B1EA6" w:rsidRPr="004C05A1">
        <w:rPr>
          <w:lang w:val="en-GB"/>
        </w:rPr>
        <w:t>R</w:t>
      </w:r>
      <w:r w:rsidR="000B71F4">
        <w:rPr>
          <w:lang w:val="en-GB"/>
        </w:rPr>
        <w:t xml:space="preserve">emand </w:t>
      </w:r>
      <w:r w:rsidR="007B1EA6" w:rsidRPr="004C05A1">
        <w:rPr>
          <w:lang w:val="en-GB"/>
        </w:rPr>
        <w:t>C</w:t>
      </w:r>
      <w:r w:rsidR="000B71F4">
        <w:rPr>
          <w:lang w:val="en-GB"/>
        </w:rPr>
        <w:t>entre</w:t>
      </w:r>
      <w:r w:rsidR="000920F1" w:rsidRPr="004C05A1">
        <w:rPr>
          <w:lang w:val="en-GB"/>
        </w:rPr>
        <w:t xml:space="preserve"> No</w:t>
      </w:r>
      <w:r w:rsidR="00A2016E" w:rsidRPr="004C05A1">
        <w:rPr>
          <w:lang w:val="en-GB"/>
        </w:rPr>
        <w:t>.</w:t>
      </w:r>
      <w:r w:rsidR="000920F1" w:rsidRPr="004C05A1">
        <w:rPr>
          <w:lang w:val="en-GB"/>
        </w:rPr>
        <w:t xml:space="preserve"> 10</w:t>
      </w:r>
      <w:r w:rsidR="000920F1" w:rsidRPr="00557D58">
        <w:rPr>
          <w:lang w:val="en-GB"/>
        </w:rPr>
        <w:t xml:space="preserve"> deliberately subjected the author to a detention regime aimed at obtaining a confession from her that she was running an illegal organization; while serving her sentence, over a period of one year and eight months, the author was subjected to a wide range of severe abuses by the prison wardens and the </w:t>
      </w:r>
      <w:r w:rsidR="000920F1" w:rsidRPr="00361717">
        <w:rPr>
          <w:lang w:val="en-GB"/>
        </w:rPr>
        <w:t>prison administration</w:t>
      </w:r>
      <w:r w:rsidR="000920F1" w:rsidRPr="00557D58">
        <w:rPr>
          <w:lang w:val="en-GB"/>
        </w:rPr>
        <w:t xml:space="preserve"> of the women’s colony aimed at breaking her moral and physical resistance so as to force her to confessing to the running of an illegal organization; a forced surgery </w:t>
      </w:r>
      <w:r w:rsidR="00600471">
        <w:rPr>
          <w:lang w:val="en-GB"/>
        </w:rPr>
        <w:t>that</w:t>
      </w:r>
      <w:r w:rsidR="00600471" w:rsidRPr="00557D58">
        <w:rPr>
          <w:lang w:val="en-GB"/>
        </w:rPr>
        <w:t xml:space="preserve"> </w:t>
      </w:r>
      <w:r w:rsidR="000920F1" w:rsidRPr="00557D58">
        <w:rPr>
          <w:lang w:val="en-GB"/>
        </w:rPr>
        <w:t>included her forced sterilization was performed on her</w:t>
      </w:r>
      <w:r w:rsidR="00F70328">
        <w:rPr>
          <w:lang w:val="en-GB"/>
        </w:rPr>
        <w:t>;</w:t>
      </w:r>
      <w:r w:rsidR="000920F1" w:rsidRPr="00557D58">
        <w:rPr>
          <w:lang w:val="en-GB"/>
        </w:rPr>
        <w:t xml:space="preserve"> and all of the above constitute violations of article 7 of the Covenant.</w:t>
      </w:r>
      <w:r w:rsidR="00BF7585" w:rsidRPr="00557D58">
        <w:rPr>
          <w:lang w:val="en-GB"/>
        </w:rPr>
        <w:t xml:space="preserve"> </w:t>
      </w:r>
    </w:p>
    <w:p w14:paraId="64CB7754" w14:textId="77777777" w:rsidR="00006926" w:rsidRPr="00895641" w:rsidRDefault="00321C15" w:rsidP="004C05A1">
      <w:pPr>
        <w:pStyle w:val="SingleTxtG"/>
        <w:rPr>
          <w:lang w:val="en-GB"/>
        </w:rPr>
      </w:pPr>
      <w:r w:rsidRPr="00557D58">
        <w:rPr>
          <w:lang w:val="en-GB"/>
        </w:rPr>
        <w:t>7.3</w:t>
      </w:r>
      <w:r w:rsidR="002050EB" w:rsidRPr="00557D58">
        <w:rPr>
          <w:lang w:val="en-GB"/>
        </w:rPr>
        <w:tab/>
      </w:r>
      <w:r w:rsidRPr="00557D58">
        <w:rPr>
          <w:lang w:val="en-GB"/>
        </w:rPr>
        <w:t>In th</w:t>
      </w:r>
      <w:r w:rsidR="00F70328">
        <w:rPr>
          <w:lang w:val="en-GB"/>
        </w:rPr>
        <w:t>at</w:t>
      </w:r>
      <w:r w:rsidRPr="00557D58">
        <w:rPr>
          <w:lang w:val="en-GB"/>
        </w:rPr>
        <w:t xml:space="preserve"> connection, t</w:t>
      </w:r>
      <w:r w:rsidR="009F2E0B" w:rsidRPr="00557D58">
        <w:rPr>
          <w:lang w:val="en-GB"/>
        </w:rPr>
        <w:t xml:space="preserve">he Committee notes that the author provides detailed account of the different types of persecution </w:t>
      </w:r>
      <w:r w:rsidR="00F70328">
        <w:rPr>
          <w:lang w:val="en-GB"/>
        </w:rPr>
        <w:t>to which</w:t>
      </w:r>
      <w:r w:rsidR="009F2E0B" w:rsidRPr="00557D58">
        <w:rPr>
          <w:lang w:val="en-GB"/>
        </w:rPr>
        <w:t xml:space="preserve"> she was subjected, and her description is supported by </w:t>
      </w:r>
      <w:r w:rsidR="00362487" w:rsidRPr="00557D58">
        <w:rPr>
          <w:lang w:val="en-GB"/>
        </w:rPr>
        <w:t>detailed and well-documented</w:t>
      </w:r>
      <w:r w:rsidR="009F2E0B" w:rsidRPr="00557D58">
        <w:rPr>
          <w:lang w:val="en-GB"/>
        </w:rPr>
        <w:t xml:space="preserve"> evidence</w:t>
      </w:r>
      <w:r w:rsidR="00DE6BB0" w:rsidRPr="00557D58">
        <w:rPr>
          <w:lang w:val="en-GB"/>
        </w:rPr>
        <w:t>.</w:t>
      </w:r>
      <w:r w:rsidR="00234068" w:rsidRPr="00557D58">
        <w:rPr>
          <w:rStyle w:val="FootnoteReference"/>
          <w:lang w:val="en-GB"/>
        </w:rPr>
        <w:footnoteReference w:id="7"/>
      </w:r>
      <w:r w:rsidR="009F2E0B" w:rsidRPr="00557D58">
        <w:rPr>
          <w:lang w:val="en-GB"/>
        </w:rPr>
        <w:t xml:space="preserve"> </w:t>
      </w:r>
      <w:r w:rsidR="00BF7585" w:rsidRPr="00557D58">
        <w:rPr>
          <w:lang w:val="en-GB"/>
        </w:rPr>
        <w:t xml:space="preserve">The Committee further notes that the author formally complained to </w:t>
      </w:r>
      <w:r w:rsidR="00006926" w:rsidRPr="00557D58">
        <w:rPr>
          <w:lang w:val="en-GB"/>
        </w:rPr>
        <w:t xml:space="preserve">various </w:t>
      </w:r>
      <w:r w:rsidR="00BF7585" w:rsidRPr="00557D58">
        <w:rPr>
          <w:lang w:val="en-GB"/>
        </w:rPr>
        <w:t>authorities regarding th</w:t>
      </w:r>
      <w:r w:rsidR="00F70328">
        <w:rPr>
          <w:lang w:val="en-GB"/>
        </w:rPr>
        <w:t>o</w:t>
      </w:r>
      <w:r w:rsidR="00BF7585" w:rsidRPr="00557D58">
        <w:rPr>
          <w:lang w:val="en-GB"/>
        </w:rPr>
        <w:t xml:space="preserve">se violations. </w:t>
      </w:r>
      <w:r w:rsidR="000920F1" w:rsidRPr="00557D58">
        <w:rPr>
          <w:lang w:val="en-GB"/>
        </w:rPr>
        <w:t>The Committee notes that the State party has not refuted these allegations</w:t>
      </w:r>
      <w:r w:rsidR="00743AC0" w:rsidRPr="00557D58">
        <w:rPr>
          <w:lang w:val="en-GB"/>
        </w:rPr>
        <w:t>,</w:t>
      </w:r>
      <w:r w:rsidR="00033A75" w:rsidRPr="00557D58">
        <w:rPr>
          <w:lang w:val="en-GB"/>
        </w:rPr>
        <w:t xml:space="preserve"> </w:t>
      </w:r>
      <w:r w:rsidR="000920F1" w:rsidRPr="00557D58">
        <w:rPr>
          <w:lang w:val="en-GB"/>
        </w:rPr>
        <w:t xml:space="preserve">but has merely stated that the verifications conducted could not confirm the </w:t>
      </w:r>
      <w:r w:rsidR="00006926" w:rsidRPr="00557D58">
        <w:rPr>
          <w:lang w:val="en-GB"/>
        </w:rPr>
        <w:t>author’s allegations</w:t>
      </w:r>
      <w:r w:rsidR="00743AC0" w:rsidRPr="00557D58">
        <w:rPr>
          <w:lang w:val="en-GB"/>
        </w:rPr>
        <w:t xml:space="preserve">; and, instead of providing </w:t>
      </w:r>
      <w:r w:rsidR="00EA62D7" w:rsidRPr="00557D58">
        <w:rPr>
          <w:lang w:val="en-GB"/>
        </w:rPr>
        <w:t xml:space="preserve">detailed information </w:t>
      </w:r>
      <w:r w:rsidR="00006926" w:rsidRPr="00557D58">
        <w:rPr>
          <w:lang w:val="en-GB"/>
        </w:rPr>
        <w:t xml:space="preserve">and explanations </w:t>
      </w:r>
      <w:r w:rsidR="00EA62D7" w:rsidRPr="00557D58">
        <w:rPr>
          <w:lang w:val="en-GB"/>
        </w:rPr>
        <w:t>to the Committee</w:t>
      </w:r>
      <w:r w:rsidR="00234068" w:rsidRPr="00557D58">
        <w:rPr>
          <w:lang w:val="en-GB"/>
        </w:rPr>
        <w:t xml:space="preserve"> in refutation</w:t>
      </w:r>
      <w:r w:rsidR="00EA62D7" w:rsidRPr="00557D58">
        <w:rPr>
          <w:lang w:val="en-GB"/>
        </w:rPr>
        <w:t xml:space="preserve">, </w:t>
      </w:r>
      <w:r w:rsidR="00006926" w:rsidRPr="00557D58">
        <w:rPr>
          <w:lang w:val="en-GB"/>
        </w:rPr>
        <w:t xml:space="preserve">the State party </w:t>
      </w:r>
      <w:r w:rsidR="00743AC0" w:rsidRPr="00557D58">
        <w:rPr>
          <w:lang w:val="en-GB"/>
        </w:rPr>
        <w:t>accus</w:t>
      </w:r>
      <w:r w:rsidR="00EA62D7" w:rsidRPr="00557D58">
        <w:rPr>
          <w:lang w:val="en-GB"/>
        </w:rPr>
        <w:t>ed</w:t>
      </w:r>
      <w:r w:rsidR="00743AC0" w:rsidRPr="00557D58">
        <w:rPr>
          <w:lang w:val="en-GB"/>
        </w:rPr>
        <w:t xml:space="preserve"> the author of</w:t>
      </w:r>
      <w:r w:rsidR="00EA62D7" w:rsidRPr="00557D58">
        <w:rPr>
          <w:lang w:val="en-GB"/>
        </w:rPr>
        <w:t xml:space="preserve"> </w:t>
      </w:r>
      <w:r w:rsidR="00234068" w:rsidRPr="00557D58">
        <w:rPr>
          <w:lang w:val="en-GB"/>
        </w:rPr>
        <w:t xml:space="preserve">having presented </w:t>
      </w:r>
      <w:r w:rsidR="00EA62D7" w:rsidRPr="00557D58">
        <w:rPr>
          <w:lang w:val="en-GB"/>
        </w:rPr>
        <w:t>“invented and biased” allegations</w:t>
      </w:r>
      <w:r w:rsidR="000920F1" w:rsidRPr="00557D58">
        <w:rPr>
          <w:lang w:val="en-GB"/>
        </w:rPr>
        <w:t>.</w:t>
      </w:r>
      <w:r w:rsidR="003751BB" w:rsidRPr="00557D58">
        <w:rPr>
          <w:lang w:val="en-GB"/>
        </w:rPr>
        <w:t xml:space="preserve"> The Committee </w:t>
      </w:r>
      <w:r w:rsidR="00006926" w:rsidRPr="00557D58">
        <w:rPr>
          <w:lang w:val="en-GB"/>
        </w:rPr>
        <w:t xml:space="preserve">notes </w:t>
      </w:r>
      <w:r w:rsidR="003751BB" w:rsidRPr="00557D58">
        <w:rPr>
          <w:lang w:val="en-GB"/>
        </w:rPr>
        <w:t xml:space="preserve">in particular the State party’s submission </w:t>
      </w:r>
      <w:r w:rsidR="000B7C66" w:rsidRPr="00557D58">
        <w:rPr>
          <w:lang w:val="en-GB"/>
        </w:rPr>
        <w:t>that</w:t>
      </w:r>
      <w:r w:rsidR="003751BB" w:rsidRPr="00557D58">
        <w:rPr>
          <w:lang w:val="en-GB"/>
        </w:rPr>
        <w:t xml:space="preserve"> the sterilization</w:t>
      </w:r>
      <w:r w:rsidR="000B7C66" w:rsidRPr="00557D58">
        <w:rPr>
          <w:lang w:val="en-GB"/>
        </w:rPr>
        <w:t xml:space="preserve"> of the author</w:t>
      </w:r>
      <w:r w:rsidR="00033A75" w:rsidRPr="00557D58">
        <w:rPr>
          <w:lang w:val="en-GB"/>
        </w:rPr>
        <w:t xml:space="preserve"> </w:t>
      </w:r>
      <w:r w:rsidR="000B7C66" w:rsidRPr="00557D58">
        <w:rPr>
          <w:lang w:val="en-GB"/>
        </w:rPr>
        <w:t>“could not have been performed without her consent”</w:t>
      </w:r>
      <w:r w:rsidR="003751BB" w:rsidRPr="00557D58">
        <w:rPr>
          <w:lang w:val="en-GB"/>
        </w:rPr>
        <w:t xml:space="preserve">, </w:t>
      </w:r>
      <w:r w:rsidR="00006926" w:rsidRPr="00557D58">
        <w:rPr>
          <w:lang w:val="en-GB"/>
        </w:rPr>
        <w:t xml:space="preserve">but considers that this </w:t>
      </w:r>
      <w:r w:rsidR="003751BB" w:rsidRPr="00557D58">
        <w:rPr>
          <w:lang w:val="en-GB"/>
        </w:rPr>
        <w:t xml:space="preserve">cannot be taken as a credible denial of the author’s allegation regarding the forced nature of the </w:t>
      </w:r>
      <w:r w:rsidR="00006926" w:rsidRPr="00557D58">
        <w:rPr>
          <w:lang w:val="en-GB"/>
        </w:rPr>
        <w:t xml:space="preserve">medical </w:t>
      </w:r>
      <w:r w:rsidR="00F70328">
        <w:rPr>
          <w:lang w:val="en-GB"/>
        </w:rPr>
        <w:t>procedure to which</w:t>
      </w:r>
      <w:r w:rsidR="000B7C66" w:rsidRPr="00557D58">
        <w:rPr>
          <w:lang w:val="en-GB"/>
        </w:rPr>
        <w:t xml:space="preserve"> she was subjected</w:t>
      </w:r>
      <w:r w:rsidR="003751BB" w:rsidRPr="00557D58">
        <w:rPr>
          <w:lang w:val="en-GB"/>
        </w:rPr>
        <w:t>.</w:t>
      </w:r>
      <w:r w:rsidR="000920F1" w:rsidRPr="00557D58">
        <w:rPr>
          <w:lang w:val="en-GB"/>
        </w:rPr>
        <w:t xml:space="preserve"> </w:t>
      </w:r>
    </w:p>
    <w:p w14:paraId="6CADB95D" w14:textId="77777777" w:rsidR="000920F1" w:rsidRPr="00557D58" w:rsidRDefault="00006926" w:rsidP="00D178AC">
      <w:pPr>
        <w:pStyle w:val="SingleTxtG"/>
        <w:rPr>
          <w:lang w:val="en-GB"/>
        </w:rPr>
      </w:pPr>
      <w:r w:rsidRPr="00895641">
        <w:rPr>
          <w:lang w:val="en-GB"/>
        </w:rPr>
        <w:t>7.</w:t>
      </w:r>
      <w:r w:rsidRPr="00557D58">
        <w:rPr>
          <w:lang w:val="en-GB"/>
        </w:rPr>
        <w:t xml:space="preserve">4 </w:t>
      </w:r>
      <w:r w:rsidR="00FF2478" w:rsidRPr="00557D58">
        <w:rPr>
          <w:lang w:val="en-GB"/>
        </w:rPr>
        <w:tab/>
      </w:r>
      <w:r w:rsidR="000920F1" w:rsidRPr="00557D58">
        <w:rPr>
          <w:lang w:val="en-GB"/>
        </w:rPr>
        <w:t>In th</w:t>
      </w:r>
      <w:r w:rsidR="00F70328">
        <w:rPr>
          <w:lang w:val="en-GB"/>
        </w:rPr>
        <w:t>at</w:t>
      </w:r>
      <w:r w:rsidR="000920F1" w:rsidRPr="00557D58">
        <w:rPr>
          <w:lang w:val="en-GB"/>
        </w:rPr>
        <w:t xml:space="preserve"> regard, the Committee recalls that, once a complaint about ill-treatment contrary to article 7 has been filed, a State party must investigate it promptly and impartially.</w:t>
      </w:r>
      <w:r w:rsidR="000920F1" w:rsidRPr="00557D58">
        <w:rPr>
          <w:rStyle w:val="FootnoteReference"/>
          <w:lang w:val="en-GB"/>
        </w:rPr>
        <w:footnoteReference w:id="8"/>
      </w:r>
      <w:r w:rsidR="000920F1" w:rsidRPr="00557D58">
        <w:rPr>
          <w:lang w:val="en-GB"/>
        </w:rPr>
        <w:t xml:space="preserve"> The Committee further recalls that the State party is responsible for the security of all persons held in detention and that, when there are allegations of torture and mistreatment, it is incumbent on the State party to produce evidence refuting the author’s allegations.</w:t>
      </w:r>
      <w:r w:rsidR="000920F1" w:rsidRPr="00557D58">
        <w:rPr>
          <w:rStyle w:val="FootnoteReference"/>
          <w:lang w:val="en-GB"/>
        </w:rPr>
        <w:footnoteReference w:id="9"/>
      </w:r>
      <w:r w:rsidR="000920F1" w:rsidRPr="00557D58">
        <w:rPr>
          <w:lang w:val="en-GB"/>
        </w:rPr>
        <w:t xml:space="preserve"> In the absence of any thorough explanation from the State party, the Committee has to give due weight to the author’s allegations</w:t>
      </w:r>
      <w:r w:rsidR="0023086A" w:rsidRPr="00557D58">
        <w:rPr>
          <w:lang w:val="en-GB"/>
        </w:rPr>
        <w:t>, particularly to allegations of sexual abuse, a form of extreme gender-based violence</w:t>
      </w:r>
      <w:r w:rsidR="00DE6BB0" w:rsidRPr="00557D58">
        <w:rPr>
          <w:lang w:val="en-GB"/>
        </w:rPr>
        <w:t>.</w:t>
      </w:r>
      <w:r w:rsidR="00587429" w:rsidRPr="00557D58">
        <w:rPr>
          <w:rStyle w:val="FootnoteReference"/>
          <w:lang w:val="en-GB"/>
        </w:rPr>
        <w:footnoteReference w:id="10"/>
      </w:r>
      <w:r w:rsidR="000920F1" w:rsidRPr="00557D58">
        <w:rPr>
          <w:lang w:val="en-GB"/>
        </w:rPr>
        <w:t xml:space="preserve"> Accordingly, the Committee concludes that the facts before it disclose </w:t>
      </w:r>
      <w:r w:rsidR="0023086A" w:rsidRPr="00557D58">
        <w:rPr>
          <w:lang w:val="en-GB"/>
        </w:rPr>
        <w:t xml:space="preserve">multiple grave </w:t>
      </w:r>
      <w:r w:rsidR="000920F1" w:rsidRPr="00557D58">
        <w:rPr>
          <w:lang w:val="en-GB"/>
        </w:rPr>
        <w:t>violation</w:t>
      </w:r>
      <w:r w:rsidR="0023086A" w:rsidRPr="00557D58">
        <w:rPr>
          <w:lang w:val="en-GB"/>
        </w:rPr>
        <w:t>s of the prohibition of torture and</w:t>
      </w:r>
      <w:r w:rsidR="000920F1" w:rsidRPr="00557D58">
        <w:rPr>
          <w:lang w:val="en-GB"/>
        </w:rPr>
        <w:t xml:space="preserve"> of the author’s rights under article </w:t>
      </w:r>
      <w:r w:rsidR="000920F1" w:rsidRPr="00557D58">
        <w:rPr>
          <w:bCs/>
          <w:lang w:val="en-GB"/>
        </w:rPr>
        <w:t>7</w:t>
      </w:r>
      <w:r w:rsidR="000920F1" w:rsidRPr="00557D58">
        <w:rPr>
          <w:lang w:val="en-GB"/>
        </w:rPr>
        <w:t xml:space="preserve"> of the Covenant.</w:t>
      </w:r>
      <w:r w:rsidR="000920F1" w:rsidRPr="00557D58">
        <w:rPr>
          <w:rStyle w:val="FootnoteReference"/>
          <w:lang w:val="en-GB"/>
        </w:rPr>
        <w:footnoteReference w:id="11"/>
      </w:r>
      <w:r w:rsidR="000920F1" w:rsidRPr="00557D58">
        <w:rPr>
          <w:lang w:val="en-GB"/>
        </w:rPr>
        <w:t xml:space="preserve"> </w:t>
      </w:r>
    </w:p>
    <w:p w14:paraId="5FAD1B8B" w14:textId="77777777" w:rsidR="000920F1" w:rsidRPr="00557D58" w:rsidRDefault="000920F1" w:rsidP="00E77EE3">
      <w:pPr>
        <w:pStyle w:val="SingleTxtG"/>
        <w:rPr>
          <w:lang w:val="en-GB"/>
        </w:rPr>
      </w:pPr>
      <w:r w:rsidRPr="00557D58">
        <w:rPr>
          <w:lang w:val="en-GB"/>
        </w:rPr>
        <w:lastRenderedPageBreak/>
        <w:t>7.</w:t>
      </w:r>
      <w:r w:rsidR="00006926" w:rsidRPr="00557D58">
        <w:rPr>
          <w:lang w:val="en-GB"/>
        </w:rPr>
        <w:t>5</w:t>
      </w:r>
      <w:r w:rsidRPr="00557D58">
        <w:rPr>
          <w:lang w:val="en-GB"/>
        </w:rPr>
        <w:tab/>
        <w:t>The Committee notes the author’s allegations that the State party has failed</w:t>
      </w:r>
      <w:r w:rsidR="00033A75" w:rsidRPr="00557D58">
        <w:rPr>
          <w:lang w:val="en-GB"/>
        </w:rPr>
        <w:t xml:space="preserve"> </w:t>
      </w:r>
      <w:r w:rsidRPr="00557D58">
        <w:rPr>
          <w:lang w:val="en-GB"/>
        </w:rPr>
        <w:t>to investigate promptly and efficiently her torture allegations. The Committee recalls that it attaches importance to States parties’ establishing appropriate judicial and administrative mechanisms for addressing claims of rights violations.</w:t>
      </w:r>
      <w:r w:rsidRPr="00557D58">
        <w:rPr>
          <w:rStyle w:val="FootnoteReference"/>
          <w:lang w:val="en-GB"/>
        </w:rPr>
        <w:footnoteReference w:id="12"/>
      </w:r>
      <w:r w:rsidR="00DE6BB0" w:rsidRPr="00895641">
        <w:rPr>
          <w:lang w:val="en-GB"/>
        </w:rPr>
        <w:t xml:space="preserve"> </w:t>
      </w:r>
      <w:r w:rsidRPr="00557D58">
        <w:rPr>
          <w:lang w:val="en-GB"/>
        </w:rPr>
        <w:t>It recalls its general comment No. 31 (2004) on the nature of the general legal obligation imposed on States parties to the Covenant, which states that a State party’s failure to investigate alleged violations could in and of itself give rise to a separate breach of the Covenant. In the absence of any thorough explanation from the State party as to the investigation into the author’s torture allegations, the Committee considers that the State party</w:t>
      </w:r>
      <w:r w:rsidR="00557D58" w:rsidRPr="00557D58">
        <w:rPr>
          <w:lang w:val="en-GB"/>
        </w:rPr>
        <w:t>’</w:t>
      </w:r>
      <w:r w:rsidRPr="00557D58">
        <w:rPr>
          <w:lang w:val="en-GB"/>
        </w:rPr>
        <w:t xml:space="preserve">s competent authorities did not give due and adequate consideration to the author’s complaints of torture. The Committee concludes that the information before it discloses a violation of article 2 </w:t>
      </w:r>
      <w:r w:rsidR="00F70328">
        <w:rPr>
          <w:lang w:val="en-GB"/>
        </w:rPr>
        <w:t>(</w:t>
      </w:r>
      <w:r w:rsidRPr="00557D58">
        <w:rPr>
          <w:lang w:val="en-GB"/>
        </w:rPr>
        <w:t>3</w:t>
      </w:r>
      <w:r w:rsidR="00F70328">
        <w:rPr>
          <w:lang w:val="en-GB"/>
        </w:rPr>
        <w:t>)</w:t>
      </w:r>
      <w:r w:rsidRPr="00557D58">
        <w:rPr>
          <w:lang w:val="en-GB"/>
        </w:rPr>
        <w:t xml:space="preserve">, read in conjunction with article 7 of the Covenant. </w:t>
      </w:r>
    </w:p>
    <w:p w14:paraId="0F069FF5" w14:textId="77777777" w:rsidR="000920F1" w:rsidRPr="00557D58" w:rsidRDefault="000920F1" w:rsidP="004C05A1">
      <w:pPr>
        <w:pStyle w:val="SingleTxtG"/>
        <w:rPr>
          <w:lang w:val="en-GB"/>
        </w:rPr>
      </w:pPr>
      <w:r w:rsidRPr="00557D58">
        <w:rPr>
          <w:lang w:val="en-GB"/>
        </w:rPr>
        <w:t>7.</w:t>
      </w:r>
      <w:r w:rsidR="00006926" w:rsidRPr="00557D58">
        <w:rPr>
          <w:lang w:val="en-GB"/>
        </w:rPr>
        <w:t>6</w:t>
      </w:r>
      <w:r w:rsidRPr="00557D58">
        <w:rPr>
          <w:lang w:val="en-GB"/>
        </w:rPr>
        <w:tab/>
        <w:t>The Committee has noted the author’s claims that the gang rape committed against her, as well as the sterilization without her consent</w:t>
      </w:r>
      <w:r w:rsidR="00F70328">
        <w:rPr>
          <w:lang w:val="en-GB"/>
        </w:rPr>
        <w:t>,</w:t>
      </w:r>
      <w:r w:rsidRPr="00557D58">
        <w:rPr>
          <w:lang w:val="en-GB"/>
        </w:rPr>
        <w:t xml:space="preserve"> constitute violations of article 26, as they amount to discrimination on the basis of her sex; and that by arbitrarily and unlawfully arresting and detaining, and later prosecuting and convicting</w:t>
      </w:r>
      <w:r w:rsidR="00F70328">
        <w:rPr>
          <w:lang w:val="en-GB"/>
        </w:rPr>
        <w:t>,</w:t>
      </w:r>
      <w:r w:rsidRPr="00557D58">
        <w:rPr>
          <w:lang w:val="en-GB"/>
        </w:rPr>
        <w:t xml:space="preserve"> her on account of her human rights activities, the State party additionally violated her rights under article 26, which protects against discrimination on grounds of political or other opinion. The Committee notes that the State party has not refuted these allegations specifically but that it has only stated, in general terms, that no violations of the author’s right have taken place in this case. In the circumstances, the Committee considers that due weight must be given to the author’s allegations.</w:t>
      </w:r>
      <w:r w:rsidR="00EA62D7" w:rsidRPr="00557D58">
        <w:rPr>
          <w:lang w:val="en-GB"/>
        </w:rPr>
        <w:t xml:space="preserve"> The Committee notes that the involuntary sterilization together with the rape committed against the author show the specific aggression against </w:t>
      </w:r>
      <w:r w:rsidR="00624962" w:rsidRPr="00557D58">
        <w:rPr>
          <w:lang w:val="en-GB"/>
        </w:rPr>
        <w:t>her</w:t>
      </w:r>
      <w:r w:rsidR="00EA62D7" w:rsidRPr="00557D58">
        <w:rPr>
          <w:lang w:val="en-GB"/>
        </w:rPr>
        <w:t xml:space="preserve"> as a woman.</w:t>
      </w:r>
      <w:r w:rsidRPr="00557D58">
        <w:rPr>
          <w:lang w:val="en-GB"/>
        </w:rPr>
        <w:t xml:space="preserve"> Accordingly, the Committee considers that</w:t>
      </w:r>
      <w:r w:rsidR="00F70328">
        <w:rPr>
          <w:lang w:val="en-GB"/>
        </w:rPr>
        <w:t>,</w:t>
      </w:r>
      <w:r w:rsidRPr="00557D58">
        <w:rPr>
          <w:lang w:val="en-GB"/>
        </w:rPr>
        <w:t xml:space="preserve"> in the circumstances of the present case, the facts as presented by the author amount to a violation of the author’s rights under</w:t>
      </w:r>
      <w:r w:rsidR="00033A75" w:rsidRPr="00557D58">
        <w:rPr>
          <w:lang w:val="en-GB"/>
        </w:rPr>
        <w:t xml:space="preserve"> </w:t>
      </w:r>
      <w:r w:rsidR="0023086A" w:rsidRPr="00557D58">
        <w:rPr>
          <w:lang w:val="en-GB"/>
        </w:rPr>
        <w:t xml:space="preserve">article </w:t>
      </w:r>
      <w:r w:rsidRPr="00557D58">
        <w:rPr>
          <w:lang w:val="en-GB"/>
        </w:rPr>
        <w:t xml:space="preserve">26 of the Covenant. </w:t>
      </w:r>
    </w:p>
    <w:p w14:paraId="0C33222B" w14:textId="77777777" w:rsidR="00006926" w:rsidRPr="00557D58" w:rsidRDefault="000920F1" w:rsidP="004C05A1">
      <w:pPr>
        <w:pStyle w:val="SingleTxtG"/>
        <w:rPr>
          <w:lang w:val="en-GB"/>
        </w:rPr>
      </w:pPr>
      <w:r w:rsidRPr="00557D58">
        <w:rPr>
          <w:lang w:val="en-GB"/>
        </w:rPr>
        <w:t>7.</w:t>
      </w:r>
      <w:r w:rsidR="00006926" w:rsidRPr="00557D58">
        <w:rPr>
          <w:lang w:val="en-GB"/>
        </w:rPr>
        <w:t>7</w:t>
      </w:r>
      <w:r w:rsidRPr="00557D58">
        <w:rPr>
          <w:lang w:val="en-GB"/>
        </w:rPr>
        <w:tab/>
      </w:r>
      <w:r w:rsidR="00C66854" w:rsidRPr="00557D58">
        <w:rPr>
          <w:lang w:val="en-GB"/>
        </w:rPr>
        <w:t>The Committee has noted the author’s claims that: the State party failed to promptly inform her of the reasons for her arrest and detention, contrary to article 9 (2) of the Covenant</w:t>
      </w:r>
      <w:r w:rsidR="000B2D51">
        <w:rPr>
          <w:lang w:val="en-GB"/>
        </w:rPr>
        <w:t>,</w:t>
      </w:r>
      <w:r w:rsidR="00C66854" w:rsidRPr="00557D58">
        <w:rPr>
          <w:lang w:val="en-GB"/>
        </w:rPr>
        <w:t xml:space="preserve"> and to bring her before a judge or enable her to challenge the legality of detention, contrary to</w:t>
      </w:r>
      <w:r w:rsidR="002F1100">
        <w:rPr>
          <w:lang w:val="en-GB"/>
        </w:rPr>
        <w:t>,</w:t>
      </w:r>
      <w:r w:rsidR="00C66854" w:rsidRPr="00557D58">
        <w:rPr>
          <w:lang w:val="en-GB"/>
        </w:rPr>
        <w:t xml:space="preserve"> </w:t>
      </w:r>
      <w:r w:rsidR="002F1100" w:rsidRPr="00557D58">
        <w:rPr>
          <w:lang w:val="en-GB"/>
        </w:rPr>
        <w:t>respectively</w:t>
      </w:r>
      <w:r w:rsidR="002F1100">
        <w:rPr>
          <w:lang w:val="en-GB"/>
        </w:rPr>
        <w:t>,</w:t>
      </w:r>
      <w:r w:rsidR="002F1100" w:rsidRPr="00557D58">
        <w:rPr>
          <w:lang w:val="en-GB"/>
        </w:rPr>
        <w:t xml:space="preserve"> </w:t>
      </w:r>
      <w:r w:rsidR="00C66854" w:rsidRPr="00557D58">
        <w:rPr>
          <w:lang w:val="en-GB"/>
        </w:rPr>
        <w:t>article 9</w:t>
      </w:r>
      <w:r w:rsidR="002F1100">
        <w:rPr>
          <w:lang w:val="en-GB"/>
        </w:rPr>
        <w:t xml:space="preserve"> (</w:t>
      </w:r>
      <w:r w:rsidR="00C66854" w:rsidRPr="00557D58">
        <w:rPr>
          <w:lang w:val="en-GB"/>
        </w:rPr>
        <w:t>3</w:t>
      </w:r>
      <w:r w:rsidR="002F1100">
        <w:rPr>
          <w:lang w:val="en-GB"/>
        </w:rPr>
        <w:t>)</w:t>
      </w:r>
      <w:r w:rsidR="00C66854" w:rsidRPr="00557D58">
        <w:rPr>
          <w:lang w:val="en-GB"/>
        </w:rPr>
        <w:t xml:space="preserve"> and article 9 </w:t>
      </w:r>
      <w:r w:rsidR="002F1100">
        <w:rPr>
          <w:lang w:val="en-GB"/>
        </w:rPr>
        <w:t>(</w:t>
      </w:r>
      <w:r w:rsidR="00C66854" w:rsidRPr="00557D58">
        <w:rPr>
          <w:lang w:val="en-GB"/>
        </w:rPr>
        <w:t>4</w:t>
      </w:r>
      <w:r w:rsidR="002F1100">
        <w:rPr>
          <w:lang w:val="en-GB"/>
        </w:rPr>
        <w:t>)</w:t>
      </w:r>
      <w:r w:rsidR="00C66854" w:rsidRPr="00557D58">
        <w:rPr>
          <w:lang w:val="en-GB"/>
        </w:rPr>
        <w:t xml:space="preserve"> of the Covenant; the State party failed to ensure her right to a fair trial by an independent and impartial court</w:t>
      </w:r>
      <w:r w:rsidR="000B2D51">
        <w:rPr>
          <w:lang w:val="en-GB"/>
        </w:rPr>
        <w:t>,</w:t>
      </w:r>
      <w:r w:rsidR="00C66854" w:rsidRPr="00557D58">
        <w:rPr>
          <w:lang w:val="en-GB"/>
        </w:rPr>
        <w:t xml:space="preserve"> contrary to article 14 </w:t>
      </w:r>
      <w:r w:rsidR="002F1100">
        <w:rPr>
          <w:lang w:val="en-GB"/>
        </w:rPr>
        <w:t>(</w:t>
      </w:r>
      <w:r w:rsidR="00C66854" w:rsidRPr="00557D58">
        <w:rPr>
          <w:lang w:val="en-GB"/>
        </w:rPr>
        <w:t>1</w:t>
      </w:r>
      <w:r w:rsidR="00B623B9">
        <w:rPr>
          <w:lang w:val="en-GB"/>
        </w:rPr>
        <w:t>)</w:t>
      </w:r>
      <w:r w:rsidR="00C66854" w:rsidRPr="00557D58">
        <w:rPr>
          <w:lang w:val="en-GB"/>
        </w:rPr>
        <w:t>, to provide her with adequate time and facilities for the preparation of her defen</w:t>
      </w:r>
      <w:r w:rsidR="00B623B9">
        <w:rPr>
          <w:lang w:val="en-GB"/>
        </w:rPr>
        <w:t>c</w:t>
      </w:r>
      <w:r w:rsidR="00C66854" w:rsidRPr="00557D58">
        <w:rPr>
          <w:lang w:val="en-GB"/>
        </w:rPr>
        <w:t>e and to communicate with her lawyers</w:t>
      </w:r>
      <w:r w:rsidR="000B2D51">
        <w:rPr>
          <w:lang w:val="en-GB"/>
        </w:rPr>
        <w:t>,</w:t>
      </w:r>
      <w:r w:rsidR="00C66854" w:rsidRPr="00557D58">
        <w:rPr>
          <w:lang w:val="en-GB"/>
        </w:rPr>
        <w:t xml:space="preserve"> contrary to article 14 </w:t>
      </w:r>
      <w:r w:rsidR="00B623B9">
        <w:rPr>
          <w:lang w:val="en-GB"/>
        </w:rPr>
        <w:t>(</w:t>
      </w:r>
      <w:r w:rsidR="00C66854" w:rsidRPr="00557D58">
        <w:rPr>
          <w:lang w:val="en-GB"/>
        </w:rPr>
        <w:t>3</w:t>
      </w:r>
      <w:r w:rsidR="00B623B9">
        <w:rPr>
          <w:lang w:val="en-GB"/>
        </w:rPr>
        <w:t>)</w:t>
      </w:r>
      <w:r w:rsidR="00C66854" w:rsidRPr="00557D58">
        <w:rPr>
          <w:lang w:val="en-GB"/>
        </w:rPr>
        <w:t xml:space="preserve"> (b), </w:t>
      </w:r>
      <w:r w:rsidR="008040C7" w:rsidRPr="00557D58">
        <w:rPr>
          <w:lang w:val="en-GB"/>
        </w:rPr>
        <w:t xml:space="preserve">and </w:t>
      </w:r>
      <w:r w:rsidR="00C66854" w:rsidRPr="00557D58">
        <w:rPr>
          <w:lang w:val="en-GB"/>
        </w:rPr>
        <w:t xml:space="preserve">to allow for the procedural guarantees enshrined in article 14 </w:t>
      </w:r>
      <w:r w:rsidR="00B623B9">
        <w:rPr>
          <w:lang w:val="en-GB"/>
        </w:rPr>
        <w:t>(</w:t>
      </w:r>
      <w:r w:rsidR="00C66854" w:rsidRPr="00557D58">
        <w:rPr>
          <w:lang w:val="en-GB"/>
        </w:rPr>
        <w:t>3</w:t>
      </w:r>
      <w:r w:rsidR="00B623B9">
        <w:rPr>
          <w:lang w:val="en-GB"/>
        </w:rPr>
        <w:t>)</w:t>
      </w:r>
      <w:r w:rsidR="00C66854" w:rsidRPr="00557D58">
        <w:rPr>
          <w:lang w:val="en-GB"/>
        </w:rPr>
        <w:t xml:space="preserve"> (e); when she was attacked, while holding pickets in May and August 2003, the authorities failed to adequately investigate the women attacking her and</w:t>
      </w:r>
      <w:r w:rsidR="00B623B9">
        <w:rPr>
          <w:lang w:val="en-GB"/>
        </w:rPr>
        <w:t>,</w:t>
      </w:r>
      <w:r w:rsidR="00C66854" w:rsidRPr="00557D58">
        <w:rPr>
          <w:lang w:val="en-GB"/>
        </w:rPr>
        <w:t xml:space="preserve"> on both occasions, the author was charged for holding an unlawful demonstration and therefore the State</w:t>
      </w:r>
      <w:r w:rsidR="004766BC" w:rsidRPr="00557D58">
        <w:rPr>
          <w:lang w:val="en-GB"/>
        </w:rPr>
        <w:t xml:space="preserve"> </w:t>
      </w:r>
      <w:r w:rsidR="00C66854" w:rsidRPr="00557D58">
        <w:rPr>
          <w:lang w:val="en-GB"/>
        </w:rPr>
        <w:t xml:space="preserve">party violated her rights under </w:t>
      </w:r>
      <w:r w:rsidR="004766BC" w:rsidRPr="00557D58">
        <w:rPr>
          <w:lang w:val="en-GB"/>
        </w:rPr>
        <w:t>article</w:t>
      </w:r>
      <w:r w:rsidR="00C66854" w:rsidRPr="00557D58">
        <w:rPr>
          <w:lang w:val="en-GB"/>
        </w:rPr>
        <w:t xml:space="preserve"> 19</w:t>
      </w:r>
      <w:r w:rsidR="004766BC" w:rsidRPr="00557D58">
        <w:rPr>
          <w:lang w:val="en-GB"/>
        </w:rPr>
        <w:t xml:space="preserve"> of the Covenant; the</w:t>
      </w:r>
      <w:r w:rsidR="00C66854" w:rsidRPr="00557D58">
        <w:rPr>
          <w:lang w:val="en-GB"/>
        </w:rPr>
        <w:t xml:space="preserve"> law enforcement authorities </w:t>
      </w:r>
      <w:r w:rsidR="004766BC" w:rsidRPr="00557D58">
        <w:rPr>
          <w:lang w:val="en-GB"/>
        </w:rPr>
        <w:t xml:space="preserve">brought criminal charges against </w:t>
      </w:r>
      <w:r w:rsidR="00C66854" w:rsidRPr="00557D58">
        <w:rPr>
          <w:lang w:val="en-GB"/>
        </w:rPr>
        <w:t xml:space="preserve">her for organizing an unlawful demonstration </w:t>
      </w:r>
      <w:r w:rsidR="00B623B9">
        <w:rPr>
          <w:lang w:val="en-GB"/>
        </w:rPr>
        <w:t>with</w:t>
      </w:r>
      <w:r w:rsidR="00B623B9" w:rsidRPr="00557D58">
        <w:rPr>
          <w:lang w:val="en-GB"/>
        </w:rPr>
        <w:t xml:space="preserve"> </w:t>
      </w:r>
      <w:r w:rsidR="00C66854" w:rsidRPr="00557D58">
        <w:rPr>
          <w:lang w:val="en-GB"/>
        </w:rPr>
        <w:t>regard to the pickets held by the author in May and August 2003</w:t>
      </w:r>
      <w:r w:rsidR="00CF27E7" w:rsidRPr="00557D58">
        <w:rPr>
          <w:lang w:val="en-GB"/>
        </w:rPr>
        <w:t xml:space="preserve">, which </w:t>
      </w:r>
      <w:r w:rsidR="00C66854" w:rsidRPr="00557D58">
        <w:rPr>
          <w:lang w:val="en-GB"/>
        </w:rPr>
        <w:t>restrict</w:t>
      </w:r>
      <w:r w:rsidR="00CF27E7" w:rsidRPr="00557D58">
        <w:rPr>
          <w:lang w:val="en-GB"/>
        </w:rPr>
        <w:t>ed</w:t>
      </w:r>
      <w:r w:rsidR="00C66854" w:rsidRPr="00557D58">
        <w:rPr>
          <w:lang w:val="en-GB"/>
        </w:rPr>
        <w:t xml:space="preserve"> her freedom </w:t>
      </w:r>
      <w:r w:rsidR="00CF27E7" w:rsidRPr="00557D58">
        <w:rPr>
          <w:lang w:val="en-GB"/>
        </w:rPr>
        <w:t>of assembly under article 21 and the restrictions</w:t>
      </w:r>
      <w:r w:rsidR="004766BC" w:rsidRPr="00557D58">
        <w:rPr>
          <w:lang w:val="en-GB"/>
        </w:rPr>
        <w:t xml:space="preserve"> were</w:t>
      </w:r>
      <w:r w:rsidR="00C66854" w:rsidRPr="00557D58">
        <w:rPr>
          <w:lang w:val="en-GB"/>
        </w:rPr>
        <w:t xml:space="preserve"> not justified as they were neither in the interest of national security or public safety, nor necessary for the protection of public health, morals or rights and freedoms of others</w:t>
      </w:r>
      <w:r w:rsidR="00CF27E7" w:rsidRPr="00557D58">
        <w:rPr>
          <w:lang w:val="en-GB"/>
        </w:rPr>
        <w:t>; that the</w:t>
      </w:r>
      <w:r w:rsidR="00C66854" w:rsidRPr="00557D58">
        <w:rPr>
          <w:lang w:val="en-GB"/>
        </w:rPr>
        <w:t xml:space="preserve"> author was detained, charged, indicted and later convicted and imprison</w:t>
      </w:r>
      <w:r w:rsidR="00CF27E7" w:rsidRPr="00557D58">
        <w:rPr>
          <w:lang w:val="en-GB"/>
        </w:rPr>
        <w:t xml:space="preserve">ed for the establishment of an </w:t>
      </w:r>
      <w:r w:rsidR="00C66854" w:rsidRPr="00557D58">
        <w:rPr>
          <w:lang w:val="en-GB"/>
        </w:rPr>
        <w:t xml:space="preserve">unregistered public </w:t>
      </w:r>
      <w:r w:rsidR="00CF27E7" w:rsidRPr="00557D58">
        <w:rPr>
          <w:lang w:val="en-GB"/>
        </w:rPr>
        <w:t xml:space="preserve">organization, severely restricting her freedom of association in violation of article 22 </w:t>
      </w:r>
      <w:r w:rsidR="00B623B9">
        <w:rPr>
          <w:lang w:val="en-GB"/>
        </w:rPr>
        <w:t>(</w:t>
      </w:r>
      <w:r w:rsidR="00CF27E7" w:rsidRPr="00557D58">
        <w:rPr>
          <w:lang w:val="en-GB"/>
        </w:rPr>
        <w:t>2</w:t>
      </w:r>
      <w:r w:rsidR="00B623B9">
        <w:rPr>
          <w:lang w:val="en-GB"/>
        </w:rPr>
        <w:t>)</w:t>
      </w:r>
      <w:r w:rsidR="00CF27E7" w:rsidRPr="00557D58">
        <w:rPr>
          <w:lang w:val="en-GB"/>
        </w:rPr>
        <w:t xml:space="preserve"> of the Covenant</w:t>
      </w:r>
      <w:r w:rsidR="008C4F79" w:rsidRPr="00557D58">
        <w:rPr>
          <w:lang w:val="en-GB"/>
        </w:rPr>
        <w:t xml:space="preserve">. </w:t>
      </w:r>
    </w:p>
    <w:p w14:paraId="20B28CE3" w14:textId="77777777" w:rsidR="008C4F79" w:rsidRPr="00557D58" w:rsidRDefault="00006926" w:rsidP="000B2D51">
      <w:pPr>
        <w:pStyle w:val="SingleTxtG"/>
        <w:rPr>
          <w:lang w:val="en-GB"/>
        </w:rPr>
      </w:pPr>
      <w:r w:rsidRPr="00557D58">
        <w:rPr>
          <w:lang w:val="en-GB"/>
        </w:rPr>
        <w:t>7.8</w:t>
      </w:r>
      <w:r w:rsidR="00DE6BB0" w:rsidRPr="00557D58">
        <w:rPr>
          <w:lang w:val="en-GB"/>
        </w:rPr>
        <w:tab/>
      </w:r>
      <w:r w:rsidR="008C4F79" w:rsidRPr="00557D58">
        <w:rPr>
          <w:lang w:val="en-GB"/>
        </w:rPr>
        <w:t>The Committee notes that the State party has not refuted these allegations specifically but that it has only stated, in general terms, that no violations of the author’s right</w:t>
      </w:r>
      <w:r w:rsidR="00B623B9">
        <w:rPr>
          <w:lang w:val="en-GB"/>
        </w:rPr>
        <w:t>s</w:t>
      </w:r>
      <w:r w:rsidR="008C4F79" w:rsidRPr="00557D58">
        <w:rPr>
          <w:lang w:val="en-GB"/>
        </w:rPr>
        <w:t xml:space="preserve"> have taken place in this case. In the circumstances, the Committee considers that due weight must be given to the author’s allegations. Accordingly, the Committee considers that</w:t>
      </w:r>
      <w:r w:rsidR="00B623B9">
        <w:rPr>
          <w:lang w:val="en-GB"/>
        </w:rPr>
        <w:t>,</w:t>
      </w:r>
      <w:r w:rsidR="008C4F79" w:rsidRPr="00557D58">
        <w:rPr>
          <w:lang w:val="en-GB"/>
        </w:rPr>
        <w:t xml:space="preserve"> in the circumstances of the present case, the facts as presented by the author amount to a violation of the author’s rights under articles 9 (1), (2) and (4), 14 (1) and (3) (b) and (e), 19 (2), 21</w:t>
      </w:r>
      <w:r w:rsidR="00B623B9">
        <w:rPr>
          <w:lang w:val="en-GB"/>
        </w:rPr>
        <w:t xml:space="preserve"> and</w:t>
      </w:r>
      <w:r w:rsidR="008C4F79" w:rsidRPr="00557D58">
        <w:rPr>
          <w:lang w:val="en-GB"/>
        </w:rPr>
        <w:t xml:space="preserve"> 22 of the Covenant.</w:t>
      </w:r>
    </w:p>
    <w:p w14:paraId="7CD39BF4" w14:textId="77777777" w:rsidR="00BB3EDD" w:rsidRPr="00557D58" w:rsidRDefault="00BB3EDD">
      <w:pPr>
        <w:pStyle w:val="SingleTxtG"/>
        <w:rPr>
          <w:lang w:val="en-GB"/>
        </w:rPr>
      </w:pPr>
      <w:r w:rsidRPr="00557D58">
        <w:rPr>
          <w:lang w:val="en-GB"/>
        </w:rPr>
        <w:t>7.</w:t>
      </w:r>
      <w:r w:rsidR="00006926" w:rsidRPr="00557D58">
        <w:rPr>
          <w:lang w:val="en-GB"/>
        </w:rPr>
        <w:t>9</w:t>
      </w:r>
      <w:r w:rsidRPr="00557D58">
        <w:rPr>
          <w:lang w:val="en-GB"/>
        </w:rPr>
        <w:tab/>
        <w:t>In the light of the above findings, the Committee will not examine separately the author’s allegations under article</w:t>
      </w:r>
      <w:r w:rsidR="00600471">
        <w:rPr>
          <w:lang w:val="en-GB"/>
        </w:rPr>
        <w:t>s</w:t>
      </w:r>
      <w:r w:rsidRPr="00557D58">
        <w:rPr>
          <w:lang w:val="en-GB"/>
        </w:rPr>
        <w:t> 10</w:t>
      </w:r>
      <w:r w:rsidR="0023086A" w:rsidRPr="00557D58">
        <w:rPr>
          <w:lang w:val="en-GB"/>
        </w:rPr>
        <w:t xml:space="preserve"> and 17 </w:t>
      </w:r>
      <w:r w:rsidR="00B623B9">
        <w:rPr>
          <w:lang w:val="en-GB"/>
        </w:rPr>
        <w:t>(</w:t>
      </w:r>
      <w:r w:rsidR="0023086A" w:rsidRPr="00557D58">
        <w:rPr>
          <w:lang w:val="en-GB"/>
        </w:rPr>
        <w:t>1</w:t>
      </w:r>
      <w:r w:rsidR="00B623B9">
        <w:rPr>
          <w:lang w:val="en-GB"/>
        </w:rPr>
        <w:t>)</w:t>
      </w:r>
      <w:r w:rsidRPr="00557D58">
        <w:rPr>
          <w:lang w:val="en-GB"/>
        </w:rPr>
        <w:t xml:space="preserve"> of the Covenant.</w:t>
      </w:r>
    </w:p>
    <w:p w14:paraId="5D12E862" w14:textId="77777777" w:rsidR="00BB3EDD" w:rsidRPr="00557D58" w:rsidRDefault="00FD1D08" w:rsidP="000B2D51">
      <w:pPr>
        <w:pStyle w:val="SingleTxtG"/>
        <w:rPr>
          <w:lang w:val="en-GB"/>
        </w:rPr>
      </w:pPr>
      <w:r w:rsidRPr="00557D58">
        <w:rPr>
          <w:lang w:val="en-GB"/>
        </w:rPr>
        <w:t>8.</w:t>
      </w:r>
      <w:r w:rsidR="00C00847" w:rsidRPr="00557D58">
        <w:rPr>
          <w:lang w:val="en-GB"/>
        </w:rPr>
        <w:tab/>
      </w:r>
      <w:r w:rsidR="00BB3EDD" w:rsidRPr="00557D58">
        <w:rPr>
          <w:lang w:val="en-GB"/>
        </w:rPr>
        <w:t xml:space="preserve">The Committee, acting under article 5 </w:t>
      </w:r>
      <w:r w:rsidR="00B623B9">
        <w:rPr>
          <w:lang w:val="en-GB"/>
        </w:rPr>
        <w:t>(</w:t>
      </w:r>
      <w:r w:rsidR="00BB3EDD" w:rsidRPr="00557D58">
        <w:rPr>
          <w:lang w:val="en-GB"/>
        </w:rPr>
        <w:t>4</w:t>
      </w:r>
      <w:r w:rsidR="00B623B9">
        <w:rPr>
          <w:lang w:val="en-GB"/>
        </w:rPr>
        <w:t>)</w:t>
      </w:r>
      <w:r w:rsidR="00BB3EDD" w:rsidRPr="00557D58">
        <w:rPr>
          <w:lang w:val="en-GB"/>
        </w:rPr>
        <w:t xml:space="preserve"> of the Optional Protocol to the Covenant, is of the view that the State party has violated articles 7, 9 (1), (2) and (4), 14 (1) and (3) (b) and (e), 19, 21, 22 and 26 and article 2 </w:t>
      </w:r>
      <w:r w:rsidR="00B623B9">
        <w:rPr>
          <w:lang w:val="en-GB"/>
        </w:rPr>
        <w:t>(</w:t>
      </w:r>
      <w:r w:rsidR="00BB3EDD" w:rsidRPr="00557D58">
        <w:rPr>
          <w:lang w:val="en-GB"/>
        </w:rPr>
        <w:t>3</w:t>
      </w:r>
      <w:r w:rsidR="00B623B9">
        <w:rPr>
          <w:lang w:val="en-GB"/>
        </w:rPr>
        <w:t>)</w:t>
      </w:r>
      <w:r w:rsidR="00BB3EDD" w:rsidRPr="00557D58">
        <w:rPr>
          <w:lang w:val="en-GB"/>
        </w:rPr>
        <w:t>, read in conjunction with article 7, with regard to the author.</w:t>
      </w:r>
    </w:p>
    <w:p w14:paraId="3969E479" w14:textId="77777777" w:rsidR="006011C4" w:rsidRPr="00557D58" w:rsidRDefault="00BB3EDD" w:rsidP="003C43D4">
      <w:pPr>
        <w:pStyle w:val="SingleTxtG"/>
        <w:rPr>
          <w:lang w:val="en-GB"/>
        </w:rPr>
      </w:pPr>
      <w:r w:rsidRPr="00557D58">
        <w:rPr>
          <w:lang w:val="en-GB"/>
        </w:rPr>
        <w:t>9.</w:t>
      </w:r>
      <w:r w:rsidRPr="00557D58">
        <w:rPr>
          <w:lang w:val="en-GB"/>
        </w:rPr>
        <w:tab/>
      </w:r>
      <w:r w:rsidR="00AA20DC">
        <w:rPr>
          <w:lang w:val="en-GB"/>
        </w:rPr>
        <w:t>In accordance with</w:t>
      </w:r>
      <w:r w:rsidR="006011C4" w:rsidRPr="00557D58">
        <w:rPr>
          <w:lang w:val="en-GB"/>
        </w:rPr>
        <w:t xml:space="preserve"> article 2 </w:t>
      </w:r>
      <w:r w:rsidR="00B623B9">
        <w:rPr>
          <w:lang w:val="en-GB"/>
        </w:rPr>
        <w:t>(</w:t>
      </w:r>
      <w:r w:rsidR="006011C4" w:rsidRPr="00557D58">
        <w:rPr>
          <w:lang w:val="en-GB"/>
        </w:rPr>
        <w:t>3</w:t>
      </w:r>
      <w:r w:rsidR="00B623B9">
        <w:rPr>
          <w:lang w:val="en-GB"/>
        </w:rPr>
        <w:t>)</w:t>
      </w:r>
      <w:r w:rsidR="006011C4" w:rsidRPr="00557D58">
        <w:rPr>
          <w:lang w:val="en-GB"/>
        </w:rPr>
        <w:t xml:space="preserve"> (a) of the Covenant, the Committee considers that the State party is under an obligation to provide the author with an effective remedy, including carrying out an impartial, effective and thorough investigation into the allegations of torture and ill-treatment</w:t>
      </w:r>
      <w:r w:rsidR="003C43D4">
        <w:rPr>
          <w:lang w:val="en-GB"/>
        </w:rPr>
        <w:t>,</w:t>
      </w:r>
      <w:r w:rsidR="006011C4" w:rsidRPr="00557D58">
        <w:rPr>
          <w:lang w:val="en-GB"/>
        </w:rPr>
        <w:t xml:space="preserve"> initiating criminal proceedings against those responsible and providing the author with appropriate compensation. The State party is also under an obligation to take steps to prevent similar violations occurring in the future.</w:t>
      </w:r>
    </w:p>
    <w:p w14:paraId="2E6ECCE0" w14:textId="77777777" w:rsidR="00F35149" w:rsidRPr="00557D58" w:rsidRDefault="00BB3EDD" w:rsidP="003C43D4">
      <w:pPr>
        <w:pStyle w:val="SingleTxtG"/>
        <w:rPr>
          <w:lang w:val="en-GB"/>
        </w:rPr>
      </w:pPr>
      <w:r w:rsidRPr="00557D58">
        <w:rPr>
          <w:lang w:val="en-GB"/>
        </w:rPr>
        <w:t>10</w:t>
      </w:r>
      <w:r w:rsidR="006011C4" w:rsidRPr="00557D58">
        <w:rPr>
          <w:lang w:val="en-GB"/>
        </w:rPr>
        <w:t>.</w:t>
      </w:r>
      <w:r w:rsidR="006011C4" w:rsidRPr="00557D58">
        <w:rPr>
          <w:lang w:val="en-GB"/>
        </w:rPr>
        <w:tab/>
        <w:t>Bearing in mind that, by becoming a party to the Optional Protocol, the State has recognized the competence of the Committee to determine whether there has been a violation of the Covenant or not and that, pursuant to article 2 of the Covenant, the State party has undertaken to ensure to all individuals within its territory and subject to its jurisdiction the rights recognized in the Covenant, the Committee wishes to receive from the State party, within 180 days, information about the measures taken to give effect to its Views. The State party is also requested to publish the Committee</w:t>
      </w:r>
      <w:r w:rsidR="00557D58" w:rsidRPr="00557D58">
        <w:rPr>
          <w:lang w:val="en-GB"/>
        </w:rPr>
        <w:t>’</w:t>
      </w:r>
      <w:r w:rsidR="006011C4" w:rsidRPr="00557D58">
        <w:rPr>
          <w:lang w:val="en-GB"/>
        </w:rPr>
        <w:t>s Views, to translate them into the official language, in an accessible format, and to widely disseminate them.</w:t>
      </w:r>
    </w:p>
    <w:p w14:paraId="6BB67BD3" w14:textId="77777777" w:rsidR="00E6482C" w:rsidRPr="00557D58" w:rsidRDefault="00E6482C" w:rsidP="00D178AC">
      <w:pPr>
        <w:pStyle w:val="SingleTxtG"/>
        <w:spacing w:before="240" w:after="0"/>
        <w:jc w:val="center"/>
        <w:rPr>
          <w:u w:val="single"/>
          <w:lang w:val="en-GB"/>
        </w:rPr>
        <w:sectPr w:rsidR="00E6482C" w:rsidRPr="00557D58" w:rsidSect="009C15C4">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pPr>
    </w:p>
    <w:p w14:paraId="52B92E4F" w14:textId="77777777" w:rsidR="00E6482C" w:rsidRPr="00557D58" w:rsidRDefault="00E6482C" w:rsidP="00895641">
      <w:pPr>
        <w:pStyle w:val="HChG"/>
      </w:pPr>
      <w:r w:rsidRPr="00557D58">
        <w:t>Appendix I</w:t>
      </w:r>
    </w:p>
    <w:p w14:paraId="253272D4" w14:textId="77777777" w:rsidR="00D178AC" w:rsidRPr="00557D58" w:rsidRDefault="00E6482C" w:rsidP="00895641">
      <w:pPr>
        <w:pStyle w:val="H1G"/>
        <w:rPr>
          <w:lang w:eastAsia="en-GB"/>
        </w:rPr>
      </w:pPr>
      <w:r w:rsidRPr="00557D58">
        <w:rPr>
          <w:lang w:eastAsia="en-GB"/>
        </w:rPr>
        <w:tab/>
      </w:r>
      <w:r w:rsidRPr="00557D58">
        <w:rPr>
          <w:lang w:eastAsia="en-GB"/>
        </w:rPr>
        <w:tab/>
        <w:t>Individual opinion of Committee member</w:t>
      </w:r>
      <w:r w:rsidRPr="00557D58">
        <w:rPr>
          <w:szCs w:val="24"/>
          <w:lang w:eastAsia="de-DE"/>
        </w:rPr>
        <w:t xml:space="preserve"> </w:t>
      </w:r>
      <w:r w:rsidRPr="00557D58">
        <w:rPr>
          <w:szCs w:val="18"/>
        </w:rPr>
        <w:t>Dheerujlall Seetulsingh</w:t>
      </w:r>
      <w:r w:rsidRPr="00557D58">
        <w:rPr>
          <w:lang w:eastAsia="en-GB"/>
        </w:rPr>
        <w:t xml:space="preserve"> (</w:t>
      </w:r>
      <w:r w:rsidR="00B64AFF" w:rsidRPr="00557D58">
        <w:rPr>
          <w:lang w:eastAsia="en-GB"/>
        </w:rPr>
        <w:t xml:space="preserve">partly </w:t>
      </w:r>
      <w:r w:rsidRPr="00557D58">
        <w:rPr>
          <w:lang w:eastAsia="en-GB"/>
        </w:rPr>
        <w:t>dissenting)</w:t>
      </w:r>
    </w:p>
    <w:p w14:paraId="1B6BF899" w14:textId="77777777" w:rsidR="00E6482C" w:rsidRPr="00557D58" w:rsidRDefault="00E6482C" w:rsidP="00E6482C">
      <w:pPr>
        <w:pStyle w:val="SingleTxtG"/>
        <w:rPr>
          <w:lang w:val="en-GB" w:eastAsia="en-GB"/>
        </w:rPr>
      </w:pPr>
      <w:r w:rsidRPr="00557D58">
        <w:rPr>
          <w:lang w:val="en-GB" w:eastAsia="en-GB"/>
        </w:rPr>
        <w:t>1.</w:t>
      </w:r>
      <w:r w:rsidRPr="00557D58">
        <w:rPr>
          <w:lang w:val="en-GB" w:eastAsia="en-GB"/>
        </w:rPr>
        <w:tab/>
      </w:r>
      <w:r w:rsidR="00E2465A">
        <w:rPr>
          <w:lang w:val="en-GB" w:eastAsia="en-GB"/>
        </w:rPr>
        <w:t>In</w:t>
      </w:r>
      <w:r w:rsidRPr="00557D58">
        <w:rPr>
          <w:lang w:val="en-GB" w:eastAsia="en-GB"/>
        </w:rPr>
        <w:t xml:space="preserve"> paragraph 7.6 of the Views, the majority of the Committee found that the State </w:t>
      </w:r>
      <w:r w:rsidR="00E2465A">
        <w:rPr>
          <w:lang w:val="en-GB" w:eastAsia="en-GB"/>
        </w:rPr>
        <w:t>p</w:t>
      </w:r>
      <w:r w:rsidRPr="00557D58">
        <w:rPr>
          <w:lang w:val="en-GB" w:eastAsia="en-GB"/>
        </w:rPr>
        <w:t xml:space="preserve">arty violated article 26 of the Covenant in that when the author was in police custody in 2005, she was raped by three unidentified men and in 2008 authorities of the State </w:t>
      </w:r>
      <w:r w:rsidR="00E2465A">
        <w:rPr>
          <w:lang w:val="en-GB" w:eastAsia="en-GB"/>
        </w:rPr>
        <w:t>p</w:t>
      </w:r>
      <w:r w:rsidRPr="00557D58">
        <w:rPr>
          <w:lang w:val="en-GB" w:eastAsia="en-GB"/>
        </w:rPr>
        <w:t>arty caused the author to undergo without her consent a surgical operation whereby her uterus was removed (resulting in a forced sterili</w:t>
      </w:r>
      <w:r w:rsidR="00E2465A">
        <w:rPr>
          <w:lang w:val="en-GB" w:eastAsia="en-GB"/>
        </w:rPr>
        <w:t>z</w:t>
      </w:r>
      <w:r w:rsidRPr="00557D58">
        <w:rPr>
          <w:lang w:val="en-GB" w:eastAsia="en-GB"/>
        </w:rPr>
        <w:t>ation).</w:t>
      </w:r>
      <w:r w:rsidR="00033A75" w:rsidRPr="00557D58">
        <w:rPr>
          <w:lang w:val="en-GB" w:eastAsia="en-GB"/>
        </w:rPr>
        <w:t xml:space="preserve"> </w:t>
      </w:r>
      <w:r w:rsidRPr="00557D58">
        <w:rPr>
          <w:lang w:val="en-GB" w:eastAsia="en-GB"/>
        </w:rPr>
        <w:t>The majority found that these two acts constituted a specific aggression against the author as a woman.</w:t>
      </w:r>
      <w:r w:rsidR="00033A75" w:rsidRPr="00557D58">
        <w:rPr>
          <w:lang w:val="en-GB" w:eastAsia="en-GB"/>
        </w:rPr>
        <w:t xml:space="preserve"> </w:t>
      </w:r>
      <w:r w:rsidRPr="00557D58">
        <w:rPr>
          <w:lang w:val="en-GB" w:eastAsia="en-GB"/>
        </w:rPr>
        <w:t>Thus the author was discriminated against on account of her gender.</w:t>
      </w:r>
      <w:r w:rsidR="00033A75" w:rsidRPr="00557D58">
        <w:rPr>
          <w:lang w:val="en-GB" w:eastAsia="en-GB"/>
        </w:rPr>
        <w:t xml:space="preserve"> </w:t>
      </w:r>
      <w:r w:rsidRPr="00557D58">
        <w:rPr>
          <w:lang w:val="en-GB" w:eastAsia="en-GB"/>
        </w:rPr>
        <w:t>There was no further elaboration on the issue or any in-depth analysis on how article 26 was applicable to such a case.</w:t>
      </w:r>
      <w:r w:rsidR="00033A75" w:rsidRPr="00557D58">
        <w:rPr>
          <w:lang w:val="en-GB" w:eastAsia="en-GB"/>
        </w:rPr>
        <w:t xml:space="preserve"> </w:t>
      </w:r>
      <w:r w:rsidRPr="00557D58">
        <w:rPr>
          <w:lang w:val="en-GB" w:eastAsia="en-GB"/>
        </w:rPr>
        <w:t>Although the State party submitted its observations, the Committee noted that the State party had not refuted these allegations specifically.</w:t>
      </w:r>
      <w:r w:rsidR="00033A75" w:rsidRPr="00557D58">
        <w:rPr>
          <w:lang w:val="en-GB" w:eastAsia="en-GB"/>
        </w:rPr>
        <w:t xml:space="preserve"> </w:t>
      </w:r>
      <w:r w:rsidRPr="00557D58">
        <w:rPr>
          <w:lang w:val="en-GB" w:eastAsia="en-GB"/>
        </w:rPr>
        <w:t>I would respectfully disagree with the view that article 26 finds its application in this case.</w:t>
      </w:r>
    </w:p>
    <w:p w14:paraId="182CC74C" w14:textId="77777777" w:rsidR="00E6482C" w:rsidRPr="00557D58" w:rsidRDefault="00E6482C">
      <w:pPr>
        <w:pStyle w:val="SingleTxtG"/>
        <w:rPr>
          <w:lang w:val="en-GB" w:eastAsia="en-GB"/>
        </w:rPr>
      </w:pPr>
      <w:r w:rsidRPr="00557D58">
        <w:rPr>
          <w:lang w:val="en-GB" w:eastAsia="en-GB"/>
        </w:rPr>
        <w:t>2.</w:t>
      </w:r>
      <w:r w:rsidRPr="00557D58">
        <w:rPr>
          <w:lang w:val="en-GB" w:eastAsia="en-GB"/>
        </w:rPr>
        <w:tab/>
        <w:t xml:space="preserve">In paragraph 7 of </w:t>
      </w:r>
      <w:r w:rsidR="00E2465A">
        <w:rPr>
          <w:lang w:val="en-GB" w:eastAsia="en-GB"/>
        </w:rPr>
        <w:t>g</w:t>
      </w:r>
      <w:r w:rsidRPr="00557D58">
        <w:rPr>
          <w:lang w:val="en-GB" w:eastAsia="en-GB"/>
        </w:rPr>
        <w:t xml:space="preserve">eneral </w:t>
      </w:r>
      <w:r w:rsidR="00E2465A">
        <w:rPr>
          <w:lang w:val="en-GB" w:eastAsia="en-GB"/>
        </w:rPr>
        <w:t>c</w:t>
      </w:r>
      <w:r w:rsidRPr="00557D58">
        <w:rPr>
          <w:lang w:val="en-GB" w:eastAsia="en-GB"/>
        </w:rPr>
        <w:t>omment N</w:t>
      </w:r>
      <w:r w:rsidR="00E2465A">
        <w:rPr>
          <w:lang w:val="en-GB" w:eastAsia="en-GB"/>
        </w:rPr>
        <w:t>o.</w:t>
      </w:r>
      <w:r w:rsidRPr="00557D58">
        <w:rPr>
          <w:lang w:val="en-GB" w:eastAsia="en-GB"/>
        </w:rPr>
        <w:t xml:space="preserve"> 18</w:t>
      </w:r>
      <w:r w:rsidR="00E2465A">
        <w:rPr>
          <w:lang w:val="en-GB" w:eastAsia="en-GB"/>
        </w:rPr>
        <w:t xml:space="preserve"> (1989)</w:t>
      </w:r>
      <w:r w:rsidRPr="00557D58">
        <w:rPr>
          <w:lang w:val="en-GB" w:eastAsia="en-GB"/>
        </w:rPr>
        <w:t xml:space="preserve"> on </w:t>
      </w:r>
      <w:r w:rsidR="00E2465A">
        <w:rPr>
          <w:lang w:val="en-GB" w:eastAsia="en-GB"/>
        </w:rPr>
        <w:t>non-discrimination</w:t>
      </w:r>
      <w:r w:rsidRPr="00557D58">
        <w:rPr>
          <w:lang w:val="en-GB" w:eastAsia="en-GB"/>
        </w:rPr>
        <w:t>, discrimination is dealt with as follows</w:t>
      </w:r>
      <w:r w:rsidR="002050EB" w:rsidRPr="00557D58">
        <w:rPr>
          <w:lang w:val="en-GB" w:eastAsia="en-GB"/>
        </w:rPr>
        <w:t>:</w:t>
      </w:r>
    </w:p>
    <w:p w14:paraId="08E66D8E" w14:textId="77777777" w:rsidR="00E6482C" w:rsidRPr="00895641" w:rsidRDefault="00E6482C" w:rsidP="00895641">
      <w:pPr>
        <w:pStyle w:val="SingleTxtG"/>
        <w:ind w:left="1701"/>
        <w:rPr>
          <w:iCs/>
          <w:lang w:val="en-GB" w:eastAsia="en-GB"/>
        </w:rPr>
      </w:pPr>
      <w:r w:rsidRPr="00895641">
        <w:rPr>
          <w:iCs/>
          <w:lang w:val="en-GB" w:eastAsia="en-GB"/>
        </w:rPr>
        <w:t>the Committee believes that the term “discrimination” as used in the Covenant should be understood to imply any distinction, exclusion, restriction or preference which is based on any ground such as race, colour, sex, language, religion, political or other opinion, national or social origin, properly birth or other status, and which has the purpose or effect of nullifying or impairing the recognition, enjoyment or exercise by all persons, on an equal footing, of all rights and freedoms</w:t>
      </w:r>
      <w:r w:rsidRPr="003E1C55">
        <w:rPr>
          <w:iCs/>
          <w:lang w:val="en-GB" w:eastAsia="en-GB"/>
        </w:rPr>
        <w:t>.</w:t>
      </w:r>
    </w:p>
    <w:p w14:paraId="0B0583E1" w14:textId="77777777" w:rsidR="00E6482C" w:rsidRPr="00557D58" w:rsidRDefault="00E6482C">
      <w:pPr>
        <w:pStyle w:val="SingleTxtG"/>
        <w:rPr>
          <w:i/>
          <w:lang w:val="en-GB" w:eastAsia="en-GB"/>
        </w:rPr>
      </w:pPr>
      <w:r w:rsidRPr="00557D58">
        <w:rPr>
          <w:lang w:val="en-GB" w:eastAsia="en-GB"/>
        </w:rPr>
        <w:t>3.</w:t>
      </w:r>
      <w:r w:rsidRPr="00557D58">
        <w:rPr>
          <w:lang w:val="en-GB" w:eastAsia="en-GB"/>
        </w:rPr>
        <w:tab/>
        <w:t>Article 26 provides that all persons are equal before the law and are entitled without any discrimination to the equal protection of the law.</w:t>
      </w:r>
      <w:r w:rsidR="00033A75" w:rsidRPr="00557D58">
        <w:rPr>
          <w:lang w:val="en-GB" w:eastAsia="en-GB"/>
        </w:rPr>
        <w:t xml:space="preserve"> </w:t>
      </w:r>
      <w:r w:rsidRPr="00557D58">
        <w:rPr>
          <w:lang w:val="en-GB" w:eastAsia="en-GB"/>
        </w:rPr>
        <w:t>The existing jurisprudence of the Committee on sex discrimination covers laws and applications of laws which have favoured one gender against the other, placing one at a disadvantage where such differentiation is not reasonable.</w:t>
      </w:r>
      <w:r w:rsidR="00033A75" w:rsidRPr="00557D58">
        <w:rPr>
          <w:lang w:val="en-GB" w:eastAsia="en-GB"/>
        </w:rPr>
        <w:t xml:space="preserve"> </w:t>
      </w:r>
      <w:r w:rsidRPr="00557D58">
        <w:rPr>
          <w:lang w:val="en-GB" w:eastAsia="en-GB"/>
        </w:rPr>
        <w:t>The duty of the State is to ensure that all citizens are treated equally.</w:t>
      </w:r>
      <w:r w:rsidR="00033A75" w:rsidRPr="00557D58">
        <w:rPr>
          <w:lang w:val="en-GB" w:eastAsia="en-GB"/>
        </w:rPr>
        <w:t xml:space="preserve"> </w:t>
      </w:r>
      <w:r w:rsidRPr="00557D58">
        <w:rPr>
          <w:lang w:val="en-GB" w:eastAsia="en-GB"/>
        </w:rPr>
        <w:t>When it comes to gender, men and women must be afforded the same treatment whether it concerns, among other issues, immigration law, deportation law, matrimonial property, nationality, income tax</w:t>
      </w:r>
      <w:r w:rsidR="00600471">
        <w:rPr>
          <w:lang w:val="en-GB" w:eastAsia="en-GB"/>
        </w:rPr>
        <w:t xml:space="preserve"> or</w:t>
      </w:r>
      <w:r w:rsidRPr="00557D58">
        <w:rPr>
          <w:lang w:val="en-GB" w:eastAsia="en-GB"/>
        </w:rPr>
        <w:t xml:space="preserve"> unemployment benefits.</w:t>
      </w:r>
      <w:r w:rsidR="00033A75" w:rsidRPr="00557D58">
        <w:rPr>
          <w:lang w:val="en-GB" w:eastAsia="en-GB"/>
        </w:rPr>
        <w:t xml:space="preserve"> </w:t>
      </w:r>
      <w:r w:rsidRPr="00557D58">
        <w:rPr>
          <w:lang w:val="en-GB" w:eastAsia="en-GB"/>
        </w:rPr>
        <w:t>Laws must be enforced in a non-discriminatory manner.</w:t>
      </w:r>
      <w:r w:rsidR="00033A75" w:rsidRPr="00557D58">
        <w:rPr>
          <w:lang w:val="en-GB" w:eastAsia="en-GB"/>
        </w:rPr>
        <w:t xml:space="preserve"> </w:t>
      </w:r>
      <w:r w:rsidRPr="00557D58">
        <w:rPr>
          <w:lang w:val="en-GB" w:eastAsia="en-GB"/>
        </w:rPr>
        <w:t>Where laws discriminate, then the legitimacy of the laws is itself in question.</w:t>
      </w:r>
      <w:r w:rsidR="00033A75" w:rsidRPr="00557D58">
        <w:rPr>
          <w:lang w:val="en-GB" w:eastAsia="en-GB"/>
        </w:rPr>
        <w:t xml:space="preserve"> </w:t>
      </w:r>
      <w:r w:rsidRPr="00557D58">
        <w:rPr>
          <w:lang w:val="en-GB" w:eastAsia="en-GB"/>
        </w:rPr>
        <w:t xml:space="preserve">These were well expatiated upon by the Committee in </w:t>
      </w:r>
      <w:r w:rsidR="00266F3D">
        <w:rPr>
          <w:iCs/>
          <w:lang w:val="en-GB" w:eastAsia="en-GB"/>
        </w:rPr>
        <w:t>communication</w:t>
      </w:r>
      <w:r w:rsidR="004C05A1">
        <w:rPr>
          <w:iCs/>
          <w:lang w:val="en-GB" w:eastAsia="en-GB"/>
        </w:rPr>
        <w:t>s</w:t>
      </w:r>
      <w:r w:rsidR="00266F3D">
        <w:rPr>
          <w:iCs/>
          <w:lang w:val="en-GB" w:eastAsia="en-GB"/>
        </w:rPr>
        <w:t xml:space="preserve"> No. </w:t>
      </w:r>
      <w:r w:rsidR="00266F3D" w:rsidRPr="00C70370">
        <w:rPr>
          <w:iCs/>
          <w:lang w:val="en-GB" w:eastAsia="en-GB"/>
        </w:rPr>
        <w:t>35/78</w:t>
      </w:r>
      <w:r w:rsidR="004C05A1">
        <w:rPr>
          <w:iCs/>
          <w:lang w:val="en-GB" w:eastAsia="en-GB"/>
        </w:rPr>
        <w:t>,</w:t>
      </w:r>
      <w:r w:rsidR="00266F3D">
        <w:rPr>
          <w:iCs/>
          <w:lang w:val="en-GB" w:eastAsia="en-GB"/>
        </w:rPr>
        <w:t xml:space="preserve"> </w:t>
      </w:r>
      <w:r w:rsidR="00266F3D" w:rsidRPr="00895641">
        <w:rPr>
          <w:i/>
          <w:iCs/>
          <w:lang w:val="en-GB" w:eastAsia="en-GB"/>
        </w:rPr>
        <w:t>C</w:t>
      </w:r>
      <w:r w:rsidR="00266F3D" w:rsidRPr="00557D58">
        <w:rPr>
          <w:i/>
          <w:lang w:val="en-GB" w:eastAsia="en-GB"/>
        </w:rPr>
        <w:t xml:space="preserve">ziffra </w:t>
      </w:r>
      <w:r w:rsidR="00266F3D">
        <w:rPr>
          <w:i/>
          <w:lang w:val="en-GB" w:eastAsia="en-GB"/>
        </w:rPr>
        <w:t>and others</w:t>
      </w:r>
      <w:r w:rsidRPr="00557D58">
        <w:rPr>
          <w:i/>
          <w:lang w:val="en-GB" w:eastAsia="en-GB"/>
        </w:rPr>
        <w:t xml:space="preserve"> v. Mauritius </w:t>
      </w:r>
      <w:r w:rsidRPr="00557D58">
        <w:rPr>
          <w:lang w:val="en-GB" w:eastAsia="en-GB"/>
        </w:rPr>
        <w:t>and</w:t>
      </w:r>
      <w:r w:rsidR="004C05A1">
        <w:rPr>
          <w:lang w:val="en-GB" w:eastAsia="en-GB"/>
        </w:rPr>
        <w:t xml:space="preserve"> No. 172/84,</w:t>
      </w:r>
      <w:r w:rsidRPr="00557D58">
        <w:rPr>
          <w:lang w:val="en-GB" w:eastAsia="en-GB"/>
        </w:rPr>
        <w:t xml:space="preserve"> </w:t>
      </w:r>
      <w:r w:rsidRPr="004C05A1">
        <w:rPr>
          <w:i/>
          <w:lang w:val="en-GB" w:eastAsia="en-GB"/>
        </w:rPr>
        <w:t>Broeks v. Netherlands.</w:t>
      </w:r>
    </w:p>
    <w:p w14:paraId="6DA1176B" w14:textId="77777777" w:rsidR="00E6482C" w:rsidRPr="00557D58" w:rsidRDefault="00E6482C" w:rsidP="00E6482C">
      <w:pPr>
        <w:pStyle w:val="SingleTxtG"/>
        <w:rPr>
          <w:lang w:val="en-GB" w:eastAsia="en-GB"/>
        </w:rPr>
      </w:pPr>
      <w:r w:rsidRPr="00557D58">
        <w:rPr>
          <w:lang w:val="en-GB" w:eastAsia="en-GB"/>
        </w:rPr>
        <w:t>4.</w:t>
      </w:r>
      <w:r w:rsidRPr="00557D58">
        <w:rPr>
          <w:lang w:val="en-GB" w:eastAsia="en-GB"/>
        </w:rPr>
        <w:tab/>
        <w:t>In the present communication the author was subjected to treatment which was absolutely illegal and outside the law.</w:t>
      </w:r>
      <w:r w:rsidR="00033A75" w:rsidRPr="00557D58">
        <w:rPr>
          <w:lang w:val="en-GB" w:eastAsia="en-GB"/>
        </w:rPr>
        <w:t xml:space="preserve"> </w:t>
      </w:r>
      <w:r w:rsidRPr="00557D58">
        <w:rPr>
          <w:lang w:val="en-GB" w:eastAsia="en-GB"/>
        </w:rPr>
        <w:t>She was arrested and imprisoned because of her political opinions.</w:t>
      </w:r>
      <w:r w:rsidR="00033A75" w:rsidRPr="00557D58">
        <w:rPr>
          <w:lang w:val="en-GB" w:eastAsia="en-GB"/>
        </w:rPr>
        <w:t xml:space="preserve"> </w:t>
      </w:r>
      <w:r w:rsidRPr="00557D58">
        <w:rPr>
          <w:lang w:val="en-GB" w:eastAsia="en-GB"/>
        </w:rPr>
        <w:t>The question of reasonable and objective criteria does not even arise as the acts complained of are illegal acts of torture and inhuman and degrading punishment.</w:t>
      </w:r>
    </w:p>
    <w:p w14:paraId="580C450D" w14:textId="77777777" w:rsidR="00E6482C" w:rsidRPr="00557D58" w:rsidRDefault="00E6482C">
      <w:pPr>
        <w:pStyle w:val="SingleTxtG"/>
        <w:rPr>
          <w:lang w:val="en-GB" w:eastAsia="en-GB"/>
        </w:rPr>
      </w:pPr>
      <w:r w:rsidRPr="00557D58">
        <w:rPr>
          <w:lang w:val="en-GB" w:eastAsia="en-GB"/>
        </w:rPr>
        <w:t>5.</w:t>
      </w:r>
      <w:r w:rsidRPr="00557D58">
        <w:rPr>
          <w:lang w:val="en-GB" w:eastAsia="en-GB"/>
        </w:rPr>
        <w:tab/>
        <w:t xml:space="preserve">There is little justification for the view that the author was a victim of discrimination when she was raped in </w:t>
      </w:r>
      <w:r w:rsidRPr="00895641">
        <w:rPr>
          <w:lang w:val="en-GB"/>
        </w:rPr>
        <w:t>2005</w:t>
      </w:r>
      <w:r w:rsidRPr="00557D58">
        <w:rPr>
          <w:lang w:val="en-GB" w:eastAsia="en-GB"/>
        </w:rPr>
        <w:t xml:space="preserve"> by three unidentified persons.</w:t>
      </w:r>
      <w:r w:rsidR="00033A75" w:rsidRPr="00557D58">
        <w:rPr>
          <w:lang w:val="en-GB" w:eastAsia="en-GB"/>
        </w:rPr>
        <w:t xml:space="preserve"> </w:t>
      </w:r>
      <w:r w:rsidRPr="00557D58">
        <w:rPr>
          <w:lang w:val="en-GB" w:eastAsia="en-GB"/>
        </w:rPr>
        <w:t>True, she was the victim of a severe violence of sexual nature but which had no connection with sex discrimination.</w:t>
      </w:r>
      <w:r w:rsidR="00033A75" w:rsidRPr="00557D58">
        <w:rPr>
          <w:lang w:val="en-GB" w:eastAsia="en-GB"/>
        </w:rPr>
        <w:t xml:space="preserve"> </w:t>
      </w:r>
      <w:r w:rsidRPr="00557D58">
        <w:rPr>
          <w:lang w:val="en-GB" w:eastAsia="en-GB"/>
        </w:rPr>
        <w:t xml:space="preserve">In 2008 the author was a victim of another act of </w:t>
      </w:r>
      <w:r w:rsidR="00600471">
        <w:rPr>
          <w:lang w:val="en-GB" w:eastAsia="en-GB"/>
        </w:rPr>
        <w:t xml:space="preserve">a </w:t>
      </w:r>
      <w:r w:rsidRPr="00557D58">
        <w:rPr>
          <w:lang w:val="en-GB" w:eastAsia="en-GB"/>
        </w:rPr>
        <w:t>sexual nature when she was operated against her will and her uterus removed. It is not known whether men in the State party too could have been victims of sexual violence and subjected to cruel punishment.</w:t>
      </w:r>
      <w:r w:rsidR="00033A75" w:rsidRPr="00557D58">
        <w:rPr>
          <w:lang w:val="en-GB" w:eastAsia="en-GB"/>
        </w:rPr>
        <w:t xml:space="preserve"> </w:t>
      </w:r>
      <w:r w:rsidRPr="00557D58">
        <w:rPr>
          <w:lang w:val="en-GB" w:eastAsia="en-GB"/>
        </w:rPr>
        <w:t>There is also no evidence that all women in similar circumstances in the State party are subjected to such horrible treatment. The fact that one individual undergoes such treatment by force is no pointer towards discrimination as such under article 26.</w:t>
      </w:r>
      <w:r w:rsidR="00033A75" w:rsidRPr="00557D58">
        <w:rPr>
          <w:lang w:val="en-GB" w:eastAsia="en-GB"/>
        </w:rPr>
        <w:t xml:space="preserve"> </w:t>
      </w:r>
      <w:r w:rsidRPr="00557D58">
        <w:rPr>
          <w:lang w:val="en-GB" w:eastAsia="en-GB"/>
        </w:rPr>
        <w:t xml:space="preserve">It is difficult to connect these acts with acts of discrimination as understood by the Committee in </w:t>
      </w:r>
      <w:r w:rsidR="00600471">
        <w:rPr>
          <w:lang w:val="en-GB" w:eastAsia="en-GB"/>
        </w:rPr>
        <w:t>its</w:t>
      </w:r>
      <w:r w:rsidRPr="00557D58">
        <w:rPr>
          <w:lang w:val="en-GB" w:eastAsia="en-GB"/>
        </w:rPr>
        <w:t xml:space="preserve"> </w:t>
      </w:r>
      <w:r w:rsidR="00266F3D">
        <w:rPr>
          <w:lang w:val="en-GB" w:eastAsia="en-GB"/>
        </w:rPr>
        <w:t>g</w:t>
      </w:r>
      <w:r w:rsidRPr="00557D58">
        <w:rPr>
          <w:lang w:val="en-GB" w:eastAsia="en-GB"/>
        </w:rPr>
        <w:t xml:space="preserve">eneral </w:t>
      </w:r>
      <w:r w:rsidR="00266F3D">
        <w:rPr>
          <w:lang w:val="en-GB" w:eastAsia="en-GB"/>
        </w:rPr>
        <w:t>c</w:t>
      </w:r>
      <w:r w:rsidRPr="00557D58">
        <w:rPr>
          <w:lang w:val="en-GB" w:eastAsia="en-GB"/>
        </w:rPr>
        <w:t>omment No. 18, the Committee’s jurisprudence and as generally understood in legal terms.</w:t>
      </w:r>
      <w:r w:rsidR="00033A75" w:rsidRPr="00557D58">
        <w:rPr>
          <w:lang w:val="en-GB" w:eastAsia="en-GB"/>
        </w:rPr>
        <w:t xml:space="preserve"> </w:t>
      </w:r>
      <w:r w:rsidRPr="00557D58">
        <w:rPr>
          <w:lang w:val="en-GB" w:eastAsia="en-GB"/>
        </w:rPr>
        <w:t>They are brutal acts of repression of dissent.</w:t>
      </w:r>
      <w:r w:rsidR="00033A75" w:rsidRPr="00557D58">
        <w:rPr>
          <w:lang w:val="en-GB" w:eastAsia="en-GB"/>
        </w:rPr>
        <w:t xml:space="preserve"> </w:t>
      </w:r>
      <w:r w:rsidRPr="00557D58">
        <w:rPr>
          <w:lang w:val="en-GB" w:eastAsia="en-GB"/>
        </w:rPr>
        <w:t>Otherwise, every act of torture and every act of repression could be construed as discrimination.</w:t>
      </w:r>
      <w:r w:rsidR="00033A75" w:rsidRPr="00557D58">
        <w:rPr>
          <w:lang w:val="en-GB" w:eastAsia="en-GB"/>
        </w:rPr>
        <w:t xml:space="preserve"> </w:t>
      </w:r>
      <w:r w:rsidRPr="00557D58">
        <w:rPr>
          <w:lang w:val="en-GB" w:eastAsia="en-GB"/>
        </w:rPr>
        <w:t xml:space="preserve">Even the legislation of the State </w:t>
      </w:r>
      <w:r w:rsidR="00266F3D">
        <w:rPr>
          <w:lang w:val="en-GB" w:eastAsia="en-GB"/>
        </w:rPr>
        <w:t>p</w:t>
      </w:r>
      <w:r w:rsidRPr="00557D58">
        <w:rPr>
          <w:lang w:val="en-GB" w:eastAsia="en-GB"/>
        </w:rPr>
        <w:t>arty does not permit such acts.</w:t>
      </w:r>
    </w:p>
    <w:p w14:paraId="69C1F430" w14:textId="77777777" w:rsidR="00E6482C" w:rsidRPr="00557D58" w:rsidRDefault="00E6482C" w:rsidP="00E6482C">
      <w:pPr>
        <w:pStyle w:val="SingleTxtG"/>
        <w:rPr>
          <w:lang w:val="en-GB" w:eastAsia="en-GB"/>
        </w:rPr>
      </w:pPr>
      <w:r w:rsidRPr="00557D58">
        <w:rPr>
          <w:lang w:val="en-GB" w:eastAsia="en-GB"/>
        </w:rPr>
        <w:t>6.</w:t>
      </w:r>
      <w:r w:rsidRPr="00557D58">
        <w:rPr>
          <w:lang w:val="en-GB" w:eastAsia="en-GB"/>
        </w:rPr>
        <w:tab/>
        <w:t>True it is, and regrettably so, that there was a severe violation of article 7 of the Covenant when the author was raped successively by three unidentified persons when she was in police custody in 2005 and where she underwent surgery without being informed of the reason thereof and without giving her consent when she was in prison in 2008.</w:t>
      </w:r>
      <w:r w:rsidR="00033A75" w:rsidRPr="00557D58">
        <w:rPr>
          <w:lang w:val="en-GB" w:eastAsia="en-GB"/>
        </w:rPr>
        <w:t xml:space="preserve"> </w:t>
      </w:r>
      <w:r w:rsidRPr="00557D58">
        <w:rPr>
          <w:lang w:val="en-GB" w:eastAsia="en-GB"/>
        </w:rPr>
        <w:t>Such heinous crimes and despicable conduct for which the State is responsible are severely condemned.</w:t>
      </w:r>
    </w:p>
    <w:p w14:paraId="50C1C7ED" w14:textId="77777777" w:rsidR="00E6482C" w:rsidRPr="00557D58" w:rsidRDefault="00E6482C" w:rsidP="00895641">
      <w:pPr>
        <w:pStyle w:val="SingleTxtG"/>
        <w:rPr>
          <w:lang w:val="en-GB" w:eastAsia="en-GB"/>
        </w:rPr>
      </w:pPr>
      <w:r w:rsidRPr="00557D58">
        <w:rPr>
          <w:lang w:val="en-GB" w:eastAsia="en-GB"/>
        </w:rPr>
        <w:t>7.</w:t>
      </w:r>
      <w:r w:rsidRPr="00557D58">
        <w:rPr>
          <w:lang w:val="en-GB" w:eastAsia="en-GB"/>
        </w:rPr>
        <w:tab/>
        <w:t>Furthermore, the views of the majority are not totally clear in paragraph 7.6 as to whether there is a finding of discrimination on the ground of political or other opinion as well.</w:t>
      </w:r>
      <w:r w:rsidR="00033A75" w:rsidRPr="00557D58">
        <w:rPr>
          <w:lang w:val="en-GB" w:eastAsia="en-GB"/>
        </w:rPr>
        <w:t xml:space="preserve"> </w:t>
      </w:r>
      <w:r w:rsidRPr="00557D58">
        <w:rPr>
          <w:lang w:val="en-GB" w:eastAsia="en-GB"/>
        </w:rPr>
        <w:t>The majority takes note of the author’s allegations</w:t>
      </w:r>
      <w:r w:rsidR="003C43D4">
        <w:rPr>
          <w:lang w:val="en-GB" w:eastAsia="en-GB"/>
        </w:rPr>
        <w:t>,</w:t>
      </w:r>
      <w:r w:rsidRPr="00557D58">
        <w:rPr>
          <w:lang w:val="en-GB" w:eastAsia="en-GB"/>
        </w:rPr>
        <w:t xml:space="preserve"> which are not specifically refuted by the State </w:t>
      </w:r>
      <w:r w:rsidR="00266F3D">
        <w:rPr>
          <w:lang w:val="en-GB" w:eastAsia="en-GB"/>
        </w:rPr>
        <w:t>p</w:t>
      </w:r>
      <w:r w:rsidRPr="00557D58">
        <w:rPr>
          <w:lang w:val="en-GB" w:eastAsia="en-GB"/>
        </w:rPr>
        <w:t>arty and comes to a general conclusion “</w:t>
      </w:r>
      <w:r w:rsidRPr="00E77EE3">
        <w:rPr>
          <w:lang w:val="en-GB" w:eastAsia="en-GB"/>
        </w:rPr>
        <w:t>in the circ</w:t>
      </w:r>
      <w:r w:rsidRPr="004C05A1">
        <w:rPr>
          <w:lang w:val="en-GB" w:eastAsia="en-GB"/>
        </w:rPr>
        <w:t>umstances of the present case</w:t>
      </w:r>
      <w:r w:rsidRPr="00557D58">
        <w:rPr>
          <w:lang w:val="en-GB" w:eastAsia="en-GB"/>
        </w:rPr>
        <w:t>” that the author’s rights under article 26 have been violated.</w:t>
      </w:r>
      <w:r w:rsidR="00033A75" w:rsidRPr="00557D58">
        <w:rPr>
          <w:lang w:val="en-GB" w:eastAsia="en-GB"/>
        </w:rPr>
        <w:t xml:space="preserve"> </w:t>
      </w:r>
      <w:r w:rsidRPr="00557D58">
        <w:rPr>
          <w:lang w:val="en-GB" w:eastAsia="en-GB"/>
        </w:rPr>
        <w:t>However, the arbitrary arrest, detention of the author, prosecution, conviction and imprisonment of the author for her human rights activities, while they definitely violate her rights under articles 9, 14, 19, 21</w:t>
      </w:r>
      <w:r w:rsidR="00266F3D">
        <w:rPr>
          <w:lang w:val="en-GB" w:eastAsia="en-GB"/>
        </w:rPr>
        <w:t xml:space="preserve"> and</w:t>
      </w:r>
      <w:r w:rsidRPr="00557D58">
        <w:rPr>
          <w:lang w:val="en-GB" w:eastAsia="en-GB"/>
        </w:rPr>
        <w:t xml:space="preserve"> 22 as pointed out in paragraph 7.7 of the majority’s views</w:t>
      </w:r>
      <w:r w:rsidR="00266F3D">
        <w:rPr>
          <w:lang w:val="en-GB" w:eastAsia="en-GB"/>
        </w:rPr>
        <w:t>,</w:t>
      </w:r>
      <w:r w:rsidRPr="00557D58">
        <w:rPr>
          <w:lang w:val="en-GB" w:eastAsia="en-GB"/>
        </w:rPr>
        <w:t xml:space="preserve"> do not constitute acts of discrimination under article 26 of the Covenant.</w:t>
      </w:r>
    </w:p>
    <w:p w14:paraId="351FBDEB" w14:textId="77777777" w:rsidR="00033A75" w:rsidRPr="00557D58" w:rsidRDefault="00033A75" w:rsidP="00E6482C">
      <w:pPr>
        <w:pStyle w:val="SingleTxtG"/>
        <w:rPr>
          <w:lang w:val="en-GB" w:eastAsia="en-GB"/>
        </w:rPr>
        <w:sectPr w:rsidR="00033A75" w:rsidRPr="00557D58" w:rsidSect="00E6482C">
          <w:endnotePr>
            <w:numFmt w:val="decimal"/>
          </w:endnotePr>
          <w:pgSz w:w="11907" w:h="16840" w:code="9"/>
          <w:pgMar w:top="1701" w:right="1134" w:bottom="2268" w:left="1134" w:header="1134" w:footer="1701" w:gutter="0"/>
          <w:cols w:space="720"/>
          <w:docGrid w:linePitch="272"/>
        </w:sectPr>
      </w:pPr>
    </w:p>
    <w:p w14:paraId="1DC5ACA7" w14:textId="77777777" w:rsidR="00033A75" w:rsidRPr="004C05A1" w:rsidRDefault="00033A75" w:rsidP="00033A75">
      <w:pPr>
        <w:keepNext/>
        <w:keepLines/>
        <w:tabs>
          <w:tab w:val="right" w:pos="851"/>
        </w:tabs>
        <w:spacing w:before="360" w:after="240" w:line="300" w:lineRule="exact"/>
        <w:ind w:left="1134" w:right="1134" w:hanging="1134"/>
        <w:rPr>
          <w:b/>
          <w:sz w:val="28"/>
        </w:rPr>
      </w:pPr>
      <w:r w:rsidRPr="004C05A1">
        <w:rPr>
          <w:b/>
          <w:sz w:val="28"/>
        </w:rPr>
        <w:t>Appendix II</w:t>
      </w:r>
    </w:p>
    <w:p w14:paraId="437D32B2" w14:textId="77777777" w:rsidR="00033A75" w:rsidRPr="00557D58" w:rsidRDefault="00033A75">
      <w:pPr>
        <w:pStyle w:val="H1G"/>
      </w:pPr>
      <w:r w:rsidRPr="004C05A1">
        <w:rPr>
          <w:lang w:eastAsia="en-GB"/>
        </w:rPr>
        <w:tab/>
      </w:r>
      <w:r w:rsidRPr="004C05A1">
        <w:rPr>
          <w:lang w:eastAsia="en-GB"/>
        </w:rPr>
        <w:tab/>
      </w:r>
      <w:r w:rsidRPr="004C05A1">
        <w:t xml:space="preserve">Individual opinion of Committee members Sarah Cleveland </w:t>
      </w:r>
      <w:r w:rsidR="00C92F61" w:rsidRPr="004C05A1">
        <w:br/>
      </w:r>
      <w:r w:rsidRPr="004C05A1">
        <w:t>and Olivier de Frouville (concurring)</w:t>
      </w:r>
    </w:p>
    <w:p w14:paraId="350EC110" w14:textId="77777777" w:rsidR="00033A75" w:rsidRPr="00557D58" w:rsidRDefault="00033A75" w:rsidP="00895641">
      <w:pPr>
        <w:pStyle w:val="SingleTxtG"/>
      </w:pPr>
      <w:r w:rsidRPr="00557D58">
        <w:rPr>
          <w:lang w:val="en-GB"/>
        </w:rPr>
        <w:t>1.</w:t>
      </w:r>
      <w:r w:rsidRPr="00557D58">
        <w:rPr>
          <w:lang w:val="en-GB"/>
        </w:rPr>
        <w:tab/>
        <w:t xml:space="preserve">The Committee finds that the conduct of </w:t>
      </w:r>
      <w:r w:rsidR="00266F3D">
        <w:rPr>
          <w:lang w:val="en-GB"/>
        </w:rPr>
        <w:t>S</w:t>
      </w:r>
      <w:r w:rsidRPr="00557D58">
        <w:rPr>
          <w:lang w:val="en-GB"/>
        </w:rPr>
        <w:t>tate agents in this communication violated, among other provisions, article 26</w:t>
      </w:r>
      <w:r w:rsidR="00266F3D">
        <w:rPr>
          <w:lang w:val="en-GB"/>
        </w:rPr>
        <w:t xml:space="preserve"> on</w:t>
      </w:r>
      <w:r w:rsidRPr="00557D58">
        <w:rPr>
          <w:lang w:val="en-GB"/>
        </w:rPr>
        <w:t xml:space="preserve"> prohibition of discrimination on the basis of sex. We agree with this conclusion and write separately to elaborate on the reasoning supporting it. </w:t>
      </w:r>
    </w:p>
    <w:p w14:paraId="121159F5" w14:textId="77777777" w:rsidR="00033A75" w:rsidRPr="00557D58" w:rsidRDefault="00033A75" w:rsidP="00895641">
      <w:pPr>
        <w:pStyle w:val="SingleTxtG"/>
      </w:pPr>
      <w:r w:rsidRPr="00895641">
        <w:rPr>
          <w:lang w:val="en-GB"/>
        </w:rPr>
        <w:t>2.</w:t>
      </w:r>
      <w:r w:rsidRPr="00557D58">
        <w:rPr>
          <w:lang w:val="en-GB"/>
        </w:rPr>
        <w:tab/>
        <w:t>Article 26 guarantees equal protection before the law and prohibits any distinction “based on” an enumerated ground such as sex or political opinion, unless the distinction serves a legitimate aim and is based on reasonable and objective criteria.</w:t>
      </w:r>
      <w:r w:rsidRPr="00557D58">
        <w:rPr>
          <w:rStyle w:val="FootnoteReference"/>
          <w:lang w:val="en-GB"/>
        </w:rPr>
        <w:footnoteReference w:id="13"/>
      </w:r>
      <w:r w:rsidRPr="00557D58">
        <w:rPr>
          <w:lang w:val="en-GB"/>
        </w:rPr>
        <w:t xml:space="preserve"> In the context of sex discrimination, the Committee has </w:t>
      </w:r>
      <w:r w:rsidR="000B71F4" w:rsidRPr="00557D58">
        <w:rPr>
          <w:lang w:val="en-GB"/>
        </w:rPr>
        <w:t xml:space="preserve">repeatedly </w:t>
      </w:r>
      <w:r w:rsidRPr="00557D58">
        <w:rPr>
          <w:lang w:val="en-GB"/>
        </w:rPr>
        <w:t>applied this standard to find invalid legislation that distinguishes between men and women.</w:t>
      </w:r>
      <w:r w:rsidRPr="00557D58">
        <w:rPr>
          <w:rStyle w:val="FootnoteReference"/>
          <w:lang w:val="en-GB"/>
        </w:rPr>
        <w:footnoteReference w:id="14"/>
      </w:r>
      <w:r w:rsidRPr="00557D58">
        <w:rPr>
          <w:lang w:val="en-GB"/>
        </w:rPr>
        <w:t xml:space="preserve"> Article 26, however, is concerned not only with discrimination on the face of the law, but also with “discrimination in fact” against a particular individual, whether practiced by public authorities or private persons.</w:t>
      </w:r>
      <w:r w:rsidRPr="00557D58">
        <w:rPr>
          <w:rStyle w:val="FootnoteReference"/>
          <w:lang w:val="en-GB"/>
        </w:rPr>
        <w:footnoteReference w:id="15"/>
      </w:r>
      <w:r w:rsidRPr="00557D58">
        <w:rPr>
          <w:lang w:val="en-GB"/>
        </w:rPr>
        <w:t xml:space="preserve"> The Committee thus has recognized that article 26 is also violated when </w:t>
      </w:r>
      <w:r w:rsidR="000B71F4">
        <w:rPr>
          <w:lang w:val="en-GB"/>
        </w:rPr>
        <w:t>S</w:t>
      </w:r>
      <w:r w:rsidRPr="00557D58">
        <w:rPr>
          <w:lang w:val="en-GB"/>
        </w:rPr>
        <w:t xml:space="preserve">tate agents treat particular individuals differently based on the prohibited grounds, absent a legitimate aim or reasonable and objective criteria. In this regard, the Committee recently found that a </w:t>
      </w:r>
      <w:r w:rsidR="000B71F4">
        <w:rPr>
          <w:lang w:val="en-GB"/>
        </w:rPr>
        <w:t>S</w:t>
      </w:r>
      <w:r w:rsidRPr="00557D58">
        <w:rPr>
          <w:lang w:val="en-GB"/>
        </w:rPr>
        <w:t>tate’s failure to adequately take account of a particular individual’s disability in the application of its naturalization laws violated article 26.</w:t>
      </w:r>
      <w:r w:rsidRPr="00557D58">
        <w:rPr>
          <w:rStyle w:val="FootnoteReference"/>
          <w:lang w:val="en-GB"/>
        </w:rPr>
        <w:footnoteReference w:id="16"/>
      </w:r>
      <w:r w:rsidRPr="00557D58">
        <w:rPr>
          <w:lang w:val="en-GB"/>
        </w:rPr>
        <w:t xml:space="preserve"> In other cases the Committee has found that differential treatment of particular individuals based on their political opinion violated article 26.</w:t>
      </w:r>
      <w:r w:rsidRPr="00557D58">
        <w:rPr>
          <w:rStyle w:val="FootnoteReference"/>
          <w:lang w:val="en-GB"/>
        </w:rPr>
        <w:footnoteReference w:id="17"/>
      </w:r>
      <w:r w:rsidRPr="00557D58">
        <w:rPr>
          <w:lang w:val="en-GB"/>
        </w:rPr>
        <w:t xml:space="preserve"> In the context of sex discrimination, the Committee has found that the conduct of police, medical and judicial personnel aimed at casting doubt on the morality of an indigenous minor girl who was the victim of rape constituted discrimination based on gender and ethnicity in violation of article 26.</w:t>
      </w:r>
      <w:r w:rsidRPr="00557D58">
        <w:rPr>
          <w:rStyle w:val="FootnoteReference"/>
          <w:lang w:val="en-GB"/>
        </w:rPr>
        <w:footnoteReference w:id="18"/>
      </w:r>
      <w:r w:rsidRPr="00557D58">
        <w:rPr>
          <w:lang w:val="en-GB"/>
        </w:rPr>
        <w:t xml:space="preserve"> The Committee has also held that a </w:t>
      </w:r>
      <w:r w:rsidR="000B71F4">
        <w:rPr>
          <w:lang w:val="en-GB"/>
        </w:rPr>
        <w:t>S</w:t>
      </w:r>
      <w:r w:rsidRPr="00557D58">
        <w:rPr>
          <w:lang w:val="en-GB"/>
        </w:rPr>
        <w:t xml:space="preserve">tate’s failure to provide a judicial remedy for the refusal of medical officials to provide a legally available abortion violated article 2 </w:t>
      </w:r>
      <w:r w:rsidR="000B71F4">
        <w:rPr>
          <w:lang w:val="en-GB"/>
        </w:rPr>
        <w:t>(</w:t>
      </w:r>
      <w:r w:rsidRPr="00557D58">
        <w:rPr>
          <w:lang w:val="en-GB"/>
        </w:rPr>
        <w:t>3</w:t>
      </w:r>
      <w:r w:rsidR="000B71F4">
        <w:rPr>
          <w:lang w:val="en-GB"/>
        </w:rPr>
        <w:t>)</w:t>
      </w:r>
      <w:r w:rsidRPr="00557D58">
        <w:rPr>
          <w:lang w:val="en-GB"/>
        </w:rPr>
        <w:t xml:space="preserve"> in relation to article</w:t>
      </w:r>
      <w:r w:rsidR="00600471">
        <w:rPr>
          <w:lang w:val="en-GB"/>
        </w:rPr>
        <w:t>s</w:t>
      </w:r>
      <w:r w:rsidRPr="00557D58">
        <w:rPr>
          <w:lang w:val="en-GB"/>
        </w:rPr>
        <w:t xml:space="preserve"> 3, 7 and 17.</w:t>
      </w:r>
      <w:r w:rsidRPr="00557D58">
        <w:rPr>
          <w:rStyle w:val="FootnoteReference"/>
          <w:lang w:val="en-GB"/>
        </w:rPr>
        <w:footnoteReference w:id="19"/>
      </w:r>
      <w:r w:rsidRPr="00557D58">
        <w:rPr>
          <w:lang w:val="en-GB"/>
        </w:rPr>
        <w:t xml:space="preserve"> </w:t>
      </w:r>
    </w:p>
    <w:p w14:paraId="3EB4C8FF" w14:textId="77777777" w:rsidR="00033A75" w:rsidRPr="00557D58" w:rsidRDefault="00033A75" w:rsidP="00895641">
      <w:pPr>
        <w:pStyle w:val="SingleTxtG"/>
      </w:pPr>
      <w:r w:rsidRPr="00895641">
        <w:rPr>
          <w:lang w:val="en-GB"/>
        </w:rPr>
        <w:t>3.</w:t>
      </w:r>
      <w:r w:rsidRPr="00557D58">
        <w:rPr>
          <w:lang w:val="en-GB"/>
        </w:rPr>
        <w:tab/>
        <w:t xml:space="preserve">The author here presents compelling evidence that she was subjected to, </w:t>
      </w:r>
      <w:r w:rsidRPr="00895641">
        <w:rPr>
          <w:iCs/>
          <w:lang w:val="en-GB"/>
        </w:rPr>
        <w:t>inter alia</w:t>
      </w:r>
      <w:r w:rsidRPr="00557D58">
        <w:rPr>
          <w:i/>
          <w:lang w:val="en-GB"/>
        </w:rPr>
        <w:t>,</w:t>
      </w:r>
      <w:r w:rsidRPr="00557D58">
        <w:rPr>
          <w:lang w:val="en-GB"/>
        </w:rPr>
        <w:t xml:space="preserve"> both gang rape and forced sterilization through the </w:t>
      </w:r>
      <w:r w:rsidR="000B71F4" w:rsidRPr="00557D58">
        <w:rPr>
          <w:lang w:val="en-GB"/>
        </w:rPr>
        <w:t>non</w:t>
      </w:r>
      <w:r w:rsidR="000B71F4">
        <w:rPr>
          <w:lang w:val="en-GB"/>
        </w:rPr>
        <w:t>-</w:t>
      </w:r>
      <w:r w:rsidR="000B71F4" w:rsidRPr="00557D58">
        <w:rPr>
          <w:lang w:val="en-GB"/>
        </w:rPr>
        <w:t xml:space="preserve">consensual </w:t>
      </w:r>
      <w:r w:rsidRPr="00557D58">
        <w:rPr>
          <w:lang w:val="en-GB"/>
        </w:rPr>
        <w:t xml:space="preserve">removal of her uterus by </w:t>
      </w:r>
      <w:r w:rsidR="000B71F4">
        <w:rPr>
          <w:lang w:val="en-GB"/>
        </w:rPr>
        <w:t>S</w:t>
      </w:r>
      <w:r w:rsidRPr="00557D58">
        <w:rPr>
          <w:lang w:val="en-GB"/>
        </w:rPr>
        <w:t>tate authorities. The issue in this case is whether the author was subjected to this particularly egregious form of sexual abuse because she was a woman. As other human rights bodies</w:t>
      </w:r>
      <w:r w:rsidR="00A90CE5">
        <w:rPr>
          <w:lang w:val="en-GB"/>
        </w:rPr>
        <w:t>,</w:t>
      </w:r>
      <w:r w:rsidRPr="00557D58">
        <w:rPr>
          <w:lang w:val="en-GB"/>
        </w:rPr>
        <w:t xml:space="preserve"> including </w:t>
      </w:r>
      <w:r w:rsidR="000B71F4">
        <w:rPr>
          <w:lang w:val="en-GB"/>
        </w:rPr>
        <w:t>the</w:t>
      </w:r>
      <w:r w:rsidRPr="00557D58">
        <w:rPr>
          <w:lang w:val="en-GB"/>
        </w:rPr>
        <w:t xml:space="preserve"> Committee on the Elimination of Discrimination </w:t>
      </w:r>
      <w:r w:rsidR="00E77EE3">
        <w:rPr>
          <w:lang w:val="en-GB"/>
        </w:rPr>
        <w:t>a</w:t>
      </w:r>
      <w:r w:rsidRPr="00557D58">
        <w:rPr>
          <w:lang w:val="en-GB"/>
        </w:rPr>
        <w:t>gainst Women and the European Court of Human Rights</w:t>
      </w:r>
      <w:r w:rsidR="00A90CE5">
        <w:rPr>
          <w:lang w:val="en-GB"/>
        </w:rPr>
        <w:t>,</w:t>
      </w:r>
      <w:r w:rsidRPr="00557D58">
        <w:rPr>
          <w:lang w:val="en-GB"/>
        </w:rPr>
        <w:t xml:space="preserve"> have recognized, violence that is committed on the basis of sex or gender is discrimination.</w:t>
      </w:r>
      <w:r w:rsidRPr="00557D58">
        <w:rPr>
          <w:rStyle w:val="FootnoteReference"/>
          <w:lang w:val="en-GB"/>
        </w:rPr>
        <w:footnoteReference w:id="20"/>
      </w:r>
      <w:r w:rsidRPr="00557D58">
        <w:rPr>
          <w:lang w:val="en-GB"/>
        </w:rPr>
        <w:t xml:space="preserve"> The Committee </w:t>
      </w:r>
      <w:r w:rsidR="000B71F4">
        <w:rPr>
          <w:lang w:val="en-GB"/>
        </w:rPr>
        <w:t xml:space="preserve">on the Elimination of Discrimination against Women </w:t>
      </w:r>
      <w:r w:rsidRPr="00557D58">
        <w:rPr>
          <w:lang w:val="en-GB"/>
        </w:rPr>
        <w:t>defines gender-based violence as violence that is directed against a woman because she is a woman or that affects women disproportionately.</w:t>
      </w:r>
      <w:r w:rsidRPr="00557D58">
        <w:rPr>
          <w:rStyle w:val="FootnoteReference"/>
          <w:lang w:val="en-GB"/>
        </w:rPr>
        <w:footnoteReference w:id="21"/>
      </w:r>
      <w:r w:rsidRPr="00557D58">
        <w:rPr>
          <w:lang w:val="en-GB"/>
        </w:rPr>
        <w:t xml:space="preserve"> Under this approach, not all acts of violence committed against women are discrimination; violence is gender based if it is “motivated by ‘factors concerned with gender,’ such as the need to assert male power and control, to enforce assigned gender roles or to punish perceived deviant female behavior”</w:t>
      </w:r>
      <w:r w:rsidR="000B71F4">
        <w:rPr>
          <w:lang w:val="en-GB"/>
        </w:rPr>
        <w:t>.</w:t>
      </w:r>
      <w:r w:rsidRPr="00557D58">
        <w:rPr>
          <w:rStyle w:val="FootnoteReference"/>
          <w:lang w:val="en-GB"/>
        </w:rPr>
        <w:footnoteReference w:id="22"/>
      </w:r>
      <w:r w:rsidRPr="00557D58">
        <w:rPr>
          <w:lang w:val="en-GB"/>
        </w:rPr>
        <w:t xml:space="preserve"> The mere fact that abuses such as rape or forced sterilization are also capable of being committed against men does not preclude the possibility that they can constitute gender-based discrimination. </w:t>
      </w:r>
    </w:p>
    <w:p w14:paraId="388FB2EF" w14:textId="77777777" w:rsidR="00033A75" w:rsidRPr="00557D58" w:rsidRDefault="00033A75" w:rsidP="00895641">
      <w:pPr>
        <w:pStyle w:val="SingleTxtG"/>
        <w:rPr>
          <w:lang w:val="en-GB"/>
        </w:rPr>
      </w:pPr>
      <w:r w:rsidRPr="00895641">
        <w:rPr>
          <w:lang w:val="en-GB"/>
        </w:rPr>
        <w:t>4.</w:t>
      </w:r>
      <w:r w:rsidRPr="00557D58">
        <w:rPr>
          <w:lang w:val="en-GB"/>
        </w:rPr>
        <w:tab/>
        <w:t xml:space="preserve">In the present case, the author presents compelling evidence that she was singled out for egregious harassment, abuse and torture because of her political opinion as a human rights activist. But the peculiarly gendered nature of her abuse </w:t>
      </w:r>
      <w:r w:rsidR="004B714B" w:rsidRPr="00557D58">
        <w:rPr>
          <w:lang w:val="en-GB"/>
        </w:rPr>
        <w:t>—</w:t>
      </w:r>
      <w:r w:rsidRPr="00557D58">
        <w:rPr>
          <w:lang w:val="en-GB"/>
        </w:rPr>
        <w:t xml:space="preserve"> threats of rape by the police, gang rape while in detention and forced sterilization through the removal of her uterus </w:t>
      </w:r>
      <w:r w:rsidR="004B714B" w:rsidRPr="00557D58">
        <w:rPr>
          <w:lang w:val="en-GB"/>
        </w:rPr>
        <w:t>—</w:t>
      </w:r>
      <w:r w:rsidRPr="00557D58">
        <w:rPr>
          <w:lang w:val="en-GB"/>
        </w:rPr>
        <w:t xml:space="preserve"> establishes compellingly that </w:t>
      </w:r>
      <w:r w:rsidR="000B71F4">
        <w:rPr>
          <w:lang w:val="en-GB"/>
        </w:rPr>
        <w:t>S</w:t>
      </w:r>
      <w:r w:rsidRPr="00557D58">
        <w:rPr>
          <w:lang w:val="en-GB"/>
        </w:rPr>
        <w:t xml:space="preserve">tate agents chose the </w:t>
      </w:r>
      <w:r w:rsidRPr="00557D58">
        <w:rPr>
          <w:i/>
          <w:lang w:val="en-GB"/>
        </w:rPr>
        <w:t>form</w:t>
      </w:r>
      <w:r w:rsidRPr="00557D58">
        <w:rPr>
          <w:lang w:val="en-GB"/>
        </w:rPr>
        <w:t xml:space="preserve"> of her abuse because she was a woman. There is no question that this conduct, which the Committee also properly finds constituted torture and extreme gender-based violence, cannot be supported by any reasonable and objective justification or legitimate aim. The Committee thus correctly finds that the author was discriminated against because of her sex in violation of article 26.</w:t>
      </w:r>
    </w:p>
    <w:p w14:paraId="7BD03B8F" w14:textId="77777777" w:rsidR="00FF2478" w:rsidRPr="00895641" w:rsidRDefault="00FF2478" w:rsidP="00FF2478">
      <w:pPr>
        <w:pStyle w:val="SingleTxtG"/>
        <w:spacing w:before="240" w:after="0"/>
        <w:jc w:val="center"/>
        <w:rPr>
          <w:u w:val="single"/>
          <w:lang w:val="en-GB" w:eastAsia="en-GB"/>
        </w:rPr>
      </w:pPr>
      <w:r w:rsidRPr="00557D58">
        <w:rPr>
          <w:u w:val="single"/>
          <w:lang w:val="en-GB"/>
        </w:rPr>
        <w:tab/>
      </w:r>
      <w:r w:rsidRPr="00557D58">
        <w:rPr>
          <w:u w:val="single"/>
          <w:lang w:val="en-GB"/>
        </w:rPr>
        <w:tab/>
      </w:r>
      <w:r w:rsidRPr="00557D58">
        <w:rPr>
          <w:u w:val="single"/>
          <w:lang w:val="en-GB"/>
        </w:rPr>
        <w:tab/>
      </w:r>
    </w:p>
    <w:sectPr w:rsidR="00FF2478" w:rsidRPr="00895641" w:rsidSect="00895641">
      <w:footnotePr>
        <w:numRestart w:val="eachSect"/>
      </w:footnotePr>
      <w:endnotePr>
        <w:numFmt w:val="decimal"/>
      </w:endnotePr>
      <w:pgSz w:w="11907" w:h="16840" w:code="9"/>
      <w:pgMar w:top="1701" w:right="1134" w:bottom="2268" w:left="1134" w:header="1134" w:footer="1701"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10-21T14:33:00Z" w:initials="Start">
    <w:p w14:paraId="72A79EF0" w14:textId="77777777" w:rsidR="009C15C4" w:rsidRDefault="009C15C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NO&gt;&gt;N1524001E&lt;&lt;ODS JOB NO&gt;&gt;</w:t>
      </w:r>
    </w:p>
    <w:p w14:paraId="238948A3" w14:textId="77777777" w:rsidR="009C15C4" w:rsidRDefault="009C15C4">
      <w:pPr>
        <w:pStyle w:val="CommentText"/>
      </w:pPr>
      <w:r>
        <w:t>&lt;&lt;ODS DOC SYMBOL1&gt;&gt;CCPR/C/114/D/2234/2013&lt;&lt;ODS DOC SYMBOL1&gt;&gt;</w:t>
      </w:r>
    </w:p>
    <w:p w14:paraId="64B45AF9" w14:textId="77777777" w:rsidR="009C15C4" w:rsidRDefault="009C15C4">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B45AF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F3D7E" w14:textId="77777777" w:rsidR="00F867CE" w:rsidRDefault="00F867CE"/>
  </w:endnote>
  <w:endnote w:type="continuationSeparator" w:id="0">
    <w:p w14:paraId="66F78C2C" w14:textId="77777777" w:rsidR="00F867CE" w:rsidRDefault="00F867CE"/>
  </w:endnote>
  <w:endnote w:type="continuationNotice" w:id="1">
    <w:p w14:paraId="64F1AFD8" w14:textId="77777777" w:rsidR="00F867CE" w:rsidRDefault="00F867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lfaen">
    <w:panose1 w:val="010A0502050306030303"/>
    <w:charset w:val="00"/>
    <w:family w:val="roman"/>
    <w:pitch w:val="variable"/>
    <w:sig w:usb0="04000687" w:usb1="00000000" w:usb2="00000000" w:usb3="00000000" w:csb0="0000009F"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DBD83" w14:textId="77777777" w:rsidR="00EA02C7" w:rsidRPr="00781C83" w:rsidRDefault="00EA02C7"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C4145F">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BC3F9" w14:textId="77777777" w:rsidR="00EA02C7" w:rsidRPr="00895641" w:rsidRDefault="00EA02C7" w:rsidP="00781C83">
    <w:pPr>
      <w:pStyle w:val="Footer"/>
      <w:tabs>
        <w:tab w:val="right" w:pos="9638"/>
      </w:tabs>
      <w:rPr>
        <w:b/>
        <w:bCs/>
        <w:sz w:val="18"/>
      </w:rPr>
    </w:pPr>
    <w:r>
      <w:rPr>
        <w:b/>
        <w:sz w:val="18"/>
      </w:rPr>
      <w:tab/>
    </w:r>
    <w:r w:rsidRPr="00895641">
      <w:rPr>
        <w:b/>
        <w:bCs/>
        <w:sz w:val="18"/>
      </w:rPr>
      <w:fldChar w:fldCharType="begin"/>
    </w:r>
    <w:r w:rsidRPr="00895641">
      <w:rPr>
        <w:b/>
        <w:bCs/>
        <w:sz w:val="18"/>
      </w:rPr>
      <w:instrText xml:space="preserve"> PAGE  \* MERGEFORMAT </w:instrText>
    </w:r>
    <w:r w:rsidRPr="00895641">
      <w:rPr>
        <w:b/>
        <w:bCs/>
        <w:sz w:val="18"/>
      </w:rPr>
      <w:fldChar w:fldCharType="separate"/>
    </w:r>
    <w:r w:rsidR="00C4145F">
      <w:rPr>
        <w:b/>
        <w:bCs/>
        <w:noProof/>
        <w:sz w:val="18"/>
      </w:rPr>
      <w:t>3</w:t>
    </w:r>
    <w:r w:rsidRPr="00895641">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9C15C4" w14:paraId="4092A77E" w14:textId="77777777" w:rsidTr="009C15C4">
      <w:tc>
        <w:tcPr>
          <w:tcW w:w="3614" w:type="dxa"/>
          <w:shd w:val="clear" w:color="auto" w:fill="auto"/>
        </w:tcPr>
        <w:p w14:paraId="737D29BA" w14:textId="77777777" w:rsidR="009C15C4" w:rsidRDefault="009C15C4" w:rsidP="009C15C4">
          <w:pPr>
            <w:pStyle w:val="Footer"/>
            <w:rPr>
              <w:sz w:val="20"/>
            </w:rPr>
          </w:pPr>
          <w:r>
            <w:rPr>
              <w:noProof/>
              <w:sz w:val="20"/>
              <w:lang w:val="en-US"/>
            </w:rPr>
            <w:drawing>
              <wp:anchor distT="0" distB="0" distL="114300" distR="114300" simplePos="0" relativeHeight="251658240" behindDoc="0" locked="0" layoutInCell="1" allowOverlap="1" wp14:anchorId="71C9CF9D" wp14:editId="662EADCC">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CCPR/C/114/D/2234/2013&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4/D/2234/2013&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GE.15-17392(E)</w:t>
          </w:r>
        </w:p>
        <w:p w14:paraId="23B6BA36" w14:textId="77777777" w:rsidR="009C15C4" w:rsidRPr="009C15C4" w:rsidRDefault="009C15C4" w:rsidP="009C15C4">
          <w:pPr>
            <w:pStyle w:val="Footer"/>
            <w:rPr>
              <w:rFonts w:ascii="Barcode 3 of 9 by request" w:hAnsi="Barcode 3 of 9 by request"/>
              <w:sz w:val="24"/>
            </w:rPr>
          </w:pPr>
          <w:r>
            <w:rPr>
              <w:rFonts w:ascii="Barcode 3 of 9 by request" w:hAnsi="Barcode 3 of 9 by request"/>
              <w:sz w:val="24"/>
            </w:rPr>
            <w:t>*1517392*</w:t>
          </w:r>
        </w:p>
      </w:tc>
      <w:tc>
        <w:tcPr>
          <w:tcW w:w="4752" w:type="dxa"/>
          <w:shd w:val="clear" w:color="auto" w:fill="auto"/>
        </w:tcPr>
        <w:p w14:paraId="341263FD" w14:textId="77777777" w:rsidR="009C15C4" w:rsidRDefault="009C15C4" w:rsidP="009C15C4">
          <w:pPr>
            <w:pStyle w:val="Footer"/>
            <w:spacing w:line="240" w:lineRule="atLeast"/>
            <w:jc w:val="right"/>
            <w:rPr>
              <w:sz w:val="20"/>
            </w:rPr>
          </w:pPr>
          <w:r>
            <w:rPr>
              <w:noProof/>
              <w:sz w:val="20"/>
              <w:lang w:val="en-US"/>
            </w:rPr>
            <w:drawing>
              <wp:inline distT="0" distB="0" distL="0" distR="0" wp14:anchorId="27CE5D60" wp14:editId="32E105CA">
                <wp:extent cx="9296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55306AA8" w14:textId="77777777" w:rsidR="009C15C4" w:rsidRPr="009C15C4" w:rsidRDefault="009C15C4" w:rsidP="009C15C4">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D9620" w14:textId="77777777" w:rsidR="00F867CE" w:rsidRPr="000B175B" w:rsidRDefault="00F867CE" w:rsidP="000B175B">
      <w:pPr>
        <w:tabs>
          <w:tab w:val="right" w:pos="2155"/>
        </w:tabs>
        <w:spacing w:after="80"/>
        <w:ind w:left="680"/>
        <w:rPr>
          <w:u w:val="single"/>
        </w:rPr>
      </w:pPr>
      <w:r>
        <w:rPr>
          <w:u w:val="single"/>
        </w:rPr>
        <w:tab/>
      </w:r>
    </w:p>
  </w:footnote>
  <w:footnote w:type="continuationSeparator" w:id="0">
    <w:p w14:paraId="37A51C8E" w14:textId="77777777" w:rsidR="00F867CE" w:rsidRPr="00FC68B7" w:rsidRDefault="00F867CE" w:rsidP="00FC68B7">
      <w:pPr>
        <w:tabs>
          <w:tab w:val="left" w:pos="2155"/>
        </w:tabs>
        <w:spacing w:after="80"/>
        <w:ind w:left="680"/>
        <w:rPr>
          <w:u w:val="single"/>
        </w:rPr>
      </w:pPr>
      <w:r>
        <w:rPr>
          <w:u w:val="single"/>
        </w:rPr>
        <w:tab/>
      </w:r>
    </w:p>
  </w:footnote>
  <w:footnote w:type="continuationNotice" w:id="1">
    <w:p w14:paraId="7E8AA4DD" w14:textId="77777777" w:rsidR="00F867CE" w:rsidRDefault="00F867CE"/>
  </w:footnote>
  <w:footnote w:id="2">
    <w:p w14:paraId="7DA7EF05" w14:textId="77777777" w:rsidR="00EA02C7" w:rsidRDefault="00EA02C7" w:rsidP="000B71F4">
      <w:pPr>
        <w:pStyle w:val="FootnoteText"/>
        <w:rPr>
          <w:bCs/>
          <w:szCs w:val="18"/>
        </w:rPr>
      </w:pPr>
      <w:r>
        <w:rPr>
          <w:rStyle w:val="FootnoteReference"/>
        </w:rPr>
        <w:tab/>
      </w:r>
      <w:r w:rsidRPr="003E1C55">
        <w:rPr>
          <w:rStyle w:val="FootnoteReference"/>
          <w:sz w:val="20"/>
          <w:vertAlign w:val="baseline"/>
        </w:rPr>
        <w:t>*</w:t>
      </w:r>
      <w:r w:rsidRPr="0064467B">
        <w:rPr>
          <w:rStyle w:val="FootnoteReference"/>
          <w:sz w:val="20"/>
          <w:vertAlign w:val="baseline"/>
        </w:rPr>
        <w:tab/>
      </w:r>
      <w:bookmarkStart w:id="2" w:name="OLE_LINK2"/>
      <w:bookmarkStart w:id="3" w:name="OLE_LINK1"/>
      <w:r w:rsidRPr="004C05A1">
        <w:rPr>
          <w:szCs w:val="18"/>
        </w:rPr>
        <w:t xml:space="preserve">The following members of the Committee participated in the examination of the present communication: </w:t>
      </w:r>
      <w:bookmarkEnd w:id="2"/>
      <w:bookmarkEnd w:id="3"/>
      <w:r w:rsidRPr="004C05A1">
        <w:rPr>
          <w:szCs w:val="18"/>
        </w:rPr>
        <w:t xml:space="preserve">Yadh Ben Achour, Lazhari Bouzid, Sarah Cleveland, Olivier </w:t>
      </w:r>
      <w:r w:rsidRPr="00895641">
        <w:rPr>
          <w:szCs w:val="18"/>
          <w:lang w:val="en-GB"/>
        </w:rPr>
        <w:t>d</w:t>
      </w:r>
      <w:r w:rsidRPr="004C05A1">
        <w:rPr>
          <w:szCs w:val="18"/>
        </w:rPr>
        <w:t>e Frouville, Ahmed Amin Fathalla, Yuji Iwasawa, Ivana Jeli</w:t>
      </w:r>
      <w:r>
        <w:rPr>
          <w:szCs w:val="18"/>
        </w:rPr>
        <w:t>ć</w:t>
      </w:r>
      <w:r w:rsidRPr="004C05A1">
        <w:rPr>
          <w:szCs w:val="18"/>
        </w:rPr>
        <w:t>, Duncan Laki</w:t>
      </w:r>
      <w:r>
        <w:rPr>
          <w:szCs w:val="18"/>
        </w:rPr>
        <w:t xml:space="preserve"> </w:t>
      </w:r>
      <w:r w:rsidRPr="002943FD">
        <w:rPr>
          <w:szCs w:val="18"/>
        </w:rPr>
        <w:t>Muhumuza</w:t>
      </w:r>
      <w:r w:rsidRPr="004C05A1">
        <w:rPr>
          <w:szCs w:val="18"/>
        </w:rPr>
        <w:t xml:space="preserve">, Photini Pazartzis, Mauro Politi, </w:t>
      </w:r>
      <w:r w:rsidRPr="004C05A1">
        <w:rPr>
          <w:bCs/>
          <w:szCs w:val="18"/>
        </w:rPr>
        <w:t>Sir</w:t>
      </w:r>
      <w:r w:rsidRPr="004C05A1">
        <w:rPr>
          <w:szCs w:val="18"/>
        </w:rPr>
        <w:t xml:space="preserve"> Nigel Rodley, V</w:t>
      </w:r>
      <w:r>
        <w:rPr>
          <w:szCs w:val="18"/>
        </w:rPr>
        <w:t>í</w:t>
      </w:r>
      <w:r w:rsidRPr="004C05A1">
        <w:rPr>
          <w:szCs w:val="18"/>
        </w:rPr>
        <w:t>ctor Manuel Rodríguez-Rescia, Fabián Omar Salvioli, Dheerujlall Seetulsingh, Anja Seibert-Fohr, Yuval Shany, Konstantine Vardzelashvili and Margo Waterval</w:t>
      </w:r>
      <w:r w:rsidRPr="004C05A1">
        <w:rPr>
          <w:bCs/>
          <w:szCs w:val="18"/>
        </w:rPr>
        <w:t>.</w:t>
      </w:r>
    </w:p>
    <w:p w14:paraId="2E898E73" w14:textId="77777777" w:rsidR="00EA02C7" w:rsidRPr="00895641" w:rsidRDefault="00EA02C7" w:rsidP="00DE6BB0">
      <w:pPr>
        <w:pStyle w:val="FootnoteText"/>
        <w:rPr>
          <w:lang w:val="en-GB"/>
        </w:rPr>
      </w:pPr>
      <w:r w:rsidRPr="00895641">
        <w:rPr>
          <w:rStyle w:val="FootnoteReference"/>
          <w:sz w:val="20"/>
          <w:lang w:val="en-GB"/>
        </w:rPr>
        <w:tab/>
      </w:r>
      <w:r w:rsidRPr="00895641">
        <w:rPr>
          <w:rStyle w:val="FootnoteReference"/>
          <w:sz w:val="20"/>
          <w:vertAlign w:val="baseline"/>
          <w:lang w:val="en-GB"/>
        </w:rPr>
        <w:tab/>
      </w:r>
      <w:r w:rsidRPr="00685E45">
        <w:t>The text</w:t>
      </w:r>
      <w:r>
        <w:t>s</w:t>
      </w:r>
      <w:r w:rsidRPr="00685E45">
        <w:t xml:space="preserve"> of an individual opinion of Committee member </w:t>
      </w:r>
      <w:r>
        <w:rPr>
          <w:szCs w:val="18"/>
        </w:rPr>
        <w:t>Dheerujlall Seetulsingh</w:t>
      </w:r>
      <w:r w:rsidRPr="00685E45">
        <w:rPr>
          <w:lang w:eastAsia="en-GB"/>
        </w:rPr>
        <w:t xml:space="preserve"> (</w:t>
      </w:r>
      <w:r>
        <w:rPr>
          <w:lang w:val="en-GB" w:eastAsia="en-GB"/>
        </w:rPr>
        <w:t xml:space="preserve">partly </w:t>
      </w:r>
      <w:r>
        <w:rPr>
          <w:lang w:eastAsia="en-GB"/>
        </w:rPr>
        <w:t>dissenting</w:t>
      </w:r>
      <w:r w:rsidRPr="00685E45">
        <w:rPr>
          <w:lang w:eastAsia="en-GB"/>
        </w:rPr>
        <w:t>)</w:t>
      </w:r>
      <w:r>
        <w:rPr>
          <w:lang w:eastAsia="en-GB"/>
        </w:rPr>
        <w:t xml:space="preserve"> </w:t>
      </w:r>
      <w:r w:rsidRPr="00685E45">
        <w:t xml:space="preserve">and </w:t>
      </w:r>
      <w:r>
        <w:t>i</w:t>
      </w:r>
      <w:r w:rsidRPr="00E70667">
        <w:t>ndivid</w:t>
      </w:r>
      <w:r>
        <w:t>ual opinion of Committee member</w:t>
      </w:r>
      <w:r w:rsidRPr="00895641">
        <w:rPr>
          <w:lang w:val="en-GB"/>
        </w:rPr>
        <w:t xml:space="preserve">s </w:t>
      </w:r>
      <w:r w:rsidRPr="00895641">
        <w:t>Sarah Cleveland and Olivier de Frouville (concurring</w:t>
      </w:r>
      <w:r w:rsidRPr="00033A75">
        <w:t>)</w:t>
      </w:r>
      <w:r w:rsidRPr="00895641">
        <w:rPr>
          <w:lang w:val="en-GB"/>
        </w:rPr>
        <w:t xml:space="preserve"> </w:t>
      </w:r>
      <w:r>
        <w:t>are</w:t>
      </w:r>
      <w:r w:rsidRPr="00685E45">
        <w:t xml:space="preserve"> appended to the present Views.</w:t>
      </w:r>
    </w:p>
  </w:footnote>
  <w:footnote w:id="3">
    <w:p w14:paraId="6E2AA086" w14:textId="77777777" w:rsidR="00EA02C7" w:rsidRPr="004058EB" w:rsidRDefault="00EA02C7" w:rsidP="008C205D">
      <w:pPr>
        <w:pStyle w:val="FootnoteText"/>
      </w:pPr>
      <w:r w:rsidRPr="000E0F91">
        <w:rPr>
          <w:lang w:val="en-GB"/>
        </w:rPr>
        <w:tab/>
      </w:r>
      <w:r w:rsidRPr="00B1582C">
        <w:rPr>
          <w:rStyle w:val="FootnoteReference"/>
        </w:rPr>
        <w:footnoteRef/>
      </w:r>
      <w:r w:rsidRPr="000E0F91">
        <w:rPr>
          <w:lang w:val="en-GB"/>
        </w:rPr>
        <w:tab/>
      </w:r>
      <w:r w:rsidRPr="004058EB">
        <w:t xml:space="preserve">The Covenant and the Optional </w:t>
      </w:r>
      <w:r w:rsidRPr="008C205D">
        <w:t>Protocol</w:t>
      </w:r>
      <w:r w:rsidRPr="004058EB">
        <w:t xml:space="preserve"> entered into force for the State party on 28 December 1995.</w:t>
      </w:r>
    </w:p>
  </w:footnote>
  <w:footnote w:id="4">
    <w:p w14:paraId="745D3135" w14:textId="77777777" w:rsidR="00EA02C7" w:rsidRPr="004058EB" w:rsidRDefault="00EA02C7">
      <w:pPr>
        <w:pStyle w:val="FootnoteText"/>
      </w:pPr>
      <w:r w:rsidRPr="000E0F91">
        <w:rPr>
          <w:lang w:val="en-GB"/>
        </w:rPr>
        <w:tab/>
      </w:r>
      <w:r w:rsidRPr="00B1582C">
        <w:rPr>
          <w:rStyle w:val="FootnoteReference"/>
        </w:rPr>
        <w:footnoteRef/>
      </w:r>
      <w:r w:rsidRPr="000E0F91">
        <w:rPr>
          <w:lang w:val="en-GB"/>
        </w:rPr>
        <w:tab/>
      </w:r>
      <w:r w:rsidRPr="004058EB">
        <w:rPr>
          <w:lang w:val="en-GB"/>
        </w:rPr>
        <w:t>The author submits articles describing cooperation between police and prostitutes in Uzbekistan</w:t>
      </w:r>
      <w:r>
        <w:rPr>
          <w:lang w:val="en-GB"/>
        </w:rPr>
        <w:t xml:space="preserve">. </w:t>
      </w:r>
    </w:p>
  </w:footnote>
  <w:footnote w:id="5">
    <w:p w14:paraId="3635BA43" w14:textId="77777777" w:rsidR="00EA02C7" w:rsidRPr="004058EB" w:rsidRDefault="00EA02C7" w:rsidP="00E17765">
      <w:pPr>
        <w:pStyle w:val="FootnoteText"/>
      </w:pPr>
      <w:r w:rsidRPr="000E0F91">
        <w:rPr>
          <w:lang w:val="en-GB"/>
        </w:rPr>
        <w:tab/>
      </w:r>
      <w:r w:rsidRPr="00B1582C">
        <w:rPr>
          <w:rStyle w:val="FootnoteReference"/>
        </w:rPr>
        <w:footnoteRef/>
      </w:r>
      <w:r w:rsidRPr="000E0F91">
        <w:rPr>
          <w:lang w:val="en-GB"/>
        </w:rPr>
        <w:tab/>
      </w:r>
      <w:r w:rsidRPr="004058EB">
        <w:t xml:space="preserve">When the author was able to see the </w:t>
      </w:r>
      <w:r>
        <w:t>procurator</w:t>
      </w:r>
      <w:r w:rsidRPr="004058EB">
        <w:t xml:space="preserve"> in charge of prison </w:t>
      </w:r>
      <w:r>
        <w:t>oversight</w:t>
      </w:r>
      <w:r w:rsidRPr="004058EB">
        <w:t xml:space="preserve"> around March</w:t>
      </w:r>
      <w:r>
        <w:t xml:space="preserve"> or </w:t>
      </w:r>
      <w:r w:rsidRPr="004058EB">
        <w:t xml:space="preserve">April 2007, she reported </w:t>
      </w:r>
      <w:r w:rsidRPr="00895641">
        <w:rPr>
          <w:lang w:val="en-GB"/>
        </w:rPr>
        <w:t xml:space="preserve">being </w:t>
      </w:r>
      <w:r w:rsidRPr="004058EB">
        <w:t>ill-treat</w:t>
      </w:r>
      <w:r w:rsidRPr="00895641">
        <w:rPr>
          <w:lang w:val="en-GB"/>
        </w:rPr>
        <w:t>ed</w:t>
      </w:r>
      <w:r>
        <w:rPr>
          <w:lang w:val="en-GB"/>
        </w:rPr>
        <w:t xml:space="preserve">. </w:t>
      </w:r>
      <w:r w:rsidRPr="00895641">
        <w:rPr>
          <w:lang w:val="en-GB"/>
        </w:rPr>
        <w:t>T</w:t>
      </w:r>
      <w:r w:rsidRPr="004058EB">
        <w:t xml:space="preserve">he </w:t>
      </w:r>
      <w:r>
        <w:t>procurator</w:t>
      </w:r>
      <w:r w:rsidRPr="004058EB">
        <w:t xml:space="preserve"> failed to respond to her complaint. Instead, prison officials and a deputy </w:t>
      </w:r>
      <w:r>
        <w:t>procurator</w:t>
      </w:r>
      <w:r w:rsidRPr="004058EB">
        <w:t xml:space="preserve"> ordered her to sign a </w:t>
      </w:r>
      <w:r>
        <w:t>statement</w:t>
      </w:r>
      <w:r w:rsidRPr="004058EB">
        <w:t xml:space="preserve"> that she had no complaints against prison officials.</w:t>
      </w:r>
    </w:p>
  </w:footnote>
  <w:footnote w:id="6">
    <w:p w14:paraId="4637677E" w14:textId="77777777" w:rsidR="00EA02C7" w:rsidRPr="00131A58" w:rsidRDefault="00EA02C7" w:rsidP="00E77EE3">
      <w:pPr>
        <w:pStyle w:val="FootnoteText"/>
      </w:pPr>
      <w:r>
        <w:tab/>
      </w:r>
      <w:r w:rsidRPr="00B1582C">
        <w:rPr>
          <w:rStyle w:val="FootnoteReference"/>
        </w:rPr>
        <w:footnoteRef/>
      </w:r>
      <w:r>
        <w:tab/>
      </w:r>
      <w:r w:rsidRPr="00FC5029">
        <w:t>Communication</w:t>
      </w:r>
      <w:r w:rsidRPr="00895641">
        <w:rPr>
          <w:lang w:val="en-GB"/>
        </w:rPr>
        <w:t>s</w:t>
      </w:r>
      <w:r>
        <w:t xml:space="preserve"> 1998/2010, </w:t>
      </w:r>
      <w:r w:rsidRPr="00AC1841">
        <w:rPr>
          <w:i/>
        </w:rPr>
        <w:t>A.W.K v. New Zealand</w:t>
      </w:r>
      <w:r>
        <w:t>, decision of inadmissibility of 28 October 2014, para. 9.4</w:t>
      </w:r>
      <w:r w:rsidRPr="002927BC">
        <w:rPr>
          <w:lang w:val="en-GB"/>
        </w:rPr>
        <w:t xml:space="preserve">; 1992/2010, </w:t>
      </w:r>
      <w:r w:rsidRPr="002927BC">
        <w:rPr>
          <w:i/>
          <w:lang w:val="en-GB"/>
        </w:rPr>
        <w:t>Sudalenko v. Belarus</w:t>
      </w:r>
      <w:r>
        <w:rPr>
          <w:lang w:val="en-GB"/>
        </w:rPr>
        <w:t xml:space="preserve">, Views adopted on </w:t>
      </w:r>
      <w:r w:rsidRPr="005C3266">
        <w:rPr>
          <w:lang w:val="en-GB"/>
        </w:rPr>
        <w:t>27 March 2015</w:t>
      </w:r>
      <w:r>
        <w:rPr>
          <w:lang w:val="en-GB"/>
        </w:rPr>
        <w:t>, para. 7.4</w:t>
      </w:r>
      <w:r>
        <w:t xml:space="preserve">. </w:t>
      </w:r>
    </w:p>
  </w:footnote>
  <w:footnote w:id="7">
    <w:p w14:paraId="568A2DBB" w14:textId="77777777" w:rsidR="00EA02C7" w:rsidRPr="00895641" w:rsidRDefault="00EA02C7" w:rsidP="004C05A1">
      <w:pPr>
        <w:pStyle w:val="FootnoteText"/>
        <w:rPr>
          <w:lang w:val="en-GB"/>
        </w:rPr>
      </w:pPr>
      <w:r w:rsidRPr="00895641">
        <w:rPr>
          <w:lang w:val="en-GB"/>
        </w:rPr>
        <w:tab/>
      </w:r>
      <w:r w:rsidRPr="00B1582C">
        <w:rPr>
          <w:rStyle w:val="FootnoteReference"/>
        </w:rPr>
        <w:footnoteRef/>
      </w:r>
      <w:r w:rsidRPr="00895641">
        <w:rPr>
          <w:lang w:val="en-GB"/>
        </w:rPr>
        <w:tab/>
        <w:t xml:space="preserve">See </w:t>
      </w:r>
      <w:r w:rsidRPr="00895641">
        <w:rPr>
          <w:lang w:val="x-none"/>
        </w:rPr>
        <w:t>paragraph</w:t>
      </w:r>
      <w:r w:rsidRPr="00895641">
        <w:rPr>
          <w:lang w:val="en-GB"/>
        </w:rPr>
        <w:t xml:space="preserve"> 5.</w:t>
      </w:r>
      <w:r w:rsidRPr="00361717">
        <w:rPr>
          <w:lang w:val="en-GB"/>
        </w:rPr>
        <w:t>3</w:t>
      </w:r>
      <w:r w:rsidRPr="00895641">
        <w:rPr>
          <w:lang w:val="en-GB"/>
        </w:rPr>
        <w:t xml:space="preserve"> </w:t>
      </w:r>
      <w:r w:rsidRPr="00361717">
        <w:rPr>
          <w:lang w:val="en-GB"/>
        </w:rPr>
        <w:t>above</w:t>
      </w:r>
      <w:r w:rsidRPr="00895641">
        <w:rPr>
          <w:lang w:val="en-GB"/>
        </w:rPr>
        <w:t xml:space="preserve">. </w:t>
      </w:r>
    </w:p>
  </w:footnote>
  <w:footnote w:id="8">
    <w:p w14:paraId="0E093A6D" w14:textId="77777777" w:rsidR="00EA02C7" w:rsidRPr="002A3E68" w:rsidRDefault="00EA02C7" w:rsidP="004C05A1">
      <w:pPr>
        <w:pStyle w:val="FootnoteText"/>
      </w:pPr>
      <w:r>
        <w:tab/>
      </w:r>
      <w:r w:rsidRPr="00B1582C">
        <w:rPr>
          <w:rStyle w:val="FootnoteReference"/>
        </w:rPr>
        <w:footnoteRef/>
      </w:r>
      <w:r>
        <w:tab/>
      </w:r>
      <w:r w:rsidRPr="00DE63FC">
        <w:t>See the Committee</w:t>
      </w:r>
      <w:r>
        <w:t>’</w:t>
      </w:r>
      <w:r w:rsidRPr="00DE63FC">
        <w:t>s general comment No.</w:t>
      </w:r>
      <w:r>
        <w:t xml:space="preserve"> </w:t>
      </w:r>
      <w:r w:rsidRPr="00DE63FC">
        <w:t>20 (1992) on the prohibition of torture or cruel, inhuman or degrading treatment or punishment, para. 14.</w:t>
      </w:r>
    </w:p>
  </w:footnote>
  <w:footnote w:id="9">
    <w:p w14:paraId="131312C2" w14:textId="77777777" w:rsidR="00EA02C7" w:rsidRPr="00C6782C" w:rsidRDefault="00EA02C7" w:rsidP="00895641">
      <w:pPr>
        <w:pStyle w:val="FootnoteText"/>
        <w:rPr>
          <w:lang w:val="en-GB"/>
        </w:rPr>
      </w:pPr>
      <w:r w:rsidRPr="00895641">
        <w:rPr>
          <w:lang w:val="en-GB"/>
        </w:rPr>
        <w:tab/>
      </w:r>
      <w:r w:rsidRPr="00B1582C">
        <w:rPr>
          <w:rStyle w:val="FootnoteReference"/>
        </w:rPr>
        <w:footnoteRef/>
      </w:r>
      <w:r w:rsidRPr="00895641">
        <w:rPr>
          <w:lang w:val="en-GB"/>
        </w:rPr>
        <w:tab/>
      </w:r>
      <w:r w:rsidRPr="00C6782C">
        <w:rPr>
          <w:lang w:val="en-GB"/>
        </w:rPr>
        <w:t>See communication No.</w:t>
      </w:r>
      <w:r>
        <w:rPr>
          <w:lang w:val="en-GB"/>
        </w:rPr>
        <w:t xml:space="preserve"> </w:t>
      </w:r>
      <w:r w:rsidRPr="00E930EE">
        <w:rPr>
          <w:lang w:val="en-GB"/>
        </w:rPr>
        <w:t>2079/2011</w:t>
      </w:r>
      <w:r>
        <w:rPr>
          <w:lang w:val="en-GB"/>
        </w:rPr>
        <w:t xml:space="preserve">, </w:t>
      </w:r>
      <w:r w:rsidRPr="00C6782C">
        <w:rPr>
          <w:i/>
          <w:lang w:val="en-GB"/>
        </w:rPr>
        <w:t>Khadzhiev v. Turkmenistan</w:t>
      </w:r>
      <w:r>
        <w:rPr>
          <w:lang w:val="en-GB"/>
        </w:rPr>
        <w:t xml:space="preserve">, Views adopted on 1 April 2015, para. 8.4. </w:t>
      </w:r>
    </w:p>
  </w:footnote>
  <w:footnote w:id="10">
    <w:p w14:paraId="5DC367EE" w14:textId="77777777" w:rsidR="00EA02C7" w:rsidRPr="00587429" w:rsidRDefault="00EA02C7" w:rsidP="00895641">
      <w:pPr>
        <w:pStyle w:val="FootnoteText"/>
        <w:rPr>
          <w:lang w:val="en-GB"/>
        </w:rPr>
      </w:pPr>
      <w:r w:rsidRPr="00895641">
        <w:rPr>
          <w:lang w:val="en-GB"/>
        </w:rPr>
        <w:tab/>
      </w:r>
      <w:r w:rsidRPr="00B1582C">
        <w:rPr>
          <w:rStyle w:val="FootnoteReference"/>
        </w:rPr>
        <w:footnoteRef/>
      </w:r>
      <w:r>
        <w:t xml:space="preserve"> </w:t>
      </w:r>
      <w:r w:rsidRPr="00895641">
        <w:rPr>
          <w:lang w:val="en-GB"/>
        </w:rPr>
        <w:tab/>
      </w:r>
      <w:r>
        <w:rPr>
          <w:lang w:val="en-GB"/>
        </w:rPr>
        <w:t xml:space="preserve">See </w:t>
      </w:r>
      <w:r w:rsidRPr="00895641">
        <w:rPr>
          <w:lang w:val="x-none"/>
        </w:rPr>
        <w:t>communication</w:t>
      </w:r>
      <w:r>
        <w:rPr>
          <w:lang w:val="en-GB"/>
        </w:rPr>
        <w:t xml:space="preserve"> No. 1900/2009, </w:t>
      </w:r>
      <w:r w:rsidRPr="00587429">
        <w:rPr>
          <w:i/>
          <w:lang w:val="en-GB"/>
        </w:rPr>
        <w:t>Mehalli v. Algeria</w:t>
      </w:r>
      <w:r>
        <w:rPr>
          <w:lang w:val="en-GB"/>
        </w:rPr>
        <w:t xml:space="preserve">, Views adopted on 21 March 2014, para. 7.10. </w:t>
      </w:r>
    </w:p>
  </w:footnote>
  <w:footnote w:id="11">
    <w:p w14:paraId="2C76EBEE" w14:textId="77777777" w:rsidR="00EA02C7" w:rsidRDefault="00EA02C7" w:rsidP="00895641">
      <w:pPr>
        <w:pStyle w:val="FootnoteText"/>
        <w:rPr>
          <w:szCs w:val="18"/>
        </w:rPr>
      </w:pPr>
      <w:r>
        <w:rPr>
          <w:szCs w:val="18"/>
        </w:rPr>
        <w:tab/>
      </w:r>
      <w:r w:rsidRPr="00B1582C">
        <w:rPr>
          <w:rStyle w:val="FootnoteReference"/>
        </w:rPr>
        <w:footnoteRef/>
      </w:r>
      <w:r>
        <w:rPr>
          <w:szCs w:val="18"/>
        </w:rPr>
        <w:tab/>
        <w:t xml:space="preserve">See </w:t>
      </w:r>
      <w:r w:rsidRPr="00895641">
        <w:rPr>
          <w:szCs w:val="18"/>
          <w:lang w:val="en-GB"/>
        </w:rPr>
        <w:t>the</w:t>
      </w:r>
      <w:r>
        <w:rPr>
          <w:szCs w:val="18"/>
        </w:rPr>
        <w:t xml:space="preserve"> Committee</w:t>
      </w:r>
      <w:r w:rsidRPr="00895641">
        <w:rPr>
          <w:szCs w:val="18"/>
          <w:lang w:val="en-GB"/>
        </w:rPr>
        <w:t>’s</w:t>
      </w:r>
      <w:r>
        <w:rPr>
          <w:szCs w:val="18"/>
        </w:rPr>
        <w:t xml:space="preserve"> general comment No. 32 (2007) on the right to equality before courts and tribunals and to a fair trial (art. 14), para. 60, and communication No. 1401/2005, </w:t>
      </w:r>
      <w:r>
        <w:rPr>
          <w:i/>
          <w:iCs/>
          <w:szCs w:val="18"/>
        </w:rPr>
        <w:t xml:space="preserve">Kirpo </w:t>
      </w:r>
      <w:r>
        <w:rPr>
          <w:i/>
          <w:szCs w:val="18"/>
        </w:rPr>
        <w:t>v.</w:t>
      </w:r>
      <w:r>
        <w:rPr>
          <w:i/>
          <w:iCs/>
          <w:szCs w:val="18"/>
        </w:rPr>
        <w:t xml:space="preserve"> Tajikistan,</w:t>
      </w:r>
      <w:r>
        <w:rPr>
          <w:szCs w:val="18"/>
        </w:rPr>
        <w:t xml:space="preserve"> Views adopted on 27 October 2009, para. 6.3.</w:t>
      </w:r>
    </w:p>
  </w:footnote>
  <w:footnote w:id="12">
    <w:p w14:paraId="6945D476" w14:textId="77777777" w:rsidR="00EA02C7" w:rsidRPr="00C6782C" w:rsidRDefault="00EA02C7" w:rsidP="00895641">
      <w:pPr>
        <w:pStyle w:val="FootnoteText"/>
        <w:rPr>
          <w:lang w:val="en-GB"/>
        </w:rPr>
      </w:pPr>
      <w:r w:rsidRPr="00895641">
        <w:rPr>
          <w:lang w:val="en-GB"/>
        </w:rPr>
        <w:tab/>
      </w:r>
      <w:r w:rsidRPr="00B1582C">
        <w:rPr>
          <w:rStyle w:val="FootnoteReference"/>
        </w:rPr>
        <w:footnoteRef/>
      </w:r>
      <w:r w:rsidRPr="00895641">
        <w:rPr>
          <w:lang w:val="en-GB"/>
        </w:rPr>
        <w:tab/>
      </w:r>
      <w:r w:rsidRPr="00C6782C">
        <w:rPr>
          <w:lang w:val="en-GB"/>
        </w:rPr>
        <w:t>See</w:t>
      </w:r>
      <w:r>
        <w:rPr>
          <w:lang w:val="en-GB"/>
        </w:rPr>
        <w:t xml:space="preserve"> </w:t>
      </w:r>
      <w:r w:rsidRPr="00C6782C">
        <w:rPr>
          <w:lang w:val="en-GB"/>
        </w:rPr>
        <w:t xml:space="preserve">communication 2046/2011, </w:t>
      </w:r>
      <w:r>
        <w:rPr>
          <w:i/>
          <w:lang w:val="en-GB"/>
        </w:rPr>
        <w:t>Hmeed and others</w:t>
      </w:r>
      <w:r w:rsidRPr="00C6782C">
        <w:rPr>
          <w:i/>
          <w:lang w:val="en-GB"/>
        </w:rPr>
        <w:t xml:space="preserve"> v. </w:t>
      </w:r>
      <w:r w:rsidRPr="00C6782C">
        <w:rPr>
          <w:i/>
        </w:rPr>
        <w:t>Libya</w:t>
      </w:r>
      <w:r w:rsidRPr="00C6782C">
        <w:rPr>
          <w:lang w:val="en-GB"/>
        </w:rPr>
        <w:t xml:space="preserve">, Views adopted on </w:t>
      </w:r>
      <w:r w:rsidRPr="00033E26">
        <w:rPr>
          <w:lang w:val="en-GB"/>
        </w:rPr>
        <w:t>17 October 2014</w:t>
      </w:r>
      <w:r>
        <w:rPr>
          <w:lang w:val="en-GB"/>
        </w:rPr>
        <w:t>, para. 6.8.</w:t>
      </w:r>
    </w:p>
  </w:footnote>
  <w:footnote w:id="13">
    <w:p w14:paraId="36F4AC40" w14:textId="77777777" w:rsidR="00EA02C7" w:rsidRPr="00451259" w:rsidRDefault="00EA02C7" w:rsidP="00E77EE3">
      <w:pPr>
        <w:pStyle w:val="FootnoteText"/>
      </w:pPr>
      <w:r w:rsidRPr="00895641">
        <w:rPr>
          <w:lang w:val="en-GB"/>
        </w:rPr>
        <w:tab/>
      </w:r>
      <w:r w:rsidRPr="00B1582C">
        <w:rPr>
          <w:rStyle w:val="FootnoteReference"/>
        </w:rPr>
        <w:footnoteRef/>
      </w:r>
      <w:r w:rsidRPr="00895641">
        <w:rPr>
          <w:lang w:val="en-GB"/>
        </w:rPr>
        <w:tab/>
      </w:r>
      <w:r>
        <w:rPr>
          <w:lang w:val="en-GB"/>
        </w:rPr>
        <w:t xml:space="preserve">See </w:t>
      </w:r>
      <w:r>
        <w:t>g</w:t>
      </w:r>
      <w:r w:rsidRPr="008026E6">
        <w:t xml:space="preserve">eneral </w:t>
      </w:r>
      <w:r>
        <w:t>c</w:t>
      </w:r>
      <w:r w:rsidRPr="008026E6">
        <w:t xml:space="preserve">omment </w:t>
      </w:r>
      <w:r>
        <w:t xml:space="preserve">No. </w:t>
      </w:r>
      <w:r w:rsidRPr="008026E6">
        <w:t>18</w:t>
      </w:r>
      <w:r>
        <w:t xml:space="preserve"> (1989) on non-discrimination, para. 13,</w:t>
      </w:r>
      <w:r w:rsidRPr="008026E6">
        <w:t xml:space="preserve"> </w:t>
      </w:r>
      <w:r>
        <w:t>and c</w:t>
      </w:r>
      <w:r w:rsidRPr="00895641">
        <w:t>ommunication</w:t>
      </w:r>
      <w:r>
        <w:t xml:space="preserve"> No. 2001/2010, </w:t>
      </w:r>
      <w:r w:rsidRPr="008907B8">
        <w:rPr>
          <w:i/>
        </w:rPr>
        <w:t>Q v. Denmark</w:t>
      </w:r>
      <w:r w:rsidRPr="00451259">
        <w:t xml:space="preserve">, </w:t>
      </w:r>
      <w:r>
        <w:t>Views adopted on 1 April 2015, para. 7.3</w:t>
      </w:r>
      <w:r w:rsidRPr="00451259">
        <w:t>.</w:t>
      </w:r>
      <w:r>
        <w:t xml:space="preserve"> </w:t>
      </w:r>
    </w:p>
  </w:footnote>
  <w:footnote w:id="14">
    <w:p w14:paraId="6380F6FA" w14:textId="77777777" w:rsidR="00EA02C7" w:rsidRPr="006140FC" w:rsidRDefault="00EA02C7" w:rsidP="00E77EE3">
      <w:pPr>
        <w:pStyle w:val="FootnoteText"/>
        <w:rPr>
          <w:szCs w:val="18"/>
        </w:rPr>
      </w:pPr>
      <w:r w:rsidRPr="00895641">
        <w:rPr>
          <w:lang w:val="en-GB"/>
        </w:rPr>
        <w:tab/>
      </w:r>
      <w:r w:rsidRPr="00B1582C">
        <w:rPr>
          <w:rStyle w:val="FootnoteReference"/>
        </w:rPr>
        <w:footnoteRef/>
      </w:r>
      <w:r w:rsidRPr="00895641">
        <w:rPr>
          <w:lang w:val="en-GB"/>
        </w:rPr>
        <w:tab/>
      </w:r>
      <w:r w:rsidRPr="00E77EE3">
        <w:rPr>
          <w:lang w:val="en-GB"/>
        </w:rPr>
        <w:t xml:space="preserve">See </w:t>
      </w:r>
      <w:r w:rsidRPr="004C05A1">
        <w:t>communication</w:t>
      </w:r>
      <w:r>
        <w:t>s</w:t>
      </w:r>
      <w:r w:rsidRPr="00E77EE3">
        <w:t xml:space="preserve"> No. 919/2000, </w:t>
      </w:r>
      <w:r w:rsidRPr="00E77EE3">
        <w:rPr>
          <w:i/>
        </w:rPr>
        <w:t>Müller and Engelhard v. Namibia</w:t>
      </w:r>
      <w:r w:rsidRPr="004C05A1">
        <w:t>, Views adopted on 26 March 2002, para. 6.8, and</w:t>
      </w:r>
      <w:r w:rsidRPr="004C05A1">
        <w:rPr>
          <w:b/>
        </w:rPr>
        <w:t xml:space="preserve"> </w:t>
      </w:r>
      <w:r>
        <w:t xml:space="preserve">No. </w:t>
      </w:r>
      <w:r w:rsidRPr="00895641">
        <w:rPr>
          <w:rStyle w:val="Strong"/>
          <w:b w:val="0"/>
          <w:szCs w:val="18"/>
        </w:rPr>
        <w:t xml:space="preserve">415/1990, </w:t>
      </w:r>
      <w:r w:rsidRPr="00895641">
        <w:rPr>
          <w:rStyle w:val="Strong"/>
          <w:b w:val="0"/>
          <w:i/>
          <w:szCs w:val="18"/>
        </w:rPr>
        <w:t>Pauger v. Austria</w:t>
      </w:r>
      <w:r w:rsidRPr="00895641">
        <w:rPr>
          <w:rStyle w:val="Strong"/>
          <w:b w:val="0"/>
          <w:szCs w:val="18"/>
        </w:rPr>
        <w:t>, Views adopted on 26 March 1992</w:t>
      </w:r>
      <w:r w:rsidRPr="00033A75">
        <w:rPr>
          <w:szCs w:val="18"/>
        </w:rPr>
        <w:t xml:space="preserve">, para. </w:t>
      </w:r>
      <w:r w:rsidRPr="006140FC">
        <w:rPr>
          <w:szCs w:val="18"/>
        </w:rPr>
        <w:t>7.4.</w:t>
      </w:r>
    </w:p>
  </w:footnote>
  <w:footnote w:id="15">
    <w:p w14:paraId="658FCBF4" w14:textId="77777777" w:rsidR="00EA02C7" w:rsidRPr="006140FC" w:rsidRDefault="00EA02C7" w:rsidP="004C05A1">
      <w:pPr>
        <w:pStyle w:val="FootnoteText"/>
      </w:pPr>
      <w:r w:rsidRPr="00895641">
        <w:rPr>
          <w:lang w:val="it-IT"/>
        </w:rPr>
        <w:tab/>
      </w:r>
      <w:r w:rsidRPr="00B1582C">
        <w:rPr>
          <w:rStyle w:val="FootnoteReference"/>
        </w:rPr>
        <w:footnoteRef/>
      </w:r>
      <w:r w:rsidRPr="00895641">
        <w:rPr>
          <w:lang w:val="it-IT"/>
        </w:rPr>
        <w:tab/>
      </w:r>
      <w:r w:rsidRPr="00E77EE3">
        <w:rPr>
          <w:lang w:val="it-IT"/>
        </w:rPr>
        <w:t xml:space="preserve">See </w:t>
      </w:r>
      <w:r w:rsidRPr="00895641">
        <w:t>g</w:t>
      </w:r>
      <w:r w:rsidRPr="006140FC">
        <w:t xml:space="preserve">eneral </w:t>
      </w:r>
      <w:r w:rsidRPr="00895641">
        <w:t>c</w:t>
      </w:r>
      <w:r w:rsidRPr="006140FC">
        <w:t xml:space="preserve">omment No. 18, para. 9. </w:t>
      </w:r>
    </w:p>
  </w:footnote>
  <w:footnote w:id="16">
    <w:p w14:paraId="58904880" w14:textId="77777777" w:rsidR="00EA02C7" w:rsidRPr="00451259" w:rsidRDefault="00EA02C7" w:rsidP="004C05A1">
      <w:pPr>
        <w:pStyle w:val="FootnoteText"/>
      </w:pPr>
      <w:r w:rsidRPr="00895641">
        <w:rPr>
          <w:lang w:val="it-IT"/>
        </w:rPr>
        <w:tab/>
      </w:r>
      <w:r w:rsidRPr="00E77EE3">
        <w:rPr>
          <w:rStyle w:val="FootnoteReference"/>
        </w:rPr>
        <w:footnoteRef/>
      </w:r>
      <w:r w:rsidRPr="00895641">
        <w:rPr>
          <w:lang w:val="it-IT"/>
        </w:rPr>
        <w:tab/>
      </w:r>
      <w:r w:rsidRPr="00E77EE3">
        <w:rPr>
          <w:lang w:val="it-IT"/>
        </w:rPr>
        <w:t>See communication No. 2</w:t>
      </w:r>
      <w:r w:rsidRPr="004C05A1">
        <w:rPr>
          <w:lang w:val="it-IT"/>
        </w:rPr>
        <w:t xml:space="preserve">001/2010, </w:t>
      </w:r>
      <w:r w:rsidRPr="004C05A1">
        <w:rPr>
          <w:i/>
        </w:rPr>
        <w:t>Q v. Denmark</w:t>
      </w:r>
      <w:r w:rsidRPr="004C05A1">
        <w:t>, para. 7.5.</w:t>
      </w:r>
      <w:r>
        <w:t xml:space="preserve"> </w:t>
      </w:r>
    </w:p>
  </w:footnote>
  <w:footnote w:id="17">
    <w:p w14:paraId="323A2FD1" w14:textId="77777777" w:rsidR="00EA02C7" w:rsidRPr="00A706BD" w:rsidRDefault="00EA02C7" w:rsidP="00895641">
      <w:pPr>
        <w:pStyle w:val="FootnoteText"/>
        <w:rPr>
          <w:b/>
        </w:rPr>
      </w:pPr>
      <w:r w:rsidRPr="00895641">
        <w:rPr>
          <w:lang w:val="en-GB"/>
        </w:rPr>
        <w:tab/>
      </w:r>
      <w:r w:rsidRPr="00B1582C">
        <w:rPr>
          <w:rStyle w:val="FootnoteReference"/>
        </w:rPr>
        <w:footnoteRef/>
      </w:r>
      <w:r w:rsidRPr="00895641">
        <w:rPr>
          <w:lang w:val="en-GB"/>
        </w:rPr>
        <w:tab/>
      </w:r>
      <w:r>
        <w:rPr>
          <w:lang w:val="en-GB"/>
        </w:rPr>
        <w:t xml:space="preserve">See </w:t>
      </w:r>
      <w:r>
        <w:t xml:space="preserve">communication No. </w:t>
      </w:r>
      <w:r w:rsidRPr="00A706BD">
        <w:t>309/1998</w:t>
      </w:r>
      <w:r>
        <w:t xml:space="preserve">, </w:t>
      </w:r>
      <w:r w:rsidRPr="000B08D8">
        <w:rPr>
          <w:i/>
        </w:rPr>
        <w:t xml:space="preserve">Orihuela </w:t>
      </w:r>
      <w:r>
        <w:rPr>
          <w:i/>
        </w:rPr>
        <w:t xml:space="preserve">Valenzuela </w:t>
      </w:r>
      <w:r w:rsidRPr="000B08D8">
        <w:rPr>
          <w:i/>
        </w:rPr>
        <w:t>v. Peru</w:t>
      </w:r>
      <w:r w:rsidRPr="00A255E9">
        <w:t>,</w:t>
      </w:r>
      <w:r w:rsidRPr="00A706BD">
        <w:t xml:space="preserve"> </w:t>
      </w:r>
      <w:r>
        <w:t>Views adopted on 14 July 1993</w:t>
      </w:r>
      <w:r w:rsidRPr="00A706BD">
        <w:t xml:space="preserve">, para. 6.4 (denial of pension benefits </w:t>
      </w:r>
      <w:r>
        <w:t>based on</w:t>
      </w:r>
      <w:r w:rsidRPr="00A706BD">
        <w:t xml:space="preserve"> autho</w:t>
      </w:r>
      <w:r>
        <w:t>r’s political opinion violated a</w:t>
      </w:r>
      <w:r w:rsidRPr="00A706BD">
        <w:t xml:space="preserve">rticle 26); </w:t>
      </w:r>
      <w:r>
        <w:t xml:space="preserve">No. 314/1988, </w:t>
      </w:r>
      <w:r w:rsidRPr="000B08D8">
        <w:rPr>
          <w:i/>
        </w:rPr>
        <w:t>Chiiko Bwalya v. Zambia</w:t>
      </w:r>
      <w:r>
        <w:t>, Views adopted on 14 July 1993</w:t>
      </w:r>
      <w:r w:rsidRPr="00A706BD">
        <w:t>, para. 6.7 (interference with efforts to stand</w:t>
      </w:r>
      <w:r>
        <w:t xml:space="preserve"> for political office because of</w:t>
      </w:r>
      <w:r w:rsidRPr="00A706BD">
        <w:t xml:space="preserve"> author’s political opinion violated article 26); </w:t>
      </w:r>
      <w:r>
        <w:t xml:space="preserve">No. 468/1991, </w:t>
      </w:r>
      <w:r w:rsidRPr="000B08D8">
        <w:rPr>
          <w:i/>
        </w:rPr>
        <w:t>Oló Bahamonde v. Equatorial Guinea</w:t>
      </w:r>
      <w:r>
        <w:t>, Views adopted on 20 October 1993</w:t>
      </w:r>
      <w:r w:rsidRPr="00A706BD">
        <w:t>, para. 9.5 (</w:t>
      </w:r>
      <w:r>
        <w:t xml:space="preserve">arbitrary arrest, confiscation of passport, and other </w:t>
      </w:r>
      <w:r w:rsidRPr="00A706BD">
        <w:t>har</w:t>
      </w:r>
      <w:r>
        <w:t>assment of author because of</w:t>
      </w:r>
      <w:r w:rsidRPr="00A706BD">
        <w:t xml:space="preserve"> his political opinion violated article 26).</w:t>
      </w:r>
      <w:r>
        <w:t xml:space="preserve"> </w:t>
      </w:r>
    </w:p>
  </w:footnote>
  <w:footnote w:id="18">
    <w:p w14:paraId="7D492C2E" w14:textId="77777777" w:rsidR="00EA02C7" w:rsidRDefault="00EA02C7" w:rsidP="00DD4D57">
      <w:pPr>
        <w:pStyle w:val="FootnoteText"/>
      </w:pPr>
      <w:r w:rsidRPr="00895641">
        <w:rPr>
          <w:lang w:val="en-GB"/>
        </w:rPr>
        <w:tab/>
      </w:r>
      <w:r w:rsidRPr="00B1582C">
        <w:rPr>
          <w:rStyle w:val="FootnoteReference"/>
        </w:rPr>
        <w:footnoteRef/>
      </w:r>
      <w:r w:rsidRPr="00895641">
        <w:rPr>
          <w:lang w:val="en-GB"/>
        </w:rPr>
        <w:tab/>
      </w:r>
      <w:r>
        <w:rPr>
          <w:lang w:val="en-GB"/>
        </w:rPr>
        <w:t xml:space="preserve">See </w:t>
      </w:r>
      <w:r>
        <w:t xml:space="preserve">communication No. 1610/2007, </w:t>
      </w:r>
      <w:r w:rsidRPr="00765D99">
        <w:rPr>
          <w:i/>
        </w:rPr>
        <w:t>L.N.P. v. Argentina</w:t>
      </w:r>
      <w:r>
        <w:t>, 18 July 2011</w:t>
      </w:r>
      <w:r w:rsidRPr="00950333">
        <w:t>, para. 13.</w:t>
      </w:r>
      <w:r>
        <w:t>3; also ibid. para. 13.8 (lack of effective remedy to rape victim violated article 2 (3) in conjunction with articles 3, 7, 14 (1), 17, 24 and 26); see</w:t>
      </w:r>
      <w:r w:rsidRPr="00F23F28">
        <w:rPr>
          <w:b/>
        </w:rPr>
        <w:t xml:space="preserve"> </w:t>
      </w:r>
      <w:r>
        <w:t xml:space="preserve">communication No. </w:t>
      </w:r>
      <w:r w:rsidRPr="00895641">
        <w:rPr>
          <w:rStyle w:val="Strong"/>
          <w:b w:val="0"/>
          <w:szCs w:val="18"/>
        </w:rPr>
        <w:t>1900/2009,</w:t>
      </w:r>
      <w:r w:rsidRPr="00033A75">
        <w:rPr>
          <w:szCs w:val="18"/>
        </w:rPr>
        <w:t xml:space="preserve"> </w:t>
      </w:r>
      <w:r w:rsidRPr="00895641">
        <w:rPr>
          <w:rStyle w:val="Strong"/>
          <w:b w:val="0"/>
          <w:i/>
          <w:szCs w:val="18"/>
        </w:rPr>
        <w:t>Mehalli v. Algeria</w:t>
      </w:r>
      <w:r w:rsidRPr="00895641">
        <w:rPr>
          <w:rStyle w:val="Strong"/>
          <w:b w:val="0"/>
          <w:szCs w:val="18"/>
        </w:rPr>
        <w:t xml:space="preserve">, Views adopted on 21 March 2014, para. 7.10 (finding rape by </w:t>
      </w:r>
      <w:r>
        <w:rPr>
          <w:rStyle w:val="Strong"/>
          <w:b w:val="0"/>
          <w:szCs w:val="18"/>
        </w:rPr>
        <w:t>S</w:t>
      </w:r>
      <w:r w:rsidRPr="00895641">
        <w:rPr>
          <w:rStyle w:val="Strong"/>
          <w:b w:val="0"/>
          <w:szCs w:val="18"/>
        </w:rPr>
        <w:t>tate agents “a form of extreme gender-based violence” in the context of article 7).</w:t>
      </w:r>
    </w:p>
  </w:footnote>
  <w:footnote w:id="19">
    <w:p w14:paraId="7B30D6F2" w14:textId="77777777" w:rsidR="00EA02C7" w:rsidRPr="008026E6" w:rsidRDefault="00EA02C7" w:rsidP="004C05A1">
      <w:pPr>
        <w:pStyle w:val="FootnoteText"/>
      </w:pPr>
      <w:r w:rsidRPr="00895641">
        <w:rPr>
          <w:lang w:val="en-GB"/>
        </w:rPr>
        <w:tab/>
      </w:r>
      <w:r w:rsidRPr="00B1582C">
        <w:rPr>
          <w:rStyle w:val="FootnoteReference"/>
        </w:rPr>
        <w:footnoteRef/>
      </w:r>
      <w:r w:rsidRPr="00895641">
        <w:rPr>
          <w:lang w:val="en-GB"/>
        </w:rPr>
        <w:tab/>
      </w:r>
      <w:r>
        <w:rPr>
          <w:lang w:val="en-GB"/>
        </w:rPr>
        <w:t xml:space="preserve">See </w:t>
      </w:r>
      <w:r>
        <w:t>c</w:t>
      </w:r>
      <w:r w:rsidRPr="00895641">
        <w:t>ommunication</w:t>
      </w:r>
      <w:r>
        <w:t xml:space="preserve"> No. </w:t>
      </w:r>
      <w:r w:rsidRPr="008026E6">
        <w:t>1608</w:t>
      </w:r>
      <w:r>
        <w:t xml:space="preserve">/2007, </w:t>
      </w:r>
      <w:r w:rsidRPr="00765D99">
        <w:rPr>
          <w:i/>
        </w:rPr>
        <w:t>L.M.R. v. Argentina</w:t>
      </w:r>
      <w:r w:rsidRPr="00A255E9">
        <w:t>,</w:t>
      </w:r>
      <w:r w:rsidRPr="008026E6">
        <w:t xml:space="preserve"> </w:t>
      </w:r>
      <w:r>
        <w:t>Views adopted on 29 March 2011, para. 9.4</w:t>
      </w:r>
      <w:r w:rsidRPr="00950333">
        <w:t>.</w:t>
      </w:r>
      <w:r>
        <w:t xml:space="preserve"> </w:t>
      </w:r>
    </w:p>
  </w:footnote>
  <w:footnote w:id="20">
    <w:p w14:paraId="1BB2F408" w14:textId="77777777" w:rsidR="00EA02C7" w:rsidRPr="008026E6" w:rsidRDefault="00EA02C7" w:rsidP="004C05A1">
      <w:pPr>
        <w:pStyle w:val="FootnoteText"/>
      </w:pPr>
      <w:r w:rsidRPr="00895641">
        <w:rPr>
          <w:lang w:val="en-GB"/>
        </w:rPr>
        <w:tab/>
      </w:r>
      <w:r w:rsidRPr="00B1582C">
        <w:rPr>
          <w:rStyle w:val="FootnoteReference"/>
        </w:rPr>
        <w:footnoteRef/>
      </w:r>
      <w:r w:rsidRPr="00895641">
        <w:rPr>
          <w:lang w:val="en-GB"/>
        </w:rPr>
        <w:tab/>
      </w:r>
      <w:r>
        <w:t>See</w:t>
      </w:r>
      <w:r w:rsidRPr="008026E6">
        <w:t xml:space="preserve"> Committee</w:t>
      </w:r>
      <w:r>
        <w:t xml:space="preserve"> on the Elimination of Discrimination against Women</w:t>
      </w:r>
      <w:r w:rsidRPr="008026E6">
        <w:t xml:space="preserve">, </w:t>
      </w:r>
      <w:r>
        <w:t>g</w:t>
      </w:r>
      <w:r w:rsidRPr="008026E6">
        <w:t xml:space="preserve">eneral </w:t>
      </w:r>
      <w:r>
        <w:t>r</w:t>
      </w:r>
      <w:r w:rsidRPr="008026E6">
        <w:t xml:space="preserve">ecommendation </w:t>
      </w:r>
      <w:r>
        <w:t xml:space="preserve">No. </w:t>
      </w:r>
      <w:r w:rsidRPr="008026E6">
        <w:t xml:space="preserve">19 (1992), para. 6; </w:t>
      </w:r>
      <w:r>
        <w:t xml:space="preserve">European Court of Human Rights, </w:t>
      </w:r>
      <w:r w:rsidRPr="00765D99">
        <w:rPr>
          <w:i/>
        </w:rPr>
        <w:t>Opuz v. Turkey</w:t>
      </w:r>
      <w:r w:rsidRPr="008026E6">
        <w:t xml:space="preserve">, </w:t>
      </w:r>
      <w:r>
        <w:t>application</w:t>
      </w:r>
      <w:r w:rsidRPr="008026E6">
        <w:t xml:space="preserve"> No. 33401/02</w:t>
      </w:r>
      <w:r>
        <w:t xml:space="preserve">, judgement of </w:t>
      </w:r>
      <w:r w:rsidRPr="008026E6">
        <w:t xml:space="preserve">9 June 2009, paras. 187, 190, 202 (citing with approval jurisprudence of the Committee </w:t>
      </w:r>
      <w:r>
        <w:t xml:space="preserve"> on the Elimination of Discrimination against Women </w:t>
      </w:r>
      <w:r w:rsidRPr="008026E6">
        <w:t xml:space="preserve">and the Inter-American Commission </w:t>
      </w:r>
      <w:r>
        <w:t xml:space="preserve">on Human Rights </w:t>
      </w:r>
      <w:r w:rsidRPr="008026E6">
        <w:t xml:space="preserve">that violence against women is a form of discrimination against women, and finding the </w:t>
      </w:r>
      <w:r>
        <w:t>S</w:t>
      </w:r>
      <w:r w:rsidRPr="008026E6">
        <w:t>tate’s failure to effectively address domestic violence constituted discrimination in violation of article 14 in conjunction with article 3 of the European Convention</w:t>
      </w:r>
      <w:r>
        <w:t xml:space="preserve"> on Human Rights</w:t>
      </w:r>
      <w:r w:rsidRPr="008026E6">
        <w:t xml:space="preserve">); </w:t>
      </w:r>
      <w:r w:rsidRPr="00765D99">
        <w:rPr>
          <w:i/>
        </w:rPr>
        <w:t>Mudric v. Moldova</w:t>
      </w:r>
      <w:r w:rsidRPr="00A255E9">
        <w:t>,</w:t>
      </w:r>
      <w:r w:rsidRPr="008026E6">
        <w:t xml:space="preserve"> </w:t>
      </w:r>
      <w:r>
        <w:t>application</w:t>
      </w:r>
      <w:r w:rsidRPr="008026E6">
        <w:t xml:space="preserve"> No. 74839/10</w:t>
      </w:r>
      <w:r>
        <w:t xml:space="preserve">, judgement of 16 </w:t>
      </w:r>
      <w:r w:rsidRPr="008026E6">
        <w:t>Oct</w:t>
      </w:r>
      <w:r>
        <w:t>ober</w:t>
      </w:r>
      <w:r w:rsidRPr="008026E6">
        <w:t xml:space="preserve"> 2013, para. 64 (same)</w:t>
      </w:r>
      <w:r>
        <w:t>.</w:t>
      </w:r>
      <w:r w:rsidRPr="008026E6">
        <w:rPr>
          <w:bCs/>
        </w:rPr>
        <w:t xml:space="preserve"> </w:t>
      </w:r>
    </w:p>
  </w:footnote>
  <w:footnote w:id="21">
    <w:p w14:paraId="3B48A2F6" w14:textId="77777777" w:rsidR="00EA02C7" w:rsidRPr="008026E6" w:rsidRDefault="00EA02C7" w:rsidP="004C05A1">
      <w:pPr>
        <w:pStyle w:val="FootnoteText"/>
      </w:pPr>
      <w:r w:rsidRPr="00895641">
        <w:rPr>
          <w:lang w:val="en-GB"/>
        </w:rPr>
        <w:tab/>
      </w:r>
      <w:r w:rsidRPr="00B1582C">
        <w:rPr>
          <w:rStyle w:val="FootnoteReference"/>
        </w:rPr>
        <w:footnoteRef/>
      </w:r>
      <w:r w:rsidRPr="00895641">
        <w:rPr>
          <w:lang w:val="en-GB"/>
        </w:rPr>
        <w:tab/>
      </w:r>
      <w:r>
        <w:t>See</w:t>
      </w:r>
      <w:r w:rsidRPr="008026E6">
        <w:t xml:space="preserve"> Committee</w:t>
      </w:r>
      <w:r>
        <w:t xml:space="preserve"> on the Elimination of Discrimination against Women</w:t>
      </w:r>
      <w:r w:rsidRPr="008026E6">
        <w:t xml:space="preserve">, </w:t>
      </w:r>
      <w:r>
        <w:t>g</w:t>
      </w:r>
      <w:r w:rsidRPr="008026E6">
        <w:t xml:space="preserve">eneral </w:t>
      </w:r>
      <w:r>
        <w:t>r</w:t>
      </w:r>
      <w:r w:rsidRPr="008026E6">
        <w:t xml:space="preserve">ecommendation </w:t>
      </w:r>
      <w:r>
        <w:t xml:space="preserve">No. </w:t>
      </w:r>
      <w:r w:rsidRPr="008026E6">
        <w:t>19, para. 6.</w:t>
      </w:r>
    </w:p>
  </w:footnote>
  <w:footnote w:id="22">
    <w:p w14:paraId="6CA078DA" w14:textId="77777777" w:rsidR="00EA02C7" w:rsidRPr="008026E6" w:rsidRDefault="00EA02C7" w:rsidP="004C05A1">
      <w:pPr>
        <w:pStyle w:val="FootnoteText"/>
      </w:pPr>
      <w:r w:rsidRPr="00895641">
        <w:rPr>
          <w:lang w:val="en-GB"/>
        </w:rPr>
        <w:tab/>
      </w:r>
      <w:r w:rsidRPr="00B1582C">
        <w:rPr>
          <w:rStyle w:val="FootnoteReference"/>
        </w:rPr>
        <w:footnoteRef/>
      </w:r>
      <w:r w:rsidRPr="00895641">
        <w:rPr>
          <w:lang w:val="en-GB"/>
        </w:rPr>
        <w:tab/>
      </w:r>
      <w:r>
        <w:rPr>
          <w:lang w:val="en-GB"/>
        </w:rPr>
        <w:t xml:space="preserve">See </w:t>
      </w:r>
      <w:r w:rsidRPr="008026E6">
        <w:t>M. Freeman, C. Chinkin, and B. Rudolf, eds.</w:t>
      </w:r>
      <w:r>
        <w:t>,</w:t>
      </w:r>
      <w:r w:rsidRPr="008026E6">
        <w:t xml:space="preserve"> </w:t>
      </w:r>
      <w:r w:rsidRPr="00895641">
        <w:rPr>
          <w:i/>
          <w:iCs/>
        </w:rPr>
        <w:t>The UN Convention on the Elimination of All Forms of Discrimination Against Women: A Commentary</w:t>
      </w:r>
      <w:r w:rsidRPr="008026E6">
        <w:t xml:space="preserve"> (2012)</w:t>
      </w:r>
      <w:r>
        <w:t>, p. 452</w:t>
      </w:r>
      <w:r w:rsidRPr="008026E6">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7E5CC" w14:textId="77777777" w:rsidR="00EA02C7" w:rsidRPr="00781C83" w:rsidRDefault="00EA02C7" w:rsidP="00781C83">
    <w:pPr>
      <w:pStyle w:val="Header"/>
    </w:pPr>
    <w:r>
      <w:t>CCPR/C/114/D/2234/2013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46DB2" w14:textId="77777777" w:rsidR="00EA02C7" w:rsidRPr="00781C83" w:rsidRDefault="00EA02C7" w:rsidP="00781C83">
    <w:pPr>
      <w:pStyle w:val="Header"/>
      <w:jc w:val="right"/>
    </w:pPr>
    <w:r>
      <w:t>CCPR/C/114/D/2234/2013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37A7F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5"/>
    <w:multiLevelType w:val="multilevel"/>
    <w:tmpl w:val="B30A33F2"/>
    <w:name w:val="WW8Num12"/>
    <w:lvl w:ilvl="0">
      <w:start w:val="1"/>
      <w:numFmt w:val="decimal"/>
      <w:lvlText w:val="%1."/>
      <w:lvlJc w:val="left"/>
      <w:pPr>
        <w:tabs>
          <w:tab w:val="num" w:pos="0"/>
        </w:tabs>
        <w:ind w:left="1080" w:hanging="360"/>
      </w:pPr>
      <w:rPr>
        <w:b w:val="0"/>
        <w:i w:val="0"/>
      </w:rPr>
    </w:lvl>
    <w:lvl w:ilvl="1">
      <w:start w:val="1"/>
      <w:numFmt w:val="lowerLetter"/>
      <w:lvlText w:val="%2."/>
      <w:lvlJc w:val="left"/>
      <w:pPr>
        <w:tabs>
          <w:tab w:val="num" w:pos="0"/>
        </w:tabs>
        <w:ind w:left="1800" w:hanging="360"/>
      </w:pPr>
    </w:lvl>
    <w:lvl w:ilvl="2">
      <w:start w:val="3"/>
      <w:numFmt w:val="bullet"/>
      <w:lvlText w:val="-"/>
      <w:lvlJc w:val="left"/>
      <w:pPr>
        <w:tabs>
          <w:tab w:val="num" w:pos="0"/>
        </w:tabs>
        <w:ind w:left="2700" w:hanging="360"/>
      </w:pPr>
      <w:rPr>
        <w:rFonts w:ascii="Calibri" w:hAnsi="Calibri" w:cs="Calibri"/>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6E7E82"/>
    <w:multiLevelType w:val="hybridMultilevel"/>
    <w:tmpl w:val="1C007F74"/>
    <w:lvl w:ilvl="0" w:tplc="AD1C9C9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3AE366A4"/>
    <w:multiLevelType w:val="hybridMultilevel"/>
    <w:tmpl w:val="FCA4ABBA"/>
    <w:lvl w:ilvl="0" w:tplc="7B9A43F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5198720A"/>
    <w:multiLevelType w:val="hybridMultilevel"/>
    <w:tmpl w:val="E6E0A2AC"/>
    <w:lvl w:ilvl="0" w:tplc="FFEA5C0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3"/>
  </w:num>
  <w:num w:numId="6">
    <w:abstractNumId w:val="5"/>
  </w:num>
  <w:num w:numId="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5"/>
    <w:rsid w:val="00001C66"/>
    <w:rsid w:val="000044E2"/>
    <w:rsid w:val="00006926"/>
    <w:rsid w:val="00015DCC"/>
    <w:rsid w:val="0001627B"/>
    <w:rsid w:val="000170C3"/>
    <w:rsid w:val="00017222"/>
    <w:rsid w:val="000179E4"/>
    <w:rsid w:val="00023024"/>
    <w:rsid w:val="00024522"/>
    <w:rsid w:val="00025D41"/>
    <w:rsid w:val="0002635B"/>
    <w:rsid w:val="000272B3"/>
    <w:rsid w:val="000310AC"/>
    <w:rsid w:val="0003204D"/>
    <w:rsid w:val="0003387B"/>
    <w:rsid w:val="00033A75"/>
    <w:rsid w:val="00033CD0"/>
    <w:rsid w:val="00033E26"/>
    <w:rsid w:val="000364CB"/>
    <w:rsid w:val="00036F3F"/>
    <w:rsid w:val="000377A5"/>
    <w:rsid w:val="0004092D"/>
    <w:rsid w:val="00041994"/>
    <w:rsid w:val="00043AFA"/>
    <w:rsid w:val="00043E43"/>
    <w:rsid w:val="00044B57"/>
    <w:rsid w:val="00050F6B"/>
    <w:rsid w:val="00052602"/>
    <w:rsid w:val="0005348F"/>
    <w:rsid w:val="00054DCF"/>
    <w:rsid w:val="00055FFE"/>
    <w:rsid w:val="0005782B"/>
    <w:rsid w:val="00057E97"/>
    <w:rsid w:val="00060C3A"/>
    <w:rsid w:val="00061243"/>
    <w:rsid w:val="000630DF"/>
    <w:rsid w:val="00064022"/>
    <w:rsid w:val="00066476"/>
    <w:rsid w:val="000673A3"/>
    <w:rsid w:val="00067CCE"/>
    <w:rsid w:val="000707D1"/>
    <w:rsid w:val="00072C8C"/>
    <w:rsid w:val="000733B5"/>
    <w:rsid w:val="00080FAC"/>
    <w:rsid w:val="00081815"/>
    <w:rsid w:val="00081BF7"/>
    <w:rsid w:val="0008245C"/>
    <w:rsid w:val="000856E6"/>
    <w:rsid w:val="00090022"/>
    <w:rsid w:val="00090758"/>
    <w:rsid w:val="00091F15"/>
    <w:rsid w:val="000920F1"/>
    <w:rsid w:val="000931C0"/>
    <w:rsid w:val="00093D88"/>
    <w:rsid w:val="00095667"/>
    <w:rsid w:val="0009642A"/>
    <w:rsid w:val="000965A7"/>
    <w:rsid w:val="000970C1"/>
    <w:rsid w:val="000A29E1"/>
    <w:rsid w:val="000A2EE4"/>
    <w:rsid w:val="000A310C"/>
    <w:rsid w:val="000A5559"/>
    <w:rsid w:val="000A69CF"/>
    <w:rsid w:val="000B02C3"/>
    <w:rsid w:val="000B175B"/>
    <w:rsid w:val="000B1788"/>
    <w:rsid w:val="000B2D51"/>
    <w:rsid w:val="000B3A0F"/>
    <w:rsid w:val="000B4EF7"/>
    <w:rsid w:val="000B611E"/>
    <w:rsid w:val="000B71F4"/>
    <w:rsid w:val="000B7C66"/>
    <w:rsid w:val="000C2AB9"/>
    <w:rsid w:val="000C2C03"/>
    <w:rsid w:val="000C2D2E"/>
    <w:rsid w:val="000C2E06"/>
    <w:rsid w:val="000C3A5B"/>
    <w:rsid w:val="000C46B7"/>
    <w:rsid w:val="000C4DA0"/>
    <w:rsid w:val="000C695D"/>
    <w:rsid w:val="000D0ABB"/>
    <w:rsid w:val="000D3D17"/>
    <w:rsid w:val="000D6E0C"/>
    <w:rsid w:val="000E0415"/>
    <w:rsid w:val="000E07B1"/>
    <w:rsid w:val="000E0E8E"/>
    <w:rsid w:val="000E0F91"/>
    <w:rsid w:val="000E20F8"/>
    <w:rsid w:val="000E29B9"/>
    <w:rsid w:val="000E3240"/>
    <w:rsid w:val="000E4550"/>
    <w:rsid w:val="000E6FF9"/>
    <w:rsid w:val="000F05ED"/>
    <w:rsid w:val="000F39F9"/>
    <w:rsid w:val="000F6A6B"/>
    <w:rsid w:val="000F7E69"/>
    <w:rsid w:val="00100D67"/>
    <w:rsid w:val="00101E3B"/>
    <w:rsid w:val="00102617"/>
    <w:rsid w:val="00102FB6"/>
    <w:rsid w:val="001037D9"/>
    <w:rsid w:val="001103AA"/>
    <w:rsid w:val="00110F83"/>
    <w:rsid w:val="00112792"/>
    <w:rsid w:val="00112984"/>
    <w:rsid w:val="001133DB"/>
    <w:rsid w:val="0011580E"/>
    <w:rsid w:val="00117506"/>
    <w:rsid w:val="0011787A"/>
    <w:rsid w:val="0012067C"/>
    <w:rsid w:val="001223A2"/>
    <w:rsid w:val="00123712"/>
    <w:rsid w:val="00127E9A"/>
    <w:rsid w:val="001306DD"/>
    <w:rsid w:val="00130D48"/>
    <w:rsid w:val="0013113A"/>
    <w:rsid w:val="00131B64"/>
    <w:rsid w:val="0013235B"/>
    <w:rsid w:val="001340B3"/>
    <w:rsid w:val="0013564F"/>
    <w:rsid w:val="00136DE8"/>
    <w:rsid w:val="00137249"/>
    <w:rsid w:val="001375A9"/>
    <w:rsid w:val="00142286"/>
    <w:rsid w:val="00145275"/>
    <w:rsid w:val="00150707"/>
    <w:rsid w:val="0015464D"/>
    <w:rsid w:val="00154DA5"/>
    <w:rsid w:val="00157820"/>
    <w:rsid w:val="00161364"/>
    <w:rsid w:val="00162DB2"/>
    <w:rsid w:val="001639AD"/>
    <w:rsid w:val="00164C92"/>
    <w:rsid w:val="00165F3A"/>
    <w:rsid w:val="00166183"/>
    <w:rsid w:val="00170DDB"/>
    <w:rsid w:val="00171909"/>
    <w:rsid w:val="001721A9"/>
    <w:rsid w:val="0017277A"/>
    <w:rsid w:val="00172802"/>
    <w:rsid w:val="001739B0"/>
    <w:rsid w:val="00174528"/>
    <w:rsid w:val="001756D6"/>
    <w:rsid w:val="001758E2"/>
    <w:rsid w:val="00176D6B"/>
    <w:rsid w:val="00181F7C"/>
    <w:rsid w:val="00183968"/>
    <w:rsid w:val="001844A0"/>
    <w:rsid w:val="0018481A"/>
    <w:rsid w:val="00187E8A"/>
    <w:rsid w:val="001905FB"/>
    <w:rsid w:val="001912DB"/>
    <w:rsid w:val="00191845"/>
    <w:rsid w:val="00192AEF"/>
    <w:rsid w:val="001965C0"/>
    <w:rsid w:val="00196CDF"/>
    <w:rsid w:val="001A09DE"/>
    <w:rsid w:val="001A2C08"/>
    <w:rsid w:val="001A32CB"/>
    <w:rsid w:val="001A4429"/>
    <w:rsid w:val="001A6461"/>
    <w:rsid w:val="001A660B"/>
    <w:rsid w:val="001A6686"/>
    <w:rsid w:val="001A67B5"/>
    <w:rsid w:val="001A723C"/>
    <w:rsid w:val="001A7E43"/>
    <w:rsid w:val="001B4041"/>
    <w:rsid w:val="001B4485"/>
    <w:rsid w:val="001B4B04"/>
    <w:rsid w:val="001B5FD4"/>
    <w:rsid w:val="001B7D22"/>
    <w:rsid w:val="001C3120"/>
    <w:rsid w:val="001C4471"/>
    <w:rsid w:val="001C5BED"/>
    <w:rsid w:val="001C657F"/>
    <w:rsid w:val="001C6663"/>
    <w:rsid w:val="001C7895"/>
    <w:rsid w:val="001C7D37"/>
    <w:rsid w:val="001D0C8C"/>
    <w:rsid w:val="001D26DF"/>
    <w:rsid w:val="001D3743"/>
    <w:rsid w:val="001D3A03"/>
    <w:rsid w:val="001D6813"/>
    <w:rsid w:val="001E10EC"/>
    <w:rsid w:val="001E2B4C"/>
    <w:rsid w:val="001E336C"/>
    <w:rsid w:val="001E4617"/>
    <w:rsid w:val="001E48A9"/>
    <w:rsid w:val="001E6148"/>
    <w:rsid w:val="001E718D"/>
    <w:rsid w:val="001E7AF9"/>
    <w:rsid w:val="001F0720"/>
    <w:rsid w:val="001F0726"/>
    <w:rsid w:val="001F08A3"/>
    <w:rsid w:val="001F0F1A"/>
    <w:rsid w:val="001F1088"/>
    <w:rsid w:val="001F11EA"/>
    <w:rsid w:val="00202DA8"/>
    <w:rsid w:val="002036FB"/>
    <w:rsid w:val="002050EB"/>
    <w:rsid w:val="002069CC"/>
    <w:rsid w:val="00211E0B"/>
    <w:rsid w:val="00213E21"/>
    <w:rsid w:val="00214A37"/>
    <w:rsid w:val="00217D74"/>
    <w:rsid w:val="00220677"/>
    <w:rsid w:val="00222689"/>
    <w:rsid w:val="00224AED"/>
    <w:rsid w:val="0022501D"/>
    <w:rsid w:val="002256A1"/>
    <w:rsid w:val="00227EDC"/>
    <w:rsid w:val="0023086A"/>
    <w:rsid w:val="002314F8"/>
    <w:rsid w:val="0023210C"/>
    <w:rsid w:val="00232334"/>
    <w:rsid w:val="00233707"/>
    <w:rsid w:val="00234035"/>
    <w:rsid w:val="00234068"/>
    <w:rsid w:val="002361D0"/>
    <w:rsid w:val="00240564"/>
    <w:rsid w:val="00240F4B"/>
    <w:rsid w:val="0024115E"/>
    <w:rsid w:val="00250AD4"/>
    <w:rsid w:val="0025162E"/>
    <w:rsid w:val="0025487E"/>
    <w:rsid w:val="002633B3"/>
    <w:rsid w:val="002650C2"/>
    <w:rsid w:val="002656E9"/>
    <w:rsid w:val="00265CF8"/>
    <w:rsid w:val="00266EB7"/>
    <w:rsid w:val="00266F3D"/>
    <w:rsid w:val="00267F5F"/>
    <w:rsid w:val="00271484"/>
    <w:rsid w:val="00273B14"/>
    <w:rsid w:val="00274003"/>
    <w:rsid w:val="00281144"/>
    <w:rsid w:val="00282899"/>
    <w:rsid w:val="00283A20"/>
    <w:rsid w:val="0028489A"/>
    <w:rsid w:val="00284B32"/>
    <w:rsid w:val="002863A9"/>
    <w:rsid w:val="00286B4D"/>
    <w:rsid w:val="00291295"/>
    <w:rsid w:val="002927BC"/>
    <w:rsid w:val="00292F7D"/>
    <w:rsid w:val="0029365C"/>
    <w:rsid w:val="00293B90"/>
    <w:rsid w:val="00294573"/>
    <w:rsid w:val="00294E7A"/>
    <w:rsid w:val="002A0E62"/>
    <w:rsid w:val="002A101E"/>
    <w:rsid w:val="002A1243"/>
    <w:rsid w:val="002A3021"/>
    <w:rsid w:val="002A3CBA"/>
    <w:rsid w:val="002A4231"/>
    <w:rsid w:val="002A46F1"/>
    <w:rsid w:val="002A4B67"/>
    <w:rsid w:val="002A4FAC"/>
    <w:rsid w:val="002A5C82"/>
    <w:rsid w:val="002A728F"/>
    <w:rsid w:val="002B3B76"/>
    <w:rsid w:val="002B3F1E"/>
    <w:rsid w:val="002B483C"/>
    <w:rsid w:val="002B49FA"/>
    <w:rsid w:val="002B642C"/>
    <w:rsid w:val="002C06BA"/>
    <w:rsid w:val="002C2508"/>
    <w:rsid w:val="002C5BCD"/>
    <w:rsid w:val="002D18B7"/>
    <w:rsid w:val="002D1FCA"/>
    <w:rsid w:val="002D227C"/>
    <w:rsid w:val="002D2785"/>
    <w:rsid w:val="002D34B4"/>
    <w:rsid w:val="002D3AF5"/>
    <w:rsid w:val="002D437A"/>
    <w:rsid w:val="002D4CB1"/>
    <w:rsid w:val="002D76B1"/>
    <w:rsid w:val="002E1084"/>
    <w:rsid w:val="002E52B1"/>
    <w:rsid w:val="002E5C99"/>
    <w:rsid w:val="002E69AE"/>
    <w:rsid w:val="002F039C"/>
    <w:rsid w:val="002F1100"/>
    <w:rsid w:val="002F175C"/>
    <w:rsid w:val="002F1942"/>
    <w:rsid w:val="002F3A8E"/>
    <w:rsid w:val="002F4557"/>
    <w:rsid w:val="002F5159"/>
    <w:rsid w:val="002F582A"/>
    <w:rsid w:val="0030138D"/>
    <w:rsid w:val="00304890"/>
    <w:rsid w:val="00306124"/>
    <w:rsid w:val="00307164"/>
    <w:rsid w:val="003134AC"/>
    <w:rsid w:val="0031721B"/>
    <w:rsid w:val="00317544"/>
    <w:rsid w:val="00320E07"/>
    <w:rsid w:val="00321C15"/>
    <w:rsid w:val="0032230D"/>
    <w:rsid w:val="003229D8"/>
    <w:rsid w:val="00322F8A"/>
    <w:rsid w:val="00323632"/>
    <w:rsid w:val="00327502"/>
    <w:rsid w:val="00331F5B"/>
    <w:rsid w:val="00334972"/>
    <w:rsid w:val="0033536C"/>
    <w:rsid w:val="00335543"/>
    <w:rsid w:val="00340A69"/>
    <w:rsid w:val="00341E55"/>
    <w:rsid w:val="00345647"/>
    <w:rsid w:val="00351398"/>
    <w:rsid w:val="00352709"/>
    <w:rsid w:val="00354AA8"/>
    <w:rsid w:val="00361717"/>
    <w:rsid w:val="00361E8A"/>
    <w:rsid w:val="003623E2"/>
    <w:rsid w:val="00362487"/>
    <w:rsid w:val="00363A98"/>
    <w:rsid w:val="0036645D"/>
    <w:rsid w:val="003667AD"/>
    <w:rsid w:val="00367567"/>
    <w:rsid w:val="003705C9"/>
    <w:rsid w:val="00371095"/>
    <w:rsid w:val="00371178"/>
    <w:rsid w:val="0037301C"/>
    <w:rsid w:val="003730DD"/>
    <w:rsid w:val="0037429D"/>
    <w:rsid w:val="00375119"/>
    <w:rsid w:val="003751BB"/>
    <w:rsid w:val="00376720"/>
    <w:rsid w:val="00377828"/>
    <w:rsid w:val="003823CB"/>
    <w:rsid w:val="0038336C"/>
    <w:rsid w:val="00384F90"/>
    <w:rsid w:val="00386624"/>
    <w:rsid w:val="00387ECB"/>
    <w:rsid w:val="003903FC"/>
    <w:rsid w:val="00392947"/>
    <w:rsid w:val="0039347E"/>
    <w:rsid w:val="003942AA"/>
    <w:rsid w:val="003954DB"/>
    <w:rsid w:val="00395CEA"/>
    <w:rsid w:val="003A1602"/>
    <w:rsid w:val="003A27BE"/>
    <w:rsid w:val="003A2A0D"/>
    <w:rsid w:val="003A325A"/>
    <w:rsid w:val="003A6810"/>
    <w:rsid w:val="003A6946"/>
    <w:rsid w:val="003A6EFA"/>
    <w:rsid w:val="003A70FC"/>
    <w:rsid w:val="003A7AF2"/>
    <w:rsid w:val="003B2E07"/>
    <w:rsid w:val="003C02AB"/>
    <w:rsid w:val="003C2CC4"/>
    <w:rsid w:val="003C43D4"/>
    <w:rsid w:val="003C730E"/>
    <w:rsid w:val="003C7FC4"/>
    <w:rsid w:val="003D1C5A"/>
    <w:rsid w:val="003D1C5B"/>
    <w:rsid w:val="003D2795"/>
    <w:rsid w:val="003D3E59"/>
    <w:rsid w:val="003D4B23"/>
    <w:rsid w:val="003D52B0"/>
    <w:rsid w:val="003E09EC"/>
    <w:rsid w:val="003E1824"/>
    <w:rsid w:val="003E1C55"/>
    <w:rsid w:val="003E23F3"/>
    <w:rsid w:val="003E2BA4"/>
    <w:rsid w:val="003E4173"/>
    <w:rsid w:val="003E6A36"/>
    <w:rsid w:val="003E6F7E"/>
    <w:rsid w:val="003F0B89"/>
    <w:rsid w:val="003F1902"/>
    <w:rsid w:val="003F2014"/>
    <w:rsid w:val="00401D94"/>
    <w:rsid w:val="00405473"/>
    <w:rsid w:val="004058EB"/>
    <w:rsid w:val="00406AFE"/>
    <w:rsid w:val="00410104"/>
    <w:rsid w:val="00410C89"/>
    <w:rsid w:val="00414931"/>
    <w:rsid w:val="00414B35"/>
    <w:rsid w:val="00414F92"/>
    <w:rsid w:val="00415D65"/>
    <w:rsid w:val="00417616"/>
    <w:rsid w:val="004204BA"/>
    <w:rsid w:val="004227C0"/>
    <w:rsid w:val="00423A59"/>
    <w:rsid w:val="00426B9B"/>
    <w:rsid w:val="0043003F"/>
    <w:rsid w:val="00431396"/>
    <w:rsid w:val="004325CB"/>
    <w:rsid w:val="00432F62"/>
    <w:rsid w:val="004333A8"/>
    <w:rsid w:val="00436B33"/>
    <w:rsid w:val="00436E7E"/>
    <w:rsid w:val="00437253"/>
    <w:rsid w:val="00442A83"/>
    <w:rsid w:val="00442C9D"/>
    <w:rsid w:val="00442EB6"/>
    <w:rsid w:val="0044554D"/>
    <w:rsid w:val="00445A57"/>
    <w:rsid w:val="00446ABC"/>
    <w:rsid w:val="00450D0E"/>
    <w:rsid w:val="0045285D"/>
    <w:rsid w:val="0045495B"/>
    <w:rsid w:val="004551B2"/>
    <w:rsid w:val="00455C43"/>
    <w:rsid w:val="00456F29"/>
    <w:rsid w:val="00457AE0"/>
    <w:rsid w:val="004607BF"/>
    <w:rsid w:val="0046115E"/>
    <w:rsid w:val="00464446"/>
    <w:rsid w:val="004653C7"/>
    <w:rsid w:val="00466B4C"/>
    <w:rsid w:val="00466FA4"/>
    <w:rsid w:val="00467A53"/>
    <w:rsid w:val="0047173A"/>
    <w:rsid w:val="00473963"/>
    <w:rsid w:val="00475C26"/>
    <w:rsid w:val="00476073"/>
    <w:rsid w:val="004766BC"/>
    <w:rsid w:val="00481CB1"/>
    <w:rsid w:val="00486AEF"/>
    <w:rsid w:val="00487488"/>
    <w:rsid w:val="00487FB8"/>
    <w:rsid w:val="0049219B"/>
    <w:rsid w:val="00492FCD"/>
    <w:rsid w:val="0049418F"/>
    <w:rsid w:val="00495A34"/>
    <w:rsid w:val="00497CBC"/>
    <w:rsid w:val="004A2789"/>
    <w:rsid w:val="004A28A7"/>
    <w:rsid w:val="004A4E95"/>
    <w:rsid w:val="004B714B"/>
    <w:rsid w:val="004C05A1"/>
    <w:rsid w:val="004C290E"/>
    <w:rsid w:val="004C55DD"/>
    <w:rsid w:val="004D0446"/>
    <w:rsid w:val="004D2281"/>
    <w:rsid w:val="004D5BD1"/>
    <w:rsid w:val="004D7DA5"/>
    <w:rsid w:val="004E01F0"/>
    <w:rsid w:val="004E15CC"/>
    <w:rsid w:val="004F1D45"/>
    <w:rsid w:val="004F364F"/>
    <w:rsid w:val="004F5078"/>
    <w:rsid w:val="004F56B6"/>
    <w:rsid w:val="004F60D1"/>
    <w:rsid w:val="0050328D"/>
    <w:rsid w:val="00505D08"/>
    <w:rsid w:val="0050746D"/>
    <w:rsid w:val="0050774D"/>
    <w:rsid w:val="005105B9"/>
    <w:rsid w:val="005119E0"/>
    <w:rsid w:val="005125F0"/>
    <w:rsid w:val="005167F1"/>
    <w:rsid w:val="00520400"/>
    <w:rsid w:val="0052136D"/>
    <w:rsid w:val="005232E6"/>
    <w:rsid w:val="00525395"/>
    <w:rsid w:val="0052775E"/>
    <w:rsid w:val="00533FA3"/>
    <w:rsid w:val="0053582A"/>
    <w:rsid w:val="005409DC"/>
    <w:rsid w:val="00540F02"/>
    <w:rsid w:val="0054109A"/>
    <w:rsid w:val="0054150C"/>
    <w:rsid w:val="00541862"/>
    <w:rsid w:val="005420F2"/>
    <w:rsid w:val="005427CE"/>
    <w:rsid w:val="0054473C"/>
    <w:rsid w:val="00546665"/>
    <w:rsid w:val="005509CD"/>
    <w:rsid w:val="00550D3B"/>
    <w:rsid w:val="00555470"/>
    <w:rsid w:val="00557D58"/>
    <w:rsid w:val="00560BA5"/>
    <w:rsid w:val="00561B68"/>
    <w:rsid w:val="005628B6"/>
    <w:rsid w:val="005640D1"/>
    <w:rsid w:val="00564714"/>
    <w:rsid w:val="00565BE7"/>
    <w:rsid w:val="0056624F"/>
    <w:rsid w:val="005722B3"/>
    <w:rsid w:val="00572DE0"/>
    <w:rsid w:val="0057585A"/>
    <w:rsid w:val="00575BA3"/>
    <w:rsid w:val="00577E84"/>
    <w:rsid w:val="005848B3"/>
    <w:rsid w:val="00587429"/>
    <w:rsid w:val="0059077D"/>
    <w:rsid w:val="00590F87"/>
    <w:rsid w:val="00592C4A"/>
    <w:rsid w:val="005A0415"/>
    <w:rsid w:val="005A2ACD"/>
    <w:rsid w:val="005A307B"/>
    <w:rsid w:val="005A3A00"/>
    <w:rsid w:val="005B09AE"/>
    <w:rsid w:val="005B15AD"/>
    <w:rsid w:val="005B1604"/>
    <w:rsid w:val="005B38A5"/>
    <w:rsid w:val="005B3DB3"/>
    <w:rsid w:val="005B4F61"/>
    <w:rsid w:val="005B6047"/>
    <w:rsid w:val="005B7BA5"/>
    <w:rsid w:val="005C11C1"/>
    <w:rsid w:val="005C176E"/>
    <w:rsid w:val="005C1C11"/>
    <w:rsid w:val="005C2131"/>
    <w:rsid w:val="005C223E"/>
    <w:rsid w:val="005C3266"/>
    <w:rsid w:val="005C413D"/>
    <w:rsid w:val="005C4A9E"/>
    <w:rsid w:val="005C5103"/>
    <w:rsid w:val="005D0679"/>
    <w:rsid w:val="005D5721"/>
    <w:rsid w:val="005D5AF5"/>
    <w:rsid w:val="005D7CB5"/>
    <w:rsid w:val="005E021C"/>
    <w:rsid w:val="005E1626"/>
    <w:rsid w:val="005E2F71"/>
    <w:rsid w:val="005E5238"/>
    <w:rsid w:val="005E5805"/>
    <w:rsid w:val="005E77C5"/>
    <w:rsid w:val="005E783D"/>
    <w:rsid w:val="005F386A"/>
    <w:rsid w:val="005F4AA0"/>
    <w:rsid w:val="005F5699"/>
    <w:rsid w:val="005F7717"/>
    <w:rsid w:val="005F7B75"/>
    <w:rsid w:val="005F7F93"/>
    <w:rsid w:val="006001B0"/>
    <w:rsid w:val="006001EE"/>
    <w:rsid w:val="00600471"/>
    <w:rsid w:val="006011C4"/>
    <w:rsid w:val="00602A0F"/>
    <w:rsid w:val="00605042"/>
    <w:rsid w:val="00607BC1"/>
    <w:rsid w:val="006108E0"/>
    <w:rsid w:val="00611FC4"/>
    <w:rsid w:val="00612F02"/>
    <w:rsid w:val="00613FE0"/>
    <w:rsid w:val="006140FC"/>
    <w:rsid w:val="006148AF"/>
    <w:rsid w:val="00614DB8"/>
    <w:rsid w:val="006160CB"/>
    <w:rsid w:val="006176FB"/>
    <w:rsid w:val="006239C9"/>
    <w:rsid w:val="00623CE0"/>
    <w:rsid w:val="00623FD3"/>
    <w:rsid w:val="0062462D"/>
    <w:rsid w:val="00624962"/>
    <w:rsid w:val="0062630E"/>
    <w:rsid w:val="006274AD"/>
    <w:rsid w:val="00627FB0"/>
    <w:rsid w:val="00631C31"/>
    <w:rsid w:val="00632E25"/>
    <w:rsid w:val="0063379B"/>
    <w:rsid w:val="00635F28"/>
    <w:rsid w:val="00640B26"/>
    <w:rsid w:val="00640C76"/>
    <w:rsid w:val="00640CEB"/>
    <w:rsid w:val="0064467B"/>
    <w:rsid w:val="00645379"/>
    <w:rsid w:val="00645949"/>
    <w:rsid w:val="006507CD"/>
    <w:rsid w:val="0065298C"/>
    <w:rsid w:val="00652D0A"/>
    <w:rsid w:val="00653DBF"/>
    <w:rsid w:val="00654447"/>
    <w:rsid w:val="0066030E"/>
    <w:rsid w:val="00660559"/>
    <w:rsid w:val="00662018"/>
    <w:rsid w:val="00662BB6"/>
    <w:rsid w:val="00662E17"/>
    <w:rsid w:val="00663625"/>
    <w:rsid w:val="0066379C"/>
    <w:rsid w:val="006637A4"/>
    <w:rsid w:val="00665080"/>
    <w:rsid w:val="00671948"/>
    <w:rsid w:val="00672110"/>
    <w:rsid w:val="006743E9"/>
    <w:rsid w:val="00674B0A"/>
    <w:rsid w:val="00674D65"/>
    <w:rsid w:val="0068070D"/>
    <w:rsid w:val="00681702"/>
    <w:rsid w:val="00682284"/>
    <w:rsid w:val="006838C8"/>
    <w:rsid w:val="00684B7A"/>
    <w:rsid w:val="00684C21"/>
    <w:rsid w:val="00685FA6"/>
    <w:rsid w:val="0068743C"/>
    <w:rsid w:val="00692BBE"/>
    <w:rsid w:val="00693D20"/>
    <w:rsid w:val="00694AE6"/>
    <w:rsid w:val="006954C6"/>
    <w:rsid w:val="00695991"/>
    <w:rsid w:val="0069763E"/>
    <w:rsid w:val="00697F3E"/>
    <w:rsid w:val="006A2387"/>
    <w:rsid w:val="006A72D5"/>
    <w:rsid w:val="006B346D"/>
    <w:rsid w:val="006B4FA2"/>
    <w:rsid w:val="006B58E5"/>
    <w:rsid w:val="006B635A"/>
    <w:rsid w:val="006C0435"/>
    <w:rsid w:val="006C05C1"/>
    <w:rsid w:val="006C3AD1"/>
    <w:rsid w:val="006C65A6"/>
    <w:rsid w:val="006D37AF"/>
    <w:rsid w:val="006D51D0"/>
    <w:rsid w:val="006D53C0"/>
    <w:rsid w:val="006D5457"/>
    <w:rsid w:val="006E0D15"/>
    <w:rsid w:val="006E212F"/>
    <w:rsid w:val="006E564B"/>
    <w:rsid w:val="006E5A29"/>
    <w:rsid w:val="006E7191"/>
    <w:rsid w:val="006E7196"/>
    <w:rsid w:val="006F0575"/>
    <w:rsid w:val="006F0A17"/>
    <w:rsid w:val="006F0C14"/>
    <w:rsid w:val="006F30DF"/>
    <w:rsid w:val="006F354D"/>
    <w:rsid w:val="006F464F"/>
    <w:rsid w:val="006F52C5"/>
    <w:rsid w:val="006F6515"/>
    <w:rsid w:val="00703577"/>
    <w:rsid w:val="00705625"/>
    <w:rsid w:val="00706988"/>
    <w:rsid w:val="00710347"/>
    <w:rsid w:val="0071085C"/>
    <w:rsid w:val="00710CB8"/>
    <w:rsid w:val="0071171F"/>
    <w:rsid w:val="00711D4B"/>
    <w:rsid w:val="00711F00"/>
    <w:rsid w:val="00713C74"/>
    <w:rsid w:val="00714310"/>
    <w:rsid w:val="00715DDD"/>
    <w:rsid w:val="00716AF5"/>
    <w:rsid w:val="00716EC7"/>
    <w:rsid w:val="00717ADC"/>
    <w:rsid w:val="00721C35"/>
    <w:rsid w:val="0072328C"/>
    <w:rsid w:val="00724AC6"/>
    <w:rsid w:val="0072632A"/>
    <w:rsid w:val="00726A48"/>
    <w:rsid w:val="00727C31"/>
    <w:rsid w:val="007327D5"/>
    <w:rsid w:val="007343E4"/>
    <w:rsid w:val="00734ABE"/>
    <w:rsid w:val="00735650"/>
    <w:rsid w:val="00735CA1"/>
    <w:rsid w:val="00735F4E"/>
    <w:rsid w:val="00736EAD"/>
    <w:rsid w:val="00742421"/>
    <w:rsid w:val="007435F7"/>
    <w:rsid w:val="00743AC0"/>
    <w:rsid w:val="00744227"/>
    <w:rsid w:val="007449A6"/>
    <w:rsid w:val="00746750"/>
    <w:rsid w:val="00746D61"/>
    <w:rsid w:val="007509EB"/>
    <w:rsid w:val="00750FC5"/>
    <w:rsid w:val="00751E20"/>
    <w:rsid w:val="0075299A"/>
    <w:rsid w:val="0075395D"/>
    <w:rsid w:val="007568A7"/>
    <w:rsid w:val="00760B80"/>
    <w:rsid w:val="00762878"/>
    <w:rsid w:val="00762922"/>
    <w:rsid w:val="007629C8"/>
    <w:rsid w:val="00762E39"/>
    <w:rsid w:val="007635DF"/>
    <w:rsid w:val="00764972"/>
    <w:rsid w:val="007661CD"/>
    <w:rsid w:val="00770F3B"/>
    <w:rsid w:val="007734FC"/>
    <w:rsid w:val="007740F1"/>
    <w:rsid w:val="00776E5E"/>
    <w:rsid w:val="00777322"/>
    <w:rsid w:val="00780E68"/>
    <w:rsid w:val="00781C83"/>
    <w:rsid w:val="0078300D"/>
    <w:rsid w:val="00785DB2"/>
    <w:rsid w:val="0078601B"/>
    <w:rsid w:val="0078676D"/>
    <w:rsid w:val="0078730E"/>
    <w:rsid w:val="00787E5D"/>
    <w:rsid w:val="0079034E"/>
    <w:rsid w:val="00792116"/>
    <w:rsid w:val="0079681E"/>
    <w:rsid w:val="007A212F"/>
    <w:rsid w:val="007A36C9"/>
    <w:rsid w:val="007B1EA6"/>
    <w:rsid w:val="007B3302"/>
    <w:rsid w:val="007B412F"/>
    <w:rsid w:val="007B41DA"/>
    <w:rsid w:val="007B4240"/>
    <w:rsid w:val="007B6BA5"/>
    <w:rsid w:val="007C1241"/>
    <w:rsid w:val="007C3390"/>
    <w:rsid w:val="007C3FFB"/>
    <w:rsid w:val="007C4257"/>
    <w:rsid w:val="007C4F4B"/>
    <w:rsid w:val="007C55BE"/>
    <w:rsid w:val="007C784F"/>
    <w:rsid w:val="007D00CF"/>
    <w:rsid w:val="007D2684"/>
    <w:rsid w:val="007D564F"/>
    <w:rsid w:val="007D63A5"/>
    <w:rsid w:val="007E0B2D"/>
    <w:rsid w:val="007E0ED5"/>
    <w:rsid w:val="007E4594"/>
    <w:rsid w:val="007E4BBE"/>
    <w:rsid w:val="007E4E76"/>
    <w:rsid w:val="007E533F"/>
    <w:rsid w:val="007E5EA4"/>
    <w:rsid w:val="007F098E"/>
    <w:rsid w:val="007F12FC"/>
    <w:rsid w:val="007F167F"/>
    <w:rsid w:val="007F2D0D"/>
    <w:rsid w:val="007F3A2C"/>
    <w:rsid w:val="007F4853"/>
    <w:rsid w:val="007F6611"/>
    <w:rsid w:val="007F6F8C"/>
    <w:rsid w:val="0080006D"/>
    <w:rsid w:val="008040C7"/>
    <w:rsid w:val="0081043C"/>
    <w:rsid w:val="008105B8"/>
    <w:rsid w:val="00811D06"/>
    <w:rsid w:val="00811F6E"/>
    <w:rsid w:val="008123D2"/>
    <w:rsid w:val="00812971"/>
    <w:rsid w:val="00813327"/>
    <w:rsid w:val="008146B2"/>
    <w:rsid w:val="00816972"/>
    <w:rsid w:val="00816E23"/>
    <w:rsid w:val="00816EE0"/>
    <w:rsid w:val="00817A02"/>
    <w:rsid w:val="008216A5"/>
    <w:rsid w:val="00821A8D"/>
    <w:rsid w:val="00822BE0"/>
    <w:rsid w:val="008242D7"/>
    <w:rsid w:val="00824C73"/>
    <w:rsid w:val="00824FE2"/>
    <w:rsid w:val="00825659"/>
    <w:rsid w:val="008257B1"/>
    <w:rsid w:val="00825B68"/>
    <w:rsid w:val="00830FF4"/>
    <w:rsid w:val="0083185A"/>
    <w:rsid w:val="008327C3"/>
    <w:rsid w:val="00833370"/>
    <w:rsid w:val="008335F5"/>
    <w:rsid w:val="008379A8"/>
    <w:rsid w:val="0084033C"/>
    <w:rsid w:val="008406D2"/>
    <w:rsid w:val="0084126F"/>
    <w:rsid w:val="00843767"/>
    <w:rsid w:val="00846666"/>
    <w:rsid w:val="00847731"/>
    <w:rsid w:val="00847B18"/>
    <w:rsid w:val="00851F2A"/>
    <w:rsid w:val="00856840"/>
    <w:rsid w:val="00856F01"/>
    <w:rsid w:val="008570A9"/>
    <w:rsid w:val="00861599"/>
    <w:rsid w:val="00864797"/>
    <w:rsid w:val="008655A1"/>
    <w:rsid w:val="008679D9"/>
    <w:rsid w:val="00871051"/>
    <w:rsid w:val="00871750"/>
    <w:rsid w:val="00872F86"/>
    <w:rsid w:val="008730D5"/>
    <w:rsid w:val="0087334D"/>
    <w:rsid w:val="00875F71"/>
    <w:rsid w:val="00875FE5"/>
    <w:rsid w:val="00880AF2"/>
    <w:rsid w:val="00883BBF"/>
    <w:rsid w:val="0088447F"/>
    <w:rsid w:val="00884FCB"/>
    <w:rsid w:val="0088518D"/>
    <w:rsid w:val="0088719B"/>
    <w:rsid w:val="00891792"/>
    <w:rsid w:val="00891C2B"/>
    <w:rsid w:val="00894F53"/>
    <w:rsid w:val="00895641"/>
    <w:rsid w:val="00896597"/>
    <w:rsid w:val="008979B1"/>
    <w:rsid w:val="00897F0A"/>
    <w:rsid w:val="008A09B5"/>
    <w:rsid w:val="008A1DB2"/>
    <w:rsid w:val="008A4B12"/>
    <w:rsid w:val="008A6B25"/>
    <w:rsid w:val="008A6C4F"/>
    <w:rsid w:val="008A735D"/>
    <w:rsid w:val="008B012F"/>
    <w:rsid w:val="008B2335"/>
    <w:rsid w:val="008B629E"/>
    <w:rsid w:val="008C0D17"/>
    <w:rsid w:val="008C205D"/>
    <w:rsid w:val="008C22CC"/>
    <w:rsid w:val="008C3223"/>
    <w:rsid w:val="008C3294"/>
    <w:rsid w:val="008C43B2"/>
    <w:rsid w:val="008C4B5A"/>
    <w:rsid w:val="008C4EDC"/>
    <w:rsid w:val="008C4F79"/>
    <w:rsid w:val="008C6E58"/>
    <w:rsid w:val="008C77CB"/>
    <w:rsid w:val="008D0C03"/>
    <w:rsid w:val="008D1459"/>
    <w:rsid w:val="008D1908"/>
    <w:rsid w:val="008D299D"/>
    <w:rsid w:val="008D2A46"/>
    <w:rsid w:val="008D6530"/>
    <w:rsid w:val="008E0678"/>
    <w:rsid w:val="008E0CFD"/>
    <w:rsid w:val="008E1BA8"/>
    <w:rsid w:val="008E20C8"/>
    <w:rsid w:val="008E46DF"/>
    <w:rsid w:val="008E4C4F"/>
    <w:rsid w:val="008E5A83"/>
    <w:rsid w:val="008E5FF6"/>
    <w:rsid w:val="008E6067"/>
    <w:rsid w:val="008F0336"/>
    <w:rsid w:val="008F0E3C"/>
    <w:rsid w:val="008F16E4"/>
    <w:rsid w:val="008F1FA8"/>
    <w:rsid w:val="008F2304"/>
    <w:rsid w:val="008F6145"/>
    <w:rsid w:val="00900036"/>
    <w:rsid w:val="009002FE"/>
    <w:rsid w:val="00903876"/>
    <w:rsid w:val="009062A7"/>
    <w:rsid w:val="0090637F"/>
    <w:rsid w:val="00910F40"/>
    <w:rsid w:val="00912C08"/>
    <w:rsid w:val="00913616"/>
    <w:rsid w:val="0091377B"/>
    <w:rsid w:val="00921628"/>
    <w:rsid w:val="009223CA"/>
    <w:rsid w:val="00926C4D"/>
    <w:rsid w:val="00927C4F"/>
    <w:rsid w:val="00930548"/>
    <w:rsid w:val="009377CE"/>
    <w:rsid w:val="00937F60"/>
    <w:rsid w:val="0094095A"/>
    <w:rsid w:val="00940F93"/>
    <w:rsid w:val="00946696"/>
    <w:rsid w:val="00946C5A"/>
    <w:rsid w:val="00951EAC"/>
    <w:rsid w:val="00952904"/>
    <w:rsid w:val="0095347F"/>
    <w:rsid w:val="009568BE"/>
    <w:rsid w:val="0096073F"/>
    <w:rsid w:val="00960911"/>
    <w:rsid w:val="009633D7"/>
    <w:rsid w:val="00967F59"/>
    <w:rsid w:val="009701C4"/>
    <w:rsid w:val="00972C38"/>
    <w:rsid w:val="009735A8"/>
    <w:rsid w:val="00973F26"/>
    <w:rsid w:val="0097458B"/>
    <w:rsid w:val="00974EF5"/>
    <w:rsid w:val="009760F3"/>
    <w:rsid w:val="009762BE"/>
    <w:rsid w:val="009779EA"/>
    <w:rsid w:val="009800FA"/>
    <w:rsid w:val="00980EA8"/>
    <w:rsid w:val="009817F4"/>
    <w:rsid w:val="0098485D"/>
    <w:rsid w:val="0098664A"/>
    <w:rsid w:val="009873ED"/>
    <w:rsid w:val="009909F5"/>
    <w:rsid w:val="00990FCA"/>
    <w:rsid w:val="00994D7E"/>
    <w:rsid w:val="0099515D"/>
    <w:rsid w:val="00996FA4"/>
    <w:rsid w:val="009A0E8D"/>
    <w:rsid w:val="009A19F8"/>
    <w:rsid w:val="009A6AC4"/>
    <w:rsid w:val="009B0FC5"/>
    <w:rsid w:val="009B26E7"/>
    <w:rsid w:val="009B68D1"/>
    <w:rsid w:val="009C15C4"/>
    <w:rsid w:val="009C162C"/>
    <w:rsid w:val="009C3FF1"/>
    <w:rsid w:val="009C4FB2"/>
    <w:rsid w:val="009C52A4"/>
    <w:rsid w:val="009C60EB"/>
    <w:rsid w:val="009C6DFE"/>
    <w:rsid w:val="009D0D76"/>
    <w:rsid w:val="009D1E8D"/>
    <w:rsid w:val="009D6BC8"/>
    <w:rsid w:val="009E2E68"/>
    <w:rsid w:val="009E2F54"/>
    <w:rsid w:val="009E7D26"/>
    <w:rsid w:val="009F03D3"/>
    <w:rsid w:val="009F2AC1"/>
    <w:rsid w:val="009F2E0B"/>
    <w:rsid w:val="009F5182"/>
    <w:rsid w:val="009F7636"/>
    <w:rsid w:val="00A00A3F"/>
    <w:rsid w:val="00A01489"/>
    <w:rsid w:val="00A018AB"/>
    <w:rsid w:val="00A03ED0"/>
    <w:rsid w:val="00A04E07"/>
    <w:rsid w:val="00A06DB2"/>
    <w:rsid w:val="00A11325"/>
    <w:rsid w:val="00A2016E"/>
    <w:rsid w:val="00A206FC"/>
    <w:rsid w:val="00A230A0"/>
    <w:rsid w:val="00A232DB"/>
    <w:rsid w:val="00A23946"/>
    <w:rsid w:val="00A2791D"/>
    <w:rsid w:val="00A30C35"/>
    <w:rsid w:val="00A31B81"/>
    <w:rsid w:val="00A338F1"/>
    <w:rsid w:val="00A33C96"/>
    <w:rsid w:val="00A343D0"/>
    <w:rsid w:val="00A34CFF"/>
    <w:rsid w:val="00A35831"/>
    <w:rsid w:val="00A377A8"/>
    <w:rsid w:val="00A4142F"/>
    <w:rsid w:val="00A41A5C"/>
    <w:rsid w:val="00A42B98"/>
    <w:rsid w:val="00A442AD"/>
    <w:rsid w:val="00A44487"/>
    <w:rsid w:val="00A44615"/>
    <w:rsid w:val="00A447CC"/>
    <w:rsid w:val="00A4728C"/>
    <w:rsid w:val="00A47874"/>
    <w:rsid w:val="00A52FFA"/>
    <w:rsid w:val="00A55416"/>
    <w:rsid w:val="00A56EAF"/>
    <w:rsid w:val="00A647C7"/>
    <w:rsid w:val="00A65032"/>
    <w:rsid w:val="00A67FA9"/>
    <w:rsid w:val="00A70EA1"/>
    <w:rsid w:val="00A72C70"/>
    <w:rsid w:val="00A72F22"/>
    <w:rsid w:val="00A735D2"/>
    <w:rsid w:val="00A7360F"/>
    <w:rsid w:val="00A748A6"/>
    <w:rsid w:val="00A75355"/>
    <w:rsid w:val="00A76648"/>
    <w:rsid w:val="00A769F4"/>
    <w:rsid w:val="00A776B4"/>
    <w:rsid w:val="00A777C5"/>
    <w:rsid w:val="00A777CF"/>
    <w:rsid w:val="00A81D4E"/>
    <w:rsid w:val="00A85EA0"/>
    <w:rsid w:val="00A9008E"/>
    <w:rsid w:val="00A90CE5"/>
    <w:rsid w:val="00A91A32"/>
    <w:rsid w:val="00A94361"/>
    <w:rsid w:val="00A95FBA"/>
    <w:rsid w:val="00A96BCF"/>
    <w:rsid w:val="00AA20DC"/>
    <w:rsid w:val="00AA293C"/>
    <w:rsid w:val="00AA2D0D"/>
    <w:rsid w:val="00AA56FB"/>
    <w:rsid w:val="00AA672A"/>
    <w:rsid w:val="00AA6FA4"/>
    <w:rsid w:val="00AB0648"/>
    <w:rsid w:val="00AB19FA"/>
    <w:rsid w:val="00AB2855"/>
    <w:rsid w:val="00AB45A3"/>
    <w:rsid w:val="00AB4CA5"/>
    <w:rsid w:val="00AB5490"/>
    <w:rsid w:val="00AC2036"/>
    <w:rsid w:val="00AC4B52"/>
    <w:rsid w:val="00AC4D9A"/>
    <w:rsid w:val="00AC505B"/>
    <w:rsid w:val="00AC6407"/>
    <w:rsid w:val="00AC6A0A"/>
    <w:rsid w:val="00AD20B5"/>
    <w:rsid w:val="00AD46B8"/>
    <w:rsid w:val="00AE036A"/>
    <w:rsid w:val="00AE0806"/>
    <w:rsid w:val="00AE1CFF"/>
    <w:rsid w:val="00AE3A93"/>
    <w:rsid w:val="00AE4730"/>
    <w:rsid w:val="00AE50CE"/>
    <w:rsid w:val="00AE55CB"/>
    <w:rsid w:val="00AE673B"/>
    <w:rsid w:val="00AF0BB7"/>
    <w:rsid w:val="00AF1A44"/>
    <w:rsid w:val="00AF3148"/>
    <w:rsid w:val="00AF34D9"/>
    <w:rsid w:val="00AF5CCF"/>
    <w:rsid w:val="00AF7286"/>
    <w:rsid w:val="00AF7A28"/>
    <w:rsid w:val="00B03884"/>
    <w:rsid w:val="00B04543"/>
    <w:rsid w:val="00B10640"/>
    <w:rsid w:val="00B1156E"/>
    <w:rsid w:val="00B11BC2"/>
    <w:rsid w:val="00B13E9B"/>
    <w:rsid w:val="00B140C8"/>
    <w:rsid w:val="00B1582C"/>
    <w:rsid w:val="00B16852"/>
    <w:rsid w:val="00B174D5"/>
    <w:rsid w:val="00B2280C"/>
    <w:rsid w:val="00B23D94"/>
    <w:rsid w:val="00B24BC3"/>
    <w:rsid w:val="00B25D3D"/>
    <w:rsid w:val="00B2683D"/>
    <w:rsid w:val="00B279EE"/>
    <w:rsid w:val="00B30179"/>
    <w:rsid w:val="00B339A7"/>
    <w:rsid w:val="00B33ABD"/>
    <w:rsid w:val="00B36452"/>
    <w:rsid w:val="00B41A37"/>
    <w:rsid w:val="00B41ACB"/>
    <w:rsid w:val="00B42976"/>
    <w:rsid w:val="00B46514"/>
    <w:rsid w:val="00B467BE"/>
    <w:rsid w:val="00B46DF7"/>
    <w:rsid w:val="00B47DB8"/>
    <w:rsid w:val="00B503FD"/>
    <w:rsid w:val="00B53ECC"/>
    <w:rsid w:val="00B541DB"/>
    <w:rsid w:val="00B55522"/>
    <w:rsid w:val="00B56C60"/>
    <w:rsid w:val="00B56E4A"/>
    <w:rsid w:val="00B56E9C"/>
    <w:rsid w:val="00B60748"/>
    <w:rsid w:val="00B6117E"/>
    <w:rsid w:val="00B623B9"/>
    <w:rsid w:val="00B63B05"/>
    <w:rsid w:val="00B64AFF"/>
    <w:rsid w:val="00B64B1F"/>
    <w:rsid w:val="00B6524C"/>
    <w:rsid w:val="00B6553F"/>
    <w:rsid w:val="00B66712"/>
    <w:rsid w:val="00B66E5E"/>
    <w:rsid w:val="00B67CC5"/>
    <w:rsid w:val="00B7157E"/>
    <w:rsid w:val="00B72D97"/>
    <w:rsid w:val="00B73D70"/>
    <w:rsid w:val="00B76950"/>
    <w:rsid w:val="00B77D05"/>
    <w:rsid w:val="00B8054D"/>
    <w:rsid w:val="00B81206"/>
    <w:rsid w:val="00B816EE"/>
    <w:rsid w:val="00B8190A"/>
    <w:rsid w:val="00B81E12"/>
    <w:rsid w:val="00B85756"/>
    <w:rsid w:val="00B85AF8"/>
    <w:rsid w:val="00B86C63"/>
    <w:rsid w:val="00B9067B"/>
    <w:rsid w:val="00B915E0"/>
    <w:rsid w:val="00B9170F"/>
    <w:rsid w:val="00B94491"/>
    <w:rsid w:val="00B95A99"/>
    <w:rsid w:val="00B96623"/>
    <w:rsid w:val="00B966E9"/>
    <w:rsid w:val="00B968B5"/>
    <w:rsid w:val="00B97074"/>
    <w:rsid w:val="00B97AFE"/>
    <w:rsid w:val="00BA0869"/>
    <w:rsid w:val="00BA1DB8"/>
    <w:rsid w:val="00BA1EDE"/>
    <w:rsid w:val="00BA434C"/>
    <w:rsid w:val="00BA56E6"/>
    <w:rsid w:val="00BA5934"/>
    <w:rsid w:val="00BA5BF4"/>
    <w:rsid w:val="00BA6DFA"/>
    <w:rsid w:val="00BB0F35"/>
    <w:rsid w:val="00BB22D5"/>
    <w:rsid w:val="00BB3EDD"/>
    <w:rsid w:val="00BB6283"/>
    <w:rsid w:val="00BB6B3E"/>
    <w:rsid w:val="00BC01E3"/>
    <w:rsid w:val="00BC080D"/>
    <w:rsid w:val="00BC2C23"/>
    <w:rsid w:val="00BC48F3"/>
    <w:rsid w:val="00BC5363"/>
    <w:rsid w:val="00BC5CC3"/>
    <w:rsid w:val="00BC6E5E"/>
    <w:rsid w:val="00BC74E9"/>
    <w:rsid w:val="00BD0AC4"/>
    <w:rsid w:val="00BD6CE9"/>
    <w:rsid w:val="00BE26B2"/>
    <w:rsid w:val="00BE4F3F"/>
    <w:rsid w:val="00BE62B5"/>
    <w:rsid w:val="00BE65B3"/>
    <w:rsid w:val="00BF0311"/>
    <w:rsid w:val="00BF4613"/>
    <w:rsid w:val="00BF61C5"/>
    <w:rsid w:val="00BF68A8"/>
    <w:rsid w:val="00BF72FD"/>
    <w:rsid w:val="00BF7585"/>
    <w:rsid w:val="00C000AF"/>
    <w:rsid w:val="00C00847"/>
    <w:rsid w:val="00C02E7A"/>
    <w:rsid w:val="00C04639"/>
    <w:rsid w:val="00C065DB"/>
    <w:rsid w:val="00C11092"/>
    <w:rsid w:val="00C11207"/>
    <w:rsid w:val="00C11870"/>
    <w:rsid w:val="00C11A03"/>
    <w:rsid w:val="00C144EC"/>
    <w:rsid w:val="00C20A72"/>
    <w:rsid w:val="00C2284D"/>
    <w:rsid w:val="00C33A42"/>
    <w:rsid w:val="00C34926"/>
    <w:rsid w:val="00C35482"/>
    <w:rsid w:val="00C4145F"/>
    <w:rsid w:val="00C418BB"/>
    <w:rsid w:val="00C42190"/>
    <w:rsid w:val="00C44D49"/>
    <w:rsid w:val="00C463DD"/>
    <w:rsid w:val="00C46474"/>
    <w:rsid w:val="00C4724C"/>
    <w:rsid w:val="00C47927"/>
    <w:rsid w:val="00C50356"/>
    <w:rsid w:val="00C50ECF"/>
    <w:rsid w:val="00C53963"/>
    <w:rsid w:val="00C55706"/>
    <w:rsid w:val="00C55779"/>
    <w:rsid w:val="00C56114"/>
    <w:rsid w:val="00C57A10"/>
    <w:rsid w:val="00C57AA3"/>
    <w:rsid w:val="00C606D3"/>
    <w:rsid w:val="00C61C48"/>
    <w:rsid w:val="00C629A0"/>
    <w:rsid w:val="00C6453C"/>
    <w:rsid w:val="00C66854"/>
    <w:rsid w:val="00C677B1"/>
    <w:rsid w:val="00C6782C"/>
    <w:rsid w:val="00C71A7E"/>
    <w:rsid w:val="00C73736"/>
    <w:rsid w:val="00C745C3"/>
    <w:rsid w:val="00C76890"/>
    <w:rsid w:val="00C7728B"/>
    <w:rsid w:val="00C80234"/>
    <w:rsid w:val="00C803EC"/>
    <w:rsid w:val="00C819E8"/>
    <w:rsid w:val="00C8504E"/>
    <w:rsid w:val="00C85113"/>
    <w:rsid w:val="00C91189"/>
    <w:rsid w:val="00C92F61"/>
    <w:rsid w:val="00C93256"/>
    <w:rsid w:val="00C936E6"/>
    <w:rsid w:val="00CB351A"/>
    <w:rsid w:val="00CB4248"/>
    <w:rsid w:val="00CB5455"/>
    <w:rsid w:val="00CB5E70"/>
    <w:rsid w:val="00CB6E28"/>
    <w:rsid w:val="00CC0BB4"/>
    <w:rsid w:val="00CC3A8C"/>
    <w:rsid w:val="00CE4A8F"/>
    <w:rsid w:val="00CE736B"/>
    <w:rsid w:val="00CF1984"/>
    <w:rsid w:val="00CF2621"/>
    <w:rsid w:val="00CF27E7"/>
    <w:rsid w:val="00CF76D6"/>
    <w:rsid w:val="00D02C2A"/>
    <w:rsid w:val="00D06AB9"/>
    <w:rsid w:val="00D06B7E"/>
    <w:rsid w:val="00D12158"/>
    <w:rsid w:val="00D1315B"/>
    <w:rsid w:val="00D13268"/>
    <w:rsid w:val="00D141CF"/>
    <w:rsid w:val="00D178AC"/>
    <w:rsid w:val="00D2031B"/>
    <w:rsid w:val="00D257E7"/>
    <w:rsid w:val="00D25FE2"/>
    <w:rsid w:val="00D2637A"/>
    <w:rsid w:val="00D3001F"/>
    <w:rsid w:val="00D30034"/>
    <w:rsid w:val="00D31EEF"/>
    <w:rsid w:val="00D3430C"/>
    <w:rsid w:val="00D35B7F"/>
    <w:rsid w:val="00D35FCA"/>
    <w:rsid w:val="00D41F1C"/>
    <w:rsid w:val="00D43252"/>
    <w:rsid w:val="00D43E06"/>
    <w:rsid w:val="00D46C27"/>
    <w:rsid w:val="00D47762"/>
    <w:rsid w:val="00D47EEA"/>
    <w:rsid w:val="00D501D0"/>
    <w:rsid w:val="00D509AE"/>
    <w:rsid w:val="00D51D6E"/>
    <w:rsid w:val="00D53BAD"/>
    <w:rsid w:val="00D543C9"/>
    <w:rsid w:val="00D6148A"/>
    <w:rsid w:val="00D729E4"/>
    <w:rsid w:val="00D73CB8"/>
    <w:rsid w:val="00D80524"/>
    <w:rsid w:val="00D80EDF"/>
    <w:rsid w:val="00D85285"/>
    <w:rsid w:val="00D864CC"/>
    <w:rsid w:val="00D872C2"/>
    <w:rsid w:val="00D90F93"/>
    <w:rsid w:val="00D913B0"/>
    <w:rsid w:val="00D94BB8"/>
    <w:rsid w:val="00D94CDD"/>
    <w:rsid w:val="00D95303"/>
    <w:rsid w:val="00D957F4"/>
    <w:rsid w:val="00D96E57"/>
    <w:rsid w:val="00D97597"/>
    <w:rsid w:val="00D975A7"/>
    <w:rsid w:val="00D978C6"/>
    <w:rsid w:val="00DA3111"/>
    <w:rsid w:val="00DA3C1C"/>
    <w:rsid w:val="00DA4BBB"/>
    <w:rsid w:val="00DA6A5C"/>
    <w:rsid w:val="00DB0C79"/>
    <w:rsid w:val="00DB2CE7"/>
    <w:rsid w:val="00DB5302"/>
    <w:rsid w:val="00DB55D9"/>
    <w:rsid w:val="00DB5724"/>
    <w:rsid w:val="00DB5B2F"/>
    <w:rsid w:val="00DC0714"/>
    <w:rsid w:val="00DC452C"/>
    <w:rsid w:val="00DC465A"/>
    <w:rsid w:val="00DC4B49"/>
    <w:rsid w:val="00DD2848"/>
    <w:rsid w:val="00DD471E"/>
    <w:rsid w:val="00DD4D57"/>
    <w:rsid w:val="00DD593B"/>
    <w:rsid w:val="00DE1DF6"/>
    <w:rsid w:val="00DE2F53"/>
    <w:rsid w:val="00DE6BB0"/>
    <w:rsid w:val="00DE79A8"/>
    <w:rsid w:val="00DE7F59"/>
    <w:rsid w:val="00DF0799"/>
    <w:rsid w:val="00DF4397"/>
    <w:rsid w:val="00DF528D"/>
    <w:rsid w:val="00E04CCE"/>
    <w:rsid w:val="00E142AF"/>
    <w:rsid w:val="00E15CC1"/>
    <w:rsid w:val="00E16495"/>
    <w:rsid w:val="00E17765"/>
    <w:rsid w:val="00E17C73"/>
    <w:rsid w:val="00E209FD"/>
    <w:rsid w:val="00E212BA"/>
    <w:rsid w:val="00E21400"/>
    <w:rsid w:val="00E223AD"/>
    <w:rsid w:val="00E2465A"/>
    <w:rsid w:val="00E25E54"/>
    <w:rsid w:val="00E27346"/>
    <w:rsid w:val="00E31E79"/>
    <w:rsid w:val="00E34156"/>
    <w:rsid w:val="00E341D8"/>
    <w:rsid w:val="00E34948"/>
    <w:rsid w:val="00E35AD2"/>
    <w:rsid w:val="00E40A07"/>
    <w:rsid w:val="00E41BFE"/>
    <w:rsid w:val="00E4363C"/>
    <w:rsid w:val="00E5234B"/>
    <w:rsid w:val="00E53D02"/>
    <w:rsid w:val="00E573A6"/>
    <w:rsid w:val="00E6074E"/>
    <w:rsid w:val="00E61088"/>
    <w:rsid w:val="00E632CC"/>
    <w:rsid w:val="00E64123"/>
    <w:rsid w:val="00E6482C"/>
    <w:rsid w:val="00E65396"/>
    <w:rsid w:val="00E67325"/>
    <w:rsid w:val="00E71BC8"/>
    <w:rsid w:val="00E7260F"/>
    <w:rsid w:val="00E74206"/>
    <w:rsid w:val="00E77185"/>
    <w:rsid w:val="00E779FC"/>
    <w:rsid w:val="00E77EE3"/>
    <w:rsid w:val="00E848D3"/>
    <w:rsid w:val="00E849B2"/>
    <w:rsid w:val="00E85728"/>
    <w:rsid w:val="00E86349"/>
    <w:rsid w:val="00E921CF"/>
    <w:rsid w:val="00E930EE"/>
    <w:rsid w:val="00E94466"/>
    <w:rsid w:val="00E95DB2"/>
    <w:rsid w:val="00E96630"/>
    <w:rsid w:val="00EA02C7"/>
    <w:rsid w:val="00EA0822"/>
    <w:rsid w:val="00EA31F7"/>
    <w:rsid w:val="00EA62D7"/>
    <w:rsid w:val="00EB0893"/>
    <w:rsid w:val="00EB11F3"/>
    <w:rsid w:val="00EB1AF3"/>
    <w:rsid w:val="00EB2581"/>
    <w:rsid w:val="00EB2CB0"/>
    <w:rsid w:val="00EB329A"/>
    <w:rsid w:val="00EB5373"/>
    <w:rsid w:val="00EC0BB9"/>
    <w:rsid w:val="00EC14EF"/>
    <w:rsid w:val="00EC4B91"/>
    <w:rsid w:val="00ED00FD"/>
    <w:rsid w:val="00ED6970"/>
    <w:rsid w:val="00ED7A2A"/>
    <w:rsid w:val="00ED7E6E"/>
    <w:rsid w:val="00EE37B7"/>
    <w:rsid w:val="00EE5C7E"/>
    <w:rsid w:val="00EE6929"/>
    <w:rsid w:val="00EF0235"/>
    <w:rsid w:val="00EF0C54"/>
    <w:rsid w:val="00EF1D7A"/>
    <w:rsid w:val="00EF1D7F"/>
    <w:rsid w:val="00EF3514"/>
    <w:rsid w:val="00EF560D"/>
    <w:rsid w:val="00F01F3B"/>
    <w:rsid w:val="00F03190"/>
    <w:rsid w:val="00F03A99"/>
    <w:rsid w:val="00F0403F"/>
    <w:rsid w:val="00F04CDE"/>
    <w:rsid w:val="00F075CC"/>
    <w:rsid w:val="00F17BD5"/>
    <w:rsid w:val="00F20C3D"/>
    <w:rsid w:val="00F21FE3"/>
    <w:rsid w:val="00F22E3E"/>
    <w:rsid w:val="00F235CC"/>
    <w:rsid w:val="00F24F92"/>
    <w:rsid w:val="00F2653D"/>
    <w:rsid w:val="00F3026E"/>
    <w:rsid w:val="00F31056"/>
    <w:rsid w:val="00F31242"/>
    <w:rsid w:val="00F34D48"/>
    <w:rsid w:val="00F35149"/>
    <w:rsid w:val="00F373CD"/>
    <w:rsid w:val="00F41576"/>
    <w:rsid w:val="00F41B9F"/>
    <w:rsid w:val="00F41C57"/>
    <w:rsid w:val="00F41F7D"/>
    <w:rsid w:val="00F4204E"/>
    <w:rsid w:val="00F4374D"/>
    <w:rsid w:val="00F43E9E"/>
    <w:rsid w:val="00F44820"/>
    <w:rsid w:val="00F467B1"/>
    <w:rsid w:val="00F47A1D"/>
    <w:rsid w:val="00F52BE2"/>
    <w:rsid w:val="00F53964"/>
    <w:rsid w:val="00F53F5C"/>
    <w:rsid w:val="00F546EA"/>
    <w:rsid w:val="00F5512C"/>
    <w:rsid w:val="00F60C3B"/>
    <w:rsid w:val="00F67576"/>
    <w:rsid w:val="00F70328"/>
    <w:rsid w:val="00F70D30"/>
    <w:rsid w:val="00F70E73"/>
    <w:rsid w:val="00F71A07"/>
    <w:rsid w:val="00F72A4B"/>
    <w:rsid w:val="00F736B3"/>
    <w:rsid w:val="00F748B6"/>
    <w:rsid w:val="00F82653"/>
    <w:rsid w:val="00F82F23"/>
    <w:rsid w:val="00F8467B"/>
    <w:rsid w:val="00F85733"/>
    <w:rsid w:val="00F86121"/>
    <w:rsid w:val="00F867CE"/>
    <w:rsid w:val="00F8772A"/>
    <w:rsid w:val="00F9057C"/>
    <w:rsid w:val="00F906D7"/>
    <w:rsid w:val="00F908D7"/>
    <w:rsid w:val="00F90FD3"/>
    <w:rsid w:val="00F914D6"/>
    <w:rsid w:val="00F93781"/>
    <w:rsid w:val="00F9653B"/>
    <w:rsid w:val="00F9682C"/>
    <w:rsid w:val="00F96BA5"/>
    <w:rsid w:val="00FA1718"/>
    <w:rsid w:val="00FA561A"/>
    <w:rsid w:val="00FB148B"/>
    <w:rsid w:val="00FB208B"/>
    <w:rsid w:val="00FB2745"/>
    <w:rsid w:val="00FB3196"/>
    <w:rsid w:val="00FB45D9"/>
    <w:rsid w:val="00FB5EB5"/>
    <w:rsid w:val="00FB613B"/>
    <w:rsid w:val="00FB78D7"/>
    <w:rsid w:val="00FC0622"/>
    <w:rsid w:val="00FC68B7"/>
    <w:rsid w:val="00FD0381"/>
    <w:rsid w:val="00FD130D"/>
    <w:rsid w:val="00FD1D08"/>
    <w:rsid w:val="00FD28AF"/>
    <w:rsid w:val="00FD4F04"/>
    <w:rsid w:val="00FD4FB8"/>
    <w:rsid w:val="00FD61DA"/>
    <w:rsid w:val="00FD7CD0"/>
    <w:rsid w:val="00FE106A"/>
    <w:rsid w:val="00FE2B82"/>
    <w:rsid w:val="00FE5BA0"/>
    <w:rsid w:val="00FE7FA8"/>
    <w:rsid w:val="00FF0000"/>
    <w:rsid w:val="00FF2478"/>
    <w:rsid w:val="00FF4BF4"/>
    <w:rsid w:val="00FF6496"/>
    <w:rsid w:val="00FF64F3"/>
    <w:rsid w:val="00FF66E4"/>
    <w:rsid w:val="00FF7226"/>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1879B"/>
  <w15:docId w15:val="{FED03CD5-741A-45AC-9A47-A1CC0169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link w:val="Heading3Char"/>
    <w:uiPriority w:val="9"/>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rPr>
      <w:lang w:val="x-none"/>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BD0AC4"/>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BD0AC4"/>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lang w:val="en-US" w:eastAsia="zh-CN"/>
    </w:rPr>
  </w:style>
  <w:style w:type="paragraph" w:styleId="BalloonText">
    <w:name w:val="Balloon Text"/>
    <w:basedOn w:val="Normal"/>
    <w:link w:val="BalloonTextChar"/>
    <w:rsid w:val="006743E9"/>
    <w:pPr>
      <w:spacing w:line="240" w:lineRule="auto"/>
    </w:pPr>
    <w:rPr>
      <w:rFonts w:ascii="Tahoma" w:hAnsi="Tahoma"/>
      <w:sz w:val="16"/>
      <w:szCs w:val="16"/>
      <w:lang w:val="x-none"/>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rPr>
      <w:lang w:val="x-none"/>
    </w:rPr>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paragraph" w:customStyle="1" w:styleId="MediumGrid21">
    <w:name w:val="Medium Grid 21"/>
    <w:uiPriority w:val="1"/>
    <w:qFormat/>
    <w:rsid w:val="001B5FD4"/>
    <w:rPr>
      <w:rFonts w:ascii="Calibri" w:eastAsia="Calibri" w:hAnsi="Calibri"/>
      <w:sz w:val="22"/>
      <w:szCs w:val="22"/>
      <w:lang w:val="en-US" w:eastAsia="en-US"/>
    </w:rPr>
  </w:style>
  <w:style w:type="paragraph" w:customStyle="1" w:styleId="ColorfulList-Accent11">
    <w:name w:val="Colorful List - Accent 11"/>
    <w:basedOn w:val="Normal"/>
    <w:uiPriority w:val="34"/>
    <w:qFormat/>
    <w:rsid w:val="008335F5"/>
    <w:pPr>
      <w:ind w:left="720"/>
    </w:pPr>
  </w:style>
  <w:style w:type="paragraph" w:customStyle="1" w:styleId="Default">
    <w:name w:val="Default"/>
    <w:rsid w:val="00401D94"/>
    <w:pPr>
      <w:autoSpaceDE w:val="0"/>
      <w:autoSpaceDN w:val="0"/>
      <w:adjustRightInd w:val="0"/>
    </w:pPr>
    <w:rPr>
      <w:rFonts w:eastAsia="Calibri"/>
      <w:color w:val="000000"/>
      <w:sz w:val="24"/>
      <w:szCs w:val="24"/>
    </w:rPr>
  </w:style>
  <w:style w:type="paragraph" w:customStyle="1" w:styleId="ColorfulShading-Accent11">
    <w:name w:val="Colorful Shading - Accent 11"/>
    <w:hidden/>
    <w:uiPriority w:val="99"/>
    <w:semiHidden/>
    <w:rsid w:val="0087334D"/>
    <w:rPr>
      <w:lang w:eastAsia="en-US"/>
    </w:rPr>
  </w:style>
  <w:style w:type="character" w:customStyle="1" w:styleId="Heading3Char">
    <w:name w:val="Heading 3 Char"/>
    <w:basedOn w:val="DefaultParagraphFont"/>
    <w:link w:val="Heading3"/>
    <w:uiPriority w:val="9"/>
    <w:rsid w:val="00033A75"/>
    <w:rPr>
      <w:lang w:eastAsia="en-US"/>
    </w:rPr>
  </w:style>
  <w:style w:type="character" w:styleId="Strong">
    <w:name w:val="Strong"/>
    <w:basedOn w:val="DefaultParagraphFont"/>
    <w:uiPriority w:val="22"/>
    <w:qFormat/>
    <w:rsid w:val="00033A75"/>
    <w:rPr>
      <w:b/>
      <w:bCs/>
    </w:rPr>
  </w:style>
  <w:style w:type="paragraph" w:styleId="Revision">
    <w:name w:val="Revision"/>
    <w:hidden/>
    <w:uiPriority w:val="99"/>
    <w:semiHidden/>
    <w:rsid w:val="004C05A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3212">
      <w:bodyDiv w:val="1"/>
      <w:marLeft w:val="0"/>
      <w:marRight w:val="0"/>
      <w:marTop w:val="0"/>
      <w:marBottom w:val="0"/>
      <w:divBdr>
        <w:top w:val="none" w:sz="0" w:space="0" w:color="auto"/>
        <w:left w:val="none" w:sz="0" w:space="0" w:color="auto"/>
        <w:bottom w:val="none" w:sz="0" w:space="0" w:color="auto"/>
        <w:right w:val="none" w:sz="0" w:space="0" w:color="auto"/>
      </w:divBdr>
    </w:div>
    <w:div w:id="28147236">
      <w:bodyDiv w:val="1"/>
      <w:marLeft w:val="0"/>
      <w:marRight w:val="0"/>
      <w:marTop w:val="0"/>
      <w:marBottom w:val="0"/>
      <w:divBdr>
        <w:top w:val="none" w:sz="0" w:space="0" w:color="auto"/>
        <w:left w:val="none" w:sz="0" w:space="0" w:color="auto"/>
        <w:bottom w:val="none" w:sz="0" w:space="0" w:color="auto"/>
        <w:right w:val="none" w:sz="0" w:space="0" w:color="auto"/>
      </w:divBdr>
    </w:div>
    <w:div w:id="119685719">
      <w:bodyDiv w:val="1"/>
      <w:marLeft w:val="0"/>
      <w:marRight w:val="0"/>
      <w:marTop w:val="0"/>
      <w:marBottom w:val="0"/>
      <w:divBdr>
        <w:top w:val="none" w:sz="0" w:space="0" w:color="auto"/>
        <w:left w:val="none" w:sz="0" w:space="0" w:color="auto"/>
        <w:bottom w:val="none" w:sz="0" w:space="0" w:color="auto"/>
        <w:right w:val="none" w:sz="0" w:space="0" w:color="auto"/>
      </w:divBdr>
    </w:div>
    <w:div w:id="176771401">
      <w:bodyDiv w:val="1"/>
      <w:marLeft w:val="0"/>
      <w:marRight w:val="0"/>
      <w:marTop w:val="0"/>
      <w:marBottom w:val="0"/>
      <w:divBdr>
        <w:top w:val="none" w:sz="0" w:space="0" w:color="auto"/>
        <w:left w:val="none" w:sz="0" w:space="0" w:color="auto"/>
        <w:bottom w:val="none" w:sz="0" w:space="0" w:color="auto"/>
        <w:right w:val="none" w:sz="0" w:space="0" w:color="auto"/>
      </w:divBdr>
    </w:div>
    <w:div w:id="180440984">
      <w:bodyDiv w:val="1"/>
      <w:marLeft w:val="0"/>
      <w:marRight w:val="0"/>
      <w:marTop w:val="0"/>
      <w:marBottom w:val="0"/>
      <w:divBdr>
        <w:top w:val="none" w:sz="0" w:space="0" w:color="auto"/>
        <w:left w:val="none" w:sz="0" w:space="0" w:color="auto"/>
        <w:bottom w:val="none" w:sz="0" w:space="0" w:color="auto"/>
        <w:right w:val="none" w:sz="0" w:space="0" w:color="auto"/>
      </w:divBdr>
    </w:div>
    <w:div w:id="248927851">
      <w:bodyDiv w:val="1"/>
      <w:marLeft w:val="0"/>
      <w:marRight w:val="0"/>
      <w:marTop w:val="0"/>
      <w:marBottom w:val="0"/>
      <w:divBdr>
        <w:top w:val="none" w:sz="0" w:space="0" w:color="auto"/>
        <w:left w:val="none" w:sz="0" w:space="0" w:color="auto"/>
        <w:bottom w:val="none" w:sz="0" w:space="0" w:color="auto"/>
        <w:right w:val="none" w:sz="0" w:space="0" w:color="auto"/>
      </w:divBdr>
    </w:div>
    <w:div w:id="257325199">
      <w:bodyDiv w:val="1"/>
      <w:marLeft w:val="0"/>
      <w:marRight w:val="0"/>
      <w:marTop w:val="0"/>
      <w:marBottom w:val="0"/>
      <w:divBdr>
        <w:top w:val="none" w:sz="0" w:space="0" w:color="auto"/>
        <w:left w:val="none" w:sz="0" w:space="0" w:color="auto"/>
        <w:bottom w:val="none" w:sz="0" w:space="0" w:color="auto"/>
        <w:right w:val="none" w:sz="0" w:space="0" w:color="auto"/>
      </w:divBdr>
    </w:div>
    <w:div w:id="261882214">
      <w:bodyDiv w:val="1"/>
      <w:marLeft w:val="0"/>
      <w:marRight w:val="0"/>
      <w:marTop w:val="0"/>
      <w:marBottom w:val="0"/>
      <w:divBdr>
        <w:top w:val="none" w:sz="0" w:space="0" w:color="auto"/>
        <w:left w:val="none" w:sz="0" w:space="0" w:color="auto"/>
        <w:bottom w:val="none" w:sz="0" w:space="0" w:color="auto"/>
        <w:right w:val="none" w:sz="0" w:space="0" w:color="auto"/>
      </w:divBdr>
    </w:div>
    <w:div w:id="331490739">
      <w:bodyDiv w:val="1"/>
      <w:marLeft w:val="0"/>
      <w:marRight w:val="0"/>
      <w:marTop w:val="0"/>
      <w:marBottom w:val="0"/>
      <w:divBdr>
        <w:top w:val="none" w:sz="0" w:space="0" w:color="auto"/>
        <w:left w:val="none" w:sz="0" w:space="0" w:color="auto"/>
        <w:bottom w:val="none" w:sz="0" w:space="0" w:color="auto"/>
        <w:right w:val="none" w:sz="0" w:space="0" w:color="auto"/>
      </w:divBdr>
    </w:div>
    <w:div w:id="363871972">
      <w:bodyDiv w:val="1"/>
      <w:marLeft w:val="0"/>
      <w:marRight w:val="0"/>
      <w:marTop w:val="0"/>
      <w:marBottom w:val="0"/>
      <w:divBdr>
        <w:top w:val="none" w:sz="0" w:space="0" w:color="auto"/>
        <w:left w:val="none" w:sz="0" w:space="0" w:color="auto"/>
        <w:bottom w:val="none" w:sz="0" w:space="0" w:color="auto"/>
        <w:right w:val="none" w:sz="0" w:space="0" w:color="auto"/>
      </w:divBdr>
    </w:div>
    <w:div w:id="399137938">
      <w:bodyDiv w:val="1"/>
      <w:marLeft w:val="0"/>
      <w:marRight w:val="0"/>
      <w:marTop w:val="0"/>
      <w:marBottom w:val="0"/>
      <w:divBdr>
        <w:top w:val="none" w:sz="0" w:space="0" w:color="auto"/>
        <w:left w:val="none" w:sz="0" w:space="0" w:color="auto"/>
        <w:bottom w:val="none" w:sz="0" w:space="0" w:color="auto"/>
        <w:right w:val="none" w:sz="0" w:space="0" w:color="auto"/>
      </w:divBdr>
    </w:div>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496769995">
      <w:bodyDiv w:val="1"/>
      <w:marLeft w:val="0"/>
      <w:marRight w:val="0"/>
      <w:marTop w:val="0"/>
      <w:marBottom w:val="0"/>
      <w:divBdr>
        <w:top w:val="none" w:sz="0" w:space="0" w:color="auto"/>
        <w:left w:val="none" w:sz="0" w:space="0" w:color="auto"/>
        <w:bottom w:val="none" w:sz="0" w:space="0" w:color="auto"/>
        <w:right w:val="none" w:sz="0" w:space="0" w:color="auto"/>
      </w:divBdr>
    </w:div>
    <w:div w:id="524637426">
      <w:bodyDiv w:val="1"/>
      <w:marLeft w:val="0"/>
      <w:marRight w:val="0"/>
      <w:marTop w:val="0"/>
      <w:marBottom w:val="0"/>
      <w:divBdr>
        <w:top w:val="none" w:sz="0" w:space="0" w:color="auto"/>
        <w:left w:val="none" w:sz="0" w:space="0" w:color="auto"/>
        <w:bottom w:val="none" w:sz="0" w:space="0" w:color="auto"/>
        <w:right w:val="none" w:sz="0" w:space="0" w:color="auto"/>
      </w:divBdr>
    </w:div>
    <w:div w:id="540094325">
      <w:bodyDiv w:val="1"/>
      <w:marLeft w:val="0"/>
      <w:marRight w:val="0"/>
      <w:marTop w:val="0"/>
      <w:marBottom w:val="0"/>
      <w:divBdr>
        <w:top w:val="none" w:sz="0" w:space="0" w:color="auto"/>
        <w:left w:val="none" w:sz="0" w:space="0" w:color="auto"/>
        <w:bottom w:val="none" w:sz="0" w:space="0" w:color="auto"/>
        <w:right w:val="none" w:sz="0" w:space="0" w:color="auto"/>
      </w:divBdr>
    </w:div>
    <w:div w:id="564221786">
      <w:bodyDiv w:val="1"/>
      <w:marLeft w:val="0"/>
      <w:marRight w:val="0"/>
      <w:marTop w:val="0"/>
      <w:marBottom w:val="0"/>
      <w:divBdr>
        <w:top w:val="none" w:sz="0" w:space="0" w:color="auto"/>
        <w:left w:val="none" w:sz="0" w:space="0" w:color="auto"/>
        <w:bottom w:val="none" w:sz="0" w:space="0" w:color="auto"/>
        <w:right w:val="none" w:sz="0" w:space="0" w:color="auto"/>
      </w:divBdr>
    </w:div>
    <w:div w:id="599604541">
      <w:bodyDiv w:val="1"/>
      <w:marLeft w:val="0"/>
      <w:marRight w:val="0"/>
      <w:marTop w:val="0"/>
      <w:marBottom w:val="0"/>
      <w:divBdr>
        <w:top w:val="none" w:sz="0" w:space="0" w:color="auto"/>
        <w:left w:val="none" w:sz="0" w:space="0" w:color="auto"/>
        <w:bottom w:val="none" w:sz="0" w:space="0" w:color="auto"/>
        <w:right w:val="none" w:sz="0" w:space="0" w:color="auto"/>
      </w:divBdr>
    </w:div>
    <w:div w:id="653074196">
      <w:bodyDiv w:val="1"/>
      <w:marLeft w:val="0"/>
      <w:marRight w:val="0"/>
      <w:marTop w:val="0"/>
      <w:marBottom w:val="0"/>
      <w:divBdr>
        <w:top w:val="none" w:sz="0" w:space="0" w:color="auto"/>
        <w:left w:val="none" w:sz="0" w:space="0" w:color="auto"/>
        <w:bottom w:val="none" w:sz="0" w:space="0" w:color="auto"/>
        <w:right w:val="none" w:sz="0" w:space="0" w:color="auto"/>
      </w:divBdr>
    </w:div>
    <w:div w:id="678510910">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706880088">
      <w:bodyDiv w:val="1"/>
      <w:marLeft w:val="0"/>
      <w:marRight w:val="0"/>
      <w:marTop w:val="0"/>
      <w:marBottom w:val="0"/>
      <w:divBdr>
        <w:top w:val="none" w:sz="0" w:space="0" w:color="auto"/>
        <w:left w:val="none" w:sz="0" w:space="0" w:color="auto"/>
        <w:bottom w:val="none" w:sz="0" w:space="0" w:color="auto"/>
        <w:right w:val="none" w:sz="0" w:space="0" w:color="auto"/>
      </w:divBdr>
    </w:div>
    <w:div w:id="785779120">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948706033">
      <w:bodyDiv w:val="1"/>
      <w:marLeft w:val="0"/>
      <w:marRight w:val="0"/>
      <w:marTop w:val="0"/>
      <w:marBottom w:val="0"/>
      <w:divBdr>
        <w:top w:val="none" w:sz="0" w:space="0" w:color="auto"/>
        <w:left w:val="none" w:sz="0" w:space="0" w:color="auto"/>
        <w:bottom w:val="none" w:sz="0" w:space="0" w:color="auto"/>
        <w:right w:val="none" w:sz="0" w:space="0" w:color="auto"/>
      </w:divBdr>
    </w:div>
    <w:div w:id="1092235954">
      <w:bodyDiv w:val="1"/>
      <w:marLeft w:val="0"/>
      <w:marRight w:val="0"/>
      <w:marTop w:val="0"/>
      <w:marBottom w:val="0"/>
      <w:divBdr>
        <w:top w:val="none" w:sz="0" w:space="0" w:color="auto"/>
        <w:left w:val="none" w:sz="0" w:space="0" w:color="auto"/>
        <w:bottom w:val="none" w:sz="0" w:space="0" w:color="auto"/>
        <w:right w:val="none" w:sz="0" w:space="0" w:color="auto"/>
      </w:divBdr>
    </w:div>
    <w:div w:id="1183082865">
      <w:bodyDiv w:val="1"/>
      <w:marLeft w:val="0"/>
      <w:marRight w:val="0"/>
      <w:marTop w:val="0"/>
      <w:marBottom w:val="0"/>
      <w:divBdr>
        <w:top w:val="none" w:sz="0" w:space="0" w:color="auto"/>
        <w:left w:val="none" w:sz="0" w:space="0" w:color="auto"/>
        <w:bottom w:val="none" w:sz="0" w:space="0" w:color="auto"/>
        <w:right w:val="none" w:sz="0" w:space="0" w:color="auto"/>
      </w:divBdr>
    </w:div>
    <w:div w:id="1445688655">
      <w:bodyDiv w:val="1"/>
      <w:marLeft w:val="0"/>
      <w:marRight w:val="0"/>
      <w:marTop w:val="0"/>
      <w:marBottom w:val="0"/>
      <w:divBdr>
        <w:top w:val="none" w:sz="0" w:space="0" w:color="auto"/>
        <w:left w:val="none" w:sz="0" w:space="0" w:color="auto"/>
        <w:bottom w:val="none" w:sz="0" w:space="0" w:color="auto"/>
        <w:right w:val="none" w:sz="0" w:space="0" w:color="auto"/>
      </w:divBdr>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26216733">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 w:id="1622110907">
      <w:bodyDiv w:val="1"/>
      <w:marLeft w:val="0"/>
      <w:marRight w:val="0"/>
      <w:marTop w:val="0"/>
      <w:marBottom w:val="0"/>
      <w:divBdr>
        <w:top w:val="none" w:sz="0" w:space="0" w:color="auto"/>
        <w:left w:val="none" w:sz="0" w:space="0" w:color="auto"/>
        <w:bottom w:val="none" w:sz="0" w:space="0" w:color="auto"/>
        <w:right w:val="none" w:sz="0" w:space="0" w:color="auto"/>
      </w:divBdr>
    </w:div>
    <w:div w:id="1785271603">
      <w:bodyDiv w:val="1"/>
      <w:marLeft w:val="0"/>
      <w:marRight w:val="0"/>
      <w:marTop w:val="0"/>
      <w:marBottom w:val="0"/>
      <w:divBdr>
        <w:top w:val="none" w:sz="0" w:space="0" w:color="auto"/>
        <w:left w:val="none" w:sz="0" w:space="0" w:color="auto"/>
        <w:bottom w:val="none" w:sz="0" w:space="0" w:color="auto"/>
        <w:right w:val="none" w:sz="0" w:space="0" w:color="auto"/>
      </w:divBdr>
    </w:div>
    <w:div w:id="1825200121">
      <w:bodyDiv w:val="1"/>
      <w:marLeft w:val="0"/>
      <w:marRight w:val="0"/>
      <w:marTop w:val="0"/>
      <w:marBottom w:val="0"/>
      <w:divBdr>
        <w:top w:val="none" w:sz="0" w:space="0" w:color="auto"/>
        <w:left w:val="none" w:sz="0" w:space="0" w:color="auto"/>
        <w:bottom w:val="none" w:sz="0" w:space="0" w:color="auto"/>
        <w:right w:val="none" w:sz="0" w:space="0" w:color="auto"/>
      </w:divBdr>
    </w:div>
    <w:div w:id="188606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519CB-70C9-43C3-BADE-42D941B2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14</Pages>
  <Words>9237</Words>
  <Characters>52652</Characters>
  <Application>Microsoft Office Word</Application>
  <DocSecurity>0</DocSecurity>
  <Lines>438</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61766</CharactersWithSpaces>
  <SharedDoc>false</SharedDoc>
  <HLinks>
    <vt:vector size="18" baseType="variant">
      <vt:variant>
        <vt:i4>3145772</vt:i4>
      </vt:variant>
      <vt:variant>
        <vt:i4>6</vt:i4>
      </vt:variant>
      <vt:variant>
        <vt:i4>0</vt:i4>
      </vt:variant>
      <vt:variant>
        <vt:i4>5</vt:i4>
      </vt:variant>
      <vt:variant>
        <vt:lpwstr>http://www.centrasia.ru/newsA.php?st=1111303800</vt:lpwstr>
      </vt:variant>
      <vt:variant>
        <vt:lpwstr/>
      </vt:variant>
      <vt:variant>
        <vt:i4>3342371</vt:i4>
      </vt:variant>
      <vt:variant>
        <vt:i4>3</vt:i4>
      </vt:variant>
      <vt:variant>
        <vt:i4>0</vt:i4>
      </vt:variant>
      <vt:variant>
        <vt:i4>5</vt:i4>
      </vt:variant>
      <vt:variant>
        <vt:lpwstr>http://www.centrasia.ru/newsA.php?st=1061763000</vt:lpwstr>
      </vt:variant>
      <vt:variant>
        <vt:lpwstr/>
      </vt:variant>
      <vt:variant>
        <vt:i4>4259927</vt:i4>
      </vt:variant>
      <vt:variant>
        <vt:i4>0</vt:i4>
      </vt:variant>
      <vt:variant>
        <vt:i4>0</vt:i4>
      </vt:variant>
      <vt:variant>
        <vt:i4>5</vt:i4>
      </vt:variant>
      <vt:variant>
        <vt:lpwstr>http://iwpr.net/report-news/uzbekistan-police-and-prostitutes-unholy-alliance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temp Neogi</dc:creator>
  <cp:lastModifiedBy>Sarah Willig</cp:lastModifiedBy>
  <cp:revision>2</cp:revision>
  <cp:lastPrinted>2015-10-21T12:34:00Z</cp:lastPrinted>
  <dcterms:created xsi:type="dcterms:W3CDTF">2017-01-25T01:43:00Z</dcterms:created>
  <dcterms:modified xsi:type="dcterms:W3CDTF">2017-01-25T01:43:00Z</dcterms:modified>
</cp:coreProperties>
</file>