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A511AC" w:rsidP="004266F1">
            <w:pPr>
              <w:jc w:val="right"/>
            </w:pPr>
            <w:r w:rsidRPr="00A511AC">
              <w:rPr>
                <w:sz w:val="40"/>
              </w:rPr>
              <w:t>CAT</w:t>
            </w:r>
            <w:r>
              <w:t>/C/5</w:t>
            </w:r>
            <w:r w:rsidR="004266F1">
              <w:t>8</w:t>
            </w:r>
            <w:r>
              <w:t>/D/</w:t>
            </w:r>
            <w:r w:rsidR="00275825">
              <w:t>60</w:t>
            </w:r>
            <w:r w:rsidR="004266F1">
              <w:t>8</w:t>
            </w:r>
            <w:r w:rsidR="009352A4">
              <w:t>/</w:t>
            </w:r>
            <w:r>
              <w:t>20</w:t>
            </w:r>
            <w:r w:rsidR="000B1D28">
              <w:t>1</w:t>
            </w:r>
            <w:r w:rsidR="00C950A1">
              <w:t>4</w:t>
            </w:r>
          </w:p>
        </w:tc>
      </w:tr>
      <w:tr w:rsidR="00B56E9C">
        <w:trPr>
          <w:cantSplit/>
          <w:trHeight w:hRule="exact" w:val="2835"/>
        </w:trPr>
        <w:tc>
          <w:tcPr>
            <w:tcW w:w="1276" w:type="dxa"/>
            <w:tcBorders>
              <w:top w:val="single" w:sz="4" w:space="0" w:color="auto"/>
              <w:bottom w:val="single" w:sz="12" w:space="0" w:color="auto"/>
            </w:tcBorders>
          </w:tcPr>
          <w:p w:rsidR="00B56E9C" w:rsidRDefault="00DB4AA3" w:rsidP="00B6553F">
            <w:pPr>
              <w:spacing w:before="120"/>
            </w:pPr>
            <w:r>
              <w:rPr>
                <w:noProof/>
                <w:lang w:val="en-US"/>
              </w:rPr>
              <w:drawing>
                <wp:inline distT="0" distB="0" distL="0" distR="0" wp14:anchorId="15F55173" wp14:editId="7F425E7F">
                  <wp:extent cx="716280" cy="594360"/>
                  <wp:effectExtent l="0" t="0" r="7620" b="0"/>
                  <wp:docPr id="3"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796FF6" w:rsidRPr="00DA41C2" w:rsidRDefault="00A511AC" w:rsidP="00796FF6">
            <w:pPr>
              <w:spacing w:before="240" w:line="240" w:lineRule="exact"/>
            </w:pPr>
            <w:r>
              <w:t xml:space="preserve">Distr.: </w:t>
            </w:r>
            <w:r w:rsidR="001D047C">
              <w:t>General</w:t>
            </w:r>
          </w:p>
          <w:p w:rsidR="00A511AC" w:rsidRDefault="003F2508" w:rsidP="009A4FC9">
            <w:pPr>
              <w:spacing w:line="240" w:lineRule="exact"/>
            </w:pPr>
            <w:r>
              <w:t>1</w:t>
            </w:r>
            <w:r w:rsidR="009A4FC9">
              <w:t>3</w:t>
            </w:r>
            <w:r w:rsidR="00DB4AA3">
              <w:t xml:space="preserve"> September</w:t>
            </w:r>
            <w:r w:rsidR="00275825">
              <w:t xml:space="preserve"> </w:t>
            </w:r>
            <w:r w:rsidR="00A511AC">
              <w:t>201</w:t>
            </w:r>
            <w:r w:rsidR="00275825">
              <w:t>6</w:t>
            </w:r>
          </w:p>
          <w:p w:rsidR="00A511AC" w:rsidRDefault="00A511AC" w:rsidP="00A511AC">
            <w:pPr>
              <w:spacing w:line="240" w:lineRule="exact"/>
            </w:pPr>
          </w:p>
          <w:p w:rsidR="00A511AC" w:rsidRDefault="00A511AC" w:rsidP="00A511AC">
            <w:pPr>
              <w:spacing w:line="240" w:lineRule="exact"/>
            </w:pPr>
            <w:r>
              <w:t>Original: English</w:t>
            </w:r>
          </w:p>
          <w:p w:rsidR="006841D7" w:rsidRPr="00C07884" w:rsidRDefault="006841D7" w:rsidP="006841D7">
            <w:pPr>
              <w:spacing w:line="240" w:lineRule="exact"/>
            </w:pPr>
          </w:p>
          <w:p w:rsidR="006841D7" w:rsidRDefault="006841D7" w:rsidP="00A511AC">
            <w:pPr>
              <w:spacing w:line="240" w:lineRule="exact"/>
            </w:pPr>
          </w:p>
        </w:tc>
      </w:tr>
    </w:tbl>
    <w:p w:rsidR="009120B2" w:rsidRPr="009120B2" w:rsidRDefault="009120B2" w:rsidP="009120B2">
      <w:pPr>
        <w:spacing w:line="20" w:lineRule="exact"/>
        <w:rPr>
          <w:b/>
          <w:sz w:val="2"/>
          <w:szCs w:val="24"/>
        </w:rPr>
      </w:pPr>
    </w:p>
    <w:p w:rsidR="0065486C" w:rsidRDefault="0065486C" w:rsidP="00B44F26">
      <w:pPr>
        <w:spacing w:before="120"/>
        <w:rPr>
          <w:b/>
          <w:sz w:val="24"/>
          <w:szCs w:val="24"/>
        </w:rPr>
      </w:pPr>
      <w:r w:rsidRPr="00DF23DE">
        <w:rPr>
          <w:b/>
          <w:sz w:val="24"/>
          <w:szCs w:val="24"/>
        </w:rPr>
        <w:t>Committee against Torture</w:t>
      </w:r>
    </w:p>
    <w:p w:rsidR="00125038" w:rsidRPr="00125038" w:rsidRDefault="0065486C" w:rsidP="009A4FC9">
      <w:pPr>
        <w:pStyle w:val="HChG"/>
      </w:pPr>
      <w:r w:rsidRPr="00C07884">
        <w:tab/>
      </w:r>
      <w:r w:rsidRPr="00C07884">
        <w:tab/>
      </w:r>
      <w:r w:rsidR="001D047C" w:rsidRPr="00DF23DE">
        <w:rPr>
          <w:szCs w:val="24"/>
        </w:rPr>
        <w:t xml:space="preserve">Decision adopted by the Committee </w:t>
      </w:r>
      <w:r w:rsidR="001D047C" w:rsidRPr="00DF23DE">
        <w:rPr>
          <w:rFonts w:eastAsia="Calibri"/>
          <w:lang w:eastAsia="zh-CN"/>
        </w:rPr>
        <w:t>under article 22 of the Convention</w:t>
      </w:r>
      <w:r w:rsidR="001D047C">
        <w:rPr>
          <w:rFonts w:eastAsia="Calibri"/>
          <w:lang w:eastAsia="zh-CN"/>
        </w:rPr>
        <w:t xml:space="preserve">, concerning </w:t>
      </w:r>
      <w:r w:rsidR="001D047C">
        <w:t>c</w:t>
      </w:r>
      <w:r w:rsidRPr="00C07884">
        <w:t>ommunication No.</w:t>
      </w:r>
      <w:r w:rsidR="00125038" w:rsidRPr="00125038">
        <w:rPr>
          <w:rFonts w:eastAsia="Calibri"/>
          <w:lang w:eastAsia="zh-CN"/>
        </w:rPr>
        <w:t xml:space="preserve"> </w:t>
      </w:r>
      <w:r w:rsidR="00125038" w:rsidRPr="00125038">
        <w:t>608/2014</w:t>
      </w:r>
      <w:r w:rsidR="00E9688A" w:rsidRPr="00B44F26">
        <w:rPr>
          <w:rStyle w:val="FootnoteReference"/>
          <w:b w:val="0"/>
          <w:bCs/>
          <w:sz w:val="20"/>
          <w:vertAlign w:val="baseline"/>
        </w:rPr>
        <w:footnoteReference w:customMarkFollows="1" w:id="2"/>
        <w:t>*</w:t>
      </w:r>
      <w:r w:rsidR="00E9688A" w:rsidRPr="00B44F26">
        <w:rPr>
          <w:b w:val="0"/>
          <w:bCs/>
          <w:position w:val="4"/>
          <w:sz w:val="20"/>
        </w:rPr>
        <w:t>,</w:t>
      </w:r>
      <w:r w:rsidR="003F2508">
        <w:rPr>
          <w:rStyle w:val="FootnoteReference"/>
          <w:b w:val="0"/>
          <w:bCs/>
          <w:sz w:val="20"/>
          <w:vertAlign w:val="baseline"/>
        </w:rPr>
        <w:t xml:space="preserve"> </w:t>
      </w:r>
      <w:r w:rsidR="00125038" w:rsidRPr="00B44F26">
        <w:rPr>
          <w:rStyle w:val="FootnoteReference"/>
          <w:b w:val="0"/>
          <w:bCs/>
          <w:sz w:val="20"/>
          <w:vertAlign w:val="baseline"/>
        </w:rPr>
        <w:footnoteReference w:customMarkFollows="1" w:id="3"/>
        <w:t>*</w:t>
      </w:r>
      <w:r w:rsidR="002F28E1" w:rsidRPr="00B44F26">
        <w:rPr>
          <w:rStyle w:val="FootnoteReference"/>
          <w:b w:val="0"/>
          <w:bCs/>
          <w:sz w:val="20"/>
          <w:vertAlign w:val="baseline"/>
        </w:rPr>
        <w:t>*</w:t>
      </w:r>
      <w:r w:rsidR="003F2508" w:rsidRPr="00B44F26">
        <w:rPr>
          <w:b w:val="0"/>
          <w:bCs/>
          <w:sz w:val="20"/>
        </w:rPr>
        <w:t xml:space="preserve"> </w:t>
      </w:r>
    </w:p>
    <w:tbl>
      <w:tblPr>
        <w:tblW w:w="0" w:type="auto"/>
        <w:tblInd w:w="1200" w:type="dxa"/>
        <w:tblLayout w:type="fixed"/>
        <w:tblCellMar>
          <w:left w:w="0" w:type="dxa"/>
          <w:right w:w="0" w:type="dxa"/>
        </w:tblCellMar>
        <w:tblLook w:val="01E0" w:firstRow="1" w:lastRow="1" w:firstColumn="1" w:lastColumn="1" w:noHBand="0" w:noVBand="0"/>
      </w:tblPr>
      <w:tblGrid>
        <w:gridCol w:w="3402"/>
        <w:gridCol w:w="3969"/>
      </w:tblGrid>
      <w:tr w:rsidR="00125038" w:rsidRPr="00125038" w:rsidTr="00B44F26">
        <w:tc>
          <w:tcPr>
            <w:tcW w:w="3402" w:type="dxa"/>
          </w:tcPr>
          <w:p w:rsidR="00125038" w:rsidRPr="00125038" w:rsidRDefault="00125038" w:rsidP="0087521E">
            <w:pPr>
              <w:pStyle w:val="SingleTxtG"/>
              <w:ind w:left="0" w:right="0"/>
              <w:jc w:val="left"/>
              <w:rPr>
                <w:i/>
              </w:rPr>
            </w:pPr>
            <w:r w:rsidRPr="00125038">
              <w:rPr>
                <w:i/>
              </w:rPr>
              <w:t>Communication submitted by:</w:t>
            </w:r>
          </w:p>
        </w:tc>
        <w:tc>
          <w:tcPr>
            <w:tcW w:w="3969" w:type="dxa"/>
          </w:tcPr>
          <w:p w:rsidR="00125038" w:rsidRPr="00125038" w:rsidRDefault="00785670" w:rsidP="00785670">
            <w:pPr>
              <w:pStyle w:val="SingleTxtG"/>
              <w:ind w:left="0" w:right="0"/>
              <w:jc w:val="left"/>
            </w:pPr>
            <w:r>
              <w:rPr>
                <w:rStyle w:val="SingleTxtGChar"/>
              </w:rPr>
              <w:t>M.N.</w:t>
            </w:r>
            <w:r w:rsidR="00125038" w:rsidRPr="00125038">
              <w:rPr>
                <w:rStyle w:val="SingleTxtGChar"/>
              </w:rPr>
              <w:t xml:space="preserve"> (represented by counsel, John Phillip Sweeney </w:t>
            </w:r>
            <w:r w:rsidR="00125038" w:rsidRPr="00125038">
              <w:t>from the Edmund Rice Centre</w:t>
            </w:r>
            <w:r w:rsidR="00125038" w:rsidRPr="00125038">
              <w:rPr>
                <w:rStyle w:val="SingleTxtGChar"/>
              </w:rPr>
              <w:t>)</w:t>
            </w:r>
          </w:p>
        </w:tc>
      </w:tr>
      <w:tr w:rsidR="00125038" w:rsidRPr="00125038" w:rsidTr="00B44F26">
        <w:tc>
          <w:tcPr>
            <w:tcW w:w="3402" w:type="dxa"/>
          </w:tcPr>
          <w:p w:rsidR="00125038" w:rsidRPr="00125038" w:rsidRDefault="00125038" w:rsidP="0087521E">
            <w:pPr>
              <w:pStyle w:val="SingleTxtG"/>
              <w:ind w:left="0" w:right="0"/>
              <w:jc w:val="left"/>
              <w:rPr>
                <w:i/>
              </w:rPr>
            </w:pPr>
            <w:r w:rsidRPr="00125038">
              <w:rPr>
                <w:i/>
              </w:rPr>
              <w:t>Alleged victim:</w:t>
            </w:r>
          </w:p>
        </w:tc>
        <w:tc>
          <w:tcPr>
            <w:tcW w:w="3969" w:type="dxa"/>
          </w:tcPr>
          <w:p w:rsidR="00125038" w:rsidRPr="00125038" w:rsidRDefault="00125038" w:rsidP="0087521E">
            <w:pPr>
              <w:pStyle w:val="SingleTxtG"/>
              <w:ind w:left="0" w:right="0"/>
              <w:jc w:val="left"/>
            </w:pPr>
            <w:r w:rsidRPr="00125038">
              <w:rPr>
                <w:snapToGrid w:val="0"/>
              </w:rPr>
              <w:t>The complainant</w:t>
            </w:r>
          </w:p>
        </w:tc>
      </w:tr>
      <w:tr w:rsidR="00125038" w:rsidRPr="00125038" w:rsidTr="00B44F26">
        <w:tc>
          <w:tcPr>
            <w:tcW w:w="3402" w:type="dxa"/>
          </w:tcPr>
          <w:p w:rsidR="00125038" w:rsidRPr="00125038" w:rsidRDefault="00125038" w:rsidP="0087521E">
            <w:pPr>
              <w:pStyle w:val="SingleTxtG"/>
              <w:ind w:left="0" w:right="0"/>
              <w:jc w:val="left"/>
              <w:rPr>
                <w:i/>
              </w:rPr>
            </w:pPr>
            <w:r w:rsidRPr="00125038">
              <w:rPr>
                <w:i/>
              </w:rPr>
              <w:t>State party:</w:t>
            </w:r>
          </w:p>
        </w:tc>
        <w:tc>
          <w:tcPr>
            <w:tcW w:w="3969" w:type="dxa"/>
          </w:tcPr>
          <w:p w:rsidR="00125038" w:rsidRPr="00125038" w:rsidRDefault="00125038" w:rsidP="00125038">
            <w:pPr>
              <w:pStyle w:val="SingleTxtG"/>
              <w:ind w:left="0" w:right="0"/>
              <w:jc w:val="left"/>
            </w:pPr>
            <w:r w:rsidRPr="00125038">
              <w:t>Australia</w:t>
            </w:r>
          </w:p>
        </w:tc>
      </w:tr>
      <w:tr w:rsidR="00125038" w:rsidRPr="00125038" w:rsidTr="00B44F26">
        <w:tc>
          <w:tcPr>
            <w:tcW w:w="3402" w:type="dxa"/>
          </w:tcPr>
          <w:p w:rsidR="00125038" w:rsidRPr="00125038" w:rsidRDefault="00125038" w:rsidP="0087521E">
            <w:pPr>
              <w:pStyle w:val="SingleTxtG"/>
              <w:ind w:left="0" w:right="0"/>
              <w:jc w:val="left"/>
              <w:rPr>
                <w:i/>
              </w:rPr>
            </w:pPr>
            <w:r w:rsidRPr="00125038">
              <w:rPr>
                <w:i/>
              </w:rPr>
              <w:t>Date of complaint:</w:t>
            </w:r>
          </w:p>
        </w:tc>
        <w:tc>
          <w:tcPr>
            <w:tcW w:w="3969" w:type="dxa"/>
          </w:tcPr>
          <w:p w:rsidR="00125038" w:rsidRPr="00125038" w:rsidRDefault="00125038" w:rsidP="00125038">
            <w:pPr>
              <w:pStyle w:val="SingleTxtG"/>
              <w:ind w:left="0" w:right="0"/>
              <w:jc w:val="left"/>
            </w:pPr>
            <w:r w:rsidRPr="00125038">
              <w:rPr>
                <w:rStyle w:val="SingleTxtGChar"/>
              </w:rPr>
              <w:t>2 June 2014 (initial submission)</w:t>
            </w:r>
          </w:p>
        </w:tc>
      </w:tr>
      <w:tr w:rsidR="00125038" w:rsidRPr="00125038" w:rsidTr="00B44F26">
        <w:tc>
          <w:tcPr>
            <w:tcW w:w="3402" w:type="dxa"/>
          </w:tcPr>
          <w:p w:rsidR="00125038" w:rsidRPr="00125038" w:rsidRDefault="00125038" w:rsidP="0087521E">
            <w:pPr>
              <w:pStyle w:val="SingleTxtG"/>
              <w:ind w:left="0" w:right="0"/>
              <w:jc w:val="left"/>
              <w:rPr>
                <w:i/>
              </w:rPr>
            </w:pPr>
            <w:r w:rsidRPr="00125038">
              <w:rPr>
                <w:i/>
              </w:rPr>
              <w:t xml:space="preserve">Date of </w:t>
            </w:r>
            <w:r w:rsidRPr="00D349E1">
              <w:rPr>
                <w:i/>
              </w:rPr>
              <w:t>adoption of</w:t>
            </w:r>
            <w:r w:rsidRPr="00125038">
              <w:rPr>
                <w:i/>
              </w:rPr>
              <w:t xml:space="preserve"> decision:</w:t>
            </w:r>
          </w:p>
        </w:tc>
        <w:tc>
          <w:tcPr>
            <w:tcW w:w="3969" w:type="dxa"/>
            <w:vAlign w:val="bottom"/>
          </w:tcPr>
          <w:p w:rsidR="00125038" w:rsidRPr="00125038" w:rsidRDefault="00785670" w:rsidP="0087521E">
            <w:pPr>
              <w:pStyle w:val="SingleTxtG"/>
              <w:ind w:left="0" w:right="0"/>
              <w:jc w:val="left"/>
            </w:pPr>
            <w:r>
              <w:t>2</w:t>
            </w:r>
            <w:r w:rsidR="00125038" w:rsidRPr="00125038">
              <w:t xml:space="preserve"> August 2016</w:t>
            </w:r>
          </w:p>
        </w:tc>
      </w:tr>
      <w:tr w:rsidR="00125038" w:rsidRPr="00125038" w:rsidTr="00B44F26">
        <w:tc>
          <w:tcPr>
            <w:tcW w:w="3402" w:type="dxa"/>
          </w:tcPr>
          <w:p w:rsidR="00125038" w:rsidRPr="00125038" w:rsidRDefault="00125038" w:rsidP="0087521E">
            <w:pPr>
              <w:pStyle w:val="SingleTxtG"/>
              <w:ind w:left="0" w:right="0"/>
              <w:jc w:val="left"/>
              <w:rPr>
                <w:i/>
              </w:rPr>
            </w:pPr>
            <w:r w:rsidRPr="00125038">
              <w:rPr>
                <w:i/>
                <w:iCs/>
              </w:rPr>
              <w:t>Subject matter:</w:t>
            </w:r>
          </w:p>
        </w:tc>
        <w:tc>
          <w:tcPr>
            <w:tcW w:w="3969" w:type="dxa"/>
          </w:tcPr>
          <w:p w:rsidR="00125038" w:rsidRPr="00125038" w:rsidRDefault="00125038" w:rsidP="00125038">
            <w:pPr>
              <w:pStyle w:val="SingleTxtG"/>
              <w:ind w:left="0" w:right="0"/>
              <w:jc w:val="left"/>
            </w:pPr>
            <w:r w:rsidRPr="00125038">
              <w:rPr>
                <w:rStyle w:val="SingleTxtGChar"/>
              </w:rPr>
              <w:t xml:space="preserve">Deportation to Sri Lanka </w:t>
            </w:r>
          </w:p>
        </w:tc>
      </w:tr>
      <w:tr w:rsidR="002F00AB" w:rsidRPr="00125038" w:rsidTr="00B44F26">
        <w:tc>
          <w:tcPr>
            <w:tcW w:w="3402" w:type="dxa"/>
          </w:tcPr>
          <w:p w:rsidR="002F00AB" w:rsidRPr="00125038" w:rsidRDefault="002F00AB" w:rsidP="0087521E">
            <w:pPr>
              <w:pStyle w:val="SingleTxtG"/>
              <w:ind w:left="0" w:right="0"/>
              <w:jc w:val="left"/>
              <w:rPr>
                <w:i/>
                <w:iCs/>
              </w:rPr>
            </w:pPr>
            <w:r w:rsidRPr="00125038">
              <w:rPr>
                <w:i/>
                <w:iCs/>
              </w:rPr>
              <w:t>Procedural issues</w:t>
            </w:r>
            <w:r w:rsidRPr="00125038">
              <w:rPr>
                <w:i/>
              </w:rPr>
              <w:t>:</w:t>
            </w:r>
          </w:p>
        </w:tc>
        <w:tc>
          <w:tcPr>
            <w:tcW w:w="3969" w:type="dxa"/>
          </w:tcPr>
          <w:p w:rsidR="002F00AB" w:rsidRPr="00125038" w:rsidRDefault="00617E1A" w:rsidP="00617E1A">
            <w:pPr>
              <w:pStyle w:val="SingleTxtG"/>
              <w:ind w:left="0" w:right="0"/>
              <w:jc w:val="left"/>
              <w:rPr>
                <w:snapToGrid w:val="0"/>
              </w:rPr>
            </w:pPr>
            <w:r>
              <w:rPr>
                <w:kern w:val="3"/>
                <w:lang w:eastAsia="zh-CN"/>
              </w:rPr>
              <w:t>Insufficient</w:t>
            </w:r>
            <w:r w:rsidR="002F00AB" w:rsidRPr="00125038">
              <w:rPr>
                <w:kern w:val="3"/>
                <w:lang w:eastAsia="zh-CN"/>
              </w:rPr>
              <w:t xml:space="preserve"> substantiation of claims</w:t>
            </w:r>
            <w:r w:rsidR="002F00AB" w:rsidRPr="00125038">
              <w:rPr>
                <w:snapToGrid w:val="0"/>
              </w:rPr>
              <w:t xml:space="preserve"> </w:t>
            </w:r>
          </w:p>
        </w:tc>
      </w:tr>
      <w:tr w:rsidR="002F00AB" w:rsidRPr="00125038" w:rsidTr="00B44F26">
        <w:tc>
          <w:tcPr>
            <w:tcW w:w="3402" w:type="dxa"/>
          </w:tcPr>
          <w:p w:rsidR="002F00AB" w:rsidRPr="00125038" w:rsidRDefault="002F00AB" w:rsidP="0087521E">
            <w:pPr>
              <w:pStyle w:val="SingleTxtG"/>
              <w:ind w:left="0" w:right="0"/>
              <w:jc w:val="left"/>
              <w:rPr>
                <w:i/>
                <w:iCs/>
              </w:rPr>
            </w:pPr>
            <w:r w:rsidRPr="00125038">
              <w:rPr>
                <w:i/>
                <w:iCs/>
              </w:rPr>
              <w:t>Substantive issues:</w:t>
            </w:r>
          </w:p>
        </w:tc>
        <w:tc>
          <w:tcPr>
            <w:tcW w:w="3969" w:type="dxa"/>
          </w:tcPr>
          <w:p w:rsidR="002F00AB" w:rsidRPr="00125038" w:rsidRDefault="002F00AB" w:rsidP="006E6225">
            <w:pPr>
              <w:pStyle w:val="SingleTxtG"/>
              <w:ind w:left="0" w:right="0"/>
              <w:jc w:val="left"/>
            </w:pPr>
            <w:r w:rsidRPr="00125038">
              <w:rPr>
                <w:rStyle w:val="SingleTxtGChar"/>
              </w:rPr>
              <w:t>Risk of torture</w:t>
            </w:r>
            <w:r w:rsidR="006E6225">
              <w:rPr>
                <w:rStyle w:val="SingleTxtGChar"/>
              </w:rPr>
              <w:t>;</w:t>
            </w:r>
            <w:r w:rsidRPr="00125038">
              <w:rPr>
                <w:rStyle w:val="SingleTxtGChar"/>
              </w:rPr>
              <w:t xml:space="preserve"> non</w:t>
            </w:r>
            <w:r w:rsidRPr="00125038">
              <w:rPr>
                <w:iCs/>
              </w:rPr>
              <w:t>-refoulement</w:t>
            </w:r>
            <w:r w:rsidRPr="00125038">
              <w:rPr>
                <w:snapToGrid w:val="0"/>
              </w:rPr>
              <w:t xml:space="preserve"> </w:t>
            </w:r>
          </w:p>
        </w:tc>
      </w:tr>
      <w:tr w:rsidR="002F00AB" w:rsidRPr="00125038" w:rsidTr="00B44F26">
        <w:tc>
          <w:tcPr>
            <w:tcW w:w="3402" w:type="dxa"/>
          </w:tcPr>
          <w:p w:rsidR="002F00AB" w:rsidRPr="00125038" w:rsidRDefault="002F00AB" w:rsidP="00E9688A">
            <w:pPr>
              <w:pStyle w:val="SingleTxtG"/>
              <w:spacing w:after="240"/>
              <w:ind w:left="0" w:right="0"/>
              <w:jc w:val="left"/>
              <w:rPr>
                <w:i/>
                <w:iCs/>
              </w:rPr>
            </w:pPr>
            <w:r w:rsidRPr="00125038">
              <w:rPr>
                <w:i/>
                <w:iCs/>
              </w:rPr>
              <w:t>Article of the Convention</w:t>
            </w:r>
            <w:r w:rsidRPr="00125038">
              <w:rPr>
                <w:i/>
              </w:rPr>
              <w:t>:</w:t>
            </w:r>
          </w:p>
        </w:tc>
        <w:tc>
          <w:tcPr>
            <w:tcW w:w="3969" w:type="dxa"/>
          </w:tcPr>
          <w:p w:rsidR="002F00AB" w:rsidRPr="00125038" w:rsidRDefault="002F00AB" w:rsidP="00125038">
            <w:pPr>
              <w:pStyle w:val="SingleTxtG"/>
              <w:spacing w:after="240"/>
              <w:ind w:left="0" w:right="0"/>
              <w:jc w:val="left"/>
            </w:pPr>
            <w:r w:rsidRPr="00125038">
              <w:rPr>
                <w:snapToGrid w:val="0"/>
              </w:rPr>
              <w:t>3</w:t>
            </w:r>
          </w:p>
        </w:tc>
      </w:tr>
    </w:tbl>
    <w:p w:rsidR="00FF4B8D" w:rsidRPr="00DC05A1" w:rsidRDefault="002E3A50" w:rsidP="00B44F26">
      <w:pPr>
        <w:pStyle w:val="SingleTxtG"/>
        <w:spacing w:before="240"/>
      </w:pPr>
      <w:r>
        <w:t>1.1</w:t>
      </w:r>
      <w:r>
        <w:tab/>
      </w:r>
      <w:r w:rsidR="0086703C" w:rsidRPr="002E3A50">
        <w:t xml:space="preserve">The </w:t>
      </w:r>
      <w:r w:rsidR="00823D16" w:rsidRPr="002E3A50">
        <w:t>complainant</w:t>
      </w:r>
      <w:r w:rsidR="0086703C" w:rsidRPr="002E3A50">
        <w:t xml:space="preserve"> </w:t>
      </w:r>
      <w:r w:rsidR="00EA34F6" w:rsidRPr="002E3A50">
        <w:t>i</w:t>
      </w:r>
      <w:r w:rsidR="0086703C" w:rsidRPr="002E3A50">
        <w:t xml:space="preserve">s </w:t>
      </w:r>
      <w:r w:rsidR="001D047C">
        <w:t>M.N.</w:t>
      </w:r>
      <w:r w:rsidR="00F65F74" w:rsidRPr="002E3A50">
        <w:t xml:space="preserve">, </w:t>
      </w:r>
      <w:r w:rsidR="00D349E1">
        <w:t xml:space="preserve">a </w:t>
      </w:r>
      <w:r w:rsidR="00A45950" w:rsidRPr="002E3A50">
        <w:t>national</w:t>
      </w:r>
      <w:r w:rsidR="00D349E1">
        <w:t xml:space="preserve"> of </w:t>
      </w:r>
      <w:r w:rsidR="00D349E1" w:rsidRPr="002E3A50">
        <w:t>Sri Lanka</w:t>
      </w:r>
      <w:r w:rsidR="00FF4B8D">
        <w:t>,</w:t>
      </w:r>
      <w:r w:rsidR="00A45950" w:rsidRPr="002E3A50">
        <w:t xml:space="preserve"> </w:t>
      </w:r>
      <w:r w:rsidR="00F65F74" w:rsidRPr="002E3A50">
        <w:t xml:space="preserve">born </w:t>
      </w:r>
      <w:r w:rsidR="00FF4B8D">
        <w:t>in 1983</w:t>
      </w:r>
      <w:r w:rsidR="007B6112" w:rsidRPr="002E3A50">
        <w:t>.</w:t>
      </w:r>
      <w:r w:rsidR="00BD0D89" w:rsidRPr="002E3A50">
        <w:t xml:space="preserve"> </w:t>
      </w:r>
      <w:r w:rsidR="00FF4B8D">
        <w:t xml:space="preserve">He </w:t>
      </w:r>
      <w:r w:rsidR="0051724E" w:rsidRPr="002E3A50">
        <w:t xml:space="preserve">sought asylum in </w:t>
      </w:r>
      <w:r w:rsidR="002E076A" w:rsidRPr="002E3A50">
        <w:t>Australia</w:t>
      </w:r>
      <w:r w:rsidR="00020409">
        <w:t xml:space="preserve"> but</w:t>
      </w:r>
      <w:r w:rsidR="00BD0D89" w:rsidRPr="002E3A50">
        <w:t xml:space="preserve"> </w:t>
      </w:r>
      <w:r w:rsidR="007B6112" w:rsidRPr="002E3A50">
        <w:t xml:space="preserve">his application was rejected and he is awaiting </w:t>
      </w:r>
      <w:r w:rsidR="00BD0D89" w:rsidRPr="002E3A50">
        <w:t xml:space="preserve">forced removal </w:t>
      </w:r>
      <w:r w:rsidR="007B6112" w:rsidRPr="002E3A50">
        <w:t xml:space="preserve">to </w:t>
      </w:r>
      <w:r w:rsidR="002E076A" w:rsidRPr="002E3A50">
        <w:t>Sri Lanka</w:t>
      </w:r>
      <w:r w:rsidR="001950F4" w:rsidRPr="002E3A50">
        <w:t xml:space="preserve">. </w:t>
      </w:r>
      <w:r w:rsidR="00125ED9" w:rsidRPr="002E3A50">
        <w:t>H</w:t>
      </w:r>
      <w:r w:rsidR="007B6112" w:rsidRPr="002E3A50">
        <w:t xml:space="preserve">e </w:t>
      </w:r>
      <w:r w:rsidR="004D1415" w:rsidRPr="002E3A50">
        <w:t xml:space="preserve">claims that </w:t>
      </w:r>
      <w:r w:rsidR="00FF4B8D">
        <w:t xml:space="preserve">his removal to Sri Lanka by the State party </w:t>
      </w:r>
      <w:r w:rsidR="00FF4B8D" w:rsidRPr="00DC05A1">
        <w:rPr>
          <w:lang w:val="en-US"/>
        </w:rPr>
        <w:t>would constitute a violation of h</w:t>
      </w:r>
      <w:r w:rsidR="00FF4B8D">
        <w:rPr>
          <w:lang w:val="en-US"/>
        </w:rPr>
        <w:t>is</w:t>
      </w:r>
      <w:r w:rsidR="00FF4B8D" w:rsidRPr="00DC05A1">
        <w:rPr>
          <w:lang w:val="en-US"/>
        </w:rPr>
        <w:t xml:space="preserve"> right</w:t>
      </w:r>
      <w:r w:rsidR="00FF4B8D">
        <w:rPr>
          <w:lang w:val="en-US"/>
        </w:rPr>
        <w:t>s</w:t>
      </w:r>
      <w:r w:rsidR="00FF4B8D" w:rsidRPr="00DC05A1">
        <w:rPr>
          <w:lang w:val="en-US"/>
        </w:rPr>
        <w:t xml:space="preserve"> under article 3 of the Convention. </w:t>
      </w:r>
      <w:r w:rsidR="00FF4B8D">
        <w:rPr>
          <w:lang w:val="en-US"/>
        </w:rPr>
        <w:t xml:space="preserve">He is represented by counsel. </w:t>
      </w:r>
    </w:p>
    <w:p w:rsidR="00F11BF8" w:rsidRPr="002E3A50" w:rsidRDefault="00FF4B8D" w:rsidP="00DE69A7">
      <w:pPr>
        <w:pStyle w:val="SingleTxtG"/>
      </w:pPr>
      <w:r>
        <w:t>1.2</w:t>
      </w:r>
      <w:r w:rsidR="00276D04">
        <w:t xml:space="preserve"> </w:t>
      </w:r>
      <w:r w:rsidR="00276D04">
        <w:tab/>
        <w:t>On 3 June 2014</w:t>
      </w:r>
      <w:r w:rsidR="00276D04" w:rsidRPr="004B7448">
        <w:t>, pursuant to rule 114, paragraph 1, of its rules of procedure</w:t>
      </w:r>
      <w:r w:rsidR="00276D04">
        <w:t>, the Committee</w:t>
      </w:r>
      <w:r w:rsidR="00276D04" w:rsidRPr="006B7D6C">
        <w:t xml:space="preserve">, acting through its </w:t>
      </w:r>
      <w:r w:rsidR="00276D04" w:rsidRPr="00DC7EFE">
        <w:t>Rapporteur on new complaints and interim measures</w:t>
      </w:r>
      <w:r w:rsidR="00276D04">
        <w:t xml:space="preserve">, </w:t>
      </w:r>
      <w:r w:rsidR="00276D04" w:rsidRPr="006B7D6C">
        <w:t>requested t</w:t>
      </w:r>
      <w:r w:rsidR="00276D04">
        <w:t>he State party</w:t>
      </w:r>
      <w:r w:rsidR="00276D04" w:rsidRPr="006B7D6C">
        <w:t xml:space="preserve"> to refrain from returning the complainant to </w:t>
      </w:r>
      <w:r w:rsidR="00276D04">
        <w:t xml:space="preserve">Sri Lanka while his complaint was being considered by the Committee. </w:t>
      </w:r>
    </w:p>
    <w:p w:rsidR="00CA7A6D" w:rsidRDefault="009A4FC9" w:rsidP="00B44F26">
      <w:pPr>
        <w:pStyle w:val="H23G"/>
      </w:pPr>
      <w:r>
        <w:lastRenderedPageBreak/>
        <w:tab/>
      </w:r>
      <w:r>
        <w:tab/>
      </w:r>
      <w:r w:rsidR="00925E89">
        <w:t>Factual background</w:t>
      </w:r>
    </w:p>
    <w:p w:rsidR="00572F7F" w:rsidRDefault="00BA723F" w:rsidP="00B44F26">
      <w:pPr>
        <w:pStyle w:val="SingleTxtG"/>
        <w:rPr>
          <w:lang w:eastAsia="en-CA"/>
        </w:rPr>
      </w:pPr>
      <w:r w:rsidRPr="00BA723F">
        <w:t>2.1</w:t>
      </w:r>
      <w:r w:rsidRPr="00BA723F">
        <w:tab/>
      </w:r>
      <w:r w:rsidR="00F36C81" w:rsidRPr="00F36C81">
        <w:rPr>
          <w:rFonts w:eastAsia="Calibri"/>
        </w:rPr>
        <w:t xml:space="preserve">The </w:t>
      </w:r>
      <w:r w:rsidR="00B56C72">
        <w:rPr>
          <w:rFonts w:eastAsia="Calibri"/>
        </w:rPr>
        <w:t>complainant</w:t>
      </w:r>
      <w:r w:rsidR="00276D04">
        <w:rPr>
          <w:rFonts w:eastAsia="Calibri"/>
        </w:rPr>
        <w:t xml:space="preserve"> </w:t>
      </w:r>
      <w:r w:rsidR="00276D04" w:rsidRPr="00AE7D12">
        <w:t xml:space="preserve">is of Tamil ethnicity. He </w:t>
      </w:r>
      <w:r w:rsidR="00273003">
        <w:t xml:space="preserve">grew up and </w:t>
      </w:r>
      <w:r w:rsidR="00276D04" w:rsidRPr="00AE7D12">
        <w:t xml:space="preserve">lived </w:t>
      </w:r>
      <w:r w:rsidR="00276D04">
        <w:t xml:space="preserve">in </w:t>
      </w:r>
      <w:r w:rsidR="00273003">
        <w:t xml:space="preserve">the village of Mankadu, </w:t>
      </w:r>
      <w:r w:rsidR="00276D04">
        <w:t>Batticaloa District</w:t>
      </w:r>
      <w:r w:rsidR="00262E7C">
        <w:t>, Eastern Province</w:t>
      </w:r>
      <w:r w:rsidR="00276D04">
        <w:t xml:space="preserve">. He claims that between </w:t>
      </w:r>
      <w:r w:rsidR="006C75A0">
        <w:t xml:space="preserve">October </w:t>
      </w:r>
      <w:r w:rsidR="00276D04">
        <w:t>2003 and March 2004</w:t>
      </w:r>
      <w:r w:rsidR="00276D04">
        <w:rPr>
          <w:lang w:eastAsia="en-CA"/>
        </w:rPr>
        <w:t xml:space="preserve"> he worked as an administrative assistant with the </w:t>
      </w:r>
      <w:r w:rsidR="006B70A1">
        <w:rPr>
          <w:lang w:eastAsia="en-CA"/>
        </w:rPr>
        <w:t>Liberation Tigers of Tamil Eelam (</w:t>
      </w:r>
      <w:r w:rsidR="00276D04">
        <w:rPr>
          <w:lang w:eastAsia="en-CA"/>
        </w:rPr>
        <w:t>LTTE</w:t>
      </w:r>
      <w:r w:rsidR="006B70A1">
        <w:rPr>
          <w:lang w:eastAsia="en-CA"/>
        </w:rPr>
        <w:t>)</w:t>
      </w:r>
      <w:r w:rsidR="00276D04">
        <w:rPr>
          <w:lang w:eastAsia="en-CA"/>
        </w:rPr>
        <w:t xml:space="preserve"> in the Batticaloa area</w:t>
      </w:r>
      <w:r w:rsidR="004B59D0">
        <w:rPr>
          <w:lang w:eastAsia="en-CA"/>
        </w:rPr>
        <w:t xml:space="preserve">, helping people to fill in forms </w:t>
      </w:r>
      <w:r w:rsidR="007034D1">
        <w:rPr>
          <w:lang w:eastAsia="en-CA"/>
        </w:rPr>
        <w:t>to</w:t>
      </w:r>
      <w:r w:rsidR="00020409">
        <w:rPr>
          <w:lang w:eastAsia="en-CA"/>
        </w:rPr>
        <w:t xml:space="preserve"> allow them to</w:t>
      </w:r>
      <w:r w:rsidR="004B59D0">
        <w:rPr>
          <w:lang w:eastAsia="en-CA"/>
        </w:rPr>
        <w:t xml:space="preserve"> access LTTE</w:t>
      </w:r>
      <w:r w:rsidR="00D641FB">
        <w:rPr>
          <w:lang w:eastAsia="en-CA"/>
        </w:rPr>
        <w:t>-</w:t>
      </w:r>
      <w:r w:rsidR="004B59D0">
        <w:rPr>
          <w:lang w:eastAsia="en-CA"/>
        </w:rPr>
        <w:t>controlled areas</w:t>
      </w:r>
      <w:r w:rsidR="00572F7F">
        <w:rPr>
          <w:lang w:eastAsia="en-CA"/>
        </w:rPr>
        <w:t>.</w:t>
      </w:r>
    </w:p>
    <w:p w:rsidR="00374402" w:rsidRDefault="00572F7F" w:rsidP="00B44F26">
      <w:pPr>
        <w:pStyle w:val="SingleTxtG"/>
        <w:rPr>
          <w:lang w:eastAsia="en-CA"/>
        </w:rPr>
      </w:pPr>
      <w:r>
        <w:rPr>
          <w:lang w:eastAsia="en-CA"/>
        </w:rPr>
        <w:t xml:space="preserve">2.2 </w:t>
      </w:r>
      <w:r>
        <w:rPr>
          <w:lang w:eastAsia="en-CA"/>
        </w:rPr>
        <w:tab/>
      </w:r>
      <w:r w:rsidR="00925E89">
        <w:rPr>
          <w:lang w:eastAsia="en-CA"/>
        </w:rPr>
        <w:t>The complainant submits that i</w:t>
      </w:r>
      <w:r w:rsidR="00276D04">
        <w:rPr>
          <w:lang w:eastAsia="en-CA"/>
        </w:rPr>
        <w:t xml:space="preserve">n 2004, </w:t>
      </w:r>
      <w:r w:rsidR="002F6324">
        <w:rPr>
          <w:lang w:eastAsia="en-CA"/>
        </w:rPr>
        <w:t>an</w:t>
      </w:r>
      <w:r w:rsidR="00276D04">
        <w:rPr>
          <w:lang w:eastAsia="en-CA"/>
        </w:rPr>
        <w:t xml:space="preserve"> LTTE commander </w:t>
      </w:r>
      <w:r w:rsidR="002F6324">
        <w:rPr>
          <w:lang w:eastAsia="en-CA"/>
        </w:rPr>
        <w:t xml:space="preserve">known as </w:t>
      </w:r>
      <w:r w:rsidR="00276D04">
        <w:rPr>
          <w:lang w:eastAsia="en-CA"/>
        </w:rPr>
        <w:t>Karuna split from LTTE and</w:t>
      </w:r>
      <w:r>
        <w:rPr>
          <w:lang w:eastAsia="en-CA"/>
        </w:rPr>
        <w:t xml:space="preserve"> formed </w:t>
      </w:r>
      <w:r w:rsidR="002F6324">
        <w:rPr>
          <w:lang w:eastAsia="en-CA"/>
        </w:rPr>
        <w:t>what became</w:t>
      </w:r>
      <w:r>
        <w:rPr>
          <w:lang w:eastAsia="en-CA"/>
        </w:rPr>
        <w:t xml:space="preserve"> known as the Karuna Grou</w:t>
      </w:r>
      <w:r w:rsidR="002A08AC">
        <w:rPr>
          <w:lang w:eastAsia="en-CA"/>
        </w:rPr>
        <w:t>p</w:t>
      </w:r>
      <w:r>
        <w:rPr>
          <w:lang w:eastAsia="en-CA"/>
        </w:rPr>
        <w:t>. The</w:t>
      </w:r>
      <w:r w:rsidR="00276D04">
        <w:rPr>
          <w:lang w:eastAsia="en-CA"/>
        </w:rPr>
        <w:t xml:space="preserve"> fight </w:t>
      </w:r>
      <w:r w:rsidR="00020409">
        <w:rPr>
          <w:lang w:eastAsia="en-CA"/>
        </w:rPr>
        <w:t>between</w:t>
      </w:r>
      <w:r w:rsidR="00276D04">
        <w:rPr>
          <w:lang w:eastAsia="en-CA"/>
        </w:rPr>
        <w:t xml:space="preserve"> factions </w:t>
      </w:r>
      <w:r w:rsidR="002F6324">
        <w:rPr>
          <w:lang w:eastAsia="en-CA"/>
        </w:rPr>
        <w:t>led to</w:t>
      </w:r>
      <w:r w:rsidR="00276D04">
        <w:rPr>
          <w:lang w:eastAsia="en-CA"/>
        </w:rPr>
        <w:t xml:space="preserve"> considerable violence in th</w:t>
      </w:r>
      <w:r>
        <w:rPr>
          <w:lang w:eastAsia="en-CA"/>
        </w:rPr>
        <w:t>e Batticaloa area</w:t>
      </w:r>
      <w:r w:rsidR="00276D04">
        <w:rPr>
          <w:lang w:eastAsia="en-CA"/>
        </w:rPr>
        <w:t xml:space="preserve">. </w:t>
      </w:r>
      <w:r w:rsidR="00374402">
        <w:rPr>
          <w:lang w:eastAsia="en-CA"/>
        </w:rPr>
        <w:t>In th</w:t>
      </w:r>
      <w:r w:rsidR="002F6324">
        <w:rPr>
          <w:lang w:eastAsia="en-CA"/>
        </w:rPr>
        <w:t>at</w:t>
      </w:r>
      <w:r w:rsidR="00374402">
        <w:rPr>
          <w:lang w:eastAsia="en-CA"/>
        </w:rPr>
        <w:t xml:space="preserve"> context, a friend </w:t>
      </w:r>
      <w:r w:rsidR="00DE69A7">
        <w:rPr>
          <w:lang w:eastAsia="en-CA"/>
        </w:rPr>
        <w:t xml:space="preserve">of the complainant’s </w:t>
      </w:r>
      <w:r w:rsidR="00374402">
        <w:rPr>
          <w:lang w:eastAsia="en-CA"/>
        </w:rPr>
        <w:t xml:space="preserve">who worked with him in LTTE was kidnapped from a neighbouring village. </w:t>
      </w:r>
      <w:r w:rsidR="00925E89">
        <w:rPr>
          <w:lang w:eastAsia="en-CA"/>
        </w:rPr>
        <w:t>Since t</w:t>
      </w:r>
      <w:r>
        <w:rPr>
          <w:lang w:eastAsia="en-CA"/>
        </w:rPr>
        <w:t xml:space="preserve">he complainant </w:t>
      </w:r>
      <w:r w:rsidR="00374402">
        <w:rPr>
          <w:lang w:eastAsia="en-CA"/>
        </w:rPr>
        <w:t xml:space="preserve">feared </w:t>
      </w:r>
      <w:r w:rsidR="00020409">
        <w:rPr>
          <w:lang w:eastAsia="en-CA"/>
        </w:rPr>
        <w:t xml:space="preserve">falling </w:t>
      </w:r>
      <w:r w:rsidR="00374402">
        <w:rPr>
          <w:lang w:eastAsia="en-CA"/>
        </w:rPr>
        <w:t xml:space="preserve">victim </w:t>
      </w:r>
      <w:r w:rsidR="00020409">
        <w:rPr>
          <w:lang w:eastAsia="en-CA"/>
        </w:rPr>
        <w:t>to</w:t>
      </w:r>
      <w:r w:rsidR="00374402">
        <w:rPr>
          <w:lang w:eastAsia="en-CA"/>
        </w:rPr>
        <w:t xml:space="preserve"> th</w:t>
      </w:r>
      <w:r w:rsidR="00D1138B">
        <w:rPr>
          <w:lang w:eastAsia="en-CA"/>
        </w:rPr>
        <w:t>e</w:t>
      </w:r>
      <w:r w:rsidR="00374402">
        <w:rPr>
          <w:lang w:eastAsia="en-CA"/>
        </w:rPr>
        <w:t xml:space="preserve"> violence, </w:t>
      </w:r>
      <w:r w:rsidR="00262E7C">
        <w:rPr>
          <w:lang w:eastAsia="en-CA"/>
        </w:rPr>
        <w:t>on 29</w:t>
      </w:r>
      <w:r w:rsidR="00374402">
        <w:rPr>
          <w:lang w:eastAsia="en-CA"/>
        </w:rPr>
        <w:t xml:space="preserve"> April 2004 he went to Qatar, where he stayed </w:t>
      </w:r>
      <w:r w:rsidR="00D1138B">
        <w:rPr>
          <w:lang w:eastAsia="en-CA"/>
        </w:rPr>
        <w:t>on</w:t>
      </w:r>
      <w:r w:rsidR="00262E7C">
        <w:rPr>
          <w:lang w:eastAsia="en-CA"/>
        </w:rPr>
        <w:t xml:space="preserve"> a temporary work visa </w:t>
      </w:r>
      <w:r w:rsidR="00374402">
        <w:rPr>
          <w:lang w:eastAsia="en-CA"/>
        </w:rPr>
        <w:t xml:space="preserve">until 2010. </w:t>
      </w:r>
      <w:r w:rsidR="002A08AC">
        <w:rPr>
          <w:lang w:eastAsia="en-CA"/>
        </w:rPr>
        <w:t xml:space="preserve">The Karuna Group </w:t>
      </w:r>
      <w:r w:rsidR="00054BCB">
        <w:rPr>
          <w:lang w:eastAsia="en-CA"/>
        </w:rPr>
        <w:t xml:space="preserve">was </w:t>
      </w:r>
      <w:r w:rsidR="002A08AC">
        <w:rPr>
          <w:lang w:eastAsia="en-CA"/>
        </w:rPr>
        <w:t xml:space="preserve">also </w:t>
      </w:r>
      <w:r w:rsidR="00054BCB">
        <w:rPr>
          <w:lang w:eastAsia="en-CA"/>
        </w:rPr>
        <w:t xml:space="preserve">in </w:t>
      </w:r>
      <w:r w:rsidR="002A08AC">
        <w:rPr>
          <w:lang w:eastAsia="en-CA"/>
        </w:rPr>
        <w:t>disput</w:t>
      </w:r>
      <w:r w:rsidR="00054BCB">
        <w:rPr>
          <w:lang w:eastAsia="en-CA"/>
        </w:rPr>
        <w:t>e</w:t>
      </w:r>
      <w:r w:rsidR="002A08AC">
        <w:rPr>
          <w:lang w:eastAsia="en-CA"/>
        </w:rPr>
        <w:t xml:space="preserve"> </w:t>
      </w:r>
      <w:r w:rsidR="00054BCB">
        <w:rPr>
          <w:lang w:eastAsia="en-CA"/>
        </w:rPr>
        <w:t>with</w:t>
      </w:r>
      <w:r w:rsidR="002A08AC">
        <w:rPr>
          <w:lang w:eastAsia="en-CA"/>
        </w:rPr>
        <w:t xml:space="preserve"> the Tamil Makkal Viduthalai Pulikal (TMVP) or Pillayan Group</w:t>
      </w:r>
      <w:r w:rsidR="00054BCB">
        <w:rPr>
          <w:lang w:eastAsia="en-CA"/>
        </w:rPr>
        <w:t xml:space="preserve"> over control of territory</w:t>
      </w:r>
      <w:r w:rsidR="002A08AC">
        <w:rPr>
          <w:lang w:eastAsia="en-CA"/>
        </w:rPr>
        <w:t xml:space="preserve">. </w:t>
      </w:r>
      <w:r w:rsidR="00054BCB">
        <w:rPr>
          <w:lang w:eastAsia="en-CA"/>
        </w:rPr>
        <w:t xml:space="preserve">The complainant submits </w:t>
      </w:r>
      <w:r w:rsidR="00145655">
        <w:rPr>
          <w:lang w:eastAsia="en-CA"/>
        </w:rPr>
        <w:t xml:space="preserve">that in September 2008, </w:t>
      </w:r>
      <w:r w:rsidR="00BA62E8">
        <w:rPr>
          <w:lang w:eastAsia="en-CA"/>
        </w:rPr>
        <w:t>his</w:t>
      </w:r>
      <w:r w:rsidR="00145655">
        <w:rPr>
          <w:lang w:eastAsia="en-CA"/>
        </w:rPr>
        <w:t xml:space="preserve"> cousin</w:t>
      </w:r>
      <w:r w:rsidR="00BA62E8">
        <w:rPr>
          <w:lang w:eastAsia="en-CA"/>
        </w:rPr>
        <w:t xml:space="preserve">, L.L., </w:t>
      </w:r>
      <w:r w:rsidR="00145655">
        <w:rPr>
          <w:lang w:eastAsia="en-CA"/>
        </w:rPr>
        <w:t>was shot dead in the complainant’s village</w:t>
      </w:r>
      <w:r w:rsidR="00BA62E8">
        <w:rPr>
          <w:lang w:eastAsia="en-CA"/>
        </w:rPr>
        <w:t xml:space="preserve">. His family believes that was a reprisal </w:t>
      </w:r>
      <w:r w:rsidR="001E673A">
        <w:rPr>
          <w:lang w:eastAsia="en-CA"/>
        </w:rPr>
        <w:t>carried out</w:t>
      </w:r>
      <w:r w:rsidR="00BA62E8">
        <w:rPr>
          <w:lang w:eastAsia="en-CA"/>
        </w:rPr>
        <w:t xml:space="preserve"> by </w:t>
      </w:r>
      <w:r w:rsidR="00145655">
        <w:rPr>
          <w:lang w:eastAsia="en-CA"/>
        </w:rPr>
        <w:t>TMVP</w:t>
      </w:r>
      <w:r w:rsidR="00BA62E8">
        <w:rPr>
          <w:lang w:eastAsia="en-CA"/>
        </w:rPr>
        <w:t xml:space="preserve">, because </w:t>
      </w:r>
      <w:r w:rsidR="00020409">
        <w:rPr>
          <w:lang w:eastAsia="en-CA"/>
        </w:rPr>
        <w:t>the cousin</w:t>
      </w:r>
      <w:r w:rsidR="00BA62E8">
        <w:rPr>
          <w:lang w:eastAsia="en-CA"/>
        </w:rPr>
        <w:t>, who was an engineer, had fall</w:t>
      </w:r>
      <w:r w:rsidR="00054BCB">
        <w:rPr>
          <w:lang w:eastAsia="en-CA"/>
        </w:rPr>
        <w:t>e</w:t>
      </w:r>
      <w:r w:rsidR="00BA62E8">
        <w:rPr>
          <w:lang w:eastAsia="en-CA"/>
        </w:rPr>
        <w:t>n out with TMVP over some commercial contracts</w:t>
      </w:r>
      <w:r w:rsidR="00145655">
        <w:rPr>
          <w:lang w:eastAsia="en-CA"/>
        </w:rPr>
        <w:t>.</w:t>
      </w:r>
      <w:r w:rsidR="00523029" w:rsidRPr="00523029">
        <w:rPr>
          <w:rStyle w:val="FootnoteReference"/>
          <w:lang w:eastAsia="en-CA"/>
        </w:rPr>
        <w:t xml:space="preserve"> </w:t>
      </w:r>
    </w:p>
    <w:p w:rsidR="00145655" w:rsidRDefault="00374402" w:rsidP="00B44F26">
      <w:pPr>
        <w:pStyle w:val="SingleTxtG"/>
        <w:rPr>
          <w:lang w:eastAsia="en-CA"/>
        </w:rPr>
      </w:pPr>
      <w:r>
        <w:rPr>
          <w:lang w:eastAsia="en-CA"/>
        </w:rPr>
        <w:t>2.3</w:t>
      </w:r>
      <w:r w:rsidR="00145655">
        <w:rPr>
          <w:lang w:eastAsia="en-CA"/>
        </w:rPr>
        <w:t xml:space="preserve"> </w:t>
      </w:r>
      <w:r w:rsidR="00145655">
        <w:rPr>
          <w:lang w:eastAsia="en-CA"/>
        </w:rPr>
        <w:tab/>
      </w:r>
      <w:r w:rsidR="00262E7C">
        <w:rPr>
          <w:lang w:eastAsia="en-CA"/>
        </w:rPr>
        <w:t>On 16</w:t>
      </w:r>
      <w:r w:rsidR="00276D04">
        <w:rPr>
          <w:lang w:eastAsia="en-CA"/>
        </w:rPr>
        <w:t xml:space="preserve"> April 2010, the complainant returned to Sri Lanka, since he believed that the war ha</w:t>
      </w:r>
      <w:r w:rsidR="0095354C">
        <w:rPr>
          <w:lang w:eastAsia="en-CA"/>
        </w:rPr>
        <w:t>d</w:t>
      </w:r>
      <w:r w:rsidR="00276D04">
        <w:rPr>
          <w:lang w:eastAsia="en-CA"/>
        </w:rPr>
        <w:t xml:space="preserve"> ended. </w:t>
      </w:r>
      <w:r w:rsidR="00273003">
        <w:rPr>
          <w:lang w:eastAsia="en-CA"/>
        </w:rPr>
        <w:t xml:space="preserve">He lived in the village of Thetativu, where his mother </w:t>
      </w:r>
      <w:r w:rsidR="001E673A">
        <w:rPr>
          <w:lang w:eastAsia="en-CA"/>
        </w:rPr>
        <w:t xml:space="preserve">had </w:t>
      </w:r>
      <w:r w:rsidR="00273003">
        <w:rPr>
          <w:lang w:eastAsia="en-CA"/>
        </w:rPr>
        <w:t xml:space="preserve">moved while he was abroad. </w:t>
      </w:r>
      <w:r w:rsidR="006B70A1">
        <w:rPr>
          <w:lang w:eastAsia="en-CA"/>
        </w:rPr>
        <w:t>He purchased</w:t>
      </w:r>
      <w:r w:rsidR="006A5D9D">
        <w:rPr>
          <w:lang w:eastAsia="en-CA"/>
        </w:rPr>
        <w:t xml:space="preserve"> a truck and began operating </w:t>
      </w:r>
      <w:r w:rsidR="006B70A1">
        <w:rPr>
          <w:lang w:eastAsia="en-CA"/>
        </w:rPr>
        <w:t xml:space="preserve">an agricultural transport business </w:t>
      </w:r>
      <w:r w:rsidR="006A5D9D">
        <w:rPr>
          <w:lang w:eastAsia="en-CA"/>
        </w:rPr>
        <w:t>as a carrier in the area of Batticaloa. He claims that TMVP was active in the area</w:t>
      </w:r>
      <w:r w:rsidR="00CC74DE">
        <w:rPr>
          <w:lang w:eastAsia="en-CA"/>
        </w:rPr>
        <w:t>,</w:t>
      </w:r>
      <w:r w:rsidR="00350CD9">
        <w:rPr>
          <w:lang w:eastAsia="en-CA"/>
        </w:rPr>
        <w:t xml:space="preserve"> and</w:t>
      </w:r>
      <w:r w:rsidR="006A5D9D">
        <w:rPr>
          <w:lang w:eastAsia="en-CA"/>
        </w:rPr>
        <w:t xml:space="preserve"> that </w:t>
      </w:r>
      <w:r w:rsidR="00350CD9">
        <w:rPr>
          <w:lang w:eastAsia="en-CA"/>
        </w:rPr>
        <w:t xml:space="preserve">after an incident with some local people </w:t>
      </w:r>
      <w:r w:rsidR="006A5D9D">
        <w:rPr>
          <w:lang w:eastAsia="en-CA"/>
        </w:rPr>
        <w:t>in January 2012</w:t>
      </w:r>
      <w:r w:rsidR="00350CD9">
        <w:rPr>
          <w:lang w:eastAsia="en-CA"/>
        </w:rPr>
        <w:t xml:space="preserve">, it became antagonistic towards his village. </w:t>
      </w:r>
      <w:r w:rsidR="006A5D9D">
        <w:rPr>
          <w:lang w:eastAsia="en-CA"/>
        </w:rPr>
        <w:t>On 15 March</w:t>
      </w:r>
      <w:r w:rsidR="00276D04">
        <w:rPr>
          <w:lang w:eastAsia="en-CA"/>
        </w:rPr>
        <w:t xml:space="preserve"> 2012, </w:t>
      </w:r>
      <w:r w:rsidR="004B7448">
        <w:rPr>
          <w:lang w:eastAsia="en-CA"/>
        </w:rPr>
        <w:t>he was in Jaffna when</w:t>
      </w:r>
      <w:r w:rsidR="006B70A1">
        <w:rPr>
          <w:lang w:eastAsia="en-CA"/>
        </w:rPr>
        <w:t xml:space="preserve"> he received a </w:t>
      </w:r>
      <w:r w:rsidR="001E673A">
        <w:rPr>
          <w:lang w:eastAsia="en-CA"/>
        </w:rPr>
        <w:t>tele</w:t>
      </w:r>
      <w:r w:rsidR="006B70A1">
        <w:rPr>
          <w:lang w:eastAsia="en-CA"/>
        </w:rPr>
        <w:t xml:space="preserve">phone call from someone claiming to be in </w:t>
      </w:r>
      <w:r w:rsidR="00276D04">
        <w:rPr>
          <w:lang w:eastAsia="en-CA"/>
        </w:rPr>
        <w:t>TMVP</w:t>
      </w:r>
      <w:r w:rsidR="006B70A1">
        <w:rPr>
          <w:lang w:eastAsia="en-CA"/>
        </w:rPr>
        <w:t xml:space="preserve">. </w:t>
      </w:r>
      <w:r w:rsidR="007629E7">
        <w:rPr>
          <w:lang w:eastAsia="en-CA"/>
        </w:rPr>
        <w:t>He claims that t</w:t>
      </w:r>
      <w:r w:rsidR="006B70A1">
        <w:rPr>
          <w:lang w:eastAsia="en-CA"/>
        </w:rPr>
        <w:t>h</w:t>
      </w:r>
      <w:r w:rsidR="001E673A">
        <w:rPr>
          <w:lang w:eastAsia="en-CA"/>
        </w:rPr>
        <w:t>e</w:t>
      </w:r>
      <w:r w:rsidR="006B70A1">
        <w:rPr>
          <w:lang w:eastAsia="en-CA"/>
        </w:rPr>
        <w:t xml:space="preserve"> person</w:t>
      </w:r>
      <w:r w:rsidR="00276D04">
        <w:rPr>
          <w:lang w:eastAsia="en-CA"/>
        </w:rPr>
        <w:t xml:space="preserve"> wanted to use his truck</w:t>
      </w:r>
      <w:r w:rsidR="006A5D9D">
        <w:rPr>
          <w:lang w:eastAsia="en-CA"/>
        </w:rPr>
        <w:t xml:space="preserve"> to prepare a TMVP conference </w:t>
      </w:r>
      <w:r w:rsidR="001E673A">
        <w:rPr>
          <w:lang w:eastAsia="en-CA"/>
        </w:rPr>
        <w:t>that</w:t>
      </w:r>
      <w:r w:rsidR="006A5D9D">
        <w:rPr>
          <w:lang w:eastAsia="en-CA"/>
        </w:rPr>
        <w:t xml:space="preserve"> was to be held near Batticaloa</w:t>
      </w:r>
      <w:r w:rsidR="002A08AC">
        <w:rPr>
          <w:lang w:eastAsia="en-CA"/>
        </w:rPr>
        <w:t>. H</w:t>
      </w:r>
      <w:r w:rsidR="006A5D9D">
        <w:rPr>
          <w:lang w:eastAsia="en-CA"/>
        </w:rPr>
        <w:t xml:space="preserve">e refused </w:t>
      </w:r>
      <w:r w:rsidR="006B70A1">
        <w:rPr>
          <w:lang w:eastAsia="en-CA"/>
        </w:rPr>
        <w:t xml:space="preserve">to lend </w:t>
      </w:r>
      <w:r w:rsidR="00CC74DE">
        <w:rPr>
          <w:lang w:eastAsia="en-CA"/>
        </w:rPr>
        <w:t xml:space="preserve">them </w:t>
      </w:r>
      <w:r w:rsidR="006B70A1">
        <w:rPr>
          <w:lang w:eastAsia="en-CA"/>
        </w:rPr>
        <w:t>his truck</w:t>
      </w:r>
      <w:r w:rsidR="00CC74DE">
        <w:rPr>
          <w:lang w:eastAsia="en-CA"/>
        </w:rPr>
        <w:t>,</w:t>
      </w:r>
      <w:r w:rsidR="005D0619">
        <w:rPr>
          <w:lang w:eastAsia="en-CA"/>
        </w:rPr>
        <w:t xml:space="preserve"> telling</w:t>
      </w:r>
      <w:r w:rsidR="002A08AC">
        <w:rPr>
          <w:lang w:eastAsia="en-CA"/>
        </w:rPr>
        <w:t xml:space="preserve"> th</w:t>
      </w:r>
      <w:r w:rsidR="001E673A">
        <w:rPr>
          <w:lang w:eastAsia="en-CA"/>
        </w:rPr>
        <w:t>e</w:t>
      </w:r>
      <w:r w:rsidR="002A08AC">
        <w:rPr>
          <w:lang w:eastAsia="en-CA"/>
        </w:rPr>
        <w:t xml:space="preserve"> person</w:t>
      </w:r>
      <w:r w:rsidR="007629E7">
        <w:rPr>
          <w:lang w:eastAsia="en-CA"/>
        </w:rPr>
        <w:t xml:space="preserve"> that he was in Jaffna on business and so could not provide the truck the next day. Th</w:t>
      </w:r>
      <w:r w:rsidR="006A5D9D">
        <w:rPr>
          <w:lang w:eastAsia="en-CA"/>
        </w:rPr>
        <w:t xml:space="preserve">e </w:t>
      </w:r>
      <w:r w:rsidR="007629E7">
        <w:rPr>
          <w:lang w:eastAsia="en-CA"/>
        </w:rPr>
        <w:t xml:space="preserve">complainant submits that he </w:t>
      </w:r>
      <w:r w:rsidR="006A5D9D">
        <w:rPr>
          <w:lang w:eastAsia="en-CA"/>
        </w:rPr>
        <w:t>was not sure that the</w:t>
      </w:r>
      <w:r w:rsidR="001E673A">
        <w:rPr>
          <w:lang w:eastAsia="en-CA"/>
        </w:rPr>
        <w:t xml:space="preserve"> person</w:t>
      </w:r>
      <w:r w:rsidR="006A5D9D">
        <w:rPr>
          <w:lang w:eastAsia="en-CA"/>
        </w:rPr>
        <w:t xml:space="preserve"> would pay him and return the truck</w:t>
      </w:r>
      <w:r w:rsidR="00276D04">
        <w:rPr>
          <w:lang w:eastAsia="en-CA"/>
        </w:rPr>
        <w:t xml:space="preserve">. </w:t>
      </w:r>
      <w:r w:rsidR="007629E7">
        <w:rPr>
          <w:lang w:eastAsia="en-CA"/>
        </w:rPr>
        <w:t>He was called again the next day</w:t>
      </w:r>
      <w:r w:rsidR="004B7448">
        <w:rPr>
          <w:lang w:eastAsia="en-CA"/>
        </w:rPr>
        <w:t xml:space="preserve"> and, </w:t>
      </w:r>
      <w:r w:rsidR="001E673A">
        <w:rPr>
          <w:lang w:eastAsia="en-CA"/>
        </w:rPr>
        <w:t>on that occasion</w:t>
      </w:r>
      <w:r w:rsidR="004B7448">
        <w:rPr>
          <w:lang w:eastAsia="en-CA"/>
        </w:rPr>
        <w:t xml:space="preserve">, </w:t>
      </w:r>
      <w:r w:rsidR="00276D04">
        <w:rPr>
          <w:lang w:eastAsia="en-CA"/>
        </w:rPr>
        <w:t>the TMVP member threatened him</w:t>
      </w:r>
      <w:r w:rsidR="00523029">
        <w:rPr>
          <w:lang w:eastAsia="en-CA"/>
        </w:rPr>
        <w:t>, saying “we will soon see what will happen to you”</w:t>
      </w:r>
      <w:r w:rsidR="00655CBC">
        <w:rPr>
          <w:lang w:eastAsia="en-CA"/>
        </w:rPr>
        <w:t xml:space="preserve">. Four days later, two </w:t>
      </w:r>
      <w:r w:rsidR="005D0619">
        <w:rPr>
          <w:lang w:eastAsia="en-CA"/>
        </w:rPr>
        <w:t xml:space="preserve">unknown men allegedly from </w:t>
      </w:r>
      <w:r w:rsidR="00276D04">
        <w:rPr>
          <w:lang w:eastAsia="en-CA"/>
        </w:rPr>
        <w:t xml:space="preserve">TMVP </w:t>
      </w:r>
      <w:r w:rsidR="00CC74DE">
        <w:rPr>
          <w:lang w:eastAsia="en-CA"/>
        </w:rPr>
        <w:t>came to look for the complainant at his</w:t>
      </w:r>
      <w:r w:rsidR="00523029">
        <w:rPr>
          <w:lang w:eastAsia="en-CA"/>
        </w:rPr>
        <w:t xml:space="preserve"> family</w:t>
      </w:r>
      <w:r w:rsidR="00276D04">
        <w:rPr>
          <w:lang w:eastAsia="en-CA"/>
        </w:rPr>
        <w:t xml:space="preserve"> ho</w:t>
      </w:r>
      <w:r w:rsidR="00655CBC">
        <w:rPr>
          <w:lang w:eastAsia="en-CA"/>
        </w:rPr>
        <w:t xml:space="preserve">me, but </w:t>
      </w:r>
      <w:r w:rsidR="00523029">
        <w:rPr>
          <w:lang w:eastAsia="en-CA"/>
        </w:rPr>
        <w:t xml:space="preserve">his mother told them that </w:t>
      </w:r>
      <w:r w:rsidR="00276D04">
        <w:rPr>
          <w:lang w:eastAsia="en-CA"/>
        </w:rPr>
        <w:t>he was at work. Subsequently, TMVP members called the complainant and asked him to come to their office</w:t>
      </w:r>
      <w:r w:rsidR="00523029">
        <w:rPr>
          <w:lang w:eastAsia="en-CA"/>
        </w:rPr>
        <w:t xml:space="preserve"> in Batticaloa</w:t>
      </w:r>
      <w:r w:rsidR="00276D04">
        <w:rPr>
          <w:lang w:eastAsia="en-CA"/>
        </w:rPr>
        <w:t>. Fearing reprisals, the complainant decided to flee Sri Lanka.</w:t>
      </w:r>
    </w:p>
    <w:p w:rsidR="00655CBC" w:rsidRDefault="00145655" w:rsidP="00B44F26">
      <w:pPr>
        <w:pStyle w:val="SingleTxtG"/>
        <w:rPr>
          <w:lang w:eastAsia="en-CA"/>
        </w:rPr>
      </w:pPr>
      <w:r>
        <w:rPr>
          <w:lang w:eastAsia="en-CA"/>
        </w:rPr>
        <w:t xml:space="preserve">2.4 </w:t>
      </w:r>
      <w:r>
        <w:rPr>
          <w:lang w:eastAsia="en-CA"/>
        </w:rPr>
        <w:tab/>
      </w:r>
      <w:r w:rsidR="00276D04">
        <w:rPr>
          <w:lang w:eastAsia="en-CA"/>
        </w:rPr>
        <w:t xml:space="preserve">On 25 March 2012, the complainant left Sri Lanka by boat. On 11 April 2012, he arrived </w:t>
      </w:r>
      <w:r w:rsidR="00CC74DE">
        <w:rPr>
          <w:lang w:eastAsia="en-CA"/>
        </w:rPr>
        <w:t xml:space="preserve">at Christmas Island </w:t>
      </w:r>
      <w:r w:rsidR="00262E7C">
        <w:rPr>
          <w:lang w:eastAsia="en-CA"/>
        </w:rPr>
        <w:t>in Australia</w:t>
      </w:r>
      <w:r w:rsidR="004B7448">
        <w:rPr>
          <w:lang w:eastAsia="en-CA"/>
        </w:rPr>
        <w:t>,</w:t>
      </w:r>
      <w:r w:rsidR="00B327B1">
        <w:rPr>
          <w:lang w:eastAsia="en-CA"/>
        </w:rPr>
        <w:t xml:space="preserve"> without a valid visa</w:t>
      </w:r>
      <w:r w:rsidR="00262E7C">
        <w:rPr>
          <w:lang w:eastAsia="en-CA"/>
        </w:rPr>
        <w:t>.</w:t>
      </w:r>
      <w:r w:rsidR="00276D04">
        <w:rPr>
          <w:lang w:eastAsia="en-CA"/>
        </w:rPr>
        <w:t xml:space="preserve"> </w:t>
      </w:r>
      <w:r w:rsidR="002A08AC">
        <w:t>He was detained upon arrival</w:t>
      </w:r>
      <w:r w:rsidR="00276D04">
        <w:rPr>
          <w:lang w:eastAsia="en-CA"/>
        </w:rPr>
        <w:t xml:space="preserve"> </w:t>
      </w:r>
      <w:r w:rsidR="00262E7C">
        <w:rPr>
          <w:lang w:eastAsia="en-CA"/>
        </w:rPr>
        <w:t>under section 189</w:t>
      </w:r>
      <w:r w:rsidR="001E673A">
        <w:rPr>
          <w:lang w:eastAsia="en-CA"/>
        </w:rPr>
        <w:t xml:space="preserve"> </w:t>
      </w:r>
      <w:r w:rsidR="00262E7C">
        <w:rPr>
          <w:lang w:eastAsia="en-CA"/>
        </w:rPr>
        <w:t xml:space="preserve">(3) of the Migration Act </w:t>
      </w:r>
      <w:r w:rsidR="00276D04">
        <w:rPr>
          <w:lang w:eastAsia="en-CA"/>
        </w:rPr>
        <w:t xml:space="preserve">as an irregular maritime arrival. </w:t>
      </w:r>
      <w:r w:rsidR="0092095B">
        <w:rPr>
          <w:lang w:eastAsia="en-CA"/>
        </w:rPr>
        <w:t xml:space="preserve">He was later transferred to Scherger Immigration Detention </w:t>
      </w:r>
      <w:r w:rsidR="00C41D7A">
        <w:rPr>
          <w:lang w:eastAsia="en-CA"/>
        </w:rPr>
        <w:t>Centre</w:t>
      </w:r>
      <w:r w:rsidR="0092095B">
        <w:rPr>
          <w:lang w:eastAsia="en-CA"/>
        </w:rPr>
        <w:t xml:space="preserve"> where he was interviewed for the purpose of initial entry processing</w:t>
      </w:r>
      <w:r w:rsidR="00B327B1">
        <w:rPr>
          <w:lang w:eastAsia="en-CA"/>
        </w:rPr>
        <w:t>.</w:t>
      </w:r>
      <w:r w:rsidR="0092095B">
        <w:rPr>
          <w:lang w:eastAsia="en-CA"/>
        </w:rPr>
        <w:t xml:space="preserve"> </w:t>
      </w:r>
      <w:r w:rsidR="00276D04">
        <w:rPr>
          <w:lang w:eastAsia="en-CA"/>
        </w:rPr>
        <w:t>On 1 July 2012, the complainant applied to the Department of Immigration and Citizenship</w:t>
      </w:r>
      <w:r w:rsidR="005D0619">
        <w:rPr>
          <w:lang w:eastAsia="en-CA"/>
        </w:rPr>
        <w:t xml:space="preserve"> </w:t>
      </w:r>
      <w:r w:rsidR="001E673A">
        <w:rPr>
          <w:lang w:eastAsia="en-CA"/>
        </w:rPr>
        <w:t>for a protection visa</w:t>
      </w:r>
      <w:r w:rsidR="00276D04">
        <w:rPr>
          <w:lang w:eastAsia="en-CA"/>
        </w:rPr>
        <w:t>.</w:t>
      </w:r>
      <w:r w:rsidR="00BA62E8">
        <w:rPr>
          <w:lang w:eastAsia="en-CA"/>
        </w:rPr>
        <w:t xml:space="preserve"> </w:t>
      </w:r>
      <w:r w:rsidR="00655CBC">
        <w:rPr>
          <w:lang w:eastAsia="en-CA"/>
        </w:rPr>
        <w:t xml:space="preserve">He claimed that he feared </w:t>
      </w:r>
      <w:r w:rsidR="00CC74DE">
        <w:rPr>
          <w:lang w:eastAsia="en-CA"/>
        </w:rPr>
        <w:t xml:space="preserve">that </w:t>
      </w:r>
      <w:r w:rsidR="00655CBC">
        <w:rPr>
          <w:lang w:eastAsia="en-CA"/>
        </w:rPr>
        <w:t xml:space="preserve">TMVP </w:t>
      </w:r>
      <w:r w:rsidR="00CC74DE">
        <w:rPr>
          <w:lang w:eastAsia="en-CA"/>
        </w:rPr>
        <w:t xml:space="preserve">would kill him </w:t>
      </w:r>
      <w:r w:rsidR="001E673A">
        <w:rPr>
          <w:lang w:eastAsia="en-CA"/>
        </w:rPr>
        <w:t>owing</w:t>
      </w:r>
      <w:r w:rsidR="005D0619">
        <w:rPr>
          <w:lang w:eastAsia="en-CA"/>
        </w:rPr>
        <w:t xml:space="preserve"> to his refusal to</w:t>
      </w:r>
      <w:r w:rsidR="00655CBC">
        <w:rPr>
          <w:lang w:eastAsia="en-CA"/>
        </w:rPr>
        <w:t xml:space="preserve"> lend them his truck; that the a</w:t>
      </w:r>
      <w:r w:rsidR="005D0619">
        <w:rPr>
          <w:lang w:eastAsia="en-CA"/>
        </w:rPr>
        <w:t>uthorities were</w:t>
      </w:r>
      <w:r w:rsidR="00655CBC">
        <w:rPr>
          <w:lang w:eastAsia="en-CA"/>
        </w:rPr>
        <w:t xml:space="preserve"> unable to protect people from </w:t>
      </w:r>
      <w:r w:rsidR="005D0619">
        <w:rPr>
          <w:lang w:eastAsia="en-CA"/>
        </w:rPr>
        <w:t>T</w:t>
      </w:r>
      <w:r w:rsidR="00FA29A5">
        <w:rPr>
          <w:lang w:eastAsia="en-CA"/>
        </w:rPr>
        <w:t>MVP;</w:t>
      </w:r>
      <w:r w:rsidR="00655CBC">
        <w:rPr>
          <w:lang w:eastAsia="en-CA"/>
        </w:rPr>
        <w:t xml:space="preserve"> and that he would be denied protection as a Tamil in Sri Lanka.</w:t>
      </w:r>
    </w:p>
    <w:p w:rsidR="00655CBC" w:rsidRDefault="00655CBC" w:rsidP="00B44F26">
      <w:pPr>
        <w:pStyle w:val="SingleTxtG"/>
        <w:rPr>
          <w:lang w:eastAsia="en-CA"/>
        </w:rPr>
      </w:pPr>
      <w:r>
        <w:rPr>
          <w:lang w:eastAsia="en-CA"/>
        </w:rPr>
        <w:t xml:space="preserve">2.5 </w:t>
      </w:r>
      <w:r>
        <w:rPr>
          <w:lang w:eastAsia="en-CA"/>
        </w:rPr>
        <w:tab/>
        <w:t>On 11 July 2012, the complainant attended an interview with the authorities. He confirmed that all the details of his protection visa application were correct and pointed out</w:t>
      </w:r>
      <w:r w:rsidR="001E673A">
        <w:rPr>
          <w:lang w:eastAsia="en-CA"/>
        </w:rPr>
        <w:t>, among other details,</w:t>
      </w:r>
      <w:r>
        <w:rPr>
          <w:lang w:eastAsia="en-CA"/>
        </w:rPr>
        <w:t xml:space="preserve"> that he </w:t>
      </w:r>
      <w:r w:rsidR="001E673A">
        <w:rPr>
          <w:lang w:eastAsia="en-CA"/>
        </w:rPr>
        <w:t xml:space="preserve">had </w:t>
      </w:r>
      <w:r>
        <w:rPr>
          <w:lang w:eastAsia="en-CA"/>
        </w:rPr>
        <w:t>gr</w:t>
      </w:r>
      <w:r w:rsidR="001E673A">
        <w:rPr>
          <w:lang w:eastAsia="en-CA"/>
        </w:rPr>
        <w:t>o</w:t>
      </w:r>
      <w:r>
        <w:rPr>
          <w:lang w:eastAsia="en-CA"/>
        </w:rPr>
        <w:t>w</w:t>
      </w:r>
      <w:r w:rsidR="001E673A">
        <w:rPr>
          <w:lang w:eastAsia="en-CA"/>
        </w:rPr>
        <w:t>n</w:t>
      </w:r>
      <w:r>
        <w:rPr>
          <w:lang w:eastAsia="en-CA"/>
        </w:rPr>
        <w:t xml:space="preserve"> up in the village of Mankadu where he </w:t>
      </w:r>
      <w:r w:rsidR="001E673A">
        <w:rPr>
          <w:lang w:eastAsia="en-CA"/>
        </w:rPr>
        <w:t xml:space="preserve">had </w:t>
      </w:r>
      <w:r>
        <w:rPr>
          <w:lang w:eastAsia="en-CA"/>
        </w:rPr>
        <w:t>lived with his mother, bro</w:t>
      </w:r>
      <w:r w:rsidR="004B7448">
        <w:rPr>
          <w:lang w:eastAsia="en-CA"/>
        </w:rPr>
        <w:t>ther and aunt; that his village</w:t>
      </w:r>
      <w:r>
        <w:rPr>
          <w:lang w:eastAsia="en-CA"/>
        </w:rPr>
        <w:t xml:space="preserve"> was in an army</w:t>
      </w:r>
      <w:r w:rsidR="00CC74DE">
        <w:rPr>
          <w:lang w:eastAsia="en-CA"/>
        </w:rPr>
        <w:t>-</w:t>
      </w:r>
      <w:r>
        <w:rPr>
          <w:lang w:eastAsia="en-CA"/>
        </w:rPr>
        <w:t>controlled area</w:t>
      </w:r>
      <w:r w:rsidR="00CC74DE">
        <w:rPr>
          <w:lang w:eastAsia="en-CA"/>
        </w:rPr>
        <w:t>;</w:t>
      </w:r>
      <w:r>
        <w:rPr>
          <w:lang w:eastAsia="en-CA"/>
        </w:rPr>
        <w:t xml:space="preserve"> that he </w:t>
      </w:r>
      <w:r w:rsidR="001E673A">
        <w:rPr>
          <w:lang w:eastAsia="en-CA"/>
        </w:rPr>
        <w:t xml:space="preserve">had </w:t>
      </w:r>
      <w:r w:rsidR="00273003">
        <w:rPr>
          <w:lang w:eastAsia="en-CA"/>
        </w:rPr>
        <w:t>rarely</w:t>
      </w:r>
      <w:r>
        <w:rPr>
          <w:lang w:eastAsia="en-CA"/>
        </w:rPr>
        <w:t xml:space="preserve"> </w:t>
      </w:r>
      <w:r w:rsidR="001E673A">
        <w:rPr>
          <w:lang w:eastAsia="en-CA"/>
        </w:rPr>
        <w:t>entered</w:t>
      </w:r>
      <w:r>
        <w:rPr>
          <w:lang w:eastAsia="en-CA"/>
        </w:rPr>
        <w:t xml:space="preserve"> LTTE</w:t>
      </w:r>
      <w:r w:rsidR="00D641FB">
        <w:rPr>
          <w:lang w:eastAsia="en-CA"/>
        </w:rPr>
        <w:t>-</w:t>
      </w:r>
      <w:r>
        <w:rPr>
          <w:lang w:eastAsia="en-CA"/>
        </w:rPr>
        <w:t>controlled</w:t>
      </w:r>
      <w:r w:rsidR="001E673A">
        <w:rPr>
          <w:lang w:eastAsia="en-CA"/>
        </w:rPr>
        <w:t xml:space="preserve"> </w:t>
      </w:r>
      <w:r>
        <w:rPr>
          <w:lang w:eastAsia="en-CA"/>
        </w:rPr>
        <w:t>areas as a child</w:t>
      </w:r>
      <w:r w:rsidR="00CC74DE">
        <w:rPr>
          <w:lang w:eastAsia="en-CA"/>
        </w:rPr>
        <w:t>;</w:t>
      </w:r>
      <w:r>
        <w:rPr>
          <w:lang w:eastAsia="en-CA"/>
        </w:rPr>
        <w:t xml:space="preserve"> </w:t>
      </w:r>
      <w:r w:rsidR="004B7448">
        <w:rPr>
          <w:lang w:eastAsia="en-CA"/>
        </w:rPr>
        <w:t xml:space="preserve">and </w:t>
      </w:r>
      <w:r>
        <w:rPr>
          <w:lang w:eastAsia="en-CA"/>
        </w:rPr>
        <w:t xml:space="preserve">that he was </w:t>
      </w:r>
      <w:r w:rsidR="001E673A">
        <w:rPr>
          <w:lang w:eastAsia="en-CA"/>
        </w:rPr>
        <w:t xml:space="preserve">had </w:t>
      </w:r>
      <w:r>
        <w:rPr>
          <w:lang w:eastAsia="en-CA"/>
        </w:rPr>
        <w:t xml:space="preserve">never </w:t>
      </w:r>
      <w:r w:rsidR="001E673A">
        <w:rPr>
          <w:lang w:eastAsia="en-CA"/>
        </w:rPr>
        <w:t xml:space="preserve">been </w:t>
      </w:r>
      <w:r>
        <w:rPr>
          <w:lang w:eastAsia="en-CA"/>
        </w:rPr>
        <w:t>approached to join LTTE</w:t>
      </w:r>
      <w:r w:rsidR="00444C17">
        <w:rPr>
          <w:lang w:eastAsia="en-CA"/>
        </w:rPr>
        <w:t xml:space="preserve">. </w:t>
      </w:r>
      <w:r w:rsidR="00273003">
        <w:rPr>
          <w:lang w:eastAsia="en-CA"/>
        </w:rPr>
        <w:t xml:space="preserve">He also claimed that his family </w:t>
      </w:r>
      <w:r w:rsidR="00D641FB">
        <w:rPr>
          <w:lang w:eastAsia="en-CA"/>
        </w:rPr>
        <w:t>consisted of</w:t>
      </w:r>
      <w:r w:rsidR="00273003">
        <w:rPr>
          <w:lang w:eastAsia="en-CA"/>
        </w:rPr>
        <w:t xml:space="preserve"> his mother and his brother</w:t>
      </w:r>
      <w:r w:rsidR="00CC74DE">
        <w:rPr>
          <w:lang w:eastAsia="en-CA"/>
        </w:rPr>
        <w:t>,</w:t>
      </w:r>
      <w:r w:rsidR="00273003">
        <w:rPr>
          <w:lang w:eastAsia="en-CA"/>
        </w:rPr>
        <w:t xml:space="preserve"> who was in Afghanistan; that he did not have family </w:t>
      </w:r>
      <w:r w:rsidR="00D641FB">
        <w:rPr>
          <w:lang w:eastAsia="en-CA"/>
        </w:rPr>
        <w:t xml:space="preserve">with </w:t>
      </w:r>
      <w:r w:rsidR="00273003">
        <w:rPr>
          <w:lang w:eastAsia="en-CA"/>
        </w:rPr>
        <w:t>whom he could live; and that TMVP could still find him in Colombo where he would not ha</w:t>
      </w:r>
      <w:r w:rsidR="00CC74DE">
        <w:rPr>
          <w:lang w:eastAsia="en-CA"/>
        </w:rPr>
        <w:t>ve</w:t>
      </w:r>
      <w:r w:rsidR="00273003">
        <w:rPr>
          <w:lang w:eastAsia="en-CA"/>
        </w:rPr>
        <w:t xml:space="preserve"> any family support. </w:t>
      </w:r>
      <w:r w:rsidR="00444C17">
        <w:rPr>
          <w:lang w:eastAsia="en-CA"/>
        </w:rPr>
        <w:lastRenderedPageBreak/>
        <w:t xml:space="preserve">When asked by the authorities if he </w:t>
      </w:r>
      <w:r w:rsidR="00D641FB">
        <w:rPr>
          <w:lang w:eastAsia="en-CA"/>
        </w:rPr>
        <w:t>there was</w:t>
      </w:r>
      <w:r w:rsidR="00444C17">
        <w:rPr>
          <w:lang w:eastAsia="en-CA"/>
        </w:rPr>
        <w:t xml:space="preserve"> any other reason why he could not </w:t>
      </w:r>
      <w:r w:rsidR="00CC74DE">
        <w:rPr>
          <w:lang w:eastAsia="en-CA"/>
        </w:rPr>
        <w:t>return</w:t>
      </w:r>
      <w:r w:rsidR="00444C17">
        <w:rPr>
          <w:lang w:eastAsia="en-CA"/>
        </w:rPr>
        <w:t xml:space="preserve"> to Sri Lanka, he replied in the negative. </w:t>
      </w:r>
    </w:p>
    <w:p w:rsidR="00F52349" w:rsidRDefault="005D0619" w:rsidP="00B44F26">
      <w:pPr>
        <w:pStyle w:val="SingleTxtG"/>
        <w:rPr>
          <w:lang w:eastAsia="en-CA"/>
        </w:rPr>
      </w:pPr>
      <w:r>
        <w:rPr>
          <w:lang w:eastAsia="en-CA"/>
        </w:rPr>
        <w:t xml:space="preserve">2.6 </w:t>
      </w:r>
      <w:r>
        <w:rPr>
          <w:lang w:eastAsia="en-CA"/>
        </w:rPr>
        <w:tab/>
      </w:r>
      <w:r w:rsidR="00276D04">
        <w:rPr>
          <w:lang w:eastAsia="en-CA"/>
        </w:rPr>
        <w:t xml:space="preserve">On 6 September 2012, the </w:t>
      </w:r>
      <w:r w:rsidR="001E673A">
        <w:rPr>
          <w:lang w:eastAsia="en-CA"/>
        </w:rPr>
        <w:t>Department of Immigration and Citizenship</w:t>
      </w:r>
      <w:r w:rsidR="00276D04">
        <w:rPr>
          <w:lang w:eastAsia="en-CA"/>
        </w:rPr>
        <w:t xml:space="preserve"> refused to grant </w:t>
      </w:r>
      <w:r w:rsidR="00273003">
        <w:rPr>
          <w:lang w:eastAsia="en-CA"/>
        </w:rPr>
        <w:t>the complainant</w:t>
      </w:r>
      <w:r w:rsidR="00276D04">
        <w:rPr>
          <w:lang w:eastAsia="en-CA"/>
        </w:rPr>
        <w:t xml:space="preserve"> a protection visa on the grounds that his fear of persecution was not well-founded. </w:t>
      </w:r>
      <w:r w:rsidR="00F52349">
        <w:rPr>
          <w:lang w:eastAsia="en-CA"/>
        </w:rPr>
        <w:t xml:space="preserve">Although </w:t>
      </w:r>
      <w:r w:rsidR="001E673A">
        <w:rPr>
          <w:lang w:eastAsia="en-CA"/>
        </w:rPr>
        <w:t>it</w:t>
      </w:r>
      <w:r w:rsidR="00F52349">
        <w:rPr>
          <w:lang w:eastAsia="en-CA"/>
        </w:rPr>
        <w:t xml:space="preserve"> was satisfied in general with the credibility of his statements </w:t>
      </w:r>
      <w:r>
        <w:rPr>
          <w:lang w:eastAsia="en-CA"/>
        </w:rPr>
        <w:t>as to</w:t>
      </w:r>
      <w:r w:rsidR="00F52349">
        <w:rPr>
          <w:lang w:eastAsia="en-CA"/>
        </w:rPr>
        <w:t xml:space="preserve"> the event</w:t>
      </w:r>
      <w:r w:rsidR="00CC74DE">
        <w:rPr>
          <w:lang w:eastAsia="en-CA"/>
        </w:rPr>
        <w:t>s</w:t>
      </w:r>
      <w:r w:rsidR="00F52349">
        <w:rPr>
          <w:lang w:eastAsia="en-CA"/>
        </w:rPr>
        <w:t xml:space="preserve"> prior to his departure </w:t>
      </w:r>
      <w:r w:rsidR="00CC74DE">
        <w:rPr>
          <w:lang w:eastAsia="en-CA"/>
        </w:rPr>
        <w:t xml:space="preserve">from </w:t>
      </w:r>
      <w:r w:rsidR="00F52349">
        <w:rPr>
          <w:lang w:eastAsia="en-CA"/>
        </w:rPr>
        <w:t xml:space="preserve">Sri Lanka in relation to TMVP, it concluded that he </w:t>
      </w:r>
      <w:r w:rsidR="00066599">
        <w:rPr>
          <w:lang w:eastAsia="en-CA"/>
        </w:rPr>
        <w:t>would</w:t>
      </w:r>
      <w:r w:rsidR="00F52349">
        <w:rPr>
          <w:lang w:eastAsia="en-CA"/>
        </w:rPr>
        <w:t xml:space="preserve"> not face a real </w:t>
      </w:r>
      <w:r w:rsidR="006E6225">
        <w:rPr>
          <w:lang w:eastAsia="en-CA"/>
        </w:rPr>
        <w:t>risk</w:t>
      </w:r>
      <w:r w:rsidR="00F52349">
        <w:rPr>
          <w:lang w:eastAsia="en-CA"/>
        </w:rPr>
        <w:t xml:space="preserve"> of persecution in Sri Lanka.</w:t>
      </w:r>
    </w:p>
    <w:p w:rsidR="00F70699" w:rsidRDefault="005D0619" w:rsidP="00B44F26">
      <w:pPr>
        <w:pStyle w:val="SingleTxtG"/>
      </w:pPr>
      <w:r>
        <w:rPr>
          <w:lang w:eastAsia="en-CA"/>
        </w:rPr>
        <w:t xml:space="preserve">2.7 </w:t>
      </w:r>
      <w:r>
        <w:rPr>
          <w:lang w:eastAsia="en-CA"/>
        </w:rPr>
        <w:tab/>
      </w:r>
      <w:r w:rsidR="00F52349">
        <w:rPr>
          <w:lang w:eastAsia="en-CA"/>
        </w:rPr>
        <w:t>In its decision, t</w:t>
      </w:r>
      <w:r w:rsidR="00D70B1C">
        <w:rPr>
          <w:lang w:eastAsia="en-CA"/>
        </w:rPr>
        <w:t xml:space="preserve">he </w:t>
      </w:r>
      <w:r w:rsidR="001E673A">
        <w:rPr>
          <w:lang w:eastAsia="en-CA"/>
        </w:rPr>
        <w:t xml:space="preserve">Department </w:t>
      </w:r>
      <w:r w:rsidR="00D70B1C">
        <w:rPr>
          <w:lang w:eastAsia="en-CA"/>
        </w:rPr>
        <w:t xml:space="preserve">took note </w:t>
      </w:r>
      <w:r w:rsidR="00C9244B">
        <w:rPr>
          <w:lang w:eastAsia="en-CA"/>
        </w:rPr>
        <w:t xml:space="preserve">of </w:t>
      </w:r>
      <w:r w:rsidR="001B3CB7">
        <w:rPr>
          <w:lang w:eastAsia="en-CA"/>
        </w:rPr>
        <w:t>the</w:t>
      </w:r>
      <w:r w:rsidR="00D70B1C">
        <w:rPr>
          <w:lang w:eastAsia="en-CA"/>
        </w:rPr>
        <w:t xml:space="preserve"> </w:t>
      </w:r>
      <w:r w:rsidR="00781B64" w:rsidRPr="00B44F26">
        <w:rPr>
          <w:rStyle w:val="preferred"/>
          <w:i/>
          <w:iCs/>
        </w:rPr>
        <w:t xml:space="preserve">Office of the United Nations High Commissioner for Refugees </w:t>
      </w:r>
      <w:r w:rsidR="00781B64">
        <w:rPr>
          <w:i/>
          <w:iCs/>
          <w:lang w:eastAsia="en-CA"/>
        </w:rPr>
        <w:t>(</w:t>
      </w:r>
      <w:r w:rsidR="00F66EA8" w:rsidRPr="00B44F26">
        <w:rPr>
          <w:i/>
          <w:iCs/>
        </w:rPr>
        <w:t>UNHCR</w:t>
      </w:r>
      <w:r w:rsidR="00781B64">
        <w:rPr>
          <w:i/>
          <w:iCs/>
        </w:rPr>
        <w:t>)</w:t>
      </w:r>
      <w:r w:rsidR="00F66EA8" w:rsidRPr="00B44F26">
        <w:rPr>
          <w:i/>
          <w:iCs/>
        </w:rPr>
        <w:t xml:space="preserve"> Eligibility Guidelines</w:t>
      </w:r>
      <w:r w:rsidR="00617E1A">
        <w:rPr>
          <w:i/>
          <w:iCs/>
        </w:rPr>
        <w:t xml:space="preserve"> </w:t>
      </w:r>
      <w:r w:rsidR="00617E1A" w:rsidRPr="00617E1A">
        <w:rPr>
          <w:i/>
          <w:iCs/>
        </w:rPr>
        <w:t xml:space="preserve">for Assessing the International Protection Needs of Asylum Seekers from Sri Lanka </w:t>
      </w:r>
      <w:r w:rsidR="00617E1A">
        <w:t xml:space="preserve">(5 July </w:t>
      </w:r>
      <w:r w:rsidR="00617E1A">
        <w:rPr>
          <w:lang w:eastAsia="en-CA"/>
        </w:rPr>
        <w:t>2010)</w:t>
      </w:r>
      <w:r w:rsidR="00C9244B">
        <w:t xml:space="preserve">, </w:t>
      </w:r>
      <w:r w:rsidR="0080349B">
        <w:t xml:space="preserve">of </w:t>
      </w:r>
      <w:r w:rsidR="00D641FB">
        <w:t xml:space="preserve">reports from </w:t>
      </w:r>
      <w:r w:rsidR="0080349B">
        <w:t xml:space="preserve">States and well-known NGOs about the human rights situation </w:t>
      </w:r>
      <w:r w:rsidR="00F70699">
        <w:t>in Sri Lanka</w:t>
      </w:r>
      <w:r w:rsidR="008B2568">
        <w:t>,</w:t>
      </w:r>
      <w:r w:rsidR="0022272C">
        <w:t xml:space="preserve"> </w:t>
      </w:r>
      <w:r w:rsidR="00CC74DE">
        <w:t xml:space="preserve">of </w:t>
      </w:r>
      <w:r w:rsidR="0022272C">
        <w:t>possible alternative relocation within Sri Lanka</w:t>
      </w:r>
      <w:r w:rsidR="008B2568">
        <w:t xml:space="preserve"> and </w:t>
      </w:r>
      <w:r w:rsidR="00CC74DE">
        <w:t xml:space="preserve">of </w:t>
      </w:r>
      <w:r w:rsidR="008B2568">
        <w:t>the situation of failed asylum seekers</w:t>
      </w:r>
      <w:r w:rsidR="0022272C">
        <w:t>,</w:t>
      </w:r>
      <w:r w:rsidR="00C309DD">
        <w:rPr>
          <w:rStyle w:val="FootnoteReference"/>
        </w:rPr>
        <w:footnoteReference w:id="4"/>
      </w:r>
      <w:r w:rsidR="0022272C">
        <w:t xml:space="preserve"> including those cited by the complainant’s agent.</w:t>
      </w:r>
      <w:r w:rsidR="00336AF8">
        <w:rPr>
          <w:rStyle w:val="FootnoteReference"/>
        </w:rPr>
        <w:footnoteReference w:id="5"/>
      </w:r>
      <w:r w:rsidR="0022272C">
        <w:t xml:space="preserve"> </w:t>
      </w:r>
      <w:r w:rsidR="003424CB">
        <w:t xml:space="preserve">As to his fear of persecution because of his Tamil ethnicity, the </w:t>
      </w:r>
      <w:r w:rsidR="001E673A">
        <w:rPr>
          <w:lang w:eastAsia="en-CA"/>
        </w:rPr>
        <w:t>Department</w:t>
      </w:r>
      <w:r w:rsidR="003424CB">
        <w:t xml:space="preserve"> stated that according to reports</w:t>
      </w:r>
      <w:r w:rsidR="00CC74DE">
        <w:t>,</w:t>
      </w:r>
      <w:r w:rsidR="003424CB">
        <w:t xml:space="preserve"> </w:t>
      </w:r>
      <w:r w:rsidR="0018007A">
        <w:t>Tamils</w:t>
      </w:r>
      <w:r w:rsidR="00C9244B">
        <w:t>,</w:t>
      </w:r>
      <w:r w:rsidR="0018007A">
        <w:t xml:space="preserve"> even </w:t>
      </w:r>
      <w:r w:rsidR="00D641FB">
        <w:t xml:space="preserve">those </w:t>
      </w:r>
      <w:r w:rsidR="0018007A">
        <w:t>from areas</w:t>
      </w:r>
      <w:r w:rsidR="00D641FB">
        <w:t xml:space="preserve"> previously controlled by LTTE</w:t>
      </w:r>
      <w:r w:rsidR="0018007A">
        <w:t xml:space="preserve">, </w:t>
      </w:r>
      <w:r w:rsidR="00D641FB">
        <w:t>and</w:t>
      </w:r>
      <w:r w:rsidR="0018007A">
        <w:t xml:space="preserve"> returnees were not </w:t>
      </w:r>
      <w:r w:rsidR="00D641FB">
        <w:t xml:space="preserve">generally </w:t>
      </w:r>
      <w:r w:rsidR="0018007A">
        <w:t xml:space="preserve">subject to persecution by the Sri Lankan authorities; that </w:t>
      </w:r>
      <w:r w:rsidR="00D641FB">
        <w:t>Tamil</w:t>
      </w:r>
      <w:r w:rsidR="003424CB">
        <w:t xml:space="preserve"> ethnicity </w:t>
      </w:r>
      <w:r w:rsidR="00CC74DE">
        <w:t>in</w:t>
      </w:r>
      <w:r w:rsidR="003424CB">
        <w:t xml:space="preserve"> itself did not c</w:t>
      </w:r>
      <w:r w:rsidR="00D641FB">
        <w:t>onstitute</w:t>
      </w:r>
      <w:r w:rsidR="003424CB">
        <w:t xml:space="preserve"> a particular risk factor</w:t>
      </w:r>
      <w:r w:rsidR="00427CEA">
        <w:t>; that there was no evidence that the complainant had ever been under suspicion of being an LTTE cadre or sympathi</w:t>
      </w:r>
      <w:r w:rsidR="00D641FB">
        <w:t>z</w:t>
      </w:r>
      <w:r w:rsidR="00427CEA">
        <w:t xml:space="preserve">er; and that there was no indication that he </w:t>
      </w:r>
      <w:r w:rsidR="006E6225">
        <w:t xml:space="preserve">had </w:t>
      </w:r>
      <w:r w:rsidR="00427CEA">
        <w:t xml:space="preserve">ever experienced significant problems </w:t>
      </w:r>
      <w:r w:rsidR="00D641FB">
        <w:t>owing</w:t>
      </w:r>
      <w:r w:rsidR="00C9244B">
        <w:t xml:space="preserve"> to </w:t>
      </w:r>
      <w:r w:rsidR="00427CEA">
        <w:t>his Tamil ethnicity.</w:t>
      </w:r>
      <w:r w:rsidR="00C9244B">
        <w:t xml:space="preserve"> </w:t>
      </w:r>
      <w:r w:rsidR="009A3122">
        <w:t xml:space="preserve">Likewise, the complainant would not be at real risk </w:t>
      </w:r>
      <w:r w:rsidR="00D641FB">
        <w:t>as a result of</w:t>
      </w:r>
      <w:r w:rsidR="009A3122">
        <w:t xml:space="preserve"> </w:t>
      </w:r>
      <w:r w:rsidR="00D641FB">
        <w:t>being</w:t>
      </w:r>
      <w:r w:rsidR="009A3122">
        <w:t xml:space="preserve"> a failed asylum seeker since</w:t>
      </w:r>
      <w:r w:rsidR="004B59D0">
        <w:t xml:space="preserve"> he had no connection with LTTE</w:t>
      </w:r>
      <w:r w:rsidR="009A3122">
        <w:t xml:space="preserve">. </w:t>
      </w:r>
      <w:r w:rsidR="00C9244B">
        <w:t xml:space="preserve">With regard to his alleged </w:t>
      </w:r>
      <w:r w:rsidR="00AE3C07">
        <w:t>communication</w:t>
      </w:r>
      <w:r w:rsidR="00C9244B">
        <w:t xml:space="preserve"> with TMVP, </w:t>
      </w:r>
      <w:r w:rsidR="00506043">
        <w:t xml:space="preserve">the </w:t>
      </w:r>
      <w:r w:rsidR="001E673A">
        <w:rPr>
          <w:lang w:eastAsia="en-CA"/>
        </w:rPr>
        <w:t>Department</w:t>
      </w:r>
      <w:r w:rsidR="00506043">
        <w:t xml:space="preserve"> stated that the complainant did not face a real chance of harm if returned because of his refusal to lend his truck to TMVP. It noted </w:t>
      </w:r>
      <w:r w:rsidR="004B59D0">
        <w:t xml:space="preserve">that he </w:t>
      </w:r>
      <w:r w:rsidR="00AE3C07">
        <w:t xml:space="preserve">had </w:t>
      </w:r>
      <w:r w:rsidR="004B59D0">
        <w:rPr>
          <w:lang w:eastAsia="en-CA"/>
        </w:rPr>
        <w:t xml:space="preserve">returned voluntarily to Sri Lanka in 2010; that he </w:t>
      </w:r>
      <w:r w:rsidR="00AE3C07">
        <w:rPr>
          <w:lang w:eastAsia="en-CA"/>
        </w:rPr>
        <w:t xml:space="preserve">had </w:t>
      </w:r>
      <w:r w:rsidR="004B59D0">
        <w:rPr>
          <w:lang w:eastAsia="en-CA"/>
        </w:rPr>
        <w:t>lived in the Batticaloa District most of his life without incident;</w:t>
      </w:r>
      <w:r w:rsidR="004B59D0">
        <w:t xml:space="preserve"> </w:t>
      </w:r>
      <w:r w:rsidR="00506043">
        <w:t xml:space="preserve">that he </w:t>
      </w:r>
      <w:r w:rsidR="00AE3C07">
        <w:t xml:space="preserve">had </w:t>
      </w:r>
      <w:r w:rsidR="00506043">
        <w:t>remained in his village for several days after th</w:t>
      </w:r>
      <w:r w:rsidR="004B59D0">
        <w:t xml:space="preserve">e alleged </w:t>
      </w:r>
      <w:r w:rsidR="00506043">
        <w:t>event</w:t>
      </w:r>
      <w:r w:rsidR="004B59D0">
        <w:t>s with TMVP</w:t>
      </w:r>
      <w:r w:rsidR="00506043">
        <w:t xml:space="preserve"> without incident; </w:t>
      </w:r>
      <w:r w:rsidR="004B59D0">
        <w:t xml:space="preserve">and </w:t>
      </w:r>
      <w:r w:rsidR="00506043">
        <w:t xml:space="preserve">that his family </w:t>
      </w:r>
      <w:r w:rsidR="00AE3C07">
        <w:t xml:space="preserve">had </w:t>
      </w:r>
      <w:r w:rsidR="00506043">
        <w:t>remain</w:t>
      </w:r>
      <w:r w:rsidR="00BC0B19">
        <w:t>ed</w:t>
      </w:r>
      <w:r w:rsidR="00506043">
        <w:t xml:space="preserve"> in the village and had not </w:t>
      </w:r>
      <w:r w:rsidR="00AE3C07">
        <w:t>been contacted</w:t>
      </w:r>
      <w:r w:rsidR="00506043">
        <w:t xml:space="preserve"> or threat</w:t>
      </w:r>
      <w:r w:rsidR="00AE3C07">
        <w:t>ened</w:t>
      </w:r>
      <w:r w:rsidR="00506043">
        <w:t xml:space="preserve"> by </w:t>
      </w:r>
      <w:r w:rsidR="00AE3C07">
        <w:t>members of</w:t>
      </w:r>
      <w:r w:rsidR="00701798">
        <w:t xml:space="preserve"> TMVP</w:t>
      </w:r>
      <w:r w:rsidR="00506043">
        <w:t>.</w:t>
      </w:r>
      <w:r w:rsidR="003424CB">
        <w:t xml:space="preserve"> </w:t>
      </w:r>
    </w:p>
    <w:p w:rsidR="004B7448" w:rsidRDefault="007A0045" w:rsidP="00B44F26">
      <w:pPr>
        <w:pStyle w:val="SingleTxtG"/>
        <w:rPr>
          <w:lang w:eastAsia="en-CA"/>
        </w:rPr>
      </w:pPr>
      <w:r>
        <w:t xml:space="preserve">2.8 </w:t>
      </w:r>
      <w:r>
        <w:tab/>
        <w:t>On 16 August 2012, the</w:t>
      </w:r>
      <w:r w:rsidR="004B7448">
        <w:t xml:space="preserve"> Minister for Immigration</w:t>
      </w:r>
      <w:r>
        <w:t xml:space="preserve"> intervened in the complainant’s case under section 195 A of the Migration Act, allowing him to be released from immigration detention and granting him a </w:t>
      </w:r>
      <w:r w:rsidR="00AE3C07">
        <w:t>b</w:t>
      </w:r>
      <w:r w:rsidR="004B7448">
        <w:t xml:space="preserve">ridging </w:t>
      </w:r>
      <w:r>
        <w:t>(</w:t>
      </w:r>
      <w:r w:rsidR="00AE3C07">
        <w:t>g</w:t>
      </w:r>
      <w:r>
        <w:t xml:space="preserve">eneral) </w:t>
      </w:r>
      <w:r w:rsidR="00AE3C07">
        <w:t>v</w:t>
      </w:r>
      <w:r w:rsidR="004B7448">
        <w:t>isa</w:t>
      </w:r>
      <w:r>
        <w:t xml:space="preserve"> while his protection visa application was considered by the authorities. </w:t>
      </w:r>
    </w:p>
    <w:p w:rsidR="009E4B26" w:rsidRDefault="004B59D0" w:rsidP="00B44F26">
      <w:pPr>
        <w:pStyle w:val="SingleTxtG"/>
        <w:rPr>
          <w:lang w:eastAsia="en-CA"/>
        </w:rPr>
      </w:pPr>
      <w:r>
        <w:rPr>
          <w:lang w:eastAsia="en-CA"/>
        </w:rPr>
        <w:t>2.</w:t>
      </w:r>
      <w:r w:rsidR="007A0045">
        <w:rPr>
          <w:lang w:eastAsia="en-CA"/>
        </w:rPr>
        <w:t>9</w:t>
      </w:r>
      <w:r>
        <w:rPr>
          <w:lang w:eastAsia="en-CA"/>
        </w:rPr>
        <w:t xml:space="preserve"> </w:t>
      </w:r>
      <w:r>
        <w:rPr>
          <w:lang w:eastAsia="en-CA"/>
        </w:rPr>
        <w:tab/>
      </w:r>
      <w:r w:rsidR="00F71C9B">
        <w:rPr>
          <w:lang w:eastAsia="en-CA"/>
        </w:rPr>
        <w:t xml:space="preserve">On an unspecified date, the complainant appealed the </w:t>
      </w:r>
      <w:r w:rsidR="00AE3C07">
        <w:rPr>
          <w:lang w:eastAsia="en-CA"/>
        </w:rPr>
        <w:t xml:space="preserve">decision of the </w:t>
      </w:r>
      <w:r w:rsidR="001E673A">
        <w:rPr>
          <w:lang w:eastAsia="en-CA"/>
        </w:rPr>
        <w:t>Department of Immigration and Citizenship</w:t>
      </w:r>
      <w:r w:rsidR="00F71C9B">
        <w:rPr>
          <w:lang w:eastAsia="en-CA"/>
        </w:rPr>
        <w:t xml:space="preserve"> </w:t>
      </w:r>
      <w:r w:rsidR="00AE3C07">
        <w:rPr>
          <w:lang w:eastAsia="en-CA"/>
        </w:rPr>
        <w:t>before</w:t>
      </w:r>
      <w:r w:rsidR="00F71C9B">
        <w:rPr>
          <w:lang w:eastAsia="en-CA"/>
        </w:rPr>
        <w:t xml:space="preserve"> the Refugee Review Tribunal.</w:t>
      </w:r>
      <w:r w:rsidR="00FB20E9">
        <w:rPr>
          <w:lang w:eastAsia="en-CA"/>
        </w:rPr>
        <w:t xml:space="preserve"> </w:t>
      </w:r>
      <w:r w:rsidR="00A828B6">
        <w:rPr>
          <w:lang w:eastAsia="en-CA"/>
        </w:rPr>
        <w:t>T</w:t>
      </w:r>
      <w:r w:rsidR="00FB20E9">
        <w:rPr>
          <w:lang w:eastAsia="en-CA"/>
        </w:rPr>
        <w:t xml:space="preserve">he complainant appeared before the </w:t>
      </w:r>
      <w:r w:rsidR="00AE3C07">
        <w:rPr>
          <w:lang w:eastAsia="en-CA"/>
        </w:rPr>
        <w:t>Tribunal</w:t>
      </w:r>
      <w:r w:rsidR="00FB20E9">
        <w:rPr>
          <w:lang w:eastAsia="en-CA"/>
        </w:rPr>
        <w:t xml:space="preserve"> and reiterated his previous allegations that he feared </w:t>
      </w:r>
      <w:r w:rsidR="00CC74DE">
        <w:rPr>
          <w:lang w:eastAsia="en-CA"/>
        </w:rPr>
        <w:t>persecution</w:t>
      </w:r>
      <w:r w:rsidR="00FB20E9">
        <w:rPr>
          <w:lang w:eastAsia="en-CA"/>
        </w:rPr>
        <w:t xml:space="preserve"> by the Sri Lankan authorities or paramilitary groups if returned </w:t>
      </w:r>
      <w:r w:rsidR="00AE3C07">
        <w:rPr>
          <w:lang w:eastAsia="en-CA"/>
        </w:rPr>
        <w:t>owing</w:t>
      </w:r>
      <w:r w:rsidR="00FB20E9">
        <w:rPr>
          <w:lang w:eastAsia="en-CA"/>
        </w:rPr>
        <w:t xml:space="preserve"> to his Tamil ethnicity</w:t>
      </w:r>
      <w:r w:rsidR="00AE3C07">
        <w:rPr>
          <w:lang w:eastAsia="en-CA"/>
        </w:rPr>
        <w:t>, and</w:t>
      </w:r>
      <w:r w:rsidR="00FB20E9">
        <w:rPr>
          <w:lang w:eastAsia="en-CA"/>
        </w:rPr>
        <w:t xml:space="preserve"> being harm</w:t>
      </w:r>
      <w:r w:rsidR="00A828B6">
        <w:rPr>
          <w:lang w:eastAsia="en-CA"/>
        </w:rPr>
        <w:t>ed</w:t>
      </w:r>
      <w:r w:rsidR="00FB20E9">
        <w:rPr>
          <w:lang w:eastAsia="en-CA"/>
        </w:rPr>
        <w:t xml:space="preserve"> by the Pillayan faction </w:t>
      </w:r>
      <w:r w:rsidR="00E329F7">
        <w:rPr>
          <w:lang w:eastAsia="en-CA"/>
        </w:rPr>
        <w:t>in retaliation for</w:t>
      </w:r>
      <w:r w:rsidR="00FB20E9">
        <w:rPr>
          <w:lang w:eastAsia="en-CA"/>
        </w:rPr>
        <w:t xml:space="preserve"> the incident </w:t>
      </w:r>
      <w:r w:rsidR="00866509">
        <w:rPr>
          <w:lang w:eastAsia="en-CA"/>
        </w:rPr>
        <w:t>that occurred</w:t>
      </w:r>
      <w:r w:rsidR="00FB20E9">
        <w:rPr>
          <w:lang w:eastAsia="en-CA"/>
        </w:rPr>
        <w:t xml:space="preserve"> prior to his departure.</w:t>
      </w:r>
      <w:r w:rsidR="00321B58">
        <w:rPr>
          <w:lang w:eastAsia="en-CA"/>
        </w:rPr>
        <w:t xml:space="preserve"> The </w:t>
      </w:r>
      <w:r w:rsidR="00AE3C07">
        <w:rPr>
          <w:lang w:eastAsia="en-CA"/>
        </w:rPr>
        <w:t>Tribunal</w:t>
      </w:r>
      <w:r w:rsidR="00321B58">
        <w:rPr>
          <w:lang w:eastAsia="en-CA"/>
        </w:rPr>
        <w:t xml:space="preserve"> carried </w:t>
      </w:r>
      <w:r>
        <w:rPr>
          <w:lang w:eastAsia="en-CA"/>
        </w:rPr>
        <w:t>out lengthy and detai</w:t>
      </w:r>
      <w:r w:rsidR="00A828B6">
        <w:rPr>
          <w:lang w:eastAsia="en-CA"/>
        </w:rPr>
        <w:t>l</w:t>
      </w:r>
      <w:r>
        <w:rPr>
          <w:lang w:eastAsia="en-CA"/>
        </w:rPr>
        <w:t>ed interviews</w:t>
      </w:r>
      <w:r w:rsidR="00321B58">
        <w:rPr>
          <w:lang w:eastAsia="en-CA"/>
        </w:rPr>
        <w:t xml:space="preserve"> about all his allegations, making reference to available information about the human rights situation in Sri Lanka.</w:t>
      </w:r>
      <w:r w:rsidR="00FB20E9">
        <w:rPr>
          <w:lang w:eastAsia="en-CA"/>
        </w:rPr>
        <w:t xml:space="preserve"> </w:t>
      </w:r>
      <w:r w:rsidR="005E57A8">
        <w:rPr>
          <w:lang w:eastAsia="en-CA"/>
        </w:rPr>
        <w:t>He stated</w:t>
      </w:r>
      <w:r w:rsidR="00E329F7">
        <w:rPr>
          <w:lang w:eastAsia="en-CA"/>
        </w:rPr>
        <w:t>,</w:t>
      </w:r>
      <w:r w:rsidR="005E57A8">
        <w:rPr>
          <w:lang w:eastAsia="en-CA"/>
        </w:rPr>
        <w:t xml:space="preserve"> </w:t>
      </w:r>
      <w:r w:rsidR="00CC74DE">
        <w:rPr>
          <w:lang w:eastAsia="en-CA"/>
        </w:rPr>
        <w:t>inter alia</w:t>
      </w:r>
      <w:r w:rsidR="00E329F7">
        <w:rPr>
          <w:lang w:eastAsia="en-CA"/>
        </w:rPr>
        <w:t>,</w:t>
      </w:r>
      <w:r w:rsidR="00CC74DE">
        <w:rPr>
          <w:lang w:eastAsia="en-CA"/>
        </w:rPr>
        <w:t xml:space="preserve"> </w:t>
      </w:r>
      <w:r w:rsidR="005E57A8">
        <w:rPr>
          <w:lang w:eastAsia="en-CA"/>
        </w:rPr>
        <w:t xml:space="preserve">that </w:t>
      </w:r>
      <w:r w:rsidR="00212536">
        <w:rPr>
          <w:lang w:eastAsia="en-CA"/>
        </w:rPr>
        <w:t xml:space="preserve">neither </w:t>
      </w:r>
      <w:r w:rsidR="009022AC">
        <w:rPr>
          <w:lang w:eastAsia="en-CA"/>
        </w:rPr>
        <w:t>he</w:t>
      </w:r>
      <w:r w:rsidR="00212536">
        <w:rPr>
          <w:lang w:eastAsia="en-CA"/>
        </w:rPr>
        <w:t xml:space="preserve"> nor any </w:t>
      </w:r>
      <w:r w:rsidR="00E329F7">
        <w:rPr>
          <w:lang w:eastAsia="en-CA"/>
        </w:rPr>
        <w:t>of his</w:t>
      </w:r>
      <w:r w:rsidR="00212536">
        <w:rPr>
          <w:lang w:eastAsia="en-CA"/>
        </w:rPr>
        <w:t xml:space="preserve"> relatives had been involved with LTTE, nor had they been involved </w:t>
      </w:r>
      <w:r w:rsidR="00E329F7">
        <w:rPr>
          <w:lang w:eastAsia="en-CA"/>
        </w:rPr>
        <w:t>in</w:t>
      </w:r>
      <w:r w:rsidR="00212536">
        <w:rPr>
          <w:lang w:eastAsia="en-CA"/>
        </w:rPr>
        <w:t xml:space="preserve"> political activity or human rights </w:t>
      </w:r>
      <w:r w:rsidR="00212536">
        <w:rPr>
          <w:lang w:eastAsia="en-CA"/>
        </w:rPr>
        <w:lastRenderedPageBreak/>
        <w:t>activism</w:t>
      </w:r>
      <w:r w:rsidR="005E57A8">
        <w:rPr>
          <w:lang w:eastAsia="en-CA"/>
        </w:rPr>
        <w:t>.</w:t>
      </w:r>
      <w:r w:rsidR="00212536">
        <w:rPr>
          <w:lang w:eastAsia="en-CA"/>
        </w:rPr>
        <w:t xml:space="preserve"> When asked if he feared harm in Sri Lanka for any other reason, he did not provide any other</w:t>
      </w:r>
      <w:r w:rsidR="00CC74DE">
        <w:rPr>
          <w:lang w:eastAsia="en-CA"/>
        </w:rPr>
        <w:t xml:space="preserve"> reason</w:t>
      </w:r>
      <w:r w:rsidR="00212536">
        <w:rPr>
          <w:lang w:eastAsia="en-CA"/>
        </w:rPr>
        <w:t xml:space="preserve">. </w:t>
      </w:r>
      <w:r w:rsidR="00F445FA">
        <w:rPr>
          <w:lang w:eastAsia="en-CA"/>
        </w:rPr>
        <w:t>On</w:t>
      </w:r>
      <w:r w:rsidR="009E4B26">
        <w:rPr>
          <w:lang w:eastAsia="en-CA"/>
        </w:rPr>
        <w:t xml:space="preserve"> 18 January 2013</w:t>
      </w:r>
      <w:r w:rsidR="00E329F7">
        <w:rPr>
          <w:lang w:eastAsia="en-CA"/>
        </w:rPr>
        <w:t>,</w:t>
      </w:r>
      <w:r w:rsidR="009E4B26">
        <w:rPr>
          <w:lang w:eastAsia="en-CA"/>
        </w:rPr>
        <w:t xml:space="preserve"> the complainant filed a written submission to the </w:t>
      </w:r>
      <w:r w:rsidR="00AE3C07">
        <w:rPr>
          <w:lang w:eastAsia="en-CA"/>
        </w:rPr>
        <w:t>Tribunal</w:t>
      </w:r>
      <w:r w:rsidR="009E4B26">
        <w:rPr>
          <w:lang w:eastAsia="en-CA"/>
        </w:rPr>
        <w:t xml:space="preserve"> arguing that he had a well-founded fear of </w:t>
      </w:r>
      <w:r w:rsidR="00CC74DE">
        <w:rPr>
          <w:lang w:eastAsia="en-CA"/>
        </w:rPr>
        <w:t>persecution</w:t>
      </w:r>
      <w:r w:rsidR="009E4B26">
        <w:rPr>
          <w:lang w:eastAsia="en-CA"/>
        </w:rPr>
        <w:t xml:space="preserve"> in Sri Lanka due to his Tamil ethnicity</w:t>
      </w:r>
      <w:r w:rsidR="00E329F7">
        <w:rPr>
          <w:lang w:eastAsia="en-CA"/>
        </w:rPr>
        <w:t>,</w:t>
      </w:r>
      <w:r w:rsidR="009E4B26">
        <w:rPr>
          <w:lang w:eastAsia="en-CA"/>
        </w:rPr>
        <w:t xml:space="preserve"> </w:t>
      </w:r>
      <w:r w:rsidR="00CC74DE">
        <w:rPr>
          <w:lang w:eastAsia="en-CA"/>
        </w:rPr>
        <w:t xml:space="preserve">his </w:t>
      </w:r>
      <w:r w:rsidR="009E4B26">
        <w:rPr>
          <w:lang w:eastAsia="en-CA"/>
        </w:rPr>
        <w:t>political opinions</w:t>
      </w:r>
      <w:r w:rsidR="00E329F7">
        <w:rPr>
          <w:lang w:eastAsia="en-CA"/>
        </w:rPr>
        <w:t>, which</w:t>
      </w:r>
      <w:r w:rsidR="009E4B26">
        <w:rPr>
          <w:lang w:eastAsia="en-CA"/>
        </w:rPr>
        <w:t xml:space="preserve"> opposed TMVP and the </w:t>
      </w:r>
      <w:r w:rsidR="00E329F7">
        <w:rPr>
          <w:lang w:eastAsia="en-CA"/>
        </w:rPr>
        <w:t>G</w:t>
      </w:r>
      <w:r w:rsidR="009E4B26">
        <w:rPr>
          <w:lang w:eastAsia="en-CA"/>
        </w:rPr>
        <w:t xml:space="preserve">overnment </w:t>
      </w:r>
      <w:r w:rsidR="00E329F7">
        <w:rPr>
          <w:lang w:eastAsia="en-CA"/>
        </w:rPr>
        <w:t xml:space="preserve">of Sri Lanka </w:t>
      </w:r>
      <w:r w:rsidR="009E4B26">
        <w:rPr>
          <w:lang w:eastAsia="en-CA"/>
        </w:rPr>
        <w:t>in supporting LTTE</w:t>
      </w:r>
      <w:r w:rsidR="00E329F7">
        <w:rPr>
          <w:lang w:eastAsia="en-CA"/>
        </w:rPr>
        <w:t>,</w:t>
      </w:r>
      <w:r w:rsidR="009E4B26">
        <w:rPr>
          <w:lang w:eastAsia="en-CA"/>
        </w:rPr>
        <w:t xml:space="preserve"> and as a failed asylum seeker. </w:t>
      </w:r>
      <w:r w:rsidR="00CC189E">
        <w:rPr>
          <w:lang w:eastAsia="en-CA"/>
        </w:rPr>
        <w:t xml:space="preserve">On 1 May 2013, the </w:t>
      </w:r>
      <w:r w:rsidR="00AE3C07">
        <w:rPr>
          <w:lang w:eastAsia="en-CA"/>
        </w:rPr>
        <w:t>Tribunal</w:t>
      </w:r>
      <w:r w:rsidR="00CC189E">
        <w:rPr>
          <w:lang w:eastAsia="en-CA"/>
        </w:rPr>
        <w:t xml:space="preserve"> conducted a second hearing</w:t>
      </w:r>
      <w:r w:rsidR="00E329F7">
        <w:rPr>
          <w:lang w:eastAsia="en-CA"/>
        </w:rPr>
        <w:t>,</w:t>
      </w:r>
      <w:r w:rsidR="00CC189E">
        <w:rPr>
          <w:lang w:eastAsia="en-CA"/>
        </w:rPr>
        <w:t xml:space="preserve"> </w:t>
      </w:r>
      <w:r w:rsidR="00E329F7">
        <w:rPr>
          <w:lang w:eastAsia="en-CA"/>
        </w:rPr>
        <w:t xml:space="preserve">at </w:t>
      </w:r>
      <w:r w:rsidR="00CC189E">
        <w:rPr>
          <w:lang w:eastAsia="en-CA"/>
        </w:rPr>
        <w:t xml:space="preserve">which </w:t>
      </w:r>
      <w:r w:rsidR="00E329F7">
        <w:rPr>
          <w:lang w:eastAsia="en-CA"/>
        </w:rPr>
        <w:t>the complainant</w:t>
      </w:r>
      <w:r w:rsidR="00CC189E">
        <w:rPr>
          <w:lang w:eastAsia="en-CA"/>
        </w:rPr>
        <w:t xml:space="preserve"> stated that he feared persecution by the Sri Lankan authorities due to his connection with LTTE, since he allegedly worked for it in 2004 for about </w:t>
      </w:r>
      <w:r w:rsidR="00E329F7">
        <w:rPr>
          <w:lang w:eastAsia="en-CA"/>
        </w:rPr>
        <w:t>six</w:t>
      </w:r>
      <w:r w:rsidR="00CC189E">
        <w:rPr>
          <w:lang w:eastAsia="en-CA"/>
        </w:rPr>
        <w:t xml:space="preserve"> months. He argued that he </w:t>
      </w:r>
      <w:r w:rsidR="00E329F7">
        <w:rPr>
          <w:lang w:eastAsia="en-CA"/>
        </w:rPr>
        <w:t>ha</w:t>
      </w:r>
      <w:r w:rsidR="00CC189E">
        <w:rPr>
          <w:lang w:eastAsia="en-CA"/>
        </w:rPr>
        <w:t>d not refer</w:t>
      </w:r>
      <w:r w:rsidR="00E329F7">
        <w:rPr>
          <w:lang w:eastAsia="en-CA"/>
        </w:rPr>
        <w:t>red</w:t>
      </w:r>
      <w:r w:rsidR="00CC189E">
        <w:rPr>
          <w:lang w:eastAsia="en-CA"/>
        </w:rPr>
        <w:t xml:space="preserve"> to th</w:t>
      </w:r>
      <w:r w:rsidR="00E329F7">
        <w:rPr>
          <w:lang w:eastAsia="en-CA"/>
        </w:rPr>
        <w:t>o</w:t>
      </w:r>
      <w:r w:rsidR="00CC189E">
        <w:rPr>
          <w:lang w:eastAsia="en-CA"/>
        </w:rPr>
        <w:t>se allegations previously because he</w:t>
      </w:r>
      <w:r w:rsidR="001E5F27">
        <w:rPr>
          <w:lang w:eastAsia="en-CA"/>
        </w:rPr>
        <w:t xml:space="preserve"> </w:t>
      </w:r>
      <w:r w:rsidR="00E329F7">
        <w:rPr>
          <w:lang w:eastAsia="en-CA"/>
        </w:rPr>
        <w:t xml:space="preserve">had </w:t>
      </w:r>
      <w:r w:rsidR="001E5F27">
        <w:rPr>
          <w:lang w:eastAsia="en-CA"/>
        </w:rPr>
        <w:t>feared</w:t>
      </w:r>
      <w:r w:rsidR="00CC74DE">
        <w:rPr>
          <w:lang w:eastAsia="en-CA"/>
        </w:rPr>
        <w:t xml:space="preserve"> that he would</w:t>
      </w:r>
      <w:r w:rsidR="001E5F27">
        <w:rPr>
          <w:lang w:eastAsia="en-CA"/>
        </w:rPr>
        <w:t xml:space="preserve"> be put in jail or that the Australian authorities </w:t>
      </w:r>
      <w:r w:rsidR="00CC74DE">
        <w:rPr>
          <w:lang w:eastAsia="en-CA"/>
        </w:rPr>
        <w:t xml:space="preserve">would </w:t>
      </w:r>
      <w:r w:rsidR="001E5F27">
        <w:rPr>
          <w:lang w:eastAsia="en-CA"/>
        </w:rPr>
        <w:t>disclose th</w:t>
      </w:r>
      <w:r w:rsidR="00E329F7">
        <w:rPr>
          <w:lang w:eastAsia="en-CA"/>
        </w:rPr>
        <w:t>e</w:t>
      </w:r>
      <w:r w:rsidR="001E5F27">
        <w:rPr>
          <w:lang w:eastAsia="en-CA"/>
        </w:rPr>
        <w:t xml:space="preserve"> information to the</w:t>
      </w:r>
      <w:r w:rsidR="00E329F7">
        <w:rPr>
          <w:lang w:eastAsia="en-CA"/>
        </w:rPr>
        <w:t>ir</w:t>
      </w:r>
      <w:r w:rsidR="001E5F27">
        <w:rPr>
          <w:lang w:eastAsia="en-CA"/>
        </w:rPr>
        <w:t xml:space="preserve"> Sri Lankan </w:t>
      </w:r>
      <w:r w:rsidR="00E329F7">
        <w:rPr>
          <w:lang w:eastAsia="en-CA"/>
        </w:rPr>
        <w:t>counterparts</w:t>
      </w:r>
      <w:r w:rsidR="00CC189E">
        <w:rPr>
          <w:lang w:eastAsia="en-CA"/>
        </w:rPr>
        <w:t>.</w:t>
      </w:r>
    </w:p>
    <w:p w:rsidR="008B4D5D" w:rsidRDefault="007A0045" w:rsidP="00B44F26">
      <w:pPr>
        <w:pStyle w:val="SingleTxtG"/>
        <w:rPr>
          <w:lang w:eastAsia="en-CA"/>
        </w:rPr>
      </w:pPr>
      <w:r>
        <w:rPr>
          <w:lang w:eastAsia="en-CA"/>
        </w:rPr>
        <w:t>2.10</w:t>
      </w:r>
      <w:r w:rsidR="004B59D0">
        <w:rPr>
          <w:lang w:eastAsia="en-CA"/>
        </w:rPr>
        <w:t xml:space="preserve"> </w:t>
      </w:r>
      <w:r w:rsidR="004B59D0">
        <w:rPr>
          <w:lang w:eastAsia="en-CA"/>
        </w:rPr>
        <w:tab/>
      </w:r>
      <w:r w:rsidR="00F71C9B">
        <w:rPr>
          <w:lang w:eastAsia="en-CA"/>
        </w:rPr>
        <w:t xml:space="preserve">On 16 July 2013, the </w:t>
      </w:r>
      <w:r w:rsidR="00AE3C07">
        <w:rPr>
          <w:lang w:eastAsia="en-CA"/>
        </w:rPr>
        <w:t>Refugee Review Tribunal</w:t>
      </w:r>
      <w:r w:rsidR="00F71C9B">
        <w:rPr>
          <w:lang w:eastAsia="en-CA"/>
        </w:rPr>
        <w:t xml:space="preserve"> dismissed the complainant’s appeal and confirmed the decision not to grant him </w:t>
      </w:r>
      <w:r w:rsidR="00A828B6">
        <w:rPr>
          <w:lang w:eastAsia="en-CA"/>
        </w:rPr>
        <w:t>a</w:t>
      </w:r>
      <w:r w:rsidR="001F23E0">
        <w:rPr>
          <w:lang w:eastAsia="en-CA"/>
        </w:rPr>
        <w:t xml:space="preserve">sylum or complementary </w:t>
      </w:r>
      <w:r w:rsidR="00F71C9B">
        <w:rPr>
          <w:lang w:eastAsia="en-CA"/>
        </w:rPr>
        <w:t xml:space="preserve">protection. </w:t>
      </w:r>
      <w:r w:rsidR="001E5F27">
        <w:rPr>
          <w:lang w:eastAsia="en-CA"/>
        </w:rPr>
        <w:t xml:space="preserve">The </w:t>
      </w:r>
      <w:r w:rsidR="00AE3C07">
        <w:rPr>
          <w:lang w:eastAsia="en-CA"/>
        </w:rPr>
        <w:t>Tribunal</w:t>
      </w:r>
      <w:r w:rsidR="001E5F27">
        <w:rPr>
          <w:lang w:eastAsia="en-CA"/>
        </w:rPr>
        <w:t xml:space="preserve"> referred in detail to the statements given by the complainant during the hearings and to his written submissions</w:t>
      </w:r>
      <w:r w:rsidR="008B4D5D">
        <w:rPr>
          <w:lang w:eastAsia="en-CA"/>
        </w:rPr>
        <w:t xml:space="preserve"> and found the inconsistences in his allegations to be significant </w:t>
      </w:r>
      <w:r w:rsidR="008C19D4">
        <w:rPr>
          <w:lang w:eastAsia="en-CA"/>
        </w:rPr>
        <w:t>regarding</w:t>
      </w:r>
      <w:r w:rsidR="008B4D5D">
        <w:rPr>
          <w:lang w:eastAsia="en-CA"/>
        </w:rPr>
        <w:t xml:space="preserve"> the alleged visit of TMVP members to his family home in March 2012, and the incidents between TMVP members and pe</w:t>
      </w:r>
      <w:r w:rsidR="008C19D4">
        <w:rPr>
          <w:lang w:eastAsia="en-CA"/>
        </w:rPr>
        <w:t>ople</w:t>
      </w:r>
      <w:r w:rsidR="008B4D5D">
        <w:rPr>
          <w:lang w:eastAsia="en-CA"/>
        </w:rPr>
        <w:t xml:space="preserve"> </w:t>
      </w:r>
      <w:r w:rsidR="008C19D4">
        <w:rPr>
          <w:lang w:eastAsia="en-CA"/>
        </w:rPr>
        <w:t xml:space="preserve">in </w:t>
      </w:r>
      <w:r w:rsidR="008B4D5D">
        <w:rPr>
          <w:lang w:eastAsia="en-CA"/>
        </w:rPr>
        <w:t>his village. Accordingly, it concluded that it could not accept his statement that men allegedly from TMVP came to his family home looking for him in March 2012</w:t>
      </w:r>
      <w:r w:rsidR="00C72A3C">
        <w:rPr>
          <w:lang w:eastAsia="en-CA"/>
        </w:rPr>
        <w:t>. Moreover, it found that</w:t>
      </w:r>
      <w:r w:rsidR="008B4D5D">
        <w:rPr>
          <w:lang w:eastAsia="en-CA"/>
        </w:rPr>
        <w:t xml:space="preserve"> he had not been subjected to extortion or other threats by TMVP or anyone else from the time when he returned to Sri Lanka from Qatar. Likewise</w:t>
      </w:r>
      <w:r w:rsidR="008C19D4">
        <w:rPr>
          <w:lang w:eastAsia="en-CA"/>
        </w:rPr>
        <w:t>,</w:t>
      </w:r>
      <w:r w:rsidR="008B4D5D">
        <w:rPr>
          <w:lang w:eastAsia="en-CA"/>
        </w:rPr>
        <w:t xml:space="preserve"> it did not accept the complainant’s explanation for </w:t>
      </w:r>
      <w:r w:rsidR="00E329F7">
        <w:rPr>
          <w:lang w:eastAsia="en-CA"/>
        </w:rPr>
        <w:t>not having</w:t>
      </w:r>
      <w:r w:rsidR="008B4D5D">
        <w:rPr>
          <w:lang w:eastAsia="en-CA"/>
        </w:rPr>
        <w:t xml:space="preserve"> disclose</w:t>
      </w:r>
      <w:r w:rsidR="00E329F7">
        <w:rPr>
          <w:lang w:eastAsia="en-CA"/>
        </w:rPr>
        <w:t>d</w:t>
      </w:r>
      <w:r w:rsidR="008B4D5D">
        <w:rPr>
          <w:lang w:eastAsia="en-CA"/>
        </w:rPr>
        <w:t xml:space="preserve"> the allegation concerning his alleged involvement with LTTE earlier in the proceedings and considered that if he had in fact worked for LTTE</w:t>
      </w:r>
      <w:r w:rsidR="008C19D4">
        <w:rPr>
          <w:lang w:eastAsia="en-CA"/>
        </w:rPr>
        <w:t>,</w:t>
      </w:r>
      <w:r w:rsidR="008B4D5D">
        <w:rPr>
          <w:lang w:eastAsia="en-CA"/>
        </w:rPr>
        <w:t xml:space="preserve"> th</w:t>
      </w:r>
      <w:r w:rsidR="00E329F7">
        <w:rPr>
          <w:lang w:eastAsia="en-CA"/>
        </w:rPr>
        <w:t>at</w:t>
      </w:r>
      <w:r w:rsidR="008B4D5D">
        <w:rPr>
          <w:lang w:eastAsia="en-CA"/>
        </w:rPr>
        <w:t xml:space="preserve"> would be a significant reason for fear</w:t>
      </w:r>
      <w:r w:rsidR="00E329F7">
        <w:rPr>
          <w:lang w:eastAsia="en-CA"/>
        </w:rPr>
        <w:t>ing</w:t>
      </w:r>
      <w:r w:rsidR="008B4D5D">
        <w:rPr>
          <w:lang w:eastAsia="en-CA"/>
        </w:rPr>
        <w:t xml:space="preserve"> harm on his return to Sri Lanka. The </w:t>
      </w:r>
      <w:r w:rsidR="00AE3C07">
        <w:rPr>
          <w:lang w:eastAsia="en-CA"/>
        </w:rPr>
        <w:t>Tribunal</w:t>
      </w:r>
      <w:r w:rsidR="008B4D5D">
        <w:rPr>
          <w:lang w:eastAsia="en-CA"/>
        </w:rPr>
        <w:t xml:space="preserve"> pointed out that the second hearing was not the resumption of an adjourned hearing and, accordingly, the complainant would have understood that his last opportunity to present his claims was before the </w:t>
      </w:r>
      <w:r w:rsidR="00E94A69">
        <w:rPr>
          <w:lang w:eastAsia="en-CA"/>
        </w:rPr>
        <w:t>conclusion of the first hearing</w:t>
      </w:r>
      <w:r w:rsidR="00A828B6">
        <w:rPr>
          <w:lang w:eastAsia="en-CA"/>
        </w:rPr>
        <w:t xml:space="preserve">. The </w:t>
      </w:r>
      <w:r w:rsidR="00AE3C07">
        <w:rPr>
          <w:lang w:eastAsia="en-CA"/>
        </w:rPr>
        <w:t>Tribunal</w:t>
      </w:r>
      <w:r w:rsidR="008B4D5D">
        <w:rPr>
          <w:lang w:eastAsia="en-CA"/>
        </w:rPr>
        <w:t xml:space="preserve"> thus did not accept th</w:t>
      </w:r>
      <w:r w:rsidR="00E329F7">
        <w:rPr>
          <w:lang w:eastAsia="en-CA"/>
        </w:rPr>
        <w:t>e</w:t>
      </w:r>
      <w:r w:rsidR="008B4D5D">
        <w:rPr>
          <w:lang w:eastAsia="en-CA"/>
        </w:rPr>
        <w:t xml:space="preserve"> allegation as true and found that the complainant had never worked for or otherwise been involved with LTTE. Against th</w:t>
      </w:r>
      <w:r w:rsidR="00E329F7">
        <w:rPr>
          <w:lang w:eastAsia="en-CA"/>
        </w:rPr>
        <w:t>at</w:t>
      </w:r>
      <w:r w:rsidR="008B4D5D">
        <w:rPr>
          <w:lang w:eastAsia="en-CA"/>
        </w:rPr>
        <w:t xml:space="preserve"> background, the </w:t>
      </w:r>
      <w:r w:rsidR="00AE3C07">
        <w:rPr>
          <w:lang w:eastAsia="en-CA"/>
        </w:rPr>
        <w:t>Tribunal</w:t>
      </w:r>
      <w:r w:rsidR="008B4D5D">
        <w:rPr>
          <w:lang w:eastAsia="en-CA"/>
        </w:rPr>
        <w:t xml:space="preserve"> accepted </w:t>
      </w:r>
      <w:r w:rsidR="00E329F7">
        <w:rPr>
          <w:lang w:eastAsia="en-CA"/>
        </w:rPr>
        <w:t xml:space="preserve">only </w:t>
      </w:r>
      <w:r w:rsidR="008B4D5D">
        <w:rPr>
          <w:lang w:eastAsia="en-CA"/>
        </w:rPr>
        <w:t xml:space="preserve">that the complainant was </w:t>
      </w:r>
      <w:r w:rsidR="00A828B6">
        <w:rPr>
          <w:lang w:eastAsia="en-CA"/>
        </w:rPr>
        <w:t xml:space="preserve">a </w:t>
      </w:r>
      <w:r w:rsidR="008B4D5D">
        <w:rPr>
          <w:lang w:eastAsia="en-CA"/>
        </w:rPr>
        <w:t>Tamil who lived and worked in northern Sri Lanka; that he had face</w:t>
      </w:r>
      <w:r w:rsidR="00A828B6">
        <w:rPr>
          <w:lang w:eastAsia="en-CA"/>
        </w:rPr>
        <w:t>d</w:t>
      </w:r>
      <w:r w:rsidR="008B4D5D">
        <w:rPr>
          <w:lang w:eastAsia="en-CA"/>
        </w:rPr>
        <w:t xml:space="preserve"> harassment and discrimination in the past by the Sinhalese community in his</w:t>
      </w:r>
      <w:r w:rsidR="00E94A69">
        <w:rPr>
          <w:lang w:eastAsia="en-CA"/>
        </w:rPr>
        <w:t xml:space="preserve"> home area;</w:t>
      </w:r>
      <w:r w:rsidR="00C20163">
        <w:rPr>
          <w:lang w:eastAsia="en-CA"/>
        </w:rPr>
        <w:t xml:space="preserve"> and that he </w:t>
      </w:r>
      <w:r w:rsidR="00E329F7">
        <w:rPr>
          <w:lang w:eastAsia="en-CA"/>
        </w:rPr>
        <w:t xml:space="preserve">had </w:t>
      </w:r>
      <w:r w:rsidR="00C20163">
        <w:rPr>
          <w:lang w:eastAsia="en-CA"/>
        </w:rPr>
        <w:t>left Sr</w:t>
      </w:r>
      <w:r w:rsidR="008B4D5D">
        <w:rPr>
          <w:lang w:eastAsia="en-CA"/>
        </w:rPr>
        <w:t>i Lanka in breach of the relevant Sri Lankan departure laws</w:t>
      </w:r>
      <w:r w:rsidR="004D4E5D">
        <w:rPr>
          <w:lang w:eastAsia="en-CA"/>
        </w:rPr>
        <w:t>.</w:t>
      </w:r>
      <w:r w:rsidR="008B4D5D">
        <w:rPr>
          <w:lang w:eastAsia="en-CA"/>
        </w:rPr>
        <w:t xml:space="preserve"> </w:t>
      </w:r>
    </w:p>
    <w:p w:rsidR="0096062C" w:rsidRDefault="007A0045" w:rsidP="00B44F26">
      <w:pPr>
        <w:pStyle w:val="SingleTxtG"/>
        <w:rPr>
          <w:lang w:eastAsia="en-CA"/>
        </w:rPr>
      </w:pPr>
      <w:r>
        <w:rPr>
          <w:lang w:eastAsia="en-CA"/>
        </w:rPr>
        <w:t>2.11</w:t>
      </w:r>
      <w:r w:rsidR="00C72A3C">
        <w:rPr>
          <w:lang w:eastAsia="en-CA"/>
        </w:rPr>
        <w:t xml:space="preserve"> </w:t>
      </w:r>
      <w:r w:rsidR="00C72A3C">
        <w:rPr>
          <w:lang w:eastAsia="en-CA"/>
        </w:rPr>
        <w:tab/>
        <w:t>In its decision, t</w:t>
      </w:r>
      <w:r w:rsidR="004D4E5D">
        <w:rPr>
          <w:lang w:eastAsia="en-CA"/>
        </w:rPr>
        <w:t xml:space="preserve">he </w:t>
      </w:r>
      <w:r w:rsidR="00AE3C07">
        <w:rPr>
          <w:lang w:eastAsia="en-CA"/>
        </w:rPr>
        <w:t>Refugee Review Tribunal</w:t>
      </w:r>
      <w:r w:rsidR="004D4E5D">
        <w:rPr>
          <w:lang w:eastAsia="en-CA"/>
        </w:rPr>
        <w:t xml:space="preserve"> took detailed note of the </w:t>
      </w:r>
      <w:r w:rsidR="005D7505" w:rsidRPr="00B44F26">
        <w:rPr>
          <w:i/>
          <w:iCs/>
          <w:lang w:eastAsia="en-CA"/>
        </w:rPr>
        <w:t xml:space="preserve">UNHCR </w:t>
      </w:r>
      <w:r w:rsidR="00617E1A" w:rsidRPr="00B44F26">
        <w:rPr>
          <w:i/>
          <w:iCs/>
        </w:rPr>
        <w:t>Eligibility Guidelines for Assessing the International Protection Needs of Asylum Seekers from Sri Lanka</w:t>
      </w:r>
      <w:r w:rsidR="00617E1A">
        <w:t xml:space="preserve"> (</w:t>
      </w:r>
      <w:r w:rsidR="00617E1A" w:rsidRPr="00462ABA">
        <w:t>21 December 2012</w:t>
      </w:r>
      <w:r w:rsidR="00617E1A">
        <w:t>)</w:t>
      </w:r>
      <w:r w:rsidR="005D7505">
        <w:rPr>
          <w:lang w:eastAsia="en-CA"/>
        </w:rPr>
        <w:t xml:space="preserve">, </w:t>
      </w:r>
      <w:r w:rsidR="00E329F7">
        <w:rPr>
          <w:lang w:eastAsia="en-CA"/>
        </w:rPr>
        <w:t xml:space="preserve">reports from </w:t>
      </w:r>
      <w:r w:rsidR="001E5F27">
        <w:rPr>
          <w:lang w:eastAsia="en-CA"/>
        </w:rPr>
        <w:t>States and NGOs about the human rights situation in Sri Lanka</w:t>
      </w:r>
      <w:r w:rsidR="006C69B1">
        <w:rPr>
          <w:lang w:eastAsia="en-CA"/>
        </w:rPr>
        <w:t xml:space="preserve">, in particular concerning the treatment </w:t>
      </w:r>
      <w:r w:rsidR="008C19D4">
        <w:rPr>
          <w:lang w:eastAsia="en-CA"/>
        </w:rPr>
        <w:t>of</w:t>
      </w:r>
      <w:r w:rsidR="006C69B1">
        <w:rPr>
          <w:lang w:eastAsia="en-CA"/>
        </w:rPr>
        <w:t xml:space="preserve"> Tamils</w:t>
      </w:r>
      <w:r w:rsidR="00B63E21">
        <w:rPr>
          <w:lang w:eastAsia="en-CA"/>
        </w:rPr>
        <w:t xml:space="preserve"> by the authorities</w:t>
      </w:r>
      <w:r w:rsidR="006C69B1">
        <w:rPr>
          <w:lang w:eastAsia="en-CA"/>
        </w:rPr>
        <w:t xml:space="preserve">, </w:t>
      </w:r>
      <w:r w:rsidR="00B63E21">
        <w:rPr>
          <w:lang w:eastAsia="en-CA"/>
        </w:rPr>
        <w:t xml:space="preserve">the situation </w:t>
      </w:r>
      <w:r w:rsidR="00A828B6">
        <w:rPr>
          <w:lang w:eastAsia="en-CA"/>
        </w:rPr>
        <w:t xml:space="preserve">of </w:t>
      </w:r>
      <w:r w:rsidR="006C69B1">
        <w:rPr>
          <w:lang w:eastAsia="en-CA"/>
        </w:rPr>
        <w:t>failed asylum seekers and returnees</w:t>
      </w:r>
      <w:r w:rsidR="00B63E21">
        <w:rPr>
          <w:lang w:eastAsia="en-CA"/>
        </w:rPr>
        <w:t>,</w:t>
      </w:r>
      <w:r w:rsidR="006C69B1">
        <w:rPr>
          <w:lang w:eastAsia="en-CA"/>
        </w:rPr>
        <w:t xml:space="preserve"> </w:t>
      </w:r>
      <w:r w:rsidR="00E329F7">
        <w:rPr>
          <w:lang w:eastAsia="en-CA"/>
        </w:rPr>
        <w:t xml:space="preserve">the </w:t>
      </w:r>
      <w:r w:rsidR="00C72A3C">
        <w:rPr>
          <w:lang w:eastAsia="en-CA"/>
        </w:rPr>
        <w:t xml:space="preserve">consequences of </w:t>
      </w:r>
      <w:r w:rsidR="006C69B1">
        <w:rPr>
          <w:lang w:eastAsia="en-CA"/>
        </w:rPr>
        <w:t>breach</w:t>
      </w:r>
      <w:r w:rsidR="00C72A3C">
        <w:rPr>
          <w:lang w:eastAsia="en-CA"/>
        </w:rPr>
        <w:t>ing</w:t>
      </w:r>
      <w:r w:rsidR="006C69B1">
        <w:rPr>
          <w:lang w:eastAsia="en-CA"/>
        </w:rPr>
        <w:t xml:space="preserve"> Sri Lankan departure laws, conditions in prison in Sri Lanka</w:t>
      </w:r>
      <w:r w:rsidR="00DF6118">
        <w:rPr>
          <w:lang w:eastAsia="en-CA"/>
        </w:rPr>
        <w:t>, and the situation of TMVP</w:t>
      </w:r>
      <w:r w:rsidR="00E329F7">
        <w:rPr>
          <w:lang w:eastAsia="en-CA"/>
        </w:rPr>
        <w:t xml:space="preserve"> and the </w:t>
      </w:r>
      <w:r w:rsidR="00DF6118">
        <w:rPr>
          <w:lang w:eastAsia="en-CA"/>
        </w:rPr>
        <w:t>Karuna Group</w:t>
      </w:r>
      <w:r w:rsidR="00F63CA8">
        <w:rPr>
          <w:lang w:eastAsia="en-CA"/>
        </w:rPr>
        <w:t>.</w:t>
      </w:r>
      <w:r w:rsidR="00F418E3">
        <w:rPr>
          <w:rStyle w:val="FootnoteReference"/>
          <w:lang w:eastAsia="en-CA"/>
        </w:rPr>
        <w:footnoteReference w:id="6"/>
      </w:r>
      <w:r w:rsidR="001E5F27">
        <w:rPr>
          <w:lang w:eastAsia="en-CA"/>
        </w:rPr>
        <w:t xml:space="preserve"> </w:t>
      </w:r>
      <w:r w:rsidR="00F63CA8">
        <w:rPr>
          <w:lang w:eastAsia="en-CA"/>
        </w:rPr>
        <w:t>It</w:t>
      </w:r>
      <w:r w:rsidR="00A97F19">
        <w:rPr>
          <w:lang w:eastAsia="en-CA"/>
        </w:rPr>
        <w:t xml:space="preserve"> concluded that the complainant would not be at risk of persecution or torture </w:t>
      </w:r>
      <w:r w:rsidR="008C19D4">
        <w:rPr>
          <w:lang w:eastAsia="en-CA"/>
        </w:rPr>
        <w:t xml:space="preserve">based </w:t>
      </w:r>
      <w:r w:rsidR="00F63CA8">
        <w:rPr>
          <w:lang w:eastAsia="en-CA"/>
        </w:rPr>
        <w:t xml:space="preserve">solely </w:t>
      </w:r>
      <w:r w:rsidR="008C19D4">
        <w:rPr>
          <w:lang w:eastAsia="en-CA"/>
        </w:rPr>
        <w:t xml:space="preserve">on the </w:t>
      </w:r>
      <w:r w:rsidR="00A97F19">
        <w:rPr>
          <w:lang w:eastAsia="en-CA"/>
        </w:rPr>
        <w:t xml:space="preserve">fact </w:t>
      </w:r>
      <w:r w:rsidR="008C19D4">
        <w:rPr>
          <w:lang w:eastAsia="en-CA"/>
        </w:rPr>
        <w:t xml:space="preserve">that he </w:t>
      </w:r>
      <w:r w:rsidR="00F63CA8">
        <w:rPr>
          <w:lang w:eastAsia="en-CA"/>
        </w:rPr>
        <w:t>wa</w:t>
      </w:r>
      <w:r w:rsidR="008C19D4">
        <w:rPr>
          <w:lang w:eastAsia="en-CA"/>
        </w:rPr>
        <w:t>s</w:t>
      </w:r>
      <w:r w:rsidR="00A97F19">
        <w:rPr>
          <w:lang w:eastAsia="en-CA"/>
        </w:rPr>
        <w:t xml:space="preserve"> </w:t>
      </w:r>
      <w:r w:rsidR="00F63CA8">
        <w:rPr>
          <w:lang w:eastAsia="en-CA"/>
        </w:rPr>
        <w:t xml:space="preserve">a </w:t>
      </w:r>
      <w:r w:rsidR="00A97F19">
        <w:rPr>
          <w:lang w:eastAsia="en-CA"/>
        </w:rPr>
        <w:t xml:space="preserve">Tamil from the </w:t>
      </w:r>
      <w:r w:rsidR="00F63CA8">
        <w:rPr>
          <w:lang w:eastAsia="en-CA"/>
        </w:rPr>
        <w:t>E</w:t>
      </w:r>
      <w:r w:rsidR="00A97F19">
        <w:rPr>
          <w:lang w:eastAsia="en-CA"/>
        </w:rPr>
        <w:t xml:space="preserve">astern </w:t>
      </w:r>
      <w:r w:rsidR="00F63CA8">
        <w:rPr>
          <w:lang w:eastAsia="en-CA"/>
        </w:rPr>
        <w:t>P</w:t>
      </w:r>
      <w:r w:rsidR="00A97F19">
        <w:rPr>
          <w:lang w:eastAsia="en-CA"/>
        </w:rPr>
        <w:t xml:space="preserve">rovince and </w:t>
      </w:r>
      <w:r w:rsidR="00F63CA8">
        <w:rPr>
          <w:lang w:eastAsia="en-CA"/>
        </w:rPr>
        <w:t xml:space="preserve">a </w:t>
      </w:r>
      <w:r w:rsidR="00A97F19">
        <w:rPr>
          <w:lang w:eastAsia="en-CA"/>
        </w:rPr>
        <w:t>failed asylum seeker.</w:t>
      </w:r>
      <w:r w:rsidR="001F23E0">
        <w:rPr>
          <w:lang w:eastAsia="en-CA"/>
        </w:rPr>
        <w:t xml:space="preserve"> It also concluded that he would not be perceived as </w:t>
      </w:r>
      <w:r w:rsidR="00F63CA8">
        <w:rPr>
          <w:lang w:eastAsia="en-CA"/>
        </w:rPr>
        <w:t xml:space="preserve">a </w:t>
      </w:r>
      <w:r w:rsidR="001F23E0">
        <w:rPr>
          <w:lang w:eastAsia="en-CA"/>
        </w:rPr>
        <w:t xml:space="preserve">political opponent by TMVP because he </w:t>
      </w:r>
      <w:r w:rsidR="00F63CA8">
        <w:rPr>
          <w:lang w:eastAsia="en-CA"/>
        </w:rPr>
        <w:t xml:space="preserve">had </w:t>
      </w:r>
      <w:r w:rsidR="001F23E0">
        <w:rPr>
          <w:lang w:eastAsia="en-CA"/>
        </w:rPr>
        <w:t xml:space="preserve">refused to provide them with a truck or because his home village </w:t>
      </w:r>
      <w:r w:rsidR="00F63CA8">
        <w:rPr>
          <w:lang w:eastAsia="en-CA"/>
        </w:rPr>
        <w:lastRenderedPageBreak/>
        <w:t>wa</w:t>
      </w:r>
      <w:r w:rsidR="001F23E0">
        <w:rPr>
          <w:lang w:eastAsia="en-CA"/>
        </w:rPr>
        <w:t>s perceived to be opposed to TMVP. In th</w:t>
      </w:r>
      <w:r w:rsidR="00F63CA8">
        <w:rPr>
          <w:lang w:eastAsia="en-CA"/>
        </w:rPr>
        <w:t>at</w:t>
      </w:r>
      <w:r w:rsidR="001F23E0">
        <w:rPr>
          <w:lang w:eastAsia="en-CA"/>
        </w:rPr>
        <w:t xml:space="preserve"> regard, it pointed out</w:t>
      </w:r>
      <w:r w:rsidR="008C19D4">
        <w:rPr>
          <w:lang w:eastAsia="en-CA"/>
        </w:rPr>
        <w:t>,</w:t>
      </w:r>
      <w:r w:rsidR="001F23E0">
        <w:rPr>
          <w:lang w:eastAsia="en-CA"/>
        </w:rPr>
        <w:t xml:space="preserve"> inter alia</w:t>
      </w:r>
      <w:r w:rsidR="008C19D4">
        <w:rPr>
          <w:lang w:eastAsia="en-CA"/>
        </w:rPr>
        <w:t>,</w:t>
      </w:r>
      <w:r w:rsidR="001F23E0">
        <w:rPr>
          <w:lang w:eastAsia="en-CA"/>
        </w:rPr>
        <w:t xml:space="preserve"> that he </w:t>
      </w:r>
      <w:r w:rsidR="00F63CA8">
        <w:rPr>
          <w:lang w:eastAsia="en-CA"/>
        </w:rPr>
        <w:t>had</w:t>
      </w:r>
      <w:r w:rsidR="001F23E0">
        <w:rPr>
          <w:lang w:eastAsia="en-CA"/>
        </w:rPr>
        <w:t xml:space="preserve"> not </w:t>
      </w:r>
      <w:r w:rsidR="00F63CA8">
        <w:rPr>
          <w:lang w:eastAsia="en-CA"/>
        </w:rPr>
        <w:t xml:space="preserve">been </w:t>
      </w:r>
      <w:r w:rsidR="001F23E0">
        <w:rPr>
          <w:lang w:eastAsia="en-CA"/>
        </w:rPr>
        <w:t xml:space="preserve">subject to extortion </w:t>
      </w:r>
      <w:r w:rsidR="00F63CA8">
        <w:rPr>
          <w:lang w:eastAsia="en-CA"/>
        </w:rPr>
        <w:t xml:space="preserve">or </w:t>
      </w:r>
      <w:r w:rsidR="001F23E0">
        <w:rPr>
          <w:lang w:eastAsia="en-CA"/>
        </w:rPr>
        <w:t xml:space="preserve">threats by TMVP between his return to Sri Lanka in 2010 and his departure to Australia. </w:t>
      </w:r>
    </w:p>
    <w:p w:rsidR="00276D04" w:rsidRDefault="00C72A3C" w:rsidP="00B44F26">
      <w:pPr>
        <w:pStyle w:val="SingleTxtG"/>
        <w:rPr>
          <w:lang w:eastAsia="en-CA"/>
        </w:rPr>
      </w:pPr>
      <w:r>
        <w:rPr>
          <w:lang w:eastAsia="en-CA"/>
        </w:rPr>
        <w:t>2.1</w:t>
      </w:r>
      <w:r w:rsidR="007A0045">
        <w:rPr>
          <w:lang w:eastAsia="en-CA"/>
        </w:rPr>
        <w:t>2</w:t>
      </w:r>
      <w:r>
        <w:rPr>
          <w:lang w:eastAsia="en-CA"/>
        </w:rPr>
        <w:tab/>
      </w:r>
      <w:r w:rsidR="00276D04">
        <w:rPr>
          <w:lang w:eastAsia="en-CA"/>
        </w:rPr>
        <w:t xml:space="preserve">On 19 August 2013, the complainant submitted an application for </w:t>
      </w:r>
      <w:r w:rsidR="005D6730">
        <w:rPr>
          <w:lang w:eastAsia="en-CA"/>
        </w:rPr>
        <w:t>judicial</w:t>
      </w:r>
      <w:r w:rsidR="00276D04">
        <w:rPr>
          <w:lang w:eastAsia="en-CA"/>
        </w:rPr>
        <w:t xml:space="preserve"> review of the </w:t>
      </w:r>
      <w:r w:rsidR="00AE3C07">
        <w:rPr>
          <w:lang w:eastAsia="en-CA"/>
        </w:rPr>
        <w:t>Tribunal</w:t>
      </w:r>
      <w:r w:rsidR="001F23E0">
        <w:rPr>
          <w:lang w:eastAsia="en-CA"/>
        </w:rPr>
        <w:t>’s</w:t>
      </w:r>
      <w:r w:rsidR="00276D04">
        <w:rPr>
          <w:lang w:eastAsia="en-CA"/>
        </w:rPr>
        <w:t xml:space="preserve"> decision to the Federal Circuit Court of Australia. On 4 February 2014, the Court dismissed h</w:t>
      </w:r>
      <w:r w:rsidR="00F63CA8">
        <w:rPr>
          <w:lang w:eastAsia="en-CA"/>
        </w:rPr>
        <w:t>is</w:t>
      </w:r>
      <w:r w:rsidR="00276D04">
        <w:rPr>
          <w:lang w:eastAsia="en-CA"/>
        </w:rPr>
        <w:t xml:space="preserve"> application. On an unspecified date, the complainant requested </w:t>
      </w:r>
      <w:r w:rsidR="008C19D4">
        <w:rPr>
          <w:lang w:eastAsia="en-CA"/>
        </w:rPr>
        <w:t xml:space="preserve">that </w:t>
      </w:r>
      <w:r w:rsidR="00276D04">
        <w:rPr>
          <w:lang w:eastAsia="en-CA"/>
        </w:rPr>
        <w:t>the Minister for Immigration and Border Protection exercise his public interest power under section 417 of the Migration Act</w:t>
      </w:r>
      <w:r w:rsidR="001F23E0">
        <w:rPr>
          <w:lang w:eastAsia="en-CA"/>
        </w:rPr>
        <w:t xml:space="preserve"> and grant him permanent residency. In his request, he reiterated his allegations of persecution due to his alleged former connection with LTTE</w:t>
      </w:r>
      <w:r w:rsidR="00276D04">
        <w:rPr>
          <w:lang w:eastAsia="en-CA"/>
        </w:rPr>
        <w:t xml:space="preserve">. On 3 April 2014, the Assistant Minister declined to intervene. </w:t>
      </w:r>
    </w:p>
    <w:p w:rsidR="00276D04" w:rsidRDefault="006B4DF5" w:rsidP="00B44F26">
      <w:pPr>
        <w:pStyle w:val="H23G"/>
      </w:pPr>
      <w:r>
        <w:tab/>
      </w:r>
      <w:r>
        <w:tab/>
      </w:r>
      <w:r w:rsidR="00276D04">
        <w:t>The complaint</w:t>
      </w:r>
    </w:p>
    <w:p w:rsidR="006C75A0" w:rsidRPr="00A67B62" w:rsidRDefault="00276D04" w:rsidP="00B44F26">
      <w:pPr>
        <w:pStyle w:val="SingleTxtG"/>
      </w:pPr>
      <w:r w:rsidRPr="00A67B62">
        <w:t>3.</w:t>
      </w:r>
      <w:r w:rsidR="0025478C" w:rsidRPr="00A67B62">
        <w:t>1</w:t>
      </w:r>
      <w:r w:rsidRPr="00A67B62">
        <w:tab/>
        <w:t xml:space="preserve">The complainant </w:t>
      </w:r>
      <w:r w:rsidR="006C75A0" w:rsidRPr="00A67B62">
        <w:t>submit</w:t>
      </w:r>
      <w:r w:rsidRPr="00A67B62">
        <w:t xml:space="preserve">s that </w:t>
      </w:r>
      <w:r w:rsidR="006C75A0" w:rsidRPr="00A67B62">
        <w:t xml:space="preserve">his return to Sri Lanka by the State party would constitute a violation of article 3 of the Convention since </w:t>
      </w:r>
      <w:r w:rsidRPr="00A67B62">
        <w:t xml:space="preserve">there are substantial grounds for believing that he would be </w:t>
      </w:r>
      <w:r w:rsidR="006C75A0" w:rsidRPr="00A67B62">
        <w:t xml:space="preserve">at risk of </w:t>
      </w:r>
      <w:r w:rsidRPr="00A67B62">
        <w:t>torture</w:t>
      </w:r>
      <w:r w:rsidR="006C75A0" w:rsidRPr="00A67B62">
        <w:t xml:space="preserve"> by the Sri Lankan authorities due to his alleged </w:t>
      </w:r>
      <w:r w:rsidR="00F63CA8">
        <w:t>work with</w:t>
      </w:r>
      <w:r w:rsidR="006C75A0" w:rsidRPr="00A67B62">
        <w:t xml:space="preserve"> LTTE between October 2003 and March 2004</w:t>
      </w:r>
      <w:r w:rsidRPr="00A67B62">
        <w:t>. Since he left Sri Lanka illegally, he would be arrested and detained upon return</w:t>
      </w:r>
      <w:r w:rsidR="006C75A0" w:rsidRPr="00A67B62">
        <w:t xml:space="preserve"> and </w:t>
      </w:r>
      <w:r w:rsidR="00F63CA8">
        <w:t>would be</w:t>
      </w:r>
      <w:r w:rsidR="006C75A0" w:rsidRPr="00A67B62">
        <w:t xml:space="preserve"> susp</w:t>
      </w:r>
      <w:r w:rsidR="00F63CA8">
        <w:t>ected</w:t>
      </w:r>
      <w:r w:rsidR="006C75A0" w:rsidRPr="00A67B62">
        <w:t xml:space="preserve"> of </w:t>
      </w:r>
      <w:r w:rsidR="00F63CA8">
        <w:t xml:space="preserve">having </w:t>
      </w:r>
      <w:r w:rsidR="006C75A0" w:rsidRPr="00A67B62">
        <w:t>links with LTTE</w:t>
      </w:r>
      <w:r w:rsidRPr="00A67B62">
        <w:t xml:space="preserve">. </w:t>
      </w:r>
      <w:r w:rsidR="006C75A0" w:rsidRPr="00A67B62">
        <w:t>He claims that he left his country of origin fearing for his life since he refused to provide his truck to TMVP</w:t>
      </w:r>
      <w:r w:rsidR="008C19D4">
        <w:t>,</w:t>
      </w:r>
      <w:r w:rsidR="006C75A0" w:rsidRPr="00A67B62">
        <w:t xml:space="preserve"> </w:t>
      </w:r>
      <w:r w:rsidR="00F63CA8">
        <w:t xml:space="preserve">which would </w:t>
      </w:r>
      <w:r w:rsidR="006C75A0" w:rsidRPr="00A67B62">
        <w:t>therefore</w:t>
      </w:r>
      <w:r w:rsidR="006517FA">
        <w:t xml:space="preserve"> take revenge</w:t>
      </w:r>
      <w:r w:rsidR="006C75A0" w:rsidRPr="00A67B62">
        <w:t>.</w:t>
      </w:r>
    </w:p>
    <w:p w:rsidR="0025478C" w:rsidRPr="00A67B62" w:rsidRDefault="0025478C" w:rsidP="00B44F26">
      <w:pPr>
        <w:pStyle w:val="SingleTxtG"/>
      </w:pPr>
      <w:r w:rsidRPr="00A67B62">
        <w:t xml:space="preserve">3.2 </w:t>
      </w:r>
      <w:r w:rsidRPr="00A67B62">
        <w:tab/>
        <w:t xml:space="preserve">The Karuna Group and the Pillayan </w:t>
      </w:r>
      <w:r w:rsidR="00F63CA8">
        <w:t>G</w:t>
      </w:r>
      <w:r w:rsidRPr="00A67B62">
        <w:t xml:space="preserve">roup remain active </w:t>
      </w:r>
      <w:r w:rsidR="003C4286" w:rsidRPr="00A67B62">
        <w:t>in the eastern and north</w:t>
      </w:r>
      <w:r w:rsidR="00F63CA8">
        <w:t>-</w:t>
      </w:r>
      <w:r w:rsidR="003C4286" w:rsidRPr="00A67B62">
        <w:t xml:space="preserve">eastern parts of Sri Lanka. </w:t>
      </w:r>
      <w:r w:rsidR="00781B64">
        <w:t>Neither</w:t>
      </w:r>
      <w:r w:rsidR="003B4316" w:rsidRPr="00A67B62">
        <w:t xml:space="preserve"> </w:t>
      </w:r>
      <w:r w:rsidR="003C4286" w:rsidRPr="00A67B62">
        <w:t xml:space="preserve">group </w:t>
      </w:r>
      <w:r w:rsidR="003B4316" w:rsidRPr="00A67B62">
        <w:t>ha</w:t>
      </w:r>
      <w:r w:rsidR="00781B64">
        <w:t>s</w:t>
      </w:r>
      <w:r w:rsidR="003C4286" w:rsidRPr="00A67B62">
        <w:t xml:space="preserve"> been subject to any formal process of disarmament and they operate in coordination with elements of the Sri Lankan security forces.</w:t>
      </w:r>
      <w:r w:rsidRPr="00A67B62">
        <w:t xml:space="preserve"> Therefore, </w:t>
      </w:r>
      <w:r w:rsidR="00781B64">
        <w:t>t</w:t>
      </w:r>
      <w:r w:rsidR="00781B64" w:rsidRPr="00A67B62">
        <w:t>he complainant</w:t>
      </w:r>
      <w:r w:rsidRPr="00A67B62">
        <w:t xml:space="preserve"> would not receive protection </w:t>
      </w:r>
      <w:r w:rsidR="008C19D4">
        <w:t>from</w:t>
      </w:r>
      <w:r w:rsidR="008C19D4" w:rsidRPr="00A67B62">
        <w:t xml:space="preserve"> </w:t>
      </w:r>
      <w:r w:rsidRPr="00A67B62">
        <w:t xml:space="preserve">the authorities. </w:t>
      </w:r>
    </w:p>
    <w:p w:rsidR="00B327B1" w:rsidRPr="00A67B62" w:rsidRDefault="0025478C" w:rsidP="00B44F26">
      <w:pPr>
        <w:spacing w:line="240" w:lineRule="auto"/>
        <w:ind w:left="1134" w:right="1134"/>
        <w:jc w:val="both"/>
        <w:rPr>
          <w:lang w:eastAsia="en-CA"/>
        </w:rPr>
      </w:pPr>
      <w:r w:rsidRPr="00A67B62">
        <w:t xml:space="preserve">3.3 </w:t>
      </w:r>
      <w:r w:rsidRPr="00A67B62">
        <w:tab/>
      </w:r>
      <w:r w:rsidR="003C4286" w:rsidRPr="00A67B62">
        <w:t xml:space="preserve">The </w:t>
      </w:r>
      <w:r w:rsidR="00AE3C07">
        <w:rPr>
          <w:lang w:eastAsia="en-CA"/>
        </w:rPr>
        <w:t>Refugee Review Tribunal</w:t>
      </w:r>
      <w:r w:rsidR="003C4286" w:rsidRPr="00A67B62">
        <w:t xml:space="preserve"> made </w:t>
      </w:r>
      <w:r w:rsidR="000131EA">
        <w:t xml:space="preserve">a </w:t>
      </w:r>
      <w:r w:rsidRPr="00A67B62">
        <w:t xml:space="preserve">strict assessment </w:t>
      </w:r>
      <w:r w:rsidR="00781B64">
        <w:t>of</w:t>
      </w:r>
      <w:r w:rsidR="003C4286" w:rsidRPr="00A67B62">
        <w:t xml:space="preserve"> his credibility. However, </w:t>
      </w:r>
      <w:r w:rsidR="00781B64">
        <w:t>t</w:t>
      </w:r>
      <w:r w:rsidR="00781B64" w:rsidRPr="00A67B62">
        <w:rPr>
          <w:lang w:eastAsia="en-CA"/>
        </w:rPr>
        <w:t>he complainant</w:t>
      </w:r>
      <w:r w:rsidR="003C4286" w:rsidRPr="00A67B62">
        <w:t xml:space="preserve"> claims that his accounts ar</w:t>
      </w:r>
      <w:r w:rsidRPr="00A67B62">
        <w:t>e</w:t>
      </w:r>
      <w:r w:rsidR="003C4286" w:rsidRPr="00A67B62">
        <w:t xml:space="preserve"> </w:t>
      </w:r>
      <w:r w:rsidR="006517FA" w:rsidRPr="00A67B62">
        <w:t>consistent</w:t>
      </w:r>
      <w:r w:rsidR="003C4286" w:rsidRPr="00A67B62">
        <w:t xml:space="preserve"> with the description of activities carried out by the Karuna </w:t>
      </w:r>
      <w:r w:rsidR="00781B64">
        <w:t>G</w:t>
      </w:r>
      <w:r w:rsidR="003C4286" w:rsidRPr="00A67B62">
        <w:t xml:space="preserve">roup and TMVP. </w:t>
      </w:r>
      <w:r w:rsidR="00781B64">
        <w:rPr>
          <w:lang w:eastAsia="en-CA"/>
        </w:rPr>
        <w:t>He</w:t>
      </w:r>
      <w:r w:rsidR="00B327B1" w:rsidRPr="00A67B62">
        <w:rPr>
          <w:lang w:eastAsia="en-CA"/>
        </w:rPr>
        <w:t xml:space="preserve"> submits that he did not mention his connection with LTTE to the authorities at first because he was afraid that it would undermine his chances of being granted a protection visa in Australia</w:t>
      </w:r>
      <w:r w:rsidR="008C19D4">
        <w:rPr>
          <w:lang w:eastAsia="en-CA"/>
        </w:rPr>
        <w:t>,</w:t>
      </w:r>
      <w:r w:rsidR="00B327B1" w:rsidRPr="00A67B62">
        <w:rPr>
          <w:lang w:eastAsia="en-CA"/>
        </w:rPr>
        <w:t xml:space="preserve"> or that it would be shared with the Sri Lankan </w:t>
      </w:r>
      <w:r w:rsidR="006517FA" w:rsidRPr="00A67B62">
        <w:rPr>
          <w:lang w:eastAsia="en-CA"/>
        </w:rPr>
        <w:t>authorities</w:t>
      </w:r>
      <w:r w:rsidR="00B327B1" w:rsidRPr="00A67B62">
        <w:rPr>
          <w:lang w:eastAsia="en-CA"/>
        </w:rPr>
        <w:t xml:space="preserve"> if he were to be returned. </w:t>
      </w:r>
    </w:p>
    <w:p w:rsidR="00CA7A6D" w:rsidRDefault="00671842" w:rsidP="004127AE">
      <w:pPr>
        <w:pStyle w:val="H23G"/>
        <w:spacing w:line="240" w:lineRule="auto"/>
        <w:rPr>
          <w:lang w:eastAsia="zh-CN"/>
        </w:rPr>
      </w:pPr>
      <w:r>
        <w:tab/>
      </w:r>
      <w:r w:rsidR="00481FEC">
        <w:tab/>
      </w:r>
      <w:r w:rsidR="00497928" w:rsidRPr="00E76845">
        <w:rPr>
          <w:lang w:eastAsia="zh-CN"/>
        </w:rPr>
        <w:t>State party’s observations on admissibility</w:t>
      </w:r>
      <w:r w:rsidR="00153368" w:rsidRPr="00E76845">
        <w:rPr>
          <w:lang w:eastAsia="zh-CN"/>
        </w:rPr>
        <w:t xml:space="preserve"> </w:t>
      </w:r>
      <w:r w:rsidR="00491C54" w:rsidRPr="00E76845">
        <w:rPr>
          <w:lang w:eastAsia="zh-CN"/>
        </w:rPr>
        <w:t xml:space="preserve">and </w:t>
      </w:r>
      <w:r w:rsidR="00073F42">
        <w:rPr>
          <w:lang w:eastAsia="zh-CN"/>
        </w:rPr>
        <w:t xml:space="preserve">the </w:t>
      </w:r>
      <w:r w:rsidR="00491C54" w:rsidRPr="00E76845">
        <w:rPr>
          <w:lang w:eastAsia="zh-CN"/>
        </w:rPr>
        <w:t>merits</w:t>
      </w:r>
    </w:p>
    <w:p w:rsidR="00073F42" w:rsidRDefault="005B70FC" w:rsidP="00B44F26">
      <w:pPr>
        <w:pStyle w:val="SingleTxtG"/>
      </w:pPr>
      <w:r>
        <w:rPr>
          <w:kern w:val="3"/>
          <w:lang w:eastAsia="zh-CN"/>
        </w:rPr>
        <w:t>4</w:t>
      </w:r>
      <w:r w:rsidR="00AD4465">
        <w:rPr>
          <w:kern w:val="3"/>
          <w:lang w:eastAsia="zh-CN"/>
        </w:rPr>
        <w:t>.1</w:t>
      </w:r>
      <w:r w:rsidR="00DB3E5C">
        <w:rPr>
          <w:kern w:val="3"/>
          <w:lang w:eastAsia="zh-CN"/>
        </w:rPr>
        <w:tab/>
      </w:r>
      <w:r w:rsidR="007C0202" w:rsidRPr="00092D14">
        <w:t xml:space="preserve">On </w:t>
      </w:r>
      <w:r w:rsidR="00B327B1">
        <w:t>23 March 2015</w:t>
      </w:r>
      <w:r w:rsidR="007C0202" w:rsidRPr="00092D14">
        <w:t xml:space="preserve">, the State party </w:t>
      </w:r>
      <w:r w:rsidR="00521092">
        <w:t>submit</w:t>
      </w:r>
      <w:r w:rsidR="00315043">
        <w:t>ted</w:t>
      </w:r>
      <w:r w:rsidR="00521092">
        <w:t xml:space="preserve"> </w:t>
      </w:r>
      <w:r w:rsidR="00073F42">
        <w:t xml:space="preserve">its observations on admissibility and </w:t>
      </w:r>
      <w:r w:rsidR="00781B64">
        <w:t xml:space="preserve">the </w:t>
      </w:r>
      <w:r w:rsidR="00073F42">
        <w:t>merits of the complaint</w:t>
      </w:r>
      <w:r w:rsidR="00FB30EE">
        <w:t xml:space="preserve">. It asserts </w:t>
      </w:r>
      <w:r w:rsidR="00DC2992">
        <w:t xml:space="preserve">that </w:t>
      </w:r>
      <w:r w:rsidR="00FB30EE">
        <w:t xml:space="preserve">the complainant’s </w:t>
      </w:r>
      <w:r w:rsidR="00DC2992">
        <w:t xml:space="preserve">allegations are </w:t>
      </w:r>
      <w:r w:rsidR="00FC1148">
        <w:t xml:space="preserve">manifestly unfounded </w:t>
      </w:r>
      <w:r w:rsidR="00FB30EE">
        <w:t xml:space="preserve">and therefore </w:t>
      </w:r>
      <w:r w:rsidR="00FB30EE" w:rsidRPr="00FB30EE">
        <w:t>inadmissible</w:t>
      </w:r>
      <w:r w:rsidR="00E0558A">
        <w:t>,</w:t>
      </w:r>
      <w:r w:rsidR="00FB30EE" w:rsidRPr="00FB30EE">
        <w:t xml:space="preserve"> </w:t>
      </w:r>
      <w:r w:rsidR="00FB30EE">
        <w:t xml:space="preserve">as </w:t>
      </w:r>
      <w:r w:rsidR="00FB30EE" w:rsidRPr="00FB30EE">
        <w:t>the complainant failed to establish a prima facie case for the purpose of admissibility.</w:t>
      </w:r>
      <w:r w:rsidR="00FB30EE">
        <w:t xml:space="preserve"> </w:t>
      </w:r>
      <w:r w:rsidR="00DC2992">
        <w:t xml:space="preserve">Should the Committee </w:t>
      </w:r>
      <w:r w:rsidR="00FC1148">
        <w:t xml:space="preserve">find </w:t>
      </w:r>
      <w:r w:rsidR="00B62057">
        <w:t>his</w:t>
      </w:r>
      <w:r w:rsidR="00DC2992">
        <w:t xml:space="preserve"> allegations admissible</w:t>
      </w:r>
      <w:r w:rsidR="00A004DA">
        <w:t xml:space="preserve">, </w:t>
      </w:r>
      <w:r w:rsidR="00DC2992">
        <w:t xml:space="preserve">the State party </w:t>
      </w:r>
      <w:r w:rsidR="00FC1148">
        <w:t xml:space="preserve">submits that </w:t>
      </w:r>
      <w:r w:rsidR="00CA6DFB">
        <w:t>they</w:t>
      </w:r>
      <w:r w:rsidR="00C36E0D">
        <w:t xml:space="preserve"> </w:t>
      </w:r>
      <w:r w:rsidR="00B327B1">
        <w:t>do not disclose a violation of the Convention</w:t>
      </w:r>
      <w:r w:rsidR="00C36E0D">
        <w:t xml:space="preserve">. The complainant’s allegations </w:t>
      </w:r>
      <w:r w:rsidR="00E0558A">
        <w:t>are not</w:t>
      </w:r>
      <w:r w:rsidR="00FC1148">
        <w:t xml:space="preserve"> supported by evidence that there are su</w:t>
      </w:r>
      <w:r w:rsidR="00C36E0D">
        <w:t xml:space="preserve">bstantial grounds for believing </w:t>
      </w:r>
      <w:r w:rsidR="00FC1148">
        <w:t xml:space="preserve">that </w:t>
      </w:r>
      <w:r w:rsidR="00C36E0D">
        <w:t xml:space="preserve">he would be </w:t>
      </w:r>
      <w:r w:rsidR="00FC1148">
        <w:t>in danger of being tortured</w:t>
      </w:r>
      <w:r w:rsidR="00C36E0D">
        <w:t xml:space="preserve"> if returned to Sri Lanka. </w:t>
      </w:r>
      <w:r w:rsidR="00CA6DFB">
        <w:t>In th</w:t>
      </w:r>
      <w:r w:rsidR="00781B64">
        <w:t>at</w:t>
      </w:r>
      <w:r w:rsidR="00CA6DFB">
        <w:t xml:space="preserve"> regard, </w:t>
      </w:r>
      <w:r w:rsidR="00E0558A">
        <w:t>the State party</w:t>
      </w:r>
      <w:r w:rsidR="00CA6DFB">
        <w:t xml:space="preserve"> maintains that</w:t>
      </w:r>
      <w:r w:rsidR="00156034">
        <w:t xml:space="preserve"> the obligation of </w:t>
      </w:r>
      <w:r w:rsidR="00156034" w:rsidRPr="00FB30EE">
        <w:t>non-refoulement</w:t>
      </w:r>
      <w:r w:rsidR="00156034">
        <w:t xml:space="preserve"> is confined to torture and does not extend to cruel, inhuman or degrading treatment or punishment.</w:t>
      </w:r>
      <w:r w:rsidR="004F5090">
        <w:rPr>
          <w:rStyle w:val="FootnoteReference"/>
        </w:rPr>
        <w:footnoteReference w:id="7"/>
      </w:r>
    </w:p>
    <w:p w:rsidR="00AA5A49" w:rsidRDefault="00C03AAB" w:rsidP="00B44F26">
      <w:pPr>
        <w:pStyle w:val="SingleTxtG"/>
      </w:pPr>
      <w:r>
        <w:t>4.</w:t>
      </w:r>
      <w:r w:rsidR="006505C0">
        <w:t>2</w:t>
      </w:r>
      <w:r>
        <w:tab/>
      </w:r>
      <w:r w:rsidR="00B62057">
        <w:t>T</w:t>
      </w:r>
      <w:r>
        <w:t xml:space="preserve">he </w:t>
      </w:r>
      <w:r w:rsidR="00D15E6C">
        <w:t xml:space="preserve">complainant </w:t>
      </w:r>
      <w:r>
        <w:t xml:space="preserve">has not provided any relevant new evidence in his submissions to the Committee that has not already been </w:t>
      </w:r>
      <w:r w:rsidR="00B62057">
        <w:t xml:space="preserve">thoroughly </w:t>
      </w:r>
      <w:r>
        <w:t xml:space="preserve">considered </w:t>
      </w:r>
      <w:r w:rsidR="006505C0">
        <w:t xml:space="preserve">by </w:t>
      </w:r>
      <w:r w:rsidR="00781B64">
        <w:t xml:space="preserve">the </w:t>
      </w:r>
      <w:r w:rsidR="00E0558A">
        <w:t>domestic</w:t>
      </w:r>
      <w:r w:rsidR="006505C0">
        <w:t xml:space="preserve"> authorities, including the </w:t>
      </w:r>
      <w:r w:rsidR="00AE3C07">
        <w:rPr>
          <w:lang w:eastAsia="en-CA"/>
        </w:rPr>
        <w:t>Refugee Review Tribunal</w:t>
      </w:r>
      <w:r w:rsidR="006505C0">
        <w:t xml:space="preserve"> and the Federal Circuit Court of Australia.</w:t>
      </w:r>
      <w:r>
        <w:t xml:space="preserve"> </w:t>
      </w:r>
      <w:r w:rsidR="00781B64">
        <w:t>I</w:t>
      </w:r>
      <w:r w:rsidR="006505C0">
        <w:t xml:space="preserve">n effective and adequate </w:t>
      </w:r>
      <w:r w:rsidR="00531261">
        <w:t xml:space="preserve">administrative and judicial </w:t>
      </w:r>
      <w:r w:rsidR="00B62057">
        <w:t>proceeding</w:t>
      </w:r>
      <w:r w:rsidR="006505C0">
        <w:t>s, the authorities determined that his claims were not</w:t>
      </w:r>
      <w:r w:rsidR="00CC2261">
        <w:t xml:space="preserve"> credible</w:t>
      </w:r>
      <w:r w:rsidR="00A828B6">
        <w:t>. The State party requests</w:t>
      </w:r>
      <w:r w:rsidR="00D15E6C">
        <w:t xml:space="preserve"> </w:t>
      </w:r>
      <w:r w:rsidR="00E0558A">
        <w:t xml:space="preserve">that </w:t>
      </w:r>
      <w:r w:rsidR="00D15E6C">
        <w:t xml:space="preserve">the Committee </w:t>
      </w:r>
      <w:r>
        <w:t xml:space="preserve">give </w:t>
      </w:r>
      <w:r>
        <w:lastRenderedPageBreak/>
        <w:t xml:space="preserve">considerable weight to findings of fact that </w:t>
      </w:r>
      <w:r w:rsidR="00D15E6C">
        <w:t xml:space="preserve">were </w:t>
      </w:r>
      <w:r>
        <w:t xml:space="preserve">made by </w:t>
      </w:r>
      <w:r w:rsidR="00531261">
        <w:t>its authorities</w:t>
      </w:r>
      <w:r w:rsidR="00D15E6C">
        <w:t xml:space="preserve">, which </w:t>
      </w:r>
      <w:r>
        <w:t xml:space="preserve">found that </w:t>
      </w:r>
      <w:r w:rsidR="00D15E6C">
        <w:t xml:space="preserve">the State party </w:t>
      </w:r>
      <w:r>
        <w:t xml:space="preserve">does not owe the </w:t>
      </w:r>
      <w:r w:rsidR="00D15E6C">
        <w:t xml:space="preserve">complainant </w:t>
      </w:r>
      <w:r>
        <w:t xml:space="preserve">protection under the Convention. </w:t>
      </w:r>
    </w:p>
    <w:p w:rsidR="002B1DAB" w:rsidRDefault="00AA5A49" w:rsidP="001F6D59">
      <w:pPr>
        <w:pStyle w:val="SingleTxtG"/>
        <w:keepLines/>
      </w:pPr>
      <w:r>
        <w:t>4.</w:t>
      </w:r>
      <w:r w:rsidR="00B62057">
        <w:t>3</w:t>
      </w:r>
      <w:r>
        <w:tab/>
      </w:r>
      <w:r w:rsidR="004410DF" w:rsidRPr="004410DF">
        <w:t xml:space="preserve">The State party </w:t>
      </w:r>
      <w:r w:rsidR="00B62057">
        <w:t xml:space="preserve">points out that </w:t>
      </w:r>
      <w:r w:rsidR="00D15E6C">
        <w:t>t</w:t>
      </w:r>
      <w:r>
        <w:t xml:space="preserve">he </w:t>
      </w:r>
      <w:r w:rsidR="00D15E6C">
        <w:t>complainant</w:t>
      </w:r>
      <w:r>
        <w:t xml:space="preserve">’s claims </w:t>
      </w:r>
      <w:r w:rsidR="00E0558A">
        <w:t xml:space="preserve">were </w:t>
      </w:r>
      <w:r>
        <w:t>considered during the protection visa application</w:t>
      </w:r>
      <w:r w:rsidR="00B62057">
        <w:t xml:space="preserve"> by the </w:t>
      </w:r>
      <w:r w:rsidR="001E673A">
        <w:rPr>
          <w:lang w:eastAsia="en-CA"/>
        </w:rPr>
        <w:t>Department of Immigration and Citizenship</w:t>
      </w:r>
      <w:r>
        <w:t xml:space="preserve">, </w:t>
      </w:r>
      <w:r w:rsidR="00B62057">
        <w:t>the</w:t>
      </w:r>
      <w:r>
        <w:t xml:space="preserve"> </w:t>
      </w:r>
      <w:r w:rsidR="00AE3C07">
        <w:rPr>
          <w:lang w:eastAsia="en-CA"/>
        </w:rPr>
        <w:t>Refugee Review Tribunal</w:t>
      </w:r>
      <w:r>
        <w:t xml:space="preserve">, the Federal Circuit Court </w:t>
      </w:r>
      <w:r w:rsidR="004410DF">
        <w:t xml:space="preserve">of Australia </w:t>
      </w:r>
      <w:r>
        <w:t>and</w:t>
      </w:r>
      <w:r w:rsidR="00B62057">
        <w:t xml:space="preserve"> </w:t>
      </w:r>
      <w:r w:rsidR="00B62057">
        <w:rPr>
          <w:lang w:eastAsia="en-CA"/>
        </w:rPr>
        <w:t>the Minister for Immigration and Border Protection</w:t>
      </w:r>
      <w:r>
        <w:t xml:space="preserve">. </w:t>
      </w:r>
      <w:r w:rsidR="00030C73">
        <w:t xml:space="preserve">On </w:t>
      </w:r>
      <w:r w:rsidR="002B1DAB">
        <w:t>6 September</w:t>
      </w:r>
      <w:r w:rsidR="00030C73">
        <w:t xml:space="preserve">, the </w:t>
      </w:r>
      <w:r w:rsidR="001E673A">
        <w:rPr>
          <w:lang w:eastAsia="en-CA"/>
        </w:rPr>
        <w:t>Department</w:t>
      </w:r>
      <w:r w:rsidR="002B1DAB">
        <w:t xml:space="preserve"> refused the complainant’s protection visa application, </w:t>
      </w:r>
      <w:r w:rsidR="00B62057">
        <w:t>a</w:t>
      </w:r>
      <w:r w:rsidR="002B1DAB">
        <w:t>fter conducting an interview with the assistance of an interpreter</w:t>
      </w:r>
      <w:r w:rsidR="00B62057">
        <w:t>.</w:t>
      </w:r>
      <w:r w:rsidR="002B1DAB">
        <w:t xml:space="preserve"> </w:t>
      </w:r>
      <w:r w:rsidR="00B62057">
        <w:t>I</w:t>
      </w:r>
      <w:r w:rsidR="00160BB1">
        <w:t>t</w:t>
      </w:r>
      <w:r w:rsidR="002B1DAB">
        <w:t xml:space="preserve"> accepted his accounts </w:t>
      </w:r>
      <w:r w:rsidR="00E0558A">
        <w:t>of</w:t>
      </w:r>
      <w:r w:rsidR="002B1DAB">
        <w:t xml:space="preserve"> his refusal to lend his truck to TMVP; however, it concluded that he did not face a real risk of harm by TMVP </w:t>
      </w:r>
      <w:r w:rsidR="00781B64">
        <w:t>owing to</w:t>
      </w:r>
      <w:r w:rsidR="002B1DAB">
        <w:t xml:space="preserve"> th</w:t>
      </w:r>
      <w:r w:rsidR="00781B64">
        <w:t>at</w:t>
      </w:r>
      <w:r w:rsidR="002B1DAB">
        <w:t xml:space="preserve"> refusal. In </w:t>
      </w:r>
      <w:r w:rsidR="00E0558A">
        <w:t>th</w:t>
      </w:r>
      <w:r w:rsidR="00781B64">
        <w:t>at</w:t>
      </w:r>
      <w:r w:rsidR="002B1DAB">
        <w:t xml:space="preserve"> finding, the </w:t>
      </w:r>
      <w:r w:rsidR="001E673A">
        <w:rPr>
          <w:lang w:eastAsia="en-CA"/>
        </w:rPr>
        <w:t>Department</w:t>
      </w:r>
      <w:r w:rsidR="002B1DAB">
        <w:t xml:space="preserve"> took into account the fact that the complainant remained in his village </w:t>
      </w:r>
      <w:r w:rsidR="00E0558A">
        <w:t xml:space="preserve">without incident </w:t>
      </w:r>
      <w:r w:rsidR="002B1DAB">
        <w:t>for several days after the unknown men visited his family home; that his family remain</w:t>
      </w:r>
      <w:r w:rsidR="00BC0B19">
        <w:t>ed</w:t>
      </w:r>
      <w:r w:rsidR="002B1DAB">
        <w:t xml:space="preserve"> in the village and has not experience</w:t>
      </w:r>
      <w:r w:rsidR="00A828B6">
        <w:t>d</w:t>
      </w:r>
      <w:r w:rsidR="002B1DAB">
        <w:t xml:space="preserve"> any further approaches, nor has the family ever experienced any threats, violence or retribution from TMVP over his refusal to le</w:t>
      </w:r>
      <w:r w:rsidR="00E0558A">
        <w:t>n</w:t>
      </w:r>
      <w:r w:rsidR="002B1DAB">
        <w:t>d his truck</w:t>
      </w:r>
      <w:r w:rsidR="00160BB1">
        <w:t xml:space="preserve">. It considered that he did not face </w:t>
      </w:r>
      <w:r w:rsidR="00781B64">
        <w:t xml:space="preserve">a </w:t>
      </w:r>
      <w:r w:rsidR="00160BB1">
        <w:t xml:space="preserve">risk of torture due to his Tamil ethnicity and position as </w:t>
      </w:r>
      <w:r w:rsidR="00E0558A">
        <w:t xml:space="preserve">a </w:t>
      </w:r>
      <w:r w:rsidR="00160BB1">
        <w:t>failed asylum seeker, either in isolation or cumulatively. The UNHCR guidelines and country information available at the time indicated that individuals</w:t>
      </w:r>
      <w:r w:rsidR="00A828B6">
        <w:t xml:space="preserve"> who had left</w:t>
      </w:r>
      <w:r w:rsidR="00160BB1">
        <w:t xml:space="preserve"> Sri Lanka illegally were selected for screening but were not at risk of harm if they were not connected to any </w:t>
      </w:r>
      <w:r w:rsidR="00781B64">
        <w:t>G</w:t>
      </w:r>
      <w:r w:rsidR="00160BB1">
        <w:t xml:space="preserve">overnment-opposed activities. </w:t>
      </w:r>
      <w:r w:rsidR="00A828B6">
        <w:t xml:space="preserve">There was no </w:t>
      </w:r>
      <w:r w:rsidR="00160BB1">
        <w:t xml:space="preserve">evidence that he had links with LTTE and </w:t>
      </w:r>
      <w:r w:rsidR="00A828B6">
        <w:t>he provided</w:t>
      </w:r>
      <w:r w:rsidR="00160BB1">
        <w:t xml:space="preserve"> no evidence before the </w:t>
      </w:r>
      <w:r w:rsidR="001E673A">
        <w:rPr>
          <w:lang w:eastAsia="en-CA"/>
        </w:rPr>
        <w:t>Department of Immigration and Citizenship</w:t>
      </w:r>
      <w:r w:rsidR="00160BB1">
        <w:t xml:space="preserve"> that he would be suspected of possessing any such links. </w:t>
      </w:r>
      <w:r w:rsidR="00AF26F6">
        <w:t xml:space="preserve">Accordingly, the </w:t>
      </w:r>
      <w:r w:rsidR="001E673A">
        <w:rPr>
          <w:lang w:eastAsia="en-CA"/>
        </w:rPr>
        <w:t xml:space="preserve">Department </w:t>
      </w:r>
      <w:r w:rsidR="00AF26F6">
        <w:t>concluded that the complainant’s claims were not credible and that there w</w:t>
      </w:r>
      <w:r w:rsidR="009E637D">
        <w:t xml:space="preserve">ere no substantial grounds for believing that he would face </w:t>
      </w:r>
      <w:r w:rsidR="00E0558A">
        <w:t xml:space="preserve">a </w:t>
      </w:r>
      <w:r w:rsidR="009E637D">
        <w:t xml:space="preserve">foreseeable, real and personal risk of harm if returned to Sri Lanka. </w:t>
      </w:r>
    </w:p>
    <w:p w:rsidR="00B519A9" w:rsidRDefault="009529C7" w:rsidP="00B44F26">
      <w:pPr>
        <w:pStyle w:val="SingleTxtG"/>
      </w:pPr>
      <w:r>
        <w:t>4.</w:t>
      </w:r>
      <w:r w:rsidR="00B62057">
        <w:t>4</w:t>
      </w:r>
      <w:r>
        <w:tab/>
      </w:r>
      <w:r w:rsidR="00ED19DD">
        <w:t>Subsequently</w:t>
      </w:r>
      <w:r w:rsidR="00E0558A">
        <w:t>,</w:t>
      </w:r>
      <w:r w:rsidR="00ED19DD">
        <w:t xml:space="preserve"> t</w:t>
      </w:r>
      <w:r>
        <w:t xml:space="preserve">he </w:t>
      </w:r>
      <w:r w:rsidR="00AE3C07">
        <w:rPr>
          <w:lang w:eastAsia="en-CA"/>
        </w:rPr>
        <w:t>Refugee Review Tribunal</w:t>
      </w:r>
      <w:r w:rsidR="0018281C">
        <w:t xml:space="preserve"> </w:t>
      </w:r>
      <w:r>
        <w:t>carr</w:t>
      </w:r>
      <w:r w:rsidR="00A828B6">
        <w:t>ied</w:t>
      </w:r>
      <w:r w:rsidR="0018281C">
        <w:t xml:space="preserve"> </w:t>
      </w:r>
      <w:r>
        <w:t xml:space="preserve">out an external merits review </w:t>
      </w:r>
      <w:r w:rsidR="00ED19DD">
        <w:t>of</w:t>
      </w:r>
      <w:r>
        <w:t xml:space="preserve"> the</w:t>
      </w:r>
      <w:r w:rsidR="009E637D">
        <w:t xml:space="preserve"> </w:t>
      </w:r>
      <w:r w:rsidR="001E673A">
        <w:rPr>
          <w:lang w:eastAsia="en-CA"/>
        </w:rPr>
        <w:t>Department of Immigration and Citizenship</w:t>
      </w:r>
      <w:r w:rsidR="009E637D">
        <w:t>’s</w:t>
      </w:r>
      <w:r>
        <w:t xml:space="preserve"> </w:t>
      </w:r>
      <w:r w:rsidR="00B62057">
        <w:t xml:space="preserve">decision </w:t>
      </w:r>
      <w:r w:rsidR="00ED19DD">
        <w:t xml:space="preserve">and on 26 July 2013, it confirmed that </w:t>
      </w:r>
      <w:r w:rsidR="00B62057">
        <w:t>the</w:t>
      </w:r>
      <w:r w:rsidR="00ED19DD">
        <w:t xml:space="preserve"> </w:t>
      </w:r>
      <w:r w:rsidR="00B62057">
        <w:t>complainant did not meet the criteria for</w:t>
      </w:r>
      <w:r w:rsidR="0018281C">
        <w:t xml:space="preserve"> </w:t>
      </w:r>
      <w:r w:rsidR="00C372E1">
        <w:t>a protection visa.</w:t>
      </w:r>
      <w:r w:rsidR="00ED19DD">
        <w:t xml:space="preserve"> The </w:t>
      </w:r>
      <w:r w:rsidR="00AE3C07">
        <w:rPr>
          <w:lang w:eastAsia="en-CA"/>
        </w:rPr>
        <w:t>Tribunal</w:t>
      </w:r>
      <w:r w:rsidR="00ED19DD">
        <w:t xml:space="preserve"> received submission</w:t>
      </w:r>
      <w:r w:rsidR="00B62057">
        <w:t>s</w:t>
      </w:r>
      <w:r w:rsidR="00ED19DD">
        <w:t xml:space="preserve"> </w:t>
      </w:r>
      <w:r w:rsidR="00A828B6">
        <w:t>from</w:t>
      </w:r>
      <w:r w:rsidR="00ED19DD">
        <w:t xml:space="preserve"> the complainant, assisted by a legal representative, and held two oral hearings, which were conducted with the assistance of a Tamil interpreter. During the hearings</w:t>
      </w:r>
      <w:r w:rsidR="00E0558A">
        <w:t>,</w:t>
      </w:r>
      <w:r w:rsidR="00ED19DD">
        <w:t xml:space="preserve"> the </w:t>
      </w:r>
      <w:r w:rsidR="00781B64">
        <w:t xml:space="preserve">Tribunal </w:t>
      </w:r>
      <w:r w:rsidR="00ED19DD">
        <w:t xml:space="preserve">made plain its concerns </w:t>
      </w:r>
      <w:r w:rsidR="004D7796">
        <w:t>about</w:t>
      </w:r>
      <w:r w:rsidR="00ED19DD">
        <w:t xml:space="preserve"> the complainant’s claims, particularly in relation to changes in his evidence, in order to give him and his legal representative the opportunity to respond. At the first hearing, the complainant confirmed that he had no links with LTTE and the hearing focused on his fear of harm by TMVP. During the course of that hearing, he gave new statements indicating that in response to the attack in January 2012, TMVP had beaten members of his village. He also changed his description of the visit paid by unknown men to his family home on or about 19 March 2012. Notably, at the second hearing, the complainant stated, for the first time, that he had </w:t>
      </w:r>
      <w:r w:rsidR="00B62057">
        <w:t xml:space="preserve">worked for </w:t>
      </w:r>
      <w:r w:rsidR="00ED19DD">
        <w:t>LTTE</w:t>
      </w:r>
      <w:r w:rsidR="00B62057">
        <w:t xml:space="preserve"> for </w:t>
      </w:r>
      <w:r w:rsidR="004D7796">
        <w:t>six</w:t>
      </w:r>
      <w:r w:rsidR="00B62057">
        <w:t xml:space="preserve"> months</w:t>
      </w:r>
      <w:r w:rsidR="00ED19DD">
        <w:t xml:space="preserve">. The </w:t>
      </w:r>
      <w:r w:rsidR="005D6730">
        <w:t xml:space="preserve">State party points out that </w:t>
      </w:r>
      <w:r w:rsidR="00A828B6">
        <w:t xml:space="preserve">there was no expectation </w:t>
      </w:r>
      <w:r w:rsidR="00ED19DD">
        <w:t>at the first oral hearing</w:t>
      </w:r>
      <w:r w:rsidR="005D6730">
        <w:t xml:space="preserve"> before the </w:t>
      </w:r>
      <w:r w:rsidR="004D7796">
        <w:t>Tribunal</w:t>
      </w:r>
      <w:r w:rsidR="00C41D7A">
        <w:t xml:space="preserve"> that</w:t>
      </w:r>
      <w:r w:rsidR="00ED19DD">
        <w:t xml:space="preserve"> a second hearing would necessarily take place. As such, at the time of the first hearing, the complainant would have understood that th</w:t>
      </w:r>
      <w:r w:rsidR="004D7796">
        <w:t>at</w:t>
      </w:r>
      <w:r w:rsidR="00ED19DD">
        <w:t xml:space="preserve"> was his final opportunity to give evidence</w:t>
      </w:r>
      <w:r w:rsidR="004D7796">
        <w:t xml:space="preserve"> </w:t>
      </w:r>
      <w:r w:rsidR="00ED19DD">
        <w:t>about his links with LTTE</w:t>
      </w:r>
      <w:r w:rsidR="004D7796">
        <w:t xml:space="preserve"> or to make allegations against it</w:t>
      </w:r>
      <w:r w:rsidR="00ED19DD">
        <w:t xml:space="preserve">. In </w:t>
      </w:r>
      <w:r w:rsidR="004D7796">
        <w:t xml:space="preserve">the </w:t>
      </w:r>
      <w:r w:rsidR="00ED19DD">
        <w:t xml:space="preserve">light of the significant inconsistencies in the information provided by the complainant, the </w:t>
      </w:r>
      <w:r w:rsidR="004D7796">
        <w:t>Tribunal</w:t>
      </w:r>
      <w:r w:rsidR="00ED19DD">
        <w:t xml:space="preserve"> concluded that he had deliberately fabricated his claims and did not accept </w:t>
      </w:r>
      <w:r w:rsidR="00E0558A">
        <w:t xml:space="preserve">that he was </w:t>
      </w:r>
      <w:r w:rsidR="00ED19DD">
        <w:t xml:space="preserve">a </w:t>
      </w:r>
      <w:r w:rsidR="004D7796">
        <w:t xml:space="preserve">truthful </w:t>
      </w:r>
      <w:r w:rsidR="00ED19DD">
        <w:t xml:space="preserve">witness. </w:t>
      </w:r>
    </w:p>
    <w:p w:rsidR="009E637D" w:rsidRDefault="00B519A9" w:rsidP="00B44F26">
      <w:pPr>
        <w:pStyle w:val="SingleTxtG"/>
      </w:pPr>
      <w:r>
        <w:t xml:space="preserve">4.5 </w:t>
      </w:r>
      <w:r>
        <w:tab/>
        <w:t>The Tribunal, however,</w:t>
      </w:r>
      <w:r w:rsidR="00ED19DD">
        <w:t xml:space="preserve"> considered whether he was at risk of harm on return to Sri Lanka owing to his position as a failed asylum seeker, his ethnicity </w:t>
      </w:r>
      <w:r w:rsidR="004D7796">
        <w:t>and the</w:t>
      </w:r>
      <w:r w:rsidR="00ED19DD">
        <w:t xml:space="preserve"> </w:t>
      </w:r>
      <w:r w:rsidR="004D7796">
        <w:t>presence of</w:t>
      </w:r>
      <w:r w:rsidR="00ED19DD">
        <w:t xml:space="preserve"> TMVP in eastern Sri Lanka. </w:t>
      </w:r>
      <w:r w:rsidR="005D6730">
        <w:t xml:space="preserve">The </w:t>
      </w:r>
      <w:r w:rsidR="00E14FE7">
        <w:t>2012 UNHCR guidelines indicated that Tamil ethnicity in itself was not a risk factor</w:t>
      </w:r>
      <w:r w:rsidR="00E0558A">
        <w:t>, and</w:t>
      </w:r>
      <w:r w:rsidR="00E14FE7">
        <w:t xml:space="preserve"> country information </w:t>
      </w:r>
      <w:r w:rsidR="00E0558A">
        <w:t xml:space="preserve">did not </w:t>
      </w:r>
      <w:r w:rsidR="00E14FE7">
        <w:t>suggest that LTTE connections were imputed on the basis of Tamil ethnicity alone. Likewise, a failed asylum seeker did not face a real risk of serious harm in Sri Lanka solely because the person was so identified. As to the general risk posed by TMVP, available country information indicated that militias and armed groups associated with TMVP in the east of Sri Lanka targeted individuals who they perceived to be their opponents. In th</w:t>
      </w:r>
      <w:r w:rsidR="004D7796">
        <w:t>at</w:t>
      </w:r>
      <w:r w:rsidR="00E14FE7">
        <w:t xml:space="preserve"> regard, the </w:t>
      </w:r>
      <w:r w:rsidR="004D7796">
        <w:t>Tribunal</w:t>
      </w:r>
      <w:r w:rsidR="00E14FE7">
        <w:t xml:space="preserve"> found that the complainant </w:t>
      </w:r>
      <w:r w:rsidR="00E14FE7">
        <w:lastRenderedPageBreak/>
        <w:t xml:space="preserve">would not be perceived as </w:t>
      </w:r>
      <w:r w:rsidR="00E0558A">
        <w:t xml:space="preserve">being </w:t>
      </w:r>
      <w:r w:rsidR="00E14FE7">
        <w:t xml:space="preserve">opposed to TMVP because he </w:t>
      </w:r>
      <w:r w:rsidR="00C34BF6">
        <w:t xml:space="preserve">had </w:t>
      </w:r>
      <w:r w:rsidR="00E14FE7">
        <w:t xml:space="preserve">refused to provide </w:t>
      </w:r>
      <w:r w:rsidR="00C34BF6">
        <w:t>i</w:t>
      </w:r>
      <w:r w:rsidR="00E14FE7">
        <w:t xml:space="preserve">t with his truck or for any other reason. </w:t>
      </w:r>
    </w:p>
    <w:p w:rsidR="00E14FE7" w:rsidRDefault="00B519A9" w:rsidP="00B44F26">
      <w:pPr>
        <w:pStyle w:val="SingleTxtG"/>
      </w:pPr>
      <w:r>
        <w:t>4.6</w:t>
      </w:r>
      <w:r w:rsidR="008E04FA">
        <w:tab/>
      </w:r>
      <w:r w:rsidR="005D6730">
        <w:t>With regard to t</w:t>
      </w:r>
      <w:r w:rsidR="00E14FE7">
        <w:t>he complainant</w:t>
      </w:r>
      <w:r w:rsidR="005D6730">
        <w:t>’s</w:t>
      </w:r>
      <w:r w:rsidR="00E14FE7">
        <w:t xml:space="preserve"> request for </w:t>
      </w:r>
      <w:r w:rsidR="00C34BF6">
        <w:t>m</w:t>
      </w:r>
      <w:r w:rsidR="00E14FE7">
        <w:t xml:space="preserve">inisterial </w:t>
      </w:r>
      <w:r w:rsidR="00C34BF6">
        <w:t>i</w:t>
      </w:r>
      <w:r w:rsidR="00E14FE7">
        <w:t>ntervention under sections 4</w:t>
      </w:r>
      <w:r w:rsidR="005D6730">
        <w:t>17 and 48</w:t>
      </w:r>
      <w:r w:rsidR="00AE3C07">
        <w:t xml:space="preserve"> </w:t>
      </w:r>
      <w:r w:rsidR="005D6730">
        <w:t>B of the Migration Act, the State party notes that</w:t>
      </w:r>
      <w:r w:rsidR="00E14FE7">
        <w:t xml:space="preserve"> </w:t>
      </w:r>
      <w:r w:rsidR="005D6730">
        <w:t>u</w:t>
      </w:r>
      <w:r w:rsidR="00E14FE7">
        <w:t>nder th</w:t>
      </w:r>
      <w:r w:rsidR="00C34BF6">
        <w:t>o</w:t>
      </w:r>
      <w:r w:rsidR="00E14FE7">
        <w:t xml:space="preserve">se powers, the Minister for Immigration and Border Protection can intervene in individual cases if he thinks that it is in the public interest to do so. The complainant’s request focused on his </w:t>
      </w:r>
      <w:r>
        <w:t>alleged</w:t>
      </w:r>
      <w:r w:rsidR="00E14FE7">
        <w:t xml:space="preserve"> links to LTTE. The State party points out that the only supporting documentation th</w:t>
      </w:r>
      <w:r w:rsidR="00BC0B19">
        <w:t>at</w:t>
      </w:r>
      <w:r w:rsidR="00E14FE7">
        <w:t xml:space="preserve"> he provided to the Minister was in </w:t>
      </w:r>
      <w:r w:rsidR="00E0558A">
        <w:t xml:space="preserve">a </w:t>
      </w:r>
      <w:r w:rsidR="00E14FE7">
        <w:t>foreign language</w:t>
      </w:r>
      <w:r w:rsidR="008E04FA">
        <w:t>. The Minister</w:t>
      </w:r>
      <w:r w:rsidR="00D070EF">
        <w:t>,</w:t>
      </w:r>
      <w:r w:rsidR="008E04FA">
        <w:t xml:space="preserve"> however</w:t>
      </w:r>
      <w:r w:rsidR="00D070EF">
        <w:t>,</w:t>
      </w:r>
      <w:r w:rsidR="008E04FA">
        <w:t xml:space="preserve"> was unable to consider the documentation as no English translation was provided. In th</w:t>
      </w:r>
      <w:r w:rsidR="00C34BF6">
        <w:t>at</w:t>
      </w:r>
      <w:r w:rsidR="008E04FA">
        <w:t xml:space="preserve"> regard, publicly available information on requesting </w:t>
      </w:r>
      <w:r w:rsidR="00C34BF6">
        <w:t>m</w:t>
      </w:r>
      <w:r w:rsidR="008E04FA">
        <w:t xml:space="preserve">inisterial </w:t>
      </w:r>
      <w:r w:rsidR="00C34BF6">
        <w:t>i</w:t>
      </w:r>
      <w:r w:rsidR="008E04FA">
        <w:t xml:space="preserve">ntervention provides that documents not written in English should be accompanied by an English translation by a translator accredited by the National Accreditation Authority for Translators and Interpreters. In the absence of a translation, </w:t>
      </w:r>
      <w:r w:rsidR="00C34BF6">
        <w:t xml:space="preserve">the Minister considered </w:t>
      </w:r>
      <w:r w:rsidR="008E04FA">
        <w:t xml:space="preserve">his request in </w:t>
      </w:r>
      <w:r w:rsidR="00C34BF6">
        <w:t xml:space="preserve">the </w:t>
      </w:r>
      <w:r w:rsidR="008E04FA">
        <w:t xml:space="preserve">light of other available information, </w:t>
      </w:r>
      <w:r w:rsidR="00C34BF6">
        <w:t>and</w:t>
      </w:r>
      <w:r w:rsidR="008E04FA">
        <w:t xml:space="preserve"> concluded that it did not meet the guidelines for </w:t>
      </w:r>
      <w:r w:rsidR="00C34BF6">
        <w:t>m</w:t>
      </w:r>
      <w:r w:rsidR="008E04FA">
        <w:t xml:space="preserve">inisterial </w:t>
      </w:r>
      <w:r w:rsidR="00C34BF6">
        <w:t>i</w:t>
      </w:r>
      <w:r w:rsidR="008E04FA">
        <w:t xml:space="preserve">ntervention. </w:t>
      </w:r>
    </w:p>
    <w:p w:rsidR="008E04FA" w:rsidRDefault="008E04FA" w:rsidP="00B44F26">
      <w:pPr>
        <w:pStyle w:val="SingleTxtG"/>
      </w:pPr>
      <w:r>
        <w:t>4.</w:t>
      </w:r>
      <w:r w:rsidR="00B519A9">
        <w:t>7</w:t>
      </w:r>
      <w:r>
        <w:t xml:space="preserve"> </w:t>
      </w:r>
      <w:r>
        <w:tab/>
        <w:t xml:space="preserve">On 31 March 2016, the State party reiterated its observations and maintained that there </w:t>
      </w:r>
      <w:r w:rsidR="00C34BF6">
        <w:t>we</w:t>
      </w:r>
      <w:r>
        <w:t>re not substantial grounds for believing that the complainant face</w:t>
      </w:r>
      <w:r w:rsidR="00C34BF6">
        <w:t>d</w:t>
      </w:r>
      <w:r>
        <w:t xml:space="preserve"> a real risk of irreparable</w:t>
      </w:r>
      <w:r w:rsidR="00383732">
        <w:t xml:space="preserve"> harm if returned to Sri Lanka</w:t>
      </w:r>
      <w:r w:rsidR="00E0558A">
        <w:t>. It</w:t>
      </w:r>
      <w:r w:rsidR="00383732">
        <w:t xml:space="preserve"> therefore considered the Committee’s request for interim measures to be unwarranted. </w:t>
      </w:r>
    </w:p>
    <w:p w:rsidR="00B90023" w:rsidRDefault="00B90023" w:rsidP="004127AE">
      <w:pPr>
        <w:pStyle w:val="H23G"/>
        <w:spacing w:line="240" w:lineRule="auto"/>
        <w:rPr>
          <w:lang w:eastAsia="zh-CN"/>
        </w:rPr>
      </w:pPr>
      <w:r>
        <w:rPr>
          <w:lang w:eastAsia="zh-CN"/>
        </w:rPr>
        <w:tab/>
      </w:r>
      <w:r>
        <w:rPr>
          <w:lang w:eastAsia="zh-CN"/>
        </w:rPr>
        <w:tab/>
        <w:t xml:space="preserve">Complainant’s comments on the State party’s observations </w:t>
      </w:r>
    </w:p>
    <w:p w:rsidR="00B90023" w:rsidRDefault="00B90023" w:rsidP="00B44F26">
      <w:pPr>
        <w:pStyle w:val="SingleTxtG"/>
        <w:rPr>
          <w:kern w:val="3"/>
          <w:lang w:eastAsia="zh-CN"/>
        </w:rPr>
      </w:pPr>
      <w:r>
        <w:rPr>
          <w:kern w:val="3"/>
          <w:lang w:eastAsia="zh-CN"/>
        </w:rPr>
        <w:t>5</w:t>
      </w:r>
      <w:r w:rsidRPr="005F7869">
        <w:rPr>
          <w:kern w:val="3"/>
          <w:lang w:eastAsia="zh-CN"/>
        </w:rPr>
        <w:t>.1</w:t>
      </w:r>
      <w:r>
        <w:rPr>
          <w:kern w:val="3"/>
          <w:lang w:eastAsia="zh-CN"/>
        </w:rPr>
        <w:tab/>
        <w:t xml:space="preserve">On 11 April 2016, the complainant provided his comments on the State party’s observations. He contested the </w:t>
      </w:r>
      <w:r w:rsidR="00E460AC">
        <w:rPr>
          <w:kern w:val="3"/>
          <w:lang w:eastAsia="zh-CN"/>
        </w:rPr>
        <w:t>State party’s assertions that</w:t>
      </w:r>
      <w:r>
        <w:rPr>
          <w:kern w:val="3"/>
          <w:lang w:eastAsia="zh-CN"/>
        </w:rPr>
        <w:t xml:space="preserve"> his request for visa protection was considered in a thorough and adequate fashion. After concluding that the complainant w</w:t>
      </w:r>
      <w:r w:rsidR="00265638">
        <w:rPr>
          <w:kern w:val="3"/>
          <w:lang w:eastAsia="zh-CN"/>
        </w:rPr>
        <w:t>as</w:t>
      </w:r>
      <w:r>
        <w:rPr>
          <w:kern w:val="3"/>
          <w:lang w:eastAsia="zh-CN"/>
        </w:rPr>
        <w:t xml:space="preserve"> not entitled to refugee protection, the </w:t>
      </w:r>
      <w:r w:rsidR="004D7796">
        <w:rPr>
          <w:lang w:eastAsia="en-CA"/>
        </w:rPr>
        <w:t>Refugee Review Tribunal</w:t>
      </w:r>
      <w:r>
        <w:rPr>
          <w:kern w:val="3"/>
          <w:lang w:eastAsia="zh-CN"/>
        </w:rPr>
        <w:t xml:space="preserve"> assessed </w:t>
      </w:r>
      <w:r w:rsidR="00265638">
        <w:rPr>
          <w:kern w:val="3"/>
          <w:lang w:eastAsia="zh-CN"/>
        </w:rPr>
        <w:t xml:space="preserve">only </w:t>
      </w:r>
      <w:r>
        <w:rPr>
          <w:kern w:val="3"/>
          <w:lang w:eastAsia="zh-CN"/>
        </w:rPr>
        <w:t xml:space="preserve">briefly whether he was entitled to complementary protection. </w:t>
      </w:r>
    </w:p>
    <w:p w:rsidR="00B90023" w:rsidRDefault="00B90023" w:rsidP="00B44F26">
      <w:pPr>
        <w:pStyle w:val="SingleTxtG"/>
        <w:rPr>
          <w:kern w:val="3"/>
          <w:lang w:eastAsia="zh-CN"/>
        </w:rPr>
      </w:pPr>
      <w:r>
        <w:rPr>
          <w:kern w:val="3"/>
          <w:lang w:eastAsia="zh-CN"/>
        </w:rPr>
        <w:t xml:space="preserve">5.2 </w:t>
      </w:r>
      <w:r>
        <w:rPr>
          <w:kern w:val="3"/>
          <w:lang w:eastAsia="zh-CN"/>
        </w:rPr>
        <w:tab/>
        <w:t xml:space="preserve">Although the </w:t>
      </w:r>
      <w:r w:rsidR="004D7796">
        <w:rPr>
          <w:lang w:eastAsia="en-CA"/>
        </w:rPr>
        <w:t>Tribunal</w:t>
      </w:r>
      <w:r>
        <w:rPr>
          <w:kern w:val="3"/>
          <w:lang w:eastAsia="zh-CN"/>
        </w:rPr>
        <w:t xml:space="preserve"> stated that individuals who left Sri Lanka in breach of departure laws would be subjected to </w:t>
      </w:r>
      <w:r w:rsidR="002D3C1B">
        <w:rPr>
          <w:kern w:val="3"/>
          <w:lang w:eastAsia="zh-CN"/>
        </w:rPr>
        <w:t xml:space="preserve">an </w:t>
      </w:r>
      <w:r>
        <w:rPr>
          <w:kern w:val="3"/>
          <w:lang w:eastAsia="zh-CN"/>
        </w:rPr>
        <w:t xml:space="preserve">interrogation process upon return for a maximum of </w:t>
      </w:r>
      <w:r w:rsidR="00265638">
        <w:rPr>
          <w:kern w:val="3"/>
          <w:lang w:eastAsia="zh-CN"/>
        </w:rPr>
        <w:t>three</w:t>
      </w:r>
      <w:r>
        <w:rPr>
          <w:kern w:val="3"/>
          <w:lang w:eastAsia="zh-CN"/>
        </w:rPr>
        <w:t xml:space="preserve"> days, it considered that </w:t>
      </w:r>
      <w:r w:rsidR="002D3C1B">
        <w:rPr>
          <w:kern w:val="3"/>
          <w:lang w:eastAsia="zh-CN"/>
        </w:rPr>
        <w:t>this</w:t>
      </w:r>
      <w:r>
        <w:rPr>
          <w:kern w:val="3"/>
          <w:lang w:eastAsia="zh-CN"/>
        </w:rPr>
        <w:t xml:space="preserve"> would not constitute significant harm </w:t>
      </w:r>
      <w:r w:rsidR="002D3C1B">
        <w:rPr>
          <w:kern w:val="3"/>
          <w:lang w:eastAsia="zh-CN"/>
        </w:rPr>
        <w:t>that warranted granting</w:t>
      </w:r>
      <w:r>
        <w:rPr>
          <w:kern w:val="3"/>
          <w:lang w:eastAsia="zh-CN"/>
        </w:rPr>
        <w:t xml:space="preserve"> complementary protection. The </w:t>
      </w:r>
      <w:r w:rsidR="004D7796">
        <w:rPr>
          <w:lang w:eastAsia="en-CA"/>
        </w:rPr>
        <w:t>Tribunal</w:t>
      </w:r>
      <w:r>
        <w:rPr>
          <w:kern w:val="3"/>
          <w:lang w:eastAsia="zh-CN"/>
        </w:rPr>
        <w:t xml:space="preserve"> failed to consider the possible harassment the complainant m</w:t>
      </w:r>
      <w:r w:rsidR="00265638">
        <w:rPr>
          <w:kern w:val="3"/>
          <w:lang w:eastAsia="zh-CN"/>
        </w:rPr>
        <w:t>ight</w:t>
      </w:r>
      <w:r>
        <w:rPr>
          <w:kern w:val="3"/>
          <w:lang w:eastAsia="zh-CN"/>
        </w:rPr>
        <w:t xml:space="preserve"> face on return to his home village in Sri Lanka by members of TMVP or anyone else. The complainant refers to a </w:t>
      </w:r>
      <w:r w:rsidR="00031088">
        <w:rPr>
          <w:kern w:val="3"/>
          <w:lang w:eastAsia="zh-CN"/>
        </w:rPr>
        <w:t>document</w:t>
      </w:r>
      <w:r>
        <w:rPr>
          <w:kern w:val="3"/>
          <w:lang w:eastAsia="zh-CN"/>
        </w:rPr>
        <w:t xml:space="preserve"> </w:t>
      </w:r>
      <w:r w:rsidR="002D3C1B">
        <w:rPr>
          <w:kern w:val="3"/>
          <w:lang w:eastAsia="zh-CN"/>
        </w:rPr>
        <w:t xml:space="preserve">that </w:t>
      </w:r>
      <w:r>
        <w:rPr>
          <w:kern w:val="3"/>
          <w:lang w:eastAsia="zh-CN"/>
        </w:rPr>
        <w:t>contains information about the case of a Tamil failed asylum seeker who was interrogated by the authorities on arrival in Colombo, as he was considered to have connection</w:t>
      </w:r>
      <w:r w:rsidR="00265638">
        <w:rPr>
          <w:kern w:val="3"/>
          <w:lang w:eastAsia="zh-CN"/>
        </w:rPr>
        <w:t>s</w:t>
      </w:r>
      <w:r>
        <w:rPr>
          <w:kern w:val="3"/>
          <w:lang w:eastAsia="zh-CN"/>
        </w:rPr>
        <w:t xml:space="preserve"> with LTTE, and after</w:t>
      </w:r>
      <w:r w:rsidR="00B519A9">
        <w:rPr>
          <w:kern w:val="3"/>
          <w:lang w:eastAsia="zh-CN"/>
        </w:rPr>
        <w:t xml:space="preserve"> his release</w:t>
      </w:r>
      <w:r>
        <w:rPr>
          <w:kern w:val="3"/>
          <w:lang w:eastAsia="zh-CN"/>
        </w:rPr>
        <w:t xml:space="preserve"> he was</w:t>
      </w:r>
      <w:r w:rsidR="00E460AC">
        <w:rPr>
          <w:kern w:val="3"/>
          <w:lang w:eastAsia="zh-CN"/>
        </w:rPr>
        <w:t xml:space="preserve"> allegedly</w:t>
      </w:r>
      <w:r>
        <w:rPr>
          <w:kern w:val="3"/>
          <w:lang w:eastAsia="zh-CN"/>
        </w:rPr>
        <w:t xml:space="preserve"> harassed and on one occasion severely beaten by the police</w:t>
      </w:r>
      <w:r w:rsidR="00B519A9">
        <w:rPr>
          <w:kern w:val="3"/>
          <w:lang w:eastAsia="zh-CN"/>
        </w:rPr>
        <w:t xml:space="preserve"> in his village</w:t>
      </w:r>
      <w:r>
        <w:rPr>
          <w:kern w:val="3"/>
          <w:lang w:eastAsia="zh-CN"/>
        </w:rPr>
        <w:t>.</w:t>
      </w:r>
      <w:r w:rsidR="00015214">
        <w:rPr>
          <w:rStyle w:val="FootnoteReference"/>
          <w:kern w:val="3"/>
          <w:lang w:eastAsia="zh-CN"/>
        </w:rPr>
        <w:footnoteReference w:id="8"/>
      </w:r>
      <w:r>
        <w:rPr>
          <w:kern w:val="3"/>
          <w:lang w:eastAsia="zh-CN"/>
        </w:rPr>
        <w:t xml:space="preserve"> Likewise, </w:t>
      </w:r>
      <w:r w:rsidR="00031088">
        <w:rPr>
          <w:kern w:val="3"/>
          <w:lang w:eastAsia="zh-CN"/>
        </w:rPr>
        <w:t>a</w:t>
      </w:r>
      <w:r w:rsidR="002D3C1B">
        <w:rPr>
          <w:kern w:val="3"/>
          <w:lang w:eastAsia="zh-CN"/>
        </w:rPr>
        <w:t>nother</w:t>
      </w:r>
      <w:r w:rsidR="00031088">
        <w:rPr>
          <w:kern w:val="3"/>
          <w:lang w:eastAsia="zh-CN"/>
        </w:rPr>
        <w:t xml:space="preserve"> </w:t>
      </w:r>
      <w:r>
        <w:rPr>
          <w:kern w:val="3"/>
          <w:lang w:eastAsia="zh-CN"/>
        </w:rPr>
        <w:t xml:space="preserve">report refers to </w:t>
      </w:r>
      <w:r w:rsidR="002D3C1B">
        <w:rPr>
          <w:kern w:val="3"/>
          <w:lang w:eastAsia="zh-CN"/>
        </w:rPr>
        <w:t>the</w:t>
      </w:r>
      <w:r>
        <w:rPr>
          <w:kern w:val="3"/>
          <w:lang w:eastAsia="zh-CN"/>
        </w:rPr>
        <w:t xml:space="preserve"> case of </w:t>
      </w:r>
      <w:r w:rsidR="00D070EF">
        <w:rPr>
          <w:kern w:val="3"/>
          <w:lang w:eastAsia="zh-CN"/>
        </w:rPr>
        <w:t xml:space="preserve">a </w:t>
      </w:r>
      <w:r>
        <w:rPr>
          <w:kern w:val="3"/>
          <w:lang w:eastAsia="zh-CN"/>
        </w:rPr>
        <w:t xml:space="preserve">Tamil failed asylum seeker who </w:t>
      </w:r>
      <w:r w:rsidR="00265638">
        <w:rPr>
          <w:kern w:val="3"/>
          <w:lang w:eastAsia="zh-CN"/>
        </w:rPr>
        <w:t xml:space="preserve">had </w:t>
      </w:r>
      <w:r>
        <w:rPr>
          <w:kern w:val="3"/>
          <w:lang w:eastAsia="zh-CN"/>
        </w:rPr>
        <w:t>allegedly witnessed a murder committed by a TMVP high</w:t>
      </w:r>
      <w:r w:rsidR="00265638">
        <w:rPr>
          <w:kern w:val="3"/>
          <w:lang w:eastAsia="zh-CN"/>
        </w:rPr>
        <w:t>-</w:t>
      </w:r>
      <w:r>
        <w:rPr>
          <w:kern w:val="3"/>
          <w:lang w:eastAsia="zh-CN"/>
        </w:rPr>
        <w:t>ranking officer</w:t>
      </w:r>
      <w:r w:rsidR="00031088">
        <w:rPr>
          <w:kern w:val="3"/>
          <w:lang w:eastAsia="zh-CN"/>
        </w:rPr>
        <w:t>,</w:t>
      </w:r>
      <w:r>
        <w:rPr>
          <w:kern w:val="3"/>
          <w:lang w:eastAsia="zh-CN"/>
        </w:rPr>
        <w:t xml:space="preserve"> and was harassed and tortured by th</w:t>
      </w:r>
      <w:r w:rsidR="00265638">
        <w:rPr>
          <w:kern w:val="3"/>
          <w:lang w:eastAsia="zh-CN"/>
        </w:rPr>
        <w:t>e</w:t>
      </w:r>
      <w:r>
        <w:rPr>
          <w:kern w:val="3"/>
          <w:lang w:eastAsia="zh-CN"/>
        </w:rPr>
        <w:t xml:space="preserve"> officer</w:t>
      </w:r>
      <w:r w:rsidR="00E460AC" w:rsidRPr="00E460AC">
        <w:rPr>
          <w:kern w:val="3"/>
          <w:lang w:eastAsia="zh-CN"/>
        </w:rPr>
        <w:t xml:space="preserve"> </w:t>
      </w:r>
      <w:r w:rsidR="00E460AC">
        <w:rPr>
          <w:kern w:val="3"/>
          <w:lang w:eastAsia="zh-CN"/>
        </w:rPr>
        <w:t>after his return to Sri Lanka</w:t>
      </w:r>
      <w:r>
        <w:rPr>
          <w:kern w:val="3"/>
          <w:lang w:eastAsia="zh-CN"/>
        </w:rPr>
        <w:t>.</w:t>
      </w:r>
      <w:r w:rsidR="00015214">
        <w:rPr>
          <w:rStyle w:val="FootnoteReference"/>
          <w:kern w:val="3"/>
          <w:lang w:eastAsia="zh-CN"/>
        </w:rPr>
        <w:footnoteReference w:id="9"/>
      </w:r>
      <w:r>
        <w:rPr>
          <w:kern w:val="3"/>
          <w:lang w:eastAsia="zh-CN"/>
        </w:rPr>
        <w:t xml:space="preserve"> </w:t>
      </w:r>
    </w:p>
    <w:p w:rsidR="00FF1862" w:rsidRDefault="00B90023" w:rsidP="00B44F26">
      <w:pPr>
        <w:pStyle w:val="SingleTxtG"/>
        <w:rPr>
          <w:kern w:val="3"/>
          <w:lang w:eastAsia="zh-CN"/>
        </w:rPr>
      </w:pPr>
      <w:r>
        <w:rPr>
          <w:kern w:val="3"/>
          <w:lang w:eastAsia="zh-CN"/>
        </w:rPr>
        <w:t xml:space="preserve">5.3 </w:t>
      </w:r>
      <w:r>
        <w:rPr>
          <w:kern w:val="3"/>
          <w:lang w:eastAsia="zh-CN"/>
        </w:rPr>
        <w:tab/>
        <w:t xml:space="preserve">The </w:t>
      </w:r>
      <w:r w:rsidR="004D7796">
        <w:rPr>
          <w:lang w:eastAsia="en-CA"/>
        </w:rPr>
        <w:t>Tribunal</w:t>
      </w:r>
      <w:r>
        <w:rPr>
          <w:kern w:val="3"/>
          <w:lang w:eastAsia="zh-CN"/>
        </w:rPr>
        <w:t xml:space="preserve"> found his accounts not credible due to </w:t>
      </w:r>
      <w:r w:rsidR="00265638">
        <w:rPr>
          <w:kern w:val="3"/>
          <w:lang w:eastAsia="zh-CN"/>
        </w:rPr>
        <w:t>the</w:t>
      </w:r>
      <w:r w:rsidR="002D3C1B">
        <w:rPr>
          <w:kern w:val="3"/>
          <w:lang w:eastAsia="zh-CN"/>
        </w:rPr>
        <w:t xml:space="preserve"> </w:t>
      </w:r>
      <w:r>
        <w:rPr>
          <w:kern w:val="3"/>
          <w:lang w:eastAsia="zh-CN"/>
        </w:rPr>
        <w:t xml:space="preserve">inconsistences. However, </w:t>
      </w:r>
      <w:r w:rsidR="00265638">
        <w:rPr>
          <w:kern w:val="3"/>
          <w:lang w:eastAsia="zh-CN"/>
        </w:rPr>
        <w:t xml:space="preserve">it </w:t>
      </w:r>
      <w:r>
        <w:rPr>
          <w:kern w:val="3"/>
          <w:lang w:eastAsia="zh-CN"/>
        </w:rPr>
        <w:t xml:space="preserve">should </w:t>
      </w:r>
      <w:r w:rsidR="00E460AC">
        <w:rPr>
          <w:kern w:val="3"/>
          <w:lang w:eastAsia="zh-CN"/>
        </w:rPr>
        <w:t xml:space="preserve">have </w:t>
      </w:r>
      <w:r>
        <w:rPr>
          <w:kern w:val="3"/>
          <w:lang w:eastAsia="zh-CN"/>
        </w:rPr>
        <w:t>be</w:t>
      </w:r>
      <w:r w:rsidR="00E460AC">
        <w:rPr>
          <w:kern w:val="3"/>
          <w:lang w:eastAsia="zh-CN"/>
        </w:rPr>
        <w:t>en</w:t>
      </w:r>
      <w:r>
        <w:rPr>
          <w:kern w:val="3"/>
          <w:lang w:eastAsia="zh-CN"/>
        </w:rPr>
        <w:t xml:space="preserve"> more understand</w:t>
      </w:r>
      <w:r w:rsidR="002D3C1B">
        <w:rPr>
          <w:kern w:val="3"/>
          <w:lang w:eastAsia="zh-CN"/>
        </w:rPr>
        <w:t>ing,</w:t>
      </w:r>
      <w:r>
        <w:rPr>
          <w:kern w:val="3"/>
          <w:lang w:eastAsia="zh-CN"/>
        </w:rPr>
        <w:t xml:space="preserve"> s</w:t>
      </w:r>
      <w:r w:rsidR="00E460AC">
        <w:rPr>
          <w:kern w:val="3"/>
          <w:lang w:eastAsia="zh-CN"/>
        </w:rPr>
        <w:t xml:space="preserve">ince he explained the reasons </w:t>
      </w:r>
      <w:r w:rsidR="002D3C1B">
        <w:rPr>
          <w:kern w:val="3"/>
          <w:lang w:eastAsia="zh-CN"/>
        </w:rPr>
        <w:t>behind</w:t>
      </w:r>
      <w:r w:rsidR="00E460AC">
        <w:rPr>
          <w:kern w:val="3"/>
          <w:lang w:eastAsia="zh-CN"/>
        </w:rPr>
        <w:t xml:space="preserve"> the inconsistences</w:t>
      </w:r>
      <w:r>
        <w:rPr>
          <w:kern w:val="3"/>
          <w:lang w:eastAsia="zh-CN"/>
        </w:rPr>
        <w:t xml:space="preserve">. In particular, the </w:t>
      </w:r>
      <w:r w:rsidR="004D7796">
        <w:rPr>
          <w:lang w:eastAsia="en-CA"/>
        </w:rPr>
        <w:t>Tribunal</w:t>
      </w:r>
      <w:r>
        <w:rPr>
          <w:kern w:val="3"/>
          <w:lang w:eastAsia="zh-CN"/>
        </w:rPr>
        <w:t xml:space="preserve"> found </w:t>
      </w:r>
      <w:r w:rsidR="002D3C1B">
        <w:rPr>
          <w:kern w:val="3"/>
          <w:lang w:eastAsia="zh-CN"/>
        </w:rPr>
        <w:t>that</w:t>
      </w:r>
      <w:r>
        <w:rPr>
          <w:kern w:val="3"/>
          <w:lang w:eastAsia="zh-CN"/>
        </w:rPr>
        <w:t xml:space="preserve"> his allegation that he </w:t>
      </w:r>
      <w:r w:rsidR="00265638">
        <w:rPr>
          <w:kern w:val="3"/>
          <w:lang w:eastAsia="zh-CN"/>
        </w:rPr>
        <w:t xml:space="preserve">had </w:t>
      </w:r>
      <w:r>
        <w:rPr>
          <w:kern w:val="3"/>
          <w:lang w:eastAsia="zh-CN"/>
        </w:rPr>
        <w:t xml:space="preserve">worked for LTTE in 2004 </w:t>
      </w:r>
      <w:r w:rsidR="002D3C1B">
        <w:rPr>
          <w:kern w:val="3"/>
          <w:lang w:eastAsia="zh-CN"/>
        </w:rPr>
        <w:t xml:space="preserve">was not credible </w:t>
      </w:r>
      <w:r>
        <w:rPr>
          <w:kern w:val="3"/>
          <w:lang w:eastAsia="zh-CN"/>
        </w:rPr>
        <w:t xml:space="preserve">because he </w:t>
      </w:r>
      <w:r w:rsidR="00265638">
        <w:rPr>
          <w:kern w:val="3"/>
          <w:lang w:eastAsia="zh-CN"/>
        </w:rPr>
        <w:t>had</w:t>
      </w:r>
      <w:r>
        <w:rPr>
          <w:kern w:val="3"/>
          <w:lang w:eastAsia="zh-CN"/>
        </w:rPr>
        <w:t xml:space="preserve"> not </w:t>
      </w:r>
      <w:r w:rsidR="002D3C1B">
        <w:rPr>
          <w:kern w:val="3"/>
          <w:lang w:eastAsia="zh-CN"/>
        </w:rPr>
        <w:t>ma</w:t>
      </w:r>
      <w:r w:rsidR="00265638">
        <w:rPr>
          <w:kern w:val="3"/>
          <w:lang w:eastAsia="zh-CN"/>
        </w:rPr>
        <w:t>d</w:t>
      </w:r>
      <w:r w:rsidR="002D3C1B">
        <w:rPr>
          <w:kern w:val="3"/>
          <w:lang w:eastAsia="zh-CN"/>
        </w:rPr>
        <w:t>e</w:t>
      </w:r>
      <w:r>
        <w:rPr>
          <w:kern w:val="3"/>
          <w:lang w:eastAsia="zh-CN"/>
        </w:rPr>
        <w:t xml:space="preserve"> th</w:t>
      </w:r>
      <w:r w:rsidR="00265638">
        <w:rPr>
          <w:kern w:val="3"/>
          <w:lang w:eastAsia="zh-CN"/>
        </w:rPr>
        <w:t>e</w:t>
      </w:r>
      <w:r>
        <w:rPr>
          <w:kern w:val="3"/>
          <w:lang w:eastAsia="zh-CN"/>
        </w:rPr>
        <w:t xml:space="preserve"> allegation earlier in the proceedings. The complainant submits that there are reasons why many Sri Lankans initially hide their connection with LTTE, such as the State party’s policy of </w:t>
      </w:r>
      <w:r w:rsidR="00265638">
        <w:rPr>
          <w:kern w:val="3"/>
          <w:lang w:eastAsia="zh-CN"/>
        </w:rPr>
        <w:t>indefinite</w:t>
      </w:r>
      <w:r>
        <w:rPr>
          <w:kern w:val="3"/>
          <w:lang w:eastAsia="zh-CN"/>
        </w:rPr>
        <w:t xml:space="preserve"> detention of those found to be a security risk because of their involvement with LTTE.</w:t>
      </w:r>
      <w:r w:rsidR="00031088">
        <w:rPr>
          <w:kern w:val="3"/>
          <w:lang w:eastAsia="zh-CN"/>
        </w:rPr>
        <w:t xml:space="preserve"> </w:t>
      </w:r>
    </w:p>
    <w:p w:rsidR="00CA7A6D" w:rsidRDefault="006B4DF5" w:rsidP="00B44F26">
      <w:pPr>
        <w:pStyle w:val="H23G"/>
        <w:rPr>
          <w:lang w:eastAsia="zh-CN"/>
        </w:rPr>
      </w:pPr>
      <w:r>
        <w:rPr>
          <w:kern w:val="3"/>
          <w:lang w:eastAsia="zh-CN"/>
        </w:rPr>
        <w:lastRenderedPageBreak/>
        <w:tab/>
      </w:r>
      <w:r>
        <w:rPr>
          <w:kern w:val="3"/>
          <w:lang w:eastAsia="zh-CN"/>
        </w:rPr>
        <w:tab/>
      </w:r>
      <w:r w:rsidR="00F164D6" w:rsidRPr="005D2823">
        <w:rPr>
          <w:lang w:eastAsia="zh-CN"/>
        </w:rPr>
        <w:t>Issues and proceedings before the Committee</w:t>
      </w:r>
    </w:p>
    <w:p w:rsidR="00CA7A6D" w:rsidRPr="00B44F26" w:rsidRDefault="006B4DF5" w:rsidP="00B44F26">
      <w:pPr>
        <w:pStyle w:val="H4G"/>
      </w:pPr>
      <w:r>
        <w:rPr>
          <w:b/>
          <w:kern w:val="3"/>
          <w:lang w:eastAsia="zh-CN"/>
        </w:rPr>
        <w:tab/>
      </w:r>
      <w:r>
        <w:rPr>
          <w:b/>
          <w:kern w:val="3"/>
          <w:lang w:eastAsia="zh-CN"/>
        </w:rPr>
        <w:tab/>
      </w:r>
      <w:r w:rsidR="00F164D6" w:rsidRPr="00F164D6">
        <w:rPr>
          <w:lang w:eastAsia="zh-CN"/>
        </w:rPr>
        <w:t>Consideration of admissibility</w:t>
      </w:r>
    </w:p>
    <w:p w:rsidR="00B11392" w:rsidRPr="00EC7ABC" w:rsidRDefault="008E1196" w:rsidP="00B44F26">
      <w:pPr>
        <w:pStyle w:val="SingleTxtG"/>
        <w:rPr>
          <w:kern w:val="3"/>
          <w:lang w:eastAsia="zh-CN"/>
        </w:rPr>
      </w:pPr>
      <w:r>
        <w:rPr>
          <w:kern w:val="3"/>
          <w:lang w:eastAsia="zh-CN"/>
        </w:rPr>
        <w:t>6</w:t>
      </w:r>
      <w:r w:rsidR="00B11392">
        <w:rPr>
          <w:kern w:val="3"/>
          <w:lang w:eastAsia="zh-CN"/>
        </w:rPr>
        <w:t>.1</w:t>
      </w:r>
      <w:r w:rsidR="00B11392">
        <w:rPr>
          <w:kern w:val="3"/>
          <w:lang w:eastAsia="zh-CN"/>
        </w:rPr>
        <w:tab/>
      </w:r>
      <w:r w:rsidR="00B11392" w:rsidRPr="00EC7ABC">
        <w:rPr>
          <w:kern w:val="3"/>
          <w:lang w:eastAsia="zh-CN"/>
        </w:rPr>
        <w:t xml:space="preserve">Before considering any claim </w:t>
      </w:r>
      <w:r w:rsidR="005D2823">
        <w:rPr>
          <w:kern w:val="3"/>
          <w:lang w:eastAsia="zh-CN"/>
        </w:rPr>
        <w:t>submitted</w:t>
      </w:r>
      <w:r w:rsidR="00B11392" w:rsidRPr="00EC7ABC">
        <w:rPr>
          <w:kern w:val="3"/>
          <w:lang w:eastAsia="zh-CN"/>
        </w:rPr>
        <w:t xml:space="preserve"> in a </w:t>
      </w:r>
      <w:r w:rsidR="00B11392">
        <w:rPr>
          <w:kern w:val="3"/>
          <w:lang w:eastAsia="zh-CN"/>
        </w:rPr>
        <w:t>com</w:t>
      </w:r>
      <w:r w:rsidR="005D2823">
        <w:rPr>
          <w:kern w:val="3"/>
          <w:lang w:eastAsia="zh-CN"/>
        </w:rPr>
        <w:t>munication</w:t>
      </w:r>
      <w:r w:rsidR="00B11392">
        <w:rPr>
          <w:kern w:val="3"/>
          <w:lang w:eastAsia="zh-CN"/>
        </w:rPr>
        <w:t xml:space="preserve">, </w:t>
      </w:r>
      <w:r w:rsidR="00B11392" w:rsidRPr="00EC7ABC">
        <w:rPr>
          <w:kern w:val="3"/>
          <w:lang w:eastAsia="zh-CN"/>
        </w:rPr>
        <w:t xml:space="preserve">the Committee must decide whether it is admissible under article 22 of the Convention. The Committee has ascertained, as it is required to do under article 22 </w:t>
      </w:r>
      <w:r w:rsidR="005D2823">
        <w:rPr>
          <w:kern w:val="3"/>
          <w:lang w:eastAsia="zh-CN"/>
        </w:rPr>
        <w:t>(</w:t>
      </w:r>
      <w:r w:rsidR="00B11392" w:rsidRPr="00EC7ABC">
        <w:rPr>
          <w:kern w:val="3"/>
          <w:lang w:eastAsia="zh-CN"/>
        </w:rPr>
        <w:t>5</w:t>
      </w:r>
      <w:r w:rsidR="005D2823">
        <w:rPr>
          <w:kern w:val="3"/>
          <w:lang w:eastAsia="zh-CN"/>
        </w:rPr>
        <w:t>)</w:t>
      </w:r>
      <w:r w:rsidR="00B11392" w:rsidRPr="00EC7ABC">
        <w:rPr>
          <w:kern w:val="3"/>
          <w:lang w:eastAsia="zh-CN"/>
        </w:rPr>
        <w:t xml:space="preserve"> (a) of the Convention, that the same matter has not been</w:t>
      </w:r>
      <w:r w:rsidR="00B11392">
        <w:rPr>
          <w:kern w:val="3"/>
          <w:lang w:eastAsia="zh-CN"/>
        </w:rPr>
        <w:t xml:space="preserve"> </w:t>
      </w:r>
      <w:r w:rsidR="00B11392" w:rsidRPr="00EC7ABC">
        <w:rPr>
          <w:kern w:val="3"/>
          <w:lang w:eastAsia="zh-CN"/>
        </w:rPr>
        <w:t>and is not being</w:t>
      </w:r>
      <w:r w:rsidR="00B11392">
        <w:rPr>
          <w:kern w:val="3"/>
          <w:lang w:eastAsia="zh-CN"/>
        </w:rPr>
        <w:t xml:space="preserve"> </w:t>
      </w:r>
      <w:r w:rsidR="00B11392" w:rsidRPr="00EC7ABC">
        <w:rPr>
          <w:kern w:val="3"/>
          <w:lang w:eastAsia="zh-CN"/>
        </w:rPr>
        <w:t xml:space="preserve">examined under another procedure of international investigation or settlement. </w:t>
      </w:r>
    </w:p>
    <w:p w:rsidR="00B11392" w:rsidRDefault="008E1196" w:rsidP="00B44F26">
      <w:pPr>
        <w:pStyle w:val="SingleTxtG"/>
      </w:pPr>
      <w:r>
        <w:rPr>
          <w:kern w:val="3"/>
          <w:lang w:eastAsia="zh-CN"/>
        </w:rPr>
        <w:t>6</w:t>
      </w:r>
      <w:r w:rsidR="00B11392" w:rsidRPr="00EC7ABC">
        <w:rPr>
          <w:kern w:val="3"/>
          <w:lang w:eastAsia="zh-CN"/>
        </w:rPr>
        <w:t>.2</w:t>
      </w:r>
      <w:r w:rsidR="00B11392" w:rsidRPr="00EC7ABC">
        <w:rPr>
          <w:kern w:val="3"/>
          <w:lang w:eastAsia="zh-CN"/>
        </w:rPr>
        <w:tab/>
      </w:r>
      <w:r w:rsidR="00920BD0" w:rsidRPr="00A10F46">
        <w:t>The Committee notes the State party’s challenge to the admissibility of the com</w:t>
      </w:r>
      <w:r w:rsidR="005D2823">
        <w:t>munication</w:t>
      </w:r>
      <w:r w:rsidR="00920BD0" w:rsidRPr="00A10F46">
        <w:t xml:space="preserve"> on the ground that</w:t>
      </w:r>
      <w:r w:rsidR="00920BD0">
        <w:rPr>
          <w:kern w:val="3"/>
          <w:lang w:eastAsia="zh-CN"/>
        </w:rPr>
        <w:t xml:space="preserve"> the complainant’s claims under article 3 of the Convention are manifestly ill-founded. </w:t>
      </w:r>
      <w:r w:rsidR="00920BD0" w:rsidRPr="00A10F46">
        <w:t>The Committee</w:t>
      </w:r>
      <w:r w:rsidR="005D2823">
        <w:t>,</w:t>
      </w:r>
      <w:r w:rsidR="00920BD0" w:rsidRPr="00A10F46">
        <w:t xml:space="preserve"> however</w:t>
      </w:r>
      <w:r w:rsidR="005D2823">
        <w:t>,</w:t>
      </w:r>
      <w:r w:rsidR="00920BD0" w:rsidRPr="00A10F46">
        <w:t xml:space="preserve"> considers that the inadmissibility argument adduced by the State party is intimately linked to the merits and should thus be considered at that stage.</w:t>
      </w:r>
      <w:r w:rsidR="00920BD0">
        <w:t xml:space="preserve"> </w:t>
      </w:r>
      <w:r w:rsidR="00620DDC" w:rsidRPr="001B67CF">
        <w:t xml:space="preserve">As the Committee finds no further obstacles to admissibility, it declares the </w:t>
      </w:r>
      <w:r w:rsidR="005D2823">
        <w:t xml:space="preserve">communication </w:t>
      </w:r>
      <w:r w:rsidR="005D2823" w:rsidRPr="00DF23DE">
        <w:t xml:space="preserve">submitted under article 3 of the Convention admissible and proceeds with its </w:t>
      </w:r>
      <w:r w:rsidR="005D2823">
        <w:t>consideration of</w:t>
      </w:r>
      <w:r w:rsidR="005D2823" w:rsidRPr="00DF23DE">
        <w:t xml:space="preserve"> the merits.</w:t>
      </w:r>
    </w:p>
    <w:p w:rsidR="00B11392" w:rsidRDefault="001F5DFC" w:rsidP="00B44F26">
      <w:pPr>
        <w:pStyle w:val="H4G"/>
        <w:rPr>
          <w:lang w:eastAsia="zh-CN"/>
        </w:rPr>
      </w:pPr>
      <w:r>
        <w:rPr>
          <w:lang w:eastAsia="zh-CN"/>
        </w:rPr>
        <w:tab/>
      </w:r>
      <w:r>
        <w:rPr>
          <w:lang w:eastAsia="zh-CN"/>
        </w:rPr>
        <w:tab/>
      </w:r>
      <w:r w:rsidR="00B11392" w:rsidRPr="00F164D6">
        <w:rPr>
          <w:lang w:eastAsia="zh-CN"/>
        </w:rPr>
        <w:t>Consideration of the merits</w:t>
      </w:r>
    </w:p>
    <w:p w:rsidR="00B11392" w:rsidRPr="00BE3814" w:rsidRDefault="008E1196" w:rsidP="00B44F26">
      <w:pPr>
        <w:pStyle w:val="SingleTxtG"/>
      </w:pPr>
      <w:r>
        <w:t>7</w:t>
      </w:r>
      <w:r w:rsidR="00B11392" w:rsidRPr="00BE3814">
        <w:t>.1</w:t>
      </w:r>
      <w:r w:rsidR="00B11392" w:rsidRPr="00BE3814">
        <w:tab/>
        <w:t xml:space="preserve">The Committee has considered the </w:t>
      </w:r>
      <w:r w:rsidR="00B11392">
        <w:t>com</w:t>
      </w:r>
      <w:r w:rsidR="005D2823">
        <w:t>munication</w:t>
      </w:r>
      <w:r w:rsidR="00B11392">
        <w:t xml:space="preserve"> </w:t>
      </w:r>
      <w:r w:rsidR="00B11392" w:rsidRPr="00BE3814">
        <w:t xml:space="preserve">in the light of all </w:t>
      </w:r>
      <w:r w:rsidR="005D2823">
        <w:t xml:space="preserve">the </w:t>
      </w:r>
      <w:r w:rsidR="00B11392" w:rsidRPr="00BE3814">
        <w:t xml:space="preserve">information made available to it by the parties, in accordance with article 22 </w:t>
      </w:r>
      <w:r w:rsidR="005D2823">
        <w:t>(</w:t>
      </w:r>
      <w:r w:rsidR="00B11392" w:rsidRPr="00BE3814">
        <w:t>4</w:t>
      </w:r>
      <w:r w:rsidR="005D2823">
        <w:t>)</w:t>
      </w:r>
      <w:r w:rsidR="00B11392" w:rsidRPr="00BE3814">
        <w:t xml:space="preserve"> of the Convention.</w:t>
      </w:r>
    </w:p>
    <w:p w:rsidR="00B11392" w:rsidRPr="00BE3814" w:rsidRDefault="008E1196" w:rsidP="00B44F26">
      <w:pPr>
        <w:pStyle w:val="SingleTxtG"/>
      </w:pPr>
      <w:r>
        <w:t>7</w:t>
      </w:r>
      <w:r w:rsidR="00B11392" w:rsidRPr="00BE3814">
        <w:t>.2</w:t>
      </w:r>
      <w:r w:rsidR="00B11392" w:rsidRPr="00BE3814">
        <w:tab/>
      </w:r>
      <w:r w:rsidR="008E5743">
        <w:rPr>
          <w:lang w:val="en-US"/>
        </w:rPr>
        <w:t xml:space="preserve">In the present case, </w:t>
      </w:r>
      <w:r w:rsidR="008E5743">
        <w:t>t</w:t>
      </w:r>
      <w:r w:rsidR="00B11392" w:rsidRPr="00BE3814">
        <w:t xml:space="preserve">he issue before the Committee is whether the </w:t>
      </w:r>
      <w:r w:rsidR="00B11392">
        <w:t xml:space="preserve">forced removal </w:t>
      </w:r>
      <w:r w:rsidR="00B11392" w:rsidRPr="00BE3814">
        <w:t xml:space="preserve">of the complainant to </w:t>
      </w:r>
      <w:r w:rsidR="00E35532">
        <w:t xml:space="preserve">Sri Lanka </w:t>
      </w:r>
      <w:r w:rsidR="00B11392" w:rsidRPr="00BE3814">
        <w:t xml:space="preserve">would constitute a violation of the State party’s obligation under article 3 of the Convention not to expel or to return </w:t>
      </w:r>
      <w:r w:rsidR="00B11392">
        <w:t>(</w:t>
      </w:r>
      <w:r w:rsidR="008E5743">
        <w:t>“</w:t>
      </w:r>
      <w:r w:rsidR="00B11392">
        <w:t>refouler</w:t>
      </w:r>
      <w:r w:rsidR="008E5743">
        <w:t>”</w:t>
      </w:r>
      <w:r w:rsidR="00B11392">
        <w:t xml:space="preserve">) </w:t>
      </w:r>
      <w:r w:rsidR="00B11392" w:rsidRPr="00BE3814">
        <w:t xml:space="preserve">a person to another State where there are substantial grounds for believing that he </w:t>
      </w:r>
      <w:r w:rsidR="008E5743">
        <w:t xml:space="preserve">or she </w:t>
      </w:r>
      <w:r w:rsidR="00B11392" w:rsidRPr="00BE3814">
        <w:t>would be in danger of being subjected to torture.</w:t>
      </w:r>
    </w:p>
    <w:p w:rsidR="00B11392" w:rsidRPr="00BE3814" w:rsidRDefault="008E1196" w:rsidP="00B44F26">
      <w:pPr>
        <w:pStyle w:val="SingleTxtG"/>
      </w:pPr>
      <w:r>
        <w:t>7</w:t>
      </w:r>
      <w:r w:rsidR="00B11392" w:rsidRPr="00BE3814">
        <w:t>.3</w:t>
      </w:r>
      <w:r w:rsidR="00B11392" w:rsidRPr="00BE3814">
        <w:tab/>
        <w:t xml:space="preserve">The Committee must evaluate whether there are substantial grounds for believing that the complainant would be personally in danger of being subjected to torture upon return to </w:t>
      </w:r>
      <w:r w:rsidR="00E35532">
        <w:t>Sri Lanka</w:t>
      </w:r>
      <w:r w:rsidR="00B11392">
        <w:t xml:space="preserve">. </w:t>
      </w:r>
      <w:r w:rsidR="00B11392" w:rsidRPr="00BE3814">
        <w:t>In assessing th</w:t>
      </w:r>
      <w:r w:rsidR="008E5743">
        <w:t>at</w:t>
      </w:r>
      <w:r w:rsidR="00B11392" w:rsidRPr="00BE3814">
        <w:t xml:space="preserve"> risk, the Committee must take into account all relevant considerations, pursuant to article 3 </w:t>
      </w:r>
      <w:r w:rsidR="008E5743">
        <w:t>(</w:t>
      </w:r>
      <w:r w:rsidR="00B11392" w:rsidRPr="00BE3814">
        <w:t>2</w:t>
      </w:r>
      <w:r w:rsidR="008E5743">
        <w:t>)</w:t>
      </w:r>
      <w:r w:rsidR="00B11392" w:rsidRPr="00BE3814">
        <w:t xml:space="preserve"> of the Convention, including the existence of a consistent pattern of gross, flagrant or mass violations of human rights. </w:t>
      </w:r>
      <w:r w:rsidR="008E5743">
        <w:t>However, t</w:t>
      </w:r>
      <w:r w:rsidR="00B11392" w:rsidRPr="00BE3814">
        <w:t xml:space="preserve">he Committee recalls that the aim of such determination is to establish whether the individual concerned would be personally at a foreseeable and real risk of being subjected to torture in the country to which he or she would </w:t>
      </w:r>
      <w:r w:rsidR="008E5743">
        <w:t xml:space="preserve">be </w:t>
      </w:r>
      <w:r w:rsidR="00B11392" w:rsidRPr="00BE3814">
        <w:t>return</w:t>
      </w:r>
      <w:r w:rsidR="008E5743">
        <w:t>ed</w:t>
      </w:r>
      <w:r w:rsidR="00B11392" w:rsidRPr="00BE3814">
        <w:t>.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00035983">
        <w:rPr>
          <w:rStyle w:val="FootnoteReference"/>
        </w:rPr>
        <w:footnoteReference w:id="10"/>
      </w:r>
    </w:p>
    <w:p w:rsidR="00B11392" w:rsidRPr="00BE3814" w:rsidRDefault="008E1196" w:rsidP="00B44F26">
      <w:pPr>
        <w:pStyle w:val="SingleTxtG"/>
      </w:pPr>
      <w:r>
        <w:t>7</w:t>
      </w:r>
      <w:r w:rsidR="00B11392" w:rsidRPr="00BE3814">
        <w:t>.4</w:t>
      </w:r>
      <w:r w:rsidR="00B11392" w:rsidRPr="00BE3814">
        <w:tab/>
        <w:t xml:space="preserve">The Committee recalls its general comment No. 1 (1997) on the implementation of article 3 of the Convention, </w:t>
      </w:r>
      <w:r w:rsidR="008E5743">
        <w:t>according to</w:t>
      </w:r>
      <w:r w:rsidR="00B11392">
        <w:t xml:space="preserve"> which </w:t>
      </w:r>
      <w:r w:rsidR="00B11392" w:rsidRPr="00BE3814">
        <w:t xml:space="preserve">the risk of torture must be assessed on grounds that go beyond mere theory or suspicion. </w:t>
      </w:r>
      <w:r w:rsidR="003757B0">
        <w:t>While</w:t>
      </w:r>
      <w:r w:rsidR="00B11392">
        <w:t xml:space="preserve"> </w:t>
      </w:r>
      <w:r w:rsidR="00B11392" w:rsidRPr="00BE3814">
        <w:t>the risk does not have to meet the test of being highly probable</w:t>
      </w:r>
      <w:r w:rsidR="008E5743">
        <w:t xml:space="preserve"> (para. 6)</w:t>
      </w:r>
      <w:r w:rsidR="00B11392" w:rsidRPr="00BE3814">
        <w:t xml:space="preserve">, </w:t>
      </w:r>
      <w:r w:rsidR="008E5743">
        <w:rPr>
          <w:lang w:val="en-US"/>
        </w:rPr>
        <w:t xml:space="preserve">the Committee recalls that </w:t>
      </w:r>
      <w:r w:rsidR="00B11392">
        <w:t xml:space="preserve">the burden of proof </w:t>
      </w:r>
      <w:r w:rsidR="008E5743">
        <w:t>gener</w:t>
      </w:r>
      <w:r w:rsidR="00B11392">
        <w:t xml:space="preserve">ally falls on the complainant, who must present an arguable case that he or she </w:t>
      </w:r>
      <w:r w:rsidR="008E5743">
        <w:t>faces</w:t>
      </w:r>
      <w:r w:rsidR="00B11392">
        <w:t xml:space="preserve"> a </w:t>
      </w:r>
      <w:r w:rsidR="00B11392">
        <w:lastRenderedPageBreak/>
        <w:t>foreseeable, real and personal risk.</w:t>
      </w:r>
      <w:r w:rsidR="00035983">
        <w:rPr>
          <w:rStyle w:val="FootnoteReference"/>
        </w:rPr>
        <w:footnoteReference w:id="11"/>
      </w:r>
      <w:r w:rsidR="00B11392">
        <w:t xml:space="preserve"> </w:t>
      </w:r>
      <w:r w:rsidR="008E5743">
        <w:rPr>
          <w:lang w:val="en-US"/>
        </w:rPr>
        <w:t>Although, under the terms of its general comment No. 1, the Committee is free to assess the facts on the basis of the full set of circumstances in every case,</w:t>
      </w:r>
      <w:r w:rsidR="008E5743">
        <w:t xml:space="preserve"> </w:t>
      </w:r>
      <w:r w:rsidR="00B11392">
        <w:t xml:space="preserve">considerable weight </w:t>
      </w:r>
      <w:r w:rsidR="008E5743">
        <w:t xml:space="preserve">is given </w:t>
      </w:r>
      <w:r w:rsidR="00B11392">
        <w:t xml:space="preserve">to </w:t>
      </w:r>
      <w:r w:rsidR="008E5743">
        <w:t xml:space="preserve">the </w:t>
      </w:r>
      <w:r w:rsidR="00B11392">
        <w:t>findings of fact that are made by organs of the State party concerned</w:t>
      </w:r>
      <w:r w:rsidR="008E5743">
        <w:t xml:space="preserve"> (para. 9)</w:t>
      </w:r>
      <w:r w:rsidR="00B11392">
        <w:t>.</w:t>
      </w:r>
      <w:r w:rsidR="00035983">
        <w:rPr>
          <w:rStyle w:val="FootnoteReference"/>
        </w:rPr>
        <w:footnoteReference w:id="12"/>
      </w:r>
      <w:r w:rsidR="00B11392">
        <w:t xml:space="preserve"> </w:t>
      </w:r>
    </w:p>
    <w:p w:rsidR="00FE7842" w:rsidRDefault="008E1196" w:rsidP="00B44F26">
      <w:pPr>
        <w:pStyle w:val="SingleTxtG"/>
      </w:pPr>
      <w:r>
        <w:t>7</w:t>
      </w:r>
      <w:r w:rsidR="00B11392" w:rsidRPr="002E7EDB">
        <w:t>.5</w:t>
      </w:r>
      <w:r w:rsidR="00B11392" w:rsidRPr="002E7EDB">
        <w:tab/>
        <w:t xml:space="preserve">The Committee notes </w:t>
      </w:r>
      <w:r w:rsidR="002E7EDB" w:rsidRPr="002E7EDB">
        <w:t>the complainant</w:t>
      </w:r>
      <w:r w:rsidR="007A5D8D">
        <w:t>’s</w:t>
      </w:r>
      <w:r w:rsidR="002E7EDB" w:rsidRPr="002E7EDB">
        <w:t xml:space="preserve"> claim</w:t>
      </w:r>
      <w:r w:rsidR="007A4DD2">
        <w:t>s</w:t>
      </w:r>
      <w:r w:rsidR="002E7EDB" w:rsidRPr="002E7EDB">
        <w:t xml:space="preserve"> that his</w:t>
      </w:r>
      <w:r w:rsidR="002E7EDB">
        <w:t xml:space="preserve"> </w:t>
      </w:r>
      <w:r w:rsidR="00CC60A8">
        <w:t xml:space="preserve">forcible removal </w:t>
      </w:r>
      <w:r w:rsidR="002E7EDB" w:rsidRPr="00CC60A8">
        <w:t xml:space="preserve">to </w:t>
      </w:r>
      <w:r w:rsidR="00CC60A8" w:rsidRPr="00CC60A8">
        <w:t xml:space="preserve">Sri Lanka </w:t>
      </w:r>
      <w:r w:rsidR="00CE6EC2" w:rsidRPr="00CC60A8">
        <w:t>would amount to a violation of article</w:t>
      </w:r>
      <w:r w:rsidR="007204E0">
        <w:t xml:space="preserve"> </w:t>
      </w:r>
      <w:r w:rsidR="00CE6EC2" w:rsidRPr="00CC60A8">
        <w:t xml:space="preserve">3 of the Convention as he would be exposed to a risk of </w:t>
      </w:r>
      <w:r w:rsidR="00CC60A8" w:rsidRPr="00CC60A8">
        <w:t>torture</w:t>
      </w:r>
      <w:r w:rsidR="00FE7842">
        <w:t xml:space="preserve"> by the Sri Lankan authorities</w:t>
      </w:r>
      <w:r w:rsidR="007204E0">
        <w:t xml:space="preserve"> </w:t>
      </w:r>
      <w:r w:rsidR="00FE7842">
        <w:t>due to his alleged previous connection with LTTE</w:t>
      </w:r>
      <w:r w:rsidR="002966E0">
        <w:t xml:space="preserve"> in 2003-2004</w:t>
      </w:r>
      <w:r w:rsidR="00FE7842">
        <w:t xml:space="preserve"> </w:t>
      </w:r>
      <w:r w:rsidR="002966E0">
        <w:t xml:space="preserve">and </w:t>
      </w:r>
      <w:r w:rsidR="00FE7842">
        <w:t>his status a</w:t>
      </w:r>
      <w:r w:rsidR="00542613">
        <w:t>s</w:t>
      </w:r>
      <w:r w:rsidR="00FE7842">
        <w:t xml:space="preserve"> </w:t>
      </w:r>
      <w:r w:rsidR="002B780D">
        <w:t xml:space="preserve">a </w:t>
      </w:r>
      <w:r w:rsidR="00FE7842">
        <w:t>failed asylum seeker</w:t>
      </w:r>
      <w:r w:rsidR="007A4DD2">
        <w:t>; that</w:t>
      </w:r>
      <w:r w:rsidR="00FE7842">
        <w:t xml:space="preserve"> he would </w:t>
      </w:r>
      <w:r w:rsidR="007A4DD2">
        <w:t xml:space="preserve">also </w:t>
      </w:r>
      <w:r w:rsidR="00FE7842">
        <w:t xml:space="preserve">face </w:t>
      </w:r>
      <w:r w:rsidR="003757B0">
        <w:t xml:space="preserve">a </w:t>
      </w:r>
      <w:r w:rsidR="00FE7842">
        <w:t>risk of severe harm by TMVP</w:t>
      </w:r>
      <w:r w:rsidR="002966E0">
        <w:t xml:space="preserve"> because of his refusal to lend them his truck in March 2012</w:t>
      </w:r>
      <w:r w:rsidR="007A4DD2">
        <w:t xml:space="preserve">; </w:t>
      </w:r>
      <w:r w:rsidR="00216CD2">
        <w:t xml:space="preserve">and </w:t>
      </w:r>
      <w:r w:rsidR="007A4DD2">
        <w:t xml:space="preserve">that </w:t>
      </w:r>
      <w:r w:rsidR="00216CD2">
        <w:t xml:space="preserve">although he clarified the inconsistences of his accounts and explained why </w:t>
      </w:r>
      <w:r w:rsidR="00542613">
        <w:t>the</w:t>
      </w:r>
      <w:r w:rsidR="00216CD2">
        <w:t xml:space="preserve"> information </w:t>
      </w:r>
      <w:r w:rsidR="00542613">
        <w:t xml:space="preserve">concerning his links </w:t>
      </w:r>
      <w:r w:rsidR="00B85516">
        <w:t xml:space="preserve">with LTTE </w:t>
      </w:r>
      <w:r w:rsidR="00542613">
        <w:t xml:space="preserve">was not submitted to the State party’s authorities </w:t>
      </w:r>
      <w:r w:rsidR="00216CD2">
        <w:t xml:space="preserve">earlier in the proceedings, </w:t>
      </w:r>
      <w:r w:rsidR="007A4DD2">
        <w:t xml:space="preserve">the </w:t>
      </w:r>
      <w:r w:rsidR="004D7796">
        <w:rPr>
          <w:lang w:eastAsia="en-CA"/>
        </w:rPr>
        <w:t>Refugee Review Tribunal</w:t>
      </w:r>
      <w:r w:rsidR="007A4DD2">
        <w:t xml:space="preserve"> </w:t>
      </w:r>
      <w:r w:rsidR="00A828B6">
        <w:t>questioned</w:t>
      </w:r>
      <w:r w:rsidR="007A4DD2">
        <w:t xml:space="preserve"> his credibility </w:t>
      </w:r>
      <w:r w:rsidR="00A828B6">
        <w:t xml:space="preserve">and </w:t>
      </w:r>
      <w:r w:rsidR="00216CD2">
        <w:t>arbitrar</w:t>
      </w:r>
      <w:r w:rsidR="00985F4F">
        <w:t>ily dismiss</w:t>
      </w:r>
      <w:r w:rsidR="00A828B6">
        <w:t>ed</w:t>
      </w:r>
      <w:r w:rsidR="00985F4F">
        <w:t xml:space="preserve"> his request for </w:t>
      </w:r>
      <w:r w:rsidR="002B780D">
        <w:t xml:space="preserve">a </w:t>
      </w:r>
      <w:r w:rsidR="005751DE">
        <w:t>protection visa</w:t>
      </w:r>
      <w:r w:rsidR="00985F4F">
        <w:t xml:space="preserve">. </w:t>
      </w:r>
    </w:p>
    <w:p w:rsidR="00542613" w:rsidRPr="00AE7D12" w:rsidRDefault="00A30F98" w:rsidP="00B44F26">
      <w:pPr>
        <w:pStyle w:val="SingleTxtG"/>
        <w:rPr>
          <w:lang w:val="en-US"/>
        </w:rPr>
      </w:pPr>
      <w:r>
        <w:t>7.6</w:t>
      </w:r>
      <w:r w:rsidR="00542613">
        <w:t xml:space="preserve"> </w:t>
      </w:r>
      <w:r w:rsidR="00542613">
        <w:tab/>
      </w:r>
      <w:r w:rsidR="00542613" w:rsidRPr="00AE7D12">
        <w:rPr>
          <w:lang w:val="en-US"/>
        </w:rPr>
        <w:t xml:space="preserve">The Committee also notes the State party’s arguments that its authorities reviewed all the </w:t>
      </w:r>
      <w:r w:rsidR="00542613">
        <w:rPr>
          <w:lang w:val="en-US"/>
        </w:rPr>
        <w:t xml:space="preserve">allegations and </w:t>
      </w:r>
      <w:r w:rsidR="00542613" w:rsidRPr="00AE7D12">
        <w:rPr>
          <w:lang w:val="en-US"/>
        </w:rPr>
        <w:t>evidence submitted to them</w:t>
      </w:r>
      <w:r w:rsidR="00542613">
        <w:rPr>
          <w:lang w:val="en-US"/>
        </w:rPr>
        <w:t xml:space="preserve"> </w:t>
      </w:r>
      <w:r w:rsidR="00E57519">
        <w:rPr>
          <w:lang w:val="en-US"/>
        </w:rPr>
        <w:t xml:space="preserve">by the complainant </w:t>
      </w:r>
      <w:r w:rsidR="00542613">
        <w:rPr>
          <w:lang w:val="en-US"/>
        </w:rPr>
        <w:t>and d</w:t>
      </w:r>
      <w:r w:rsidR="00E57519">
        <w:rPr>
          <w:lang w:val="en-US"/>
        </w:rPr>
        <w:t>etermined that his</w:t>
      </w:r>
      <w:r w:rsidR="00542613">
        <w:rPr>
          <w:lang w:val="en-US"/>
        </w:rPr>
        <w:t xml:space="preserve"> claims were not credible</w:t>
      </w:r>
      <w:r w:rsidR="00542613" w:rsidRPr="00AE7D12">
        <w:rPr>
          <w:lang w:val="en-US"/>
        </w:rPr>
        <w:t xml:space="preserve">; that </w:t>
      </w:r>
      <w:r w:rsidR="008A5919">
        <w:rPr>
          <w:lang w:val="en-US"/>
        </w:rPr>
        <w:t xml:space="preserve">the decisions reached by </w:t>
      </w:r>
      <w:r w:rsidR="00542613">
        <w:rPr>
          <w:lang w:val="en-US"/>
        </w:rPr>
        <w:t xml:space="preserve">its authorities </w:t>
      </w:r>
      <w:r w:rsidR="00B85516">
        <w:rPr>
          <w:lang w:val="en-US"/>
        </w:rPr>
        <w:t xml:space="preserve">relied </w:t>
      </w:r>
      <w:r w:rsidR="00542613">
        <w:rPr>
          <w:lang w:val="en-US"/>
        </w:rPr>
        <w:t xml:space="preserve">on </w:t>
      </w:r>
      <w:r w:rsidR="00542613" w:rsidRPr="00AE7D12">
        <w:rPr>
          <w:lang w:val="en-US"/>
        </w:rPr>
        <w:t>reports</w:t>
      </w:r>
      <w:r w:rsidR="00542613">
        <w:rPr>
          <w:lang w:val="en-US"/>
        </w:rPr>
        <w:t xml:space="preserve"> that</w:t>
      </w:r>
      <w:r w:rsidR="00542613" w:rsidRPr="00AE7D12">
        <w:rPr>
          <w:lang w:val="en-US"/>
        </w:rPr>
        <w:t xml:space="preserve"> indicate that not all young Tamil males from </w:t>
      </w:r>
      <w:r w:rsidR="008A5919">
        <w:rPr>
          <w:lang w:val="en-US"/>
        </w:rPr>
        <w:t>n</w:t>
      </w:r>
      <w:r w:rsidR="00542613" w:rsidRPr="00AE7D12">
        <w:rPr>
          <w:lang w:val="en-US"/>
        </w:rPr>
        <w:t>orthern Sri Lanka face a real and personal risk of persecution by the</w:t>
      </w:r>
      <w:r w:rsidR="00B85516">
        <w:rPr>
          <w:lang w:val="en-US"/>
        </w:rPr>
        <w:t xml:space="preserve"> Sri Lankan</w:t>
      </w:r>
      <w:r w:rsidR="00542613" w:rsidRPr="00AE7D12">
        <w:rPr>
          <w:lang w:val="en-US"/>
        </w:rPr>
        <w:t xml:space="preserve"> authorities</w:t>
      </w:r>
      <w:r w:rsidR="002B780D">
        <w:rPr>
          <w:lang w:val="en-US"/>
        </w:rPr>
        <w:t>,</w:t>
      </w:r>
      <w:r w:rsidR="00542613" w:rsidRPr="00AE7D12">
        <w:rPr>
          <w:lang w:val="en-US"/>
        </w:rPr>
        <w:t xml:space="preserve"> but </w:t>
      </w:r>
      <w:r w:rsidR="00A828B6">
        <w:rPr>
          <w:lang w:val="en-US"/>
        </w:rPr>
        <w:t xml:space="preserve">only </w:t>
      </w:r>
      <w:r w:rsidR="00542613" w:rsidRPr="00AE7D12">
        <w:rPr>
          <w:lang w:val="en-US"/>
        </w:rPr>
        <w:t xml:space="preserve">those who are suspected of having links to LTTE; and that the </w:t>
      </w:r>
      <w:r w:rsidR="00542613">
        <w:rPr>
          <w:lang w:val="en-US"/>
        </w:rPr>
        <w:t>complainant</w:t>
      </w:r>
      <w:r w:rsidR="00542613" w:rsidRPr="00AE7D12">
        <w:rPr>
          <w:lang w:val="en-US"/>
        </w:rPr>
        <w:t xml:space="preserve"> has not demonstrated that he is a person suspected of having significant and concrete links with LTTE. </w:t>
      </w:r>
      <w:r>
        <w:rPr>
          <w:lang w:val="en-US"/>
        </w:rPr>
        <w:t xml:space="preserve">The State party </w:t>
      </w:r>
      <w:r w:rsidR="00E57519">
        <w:rPr>
          <w:lang w:val="en-US"/>
        </w:rPr>
        <w:t>maintains</w:t>
      </w:r>
      <w:r>
        <w:rPr>
          <w:lang w:val="en-US"/>
        </w:rPr>
        <w:t xml:space="preserve"> that available country information indicate</w:t>
      </w:r>
      <w:r w:rsidR="000004D1">
        <w:rPr>
          <w:lang w:val="en-US"/>
        </w:rPr>
        <w:t>s</w:t>
      </w:r>
      <w:r>
        <w:rPr>
          <w:lang w:val="en-US"/>
        </w:rPr>
        <w:t xml:space="preserve"> that militia and armed groups associated with TMVP in eastern Sri Lanka target, mainly through extortion, </w:t>
      </w:r>
      <w:r w:rsidR="008A5919">
        <w:rPr>
          <w:lang w:val="en-US"/>
        </w:rPr>
        <w:t xml:space="preserve">individuals </w:t>
      </w:r>
      <w:r>
        <w:rPr>
          <w:lang w:val="en-US"/>
        </w:rPr>
        <w:t xml:space="preserve">who they perceive to be their opponents; and that the complainant has failed to show that he would be perceived as </w:t>
      </w:r>
      <w:r w:rsidR="008A5919">
        <w:rPr>
          <w:lang w:val="en-US"/>
        </w:rPr>
        <w:t xml:space="preserve">a </w:t>
      </w:r>
      <w:r>
        <w:rPr>
          <w:lang w:val="en-US"/>
        </w:rPr>
        <w:t xml:space="preserve">political opponent by TMVP. </w:t>
      </w:r>
    </w:p>
    <w:p w:rsidR="00160D99" w:rsidRDefault="00A30F98" w:rsidP="00DA2D09">
      <w:pPr>
        <w:pStyle w:val="SingleTxtG"/>
        <w:rPr>
          <w:lang w:val="en-US"/>
        </w:rPr>
      </w:pPr>
      <w:r>
        <w:rPr>
          <w:lang w:val="en-US"/>
        </w:rPr>
        <w:t>7.7</w:t>
      </w:r>
      <w:r w:rsidR="00473EAC">
        <w:rPr>
          <w:lang w:val="en-US"/>
        </w:rPr>
        <w:tab/>
      </w:r>
      <w:r w:rsidR="00160D99">
        <w:rPr>
          <w:lang w:val="en-US"/>
        </w:rPr>
        <w:t>T</w:t>
      </w:r>
      <w:r w:rsidR="00160D99" w:rsidRPr="007E6C6C">
        <w:t>he Committee recalls that the occurrence of</w:t>
      </w:r>
      <w:r w:rsidR="00160D99">
        <w:rPr>
          <w:lang w:val="en-US"/>
        </w:rPr>
        <w:t xml:space="preserve"> a consistent pattern</w:t>
      </w:r>
      <w:r w:rsidR="00160D99" w:rsidRPr="007E6C6C">
        <w:t xml:space="preserve"> </w:t>
      </w:r>
      <w:r w:rsidR="00160D99">
        <w:rPr>
          <w:lang w:val="en-US"/>
        </w:rPr>
        <w:t xml:space="preserve">of gross </w:t>
      </w:r>
      <w:r w:rsidR="00160D99" w:rsidRPr="007E6C6C">
        <w:t xml:space="preserve">human rights violations in </w:t>
      </w:r>
      <w:r w:rsidR="001774F2" w:rsidRPr="007E6C6C">
        <w:t>a complainant</w:t>
      </w:r>
      <w:r w:rsidR="001774F2">
        <w:t>’s</w:t>
      </w:r>
      <w:r w:rsidR="001774F2" w:rsidRPr="007E6C6C">
        <w:t xml:space="preserve"> </w:t>
      </w:r>
      <w:r w:rsidR="00160D99" w:rsidRPr="007E6C6C">
        <w:t xml:space="preserve">country of origin is not sufficient in itself </w:t>
      </w:r>
      <w:r w:rsidR="00160D99" w:rsidRPr="007E6C6C">
        <w:rPr>
          <w:lang w:val="en-US"/>
        </w:rPr>
        <w:t>for it</w:t>
      </w:r>
      <w:r w:rsidR="00160D99" w:rsidRPr="007E6C6C">
        <w:t xml:space="preserve"> to </w:t>
      </w:r>
      <w:r w:rsidR="00160D99" w:rsidRPr="007E6C6C">
        <w:rPr>
          <w:lang w:val="en-US"/>
        </w:rPr>
        <w:t xml:space="preserve">be </w:t>
      </w:r>
      <w:r w:rsidR="00160D99" w:rsidRPr="007E6C6C">
        <w:t>conclude</w:t>
      </w:r>
      <w:r w:rsidR="00160D99" w:rsidRPr="007E6C6C">
        <w:rPr>
          <w:lang w:val="en-US"/>
        </w:rPr>
        <w:t>d</w:t>
      </w:r>
      <w:r w:rsidR="00160D99" w:rsidRPr="007E6C6C">
        <w:t xml:space="preserve"> that </w:t>
      </w:r>
      <w:r w:rsidR="001774F2">
        <w:t xml:space="preserve">he or she </w:t>
      </w:r>
      <w:r w:rsidR="00160D99" w:rsidRPr="007E6C6C">
        <w:t xml:space="preserve">runs a </w:t>
      </w:r>
      <w:r w:rsidR="00160D99" w:rsidRPr="007E6C6C">
        <w:rPr>
          <w:lang w:val="en-US"/>
        </w:rPr>
        <w:t xml:space="preserve">personal </w:t>
      </w:r>
      <w:r w:rsidR="00160D99" w:rsidRPr="007E6C6C">
        <w:t>risk of torture</w:t>
      </w:r>
      <w:r w:rsidR="00160D99" w:rsidRPr="00F612BA">
        <w:t xml:space="preserve"> t</w:t>
      </w:r>
      <w:r w:rsidR="00160D99">
        <w:t>here</w:t>
      </w:r>
      <w:r w:rsidR="00160D99" w:rsidRPr="004B077D">
        <w:t>.</w:t>
      </w:r>
      <w:r w:rsidR="00160D99">
        <w:rPr>
          <w:rStyle w:val="FootnoteReference"/>
        </w:rPr>
        <w:footnoteReference w:id="13"/>
      </w:r>
      <w:r w:rsidR="00160D99">
        <w:t xml:space="preserve"> </w:t>
      </w:r>
      <w:r w:rsidR="00160D99">
        <w:rPr>
          <w:bCs/>
        </w:rPr>
        <w:t>In th</w:t>
      </w:r>
      <w:r w:rsidR="001774F2">
        <w:rPr>
          <w:bCs/>
        </w:rPr>
        <w:t>at</w:t>
      </w:r>
      <w:r w:rsidR="00160D99">
        <w:rPr>
          <w:bCs/>
        </w:rPr>
        <w:t xml:space="preserve"> context, the Committee refers to its concluding observations following its 2011 examination of the combined third and fourth periodic reports of Sri Lanka</w:t>
      </w:r>
      <w:r w:rsidR="001774F2">
        <w:rPr>
          <w:bCs/>
        </w:rPr>
        <w:t xml:space="preserve"> (</w:t>
      </w:r>
      <w:r w:rsidR="001774F2" w:rsidRPr="00456088">
        <w:rPr>
          <w:bCs/>
          <w:szCs w:val="18"/>
        </w:rPr>
        <w:t>CAT/C/LKA/CO/3-4</w:t>
      </w:r>
      <w:r w:rsidR="001774F2">
        <w:rPr>
          <w:bCs/>
          <w:szCs w:val="18"/>
        </w:rPr>
        <w:t>)</w:t>
      </w:r>
      <w:r w:rsidR="00160D99">
        <w:rPr>
          <w:bCs/>
        </w:rPr>
        <w:t xml:space="preserve">, </w:t>
      </w:r>
      <w:r w:rsidR="001774F2">
        <w:rPr>
          <w:bCs/>
        </w:rPr>
        <w:t xml:space="preserve">in </w:t>
      </w:r>
      <w:r w:rsidR="00160D99">
        <w:rPr>
          <w:bCs/>
        </w:rPr>
        <w:t>wh</w:t>
      </w:r>
      <w:r w:rsidR="001774F2">
        <w:rPr>
          <w:bCs/>
        </w:rPr>
        <w:t>ich</w:t>
      </w:r>
      <w:r w:rsidR="00160D99">
        <w:rPr>
          <w:bCs/>
        </w:rPr>
        <w:t xml:space="preserve"> </w:t>
      </w:r>
      <w:r w:rsidR="00160D99">
        <w:t>it expressed concern at</w:t>
      </w:r>
      <w:r w:rsidR="00160D99">
        <w:rPr>
          <w:lang w:val="en-US"/>
        </w:rPr>
        <w:t xml:space="preserve"> </w:t>
      </w:r>
      <w:r w:rsidR="00160D99">
        <w:t>reports suggest</w:t>
      </w:r>
      <w:r w:rsidR="00160D99">
        <w:rPr>
          <w:lang w:val="en-US"/>
        </w:rPr>
        <w:t>ing</w:t>
      </w:r>
      <w:r w:rsidR="00160D99">
        <w:t xml:space="preserve"> that torture and ill-treatment perpetrated by State actors, both the military and the police, h</w:t>
      </w:r>
      <w:r w:rsidR="00160D99">
        <w:rPr>
          <w:lang w:val="en-US"/>
        </w:rPr>
        <w:t>ad</w:t>
      </w:r>
      <w:r w:rsidR="00160D99">
        <w:t xml:space="preserve"> continued in many parts of the country after the conflict</w:t>
      </w:r>
      <w:r w:rsidR="00160D99">
        <w:rPr>
          <w:lang w:val="en-US"/>
        </w:rPr>
        <w:t xml:space="preserve"> with LTTE</w:t>
      </w:r>
      <w:r w:rsidR="00160D99">
        <w:t xml:space="preserve"> </w:t>
      </w:r>
      <w:r w:rsidR="00DA2D09">
        <w:t xml:space="preserve">had </w:t>
      </w:r>
      <w:r w:rsidR="00160D99">
        <w:t>ended in May 2009</w:t>
      </w:r>
      <w:r w:rsidR="001774F2">
        <w:t xml:space="preserve"> (</w:t>
      </w:r>
      <w:r w:rsidR="001774F2" w:rsidRPr="00456088">
        <w:rPr>
          <w:bCs/>
          <w:szCs w:val="18"/>
        </w:rPr>
        <w:t>para</w:t>
      </w:r>
      <w:r w:rsidR="001774F2">
        <w:rPr>
          <w:bCs/>
          <w:szCs w:val="18"/>
        </w:rPr>
        <w:t>.</w:t>
      </w:r>
      <w:r w:rsidR="001774F2" w:rsidRPr="00456088">
        <w:rPr>
          <w:bCs/>
          <w:szCs w:val="18"/>
        </w:rPr>
        <w:t xml:space="preserve"> 6</w:t>
      </w:r>
      <w:r w:rsidR="001774F2">
        <w:rPr>
          <w:bCs/>
          <w:szCs w:val="18"/>
        </w:rPr>
        <w:t>)</w:t>
      </w:r>
      <w:r w:rsidR="00160D99" w:rsidRPr="00456088">
        <w:t>.</w:t>
      </w:r>
      <w:r w:rsidR="00160D99">
        <w:t xml:space="preserve"> The Committee also refers to its concluding observations following its 2013 examination of the fifth periodic report of the United Kingdom of Great Britain and Northern Ireland</w:t>
      </w:r>
      <w:r w:rsidR="001774F2">
        <w:t xml:space="preserve"> (</w:t>
      </w:r>
      <w:r w:rsidR="001774F2" w:rsidRPr="00456088">
        <w:rPr>
          <w:bCs/>
          <w:szCs w:val="18"/>
        </w:rPr>
        <w:t>CAT/C/</w:t>
      </w:r>
      <w:r w:rsidR="001774F2">
        <w:rPr>
          <w:bCs/>
          <w:szCs w:val="18"/>
        </w:rPr>
        <w:t>GBR</w:t>
      </w:r>
      <w:r w:rsidR="001774F2" w:rsidRPr="00456088">
        <w:rPr>
          <w:bCs/>
          <w:szCs w:val="18"/>
        </w:rPr>
        <w:t>/CO/</w:t>
      </w:r>
      <w:r w:rsidR="001774F2">
        <w:rPr>
          <w:bCs/>
          <w:szCs w:val="18"/>
        </w:rPr>
        <w:t>5)</w:t>
      </w:r>
      <w:r w:rsidR="00160D99">
        <w:t>, in which the Committee noted evidence that some Sri Lankan Tamils ha</w:t>
      </w:r>
      <w:r w:rsidR="00160D99">
        <w:rPr>
          <w:lang w:val="en-US"/>
        </w:rPr>
        <w:t>d</w:t>
      </w:r>
      <w:r w:rsidR="00160D99">
        <w:t xml:space="preserve"> been victims of torture and ill-treatment following their forced or voluntary removal from th</w:t>
      </w:r>
      <w:r w:rsidR="00DA2D09">
        <w:t>at</w:t>
      </w:r>
      <w:r w:rsidR="00160D99">
        <w:t xml:space="preserve"> State party</w:t>
      </w:r>
      <w:r w:rsidR="00160D99" w:rsidRPr="00E10461">
        <w:t xml:space="preserve"> </w:t>
      </w:r>
      <w:r w:rsidR="00160D99">
        <w:t>to Sri Lanka</w:t>
      </w:r>
      <w:r w:rsidR="001774F2">
        <w:t xml:space="preserve"> (</w:t>
      </w:r>
      <w:r w:rsidR="001774F2" w:rsidRPr="00456088">
        <w:rPr>
          <w:bCs/>
          <w:szCs w:val="18"/>
        </w:rPr>
        <w:t>para</w:t>
      </w:r>
      <w:r w:rsidR="001774F2">
        <w:rPr>
          <w:bCs/>
          <w:szCs w:val="18"/>
        </w:rPr>
        <w:t>.</w:t>
      </w:r>
      <w:r w:rsidR="001774F2" w:rsidRPr="00456088">
        <w:rPr>
          <w:bCs/>
          <w:szCs w:val="18"/>
        </w:rPr>
        <w:t xml:space="preserve"> </w:t>
      </w:r>
      <w:r w:rsidR="001774F2">
        <w:rPr>
          <w:bCs/>
          <w:szCs w:val="18"/>
        </w:rPr>
        <w:t>20)</w:t>
      </w:r>
      <w:r w:rsidR="00160D99">
        <w:rPr>
          <w:lang w:val="en-US"/>
        </w:rPr>
        <w:t xml:space="preserve">. The Committee further refers to the </w:t>
      </w:r>
      <w:r w:rsidR="001774F2">
        <w:rPr>
          <w:lang w:val="en-US"/>
        </w:rPr>
        <w:t>p</w:t>
      </w:r>
      <w:r w:rsidR="00160D99">
        <w:rPr>
          <w:lang w:val="en-US"/>
        </w:rPr>
        <w:t xml:space="preserve">reliminary observations and recommendations of the Special Rapporteur on torture and other cruel, inhuman and degrading treatment or punishment following the official joint visit </w:t>
      </w:r>
      <w:r w:rsidR="001774F2">
        <w:rPr>
          <w:lang w:val="en-US"/>
        </w:rPr>
        <w:t xml:space="preserve">to Sri Lanka </w:t>
      </w:r>
      <w:r w:rsidR="00160D99">
        <w:rPr>
          <w:lang w:val="en-US"/>
        </w:rPr>
        <w:t xml:space="preserve">with the Special Rapporteur on the independence of judges and lawyers, </w:t>
      </w:r>
      <w:r w:rsidR="001774F2">
        <w:rPr>
          <w:lang w:val="en-US"/>
        </w:rPr>
        <w:t xml:space="preserve">which </w:t>
      </w:r>
      <w:r w:rsidR="00160D99">
        <w:rPr>
          <w:lang w:val="en-US"/>
        </w:rPr>
        <w:t xml:space="preserve">noted that “torture is a common practice” and that the “current legal framework and the lack of reform within the structures of the armed forces, police, Attorney-General’s Office and judiciary perpetuate </w:t>
      </w:r>
      <w:r w:rsidR="00160D99">
        <w:rPr>
          <w:lang w:val="en-US"/>
        </w:rPr>
        <w:lastRenderedPageBreak/>
        <w:t>the real risk that the practice of torture will still continue”</w:t>
      </w:r>
      <w:r w:rsidR="001774F2">
        <w:rPr>
          <w:lang w:val="en-US"/>
        </w:rPr>
        <w:t>.</w:t>
      </w:r>
      <w:r w:rsidR="00160D99">
        <w:rPr>
          <w:rStyle w:val="FootnoteReference"/>
          <w:lang w:val="en-US"/>
        </w:rPr>
        <w:footnoteReference w:id="14"/>
      </w:r>
      <w:r w:rsidR="007A6A9F">
        <w:rPr>
          <w:lang w:val="en-US"/>
        </w:rPr>
        <w:t xml:space="preserve"> The Committee takes note of credible reports published by non-governmental organizations concerning the treatment given </w:t>
      </w:r>
      <w:r w:rsidR="00DA2D09">
        <w:rPr>
          <w:lang w:val="en-US"/>
        </w:rPr>
        <w:t xml:space="preserve">by the Sri Lankan authorities </w:t>
      </w:r>
      <w:r w:rsidR="007A6A9F">
        <w:rPr>
          <w:lang w:val="en-US"/>
        </w:rPr>
        <w:t xml:space="preserve">to </w:t>
      </w:r>
      <w:r w:rsidR="002759D5">
        <w:rPr>
          <w:lang w:val="en-US"/>
        </w:rPr>
        <w:t>individuals returned to Sri Lanka</w:t>
      </w:r>
      <w:r w:rsidR="007A6A9F">
        <w:rPr>
          <w:lang w:val="en-US"/>
        </w:rPr>
        <w:t>.</w:t>
      </w:r>
      <w:r w:rsidR="007A6A9F">
        <w:rPr>
          <w:rStyle w:val="FootnoteReference"/>
          <w:lang w:val="en-US"/>
        </w:rPr>
        <w:footnoteReference w:id="15"/>
      </w:r>
      <w:r w:rsidR="007A6A9F">
        <w:rPr>
          <w:lang w:val="en-US"/>
        </w:rPr>
        <w:t xml:space="preserve"> The Committee considers that all the above</w:t>
      </w:r>
      <w:r w:rsidR="001774F2">
        <w:rPr>
          <w:lang w:val="en-US"/>
        </w:rPr>
        <w:t xml:space="preserve">-mentioned reports </w:t>
      </w:r>
      <w:r w:rsidR="007A6A9F">
        <w:rPr>
          <w:lang w:val="en-US"/>
        </w:rPr>
        <w:t xml:space="preserve">shows that Sri Lankans of Tamil </w:t>
      </w:r>
      <w:r w:rsidR="002759D5">
        <w:rPr>
          <w:lang w:val="en-US"/>
        </w:rPr>
        <w:t>ethnicity</w:t>
      </w:r>
      <w:r w:rsidR="007A6A9F">
        <w:rPr>
          <w:lang w:val="en-US"/>
        </w:rPr>
        <w:t xml:space="preserve"> with a prior personal or familial connection to LTTE facing forcible return to Sri Lanka may face a risk of torture.</w:t>
      </w:r>
      <w:r w:rsidR="007A6A9F">
        <w:rPr>
          <w:rStyle w:val="FootnoteReference"/>
          <w:lang w:val="en-US"/>
        </w:rPr>
        <w:footnoteReference w:id="16"/>
      </w:r>
      <w:r w:rsidR="007A6A9F">
        <w:rPr>
          <w:lang w:val="en-US"/>
        </w:rPr>
        <w:t xml:space="preserve"> </w:t>
      </w:r>
    </w:p>
    <w:p w:rsidR="007B25D4" w:rsidRDefault="00160D99" w:rsidP="00B44F26">
      <w:pPr>
        <w:pStyle w:val="SingleTxtG"/>
      </w:pPr>
      <w:r>
        <w:rPr>
          <w:lang w:val="en-US"/>
        </w:rPr>
        <w:t xml:space="preserve">7.8 </w:t>
      </w:r>
      <w:r>
        <w:rPr>
          <w:lang w:val="en-US"/>
        </w:rPr>
        <w:tab/>
        <w:t>However, i</w:t>
      </w:r>
      <w:r w:rsidR="00473EAC" w:rsidRPr="00AE7D12">
        <w:rPr>
          <w:lang w:val="en-US"/>
        </w:rPr>
        <w:t xml:space="preserve">n the present case, the Committee notes that the </w:t>
      </w:r>
      <w:r w:rsidR="00EF0989">
        <w:rPr>
          <w:lang w:val="en-US"/>
        </w:rPr>
        <w:t xml:space="preserve">main focus of the </w:t>
      </w:r>
      <w:r w:rsidR="005751DE">
        <w:rPr>
          <w:lang w:val="en-US"/>
        </w:rPr>
        <w:t>complainant’s</w:t>
      </w:r>
      <w:r w:rsidR="00473EAC" w:rsidRPr="00AE7D12">
        <w:rPr>
          <w:lang w:val="en-US"/>
        </w:rPr>
        <w:t xml:space="preserve"> </w:t>
      </w:r>
      <w:r w:rsidR="00E57519">
        <w:rPr>
          <w:lang w:val="en-US"/>
        </w:rPr>
        <w:t>allegations</w:t>
      </w:r>
      <w:r w:rsidR="00473EAC" w:rsidRPr="00AE7D12">
        <w:rPr>
          <w:lang w:val="en-US"/>
        </w:rPr>
        <w:t xml:space="preserve"> </w:t>
      </w:r>
      <w:r w:rsidR="00EF0989">
        <w:rPr>
          <w:lang w:val="en-US"/>
        </w:rPr>
        <w:t>is</w:t>
      </w:r>
      <w:r w:rsidR="00473EAC" w:rsidRPr="00AE7D12">
        <w:rPr>
          <w:lang w:val="en-US"/>
        </w:rPr>
        <w:t xml:space="preserve"> the </w:t>
      </w:r>
      <w:r w:rsidR="00C30D9E">
        <w:rPr>
          <w:lang w:val="en-US"/>
        </w:rPr>
        <w:t>evaluation</w:t>
      </w:r>
      <w:r w:rsidR="00473EAC" w:rsidRPr="00AE7D12">
        <w:rPr>
          <w:lang w:val="en-US"/>
        </w:rPr>
        <w:t xml:space="preserve"> of </w:t>
      </w:r>
      <w:r w:rsidR="005751DE">
        <w:rPr>
          <w:lang w:val="en-US"/>
        </w:rPr>
        <w:t xml:space="preserve">his accounts </w:t>
      </w:r>
      <w:r w:rsidR="00473EAC" w:rsidRPr="00AE7D12">
        <w:rPr>
          <w:lang w:val="en-US"/>
        </w:rPr>
        <w:t>by t</w:t>
      </w:r>
      <w:r w:rsidR="005751DE">
        <w:rPr>
          <w:lang w:val="en-US"/>
        </w:rPr>
        <w:t>he authorities</w:t>
      </w:r>
      <w:r w:rsidR="00EF0989">
        <w:rPr>
          <w:lang w:val="en-US"/>
        </w:rPr>
        <w:t>. He</w:t>
      </w:r>
      <w:r w:rsidR="005751DE">
        <w:rPr>
          <w:lang w:val="en-US"/>
        </w:rPr>
        <w:t xml:space="preserve"> argu</w:t>
      </w:r>
      <w:r w:rsidR="00EF0989">
        <w:rPr>
          <w:lang w:val="en-US"/>
        </w:rPr>
        <w:t>es</w:t>
      </w:r>
      <w:r w:rsidR="005751DE">
        <w:rPr>
          <w:lang w:val="en-US"/>
        </w:rPr>
        <w:t xml:space="preserve"> that the</w:t>
      </w:r>
      <w:r w:rsidR="00EF0989">
        <w:rPr>
          <w:lang w:val="en-US"/>
        </w:rPr>
        <w:t xml:space="preserve"> authorities</w:t>
      </w:r>
      <w:r w:rsidR="00E67096">
        <w:rPr>
          <w:lang w:val="en-US"/>
        </w:rPr>
        <w:t>’</w:t>
      </w:r>
      <w:r w:rsidR="005751DE">
        <w:rPr>
          <w:lang w:val="en-US"/>
        </w:rPr>
        <w:t xml:space="preserve"> strict assessment </w:t>
      </w:r>
      <w:r w:rsidR="00EF0989">
        <w:rPr>
          <w:lang w:val="en-US"/>
        </w:rPr>
        <w:t xml:space="preserve">of </w:t>
      </w:r>
      <w:r w:rsidR="005751DE">
        <w:rPr>
          <w:lang w:val="en-US"/>
        </w:rPr>
        <w:t>his credibility resulted in the arbitrary refusal of his application for</w:t>
      </w:r>
      <w:r w:rsidR="002B780D">
        <w:rPr>
          <w:lang w:val="en-US"/>
        </w:rPr>
        <w:t xml:space="preserve"> a</w:t>
      </w:r>
      <w:r w:rsidR="005751DE">
        <w:rPr>
          <w:lang w:val="en-US"/>
        </w:rPr>
        <w:t xml:space="preserve"> protection visa. </w:t>
      </w:r>
      <w:r w:rsidR="0017462B">
        <w:rPr>
          <w:lang w:val="en-US"/>
        </w:rPr>
        <w:t xml:space="preserve">The complainant submits that he did not mention </w:t>
      </w:r>
      <w:r w:rsidR="00F258EE">
        <w:rPr>
          <w:lang w:val="en-US"/>
        </w:rPr>
        <w:t xml:space="preserve">his </w:t>
      </w:r>
      <w:r w:rsidR="00941AB7">
        <w:rPr>
          <w:lang w:val="en-US"/>
        </w:rPr>
        <w:t xml:space="preserve">alleged </w:t>
      </w:r>
      <w:r w:rsidR="00F258EE">
        <w:rPr>
          <w:lang w:val="en-US"/>
        </w:rPr>
        <w:t>job with LTTE in 2004</w:t>
      </w:r>
      <w:r w:rsidR="0017462B">
        <w:rPr>
          <w:lang w:val="en-US"/>
        </w:rPr>
        <w:t xml:space="preserve"> because he was afraid that it would undermine his chances of being granted a protection</w:t>
      </w:r>
      <w:r w:rsidR="00C30D9E">
        <w:rPr>
          <w:lang w:val="en-US"/>
        </w:rPr>
        <w:t xml:space="preserve"> visa;</w:t>
      </w:r>
      <w:r w:rsidR="0017462B">
        <w:rPr>
          <w:lang w:val="en-US"/>
        </w:rPr>
        <w:t xml:space="preserve"> that th</w:t>
      </w:r>
      <w:r w:rsidR="00EF0989">
        <w:rPr>
          <w:lang w:val="en-US"/>
        </w:rPr>
        <w:t>e</w:t>
      </w:r>
      <w:r w:rsidR="0017462B">
        <w:rPr>
          <w:lang w:val="en-US"/>
        </w:rPr>
        <w:t xml:space="preserve"> information would be shared </w:t>
      </w:r>
      <w:r w:rsidR="00C30D9E">
        <w:rPr>
          <w:lang w:val="en-US"/>
        </w:rPr>
        <w:t>with the Sri Lankan authorities;</w:t>
      </w:r>
      <w:r w:rsidR="0017462B">
        <w:rPr>
          <w:lang w:val="en-US"/>
        </w:rPr>
        <w:t xml:space="preserve"> and that he would be considered a security risk by the State party and kept in detention. The Committee</w:t>
      </w:r>
      <w:r w:rsidR="00EF0989">
        <w:rPr>
          <w:lang w:val="en-US"/>
        </w:rPr>
        <w:t>,</w:t>
      </w:r>
      <w:r w:rsidR="0017462B">
        <w:rPr>
          <w:lang w:val="en-US"/>
        </w:rPr>
        <w:t xml:space="preserve"> however</w:t>
      </w:r>
      <w:r w:rsidR="00EF0989">
        <w:rPr>
          <w:lang w:val="en-US"/>
        </w:rPr>
        <w:t>,</w:t>
      </w:r>
      <w:r w:rsidR="0017462B">
        <w:rPr>
          <w:lang w:val="en-US"/>
        </w:rPr>
        <w:t xml:space="preserve"> observes </w:t>
      </w:r>
      <w:r w:rsidR="0017462B" w:rsidRPr="00AE7D12">
        <w:rPr>
          <w:lang w:val="en-US"/>
        </w:rPr>
        <w:t xml:space="preserve">that </w:t>
      </w:r>
      <w:r w:rsidR="00C30D9E">
        <w:rPr>
          <w:lang w:val="en-US"/>
        </w:rPr>
        <w:t xml:space="preserve">in the </w:t>
      </w:r>
      <w:r w:rsidR="00EF0989">
        <w:rPr>
          <w:lang w:val="en-US"/>
        </w:rPr>
        <w:t xml:space="preserve">decision of the </w:t>
      </w:r>
      <w:r w:rsidR="001E673A">
        <w:rPr>
          <w:lang w:eastAsia="en-CA"/>
        </w:rPr>
        <w:t>Department of Immigration and Citizenship</w:t>
      </w:r>
      <w:r w:rsidR="00C30D9E">
        <w:rPr>
          <w:lang w:val="en-US"/>
        </w:rPr>
        <w:t xml:space="preserve"> and at the first hearing with </w:t>
      </w:r>
      <w:r w:rsidR="00AE3C07">
        <w:rPr>
          <w:lang w:eastAsia="en-CA"/>
        </w:rPr>
        <w:t>Refugee Review Tribunal</w:t>
      </w:r>
      <w:r w:rsidR="00EF0989">
        <w:rPr>
          <w:lang w:eastAsia="en-CA"/>
        </w:rPr>
        <w:t>,</w:t>
      </w:r>
      <w:r w:rsidR="00C30D9E">
        <w:rPr>
          <w:lang w:val="en-US"/>
        </w:rPr>
        <w:t xml:space="preserve"> the complainant was informed on several occasions that </w:t>
      </w:r>
      <w:r w:rsidR="00C30D9E" w:rsidRPr="00AE7D12">
        <w:rPr>
          <w:lang w:val="en-US"/>
        </w:rPr>
        <w:t>reports on the human rights situation in Sri Lanka indicate</w:t>
      </w:r>
      <w:r w:rsidR="00C30D9E">
        <w:rPr>
          <w:lang w:val="en-US"/>
        </w:rPr>
        <w:t xml:space="preserve">d that </w:t>
      </w:r>
      <w:r w:rsidR="00C30D9E">
        <w:t xml:space="preserve">Tamils </w:t>
      </w:r>
      <w:r w:rsidR="00C30D9E" w:rsidRPr="00AE7D12">
        <w:rPr>
          <w:lang w:val="en-US"/>
        </w:rPr>
        <w:t>suspected of having links to LTTE</w:t>
      </w:r>
      <w:r w:rsidR="00E57519">
        <w:rPr>
          <w:lang w:val="en-US"/>
        </w:rPr>
        <w:t xml:space="preserve"> might</w:t>
      </w:r>
      <w:r w:rsidR="00C30D9E">
        <w:rPr>
          <w:lang w:val="en-US"/>
        </w:rPr>
        <w:t xml:space="preserve"> be in need of international protection</w:t>
      </w:r>
      <w:r w:rsidR="000004D1">
        <w:rPr>
          <w:lang w:val="en-US"/>
        </w:rPr>
        <w:t>;</w:t>
      </w:r>
      <w:r w:rsidR="00A60E48">
        <w:rPr>
          <w:lang w:val="en-US"/>
        </w:rPr>
        <w:t xml:space="preserve"> </w:t>
      </w:r>
      <w:r w:rsidR="00E57519">
        <w:rPr>
          <w:lang w:val="en-US"/>
        </w:rPr>
        <w:t>that</w:t>
      </w:r>
      <w:r w:rsidR="00A60E48">
        <w:rPr>
          <w:lang w:val="en-US"/>
        </w:rPr>
        <w:t xml:space="preserve"> although</w:t>
      </w:r>
      <w:r w:rsidR="00E57519">
        <w:rPr>
          <w:lang w:val="en-US"/>
        </w:rPr>
        <w:t xml:space="preserve"> he was asked whether he had any other reason to fear persecution in Sri Lanka </w:t>
      </w:r>
      <w:r w:rsidR="00B85516">
        <w:rPr>
          <w:lang w:val="en-US"/>
        </w:rPr>
        <w:t>other than</w:t>
      </w:r>
      <w:r w:rsidR="00E57519">
        <w:rPr>
          <w:lang w:val="en-US"/>
        </w:rPr>
        <w:t xml:space="preserve"> the incident with TMVP</w:t>
      </w:r>
      <w:r w:rsidR="00A60E48">
        <w:rPr>
          <w:lang w:val="en-US"/>
        </w:rPr>
        <w:t>, he</w:t>
      </w:r>
      <w:r w:rsidR="000004D1">
        <w:rPr>
          <w:lang w:val="en-US"/>
        </w:rPr>
        <w:t xml:space="preserve"> did not raise any other claim; and that he</w:t>
      </w:r>
      <w:r w:rsidR="00A60E48">
        <w:rPr>
          <w:lang w:val="en-US"/>
        </w:rPr>
        <w:t xml:space="preserve"> </w:t>
      </w:r>
      <w:r w:rsidR="00B85516">
        <w:rPr>
          <w:lang w:val="en-US"/>
        </w:rPr>
        <w:t>added his allegations of</w:t>
      </w:r>
      <w:r w:rsidR="00A60E48">
        <w:rPr>
          <w:lang w:val="en-US"/>
        </w:rPr>
        <w:t xml:space="preserve"> links with LTTE </w:t>
      </w:r>
      <w:r w:rsidR="00EF0989">
        <w:rPr>
          <w:lang w:val="en-US"/>
        </w:rPr>
        <w:t xml:space="preserve">only </w:t>
      </w:r>
      <w:r w:rsidR="00A828B6">
        <w:rPr>
          <w:lang w:val="en-US"/>
        </w:rPr>
        <w:t>at</w:t>
      </w:r>
      <w:r w:rsidR="00B85516">
        <w:rPr>
          <w:lang w:val="en-US"/>
        </w:rPr>
        <w:t xml:space="preserve"> </w:t>
      </w:r>
      <w:r w:rsidR="00A60E48">
        <w:rPr>
          <w:lang w:val="en-US"/>
        </w:rPr>
        <w:t>a very late stage in the proceedings, without</w:t>
      </w:r>
      <w:r w:rsidR="00F258EE">
        <w:rPr>
          <w:lang w:val="en-US"/>
        </w:rPr>
        <w:t xml:space="preserve"> providing</w:t>
      </w:r>
      <w:r w:rsidR="00E57519">
        <w:t xml:space="preserve"> any relevant evidence</w:t>
      </w:r>
      <w:r w:rsidR="00F258EE">
        <w:t xml:space="preserve"> </w:t>
      </w:r>
      <w:r w:rsidR="00A828B6">
        <w:t xml:space="preserve">of </w:t>
      </w:r>
      <w:r w:rsidR="002B780D">
        <w:t>the links</w:t>
      </w:r>
      <w:r w:rsidR="00A60E48">
        <w:t xml:space="preserve">. </w:t>
      </w:r>
      <w:r w:rsidR="007B25D4">
        <w:t xml:space="preserve">Furthermore, </w:t>
      </w:r>
      <w:r w:rsidR="0045280F">
        <w:t xml:space="preserve">he has </w:t>
      </w:r>
      <w:r w:rsidR="00F258EE">
        <w:t xml:space="preserve">not argued </w:t>
      </w:r>
      <w:r w:rsidR="00EF0989">
        <w:t xml:space="preserve">that </w:t>
      </w:r>
      <w:r w:rsidR="00E67096">
        <w:t xml:space="preserve">he experienced </w:t>
      </w:r>
      <w:r w:rsidR="00F258EE">
        <w:t>any incident</w:t>
      </w:r>
      <w:r w:rsidR="00EF0989">
        <w:t>s</w:t>
      </w:r>
      <w:r w:rsidR="00F258EE">
        <w:t xml:space="preserve"> </w:t>
      </w:r>
      <w:r w:rsidR="002B780D">
        <w:t xml:space="preserve">with </w:t>
      </w:r>
      <w:r w:rsidR="00F258EE">
        <w:t>or harassment by the authorities</w:t>
      </w:r>
      <w:r w:rsidR="0045280F">
        <w:t xml:space="preserve"> after his return to Sri Lanka</w:t>
      </w:r>
      <w:r w:rsidR="00F258EE">
        <w:t xml:space="preserve"> between 16 April 2010 and 25 March 2012</w:t>
      </w:r>
      <w:r w:rsidR="002B780D">
        <w:t>, n</w:t>
      </w:r>
      <w:r w:rsidR="00F258EE">
        <w:t xml:space="preserve">or has he claimed that his relatives were subjected to persecution due to his alleged connection with LTTE. </w:t>
      </w:r>
    </w:p>
    <w:p w:rsidR="00616D48" w:rsidRDefault="00923207" w:rsidP="00B44F26">
      <w:pPr>
        <w:pStyle w:val="SingleTxtG"/>
        <w:rPr>
          <w:lang w:val="en-US" w:eastAsia="en-GB"/>
        </w:rPr>
      </w:pPr>
      <w:r>
        <w:t>7.</w:t>
      </w:r>
      <w:r w:rsidR="00160D99">
        <w:t>9</w:t>
      </w:r>
      <w:r w:rsidR="0045280F">
        <w:t xml:space="preserve"> </w:t>
      </w:r>
      <w:r w:rsidR="0045280F">
        <w:tab/>
        <w:t xml:space="preserve">With regard to the allegations </w:t>
      </w:r>
      <w:r w:rsidR="00B85516">
        <w:t xml:space="preserve">concerning </w:t>
      </w:r>
      <w:r w:rsidR="0045280F">
        <w:t xml:space="preserve">TMVP, the Committee observes that </w:t>
      </w:r>
      <w:r w:rsidR="00E67096">
        <w:t xml:space="preserve">the </w:t>
      </w:r>
      <w:r w:rsidR="0045280F">
        <w:t>r</w:t>
      </w:r>
      <w:r w:rsidR="0045280F" w:rsidRPr="00DE7025">
        <w:t xml:space="preserve">eports </w:t>
      </w:r>
      <w:r w:rsidR="00B85516">
        <w:t>referred</w:t>
      </w:r>
      <w:r w:rsidR="001F3F94">
        <w:t xml:space="preserve"> to </w:t>
      </w:r>
      <w:r w:rsidR="00B85516">
        <w:t xml:space="preserve">by the parties </w:t>
      </w:r>
      <w:r w:rsidR="0045280F">
        <w:t>indicate that between 2010 and 2012</w:t>
      </w:r>
      <w:r w:rsidR="0045280F" w:rsidRPr="00DE7025">
        <w:t xml:space="preserve">, groups such as TMVP continued to operate in Sri Lanka with close links </w:t>
      </w:r>
      <w:r w:rsidR="002B780D">
        <w:t>to</w:t>
      </w:r>
      <w:r w:rsidR="0045280F" w:rsidRPr="00DE7025">
        <w:t xml:space="preserve"> security forces; that they were involved in illegal activities; and that they increasingly took on the characteristics of criminal gangs, resorting to extortion</w:t>
      </w:r>
      <w:r w:rsidR="00E67096">
        <w:t>,</w:t>
      </w:r>
      <w:r w:rsidR="0045280F" w:rsidRPr="00DE7025">
        <w:t xml:space="preserve"> </w:t>
      </w:r>
      <w:r w:rsidR="00E67096" w:rsidRPr="00DE7025">
        <w:t>particular</w:t>
      </w:r>
      <w:r w:rsidR="00E67096">
        <w:t>ly</w:t>
      </w:r>
      <w:r w:rsidR="00E67096" w:rsidRPr="00DE7025">
        <w:t xml:space="preserve"> </w:t>
      </w:r>
      <w:r w:rsidR="00E67096">
        <w:t>of</w:t>
      </w:r>
      <w:r w:rsidR="00E67096" w:rsidRPr="00DE7025">
        <w:t xml:space="preserve"> business people</w:t>
      </w:r>
      <w:r w:rsidR="00E67096">
        <w:t xml:space="preserve">, </w:t>
      </w:r>
      <w:r w:rsidR="0045280F" w:rsidRPr="00DE7025">
        <w:t>to gather money.</w:t>
      </w:r>
      <w:r w:rsidR="0045280F">
        <w:t xml:space="preserve"> According to the reports</w:t>
      </w:r>
      <w:r w:rsidR="002B780D">
        <w:t>,</w:t>
      </w:r>
      <w:r w:rsidR="0045280F" w:rsidRPr="00DE7025">
        <w:t xml:space="preserve"> </w:t>
      </w:r>
      <w:r w:rsidR="00DA2D09">
        <w:t xml:space="preserve">those targeted by </w:t>
      </w:r>
      <w:r w:rsidR="0045280F">
        <w:rPr>
          <w:shd w:val="clear" w:color="auto" w:fill="FFFFFF"/>
        </w:rPr>
        <w:t xml:space="preserve">the Karuna faction </w:t>
      </w:r>
      <w:r w:rsidR="0045280F" w:rsidRPr="00DE7025">
        <w:rPr>
          <w:shd w:val="clear" w:color="auto" w:fill="FFFFFF"/>
        </w:rPr>
        <w:t>include</w:t>
      </w:r>
      <w:r w:rsidR="0045280F">
        <w:rPr>
          <w:shd w:val="clear" w:color="auto" w:fill="FFFFFF"/>
        </w:rPr>
        <w:t>d</w:t>
      </w:r>
      <w:r w:rsidR="0045280F" w:rsidRPr="00DE7025">
        <w:rPr>
          <w:shd w:val="clear" w:color="auto" w:fill="FFFFFF"/>
        </w:rPr>
        <w:t xml:space="preserve"> anyone </w:t>
      </w:r>
      <w:r w:rsidR="00E67096">
        <w:rPr>
          <w:shd w:val="clear" w:color="auto" w:fill="FFFFFF"/>
        </w:rPr>
        <w:t>who</w:t>
      </w:r>
      <w:r w:rsidR="0045280F" w:rsidRPr="00DE7025">
        <w:rPr>
          <w:shd w:val="clear" w:color="auto" w:fill="FFFFFF"/>
        </w:rPr>
        <w:t xml:space="preserve"> oppose</w:t>
      </w:r>
      <w:r w:rsidR="00E67096">
        <w:rPr>
          <w:shd w:val="clear" w:color="auto" w:fill="FFFFFF"/>
        </w:rPr>
        <w:t>d</w:t>
      </w:r>
      <w:r w:rsidR="0045280F" w:rsidRPr="00DE7025">
        <w:rPr>
          <w:shd w:val="clear" w:color="auto" w:fill="FFFFFF"/>
        </w:rPr>
        <w:t xml:space="preserve"> the </w:t>
      </w:r>
      <w:r w:rsidR="0045280F">
        <w:rPr>
          <w:shd w:val="clear" w:color="auto" w:fill="FFFFFF"/>
        </w:rPr>
        <w:t>Sri Lanka Freedom Party, regardless of whether they were</w:t>
      </w:r>
      <w:r w:rsidR="0045280F" w:rsidRPr="00DE7025">
        <w:rPr>
          <w:shd w:val="clear" w:color="auto" w:fill="FFFFFF"/>
        </w:rPr>
        <w:t xml:space="preserve"> Tamil or Sinhalese, a</w:t>
      </w:r>
      <w:r w:rsidR="00E67096">
        <w:rPr>
          <w:shd w:val="clear" w:color="auto" w:fill="FFFFFF"/>
        </w:rPr>
        <w:t>nd</w:t>
      </w:r>
      <w:r w:rsidR="0045280F" w:rsidRPr="00DE7025">
        <w:rPr>
          <w:shd w:val="clear" w:color="auto" w:fill="FFFFFF"/>
        </w:rPr>
        <w:t xml:space="preserve"> Muslims in the </w:t>
      </w:r>
      <w:r w:rsidR="00E67096">
        <w:rPr>
          <w:shd w:val="clear" w:color="auto" w:fill="FFFFFF"/>
        </w:rPr>
        <w:t>e</w:t>
      </w:r>
      <w:r w:rsidR="0045280F" w:rsidRPr="00DE7025">
        <w:rPr>
          <w:shd w:val="clear" w:color="auto" w:fill="FFFFFF"/>
        </w:rPr>
        <w:t>ast, particularly in Batticaloa</w:t>
      </w:r>
      <w:r w:rsidR="0045280F">
        <w:rPr>
          <w:shd w:val="clear" w:color="auto" w:fill="FFFFFF"/>
        </w:rPr>
        <w:t>.</w:t>
      </w:r>
      <w:r w:rsidR="00015214">
        <w:rPr>
          <w:rStyle w:val="FootnoteReference"/>
          <w:shd w:val="clear" w:color="auto" w:fill="FFFFFF"/>
        </w:rPr>
        <w:footnoteReference w:id="17"/>
      </w:r>
      <w:r w:rsidR="0045280F">
        <w:rPr>
          <w:shd w:val="clear" w:color="auto" w:fill="FFFFFF"/>
        </w:rPr>
        <w:t xml:space="preserve"> Against th</w:t>
      </w:r>
      <w:r w:rsidR="00E67096">
        <w:rPr>
          <w:shd w:val="clear" w:color="auto" w:fill="FFFFFF"/>
        </w:rPr>
        <w:t>at</w:t>
      </w:r>
      <w:r w:rsidR="0045280F">
        <w:rPr>
          <w:shd w:val="clear" w:color="auto" w:fill="FFFFFF"/>
        </w:rPr>
        <w:t xml:space="preserve"> background, the State party’s aut</w:t>
      </w:r>
      <w:r w:rsidR="00616D48">
        <w:rPr>
          <w:shd w:val="clear" w:color="auto" w:fill="FFFFFF"/>
        </w:rPr>
        <w:t xml:space="preserve">horities concluded that </w:t>
      </w:r>
      <w:r w:rsidR="00B85516">
        <w:rPr>
          <w:shd w:val="clear" w:color="auto" w:fill="FFFFFF"/>
        </w:rPr>
        <w:t>the complainant</w:t>
      </w:r>
      <w:r w:rsidR="00616D48">
        <w:rPr>
          <w:shd w:val="clear" w:color="auto" w:fill="FFFFFF"/>
        </w:rPr>
        <w:t xml:space="preserve"> would not be perceived as </w:t>
      </w:r>
      <w:r w:rsidR="002B780D">
        <w:rPr>
          <w:shd w:val="clear" w:color="auto" w:fill="FFFFFF"/>
        </w:rPr>
        <w:t xml:space="preserve">an </w:t>
      </w:r>
      <w:r w:rsidR="00616D48">
        <w:rPr>
          <w:shd w:val="clear" w:color="auto" w:fill="FFFFFF"/>
        </w:rPr>
        <w:t>oppo</w:t>
      </w:r>
      <w:r w:rsidR="00B85516">
        <w:rPr>
          <w:shd w:val="clear" w:color="auto" w:fill="FFFFFF"/>
        </w:rPr>
        <w:t>nent</w:t>
      </w:r>
      <w:r w:rsidR="00616D48">
        <w:rPr>
          <w:shd w:val="clear" w:color="auto" w:fill="FFFFFF"/>
        </w:rPr>
        <w:t xml:space="preserve"> to TMVP </w:t>
      </w:r>
      <w:r w:rsidR="00B85516">
        <w:rPr>
          <w:shd w:val="clear" w:color="auto" w:fill="FFFFFF"/>
        </w:rPr>
        <w:t xml:space="preserve">solely </w:t>
      </w:r>
      <w:r w:rsidR="00616D48">
        <w:rPr>
          <w:shd w:val="clear" w:color="auto" w:fill="FFFFFF"/>
        </w:rPr>
        <w:t xml:space="preserve">because he refused to </w:t>
      </w:r>
      <w:r w:rsidR="001F3F94">
        <w:rPr>
          <w:shd w:val="clear" w:color="auto" w:fill="FFFFFF"/>
        </w:rPr>
        <w:t xml:space="preserve">lend </w:t>
      </w:r>
      <w:r w:rsidR="00616D48">
        <w:rPr>
          <w:shd w:val="clear" w:color="auto" w:fill="FFFFFF"/>
        </w:rPr>
        <w:t>them his truck in March 2012. Moreover, he was no</w:t>
      </w:r>
      <w:r w:rsidR="00A473AE">
        <w:rPr>
          <w:shd w:val="clear" w:color="auto" w:fill="FFFFFF"/>
        </w:rPr>
        <w:t>t</w:t>
      </w:r>
      <w:r w:rsidR="00616D48">
        <w:rPr>
          <w:shd w:val="clear" w:color="auto" w:fill="FFFFFF"/>
        </w:rPr>
        <w:t xml:space="preserve"> subject to extortion by TMVP between his return to Sri Lanka in 2010 and his departure to Australia</w:t>
      </w:r>
      <w:r w:rsidR="002B780D">
        <w:rPr>
          <w:shd w:val="clear" w:color="auto" w:fill="FFFFFF"/>
        </w:rPr>
        <w:t xml:space="preserve">, and </w:t>
      </w:r>
      <w:r w:rsidR="00616D48">
        <w:rPr>
          <w:shd w:val="clear" w:color="auto" w:fill="FFFFFF"/>
        </w:rPr>
        <w:t xml:space="preserve">his relatives </w:t>
      </w:r>
      <w:r w:rsidR="002B780D">
        <w:rPr>
          <w:shd w:val="clear" w:color="auto" w:fill="FFFFFF"/>
        </w:rPr>
        <w:t xml:space="preserve">have not </w:t>
      </w:r>
      <w:r w:rsidR="00616D48">
        <w:rPr>
          <w:shd w:val="clear" w:color="auto" w:fill="FFFFFF"/>
        </w:rPr>
        <w:t>been contacted or harassed by TMVP due to his refusal to le</w:t>
      </w:r>
      <w:r w:rsidR="001F3F94">
        <w:rPr>
          <w:shd w:val="clear" w:color="auto" w:fill="FFFFFF"/>
        </w:rPr>
        <w:t>n</w:t>
      </w:r>
      <w:r w:rsidR="00616D48">
        <w:rPr>
          <w:shd w:val="clear" w:color="auto" w:fill="FFFFFF"/>
        </w:rPr>
        <w:t xml:space="preserve">d his truck. </w:t>
      </w:r>
      <w:r w:rsidR="00473EAC" w:rsidRPr="00AE7D12">
        <w:rPr>
          <w:lang w:val="en-US"/>
        </w:rPr>
        <w:t xml:space="preserve">The </w:t>
      </w:r>
      <w:r w:rsidR="00616D48">
        <w:rPr>
          <w:lang w:val="en-US"/>
        </w:rPr>
        <w:t>complainant</w:t>
      </w:r>
      <w:r w:rsidR="00473EAC" w:rsidRPr="00AE7D12">
        <w:rPr>
          <w:lang w:val="en-US"/>
        </w:rPr>
        <w:t xml:space="preserve"> disagrees with the</w:t>
      </w:r>
      <w:r w:rsidR="00616D48">
        <w:rPr>
          <w:lang w:val="en-US"/>
        </w:rPr>
        <w:t xml:space="preserve"> assessment of </w:t>
      </w:r>
      <w:r w:rsidR="00B85516">
        <w:rPr>
          <w:lang w:val="en-US"/>
        </w:rPr>
        <w:t xml:space="preserve">the </w:t>
      </w:r>
      <w:r w:rsidR="00616D48">
        <w:rPr>
          <w:lang w:val="en-US"/>
        </w:rPr>
        <w:t>State party’s authorities</w:t>
      </w:r>
      <w:r w:rsidR="00473EAC" w:rsidRPr="00AE7D12">
        <w:rPr>
          <w:lang w:val="en-US"/>
        </w:rPr>
        <w:t xml:space="preserve">. However, </w:t>
      </w:r>
      <w:r w:rsidR="00160D99">
        <w:rPr>
          <w:lang w:val="en-US"/>
        </w:rPr>
        <w:t xml:space="preserve">the Committee observes that </w:t>
      </w:r>
      <w:r w:rsidR="00473EAC" w:rsidRPr="00AE7D12">
        <w:rPr>
          <w:lang w:val="en-US"/>
        </w:rPr>
        <w:t>he</w:t>
      </w:r>
      <w:r w:rsidR="00473EAC" w:rsidRPr="00AE7D12">
        <w:rPr>
          <w:lang w:val="en-US" w:eastAsia="en-GB"/>
        </w:rPr>
        <w:t xml:space="preserve"> has failed to explain why the decision</w:t>
      </w:r>
      <w:r w:rsidR="00616D48">
        <w:rPr>
          <w:lang w:val="en-US" w:eastAsia="en-GB"/>
        </w:rPr>
        <w:t xml:space="preserve"> to </w:t>
      </w:r>
      <w:r w:rsidR="002B780D">
        <w:rPr>
          <w:lang w:val="en-US" w:eastAsia="en-GB"/>
        </w:rPr>
        <w:t>deny</w:t>
      </w:r>
      <w:r w:rsidR="00616D48">
        <w:rPr>
          <w:lang w:val="en-US" w:eastAsia="en-GB"/>
        </w:rPr>
        <w:t xml:space="preserve"> him </w:t>
      </w:r>
      <w:r w:rsidR="002B780D">
        <w:rPr>
          <w:lang w:val="en-US" w:eastAsia="en-GB"/>
        </w:rPr>
        <w:t xml:space="preserve">a </w:t>
      </w:r>
      <w:r w:rsidR="00616D48">
        <w:rPr>
          <w:lang w:val="en-US" w:eastAsia="en-GB"/>
        </w:rPr>
        <w:t xml:space="preserve">protection visa </w:t>
      </w:r>
      <w:r w:rsidR="009D63C1">
        <w:rPr>
          <w:lang w:val="en-US" w:eastAsia="en-GB"/>
        </w:rPr>
        <w:t>was</w:t>
      </w:r>
      <w:r w:rsidR="00473EAC" w:rsidRPr="00AE7D12">
        <w:rPr>
          <w:lang w:val="en-US" w:eastAsia="en-GB"/>
        </w:rPr>
        <w:t xml:space="preserve"> </w:t>
      </w:r>
      <w:r w:rsidR="009D63C1" w:rsidRPr="004C5D50">
        <w:rPr>
          <w:color w:val="000000"/>
          <w:lang w:eastAsia="en-GB"/>
        </w:rPr>
        <w:t>arbitrary or amounted to a denial of justice</w:t>
      </w:r>
      <w:r w:rsidR="009D63C1">
        <w:rPr>
          <w:color w:val="000000"/>
          <w:lang w:eastAsia="en-GB"/>
        </w:rPr>
        <w:t>,</w:t>
      </w:r>
      <w:r w:rsidR="00B85516">
        <w:rPr>
          <w:lang w:val="en-US" w:eastAsia="en-GB"/>
        </w:rPr>
        <w:t xml:space="preserve"> for instance due to the authorities’ </w:t>
      </w:r>
      <w:r w:rsidR="00473EAC" w:rsidRPr="00AE7D12">
        <w:rPr>
          <w:lang w:val="en-US" w:eastAsia="en-GB"/>
        </w:rPr>
        <w:t xml:space="preserve">failure to take into account a relevant risk factor. </w:t>
      </w:r>
    </w:p>
    <w:p w:rsidR="008F162B" w:rsidRDefault="008F162B" w:rsidP="00B44F26">
      <w:pPr>
        <w:pStyle w:val="SingleTxtG"/>
        <w:rPr>
          <w:color w:val="000000"/>
          <w:lang w:eastAsia="en-GB"/>
        </w:rPr>
      </w:pPr>
      <w:r>
        <w:lastRenderedPageBreak/>
        <w:t>7.</w:t>
      </w:r>
      <w:r w:rsidR="00160D99">
        <w:t>10</w:t>
      </w:r>
      <w:r w:rsidR="001F6D59">
        <w:tab/>
      </w:r>
      <w:r>
        <w:t>In the light of the above, the Committee recalls that</w:t>
      </w:r>
      <w:r w:rsidR="00CF7766">
        <w:t>,</w:t>
      </w:r>
      <w:r>
        <w:t xml:space="preserve"> according to its general comment No. 1, the burden of presenting an arguable case lies with the author of a communication (para. 5). In the Committee’s opinion, in the present case, the complainant has not discharged th</w:t>
      </w:r>
      <w:r w:rsidR="008E5743">
        <w:t>e</w:t>
      </w:r>
      <w:r>
        <w:t xml:space="preserve"> burden of proof.</w:t>
      </w:r>
      <w:r>
        <w:rPr>
          <w:rStyle w:val="FootnoteReference"/>
        </w:rPr>
        <w:footnoteReference w:id="18"/>
      </w:r>
      <w:r>
        <w:t xml:space="preserve"> </w:t>
      </w:r>
    </w:p>
    <w:p w:rsidR="005306A4" w:rsidRDefault="009D63C1" w:rsidP="00B44F26">
      <w:pPr>
        <w:pStyle w:val="SingleTxtG"/>
      </w:pPr>
      <w:r>
        <w:t>8</w:t>
      </w:r>
      <w:r w:rsidR="00C25E60">
        <w:t xml:space="preserve">. </w:t>
      </w:r>
      <w:r w:rsidR="00C25E60">
        <w:tab/>
      </w:r>
      <w:r w:rsidR="00C25E60" w:rsidRPr="007C5C32">
        <w:t xml:space="preserve">Consequently, the </w:t>
      </w:r>
      <w:r w:rsidR="00B11392" w:rsidRPr="00EF2824">
        <w:rPr>
          <w:lang w:val="en-US"/>
        </w:rPr>
        <w:t xml:space="preserve">Committee considers that </w:t>
      </w:r>
      <w:r w:rsidR="003B028C" w:rsidRPr="00EF2824">
        <w:rPr>
          <w:lang w:val="en-US"/>
        </w:rPr>
        <w:t xml:space="preserve">the evidence and circumstances invoked by </w:t>
      </w:r>
      <w:r w:rsidR="00B11392" w:rsidRPr="00EF2824">
        <w:rPr>
          <w:lang w:val="en-US"/>
        </w:rPr>
        <w:t xml:space="preserve">the complainant </w:t>
      </w:r>
      <w:r w:rsidR="001F3F94">
        <w:rPr>
          <w:lang w:val="en-US"/>
        </w:rPr>
        <w:t>do</w:t>
      </w:r>
      <w:r w:rsidR="00B11392" w:rsidRPr="00EF2824">
        <w:rPr>
          <w:lang w:val="en-US"/>
        </w:rPr>
        <w:t xml:space="preserve"> not </w:t>
      </w:r>
      <w:r w:rsidR="001F3F94">
        <w:rPr>
          <w:lang w:val="en-US"/>
        </w:rPr>
        <w:t>show</w:t>
      </w:r>
      <w:r w:rsidR="00B11392" w:rsidRPr="00EF2824">
        <w:rPr>
          <w:lang w:val="en-US"/>
        </w:rPr>
        <w:t xml:space="preserve"> sufficient grounds for believing that he would run a real, foreseeable, personal and present risk of being subjected to </w:t>
      </w:r>
      <w:r w:rsidR="00681970" w:rsidRPr="00EF2824">
        <w:rPr>
          <w:lang w:val="en-US"/>
        </w:rPr>
        <w:t>t</w:t>
      </w:r>
      <w:r w:rsidR="00BC3AC6" w:rsidRPr="00EF2824">
        <w:rPr>
          <w:lang w:val="en-US"/>
        </w:rPr>
        <w:t>orture</w:t>
      </w:r>
      <w:r w:rsidR="00BC3AC6" w:rsidRPr="0029244B">
        <w:rPr>
          <w:lang w:val="en-US"/>
        </w:rPr>
        <w:t xml:space="preserve"> in case of his removal to Sri Lanka</w:t>
      </w:r>
      <w:r w:rsidR="00B11392" w:rsidRPr="00350241">
        <w:rPr>
          <w:lang w:val="en-US"/>
        </w:rPr>
        <w:t>.</w:t>
      </w:r>
      <w:r w:rsidR="003B028C" w:rsidRPr="00350241">
        <w:t xml:space="preserve"> </w:t>
      </w:r>
      <w:r w:rsidR="00F21A77" w:rsidRPr="00350241">
        <w:t xml:space="preserve">The Committee </w:t>
      </w:r>
      <w:r w:rsidR="00A92959" w:rsidRPr="004D37FE">
        <w:t xml:space="preserve">thus </w:t>
      </w:r>
      <w:r w:rsidR="00F21A77" w:rsidRPr="004D37FE">
        <w:t xml:space="preserve">considers that the </w:t>
      </w:r>
      <w:r w:rsidR="0088669D" w:rsidRPr="004D37FE">
        <w:t xml:space="preserve">material on the file does not enable </w:t>
      </w:r>
      <w:r w:rsidR="00F21A77" w:rsidRPr="004D37FE">
        <w:t xml:space="preserve">it </w:t>
      </w:r>
      <w:r w:rsidR="0088669D" w:rsidRPr="004D37FE">
        <w:t xml:space="preserve">to conclude that the </w:t>
      </w:r>
      <w:r w:rsidR="00BC3AC6" w:rsidRPr="004D37FE">
        <w:t>return of the author would constitute a violation of article 3 of the Convention.</w:t>
      </w:r>
      <w:r w:rsidR="00BC3AC6">
        <w:t xml:space="preserve"> </w:t>
      </w:r>
    </w:p>
    <w:p w:rsidR="00B11392" w:rsidRDefault="009D63C1" w:rsidP="00B44F26">
      <w:pPr>
        <w:pStyle w:val="SingleTxtG"/>
        <w:rPr>
          <w:lang w:eastAsia="zh-CN"/>
        </w:rPr>
      </w:pPr>
      <w:r>
        <w:t>9</w:t>
      </w:r>
      <w:r w:rsidR="00B11392">
        <w:t>.</w:t>
      </w:r>
      <w:r w:rsidR="00B11392">
        <w:tab/>
        <w:t xml:space="preserve">The Committee, acting under article 22 </w:t>
      </w:r>
      <w:r w:rsidR="008E5743">
        <w:t>(</w:t>
      </w:r>
      <w:r w:rsidR="00B11392">
        <w:t>7</w:t>
      </w:r>
      <w:r w:rsidR="008E5743">
        <w:t>)</w:t>
      </w:r>
      <w:r w:rsidR="00B11392">
        <w:t xml:space="preserve"> of the Convention, concludes that the complainant’s removal to </w:t>
      </w:r>
      <w:r w:rsidR="00281903">
        <w:t xml:space="preserve">Sri Lanka </w:t>
      </w:r>
      <w:r w:rsidR="00B11392">
        <w:t xml:space="preserve">by the State party would not constitute a breach of article 3 of the Convention. </w:t>
      </w:r>
    </w:p>
    <w:p w:rsidR="00F164D6" w:rsidRPr="00F164D6" w:rsidRDefault="00861B73" w:rsidP="004127AE">
      <w:pPr>
        <w:autoSpaceDN w:val="0"/>
        <w:spacing w:after="120" w:line="240" w:lineRule="auto"/>
        <w:jc w:val="center"/>
        <w:textAlignment w:val="baseline"/>
        <w:rPr>
          <w:lang w:eastAsia="zh-CN"/>
        </w:rPr>
      </w:pPr>
      <w:r w:rsidRPr="00861B73">
        <w:rPr>
          <w:kern w:val="3"/>
          <w:u w:val="single"/>
          <w:lang w:eastAsia="zh-CN"/>
        </w:rPr>
        <w:tab/>
      </w:r>
      <w:r w:rsidRPr="00861B73">
        <w:rPr>
          <w:kern w:val="3"/>
          <w:u w:val="single"/>
          <w:lang w:eastAsia="zh-CN"/>
        </w:rPr>
        <w:tab/>
      </w:r>
      <w:r w:rsidRPr="00861B73">
        <w:rPr>
          <w:kern w:val="3"/>
          <w:u w:val="single"/>
          <w:lang w:eastAsia="zh-CN"/>
        </w:rPr>
        <w:tab/>
      </w:r>
    </w:p>
    <w:p w:rsidR="00823AF6" w:rsidRPr="00BA2138" w:rsidRDefault="00823AF6" w:rsidP="004127AE">
      <w:pPr>
        <w:pStyle w:val="SingleTxtG"/>
        <w:spacing w:line="240" w:lineRule="auto"/>
      </w:pPr>
    </w:p>
    <w:sectPr w:rsidR="00823AF6" w:rsidRPr="00BA2138" w:rsidSect="00B44F2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9E" w:rsidRDefault="00E4559E"/>
  </w:endnote>
  <w:endnote w:type="continuationSeparator" w:id="0">
    <w:p w:rsidR="00E4559E" w:rsidRDefault="00E4559E"/>
  </w:endnote>
  <w:endnote w:type="continuationNotice" w:id="1">
    <w:p w:rsidR="00E4559E" w:rsidRDefault="00E45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BD" w:rsidRPr="00A511AC" w:rsidRDefault="00AA4CBD"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18592C">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BD" w:rsidRPr="00A511AC" w:rsidRDefault="00AA4CBD"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18592C">
      <w:rPr>
        <w:b/>
        <w:noProof/>
        <w:sz w:val="18"/>
      </w:rPr>
      <w:t>3</w:t>
    </w:r>
    <w:r w:rsidRPr="00A511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C" w:rsidRDefault="0074121C" w:rsidP="0074121C">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74121C" w:rsidRDefault="0074121C" w:rsidP="0074121C">
    <w:pPr>
      <w:pStyle w:val="Footer"/>
      <w:ind w:right="1134"/>
      <w:rPr>
        <w:sz w:val="20"/>
      </w:rPr>
    </w:pPr>
    <w:r>
      <w:rPr>
        <w:sz w:val="20"/>
      </w:rPr>
      <w:t>GE.16-15816(E)</w:t>
    </w:r>
  </w:p>
  <w:p w:rsidR="0074121C" w:rsidRPr="0074121C" w:rsidRDefault="0074121C" w:rsidP="0074121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AT/C/58/D/608/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8/D/608/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9E" w:rsidRPr="000B175B" w:rsidRDefault="00E4559E" w:rsidP="000B175B">
      <w:pPr>
        <w:tabs>
          <w:tab w:val="right" w:pos="2155"/>
        </w:tabs>
        <w:spacing w:after="80"/>
        <w:ind w:left="680"/>
        <w:rPr>
          <w:u w:val="single"/>
        </w:rPr>
      </w:pPr>
      <w:r>
        <w:rPr>
          <w:u w:val="single"/>
        </w:rPr>
        <w:tab/>
      </w:r>
    </w:p>
  </w:footnote>
  <w:footnote w:type="continuationSeparator" w:id="0">
    <w:p w:rsidR="00E4559E" w:rsidRPr="00FC68B7" w:rsidRDefault="00E4559E" w:rsidP="00FC68B7">
      <w:pPr>
        <w:tabs>
          <w:tab w:val="left" w:pos="2155"/>
        </w:tabs>
        <w:spacing w:after="80"/>
        <w:ind w:left="680"/>
        <w:rPr>
          <w:u w:val="single"/>
        </w:rPr>
      </w:pPr>
      <w:r>
        <w:rPr>
          <w:u w:val="single"/>
        </w:rPr>
        <w:tab/>
      </w:r>
    </w:p>
  </w:footnote>
  <w:footnote w:type="continuationNotice" w:id="1">
    <w:p w:rsidR="00E4559E" w:rsidRDefault="00E4559E"/>
  </w:footnote>
  <w:footnote w:id="2">
    <w:p w:rsidR="00AA4CBD" w:rsidRPr="00E9688A" w:rsidRDefault="00AA4CBD" w:rsidP="00971B3E">
      <w:pPr>
        <w:pStyle w:val="FootnoteText"/>
      </w:pPr>
      <w:r>
        <w:rPr>
          <w:rStyle w:val="FootnoteReference"/>
        </w:rPr>
        <w:tab/>
      </w:r>
      <w:r w:rsidRPr="00B44F26">
        <w:rPr>
          <w:rStyle w:val="FootnoteReference"/>
          <w:sz w:val="20"/>
          <w:vertAlign w:val="baseline"/>
        </w:rPr>
        <w:t>*</w:t>
      </w:r>
      <w:r>
        <w:rPr>
          <w:rStyle w:val="FootnoteReference"/>
          <w:sz w:val="20"/>
          <w:vertAlign w:val="baseline"/>
        </w:rPr>
        <w:tab/>
      </w:r>
      <w:r>
        <w:t>Adopted by the Committee at its fifty-eighth session (25 July-12 August 2016).</w:t>
      </w:r>
    </w:p>
  </w:footnote>
  <w:footnote w:id="3">
    <w:p w:rsidR="00AA4CBD" w:rsidRPr="00FB3457" w:rsidRDefault="00AA4CBD" w:rsidP="002F00AB">
      <w:pPr>
        <w:pStyle w:val="FootnoteText"/>
      </w:pPr>
      <w:r w:rsidRPr="00B44F26">
        <w:rPr>
          <w:rStyle w:val="FootnoteReference"/>
          <w:sz w:val="20"/>
        </w:rPr>
        <w:tab/>
      </w:r>
      <w:r w:rsidRPr="00B44F26">
        <w:rPr>
          <w:rStyle w:val="FootnoteReference"/>
          <w:sz w:val="20"/>
          <w:vertAlign w:val="baseline"/>
        </w:rPr>
        <w:t>**</w:t>
      </w:r>
      <w:r>
        <w:rPr>
          <w:rStyle w:val="FootnoteReference"/>
          <w:sz w:val="20"/>
          <w:vertAlign w:val="baseline"/>
        </w:rPr>
        <w:tab/>
      </w:r>
      <w:r w:rsidRPr="006127AF">
        <w:rPr>
          <w:szCs w:val="18"/>
          <w:lang w:val="en-US"/>
        </w:rPr>
        <w:t xml:space="preserve">The following members of the Committee participated in the examination of the present communication: </w:t>
      </w:r>
      <w:r w:rsidRPr="003E3B80">
        <w:rPr>
          <w:szCs w:val="18"/>
          <w:lang w:val="en-US"/>
        </w:rPr>
        <w:t xml:space="preserve">Essadia Belmir, Alessio Bruni, Felice Gaer, Abdelwahab Hani, </w:t>
      </w:r>
      <w:r>
        <w:rPr>
          <w:bCs/>
          <w:szCs w:val="18"/>
          <w:lang w:val="en-US"/>
        </w:rPr>
        <w:t>Claude Heller Rouassant,</w:t>
      </w:r>
      <w:r w:rsidRPr="00473B5F">
        <w:rPr>
          <w:bCs/>
          <w:szCs w:val="18"/>
          <w:lang w:val="en-US"/>
        </w:rPr>
        <w:t xml:space="preserve"> </w:t>
      </w:r>
      <w:r>
        <w:rPr>
          <w:szCs w:val="18"/>
          <w:lang w:val="en-US"/>
        </w:rPr>
        <w:t xml:space="preserve">Jens Modvig, </w:t>
      </w:r>
      <w:r w:rsidRPr="003E3B80">
        <w:rPr>
          <w:szCs w:val="18"/>
          <w:lang w:val="en-US"/>
        </w:rPr>
        <w:t xml:space="preserve">Sapana Pradhan-Malla, </w:t>
      </w:r>
      <w:r w:rsidRPr="00BB728F">
        <w:rPr>
          <w:bCs/>
          <w:szCs w:val="18"/>
          <w:lang w:val="en-US"/>
        </w:rPr>
        <w:t xml:space="preserve">Ana Racu </w:t>
      </w:r>
      <w:r w:rsidRPr="00473B5F">
        <w:rPr>
          <w:bCs/>
          <w:szCs w:val="18"/>
          <w:lang w:val="en-US"/>
        </w:rPr>
        <w:t xml:space="preserve">and </w:t>
      </w:r>
      <w:r w:rsidRPr="00473B5F">
        <w:rPr>
          <w:szCs w:val="18"/>
          <w:lang w:val="en-US"/>
        </w:rPr>
        <w:t>Kening Zhang.</w:t>
      </w:r>
    </w:p>
  </w:footnote>
  <w:footnote w:id="4">
    <w:p w:rsidR="00AA4CBD" w:rsidRPr="00B44F26" w:rsidRDefault="00AA4CBD" w:rsidP="00B44F26">
      <w:pPr>
        <w:pStyle w:val="FootnoteText"/>
        <w:rPr>
          <w:szCs w:val="18"/>
        </w:rPr>
      </w:pPr>
      <w:r>
        <w:tab/>
      </w:r>
      <w:r w:rsidRPr="00B44F26">
        <w:rPr>
          <w:rStyle w:val="FootnoteReference"/>
          <w:szCs w:val="18"/>
        </w:rPr>
        <w:footnoteRef/>
      </w:r>
      <w:r w:rsidRPr="00B44F26">
        <w:rPr>
          <w:szCs w:val="18"/>
        </w:rPr>
        <w:tab/>
        <w:t xml:space="preserve">In its </w:t>
      </w:r>
      <w:r w:rsidRPr="009A4FC9">
        <w:rPr>
          <w:szCs w:val="18"/>
        </w:rPr>
        <w:t xml:space="preserve">decision, the </w:t>
      </w:r>
      <w:r w:rsidRPr="00B44F26">
        <w:rPr>
          <w:szCs w:val="18"/>
          <w:lang w:eastAsia="en-CA"/>
        </w:rPr>
        <w:t>Department of Immigration and Citizenship</w:t>
      </w:r>
      <w:r w:rsidRPr="00B44F26">
        <w:rPr>
          <w:szCs w:val="18"/>
        </w:rPr>
        <w:t xml:space="preserve"> referred, inter alia, to</w:t>
      </w:r>
      <w:r w:rsidRPr="009A4FC9">
        <w:rPr>
          <w:szCs w:val="18"/>
        </w:rPr>
        <w:t xml:space="preserve"> the following documents:</w:t>
      </w:r>
      <w:r w:rsidRPr="00B44F26">
        <w:rPr>
          <w:szCs w:val="18"/>
        </w:rPr>
        <w:t xml:space="preserve"> </w:t>
      </w:r>
      <w:r w:rsidRPr="009A4FC9">
        <w:rPr>
          <w:szCs w:val="18"/>
          <w:shd w:val="clear" w:color="auto" w:fill="FFFFFF"/>
        </w:rPr>
        <w:t>Immigration and Refugee Board of Canada,</w:t>
      </w:r>
      <w:r w:rsidRPr="00B44F26">
        <w:rPr>
          <w:rStyle w:val="apple-converted-space"/>
          <w:szCs w:val="18"/>
          <w:shd w:val="clear" w:color="auto" w:fill="FFFFFF"/>
        </w:rPr>
        <w:t> “</w:t>
      </w:r>
      <w:r w:rsidRPr="00B44F26">
        <w:rPr>
          <w:szCs w:val="18"/>
          <w:shd w:val="clear" w:color="auto" w:fill="FFFFFF"/>
        </w:rPr>
        <w:t>Sri Lanka: Registration requirements in Colombo for Tamil and Sinhalese citizens who migrate from Jaffna or other regions of the country</w:t>
      </w:r>
      <w:r w:rsidRPr="009A4FC9">
        <w:rPr>
          <w:szCs w:val="18"/>
          <w:shd w:val="clear" w:color="auto" w:fill="FFFFFF"/>
        </w:rPr>
        <w:t>”, 22</w:t>
      </w:r>
      <w:r w:rsidR="009A4FC9">
        <w:rPr>
          <w:szCs w:val="18"/>
          <w:shd w:val="clear" w:color="auto" w:fill="FFFFFF"/>
        </w:rPr>
        <w:t> </w:t>
      </w:r>
      <w:r w:rsidRPr="009A4FC9">
        <w:rPr>
          <w:szCs w:val="18"/>
          <w:shd w:val="clear" w:color="auto" w:fill="FFFFFF"/>
        </w:rPr>
        <w:t xml:space="preserve">August 2011; Immigration and Refugee Board of </w:t>
      </w:r>
      <w:r w:rsidRPr="009A4FC9">
        <w:rPr>
          <w:szCs w:val="18"/>
          <w:shd w:val="clear" w:color="auto" w:fill="FFFFFF"/>
        </w:rPr>
        <w:tab/>
        <w:t>Canada,</w:t>
      </w:r>
      <w:r w:rsidRPr="00B44F26">
        <w:rPr>
          <w:rStyle w:val="apple-converted-space"/>
          <w:color w:val="3F3F3F"/>
          <w:szCs w:val="18"/>
          <w:shd w:val="clear" w:color="auto" w:fill="FFFFFF"/>
        </w:rPr>
        <w:t> “</w:t>
      </w:r>
      <w:r w:rsidRPr="00B44F26">
        <w:rPr>
          <w:szCs w:val="18"/>
          <w:shd w:val="clear" w:color="auto" w:fill="FFFFFF"/>
        </w:rPr>
        <w:t xml:space="preserve">Sri Lanka: </w:t>
      </w:r>
      <w:r w:rsidRPr="00B44F26">
        <w:rPr>
          <w:iCs/>
          <w:szCs w:val="18"/>
          <w:shd w:val="clear" w:color="auto" w:fill="FFFFFF"/>
        </w:rPr>
        <w:t>Information on the treatment of Tamil returnees to Sri Lanka, including failed refugee applicants; repercussions, upon return, for not having proper government authorization to leave the country, such as a passport</w:t>
      </w:r>
      <w:r w:rsidRPr="009A4FC9">
        <w:rPr>
          <w:iCs/>
          <w:szCs w:val="18"/>
          <w:shd w:val="clear" w:color="auto" w:fill="FFFFFF"/>
        </w:rPr>
        <w:t>”</w:t>
      </w:r>
      <w:r w:rsidRPr="009A4FC9">
        <w:rPr>
          <w:szCs w:val="18"/>
          <w:shd w:val="clear" w:color="auto" w:fill="FFFFFF"/>
        </w:rPr>
        <w:t>, 22</w:t>
      </w:r>
      <w:r w:rsidR="006B4DF5">
        <w:rPr>
          <w:szCs w:val="18"/>
          <w:shd w:val="clear" w:color="auto" w:fill="FFFFFF"/>
        </w:rPr>
        <w:t> </w:t>
      </w:r>
      <w:r w:rsidRPr="009A4FC9">
        <w:rPr>
          <w:szCs w:val="18"/>
          <w:shd w:val="clear" w:color="auto" w:fill="FFFFFF"/>
        </w:rPr>
        <w:t>August 2011</w:t>
      </w:r>
      <w:r w:rsidRPr="00B44F26">
        <w:rPr>
          <w:szCs w:val="18"/>
        </w:rPr>
        <w:t>; and International Crisis Group, “Sri Lanka: Government promises, ground realities”, 1</w:t>
      </w:r>
      <w:r w:rsidR="006B4DF5">
        <w:rPr>
          <w:szCs w:val="18"/>
        </w:rPr>
        <w:t> </w:t>
      </w:r>
      <w:r w:rsidRPr="00B44F26">
        <w:rPr>
          <w:szCs w:val="18"/>
        </w:rPr>
        <w:t xml:space="preserve">March 2012. </w:t>
      </w:r>
    </w:p>
  </w:footnote>
  <w:footnote w:id="5">
    <w:p w:rsidR="00AA4CBD" w:rsidRPr="00B44F26" w:rsidRDefault="00AA4CBD" w:rsidP="00B44F26">
      <w:pPr>
        <w:pStyle w:val="FootnoteText"/>
        <w:rPr>
          <w:szCs w:val="18"/>
        </w:rPr>
      </w:pPr>
      <w:r w:rsidRPr="00B44F26">
        <w:rPr>
          <w:szCs w:val="18"/>
        </w:rPr>
        <w:tab/>
      </w:r>
      <w:r w:rsidRPr="00B44F26">
        <w:rPr>
          <w:rStyle w:val="FootnoteReference"/>
          <w:szCs w:val="18"/>
        </w:rPr>
        <w:footnoteRef/>
      </w:r>
      <w:r w:rsidRPr="00B44F26">
        <w:rPr>
          <w:szCs w:val="18"/>
        </w:rPr>
        <w:tab/>
        <w:t>See Home Office, UK Border Agency, “Sri Lanka: Country of origin information (COI) report”,</w:t>
      </w:r>
      <w:r w:rsidR="009A4FC9" w:rsidRPr="00B44F26">
        <w:rPr>
          <w:szCs w:val="18"/>
        </w:rPr>
        <w:t xml:space="preserve"> </w:t>
      </w:r>
      <w:r w:rsidRPr="00B44F26">
        <w:rPr>
          <w:szCs w:val="18"/>
        </w:rPr>
        <w:t>7</w:t>
      </w:r>
      <w:r w:rsidR="009A4FC9" w:rsidRPr="00B44F26">
        <w:rPr>
          <w:szCs w:val="18"/>
        </w:rPr>
        <w:t> </w:t>
      </w:r>
      <w:r w:rsidRPr="00B44F26">
        <w:rPr>
          <w:szCs w:val="18"/>
        </w:rPr>
        <w:t xml:space="preserve">March 2012. </w:t>
      </w:r>
    </w:p>
  </w:footnote>
  <w:footnote w:id="6">
    <w:p w:rsidR="00AA4CBD" w:rsidRPr="00B44F26" w:rsidRDefault="00AA4CBD" w:rsidP="00B44F26">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t xml:space="preserve">The </w:t>
      </w:r>
      <w:r w:rsidRPr="00B44F26">
        <w:rPr>
          <w:szCs w:val="18"/>
          <w:lang w:eastAsia="en-CA"/>
        </w:rPr>
        <w:t>Refugee Review Tribunal</w:t>
      </w:r>
      <w:r w:rsidRPr="00B44F26">
        <w:rPr>
          <w:szCs w:val="18"/>
        </w:rPr>
        <w:t xml:space="preserve"> cites, in particular, </w:t>
      </w:r>
      <w:r w:rsidRPr="00B44F26">
        <w:rPr>
          <w:szCs w:val="18"/>
          <w:shd w:val="clear" w:color="auto" w:fill="F9F9F9"/>
        </w:rPr>
        <w:t>Immigration and Refugee Board of Canada,</w:t>
      </w:r>
      <w:r w:rsidRPr="00B44F26">
        <w:rPr>
          <w:rStyle w:val="apple-converted-space"/>
          <w:szCs w:val="18"/>
          <w:shd w:val="clear" w:color="auto" w:fill="F9F9F9"/>
        </w:rPr>
        <w:t> “</w:t>
      </w:r>
      <w:r w:rsidRPr="00B44F26">
        <w:rPr>
          <w:szCs w:val="18"/>
        </w:rPr>
        <w:t>Sri Lanka: Treatment of Tamil returnees to Sri Lanka, including failed refugee applicants; information on specific asylum cases, including the Tamil asylum-seeker boat that stopped in Togo, the return of Sri Lankan asylum seekers from Australia in 2012, and any cases of voluntary repatriation (August 2011-January 2013)</w:t>
      </w:r>
      <w:r w:rsidRPr="009A4FC9">
        <w:rPr>
          <w:szCs w:val="18"/>
        </w:rPr>
        <w:t>”</w:t>
      </w:r>
      <w:r w:rsidRPr="00B44F26">
        <w:rPr>
          <w:szCs w:val="18"/>
          <w:shd w:val="clear" w:color="auto" w:fill="F9F9F9"/>
        </w:rPr>
        <w:t>, 12 February 2013; Immigration and Refugee Board of Canada,</w:t>
      </w:r>
      <w:r w:rsidRPr="00B44F26">
        <w:rPr>
          <w:rStyle w:val="apple-converted-space"/>
          <w:szCs w:val="18"/>
          <w:shd w:val="clear" w:color="auto" w:fill="F9F9F9"/>
        </w:rPr>
        <w:t> “</w:t>
      </w:r>
      <w:r w:rsidRPr="00B44F26">
        <w:rPr>
          <w:szCs w:val="18"/>
        </w:rPr>
        <w:t>Sri Lanka: The Tamil Makkal Viduthalai Pulikal (TMVP) and Karuna factions; their relationship with each other; reports concerning their treatment of Sinhalese and Tamil citizens; whether they are still active as paramilitary groups”</w:t>
      </w:r>
      <w:r w:rsidRPr="00B44F26">
        <w:rPr>
          <w:szCs w:val="18"/>
          <w:shd w:val="clear" w:color="auto" w:fill="F9F9F9"/>
        </w:rPr>
        <w:t xml:space="preserve">, 17 February 2012; </w:t>
      </w:r>
      <w:r w:rsidRPr="00B44F26">
        <w:rPr>
          <w:szCs w:val="18"/>
        </w:rPr>
        <w:t xml:space="preserve">Freedom from Torture, “Sri Lankan Tamils tortured on return from the UK”, 13 September 2012; and </w:t>
      </w:r>
      <w:r w:rsidRPr="00B44F26">
        <w:rPr>
          <w:rStyle w:val="apple-converted-space"/>
          <w:szCs w:val="18"/>
          <w:shd w:val="clear" w:color="auto" w:fill="FFFFFF"/>
        </w:rPr>
        <w:t>International Crisis Group, “Sri Lanka’s North I: The</w:t>
      </w:r>
      <w:r w:rsidR="006B4DF5">
        <w:rPr>
          <w:rStyle w:val="apple-converted-space"/>
          <w:szCs w:val="18"/>
          <w:shd w:val="clear" w:color="auto" w:fill="FFFFFF"/>
        </w:rPr>
        <w:t> </w:t>
      </w:r>
      <w:r w:rsidRPr="00B44F26">
        <w:rPr>
          <w:rStyle w:val="apple-converted-space"/>
          <w:szCs w:val="18"/>
          <w:shd w:val="clear" w:color="auto" w:fill="FFFFFF"/>
        </w:rPr>
        <w:t>denial of minority rights: Asia Report No. 219”, 16 March 2012.</w:t>
      </w:r>
      <w:r w:rsidRPr="00B44F26">
        <w:rPr>
          <w:szCs w:val="18"/>
        </w:rPr>
        <w:t xml:space="preserve"> </w:t>
      </w:r>
    </w:p>
  </w:footnote>
  <w:footnote w:id="7">
    <w:p w:rsidR="00AA4CBD" w:rsidRPr="00B44F26" w:rsidRDefault="00B44F26" w:rsidP="00B44F26">
      <w:pPr>
        <w:pStyle w:val="FootnoteText"/>
        <w:rPr>
          <w:szCs w:val="18"/>
        </w:rPr>
      </w:pPr>
      <w:r>
        <w:rPr>
          <w:szCs w:val="18"/>
        </w:rPr>
        <w:tab/>
      </w:r>
      <w:r w:rsidR="00AA4CBD" w:rsidRPr="00B44F26">
        <w:rPr>
          <w:rStyle w:val="FootnoteReference"/>
          <w:szCs w:val="18"/>
        </w:rPr>
        <w:footnoteRef/>
      </w:r>
      <w:r w:rsidR="00AA4CBD" w:rsidRPr="00B44F26">
        <w:rPr>
          <w:szCs w:val="18"/>
        </w:rPr>
        <w:tab/>
        <w:t xml:space="preserve">See </w:t>
      </w:r>
      <w:r w:rsidR="00866509" w:rsidRPr="00B44F26">
        <w:rPr>
          <w:szCs w:val="18"/>
        </w:rPr>
        <w:t xml:space="preserve">the </w:t>
      </w:r>
      <w:r w:rsidR="00AA4CBD" w:rsidRPr="00B44F26">
        <w:rPr>
          <w:szCs w:val="18"/>
        </w:rPr>
        <w:t>Committee</w:t>
      </w:r>
      <w:r w:rsidR="00866509" w:rsidRPr="00B44F26">
        <w:rPr>
          <w:szCs w:val="18"/>
        </w:rPr>
        <w:t>’s</w:t>
      </w:r>
      <w:r w:rsidR="00AA4CBD" w:rsidRPr="00B44F26">
        <w:rPr>
          <w:szCs w:val="18"/>
        </w:rPr>
        <w:t xml:space="preserve"> general comment No. 1 (1997) on the implementation of article 3 of the Convention, para. 3. </w:t>
      </w:r>
    </w:p>
  </w:footnote>
  <w:footnote w:id="8">
    <w:p w:rsidR="00AA4CBD" w:rsidRPr="00B44F26" w:rsidRDefault="00AA4CBD" w:rsidP="009A4FC9">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t xml:space="preserve">See Edmund Rice Centre, “Sri Lanka: Australia continues to deport people to danger”, 5 May 2015. </w:t>
      </w:r>
    </w:p>
  </w:footnote>
  <w:footnote w:id="9">
    <w:p w:rsidR="00AA4CBD" w:rsidRPr="00B44F26" w:rsidRDefault="00AA4CBD" w:rsidP="00B44F26">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r>
      <w:r w:rsidR="00D070EF" w:rsidRPr="00B44F26">
        <w:rPr>
          <w:szCs w:val="18"/>
        </w:rPr>
        <w:t xml:space="preserve">See </w:t>
      </w:r>
      <w:r w:rsidRPr="00B44F26">
        <w:rPr>
          <w:szCs w:val="18"/>
        </w:rPr>
        <w:t xml:space="preserve">Edmund Rice Centre, “Australia sponsored torture in Sri Lanka? The foreseen consequences of supporting a brutal regime to stop the boats at any cost”, 12 August 2015. </w:t>
      </w:r>
    </w:p>
  </w:footnote>
  <w:footnote w:id="10">
    <w:p w:rsidR="00AA4CBD" w:rsidRPr="00B44F26" w:rsidRDefault="00AA4CBD" w:rsidP="00B44F26">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t xml:space="preserve">See, for example, communications No. 467/2011, </w:t>
      </w:r>
      <w:r w:rsidRPr="00B44F26">
        <w:rPr>
          <w:i/>
          <w:szCs w:val="18"/>
        </w:rPr>
        <w:t>Y.B.F., S.A.Q. and Y.Y. v. Switzerland</w:t>
      </w:r>
      <w:r w:rsidRPr="00B44F26">
        <w:rPr>
          <w:szCs w:val="18"/>
        </w:rPr>
        <w:t>, decision adopted on 31 May 2013, para. 7.2</w:t>
      </w:r>
      <w:r w:rsidR="00DA2D09" w:rsidRPr="00B44F26">
        <w:rPr>
          <w:szCs w:val="18"/>
        </w:rPr>
        <w:t>;</w:t>
      </w:r>
      <w:r w:rsidRPr="00B44F26">
        <w:rPr>
          <w:szCs w:val="18"/>
        </w:rPr>
        <w:t xml:space="preserve"> No. 392/2009, </w:t>
      </w:r>
      <w:r w:rsidRPr="00B44F26">
        <w:rPr>
          <w:i/>
          <w:szCs w:val="18"/>
        </w:rPr>
        <w:t>R.S.M. v. Canada</w:t>
      </w:r>
      <w:r w:rsidRPr="00B44F26">
        <w:rPr>
          <w:szCs w:val="18"/>
        </w:rPr>
        <w:t>, decision adopted on 24 May 2013, para. 7.3</w:t>
      </w:r>
      <w:r w:rsidR="00DA2D09" w:rsidRPr="00B44F26">
        <w:rPr>
          <w:szCs w:val="18"/>
        </w:rPr>
        <w:t>;</w:t>
      </w:r>
      <w:r w:rsidRPr="00B44F26">
        <w:rPr>
          <w:szCs w:val="18"/>
        </w:rPr>
        <w:t xml:space="preserve"> and No. 213/2002, </w:t>
      </w:r>
      <w:r w:rsidRPr="00B44F26">
        <w:rPr>
          <w:i/>
          <w:szCs w:val="18"/>
        </w:rPr>
        <w:t>E.J.V.M. v. Sweden</w:t>
      </w:r>
      <w:r w:rsidRPr="00B44F26">
        <w:rPr>
          <w:szCs w:val="18"/>
        </w:rPr>
        <w:t>, decision adopted on 14 November 2003, para.</w:t>
      </w:r>
      <w:r w:rsidR="009A4FC9" w:rsidRPr="00B44F26">
        <w:rPr>
          <w:szCs w:val="18"/>
        </w:rPr>
        <w:t> </w:t>
      </w:r>
      <w:r w:rsidRPr="00B44F26">
        <w:rPr>
          <w:szCs w:val="18"/>
        </w:rPr>
        <w:t xml:space="preserve">8.3. </w:t>
      </w:r>
    </w:p>
  </w:footnote>
  <w:footnote w:id="11">
    <w:p w:rsidR="00AA4CBD" w:rsidRPr="00B44F26" w:rsidRDefault="00AA4CBD" w:rsidP="00B44F26">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t xml:space="preserve">See, for example, communications No. 203/2002, </w:t>
      </w:r>
      <w:r w:rsidRPr="00B44F26">
        <w:rPr>
          <w:i/>
          <w:szCs w:val="18"/>
        </w:rPr>
        <w:t>A.R. v. Netherlands</w:t>
      </w:r>
      <w:r w:rsidRPr="00B44F26">
        <w:rPr>
          <w:szCs w:val="18"/>
        </w:rPr>
        <w:t>, Views adopted on 14</w:t>
      </w:r>
      <w:r w:rsidR="006B4DF5">
        <w:rPr>
          <w:szCs w:val="18"/>
        </w:rPr>
        <w:t> </w:t>
      </w:r>
      <w:r w:rsidRPr="00B44F26">
        <w:rPr>
          <w:szCs w:val="18"/>
        </w:rPr>
        <w:t xml:space="preserve">November 2003, para. 7.3; No. 285/2006. </w:t>
      </w:r>
      <w:r w:rsidRPr="00B44F26">
        <w:rPr>
          <w:i/>
          <w:szCs w:val="18"/>
        </w:rPr>
        <w:t>A.A. et al. v. Switzerland</w:t>
      </w:r>
      <w:r w:rsidRPr="00B44F26">
        <w:rPr>
          <w:szCs w:val="18"/>
        </w:rPr>
        <w:t>, decision adopted on 10</w:t>
      </w:r>
      <w:r w:rsidR="006B4DF5">
        <w:rPr>
          <w:szCs w:val="18"/>
        </w:rPr>
        <w:t> </w:t>
      </w:r>
      <w:r w:rsidRPr="00B44F26">
        <w:rPr>
          <w:szCs w:val="18"/>
        </w:rPr>
        <w:t xml:space="preserve">November 2008, para. 7.6; No. 322/2007, </w:t>
      </w:r>
      <w:r w:rsidRPr="00B44F26">
        <w:rPr>
          <w:i/>
          <w:szCs w:val="18"/>
        </w:rPr>
        <w:t>Njamba and Balikosa v. Sweden</w:t>
      </w:r>
      <w:r w:rsidRPr="00B44F26">
        <w:rPr>
          <w:szCs w:val="18"/>
        </w:rPr>
        <w:t>, decision adopted on 14</w:t>
      </w:r>
      <w:r w:rsidR="006B4DF5">
        <w:rPr>
          <w:szCs w:val="18"/>
        </w:rPr>
        <w:t> </w:t>
      </w:r>
      <w:r w:rsidRPr="00B44F26">
        <w:rPr>
          <w:szCs w:val="18"/>
        </w:rPr>
        <w:t xml:space="preserve">May 2010, para. 9.4; No. 343/2008, </w:t>
      </w:r>
      <w:r w:rsidRPr="00B44F26">
        <w:rPr>
          <w:i/>
          <w:iCs/>
          <w:szCs w:val="18"/>
        </w:rPr>
        <w:t>Kalonzo v. Canada</w:t>
      </w:r>
      <w:r w:rsidRPr="00B44F26">
        <w:rPr>
          <w:szCs w:val="18"/>
        </w:rPr>
        <w:t>, decision adopted on 18 May 2012, para.</w:t>
      </w:r>
      <w:r w:rsidR="006B4DF5">
        <w:rPr>
          <w:szCs w:val="18"/>
        </w:rPr>
        <w:t> </w:t>
      </w:r>
      <w:r w:rsidRPr="00B44F26">
        <w:rPr>
          <w:szCs w:val="18"/>
        </w:rPr>
        <w:t xml:space="preserve">9.3; and No. 414/2010, </w:t>
      </w:r>
      <w:r w:rsidRPr="00B44F26">
        <w:rPr>
          <w:i/>
          <w:szCs w:val="18"/>
        </w:rPr>
        <w:t>N.T.W. v. Switzerland</w:t>
      </w:r>
      <w:r w:rsidRPr="00B44F26">
        <w:rPr>
          <w:szCs w:val="18"/>
        </w:rPr>
        <w:t xml:space="preserve">, decision adopted on 16 May 2012, para. 7.3. </w:t>
      </w:r>
    </w:p>
  </w:footnote>
  <w:footnote w:id="12">
    <w:p w:rsidR="00AA4CBD" w:rsidRPr="00B44F26" w:rsidRDefault="00AA4CBD" w:rsidP="00B44F26">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t xml:space="preserve">See, inter alia, communication No. 356/2008, </w:t>
      </w:r>
      <w:r w:rsidRPr="00B44F26">
        <w:rPr>
          <w:i/>
          <w:szCs w:val="18"/>
        </w:rPr>
        <w:t>N.S. v. Switzerland</w:t>
      </w:r>
      <w:r w:rsidRPr="00B44F26">
        <w:rPr>
          <w:szCs w:val="18"/>
        </w:rPr>
        <w:t xml:space="preserve">, decision adopted on 6 May 2010. </w:t>
      </w:r>
    </w:p>
  </w:footnote>
  <w:footnote w:id="13">
    <w:p w:rsidR="00AA4CBD" w:rsidRPr="00B44F26" w:rsidRDefault="00AA4CBD" w:rsidP="009A4FC9">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t xml:space="preserve">See, for example, communications No. 426/2010, </w:t>
      </w:r>
      <w:r w:rsidRPr="00B44F26">
        <w:rPr>
          <w:i/>
          <w:iCs/>
          <w:szCs w:val="18"/>
        </w:rPr>
        <w:t xml:space="preserve">R.D. </w:t>
      </w:r>
      <w:r w:rsidRPr="00B44F26">
        <w:rPr>
          <w:szCs w:val="18"/>
        </w:rPr>
        <w:t>v.</w:t>
      </w:r>
      <w:r w:rsidRPr="00B44F26">
        <w:rPr>
          <w:i/>
          <w:iCs/>
          <w:szCs w:val="18"/>
        </w:rPr>
        <w:t xml:space="preserve"> Switzerland</w:t>
      </w:r>
      <w:r w:rsidRPr="00B44F26">
        <w:rPr>
          <w:szCs w:val="18"/>
        </w:rPr>
        <w:t xml:space="preserve">, decision of 8 November 2013, para. 9.2; and No. 591/2014, </w:t>
      </w:r>
      <w:r w:rsidRPr="00B44F26">
        <w:rPr>
          <w:i/>
          <w:szCs w:val="18"/>
        </w:rPr>
        <w:t>K. v. Australia</w:t>
      </w:r>
      <w:r w:rsidRPr="00B44F26">
        <w:rPr>
          <w:szCs w:val="18"/>
        </w:rPr>
        <w:t xml:space="preserve">, decision of 25 November 2015, para. 10.11. </w:t>
      </w:r>
    </w:p>
  </w:footnote>
  <w:footnote w:id="14">
    <w:p w:rsidR="00AA4CBD" w:rsidRPr="00B44F26" w:rsidRDefault="00AA4CBD" w:rsidP="00B44F26">
      <w:pPr>
        <w:pStyle w:val="FootnoteText"/>
        <w:widowControl w:val="0"/>
        <w:tabs>
          <w:tab w:val="clear" w:pos="1021"/>
          <w:tab w:val="right" w:pos="1020"/>
        </w:tabs>
        <w:rPr>
          <w:szCs w:val="18"/>
        </w:rPr>
      </w:pPr>
      <w:r w:rsidRPr="00B44F26">
        <w:rPr>
          <w:szCs w:val="18"/>
        </w:rPr>
        <w:tab/>
      </w:r>
      <w:r w:rsidRPr="00B44F26">
        <w:rPr>
          <w:rStyle w:val="FootnoteReference"/>
          <w:szCs w:val="18"/>
        </w:rPr>
        <w:footnoteRef/>
      </w:r>
      <w:r w:rsidRPr="00B44F26">
        <w:rPr>
          <w:szCs w:val="18"/>
        </w:rPr>
        <w:tab/>
        <w:t>See the p</w:t>
      </w:r>
      <w:r w:rsidRPr="00B44F26">
        <w:rPr>
          <w:szCs w:val="18"/>
          <w:lang w:val="en-US"/>
        </w:rPr>
        <w:t>reliminary observations and recommendations of the Special Rapporteur on torture and other cruel, inhuman and degrading treatment or punishment, Mr. Juan E. Mendez, on the official joint visit to Sri Lanka – 29 April-7 May 2016.</w:t>
      </w:r>
      <w:r w:rsidRPr="00B44F26">
        <w:rPr>
          <w:szCs w:val="18"/>
        </w:rPr>
        <w:t xml:space="preserve"> </w:t>
      </w:r>
    </w:p>
  </w:footnote>
  <w:footnote w:id="15">
    <w:p w:rsidR="00AA4CBD" w:rsidRPr="00B44F26" w:rsidRDefault="006B4DF5" w:rsidP="00B44F26">
      <w:pPr>
        <w:pStyle w:val="FootnoteText"/>
        <w:widowControl w:val="0"/>
        <w:rPr>
          <w:szCs w:val="18"/>
        </w:rPr>
      </w:pPr>
      <w:r>
        <w:rPr>
          <w:szCs w:val="18"/>
        </w:rPr>
        <w:tab/>
      </w:r>
      <w:r w:rsidR="00AA4CBD" w:rsidRPr="00B44F26">
        <w:rPr>
          <w:rStyle w:val="FootnoteReference"/>
          <w:szCs w:val="18"/>
        </w:rPr>
        <w:footnoteRef/>
      </w:r>
      <w:r w:rsidR="00AA4CBD" w:rsidRPr="00B44F26">
        <w:rPr>
          <w:szCs w:val="18"/>
        </w:rPr>
        <w:tab/>
        <w:t xml:space="preserve">See </w:t>
      </w:r>
      <w:r w:rsidR="00AA4CBD" w:rsidRPr="00B44F26">
        <w:rPr>
          <w:bCs/>
          <w:szCs w:val="18"/>
        </w:rPr>
        <w:t>Freedom from Torture</w:t>
      </w:r>
      <w:r w:rsidR="00AA4CBD" w:rsidRPr="00B44F26">
        <w:rPr>
          <w:bCs/>
          <w:szCs w:val="18"/>
          <w:lang w:val="en-US"/>
        </w:rPr>
        <w:t>,</w:t>
      </w:r>
      <w:r w:rsidR="00AA4CBD" w:rsidRPr="00B44F26">
        <w:rPr>
          <w:bCs/>
          <w:szCs w:val="18"/>
        </w:rPr>
        <w:t xml:space="preserve"> “</w:t>
      </w:r>
      <w:r w:rsidR="00AA4CBD" w:rsidRPr="00B44F26">
        <w:rPr>
          <w:bCs/>
          <w:iCs/>
          <w:szCs w:val="18"/>
        </w:rPr>
        <w:t>Tainted Peace: Torture in Sri Lanka since May 2009</w:t>
      </w:r>
      <w:r w:rsidR="00AA4CBD" w:rsidRPr="009A4FC9">
        <w:rPr>
          <w:bCs/>
          <w:iCs/>
          <w:szCs w:val="18"/>
        </w:rPr>
        <w:t>”</w:t>
      </w:r>
      <w:r w:rsidR="00AA4CBD" w:rsidRPr="00B44F26">
        <w:rPr>
          <w:bCs/>
          <w:szCs w:val="18"/>
        </w:rPr>
        <w:t>, August 2015,</w:t>
      </w:r>
      <w:r w:rsidR="00AA4CBD" w:rsidRPr="00B44F26">
        <w:rPr>
          <w:rStyle w:val="Hyperlink"/>
          <w:bCs/>
          <w:szCs w:val="18"/>
        </w:rPr>
        <w:t xml:space="preserve"> and </w:t>
      </w:r>
      <w:r w:rsidR="00AA4CBD" w:rsidRPr="00B44F26">
        <w:rPr>
          <w:szCs w:val="18"/>
          <w:lang w:val="en-US"/>
        </w:rPr>
        <w:t>Yasmin Sooka, Bar Human Rights Committee of England and Wales and International Truth and Justice Project, Sri Lanka</w:t>
      </w:r>
      <w:r w:rsidR="00A600FE" w:rsidRPr="00B44F26">
        <w:rPr>
          <w:szCs w:val="18"/>
          <w:lang w:val="en-US"/>
        </w:rPr>
        <w:t>,</w:t>
      </w:r>
      <w:r w:rsidR="00AA4CBD" w:rsidRPr="00B44F26">
        <w:rPr>
          <w:szCs w:val="18"/>
          <w:lang w:val="en-US"/>
        </w:rPr>
        <w:t xml:space="preserve"> </w:t>
      </w:r>
      <w:r w:rsidR="00A600FE" w:rsidRPr="00B44F26">
        <w:rPr>
          <w:szCs w:val="18"/>
          <w:lang w:val="en-US"/>
        </w:rPr>
        <w:t>“</w:t>
      </w:r>
      <w:r w:rsidR="00AA4CBD" w:rsidRPr="00B44F26">
        <w:rPr>
          <w:iCs/>
          <w:szCs w:val="18"/>
          <w:lang w:val="en-US"/>
        </w:rPr>
        <w:t xml:space="preserve">An </w:t>
      </w:r>
      <w:r w:rsidR="00A600FE" w:rsidRPr="00B44F26">
        <w:rPr>
          <w:iCs/>
          <w:szCs w:val="18"/>
          <w:lang w:val="en-US"/>
        </w:rPr>
        <w:t>u</w:t>
      </w:r>
      <w:r w:rsidR="00AA4CBD" w:rsidRPr="00B44F26">
        <w:rPr>
          <w:iCs/>
          <w:szCs w:val="18"/>
          <w:lang w:val="en-US"/>
        </w:rPr>
        <w:t xml:space="preserve">nfinished </w:t>
      </w:r>
      <w:r w:rsidR="00A600FE" w:rsidRPr="00B44F26">
        <w:rPr>
          <w:iCs/>
          <w:szCs w:val="18"/>
          <w:lang w:val="en-US"/>
        </w:rPr>
        <w:t>w</w:t>
      </w:r>
      <w:r w:rsidR="00AA4CBD" w:rsidRPr="00B44F26">
        <w:rPr>
          <w:iCs/>
          <w:szCs w:val="18"/>
          <w:lang w:val="en-US"/>
        </w:rPr>
        <w:t>ar</w:t>
      </w:r>
      <w:r w:rsidR="00A600FE" w:rsidRPr="00B44F26">
        <w:rPr>
          <w:iCs/>
          <w:szCs w:val="18"/>
          <w:lang w:val="en-US"/>
        </w:rPr>
        <w:t>:</w:t>
      </w:r>
      <w:r w:rsidR="00AA4CBD" w:rsidRPr="00B44F26">
        <w:rPr>
          <w:iCs/>
          <w:szCs w:val="18"/>
          <w:lang w:val="en-US"/>
        </w:rPr>
        <w:t xml:space="preserve"> </w:t>
      </w:r>
      <w:r w:rsidR="00A600FE" w:rsidRPr="00B44F26">
        <w:rPr>
          <w:iCs/>
          <w:szCs w:val="18"/>
          <w:lang w:val="en-US"/>
        </w:rPr>
        <w:t>t</w:t>
      </w:r>
      <w:r w:rsidR="00AA4CBD" w:rsidRPr="00B44F26">
        <w:rPr>
          <w:iCs/>
          <w:szCs w:val="18"/>
          <w:lang w:val="en-US"/>
        </w:rPr>
        <w:t xml:space="preserve">orture and </w:t>
      </w:r>
      <w:r w:rsidR="00A600FE" w:rsidRPr="00B44F26">
        <w:rPr>
          <w:iCs/>
          <w:szCs w:val="18"/>
          <w:lang w:val="en-US"/>
        </w:rPr>
        <w:t>s</w:t>
      </w:r>
      <w:r w:rsidR="00AA4CBD" w:rsidRPr="00B44F26">
        <w:rPr>
          <w:iCs/>
          <w:szCs w:val="18"/>
          <w:lang w:val="en-US"/>
        </w:rPr>
        <w:t xml:space="preserve">exual </w:t>
      </w:r>
      <w:r w:rsidR="00A600FE" w:rsidRPr="00B44F26">
        <w:rPr>
          <w:iCs/>
          <w:szCs w:val="18"/>
          <w:lang w:val="en-US"/>
        </w:rPr>
        <w:t>v</w:t>
      </w:r>
      <w:r w:rsidR="00AA4CBD" w:rsidRPr="00B44F26">
        <w:rPr>
          <w:iCs/>
          <w:szCs w:val="18"/>
          <w:lang w:val="en-US"/>
        </w:rPr>
        <w:t>iolence in Sri Lanka 2009-2014</w:t>
      </w:r>
      <w:r w:rsidR="00A600FE" w:rsidRPr="00B44F26">
        <w:rPr>
          <w:iCs/>
          <w:szCs w:val="18"/>
          <w:lang w:val="en-US"/>
        </w:rPr>
        <w:t>”</w:t>
      </w:r>
      <w:r w:rsidR="00AA4CBD" w:rsidRPr="00B44F26">
        <w:rPr>
          <w:iCs/>
          <w:szCs w:val="18"/>
          <w:lang w:val="en-US"/>
        </w:rPr>
        <w:t>,</w:t>
      </w:r>
      <w:r w:rsidR="00AA4CBD" w:rsidRPr="00B44F26">
        <w:rPr>
          <w:szCs w:val="18"/>
          <w:lang w:val="en-US"/>
        </w:rPr>
        <w:t xml:space="preserve"> March 2014.</w:t>
      </w:r>
    </w:p>
  </w:footnote>
  <w:footnote w:id="16">
    <w:p w:rsidR="00AA4CBD" w:rsidRPr="00B44F26" w:rsidRDefault="006B4DF5" w:rsidP="00B44F26">
      <w:pPr>
        <w:pStyle w:val="FootnoteText"/>
        <w:widowControl w:val="0"/>
        <w:rPr>
          <w:szCs w:val="18"/>
        </w:rPr>
      </w:pPr>
      <w:r>
        <w:rPr>
          <w:szCs w:val="18"/>
        </w:rPr>
        <w:tab/>
      </w:r>
      <w:r w:rsidR="00AA4CBD" w:rsidRPr="00B44F26">
        <w:rPr>
          <w:rStyle w:val="FootnoteReference"/>
          <w:szCs w:val="18"/>
        </w:rPr>
        <w:footnoteRef/>
      </w:r>
      <w:r w:rsidR="00AA4CBD" w:rsidRPr="00B44F26">
        <w:rPr>
          <w:szCs w:val="18"/>
        </w:rPr>
        <w:tab/>
        <w:t xml:space="preserve">See communication No. 628/2014, </w:t>
      </w:r>
      <w:r w:rsidR="00AA4CBD" w:rsidRPr="00B44F26">
        <w:rPr>
          <w:i/>
          <w:szCs w:val="18"/>
        </w:rPr>
        <w:t>J.N. v. Denmark</w:t>
      </w:r>
      <w:r w:rsidR="00AA4CBD" w:rsidRPr="00B44F26">
        <w:rPr>
          <w:szCs w:val="18"/>
        </w:rPr>
        <w:t>, decision of 13 May 2016, para. 7.9.</w:t>
      </w:r>
    </w:p>
  </w:footnote>
  <w:footnote w:id="17">
    <w:p w:rsidR="00AA4CBD" w:rsidRPr="00B44F26" w:rsidRDefault="00AA4CBD" w:rsidP="00B44F26">
      <w:pPr>
        <w:pStyle w:val="FootnoteText"/>
        <w:widowControl w:val="0"/>
        <w:rPr>
          <w:szCs w:val="18"/>
        </w:rPr>
      </w:pPr>
      <w:r w:rsidRPr="00B44F26">
        <w:rPr>
          <w:szCs w:val="18"/>
        </w:rPr>
        <w:tab/>
      </w:r>
      <w:r w:rsidRPr="00B44F26">
        <w:rPr>
          <w:rStyle w:val="FootnoteReference"/>
          <w:szCs w:val="18"/>
        </w:rPr>
        <w:footnoteRef/>
      </w:r>
      <w:r w:rsidRPr="00B44F26">
        <w:rPr>
          <w:szCs w:val="18"/>
        </w:rPr>
        <w:tab/>
        <w:t xml:space="preserve">See </w:t>
      </w:r>
      <w:r w:rsidR="00A600FE" w:rsidRPr="00B44F26">
        <w:rPr>
          <w:i/>
          <w:iCs/>
          <w:szCs w:val="18"/>
        </w:rPr>
        <w:t>UNHCR Eligibility Guidelines for Assessing the International Protection Needs of Asylum Seekers from Sri Lanka</w:t>
      </w:r>
      <w:r w:rsidR="00A600FE" w:rsidRPr="009A4FC9">
        <w:rPr>
          <w:szCs w:val="18"/>
        </w:rPr>
        <w:t xml:space="preserve"> (21 December 2012)</w:t>
      </w:r>
      <w:r w:rsidRPr="00B44F26">
        <w:rPr>
          <w:szCs w:val="18"/>
        </w:rPr>
        <w:t>, p. 19</w:t>
      </w:r>
      <w:r w:rsidRPr="00B44F26">
        <w:rPr>
          <w:rStyle w:val="apple-converted-space"/>
          <w:szCs w:val="18"/>
          <w:shd w:val="clear" w:color="auto" w:fill="F9F9F9"/>
        </w:rPr>
        <w:t xml:space="preserve">. </w:t>
      </w:r>
    </w:p>
  </w:footnote>
  <w:footnote w:id="18">
    <w:p w:rsidR="00AA4CBD" w:rsidRPr="00B44F26" w:rsidRDefault="00AA4CBD" w:rsidP="009A4FC9">
      <w:pPr>
        <w:pStyle w:val="FootnoteText"/>
        <w:widowControl w:val="0"/>
        <w:rPr>
          <w:szCs w:val="18"/>
        </w:rPr>
      </w:pPr>
      <w:r w:rsidRPr="00B44F26">
        <w:rPr>
          <w:szCs w:val="18"/>
        </w:rPr>
        <w:tab/>
      </w:r>
      <w:r w:rsidRPr="00B44F26">
        <w:rPr>
          <w:rStyle w:val="FootnoteReference"/>
          <w:szCs w:val="18"/>
        </w:rPr>
        <w:footnoteRef/>
      </w:r>
      <w:r w:rsidRPr="00B44F26">
        <w:rPr>
          <w:szCs w:val="18"/>
        </w:rPr>
        <w:tab/>
        <w:t xml:space="preserve">See communication No. 429/2010, </w:t>
      </w:r>
      <w:r w:rsidRPr="00B44F26">
        <w:rPr>
          <w:i/>
          <w:iCs/>
          <w:szCs w:val="18"/>
        </w:rPr>
        <w:t>Sivagnanaratnam</w:t>
      </w:r>
      <w:r w:rsidRPr="00B44F26">
        <w:rPr>
          <w:i/>
          <w:szCs w:val="18"/>
          <w:lang w:val="en"/>
        </w:rPr>
        <w:t xml:space="preserve"> v. Denmark</w:t>
      </w:r>
      <w:r w:rsidRPr="00B44F26">
        <w:rPr>
          <w:szCs w:val="18"/>
          <w:lang w:val="en"/>
        </w:rPr>
        <w:t xml:space="preserve">, decision adopted on 11 November 2013, paras. 10.5 and 10.6.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BD" w:rsidRPr="00A511AC" w:rsidRDefault="00AA4CBD">
    <w:pPr>
      <w:pStyle w:val="Header"/>
    </w:pPr>
    <w:r>
      <w:t>CAT/C/58/D/608/2014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BD" w:rsidRPr="00A511AC" w:rsidRDefault="00AA4CBD" w:rsidP="00A511AC">
    <w:pPr>
      <w:pStyle w:val="Header"/>
      <w:jc w:val="right"/>
    </w:pPr>
    <w:r>
      <w:t>CAT/C/58/D/608/2014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284E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C6A3F"/>
    <w:multiLevelType w:val="multilevel"/>
    <w:tmpl w:val="E8406DE6"/>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4FA948BC"/>
    <w:multiLevelType w:val="hybridMultilevel"/>
    <w:tmpl w:val="C2863270"/>
    <w:lvl w:ilvl="0" w:tplc="F4BC81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AC"/>
    <w:rsid w:val="000004D1"/>
    <w:rsid w:val="00001045"/>
    <w:rsid w:val="000019E0"/>
    <w:rsid w:val="0000248A"/>
    <w:rsid w:val="00003A56"/>
    <w:rsid w:val="00003E08"/>
    <w:rsid w:val="000049AF"/>
    <w:rsid w:val="00005D37"/>
    <w:rsid w:val="00011167"/>
    <w:rsid w:val="000117DB"/>
    <w:rsid w:val="000131EA"/>
    <w:rsid w:val="00015214"/>
    <w:rsid w:val="00020409"/>
    <w:rsid w:val="0002174C"/>
    <w:rsid w:val="00023A20"/>
    <w:rsid w:val="00023CA2"/>
    <w:rsid w:val="0002600F"/>
    <w:rsid w:val="000271CE"/>
    <w:rsid w:val="000302A4"/>
    <w:rsid w:val="00030C73"/>
    <w:rsid w:val="00031088"/>
    <w:rsid w:val="000318EA"/>
    <w:rsid w:val="00031FDE"/>
    <w:rsid w:val="0003246E"/>
    <w:rsid w:val="00035983"/>
    <w:rsid w:val="00037371"/>
    <w:rsid w:val="00037AE1"/>
    <w:rsid w:val="00042F7C"/>
    <w:rsid w:val="000435FF"/>
    <w:rsid w:val="00050F6B"/>
    <w:rsid w:val="000522F5"/>
    <w:rsid w:val="0005234F"/>
    <w:rsid w:val="00054BCB"/>
    <w:rsid w:val="00057E97"/>
    <w:rsid w:val="00064058"/>
    <w:rsid w:val="00066599"/>
    <w:rsid w:val="00067DC2"/>
    <w:rsid w:val="0007032D"/>
    <w:rsid w:val="000706D9"/>
    <w:rsid w:val="00071434"/>
    <w:rsid w:val="0007294D"/>
    <w:rsid w:val="00072C8C"/>
    <w:rsid w:val="00073205"/>
    <w:rsid w:val="000733B5"/>
    <w:rsid w:val="00073F42"/>
    <w:rsid w:val="00074071"/>
    <w:rsid w:val="000748C8"/>
    <w:rsid w:val="0007622D"/>
    <w:rsid w:val="00076FDF"/>
    <w:rsid w:val="00077C46"/>
    <w:rsid w:val="00077D81"/>
    <w:rsid w:val="00081815"/>
    <w:rsid w:val="0008393B"/>
    <w:rsid w:val="00083FC1"/>
    <w:rsid w:val="00084FF6"/>
    <w:rsid w:val="00086665"/>
    <w:rsid w:val="000873DF"/>
    <w:rsid w:val="00090DF8"/>
    <w:rsid w:val="00092D14"/>
    <w:rsid w:val="00092E5D"/>
    <w:rsid w:val="000931C0"/>
    <w:rsid w:val="00094B47"/>
    <w:rsid w:val="00095D3F"/>
    <w:rsid w:val="0009696B"/>
    <w:rsid w:val="00096F5E"/>
    <w:rsid w:val="00097965"/>
    <w:rsid w:val="00097EC6"/>
    <w:rsid w:val="000A2753"/>
    <w:rsid w:val="000A2B48"/>
    <w:rsid w:val="000A3518"/>
    <w:rsid w:val="000A4C7A"/>
    <w:rsid w:val="000A4DF3"/>
    <w:rsid w:val="000A5B99"/>
    <w:rsid w:val="000A5E21"/>
    <w:rsid w:val="000A61C1"/>
    <w:rsid w:val="000A6C82"/>
    <w:rsid w:val="000A7C36"/>
    <w:rsid w:val="000B175B"/>
    <w:rsid w:val="000B1D28"/>
    <w:rsid w:val="000B1EB5"/>
    <w:rsid w:val="000B2EC8"/>
    <w:rsid w:val="000B30BF"/>
    <w:rsid w:val="000B3A0F"/>
    <w:rsid w:val="000B4EF7"/>
    <w:rsid w:val="000B6B92"/>
    <w:rsid w:val="000B7CB3"/>
    <w:rsid w:val="000C27A9"/>
    <w:rsid w:val="000C2C03"/>
    <w:rsid w:val="000C2D2E"/>
    <w:rsid w:val="000C308E"/>
    <w:rsid w:val="000C3ACC"/>
    <w:rsid w:val="000C59A2"/>
    <w:rsid w:val="000C5D10"/>
    <w:rsid w:val="000D596E"/>
    <w:rsid w:val="000D68C8"/>
    <w:rsid w:val="000D7472"/>
    <w:rsid w:val="000E0415"/>
    <w:rsid w:val="000E1ED8"/>
    <w:rsid w:val="000E25B8"/>
    <w:rsid w:val="000E2F6D"/>
    <w:rsid w:val="000E46FA"/>
    <w:rsid w:val="000E64DD"/>
    <w:rsid w:val="000E65BD"/>
    <w:rsid w:val="000E67D7"/>
    <w:rsid w:val="000F14E0"/>
    <w:rsid w:val="000F38DA"/>
    <w:rsid w:val="000F6DDA"/>
    <w:rsid w:val="001023E8"/>
    <w:rsid w:val="00103963"/>
    <w:rsid w:val="00103BB9"/>
    <w:rsid w:val="001049F0"/>
    <w:rsid w:val="00104EF9"/>
    <w:rsid w:val="001103AA"/>
    <w:rsid w:val="00111139"/>
    <w:rsid w:val="00112C77"/>
    <w:rsid w:val="00114166"/>
    <w:rsid w:val="00115704"/>
    <w:rsid w:val="00117045"/>
    <w:rsid w:val="0011728E"/>
    <w:rsid w:val="0011793F"/>
    <w:rsid w:val="00120B00"/>
    <w:rsid w:val="001217A9"/>
    <w:rsid w:val="00121D39"/>
    <w:rsid w:val="00124B27"/>
    <w:rsid w:val="00125038"/>
    <w:rsid w:val="00125773"/>
    <w:rsid w:val="001258FD"/>
    <w:rsid w:val="00125ED9"/>
    <w:rsid w:val="001305B1"/>
    <w:rsid w:val="00133217"/>
    <w:rsid w:val="00134DAB"/>
    <w:rsid w:val="001419D6"/>
    <w:rsid w:val="00144DA6"/>
    <w:rsid w:val="001450BD"/>
    <w:rsid w:val="00145655"/>
    <w:rsid w:val="00145D48"/>
    <w:rsid w:val="00145D97"/>
    <w:rsid w:val="0014608A"/>
    <w:rsid w:val="00153179"/>
    <w:rsid w:val="001532C2"/>
    <w:rsid w:val="00153368"/>
    <w:rsid w:val="00154F34"/>
    <w:rsid w:val="00155064"/>
    <w:rsid w:val="00156034"/>
    <w:rsid w:val="00160BB1"/>
    <w:rsid w:val="00160D99"/>
    <w:rsid w:val="001613D0"/>
    <w:rsid w:val="001613D4"/>
    <w:rsid w:val="0016179A"/>
    <w:rsid w:val="00161EA6"/>
    <w:rsid w:val="00162A94"/>
    <w:rsid w:val="0016417F"/>
    <w:rsid w:val="00164401"/>
    <w:rsid w:val="00164A60"/>
    <w:rsid w:val="00165F3A"/>
    <w:rsid w:val="00167E53"/>
    <w:rsid w:val="0017003E"/>
    <w:rsid w:val="00170D93"/>
    <w:rsid w:val="001719B5"/>
    <w:rsid w:val="00172118"/>
    <w:rsid w:val="0017462B"/>
    <w:rsid w:val="001774F2"/>
    <w:rsid w:val="00177568"/>
    <w:rsid w:val="0018007A"/>
    <w:rsid w:val="0018281C"/>
    <w:rsid w:val="00182D02"/>
    <w:rsid w:val="00183227"/>
    <w:rsid w:val="00183A58"/>
    <w:rsid w:val="001841DC"/>
    <w:rsid w:val="00184313"/>
    <w:rsid w:val="00184A88"/>
    <w:rsid w:val="00184FAF"/>
    <w:rsid w:val="0018592C"/>
    <w:rsid w:val="00186069"/>
    <w:rsid w:val="001923D2"/>
    <w:rsid w:val="001950F4"/>
    <w:rsid w:val="001967BF"/>
    <w:rsid w:val="00197B02"/>
    <w:rsid w:val="00197BD1"/>
    <w:rsid w:val="00197F23"/>
    <w:rsid w:val="001A1823"/>
    <w:rsid w:val="001A222D"/>
    <w:rsid w:val="001A30AA"/>
    <w:rsid w:val="001A337C"/>
    <w:rsid w:val="001A414A"/>
    <w:rsid w:val="001A4690"/>
    <w:rsid w:val="001A5494"/>
    <w:rsid w:val="001A5CC2"/>
    <w:rsid w:val="001A7088"/>
    <w:rsid w:val="001A7BC7"/>
    <w:rsid w:val="001B07B0"/>
    <w:rsid w:val="001B1F71"/>
    <w:rsid w:val="001B1FE3"/>
    <w:rsid w:val="001B2D41"/>
    <w:rsid w:val="001B3179"/>
    <w:rsid w:val="001B3CB7"/>
    <w:rsid w:val="001B4B04"/>
    <w:rsid w:val="001B535F"/>
    <w:rsid w:val="001B5922"/>
    <w:rsid w:val="001B6595"/>
    <w:rsid w:val="001B7844"/>
    <w:rsid w:val="001C0242"/>
    <w:rsid w:val="001C270A"/>
    <w:rsid w:val="001C3A5C"/>
    <w:rsid w:val="001C450E"/>
    <w:rsid w:val="001C51A6"/>
    <w:rsid w:val="001C5995"/>
    <w:rsid w:val="001C6663"/>
    <w:rsid w:val="001C7895"/>
    <w:rsid w:val="001D041E"/>
    <w:rsid w:val="001D047C"/>
    <w:rsid w:val="001D0C8C"/>
    <w:rsid w:val="001D26DF"/>
    <w:rsid w:val="001D3813"/>
    <w:rsid w:val="001D3A03"/>
    <w:rsid w:val="001D592F"/>
    <w:rsid w:val="001D5E67"/>
    <w:rsid w:val="001E057E"/>
    <w:rsid w:val="001E136C"/>
    <w:rsid w:val="001E28D9"/>
    <w:rsid w:val="001E28EC"/>
    <w:rsid w:val="001E3886"/>
    <w:rsid w:val="001E5F27"/>
    <w:rsid w:val="001E673A"/>
    <w:rsid w:val="001E79A5"/>
    <w:rsid w:val="001E7F6E"/>
    <w:rsid w:val="001F00F4"/>
    <w:rsid w:val="001F13D2"/>
    <w:rsid w:val="001F13ED"/>
    <w:rsid w:val="001F1E67"/>
    <w:rsid w:val="001F23E0"/>
    <w:rsid w:val="001F2BE1"/>
    <w:rsid w:val="001F3F94"/>
    <w:rsid w:val="001F4697"/>
    <w:rsid w:val="001F5DFC"/>
    <w:rsid w:val="001F6D59"/>
    <w:rsid w:val="001F6F65"/>
    <w:rsid w:val="002010DD"/>
    <w:rsid w:val="00201AC9"/>
    <w:rsid w:val="00202824"/>
    <w:rsid w:val="00202DA8"/>
    <w:rsid w:val="00203A90"/>
    <w:rsid w:val="0020758E"/>
    <w:rsid w:val="00207B35"/>
    <w:rsid w:val="002118EC"/>
    <w:rsid w:val="00211E0B"/>
    <w:rsid w:val="00212536"/>
    <w:rsid w:val="002125F8"/>
    <w:rsid w:val="00212A2F"/>
    <w:rsid w:val="00212AE3"/>
    <w:rsid w:val="002148FA"/>
    <w:rsid w:val="00214978"/>
    <w:rsid w:val="00215341"/>
    <w:rsid w:val="0021559E"/>
    <w:rsid w:val="00216CD2"/>
    <w:rsid w:val="0022272C"/>
    <w:rsid w:val="0022391B"/>
    <w:rsid w:val="00223B3B"/>
    <w:rsid w:val="00223ECF"/>
    <w:rsid w:val="00223F37"/>
    <w:rsid w:val="0022463A"/>
    <w:rsid w:val="00224E23"/>
    <w:rsid w:val="002316AD"/>
    <w:rsid w:val="002318D4"/>
    <w:rsid w:val="00233142"/>
    <w:rsid w:val="0023386B"/>
    <w:rsid w:val="0023421E"/>
    <w:rsid w:val="00235A91"/>
    <w:rsid w:val="00236591"/>
    <w:rsid w:val="0023696E"/>
    <w:rsid w:val="00237E2D"/>
    <w:rsid w:val="002430BF"/>
    <w:rsid w:val="00246276"/>
    <w:rsid w:val="00250242"/>
    <w:rsid w:val="00251D39"/>
    <w:rsid w:val="00252428"/>
    <w:rsid w:val="0025478C"/>
    <w:rsid w:val="00254C2C"/>
    <w:rsid w:val="0025629A"/>
    <w:rsid w:val="00260528"/>
    <w:rsid w:val="002605EB"/>
    <w:rsid w:val="0026101A"/>
    <w:rsid w:val="00261765"/>
    <w:rsid w:val="00262E7C"/>
    <w:rsid w:val="00263BD4"/>
    <w:rsid w:val="00265638"/>
    <w:rsid w:val="00266282"/>
    <w:rsid w:val="002679D7"/>
    <w:rsid w:val="00267CF0"/>
    <w:rsid w:val="00267F5F"/>
    <w:rsid w:val="00270071"/>
    <w:rsid w:val="00272507"/>
    <w:rsid w:val="00273003"/>
    <w:rsid w:val="00275825"/>
    <w:rsid w:val="002759D5"/>
    <w:rsid w:val="00276395"/>
    <w:rsid w:val="002763D6"/>
    <w:rsid w:val="002764C7"/>
    <w:rsid w:val="00276D04"/>
    <w:rsid w:val="00277685"/>
    <w:rsid w:val="00281903"/>
    <w:rsid w:val="00282485"/>
    <w:rsid w:val="002834B6"/>
    <w:rsid w:val="0028447C"/>
    <w:rsid w:val="00286B4D"/>
    <w:rsid w:val="002920C3"/>
    <w:rsid w:val="0029244B"/>
    <w:rsid w:val="0029275C"/>
    <w:rsid w:val="00292889"/>
    <w:rsid w:val="002955D6"/>
    <w:rsid w:val="002966B5"/>
    <w:rsid w:val="002966E0"/>
    <w:rsid w:val="0029771C"/>
    <w:rsid w:val="00297799"/>
    <w:rsid w:val="00297ACF"/>
    <w:rsid w:val="002A03F1"/>
    <w:rsid w:val="002A08AC"/>
    <w:rsid w:val="002A1FB8"/>
    <w:rsid w:val="002A20D3"/>
    <w:rsid w:val="002A369B"/>
    <w:rsid w:val="002A4230"/>
    <w:rsid w:val="002A5248"/>
    <w:rsid w:val="002A6197"/>
    <w:rsid w:val="002A6A24"/>
    <w:rsid w:val="002A6F40"/>
    <w:rsid w:val="002B1DAB"/>
    <w:rsid w:val="002B3C39"/>
    <w:rsid w:val="002B3EE4"/>
    <w:rsid w:val="002B466B"/>
    <w:rsid w:val="002B4F65"/>
    <w:rsid w:val="002B780D"/>
    <w:rsid w:val="002C1C6C"/>
    <w:rsid w:val="002C3424"/>
    <w:rsid w:val="002C3D60"/>
    <w:rsid w:val="002C3F95"/>
    <w:rsid w:val="002C573B"/>
    <w:rsid w:val="002C6CC0"/>
    <w:rsid w:val="002C73E1"/>
    <w:rsid w:val="002D2728"/>
    <w:rsid w:val="002D3C1B"/>
    <w:rsid w:val="002D6EE7"/>
    <w:rsid w:val="002D75B6"/>
    <w:rsid w:val="002E076A"/>
    <w:rsid w:val="002E0D7C"/>
    <w:rsid w:val="002E1FFA"/>
    <w:rsid w:val="002E3A50"/>
    <w:rsid w:val="002E5CDC"/>
    <w:rsid w:val="002E6E16"/>
    <w:rsid w:val="002E78B0"/>
    <w:rsid w:val="002E7EDB"/>
    <w:rsid w:val="002F00AB"/>
    <w:rsid w:val="002F0380"/>
    <w:rsid w:val="002F0FC5"/>
    <w:rsid w:val="002F0FDE"/>
    <w:rsid w:val="002F175C"/>
    <w:rsid w:val="002F1A00"/>
    <w:rsid w:val="002F22BE"/>
    <w:rsid w:val="002F28E1"/>
    <w:rsid w:val="002F3094"/>
    <w:rsid w:val="002F390D"/>
    <w:rsid w:val="002F4A6E"/>
    <w:rsid w:val="002F5DA0"/>
    <w:rsid w:val="002F6324"/>
    <w:rsid w:val="003018B6"/>
    <w:rsid w:val="00301D28"/>
    <w:rsid w:val="00302BF5"/>
    <w:rsid w:val="003038AE"/>
    <w:rsid w:val="00306A8D"/>
    <w:rsid w:val="00311E5E"/>
    <w:rsid w:val="00312E1A"/>
    <w:rsid w:val="003135B1"/>
    <w:rsid w:val="00315043"/>
    <w:rsid w:val="00315A85"/>
    <w:rsid w:val="00317488"/>
    <w:rsid w:val="003212DF"/>
    <w:rsid w:val="00321B58"/>
    <w:rsid w:val="003223F1"/>
    <w:rsid w:val="003229D8"/>
    <w:rsid w:val="003254F5"/>
    <w:rsid w:val="00325858"/>
    <w:rsid w:val="00326AF8"/>
    <w:rsid w:val="00334038"/>
    <w:rsid w:val="003348A8"/>
    <w:rsid w:val="003357C1"/>
    <w:rsid w:val="00336AF8"/>
    <w:rsid w:val="00340714"/>
    <w:rsid w:val="00341021"/>
    <w:rsid w:val="003424CB"/>
    <w:rsid w:val="00342799"/>
    <w:rsid w:val="00342918"/>
    <w:rsid w:val="00342CC4"/>
    <w:rsid w:val="00343B2C"/>
    <w:rsid w:val="00344420"/>
    <w:rsid w:val="00345000"/>
    <w:rsid w:val="003453E8"/>
    <w:rsid w:val="003460DB"/>
    <w:rsid w:val="00346A65"/>
    <w:rsid w:val="00350241"/>
    <w:rsid w:val="00350CD9"/>
    <w:rsid w:val="00350FF3"/>
    <w:rsid w:val="00352709"/>
    <w:rsid w:val="00353125"/>
    <w:rsid w:val="00353A1B"/>
    <w:rsid w:val="00354FC1"/>
    <w:rsid w:val="0035603B"/>
    <w:rsid w:val="0036519B"/>
    <w:rsid w:val="003656A5"/>
    <w:rsid w:val="003673ED"/>
    <w:rsid w:val="00371178"/>
    <w:rsid w:val="003740F8"/>
    <w:rsid w:val="00374402"/>
    <w:rsid w:val="0037503F"/>
    <w:rsid w:val="003757B0"/>
    <w:rsid w:val="003767C1"/>
    <w:rsid w:val="003772A1"/>
    <w:rsid w:val="00381142"/>
    <w:rsid w:val="00383732"/>
    <w:rsid w:val="00383B35"/>
    <w:rsid w:val="00384FF9"/>
    <w:rsid w:val="00386B4C"/>
    <w:rsid w:val="00392D96"/>
    <w:rsid w:val="00394875"/>
    <w:rsid w:val="00395A27"/>
    <w:rsid w:val="00396E3E"/>
    <w:rsid w:val="003A2618"/>
    <w:rsid w:val="003A2D47"/>
    <w:rsid w:val="003A38BB"/>
    <w:rsid w:val="003A6810"/>
    <w:rsid w:val="003B028C"/>
    <w:rsid w:val="003B1A66"/>
    <w:rsid w:val="003B23EC"/>
    <w:rsid w:val="003B37E8"/>
    <w:rsid w:val="003B4316"/>
    <w:rsid w:val="003C03D1"/>
    <w:rsid w:val="003C1955"/>
    <w:rsid w:val="003C2B2D"/>
    <w:rsid w:val="003C2CC4"/>
    <w:rsid w:val="003C41DF"/>
    <w:rsid w:val="003C4286"/>
    <w:rsid w:val="003C588E"/>
    <w:rsid w:val="003C5E3B"/>
    <w:rsid w:val="003C7624"/>
    <w:rsid w:val="003D0B8B"/>
    <w:rsid w:val="003D2A47"/>
    <w:rsid w:val="003D2B71"/>
    <w:rsid w:val="003D379A"/>
    <w:rsid w:val="003D45E8"/>
    <w:rsid w:val="003D4B23"/>
    <w:rsid w:val="003D5516"/>
    <w:rsid w:val="003D5B67"/>
    <w:rsid w:val="003D6CEF"/>
    <w:rsid w:val="003D7CCC"/>
    <w:rsid w:val="003E0C29"/>
    <w:rsid w:val="003E1DA7"/>
    <w:rsid w:val="003E24CF"/>
    <w:rsid w:val="003E4892"/>
    <w:rsid w:val="003F17B2"/>
    <w:rsid w:val="003F19D8"/>
    <w:rsid w:val="003F19DB"/>
    <w:rsid w:val="003F1DF4"/>
    <w:rsid w:val="003F2508"/>
    <w:rsid w:val="003F2B8A"/>
    <w:rsid w:val="003F2D0F"/>
    <w:rsid w:val="003F4DB3"/>
    <w:rsid w:val="003F75B8"/>
    <w:rsid w:val="0040138E"/>
    <w:rsid w:val="004055B1"/>
    <w:rsid w:val="0040602E"/>
    <w:rsid w:val="00407DBD"/>
    <w:rsid w:val="00410302"/>
    <w:rsid w:val="00410C89"/>
    <w:rsid w:val="00412584"/>
    <w:rsid w:val="004127AE"/>
    <w:rsid w:val="00414EE2"/>
    <w:rsid w:val="00416EAD"/>
    <w:rsid w:val="00416EAF"/>
    <w:rsid w:val="00417383"/>
    <w:rsid w:val="00417B0D"/>
    <w:rsid w:val="0042085D"/>
    <w:rsid w:val="004245B9"/>
    <w:rsid w:val="0042482E"/>
    <w:rsid w:val="004266F1"/>
    <w:rsid w:val="00426B9B"/>
    <w:rsid w:val="00426BC5"/>
    <w:rsid w:val="00426C7C"/>
    <w:rsid w:val="00427CEA"/>
    <w:rsid w:val="00430C3E"/>
    <w:rsid w:val="0043178E"/>
    <w:rsid w:val="0043253B"/>
    <w:rsid w:val="004325CB"/>
    <w:rsid w:val="004339EE"/>
    <w:rsid w:val="00435DFE"/>
    <w:rsid w:val="00440024"/>
    <w:rsid w:val="004405FE"/>
    <w:rsid w:val="00440D27"/>
    <w:rsid w:val="004410DF"/>
    <w:rsid w:val="00441428"/>
    <w:rsid w:val="004428D7"/>
    <w:rsid w:val="00442A83"/>
    <w:rsid w:val="004437F2"/>
    <w:rsid w:val="004446BB"/>
    <w:rsid w:val="00444C17"/>
    <w:rsid w:val="004464C9"/>
    <w:rsid w:val="004473A2"/>
    <w:rsid w:val="0045088A"/>
    <w:rsid w:val="00451164"/>
    <w:rsid w:val="0045280F"/>
    <w:rsid w:val="004535F3"/>
    <w:rsid w:val="0045495B"/>
    <w:rsid w:val="00454975"/>
    <w:rsid w:val="00455450"/>
    <w:rsid w:val="004558CB"/>
    <w:rsid w:val="00457332"/>
    <w:rsid w:val="00461C0E"/>
    <w:rsid w:val="00462ABA"/>
    <w:rsid w:val="004656A5"/>
    <w:rsid w:val="00471601"/>
    <w:rsid w:val="00472CCB"/>
    <w:rsid w:val="0047310D"/>
    <w:rsid w:val="00473EAC"/>
    <w:rsid w:val="00474076"/>
    <w:rsid w:val="004749DF"/>
    <w:rsid w:val="00474FC9"/>
    <w:rsid w:val="00475072"/>
    <w:rsid w:val="0047573B"/>
    <w:rsid w:val="004775CB"/>
    <w:rsid w:val="00481FEC"/>
    <w:rsid w:val="00484C45"/>
    <w:rsid w:val="00490FAB"/>
    <w:rsid w:val="00491956"/>
    <w:rsid w:val="00491C54"/>
    <w:rsid w:val="00493397"/>
    <w:rsid w:val="0049362B"/>
    <w:rsid w:val="00497928"/>
    <w:rsid w:val="004A02B8"/>
    <w:rsid w:val="004A0D32"/>
    <w:rsid w:val="004A163D"/>
    <w:rsid w:val="004A42AF"/>
    <w:rsid w:val="004A536F"/>
    <w:rsid w:val="004A7AAF"/>
    <w:rsid w:val="004B2DE4"/>
    <w:rsid w:val="004B3937"/>
    <w:rsid w:val="004B43C5"/>
    <w:rsid w:val="004B4714"/>
    <w:rsid w:val="004B4C23"/>
    <w:rsid w:val="004B519C"/>
    <w:rsid w:val="004B59D0"/>
    <w:rsid w:val="004B6769"/>
    <w:rsid w:val="004B69BD"/>
    <w:rsid w:val="004B7448"/>
    <w:rsid w:val="004B7802"/>
    <w:rsid w:val="004B7D29"/>
    <w:rsid w:val="004C0373"/>
    <w:rsid w:val="004C12D0"/>
    <w:rsid w:val="004C25DB"/>
    <w:rsid w:val="004C2CDA"/>
    <w:rsid w:val="004C3388"/>
    <w:rsid w:val="004C3BD6"/>
    <w:rsid w:val="004C46DD"/>
    <w:rsid w:val="004C5D50"/>
    <w:rsid w:val="004C5F9A"/>
    <w:rsid w:val="004C6AE0"/>
    <w:rsid w:val="004D0458"/>
    <w:rsid w:val="004D0A17"/>
    <w:rsid w:val="004D0D0F"/>
    <w:rsid w:val="004D1415"/>
    <w:rsid w:val="004D24E4"/>
    <w:rsid w:val="004D2A89"/>
    <w:rsid w:val="004D2BCF"/>
    <w:rsid w:val="004D37FE"/>
    <w:rsid w:val="004D39A4"/>
    <w:rsid w:val="004D4E5D"/>
    <w:rsid w:val="004D5CCE"/>
    <w:rsid w:val="004D7796"/>
    <w:rsid w:val="004E2A48"/>
    <w:rsid w:val="004E7C97"/>
    <w:rsid w:val="004F1B75"/>
    <w:rsid w:val="004F34A5"/>
    <w:rsid w:val="004F3CAF"/>
    <w:rsid w:val="004F4240"/>
    <w:rsid w:val="004F46A3"/>
    <w:rsid w:val="004F5090"/>
    <w:rsid w:val="004F5677"/>
    <w:rsid w:val="004F5F97"/>
    <w:rsid w:val="004F6926"/>
    <w:rsid w:val="004F6AA6"/>
    <w:rsid w:val="004F7C31"/>
    <w:rsid w:val="004F7CA5"/>
    <w:rsid w:val="00502437"/>
    <w:rsid w:val="00502DEE"/>
    <w:rsid w:val="005045AB"/>
    <w:rsid w:val="00504886"/>
    <w:rsid w:val="00505ACD"/>
    <w:rsid w:val="00506043"/>
    <w:rsid w:val="005064FD"/>
    <w:rsid w:val="00507656"/>
    <w:rsid w:val="0051256E"/>
    <w:rsid w:val="0051698B"/>
    <w:rsid w:val="0051724E"/>
    <w:rsid w:val="00520565"/>
    <w:rsid w:val="00520FD2"/>
    <w:rsid w:val="00521092"/>
    <w:rsid w:val="0052136D"/>
    <w:rsid w:val="00523029"/>
    <w:rsid w:val="00523234"/>
    <w:rsid w:val="005241A4"/>
    <w:rsid w:val="005248D0"/>
    <w:rsid w:val="005250C8"/>
    <w:rsid w:val="005259A9"/>
    <w:rsid w:val="005270CC"/>
    <w:rsid w:val="0052750B"/>
    <w:rsid w:val="00527538"/>
    <w:rsid w:val="0052775E"/>
    <w:rsid w:val="005306A4"/>
    <w:rsid w:val="00531261"/>
    <w:rsid w:val="005315F3"/>
    <w:rsid w:val="00531EF8"/>
    <w:rsid w:val="005344D3"/>
    <w:rsid w:val="00534C0C"/>
    <w:rsid w:val="00536AC0"/>
    <w:rsid w:val="00536E88"/>
    <w:rsid w:val="005413AF"/>
    <w:rsid w:val="00541F18"/>
    <w:rsid w:val="005420F2"/>
    <w:rsid w:val="00542613"/>
    <w:rsid w:val="00542944"/>
    <w:rsid w:val="005438C4"/>
    <w:rsid w:val="00544EE8"/>
    <w:rsid w:val="0054716C"/>
    <w:rsid w:val="00547C0D"/>
    <w:rsid w:val="005502A2"/>
    <w:rsid w:val="00550958"/>
    <w:rsid w:val="00551D1F"/>
    <w:rsid w:val="00552A4A"/>
    <w:rsid w:val="00553556"/>
    <w:rsid w:val="0055437E"/>
    <w:rsid w:val="00554DA6"/>
    <w:rsid w:val="005561E0"/>
    <w:rsid w:val="00556672"/>
    <w:rsid w:val="00556C1D"/>
    <w:rsid w:val="0055750F"/>
    <w:rsid w:val="005628B6"/>
    <w:rsid w:val="005700FF"/>
    <w:rsid w:val="0057284A"/>
    <w:rsid w:val="00572F7F"/>
    <w:rsid w:val="00573CA4"/>
    <w:rsid w:val="00575196"/>
    <w:rsid w:val="005751DE"/>
    <w:rsid w:val="005777A5"/>
    <w:rsid w:val="00580235"/>
    <w:rsid w:val="0058191D"/>
    <w:rsid w:val="00583244"/>
    <w:rsid w:val="00584192"/>
    <w:rsid w:val="00584405"/>
    <w:rsid w:val="0058520C"/>
    <w:rsid w:val="0059718D"/>
    <w:rsid w:val="0059782E"/>
    <w:rsid w:val="005A438D"/>
    <w:rsid w:val="005A6444"/>
    <w:rsid w:val="005A763F"/>
    <w:rsid w:val="005B0F0E"/>
    <w:rsid w:val="005B283F"/>
    <w:rsid w:val="005B3DB3"/>
    <w:rsid w:val="005B52ED"/>
    <w:rsid w:val="005B6772"/>
    <w:rsid w:val="005B6CB4"/>
    <w:rsid w:val="005B70FC"/>
    <w:rsid w:val="005B76C0"/>
    <w:rsid w:val="005C0805"/>
    <w:rsid w:val="005C0AAD"/>
    <w:rsid w:val="005C10D9"/>
    <w:rsid w:val="005C1E6B"/>
    <w:rsid w:val="005C2733"/>
    <w:rsid w:val="005C3BF4"/>
    <w:rsid w:val="005C49A6"/>
    <w:rsid w:val="005C522B"/>
    <w:rsid w:val="005C56BB"/>
    <w:rsid w:val="005C68A6"/>
    <w:rsid w:val="005C7816"/>
    <w:rsid w:val="005D0619"/>
    <w:rsid w:val="005D0D8D"/>
    <w:rsid w:val="005D0FDF"/>
    <w:rsid w:val="005D2823"/>
    <w:rsid w:val="005D4382"/>
    <w:rsid w:val="005D469F"/>
    <w:rsid w:val="005D4726"/>
    <w:rsid w:val="005D4751"/>
    <w:rsid w:val="005D58E4"/>
    <w:rsid w:val="005D6730"/>
    <w:rsid w:val="005D6D7A"/>
    <w:rsid w:val="005D7505"/>
    <w:rsid w:val="005E063B"/>
    <w:rsid w:val="005E1864"/>
    <w:rsid w:val="005E2849"/>
    <w:rsid w:val="005E286D"/>
    <w:rsid w:val="005E2FCB"/>
    <w:rsid w:val="005E4484"/>
    <w:rsid w:val="005E57A8"/>
    <w:rsid w:val="005E5A20"/>
    <w:rsid w:val="005F0171"/>
    <w:rsid w:val="005F3A96"/>
    <w:rsid w:val="005F4341"/>
    <w:rsid w:val="005F4AE2"/>
    <w:rsid w:val="005F4AF8"/>
    <w:rsid w:val="005F60F3"/>
    <w:rsid w:val="005F72CB"/>
    <w:rsid w:val="005F7869"/>
    <w:rsid w:val="005F7B75"/>
    <w:rsid w:val="006001EE"/>
    <w:rsid w:val="00601B91"/>
    <w:rsid w:val="00601DB0"/>
    <w:rsid w:val="00603641"/>
    <w:rsid w:val="00605042"/>
    <w:rsid w:val="0060543E"/>
    <w:rsid w:val="006055B1"/>
    <w:rsid w:val="006060A5"/>
    <w:rsid w:val="006068A7"/>
    <w:rsid w:val="00611FC4"/>
    <w:rsid w:val="00616D48"/>
    <w:rsid w:val="006176FB"/>
    <w:rsid w:val="00617E1A"/>
    <w:rsid w:val="00620D4F"/>
    <w:rsid w:val="00620DDC"/>
    <w:rsid w:val="00621B38"/>
    <w:rsid w:val="00621F3A"/>
    <w:rsid w:val="0062381A"/>
    <w:rsid w:val="00624635"/>
    <w:rsid w:val="00624892"/>
    <w:rsid w:val="00624F2B"/>
    <w:rsid w:val="00625DA0"/>
    <w:rsid w:val="00626102"/>
    <w:rsid w:val="0062679D"/>
    <w:rsid w:val="00635712"/>
    <w:rsid w:val="00635AB9"/>
    <w:rsid w:val="0063608E"/>
    <w:rsid w:val="006368A6"/>
    <w:rsid w:val="006375F5"/>
    <w:rsid w:val="006401C7"/>
    <w:rsid w:val="00640B26"/>
    <w:rsid w:val="00640D87"/>
    <w:rsid w:val="00640DF9"/>
    <w:rsid w:val="00642652"/>
    <w:rsid w:val="00642A42"/>
    <w:rsid w:val="00642B10"/>
    <w:rsid w:val="0064306A"/>
    <w:rsid w:val="006445AC"/>
    <w:rsid w:val="006454C8"/>
    <w:rsid w:val="0064578B"/>
    <w:rsid w:val="006505C0"/>
    <w:rsid w:val="00650DED"/>
    <w:rsid w:val="006517FA"/>
    <w:rsid w:val="00652670"/>
    <w:rsid w:val="0065293F"/>
    <w:rsid w:val="00652D0A"/>
    <w:rsid w:val="00653CD8"/>
    <w:rsid w:val="0065486C"/>
    <w:rsid w:val="00655CBC"/>
    <w:rsid w:val="00656EE7"/>
    <w:rsid w:val="0065739D"/>
    <w:rsid w:val="0065746D"/>
    <w:rsid w:val="006610A5"/>
    <w:rsid w:val="0066191E"/>
    <w:rsid w:val="00661BA1"/>
    <w:rsid w:val="00662640"/>
    <w:rsid w:val="00662BB6"/>
    <w:rsid w:val="00666CF9"/>
    <w:rsid w:val="006671A2"/>
    <w:rsid w:val="0066741D"/>
    <w:rsid w:val="00667C7B"/>
    <w:rsid w:val="00671842"/>
    <w:rsid w:val="00673F13"/>
    <w:rsid w:val="00676F6B"/>
    <w:rsid w:val="00681970"/>
    <w:rsid w:val="00682090"/>
    <w:rsid w:val="00682255"/>
    <w:rsid w:val="0068355A"/>
    <w:rsid w:val="006836D3"/>
    <w:rsid w:val="006841D7"/>
    <w:rsid w:val="00684C21"/>
    <w:rsid w:val="00684D20"/>
    <w:rsid w:val="00685A70"/>
    <w:rsid w:val="00685B9E"/>
    <w:rsid w:val="0068705A"/>
    <w:rsid w:val="00687F43"/>
    <w:rsid w:val="00690A59"/>
    <w:rsid w:val="006930D6"/>
    <w:rsid w:val="006932B7"/>
    <w:rsid w:val="0069504E"/>
    <w:rsid w:val="0069532B"/>
    <w:rsid w:val="0069624E"/>
    <w:rsid w:val="006979A9"/>
    <w:rsid w:val="006A0A42"/>
    <w:rsid w:val="006A134D"/>
    <w:rsid w:val="006A391A"/>
    <w:rsid w:val="006A574E"/>
    <w:rsid w:val="006A5D9D"/>
    <w:rsid w:val="006A5ED0"/>
    <w:rsid w:val="006A6393"/>
    <w:rsid w:val="006A698D"/>
    <w:rsid w:val="006B025A"/>
    <w:rsid w:val="006B09F4"/>
    <w:rsid w:val="006B0B73"/>
    <w:rsid w:val="006B1052"/>
    <w:rsid w:val="006B2B77"/>
    <w:rsid w:val="006B3B4E"/>
    <w:rsid w:val="006B3BC2"/>
    <w:rsid w:val="006B4DF5"/>
    <w:rsid w:val="006B70A1"/>
    <w:rsid w:val="006C19AB"/>
    <w:rsid w:val="006C2D0D"/>
    <w:rsid w:val="006C4A45"/>
    <w:rsid w:val="006C69B1"/>
    <w:rsid w:val="006C75A0"/>
    <w:rsid w:val="006D1D7E"/>
    <w:rsid w:val="006D20F1"/>
    <w:rsid w:val="006D37AF"/>
    <w:rsid w:val="006D51D0"/>
    <w:rsid w:val="006D5A72"/>
    <w:rsid w:val="006D7A68"/>
    <w:rsid w:val="006E4A2B"/>
    <w:rsid w:val="006E4E6C"/>
    <w:rsid w:val="006E5172"/>
    <w:rsid w:val="006E564B"/>
    <w:rsid w:val="006E6225"/>
    <w:rsid w:val="006E7191"/>
    <w:rsid w:val="006E7886"/>
    <w:rsid w:val="006F0540"/>
    <w:rsid w:val="006F2EA0"/>
    <w:rsid w:val="006F3180"/>
    <w:rsid w:val="006F3318"/>
    <w:rsid w:val="006F5689"/>
    <w:rsid w:val="006F5E37"/>
    <w:rsid w:val="006F674F"/>
    <w:rsid w:val="006F6C29"/>
    <w:rsid w:val="007016C2"/>
    <w:rsid w:val="00701798"/>
    <w:rsid w:val="007034D1"/>
    <w:rsid w:val="00703577"/>
    <w:rsid w:val="007064CC"/>
    <w:rsid w:val="00706707"/>
    <w:rsid w:val="00706733"/>
    <w:rsid w:val="00712FA5"/>
    <w:rsid w:val="007130A3"/>
    <w:rsid w:val="007132D7"/>
    <w:rsid w:val="00714574"/>
    <w:rsid w:val="00714B40"/>
    <w:rsid w:val="007156F5"/>
    <w:rsid w:val="007204E0"/>
    <w:rsid w:val="007209AA"/>
    <w:rsid w:val="007210CF"/>
    <w:rsid w:val="007218D9"/>
    <w:rsid w:val="007240BC"/>
    <w:rsid w:val="00725867"/>
    <w:rsid w:val="0072632A"/>
    <w:rsid w:val="00726676"/>
    <w:rsid w:val="00726890"/>
    <w:rsid w:val="00726EB4"/>
    <w:rsid w:val="0072742C"/>
    <w:rsid w:val="00730059"/>
    <w:rsid w:val="00730213"/>
    <w:rsid w:val="007327D5"/>
    <w:rsid w:val="0073427C"/>
    <w:rsid w:val="00735FA9"/>
    <w:rsid w:val="0073651E"/>
    <w:rsid w:val="00740E51"/>
    <w:rsid w:val="0074121C"/>
    <w:rsid w:val="00742EDA"/>
    <w:rsid w:val="00744010"/>
    <w:rsid w:val="00745BB7"/>
    <w:rsid w:val="007471F2"/>
    <w:rsid w:val="00751780"/>
    <w:rsid w:val="00752258"/>
    <w:rsid w:val="00752945"/>
    <w:rsid w:val="00754068"/>
    <w:rsid w:val="007544B0"/>
    <w:rsid w:val="00756AD2"/>
    <w:rsid w:val="007629C8"/>
    <w:rsid w:val="007629E7"/>
    <w:rsid w:val="00762D29"/>
    <w:rsid w:val="00764E65"/>
    <w:rsid w:val="007660BE"/>
    <w:rsid w:val="007727FA"/>
    <w:rsid w:val="007734EA"/>
    <w:rsid w:val="00773A11"/>
    <w:rsid w:val="00773F4D"/>
    <w:rsid w:val="00774091"/>
    <w:rsid w:val="00776EF8"/>
    <w:rsid w:val="00780138"/>
    <w:rsid w:val="00780262"/>
    <w:rsid w:val="007809DC"/>
    <w:rsid w:val="007812E3"/>
    <w:rsid w:val="00781B64"/>
    <w:rsid w:val="00782883"/>
    <w:rsid w:val="007832AA"/>
    <w:rsid w:val="00783C9A"/>
    <w:rsid w:val="00785359"/>
    <w:rsid w:val="0078564E"/>
    <w:rsid w:val="00785670"/>
    <w:rsid w:val="00785816"/>
    <w:rsid w:val="00787D71"/>
    <w:rsid w:val="00790019"/>
    <w:rsid w:val="00791F99"/>
    <w:rsid w:val="007925BB"/>
    <w:rsid w:val="0079269F"/>
    <w:rsid w:val="00792805"/>
    <w:rsid w:val="00795025"/>
    <w:rsid w:val="00796FF6"/>
    <w:rsid w:val="00797737"/>
    <w:rsid w:val="007A0045"/>
    <w:rsid w:val="007A4DD2"/>
    <w:rsid w:val="007A5D8D"/>
    <w:rsid w:val="007A5D8F"/>
    <w:rsid w:val="007A5EB5"/>
    <w:rsid w:val="007A6730"/>
    <w:rsid w:val="007A6A9F"/>
    <w:rsid w:val="007B00AE"/>
    <w:rsid w:val="007B0AEE"/>
    <w:rsid w:val="007B25D4"/>
    <w:rsid w:val="007B2AB3"/>
    <w:rsid w:val="007B3AE2"/>
    <w:rsid w:val="007B43CE"/>
    <w:rsid w:val="007B51CD"/>
    <w:rsid w:val="007B6112"/>
    <w:rsid w:val="007B6116"/>
    <w:rsid w:val="007B6BA5"/>
    <w:rsid w:val="007B77E3"/>
    <w:rsid w:val="007C0202"/>
    <w:rsid w:val="007C04CB"/>
    <w:rsid w:val="007C15CD"/>
    <w:rsid w:val="007C334E"/>
    <w:rsid w:val="007C3390"/>
    <w:rsid w:val="007C3433"/>
    <w:rsid w:val="007C36FB"/>
    <w:rsid w:val="007C4F4B"/>
    <w:rsid w:val="007C4FB9"/>
    <w:rsid w:val="007C5C32"/>
    <w:rsid w:val="007C5E59"/>
    <w:rsid w:val="007C6596"/>
    <w:rsid w:val="007C7ED5"/>
    <w:rsid w:val="007D18C8"/>
    <w:rsid w:val="007D1DC3"/>
    <w:rsid w:val="007D1FFB"/>
    <w:rsid w:val="007D2003"/>
    <w:rsid w:val="007D2467"/>
    <w:rsid w:val="007D530F"/>
    <w:rsid w:val="007D5336"/>
    <w:rsid w:val="007D69E9"/>
    <w:rsid w:val="007D7E62"/>
    <w:rsid w:val="007E1AAB"/>
    <w:rsid w:val="007E259C"/>
    <w:rsid w:val="007E51F9"/>
    <w:rsid w:val="007E59C4"/>
    <w:rsid w:val="007E7AE5"/>
    <w:rsid w:val="007F0775"/>
    <w:rsid w:val="007F5A27"/>
    <w:rsid w:val="007F5EE5"/>
    <w:rsid w:val="007F6611"/>
    <w:rsid w:val="008004C1"/>
    <w:rsid w:val="00800B48"/>
    <w:rsid w:val="00801FB1"/>
    <w:rsid w:val="0080349B"/>
    <w:rsid w:val="00805180"/>
    <w:rsid w:val="0080559D"/>
    <w:rsid w:val="0080630E"/>
    <w:rsid w:val="008064D0"/>
    <w:rsid w:val="00806D24"/>
    <w:rsid w:val="00806F6A"/>
    <w:rsid w:val="00810BEC"/>
    <w:rsid w:val="0081110E"/>
    <w:rsid w:val="00812A3B"/>
    <w:rsid w:val="00813362"/>
    <w:rsid w:val="00817FC7"/>
    <w:rsid w:val="00823AF6"/>
    <w:rsid w:val="00823D16"/>
    <w:rsid w:val="008242D7"/>
    <w:rsid w:val="008257B1"/>
    <w:rsid w:val="0083129E"/>
    <w:rsid w:val="00832AA7"/>
    <w:rsid w:val="00834F88"/>
    <w:rsid w:val="00843086"/>
    <w:rsid w:val="00843767"/>
    <w:rsid w:val="00847046"/>
    <w:rsid w:val="008471D6"/>
    <w:rsid w:val="00850055"/>
    <w:rsid w:val="008503D3"/>
    <w:rsid w:val="00850D55"/>
    <w:rsid w:val="00850DA8"/>
    <w:rsid w:val="00853BED"/>
    <w:rsid w:val="00855EC6"/>
    <w:rsid w:val="00861B73"/>
    <w:rsid w:val="008621D5"/>
    <w:rsid w:val="00862943"/>
    <w:rsid w:val="008636A3"/>
    <w:rsid w:val="00863BD3"/>
    <w:rsid w:val="0086442A"/>
    <w:rsid w:val="00866509"/>
    <w:rsid w:val="0086703C"/>
    <w:rsid w:val="008679D9"/>
    <w:rsid w:val="008714B3"/>
    <w:rsid w:val="00874006"/>
    <w:rsid w:val="0087521E"/>
    <w:rsid w:val="0087578A"/>
    <w:rsid w:val="00877EA8"/>
    <w:rsid w:val="00880230"/>
    <w:rsid w:val="0088096A"/>
    <w:rsid w:val="00880BF6"/>
    <w:rsid w:val="00882576"/>
    <w:rsid w:val="00883554"/>
    <w:rsid w:val="00883B55"/>
    <w:rsid w:val="00883F21"/>
    <w:rsid w:val="0088637E"/>
    <w:rsid w:val="0088669D"/>
    <w:rsid w:val="00886DB6"/>
    <w:rsid w:val="008907BC"/>
    <w:rsid w:val="008916E8"/>
    <w:rsid w:val="00892A48"/>
    <w:rsid w:val="008940DF"/>
    <w:rsid w:val="0089765C"/>
    <w:rsid w:val="008979B1"/>
    <w:rsid w:val="008A187D"/>
    <w:rsid w:val="008A1D87"/>
    <w:rsid w:val="008A29C0"/>
    <w:rsid w:val="008A4FFD"/>
    <w:rsid w:val="008A5919"/>
    <w:rsid w:val="008A605D"/>
    <w:rsid w:val="008A6B25"/>
    <w:rsid w:val="008A6C4F"/>
    <w:rsid w:val="008A6EE4"/>
    <w:rsid w:val="008B017B"/>
    <w:rsid w:val="008B1848"/>
    <w:rsid w:val="008B2335"/>
    <w:rsid w:val="008B2568"/>
    <w:rsid w:val="008B2EA6"/>
    <w:rsid w:val="008B324E"/>
    <w:rsid w:val="008B3D47"/>
    <w:rsid w:val="008B4270"/>
    <w:rsid w:val="008B4D5D"/>
    <w:rsid w:val="008B4FCB"/>
    <w:rsid w:val="008B5953"/>
    <w:rsid w:val="008B64B1"/>
    <w:rsid w:val="008B7E23"/>
    <w:rsid w:val="008C1520"/>
    <w:rsid w:val="008C19D4"/>
    <w:rsid w:val="008C249A"/>
    <w:rsid w:val="008C39A2"/>
    <w:rsid w:val="008C42AE"/>
    <w:rsid w:val="008C6815"/>
    <w:rsid w:val="008C69EE"/>
    <w:rsid w:val="008D0A49"/>
    <w:rsid w:val="008D45B2"/>
    <w:rsid w:val="008D63D3"/>
    <w:rsid w:val="008D6944"/>
    <w:rsid w:val="008D6FA2"/>
    <w:rsid w:val="008E04FA"/>
    <w:rsid w:val="008E05FC"/>
    <w:rsid w:val="008E0678"/>
    <w:rsid w:val="008E1196"/>
    <w:rsid w:val="008E1E1F"/>
    <w:rsid w:val="008E2210"/>
    <w:rsid w:val="008E4285"/>
    <w:rsid w:val="008E50CF"/>
    <w:rsid w:val="008E5743"/>
    <w:rsid w:val="008E78A3"/>
    <w:rsid w:val="008F162B"/>
    <w:rsid w:val="008F4E51"/>
    <w:rsid w:val="008F61ED"/>
    <w:rsid w:val="009008F2"/>
    <w:rsid w:val="00900915"/>
    <w:rsid w:val="009022AC"/>
    <w:rsid w:val="009044D7"/>
    <w:rsid w:val="0090457B"/>
    <w:rsid w:val="00904608"/>
    <w:rsid w:val="00905570"/>
    <w:rsid w:val="00905948"/>
    <w:rsid w:val="009064D9"/>
    <w:rsid w:val="009120B2"/>
    <w:rsid w:val="009125A1"/>
    <w:rsid w:val="00914158"/>
    <w:rsid w:val="00915571"/>
    <w:rsid w:val="00916D93"/>
    <w:rsid w:val="00917676"/>
    <w:rsid w:val="00917930"/>
    <w:rsid w:val="0092095B"/>
    <w:rsid w:val="00920BD0"/>
    <w:rsid w:val="009223CA"/>
    <w:rsid w:val="00923207"/>
    <w:rsid w:val="00923A8E"/>
    <w:rsid w:val="00925E89"/>
    <w:rsid w:val="00927E52"/>
    <w:rsid w:val="00934172"/>
    <w:rsid w:val="009352A4"/>
    <w:rsid w:val="00936DAB"/>
    <w:rsid w:val="00940585"/>
    <w:rsid w:val="00940F93"/>
    <w:rsid w:val="00941965"/>
    <w:rsid w:val="00941AB7"/>
    <w:rsid w:val="00941CB6"/>
    <w:rsid w:val="009424B6"/>
    <w:rsid w:val="009430AF"/>
    <w:rsid w:val="0094396A"/>
    <w:rsid w:val="00945873"/>
    <w:rsid w:val="00945D3C"/>
    <w:rsid w:val="009469A9"/>
    <w:rsid w:val="00947A95"/>
    <w:rsid w:val="00947B1E"/>
    <w:rsid w:val="009529C7"/>
    <w:rsid w:val="0095354C"/>
    <w:rsid w:val="009543E0"/>
    <w:rsid w:val="00955380"/>
    <w:rsid w:val="0095593D"/>
    <w:rsid w:val="00957E0E"/>
    <w:rsid w:val="0096062C"/>
    <w:rsid w:val="009615F5"/>
    <w:rsid w:val="00962446"/>
    <w:rsid w:val="00963149"/>
    <w:rsid w:val="00963298"/>
    <w:rsid w:val="009673E4"/>
    <w:rsid w:val="00967F8E"/>
    <w:rsid w:val="00971B3E"/>
    <w:rsid w:val="00971F42"/>
    <w:rsid w:val="0097451D"/>
    <w:rsid w:val="009760F3"/>
    <w:rsid w:val="0098152F"/>
    <w:rsid w:val="00981AD9"/>
    <w:rsid w:val="00981E69"/>
    <w:rsid w:val="0098203F"/>
    <w:rsid w:val="00984511"/>
    <w:rsid w:val="00984894"/>
    <w:rsid w:val="00985162"/>
    <w:rsid w:val="00985F4F"/>
    <w:rsid w:val="009908D7"/>
    <w:rsid w:val="009947F3"/>
    <w:rsid w:val="009959BD"/>
    <w:rsid w:val="00995AED"/>
    <w:rsid w:val="00995E99"/>
    <w:rsid w:val="00997445"/>
    <w:rsid w:val="009A081E"/>
    <w:rsid w:val="009A0B9F"/>
    <w:rsid w:val="009A0E8D"/>
    <w:rsid w:val="009A1AB5"/>
    <w:rsid w:val="009A2F05"/>
    <w:rsid w:val="009A3122"/>
    <w:rsid w:val="009A4FC9"/>
    <w:rsid w:val="009A5117"/>
    <w:rsid w:val="009A6630"/>
    <w:rsid w:val="009A6E0B"/>
    <w:rsid w:val="009A6F50"/>
    <w:rsid w:val="009B063C"/>
    <w:rsid w:val="009B223B"/>
    <w:rsid w:val="009B26E7"/>
    <w:rsid w:val="009B32E0"/>
    <w:rsid w:val="009B3408"/>
    <w:rsid w:val="009B5196"/>
    <w:rsid w:val="009B5607"/>
    <w:rsid w:val="009B5EF0"/>
    <w:rsid w:val="009C1114"/>
    <w:rsid w:val="009C1B94"/>
    <w:rsid w:val="009C23C8"/>
    <w:rsid w:val="009C38C6"/>
    <w:rsid w:val="009C4EF2"/>
    <w:rsid w:val="009C5101"/>
    <w:rsid w:val="009D0642"/>
    <w:rsid w:val="009D0E84"/>
    <w:rsid w:val="009D2DDD"/>
    <w:rsid w:val="009D4398"/>
    <w:rsid w:val="009D44F0"/>
    <w:rsid w:val="009D4B1B"/>
    <w:rsid w:val="009D594A"/>
    <w:rsid w:val="009D63C1"/>
    <w:rsid w:val="009D67E7"/>
    <w:rsid w:val="009D73A6"/>
    <w:rsid w:val="009E04BD"/>
    <w:rsid w:val="009E17EE"/>
    <w:rsid w:val="009E2A87"/>
    <w:rsid w:val="009E3A75"/>
    <w:rsid w:val="009E4315"/>
    <w:rsid w:val="009E4B26"/>
    <w:rsid w:val="009E58A8"/>
    <w:rsid w:val="009E637D"/>
    <w:rsid w:val="009F07A3"/>
    <w:rsid w:val="009F28F0"/>
    <w:rsid w:val="009F30D6"/>
    <w:rsid w:val="009F3E7D"/>
    <w:rsid w:val="009F5370"/>
    <w:rsid w:val="009F6575"/>
    <w:rsid w:val="00A004DA"/>
    <w:rsid w:val="00A00A3F"/>
    <w:rsid w:val="00A01489"/>
    <w:rsid w:val="00A04E14"/>
    <w:rsid w:val="00A06200"/>
    <w:rsid w:val="00A069A6"/>
    <w:rsid w:val="00A07BAE"/>
    <w:rsid w:val="00A07D19"/>
    <w:rsid w:val="00A11476"/>
    <w:rsid w:val="00A13CB4"/>
    <w:rsid w:val="00A16AB7"/>
    <w:rsid w:val="00A20562"/>
    <w:rsid w:val="00A2069F"/>
    <w:rsid w:val="00A21728"/>
    <w:rsid w:val="00A2281F"/>
    <w:rsid w:val="00A24947"/>
    <w:rsid w:val="00A24DFA"/>
    <w:rsid w:val="00A30F98"/>
    <w:rsid w:val="00A31E8D"/>
    <w:rsid w:val="00A338F1"/>
    <w:rsid w:val="00A33929"/>
    <w:rsid w:val="00A3442C"/>
    <w:rsid w:val="00A37DF4"/>
    <w:rsid w:val="00A405A5"/>
    <w:rsid w:val="00A45950"/>
    <w:rsid w:val="00A46158"/>
    <w:rsid w:val="00A473AE"/>
    <w:rsid w:val="00A47D70"/>
    <w:rsid w:val="00A511AC"/>
    <w:rsid w:val="00A5214F"/>
    <w:rsid w:val="00A54390"/>
    <w:rsid w:val="00A555D8"/>
    <w:rsid w:val="00A56E47"/>
    <w:rsid w:val="00A5730D"/>
    <w:rsid w:val="00A57F75"/>
    <w:rsid w:val="00A600FE"/>
    <w:rsid w:val="00A60E48"/>
    <w:rsid w:val="00A6159C"/>
    <w:rsid w:val="00A618E1"/>
    <w:rsid w:val="00A61D07"/>
    <w:rsid w:val="00A627BF"/>
    <w:rsid w:val="00A62A0E"/>
    <w:rsid w:val="00A62F2E"/>
    <w:rsid w:val="00A664C6"/>
    <w:rsid w:val="00A67654"/>
    <w:rsid w:val="00A67A18"/>
    <w:rsid w:val="00A67B62"/>
    <w:rsid w:val="00A700EE"/>
    <w:rsid w:val="00A7059A"/>
    <w:rsid w:val="00A72F22"/>
    <w:rsid w:val="00A73091"/>
    <w:rsid w:val="00A7360F"/>
    <w:rsid w:val="00A748A6"/>
    <w:rsid w:val="00A75ADC"/>
    <w:rsid w:val="00A76518"/>
    <w:rsid w:val="00A769F4"/>
    <w:rsid w:val="00A776B4"/>
    <w:rsid w:val="00A80CAE"/>
    <w:rsid w:val="00A80E71"/>
    <w:rsid w:val="00A8230E"/>
    <w:rsid w:val="00A828B6"/>
    <w:rsid w:val="00A8498D"/>
    <w:rsid w:val="00A859B8"/>
    <w:rsid w:val="00A874AF"/>
    <w:rsid w:val="00A92959"/>
    <w:rsid w:val="00A94269"/>
    <w:rsid w:val="00A94361"/>
    <w:rsid w:val="00A94975"/>
    <w:rsid w:val="00A9541A"/>
    <w:rsid w:val="00A96B56"/>
    <w:rsid w:val="00A96E58"/>
    <w:rsid w:val="00A97920"/>
    <w:rsid w:val="00A97F19"/>
    <w:rsid w:val="00AA0227"/>
    <w:rsid w:val="00AA1162"/>
    <w:rsid w:val="00AA1415"/>
    <w:rsid w:val="00AA293C"/>
    <w:rsid w:val="00AA2B99"/>
    <w:rsid w:val="00AA3899"/>
    <w:rsid w:val="00AA4282"/>
    <w:rsid w:val="00AA4CBD"/>
    <w:rsid w:val="00AA5A49"/>
    <w:rsid w:val="00AA5AC4"/>
    <w:rsid w:val="00AA609D"/>
    <w:rsid w:val="00AB1A88"/>
    <w:rsid w:val="00AB3C2A"/>
    <w:rsid w:val="00AB43F0"/>
    <w:rsid w:val="00AB50D1"/>
    <w:rsid w:val="00AB7009"/>
    <w:rsid w:val="00AC0C21"/>
    <w:rsid w:val="00AC3654"/>
    <w:rsid w:val="00AC3BC0"/>
    <w:rsid w:val="00AC3EDB"/>
    <w:rsid w:val="00AC51ED"/>
    <w:rsid w:val="00AC5D8E"/>
    <w:rsid w:val="00AC5E5E"/>
    <w:rsid w:val="00AD0899"/>
    <w:rsid w:val="00AD0BCB"/>
    <w:rsid w:val="00AD17A2"/>
    <w:rsid w:val="00AD41B5"/>
    <w:rsid w:val="00AD4465"/>
    <w:rsid w:val="00AD4CF0"/>
    <w:rsid w:val="00AD5224"/>
    <w:rsid w:val="00AD6B25"/>
    <w:rsid w:val="00AD6E0D"/>
    <w:rsid w:val="00AE397A"/>
    <w:rsid w:val="00AE3C07"/>
    <w:rsid w:val="00AE4595"/>
    <w:rsid w:val="00AE5990"/>
    <w:rsid w:val="00AE7112"/>
    <w:rsid w:val="00AE75F1"/>
    <w:rsid w:val="00AE7BC2"/>
    <w:rsid w:val="00AF0685"/>
    <w:rsid w:val="00AF169A"/>
    <w:rsid w:val="00AF23E1"/>
    <w:rsid w:val="00AF26F6"/>
    <w:rsid w:val="00AF302C"/>
    <w:rsid w:val="00AF3396"/>
    <w:rsid w:val="00AF34D9"/>
    <w:rsid w:val="00AF4AA9"/>
    <w:rsid w:val="00AF5A62"/>
    <w:rsid w:val="00AF6F8F"/>
    <w:rsid w:val="00AF7140"/>
    <w:rsid w:val="00AF7949"/>
    <w:rsid w:val="00B020A5"/>
    <w:rsid w:val="00B11392"/>
    <w:rsid w:val="00B12A75"/>
    <w:rsid w:val="00B13286"/>
    <w:rsid w:val="00B13F6B"/>
    <w:rsid w:val="00B1425E"/>
    <w:rsid w:val="00B143EB"/>
    <w:rsid w:val="00B14DE1"/>
    <w:rsid w:val="00B218A3"/>
    <w:rsid w:val="00B240BF"/>
    <w:rsid w:val="00B25BAD"/>
    <w:rsid w:val="00B26C8B"/>
    <w:rsid w:val="00B27DD0"/>
    <w:rsid w:val="00B30179"/>
    <w:rsid w:val="00B30231"/>
    <w:rsid w:val="00B30978"/>
    <w:rsid w:val="00B323BD"/>
    <w:rsid w:val="00B327B1"/>
    <w:rsid w:val="00B32FF1"/>
    <w:rsid w:val="00B36EE6"/>
    <w:rsid w:val="00B370AA"/>
    <w:rsid w:val="00B4032C"/>
    <w:rsid w:val="00B44F26"/>
    <w:rsid w:val="00B47126"/>
    <w:rsid w:val="00B47DB3"/>
    <w:rsid w:val="00B47E18"/>
    <w:rsid w:val="00B502F4"/>
    <w:rsid w:val="00B519A9"/>
    <w:rsid w:val="00B51AC0"/>
    <w:rsid w:val="00B53954"/>
    <w:rsid w:val="00B53F6B"/>
    <w:rsid w:val="00B54676"/>
    <w:rsid w:val="00B54F31"/>
    <w:rsid w:val="00B55628"/>
    <w:rsid w:val="00B56079"/>
    <w:rsid w:val="00B56C72"/>
    <w:rsid w:val="00B56E4A"/>
    <w:rsid w:val="00B56E9C"/>
    <w:rsid w:val="00B570F3"/>
    <w:rsid w:val="00B62057"/>
    <w:rsid w:val="00B623D5"/>
    <w:rsid w:val="00B62900"/>
    <w:rsid w:val="00B63B52"/>
    <w:rsid w:val="00B63E21"/>
    <w:rsid w:val="00B64B1F"/>
    <w:rsid w:val="00B65401"/>
    <w:rsid w:val="00B6553F"/>
    <w:rsid w:val="00B677B2"/>
    <w:rsid w:val="00B745C1"/>
    <w:rsid w:val="00B77D05"/>
    <w:rsid w:val="00B80FF0"/>
    <w:rsid w:val="00B81206"/>
    <w:rsid w:val="00B81E12"/>
    <w:rsid w:val="00B82174"/>
    <w:rsid w:val="00B830B4"/>
    <w:rsid w:val="00B835BA"/>
    <w:rsid w:val="00B85258"/>
    <w:rsid w:val="00B85516"/>
    <w:rsid w:val="00B871DF"/>
    <w:rsid w:val="00B87A1E"/>
    <w:rsid w:val="00B90023"/>
    <w:rsid w:val="00B901F5"/>
    <w:rsid w:val="00B91477"/>
    <w:rsid w:val="00B9230F"/>
    <w:rsid w:val="00B92937"/>
    <w:rsid w:val="00B93090"/>
    <w:rsid w:val="00B93ADC"/>
    <w:rsid w:val="00B94910"/>
    <w:rsid w:val="00B94B44"/>
    <w:rsid w:val="00B95E45"/>
    <w:rsid w:val="00B97003"/>
    <w:rsid w:val="00B9744B"/>
    <w:rsid w:val="00B97EE2"/>
    <w:rsid w:val="00BA0E96"/>
    <w:rsid w:val="00BA2138"/>
    <w:rsid w:val="00BA2595"/>
    <w:rsid w:val="00BA4964"/>
    <w:rsid w:val="00BA62E8"/>
    <w:rsid w:val="00BA723F"/>
    <w:rsid w:val="00BB1BF7"/>
    <w:rsid w:val="00BB4A93"/>
    <w:rsid w:val="00BB4E2C"/>
    <w:rsid w:val="00BB5282"/>
    <w:rsid w:val="00BB5681"/>
    <w:rsid w:val="00BC0B19"/>
    <w:rsid w:val="00BC1058"/>
    <w:rsid w:val="00BC3AC6"/>
    <w:rsid w:val="00BC50ED"/>
    <w:rsid w:val="00BC534A"/>
    <w:rsid w:val="00BC74E9"/>
    <w:rsid w:val="00BD06A0"/>
    <w:rsid w:val="00BD0D89"/>
    <w:rsid w:val="00BD13AF"/>
    <w:rsid w:val="00BD4ABA"/>
    <w:rsid w:val="00BD4D26"/>
    <w:rsid w:val="00BD543B"/>
    <w:rsid w:val="00BE31F7"/>
    <w:rsid w:val="00BE33A0"/>
    <w:rsid w:val="00BE3814"/>
    <w:rsid w:val="00BE58A1"/>
    <w:rsid w:val="00BF1D1D"/>
    <w:rsid w:val="00BF3468"/>
    <w:rsid w:val="00BF3861"/>
    <w:rsid w:val="00BF39DD"/>
    <w:rsid w:val="00BF599F"/>
    <w:rsid w:val="00BF5E2B"/>
    <w:rsid w:val="00BF68A8"/>
    <w:rsid w:val="00C00DDE"/>
    <w:rsid w:val="00C02F96"/>
    <w:rsid w:val="00C03AAB"/>
    <w:rsid w:val="00C11A03"/>
    <w:rsid w:val="00C12581"/>
    <w:rsid w:val="00C129FB"/>
    <w:rsid w:val="00C16562"/>
    <w:rsid w:val="00C16C23"/>
    <w:rsid w:val="00C175CB"/>
    <w:rsid w:val="00C20163"/>
    <w:rsid w:val="00C205E2"/>
    <w:rsid w:val="00C20D6D"/>
    <w:rsid w:val="00C2272D"/>
    <w:rsid w:val="00C24BDC"/>
    <w:rsid w:val="00C25E60"/>
    <w:rsid w:val="00C309DD"/>
    <w:rsid w:val="00C30D9E"/>
    <w:rsid w:val="00C34947"/>
    <w:rsid w:val="00C34BF6"/>
    <w:rsid w:val="00C354B5"/>
    <w:rsid w:val="00C356E9"/>
    <w:rsid w:val="00C35B3E"/>
    <w:rsid w:val="00C36026"/>
    <w:rsid w:val="00C36E0D"/>
    <w:rsid w:val="00C372B7"/>
    <w:rsid w:val="00C372E1"/>
    <w:rsid w:val="00C408E6"/>
    <w:rsid w:val="00C41D7A"/>
    <w:rsid w:val="00C424FB"/>
    <w:rsid w:val="00C42634"/>
    <w:rsid w:val="00C4366A"/>
    <w:rsid w:val="00C44C46"/>
    <w:rsid w:val="00C4539F"/>
    <w:rsid w:val="00C457AC"/>
    <w:rsid w:val="00C463DD"/>
    <w:rsid w:val="00C4724C"/>
    <w:rsid w:val="00C50345"/>
    <w:rsid w:val="00C539FE"/>
    <w:rsid w:val="00C53BFA"/>
    <w:rsid w:val="00C55953"/>
    <w:rsid w:val="00C5764E"/>
    <w:rsid w:val="00C603F6"/>
    <w:rsid w:val="00C629A0"/>
    <w:rsid w:val="00C63CA2"/>
    <w:rsid w:val="00C6677B"/>
    <w:rsid w:val="00C667BE"/>
    <w:rsid w:val="00C672E3"/>
    <w:rsid w:val="00C675ED"/>
    <w:rsid w:val="00C67F2E"/>
    <w:rsid w:val="00C70FA9"/>
    <w:rsid w:val="00C71603"/>
    <w:rsid w:val="00C7204B"/>
    <w:rsid w:val="00C72A3C"/>
    <w:rsid w:val="00C745C3"/>
    <w:rsid w:val="00C81515"/>
    <w:rsid w:val="00C83816"/>
    <w:rsid w:val="00C85FA5"/>
    <w:rsid w:val="00C9244B"/>
    <w:rsid w:val="00C9441B"/>
    <w:rsid w:val="00C950A1"/>
    <w:rsid w:val="00C96583"/>
    <w:rsid w:val="00C96A9A"/>
    <w:rsid w:val="00C97BC4"/>
    <w:rsid w:val="00CA4DD1"/>
    <w:rsid w:val="00CA5471"/>
    <w:rsid w:val="00CA58B5"/>
    <w:rsid w:val="00CA5F1D"/>
    <w:rsid w:val="00CA6DFB"/>
    <w:rsid w:val="00CA7A6D"/>
    <w:rsid w:val="00CB05D8"/>
    <w:rsid w:val="00CB1801"/>
    <w:rsid w:val="00CB290A"/>
    <w:rsid w:val="00CB4300"/>
    <w:rsid w:val="00CB491C"/>
    <w:rsid w:val="00CB5285"/>
    <w:rsid w:val="00CB6901"/>
    <w:rsid w:val="00CC166D"/>
    <w:rsid w:val="00CC189E"/>
    <w:rsid w:val="00CC2261"/>
    <w:rsid w:val="00CC33FC"/>
    <w:rsid w:val="00CC60A8"/>
    <w:rsid w:val="00CC699A"/>
    <w:rsid w:val="00CC7057"/>
    <w:rsid w:val="00CC74DE"/>
    <w:rsid w:val="00CD06C7"/>
    <w:rsid w:val="00CD2A88"/>
    <w:rsid w:val="00CD6A0F"/>
    <w:rsid w:val="00CD6D4B"/>
    <w:rsid w:val="00CD770C"/>
    <w:rsid w:val="00CD7D3F"/>
    <w:rsid w:val="00CE4A8F"/>
    <w:rsid w:val="00CE6EC2"/>
    <w:rsid w:val="00CF0203"/>
    <w:rsid w:val="00CF5255"/>
    <w:rsid w:val="00CF7766"/>
    <w:rsid w:val="00D005AA"/>
    <w:rsid w:val="00D01282"/>
    <w:rsid w:val="00D014A5"/>
    <w:rsid w:val="00D01DA0"/>
    <w:rsid w:val="00D028DD"/>
    <w:rsid w:val="00D02E37"/>
    <w:rsid w:val="00D041BC"/>
    <w:rsid w:val="00D06C93"/>
    <w:rsid w:val="00D07053"/>
    <w:rsid w:val="00D070EF"/>
    <w:rsid w:val="00D1138B"/>
    <w:rsid w:val="00D15E6C"/>
    <w:rsid w:val="00D16458"/>
    <w:rsid w:val="00D20024"/>
    <w:rsid w:val="00D2031B"/>
    <w:rsid w:val="00D21697"/>
    <w:rsid w:val="00D23304"/>
    <w:rsid w:val="00D235DE"/>
    <w:rsid w:val="00D23779"/>
    <w:rsid w:val="00D25F5E"/>
    <w:rsid w:val="00D25FE2"/>
    <w:rsid w:val="00D26CAB"/>
    <w:rsid w:val="00D2753F"/>
    <w:rsid w:val="00D27EFB"/>
    <w:rsid w:val="00D33490"/>
    <w:rsid w:val="00D3364A"/>
    <w:rsid w:val="00D349E1"/>
    <w:rsid w:val="00D354CC"/>
    <w:rsid w:val="00D357EA"/>
    <w:rsid w:val="00D35CD0"/>
    <w:rsid w:val="00D40513"/>
    <w:rsid w:val="00D43252"/>
    <w:rsid w:val="00D435DD"/>
    <w:rsid w:val="00D445D1"/>
    <w:rsid w:val="00D44E50"/>
    <w:rsid w:val="00D46658"/>
    <w:rsid w:val="00D47706"/>
    <w:rsid w:val="00D47EEA"/>
    <w:rsid w:val="00D47F9A"/>
    <w:rsid w:val="00D518B5"/>
    <w:rsid w:val="00D51CB6"/>
    <w:rsid w:val="00D550F5"/>
    <w:rsid w:val="00D62448"/>
    <w:rsid w:val="00D631D6"/>
    <w:rsid w:val="00D63F7D"/>
    <w:rsid w:val="00D641FB"/>
    <w:rsid w:val="00D6469B"/>
    <w:rsid w:val="00D65037"/>
    <w:rsid w:val="00D65CC1"/>
    <w:rsid w:val="00D67123"/>
    <w:rsid w:val="00D67175"/>
    <w:rsid w:val="00D70588"/>
    <w:rsid w:val="00D70B1C"/>
    <w:rsid w:val="00D712CD"/>
    <w:rsid w:val="00D74069"/>
    <w:rsid w:val="00D75722"/>
    <w:rsid w:val="00D757FA"/>
    <w:rsid w:val="00D75C67"/>
    <w:rsid w:val="00D76978"/>
    <w:rsid w:val="00D80562"/>
    <w:rsid w:val="00D815BA"/>
    <w:rsid w:val="00D81BFE"/>
    <w:rsid w:val="00D90550"/>
    <w:rsid w:val="00D935BC"/>
    <w:rsid w:val="00D93CC8"/>
    <w:rsid w:val="00D95303"/>
    <w:rsid w:val="00D96F81"/>
    <w:rsid w:val="00D978C6"/>
    <w:rsid w:val="00D97C46"/>
    <w:rsid w:val="00DA23D8"/>
    <w:rsid w:val="00DA2D09"/>
    <w:rsid w:val="00DA3C1C"/>
    <w:rsid w:val="00DA4441"/>
    <w:rsid w:val="00DA4F24"/>
    <w:rsid w:val="00DA6348"/>
    <w:rsid w:val="00DA68B2"/>
    <w:rsid w:val="00DA724C"/>
    <w:rsid w:val="00DB0A00"/>
    <w:rsid w:val="00DB2D8E"/>
    <w:rsid w:val="00DB3E5C"/>
    <w:rsid w:val="00DB4AA3"/>
    <w:rsid w:val="00DB62F8"/>
    <w:rsid w:val="00DB6371"/>
    <w:rsid w:val="00DC017C"/>
    <w:rsid w:val="00DC1764"/>
    <w:rsid w:val="00DC2992"/>
    <w:rsid w:val="00DC3118"/>
    <w:rsid w:val="00DC3445"/>
    <w:rsid w:val="00DC3F5A"/>
    <w:rsid w:val="00DC4521"/>
    <w:rsid w:val="00DD05FE"/>
    <w:rsid w:val="00DD0FE4"/>
    <w:rsid w:val="00DD267D"/>
    <w:rsid w:val="00DD38A2"/>
    <w:rsid w:val="00DD3978"/>
    <w:rsid w:val="00DD57A3"/>
    <w:rsid w:val="00DE3F65"/>
    <w:rsid w:val="00DE4546"/>
    <w:rsid w:val="00DE4EAC"/>
    <w:rsid w:val="00DE69A7"/>
    <w:rsid w:val="00DE78A8"/>
    <w:rsid w:val="00DE7BE1"/>
    <w:rsid w:val="00DE7C10"/>
    <w:rsid w:val="00DE7F2E"/>
    <w:rsid w:val="00DF0FE6"/>
    <w:rsid w:val="00DF16C8"/>
    <w:rsid w:val="00DF1D50"/>
    <w:rsid w:val="00DF2A77"/>
    <w:rsid w:val="00DF32CD"/>
    <w:rsid w:val="00DF364C"/>
    <w:rsid w:val="00DF6118"/>
    <w:rsid w:val="00DF621B"/>
    <w:rsid w:val="00DF67DC"/>
    <w:rsid w:val="00DF6857"/>
    <w:rsid w:val="00DF7D64"/>
    <w:rsid w:val="00DF7FED"/>
    <w:rsid w:val="00E00BE6"/>
    <w:rsid w:val="00E04440"/>
    <w:rsid w:val="00E04CD2"/>
    <w:rsid w:val="00E0558A"/>
    <w:rsid w:val="00E058DC"/>
    <w:rsid w:val="00E06299"/>
    <w:rsid w:val="00E0760E"/>
    <w:rsid w:val="00E12C96"/>
    <w:rsid w:val="00E13E9D"/>
    <w:rsid w:val="00E14FE7"/>
    <w:rsid w:val="00E169CC"/>
    <w:rsid w:val="00E17487"/>
    <w:rsid w:val="00E1762F"/>
    <w:rsid w:val="00E17C8E"/>
    <w:rsid w:val="00E2023F"/>
    <w:rsid w:val="00E20E6A"/>
    <w:rsid w:val="00E23319"/>
    <w:rsid w:val="00E27346"/>
    <w:rsid w:val="00E32250"/>
    <w:rsid w:val="00E329F7"/>
    <w:rsid w:val="00E32D9C"/>
    <w:rsid w:val="00E32EFC"/>
    <w:rsid w:val="00E331AC"/>
    <w:rsid w:val="00E33941"/>
    <w:rsid w:val="00E34F6B"/>
    <w:rsid w:val="00E35532"/>
    <w:rsid w:val="00E36DA2"/>
    <w:rsid w:val="00E36EF3"/>
    <w:rsid w:val="00E373F2"/>
    <w:rsid w:val="00E40A9E"/>
    <w:rsid w:val="00E40D05"/>
    <w:rsid w:val="00E424A2"/>
    <w:rsid w:val="00E44CF1"/>
    <w:rsid w:val="00E4559E"/>
    <w:rsid w:val="00E460AC"/>
    <w:rsid w:val="00E468EF"/>
    <w:rsid w:val="00E47987"/>
    <w:rsid w:val="00E47B1D"/>
    <w:rsid w:val="00E524A6"/>
    <w:rsid w:val="00E535FA"/>
    <w:rsid w:val="00E55059"/>
    <w:rsid w:val="00E55345"/>
    <w:rsid w:val="00E5623F"/>
    <w:rsid w:val="00E5733B"/>
    <w:rsid w:val="00E57519"/>
    <w:rsid w:val="00E60462"/>
    <w:rsid w:val="00E60471"/>
    <w:rsid w:val="00E60960"/>
    <w:rsid w:val="00E60E80"/>
    <w:rsid w:val="00E61E38"/>
    <w:rsid w:val="00E63F84"/>
    <w:rsid w:val="00E649D4"/>
    <w:rsid w:val="00E65163"/>
    <w:rsid w:val="00E67096"/>
    <w:rsid w:val="00E70CE5"/>
    <w:rsid w:val="00E71BC8"/>
    <w:rsid w:val="00E71EA7"/>
    <w:rsid w:val="00E7251C"/>
    <w:rsid w:val="00E7260F"/>
    <w:rsid w:val="00E73E1A"/>
    <w:rsid w:val="00E76845"/>
    <w:rsid w:val="00E7799B"/>
    <w:rsid w:val="00E77A4E"/>
    <w:rsid w:val="00E80235"/>
    <w:rsid w:val="00E80843"/>
    <w:rsid w:val="00E81380"/>
    <w:rsid w:val="00E81898"/>
    <w:rsid w:val="00E81ED2"/>
    <w:rsid w:val="00E838B5"/>
    <w:rsid w:val="00E84809"/>
    <w:rsid w:val="00E87778"/>
    <w:rsid w:val="00E90B41"/>
    <w:rsid w:val="00E911C9"/>
    <w:rsid w:val="00E926F4"/>
    <w:rsid w:val="00E92929"/>
    <w:rsid w:val="00E9312A"/>
    <w:rsid w:val="00E9377C"/>
    <w:rsid w:val="00E94A69"/>
    <w:rsid w:val="00E952E9"/>
    <w:rsid w:val="00E95CEB"/>
    <w:rsid w:val="00E96630"/>
    <w:rsid w:val="00E9688A"/>
    <w:rsid w:val="00E96A16"/>
    <w:rsid w:val="00E97BE3"/>
    <w:rsid w:val="00EA21B0"/>
    <w:rsid w:val="00EA308F"/>
    <w:rsid w:val="00EA34F6"/>
    <w:rsid w:val="00EA3C5D"/>
    <w:rsid w:val="00EA416E"/>
    <w:rsid w:val="00EA6949"/>
    <w:rsid w:val="00EA78A7"/>
    <w:rsid w:val="00EA7E7C"/>
    <w:rsid w:val="00EB0398"/>
    <w:rsid w:val="00EB0D0E"/>
    <w:rsid w:val="00EB20A9"/>
    <w:rsid w:val="00EB25AF"/>
    <w:rsid w:val="00EB2FDD"/>
    <w:rsid w:val="00EB45D0"/>
    <w:rsid w:val="00EB4B37"/>
    <w:rsid w:val="00EC23CA"/>
    <w:rsid w:val="00EC23D2"/>
    <w:rsid w:val="00EC2EE4"/>
    <w:rsid w:val="00EC310E"/>
    <w:rsid w:val="00EC5BA2"/>
    <w:rsid w:val="00EC6305"/>
    <w:rsid w:val="00EC7ABC"/>
    <w:rsid w:val="00EC7E8E"/>
    <w:rsid w:val="00ED056E"/>
    <w:rsid w:val="00ED0B7D"/>
    <w:rsid w:val="00ED19DD"/>
    <w:rsid w:val="00ED2DB1"/>
    <w:rsid w:val="00ED3A05"/>
    <w:rsid w:val="00ED7A2A"/>
    <w:rsid w:val="00ED7D55"/>
    <w:rsid w:val="00EE0A9E"/>
    <w:rsid w:val="00EE17A8"/>
    <w:rsid w:val="00EE5835"/>
    <w:rsid w:val="00EE60CF"/>
    <w:rsid w:val="00EF013A"/>
    <w:rsid w:val="00EF06FB"/>
    <w:rsid w:val="00EF0989"/>
    <w:rsid w:val="00EF1B0A"/>
    <w:rsid w:val="00EF1D7F"/>
    <w:rsid w:val="00EF2824"/>
    <w:rsid w:val="00EF3A4D"/>
    <w:rsid w:val="00EF3C43"/>
    <w:rsid w:val="00EF5E06"/>
    <w:rsid w:val="00EF6863"/>
    <w:rsid w:val="00F004C8"/>
    <w:rsid w:val="00F00612"/>
    <w:rsid w:val="00F0085C"/>
    <w:rsid w:val="00F00B2C"/>
    <w:rsid w:val="00F00CCE"/>
    <w:rsid w:val="00F033E7"/>
    <w:rsid w:val="00F04491"/>
    <w:rsid w:val="00F05A06"/>
    <w:rsid w:val="00F0751B"/>
    <w:rsid w:val="00F11449"/>
    <w:rsid w:val="00F11BF8"/>
    <w:rsid w:val="00F128F8"/>
    <w:rsid w:val="00F150D5"/>
    <w:rsid w:val="00F15ED5"/>
    <w:rsid w:val="00F164D6"/>
    <w:rsid w:val="00F16990"/>
    <w:rsid w:val="00F16DB4"/>
    <w:rsid w:val="00F208CF"/>
    <w:rsid w:val="00F2162B"/>
    <w:rsid w:val="00F21A77"/>
    <w:rsid w:val="00F258EE"/>
    <w:rsid w:val="00F258FF"/>
    <w:rsid w:val="00F25E82"/>
    <w:rsid w:val="00F25EF8"/>
    <w:rsid w:val="00F27BDB"/>
    <w:rsid w:val="00F31D7A"/>
    <w:rsid w:val="00F32ECD"/>
    <w:rsid w:val="00F34539"/>
    <w:rsid w:val="00F34D2A"/>
    <w:rsid w:val="00F35192"/>
    <w:rsid w:val="00F35A01"/>
    <w:rsid w:val="00F35C34"/>
    <w:rsid w:val="00F36C81"/>
    <w:rsid w:val="00F36FA5"/>
    <w:rsid w:val="00F405E4"/>
    <w:rsid w:val="00F4137C"/>
    <w:rsid w:val="00F418E3"/>
    <w:rsid w:val="00F42ACE"/>
    <w:rsid w:val="00F442DC"/>
    <w:rsid w:val="00F445FA"/>
    <w:rsid w:val="00F45BD2"/>
    <w:rsid w:val="00F460E4"/>
    <w:rsid w:val="00F50538"/>
    <w:rsid w:val="00F51E74"/>
    <w:rsid w:val="00F52349"/>
    <w:rsid w:val="00F52EE1"/>
    <w:rsid w:val="00F53BA8"/>
    <w:rsid w:val="00F543E1"/>
    <w:rsid w:val="00F55E32"/>
    <w:rsid w:val="00F568B4"/>
    <w:rsid w:val="00F63CA8"/>
    <w:rsid w:val="00F65F74"/>
    <w:rsid w:val="00F66EA8"/>
    <w:rsid w:val="00F70699"/>
    <w:rsid w:val="00F718B1"/>
    <w:rsid w:val="00F71C9B"/>
    <w:rsid w:val="00F7221D"/>
    <w:rsid w:val="00F81E92"/>
    <w:rsid w:val="00F86FD1"/>
    <w:rsid w:val="00F877E5"/>
    <w:rsid w:val="00F87A0C"/>
    <w:rsid w:val="00F90EA6"/>
    <w:rsid w:val="00F91759"/>
    <w:rsid w:val="00F92963"/>
    <w:rsid w:val="00F93781"/>
    <w:rsid w:val="00F95847"/>
    <w:rsid w:val="00FA0252"/>
    <w:rsid w:val="00FA29A0"/>
    <w:rsid w:val="00FA29A5"/>
    <w:rsid w:val="00FA5869"/>
    <w:rsid w:val="00FA7CCD"/>
    <w:rsid w:val="00FB08BC"/>
    <w:rsid w:val="00FB1447"/>
    <w:rsid w:val="00FB161D"/>
    <w:rsid w:val="00FB20E9"/>
    <w:rsid w:val="00FB2E68"/>
    <w:rsid w:val="00FB30EE"/>
    <w:rsid w:val="00FB3A46"/>
    <w:rsid w:val="00FB5CF8"/>
    <w:rsid w:val="00FB613B"/>
    <w:rsid w:val="00FB62CC"/>
    <w:rsid w:val="00FB65BD"/>
    <w:rsid w:val="00FC1148"/>
    <w:rsid w:val="00FC26CE"/>
    <w:rsid w:val="00FC2817"/>
    <w:rsid w:val="00FC2A80"/>
    <w:rsid w:val="00FC60EA"/>
    <w:rsid w:val="00FC68B7"/>
    <w:rsid w:val="00FD0878"/>
    <w:rsid w:val="00FD318B"/>
    <w:rsid w:val="00FD3981"/>
    <w:rsid w:val="00FD4293"/>
    <w:rsid w:val="00FD46E0"/>
    <w:rsid w:val="00FD66B8"/>
    <w:rsid w:val="00FD78B4"/>
    <w:rsid w:val="00FE006F"/>
    <w:rsid w:val="00FE009E"/>
    <w:rsid w:val="00FE106A"/>
    <w:rsid w:val="00FE122A"/>
    <w:rsid w:val="00FE50BE"/>
    <w:rsid w:val="00FE5191"/>
    <w:rsid w:val="00FE7842"/>
    <w:rsid w:val="00FF0CCB"/>
    <w:rsid w:val="00FF1862"/>
    <w:rsid w:val="00FF1995"/>
    <w:rsid w:val="00FF1B8C"/>
    <w:rsid w:val="00FF4B8D"/>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E2B0A-3A2B-47EF-B835-4F649447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3F250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3F2508"/>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rFonts w:eastAsia="SimSun"/>
      <w:sz w:val="18"/>
      <w:lang w:eastAsia="zh-CN"/>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cs="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customStyle="1" w:styleId="ColorfulList-Accent11">
    <w:name w:val="Colorful List - Accent 11"/>
    <w:basedOn w:val="Normal"/>
    <w:uiPriority w:val="34"/>
    <w:qFormat/>
    <w:rsid w:val="00541F18"/>
    <w:pPr>
      <w:ind w:left="720"/>
      <w:contextualSpacing/>
    </w:pPr>
  </w:style>
  <w:style w:type="paragraph" w:customStyle="1" w:styleId="MediumGrid21">
    <w:name w:val="Medium Grid 21"/>
    <w:uiPriority w:val="1"/>
    <w:qFormat/>
    <w:rsid w:val="004C0373"/>
    <w:rPr>
      <w:rFonts w:ascii="Calibri" w:eastAsia="Calibri" w:hAnsi="Calibri"/>
      <w:sz w:val="22"/>
      <w:szCs w:val="22"/>
      <w:lang w:val="en-US" w:eastAsia="en-US"/>
    </w:rPr>
  </w:style>
  <w:style w:type="paragraph" w:styleId="NormalWeb">
    <w:name w:val="Normal (Web)"/>
    <w:basedOn w:val="Normal"/>
    <w:rsid w:val="007A5D8F"/>
    <w:rPr>
      <w:sz w:val="24"/>
      <w:szCs w:val="24"/>
    </w:rPr>
  </w:style>
  <w:style w:type="character" w:styleId="CommentReference">
    <w:name w:val="annotation reference"/>
    <w:rsid w:val="006F2EA0"/>
    <w:rPr>
      <w:sz w:val="16"/>
      <w:szCs w:val="16"/>
    </w:rPr>
  </w:style>
  <w:style w:type="paragraph" w:styleId="CommentText">
    <w:name w:val="annotation text"/>
    <w:basedOn w:val="Normal"/>
    <w:link w:val="CommentTextChar"/>
    <w:rsid w:val="006F2EA0"/>
    <w:pPr>
      <w:spacing w:line="240" w:lineRule="auto"/>
    </w:pPr>
  </w:style>
  <w:style w:type="character" w:customStyle="1" w:styleId="CommentTextChar">
    <w:name w:val="Comment Text Char"/>
    <w:link w:val="CommentText"/>
    <w:rsid w:val="006F2EA0"/>
    <w:rPr>
      <w:lang w:eastAsia="en-US"/>
    </w:rPr>
  </w:style>
  <w:style w:type="paragraph" w:styleId="CommentSubject">
    <w:name w:val="annotation subject"/>
    <w:basedOn w:val="CommentText"/>
    <w:next w:val="CommentText"/>
    <w:link w:val="CommentSubjectChar"/>
    <w:rsid w:val="006F2EA0"/>
    <w:rPr>
      <w:b/>
      <w:bCs/>
    </w:rPr>
  </w:style>
  <w:style w:type="character" w:customStyle="1" w:styleId="CommentSubjectChar">
    <w:name w:val="Comment Subject Char"/>
    <w:link w:val="CommentSubject"/>
    <w:rsid w:val="006F2EA0"/>
    <w:rPr>
      <w:b/>
      <w:bCs/>
      <w:lang w:eastAsia="en-US"/>
    </w:rPr>
  </w:style>
  <w:style w:type="paragraph" w:customStyle="1" w:styleId="Default">
    <w:name w:val="Default"/>
    <w:rsid w:val="006B1052"/>
    <w:pPr>
      <w:autoSpaceDE w:val="0"/>
      <w:autoSpaceDN w:val="0"/>
      <w:adjustRightInd w:val="0"/>
    </w:pPr>
    <w:rPr>
      <w:color w:val="000000"/>
      <w:sz w:val="24"/>
      <w:szCs w:val="24"/>
    </w:rPr>
  </w:style>
  <w:style w:type="character" w:customStyle="1" w:styleId="SingleTxtGChar">
    <w:name w:val="_ Single Txt_G Char"/>
    <w:link w:val="SingleTxtG"/>
    <w:locked/>
    <w:rsid w:val="00626102"/>
    <w:rPr>
      <w:lang w:eastAsia="en-US"/>
    </w:rPr>
  </w:style>
  <w:style w:type="paragraph" w:customStyle="1" w:styleId="ColorfulShading-Accent11">
    <w:name w:val="Colorful Shading - Accent 11"/>
    <w:hidden/>
    <w:uiPriority w:val="99"/>
    <w:rsid w:val="005D4751"/>
    <w:rPr>
      <w:lang w:eastAsia="en-US"/>
    </w:rPr>
  </w:style>
  <w:style w:type="paragraph" w:customStyle="1" w:styleId="SingleTxt">
    <w:name w:val="__Single Txt"/>
    <w:basedOn w:val="Normal"/>
    <w:rsid w:val="00620DD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SimSun"/>
      <w:spacing w:val="4"/>
      <w:w w:val="103"/>
      <w:kern w:val="14"/>
      <w:lang w:eastAsia="zh-CN"/>
    </w:rPr>
  </w:style>
  <w:style w:type="paragraph" w:styleId="NoSpacing">
    <w:name w:val="No Spacing"/>
    <w:uiPriority w:val="1"/>
    <w:qFormat/>
    <w:rsid w:val="002E3A50"/>
    <w:pPr>
      <w:suppressAutoHyphens/>
    </w:pPr>
    <w:rPr>
      <w:lang w:eastAsia="en-US"/>
    </w:rPr>
  </w:style>
  <w:style w:type="paragraph" w:styleId="ListParagraph">
    <w:name w:val="List Paragraph"/>
    <w:basedOn w:val="Normal"/>
    <w:uiPriority w:val="34"/>
    <w:qFormat/>
    <w:rsid w:val="00276D04"/>
    <w:pPr>
      <w:suppressAutoHyphens w:val="0"/>
      <w:spacing w:after="200" w:line="276" w:lineRule="auto"/>
      <w:ind w:left="720"/>
      <w:contextualSpacing/>
    </w:pPr>
    <w:rPr>
      <w:rFonts w:ascii="Calibri" w:eastAsia="Calibri" w:hAnsi="Calibri"/>
      <w:sz w:val="22"/>
      <w:szCs w:val="22"/>
      <w:lang w:val="en-CA"/>
    </w:rPr>
  </w:style>
  <w:style w:type="character" w:customStyle="1" w:styleId="apple-converted-space">
    <w:name w:val="apple-converted-space"/>
    <w:rsid w:val="00F16DB4"/>
  </w:style>
  <w:style w:type="paragraph" w:styleId="Revision">
    <w:name w:val="Revision"/>
    <w:hidden/>
    <w:uiPriority w:val="99"/>
    <w:semiHidden/>
    <w:rsid w:val="00E9688A"/>
    <w:rPr>
      <w:lang w:eastAsia="en-US"/>
    </w:rPr>
  </w:style>
  <w:style w:type="character" w:customStyle="1" w:styleId="preferred">
    <w:name w:val="preferred"/>
    <w:basedOn w:val="DefaultParagraphFont"/>
    <w:rsid w:val="0078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027294734">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383291528">
      <w:bodyDiv w:val="1"/>
      <w:marLeft w:val="0"/>
      <w:marRight w:val="0"/>
      <w:marTop w:val="0"/>
      <w:marBottom w:val="0"/>
      <w:divBdr>
        <w:top w:val="none" w:sz="0" w:space="0" w:color="auto"/>
        <w:left w:val="none" w:sz="0" w:space="0" w:color="auto"/>
        <w:bottom w:val="none" w:sz="0" w:space="0" w:color="auto"/>
        <w:right w:val="none" w:sz="0" w:space="0" w:color="auto"/>
      </w:divBdr>
    </w:div>
    <w:div w:id="1386031839">
      <w:bodyDiv w:val="1"/>
      <w:marLeft w:val="0"/>
      <w:marRight w:val="0"/>
      <w:marTop w:val="0"/>
      <w:marBottom w:val="0"/>
      <w:divBdr>
        <w:top w:val="none" w:sz="0" w:space="0" w:color="auto"/>
        <w:left w:val="none" w:sz="0" w:space="0" w:color="auto"/>
        <w:bottom w:val="none" w:sz="0" w:space="0" w:color="auto"/>
        <w:right w:val="none" w:sz="0" w:space="0" w:color="auto"/>
      </w:divBdr>
      <w:divsChild>
        <w:div w:id="267005714">
          <w:marLeft w:val="0"/>
          <w:marRight w:val="0"/>
          <w:marTop w:val="0"/>
          <w:marBottom w:val="0"/>
          <w:divBdr>
            <w:top w:val="none" w:sz="0" w:space="0" w:color="auto"/>
            <w:left w:val="none" w:sz="0" w:space="0" w:color="auto"/>
            <w:bottom w:val="none" w:sz="0" w:space="0" w:color="auto"/>
            <w:right w:val="none" w:sz="0" w:space="0" w:color="auto"/>
          </w:divBdr>
          <w:divsChild>
            <w:div w:id="1246837381">
              <w:marLeft w:val="0"/>
              <w:marRight w:val="0"/>
              <w:marTop w:val="0"/>
              <w:marBottom w:val="0"/>
              <w:divBdr>
                <w:top w:val="none" w:sz="0" w:space="0" w:color="auto"/>
                <w:left w:val="none" w:sz="0" w:space="0" w:color="auto"/>
                <w:bottom w:val="none" w:sz="0" w:space="0" w:color="auto"/>
                <w:right w:val="none" w:sz="0" w:space="0" w:color="auto"/>
              </w:divBdr>
              <w:divsChild>
                <w:div w:id="659578932">
                  <w:marLeft w:val="0"/>
                  <w:marRight w:val="0"/>
                  <w:marTop w:val="0"/>
                  <w:marBottom w:val="0"/>
                  <w:divBdr>
                    <w:top w:val="none" w:sz="0" w:space="0" w:color="auto"/>
                    <w:left w:val="none" w:sz="0" w:space="0" w:color="auto"/>
                    <w:bottom w:val="none" w:sz="0" w:space="0" w:color="auto"/>
                    <w:right w:val="none" w:sz="0" w:space="0" w:color="auto"/>
                  </w:divBdr>
                  <w:divsChild>
                    <w:div w:id="1125583263">
                      <w:marLeft w:val="0"/>
                      <w:marRight w:val="0"/>
                      <w:marTop w:val="0"/>
                      <w:marBottom w:val="0"/>
                      <w:divBdr>
                        <w:top w:val="none" w:sz="0" w:space="0" w:color="auto"/>
                        <w:left w:val="none" w:sz="0" w:space="0" w:color="auto"/>
                        <w:bottom w:val="none" w:sz="0" w:space="0" w:color="auto"/>
                        <w:right w:val="none" w:sz="0" w:space="0" w:color="auto"/>
                      </w:divBdr>
                      <w:divsChild>
                        <w:div w:id="47187887">
                          <w:marLeft w:val="0"/>
                          <w:marRight w:val="0"/>
                          <w:marTop w:val="0"/>
                          <w:marBottom w:val="0"/>
                          <w:divBdr>
                            <w:top w:val="none" w:sz="0" w:space="0" w:color="auto"/>
                            <w:left w:val="none" w:sz="0" w:space="0" w:color="auto"/>
                            <w:bottom w:val="none" w:sz="0" w:space="0" w:color="auto"/>
                            <w:right w:val="none" w:sz="0" w:space="0" w:color="auto"/>
                          </w:divBdr>
                          <w:divsChild>
                            <w:div w:id="2022588470">
                              <w:marLeft w:val="0"/>
                              <w:marRight w:val="0"/>
                              <w:marTop w:val="0"/>
                              <w:marBottom w:val="0"/>
                              <w:divBdr>
                                <w:top w:val="none" w:sz="0" w:space="0" w:color="auto"/>
                                <w:left w:val="none" w:sz="0" w:space="0" w:color="auto"/>
                                <w:bottom w:val="none" w:sz="0" w:space="0" w:color="auto"/>
                                <w:right w:val="none" w:sz="0" w:space="0" w:color="auto"/>
                              </w:divBdr>
                              <w:divsChild>
                                <w:div w:id="931427366">
                                  <w:marLeft w:val="0"/>
                                  <w:marRight w:val="0"/>
                                  <w:marTop w:val="0"/>
                                  <w:marBottom w:val="0"/>
                                  <w:divBdr>
                                    <w:top w:val="none" w:sz="0" w:space="0" w:color="auto"/>
                                    <w:left w:val="none" w:sz="0" w:space="0" w:color="auto"/>
                                    <w:bottom w:val="none" w:sz="0" w:space="0" w:color="auto"/>
                                    <w:right w:val="none" w:sz="0" w:space="0" w:color="auto"/>
                                  </w:divBdr>
                                  <w:divsChild>
                                    <w:div w:id="182911618">
                                      <w:marLeft w:val="60"/>
                                      <w:marRight w:val="0"/>
                                      <w:marTop w:val="0"/>
                                      <w:marBottom w:val="0"/>
                                      <w:divBdr>
                                        <w:top w:val="none" w:sz="0" w:space="0" w:color="auto"/>
                                        <w:left w:val="none" w:sz="0" w:space="0" w:color="auto"/>
                                        <w:bottom w:val="none" w:sz="0" w:space="0" w:color="auto"/>
                                        <w:right w:val="none" w:sz="0" w:space="0" w:color="auto"/>
                                      </w:divBdr>
                                      <w:divsChild>
                                        <w:div w:id="780951722">
                                          <w:marLeft w:val="0"/>
                                          <w:marRight w:val="0"/>
                                          <w:marTop w:val="0"/>
                                          <w:marBottom w:val="0"/>
                                          <w:divBdr>
                                            <w:top w:val="none" w:sz="0" w:space="0" w:color="auto"/>
                                            <w:left w:val="none" w:sz="0" w:space="0" w:color="auto"/>
                                            <w:bottom w:val="none" w:sz="0" w:space="0" w:color="auto"/>
                                            <w:right w:val="none" w:sz="0" w:space="0" w:color="auto"/>
                                          </w:divBdr>
                                          <w:divsChild>
                                            <w:div w:id="484778998">
                                              <w:marLeft w:val="0"/>
                                              <w:marRight w:val="0"/>
                                              <w:marTop w:val="0"/>
                                              <w:marBottom w:val="120"/>
                                              <w:divBdr>
                                                <w:top w:val="single" w:sz="6" w:space="0" w:color="F5F5F5"/>
                                                <w:left w:val="single" w:sz="6" w:space="0" w:color="F5F5F5"/>
                                                <w:bottom w:val="single" w:sz="6" w:space="0" w:color="F5F5F5"/>
                                                <w:right w:val="single" w:sz="6" w:space="0" w:color="F5F5F5"/>
                                              </w:divBdr>
                                              <w:divsChild>
                                                <w:div w:id="1846480911">
                                                  <w:marLeft w:val="0"/>
                                                  <w:marRight w:val="0"/>
                                                  <w:marTop w:val="0"/>
                                                  <w:marBottom w:val="0"/>
                                                  <w:divBdr>
                                                    <w:top w:val="none" w:sz="0" w:space="0" w:color="auto"/>
                                                    <w:left w:val="none" w:sz="0" w:space="0" w:color="auto"/>
                                                    <w:bottom w:val="none" w:sz="0" w:space="0" w:color="auto"/>
                                                    <w:right w:val="none" w:sz="0" w:space="0" w:color="auto"/>
                                                  </w:divBdr>
                                                  <w:divsChild>
                                                    <w:div w:id="1878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944219">
      <w:bodyDiv w:val="1"/>
      <w:marLeft w:val="0"/>
      <w:marRight w:val="0"/>
      <w:marTop w:val="0"/>
      <w:marBottom w:val="0"/>
      <w:divBdr>
        <w:top w:val="none" w:sz="0" w:space="0" w:color="auto"/>
        <w:left w:val="none" w:sz="0" w:space="0" w:color="auto"/>
        <w:bottom w:val="none" w:sz="0" w:space="0" w:color="auto"/>
        <w:right w:val="none" w:sz="0" w:space="0" w:color="auto"/>
      </w:divBdr>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 w:id="19398229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08EA-B09E-45A9-BA8F-877EF1BF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11</Pages>
  <Words>5320</Words>
  <Characters>30329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1615816</vt:lpstr>
    </vt:vector>
  </TitlesOfParts>
  <Company>CSD</Company>
  <LinksUpToDate>false</LinksUpToDate>
  <CharactersWithSpaces>35578</CharactersWithSpaces>
  <SharedDoc>false</SharedDoc>
  <HLinks>
    <vt:vector size="12" baseType="variant">
      <vt:variant>
        <vt:i4>7471108</vt:i4>
      </vt:variant>
      <vt:variant>
        <vt:i4>3</vt:i4>
      </vt:variant>
      <vt:variant>
        <vt:i4>0</vt:i4>
      </vt:variant>
      <vt:variant>
        <vt:i4>5</vt:i4>
      </vt:variant>
      <vt:variant>
        <vt:lpwstr>https://barhumanrights.org.uk/sites/default/files/documents/news/an_unfinihsed_war._torture_and_sexual_violence_in_sri_lanka_2009-2014_0.pdf</vt:lpwstr>
      </vt:variant>
      <vt:variant>
        <vt:lpwstr/>
      </vt:variant>
      <vt:variant>
        <vt:i4>8257663</vt:i4>
      </vt:variant>
      <vt:variant>
        <vt:i4>0</vt:i4>
      </vt:variant>
      <vt:variant>
        <vt:i4>0</vt:i4>
      </vt:variant>
      <vt:variant>
        <vt:i4>5</vt:i4>
      </vt:variant>
      <vt:variant>
        <vt:lpwstr>http://www.freedomfromtorture.org/sites/default/files/documents/sl_report_a4_-_final-f-b-web.pdf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1615816</dc:title>
  <dc:subject>CAT/C/58/D/608/2014</dc:subject>
  <dc:creator>Anne Kawuki</dc:creator>
  <cp:keywords/>
  <dc:description/>
  <cp:lastModifiedBy>Sarah Willig</cp:lastModifiedBy>
  <cp:revision>2</cp:revision>
  <cp:lastPrinted>2016-08-29T07:52:00Z</cp:lastPrinted>
  <dcterms:created xsi:type="dcterms:W3CDTF">2017-04-10T17:42:00Z</dcterms:created>
  <dcterms:modified xsi:type="dcterms:W3CDTF">2017-04-10T17:42:00Z</dcterms:modified>
</cp:coreProperties>
</file>