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953A51">
            <w:pPr>
              <w:spacing w:after="80"/>
            </w:pPr>
            <w:bookmarkStart w:id="0" w:name="_GoBack"/>
            <w:bookmarkEnd w:id="0"/>
          </w:p>
        </w:tc>
        <w:tc>
          <w:tcPr>
            <w:tcW w:w="2268" w:type="dxa"/>
            <w:tcBorders>
              <w:bottom w:val="single" w:sz="4" w:space="0" w:color="auto"/>
            </w:tcBorders>
            <w:vAlign w:val="bottom"/>
          </w:tcPr>
          <w:p w:rsidR="00B56E9C" w:rsidRPr="00B97172" w:rsidRDefault="00B56E9C" w:rsidP="00953A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41431D" w:rsidP="00740D68">
            <w:pPr>
              <w:jc w:val="right"/>
            </w:pPr>
            <w:r w:rsidRPr="0041431D">
              <w:rPr>
                <w:sz w:val="40"/>
              </w:rPr>
              <w:t>CCPR</w:t>
            </w:r>
            <w:r w:rsidR="00B23E6F">
              <w:t>/C/11</w:t>
            </w:r>
            <w:r w:rsidR="005057FB">
              <w:t>3</w:t>
            </w:r>
            <w:r>
              <w:t>/D/</w:t>
            </w:r>
            <w:r w:rsidR="005057FB">
              <w:t>1937</w:t>
            </w:r>
            <w:r w:rsidR="00DF3389">
              <w:t>/20</w:t>
            </w:r>
            <w:r w:rsidR="00BD5A19">
              <w:t>1</w:t>
            </w:r>
            <w:r w:rsidR="005057FB">
              <w:t>0</w:t>
            </w:r>
          </w:p>
        </w:tc>
      </w:tr>
      <w:tr w:rsidR="00B56E9C">
        <w:trPr>
          <w:cantSplit/>
          <w:trHeight w:hRule="exact" w:val="2835"/>
        </w:trPr>
        <w:tc>
          <w:tcPr>
            <w:tcW w:w="1276" w:type="dxa"/>
            <w:tcBorders>
              <w:top w:val="single" w:sz="4" w:space="0" w:color="auto"/>
              <w:bottom w:val="single" w:sz="12" w:space="0" w:color="auto"/>
            </w:tcBorders>
          </w:tcPr>
          <w:p w:rsidR="00B56E9C" w:rsidRDefault="001E27A7" w:rsidP="00953A51">
            <w:pPr>
              <w:spacing w:before="120"/>
            </w:pPr>
            <w:r>
              <w:rPr>
                <w:noProof/>
                <w:lang w:val="en-US"/>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37F0F" w:rsidRPr="001E27A7" w:rsidRDefault="00B56E9C" w:rsidP="00953A51">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41431D" w:rsidRDefault="0041431D" w:rsidP="00953A51">
            <w:pPr>
              <w:spacing w:before="240" w:line="240" w:lineRule="exact"/>
            </w:pPr>
            <w:r>
              <w:t xml:space="preserve">Distr.: </w:t>
            </w:r>
            <w:r w:rsidR="00437F0F">
              <w:t>General</w:t>
            </w:r>
          </w:p>
          <w:p w:rsidR="0041431D" w:rsidRDefault="00107507" w:rsidP="00953A51">
            <w:pPr>
              <w:spacing w:line="240" w:lineRule="exact"/>
            </w:pPr>
            <w:r>
              <w:t>15 May</w:t>
            </w:r>
            <w:r w:rsidR="001E23FD">
              <w:t xml:space="preserve"> 201</w:t>
            </w:r>
            <w:r w:rsidR="005057FB">
              <w:t>5</w:t>
            </w:r>
          </w:p>
          <w:p w:rsidR="0041431D" w:rsidRDefault="0041431D" w:rsidP="00953A51">
            <w:pPr>
              <w:spacing w:line="240" w:lineRule="exact"/>
            </w:pPr>
          </w:p>
          <w:p w:rsidR="009B57FE" w:rsidRDefault="0041431D" w:rsidP="00953A51">
            <w:pPr>
              <w:spacing w:line="240" w:lineRule="exact"/>
            </w:pPr>
            <w:r>
              <w:t>Original: English</w:t>
            </w:r>
          </w:p>
        </w:tc>
      </w:tr>
    </w:tbl>
    <w:p w:rsidR="0041431D" w:rsidRPr="0041431D" w:rsidRDefault="0041431D" w:rsidP="00723FB7">
      <w:pPr>
        <w:spacing w:before="120"/>
        <w:ind w:right="-1134"/>
        <w:rPr>
          <w:b/>
          <w:sz w:val="24"/>
          <w:szCs w:val="24"/>
        </w:rPr>
      </w:pPr>
      <w:r w:rsidRPr="0041431D">
        <w:rPr>
          <w:b/>
          <w:sz w:val="24"/>
          <w:szCs w:val="24"/>
        </w:rPr>
        <w:t>Human Rights Committee</w:t>
      </w:r>
      <w:r w:rsidR="001E27A7">
        <w:rPr>
          <w:b/>
          <w:noProof/>
          <w:sz w:val="24"/>
          <w:szCs w:val="24"/>
          <w:lang w:val="en-US"/>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http://undocs.org/m2/QRCode.ashx?DS=CCPR/C/113/D/1937/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1937/2010&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31D" w:rsidRPr="0041431D" w:rsidRDefault="007C1B55" w:rsidP="00953A51">
      <w:pPr>
        <w:pStyle w:val="HChG"/>
        <w:ind w:right="0"/>
      </w:pPr>
      <w:r>
        <w:tab/>
      </w:r>
      <w:r>
        <w:tab/>
        <w:t>Communication</w:t>
      </w:r>
      <w:r w:rsidR="001C27E3">
        <w:t xml:space="preserve"> No. </w:t>
      </w:r>
      <w:r w:rsidR="005057FB">
        <w:t>1937</w:t>
      </w:r>
      <w:r w:rsidR="00B23E6F">
        <w:t>/201</w:t>
      </w:r>
      <w:r w:rsidR="005057FB">
        <w:t>0</w:t>
      </w:r>
    </w:p>
    <w:p w:rsidR="0041431D" w:rsidRPr="0041431D" w:rsidRDefault="0041431D" w:rsidP="00953A51">
      <w:pPr>
        <w:pStyle w:val="H1G"/>
        <w:ind w:right="0"/>
      </w:pPr>
      <w:r w:rsidRPr="0041431D">
        <w:tab/>
      </w:r>
      <w:r w:rsidRPr="0041431D">
        <w:tab/>
      </w:r>
      <w:r w:rsidR="00437F0F" w:rsidRPr="00F91B3A">
        <w:t>Views adopted by the Committee at its 11</w:t>
      </w:r>
      <w:r w:rsidR="00437F0F">
        <w:t>3</w:t>
      </w:r>
      <w:r w:rsidR="00437F0F" w:rsidRPr="00FF59AA">
        <w:t>th</w:t>
      </w:r>
      <w:r w:rsidR="00437F0F">
        <w:t xml:space="preserve"> session</w:t>
      </w:r>
      <w:r w:rsidR="00437F0F">
        <w:br/>
        <w:t>(</w:t>
      </w:r>
      <w:r w:rsidR="00437F0F">
        <w:rPr>
          <w:bCs/>
          <w:lang w:val="en-US"/>
        </w:rPr>
        <w:t xml:space="preserve">16 March–2 April </w:t>
      </w:r>
      <w:r w:rsidR="00437F0F" w:rsidRPr="00735F4E">
        <w:rPr>
          <w:bCs/>
          <w:lang w:val="en-US"/>
        </w:rPr>
        <w:t>201</w:t>
      </w:r>
      <w:r w:rsidR="00437F0F">
        <w:rPr>
          <w:bCs/>
          <w:lang w:val="en-US"/>
        </w:rPr>
        <w:t>5)</w:t>
      </w:r>
    </w:p>
    <w:p w:rsidR="0041431D" w:rsidRPr="0041431D" w:rsidRDefault="0041431D" w:rsidP="00FF59AA">
      <w:pPr>
        <w:pStyle w:val="SingleTxtG"/>
        <w:ind w:left="4536" w:hanging="3402"/>
        <w:jc w:val="left"/>
      </w:pPr>
      <w:r w:rsidRPr="00953A51">
        <w:rPr>
          <w:i/>
        </w:rPr>
        <w:t>Submitted by</w:t>
      </w:r>
      <w:r w:rsidRPr="0041431D">
        <w:t>:</w:t>
      </w:r>
      <w:r w:rsidRPr="0041431D">
        <w:tab/>
      </w:r>
      <w:r w:rsidR="005057FB">
        <w:t>Mansour Legha</w:t>
      </w:r>
      <w:r w:rsidR="006260ED">
        <w:t>e</w:t>
      </w:r>
      <w:r w:rsidR="005057FB">
        <w:t xml:space="preserve">i </w:t>
      </w:r>
      <w:r w:rsidR="00107507">
        <w:t>and others</w:t>
      </w:r>
      <w:r w:rsidR="00107507">
        <w:br/>
      </w:r>
      <w:r w:rsidRPr="0041431D">
        <w:t>(</w:t>
      </w:r>
      <w:r w:rsidRPr="00E037D0">
        <w:rPr>
          <w:lang w:val="x-none"/>
        </w:rPr>
        <w:t>represented</w:t>
      </w:r>
      <w:r w:rsidRPr="0041431D">
        <w:t xml:space="preserve"> by </w:t>
      </w:r>
      <w:r w:rsidR="0092062E">
        <w:t>Joanne Kinslor</w:t>
      </w:r>
      <w:r w:rsidRPr="0041431D">
        <w:t>)</w:t>
      </w:r>
    </w:p>
    <w:p w:rsidR="0041431D" w:rsidRPr="0041431D" w:rsidRDefault="0041431D" w:rsidP="00FF59AA">
      <w:pPr>
        <w:pStyle w:val="SingleTxtG"/>
        <w:ind w:left="4536" w:right="0" w:hanging="3402"/>
        <w:jc w:val="left"/>
      </w:pPr>
      <w:r w:rsidRPr="00953A51">
        <w:rPr>
          <w:i/>
        </w:rPr>
        <w:t>Alleged victims</w:t>
      </w:r>
      <w:r w:rsidR="00DF3389">
        <w:t>:</w:t>
      </w:r>
      <w:r w:rsidR="00DF3389">
        <w:tab/>
        <w:t>The author</w:t>
      </w:r>
      <w:r w:rsidR="001D69EC">
        <w:t>, his wife and four children</w:t>
      </w:r>
    </w:p>
    <w:p w:rsidR="0041431D" w:rsidRPr="0041431D" w:rsidRDefault="0041431D" w:rsidP="00FF59AA">
      <w:pPr>
        <w:pStyle w:val="SingleTxtG"/>
        <w:ind w:left="4536" w:right="0" w:hanging="3402"/>
        <w:jc w:val="left"/>
      </w:pPr>
      <w:r w:rsidRPr="00953A51">
        <w:rPr>
          <w:i/>
        </w:rPr>
        <w:t>State party</w:t>
      </w:r>
      <w:r w:rsidRPr="0041431D">
        <w:t>:</w:t>
      </w:r>
      <w:r w:rsidRPr="0041431D">
        <w:tab/>
      </w:r>
      <w:smartTag w:uri="urn:schemas-microsoft-com:office:smarttags" w:element="country-region">
        <w:smartTag w:uri="urn:schemas-microsoft-com:office:smarttags" w:element="place">
          <w:r w:rsidR="00BD5A19">
            <w:t>Australia</w:t>
          </w:r>
        </w:smartTag>
      </w:smartTag>
    </w:p>
    <w:p w:rsidR="0041431D" w:rsidRPr="0041431D" w:rsidRDefault="0041431D" w:rsidP="00FF59AA">
      <w:pPr>
        <w:pStyle w:val="SingleTxtG"/>
        <w:ind w:left="4536" w:right="0" w:hanging="3402"/>
        <w:jc w:val="left"/>
      </w:pPr>
      <w:r w:rsidRPr="00953A51">
        <w:rPr>
          <w:i/>
        </w:rPr>
        <w:t>Date of communication</w:t>
      </w:r>
      <w:r w:rsidR="00DF3389">
        <w:t>:</w:t>
      </w:r>
      <w:r w:rsidR="00DF3389">
        <w:tab/>
      </w:r>
      <w:r w:rsidR="00F80F9F">
        <w:t>1</w:t>
      </w:r>
      <w:r w:rsidR="006260ED">
        <w:t>6</w:t>
      </w:r>
      <w:r w:rsidR="00F80F9F">
        <w:t xml:space="preserve"> April 201</w:t>
      </w:r>
      <w:r w:rsidR="006260ED">
        <w:t>0</w:t>
      </w:r>
      <w:r w:rsidRPr="0041431D">
        <w:t xml:space="preserve"> (initial submission)</w:t>
      </w:r>
    </w:p>
    <w:p w:rsidR="0041431D" w:rsidRPr="0041431D" w:rsidRDefault="0041431D" w:rsidP="00FF59AA">
      <w:pPr>
        <w:pStyle w:val="SingleTxtG"/>
        <w:ind w:left="4536" w:hanging="3402"/>
        <w:jc w:val="left"/>
      </w:pPr>
      <w:r w:rsidRPr="00953A51">
        <w:rPr>
          <w:i/>
        </w:rPr>
        <w:t>Document references</w:t>
      </w:r>
      <w:r w:rsidR="00F80F9F">
        <w:t>:</w:t>
      </w:r>
      <w:r w:rsidR="00F80F9F">
        <w:tab/>
        <w:t>Special Rapporteur’s rule 92 and 97</w:t>
      </w:r>
      <w:r w:rsidRPr="0041431D">
        <w:t xml:space="preserve"> decision, transmitted to the State party on </w:t>
      </w:r>
      <w:r w:rsidR="00F80F9F">
        <w:t>2</w:t>
      </w:r>
      <w:r w:rsidR="006260ED">
        <w:t>1</w:t>
      </w:r>
      <w:r w:rsidR="00F80F9F">
        <w:t xml:space="preserve"> April 201</w:t>
      </w:r>
      <w:r w:rsidR="006260ED">
        <w:t>0 (</w:t>
      </w:r>
      <w:r w:rsidRPr="0041431D">
        <w:t>issued in document form)</w:t>
      </w:r>
    </w:p>
    <w:p w:rsidR="0041431D" w:rsidRPr="0041431D" w:rsidRDefault="0041431D" w:rsidP="00FF59AA">
      <w:pPr>
        <w:pStyle w:val="SingleTxtG"/>
        <w:ind w:left="4536" w:right="0" w:hanging="3402"/>
        <w:jc w:val="left"/>
      </w:pPr>
      <w:r w:rsidRPr="00953A51">
        <w:rPr>
          <w:i/>
        </w:rPr>
        <w:t xml:space="preserve">Date of adoption of </w:t>
      </w:r>
      <w:r w:rsidR="00DF3389" w:rsidRPr="00953A51">
        <w:rPr>
          <w:i/>
        </w:rPr>
        <w:t>Views</w:t>
      </w:r>
      <w:r w:rsidRPr="0041431D">
        <w:t>:</w:t>
      </w:r>
      <w:r w:rsidRPr="0041431D">
        <w:tab/>
      </w:r>
      <w:r w:rsidR="00B01058">
        <w:t>26</w:t>
      </w:r>
      <w:r w:rsidRPr="0041431D">
        <w:t xml:space="preserve"> </w:t>
      </w:r>
      <w:r w:rsidR="006260ED">
        <w:t>March</w:t>
      </w:r>
      <w:r w:rsidR="00B23E6F">
        <w:t xml:space="preserve"> 201</w:t>
      </w:r>
      <w:r w:rsidR="006260ED">
        <w:t>5</w:t>
      </w:r>
    </w:p>
    <w:p w:rsidR="00965369" w:rsidRPr="00723FB7" w:rsidRDefault="002D7E7C" w:rsidP="00FF59AA">
      <w:pPr>
        <w:pStyle w:val="SingleTxtG"/>
        <w:ind w:left="4536" w:hanging="3402"/>
        <w:jc w:val="left"/>
        <w:rPr>
          <w:bCs/>
        </w:rPr>
      </w:pPr>
      <w:r>
        <w:rPr>
          <w:i/>
        </w:rPr>
        <w:t>Subject matter:</w:t>
      </w:r>
      <w:r>
        <w:rPr>
          <w:i/>
        </w:rPr>
        <w:tab/>
      </w:r>
      <w:r w:rsidR="006260ED" w:rsidRPr="002D7E7C">
        <w:t>Expulsion</w:t>
      </w:r>
      <w:r w:rsidR="00BD5A19" w:rsidRPr="002D7E7C">
        <w:t xml:space="preserve"> to </w:t>
      </w:r>
      <w:r w:rsidR="00107507">
        <w:t xml:space="preserve">the Islamic Republic of </w:t>
      </w:r>
      <w:r w:rsidR="006260ED" w:rsidRPr="002D7E7C">
        <w:t>Iran</w:t>
      </w:r>
    </w:p>
    <w:p w:rsidR="003875F0" w:rsidRDefault="003875F0" w:rsidP="00FF59AA">
      <w:pPr>
        <w:pStyle w:val="SingleTxtG"/>
        <w:ind w:left="4536" w:hanging="3402"/>
        <w:jc w:val="left"/>
      </w:pPr>
      <w:r w:rsidRPr="0041431D">
        <w:rPr>
          <w:i/>
        </w:rPr>
        <w:t>Procedural issues:</w:t>
      </w:r>
      <w:r w:rsidRPr="0041431D">
        <w:rPr>
          <w:i/>
        </w:rPr>
        <w:tab/>
      </w:r>
      <w:r w:rsidRPr="0066550E">
        <w:t xml:space="preserve">Insufficient </w:t>
      </w:r>
      <w:r w:rsidRPr="00E037D0">
        <w:rPr>
          <w:lang w:val="x-none"/>
        </w:rPr>
        <w:t>substantiation</w:t>
      </w:r>
      <w:r w:rsidRPr="0066550E">
        <w:t xml:space="preserve">; non-exhaustion of domestic remedies </w:t>
      </w:r>
    </w:p>
    <w:p w:rsidR="00965369" w:rsidRPr="003F134D" w:rsidRDefault="0041431D" w:rsidP="00FF59AA">
      <w:pPr>
        <w:pStyle w:val="SingleTxtG"/>
        <w:ind w:left="4536" w:hanging="3402"/>
        <w:jc w:val="left"/>
      </w:pPr>
      <w:r w:rsidRPr="0041431D">
        <w:rPr>
          <w:i/>
        </w:rPr>
        <w:t>Substantive issues:</w:t>
      </w:r>
      <w:r w:rsidRPr="0041431D">
        <w:rPr>
          <w:i/>
        </w:rPr>
        <w:tab/>
      </w:r>
      <w:r w:rsidR="00523BB8" w:rsidRPr="00523BB8">
        <w:t>Compelling reasons</w:t>
      </w:r>
      <w:r w:rsidR="00523BB8">
        <w:t xml:space="preserve"> of national security;</w:t>
      </w:r>
      <w:r w:rsidR="00523BB8" w:rsidRPr="00523BB8">
        <w:t xml:space="preserve"> </w:t>
      </w:r>
      <w:r w:rsidR="003F134D" w:rsidRPr="003F134D">
        <w:t>review of expulsion</w:t>
      </w:r>
      <w:r w:rsidR="003F134D">
        <w:t xml:space="preserve">; </w:t>
      </w:r>
      <w:r w:rsidR="00523BB8" w:rsidRPr="00523BB8">
        <w:t>discrimina</w:t>
      </w:r>
      <w:r w:rsidR="00523BB8">
        <w:t xml:space="preserve">tion on the ground of national </w:t>
      </w:r>
      <w:r w:rsidR="00523BB8" w:rsidRPr="00523BB8">
        <w:t>origin</w:t>
      </w:r>
      <w:r w:rsidR="00523BB8">
        <w:t xml:space="preserve">; </w:t>
      </w:r>
      <w:r w:rsidR="003F134D">
        <w:t xml:space="preserve">discrimination </w:t>
      </w:r>
      <w:r w:rsidR="00523BB8">
        <w:t xml:space="preserve">on the ground of </w:t>
      </w:r>
      <w:r w:rsidR="003F134D">
        <w:t>other status; arbitrary interference with family life; best interest of the child</w:t>
      </w:r>
      <w:r w:rsidR="00796D7D">
        <w:t>.</w:t>
      </w:r>
    </w:p>
    <w:p w:rsidR="0056744E" w:rsidRDefault="0041431D" w:rsidP="00FF59AA">
      <w:pPr>
        <w:pStyle w:val="SingleTxtG"/>
        <w:ind w:left="4536" w:hanging="3402"/>
        <w:jc w:val="left"/>
      </w:pPr>
      <w:r w:rsidRPr="0041431D">
        <w:rPr>
          <w:i/>
        </w:rPr>
        <w:t>Articles of the Covenant:</w:t>
      </w:r>
      <w:r w:rsidRPr="0041431D">
        <w:t xml:space="preserve"> </w:t>
      </w:r>
      <w:r w:rsidRPr="0041431D">
        <w:tab/>
      </w:r>
      <w:r w:rsidR="00887BC2">
        <w:t>2</w:t>
      </w:r>
      <w:r w:rsidR="00107507">
        <w:t>;</w:t>
      </w:r>
      <w:r w:rsidR="00887BC2">
        <w:t xml:space="preserve"> 13</w:t>
      </w:r>
      <w:r w:rsidR="00107507">
        <w:t>;</w:t>
      </w:r>
      <w:r w:rsidR="00887BC2">
        <w:t xml:space="preserve"> 17</w:t>
      </w:r>
      <w:r w:rsidR="00107507">
        <w:t>;</w:t>
      </w:r>
      <w:r w:rsidR="00887BC2">
        <w:t xml:space="preserve"> </w:t>
      </w:r>
      <w:r w:rsidR="00887BC2" w:rsidRPr="00E037D0">
        <w:rPr>
          <w:lang w:val="x-none"/>
        </w:rPr>
        <w:t>23</w:t>
      </w:r>
      <w:r w:rsidR="00107507">
        <w:t>;</w:t>
      </w:r>
      <w:r w:rsidR="00887BC2">
        <w:t xml:space="preserve"> 24</w:t>
      </w:r>
      <w:r w:rsidR="000A27C2">
        <w:t>; 26</w:t>
      </w:r>
    </w:p>
    <w:p w:rsidR="0041431D" w:rsidRPr="0041431D" w:rsidRDefault="0041431D" w:rsidP="00FF59AA">
      <w:pPr>
        <w:pStyle w:val="SingleTxtG"/>
        <w:ind w:left="4536" w:hanging="3402"/>
        <w:jc w:val="left"/>
      </w:pPr>
      <w:r w:rsidRPr="0041431D">
        <w:rPr>
          <w:i/>
        </w:rPr>
        <w:t xml:space="preserve">Articles of the Optional Protocol: </w:t>
      </w:r>
      <w:r w:rsidRPr="0041431D">
        <w:rPr>
          <w:i/>
        </w:rPr>
        <w:tab/>
      </w:r>
      <w:r w:rsidR="00152EE6" w:rsidRPr="00152EE6">
        <w:t>2;</w:t>
      </w:r>
      <w:r w:rsidR="00830964">
        <w:t xml:space="preserve"> </w:t>
      </w:r>
      <w:r w:rsidR="00CB715F">
        <w:t>5</w:t>
      </w:r>
      <w:r w:rsidR="00107507">
        <w:t xml:space="preserve"> </w:t>
      </w:r>
      <w:r w:rsidR="00CB715F">
        <w:t>(</w:t>
      </w:r>
      <w:r w:rsidR="00107507">
        <w:t xml:space="preserve">para. </w:t>
      </w:r>
      <w:r w:rsidR="00CB715F">
        <w:t>2</w:t>
      </w:r>
      <w:r w:rsidR="00107507">
        <w:t xml:space="preserve"> (b)</w:t>
      </w:r>
      <w:r w:rsidR="00CB715F">
        <w:t>)</w:t>
      </w:r>
    </w:p>
    <w:p w:rsidR="00DF3389" w:rsidRDefault="00DF3389" w:rsidP="00723FB7">
      <w:pPr>
        <w:pStyle w:val="SingleTxtG"/>
      </w:pPr>
    </w:p>
    <w:p w:rsidR="0041431D" w:rsidRPr="0041431D" w:rsidRDefault="0041431D" w:rsidP="00953A51">
      <w:pPr>
        <w:pStyle w:val="SingleTxtG"/>
        <w:ind w:right="0"/>
        <w:jc w:val="center"/>
      </w:pPr>
    </w:p>
    <w:p w:rsidR="003C2CFE" w:rsidRPr="005942E2" w:rsidRDefault="0041431D" w:rsidP="005942E2">
      <w:pPr>
        <w:pStyle w:val="HChG"/>
      </w:pPr>
      <w:r w:rsidRPr="0041431D">
        <w:br w:type="page"/>
      </w:r>
      <w:r w:rsidR="003C2CFE" w:rsidRPr="005942E2">
        <w:lastRenderedPageBreak/>
        <w:t>Annex</w:t>
      </w:r>
    </w:p>
    <w:p w:rsidR="003C2CFE" w:rsidRDefault="003C2CFE" w:rsidP="002D7E7C">
      <w:pPr>
        <w:pStyle w:val="HChG"/>
      </w:pPr>
      <w:r>
        <w:tab/>
      </w:r>
      <w:r>
        <w:tab/>
        <w:t xml:space="preserve">Views of the Human Rights Committee under </w:t>
      </w:r>
      <w:r w:rsidR="001C27E3">
        <w:t>article </w:t>
      </w:r>
      <w:r>
        <w:t>5, paragraph 4, of the Optional Protocol to the International C</w:t>
      </w:r>
      <w:r w:rsidR="00D82F4D">
        <w:t>ovenant on Civil and Political R</w:t>
      </w:r>
      <w:r>
        <w:t>ights (</w:t>
      </w:r>
      <w:r w:rsidR="008147FA">
        <w:rPr>
          <w:lang w:val="en-US"/>
        </w:rPr>
        <w:t>11</w:t>
      </w:r>
      <w:r w:rsidR="006260ED">
        <w:rPr>
          <w:lang w:val="en-US"/>
        </w:rPr>
        <w:t>3</w:t>
      </w:r>
      <w:r w:rsidRPr="00417A13">
        <w:rPr>
          <w:lang w:val="en-US"/>
        </w:rPr>
        <w:t>th</w:t>
      </w:r>
      <w:r>
        <w:rPr>
          <w:lang w:val="en-US"/>
        </w:rPr>
        <w:t xml:space="preserve"> session)</w:t>
      </w:r>
    </w:p>
    <w:p w:rsidR="003C2CFE" w:rsidRDefault="003C2CFE" w:rsidP="00953A51">
      <w:pPr>
        <w:pStyle w:val="SingleTxtG"/>
        <w:ind w:right="0"/>
      </w:pPr>
      <w:r>
        <w:t>concerning</w:t>
      </w:r>
    </w:p>
    <w:p w:rsidR="00BB08E6" w:rsidRPr="00A5368D" w:rsidRDefault="003C2CFE" w:rsidP="00953A51">
      <w:pPr>
        <w:keepNext/>
        <w:keepLines/>
        <w:tabs>
          <w:tab w:val="right" w:pos="851"/>
        </w:tabs>
        <w:spacing w:before="360" w:after="240" w:line="270" w:lineRule="exact"/>
        <w:ind w:left="1134" w:hanging="1134"/>
        <w:rPr>
          <w:rFonts w:eastAsia="Calibri"/>
          <w:b/>
          <w:sz w:val="24"/>
          <w:szCs w:val="24"/>
        </w:rPr>
      </w:pPr>
      <w:r w:rsidRPr="006711B5">
        <w:rPr>
          <w:b/>
        </w:rPr>
        <w:tab/>
      </w:r>
      <w:r w:rsidRPr="006711B5">
        <w:rPr>
          <w:b/>
        </w:rPr>
        <w:tab/>
      </w:r>
      <w:r w:rsidR="00BB08E6" w:rsidRPr="00A5368D">
        <w:rPr>
          <w:rFonts w:eastAsia="Calibri"/>
          <w:b/>
          <w:sz w:val="24"/>
          <w:szCs w:val="24"/>
        </w:rPr>
        <w:t>Communication</w:t>
      </w:r>
      <w:r w:rsidR="001C27E3">
        <w:rPr>
          <w:rFonts w:eastAsia="Calibri"/>
          <w:b/>
          <w:sz w:val="24"/>
          <w:szCs w:val="24"/>
        </w:rPr>
        <w:t xml:space="preserve"> No. </w:t>
      </w:r>
      <w:r w:rsidR="006260ED">
        <w:rPr>
          <w:rFonts w:eastAsia="Calibri"/>
          <w:b/>
          <w:sz w:val="24"/>
          <w:szCs w:val="24"/>
        </w:rPr>
        <w:t>1937</w:t>
      </w:r>
      <w:r w:rsidR="00BB08E6" w:rsidRPr="00A5368D">
        <w:rPr>
          <w:rFonts w:eastAsia="Calibri"/>
          <w:b/>
          <w:sz w:val="24"/>
          <w:szCs w:val="24"/>
        </w:rPr>
        <w:t>/20</w:t>
      </w:r>
      <w:r w:rsidR="008147FA">
        <w:rPr>
          <w:rFonts w:eastAsia="Calibri"/>
          <w:b/>
          <w:sz w:val="24"/>
          <w:szCs w:val="24"/>
        </w:rPr>
        <w:t>1</w:t>
      </w:r>
      <w:r w:rsidR="006260ED">
        <w:rPr>
          <w:rFonts w:eastAsia="Calibri"/>
          <w:b/>
          <w:sz w:val="24"/>
          <w:szCs w:val="24"/>
        </w:rPr>
        <w:t>0</w:t>
      </w:r>
      <w:r w:rsidR="00437F0F" w:rsidRPr="00FF59AA">
        <w:rPr>
          <w:rStyle w:val="FootnoteReference"/>
          <w:rFonts w:eastAsia="Calibri"/>
          <w:sz w:val="20"/>
          <w:vertAlign w:val="baseline"/>
        </w:rPr>
        <w:footnoteReference w:customMarkFollows="1" w:id="2"/>
        <w:t>*</w:t>
      </w:r>
    </w:p>
    <w:p w:rsidR="008147FA" w:rsidRPr="0041431D" w:rsidRDefault="00BB08E6" w:rsidP="00FF59AA">
      <w:pPr>
        <w:pStyle w:val="SingleTxtG"/>
        <w:ind w:left="4536" w:hanging="3402"/>
        <w:jc w:val="left"/>
      </w:pPr>
      <w:r w:rsidRPr="00052009">
        <w:rPr>
          <w:rFonts w:eastAsia="Calibri"/>
          <w:i/>
        </w:rPr>
        <w:t>Submitted by:</w:t>
      </w:r>
      <w:r w:rsidRPr="00A5368D">
        <w:rPr>
          <w:rFonts w:eastAsia="Calibri"/>
          <w:sz w:val="24"/>
          <w:szCs w:val="24"/>
        </w:rPr>
        <w:tab/>
      </w:r>
      <w:r w:rsidR="006260ED">
        <w:t xml:space="preserve">Mansour Leghaei </w:t>
      </w:r>
      <w:r w:rsidR="000A27C2">
        <w:t>and others</w:t>
      </w:r>
      <w:r w:rsidR="000A27C2">
        <w:br/>
      </w:r>
      <w:r w:rsidR="006260ED" w:rsidRPr="0041431D">
        <w:t xml:space="preserve">(represented by </w:t>
      </w:r>
      <w:r w:rsidR="0092062E">
        <w:t>Joanne Kinslor</w:t>
      </w:r>
      <w:r w:rsidR="006260ED" w:rsidRPr="0041431D">
        <w:t>)</w:t>
      </w:r>
    </w:p>
    <w:p w:rsidR="00BB08E6" w:rsidRPr="0029008E" w:rsidRDefault="00BB08E6" w:rsidP="00FF59AA">
      <w:pPr>
        <w:pStyle w:val="SingleTxtG"/>
        <w:ind w:left="4536" w:hanging="3402"/>
        <w:jc w:val="left"/>
        <w:rPr>
          <w:rStyle w:val="SingleTxtGChar"/>
        </w:rPr>
      </w:pPr>
      <w:r w:rsidRPr="00052009">
        <w:rPr>
          <w:rFonts w:eastAsia="Calibri"/>
          <w:i/>
        </w:rPr>
        <w:t>Alleged victim</w:t>
      </w:r>
      <w:r w:rsidR="0092062E">
        <w:rPr>
          <w:rFonts w:eastAsia="Calibri"/>
          <w:i/>
        </w:rPr>
        <w:t>s</w:t>
      </w:r>
      <w:r w:rsidRPr="00052009">
        <w:rPr>
          <w:rFonts w:eastAsia="Calibri"/>
          <w:i/>
        </w:rPr>
        <w:t>:</w:t>
      </w:r>
      <w:r w:rsidRPr="00A5368D">
        <w:rPr>
          <w:rFonts w:eastAsia="Calibri"/>
          <w:sz w:val="24"/>
          <w:szCs w:val="24"/>
        </w:rPr>
        <w:tab/>
      </w:r>
      <w:r w:rsidRPr="00B61823">
        <w:rPr>
          <w:rFonts w:eastAsia="Calibri"/>
        </w:rPr>
        <w:t>T</w:t>
      </w:r>
      <w:r w:rsidRPr="0029008E">
        <w:rPr>
          <w:rStyle w:val="SingleTxtGChar"/>
        </w:rPr>
        <w:t>he author</w:t>
      </w:r>
      <w:r w:rsidR="003F134D">
        <w:rPr>
          <w:rStyle w:val="SingleTxtGChar"/>
        </w:rPr>
        <w:t xml:space="preserve">, </w:t>
      </w:r>
      <w:r w:rsidR="003F134D" w:rsidRPr="00E037D0">
        <w:t>his</w:t>
      </w:r>
      <w:r w:rsidR="003F134D">
        <w:rPr>
          <w:rStyle w:val="SingleTxtGChar"/>
        </w:rPr>
        <w:t xml:space="preserve"> wife and children</w:t>
      </w:r>
    </w:p>
    <w:p w:rsidR="00BB08E6" w:rsidRPr="0029008E" w:rsidRDefault="00BB08E6" w:rsidP="00FF59AA">
      <w:pPr>
        <w:spacing w:after="120"/>
        <w:ind w:left="4536" w:hanging="3402"/>
        <w:rPr>
          <w:rStyle w:val="SingleTxtGChar"/>
        </w:rPr>
      </w:pPr>
      <w:r w:rsidRPr="00052009">
        <w:rPr>
          <w:rFonts w:eastAsia="Calibri"/>
          <w:i/>
        </w:rPr>
        <w:t>State party:</w:t>
      </w:r>
      <w:r w:rsidRPr="00A5368D">
        <w:rPr>
          <w:rFonts w:eastAsia="Calibri"/>
          <w:sz w:val="24"/>
          <w:szCs w:val="24"/>
        </w:rPr>
        <w:tab/>
      </w:r>
      <w:smartTag w:uri="urn:schemas-microsoft-com:office:smarttags" w:element="country-region">
        <w:smartTag w:uri="urn:schemas-microsoft-com:office:smarttags" w:element="place">
          <w:r>
            <w:rPr>
              <w:rFonts w:eastAsia="Calibri"/>
            </w:rPr>
            <w:t>Australia</w:t>
          </w:r>
        </w:smartTag>
      </w:smartTag>
    </w:p>
    <w:p w:rsidR="00BB08E6" w:rsidRPr="00A5368D" w:rsidRDefault="00BB08E6" w:rsidP="00FF59AA">
      <w:pPr>
        <w:pStyle w:val="SingleTxtG"/>
        <w:ind w:left="4536" w:hanging="3402"/>
        <w:jc w:val="left"/>
        <w:rPr>
          <w:rStyle w:val="SingleTxtGChar"/>
        </w:rPr>
      </w:pPr>
      <w:r w:rsidRPr="00052009">
        <w:rPr>
          <w:rFonts w:eastAsia="Calibri"/>
          <w:i/>
        </w:rPr>
        <w:t>Date of communication:</w:t>
      </w:r>
      <w:r w:rsidRPr="00A5368D">
        <w:rPr>
          <w:rFonts w:eastAsia="Calibri"/>
          <w:sz w:val="24"/>
          <w:szCs w:val="24"/>
        </w:rPr>
        <w:tab/>
      </w:r>
      <w:r w:rsidR="008147FA">
        <w:t>1</w:t>
      </w:r>
      <w:r w:rsidR="006260ED">
        <w:t>6</w:t>
      </w:r>
      <w:r w:rsidR="008147FA">
        <w:t xml:space="preserve"> April 201</w:t>
      </w:r>
      <w:r w:rsidR="006260ED">
        <w:t>0</w:t>
      </w:r>
      <w:r w:rsidRPr="0041431D">
        <w:t xml:space="preserve"> (initial submission)</w:t>
      </w:r>
    </w:p>
    <w:p w:rsidR="00BB08E6" w:rsidRPr="00A5368D" w:rsidRDefault="00BB08E6" w:rsidP="00E037D0">
      <w:pPr>
        <w:pStyle w:val="SingleTxtG"/>
        <w:rPr>
          <w:rStyle w:val="SingleTxtGChar"/>
        </w:rPr>
      </w:pPr>
      <w:r w:rsidRPr="00A5368D">
        <w:rPr>
          <w:rFonts w:eastAsia="Calibri"/>
          <w:i/>
          <w:sz w:val="24"/>
          <w:szCs w:val="24"/>
        </w:rPr>
        <w:tab/>
      </w:r>
      <w:r w:rsidRPr="00052009">
        <w:rPr>
          <w:rFonts w:eastAsia="Calibri"/>
          <w:i/>
        </w:rPr>
        <w:t>The Human Rights Committee</w:t>
      </w:r>
      <w:r w:rsidRPr="00FF59AA">
        <w:rPr>
          <w:rFonts w:eastAsia="Calibri"/>
        </w:rPr>
        <w:t>,</w:t>
      </w:r>
      <w:r w:rsidRPr="00A5368D">
        <w:rPr>
          <w:rFonts w:eastAsia="Calibri"/>
          <w:sz w:val="24"/>
          <w:szCs w:val="24"/>
        </w:rPr>
        <w:t xml:space="preserve"> </w:t>
      </w:r>
      <w:r w:rsidRPr="00A5368D">
        <w:rPr>
          <w:rStyle w:val="SingleTxtGChar"/>
        </w:rPr>
        <w:t xml:space="preserve">established under </w:t>
      </w:r>
      <w:r w:rsidR="001C27E3">
        <w:rPr>
          <w:rStyle w:val="SingleTxtGChar"/>
        </w:rPr>
        <w:t>article </w:t>
      </w:r>
      <w:r w:rsidRPr="00A5368D">
        <w:rPr>
          <w:rStyle w:val="SingleTxtGChar"/>
        </w:rPr>
        <w:t>28 of the International Covenant on Civil and Political Rights,</w:t>
      </w:r>
    </w:p>
    <w:p w:rsidR="00BB08E6" w:rsidRPr="00A5368D" w:rsidRDefault="00BB08E6" w:rsidP="00953A51">
      <w:pPr>
        <w:spacing w:after="120"/>
        <w:ind w:left="1134"/>
        <w:jc w:val="both"/>
        <w:rPr>
          <w:rStyle w:val="SingleTxtGChar"/>
        </w:rPr>
      </w:pPr>
      <w:r w:rsidRPr="00A5368D">
        <w:rPr>
          <w:rFonts w:eastAsia="Calibri"/>
          <w:sz w:val="24"/>
          <w:szCs w:val="24"/>
        </w:rPr>
        <w:tab/>
      </w:r>
      <w:r w:rsidRPr="00052009">
        <w:rPr>
          <w:rFonts w:eastAsia="Calibri"/>
          <w:i/>
        </w:rPr>
        <w:t xml:space="preserve">Meeting </w:t>
      </w:r>
      <w:r w:rsidRPr="00FF59AA">
        <w:rPr>
          <w:rFonts w:eastAsia="Calibri"/>
          <w:iCs/>
        </w:rPr>
        <w:t xml:space="preserve">on </w:t>
      </w:r>
      <w:r w:rsidR="00B01058" w:rsidRPr="00FF59AA">
        <w:rPr>
          <w:rFonts w:eastAsia="Calibri"/>
        </w:rPr>
        <w:t>26</w:t>
      </w:r>
      <w:r w:rsidRPr="00166EAC">
        <w:rPr>
          <w:rFonts w:eastAsia="Calibri"/>
        </w:rPr>
        <w:t xml:space="preserve"> </w:t>
      </w:r>
      <w:r w:rsidR="006260ED" w:rsidRPr="00BB69A0">
        <w:rPr>
          <w:rFonts w:eastAsia="Calibri"/>
        </w:rPr>
        <w:t>March</w:t>
      </w:r>
      <w:r w:rsidR="008147FA">
        <w:rPr>
          <w:rFonts w:eastAsia="Calibri"/>
        </w:rPr>
        <w:t xml:space="preserve"> 201</w:t>
      </w:r>
      <w:r w:rsidR="006260ED">
        <w:rPr>
          <w:rFonts w:eastAsia="Calibri"/>
        </w:rPr>
        <w:t>5</w:t>
      </w:r>
      <w:r w:rsidRPr="00A5368D">
        <w:rPr>
          <w:rStyle w:val="SingleTxtGChar"/>
        </w:rPr>
        <w:t>,</w:t>
      </w:r>
    </w:p>
    <w:p w:rsidR="00BB08E6" w:rsidRPr="00A5368D" w:rsidRDefault="00BB08E6" w:rsidP="00E037D0">
      <w:pPr>
        <w:pStyle w:val="SingleTxtG"/>
        <w:rPr>
          <w:rStyle w:val="SingleTxtGChar"/>
        </w:rPr>
      </w:pPr>
      <w:r w:rsidRPr="00A5368D">
        <w:rPr>
          <w:rFonts w:eastAsia="Calibri"/>
          <w:sz w:val="24"/>
          <w:szCs w:val="24"/>
        </w:rPr>
        <w:tab/>
      </w:r>
      <w:r w:rsidRPr="00052009">
        <w:rPr>
          <w:rFonts w:eastAsia="Calibri"/>
          <w:i/>
        </w:rPr>
        <w:t>Having concluded</w:t>
      </w:r>
      <w:r w:rsidRPr="00A5368D">
        <w:rPr>
          <w:rFonts w:eastAsia="Calibri"/>
          <w:sz w:val="24"/>
          <w:szCs w:val="24"/>
        </w:rPr>
        <w:t xml:space="preserve"> </w:t>
      </w:r>
      <w:r w:rsidRPr="00A5368D">
        <w:rPr>
          <w:rStyle w:val="SingleTxtGChar"/>
        </w:rPr>
        <w:t>its consideration of communication</w:t>
      </w:r>
      <w:r w:rsidR="001C27E3">
        <w:rPr>
          <w:rStyle w:val="SingleTxtGChar"/>
        </w:rPr>
        <w:t xml:space="preserve"> No. </w:t>
      </w:r>
      <w:r w:rsidR="006260ED">
        <w:rPr>
          <w:rStyle w:val="SingleTxtGChar"/>
        </w:rPr>
        <w:t>1937</w:t>
      </w:r>
      <w:r w:rsidRPr="00A5368D">
        <w:rPr>
          <w:rStyle w:val="SingleTxtGChar"/>
        </w:rPr>
        <w:t>/20</w:t>
      </w:r>
      <w:r>
        <w:rPr>
          <w:rStyle w:val="SingleTxtGChar"/>
        </w:rPr>
        <w:t>1</w:t>
      </w:r>
      <w:r w:rsidR="006260ED">
        <w:rPr>
          <w:rStyle w:val="SingleTxtGChar"/>
        </w:rPr>
        <w:t>0</w:t>
      </w:r>
      <w:r w:rsidRPr="00A5368D">
        <w:rPr>
          <w:rStyle w:val="SingleTxtGChar"/>
        </w:rPr>
        <w:t xml:space="preserve">, submitted to the Human Rights Committee by </w:t>
      </w:r>
      <w:r w:rsidR="0092062E">
        <w:rPr>
          <w:rStyle w:val="SingleTxtGChar"/>
        </w:rPr>
        <w:t>Mansour Leghaei, his wife and children</w:t>
      </w:r>
      <w:r w:rsidR="000A27C2">
        <w:rPr>
          <w:rStyle w:val="SingleTxtGChar"/>
        </w:rPr>
        <w:t>,</w:t>
      </w:r>
      <w:r w:rsidR="0092062E">
        <w:rPr>
          <w:rStyle w:val="SingleTxtGChar"/>
        </w:rPr>
        <w:t xml:space="preserve"> </w:t>
      </w:r>
      <w:r w:rsidRPr="00A5368D">
        <w:rPr>
          <w:rStyle w:val="SingleTxtGChar"/>
        </w:rPr>
        <w:t>under the Optional Protocol to the International Covenant on Civil and Political Rights,</w:t>
      </w:r>
    </w:p>
    <w:p w:rsidR="00BB08E6" w:rsidRPr="00A5368D" w:rsidRDefault="00BB08E6" w:rsidP="00E037D0">
      <w:pPr>
        <w:pStyle w:val="SingleTxtG"/>
        <w:rPr>
          <w:rStyle w:val="SingleTxtGChar"/>
        </w:rPr>
      </w:pPr>
      <w:r w:rsidRPr="00A5368D">
        <w:rPr>
          <w:rFonts w:eastAsia="Calibri"/>
          <w:sz w:val="24"/>
          <w:szCs w:val="24"/>
        </w:rPr>
        <w:tab/>
      </w:r>
      <w:r w:rsidRPr="00052009">
        <w:rPr>
          <w:rFonts w:eastAsia="Calibri"/>
          <w:i/>
        </w:rPr>
        <w:t>Having taken into account</w:t>
      </w:r>
      <w:r w:rsidRPr="00A5368D">
        <w:rPr>
          <w:rFonts w:eastAsia="Calibri"/>
          <w:sz w:val="24"/>
          <w:szCs w:val="24"/>
        </w:rPr>
        <w:t xml:space="preserve"> </w:t>
      </w:r>
      <w:r w:rsidRPr="00A5368D">
        <w:rPr>
          <w:rStyle w:val="SingleTxtGChar"/>
        </w:rPr>
        <w:t xml:space="preserve">all written information made </w:t>
      </w:r>
      <w:r w:rsidRPr="00E037D0">
        <w:t>available</w:t>
      </w:r>
      <w:r w:rsidRPr="00A5368D">
        <w:rPr>
          <w:rStyle w:val="SingleTxtGChar"/>
        </w:rPr>
        <w:t xml:space="preserve"> to it by the author</w:t>
      </w:r>
      <w:r w:rsidR="006B4AE0">
        <w:rPr>
          <w:rStyle w:val="SingleTxtGChar"/>
        </w:rPr>
        <w:t>s</w:t>
      </w:r>
      <w:r w:rsidRPr="00A5368D">
        <w:rPr>
          <w:rStyle w:val="SingleTxtGChar"/>
        </w:rPr>
        <w:t xml:space="preserve"> of the communication and the State party,</w:t>
      </w:r>
    </w:p>
    <w:p w:rsidR="00BB08E6" w:rsidRPr="00A5368D" w:rsidRDefault="00BB08E6" w:rsidP="00953A51">
      <w:pPr>
        <w:spacing w:after="120"/>
        <w:ind w:left="1134"/>
        <w:jc w:val="both"/>
        <w:rPr>
          <w:rStyle w:val="SingleTxtGChar"/>
        </w:rPr>
      </w:pPr>
      <w:r w:rsidRPr="00A5368D">
        <w:rPr>
          <w:rFonts w:eastAsia="Calibri"/>
          <w:sz w:val="24"/>
          <w:szCs w:val="24"/>
        </w:rPr>
        <w:tab/>
      </w:r>
      <w:r w:rsidRPr="00052009">
        <w:rPr>
          <w:rFonts w:eastAsia="Calibri"/>
          <w:i/>
        </w:rPr>
        <w:t>Adopts</w:t>
      </w:r>
      <w:r w:rsidRPr="00052009">
        <w:rPr>
          <w:rFonts w:eastAsia="Calibri"/>
        </w:rPr>
        <w:t xml:space="preserve"> </w:t>
      </w:r>
      <w:r w:rsidRPr="00A5368D">
        <w:rPr>
          <w:rStyle w:val="SingleTxtGChar"/>
        </w:rPr>
        <w:t>the following:</w:t>
      </w:r>
    </w:p>
    <w:p w:rsidR="001E23FD" w:rsidRPr="006711B5" w:rsidRDefault="00BB08E6" w:rsidP="00FF59AA">
      <w:pPr>
        <w:pStyle w:val="H1G"/>
        <w:ind w:right="0"/>
      </w:pPr>
      <w:r>
        <w:tab/>
      </w:r>
      <w:r>
        <w:tab/>
      </w:r>
      <w:r w:rsidR="001E23FD" w:rsidRPr="00B61823">
        <w:t xml:space="preserve">Views </w:t>
      </w:r>
      <w:r w:rsidR="000A27C2">
        <w:t>pursuant to</w:t>
      </w:r>
      <w:r w:rsidR="000A27C2" w:rsidRPr="00B61823">
        <w:t xml:space="preserve"> </w:t>
      </w:r>
      <w:r w:rsidR="001C27E3">
        <w:t>article </w:t>
      </w:r>
      <w:r w:rsidR="001E23FD" w:rsidRPr="00B61823">
        <w:t>5, paragraph 4, of the Optional Protocol</w:t>
      </w:r>
    </w:p>
    <w:p w:rsidR="001E23FD" w:rsidRPr="00190978" w:rsidRDefault="001E23FD" w:rsidP="00E037D0">
      <w:pPr>
        <w:pStyle w:val="SingleTxtG"/>
        <w:rPr>
          <w:lang w:val="en-US"/>
        </w:rPr>
      </w:pPr>
      <w:r>
        <w:t>1.1</w:t>
      </w:r>
      <w:r>
        <w:tab/>
      </w:r>
      <w:r w:rsidR="006260ED" w:rsidRPr="006260ED">
        <w:t>The author</w:t>
      </w:r>
      <w:r w:rsidR="0092062E">
        <w:t xml:space="preserve"> is</w:t>
      </w:r>
      <w:r w:rsidR="006260ED" w:rsidRPr="006260ED">
        <w:t xml:space="preserve"> </w:t>
      </w:r>
      <w:r w:rsidR="006260ED">
        <w:t xml:space="preserve">Mansour Leghaei, an Iranian citizen born on 19 May 1962. </w:t>
      </w:r>
      <w:r w:rsidR="00190978">
        <w:t xml:space="preserve">He </w:t>
      </w:r>
      <w:r w:rsidR="006260ED">
        <w:t>claims that</w:t>
      </w:r>
      <w:r w:rsidR="008A0A19">
        <w:t xml:space="preserve"> the decision to deny him a permanent visa to remain in Australia make</w:t>
      </w:r>
      <w:r w:rsidR="00797C1D">
        <w:t>s</w:t>
      </w:r>
      <w:r w:rsidR="008A0A19">
        <w:t xml:space="preserve"> him liable to removal from Australia to </w:t>
      </w:r>
      <w:r w:rsidR="000A27C2">
        <w:t xml:space="preserve">the Islamic Republic of </w:t>
      </w:r>
      <w:r w:rsidR="008A0A19">
        <w:t xml:space="preserve">Iran, </w:t>
      </w:r>
      <w:r w:rsidR="006260ED">
        <w:t xml:space="preserve">in breach of </w:t>
      </w:r>
      <w:r w:rsidR="00190978">
        <w:t xml:space="preserve">a number of </w:t>
      </w:r>
      <w:r w:rsidR="006260ED">
        <w:t xml:space="preserve">his rights </w:t>
      </w:r>
      <w:r w:rsidR="00190978">
        <w:t xml:space="preserve">as well as </w:t>
      </w:r>
      <w:r w:rsidR="0092062E">
        <w:t xml:space="preserve">the rights of </w:t>
      </w:r>
      <w:r w:rsidR="00190978">
        <w:t>his wife and children under articles</w:t>
      </w:r>
      <w:r w:rsidR="00E06265">
        <w:t> </w:t>
      </w:r>
      <w:r w:rsidR="006260ED">
        <w:t xml:space="preserve">2, 13, 17, 23, 24 and 26 of the Covenant. </w:t>
      </w:r>
      <w:r w:rsidR="00190978">
        <w:t>His</w:t>
      </w:r>
      <w:r w:rsidR="006260ED">
        <w:t xml:space="preserve"> wife is</w:t>
      </w:r>
      <w:r w:rsidR="006260ED" w:rsidRPr="006260ED">
        <w:t xml:space="preserve"> Marzieh Tabatabaei Hosseini (born </w:t>
      </w:r>
      <w:r w:rsidR="0089228E">
        <w:t xml:space="preserve">on </w:t>
      </w:r>
      <w:r w:rsidR="006260ED" w:rsidRPr="006260ED">
        <w:t>28 August 1964)</w:t>
      </w:r>
      <w:r w:rsidR="00186F05">
        <w:t xml:space="preserve"> and their children</w:t>
      </w:r>
      <w:r w:rsidR="00105E77">
        <w:t xml:space="preserve"> </w:t>
      </w:r>
      <w:r w:rsidR="00186F05">
        <w:t xml:space="preserve">are </w:t>
      </w:r>
      <w:r w:rsidR="006260ED" w:rsidRPr="006260ED">
        <w:t xml:space="preserve">Mohammad Reza Laghaei and Mohammad Sadegh </w:t>
      </w:r>
      <w:r w:rsidR="006260ED" w:rsidRPr="00E037D0">
        <w:t>Laghaei</w:t>
      </w:r>
      <w:r w:rsidR="006260ED" w:rsidRPr="006260ED">
        <w:t xml:space="preserve"> (born </w:t>
      </w:r>
      <w:r w:rsidR="0089228E">
        <w:t xml:space="preserve">on </w:t>
      </w:r>
      <w:r w:rsidR="006260ED" w:rsidRPr="006260ED">
        <w:t>20</w:t>
      </w:r>
      <w:r w:rsidR="0089228E">
        <w:t> </w:t>
      </w:r>
      <w:r w:rsidR="006260ED" w:rsidRPr="006260ED">
        <w:t>September 1983</w:t>
      </w:r>
      <w:r w:rsidR="00506F09">
        <w:t xml:space="preserve">, </w:t>
      </w:r>
      <w:r w:rsidR="0089228E">
        <w:t xml:space="preserve">and </w:t>
      </w:r>
      <w:r w:rsidR="00506F09" w:rsidRPr="00506F09">
        <w:t>both Australian citizens</w:t>
      </w:r>
      <w:r w:rsidR="00506F09">
        <w:t xml:space="preserve"> since 2003</w:t>
      </w:r>
      <w:r w:rsidR="006260ED" w:rsidRPr="006260ED">
        <w:t>), Mohammad Ali Leghaei (</w:t>
      </w:r>
      <w:r w:rsidR="0089228E">
        <w:t xml:space="preserve">an </w:t>
      </w:r>
      <w:r w:rsidR="006260ED" w:rsidRPr="006260ED">
        <w:t xml:space="preserve">Iranian citizen, born </w:t>
      </w:r>
      <w:r w:rsidR="0089228E">
        <w:t xml:space="preserve">on </w:t>
      </w:r>
      <w:r w:rsidR="006260ED" w:rsidRPr="006260ED">
        <w:t>12 July 1989) and Fatima Leghaei (</w:t>
      </w:r>
      <w:r w:rsidR="0089228E">
        <w:t xml:space="preserve">an </w:t>
      </w:r>
      <w:r w:rsidR="006260ED" w:rsidRPr="006260ED">
        <w:t xml:space="preserve">Australian citizen, born </w:t>
      </w:r>
      <w:r w:rsidR="00506F09">
        <w:t xml:space="preserve">in Australia on </w:t>
      </w:r>
      <w:r w:rsidR="006260ED" w:rsidRPr="006260ED">
        <w:t>10 December 1995)</w:t>
      </w:r>
      <w:r w:rsidR="00B301D0">
        <w:t>.</w:t>
      </w:r>
      <w:r w:rsidR="00190978">
        <w:t xml:space="preserve"> </w:t>
      </w:r>
      <w:r w:rsidR="00190978" w:rsidRPr="00190978">
        <w:t>The author</w:t>
      </w:r>
      <w:r w:rsidR="0092062E">
        <w:t>s</w:t>
      </w:r>
      <w:r w:rsidR="00190978" w:rsidRPr="00190978">
        <w:t xml:space="preserve"> </w:t>
      </w:r>
      <w:r w:rsidR="0092062E">
        <w:t>are</w:t>
      </w:r>
      <w:r w:rsidR="00190978" w:rsidRPr="00190978">
        <w:t xml:space="preserve"> represented by </w:t>
      </w:r>
      <w:r w:rsidR="0092062E">
        <w:t>counsel</w:t>
      </w:r>
      <w:r w:rsidR="00190978" w:rsidRPr="00190978">
        <w:t>.</w:t>
      </w:r>
    </w:p>
    <w:p w:rsidR="001E23FD" w:rsidRDefault="001E23FD" w:rsidP="00166EAC">
      <w:pPr>
        <w:pStyle w:val="SingleTxtG"/>
      </w:pPr>
      <w:r w:rsidRPr="00082C9C">
        <w:lastRenderedPageBreak/>
        <w:t>1.2</w:t>
      </w:r>
      <w:r w:rsidRPr="00082C9C">
        <w:tab/>
        <w:t xml:space="preserve">On </w:t>
      </w:r>
      <w:r w:rsidR="00190978" w:rsidRPr="00082C9C">
        <w:t>21</w:t>
      </w:r>
      <w:r w:rsidRPr="00082C9C">
        <w:t xml:space="preserve"> April 201</w:t>
      </w:r>
      <w:r w:rsidR="00190978" w:rsidRPr="00082C9C">
        <w:t>0</w:t>
      </w:r>
      <w:r w:rsidRPr="00082C9C">
        <w:t xml:space="preserve">, the Special Rapporteur on </w:t>
      </w:r>
      <w:r w:rsidR="007A74F7" w:rsidRPr="00082C9C">
        <w:t>n</w:t>
      </w:r>
      <w:r w:rsidRPr="00082C9C">
        <w:t xml:space="preserve">ew </w:t>
      </w:r>
      <w:r w:rsidR="007A74F7" w:rsidRPr="00082C9C">
        <w:t>c</w:t>
      </w:r>
      <w:r w:rsidRPr="00082C9C">
        <w:t xml:space="preserve">ommunications and </w:t>
      </w:r>
      <w:r w:rsidR="007A74F7" w:rsidRPr="00082C9C">
        <w:t>i</w:t>
      </w:r>
      <w:r w:rsidRPr="00082C9C">
        <w:t xml:space="preserve">nterim </w:t>
      </w:r>
      <w:r w:rsidR="007A74F7" w:rsidRPr="00082C9C">
        <w:t>m</w:t>
      </w:r>
      <w:r w:rsidRPr="00082C9C">
        <w:t xml:space="preserve">easures, acting on behalf of the Committee, requested the State party not to </w:t>
      </w:r>
      <w:r w:rsidR="00190978" w:rsidRPr="00082C9C">
        <w:t>expel</w:t>
      </w:r>
      <w:r w:rsidRPr="00082C9C">
        <w:t xml:space="preserve"> the author </w:t>
      </w:r>
      <w:r w:rsidR="00193860" w:rsidRPr="00082C9C">
        <w:t xml:space="preserve">and his accompanying dependents </w:t>
      </w:r>
      <w:r w:rsidRPr="00082C9C">
        <w:t xml:space="preserve">to </w:t>
      </w:r>
      <w:r w:rsidR="000A27C2" w:rsidRPr="00082C9C">
        <w:t>the Islamic Republic of Iran</w:t>
      </w:r>
      <w:r w:rsidR="00190978" w:rsidRPr="00082C9C">
        <w:t xml:space="preserve"> while </w:t>
      </w:r>
      <w:r w:rsidR="00193860" w:rsidRPr="00082C9C">
        <w:t>their</w:t>
      </w:r>
      <w:r w:rsidR="00190978" w:rsidRPr="00082C9C">
        <w:t xml:space="preserve"> communication wa</w:t>
      </w:r>
      <w:r w:rsidRPr="00082C9C">
        <w:t>s under cons</w:t>
      </w:r>
      <w:r w:rsidR="00190978" w:rsidRPr="00082C9C">
        <w:t xml:space="preserve">ideration by the Committee. </w:t>
      </w:r>
      <w:r w:rsidRPr="00082C9C">
        <w:t xml:space="preserve">On </w:t>
      </w:r>
      <w:r w:rsidR="00190978" w:rsidRPr="00082C9C">
        <w:t>15 June 2010, upon receipt of further information</w:t>
      </w:r>
      <w:r w:rsidR="00190978">
        <w:t xml:space="preserve"> from </w:t>
      </w:r>
      <w:r w:rsidR="003D545B">
        <w:t>both parties (see paras</w:t>
      </w:r>
      <w:r w:rsidR="00DE7279">
        <w:t>. </w:t>
      </w:r>
      <w:r w:rsidR="003D545B">
        <w:t>4.1</w:t>
      </w:r>
      <w:r w:rsidR="007A74F7">
        <w:t>–</w:t>
      </w:r>
      <w:r w:rsidR="003D545B">
        <w:t>4.</w:t>
      </w:r>
      <w:r w:rsidR="008A0A19">
        <w:t>2</w:t>
      </w:r>
      <w:r w:rsidR="003D545B">
        <w:t xml:space="preserve"> and 5.1</w:t>
      </w:r>
      <w:r w:rsidR="007A74F7">
        <w:t>–</w:t>
      </w:r>
      <w:r w:rsidR="003D545B">
        <w:t>5.</w:t>
      </w:r>
      <w:r w:rsidR="008A0A19">
        <w:t>2</w:t>
      </w:r>
      <w:r w:rsidR="007A74F7">
        <w:t xml:space="preserve"> below</w:t>
      </w:r>
      <w:r w:rsidR="003D545B">
        <w:t>)</w:t>
      </w:r>
      <w:r w:rsidR="00190978">
        <w:t>, th</w:t>
      </w:r>
      <w:r w:rsidR="003D545B">
        <w:t>e</w:t>
      </w:r>
      <w:r w:rsidR="00190978">
        <w:t xml:space="preserve"> request to grant interim measures was lifted</w:t>
      </w:r>
      <w:r w:rsidR="007A2A3A">
        <w:t>.</w:t>
      </w:r>
      <w:r w:rsidR="009D7143">
        <w:rPr>
          <w:rStyle w:val="FootnoteReference"/>
        </w:rPr>
        <w:footnoteReference w:id="3"/>
      </w:r>
      <w:r w:rsidR="00186F05" w:rsidRPr="00186F05">
        <w:t xml:space="preserve"> The author left with his wife and minor daughter on 27 June 2010.</w:t>
      </w:r>
    </w:p>
    <w:p w:rsidR="001E23FD" w:rsidRDefault="001E23FD" w:rsidP="00166EAC">
      <w:pPr>
        <w:pStyle w:val="H23G"/>
      </w:pPr>
      <w:r>
        <w:tab/>
      </w:r>
      <w:r>
        <w:tab/>
      </w:r>
      <w:r w:rsidR="007A74F7">
        <w:t>The f</w:t>
      </w:r>
      <w:r>
        <w:t>act</w:t>
      </w:r>
      <w:r w:rsidR="00A70E80">
        <w:t xml:space="preserve">s as </w:t>
      </w:r>
      <w:r w:rsidR="007A74F7">
        <w:t xml:space="preserve">submitted </w:t>
      </w:r>
      <w:r w:rsidR="00A70E80">
        <w:t>by the author</w:t>
      </w:r>
    </w:p>
    <w:p w:rsidR="00FF335B" w:rsidRDefault="001E23FD" w:rsidP="00166EAC">
      <w:pPr>
        <w:pStyle w:val="SingleTxtG"/>
      </w:pPr>
      <w:r w:rsidRPr="00166EAC">
        <w:t>2.1</w:t>
      </w:r>
      <w:r w:rsidRPr="00166EAC">
        <w:tab/>
      </w:r>
      <w:r w:rsidR="00FD1028" w:rsidRPr="00166EAC">
        <w:t xml:space="preserve">The author first came to Australia in 1994 on a subclass 672 </w:t>
      </w:r>
      <w:r w:rsidR="007A74F7">
        <w:t>s</w:t>
      </w:r>
      <w:r w:rsidR="00FD1028" w:rsidRPr="00166EAC">
        <w:t>hort</w:t>
      </w:r>
      <w:r w:rsidR="007A74F7">
        <w:t>-s</w:t>
      </w:r>
      <w:r w:rsidR="00FD1028" w:rsidRPr="00166EAC">
        <w:t xml:space="preserve">tay </w:t>
      </w:r>
      <w:r w:rsidR="007A74F7">
        <w:t>b</w:t>
      </w:r>
      <w:r w:rsidR="00FD1028" w:rsidRPr="00166EAC">
        <w:t>usiness visa, to be employed</w:t>
      </w:r>
      <w:r w:rsidR="00FD1028">
        <w:t xml:space="preserve"> as a </w:t>
      </w:r>
      <w:r w:rsidR="007A74F7">
        <w:t>h</w:t>
      </w:r>
      <w:r w:rsidR="00FD1028">
        <w:t xml:space="preserve">alal meat supervisor. In 1995 he was granted a subclass 428 </w:t>
      </w:r>
      <w:r w:rsidR="00B366B7">
        <w:t>r</w:t>
      </w:r>
      <w:r w:rsidR="00FD1028">
        <w:t xml:space="preserve">eligious </w:t>
      </w:r>
      <w:r w:rsidR="00B366B7">
        <w:t>w</w:t>
      </w:r>
      <w:r w:rsidR="00FD1028">
        <w:t>orker visa</w:t>
      </w:r>
      <w:r w:rsidR="00B366B7">
        <w:t>,</w:t>
      </w:r>
      <w:r w:rsidR="00FD1028">
        <w:t xml:space="preserve"> which allowed him to work as a Muslim religious leader (</w:t>
      </w:r>
      <w:r w:rsidR="00B366B7">
        <w:t>s</w:t>
      </w:r>
      <w:r w:rsidR="00FD1028">
        <w:t xml:space="preserve">heikh) and to enter and leave </w:t>
      </w:r>
      <w:smartTag w:uri="urn:schemas-microsoft-com:office:smarttags" w:element="country-region">
        <w:smartTag w:uri="urn:schemas-microsoft-com:office:smarttags" w:element="place">
          <w:r w:rsidR="00FD1028">
            <w:t>Australia</w:t>
          </w:r>
        </w:smartTag>
      </w:smartTag>
      <w:r w:rsidR="00FD1028">
        <w:t>. Each of these visa</w:t>
      </w:r>
      <w:r w:rsidR="00AD691A">
        <w:t>s</w:t>
      </w:r>
      <w:r w:rsidR="00FD1028">
        <w:t xml:space="preserve"> w</w:t>
      </w:r>
      <w:r w:rsidR="00AD691A">
        <w:t>as a</w:t>
      </w:r>
      <w:r w:rsidR="00FD1028">
        <w:t xml:space="preserve"> temporary visa. On 1 November 1996, the author applied for a permanen</w:t>
      </w:r>
      <w:r w:rsidR="00087646">
        <w:t xml:space="preserve">t visa. The author’s </w:t>
      </w:r>
      <w:r w:rsidR="006B4AE0">
        <w:t>wife and children</w:t>
      </w:r>
      <w:r w:rsidR="00087646">
        <w:t xml:space="preserve"> w</w:t>
      </w:r>
      <w:r w:rsidR="006B4AE0">
        <w:t>ere</w:t>
      </w:r>
      <w:r w:rsidR="00FD1028">
        <w:t xml:space="preserve"> included in the application as his dependants. </w:t>
      </w:r>
    </w:p>
    <w:p w:rsidR="00FD1028" w:rsidRDefault="00FF335B" w:rsidP="00082C9C">
      <w:pPr>
        <w:pStyle w:val="SingleTxtG"/>
      </w:pPr>
      <w:r w:rsidRPr="00082C9C">
        <w:t>2.2</w:t>
      </w:r>
      <w:r w:rsidRPr="00082C9C">
        <w:tab/>
      </w:r>
      <w:r w:rsidR="00FD1028" w:rsidRPr="00082C9C">
        <w:t>By a decision dated 25 August 1997, a delegate of the then Minister for Immigrat</w:t>
      </w:r>
      <w:r w:rsidR="00087646" w:rsidRPr="00082C9C">
        <w:t xml:space="preserve">ion </w:t>
      </w:r>
      <w:r w:rsidR="00FD1028" w:rsidRPr="00082C9C">
        <w:t>refused to grant the visas</w:t>
      </w:r>
      <w:r w:rsidR="00B366B7" w:rsidRPr="00082C9C">
        <w:t>,</w:t>
      </w:r>
      <w:r w:rsidR="001645C2" w:rsidRPr="00082C9C">
        <w:t xml:space="preserve"> on the basis that he </w:t>
      </w:r>
      <w:r w:rsidR="00B366B7" w:rsidRPr="00082C9C">
        <w:t>had been</w:t>
      </w:r>
      <w:r w:rsidR="001645C2" w:rsidRPr="00082C9C">
        <w:t xml:space="preserve"> assessed by the Australian Security Intelligence Organisation </w:t>
      </w:r>
      <w:r w:rsidR="00B366B7" w:rsidRPr="00082C9C">
        <w:t>as being</w:t>
      </w:r>
      <w:r w:rsidR="001645C2">
        <w:t xml:space="preserve"> a threat to national security</w:t>
      </w:r>
      <w:r w:rsidR="00B301D0">
        <w:t>.</w:t>
      </w:r>
      <w:r w:rsidR="001645C2">
        <w:rPr>
          <w:rStyle w:val="FootnoteReference"/>
        </w:rPr>
        <w:footnoteReference w:id="4"/>
      </w:r>
      <w:r w:rsidR="00FD1028">
        <w:t xml:space="preserve"> </w:t>
      </w:r>
      <w:r w:rsidR="00A70E80">
        <w:t>The reason why the author was considered to be a risk to national security was not explained.</w:t>
      </w:r>
    </w:p>
    <w:p w:rsidR="00FD1028" w:rsidRDefault="00FD1028" w:rsidP="00E037D0">
      <w:pPr>
        <w:pStyle w:val="SingleTxtG"/>
      </w:pPr>
      <w:r>
        <w:t>2.</w:t>
      </w:r>
      <w:r w:rsidR="001645C2">
        <w:t>3</w:t>
      </w:r>
      <w:r>
        <w:tab/>
        <w:t xml:space="preserve">On </w:t>
      </w:r>
      <w:r w:rsidRPr="008C71F0">
        <w:t>17 October 1997</w:t>
      </w:r>
      <w:r>
        <w:t>, the delegate’s decision was affirmed by the Mig</w:t>
      </w:r>
      <w:r w:rsidR="00087646">
        <w:t xml:space="preserve">ration Internal Review Office </w:t>
      </w:r>
      <w:r>
        <w:t>of the Department of Immigration</w:t>
      </w:r>
      <w:r w:rsidR="00B366B7">
        <w:t xml:space="preserve"> and Multicultural Affairs</w:t>
      </w:r>
      <w:r>
        <w:t xml:space="preserve">. </w:t>
      </w:r>
      <w:r w:rsidR="00FF335B">
        <w:t>A</w:t>
      </w:r>
      <w:r>
        <w:t>gain</w:t>
      </w:r>
      <w:r w:rsidR="00B366B7">
        <w:t>,</w:t>
      </w:r>
      <w:r>
        <w:t xml:space="preserve"> the decision did not </w:t>
      </w:r>
      <w:r w:rsidR="001645C2">
        <w:t>mention why he was considered a security threat.</w:t>
      </w:r>
      <w:r w:rsidR="00A50D62">
        <w:t xml:space="preserve"> </w:t>
      </w:r>
    </w:p>
    <w:p w:rsidR="00FD1028" w:rsidRPr="00A70E80" w:rsidRDefault="00E037D0" w:rsidP="00166EAC">
      <w:pPr>
        <w:pStyle w:val="H4G"/>
      </w:pPr>
      <w:r>
        <w:tab/>
      </w:r>
      <w:r>
        <w:tab/>
      </w:r>
      <w:r w:rsidR="00FD1028" w:rsidRPr="00A70E80">
        <w:t xml:space="preserve">Administrative </w:t>
      </w:r>
      <w:r w:rsidR="00F2731C">
        <w:t>r</w:t>
      </w:r>
      <w:r w:rsidR="00FD1028" w:rsidRPr="00A70E80">
        <w:t xml:space="preserve">eview </w:t>
      </w:r>
      <w:r w:rsidR="00F2731C">
        <w:t>p</w:t>
      </w:r>
      <w:r w:rsidR="00FD1028" w:rsidRPr="00A70E80">
        <w:t>roceedings</w:t>
      </w:r>
      <w:r w:rsidR="0006155F">
        <w:t xml:space="preserve"> against the decision to refuse the permanent visa</w:t>
      </w:r>
    </w:p>
    <w:p w:rsidR="0006155F" w:rsidRDefault="00FD1028" w:rsidP="008C310B">
      <w:pPr>
        <w:pStyle w:val="SingleTxtG"/>
      </w:pPr>
      <w:r>
        <w:t>2.4</w:t>
      </w:r>
      <w:r>
        <w:tab/>
        <w:t xml:space="preserve">On </w:t>
      </w:r>
      <w:r w:rsidRPr="008C71F0">
        <w:t>7 November 1997</w:t>
      </w:r>
      <w:r w:rsidR="00B366B7">
        <w:t>,</w:t>
      </w:r>
      <w:r>
        <w:t xml:space="preserve"> the author applied </w:t>
      </w:r>
      <w:r w:rsidR="00F2731C">
        <w:t>to</w:t>
      </w:r>
      <w:r>
        <w:t xml:space="preserve"> the Immigration Review Tribunal</w:t>
      </w:r>
      <w:r w:rsidR="0006155F">
        <w:t xml:space="preserve"> (</w:t>
      </w:r>
      <w:r w:rsidR="006240AD">
        <w:t xml:space="preserve">now </w:t>
      </w:r>
      <w:r w:rsidR="00186F05">
        <w:t>called</w:t>
      </w:r>
      <w:r w:rsidR="0006155F">
        <w:t xml:space="preserve"> the Migration Review Tribunal</w:t>
      </w:r>
      <w:r w:rsidR="007A2A3A">
        <w:t>)</w:t>
      </w:r>
      <w:r w:rsidR="00F2731C">
        <w:t xml:space="preserve"> for a review of the decision to refuse his visa</w:t>
      </w:r>
      <w:r w:rsidR="007A2A3A">
        <w:t>.</w:t>
      </w:r>
      <w:r w:rsidR="00FA5742">
        <w:rPr>
          <w:rStyle w:val="FootnoteReference"/>
        </w:rPr>
        <w:footnoteReference w:id="5"/>
      </w:r>
      <w:r>
        <w:t xml:space="preserve"> </w:t>
      </w:r>
      <w:r w:rsidR="0006155F">
        <w:t xml:space="preserve">The </w:t>
      </w:r>
      <w:r w:rsidR="00186F05">
        <w:t xml:space="preserve">review was suspended </w:t>
      </w:r>
      <w:r w:rsidR="00F2731C">
        <w:t>pending</w:t>
      </w:r>
      <w:r w:rsidR="00186F05">
        <w:t xml:space="preserve"> the outcome of the author’s Federal </w:t>
      </w:r>
      <w:r w:rsidR="00F2731C">
        <w:t>C</w:t>
      </w:r>
      <w:r w:rsidR="00186F05">
        <w:t>ourt proceedings</w:t>
      </w:r>
      <w:r w:rsidR="003A67BF">
        <w:t xml:space="preserve"> against the </w:t>
      </w:r>
      <w:r w:rsidR="008C310B" w:rsidRPr="00287C91">
        <w:t>Australian Security Intelligence Organisation</w:t>
      </w:r>
      <w:r w:rsidR="003A67BF">
        <w:t xml:space="preserve"> assessment (see below)</w:t>
      </w:r>
      <w:r w:rsidR="0006155F">
        <w:t>.</w:t>
      </w:r>
      <w:r w:rsidR="00F2731C">
        <w:t xml:space="preserve"> </w:t>
      </w:r>
    </w:p>
    <w:p w:rsidR="0006155F" w:rsidRPr="00D95636" w:rsidRDefault="00E037D0" w:rsidP="008C310B">
      <w:pPr>
        <w:pStyle w:val="H4G"/>
      </w:pPr>
      <w:r>
        <w:tab/>
      </w:r>
      <w:r>
        <w:tab/>
      </w:r>
      <w:r w:rsidR="008C310B" w:rsidRPr="00287C91">
        <w:t>Australian Security Intelligence Organisation</w:t>
      </w:r>
      <w:r w:rsidR="0006155F" w:rsidRPr="00D95636">
        <w:t xml:space="preserve"> assessment of 2002</w:t>
      </w:r>
    </w:p>
    <w:p w:rsidR="00FD1028" w:rsidRDefault="0006155F" w:rsidP="00082C9C">
      <w:pPr>
        <w:pStyle w:val="SingleTxtG"/>
      </w:pPr>
      <w:r>
        <w:t>2.5</w:t>
      </w:r>
      <w:r>
        <w:tab/>
        <w:t>In October 1999, the Department of Immigration</w:t>
      </w:r>
      <w:r w:rsidR="00B366B7">
        <w:t xml:space="preserve"> and Multicultural Affairs</w:t>
      </w:r>
      <w:r>
        <w:t xml:space="preserve"> made a request to </w:t>
      </w:r>
      <w:r w:rsidR="008C310B">
        <w:t xml:space="preserve">the </w:t>
      </w:r>
      <w:r w:rsidR="008C310B" w:rsidRPr="00287C91">
        <w:t>Australian Security Intelligence Organisation</w:t>
      </w:r>
      <w:r w:rsidR="008C310B">
        <w:t xml:space="preserve"> </w:t>
      </w:r>
      <w:r>
        <w:t xml:space="preserve">for advice as to whether it still </w:t>
      </w:r>
      <w:r w:rsidR="00883753">
        <w:t xml:space="preserve">considered </w:t>
      </w:r>
      <w:r>
        <w:t xml:space="preserve">the author </w:t>
      </w:r>
      <w:r w:rsidR="00883753">
        <w:t>to be</w:t>
      </w:r>
      <w:r>
        <w:t xml:space="preserve"> a risk to national security. </w:t>
      </w:r>
      <w:r w:rsidR="00FD1028">
        <w:t xml:space="preserve">On 13 March 2002, </w:t>
      </w:r>
      <w:r w:rsidR="008C310B">
        <w:t xml:space="preserve">the </w:t>
      </w:r>
      <w:r w:rsidR="008C310B" w:rsidRPr="00287C91">
        <w:t>Australian Security Intelligence Organisation</w:t>
      </w:r>
      <w:r w:rsidR="008C310B">
        <w:t xml:space="preserve"> </w:t>
      </w:r>
      <w:r>
        <w:t>stated</w:t>
      </w:r>
      <w:r w:rsidR="00FD1028">
        <w:t xml:space="preserve"> that </w:t>
      </w:r>
      <w:r w:rsidR="00883753">
        <w:t xml:space="preserve">its assessment of </w:t>
      </w:r>
      <w:r w:rsidR="00FD1028">
        <w:t xml:space="preserve">the author </w:t>
      </w:r>
      <w:r w:rsidR="00883753">
        <w:t xml:space="preserve">was that he </w:t>
      </w:r>
      <w:r>
        <w:t>continued to be a</w:t>
      </w:r>
      <w:r w:rsidR="00FD1028">
        <w:t xml:space="preserve"> direct risk to national security. The author learned of that assessment in a letter to his legal representatives </w:t>
      </w:r>
      <w:r w:rsidR="00A70E80">
        <w:t xml:space="preserve">sent by </w:t>
      </w:r>
      <w:r w:rsidR="00FD1028">
        <w:t>the Australian Government Solicitor (representing the Minister for Immigration and the Director</w:t>
      </w:r>
      <w:r w:rsidR="000531C2">
        <w:t xml:space="preserve"> </w:t>
      </w:r>
      <w:r w:rsidR="00FD1028">
        <w:t>General of Security), dated 29</w:t>
      </w:r>
      <w:r w:rsidR="00883753">
        <w:t> </w:t>
      </w:r>
      <w:r w:rsidR="00FD1028">
        <w:t xml:space="preserve">July 2002, in the context of judicial proceedings. On 14 March 2002, the Minister for Immigration issued a </w:t>
      </w:r>
      <w:r w:rsidR="00050883">
        <w:t>“</w:t>
      </w:r>
      <w:r w:rsidR="00FD1028">
        <w:t>conclusive certificate</w:t>
      </w:r>
      <w:r w:rsidR="00050883">
        <w:t>”</w:t>
      </w:r>
      <w:r w:rsidR="00FD1028">
        <w:t xml:space="preserve"> </w:t>
      </w:r>
      <w:r w:rsidR="00AC1DF2">
        <w:t xml:space="preserve">under </w:t>
      </w:r>
      <w:r w:rsidR="00FD1028">
        <w:t xml:space="preserve">the Migration Act, which </w:t>
      </w:r>
      <w:r w:rsidR="00AC1DF2">
        <w:t xml:space="preserve">the Minister is entitled to issue </w:t>
      </w:r>
      <w:r w:rsidR="00FD1028">
        <w:t xml:space="preserve">if </w:t>
      </w:r>
      <w:r w:rsidR="00114504">
        <w:t>he</w:t>
      </w:r>
      <w:r w:rsidR="00FD1028">
        <w:t xml:space="preserve"> believes that it would be contrary to the national interest to change the decision under review, or for the decision to be reviewed. On 17 April 2002, the </w:t>
      </w:r>
      <w:r w:rsidR="002167B4">
        <w:t xml:space="preserve">Migration Review </w:t>
      </w:r>
      <w:r w:rsidR="00FD1028">
        <w:t>Tribunal advised the</w:t>
      </w:r>
      <w:r w:rsidR="006B4AE0">
        <w:t xml:space="preserve"> </w:t>
      </w:r>
      <w:r w:rsidR="00FD1028">
        <w:t>author that it had ceased its review of the decision</w:t>
      </w:r>
      <w:r w:rsidR="00BB69A0">
        <w:t>,</w:t>
      </w:r>
      <w:r w:rsidR="00FD1028">
        <w:t xml:space="preserve"> and enclosed a copy of the conclusive certificate. On 29 April 2002</w:t>
      </w:r>
      <w:r w:rsidR="00BB69A0">
        <w:t>,</w:t>
      </w:r>
      <w:r w:rsidR="00FD1028">
        <w:t xml:space="preserve"> a further conclusive certificate was issued by the Minister.</w:t>
      </w:r>
    </w:p>
    <w:p w:rsidR="00FD1028" w:rsidRPr="00A70E80" w:rsidRDefault="00E037D0" w:rsidP="00BB69A0">
      <w:pPr>
        <w:pStyle w:val="H4G"/>
      </w:pPr>
      <w:r>
        <w:lastRenderedPageBreak/>
        <w:tab/>
      </w:r>
      <w:r>
        <w:tab/>
      </w:r>
      <w:r w:rsidR="00A70E80" w:rsidRPr="00A70E80">
        <w:t>First proceedings before the Federal Court</w:t>
      </w:r>
      <w:r w:rsidR="00F51BDE">
        <w:t xml:space="preserve"> (</w:t>
      </w:r>
      <w:r w:rsidR="00BB69A0">
        <w:t>a</w:t>
      </w:r>
      <w:r w:rsidR="00F51BDE">
        <w:t>pplication 21/2002)</w:t>
      </w:r>
    </w:p>
    <w:p w:rsidR="00FD1028" w:rsidRDefault="00FD1028" w:rsidP="00030F28">
      <w:pPr>
        <w:pStyle w:val="SingleTxtG"/>
      </w:pPr>
      <w:r>
        <w:t>2.</w:t>
      </w:r>
      <w:r w:rsidR="002F7C45">
        <w:t>6</w:t>
      </w:r>
      <w:r>
        <w:tab/>
        <w:t xml:space="preserve">On 10 May 2002, the author commenced proceedings in the Federal Court against the Minister for Immigration and </w:t>
      </w:r>
      <w:r w:rsidR="008C310B">
        <w:t xml:space="preserve">against </w:t>
      </w:r>
      <w:r>
        <w:t>the Director</w:t>
      </w:r>
      <w:r w:rsidR="000531C2">
        <w:t xml:space="preserve"> </w:t>
      </w:r>
      <w:r>
        <w:t xml:space="preserve">General of Security (representing </w:t>
      </w:r>
      <w:r w:rsidR="008C310B">
        <w:t xml:space="preserve">the </w:t>
      </w:r>
      <w:r w:rsidR="008C310B" w:rsidRPr="00287C91">
        <w:t>Australian Security Intelligence Organisation</w:t>
      </w:r>
      <w:r>
        <w:t>), seeking to set aside the Minister’s decision to issue the conclusive certificates</w:t>
      </w:r>
      <w:r w:rsidR="008C310B">
        <w:t>,</w:t>
      </w:r>
      <w:r>
        <w:t xml:space="preserve"> and </w:t>
      </w:r>
      <w:r w:rsidR="008C310B">
        <w:t xml:space="preserve">the </w:t>
      </w:r>
      <w:r>
        <w:t>March 2002 security assessment</w:t>
      </w:r>
      <w:r w:rsidR="008C310B">
        <w:t xml:space="preserve"> by the </w:t>
      </w:r>
      <w:r w:rsidR="008C310B" w:rsidRPr="00287C91">
        <w:t>Australian Security Intelligence Organisation</w:t>
      </w:r>
      <w:r>
        <w:t xml:space="preserve">. Among other things, the author claimed that the March 2002 assessment was void because procedural fairness </w:t>
      </w:r>
      <w:r w:rsidR="00BB69A0">
        <w:t>had not been</w:t>
      </w:r>
      <w:r>
        <w:t xml:space="preserve"> accorded to him.</w:t>
      </w:r>
      <w:r w:rsidR="00A50D62">
        <w:t xml:space="preserve"> </w:t>
      </w:r>
      <w:r>
        <w:t xml:space="preserve">During the proceedings, the Australian Government Solicitor </w:t>
      </w:r>
      <w:r w:rsidR="00AD691A">
        <w:t>informed</w:t>
      </w:r>
      <w:r>
        <w:t xml:space="preserve"> the author’s </w:t>
      </w:r>
      <w:r w:rsidR="00AD691A">
        <w:t>counsel</w:t>
      </w:r>
      <w:r w:rsidR="00114504">
        <w:t xml:space="preserve"> that </w:t>
      </w:r>
      <w:r w:rsidR="008C310B">
        <w:t xml:space="preserve">the </w:t>
      </w:r>
      <w:r w:rsidR="008C310B" w:rsidRPr="00287C91">
        <w:t>Australian Security Intelligence Organisation</w:t>
      </w:r>
      <w:r w:rsidR="008C310B">
        <w:t xml:space="preserve"> </w:t>
      </w:r>
      <w:r w:rsidR="00114504">
        <w:t>had re-examined</w:t>
      </w:r>
      <w:r>
        <w:t xml:space="preserve"> the information </w:t>
      </w:r>
      <w:r w:rsidR="006C7438">
        <w:t>on which</w:t>
      </w:r>
      <w:r>
        <w:t xml:space="preserve"> the March 2002 security assessment</w:t>
      </w:r>
      <w:r w:rsidR="006C7438">
        <w:t xml:space="preserve"> </w:t>
      </w:r>
      <w:r w:rsidR="00F04505">
        <w:t xml:space="preserve">had been </w:t>
      </w:r>
      <w:r w:rsidR="006C7438">
        <w:t>based</w:t>
      </w:r>
      <w:r>
        <w:t xml:space="preserve">. </w:t>
      </w:r>
      <w:r w:rsidR="00E2565E">
        <w:t xml:space="preserve">The </w:t>
      </w:r>
      <w:r w:rsidR="00E2565E" w:rsidRPr="00287C91">
        <w:t>Australian Security Intelligence Organisation</w:t>
      </w:r>
      <w:r>
        <w:t xml:space="preserve"> noted that</w:t>
      </w:r>
      <w:r w:rsidR="00F04505">
        <w:t>,</w:t>
      </w:r>
      <w:r>
        <w:t xml:space="preserve"> among the information</w:t>
      </w:r>
      <w:r w:rsidR="00F04505">
        <w:t>,</w:t>
      </w:r>
      <w:r>
        <w:t xml:space="preserve"> </w:t>
      </w:r>
      <w:r w:rsidR="00F04505">
        <w:t xml:space="preserve">there </w:t>
      </w:r>
      <w:r>
        <w:t xml:space="preserve">were two documents </w:t>
      </w:r>
      <w:r w:rsidR="00F04505">
        <w:t xml:space="preserve">that </w:t>
      </w:r>
      <w:r w:rsidR="00030F28">
        <w:t>it</w:t>
      </w:r>
      <w:r w:rsidR="008C310B">
        <w:t xml:space="preserve"> </w:t>
      </w:r>
      <w:r>
        <w:t xml:space="preserve">claimed </w:t>
      </w:r>
      <w:r w:rsidR="00030F28">
        <w:t>it had</w:t>
      </w:r>
      <w:r>
        <w:t xml:space="preserve"> obtained from the author’s suitcase without </w:t>
      </w:r>
      <w:r w:rsidR="00193860">
        <w:t>his</w:t>
      </w:r>
      <w:r>
        <w:t xml:space="preserve"> knowledge while he had been in transit at Sydney Airport. </w:t>
      </w:r>
      <w:r w:rsidR="00881889">
        <w:t xml:space="preserve">The first document </w:t>
      </w:r>
      <w:r w:rsidR="00F04505">
        <w:t>wa</w:t>
      </w:r>
      <w:r w:rsidR="00881889">
        <w:t>s a</w:t>
      </w:r>
      <w:r w:rsidR="00881889" w:rsidRPr="00881889">
        <w:t xml:space="preserve"> handwritten not</w:t>
      </w:r>
      <w:r w:rsidR="00881889">
        <w:t xml:space="preserve">ebook in </w:t>
      </w:r>
      <w:r w:rsidR="00F04505">
        <w:t xml:space="preserve">the </w:t>
      </w:r>
      <w:r w:rsidR="00881889">
        <w:t xml:space="preserve">Persian language which, according to the author, </w:t>
      </w:r>
      <w:r w:rsidR="008C310B">
        <w:t xml:space="preserve">the </w:t>
      </w:r>
      <w:r w:rsidR="008C310B" w:rsidRPr="00287C91">
        <w:t>Australian Security Intelligence Organisation</w:t>
      </w:r>
      <w:r w:rsidR="008C310B" w:rsidRPr="00881889">
        <w:t xml:space="preserve"> </w:t>
      </w:r>
      <w:r w:rsidR="00881889">
        <w:t xml:space="preserve">“erroneously </w:t>
      </w:r>
      <w:r w:rsidR="00881889" w:rsidRPr="00881889">
        <w:t>claims discussed how to fight a jihad”.</w:t>
      </w:r>
      <w:r w:rsidR="00881889">
        <w:t xml:space="preserve"> The second document </w:t>
      </w:r>
      <w:r w:rsidR="00F04505">
        <w:t>wa</w:t>
      </w:r>
      <w:r w:rsidR="00881889">
        <w:t>s the translation of an alleged e</w:t>
      </w:r>
      <w:r w:rsidR="00F04505">
        <w:t>-</w:t>
      </w:r>
      <w:r w:rsidR="00881889">
        <w:t>mail dated 23 September 1995 from the author to the Organi</w:t>
      </w:r>
      <w:r w:rsidR="00A47B5C">
        <w:t>z</w:t>
      </w:r>
      <w:r w:rsidR="00881889">
        <w:t>ation of Culture and Islamic Relations regarding a sum of 4,000</w:t>
      </w:r>
      <w:r w:rsidR="00D7590F">
        <w:t xml:space="preserve"> Australian dollars</w:t>
      </w:r>
      <w:r w:rsidR="00881889">
        <w:t xml:space="preserve"> borrowed from friends</w:t>
      </w:r>
      <w:r w:rsidR="00A47B5C">
        <w:t>,</w:t>
      </w:r>
      <w:r w:rsidR="00881889">
        <w:t xml:space="preserve"> which he was trying to recover through the Iranian Ambassador in Australia so as to reimburse the organi</w:t>
      </w:r>
      <w:r w:rsidR="00A47B5C">
        <w:t>z</w:t>
      </w:r>
      <w:r w:rsidR="00881889">
        <w:t xml:space="preserve">ation. </w:t>
      </w:r>
      <w:r>
        <w:t xml:space="preserve">The </w:t>
      </w:r>
      <w:r w:rsidR="00E869AB" w:rsidRPr="00287C91">
        <w:t>Australian Security Intelligence Organisation</w:t>
      </w:r>
      <w:r w:rsidR="00E869AB">
        <w:t>’s</w:t>
      </w:r>
      <w:r>
        <w:t xml:space="preserve"> translation of the notebook was conceded </w:t>
      </w:r>
      <w:r w:rsidR="00A47B5C">
        <w:t>at</w:t>
      </w:r>
      <w:r>
        <w:t xml:space="preserve"> the Federal Court of Australia to be flawed</w:t>
      </w:r>
      <w:r w:rsidR="00A47B5C">
        <w:t>,</w:t>
      </w:r>
      <w:r>
        <w:t xml:space="preserve"> and as such</w:t>
      </w:r>
      <w:r w:rsidR="00A47B5C">
        <w:t>,</w:t>
      </w:r>
      <w:r>
        <w:t xml:space="preserve"> </w:t>
      </w:r>
      <w:r w:rsidR="00E869AB">
        <w:t xml:space="preserve">the </w:t>
      </w:r>
      <w:r w:rsidR="00E869AB" w:rsidRPr="00287C91">
        <w:t>Australian Security Intelligence Organisation</w:t>
      </w:r>
      <w:r>
        <w:t xml:space="preserve"> was ordered by the </w:t>
      </w:r>
      <w:r w:rsidR="000531C2">
        <w:t>C</w:t>
      </w:r>
      <w:r>
        <w:t>ourt to pay the author one third of the legal costs.</w:t>
      </w:r>
      <w:r w:rsidR="00C22779">
        <w:t xml:space="preserve"> Concerning the</w:t>
      </w:r>
      <w:r w:rsidR="00855236">
        <w:br/>
      </w:r>
      <w:r w:rsidR="00C22779">
        <w:t>e</w:t>
      </w:r>
      <w:r w:rsidR="00A47B5C">
        <w:t>-</w:t>
      </w:r>
      <w:r w:rsidR="00C22779">
        <w:t xml:space="preserve">mail, </w:t>
      </w:r>
      <w:r w:rsidR="00E869AB">
        <w:t xml:space="preserve">the </w:t>
      </w:r>
      <w:r w:rsidR="00E869AB" w:rsidRPr="00287C91">
        <w:t>Australian Security Intelligence Organisation</w:t>
      </w:r>
      <w:r w:rsidR="00A47B5C">
        <w:t xml:space="preserve"> stated in court that it</w:t>
      </w:r>
      <w:r w:rsidR="00C22779">
        <w:t xml:space="preserve"> did not have a copy of the alleged Persian</w:t>
      </w:r>
      <w:r w:rsidR="00A47B5C">
        <w:t>-</w:t>
      </w:r>
      <w:r w:rsidR="00C22779">
        <w:t xml:space="preserve">language document but merely possessed </w:t>
      </w:r>
      <w:r w:rsidR="00A47B5C">
        <w:t xml:space="preserve">its </w:t>
      </w:r>
      <w:r w:rsidR="00C22779">
        <w:t xml:space="preserve">own English language translation of it, which dated </w:t>
      </w:r>
      <w:r w:rsidR="00A47B5C">
        <w:t>back seven years</w:t>
      </w:r>
      <w:r w:rsidR="00C22779">
        <w:t>.</w:t>
      </w:r>
      <w:r w:rsidR="00F51BDE">
        <w:t xml:space="preserve"> </w:t>
      </w:r>
      <w:r w:rsidR="006C7438">
        <w:t xml:space="preserve">In light of subsequent Federal Court proceedings </w:t>
      </w:r>
      <w:r w:rsidR="00A47B5C">
        <w:t xml:space="preserve">that were </w:t>
      </w:r>
      <w:r w:rsidR="006C7438">
        <w:t xml:space="preserve">based on a further security assessment issued in 2004, replacing the 2002 assessment, the Federal Court terminated the proceedings by </w:t>
      </w:r>
      <w:r w:rsidR="00041149">
        <w:t xml:space="preserve">a </w:t>
      </w:r>
      <w:r w:rsidR="006C7438">
        <w:t>j</w:t>
      </w:r>
      <w:r w:rsidR="00F51BDE">
        <w:t xml:space="preserve">udgement </w:t>
      </w:r>
      <w:r w:rsidR="006C7438">
        <w:t>dated</w:t>
      </w:r>
      <w:r w:rsidR="00F51BDE">
        <w:t xml:space="preserve"> 2</w:t>
      </w:r>
      <w:r w:rsidR="00DA4A00">
        <w:t>2</w:t>
      </w:r>
      <w:r w:rsidR="00F51BDE">
        <w:t xml:space="preserve"> July 2004</w:t>
      </w:r>
      <w:r w:rsidR="006C7438">
        <w:t xml:space="preserve"> (</w:t>
      </w:r>
      <w:r w:rsidR="00041149">
        <w:t>r</w:t>
      </w:r>
      <w:r w:rsidR="006C7438">
        <w:t xml:space="preserve">egarding </w:t>
      </w:r>
      <w:r w:rsidR="00041149">
        <w:t>a</w:t>
      </w:r>
      <w:r w:rsidR="006C7438">
        <w:t>pplication</w:t>
      </w:r>
      <w:r w:rsidR="001C27E3">
        <w:t xml:space="preserve"> No. </w:t>
      </w:r>
      <w:r w:rsidR="006C7438">
        <w:t>21/2002)</w:t>
      </w:r>
      <w:r w:rsidR="007A2A3A">
        <w:t>.</w:t>
      </w:r>
      <w:r w:rsidR="00DA4A00">
        <w:rPr>
          <w:rStyle w:val="FootnoteReference"/>
        </w:rPr>
        <w:footnoteReference w:id="6"/>
      </w:r>
    </w:p>
    <w:p w:rsidR="00267AB3" w:rsidRDefault="00FD1028" w:rsidP="00082C9C">
      <w:pPr>
        <w:pStyle w:val="SingleTxtG"/>
      </w:pPr>
      <w:r>
        <w:t>2.</w:t>
      </w:r>
      <w:r w:rsidR="002F7C45">
        <w:t>7</w:t>
      </w:r>
      <w:r>
        <w:tab/>
      </w:r>
      <w:r w:rsidR="00E869AB">
        <w:t xml:space="preserve">The </w:t>
      </w:r>
      <w:r w:rsidR="00E869AB" w:rsidRPr="00287C91">
        <w:t>Australian Security Intelligence Organisation</w:t>
      </w:r>
      <w:r>
        <w:t xml:space="preserve"> undertook a fresh security assessment</w:t>
      </w:r>
      <w:r w:rsidR="006F47A5">
        <w:t xml:space="preserve">, </w:t>
      </w:r>
      <w:r>
        <w:t>which was notified to the author on 26</w:t>
      </w:r>
      <w:r w:rsidR="008C6A58">
        <w:t> </w:t>
      </w:r>
      <w:r>
        <w:t>May 2004</w:t>
      </w:r>
      <w:r w:rsidR="00F51BDE">
        <w:t xml:space="preserve">, </w:t>
      </w:r>
      <w:r w:rsidR="006F47A5">
        <w:t xml:space="preserve">with a request to </w:t>
      </w:r>
      <w:r w:rsidR="00F51BDE">
        <w:t xml:space="preserve">him to comment </w:t>
      </w:r>
      <w:r w:rsidR="006F47A5">
        <w:t xml:space="preserve">on </w:t>
      </w:r>
      <w:r w:rsidR="00F51BDE">
        <w:t>that assessment</w:t>
      </w:r>
      <w:r>
        <w:t xml:space="preserve">. </w:t>
      </w:r>
      <w:r w:rsidR="00F51BDE">
        <w:t xml:space="preserve">However, </w:t>
      </w:r>
      <w:r w:rsidR="006B4AE0">
        <w:t>he</w:t>
      </w:r>
      <w:r>
        <w:t xml:space="preserve"> </w:t>
      </w:r>
      <w:r w:rsidR="00114504">
        <w:t>was</w:t>
      </w:r>
      <w:r>
        <w:t xml:space="preserve"> n</w:t>
      </w:r>
      <w:r w:rsidR="00F51BDE">
        <w:t>ot</w:t>
      </w:r>
      <w:r>
        <w:t xml:space="preserve"> provided with a copy of </w:t>
      </w:r>
      <w:r w:rsidR="006F47A5">
        <w:t xml:space="preserve">the </w:t>
      </w:r>
      <w:r>
        <w:t>assessment, nor any direct information about the content of it</w:t>
      </w:r>
      <w:r w:rsidR="00267AB3">
        <w:t>.</w:t>
      </w:r>
    </w:p>
    <w:p w:rsidR="00EF2080" w:rsidRPr="00EF2080" w:rsidRDefault="00E037D0" w:rsidP="00E037D0">
      <w:pPr>
        <w:pStyle w:val="H4G"/>
      </w:pPr>
      <w:r>
        <w:tab/>
      </w:r>
      <w:r>
        <w:tab/>
      </w:r>
      <w:r w:rsidR="00EF2080" w:rsidRPr="00EF2080">
        <w:t>Second proceedings before the Federal Court</w:t>
      </w:r>
    </w:p>
    <w:p w:rsidR="00FD1028" w:rsidRDefault="00FD1028" w:rsidP="00082C9C">
      <w:pPr>
        <w:pStyle w:val="SingleTxtG"/>
      </w:pPr>
      <w:r>
        <w:t>2.</w:t>
      </w:r>
      <w:r w:rsidR="002F7C45">
        <w:t>8</w:t>
      </w:r>
      <w:r>
        <w:tab/>
        <w:t xml:space="preserve">On </w:t>
      </w:r>
      <w:r w:rsidRPr="008C71F0">
        <w:t>21 July 2004</w:t>
      </w:r>
      <w:r>
        <w:t>, the author commenced new proceedings in the Federal Court seeking an injunction</w:t>
      </w:r>
      <w:r w:rsidR="006F47A5">
        <w:t xml:space="preserve"> to,</w:t>
      </w:r>
      <w:r>
        <w:t xml:space="preserve"> </w:t>
      </w:r>
      <w:r w:rsidR="00F51BDE">
        <w:t>inter alia</w:t>
      </w:r>
      <w:r w:rsidR="006F47A5">
        <w:t>,</w:t>
      </w:r>
      <w:r w:rsidR="00EF2080">
        <w:t xml:space="preserve"> </w:t>
      </w:r>
      <w:r>
        <w:t xml:space="preserve">restrain </w:t>
      </w:r>
      <w:r w:rsidR="00E869AB">
        <w:t xml:space="preserve">the </w:t>
      </w:r>
      <w:r w:rsidR="00E869AB" w:rsidRPr="00287C91">
        <w:t>Australian Security Intelligence Organisation</w:t>
      </w:r>
      <w:r w:rsidR="00E869AB">
        <w:t xml:space="preserve"> </w:t>
      </w:r>
      <w:r>
        <w:t>from furnishing the fresh assessment to the Department of Immigration</w:t>
      </w:r>
      <w:r w:rsidR="00B366B7">
        <w:t xml:space="preserve"> and Multicultural and Indigenous Affairs</w:t>
      </w:r>
      <w:r w:rsidR="00F51BDE">
        <w:t xml:space="preserve"> and</w:t>
      </w:r>
      <w:r>
        <w:t xml:space="preserve"> declar</w:t>
      </w:r>
      <w:r w:rsidR="00EF2080">
        <w:t>e</w:t>
      </w:r>
      <w:r>
        <w:t xml:space="preserve"> that the </w:t>
      </w:r>
      <w:r w:rsidR="00D7590F">
        <w:t xml:space="preserve">fresh </w:t>
      </w:r>
      <w:r>
        <w:t xml:space="preserve">assessment was </w:t>
      </w:r>
      <w:r w:rsidRPr="00E037D0">
        <w:t>void</w:t>
      </w:r>
      <w:r>
        <w:t xml:space="preserve"> and inoperative. By a decision dated 10 N</w:t>
      </w:r>
      <w:r w:rsidR="00EF2080">
        <w:t xml:space="preserve">ovember 2005, the Federal Court, sitting in a single-judge formation, </w:t>
      </w:r>
      <w:r>
        <w:t xml:space="preserve">dismissed the proceedings in a written decision which excluded confidential parts. </w:t>
      </w:r>
    </w:p>
    <w:p w:rsidR="00FD1028" w:rsidRDefault="00FD1028" w:rsidP="000531C2">
      <w:pPr>
        <w:pStyle w:val="SingleTxtG"/>
      </w:pPr>
      <w:r>
        <w:t>2.</w:t>
      </w:r>
      <w:r w:rsidR="002F7C45">
        <w:t>9</w:t>
      </w:r>
      <w:r>
        <w:tab/>
        <w:t xml:space="preserve">The Federal Court </w:t>
      </w:r>
      <w:r w:rsidR="00A23855">
        <w:t>found that</w:t>
      </w:r>
      <w:r>
        <w:t xml:space="preserve">: (a) </w:t>
      </w:r>
      <w:r w:rsidR="00A23855">
        <w:t>a</w:t>
      </w:r>
      <w:r>
        <w:t xml:space="preserve">pplicable legislation provides that an Australian citizen (or permanent resident) who is the subject of an adverse security assessment is ordinarily entitled to notification of that fact and to a statement of reasons; </w:t>
      </w:r>
      <w:r w:rsidR="008C6A58">
        <w:t>(</w:t>
      </w:r>
      <w:r w:rsidR="00EF2080">
        <w:t>b)</w:t>
      </w:r>
      <w:r w:rsidR="00A23855">
        <w:t xml:space="preserve"> t</w:t>
      </w:r>
      <w:r>
        <w:t xml:space="preserve">he policy is that non-citizens who do not hold permanent residency visas (such as the author) will not have access to a right of review, nor to the procedural fairness requirements at the review level; (c) </w:t>
      </w:r>
      <w:r w:rsidR="00A23855">
        <w:t>n</w:t>
      </w:r>
      <w:r>
        <w:t xml:space="preserve">on-citizens have no right to receive a statement of reasons for a security assessment, nor indeed any statutory right to be notified of an assessment; (d) </w:t>
      </w:r>
      <w:r w:rsidR="00A23855">
        <w:t>i</w:t>
      </w:r>
      <w:r>
        <w:t xml:space="preserve">n relation to </w:t>
      </w:r>
      <w:r>
        <w:lastRenderedPageBreak/>
        <w:t>a lawful non-citizen, su</w:t>
      </w:r>
      <w:r w:rsidR="00193860">
        <w:t>ch as the</w:t>
      </w:r>
      <w:r w:rsidR="006B4AE0">
        <w:t xml:space="preserve"> </w:t>
      </w:r>
      <w:r>
        <w:t xml:space="preserve">author, whose visa would be directly threatened by an adverse security assessment, there is a duty to afford </w:t>
      </w:r>
      <w:r w:rsidR="0028271C">
        <w:t>“</w:t>
      </w:r>
      <w:r>
        <w:t>such degree of procedural fairness as the circumstances could bear, consistent with a lack of prejudice to national security</w:t>
      </w:r>
      <w:r w:rsidR="0028271C">
        <w:t>”</w:t>
      </w:r>
      <w:r>
        <w:t xml:space="preserve">; (e) </w:t>
      </w:r>
      <w:r w:rsidR="00A23855">
        <w:t>t</w:t>
      </w:r>
      <w:r>
        <w:t xml:space="preserve">he Court is not in a position to form a contrary view </w:t>
      </w:r>
      <w:r w:rsidR="00EF2080">
        <w:t>on</w:t>
      </w:r>
      <w:r>
        <w:t xml:space="preserve"> the opinion apparently expressed in confidential affidavit evidence (which was not provided to the author), since </w:t>
      </w:r>
      <w:r w:rsidR="0028271C">
        <w:t>“</w:t>
      </w:r>
      <w:r w:rsidR="00A23855">
        <w:t>c</w:t>
      </w:r>
      <w:r>
        <w:t>ourts are ill-equipped to evaluate intelligence</w:t>
      </w:r>
      <w:r w:rsidR="0028271C">
        <w:t>”</w:t>
      </w:r>
      <w:r w:rsidR="007A2A3A">
        <w:t>;</w:t>
      </w:r>
      <w:r w:rsidR="00F3058A">
        <w:rPr>
          <w:rStyle w:val="FootnoteReference"/>
        </w:rPr>
        <w:footnoteReference w:id="7"/>
      </w:r>
      <w:r>
        <w:t xml:space="preserve"> </w:t>
      </w:r>
      <w:r w:rsidR="00A23855">
        <w:t xml:space="preserve">and </w:t>
      </w:r>
      <w:r>
        <w:t xml:space="preserve">(f) </w:t>
      </w:r>
      <w:r w:rsidR="00A23855">
        <w:t>i</w:t>
      </w:r>
      <w:r>
        <w:t xml:space="preserve">n consequence, the obligation to provide the degree of procedural fairness as the circumstances could bear, consistent with a lack of prejudice to national security, will be </w:t>
      </w:r>
      <w:r w:rsidR="0028271C">
        <w:t>“</w:t>
      </w:r>
      <w:r>
        <w:t>discharged by evidence of the fact and content of such genuine consideration by the Director</w:t>
      </w:r>
      <w:r w:rsidR="000531C2">
        <w:t xml:space="preserve"> </w:t>
      </w:r>
      <w:r>
        <w:t>General personally</w:t>
      </w:r>
      <w:r w:rsidR="0028271C">
        <w:t>”</w:t>
      </w:r>
      <w:r w:rsidR="00A23855">
        <w:t>.</w:t>
      </w:r>
      <w:r>
        <w:t xml:space="preserve"> The Court </w:t>
      </w:r>
      <w:r w:rsidR="00A23855">
        <w:t xml:space="preserve">also </w:t>
      </w:r>
      <w:r>
        <w:t xml:space="preserve">found that Parliament had determined, in effect, that the Director General must be trusted to be fair to those against whom a </w:t>
      </w:r>
      <w:r w:rsidR="00EA4EA3">
        <w:t>s</w:t>
      </w:r>
      <w:r>
        <w:t>ecurity assessment had been made and concluded that “genuine consideration has been given, by the Director</w:t>
      </w:r>
      <w:r w:rsidR="000531C2">
        <w:t xml:space="preserve"> </w:t>
      </w:r>
      <w:r>
        <w:t>General, to the possibility of disclosure, but that the potential prejudice to the interests of national security involved in such disclosure appears to be such that the content of procedural fairness is reduced, in practical terms, to nothingness… The applicant was accorded procedural fairness to the extent that the interests of national security permitted.”</w:t>
      </w:r>
    </w:p>
    <w:p w:rsidR="00FD1028" w:rsidRDefault="00FD1028" w:rsidP="00D53D18">
      <w:pPr>
        <w:pStyle w:val="SingleTxtG"/>
      </w:pPr>
      <w:r>
        <w:t>2.</w:t>
      </w:r>
      <w:r w:rsidR="002F7C45">
        <w:t>10</w:t>
      </w:r>
      <w:r>
        <w:tab/>
        <w:t xml:space="preserve">On </w:t>
      </w:r>
      <w:r w:rsidRPr="008C71F0">
        <w:t>18 January 2006</w:t>
      </w:r>
      <w:r>
        <w:t xml:space="preserve">, the author appealed to the Full Federal Court. On </w:t>
      </w:r>
      <w:r w:rsidRPr="008C71F0">
        <w:t>23 March 2007</w:t>
      </w:r>
      <w:r w:rsidR="000531C2">
        <w:t>,</w:t>
      </w:r>
      <w:r>
        <w:t xml:space="preserve"> the Court dismissed the appeal. The complete judg</w:t>
      </w:r>
      <w:r w:rsidR="005D78C4">
        <w:t>e</w:t>
      </w:r>
      <w:r>
        <w:t>ment is not publicly available</w:t>
      </w:r>
      <w:r w:rsidR="005D78C4">
        <w:t>,</w:t>
      </w:r>
      <w:r>
        <w:t xml:space="preserve"> as portions of it were ordered by the Court to remain confidential. However</w:t>
      </w:r>
      <w:r w:rsidR="0018158F">
        <w:t>,</w:t>
      </w:r>
      <w:r>
        <w:t xml:space="preserve"> the Court accepted previous authority to the effect that the balancing of the conflicting principles of entitlement of a person to know the adverse case</w:t>
      </w:r>
      <w:r w:rsidR="0018158F">
        <w:t>,</w:t>
      </w:r>
      <w:r>
        <w:t xml:space="preserve"> and national security</w:t>
      </w:r>
      <w:r w:rsidR="0018158F">
        <w:t>,</w:t>
      </w:r>
      <w:r>
        <w:t xml:space="preserve"> may in some cases produce </w:t>
      </w:r>
      <w:r w:rsidR="0028271C">
        <w:t>“</w:t>
      </w:r>
      <w:r>
        <w:t>the ‘unsatisfactory’ feature that the content of a security assessment is withheld from the person affected</w:t>
      </w:r>
      <w:r w:rsidR="0028271C">
        <w:t>”</w:t>
      </w:r>
      <w:r>
        <w:t>. It also found that there was no error in the primary judge’s reasons. On 28 May 2007, the</w:t>
      </w:r>
      <w:r w:rsidR="006B4AE0">
        <w:t xml:space="preserve"> </w:t>
      </w:r>
      <w:r>
        <w:t xml:space="preserve">author applied for special leave to appeal to the High Court. The application was refused on 8 November 2007. The refusal of that application allowed the Migration Review Tribunal to proceed with its review of the refusal to grant the applicants </w:t>
      </w:r>
      <w:r w:rsidR="00EA4EA3">
        <w:t>a permanent visa</w:t>
      </w:r>
      <w:r>
        <w:t xml:space="preserve">. </w:t>
      </w:r>
    </w:p>
    <w:p w:rsidR="00F51BDE" w:rsidRPr="00D95636" w:rsidRDefault="00E53B99" w:rsidP="00166EAC">
      <w:pPr>
        <w:pStyle w:val="H4G"/>
      </w:pPr>
      <w:r>
        <w:tab/>
      </w:r>
      <w:r>
        <w:tab/>
      </w:r>
      <w:r w:rsidR="00F51BDE" w:rsidRPr="00D95636">
        <w:t>Restarting of the procedure before the Migration Review Tribunal</w:t>
      </w:r>
    </w:p>
    <w:p w:rsidR="00FD1028" w:rsidRDefault="00FD1028" w:rsidP="00DD40D3">
      <w:pPr>
        <w:pStyle w:val="SingleTxtG"/>
      </w:pPr>
      <w:r>
        <w:t>2.1</w:t>
      </w:r>
      <w:r w:rsidR="002F7C45">
        <w:t>1</w:t>
      </w:r>
      <w:r>
        <w:tab/>
        <w:t xml:space="preserve">On 2 October 2009, the </w:t>
      </w:r>
      <w:r w:rsidR="00EF2080">
        <w:t xml:space="preserve">Migration Review </w:t>
      </w:r>
      <w:r>
        <w:t xml:space="preserve">Tribunal wrote to </w:t>
      </w:r>
      <w:r w:rsidR="00E56765">
        <w:t xml:space="preserve">the </w:t>
      </w:r>
      <w:r>
        <w:t>author</w:t>
      </w:r>
      <w:r w:rsidR="00DA3692">
        <w:t xml:space="preserve"> in relation to his application for </w:t>
      </w:r>
      <w:r w:rsidR="00C00E7B">
        <w:t xml:space="preserve">a </w:t>
      </w:r>
      <w:r w:rsidR="00DA3692">
        <w:t>review of the decision to refuse him a permanent visa</w:t>
      </w:r>
      <w:r>
        <w:t>, inviting him to comment</w:t>
      </w:r>
      <w:r w:rsidR="00EF2080">
        <w:t xml:space="preserve"> by 30 October 2009</w:t>
      </w:r>
      <w:r>
        <w:t xml:space="preserve"> on </w:t>
      </w:r>
      <w:r w:rsidR="00EF2080">
        <w:t>the fact</w:t>
      </w:r>
      <w:r>
        <w:t xml:space="preserve"> that </w:t>
      </w:r>
      <w:r w:rsidR="00E869AB">
        <w:t xml:space="preserve">the </w:t>
      </w:r>
      <w:r w:rsidR="00E869AB" w:rsidRPr="00287C91">
        <w:t>Australian Security Intelligence Organisation</w:t>
      </w:r>
      <w:r w:rsidR="00E869AB">
        <w:t xml:space="preserve"> </w:t>
      </w:r>
      <w:r>
        <w:t>had made a</w:t>
      </w:r>
      <w:r w:rsidR="00EF2080">
        <w:t xml:space="preserve"> security assessment. </w:t>
      </w:r>
      <w:r>
        <w:t>On 7</w:t>
      </w:r>
      <w:r w:rsidR="00C00E7B">
        <w:t> </w:t>
      </w:r>
      <w:r>
        <w:t xml:space="preserve">October 2009, the author responded by asking the </w:t>
      </w:r>
      <w:r w:rsidR="00C00E7B">
        <w:t>T</w:t>
      </w:r>
      <w:r>
        <w:t>ribunal which assessment he should comment on</w:t>
      </w:r>
      <w:r w:rsidR="00C00E7B">
        <w:t>,</w:t>
      </w:r>
      <w:r>
        <w:t xml:space="preserve"> and requested a copy of all </w:t>
      </w:r>
      <w:r w:rsidR="00D7590F">
        <w:t xml:space="preserve">assessments by the </w:t>
      </w:r>
      <w:r w:rsidR="00E869AB" w:rsidRPr="00287C91">
        <w:t>Australian Security Intelligence Organisation</w:t>
      </w:r>
      <w:r>
        <w:t xml:space="preserve"> </w:t>
      </w:r>
      <w:r w:rsidR="00D7590F">
        <w:t>relating to him</w:t>
      </w:r>
      <w:r>
        <w:t xml:space="preserve">. He </w:t>
      </w:r>
      <w:r w:rsidR="00B43F7D">
        <w:t xml:space="preserve">also </w:t>
      </w:r>
      <w:r>
        <w:t>sought an ext</w:t>
      </w:r>
      <w:r w:rsidR="00EF2080">
        <w:t xml:space="preserve">ension of </w:t>
      </w:r>
      <w:r w:rsidR="00B43F7D">
        <w:t xml:space="preserve">the </w:t>
      </w:r>
      <w:r w:rsidR="00EF2080">
        <w:t xml:space="preserve">time to comment. The </w:t>
      </w:r>
      <w:r w:rsidR="00C00E7B">
        <w:t>T</w:t>
      </w:r>
      <w:r>
        <w:t>ribunal responded that it was inviting comment on the assessment dated 25</w:t>
      </w:r>
      <w:r w:rsidR="0028271C">
        <w:t> </w:t>
      </w:r>
      <w:r>
        <w:t xml:space="preserve">May 2004 and that it did not have a copy of that assessment. </w:t>
      </w:r>
      <w:r w:rsidR="00EF2080">
        <w:t>It</w:t>
      </w:r>
      <w:r>
        <w:t xml:space="preserve"> granted the </w:t>
      </w:r>
      <w:r w:rsidR="00EF2080">
        <w:t>author</w:t>
      </w:r>
      <w:r>
        <w:t xml:space="preserve"> an extension of time. On 19 November 2009, the author provided a detailed submission, noting that neither he nor the </w:t>
      </w:r>
      <w:r w:rsidR="00B43F7D">
        <w:t>T</w:t>
      </w:r>
      <w:r>
        <w:t xml:space="preserve">ribunal had a copy of the </w:t>
      </w:r>
      <w:r w:rsidR="00144C24">
        <w:t xml:space="preserve">Australian Security Intelligence Organisation </w:t>
      </w:r>
      <w:r>
        <w:t xml:space="preserve">assessment in question, nor did </w:t>
      </w:r>
      <w:r w:rsidR="00B43F7D">
        <w:t>he</w:t>
      </w:r>
      <w:r>
        <w:t xml:space="preserve"> know anything of its content or the evidence upon which it was based. He argued that, in making the security assessment, </w:t>
      </w:r>
      <w:r w:rsidR="00144C24">
        <w:t xml:space="preserve">the Australian Security Intelligence Organisation </w:t>
      </w:r>
      <w:r>
        <w:t xml:space="preserve">had made a mistake. He submitted that the </w:t>
      </w:r>
      <w:r w:rsidR="005848A4">
        <w:t>T</w:t>
      </w:r>
      <w:r>
        <w:t>ribunal should place little weight on the assessment</w:t>
      </w:r>
      <w:r w:rsidR="005848A4">
        <w:t>,</w:t>
      </w:r>
      <w:r>
        <w:t xml:space="preserve"> on the basis that </w:t>
      </w:r>
      <w:r w:rsidR="00144C24">
        <w:t xml:space="preserve">the Australian Security Intelligence Organisation </w:t>
      </w:r>
      <w:r>
        <w:t xml:space="preserve">had not provided reasons for the </w:t>
      </w:r>
      <w:r>
        <w:lastRenderedPageBreak/>
        <w:t xml:space="preserve">assessment to the </w:t>
      </w:r>
      <w:r w:rsidR="005848A4">
        <w:t>T</w:t>
      </w:r>
      <w:r>
        <w:t xml:space="preserve">ribunal to enable it to properly assess its validity. He remarked that he had been living in </w:t>
      </w:r>
      <w:smartTag w:uri="urn:schemas-microsoft-com:office:smarttags" w:element="country-region">
        <w:smartTag w:uri="urn:schemas-microsoft-com:office:smarttags" w:element="place">
          <w:r>
            <w:t>Australia</w:t>
          </w:r>
        </w:smartTag>
      </w:smartTag>
      <w:r>
        <w:t xml:space="preserve"> with his family for 16 years and had been an active and respected member of the Australian community. He referred to his role as a director and cleric of the Imam Husain Islamic Centre</w:t>
      </w:r>
      <w:r w:rsidR="00EF2080">
        <w:t>.</w:t>
      </w:r>
      <w:r>
        <w:t xml:space="preserve"> With his response, the</w:t>
      </w:r>
      <w:r w:rsidR="006B4AE0">
        <w:t xml:space="preserve"> </w:t>
      </w:r>
      <w:r>
        <w:t xml:space="preserve">author submitted a copy of the transcript of an interview conducted with him by </w:t>
      </w:r>
      <w:r w:rsidR="00144C24">
        <w:t>Australian Security Intelligence Organisation</w:t>
      </w:r>
      <w:r>
        <w:t xml:space="preserve"> officers in 1999 and a statutory declaration </w:t>
      </w:r>
      <w:r w:rsidR="005848A4">
        <w:t xml:space="preserve">that </w:t>
      </w:r>
      <w:r>
        <w:t xml:space="preserve">he had made on 24 March 2004, giving details about his activities in Australia. </w:t>
      </w:r>
    </w:p>
    <w:p w:rsidR="00FD1028" w:rsidRDefault="00FD1028" w:rsidP="00D7590F">
      <w:pPr>
        <w:pStyle w:val="SingleTxtG"/>
      </w:pPr>
      <w:r>
        <w:t>2.1</w:t>
      </w:r>
      <w:r w:rsidR="002F7C45">
        <w:t>2</w:t>
      </w:r>
      <w:r>
        <w:tab/>
        <w:t xml:space="preserve">On </w:t>
      </w:r>
      <w:r w:rsidRPr="008C71F0">
        <w:t>19 February 2010</w:t>
      </w:r>
      <w:r>
        <w:t xml:space="preserve">, the </w:t>
      </w:r>
      <w:r w:rsidR="00652990">
        <w:t>T</w:t>
      </w:r>
      <w:r>
        <w:t>ribunal affirmed the original decision not to grant a visa to the author and his remaining two de</w:t>
      </w:r>
      <w:r w:rsidR="00EF2080">
        <w:t xml:space="preserve">pendants. In its findings, </w:t>
      </w:r>
      <w:r w:rsidR="00652990">
        <w:t>it</w:t>
      </w:r>
      <w:r>
        <w:t xml:space="preserve"> stated that </w:t>
      </w:r>
      <w:r w:rsidR="00050883">
        <w:t>“</w:t>
      </w:r>
      <w:r w:rsidR="00EF2080">
        <w:t>w</w:t>
      </w:r>
      <w:r>
        <w:t xml:space="preserve">hile the Tribunal is sympathetic to the primary applicant’s predicament, it does not have the power to go behind or to examine the validity of the </w:t>
      </w:r>
      <w:r w:rsidR="007B3C88">
        <w:t>Australian Security Intelligence Organisation</w:t>
      </w:r>
      <w:r>
        <w:t xml:space="preserve"> assessment</w:t>
      </w:r>
      <w:r w:rsidR="00050883">
        <w:t>”</w:t>
      </w:r>
      <w:r>
        <w:t xml:space="preserve">. The author </w:t>
      </w:r>
      <w:r w:rsidR="00D7590F">
        <w:t xml:space="preserve">then </w:t>
      </w:r>
      <w:r>
        <w:t xml:space="preserve">requested the Minister for Immigration to exercise his personal, non-compellable, non-reviewable discretionary power, under section 351 of the Migration Act, to substitute a more favourable decision and to allow </w:t>
      </w:r>
      <w:r w:rsidR="00D7590F" w:rsidRPr="00D7590F">
        <w:t xml:space="preserve">him and </w:t>
      </w:r>
      <w:r w:rsidR="00D7590F">
        <w:t>his two remaining dependants</w:t>
      </w:r>
      <w:r>
        <w:t xml:space="preserve"> to remain in Australia. </w:t>
      </w:r>
    </w:p>
    <w:p w:rsidR="00EF0FAC" w:rsidRDefault="00EF0FAC" w:rsidP="00C50907">
      <w:pPr>
        <w:pStyle w:val="SingleTxtG"/>
      </w:pPr>
      <w:r>
        <w:t>2.1</w:t>
      </w:r>
      <w:r w:rsidR="002F7C45">
        <w:t>3</w:t>
      </w:r>
      <w:r>
        <w:tab/>
      </w:r>
      <w:r w:rsidR="00FF01E2">
        <w:t xml:space="preserve">On </w:t>
      </w:r>
      <w:r w:rsidR="00FF01E2" w:rsidRPr="00F51BDE">
        <w:t>19 May 2010</w:t>
      </w:r>
      <w:r w:rsidR="00FF01E2">
        <w:t>, the</w:t>
      </w:r>
      <w:r w:rsidR="00A44101">
        <w:t xml:space="preserve"> </w:t>
      </w:r>
      <w:r w:rsidR="00FF01E2">
        <w:t xml:space="preserve">author </w:t>
      </w:r>
      <w:r w:rsidR="00271469">
        <w:t xml:space="preserve">added </w:t>
      </w:r>
      <w:r w:rsidR="00FF01E2">
        <w:t xml:space="preserve">that </w:t>
      </w:r>
      <w:r w:rsidR="00F51BDE">
        <w:t>on</w:t>
      </w:r>
      <w:r w:rsidR="00FF01E2">
        <w:t xml:space="preserve"> </w:t>
      </w:r>
      <w:r w:rsidR="00FF01E2" w:rsidRPr="008C71F0">
        <w:t xml:space="preserve">17 </w:t>
      </w:r>
      <w:r w:rsidR="00EF2080" w:rsidRPr="008C71F0">
        <w:t>M</w:t>
      </w:r>
      <w:r w:rsidR="00FF01E2" w:rsidRPr="008C71F0">
        <w:t>ay 2010</w:t>
      </w:r>
      <w:r w:rsidR="00FF01E2">
        <w:t xml:space="preserve"> he </w:t>
      </w:r>
      <w:r w:rsidR="00271469">
        <w:t>had been</w:t>
      </w:r>
      <w:r w:rsidR="00FF01E2">
        <w:t xml:space="preserve"> notified </w:t>
      </w:r>
      <w:r w:rsidR="00EF2080">
        <w:t>that</w:t>
      </w:r>
      <w:r w:rsidR="00FF01E2">
        <w:t xml:space="preserve"> the Minister</w:t>
      </w:r>
      <w:r w:rsidR="00EF2080">
        <w:t xml:space="preserve"> </w:t>
      </w:r>
      <w:r w:rsidR="008D34D9">
        <w:t xml:space="preserve">had </w:t>
      </w:r>
      <w:r w:rsidR="00FF01E2">
        <w:t>deci</w:t>
      </w:r>
      <w:r w:rsidR="00EF2080">
        <w:t>ded</w:t>
      </w:r>
      <w:r w:rsidR="00FF01E2">
        <w:t xml:space="preserve"> not to accede to </w:t>
      </w:r>
      <w:r w:rsidR="00A44101">
        <w:t>his</w:t>
      </w:r>
      <w:r w:rsidR="00FF01E2">
        <w:t xml:space="preserve"> request for </w:t>
      </w:r>
      <w:r w:rsidR="008D34D9">
        <w:t>m</w:t>
      </w:r>
      <w:r w:rsidR="00FF01E2">
        <w:t xml:space="preserve">inisterial intervention. </w:t>
      </w:r>
      <w:r w:rsidR="00C50907">
        <w:t xml:space="preserve">However, </w:t>
      </w:r>
      <w:r w:rsidR="00BF5BA6">
        <w:t>the</w:t>
      </w:r>
      <w:r w:rsidR="00266A21">
        <w:t xml:space="preserve"> Minister </w:t>
      </w:r>
      <w:r w:rsidR="00C50907">
        <w:t xml:space="preserve">had </w:t>
      </w:r>
      <w:r w:rsidR="00266A21">
        <w:t xml:space="preserve">decided to </w:t>
      </w:r>
      <w:r w:rsidR="00BF5BA6">
        <w:t>grant</w:t>
      </w:r>
      <w:r w:rsidR="00266A21">
        <w:t xml:space="preserve"> </w:t>
      </w:r>
      <w:r w:rsidR="00C50907">
        <w:t>his wife and non-Australian son</w:t>
      </w:r>
      <w:r w:rsidR="00BF5BA6">
        <w:t xml:space="preserve"> </w:t>
      </w:r>
      <w:r w:rsidR="00C50907">
        <w:t>visas for permanent residency</w:t>
      </w:r>
      <w:r w:rsidR="00BF5BA6">
        <w:t xml:space="preserve"> in Australia</w:t>
      </w:r>
      <w:r w:rsidR="00F51BDE">
        <w:t>.</w:t>
      </w:r>
      <w:r w:rsidR="00F51BDE" w:rsidRPr="00F51BDE">
        <w:t xml:space="preserve"> Th</w:t>
      </w:r>
      <w:r w:rsidR="00B47897">
        <w:t xml:space="preserve">e decision not to intervene in </w:t>
      </w:r>
      <w:r w:rsidR="00C50907">
        <w:t xml:space="preserve">the author’s </w:t>
      </w:r>
      <w:r w:rsidR="00B47897">
        <w:t>favour</w:t>
      </w:r>
      <w:r w:rsidR="00F51BDE" w:rsidRPr="00F51BDE">
        <w:t xml:space="preserve"> </w:t>
      </w:r>
      <w:r w:rsidR="00A5373A">
        <w:t>is not subject to appeal</w:t>
      </w:r>
      <w:r w:rsidR="00F51BDE" w:rsidRPr="00F51BDE">
        <w:t xml:space="preserve">. Domestic remedies </w:t>
      </w:r>
      <w:r w:rsidR="00B47897">
        <w:t>have</w:t>
      </w:r>
      <w:r w:rsidR="00F51BDE" w:rsidRPr="00F51BDE">
        <w:t xml:space="preserve"> therefore </w:t>
      </w:r>
      <w:r w:rsidR="00B47897">
        <w:t xml:space="preserve">been </w:t>
      </w:r>
      <w:r w:rsidR="00F51BDE" w:rsidRPr="00F51BDE">
        <w:t>exhausted.</w:t>
      </w:r>
    </w:p>
    <w:p w:rsidR="001E23FD" w:rsidRPr="00FD1028" w:rsidRDefault="0028271C" w:rsidP="00FF59AA">
      <w:pPr>
        <w:pStyle w:val="H23G"/>
      </w:pPr>
      <w:r>
        <w:tab/>
      </w:r>
      <w:r>
        <w:tab/>
      </w:r>
      <w:r w:rsidR="001E23FD" w:rsidRPr="00FD1028">
        <w:t>The complaint</w:t>
      </w:r>
    </w:p>
    <w:p w:rsidR="00FF5631" w:rsidRDefault="005942E2" w:rsidP="00BB69A0">
      <w:pPr>
        <w:pStyle w:val="SingleTxtG"/>
      </w:pPr>
      <w:r>
        <w:t>3.1</w:t>
      </w:r>
      <w:r>
        <w:tab/>
      </w:r>
      <w:r w:rsidR="00FF5631">
        <w:t>The author claim</w:t>
      </w:r>
      <w:r w:rsidR="00334025">
        <w:t>s</w:t>
      </w:r>
      <w:r w:rsidR="00FF5631">
        <w:t xml:space="preserve"> that </w:t>
      </w:r>
      <w:r w:rsidR="00334025">
        <w:t>his</w:t>
      </w:r>
      <w:r w:rsidR="00A44101">
        <w:t xml:space="preserve"> deportation t</w:t>
      </w:r>
      <w:r w:rsidR="00FF5631">
        <w:t xml:space="preserve">o </w:t>
      </w:r>
      <w:r w:rsidR="000A27C2">
        <w:t>the Islamic Republic of Iran</w:t>
      </w:r>
      <w:r w:rsidR="00FF5631">
        <w:t xml:space="preserve"> would constitute a violation</w:t>
      </w:r>
      <w:r w:rsidR="00FC6F3B">
        <w:t xml:space="preserve"> of</w:t>
      </w:r>
      <w:r w:rsidR="00FF5631">
        <w:t xml:space="preserve"> articles</w:t>
      </w:r>
      <w:r w:rsidR="00050883">
        <w:t> </w:t>
      </w:r>
      <w:r w:rsidR="00FF5631">
        <w:t xml:space="preserve">2, 13, 17, 23, 24 and 26 of the Covenant. </w:t>
      </w:r>
    </w:p>
    <w:p w:rsidR="00F37ECC" w:rsidRDefault="00FF5631" w:rsidP="00DD40D3">
      <w:pPr>
        <w:pStyle w:val="SingleTxtG"/>
      </w:pPr>
      <w:r>
        <w:t>3.2</w:t>
      </w:r>
      <w:r>
        <w:tab/>
      </w:r>
      <w:r w:rsidR="00C50907">
        <w:t>With regard to</w:t>
      </w:r>
      <w:r w:rsidR="00C50907" w:rsidRPr="002D7E7C">
        <w:t xml:space="preserve"> </w:t>
      </w:r>
      <w:r w:rsidR="001C27E3">
        <w:t>article </w:t>
      </w:r>
      <w:r w:rsidRPr="002D7E7C">
        <w:t>13</w:t>
      </w:r>
      <w:r>
        <w:t xml:space="preserve">, </w:t>
      </w:r>
      <w:r w:rsidR="00A44101">
        <w:t xml:space="preserve">the </w:t>
      </w:r>
      <w:r w:rsidR="003A67BF">
        <w:t>State party</w:t>
      </w:r>
      <w:r w:rsidR="00B90137">
        <w:t xml:space="preserve"> has </w:t>
      </w:r>
      <w:r w:rsidR="00FC6F3B">
        <w:t xml:space="preserve">allegedly </w:t>
      </w:r>
      <w:r w:rsidR="00B90137">
        <w:t>violated its obligation to provide the author with a fair hearing i</w:t>
      </w:r>
      <w:r>
        <w:t xml:space="preserve">n accordance with </w:t>
      </w:r>
      <w:r w:rsidR="00DE7EF4">
        <w:t>law</w:t>
      </w:r>
      <w:r>
        <w:t xml:space="preserve"> </w:t>
      </w:r>
      <w:r w:rsidR="00B90137">
        <w:t>and</w:t>
      </w:r>
      <w:r>
        <w:t xml:space="preserve"> pursuant to the procedural guarantees (including equality of arms) of </w:t>
      </w:r>
      <w:r w:rsidR="001C27E3">
        <w:t>article </w:t>
      </w:r>
      <w:r>
        <w:t xml:space="preserve">13 </w:t>
      </w:r>
      <w:r w:rsidR="00C50907">
        <w:t>by</w:t>
      </w:r>
      <w:r w:rsidR="00B90137">
        <w:t xml:space="preserve"> deciding that he was a direct risk to national security for the purpose of determining his immigration status. </w:t>
      </w:r>
      <w:r w:rsidR="00C50907">
        <w:t>Firstly,</w:t>
      </w:r>
      <w:r>
        <w:t xml:space="preserve"> </w:t>
      </w:r>
      <w:r w:rsidR="00C50907">
        <w:t>h</w:t>
      </w:r>
      <w:r>
        <w:t>e was provided with only a bare assertion that he was a national security risk</w:t>
      </w:r>
      <w:r w:rsidR="003F544D">
        <w:t xml:space="preserve"> and</w:t>
      </w:r>
      <w:r>
        <w:t xml:space="preserve"> was given no further details of the case against him, and was thus unable to adequately contest the evidence</w:t>
      </w:r>
      <w:r w:rsidR="00C50907">
        <w:t>. Secondly,</w:t>
      </w:r>
      <w:r>
        <w:t xml:space="preserve"> all proceedings </w:t>
      </w:r>
      <w:r w:rsidR="00DE7EF4">
        <w:t>were purely formal</w:t>
      </w:r>
      <w:r>
        <w:t xml:space="preserve"> and could not provide </w:t>
      </w:r>
      <w:r w:rsidR="00D7590F">
        <w:t>a</w:t>
      </w:r>
      <w:r>
        <w:t xml:space="preserve"> review of the </w:t>
      </w:r>
      <w:r w:rsidR="00D7590F">
        <w:t xml:space="preserve">merits of the </w:t>
      </w:r>
      <w:r w:rsidR="00B90137">
        <w:t>decisions leading to his removal</w:t>
      </w:r>
      <w:r>
        <w:t xml:space="preserve">. </w:t>
      </w:r>
    </w:p>
    <w:p w:rsidR="00F37ECC" w:rsidRDefault="00F37ECC" w:rsidP="00DD40D3">
      <w:pPr>
        <w:pStyle w:val="SingleTxtG"/>
      </w:pPr>
      <w:r>
        <w:t>3.3</w:t>
      </w:r>
      <w:r>
        <w:tab/>
      </w:r>
      <w:r w:rsidR="00FF5631">
        <w:t>More specifically, he claims that</w:t>
      </w:r>
      <w:r w:rsidR="003F544D">
        <w:t>:</w:t>
      </w:r>
      <w:r w:rsidR="00FF5631">
        <w:t xml:space="preserve"> (</w:t>
      </w:r>
      <w:r w:rsidR="003F544D">
        <w:t>a</w:t>
      </w:r>
      <w:r w:rsidR="00FF5631">
        <w:t xml:space="preserve">) he was never provided with a copy of the </w:t>
      </w:r>
      <w:r w:rsidR="00AF467C">
        <w:t xml:space="preserve">2004 </w:t>
      </w:r>
      <w:r w:rsidR="00FF5631">
        <w:t>security assessment</w:t>
      </w:r>
      <w:r w:rsidR="00144C24">
        <w:t xml:space="preserve"> by the Australian Security Intelligence Organisation</w:t>
      </w:r>
      <w:r w:rsidR="00FF5631">
        <w:t xml:space="preserve"> upon which the decision to refuse his visa was based, or at least a redacted summary of the case against him, nor </w:t>
      </w:r>
      <w:r w:rsidR="00256869">
        <w:t xml:space="preserve">with </w:t>
      </w:r>
      <w:r w:rsidR="00FF5631">
        <w:t>adequate or detailed reasons for the adverse security assessment;</w:t>
      </w:r>
      <w:r w:rsidR="00DE7EF4">
        <w:t xml:space="preserve"> </w:t>
      </w:r>
      <w:r w:rsidR="00FF5631">
        <w:t>(</w:t>
      </w:r>
      <w:r w:rsidR="003F544D">
        <w:t>b</w:t>
      </w:r>
      <w:r w:rsidR="00DE7EF4">
        <w:t xml:space="preserve">) </w:t>
      </w:r>
      <w:r w:rsidR="000F238E">
        <w:t>he</w:t>
      </w:r>
      <w:r w:rsidR="00FF5631">
        <w:t xml:space="preserve"> was never provided with access to any of the evidence upon which the adverse securi</w:t>
      </w:r>
      <w:r w:rsidR="00DE7EF4">
        <w:t>ty assessment was based; (</w:t>
      </w:r>
      <w:r w:rsidR="003F544D">
        <w:t>c</w:t>
      </w:r>
      <w:r w:rsidR="00DE7EF4">
        <w:t>) h</w:t>
      </w:r>
      <w:r w:rsidR="00FF5631">
        <w:t xml:space="preserve">e was never notified of the existence of any witnesses </w:t>
      </w:r>
      <w:r w:rsidR="00256869">
        <w:t>upon whose testimony</w:t>
      </w:r>
      <w:r w:rsidR="00FF5631">
        <w:t xml:space="preserve"> the security assessment </w:t>
      </w:r>
      <w:r w:rsidR="00AF467C">
        <w:t>wa</w:t>
      </w:r>
      <w:r w:rsidR="00FF5631">
        <w:t xml:space="preserve">s based, or given any opportunity </w:t>
      </w:r>
      <w:r w:rsidR="00DE7EF4">
        <w:t>to challenge witnesses; (</w:t>
      </w:r>
      <w:r w:rsidR="003F544D">
        <w:t>d</w:t>
      </w:r>
      <w:r w:rsidR="00DE7EF4">
        <w:t xml:space="preserve">) </w:t>
      </w:r>
      <w:r w:rsidR="000F238E">
        <w:t>he</w:t>
      </w:r>
      <w:r w:rsidR="00FF5631">
        <w:t xml:space="preserve"> </w:t>
      </w:r>
      <w:r w:rsidR="00DE7EF4">
        <w:t>was</w:t>
      </w:r>
      <w:r w:rsidR="00FF5631">
        <w:t xml:space="preserve"> unable to explain or challenge the evidence against him, because he </w:t>
      </w:r>
      <w:r w:rsidR="00DE7EF4">
        <w:t>was</w:t>
      </w:r>
      <w:r w:rsidR="00FF5631">
        <w:t xml:space="preserve"> unaware of t</w:t>
      </w:r>
      <w:r w:rsidR="00DE7EF4">
        <w:t>he particulars of the evidence; (</w:t>
      </w:r>
      <w:r w:rsidR="003F544D">
        <w:t>e</w:t>
      </w:r>
      <w:r w:rsidR="00DE7EF4">
        <w:t xml:space="preserve">) </w:t>
      </w:r>
      <w:r w:rsidR="000F238E">
        <w:t>he</w:t>
      </w:r>
      <w:r w:rsidR="00FF5631">
        <w:t xml:space="preserve"> has</w:t>
      </w:r>
      <w:r w:rsidR="009337DF">
        <w:t>,</w:t>
      </w:r>
      <w:r w:rsidR="00FF5631">
        <w:t xml:space="preserve"> therefore</w:t>
      </w:r>
      <w:r w:rsidR="009337DF">
        <w:t>,</w:t>
      </w:r>
      <w:r w:rsidR="00FF5631">
        <w:t xml:space="preserve"> not been able to </w:t>
      </w:r>
      <w:r w:rsidR="00DE7EF4">
        <w:t>consider whether the evidence was</w:t>
      </w:r>
      <w:r w:rsidR="00FF5631">
        <w:t xml:space="preserve"> reliable or was obtained</w:t>
      </w:r>
      <w:r w:rsidR="00DE7EF4">
        <w:t xml:space="preserve"> illegally or improperly; (</w:t>
      </w:r>
      <w:r w:rsidR="003F544D">
        <w:t>f</w:t>
      </w:r>
      <w:r w:rsidR="00DE7EF4">
        <w:t>) his</w:t>
      </w:r>
      <w:r w:rsidR="00FF5631">
        <w:t xml:space="preserve"> legal representatives were </w:t>
      </w:r>
      <w:r w:rsidR="00050883">
        <w:t>“</w:t>
      </w:r>
      <w:r w:rsidR="00FF5631">
        <w:t>security cleared</w:t>
      </w:r>
      <w:r w:rsidR="00050883">
        <w:t>”</w:t>
      </w:r>
      <w:r w:rsidR="00FF5631">
        <w:t xml:space="preserve"> and shown some limited confidential information, which they were given a very limited amount of time to read and were not able to make notes on</w:t>
      </w:r>
      <w:r w:rsidR="000F238E">
        <w:t>;</w:t>
      </w:r>
      <w:r w:rsidR="003F544D">
        <w:t xml:space="preserve"> and</w:t>
      </w:r>
      <w:r w:rsidR="00FF5631">
        <w:t xml:space="preserve"> </w:t>
      </w:r>
      <w:r w:rsidR="00DE7EF4">
        <w:t>(</w:t>
      </w:r>
      <w:r w:rsidR="003F544D">
        <w:t>g</w:t>
      </w:r>
      <w:r w:rsidR="00DE7EF4">
        <w:t xml:space="preserve">) </w:t>
      </w:r>
      <w:r w:rsidR="000F238E">
        <w:t>he</w:t>
      </w:r>
      <w:r w:rsidR="00FF5631">
        <w:t xml:space="preserve"> was not permitted to be informed of the form let alone the substantive content of confidential evidence provided to his </w:t>
      </w:r>
      <w:r w:rsidR="004D4690">
        <w:t>legal representatives</w:t>
      </w:r>
      <w:r w:rsidR="007A2A3A">
        <w:t>,</w:t>
      </w:r>
      <w:r w:rsidR="00FF5631">
        <w:t xml:space="preserve"> since the granting of security clearance to his lawyers, in order for them to access that evidence, was on a confidential basis. Accordingly</w:t>
      </w:r>
      <w:r w:rsidR="003F544D">
        <w:t>,</w:t>
      </w:r>
      <w:r w:rsidR="00FF5631">
        <w:t xml:space="preserve"> </w:t>
      </w:r>
      <w:r w:rsidR="003F544D">
        <w:t xml:space="preserve">he </w:t>
      </w:r>
      <w:r w:rsidR="00FF5631">
        <w:t xml:space="preserve">was unable to instruct his legal representatives in their dealings with that evidence, including </w:t>
      </w:r>
      <w:r w:rsidR="00997D67">
        <w:t xml:space="preserve">in connection with </w:t>
      </w:r>
      <w:r w:rsidR="00FF5631">
        <w:t xml:space="preserve">challenges to its reliability, alternative explanations for any assertions alleged against him, or requests for further particulars. Even if the author’s legal representatives had seen substantive evidence (which </w:t>
      </w:r>
      <w:r w:rsidR="00DE7EF4">
        <w:lastRenderedPageBreak/>
        <w:t>the State party</w:t>
      </w:r>
      <w:r w:rsidR="00FF5631">
        <w:t xml:space="preserve"> has not demonstrated), that alone would not have been sufficient to provide the author with a fair hearing, </w:t>
      </w:r>
      <w:r w:rsidR="00DD40D3">
        <w:t xml:space="preserve">given that </w:t>
      </w:r>
      <w:r w:rsidR="00FF5631">
        <w:t xml:space="preserve">the author </w:t>
      </w:r>
      <w:r w:rsidR="00DD40D3">
        <w:t>could not</w:t>
      </w:r>
      <w:r w:rsidR="00FF5631">
        <w:t xml:space="preserve"> properly instru</w:t>
      </w:r>
      <w:r w:rsidR="00DE7EF4">
        <w:t>ct his representatives; (</w:t>
      </w:r>
      <w:r w:rsidR="003F544D">
        <w:t>h</w:t>
      </w:r>
      <w:r w:rsidR="00DE7EF4">
        <w:t>) t</w:t>
      </w:r>
      <w:r w:rsidR="00FF5631">
        <w:t xml:space="preserve">he Migration Review Tribunal </w:t>
      </w:r>
      <w:r w:rsidR="00050883">
        <w:t>“</w:t>
      </w:r>
      <w:r w:rsidR="00FF5631">
        <w:t xml:space="preserve">did not have the power to go behind or assess the validity of the </w:t>
      </w:r>
      <w:r w:rsidR="007B3C88">
        <w:t>Australian Security Intelligence Organisation</w:t>
      </w:r>
      <w:r w:rsidR="00FF5631">
        <w:t xml:space="preserve"> assessment</w:t>
      </w:r>
      <w:r w:rsidR="00050883">
        <w:t>”</w:t>
      </w:r>
      <w:r w:rsidR="00FF5631">
        <w:t xml:space="preserve"> (19</w:t>
      </w:r>
      <w:r w:rsidR="00997D67">
        <w:t> </w:t>
      </w:r>
      <w:r w:rsidR="00FF5631">
        <w:t>February 2010). Thus</w:t>
      </w:r>
      <w:r w:rsidR="00997D67">
        <w:t>,</w:t>
      </w:r>
      <w:r w:rsidR="00FF5631">
        <w:t xml:space="preserve"> the administrative </w:t>
      </w:r>
      <w:r w:rsidR="00050883">
        <w:t>“</w:t>
      </w:r>
      <w:r w:rsidR="00FF5631">
        <w:t>merits</w:t>
      </w:r>
      <w:r w:rsidR="00050883">
        <w:t>”</w:t>
      </w:r>
      <w:r w:rsidR="00FF5631">
        <w:t xml:space="preserve"> review tribunal was unable to independently test the merits of the evidence</w:t>
      </w:r>
      <w:r w:rsidR="00DE7EF4">
        <w:t>;</w:t>
      </w:r>
      <w:r w:rsidR="003F544D">
        <w:t xml:space="preserve"> and</w:t>
      </w:r>
      <w:r w:rsidR="00DE7EF4">
        <w:t xml:space="preserve"> (</w:t>
      </w:r>
      <w:r w:rsidR="003F544D">
        <w:t>i</w:t>
      </w:r>
      <w:r w:rsidR="00DE7EF4">
        <w:t>) t</w:t>
      </w:r>
      <w:r w:rsidR="00FF5631">
        <w:t>he Federal Court was similarly unable to review the evidence</w:t>
      </w:r>
      <w:r w:rsidR="003F544D">
        <w:t>,</w:t>
      </w:r>
      <w:r w:rsidR="00FF5631">
        <w:t xml:space="preserve"> because its power was limited to judicial review of questions of law and </w:t>
      </w:r>
      <w:r w:rsidR="00793F54">
        <w:t xml:space="preserve">it </w:t>
      </w:r>
      <w:r w:rsidR="00FF5631">
        <w:t xml:space="preserve">could not review the merits. Substantial portions of the Federal Court’s and the Full Court of the Federal Court’s reasons (at first instance and on review) remain confidential, seriously undermining confidence in the fairness of the process. </w:t>
      </w:r>
    </w:p>
    <w:p w:rsidR="00887BC2" w:rsidRDefault="00F37ECC" w:rsidP="00DD40D3">
      <w:pPr>
        <w:pStyle w:val="SingleTxtG"/>
      </w:pPr>
      <w:r>
        <w:t>3.</w:t>
      </w:r>
      <w:r w:rsidR="00DA4A00">
        <w:t>4</w:t>
      </w:r>
      <w:r w:rsidR="00887BC2">
        <w:tab/>
        <w:t>While immigration or deportation proceedings are not suit</w:t>
      </w:r>
      <w:r w:rsidR="00AF467C">
        <w:t>s</w:t>
      </w:r>
      <w:r w:rsidR="00887BC2">
        <w:t xml:space="preserve"> at law under </w:t>
      </w:r>
      <w:r w:rsidR="001C27E3">
        <w:t>article </w:t>
      </w:r>
      <w:r w:rsidR="00887BC2">
        <w:t xml:space="preserve">14 of the Covenant, </w:t>
      </w:r>
      <w:r w:rsidR="001C27E3">
        <w:t>article </w:t>
      </w:r>
      <w:r w:rsidR="00887BC2">
        <w:t xml:space="preserve">13 nonetheless implicitly incorporates the more extensive fair hearing protections provided for under </w:t>
      </w:r>
      <w:r w:rsidR="001C27E3">
        <w:t>article </w:t>
      </w:r>
      <w:r w:rsidR="00887BC2">
        <w:t xml:space="preserve">14, as stated in the Committee’s </w:t>
      </w:r>
      <w:r w:rsidR="00D42A48">
        <w:t>g</w:t>
      </w:r>
      <w:r w:rsidR="00887BC2">
        <w:t xml:space="preserve">eneral </w:t>
      </w:r>
      <w:r w:rsidR="00D42A48">
        <w:t>c</w:t>
      </w:r>
      <w:r w:rsidR="00887BC2">
        <w:t>omment</w:t>
      </w:r>
      <w:r w:rsidR="001C27E3">
        <w:t xml:space="preserve"> No. </w:t>
      </w:r>
      <w:r w:rsidR="00887BC2">
        <w:t xml:space="preserve">32 </w:t>
      </w:r>
      <w:r w:rsidR="00D42A48">
        <w:t xml:space="preserve">(2007) </w:t>
      </w:r>
      <w:r w:rsidR="00887BC2">
        <w:t xml:space="preserve">on </w:t>
      </w:r>
      <w:r w:rsidR="001C27E3">
        <w:t>article </w:t>
      </w:r>
      <w:r w:rsidR="00887BC2">
        <w:t>14 of the Covenant</w:t>
      </w:r>
      <w:r w:rsidR="00D42A48">
        <w:t xml:space="preserve"> (on the r</w:t>
      </w:r>
      <w:r w:rsidR="00D42A48" w:rsidRPr="00D42A48">
        <w:rPr>
          <w:lang w:val="en-US"/>
        </w:rPr>
        <w:t>ight to equality before courts and tribunals and to a fair trial</w:t>
      </w:r>
      <w:r w:rsidR="00D42A48">
        <w:t>)</w:t>
      </w:r>
      <w:r w:rsidR="00887BC2">
        <w:t xml:space="preserve">. The author therefore contends that </w:t>
      </w:r>
      <w:r w:rsidR="001C27E3">
        <w:t>article </w:t>
      </w:r>
      <w:r w:rsidR="00887BC2">
        <w:t xml:space="preserve">13 </w:t>
      </w:r>
      <w:r w:rsidR="00DD40D3">
        <w:t xml:space="preserve">takes </w:t>
      </w:r>
      <w:r w:rsidR="00887BC2">
        <w:t xml:space="preserve">the guarantee of equality from </w:t>
      </w:r>
      <w:r w:rsidR="001C27E3">
        <w:t>article </w:t>
      </w:r>
      <w:r w:rsidR="00887BC2">
        <w:t xml:space="preserve">14 </w:t>
      </w:r>
      <w:r w:rsidR="00D42A48">
        <w:t>(</w:t>
      </w:r>
      <w:r w:rsidR="00887BC2">
        <w:t>para</w:t>
      </w:r>
      <w:r w:rsidR="00D42A48">
        <w:t>.</w:t>
      </w:r>
      <w:r w:rsidR="00026437">
        <w:t> </w:t>
      </w:r>
      <w:r w:rsidR="00887BC2">
        <w:t>1</w:t>
      </w:r>
      <w:r w:rsidR="00D42A48">
        <w:t>),</w:t>
      </w:r>
      <w:r w:rsidR="00887BC2">
        <w:t xml:space="preserve"> including the principles of impartiality, fairness and equality of arms implicit in that guarantee. It demands that each side be given the opportunity to contest all the arguments and evidence adduced by the other party</w:t>
      </w:r>
      <w:r w:rsidR="007A2A3A">
        <w:t>.</w:t>
      </w:r>
      <w:r w:rsidR="00887BC2">
        <w:rPr>
          <w:rStyle w:val="FootnoteReference"/>
        </w:rPr>
        <w:footnoteReference w:id="8"/>
      </w:r>
    </w:p>
    <w:p w:rsidR="001645C2" w:rsidRDefault="00F37ECC" w:rsidP="00144C24">
      <w:pPr>
        <w:pStyle w:val="SingleTxtG"/>
      </w:pPr>
      <w:r>
        <w:t>3.</w:t>
      </w:r>
      <w:r w:rsidR="00DA4A00">
        <w:t>5</w:t>
      </w:r>
      <w:r w:rsidR="00FF5631">
        <w:tab/>
      </w:r>
      <w:r w:rsidR="000F7C12">
        <w:t>With regard to</w:t>
      </w:r>
      <w:r w:rsidR="000F7C12" w:rsidRPr="002D7E7C">
        <w:t xml:space="preserve"> </w:t>
      </w:r>
      <w:r w:rsidR="001C27E3">
        <w:t>article </w:t>
      </w:r>
      <w:r w:rsidR="00FF5631" w:rsidRPr="002D7E7C">
        <w:t>2</w:t>
      </w:r>
      <w:r w:rsidR="00D42A48">
        <w:t xml:space="preserve"> </w:t>
      </w:r>
      <w:r w:rsidR="00FF5631" w:rsidRPr="002D7E7C">
        <w:t>(</w:t>
      </w:r>
      <w:r w:rsidR="00D42A48">
        <w:t xml:space="preserve">para. </w:t>
      </w:r>
      <w:r w:rsidR="00FF5631" w:rsidRPr="002D7E7C">
        <w:t>1)</w:t>
      </w:r>
      <w:r w:rsidR="000C7095" w:rsidRPr="002D7E7C">
        <w:t xml:space="preserve"> </w:t>
      </w:r>
      <w:r w:rsidR="00225F2C" w:rsidRPr="002D7E7C">
        <w:t xml:space="preserve">read in conjunction with </w:t>
      </w:r>
      <w:r w:rsidR="001C27E3">
        <w:t>article </w:t>
      </w:r>
      <w:r w:rsidR="000C7095" w:rsidRPr="002D7E7C">
        <w:t>1</w:t>
      </w:r>
      <w:r w:rsidR="00AF467C" w:rsidRPr="002D7E7C">
        <w:t>3</w:t>
      </w:r>
      <w:r w:rsidR="000F7C12">
        <w:t>,</w:t>
      </w:r>
      <w:r w:rsidR="00FF5631" w:rsidRPr="002D7E7C">
        <w:t xml:space="preserve"> </w:t>
      </w:r>
      <w:r w:rsidR="000F7C12">
        <w:t>as well as to</w:t>
      </w:r>
      <w:r w:rsidR="000F7C12" w:rsidRPr="002D7E7C">
        <w:t xml:space="preserve"> </w:t>
      </w:r>
      <w:r w:rsidR="001C27E3">
        <w:t>article </w:t>
      </w:r>
      <w:r w:rsidR="00FF5631" w:rsidRPr="002D7E7C">
        <w:t>26</w:t>
      </w:r>
      <w:r w:rsidR="00FF5631">
        <w:t xml:space="preserve">, the author </w:t>
      </w:r>
      <w:r w:rsidR="00DD40D3">
        <w:t xml:space="preserve">was </w:t>
      </w:r>
      <w:r w:rsidR="00FF5631">
        <w:t>denied procedural fairness, on account of his status as a non-Australian citizen or non-permanent resident</w:t>
      </w:r>
      <w:r w:rsidR="00225F2C">
        <w:t xml:space="preserve">. </w:t>
      </w:r>
      <w:r w:rsidR="001645C2" w:rsidRPr="001645C2">
        <w:t xml:space="preserve">Section 38 of the </w:t>
      </w:r>
      <w:r w:rsidR="00144C24">
        <w:t>Australian Security Intelligence Organisation</w:t>
      </w:r>
      <w:r w:rsidR="001645C2" w:rsidRPr="001645C2">
        <w:t xml:space="preserve"> Act requires that an adverse security assessment be furnished to the </w:t>
      </w:r>
      <w:r w:rsidR="00AF5B8D">
        <w:t>person affected</w:t>
      </w:r>
      <w:r w:rsidR="001645C2" w:rsidRPr="001645C2">
        <w:t xml:space="preserve"> within 14 days, unless the Attorney</w:t>
      </w:r>
      <w:r w:rsidR="000531C2">
        <w:t xml:space="preserve"> </w:t>
      </w:r>
      <w:r w:rsidR="001645C2" w:rsidRPr="001645C2">
        <w:t xml:space="preserve">General is satisfied that withholding notice of the assessment is essential to the security of the nation or </w:t>
      </w:r>
      <w:r w:rsidR="000F7C12">
        <w:t xml:space="preserve">that </w:t>
      </w:r>
      <w:r w:rsidR="001645C2" w:rsidRPr="001645C2">
        <w:t>disclosure of the grounds of the assessment would be prejudicial to the interests of security. However s</w:t>
      </w:r>
      <w:r w:rsidR="00AF5B8D">
        <w:t>ection</w:t>
      </w:r>
      <w:r w:rsidR="001645C2" w:rsidRPr="001645C2">
        <w:t xml:space="preserve"> 36 of the </w:t>
      </w:r>
      <w:r w:rsidR="00144C24">
        <w:t>Australian Security Intelligence Organisation</w:t>
      </w:r>
      <w:r w:rsidR="001645C2" w:rsidRPr="001645C2">
        <w:t xml:space="preserve"> Act provides that this form of procedural fairness does not apply to non-Australian citizens or non-permanent residents.</w:t>
      </w:r>
    </w:p>
    <w:p w:rsidR="00FF5631" w:rsidRDefault="00FF5631" w:rsidP="00AF5B8D">
      <w:pPr>
        <w:pStyle w:val="SingleTxtG"/>
      </w:pPr>
      <w:r>
        <w:t>3.</w:t>
      </w:r>
      <w:r w:rsidR="00DA4A00">
        <w:t>6</w:t>
      </w:r>
      <w:r>
        <w:tab/>
        <w:t xml:space="preserve">As </w:t>
      </w:r>
      <w:r w:rsidR="00DE7EF4">
        <w:t xml:space="preserve">far as </w:t>
      </w:r>
      <w:r w:rsidR="00DE7EF4" w:rsidRPr="002D7E7C">
        <w:t>articles</w:t>
      </w:r>
      <w:r w:rsidR="00026437">
        <w:t> </w:t>
      </w:r>
      <w:r w:rsidR="00DE7EF4" w:rsidRPr="002D7E7C">
        <w:t>17, 23 and 24</w:t>
      </w:r>
      <w:r w:rsidR="00DE7EF4">
        <w:t xml:space="preserve"> </w:t>
      </w:r>
      <w:r>
        <w:t xml:space="preserve">are concerned, the legal consequence of the refusal of the author’s visa is his deportation to </w:t>
      </w:r>
      <w:r w:rsidR="000A27C2">
        <w:t>the Islamic Republic of Iran</w:t>
      </w:r>
      <w:r>
        <w:t xml:space="preserve">, which would have the practical effect of separating him </w:t>
      </w:r>
      <w:r w:rsidR="009D7143">
        <w:t>from his family and his community in Australia</w:t>
      </w:r>
      <w:r w:rsidR="007A2A3A">
        <w:t>.</w:t>
      </w:r>
      <w:r w:rsidR="00BF5BA6">
        <w:rPr>
          <w:rStyle w:val="FootnoteReference"/>
        </w:rPr>
        <w:footnoteReference w:id="9"/>
      </w:r>
      <w:r>
        <w:t xml:space="preserve"> </w:t>
      </w:r>
    </w:p>
    <w:p w:rsidR="00FF5631" w:rsidRDefault="00F37ECC" w:rsidP="002A2996">
      <w:pPr>
        <w:pStyle w:val="SingleTxtG"/>
      </w:pPr>
      <w:r w:rsidRPr="00FA5742">
        <w:t>3.</w:t>
      </w:r>
      <w:r w:rsidR="00DA4A00" w:rsidRPr="00FA5742">
        <w:t>7</w:t>
      </w:r>
      <w:r w:rsidR="00EF0FAC" w:rsidRPr="00FA5742">
        <w:tab/>
      </w:r>
      <w:r w:rsidR="00AF467C" w:rsidRPr="00FA5742">
        <w:t>U</w:t>
      </w:r>
      <w:r w:rsidR="00FF5631" w:rsidRPr="00FA5742">
        <w:t xml:space="preserve">nless the State party provides the author with a fair hearing, it cannot demonstrate that </w:t>
      </w:r>
      <w:r w:rsidR="00AF5B8D">
        <w:t xml:space="preserve">his </w:t>
      </w:r>
      <w:r w:rsidR="00FF5631" w:rsidRPr="00FA5742">
        <w:t xml:space="preserve">deportation is not arbitrary. In the absence of reasons or evidence, there can be no confidence that </w:t>
      </w:r>
      <w:r w:rsidR="00AF5B8D">
        <w:t xml:space="preserve">the </w:t>
      </w:r>
      <w:r w:rsidR="00FA5742">
        <w:t>decision</w:t>
      </w:r>
      <w:r w:rsidR="00FF5631" w:rsidRPr="00FA5742">
        <w:t xml:space="preserve"> and </w:t>
      </w:r>
      <w:r w:rsidR="002C6B3C">
        <w:t xml:space="preserve">its consequent </w:t>
      </w:r>
      <w:r w:rsidR="00277D56" w:rsidRPr="00FA5742">
        <w:t xml:space="preserve">interference </w:t>
      </w:r>
      <w:r w:rsidR="00AF5B8D">
        <w:t xml:space="preserve">with </w:t>
      </w:r>
      <w:r w:rsidR="00277D56" w:rsidRPr="00FA5742">
        <w:t>family life are</w:t>
      </w:r>
      <w:r w:rsidR="00FF5631" w:rsidRPr="00FA5742">
        <w:t xml:space="preserve"> not arbitrary. As a remedy, the State party should afford </w:t>
      </w:r>
      <w:r w:rsidR="00AF5B8D">
        <w:t>the author</w:t>
      </w:r>
      <w:r w:rsidR="00AF5B8D" w:rsidRPr="00FA5742">
        <w:t xml:space="preserve"> </w:t>
      </w:r>
      <w:r w:rsidR="00FF5631" w:rsidRPr="00FA5742">
        <w:t xml:space="preserve">a fair hearing before </w:t>
      </w:r>
      <w:r w:rsidR="002A2996">
        <w:t>it takes any decision</w:t>
      </w:r>
      <w:r w:rsidR="002A2996" w:rsidRPr="00FA5742">
        <w:t xml:space="preserve"> </w:t>
      </w:r>
      <w:r w:rsidR="00FF5631" w:rsidRPr="00FA5742">
        <w:t xml:space="preserve">to refuse him permanent residency </w:t>
      </w:r>
      <w:r w:rsidR="002C6B3C">
        <w:t>which compels him to leave Australia</w:t>
      </w:r>
      <w:r w:rsidR="00FF5631" w:rsidRPr="00FA5742">
        <w:t xml:space="preserve">. </w:t>
      </w:r>
      <w:r w:rsidR="006B7268">
        <w:t>The</w:t>
      </w:r>
      <w:r w:rsidR="00FF5631" w:rsidRPr="00FA5742">
        <w:t xml:space="preserve"> hearing should include the provision of sufficiently specific information as to the allegations against the author that he is a national security risk, and an opportunity for him to contest</w:t>
      </w:r>
      <w:r w:rsidR="00EF0FAC" w:rsidRPr="00FA5742">
        <w:t xml:space="preserve"> or explain those allegations.</w:t>
      </w:r>
      <w:r w:rsidR="00EF0FAC">
        <w:t xml:space="preserve"> </w:t>
      </w:r>
    </w:p>
    <w:p w:rsidR="001E23FD" w:rsidRPr="00FF5631" w:rsidRDefault="000E5008" w:rsidP="00FF59AA">
      <w:pPr>
        <w:pStyle w:val="H23G"/>
      </w:pPr>
      <w:r>
        <w:lastRenderedPageBreak/>
        <w:tab/>
      </w:r>
      <w:r>
        <w:tab/>
      </w:r>
      <w:r w:rsidR="001E23FD" w:rsidRPr="00FF5631">
        <w:t xml:space="preserve">The State party’s </w:t>
      </w:r>
      <w:r w:rsidR="00BC5EDE">
        <w:t>request to lift interim measures</w:t>
      </w:r>
      <w:r w:rsidR="000A433C">
        <w:t xml:space="preserve"> and </w:t>
      </w:r>
      <w:r w:rsidR="007957C6">
        <w:t xml:space="preserve">the author’s </w:t>
      </w:r>
      <w:r w:rsidR="000A433C">
        <w:t>reply</w:t>
      </w:r>
    </w:p>
    <w:p w:rsidR="001E23FD" w:rsidRPr="00A85545" w:rsidRDefault="001E23FD" w:rsidP="006B7268">
      <w:pPr>
        <w:pStyle w:val="SingleTxtG"/>
      </w:pPr>
      <w:r>
        <w:rPr>
          <w:bCs/>
        </w:rPr>
        <w:t>4.</w:t>
      </w:r>
      <w:r>
        <w:rPr>
          <w:bCs/>
        </w:rPr>
        <w:tab/>
      </w:r>
      <w:r>
        <w:t>On</w:t>
      </w:r>
      <w:r w:rsidR="007F3F3F">
        <w:t xml:space="preserve"> 4 June 2010, the State party </w:t>
      </w:r>
      <w:r w:rsidR="00FC6F3B">
        <w:t xml:space="preserve">considered that, on the basis of the Minister’s decision to intervene in the </w:t>
      </w:r>
      <w:r w:rsidR="006B7268">
        <w:t xml:space="preserve">cases of the </w:t>
      </w:r>
      <w:r w:rsidR="00FC6F3B">
        <w:t xml:space="preserve">author’s wife and younger son, </w:t>
      </w:r>
      <w:r w:rsidR="00A22690">
        <w:t>interim measures were no longer necessary since the</w:t>
      </w:r>
      <w:r w:rsidR="00DB1127">
        <w:t xml:space="preserve"> circumstances ha</w:t>
      </w:r>
      <w:r w:rsidR="00FC6F3B">
        <w:t>d</w:t>
      </w:r>
      <w:r w:rsidR="00DB1127">
        <w:t xml:space="preserve"> changed</w:t>
      </w:r>
      <w:r w:rsidR="00FC6F3B">
        <w:t xml:space="preserve">. Moreover, </w:t>
      </w:r>
      <w:r w:rsidR="00DB1127">
        <w:t>it d</w:t>
      </w:r>
      <w:r w:rsidR="00A22690">
        <w:t>id</w:t>
      </w:r>
      <w:r w:rsidR="00DB1127">
        <w:t xml:space="preserve"> not appear that irreparable harm would be caused as a result of the author’s removal</w:t>
      </w:r>
      <w:r w:rsidR="00FC6F3B">
        <w:t>, since</w:t>
      </w:r>
      <w:r w:rsidR="006B7268">
        <w:t xml:space="preserve"> the</w:t>
      </w:r>
      <w:r w:rsidR="00FC6F3B">
        <w:t xml:space="preserve"> </w:t>
      </w:r>
      <w:r w:rsidR="00293C7B" w:rsidRPr="00293C7B">
        <w:t xml:space="preserve">separation of the author from his family </w:t>
      </w:r>
      <w:r w:rsidR="006B7268">
        <w:t>wa</w:t>
      </w:r>
      <w:r w:rsidR="00293C7B" w:rsidRPr="00293C7B">
        <w:t>s not permanent or irreversible as members of the family</w:t>
      </w:r>
      <w:r w:rsidR="006B7268">
        <w:t xml:space="preserve"> were</w:t>
      </w:r>
      <w:r w:rsidR="00293C7B" w:rsidRPr="00293C7B">
        <w:t xml:space="preserve"> not impaired from visiting the author or from residing with him in </w:t>
      </w:r>
      <w:r w:rsidR="000A27C2">
        <w:t>the Islamic Republic of Iran</w:t>
      </w:r>
      <w:r w:rsidR="007A2A3A">
        <w:t>.</w:t>
      </w:r>
    </w:p>
    <w:p w:rsidR="00CC0484" w:rsidRDefault="001E23FD" w:rsidP="006B7268">
      <w:pPr>
        <w:pStyle w:val="SingleTxtG"/>
      </w:pPr>
      <w:r>
        <w:t>5</w:t>
      </w:r>
      <w:r w:rsidRPr="0041431D">
        <w:t>.1</w:t>
      </w:r>
      <w:r w:rsidRPr="0041431D">
        <w:tab/>
      </w:r>
      <w:r>
        <w:t xml:space="preserve">On </w:t>
      </w:r>
      <w:r w:rsidR="00BC5EDE">
        <w:t>8</w:t>
      </w:r>
      <w:r>
        <w:t xml:space="preserve"> </w:t>
      </w:r>
      <w:r w:rsidR="00BC5EDE">
        <w:t>June</w:t>
      </w:r>
      <w:r>
        <w:t xml:space="preserve"> 201</w:t>
      </w:r>
      <w:r w:rsidR="00BC5EDE">
        <w:t>0</w:t>
      </w:r>
      <w:r>
        <w:t>,</w:t>
      </w:r>
      <w:r w:rsidR="00BC5EDE">
        <w:t xml:space="preserve"> the author’s counsel replied that </w:t>
      </w:r>
      <w:r w:rsidR="00D56FEC">
        <w:t>h</w:t>
      </w:r>
      <w:r w:rsidR="003F5C06">
        <w:t>is</w:t>
      </w:r>
      <w:r w:rsidR="00CC0484">
        <w:t xml:space="preserve"> removal would break up a close Muslim family unit.</w:t>
      </w:r>
      <w:r w:rsidR="001C274F">
        <w:t xml:space="preserve"> </w:t>
      </w:r>
      <w:r w:rsidR="006B7268">
        <w:t xml:space="preserve">Such a </w:t>
      </w:r>
      <w:r w:rsidR="00CC0484">
        <w:t xml:space="preserve">result would be traumatic for all concerned. </w:t>
      </w:r>
      <w:r w:rsidR="006B7268">
        <w:t>With regard to</w:t>
      </w:r>
      <w:r w:rsidR="00573645">
        <w:t xml:space="preserve"> the State party’s argument that the family </w:t>
      </w:r>
      <w:r w:rsidR="006B7268">
        <w:t>could</w:t>
      </w:r>
      <w:r w:rsidR="00573645">
        <w:t xml:space="preserve"> visit the author in </w:t>
      </w:r>
      <w:r w:rsidR="000A27C2">
        <w:t>the Islamic Republic of Iran</w:t>
      </w:r>
      <w:r w:rsidR="006B7268">
        <w:t>,</w:t>
      </w:r>
      <w:r w:rsidR="00573645">
        <w:t xml:space="preserve"> such</w:t>
      </w:r>
      <w:r w:rsidR="006B7268">
        <w:t xml:space="preserve"> a</w:t>
      </w:r>
      <w:r w:rsidR="00573645">
        <w:t xml:space="preserve"> contention is unrealistic given the excessive cost of return flights for an entire family. Even if th</w:t>
      </w:r>
      <w:r w:rsidR="006B7268">
        <w:t>o</w:t>
      </w:r>
      <w:r w:rsidR="00573645">
        <w:t>se insurmountable financial impediments did not exist, ordinary life could not continue in such transitory circumstances.</w:t>
      </w:r>
    </w:p>
    <w:p w:rsidR="00487C02" w:rsidRDefault="00573645" w:rsidP="004E1331">
      <w:pPr>
        <w:pStyle w:val="SingleTxtG"/>
      </w:pPr>
      <w:r>
        <w:t>5.</w:t>
      </w:r>
      <w:r w:rsidR="00DA4A00">
        <w:t>2</w:t>
      </w:r>
      <w:r>
        <w:tab/>
      </w:r>
      <w:r w:rsidR="00DA4A00">
        <w:t>Concerning t</w:t>
      </w:r>
      <w:r>
        <w:t xml:space="preserve">he State party’s contention that his family </w:t>
      </w:r>
      <w:r w:rsidR="006B7268">
        <w:t xml:space="preserve">could </w:t>
      </w:r>
      <w:r>
        <w:t xml:space="preserve">live with him in </w:t>
      </w:r>
      <w:r w:rsidR="000A27C2">
        <w:t>the Islamic Republic of Iran</w:t>
      </w:r>
      <w:r w:rsidR="00DA4A00">
        <w:t>, th</w:t>
      </w:r>
      <w:r w:rsidR="00B1646F">
        <w:t>e</w:t>
      </w:r>
      <w:r w:rsidR="00DA4A00">
        <w:t xml:space="preserve"> author argues that his minor</w:t>
      </w:r>
      <w:r w:rsidR="00E74B7A">
        <w:t xml:space="preserve"> daughter is Australian</w:t>
      </w:r>
      <w:r w:rsidR="006B7268">
        <w:t>-</w:t>
      </w:r>
      <w:r w:rsidR="00E74B7A">
        <w:t>born, an Australian citizen</w:t>
      </w:r>
      <w:r w:rsidR="006B7268">
        <w:t>,</w:t>
      </w:r>
      <w:r w:rsidR="00E74B7A">
        <w:t xml:space="preserve"> and illiterate in the Persian language. Removing her to </w:t>
      </w:r>
      <w:r w:rsidR="000A27C2">
        <w:t>the Islamic Republic of Iran</w:t>
      </w:r>
      <w:r w:rsidR="00E74B7A">
        <w:t xml:space="preserve"> in the middle of her teenage years would be extremely disruptive to her development, interfering with her schooling, separating her from her friends and removing her to a foreign country</w:t>
      </w:r>
      <w:r w:rsidR="009A31A5">
        <w:t xml:space="preserve"> where she </w:t>
      </w:r>
      <w:r w:rsidR="004E1331">
        <w:t xml:space="preserve">could not </w:t>
      </w:r>
      <w:r w:rsidR="00762271">
        <w:t>communicate fluently</w:t>
      </w:r>
      <w:r w:rsidR="009A31A5">
        <w:t>.</w:t>
      </w:r>
      <w:r w:rsidR="00E53B99">
        <w:tab/>
      </w:r>
    </w:p>
    <w:p w:rsidR="00BC5EDE" w:rsidRPr="00BC5EDE" w:rsidRDefault="00E53B99" w:rsidP="00E53B99">
      <w:pPr>
        <w:pStyle w:val="H23G"/>
      </w:pPr>
      <w:r>
        <w:tab/>
      </w:r>
      <w:r>
        <w:tab/>
      </w:r>
      <w:r w:rsidR="00BC5EDE" w:rsidRPr="00BC5EDE">
        <w:t xml:space="preserve">State party’s observations on admissibility and </w:t>
      </w:r>
      <w:r w:rsidR="00B16356">
        <w:t xml:space="preserve">the </w:t>
      </w:r>
      <w:r w:rsidR="00BC5EDE" w:rsidRPr="00BC5EDE">
        <w:t>merits</w:t>
      </w:r>
    </w:p>
    <w:p w:rsidR="001E23FD" w:rsidRDefault="002673CA" w:rsidP="00B16356">
      <w:pPr>
        <w:pStyle w:val="SingleTxtG"/>
      </w:pPr>
      <w:r>
        <w:t>6.1</w:t>
      </w:r>
      <w:r>
        <w:tab/>
      </w:r>
      <w:r w:rsidR="00224CAC">
        <w:t xml:space="preserve">On 3 February 2011, the State party submitted its observations on admissibility and </w:t>
      </w:r>
      <w:r w:rsidR="00B16356">
        <w:t xml:space="preserve">the </w:t>
      </w:r>
      <w:r w:rsidR="00224CAC">
        <w:t xml:space="preserve">merits. </w:t>
      </w:r>
      <w:r w:rsidR="003D545B">
        <w:t>F</w:t>
      </w:r>
      <w:r w:rsidR="006E7FF0">
        <w:t xml:space="preserve">ollowing the Minister’s decision not to intervene in favour of the author but to intervene in favour of his wife and </w:t>
      </w:r>
      <w:r w:rsidR="00B16356">
        <w:t xml:space="preserve">his </w:t>
      </w:r>
      <w:r w:rsidR="006E7FF0">
        <w:t xml:space="preserve">non-Australian son, the author was granted a series of </w:t>
      </w:r>
      <w:r w:rsidR="00B16356">
        <w:t>b</w:t>
      </w:r>
      <w:r w:rsidR="006E7FF0">
        <w:t>ridging visas to maintain his lawful status in the community until his departure. On 27</w:t>
      </w:r>
      <w:r w:rsidR="000E5008">
        <w:t> </w:t>
      </w:r>
      <w:r w:rsidR="006E7FF0">
        <w:t xml:space="preserve">June 2010, the author departed Australia, accompanied by his wife and their minor </w:t>
      </w:r>
      <w:r w:rsidR="00444212">
        <w:t>daughter</w:t>
      </w:r>
      <w:r w:rsidR="006E7FF0">
        <w:t xml:space="preserve">. </w:t>
      </w:r>
      <w:r w:rsidR="00444212">
        <w:t xml:space="preserve">The latter, </w:t>
      </w:r>
      <w:r w:rsidR="006E7FF0">
        <w:t>as an Australian citizen</w:t>
      </w:r>
      <w:r w:rsidR="00B16356">
        <w:t>,</w:t>
      </w:r>
      <w:r w:rsidR="006E7FF0">
        <w:t xml:space="preserve"> can return to Australia at any time. The author’s wife has the right to return to Australia</w:t>
      </w:r>
      <w:r w:rsidR="00B16356">
        <w:t>, as the holder of</w:t>
      </w:r>
      <w:r w:rsidR="006E7FF0">
        <w:t xml:space="preserve"> a permanent visa</w:t>
      </w:r>
      <w:r w:rsidR="00B16356">
        <w:t>,</w:t>
      </w:r>
      <w:r w:rsidR="006E7FF0">
        <w:t xml:space="preserve"> but would have to return within the five-year validity period of her visa. The State party therefore addresses the allegations in the communication in </w:t>
      </w:r>
      <w:r w:rsidR="00DE77CF">
        <w:t xml:space="preserve">the </w:t>
      </w:r>
      <w:r w:rsidR="006E7FF0">
        <w:t>light of these changed factual circumstances.</w:t>
      </w:r>
    </w:p>
    <w:p w:rsidR="00162C5D" w:rsidRDefault="003D545B" w:rsidP="00082C9C">
      <w:pPr>
        <w:pStyle w:val="SingleTxtG"/>
      </w:pPr>
      <w:r>
        <w:t>6.2</w:t>
      </w:r>
      <w:r>
        <w:tab/>
      </w:r>
      <w:r w:rsidR="00517E88">
        <w:t>On 10 M</w:t>
      </w:r>
      <w:r w:rsidR="00A5424B">
        <w:t xml:space="preserve">ay 2002, the author commenced proceedings </w:t>
      </w:r>
      <w:r>
        <w:t xml:space="preserve">against </w:t>
      </w:r>
      <w:r w:rsidR="00144C24">
        <w:t xml:space="preserve">the Australian Security Intelligence Organisation </w:t>
      </w:r>
      <w:r w:rsidR="00A5424B">
        <w:t>in the Federal Cour</w:t>
      </w:r>
      <w:r w:rsidR="00517E88">
        <w:t xml:space="preserve">t of Australia </w:t>
      </w:r>
      <w:r w:rsidR="00283156">
        <w:t>(</w:t>
      </w:r>
      <w:r w:rsidR="00041149">
        <w:t>a</w:t>
      </w:r>
      <w:r w:rsidR="00283156">
        <w:t>pplication</w:t>
      </w:r>
      <w:r w:rsidR="001C27E3">
        <w:t xml:space="preserve"> No. </w:t>
      </w:r>
      <w:r w:rsidR="00283156">
        <w:t>21/2002)</w:t>
      </w:r>
      <w:r>
        <w:t xml:space="preserve">. </w:t>
      </w:r>
    </w:p>
    <w:p w:rsidR="005B674B" w:rsidRDefault="005B674B" w:rsidP="00082C9C">
      <w:pPr>
        <w:pStyle w:val="SingleTxtG"/>
      </w:pPr>
      <w:r>
        <w:t>6.</w:t>
      </w:r>
      <w:r w:rsidR="003D545B">
        <w:t>3</w:t>
      </w:r>
      <w:r>
        <w:tab/>
        <w:t xml:space="preserve">While the first proceedings were still ongoing before the Federal Court, on 25 May 2004, the Department of Immigration </w:t>
      </w:r>
      <w:r w:rsidR="00B366B7">
        <w:t xml:space="preserve">and Multicultural and Indigenous Affairs </w:t>
      </w:r>
      <w:r>
        <w:t xml:space="preserve">was advised by </w:t>
      </w:r>
      <w:r w:rsidR="00144C24">
        <w:t xml:space="preserve">the Australian Security Intelligence Organisation </w:t>
      </w:r>
      <w:r>
        <w:t xml:space="preserve">that </w:t>
      </w:r>
      <w:r w:rsidR="00DE77CF">
        <w:t>the latter</w:t>
      </w:r>
      <w:r>
        <w:t xml:space="preserve"> had issued a further security assessment in relation to the author’s suitability to hold a permanent visa. Th</w:t>
      </w:r>
      <w:r w:rsidR="00DE77CF">
        <w:t>at</w:t>
      </w:r>
      <w:r>
        <w:t xml:space="preserve"> assessment took into </w:t>
      </w:r>
      <w:r w:rsidRPr="00DE77CF">
        <w:t>account</w:t>
      </w:r>
      <w:r w:rsidR="00DE77CF">
        <w:t>, among other things,</w:t>
      </w:r>
      <w:r w:rsidR="00162C5D" w:rsidRPr="00DE77CF">
        <w:t xml:space="preserve"> </w:t>
      </w:r>
      <w:r w:rsidRPr="00DE77CF">
        <w:t>legal</w:t>
      </w:r>
      <w:r>
        <w:t xml:space="preserve"> advice in relation to procedural fairness</w:t>
      </w:r>
      <w:r w:rsidR="00162C5D">
        <w:t xml:space="preserve"> and</w:t>
      </w:r>
      <w:r>
        <w:t xml:space="preserve"> additional information provided by the author. The author was advised of the new security assessment. </w:t>
      </w:r>
    </w:p>
    <w:p w:rsidR="005B674B" w:rsidRDefault="005B674B" w:rsidP="00845A9D">
      <w:pPr>
        <w:pStyle w:val="SingleTxtG"/>
      </w:pPr>
      <w:r>
        <w:t>6.</w:t>
      </w:r>
      <w:r w:rsidR="003D545B">
        <w:t>4</w:t>
      </w:r>
      <w:r>
        <w:tab/>
      </w:r>
      <w:r w:rsidR="003D545B">
        <w:t xml:space="preserve">The author decided to institute new proceedings </w:t>
      </w:r>
      <w:r w:rsidR="00845A9D">
        <w:t xml:space="preserve">in relation to </w:t>
      </w:r>
      <w:r w:rsidR="003D545B">
        <w:t>the 2004 security assessment</w:t>
      </w:r>
      <w:r w:rsidR="00845A9D">
        <w:t>,</w:t>
      </w:r>
      <w:r w:rsidR="003D545B">
        <w:t xml:space="preserve"> </w:t>
      </w:r>
      <w:r w:rsidR="000738CA">
        <w:t xml:space="preserve">on 21 July 2004 </w:t>
      </w:r>
      <w:r w:rsidR="003D545B">
        <w:t>(</w:t>
      </w:r>
      <w:r w:rsidR="00041149">
        <w:t>a</w:t>
      </w:r>
      <w:r w:rsidR="003D545B">
        <w:t>pplication</w:t>
      </w:r>
      <w:r w:rsidR="001C27E3">
        <w:t xml:space="preserve"> No. </w:t>
      </w:r>
      <w:r w:rsidR="000738CA">
        <w:t xml:space="preserve">21/2004). </w:t>
      </w:r>
      <w:r>
        <w:t>On 22 July 2004, as a consequence of the new proceedings</w:t>
      </w:r>
      <w:r w:rsidR="005E57A0">
        <w:t xml:space="preserve"> being instituted</w:t>
      </w:r>
      <w:r>
        <w:t>, the Federal Court</w:t>
      </w:r>
      <w:r w:rsidR="005E57A0">
        <w:t>,</w:t>
      </w:r>
      <w:r>
        <w:t xml:space="preserve"> sitting in a single-judge formation</w:t>
      </w:r>
      <w:r w:rsidR="005E57A0">
        <w:t>,</w:t>
      </w:r>
      <w:r>
        <w:t xml:space="preserve"> decided to terminate the first court proceedings. </w:t>
      </w:r>
    </w:p>
    <w:p w:rsidR="00E54CAB" w:rsidRDefault="000264AE" w:rsidP="00DD40D3">
      <w:pPr>
        <w:pStyle w:val="SingleTxtG"/>
      </w:pPr>
      <w:r>
        <w:lastRenderedPageBreak/>
        <w:t>6.</w:t>
      </w:r>
      <w:r w:rsidR="002F7C45">
        <w:t>5</w:t>
      </w:r>
      <w:r w:rsidR="00195704">
        <w:tab/>
      </w:r>
      <w:r w:rsidR="00B23D19">
        <w:t>On 10 November 2005, the Federal Court</w:t>
      </w:r>
      <w:r w:rsidR="003D5150">
        <w:t>,</w:t>
      </w:r>
      <w:r w:rsidR="00B23D19">
        <w:t xml:space="preserve"> sitting in a single-judge formation</w:t>
      </w:r>
      <w:r w:rsidR="003D5150">
        <w:t>,</w:t>
      </w:r>
      <w:r w:rsidR="00B23D19">
        <w:t xml:space="preserve"> delivered its judgement </w:t>
      </w:r>
      <w:r w:rsidR="003D5150">
        <w:t>in respect of</w:t>
      </w:r>
      <w:r w:rsidR="00B23D19">
        <w:t xml:space="preserve"> the second proceedings (</w:t>
      </w:r>
      <w:r w:rsidR="00041149">
        <w:t>a</w:t>
      </w:r>
      <w:r w:rsidR="000738CA">
        <w:t>pplication</w:t>
      </w:r>
      <w:r w:rsidR="001C27E3">
        <w:t xml:space="preserve"> No. </w:t>
      </w:r>
      <w:r w:rsidR="000738CA">
        <w:t>21/2004</w:t>
      </w:r>
      <w:r w:rsidR="00B23D19">
        <w:t>)</w:t>
      </w:r>
      <w:r w:rsidR="00B301D0">
        <w:t>.</w:t>
      </w:r>
      <w:r w:rsidR="00B23D19">
        <w:rPr>
          <w:rStyle w:val="FootnoteReference"/>
        </w:rPr>
        <w:footnoteReference w:id="10"/>
      </w:r>
      <w:r w:rsidR="00B23D19">
        <w:t xml:space="preserve"> I</w:t>
      </w:r>
      <w:r w:rsidR="007F03F9">
        <w:t xml:space="preserve">n relation to </w:t>
      </w:r>
      <w:r w:rsidR="00B23D19">
        <w:t>th</w:t>
      </w:r>
      <w:r w:rsidR="007F03F9">
        <w:t>e</w:t>
      </w:r>
      <w:r w:rsidR="00B23D19">
        <w:t xml:space="preserve"> procedural fairness claims, the judge considered that</w:t>
      </w:r>
      <w:r w:rsidR="003D5150">
        <w:t>,</w:t>
      </w:r>
      <w:r w:rsidR="00B23D19">
        <w:t xml:space="preserve"> despite there being no statutory right for persons in the author’s position to be notified of a security assessment, procedural fairness still applie</w:t>
      </w:r>
      <w:r w:rsidR="00EE3BDD">
        <w:t>d</w:t>
      </w:r>
      <w:r w:rsidR="00B23D19">
        <w:t xml:space="preserve"> under the common law</w:t>
      </w:r>
      <w:r w:rsidR="00EC6418">
        <w:t>. However, the judge accepted that procedural fairness d</w:t>
      </w:r>
      <w:r w:rsidR="00EE3BDD">
        <w:t>id</w:t>
      </w:r>
      <w:r w:rsidR="00EC6418">
        <w:t xml:space="preserve"> not require the disclosure of confidential information if to do so would harm the public interest on national security grounds. </w:t>
      </w:r>
      <w:r w:rsidR="00FD6988">
        <w:t>The judge therefore considered that</w:t>
      </w:r>
      <w:r w:rsidR="003D5150">
        <w:t>,</w:t>
      </w:r>
      <w:r w:rsidR="00FD6988">
        <w:t xml:space="preserve"> in principle, for lawful non-citizens such as the author, whose visa would be directly threatened by an adverse security assessment, there was a duty to afford such degree of procedural fairness, </w:t>
      </w:r>
      <w:r w:rsidR="00DD40D3">
        <w:t>provided there was no</w:t>
      </w:r>
      <w:r w:rsidR="00FD6988">
        <w:t xml:space="preserve"> prejudice to national security. The judge then continued to consider whether</w:t>
      </w:r>
      <w:r w:rsidR="00F7320A">
        <w:t>,</w:t>
      </w:r>
      <w:r w:rsidR="00FD6988">
        <w:t xml:space="preserve"> in the present case</w:t>
      </w:r>
      <w:r w:rsidR="00F7320A">
        <w:t>,</w:t>
      </w:r>
      <w:r w:rsidR="00FD6988">
        <w:t xml:space="preserve"> that duty was discharged. During the proceedings, the Director</w:t>
      </w:r>
      <w:r w:rsidR="000531C2">
        <w:t xml:space="preserve"> </w:t>
      </w:r>
      <w:r w:rsidR="00FD6988">
        <w:t xml:space="preserve">General of Security </w:t>
      </w:r>
      <w:r w:rsidR="000738CA">
        <w:t xml:space="preserve">of </w:t>
      </w:r>
      <w:r w:rsidR="00144C24">
        <w:t xml:space="preserve">the Australian Security Intelligence Organisation </w:t>
      </w:r>
      <w:r w:rsidR="00FD6988">
        <w:t xml:space="preserve">had provided confidential evidence to the Court on the reasons why it was not possible to disclose any part or summary of the grounds to the author without </w:t>
      </w:r>
      <w:r w:rsidR="00EC3DCA">
        <w:t xml:space="preserve">undue </w:t>
      </w:r>
      <w:r w:rsidR="00FD6988">
        <w:t>prejudice to national secur</w:t>
      </w:r>
      <w:r w:rsidR="00EC3DCA">
        <w:t>ity, although the author was aware in a general sense of the security concerns about him</w:t>
      </w:r>
      <w:r w:rsidR="007A2A3A">
        <w:t>.</w:t>
      </w:r>
      <w:r w:rsidR="000738CA">
        <w:rPr>
          <w:rStyle w:val="FootnoteReference"/>
        </w:rPr>
        <w:footnoteReference w:id="11"/>
      </w:r>
      <w:r w:rsidR="00EC3DCA">
        <w:t xml:space="preserve"> The Court was provided with information about the grounds relied upon by </w:t>
      </w:r>
      <w:r w:rsidR="00144C24">
        <w:t xml:space="preserve">the Australian Security Intelligence Organisation </w:t>
      </w:r>
      <w:r w:rsidR="00EC3DCA">
        <w:t xml:space="preserve">to make its 2004 assessment. Information about the grounds was also provided to the author’s </w:t>
      </w:r>
      <w:r w:rsidR="004D4690">
        <w:t>legal representatives</w:t>
      </w:r>
      <w:r w:rsidR="00EC3DCA">
        <w:t>, although the author himself was unable to see this</w:t>
      </w:r>
      <w:r w:rsidR="00F7320A">
        <w:t>,</w:t>
      </w:r>
      <w:r w:rsidR="00EC3DCA">
        <w:t xml:space="preserve"> pursuant to the </w:t>
      </w:r>
      <w:r w:rsidR="009041E2">
        <w:t>Australian Security Intelligence Organisation</w:t>
      </w:r>
      <w:r w:rsidR="00EC3DCA">
        <w:t xml:space="preserve"> Act and the orders of the Court</w:t>
      </w:r>
      <w:r w:rsidR="007A2A3A">
        <w:t>.</w:t>
      </w:r>
      <w:r w:rsidR="00EC3DCA">
        <w:rPr>
          <w:rStyle w:val="FootnoteReference"/>
        </w:rPr>
        <w:footnoteReference w:id="12"/>
      </w:r>
      <w:r w:rsidR="00EC3DCA">
        <w:t xml:space="preserve"> </w:t>
      </w:r>
    </w:p>
    <w:p w:rsidR="00EF7CEA" w:rsidRDefault="000264AE" w:rsidP="002A2996">
      <w:pPr>
        <w:pStyle w:val="SingleTxtG"/>
      </w:pPr>
      <w:r>
        <w:t>6.</w:t>
      </w:r>
      <w:r w:rsidR="002F7C45">
        <w:t>6</w:t>
      </w:r>
      <w:r w:rsidR="00EF7CEA">
        <w:tab/>
        <w:t xml:space="preserve">Although the judge had access to the confidential evidence mentioned above, </w:t>
      </w:r>
      <w:r w:rsidR="007F03F9">
        <w:t>he com</w:t>
      </w:r>
      <w:r w:rsidR="00EF7CEA">
        <w:t xml:space="preserve">mented that courts </w:t>
      </w:r>
      <w:r w:rsidR="00C44F09">
        <w:t>we</w:t>
      </w:r>
      <w:r w:rsidR="00EF7CEA">
        <w:t>re not well</w:t>
      </w:r>
      <w:r w:rsidR="00C44F09">
        <w:t xml:space="preserve"> </w:t>
      </w:r>
      <w:r w:rsidR="00EF7CEA">
        <w:t>equipped to evaluate intelligence. However, he stated that</w:t>
      </w:r>
      <w:r w:rsidR="00783C6C">
        <w:t>,</w:t>
      </w:r>
      <w:r w:rsidR="00EF7CEA">
        <w:t xml:space="preserve"> in the present circumstances</w:t>
      </w:r>
      <w:r w:rsidR="00783C6C">
        <w:t>,</w:t>
      </w:r>
      <w:r w:rsidR="00EF7CEA">
        <w:t xml:space="preserve"> and </w:t>
      </w:r>
      <w:r w:rsidR="00783C6C">
        <w:t xml:space="preserve">in view of </w:t>
      </w:r>
      <w:r w:rsidR="00EF7CEA">
        <w:t>the evidence presented before the Court, the obligation to afford such degree of procedural fairness as the circumstances could bear</w:t>
      </w:r>
      <w:r w:rsidR="00783C6C">
        <w:t>,</w:t>
      </w:r>
      <w:r w:rsidR="00EF7CEA">
        <w:t xml:space="preserve"> </w:t>
      </w:r>
      <w:r w:rsidR="008042AA">
        <w:t>consistent with a lack of prejudice to national security</w:t>
      </w:r>
      <w:r w:rsidR="00783C6C">
        <w:t>,</w:t>
      </w:r>
      <w:r w:rsidR="008042AA">
        <w:t xml:space="preserve"> would be discharged. The </w:t>
      </w:r>
      <w:r w:rsidR="00783C6C">
        <w:t>j</w:t>
      </w:r>
      <w:r w:rsidR="00EE3BDD">
        <w:t>udge added that if he</w:t>
      </w:r>
      <w:r w:rsidR="008042AA">
        <w:t xml:space="preserve"> found expert opinion that </w:t>
      </w:r>
      <w:r w:rsidR="002A2996">
        <w:t>the task</w:t>
      </w:r>
      <w:r w:rsidR="008042AA">
        <w:t xml:space="preserve"> had not been adequately undertaken, consideration </w:t>
      </w:r>
      <w:r w:rsidR="00BB7F25">
        <w:t xml:space="preserve">would have to </w:t>
      </w:r>
      <w:r w:rsidR="008042AA">
        <w:t xml:space="preserve">be given to that </w:t>
      </w:r>
      <w:r w:rsidR="008042AA" w:rsidRPr="00BB7F25">
        <w:t xml:space="preserve">issue </w:t>
      </w:r>
      <w:r w:rsidR="008042AA" w:rsidRPr="00FF59AA">
        <w:t>de novo</w:t>
      </w:r>
      <w:r w:rsidR="008042AA" w:rsidRPr="00BB7F25">
        <w:t xml:space="preserve"> by</w:t>
      </w:r>
      <w:r w:rsidR="008042AA">
        <w:t xml:space="preserve"> the Court. </w:t>
      </w:r>
      <w:r w:rsidR="007F03F9">
        <w:t>The judge argued that a court must not uncritically take the Director</w:t>
      </w:r>
      <w:r w:rsidR="000531C2">
        <w:t xml:space="preserve"> </w:t>
      </w:r>
      <w:r w:rsidR="007F03F9">
        <w:t>General’s reasoning for any disclosure entirely at face</w:t>
      </w:r>
      <w:r w:rsidR="00C5745B">
        <w:t xml:space="preserve"> </w:t>
      </w:r>
      <w:r w:rsidR="007F03F9">
        <w:t>value but</w:t>
      </w:r>
      <w:r w:rsidR="00421BCB">
        <w:t xml:space="preserve"> that</w:t>
      </w:r>
      <w:r w:rsidR="007F03F9">
        <w:t xml:space="preserve"> recognition and respect must </w:t>
      </w:r>
      <w:r w:rsidR="00261BCB">
        <w:t xml:space="preserve">also </w:t>
      </w:r>
      <w:r w:rsidR="007F03F9">
        <w:t>be given to the degree of expertise and responsibility held by relevant senior personnel</w:t>
      </w:r>
      <w:r w:rsidR="00610235">
        <w:t xml:space="preserve"> of the Australian Security Intelligence Organisation</w:t>
      </w:r>
      <w:r w:rsidR="007F03F9">
        <w:t xml:space="preserve"> in relation </w:t>
      </w:r>
      <w:r w:rsidR="00AA1234">
        <w:t xml:space="preserve">both </w:t>
      </w:r>
      <w:r w:rsidR="007F03F9">
        <w:t>to</w:t>
      </w:r>
      <w:r w:rsidR="00AA1234">
        <w:t xml:space="preserve"> the</w:t>
      </w:r>
      <w:r w:rsidR="007F03F9">
        <w:t xml:space="preserve"> potential repercussions of disclosure and</w:t>
      </w:r>
      <w:r w:rsidR="00AA1234">
        <w:t xml:space="preserve"> to</w:t>
      </w:r>
      <w:r w:rsidR="007F03F9">
        <w:t xml:space="preserve"> the “u</w:t>
      </w:r>
      <w:r w:rsidR="00EE3BDD">
        <w:t xml:space="preserve">sual lack of such expertise on </w:t>
      </w:r>
      <w:r w:rsidR="007F03F9">
        <w:t>th</w:t>
      </w:r>
      <w:r w:rsidR="00EE3BDD">
        <w:t>e</w:t>
      </w:r>
      <w:r w:rsidR="007F03F9">
        <w:t xml:space="preserve"> part of judges” and that a “degree of faith must be reposed</w:t>
      </w:r>
      <w:r w:rsidR="00EE3BDD">
        <w:t xml:space="preserve"> in </w:t>
      </w:r>
      <w:r w:rsidR="007F03F9">
        <w:t>th</w:t>
      </w:r>
      <w:r w:rsidR="00EE3BDD">
        <w:t>e</w:t>
      </w:r>
      <w:r w:rsidR="007F03F9">
        <w:t xml:space="preserve"> integrity and sense of fair play of the Director</w:t>
      </w:r>
      <w:r w:rsidR="00421BCB">
        <w:t> </w:t>
      </w:r>
      <w:r w:rsidR="007F03F9">
        <w:t>General”</w:t>
      </w:r>
      <w:r w:rsidR="007A2A3A">
        <w:t>.</w:t>
      </w:r>
      <w:r w:rsidR="007F03F9">
        <w:rPr>
          <w:rStyle w:val="FootnoteReference"/>
        </w:rPr>
        <w:footnoteReference w:id="13"/>
      </w:r>
    </w:p>
    <w:p w:rsidR="007F03F9" w:rsidRDefault="000264AE" w:rsidP="0040783F">
      <w:pPr>
        <w:pStyle w:val="SingleTxtG"/>
      </w:pPr>
      <w:r>
        <w:t>6.</w:t>
      </w:r>
      <w:r w:rsidR="002F7C45">
        <w:t>7</w:t>
      </w:r>
      <w:r w:rsidR="007F03F9">
        <w:tab/>
      </w:r>
      <w:r w:rsidR="00D92634">
        <w:t>On 23 March 2007, t</w:t>
      </w:r>
      <w:r w:rsidR="00261BCB">
        <w:t xml:space="preserve">he </w:t>
      </w:r>
      <w:r w:rsidR="00642F2F">
        <w:t>Full Court</w:t>
      </w:r>
      <w:r w:rsidR="00D92634">
        <w:t xml:space="preserve"> </w:t>
      </w:r>
      <w:r w:rsidR="00642F2F">
        <w:t>dismissed the appeal</w:t>
      </w:r>
      <w:r w:rsidR="00B42B8D">
        <w:t>,</w:t>
      </w:r>
      <w:r w:rsidR="00842048">
        <w:t xml:space="preserve"> on the ground that the judge of the Federal Court was plainly right to strike the balance in favour of protection of the public interest in national security </w:t>
      </w:r>
      <w:r w:rsidR="0040783F">
        <w:t xml:space="preserve">due </w:t>
      </w:r>
      <w:r w:rsidR="00842048">
        <w:t>to the unchallenge</w:t>
      </w:r>
      <w:r w:rsidR="0040783F">
        <w:t>able</w:t>
      </w:r>
      <w:r w:rsidR="00842048">
        <w:t xml:space="preserve"> evidence </w:t>
      </w:r>
      <w:r w:rsidR="0040783F">
        <w:t>presented by</w:t>
      </w:r>
      <w:r w:rsidR="00842048">
        <w:t xml:space="preserve"> the Director</w:t>
      </w:r>
      <w:r w:rsidR="000531C2">
        <w:t xml:space="preserve"> </w:t>
      </w:r>
      <w:r w:rsidR="00842048">
        <w:t>General of Security.</w:t>
      </w:r>
      <w:r w:rsidR="00923555">
        <w:t xml:space="preserve"> </w:t>
      </w:r>
      <w:r w:rsidR="00842048">
        <w:t xml:space="preserve">The </w:t>
      </w:r>
      <w:r w:rsidR="004D4690">
        <w:t xml:space="preserve">Full </w:t>
      </w:r>
      <w:r w:rsidR="00842048">
        <w:t xml:space="preserve">Court also </w:t>
      </w:r>
      <w:r w:rsidR="00EE3BDD">
        <w:t>considered</w:t>
      </w:r>
      <w:r w:rsidR="00842048">
        <w:t xml:space="preserve"> that the judge ha</w:t>
      </w:r>
      <w:r w:rsidR="00EE3BDD">
        <w:t>d correctly noted that</w:t>
      </w:r>
      <w:r w:rsidR="00B42B8D">
        <w:t>,</w:t>
      </w:r>
      <w:r w:rsidR="00EE3BDD">
        <w:t xml:space="preserve"> in </w:t>
      </w:r>
      <w:r w:rsidR="00842048">
        <w:t>th</w:t>
      </w:r>
      <w:r w:rsidR="00EE3BDD">
        <w:t>e</w:t>
      </w:r>
      <w:r w:rsidR="00842048">
        <w:t xml:space="preserve"> absence of the benefit of countervailing expert evidence, he was not in a position to form an opinion contrary to that of the Director</w:t>
      </w:r>
      <w:r w:rsidR="000531C2">
        <w:t xml:space="preserve"> </w:t>
      </w:r>
      <w:r w:rsidR="00842048">
        <w:t>General of Security</w:t>
      </w:r>
      <w:r w:rsidR="00642F2F">
        <w:t xml:space="preserve">. </w:t>
      </w:r>
      <w:r w:rsidR="00842048">
        <w:t>The Full Court was also satisfied that the Director</w:t>
      </w:r>
      <w:r w:rsidR="000531C2">
        <w:t xml:space="preserve"> G</w:t>
      </w:r>
      <w:r w:rsidR="00842048">
        <w:t xml:space="preserve">eneral </w:t>
      </w:r>
      <w:r w:rsidR="000A2A90">
        <w:t xml:space="preserve">had given </w:t>
      </w:r>
      <w:r w:rsidR="00842048">
        <w:t>genuine consideration to the question of what disclosure could be made in the national interest</w:t>
      </w:r>
      <w:r w:rsidR="007A2A3A">
        <w:t>.</w:t>
      </w:r>
      <w:r w:rsidR="00842048">
        <w:rPr>
          <w:rStyle w:val="FootnoteReference"/>
        </w:rPr>
        <w:footnoteReference w:id="14"/>
      </w:r>
    </w:p>
    <w:p w:rsidR="00006B2E" w:rsidRDefault="000264AE" w:rsidP="00F42258">
      <w:pPr>
        <w:pStyle w:val="SingleTxtG"/>
      </w:pPr>
      <w:r>
        <w:t>6.</w:t>
      </w:r>
      <w:r w:rsidR="002F7C45">
        <w:t>8</w:t>
      </w:r>
      <w:r w:rsidR="00BF73C8">
        <w:tab/>
      </w:r>
      <w:r w:rsidR="00B869CF">
        <w:t xml:space="preserve">It is clear from the public judgements that both the courts and the author’s </w:t>
      </w:r>
      <w:r w:rsidR="004D4690">
        <w:t>legal representatives</w:t>
      </w:r>
      <w:r w:rsidR="00B869CF">
        <w:t xml:space="preserve"> had access to evidence detailing the allegations against the author. </w:t>
      </w:r>
      <w:r w:rsidR="00F325FA">
        <w:t xml:space="preserve">For </w:t>
      </w:r>
      <w:r w:rsidR="00F325FA">
        <w:lastRenderedPageBreak/>
        <w:t xml:space="preserve">instance, in the </w:t>
      </w:r>
      <w:r w:rsidR="00F42258">
        <w:t xml:space="preserve">judgement of </w:t>
      </w:r>
      <w:r w:rsidR="00F325FA">
        <w:t>10 November 2005, t</w:t>
      </w:r>
      <w:r w:rsidR="00F325FA" w:rsidRPr="00F325FA">
        <w:t xml:space="preserve">he judge states that the author’s legal representatives, of their own volition, after giving appropriate undertakings </w:t>
      </w:r>
      <w:r w:rsidR="00F42258">
        <w:t>with regard to</w:t>
      </w:r>
      <w:r w:rsidR="00F325FA" w:rsidRPr="00F325FA">
        <w:t xml:space="preserve"> confidentiality, underwent a process of obtaining a security clearance, in order that they might obtain, in accordance with the judge’s consent, access to the confidential material put before the </w:t>
      </w:r>
      <w:r w:rsidR="00F42258">
        <w:t>c</w:t>
      </w:r>
      <w:r w:rsidR="00F325FA" w:rsidRPr="00F325FA">
        <w:t>ourt</w:t>
      </w:r>
      <w:r w:rsidR="007A2A3A">
        <w:t>.</w:t>
      </w:r>
      <w:r w:rsidR="00F325FA">
        <w:rPr>
          <w:rStyle w:val="FootnoteReference"/>
        </w:rPr>
        <w:footnoteReference w:id="15"/>
      </w:r>
    </w:p>
    <w:p w:rsidR="00561899" w:rsidRDefault="000264AE" w:rsidP="009041E2">
      <w:pPr>
        <w:pStyle w:val="SingleTxtG"/>
      </w:pPr>
      <w:r>
        <w:t>6.</w:t>
      </w:r>
      <w:r w:rsidR="002F7C45">
        <w:t>9</w:t>
      </w:r>
      <w:r w:rsidR="00261E2B">
        <w:tab/>
      </w:r>
      <w:r w:rsidR="00493933">
        <w:t xml:space="preserve">The State party considers </w:t>
      </w:r>
      <w:r w:rsidR="004A7F0A">
        <w:t xml:space="preserve">that </w:t>
      </w:r>
      <w:r w:rsidR="001C27E3">
        <w:t>article </w:t>
      </w:r>
      <w:r w:rsidR="004A7F0A" w:rsidRPr="004A7F0A">
        <w:t xml:space="preserve">13, which is directly applicable to the present case, </w:t>
      </w:r>
      <w:r w:rsidR="004A7F0A">
        <w:t xml:space="preserve">has been complied with. The decision to expel the author was reached in accordance with </w:t>
      </w:r>
      <w:r w:rsidR="00493933">
        <w:t>Australian law</w:t>
      </w:r>
      <w:r w:rsidR="00561899">
        <w:t>s</w:t>
      </w:r>
      <w:r w:rsidR="001D5739">
        <w:t>,</w:t>
      </w:r>
      <w:r w:rsidR="00561899">
        <w:t xml:space="preserve"> </w:t>
      </w:r>
      <w:r w:rsidR="00F42258">
        <w:t>namely</w:t>
      </w:r>
      <w:r w:rsidR="00561899">
        <w:t xml:space="preserve"> the</w:t>
      </w:r>
      <w:r w:rsidR="001D5739">
        <w:t xml:space="preserve"> Migration Act and the </w:t>
      </w:r>
      <w:r w:rsidR="009041E2">
        <w:t>Australian Security Intelligence Organisation</w:t>
      </w:r>
      <w:r w:rsidR="001D5739">
        <w:t xml:space="preserve"> Act. These laws</w:t>
      </w:r>
      <w:r w:rsidR="00493933">
        <w:t xml:space="preserve"> </w:t>
      </w:r>
      <w:r w:rsidR="009D7AA2">
        <w:t xml:space="preserve">are fully in </w:t>
      </w:r>
      <w:r w:rsidR="004A7F0A">
        <w:t>conformity</w:t>
      </w:r>
      <w:r w:rsidR="009D7AA2">
        <w:t xml:space="preserve"> with the Covenant and </w:t>
      </w:r>
      <w:r w:rsidR="00493933">
        <w:t>w</w:t>
      </w:r>
      <w:r w:rsidR="00561899">
        <w:t>ere</w:t>
      </w:r>
      <w:r w:rsidR="00493933">
        <w:t xml:space="preserve"> interpreted in good faith by the competent domestic authorities. </w:t>
      </w:r>
      <w:r w:rsidR="00EE3BDD">
        <w:t>T</w:t>
      </w:r>
      <w:r w:rsidR="001D5739">
        <w:t xml:space="preserve">he lawfulness of the decisions made under these regimes has been reviewed by Australian courts pursuant to these same laws. </w:t>
      </w:r>
    </w:p>
    <w:p w:rsidR="00A633D3" w:rsidRDefault="000264AE" w:rsidP="004B1AFF">
      <w:pPr>
        <w:pStyle w:val="SingleTxtG"/>
      </w:pPr>
      <w:r>
        <w:t>6.1</w:t>
      </w:r>
      <w:r w:rsidR="002F7C45">
        <w:t>0</w:t>
      </w:r>
      <w:r w:rsidR="00A633D3">
        <w:tab/>
        <w:t>In relation to th</w:t>
      </w:r>
      <w:r w:rsidR="00425A54">
        <w:t>e</w:t>
      </w:r>
      <w:r w:rsidR="00A633D3">
        <w:t xml:space="preserve"> author’s suggestion that </w:t>
      </w:r>
      <w:r w:rsidR="004B1AFF">
        <w:t xml:space="preserve">a </w:t>
      </w:r>
      <w:r w:rsidR="00A633D3">
        <w:t xml:space="preserve">merits review is required under </w:t>
      </w:r>
      <w:r w:rsidR="001C27E3">
        <w:t>article </w:t>
      </w:r>
      <w:r w:rsidR="00A633D3">
        <w:t>13</w:t>
      </w:r>
      <w:r w:rsidR="004A7F0A">
        <w:t>,</w:t>
      </w:r>
      <w:r w:rsidR="00A633D3">
        <w:t xml:space="preserve"> consideration of the Committee’s own jurisprudence demonstrates that there is no requirement for</w:t>
      </w:r>
      <w:r w:rsidR="004B1AFF">
        <w:t xml:space="preserve"> an</w:t>
      </w:r>
      <w:r w:rsidR="00A633D3">
        <w:t xml:space="preserve"> independent merits review of national security decisions in order for national security decisions to be made in accordance with the law pursuant to </w:t>
      </w:r>
      <w:r w:rsidR="001C27E3">
        <w:t>article </w:t>
      </w:r>
      <w:r w:rsidR="00A633D3">
        <w:t>13. In</w:t>
      </w:r>
      <w:r w:rsidR="004B1AFF">
        <w:t> </w:t>
      </w:r>
      <w:r w:rsidR="00A633D3">
        <w:t>fact, the Committee has found that judicial review of the “reasonableness” of security proceedings (which is a review of the lawfulness and not of the merits)</w:t>
      </w:r>
      <w:r w:rsidR="004B1AFF">
        <w:t>,</w:t>
      </w:r>
      <w:r w:rsidR="00A633D3">
        <w:t xml:space="preserve"> where information was withheld from the complainant, has been sufficient to meet the requirements of </w:t>
      </w:r>
      <w:r w:rsidR="001C27E3">
        <w:t>article </w:t>
      </w:r>
      <w:r w:rsidR="00A633D3">
        <w:t>13</w:t>
      </w:r>
      <w:r w:rsidR="007A2A3A">
        <w:t>.</w:t>
      </w:r>
      <w:r w:rsidR="00A633D3">
        <w:rPr>
          <w:rStyle w:val="FootnoteReference"/>
        </w:rPr>
        <w:footnoteReference w:id="16"/>
      </w:r>
      <w:r w:rsidR="00A633D3">
        <w:t xml:space="preserve"> The only requirement is that such decisions are made in accordance with the substantive and procedural domestic law of the State </w:t>
      </w:r>
      <w:r w:rsidR="00EE3BDD">
        <w:t>(</w:t>
      </w:r>
      <w:r w:rsidR="00A633D3">
        <w:t xml:space="preserve">in the absence of bad faith or abuse of power) and that those laws are not themselves inconsistent with other applicable rights under the Covenant. </w:t>
      </w:r>
      <w:r w:rsidR="004B1AFF">
        <w:t>A m</w:t>
      </w:r>
      <w:r w:rsidR="00A633D3">
        <w:t xml:space="preserve">erits review of security assessment proceedings in the author’s case is not required under Australian domestic law and the author does not explicitly assert that </w:t>
      </w:r>
      <w:r w:rsidR="004B1AFF">
        <w:t xml:space="preserve">a </w:t>
      </w:r>
      <w:r w:rsidR="00A633D3">
        <w:t xml:space="preserve">merits review is required under any provisions of the Covenant applicable to the author’s case. The State party therefore challenges the author’s arguments concerning the correct interpretation of “in accordance with law” under </w:t>
      </w:r>
      <w:r w:rsidR="001C27E3">
        <w:t>article </w:t>
      </w:r>
      <w:r w:rsidR="00A633D3">
        <w:t>13.</w:t>
      </w:r>
    </w:p>
    <w:p w:rsidR="00261E2B" w:rsidRDefault="000264AE" w:rsidP="00FE51CB">
      <w:pPr>
        <w:pStyle w:val="SingleTxtG"/>
      </w:pPr>
      <w:r>
        <w:t>6.1</w:t>
      </w:r>
      <w:r w:rsidR="002F7C45">
        <w:t>1</w:t>
      </w:r>
      <w:r w:rsidR="009D7AA2">
        <w:tab/>
      </w:r>
      <w:r w:rsidR="00D92634">
        <w:t>W</w:t>
      </w:r>
      <w:r w:rsidR="00A078A0">
        <w:t xml:space="preserve">hile not disagreeing with the Committee’s </w:t>
      </w:r>
      <w:r w:rsidR="004B1AFF">
        <w:t>g</w:t>
      </w:r>
      <w:r w:rsidR="00A078A0">
        <w:t xml:space="preserve">eneral </w:t>
      </w:r>
      <w:r w:rsidR="004B1AFF">
        <w:t>c</w:t>
      </w:r>
      <w:r w:rsidR="00A078A0">
        <w:t>omment</w:t>
      </w:r>
      <w:r w:rsidR="001C27E3">
        <w:t xml:space="preserve"> No. </w:t>
      </w:r>
      <w:r w:rsidR="00A078A0">
        <w:t>32</w:t>
      </w:r>
      <w:r w:rsidR="004B1AFF">
        <w:t xml:space="preserve"> (2007) on the r</w:t>
      </w:r>
      <w:r w:rsidR="004B1AFF" w:rsidRPr="00D42A48">
        <w:rPr>
          <w:lang w:val="en-US"/>
        </w:rPr>
        <w:t>ight to equality before courts and tribunals and to a fair trial</w:t>
      </w:r>
      <w:r w:rsidR="00A078A0">
        <w:t xml:space="preserve">, where it has stated that </w:t>
      </w:r>
      <w:r w:rsidR="004B1AFF">
        <w:t xml:space="preserve">the </w:t>
      </w:r>
      <w:r w:rsidR="00A078A0">
        <w:t xml:space="preserve">procedural guarantees of </w:t>
      </w:r>
      <w:r w:rsidR="001C27E3">
        <w:t>article </w:t>
      </w:r>
      <w:r w:rsidR="00A078A0">
        <w:t xml:space="preserve">13 incorporate notions of due process also reflected in </w:t>
      </w:r>
      <w:r w:rsidR="001C27E3">
        <w:t>article </w:t>
      </w:r>
      <w:r w:rsidR="00A078A0">
        <w:t xml:space="preserve">14, the State party considers that such procedural entitlements apply to the extent that </w:t>
      </w:r>
      <w:r w:rsidR="00A633D3">
        <w:t>“</w:t>
      </w:r>
      <w:r w:rsidR="00A078A0">
        <w:t>compelling reasons of national security</w:t>
      </w:r>
      <w:r w:rsidR="00A633D3">
        <w:t>”</w:t>
      </w:r>
      <w:r w:rsidR="00A078A0">
        <w:t xml:space="preserve"> do not exclude them in a particular case. </w:t>
      </w:r>
      <w:r w:rsidR="004A7F0A">
        <w:t>T</w:t>
      </w:r>
      <w:r w:rsidR="00A078A0">
        <w:t>here is no minimum requirement in terms of procedural fairness rights provided under the second lim</w:t>
      </w:r>
      <w:r w:rsidR="00162C5D">
        <w:t>b</w:t>
      </w:r>
      <w:r w:rsidR="00A078A0">
        <w:t xml:space="preserve"> of </w:t>
      </w:r>
      <w:r w:rsidR="001C27E3">
        <w:t>article </w:t>
      </w:r>
      <w:r w:rsidR="00A078A0">
        <w:t>13. This can only be determined on a case</w:t>
      </w:r>
      <w:r w:rsidR="00FE51CB">
        <w:t>-</w:t>
      </w:r>
      <w:r w:rsidR="00A078A0">
        <w:t>by</w:t>
      </w:r>
      <w:r w:rsidR="00FE51CB">
        <w:t>-</w:t>
      </w:r>
      <w:r w:rsidR="00A078A0">
        <w:t xml:space="preserve">case basis, to the extent that procedural fairness rights are not precluded by compelling reasons of security in the particular circumstances of each case. As stated in the Committee’s jurisprudence in </w:t>
      </w:r>
      <w:r w:rsidR="00A078A0" w:rsidRPr="00162C5D">
        <w:rPr>
          <w:i/>
        </w:rPr>
        <w:t xml:space="preserve">Alzery </w:t>
      </w:r>
      <w:r w:rsidR="00A078A0" w:rsidRPr="00FF59AA">
        <w:rPr>
          <w:iCs/>
        </w:rPr>
        <w:t>v.</w:t>
      </w:r>
      <w:r w:rsidR="00A078A0" w:rsidRPr="00162C5D">
        <w:rPr>
          <w:i/>
        </w:rPr>
        <w:t xml:space="preserve"> Sweden</w:t>
      </w:r>
      <w:r w:rsidR="00A078A0">
        <w:t xml:space="preserve">, the State party has very wide discretion </w:t>
      </w:r>
      <w:r w:rsidR="00747EED">
        <w:t xml:space="preserve">in the assessment of whether a case presents national security considerations bringing the exception contained in </w:t>
      </w:r>
      <w:r w:rsidR="001C27E3">
        <w:t>article </w:t>
      </w:r>
      <w:r w:rsidR="00747EED">
        <w:t>13</w:t>
      </w:r>
      <w:r w:rsidR="007A2A3A">
        <w:t>.</w:t>
      </w:r>
      <w:r w:rsidR="00747EED">
        <w:rPr>
          <w:rStyle w:val="FootnoteReference"/>
        </w:rPr>
        <w:footnoteReference w:id="17"/>
      </w:r>
      <w:r w:rsidR="0003533F">
        <w:t xml:space="preserve"> The State party </w:t>
      </w:r>
      <w:r w:rsidR="00561899">
        <w:t xml:space="preserve">therefore considers that its assertion that compelling reasons of national security arise should only be questioned by the Committee where the Committee has reason to doubt that a matter was properly one </w:t>
      </w:r>
      <w:r w:rsidR="00FE51CB">
        <w:t xml:space="preserve">that </w:t>
      </w:r>
      <w:r w:rsidR="00561899">
        <w:t xml:space="preserve">fell within the ordinary meaning of “national security” or where it appears that a person has been denied procedural protections provided for in </w:t>
      </w:r>
      <w:r w:rsidR="001C27E3">
        <w:t>article </w:t>
      </w:r>
      <w:r w:rsidR="00561899">
        <w:t>1</w:t>
      </w:r>
      <w:r w:rsidR="00162C5D">
        <w:t>3</w:t>
      </w:r>
      <w:r w:rsidR="00561899">
        <w:t xml:space="preserve"> to a greater extent than is actually required by “compelling reasons of national security”. </w:t>
      </w:r>
    </w:p>
    <w:p w:rsidR="00747EED" w:rsidRDefault="000264AE" w:rsidP="0040783F">
      <w:pPr>
        <w:pStyle w:val="SingleTxtG"/>
      </w:pPr>
      <w:r>
        <w:lastRenderedPageBreak/>
        <w:t>6.1</w:t>
      </w:r>
      <w:r w:rsidR="002F7C45">
        <w:t>2</w:t>
      </w:r>
      <w:r w:rsidR="00A633D3">
        <w:tab/>
      </w:r>
      <w:r w:rsidR="00162C5D">
        <w:t>D</w:t>
      </w:r>
      <w:r w:rsidR="00A633D3">
        <w:t xml:space="preserve">espite the fact that compelling reasons of national security apply in the present case, the author was provided with opportunities to make submissions against the 2004 </w:t>
      </w:r>
      <w:r w:rsidR="00574A82">
        <w:t xml:space="preserve">security assessment. He (or his </w:t>
      </w:r>
      <w:r w:rsidR="004D4690">
        <w:t>legal representatives</w:t>
      </w:r>
      <w:r w:rsidR="00574A82">
        <w:t>) also had opportunities to make submissions against the validity of the security assessment in the various legal proceedings before the court</w:t>
      </w:r>
      <w:r w:rsidR="00E94135">
        <w:t xml:space="preserve">s, </w:t>
      </w:r>
      <w:r w:rsidR="00574A82">
        <w:t>including submissions on the definition of “security”, and in relation to whether the author’s act</w:t>
      </w:r>
      <w:r w:rsidR="00B01058">
        <w:t>s</w:t>
      </w:r>
      <w:r w:rsidR="00574A82">
        <w:t xml:space="preserve"> and conduct met essential requirements of being “acts of foreign interference”. The author also had the opportunity to make submissions against his expulsion to the Minister for Immigration and to request the Minister’s intervention.</w:t>
      </w:r>
      <w:r w:rsidR="00322EF4">
        <w:t xml:space="preserve"> </w:t>
      </w:r>
      <w:r w:rsidR="0040783F">
        <w:t>As far as domestic proceedings are concerned</w:t>
      </w:r>
      <w:r w:rsidR="00322EF4">
        <w:t>, the State party notes that all courts/judges reviewed the necessity to disclose information related to the auth</w:t>
      </w:r>
      <w:r w:rsidR="00162C5D">
        <w:t>or’s case. As mentioned by the F</w:t>
      </w:r>
      <w:r w:rsidR="00322EF4">
        <w:t>ederal Court sitting in a single-judge formation, it was not possible to put even a summary of the case against the author without compromising the interests of national security</w:t>
      </w:r>
      <w:r w:rsidR="007A2A3A">
        <w:t>.</w:t>
      </w:r>
      <w:r w:rsidR="00322EF4">
        <w:rPr>
          <w:rStyle w:val="FootnoteReference"/>
        </w:rPr>
        <w:footnoteReference w:id="18"/>
      </w:r>
      <w:r w:rsidR="00B91BF4">
        <w:t xml:space="preserve"> </w:t>
      </w:r>
      <w:r w:rsidR="00162C5D">
        <w:t>T</w:t>
      </w:r>
      <w:r w:rsidR="00B91BF4">
        <w:t xml:space="preserve">he author was given the possibility of having his case reviewed and was represented by </w:t>
      </w:r>
      <w:r w:rsidR="004D4690">
        <w:t>legal representatives</w:t>
      </w:r>
      <w:r w:rsidR="00B91BF4">
        <w:t xml:space="preserve">. </w:t>
      </w:r>
      <w:r w:rsidR="00162C5D">
        <w:t>He</w:t>
      </w:r>
      <w:r w:rsidR="00B91BF4">
        <w:t xml:space="preserve"> was </w:t>
      </w:r>
      <w:r w:rsidR="00162C5D">
        <w:t xml:space="preserve">therefore </w:t>
      </w:r>
      <w:r w:rsidR="00B91BF4">
        <w:t xml:space="preserve">provided with relevant procedural protections under </w:t>
      </w:r>
      <w:r w:rsidR="001C27E3">
        <w:t>article </w:t>
      </w:r>
      <w:r w:rsidR="00B91BF4">
        <w:t>13 to the extent that circumstances of national security did not preclude them.</w:t>
      </w:r>
      <w:r w:rsidR="00F87173">
        <w:t xml:space="preserve"> </w:t>
      </w:r>
      <w:r w:rsidR="00D92634">
        <w:t>T</w:t>
      </w:r>
      <w:r w:rsidR="00F87173">
        <w:t xml:space="preserve">here is no reason for the Committee </w:t>
      </w:r>
      <w:r w:rsidR="009D59C4">
        <w:t>to consider that</w:t>
      </w:r>
      <w:r w:rsidR="00F87173">
        <w:t xml:space="preserve"> the State party</w:t>
      </w:r>
      <w:r w:rsidR="00D92634">
        <w:t xml:space="preserve"> has acted in</w:t>
      </w:r>
      <w:r w:rsidR="00F87173">
        <w:t xml:space="preserve"> bad faith or </w:t>
      </w:r>
      <w:r w:rsidR="009D59C4">
        <w:t xml:space="preserve">has </w:t>
      </w:r>
      <w:r w:rsidR="00F87173">
        <w:t xml:space="preserve">abused its power. </w:t>
      </w:r>
    </w:p>
    <w:p w:rsidR="00F94D14" w:rsidRDefault="000264AE" w:rsidP="009041E2">
      <w:pPr>
        <w:pStyle w:val="SingleTxtG"/>
      </w:pPr>
      <w:r>
        <w:t>6.1</w:t>
      </w:r>
      <w:r w:rsidR="002F7C45">
        <w:t>3</w:t>
      </w:r>
      <w:r w:rsidR="00410EEA">
        <w:tab/>
      </w:r>
      <w:r w:rsidR="00293C7B">
        <w:t xml:space="preserve">The State party considers the </w:t>
      </w:r>
      <w:r w:rsidR="00293C7B" w:rsidRPr="002B23BE">
        <w:t>author’s</w:t>
      </w:r>
      <w:r w:rsidR="00293C7B" w:rsidRPr="002D7E7C">
        <w:t xml:space="preserve"> allegations under </w:t>
      </w:r>
      <w:r w:rsidR="00537279" w:rsidRPr="002D7E7C">
        <w:t>article</w:t>
      </w:r>
      <w:r w:rsidR="00293C7B" w:rsidRPr="002D7E7C">
        <w:t>s</w:t>
      </w:r>
      <w:r w:rsidR="00537279" w:rsidRPr="002D7E7C">
        <w:t xml:space="preserve"> 2</w:t>
      </w:r>
      <w:r w:rsidR="00293C7B" w:rsidRPr="002D7E7C">
        <w:t xml:space="preserve"> and </w:t>
      </w:r>
      <w:r w:rsidR="00537279" w:rsidRPr="002D7E7C">
        <w:t>26</w:t>
      </w:r>
      <w:r w:rsidR="00293C7B" w:rsidRPr="002D7E7C">
        <w:t xml:space="preserve"> to be unsubstantiated as</w:t>
      </w:r>
      <w:r w:rsidR="00301923">
        <w:rPr>
          <w:u w:val="single"/>
        </w:rPr>
        <w:t xml:space="preserve"> </w:t>
      </w:r>
      <w:r w:rsidR="00293C7B">
        <w:t>there</w:t>
      </w:r>
      <w:r w:rsidR="006326B3">
        <w:t xml:space="preserve"> is no evidence that a distinction has been made on the basis that the author is of Iranian national origin.</w:t>
      </w:r>
      <w:r w:rsidR="00293C7B">
        <w:t xml:space="preserve"> The</w:t>
      </w:r>
      <w:r w:rsidR="00F94D14">
        <w:t xml:space="preserve"> State party</w:t>
      </w:r>
      <w:r w:rsidR="00293C7B">
        <w:t xml:space="preserve"> also </w:t>
      </w:r>
      <w:r w:rsidR="00F94D14">
        <w:t xml:space="preserve">submits that </w:t>
      </w:r>
      <w:r w:rsidR="007A2A3A">
        <w:t>those allegations</w:t>
      </w:r>
      <w:r w:rsidR="00F94D14">
        <w:t xml:space="preserve"> are inadmissible</w:t>
      </w:r>
      <w:r w:rsidR="00301923">
        <w:t>,</w:t>
      </w:r>
      <w:r w:rsidR="00F94D14">
        <w:t xml:space="preserve"> for failure to exhaust domestic remedies. Section 10 of the R</w:t>
      </w:r>
      <w:r w:rsidR="002D00B0">
        <w:t>acial Discrimination Act</w:t>
      </w:r>
      <w:r w:rsidR="00F94D14">
        <w:t xml:space="preserve"> allows a complaint to be brought to the Federal Court in the first instance where persons of a particular national origin do not enjoy a right that is enjoyed by persons of another national origin, or enjoy a right to a more limited extent than persons of another national origin. It was open to the author to file such action</w:t>
      </w:r>
      <w:r w:rsidR="001776C3">
        <w:t>,</w:t>
      </w:r>
      <w:r w:rsidR="00F94D14">
        <w:t xml:space="preserve"> and if the </w:t>
      </w:r>
      <w:r w:rsidR="001776C3">
        <w:t>C</w:t>
      </w:r>
      <w:r w:rsidR="00F94D14">
        <w:t xml:space="preserve">ourt accepted his argument, it would be open to the Court to allow the same entitlements to the author as those </w:t>
      </w:r>
      <w:r w:rsidR="001776C3">
        <w:t>which, under</w:t>
      </w:r>
      <w:r w:rsidR="00F94D14">
        <w:t xml:space="preserve"> the </w:t>
      </w:r>
      <w:r w:rsidR="009041E2">
        <w:t>Australian Security Intelligence Organisation</w:t>
      </w:r>
      <w:r w:rsidR="00F94D14">
        <w:t xml:space="preserve"> Act</w:t>
      </w:r>
      <w:r w:rsidR="001776C3">
        <w:t>, are</w:t>
      </w:r>
      <w:r w:rsidR="00F94D14">
        <w:t xml:space="preserve"> applicable to citizens, permanent residents and special category or special purpose visa holders. The author has made no effort for that purpose.</w:t>
      </w:r>
    </w:p>
    <w:p w:rsidR="00F94D14" w:rsidRDefault="000264AE" w:rsidP="00A62F1D">
      <w:pPr>
        <w:pStyle w:val="SingleTxtG"/>
      </w:pPr>
      <w:r>
        <w:t>6.1</w:t>
      </w:r>
      <w:r w:rsidR="007957C6">
        <w:t>4</w:t>
      </w:r>
      <w:r w:rsidR="00F94D14">
        <w:tab/>
        <w:t>On the merits, the State party stresses</w:t>
      </w:r>
      <w:r w:rsidR="001776C3">
        <w:t>,</w:t>
      </w:r>
      <w:r w:rsidR="00F94D14">
        <w:t xml:space="preserve"> in accordance with the jurisprudence of the Committee, </w:t>
      </w:r>
      <w:r w:rsidR="00A16C9F">
        <w:t xml:space="preserve">that </w:t>
      </w:r>
      <w:r w:rsidR="001C27E3">
        <w:t>article </w:t>
      </w:r>
      <w:r w:rsidR="00F94D14">
        <w:t xml:space="preserve">2 cannot be invoked on its own. As for </w:t>
      </w:r>
      <w:r w:rsidR="001C27E3">
        <w:t>article </w:t>
      </w:r>
      <w:r w:rsidR="00F94D14">
        <w:t xml:space="preserve">26, not every differentiation of treatment will constitute discrimination if the criteria for such differentiation are reasonable and objective and if the aim is to achieve a purpose </w:t>
      </w:r>
      <w:r w:rsidR="001776C3">
        <w:t xml:space="preserve">that </w:t>
      </w:r>
      <w:r w:rsidR="00F94D14">
        <w:t>is l</w:t>
      </w:r>
      <w:r w:rsidR="00A16C9F">
        <w:t>egitimate under the Covenant. In the present case, the courts found that procedural fairness applie</w:t>
      </w:r>
      <w:r w:rsidR="00010F93">
        <w:t>d</w:t>
      </w:r>
      <w:r w:rsidR="00A16C9F">
        <w:t xml:space="preserve"> under the common law </w:t>
      </w:r>
      <w:r w:rsidR="002D00B0">
        <w:t xml:space="preserve">to </w:t>
      </w:r>
      <w:r w:rsidR="00A16C9F">
        <w:t xml:space="preserve">the extent that the circumstances could bear, </w:t>
      </w:r>
      <w:r w:rsidR="00A62F1D">
        <w:t>provided that there was no</w:t>
      </w:r>
      <w:r w:rsidR="00A16C9F">
        <w:t xml:space="preserve"> prejudice to national security. This is very similar to the procedural fairness protection that is available to citizens, permanent residents and special category or special purpose visa holders under the </w:t>
      </w:r>
      <w:r w:rsidR="009041E2">
        <w:t>Australian Security Intelligence Organisation</w:t>
      </w:r>
      <w:r w:rsidR="00A16C9F">
        <w:t xml:space="preserve"> Act. </w:t>
      </w:r>
    </w:p>
    <w:p w:rsidR="00291845" w:rsidRDefault="000264AE" w:rsidP="009041E2">
      <w:pPr>
        <w:pStyle w:val="SingleTxtG"/>
      </w:pPr>
      <w:r>
        <w:t>6.1</w:t>
      </w:r>
      <w:r w:rsidR="007957C6">
        <w:t>5</w:t>
      </w:r>
      <w:r w:rsidR="008C429B">
        <w:tab/>
        <w:t xml:space="preserve">The only relevant distinction in treatment </w:t>
      </w:r>
      <w:r w:rsidR="00423F7C">
        <w:t xml:space="preserve">which applies under the </w:t>
      </w:r>
      <w:r w:rsidR="009041E2">
        <w:t>Australian Security Intelligence Organisation</w:t>
      </w:r>
      <w:r w:rsidR="00423F7C">
        <w:t xml:space="preserve"> Act </w:t>
      </w:r>
      <w:r w:rsidR="008C429B">
        <w:t>between</w:t>
      </w:r>
      <w:r w:rsidR="00423F7C">
        <w:t xml:space="preserve"> the author and Australian citizens and the other categories mentioned above concerns the ability of the latter categories of persons to seek </w:t>
      </w:r>
      <w:r w:rsidR="00010F93">
        <w:t xml:space="preserve">a </w:t>
      </w:r>
      <w:r w:rsidR="00423F7C">
        <w:t xml:space="preserve">merits review of an adverse security assessment </w:t>
      </w:r>
      <w:r w:rsidR="00010F93">
        <w:t>at</w:t>
      </w:r>
      <w:r w:rsidR="00423F7C">
        <w:t xml:space="preserve"> the Administrative Appeals Tribunal. Since article 2</w:t>
      </w:r>
      <w:r w:rsidR="00010F93">
        <w:t xml:space="preserve"> of the Covenant</w:t>
      </w:r>
      <w:r w:rsidR="00423F7C">
        <w:t xml:space="preserve"> cannot be invoked alone</w:t>
      </w:r>
      <w:r w:rsidR="00010F93">
        <w:t>,</w:t>
      </w:r>
      <w:r w:rsidR="00423F7C">
        <w:t xml:space="preserve"> it is automatically related to the recognition of a violation of article 13 in the present case. The State party considers that </w:t>
      </w:r>
      <w:r w:rsidR="001C27E3">
        <w:t>article </w:t>
      </w:r>
      <w:r w:rsidR="00423F7C">
        <w:t>13, which in any case is only applicable to aliens and can therefore not entail a</w:t>
      </w:r>
      <w:r w:rsidR="002B21CE">
        <w:t>ny</w:t>
      </w:r>
      <w:r w:rsidR="00423F7C">
        <w:t xml:space="preserve"> differential treatment between aliens and citizens, has not been breached in the present case. </w:t>
      </w:r>
      <w:r w:rsidR="002C747E">
        <w:t xml:space="preserve">The State party further considers that </w:t>
      </w:r>
      <w:r w:rsidR="002B21CE">
        <w:t xml:space="preserve">a </w:t>
      </w:r>
      <w:r w:rsidR="002C747E">
        <w:t xml:space="preserve">merits review does not fall within the procedural fairness protections provided for in </w:t>
      </w:r>
      <w:r w:rsidR="001C27E3">
        <w:t>article </w:t>
      </w:r>
      <w:r w:rsidR="002C747E">
        <w:t>13.</w:t>
      </w:r>
      <w:r w:rsidR="00291845">
        <w:t xml:space="preserve"> </w:t>
      </w:r>
    </w:p>
    <w:p w:rsidR="001C7CA1" w:rsidRDefault="00F31478" w:rsidP="00196685">
      <w:pPr>
        <w:pStyle w:val="SingleTxtG"/>
      </w:pPr>
      <w:r>
        <w:lastRenderedPageBreak/>
        <w:t>6</w:t>
      </w:r>
      <w:r w:rsidR="000264AE">
        <w:t>.</w:t>
      </w:r>
      <w:r w:rsidR="002F7C45">
        <w:t>1</w:t>
      </w:r>
      <w:r w:rsidR="007957C6">
        <w:t>6</w:t>
      </w:r>
      <w:r w:rsidR="001C7CA1">
        <w:tab/>
        <w:t>The State party denies discrimination based on other status</w:t>
      </w:r>
      <w:r w:rsidR="002B21CE">
        <w:t>,</w:t>
      </w:r>
      <w:r w:rsidR="001C7CA1">
        <w:t xml:space="preserve"> </w:t>
      </w:r>
      <w:r w:rsidR="002B21CE">
        <w:t>that is,</w:t>
      </w:r>
      <w:r w:rsidR="001C7CA1">
        <w:t xml:space="preserve"> for belonging to a class of persons defined by their non-citizen, non-permanent residency or for being a temporary migrant. </w:t>
      </w:r>
      <w:r w:rsidR="007E3B45">
        <w:t>This group is particularly varied</w:t>
      </w:r>
      <w:r w:rsidR="002B21CE">
        <w:t>,</w:t>
      </w:r>
      <w:r w:rsidR="007E3B45">
        <w:t xml:space="preserve"> as it includes those on tourist visas, and people who reside inside or outside Australia who have no existing right of residence or any kind of visa to enter or remain in Australia. This category is insufficiently ident</w:t>
      </w:r>
      <w:r w:rsidR="00CC4802">
        <w:t>ifiably distinct as a category of persons a</w:t>
      </w:r>
      <w:r w:rsidR="007E3B45">
        <w:t>nd should not be considered by the Committee to</w:t>
      </w:r>
      <w:r w:rsidR="000E591A">
        <w:t xml:space="preserve"> constitute an “</w:t>
      </w:r>
      <w:r w:rsidR="007E3B45">
        <w:t>other status</w:t>
      </w:r>
      <w:r w:rsidR="000E591A">
        <w:t>”</w:t>
      </w:r>
      <w:r w:rsidR="007E3B45">
        <w:t xml:space="preserve"> for the purposes of the Covenant. </w:t>
      </w:r>
    </w:p>
    <w:p w:rsidR="009A0488" w:rsidRDefault="00F31478" w:rsidP="00966674">
      <w:pPr>
        <w:pStyle w:val="SingleTxtG"/>
      </w:pPr>
      <w:r>
        <w:t>6</w:t>
      </w:r>
      <w:r w:rsidR="000264AE">
        <w:t>.</w:t>
      </w:r>
      <w:r w:rsidR="007957C6">
        <w:t>1</w:t>
      </w:r>
      <w:r w:rsidR="00D92634">
        <w:t>7</w:t>
      </w:r>
      <w:r w:rsidR="00DF252D">
        <w:tab/>
      </w:r>
      <w:r w:rsidR="002B0DC9">
        <w:t xml:space="preserve">With regard to </w:t>
      </w:r>
      <w:r w:rsidR="001C27E3">
        <w:t>article </w:t>
      </w:r>
      <w:r w:rsidR="002B0DC9" w:rsidRPr="002D7E7C">
        <w:t>17</w:t>
      </w:r>
      <w:r w:rsidR="002B0DC9">
        <w:t xml:space="preserve">, in the present case there is no interference because the decision </w:t>
      </w:r>
      <w:r w:rsidR="002B21CE">
        <w:t xml:space="preserve">as to </w:t>
      </w:r>
      <w:r w:rsidR="002B0DC9">
        <w:t xml:space="preserve">whether the family members would accompany the author to </w:t>
      </w:r>
      <w:r w:rsidR="000A27C2">
        <w:t>the Islamic Republic of Iran</w:t>
      </w:r>
      <w:r w:rsidR="002B0DC9">
        <w:t xml:space="preserve"> or </w:t>
      </w:r>
      <w:r w:rsidR="002B21CE">
        <w:t xml:space="preserve">would </w:t>
      </w:r>
      <w:r w:rsidR="002B0DC9">
        <w:t xml:space="preserve">remain in Australia is purely an issue for the family and the separation of the family members is not compelled by the State’s action. </w:t>
      </w:r>
      <w:r w:rsidR="00A956BA">
        <w:t>The State party acknowledges the Committee’s jurisprudence</w:t>
      </w:r>
      <w:r w:rsidR="002B21CE">
        <w:t>,</w:t>
      </w:r>
      <w:r w:rsidR="00A956BA">
        <w:t xml:space="preserve"> </w:t>
      </w:r>
      <w:r w:rsidR="002B21CE">
        <w:t xml:space="preserve">in which </w:t>
      </w:r>
      <w:r w:rsidR="00A956BA">
        <w:t>it has considered that where “substantial changes to long-settled family life would follow”</w:t>
      </w:r>
      <w:r w:rsidR="002B21CE">
        <w:t>,</w:t>
      </w:r>
      <w:r w:rsidR="00A956BA">
        <w:t xml:space="preserve"> a decision to deport one or more members of the family will constitute </w:t>
      </w:r>
      <w:r w:rsidR="00021C8B">
        <w:t>“</w:t>
      </w:r>
      <w:r w:rsidR="00A956BA">
        <w:t>interference with the family”</w:t>
      </w:r>
      <w:r w:rsidR="007A2A3A">
        <w:t>.</w:t>
      </w:r>
      <w:r w:rsidR="00A956BA">
        <w:rPr>
          <w:rStyle w:val="FootnoteReference"/>
        </w:rPr>
        <w:footnoteReference w:id="19"/>
      </w:r>
      <w:r w:rsidR="00A956BA">
        <w:t xml:space="preserve"> However</w:t>
      </w:r>
      <w:r w:rsidR="002B21CE">
        <w:t>,</w:t>
      </w:r>
      <w:r w:rsidR="00A956BA">
        <w:t xml:space="preserve"> it does not agree with such conclusion and thereby refers to the dissenting opinion of four Committee members in </w:t>
      </w:r>
      <w:r w:rsidR="00486E89">
        <w:t>this</w:t>
      </w:r>
      <w:r w:rsidR="00A956BA">
        <w:t xml:space="preserve"> jurisprudence</w:t>
      </w:r>
      <w:r w:rsidR="007A2A3A">
        <w:t>.</w:t>
      </w:r>
      <w:r w:rsidR="00A956BA">
        <w:rPr>
          <w:rStyle w:val="FootnoteReference"/>
        </w:rPr>
        <w:footnoteReference w:id="20"/>
      </w:r>
      <w:r w:rsidR="00A956BA">
        <w:t xml:space="preserve"> </w:t>
      </w:r>
    </w:p>
    <w:p w:rsidR="00A25C9F" w:rsidRDefault="00F31478" w:rsidP="00B04E28">
      <w:pPr>
        <w:pStyle w:val="SingleTxtG"/>
      </w:pPr>
      <w:r>
        <w:t>6</w:t>
      </w:r>
      <w:r w:rsidR="000264AE">
        <w:t>.</w:t>
      </w:r>
      <w:r w:rsidR="007957C6">
        <w:t>1</w:t>
      </w:r>
      <w:r w:rsidR="00D92634">
        <w:t>8</w:t>
      </w:r>
      <w:r w:rsidR="007957C6">
        <w:tab/>
      </w:r>
      <w:r w:rsidR="0008518A">
        <w:t xml:space="preserve">Even if the Committee considers that there has been interference, such interference would not be unlawful or arbitrary. </w:t>
      </w:r>
      <w:r w:rsidR="00A25C9F">
        <w:t xml:space="preserve">In its jurisprudence, the Committee has considered </w:t>
      </w:r>
      <w:r w:rsidR="00021C8B">
        <w:t>article 17 to have been violated</w:t>
      </w:r>
      <w:r w:rsidR="00A25C9F">
        <w:t xml:space="preserve"> if</w:t>
      </w:r>
      <w:r w:rsidR="00021C8B">
        <w:t>,</w:t>
      </w:r>
      <w:r w:rsidR="00A25C9F">
        <w:t xml:space="preserve"> in the circumstances of the case</w:t>
      </w:r>
      <w:r w:rsidR="00021C8B">
        <w:t>,</w:t>
      </w:r>
      <w:r w:rsidR="00A25C9F">
        <w:t xml:space="preserve"> the separation of the author from his family and its effect on him were disproportionate to the objectives of the removal</w:t>
      </w:r>
      <w:r w:rsidR="007A2A3A">
        <w:t>.</w:t>
      </w:r>
      <w:r w:rsidR="00A25C9F">
        <w:rPr>
          <w:rStyle w:val="FootnoteReference"/>
        </w:rPr>
        <w:footnoteReference w:id="21"/>
      </w:r>
      <w:r w:rsidR="00A25C9F">
        <w:t xml:space="preserve"> The Committee has also stated that the relevant criteria for assessing arbitrariness is the balance between the significance of the State party’s reasons for the removal and the degree of hardship </w:t>
      </w:r>
      <w:r w:rsidR="00021C8B">
        <w:t xml:space="preserve">that </w:t>
      </w:r>
      <w:r w:rsidR="00A25C9F">
        <w:t>the family and its members would suffer as a consequence of such removal</w:t>
      </w:r>
      <w:r w:rsidR="007A2A3A">
        <w:t>.</w:t>
      </w:r>
      <w:r w:rsidR="00A25C9F">
        <w:rPr>
          <w:rStyle w:val="FootnoteReference"/>
        </w:rPr>
        <w:footnoteReference w:id="22"/>
      </w:r>
      <w:r w:rsidR="00A25C9F">
        <w:t xml:space="preserve"> The State party considers that an assessment that the author represents a threat to national security is a highly serious ground for requesting the departure of the author. Although the State party recognizes the hardship provoked </w:t>
      </w:r>
      <w:r w:rsidR="00E93DCD">
        <w:t>by</w:t>
      </w:r>
      <w:r w:rsidR="00A25C9F">
        <w:t xml:space="preserve"> this decision, it tried to minimize it by granting permanent visa</w:t>
      </w:r>
      <w:r w:rsidR="00021C8B">
        <w:t>s</w:t>
      </w:r>
      <w:r w:rsidR="00A25C9F">
        <w:t xml:space="preserve"> to the author’</w:t>
      </w:r>
      <w:r w:rsidR="00E93DCD">
        <w:t xml:space="preserve">s wife and non-Australian son. </w:t>
      </w:r>
      <w:r w:rsidR="00D92634">
        <w:t>F</w:t>
      </w:r>
      <w:r w:rsidR="00E93DCD">
        <w:t>amily rights, including the best interest of the child, have been duly considered by the domestic authorities.</w:t>
      </w:r>
      <w:r w:rsidR="00446554">
        <w:t xml:space="preserve"> </w:t>
      </w:r>
    </w:p>
    <w:p w:rsidR="001A5190" w:rsidRDefault="00F31478" w:rsidP="00D77067">
      <w:pPr>
        <w:pStyle w:val="SingleTxtG"/>
      </w:pPr>
      <w:r>
        <w:t>6</w:t>
      </w:r>
      <w:r w:rsidR="000264AE">
        <w:t>.</w:t>
      </w:r>
      <w:r w:rsidR="00D92634">
        <w:t>19</w:t>
      </w:r>
      <w:r w:rsidR="007957C6">
        <w:tab/>
      </w:r>
      <w:r w:rsidR="00446554">
        <w:t>This decision is no</w:t>
      </w:r>
      <w:r w:rsidR="00D92634">
        <w:t>t</w:t>
      </w:r>
      <w:r w:rsidR="00446554">
        <w:t xml:space="preserve"> unlawful since the author’s security assessment and subsequent migration proceedings were made </w:t>
      </w:r>
      <w:r w:rsidR="00E673B7">
        <w:t>in full accordance</w:t>
      </w:r>
      <w:r w:rsidR="00446554">
        <w:t xml:space="preserve"> with the law. </w:t>
      </w:r>
    </w:p>
    <w:p w:rsidR="00446554" w:rsidRDefault="00F31478" w:rsidP="0080567D">
      <w:pPr>
        <w:pStyle w:val="SingleTxtG"/>
      </w:pPr>
      <w:r>
        <w:t>6</w:t>
      </w:r>
      <w:r w:rsidR="000264AE">
        <w:t>.2</w:t>
      </w:r>
      <w:r w:rsidR="00D92634">
        <w:t>0</w:t>
      </w:r>
      <w:r w:rsidR="007957C6">
        <w:tab/>
      </w:r>
      <w:r w:rsidR="001A5190">
        <w:t>For the same reasons as above</w:t>
      </w:r>
      <w:r w:rsidR="005C2CFC">
        <w:t xml:space="preserve"> (in para. 6.19)</w:t>
      </w:r>
      <w:r w:rsidR="001A5190">
        <w:t xml:space="preserve">, the State party considers that there has been no violation of </w:t>
      </w:r>
      <w:r w:rsidR="001C27E3">
        <w:t>article </w:t>
      </w:r>
      <w:r w:rsidR="001A5190" w:rsidRPr="002D7E7C">
        <w:t>23</w:t>
      </w:r>
      <w:r w:rsidR="001A5190">
        <w:t xml:space="preserve"> of the Covenant.</w:t>
      </w:r>
      <w:r w:rsidR="00720D2F">
        <w:t xml:space="preserve"> </w:t>
      </w:r>
    </w:p>
    <w:p w:rsidR="0005385D" w:rsidRDefault="00F31478" w:rsidP="00E04F57">
      <w:pPr>
        <w:pStyle w:val="SingleTxtG"/>
      </w:pPr>
      <w:r>
        <w:t>6</w:t>
      </w:r>
      <w:r w:rsidR="000264AE">
        <w:t>.2</w:t>
      </w:r>
      <w:r w:rsidR="00D92634">
        <w:t>1</w:t>
      </w:r>
      <w:r w:rsidR="007957C6">
        <w:tab/>
      </w:r>
      <w:r w:rsidR="0005385D" w:rsidRPr="002D7E7C">
        <w:t xml:space="preserve">Article 24 </w:t>
      </w:r>
      <w:r w:rsidR="0027600B">
        <w:t>(</w:t>
      </w:r>
      <w:r w:rsidR="0005385D" w:rsidRPr="002D7E7C">
        <w:t>para</w:t>
      </w:r>
      <w:r w:rsidR="0027600B">
        <w:t>.</w:t>
      </w:r>
      <w:r w:rsidR="0005385D" w:rsidRPr="002D7E7C">
        <w:t xml:space="preserve"> 1</w:t>
      </w:r>
      <w:r w:rsidR="0027600B">
        <w:t>)</w:t>
      </w:r>
      <w:r w:rsidR="0005385D">
        <w:t xml:space="preserve"> does not define </w:t>
      </w:r>
      <w:r w:rsidR="0027600B">
        <w:t xml:space="preserve">what </w:t>
      </w:r>
      <w:r w:rsidR="0005385D">
        <w:t>protective measures are required by a child’s status as a minor. The State party has a wide range of legislative and other measures to ensure that children are protected by their f</w:t>
      </w:r>
      <w:r w:rsidR="00FA0C0C">
        <w:t>amilies, society and the State.</w:t>
      </w:r>
      <w:r w:rsidR="00354FE9">
        <w:t xml:space="preserve"> The best interest of the author’s 14</w:t>
      </w:r>
      <w:r w:rsidR="00E302DD">
        <w:t>-</w:t>
      </w:r>
      <w:r w:rsidR="00354FE9">
        <w:t>year-old daughter was taken into consideration by the Minister in making a decision to intervene in the case of the author’s family. In the author’s case, the existence of a</w:t>
      </w:r>
      <w:r w:rsidR="00EA4EA3">
        <w:t xml:space="preserve"> </w:t>
      </w:r>
      <w:r w:rsidR="00354FE9">
        <w:t xml:space="preserve">security assessment was also an entirely legitimate and primary consideration for the Minister to take into account in making </w:t>
      </w:r>
      <w:r w:rsidR="006C7592">
        <w:t>the</w:t>
      </w:r>
      <w:r w:rsidR="00354FE9">
        <w:t xml:space="preserve"> decision. </w:t>
      </w:r>
      <w:r w:rsidR="006C7592">
        <w:t>T</w:t>
      </w:r>
      <w:r w:rsidR="00354FE9">
        <w:t xml:space="preserve">he Minister’s decision to grant the author’s wife and his non-Australian son a permanent visa </w:t>
      </w:r>
      <w:r w:rsidR="00CD7257">
        <w:t>ensured</w:t>
      </w:r>
      <w:r w:rsidR="00354FE9">
        <w:t xml:space="preserve"> that the author’s 14-year-old daughter was able to remain under the care of her mother and with her </w:t>
      </w:r>
      <w:r w:rsidR="00354FE9">
        <w:lastRenderedPageBreak/>
        <w:t xml:space="preserve">siblings in Australia, or to reside with both parents (or the entire family) in </w:t>
      </w:r>
      <w:r w:rsidR="000A27C2">
        <w:t>the Islamic Republic of Iran</w:t>
      </w:r>
      <w:r w:rsidR="00354FE9">
        <w:t xml:space="preserve"> if the family members so chose.</w:t>
      </w:r>
    </w:p>
    <w:p w:rsidR="00354FE9" w:rsidRDefault="00F31478" w:rsidP="00516D64">
      <w:pPr>
        <w:pStyle w:val="SingleTxtG"/>
      </w:pPr>
      <w:r>
        <w:t>6</w:t>
      </w:r>
      <w:r w:rsidR="000264AE">
        <w:t>.2</w:t>
      </w:r>
      <w:r w:rsidR="00D92634">
        <w:t>2</w:t>
      </w:r>
      <w:r w:rsidR="007957C6">
        <w:tab/>
      </w:r>
      <w:r w:rsidR="00354FE9">
        <w:t xml:space="preserve">Even though the author contends that it would not be in the best interest of the minor child to live in </w:t>
      </w:r>
      <w:r w:rsidR="000A27C2">
        <w:t>the Islamic Republic of Iran</w:t>
      </w:r>
      <w:r w:rsidR="00354FE9">
        <w:t xml:space="preserve"> in the event that the family decided (as they have done) that she should reside </w:t>
      </w:r>
      <w:r w:rsidR="006C7592">
        <w:t>there</w:t>
      </w:r>
      <w:r w:rsidR="00354FE9">
        <w:t xml:space="preserve">, there is nothing to suggest that this would amount to a failure by the State party to provide her with the necessary measures of protection under </w:t>
      </w:r>
      <w:r w:rsidR="001C27E3">
        <w:t>article </w:t>
      </w:r>
      <w:r w:rsidR="00354FE9">
        <w:t xml:space="preserve">24. </w:t>
      </w:r>
    </w:p>
    <w:p w:rsidR="001C5F72" w:rsidRDefault="00F31478" w:rsidP="00E037D0">
      <w:pPr>
        <w:pStyle w:val="SingleTxtG"/>
      </w:pPr>
      <w:r>
        <w:t>6</w:t>
      </w:r>
      <w:r w:rsidR="000264AE">
        <w:t>.2</w:t>
      </w:r>
      <w:r w:rsidR="00D92634">
        <w:t>3</w:t>
      </w:r>
      <w:r w:rsidR="007957C6">
        <w:tab/>
      </w:r>
      <w:r w:rsidR="001C5F72">
        <w:t xml:space="preserve">The State party notes that the remedies sought by the author are based on the same flawed legal and factual assumptions </w:t>
      </w:r>
      <w:r w:rsidR="00EA6C32">
        <w:t xml:space="preserve">that it </w:t>
      </w:r>
      <w:r w:rsidR="001C5F72">
        <w:t xml:space="preserve">noted in its observations. The State party considers that fair hearing protections in this case were afforded to the extent required under </w:t>
      </w:r>
      <w:r w:rsidR="001C27E3">
        <w:t>article </w:t>
      </w:r>
      <w:r w:rsidR="001C5F72">
        <w:t xml:space="preserve">13. With respect to the request to be provided with specific information as to the allegation of threat to national security, the State party notes that this directly seeks the divulgence of information the confidentiality of which has been found under Australian law to be necessary to protect national security. </w:t>
      </w:r>
      <w:r w:rsidR="00486E89">
        <w:t xml:space="preserve">The State party also considers that remedies involving a change in legislation to avoid future violations are not adapted to individual communications. </w:t>
      </w:r>
    </w:p>
    <w:p w:rsidR="00F31478" w:rsidRPr="00F31478" w:rsidRDefault="000E5008" w:rsidP="00FF59AA">
      <w:pPr>
        <w:pStyle w:val="H23G"/>
      </w:pPr>
      <w:r>
        <w:tab/>
      </w:r>
      <w:r>
        <w:tab/>
      </w:r>
      <w:r w:rsidR="00F31478" w:rsidRPr="00F31478">
        <w:t xml:space="preserve">Author’s comments </w:t>
      </w:r>
      <w:r w:rsidR="00D92634">
        <w:t>on</w:t>
      </w:r>
      <w:r w:rsidR="00F31478" w:rsidRPr="00F31478">
        <w:t xml:space="preserve"> the State party’s observations</w:t>
      </w:r>
    </w:p>
    <w:p w:rsidR="00F31478" w:rsidRDefault="00F31478" w:rsidP="00082C9C">
      <w:pPr>
        <w:pStyle w:val="SingleTxtG"/>
      </w:pPr>
      <w:r>
        <w:t>7.1</w:t>
      </w:r>
      <w:r>
        <w:tab/>
        <w:t>On 6 June 2011, the author note</w:t>
      </w:r>
      <w:r w:rsidR="00B431E3">
        <w:t>d</w:t>
      </w:r>
      <w:r>
        <w:t xml:space="preserve"> that it remain</w:t>
      </w:r>
      <w:r w:rsidR="00B431E3">
        <w:t>ed</w:t>
      </w:r>
      <w:r>
        <w:t xml:space="preserve"> unknown whether and </w:t>
      </w:r>
      <w:r w:rsidR="00B431E3">
        <w:t>to what extent</w:t>
      </w:r>
      <w:r>
        <w:t xml:space="preserve"> probative evidence </w:t>
      </w:r>
      <w:r w:rsidR="00B431E3">
        <w:t xml:space="preserve">had been </w:t>
      </w:r>
      <w:r>
        <w:t xml:space="preserve">withheld from </w:t>
      </w:r>
      <w:r w:rsidR="00A577DA">
        <w:t>his</w:t>
      </w:r>
      <w:r>
        <w:t xml:space="preserve"> </w:t>
      </w:r>
      <w:r w:rsidR="004D4690">
        <w:t>legal representatives</w:t>
      </w:r>
      <w:r>
        <w:t xml:space="preserve"> in the proceedings. The Committee does not</w:t>
      </w:r>
      <w:r w:rsidR="00B431E3">
        <w:t>,</w:t>
      </w:r>
      <w:r>
        <w:t xml:space="preserve"> therefore</w:t>
      </w:r>
      <w:r w:rsidR="00B431E3">
        <w:t>,</w:t>
      </w:r>
      <w:r>
        <w:t xml:space="preserve"> have the benefit of scrutini</w:t>
      </w:r>
      <w:r w:rsidR="00B431E3">
        <w:t>z</w:t>
      </w:r>
      <w:r>
        <w:t xml:space="preserve">ing for itself any of the secret evidence withheld from the author personally. The State party has also not released any written records of any </w:t>
      </w:r>
      <w:r w:rsidR="009041E2">
        <w:t>Australian Security Intelligence Organisation</w:t>
      </w:r>
      <w:r>
        <w:t xml:space="preserve"> interviews with the author to evidence that it had informed him with any particularity of the nature of the allegations against him. As previously noted, the Federal Court itself did not independently test the evidence for its accuracy or reliability</w:t>
      </w:r>
      <w:r w:rsidR="009B05D7">
        <w:t>,</w:t>
      </w:r>
      <w:r>
        <w:t xml:space="preserve"> determine for itself whether expulsion was necessary for security reasons</w:t>
      </w:r>
      <w:r w:rsidR="009B05D7">
        <w:t>,</w:t>
      </w:r>
      <w:r>
        <w:t xml:space="preserve"> or determine for itself whether non-disclosure of certain evidence to the author was warranted or not. </w:t>
      </w:r>
      <w:r w:rsidR="003F16EB">
        <w:t>Rather, the Court was limited to a narrow review of the secret evidence on limited grounds of law</w:t>
      </w:r>
      <w:r w:rsidR="009B05D7">
        <w:t>,</w:t>
      </w:r>
      <w:r w:rsidR="003F16EB">
        <w:t xml:space="preserve"> not fact; and it could not step into the shoes of </w:t>
      </w:r>
      <w:r w:rsidR="009041E2">
        <w:t xml:space="preserve">the Australian Security Intelligence Organisation </w:t>
      </w:r>
      <w:r w:rsidR="003F16EB">
        <w:t xml:space="preserve">or the Department of Immigration and Citizenship to remake de novo the security assessment or the expulsion decision flowing from it. </w:t>
      </w:r>
    </w:p>
    <w:p w:rsidR="006E7BF0" w:rsidRDefault="008B242C" w:rsidP="009041E2">
      <w:pPr>
        <w:pStyle w:val="SingleTxtG"/>
      </w:pPr>
      <w:r>
        <w:t>7.2</w:t>
      </w:r>
      <w:r>
        <w:tab/>
        <w:t xml:space="preserve">As regards disclosure, the Federal Court </w:t>
      </w:r>
      <w:r w:rsidR="009B05D7">
        <w:t>did not assess</w:t>
      </w:r>
      <w:r>
        <w:t xml:space="preserve"> whether non-disclosure to the author was required but rather focused on the more limited question of whether the </w:t>
      </w:r>
      <w:r w:rsidR="009041E2">
        <w:t>Australian Security Intelligence Organisation</w:t>
      </w:r>
      <w:r>
        <w:t xml:space="preserve"> Director</w:t>
      </w:r>
      <w:r w:rsidR="000531C2">
        <w:t xml:space="preserve"> </w:t>
      </w:r>
      <w:r>
        <w:t>General had given personal genuine consideration to disclosure. Moreover, the Federal Court conceded that it lacked expertise to adequately review security information</w:t>
      </w:r>
      <w:r w:rsidR="009B05D7">
        <w:t>,</w:t>
      </w:r>
      <w:r>
        <w:t xml:space="preserve"> stating that “</w:t>
      </w:r>
      <w:r w:rsidR="009B05D7">
        <w:t>c</w:t>
      </w:r>
      <w:r>
        <w:t xml:space="preserve">ourts are ill-equipped to evaluate intelligence”. </w:t>
      </w:r>
    </w:p>
    <w:p w:rsidR="00EC766A" w:rsidRDefault="000264AE" w:rsidP="002B5605">
      <w:pPr>
        <w:pStyle w:val="SingleTxtG"/>
      </w:pPr>
      <w:r>
        <w:t>7.</w:t>
      </w:r>
      <w:r w:rsidR="002F7C45">
        <w:t>3</w:t>
      </w:r>
      <w:r w:rsidR="00EC766A">
        <w:tab/>
        <w:t xml:space="preserve">On </w:t>
      </w:r>
      <w:r w:rsidR="001C27E3">
        <w:t>article </w:t>
      </w:r>
      <w:r w:rsidR="00EC766A">
        <w:t xml:space="preserve">2 read in conjunction with </w:t>
      </w:r>
      <w:r w:rsidR="009B05D7">
        <w:t xml:space="preserve">article </w:t>
      </w:r>
      <w:r w:rsidR="00EC766A">
        <w:t xml:space="preserve">13, the author recalls the Committee’s </w:t>
      </w:r>
      <w:r w:rsidR="009B05D7">
        <w:t>g</w:t>
      </w:r>
      <w:r w:rsidR="00EC766A">
        <w:t xml:space="preserve">eneral </w:t>
      </w:r>
      <w:r w:rsidR="009B05D7">
        <w:t>c</w:t>
      </w:r>
      <w:r w:rsidR="00EC766A">
        <w:t>omment</w:t>
      </w:r>
      <w:r w:rsidR="00272BBA">
        <w:t xml:space="preserve"> No.</w:t>
      </w:r>
      <w:r w:rsidR="00EC766A">
        <w:t xml:space="preserve"> 15 </w:t>
      </w:r>
      <w:r w:rsidR="009B05D7">
        <w:t xml:space="preserve">(1986) </w:t>
      </w:r>
      <w:r w:rsidR="00272BBA">
        <w:t>on the position of aliens under the Covenant, in which it is stated</w:t>
      </w:r>
      <w:r w:rsidR="00EC766A">
        <w:t xml:space="preserve"> that article 13 applies equally to all aliens subject to expulsion proceedings and </w:t>
      </w:r>
      <w:r w:rsidR="00272BBA">
        <w:t xml:space="preserve">that </w:t>
      </w:r>
      <w:r w:rsidR="00EC766A">
        <w:t xml:space="preserve">discrimination may not be made between different categories of aliens in the application of </w:t>
      </w:r>
      <w:r w:rsidR="001C27E3">
        <w:t>article </w:t>
      </w:r>
      <w:r w:rsidR="00EC766A">
        <w:t>13</w:t>
      </w:r>
      <w:r w:rsidR="007A2A3A">
        <w:t>.</w:t>
      </w:r>
      <w:r w:rsidR="00EC766A">
        <w:rPr>
          <w:rStyle w:val="FootnoteReference"/>
        </w:rPr>
        <w:footnoteReference w:id="23"/>
      </w:r>
      <w:r w:rsidR="00EC766A">
        <w:t xml:space="preserve"> The State party differentiates between different categories of aliens in the provision of fair hearing rights concerning expulsion proceedings. </w:t>
      </w:r>
      <w:r w:rsidR="00A20E8E">
        <w:t xml:space="preserve">The conferral of statutory rights upon some persons and their withholding from others is a deliberate signal by the legislature that there is a difference in the recognition, status and treatment </w:t>
      </w:r>
      <w:r w:rsidR="00A40D8B">
        <w:t xml:space="preserve">afforded to </w:t>
      </w:r>
      <w:r w:rsidR="00A20E8E">
        <w:t>those groups.</w:t>
      </w:r>
    </w:p>
    <w:p w:rsidR="00A20E8E" w:rsidRDefault="000264AE" w:rsidP="00082C9C">
      <w:pPr>
        <w:pStyle w:val="SingleTxtG"/>
      </w:pPr>
      <w:r>
        <w:lastRenderedPageBreak/>
        <w:t>7.</w:t>
      </w:r>
      <w:r w:rsidR="002F7C45">
        <w:t>4</w:t>
      </w:r>
      <w:r w:rsidR="00952C7C">
        <w:tab/>
      </w:r>
      <w:r w:rsidR="00A20E8E">
        <w:t xml:space="preserve">There is a fundamental difference in the level of procedural protection accorded </w:t>
      </w:r>
      <w:r w:rsidR="00A40D8B">
        <w:t>in respect of the different groups,</w:t>
      </w:r>
      <w:r w:rsidR="005D01C5">
        <w:t xml:space="preserve"> depending on whether common law applies (</w:t>
      </w:r>
      <w:r w:rsidR="00A40D8B">
        <w:t>as in the author’s case</w:t>
      </w:r>
      <w:r w:rsidR="005D01C5">
        <w:t xml:space="preserve">) or the </w:t>
      </w:r>
      <w:r w:rsidR="009041E2">
        <w:t>Australian Security Intelligence Organisation</w:t>
      </w:r>
      <w:r w:rsidR="005D01C5">
        <w:t xml:space="preserve"> Act applies</w:t>
      </w:r>
      <w:r w:rsidR="00A20E8E">
        <w:t>. At common law, the agency</w:t>
      </w:r>
      <w:r w:rsidR="005D01C5">
        <w:t xml:space="preserve"> issuing the security assessment</w:t>
      </w:r>
      <w:r w:rsidR="009041E2">
        <w:t xml:space="preserve"> — the Australian Security Intelligence Organisation</w:t>
      </w:r>
      <w:r w:rsidR="005D01C5">
        <w:t xml:space="preserve"> </w:t>
      </w:r>
      <w:r w:rsidR="009041E2">
        <w:t>—</w:t>
      </w:r>
      <w:r w:rsidR="005D01C5">
        <w:t xml:space="preserve"> is the same body that takes the decision to withhold the reasons, information and evidence supporting it from the </w:t>
      </w:r>
      <w:r w:rsidR="00A40D8B">
        <w:t>person affected</w:t>
      </w:r>
      <w:r w:rsidR="005D01C5">
        <w:t xml:space="preserve">. In contrast, under the </w:t>
      </w:r>
      <w:r w:rsidR="009041E2">
        <w:t>Australian Security Intelligence Organisation</w:t>
      </w:r>
      <w:r w:rsidR="005D01C5">
        <w:t xml:space="preserve"> Act, the decision about non-disclosure is taken by a different actor, the Attorney</w:t>
      </w:r>
      <w:r w:rsidR="000531C2">
        <w:t xml:space="preserve"> </w:t>
      </w:r>
      <w:r w:rsidR="005D01C5">
        <w:t>General, from the body</w:t>
      </w:r>
      <w:r w:rsidR="00A2761A">
        <w:t xml:space="preserve"> —</w:t>
      </w:r>
      <w:r w:rsidR="005D01C5">
        <w:t xml:space="preserve"> </w:t>
      </w:r>
      <w:r w:rsidR="009041E2">
        <w:t xml:space="preserve">the Australian Security Intelligence Organisation </w:t>
      </w:r>
      <w:r w:rsidR="00A2761A">
        <w:t>—</w:t>
      </w:r>
      <w:r w:rsidR="005D01C5">
        <w:t xml:space="preserve"> </w:t>
      </w:r>
      <w:r w:rsidR="00A2761A">
        <w:t xml:space="preserve">that makes </w:t>
      </w:r>
      <w:r w:rsidR="005D01C5">
        <w:t>the security assessment. The former is an independent decision</w:t>
      </w:r>
      <w:r w:rsidR="005643C5">
        <w:t xml:space="preserve"> </w:t>
      </w:r>
      <w:r w:rsidR="005D01C5">
        <w:t xml:space="preserve">maker who is free to depart from a recommendation </w:t>
      </w:r>
      <w:r w:rsidR="005643C5">
        <w:t xml:space="preserve">made </w:t>
      </w:r>
      <w:r w:rsidR="005D01C5">
        <w:t xml:space="preserve">by </w:t>
      </w:r>
      <w:r w:rsidR="009041E2">
        <w:t>the Australian Security Intelligence Organisation</w:t>
      </w:r>
      <w:r w:rsidR="005D01C5">
        <w:t>. It is notable that common law rights are vulnerable to modification in the light of subsequent judicial decisions</w:t>
      </w:r>
      <w:r w:rsidR="005643C5">
        <w:t>,</w:t>
      </w:r>
      <w:r w:rsidR="005D01C5">
        <w:t xml:space="preserve"> whereas statutory rights can only be modified by a subsequent act of parliament.</w:t>
      </w:r>
    </w:p>
    <w:p w:rsidR="00DF252D" w:rsidRDefault="000264AE" w:rsidP="009041E2">
      <w:pPr>
        <w:pStyle w:val="SingleTxtG"/>
      </w:pPr>
      <w:r>
        <w:t>7.</w:t>
      </w:r>
      <w:r w:rsidR="007957C6">
        <w:t>5</w:t>
      </w:r>
      <w:r w:rsidR="00952C7C">
        <w:tab/>
      </w:r>
      <w:r w:rsidR="005D01C5">
        <w:t xml:space="preserve">On national origin, the overwhelming majority of persons comprising the group not entitled to statutory procedural fairness under the </w:t>
      </w:r>
      <w:r w:rsidR="009041E2">
        <w:t>Australian Security Intelligence Organisation</w:t>
      </w:r>
      <w:r w:rsidR="005D01C5">
        <w:t xml:space="preserve"> Act will possess a national origin that is foreign and not Australian. As for the “other status”, the group in question is sufficiently distinctive and identifiable because of </w:t>
      </w:r>
      <w:r w:rsidR="005643C5">
        <w:t xml:space="preserve">its </w:t>
      </w:r>
      <w:r w:rsidR="005D01C5">
        <w:t xml:space="preserve">lack of connection to the Australian community, arising from </w:t>
      </w:r>
      <w:r w:rsidR="005643C5">
        <w:t xml:space="preserve">its </w:t>
      </w:r>
      <w:r w:rsidR="005D01C5">
        <w:t>migration status, compared with th</w:t>
      </w:r>
      <w:r w:rsidR="00790D1B">
        <w:t>e</w:t>
      </w:r>
      <w:r w:rsidR="005D01C5">
        <w:t xml:space="preserve"> greater bonds of attachment of the privileged group</w:t>
      </w:r>
      <w:r w:rsidR="0084549A">
        <w:t xml:space="preserve">. </w:t>
      </w:r>
    </w:p>
    <w:p w:rsidR="006E7BF0" w:rsidRDefault="000264AE" w:rsidP="00D77067">
      <w:pPr>
        <w:pStyle w:val="SingleTxtG"/>
      </w:pPr>
      <w:r>
        <w:t>7.</w:t>
      </w:r>
      <w:r w:rsidR="007957C6">
        <w:t>6</w:t>
      </w:r>
      <w:r w:rsidR="007957C6">
        <w:tab/>
      </w:r>
      <w:r w:rsidR="005E2CB3">
        <w:t>The author also disagrees that he has failed to exhaust domestic remedies concerning national origin discrimination. An action is only available under section</w:t>
      </w:r>
      <w:r w:rsidR="00904A8A">
        <w:t xml:space="preserve"> </w:t>
      </w:r>
      <w:r w:rsidR="005E2CB3">
        <w:t xml:space="preserve">10 of the </w:t>
      </w:r>
      <w:r w:rsidR="00301923">
        <w:t>Racial Discrimination Act</w:t>
      </w:r>
      <w:r w:rsidR="005E2CB3">
        <w:t xml:space="preserve"> where a person of a “particular” national origin does not enjoy a right or enjoys a less extensive right than a person of another </w:t>
      </w:r>
      <w:r w:rsidR="006E7BF0">
        <w:t>national origin. In contrast, articles 2 and 26 of the Covenant do not qualify or limit the protected ground of national origin by requiring the specification of a “particular” national origin group.</w:t>
      </w:r>
      <w:r w:rsidR="00DF3D75">
        <w:t xml:space="preserve"> </w:t>
      </w:r>
      <w:r w:rsidR="006E7BF0">
        <w:t xml:space="preserve">Moreover, the author is no longer physically in Australia and can therefore not exhaust any other remedy. </w:t>
      </w:r>
    </w:p>
    <w:p w:rsidR="001C5F72" w:rsidRDefault="000264AE" w:rsidP="005C2CFC">
      <w:pPr>
        <w:pStyle w:val="SingleTxtG"/>
      </w:pPr>
      <w:r>
        <w:t>7.</w:t>
      </w:r>
      <w:r w:rsidR="007957C6">
        <w:t>7</w:t>
      </w:r>
      <w:r w:rsidR="00952C7C">
        <w:tab/>
      </w:r>
      <w:r w:rsidR="006E7BF0">
        <w:t xml:space="preserve">With regard to </w:t>
      </w:r>
      <w:r w:rsidR="001C27E3">
        <w:t>article </w:t>
      </w:r>
      <w:r w:rsidR="006E7BF0">
        <w:t xml:space="preserve">13, the author considers that his case is distinguishable from the case of </w:t>
      </w:r>
      <w:r w:rsidR="006E7BF0" w:rsidRPr="0010512A">
        <w:rPr>
          <w:i/>
        </w:rPr>
        <w:t xml:space="preserve">Alzery </w:t>
      </w:r>
      <w:r w:rsidR="006E7BF0" w:rsidRPr="00FF59AA">
        <w:rPr>
          <w:iCs/>
        </w:rPr>
        <w:t>v.</w:t>
      </w:r>
      <w:r w:rsidR="006E7BF0" w:rsidRPr="0010512A">
        <w:rPr>
          <w:i/>
        </w:rPr>
        <w:t xml:space="preserve"> Sweden</w:t>
      </w:r>
      <w:r w:rsidR="006E7BF0">
        <w:t xml:space="preserve"> </w:t>
      </w:r>
      <w:r w:rsidR="00904A8A">
        <w:t>decided earlier</w:t>
      </w:r>
      <w:r w:rsidR="006E7BF0">
        <w:t xml:space="preserve"> by the Committee. In the latter case, there was evidence on the public record as to the person’s involvement with an organi</w:t>
      </w:r>
      <w:r w:rsidR="00904A8A">
        <w:t>z</w:t>
      </w:r>
      <w:r w:rsidR="006E7BF0">
        <w:t>ed militant group</w:t>
      </w:r>
      <w:r w:rsidR="00904A8A">
        <w:t>,</w:t>
      </w:r>
      <w:r w:rsidR="006E7BF0">
        <w:t xml:space="preserve"> whereas no risks have been publicly disclosed in respect of the author and the basis of his security assessment cannot be surmised. </w:t>
      </w:r>
      <w:r w:rsidR="00C14994">
        <w:t xml:space="preserve">The issue of disclosure is not explicitly </w:t>
      </w:r>
      <w:r w:rsidR="005C2CFC">
        <w:t>addressed in</w:t>
      </w:r>
      <w:r w:rsidR="00C14994">
        <w:t xml:space="preserve"> </w:t>
      </w:r>
      <w:r w:rsidR="001C27E3">
        <w:t>article </w:t>
      </w:r>
      <w:r w:rsidR="00C14994">
        <w:t xml:space="preserve">13. The author contends that the separate requirement of expulsion “in accordance with law” includes an irreducible minimum disclosure of evidence to </w:t>
      </w:r>
      <w:r w:rsidR="006C0FE3">
        <w:t>a person affected</w:t>
      </w:r>
      <w:r w:rsidR="00C14994">
        <w:t xml:space="preserve">. That requirement is not subject to the national security exception in the second limb of </w:t>
      </w:r>
      <w:r w:rsidR="001C27E3">
        <w:t>article </w:t>
      </w:r>
      <w:r w:rsidR="00C14994">
        <w:t>13, although the degree of disclosure required already accommodates security concerns by only requiring a minimum level of disclosure whil</w:t>
      </w:r>
      <w:r w:rsidR="006C0FE3">
        <w:t>e</w:t>
      </w:r>
      <w:r w:rsidR="00C14994">
        <w:t xml:space="preserve"> still protecting classified information. </w:t>
      </w:r>
    </w:p>
    <w:p w:rsidR="00797A34" w:rsidRDefault="000264AE" w:rsidP="00E04F57">
      <w:pPr>
        <w:pStyle w:val="SingleTxtG"/>
      </w:pPr>
      <w:r>
        <w:t>7.</w:t>
      </w:r>
      <w:r w:rsidR="007957C6">
        <w:t>8</w:t>
      </w:r>
      <w:r w:rsidR="007957C6">
        <w:tab/>
      </w:r>
      <w:r w:rsidR="0010512A">
        <w:t>I</w:t>
      </w:r>
      <w:r w:rsidR="00797A34">
        <w:t xml:space="preserve">n the present case, the State party has not in fact excluded any of the three enumerated procedural protections which are subject to the national security exception under the second limb of </w:t>
      </w:r>
      <w:r w:rsidR="001C27E3">
        <w:t>article </w:t>
      </w:r>
      <w:r w:rsidR="00797A34">
        <w:t>13. It necessarily follows that the State party cannot exclude the implied duty of disclosure. Otherwise</w:t>
      </w:r>
      <w:r w:rsidR="00DE7AEC">
        <w:t>,</w:t>
      </w:r>
      <w:r w:rsidR="00797A34">
        <w:t xml:space="preserve"> the enumerated protections of </w:t>
      </w:r>
      <w:r w:rsidR="001C27E3">
        <w:t>article </w:t>
      </w:r>
      <w:r w:rsidR="00797A34">
        <w:t>13</w:t>
      </w:r>
      <w:r w:rsidR="00DE7AEC">
        <w:t>,</w:t>
      </w:r>
      <w:r w:rsidR="00797A34">
        <w:t xml:space="preserve"> which the State party has not excluded in the author’s case</w:t>
      </w:r>
      <w:r w:rsidR="00DE7AEC">
        <w:t>,</w:t>
      </w:r>
      <w:r w:rsidR="00797A34">
        <w:t xml:space="preserve"> become nothing more than a pretended protection</w:t>
      </w:r>
      <w:r w:rsidR="00DE7AEC">
        <w:t>,</w:t>
      </w:r>
      <w:r w:rsidR="00797A34">
        <w:t xml:space="preserve"> when in reality those protections are deprived of meaningful or effective content. In other words, it would be nonsensical to allow the author to challenge his expulsion and then have it reviewed by a merits tribunal and a court</w:t>
      </w:r>
      <w:r w:rsidR="005C2CFC">
        <w:t xml:space="preserve"> in circumstances</w:t>
      </w:r>
      <w:r w:rsidR="00797A34">
        <w:t xml:space="preserve"> where the person does not know the particulars or substance of the allegations against him. Where a State party does provide </w:t>
      </w:r>
      <w:r w:rsidR="00150C8C">
        <w:t>a person affected</w:t>
      </w:r>
      <w:r w:rsidR="00797A34">
        <w:t xml:space="preserve"> with an opportunity to submit reasons against his expulsion and to have the expulsion decision reviewed, the State party must provide sufficient disclosure to the </w:t>
      </w:r>
      <w:r w:rsidR="00150C8C">
        <w:t>person affected</w:t>
      </w:r>
      <w:r w:rsidR="00797A34">
        <w:t xml:space="preserve"> to render such </w:t>
      </w:r>
      <w:r w:rsidR="00150C8C">
        <w:t xml:space="preserve">a </w:t>
      </w:r>
      <w:r w:rsidR="00797A34">
        <w:t xml:space="preserve">review effective and </w:t>
      </w:r>
      <w:r w:rsidR="00150C8C">
        <w:t xml:space="preserve">for it </w:t>
      </w:r>
      <w:r w:rsidR="00797A34">
        <w:t>not</w:t>
      </w:r>
      <w:r w:rsidR="00150C8C">
        <w:t xml:space="preserve"> to be</w:t>
      </w:r>
      <w:r w:rsidR="00797A34">
        <w:t xml:space="preserve"> a mere formality. In the alternative, if minimum requirements do not derive by implication from the three procedures enumerated in the second limb of </w:t>
      </w:r>
      <w:r w:rsidR="001C27E3">
        <w:t>article </w:t>
      </w:r>
      <w:r w:rsidR="00797A34">
        <w:t xml:space="preserve">13, then a </w:t>
      </w:r>
      <w:r w:rsidR="00797A34">
        <w:lastRenderedPageBreak/>
        <w:t xml:space="preserve">minimum disclosure is always required to ensure that an expulsion is made in accordance with law under the first limb of </w:t>
      </w:r>
      <w:r w:rsidR="001C27E3">
        <w:t>article </w:t>
      </w:r>
      <w:r w:rsidR="00797A34">
        <w:t>13.</w:t>
      </w:r>
    </w:p>
    <w:p w:rsidR="00487398" w:rsidRDefault="000264AE" w:rsidP="00E037D0">
      <w:pPr>
        <w:pStyle w:val="SingleTxtG"/>
      </w:pPr>
      <w:r>
        <w:t>7.</w:t>
      </w:r>
      <w:r w:rsidR="007957C6">
        <w:t>9</w:t>
      </w:r>
      <w:r w:rsidR="007957C6">
        <w:tab/>
      </w:r>
      <w:r w:rsidR="00077E96">
        <w:t>W</w:t>
      </w:r>
      <w:r w:rsidR="00C20962">
        <w:t xml:space="preserve">here adverse evidence against the author has not been disclosed to him, even in summary form, the Committee can have little confidence in the State party’s assertion that it has not acted in </w:t>
      </w:r>
      <w:r w:rsidR="00077E96">
        <w:t>bad faith or in an arbitrary fashion</w:t>
      </w:r>
      <w:r w:rsidR="00C20962">
        <w:t xml:space="preserve">. </w:t>
      </w:r>
      <w:r w:rsidR="009A155A">
        <w:t>In such circumstances, at the very least</w:t>
      </w:r>
      <w:r w:rsidR="00D009D3">
        <w:t>,</w:t>
      </w:r>
      <w:r w:rsidR="009A155A">
        <w:t xml:space="preserve"> the onus should shift to the State party to demonstrate, through the provision of evidence directly to the Committee (such as in closed session, or otherwise in confidence)</w:t>
      </w:r>
      <w:r w:rsidR="00D009D3">
        <w:t>,</w:t>
      </w:r>
      <w:r w:rsidR="009A155A">
        <w:t xml:space="preserve"> that its decision is not in bad faith or an abuse of power. Otherwise, the Committee is left with an assertion by national institutions that they have not acted in bad faith or unreasonably, in circumstances where the affected person cannot participate in testing those assertions.</w:t>
      </w:r>
      <w:r w:rsidR="00A50D62">
        <w:t xml:space="preserve"> </w:t>
      </w:r>
    </w:p>
    <w:p w:rsidR="002F2C0E" w:rsidRDefault="00952C7C" w:rsidP="002D4C56">
      <w:pPr>
        <w:pStyle w:val="SingleTxtG"/>
      </w:pPr>
      <w:r>
        <w:t>7.1</w:t>
      </w:r>
      <w:r w:rsidR="007957C6">
        <w:t>0</w:t>
      </w:r>
      <w:r w:rsidR="007957C6">
        <w:tab/>
      </w:r>
      <w:r w:rsidR="0010512A">
        <w:t>T</w:t>
      </w:r>
      <w:r w:rsidR="002F2C0E">
        <w:t>he expression “in accordance with law</w:t>
      </w:r>
      <w:r w:rsidR="0010512A">
        <w:t>”</w:t>
      </w:r>
      <w:r w:rsidR="002F2C0E">
        <w:t xml:space="preserve"> in </w:t>
      </w:r>
      <w:r w:rsidR="001C27E3">
        <w:t>article </w:t>
      </w:r>
      <w:r w:rsidR="002F2C0E">
        <w:t>13 encompasses a number of elements: concordance with domestic law (substantive and procedural) and the Covenant; and wider notions of legality and due process of law. In communications to date, the Committee has not had to consider the latter meaning. Ambiguity in the expression can be resolved in part by reference to relevant supplementary materials</w:t>
      </w:r>
      <w:r w:rsidR="00D009D3">
        <w:t>,</w:t>
      </w:r>
      <w:r w:rsidR="002F2C0E">
        <w:t xml:space="preserve"> such as </w:t>
      </w:r>
      <w:r w:rsidR="001C27E3">
        <w:t>article </w:t>
      </w:r>
      <w:r w:rsidR="002F2C0E">
        <w:t>32</w:t>
      </w:r>
      <w:r w:rsidR="00D009D3">
        <w:t xml:space="preserve"> </w:t>
      </w:r>
      <w:r w:rsidR="002F2C0E">
        <w:t xml:space="preserve">(2) of the 1951 </w:t>
      </w:r>
      <w:r w:rsidR="00D009D3">
        <w:t>Convention relating to the status of refugees</w:t>
      </w:r>
      <w:r w:rsidR="002F2C0E">
        <w:t xml:space="preserve"> and </w:t>
      </w:r>
      <w:r w:rsidR="001C27E3">
        <w:t>article </w:t>
      </w:r>
      <w:r w:rsidR="002F2C0E">
        <w:t>1</w:t>
      </w:r>
      <w:r w:rsidR="00D009D3">
        <w:t xml:space="preserve"> </w:t>
      </w:r>
      <w:r w:rsidR="002F2C0E">
        <w:t>(1) of Protocol</w:t>
      </w:r>
      <w:r w:rsidR="001C27E3">
        <w:t xml:space="preserve"> No. </w:t>
      </w:r>
      <w:r w:rsidR="002F2C0E">
        <w:t>7 to the European Convention on Human Rights. The former states</w:t>
      </w:r>
      <w:r w:rsidR="00D009D3">
        <w:t>,</w:t>
      </w:r>
      <w:r w:rsidR="002F2C0E">
        <w:t xml:space="preserve"> in its first limb</w:t>
      </w:r>
      <w:r w:rsidR="00D009D3">
        <w:t>,</w:t>
      </w:r>
      <w:r w:rsidR="002F2C0E">
        <w:t xml:space="preserve"> that “the expulsion of such a refugee</w:t>
      </w:r>
      <w:r w:rsidR="00BA52BA">
        <w:t>”,</w:t>
      </w:r>
      <w:r w:rsidR="002F2C0E">
        <w:t xml:space="preserve"> on national security or public order grounds</w:t>
      </w:r>
      <w:r w:rsidR="00BA52BA">
        <w:t>,</w:t>
      </w:r>
      <w:r w:rsidR="002F2C0E">
        <w:t xml:space="preserve"> </w:t>
      </w:r>
      <w:r w:rsidR="00BA52BA">
        <w:t>“</w:t>
      </w:r>
      <w:r w:rsidR="002F2C0E">
        <w:t xml:space="preserve">shall </w:t>
      </w:r>
      <w:r w:rsidR="00D009D3">
        <w:t xml:space="preserve">only </w:t>
      </w:r>
      <w:r w:rsidR="002F2C0E">
        <w:t xml:space="preserve">be in pursuance of a decision reached in accordance </w:t>
      </w:r>
      <w:r w:rsidR="002F2C0E" w:rsidRPr="002D4C56">
        <w:t xml:space="preserve">with </w:t>
      </w:r>
      <w:r w:rsidR="002F2C0E" w:rsidRPr="00FF59AA">
        <w:t>due process of law</w:t>
      </w:r>
      <w:r w:rsidR="002F2C0E" w:rsidRPr="002D4C56">
        <w:t xml:space="preserve">”. </w:t>
      </w:r>
      <w:r w:rsidR="001B56EE" w:rsidRPr="002C7A19">
        <w:t>The</w:t>
      </w:r>
      <w:r w:rsidR="001B56EE">
        <w:t xml:space="preserve"> notion of “in accordance with law” properly interpreted as “due process” of law accordingly requires that a person have knowledge of the case against them, which in turn requires the disclosure of sufficient particular information or evidence.</w:t>
      </w:r>
    </w:p>
    <w:p w:rsidR="00797A34" w:rsidRDefault="00952C7C" w:rsidP="002D4C56">
      <w:pPr>
        <w:pStyle w:val="SingleTxtG"/>
      </w:pPr>
      <w:r>
        <w:t>7.1</w:t>
      </w:r>
      <w:r w:rsidR="007957C6">
        <w:t>1</w:t>
      </w:r>
      <w:r w:rsidR="007957C6">
        <w:tab/>
      </w:r>
      <w:r w:rsidR="00CE3E43">
        <w:t xml:space="preserve">In </w:t>
      </w:r>
      <w:r w:rsidR="00DC31A3" w:rsidRPr="00287C91">
        <w:rPr>
          <w:i/>
          <w:iCs/>
        </w:rPr>
        <w:t xml:space="preserve">Ahani </w:t>
      </w:r>
      <w:r w:rsidR="00DC31A3" w:rsidRPr="00FF59AA">
        <w:t>v.</w:t>
      </w:r>
      <w:r w:rsidR="00DC31A3" w:rsidRPr="00287C91">
        <w:rPr>
          <w:i/>
          <w:iCs/>
        </w:rPr>
        <w:t xml:space="preserve"> Canada</w:t>
      </w:r>
      <w:r w:rsidR="00CE3E43">
        <w:t xml:space="preserve">, the author was provided with a summary redacted for security concerns reasonably informing him of the claims made against him. Such disclosure was critical </w:t>
      </w:r>
      <w:r w:rsidR="00DC31A3">
        <w:t>to the acceptance by the Committee</w:t>
      </w:r>
      <w:r w:rsidR="00CE3E43">
        <w:t xml:space="preserve"> that the procedure </w:t>
      </w:r>
      <w:r w:rsidR="00DC31A3">
        <w:t xml:space="preserve">had </w:t>
      </w:r>
      <w:r w:rsidR="00CE3E43">
        <w:t xml:space="preserve">complied with </w:t>
      </w:r>
      <w:r w:rsidR="001C27E3">
        <w:t>article </w:t>
      </w:r>
      <w:r w:rsidR="00CE3E43">
        <w:t>13. In the present case, this has not happened</w:t>
      </w:r>
      <w:r w:rsidR="007A2A3A">
        <w:t>.</w:t>
      </w:r>
      <w:r w:rsidR="00793824">
        <w:rPr>
          <w:rStyle w:val="FootnoteReference"/>
        </w:rPr>
        <w:footnoteReference w:id="24"/>
      </w:r>
      <w:r w:rsidR="00CE3E43">
        <w:t xml:space="preserve"> </w:t>
      </w:r>
      <w:r w:rsidR="0090328C">
        <w:t>In addition, the Committee found</w:t>
      </w:r>
      <w:r w:rsidR="00DC31A3">
        <w:t>,</w:t>
      </w:r>
      <w:r w:rsidR="0090328C">
        <w:t xml:space="preserve"> in the </w:t>
      </w:r>
      <w:r w:rsidR="0090328C" w:rsidRPr="0090328C">
        <w:rPr>
          <w:i/>
        </w:rPr>
        <w:t xml:space="preserve">Ahani </w:t>
      </w:r>
      <w:r w:rsidR="0090328C" w:rsidRPr="00FF59AA">
        <w:rPr>
          <w:iCs/>
        </w:rPr>
        <w:t>case</w:t>
      </w:r>
      <w:r w:rsidR="00DC31A3">
        <w:rPr>
          <w:iCs/>
        </w:rPr>
        <w:t>,</w:t>
      </w:r>
      <w:r w:rsidR="0090328C" w:rsidRPr="00326546">
        <w:rPr>
          <w:iCs/>
        </w:rPr>
        <w:t xml:space="preserve"> that the subsequent</w:t>
      </w:r>
      <w:r w:rsidR="0090328C">
        <w:t xml:space="preserve"> decision by the Canadian Minister of Citizenship and Immigration </w:t>
      </w:r>
      <w:r w:rsidR="00DC31A3">
        <w:t xml:space="preserve">had been </w:t>
      </w:r>
      <w:r w:rsidR="0090328C">
        <w:t>faulty</w:t>
      </w:r>
      <w:r w:rsidR="00DC31A3">
        <w:t>,</w:t>
      </w:r>
      <w:r w:rsidR="0090328C">
        <w:t xml:space="preserve"> for unfairness</w:t>
      </w:r>
      <w:r w:rsidR="00DC31A3">
        <w:t>,</w:t>
      </w:r>
      <w:r w:rsidR="0090328C">
        <w:t xml:space="preserve"> as the author had not been provid</w:t>
      </w:r>
      <w:r w:rsidR="00B31A17">
        <w:t xml:space="preserve">ed with </w:t>
      </w:r>
      <w:r w:rsidR="0090328C">
        <w:t>th</w:t>
      </w:r>
      <w:r w:rsidR="00B31A17">
        <w:t>e</w:t>
      </w:r>
      <w:r w:rsidR="0090328C">
        <w:t xml:space="preserve"> full materials on which the Minister </w:t>
      </w:r>
      <w:r w:rsidR="00DC31A3">
        <w:t xml:space="preserve">had </w:t>
      </w:r>
      <w:r w:rsidR="0090328C">
        <w:t>based his or her decision</w:t>
      </w:r>
      <w:r w:rsidR="00DC31A3">
        <w:t>, nor with</w:t>
      </w:r>
      <w:r w:rsidR="0090328C">
        <w:t xml:space="preserve"> an opportunity to comment in writing thereon</w:t>
      </w:r>
      <w:r w:rsidR="007A2A3A">
        <w:t>.</w:t>
      </w:r>
      <w:r w:rsidR="0090328C">
        <w:rPr>
          <w:rStyle w:val="FootnoteReference"/>
        </w:rPr>
        <w:footnoteReference w:id="25"/>
      </w:r>
      <w:r w:rsidR="0090328C">
        <w:t xml:space="preserve"> </w:t>
      </w:r>
    </w:p>
    <w:p w:rsidR="001A4193" w:rsidRDefault="00952C7C" w:rsidP="00082C9C">
      <w:pPr>
        <w:pStyle w:val="SingleTxtG"/>
      </w:pPr>
      <w:r>
        <w:t>7.1</w:t>
      </w:r>
      <w:r w:rsidR="007957C6">
        <w:t>2</w:t>
      </w:r>
      <w:r w:rsidR="007957C6">
        <w:tab/>
      </w:r>
      <w:r w:rsidR="001A4193">
        <w:t xml:space="preserve">In 2011, the Australian Human Rights Commission </w:t>
      </w:r>
      <w:r w:rsidR="00A20E8E">
        <w:t xml:space="preserve">expressed concern about the lack of transparency surrounding security assessments issued by </w:t>
      </w:r>
      <w:r w:rsidR="009041E2">
        <w:t>the Australian Security Intelligence Organisation</w:t>
      </w:r>
      <w:r w:rsidR="00A20E8E">
        <w:t xml:space="preserve">, particularly the withholding of any statement setting out information that </w:t>
      </w:r>
      <w:r w:rsidR="009041E2">
        <w:t xml:space="preserve">the Australian Security Intelligence Organisation </w:t>
      </w:r>
      <w:r w:rsidR="00A20E8E">
        <w:t xml:space="preserve">relied upon in making </w:t>
      </w:r>
      <w:r w:rsidR="00E822AD">
        <w:t>decisions</w:t>
      </w:r>
      <w:r w:rsidR="00A20E8E">
        <w:t xml:space="preserve"> and the consequent inability to effectively contest </w:t>
      </w:r>
      <w:r w:rsidR="00E822AD">
        <w:t>adverse assessments</w:t>
      </w:r>
      <w:r w:rsidR="007A2A3A">
        <w:t>.</w:t>
      </w:r>
      <w:r w:rsidR="00A20E8E">
        <w:rPr>
          <w:rStyle w:val="FootnoteReference"/>
        </w:rPr>
        <w:footnoteReference w:id="26"/>
      </w:r>
    </w:p>
    <w:p w:rsidR="00B30EFE" w:rsidRDefault="00952C7C" w:rsidP="002B5605">
      <w:pPr>
        <w:pStyle w:val="SingleTxtG"/>
      </w:pPr>
      <w:r>
        <w:t>7.1</w:t>
      </w:r>
      <w:r w:rsidR="007957C6">
        <w:t>3</w:t>
      </w:r>
      <w:r w:rsidR="007957C6">
        <w:tab/>
      </w:r>
      <w:r w:rsidR="00E822AD">
        <w:t>Given the absence of</w:t>
      </w:r>
      <w:r w:rsidR="00B30EFE">
        <w:t xml:space="preserve"> a fair hearing establishing by </w:t>
      </w:r>
      <w:r w:rsidR="00E822AD">
        <w:t xml:space="preserve">means of </w:t>
      </w:r>
      <w:r w:rsidR="00B30EFE">
        <w:t xml:space="preserve">evidence that the author is a national security risk to Australia, the State party has not presented an adequate, objective justification for any interference in the author’s family. The author </w:t>
      </w:r>
      <w:r w:rsidR="00E822AD">
        <w:t xml:space="preserve">also </w:t>
      </w:r>
      <w:r w:rsidR="00B30EFE">
        <w:t>considers that the hardship inflicted upon the four innocent members of the family clearly outweigh</w:t>
      </w:r>
      <w:r w:rsidR="00E822AD">
        <w:t>s</w:t>
      </w:r>
      <w:r w:rsidR="00B30EFE">
        <w:t xml:space="preserve"> the case for expulsion. Furthermore, the State party has not demonstrated that less invasive means of addressing any legitimate security concerns would b</w:t>
      </w:r>
      <w:r w:rsidR="00A70BA4">
        <w:t>e ineffecti</w:t>
      </w:r>
      <w:r w:rsidR="00B30EFE">
        <w:t xml:space="preserve">ve. </w:t>
      </w:r>
    </w:p>
    <w:p w:rsidR="0016271E" w:rsidRPr="00C106E6" w:rsidRDefault="000E5008" w:rsidP="00FF59AA">
      <w:pPr>
        <w:pStyle w:val="H23G"/>
      </w:pPr>
      <w:r>
        <w:lastRenderedPageBreak/>
        <w:tab/>
      </w:r>
      <w:r>
        <w:tab/>
      </w:r>
      <w:r w:rsidR="0016271E" w:rsidRPr="00C106E6">
        <w:t>Further submission from the State party</w:t>
      </w:r>
    </w:p>
    <w:p w:rsidR="0016271E" w:rsidRDefault="0016271E" w:rsidP="002D4C56">
      <w:pPr>
        <w:pStyle w:val="SingleTxtG"/>
      </w:pPr>
      <w:r>
        <w:t>8.1</w:t>
      </w:r>
      <w:r w:rsidR="007957C6">
        <w:tab/>
      </w:r>
      <w:r>
        <w:t xml:space="preserve">On 21 November 2013, the State party </w:t>
      </w:r>
      <w:r w:rsidR="00D92634">
        <w:t>reiterate</w:t>
      </w:r>
      <w:r w:rsidR="00E822AD">
        <w:t>d</w:t>
      </w:r>
      <w:r w:rsidR="007D34D3">
        <w:t xml:space="preserve"> that </w:t>
      </w:r>
      <w:r>
        <w:t xml:space="preserve">the author could have brought a complaint for racial discrimination under section 10 of the </w:t>
      </w:r>
      <w:r w:rsidR="00301923">
        <w:t>Racial Discrimination Act</w:t>
      </w:r>
      <w:r w:rsidR="00E822AD">
        <w:t>,</w:t>
      </w:r>
      <w:r>
        <w:t xml:space="preserve"> since the presence of the author overseas and </w:t>
      </w:r>
      <w:r w:rsidR="00E822AD">
        <w:t xml:space="preserve">the </w:t>
      </w:r>
      <w:r>
        <w:t>potential costs of litigation d</w:t>
      </w:r>
      <w:r w:rsidR="00E822AD">
        <w:t>id</w:t>
      </w:r>
      <w:r>
        <w:t xml:space="preserve"> not </w:t>
      </w:r>
      <w:r w:rsidR="00E822AD">
        <w:t xml:space="preserve">constitute </w:t>
      </w:r>
      <w:r>
        <w:t xml:space="preserve">sufficient grounds </w:t>
      </w:r>
      <w:r w:rsidR="00E822AD">
        <w:t xml:space="preserve">for </w:t>
      </w:r>
      <w:r>
        <w:t>exempt</w:t>
      </w:r>
      <w:r w:rsidR="00E822AD">
        <w:t>ing</w:t>
      </w:r>
      <w:r>
        <w:t xml:space="preserve"> the author from exhausting domestic remedies. </w:t>
      </w:r>
    </w:p>
    <w:p w:rsidR="0016271E" w:rsidRDefault="0016271E" w:rsidP="006514AF">
      <w:pPr>
        <w:pStyle w:val="SingleTxtG"/>
      </w:pPr>
      <w:r>
        <w:t>8.2</w:t>
      </w:r>
      <w:r w:rsidR="007957C6">
        <w:tab/>
      </w:r>
      <w:r w:rsidR="00E51102">
        <w:t xml:space="preserve">In relation to the author’s claim that </w:t>
      </w:r>
      <w:r w:rsidR="00B31A17">
        <w:t xml:space="preserve">the State party </w:t>
      </w:r>
      <w:r w:rsidR="00E51102">
        <w:t xml:space="preserve">has not in fact excluded any of the three enumerated procedural protections which are subject to the national security exception under the second limb of </w:t>
      </w:r>
      <w:r w:rsidR="001C27E3">
        <w:t>article </w:t>
      </w:r>
      <w:r w:rsidR="00E51102">
        <w:t>13 (see para. 7.8 above), the State party replies that it has indeed, only to the extent strictly necessary for the protection of national security, limited enjoy</w:t>
      </w:r>
      <w:r w:rsidR="006514AF">
        <w:t>ment</w:t>
      </w:r>
      <w:r w:rsidR="00E51102">
        <w:t xml:space="preserve"> to </w:t>
      </w:r>
      <w:r w:rsidR="00673F23">
        <w:t xml:space="preserve">the </w:t>
      </w:r>
      <w:r w:rsidR="00E51102">
        <w:t>fullest possible extent</w:t>
      </w:r>
      <w:r w:rsidR="006514AF">
        <w:t xml:space="preserve"> by the author of</w:t>
      </w:r>
      <w:r w:rsidR="00E51102">
        <w:t xml:space="preserve"> </w:t>
      </w:r>
      <w:r w:rsidR="00673F23">
        <w:t xml:space="preserve">his </w:t>
      </w:r>
      <w:r w:rsidR="00E51102">
        <w:t xml:space="preserve">ability to submit reasons </w:t>
      </w:r>
      <w:r w:rsidR="005002FC">
        <w:t>against</w:t>
      </w:r>
      <w:r w:rsidR="00E51102">
        <w:t xml:space="preserve"> his expulsion (because he did not have access to the specific reasons for the security assessment, which led to his expulsion, although his legal representatives at the time and the courts did). </w:t>
      </w:r>
      <w:r w:rsidR="00F11B85">
        <w:t>Further restricting</w:t>
      </w:r>
      <w:r w:rsidR="00E51102">
        <w:t xml:space="preserve"> his access to the procedural safeguards of </w:t>
      </w:r>
      <w:r w:rsidR="001C27E3">
        <w:t>article </w:t>
      </w:r>
      <w:r w:rsidR="00E51102">
        <w:t xml:space="preserve">13 would not have </w:t>
      </w:r>
      <w:r w:rsidR="005002FC">
        <w:t xml:space="preserve">been </w:t>
      </w:r>
      <w:r w:rsidR="00D92634">
        <w:t xml:space="preserve">necessary </w:t>
      </w:r>
      <w:r w:rsidR="00D92634" w:rsidRPr="00D92634">
        <w:t>for compelling reasons of national security</w:t>
      </w:r>
      <w:r w:rsidR="00E51102">
        <w:t>.</w:t>
      </w:r>
      <w:r w:rsidR="00B31A17">
        <w:t xml:space="preserve"> </w:t>
      </w:r>
    </w:p>
    <w:p w:rsidR="00932B4A" w:rsidRDefault="00932B4A" w:rsidP="002B5605">
      <w:pPr>
        <w:pStyle w:val="SingleTxtG"/>
      </w:pPr>
      <w:r>
        <w:t>8.3</w:t>
      </w:r>
      <w:r w:rsidR="007957C6">
        <w:tab/>
      </w:r>
      <w:r w:rsidR="00C106E6">
        <w:t xml:space="preserve">The State party </w:t>
      </w:r>
      <w:r w:rsidR="004B1BEB">
        <w:t>challenges</w:t>
      </w:r>
      <w:r w:rsidR="00C106E6">
        <w:t xml:space="preserve"> the author’s mischaracteri</w:t>
      </w:r>
      <w:r w:rsidR="0019310E">
        <w:t>z</w:t>
      </w:r>
      <w:r w:rsidR="00C106E6">
        <w:t>ation of the State party’s interpretation of the expression “in accordance with law”, which suggests that it excludes “due process” requirements. The State party’s view is that it refers to the domestic law of the State in question. In the Australian context, this comprises laws enacted by Parliament</w:t>
      </w:r>
      <w:r w:rsidR="0014193F">
        <w:t>,</w:t>
      </w:r>
      <w:r w:rsidR="00C106E6">
        <w:t xml:space="preserve"> and the common law, including those due process protections contained in both. </w:t>
      </w:r>
    </w:p>
    <w:p w:rsidR="00C106E6" w:rsidRDefault="00C106E6" w:rsidP="00E037D0">
      <w:pPr>
        <w:pStyle w:val="SingleTxtG"/>
      </w:pPr>
      <w:r>
        <w:t>8.4</w:t>
      </w:r>
      <w:r w:rsidR="007957C6">
        <w:tab/>
      </w:r>
      <w:r w:rsidR="007D34D3">
        <w:t>N</w:t>
      </w:r>
      <w:r>
        <w:t xml:space="preserve">othing in the Committee’s Views </w:t>
      </w:r>
      <w:r w:rsidR="00B31A17">
        <w:t xml:space="preserve">in </w:t>
      </w:r>
      <w:r w:rsidR="00B31A17" w:rsidRPr="00270911">
        <w:rPr>
          <w:i/>
        </w:rPr>
        <w:t xml:space="preserve">Ahani </w:t>
      </w:r>
      <w:r w:rsidR="00B31A17" w:rsidRPr="00FF59AA">
        <w:rPr>
          <w:iCs/>
        </w:rPr>
        <w:t>v.</w:t>
      </w:r>
      <w:r w:rsidR="00B31A17" w:rsidRPr="00270911">
        <w:rPr>
          <w:i/>
        </w:rPr>
        <w:t xml:space="preserve"> Canada</w:t>
      </w:r>
      <w:r w:rsidR="00B31A17">
        <w:t xml:space="preserve"> </w:t>
      </w:r>
      <w:r>
        <w:t xml:space="preserve">indicates a minimum procedural entitlement with respect to provision of information that cannot be excluded for compelling reasons of national security, or otherwise supports the conclusions claimed by the author. </w:t>
      </w:r>
    </w:p>
    <w:p w:rsidR="00A20E8E" w:rsidRPr="00FE1345" w:rsidRDefault="002D1058" w:rsidP="00F21691">
      <w:pPr>
        <w:pStyle w:val="SingleTxtG"/>
      </w:pPr>
      <w:r>
        <w:t>8.5</w:t>
      </w:r>
      <w:r>
        <w:tab/>
        <w:t xml:space="preserve">With regard to the author’s contention </w:t>
      </w:r>
      <w:r w:rsidR="00F21691">
        <w:t>in which he contrasts statutory rights and common law rights</w:t>
      </w:r>
      <w:r>
        <w:t xml:space="preserve">, the State party notes that both decisions of </w:t>
      </w:r>
      <w:r w:rsidR="00270911">
        <w:t>the Director</w:t>
      </w:r>
      <w:r w:rsidR="000531C2">
        <w:t xml:space="preserve"> </w:t>
      </w:r>
      <w:r w:rsidR="00270911">
        <w:t xml:space="preserve">General of </w:t>
      </w:r>
      <w:r w:rsidR="009041E2">
        <w:t xml:space="preserve">the Australian Security Intelligence Organisation </w:t>
      </w:r>
      <w:r>
        <w:t xml:space="preserve">and </w:t>
      </w:r>
      <w:r w:rsidR="006514AF">
        <w:t xml:space="preserve">decisions of </w:t>
      </w:r>
      <w:r>
        <w:t>the Attorney</w:t>
      </w:r>
      <w:r w:rsidR="000531C2">
        <w:t xml:space="preserve"> </w:t>
      </w:r>
      <w:r>
        <w:t xml:space="preserve">General are reviewable by the Federal Court. </w:t>
      </w:r>
      <w:r w:rsidR="00270911">
        <w:t xml:space="preserve">This provides a judicial safeguard to address concerns related to independent oversight. </w:t>
      </w:r>
    </w:p>
    <w:p w:rsidR="001E23FD" w:rsidRPr="0041431D" w:rsidRDefault="001E23FD" w:rsidP="001E23FD">
      <w:pPr>
        <w:pStyle w:val="H23G"/>
      </w:pPr>
      <w:r>
        <w:tab/>
      </w:r>
      <w:r>
        <w:tab/>
        <w:t>I</w:t>
      </w:r>
      <w:r w:rsidRPr="0041431D">
        <w:t>ssues and proceedings before the Committee</w:t>
      </w:r>
    </w:p>
    <w:p w:rsidR="001E23FD" w:rsidRPr="0041431D" w:rsidRDefault="001E23FD" w:rsidP="001E23FD">
      <w:pPr>
        <w:pStyle w:val="H4G"/>
        <w:ind w:right="0"/>
      </w:pPr>
      <w:r w:rsidRPr="0041431D">
        <w:tab/>
      </w:r>
      <w:r w:rsidRPr="0041431D">
        <w:tab/>
        <w:t>Consideration of admissibility</w:t>
      </w:r>
    </w:p>
    <w:p w:rsidR="001E23FD" w:rsidRPr="0041431D" w:rsidRDefault="007957C6" w:rsidP="002D4C56">
      <w:pPr>
        <w:pStyle w:val="SingleTxtG"/>
      </w:pPr>
      <w:r>
        <w:t>9</w:t>
      </w:r>
      <w:r w:rsidR="001E23FD" w:rsidRPr="0041431D">
        <w:t>.1</w:t>
      </w:r>
      <w:r w:rsidR="001E23FD" w:rsidRPr="0041431D">
        <w:tab/>
        <w:t>Before considering any claim contained in a communication, the Human Rights Committee must</w:t>
      </w:r>
      <w:r w:rsidR="002D4C56">
        <w:t xml:space="preserve"> decide</w:t>
      </w:r>
      <w:r w:rsidR="001E23FD" w:rsidRPr="0041431D">
        <w:t xml:space="preserve">, in accordance with rule 93 of its </w:t>
      </w:r>
      <w:r w:rsidR="002D4C56">
        <w:t>r</w:t>
      </w:r>
      <w:r w:rsidR="001E23FD" w:rsidRPr="0041431D">
        <w:t xml:space="preserve">ules of procedure, whether </w:t>
      </w:r>
      <w:r w:rsidR="002D4C56">
        <w:t>the communication</w:t>
      </w:r>
      <w:r w:rsidR="001E23FD" w:rsidRPr="0041431D">
        <w:t xml:space="preserve"> is admissible under the Optional Protocol to the Covenant.</w:t>
      </w:r>
    </w:p>
    <w:p w:rsidR="001E23FD" w:rsidRDefault="007957C6" w:rsidP="002D4C56">
      <w:pPr>
        <w:pStyle w:val="SingleTxtG"/>
      </w:pPr>
      <w:r>
        <w:t>9</w:t>
      </w:r>
      <w:r w:rsidR="001E23FD" w:rsidRPr="0041431D">
        <w:t>.2</w:t>
      </w:r>
      <w:r w:rsidR="001E23FD" w:rsidRPr="0041431D">
        <w:tab/>
      </w:r>
      <w:r w:rsidR="002D4C56">
        <w:t>A</w:t>
      </w:r>
      <w:r w:rsidR="001E23FD" w:rsidRPr="0041431D">
        <w:t xml:space="preserve">s required under article 5 </w:t>
      </w:r>
      <w:r w:rsidR="002D4C56">
        <w:t>(</w:t>
      </w:r>
      <w:r w:rsidR="001E23FD" w:rsidRPr="0041431D">
        <w:t>para</w:t>
      </w:r>
      <w:r w:rsidR="002D4C56">
        <w:t>.</w:t>
      </w:r>
      <w:r w:rsidR="001E23FD" w:rsidRPr="0041431D">
        <w:t xml:space="preserve"> 2</w:t>
      </w:r>
      <w:r w:rsidR="001E23FD">
        <w:t xml:space="preserve"> </w:t>
      </w:r>
      <w:r w:rsidR="001E23FD" w:rsidRPr="0041431D">
        <w:t>(a)</w:t>
      </w:r>
      <w:r w:rsidR="002D4C56">
        <w:t>)</w:t>
      </w:r>
      <w:r w:rsidR="001E23FD" w:rsidRPr="0041431D">
        <w:t xml:space="preserve"> of the Optional Protocol, </w:t>
      </w:r>
      <w:r w:rsidR="002D4C56">
        <w:t xml:space="preserve">the Committee has ascertained </w:t>
      </w:r>
      <w:r w:rsidR="001E23FD" w:rsidRPr="0041431D">
        <w:t xml:space="preserve">that the same matter is not being examined under another procedure of international investigation or settlement. </w:t>
      </w:r>
    </w:p>
    <w:p w:rsidR="006B60D5" w:rsidRDefault="007957C6" w:rsidP="00561914">
      <w:pPr>
        <w:pStyle w:val="SingleTxtG"/>
      </w:pPr>
      <w:r>
        <w:t>9</w:t>
      </w:r>
      <w:r w:rsidR="001E23FD">
        <w:t>.3</w:t>
      </w:r>
      <w:r w:rsidR="001E23FD">
        <w:tab/>
      </w:r>
      <w:r w:rsidR="001E23FD" w:rsidRPr="00D430EB">
        <w:t>The Committee notes the State party</w:t>
      </w:r>
      <w:r w:rsidR="00521B1A">
        <w:t>’s</w:t>
      </w:r>
      <w:r w:rsidR="001E23FD" w:rsidRPr="00D430EB">
        <w:t xml:space="preserve"> </w:t>
      </w:r>
      <w:r w:rsidR="00C55ACA">
        <w:t>challenge</w:t>
      </w:r>
      <w:r w:rsidR="00521B1A">
        <w:t xml:space="preserve"> to</w:t>
      </w:r>
      <w:r w:rsidR="006B60D5">
        <w:t xml:space="preserve"> the</w:t>
      </w:r>
      <w:r w:rsidR="00C55ACA">
        <w:t xml:space="preserve"> admissibility </w:t>
      </w:r>
      <w:r w:rsidR="006B60D5">
        <w:t xml:space="preserve">of the author’s allegations of </w:t>
      </w:r>
      <w:r w:rsidR="006B60D5" w:rsidRPr="00332966">
        <w:t>discrimination</w:t>
      </w:r>
      <w:r w:rsidR="00270911" w:rsidRPr="00332966">
        <w:t xml:space="preserve">, </w:t>
      </w:r>
      <w:r w:rsidR="00332966">
        <w:t>among other things</w:t>
      </w:r>
      <w:r w:rsidR="00270911" w:rsidRPr="00332966">
        <w:t xml:space="preserve"> for failure</w:t>
      </w:r>
      <w:r w:rsidR="00270911">
        <w:t xml:space="preserve"> to exhaust domestic remedies</w:t>
      </w:r>
      <w:r w:rsidR="006B60D5">
        <w:t xml:space="preserve">. </w:t>
      </w:r>
      <w:r w:rsidR="00270911">
        <w:t xml:space="preserve">It notes in this respect the State party’s arguments that </w:t>
      </w:r>
      <w:r w:rsidR="00270911" w:rsidRPr="00270911">
        <w:t>the author could have brought a complaint for racial discriminat</w:t>
      </w:r>
      <w:r w:rsidR="00270911">
        <w:t xml:space="preserve">ion under section 10 of the </w:t>
      </w:r>
      <w:r w:rsidR="00301923">
        <w:t>Racial Discrimination Act</w:t>
      </w:r>
      <w:r w:rsidR="00270911">
        <w:t xml:space="preserve">. The Committee notes the argument of the author that he could not have recourse to such </w:t>
      </w:r>
      <w:r w:rsidR="00332966">
        <w:t xml:space="preserve">a </w:t>
      </w:r>
      <w:r w:rsidR="00270911">
        <w:t xml:space="preserve">remedy after his expulsion to </w:t>
      </w:r>
      <w:r w:rsidR="000A27C2">
        <w:t>the Islamic Republic of Iran</w:t>
      </w:r>
      <w:r w:rsidR="00270911">
        <w:t xml:space="preserve">. The Committee </w:t>
      </w:r>
      <w:r w:rsidR="00332966">
        <w:t>also notes</w:t>
      </w:r>
      <w:r w:rsidR="00270911">
        <w:t xml:space="preserve"> the State party’s counterargument that </w:t>
      </w:r>
      <w:r w:rsidR="00270911" w:rsidRPr="00270911">
        <w:t xml:space="preserve">the presence of the author overseas and </w:t>
      </w:r>
      <w:r w:rsidR="002B5605">
        <w:t xml:space="preserve">the </w:t>
      </w:r>
      <w:r w:rsidR="00270911" w:rsidRPr="00270911">
        <w:t xml:space="preserve">potential costs of litigation do not </w:t>
      </w:r>
      <w:r w:rsidR="002B5605">
        <w:t>constitute</w:t>
      </w:r>
      <w:r w:rsidR="002B5605" w:rsidRPr="00270911">
        <w:t xml:space="preserve"> </w:t>
      </w:r>
      <w:r w:rsidR="00270911" w:rsidRPr="00270911">
        <w:t xml:space="preserve">sufficient grounds </w:t>
      </w:r>
      <w:r w:rsidR="002B5605">
        <w:t>for</w:t>
      </w:r>
      <w:r w:rsidR="00270911" w:rsidRPr="00270911">
        <w:t xml:space="preserve"> exempt</w:t>
      </w:r>
      <w:r w:rsidR="002B5605">
        <w:t>ing</w:t>
      </w:r>
      <w:r w:rsidR="00270911" w:rsidRPr="00270911">
        <w:t xml:space="preserve"> the author from exhausting domestic remedies.</w:t>
      </w:r>
      <w:r w:rsidR="00270911">
        <w:t xml:space="preserve"> </w:t>
      </w:r>
      <w:r w:rsidR="00270911" w:rsidRPr="00270911">
        <w:t xml:space="preserve">The Committee recalls its jurisprudence to the effect that authors must avail themselves of all domestic remedies in order to fulfil the requirement of article 5 </w:t>
      </w:r>
      <w:r w:rsidR="002B5605">
        <w:t>(</w:t>
      </w:r>
      <w:r w:rsidR="00270911" w:rsidRPr="00270911">
        <w:t>para</w:t>
      </w:r>
      <w:r w:rsidR="002B5605">
        <w:t>.</w:t>
      </w:r>
      <w:r w:rsidR="00270911" w:rsidRPr="00270911">
        <w:t xml:space="preserve"> 2 (b)</w:t>
      </w:r>
      <w:r w:rsidR="002B5605">
        <w:t>)</w:t>
      </w:r>
      <w:r w:rsidR="00270911" w:rsidRPr="00270911">
        <w:t xml:space="preserve"> of the Optional Protocol, insofar as such remedies appear to be </w:t>
      </w:r>
      <w:r w:rsidR="00270911" w:rsidRPr="00270911">
        <w:lastRenderedPageBreak/>
        <w:t>effective in the given case and are de facto available to the author</w:t>
      </w:r>
      <w:r w:rsidR="007A2A3A">
        <w:t>.</w:t>
      </w:r>
      <w:r w:rsidR="00270911" w:rsidRPr="00845237">
        <w:rPr>
          <w:vertAlign w:val="superscript"/>
        </w:rPr>
        <w:footnoteReference w:id="27"/>
      </w:r>
      <w:r w:rsidR="00270911" w:rsidRPr="00270911">
        <w:t xml:space="preserve"> </w:t>
      </w:r>
      <w:r w:rsidR="005002FC" w:rsidRPr="005002FC">
        <w:t xml:space="preserve">The Committee </w:t>
      </w:r>
      <w:r w:rsidR="005002FC">
        <w:t xml:space="preserve">also </w:t>
      </w:r>
      <w:r w:rsidR="005002FC" w:rsidRPr="005002FC">
        <w:t>recalls that mere doubts about the effectiveness of the remedies, or in this case about the relevance of such remedies, do not absolve an individual from exhausting available domestic remedies</w:t>
      </w:r>
      <w:r w:rsidR="007A2A3A">
        <w:t>.</w:t>
      </w:r>
      <w:r w:rsidR="005002FC">
        <w:rPr>
          <w:rStyle w:val="FootnoteReference"/>
        </w:rPr>
        <w:footnoteReference w:id="28"/>
      </w:r>
      <w:r w:rsidR="005002FC" w:rsidRPr="005002FC">
        <w:t xml:space="preserve"> </w:t>
      </w:r>
      <w:r w:rsidR="00270911">
        <w:t xml:space="preserve">In the </w:t>
      </w:r>
      <w:r w:rsidR="004B1BEB">
        <w:t>circumstances</w:t>
      </w:r>
      <w:r w:rsidR="00270911">
        <w:t>, the Committee concludes that it is precluded</w:t>
      </w:r>
      <w:r w:rsidR="00561914">
        <w:t>,</w:t>
      </w:r>
      <w:r w:rsidR="00270911">
        <w:t xml:space="preserve"> </w:t>
      </w:r>
      <w:r w:rsidR="00270911" w:rsidRPr="00270911">
        <w:t xml:space="preserve">under article 5 </w:t>
      </w:r>
      <w:r w:rsidR="002B5605">
        <w:t>(</w:t>
      </w:r>
      <w:r w:rsidR="00270911" w:rsidRPr="00270911">
        <w:t>para</w:t>
      </w:r>
      <w:r w:rsidR="002B5605">
        <w:t>.</w:t>
      </w:r>
      <w:r w:rsidR="00270911" w:rsidRPr="00270911">
        <w:t xml:space="preserve"> </w:t>
      </w:r>
      <w:r w:rsidR="00270911">
        <w:t>2 (b)</w:t>
      </w:r>
      <w:r w:rsidR="002B5605">
        <w:t>)</w:t>
      </w:r>
      <w:r w:rsidR="00270911">
        <w:t xml:space="preserve"> of the Optional Protocol, from considering the author’s allegations under article 2 read in conjunction with article 13 </w:t>
      </w:r>
      <w:r w:rsidR="000264AE">
        <w:t>on the one hand</w:t>
      </w:r>
      <w:r w:rsidR="00561914">
        <w:t>,</w:t>
      </w:r>
      <w:r w:rsidR="000264AE">
        <w:t xml:space="preserve"> </w:t>
      </w:r>
      <w:r w:rsidR="00270911">
        <w:t xml:space="preserve">and </w:t>
      </w:r>
      <w:r w:rsidR="00561914">
        <w:t xml:space="preserve">under </w:t>
      </w:r>
      <w:r w:rsidR="00270911">
        <w:t xml:space="preserve">article 26 </w:t>
      </w:r>
      <w:r w:rsidR="000264AE">
        <w:t>on the other hand</w:t>
      </w:r>
      <w:r w:rsidR="00270911">
        <w:t xml:space="preserve">. </w:t>
      </w:r>
    </w:p>
    <w:p w:rsidR="001E23FD" w:rsidRDefault="007957C6" w:rsidP="00E037D0">
      <w:pPr>
        <w:pStyle w:val="SingleTxtG"/>
      </w:pPr>
      <w:r>
        <w:t>9</w:t>
      </w:r>
      <w:r w:rsidR="001E23FD">
        <w:t>.</w:t>
      </w:r>
      <w:r w:rsidR="00270911">
        <w:t>4</w:t>
      </w:r>
      <w:r w:rsidR="001E23FD">
        <w:tab/>
      </w:r>
      <w:r w:rsidR="000264AE">
        <w:t>In the absence of any other challenges to the admissibility, t</w:t>
      </w:r>
      <w:r w:rsidR="001E23FD" w:rsidRPr="0084696A">
        <w:t xml:space="preserve">he Committee declares the communication admissible insofar as it appears </w:t>
      </w:r>
      <w:r w:rsidR="001E23FD">
        <w:t xml:space="preserve">to raise issues under articles </w:t>
      </w:r>
      <w:r w:rsidR="00FE2F7E">
        <w:t>13</w:t>
      </w:r>
      <w:r w:rsidR="001E23FD">
        <w:t xml:space="preserve">, </w:t>
      </w:r>
      <w:r w:rsidR="00FE2F7E">
        <w:t>1</w:t>
      </w:r>
      <w:r w:rsidR="001E23FD">
        <w:t>7</w:t>
      </w:r>
      <w:r w:rsidR="00FE2F7E">
        <w:t>, 23 and 24</w:t>
      </w:r>
      <w:r w:rsidR="001E23FD" w:rsidRPr="0084696A">
        <w:t xml:space="preserve"> of</w:t>
      </w:r>
      <w:r w:rsidR="001E23FD">
        <w:t xml:space="preserve"> the Covenant, and proceeds to their</w:t>
      </w:r>
      <w:r w:rsidR="001E23FD" w:rsidRPr="0084696A">
        <w:t xml:space="preserve"> consideration on the merits.</w:t>
      </w:r>
    </w:p>
    <w:p w:rsidR="001E23FD" w:rsidRPr="0041431D" w:rsidRDefault="001E23FD" w:rsidP="001E23FD">
      <w:pPr>
        <w:pStyle w:val="H4G"/>
        <w:ind w:right="0"/>
      </w:pPr>
      <w:r w:rsidRPr="0041431D">
        <w:tab/>
      </w:r>
      <w:r w:rsidRPr="0041431D">
        <w:tab/>
        <w:t xml:space="preserve">Consideration of </w:t>
      </w:r>
      <w:r>
        <w:t>the merits</w:t>
      </w:r>
    </w:p>
    <w:p w:rsidR="001E23FD" w:rsidRDefault="007957C6" w:rsidP="00561914">
      <w:pPr>
        <w:pStyle w:val="SingleTxtG"/>
      </w:pPr>
      <w:r>
        <w:rPr>
          <w:iCs/>
        </w:rPr>
        <w:t>10</w:t>
      </w:r>
      <w:r w:rsidR="001E23FD">
        <w:rPr>
          <w:iCs/>
        </w:rPr>
        <w:t>.1</w:t>
      </w:r>
      <w:r w:rsidR="001E23FD">
        <w:rPr>
          <w:iCs/>
        </w:rPr>
        <w:tab/>
      </w:r>
      <w:r w:rsidR="001E23FD" w:rsidRPr="00D96B76">
        <w:t xml:space="preserve">The Human Rights Committee has considered the communication in </w:t>
      </w:r>
      <w:r w:rsidR="00561914">
        <w:t xml:space="preserve">the </w:t>
      </w:r>
      <w:r w:rsidR="001E23FD" w:rsidRPr="00D96B76">
        <w:t xml:space="preserve">light of all the information made available to it by the parties, as provided for under article 5 </w:t>
      </w:r>
      <w:r w:rsidR="00561914">
        <w:t>(</w:t>
      </w:r>
      <w:r w:rsidR="001E23FD" w:rsidRPr="00D96B76">
        <w:t>para</w:t>
      </w:r>
      <w:r w:rsidR="00561914">
        <w:t>.</w:t>
      </w:r>
      <w:r w:rsidR="001E23FD" w:rsidRPr="00D96B76">
        <w:t xml:space="preserve"> 1</w:t>
      </w:r>
      <w:r w:rsidR="00561914">
        <w:t>)</w:t>
      </w:r>
      <w:r w:rsidR="001E23FD" w:rsidRPr="00D96B76">
        <w:t xml:space="preserve"> of the Optional Protocol. </w:t>
      </w:r>
    </w:p>
    <w:p w:rsidR="00850BAD" w:rsidRDefault="007957C6" w:rsidP="00E04F57">
      <w:pPr>
        <w:pStyle w:val="SingleTxtG"/>
      </w:pPr>
      <w:r>
        <w:t>10</w:t>
      </w:r>
      <w:r w:rsidR="001E23FD">
        <w:t>.2</w:t>
      </w:r>
      <w:r w:rsidR="001E23FD">
        <w:tab/>
      </w:r>
      <w:r w:rsidR="00850BAD" w:rsidRPr="00850BAD">
        <w:t xml:space="preserve">The Committee notes the author’s allegation that </w:t>
      </w:r>
      <w:r w:rsidR="00FA5742">
        <w:t xml:space="preserve">the State party’s </w:t>
      </w:r>
      <w:r w:rsidR="00FA5742" w:rsidRPr="00FA5742">
        <w:t>refusal to grant the author a visa</w:t>
      </w:r>
      <w:r w:rsidR="00966674">
        <w:t>,</w:t>
      </w:r>
      <w:r w:rsidR="00FA5742" w:rsidRPr="00FA5742">
        <w:t xml:space="preserve"> which led to a duty to leave the country</w:t>
      </w:r>
      <w:r w:rsidR="00966674">
        <w:t>,</w:t>
      </w:r>
      <w:r w:rsidR="00FA5742" w:rsidRPr="00FA5742">
        <w:t xml:space="preserve"> </w:t>
      </w:r>
      <w:r w:rsidR="00FA5742">
        <w:t>c</w:t>
      </w:r>
      <w:r w:rsidR="00850BAD" w:rsidRPr="00850BAD">
        <w:t>onstitute</w:t>
      </w:r>
      <w:r w:rsidR="00626582">
        <w:t>d</w:t>
      </w:r>
      <w:r w:rsidR="00850BAD" w:rsidRPr="00850BAD">
        <w:t xml:space="preserve"> arbitrary interference with his family life under articles 17 and 23, and also violated his daughter’s rights under article 24 as she was a minor at the time of </w:t>
      </w:r>
      <w:r w:rsidR="00A46C36">
        <w:t>departure</w:t>
      </w:r>
      <w:r w:rsidR="00850BAD" w:rsidRPr="00850BAD">
        <w:t xml:space="preserve"> and was not afforded the protection </w:t>
      </w:r>
      <w:r w:rsidR="0061038B">
        <w:t xml:space="preserve">to which she was </w:t>
      </w:r>
      <w:r w:rsidR="00850BAD" w:rsidRPr="00850BAD">
        <w:t xml:space="preserve">entitled under </w:t>
      </w:r>
      <w:r w:rsidR="00E04F57">
        <w:t>that</w:t>
      </w:r>
      <w:r w:rsidR="00850BAD" w:rsidRPr="00850BAD">
        <w:t xml:space="preserve"> provision. The Committee notes the State party’s argument that the decision </w:t>
      </w:r>
      <w:r w:rsidR="00966674">
        <w:t>as to</w:t>
      </w:r>
      <w:r w:rsidR="00966674" w:rsidRPr="00850BAD">
        <w:t xml:space="preserve"> </w:t>
      </w:r>
      <w:r w:rsidR="00850BAD" w:rsidRPr="00850BAD">
        <w:t xml:space="preserve">whether the family members would accompany the author to </w:t>
      </w:r>
      <w:r w:rsidR="000A27C2">
        <w:t>the Islamic Republic of Iran</w:t>
      </w:r>
      <w:r w:rsidR="00850BAD" w:rsidRPr="00850BAD">
        <w:t xml:space="preserve"> or remain in Australia is purely an issue for the family and the separation of the family members is not compelled by the State’s action. The Committee also notes the State party’s assertion that full consideration was given to the interest of the minor child in the decision </w:t>
      </w:r>
      <w:r w:rsidR="005002FC">
        <w:t xml:space="preserve">leading to the author’s departure </w:t>
      </w:r>
      <w:r w:rsidR="00850BAD" w:rsidRPr="00850BAD">
        <w:t xml:space="preserve">but that compelling reasons of national security finally prevailed in </w:t>
      </w:r>
      <w:r w:rsidR="00966674">
        <w:t>the</w:t>
      </w:r>
      <w:r w:rsidR="00966674" w:rsidRPr="00850BAD">
        <w:t xml:space="preserve"> </w:t>
      </w:r>
      <w:r w:rsidR="00850BAD" w:rsidRPr="00850BAD">
        <w:t xml:space="preserve">case. </w:t>
      </w:r>
    </w:p>
    <w:p w:rsidR="00850BAD" w:rsidRPr="00850BAD" w:rsidRDefault="00850BAD" w:rsidP="00506302">
      <w:pPr>
        <w:pStyle w:val="SingleTxtG"/>
      </w:pPr>
      <w:r>
        <w:t>10.3</w:t>
      </w:r>
      <w:r>
        <w:tab/>
      </w:r>
      <w:r w:rsidRPr="00850BAD">
        <w:t>The Committee recalls its jurisprudence that a State party</w:t>
      </w:r>
      <w:r w:rsidR="00FD71FB">
        <w:t>’</w:t>
      </w:r>
      <w:r w:rsidRPr="00850BAD">
        <w:t xml:space="preserve">s refusal to allow one member of a family to remain in its territory </w:t>
      </w:r>
      <w:r w:rsidR="005E18F8">
        <w:t xml:space="preserve">may </w:t>
      </w:r>
      <w:r w:rsidRPr="00850BAD">
        <w:t>involve interferen</w:t>
      </w:r>
      <w:r w:rsidR="00626582">
        <w:t>ce in that person</w:t>
      </w:r>
      <w:r w:rsidR="00FD71FB">
        <w:t>’</w:t>
      </w:r>
      <w:r w:rsidR="00626582">
        <w:t>s family life</w:t>
      </w:r>
      <w:r w:rsidR="005E18F8">
        <w:t>.</w:t>
      </w:r>
      <w:r w:rsidRPr="00850BAD">
        <w:rPr>
          <w:sz w:val="18"/>
          <w:vertAlign w:val="superscript"/>
        </w:rPr>
        <w:footnoteReference w:id="29"/>
      </w:r>
      <w:r w:rsidRPr="00850BAD">
        <w:t xml:space="preserve"> In the present case, </w:t>
      </w:r>
      <w:r w:rsidR="00F653F0">
        <w:t>the author of the communication had been living with his family in Australia for 16 years</w:t>
      </w:r>
      <w:r w:rsidR="009B4C85">
        <w:t xml:space="preserve"> without ever </w:t>
      </w:r>
      <w:r w:rsidR="00015573">
        <w:t xml:space="preserve">having been </w:t>
      </w:r>
      <w:r w:rsidR="009B4C85">
        <w:t xml:space="preserve">charged or warned by the domestic authorities </w:t>
      </w:r>
      <w:r w:rsidR="005848A4">
        <w:t>with regard to</w:t>
      </w:r>
      <w:r w:rsidR="009B4C85">
        <w:t xml:space="preserve"> his personal conduct</w:t>
      </w:r>
      <w:r w:rsidR="00F653F0">
        <w:t xml:space="preserve">. His two elder sons </w:t>
      </w:r>
      <w:r w:rsidR="00015573">
        <w:t xml:space="preserve">had been </w:t>
      </w:r>
      <w:r w:rsidR="00F653F0">
        <w:t>Australia</w:t>
      </w:r>
      <w:r w:rsidR="00824ECD">
        <w:t>n</w:t>
      </w:r>
      <w:r w:rsidR="00F653F0">
        <w:t xml:space="preserve"> citizens since 2003 and his youngest daughter </w:t>
      </w:r>
      <w:r w:rsidR="005848A4">
        <w:t xml:space="preserve">had been </w:t>
      </w:r>
      <w:r w:rsidR="00F653F0">
        <w:t>born in Australia</w:t>
      </w:r>
      <w:r w:rsidR="00047CD9">
        <w:t xml:space="preserve"> and attended Australian schools, developing social relationships there</w:t>
      </w:r>
      <w:r w:rsidR="00F653F0">
        <w:t xml:space="preserve">. </w:t>
      </w:r>
      <w:r w:rsidR="009B4C85">
        <w:t>Upon the author’s request for a permanent visa, t</w:t>
      </w:r>
      <w:r w:rsidRPr="00850BAD">
        <w:t xml:space="preserve">he State party decided </w:t>
      </w:r>
      <w:r w:rsidR="00506819">
        <w:t xml:space="preserve">not to </w:t>
      </w:r>
      <w:r w:rsidR="00CC5A36">
        <w:t xml:space="preserve">grant </w:t>
      </w:r>
      <w:r w:rsidR="009B4C85">
        <w:t xml:space="preserve">it </w:t>
      </w:r>
      <w:r w:rsidR="00506819">
        <w:t xml:space="preserve">for </w:t>
      </w:r>
      <w:r w:rsidR="001072B9">
        <w:t>what it</w:t>
      </w:r>
      <w:r w:rsidR="00A46C36">
        <w:t xml:space="preserve"> considered to be</w:t>
      </w:r>
      <w:r w:rsidR="00626582">
        <w:t xml:space="preserve"> </w:t>
      </w:r>
      <w:r w:rsidR="009B4C85">
        <w:t>“</w:t>
      </w:r>
      <w:r w:rsidR="00506819">
        <w:t xml:space="preserve">compelling reasons of </w:t>
      </w:r>
      <w:r w:rsidR="00626582">
        <w:t xml:space="preserve">national </w:t>
      </w:r>
      <w:r w:rsidR="00506819">
        <w:t>security</w:t>
      </w:r>
      <w:r w:rsidR="009B4C85">
        <w:t>”</w:t>
      </w:r>
      <w:r w:rsidR="00626582">
        <w:t xml:space="preserve">, while it allowed the other family members to remain on its soil. </w:t>
      </w:r>
      <w:r w:rsidRPr="00850BAD">
        <w:t>Eventually, the author’s wife decided not to be separated from her husband</w:t>
      </w:r>
      <w:r w:rsidR="008B0432">
        <w:t xml:space="preserve">, </w:t>
      </w:r>
      <w:r w:rsidRPr="00850BAD">
        <w:t xml:space="preserve">they both decided </w:t>
      </w:r>
      <w:r w:rsidR="00626582">
        <w:t>that their</w:t>
      </w:r>
      <w:r w:rsidRPr="00850BAD">
        <w:t xml:space="preserve"> minor daughter </w:t>
      </w:r>
      <w:r w:rsidR="00626582">
        <w:t xml:space="preserve">should stay with </w:t>
      </w:r>
      <w:r w:rsidR="0061038B">
        <w:t>them</w:t>
      </w:r>
      <w:r w:rsidR="008B0432">
        <w:t xml:space="preserve"> and</w:t>
      </w:r>
      <w:r w:rsidR="00015573">
        <w:t xml:space="preserve"> they</w:t>
      </w:r>
      <w:r w:rsidR="008B0432">
        <w:t xml:space="preserve"> </w:t>
      </w:r>
      <w:r w:rsidRPr="00850BAD">
        <w:t>depart</w:t>
      </w:r>
      <w:r w:rsidR="00626582">
        <w:t>ed</w:t>
      </w:r>
      <w:r w:rsidRPr="00850BAD">
        <w:t xml:space="preserve"> </w:t>
      </w:r>
      <w:r w:rsidR="008B0432">
        <w:t xml:space="preserve">from </w:t>
      </w:r>
      <w:r w:rsidR="00626582">
        <w:t>Australia</w:t>
      </w:r>
      <w:r w:rsidR="00C66E99">
        <w:t xml:space="preserve"> on 27 June 2010</w:t>
      </w:r>
      <w:r w:rsidR="00047CD9">
        <w:t>,</w:t>
      </w:r>
      <w:r w:rsidR="00047CD9" w:rsidRPr="00047CD9">
        <w:t xml:space="preserve"> </w:t>
      </w:r>
      <w:r w:rsidR="00015573">
        <w:t>the author having been denied the right to stay</w:t>
      </w:r>
      <w:r w:rsidRPr="00850BAD">
        <w:t xml:space="preserve">. </w:t>
      </w:r>
      <w:r w:rsidR="00983B02">
        <w:t>T</w:t>
      </w:r>
      <w:r w:rsidR="00983B02" w:rsidRPr="00983B02">
        <w:t xml:space="preserve">he Committee considers that a decision by the State party </w:t>
      </w:r>
      <w:r w:rsidR="00983B02">
        <w:t xml:space="preserve">that involves the obligatory departure of a </w:t>
      </w:r>
      <w:r w:rsidR="00983B02" w:rsidRPr="00983B02">
        <w:t>father of a family</w:t>
      </w:r>
      <w:r w:rsidR="00B04E28">
        <w:t xml:space="preserve"> that</w:t>
      </w:r>
      <w:r w:rsidR="00F3058A">
        <w:t xml:space="preserve"> includes a minor child,</w:t>
      </w:r>
      <w:r w:rsidR="00983B02" w:rsidRPr="00983B02">
        <w:t xml:space="preserve"> and </w:t>
      </w:r>
      <w:r w:rsidR="00506302">
        <w:t>that compels</w:t>
      </w:r>
      <w:r w:rsidR="00983B02" w:rsidRPr="00983B02">
        <w:t xml:space="preserve"> the family to choose whether they should accompany him or stay in the State party</w:t>
      </w:r>
      <w:r w:rsidR="00506302">
        <w:t>,</w:t>
      </w:r>
      <w:r w:rsidR="00983B02" w:rsidRPr="00983B02">
        <w:t xml:space="preserve"> is to be considered </w:t>
      </w:r>
      <w:r w:rsidR="00FD71FB">
        <w:t>“</w:t>
      </w:r>
      <w:r w:rsidR="00983B02" w:rsidRPr="00983B02">
        <w:t>interference</w:t>
      </w:r>
      <w:r w:rsidR="00FD71FB">
        <w:t>”</w:t>
      </w:r>
      <w:r w:rsidR="00983B02" w:rsidRPr="00983B02">
        <w:t xml:space="preserve"> with the family, at least in circumstances where, as here, substantial changes </w:t>
      </w:r>
      <w:r w:rsidR="00983B02" w:rsidRPr="00983B02">
        <w:lastRenderedPageBreak/>
        <w:t>to long-settled family life would follow in either case</w:t>
      </w:r>
      <w:r w:rsidR="007A2A3A">
        <w:t>.</w:t>
      </w:r>
      <w:r w:rsidR="00F3058A">
        <w:rPr>
          <w:rStyle w:val="FootnoteReference"/>
        </w:rPr>
        <w:footnoteReference w:id="30"/>
      </w:r>
      <w:r w:rsidR="00F3058A">
        <w:t xml:space="preserve"> </w:t>
      </w:r>
      <w:r w:rsidR="00626582">
        <w:t>In the present circumstances, t</w:t>
      </w:r>
      <w:r w:rsidRPr="00850BAD">
        <w:t xml:space="preserve">he Committee considers that the decision </w:t>
      </w:r>
      <w:r w:rsidR="00252F59">
        <w:t>by the State party to refuse the author</w:t>
      </w:r>
      <w:r w:rsidR="008B0432">
        <w:t>’s request for</w:t>
      </w:r>
      <w:r w:rsidR="00252F59">
        <w:t xml:space="preserve"> a visa</w:t>
      </w:r>
      <w:r w:rsidR="00506302">
        <w:t>,</w:t>
      </w:r>
      <w:r w:rsidR="00252F59">
        <w:t xml:space="preserve"> </w:t>
      </w:r>
      <w:r w:rsidRPr="00850BAD">
        <w:t>which led to this situation</w:t>
      </w:r>
      <w:r w:rsidR="00506302">
        <w:t>,</w:t>
      </w:r>
      <w:r w:rsidRPr="00850BAD">
        <w:t xml:space="preserve"> constitutes interference </w:t>
      </w:r>
      <w:r w:rsidR="0061038B">
        <w:t>with</w:t>
      </w:r>
      <w:r w:rsidRPr="00850BAD">
        <w:t>in the meaning of article 17</w:t>
      </w:r>
      <w:r w:rsidR="00506819">
        <w:t xml:space="preserve"> of the Covenant</w:t>
      </w:r>
      <w:r w:rsidRPr="00850BAD">
        <w:t xml:space="preserve">. </w:t>
      </w:r>
    </w:p>
    <w:p w:rsidR="00281121" w:rsidRDefault="00506819" w:rsidP="00D77067">
      <w:pPr>
        <w:pStyle w:val="SingleTxtG"/>
      </w:pPr>
      <w:r>
        <w:t>10</w:t>
      </w:r>
      <w:r w:rsidR="00850BAD" w:rsidRPr="00850BAD">
        <w:t>.</w:t>
      </w:r>
      <w:r>
        <w:t>4</w:t>
      </w:r>
      <w:r w:rsidR="00850BAD" w:rsidRPr="00850BAD">
        <w:tab/>
        <w:t xml:space="preserve">The Committee has to determine whether such interference </w:t>
      </w:r>
      <w:r w:rsidR="00CC5A36">
        <w:t xml:space="preserve">with his family life </w:t>
      </w:r>
      <w:r w:rsidR="00252F59">
        <w:t>is arbitrary or unlawful</w:t>
      </w:r>
      <w:r w:rsidR="00CC5A36">
        <w:t xml:space="preserve"> pursuant to article 17 </w:t>
      </w:r>
      <w:r w:rsidR="00506302">
        <w:t>(</w:t>
      </w:r>
      <w:r w:rsidR="00CC5A36">
        <w:t>para</w:t>
      </w:r>
      <w:r w:rsidR="00506302">
        <w:t>.</w:t>
      </w:r>
      <w:r w:rsidR="00CC5A36">
        <w:t xml:space="preserve"> 1</w:t>
      </w:r>
      <w:r w:rsidR="00506302">
        <w:t>)</w:t>
      </w:r>
      <w:r w:rsidR="00CC5A36">
        <w:t xml:space="preserve"> of the Covenant</w:t>
      </w:r>
      <w:r w:rsidR="00850BAD" w:rsidRPr="00850BAD">
        <w:t>. The Committee recalls that the notion of arbitrariness includes elements of inappropriateness, injustice, lack of predictability and due process of law</w:t>
      </w:r>
      <w:r w:rsidR="007A2A3A">
        <w:t>.</w:t>
      </w:r>
      <w:r w:rsidR="00850BAD" w:rsidRPr="00850BAD">
        <w:rPr>
          <w:sz w:val="18"/>
          <w:vertAlign w:val="superscript"/>
        </w:rPr>
        <w:footnoteReference w:id="31"/>
      </w:r>
      <w:r w:rsidR="00850BAD" w:rsidRPr="00850BAD">
        <w:t xml:space="preserve"> In the present case, the author </w:t>
      </w:r>
      <w:r w:rsidR="00252F59">
        <w:t xml:space="preserve">had </w:t>
      </w:r>
      <w:r w:rsidR="00850BAD" w:rsidRPr="00850BAD">
        <w:t>lived more than 16 years legally in the territory of the State party</w:t>
      </w:r>
      <w:r w:rsidR="00B01058">
        <w:t>, apparently without any legal restrictions,</w:t>
      </w:r>
      <w:r w:rsidR="00CC5A36">
        <w:t xml:space="preserve"> when he had to leave</w:t>
      </w:r>
      <w:r w:rsidR="00C66E99">
        <w:t>, a fact that has not been refuted by the State party</w:t>
      </w:r>
      <w:r w:rsidR="00CF1673">
        <w:t xml:space="preserve">. </w:t>
      </w:r>
      <w:r w:rsidR="00CC5A36" w:rsidRPr="00CC5A36">
        <w:t xml:space="preserve">The Committee considers that disrupting long-settled family life imposes an additional burden on the State party as far as the procedure leading to such disruption is concerned. </w:t>
      </w:r>
      <w:r w:rsidR="00C66E99">
        <w:t>The author</w:t>
      </w:r>
      <w:r w:rsidR="00850BAD" w:rsidRPr="00850BAD">
        <w:t xml:space="preserve"> was never formally provided with the reasons for </w:t>
      </w:r>
      <w:r w:rsidR="00F3058A" w:rsidRPr="00F3058A">
        <w:t>the refusal to grant him the requested visa which resulted in his duty to leave the country</w:t>
      </w:r>
      <w:r w:rsidR="00F3058A">
        <w:t>, e</w:t>
      </w:r>
      <w:r w:rsidR="00850BAD" w:rsidRPr="00850BAD">
        <w:t xml:space="preserve">xcept for the general explanation that he was a threat to national security </w:t>
      </w:r>
      <w:r w:rsidR="008363F2">
        <w:t xml:space="preserve">based on security assessments </w:t>
      </w:r>
      <w:r w:rsidR="00D77067">
        <w:t xml:space="preserve">of </w:t>
      </w:r>
      <w:r w:rsidR="008363F2">
        <w:t>which he did not even receive a summary.</w:t>
      </w:r>
      <w:r w:rsidR="00A50D62">
        <w:t xml:space="preserve"> </w:t>
      </w:r>
      <w:r w:rsidR="0025537C">
        <w:t xml:space="preserve">While his legal representatives were provided with </w:t>
      </w:r>
      <w:r w:rsidR="00047CD9">
        <w:t>i</w:t>
      </w:r>
      <w:r w:rsidR="0025537C">
        <w:t xml:space="preserve">nformation on the evidence held against </w:t>
      </w:r>
      <w:r w:rsidR="00D77067">
        <w:t>him</w:t>
      </w:r>
      <w:r w:rsidR="0025537C">
        <w:t>, they were prevented</w:t>
      </w:r>
      <w:r w:rsidR="00D77067">
        <w:t>,</w:t>
      </w:r>
      <w:r w:rsidR="0025537C">
        <w:t xml:space="preserve"> </w:t>
      </w:r>
      <w:r w:rsidR="001072B9">
        <w:t xml:space="preserve">by a decision </w:t>
      </w:r>
      <w:r w:rsidR="00D77067">
        <w:t>by</w:t>
      </w:r>
      <w:r w:rsidR="001072B9">
        <w:t xml:space="preserve"> the judge</w:t>
      </w:r>
      <w:r w:rsidR="00D77067">
        <w:t>,</w:t>
      </w:r>
      <w:r w:rsidR="001072B9">
        <w:t xml:space="preserve"> </w:t>
      </w:r>
      <w:r w:rsidR="0025537C">
        <w:t xml:space="preserve">from communicating </w:t>
      </w:r>
      <w:r w:rsidR="00D77067">
        <w:t xml:space="preserve">to </w:t>
      </w:r>
      <w:r w:rsidR="00047CD9">
        <w:t xml:space="preserve">the author </w:t>
      </w:r>
      <w:r w:rsidR="001072B9">
        <w:t xml:space="preserve">any information that would permit him to instruct them in return and </w:t>
      </w:r>
      <w:r w:rsidR="00D77067">
        <w:t xml:space="preserve">to </w:t>
      </w:r>
      <w:r w:rsidR="00047CD9">
        <w:t>refut</w:t>
      </w:r>
      <w:r w:rsidR="001072B9">
        <w:t>e</w:t>
      </w:r>
      <w:r w:rsidR="00047CD9">
        <w:t xml:space="preserve"> the </w:t>
      </w:r>
      <w:r w:rsidR="00D77067">
        <w:t>threat that he allegedly posed to</w:t>
      </w:r>
      <w:r w:rsidR="001072B9">
        <w:t xml:space="preserve"> national security</w:t>
      </w:r>
      <w:r w:rsidR="009B4C85">
        <w:t xml:space="preserve">. </w:t>
      </w:r>
    </w:p>
    <w:p w:rsidR="00850BAD" w:rsidRDefault="00FD6F91" w:rsidP="00ED527F">
      <w:pPr>
        <w:pStyle w:val="SingleTxtG"/>
      </w:pPr>
      <w:r>
        <w:t>10.5</w:t>
      </w:r>
      <w:r w:rsidR="00E53B99">
        <w:tab/>
      </w:r>
      <w:r w:rsidR="00A76C35">
        <w:t>In light of the</w:t>
      </w:r>
      <w:r w:rsidR="0080567D">
        <w:t xml:space="preserve"> author’s</w:t>
      </w:r>
      <w:r w:rsidR="00A76C35">
        <w:t xml:space="preserve"> 16 years of lawful residence and </w:t>
      </w:r>
      <w:r w:rsidR="0096151F">
        <w:t xml:space="preserve">long-settled </w:t>
      </w:r>
      <w:r w:rsidR="00A76C35">
        <w:t xml:space="preserve">family life in Australia and the absence of any explanation from the State party </w:t>
      </w:r>
      <w:r w:rsidR="0080567D">
        <w:t xml:space="preserve">as to </w:t>
      </w:r>
      <w:r w:rsidR="00A76C35">
        <w:t xml:space="preserve">the reasons </w:t>
      </w:r>
      <w:r w:rsidR="0080567D">
        <w:t>for</w:t>
      </w:r>
      <w:r w:rsidR="00A76C35">
        <w:t xml:space="preserve"> terminat</w:t>
      </w:r>
      <w:r w:rsidR="0080567D">
        <w:t>ing</w:t>
      </w:r>
      <w:r w:rsidR="00A76C35">
        <w:t xml:space="preserve"> </w:t>
      </w:r>
      <w:r w:rsidR="0080567D">
        <w:t>his</w:t>
      </w:r>
      <w:r w:rsidR="00A76C35">
        <w:t xml:space="preserve"> right to remain</w:t>
      </w:r>
      <w:r w:rsidR="0080567D">
        <w:t>,</w:t>
      </w:r>
      <w:r w:rsidR="00A76C35">
        <w:t xml:space="preserve"> except for the general assertion that it was done for “compelling reasons of national security”</w:t>
      </w:r>
      <w:r w:rsidR="00497153">
        <w:t>,</w:t>
      </w:r>
      <w:r w:rsidR="00A76C35">
        <w:t xml:space="preserve"> t</w:t>
      </w:r>
      <w:r w:rsidR="00811B08">
        <w:t xml:space="preserve">he Committee finds that </w:t>
      </w:r>
      <w:r w:rsidR="00811B08" w:rsidRPr="00850BAD">
        <w:t>the State party</w:t>
      </w:r>
      <w:r w:rsidR="00497153">
        <w:t xml:space="preserve">’s </w:t>
      </w:r>
      <w:r w:rsidR="00CC5A36">
        <w:t>procedure</w:t>
      </w:r>
      <w:r w:rsidR="00497153">
        <w:t xml:space="preserve"> </w:t>
      </w:r>
      <w:r w:rsidR="00497153" w:rsidRPr="00497153">
        <w:t>lack</w:t>
      </w:r>
      <w:r w:rsidR="00497153">
        <w:t>ed</w:t>
      </w:r>
      <w:r w:rsidR="00497153" w:rsidRPr="00497153">
        <w:t xml:space="preserve"> due process of law</w:t>
      </w:r>
      <w:r w:rsidR="00497153">
        <w:t>. The State party has</w:t>
      </w:r>
      <w:r w:rsidR="0080567D">
        <w:t>,</w:t>
      </w:r>
      <w:r w:rsidR="00497153">
        <w:t xml:space="preserve"> therefore</w:t>
      </w:r>
      <w:r w:rsidR="0080567D">
        <w:t>,</w:t>
      </w:r>
      <w:r w:rsidR="00497153">
        <w:t xml:space="preserve"> not provided </w:t>
      </w:r>
      <w:r w:rsidR="00CC5A36">
        <w:t xml:space="preserve">the author </w:t>
      </w:r>
      <w:r w:rsidR="0080567D">
        <w:t xml:space="preserve">with </w:t>
      </w:r>
      <w:r w:rsidR="00497153">
        <w:t xml:space="preserve">an </w:t>
      </w:r>
      <w:r w:rsidR="00811B08" w:rsidRPr="00850BAD">
        <w:t>adequate</w:t>
      </w:r>
      <w:r w:rsidR="00497153">
        <w:t xml:space="preserve"> and</w:t>
      </w:r>
      <w:r w:rsidR="00811B08" w:rsidRPr="00850BAD">
        <w:t xml:space="preserve"> objective justification for </w:t>
      </w:r>
      <w:r w:rsidR="00811B08">
        <w:t>the interference with</w:t>
      </w:r>
      <w:r w:rsidR="00811B08" w:rsidRPr="00850BAD">
        <w:t xml:space="preserve"> </w:t>
      </w:r>
      <w:r w:rsidR="0080567D">
        <w:t>his</w:t>
      </w:r>
      <w:r w:rsidR="00811B08" w:rsidRPr="00850BAD">
        <w:t xml:space="preserve"> </w:t>
      </w:r>
      <w:r w:rsidR="00281121">
        <w:t xml:space="preserve">long-settled </w:t>
      </w:r>
      <w:r w:rsidR="00811B08" w:rsidRPr="00850BAD">
        <w:t>family</w:t>
      </w:r>
      <w:r w:rsidR="00811B08">
        <w:t xml:space="preserve"> </w:t>
      </w:r>
      <w:r w:rsidR="00CC4EB3">
        <w:t>life</w:t>
      </w:r>
      <w:r w:rsidR="00A76C35">
        <w:t xml:space="preserve">. </w:t>
      </w:r>
      <w:r w:rsidR="004A72B7">
        <w:t>In the specific circumstances, t</w:t>
      </w:r>
      <w:r w:rsidR="00850BAD" w:rsidRPr="00850BAD">
        <w:t xml:space="preserve">he Committee considers that </w:t>
      </w:r>
      <w:r w:rsidR="004A72B7">
        <w:t xml:space="preserve">the State party has violated the author’s rights under </w:t>
      </w:r>
      <w:r w:rsidR="007C7B62">
        <w:t xml:space="preserve">article 17, read in conjunction </w:t>
      </w:r>
      <w:r w:rsidR="00D1720E">
        <w:t>with article 23</w:t>
      </w:r>
      <w:r w:rsidR="00ED527F">
        <w:t>,</w:t>
      </w:r>
      <w:r w:rsidR="00D1720E">
        <w:t xml:space="preserve"> of the Covenant, and, as a result, has also violated the rights of his family under those provisions.</w:t>
      </w:r>
    </w:p>
    <w:p w:rsidR="00D1720E" w:rsidRDefault="009E1615" w:rsidP="00D53D18">
      <w:pPr>
        <w:pStyle w:val="SingleTxtG"/>
      </w:pPr>
      <w:r>
        <w:t>10.</w:t>
      </w:r>
      <w:r w:rsidR="00FD6F91">
        <w:t>6</w:t>
      </w:r>
      <w:r>
        <w:tab/>
      </w:r>
      <w:r w:rsidR="006B27AB" w:rsidRPr="006B27AB">
        <w:t>Having reached this conclusion, the Committee decides not to examine separately the remaining grounds invoked by the author under article</w:t>
      </w:r>
      <w:r w:rsidR="006B27AB">
        <w:t>s</w:t>
      </w:r>
      <w:r w:rsidR="00AB40C0">
        <w:t> </w:t>
      </w:r>
      <w:r w:rsidR="006B27AB" w:rsidRPr="006B27AB">
        <w:t>1</w:t>
      </w:r>
      <w:r w:rsidR="006B27AB">
        <w:t xml:space="preserve">3 and 24 of the Covenant. </w:t>
      </w:r>
    </w:p>
    <w:p w:rsidR="00850BAD" w:rsidRPr="00850BAD" w:rsidRDefault="009E1615" w:rsidP="00516D64">
      <w:pPr>
        <w:pStyle w:val="SingleTxtG"/>
      </w:pPr>
      <w:r>
        <w:t>11.</w:t>
      </w:r>
      <w:r w:rsidR="00850BAD" w:rsidRPr="00850BAD">
        <w:tab/>
        <w:t xml:space="preserve">The Human Rights Committee, acting under article 5 </w:t>
      </w:r>
      <w:r w:rsidR="00516D64">
        <w:t>(</w:t>
      </w:r>
      <w:r w:rsidR="00850BAD" w:rsidRPr="00850BAD">
        <w:t>para</w:t>
      </w:r>
      <w:r w:rsidR="00516D64">
        <w:t>.</w:t>
      </w:r>
      <w:r w:rsidR="00850BAD" w:rsidRPr="00850BAD">
        <w:t xml:space="preserve"> 4</w:t>
      </w:r>
      <w:r w:rsidR="00516D64">
        <w:t>)</w:t>
      </w:r>
      <w:r w:rsidR="00850BAD" w:rsidRPr="00850BAD">
        <w:t xml:space="preserve"> of the Optional Protocol to the International Covenant on Civil and Political Rights, is of the view that the facts before it </w:t>
      </w:r>
      <w:r w:rsidR="00BB1EA4">
        <w:t>disclose a violation of article</w:t>
      </w:r>
      <w:r w:rsidR="00850BAD" w:rsidRPr="00850BAD">
        <w:t xml:space="preserve"> 17</w:t>
      </w:r>
      <w:r w:rsidR="00BB1EA4">
        <w:t>, read in conjunction with article</w:t>
      </w:r>
      <w:r w:rsidR="00850BAD" w:rsidRPr="00850BAD">
        <w:t xml:space="preserve"> 23</w:t>
      </w:r>
      <w:r w:rsidR="00516D64">
        <w:t>,</w:t>
      </w:r>
      <w:r w:rsidR="006B27AB">
        <w:t xml:space="preserve"> </w:t>
      </w:r>
      <w:r w:rsidR="00850BAD" w:rsidRPr="00850BAD">
        <w:t>of the Covenant</w:t>
      </w:r>
      <w:r w:rsidR="00516D64">
        <w:t>,</w:t>
      </w:r>
      <w:r w:rsidR="00F134FF">
        <w:t xml:space="preserve"> with regard to the author and his family</w:t>
      </w:r>
      <w:r w:rsidR="00850BAD" w:rsidRPr="00850BAD">
        <w:t>.</w:t>
      </w:r>
    </w:p>
    <w:p w:rsidR="00850BAD" w:rsidRPr="00850BAD" w:rsidRDefault="009E1615" w:rsidP="00516D64">
      <w:pPr>
        <w:pStyle w:val="SingleTxtG"/>
      </w:pPr>
      <w:r>
        <w:t>12</w:t>
      </w:r>
      <w:r w:rsidR="00850BAD" w:rsidRPr="00850BAD">
        <w:t>.</w:t>
      </w:r>
      <w:r w:rsidR="00850BAD" w:rsidRPr="00850BAD">
        <w:tab/>
        <w:t xml:space="preserve">In accordance with article 2 </w:t>
      </w:r>
      <w:r w:rsidR="00516D64">
        <w:t>(</w:t>
      </w:r>
      <w:r w:rsidR="00850BAD" w:rsidRPr="00850BAD">
        <w:t>para</w:t>
      </w:r>
      <w:r w:rsidR="00516D64">
        <w:t>.</w:t>
      </w:r>
      <w:r w:rsidR="00850BAD" w:rsidRPr="00850BAD">
        <w:t xml:space="preserve"> 3 (a)</w:t>
      </w:r>
      <w:r w:rsidR="00516D64">
        <w:t>)</w:t>
      </w:r>
      <w:r w:rsidR="00850BAD" w:rsidRPr="00850BAD">
        <w:t xml:space="preserve"> of the Covenant, the State party is under an obligation to provide the author with an effective and appropriate remedy, including </w:t>
      </w:r>
      <w:r w:rsidR="00B01058">
        <w:t xml:space="preserve">a meaningful opportunity to challenge the refusal to grant him a permanent visa; and </w:t>
      </w:r>
      <w:r w:rsidR="00713CE9">
        <w:t xml:space="preserve">compensation. </w:t>
      </w:r>
      <w:r w:rsidR="00850BAD" w:rsidRPr="00850BAD">
        <w:t xml:space="preserve">The State party is also under an obligation to prevent similar violations in the future. </w:t>
      </w:r>
    </w:p>
    <w:p w:rsidR="00850BAD" w:rsidRDefault="009E1615" w:rsidP="000E2567">
      <w:pPr>
        <w:pStyle w:val="SingleTxtG"/>
      </w:pPr>
      <w:r>
        <w:t>13</w:t>
      </w:r>
      <w:r w:rsidR="00850BAD" w:rsidRPr="00850BAD">
        <w:t>.</w:t>
      </w:r>
      <w:r w:rsidR="00850BAD" w:rsidRPr="00850BAD">
        <w:tab/>
        <w:t xml:space="preserve">Bearing in mind that, by becoming a party to the Optional Protocol, the State party has recognized the competence of the Committee to determine whether </w:t>
      </w:r>
      <w:r w:rsidR="000E2567">
        <w:t xml:space="preserve">or not </w:t>
      </w:r>
      <w:r w:rsidR="00850BAD" w:rsidRPr="00850BAD">
        <w:t xml:space="preserve">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t>
      </w:r>
      <w:r w:rsidR="000E2567">
        <w:t>when</w:t>
      </w:r>
      <w:r w:rsidR="00850BAD" w:rsidRPr="00850BAD">
        <w:t xml:space="preserve"> a violation has been established, the Committee wishes to receive </w:t>
      </w:r>
      <w:r w:rsidR="00850BAD" w:rsidRPr="00850BAD">
        <w:lastRenderedPageBreak/>
        <w:t>from the State party, within 180 days, information about the measures taken to give effect to the Committee</w:t>
      </w:r>
      <w:r w:rsidR="00FD71FB">
        <w:t>’</w:t>
      </w:r>
      <w:r w:rsidR="00850BAD" w:rsidRPr="00850BAD">
        <w:t>s Views. The State party is also requested to publish the Committee</w:t>
      </w:r>
      <w:r w:rsidR="00FD71FB">
        <w:t>’</w:t>
      </w:r>
      <w:r w:rsidR="00850BAD" w:rsidRPr="00850BAD">
        <w:t>s Views</w:t>
      </w:r>
      <w:r w:rsidR="000E2567">
        <w:t xml:space="preserve"> and to have them disseminated widely</w:t>
      </w:r>
      <w:r w:rsidR="00850BAD" w:rsidRPr="00850BAD">
        <w:t>.</w:t>
      </w:r>
    </w:p>
    <w:p w:rsidR="002C2550" w:rsidRDefault="002C2550" w:rsidP="005942E2">
      <w:pPr>
        <w:spacing w:before="240"/>
        <w:ind w:left="1134" w:right="1134"/>
        <w:jc w:val="center"/>
        <w:rPr>
          <w:u w:val="single"/>
        </w:rPr>
        <w:sectPr w:rsidR="002C2550" w:rsidSect="00F23FB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12"/>
        </w:sectPr>
      </w:pPr>
    </w:p>
    <w:p w:rsidR="002C2550" w:rsidRPr="002C2550" w:rsidRDefault="002C2550" w:rsidP="002C2550">
      <w:pPr>
        <w:keepNext/>
        <w:keepLines/>
        <w:tabs>
          <w:tab w:val="right" w:pos="851"/>
        </w:tabs>
        <w:spacing w:before="360" w:after="240" w:line="300" w:lineRule="exact"/>
        <w:ind w:left="1134" w:right="1134" w:hanging="1134"/>
        <w:rPr>
          <w:b/>
          <w:sz w:val="28"/>
        </w:rPr>
      </w:pPr>
      <w:r w:rsidRPr="002C2550">
        <w:rPr>
          <w:b/>
          <w:sz w:val="28"/>
        </w:rPr>
        <w:lastRenderedPageBreak/>
        <w:t>Appendix</w:t>
      </w:r>
    </w:p>
    <w:p w:rsidR="002C2550" w:rsidRPr="002C2550" w:rsidRDefault="002C2550" w:rsidP="002C2550">
      <w:pPr>
        <w:spacing w:after="120"/>
        <w:ind w:left="1134" w:right="1134"/>
        <w:jc w:val="right"/>
        <w:rPr>
          <w:lang w:val="x-none"/>
        </w:rPr>
      </w:pPr>
      <w:r w:rsidRPr="002C2550">
        <w:rPr>
          <w:lang w:val="x-none"/>
        </w:rPr>
        <w:t xml:space="preserve">[Original: </w:t>
      </w:r>
      <w:r w:rsidRPr="00AD691A">
        <w:t>Spanish</w:t>
      </w:r>
      <w:r w:rsidRPr="002C2550">
        <w:rPr>
          <w:lang w:val="x-none"/>
        </w:rPr>
        <w:t>]</w:t>
      </w:r>
    </w:p>
    <w:p w:rsidR="002C2550" w:rsidRPr="002C2550" w:rsidRDefault="002C2550" w:rsidP="00107507">
      <w:pPr>
        <w:keepNext/>
        <w:keepLines/>
        <w:tabs>
          <w:tab w:val="right" w:pos="851"/>
        </w:tabs>
        <w:spacing w:before="360" w:after="240" w:line="270" w:lineRule="exact"/>
        <w:ind w:left="1134" w:right="1134" w:hanging="1134"/>
        <w:rPr>
          <w:b/>
          <w:sz w:val="24"/>
        </w:rPr>
      </w:pPr>
      <w:r w:rsidRPr="002C2550">
        <w:rPr>
          <w:b/>
          <w:sz w:val="24"/>
        </w:rPr>
        <w:tab/>
      </w:r>
      <w:r w:rsidRPr="002C2550">
        <w:rPr>
          <w:b/>
          <w:sz w:val="24"/>
        </w:rPr>
        <w:tab/>
        <w:t>Partially dissenting opinion of Committee member</w:t>
      </w:r>
      <w:r>
        <w:rPr>
          <w:b/>
          <w:sz w:val="24"/>
        </w:rPr>
        <w:t>s</w:t>
      </w:r>
      <w:r w:rsidRPr="002C2550">
        <w:rPr>
          <w:b/>
          <w:sz w:val="24"/>
        </w:rPr>
        <w:t xml:space="preserve"> Sarah Cleveland</w:t>
      </w:r>
      <w:r w:rsidRPr="002C2550">
        <w:rPr>
          <w:b/>
          <w:bCs/>
          <w:sz w:val="24"/>
          <w:lang w:val="en-US"/>
        </w:rPr>
        <w:t xml:space="preserve"> and </w:t>
      </w:r>
      <w:r w:rsidRPr="002C2550">
        <w:rPr>
          <w:b/>
          <w:sz w:val="24"/>
        </w:rPr>
        <w:t>V</w:t>
      </w:r>
      <w:r w:rsidR="00107507" w:rsidRPr="00107507">
        <w:rPr>
          <w:b/>
          <w:sz w:val="24"/>
        </w:rPr>
        <w:t>í</w:t>
      </w:r>
      <w:r w:rsidRPr="002C2550">
        <w:rPr>
          <w:b/>
          <w:sz w:val="24"/>
        </w:rPr>
        <w:t>ctor Manuel Rodríguez-Rescia</w:t>
      </w:r>
    </w:p>
    <w:p w:rsidR="002C2550" w:rsidRPr="002C2550" w:rsidRDefault="002C2550" w:rsidP="008A057A">
      <w:pPr>
        <w:spacing w:after="120"/>
        <w:ind w:left="1134" w:right="1134"/>
        <w:jc w:val="both"/>
        <w:rPr>
          <w:rFonts w:eastAsia="SimSun"/>
          <w:lang w:eastAsia="zh-CN"/>
        </w:rPr>
      </w:pPr>
      <w:r w:rsidRPr="002C2550">
        <w:rPr>
          <w:rFonts w:eastAsia="SimSun"/>
          <w:lang w:eastAsia="zh-CN"/>
        </w:rPr>
        <w:t>1.</w:t>
      </w:r>
      <w:r w:rsidRPr="002C2550">
        <w:rPr>
          <w:rFonts w:eastAsia="SimSun"/>
          <w:lang w:eastAsia="zh-CN"/>
        </w:rPr>
        <w:tab/>
        <w:t>The present opinion is consistent with the Human Rights Committee’s finding, in its decision on communication No. 1937/2010, of a violation of the rights set forth in article</w:t>
      </w:r>
      <w:r w:rsidR="008A057A">
        <w:rPr>
          <w:rFonts w:eastAsia="SimSun"/>
          <w:lang w:eastAsia="zh-CN"/>
        </w:rPr>
        <w:t> </w:t>
      </w:r>
      <w:r w:rsidRPr="002C2550">
        <w:rPr>
          <w:rFonts w:eastAsia="SimSun"/>
          <w:lang w:eastAsia="zh-CN"/>
        </w:rPr>
        <w:t>17</w:t>
      </w:r>
      <w:r w:rsidR="008A057A">
        <w:rPr>
          <w:rFonts w:eastAsia="SimSun"/>
          <w:lang w:eastAsia="zh-CN"/>
        </w:rPr>
        <w:t>,</w:t>
      </w:r>
      <w:r w:rsidRPr="002C2550">
        <w:rPr>
          <w:rFonts w:eastAsia="SimSun"/>
          <w:lang w:eastAsia="zh-CN"/>
        </w:rPr>
        <w:t xml:space="preserve"> read in conjunction with article 23</w:t>
      </w:r>
      <w:r w:rsidR="008A057A">
        <w:rPr>
          <w:rFonts w:eastAsia="SimSun"/>
          <w:lang w:eastAsia="zh-CN"/>
        </w:rPr>
        <w:t>,</w:t>
      </w:r>
      <w:r w:rsidRPr="002C2550">
        <w:rPr>
          <w:rFonts w:eastAsia="SimSun"/>
          <w:lang w:eastAsia="zh-CN"/>
        </w:rPr>
        <w:t xml:space="preserve"> of the Covenant, with respect to both the author and his family.</w:t>
      </w:r>
    </w:p>
    <w:p w:rsidR="002C2550" w:rsidRPr="002C2550" w:rsidRDefault="002C2550" w:rsidP="00BB4EEC">
      <w:pPr>
        <w:spacing w:after="120"/>
        <w:ind w:left="1134" w:right="1134"/>
        <w:jc w:val="both"/>
        <w:rPr>
          <w:rFonts w:eastAsia="SimSun"/>
          <w:lang w:eastAsia="zh-CN"/>
        </w:rPr>
      </w:pPr>
      <w:r w:rsidRPr="002C2550">
        <w:rPr>
          <w:rFonts w:eastAsia="SimSun"/>
          <w:lang w:eastAsia="zh-CN"/>
        </w:rPr>
        <w:t>2.</w:t>
      </w:r>
      <w:r w:rsidRPr="002C2550">
        <w:rPr>
          <w:rFonts w:eastAsia="SimSun"/>
          <w:lang w:eastAsia="zh-CN"/>
        </w:rPr>
        <w:tab/>
      </w:r>
      <w:r w:rsidR="008A057A">
        <w:rPr>
          <w:rFonts w:eastAsia="SimSun"/>
          <w:lang w:eastAsia="zh-CN"/>
        </w:rPr>
        <w:t>The present</w:t>
      </w:r>
      <w:r w:rsidR="008A057A" w:rsidRPr="002C2550">
        <w:rPr>
          <w:rFonts w:eastAsia="SimSun"/>
          <w:lang w:eastAsia="zh-CN"/>
        </w:rPr>
        <w:t xml:space="preserve"> </w:t>
      </w:r>
      <w:r w:rsidRPr="002C2550">
        <w:rPr>
          <w:rFonts w:eastAsia="SimSun"/>
          <w:lang w:eastAsia="zh-CN"/>
        </w:rPr>
        <w:t>opinion does not, however, concur with paragraph 10.6 of the communication, which decides not to examine separately the author’s other arguments under article 13 of the Covenant. On the contrary, we consider that the communication contains a solid basis for invoking the circumstances referred to in article 13, namely expulsion</w:t>
      </w:r>
      <w:r w:rsidR="008A057A">
        <w:rPr>
          <w:rFonts w:eastAsia="SimSun"/>
          <w:lang w:eastAsia="zh-CN"/>
        </w:rPr>
        <w:t>,</w:t>
      </w:r>
      <w:r w:rsidRPr="002C2550">
        <w:rPr>
          <w:rFonts w:eastAsia="SimSun"/>
          <w:lang w:eastAsia="zh-CN"/>
        </w:rPr>
        <w:t xml:space="preserve"> by the State</w:t>
      </w:r>
      <w:r w:rsidR="008A057A">
        <w:rPr>
          <w:rFonts w:eastAsia="SimSun"/>
          <w:lang w:eastAsia="zh-CN"/>
        </w:rPr>
        <w:t>,</w:t>
      </w:r>
      <w:r w:rsidRPr="002C2550">
        <w:rPr>
          <w:rFonts w:eastAsia="SimSun"/>
          <w:lang w:eastAsia="zh-CN"/>
        </w:rPr>
        <w:t xml:space="preserve"> of aliens who are lawfully in the country</w:t>
      </w:r>
      <w:r w:rsidR="008A057A">
        <w:rPr>
          <w:rFonts w:eastAsia="SimSun"/>
          <w:lang w:eastAsia="zh-CN"/>
        </w:rPr>
        <w:t>,</w:t>
      </w:r>
      <w:r w:rsidRPr="002C2550">
        <w:rPr>
          <w:rFonts w:eastAsia="SimSun"/>
          <w:lang w:eastAsia="zh-CN"/>
        </w:rPr>
        <w:t xml:space="preserve"> </w:t>
      </w:r>
      <w:r w:rsidR="008A057A">
        <w:rPr>
          <w:rFonts w:eastAsia="SimSun"/>
          <w:lang w:eastAsia="zh-CN"/>
        </w:rPr>
        <w:t>on account</w:t>
      </w:r>
      <w:r w:rsidR="008A057A" w:rsidRPr="002C2550">
        <w:rPr>
          <w:rFonts w:eastAsia="SimSun"/>
          <w:lang w:eastAsia="zh-CN"/>
        </w:rPr>
        <w:t xml:space="preserve"> </w:t>
      </w:r>
      <w:r w:rsidRPr="002C2550">
        <w:rPr>
          <w:rFonts w:eastAsia="SimSun"/>
          <w:lang w:eastAsia="zh-CN"/>
        </w:rPr>
        <w:t>of “compelling reasons of national security”. As most of the State’s arguments seek to justify the expulsion of the author by invoking “compelling reasons of national security”, the communication should, as a matter of course, assess the applicability or non-applicability of article 13 of the Covenant.</w:t>
      </w:r>
    </w:p>
    <w:p w:rsidR="002C2550" w:rsidRPr="002C2550" w:rsidRDefault="002C2550" w:rsidP="00DD1B8F">
      <w:pPr>
        <w:spacing w:after="120"/>
        <w:ind w:left="1134" w:right="1134"/>
        <w:jc w:val="both"/>
        <w:rPr>
          <w:rFonts w:eastAsia="SimSun"/>
          <w:lang w:eastAsia="zh-CN"/>
        </w:rPr>
      </w:pPr>
      <w:r w:rsidRPr="002C2550">
        <w:rPr>
          <w:rFonts w:eastAsia="SimSun"/>
          <w:lang w:eastAsia="zh-CN"/>
        </w:rPr>
        <w:t>3.</w:t>
      </w:r>
      <w:r w:rsidRPr="002C2550">
        <w:rPr>
          <w:rFonts w:eastAsia="SimSun"/>
          <w:lang w:eastAsia="zh-CN"/>
        </w:rPr>
        <w:tab/>
        <w:t xml:space="preserve">We consider in this connection that the Committee should not have disregarded article 13 but </w:t>
      </w:r>
      <w:r w:rsidR="00DD1B8F">
        <w:rPr>
          <w:rFonts w:eastAsia="SimSun"/>
          <w:lang w:eastAsia="zh-CN"/>
        </w:rPr>
        <w:t xml:space="preserve">rather should have </w:t>
      </w:r>
      <w:r w:rsidRPr="002C2550">
        <w:rPr>
          <w:rFonts w:eastAsia="SimSun"/>
          <w:lang w:eastAsia="zh-CN"/>
        </w:rPr>
        <w:t>studied whether, in the present communication, the article was applicable</w:t>
      </w:r>
      <w:r w:rsidR="00DD1B8F">
        <w:rPr>
          <w:rFonts w:eastAsia="SimSun"/>
          <w:lang w:eastAsia="zh-CN"/>
        </w:rPr>
        <w:t>,</w:t>
      </w:r>
      <w:r w:rsidRPr="002C2550">
        <w:rPr>
          <w:rFonts w:eastAsia="SimSun"/>
          <w:lang w:eastAsia="zh-CN"/>
        </w:rPr>
        <w:t xml:space="preserve"> and whether or not it </w:t>
      </w:r>
      <w:r w:rsidR="00DD1B8F">
        <w:rPr>
          <w:rFonts w:eastAsia="SimSun"/>
          <w:lang w:eastAsia="zh-CN"/>
        </w:rPr>
        <w:t>had been</w:t>
      </w:r>
      <w:r w:rsidR="00DD1B8F" w:rsidRPr="002C2550">
        <w:rPr>
          <w:rFonts w:eastAsia="SimSun"/>
          <w:lang w:eastAsia="zh-CN"/>
        </w:rPr>
        <w:t xml:space="preserve"> </w:t>
      </w:r>
      <w:r w:rsidRPr="002C2550">
        <w:rPr>
          <w:rFonts w:eastAsia="SimSun"/>
          <w:lang w:eastAsia="zh-CN"/>
        </w:rPr>
        <w:t xml:space="preserve">violated, in line with the approach adopted in a previous case considered by the Committee (communication No. 1051/2002, </w:t>
      </w:r>
      <w:r w:rsidRPr="002C2550">
        <w:rPr>
          <w:rFonts w:eastAsia="SimSun"/>
          <w:i/>
          <w:iCs/>
          <w:lang w:eastAsia="zh-CN"/>
        </w:rPr>
        <w:t xml:space="preserve">Ahani </w:t>
      </w:r>
      <w:r w:rsidRPr="00FF59AA">
        <w:rPr>
          <w:rFonts w:eastAsia="SimSun"/>
          <w:lang w:eastAsia="zh-CN"/>
        </w:rPr>
        <w:t>v.</w:t>
      </w:r>
      <w:r w:rsidRPr="002C2550">
        <w:rPr>
          <w:rFonts w:eastAsia="SimSun"/>
          <w:i/>
          <w:iCs/>
          <w:lang w:eastAsia="zh-CN"/>
        </w:rPr>
        <w:t xml:space="preserve"> Canada</w:t>
      </w:r>
      <w:r w:rsidR="00DD1B8F">
        <w:rPr>
          <w:rFonts w:eastAsia="SimSun"/>
          <w:lang w:eastAsia="zh-CN"/>
        </w:rPr>
        <w:t>,</w:t>
      </w:r>
      <w:r w:rsidRPr="002C2550">
        <w:rPr>
          <w:rFonts w:eastAsia="SimSun"/>
          <w:lang w:eastAsia="zh-CN"/>
        </w:rPr>
        <w:t xml:space="preserve"> Views adopted on 29 March </w:t>
      </w:r>
      <w:r w:rsidR="00DD1B8F">
        <w:rPr>
          <w:rFonts w:eastAsia="SimSun"/>
          <w:lang w:eastAsia="zh-CN"/>
        </w:rPr>
        <w:t>2004</w:t>
      </w:r>
      <w:r w:rsidRPr="002C2550">
        <w:rPr>
          <w:rFonts w:eastAsia="SimSun"/>
          <w:lang w:eastAsia="zh-CN"/>
        </w:rPr>
        <w:t>).</w:t>
      </w:r>
    </w:p>
    <w:p w:rsidR="002C2550" w:rsidRPr="002C2550" w:rsidRDefault="002C2550" w:rsidP="00082C9C">
      <w:pPr>
        <w:spacing w:after="120"/>
        <w:ind w:left="1134" w:right="1134"/>
        <w:jc w:val="both"/>
        <w:rPr>
          <w:rFonts w:eastAsia="SimSun"/>
          <w:lang w:eastAsia="zh-CN"/>
        </w:rPr>
      </w:pPr>
      <w:r w:rsidRPr="002C2550">
        <w:rPr>
          <w:rFonts w:eastAsia="SimSun"/>
          <w:lang w:eastAsia="zh-CN"/>
        </w:rPr>
        <w:t>4.</w:t>
      </w:r>
      <w:r w:rsidRPr="002C2550">
        <w:rPr>
          <w:rFonts w:eastAsia="SimSun"/>
          <w:lang w:eastAsia="zh-CN"/>
        </w:rPr>
        <w:tab/>
        <w:t xml:space="preserve">As the Committee concluded in paragraph 10.4 </w:t>
      </w:r>
      <w:r w:rsidR="00513991">
        <w:rPr>
          <w:rFonts w:eastAsia="SimSun"/>
          <w:lang w:eastAsia="zh-CN"/>
        </w:rPr>
        <w:t xml:space="preserve">of the present communication </w:t>
      </w:r>
      <w:r w:rsidRPr="002C2550">
        <w:rPr>
          <w:rFonts w:eastAsia="SimSun"/>
          <w:lang w:eastAsia="zh-CN"/>
        </w:rPr>
        <w:t>that “</w:t>
      </w:r>
      <w:r w:rsidR="008A057A">
        <w:rPr>
          <w:rFonts w:eastAsia="SimSun"/>
          <w:lang w:eastAsia="zh-CN"/>
        </w:rPr>
        <w:t>t</w:t>
      </w:r>
      <w:r w:rsidRPr="002C2550">
        <w:rPr>
          <w:rFonts w:eastAsia="SimSun"/>
          <w:lang w:eastAsia="zh-CN"/>
        </w:rPr>
        <w:t xml:space="preserve">he author was never formally provided with the reasons for the refusal to grant him the requested visa which resulted in his duty to leave the country, except for the general explanation that he was a threat to national security based on security assessments </w:t>
      </w:r>
      <w:r w:rsidR="00513991">
        <w:rPr>
          <w:rFonts w:eastAsia="SimSun"/>
          <w:lang w:eastAsia="zh-CN"/>
        </w:rPr>
        <w:t xml:space="preserve">of </w:t>
      </w:r>
      <w:r w:rsidRPr="002C2550">
        <w:rPr>
          <w:rFonts w:eastAsia="SimSun"/>
          <w:lang w:eastAsia="zh-CN"/>
        </w:rPr>
        <w:t>which he did not even receive a summary”, we consider that the Committee should have assessed that circumstance and decided whether or not article 13 had been violated.</w:t>
      </w:r>
    </w:p>
    <w:p w:rsidR="002C2550" w:rsidRPr="002C2550" w:rsidRDefault="002C2550" w:rsidP="00082C9C">
      <w:pPr>
        <w:spacing w:after="120"/>
        <w:ind w:left="1134" w:right="1134"/>
        <w:jc w:val="both"/>
        <w:rPr>
          <w:rFonts w:eastAsia="SimSun"/>
          <w:lang w:eastAsia="zh-CN"/>
        </w:rPr>
      </w:pPr>
      <w:r w:rsidRPr="002C2550">
        <w:rPr>
          <w:rFonts w:eastAsia="SimSun"/>
          <w:lang w:eastAsia="zh-CN"/>
        </w:rPr>
        <w:t>5.</w:t>
      </w:r>
      <w:r w:rsidRPr="002C2550">
        <w:rPr>
          <w:rFonts w:eastAsia="SimSun"/>
          <w:lang w:eastAsia="zh-CN"/>
        </w:rPr>
        <w:tab/>
        <w:t xml:space="preserve">In </w:t>
      </w:r>
      <w:r w:rsidR="00513991">
        <w:rPr>
          <w:rFonts w:eastAsia="SimSun"/>
          <w:lang w:eastAsia="zh-CN"/>
        </w:rPr>
        <w:t xml:space="preserve">the </w:t>
      </w:r>
      <w:r w:rsidRPr="002C2550">
        <w:rPr>
          <w:rFonts w:eastAsia="SimSun"/>
          <w:lang w:eastAsia="zh-CN"/>
        </w:rPr>
        <w:t xml:space="preserve">light of the foregoing, we take the view that </w:t>
      </w:r>
      <w:r w:rsidR="00513991">
        <w:rPr>
          <w:rFonts w:eastAsia="SimSun"/>
          <w:lang w:eastAsia="zh-CN"/>
        </w:rPr>
        <w:t>the present</w:t>
      </w:r>
      <w:r w:rsidR="00513991" w:rsidRPr="002C2550">
        <w:rPr>
          <w:rFonts w:eastAsia="SimSun"/>
          <w:lang w:eastAsia="zh-CN"/>
        </w:rPr>
        <w:t xml:space="preserve"> </w:t>
      </w:r>
      <w:r w:rsidRPr="002C2550">
        <w:rPr>
          <w:rFonts w:eastAsia="SimSun"/>
          <w:lang w:eastAsia="zh-CN"/>
        </w:rPr>
        <w:t>communication does in fact comprise a violation of article 13 of the Covenant. Paragraph 10.6 should therefore be amended to read as follows: “10.6 The Committee notes that the invocation of ‘compelling reasons of national security’ to justify the expulsion of the author — under the circumstances of the present case — did not exempt the State from the obligation under article 13 to provide the requisite procedural safeguards. The fact that the State failed to provide the author with these procedural safeguards constitutes a breach of the obligation under article 13 to allow the author to submit the reasons against his expulsion</w:t>
      </w:r>
      <w:r w:rsidR="00B57376">
        <w:rPr>
          <w:rFonts w:eastAsia="SimSun"/>
          <w:lang w:eastAsia="zh-CN"/>
        </w:rPr>
        <w:t>,</w:t>
      </w:r>
      <w:r w:rsidRPr="002C2550">
        <w:rPr>
          <w:rFonts w:eastAsia="SimSun"/>
          <w:lang w:eastAsia="zh-CN"/>
        </w:rPr>
        <w:t xml:space="preserve"> in light of the charges laid against him by the administrative authorities. This means that he should have been given the opportunity to comment on the information submitted to them, at least in summary form.”</w:t>
      </w:r>
    </w:p>
    <w:p w:rsidR="002C2550" w:rsidRPr="002C2550" w:rsidRDefault="002C2550" w:rsidP="002C2550">
      <w:pPr>
        <w:spacing w:before="240" w:after="120"/>
        <w:ind w:left="1134" w:right="1134"/>
        <w:jc w:val="center"/>
        <w:rPr>
          <w:rFonts w:eastAsia="SimSun"/>
          <w:u w:val="single"/>
          <w:lang w:eastAsia="zh-CN"/>
        </w:rPr>
      </w:pPr>
      <w:r w:rsidRPr="002C2550">
        <w:rPr>
          <w:rFonts w:eastAsia="SimSun"/>
          <w:u w:val="single"/>
          <w:lang w:eastAsia="zh-CN"/>
        </w:rPr>
        <w:tab/>
      </w:r>
      <w:r w:rsidRPr="002C2550">
        <w:rPr>
          <w:rFonts w:eastAsia="SimSun"/>
          <w:u w:val="single"/>
          <w:lang w:eastAsia="zh-CN"/>
        </w:rPr>
        <w:tab/>
      </w:r>
      <w:r w:rsidRPr="002C2550">
        <w:rPr>
          <w:rFonts w:eastAsia="SimSun"/>
          <w:u w:val="single"/>
          <w:lang w:eastAsia="zh-CN"/>
        </w:rPr>
        <w:tab/>
      </w:r>
    </w:p>
    <w:p w:rsidR="001E23FD" w:rsidRPr="005942E2" w:rsidRDefault="001E23FD" w:rsidP="005942E2">
      <w:pPr>
        <w:spacing w:before="240"/>
        <w:ind w:left="1134" w:right="1134"/>
        <w:jc w:val="center"/>
        <w:rPr>
          <w:u w:val="single"/>
        </w:rPr>
      </w:pPr>
    </w:p>
    <w:sectPr w:rsidR="001E23FD" w:rsidRPr="005942E2" w:rsidSect="00FF59AA">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D0E" w:rsidRDefault="00445D0E"/>
  </w:endnote>
  <w:endnote w:type="continuationSeparator" w:id="0">
    <w:p w:rsidR="00445D0E" w:rsidRDefault="00445D0E"/>
  </w:endnote>
  <w:endnote w:type="continuationNotice" w:id="1">
    <w:p w:rsidR="00445D0E" w:rsidRDefault="00445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16" w:rsidRPr="0041431D" w:rsidRDefault="00261A16" w:rsidP="001E1300">
    <w:pPr>
      <w:pStyle w:val="Footer"/>
      <w:tabs>
        <w:tab w:val="right" w:pos="9638"/>
      </w:tabs>
      <w:jc w:val="both"/>
      <w:rPr>
        <w:b/>
        <w:sz w:val="18"/>
      </w:rPr>
    </w:pPr>
    <w:r w:rsidRPr="0041431D">
      <w:rPr>
        <w:b/>
        <w:sz w:val="18"/>
      </w:rPr>
      <w:fldChar w:fldCharType="begin"/>
    </w:r>
    <w:r w:rsidRPr="0041431D">
      <w:rPr>
        <w:b/>
        <w:sz w:val="18"/>
      </w:rPr>
      <w:instrText xml:space="preserve"> PAGE  \* MERGEFORMAT </w:instrText>
    </w:r>
    <w:r w:rsidRPr="0041431D">
      <w:rPr>
        <w:b/>
        <w:sz w:val="18"/>
      </w:rPr>
      <w:fldChar w:fldCharType="separate"/>
    </w:r>
    <w:r w:rsidR="001E748A">
      <w:rPr>
        <w:b/>
        <w:noProof/>
        <w:sz w:val="18"/>
      </w:rPr>
      <w:t>2</w:t>
    </w:r>
    <w:r w:rsidRPr="0041431D">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16" w:rsidRPr="0041431D" w:rsidRDefault="00261A16" w:rsidP="001E1300">
    <w:pPr>
      <w:pStyle w:val="Footer"/>
      <w:tabs>
        <w:tab w:val="right" w:pos="9638"/>
      </w:tabs>
      <w:jc w:val="right"/>
    </w:pPr>
    <w:r w:rsidRPr="0041431D">
      <w:rPr>
        <w:b/>
        <w:sz w:val="18"/>
      </w:rPr>
      <w:fldChar w:fldCharType="begin"/>
    </w:r>
    <w:r w:rsidRPr="0041431D">
      <w:rPr>
        <w:b/>
        <w:sz w:val="18"/>
      </w:rPr>
      <w:instrText xml:space="preserve"> PAGE  \* MERGEFORMAT </w:instrText>
    </w:r>
    <w:r w:rsidRPr="0041431D">
      <w:rPr>
        <w:b/>
        <w:sz w:val="18"/>
      </w:rPr>
      <w:fldChar w:fldCharType="separate"/>
    </w:r>
    <w:r w:rsidR="001E748A">
      <w:rPr>
        <w:b/>
        <w:noProof/>
        <w:sz w:val="18"/>
      </w:rPr>
      <w:t>3</w:t>
    </w:r>
    <w:r w:rsidRPr="004143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16" w:rsidRDefault="001E27A7">
    <w:r>
      <w:rPr>
        <w:noProof/>
        <w:lang w:val="en-US"/>
      </w:rPr>
      <w:drawing>
        <wp:anchor distT="0" distB="0" distL="114300" distR="114300" simplePos="0" relativeHeight="251657216" behindDoc="0" locked="0" layoutInCell="1" allowOverlap="1">
          <wp:simplePos x="0" y="0"/>
          <wp:positionH relativeFrom="margin">
            <wp:posOffset>4162425</wp:posOffset>
          </wp:positionH>
          <wp:positionV relativeFrom="margin">
            <wp:posOffset>8307705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A16">
      <w:t>GE.15-</w:t>
    </w:r>
    <w:r w:rsidR="00424407">
      <w:t>09889</w:t>
    </w:r>
    <w:r>
      <w:t xml:space="preserve"> </w:t>
    </w:r>
    <w:r w:rsidR="00424407">
      <w:t xml:space="preserve"> (E)</w:t>
    </w:r>
    <w:r>
      <w:br/>
    </w:r>
    <w:r w:rsidRPr="001E27A7">
      <w:rPr>
        <w:rFonts w:ascii="C39T30Lfz" w:hAnsi="C39T30Lfz"/>
        <w:sz w:val="56"/>
      </w:rPr>
      <w:t></w:t>
    </w:r>
    <w:r w:rsidRPr="001E27A7">
      <w:rPr>
        <w:rFonts w:ascii="C39T30Lfz" w:hAnsi="C39T30Lfz"/>
        <w:sz w:val="56"/>
      </w:rPr>
      <w:t></w:t>
    </w:r>
    <w:r w:rsidRPr="001E27A7">
      <w:rPr>
        <w:rFonts w:ascii="C39T30Lfz" w:hAnsi="C39T30Lfz"/>
        <w:sz w:val="56"/>
      </w:rPr>
      <w:t></w:t>
    </w:r>
    <w:r w:rsidRPr="001E27A7">
      <w:rPr>
        <w:rFonts w:ascii="C39T30Lfz" w:hAnsi="C39T30Lfz"/>
        <w:sz w:val="56"/>
      </w:rPr>
      <w:t></w:t>
    </w:r>
    <w:r w:rsidRPr="001E27A7">
      <w:rPr>
        <w:rFonts w:ascii="C39T30Lfz" w:hAnsi="C39T30Lfz"/>
        <w:sz w:val="56"/>
      </w:rPr>
      <w:t></w:t>
    </w:r>
    <w:r w:rsidRPr="001E27A7">
      <w:rPr>
        <w:rFonts w:ascii="C39T30Lfz" w:hAnsi="C39T30Lfz"/>
        <w:sz w:val="56"/>
      </w:rPr>
      <w:t></w:t>
    </w:r>
    <w:r w:rsidRPr="001E27A7">
      <w:rPr>
        <w:rFonts w:ascii="C39T30Lfz" w:hAnsi="C39T30Lfz"/>
        <w:sz w:val="56"/>
      </w:rPr>
      <w:t></w:t>
    </w:r>
    <w:r w:rsidRPr="001E27A7">
      <w:rPr>
        <w:rFonts w:ascii="C39T30Lfz" w:hAnsi="C39T30Lfz"/>
        <w:sz w:val="56"/>
      </w:rPr>
      <w:t></w:t>
    </w:r>
    <w:r w:rsidRPr="001E27A7">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16" w:rsidRPr="00F62FAC" w:rsidRDefault="00261A16" w:rsidP="00987D06">
    <w:pPr>
      <w:pStyle w:val="Footer"/>
      <w:tabs>
        <w:tab w:val="right" w:pos="9638"/>
      </w:tabs>
    </w:pPr>
    <w:r w:rsidRPr="00F62FAC">
      <w:rPr>
        <w:b/>
        <w:sz w:val="18"/>
      </w:rPr>
      <w:fldChar w:fldCharType="begin"/>
    </w:r>
    <w:r w:rsidRPr="00F62FAC">
      <w:rPr>
        <w:b/>
        <w:sz w:val="18"/>
      </w:rPr>
      <w:instrText xml:space="preserve"> PAGE  \* MERGEFORMAT </w:instrText>
    </w:r>
    <w:r w:rsidRPr="00F62FAC">
      <w:rPr>
        <w:b/>
        <w:sz w:val="18"/>
      </w:rPr>
      <w:fldChar w:fldCharType="separate"/>
    </w:r>
    <w:r w:rsidR="001E748A">
      <w:rPr>
        <w:b/>
        <w:noProof/>
        <w:sz w:val="18"/>
      </w:rPr>
      <w:t>20</w:t>
    </w:r>
    <w:r w:rsidRPr="00F62FAC">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16" w:rsidRPr="00F62FAC" w:rsidRDefault="00261A16" w:rsidP="00987D06">
    <w:pPr>
      <w:pStyle w:val="Footer"/>
      <w:tabs>
        <w:tab w:val="right" w:pos="9638"/>
      </w:tabs>
      <w:rPr>
        <w:b/>
        <w:sz w:val="18"/>
      </w:rPr>
    </w:pPr>
    <w:r>
      <w:tab/>
    </w:r>
    <w:r w:rsidRPr="00F62FAC">
      <w:rPr>
        <w:b/>
        <w:sz w:val="18"/>
      </w:rPr>
      <w:fldChar w:fldCharType="begin"/>
    </w:r>
    <w:r w:rsidRPr="00F62FAC">
      <w:rPr>
        <w:b/>
        <w:sz w:val="18"/>
      </w:rPr>
      <w:instrText xml:space="preserve"> PAGE  \* MERGEFORMAT </w:instrText>
    </w:r>
    <w:r w:rsidRPr="00F62FAC">
      <w:rPr>
        <w:b/>
        <w:sz w:val="18"/>
      </w:rPr>
      <w:fldChar w:fldCharType="separate"/>
    </w:r>
    <w:r>
      <w:rPr>
        <w:b/>
        <w:noProof/>
        <w:sz w:val="18"/>
      </w:rPr>
      <w:t>19</w:t>
    </w:r>
    <w:r w:rsidRPr="00F62FAC">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16" w:rsidRPr="00F62FAC" w:rsidRDefault="001E27A7">
    <w:r>
      <w:rPr>
        <w:noProof/>
        <w:lang w:val="en-US"/>
      </w:rPr>
      <w:drawing>
        <wp:anchor distT="0" distB="0" distL="114300" distR="114300" simplePos="0" relativeHeight="251658240"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261A16">
      <w:t>GE.14-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D0E" w:rsidRPr="000B175B" w:rsidRDefault="00445D0E" w:rsidP="000B175B">
      <w:pPr>
        <w:tabs>
          <w:tab w:val="right" w:pos="2155"/>
        </w:tabs>
        <w:spacing w:after="80"/>
        <w:ind w:left="680"/>
        <w:rPr>
          <w:u w:val="single"/>
        </w:rPr>
      </w:pPr>
      <w:r>
        <w:rPr>
          <w:u w:val="single"/>
        </w:rPr>
        <w:tab/>
      </w:r>
    </w:p>
  </w:footnote>
  <w:footnote w:type="continuationSeparator" w:id="0">
    <w:p w:rsidR="00445D0E" w:rsidRPr="00FC68B7" w:rsidRDefault="00445D0E" w:rsidP="00FC68B7">
      <w:pPr>
        <w:tabs>
          <w:tab w:val="left" w:pos="2155"/>
        </w:tabs>
        <w:spacing w:after="80"/>
        <w:ind w:left="680"/>
        <w:rPr>
          <w:u w:val="single"/>
        </w:rPr>
      </w:pPr>
      <w:r>
        <w:rPr>
          <w:u w:val="single"/>
        </w:rPr>
        <w:tab/>
      </w:r>
    </w:p>
  </w:footnote>
  <w:footnote w:type="continuationNotice" w:id="1">
    <w:p w:rsidR="00445D0E" w:rsidRDefault="00445D0E"/>
  </w:footnote>
  <w:footnote w:id="2">
    <w:p w:rsidR="00261A16" w:rsidRDefault="00261A16" w:rsidP="0089228E">
      <w:pPr>
        <w:pStyle w:val="FootnoteText"/>
        <w:rPr>
          <w:bCs/>
          <w:szCs w:val="18"/>
        </w:rPr>
      </w:pPr>
      <w:r>
        <w:rPr>
          <w:rStyle w:val="FootnoteReference"/>
        </w:rPr>
        <w:tab/>
      </w:r>
      <w:r w:rsidRPr="00B9038C">
        <w:rPr>
          <w:rStyle w:val="FootnoteReference"/>
          <w:szCs w:val="18"/>
          <w:vertAlign w:val="baseline"/>
        </w:rPr>
        <w:t>*</w:t>
      </w:r>
      <w:r>
        <w:rPr>
          <w:rStyle w:val="FootnoteReference"/>
          <w:sz w:val="20"/>
          <w:vertAlign w:val="baseline"/>
        </w:rPr>
        <w:tab/>
      </w:r>
      <w:bookmarkStart w:id="1" w:name="OLE_LINK1"/>
      <w:bookmarkStart w:id="2" w:name="OLE_LINK2"/>
      <w:r w:rsidRPr="009131F3">
        <w:rPr>
          <w:szCs w:val="18"/>
        </w:rPr>
        <w:t xml:space="preserve">The following members of the Committee participated in the examination of the present communication: </w:t>
      </w:r>
      <w:bookmarkEnd w:id="1"/>
      <w:bookmarkEnd w:id="2"/>
      <w:r w:rsidRPr="00C455EA">
        <w:rPr>
          <w:szCs w:val="18"/>
        </w:rPr>
        <w:t xml:space="preserve">Yadh </w:t>
      </w:r>
      <w:r>
        <w:rPr>
          <w:szCs w:val="18"/>
        </w:rPr>
        <w:t xml:space="preserve">Ben Achour, </w:t>
      </w:r>
      <w:r w:rsidRPr="00C455EA">
        <w:rPr>
          <w:szCs w:val="18"/>
        </w:rPr>
        <w:t>Lazhari Bouzid</w:t>
      </w:r>
      <w:r>
        <w:rPr>
          <w:szCs w:val="18"/>
        </w:rPr>
        <w:t xml:space="preserve">, </w:t>
      </w:r>
      <w:r w:rsidRPr="00C455EA">
        <w:rPr>
          <w:szCs w:val="18"/>
        </w:rPr>
        <w:t>Sarah Cleveland</w:t>
      </w:r>
      <w:r>
        <w:rPr>
          <w:szCs w:val="18"/>
        </w:rPr>
        <w:t xml:space="preserve">, Olivier de Frouville, </w:t>
      </w:r>
      <w:r w:rsidRPr="00C455EA">
        <w:rPr>
          <w:szCs w:val="18"/>
        </w:rPr>
        <w:t>Yuji</w:t>
      </w:r>
      <w:r>
        <w:rPr>
          <w:szCs w:val="18"/>
        </w:rPr>
        <w:t> </w:t>
      </w:r>
      <w:r w:rsidRPr="00C455EA">
        <w:rPr>
          <w:szCs w:val="18"/>
        </w:rPr>
        <w:t>Iwasawa</w:t>
      </w:r>
      <w:r>
        <w:rPr>
          <w:szCs w:val="18"/>
        </w:rPr>
        <w:t>, Ivana Jeli</w:t>
      </w:r>
      <w:r w:rsidRPr="0089228E">
        <w:rPr>
          <w:szCs w:val="18"/>
        </w:rPr>
        <w:t>ć</w:t>
      </w:r>
      <w:r>
        <w:rPr>
          <w:szCs w:val="18"/>
        </w:rPr>
        <w:t xml:space="preserve">, </w:t>
      </w:r>
      <w:r w:rsidRPr="00C455EA">
        <w:rPr>
          <w:szCs w:val="18"/>
        </w:rPr>
        <w:t>Duncan Muhumuza Laki</w:t>
      </w:r>
      <w:r>
        <w:rPr>
          <w:szCs w:val="18"/>
        </w:rPr>
        <w:t xml:space="preserve">, </w:t>
      </w:r>
      <w:r w:rsidRPr="00C455EA">
        <w:rPr>
          <w:szCs w:val="18"/>
        </w:rPr>
        <w:t>Photini Pazartzis</w:t>
      </w:r>
      <w:r>
        <w:rPr>
          <w:szCs w:val="18"/>
        </w:rPr>
        <w:t xml:space="preserve">, </w:t>
      </w:r>
      <w:r w:rsidRPr="00C455EA">
        <w:rPr>
          <w:szCs w:val="18"/>
        </w:rPr>
        <w:t>Mauro Politi</w:t>
      </w:r>
      <w:r>
        <w:rPr>
          <w:szCs w:val="18"/>
        </w:rPr>
        <w:t xml:space="preserve">, </w:t>
      </w:r>
      <w:r w:rsidRPr="00C455EA">
        <w:rPr>
          <w:szCs w:val="18"/>
        </w:rPr>
        <w:t>V</w:t>
      </w:r>
      <w:r w:rsidRPr="00107507">
        <w:rPr>
          <w:szCs w:val="18"/>
        </w:rPr>
        <w:t>í</w:t>
      </w:r>
      <w:r w:rsidRPr="00C455EA">
        <w:rPr>
          <w:szCs w:val="18"/>
        </w:rPr>
        <w:t>ctor Manuel Rodríguez-Rescia</w:t>
      </w:r>
      <w:r>
        <w:rPr>
          <w:szCs w:val="18"/>
        </w:rPr>
        <w:t xml:space="preserve">, </w:t>
      </w:r>
      <w:r w:rsidRPr="00C455EA">
        <w:rPr>
          <w:szCs w:val="18"/>
        </w:rPr>
        <w:t>Fabián Omar Salvioli</w:t>
      </w:r>
      <w:r>
        <w:rPr>
          <w:szCs w:val="18"/>
        </w:rPr>
        <w:t xml:space="preserve">, </w:t>
      </w:r>
      <w:r w:rsidRPr="00C455EA">
        <w:rPr>
          <w:szCs w:val="18"/>
        </w:rPr>
        <w:t>Dheerujlall</w:t>
      </w:r>
      <w:r>
        <w:rPr>
          <w:szCs w:val="18"/>
        </w:rPr>
        <w:t xml:space="preserve"> </w:t>
      </w:r>
      <w:r w:rsidRPr="00C455EA">
        <w:rPr>
          <w:szCs w:val="18"/>
        </w:rPr>
        <w:t>Seetulsingh</w:t>
      </w:r>
      <w:r>
        <w:rPr>
          <w:szCs w:val="18"/>
        </w:rPr>
        <w:t xml:space="preserve">, </w:t>
      </w:r>
      <w:r w:rsidRPr="00C455EA">
        <w:rPr>
          <w:szCs w:val="18"/>
        </w:rPr>
        <w:t>Anja Seibert-Fohr</w:t>
      </w:r>
      <w:r>
        <w:rPr>
          <w:szCs w:val="18"/>
        </w:rPr>
        <w:t xml:space="preserve">, </w:t>
      </w:r>
      <w:r w:rsidRPr="00C455EA">
        <w:rPr>
          <w:szCs w:val="18"/>
        </w:rPr>
        <w:t>Yuval</w:t>
      </w:r>
      <w:r>
        <w:rPr>
          <w:szCs w:val="18"/>
        </w:rPr>
        <w:t> </w:t>
      </w:r>
      <w:r w:rsidRPr="00C455EA">
        <w:rPr>
          <w:szCs w:val="18"/>
        </w:rPr>
        <w:t>Shany</w:t>
      </w:r>
      <w:r>
        <w:rPr>
          <w:szCs w:val="18"/>
        </w:rPr>
        <w:t xml:space="preserve">, </w:t>
      </w:r>
      <w:r w:rsidRPr="00C455EA">
        <w:rPr>
          <w:szCs w:val="18"/>
        </w:rPr>
        <w:t>Konstantine Vardzelashvili</w:t>
      </w:r>
      <w:r>
        <w:rPr>
          <w:szCs w:val="18"/>
        </w:rPr>
        <w:t xml:space="preserve"> and </w:t>
      </w:r>
      <w:r w:rsidRPr="00C455EA">
        <w:rPr>
          <w:szCs w:val="18"/>
        </w:rPr>
        <w:t>Margo Waterval</w:t>
      </w:r>
      <w:r>
        <w:rPr>
          <w:bCs/>
          <w:szCs w:val="18"/>
        </w:rPr>
        <w:t>.</w:t>
      </w:r>
    </w:p>
    <w:p w:rsidR="00261A16" w:rsidRPr="00AD691A" w:rsidRDefault="00261A16" w:rsidP="00107507">
      <w:pPr>
        <w:pStyle w:val="FootnoteText"/>
      </w:pPr>
      <w:r>
        <w:rPr>
          <w:bCs/>
          <w:szCs w:val="18"/>
        </w:rPr>
        <w:tab/>
      </w:r>
      <w:r>
        <w:rPr>
          <w:bCs/>
          <w:szCs w:val="18"/>
        </w:rPr>
        <w:tab/>
      </w:r>
      <w:r w:rsidRPr="002C2550">
        <w:rPr>
          <w:bCs/>
          <w:szCs w:val="18"/>
        </w:rPr>
        <w:t>The text of an individual opinion by Committee member</w:t>
      </w:r>
      <w:r>
        <w:rPr>
          <w:bCs/>
          <w:szCs w:val="18"/>
        </w:rPr>
        <w:t>s</w:t>
      </w:r>
      <w:r w:rsidRPr="002C2550">
        <w:rPr>
          <w:bCs/>
          <w:szCs w:val="18"/>
        </w:rPr>
        <w:t xml:space="preserve"> </w:t>
      </w:r>
      <w:r w:rsidRPr="00C455EA">
        <w:rPr>
          <w:szCs w:val="18"/>
        </w:rPr>
        <w:t>Sarah Cleveland</w:t>
      </w:r>
      <w:r w:rsidRPr="002C2550">
        <w:rPr>
          <w:bCs/>
          <w:szCs w:val="18"/>
        </w:rPr>
        <w:t xml:space="preserve"> </w:t>
      </w:r>
      <w:r>
        <w:rPr>
          <w:bCs/>
          <w:szCs w:val="18"/>
        </w:rPr>
        <w:t xml:space="preserve">and </w:t>
      </w:r>
      <w:r w:rsidRPr="00C455EA">
        <w:rPr>
          <w:szCs w:val="18"/>
        </w:rPr>
        <w:t>V</w:t>
      </w:r>
      <w:r w:rsidRPr="00107507">
        <w:rPr>
          <w:szCs w:val="18"/>
        </w:rPr>
        <w:t>í</w:t>
      </w:r>
      <w:r w:rsidRPr="00C455EA">
        <w:rPr>
          <w:szCs w:val="18"/>
        </w:rPr>
        <w:t>ctor Manuel Rodríguez-Rescia</w:t>
      </w:r>
      <w:r w:rsidRPr="002C2550">
        <w:rPr>
          <w:bCs/>
          <w:szCs w:val="18"/>
        </w:rPr>
        <w:t xml:space="preserve"> is appended to the present Views.</w:t>
      </w:r>
    </w:p>
  </w:footnote>
  <w:footnote w:id="3">
    <w:p w:rsidR="00261A16" w:rsidRPr="009D7143" w:rsidRDefault="00261A16" w:rsidP="00082C9C">
      <w:pPr>
        <w:pStyle w:val="FootnoteText"/>
      </w:pPr>
      <w:r>
        <w:tab/>
      </w:r>
      <w:r>
        <w:rPr>
          <w:rStyle w:val="FootnoteReference"/>
        </w:rPr>
        <w:footnoteRef/>
      </w:r>
      <w:r>
        <w:tab/>
        <w:t>See paras. 4, 5.1 and 5.2 below.</w:t>
      </w:r>
    </w:p>
  </w:footnote>
  <w:footnote w:id="4">
    <w:p w:rsidR="00261A16" w:rsidRPr="001645C2" w:rsidRDefault="00261A16" w:rsidP="00082C9C">
      <w:pPr>
        <w:pStyle w:val="FootnoteText"/>
      </w:pPr>
      <w:r>
        <w:tab/>
      </w:r>
      <w:r>
        <w:rPr>
          <w:rStyle w:val="FootnoteReference"/>
        </w:rPr>
        <w:footnoteRef/>
      </w:r>
      <w:r>
        <w:tab/>
        <w:t>T</w:t>
      </w:r>
      <w:r w:rsidRPr="001645C2">
        <w:t xml:space="preserve">he author </w:t>
      </w:r>
      <w:r>
        <w:t>was unable to</w:t>
      </w:r>
      <w:r w:rsidRPr="001645C2">
        <w:t xml:space="preserve"> satisfy Public Interest Criterion 4002 in </w:t>
      </w:r>
      <w:r>
        <w:t>s</w:t>
      </w:r>
      <w:r w:rsidRPr="001645C2">
        <w:t>chedule 4 to the Migration Regulations 1994</w:t>
      </w:r>
      <w:r>
        <w:t>.</w:t>
      </w:r>
    </w:p>
  </w:footnote>
  <w:footnote w:id="5">
    <w:p w:rsidR="00261A16" w:rsidRPr="00FA5742" w:rsidRDefault="00261A16">
      <w:pPr>
        <w:pStyle w:val="FootnoteText"/>
      </w:pPr>
      <w:r>
        <w:tab/>
      </w:r>
      <w:r>
        <w:rPr>
          <w:rStyle w:val="FootnoteReference"/>
        </w:rPr>
        <w:footnoteRef/>
      </w:r>
      <w:r>
        <w:tab/>
      </w:r>
      <w:r w:rsidRPr="005C2D3B">
        <w:t xml:space="preserve">On 1 June 1999, the </w:t>
      </w:r>
      <w:r>
        <w:t>“</w:t>
      </w:r>
      <w:r w:rsidRPr="005C2D3B">
        <w:t>Immigration Review Tribunal</w:t>
      </w:r>
      <w:r>
        <w:t>”</w:t>
      </w:r>
      <w:r w:rsidRPr="005C2D3B">
        <w:t xml:space="preserve"> was renamed</w:t>
      </w:r>
      <w:r>
        <w:t xml:space="preserve"> the</w:t>
      </w:r>
      <w:r w:rsidRPr="005C2D3B">
        <w:t xml:space="preserve"> </w:t>
      </w:r>
      <w:r>
        <w:t>“</w:t>
      </w:r>
      <w:r w:rsidRPr="005C2D3B">
        <w:t>Migration Review Tribunal</w:t>
      </w:r>
      <w:r>
        <w:t>”.</w:t>
      </w:r>
    </w:p>
  </w:footnote>
  <w:footnote w:id="6">
    <w:p w:rsidR="00261A16" w:rsidRPr="005C2D3B" w:rsidRDefault="00261A16">
      <w:pPr>
        <w:pStyle w:val="FootnoteText"/>
      </w:pPr>
      <w:r>
        <w:tab/>
      </w:r>
      <w:r>
        <w:rPr>
          <w:rStyle w:val="FootnoteReference"/>
        </w:rPr>
        <w:footnoteRef/>
      </w:r>
      <w:r>
        <w:tab/>
      </w:r>
      <w:r w:rsidRPr="005C2D3B">
        <w:t>See para.</w:t>
      </w:r>
      <w:r>
        <w:t> </w:t>
      </w:r>
      <w:r w:rsidRPr="005C2D3B">
        <w:t>6.4 below</w:t>
      </w:r>
      <w:r>
        <w:t>.</w:t>
      </w:r>
    </w:p>
  </w:footnote>
  <w:footnote w:id="7">
    <w:p w:rsidR="00261A16" w:rsidRPr="00F3058A" w:rsidRDefault="00261A16" w:rsidP="00082C9C">
      <w:pPr>
        <w:pStyle w:val="FootnoteText"/>
      </w:pPr>
      <w:r>
        <w:tab/>
      </w:r>
      <w:r>
        <w:rPr>
          <w:rStyle w:val="FootnoteReference"/>
        </w:rPr>
        <w:footnoteRef/>
      </w:r>
      <w:r>
        <w:tab/>
      </w:r>
      <w:r w:rsidRPr="005C2D3B">
        <w:t xml:space="preserve">The exact wording of Court is: </w:t>
      </w:r>
      <w:r>
        <w:t>“</w:t>
      </w:r>
      <w:r w:rsidRPr="005C2D3B">
        <w:t>Mindful in a general way of Lord Hoffman’s remar</w:t>
      </w:r>
      <w:r>
        <w:t xml:space="preserve">ks, but without the benefit of countervailing expert evidence in the present case, I am not in a position to form an opinion contrary to those expressed in the confidential affidavit evidence in relation to disclosure. I reiterate the general point made by Wilson, Dawson and Brennan JJ in Alister (above) that courts are ill-equipped to evaluate intelligence.” See </w:t>
      </w:r>
      <w:r w:rsidRPr="00FF59AA">
        <w:rPr>
          <w:i/>
          <w:iCs/>
        </w:rPr>
        <w:t xml:space="preserve">Leghaei </w:t>
      </w:r>
      <w:r w:rsidRPr="00082C9C">
        <w:t>v.</w:t>
      </w:r>
      <w:r w:rsidRPr="00FF59AA">
        <w:rPr>
          <w:i/>
          <w:iCs/>
        </w:rPr>
        <w:t xml:space="preserve"> Director General of Security</w:t>
      </w:r>
      <w:r>
        <w:t xml:space="preserve"> [2005] Federal Court of Australia 1576, para. 84.</w:t>
      </w:r>
    </w:p>
  </w:footnote>
  <w:footnote w:id="8">
    <w:p w:rsidR="00261A16" w:rsidRPr="00887BC2" w:rsidRDefault="00261A16" w:rsidP="00082C9C">
      <w:pPr>
        <w:pStyle w:val="FootnoteText"/>
      </w:pPr>
      <w:r>
        <w:tab/>
      </w:r>
      <w:r>
        <w:rPr>
          <w:rStyle w:val="FootnoteReference"/>
        </w:rPr>
        <w:footnoteRef/>
      </w:r>
      <w:r>
        <w:tab/>
        <w:t xml:space="preserve">Human Rights Committee general comment No. 32, para. 13. The author also refers to the jurisprudence of the Committee, including communication No. 846/1999, </w:t>
      </w:r>
      <w:r w:rsidRPr="00FF59AA">
        <w:rPr>
          <w:i/>
          <w:iCs/>
        </w:rPr>
        <w:t xml:space="preserve">Jansen-Gielen </w:t>
      </w:r>
      <w:r w:rsidRPr="00082C9C">
        <w:t>v.</w:t>
      </w:r>
      <w:r w:rsidRPr="00FF59AA">
        <w:rPr>
          <w:i/>
          <w:iCs/>
        </w:rPr>
        <w:t xml:space="preserve"> the Netherlands</w:t>
      </w:r>
      <w:r>
        <w:t xml:space="preserve">, Views adopted on 3 April 2001, para. 8.2; and communication No. 779/1997, </w:t>
      </w:r>
      <w:r w:rsidRPr="00FF59AA">
        <w:rPr>
          <w:i/>
          <w:iCs/>
        </w:rPr>
        <w:t xml:space="preserve">Äärelä and Näkkäläjärvi </w:t>
      </w:r>
      <w:r w:rsidRPr="00082C9C">
        <w:t>v.</w:t>
      </w:r>
      <w:r w:rsidRPr="00FF59AA">
        <w:rPr>
          <w:i/>
          <w:iCs/>
        </w:rPr>
        <w:t xml:space="preserve"> Finland</w:t>
      </w:r>
      <w:r>
        <w:t>, Views adopted on 24 October 2001, para. 7.4.</w:t>
      </w:r>
    </w:p>
  </w:footnote>
  <w:footnote w:id="9">
    <w:p w:rsidR="00261A16" w:rsidRPr="00BF5BA6" w:rsidRDefault="00261A16" w:rsidP="00082C9C">
      <w:pPr>
        <w:pStyle w:val="FootnoteText"/>
      </w:pPr>
      <w:r>
        <w:tab/>
      </w:r>
      <w:r>
        <w:rPr>
          <w:rStyle w:val="FootnoteReference"/>
        </w:rPr>
        <w:footnoteRef/>
      </w:r>
      <w:r>
        <w:tab/>
      </w:r>
      <w:r w:rsidRPr="00BF5BA6">
        <w:t>As mentioned in para</w:t>
      </w:r>
      <w:r>
        <w:t>. </w:t>
      </w:r>
      <w:r w:rsidRPr="00BF5BA6">
        <w:t>2.1</w:t>
      </w:r>
      <w:r>
        <w:t>3</w:t>
      </w:r>
      <w:r w:rsidRPr="00BF5BA6">
        <w:t xml:space="preserve"> above, by </w:t>
      </w:r>
      <w:r>
        <w:t xml:space="preserve">a </w:t>
      </w:r>
      <w:r w:rsidRPr="00BF5BA6">
        <w:t xml:space="preserve">letter dated 19 May 2010, the author informed the Committee that the </w:t>
      </w:r>
      <w:r>
        <w:t>Minister’s decision not to intervene concerned only</w:t>
      </w:r>
      <w:r w:rsidRPr="00BF5BA6">
        <w:t xml:space="preserve"> him</w:t>
      </w:r>
      <w:r>
        <w:t>. By ministerial intervention, h</w:t>
      </w:r>
      <w:r w:rsidRPr="00BF5BA6">
        <w:t xml:space="preserve">is wife and his children without Australian citizenship </w:t>
      </w:r>
      <w:r>
        <w:t>were</w:t>
      </w:r>
      <w:r w:rsidRPr="00BF5BA6">
        <w:t xml:space="preserve"> </w:t>
      </w:r>
      <w:r>
        <w:t xml:space="preserve">offered the possibility to stay in Australia through the </w:t>
      </w:r>
      <w:r w:rsidRPr="00BF5BA6">
        <w:t>grant</w:t>
      </w:r>
      <w:r>
        <w:t>ing of a</w:t>
      </w:r>
      <w:r w:rsidRPr="00BF5BA6">
        <w:t xml:space="preserve"> permanent residency </w:t>
      </w:r>
      <w:r>
        <w:t>visa</w:t>
      </w:r>
      <w:r w:rsidRPr="00BF5BA6">
        <w:t>.</w:t>
      </w:r>
    </w:p>
  </w:footnote>
  <w:footnote w:id="10">
    <w:p w:rsidR="00261A16" w:rsidRPr="00B23D19" w:rsidRDefault="00261A16" w:rsidP="00082C9C">
      <w:pPr>
        <w:pStyle w:val="FootnoteText"/>
      </w:pPr>
      <w:r>
        <w:tab/>
      </w:r>
      <w:r>
        <w:rPr>
          <w:rStyle w:val="FootnoteReference"/>
        </w:rPr>
        <w:footnoteRef/>
      </w:r>
      <w:r>
        <w:tab/>
      </w:r>
      <w:r w:rsidRPr="00B23D19">
        <w:t>For the full judgement</w:t>
      </w:r>
      <w:r>
        <w:t>,</w:t>
      </w:r>
      <w:r w:rsidRPr="00B23D19">
        <w:t xml:space="preserve"> see </w:t>
      </w:r>
      <w:r w:rsidRPr="00FF59AA">
        <w:rPr>
          <w:i/>
          <w:iCs/>
        </w:rPr>
        <w:t xml:space="preserve">Leghaei </w:t>
      </w:r>
      <w:r w:rsidRPr="00082C9C">
        <w:t>v.</w:t>
      </w:r>
      <w:r w:rsidRPr="00FF59AA">
        <w:rPr>
          <w:i/>
          <w:iCs/>
        </w:rPr>
        <w:t xml:space="preserve"> Director</w:t>
      </w:r>
      <w:r>
        <w:rPr>
          <w:i/>
          <w:iCs/>
        </w:rPr>
        <w:t xml:space="preserve"> </w:t>
      </w:r>
      <w:r w:rsidRPr="00FF59AA">
        <w:rPr>
          <w:i/>
          <w:iCs/>
        </w:rPr>
        <w:t>General of Security</w:t>
      </w:r>
      <w:r>
        <w:t xml:space="preserve"> [2005] Federal Court of Australia 1576.</w:t>
      </w:r>
    </w:p>
  </w:footnote>
  <w:footnote w:id="11">
    <w:p w:rsidR="00261A16" w:rsidRPr="000738CA" w:rsidRDefault="00261A16">
      <w:pPr>
        <w:pStyle w:val="FootnoteText"/>
      </w:pPr>
      <w:r>
        <w:tab/>
      </w:r>
      <w:r>
        <w:rPr>
          <w:rStyle w:val="FootnoteReference"/>
        </w:rPr>
        <w:footnoteRef/>
      </w:r>
      <w:r>
        <w:tab/>
        <w:t>The author denies such contention.</w:t>
      </w:r>
    </w:p>
  </w:footnote>
  <w:footnote w:id="12">
    <w:p w:rsidR="00261A16" w:rsidRPr="00EC3DCA" w:rsidRDefault="00261A16">
      <w:pPr>
        <w:pStyle w:val="FootnoteText"/>
      </w:pPr>
      <w:r>
        <w:tab/>
      </w:r>
      <w:r>
        <w:rPr>
          <w:rStyle w:val="FootnoteReference"/>
        </w:rPr>
        <w:footnoteRef/>
      </w:r>
      <w:r>
        <w:tab/>
      </w:r>
      <w:r w:rsidRPr="00EC3DCA">
        <w:t xml:space="preserve">According to the State party, confidential evidence before the Court is </w:t>
      </w:r>
      <w:r>
        <w:t>subject to confidentiality orders and cannot be released.</w:t>
      </w:r>
    </w:p>
  </w:footnote>
  <w:footnote w:id="13">
    <w:p w:rsidR="00261A16" w:rsidRPr="007F03F9" w:rsidRDefault="00261A16" w:rsidP="00082C9C">
      <w:pPr>
        <w:pStyle w:val="FootnoteText"/>
      </w:pPr>
      <w:r>
        <w:tab/>
      </w:r>
      <w:r>
        <w:rPr>
          <w:rStyle w:val="FootnoteReference"/>
        </w:rPr>
        <w:footnoteRef/>
      </w:r>
      <w:r>
        <w:tab/>
      </w:r>
      <w:r w:rsidRPr="007F03F9">
        <w:t xml:space="preserve">See </w:t>
      </w:r>
      <w:r w:rsidRPr="00287C91">
        <w:rPr>
          <w:i/>
          <w:iCs/>
        </w:rPr>
        <w:t xml:space="preserve">Leghaei </w:t>
      </w:r>
      <w:r w:rsidRPr="00287C91">
        <w:t>v.</w:t>
      </w:r>
      <w:r w:rsidRPr="00287C91">
        <w:rPr>
          <w:i/>
          <w:iCs/>
        </w:rPr>
        <w:t xml:space="preserve"> Director</w:t>
      </w:r>
      <w:r>
        <w:rPr>
          <w:i/>
          <w:iCs/>
        </w:rPr>
        <w:t xml:space="preserve"> </w:t>
      </w:r>
      <w:r w:rsidRPr="00287C91">
        <w:rPr>
          <w:i/>
          <w:iCs/>
        </w:rPr>
        <w:t>General of Security</w:t>
      </w:r>
      <w:r>
        <w:t xml:space="preserve"> [2005] Federal Court of Australia 1576</w:t>
      </w:r>
      <w:r w:rsidRPr="007F03F9">
        <w:t>, para</w:t>
      </w:r>
      <w:r>
        <w:t>s</w:t>
      </w:r>
      <w:r w:rsidRPr="007F03F9">
        <w:t>.</w:t>
      </w:r>
      <w:r>
        <w:t> 86 and 87.</w:t>
      </w:r>
    </w:p>
  </w:footnote>
  <w:footnote w:id="14">
    <w:p w:rsidR="00261A16" w:rsidRPr="00842048" w:rsidRDefault="00261A16" w:rsidP="00082C9C">
      <w:pPr>
        <w:pStyle w:val="FootnoteText"/>
      </w:pPr>
      <w:r>
        <w:tab/>
      </w:r>
      <w:r>
        <w:rPr>
          <w:rStyle w:val="FootnoteReference"/>
        </w:rPr>
        <w:footnoteRef/>
      </w:r>
      <w:r>
        <w:tab/>
        <w:t xml:space="preserve">See </w:t>
      </w:r>
      <w:r w:rsidRPr="00FF59AA">
        <w:rPr>
          <w:i/>
          <w:iCs/>
        </w:rPr>
        <w:t xml:space="preserve">Leghaei </w:t>
      </w:r>
      <w:r w:rsidRPr="00082C9C">
        <w:t>v.</w:t>
      </w:r>
      <w:r w:rsidRPr="00FF59AA">
        <w:rPr>
          <w:i/>
          <w:iCs/>
        </w:rPr>
        <w:t xml:space="preserve"> Director</w:t>
      </w:r>
      <w:r>
        <w:rPr>
          <w:i/>
          <w:iCs/>
        </w:rPr>
        <w:t xml:space="preserve"> </w:t>
      </w:r>
      <w:r w:rsidRPr="00FF59AA">
        <w:rPr>
          <w:i/>
          <w:iCs/>
        </w:rPr>
        <w:t>General of Security</w:t>
      </w:r>
      <w:r>
        <w:t xml:space="preserve"> [2007] Federal Court of Australia Full Court 37.</w:t>
      </w:r>
    </w:p>
  </w:footnote>
  <w:footnote w:id="15">
    <w:p w:rsidR="00261A16" w:rsidRPr="00B869CF" w:rsidRDefault="00261A16" w:rsidP="00175944">
      <w:pPr>
        <w:pStyle w:val="FootnoteText"/>
      </w:pPr>
      <w:r>
        <w:tab/>
      </w:r>
      <w:r>
        <w:rPr>
          <w:rStyle w:val="FootnoteReference"/>
        </w:rPr>
        <w:footnoteRef/>
      </w:r>
      <w:r>
        <w:tab/>
        <w:t xml:space="preserve">See </w:t>
      </w:r>
      <w:r w:rsidRPr="00287C91">
        <w:rPr>
          <w:i/>
          <w:iCs/>
        </w:rPr>
        <w:t xml:space="preserve">Leghaei </w:t>
      </w:r>
      <w:r w:rsidRPr="00287C91">
        <w:t>v.</w:t>
      </w:r>
      <w:r w:rsidRPr="00287C91">
        <w:rPr>
          <w:i/>
          <w:iCs/>
        </w:rPr>
        <w:t xml:space="preserve"> Director</w:t>
      </w:r>
      <w:r>
        <w:rPr>
          <w:i/>
          <w:iCs/>
        </w:rPr>
        <w:t xml:space="preserve"> </w:t>
      </w:r>
      <w:r w:rsidRPr="00287C91">
        <w:rPr>
          <w:i/>
          <w:iCs/>
        </w:rPr>
        <w:t>General of Security</w:t>
      </w:r>
      <w:r>
        <w:t xml:space="preserve"> [2005] Federal Court of Australia 1576, para. 101.</w:t>
      </w:r>
    </w:p>
  </w:footnote>
  <w:footnote w:id="16">
    <w:p w:rsidR="00261A16" w:rsidRPr="00A633D3" w:rsidRDefault="00261A16" w:rsidP="00082C9C">
      <w:pPr>
        <w:pStyle w:val="FootnoteText"/>
      </w:pPr>
      <w:r>
        <w:tab/>
      </w:r>
      <w:r>
        <w:rPr>
          <w:rStyle w:val="FootnoteReference"/>
        </w:rPr>
        <w:footnoteRef/>
      </w:r>
      <w:r>
        <w:tab/>
        <w:t>See c</w:t>
      </w:r>
      <w:r w:rsidRPr="00A633D3">
        <w:t>ommunication</w:t>
      </w:r>
      <w:r>
        <w:t xml:space="preserve"> No. 1051/2002, </w:t>
      </w:r>
      <w:r w:rsidRPr="00FF59AA">
        <w:rPr>
          <w:i/>
          <w:iCs/>
        </w:rPr>
        <w:t xml:space="preserve">Ahani </w:t>
      </w:r>
      <w:r w:rsidRPr="00082C9C">
        <w:t>v.</w:t>
      </w:r>
      <w:r w:rsidRPr="00FF59AA">
        <w:rPr>
          <w:i/>
          <w:iCs/>
        </w:rPr>
        <w:t xml:space="preserve"> Canada</w:t>
      </w:r>
      <w:r>
        <w:t>, Views adopted on 29 March 2004.</w:t>
      </w:r>
    </w:p>
  </w:footnote>
  <w:footnote w:id="17">
    <w:p w:rsidR="00261A16" w:rsidRPr="00747EED" w:rsidRDefault="00261A16" w:rsidP="00082C9C">
      <w:pPr>
        <w:pStyle w:val="FootnoteText"/>
      </w:pPr>
      <w:r>
        <w:tab/>
      </w:r>
      <w:r>
        <w:rPr>
          <w:rStyle w:val="FootnoteReference"/>
        </w:rPr>
        <w:footnoteRef/>
      </w:r>
      <w:r>
        <w:tab/>
        <w:t>See c</w:t>
      </w:r>
      <w:r w:rsidRPr="00747EED">
        <w:t>ommunication</w:t>
      </w:r>
      <w:r>
        <w:t xml:space="preserve"> No. </w:t>
      </w:r>
      <w:r w:rsidRPr="00747EED">
        <w:t xml:space="preserve">1416/2005, </w:t>
      </w:r>
      <w:r w:rsidRPr="00FF59AA">
        <w:rPr>
          <w:i/>
          <w:iCs/>
        </w:rPr>
        <w:t xml:space="preserve">Alzery </w:t>
      </w:r>
      <w:r w:rsidRPr="00082C9C">
        <w:t>v.</w:t>
      </w:r>
      <w:r w:rsidRPr="00FF59AA">
        <w:rPr>
          <w:i/>
          <w:iCs/>
        </w:rPr>
        <w:t xml:space="preserve"> Sweden</w:t>
      </w:r>
      <w:r w:rsidRPr="00747EED">
        <w:t>, Views adopted on 25 October 2006, para.</w:t>
      </w:r>
      <w:r>
        <w:t xml:space="preserve"> 11.10. See also communication No. 236/1987, </w:t>
      </w:r>
      <w:r w:rsidRPr="00FF59AA">
        <w:rPr>
          <w:i/>
          <w:iCs/>
        </w:rPr>
        <w:t>V.M.R.B</w:t>
      </w:r>
      <w:r>
        <w:rPr>
          <w:i/>
          <w:iCs/>
        </w:rPr>
        <w:t>.</w:t>
      </w:r>
      <w:r w:rsidRPr="00FF59AA">
        <w:rPr>
          <w:i/>
          <w:iCs/>
        </w:rPr>
        <w:t xml:space="preserve"> </w:t>
      </w:r>
      <w:r w:rsidRPr="00082C9C">
        <w:t>v.</w:t>
      </w:r>
      <w:r w:rsidRPr="00FF59AA">
        <w:rPr>
          <w:i/>
          <w:iCs/>
        </w:rPr>
        <w:t xml:space="preserve"> Canada</w:t>
      </w:r>
      <w:r>
        <w:t>, Views adopted on</w:t>
      </w:r>
      <w:r>
        <w:br/>
        <w:t>18 July 1988, para. 6.3.</w:t>
      </w:r>
    </w:p>
  </w:footnote>
  <w:footnote w:id="18">
    <w:p w:rsidR="00261A16" w:rsidRPr="00322EF4" w:rsidRDefault="00261A16" w:rsidP="00082C9C">
      <w:pPr>
        <w:pStyle w:val="FootnoteText"/>
      </w:pPr>
      <w:r>
        <w:tab/>
      </w:r>
      <w:r>
        <w:rPr>
          <w:rStyle w:val="FootnoteReference"/>
        </w:rPr>
        <w:footnoteRef/>
      </w:r>
      <w:r>
        <w:tab/>
      </w:r>
      <w:r w:rsidRPr="00287C91">
        <w:rPr>
          <w:i/>
          <w:iCs/>
        </w:rPr>
        <w:t xml:space="preserve">Leghaei </w:t>
      </w:r>
      <w:r w:rsidRPr="00287C91">
        <w:t>v.</w:t>
      </w:r>
      <w:r w:rsidRPr="00287C91">
        <w:rPr>
          <w:i/>
          <w:iCs/>
        </w:rPr>
        <w:t xml:space="preserve"> Director</w:t>
      </w:r>
      <w:r>
        <w:rPr>
          <w:i/>
          <w:iCs/>
        </w:rPr>
        <w:t xml:space="preserve"> </w:t>
      </w:r>
      <w:r w:rsidRPr="00287C91">
        <w:rPr>
          <w:i/>
          <w:iCs/>
        </w:rPr>
        <w:t>General of Security</w:t>
      </w:r>
      <w:r>
        <w:t xml:space="preserve"> [2005] Federal Court of Australia 1576</w:t>
      </w:r>
      <w:r w:rsidRPr="007F03F9">
        <w:t>,</w:t>
      </w:r>
      <w:r w:rsidRPr="00322EF4">
        <w:t xml:space="preserve"> para.</w:t>
      </w:r>
      <w:r>
        <w:t> 86.</w:t>
      </w:r>
    </w:p>
  </w:footnote>
  <w:footnote w:id="19">
    <w:p w:rsidR="00261A16" w:rsidRPr="00A956BA" w:rsidRDefault="00261A16" w:rsidP="00082C9C">
      <w:pPr>
        <w:pStyle w:val="FootnoteText"/>
      </w:pPr>
      <w:r>
        <w:tab/>
      </w:r>
      <w:r>
        <w:rPr>
          <w:rStyle w:val="FootnoteReference"/>
        </w:rPr>
        <w:footnoteRef/>
      </w:r>
      <w:r>
        <w:tab/>
        <w:t>See c</w:t>
      </w:r>
      <w:r w:rsidRPr="00A956BA">
        <w:t>ommunication</w:t>
      </w:r>
      <w:r>
        <w:t xml:space="preserve"> No. 930/2000</w:t>
      </w:r>
      <w:r w:rsidRPr="00FF59AA">
        <w:rPr>
          <w:lang w:val="en-GB"/>
        </w:rPr>
        <w:t xml:space="preserve">, </w:t>
      </w:r>
      <w:r w:rsidRPr="00FF59AA">
        <w:rPr>
          <w:i/>
          <w:iCs/>
          <w:lang w:val="en-GB"/>
        </w:rPr>
        <w:t xml:space="preserve">Winata </w:t>
      </w:r>
      <w:r w:rsidRPr="00FF59AA">
        <w:rPr>
          <w:lang w:val="en-GB"/>
        </w:rPr>
        <w:t>v.</w:t>
      </w:r>
      <w:r w:rsidRPr="00FF59AA">
        <w:rPr>
          <w:i/>
          <w:iCs/>
        </w:rPr>
        <w:t xml:space="preserve"> Australia</w:t>
      </w:r>
      <w:r w:rsidRPr="008C71F0">
        <w:t xml:space="preserve">, </w:t>
      </w:r>
      <w:r>
        <w:t xml:space="preserve">Views adopted on 26 July 2001, </w:t>
      </w:r>
      <w:r w:rsidRPr="008C71F0">
        <w:t>para.</w:t>
      </w:r>
      <w:r>
        <w:t> </w:t>
      </w:r>
      <w:r w:rsidRPr="00A956BA">
        <w:t>7.</w:t>
      </w:r>
      <w:r>
        <w:t>2</w:t>
      </w:r>
      <w:r w:rsidRPr="00A956BA">
        <w:t xml:space="preserve">; </w:t>
      </w:r>
      <w:r>
        <w:t xml:space="preserve">and communication No. 1011/2001, </w:t>
      </w:r>
      <w:r w:rsidRPr="00FF59AA">
        <w:rPr>
          <w:i/>
          <w:iCs/>
        </w:rPr>
        <w:t xml:space="preserve">Madafferi </w:t>
      </w:r>
      <w:r w:rsidRPr="002D4C56">
        <w:t>v.</w:t>
      </w:r>
      <w:r w:rsidRPr="00FF59AA">
        <w:rPr>
          <w:i/>
          <w:iCs/>
        </w:rPr>
        <w:t xml:space="preserve"> Australia</w:t>
      </w:r>
      <w:r w:rsidRPr="00A956BA">
        <w:t>,</w:t>
      </w:r>
      <w:r>
        <w:t xml:space="preserve"> Views adopted on 26 July 2004, </w:t>
      </w:r>
      <w:r w:rsidRPr="00A956BA">
        <w:t>para.</w:t>
      </w:r>
      <w:r>
        <w:t> </w:t>
      </w:r>
      <w:r w:rsidRPr="00A956BA">
        <w:t>9.8.</w:t>
      </w:r>
    </w:p>
  </w:footnote>
  <w:footnote w:id="20">
    <w:p w:rsidR="00261A16" w:rsidRPr="00A956BA" w:rsidRDefault="00261A16" w:rsidP="00082C9C">
      <w:pPr>
        <w:pStyle w:val="FootnoteText"/>
      </w:pPr>
      <w:r>
        <w:tab/>
      </w:r>
      <w:r>
        <w:rPr>
          <w:rStyle w:val="FootnoteReference"/>
        </w:rPr>
        <w:footnoteRef/>
      </w:r>
      <w:r>
        <w:tab/>
      </w:r>
      <w:r w:rsidRPr="00A956BA">
        <w:t xml:space="preserve">Dissenting opinion </w:t>
      </w:r>
      <w:r>
        <w:t>to c</w:t>
      </w:r>
      <w:r w:rsidRPr="00A956BA">
        <w:t>ommunication</w:t>
      </w:r>
      <w:r>
        <w:t xml:space="preserve"> No. 930/2000 by</w:t>
      </w:r>
      <w:r w:rsidRPr="00A956BA">
        <w:t xml:space="preserve"> Bhagwati, Khalil, Kretzmer and Yalden.</w:t>
      </w:r>
    </w:p>
  </w:footnote>
  <w:footnote w:id="21">
    <w:p w:rsidR="00261A16" w:rsidRPr="00A25C9F" w:rsidRDefault="00261A16" w:rsidP="00082C9C">
      <w:pPr>
        <w:pStyle w:val="FootnoteText"/>
      </w:pPr>
      <w:r>
        <w:tab/>
      </w:r>
      <w:r>
        <w:rPr>
          <w:rStyle w:val="FootnoteReference"/>
        </w:rPr>
        <w:footnoteRef/>
      </w:r>
      <w:r>
        <w:tab/>
        <w:t>See c</w:t>
      </w:r>
      <w:r w:rsidRPr="00A25C9F">
        <w:t>ommunication</w:t>
      </w:r>
      <w:r>
        <w:t xml:space="preserve"> No. 558/1993, </w:t>
      </w:r>
      <w:r w:rsidRPr="00FF59AA">
        <w:rPr>
          <w:i/>
          <w:iCs/>
        </w:rPr>
        <w:t xml:space="preserve">Canepa </w:t>
      </w:r>
      <w:r w:rsidRPr="00082C9C">
        <w:t>v.</w:t>
      </w:r>
      <w:r w:rsidRPr="00FF59AA">
        <w:rPr>
          <w:i/>
          <w:iCs/>
        </w:rPr>
        <w:t xml:space="preserve"> Canada</w:t>
      </w:r>
      <w:r>
        <w:t>, Views adopted on 3 April 1997, para. 11.4.</w:t>
      </w:r>
    </w:p>
  </w:footnote>
  <w:footnote w:id="22">
    <w:p w:rsidR="00261A16" w:rsidRPr="00A25C9F" w:rsidRDefault="00261A16" w:rsidP="00082C9C">
      <w:pPr>
        <w:pStyle w:val="FootnoteText"/>
      </w:pPr>
      <w:r>
        <w:tab/>
      </w:r>
      <w:r>
        <w:rPr>
          <w:rStyle w:val="FootnoteReference"/>
        </w:rPr>
        <w:footnoteRef/>
      </w:r>
      <w:r>
        <w:tab/>
        <w:t xml:space="preserve">See </w:t>
      </w:r>
      <w:r w:rsidRPr="00FF59AA">
        <w:rPr>
          <w:i/>
          <w:iCs/>
        </w:rPr>
        <w:t>Mada</w:t>
      </w:r>
      <w:r>
        <w:rPr>
          <w:i/>
          <w:iCs/>
        </w:rPr>
        <w:t>f</w:t>
      </w:r>
      <w:r w:rsidRPr="00FF59AA">
        <w:rPr>
          <w:i/>
          <w:iCs/>
        </w:rPr>
        <w:t xml:space="preserve">feri </w:t>
      </w:r>
      <w:r w:rsidRPr="00082C9C">
        <w:t>v.</w:t>
      </w:r>
      <w:r w:rsidRPr="00FF59AA">
        <w:rPr>
          <w:i/>
          <w:iCs/>
        </w:rPr>
        <w:t xml:space="preserve"> Australia</w:t>
      </w:r>
      <w:r>
        <w:t>, para. 9.8.</w:t>
      </w:r>
    </w:p>
  </w:footnote>
  <w:footnote w:id="23">
    <w:p w:rsidR="00261A16" w:rsidRPr="00EC766A" w:rsidRDefault="00261A16" w:rsidP="00190F70">
      <w:pPr>
        <w:pStyle w:val="FootnoteText"/>
      </w:pPr>
      <w:r>
        <w:tab/>
      </w:r>
      <w:r>
        <w:rPr>
          <w:rStyle w:val="FootnoteReference"/>
        </w:rPr>
        <w:footnoteRef/>
      </w:r>
      <w:r>
        <w:tab/>
        <w:t>General c</w:t>
      </w:r>
      <w:r w:rsidRPr="00EC766A">
        <w:t xml:space="preserve">omment </w:t>
      </w:r>
      <w:r>
        <w:t xml:space="preserve">No. </w:t>
      </w:r>
      <w:r w:rsidRPr="00EC766A">
        <w:t>15, para.</w:t>
      </w:r>
      <w:r>
        <w:t> 10.</w:t>
      </w:r>
    </w:p>
  </w:footnote>
  <w:footnote w:id="24">
    <w:p w:rsidR="00261A16" w:rsidRPr="00793824" w:rsidRDefault="00261A16">
      <w:pPr>
        <w:pStyle w:val="FootnoteText"/>
      </w:pPr>
      <w:r>
        <w:tab/>
      </w:r>
      <w:r>
        <w:rPr>
          <w:rStyle w:val="FootnoteReference"/>
        </w:rPr>
        <w:footnoteRef/>
      </w:r>
      <w:r>
        <w:tab/>
        <w:t xml:space="preserve">See </w:t>
      </w:r>
      <w:r w:rsidRPr="00FF59AA">
        <w:rPr>
          <w:i/>
          <w:iCs/>
        </w:rPr>
        <w:t xml:space="preserve">Ahani </w:t>
      </w:r>
      <w:r w:rsidRPr="00F11A9E">
        <w:t>v.</w:t>
      </w:r>
      <w:r w:rsidRPr="00FF59AA">
        <w:rPr>
          <w:i/>
          <w:iCs/>
        </w:rPr>
        <w:t xml:space="preserve"> Canada</w:t>
      </w:r>
      <w:r>
        <w:t>, para. 10.5.</w:t>
      </w:r>
    </w:p>
  </w:footnote>
  <w:footnote w:id="25">
    <w:p w:rsidR="00261A16" w:rsidRPr="0090328C" w:rsidRDefault="00261A16" w:rsidP="00F11A9E">
      <w:pPr>
        <w:pStyle w:val="FootnoteText"/>
      </w:pPr>
      <w:r>
        <w:tab/>
      </w:r>
      <w:r w:rsidRPr="00F11A9E">
        <w:rPr>
          <w:rStyle w:val="FootnoteReference"/>
        </w:rPr>
        <w:footnoteRef/>
      </w:r>
      <w:r w:rsidRPr="00F11A9E">
        <w:tab/>
      </w:r>
      <w:r w:rsidRPr="00FF59AA">
        <w:t>Ibid.</w:t>
      </w:r>
      <w:r w:rsidRPr="00F11A9E">
        <w:t>, para</w:t>
      </w:r>
      <w:r>
        <w:t>. 10.6.</w:t>
      </w:r>
    </w:p>
  </w:footnote>
  <w:footnote w:id="26">
    <w:p w:rsidR="00261A16" w:rsidRPr="00A20E8E" w:rsidRDefault="00261A16" w:rsidP="00D53D18">
      <w:pPr>
        <w:pStyle w:val="FootnoteText"/>
      </w:pPr>
      <w:r>
        <w:tab/>
      </w:r>
      <w:r>
        <w:rPr>
          <w:rStyle w:val="FootnoteReference"/>
        </w:rPr>
        <w:footnoteRef/>
      </w:r>
      <w:r>
        <w:tab/>
      </w:r>
      <w:r w:rsidRPr="00A20E8E">
        <w:t xml:space="preserve">Australian Human Rights Commission, </w:t>
      </w:r>
      <w:r>
        <w:t>“</w:t>
      </w:r>
      <w:r w:rsidRPr="00A20E8E">
        <w:t>2011</w:t>
      </w:r>
      <w:r>
        <w:t>:</w:t>
      </w:r>
      <w:r w:rsidRPr="00A20E8E">
        <w:t xml:space="preserve"> Immigration detention at Villawood</w:t>
      </w:r>
      <w:r>
        <w:t>”,</w:t>
      </w:r>
      <w:r w:rsidRPr="00A20E8E">
        <w:t xml:space="preserve">  p.</w:t>
      </w:r>
      <w:r>
        <w:t> 12.</w:t>
      </w:r>
    </w:p>
  </w:footnote>
  <w:footnote w:id="27">
    <w:p w:rsidR="00261A16" w:rsidRPr="00845237" w:rsidRDefault="00261A16" w:rsidP="00FF59AA">
      <w:pPr>
        <w:pStyle w:val="FootnoteText"/>
        <w:rPr>
          <w:lang w:eastAsia="en-GB"/>
        </w:rPr>
      </w:pPr>
      <w:r w:rsidRPr="00A956BA">
        <w:tab/>
      </w:r>
      <w:r w:rsidRPr="00845237">
        <w:rPr>
          <w:rStyle w:val="FootnoteReference"/>
          <w:sz w:val="20"/>
        </w:rPr>
        <w:footnoteRef/>
      </w:r>
      <w:r>
        <w:tab/>
      </w:r>
      <w:r w:rsidRPr="00E7151B">
        <w:rPr>
          <w:lang w:eastAsia="en-GB"/>
        </w:rPr>
        <w:t>See</w:t>
      </w:r>
      <w:r>
        <w:rPr>
          <w:lang w:eastAsia="en-GB"/>
        </w:rPr>
        <w:t>,</w:t>
      </w:r>
      <w:r w:rsidRPr="00E7151B">
        <w:rPr>
          <w:lang w:eastAsia="en-GB"/>
        </w:rPr>
        <w:t xml:space="preserve"> </w:t>
      </w:r>
      <w:r w:rsidRPr="00FF59AA">
        <w:rPr>
          <w:lang w:eastAsia="en-GB"/>
        </w:rPr>
        <w:t>inter alia</w:t>
      </w:r>
      <w:r>
        <w:rPr>
          <w:lang w:eastAsia="en-GB"/>
        </w:rPr>
        <w:t>,</w:t>
      </w:r>
      <w:r w:rsidRPr="00FF59AA">
        <w:rPr>
          <w:lang w:eastAsia="en-GB"/>
        </w:rPr>
        <w:t xml:space="preserve"> </w:t>
      </w:r>
      <w:r w:rsidRPr="00E7151B">
        <w:rPr>
          <w:lang w:eastAsia="en-GB"/>
        </w:rPr>
        <w:t>communication</w:t>
      </w:r>
      <w:r>
        <w:rPr>
          <w:lang w:eastAsia="en-GB"/>
        </w:rPr>
        <w:t xml:space="preserve"> No. </w:t>
      </w:r>
      <w:r w:rsidRPr="00845237">
        <w:rPr>
          <w:lang w:eastAsia="en-GB"/>
        </w:rPr>
        <w:t xml:space="preserve">1959/2010, </w:t>
      </w:r>
      <w:r w:rsidRPr="00845237">
        <w:rPr>
          <w:i/>
          <w:lang w:eastAsia="en-GB"/>
        </w:rPr>
        <w:t xml:space="preserve">Warsame </w:t>
      </w:r>
      <w:r w:rsidRPr="00FF59AA">
        <w:rPr>
          <w:iCs/>
          <w:lang w:eastAsia="en-GB"/>
        </w:rPr>
        <w:t xml:space="preserve">v. </w:t>
      </w:r>
      <w:r w:rsidRPr="00845237">
        <w:rPr>
          <w:i/>
          <w:lang w:eastAsia="en-GB"/>
        </w:rPr>
        <w:t>Canada</w:t>
      </w:r>
      <w:r w:rsidRPr="00845237">
        <w:rPr>
          <w:lang w:eastAsia="en-GB"/>
        </w:rPr>
        <w:t xml:space="preserve">, </w:t>
      </w:r>
      <w:r>
        <w:rPr>
          <w:lang w:eastAsia="en-GB"/>
        </w:rPr>
        <w:t>Views adopted</w:t>
      </w:r>
      <w:r w:rsidRPr="00845237">
        <w:rPr>
          <w:lang w:eastAsia="en-GB"/>
        </w:rPr>
        <w:t xml:space="preserve"> on 21 July 2011, para.</w:t>
      </w:r>
      <w:r>
        <w:rPr>
          <w:lang w:eastAsia="en-GB"/>
        </w:rPr>
        <w:t> </w:t>
      </w:r>
      <w:r w:rsidRPr="00845237">
        <w:rPr>
          <w:lang w:eastAsia="en-GB"/>
        </w:rPr>
        <w:t xml:space="preserve">7.4; </w:t>
      </w:r>
      <w:r>
        <w:rPr>
          <w:lang w:eastAsia="en-GB"/>
        </w:rPr>
        <w:t>and communication No. </w:t>
      </w:r>
      <w:r w:rsidRPr="00845237">
        <w:rPr>
          <w:lang w:eastAsia="en-GB"/>
        </w:rPr>
        <w:t xml:space="preserve">1003/2001, </w:t>
      </w:r>
      <w:r w:rsidRPr="00845237">
        <w:rPr>
          <w:i/>
          <w:lang w:eastAsia="en-GB"/>
        </w:rPr>
        <w:t>P.L. v. Germany</w:t>
      </w:r>
      <w:r w:rsidRPr="00845237">
        <w:rPr>
          <w:lang w:eastAsia="en-GB"/>
        </w:rPr>
        <w:t xml:space="preserve">, </w:t>
      </w:r>
      <w:r>
        <w:rPr>
          <w:lang w:eastAsia="en-GB"/>
        </w:rPr>
        <w:t>decision of inadmissibility</w:t>
      </w:r>
      <w:r w:rsidRPr="00845237">
        <w:rPr>
          <w:lang w:eastAsia="en-GB"/>
        </w:rPr>
        <w:t xml:space="preserve"> </w:t>
      </w:r>
      <w:r>
        <w:rPr>
          <w:lang w:eastAsia="en-GB"/>
        </w:rPr>
        <w:t>adopted on</w:t>
      </w:r>
      <w:r w:rsidRPr="00845237">
        <w:rPr>
          <w:lang w:eastAsia="en-GB"/>
        </w:rPr>
        <w:t xml:space="preserve"> 22</w:t>
      </w:r>
      <w:r>
        <w:rPr>
          <w:lang w:eastAsia="en-GB"/>
        </w:rPr>
        <w:t> </w:t>
      </w:r>
      <w:r w:rsidRPr="00845237">
        <w:rPr>
          <w:lang w:eastAsia="en-GB"/>
        </w:rPr>
        <w:t>October 2003, para.</w:t>
      </w:r>
      <w:r>
        <w:rPr>
          <w:lang w:eastAsia="en-GB"/>
        </w:rPr>
        <w:t> </w:t>
      </w:r>
      <w:r w:rsidRPr="00845237">
        <w:rPr>
          <w:lang w:eastAsia="en-GB"/>
        </w:rPr>
        <w:t>6.5.</w:t>
      </w:r>
    </w:p>
  </w:footnote>
  <w:footnote w:id="28">
    <w:p w:rsidR="00261A16" w:rsidRPr="005002FC" w:rsidRDefault="00261A16" w:rsidP="00101E1B">
      <w:pPr>
        <w:pStyle w:val="FootnoteText"/>
      </w:pPr>
      <w:r>
        <w:tab/>
      </w:r>
      <w:r>
        <w:rPr>
          <w:rStyle w:val="FootnoteReference"/>
        </w:rPr>
        <w:footnoteRef/>
      </w:r>
      <w:r>
        <w:tab/>
        <w:t xml:space="preserve">See communication No. 1584/2007, </w:t>
      </w:r>
      <w:r w:rsidRPr="00FF59AA">
        <w:rPr>
          <w:i/>
          <w:iCs/>
        </w:rPr>
        <w:t xml:space="preserve">Meng Qin Chen </w:t>
      </w:r>
      <w:r w:rsidRPr="00101E1B">
        <w:t>v.</w:t>
      </w:r>
      <w:r w:rsidRPr="00FF59AA">
        <w:rPr>
          <w:i/>
          <w:iCs/>
        </w:rPr>
        <w:t xml:space="preserve"> </w:t>
      </w:r>
      <w:r>
        <w:rPr>
          <w:i/>
          <w:iCs/>
        </w:rPr>
        <w:t>t</w:t>
      </w:r>
      <w:r w:rsidRPr="00FF59AA">
        <w:rPr>
          <w:i/>
          <w:iCs/>
        </w:rPr>
        <w:t>he Netherlands</w:t>
      </w:r>
      <w:r>
        <w:t>, para. 6.2.</w:t>
      </w:r>
    </w:p>
  </w:footnote>
  <w:footnote w:id="29">
    <w:p w:rsidR="00261A16" w:rsidRPr="00C17F7E" w:rsidRDefault="00261A16" w:rsidP="00101E1B">
      <w:pPr>
        <w:pStyle w:val="FootnoteText"/>
      </w:pPr>
      <w:r>
        <w:tab/>
      </w:r>
      <w:r>
        <w:rPr>
          <w:rStyle w:val="FootnoteReference"/>
        </w:rPr>
        <w:footnoteRef/>
      </w:r>
      <w:r>
        <w:tab/>
        <w:t xml:space="preserve">See, inter alia, </w:t>
      </w:r>
      <w:r w:rsidRPr="00FF59AA">
        <w:rPr>
          <w:i/>
          <w:iCs/>
        </w:rPr>
        <w:t xml:space="preserve">Winata </w:t>
      </w:r>
      <w:r w:rsidRPr="00101E1B">
        <w:t>v.</w:t>
      </w:r>
      <w:r w:rsidRPr="00FF59AA">
        <w:rPr>
          <w:i/>
          <w:iCs/>
        </w:rPr>
        <w:t xml:space="preserve"> Australia</w:t>
      </w:r>
      <w:r w:rsidRPr="001800DE">
        <w:t>, par</w:t>
      </w:r>
      <w:r>
        <w:t xml:space="preserve">a. 7.1; </w:t>
      </w:r>
      <w:r w:rsidRPr="00FF59AA">
        <w:rPr>
          <w:i/>
          <w:iCs/>
        </w:rPr>
        <w:t xml:space="preserve">Madafferi </w:t>
      </w:r>
      <w:r w:rsidRPr="00101E1B">
        <w:t>v.</w:t>
      </w:r>
      <w:r w:rsidRPr="00FF59AA">
        <w:rPr>
          <w:i/>
          <w:iCs/>
        </w:rPr>
        <w:t xml:space="preserve"> Australia</w:t>
      </w:r>
      <w:r>
        <w:t>, para. 9.</w:t>
      </w:r>
      <w:r w:rsidRPr="00C17F7E">
        <w:t>7;</w:t>
      </w:r>
      <w:r>
        <w:br/>
        <w:t xml:space="preserve">and </w:t>
      </w:r>
      <w:r w:rsidRPr="00FF59AA">
        <w:rPr>
          <w:i/>
          <w:iCs/>
        </w:rPr>
        <w:t xml:space="preserve">Warsame </w:t>
      </w:r>
      <w:r w:rsidRPr="00101E1B">
        <w:t>v.</w:t>
      </w:r>
      <w:r w:rsidRPr="00FF59AA">
        <w:rPr>
          <w:i/>
          <w:iCs/>
        </w:rPr>
        <w:t xml:space="preserve"> Canada</w:t>
      </w:r>
      <w:r w:rsidRPr="00C17F7E">
        <w:t>, para.</w:t>
      </w:r>
      <w:r>
        <w:t> 8.7.</w:t>
      </w:r>
    </w:p>
  </w:footnote>
  <w:footnote w:id="30">
    <w:p w:rsidR="00261A16" w:rsidRPr="00F3058A" w:rsidRDefault="00261A16" w:rsidP="00D762F2">
      <w:pPr>
        <w:pStyle w:val="FootnoteText"/>
      </w:pPr>
      <w:r>
        <w:tab/>
      </w:r>
      <w:r>
        <w:rPr>
          <w:rStyle w:val="FootnoteReference"/>
        </w:rPr>
        <w:footnoteRef/>
      </w:r>
      <w:r>
        <w:tab/>
        <w:t xml:space="preserve">See </w:t>
      </w:r>
      <w:r w:rsidRPr="00FF59AA">
        <w:rPr>
          <w:i/>
          <w:iCs/>
        </w:rPr>
        <w:t xml:space="preserve">Madafferi </w:t>
      </w:r>
      <w:r w:rsidRPr="00D762F2">
        <w:t>v.</w:t>
      </w:r>
      <w:r w:rsidRPr="00FF59AA">
        <w:rPr>
          <w:i/>
          <w:iCs/>
        </w:rPr>
        <w:t xml:space="preserve"> Australia</w:t>
      </w:r>
      <w:r w:rsidRPr="00F3058A">
        <w:t>, para.</w:t>
      </w:r>
      <w:r>
        <w:t> </w:t>
      </w:r>
      <w:r w:rsidRPr="00F3058A">
        <w:t>9.</w:t>
      </w:r>
      <w:r>
        <w:t>8.</w:t>
      </w:r>
    </w:p>
  </w:footnote>
  <w:footnote w:id="31">
    <w:p w:rsidR="00261A16" w:rsidRPr="00117BB2" w:rsidRDefault="00261A16" w:rsidP="00850BAD">
      <w:pPr>
        <w:pStyle w:val="FootnoteText"/>
      </w:pPr>
      <w:r>
        <w:tab/>
      </w:r>
      <w:r>
        <w:rPr>
          <w:rStyle w:val="FootnoteReference"/>
        </w:rPr>
        <w:footnoteRef/>
      </w:r>
      <w:r>
        <w:tab/>
      </w:r>
      <w:r w:rsidRPr="00117BB2">
        <w:t>See</w:t>
      </w:r>
      <w:r>
        <w:t>,</w:t>
      </w:r>
      <w:r w:rsidRPr="00117BB2">
        <w:t xml:space="preserve"> inter alia</w:t>
      </w:r>
      <w:r>
        <w:t>,</w:t>
      </w:r>
      <w:r w:rsidRPr="00117BB2">
        <w:t xml:space="preserve"> communication</w:t>
      </w:r>
      <w:r>
        <w:t xml:space="preserve"> No. </w:t>
      </w:r>
      <w:r w:rsidRPr="00117BB2">
        <w:t xml:space="preserve">2009/2010, </w:t>
      </w:r>
      <w:r w:rsidRPr="00FF59AA">
        <w:rPr>
          <w:i/>
          <w:iCs/>
        </w:rPr>
        <w:t xml:space="preserve">Ilyasov </w:t>
      </w:r>
      <w:r w:rsidRPr="00D762F2">
        <w:t>v.</w:t>
      </w:r>
      <w:r w:rsidRPr="00FF59AA">
        <w:rPr>
          <w:i/>
          <w:iCs/>
        </w:rPr>
        <w:t xml:space="preserve"> Kazakhstan</w:t>
      </w:r>
      <w:r>
        <w:t>, Views adopted on</w:t>
      </w:r>
      <w:r>
        <w:br/>
        <w:t>23 July 2014, para.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16" w:rsidRPr="0041431D" w:rsidRDefault="00261A16" w:rsidP="001E1300">
    <w:pPr>
      <w:pStyle w:val="Header"/>
    </w:pPr>
    <w:r>
      <w:t>CCPR/C/113/D/1937/2010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16" w:rsidRPr="0041431D" w:rsidRDefault="00261A16" w:rsidP="001E1300">
    <w:pPr>
      <w:pStyle w:val="Header"/>
      <w:jc w:val="right"/>
    </w:pPr>
    <w:r>
      <w:t>CCPR/C/113/D/1937/2010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16" w:rsidRPr="00F62FAC" w:rsidRDefault="00C576B7">
    <w:pPr>
      <w:pStyle w:val="Header"/>
    </w:pPr>
    <w:r>
      <w:t>CCPR/C/113</w:t>
    </w:r>
    <w:r w:rsidR="00261A16">
      <w:t>/D/1</w:t>
    </w:r>
    <w:r>
      <w:t>937/2010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16" w:rsidRPr="00F62FAC" w:rsidRDefault="00261A16" w:rsidP="00987D06">
    <w:pPr>
      <w:pStyle w:val="Header"/>
      <w:jc w:val="right"/>
    </w:pPr>
    <w:r>
      <w:t>CCPR/C/113/D/1937/2010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07DB3"/>
    <w:multiLevelType w:val="multilevel"/>
    <w:tmpl w:val="26F4B3D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02D15"/>
    <w:multiLevelType w:val="multilevel"/>
    <w:tmpl w:val="2130A90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158A035E"/>
    <w:multiLevelType w:val="multilevel"/>
    <w:tmpl w:val="C770971A"/>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68"/>
    <w:rsid w:val="000020C5"/>
    <w:rsid w:val="00004AB5"/>
    <w:rsid w:val="00006179"/>
    <w:rsid w:val="000068A2"/>
    <w:rsid w:val="00006B2E"/>
    <w:rsid w:val="00007824"/>
    <w:rsid w:val="00010F93"/>
    <w:rsid w:val="00011FA3"/>
    <w:rsid w:val="00012AE1"/>
    <w:rsid w:val="000131BE"/>
    <w:rsid w:val="00013E79"/>
    <w:rsid w:val="00015573"/>
    <w:rsid w:val="0002169A"/>
    <w:rsid w:val="00021C8B"/>
    <w:rsid w:val="000223AB"/>
    <w:rsid w:val="00022D31"/>
    <w:rsid w:val="00026437"/>
    <w:rsid w:val="000264AE"/>
    <w:rsid w:val="000272B3"/>
    <w:rsid w:val="0003020D"/>
    <w:rsid w:val="00030376"/>
    <w:rsid w:val="00030F28"/>
    <w:rsid w:val="000328C2"/>
    <w:rsid w:val="000332D2"/>
    <w:rsid w:val="00034089"/>
    <w:rsid w:val="0003502C"/>
    <w:rsid w:val="0003533F"/>
    <w:rsid w:val="00035B53"/>
    <w:rsid w:val="00036E89"/>
    <w:rsid w:val="00041149"/>
    <w:rsid w:val="00043479"/>
    <w:rsid w:val="000461E6"/>
    <w:rsid w:val="000463EF"/>
    <w:rsid w:val="00046C89"/>
    <w:rsid w:val="00047B46"/>
    <w:rsid w:val="00047CD9"/>
    <w:rsid w:val="0005046A"/>
    <w:rsid w:val="000504B1"/>
    <w:rsid w:val="00050883"/>
    <w:rsid w:val="00050F6B"/>
    <w:rsid w:val="00051591"/>
    <w:rsid w:val="000531C2"/>
    <w:rsid w:val="0005385D"/>
    <w:rsid w:val="0005619A"/>
    <w:rsid w:val="00057787"/>
    <w:rsid w:val="00057C6D"/>
    <w:rsid w:val="00057E97"/>
    <w:rsid w:val="00060C3A"/>
    <w:rsid w:val="0006155F"/>
    <w:rsid w:val="00062703"/>
    <w:rsid w:val="00062754"/>
    <w:rsid w:val="00062B5C"/>
    <w:rsid w:val="00067966"/>
    <w:rsid w:val="00070CB6"/>
    <w:rsid w:val="00072C8C"/>
    <w:rsid w:val="000733B5"/>
    <w:rsid w:val="000738CA"/>
    <w:rsid w:val="0007643A"/>
    <w:rsid w:val="00077E96"/>
    <w:rsid w:val="00080862"/>
    <w:rsid w:val="000811C8"/>
    <w:rsid w:val="00081815"/>
    <w:rsid w:val="00081D70"/>
    <w:rsid w:val="00082B73"/>
    <w:rsid w:val="00082C9C"/>
    <w:rsid w:val="0008518A"/>
    <w:rsid w:val="000865C0"/>
    <w:rsid w:val="000871D3"/>
    <w:rsid w:val="00087646"/>
    <w:rsid w:val="00091D77"/>
    <w:rsid w:val="00091E07"/>
    <w:rsid w:val="000931C0"/>
    <w:rsid w:val="00097DF9"/>
    <w:rsid w:val="000A27C2"/>
    <w:rsid w:val="000A2A90"/>
    <w:rsid w:val="000A409B"/>
    <w:rsid w:val="000A433C"/>
    <w:rsid w:val="000A45DF"/>
    <w:rsid w:val="000A48E1"/>
    <w:rsid w:val="000A6B6E"/>
    <w:rsid w:val="000B0454"/>
    <w:rsid w:val="000B175B"/>
    <w:rsid w:val="000B3A0F"/>
    <w:rsid w:val="000B3C89"/>
    <w:rsid w:val="000B4EF7"/>
    <w:rsid w:val="000C2C03"/>
    <w:rsid w:val="000C2D2E"/>
    <w:rsid w:val="000C31C1"/>
    <w:rsid w:val="000C3DFF"/>
    <w:rsid w:val="000C5199"/>
    <w:rsid w:val="000C5644"/>
    <w:rsid w:val="000C7095"/>
    <w:rsid w:val="000D03E9"/>
    <w:rsid w:val="000D220D"/>
    <w:rsid w:val="000D2786"/>
    <w:rsid w:val="000D5882"/>
    <w:rsid w:val="000E0415"/>
    <w:rsid w:val="000E2374"/>
    <w:rsid w:val="000E2567"/>
    <w:rsid w:val="000E3C40"/>
    <w:rsid w:val="000E4B94"/>
    <w:rsid w:val="000E5008"/>
    <w:rsid w:val="000E591A"/>
    <w:rsid w:val="000E6F65"/>
    <w:rsid w:val="000E6F7C"/>
    <w:rsid w:val="000E7879"/>
    <w:rsid w:val="000F0563"/>
    <w:rsid w:val="000F238E"/>
    <w:rsid w:val="000F24CB"/>
    <w:rsid w:val="000F279F"/>
    <w:rsid w:val="000F35D1"/>
    <w:rsid w:val="000F3770"/>
    <w:rsid w:val="000F55F8"/>
    <w:rsid w:val="000F7C12"/>
    <w:rsid w:val="00100332"/>
    <w:rsid w:val="001010EA"/>
    <w:rsid w:val="00101523"/>
    <w:rsid w:val="00101E1B"/>
    <w:rsid w:val="00103379"/>
    <w:rsid w:val="00103AE2"/>
    <w:rsid w:val="0010512A"/>
    <w:rsid w:val="00105E77"/>
    <w:rsid w:val="00106270"/>
    <w:rsid w:val="001072B9"/>
    <w:rsid w:val="00107507"/>
    <w:rsid w:val="001103AA"/>
    <w:rsid w:val="00112BE4"/>
    <w:rsid w:val="00114504"/>
    <w:rsid w:val="00116032"/>
    <w:rsid w:val="00117BB2"/>
    <w:rsid w:val="00117EC2"/>
    <w:rsid w:val="00122216"/>
    <w:rsid w:val="00124CD5"/>
    <w:rsid w:val="00125301"/>
    <w:rsid w:val="001262D5"/>
    <w:rsid w:val="001337BA"/>
    <w:rsid w:val="00135EC5"/>
    <w:rsid w:val="0014042B"/>
    <w:rsid w:val="001410EF"/>
    <w:rsid w:val="001418B4"/>
    <w:rsid w:val="0014193F"/>
    <w:rsid w:val="001433D0"/>
    <w:rsid w:val="00144C24"/>
    <w:rsid w:val="001464A5"/>
    <w:rsid w:val="00147563"/>
    <w:rsid w:val="00147922"/>
    <w:rsid w:val="00147CB7"/>
    <w:rsid w:val="00150C8C"/>
    <w:rsid w:val="00151B8D"/>
    <w:rsid w:val="001522E6"/>
    <w:rsid w:val="00152EE6"/>
    <w:rsid w:val="00157543"/>
    <w:rsid w:val="001611D1"/>
    <w:rsid w:val="00161202"/>
    <w:rsid w:val="001620EE"/>
    <w:rsid w:val="0016271E"/>
    <w:rsid w:val="00162C5D"/>
    <w:rsid w:val="001645C2"/>
    <w:rsid w:val="00165DD8"/>
    <w:rsid w:val="00165F3A"/>
    <w:rsid w:val="00166EAC"/>
    <w:rsid w:val="00167DA9"/>
    <w:rsid w:val="00167FE1"/>
    <w:rsid w:val="00171383"/>
    <w:rsid w:val="001727A5"/>
    <w:rsid w:val="00175944"/>
    <w:rsid w:val="00175C92"/>
    <w:rsid w:val="001771C6"/>
    <w:rsid w:val="001776C3"/>
    <w:rsid w:val="001800DE"/>
    <w:rsid w:val="00181385"/>
    <w:rsid w:val="0018158F"/>
    <w:rsid w:val="00183968"/>
    <w:rsid w:val="0018435B"/>
    <w:rsid w:val="00184639"/>
    <w:rsid w:val="00185D11"/>
    <w:rsid w:val="00186CB9"/>
    <w:rsid w:val="00186F05"/>
    <w:rsid w:val="00187D0C"/>
    <w:rsid w:val="00190473"/>
    <w:rsid w:val="00190978"/>
    <w:rsid w:val="00190C86"/>
    <w:rsid w:val="00190F70"/>
    <w:rsid w:val="0019310E"/>
    <w:rsid w:val="001934D5"/>
    <w:rsid w:val="00193860"/>
    <w:rsid w:val="00194B73"/>
    <w:rsid w:val="00194C15"/>
    <w:rsid w:val="00195704"/>
    <w:rsid w:val="00196685"/>
    <w:rsid w:val="001A2152"/>
    <w:rsid w:val="001A31A9"/>
    <w:rsid w:val="001A4193"/>
    <w:rsid w:val="001A5190"/>
    <w:rsid w:val="001A6686"/>
    <w:rsid w:val="001A6AB5"/>
    <w:rsid w:val="001A7834"/>
    <w:rsid w:val="001B0D71"/>
    <w:rsid w:val="001B17D5"/>
    <w:rsid w:val="001B1EF2"/>
    <w:rsid w:val="001B3305"/>
    <w:rsid w:val="001B4B04"/>
    <w:rsid w:val="001B4E9A"/>
    <w:rsid w:val="001B56EE"/>
    <w:rsid w:val="001B590B"/>
    <w:rsid w:val="001C274F"/>
    <w:rsid w:val="001C27E3"/>
    <w:rsid w:val="001C3554"/>
    <w:rsid w:val="001C38AB"/>
    <w:rsid w:val="001C3F55"/>
    <w:rsid w:val="001C404E"/>
    <w:rsid w:val="001C5D8F"/>
    <w:rsid w:val="001C5F72"/>
    <w:rsid w:val="001C6663"/>
    <w:rsid w:val="001C7895"/>
    <w:rsid w:val="001C7CA1"/>
    <w:rsid w:val="001D0652"/>
    <w:rsid w:val="001D0C8C"/>
    <w:rsid w:val="001D26DF"/>
    <w:rsid w:val="001D3A03"/>
    <w:rsid w:val="001D5739"/>
    <w:rsid w:val="001D6405"/>
    <w:rsid w:val="001D69EC"/>
    <w:rsid w:val="001D7C4D"/>
    <w:rsid w:val="001E0AB4"/>
    <w:rsid w:val="001E1300"/>
    <w:rsid w:val="001E1577"/>
    <w:rsid w:val="001E23FD"/>
    <w:rsid w:val="001E27A7"/>
    <w:rsid w:val="001E3322"/>
    <w:rsid w:val="001E3788"/>
    <w:rsid w:val="001E4C3A"/>
    <w:rsid w:val="001E6D4F"/>
    <w:rsid w:val="001E748A"/>
    <w:rsid w:val="001E7A11"/>
    <w:rsid w:val="001F08BA"/>
    <w:rsid w:val="001F0B6B"/>
    <w:rsid w:val="001F2141"/>
    <w:rsid w:val="001F4894"/>
    <w:rsid w:val="001F61B2"/>
    <w:rsid w:val="001F7316"/>
    <w:rsid w:val="00201816"/>
    <w:rsid w:val="00202DA8"/>
    <w:rsid w:val="00203C23"/>
    <w:rsid w:val="00211E0B"/>
    <w:rsid w:val="00212B62"/>
    <w:rsid w:val="0021307D"/>
    <w:rsid w:val="002160D2"/>
    <w:rsid w:val="002167B4"/>
    <w:rsid w:val="0022225D"/>
    <w:rsid w:val="00224CAC"/>
    <w:rsid w:val="00224F53"/>
    <w:rsid w:val="00225F2C"/>
    <w:rsid w:val="00225F6F"/>
    <w:rsid w:val="00227FAF"/>
    <w:rsid w:val="002309CC"/>
    <w:rsid w:val="00230B41"/>
    <w:rsid w:val="00231A76"/>
    <w:rsid w:val="0023210C"/>
    <w:rsid w:val="00233A58"/>
    <w:rsid w:val="00235DD3"/>
    <w:rsid w:val="0023630F"/>
    <w:rsid w:val="00242CE3"/>
    <w:rsid w:val="0024314B"/>
    <w:rsid w:val="002437FA"/>
    <w:rsid w:val="00243A45"/>
    <w:rsid w:val="00243CF8"/>
    <w:rsid w:val="00245B93"/>
    <w:rsid w:val="00246BBE"/>
    <w:rsid w:val="00247848"/>
    <w:rsid w:val="00250A7A"/>
    <w:rsid w:val="0025124F"/>
    <w:rsid w:val="00252F59"/>
    <w:rsid w:val="00254346"/>
    <w:rsid w:val="00254FE5"/>
    <w:rsid w:val="0025537C"/>
    <w:rsid w:val="00256869"/>
    <w:rsid w:val="00261617"/>
    <w:rsid w:val="00261A16"/>
    <w:rsid w:val="00261BCB"/>
    <w:rsid w:val="00261E2B"/>
    <w:rsid w:val="00263258"/>
    <w:rsid w:val="00263E98"/>
    <w:rsid w:val="00266A21"/>
    <w:rsid w:val="002673CA"/>
    <w:rsid w:val="00267AB3"/>
    <w:rsid w:val="00267F5F"/>
    <w:rsid w:val="00270911"/>
    <w:rsid w:val="00270F1D"/>
    <w:rsid w:val="002711FB"/>
    <w:rsid w:val="00271469"/>
    <w:rsid w:val="002724D5"/>
    <w:rsid w:val="00272BBA"/>
    <w:rsid w:val="0027421D"/>
    <w:rsid w:val="0027600B"/>
    <w:rsid w:val="00277D56"/>
    <w:rsid w:val="00280E37"/>
    <w:rsid w:val="00281121"/>
    <w:rsid w:val="00281B2C"/>
    <w:rsid w:val="0028271C"/>
    <w:rsid w:val="00282C2C"/>
    <w:rsid w:val="00282D6C"/>
    <w:rsid w:val="00283156"/>
    <w:rsid w:val="00284298"/>
    <w:rsid w:val="00284D2D"/>
    <w:rsid w:val="00286B4D"/>
    <w:rsid w:val="00286C40"/>
    <w:rsid w:val="00287403"/>
    <w:rsid w:val="002909FE"/>
    <w:rsid w:val="00291845"/>
    <w:rsid w:val="002939EF"/>
    <w:rsid w:val="00293C7B"/>
    <w:rsid w:val="002A2996"/>
    <w:rsid w:val="002A4EF2"/>
    <w:rsid w:val="002A5138"/>
    <w:rsid w:val="002B0DC9"/>
    <w:rsid w:val="002B21CE"/>
    <w:rsid w:val="002B23BE"/>
    <w:rsid w:val="002B4282"/>
    <w:rsid w:val="002B5605"/>
    <w:rsid w:val="002C1C86"/>
    <w:rsid w:val="002C2550"/>
    <w:rsid w:val="002C2F9E"/>
    <w:rsid w:val="002C47F1"/>
    <w:rsid w:val="002C6B3C"/>
    <w:rsid w:val="002C747E"/>
    <w:rsid w:val="002C7A19"/>
    <w:rsid w:val="002D00B0"/>
    <w:rsid w:val="002D1058"/>
    <w:rsid w:val="002D1F4F"/>
    <w:rsid w:val="002D369F"/>
    <w:rsid w:val="002D40D3"/>
    <w:rsid w:val="002D4C56"/>
    <w:rsid w:val="002D558B"/>
    <w:rsid w:val="002D759D"/>
    <w:rsid w:val="002D7E7C"/>
    <w:rsid w:val="002E0D4D"/>
    <w:rsid w:val="002E107C"/>
    <w:rsid w:val="002E34C1"/>
    <w:rsid w:val="002E5163"/>
    <w:rsid w:val="002E5630"/>
    <w:rsid w:val="002E6086"/>
    <w:rsid w:val="002E60D6"/>
    <w:rsid w:val="002F175C"/>
    <w:rsid w:val="002F245E"/>
    <w:rsid w:val="002F2998"/>
    <w:rsid w:val="002F2C0E"/>
    <w:rsid w:val="002F54B1"/>
    <w:rsid w:val="002F650A"/>
    <w:rsid w:val="002F6FB6"/>
    <w:rsid w:val="002F71B3"/>
    <w:rsid w:val="002F73C5"/>
    <w:rsid w:val="002F7C45"/>
    <w:rsid w:val="00300010"/>
    <w:rsid w:val="003001A5"/>
    <w:rsid w:val="003002C1"/>
    <w:rsid w:val="00301923"/>
    <w:rsid w:val="00302B56"/>
    <w:rsid w:val="00303074"/>
    <w:rsid w:val="00306D67"/>
    <w:rsid w:val="00310D32"/>
    <w:rsid w:val="00310F9F"/>
    <w:rsid w:val="003120FD"/>
    <w:rsid w:val="00314756"/>
    <w:rsid w:val="00316923"/>
    <w:rsid w:val="00322165"/>
    <w:rsid w:val="003229D8"/>
    <w:rsid w:val="00322CD2"/>
    <w:rsid w:val="00322EF4"/>
    <w:rsid w:val="00326546"/>
    <w:rsid w:val="00327973"/>
    <w:rsid w:val="00332966"/>
    <w:rsid w:val="00333678"/>
    <w:rsid w:val="00334025"/>
    <w:rsid w:val="003341B2"/>
    <w:rsid w:val="003342C2"/>
    <w:rsid w:val="00334661"/>
    <w:rsid w:val="00334702"/>
    <w:rsid w:val="00335BB0"/>
    <w:rsid w:val="003366AA"/>
    <w:rsid w:val="00340994"/>
    <w:rsid w:val="00340D0A"/>
    <w:rsid w:val="00340FE7"/>
    <w:rsid w:val="00342369"/>
    <w:rsid w:val="00346765"/>
    <w:rsid w:val="00351B81"/>
    <w:rsid w:val="00352709"/>
    <w:rsid w:val="0035456B"/>
    <w:rsid w:val="00354D4D"/>
    <w:rsid w:val="00354D59"/>
    <w:rsid w:val="00354FE9"/>
    <w:rsid w:val="003551AA"/>
    <w:rsid w:val="00356B0C"/>
    <w:rsid w:val="00357970"/>
    <w:rsid w:val="003614C3"/>
    <w:rsid w:val="00361D65"/>
    <w:rsid w:val="00367567"/>
    <w:rsid w:val="00370F60"/>
    <w:rsid w:val="00371178"/>
    <w:rsid w:val="00371856"/>
    <w:rsid w:val="003730D4"/>
    <w:rsid w:val="003755D0"/>
    <w:rsid w:val="00375A07"/>
    <w:rsid w:val="00380261"/>
    <w:rsid w:val="0038336C"/>
    <w:rsid w:val="00383E84"/>
    <w:rsid w:val="0038589F"/>
    <w:rsid w:val="003870C5"/>
    <w:rsid w:val="003875F0"/>
    <w:rsid w:val="00390B2F"/>
    <w:rsid w:val="00391DD6"/>
    <w:rsid w:val="00395ADF"/>
    <w:rsid w:val="00395C4E"/>
    <w:rsid w:val="003A0437"/>
    <w:rsid w:val="003A202A"/>
    <w:rsid w:val="003A2F43"/>
    <w:rsid w:val="003A5F79"/>
    <w:rsid w:val="003A67BF"/>
    <w:rsid w:val="003A6810"/>
    <w:rsid w:val="003A681A"/>
    <w:rsid w:val="003A74EA"/>
    <w:rsid w:val="003B0775"/>
    <w:rsid w:val="003B0F4F"/>
    <w:rsid w:val="003B4130"/>
    <w:rsid w:val="003C141F"/>
    <w:rsid w:val="003C2CC4"/>
    <w:rsid w:val="003C2CFE"/>
    <w:rsid w:val="003D4B23"/>
    <w:rsid w:val="003D5150"/>
    <w:rsid w:val="003D545B"/>
    <w:rsid w:val="003D6120"/>
    <w:rsid w:val="003D6A26"/>
    <w:rsid w:val="003E20FB"/>
    <w:rsid w:val="003E22E3"/>
    <w:rsid w:val="003E32D3"/>
    <w:rsid w:val="003E5F14"/>
    <w:rsid w:val="003F0F87"/>
    <w:rsid w:val="003F134D"/>
    <w:rsid w:val="003F16EB"/>
    <w:rsid w:val="003F3ABB"/>
    <w:rsid w:val="003F458A"/>
    <w:rsid w:val="003F4A96"/>
    <w:rsid w:val="003F4C55"/>
    <w:rsid w:val="003F4DDB"/>
    <w:rsid w:val="003F544D"/>
    <w:rsid w:val="003F5C06"/>
    <w:rsid w:val="003F5FF8"/>
    <w:rsid w:val="00406607"/>
    <w:rsid w:val="0040783F"/>
    <w:rsid w:val="00410C89"/>
    <w:rsid w:val="00410EEA"/>
    <w:rsid w:val="00412D0B"/>
    <w:rsid w:val="0041431D"/>
    <w:rsid w:val="00416E9D"/>
    <w:rsid w:val="00417A13"/>
    <w:rsid w:val="00421BCB"/>
    <w:rsid w:val="004237AA"/>
    <w:rsid w:val="00423C99"/>
    <w:rsid w:val="00423F7C"/>
    <w:rsid w:val="0042420E"/>
    <w:rsid w:val="00424407"/>
    <w:rsid w:val="0042454F"/>
    <w:rsid w:val="00425A54"/>
    <w:rsid w:val="004268FD"/>
    <w:rsid w:val="00426B9B"/>
    <w:rsid w:val="00427AA7"/>
    <w:rsid w:val="004325CB"/>
    <w:rsid w:val="004351F8"/>
    <w:rsid w:val="00436B33"/>
    <w:rsid w:val="00437F0F"/>
    <w:rsid w:val="0044063A"/>
    <w:rsid w:val="004422B0"/>
    <w:rsid w:val="00442A83"/>
    <w:rsid w:val="00444212"/>
    <w:rsid w:val="00445D0E"/>
    <w:rsid w:val="00446554"/>
    <w:rsid w:val="00446E31"/>
    <w:rsid w:val="00450B53"/>
    <w:rsid w:val="00450C47"/>
    <w:rsid w:val="0045328B"/>
    <w:rsid w:val="00454052"/>
    <w:rsid w:val="0045495B"/>
    <w:rsid w:val="0045663C"/>
    <w:rsid w:val="004651B4"/>
    <w:rsid w:val="004737EF"/>
    <w:rsid w:val="00473F58"/>
    <w:rsid w:val="00474816"/>
    <w:rsid w:val="00475C2A"/>
    <w:rsid w:val="00480FA0"/>
    <w:rsid w:val="004810D4"/>
    <w:rsid w:val="004812DD"/>
    <w:rsid w:val="00481385"/>
    <w:rsid w:val="0048238C"/>
    <w:rsid w:val="004826BF"/>
    <w:rsid w:val="004839F0"/>
    <w:rsid w:val="00483C5A"/>
    <w:rsid w:val="00486398"/>
    <w:rsid w:val="00486E89"/>
    <w:rsid w:val="00487398"/>
    <w:rsid w:val="00487488"/>
    <w:rsid w:val="00487C02"/>
    <w:rsid w:val="00493933"/>
    <w:rsid w:val="00493D51"/>
    <w:rsid w:val="00493DC6"/>
    <w:rsid w:val="0049417B"/>
    <w:rsid w:val="0049564C"/>
    <w:rsid w:val="00497153"/>
    <w:rsid w:val="0049760F"/>
    <w:rsid w:val="004976A0"/>
    <w:rsid w:val="004A0A76"/>
    <w:rsid w:val="004A1250"/>
    <w:rsid w:val="004A3FCB"/>
    <w:rsid w:val="004A4916"/>
    <w:rsid w:val="004A4D7D"/>
    <w:rsid w:val="004A50B4"/>
    <w:rsid w:val="004A72B7"/>
    <w:rsid w:val="004A7F0A"/>
    <w:rsid w:val="004B1AFF"/>
    <w:rsid w:val="004B1BEB"/>
    <w:rsid w:val="004B2EC5"/>
    <w:rsid w:val="004B390C"/>
    <w:rsid w:val="004D4690"/>
    <w:rsid w:val="004D6362"/>
    <w:rsid w:val="004E01B1"/>
    <w:rsid w:val="004E1331"/>
    <w:rsid w:val="004E1802"/>
    <w:rsid w:val="004E1DD9"/>
    <w:rsid w:val="004E252C"/>
    <w:rsid w:val="004E3553"/>
    <w:rsid w:val="004E425F"/>
    <w:rsid w:val="004E6B26"/>
    <w:rsid w:val="004E72BB"/>
    <w:rsid w:val="004E74F6"/>
    <w:rsid w:val="004F193A"/>
    <w:rsid w:val="004F46F2"/>
    <w:rsid w:val="004F4903"/>
    <w:rsid w:val="004F5493"/>
    <w:rsid w:val="004F760E"/>
    <w:rsid w:val="005002FC"/>
    <w:rsid w:val="00502F5B"/>
    <w:rsid w:val="00504205"/>
    <w:rsid w:val="005057FB"/>
    <w:rsid w:val="00505BAB"/>
    <w:rsid w:val="00506302"/>
    <w:rsid w:val="00506819"/>
    <w:rsid w:val="00506F09"/>
    <w:rsid w:val="005073D8"/>
    <w:rsid w:val="00507E39"/>
    <w:rsid w:val="00507E3F"/>
    <w:rsid w:val="00513991"/>
    <w:rsid w:val="00514201"/>
    <w:rsid w:val="0051656F"/>
    <w:rsid w:val="00516D64"/>
    <w:rsid w:val="00517E88"/>
    <w:rsid w:val="0052136D"/>
    <w:rsid w:val="00521B1A"/>
    <w:rsid w:val="00523BB8"/>
    <w:rsid w:val="00523CA8"/>
    <w:rsid w:val="00525AAE"/>
    <w:rsid w:val="00526F6C"/>
    <w:rsid w:val="0052775E"/>
    <w:rsid w:val="00530697"/>
    <w:rsid w:val="00532AE9"/>
    <w:rsid w:val="00533AEF"/>
    <w:rsid w:val="00533F15"/>
    <w:rsid w:val="005361B1"/>
    <w:rsid w:val="00537279"/>
    <w:rsid w:val="00537C25"/>
    <w:rsid w:val="0054026F"/>
    <w:rsid w:val="00541DD3"/>
    <w:rsid w:val="005420F2"/>
    <w:rsid w:val="0054217F"/>
    <w:rsid w:val="00544965"/>
    <w:rsid w:val="00544DD7"/>
    <w:rsid w:val="005464B2"/>
    <w:rsid w:val="00554B30"/>
    <w:rsid w:val="005562E5"/>
    <w:rsid w:val="00556E8B"/>
    <w:rsid w:val="00561899"/>
    <w:rsid w:val="00561914"/>
    <w:rsid w:val="005628B6"/>
    <w:rsid w:val="00562BA6"/>
    <w:rsid w:val="00562C6B"/>
    <w:rsid w:val="00563BBF"/>
    <w:rsid w:val="005643C5"/>
    <w:rsid w:val="0056744E"/>
    <w:rsid w:val="00567701"/>
    <w:rsid w:val="0056795A"/>
    <w:rsid w:val="00571BB5"/>
    <w:rsid w:val="00573645"/>
    <w:rsid w:val="005736CA"/>
    <w:rsid w:val="00574293"/>
    <w:rsid w:val="00574A82"/>
    <w:rsid w:val="00574C83"/>
    <w:rsid w:val="00574EED"/>
    <w:rsid w:val="005750DF"/>
    <w:rsid w:val="00576CD3"/>
    <w:rsid w:val="005802A0"/>
    <w:rsid w:val="005830C0"/>
    <w:rsid w:val="005832F5"/>
    <w:rsid w:val="005848A4"/>
    <w:rsid w:val="005848B3"/>
    <w:rsid w:val="00586EFC"/>
    <w:rsid w:val="0058722C"/>
    <w:rsid w:val="005874FC"/>
    <w:rsid w:val="00590FEE"/>
    <w:rsid w:val="00592849"/>
    <w:rsid w:val="00593E8B"/>
    <w:rsid w:val="005942E2"/>
    <w:rsid w:val="00595F52"/>
    <w:rsid w:val="005966FA"/>
    <w:rsid w:val="005A24D0"/>
    <w:rsid w:val="005A623D"/>
    <w:rsid w:val="005A6A48"/>
    <w:rsid w:val="005B07DF"/>
    <w:rsid w:val="005B14ED"/>
    <w:rsid w:val="005B1CCA"/>
    <w:rsid w:val="005B2DFB"/>
    <w:rsid w:val="005B3DB3"/>
    <w:rsid w:val="005B6525"/>
    <w:rsid w:val="005B674B"/>
    <w:rsid w:val="005B6DD8"/>
    <w:rsid w:val="005C2CFC"/>
    <w:rsid w:val="005C2D3B"/>
    <w:rsid w:val="005C5D5D"/>
    <w:rsid w:val="005C6230"/>
    <w:rsid w:val="005C7CB6"/>
    <w:rsid w:val="005D01C5"/>
    <w:rsid w:val="005D0876"/>
    <w:rsid w:val="005D47B9"/>
    <w:rsid w:val="005D5A0F"/>
    <w:rsid w:val="005D78C4"/>
    <w:rsid w:val="005D7C4F"/>
    <w:rsid w:val="005E1563"/>
    <w:rsid w:val="005E16A7"/>
    <w:rsid w:val="005E1859"/>
    <w:rsid w:val="005E18F8"/>
    <w:rsid w:val="005E1DCC"/>
    <w:rsid w:val="005E2CB3"/>
    <w:rsid w:val="005E57A0"/>
    <w:rsid w:val="005E5B88"/>
    <w:rsid w:val="005E7285"/>
    <w:rsid w:val="005F0FE0"/>
    <w:rsid w:val="005F1E3D"/>
    <w:rsid w:val="005F3CB0"/>
    <w:rsid w:val="005F5797"/>
    <w:rsid w:val="005F7717"/>
    <w:rsid w:val="005F7968"/>
    <w:rsid w:val="005F7B75"/>
    <w:rsid w:val="006001EE"/>
    <w:rsid w:val="006004B0"/>
    <w:rsid w:val="006004FE"/>
    <w:rsid w:val="006019AB"/>
    <w:rsid w:val="00605042"/>
    <w:rsid w:val="00605051"/>
    <w:rsid w:val="00605091"/>
    <w:rsid w:val="00605D18"/>
    <w:rsid w:val="00605E65"/>
    <w:rsid w:val="00606B5C"/>
    <w:rsid w:val="00610235"/>
    <w:rsid w:val="0061038B"/>
    <w:rsid w:val="00611FC4"/>
    <w:rsid w:val="00612491"/>
    <w:rsid w:val="0061368B"/>
    <w:rsid w:val="006171E7"/>
    <w:rsid w:val="006176FB"/>
    <w:rsid w:val="00621028"/>
    <w:rsid w:val="00621B4A"/>
    <w:rsid w:val="006221C7"/>
    <w:rsid w:val="0062307D"/>
    <w:rsid w:val="00623516"/>
    <w:rsid w:val="00623724"/>
    <w:rsid w:val="00623F9A"/>
    <w:rsid w:val="006240AD"/>
    <w:rsid w:val="00624650"/>
    <w:rsid w:val="006260ED"/>
    <w:rsid w:val="00626582"/>
    <w:rsid w:val="00626C9F"/>
    <w:rsid w:val="006326B3"/>
    <w:rsid w:val="006346B5"/>
    <w:rsid w:val="0063570B"/>
    <w:rsid w:val="00635799"/>
    <w:rsid w:val="0063776F"/>
    <w:rsid w:val="006379DF"/>
    <w:rsid w:val="00637A41"/>
    <w:rsid w:val="006401B6"/>
    <w:rsid w:val="00640B26"/>
    <w:rsid w:val="00641548"/>
    <w:rsid w:val="00641950"/>
    <w:rsid w:val="00642DAE"/>
    <w:rsid w:val="00642F2F"/>
    <w:rsid w:val="006443B8"/>
    <w:rsid w:val="0065013D"/>
    <w:rsid w:val="00650E4E"/>
    <w:rsid w:val="006514AF"/>
    <w:rsid w:val="00651797"/>
    <w:rsid w:val="00652990"/>
    <w:rsid w:val="00652D0A"/>
    <w:rsid w:val="006574C4"/>
    <w:rsid w:val="00662661"/>
    <w:rsid w:val="00662BB6"/>
    <w:rsid w:val="0066550E"/>
    <w:rsid w:val="00667391"/>
    <w:rsid w:val="006711B5"/>
    <w:rsid w:val="00673F23"/>
    <w:rsid w:val="0067460C"/>
    <w:rsid w:val="006804E2"/>
    <w:rsid w:val="0068088D"/>
    <w:rsid w:val="0068162E"/>
    <w:rsid w:val="006847DE"/>
    <w:rsid w:val="00684C21"/>
    <w:rsid w:val="00691654"/>
    <w:rsid w:val="0069189C"/>
    <w:rsid w:val="00696DAC"/>
    <w:rsid w:val="00696E0A"/>
    <w:rsid w:val="00697B24"/>
    <w:rsid w:val="006A028E"/>
    <w:rsid w:val="006A1BB3"/>
    <w:rsid w:val="006A20A5"/>
    <w:rsid w:val="006A4E9F"/>
    <w:rsid w:val="006A4F01"/>
    <w:rsid w:val="006A68F7"/>
    <w:rsid w:val="006A758E"/>
    <w:rsid w:val="006A7F29"/>
    <w:rsid w:val="006B0A8F"/>
    <w:rsid w:val="006B1AB1"/>
    <w:rsid w:val="006B2105"/>
    <w:rsid w:val="006B27AB"/>
    <w:rsid w:val="006B2CB2"/>
    <w:rsid w:val="006B3153"/>
    <w:rsid w:val="006B3947"/>
    <w:rsid w:val="006B4AE0"/>
    <w:rsid w:val="006B60D5"/>
    <w:rsid w:val="006B7268"/>
    <w:rsid w:val="006C0FE3"/>
    <w:rsid w:val="006C6850"/>
    <w:rsid w:val="006C7438"/>
    <w:rsid w:val="006C7592"/>
    <w:rsid w:val="006D1CC2"/>
    <w:rsid w:val="006D37AF"/>
    <w:rsid w:val="006D51D0"/>
    <w:rsid w:val="006D7E4D"/>
    <w:rsid w:val="006E13C0"/>
    <w:rsid w:val="006E564B"/>
    <w:rsid w:val="006E6434"/>
    <w:rsid w:val="006E6EAE"/>
    <w:rsid w:val="006E7191"/>
    <w:rsid w:val="006E7BF0"/>
    <w:rsid w:val="006E7FF0"/>
    <w:rsid w:val="006F028D"/>
    <w:rsid w:val="006F230F"/>
    <w:rsid w:val="006F2596"/>
    <w:rsid w:val="006F47A5"/>
    <w:rsid w:val="006F57A1"/>
    <w:rsid w:val="006F683D"/>
    <w:rsid w:val="00700153"/>
    <w:rsid w:val="0070083A"/>
    <w:rsid w:val="007026C2"/>
    <w:rsid w:val="00703577"/>
    <w:rsid w:val="00703898"/>
    <w:rsid w:val="0070397E"/>
    <w:rsid w:val="00705D78"/>
    <w:rsid w:val="0070734A"/>
    <w:rsid w:val="007074F2"/>
    <w:rsid w:val="0071150E"/>
    <w:rsid w:val="007136B6"/>
    <w:rsid w:val="00713CE9"/>
    <w:rsid w:val="007175AB"/>
    <w:rsid w:val="007179CA"/>
    <w:rsid w:val="007202D6"/>
    <w:rsid w:val="00720D2F"/>
    <w:rsid w:val="007210D2"/>
    <w:rsid w:val="00723FB7"/>
    <w:rsid w:val="0072632A"/>
    <w:rsid w:val="00727DA7"/>
    <w:rsid w:val="00732614"/>
    <w:rsid w:val="007327D5"/>
    <w:rsid w:val="00736C1B"/>
    <w:rsid w:val="0074021D"/>
    <w:rsid w:val="00740CAA"/>
    <w:rsid w:val="00740D68"/>
    <w:rsid w:val="007412A0"/>
    <w:rsid w:val="00744D33"/>
    <w:rsid w:val="00746A41"/>
    <w:rsid w:val="007478C4"/>
    <w:rsid w:val="00747EED"/>
    <w:rsid w:val="00750943"/>
    <w:rsid w:val="00751811"/>
    <w:rsid w:val="007528EC"/>
    <w:rsid w:val="00753CE4"/>
    <w:rsid w:val="00754B27"/>
    <w:rsid w:val="00755188"/>
    <w:rsid w:val="007564CC"/>
    <w:rsid w:val="007569D9"/>
    <w:rsid w:val="00761801"/>
    <w:rsid w:val="00761915"/>
    <w:rsid w:val="00762271"/>
    <w:rsid w:val="007629C8"/>
    <w:rsid w:val="0076483F"/>
    <w:rsid w:val="007672D3"/>
    <w:rsid w:val="0077000D"/>
    <w:rsid w:val="00770897"/>
    <w:rsid w:val="00771CDE"/>
    <w:rsid w:val="00772739"/>
    <w:rsid w:val="007755B7"/>
    <w:rsid w:val="00776390"/>
    <w:rsid w:val="00781BDA"/>
    <w:rsid w:val="00782297"/>
    <w:rsid w:val="00783C6C"/>
    <w:rsid w:val="007864C1"/>
    <w:rsid w:val="007870C5"/>
    <w:rsid w:val="007875B7"/>
    <w:rsid w:val="0079059A"/>
    <w:rsid w:val="00790D1B"/>
    <w:rsid w:val="00790F1D"/>
    <w:rsid w:val="00791932"/>
    <w:rsid w:val="00793824"/>
    <w:rsid w:val="00793F54"/>
    <w:rsid w:val="007957C6"/>
    <w:rsid w:val="007968DB"/>
    <w:rsid w:val="00796BAF"/>
    <w:rsid w:val="00796D7D"/>
    <w:rsid w:val="00797A34"/>
    <w:rsid w:val="00797C1D"/>
    <w:rsid w:val="007A09BC"/>
    <w:rsid w:val="007A09EC"/>
    <w:rsid w:val="007A10D3"/>
    <w:rsid w:val="007A2A3A"/>
    <w:rsid w:val="007A38E9"/>
    <w:rsid w:val="007A4177"/>
    <w:rsid w:val="007A74F7"/>
    <w:rsid w:val="007B3C88"/>
    <w:rsid w:val="007B41EB"/>
    <w:rsid w:val="007B4662"/>
    <w:rsid w:val="007B592A"/>
    <w:rsid w:val="007B6B17"/>
    <w:rsid w:val="007B6BA5"/>
    <w:rsid w:val="007B7633"/>
    <w:rsid w:val="007C0927"/>
    <w:rsid w:val="007C1B55"/>
    <w:rsid w:val="007C3390"/>
    <w:rsid w:val="007C4F4B"/>
    <w:rsid w:val="007C6025"/>
    <w:rsid w:val="007C784F"/>
    <w:rsid w:val="007C7B62"/>
    <w:rsid w:val="007C7FD3"/>
    <w:rsid w:val="007D1C46"/>
    <w:rsid w:val="007D32BF"/>
    <w:rsid w:val="007D34D3"/>
    <w:rsid w:val="007D3BB0"/>
    <w:rsid w:val="007D74B4"/>
    <w:rsid w:val="007E0B2D"/>
    <w:rsid w:val="007E1112"/>
    <w:rsid w:val="007E115D"/>
    <w:rsid w:val="007E2719"/>
    <w:rsid w:val="007E3B45"/>
    <w:rsid w:val="007E5C60"/>
    <w:rsid w:val="007F03F9"/>
    <w:rsid w:val="007F27D6"/>
    <w:rsid w:val="007F3F3F"/>
    <w:rsid w:val="007F3FB4"/>
    <w:rsid w:val="007F422F"/>
    <w:rsid w:val="007F4AAD"/>
    <w:rsid w:val="007F6611"/>
    <w:rsid w:val="007F7DFD"/>
    <w:rsid w:val="00800AB3"/>
    <w:rsid w:val="00803767"/>
    <w:rsid w:val="008042AA"/>
    <w:rsid w:val="0080458E"/>
    <w:rsid w:val="0080567D"/>
    <w:rsid w:val="008061DA"/>
    <w:rsid w:val="008105B8"/>
    <w:rsid w:val="00811B08"/>
    <w:rsid w:val="00813EDB"/>
    <w:rsid w:val="008147FA"/>
    <w:rsid w:val="00815D95"/>
    <w:rsid w:val="00823D66"/>
    <w:rsid w:val="008240FD"/>
    <w:rsid w:val="008242D7"/>
    <w:rsid w:val="00824512"/>
    <w:rsid w:val="00824ECD"/>
    <w:rsid w:val="008257B1"/>
    <w:rsid w:val="00825AC4"/>
    <w:rsid w:val="00825D01"/>
    <w:rsid w:val="00826E68"/>
    <w:rsid w:val="008273FE"/>
    <w:rsid w:val="008300CF"/>
    <w:rsid w:val="00830964"/>
    <w:rsid w:val="00833A50"/>
    <w:rsid w:val="008363F2"/>
    <w:rsid w:val="008378CD"/>
    <w:rsid w:val="00842048"/>
    <w:rsid w:val="00842112"/>
    <w:rsid w:val="00843767"/>
    <w:rsid w:val="00843A20"/>
    <w:rsid w:val="0084549A"/>
    <w:rsid w:val="00845A9D"/>
    <w:rsid w:val="0084696A"/>
    <w:rsid w:val="00850BAD"/>
    <w:rsid w:val="00851476"/>
    <w:rsid w:val="00855236"/>
    <w:rsid w:val="00857BEC"/>
    <w:rsid w:val="00860460"/>
    <w:rsid w:val="008604CD"/>
    <w:rsid w:val="00862FDB"/>
    <w:rsid w:val="0086427E"/>
    <w:rsid w:val="008655E3"/>
    <w:rsid w:val="00865D70"/>
    <w:rsid w:val="00866EE2"/>
    <w:rsid w:val="00867035"/>
    <w:rsid w:val="008679D9"/>
    <w:rsid w:val="0087120F"/>
    <w:rsid w:val="008733EE"/>
    <w:rsid w:val="00874559"/>
    <w:rsid w:val="00881889"/>
    <w:rsid w:val="00883708"/>
    <w:rsid w:val="00883753"/>
    <w:rsid w:val="00886191"/>
    <w:rsid w:val="00887347"/>
    <w:rsid w:val="00887BC2"/>
    <w:rsid w:val="0089228E"/>
    <w:rsid w:val="00892CE1"/>
    <w:rsid w:val="008973AF"/>
    <w:rsid w:val="008979B1"/>
    <w:rsid w:val="008A057A"/>
    <w:rsid w:val="008A0A19"/>
    <w:rsid w:val="008A1DB2"/>
    <w:rsid w:val="008A3FEC"/>
    <w:rsid w:val="008A6920"/>
    <w:rsid w:val="008A6B25"/>
    <w:rsid w:val="008A6C4F"/>
    <w:rsid w:val="008A6E1D"/>
    <w:rsid w:val="008B0432"/>
    <w:rsid w:val="008B04A1"/>
    <w:rsid w:val="008B0E98"/>
    <w:rsid w:val="008B2335"/>
    <w:rsid w:val="008B242C"/>
    <w:rsid w:val="008B3D3E"/>
    <w:rsid w:val="008B543A"/>
    <w:rsid w:val="008B768B"/>
    <w:rsid w:val="008C1040"/>
    <w:rsid w:val="008C310B"/>
    <w:rsid w:val="008C429B"/>
    <w:rsid w:val="008C6A58"/>
    <w:rsid w:val="008C71F0"/>
    <w:rsid w:val="008D34D9"/>
    <w:rsid w:val="008D3989"/>
    <w:rsid w:val="008D48BD"/>
    <w:rsid w:val="008D4D7C"/>
    <w:rsid w:val="008E024A"/>
    <w:rsid w:val="008E0678"/>
    <w:rsid w:val="008E0924"/>
    <w:rsid w:val="008E160A"/>
    <w:rsid w:val="008E1B03"/>
    <w:rsid w:val="008E227A"/>
    <w:rsid w:val="008E39D2"/>
    <w:rsid w:val="008E63D9"/>
    <w:rsid w:val="008E794D"/>
    <w:rsid w:val="008E7CF1"/>
    <w:rsid w:val="008F1D74"/>
    <w:rsid w:val="00902A80"/>
    <w:rsid w:val="0090328C"/>
    <w:rsid w:val="009041E2"/>
    <w:rsid w:val="00904A8A"/>
    <w:rsid w:val="00904D5E"/>
    <w:rsid w:val="00905D99"/>
    <w:rsid w:val="00905E35"/>
    <w:rsid w:val="00907848"/>
    <w:rsid w:val="00910F40"/>
    <w:rsid w:val="00912C08"/>
    <w:rsid w:val="0091623D"/>
    <w:rsid w:val="0092062E"/>
    <w:rsid w:val="00921D35"/>
    <w:rsid w:val="009223CA"/>
    <w:rsid w:val="00923555"/>
    <w:rsid w:val="00924630"/>
    <w:rsid w:val="00925F0F"/>
    <w:rsid w:val="0092632D"/>
    <w:rsid w:val="00932A13"/>
    <w:rsid w:val="00932B4A"/>
    <w:rsid w:val="009337DF"/>
    <w:rsid w:val="00934005"/>
    <w:rsid w:val="009350CB"/>
    <w:rsid w:val="0093609A"/>
    <w:rsid w:val="00940F93"/>
    <w:rsid w:val="00945616"/>
    <w:rsid w:val="009464AF"/>
    <w:rsid w:val="00946BA2"/>
    <w:rsid w:val="00952C7C"/>
    <w:rsid w:val="0095347F"/>
    <w:rsid w:val="00953A51"/>
    <w:rsid w:val="00955DC6"/>
    <w:rsid w:val="009607AE"/>
    <w:rsid w:val="0096151F"/>
    <w:rsid w:val="0096169C"/>
    <w:rsid w:val="009621A2"/>
    <w:rsid w:val="0096260E"/>
    <w:rsid w:val="00965369"/>
    <w:rsid w:val="00965449"/>
    <w:rsid w:val="00966674"/>
    <w:rsid w:val="00971C39"/>
    <w:rsid w:val="009738FA"/>
    <w:rsid w:val="00974113"/>
    <w:rsid w:val="009744A4"/>
    <w:rsid w:val="00975168"/>
    <w:rsid w:val="009759D5"/>
    <w:rsid w:val="009760F3"/>
    <w:rsid w:val="009764AD"/>
    <w:rsid w:val="00976768"/>
    <w:rsid w:val="00976C08"/>
    <w:rsid w:val="00977722"/>
    <w:rsid w:val="009803E4"/>
    <w:rsid w:val="00980ACA"/>
    <w:rsid w:val="00981824"/>
    <w:rsid w:val="00982110"/>
    <w:rsid w:val="00982FDB"/>
    <w:rsid w:val="00983708"/>
    <w:rsid w:val="00983B02"/>
    <w:rsid w:val="009869FA"/>
    <w:rsid w:val="009879FE"/>
    <w:rsid w:val="00987D06"/>
    <w:rsid w:val="00987FEC"/>
    <w:rsid w:val="009909F5"/>
    <w:rsid w:val="00991D0C"/>
    <w:rsid w:val="00992533"/>
    <w:rsid w:val="00993071"/>
    <w:rsid w:val="00997D67"/>
    <w:rsid w:val="009A0488"/>
    <w:rsid w:val="009A0BDC"/>
    <w:rsid w:val="009A0E8D"/>
    <w:rsid w:val="009A155A"/>
    <w:rsid w:val="009A1663"/>
    <w:rsid w:val="009A1D38"/>
    <w:rsid w:val="009A31A5"/>
    <w:rsid w:val="009A3D9B"/>
    <w:rsid w:val="009B048C"/>
    <w:rsid w:val="009B05D7"/>
    <w:rsid w:val="009B1CDF"/>
    <w:rsid w:val="009B26E7"/>
    <w:rsid w:val="009B35DE"/>
    <w:rsid w:val="009B4C85"/>
    <w:rsid w:val="009B57FE"/>
    <w:rsid w:val="009B64EA"/>
    <w:rsid w:val="009B67D2"/>
    <w:rsid w:val="009B7294"/>
    <w:rsid w:val="009B74F0"/>
    <w:rsid w:val="009C080D"/>
    <w:rsid w:val="009C1B8A"/>
    <w:rsid w:val="009C1BE7"/>
    <w:rsid w:val="009C336A"/>
    <w:rsid w:val="009C5418"/>
    <w:rsid w:val="009D0DDB"/>
    <w:rsid w:val="009D1943"/>
    <w:rsid w:val="009D25D8"/>
    <w:rsid w:val="009D59C4"/>
    <w:rsid w:val="009D61B5"/>
    <w:rsid w:val="009D6D97"/>
    <w:rsid w:val="009D7143"/>
    <w:rsid w:val="009D7AA2"/>
    <w:rsid w:val="009E0018"/>
    <w:rsid w:val="009E1615"/>
    <w:rsid w:val="009E2041"/>
    <w:rsid w:val="009E35B5"/>
    <w:rsid w:val="009E3C36"/>
    <w:rsid w:val="009E409A"/>
    <w:rsid w:val="009E4832"/>
    <w:rsid w:val="009F6414"/>
    <w:rsid w:val="00A00A3F"/>
    <w:rsid w:val="00A01404"/>
    <w:rsid w:val="00A01489"/>
    <w:rsid w:val="00A02BA5"/>
    <w:rsid w:val="00A078A0"/>
    <w:rsid w:val="00A1083F"/>
    <w:rsid w:val="00A1533E"/>
    <w:rsid w:val="00A154D9"/>
    <w:rsid w:val="00A154F2"/>
    <w:rsid w:val="00A16C9F"/>
    <w:rsid w:val="00A2017A"/>
    <w:rsid w:val="00A20E8E"/>
    <w:rsid w:val="00A21744"/>
    <w:rsid w:val="00A22690"/>
    <w:rsid w:val="00A2356A"/>
    <w:rsid w:val="00A23855"/>
    <w:rsid w:val="00A25C9F"/>
    <w:rsid w:val="00A26872"/>
    <w:rsid w:val="00A2761A"/>
    <w:rsid w:val="00A27669"/>
    <w:rsid w:val="00A31899"/>
    <w:rsid w:val="00A31E59"/>
    <w:rsid w:val="00A32B17"/>
    <w:rsid w:val="00A32B58"/>
    <w:rsid w:val="00A32DB1"/>
    <w:rsid w:val="00A331C9"/>
    <w:rsid w:val="00A338F1"/>
    <w:rsid w:val="00A35A88"/>
    <w:rsid w:val="00A35BEC"/>
    <w:rsid w:val="00A40D8B"/>
    <w:rsid w:val="00A411C8"/>
    <w:rsid w:val="00A41207"/>
    <w:rsid w:val="00A42DBE"/>
    <w:rsid w:val="00A44101"/>
    <w:rsid w:val="00A44615"/>
    <w:rsid w:val="00A454CA"/>
    <w:rsid w:val="00A46C36"/>
    <w:rsid w:val="00A47B5C"/>
    <w:rsid w:val="00A50044"/>
    <w:rsid w:val="00A50D62"/>
    <w:rsid w:val="00A51779"/>
    <w:rsid w:val="00A5214C"/>
    <w:rsid w:val="00A530BE"/>
    <w:rsid w:val="00A5373A"/>
    <w:rsid w:val="00A5424B"/>
    <w:rsid w:val="00A5649C"/>
    <w:rsid w:val="00A577DA"/>
    <w:rsid w:val="00A5796A"/>
    <w:rsid w:val="00A60307"/>
    <w:rsid w:val="00A62E98"/>
    <w:rsid w:val="00A62F1D"/>
    <w:rsid w:val="00A633D3"/>
    <w:rsid w:val="00A64EF4"/>
    <w:rsid w:val="00A651AA"/>
    <w:rsid w:val="00A66233"/>
    <w:rsid w:val="00A70BA4"/>
    <w:rsid w:val="00A70E21"/>
    <w:rsid w:val="00A70E80"/>
    <w:rsid w:val="00A72DDB"/>
    <w:rsid w:val="00A72F22"/>
    <w:rsid w:val="00A7360F"/>
    <w:rsid w:val="00A748A6"/>
    <w:rsid w:val="00A75312"/>
    <w:rsid w:val="00A769F4"/>
    <w:rsid w:val="00A76C35"/>
    <w:rsid w:val="00A771E3"/>
    <w:rsid w:val="00A776B4"/>
    <w:rsid w:val="00A812C7"/>
    <w:rsid w:val="00A81BCD"/>
    <w:rsid w:val="00A82DD0"/>
    <w:rsid w:val="00A83FB0"/>
    <w:rsid w:val="00A84AE9"/>
    <w:rsid w:val="00A85545"/>
    <w:rsid w:val="00A8580E"/>
    <w:rsid w:val="00A864A4"/>
    <w:rsid w:val="00A91E1A"/>
    <w:rsid w:val="00A93B7A"/>
    <w:rsid w:val="00A94361"/>
    <w:rsid w:val="00A956BA"/>
    <w:rsid w:val="00A96469"/>
    <w:rsid w:val="00AA1234"/>
    <w:rsid w:val="00AA194C"/>
    <w:rsid w:val="00AA1C50"/>
    <w:rsid w:val="00AA293C"/>
    <w:rsid w:val="00AA383A"/>
    <w:rsid w:val="00AA43DA"/>
    <w:rsid w:val="00AA7F00"/>
    <w:rsid w:val="00AB0FE8"/>
    <w:rsid w:val="00AB18F8"/>
    <w:rsid w:val="00AB27DE"/>
    <w:rsid w:val="00AB40C0"/>
    <w:rsid w:val="00AB6EDF"/>
    <w:rsid w:val="00AB768D"/>
    <w:rsid w:val="00AC11A5"/>
    <w:rsid w:val="00AC1DF2"/>
    <w:rsid w:val="00AD3E1E"/>
    <w:rsid w:val="00AD5AD1"/>
    <w:rsid w:val="00AD657D"/>
    <w:rsid w:val="00AD691A"/>
    <w:rsid w:val="00AD7255"/>
    <w:rsid w:val="00AD7E77"/>
    <w:rsid w:val="00AE0CC0"/>
    <w:rsid w:val="00AE41BA"/>
    <w:rsid w:val="00AE5EA2"/>
    <w:rsid w:val="00AE66CC"/>
    <w:rsid w:val="00AE6991"/>
    <w:rsid w:val="00AE762A"/>
    <w:rsid w:val="00AE77D4"/>
    <w:rsid w:val="00AF132F"/>
    <w:rsid w:val="00AF27B5"/>
    <w:rsid w:val="00AF2E96"/>
    <w:rsid w:val="00AF3AAB"/>
    <w:rsid w:val="00AF3BFF"/>
    <w:rsid w:val="00AF467C"/>
    <w:rsid w:val="00AF488D"/>
    <w:rsid w:val="00AF571B"/>
    <w:rsid w:val="00AF5B8D"/>
    <w:rsid w:val="00AF7F07"/>
    <w:rsid w:val="00B01058"/>
    <w:rsid w:val="00B04E28"/>
    <w:rsid w:val="00B12533"/>
    <w:rsid w:val="00B12643"/>
    <w:rsid w:val="00B12E2D"/>
    <w:rsid w:val="00B13E9B"/>
    <w:rsid w:val="00B16356"/>
    <w:rsid w:val="00B1646F"/>
    <w:rsid w:val="00B16610"/>
    <w:rsid w:val="00B226CC"/>
    <w:rsid w:val="00B23870"/>
    <w:rsid w:val="00B23D19"/>
    <w:rsid w:val="00B23E6F"/>
    <w:rsid w:val="00B25A71"/>
    <w:rsid w:val="00B2605A"/>
    <w:rsid w:val="00B26F19"/>
    <w:rsid w:val="00B27576"/>
    <w:rsid w:val="00B30179"/>
    <w:rsid w:val="00B301D0"/>
    <w:rsid w:val="00B30EFE"/>
    <w:rsid w:val="00B31A17"/>
    <w:rsid w:val="00B339A7"/>
    <w:rsid w:val="00B34EB0"/>
    <w:rsid w:val="00B35F00"/>
    <w:rsid w:val="00B361FC"/>
    <w:rsid w:val="00B366B7"/>
    <w:rsid w:val="00B37CC8"/>
    <w:rsid w:val="00B37ECA"/>
    <w:rsid w:val="00B4001B"/>
    <w:rsid w:val="00B4096B"/>
    <w:rsid w:val="00B42503"/>
    <w:rsid w:val="00B42B8D"/>
    <w:rsid w:val="00B431E3"/>
    <w:rsid w:val="00B43F7D"/>
    <w:rsid w:val="00B46089"/>
    <w:rsid w:val="00B47897"/>
    <w:rsid w:val="00B511A2"/>
    <w:rsid w:val="00B520D8"/>
    <w:rsid w:val="00B56E4A"/>
    <w:rsid w:val="00B56E9C"/>
    <w:rsid w:val="00B57376"/>
    <w:rsid w:val="00B62784"/>
    <w:rsid w:val="00B63A00"/>
    <w:rsid w:val="00B648AA"/>
    <w:rsid w:val="00B64B1F"/>
    <w:rsid w:val="00B64BEC"/>
    <w:rsid w:val="00B6553F"/>
    <w:rsid w:val="00B66E5E"/>
    <w:rsid w:val="00B67108"/>
    <w:rsid w:val="00B70A4A"/>
    <w:rsid w:val="00B738DA"/>
    <w:rsid w:val="00B77D05"/>
    <w:rsid w:val="00B81206"/>
    <w:rsid w:val="00B81E12"/>
    <w:rsid w:val="00B82DE1"/>
    <w:rsid w:val="00B832DD"/>
    <w:rsid w:val="00B84801"/>
    <w:rsid w:val="00B86399"/>
    <w:rsid w:val="00B869CF"/>
    <w:rsid w:val="00B86D6B"/>
    <w:rsid w:val="00B90137"/>
    <w:rsid w:val="00B9038C"/>
    <w:rsid w:val="00B9067B"/>
    <w:rsid w:val="00B91BF4"/>
    <w:rsid w:val="00B92B94"/>
    <w:rsid w:val="00B93241"/>
    <w:rsid w:val="00B94535"/>
    <w:rsid w:val="00B94C24"/>
    <w:rsid w:val="00BA07CE"/>
    <w:rsid w:val="00BA4DB5"/>
    <w:rsid w:val="00BA5015"/>
    <w:rsid w:val="00BA52BA"/>
    <w:rsid w:val="00BA65F1"/>
    <w:rsid w:val="00BB08E6"/>
    <w:rsid w:val="00BB1EA4"/>
    <w:rsid w:val="00BB3AD9"/>
    <w:rsid w:val="00BB3C87"/>
    <w:rsid w:val="00BB4C02"/>
    <w:rsid w:val="00BB4EEC"/>
    <w:rsid w:val="00BB4F11"/>
    <w:rsid w:val="00BB69A0"/>
    <w:rsid w:val="00BB7976"/>
    <w:rsid w:val="00BB7F25"/>
    <w:rsid w:val="00BC2C23"/>
    <w:rsid w:val="00BC3B90"/>
    <w:rsid w:val="00BC5EDE"/>
    <w:rsid w:val="00BC636E"/>
    <w:rsid w:val="00BC74E9"/>
    <w:rsid w:val="00BD0313"/>
    <w:rsid w:val="00BD434A"/>
    <w:rsid w:val="00BD4730"/>
    <w:rsid w:val="00BD5A19"/>
    <w:rsid w:val="00BD7119"/>
    <w:rsid w:val="00BE0F2E"/>
    <w:rsid w:val="00BE432C"/>
    <w:rsid w:val="00BE518F"/>
    <w:rsid w:val="00BE5951"/>
    <w:rsid w:val="00BE628E"/>
    <w:rsid w:val="00BE6668"/>
    <w:rsid w:val="00BF1A6D"/>
    <w:rsid w:val="00BF2605"/>
    <w:rsid w:val="00BF45E5"/>
    <w:rsid w:val="00BF5BA6"/>
    <w:rsid w:val="00BF6220"/>
    <w:rsid w:val="00BF6322"/>
    <w:rsid w:val="00BF68A8"/>
    <w:rsid w:val="00BF73C8"/>
    <w:rsid w:val="00BF78A0"/>
    <w:rsid w:val="00C00975"/>
    <w:rsid w:val="00C00E67"/>
    <w:rsid w:val="00C00E7B"/>
    <w:rsid w:val="00C03F0B"/>
    <w:rsid w:val="00C04A54"/>
    <w:rsid w:val="00C0654B"/>
    <w:rsid w:val="00C06917"/>
    <w:rsid w:val="00C06E74"/>
    <w:rsid w:val="00C106E6"/>
    <w:rsid w:val="00C11982"/>
    <w:rsid w:val="00C11A03"/>
    <w:rsid w:val="00C14994"/>
    <w:rsid w:val="00C14A25"/>
    <w:rsid w:val="00C159A3"/>
    <w:rsid w:val="00C15A81"/>
    <w:rsid w:val="00C15D14"/>
    <w:rsid w:val="00C16846"/>
    <w:rsid w:val="00C17102"/>
    <w:rsid w:val="00C17E4C"/>
    <w:rsid w:val="00C17F62"/>
    <w:rsid w:val="00C17F7E"/>
    <w:rsid w:val="00C20962"/>
    <w:rsid w:val="00C21898"/>
    <w:rsid w:val="00C22779"/>
    <w:rsid w:val="00C26676"/>
    <w:rsid w:val="00C375F5"/>
    <w:rsid w:val="00C41DF8"/>
    <w:rsid w:val="00C430C5"/>
    <w:rsid w:val="00C4365C"/>
    <w:rsid w:val="00C436C2"/>
    <w:rsid w:val="00C44731"/>
    <w:rsid w:val="00C44F09"/>
    <w:rsid w:val="00C461F0"/>
    <w:rsid w:val="00C463DD"/>
    <w:rsid w:val="00C4724C"/>
    <w:rsid w:val="00C50179"/>
    <w:rsid w:val="00C50907"/>
    <w:rsid w:val="00C51B3C"/>
    <w:rsid w:val="00C51DB2"/>
    <w:rsid w:val="00C528A2"/>
    <w:rsid w:val="00C5406D"/>
    <w:rsid w:val="00C54D17"/>
    <w:rsid w:val="00C558BE"/>
    <w:rsid w:val="00C55ACA"/>
    <w:rsid w:val="00C5745B"/>
    <w:rsid w:val="00C576B7"/>
    <w:rsid w:val="00C629A0"/>
    <w:rsid w:val="00C6307D"/>
    <w:rsid w:val="00C6363C"/>
    <w:rsid w:val="00C66E99"/>
    <w:rsid w:val="00C701FA"/>
    <w:rsid w:val="00C703BB"/>
    <w:rsid w:val="00C71A46"/>
    <w:rsid w:val="00C73296"/>
    <w:rsid w:val="00C745C3"/>
    <w:rsid w:val="00C74AD0"/>
    <w:rsid w:val="00C75A34"/>
    <w:rsid w:val="00C80DF8"/>
    <w:rsid w:val="00C85C50"/>
    <w:rsid w:val="00C878AA"/>
    <w:rsid w:val="00C9039A"/>
    <w:rsid w:val="00C9617F"/>
    <w:rsid w:val="00C9773A"/>
    <w:rsid w:val="00C97EA1"/>
    <w:rsid w:val="00CA044C"/>
    <w:rsid w:val="00CA4213"/>
    <w:rsid w:val="00CA5A54"/>
    <w:rsid w:val="00CA61E1"/>
    <w:rsid w:val="00CA6AAA"/>
    <w:rsid w:val="00CA7238"/>
    <w:rsid w:val="00CB36DB"/>
    <w:rsid w:val="00CB63FE"/>
    <w:rsid w:val="00CB6BC4"/>
    <w:rsid w:val="00CB715F"/>
    <w:rsid w:val="00CC0484"/>
    <w:rsid w:val="00CC316E"/>
    <w:rsid w:val="00CC39DD"/>
    <w:rsid w:val="00CC4802"/>
    <w:rsid w:val="00CC4EB3"/>
    <w:rsid w:val="00CC5A36"/>
    <w:rsid w:val="00CC6C6B"/>
    <w:rsid w:val="00CD656C"/>
    <w:rsid w:val="00CD7257"/>
    <w:rsid w:val="00CD725D"/>
    <w:rsid w:val="00CD731C"/>
    <w:rsid w:val="00CE1EE8"/>
    <w:rsid w:val="00CE3334"/>
    <w:rsid w:val="00CE3E43"/>
    <w:rsid w:val="00CE3EC1"/>
    <w:rsid w:val="00CE4A8F"/>
    <w:rsid w:val="00CE657F"/>
    <w:rsid w:val="00CE675B"/>
    <w:rsid w:val="00CF0080"/>
    <w:rsid w:val="00CF0AD8"/>
    <w:rsid w:val="00CF13D2"/>
    <w:rsid w:val="00CF1673"/>
    <w:rsid w:val="00CF3C8E"/>
    <w:rsid w:val="00CF7402"/>
    <w:rsid w:val="00D009D3"/>
    <w:rsid w:val="00D03FEE"/>
    <w:rsid w:val="00D0511F"/>
    <w:rsid w:val="00D062B2"/>
    <w:rsid w:val="00D11867"/>
    <w:rsid w:val="00D13023"/>
    <w:rsid w:val="00D131A6"/>
    <w:rsid w:val="00D132DE"/>
    <w:rsid w:val="00D13899"/>
    <w:rsid w:val="00D15EA0"/>
    <w:rsid w:val="00D1720E"/>
    <w:rsid w:val="00D17988"/>
    <w:rsid w:val="00D20029"/>
    <w:rsid w:val="00D2031B"/>
    <w:rsid w:val="00D210C2"/>
    <w:rsid w:val="00D22A8E"/>
    <w:rsid w:val="00D23787"/>
    <w:rsid w:val="00D25FE2"/>
    <w:rsid w:val="00D277AD"/>
    <w:rsid w:val="00D32D0E"/>
    <w:rsid w:val="00D3512A"/>
    <w:rsid w:val="00D42A48"/>
    <w:rsid w:val="00D43252"/>
    <w:rsid w:val="00D43F1A"/>
    <w:rsid w:val="00D45F5D"/>
    <w:rsid w:val="00D47EEA"/>
    <w:rsid w:val="00D5263E"/>
    <w:rsid w:val="00D53D18"/>
    <w:rsid w:val="00D55676"/>
    <w:rsid w:val="00D55ED1"/>
    <w:rsid w:val="00D56FEC"/>
    <w:rsid w:val="00D57121"/>
    <w:rsid w:val="00D5715A"/>
    <w:rsid w:val="00D6091B"/>
    <w:rsid w:val="00D65364"/>
    <w:rsid w:val="00D661A0"/>
    <w:rsid w:val="00D6745B"/>
    <w:rsid w:val="00D7011F"/>
    <w:rsid w:val="00D72E21"/>
    <w:rsid w:val="00D7590F"/>
    <w:rsid w:val="00D762F2"/>
    <w:rsid w:val="00D76CC5"/>
    <w:rsid w:val="00D77067"/>
    <w:rsid w:val="00D77773"/>
    <w:rsid w:val="00D8097F"/>
    <w:rsid w:val="00D827F5"/>
    <w:rsid w:val="00D82F4D"/>
    <w:rsid w:val="00D84364"/>
    <w:rsid w:val="00D84CCF"/>
    <w:rsid w:val="00D90193"/>
    <w:rsid w:val="00D90A78"/>
    <w:rsid w:val="00D92634"/>
    <w:rsid w:val="00D939E2"/>
    <w:rsid w:val="00D93A79"/>
    <w:rsid w:val="00D95303"/>
    <w:rsid w:val="00D95636"/>
    <w:rsid w:val="00D978C6"/>
    <w:rsid w:val="00DA28F2"/>
    <w:rsid w:val="00DA3111"/>
    <w:rsid w:val="00DA3692"/>
    <w:rsid w:val="00DA3C1C"/>
    <w:rsid w:val="00DA4A00"/>
    <w:rsid w:val="00DA5479"/>
    <w:rsid w:val="00DA57EF"/>
    <w:rsid w:val="00DA70E3"/>
    <w:rsid w:val="00DB0C79"/>
    <w:rsid w:val="00DB1127"/>
    <w:rsid w:val="00DB25F0"/>
    <w:rsid w:val="00DB2999"/>
    <w:rsid w:val="00DB428C"/>
    <w:rsid w:val="00DC1E19"/>
    <w:rsid w:val="00DC31A3"/>
    <w:rsid w:val="00DC445F"/>
    <w:rsid w:val="00DD0802"/>
    <w:rsid w:val="00DD1B8F"/>
    <w:rsid w:val="00DD40D3"/>
    <w:rsid w:val="00DD509D"/>
    <w:rsid w:val="00DD7430"/>
    <w:rsid w:val="00DE13BA"/>
    <w:rsid w:val="00DE1AE5"/>
    <w:rsid w:val="00DE3048"/>
    <w:rsid w:val="00DE4CFF"/>
    <w:rsid w:val="00DE7279"/>
    <w:rsid w:val="00DE77CF"/>
    <w:rsid w:val="00DE7AEC"/>
    <w:rsid w:val="00DE7EF4"/>
    <w:rsid w:val="00DF252D"/>
    <w:rsid w:val="00DF3389"/>
    <w:rsid w:val="00DF3D75"/>
    <w:rsid w:val="00DF63E8"/>
    <w:rsid w:val="00E00325"/>
    <w:rsid w:val="00E00E0D"/>
    <w:rsid w:val="00E037D0"/>
    <w:rsid w:val="00E04F57"/>
    <w:rsid w:val="00E05782"/>
    <w:rsid w:val="00E06265"/>
    <w:rsid w:val="00E114A0"/>
    <w:rsid w:val="00E126A1"/>
    <w:rsid w:val="00E13475"/>
    <w:rsid w:val="00E143CB"/>
    <w:rsid w:val="00E15BB0"/>
    <w:rsid w:val="00E17D32"/>
    <w:rsid w:val="00E20A1F"/>
    <w:rsid w:val="00E2565E"/>
    <w:rsid w:val="00E27346"/>
    <w:rsid w:val="00E277C6"/>
    <w:rsid w:val="00E302DD"/>
    <w:rsid w:val="00E30448"/>
    <w:rsid w:val="00E344BA"/>
    <w:rsid w:val="00E34899"/>
    <w:rsid w:val="00E354AF"/>
    <w:rsid w:val="00E4162F"/>
    <w:rsid w:val="00E4267C"/>
    <w:rsid w:val="00E44C1F"/>
    <w:rsid w:val="00E45F7F"/>
    <w:rsid w:val="00E46439"/>
    <w:rsid w:val="00E51102"/>
    <w:rsid w:val="00E52CA8"/>
    <w:rsid w:val="00E53B99"/>
    <w:rsid w:val="00E54C03"/>
    <w:rsid w:val="00E54CAB"/>
    <w:rsid w:val="00E56765"/>
    <w:rsid w:val="00E5678A"/>
    <w:rsid w:val="00E61F17"/>
    <w:rsid w:val="00E63CFF"/>
    <w:rsid w:val="00E652E6"/>
    <w:rsid w:val="00E66887"/>
    <w:rsid w:val="00E673B7"/>
    <w:rsid w:val="00E7151B"/>
    <w:rsid w:val="00E71BC8"/>
    <w:rsid w:val="00E7260F"/>
    <w:rsid w:val="00E7318B"/>
    <w:rsid w:val="00E74B7A"/>
    <w:rsid w:val="00E7537C"/>
    <w:rsid w:val="00E76910"/>
    <w:rsid w:val="00E76C21"/>
    <w:rsid w:val="00E779FC"/>
    <w:rsid w:val="00E77FF6"/>
    <w:rsid w:val="00E81F41"/>
    <w:rsid w:val="00E822AD"/>
    <w:rsid w:val="00E822F1"/>
    <w:rsid w:val="00E869AB"/>
    <w:rsid w:val="00E90740"/>
    <w:rsid w:val="00E90886"/>
    <w:rsid w:val="00E9224B"/>
    <w:rsid w:val="00E9275F"/>
    <w:rsid w:val="00E93DCD"/>
    <w:rsid w:val="00E9411F"/>
    <w:rsid w:val="00E94135"/>
    <w:rsid w:val="00E96630"/>
    <w:rsid w:val="00EA0F50"/>
    <w:rsid w:val="00EA4949"/>
    <w:rsid w:val="00EA4EA3"/>
    <w:rsid w:val="00EA684B"/>
    <w:rsid w:val="00EA6C32"/>
    <w:rsid w:val="00EB2581"/>
    <w:rsid w:val="00EB2617"/>
    <w:rsid w:val="00EB4A6F"/>
    <w:rsid w:val="00EC3B1F"/>
    <w:rsid w:val="00EC3DCA"/>
    <w:rsid w:val="00EC4DBA"/>
    <w:rsid w:val="00EC543C"/>
    <w:rsid w:val="00EC5CE1"/>
    <w:rsid w:val="00EC6418"/>
    <w:rsid w:val="00EC766A"/>
    <w:rsid w:val="00ED4174"/>
    <w:rsid w:val="00ED4EC4"/>
    <w:rsid w:val="00ED527F"/>
    <w:rsid w:val="00ED5FE7"/>
    <w:rsid w:val="00ED60E8"/>
    <w:rsid w:val="00ED6B96"/>
    <w:rsid w:val="00ED7378"/>
    <w:rsid w:val="00ED7A2A"/>
    <w:rsid w:val="00EE1D5B"/>
    <w:rsid w:val="00EE206C"/>
    <w:rsid w:val="00EE3BDD"/>
    <w:rsid w:val="00EE5772"/>
    <w:rsid w:val="00EE6D29"/>
    <w:rsid w:val="00EE6DCD"/>
    <w:rsid w:val="00EE7BD8"/>
    <w:rsid w:val="00EF08D3"/>
    <w:rsid w:val="00EF09F7"/>
    <w:rsid w:val="00EF0FAC"/>
    <w:rsid w:val="00EF1CB5"/>
    <w:rsid w:val="00EF1D7F"/>
    <w:rsid w:val="00EF2080"/>
    <w:rsid w:val="00EF22C3"/>
    <w:rsid w:val="00EF26E9"/>
    <w:rsid w:val="00EF32FD"/>
    <w:rsid w:val="00EF3348"/>
    <w:rsid w:val="00EF3D7C"/>
    <w:rsid w:val="00EF59F4"/>
    <w:rsid w:val="00EF636E"/>
    <w:rsid w:val="00EF711E"/>
    <w:rsid w:val="00EF7CEA"/>
    <w:rsid w:val="00F016E4"/>
    <w:rsid w:val="00F02C62"/>
    <w:rsid w:val="00F04505"/>
    <w:rsid w:val="00F04C92"/>
    <w:rsid w:val="00F05EA9"/>
    <w:rsid w:val="00F113D2"/>
    <w:rsid w:val="00F11A9E"/>
    <w:rsid w:val="00F11B85"/>
    <w:rsid w:val="00F134FF"/>
    <w:rsid w:val="00F1377E"/>
    <w:rsid w:val="00F2035D"/>
    <w:rsid w:val="00F20C3D"/>
    <w:rsid w:val="00F21691"/>
    <w:rsid w:val="00F23FBA"/>
    <w:rsid w:val="00F2731C"/>
    <w:rsid w:val="00F3058A"/>
    <w:rsid w:val="00F31478"/>
    <w:rsid w:val="00F325FA"/>
    <w:rsid w:val="00F34993"/>
    <w:rsid w:val="00F35A1C"/>
    <w:rsid w:val="00F37ECC"/>
    <w:rsid w:val="00F415DB"/>
    <w:rsid w:val="00F42258"/>
    <w:rsid w:val="00F43A86"/>
    <w:rsid w:val="00F43E9E"/>
    <w:rsid w:val="00F456E9"/>
    <w:rsid w:val="00F45FBB"/>
    <w:rsid w:val="00F51BDE"/>
    <w:rsid w:val="00F5213D"/>
    <w:rsid w:val="00F5297E"/>
    <w:rsid w:val="00F54EED"/>
    <w:rsid w:val="00F574CF"/>
    <w:rsid w:val="00F601DB"/>
    <w:rsid w:val="00F62228"/>
    <w:rsid w:val="00F6346C"/>
    <w:rsid w:val="00F64CEC"/>
    <w:rsid w:val="00F653F0"/>
    <w:rsid w:val="00F66380"/>
    <w:rsid w:val="00F66A9E"/>
    <w:rsid w:val="00F66FEF"/>
    <w:rsid w:val="00F67541"/>
    <w:rsid w:val="00F67880"/>
    <w:rsid w:val="00F71EDF"/>
    <w:rsid w:val="00F731D6"/>
    <w:rsid w:val="00F7320A"/>
    <w:rsid w:val="00F74143"/>
    <w:rsid w:val="00F755C2"/>
    <w:rsid w:val="00F75ACF"/>
    <w:rsid w:val="00F7669D"/>
    <w:rsid w:val="00F80F9F"/>
    <w:rsid w:val="00F82CDC"/>
    <w:rsid w:val="00F8553D"/>
    <w:rsid w:val="00F86B47"/>
    <w:rsid w:val="00F86FD2"/>
    <w:rsid w:val="00F87173"/>
    <w:rsid w:val="00F9057C"/>
    <w:rsid w:val="00F906D7"/>
    <w:rsid w:val="00F9155F"/>
    <w:rsid w:val="00F93781"/>
    <w:rsid w:val="00F9443B"/>
    <w:rsid w:val="00F948A8"/>
    <w:rsid w:val="00F94D14"/>
    <w:rsid w:val="00F96226"/>
    <w:rsid w:val="00F965A4"/>
    <w:rsid w:val="00F96DFA"/>
    <w:rsid w:val="00FA0C0C"/>
    <w:rsid w:val="00FA34BC"/>
    <w:rsid w:val="00FA3C3E"/>
    <w:rsid w:val="00FA5742"/>
    <w:rsid w:val="00FA5FB8"/>
    <w:rsid w:val="00FB070F"/>
    <w:rsid w:val="00FB10A6"/>
    <w:rsid w:val="00FB13C3"/>
    <w:rsid w:val="00FB2FC1"/>
    <w:rsid w:val="00FB3920"/>
    <w:rsid w:val="00FB613B"/>
    <w:rsid w:val="00FC67B6"/>
    <w:rsid w:val="00FC68B7"/>
    <w:rsid w:val="00FC6F3B"/>
    <w:rsid w:val="00FD1028"/>
    <w:rsid w:val="00FD25C2"/>
    <w:rsid w:val="00FD66D7"/>
    <w:rsid w:val="00FD6988"/>
    <w:rsid w:val="00FD6C20"/>
    <w:rsid w:val="00FD6F91"/>
    <w:rsid w:val="00FD71FB"/>
    <w:rsid w:val="00FD7E5E"/>
    <w:rsid w:val="00FE0531"/>
    <w:rsid w:val="00FE106A"/>
    <w:rsid w:val="00FE1345"/>
    <w:rsid w:val="00FE1379"/>
    <w:rsid w:val="00FE2F7E"/>
    <w:rsid w:val="00FE3B83"/>
    <w:rsid w:val="00FE3D48"/>
    <w:rsid w:val="00FE51CB"/>
    <w:rsid w:val="00FF01E2"/>
    <w:rsid w:val="00FF335B"/>
    <w:rsid w:val="00FF416D"/>
    <w:rsid w:val="00FF440F"/>
    <w:rsid w:val="00FF5631"/>
    <w:rsid w:val="00FF59AA"/>
    <w:rsid w:val="00FF6847"/>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681B5A17-E50A-4BC6-B12E-F796E29D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character" w:customStyle="1" w:styleId="SingleTxtGChar">
    <w:name w:val="_ Single Txt_G Char"/>
    <w:link w:val="SingleTxtG"/>
    <w:locked/>
    <w:rsid w:val="0041431D"/>
    <w:rPr>
      <w:lang w:val="en-GB" w:eastAsia="en-US" w:bidi="ar-SA"/>
    </w:rPr>
  </w:style>
  <w:style w:type="character" w:customStyle="1" w:styleId="Heading1Char">
    <w:name w:val="Heading 1 Char"/>
    <w:aliases w:val="Table_G Char"/>
    <w:link w:val="Heading1"/>
    <w:locked/>
    <w:rsid w:val="0041431D"/>
    <w:rPr>
      <w:lang w:val="en-GB" w:eastAsia="en-US" w:bidi="ar-SA"/>
    </w:rPr>
  </w:style>
  <w:style w:type="character" w:customStyle="1" w:styleId="Heading2Char">
    <w:name w:val="Heading 2 Char"/>
    <w:link w:val="Heading2"/>
    <w:locked/>
    <w:rsid w:val="0041431D"/>
    <w:rPr>
      <w:lang w:val="en-GB" w:eastAsia="en-US" w:bidi="ar-SA"/>
    </w:rPr>
  </w:style>
  <w:style w:type="character" w:customStyle="1" w:styleId="Heading3Char">
    <w:name w:val="Heading 3 Char"/>
    <w:link w:val="Heading3"/>
    <w:locked/>
    <w:rsid w:val="0041431D"/>
    <w:rPr>
      <w:lang w:val="en-GB" w:eastAsia="en-US" w:bidi="ar-SA"/>
    </w:rPr>
  </w:style>
  <w:style w:type="character" w:customStyle="1" w:styleId="Heading4Char">
    <w:name w:val="Heading 4 Char"/>
    <w:link w:val="Heading4"/>
    <w:locked/>
    <w:rsid w:val="0041431D"/>
    <w:rPr>
      <w:lang w:val="en-GB" w:eastAsia="en-US" w:bidi="ar-SA"/>
    </w:rPr>
  </w:style>
  <w:style w:type="character" w:customStyle="1" w:styleId="Heading5Char">
    <w:name w:val="Heading 5 Char"/>
    <w:link w:val="Heading5"/>
    <w:locked/>
    <w:rsid w:val="0041431D"/>
    <w:rPr>
      <w:lang w:val="en-GB" w:eastAsia="en-US" w:bidi="ar-SA"/>
    </w:rPr>
  </w:style>
  <w:style w:type="character" w:customStyle="1" w:styleId="Heading6Char">
    <w:name w:val="Heading 6 Char"/>
    <w:link w:val="Heading6"/>
    <w:locked/>
    <w:rsid w:val="0041431D"/>
    <w:rPr>
      <w:lang w:val="en-GB" w:eastAsia="en-US" w:bidi="ar-SA"/>
    </w:rPr>
  </w:style>
  <w:style w:type="character" w:customStyle="1" w:styleId="Heading7Char">
    <w:name w:val="Heading 7 Char"/>
    <w:link w:val="Heading7"/>
    <w:locked/>
    <w:rsid w:val="0041431D"/>
    <w:rPr>
      <w:lang w:val="en-GB" w:eastAsia="en-US" w:bidi="ar-SA"/>
    </w:rPr>
  </w:style>
  <w:style w:type="character" w:customStyle="1" w:styleId="Heading8Char">
    <w:name w:val="Heading 8 Char"/>
    <w:link w:val="Heading8"/>
    <w:locked/>
    <w:rsid w:val="0041431D"/>
    <w:rPr>
      <w:lang w:val="en-GB" w:eastAsia="en-US" w:bidi="ar-SA"/>
    </w:rPr>
  </w:style>
  <w:style w:type="character" w:customStyle="1" w:styleId="Heading9Char">
    <w:name w:val="Heading 9 Char"/>
    <w:link w:val="Heading9"/>
    <w:locked/>
    <w:rsid w:val="0041431D"/>
    <w:rPr>
      <w:lang w:val="en-GB" w:eastAsia="en-US" w:bidi="ar-SA"/>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41431D"/>
    <w:rPr>
      <w:b/>
      <w:sz w:val="18"/>
      <w:lang w:val="en-GB" w:eastAsia="en-US" w:bidi="ar-SA"/>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F23FB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5_G Char"/>
    <w:link w:val="FootnoteText"/>
    <w:locked/>
    <w:rsid w:val="0041431D"/>
    <w:rPr>
      <w:rFonts w:eastAsia="SimSun"/>
      <w:sz w:val="18"/>
    </w:rPr>
  </w:style>
  <w:style w:type="paragraph" w:styleId="EndnoteText">
    <w:name w:val="endnote text"/>
    <w:aliases w:val="2_G"/>
    <w:basedOn w:val="FootnoteText"/>
    <w:link w:val="EndnoteTextChar"/>
    <w:rsid w:val="000272B3"/>
  </w:style>
  <w:style w:type="character" w:customStyle="1" w:styleId="EndnoteTextChar">
    <w:name w:val="Endnote Text Char"/>
    <w:aliases w:val="2_G Char"/>
    <w:link w:val="EndnoteText"/>
    <w:locked/>
    <w:rsid w:val="0041431D"/>
    <w:rPr>
      <w:sz w:val="18"/>
      <w:lang w:val="en-GB" w:eastAsia="en-US" w:bidi="ar-SA"/>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F23FBA"/>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character" w:customStyle="1" w:styleId="FooterChar">
    <w:name w:val="Footer Char"/>
    <w:aliases w:val="3_G Char"/>
    <w:link w:val="Footer"/>
    <w:uiPriority w:val="99"/>
    <w:locked/>
    <w:rsid w:val="0041431D"/>
    <w:rPr>
      <w:sz w:val="16"/>
      <w:lang w:val="en-GB" w:eastAsia="en-US" w:bidi="ar-SA"/>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NormalWeb">
    <w:name w:val="Normal (Web)"/>
    <w:basedOn w:val="Normal"/>
    <w:uiPriority w:val="99"/>
    <w:rsid w:val="0041431D"/>
    <w:pPr>
      <w:suppressAutoHyphens w:val="0"/>
      <w:spacing w:before="100" w:beforeAutospacing="1" w:after="100" w:afterAutospacing="1" w:line="240" w:lineRule="auto"/>
    </w:pPr>
    <w:rPr>
      <w:rFonts w:eastAsia="SimSun"/>
      <w:sz w:val="24"/>
      <w:szCs w:val="24"/>
      <w:lang w:val="ru-RU" w:eastAsia="zh-CN"/>
    </w:rPr>
  </w:style>
  <w:style w:type="paragraph" w:styleId="BalloonText">
    <w:name w:val="Balloon Text"/>
    <w:basedOn w:val="Normal"/>
    <w:link w:val="BalloonTextChar"/>
    <w:semiHidden/>
    <w:rsid w:val="0041431D"/>
    <w:pPr>
      <w:spacing w:line="240" w:lineRule="auto"/>
    </w:pPr>
    <w:rPr>
      <w:rFonts w:ascii="Tahoma" w:eastAsia="MS Mincho" w:hAnsi="Tahoma" w:cs="Tahoma"/>
      <w:sz w:val="16"/>
      <w:szCs w:val="16"/>
    </w:rPr>
  </w:style>
  <w:style w:type="character" w:customStyle="1" w:styleId="BalloonTextChar">
    <w:name w:val="Balloon Text Char"/>
    <w:link w:val="BalloonText"/>
    <w:locked/>
    <w:rsid w:val="0041431D"/>
    <w:rPr>
      <w:rFonts w:ascii="Tahoma" w:eastAsia="MS Mincho" w:hAnsi="Tahoma" w:cs="Tahoma"/>
      <w:sz w:val="16"/>
      <w:szCs w:val="16"/>
      <w:lang w:val="en-GB" w:eastAsia="en-US" w:bidi="ar-SA"/>
    </w:rPr>
  </w:style>
  <w:style w:type="paragraph" w:styleId="BodyText2">
    <w:name w:val="Body Text 2"/>
    <w:basedOn w:val="Normal"/>
    <w:link w:val="BodyText2Char"/>
    <w:rsid w:val="0041431D"/>
    <w:pPr>
      <w:suppressAutoHyphens w:val="0"/>
      <w:spacing w:line="240" w:lineRule="auto"/>
      <w:jc w:val="both"/>
    </w:pPr>
    <w:rPr>
      <w:rFonts w:eastAsia="MS Mincho"/>
      <w:sz w:val="24"/>
      <w:szCs w:val="24"/>
      <w:lang w:val="en-US"/>
    </w:rPr>
  </w:style>
  <w:style w:type="character" w:customStyle="1" w:styleId="BodyText2Char">
    <w:name w:val="Body Text 2 Char"/>
    <w:link w:val="BodyText2"/>
    <w:locked/>
    <w:rsid w:val="0041431D"/>
    <w:rPr>
      <w:rFonts w:eastAsia="MS Mincho"/>
      <w:sz w:val="24"/>
      <w:szCs w:val="24"/>
      <w:lang w:val="en-US" w:eastAsia="en-US" w:bidi="ar-SA"/>
    </w:rPr>
  </w:style>
  <w:style w:type="paragraph" w:styleId="CommentText">
    <w:name w:val="annotation text"/>
    <w:basedOn w:val="Normal"/>
    <w:link w:val="CommentTextChar"/>
    <w:semiHidden/>
    <w:rsid w:val="0041431D"/>
    <w:rPr>
      <w:rFonts w:eastAsia="MS Mincho"/>
    </w:rPr>
  </w:style>
  <w:style w:type="character" w:customStyle="1" w:styleId="CommentTextChar">
    <w:name w:val="Comment Text Char"/>
    <w:link w:val="CommentText"/>
    <w:semiHidden/>
    <w:locked/>
    <w:rsid w:val="0041431D"/>
    <w:rPr>
      <w:rFonts w:eastAsia="MS Mincho"/>
      <w:lang w:val="en-GB" w:eastAsia="en-US" w:bidi="ar-SA"/>
    </w:rPr>
  </w:style>
  <w:style w:type="paragraph" w:styleId="CommentSubject">
    <w:name w:val="annotation subject"/>
    <w:basedOn w:val="CommentText"/>
    <w:next w:val="CommentText"/>
    <w:link w:val="CommentSubjectChar"/>
    <w:semiHidden/>
    <w:rsid w:val="0041431D"/>
    <w:rPr>
      <w:b/>
      <w:bCs/>
    </w:rPr>
  </w:style>
  <w:style w:type="character" w:customStyle="1" w:styleId="CommentSubjectChar">
    <w:name w:val="Comment Subject Char"/>
    <w:link w:val="CommentSubject"/>
    <w:semiHidden/>
    <w:locked/>
    <w:rsid w:val="0041431D"/>
    <w:rPr>
      <w:rFonts w:eastAsia="MS Mincho"/>
      <w:b/>
      <w:bCs/>
      <w:lang w:val="en-GB" w:eastAsia="en-US" w:bidi="ar-SA"/>
    </w:rPr>
  </w:style>
  <w:style w:type="character" w:styleId="CommentReference">
    <w:name w:val="annotation reference"/>
    <w:rsid w:val="003002C1"/>
    <w:rPr>
      <w:sz w:val="16"/>
      <w:szCs w:val="16"/>
    </w:rPr>
  </w:style>
  <w:style w:type="paragraph" w:styleId="Revision">
    <w:name w:val="Revision"/>
    <w:hidden/>
    <w:uiPriority w:val="99"/>
    <w:semiHidden/>
    <w:rsid w:val="006A758E"/>
    <w:rPr>
      <w:lang w:eastAsia="en-US"/>
    </w:rPr>
  </w:style>
  <w:style w:type="paragraph" w:customStyle="1" w:styleId="s30eec3f8">
    <w:name w:val="s30eec3f8"/>
    <w:basedOn w:val="Normal"/>
    <w:rsid w:val="00043479"/>
    <w:pPr>
      <w:suppressAutoHyphens w:val="0"/>
      <w:spacing w:before="100" w:beforeAutospacing="1" w:after="100" w:afterAutospacing="1" w:line="240" w:lineRule="auto"/>
    </w:pPr>
    <w:rPr>
      <w:sz w:val="24"/>
      <w:szCs w:val="24"/>
      <w:lang w:eastAsia="en-GB"/>
    </w:rPr>
  </w:style>
  <w:style w:type="character" w:customStyle="1" w:styleId="sb8d990e2">
    <w:name w:val="sb8d990e2"/>
    <w:rsid w:val="00043479"/>
  </w:style>
  <w:style w:type="paragraph" w:customStyle="1" w:styleId="s70227c73">
    <w:name w:val="s70227c73"/>
    <w:basedOn w:val="Normal"/>
    <w:rsid w:val="00043479"/>
    <w:pPr>
      <w:suppressAutoHyphens w:val="0"/>
      <w:spacing w:before="100" w:beforeAutospacing="1" w:after="100" w:afterAutospacing="1" w:line="240" w:lineRule="auto"/>
    </w:pPr>
    <w:rPr>
      <w:sz w:val="24"/>
      <w:szCs w:val="24"/>
      <w:lang w:eastAsia="en-GB"/>
    </w:rPr>
  </w:style>
  <w:style w:type="character" w:customStyle="1" w:styleId="s6b621b36">
    <w:name w:val="s6b621b36"/>
    <w:rsid w:val="00043479"/>
  </w:style>
  <w:style w:type="paragraph" w:styleId="ListParagraph">
    <w:name w:val="List Paragraph"/>
    <w:basedOn w:val="Normal"/>
    <w:uiPriority w:val="34"/>
    <w:qFormat/>
    <w:rsid w:val="00771C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4727">
      <w:bodyDiv w:val="1"/>
      <w:marLeft w:val="0"/>
      <w:marRight w:val="0"/>
      <w:marTop w:val="0"/>
      <w:marBottom w:val="0"/>
      <w:divBdr>
        <w:top w:val="none" w:sz="0" w:space="0" w:color="auto"/>
        <w:left w:val="none" w:sz="0" w:space="0" w:color="auto"/>
        <w:bottom w:val="none" w:sz="0" w:space="0" w:color="auto"/>
        <w:right w:val="none" w:sz="0" w:space="0" w:color="auto"/>
      </w:divBdr>
    </w:div>
    <w:div w:id="72364299">
      <w:bodyDiv w:val="1"/>
      <w:marLeft w:val="0"/>
      <w:marRight w:val="0"/>
      <w:marTop w:val="0"/>
      <w:marBottom w:val="0"/>
      <w:divBdr>
        <w:top w:val="none" w:sz="0" w:space="0" w:color="auto"/>
        <w:left w:val="none" w:sz="0" w:space="0" w:color="auto"/>
        <w:bottom w:val="none" w:sz="0" w:space="0" w:color="auto"/>
        <w:right w:val="none" w:sz="0" w:space="0" w:color="auto"/>
      </w:divBdr>
    </w:div>
    <w:div w:id="713240263">
      <w:bodyDiv w:val="1"/>
      <w:marLeft w:val="0"/>
      <w:marRight w:val="0"/>
      <w:marTop w:val="0"/>
      <w:marBottom w:val="0"/>
      <w:divBdr>
        <w:top w:val="none" w:sz="0" w:space="0" w:color="auto"/>
        <w:left w:val="none" w:sz="0" w:space="0" w:color="auto"/>
        <w:bottom w:val="none" w:sz="0" w:space="0" w:color="auto"/>
        <w:right w:val="none" w:sz="0" w:space="0" w:color="auto"/>
      </w:divBdr>
    </w:div>
    <w:div w:id="857542532">
      <w:bodyDiv w:val="1"/>
      <w:marLeft w:val="0"/>
      <w:marRight w:val="0"/>
      <w:marTop w:val="0"/>
      <w:marBottom w:val="0"/>
      <w:divBdr>
        <w:top w:val="none" w:sz="0" w:space="0" w:color="auto"/>
        <w:left w:val="none" w:sz="0" w:space="0" w:color="auto"/>
        <w:bottom w:val="none" w:sz="0" w:space="0" w:color="auto"/>
        <w:right w:val="none" w:sz="0" w:space="0" w:color="auto"/>
      </w:divBdr>
    </w:div>
    <w:div w:id="1160536385">
      <w:bodyDiv w:val="1"/>
      <w:marLeft w:val="0"/>
      <w:marRight w:val="0"/>
      <w:marTop w:val="0"/>
      <w:marBottom w:val="0"/>
      <w:divBdr>
        <w:top w:val="none" w:sz="0" w:space="0" w:color="auto"/>
        <w:left w:val="none" w:sz="0" w:space="0" w:color="auto"/>
        <w:bottom w:val="none" w:sz="0" w:space="0" w:color="auto"/>
        <w:right w:val="none" w:sz="0" w:space="0" w:color="auto"/>
      </w:divBdr>
      <w:divsChild>
        <w:div w:id="68357586">
          <w:marLeft w:val="0"/>
          <w:marRight w:val="0"/>
          <w:marTop w:val="0"/>
          <w:marBottom w:val="0"/>
          <w:divBdr>
            <w:top w:val="none" w:sz="0" w:space="0" w:color="auto"/>
            <w:left w:val="none" w:sz="0" w:space="0" w:color="auto"/>
            <w:bottom w:val="none" w:sz="0" w:space="0" w:color="auto"/>
            <w:right w:val="none" w:sz="0" w:space="0" w:color="auto"/>
          </w:divBdr>
          <w:divsChild>
            <w:div w:id="1686321476">
              <w:marLeft w:val="0"/>
              <w:marRight w:val="0"/>
              <w:marTop w:val="0"/>
              <w:marBottom w:val="0"/>
              <w:divBdr>
                <w:top w:val="none" w:sz="0" w:space="0" w:color="auto"/>
                <w:left w:val="none" w:sz="0" w:space="0" w:color="auto"/>
                <w:bottom w:val="none" w:sz="0" w:space="0" w:color="auto"/>
                <w:right w:val="none" w:sz="0" w:space="0" w:color="auto"/>
              </w:divBdr>
              <w:divsChild>
                <w:div w:id="1949120352">
                  <w:marLeft w:val="0"/>
                  <w:marRight w:val="0"/>
                  <w:marTop w:val="0"/>
                  <w:marBottom w:val="0"/>
                  <w:divBdr>
                    <w:top w:val="none" w:sz="0" w:space="0" w:color="auto"/>
                    <w:left w:val="none" w:sz="0" w:space="0" w:color="auto"/>
                    <w:bottom w:val="none" w:sz="0" w:space="0" w:color="auto"/>
                    <w:right w:val="none" w:sz="0" w:space="0" w:color="auto"/>
                  </w:divBdr>
                  <w:divsChild>
                    <w:div w:id="864514165">
                      <w:marLeft w:val="0"/>
                      <w:marRight w:val="0"/>
                      <w:marTop w:val="0"/>
                      <w:marBottom w:val="0"/>
                      <w:divBdr>
                        <w:top w:val="none" w:sz="0" w:space="0" w:color="auto"/>
                        <w:left w:val="none" w:sz="0" w:space="0" w:color="auto"/>
                        <w:bottom w:val="none" w:sz="0" w:space="0" w:color="auto"/>
                        <w:right w:val="none" w:sz="0" w:space="0" w:color="auto"/>
                      </w:divBdr>
                      <w:divsChild>
                        <w:div w:id="83305886">
                          <w:marLeft w:val="0"/>
                          <w:marRight w:val="0"/>
                          <w:marTop w:val="0"/>
                          <w:marBottom w:val="0"/>
                          <w:divBdr>
                            <w:top w:val="none" w:sz="0" w:space="0" w:color="auto"/>
                            <w:left w:val="none" w:sz="0" w:space="0" w:color="auto"/>
                            <w:bottom w:val="none" w:sz="0" w:space="0" w:color="auto"/>
                            <w:right w:val="none" w:sz="0" w:space="0" w:color="auto"/>
                          </w:divBdr>
                          <w:divsChild>
                            <w:div w:id="9015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80521">
      <w:bodyDiv w:val="1"/>
      <w:marLeft w:val="0"/>
      <w:marRight w:val="0"/>
      <w:marTop w:val="0"/>
      <w:marBottom w:val="0"/>
      <w:divBdr>
        <w:top w:val="none" w:sz="0" w:space="0" w:color="auto"/>
        <w:left w:val="none" w:sz="0" w:space="0" w:color="auto"/>
        <w:bottom w:val="none" w:sz="0" w:space="0" w:color="auto"/>
        <w:right w:val="none" w:sz="0" w:space="0" w:color="auto"/>
      </w:divBdr>
    </w:div>
    <w:div w:id="1341816690">
      <w:bodyDiv w:val="1"/>
      <w:marLeft w:val="0"/>
      <w:marRight w:val="0"/>
      <w:marTop w:val="0"/>
      <w:marBottom w:val="0"/>
      <w:divBdr>
        <w:top w:val="none" w:sz="0" w:space="0" w:color="auto"/>
        <w:left w:val="none" w:sz="0" w:space="0" w:color="auto"/>
        <w:bottom w:val="none" w:sz="0" w:space="0" w:color="auto"/>
        <w:right w:val="none" w:sz="0" w:space="0" w:color="auto"/>
      </w:divBdr>
    </w:div>
    <w:div w:id="1582830920">
      <w:bodyDiv w:val="1"/>
      <w:marLeft w:val="0"/>
      <w:marRight w:val="0"/>
      <w:marTop w:val="0"/>
      <w:marBottom w:val="0"/>
      <w:divBdr>
        <w:top w:val="none" w:sz="0" w:space="0" w:color="auto"/>
        <w:left w:val="none" w:sz="0" w:space="0" w:color="auto"/>
        <w:bottom w:val="none" w:sz="0" w:space="0" w:color="auto"/>
        <w:right w:val="none" w:sz="0" w:space="0" w:color="auto"/>
      </w:divBdr>
    </w:div>
    <w:div w:id="1904634103">
      <w:bodyDiv w:val="1"/>
      <w:marLeft w:val="0"/>
      <w:marRight w:val="0"/>
      <w:marTop w:val="0"/>
      <w:marBottom w:val="0"/>
      <w:divBdr>
        <w:top w:val="none" w:sz="0" w:space="0" w:color="auto"/>
        <w:left w:val="none" w:sz="0" w:space="0" w:color="auto"/>
        <w:bottom w:val="none" w:sz="0" w:space="0" w:color="auto"/>
        <w:right w:val="none" w:sz="0" w:space="0" w:color="auto"/>
      </w:divBdr>
      <w:divsChild>
        <w:div w:id="1780371184">
          <w:marLeft w:val="0"/>
          <w:marRight w:val="0"/>
          <w:marTop w:val="0"/>
          <w:marBottom w:val="0"/>
          <w:divBdr>
            <w:top w:val="none" w:sz="0" w:space="0" w:color="auto"/>
            <w:left w:val="none" w:sz="0" w:space="0" w:color="auto"/>
            <w:bottom w:val="none" w:sz="0" w:space="0" w:color="auto"/>
            <w:right w:val="none" w:sz="0" w:space="0" w:color="auto"/>
          </w:divBdr>
          <w:divsChild>
            <w:div w:id="1569415401">
              <w:marLeft w:val="0"/>
              <w:marRight w:val="0"/>
              <w:marTop w:val="0"/>
              <w:marBottom w:val="0"/>
              <w:divBdr>
                <w:top w:val="none" w:sz="0" w:space="0" w:color="auto"/>
                <w:left w:val="none" w:sz="0" w:space="0" w:color="auto"/>
                <w:bottom w:val="none" w:sz="0" w:space="0" w:color="auto"/>
                <w:right w:val="none" w:sz="0" w:space="0" w:color="auto"/>
              </w:divBdr>
              <w:divsChild>
                <w:div w:id="12005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7147">
      <w:bodyDiv w:val="1"/>
      <w:marLeft w:val="0"/>
      <w:marRight w:val="0"/>
      <w:marTop w:val="0"/>
      <w:marBottom w:val="0"/>
      <w:divBdr>
        <w:top w:val="none" w:sz="0" w:space="0" w:color="auto"/>
        <w:left w:val="none" w:sz="0" w:space="0" w:color="auto"/>
        <w:bottom w:val="none" w:sz="0" w:space="0" w:color="auto"/>
        <w:right w:val="none" w:sz="0" w:space="0" w:color="auto"/>
      </w:divBdr>
    </w:div>
    <w:div w:id="21254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D814-BA21-4DFF-B4B7-3F4ABC5F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9903</Words>
  <Characters>56453</Characters>
  <Application>Microsoft Office Word</Application>
  <DocSecurity>0</DocSecurity>
  <Lines>470</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2015-05-27T13:57:00Z</cp:lastPrinted>
  <dcterms:created xsi:type="dcterms:W3CDTF">2017-01-24T17:17:00Z</dcterms:created>
  <dcterms:modified xsi:type="dcterms:W3CDTF">2017-01-24T17:17:00Z</dcterms:modified>
</cp:coreProperties>
</file>