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41431D" w:rsidP="009E6CEB">
            <w:pPr>
              <w:jc w:val="right"/>
            </w:pPr>
            <w:r w:rsidRPr="0041431D">
              <w:rPr>
                <w:sz w:val="40"/>
              </w:rPr>
              <w:t>CCPR</w:t>
            </w:r>
            <w:r w:rsidR="00BD5A19">
              <w:t>/C</w:t>
            </w:r>
            <w:r w:rsidR="009E6CEB">
              <w:t>/</w:t>
            </w:r>
            <w:r w:rsidR="00BD5A19">
              <w:t>107</w:t>
            </w:r>
            <w:r>
              <w:t>/D/</w:t>
            </w:r>
            <w:r w:rsidR="00BD5A19">
              <w:t>1938</w:t>
            </w:r>
            <w:r w:rsidR="00DF3389">
              <w:t>/20</w:t>
            </w:r>
            <w:r w:rsidR="00BD5A19">
              <w:t>10</w:t>
            </w:r>
          </w:p>
        </w:tc>
      </w:tr>
      <w:tr w:rsidR="00B56E9C">
        <w:trPr>
          <w:cantSplit/>
          <w:trHeight w:hRule="exact" w:val="2835"/>
        </w:trPr>
        <w:tc>
          <w:tcPr>
            <w:tcW w:w="1276" w:type="dxa"/>
            <w:tcBorders>
              <w:top w:val="single" w:sz="4" w:space="0" w:color="auto"/>
              <w:bottom w:val="single" w:sz="12" w:space="0" w:color="auto"/>
            </w:tcBorders>
          </w:tcPr>
          <w:p w:rsidR="00B56E9C" w:rsidRDefault="00CC2F9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41431D" w:rsidRDefault="0041431D" w:rsidP="0041431D">
            <w:pPr>
              <w:spacing w:before="240" w:line="240" w:lineRule="exact"/>
            </w:pPr>
            <w:r>
              <w:t xml:space="preserve">Distr.: </w:t>
            </w:r>
            <w:r w:rsidR="00BC7D61">
              <w:t>General</w:t>
            </w:r>
          </w:p>
          <w:p w:rsidR="0041431D" w:rsidRDefault="00931D6A" w:rsidP="0041431D">
            <w:pPr>
              <w:spacing w:line="240" w:lineRule="exact"/>
            </w:pPr>
            <w:r>
              <w:t>1</w:t>
            </w:r>
            <w:r w:rsidR="00D608AC">
              <w:t>4</w:t>
            </w:r>
            <w:r w:rsidR="002217E1">
              <w:t xml:space="preserve"> May</w:t>
            </w:r>
            <w:r w:rsidR="005701E4">
              <w:t xml:space="preserve"> 2013</w:t>
            </w:r>
          </w:p>
          <w:p w:rsidR="0041431D" w:rsidRDefault="0041431D" w:rsidP="0041431D">
            <w:pPr>
              <w:spacing w:line="240" w:lineRule="exact"/>
            </w:pPr>
          </w:p>
          <w:p w:rsidR="00B56E9C" w:rsidRDefault="0041431D" w:rsidP="0041431D">
            <w:pPr>
              <w:spacing w:line="240" w:lineRule="exact"/>
            </w:pPr>
            <w:r>
              <w:t>Original: English</w:t>
            </w:r>
          </w:p>
          <w:p w:rsidR="009E6CEB" w:rsidRDefault="009E6CEB" w:rsidP="0041431D">
            <w:pPr>
              <w:spacing w:line="240" w:lineRule="exact"/>
            </w:pPr>
          </w:p>
          <w:p w:rsidR="009E6CEB" w:rsidRPr="007865C7" w:rsidRDefault="009E6CEB" w:rsidP="0041431D">
            <w:pPr>
              <w:spacing w:line="240" w:lineRule="exact"/>
              <w:rPr>
                <w:b/>
              </w:rPr>
            </w:pPr>
          </w:p>
        </w:tc>
      </w:tr>
    </w:tbl>
    <w:p w:rsidR="0041431D" w:rsidRPr="0041431D" w:rsidRDefault="0041431D" w:rsidP="0041431D">
      <w:pPr>
        <w:spacing w:before="120"/>
        <w:rPr>
          <w:b/>
          <w:sz w:val="24"/>
          <w:szCs w:val="24"/>
        </w:rPr>
      </w:pPr>
      <w:r w:rsidRPr="0041431D">
        <w:rPr>
          <w:b/>
          <w:sz w:val="24"/>
          <w:szCs w:val="24"/>
        </w:rPr>
        <w:t>Human Rights Committee</w:t>
      </w:r>
    </w:p>
    <w:p w:rsidR="0041431D" w:rsidRPr="0041431D" w:rsidRDefault="00BD5A19" w:rsidP="0041431D">
      <w:pPr>
        <w:pStyle w:val="HChG"/>
      </w:pPr>
      <w:r>
        <w:tab/>
      </w:r>
      <w:r>
        <w:tab/>
        <w:t>Communication No. 1938/2010</w:t>
      </w:r>
    </w:p>
    <w:p w:rsidR="0041431D" w:rsidRPr="0041431D" w:rsidRDefault="0041431D" w:rsidP="0041431D">
      <w:pPr>
        <w:pStyle w:val="H1G"/>
      </w:pPr>
      <w:r w:rsidRPr="0041431D">
        <w:tab/>
      </w:r>
      <w:r w:rsidRPr="0041431D">
        <w:tab/>
      </w:r>
      <w:r w:rsidR="009E6CEB">
        <w:t>Decision adopted by the Committee at its 107</w:t>
      </w:r>
      <w:r w:rsidR="009E6CEB" w:rsidRPr="007865C7">
        <w:t>th</w:t>
      </w:r>
      <w:r w:rsidR="009E6CEB">
        <w:t xml:space="preserve"> session </w:t>
      </w:r>
      <w:r w:rsidR="009E6CEB">
        <w:br/>
        <w:t>(11-28 March 2013)</w:t>
      </w:r>
    </w:p>
    <w:p w:rsidR="0041431D" w:rsidRPr="0041431D" w:rsidRDefault="0041431D" w:rsidP="005701E4">
      <w:pPr>
        <w:pStyle w:val="SingleTxtG"/>
        <w:ind w:left="4536" w:right="0" w:hanging="3402"/>
      </w:pPr>
      <w:r w:rsidRPr="005701E4">
        <w:rPr>
          <w:i/>
        </w:rPr>
        <w:t>Submitted by</w:t>
      </w:r>
      <w:r w:rsidRPr="0041431D">
        <w:t>:</w:t>
      </w:r>
      <w:r w:rsidRPr="0041431D">
        <w:tab/>
      </w:r>
      <w:r w:rsidR="00BD5A19">
        <w:t>Q</w:t>
      </w:r>
      <w:r w:rsidR="009E6CEB">
        <w:t>.</w:t>
      </w:r>
      <w:r w:rsidR="00BD5A19">
        <w:t xml:space="preserve"> H</w:t>
      </w:r>
      <w:r w:rsidR="009E6CEB">
        <w:t>.</w:t>
      </w:r>
      <w:r w:rsidR="00BD5A19">
        <w:t xml:space="preserve"> L</w:t>
      </w:r>
      <w:r w:rsidR="009E6CEB">
        <w:t>.</w:t>
      </w:r>
      <w:r w:rsidRPr="0041431D">
        <w:t xml:space="preserve"> (represented by counsel, </w:t>
      </w:r>
      <w:r w:rsidR="00BD5A19">
        <w:t>Kon Karapanagiotidis, Asylum Seeker Resource Centre</w:t>
      </w:r>
      <w:r w:rsidRPr="0041431D">
        <w:t>)</w:t>
      </w:r>
    </w:p>
    <w:p w:rsidR="0041431D" w:rsidRPr="0041431D" w:rsidRDefault="0041431D" w:rsidP="005701E4">
      <w:pPr>
        <w:pStyle w:val="SingleTxtG"/>
        <w:ind w:left="4536" w:right="0" w:hanging="3402"/>
      </w:pPr>
      <w:r w:rsidRPr="005701E4">
        <w:rPr>
          <w:i/>
        </w:rPr>
        <w:t>Alleged victim</w:t>
      </w:r>
      <w:r w:rsidR="00DF3389">
        <w:t>:</w:t>
      </w:r>
      <w:r w:rsidR="00DF3389">
        <w:tab/>
        <w:t>The author</w:t>
      </w:r>
    </w:p>
    <w:p w:rsidR="0041431D" w:rsidRPr="0041431D" w:rsidRDefault="0041431D" w:rsidP="005701E4">
      <w:pPr>
        <w:pStyle w:val="SingleTxtG"/>
        <w:ind w:left="4536" w:right="0" w:hanging="3402"/>
      </w:pPr>
      <w:r w:rsidRPr="005701E4">
        <w:rPr>
          <w:i/>
        </w:rPr>
        <w:t>State party</w:t>
      </w:r>
      <w:r w:rsidRPr="0041431D">
        <w:t>:</w:t>
      </w:r>
      <w:r w:rsidRPr="0041431D">
        <w:tab/>
      </w:r>
      <w:smartTag w:uri="urn:schemas-microsoft-com:office:smarttags" w:element="place">
        <w:smartTag w:uri="urn:schemas-microsoft-com:office:smarttags" w:element="country-region">
          <w:r w:rsidR="00BD5A19">
            <w:t>Australia</w:t>
          </w:r>
        </w:smartTag>
      </w:smartTag>
    </w:p>
    <w:p w:rsidR="0041431D" w:rsidRPr="0041431D" w:rsidRDefault="0041431D" w:rsidP="005701E4">
      <w:pPr>
        <w:pStyle w:val="SingleTxtG"/>
        <w:ind w:left="4536" w:right="0" w:hanging="3402"/>
      </w:pPr>
      <w:r w:rsidRPr="005701E4">
        <w:rPr>
          <w:i/>
        </w:rPr>
        <w:t>Date of communication</w:t>
      </w:r>
      <w:r w:rsidR="00DF3389">
        <w:t>:</w:t>
      </w:r>
      <w:r w:rsidR="00DF3389">
        <w:tab/>
      </w:r>
      <w:r w:rsidR="00BD5A19">
        <w:t>19 April 2010</w:t>
      </w:r>
      <w:r w:rsidRPr="0041431D">
        <w:t xml:space="preserve"> (initial submission)</w:t>
      </w:r>
    </w:p>
    <w:p w:rsidR="0041431D" w:rsidRPr="0041431D" w:rsidRDefault="0041431D" w:rsidP="005701E4">
      <w:pPr>
        <w:pStyle w:val="SingleTxtG"/>
        <w:ind w:left="4536" w:right="0" w:hanging="3402"/>
      </w:pPr>
      <w:r w:rsidRPr="005701E4">
        <w:rPr>
          <w:i/>
        </w:rPr>
        <w:t>Document references</w:t>
      </w:r>
      <w:r w:rsidRPr="0041431D">
        <w:t>:</w:t>
      </w:r>
      <w:r w:rsidRPr="0041431D">
        <w:tab/>
        <w:t xml:space="preserve">Special Rapporteur’s rule 97 decision, transmitted to the State party on </w:t>
      </w:r>
      <w:r w:rsidR="00BD5A19">
        <w:t>21 April 2010</w:t>
      </w:r>
      <w:r w:rsidRPr="0041431D">
        <w:t xml:space="preserve"> (not issued in document form)</w:t>
      </w:r>
    </w:p>
    <w:p w:rsidR="0041431D" w:rsidRPr="0041431D" w:rsidRDefault="0041431D" w:rsidP="005701E4">
      <w:pPr>
        <w:pStyle w:val="SingleTxtG"/>
        <w:ind w:left="4536" w:right="0" w:hanging="3402"/>
      </w:pPr>
      <w:r w:rsidRPr="005701E4">
        <w:rPr>
          <w:i/>
        </w:rPr>
        <w:t xml:space="preserve">Date of adoption of </w:t>
      </w:r>
      <w:r w:rsidR="00D608AC">
        <w:rPr>
          <w:i/>
        </w:rPr>
        <w:t>decision</w:t>
      </w:r>
      <w:r w:rsidRPr="0041431D">
        <w:t>:</w:t>
      </w:r>
      <w:r w:rsidRPr="0041431D">
        <w:tab/>
      </w:r>
      <w:r w:rsidR="009E6CEB">
        <w:t>25</w:t>
      </w:r>
      <w:r w:rsidR="009E6CEB" w:rsidRPr="0041431D">
        <w:t xml:space="preserve"> </w:t>
      </w:r>
      <w:r w:rsidR="00BD5A19">
        <w:t>March</w:t>
      </w:r>
      <w:r w:rsidR="00DF3389">
        <w:t xml:space="preserve"> </w:t>
      </w:r>
      <w:r w:rsidRPr="0041431D">
        <w:t>201</w:t>
      </w:r>
      <w:r w:rsidR="00BD5A19">
        <w:t>3</w:t>
      </w:r>
    </w:p>
    <w:p w:rsidR="00965369" w:rsidRPr="00BD5A19" w:rsidRDefault="00070B9E" w:rsidP="005701E4">
      <w:pPr>
        <w:pStyle w:val="SingleTxtG"/>
        <w:ind w:left="4536" w:right="0" w:hanging="3402"/>
        <w:rPr>
          <w:iCs/>
        </w:rPr>
      </w:pPr>
      <w:r>
        <w:rPr>
          <w:i/>
        </w:rPr>
        <w:t>Subject matter:</w:t>
      </w:r>
      <w:r w:rsidR="0041431D" w:rsidRPr="0041431D">
        <w:rPr>
          <w:i/>
        </w:rPr>
        <w:tab/>
      </w:r>
      <w:r w:rsidR="000A0CD6">
        <w:rPr>
          <w:i/>
        </w:rPr>
        <w:tab/>
      </w:r>
      <w:r w:rsidR="00BD5A19">
        <w:t xml:space="preserve">Deportation to </w:t>
      </w:r>
      <w:smartTag w:uri="urn:schemas-microsoft-com:office:smarttags" w:element="country-region">
        <w:smartTag w:uri="urn:schemas-microsoft-com:office:smarttags" w:element="place">
          <w:r w:rsidR="00BD5A19">
            <w:t>China</w:t>
          </w:r>
        </w:smartTag>
      </w:smartTag>
    </w:p>
    <w:p w:rsidR="00965369" w:rsidRPr="00467D04" w:rsidRDefault="0041431D" w:rsidP="005701E4">
      <w:pPr>
        <w:pStyle w:val="SingleTxtG"/>
        <w:ind w:left="4536" w:right="0" w:hanging="3402"/>
      </w:pPr>
      <w:r w:rsidRPr="0041431D">
        <w:rPr>
          <w:i/>
        </w:rPr>
        <w:t>Substantive issues:</w:t>
      </w:r>
      <w:r w:rsidRPr="0041431D">
        <w:rPr>
          <w:i/>
        </w:rPr>
        <w:tab/>
      </w:r>
      <w:r w:rsidR="00BD5A19">
        <w:t>Right to life, right to protection from cruel, inhuman or degrading treatment or punishment; right to be free from arbitrary detention</w:t>
      </w:r>
      <w:r w:rsidR="00152EE6">
        <w:t xml:space="preserve">; right to a fair trial; </w:t>
      </w:r>
      <w:r w:rsidR="00BD5A19">
        <w:t>right to protection from interference with the family and home.</w:t>
      </w:r>
    </w:p>
    <w:p w:rsidR="0041431D" w:rsidRPr="0041431D" w:rsidRDefault="0041431D" w:rsidP="005701E4">
      <w:pPr>
        <w:pStyle w:val="SingleTxtG"/>
        <w:ind w:left="4536" w:right="0" w:hanging="3402"/>
      </w:pPr>
      <w:r w:rsidRPr="0041431D">
        <w:rPr>
          <w:i/>
        </w:rPr>
        <w:t>Procedural issues:</w:t>
      </w:r>
      <w:r w:rsidRPr="0041431D">
        <w:rPr>
          <w:i/>
        </w:rPr>
        <w:tab/>
      </w:r>
      <w:r w:rsidR="00B46089">
        <w:t xml:space="preserve">Insufficient substantiation; inadmissible </w:t>
      </w:r>
      <w:r w:rsidR="00B46089" w:rsidRPr="00B46089">
        <w:rPr>
          <w:i/>
        </w:rPr>
        <w:t>ratione materiae</w:t>
      </w:r>
      <w:r w:rsidR="00B46089">
        <w:t>; n</w:t>
      </w:r>
      <w:r w:rsidRPr="0041431D">
        <w:rPr>
          <w:iCs/>
        </w:rPr>
        <w:t>on-e</w:t>
      </w:r>
      <w:r w:rsidRPr="0041431D">
        <w:t>xhaustion of domestic remedies</w:t>
      </w:r>
      <w:r w:rsidR="00152EE6">
        <w:t>.</w:t>
      </w:r>
    </w:p>
    <w:p w:rsidR="0056744E" w:rsidRDefault="0041431D" w:rsidP="005701E4">
      <w:pPr>
        <w:pStyle w:val="SingleTxtG"/>
        <w:ind w:left="4536" w:right="0" w:hanging="3402"/>
      </w:pPr>
      <w:r w:rsidRPr="0041431D">
        <w:rPr>
          <w:i/>
        </w:rPr>
        <w:t>Articles of the Covenant:</w:t>
      </w:r>
      <w:r w:rsidRPr="0041431D">
        <w:t xml:space="preserve"> </w:t>
      </w:r>
      <w:r w:rsidRPr="0041431D">
        <w:tab/>
      </w:r>
      <w:r w:rsidR="00BD5A19">
        <w:t>6,</w:t>
      </w:r>
      <w:r w:rsidR="007864C1">
        <w:t xml:space="preserve"> </w:t>
      </w:r>
      <w:r w:rsidR="00BD5A19">
        <w:t xml:space="preserve">7, 9, </w:t>
      </w:r>
      <w:r w:rsidR="00152EE6">
        <w:t>14, (3</w:t>
      </w:r>
      <w:r w:rsidR="007D4058">
        <w:t xml:space="preserve"> g</w:t>
      </w:r>
      <w:r w:rsidR="00152EE6">
        <w:t xml:space="preserve">); </w:t>
      </w:r>
      <w:r w:rsidR="00BD5A19">
        <w:t>17 alone and read in conjunction with 2 (1)</w:t>
      </w:r>
      <w:r w:rsidR="007864C1">
        <w:t>.</w:t>
      </w:r>
    </w:p>
    <w:p w:rsidR="0041431D" w:rsidRPr="0041431D" w:rsidRDefault="0041431D" w:rsidP="005701E4">
      <w:pPr>
        <w:pStyle w:val="SingleTxtG"/>
        <w:ind w:left="4536" w:right="0" w:hanging="3402"/>
      </w:pPr>
      <w:r w:rsidRPr="0041431D">
        <w:rPr>
          <w:i/>
        </w:rPr>
        <w:t xml:space="preserve">Articles of the Optional Protocol: </w:t>
      </w:r>
      <w:r w:rsidRPr="0041431D">
        <w:rPr>
          <w:i/>
        </w:rPr>
        <w:tab/>
      </w:r>
      <w:r w:rsidR="00B85802" w:rsidRPr="00B85802">
        <w:t>1;</w:t>
      </w:r>
      <w:r w:rsidR="00B85802">
        <w:rPr>
          <w:i/>
        </w:rPr>
        <w:t xml:space="preserve"> </w:t>
      </w:r>
      <w:r w:rsidR="00152EE6" w:rsidRPr="00152EE6">
        <w:t>2;</w:t>
      </w:r>
      <w:r w:rsidR="00B46089">
        <w:t xml:space="preserve"> 3;</w:t>
      </w:r>
      <w:r w:rsidR="00152EE6">
        <w:rPr>
          <w:i/>
        </w:rPr>
        <w:t xml:space="preserve"> </w:t>
      </w:r>
      <w:r w:rsidRPr="0041431D">
        <w:rPr>
          <w:iCs/>
        </w:rPr>
        <w:t>5, paragraph 2(b)</w:t>
      </w:r>
      <w:r w:rsidR="00152EE6">
        <w:rPr>
          <w:iCs/>
        </w:rPr>
        <w:t>.</w:t>
      </w:r>
    </w:p>
    <w:p w:rsidR="003C2CFE" w:rsidRPr="00070B9E" w:rsidRDefault="0041431D" w:rsidP="00070B9E">
      <w:pPr>
        <w:pStyle w:val="HChG"/>
      </w:pPr>
      <w:r w:rsidRPr="0041431D">
        <w:br w:type="page"/>
      </w:r>
      <w:r w:rsidR="003C2CFE" w:rsidRPr="00070B9E">
        <w:lastRenderedPageBreak/>
        <w:t>Annex</w:t>
      </w:r>
    </w:p>
    <w:p w:rsidR="003C2CFE" w:rsidRDefault="003C2CFE" w:rsidP="005701E4">
      <w:pPr>
        <w:pStyle w:val="HChG"/>
        <w:tabs>
          <w:tab w:val="left" w:pos="7371"/>
        </w:tabs>
        <w:ind w:right="0"/>
      </w:pPr>
      <w:r>
        <w:tab/>
      </w:r>
      <w:r>
        <w:tab/>
      </w:r>
      <w:r w:rsidR="00437EE3" w:rsidRPr="00F842C2">
        <w:t>Decision of the Human Rights Committee under the Optional Protocol to the International Covenant on Civil and Politic</w:t>
      </w:r>
      <w:r w:rsidR="00437EE3">
        <w:t>al R</w:t>
      </w:r>
      <w:r w:rsidR="00437EE3" w:rsidRPr="00F842C2">
        <w:t>ights</w:t>
      </w:r>
      <w:r w:rsidR="00437EE3">
        <w:t xml:space="preserve"> </w:t>
      </w:r>
      <w:r>
        <w:t>(</w:t>
      </w:r>
      <w:r>
        <w:rPr>
          <w:lang w:val="en-US"/>
        </w:rPr>
        <w:t>10</w:t>
      </w:r>
      <w:r w:rsidR="00BD5A19">
        <w:rPr>
          <w:lang w:val="en-US"/>
        </w:rPr>
        <w:t>7</w:t>
      </w:r>
      <w:r w:rsidRPr="007865C7">
        <w:rPr>
          <w:lang w:val="en-US"/>
        </w:rPr>
        <w:t>th</w:t>
      </w:r>
      <w:r>
        <w:rPr>
          <w:lang w:val="en-US"/>
        </w:rPr>
        <w:t xml:space="preserve"> session)</w:t>
      </w:r>
    </w:p>
    <w:p w:rsidR="003C2CFE" w:rsidRDefault="003C2CFE" w:rsidP="005701E4">
      <w:pPr>
        <w:pStyle w:val="SingleTxtG"/>
        <w:ind w:right="0"/>
      </w:pPr>
      <w:r>
        <w:t>concerning</w:t>
      </w:r>
    </w:p>
    <w:p w:rsidR="004B137C" w:rsidRPr="004B137C" w:rsidRDefault="003C2CFE" w:rsidP="004B137C">
      <w:pPr>
        <w:keepNext/>
        <w:keepLines/>
        <w:tabs>
          <w:tab w:val="right" w:pos="851"/>
        </w:tabs>
        <w:spacing w:before="360" w:after="240" w:line="270" w:lineRule="exact"/>
        <w:ind w:left="1134" w:hanging="1134"/>
        <w:rPr>
          <w:b/>
        </w:rPr>
      </w:pPr>
      <w:r w:rsidRPr="006711B5">
        <w:rPr>
          <w:b/>
        </w:rPr>
        <w:t xml:space="preserve"> </w:t>
      </w:r>
      <w:r w:rsidRPr="006711B5">
        <w:rPr>
          <w:b/>
        </w:rPr>
        <w:tab/>
      </w:r>
      <w:r w:rsidRPr="006711B5">
        <w:rPr>
          <w:b/>
        </w:rPr>
        <w:tab/>
      </w:r>
      <w:r w:rsidR="00BB08E6" w:rsidRPr="00A5368D">
        <w:rPr>
          <w:rFonts w:eastAsia="Calibri"/>
          <w:b/>
          <w:sz w:val="24"/>
          <w:szCs w:val="24"/>
        </w:rPr>
        <w:t xml:space="preserve">Communication No. </w:t>
      </w:r>
      <w:r w:rsidR="00BB08E6">
        <w:rPr>
          <w:rFonts w:eastAsia="Calibri"/>
          <w:b/>
          <w:sz w:val="24"/>
          <w:szCs w:val="24"/>
        </w:rPr>
        <w:t>1938</w:t>
      </w:r>
      <w:r w:rsidR="00BB08E6" w:rsidRPr="00A5368D">
        <w:rPr>
          <w:rFonts w:eastAsia="Calibri"/>
          <w:b/>
          <w:sz w:val="24"/>
          <w:szCs w:val="24"/>
        </w:rPr>
        <w:t>/20</w:t>
      </w:r>
      <w:r w:rsidR="00BB08E6">
        <w:rPr>
          <w:rFonts w:eastAsia="Calibri"/>
          <w:b/>
          <w:sz w:val="24"/>
          <w:szCs w:val="24"/>
        </w:rPr>
        <w:t>10</w:t>
      </w:r>
      <w:r w:rsidR="009E6CEB">
        <w:rPr>
          <w:rStyle w:val="FootnoteReference"/>
          <w:b/>
        </w:rPr>
        <w:footnoteReference w:customMarkFollows="1" w:id="2"/>
        <w:t>*</w:t>
      </w:r>
      <w:r w:rsidR="004B137C" w:rsidRPr="004B137C">
        <w:rPr>
          <w:b/>
        </w:rPr>
        <w:t xml:space="preserve"> </w:t>
      </w:r>
    </w:p>
    <w:p w:rsidR="00BB08E6" w:rsidRPr="00BB08E6" w:rsidRDefault="00BB08E6" w:rsidP="005701E4">
      <w:pPr>
        <w:pStyle w:val="SingleTxtG"/>
        <w:ind w:left="4536" w:right="0" w:hanging="3402"/>
      </w:pPr>
      <w:r w:rsidRPr="00052009">
        <w:rPr>
          <w:rFonts w:eastAsia="Calibri"/>
          <w:i/>
        </w:rPr>
        <w:t>Submitted by:</w:t>
      </w:r>
      <w:r w:rsidRPr="00A5368D">
        <w:rPr>
          <w:rFonts w:eastAsia="Calibri"/>
          <w:sz w:val="24"/>
          <w:szCs w:val="24"/>
        </w:rPr>
        <w:tab/>
      </w:r>
      <w:r>
        <w:t>Q</w:t>
      </w:r>
      <w:r w:rsidR="00F35BC0">
        <w:t>.</w:t>
      </w:r>
      <w:r>
        <w:t xml:space="preserve"> H</w:t>
      </w:r>
      <w:r w:rsidR="00F35BC0">
        <w:t>.</w:t>
      </w:r>
      <w:r>
        <w:t xml:space="preserve"> L</w:t>
      </w:r>
      <w:r w:rsidR="00F35BC0">
        <w:t>.</w:t>
      </w:r>
      <w:r w:rsidRPr="0041431D">
        <w:t xml:space="preserve"> (represented by counsel, </w:t>
      </w:r>
      <w:r>
        <w:t>Kon Karapanagiotidis, Asylum Seeker Resource Centre)</w:t>
      </w:r>
    </w:p>
    <w:p w:rsidR="00BB08E6" w:rsidRPr="0029008E" w:rsidRDefault="00BB08E6" w:rsidP="005701E4">
      <w:pPr>
        <w:spacing w:after="120"/>
        <w:ind w:left="4536" w:hanging="3402"/>
        <w:jc w:val="both"/>
        <w:rPr>
          <w:rStyle w:val="SingleTxtGChar"/>
        </w:rPr>
      </w:pPr>
      <w:r w:rsidRPr="00052009">
        <w:rPr>
          <w:rFonts w:eastAsia="Calibri"/>
          <w:i/>
        </w:rPr>
        <w:t>Alleged victim:</w:t>
      </w:r>
      <w:r w:rsidRPr="00A5368D">
        <w:rPr>
          <w:rFonts w:eastAsia="Calibri"/>
          <w:sz w:val="24"/>
          <w:szCs w:val="24"/>
        </w:rPr>
        <w:tab/>
      </w:r>
      <w:r w:rsidRPr="00B61823">
        <w:rPr>
          <w:rFonts w:eastAsia="Calibri"/>
        </w:rPr>
        <w:t>T</w:t>
      </w:r>
      <w:r w:rsidRPr="0029008E">
        <w:rPr>
          <w:rStyle w:val="SingleTxtGChar"/>
        </w:rPr>
        <w:t>he author</w:t>
      </w:r>
      <w:r>
        <w:rPr>
          <w:rStyle w:val="SingleTxtGChar"/>
        </w:rPr>
        <w:t xml:space="preserve"> </w:t>
      </w:r>
    </w:p>
    <w:p w:rsidR="00BB08E6" w:rsidRPr="0029008E" w:rsidRDefault="00BB08E6" w:rsidP="005701E4">
      <w:pPr>
        <w:spacing w:after="120"/>
        <w:ind w:left="4536" w:hanging="3402"/>
        <w:jc w:val="both"/>
        <w:rPr>
          <w:rStyle w:val="SingleTxtGChar"/>
        </w:rPr>
      </w:pPr>
      <w:r w:rsidRPr="00052009">
        <w:rPr>
          <w:rFonts w:eastAsia="Calibri"/>
          <w:i/>
        </w:rPr>
        <w:t>State party:</w:t>
      </w:r>
      <w:r w:rsidRPr="00A5368D">
        <w:rPr>
          <w:rFonts w:eastAsia="Calibri"/>
          <w:sz w:val="24"/>
          <w:szCs w:val="24"/>
        </w:rPr>
        <w:tab/>
      </w:r>
      <w:smartTag w:uri="urn:schemas-microsoft-com:office:smarttags" w:element="place">
        <w:smartTag w:uri="urn:schemas-microsoft-com:office:smarttags" w:element="country-region">
          <w:r>
            <w:rPr>
              <w:rFonts w:eastAsia="Calibri"/>
            </w:rPr>
            <w:t>Australia</w:t>
          </w:r>
        </w:smartTag>
      </w:smartTag>
    </w:p>
    <w:p w:rsidR="00BB08E6" w:rsidRPr="00A5368D" w:rsidRDefault="00BB08E6" w:rsidP="005701E4">
      <w:pPr>
        <w:spacing w:after="120"/>
        <w:ind w:left="4536" w:hanging="3402"/>
        <w:jc w:val="both"/>
        <w:rPr>
          <w:rStyle w:val="SingleTxtGChar"/>
        </w:rPr>
      </w:pPr>
      <w:r w:rsidRPr="00052009">
        <w:rPr>
          <w:rFonts w:eastAsia="Calibri"/>
          <w:i/>
        </w:rPr>
        <w:t>Date of communication:</w:t>
      </w:r>
      <w:r w:rsidRPr="00A5368D">
        <w:rPr>
          <w:rFonts w:eastAsia="Calibri"/>
          <w:sz w:val="24"/>
          <w:szCs w:val="24"/>
        </w:rPr>
        <w:tab/>
      </w:r>
      <w:r>
        <w:t>19 April 2010</w:t>
      </w:r>
      <w:r w:rsidRPr="0041431D">
        <w:t xml:space="preserve"> (initial submission)</w:t>
      </w:r>
    </w:p>
    <w:p w:rsidR="00BB08E6" w:rsidRPr="00A5368D" w:rsidRDefault="00BB08E6" w:rsidP="005701E4">
      <w:pPr>
        <w:spacing w:after="120"/>
        <w:ind w:left="1134"/>
        <w:jc w:val="both"/>
        <w:rPr>
          <w:rStyle w:val="SingleTxtGChar"/>
        </w:rPr>
      </w:pPr>
      <w:r w:rsidRPr="00A5368D">
        <w:rPr>
          <w:rFonts w:eastAsia="Calibri"/>
          <w:i/>
          <w:sz w:val="24"/>
          <w:szCs w:val="24"/>
        </w:rPr>
        <w:tab/>
      </w:r>
      <w:r w:rsidRPr="00052009">
        <w:rPr>
          <w:rFonts w:eastAsia="Calibri"/>
          <w:i/>
        </w:rPr>
        <w:t>The Human Rights Committee</w:t>
      </w:r>
      <w:r w:rsidRPr="00A5368D">
        <w:rPr>
          <w:rFonts w:eastAsia="Calibri"/>
          <w:sz w:val="24"/>
          <w:szCs w:val="24"/>
        </w:rPr>
        <w:t xml:space="preserve">, </w:t>
      </w:r>
      <w:r w:rsidRPr="00A5368D">
        <w:rPr>
          <w:rStyle w:val="SingleTxtGChar"/>
        </w:rPr>
        <w:t>established under article 28 of the International Covenant on Civil and Political Rights,</w:t>
      </w:r>
    </w:p>
    <w:p w:rsidR="00BB08E6" w:rsidRPr="00A5368D" w:rsidRDefault="00BB08E6" w:rsidP="005701E4">
      <w:pPr>
        <w:spacing w:after="120"/>
        <w:ind w:left="1134"/>
        <w:jc w:val="both"/>
        <w:rPr>
          <w:rStyle w:val="SingleTxtGChar"/>
        </w:rPr>
      </w:pPr>
      <w:r w:rsidRPr="00A5368D">
        <w:rPr>
          <w:rFonts w:eastAsia="Calibri"/>
          <w:sz w:val="24"/>
          <w:szCs w:val="24"/>
        </w:rPr>
        <w:tab/>
      </w:r>
      <w:r w:rsidRPr="00FC6906">
        <w:rPr>
          <w:rFonts w:eastAsia="Calibri"/>
          <w:i/>
        </w:rPr>
        <w:t>Meeting on</w:t>
      </w:r>
      <w:r w:rsidRPr="007865C7">
        <w:rPr>
          <w:rFonts w:eastAsia="Calibri"/>
        </w:rPr>
        <w:t xml:space="preserve"> </w:t>
      </w:r>
      <w:r w:rsidR="00F35BC0" w:rsidRPr="007865C7">
        <w:rPr>
          <w:rFonts w:eastAsia="Calibri"/>
        </w:rPr>
        <w:t>25</w:t>
      </w:r>
      <w:r w:rsidRPr="004B0E1A">
        <w:rPr>
          <w:rFonts w:eastAsia="Calibri"/>
        </w:rPr>
        <w:t xml:space="preserve"> March</w:t>
      </w:r>
      <w:r w:rsidRPr="007865C7">
        <w:rPr>
          <w:rFonts w:eastAsia="Calibri"/>
        </w:rPr>
        <w:t xml:space="preserve"> </w:t>
      </w:r>
      <w:r w:rsidRPr="00FC6906">
        <w:rPr>
          <w:rStyle w:val="SingleTxtGChar"/>
        </w:rPr>
        <w:t>2013</w:t>
      </w:r>
      <w:r w:rsidRPr="00A5368D">
        <w:rPr>
          <w:rStyle w:val="SingleTxtGChar"/>
        </w:rPr>
        <w:t>,</w:t>
      </w:r>
    </w:p>
    <w:p w:rsidR="00BB08E6" w:rsidRPr="00A5368D" w:rsidRDefault="00BB08E6" w:rsidP="005701E4">
      <w:pPr>
        <w:spacing w:after="120"/>
        <w:ind w:left="1134"/>
        <w:jc w:val="both"/>
        <w:rPr>
          <w:rStyle w:val="SingleTxtGChar"/>
        </w:rPr>
      </w:pPr>
      <w:r w:rsidRPr="00A5368D">
        <w:rPr>
          <w:rFonts w:eastAsia="Calibri"/>
          <w:sz w:val="24"/>
          <w:szCs w:val="24"/>
        </w:rPr>
        <w:tab/>
      </w:r>
      <w:r w:rsidRPr="00052009">
        <w:rPr>
          <w:rFonts w:eastAsia="Calibri"/>
          <w:i/>
        </w:rPr>
        <w:t>Adopts</w:t>
      </w:r>
      <w:r w:rsidRPr="00052009">
        <w:rPr>
          <w:rFonts w:eastAsia="Calibri"/>
        </w:rPr>
        <w:t xml:space="preserve"> </w:t>
      </w:r>
      <w:r w:rsidRPr="00A5368D">
        <w:rPr>
          <w:rStyle w:val="SingleTxtGChar"/>
        </w:rPr>
        <w:t>the following:</w:t>
      </w:r>
    </w:p>
    <w:p w:rsidR="00BB08E6" w:rsidRPr="00C61681" w:rsidRDefault="00BB08E6" w:rsidP="00931D6A">
      <w:pPr>
        <w:pStyle w:val="H1G"/>
        <w:ind w:right="0"/>
      </w:pPr>
      <w:r>
        <w:tab/>
      </w:r>
      <w:r>
        <w:tab/>
      </w:r>
      <w:r w:rsidR="00437EE3">
        <w:t xml:space="preserve">Decision on </w:t>
      </w:r>
      <w:r w:rsidR="00931D6A">
        <w:t>a</w:t>
      </w:r>
      <w:r w:rsidR="00437EE3">
        <w:t>dmissibility</w:t>
      </w:r>
    </w:p>
    <w:p w:rsidR="005701E4" w:rsidRDefault="00450C47" w:rsidP="000A0CD6">
      <w:pPr>
        <w:pStyle w:val="SingleTxtG"/>
        <w:ind w:right="0"/>
      </w:pPr>
      <w:r>
        <w:t>1.</w:t>
      </w:r>
      <w:r w:rsidR="00AB27DE">
        <w:t>1</w:t>
      </w:r>
      <w:r>
        <w:tab/>
      </w:r>
      <w:r w:rsidR="00AB27DE">
        <w:t>The author of the communication is Q</w:t>
      </w:r>
      <w:r w:rsidR="00F35BC0">
        <w:t>.</w:t>
      </w:r>
      <w:r w:rsidR="00AB27DE">
        <w:t xml:space="preserve"> H</w:t>
      </w:r>
      <w:r w:rsidR="00F35BC0">
        <w:t>.</w:t>
      </w:r>
      <w:r w:rsidR="00AB27DE">
        <w:t xml:space="preserve"> L</w:t>
      </w:r>
      <w:r w:rsidR="00F35BC0">
        <w:t>.</w:t>
      </w:r>
      <w:r w:rsidR="00AB27DE">
        <w:t xml:space="preserve">, a Chinese citizen, born on 21 May 1963. He alleges </w:t>
      </w:r>
      <w:r w:rsidR="000A0CD6">
        <w:t>that he is a</w:t>
      </w:r>
      <w:r w:rsidR="00AB27DE">
        <w:t xml:space="preserve"> victim of a violation by </w:t>
      </w:r>
      <w:smartTag w:uri="urn:schemas-microsoft-com:office:smarttags" w:element="place">
        <w:smartTag w:uri="urn:schemas-microsoft-com:office:smarttags" w:element="country-region">
          <w:r w:rsidR="00AB27DE">
            <w:t>Austr</w:t>
          </w:r>
          <w:r w:rsidR="00152EE6">
            <w:t>alia</w:t>
          </w:r>
        </w:smartTag>
      </w:smartTag>
      <w:r w:rsidR="00152EE6">
        <w:t xml:space="preserve"> of articles 6, paragraph 1</w:t>
      </w:r>
      <w:r w:rsidR="000A0CD6">
        <w:t>;</w:t>
      </w:r>
      <w:r w:rsidR="00AB27DE">
        <w:t xml:space="preserve"> 7</w:t>
      </w:r>
      <w:r w:rsidR="000A0CD6">
        <w:t>;</w:t>
      </w:r>
      <w:r w:rsidR="00AB27DE">
        <w:t xml:space="preserve"> 9</w:t>
      </w:r>
      <w:r w:rsidR="000A0CD6">
        <w:t>;</w:t>
      </w:r>
      <w:r w:rsidR="00AB27DE">
        <w:t xml:space="preserve"> paragraph 1</w:t>
      </w:r>
      <w:r w:rsidR="000A0CD6">
        <w:t>;</w:t>
      </w:r>
      <w:r w:rsidR="00152EE6">
        <w:t xml:space="preserve"> 14, paragraph 3 (g)</w:t>
      </w:r>
      <w:r w:rsidR="000A0CD6">
        <w:t>;</w:t>
      </w:r>
      <w:r w:rsidR="00AB27DE">
        <w:t xml:space="preserve"> and 17</w:t>
      </w:r>
      <w:r w:rsidR="000A0CD6">
        <w:t>,</w:t>
      </w:r>
      <w:r w:rsidR="00AB27DE">
        <w:t xml:space="preserve"> all read in conjunction with article 2, paragraph 1, of the Covenant. He is represented by counsel, Kon Karapanagiotidis, of the Asylum Seeker Resource Centre.</w:t>
      </w:r>
      <w:r w:rsidR="005701E4" w:rsidRPr="005701E4">
        <w:t xml:space="preserve"> </w:t>
      </w:r>
    </w:p>
    <w:p w:rsidR="00AB27DE" w:rsidRDefault="00AB27DE" w:rsidP="00C81561">
      <w:pPr>
        <w:pStyle w:val="SingleTxtG"/>
        <w:ind w:right="0"/>
      </w:pPr>
      <w:r>
        <w:t>1.2</w:t>
      </w:r>
      <w:r>
        <w:tab/>
      </w:r>
      <w:r w:rsidR="006E6434">
        <w:t>On 21 April 2010, the Chair, acting on behalf of the Committee</w:t>
      </w:r>
      <w:r w:rsidR="00E114A0">
        <w:t>,</w:t>
      </w:r>
      <w:r w:rsidR="006E6434">
        <w:t xml:space="preserve"> requested the State party not to deport the author to </w:t>
      </w:r>
      <w:smartTag w:uri="urn:schemas-microsoft-com:office:smarttags" w:element="place">
        <w:smartTag w:uri="urn:schemas-microsoft-com:office:smarttags" w:element="country-region">
          <w:r w:rsidR="006E6434">
            <w:t>China</w:t>
          </w:r>
        </w:smartTag>
      </w:smartTag>
      <w:r w:rsidR="006E6434">
        <w:t xml:space="preserve"> while his communication is under consideration by the Committee. </w:t>
      </w:r>
      <w:r w:rsidR="00B511A2">
        <w:t>He</w:t>
      </w:r>
      <w:r w:rsidR="006E6434">
        <w:t xml:space="preserve"> noted that the </w:t>
      </w:r>
      <w:r w:rsidR="001561B9">
        <w:t xml:space="preserve">request for interim measured may be </w:t>
      </w:r>
      <w:r w:rsidR="006E6434">
        <w:t>review</w:t>
      </w:r>
      <w:r w:rsidR="001561B9">
        <w:t>ed</w:t>
      </w:r>
      <w:r w:rsidR="006E6434">
        <w:t xml:space="preserve"> once the State party’s </w:t>
      </w:r>
      <w:r w:rsidR="00E114A0">
        <w:t>observations</w:t>
      </w:r>
      <w:r w:rsidR="006E6434">
        <w:t xml:space="preserve"> have been received. </w:t>
      </w:r>
    </w:p>
    <w:p w:rsidR="00450C47" w:rsidRDefault="00070B9E" w:rsidP="00C81561">
      <w:pPr>
        <w:pStyle w:val="H23G"/>
        <w:ind w:right="0"/>
      </w:pPr>
      <w:r>
        <w:tab/>
      </w:r>
      <w:r>
        <w:tab/>
      </w:r>
      <w:r w:rsidR="00D4474C">
        <w:t>Factual background</w:t>
      </w:r>
      <w:r w:rsidR="00D4474C">
        <w:rPr>
          <w:rStyle w:val="FootnoteReference"/>
          <w:b w:val="0"/>
          <w:bCs/>
        </w:rPr>
        <w:footnoteReference w:id="3"/>
      </w:r>
    </w:p>
    <w:p w:rsidR="00AB27DE" w:rsidRDefault="00450C47" w:rsidP="00931D6A">
      <w:pPr>
        <w:pStyle w:val="SingleTxtG"/>
        <w:ind w:right="0"/>
      </w:pPr>
      <w:r>
        <w:t>2.1</w:t>
      </w:r>
      <w:r>
        <w:tab/>
      </w:r>
      <w:r w:rsidR="00AB27DE">
        <w:t xml:space="preserve">On 17 September 1999, the author arrived in </w:t>
      </w:r>
      <w:smartTag w:uri="urn:schemas-microsoft-com:office:smarttags" w:element="place">
        <w:smartTag w:uri="urn:schemas-microsoft-com:office:smarttags" w:element="country-region">
          <w:r w:rsidR="00AB27DE">
            <w:t>Australia</w:t>
          </w:r>
        </w:smartTag>
      </w:smartTag>
      <w:r w:rsidR="00AB27DE">
        <w:t xml:space="preserve"> with a tour group and found employment in a restaurant. On 6 September 2005, he applied for a protection visa claiming </w:t>
      </w:r>
      <w:r w:rsidR="00AB27DE">
        <w:lastRenderedPageBreak/>
        <w:t xml:space="preserve">that he had a well-founded fear of persecution on account of his political opinion supporting China’s pro-democracy movement and his attempts to halt corruption. </w:t>
      </w:r>
    </w:p>
    <w:p w:rsidR="00AB27DE" w:rsidRDefault="00AB27DE" w:rsidP="002B4492">
      <w:pPr>
        <w:pStyle w:val="SingleTxtG"/>
        <w:ind w:right="0"/>
      </w:pPr>
      <w:r w:rsidRPr="00C81561">
        <w:t>2.2</w:t>
      </w:r>
      <w:r w:rsidRPr="00C81561">
        <w:tab/>
        <w:t xml:space="preserve">The author </w:t>
      </w:r>
      <w:r w:rsidR="008D27A2" w:rsidRPr="00C81561">
        <w:t xml:space="preserve">submits that he </w:t>
      </w:r>
      <w:r w:rsidRPr="00C81561">
        <w:t xml:space="preserve">had expressed his pro-democracy views in </w:t>
      </w:r>
      <w:smartTag w:uri="urn:schemas-microsoft-com:office:smarttags" w:element="country-region">
        <w:r w:rsidRPr="00C81561">
          <w:t>China</w:t>
        </w:r>
      </w:smartTag>
      <w:r w:rsidRPr="00C81561">
        <w:t xml:space="preserve"> and continues to be involved in pro-democracy activities in </w:t>
      </w:r>
      <w:smartTag w:uri="urn:schemas-microsoft-com:office:smarttags" w:element="place">
        <w:smartTag w:uri="urn:schemas-microsoft-com:office:smarttags" w:element="country-region">
          <w:r w:rsidRPr="00C81561">
            <w:t>Australia</w:t>
          </w:r>
        </w:smartTag>
      </w:smartTag>
      <w:r w:rsidRPr="00C81561">
        <w:t xml:space="preserve">. While working in </w:t>
      </w:r>
      <w:smartTag w:uri="urn:schemas-microsoft-com:office:smarttags" w:element="City">
        <w:r w:rsidRPr="00C81561">
          <w:t>Foshan</w:t>
        </w:r>
      </w:smartTag>
      <w:r w:rsidRPr="00C81561">
        <w:t xml:space="preserve">, </w:t>
      </w:r>
      <w:smartTag w:uri="urn:schemas-microsoft-com:office:smarttags" w:element="country-region">
        <w:r w:rsidRPr="00C81561">
          <w:t>China</w:t>
        </w:r>
      </w:smartTag>
      <w:r w:rsidRPr="00C81561">
        <w:t xml:space="preserve">, the author </w:t>
      </w:r>
      <w:r w:rsidR="008D27A2" w:rsidRPr="00C81561">
        <w:t xml:space="preserve">states that he </w:t>
      </w:r>
      <w:r w:rsidRPr="00C81561">
        <w:t xml:space="preserve">publicly supported the 1989 pro-democracy movement in </w:t>
      </w:r>
      <w:smartTag w:uri="urn:schemas-microsoft-com:office:smarttags" w:element="place">
        <w:smartTag w:uri="urn:schemas-microsoft-com:office:smarttags" w:element="country-region">
          <w:r w:rsidRPr="00C81561">
            <w:t>China</w:t>
          </w:r>
        </w:smartTag>
      </w:smartTag>
      <w:r w:rsidRPr="00C81561">
        <w:t xml:space="preserve"> and accused the managers of his work unit of corruption</w:t>
      </w:r>
      <w:r w:rsidR="00B1321D" w:rsidRPr="00C81561">
        <w:t>. He also encouraged</w:t>
      </w:r>
      <w:r w:rsidRPr="00C81561">
        <w:t xml:space="preserve"> colleagues to report corruption in the workplace. Because of these activities, the author was </w:t>
      </w:r>
      <w:r w:rsidR="008D27A2" w:rsidRPr="00C81561">
        <w:t xml:space="preserve">allegedly </w:t>
      </w:r>
      <w:r w:rsidRPr="00C81561">
        <w:t>persecuted by government officials</w:t>
      </w:r>
      <w:r w:rsidR="00714CAC" w:rsidRPr="00C81561">
        <w:t xml:space="preserve">, who were </w:t>
      </w:r>
      <w:r w:rsidR="002B4492">
        <w:t xml:space="preserve">also </w:t>
      </w:r>
      <w:r w:rsidR="00714CAC" w:rsidRPr="00C81561">
        <w:t>the managers</w:t>
      </w:r>
      <w:r w:rsidR="00714CAC">
        <w:t xml:space="preserve"> </w:t>
      </w:r>
      <w:r w:rsidR="002B4492">
        <w:t xml:space="preserve">at </w:t>
      </w:r>
      <w:r w:rsidR="00714CAC">
        <w:t>his workplace</w:t>
      </w:r>
      <w:r>
        <w:t>, who restricted his wages</w:t>
      </w:r>
      <w:r w:rsidR="00714CAC" w:rsidRPr="00714CAC">
        <w:t xml:space="preserve"> </w:t>
      </w:r>
      <w:r w:rsidR="00714CAC">
        <w:t>and ability to obtain housing and did not allow him to take an exam</w:t>
      </w:r>
      <w:r w:rsidR="00004E82">
        <w:t>ination</w:t>
      </w:r>
      <w:r w:rsidR="00714CAC">
        <w:t xml:space="preserve"> for the level 1 chef rating</w:t>
      </w:r>
      <w:r>
        <w:t xml:space="preserve">. </w:t>
      </w:r>
      <w:r w:rsidR="00714CAC">
        <w:t xml:space="preserve">The author was </w:t>
      </w:r>
      <w:r w:rsidR="00F57493">
        <w:t>also</w:t>
      </w:r>
      <w:r w:rsidR="00714CAC">
        <w:t xml:space="preserve"> demoted from his position as chef in the hotel restaurant </w:t>
      </w:r>
      <w:r w:rsidR="00714CAC" w:rsidRPr="002B4492">
        <w:t xml:space="preserve">to </w:t>
      </w:r>
      <w:r w:rsidR="002B4492">
        <w:t xml:space="preserve">one in </w:t>
      </w:r>
      <w:r w:rsidR="00714CAC" w:rsidRPr="002B4492">
        <w:t>t</w:t>
      </w:r>
      <w:r w:rsidR="00714CAC">
        <w:t xml:space="preserve">he staff canteen </w:t>
      </w:r>
      <w:r w:rsidR="002B4492">
        <w:t xml:space="preserve">at </w:t>
      </w:r>
      <w:r w:rsidR="00714CAC">
        <w:t xml:space="preserve">a lower wage. </w:t>
      </w:r>
      <w:r>
        <w:t xml:space="preserve">After his arrival in </w:t>
      </w:r>
      <w:smartTag w:uri="urn:schemas-microsoft-com:office:smarttags" w:element="country-region">
        <w:smartTag w:uri="urn:schemas-microsoft-com:office:smarttags" w:element="place">
          <w:r>
            <w:t>Australia</w:t>
          </w:r>
        </w:smartTag>
      </w:smartTag>
      <w:r>
        <w:t xml:space="preserve">, the author was </w:t>
      </w:r>
      <w:r w:rsidR="008D27A2">
        <w:t xml:space="preserve">allegedly </w:t>
      </w:r>
      <w:r>
        <w:t xml:space="preserve">informed that his former employers wanted </w:t>
      </w:r>
      <w:r w:rsidRPr="007865C7">
        <w:t>to put him to death because</w:t>
      </w:r>
      <w:r>
        <w:t xml:space="preserve"> of his corruption allegations. The author </w:t>
      </w:r>
      <w:r w:rsidR="00B1321D">
        <w:t>nevertheless</w:t>
      </w:r>
      <w:r>
        <w:t xml:space="preserve"> continued on a regular basis to send money and anti-government publications back to his family in </w:t>
      </w:r>
      <w:smartTag w:uri="urn:schemas-microsoft-com:office:smarttags" w:element="place">
        <w:smartTag w:uri="urn:schemas-microsoft-com:office:smarttags" w:element="country-region">
          <w:r>
            <w:t>China</w:t>
          </w:r>
        </w:smartTag>
      </w:smartTag>
      <w:r>
        <w:t xml:space="preserve">. </w:t>
      </w:r>
      <w:r w:rsidR="008D27A2">
        <w:t>The author submits that</w:t>
      </w:r>
      <w:r>
        <w:t xml:space="preserve"> the money he sent was confiscated by </w:t>
      </w:r>
      <w:r w:rsidR="00281B2C">
        <w:t xml:space="preserve">the </w:t>
      </w:r>
      <w:r>
        <w:t xml:space="preserve">authorities, his </w:t>
      </w:r>
      <w:r w:rsidR="00004E82">
        <w:t>tele</w:t>
      </w:r>
      <w:r>
        <w:t>phone conversations with his family were monitored and members of the Public Security Bureau (PSB) visited h</w:t>
      </w:r>
      <w:r w:rsidR="003755D0">
        <w:t>is wife and warned her about the author’s mailings</w:t>
      </w:r>
      <w:r>
        <w:t xml:space="preserve"> of anti-government literature.</w:t>
      </w:r>
      <w:r w:rsidR="00B511A2">
        <w:t xml:space="preserve"> Since December 2005, the author has attended monthly seminars during which participants discuss the Chinese Communist Party and listen to guest speakers who are </w:t>
      </w:r>
      <w:r w:rsidR="00004E82">
        <w:t xml:space="preserve">party </w:t>
      </w:r>
      <w:r w:rsidR="00B511A2">
        <w:t xml:space="preserve">dissidents. </w:t>
      </w:r>
      <w:r>
        <w:t xml:space="preserve"> </w:t>
      </w:r>
    </w:p>
    <w:p w:rsidR="00AB27DE" w:rsidRDefault="00AB27DE" w:rsidP="00004E82">
      <w:pPr>
        <w:pStyle w:val="SingleTxtG"/>
        <w:ind w:right="0"/>
      </w:pPr>
      <w:r>
        <w:t>2.3</w:t>
      </w:r>
      <w:r>
        <w:tab/>
        <w:t xml:space="preserve"> On 23 September 2005, t</w:t>
      </w:r>
      <w:r w:rsidRPr="0068649A">
        <w:t>he Department of Immigration and Citizenship</w:t>
      </w:r>
      <w:r w:rsidR="005B6DD8">
        <w:t xml:space="preserve"> (DIAC)</w:t>
      </w:r>
      <w:r w:rsidRPr="0068649A">
        <w:t xml:space="preserve"> </w:t>
      </w:r>
      <w:r>
        <w:t xml:space="preserve">refused to grant </w:t>
      </w:r>
      <w:r w:rsidR="00B511A2">
        <w:t xml:space="preserve">the author </w:t>
      </w:r>
      <w:r w:rsidRPr="0068649A">
        <w:t>a Protection visa.</w:t>
      </w:r>
      <w:r w:rsidR="00DC3E19">
        <w:rPr>
          <w:rStyle w:val="FootnoteReference"/>
        </w:rPr>
        <w:footnoteReference w:id="4"/>
      </w:r>
      <w:r w:rsidRPr="0068649A">
        <w:t xml:space="preserve"> </w:t>
      </w:r>
      <w:r>
        <w:t>On 24 January 2006, t</w:t>
      </w:r>
      <w:r w:rsidRPr="00CA3374">
        <w:t>he Refugee Review Tribunal</w:t>
      </w:r>
      <w:r w:rsidR="00281B2C">
        <w:t xml:space="preserve"> (RRT)</w:t>
      </w:r>
      <w:r w:rsidRPr="00CA3374">
        <w:t xml:space="preserve"> </w:t>
      </w:r>
      <w:r>
        <w:t>affirmed</w:t>
      </w:r>
      <w:r w:rsidRPr="00CA3374">
        <w:t xml:space="preserve"> the Department’s decision.</w:t>
      </w:r>
      <w:r>
        <w:t xml:space="preserve"> </w:t>
      </w:r>
      <w:r w:rsidRPr="001A6281">
        <w:rPr>
          <w:szCs w:val="24"/>
        </w:rPr>
        <w:t xml:space="preserve">The </w:t>
      </w:r>
      <w:r w:rsidR="00281B2C">
        <w:rPr>
          <w:szCs w:val="24"/>
        </w:rPr>
        <w:t>RRT</w:t>
      </w:r>
      <w:r w:rsidR="005B6DD8">
        <w:rPr>
          <w:szCs w:val="24"/>
        </w:rPr>
        <w:t xml:space="preserve"> </w:t>
      </w:r>
      <w:r w:rsidRPr="001A6281">
        <w:rPr>
          <w:szCs w:val="24"/>
        </w:rPr>
        <w:t xml:space="preserve">did not accept that the </w:t>
      </w:r>
      <w:r>
        <w:rPr>
          <w:szCs w:val="24"/>
        </w:rPr>
        <w:t xml:space="preserve">author’s fear of harm due to his support for the 1989 pro-democracy </w:t>
      </w:r>
      <w:r w:rsidR="00EB1D38">
        <w:rPr>
          <w:szCs w:val="24"/>
        </w:rPr>
        <w:t>movement</w:t>
      </w:r>
      <w:r>
        <w:rPr>
          <w:szCs w:val="24"/>
        </w:rPr>
        <w:t xml:space="preserve"> was well-founded. The Tribunal’s refusal was based on several reasons, including that the author’s anti-communist beliefs lacked credibility</w:t>
      </w:r>
      <w:r w:rsidR="00EB1D38">
        <w:rPr>
          <w:szCs w:val="24"/>
        </w:rPr>
        <w:t>, in particular as he was not aware of the content of the anti-communist information he allegedly read or sent to his family</w:t>
      </w:r>
      <w:r w:rsidR="00281B2C">
        <w:rPr>
          <w:szCs w:val="24"/>
        </w:rPr>
        <w:t xml:space="preserve">, </w:t>
      </w:r>
      <w:r w:rsidR="00EB1D38">
        <w:rPr>
          <w:szCs w:val="24"/>
        </w:rPr>
        <w:t xml:space="preserve">as </w:t>
      </w:r>
      <w:r w:rsidR="00AA194C">
        <w:rPr>
          <w:szCs w:val="24"/>
        </w:rPr>
        <w:t xml:space="preserve">he </w:t>
      </w:r>
      <w:r w:rsidR="00004E82">
        <w:rPr>
          <w:szCs w:val="24"/>
        </w:rPr>
        <w:t xml:space="preserve">had </w:t>
      </w:r>
      <w:r w:rsidR="00AA194C">
        <w:rPr>
          <w:szCs w:val="24"/>
        </w:rPr>
        <w:t>only started to display interest in political activities in Australia after applying for a protection visa</w:t>
      </w:r>
      <w:r w:rsidR="00EB1D38">
        <w:rPr>
          <w:szCs w:val="24"/>
        </w:rPr>
        <w:t xml:space="preserve"> and</w:t>
      </w:r>
      <w:r>
        <w:rPr>
          <w:szCs w:val="24"/>
        </w:rPr>
        <w:t xml:space="preserve"> </w:t>
      </w:r>
      <w:r w:rsidR="00EB1D38">
        <w:rPr>
          <w:szCs w:val="24"/>
        </w:rPr>
        <w:t>as his application</w:t>
      </w:r>
      <w:r w:rsidR="00E114A0">
        <w:rPr>
          <w:szCs w:val="24"/>
        </w:rPr>
        <w:t xml:space="preserve"> for a protection visa</w:t>
      </w:r>
      <w:r w:rsidR="00EB1D38">
        <w:rPr>
          <w:szCs w:val="24"/>
        </w:rPr>
        <w:t xml:space="preserve"> was delayed for six years. While accepting the author’s claims that he supported the 1989</w:t>
      </w:r>
      <w:r w:rsidR="00004E82">
        <w:rPr>
          <w:szCs w:val="24"/>
        </w:rPr>
        <w:t xml:space="preserve"> </w:t>
      </w:r>
      <w:r w:rsidR="00EB1D38">
        <w:rPr>
          <w:szCs w:val="24"/>
        </w:rPr>
        <w:t>pro-democracy movement, had reported corruption in his workplace and was discriminated against by his work unit, it observe</w:t>
      </w:r>
      <w:r w:rsidR="008D27A2">
        <w:rPr>
          <w:szCs w:val="24"/>
        </w:rPr>
        <w:t>d</w:t>
      </w:r>
      <w:r w:rsidR="00EB1D38">
        <w:rPr>
          <w:szCs w:val="24"/>
        </w:rPr>
        <w:t xml:space="preserve"> that this does not amount to persecution, as his political opinion was not a matter of interest to the Chinese authorities when he left China</w:t>
      </w:r>
      <w:r w:rsidR="00443A9D">
        <w:rPr>
          <w:szCs w:val="24"/>
        </w:rPr>
        <w:t xml:space="preserve"> and due to the fact that even though</w:t>
      </w:r>
      <w:r>
        <w:rPr>
          <w:szCs w:val="24"/>
        </w:rPr>
        <w:t xml:space="preserve"> the author’s fear of harm from his former managers amounted to discrimination, it </w:t>
      </w:r>
      <w:r w:rsidR="00443A9D">
        <w:rPr>
          <w:szCs w:val="24"/>
        </w:rPr>
        <w:t xml:space="preserve">was not of such </w:t>
      </w:r>
      <w:r w:rsidR="00004E82">
        <w:rPr>
          <w:szCs w:val="24"/>
        </w:rPr>
        <w:t xml:space="preserve">a </w:t>
      </w:r>
      <w:r w:rsidR="00443A9D">
        <w:rPr>
          <w:szCs w:val="24"/>
        </w:rPr>
        <w:t xml:space="preserve">nature or extent </w:t>
      </w:r>
      <w:r w:rsidR="00004E82">
        <w:rPr>
          <w:szCs w:val="24"/>
        </w:rPr>
        <w:t xml:space="preserve">as </w:t>
      </w:r>
      <w:r w:rsidR="00443A9D">
        <w:rPr>
          <w:szCs w:val="24"/>
        </w:rPr>
        <w:t>to constitute persecution</w:t>
      </w:r>
      <w:r w:rsidR="00F113D2">
        <w:rPr>
          <w:szCs w:val="24"/>
        </w:rPr>
        <w:t xml:space="preserve"> and that the author could seek protection from the State if his former manager sought to harm him</w:t>
      </w:r>
      <w:r>
        <w:rPr>
          <w:szCs w:val="24"/>
        </w:rPr>
        <w:t xml:space="preserve">. </w:t>
      </w:r>
      <w:r w:rsidR="008E07A9">
        <w:t>With regard to the author’s difficulties finding government or government</w:t>
      </w:r>
      <w:r w:rsidR="00004E82">
        <w:t>-</w:t>
      </w:r>
      <w:r w:rsidR="008E07A9">
        <w:t xml:space="preserve">sponsored employment, the Tribunal found that this </w:t>
      </w:r>
      <w:r w:rsidR="00004E82">
        <w:t xml:space="preserve">did </w:t>
      </w:r>
      <w:r w:rsidR="008E07A9">
        <w:t>not amount to persecution as other employment opportunities were av</w:t>
      </w:r>
      <w:r w:rsidR="00382BC3">
        <w:t xml:space="preserve">ailable in the private sector. </w:t>
      </w:r>
      <w:r w:rsidR="003755D0">
        <w:rPr>
          <w:color w:val="000000"/>
        </w:rPr>
        <w:t>T</w:t>
      </w:r>
      <w:r w:rsidRPr="00AE5C18">
        <w:t>he Tribunal stated that</w:t>
      </w:r>
      <w:r>
        <w:t xml:space="preserve"> the author</w:t>
      </w:r>
      <w:r w:rsidRPr="00AE5C18">
        <w:t xml:space="preserve">: </w:t>
      </w:r>
      <w:r>
        <w:t>“</w:t>
      </w:r>
      <w:r w:rsidR="00E114A0">
        <w:t>[</w:t>
      </w:r>
      <w:r>
        <w:t>…</w:t>
      </w:r>
      <w:r w:rsidR="00E114A0">
        <w:t xml:space="preserve">] </w:t>
      </w:r>
      <w:r w:rsidRPr="00AE5C18">
        <w:t xml:space="preserve">may be </w:t>
      </w:r>
      <w:r w:rsidR="00AA194C">
        <w:t xml:space="preserve">briefly </w:t>
      </w:r>
      <w:r w:rsidRPr="00AE5C18">
        <w:t>reprimanded or</w:t>
      </w:r>
      <w:r w:rsidR="00E114A0">
        <w:t xml:space="preserve"> [</w:t>
      </w:r>
      <w:r w:rsidRPr="00AE5C18">
        <w:t>…</w:t>
      </w:r>
      <w:r w:rsidR="00E114A0">
        <w:t xml:space="preserve">] </w:t>
      </w:r>
      <w:r w:rsidRPr="00AE5C18">
        <w:t>detained and questioned by authorities in China because he sought asylum in Australia</w:t>
      </w:r>
      <w:r w:rsidR="00F57493">
        <w:t xml:space="preserve"> but not subjected to persecution solely for that reason</w:t>
      </w:r>
      <w:r w:rsidR="00931D6A">
        <w:t>.</w:t>
      </w:r>
      <w:r>
        <w:t xml:space="preserve">” On </w:t>
      </w:r>
      <w:r>
        <w:rPr>
          <w:bCs/>
        </w:rPr>
        <w:t xml:space="preserve">22 May 2006, the Federal Magistrate’s Court </w:t>
      </w:r>
      <w:r w:rsidR="005B6DD8">
        <w:rPr>
          <w:bCs/>
        </w:rPr>
        <w:t xml:space="preserve">found that the RRT decision was free of jurisdictional error and </w:t>
      </w:r>
      <w:r>
        <w:rPr>
          <w:bCs/>
        </w:rPr>
        <w:t xml:space="preserve">summarily dismissed </w:t>
      </w:r>
      <w:r w:rsidR="00931D6A">
        <w:rPr>
          <w:bCs/>
        </w:rPr>
        <w:t xml:space="preserve">the </w:t>
      </w:r>
      <w:r>
        <w:rPr>
          <w:bCs/>
        </w:rPr>
        <w:t>case.</w:t>
      </w:r>
      <w:r>
        <w:t xml:space="preserve"> On </w:t>
      </w:r>
      <w:r>
        <w:rPr>
          <w:bCs/>
        </w:rPr>
        <w:t>21 November 2006, t</w:t>
      </w:r>
      <w:r w:rsidRPr="005C0C6D">
        <w:rPr>
          <w:bCs/>
        </w:rPr>
        <w:t>he Minister for Immigration and Citizensh</w:t>
      </w:r>
      <w:r>
        <w:rPr>
          <w:bCs/>
        </w:rPr>
        <w:t>ip refused to intervene in the author</w:t>
      </w:r>
      <w:r w:rsidRPr="005C0C6D">
        <w:rPr>
          <w:bCs/>
        </w:rPr>
        <w:t>’s case</w:t>
      </w:r>
      <w:r w:rsidR="00B511A2">
        <w:rPr>
          <w:bCs/>
        </w:rPr>
        <w:t xml:space="preserve"> and did not allow him to put in a second </w:t>
      </w:r>
      <w:r w:rsidR="00982110">
        <w:rPr>
          <w:bCs/>
        </w:rPr>
        <w:t>P</w:t>
      </w:r>
      <w:r w:rsidR="00B511A2">
        <w:rPr>
          <w:bCs/>
        </w:rPr>
        <w:t>rotection visa application</w:t>
      </w:r>
      <w:r w:rsidRPr="005C0C6D">
        <w:rPr>
          <w:bCs/>
        </w:rPr>
        <w:t>.</w:t>
      </w:r>
      <w:r>
        <w:t xml:space="preserve"> On </w:t>
      </w:r>
      <w:r>
        <w:rPr>
          <w:bCs/>
        </w:rPr>
        <w:t>2 April and 14 August 2007, th</w:t>
      </w:r>
      <w:r w:rsidRPr="005C0C6D">
        <w:rPr>
          <w:bCs/>
        </w:rPr>
        <w:t xml:space="preserve">e Minister for Immigration and Citizenship </w:t>
      </w:r>
      <w:r>
        <w:rPr>
          <w:bCs/>
        </w:rPr>
        <w:t>reiterated his refusal to intervene in the author’s case.</w:t>
      </w:r>
    </w:p>
    <w:p w:rsidR="00AB27DE" w:rsidRDefault="00AB27DE" w:rsidP="00931D6A">
      <w:pPr>
        <w:pStyle w:val="SingleTxtG"/>
        <w:ind w:right="0"/>
      </w:pPr>
      <w:r>
        <w:t>2.4</w:t>
      </w:r>
      <w:r>
        <w:tab/>
      </w:r>
      <w:r>
        <w:rPr>
          <w:bCs/>
        </w:rPr>
        <w:t xml:space="preserve">On </w:t>
      </w:r>
      <w:r w:rsidRPr="00F06433">
        <w:t>19</w:t>
      </w:r>
      <w:r>
        <w:t xml:space="preserve"> September 2007, the author attended the Chinese Consulate together with a representative of the International Organization for Migration (IOM) and presented his </w:t>
      </w:r>
      <w:r>
        <w:lastRenderedPageBreak/>
        <w:t xml:space="preserve">previous travel document issued </w:t>
      </w:r>
      <w:r w:rsidR="00281B2C">
        <w:t xml:space="preserve">by the Chinese Consulate </w:t>
      </w:r>
      <w:r>
        <w:t xml:space="preserve">in August 2005. The Chinese Consulate sought an explanation as to the delay in departure. In the course of providing an explanation, the </w:t>
      </w:r>
      <w:r w:rsidR="003755D0">
        <w:t>IOM representative disclosed h</w:t>
      </w:r>
      <w:r w:rsidR="00B511A2">
        <w:t>er</w:t>
      </w:r>
      <w:r w:rsidR="00982110">
        <w:t xml:space="preserve"> own</w:t>
      </w:r>
      <w:r>
        <w:t xml:space="preserve"> identity</w:t>
      </w:r>
      <w:r w:rsidR="008D27A2">
        <w:t xml:space="preserve"> and that allegedly made</w:t>
      </w:r>
      <w:r>
        <w:t xml:space="preserve"> the Chinese authorities aware of the author’s attempts to seek asylum. On </w:t>
      </w:r>
      <w:r w:rsidRPr="00F06433">
        <w:t>20 September 2007</w:t>
      </w:r>
      <w:r>
        <w:t xml:space="preserve">, the </w:t>
      </w:r>
      <w:r w:rsidR="00232639">
        <w:t>DIAC</w:t>
      </w:r>
      <w:r>
        <w:t xml:space="preserve"> sent a letter to the Chinese Consulate setting out support for the author’s application for a travel document. </w:t>
      </w:r>
      <w:r w:rsidR="000F3770">
        <w:t>On 10 October 2007, the author and an IOM representative attended the Chinese Consulate with a copy of the letter</w:t>
      </w:r>
      <w:r w:rsidR="00931D6A">
        <w:t xml:space="preserve"> from the DIAC</w:t>
      </w:r>
      <w:r w:rsidR="000F3770">
        <w:t xml:space="preserve">. Later the author received a call from the Consulate requiring him to provide a written declaration of his business in </w:t>
      </w:r>
      <w:smartTag w:uri="urn:schemas-microsoft-com:office:smarttags" w:element="place">
        <w:smartTag w:uri="urn:schemas-microsoft-com:office:smarttags" w:element="country-region">
          <w:r w:rsidR="000F3770">
            <w:t>Australia</w:t>
          </w:r>
        </w:smartTag>
      </w:smartTag>
      <w:r w:rsidR="000F3770">
        <w:t xml:space="preserve"> for the last few years. On 11 October 2007, the author was advised by a case officer at the </w:t>
      </w:r>
      <w:r w:rsidR="00982110">
        <w:t>DIAC</w:t>
      </w:r>
      <w:r w:rsidR="000F3770">
        <w:t xml:space="preserve"> to tell the Chinese Consulate that he was awaiting a decision in respect of a skilled migration application. The IOM representative had suggested that</w:t>
      </w:r>
      <w:r w:rsidR="00982110">
        <w:t xml:space="preserve"> he advise</w:t>
      </w:r>
      <w:r w:rsidR="000F3770">
        <w:t xml:space="preserve"> the Consulate that he had been seeking a spouse visa; both suggestions involved providing a fabricated story</w:t>
      </w:r>
      <w:r w:rsidR="00982110">
        <w:t xml:space="preserve"> to the Chinese Consulate</w:t>
      </w:r>
      <w:r w:rsidR="000F3770">
        <w:t xml:space="preserve">. </w:t>
      </w:r>
      <w:r>
        <w:t xml:space="preserve">On </w:t>
      </w:r>
      <w:r w:rsidRPr="00F06433">
        <w:t>26 October 2007</w:t>
      </w:r>
      <w:r>
        <w:t>, the author</w:t>
      </w:r>
      <w:r w:rsidR="005B6DD8">
        <w:t xml:space="preserve"> and counsel</w:t>
      </w:r>
      <w:r w:rsidR="00281B2C">
        <w:t xml:space="preserve"> of the present communication </w:t>
      </w:r>
      <w:r w:rsidRPr="00F06433">
        <w:t>attend</w:t>
      </w:r>
      <w:r>
        <w:t xml:space="preserve">ed the </w:t>
      </w:r>
      <w:r w:rsidRPr="00F06433">
        <w:t>Chinese embassy explaining that he ha</w:t>
      </w:r>
      <w:r>
        <w:t>d</w:t>
      </w:r>
      <w:r w:rsidRPr="00F06433">
        <w:t xml:space="preserve"> been trying to obtain residency on employer sponsored grounds</w:t>
      </w:r>
      <w:r>
        <w:t>,</w:t>
      </w:r>
      <w:r w:rsidRPr="00F06433">
        <w:t xml:space="preserve"> but that he ha</w:t>
      </w:r>
      <w:r>
        <w:t>d</w:t>
      </w:r>
      <w:r w:rsidRPr="00F06433">
        <w:t xml:space="preserve"> been unable to do so and </w:t>
      </w:r>
      <w:r>
        <w:t xml:space="preserve">was </w:t>
      </w:r>
      <w:r w:rsidRPr="00F06433">
        <w:t xml:space="preserve">anxious to return home. </w:t>
      </w:r>
      <w:r>
        <w:t xml:space="preserve">The Chinese officials </w:t>
      </w:r>
      <w:r w:rsidR="003755D0">
        <w:t xml:space="preserve">told </w:t>
      </w:r>
      <w:r>
        <w:t>him</w:t>
      </w:r>
      <w:r w:rsidRPr="00F06433">
        <w:t xml:space="preserve"> that </w:t>
      </w:r>
      <w:r>
        <w:t>they did</w:t>
      </w:r>
      <w:r w:rsidRPr="00F06433">
        <w:t xml:space="preserve"> not believ</w:t>
      </w:r>
      <w:r>
        <w:t>e his explanation and that he wou</w:t>
      </w:r>
      <w:r w:rsidRPr="00F06433">
        <w:t>l</w:t>
      </w:r>
      <w:r>
        <w:t>d</w:t>
      </w:r>
      <w:r w:rsidRPr="00F06433">
        <w:t xml:space="preserve"> not</w:t>
      </w:r>
      <w:r>
        <w:t xml:space="preserve"> receive any travel documents </w:t>
      </w:r>
      <w:r w:rsidRPr="00F06433">
        <w:t xml:space="preserve">until they </w:t>
      </w:r>
      <w:r>
        <w:t>were given</w:t>
      </w:r>
      <w:r w:rsidRPr="00F06433">
        <w:t xml:space="preserve"> an “honest explanation” of his activities in </w:t>
      </w:r>
      <w:smartTag w:uri="urn:schemas-microsoft-com:office:smarttags" w:element="place">
        <w:smartTag w:uri="urn:schemas-microsoft-com:office:smarttags" w:element="country-region">
          <w:r w:rsidRPr="00F06433">
            <w:t>Australia</w:t>
          </w:r>
        </w:smartTag>
      </w:smartTag>
      <w:r w:rsidRPr="00F06433">
        <w:t>.</w:t>
      </w:r>
    </w:p>
    <w:p w:rsidR="00AB27DE" w:rsidRDefault="00AB27DE" w:rsidP="0080124E">
      <w:pPr>
        <w:pStyle w:val="SingleTxtG"/>
        <w:ind w:right="0"/>
        <w:rPr>
          <w:bCs/>
        </w:rPr>
      </w:pPr>
      <w:r>
        <w:t>2.5</w:t>
      </w:r>
      <w:r>
        <w:tab/>
        <w:t xml:space="preserve">On </w:t>
      </w:r>
      <w:r w:rsidRPr="00F06433">
        <w:t>17 August 2009</w:t>
      </w:r>
      <w:r>
        <w:t>, u</w:t>
      </w:r>
      <w:r w:rsidR="00232639">
        <w:t>pon the instructions by</w:t>
      </w:r>
      <w:r w:rsidRPr="00F06433">
        <w:t xml:space="preserve"> </w:t>
      </w:r>
      <w:r w:rsidR="00281B2C">
        <w:t xml:space="preserve">the </w:t>
      </w:r>
      <w:r>
        <w:t>DIAC</w:t>
      </w:r>
      <w:r w:rsidRPr="00F06433">
        <w:t xml:space="preserve">, </w:t>
      </w:r>
      <w:r>
        <w:t>the author</w:t>
      </w:r>
      <w:r w:rsidRPr="00F06433">
        <w:t xml:space="preserve"> return</w:t>
      </w:r>
      <w:r>
        <w:t>ed</w:t>
      </w:r>
      <w:r w:rsidRPr="00F06433">
        <w:t xml:space="preserve"> to the Chinese </w:t>
      </w:r>
      <w:r w:rsidR="004810D4">
        <w:t>embassy to request the issuance</w:t>
      </w:r>
      <w:r w:rsidRPr="00F06433">
        <w:t xml:space="preserve"> of travel document</w:t>
      </w:r>
      <w:r w:rsidR="00982110">
        <w:t>s</w:t>
      </w:r>
      <w:r w:rsidRPr="00F06433">
        <w:t xml:space="preserve"> to return to </w:t>
      </w:r>
      <w:smartTag w:uri="urn:schemas-microsoft-com:office:smarttags" w:element="place">
        <w:smartTag w:uri="urn:schemas-microsoft-com:office:smarttags" w:element="country-region">
          <w:r w:rsidRPr="00F06433">
            <w:t>China</w:t>
          </w:r>
        </w:smartTag>
      </w:smartTag>
      <w:r w:rsidRPr="00F06433">
        <w:t xml:space="preserve">. However, </w:t>
      </w:r>
      <w:r>
        <w:t>he was</w:t>
      </w:r>
      <w:r w:rsidRPr="00F06433">
        <w:t xml:space="preserve"> informed that no further travel document</w:t>
      </w:r>
      <w:r w:rsidR="00982110">
        <w:t xml:space="preserve">s </w:t>
      </w:r>
      <w:r w:rsidR="00004E82">
        <w:t>would</w:t>
      </w:r>
      <w:r w:rsidR="00004E82" w:rsidRPr="00F06433">
        <w:t xml:space="preserve"> </w:t>
      </w:r>
      <w:r w:rsidRPr="00F06433">
        <w:t>be issued to him.</w:t>
      </w:r>
      <w:r>
        <w:t xml:space="preserve"> On </w:t>
      </w:r>
      <w:r>
        <w:rPr>
          <w:bCs/>
        </w:rPr>
        <w:t xml:space="preserve">18 March 2010, the author received a letter from the DIAC </w:t>
      </w:r>
      <w:r w:rsidR="003A5DE2">
        <w:rPr>
          <w:bCs/>
        </w:rPr>
        <w:t xml:space="preserve">transmitting a request from the Chinese Consulate </w:t>
      </w:r>
      <w:r>
        <w:rPr>
          <w:bCs/>
        </w:rPr>
        <w:t xml:space="preserve">to answer a series of </w:t>
      </w:r>
      <w:r w:rsidRPr="009A5AF9">
        <w:rPr>
          <w:bCs/>
        </w:rPr>
        <w:t xml:space="preserve">questions, </w:t>
      </w:r>
      <w:r w:rsidR="0080124E" w:rsidRPr="007865C7">
        <w:rPr>
          <w:bCs/>
        </w:rPr>
        <w:t xml:space="preserve">together with </w:t>
      </w:r>
      <w:r w:rsidRPr="007865C7">
        <w:rPr>
          <w:bCs/>
        </w:rPr>
        <w:t>a written</w:t>
      </w:r>
      <w:r>
        <w:rPr>
          <w:bCs/>
        </w:rPr>
        <w:t xml:space="preserve"> statement explaining to the Chinese Consulate his activities in </w:t>
      </w:r>
      <w:smartTag w:uri="urn:schemas-microsoft-com:office:smarttags" w:element="place">
        <w:smartTag w:uri="urn:schemas-microsoft-com:office:smarttags" w:element="country-region">
          <w:r>
            <w:rPr>
              <w:bCs/>
            </w:rPr>
            <w:t>Australia</w:t>
          </w:r>
        </w:smartTag>
      </w:smartTag>
      <w:r>
        <w:rPr>
          <w:bCs/>
        </w:rPr>
        <w:t xml:space="preserve"> and why he </w:t>
      </w:r>
      <w:r w:rsidR="00004E82">
        <w:rPr>
          <w:bCs/>
        </w:rPr>
        <w:t xml:space="preserve">had </w:t>
      </w:r>
      <w:r>
        <w:rPr>
          <w:bCs/>
        </w:rPr>
        <w:t xml:space="preserve">lodged an appeal </w:t>
      </w:r>
      <w:r w:rsidR="00004E82">
        <w:rPr>
          <w:bCs/>
        </w:rPr>
        <w:t xml:space="preserve">with </w:t>
      </w:r>
      <w:r>
        <w:rPr>
          <w:bCs/>
        </w:rPr>
        <w:t xml:space="preserve">the Federal </w:t>
      </w:r>
      <w:r w:rsidR="003A5DE2">
        <w:rPr>
          <w:bCs/>
        </w:rPr>
        <w:t xml:space="preserve">Magistrate’s </w:t>
      </w:r>
      <w:r>
        <w:rPr>
          <w:bCs/>
        </w:rPr>
        <w:t>Court.</w:t>
      </w:r>
    </w:p>
    <w:p w:rsidR="00AB27DE" w:rsidRDefault="00AB27DE" w:rsidP="00C81561">
      <w:pPr>
        <w:pStyle w:val="SingleTxtG"/>
        <w:ind w:right="0"/>
        <w:rPr>
          <w:bCs/>
        </w:rPr>
      </w:pPr>
      <w:r>
        <w:rPr>
          <w:bCs/>
        </w:rPr>
        <w:t>2.6</w:t>
      </w:r>
      <w:r>
        <w:rPr>
          <w:bCs/>
        </w:rPr>
        <w:tab/>
        <w:t>On 29 March 2010, t</w:t>
      </w:r>
      <w:r w:rsidRPr="005C0C6D">
        <w:rPr>
          <w:bCs/>
        </w:rPr>
        <w:t xml:space="preserve">he Minister for Immigration and Citizenship </w:t>
      </w:r>
      <w:r>
        <w:rPr>
          <w:bCs/>
        </w:rPr>
        <w:t xml:space="preserve">again </w:t>
      </w:r>
      <w:r w:rsidRPr="005C0C6D">
        <w:rPr>
          <w:bCs/>
        </w:rPr>
        <w:t>refuse</w:t>
      </w:r>
      <w:r>
        <w:rPr>
          <w:bCs/>
        </w:rPr>
        <w:t>d to intervene in his case, and informed the applicant that his Bridging E Visa was set to expire on 18 April 2010.</w:t>
      </w:r>
    </w:p>
    <w:p w:rsidR="00450C47" w:rsidRDefault="00070B9E" w:rsidP="00C81561">
      <w:pPr>
        <w:pStyle w:val="H23G"/>
        <w:ind w:right="0"/>
      </w:pPr>
      <w:r>
        <w:tab/>
      </w:r>
      <w:r>
        <w:tab/>
      </w:r>
      <w:r w:rsidR="00450C47">
        <w:t>The complaint</w:t>
      </w:r>
    </w:p>
    <w:p w:rsidR="00AB27DE" w:rsidRDefault="004E425F" w:rsidP="00004E82">
      <w:pPr>
        <w:pStyle w:val="SingleTxtG"/>
        <w:ind w:right="0"/>
        <w:rPr>
          <w:color w:val="000000"/>
        </w:rPr>
      </w:pPr>
      <w:r>
        <w:t>3.</w:t>
      </w:r>
      <w:r w:rsidR="003002C1">
        <w:t>1</w:t>
      </w:r>
      <w:r w:rsidR="001E1577">
        <w:tab/>
      </w:r>
      <w:r w:rsidR="00AB27DE">
        <w:t>The author submits that</w:t>
      </w:r>
      <w:r w:rsidR="00AB27DE" w:rsidRPr="00164E1A">
        <w:t xml:space="preserve"> despite the persecution </w:t>
      </w:r>
      <w:r w:rsidR="00AB27DE">
        <w:t xml:space="preserve">he </w:t>
      </w:r>
      <w:r w:rsidR="00AB27DE" w:rsidRPr="00164E1A">
        <w:t xml:space="preserve">suffered in </w:t>
      </w:r>
      <w:smartTag w:uri="urn:schemas-microsoft-com:office:smarttags" w:element="place">
        <w:smartTag w:uri="urn:schemas-microsoft-com:office:smarttags" w:element="country-region">
          <w:r w:rsidR="00AB27DE" w:rsidRPr="00164E1A">
            <w:t>China</w:t>
          </w:r>
        </w:smartTag>
      </w:smartTag>
      <w:r w:rsidR="00AB27DE" w:rsidRPr="00164E1A">
        <w:t xml:space="preserve"> due to his </w:t>
      </w:r>
      <w:r w:rsidR="00AB27DE">
        <w:t xml:space="preserve">anti-communist and anti-corruption beliefs, </w:t>
      </w:r>
      <w:r w:rsidR="00AB27DE" w:rsidRPr="00164E1A">
        <w:t>and the fact</w:t>
      </w:r>
      <w:r w:rsidR="00AB27DE">
        <w:t xml:space="preserve"> that </w:t>
      </w:r>
      <w:r w:rsidR="009B64EA">
        <w:t xml:space="preserve">the </w:t>
      </w:r>
      <w:r w:rsidR="00AB27DE">
        <w:t xml:space="preserve">DIAC appears to have alerted </w:t>
      </w:r>
      <w:r w:rsidR="009B64EA">
        <w:t xml:space="preserve">the </w:t>
      </w:r>
      <w:r w:rsidR="00AB27DE" w:rsidRPr="00164E1A">
        <w:t xml:space="preserve">Chinese </w:t>
      </w:r>
      <w:r w:rsidR="009B64EA">
        <w:t>Consulate</w:t>
      </w:r>
      <w:r w:rsidR="00AB27DE">
        <w:t xml:space="preserve"> of his asylum bid</w:t>
      </w:r>
      <w:r w:rsidR="00AB27DE" w:rsidRPr="00164E1A">
        <w:t xml:space="preserve">, the Australian </w:t>
      </w:r>
      <w:r w:rsidR="00004E82">
        <w:t>G</w:t>
      </w:r>
      <w:r w:rsidR="00AB27DE" w:rsidRPr="00164E1A">
        <w:t xml:space="preserve">overnment has denied him asylum. </w:t>
      </w:r>
      <w:r w:rsidR="00AB27DE">
        <w:t>He claims that h</w:t>
      </w:r>
      <w:r w:rsidR="00AB27DE" w:rsidRPr="00164E1A">
        <w:t>e will come to harm at the hands of the authorities</w:t>
      </w:r>
      <w:r w:rsidR="00AB27DE">
        <w:t xml:space="preserve"> in </w:t>
      </w:r>
      <w:smartTag w:uri="urn:schemas-microsoft-com:office:smarttags" w:element="country-region">
        <w:r w:rsidR="00AB27DE">
          <w:t>China</w:t>
        </w:r>
      </w:smartTag>
      <w:r w:rsidR="00AB27DE">
        <w:t>, b</w:t>
      </w:r>
      <w:r w:rsidR="00AB27DE" w:rsidRPr="00164E1A">
        <w:t>ecause of his political beliefs</w:t>
      </w:r>
      <w:r w:rsidR="00AB27DE">
        <w:rPr>
          <w:color w:val="000000"/>
        </w:rPr>
        <w:t xml:space="preserve"> and his status as a failed asylum seeker</w:t>
      </w:r>
      <w:r w:rsidR="004810D4">
        <w:rPr>
          <w:color w:val="000000"/>
        </w:rPr>
        <w:t xml:space="preserve">, which would </w:t>
      </w:r>
      <w:r w:rsidR="00784224">
        <w:rPr>
          <w:color w:val="000000"/>
        </w:rPr>
        <w:t>lead to</w:t>
      </w:r>
      <w:r w:rsidR="004810D4">
        <w:rPr>
          <w:color w:val="000000"/>
        </w:rPr>
        <w:t xml:space="preserve"> torture and imprisonment upon return to </w:t>
      </w:r>
      <w:smartTag w:uri="urn:schemas-microsoft-com:office:smarttags" w:element="place">
        <w:smartTag w:uri="urn:schemas-microsoft-com:office:smarttags" w:element="country-region">
          <w:r w:rsidR="004810D4">
            <w:rPr>
              <w:color w:val="000000"/>
            </w:rPr>
            <w:t>China</w:t>
          </w:r>
        </w:smartTag>
      </w:smartTag>
      <w:r w:rsidR="00AB27DE">
        <w:rPr>
          <w:color w:val="000000"/>
        </w:rPr>
        <w:t>.</w:t>
      </w:r>
      <w:r w:rsidR="00714CAC">
        <w:rPr>
          <w:color w:val="000000"/>
        </w:rPr>
        <w:t xml:space="preserve"> The author further claims that he </w:t>
      </w:r>
      <w:r w:rsidR="00004E82">
        <w:rPr>
          <w:color w:val="000000"/>
        </w:rPr>
        <w:t xml:space="preserve">would </w:t>
      </w:r>
      <w:r w:rsidR="00714CAC">
        <w:rPr>
          <w:color w:val="000000"/>
        </w:rPr>
        <w:t>have difficulties finding employment in China because he did not leave the country with the permission of his employer and that this would amount to persecution.</w:t>
      </w:r>
    </w:p>
    <w:p w:rsidR="0041431D" w:rsidRDefault="00AB27DE" w:rsidP="008F2C9F">
      <w:pPr>
        <w:pStyle w:val="SingleTxtG"/>
        <w:ind w:right="0"/>
      </w:pPr>
      <w:r>
        <w:rPr>
          <w:color w:val="000000"/>
        </w:rPr>
        <w:t>3.2</w:t>
      </w:r>
      <w:r>
        <w:rPr>
          <w:color w:val="000000"/>
        </w:rPr>
        <w:tab/>
        <w:t xml:space="preserve">The author further submits that he believes the actions of the </w:t>
      </w:r>
      <w:r w:rsidR="009B64EA">
        <w:rPr>
          <w:color w:val="000000"/>
        </w:rPr>
        <w:t>DIAC</w:t>
      </w:r>
      <w:r>
        <w:rPr>
          <w:color w:val="000000"/>
        </w:rPr>
        <w:t xml:space="preserve"> have created </w:t>
      </w:r>
      <w:r w:rsidR="004810D4">
        <w:rPr>
          <w:color w:val="000000"/>
        </w:rPr>
        <w:t>an additional</w:t>
      </w:r>
      <w:r>
        <w:rPr>
          <w:color w:val="000000"/>
        </w:rPr>
        <w:t xml:space="preserve"> claim for him</w:t>
      </w:r>
      <w:r w:rsidR="00982110">
        <w:rPr>
          <w:color w:val="000000"/>
        </w:rPr>
        <w:t xml:space="preserve"> (sur place claim)</w:t>
      </w:r>
      <w:r w:rsidR="009B64EA">
        <w:rPr>
          <w:color w:val="000000"/>
        </w:rPr>
        <w:t>,</w:t>
      </w:r>
      <w:r>
        <w:rPr>
          <w:color w:val="000000"/>
        </w:rPr>
        <w:t xml:space="preserve"> unintentionally placing him at risk due to their dealings with the Chinese Consulate</w:t>
      </w:r>
      <w:r w:rsidR="008F2C9F">
        <w:rPr>
          <w:color w:val="000000"/>
        </w:rPr>
        <w:t>.</w:t>
      </w:r>
      <w:r>
        <w:rPr>
          <w:rStyle w:val="FootnoteReference"/>
          <w:color w:val="000000"/>
        </w:rPr>
        <w:footnoteReference w:id="5"/>
      </w:r>
      <w:r>
        <w:rPr>
          <w:color w:val="000000"/>
        </w:rPr>
        <w:t xml:space="preserve"> The author claims that this clearly demonstrates that he is a person of interest to the </w:t>
      </w:r>
      <w:r w:rsidRPr="00164E1A">
        <w:t>Chinese authorities</w:t>
      </w:r>
      <w:r>
        <w:t xml:space="preserve"> and that they </w:t>
      </w:r>
      <w:r w:rsidR="004810D4">
        <w:t xml:space="preserve">are suspicious </w:t>
      </w:r>
      <w:r w:rsidR="009B64EA">
        <w:t>of</w:t>
      </w:r>
      <w:r w:rsidR="004810D4">
        <w:t xml:space="preserve"> his activities</w:t>
      </w:r>
      <w:r>
        <w:t xml:space="preserve"> in </w:t>
      </w:r>
      <w:smartTag w:uri="urn:schemas-microsoft-com:office:smarttags" w:element="place">
        <w:smartTag w:uri="urn:schemas-microsoft-com:office:smarttags" w:element="country-region">
          <w:r>
            <w:t>Australia</w:t>
          </w:r>
        </w:smartTag>
      </w:smartTag>
      <w:r>
        <w:t>.</w:t>
      </w:r>
      <w:r w:rsidRPr="00164E1A">
        <w:t xml:space="preserve"> </w:t>
      </w:r>
      <w:r w:rsidR="004810D4">
        <w:t>The author never answered the questions, as</w:t>
      </w:r>
      <w:r w:rsidR="00982110">
        <w:t xml:space="preserve"> he believes</w:t>
      </w:r>
      <w:r w:rsidR="004810D4">
        <w:t xml:space="preserve"> that </w:t>
      </w:r>
      <w:r w:rsidR="008F2C9F">
        <w:t xml:space="preserve">this </w:t>
      </w:r>
      <w:r w:rsidR="004810D4">
        <w:lastRenderedPageBreak/>
        <w:t xml:space="preserve">would put him in even further danger. The author also submits that the Chinese Consulate will not issue </w:t>
      </w:r>
      <w:r w:rsidR="00004E82">
        <w:t xml:space="preserve">him with </w:t>
      </w:r>
      <w:r w:rsidR="004810D4">
        <w:t>trave</w:t>
      </w:r>
      <w:r w:rsidR="004810D4" w:rsidRPr="00004E82">
        <w:t>l do</w:t>
      </w:r>
      <w:r w:rsidR="004810D4">
        <w:t>cuments</w:t>
      </w:r>
      <w:r w:rsidR="008F2C9F">
        <w:t>,</w:t>
      </w:r>
      <w:r w:rsidR="004810D4">
        <w:t xml:space="preserve"> which leave</w:t>
      </w:r>
      <w:r w:rsidR="009B64EA">
        <w:t>s</w:t>
      </w:r>
      <w:r w:rsidR="004810D4">
        <w:t xml:space="preserve"> him technically stateless. </w:t>
      </w:r>
    </w:p>
    <w:p w:rsidR="003A5DE2" w:rsidRPr="00AB27DE" w:rsidRDefault="003A5DE2" w:rsidP="00C81561">
      <w:pPr>
        <w:pStyle w:val="SingleTxtG"/>
        <w:ind w:right="0"/>
        <w:rPr>
          <w:color w:val="000000"/>
        </w:rPr>
      </w:pPr>
      <w:r>
        <w:t>3.3</w:t>
      </w:r>
      <w:r>
        <w:tab/>
        <w:t xml:space="preserve">The author claims that if he were deported to China, he would be </w:t>
      </w:r>
      <w:r w:rsidR="00EB0913">
        <w:t xml:space="preserve">a </w:t>
      </w:r>
      <w:r>
        <w:t>victim of a violation of articles 6, paragraph 1</w:t>
      </w:r>
      <w:r w:rsidR="00EB0913">
        <w:t>;</w:t>
      </w:r>
      <w:r>
        <w:t xml:space="preserve"> 7</w:t>
      </w:r>
      <w:r w:rsidR="00EB0913">
        <w:t>;</w:t>
      </w:r>
      <w:r>
        <w:t xml:space="preserve"> 9, paragraph 1</w:t>
      </w:r>
      <w:r w:rsidR="00EB0913">
        <w:t>;</w:t>
      </w:r>
      <w:r>
        <w:t xml:space="preserve"> and 17 all read in conjunction with article 2, paragraph 1, of the Covenant.  </w:t>
      </w:r>
    </w:p>
    <w:p w:rsidR="0041431D" w:rsidRPr="0041431D" w:rsidRDefault="0041431D" w:rsidP="005701E4">
      <w:pPr>
        <w:pStyle w:val="H23G"/>
        <w:ind w:right="0"/>
      </w:pPr>
      <w:r w:rsidRPr="0041431D">
        <w:tab/>
      </w:r>
      <w:r w:rsidRPr="0041431D">
        <w:tab/>
        <w:t>Th</w:t>
      </w:r>
      <w:r w:rsidR="00AA194C">
        <w:t>e State party’s observations on</w:t>
      </w:r>
      <w:r w:rsidR="00A32DB1">
        <w:t xml:space="preserve"> </w:t>
      </w:r>
      <w:r w:rsidRPr="0041431D">
        <w:t>admissibility</w:t>
      </w:r>
      <w:r w:rsidR="00AA194C">
        <w:t xml:space="preserve"> and</w:t>
      </w:r>
      <w:r w:rsidR="00A32DB1">
        <w:t xml:space="preserve"> merits</w:t>
      </w:r>
    </w:p>
    <w:p w:rsidR="00147563" w:rsidRDefault="0041431D" w:rsidP="00931D6A">
      <w:pPr>
        <w:pStyle w:val="SingleTxtG"/>
        <w:ind w:right="0"/>
        <w:rPr>
          <w:bCs/>
        </w:rPr>
      </w:pPr>
      <w:r w:rsidRPr="0041431D">
        <w:rPr>
          <w:bCs/>
        </w:rPr>
        <w:t>4.1</w:t>
      </w:r>
      <w:r w:rsidRPr="0041431D">
        <w:rPr>
          <w:bCs/>
        </w:rPr>
        <w:tab/>
        <w:t xml:space="preserve"> </w:t>
      </w:r>
      <w:r w:rsidR="00AA194C">
        <w:rPr>
          <w:bCs/>
        </w:rPr>
        <w:t>On 24 November 2010, the State party submit</w:t>
      </w:r>
      <w:r w:rsidR="00EB0913">
        <w:rPr>
          <w:bCs/>
        </w:rPr>
        <w:t>ted</w:t>
      </w:r>
      <w:r w:rsidR="00AA194C">
        <w:rPr>
          <w:bCs/>
        </w:rPr>
        <w:t xml:space="preserve"> its observations on admissibility and merits. The State party adds to the facts as presented by the author </w:t>
      </w:r>
      <w:r w:rsidR="008B543A">
        <w:rPr>
          <w:bCs/>
        </w:rPr>
        <w:t xml:space="preserve">and notes </w:t>
      </w:r>
      <w:r w:rsidR="00AA194C">
        <w:rPr>
          <w:bCs/>
        </w:rPr>
        <w:t>that the author was detained on 12 July 2005 and signed a voluntary</w:t>
      </w:r>
      <w:r w:rsidR="008B543A">
        <w:rPr>
          <w:bCs/>
        </w:rPr>
        <w:t xml:space="preserve"> removal request to return to </w:t>
      </w:r>
      <w:smartTag w:uri="urn:schemas-microsoft-com:office:smarttags" w:element="place">
        <w:smartTag w:uri="urn:schemas-microsoft-com:office:smarttags" w:element="country-region">
          <w:r w:rsidR="008B543A">
            <w:rPr>
              <w:bCs/>
            </w:rPr>
            <w:t>C</w:t>
          </w:r>
          <w:r w:rsidR="00AA194C">
            <w:rPr>
              <w:bCs/>
            </w:rPr>
            <w:t>hina</w:t>
          </w:r>
        </w:smartTag>
      </w:smartTag>
      <w:r w:rsidR="008B543A">
        <w:rPr>
          <w:bCs/>
        </w:rPr>
        <w:t>, which included his</w:t>
      </w:r>
      <w:r w:rsidR="00AA194C">
        <w:rPr>
          <w:bCs/>
        </w:rPr>
        <w:t xml:space="preserve"> Chinese passport application. On 10 August 2005, the Chinese Consulate issued an Entry Permit which was valid for a period of three months.</w:t>
      </w:r>
      <w:r w:rsidR="008B543A">
        <w:rPr>
          <w:bCs/>
        </w:rPr>
        <w:t xml:space="preserve"> This travel document subsequently expired, </w:t>
      </w:r>
      <w:r w:rsidR="00EB0913">
        <w:rPr>
          <w:bCs/>
        </w:rPr>
        <w:t xml:space="preserve">after </w:t>
      </w:r>
      <w:r w:rsidR="008B543A">
        <w:rPr>
          <w:bCs/>
        </w:rPr>
        <w:t>the author applied for a Protection Visa on 6 September 2005, which was refused. On 22 May 2006, the Federal Magistrates Court upheld the RRT decision.</w:t>
      </w:r>
      <w:r w:rsidR="00AA194C">
        <w:rPr>
          <w:bCs/>
        </w:rPr>
        <w:t xml:space="preserve"> On 16 August 2007, the author indicated to an immigration official that he wished to voluntarily return to </w:t>
      </w:r>
      <w:smartTag w:uri="urn:schemas-microsoft-com:office:smarttags" w:element="place">
        <w:smartTag w:uri="urn:schemas-microsoft-com:office:smarttags" w:element="country-region">
          <w:r w:rsidR="00AA194C">
            <w:rPr>
              <w:bCs/>
            </w:rPr>
            <w:t>China</w:t>
          </w:r>
        </w:smartTag>
      </w:smartTag>
      <w:r w:rsidR="00AA194C">
        <w:rPr>
          <w:bCs/>
        </w:rPr>
        <w:t xml:space="preserve"> but did not have the financial means to do so. He was assisted by a</w:t>
      </w:r>
      <w:r w:rsidR="000A0CD6">
        <w:rPr>
          <w:bCs/>
        </w:rPr>
        <w:t>n IOM</w:t>
      </w:r>
      <w:r w:rsidR="00AA194C">
        <w:rPr>
          <w:bCs/>
        </w:rPr>
        <w:t xml:space="preserve"> representative</w:t>
      </w:r>
      <w:r w:rsidR="00982110">
        <w:rPr>
          <w:bCs/>
        </w:rPr>
        <w:t xml:space="preserve"> </w:t>
      </w:r>
      <w:r w:rsidR="00AA194C">
        <w:rPr>
          <w:bCs/>
        </w:rPr>
        <w:t xml:space="preserve">in his application for a new passport. On 31 October 2007, an immigration official met with an officer of the Chinese Consulate. The Chinese Consulate advised that it required a statement from the author regarding the type of visa the author had applied for in </w:t>
      </w:r>
      <w:smartTag w:uri="urn:schemas-microsoft-com:office:smarttags" w:element="country-region">
        <w:r w:rsidR="00AA194C">
          <w:rPr>
            <w:bCs/>
          </w:rPr>
          <w:t>Australia</w:t>
        </w:r>
      </w:smartTag>
      <w:r w:rsidR="00AA194C">
        <w:rPr>
          <w:bCs/>
        </w:rPr>
        <w:t xml:space="preserve">; the process undertaken, a statement </w:t>
      </w:r>
      <w:r w:rsidR="00EB0913">
        <w:rPr>
          <w:bCs/>
        </w:rPr>
        <w:t xml:space="preserve">as to </w:t>
      </w:r>
      <w:r w:rsidR="00AA194C">
        <w:rPr>
          <w:bCs/>
        </w:rPr>
        <w:t xml:space="preserve">why the author wanted to remain in </w:t>
      </w:r>
      <w:smartTag w:uri="urn:schemas-microsoft-com:office:smarttags" w:element="place">
        <w:smartTag w:uri="urn:schemas-microsoft-com:office:smarttags" w:element="country-region">
          <w:r w:rsidR="00AA194C">
            <w:rPr>
              <w:bCs/>
            </w:rPr>
            <w:t>Australia</w:t>
          </w:r>
        </w:smartTag>
      </w:smartTag>
      <w:r w:rsidR="00AA194C">
        <w:rPr>
          <w:bCs/>
        </w:rPr>
        <w:t xml:space="preserve"> and the reasons why he did not use the travel document issued in 2005. The author was informed accordingly and was also advised that the immigration officer would not release any information to the Chinese Consulate without his consent. Between 2007 and 2010, with the author’s consent, immigration officials liaised with the Chinese Consulate regarding the author’s travel documents</w:t>
      </w:r>
      <w:r w:rsidR="00931D6A">
        <w:rPr>
          <w:bCs/>
        </w:rPr>
        <w:t>,</w:t>
      </w:r>
      <w:r w:rsidR="00AA194C">
        <w:rPr>
          <w:bCs/>
        </w:rPr>
        <w:t xml:space="preserve"> and delays resulted from staffing changes </w:t>
      </w:r>
      <w:r w:rsidR="0056795A">
        <w:rPr>
          <w:bCs/>
        </w:rPr>
        <w:t xml:space="preserve">in the Chinese Consulate </w:t>
      </w:r>
      <w:r w:rsidR="00AA194C">
        <w:rPr>
          <w:bCs/>
        </w:rPr>
        <w:t xml:space="preserve">and limits on processing of passports due to the Beijing Olympics. </w:t>
      </w:r>
      <w:r w:rsidR="005E5B88">
        <w:rPr>
          <w:bCs/>
        </w:rPr>
        <w:t xml:space="preserve">In January 2010, a written copy of questions from the Chinese consulate </w:t>
      </w:r>
      <w:r w:rsidR="00EB0913">
        <w:rPr>
          <w:bCs/>
        </w:rPr>
        <w:t xml:space="preserve">was </w:t>
      </w:r>
      <w:r w:rsidR="005E5B88">
        <w:rPr>
          <w:bCs/>
        </w:rPr>
        <w:t xml:space="preserve">provided to the author, in which he was required to explain what he </w:t>
      </w:r>
      <w:r w:rsidR="00EB0913">
        <w:rPr>
          <w:bCs/>
        </w:rPr>
        <w:t xml:space="preserve">had </w:t>
      </w:r>
      <w:r w:rsidR="005E5B88">
        <w:rPr>
          <w:bCs/>
        </w:rPr>
        <w:t xml:space="preserve">been doing in </w:t>
      </w:r>
      <w:smartTag w:uri="urn:schemas-microsoft-com:office:smarttags" w:element="country-region">
        <w:r w:rsidR="005E5B88">
          <w:rPr>
            <w:bCs/>
          </w:rPr>
          <w:t>Australia</w:t>
        </w:r>
      </w:smartTag>
      <w:r w:rsidR="005E5B88">
        <w:rPr>
          <w:bCs/>
        </w:rPr>
        <w:t xml:space="preserve"> for the past 10 years, why he </w:t>
      </w:r>
      <w:r w:rsidR="00004E82">
        <w:rPr>
          <w:bCs/>
        </w:rPr>
        <w:t>had</w:t>
      </w:r>
      <w:r w:rsidR="00004E82" w:rsidRPr="00004E82">
        <w:rPr>
          <w:bCs/>
        </w:rPr>
        <w:t xml:space="preserve"> </w:t>
      </w:r>
      <w:r w:rsidR="005E5B88" w:rsidRPr="00004E82">
        <w:rPr>
          <w:bCs/>
        </w:rPr>
        <w:t>not</w:t>
      </w:r>
      <w:r w:rsidR="005E5B88">
        <w:rPr>
          <w:bCs/>
        </w:rPr>
        <w:t xml:space="preserve"> depart</w:t>
      </w:r>
      <w:r w:rsidR="00004E82">
        <w:rPr>
          <w:bCs/>
        </w:rPr>
        <w:t>ed</w:t>
      </w:r>
      <w:r w:rsidR="005E5B88">
        <w:rPr>
          <w:bCs/>
        </w:rPr>
        <w:t xml:space="preserve"> </w:t>
      </w:r>
      <w:smartTag w:uri="urn:schemas-microsoft-com:office:smarttags" w:element="place">
        <w:smartTag w:uri="urn:schemas-microsoft-com:office:smarttags" w:element="country-region">
          <w:r w:rsidR="005E5B88">
            <w:rPr>
              <w:bCs/>
            </w:rPr>
            <w:t>Australia</w:t>
          </w:r>
        </w:smartTag>
      </w:smartTag>
      <w:r w:rsidR="005E5B88">
        <w:rPr>
          <w:bCs/>
        </w:rPr>
        <w:t xml:space="preserve"> in 2005 and why he </w:t>
      </w:r>
      <w:r w:rsidR="00EB0913">
        <w:rPr>
          <w:bCs/>
        </w:rPr>
        <w:t xml:space="preserve">had </w:t>
      </w:r>
      <w:r w:rsidR="005E5B88">
        <w:rPr>
          <w:bCs/>
        </w:rPr>
        <w:t>lodged an appeal to the Federal Court. The author has not provided any answers to these questions.</w:t>
      </w:r>
    </w:p>
    <w:p w:rsidR="00E54C03" w:rsidRDefault="005E5B88" w:rsidP="005701E4">
      <w:pPr>
        <w:pStyle w:val="SingleTxtG"/>
        <w:ind w:right="0"/>
        <w:rPr>
          <w:bCs/>
        </w:rPr>
      </w:pPr>
      <w:r>
        <w:rPr>
          <w:bCs/>
        </w:rPr>
        <w:t>4.2</w:t>
      </w:r>
      <w:r>
        <w:rPr>
          <w:bCs/>
        </w:rPr>
        <w:tab/>
      </w:r>
      <w:r w:rsidR="00C54D17">
        <w:rPr>
          <w:bCs/>
        </w:rPr>
        <w:t>The State party submits that the author failed to exhaust domes</w:t>
      </w:r>
      <w:r w:rsidR="008E160A">
        <w:rPr>
          <w:bCs/>
        </w:rPr>
        <w:t>tic remedies as he did not appe</w:t>
      </w:r>
      <w:r w:rsidR="00E54C03">
        <w:rPr>
          <w:bCs/>
        </w:rPr>
        <w:t>a</w:t>
      </w:r>
      <w:r w:rsidR="008E160A">
        <w:rPr>
          <w:bCs/>
        </w:rPr>
        <w:t>l</w:t>
      </w:r>
      <w:r w:rsidR="00C54D17">
        <w:rPr>
          <w:bCs/>
        </w:rPr>
        <w:t xml:space="preserve"> the Federal Magistrates Court’s decision of 22 May 2006 to the Federal Court</w:t>
      </w:r>
      <w:r w:rsidR="0056795A">
        <w:rPr>
          <w:bCs/>
        </w:rPr>
        <w:t xml:space="preserve"> and has not provided reasons </w:t>
      </w:r>
      <w:r w:rsidR="00EB0913">
        <w:rPr>
          <w:bCs/>
        </w:rPr>
        <w:t xml:space="preserve">as to </w:t>
      </w:r>
      <w:r w:rsidR="0056795A">
        <w:rPr>
          <w:bCs/>
        </w:rPr>
        <w:t>why he did not pursue this remedy</w:t>
      </w:r>
      <w:r w:rsidR="00E54C03">
        <w:rPr>
          <w:bCs/>
        </w:rPr>
        <w:t xml:space="preserve">. </w:t>
      </w:r>
    </w:p>
    <w:p w:rsidR="00C54D17" w:rsidRDefault="00C54D17" w:rsidP="005701E4">
      <w:pPr>
        <w:pStyle w:val="SingleTxtG"/>
        <w:ind w:right="0"/>
        <w:rPr>
          <w:bCs/>
        </w:rPr>
      </w:pPr>
      <w:r>
        <w:rPr>
          <w:bCs/>
        </w:rPr>
        <w:t>4.3</w:t>
      </w:r>
      <w:r>
        <w:rPr>
          <w:bCs/>
        </w:rPr>
        <w:tab/>
        <w:t>With regard to the author’s allegation of a violation under article 6, paragraph 1</w:t>
      </w:r>
      <w:r w:rsidR="002D559C">
        <w:rPr>
          <w:bCs/>
        </w:rPr>
        <w:t>,</w:t>
      </w:r>
      <w:r>
        <w:rPr>
          <w:bCs/>
        </w:rPr>
        <w:t xml:space="preserve"> of the Covenant, the State party recalls that for purposes of article 2 of the Optional Protocol, a claim is an allegation supported by substantiating material and the author must establish a </w:t>
      </w:r>
      <w:r w:rsidRPr="00555988">
        <w:rPr>
          <w:bCs/>
          <w:i/>
        </w:rPr>
        <w:t>prima facie</w:t>
      </w:r>
      <w:r>
        <w:rPr>
          <w:bCs/>
        </w:rPr>
        <w:t xml:space="preserve"> case. The State party notes that the author</w:t>
      </w:r>
      <w:r w:rsidR="00555988">
        <w:rPr>
          <w:bCs/>
        </w:rPr>
        <w:t>’s communication relies on a brief chronology of events and</w:t>
      </w:r>
      <w:r>
        <w:rPr>
          <w:bCs/>
        </w:rPr>
        <w:t xml:space="preserve"> does not claim that there is a real risk of death if he was returned to </w:t>
      </w:r>
      <w:smartTag w:uri="urn:schemas-microsoft-com:office:smarttags" w:element="place">
        <w:smartTag w:uri="urn:schemas-microsoft-com:office:smarttags" w:element="country-region">
          <w:r>
            <w:rPr>
              <w:bCs/>
            </w:rPr>
            <w:t>China</w:t>
          </w:r>
        </w:smartTag>
      </w:smartTag>
      <w:r>
        <w:rPr>
          <w:bCs/>
        </w:rPr>
        <w:t xml:space="preserve">. The State party submits that its interactions with the Chinese Consulate to obtain travel documents are typical and there is no substantial evidence to suggest that there would be a </w:t>
      </w:r>
      <w:r w:rsidR="0042025F">
        <w:rPr>
          <w:bCs/>
        </w:rPr>
        <w:t>sur</w:t>
      </w:r>
      <w:r w:rsidR="00CB55A6">
        <w:rPr>
          <w:bCs/>
        </w:rPr>
        <w:t xml:space="preserve"> place claim</w:t>
      </w:r>
      <w:r w:rsidR="00CB55A6">
        <w:rPr>
          <w:rStyle w:val="FootnoteReference"/>
          <w:bCs/>
        </w:rPr>
        <w:footnoteReference w:id="6"/>
      </w:r>
      <w:r w:rsidR="00CB55A6">
        <w:rPr>
          <w:bCs/>
        </w:rPr>
        <w:t xml:space="preserve"> with a </w:t>
      </w:r>
      <w:r>
        <w:rPr>
          <w:bCs/>
        </w:rPr>
        <w:t xml:space="preserve">real risk that the author would be arbitrarily deprived of his life contrary to article 6. </w:t>
      </w:r>
      <w:r w:rsidR="00ED7215">
        <w:rPr>
          <w:bCs/>
        </w:rPr>
        <w:t>The State party therefore submits that the author has failed to provide sufficient evidence to substantiate his allegations under article 6.</w:t>
      </w:r>
    </w:p>
    <w:p w:rsidR="00C54D17" w:rsidRDefault="00C54D17" w:rsidP="002C79FD">
      <w:pPr>
        <w:pStyle w:val="SingleTxtG"/>
        <w:ind w:right="0"/>
        <w:rPr>
          <w:bCs/>
        </w:rPr>
      </w:pPr>
      <w:r>
        <w:rPr>
          <w:bCs/>
        </w:rPr>
        <w:t>4.4</w:t>
      </w:r>
      <w:r>
        <w:rPr>
          <w:bCs/>
        </w:rPr>
        <w:tab/>
        <w:t>The State party submits that, in the alternative, if the Committee find</w:t>
      </w:r>
      <w:r w:rsidR="00300010">
        <w:rPr>
          <w:bCs/>
        </w:rPr>
        <w:t xml:space="preserve">s the </w:t>
      </w:r>
      <w:r w:rsidR="00555988">
        <w:rPr>
          <w:bCs/>
        </w:rPr>
        <w:t xml:space="preserve">author’s </w:t>
      </w:r>
      <w:r w:rsidR="00300010">
        <w:rPr>
          <w:bCs/>
        </w:rPr>
        <w:t>allegations admissible, they</w:t>
      </w:r>
      <w:r>
        <w:rPr>
          <w:bCs/>
        </w:rPr>
        <w:t xml:space="preserve"> should be declared w</w:t>
      </w:r>
      <w:r w:rsidR="00300010">
        <w:rPr>
          <w:bCs/>
        </w:rPr>
        <w:t>ithout merit</w:t>
      </w:r>
      <w:r>
        <w:rPr>
          <w:bCs/>
        </w:rPr>
        <w:t xml:space="preserve">. Country information </w:t>
      </w:r>
      <w:r>
        <w:rPr>
          <w:bCs/>
        </w:rPr>
        <w:lastRenderedPageBreak/>
        <w:t xml:space="preserve">provided to the domestic authorities attests that the Chinese authorities consider seeking to remain in </w:t>
      </w:r>
      <w:smartTag w:uri="urn:schemas-microsoft-com:office:smarttags" w:element="place">
        <w:smartTag w:uri="urn:schemas-microsoft-com:office:smarttags" w:element="country-region">
          <w:r>
            <w:rPr>
              <w:bCs/>
            </w:rPr>
            <w:t>Australia</w:t>
          </w:r>
        </w:smartTag>
      </w:smartTag>
      <w:r>
        <w:rPr>
          <w:bCs/>
        </w:rPr>
        <w:t xml:space="preserve"> through a temporary protection application as commonplace behaviour rather than an expression of political dissent. It further indicates that the likely treatment of a failed Chinese asylum seeker would be an interview on arrival and possibly surveillance or detention for a short period. The State party submits that there is no substantial evidence that the author is of interest to the Chinese authorities as a result of his political activities in </w:t>
      </w:r>
      <w:smartTag w:uri="urn:schemas-microsoft-com:office:smarttags" w:element="place">
        <w:smartTag w:uri="urn:schemas-microsoft-com:office:smarttags" w:element="country-region">
          <w:r>
            <w:rPr>
              <w:bCs/>
            </w:rPr>
            <w:t>Australia</w:t>
          </w:r>
        </w:smartTag>
      </w:smartTag>
      <w:r>
        <w:rPr>
          <w:bCs/>
        </w:rPr>
        <w:t>. Furthermore, the domestic authorities found that the author’s involvement in political activities was fo</w:t>
      </w:r>
      <w:r w:rsidR="00300010">
        <w:rPr>
          <w:bCs/>
        </w:rPr>
        <w:t>r the purpose of enhancing his P</w:t>
      </w:r>
      <w:r>
        <w:rPr>
          <w:bCs/>
        </w:rPr>
        <w:t xml:space="preserve">rotection visa application. The State party further notes that the author’s claim that his previous employer wanted to put him to death is not sufficient ground for him to fear for his life, in particular as the author could seek protection from the State if he had any difficulties with his former manager. </w:t>
      </w:r>
      <w:r w:rsidR="003F3734">
        <w:rPr>
          <w:bCs/>
        </w:rPr>
        <w:t xml:space="preserve">The State party notes the findings of the RRT that although the behaviour of his previous employer may have been discriminatory, it did not constitute harm serious enough to </w:t>
      </w:r>
      <w:r w:rsidR="002C79FD">
        <w:rPr>
          <w:bCs/>
        </w:rPr>
        <w:t xml:space="preserve">amount to </w:t>
      </w:r>
      <w:r w:rsidR="003F3734">
        <w:rPr>
          <w:bCs/>
        </w:rPr>
        <w:t xml:space="preserve">persecution under the 1951 Refugees Convention. </w:t>
      </w:r>
    </w:p>
    <w:p w:rsidR="00C54D17" w:rsidRDefault="00314756" w:rsidP="005701E4">
      <w:pPr>
        <w:pStyle w:val="SingleTxtG"/>
        <w:ind w:right="0"/>
        <w:rPr>
          <w:bCs/>
        </w:rPr>
      </w:pPr>
      <w:r>
        <w:rPr>
          <w:bCs/>
        </w:rPr>
        <w:t>4.5</w:t>
      </w:r>
      <w:r>
        <w:rPr>
          <w:bCs/>
        </w:rPr>
        <w:tab/>
      </w:r>
      <w:r w:rsidR="00EF1CB5">
        <w:rPr>
          <w:bCs/>
        </w:rPr>
        <w:t xml:space="preserve">With regard to the author’s allegation of a violation of article 7, the State party submits that the author has failed to sufficiently substantiate his allegation, as he did not establish a </w:t>
      </w:r>
      <w:r w:rsidR="00EF1CB5" w:rsidRPr="00300010">
        <w:rPr>
          <w:bCs/>
          <w:i/>
        </w:rPr>
        <w:t>prima facie</w:t>
      </w:r>
      <w:r w:rsidR="00EF1CB5">
        <w:rPr>
          <w:bCs/>
        </w:rPr>
        <w:t xml:space="preserve"> case with regard to his fears of persecution due to his pro-democracy activities in Australia and </w:t>
      </w:r>
      <w:r w:rsidR="00300010">
        <w:rPr>
          <w:bCs/>
        </w:rPr>
        <w:t xml:space="preserve">to </w:t>
      </w:r>
      <w:r w:rsidR="00EF1CB5">
        <w:rPr>
          <w:bCs/>
        </w:rPr>
        <w:t>his fear that the Chinese authorities may discover that he is a failed asylum seeker and will therefore be subject to imprisonment and torture.</w:t>
      </w:r>
    </w:p>
    <w:p w:rsidR="00EF1CB5" w:rsidRDefault="00EF1CB5" w:rsidP="007D4234">
      <w:pPr>
        <w:pStyle w:val="SingleTxtG"/>
        <w:ind w:right="0"/>
        <w:rPr>
          <w:bCs/>
        </w:rPr>
      </w:pPr>
      <w:r>
        <w:rPr>
          <w:bCs/>
        </w:rPr>
        <w:t>4.6</w:t>
      </w:r>
      <w:r>
        <w:rPr>
          <w:bCs/>
        </w:rPr>
        <w:tab/>
        <w:t xml:space="preserve">In the alternative, the State party maintains that the author has not provided any new and pertinent information with respect to his political activities which has not already been considered by the domestic authorities and </w:t>
      </w:r>
      <w:r w:rsidR="00931D6A">
        <w:rPr>
          <w:bCs/>
        </w:rPr>
        <w:t xml:space="preserve">that </w:t>
      </w:r>
      <w:r>
        <w:rPr>
          <w:bCs/>
        </w:rPr>
        <w:t xml:space="preserve">there is no substantial evidence that the author is regarded as active or outspoken against the Chinese </w:t>
      </w:r>
      <w:r w:rsidR="007D4234">
        <w:rPr>
          <w:bCs/>
        </w:rPr>
        <w:t>G</w:t>
      </w:r>
      <w:r>
        <w:rPr>
          <w:bCs/>
        </w:rPr>
        <w:t xml:space="preserve">overnment. The author therefore failed to establish a real risk that he would be subject to torture or cruel, inhuman or degrading treatment if returned to </w:t>
      </w:r>
      <w:smartTag w:uri="urn:schemas-microsoft-com:office:smarttags" w:element="place">
        <w:smartTag w:uri="urn:schemas-microsoft-com:office:smarttags" w:element="country-region">
          <w:r>
            <w:rPr>
              <w:bCs/>
            </w:rPr>
            <w:t>China</w:t>
          </w:r>
        </w:smartTag>
      </w:smartTag>
      <w:r>
        <w:rPr>
          <w:bCs/>
        </w:rPr>
        <w:t>.</w:t>
      </w:r>
    </w:p>
    <w:p w:rsidR="00EF1CB5" w:rsidRDefault="00EF1CB5" w:rsidP="009A5AF9">
      <w:pPr>
        <w:pStyle w:val="SingleTxtG"/>
        <w:ind w:right="0"/>
        <w:rPr>
          <w:bCs/>
        </w:rPr>
      </w:pPr>
      <w:r>
        <w:rPr>
          <w:bCs/>
        </w:rPr>
        <w:t>4.7</w:t>
      </w:r>
      <w:r>
        <w:rPr>
          <w:bCs/>
        </w:rPr>
        <w:tab/>
        <w:t xml:space="preserve">With regard to the author’s claim that he fears detention if the Chinese authorities discover that he sought asylum in Australia, the State party argues that its </w:t>
      </w:r>
      <w:r w:rsidRPr="007865C7">
        <w:rPr>
          <w:bCs/>
          <w:iCs/>
        </w:rPr>
        <w:t>non-refoulement</w:t>
      </w:r>
      <w:r w:rsidRPr="00D608AC">
        <w:rPr>
          <w:bCs/>
          <w:iCs/>
        </w:rPr>
        <w:t xml:space="preserve"> </w:t>
      </w:r>
      <w:r>
        <w:rPr>
          <w:bCs/>
        </w:rPr>
        <w:t>obligations under the Covenant only apply to situations where there is a real risk of irreparable harm, such as that contemplated by articles 6 and 7.</w:t>
      </w:r>
      <w:r w:rsidR="00ED7215">
        <w:rPr>
          <w:rStyle w:val="FootnoteReference"/>
          <w:bCs/>
        </w:rPr>
        <w:footnoteReference w:id="7"/>
      </w:r>
      <w:r>
        <w:rPr>
          <w:bCs/>
        </w:rPr>
        <w:t xml:space="preserve"> It therefore submits that the author’s claim under article 9 should be declared inadmissible </w:t>
      </w:r>
      <w:r w:rsidRPr="00300010">
        <w:rPr>
          <w:bCs/>
          <w:i/>
        </w:rPr>
        <w:t>ratione materiae</w:t>
      </w:r>
      <w:r>
        <w:rPr>
          <w:bCs/>
        </w:rPr>
        <w:t xml:space="preserve"> </w:t>
      </w:r>
      <w:r w:rsidR="009A5AF9">
        <w:rPr>
          <w:bCs/>
        </w:rPr>
        <w:t>and</w:t>
      </w:r>
      <w:r>
        <w:rPr>
          <w:bCs/>
        </w:rPr>
        <w:t xml:space="preserve"> </w:t>
      </w:r>
      <w:r w:rsidR="00B21FBC">
        <w:rPr>
          <w:bCs/>
        </w:rPr>
        <w:t>ins</w:t>
      </w:r>
      <w:r>
        <w:rPr>
          <w:bCs/>
        </w:rPr>
        <w:t>ufficiently substantiate</w:t>
      </w:r>
      <w:r w:rsidR="00B21FBC">
        <w:rPr>
          <w:bCs/>
        </w:rPr>
        <w:t>d</w:t>
      </w:r>
      <w:r>
        <w:rPr>
          <w:bCs/>
        </w:rPr>
        <w:t>.</w:t>
      </w:r>
    </w:p>
    <w:p w:rsidR="00EF1CB5" w:rsidRDefault="00EF1CB5" w:rsidP="005701E4">
      <w:pPr>
        <w:pStyle w:val="SingleTxtG"/>
        <w:ind w:right="0"/>
        <w:rPr>
          <w:bCs/>
        </w:rPr>
      </w:pPr>
      <w:r>
        <w:rPr>
          <w:bCs/>
        </w:rPr>
        <w:t>4.8</w:t>
      </w:r>
      <w:r>
        <w:rPr>
          <w:bCs/>
        </w:rPr>
        <w:tab/>
        <w:t xml:space="preserve">On the merits of the author’s allegation under article 9, the State party recalls that the </w:t>
      </w:r>
      <w:r w:rsidR="00C528A2">
        <w:rPr>
          <w:bCs/>
        </w:rPr>
        <w:t>arbitrariness</w:t>
      </w:r>
      <w:r>
        <w:rPr>
          <w:bCs/>
        </w:rPr>
        <w:t xml:space="preserve"> of the detention was defined as not merely being against the law but as including elements of inappropriateness, injustice and lack of predictability.</w:t>
      </w:r>
      <w:r>
        <w:rPr>
          <w:rStyle w:val="FootnoteReference"/>
          <w:bCs/>
        </w:rPr>
        <w:footnoteReference w:id="8"/>
      </w:r>
      <w:r w:rsidR="00316923">
        <w:rPr>
          <w:bCs/>
        </w:rPr>
        <w:t xml:space="preserve"> The State party recalls the country information that was considered by the </w:t>
      </w:r>
      <w:r w:rsidR="00300010">
        <w:rPr>
          <w:bCs/>
        </w:rPr>
        <w:t>Refugee Review T</w:t>
      </w:r>
      <w:r w:rsidR="00316923">
        <w:rPr>
          <w:bCs/>
        </w:rPr>
        <w:t xml:space="preserve">ribunal, in which it was noted that the author may be questioned, reprimanded or briefly detained by the Chinese authorities regarding his protection visa application; however such actions would not amount to persecution. </w:t>
      </w:r>
    </w:p>
    <w:p w:rsidR="00C528A2" w:rsidRDefault="00C528A2" w:rsidP="009A0583">
      <w:pPr>
        <w:pStyle w:val="SingleTxtG"/>
        <w:ind w:right="0"/>
        <w:rPr>
          <w:bCs/>
        </w:rPr>
      </w:pPr>
      <w:r>
        <w:rPr>
          <w:bCs/>
        </w:rPr>
        <w:t>4.9</w:t>
      </w:r>
      <w:r>
        <w:rPr>
          <w:bCs/>
        </w:rPr>
        <w:tab/>
        <w:t xml:space="preserve">Concerning the author’s claim under article 17, the State party notes that its </w:t>
      </w:r>
      <w:r w:rsidRPr="007865C7">
        <w:rPr>
          <w:bCs/>
          <w:iCs/>
        </w:rPr>
        <w:t>non</w:t>
      </w:r>
      <w:r w:rsidR="009A0583">
        <w:rPr>
          <w:bCs/>
          <w:iCs/>
        </w:rPr>
        <w:t>-</w:t>
      </w:r>
      <w:r w:rsidRPr="007865C7">
        <w:rPr>
          <w:bCs/>
          <w:iCs/>
        </w:rPr>
        <w:t>refoulement</w:t>
      </w:r>
      <w:r>
        <w:rPr>
          <w:bCs/>
        </w:rPr>
        <w:t xml:space="preserve"> obligations do not extend to breaches of article 17</w:t>
      </w:r>
      <w:r w:rsidR="00414C07">
        <w:rPr>
          <w:rStyle w:val="FootnoteReference"/>
          <w:bCs/>
        </w:rPr>
        <w:footnoteReference w:id="9"/>
      </w:r>
      <w:r>
        <w:rPr>
          <w:bCs/>
        </w:rPr>
        <w:t xml:space="preserve"> and therefore this part of the author’s claim is inadmissible </w:t>
      </w:r>
      <w:r w:rsidRPr="00300010">
        <w:rPr>
          <w:bCs/>
          <w:i/>
        </w:rPr>
        <w:t>ratione materiae</w:t>
      </w:r>
      <w:r>
        <w:rPr>
          <w:bCs/>
        </w:rPr>
        <w:t xml:space="preserve">. </w:t>
      </w:r>
      <w:r w:rsidR="00300010">
        <w:rPr>
          <w:bCs/>
        </w:rPr>
        <w:t>It also notes that the Refugee Review T</w:t>
      </w:r>
      <w:r>
        <w:rPr>
          <w:bCs/>
        </w:rPr>
        <w:t xml:space="preserve">ribunal questioned the credibility of the author’s political opinions and activities and was </w:t>
      </w:r>
      <w:r>
        <w:rPr>
          <w:bCs/>
        </w:rPr>
        <w:lastRenderedPageBreak/>
        <w:t xml:space="preserve">not satisfied that the author had sent dissident information to his family. On the merits, the State party submits that, </w:t>
      </w:r>
      <w:r w:rsidR="00300010">
        <w:rPr>
          <w:bCs/>
        </w:rPr>
        <w:t>during the hearings before the Refugee Review T</w:t>
      </w:r>
      <w:r>
        <w:rPr>
          <w:bCs/>
        </w:rPr>
        <w:t xml:space="preserve">ribunal, the author did not respond to the questions regarding why he believed that he was being monitored by the Chinese authorities and </w:t>
      </w:r>
      <w:r w:rsidR="007D4234">
        <w:rPr>
          <w:bCs/>
        </w:rPr>
        <w:t xml:space="preserve">that </w:t>
      </w:r>
      <w:r>
        <w:rPr>
          <w:bCs/>
        </w:rPr>
        <w:t xml:space="preserve">there was insufficient evidence to substantiate his claim that the money he sent to his family was stolen by government officials. </w:t>
      </w:r>
    </w:p>
    <w:p w:rsidR="00C528A2" w:rsidRPr="0041431D" w:rsidRDefault="00C528A2" w:rsidP="00E42FFD">
      <w:pPr>
        <w:pStyle w:val="SingleTxtG"/>
        <w:ind w:right="0"/>
        <w:rPr>
          <w:bCs/>
        </w:rPr>
      </w:pPr>
      <w:r>
        <w:rPr>
          <w:bCs/>
        </w:rPr>
        <w:t>4.10</w:t>
      </w:r>
      <w:r>
        <w:rPr>
          <w:bCs/>
        </w:rPr>
        <w:tab/>
        <w:t xml:space="preserve">The State party submits that the author’s claims under articles 6, 7, 9 and 17 are inadmissible </w:t>
      </w:r>
      <w:r w:rsidR="00E42FFD">
        <w:rPr>
          <w:bCs/>
        </w:rPr>
        <w:t xml:space="preserve">due to </w:t>
      </w:r>
      <w:r>
        <w:rPr>
          <w:bCs/>
        </w:rPr>
        <w:t xml:space="preserve">failure to exhaust domestic remedies and </w:t>
      </w:r>
      <w:r w:rsidR="00B21FBC">
        <w:rPr>
          <w:bCs/>
        </w:rPr>
        <w:t>because they are not sufficiently substantiated</w:t>
      </w:r>
      <w:r>
        <w:rPr>
          <w:bCs/>
        </w:rPr>
        <w:t xml:space="preserve">. His claims under articles 9 and 17 do not engage </w:t>
      </w:r>
      <w:r w:rsidRPr="007865C7">
        <w:rPr>
          <w:bCs/>
          <w:iCs/>
        </w:rPr>
        <w:t>non-refoulement</w:t>
      </w:r>
      <w:r w:rsidRPr="00D608AC">
        <w:rPr>
          <w:bCs/>
          <w:iCs/>
        </w:rPr>
        <w:t xml:space="preserve"> </w:t>
      </w:r>
      <w:r>
        <w:rPr>
          <w:bCs/>
        </w:rPr>
        <w:t xml:space="preserve">obligations and are therefore inadmissible </w:t>
      </w:r>
      <w:r w:rsidRPr="00300010">
        <w:rPr>
          <w:bCs/>
          <w:i/>
        </w:rPr>
        <w:t>ratione materiae</w:t>
      </w:r>
      <w:r>
        <w:rPr>
          <w:bCs/>
        </w:rPr>
        <w:t xml:space="preserve">. In the alternative, the State party submits that the author’s claims lack merit. </w:t>
      </w:r>
    </w:p>
    <w:p w:rsidR="0041431D" w:rsidRPr="0041431D" w:rsidRDefault="0041431D" w:rsidP="005701E4">
      <w:pPr>
        <w:pStyle w:val="H23G"/>
        <w:ind w:right="0"/>
      </w:pPr>
      <w:r w:rsidRPr="0041431D">
        <w:tab/>
      </w:r>
      <w:r w:rsidRPr="0041431D">
        <w:tab/>
        <w:t>Author’s comments on the State party’s observations</w:t>
      </w:r>
      <w:r w:rsidR="005562E5">
        <w:t xml:space="preserve"> on admissibility and merits</w:t>
      </w:r>
    </w:p>
    <w:p w:rsidR="00E44C1F" w:rsidRDefault="001E6D4F" w:rsidP="009A5AF9">
      <w:pPr>
        <w:pStyle w:val="SingleTxtG"/>
        <w:ind w:right="0"/>
      </w:pPr>
      <w:r>
        <w:t>5</w:t>
      </w:r>
      <w:r w:rsidR="0041431D" w:rsidRPr="0041431D">
        <w:t>.1</w:t>
      </w:r>
      <w:r w:rsidR="0041431D" w:rsidRPr="0041431D">
        <w:tab/>
      </w:r>
      <w:r w:rsidR="000F3770">
        <w:t>On 1 April 2011, the author submit</w:t>
      </w:r>
      <w:r w:rsidR="007D4234">
        <w:t>ted</w:t>
      </w:r>
      <w:r w:rsidR="000F3770">
        <w:t xml:space="preserve"> his comment on the State party observations on admissibility and merits. </w:t>
      </w:r>
      <w:r w:rsidR="00CC316E">
        <w:t xml:space="preserve">The author adds to the facts as presented and explains that on 10 June 2005, he received a Chinese travel </w:t>
      </w:r>
      <w:r w:rsidR="00F86FD2">
        <w:t>document;</w:t>
      </w:r>
      <w:r w:rsidR="00CC316E">
        <w:t xml:space="preserve"> however the travel document expired while he was awaiting the outcome </w:t>
      </w:r>
      <w:r w:rsidR="00A72DDB">
        <w:t>of his P</w:t>
      </w:r>
      <w:r w:rsidR="00CC316E">
        <w:t xml:space="preserve">rotection visa application </w:t>
      </w:r>
      <w:r w:rsidR="009A5AF9">
        <w:t xml:space="preserve">from </w:t>
      </w:r>
      <w:r w:rsidR="00CC316E">
        <w:t xml:space="preserve">the Refugee Review Tribunal. </w:t>
      </w:r>
      <w:r w:rsidR="00F5297E">
        <w:t xml:space="preserve">With regard to the exhaustion of domestic remedies, the author reiterates that he </w:t>
      </w:r>
      <w:r w:rsidR="005562E5">
        <w:t xml:space="preserve">has </w:t>
      </w:r>
      <w:r w:rsidR="00F5297E">
        <w:t>exhausted all available domestic remedies.</w:t>
      </w:r>
    </w:p>
    <w:p w:rsidR="006B0A8F" w:rsidRDefault="006B0A8F" w:rsidP="00931D6A">
      <w:pPr>
        <w:pStyle w:val="SingleTxtG"/>
        <w:ind w:right="0"/>
      </w:pPr>
      <w:r>
        <w:t>5.2</w:t>
      </w:r>
      <w:r>
        <w:tab/>
        <w:t>With regard to his claim under article 6, the author submits that his support for the 1989 pro-democracy movement and his endeavours to reduce corruption within the workplace resulted in official persecution in the form of wage restrictions and exclusion from housing program</w:t>
      </w:r>
      <w:r w:rsidR="00E42FFD">
        <w:t>me</w:t>
      </w:r>
      <w:r>
        <w:t xml:space="preserve">s. While in </w:t>
      </w:r>
      <w:smartTag w:uri="urn:schemas-microsoft-com:office:smarttags" w:element="country-region">
        <w:smartTag w:uri="urn:schemas-microsoft-com:office:smarttags" w:element="place">
          <w:r>
            <w:t>Australia</w:t>
          </w:r>
        </w:smartTag>
      </w:smartTag>
      <w:r>
        <w:t xml:space="preserve">, the author continued to participate </w:t>
      </w:r>
      <w:r w:rsidR="00E42FFD">
        <w:t xml:space="preserve">in </w:t>
      </w:r>
      <w:r>
        <w:t xml:space="preserve">pro-democracy seminars and rallies and he claims that there are multiple factors to suggest that these activities have come to the attention of the Chinese </w:t>
      </w:r>
      <w:r w:rsidR="00E42FFD">
        <w:t>G</w:t>
      </w:r>
      <w:r>
        <w:t xml:space="preserve">overnment, as </w:t>
      </w:r>
      <w:r w:rsidRPr="007865C7">
        <w:t>his mail and</w:t>
      </w:r>
      <w:r>
        <w:t xml:space="preserve"> </w:t>
      </w:r>
      <w:r w:rsidR="00E42FFD">
        <w:t>tele</w:t>
      </w:r>
      <w:r>
        <w:t>phone calls were monitored</w:t>
      </w:r>
      <w:r w:rsidR="00A72DDB">
        <w:t xml:space="preserve">. He notes that </w:t>
      </w:r>
      <w:r>
        <w:t xml:space="preserve">a Chinese official who defected to </w:t>
      </w:r>
      <w:smartTag w:uri="urn:schemas-microsoft-com:office:smarttags" w:element="country-region">
        <w:r>
          <w:t>Australia</w:t>
        </w:r>
      </w:smartTag>
      <w:r>
        <w:t xml:space="preserve"> in 2005 claimed that </w:t>
      </w:r>
      <w:smartTag w:uri="urn:schemas-microsoft-com:office:smarttags" w:element="place">
        <w:smartTag w:uri="urn:schemas-microsoft-com:office:smarttags" w:element="country-region">
          <w:r>
            <w:t>China</w:t>
          </w:r>
        </w:smartTag>
      </w:smartTag>
      <w:r>
        <w:t xml:space="preserve"> had an extensive network of informants monitoring Falun Gong and other anti-Chinese activities</w:t>
      </w:r>
      <w:r w:rsidR="00A72DDB">
        <w:t>. The author therefore claims that</w:t>
      </w:r>
      <w:r>
        <w:t xml:space="preserve"> the request </w:t>
      </w:r>
      <w:r w:rsidR="00E42FFD">
        <w:t xml:space="preserve">by </w:t>
      </w:r>
      <w:r w:rsidR="00931D6A">
        <w:t xml:space="preserve">the </w:t>
      </w:r>
      <w:r w:rsidR="00E42FFD">
        <w:t xml:space="preserve">DIAC </w:t>
      </w:r>
      <w:r>
        <w:t xml:space="preserve">that the author provide the Chinese Consulate with a statement of his activities for the last 10 years </w:t>
      </w:r>
      <w:r w:rsidR="00E42FFD">
        <w:t xml:space="preserve">implies </w:t>
      </w:r>
      <w:r>
        <w:t>that his pro-democracy activities have been noted</w:t>
      </w:r>
      <w:r w:rsidR="00A72DDB">
        <w:t xml:space="preserve"> by the Chinese authorities</w:t>
      </w:r>
      <w:r>
        <w:t xml:space="preserve">. </w:t>
      </w:r>
      <w:r w:rsidR="00931D6A">
        <w:t xml:space="preserve">The author </w:t>
      </w:r>
      <w:r w:rsidR="008E0924">
        <w:t xml:space="preserve">also notes that the DIAC advised </w:t>
      </w:r>
      <w:r w:rsidR="00931D6A">
        <w:t>him</w:t>
      </w:r>
      <w:r w:rsidR="008E0924">
        <w:t xml:space="preserve"> to provide the Chinese Consulate </w:t>
      </w:r>
      <w:r w:rsidR="00A72DDB">
        <w:t xml:space="preserve">with </w:t>
      </w:r>
      <w:r w:rsidR="008E0924">
        <w:t xml:space="preserve">an explanation </w:t>
      </w:r>
      <w:r w:rsidR="00E42FFD">
        <w:t xml:space="preserve">as to </w:t>
      </w:r>
      <w:r w:rsidR="008E0924">
        <w:t xml:space="preserve">why he </w:t>
      </w:r>
      <w:r w:rsidR="00931D6A">
        <w:t xml:space="preserve">had </w:t>
      </w:r>
      <w:r w:rsidR="008E0924">
        <w:t>lodged an appeal to the Federal Magistrates</w:t>
      </w:r>
      <w:r w:rsidR="008F35D4">
        <w:t>’</w:t>
      </w:r>
      <w:r w:rsidR="008E0924">
        <w:t xml:space="preserve"> Court, which shows that the Chinese Consulate suspects that he </w:t>
      </w:r>
      <w:r w:rsidR="00931D6A">
        <w:t xml:space="preserve">had </w:t>
      </w:r>
      <w:r w:rsidR="008E0924">
        <w:t>filed an applic</w:t>
      </w:r>
      <w:r w:rsidR="00A72DDB">
        <w:t xml:space="preserve">ation for a </w:t>
      </w:r>
      <w:r w:rsidR="00A72DDB" w:rsidRPr="00931D6A">
        <w:t>P</w:t>
      </w:r>
      <w:r w:rsidR="008E0924" w:rsidRPr="00931D6A">
        <w:t>r</w:t>
      </w:r>
      <w:r w:rsidR="008E0924">
        <w:t xml:space="preserve">otection visa. </w:t>
      </w:r>
    </w:p>
    <w:p w:rsidR="00006179" w:rsidRDefault="00006179" w:rsidP="00931D6A">
      <w:pPr>
        <w:pStyle w:val="SingleTxtG"/>
        <w:ind w:right="0"/>
      </w:pPr>
      <w:r>
        <w:t>5.3</w:t>
      </w:r>
      <w:r>
        <w:tab/>
        <w:t>The author cites reports by human rights organizations on the broad application of the death penalty</w:t>
      </w:r>
      <w:r w:rsidR="0017019E">
        <w:t>,</w:t>
      </w:r>
      <w:r>
        <w:rPr>
          <w:rStyle w:val="FootnoteReference"/>
        </w:rPr>
        <w:footnoteReference w:id="10"/>
      </w:r>
      <w:r>
        <w:t xml:space="preserve"> as well as evidence suggesting that political dissidents face persecution upon return to </w:t>
      </w:r>
      <w:smartTag w:uri="urn:schemas-microsoft-com:office:smarttags" w:element="country-region">
        <w:r>
          <w:t>China</w:t>
        </w:r>
      </w:smartTag>
      <w:r>
        <w:t xml:space="preserve"> after failing to </w:t>
      </w:r>
      <w:r w:rsidR="00931D6A">
        <w:t xml:space="preserve">obtain </w:t>
      </w:r>
      <w:r>
        <w:t xml:space="preserve">asylum in </w:t>
      </w:r>
      <w:smartTag w:uri="urn:schemas-microsoft-com:office:smarttags" w:element="place">
        <w:smartTag w:uri="urn:schemas-microsoft-com:office:smarttags" w:element="country-region">
          <w:r>
            <w:t>Australia</w:t>
          </w:r>
        </w:smartTag>
      </w:smartTag>
      <w:r w:rsidR="0017019E">
        <w:t>.</w:t>
      </w:r>
      <w:r>
        <w:rPr>
          <w:rStyle w:val="FootnoteReference"/>
        </w:rPr>
        <w:footnoteReference w:id="11"/>
      </w:r>
      <w:r>
        <w:t xml:space="preserve"> </w:t>
      </w:r>
      <w:r w:rsidR="00D93A79">
        <w:t xml:space="preserve">The author notes that the country information on which the </w:t>
      </w:r>
      <w:r w:rsidR="00A72DDB">
        <w:t>State party relies i</w:t>
      </w:r>
      <w:r w:rsidR="00D93A79">
        <w:t>s outdated</w:t>
      </w:r>
      <w:r w:rsidR="00A72DDB">
        <w:t xml:space="preserve"> (</w:t>
      </w:r>
      <w:r w:rsidR="00D93A79">
        <w:t>1995</w:t>
      </w:r>
      <w:r w:rsidR="00A72DDB">
        <w:t>)</w:t>
      </w:r>
      <w:r w:rsidR="00D93A79">
        <w:t xml:space="preserve"> and a more recent report noted that it was not possible to comment definitely on how Chinese authorities would treat returnees to </w:t>
      </w:r>
      <w:smartTag w:uri="urn:schemas-microsoft-com:office:smarttags" w:element="place">
        <w:smartTag w:uri="urn:schemas-microsoft-com:office:smarttags" w:element="country-region">
          <w:r w:rsidR="00D93A79">
            <w:t>China</w:t>
          </w:r>
        </w:smartTag>
      </w:smartTag>
      <w:r w:rsidR="00D93A79">
        <w:t xml:space="preserve"> who are failed asylum seekers. </w:t>
      </w:r>
      <w:r w:rsidR="009464AF">
        <w:t>In addition to that, the author maintains that the actions of the IOM representative and the DIAC have disclosed his status as a failed asylum seeker to the Chine</w:t>
      </w:r>
      <w:r w:rsidR="00A72DDB">
        <w:t xml:space="preserve">se Consulate, which </w:t>
      </w:r>
      <w:r w:rsidR="00E42FFD">
        <w:t xml:space="preserve">has </w:t>
      </w:r>
      <w:r w:rsidR="00A72DDB" w:rsidRPr="00E42FFD">
        <w:t>now requested</w:t>
      </w:r>
      <w:r w:rsidR="009464AF">
        <w:t xml:space="preserve"> details about his appeal to the Federal Magistrates</w:t>
      </w:r>
      <w:r w:rsidR="008F35D4">
        <w:t>’</w:t>
      </w:r>
      <w:r w:rsidR="009464AF">
        <w:t xml:space="preserve"> Court</w:t>
      </w:r>
      <w:r w:rsidR="007136B6">
        <w:t xml:space="preserve">. In this regard, the author claims that the court procedures ensure the confidentiality of appeals relating to asylum applications and the instruction to provide information on this is in conflict with the Committee’s </w:t>
      </w:r>
      <w:r w:rsidR="0080249D">
        <w:t>g</w:t>
      </w:r>
      <w:r w:rsidR="007136B6">
        <w:t xml:space="preserve">eneral </w:t>
      </w:r>
      <w:r w:rsidR="0080249D">
        <w:lastRenderedPageBreak/>
        <w:t>c</w:t>
      </w:r>
      <w:r w:rsidR="007136B6">
        <w:t>omment regarding the right to privacy</w:t>
      </w:r>
      <w:r w:rsidR="0017019E">
        <w:t>.</w:t>
      </w:r>
      <w:r w:rsidR="007136B6">
        <w:rPr>
          <w:rStyle w:val="FootnoteReference"/>
        </w:rPr>
        <w:footnoteReference w:id="12"/>
      </w:r>
      <w:r w:rsidR="007136B6">
        <w:t xml:space="preserve"> </w:t>
      </w:r>
      <w:r w:rsidR="001B590B">
        <w:t>The author submits that the disclosure demanded by the Chinese Consulate demonstrate</w:t>
      </w:r>
      <w:r w:rsidR="00E42FFD">
        <w:t>s</w:t>
      </w:r>
      <w:r w:rsidR="001B590B">
        <w:t xml:space="preserve"> that he is a person of interest to them. The author claims that the country information, combined with the lack of transparency regarding </w:t>
      </w:r>
      <w:r w:rsidR="0080249D">
        <w:t xml:space="preserve">the country’s </w:t>
      </w:r>
      <w:r w:rsidR="001B590B">
        <w:t xml:space="preserve">record of capital </w:t>
      </w:r>
      <w:r w:rsidR="001B590B" w:rsidRPr="009A5AF9">
        <w:t>punishment</w:t>
      </w:r>
      <w:r w:rsidR="00931D6A">
        <w:t>,</w:t>
      </w:r>
      <w:r w:rsidR="001B590B" w:rsidRPr="009A5AF9">
        <w:t xml:space="preserve"> </w:t>
      </w:r>
      <w:r w:rsidR="00931D6A">
        <w:t>together with</w:t>
      </w:r>
      <w:r w:rsidR="001B590B">
        <w:t xml:space="preserve"> the disclosure </w:t>
      </w:r>
      <w:r w:rsidR="0080249D">
        <w:t xml:space="preserve">by </w:t>
      </w:r>
      <w:r w:rsidR="00931D6A">
        <w:t xml:space="preserve">the </w:t>
      </w:r>
      <w:r w:rsidR="0080249D">
        <w:t xml:space="preserve">DIAC </w:t>
      </w:r>
      <w:r w:rsidR="001B590B">
        <w:t xml:space="preserve">of the author’s migration history to the Chinese Consulate put him at risk of a violation of article 6 if he was deported to </w:t>
      </w:r>
      <w:smartTag w:uri="urn:schemas-microsoft-com:office:smarttags" w:element="country-region">
        <w:smartTag w:uri="urn:schemas-microsoft-com:office:smarttags" w:element="place">
          <w:r w:rsidR="001B590B">
            <w:t>China</w:t>
          </w:r>
        </w:smartTag>
      </w:smartTag>
      <w:r w:rsidR="001B590B">
        <w:t>.</w:t>
      </w:r>
    </w:p>
    <w:p w:rsidR="001B590B" w:rsidRDefault="00F5297E" w:rsidP="005701E4">
      <w:pPr>
        <w:pStyle w:val="SingleTxtG"/>
        <w:ind w:right="0"/>
      </w:pPr>
      <w:r>
        <w:t>5.4</w:t>
      </w:r>
      <w:r>
        <w:tab/>
        <w:t xml:space="preserve">With regard to his claim under article 7, the author refers to his arguments under article 6 and claims that his deportation to </w:t>
      </w:r>
      <w:smartTag w:uri="urn:schemas-microsoft-com:office:smarttags" w:element="place">
        <w:smartTag w:uri="urn:schemas-microsoft-com:office:smarttags" w:element="country-region">
          <w:r>
            <w:t>China</w:t>
          </w:r>
        </w:smartTag>
      </w:smartTag>
      <w:r>
        <w:t xml:space="preserve"> would put him at real risk of torture</w:t>
      </w:r>
      <w:r w:rsidR="0080249D">
        <w:t>,</w:t>
      </w:r>
      <w:r>
        <w:t xml:space="preserve"> in breach of article 7.</w:t>
      </w:r>
    </w:p>
    <w:p w:rsidR="00F5297E" w:rsidRDefault="00F5297E" w:rsidP="0017019E">
      <w:pPr>
        <w:pStyle w:val="SingleTxtG"/>
        <w:ind w:right="0"/>
      </w:pPr>
      <w:r>
        <w:t>5.5</w:t>
      </w:r>
      <w:r>
        <w:tab/>
        <w:t>With regard to article 9, the author submits that</w:t>
      </w:r>
      <w:r w:rsidR="00931D6A">
        <w:t>,</w:t>
      </w:r>
      <w:r>
        <w:t xml:space="preserve"> as a necessary consequence of a breach to his rights under articles 6 and 7, he would also experience harm in </w:t>
      </w:r>
      <w:r w:rsidR="0080249D">
        <w:t xml:space="preserve">the </w:t>
      </w:r>
      <w:r>
        <w:t xml:space="preserve">form of arbitrary arrest or detention. He notes that the RRT accepted that he may be detained upon his return to </w:t>
      </w:r>
      <w:smartTag w:uri="urn:schemas-microsoft-com:office:smarttags" w:element="place">
        <w:smartTag w:uri="urn:schemas-microsoft-com:office:smarttags" w:element="country-region">
          <w:r>
            <w:t>China</w:t>
          </w:r>
        </w:smartTag>
      </w:smartTag>
      <w:r>
        <w:t xml:space="preserve">. Referring to the </w:t>
      </w:r>
      <w:r w:rsidR="00A72DDB">
        <w:t xml:space="preserve">Committee’s </w:t>
      </w:r>
      <w:r w:rsidR="00075EFA">
        <w:t>g</w:t>
      </w:r>
      <w:r>
        <w:t xml:space="preserve">eneral </w:t>
      </w:r>
      <w:r w:rsidR="00075EFA">
        <w:t>c</w:t>
      </w:r>
      <w:r>
        <w:t>omment No. 31</w:t>
      </w:r>
      <w:r w:rsidR="0017019E">
        <w:t>,</w:t>
      </w:r>
      <w:r>
        <w:rPr>
          <w:rStyle w:val="FootnoteReference"/>
        </w:rPr>
        <w:footnoteReference w:id="13"/>
      </w:r>
      <w:r>
        <w:t xml:space="preserve"> the author claims that references to articles 6 and 7 serve as examples of irreparable harm. He claims that, as the example</w:t>
      </w:r>
      <w:r w:rsidR="0080249D">
        <w:t>s</w:t>
      </w:r>
      <w:r>
        <w:t xml:space="preserve"> of other failed asylum seekers show</w:t>
      </w:r>
      <w:r w:rsidR="0017019E">
        <w:t>,</w:t>
      </w:r>
      <w:r>
        <w:rPr>
          <w:rStyle w:val="FootnoteReference"/>
        </w:rPr>
        <w:footnoteReference w:id="14"/>
      </w:r>
      <w:r>
        <w:t xml:space="preserve"> it is probable that he would be detained indefinitely and in secret. </w:t>
      </w:r>
    </w:p>
    <w:p w:rsidR="00F5297E" w:rsidRPr="0041431D" w:rsidRDefault="00F5297E" w:rsidP="005701E4">
      <w:pPr>
        <w:pStyle w:val="SingleTxtG"/>
        <w:ind w:right="0"/>
      </w:pPr>
      <w:r>
        <w:t>5.6</w:t>
      </w:r>
      <w:r>
        <w:tab/>
        <w:t>Concerning his claim under article 14, the author cites the State party’s obligations under article 14, paragraph 3, in particular paragraph 3 (g)</w:t>
      </w:r>
      <w:r w:rsidR="0080249D">
        <w:t>,</w:t>
      </w:r>
      <w:r>
        <w:t xml:space="preserve"> and submits that an honest answer to the questions put by the DIAC would require disclosure of his involvement in political activities which are deemed illegal under Chinese law. He therefore submits that his answers to the questions would form a confession of the crime under article 105 of the Chinese Criminal Code</w:t>
      </w:r>
      <w:r w:rsidR="0017019E">
        <w:t>.</w:t>
      </w:r>
      <w:r w:rsidR="005C5D5D">
        <w:rPr>
          <w:rStyle w:val="FootnoteReference"/>
        </w:rPr>
        <w:footnoteReference w:id="15"/>
      </w:r>
    </w:p>
    <w:p w:rsidR="0041431D" w:rsidRPr="0041431D" w:rsidRDefault="0041431D" w:rsidP="005701E4">
      <w:pPr>
        <w:pStyle w:val="H23G"/>
        <w:ind w:right="0"/>
      </w:pPr>
      <w:r w:rsidRPr="0041431D">
        <w:tab/>
      </w:r>
      <w:r w:rsidRPr="0041431D">
        <w:tab/>
        <w:t>Issues and proceedings before the Committee</w:t>
      </w:r>
    </w:p>
    <w:p w:rsidR="0041431D" w:rsidRPr="0041431D" w:rsidRDefault="0041431D" w:rsidP="005701E4">
      <w:pPr>
        <w:pStyle w:val="H4G"/>
        <w:ind w:right="0"/>
      </w:pPr>
      <w:r w:rsidRPr="0041431D">
        <w:tab/>
      </w:r>
      <w:r w:rsidRPr="0041431D">
        <w:tab/>
        <w:t>Consideration of admissibility</w:t>
      </w:r>
    </w:p>
    <w:p w:rsidR="0041431D" w:rsidRPr="0041431D" w:rsidRDefault="00BB08E6" w:rsidP="002217E1">
      <w:pPr>
        <w:pStyle w:val="SingleTxtG"/>
        <w:ind w:right="0"/>
        <w:rPr>
          <w:bCs/>
        </w:rPr>
      </w:pPr>
      <w:r>
        <w:rPr>
          <w:bCs/>
        </w:rPr>
        <w:t>6</w:t>
      </w:r>
      <w:r w:rsidR="0041431D" w:rsidRPr="0041431D">
        <w:rPr>
          <w:bCs/>
        </w:rPr>
        <w:t>.1</w:t>
      </w:r>
      <w:r w:rsidR="0041431D" w:rsidRPr="0041431D">
        <w:rPr>
          <w:bCs/>
        </w:rPr>
        <w:tab/>
        <w:t xml:space="preserve">Before considering any claim contained in a communication, the Human Rights Committee must, in accordance with rule 93 of its </w:t>
      </w:r>
      <w:r w:rsidR="002217E1">
        <w:rPr>
          <w:bCs/>
        </w:rPr>
        <w:t>r</w:t>
      </w:r>
      <w:r w:rsidR="0041431D" w:rsidRPr="0041431D">
        <w:rPr>
          <w:bCs/>
        </w:rPr>
        <w:t>ules of procedure, decide whether or not the case is admissible under the Optional Protocol to the Covenant.</w:t>
      </w:r>
    </w:p>
    <w:p w:rsidR="0041431D" w:rsidRPr="0041431D" w:rsidRDefault="00BB08E6" w:rsidP="005701E4">
      <w:pPr>
        <w:pStyle w:val="SingleTxtG"/>
        <w:ind w:right="0"/>
      </w:pPr>
      <w:r>
        <w:t>6</w:t>
      </w:r>
      <w:r w:rsidR="0041431D" w:rsidRPr="0041431D">
        <w:t>.2</w:t>
      </w:r>
      <w:r w:rsidR="0041431D" w:rsidRPr="0041431D">
        <w:tab/>
        <w:t>The Committee has ascertained, as required under article 5, paragraph 2</w:t>
      </w:r>
      <w:r w:rsidR="00526F6C">
        <w:t xml:space="preserve"> </w:t>
      </w:r>
      <w:r w:rsidR="0041431D" w:rsidRPr="0041431D">
        <w:t xml:space="preserve">(a), of the Optional Protocol, that the same matter is not being examined under another procedure of international investigation or settlement. </w:t>
      </w:r>
    </w:p>
    <w:p w:rsidR="00591187" w:rsidRDefault="00BB08E6" w:rsidP="005701E4">
      <w:pPr>
        <w:pStyle w:val="SingleTxtG"/>
        <w:ind w:right="0"/>
        <w:rPr>
          <w:bCs/>
        </w:rPr>
      </w:pPr>
      <w:r>
        <w:lastRenderedPageBreak/>
        <w:t>6</w:t>
      </w:r>
      <w:r w:rsidR="00526F6C">
        <w:t>.3</w:t>
      </w:r>
      <w:r w:rsidR="00526F6C">
        <w:tab/>
      </w:r>
      <w:r w:rsidR="008E160A">
        <w:t>The Committee notes the State party’s argument that the author failed to exhaust domestic remedies pursuant to article 5, paragraph 2 (b)</w:t>
      </w:r>
      <w:r w:rsidR="002217E1">
        <w:t>,</w:t>
      </w:r>
      <w:r w:rsidR="008E160A">
        <w:t xml:space="preserve"> of the Optional Protocol, as he did not appeal the Federal Magistrates</w:t>
      </w:r>
      <w:r w:rsidR="00370410">
        <w:t>’</w:t>
      </w:r>
      <w:r w:rsidR="008E160A">
        <w:t xml:space="preserve"> Court</w:t>
      </w:r>
      <w:r w:rsidR="00370410">
        <w:t>’s</w:t>
      </w:r>
      <w:r w:rsidR="008E160A">
        <w:t xml:space="preserve"> decision to the Federal Court and has not provided any reason</w:t>
      </w:r>
      <w:r w:rsidR="008E160A" w:rsidRPr="00EB0913">
        <w:t xml:space="preserve">s </w:t>
      </w:r>
      <w:r w:rsidR="00EB0913">
        <w:t xml:space="preserve">as to </w:t>
      </w:r>
      <w:r w:rsidR="008E160A" w:rsidRPr="00EB0913">
        <w:t>why</w:t>
      </w:r>
      <w:r w:rsidR="008E160A">
        <w:t xml:space="preserve"> he did not pursue this remedy. </w:t>
      </w:r>
      <w:r w:rsidR="00E54C03">
        <w:rPr>
          <w:bCs/>
        </w:rPr>
        <w:t xml:space="preserve">The Committee notes that the author has not </w:t>
      </w:r>
      <w:r w:rsidR="00370410">
        <w:rPr>
          <w:bCs/>
        </w:rPr>
        <w:t xml:space="preserve">provided any information contesting </w:t>
      </w:r>
      <w:r w:rsidR="00E54C03">
        <w:rPr>
          <w:bCs/>
        </w:rPr>
        <w:t xml:space="preserve">this argument. </w:t>
      </w:r>
      <w:r w:rsidR="00591187">
        <w:rPr>
          <w:bCs/>
        </w:rPr>
        <w:t xml:space="preserve">In the absence of any information by the author on the </w:t>
      </w:r>
      <w:r w:rsidR="00591187" w:rsidRPr="00EB0913">
        <w:rPr>
          <w:bCs/>
        </w:rPr>
        <w:t>reason why</w:t>
      </w:r>
      <w:r w:rsidR="00370410">
        <w:rPr>
          <w:bCs/>
        </w:rPr>
        <w:t xml:space="preserve"> he did not appeal to the Federal Court</w:t>
      </w:r>
      <w:r w:rsidR="00591187">
        <w:rPr>
          <w:bCs/>
        </w:rPr>
        <w:t xml:space="preserve">, the Committee considers that </w:t>
      </w:r>
      <w:r w:rsidR="00370410">
        <w:rPr>
          <w:bCs/>
        </w:rPr>
        <w:t>he</w:t>
      </w:r>
      <w:r w:rsidR="00591187">
        <w:rPr>
          <w:bCs/>
        </w:rPr>
        <w:t xml:space="preserve"> failed to exhaust all available and effective </w:t>
      </w:r>
      <w:r w:rsidR="00370410">
        <w:rPr>
          <w:bCs/>
        </w:rPr>
        <w:t xml:space="preserve">domestic </w:t>
      </w:r>
      <w:r w:rsidR="00591187">
        <w:rPr>
          <w:bCs/>
        </w:rPr>
        <w:t>remedies pursuant to article 5, paragraph 2 (b)</w:t>
      </w:r>
      <w:r w:rsidR="002217E1">
        <w:rPr>
          <w:bCs/>
        </w:rPr>
        <w:t>,</w:t>
      </w:r>
      <w:r w:rsidR="00591187">
        <w:rPr>
          <w:bCs/>
        </w:rPr>
        <w:t xml:space="preserve"> of the Optional Protocol and therefore declares the communication inadmissible.</w:t>
      </w:r>
    </w:p>
    <w:p w:rsidR="009A33E3" w:rsidRDefault="009A33E3" w:rsidP="005701E4">
      <w:pPr>
        <w:pStyle w:val="SingleTxtG"/>
        <w:spacing w:line="240" w:lineRule="exact"/>
        <w:ind w:right="0"/>
      </w:pPr>
      <w:r>
        <w:t>7.</w:t>
      </w:r>
      <w:r>
        <w:tab/>
      </w:r>
      <w:r w:rsidRPr="00F842C2">
        <w:t xml:space="preserve">The Human Rights Committee therefore decides: </w:t>
      </w:r>
    </w:p>
    <w:p w:rsidR="009A33E3" w:rsidRDefault="009A33E3" w:rsidP="005701E4">
      <w:pPr>
        <w:pStyle w:val="SingleTxtG"/>
        <w:spacing w:line="240" w:lineRule="exact"/>
        <w:ind w:right="0" w:firstLine="567"/>
      </w:pPr>
      <w:r>
        <w:t>(a)</w:t>
      </w:r>
      <w:r>
        <w:tab/>
      </w:r>
      <w:r w:rsidRPr="00F842C2">
        <w:t xml:space="preserve">That the communication is inadmissible under </w:t>
      </w:r>
      <w:r w:rsidR="00AE397F">
        <w:t>article 5, paragraph 2 (b)</w:t>
      </w:r>
      <w:r w:rsidRPr="00F842C2">
        <w:t xml:space="preserve"> of the Optional Protocol; </w:t>
      </w:r>
    </w:p>
    <w:p w:rsidR="00CB6BC4" w:rsidRDefault="009A33E3" w:rsidP="005701E4">
      <w:pPr>
        <w:pStyle w:val="SingleTxtG"/>
        <w:spacing w:line="240" w:lineRule="exact"/>
        <w:ind w:right="0" w:firstLine="567"/>
      </w:pPr>
      <w:r w:rsidRPr="00F842C2">
        <w:t>(b)</w:t>
      </w:r>
      <w:r>
        <w:tab/>
      </w:r>
      <w:r w:rsidRPr="00F842C2">
        <w:t>That this decision shall be communicated to the State party and to the author</w:t>
      </w:r>
      <w:r>
        <w:t>.</w:t>
      </w:r>
    </w:p>
    <w:p w:rsidR="007A09BC" w:rsidRPr="007A09BC" w:rsidRDefault="007A09BC" w:rsidP="005701E4">
      <w:pPr>
        <w:spacing w:after="120"/>
        <w:ind w:left="1134"/>
        <w:jc w:val="both"/>
      </w:pPr>
      <w:r w:rsidRPr="007A09BC">
        <w:t>[Adopted in English, French and Spanish, the English text being the original version. Subsequently to be issued also in Arabic, Chinese and Russian as part of the Committee's annual report to the General Assembly.]</w:t>
      </w:r>
    </w:p>
    <w:p w:rsidR="0041431D" w:rsidRPr="0041431D" w:rsidRDefault="0041431D" w:rsidP="005701E4">
      <w:pPr>
        <w:pStyle w:val="SingleTxtG"/>
        <w:spacing w:before="240" w:after="0"/>
        <w:ind w:right="0"/>
        <w:jc w:val="center"/>
        <w:rPr>
          <w:u w:val="single"/>
        </w:rPr>
      </w:pPr>
      <w:r>
        <w:rPr>
          <w:u w:val="single"/>
        </w:rPr>
        <w:tab/>
      </w:r>
      <w:r>
        <w:rPr>
          <w:u w:val="single"/>
        </w:rPr>
        <w:tab/>
      </w:r>
      <w:r>
        <w:rPr>
          <w:u w:val="single"/>
        </w:rPr>
        <w:tab/>
      </w:r>
    </w:p>
    <w:sectPr w:rsidR="0041431D" w:rsidRPr="0041431D" w:rsidSect="00450C4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2268"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9E" w:rsidRDefault="00CC2F9E"/>
  </w:endnote>
  <w:endnote w:type="continuationSeparator" w:id="0">
    <w:p w:rsidR="00CC2F9E" w:rsidRDefault="00CC2F9E"/>
  </w:endnote>
  <w:endnote w:type="continuationNotice" w:id="1">
    <w:p w:rsidR="00CC2F9E" w:rsidRDefault="00CC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F9" w:rsidRPr="0041431D" w:rsidRDefault="009A5AF9" w:rsidP="001E1300">
    <w:pPr>
      <w:pStyle w:val="Footer"/>
      <w:tabs>
        <w:tab w:val="right" w:pos="9638"/>
      </w:tabs>
      <w:jc w:val="both"/>
      <w:rPr>
        <w:b/>
        <w:sz w:val="18"/>
      </w:rPr>
    </w:pPr>
    <w:r w:rsidRPr="0041431D">
      <w:rPr>
        <w:b/>
        <w:sz w:val="18"/>
      </w:rPr>
      <w:fldChar w:fldCharType="begin"/>
    </w:r>
    <w:r w:rsidRPr="0041431D">
      <w:rPr>
        <w:b/>
        <w:sz w:val="18"/>
      </w:rPr>
      <w:instrText xml:space="preserve"> PAGE  \* MERGEFORMAT </w:instrText>
    </w:r>
    <w:r w:rsidRPr="0041431D">
      <w:rPr>
        <w:b/>
        <w:sz w:val="18"/>
      </w:rPr>
      <w:fldChar w:fldCharType="separate"/>
    </w:r>
    <w:r w:rsidR="00747C3C">
      <w:rPr>
        <w:b/>
        <w:noProof/>
        <w:sz w:val="18"/>
      </w:rPr>
      <w:t>2</w:t>
    </w:r>
    <w:r w:rsidRPr="0041431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F9" w:rsidRPr="0041431D" w:rsidRDefault="009A5AF9" w:rsidP="001E1300">
    <w:pPr>
      <w:pStyle w:val="Footer"/>
      <w:tabs>
        <w:tab w:val="right" w:pos="9638"/>
      </w:tabs>
      <w:jc w:val="right"/>
    </w:pPr>
    <w:r w:rsidRPr="0041431D">
      <w:rPr>
        <w:b/>
        <w:sz w:val="18"/>
      </w:rPr>
      <w:fldChar w:fldCharType="begin"/>
    </w:r>
    <w:r w:rsidRPr="0041431D">
      <w:rPr>
        <w:b/>
        <w:sz w:val="18"/>
      </w:rPr>
      <w:instrText xml:space="preserve"> PAGE  \* MERGEFORMAT </w:instrText>
    </w:r>
    <w:r w:rsidRPr="0041431D">
      <w:rPr>
        <w:b/>
        <w:sz w:val="18"/>
      </w:rPr>
      <w:fldChar w:fldCharType="separate"/>
    </w:r>
    <w:r w:rsidR="00747C3C">
      <w:rPr>
        <w:b/>
        <w:noProof/>
        <w:sz w:val="18"/>
      </w:rPr>
      <w:t>3</w:t>
    </w:r>
    <w:r w:rsidRPr="004143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F9" w:rsidRDefault="00CC2F9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9A5AF9">
      <w:t>GE.13-</w:t>
    </w:r>
    <w:r w:rsidR="006A22BE">
      <w:t>43631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9E" w:rsidRPr="000B175B" w:rsidRDefault="00CC2F9E" w:rsidP="000B175B">
      <w:pPr>
        <w:tabs>
          <w:tab w:val="right" w:pos="2155"/>
        </w:tabs>
        <w:spacing w:after="80"/>
        <w:ind w:left="680"/>
        <w:rPr>
          <w:u w:val="single"/>
        </w:rPr>
      </w:pPr>
      <w:r>
        <w:rPr>
          <w:u w:val="single"/>
        </w:rPr>
        <w:tab/>
      </w:r>
    </w:p>
  </w:footnote>
  <w:footnote w:type="continuationSeparator" w:id="0">
    <w:p w:rsidR="00CC2F9E" w:rsidRPr="00FC68B7" w:rsidRDefault="00CC2F9E" w:rsidP="00FC68B7">
      <w:pPr>
        <w:tabs>
          <w:tab w:val="left" w:pos="2155"/>
        </w:tabs>
        <w:spacing w:after="80"/>
        <w:ind w:left="680"/>
        <w:rPr>
          <w:u w:val="single"/>
        </w:rPr>
      </w:pPr>
      <w:r>
        <w:rPr>
          <w:u w:val="single"/>
        </w:rPr>
        <w:tab/>
      </w:r>
    </w:p>
  </w:footnote>
  <w:footnote w:type="continuationNotice" w:id="1">
    <w:p w:rsidR="00CC2F9E" w:rsidRDefault="00CC2F9E"/>
  </w:footnote>
  <w:footnote w:id="2">
    <w:p w:rsidR="009A5AF9" w:rsidRPr="007865C7" w:rsidRDefault="009A5AF9" w:rsidP="007865C7">
      <w:pPr>
        <w:pStyle w:val="FootnoteText"/>
        <w:ind w:right="0"/>
        <w:jc w:val="both"/>
        <w:rPr>
          <w:lang w:val="en-US"/>
        </w:rPr>
      </w:pPr>
      <w:r w:rsidRPr="007865C7">
        <w:rPr>
          <w:rStyle w:val="FootnoteReference"/>
        </w:rPr>
        <w:tab/>
        <w:t>*</w:t>
      </w:r>
      <w:r w:rsidRPr="007865C7">
        <w:rPr>
          <w:rStyle w:val="FootnoteReference"/>
        </w:rPr>
        <w:tab/>
      </w:r>
      <w:r w:rsidRPr="007865C7">
        <w:rPr>
          <w:szCs w:val="18"/>
        </w:rPr>
        <w:t xml:space="preserve">The following members of the Committee participated in the examination of the present communication: Mr. Yadh Ben Achour, </w:t>
      </w:r>
      <w:r w:rsidRPr="007865C7">
        <w:rPr>
          <w:bCs/>
          <w:szCs w:val="18"/>
        </w:rPr>
        <w:t xml:space="preserve">Mr. Lazhari Bouzid, </w:t>
      </w:r>
      <w:r w:rsidRPr="007865C7">
        <w:rPr>
          <w:szCs w:val="18"/>
        </w:rPr>
        <w:t>Ms. Christine Chanet, Mr. Ahmad Amin Fathalla,</w:t>
      </w:r>
      <w:r w:rsidRPr="007865C7">
        <w:rPr>
          <w:bCs/>
          <w:szCs w:val="18"/>
        </w:rPr>
        <w:t xml:space="preserve"> Mr. Cornelis Flinterman, </w:t>
      </w:r>
      <w:r w:rsidRPr="007865C7">
        <w:rPr>
          <w:szCs w:val="18"/>
        </w:rPr>
        <w:t>Mr. Yuji Iwasawa,</w:t>
      </w:r>
      <w:r w:rsidRPr="007865C7">
        <w:rPr>
          <w:bCs/>
          <w:szCs w:val="18"/>
        </w:rPr>
        <w:t xml:space="preserve"> Ms. Zonke Zanele Majodina, </w:t>
      </w:r>
      <w:r w:rsidRPr="007865C7">
        <w:rPr>
          <w:szCs w:val="18"/>
        </w:rPr>
        <w:t>Mr. Kheshoe Parsad Matadeen, Ms. Iulia Antoanella Motoc</w:t>
      </w:r>
      <w:r w:rsidRPr="007865C7">
        <w:rPr>
          <w:bCs/>
          <w:szCs w:val="18"/>
          <w:lang w:val="en-US"/>
        </w:rPr>
        <w:t xml:space="preserve">, </w:t>
      </w:r>
      <w:r w:rsidRPr="007865C7">
        <w:rPr>
          <w:szCs w:val="18"/>
        </w:rPr>
        <w:t xml:space="preserve">Mr. Gerald L. Neuman, </w:t>
      </w:r>
      <w:r w:rsidRPr="007865C7">
        <w:rPr>
          <w:bCs/>
          <w:szCs w:val="18"/>
          <w:lang w:val="en-US"/>
        </w:rPr>
        <w:t xml:space="preserve">Sir Nigel Rodley, </w:t>
      </w:r>
      <w:r w:rsidRPr="007865C7">
        <w:rPr>
          <w:szCs w:val="18"/>
        </w:rPr>
        <w:t xml:space="preserve">Mr. Victor Manuel Rodríguez-Rescia, </w:t>
      </w:r>
      <w:r w:rsidRPr="007865C7">
        <w:rPr>
          <w:bCs/>
          <w:szCs w:val="18"/>
          <w:lang w:val="en-US"/>
        </w:rPr>
        <w:t xml:space="preserve">Mr. Fabián Omar Salvioli, </w:t>
      </w:r>
      <w:r w:rsidRPr="007865C7">
        <w:rPr>
          <w:szCs w:val="18"/>
        </w:rPr>
        <w:t>Ms. Anja Seibert-Fohr, Mr. Yuval Shany, Mr. Konstantine Vardzelashvili</w:t>
      </w:r>
      <w:r w:rsidRPr="007865C7">
        <w:rPr>
          <w:bCs/>
          <w:szCs w:val="18"/>
        </w:rPr>
        <w:t xml:space="preserve"> </w:t>
      </w:r>
      <w:r w:rsidRPr="007865C7">
        <w:rPr>
          <w:bCs/>
          <w:szCs w:val="18"/>
          <w:lang w:val="en-US"/>
        </w:rPr>
        <w:t xml:space="preserve">and </w:t>
      </w:r>
      <w:r w:rsidRPr="007865C7">
        <w:rPr>
          <w:bCs/>
          <w:szCs w:val="18"/>
        </w:rPr>
        <w:t>Ms. Margo Waterval.</w:t>
      </w:r>
      <w:r w:rsidRPr="007865C7">
        <w:t xml:space="preserve"> </w:t>
      </w:r>
    </w:p>
  </w:footnote>
  <w:footnote w:id="3">
    <w:p w:rsidR="009A5AF9" w:rsidRPr="007865C7" w:rsidRDefault="009A5AF9" w:rsidP="007865C7">
      <w:pPr>
        <w:pStyle w:val="FootnoteText"/>
        <w:ind w:right="0"/>
        <w:jc w:val="both"/>
      </w:pPr>
      <w:r w:rsidRPr="007865C7">
        <w:tab/>
      </w:r>
      <w:r w:rsidRPr="007865C7">
        <w:rPr>
          <w:rStyle w:val="FootnoteReference"/>
        </w:rPr>
        <w:footnoteRef/>
      </w:r>
      <w:r w:rsidRPr="007865C7">
        <w:tab/>
      </w:r>
      <w:r w:rsidRPr="007865C7">
        <w:rPr>
          <w:szCs w:val="18"/>
          <w:lang w:val="en-US"/>
        </w:rPr>
        <w:t>The factual background has been established on the basis of the author’s account and court documents.</w:t>
      </w:r>
    </w:p>
  </w:footnote>
  <w:footnote w:id="4">
    <w:p w:rsidR="009A5AF9" w:rsidRPr="007865C7" w:rsidRDefault="009A5AF9" w:rsidP="007865C7">
      <w:pPr>
        <w:pStyle w:val="FootnoteText"/>
        <w:ind w:right="0"/>
        <w:jc w:val="both"/>
      </w:pPr>
      <w:r w:rsidRPr="007865C7">
        <w:tab/>
      </w:r>
      <w:r w:rsidRPr="007865C7">
        <w:rPr>
          <w:rStyle w:val="FootnoteReference"/>
        </w:rPr>
        <w:footnoteRef/>
      </w:r>
      <w:r w:rsidRPr="007865C7">
        <w:tab/>
        <w:t xml:space="preserve">The author has not provided a copy of the DIAC decision refusing to grant him a Protection visa. </w:t>
      </w:r>
    </w:p>
  </w:footnote>
  <w:footnote w:id="5">
    <w:p w:rsidR="009A5AF9" w:rsidRPr="007865C7" w:rsidRDefault="009A5AF9" w:rsidP="007865C7">
      <w:pPr>
        <w:tabs>
          <w:tab w:val="right" w:pos="1021"/>
        </w:tabs>
        <w:spacing w:line="220" w:lineRule="exact"/>
        <w:ind w:left="1134" w:hanging="1134"/>
        <w:jc w:val="both"/>
      </w:pPr>
      <w:r w:rsidRPr="007865C7">
        <w:tab/>
      </w:r>
      <w:r w:rsidRPr="007865C7">
        <w:rPr>
          <w:rStyle w:val="FootnoteReference"/>
        </w:rPr>
        <w:footnoteRef/>
      </w:r>
      <w:r w:rsidRPr="007865C7">
        <w:tab/>
      </w:r>
      <w:r w:rsidRPr="007865C7">
        <w:rPr>
          <w:sz w:val="18"/>
        </w:rPr>
        <w:t xml:space="preserve">The DIAC has written a letter (undated) to the author asking that the following questions be answered and sent to the DIAC, which will then pass them onto the Chinese Consulate: (a) You are required to write a statement explaining to the Chinese Consulate General what you have been doing in Australia during the past 10 years. (b) You are required to explain why you did not depart </w:t>
      </w:r>
      <w:smartTag w:uri="urn:schemas-microsoft-com:office:smarttags" w:element="place">
        <w:smartTag w:uri="urn:schemas-microsoft-com:office:smarttags" w:element="country-region">
          <w:r w:rsidRPr="007865C7">
            <w:rPr>
              <w:sz w:val="18"/>
            </w:rPr>
            <w:t>Australia</w:t>
          </w:r>
        </w:smartTag>
      </w:smartTag>
      <w:r w:rsidRPr="007865C7">
        <w:rPr>
          <w:sz w:val="18"/>
        </w:rPr>
        <w:t xml:space="preserve"> in 2005, after the Chinese Government issued you with a temporary travel document. (c) The Chinese Consul General has requested that you explain why you lodged an appeal to the Federal Court.</w:t>
      </w:r>
    </w:p>
  </w:footnote>
  <w:footnote w:id="6">
    <w:p w:rsidR="009A5AF9" w:rsidRPr="007865C7" w:rsidRDefault="009A5AF9" w:rsidP="007865C7">
      <w:pPr>
        <w:pStyle w:val="FootnoteText"/>
        <w:ind w:right="0"/>
        <w:jc w:val="both"/>
      </w:pPr>
      <w:r w:rsidRPr="007865C7">
        <w:tab/>
      </w:r>
      <w:r w:rsidRPr="007865C7">
        <w:rPr>
          <w:rStyle w:val="FootnoteReference"/>
        </w:rPr>
        <w:footnoteRef/>
      </w:r>
      <w:r w:rsidRPr="007865C7">
        <w:tab/>
        <w:t xml:space="preserve">See High Commissioner for Refugees, Handbook on Procedures and Criteria for Determining Refugee Status under the 1951 Convention and the 1967 Protocol relating to the Status of Refugees (HCR/1P/4/Eng/Rev. 2). </w:t>
      </w:r>
    </w:p>
  </w:footnote>
  <w:footnote w:id="7">
    <w:p w:rsidR="009A5AF9" w:rsidRPr="007865C7" w:rsidRDefault="009A5AF9" w:rsidP="007865C7">
      <w:pPr>
        <w:pStyle w:val="FootnoteText"/>
        <w:ind w:right="0"/>
        <w:jc w:val="both"/>
      </w:pPr>
      <w:r w:rsidRPr="007865C7">
        <w:tab/>
      </w:r>
      <w:r w:rsidRPr="007865C7">
        <w:rPr>
          <w:rStyle w:val="FootnoteReference"/>
        </w:rPr>
        <w:footnoteRef/>
      </w:r>
      <w:r w:rsidRPr="007865C7">
        <w:tab/>
        <w:t xml:space="preserve">See general comment No. 31 on the nature of the general legal obligation imposed on States parties to the Covenant, </w:t>
      </w:r>
      <w:r w:rsidRPr="007865C7">
        <w:rPr>
          <w:i/>
          <w:iCs/>
        </w:rPr>
        <w:t>Official Records of the General Assembly, Fifty-ninth Session, Supplement No. 40,</w:t>
      </w:r>
      <w:r w:rsidRPr="007865C7">
        <w:t xml:space="preserve"> vol. I (A/59/40 (Vol. I)), annex III, para. 12.</w:t>
      </w:r>
    </w:p>
  </w:footnote>
  <w:footnote w:id="8">
    <w:p w:rsidR="009A5AF9" w:rsidRPr="007865C7" w:rsidRDefault="009A5AF9" w:rsidP="007865C7">
      <w:pPr>
        <w:pStyle w:val="FootnoteText"/>
        <w:ind w:right="0"/>
        <w:jc w:val="both"/>
      </w:pPr>
      <w:r w:rsidRPr="007865C7">
        <w:tab/>
      </w:r>
      <w:r w:rsidRPr="007865C7">
        <w:rPr>
          <w:rStyle w:val="FootnoteReference"/>
        </w:rPr>
        <w:footnoteRef/>
      </w:r>
      <w:r w:rsidRPr="007865C7">
        <w:tab/>
        <w:t xml:space="preserve">See communication No. 305/1988, </w:t>
      </w:r>
      <w:r w:rsidRPr="007865C7">
        <w:rPr>
          <w:i/>
        </w:rPr>
        <w:t xml:space="preserve">Van Alphen </w:t>
      </w:r>
      <w:r w:rsidRPr="007865C7">
        <w:t>v.</w:t>
      </w:r>
      <w:r w:rsidRPr="007865C7">
        <w:rPr>
          <w:i/>
        </w:rPr>
        <w:t xml:space="preserve"> the </w:t>
      </w:r>
      <w:smartTag w:uri="urn:schemas-microsoft-com:office:smarttags" w:element="place">
        <w:smartTag w:uri="urn:schemas-microsoft-com:office:smarttags" w:element="country-region">
          <w:r w:rsidRPr="007865C7">
            <w:rPr>
              <w:i/>
            </w:rPr>
            <w:t>Netherlands</w:t>
          </w:r>
        </w:smartTag>
      </w:smartTag>
      <w:r w:rsidRPr="007865C7">
        <w:t xml:space="preserve">, Views adopted on 23 July 1990, para. 5.8. </w:t>
      </w:r>
    </w:p>
  </w:footnote>
  <w:footnote w:id="9">
    <w:p w:rsidR="009A5AF9" w:rsidRPr="007865C7" w:rsidRDefault="009A5AF9" w:rsidP="007865C7">
      <w:pPr>
        <w:pStyle w:val="FootnoteText"/>
        <w:ind w:right="0"/>
        <w:jc w:val="both"/>
      </w:pPr>
      <w:r w:rsidRPr="007865C7">
        <w:tab/>
      </w:r>
      <w:r w:rsidRPr="007865C7">
        <w:rPr>
          <w:rStyle w:val="FootnoteReference"/>
        </w:rPr>
        <w:footnoteRef/>
      </w:r>
      <w:r w:rsidRPr="007865C7">
        <w:tab/>
        <w:t>See general comment No. 31 on the nature of the general legal obligation imposed on States parties to the Covenant (see Note 10 above), para. 12.</w:t>
      </w:r>
    </w:p>
  </w:footnote>
  <w:footnote w:id="10">
    <w:p w:rsidR="009A5AF9" w:rsidRPr="007865C7" w:rsidRDefault="009A5AF9" w:rsidP="007865C7">
      <w:pPr>
        <w:pStyle w:val="FootnoteText"/>
        <w:ind w:right="0"/>
        <w:jc w:val="both"/>
      </w:pPr>
      <w:r w:rsidRPr="007865C7">
        <w:tab/>
      </w:r>
      <w:r w:rsidRPr="007865C7">
        <w:rPr>
          <w:rStyle w:val="FootnoteReference"/>
        </w:rPr>
        <w:footnoteRef/>
      </w:r>
      <w:r w:rsidRPr="007865C7">
        <w:tab/>
        <w:t xml:space="preserve">See Amnesty International, http://www.amnesty.org.au/adp/comments/25190; and Guangze Wang, </w:t>
      </w:r>
      <w:r w:rsidR="00931D6A" w:rsidRPr="007865C7">
        <w:t>“</w:t>
      </w:r>
      <w:r w:rsidRPr="007865C7">
        <w:t xml:space="preserve">The Mystery of </w:t>
      </w:r>
      <w:smartTag w:uri="urn:schemas-microsoft-com:office:smarttags" w:element="country-region">
        <w:smartTag w:uri="urn:schemas-microsoft-com:office:smarttags" w:element="place">
          <w:r w:rsidRPr="007865C7">
            <w:t>China</w:t>
          </w:r>
        </w:smartTag>
      </w:smartTag>
      <w:r w:rsidRPr="007865C7">
        <w:t>’s Death Penalty Figures</w:t>
      </w:r>
      <w:r w:rsidR="00931D6A" w:rsidRPr="007865C7">
        <w:t>”</w:t>
      </w:r>
      <w:r w:rsidRPr="007865C7">
        <w:t xml:space="preserve">, available from </w:t>
      </w:r>
      <w:hyperlink r:id="rId1" w:history="1">
        <w:r w:rsidRPr="007865C7">
          <w:rPr>
            <w:rStyle w:val="Hyperlink"/>
          </w:rPr>
          <w:t>www.hrichina.org</w:t>
        </w:r>
      </w:hyperlink>
      <w:r w:rsidRPr="007865C7">
        <w:t xml:space="preserve">. </w:t>
      </w:r>
    </w:p>
  </w:footnote>
  <w:footnote w:id="11">
    <w:p w:rsidR="009A5AF9" w:rsidRPr="007865C7" w:rsidRDefault="009A5AF9" w:rsidP="007865C7">
      <w:pPr>
        <w:pStyle w:val="FootnoteText"/>
        <w:ind w:right="0"/>
        <w:jc w:val="both"/>
      </w:pPr>
      <w:r w:rsidRPr="007865C7">
        <w:tab/>
      </w:r>
      <w:r w:rsidRPr="007865C7">
        <w:rPr>
          <w:rStyle w:val="FootnoteReference"/>
        </w:rPr>
        <w:footnoteRef/>
      </w:r>
      <w:r w:rsidRPr="007865C7">
        <w:tab/>
        <w:t xml:space="preserve">Australian Refugee Rights Alliance, Draft Discussion Paper - Summary: Deportations to </w:t>
      </w:r>
      <w:smartTag w:uri="urn:schemas-microsoft-com:office:smarttags" w:element="place">
        <w:smartTag w:uri="urn:schemas-microsoft-com:office:smarttags" w:element="country-region">
          <w:r w:rsidRPr="007865C7">
            <w:t>China</w:t>
          </w:r>
        </w:smartTag>
      </w:smartTag>
      <w:r w:rsidRPr="007865C7">
        <w:t>: Australian RSD processes that return people to persecution, 2007.</w:t>
      </w:r>
    </w:p>
  </w:footnote>
  <w:footnote w:id="12">
    <w:p w:rsidR="009A5AF9" w:rsidRPr="007865C7" w:rsidRDefault="009A5AF9" w:rsidP="007865C7">
      <w:pPr>
        <w:pStyle w:val="FootnoteText"/>
        <w:ind w:right="0"/>
        <w:jc w:val="both"/>
      </w:pPr>
      <w:r w:rsidRPr="007865C7">
        <w:tab/>
      </w:r>
      <w:r w:rsidRPr="007865C7">
        <w:rPr>
          <w:rStyle w:val="FootnoteReference"/>
        </w:rPr>
        <w:footnoteRef/>
      </w:r>
      <w:r w:rsidRPr="007865C7">
        <w:tab/>
        <w:t xml:space="preserve">General comment No. 16 (1988) on the right to respect of privacy, family, home and correspondence, and protection of honour and reputation (article 17), </w:t>
      </w:r>
      <w:r w:rsidRPr="007865C7">
        <w:rPr>
          <w:i/>
          <w:iCs/>
        </w:rPr>
        <w:t>Official Records of the General Assembly, Forty-third Session, Supplement No. 40</w:t>
      </w:r>
      <w:r w:rsidRPr="007865C7">
        <w:t xml:space="preserve"> (A/43/40), annex VI, para. 10; HR1/GEN/1/Rev. 1, p. 23.</w:t>
      </w:r>
    </w:p>
  </w:footnote>
  <w:footnote w:id="13">
    <w:p w:rsidR="009A5AF9" w:rsidRPr="007865C7" w:rsidRDefault="009A5AF9" w:rsidP="007865C7">
      <w:pPr>
        <w:pStyle w:val="FootnoteText"/>
        <w:ind w:right="0"/>
        <w:jc w:val="both"/>
      </w:pPr>
      <w:r w:rsidRPr="007865C7">
        <w:tab/>
      </w:r>
      <w:r w:rsidRPr="007865C7">
        <w:rPr>
          <w:rStyle w:val="FootnoteReference"/>
        </w:rPr>
        <w:footnoteRef/>
      </w:r>
      <w:r w:rsidRPr="007865C7">
        <w:tab/>
        <w:t xml:space="preserve">See general comment No. 31 (2004) on the nature of the general legal obligation imposed on States parties to the Covenant (see Note 10 above), para. 12. </w:t>
      </w:r>
    </w:p>
  </w:footnote>
  <w:footnote w:id="14">
    <w:p w:rsidR="009A5AF9" w:rsidRPr="007865C7" w:rsidRDefault="009A5AF9" w:rsidP="007865C7">
      <w:pPr>
        <w:pStyle w:val="FootnoteText"/>
        <w:ind w:right="0"/>
        <w:jc w:val="both"/>
      </w:pPr>
      <w:r w:rsidRPr="007865C7">
        <w:tab/>
      </w:r>
      <w:r w:rsidRPr="007865C7">
        <w:rPr>
          <w:rStyle w:val="FootnoteReference"/>
        </w:rPr>
        <w:footnoteRef/>
      </w:r>
      <w:r w:rsidRPr="007865C7">
        <w:tab/>
        <w:t xml:space="preserve">Australian Refugee Rights Alliance, Draft Discussion Paper: Deportations to </w:t>
      </w:r>
      <w:smartTag w:uri="urn:schemas-microsoft-com:office:smarttags" w:element="place">
        <w:smartTag w:uri="urn:schemas-microsoft-com:office:smarttags" w:element="country-region">
          <w:r w:rsidRPr="007865C7">
            <w:t>China</w:t>
          </w:r>
        </w:smartTag>
      </w:smartTag>
      <w:r w:rsidRPr="007865C7">
        <w:t>: Australian RSD processes that return people to persecution (see Note 15 above).</w:t>
      </w:r>
    </w:p>
  </w:footnote>
  <w:footnote w:id="15">
    <w:p w:rsidR="009A5AF9" w:rsidRPr="00C15E76" w:rsidRDefault="009A5AF9" w:rsidP="007865C7">
      <w:pPr>
        <w:pStyle w:val="NormalWeb"/>
        <w:tabs>
          <w:tab w:val="right" w:pos="1021"/>
        </w:tabs>
        <w:spacing w:before="0" w:beforeAutospacing="0" w:after="0" w:afterAutospacing="0" w:line="220" w:lineRule="exact"/>
        <w:ind w:left="1134" w:hanging="1134"/>
        <w:jc w:val="both"/>
        <w:rPr>
          <w:rFonts w:eastAsia="Times New Roman"/>
          <w:sz w:val="18"/>
          <w:szCs w:val="20"/>
          <w:lang w:val="en-GB" w:eastAsia="en-US"/>
        </w:rPr>
      </w:pPr>
      <w:r w:rsidRPr="007865C7">
        <w:rPr>
          <w:rFonts w:eastAsia="Times New Roman"/>
          <w:sz w:val="18"/>
          <w:szCs w:val="20"/>
          <w:lang w:val="en-GB" w:eastAsia="en-US"/>
        </w:rPr>
        <w:tab/>
      </w:r>
      <w:r w:rsidRPr="007865C7">
        <w:rPr>
          <w:rStyle w:val="FootnoteReference"/>
        </w:rPr>
        <w:footnoteRef/>
      </w:r>
      <w:r w:rsidRPr="007865C7">
        <w:rPr>
          <w:rFonts w:eastAsia="Times New Roman"/>
          <w:sz w:val="18"/>
          <w:szCs w:val="20"/>
          <w:lang w:val="en-GB" w:eastAsia="en-US"/>
        </w:rPr>
        <w:t xml:space="preserve"> </w:t>
      </w:r>
      <w:r w:rsidRPr="007865C7">
        <w:rPr>
          <w:rFonts w:eastAsia="Times New Roman"/>
          <w:sz w:val="18"/>
          <w:szCs w:val="20"/>
          <w:lang w:val="en-GB" w:eastAsia="en-US"/>
        </w:rPr>
        <w:tab/>
        <w:t>Article 105, of the Chinese Criminal Code: Ringleaders who organize, scheme for or carry out subverting the State’s political power and overthrowing the socialist system and those whose crimes are severe shall be sentenced to life imprisonment or fixed-term imprisonment of not less than ten years. Active participants shall be sentenced to fixed-term imprisonment of not less than three years and not more than ten years. Other participants shall be sentenced to fixed-term imprisonment of not more than three years, criminal detention, public surveillance or deprivation of political rights. Whoever incites subverting the State’s political power and overthrowing the socialist system through starting a rumour or slander or by other means shall be sentenced to fixed-term imprisonment of not more than five years, criminal detention, public surveillance or deprivation of political rights. Ringleaders or those whose crimes are severe shall be sentenced to fixed-term imprisonment of not less than five years.</w:t>
      </w:r>
      <w:r w:rsidRPr="00C15E76">
        <w:rPr>
          <w:rFonts w:eastAsia="Times New Roman"/>
          <w:sz w:val="18"/>
          <w:szCs w:val="20"/>
          <w:lang w:val="en-GB"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F9" w:rsidRPr="0041431D" w:rsidRDefault="009A5AF9" w:rsidP="007865C7">
    <w:pPr>
      <w:pStyle w:val="Header"/>
      <w:tabs>
        <w:tab w:val="right" w:pos="8505"/>
      </w:tabs>
    </w:pPr>
    <w:r>
      <w:t>CCPR/C/107/D/1938/2010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F9" w:rsidRPr="0041431D" w:rsidRDefault="009A5AF9" w:rsidP="007865C7">
    <w:pPr>
      <w:pStyle w:val="Header"/>
      <w:tabs>
        <w:tab w:val="right" w:pos="8505"/>
      </w:tabs>
    </w:pPr>
    <w:r>
      <w:tab/>
      <w:t>CCPR/C/107/D/1938/2010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2BE" w:rsidRDefault="006A2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02D15"/>
    <w:multiLevelType w:val="multilevel"/>
    <w:tmpl w:val="2130A90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 w15:restartNumberingAfterBreak="0">
    <w:nsid w:val="158A035E"/>
    <w:multiLevelType w:val="multilevel"/>
    <w:tmpl w:val="C770971A"/>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768"/>
    <w:rsid w:val="00004E82"/>
    <w:rsid w:val="00006179"/>
    <w:rsid w:val="00011FA3"/>
    <w:rsid w:val="00016240"/>
    <w:rsid w:val="0002169A"/>
    <w:rsid w:val="00022D31"/>
    <w:rsid w:val="00025A74"/>
    <w:rsid w:val="000272B3"/>
    <w:rsid w:val="00030376"/>
    <w:rsid w:val="000332D2"/>
    <w:rsid w:val="0003502C"/>
    <w:rsid w:val="00036E89"/>
    <w:rsid w:val="000461E6"/>
    <w:rsid w:val="000463EF"/>
    <w:rsid w:val="000504B1"/>
    <w:rsid w:val="00050F6B"/>
    <w:rsid w:val="00051591"/>
    <w:rsid w:val="0005619A"/>
    <w:rsid w:val="00056791"/>
    <w:rsid w:val="00057C6D"/>
    <w:rsid w:val="00057E97"/>
    <w:rsid w:val="00060C3A"/>
    <w:rsid w:val="00062703"/>
    <w:rsid w:val="00070B9E"/>
    <w:rsid w:val="00072C8C"/>
    <w:rsid w:val="000733B5"/>
    <w:rsid w:val="00075EFA"/>
    <w:rsid w:val="00080862"/>
    <w:rsid w:val="00081815"/>
    <w:rsid w:val="000865C0"/>
    <w:rsid w:val="000931C0"/>
    <w:rsid w:val="00097DF9"/>
    <w:rsid w:val="000A0CD6"/>
    <w:rsid w:val="000A409B"/>
    <w:rsid w:val="000A45DF"/>
    <w:rsid w:val="000B0454"/>
    <w:rsid w:val="000B175B"/>
    <w:rsid w:val="000B3A0F"/>
    <w:rsid w:val="000B4EF7"/>
    <w:rsid w:val="000C2C03"/>
    <w:rsid w:val="000C2D2E"/>
    <w:rsid w:val="000C5897"/>
    <w:rsid w:val="000E0415"/>
    <w:rsid w:val="000E3C40"/>
    <w:rsid w:val="000E6F65"/>
    <w:rsid w:val="000F3770"/>
    <w:rsid w:val="000F4C4F"/>
    <w:rsid w:val="001010EA"/>
    <w:rsid w:val="001103AA"/>
    <w:rsid w:val="00112BE4"/>
    <w:rsid w:val="00117EC2"/>
    <w:rsid w:val="00122216"/>
    <w:rsid w:val="001262D5"/>
    <w:rsid w:val="001410EF"/>
    <w:rsid w:val="00141CF6"/>
    <w:rsid w:val="00147563"/>
    <w:rsid w:val="00147CB7"/>
    <w:rsid w:val="00152EE6"/>
    <w:rsid w:val="001561B9"/>
    <w:rsid w:val="001611D1"/>
    <w:rsid w:val="00165F3A"/>
    <w:rsid w:val="00167FE1"/>
    <w:rsid w:val="00170046"/>
    <w:rsid w:val="0017019E"/>
    <w:rsid w:val="00175C92"/>
    <w:rsid w:val="00181385"/>
    <w:rsid w:val="00183968"/>
    <w:rsid w:val="0018435B"/>
    <w:rsid w:val="00197C4C"/>
    <w:rsid w:val="001A2152"/>
    <w:rsid w:val="001A31A9"/>
    <w:rsid w:val="001A6686"/>
    <w:rsid w:val="001A6AB5"/>
    <w:rsid w:val="001B17D5"/>
    <w:rsid w:val="001B1EF2"/>
    <w:rsid w:val="001B4B04"/>
    <w:rsid w:val="001B590B"/>
    <w:rsid w:val="001C3F55"/>
    <w:rsid w:val="001C6663"/>
    <w:rsid w:val="001C7895"/>
    <w:rsid w:val="001D0C8C"/>
    <w:rsid w:val="001D26DF"/>
    <w:rsid w:val="001D3A03"/>
    <w:rsid w:val="001E1300"/>
    <w:rsid w:val="001E1577"/>
    <w:rsid w:val="001E3788"/>
    <w:rsid w:val="001E64E9"/>
    <w:rsid w:val="001E6D4F"/>
    <w:rsid w:val="001F61B2"/>
    <w:rsid w:val="00202DA8"/>
    <w:rsid w:val="00211E0B"/>
    <w:rsid w:val="002217E1"/>
    <w:rsid w:val="0022225D"/>
    <w:rsid w:val="00224F53"/>
    <w:rsid w:val="00231E9B"/>
    <w:rsid w:val="0023210C"/>
    <w:rsid w:val="00232639"/>
    <w:rsid w:val="00242CE3"/>
    <w:rsid w:val="00243A45"/>
    <w:rsid w:val="00246BBE"/>
    <w:rsid w:val="0025124F"/>
    <w:rsid w:val="00254FE5"/>
    <w:rsid w:val="00263258"/>
    <w:rsid w:val="00267F5F"/>
    <w:rsid w:val="0027421D"/>
    <w:rsid w:val="002760F4"/>
    <w:rsid w:val="00281B2C"/>
    <w:rsid w:val="00284D2D"/>
    <w:rsid w:val="00286B4D"/>
    <w:rsid w:val="002909FE"/>
    <w:rsid w:val="002B4492"/>
    <w:rsid w:val="002B66D3"/>
    <w:rsid w:val="002C1C86"/>
    <w:rsid w:val="002C79FD"/>
    <w:rsid w:val="002D247C"/>
    <w:rsid w:val="002D369F"/>
    <w:rsid w:val="002D559C"/>
    <w:rsid w:val="002D759D"/>
    <w:rsid w:val="002F175C"/>
    <w:rsid w:val="002F245E"/>
    <w:rsid w:val="002F71B3"/>
    <w:rsid w:val="002F73C5"/>
    <w:rsid w:val="00300010"/>
    <w:rsid w:val="003002C1"/>
    <w:rsid w:val="00302B56"/>
    <w:rsid w:val="00303074"/>
    <w:rsid w:val="00314756"/>
    <w:rsid w:val="00316923"/>
    <w:rsid w:val="00322165"/>
    <w:rsid w:val="003229D8"/>
    <w:rsid w:val="00322CD2"/>
    <w:rsid w:val="00335BB0"/>
    <w:rsid w:val="00340994"/>
    <w:rsid w:val="00346826"/>
    <w:rsid w:val="00347CF4"/>
    <w:rsid w:val="00352709"/>
    <w:rsid w:val="0035456B"/>
    <w:rsid w:val="00354D59"/>
    <w:rsid w:val="0035622C"/>
    <w:rsid w:val="00356B0C"/>
    <w:rsid w:val="00367567"/>
    <w:rsid w:val="00370410"/>
    <w:rsid w:val="00370F60"/>
    <w:rsid w:val="00371178"/>
    <w:rsid w:val="003755D0"/>
    <w:rsid w:val="00375A07"/>
    <w:rsid w:val="00382BC3"/>
    <w:rsid w:val="0038336C"/>
    <w:rsid w:val="00386DAD"/>
    <w:rsid w:val="003870C5"/>
    <w:rsid w:val="00395C4E"/>
    <w:rsid w:val="003A2F43"/>
    <w:rsid w:val="003A5DE2"/>
    <w:rsid w:val="003A6810"/>
    <w:rsid w:val="003B0F4F"/>
    <w:rsid w:val="003C2CC4"/>
    <w:rsid w:val="003C2CFE"/>
    <w:rsid w:val="003D3826"/>
    <w:rsid w:val="003D4B23"/>
    <w:rsid w:val="003E20FB"/>
    <w:rsid w:val="003E22E3"/>
    <w:rsid w:val="003E32D3"/>
    <w:rsid w:val="003F0F87"/>
    <w:rsid w:val="003F3734"/>
    <w:rsid w:val="003F3ABB"/>
    <w:rsid w:val="003F458A"/>
    <w:rsid w:val="003F4A96"/>
    <w:rsid w:val="003F4C55"/>
    <w:rsid w:val="00410C89"/>
    <w:rsid w:val="0041431D"/>
    <w:rsid w:val="00414C07"/>
    <w:rsid w:val="0042025F"/>
    <w:rsid w:val="0042454F"/>
    <w:rsid w:val="00426B9B"/>
    <w:rsid w:val="00427AA7"/>
    <w:rsid w:val="0043213D"/>
    <w:rsid w:val="004325CB"/>
    <w:rsid w:val="00436B33"/>
    <w:rsid w:val="00437EE3"/>
    <w:rsid w:val="0044063A"/>
    <w:rsid w:val="00442A83"/>
    <w:rsid w:val="00443A9D"/>
    <w:rsid w:val="00445003"/>
    <w:rsid w:val="00450B53"/>
    <w:rsid w:val="00450C47"/>
    <w:rsid w:val="0045328B"/>
    <w:rsid w:val="00454052"/>
    <w:rsid w:val="00454129"/>
    <w:rsid w:val="0045495B"/>
    <w:rsid w:val="0046707A"/>
    <w:rsid w:val="00473F58"/>
    <w:rsid w:val="00474816"/>
    <w:rsid w:val="00480FA0"/>
    <w:rsid w:val="004810D4"/>
    <w:rsid w:val="004812DD"/>
    <w:rsid w:val="00481385"/>
    <w:rsid w:val="004839F0"/>
    <w:rsid w:val="00483C5A"/>
    <w:rsid w:val="00487488"/>
    <w:rsid w:val="0049760F"/>
    <w:rsid w:val="004976A0"/>
    <w:rsid w:val="004A3FCB"/>
    <w:rsid w:val="004B0E1A"/>
    <w:rsid w:val="004B137C"/>
    <w:rsid w:val="004B712B"/>
    <w:rsid w:val="004C69BF"/>
    <w:rsid w:val="004E425F"/>
    <w:rsid w:val="004F5493"/>
    <w:rsid w:val="004F760E"/>
    <w:rsid w:val="00502F5B"/>
    <w:rsid w:val="00504205"/>
    <w:rsid w:val="00505BAB"/>
    <w:rsid w:val="00507E3F"/>
    <w:rsid w:val="0052136D"/>
    <w:rsid w:val="00523CA8"/>
    <w:rsid w:val="00526F6C"/>
    <w:rsid w:val="0052775E"/>
    <w:rsid w:val="00532BD2"/>
    <w:rsid w:val="0054026F"/>
    <w:rsid w:val="005420F2"/>
    <w:rsid w:val="005464B2"/>
    <w:rsid w:val="00555988"/>
    <w:rsid w:val="005562E5"/>
    <w:rsid w:val="00557670"/>
    <w:rsid w:val="005628B6"/>
    <w:rsid w:val="00562BA6"/>
    <w:rsid w:val="0056744E"/>
    <w:rsid w:val="0056795A"/>
    <w:rsid w:val="005701E4"/>
    <w:rsid w:val="00571BB5"/>
    <w:rsid w:val="005802A0"/>
    <w:rsid w:val="005848B3"/>
    <w:rsid w:val="0058722C"/>
    <w:rsid w:val="00591187"/>
    <w:rsid w:val="00593E8B"/>
    <w:rsid w:val="00595F52"/>
    <w:rsid w:val="005970D7"/>
    <w:rsid w:val="005A5611"/>
    <w:rsid w:val="005B3DB3"/>
    <w:rsid w:val="005B6DD8"/>
    <w:rsid w:val="005C42A9"/>
    <w:rsid w:val="005C5D5D"/>
    <w:rsid w:val="005C6230"/>
    <w:rsid w:val="005C7CB6"/>
    <w:rsid w:val="005D47B9"/>
    <w:rsid w:val="005E16A7"/>
    <w:rsid w:val="005E1DCC"/>
    <w:rsid w:val="005E5B88"/>
    <w:rsid w:val="005E7285"/>
    <w:rsid w:val="005F7717"/>
    <w:rsid w:val="005F7968"/>
    <w:rsid w:val="005F7B75"/>
    <w:rsid w:val="006001EE"/>
    <w:rsid w:val="00605042"/>
    <w:rsid w:val="00605051"/>
    <w:rsid w:val="00605D18"/>
    <w:rsid w:val="00611FC4"/>
    <w:rsid w:val="006176FB"/>
    <w:rsid w:val="00623516"/>
    <w:rsid w:val="00626C9F"/>
    <w:rsid w:val="006308E2"/>
    <w:rsid w:val="00635799"/>
    <w:rsid w:val="006379DF"/>
    <w:rsid w:val="00640B26"/>
    <w:rsid w:val="00641548"/>
    <w:rsid w:val="00652D0A"/>
    <w:rsid w:val="006574C4"/>
    <w:rsid w:val="00662BB6"/>
    <w:rsid w:val="00667391"/>
    <w:rsid w:val="006711B5"/>
    <w:rsid w:val="006743EF"/>
    <w:rsid w:val="0067460C"/>
    <w:rsid w:val="00682160"/>
    <w:rsid w:val="00684C21"/>
    <w:rsid w:val="0069189C"/>
    <w:rsid w:val="00697B24"/>
    <w:rsid w:val="006A028E"/>
    <w:rsid w:val="006A22BE"/>
    <w:rsid w:val="006A4E9F"/>
    <w:rsid w:val="006A4EEA"/>
    <w:rsid w:val="006A758E"/>
    <w:rsid w:val="006B0A8F"/>
    <w:rsid w:val="006B2105"/>
    <w:rsid w:val="006B3947"/>
    <w:rsid w:val="006D37AF"/>
    <w:rsid w:val="006D51D0"/>
    <w:rsid w:val="006E13C0"/>
    <w:rsid w:val="006E564B"/>
    <w:rsid w:val="006E6434"/>
    <w:rsid w:val="006E7191"/>
    <w:rsid w:val="006F230F"/>
    <w:rsid w:val="006F2596"/>
    <w:rsid w:val="006F683D"/>
    <w:rsid w:val="0070083A"/>
    <w:rsid w:val="00703577"/>
    <w:rsid w:val="00705D78"/>
    <w:rsid w:val="0070734A"/>
    <w:rsid w:val="007074F2"/>
    <w:rsid w:val="007136B6"/>
    <w:rsid w:val="00714CAC"/>
    <w:rsid w:val="007210D2"/>
    <w:rsid w:val="0072632A"/>
    <w:rsid w:val="00732614"/>
    <w:rsid w:val="007327D5"/>
    <w:rsid w:val="0073349D"/>
    <w:rsid w:val="00736C1B"/>
    <w:rsid w:val="0074021D"/>
    <w:rsid w:val="007478C4"/>
    <w:rsid w:val="00747C3C"/>
    <w:rsid w:val="007528EC"/>
    <w:rsid w:val="00754B27"/>
    <w:rsid w:val="00755188"/>
    <w:rsid w:val="007629C8"/>
    <w:rsid w:val="0076483F"/>
    <w:rsid w:val="007672D3"/>
    <w:rsid w:val="0077000D"/>
    <w:rsid w:val="00784224"/>
    <w:rsid w:val="007864C1"/>
    <w:rsid w:val="007865C7"/>
    <w:rsid w:val="007875B7"/>
    <w:rsid w:val="00790F1D"/>
    <w:rsid w:val="007968DB"/>
    <w:rsid w:val="007A09BC"/>
    <w:rsid w:val="007A38E9"/>
    <w:rsid w:val="007B4662"/>
    <w:rsid w:val="007B6B17"/>
    <w:rsid w:val="007B6BA5"/>
    <w:rsid w:val="007B7633"/>
    <w:rsid w:val="007C3390"/>
    <w:rsid w:val="007C4F4B"/>
    <w:rsid w:val="007C6025"/>
    <w:rsid w:val="007C784F"/>
    <w:rsid w:val="007C7FD3"/>
    <w:rsid w:val="007D32BF"/>
    <w:rsid w:val="007D3BB0"/>
    <w:rsid w:val="007D4058"/>
    <w:rsid w:val="007D4234"/>
    <w:rsid w:val="007D74B4"/>
    <w:rsid w:val="007E0B2D"/>
    <w:rsid w:val="007E2F5B"/>
    <w:rsid w:val="007F6611"/>
    <w:rsid w:val="0080124E"/>
    <w:rsid w:val="0080249D"/>
    <w:rsid w:val="00804411"/>
    <w:rsid w:val="008105B8"/>
    <w:rsid w:val="00813EDB"/>
    <w:rsid w:val="00815D95"/>
    <w:rsid w:val="008242D7"/>
    <w:rsid w:val="008257B1"/>
    <w:rsid w:val="008273FE"/>
    <w:rsid w:val="008378CD"/>
    <w:rsid w:val="00843767"/>
    <w:rsid w:val="00851476"/>
    <w:rsid w:val="008604CD"/>
    <w:rsid w:val="008655E3"/>
    <w:rsid w:val="00865D70"/>
    <w:rsid w:val="00867035"/>
    <w:rsid w:val="008679D9"/>
    <w:rsid w:val="00873D9A"/>
    <w:rsid w:val="008973AF"/>
    <w:rsid w:val="008979B1"/>
    <w:rsid w:val="008A1DB2"/>
    <w:rsid w:val="008A3651"/>
    <w:rsid w:val="008A51B9"/>
    <w:rsid w:val="008A66E7"/>
    <w:rsid w:val="008A6920"/>
    <w:rsid w:val="008A6B25"/>
    <w:rsid w:val="008A6C4F"/>
    <w:rsid w:val="008B04A1"/>
    <w:rsid w:val="008B0E98"/>
    <w:rsid w:val="008B2335"/>
    <w:rsid w:val="008B543A"/>
    <w:rsid w:val="008B70B1"/>
    <w:rsid w:val="008B768B"/>
    <w:rsid w:val="008D27A2"/>
    <w:rsid w:val="008D7AD2"/>
    <w:rsid w:val="008E024A"/>
    <w:rsid w:val="008E0678"/>
    <w:rsid w:val="008E07A9"/>
    <w:rsid w:val="008E0924"/>
    <w:rsid w:val="008E160A"/>
    <w:rsid w:val="008E7CF1"/>
    <w:rsid w:val="008F2C9F"/>
    <w:rsid w:val="008F35D4"/>
    <w:rsid w:val="009042E8"/>
    <w:rsid w:val="00904D5E"/>
    <w:rsid w:val="00905D99"/>
    <w:rsid w:val="00910F40"/>
    <w:rsid w:val="00912C08"/>
    <w:rsid w:val="009223CA"/>
    <w:rsid w:val="00931D6A"/>
    <w:rsid w:val="00932A13"/>
    <w:rsid w:val="00940F93"/>
    <w:rsid w:val="009464AF"/>
    <w:rsid w:val="0095347F"/>
    <w:rsid w:val="0096260E"/>
    <w:rsid w:val="00965369"/>
    <w:rsid w:val="00974113"/>
    <w:rsid w:val="00975168"/>
    <w:rsid w:val="009759D5"/>
    <w:rsid w:val="009760F3"/>
    <w:rsid w:val="00976768"/>
    <w:rsid w:val="00976C08"/>
    <w:rsid w:val="00980ACA"/>
    <w:rsid w:val="00982110"/>
    <w:rsid w:val="009869FA"/>
    <w:rsid w:val="00987FEC"/>
    <w:rsid w:val="009909F5"/>
    <w:rsid w:val="009A0583"/>
    <w:rsid w:val="009A0E8D"/>
    <w:rsid w:val="009A33E3"/>
    <w:rsid w:val="009A3D9B"/>
    <w:rsid w:val="009A5AF9"/>
    <w:rsid w:val="009B048C"/>
    <w:rsid w:val="009B1CDF"/>
    <w:rsid w:val="009B26E7"/>
    <w:rsid w:val="009B64EA"/>
    <w:rsid w:val="009B7294"/>
    <w:rsid w:val="009C1B8A"/>
    <w:rsid w:val="009C1BE7"/>
    <w:rsid w:val="009C336A"/>
    <w:rsid w:val="009C5418"/>
    <w:rsid w:val="009C66B9"/>
    <w:rsid w:val="009D1943"/>
    <w:rsid w:val="009E0018"/>
    <w:rsid w:val="009E2041"/>
    <w:rsid w:val="009E284A"/>
    <w:rsid w:val="009E6CEB"/>
    <w:rsid w:val="00A00A3F"/>
    <w:rsid w:val="00A01489"/>
    <w:rsid w:val="00A1083F"/>
    <w:rsid w:val="00A137C7"/>
    <w:rsid w:val="00A21744"/>
    <w:rsid w:val="00A26872"/>
    <w:rsid w:val="00A32DB1"/>
    <w:rsid w:val="00A331C9"/>
    <w:rsid w:val="00A338F1"/>
    <w:rsid w:val="00A35E11"/>
    <w:rsid w:val="00A36532"/>
    <w:rsid w:val="00A411C8"/>
    <w:rsid w:val="00A41207"/>
    <w:rsid w:val="00A44615"/>
    <w:rsid w:val="00A454CA"/>
    <w:rsid w:val="00A50044"/>
    <w:rsid w:val="00A512AC"/>
    <w:rsid w:val="00A530BE"/>
    <w:rsid w:val="00A5796A"/>
    <w:rsid w:val="00A651AA"/>
    <w:rsid w:val="00A66233"/>
    <w:rsid w:val="00A70E21"/>
    <w:rsid w:val="00A72DDB"/>
    <w:rsid w:val="00A72F22"/>
    <w:rsid w:val="00A7360F"/>
    <w:rsid w:val="00A748A6"/>
    <w:rsid w:val="00A748BB"/>
    <w:rsid w:val="00A75312"/>
    <w:rsid w:val="00A769F4"/>
    <w:rsid w:val="00A771E3"/>
    <w:rsid w:val="00A776B4"/>
    <w:rsid w:val="00A812C7"/>
    <w:rsid w:val="00A91E1A"/>
    <w:rsid w:val="00A94361"/>
    <w:rsid w:val="00A96469"/>
    <w:rsid w:val="00A9749B"/>
    <w:rsid w:val="00AA194C"/>
    <w:rsid w:val="00AA249C"/>
    <w:rsid w:val="00AA293C"/>
    <w:rsid w:val="00AB27DE"/>
    <w:rsid w:val="00AB6CC0"/>
    <w:rsid w:val="00AB6EDF"/>
    <w:rsid w:val="00AD3E1E"/>
    <w:rsid w:val="00AD5AD1"/>
    <w:rsid w:val="00AE397F"/>
    <w:rsid w:val="00AE66CC"/>
    <w:rsid w:val="00AE762A"/>
    <w:rsid w:val="00AF132F"/>
    <w:rsid w:val="00AF2E96"/>
    <w:rsid w:val="00AF3AAB"/>
    <w:rsid w:val="00AF3BFF"/>
    <w:rsid w:val="00B1321D"/>
    <w:rsid w:val="00B13E9B"/>
    <w:rsid w:val="00B16610"/>
    <w:rsid w:val="00B21FBC"/>
    <w:rsid w:val="00B26F19"/>
    <w:rsid w:val="00B27576"/>
    <w:rsid w:val="00B30179"/>
    <w:rsid w:val="00B339A7"/>
    <w:rsid w:val="00B37ECA"/>
    <w:rsid w:val="00B4001B"/>
    <w:rsid w:val="00B4096B"/>
    <w:rsid w:val="00B46089"/>
    <w:rsid w:val="00B511A2"/>
    <w:rsid w:val="00B520D8"/>
    <w:rsid w:val="00B56E4A"/>
    <w:rsid w:val="00B56E9C"/>
    <w:rsid w:val="00B62784"/>
    <w:rsid w:val="00B63A00"/>
    <w:rsid w:val="00B64B1F"/>
    <w:rsid w:val="00B64BEC"/>
    <w:rsid w:val="00B6553F"/>
    <w:rsid w:val="00B66E5E"/>
    <w:rsid w:val="00B77D05"/>
    <w:rsid w:val="00B81206"/>
    <w:rsid w:val="00B81E12"/>
    <w:rsid w:val="00B832DD"/>
    <w:rsid w:val="00B84801"/>
    <w:rsid w:val="00B85802"/>
    <w:rsid w:val="00B86399"/>
    <w:rsid w:val="00B9067B"/>
    <w:rsid w:val="00B91BB6"/>
    <w:rsid w:val="00B94C24"/>
    <w:rsid w:val="00BA07CE"/>
    <w:rsid w:val="00BA6A04"/>
    <w:rsid w:val="00BB08E6"/>
    <w:rsid w:val="00BB4C02"/>
    <w:rsid w:val="00BB7976"/>
    <w:rsid w:val="00BC2094"/>
    <w:rsid w:val="00BC2C23"/>
    <w:rsid w:val="00BC3B90"/>
    <w:rsid w:val="00BC74E9"/>
    <w:rsid w:val="00BC7D61"/>
    <w:rsid w:val="00BD5A19"/>
    <w:rsid w:val="00BD7119"/>
    <w:rsid w:val="00BE0F2E"/>
    <w:rsid w:val="00BE432C"/>
    <w:rsid w:val="00BE518F"/>
    <w:rsid w:val="00BE6668"/>
    <w:rsid w:val="00BF68A8"/>
    <w:rsid w:val="00C0654B"/>
    <w:rsid w:val="00C06E74"/>
    <w:rsid w:val="00C11A03"/>
    <w:rsid w:val="00C14A25"/>
    <w:rsid w:val="00C15D14"/>
    <w:rsid w:val="00C15E76"/>
    <w:rsid w:val="00C17102"/>
    <w:rsid w:val="00C21898"/>
    <w:rsid w:val="00C35582"/>
    <w:rsid w:val="00C375F5"/>
    <w:rsid w:val="00C41DF8"/>
    <w:rsid w:val="00C44731"/>
    <w:rsid w:val="00C463DD"/>
    <w:rsid w:val="00C4724C"/>
    <w:rsid w:val="00C528A2"/>
    <w:rsid w:val="00C54D17"/>
    <w:rsid w:val="00C629A0"/>
    <w:rsid w:val="00C73296"/>
    <w:rsid w:val="00C745C3"/>
    <w:rsid w:val="00C75A34"/>
    <w:rsid w:val="00C80DF8"/>
    <w:rsid w:val="00C81561"/>
    <w:rsid w:val="00C81EDD"/>
    <w:rsid w:val="00C85C50"/>
    <w:rsid w:val="00C878AA"/>
    <w:rsid w:val="00C94A26"/>
    <w:rsid w:val="00C95130"/>
    <w:rsid w:val="00CA6AAA"/>
    <w:rsid w:val="00CB36DB"/>
    <w:rsid w:val="00CB55A6"/>
    <w:rsid w:val="00CB6BC4"/>
    <w:rsid w:val="00CC2F9E"/>
    <w:rsid w:val="00CC316E"/>
    <w:rsid w:val="00CC5831"/>
    <w:rsid w:val="00CC6C6B"/>
    <w:rsid w:val="00CD656C"/>
    <w:rsid w:val="00CD725D"/>
    <w:rsid w:val="00CE2310"/>
    <w:rsid w:val="00CE3334"/>
    <w:rsid w:val="00CE3EC1"/>
    <w:rsid w:val="00CE4A8F"/>
    <w:rsid w:val="00CE675B"/>
    <w:rsid w:val="00CF13D2"/>
    <w:rsid w:val="00CF3C8E"/>
    <w:rsid w:val="00CF7402"/>
    <w:rsid w:val="00D0511F"/>
    <w:rsid w:val="00D11867"/>
    <w:rsid w:val="00D13023"/>
    <w:rsid w:val="00D131A6"/>
    <w:rsid w:val="00D20029"/>
    <w:rsid w:val="00D2031B"/>
    <w:rsid w:val="00D20C71"/>
    <w:rsid w:val="00D210C2"/>
    <w:rsid w:val="00D23787"/>
    <w:rsid w:val="00D25FE2"/>
    <w:rsid w:val="00D277AD"/>
    <w:rsid w:val="00D32D0E"/>
    <w:rsid w:val="00D43252"/>
    <w:rsid w:val="00D4474C"/>
    <w:rsid w:val="00D47EEA"/>
    <w:rsid w:val="00D5263E"/>
    <w:rsid w:val="00D53FAB"/>
    <w:rsid w:val="00D55ED1"/>
    <w:rsid w:val="00D608AC"/>
    <w:rsid w:val="00D62E58"/>
    <w:rsid w:val="00D65364"/>
    <w:rsid w:val="00D6745B"/>
    <w:rsid w:val="00D827F5"/>
    <w:rsid w:val="00D82F4D"/>
    <w:rsid w:val="00D84364"/>
    <w:rsid w:val="00D90193"/>
    <w:rsid w:val="00D93A79"/>
    <w:rsid w:val="00D95303"/>
    <w:rsid w:val="00D978C6"/>
    <w:rsid w:val="00DA28F2"/>
    <w:rsid w:val="00DA3111"/>
    <w:rsid w:val="00DA31DE"/>
    <w:rsid w:val="00DA3C1C"/>
    <w:rsid w:val="00DB0C79"/>
    <w:rsid w:val="00DB2999"/>
    <w:rsid w:val="00DB428C"/>
    <w:rsid w:val="00DC3E19"/>
    <w:rsid w:val="00DC445F"/>
    <w:rsid w:val="00DD509D"/>
    <w:rsid w:val="00DE1AE5"/>
    <w:rsid w:val="00DE3048"/>
    <w:rsid w:val="00DF3389"/>
    <w:rsid w:val="00DF63E8"/>
    <w:rsid w:val="00E00E0D"/>
    <w:rsid w:val="00E114A0"/>
    <w:rsid w:val="00E143CB"/>
    <w:rsid w:val="00E20A1F"/>
    <w:rsid w:val="00E27346"/>
    <w:rsid w:val="00E344BA"/>
    <w:rsid w:val="00E42FFD"/>
    <w:rsid w:val="00E44C1F"/>
    <w:rsid w:val="00E54C03"/>
    <w:rsid w:val="00E5678A"/>
    <w:rsid w:val="00E67707"/>
    <w:rsid w:val="00E71838"/>
    <w:rsid w:val="00E71BC8"/>
    <w:rsid w:val="00E7260F"/>
    <w:rsid w:val="00E76910"/>
    <w:rsid w:val="00E779FC"/>
    <w:rsid w:val="00E822F1"/>
    <w:rsid w:val="00E90740"/>
    <w:rsid w:val="00E96630"/>
    <w:rsid w:val="00EA684B"/>
    <w:rsid w:val="00EB0913"/>
    <w:rsid w:val="00EB1D38"/>
    <w:rsid w:val="00EB2581"/>
    <w:rsid w:val="00EB4A6F"/>
    <w:rsid w:val="00EC3B1F"/>
    <w:rsid w:val="00EC4DBA"/>
    <w:rsid w:val="00ED5FE7"/>
    <w:rsid w:val="00ED6B96"/>
    <w:rsid w:val="00ED7215"/>
    <w:rsid w:val="00ED7A2A"/>
    <w:rsid w:val="00EE1D5B"/>
    <w:rsid w:val="00EE206C"/>
    <w:rsid w:val="00EE5772"/>
    <w:rsid w:val="00EF08D3"/>
    <w:rsid w:val="00EF09F7"/>
    <w:rsid w:val="00EF1CB5"/>
    <w:rsid w:val="00EF1D7F"/>
    <w:rsid w:val="00F02C62"/>
    <w:rsid w:val="00F113D2"/>
    <w:rsid w:val="00F1377E"/>
    <w:rsid w:val="00F2035D"/>
    <w:rsid w:val="00F20C3D"/>
    <w:rsid w:val="00F35BC0"/>
    <w:rsid w:val="00F37055"/>
    <w:rsid w:val="00F43E9E"/>
    <w:rsid w:val="00F454D0"/>
    <w:rsid w:val="00F45FBB"/>
    <w:rsid w:val="00F5213D"/>
    <w:rsid w:val="00F5297E"/>
    <w:rsid w:val="00F57493"/>
    <w:rsid w:val="00F64CEC"/>
    <w:rsid w:val="00F71EDF"/>
    <w:rsid w:val="00F74143"/>
    <w:rsid w:val="00F7669D"/>
    <w:rsid w:val="00F82CDC"/>
    <w:rsid w:val="00F86FD2"/>
    <w:rsid w:val="00F9057C"/>
    <w:rsid w:val="00F906D7"/>
    <w:rsid w:val="00F93781"/>
    <w:rsid w:val="00F948A8"/>
    <w:rsid w:val="00F96226"/>
    <w:rsid w:val="00F96DFA"/>
    <w:rsid w:val="00FB13C3"/>
    <w:rsid w:val="00FB5A63"/>
    <w:rsid w:val="00FB613B"/>
    <w:rsid w:val="00FC68B7"/>
    <w:rsid w:val="00FC6906"/>
    <w:rsid w:val="00FD25C2"/>
    <w:rsid w:val="00FD3B53"/>
    <w:rsid w:val="00FE0BDB"/>
    <w:rsid w:val="00FE106A"/>
    <w:rsid w:val="00FE1379"/>
    <w:rsid w:val="00FE254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16577871-B49F-4833-942D-3ECD47B4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link w:val="Heading3Char"/>
    <w:qFormat/>
    <w:rsid w:val="000272B3"/>
    <w:pPr>
      <w:spacing w:line="240" w:lineRule="auto"/>
      <w:outlineLvl w:val="2"/>
    </w:pPr>
  </w:style>
  <w:style w:type="paragraph" w:styleId="Heading4">
    <w:name w:val="heading 4"/>
    <w:basedOn w:val="Normal"/>
    <w:next w:val="Normal"/>
    <w:link w:val="Heading4Char"/>
    <w:qFormat/>
    <w:rsid w:val="000272B3"/>
    <w:pPr>
      <w:spacing w:line="240" w:lineRule="auto"/>
      <w:outlineLvl w:val="3"/>
    </w:pPr>
  </w:style>
  <w:style w:type="paragraph" w:styleId="Heading5">
    <w:name w:val="heading 5"/>
    <w:basedOn w:val="Normal"/>
    <w:next w:val="Normal"/>
    <w:link w:val="Heading5Char"/>
    <w:qFormat/>
    <w:rsid w:val="000272B3"/>
    <w:pPr>
      <w:spacing w:line="240" w:lineRule="auto"/>
      <w:outlineLvl w:val="4"/>
    </w:pPr>
  </w:style>
  <w:style w:type="paragraph" w:styleId="Heading6">
    <w:name w:val="heading 6"/>
    <w:basedOn w:val="Normal"/>
    <w:next w:val="Normal"/>
    <w:link w:val="Heading6Char"/>
    <w:qFormat/>
    <w:rsid w:val="000272B3"/>
    <w:pPr>
      <w:spacing w:line="240" w:lineRule="auto"/>
      <w:outlineLvl w:val="5"/>
    </w:pPr>
  </w:style>
  <w:style w:type="paragraph" w:styleId="Heading7">
    <w:name w:val="heading 7"/>
    <w:basedOn w:val="Normal"/>
    <w:next w:val="Normal"/>
    <w:link w:val="Heading7Char"/>
    <w:qFormat/>
    <w:rsid w:val="000272B3"/>
    <w:pPr>
      <w:spacing w:line="240" w:lineRule="auto"/>
      <w:outlineLvl w:val="6"/>
    </w:pPr>
  </w:style>
  <w:style w:type="paragraph" w:styleId="Heading8">
    <w:name w:val="heading 8"/>
    <w:basedOn w:val="Normal"/>
    <w:next w:val="Normal"/>
    <w:link w:val="Heading8Char"/>
    <w:qFormat/>
    <w:rsid w:val="000272B3"/>
    <w:pPr>
      <w:spacing w:line="240" w:lineRule="auto"/>
      <w:outlineLvl w:val="7"/>
    </w:pPr>
  </w:style>
  <w:style w:type="paragraph" w:styleId="Heading9">
    <w:name w:val="heading 9"/>
    <w:basedOn w:val="Normal"/>
    <w:next w:val="Normal"/>
    <w:link w:val="Heading9Char"/>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character" w:customStyle="1" w:styleId="SingleTxtGChar">
    <w:name w:val="_ Single Txt_G Char"/>
    <w:link w:val="SingleTxtG"/>
    <w:locked/>
    <w:rsid w:val="0041431D"/>
    <w:rPr>
      <w:lang w:val="en-GB" w:eastAsia="en-US" w:bidi="ar-SA"/>
    </w:rPr>
  </w:style>
  <w:style w:type="character" w:customStyle="1" w:styleId="Heading1Char">
    <w:name w:val="Heading 1 Char"/>
    <w:aliases w:val="Table_G Char"/>
    <w:link w:val="Heading1"/>
    <w:locked/>
    <w:rsid w:val="0041431D"/>
    <w:rPr>
      <w:lang w:val="en-GB" w:eastAsia="en-US" w:bidi="ar-SA"/>
    </w:rPr>
  </w:style>
  <w:style w:type="character" w:customStyle="1" w:styleId="Heading2Char">
    <w:name w:val="Heading 2 Char"/>
    <w:link w:val="Heading2"/>
    <w:locked/>
    <w:rsid w:val="0041431D"/>
    <w:rPr>
      <w:lang w:val="en-GB" w:eastAsia="en-US" w:bidi="ar-SA"/>
    </w:rPr>
  </w:style>
  <w:style w:type="character" w:customStyle="1" w:styleId="Heading3Char">
    <w:name w:val="Heading 3 Char"/>
    <w:link w:val="Heading3"/>
    <w:locked/>
    <w:rsid w:val="0041431D"/>
    <w:rPr>
      <w:lang w:val="en-GB" w:eastAsia="en-US" w:bidi="ar-SA"/>
    </w:rPr>
  </w:style>
  <w:style w:type="character" w:customStyle="1" w:styleId="Heading4Char">
    <w:name w:val="Heading 4 Char"/>
    <w:link w:val="Heading4"/>
    <w:locked/>
    <w:rsid w:val="0041431D"/>
    <w:rPr>
      <w:lang w:val="en-GB" w:eastAsia="en-US" w:bidi="ar-SA"/>
    </w:rPr>
  </w:style>
  <w:style w:type="character" w:customStyle="1" w:styleId="Heading5Char">
    <w:name w:val="Heading 5 Char"/>
    <w:link w:val="Heading5"/>
    <w:locked/>
    <w:rsid w:val="0041431D"/>
    <w:rPr>
      <w:lang w:val="en-GB" w:eastAsia="en-US" w:bidi="ar-SA"/>
    </w:rPr>
  </w:style>
  <w:style w:type="character" w:customStyle="1" w:styleId="Heading6Char">
    <w:name w:val="Heading 6 Char"/>
    <w:link w:val="Heading6"/>
    <w:locked/>
    <w:rsid w:val="0041431D"/>
    <w:rPr>
      <w:lang w:val="en-GB" w:eastAsia="en-US" w:bidi="ar-SA"/>
    </w:rPr>
  </w:style>
  <w:style w:type="character" w:customStyle="1" w:styleId="Heading7Char">
    <w:name w:val="Heading 7 Char"/>
    <w:link w:val="Heading7"/>
    <w:locked/>
    <w:rsid w:val="0041431D"/>
    <w:rPr>
      <w:lang w:val="en-GB" w:eastAsia="en-US" w:bidi="ar-SA"/>
    </w:rPr>
  </w:style>
  <w:style w:type="character" w:customStyle="1" w:styleId="Heading8Char">
    <w:name w:val="Heading 8 Char"/>
    <w:link w:val="Heading8"/>
    <w:locked/>
    <w:rsid w:val="0041431D"/>
    <w:rPr>
      <w:lang w:val="en-GB" w:eastAsia="en-US" w:bidi="ar-SA"/>
    </w:rPr>
  </w:style>
  <w:style w:type="character" w:customStyle="1" w:styleId="Heading9Char">
    <w:name w:val="Heading 9 Char"/>
    <w:link w:val="Heading9"/>
    <w:locked/>
    <w:rsid w:val="0041431D"/>
    <w:rPr>
      <w:lang w:val="en-GB" w:eastAsia="en-US" w:bidi="ar-SA"/>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character" w:customStyle="1" w:styleId="HeaderChar">
    <w:name w:val="Header Char"/>
    <w:aliases w:val="6_G Char"/>
    <w:link w:val="Header"/>
    <w:locked/>
    <w:rsid w:val="0041431D"/>
    <w:rPr>
      <w:b/>
      <w:sz w:val="18"/>
      <w:lang w:val="en-GB" w:eastAsia="en-US" w:bidi="ar-SA"/>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41431D"/>
    <w:rPr>
      <w:sz w:val="18"/>
      <w:lang w:val="en-GB" w:eastAsia="en-US" w:bidi="ar-SA"/>
    </w:rPr>
  </w:style>
  <w:style w:type="paragraph" w:styleId="EndnoteText">
    <w:name w:val="endnote text"/>
    <w:aliases w:val="2_G"/>
    <w:basedOn w:val="FootnoteText"/>
    <w:link w:val="EndnoteTextChar"/>
    <w:rsid w:val="000272B3"/>
  </w:style>
  <w:style w:type="character" w:customStyle="1" w:styleId="EndnoteTextChar">
    <w:name w:val="Endnote Text Char"/>
    <w:aliases w:val="2_G Char"/>
    <w:link w:val="EndnoteText"/>
    <w:locked/>
    <w:rsid w:val="0041431D"/>
    <w:rPr>
      <w:sz w:val="18"/>
      <w:lang w:val="en-GB" w:eastAsia="en-US" w:bidi="ar-SA"/>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character" w:customStyle="1" w:styleId="FooterChar">
    <w:name w:val="Footer Char"/>
    <w:aliases w:val="3_G Char"/>
    <w:link w:val="Footer"/>
    <w:locked/>
    <w:rsid w:val="0041431D"/>
    <w:rPr>
      <w:sz w:val="16"/>
      <w:lang w:val="en-GB" w:eastAsia="en-US" w:bidi="ar-SA"/>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NormalWeb">
    <w:name w:val="Normal (Web)"/>
    <w:basedOn w:val="Normal"/>
    <w:uiPriority w:val="99"/>
    <w:rsid w:val="0041431D"/>
    <w:pPr>
      <w:suppressAutoHyphens w:val="0"/>
      <w:spacing w:before="100" w:beforeAutospacing="1" w:after="100" w:afterAutospacing="1" w:line="240" w:lineRule="auto"/>
    </w:pPr>
    <w:rPr>
      <w:rFonts w:eastAsia="SimSun"/>
      <w:sz w:val="24"/>
      <w:szCs w:val="24"/>
      <w:lang w:val="ru-RU" w:eastAsia="zh-CN"/>
    </w:rPr>
  </w:style>
  <w:style w:type="paragraph" w:styleId="BalloonText">
    <w:name w:val="Balloon Text"/>
    <w:basedOn w:val="Normal"/>
    <w:link w:val="BalloonTextChar"/>
    <w:semiHidden/>
    <w:rsid w:val="0041431D"/>
    <w:pPr>
      <w:spacing w:line="240" w:lineRule="auto"/>
    </w:pPr>
    <w:rPr>
      <w:rFonts w:ascii="Tahoma" w:eastAsia="MS Mincho" w:hAnsi="Tahoma" w:cs="Tahoma"/>
      <w:sz w:val="16"/>
      <w:szCs w:val="16"/>
    </w:rPr>
  </w:style>
  <w:style w:type="character" w:customStyle="1" w:styleId="BalloonTextChar">
    <w:name w:val="Balloon Text Char"/>
    <w:link w:val="BalloonText"/>
    <w:locked/>
    <w:rsid w:val="0041431D"/>
    <w:rPr>
      <w:rFonts w:ascii="Tahoma" w:eastAsia="MS Mincho" w:hAnsi="Tahoma" w:cs="Tahoma"/>
      <w:sz w:val="16"/>
      <w:szCs w:val="16"/>
      <w:lang w:val="en-GB" w:eastAsia="en-US" w:bidi="ar-SA"/>
    </w:rPr>
  </w:style>
  <w:style w:type="paragraph" w:styleId="BodyText2">
    <w:name w:val="Body Text 2"/>
    <w:basedOn w:val="Normal"/>
    <w:link w:val="BodyText2Char"/>
    <w:rsid w:val="0041431D"/>
    <w:pPr>
      <w:suppressAutoHyphens w:val="0"/>
      <w:spacing w:line="240" w:lineRule="auto"/>
      <w:jc w:val="both"/>
    </w:pPr>
    <w:rPr>
      <w:rFonts w:eastAsia="MS Mincho"/>
      <w:sz w:val="24"/>
      <w:szCs w:val="24"/>
      <w:lang w:val="en-US"/>
    </w:rPr>
  </w:style>
  <w:style w:type="character" w:customStyle="1" w:styleId="BodyText2Char">
    <w:name w:val="Body Text 2 Char"/>
    <w:link w:val="BodyText2"/>
    <w:locked/>
    <w:rsid w:val="0041431D"/>
    <w:rPr>
      <w:rFonts w:eastAsia="MS Mincho"/>
      <w:sz w:val="24"/>
      <w:szCs w:val="24"/>
      <w:lang w:val="en-US" w:eastAsia="en-US" w:bidi="ar-SA"/>
    </w:rPr>
  </w:style>
  <w:style w:type="paragraph" w:styleId="CommentText">
    <w:name w:val="annotation text"/>
    <w:basedOn w:val="Normal"/>
    <w:link w:val="CommentTextChar"/>
    <w:semiHidden/>
    <w:rsid w:val="0041431D"/>
    <w:rPr>
      <w:rFonts w:eastAsia="MS Mincho"/>
    </w:rPr>
  </w:style>
  <w:style w:type="character" w:customStyle="1" w:styleId="CommentTextChar">
    <w:name w:val="Comment Text Char"/>
    <w:link w:val="CommentText"/>
    <w:semiHidden/>
    <w:locked/>
    <w:rsid w:val="0041431D"/>
    <w:rPr>
      <w:rFonts w:eastAsia="MS Mincho"/>
      <w:lang w:val="en-GB" w:eastAsia="en-US" w:bidi="ar-SA"/>
    </w:rPr>
  </w:style>
  <w:style w:type="paragraph" w:styleId="CommentSubject">
    <w:name w:val="annotation subject"/>
    <w:basedOn w:val="CommentText"/>
    <w:next w:val="CommentText"/>
    <w:link w:val="CommentSubjectChar"/>
    <w:semiHidden/>
    <w:rsid w:val="0041431D"/>
    <w:rPr>
      <w:b/>
      <w:bCs/>
    </w:rPr>
  </w:style>
  <w:style w:type="character" w:customStyle="1" w:styleId="CommentSubjectChar">
    <w:name w:val="Comment Subject Char"/>
    <w:link w:val="CommentSubject"/>
    <w:semiHidden/>
    <w:locked/>
    <w:rsid w:val="0041431D"/>
    <w:rPr>
      <w:rFonts w:eastAsia="MS Mincho"/>
      <w:b/>
      <w:bCs/>
      <w:lang w:val="en-GB" w:eastAsia="en-US" w:bidi="ar-SA"/>
    </w:rPr>
  </w:style>
  <w:style w:type="character" w:styleId="CommentReference">
    <w:name w:val="annotation reference"/>
    <w:rsid w:val="003002C1"/>
    <w:rPr>
      <w:sz w:val="16"/>
      <w:szCs w:val="16"/>
    </w:rPr>
  </w:style>
  <w:style w:type="paragraph" w:styleId="Revision">
    <w:name w:val="Revision"/>
    <w:hidden/>
    <w:uiPriority w:val="99"/>
    <w:semiHidden/>
    <w:rsid w:val="006A75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4727">
      <w:bodyDiv w:val="1"/>
      <w:marLeft w:val="0"/>
      <w:marRight w:val="0"/>
      <w:marTop w:val="0"/>
      <w:marBottom w:val="0"/>
      <w:divBdr>
        <w:top w:val="none" w:sz="0" w:space="0" w:color="auto"/>
        <w:left w:val="none" w:sz="0" w:space="0" w:color="auto"/>
        <w:bottom w:val="none" w:sz="0" w:space="0" w:color="auto"/>
        <w:right w:val="none" w:sz="0" w:space="0" w:color="auto"/>
      </w:divBdr>
    </w:div>
    <w:div w:id="72364299">
      <w:bodyDiv w:val="1"/>
      <w:marLeft w:val="0"/>
      <w:marRight w:val="0"/>
      <w:marTop w:val="0"/>
      <w:marBottom w:val="0"/>
      <w:divBdr>
        <w:top w:val="none" w:sz="0" w:space="0" w:color="auto"/>
        <w:left w:val="none" w:sz="0" w:space="0" w:color="auto"/>
        <w:bottom w:val="none" w:sz="0" w:space="0" w:color="auto"/>
        <w:right w:val="none" w:sz="0" w:space="0" w:color="auto"/>
      </w:divBdr>
    </w:div>
    <w:div w:id="713240263">
      <w:bodyDiv w:val="1"/>
      <w:marLeft w:val="0"/>
      <w:marRight w:val="0"/>
      <w:marTop w:val="0"/>
      <w:marBottom w:val="0"/>
      <w:divBdr>
        <w:top w:val="none" w:sz="0" w:space="0" w:color="auto"/>
        <w:left w:val="none" w:sz="0" w:space="0" w:color="auto"/>
        <w:bottom w:val="none" w:sz="0" w:space="0" w:color="auto"/>
        <w:right w:val="none" w:sz="0" w:space="0" w:color="auto"/>
      </w:divBdr>
    </w:div>
    <w:div w:id="857542532">
      <w:bodyDiv w:val="1"/>
      <w:marLeft w:val="0"/>
      <w:marRight w:val="0"/>
      <w:marTop w:val="0"/>
      <w:marBottom w:val="0"/>
      <w:divBdr>
        <w:top w:val="none" w:sz="0" w:space="0" w:color="auto"/>
        <w:left w:val="none" w:sz="0" w:space="0" w:color="auto"/>
        <w:bottom w:val="none" w:sz="0" w:space="0" w:color="auto"/>
        <w:right w:val="none" w:sz="0" w:space="0" w:color="auto"/>
      </w:divBdr>
    </w:div>
    <w:div w:id="1166824253">
      <w:bodyDiv w:val="1"/>
      <w:marLeft w:val="0"/>
      <w:marRight w:val="0"/>
      <w:marTop w:val="0"/>
      <w:marBottom w:val="0"/>
      <w:divBdr>
        <w:top w:val="none" w:sz="0" w:space="0" w:color="auto"/>
        <w:left w:val="none" w:sz="0" w:space="0" w:color="auto"/>
        <w:bottom w:val="none" w:sz="0" w:space="0" w:color="auto"/>
        <w:right w:val="none" w:sz="0" w:space="0" w:color="auto"/>
      </w:divBdr>
    </w:div>
    <w:div w:id="1341816690">
      <w:bodyDiv w:val="1"/>
      <w:marLeft w:val="0"/>
      <w:marRight w:val="0"/>
      <w:marTop w:val="0"/>
      <w:marBottom w:val="0"/>
      <w:divBdr>
        <w:top w:val="none" w:sz="0" w:space="0" w:color="auto"/>
        <w:left w:val="none" w:sz="0" w:space="0" w:color="auto"/>
        <w:bottom w:val="none" w:sz="0" w:space="0" w:color="auto"/>
        <w:right w:val="none" w:sz="0" w:space="0" w:color="auto"/>
      </w:divBdr>
    </w:div>
    <w:div w:id="1582830920">
      <w:bodyDiv w:val="1"/>
      <w:marLeft w:val="0"/>
      <w:marRight w:val="0"/>
      <w:marTop w:val="0"/>
      <w:marBottom w:val="0"/>
      <w:divBdr>
        <w:top w:val="none" w:sz="0" w:space="0" w:color="auto"/>
        <w:left w:val="none" w:sz="0" w:space="0" w:color="auto"/>
        <w:bottom w:val="none" w:sz="0" w:space="0" w:color="auto"/>
        <w:right w:val="none" w:sz="0" w:space="0" w:color="auto"/>
      </w:divBdr>
    </w:div>
    <w:div w:id="1904634103">
      <w:bodyDiv w:val="1"/>
      <w:marLeft w:val="0"/>
      <w:marRight w:val="0"/>
      <w:marTop w:val="0"/>
      <w:marBottom w:val="0"/>
      <w:divBdr>
        <w:top w:val="none" w:sz="0" w:space="0" w:color="auto"/>
        <w:left w:val="none" w:sz="0" w:space="0" w:color="auto"/>
        <w:bottom w:val="none" w:sz="0" w:space="0" w:color="auto"/>
        <w:right w:val="none" w:sz="0" w:space="0" w:color="auto"/>
      </w:divBdr>
      <w:divsChild>
        <w:div w:id="1780371184">
          <w:marLeft w:val="0"/>
          <w:marRight w:val="0"/>
          <w:marTop w:val="0"/>
          <w:marBottom w:val="0"/>
          <w:divBdr>
            <w:top w:val="none" w:sz="0" w:space="0" w:color="auto"/>
            <w:left w:val="none" w:sz="0" w:space="0" w:color="auto"/>
            <w:bottom w:val="none" w:sz="0" w:space="0" w:color="auto"/>
            <w:right w:val="none" w:sz="0" w:space="0" w:color="auto"/>
          </w:divBdr>
          <w:divsChild>
            <w:div w:id="1569415401">
              <w:marLeft w:val="0"/>
              <w:marRight w:val="0"/>
              <w:marTop w:val="0"/>
              <w:marBottom w:val="0"/>
              <w:divBdr>
                <w:top w:val="none" w:sz="0" w:space="0" w:color="auto"/>
                <w:left w:val="none" w:sz="0" w:space="0" w:color="auto"/>
                <w:bottom w:val="none" w:sz="0" w:space="0" w:color="auto"/>
                <w:right w:val="none" w:sz="0" w:space="0" w:color="auto"/>
              </w:divBdr>
              <w:divsChild>
                <w:div w:id="1200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7147">
      <w:bodyDiv w:val="1"/>
      <w:marLeft w:val="0"/>
      <w:marRight w:val="0"/>
      <w:marTop w:val="0"/>
      <w:marBottom w:val="0"/>
      <w:divBdr>
        <w:top w:val="none" w:sz="0" w:space="0" w:color="auto"/>
        <w:left w:val="none" w:sz="0" w:space="0" w:color="auto"/>
        <w:bottom w:val="none" w:sz="0" w:space="0" w:color="auto"/>
        <w:right w:val="none" w:sz="0" w:space="0" w:color="auto"/>
      </w:divBdr>
    </w:div>
    <w:div w:id="21254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hrichi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24953</CharactersWithSpaces>
  <SharedDoc>false</SharedDoc>
  <HLinks>
    <vt:vector size="6" baseType="variant">
      <vt:variant>
        <vt:i4>6225985</vt:i4>
      </vt:variant>
      <vt:variant>
        <vt:i4>0</vt:i4>
      </vt:variant>
      <vt:variant>
        <vt:i4>0</vt:i4>
      </vt:variant>
      <vt:variant>
        <vt:i4>5</vt:i4>
      </vt:variant>
      <vt:variant>
        <vt:lpwstr>http://www.hrichina.org/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2013-05-14T10:44:00Z</cp:lastPrinted>
  <dcterms:created xsi:type="dcterms:W3CDTF">2017-04-05T21:15:00Z</dcterms:created>
  <dcterms:modified xsi:type="dcterms:W3CDTF">2017-04-05T21:15:00Z</dcterms:modified>
</cp:coreProperties>
</file>