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C69EC" w:rsidRPr="000632DE">
        <w:trPr>
          <w:cantSplit/>
          <w:trHeight w:hRule="exact" w:val="851"/>
        </w:trPr>
        <w:tc>
          <w:tcPr>
            <w:tcW w:w="1276" w:type="dxa"/>
            <w:tcBorders>
              <w:bottom w:val="single" w:sz="4" w:space="0" w:color="auto"/>
            </w:tcBorders>
            <w:vAlign w:val="bottom"/>
          </w:tcPr>
          <w:p w:rsidR="00BC69EC" w:rsidRDefault="00BC69EC" w:rsidP="00BC69EC">
            <w:pPr>
              <w:spacing w:after="80"/>
            </w:pPr>
            <w:bookmarkStart w:id="0" w:name="_GoBack"/>
            <w:bookmarkEnd w:id="0"/>
          </w:p>
        </w:tc>
        <w:tc>
          <w:tcPr>
            <w:tcW w:w="2268" w:type="dxa"/>
            <w:tcBorders>
              <w:bottom w:val="single" w:sz="4" w:space="0" w:color="auto"/>
            </w:tcBorders>
            <w:vAlign w:val="bottom"/>
          </w:tcPr>
          <w:p w:rsidR="00BC69EC" w:rsidRPr="000632DE" w:rsidRDefault="00BC69EC" w:rsidP="00BC69EC">
            <w:pPr>
              <w:spacing w:after="80" w:line="300" w:lineRule="exact"/>
              <w:rPr>
                <w:b/>
                <w:sz w:val="24"/>
                <w:szCs w:val="24"/>
              </w:rPr>
            </w:pPr>
            <w:r w:rsidRPr="000632DE">
              <w:rPr>
                <w:sz w:val="28"/>
                <w:szCs w:val="28"/>
              </w:rPr>
              <w:t>United Nations</w:t>
            </w:r>
          </w:p>
        </w:tc>
        <w:tc>
          <w:tcPr>
            <w:tcW w:w="6095" w:type="dxa"/>
            <w:gridSpan w:val="2"/>
            <w:tcBorders>
              <w:bottom w:val="single" w:sz="4" w:space="0" w:color="auto"/>
            </w:tcBorders>
            <w:vAlign w:val="bottom"/>
          </w:tcPr>
          <w:p w:rsidR="00BC69EC" w:rsidRPr="000632DE" w:rsidRDefault="00BC69EC" w:rsidP="00BC69EC">
            <w:pPr>
              <w:jc w:val="right"/>
            </w:pPr>
            <w:r w:rsidRPr="000632DE">
              <w:rPr>
                <w:sz w:val="40"/>
              </w:rPr>
              <w:t>CCPR</w:t>
            </w:r>
            <w:r w:rsidRPr="000632DE">
              <w:t>/C/109/D/1</w:t>
            </w:r>
            <w:r>
              <w:t>839</w:t>
            </w:r>
            <w:r w:rsidRPr="000632DE">
              <w:t>/2008</w:t>
            </w:r>
          </w:p>
        </w:tc>
      </w:tr>
      <w:tr w:rsidR="00BC69EC" w:rsidRPr="000632DE">
        <w:trPr>
          <w:cantSplit/>
          <w:trHeight w:hRule="exact" w:val="2835"/>
        </w:trPr>
        <w:tc>
          <w:tcPr>
            <w:tcW w:w="1276" w:type="dxa"/>
            <w:tcBorders>
              <w:top w:val="single" w:sz="4" w:space="0" w:color="auto"/>
              <w:bottom w:val="single" w:sz="12" w:space="0" w:color="auto"/>
            </w:tcBorders>
          </w:tcPr>
          <w:p w:rsidR="00BC69EC" w:rsidRPr="000632DE" w:rsidRDefault="00315EA3" w:rsidP="00BC69EC">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C69EC" w:rsidRPr="00907EC6" w:rsidRDefault="00BC69EC" w:rsidP="00BC69EC">
            <w:pPr>
              <w:spacing w:before="120" w:line="380" w:lineRule="exact"/>
              <w:rPr>
                <w:sz w:val="34"/>
              </w:rPr>
            </w:pPr>
            <w:r w:rsidRPr="00907EC6">
              <w:rPr>
                <w:b/>
                <w:sz w:val="34"/>
                <w:szCs w:val="40"/>
              </w:rPr>
              <w:t>International Covenant on</w:t>
            </w:r>
            <w:r w:rsidRPr="00907EC6">
              <w:rPr>
                <w:b/>
                <w:sz w:val="34"/>
                <w:szCs w:val="40"/>
              </w:rPr>
              <w:br/>
              <w:t>Civil and Political Rights</w:t>
            </w:r>
          </w:p>
        </w:tc>
        <w:tc>
          <w:tcPr>
            <w:tcW w:w="2835" w:type="dxa"/>
            <w:tcBorders>
              <w:top w:val="single" w:sz="4" w:space="0" w:color="auto"/>
              <w:bottom w:val="single" w:sz="12" w:space="0" w:color="auto"/>
            </w:tcBorders>
          </w:tcPr>
          <w:p w:rsidR="00BC69EC" w:rsidRPr="00907EC6" w:rsidRDefault="00BC69EC" w:rsidP="00BC69EC">
            <w:pPr>
              <w:spacing w:before="240" w:line="240" w:lineRule="exact"/>
            </w:pPr>
            <w:r w:rsidRPr="00907EC6">
              <w:t>Distr.: General</w:t>
            </w:r>
          </w:p>
          <w:p w:rsidR="00BC69EC" w:rsidRPr="00907EC6" w:rsidRDefault="00057717" w:rsidP="00BC69EC">
            <w:pPr>
              <w:spacing w:line="240" w:lineRule="exact"/>
            </w:pPr>
            <w:r>
              <w:t>4 February</w:t>
            </w:r>
            <w:r w:rsidR="00BC69EC" w:rsidRPr="00297301">
              <w:t xml:space="preserve"> 2014</w:t>
            </w:r>
          </w:p>
          <w:p w:rsidR="00BC69EC" w:rsidRPr="00907EC6" w:rsidRDefault="00BC69EC" w:rsidP="00BC69EC">
            <w:pPr>
              <w:spacing w:line="240" w:lineRule="exact"/>
            </w:pPr>
          </w:p>
          <w:p w:rsidR="00BC69EC" w:rsidRPr="00907EC6" w:rsidRDefault="00BC69EC" w:rsidP="00BC69EC">
            <w:pPr>
              <w:spacing w:line="240" w:lineRule="exact"/>
            </w:pPr>
            <w:r w:rsidRPr="00907EC6">
              <w:t>Original: English</w:t>
            </w:r>
          </w:p>
          <w:p w:rsidR="00BC69EC" w:rsidRPr="00907EC6" w:rsidRDefault="00BC69EC" w:rsidP="00BC69EC">
            <w:pPr>
              <w:spacing w:line="240" w:lineRule="exact"/>
            </w:pPr>
          </w:p>
          <w:p w:rsidR="00BC69EC" w:rsidRPr="00907EC6" w:rsidRDefault="00BC69EC" w:rsidP="00BC69EC">
            <w:pPr>
              <w:spacing w:line="240" w:lineRule="exact"/>
              <w:rPr>
                <w:b/>
              </w:rPr>
            </w:pPr>
          </w:p>
        </w:tc>
      </w:tr>
    </w:tbl>
    <w:p w:rsidR="00BC69EC" w:rsidRPr="000632DE" w:rsidRDefault="00BC69EC" w:rsidP="00BC69EC">
      <w:pPr>
        <w:spacing w:before="120"/>
        <w:rPr>
          <w:b/>
          <w:sz w:val="24"/>
          <w:szCs w:val="24"/>
          <w:lang w:val="en-US"/>
        </w:rPr>
      </w:pPr>
      <w:r w:rsidRPr="000632DE">
        <w:rPr>
          <w:b/>
          <w:sz w:val="24"/>
          <w:szCs w:val="24"/>
          <w:lang w:val="en-US"/>
        </w:rPr>
        <w:t>Human Rights Committee</w:t>
      </w:r>
    </w:p>
    <w:p w:rsidR="00BC69EC" w:rsidRPr="00AB38BE" w:rsidRDefault="00BC69EC" w:rsidP="00BC69EC">
      <w:pPr>
        <w:pStyle w:val="HChG"/>
      </w:pPr>
      <w:r w:rsidRPr="00AB38BE">
        <w:tab/>
      </w:r>
      <w:r w:rsidRPr="00AB38BE">
        <w:tab/>
        <w:t>Communication No. 1839/2008</w:t>
      </w:r>
    </w:p>
    <w:p w:rsidR="00BC69EC" w:rsidRPr="00AB38BE" w:rsidRDefault="00BC69EC" w:rsidP="00BC69EC">
      <w:pPr>
        <w:pStyle w:val="H1G"/>
      </w:pPr>
      <w:r w:rsidRPr="00AB38BE">
        <w:tab/>
      </w:r>
      <w:r w:rsidRPr="00AB38BE">
        <w:tab/>
      </w:r>
      <w:r>
        <w:t xml:space="preserve">Views adopted by the Committee at its 109th session </w:t>
      </w:r>
      <w:r>
        <w:br/>
        <w:t>(14 October–1 November 2013)</w:t>
      </w:r>
    </w:p>
    <w:p w:rsidR="00BC69EC" w:rsidRPr="00AB38BE" w:rsidRDefault="00BC69EC" w:rsidP="00BC69EC">
      <w:pPr>
        <w:pStyle w:val="SingleTxtG"/>
        <w:ind w:left="4536" w:hanging="3402"/>
      </w:pPr>
      <w:r w:rsidRPr="00AB38BE">
        <w:rPr>
          <w:i/>
        </w:rPr>
        <w:t>Submitted by:</w:t>
      </w:r>
      <w:r w:rsidRPr="00AB38BE">
        <w:tab/>
        <w:t>Aleksandr Komarovsky (not represented by counsel)</w:t>
      </w:r>
    </w:p>
    <w:p w:rsidR="00BC69EC" w:rsidRPr="00AB38BE" w:rsidRDefault="00BC69EC" w:rsidP="00BC69EC">
      <w:pPr>
        <w:pStyle w:val="SingleTxtG"/>
        <w:ind w:left="4536" w:hanging="3402"/>
      </w:pPr>
      <w:r w:rsidRPr="00AB38BE">
        <w:rPr>
          <w:i/>
        </w:rPr>
        <w:t>Alleged victim:</w:t>
      </w:r>
      <w:r w:rsidRPr="00AB38BE">
        <w:tab/>
        <w:t>The author</w:t>
      </w:r>
    </w:p>
    <w:p w:rsidR="00BC69EC" w:rsidRPr="00AB38BE" w:rsidRDefault="00BC69EC" w:rsidP="00BC69EC">
      <w:pPr>
        <w:pStyle w:val="SingleTxtG"/>
        <w:ind w:left="4536" w:hanging="3402"/>
      </w:pPr>
      <w:r w:rsidRPr="00AB38BE">
        <w:rPr>
          <w:i/>
        </w:rPr>
        <w:t>State party:</w:t>
      </w:r>
      <w:r w:rsidRPr="00AB38BE">
        <w:tab/>
      </w:r>
      <w:smartTag w:uri="urn:schemas-microsoft-com:office:smarttags" w:element="country-region">
        <w:smartTag w:uri="urn:schemas-microsoft-com:office:smarttags" w:element="place">
          <w:r w:rsidRPr="00AB38BE">
            <w:t>Belarus</w:t>
          </w:r>
        </w:smartTag>
      </w:smartTag>
    </w:p>
    <w:p w:rsidR="00BC69EC" w:rsidRPr="00AB38BE" w:rsidRDefault="00BC69EC" w:rsidP="00BC69EC">
      <w:pPr>
        <w:pStyle w:val="SingleTxtG"/>
        <w:ind w:left="4536" w:hanging="3402"/>
      </w:pPr>
      <w:r w:rsidRPr="00AB38BE">
        <w:rPr>
          <w:i/>
        </w:rPr>
        <w:t>Date of communication:</w:t>
      </w:r>
      <w:r w:rsidRPr="00AB38BE">
        <w:tab/>
        <w:t>7 August 2008 (initial submission)</w:t>
      </w:r>
    </w:p>
    <w:p w:rsidR="00BC69EC" w:rsidRPr="00AB38BE" w:rsidRDefault="00BC69EC" w:rsidP="00BC69EC">
      <w:pPr>
        <w:pStyle w:val="SingleTxtG"/>
        <w:ind w:left="4536" w:hanging="3402"/>
      </w:pPr>
      <w:r w:rsidRPr="00AB38BE">
        <w:rPr>
          <w:i/>
        </w:rPr>
        <w:t>Document references:</w:t>
      </w:r>
      <w:r w:rsidRPr="00AB38BE">
        <w:tab/>
        <w:t>Special Rapporteur’s rule 97 decision, transmitted to the State party on 10 December 2008 (not issued in document form)</w:t>
      </w:r>
    </w:p>
    <w:p w:rsidR="00BC69EC" w:rsidRPr="00AB38BE" w:rsidRDefault="00BC69EC" w:rsidP="00BC69EC">
      <w:pPr>
        <w:pStyle w:val="SingleTxtG"/>
        <w:ind w:left="4536" w:hanging="3402"/>
      </w:pPr>
      <w:r w:rsidRPr="00AB38BE">
        <w:rPr>
          <w:i/>
        </w:rPr>
        <w:t>Date of adoption of Views:</w:t>
      </w:r>
      <w:r w:rsidRPr="00AB38BE">
        <w:tab/>
      </w:r>
      <w:r>
        <w:t>25</w:t>
      </w:r>
      <w:r w:rsidRPr="00AB38BE">
        <w:t xml:space="preserve"> October 2013</w:t>
      </w:r>
    </w:p>
    <w:p w:rsidR="00BC69EC" w:rsidRDefault="00BC69EC" w:rsidP="00BC69EC">
      <w:pPr>
        <w:pStyle w:val="SingleTxtG"/>
        <w:ind w:left="4536" w:hanging="3402"/>
      </w:pPr>
      <w:r w:rsidRPr="00AB38BE">
        <w:rPr>
          <w:i/>
          <w:iCs/>
        </w:rPr>
        <w:t>Subject matter:</w:t>
      </w:r>
      <w:r w:rsidRPr="00AB38BE">
        <w:tab/>
        <w:t>Freedom of expression; peaceful assembly</w:t>
      </w:r>
    </w:p>
    <w:p w:rsidR="00BC69EC" w:rsidRPr="00AB38BE" w:rsidRDefault="00BC69EC" w:rsidP="00BC69EC">
      <w:pPr>
        <w:pStyle w:val="SingleTxtG"/>
        <w:ind w:left="4536" w:hanging="3402"/>
      </w:pPr>
      <w:r>
        <w:rPr>
          <w:i/>
          <w:iCs/>
        </w:rPr>
        <w:t>Procedural issues:</w:t>
      </w:r>
      <w:r>
        <w:rPr>
          <w:i/>
          <w:iCs/>
        </w:rPr>
        <w:tab/>
      </w:r>
      <w:r>
        <w:rPr>
          <w:i/>
          <w:iCs/>
        </w:rPr>
        <w:tab/>
      </w:r>
      <w:r w:rsidRPr="00AB38BE">
        <w:rPr>
          <w:iCs/>
        </w:rPr>
        <w:t>Exhaustion of domestic remedies; level of substantiation of claims</w:t>
      </w:r>
    </w:p>
    <w:p w:rsidR="00BC69EC" w:rsidRPr="00AB38BE" w:rsidRDefault="00BC69EC" w:rsidP="00BC69EC">
      <w:pPr>
        <w:pStyle w:val="SingleTxtG"/>
        <w:ind w:left="4536" w:hanging="3402"/>
      </w:pPr>
      <w:r w:rsidRPr="00AB38BE">
        <w:rPr>
          <w:i/>
          <w:iCs/>
        </w:rPr>
        <w:t xml:space="preserve">Substantive issues: </w:t>
      </w:r>
      <w:r w:rsidRPr="00AB38BE">
        <w:rPr>
          <w:i/>
          <w:iCs/>
        </w:rPr>
        <w:tab/>
      </w:r>
      <w:r w:rsidRPr="00AB38BE">
        <w:rPr>
          <w:iCs/>
        </w:rPr>
        <w:t>Impermissible restrictions to f</w:t>
      </w:r>
      <w:r w:rsidRPr="00AB38BE">
        <w:t>reedoms of expression and peaceful assembly</w:t>
      </w:r>
    </w:p>
    <w:p w:rsidR="00BC69EC" w:rsidRPr="00AB38BE" w:rsidRDefault="00BC69EC" w:rsidP="00BC69EC">
      <w:pPr>
        <w:pStyle w:val="SingleTxtG"/>
        <w:ind w:left="4536" w:hanging="3402"/>
      </w:pPr>
      <w:r w:rsidRPr="00AB38BE">
        <w:rPr>
          <w:i/>
          <w:iCs/>
        </w:rPr>
        <w:t>Articles of the Covenant:</w:t>
      </w:r>
      <w:r w:rsidRPr="00AB38BE">
        <w:t xml:space="preserve"> </w:t>
      </w:r>
      <w:r w:rsidRPr="00AB38BE">
        <w:tab/>
      </w:r>
      <w:r>
        <w:t>19 (para. 2) and</w:t>
      </w:r>
      <w:r w:rsidRPr="00AB38BE">
        <w:t xml:space="preserve"> 21</w:t>
      </w:r>
    </w:p>
    <w:p w:rsidR="00BC69EC" w:rsidRPr="00AB38BE" w:rsidRDefault="00BC69EC" w:rsidP="00BC69EC">
      <w:pPr>
        <w:pStyle w:val="SingleTxtG"/>
        <w:ind w:left="4536" w:hanging="3402"/>
      </w:pPr>
      <w:r w:rsidRPr="00AB38BE">
        <w:rPr>
          <w:i/>
          <w:iCs/>
        </w:rPr>
        <w:t>Articles of the Optional Protocol:</w:t>
      </w:r>
      <w:r w:rsidRPr="00AB38BE">
        <w:rPr>
          <w:i/>
          <w:iCs/>
        </w:rPr>
        <w:tab/>
      </w:r>
      <w:r w:rsidRPr="00AB38BE">
        <w:rPr>
          <w:iCs/>
        </w:rPr>
        <w:t>2</w:t>
      </w:r>
      <w:r>
        <w:rPr>
          <w:iCs/>
        </w:rPr>
        <w:t xml:space="preserve"> and</w:t>
      </w:r>
      <w:r w:rsidRPr="00AB38BE">
        <w:rPr>
          <w:iCs/>
        </w:rPr>
        <w:t xml:space="preserve"> </w:t>
      </w:r>
      <w:r w:rsidRPr="00AB38BE">
        <w:t xml:space="preserve">5 </w:t>
      </w:r>
      <w:r>
        <w:t>(</w:t>
      </w:r>
      <w:r w:rsidRPr="00AB38BE">
        <w:t>para</w:t>
      </w:r>
      <w:r>
        <w:t>.</w:t>
      </w:r>
      <w:r w:rsidRPr="00AB38BE">
        <w:t xml:space="preserve"> 2 (b)</w:t>
      </w:r>
      <w:r>
        <w:t>)</w:t>
      </w:r>
    </w:p>
    <w:p w:rsidR="00BC69EC" w:rsidRPr="00AB38BE" w:rsidRDefault="00315EA3" w:rsidP="00BC69EC">
      <w:pPr>
        <w:pStyle w:val="HChG"/>
      </w:pPr>
      <w:r>
        <w:rPr>
          <w:noProof/>
          <w:lang w:val="en-US"/>
        </w:rPr>
        <w:pict>
          <v:shape id="_x0000_s1027" type="#_x0000_t75" style="position:absolute;left:0;text-align:left;margin-left:432.55pt;margin-top:623.6pt;width:50.25pt;height:50.25pt;z-index:1;mso-position-horizontal-relative:margin;mso-position-vertical-relative:margin" o:allowoverlap="f">
            <v:imagedata r:id="rId8" o:title="2008&amp;Size=2 &amp;Lang=E"/>
            <w10:wrap anchorx="margin" anchory="margin"/>
          </v:shape>
        </w:pict>
      </w:r>
      <w:r w:rsidR="00BC69EC" w:rsidRPr="00AB38BE">
        <w:br w:type="page"/>
      </w:r>
      <w:r w:rsidR="00BC69EC" w:rsidRPr="00AB38BE">
        <w:lastRenderedPageBreak/>
        <w:t>Annex</w:t>
      </w:r>
    </w:p>
    <w:p w:rsidR="00BC69EC" w:rsidRPr="00AB38BE" w:rsidRDefault="00BC69EC" w:rsidP="00BC69EC">
      <w:pPr>
        <w:pStyle w:val="HChG"/>
        <w:rPr>
          <w:bCs/>
        </w:rPr>
      </w:pPr>
      <w:r w:rsidRPr="00AB38BE">
        <w:tab/>
      </w:r>
      <w:r w:rsidRPr="00AB38BE">
        <w:tab/>
        <w:t xml:space="preserve">Views of the Human Rights Committee under article 5, paragraph 4, of the Optional Protocol to the International Covenant on Civil and Political </w:t>
      </w:r>
      <w:r>
        <w:t>R</w:t>
      </w:r>
      <w:r w:rsidRPr="00AB38BE">
        <w:t xml:space="preserve">ights (109th </w:t>
      </w:r>
      <w:r w:rsidRPr="00AB38BE">
        <w:rPr>
          <w:bCs/>
        </w:rPr>
        <w:t>session)</w:t>
      </w:r>
    </w:p>
    <w:p w:rsidR="00BC69EC" w:rsidRPr="00AB38BE" w:rsidRDefault="00BC69EC" w:rsidP="00BC69EC">
      <w:pPr>
        <w:pStyle w:val="SingleTxtG"/>
        <w:rPr>
          <w:b/>
          <w:bCs/>
        </w:rPr>
      </w:pPr>
      <w:r w:rsidRPr="00AB38BE">
        <w:t>concerning</w:t>
      </w:r>
    </w:p>
    <w:p w:rsidR="00BC69EC" w:rsidRPr="00AB38BE" w:rsidRDefault="00BC69EC" w:rsidP="00BC69EC">
      <w:pPr>
        <w:pStyle w:val="H1G"/>
      </w:pPr>
      <w:r w:rsidRPr="00AB38BE">
        <w:tab/>
      </w:r>
      <w:r w:rsidRPr="00AB38BE">
        <w:tab/>
        <w:t>Communication No. 1839/2008</w:t>
      </w:r>
      <w:r w:rsidRPr="006D0DE5">
        <w:rPr>
          <w:rStyle w:val="FootnoteReference"/>
          <w:b w:val="0"/>
          <w:bCs/>
          <w:sz w:val="20"/>
          <w:vertAlign w:val="baseline"/>
        </w:rPr>
        <w:footnoteReference w:customMarkFollows="1" w:id="2"/>
        <w:t>*</w:t>
      </w:r>
    </w:p>
    <w:p w:rsidR="00BC69EC" w:rsidRPr="00AB38BE" w:rsidRDefault="00BC69EC" w:rsidP="00BC69EC">
      <w:pPr>
        <w:pStyle w:val="SingleTxtG"/>
        <w:ind w:left="4536" w:hanging="3402"/>
      </w:pPr>
      <w:r w:rsidRPr="00AB38BE">
        <w:rPr>
          <w:i/>
        </w:rPr>
        <w:t>Submitted by:</w:t>
      </w:r>
      <w:r w:rsidRPr="00AB38BE">
        <w:tab/>
        <w:t>Aleksandr Komarovsky (not represented by counsel)</w:t>
      </w:r>
    </w:p>
    <w:p w:rsidR="00BC69EC" w:rsidRPr="00AB38BE" w:rsidRDefault="00BC69EC" w:rsidP="00BC69EC">
      <w:pPr>
        <w:pStyle w:val="SingleTxtG"/>
        <w:ind w:left="4536" w:hanging="3402"/>
      </w:pPr>
      <w:r w:rsidRPr="00AB38BE">
        <w:rPr>
          <w:i/>
        </w:rPr>
        <w:t>Alleged victim:</w:t>
      </w:r>
      <w:r w:rsidRPr="00AB38BE">
        <w:tab/>
        <w:t>The author</w:t>
      </w:r>
    </w:p>
    <w:p w:rsidR="00BC69EC" w:rsidRPr="00AB38BE" w:rsidRDefault="00BC69EC" w:rsidP="00BC69EC">
      <w:pPr>
        <w:pStyle w:val="SingleTxtG"/>
        <w:ind w:left="4536" w:hanging="3402"/>
      </w:pPr>
      <w:r w:rsidRPr="00AB38BE">
        <w:rPr>
          <w:i/>
        </w:rPr>
        <w:t>State party:</w:t>
      </w:r>
      <w:r w:rsidRPr="00AB38BE">
        <w:tab/>
      </w:r>
      <w:smartTag w:uri="urn:schemas-microsoft-com:office:smarttags" w:element="country-region">
        <w:smartTag w:uri="urn:schemas-microsoft-com:office:smarttags" w:element="place">
          <w:r w:rsidRPr="00AB38BE">
            <w:t>Belarus</w:t>
          </w:r>
        </w:smartTag>
      </w:smartTag>
    </w:p>
    <w:p w:rsidR="00BC69EC" w:rsidRPr="00AB38BE" w:rsidRDefault="00BC69EC" w:rsidP="00BC69EC">
      <w:pPr>
        <w:pStyle w:val="SingleTxtG"/>
        <w:ind w:left="4536" w:hanging="3402"/>
      </w:pPr>
      <w:r w:rsidRPr="00AB38BE">
        <w:rPr>
          <w:i/>
        </w:rPr>
        <w:t>Date of communication:</w:t>
      </w:r>
      <w:r w:rsidRPr="00AB38BE">
        <w:tab/>
        <w:t>7 August 2008 (initial submission)</w:t>
      </w:r>
    </w:p>
    <w:p w:rsidR="00BC69EC" w:rsidRPr="00AB38BE" w:rsidRDefault="00BC69EC" w:rsidP="00BC69EC">
      <w:pPr>
        <w:pStyle w:val="SingleTxtG"/>
      </w:pPr>
      <w:r w:rsidRPr="00AB38BE">
        <w:tab/>
      </w:r>
      <w:r w:rsidRPr="00AB38BE">
        <w:rPr>
          <w:i/>
        </w:rPr>
        <w:t>The Human Rights Committee</w:t>
      </w:r>
      <w:r w:rsidRPr="00AB38BE">
        <w:t xml:space="preserve">, established under article 28 of the International Covenant on Civil and Political Rights, </w:t>
      </w:r>
    </w:p>
    <w:p w:rsidR="00BC69EC" w:rsidRPr="00AB38BE" w:rsidRDefault="00BC69EC" w:rsidP="00BC69EC">
      <w:pPr>
        <w:pStyle w:val="SingleTxtG"/>
      </w:pPr>
      <w:r w:rsidRPr="00AB38BE">
        <w:tab/>
      </w:r>
      <w:r w:rsidRPr="00AB38BE">
        <w:rPr>
          <w:i/>
        </w:rPr>
        <w:t xml:space="preserve">Meeting </w:t>
      </w:r>
      <w:r w:rsidRPr="00E072FE">
        <w:t>on</w:t>
      </w:r>
      <w:r w:rsidRPr="00AB38BE">
        <w:t xml:space="preserve"> </w:t>
      </w:r>
      <w:r>
        <w:t>25</w:t>
      </w:r>
      <w:r w:rsidRPr="00AB38BE">
        <w:t xml:space="preserve"> October 2013,</w:t>
      </w:r>
    </w:p>
    <w:p w:rsidR="00BC69EC" w:rsidRPr="00AB38BE" w:rsidRDefault="00BC69EC" w:rsidP="00BC69EC">
      <w:pPr>
        <w:pStyle w:val="SingleTxtG"/>
      </w:pPr>
      <w:r w:rsidRPr="00AB38BE">
        <w:tab/>
      </w:r>
      <w:r w:rsidRPr="00AB38BE">
        <w:rPr>
          <w:i/>
        </w:rPr>
        <w:t>Having concluded</w:t>
      </w:r>
      <w:r w:rsidRPr="00AB38BE">
        <w:t xml:space="preserve"> its consideration of communication No. 1839/2008, submitted to the Human Rights Committee by Aleksandr Komarovsky under the Optional Protocol to the International Covenant on Civil and Political Rights,</w:t>
      </w:r>
    </w:p>
    <w:p w:rsidR="00BC69EC" w:rsidRPr="00AB38BE" w:rsidRDefault="00BC69EC" w:rsidP="00BC69EC">
      <w:pPr>
        <w:pStyle w:val="SingleTxtG"/>
      </w:pPr>
      <w:r w:rsidRPr="00AB38BE">
        <w:tab/>
      </w:r>
      <w:r w:rsidRPr="00AB38BE">
        <w:rPr>
          <w:i/>
        </w:rPr>
        <w:t>Having taken into account</w:t>
      </w:r>
      <w:r w:rsidRPr="00AB38BE">
        <w:t xml:space="preserve"> all written information made available to it by the author of the communication and the State party,</w:t>
      </w:r>
    </w:p>
    <w:p w:rsidR="00BC69EC" w:rsidRPr="00AB38BE" w:rsidRDefault="00BC69EC" w:rsidP="00BC69EC">
      <w:pPr>
        <w:pStyle w:val="SingleTxtG"/>
      </w:pPr>
      <w:r w:rsidRPr="00AB38BE">
        <w:tab/>
      </w:r>
      <w:r w:rsidRPr="00AB38BE">
        <w:rPr>
          <w:i/>
        </w:rPr>
        <w:t>Adopts</w:t>
      </w:r>
      <w:r w:rsidRPr="005B18FA">
        <w:rPr>
          <w:iCs/>
        </w:rPr>
        <w:t xml:space="preserve"> the following:</w:t>
      </w:r>
    </w:p>
    <w:p w:rsidR="00BC69EC" w:rsidRPr="00AB38BE" w:rsidRDefault="00BC69EC" w:rsidP="00BC69EC">
      <w:pPr>
        <w:pStyle w:val="H1G"/>
      </w:pPr>
      <w:r w:rsidRPr="00AB38BE">
        <w:tab/>
      </w:r>
      <w:r w:rsidRPr="00AB38BE">
        <w:tab/>
        <w:t>Views under article 5, paragraph 4, of the Optional Protocol</w:t>
      </w:r>
    </w:p>
    <w:p w:rsidR="00BC69EC" w:rsidRPr="00AB38BE" w:rsidRDefault="00BC69EC" w:rsidP="00BC69EC">
      <w:pPr>
        <w:pStyle w:val="SingleTxtG"/>
      </w:pPr>
      <w:r w:rsidRPr="00AB38BE">
        <w:t>1.</w:t>
      </w:r>
      <w:r w:rsidRPr="00AB38BE">
        <w:tab/>
        <w:t xml:space="preserve">The author is Aleksandr Komarovsky, a Belarusian national born in 1942. He claims to be a victim of violations by </w:t>
      </w:r>
      <w:smartTag w:uri="urn:schemas-microsoft-com:office:smarttags" w:element="country-region">
        <w:smartTag w:uri="urn:schemas-microsoft-com:office:smarttags" w:element="place">
          <w:r w:rsidRPr="00AB38BE">
            <w:t>Belarus</w:t>
          </w:r>
        </w:smartTag>
      </w:smartTag>
      <w:r w:rsidRPr="00AB38BE">
        <w:t xml:space="preserve"> of his rights u</w:t>
      </w:r>
      <w:r w:rsidRPr="00825A2A">
        <w:t>nder articles 19</w:t>
      </w:r>
      <w:r>
        <w:t xml:space="preserve"> (</w:t>
      </w:r>
      <w:r w:rsidRPr="00825A2A">
        <w:t>para</w:t>
      </w:r>
      <w:r>
        <w:t>.</w:t>
      </w:r>
      <w:r w:rsidRPr="00825A2A">
        <w:t xml:space="preserve"> 2</w:t>
      </w:r>
      <w:r>
        <w:t>)</w:t>
      </w:r>
      <w:r w:rsidRPr="00825A2A">
        <w:t xml:space="preserve"> and 21 of</w:t>
      </w:r>
      <w:r w:rsidRPr="00AB38BE">
        <w:t xml:space="preserve"> the International Covenant on Civil and Political Rights.</w:t>
      </w:r>
      <w:r>
        <w:rPr>
          <w:rStyle w:val="FootnoteReference"/>
        </w:rPr>
        <w:footnoteReference w:id="3"/>
      </w:r>
      <w:r w:rsidRPr="00AB38BE">
        <w:t xml:space="preserve"> The author is not represented by counsel. </w:t>
      </w:r>
    </w:p>
    <w:p w:rsidR="00BC69EC" w:rsidRPr="00AB38BE" w:rsidRDefault="00BC69EC" w:rsidP="00BC69EC">
      <w:pPr>
        <w:pStyle w:val="H23G"/>
      </w:pPr>
      <w:r w:rsidRPr="00AB38BE">
        <w:tab/>
      </w:r>
      <w:r w:rsidRPr="00AB38BE">
        <w:tab/>
      </w:r>
      <w:r w:rsidRPr="00825A2A">
        <w:t>The facts as submitt</w:t>
      </w:r>
      <w:r>
        <w:t>ed</w:t>
      </w:r>
      <w:r w:rsidRPr="00AB38BE">
        <w:t xml:space="preserve"> by the author</w:t>
      </w:r>
    </w:p>
    <w:p w:rsidR="00BC69EC" w:rsidRPr="00AB38BE" w:rsidRDefault="00BC69EC" w:rsidP="00BC69EC">
      <w:pPr>
        <w:pStyle w:val="SingleTxtG"/>
      </w:pPr>
      <w:r w:rsidRPr="00AB38BE">
        <w:t>2.1</w:t>
      </w:r>
      <w:r w:rsidRPr="00AB38BE">
        <w:tab/>
        <w:t>On 8 February 2008, the author</w:t>
      </w:r>
      <w:r>
        <w:t>,</w:t>
      </w:r>
      <w:r w:rsidRPr="00AB38BE">
        <w:t xml:space="preserve"> together with three other individuals</w:t>
      </w:r>
      <w:r>
        <w:t>,</w:t>
      </w:r>
      <w:r w:rsidRPr="00AB38BE">
        <w:t xml:space="preserve"> requested </w:t>
      </w:r>
      <w:r>
        <w:t>permission from the</w:t>
      </w:r>
      <w:r w:rsidRPr="00AB38BE">
        <w:t xml:space="preserve"> Executive Committee of Zhodino City to hold a meeting, to be followed by a street procession and a concert</w:t>
      </w:r>
      <w:r>
        <w:t>,</w:t>
      </w:r>
      <w:r w:rsidRPr="00AB38BE">
        <w:t xml:space="preserve"> on 23 March 2008 near the entrance </w:t>
      </w:r>
      <w:r>
        <w:t>to</w:t>
      </w:r>
      <w:r w:rsidRPr="00AB38BE">
        <w:t xml:space="preserve"> </w:t>
      </w:r>
      <w:r>
        <w:lastRenderedPageBreak/>
        <w:t>Zhodino</w:t>
      </w:r>
      <w:r w:rsidRPr="00AB38BE">
        <w:t xml:space="preserve"> Park of Culture</w:t>
      </w:r>
      <w:r>
        <w:t>,</w:t>
      </w:r>
      <w:r w:rsidRPr="00AB38BE">
        <w:t xml:space="preserve"> on the </w:t>
      </w:r>
      <w:r>
        <w:t>ninetieth</w:t>
      </w:r>
      <w:r w:rsidRPr="00AB38BE">
        <w:t xml:space="preserve"> anniversary of the establishment of the People’s Republic of </w:t>
      </w:r>
      <w:smartTag w:uri="urn:schemas-microsoft-com:office:smarttags" w:element="country-region">
        <w:smartTag w:uri="urn:schemas-microsoft-com:office:smarttags" w:element="place">
          <w:r w:rsidRPr="00AB38BE">
            <w:t>Belarus</w:t>
          </w:r>
        </w:smartTag>
      </w:smartTag>
      <w:r w:rsidRPr="00AB38BE">
        <w:t>.</w:t>
      </w:r>
      <w:r>
        <w:t xml:space="preserve"> </w:t>
      </w:r>
      <w:r w:rsidR="00D67E2F">
        <w:t xml:space="preserve">The meeting and activities were to take place </w:t>
      </w:r>
      <w:r w:rsidR="00D67E2F" w:rsidRPr="00AB38BE">
        <w:t>from 3 p.m. to 6 p.m.</w:t>
      </w:r>
    </w:p>
    <w:p w:rsidR="00BC69EC" w:rsidRPr="00AB38BE" w:rsidRDefault="00BC69EC" w:rsidP="00BC69EC">
      <w:pPr>
        <w:pStyle w:val="SingleTxtG"/>
      </w:pPr>
      <w:r w:rsidRPr="00AB38BE">
        <w:t xml:space="preserve">2.2 </w:t>
      </w:r>
      <w:r>
        <w:tab/>
      </w:r>
      <w:r w:rsidRPr="00AB38BE">
        <w:t xml:space="preserve">On 21 February 2008, the Executive Committee of Zhodino City informed the applicants, including the author, that </w:t>
      </w:r>
      <w:r>
        <w:t>on</w:t>
      </w:r>
      <w:r w:rsidRPr="00AB38BE">
        <w:t xml:space="preserve"> 22 </w:t>
      </w:r>
      <w:r>
        <w:t>and</w:t>
      </w:r>
      <w:r w:rsidRPr="00AB38BE">
        <w:t xml:space="preserve"> 23 March 2008 the </w:t>
      </w:r>
      <w:r>
        <w:t>twenty-fifth</w:t>
      </w:r>
      <w:r w:rsidRPr="00AB38BE">
        <w:t xml:space="preserve"> republic-wide marathon would be taking place in Zhodino</w:t>
      </w:r>
      <w:r>
        <w:t>,</w:t>
      </w:r>
      <w:r w:rsidRPr="00AB38BE">
        <w:t xml:space="preserve"> on its central streets. </w:t>
      </w:r>
      <w:r>
        <w:t>As</w:t>
      </w:r>
      <w:r w:rsidRPr="00AB38BE">
        <w:t xml:space="preserve"> no other explanations were provided, the author continued with prepar</w:t>
      </w:r>
      <w:r w:rsidRPr="00F3026B">
        <w:t xml:space="preserve">ations for </w:t>
      </w:r>
      <w:r>
        <w:t>a</w:t>
      </w:r>
      <w:r w:rsidRPr="00F3026B">
        <w:t xml:space="preserve"> peaceful meeting. On 17 March 2008, the</w:t>
      </w:r>
      <w:r w:rsidRPr="00AB38BE">
        <w:t xml:space="preserve"> Executive Committee issued </w:t>
      </w:r>
      <w:r>
        <w:t xml:space="preserve">an </w:t>
      </w:r>
      <w:r w:rsidRPr="00AB38BE">
        <w:t>order</w:t>
      </w:r>
      <w:r>
        <w:t xml:space="preserve"> denying permission to hold</w:t>
      </w:r>
      <w:r w:rsidRPr="00AB38BE">
        <w:t xml:space="preserve"> the meeting</w:t>
      </w:r>
      <w:r>
        <w:t>,</w:t>
      </w:r>
      <w:r w:rsidRPr="00AB38BE">
        <w:t xml:space="preserve"> and thereafter a street procession and a concert</w:t>
      </w:r>
      <w:r>
        <w:t>,</w:t>
      </w:r>
      <w:r w:rsidRPr="00AB38BE">
        <w:t xml:space="preserve"> on 23 March 2008</w:t>
      </w:r>
      <w:r>
        <w:t>,</w:t>
      </w:r>
      <w:r w:rsidRPr="00AB38BE">
        <w:t xml:space="preserve"> due to the</w:t>
      </w:r>
      <w:r>
        <w:t xml:space="preserve"> holding of the twenty-fifth</w:t>
      </w:r>
      <w:r w:rsidRPr="00AB38BE">
        <w:t xml:space="preserve"> national marathon.</w:t>
      </w:r>
    </w:p>
    <w:p w:rsidR="00BC69EC" w:rsidRPr="00AB38BE" w:rsidRDefault="00BC69EC" w:rsidP="00BC69EC">
      <w:pPr>
        <w:pStyle w:val="SingleTxtG"/>
      </w:pPr>
      <w:r w:rsidRPr="00AB38BE">
        <w:t xml:space="preserve">2.3 </w:t>
      </w:r>
      <w:r>
        <w:tab/>
      </w:r>
      <w:r w:rsidRPr="00AB38BE">
        <w:t xml:space="preserve">On 19 March 2008, the author </w:t>
      </w:r>
      <w:r>
        <w:t>and</w:t>
      </w:r>
      <w:r w:rsidRPr="00AB38BE">
        <w:t xml:space="preserve"> the three other organi</w:t>
      </w:r>
      <w:r>
        <w:t>z</w:t>
      </w:r>
      <w:r w:rsidRPr="00AB38BE">
        <w:t xml:space="preserve">ers informed the Executive Committee of Zhodino City of their decision to cancel the planned events. They also </w:t>
      </w:r>
      <w:r>
        <w:t>advised</w:t>
      </w:r>
      <w:r w:rsidRPr="00AB38BE">
        <w:t xml:space="preserve"> that they were discussing the possibility </w:t>
      </w:r>
      <w:r>
        <w:t>of holding</w:t>
      </w:r>
      <w:r w:rsidRPr="00AB38BE">
        <w:t xml:space="preserve"> a peaceful event on the site in front of the </w:t>
      </w:r>
      <w:r>
        <w:t>SITI shopping centre</w:t>
      </w:r>
      <w:r w:rsidRPr="00AB38BE">
        <w:t xml:space="preserve">, the </w:t>
      </w:r>
      <w:r w:rsidRPr="00727AED">
        <w:t>site in the gr</w:t>
      </w:r>
      <w:r w:rsidRPr="00AB38BE">
        <w:t xml:space="preserve">ounds of the </w:t>
      </w:r>
      <w:r>
        <w:t xml:space="preserve">GRES </w:t>
      </w:r>
      <w:r w:rsidRPr="00AB38BE">
        <w:t>shop, the site in front of the Patriot Mother-Kupriyanova</w:t>
      </w:r>
      <w:r>
        <w:t xml:space="preserve"> sculpture,</w:t>
      </w:r>
      <w:r w:rsidRPr="00AB38BE">
        <w:t xml:space="preserve"> or </w:t>
      </w:r>
      <w:r>
        <w:t xml:space="preserve">in </w:t>
      </w:r>
      <w:r w:rsidRPr="00AB38BE">
        <w:t xml:space="preserve">any other location </w:t>
      </w:r>
      <w:r>
        <w:t>that would not interfere</w:t>
      </w:r>
      <w:r w:rsidRPr="00AB38BE">
        <w:t xml:space="preserve"> with the marathon.</w:t>
      </w:r>
    </w:p>
    <w:p w:rsidR="00BC69EC" w:rsidRPr="00AB38BE" w:rsidRDefault="00BC69EC" w:rsidP="00BC69EC">
      <w:pPr>
        <w:pStyle w:val="SingleTxtG"/>
      </w:pPr>
      <w:r w:rsidRPr="00AB38BE">
        <w:t xml:space="preserve">2.4 </w:t>
      </w:r>
      <w:r>
        <w:tab/>
      </w:r>
      <w:r w:rsidRPr="00AB38BE">
        <w:t>On 20 March 2008, the Executive Committee of Zhodino City informed the organi</w:t>
      </w:r>
      <w:r>
        <w:t>z</w:t>
      </w:r>
      <w:r w:rsidRPr="00AB38BE">
        <w:t>ers that it could not examine their request of 19 March 2008, as it did not satisfy the requirements set out in the Law on Mass Events. The author and the other organi</w:t>
      </w:r>
      <w:r>
        <w:t>z</w:t>
      </w:r>
      <w:r w:rsidRPr="00AB38BE">
        <w:t>ers were informed that if they h</w:t>
      </w:r>
      <w:r>
        <w:t>e</w:t>
      </w:r>
      <w:r w:rsidRPr="00AB38BE">
        <w:t xml:space="preserve">ld the meeting on 23 March 2008, it would be considered as </w:t>
      </w:r>
      <w:r>
        <w:t xml:space="preserve">an </w:t>
      </w:r>
      <w:r w:rsidRPr="00AB38BE">
        <w:t>un</w:t>
      </w:r>
      <w:r w:rsidR="00105902">
        <w:t>authorized</w:t>
      </w:r>
      <w:r w:rsidRPr="00AB38BE">
        <w:t xml:space="preserve"> mass event. </w:t>
      </w:r>
    </w:p>
    <w:p w:rsidR="00BC69EC" w:rsidRPr="00AB38BE" w:rsidRDefault="00BC69EC" w:rsidP="00BC69EC">
      <w:pPr>
        <w:pStyle w:val="SingleTxtG"/>
      </w:pPr>
      <w:r w:rsidRPr="00AB38BE">
        <w:t xml:space="preserve">2.5 </w:t>
      </w:r>
      <w:r>
        <w:tab/>
      </w:r>
      <w:r w:rsidRPr="00AB38BE">
        <w:t>The author and the other organi</w:t>
      </w:r>
      <w:r>
        <w:t>z</w:t>
      </w:r>
      <w:r w:rsidRPr="00AB38BE">
        <w:t xml:space="preserve">ers decided not to </w:t>
      </w:r>
      <w:r w:rsidR="00105902">
        <w:t>hold</w:t>
      </w:r>
      <w:r w:rsidRPr="00AB38BE">
        <w:t xml:space="preserve"> the event on 23 March 2008. However, in order to inform the persons who were aware of the venue </w:t>
      </w:r>
      <w:r>
        <w:t>for</w:t>
      </w:r>
      <w:r w:rsidRPr="00AB38BE">
        <w:t xml:space="preserve"> the 23 March 2008 event that the event ha</w:t>
      </w:r>
      <w:r>
        <w:t>d</w:t>
      </w:r>
      <w:r w:rsidRPr="00AB38BE">
        <w:t xml:space="preserve"> been cancelled, on 23 March at 3 p.m., the author and the other organi</w:t>
      </w:r>
      <w:r>
        <w:t>z</w:t>
      </w:r>
      <w:r w:rsidRPr="00AB38BE">
        <w:t xml:space="preserve">ers arrived at </w:t>
      </w:r>
      <w:r>
        <w:t>Zhodino</w:t>
      </w:r>
      <w:r w:rsidRPr="00AB38BE">
        <w:t xml:space="preserve"> Park of Culture and met some 10 to 15 persons</w:t>
      </w:r>
      <w:r>
        <w:t xml:space="preserve"> there</w:t>
      </w:r>
      <w:r w:rsidRPr="00AB38BE">
        <w:t xml:space="preserve">. More people arrived shortly </w:t>
      </w:r>
      <w:r>
        <w:t>there</w:t>
      </w:r>
      <w:r w:rsidRPr="00AB38BE">
        <w:t>after. The author and the persons gathered decided to commemorate the heroes who had died during battles fighting for the country and to place flowers at the foot of th</w:t>
      </w:r>
      <w:r w:rsidRPr="00E80F77">
        <w:t xml:space="preserve">e </w:t>
      </w:r>
      <w:r>
        <w:t>Heroes Live Forever obelisk</w:t>
      </w:r>
      <w:r w:rsidRPr="00E80F77">
        <w:t>. According to</w:t>
      </w:r>
      <w:r w:rsidRPr="00AB38BE">
        <w:t xml:space="preserve"> the author, the commemoration and </w:t>
      </w:r>
      <w:r>
        <w:t>placing</w:t>
      </w:r>
      <w:r w:rsidRPr="00AB38BE">
        <w:t xml:space="preserve"> of flowers was not a mass event of </w:t>
      </w:r>
      <w:r>
        <w:t xml:space="preserve">a </w:t>
      </w:r>
      <w:r w:rsidRPr="00AB38BE">
        <w:t xml:space="preserve">political, social or economic nature and it was not necessary to obtain permission in order to conduct such activities. </w:t>
      </w:r>
    </w:p>
    <w:p w:rsidR="00BC69EC" w:rsidRPr="00AB38BE" w:rsidRDefault="00BC69EC" w:rsidP="00BC69EC">
      <w:pPr>
        <w:pStyle w:val="SingleTxtG"/>
      </w:pPr>
      <w:r w:rsidRPr="00AB38BE">
        <w:t xml:space="preserve">2.6 </w:t>
      </w:r>
      <w:r>
        <w:tab/>
      </w:r>
      <w:r w:rsidRPr="00AB38BE">
        <w:t xml:space="preserve">A group of around 20 persons walked slowly to the obelisk; some of the younger </w:t>
      </w:r>
      <w:r>
        <w:t>ones</w:t>
      </w:r>
      <w:r w:rsidRPr="00AB38BE">
        <w:t xml:space="preserve"> were carrying the historical national flag of </w:t>
      </w:r>
      <w:smartTag w:uri="urn:schemas-microsoft-com:office:smarttags" w:element="country-region">
        <w:smartTag w:uri="urn:schemas-microsoft-com:office:smarttags" w:element="place">
          <w:r w:rsidRPr="00AB38BE">
            <w:t>Belarus</w:t>
          </w:r>
        </w:smartTag>
      </w:smartTag>
      <w:r w:rsidRPr="00AB38BE">
        <w:t xml:space="preserve"> and the flag of the European Union. When </w:t>
      </w:r>
      <w:r>
        <w:t>some</w:t>
      </w:r>
      <w:r w:rsidRPr="00AB38BE">
        <w:t xml:space="preserve"> police officers who were standing nearby noticed the flags, they immediately ordered </w:t>
      </w:r>
      <w:r>
        <w:t>them to be put</w:t>
      </w:r>
      <w:r w:rsidRPr="00AB38BE">
        <w:t xml:space="preserve"> away. The police officers did not </w:t>
      </w:r>
      <w:r>
        <w:t>give</w:t>
      </w:r>
      <w:r w:rsidRPr="00AB38BE">
        <w:t xml:space="preserve"> any orders to the </w:t>
      </w:r>
      <w:r w:rsidRPr="003373AF">
        <w:t>author, and he and the rest of the group reached the obelisk, placed flowers and released red</w:t>
      </w:r>
      <w:r w:rsidR="00105902">
        <w:t xml:space="preserve"> and </w:t>
      </w:r>
      <w:r w:rsidRPr="003373AF">
        <w:t>white balloons. The</w:t>
      </w:r>
      <w:r w:rsidRPr="00AB38BE">
        <w:t xml:space="preserve"> </w:t>
      </w:r>
      <w:r>
        <w:t>actions mentioned</w:t>
      </w:r>
      <w:r w:rsidRPr="00AB38BE">
        <w:t xml:space="preserve"> lasted for approximately five minutes. </w:t>
      </w:r>
    </w:p>
    <w:p w:rsidR="00BC69EC" w:rsidRPr="00AB38BE" w:rsidRDefault="00BC69EC" w:rsidP="00BC69EC">
      <w:pPr>
        <w:pStyle w:val="SingleTxtG"/>
      </w:pPr>
      <w:r w:rsidRPr="00AB38BE">
        <w:t xml:space="preserve">2.7 </w:t>
      </w:r>
      <w:r>
        <w:tab/>
      </w:r>
      <w:r w:rsidRPr="00AB38BE">
        <w:t xml:space="preserve">When people started to leave, the author was approached by police officers and was </w:t>
      </w:r>
      <w:r w:rsidRPr="00084F8B">
        <w:t>taken to a police st</w:t>
      </w:r>
      <w:r w:rsidRPr="00AB38BE">
        <w:t xml:space="preserve">ation. He was questioned </w:t>
      </w:r>
      <w:r>
        <w:t>about</w:t>
      </w:r>
      <w:r w:rsidRPr="00AB38BE">
        <w:t xml:space="preserve"> the meeting and </w:t>
      </w:r>
      <w:r>
        <w:t xml:space="preserve">was </w:t>
      </w:r>
      <w:r w:rsidRPr="00AB38BE">
        <w:t xml:space="preserve">held at the police station until the morning of the next day. On 24 March </w:t>
      </w:r>
      <w:r w:rsidRPr="003373AF">
        <w:t>2008, Zhodino City Court of the Region of Minsk conclu</w:t>
      </w:r>
      <w:r w:rsidRPr="00AB38BE">
        <w:t>ded that the author ha</w:t>
      </w:r>
      <w:r>
        <w:t>d</w:t>
      </w:r>
      <w:r w:rsidRPr="00AB38BE">
        <w:t xml:space="preserve"> held an un</w:t>
      </w:r>
      <w:r w:rsidR="00105902">
        <w:t>authorized</w:t>
      </w:r>
      <w:r w:rsidRPr="00AB38BE">
        <w:t xml:space="preserve"> mass event and </w:t>
      </w:r>
      <w:r>
        <w:t xml:space="preserve">ordered him to be held in administrative </w:t>
      </w:r>
      <w:r w:rsidR="0096225D">
        <w:t>arrest</w:t>
      </w:r>
      <w:r>
        <w:t xml:space="preserve"> for a period of seven days</w:t>
      </w:r>
      <w:r w:rsidRPr="006F0EB6">
        <w:t>. On 2</w:t>
      </w:r>
      <w:r w:rsidRPr="00AB38BE">
        <w:t>5 March 2008, the author appealed th</w:t>
      </w:r>
      <w:r w:rsidRPr="003373AF">
        <w:t>e City Court’s judgement</w:t>
      </w:r>
      <w:r>
        <w:t>, at</w:t>
      </w:r>
      <w:r w:rsidRPr="003373AF">
        <w:t xml:space="preserve"> </w:t>
      </w:r>
      <w:smartTag w:uri="urn:schemas-microsoft-com:office:smarttags" w:element="Street">
        <w:smartTag w:uri="urn:schemas-microsoft-com:office:smarttags" w:element="address">
          <w:r w:rsidRPr="003373AF">
            <w:t>Minsk Regiona</w:t>
          </w:r>
          <w:r w:rsidRPr="00AB38BE">
            <w:t>l Court</w:t>
          </w:r>
        </w:smartTag>
      </w:smartTag>
      <w:r w:rsidRPr="00AB38BE">
        <w:t xml:space="preserve">, </w:t>
      </w:r>
      <w:r>
        <w:t>however</w:t>
      </w:r>
      <w:r w:rsidRPr="00AB38BE">
        <w:t xml:space="preserve"> on 8 April 2008 the </w:t>
      </w:r>
      <w:smartTag w:uri="urn:schemas-microsoft-com:office:smarttags" w:element="Street">
        <w:smartTag w:uri="urn:schemas-microsoft-com:office:smarttags" w:element="address">
          <w:r w:rsidRPr="00AB38BE">
            <w:t>Regional Court</w:t>
          </w:r>
        </w:smartTag>
      </w:smartTag>
      <w:r w:rsidRPr="00AB38BE">
        <w:t xml:space="preserve"> upheld the lower court’s decision. On 16 May 2008, the author appealed the </w:t>
      </w:r>
      <w:smartTag w:uri="urn:schemas-microsoft-com:office:smarttags" w:element="Street">
        <w:smartTag w:uri="urn:schemas-microsoft-com:office:smarttags" w:element="address">
          <w:r w:rsidRPr="00AB38BE">
            <w:t>Regional Court</w:t>
          </w:r>
        </w:smartTag>
      </w:smartTag>
      <w:r w:rsidRPr="00AB38BE">
        <w:t>’s decision to the Supreme Court, but his appeal was rejected as unfounded on 28 June 2008.</w:t>
      </w:r>
    </w:p>
    <w:p w:rsidR="00BC69EC" w:rsidRPr="00AB38BE" w:rsidRDefault="00BC69EC" w:rsidP="00BC69EC">
      <w:pPr>
        <w:pStyle w:val="H23G"/>
      </w:pPr>
      <w:r w:rsidRPr="00AB38BE">
        <w:tab/>
      </w:r>
      <w:r w:rsidRPr="00AB38BE">
        <w:tab/>
      </w:r>
      <w:r w:rsidRPr="00825A2A">
        <w:t>The complaint</w:t>
      </w:r>
    </w:p>
    <w:p w:rsidR="00BC69EC" w:rsidRPr="00AB38BE" w:rsidRDefault="00BC69EC" w:rsidP="00BC69EC">
      <w:pPr>
        <w:pStyle w:val="SingleTxtG"/>
      </w:pPr>
      <w:r w:rsidRPr="00AB38BE">
        <w:t xml:space="preserve">3. </w:t>
      </w:r>
      <w:r w:rsidRPr="00AB38BE">
        <w:tab/>
        <w:t>The author claims violations by the State party of his rights under articles 19</w:t>
      </w:r>
      <w:r>
        <w:br/>
        <w:t>(</w:t>
      </w:r>
      <w:r w:rsidRPr="00AB38BE">
        <w:t>para</w:t>
      </w:r>
      <w:r>
        <w:t xml:space="preserve">. </w:t>
      </w:r>
      <w:r w:rsidRPr="00AB38BE">
        <w:t>2</w:t>
      </w:r>
      <w:r>
        <w:t>)</w:t>
      </w:r>
      <w:r w:rsidRPr="00AB38BE">
        <w:t xml:space="preserve"> and 21 of the Covenant</w:t>
      </w:r>
      <w:r>
        <w:t xml:space="preserve">, as he was detained and punished for participating in a gathering and expressing his opinions on 23 March 2008. </w:t>
      </w:r>
    </w:p>
    <w:p w:rsidR="00BC69EC" w:rsidRPr="00AB38BE" w:rsidRDefault="00BC69EC" w:rsidP="00BC69EC">
      <w:pPr>
        <w:pStyle w:val="H23G"/>
      </w:pPr>
      <w:r>
        <w:lastRenderedPageBreak/>
        <w:tab/>
      </w:r>
      <w:r>
        <w:tab/>
      </w:r>
      <w:r w:rsidRPr="00AB38BE">
        <w:t>S</w:t>
      </w:r>
      <w:r>
        <w:t>tate party’</w:t>
      </w:r>
      <w:r w:rsidRPr="00AB38BE">
        <w:t>s observations on admissibility</w:t>
      </w:r>
    </w:p>
    <w:p w:rsidR="00BC69EC" w:rsidRPr="00AB38BE" w:rsidRDefault="00BC69EC" w:rsidP="00BC69EC">
      <w:pPr>
        <w:pStyle w:val="SingleTxtG"/>
      </w:pPr>
      <w:r w:rsidRPr="00AB38BE">
        <w:t xml:space="preserve">4.1 </w:t>
      </w:r>
      <w:r>
        <w:tab/>
      </w:r>
      <w:r w:rsidRPr="00AB38BE">
        <w:t xml:space="preserve">On 19 February 2009, the State party challenged the admissibility of the communication, arguing that the author </w:t>
      </w:r>
      <w:r>
        <w:t xml:space="preserve">had </w:t>
      </w:r>
      <w:r w:rsidRPr="00AB38BE">
        <w:t>failed to exhaust domestic remedies. It recalled that</w:t>
      </w:r>
      <w:r>
        <w:t>,</w:t>
      </w:r>
      <w:r w:rsidRPr="00AB38BE">
        <w:t xml:space="preserve"> on 24 March 2008, Zhodino City Court </w:t>
      </w:r>
      <w:r>
        <w:t xml:space="preserve">had </w:t>
      </w:r>
      <w:r w:rsidRPr="00AB38BE">
        <w:t>concluded that the author had committed an administrative offence under article 23.34, par</w:t>
      </w:r>
      <w:r w:rsidRPr="00E57265">
        <w:t>agraph 2, of the</w:t>
      </w:r>
      <w:r w:rsidRPr="00AB38BE">
        <w:t xml:space="preserve"> </w:t>
      </w:r>
      <w:r w:rsidR="00105902">
        <w:t xml:space="preserve">Procedural-Executive </w:t>
      </w:r>
      <w:r w:rsidRPr="00AB38BE">
        <w:t>Code of Administrative Offences</w:t>
      </w:r>
      <w:r>
        <w:t>,</w:t>
      </w:r>
      <w:r w:rsidRPr="00AB38BE">
        <w:t xml:space="preserve"> and </w:t>
      </w:r>
      <w:r>
        <w:t xml:space="preserve">had </w:t>
      </w:r>
      <w:r w:rsidRPr="00AB38BE">
        <w:t xml:space="preserve">imposed </w:t>
      </w:r>
      <w:r>
        <w:t xml:space="preserve">on </w:t>
      </w:r>
      <w:r w:rsidRPr="00AB38BE">
        <w:t>him</w:t>
      </w:r>
      <w:r>
        <w:t xml:space="preserve"> a penalty of</w:t>
      </w:r>
      <w:r w:rsidRPr="00AB38BE">
        <w:t xml:space="preserve"> </w:t>
      </w:r>
      <w:r>
        <w:t>seven</w:t>
      </w:r>
      <w:r w:rsidRPr="00AB38BE">
        <w:t xml:space="preserve"> days of </w:t>
      </w:r>
      <w:r>
        <w:t xml:space="preserve">administrative </w:t>
      </w:r>
      <w:r w:rsidR="00D67E2F">
        <w:t>arrest</w:t>
      </w:r>
      <w:r w:rsidRPr="00AB38BE">
        <w:t xml:space="preserve"> as he had disregarded the prescribed procedure for organi</w:t>
      </w:r>
      <w:r>
        <w:t>z</w:t>
      </w:r>
      <w:r w:rsidRPr="00AB38BE">
        <w:t xml:space="preserve">ing and holding a meeting and a street procession. On appeal, on 8 April 2008, </w:t>
      </w:r>
      <w:smartTag w:uri="urn:schemas-microsoft-com:office:smarttags" w:element="Street">
        <w:smartTag w:uri="urn:schemas-microsoft-com:office:smarttags" w:element="address">
          <w:r w:rsidRPr="00AB38BE">
            <w:t>Minsk Regional Court</w:t>
          </w:r>
        </w:smartTag>
      </w:smartTag>
      <w:r w:rsidRPr="00AB38BE">
        <w:t xml:space="preserve"> </w:t>
      </w:r>
      <w:r>
        <w:t xml:space="preserve">had </w:t>
      </w:r>
      <w:r w:rsidRPr="00AB38BE">
        <w:t>confirmed th</w:t>
      </w:r>
      <w:r>
        <w:t>at</w:t>
      </w:r>
      <w:r w:rsidRPr="00AB38BE">
        <w:t xml:space="preserve"> decision. On 28 June 2008, the Deputy Chairperson of the Supreme Court </w:t>
      </w:r>
      <w:r>
        <w:t xml:space="preserve">had </w:t>
      </w:r>
      <w:r w:rsidRPr="00AB38BE">
        <w:t xml:space="preserve">dismissed the author’s further appeal. </w:t>
      </w:r>
    </w:p>
    <w:p w:rsidR="00BC69EC" w:rsidRPr="00AB38BE" w:rsidRDefault="00BC69EC" w:rsidP="00BC69EC">
      <w:pPr>
        <w:pStyle w:val="SingleTxtG"/>
      </w:pPr>
      <w:r>
        <w:t xml:space="preserve">4.2 </w:t>
      </w:r>
      <w:r>
        <w:tab/>
      </w:r>
      <w:r w:rsidRPr="00AB38BE">
        <w:t>The State party notes that the author’s appeal to the Supreme Court has never been examined by the Chairperson of the Supreme Court. It explains that</w:t>
      </w:r>
      <w:r>
        <w:t>,</w:t>
      </w:r>
      <w:r w:rsidRPr="00AB38BE">
        <w:t xml:space="preserve"> in accordance with the provisions of the administrative law, the author could have appealed the decision of Zhodino City Court to the Chairperson of the Supreme Court, and he could have requested the Prosecutor General to lodge a protest </w:t>
      </w:r>
      <w:r>
        <w:t>with</w:t>
      </w:r>
      <w:r w:rsidRPr="00AB38BE">
        <w:t xml:space="preserve"> the Supreme Court </w:t>
      </w:r>
      <w:r>
        <w:t>in regard to</w:t>
      </w:r>
      <w:r w:rsidRPr="00AB38BE">
        <w:t xml:space="preserve"> the lower court’s decision. Under article 12.11, paragraphs 3 and 4, of the Procedural-Executive Code of Administrative Offences, a complaint (protest) concerning a decision </w:t>
      </w:r>
      <w:r>
        <w:t xml:space="preserve">that has been made </w:t>
      </w:r>
      <w:r w:rsidRPr="00AB38BE">
        <w:t xml:space="preserve">within </w:t>
      </w:r>
      <w:r>
        <w:t xml:space="preserve">the ambit of </w:t>
      </w:r>
      <w:r w:rsidRPr="00AB38BE">
        <w:t xml:space="preserve">administrative proceedings </w:t>
      </w:r>
      <w:r>
        <w:t>and that</w:t>
      </w:r>
      <w:r w:rsidRPr="00AB38BE">
        <w:t xml:space="preserve"> has entered into force can be reviewed within </w:t>
      </w:r>
      <w:r>
        <w:t xml:space="preserve">a period of </w:t>
      </w:r>
      <w:r w:rsidRPr="00AB38BE">
        <w:t>six months</w:t>
      </w:r>
      <w:r>
        <w:t>,</w:t>
      </w:r>
      <w:r w:rsidRPr="00AB38BE">
        <w:t xml:space="preserve"> and a complaint submitted after </w:t>
      </w:r>
      <w:r>
        <w:t>that</w:t>
      </w:r>
      <w:r w:rsidRPr="00AB38BE">
        <w:t xml:space="preserve"> deadline</w:t>
      </w:r>
      <w:r>
        <w:t xml:space="preserve"> has passed</w:t>
      </w:r>
      <w:r w:rsidRPr="00AB38BE">
        <w:t xml:space="preserve"> </w:t>
      </w:r>
      <w:r>
        <w:t>cannot</w:t>
      </w:r>
      <w:r w:rsidRPr="00AB38BE">
        <w:t xml:space="preserve"> be reviewed. The author complained to the Prosecutor’s Office about the national courts’ decisions</w:t>
      </w:r>
      <w:r>
        <w:t>,</w:t>
      </w:r>
      <w:r w:rsidRPr="00AB38BE">
        <w:t xml:space="preserve"> however th</w:t>
      </w:r>
      <w:r>
        <w:t>o</w:t>
      </w:r>
      <w:r w:rsidRPr="00AB38BE">
        <w:t>se decisions were not examined due to the author’s failure to pay the required fee.</w:t>
      </w:r>
      <w:r>
        <w:t xml:space="preserve"> </w:t>
      </w:r>
      <w:r w:rsidRPr="00AB38BE">
        <w:t xml:space="preserve">Given that the </w:t>
      </w:r>
      <w:r>
        <w:t>above-</w:t>
      </w:r>
      <w:r w:rsidRPr="00AB38BE">
        <w:t xml:space="preserve">mentioned six-month deadline has passed, the author’s complaints challenging the national court’s decision to hold him liable for having committed an administrative offence </w:t>
      </w:r>
      <w:r>
        <w:t>cannot</w:t>
      </w:r>
      <w:r w:rsidRPr="00AB38BE">
        <w:t xml:space="preserve"> be reviewed. The State party submits that the author </w:t>
      </w:r>
      <w:r w:rsidR="009C6853">
        <w:t>did</w:t>
      </w:r>
      <w:r w:rsidRPr="00AB38BE">
        <w:t xml:space="preserve"> not exhaust all available domestic remedies, </w:t>
      </w:r>
      <w:r>
        <w:t>and</w:t>
      </w:r>
      <w:r w:rsidRPr="00AB38BE">
        <w:t xml:space="preserve"> maintains that th</w:t>
      </w:r>
      <w:r>
        <w:t>o</w:t>
      </w:r>
      <w:r w:rsidRPr="00AB38BE">
        <w:t>se remedies would have been accessible and effective.</w:t>
      </w:r>
    </w:p>
    <w:p w:rsidR="00BC69EC" w:rsidRPr="00AB38BE" w:rsidRDefault="00BC69EC" w:rsidP="00BC69EC">
      <w:pPr>
        <w:pStyle w:val="SingleTxtG"/>
      </w:pPr>
      <w:r w:rsidRPr="00AB38BE">
        <w:t>4.3</w:t>
      </w:r>
      <w:r w:rsidRPr="00AB38BE">
        <w:tab/>
        <w:t xml:space="preserve">The State party further notes that the appeals procedure </w:t>
      </w:r>
      <w:r>
        <w:t xml:space="preserve">that exists </w:t>
      </w:r>
      <w:r w:rsidRPr="00AB38BE">
        <w:t>within the supervisory review proceedings, as provided for in the Procedural-Executive Code of Administrative Offences, is an effective remedy. Under article 12.1 of the Code</w:t>
      </w:r>
      <w:r>
        <w:t>,</w:t>
      </w:r>
      <w:r w:rsidRPr="00AB38BE">
        <w:t xml:space="preserve"> a ruling on </w:t>
      </w:r>
      <w:r>
        <w:t xml:space="preserve">an </w:t>
      </w:r>
      <w:r w:rsidRPr="00AB38BE">
        <w:t>administrative offence can be appealed, inter alia, by the individual against whom the administrative case is opened, an injured party, or their representatives or lawyers, whereas the prosecutors can introduce protest motions against such rulings.</w:t>
      </w:r>
      <w:r>
        <w:t xml:space="preserve"> </w:t>
      </w:r>
      <w:r w:rsidRPr="00AB38BE">
        <w:t xml:space="preserve">Article 12.4 of the </w:t>
      </w:r>
      <w:r>
        <w:t>Code</w:t>
      </w:r>
      <w:r w:rsidRPr="00AB38BE">
        <w:t xml:space="preserve"> provides, inter alia, that a complaint concerning a ruling on </w:t>
      </w:r>
      <w:r>
        <w:t xml:space="preserve">an </w:t>
      </w:r>
      <w:r w:rsidRPr="00AB38BE">
        <w:t xml:space="preserve">administrative offence may be lodged within 10 days </w:t>
      </w:r>
      <w:r>
        <w:t>of</w:t>
      </w:r>
      <w:r w:rsidRPr="00AB38BE">
        <w:t xml:space="preserve"> the day </w:t>
      </w:r>
      <w:r>
        <w:t>on which</w:t>
      </w:r>
      <w:r w:rsidRPr="00AB38BE">
        <w:t xml:space="preserve"> the individual against whom the administrative case has been initiated </w:t>
      </w:r>
      <w:r>
        <w:t>is</w:t>
      </w:r>
      <w:r w:rsidRPr="00AB38BE">
        <w:t xml:space="preserve"> notified of it</w:t>
      </w:r>
      <w:r>
        <w:t>,</w:t>
      </w:r>
      <w:r w:rsidRPr="00AB38BE">
        <w:t xml:space="preserve"> and within 5 days if the administrative case concerns </w:t>
      </w:r>
      <w:r>
        <w:t xml:space="preserve">the </w:t>
      </w:r>
      <w:r w:rsidRPr="00AB38BE">
        <w:t xml:space="preserve">imposition of administrative arrest or </w:t>
      </w:r>
      <w:r w:rsidR="00D67E2F">
        <w:t xml:space="preserve">of </w:t>
      </w:r>
      <w:r w:rsidRPr="00AB38BE">
        <w:t>deportation. Further</w:t>
      </w:r>
      <w:r>
        <w:t>more</w:t>
      </w:r>
      <w:r w:rsidRPr="00AB38BE">
        <w:t>, in line with articles 12.5 and 12.6 of the Code</w:t>
      </w:r>
      <w:r>
        <w:t>,</w:t>
      </w:r>
      <w:r w:rsidRPr="00AB38BE">
        <w:t xml:space="preserve"> if the persons </w:t>
      </w:r>
      <w:r w:rsidR="00247856">
        <w:t>subject to</w:t>
      </w:r>
      <w:r w:rsidRPr="00AB38BE">
        <w:t xml:space="preserve"> article 12.1 of the </w:t>
      </w:r>
      <w:r>
        <w:t>Code were</w:t>
      </w:r>
      <w:r w:rsidRPr="00AB38BE">
        <w:t xml:space="preserve">, for justified reasons, </w:t>
      </w:r>
      <w:r>
        <w:t>unable</w:t>
      </w:r>
      <w:r w:rsidRPr="00AB38BE">
        <w:t xml:space="preserve"> to meet the aforementioned deadline, they may request the court to determine a new deadline. </w:t>
      </w:r>
      <w:r>
        <w:t>When a court approves such a request</w:t>
      </w:r>
      <w:r w:rsidRPr="00AB38BE">
        <w:t>, the execution of the rulings is stayed.</w:t>
      </w:r>
    </w:p>
    <w:p w:rsidR="00BC69EC" w:rsidRPr="00AB38BE" w:rsidRDefault="00BC69EC" w:rsidP="00BC69EC">
      <w:pPr>
        <w:pStyle w:val="SingleTxtG"/>
      </w:pPr>
      <w:r w:rsidRPr="00AB38BE">
        <w:t xml:space="preserve">4.4 </w:t>
      </w:r>
      <w:r>
        <w:tab/>
      </w:r>
      <w:r w:rsidRPr="00AB38BE">
        <w:t>The State party points out that 2</w:t>
      </w:r>
      <w:r>
        <w:t>,</w:t>
      </w:r>
      <w:r w:rsidRPr="00AB38BE">
        <w:t xml:space="preserve">739 complaints </w:t>
      </w:r>
      <w:r>
        <w:t>were</w:t>
      </w:r>
      <w:r w:rsidRPr="00AB38BE">
        <w:t xml:space="preserve"> submitted by individuals to the Prosecutor’s Office in 2008 challenging decision</w:t>
      </w:r>
      <w:r>
        <w:t>s under which they had been</w:t>
      </w:r>
      <w:r w:rsidRPr="00AB38BE">
        <w:t xml:space="preserve"> held liable for having committed an administrative offence; of the</w:t>
      </w:r>
      <w:r>
        <w:t>se</w:t>
      </w:r>
      <w:r w:rsidRPr="00AB38BE">
        <w:t xml:space="preserve">, 422 were </w:t>
      </w:r>
      <w:r>
        <w:t>upheld</w:t>
      </w:r>
      <w:r w:rsidRPr="00AB38BE">
        <w:t xml:space="preserve">. </w:t>
      </w:r>
      <w:r>
        <w:t>D</w:t>
      </w:r>
      <w:r w:rsidRPr="00AB38BE">
        <w:t xml:space="preserve">uring </w:t>
      </w:r>
      <w:r>
        <w:t>the same year</w:t>
      </w:r>
      <w:r w:rsidRPr="00AB38BE">
        <w:t xml:space="preserve">, some 105 protests were lodged by the Prosecutor’s Office to the Supreme Court </w:t>
      </w:r>
      <w:r>
        <w:t>in regard to</w:t>
      </w:r>
      <w:r w:rsidRPr="00AB38BE">
        <w:t xml:space="preserve"> administrative cases; the Supreme Court </w:t>
      </w:r>
      <w:r>
        <w:t>upheld</w:t>
      </w:r>
      <w:r w:rsidRPr="00AB38BE">
        <w:t xml:space="preserve"> 101 of them.</w:t>
      </w:r>
      <w:r w:rsidRPr="00AB38BE">
        <w:tab/>
      </w:r>
      <w:r>
        <w:t xml:space="preserve"> </w:t>
      </w:r>
    </w:p>
    <w:p w:rsidR="00BC69EC" w:rsidRPr="00AB38BE" w:rsidRDefault="00BC69EC" w:rsidP="00BC69EC">
      <w:pPr>
        <w:pStyle w:val="H23G"/>
      </w:pPr>
      <w:r>
        <w:tab/>
      </w:r>
      <w:r>
        <w:tab/>
      </w:r>
      <w:r w:rsidRPr="00AB38BE">
        <w:t>Author’s comments on the State party’s observations</w:t>
      </w:r>
    </w:p>
    <w:p w:rsidR="00BC69EC" w:rsidRPr="00AB38BE" w:rsidRDefault="00BC69EC" w:rsidP="00BC69EC">
      <w:pPr>
        <w:pStyle w:val="SingleTxtG"/>
      </w:pPr>
      <w:r w:rsidRPr="00AB38BE">
        <w:t>5.</w:t>
      </w:r>
      <w:r w:rsidRPr="00AB38BE">
        <w:tab/>
        <w:t xml:space="preserve">On 6 May 2009, </w:t>
      </w:r>
      <w:r>
        <w:t>the author submitted</w:t>
      </w:r>
      <w:r w:rsidRPr="00AB38BE">
        <w:t xml:space="preserve"> that the remedies mentioned by the State party </w:t>
      </w:r>
      <w:r>
        <w:t>were</w:t>
      </w:r>
      <w:r w:rsidRPr="00AB38BE">
        <w:t xml:space="preserve"> not effective and, thus, he did not have to exhaust them. He </w:t>
      </w:r>
      <w:r>
        <w:t>also</w:t>
      </w:r>
      <w:r w:rsidRPr="00AB38BE">
        <w:t xml:space="preserve"> notes that he did submit a complaint to the Supreme Court within supervisory proceedings, but </w:t>
      </w:r>
      <w:r>
        <w:t>that it had been</w:t>
      </w:r>
      <w:r w:rsidRPr="00AB38BE">
        <w:t xml:space="preserve"> dismissed. He further notes that examination of a case </w:t>
      </w:r>
      <w:r>
        <w:t>under</w:t>
      </w:r>
      <w:r w:rsidRPr="00AB38BE">
        <w:t xml:space="preserve"> supervisory review </w:t>
      </w:r>
      <w:r w:rsidRPr="00AB38BE">
        <w:lastRenderedPageBreak/>
        <w:t xml:space="preserve">proceedings is dependent on the discretion of the </w:t>
      </w:r>
      <w:r>
        <w:t>Chairperson of the Supreme Court</w:t>
      </w:r>
      <w:r w:rsidRPr="00AB38BE">
        <w:t xml:space="preserve">, as </w:t>
      </w:r>
      <w:r>
        <w:t>he or she</w:t>
      </w:r>
      <w:r w:rsidRPr="00AB38BE">
        <w:t xml:space="preserve"> decides whether to initiate such proceedings. It is clear that </w:t>
      </w:r>
      <w:r>
        <w:t>the examining</w:t>
      </w:r>
      <w:r w:rsidRPr="00AB38BE">
        <w:t xml:space="preserve"> of a complaint </w:t>
      </w:r>
      <w:r>
        <w:t>under</w:t>
      </w:r>
      <w:r w:rsidRPr="00AB38BE">
        <w:t xml:space="preserve"> supervisory review proceedings is not guaranteed by law; it is not obligatory and requires financial means and, thus, </w:t>
      </w:r>
      <w:r w:rsidR="00247856">
        <w:t>can</w:t>
      </w:r>
      <w:r w:rsidRPr="00AB38BE">
        <w:t xml:space="preserve">not be considered as a precondition </w:t>
      </w:r>
      <w:r>
        <w:t>to</w:t>
      </w:r>
      <w:r w:rsidRPr="00AB38BE">
        <w:t xml:space="preserve"> submitting </w:t>
      </w:r>
      <w:r>
        <w:t xml:space="preserve">a </w:t>
      </w:r>
      <w:r w:rsidRPr="00AB38BE">
        <w:t xml:space="preserve">complaint </w:t>
      </w:r>
      <w:r>
        <w:t>to</w:t>
      </w:r>
      <w:r w:rsidRPr="00AB38BE">
        <w:t xml:space="preserve"> </w:t>
      </w:r>
      <w:r>
        <w:t xml:space="preserve">an </w:t>
      </w:r>
      <w:r w:rsidRPr="00AB38BE">
        <w:t xml:space="preserve">international complaints procedure. In addition, a person who submits a complaint </w:t>
      </w:r>
      <w:r>
        <w:t>under</w:t>
      </w:r>
      <w:r w:rsidRPr="00AB38BE">
        <w:t xml:space="preserve"> supervisory review proceedings is not ensured full participation within such proceedings, which is contrary to the principles of openness, equality of arms and publicity. </w:t>
      </w:r>
      <w:r>
        <w:t>With regard</w:t>
      </w:r>
      <w:r w:rsidRPr="00AB38BE">
        <w:t xml:space="preserve"> to the statistical data provided by the State party, the author points out that it is not clear how many administrative cases concerning violations of rights guaranteed under the Covenant have been challenged or reviewed </w:t>
      </w:r>
      <w:r>
        <w:t>under</w:t>
      </w:r>
      <w:r w:rsidRPr="00AB38BE">
        <w:t xml:space="preserve"> supervisory review proceedings. The author also points out that the State party disregards the </w:t>
      </w:r>
      <w:r w:rsidR="00247856">
        <w:t>V</w:t>
      </w:r>
      <w:r w:rsidRPr="00AB38BE">
        <w:t xml:space="preserve">iews of the Committee </w:t>
      </w:r>
      <w:r>
        <w:t xml:space="preserve">where these are </w:t>
      </w:r>
      <w:r w:rsidRPr="00AB38BE">
        <w:t>adopted in cases against the State party.</w:t>
      </w:r>
    </w:p>
    <w:p w:rsidR="00BC69EC" w:rsidRPr="00AB38BE" w:rsidRDefault="00BC69EC" w:rsidP="00BC69EC">
      <w:pPr>
        <w:pStyle w:val="H23G"/>
      </w:pPr>
      <w:r>
        <w:tab/>
      </w:r>
      <w:r>
        <w:tab/>
      </w:r>
      <w:r w:rsidRPr="00AB38BE">
        <w:t>State party</w:t>
      </w:r>
      <w:r>
        <w:t>’</w:t>
      </w:r>
      <w:r w:rsidRPr="00AB38BE">
        <w:t xml:space="preserve">s observations on </w:t>
      </w:r>
      <w:r>
        <w:t xml:space="preserve">the </w:t>
      </w:r>
      <w:r w:rsidRPr="00AB38BE">
        <w:t>merits</w:t>
      </w:r>
      <w:r>
        <w:t xml:space="preserve"> </w:t>
      </w:r>
    </w:p>
    <w:p w:rsidR="00BC69EC" w:rsidRPr="00AB38BE" w:rsidRDefault="00BC69EC" w:rsidP="00BC69EC">
      <w:pPr>
        <w:pStyle w:val="SingleTxtG"/>
      </w:pPr>
      <w:r w:rsidRPr="00AB38BE">
        <w:t xml:space="preserve">6.1 </w:t>
      </w:r>
      <w:r>
        <w:tab/>
      </w:r>
      <w:r w:rsidRPr="00AB38BE">
        <w:t xml:space="preserve">On 26 May 2009, the State party submitted its observations on the merits. It notes that article 35 of the Constitution guarantees the freedom to hold assemblies, gatherings, street processions, demonstrations and pickets </w:t>
      </w:r>
      <w:r>
        <w:t>that</w:t>
      </w:r>
      <w:r w:rsidRPr="00AB38BE">
        <w:t xml:space="preserve"> do not disrupt public order and do not violate the rights of other citizens. The procedure for holding such events is provided by</w:t>
      </w:r>
      <w:r>
        <w:t xml:space="preserve"> </w:t>
      </w:r>
      <w:r w:rsidRPr="00AB38BE">
        <w:t>law. The provisions of the Law on Mass Events are aimed at creating conditions for the realization of citizens’ constitutional rights and freedoms and the protection of public safety and public order during the holding of such events on streets</w:t>
      </w:r>
      <w:r>
        <w:t xml:space="preserve"> and</w:t>
      </w:r>
      <w:r w:rsidRPr="00AB38BE">
        <w:t xml:space="preserve"> squares and </w:t>
      </w:r>
      <w:r>
        <w:t xml:space="preserve">in </w:t>
      </w:r>
      <w:r w:rsidRPr="00AB38BE">
        <w:t xml:space="preserve">other public locations. The State party recalls that the author was lawfully found guilty of having committed an administrative offence under article 23.34, paragraph 2, of the </w:t>
      </w:r>
      <w:r w:rsidR="00105902" w:rsidRPr="00105902">
        <w:t>Procedural-Executive Code of Administrative Offences</w:t>
      </w:r>
      <w:r w:rsidR="00105902" w:rsidRPr="00105902" w:rsidDel="00105902">
        <w:t xml:space="preserve"> </w:t>
      </w:r>
      <w:r w:rsidRPr="00AB38BE">
        <w:t>(breaching the procedure for organi</w:t>
      </w:r>
      <w:r>
        <w:t>z</w:t>
      </w:r>
      <w:r w:rsidRPr="00AB38BE">
        <w:t xml:space="preserve">ing and holding a mass event, street procession) and </w:t>
      </w:r>
      <w:r>
        <w:t>a penalty was imposed on him of seven days’</w:t>
      </w:r>
      <w:r w:rsidRPr="00AB38BE">
        <w:t xml:space="preserve"> administrative arrest by Zhodino City Court on 24 March 2008. This decision was later upheld by </w:t>
      </w:r>
      <w:smartTag w:uri="urn:schemas-microsoft-com:office:smarttags" w:element="Street">
        <w:smartTag w:uri="urn:schemas-microsoft-com:office:smarttags" w:element="address">
          <w:r w:rsidRPr="00AB38BE">
            <w:t>Minsk Regional Court</w:t>
          </w:r>
        </w:smartTag>
      </w:smartTag>
      <w:r>
        <w:t>,</w:t>
      </w:r>
      <w:r w:rsidRPr="00AB38BE">
        <w:t xml:space="preserve"> and the author’s appeal to the Supreme Court was dismissed on 28 June 2008. The author did not have authori</w:t>
      </w:r>
      <w:r>
        <w:t>z</w:t>
      </w:r>
      <w:r w:rsidRPr="00AB38BE">
        <w:t>ation to organi</w:t>
      </w:r>
      <w:r>
        <w:t>z</w:t>
      </w:r>
      <w:r w:rsidRPr="00AB38BE">
        <w:t xml:space="preserve">e such </w:t>
      </w:r>
      <w:r>
        <w:t xml:space="preserve">a </w:t>
      </w:r>
      <w:r w:rsidRPr="00AB38BE">
        <w:t xml:space="preserve">mass event on 23 March 2008 and he was aware of the prohibition </w:t>
      </w:r>
      <w:r>
        <w:t>on holding</w:t>
      </w:r>
      <w:r w:rsidRPr="00AB38BE">
        <w:t xml:space="preserve"> it.</w:t>
      </w:r>
    </w:p>
    <w:p w:rsidR="00BC69EC" w:rsidRPr="00AB38BE" w:rsidRDefault="00BC69EC" w:rsidP="00BC69EC">
      <w:pPr>
        <w:pStyle w:val="SingleTxtG"/>
      </w:pPr>
      <w:r w:rsidRPr="00AB38BE">
        <w:t>6.2</w:t>
      </w:r>
      <w:r w:rsidRPr="00AB38BE">
        <w:tab/>
        <w:t>The State party adds that according to article 19, paragraph 2, of the Covenant, every individual has the right to freedom of expression; this right includes the freedom to seek, receive and impart information and ideas of all kinds, regardless of frontiers, either orally, in writing or in print, in the form of art</w:t>
      </w:r>
      <w:r>
        <w:t>,</w:t>
      </w:r>
      <w:r w:rsidRPr="00AB38BE">
        <w:t xml:space="preserve"> or through any other media of his choice. However, article 19, paragraph 3, of the Covenant imposes special duties and responsibilities on the rights holder and thus the right to freedom of expression may be subject to certain restrictions that shall be provided by law and are necessary: (a) for respect of the rights or reputation</w:t>
      </w:r>
      <w:r>
        <w:t>s</w:t>
      </w:r>
      <w:r w:rsidRPr="00AB38BE">
        <w:t xml:space="preserve"> of others; and (b) for the protection of national security or </w:t>
      </w:r>
      <w:r>
        <w:t xml:space="preserve">of </w:t>
      </w:r>
      <w:r w:rsidRPr="00AB38BE">
        <w:t xml:space="preserve">public order, </w:t>
      </w:r>
      <w:r>
        <w:t xml:space="preserve">or </w:t>
      </w:r>
      <w:r w:rsidRPr="00AB38BE">
        <w:t xml:space="preserve">of public health or morals. Article 21 of the Covenant recognizes the right to peaceful assembly.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 </w:t>
      </w:r>
    </w:p>
    <w:p w:rsidR="00BC69EC" w:rsidRPr="00AB38BE" w:rsidRDefault="00BC69EC" w:rsidP="00BC69EC">
      <w:pPr>
        <w:pStyle w:val="SingleTxtG"/>
      </w:pPr>
      <w:r w:rsidRPr="00AB38BE">
        <w:t xml:space="preserve">6.3 </w:t>
      </w:r>
      <w:r>
        <w:tab/>
      </w:r>
      <w:r w:rsidRPr="00AB38BE">
        <w:t>The State party explains that</w:t>
      </w:r>
      <w:r>
        <w:t>,</w:t>
      </w:r>
      <w:r w:rsidRPr="00AB38BE">
        <w:t xml:space="preserve"> as a party to the Covenant, it has incorporated the provisions of articles 19 and 21 into </w:t>
      </w:r>
      <w:r>
        <w:t>its</w:t>
      </w:r>
      <w:r w:rsidRPr="00AB38BE">
        <w:t xml:space="preserve"> domestic legal system. In conformity with article 23 of the Constitution, restrictions upon the rights and freedoms of individuals are only permitted in instances specified by </w:t>
      </w:r>
      <w:r>
        <w:t xml:space="preserve">the </w:t>
      </w:r>
      <w:r w:rsidRPr="00AB38BE">
        <w:t xml:space="preserve">law, in the interest of national security, public order, </w:t>
      </w:r>
      <w:r w:rsidR="00247856">
        <w:t xml:space="preserve">or the </w:t>
      </w:r>
      <w:r w:rsidRPr="00AB38BE">
        <w:t xml:space="preserve">protection of public health </w:t>
      </w:r>
      <w:r w:rsidR="00247856">
        <w:t>or</w:t>
      </w:r>
      <w:r w:rsidRPr="00AB38BE">
        <w:t xml:space="preserve"> morals, </w:t>
      </w:r>
      <w:r w:rsidR="00247856">
        <w:t>or</w:t>
      </w:r>
      <w:r w:rsidRPr="00AB38BE">
        <w:t xml:space="preserve"> of </w:t>
      </w:r>
      <w:r w:rsidR="00247856">
        <w:t xml:space="preserve">the </w:t>
      </w:r>
      <w:r w:rsidRPr="00AB38BE">
        <w:t xml:space="preserve">rights and freedoms of other persons. </w:t>
      </w:r>
      <w:r>
        <w:t>Analysis</w:t>
      </w:r>
      <w:r w:rsidRPr="00AB38BE">
        <w:t xml:space="preserve"> of article 35 of the Constitution, which guarantees the freedom</w:t>
      </w:r>
      <w:r w:rsidR="009C6853">
        <w:t xml:space="preserve"> to hold</w:t>
      </w:r>
      <w:r w:rsidRPr="00AB38BE">
        <w:t xml:space="preserve"> public events, clearly demonstrates that the Constitution establishes the </w:t>
      </w:r>
      <w:r>
        <w:t xml:space="preserve">legal </w:t>
      </w:r>
      <w:r w:rsidRPr="00AB38BE">
        <w:t xml:space="preserve">framework for holding such events. </w:t>
      </w:r>
      <w:r>
        <w:t>The o</w:t>
      </w:r>
      <w:r w:rsidRPr="00AB38BE">
        <w:t>rgani</w:t>
      </w:r>
      <w:r>
        <w:t>z</w:t>
      </w:r>
      <w:r w:rsidRPr="00AB38BE">
        <w:t xml:space="preserve">ation and holding of assemblies, gatherings, street processions, demonstrations and pickets </w:t>
      </w:r>
      <w:r>
        <w:t>is</w:t>
      </w:r>
      <w:r w:rsidRPr="00AB38BE">
        <w:t xml:space="preserve"> regulated by the Law on Mass Events of 7 August 2003, which requires </w:t>
      </w:r>
      <w:r>
        <w:t>that prior authorization be obtained</w:t>
      </w:r>
      <w:r w:rsidRPr="00AB38BE">
        <w:t xml:space="preserve"> to hold such events. </w:t>
      </w:r>
      <w:r w:rsidRPr="00AB38BE">
        <w:lastRenderedPageBreak/>
        <w:t xml:space="preserve">Freedom of expression, as guaranteed under the Constitution, may be subject to restrictions only in instances provided by law, in the interest of national security, public order, </w:t>
      </w:r>
      <w:r w:rsidR="00247856">
        <w:t xml:space="preserve">or the </w:t>
      </w:r>
      <w:r w:rsidRPr="00AB38BE">
        <w:t xml:space="preserve">protection of public health </w:t>
      </w:r>
      <w:r w:rsidR="00247856">
        <w:t>or</w:t>
      </w:r>
      <w:r w:rsidRPr="00AB38BE">
        <w:t xml:space="preserve"> morals, </w:t>
      </w:r>
      <w:r w:rsidR="00247856">
        <w:t>or</w:t>
      </w:r>
      <w:r w:rsidRPr="00AB38BE">
        <w:t xml:space="preserve"> of</w:t>
      </w:r>
      <w:r w:rsidR="00247856">
        <w:t xml:space="preserve"> the</w:t>
      </w:r>
      <w:r w:rsidRPr="00AB38BE">
        <w:t xml:space="preserve"> rights and freedoms of other persons. Therefore, the restrictions provided for under Belarusian law are in conformity with the State party’s international obligations, and are aimed at protecting national security and public order</w:t>
      </w:r>
      <w:r>
        <w:t>:</w:t>
      </w:r>
      <w:r w:rsidRPr="00AB38BE">
        <w:t xml:space="preserve"> in particular, this concerns the provisions of article 23.34 of the </w:t>
      </w:r>
      <w:r w:rsidR="00105902" w:rsidRPr="00105902">
        <w:t>Procedural-Executive Code of Administrative Offences</w:t>
      </w:r>
      <w:r w:rsidR="00105902" w:rsidRPr="00105902" w:rsidDel="00105902">
        <w:t xml:space="preserve"> </w:t>
      </w:r>
      <w:r w:rsidRPr="00AB38BE">
        <w:t xml:space="preserve">and article 8 of the Law on Mass Events. </w:t>
      </w:r>
    </w:p>
    <w:p w:rsidR="00BC69EC" w:rsidRPr="00AB38BE" w:rsidRDefault="00BC69EC" w:rsidP="00BC69EC">
      <w:pPr>
        <w:pStyle w:val="H23G"/>
      </w:pPr>
      <w:r>
        <w:tab/>
      </w:r>
      <w:r>
        <w:tab/>
      </w:r>
      <w:r w:rsidRPr="00AB38BE">
        <w:t>Author’s comments on the State party’s observations</w:t>
      </w:r>
    </w:p>
    <w:p w:rsidR="00BC69EC" w:rsidRPr="00AB38BE" w:rsidRDefault="00BC69EC" w:rsidP="00BC69EC">
      <w:pPr>
        <w:pStyle w:val="SingleTxtG"/>
      </w:pPr>
      <w:r w:rsidRPr="00AB38BE">
        <w:t xml:space="preserve">7.1 </w:t>
      </w:r>
      <w:r>
        <w:tab/>
      </w:r>
      <w:r w:rsidRPr="00AB38BE">
        <w:t xml:space="preserve">The author provided his comments </w:t>
      </w:r>
      <w:r>
        <w:t>on</w:t>
      </w:r>
      <w:r w:rsidRPr="00AB38BE">
        <w:t xml:space="preserve"> the State party’s observations on 21 March 2010. He submits that in light of article 35 of the Constitution of </w:t>
      </w:r>
      <w:r>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rsidRPr="00AB38BE">
            <w:t>Belarus</w:t>
          </w:r>
        </w:smartTag>
      </w:smartTag>
      <w:r w:rsidRPr="00AB38BE">
        <w:t>, as well as its obligations under, inter alia, the Covenant, the State party may not interfere arbitrarily with the right of peaceful assembly.</w:t>
      </w:r>
    </w:p>
    <w:p w:rsidR="00BC69EC" w:rsidRPr="00AB38BE" w:rsidRDefault="00BC69EC" w:rsidP="00BC69EC">
      <w:pPr>
        <w:pStyle w:val="SingleTxtG"/>
      </w:pPr>
      <w:r w:rsidRPr="00AB38BE">
        <w:t xml:space="preserve">7.2 </w:t>
      </w:r>
      <w:r>
        <w:tab/>
      </w:r>
      <w:r w:rsidRPr="00AB38BE">
        <w:t xml:space="preserve">The author notes that </w:t>
      </w:r>
      <w:r>
        <w:t>instead of being ensured the rights that are guaranteed</w:t>
      </w:r>
      <w:r w:rsidRPr="00AB38BE">
        <w:t xml:space="preserve"> under the Covenant, he and the other organi</w:t>
      </w:r>
      <w:r>
        <w:t>z</w:t>
      </w:r>
      <w:r w:rsidRPr="00AB38BE">
        <w:t xml:space="preserve">ers </w:t>
      </w:r>
      <w:r>
        <w:t>received punishment by the State party in the form of a seven-day</w:t>
      </w:r>
      <w:r w:rsidRPr="00AB38BE">
        <w:t xml:space="preserve"> administrative arrest. In this connection, he points out that the national authorities had failed to provide any justification when rejecting their application. In addition, the author notes that in light of the refusal to </w:t>
      </w:r>
      <w:r>
        <w:t xml:space="preserve">grant permission to </w:t>
      </w:r>
      <w:r w:rsidRPr="00AB38BE">
        <w:t>hold the events on 23 March 2008, he</w:t>
      </w:r>
      <w:r>
        <w:t>,</w:t>
      </w:r>
      <w:r w:rsidRPr="00AB38BE">
        <w:t xml:space="preserve"> together with the other organi</w:t>
      </w:r>
      <w:r>
        <w:t>z</w:t>
      </w:r>
      <w:r w:rsidRPr="00AB38BE">
        <w:t>ers, decided not to hold them</w:t>
      </w:r>
      <w:r>
        <w:t>,</w:t>
      </w:r>
      <w:r w:rsidRPr="00AB38BE">
        <w:t xml:space="preserve"> and they did not hold them.</w:t>
      </w:r>
    </w:p>
    <w:p w:rsidR="00BC69EC" w:rsidRPr="00AB38BE" w:rsidRDefault="00BC69EC" w:rsidP="00BC69EC">
      <w:pPr>
        <w:pStyle w:val="SingleTxtG"/>
      </w:pPr>
      <w:r w:rsidRPr="00AB38BE">
        <w:t xml:space="preserve">7.3 </w:t>
      </w:r>
      <w:r>
        <w:tab/>
      </w:r>
      <w:r w:rsidRPr="00AB38BE">
        <w:t xml:space="preserve">As </w:t>
      </w:r>
      <w:r>
        <w:t>regards</w:t>
      </w:r>
      <w:r w:rsidRPr="00AB38BE">
        <w:t xml:space="preserve"> the peaceful meeting</w:t>
      </w:r>
      <w:r>
        <w:t xml:space="preserve"> that</w:t>
      </w:r>
      <w:r w:rsidRPr="00AB38BE">
        <w:t xml:space="preserve"> took place on 23 March 2008 near the </w:t>
      </w:r>
      <w:smartTag w:uri="urn:schemas-microsoft-com:office:smarttags" w:element="place">
        <w:smartTag w:uri="urn:schemas-microsoft-com:office:smarttags" w:element="PlaceType">
          <w:r w:rsidRPr="00AB38BE">
            <w:t>Park</w:t>
          </w:r>
        </w:smartTag>
        <w:r w:rsidRPr="00AB38BE">
          <w:t xml:space="preserve"> of </w:t>
        </w:r>
        <w:smartTag w:uri="urn:schemas-microsoft-com:office:smarttags" w:element="PlaceName">
          <w:r w:rsidRPr="00AB38BE">
            <w:t>Culture</w:t>
          </w:r>
        </w:smartTag>
      </w:smartTag>
      <w:r w:rsidRPr="00AB38BE">
        <w:t xml:space="preserve">, the author notes that </w:t>
      </w:r>
      <w:r>
        <w:t>this</w:t>
      </w:r>
      <w:r w:rsidRPr="00AB38BE">
        <w:t xml:space="preserve"> was merely a meeting of </w:t>
      </w:r>
      <w:r>
        <w:t xml:space="preserve">a </w:t>
      </w:r>
      <w:r w:rsidRPr="00AB38BE">
        <w:t>group of like</w:t>
      </w:r>
      <w:r>
        <w:t>-</w:t>
      </w:r>
      <w:r w:rsidRPr="00AB38BE">
        <w:t xml:space="preserve">minded persons who wished to commemorate the heroes who had fought for the country and to place flowers at the foot of a monument. Such activities, </w:t>
      </w:r>
      <w:r>
        <w:t>namely</w:t>
      </w:r>
      <w:r w:rsidRPr="00AB38BE">
        <w:t xml:space="preserve"> to meet with like</w:t>
      </w:r>
      <w:r>
        <w:t>-</w:t>
      </w:r>
      <w:r w:rsidRPr="00AB38BE">
        <w:t xml:space="preserve">minded persons and to place flowers, did not require </w:t>
      </w:r>
      <w:r>
        <w:t xml:space="preserve">the </w:t>
      </w:r>
      <w:r w:rsidRPr="00AB38BE">
        <w:t>obtaining of permission from the authorities.</w:t>
      </w:r>
    </w:p>
    <w:p w:rsidR="00BC69EC" w:rsidRPr="00AB38BE" w:rsidRDefault="00BC69EC" w:rsidP="00BC69EC">
      <w:pPr>
        <w:pStyle w:val="SingleTxtG"/>
      </w:pPr>
      <w:r w:rsidRPr="00AB38BE">
        <w:t xml:space="preserve">7.4 </w:t>
      </w:r>
      <w:r>
        <w:tab/>
      </w:r>
      <w:r w:rsidRPr="00AB38BE">
        <w:t>The author further notes that the State authorities should apply the Law on Mass Events in such a manner as to facilitate the enjoyment of the right</w:t>
      </w:r>
      <w:r>
        <w:t>s</w:t>
      </w:r>
      <w:r w:rsidRPr="00AB38BE">
        <w:t xml:space="preserve"> of freedom of expression and of peaceful assembly. The authorities should not complicate the procedure</w:t>
      </w:r>
      <w:r>
        <w:t>s</w:t>
      </w:r>
      <w:r w:rsidRPr="00AB38BE">
        <w:t xml:space="preserve"> for enjoyment of the respective rights, but </w:t>
      </w:r>
      <w:r>
        <w:t>rather simplify them</w:t>
      </w:r>
      <w:r w:rsidRPr="00AB38BE">
        <w:t xml:space="preserve"> in order to ensure that </w:t>
      </w:r>
      <w:r>
        <w:t>the rights</w:t>
      </w:r>
      <w:r w:rsidRPr="00AB38BE">
        <w:t xml:space="preserve"> can be enjoyed in practice. In this regard, the author points out that a system where</w:t>
      </w:r>
      <w:r>
        <w:t>by</w:t>
      </w:r>
      <w:r w:rsidRPr="00AB38BE">
        <w:t xml:space="preserve"> permission must be obtained for organi</w:t>
      </w:r>
      <w:r>
        <w:t>z</w:t>
      </w:r>
      <w:r w:rsidRPr="00AB38BE">
        <w:t>ing and holding mass event</w:t>
      </w:r>
      <w:r>
        <w:t>s</w:t>
      </w:r>
      <w:r w:rsidRPr="00AB38BE">
        <w:t xml:space="preserve"> </w:t>
      </w:r>
      <w:r>
        <w:t>in fact disallows the</w:t>
      </w:r>
      <w:r w:rsidRPr="00AB38BE">
        <w:t xml:space="preserve"> holding of such events</w:t>
      </w:r>
      <w:r>
        <w:t>,</w:t>
      </w:r>
      <w:r w:rsidRPr="00AB38BE">
        <w:t xml:space="preserve"> and facilitates broad interpretation</w:t>
      </w:r>
      <w:r>
        <w:t>s</w:t>
      </w:r>
      <w:r w:rsidRPr="00AB38BE">
        <w:t xml:space="preserve"> by the State authorities of criteria </w:t>
      </w:r>
      <w:r>
        <w:t>that allow permission to assemble peacefully to be denied</w:t>
      </w:r>
      <w:r w:rsidRPr="00AB38BE">
        <w:t>. He also points out that in the State party</w:t>
      </w:r>
      <w:r>
        <w:t>,</w:t>
      </w:r>
      <w:r w:rsidRPr="00AB38BE">
        <w:t xml:space="preserve"> and in Zhodino in particular, activities organi</w:t>
      </w:r>
      <w:r>
        <w:t>z</w:t>
      </w:r>
      <w:r w:rsidRPr="00AB38BE">
        <w:t xml:space="preserve">ed by civil society and the opposition are </w:t>
      </w:r>
      <w:r>
        <w:t>constantly prohibited, unlawfully</w:t>
      </w:r>
      <w:r w:rsidRPr="00AB38BE">
        <w:t xml:space="preserve">. The State authorities usually do not provide </w:t>
      </w:r>
      <w:r>
        <w:t xml:space="preserve">any </w:t>
      </w:r>
      <w:r w:rsidRPr="00AB38BE">
        <w:t xml:space="preserve">justification </w:t>
      </w:r>
      <w:r>
        <w:t>for refusing to allow such activities to be held</w:t>
      </w:r>
      <w:r w:rsidRPr="00AB38BE">
        <w:t xml:space="preserve">, or </w:t>
      </w:r>
      <w:r>
        <w:t xml:space="preserve">else </w:t>
      </w:r>
      <w:r w:rsidRPr="00AB38BE">
        <w:t>the refusal is justified on formal shortcomings. The author considers that</w:t>
      </w:r>
      <w:r>
        <w:t>,</w:t>
      </w:r>
      <w:r w:rsidRPr="00AB38BE">
        <w:t xml:space="preserve"> in essence, the existing system for obtaining permission to hold a mass event is controlled centrally and </w:t>
      </w:r>
      <w:r>
        <w:t xml:space="preserve">is </w:t>
      </w:r>
      <w:r w:rsidRPr="00AB38BE">
        <w:t>based on ideological considerations.</w:t>
      </w:r>
    </w:p>
    <w:p w:rsidR="00BC69EC" w:rsidRPr="00AB38BE" w:rsidRDefault="00BC69EC" w:rsidP="00BC69EC">
      <w:pPr>
        <w:pStyle w:val="SingleTxtG"/>
      </w:pPr>
      <w:r w:rsidRPr="00AB38BE">
        <w:t xml:space="preserve">7.5 </w:t>
      </w:r>
      <w:r>
        <w:tab/>
      </w:r>
      <w:r w:rsidRPr="00AB38BE">
        <w:t xml:space="preserve">The author notes that his punishment in the form of </w:t>
      </w:r>
      <w:r>
        <w:t>a seven-day</w:t>
      </w:r>
      <w:r w:rsidRPr="00AB38BE">
        <w:t xml:space="preserve"> administrative arrest constitutes degrading, repressive and discriminatory treatment, and was not necessary for purposes of restrictions permitting interference with the rights of peaceful assembly and </w:t>
      </w:r>
      <w:r>
        <w:t xml:space="preserve">of </w:t>
      </w:r>
      <w:r w:rsidRPr="00AB38BE">
        <w:t xml:space="preserve">freedom of expression. According to him, none of the individuals who carried balloons and placed flowers at the foot of obelisk on 23 March 2008, a date of national pride and </w:t>
      </w:r>
      <w:r>
        <w:t xml:space="preserve">the </w:t>
      </w:r>
      <w:r w:rsidRPr="00AB38BE">
        <w:t xml:space="preserve">establishment of the People’s Republic of Belarus, and who were later found guilty of committing </w:t>
      </w:r>
      <w:r>
        <w:t xml:space="preserve">an </w:t>
      </w:r>
      <w:r w:rsidRPr="00AB38BE">
        <w:t xml:space="preserve">administrative offence, </w:t>
      </w:r>
      <w:r>
        <w:t>endangered</w:t>
      </w:r>
      <w:r w:rsidRPr="00AB38BE">
        <w:t xml:space="preserve"> national security, public order, </w:t>
      </w:r>
      <w:r>
        <w:t xml:space="preserve">the </w:t>
      </w:r>
      <w:r w:rsidRPr="00AB38BE">
        <w:t>rights and freedoms of others or public health or morals. The author further notes that the State party</w:t>
      </w:r>
      <w:r>
        <w:t>,</w:t>
      </w:r>
      <w:r w:rsidRPr="00AB38BE">
        <w:t xml:space="preserve"> in its observations </w:t>
      </w:r>
      <w:r>
        <w:t>regarding</w:t>
      </w:r>
      <w:r w:rsidRPr="00AB38BE">
        <w:t xml:space="preserve"> admissibility, arbitrary interprets the provisions of the Covenant and the Optional Protocol thereto</w:t>
      </w:r>
      <w:r>
        <w:t>,</w:t>
      </w:r>
      <w:r w:rsidRPr="00AB38BE">
        <w:t xml:space="preserve"> disregarding general comment No.</w:t>
      </w:r>
      <w:r>
        <w:t xml:space="preserve"> </w:t>
      </w:r>
      <w:r w:rsidRPr="00AB38BE">
        <w:t>33</w:t>
      </w:r>
      <w:r>
        <w:t xml:space="preserve"> of the Human Rights Committee</w:t>
      </w:r>
      <w:r w:rsidRPr="00AB38BE">
        <w:t>.</w:t>
      </w:r>
    </w:p>
    <w:p w:rsidR="00BC69EC" w:rsidRPr="00AB38BE" w:rsidRDefault="00BC69EC" w:rsidP="00BC69EC">
      <w:pPr>
        <w:pStyle w:val="SingleTxtG"/>
      </w:pPr>
      <w:r w:rsidRPr="00AB38BE">
        <w:lastRenderedPageBreak/>
        <w:t xml:space="preserve">7.6 </w:t>
      </w:r>
      <w:r>
        <w:tab/>
      </w:r>
      <w:r w:rsidRPr="00AB38BE">
        <w:t>The author emphasi</w:t>
      </w:r>
      <w:r>
        <w:t>z</w:t>
      </w:r>
      <w:r w:rsidRPr="00AB38BE">
        <w:t xml:space="preserve">es that in a democratic country, </w:t>
      </w:r>
      <w:r>
        <w:t>the</w:t>
      </w:r>
      <w:r w:rsidRPr="00AB38BE">
        <w:t xml:space="preserve"> right to hold a peaceful mass event may not be restricted arbitrarily, but only on exact and clear grounds, when there are serious reasons for such restrictions. When a country becomes a party to the Covenant and its Optional Protocol, it should respect its obligations thereunder not only in theory, but also in practice. Therefore, rights under the Covenant may not be restricted merely on formalistic grounds. They may be limited only when the restriction is provided by law, it is necessary </w:t>
      </w:r>
      <w:r w:rsidR="00247856">
        <w:t>in the interests</w:t>
      </w:r>
      <w:r w:rsidRPr="00AB38BE">
        <w:t xml:space="preserve"> of national</w:t>
      </w:r>
      <w:r w:rsidR="00247856">
        <w:t xml:space="preserve"> security</w:t>
      </w:r>
      <w:r w:rsidRPr="00AB38BE">
        <w:t xml:space="preserve"> </w:t>
      </w:r>
      <w:r w:rsidR="00D4238A">
        <w:t>or</w:t>
      </w:r>
      <w:r w:rsidRPr="00AB38BE">
        <w:t xml:space="preserve"> public </w:t>
      </w:r>
      <w:r w:rsidR="00247856">
        <w:t>safety</w:t>
      </w:r>
      <w:r>
        <w:t>,</w:t>
      </w:r>
      <w:r w:rsidRPr="00AB38BE">
        <w:t xml:space="preserve"> public order,</w:t>
      </w:r>
      <w:r>
        <w:t xml:space="preserve"> the </w:t>
      </w:r>
      <w:r w:rsidRPr="00AB38BE">
        <w:t xml:space="preserve">protection of </w:t>
      </w:r>
      <w:r>
        <w:t xml:space="preserve">public </w:t>
      </w:r>
      <w:r w:rsidRPr="00AB38BE">
        <w:t xml:space="preserve">health </w:t>
      </w:r>
      <w:r>
        <w:t>or</w:t>
      </w:r>
      <w:r w:rsidRPr="00AB38BE">
        <w:t xml:space="preserve"> morals </w:t>
      </w:r>
      <w:r>
        <w:t xml:space="preserve">or the </w:t>
      </w:r>
      <w:r w:rsidRPr="00AB38BE">
        <w:t>protection of the rights and freedoms of others</w:t>
      </w:r>
      <w:r>
        <w:t>,</w:t>
      </w:r>
      <w:r w:rsidRPr="00AB38BE">
        <w:t xml:space="preserve"> and it is necessary in a democratic society. In this regard, the author notes that the State authorities failed to examine the merits of applications from representatives of civil society, </w:t>
      </w:r>
      <w:r>
        <w:t>instead dismissing them</w:t>
      </w:r>
      <w:r w:rsidRPr="00AB38BE">
        <w:t xml:space="preserve"> on formalistic grounds. He also notes that in light of the absence </w:t>
      </w:r>
      <w:r>
        <w:t xml:space="preserve">in the national laws </w:t>
      </w:r>
      <w:r w:rsidRPr="00AB38BE">
        <w:t xml:space="preserve">of a restriction </w:t>
      </w:r>
      <w:r>
        <w:t>that specifies “</w:t>
      </w:r>
      <w:r w:rsidRPr="00AB38BE">
        <w:t>which is necessary in a democratic society</w:t>
      </w:r>
      <w:r>
        <w:t>”</w:t>
      </w:r>
      <w:r w:rsidRPr="00AB38BE">
        <w:t>, any future picket</w:t>
      </w:r>
      <w:r>
        <w:t>,</w:t>
      </w:r>
      <w:r w:rsidRPr="00AB38BE">
        <w:t xml:space="preserve"> or decision to commemorate the heroes who fought for the country and died </w:t>
      </w:r>
      <w:r>
        <w:t>in battle,</w:t>
      </w:r>
      <w:r w:rsidRPr="00AB38BE">
        <w:t xml:space="preserve"> and to place flowers at the foot of a monument</w:t>
      </w:r>
      <w:r>
        <w:t>,</w:t>
      </w:r>
      <w:r w:rsidRPr="00AB38BE">
        <w:t xml:space="preserve"> may be restricted arbitrary in the State party in the interests of </w:t>
      </w:r>
      <w:r>
        <w:t>“</w:t>
      </w:r>
      <w:r w:rsidRPr="00AB38BE">
        <w:t>national security and public order</w:t>
      </w:r>
      <w:r>
        <w:t>”</w:t>
      </w:r>
      <w:r w:rsidRPr="00AB38BE">
        <w:t>.</w:t>
      </w:r>
    </w:p>
    <w:p w:rsidR="00BC69EC" w:rsidRPr="00AB38BE" w:rsidRDefault="00BC69EC" w:rsidP="00BC69EC">
      <w:pPr>
        <w:pStyle w:val="SingleTxtG"/>
      </w:pPr>
      <w:r w:rsidRPr="00AB38BE">
        <w:t xml:space="preserve">7.7 </w:t>
      </w:r>
      <w:r>
        <w:tab/>
      </w:r>
      <w:r w:rsidRPr="00AB38BE">
        <w:t>Finally, the author points out that the interpretation by the State party of its obligations under the Covenant and its Optional Protocol</w:t>
      </w:r>
      <w:r>
        <w:t>,</w:t>
      </w:r>
      <w:r w:rsidRPr="00AB38BE">
        <w:t xml:space="preserve"> as mentioned in its observations </w:t>
      </w:r>
      <w:r>
        <w:t>on</w:t>
      </w:r>
      <w:r w:rsidRPr="00AB38BE">
        <w:t xml:space="preserve"> the admissibility of the present communication, in essence results in the violation of the rights mentioned therein.</w:t>
      </w:r>
    </w:p>
    <w:p w:rsidR="00BC69EC" w:rsidRPr="00AB38BE" w:rsidRDefault="00BC69EC" w:rsidP="00BC69EC">
      <w:pPr>
        <w:pStyle w:val="H23G"/>
      </w:pPr>
      <w:r>
        <w:tab/>
      </w:r>
      <w:r>
        <w:tab/>
      </w:r>
      <w:r w:rsidRPr="00AB38BE">
        <w:t>Issues and proceedings before the Committee</w:t>
      </w:r>
    </w:p>
    <w:p w:rsidR="00BC69EC" w:rsidRPr="00AB38BE" w:rsidRDefault="00BC69EC" w:rsidP="00BC69EC">
      <w:pPr>
        <w:pStyle w:val="H4G"/>
        <w:rPr>
          <w:bCs/>
        </w:rPr>
      </w:pPr>
      <w:r>
        <w:tab/>
      </w:r>
      <w:r>
        <w:tab/>
      </w:r>
      <w:r w:rsidRPr="00AB38BE">
        <w:t>Consideration of admissibility</w:t>
      </w:r>
    </w:p>
    <w:p w:rsidR="00BC69EC" w:rsidRPr="00AB38BE" w:rsidRDefault="00BC69EC" w:rsidP="00BC69EC">
      <w:pPr>
        <w:pStyle w:val="SingleTxtG"/>
        <w:rPr>
          <w:bCs/>
        </w:rPr>
      </w:pPr>
      <w:r w:rsidRPr="00AB38BE">
        <w:rPr>
          <w:bCs/>
        </w:rPr>
        <w:t xml:space="preserve">8.1 </w:t>
      </w:r>
      <w:r>
        <w:rPr>
          <w:bCs/>
        </w:rPr>
        <w:tab/>
      </w:r>
      <w:r w:rsidRPr="00AB38BE">
        <w:rPr>
          <w:bCs/>
        </w:rPr>
        <w:t>Before considering any claim contained in a communication, the Human Rights Committee must</w:t>
      </w:r>
      <w:r>
        <w:rPr>
          <w:bCs/>
        </w:rPr>
        <w:t xml:space="preserve"> decide</w:t>
      </w:r>
      <w:r w:rsidRPr="00AB38BE">
        <w:rPr>
          <w:bCs/>
        </w:rPr>
        <w:t xml:space="preserve">, in accordance with rule 93 of its rules of procedure, whether the </w:t>
      </w:r>
      <w:r>
        <w:rPr>
          <w:bCs/>
        </w:rPr>
        <w:t>communication</w:t>
      </w:r>
      <w:r w:rsidRPr="00AB38BE">
        <w:rPr>
          <w:bCs/>
        </w:rPr>
        <w:t xml:space="preserve"> is admissible under the Optional Protocol to the Covenant.</w:t>
      </w:r>
    </w:p>
    <w:p w:rsidR="00BC69EC" w:rsidRPr="00AB38BE" w:rsidRDefault="00BC69EC" w:rsidP="00BC69EC">
      <w:pPr>
        <w:pStyle w:val="SingleTxtG"/>
      </w:pPr>
      <w:r w:rsidRPr="00AB38BE">
        <w:t>8.2</w:t>
      </w:r>
      <w:r w:rsidRPr="00AB38BE">
        <w:tab/>
      </w:r>
      <w:r>
        <w:t>As required under article 5, paragraph 2 (a), of the Optional Protocol, t</w:t>
      </w:r>
      <w:r w:rsidRPr="00AB38BE">
        <w:t xml:space="preserve">he Committee has ascertained that the same matter is not being examined under another procedure of international investigation or settlement. </w:t>
      </w:r>
    </w:p>
    <w:p w:rsidR="00BC69EC" w:rsidRPr="00AB38BE" w:rsidRDefault="00BC69EC" w:rsidP="00BC69EC">
      <w:pPr>
        <w:pStyle w:val="SingleTxtG"/>
      </w:pPr>
      <w:r w:rsidRPr="00AB38BE">
        <w:t>8</w:t>
      </w:r>
      <w:r w:rsidRPr="00AB38BE">
        <w:rPr>
          <w:lang w:val="en-US"/>
        </w:rPr>
        <w:t xml:space="preserve">.3 </w:t>
      </w:r>
      <w:r w:rsidRPr="00AB38BE">
        <w:rPr>
          <w:lang w:val="en-US"/>
        </w:rPr>
        <w:tab/>
        <w:t xml:space="preserve">The Committee takes note of the State party’s argument that the author failed to exhaust domestic remedies, as he did not apply for supervisory review </w:t>
      </w:r>
      <w:r>
        <w:rPr>
          <w:lang w:val="en-US"/>
        </w:rPr>
        <w:t xml:space="preserve">proceedings </w:t>
      </w:r>
      <w:r w:rsidRPr="00AB38BE">
        <w:rPr>
          <w:lang w:val="en-US"/>
        </w:rPr>
        <w:t>to the Chairperson of the Supreme Court of Belarus and to the Prosecutor’s Office. The Committee notes that</w:t>
      </w:r>
      <w:r>
        <w:rPr>
          <w:lang w:val="en-US"/>
        </w:rPr>
        <w:t>,</w:t>
      </w:r>
      <w:r w:rsidRPr="00AB38BE">
        <w:rPr>
          <w:lang w:val="en-US"/>
        </w:rPr>
        <w:t xml:space="preserve"> according to the materials available on file, it appears that the author </w:t>
      </w:r>
      <w:r>
        <w:rPr>
          <w:lang w:val="en-US"/>
        </w:rPr>
        <w:t>made a complaint to</w:t>
      </w:r>
      <w:r w:rsidRPr="00AB38BE">
        <w:rPr>
          <w:lang w:val="en-US"/>
        </w:rPr>
        <w:t xml:space="preserve"> the Supreme Court under the supervisory review proceedings</w:t>
      </w:r>
      <w:r>
        <w:rPr>
          <w:lang w:val="en-US"/>
        </w:rPr>
        <w:t>,</w:t>
      </w:r>
      <w:r w:rsidRPr="00AB38BE">
        <w:rPr>
          <w:lang w:val="en-US"/>
        </w:rPr>
        <w:t xml:space="preserve"> however on 28 June 2008 his appeal was dismissed as unfounded.</w:t>
      </w:r>
      <w:r>
        <w:rPr>
          <w:lang w:val="en-US"/>
        </w:rPr>
        <w:t xml:space="preserve"> </w:t>
      </w:r>
      <w:r w:rsidRPr="00AB38BE">
        <w:rPr>
          <w:lang w:val="en-US"/>
        </w:rPr>
        <w:t>T</w:t>
      </w:r>
      <w:r w:rsidRPr="00AB38BE">
        <w:t>he Committee further notes that the State party has not indicated whether the procedure</w:t>
      </w:r>
      <w:r>
        <w:t xml:space="preserve"> before the Prosecutor’s Office under the supervisory review proceedings</w:t>
      </w:r>
      <w:r w:rsidRPr="00AB38BE">
        <w:t xml:space="preserve"> has been successfully applied in cases concerning freedom of expression and </w:t>
      </w:r>
      <w:r>
        <w:t xml:space="preserve">the </w:t>
      </w:r>
      <w:r w:rsidRPr="00AB38BE">
        <w:t>right to peaceful assembly</w:t>
      </w:r>
      <w:r>
        <w:t>,</w:t>
      </w:r>
      <w:r w:rsidRPr="00AB38BE">
        <w:t xml:space="preserve"> and has not specified the number of such cases. The Committee recalls its jurisprudence, according to which </w:t>
      </w:r>
      <w:r>
        <w:t xml:space="preserve">the State party’s </w:t>
      </w:r>
      <w:r w:rsidRPr="00AB38BE">
        <w:t xml:space="preserve">supervisory review proceedings, allowing </w:t>
      </w:r>
      <w:r>
        <w:t>the review of</w:t>
      </w:r>
      <w:r w:rsidRPr="00AB38BE">
        <w:t xml:space="preserve"> court decisions that have taken effect</w:t>
      </w:r>
      <w:r>
        <w:t>,</w:t>
      </w:r>
      <w:r w:rsidRPr="00AB38BE">
        <w:t xml:space="preserve"> does not constitute a remedy </w:t>
      </w:r>
      <w:r>
        <w:t>that</w:t>
      </w:r>
      <w:r w:rsidRPr="00AB38BE">
        <w:t xml:space="preserve"> has to be exhausted for the purposes of article 5, paragraph 2 (b), of the Optional Protocol</w:t>
      </w:r>
      <w:r>
        <w:t>.</w:t>
      </w:r>
      <w:r w:rsidRPr="00600ED7">
        <w:rPr>
          <w:rStyle w:val="FootnoteReference"/>
        </w:rPr>
        <w:footnoteReference w:id="4"/>
      </w:r>
      <w:r w:rsidRPr="00AB38BE">
        <w:t xml:space="preserve"> In the circumstances, the Committee considers that it is not precluded by article 5, paragraph 2 (b), of the Optional Protocol, from examining the present communication.</w:t>
      </w:r>
    </w:p>
    <w:p w:rsidR="00BC69EC" w:rsidRPr="00AB38BE" w:rsidRDefault="00BC69EC" w:rsidP="00BC69EC">
      <w:pPr>
        <w:pStyle w:val="SingleTxtG"/>
      </w:pPr>
      <w:r w:rsidRPr="00AB38BE">
        <w:lastRenderedPageBreak/>
        <w:t xml:space="preserve">8.4 </w:t>
      </w:r>
      <w:r>
        <w:tab/>
      </w:r>
      <w:r w:rsidRPr="00AB38BE">
        <w:t>The Committee considers</w:t>
      </w:r>
      <w:r>
        <w:t>, therefore,</w:t>
      </w:r>
      <w:r w:rsidRPr="00AB38BE">
        <w:t xml:space="preserve"> that the author has sufficiently substantiated his claims under article 19 </w:t>
      </w:r>
      <w:r>
        <w:t>(</w:t>
      </w:r>
      <w:r w:rsidRPr="00AB38BE">
        <w:t>para</w:t>
      </w:r>
      <w:r>
        <w:t>.</w:t>
      </w:r>
      <w:r w:rsidRPr="00AB38BE">
        <w:t xml:space="preserve"> 2</w:t>
      </w:r>
      <w:r>
        <w:t>)</w:t>
      </w:r>
      <w:r w:rsidRPr="00AB38BE">
        <w:t xml:space="preserve"> and article 21, of the Covenant, for purposes of admissibility. Accordingly, it declares the communication admissible and proceeds to its examination on the merits.</w:t>
      </w:r>
    </w:p>
    <w:p w:rsidR="00BC69EC" w:rsidRPr="009910D1" w:rsidRDefault="00BC69EC" w:rsidP="00BC69EC">
      <w:pPr>
        <w:pStyle w:val="H23G"/>
        <w:rPr>
          <w:b w:val="0"/>
          <w:i/>
        </w:rPr>
      </w:pPr>
      <w:r w:rsidRPr="00AB38BE">
        <w:tab/>
      </w:r>
      <w:r w:rsidRPr="00AB38BE">
        <w:tab/>
      </w:r>
      <w:r w:rsidRPr="009910D1">
        <w:rPr>
          <w:b w:val="0"/>
          <w:i/>
        </w:rPr>
        <w:t>Consideration of the merits</w:t>
      </w:r>
    </w:p>
    <w:p w:rsidR="00BC69EC" w:rsidRPr="00AB38BE" w:rsidRDefault="00BC69EC" w:rsidP="00BC69EC">
      <w:pPr>
        <w:pStyle w:val="SingleTxtG"/>
      </w:pPr>
      <w:r w:rsidRPr="00AB38BE">
        <w:t>9</w:t>
      </w:r>
      <w:r w:rsidRPr="00AB38BE">
        <w:rPr>
          <w:lang w:val="en-US"/>
        </w:rPr>
        <w:t>.1</w:t>
      </w:r>
      <w:r w:rsidRPr="00AB38BE">
        <w:rPr>
          <w:lang w:val="en-US"/>
        </w:rPr>
        <w:tab/>
        <w:t>The Human Rights Committee has considered the present communication in the light of all the information made available to it by the parties, as required under article 5, paragraph 1, of the Optional Protocol.</w:t>
      </w:r>
      <w:r w:rsidRPr="00AB38BE">
        <w:t xml:space="preserve"> </w:t>
      </w:r>
    </w:p>
    <w:p w:rsidR="00BC69EC" w:rsidRPr="00AB38BE" w:rsidRDefault="00BC69EC" w:rsidP="00BC69EC">
      <w:pPr>
        <w:pStyle w:val="SingleTxtG"/>
        <w:rPr>
          <w:lang w:val="en-US"/>
        </w:rPr>
      </w:pPr>
      <w:r w:rsidRPr="00AB38BE">
        <w:t>9</w:t>
      </w:r>
      <w:r w:rsidRPr="00AB38BE">
        <w:rPr>
          <w:lang w:val="en-US"/>
        </w:rPr>
        <w:t xml:space="preserve">.2 </w:t>
      </w:r>
      <w:r w:rsidRPr="00AB38BE">
        <w:rPr>
          <w:lang w:val="en-US"/>
        </w:rPr>
        <w:tab/>
        <w:t>The Committee notes the author’s claim that</w:t>
      </w:r>
      <w:r>
        <w:rPr>
          <w:lang w:val="en-US"/>
        </w:rPr>
        <w:t xml:space="preserve"> he was detained when merely participating in a small gathering on 23 March 2008 at Zhodino Park of Culture in commemoration of national heroes, and that a penalty was subsequently imposed on him of seven days’ administrative arrest for an alleged breach of the Law on Mass Events, in violation of his rights under article 19, paragraph 2, of the Covenant</w:t>
      </w:r>
      <w:r w:rsidRPr="00AB38BE">
        <w:rPr>
          <w:lang w:val="en-US"/>
        </w:rPr>
        <w:t xml:space="preserve">. It further notes the State party’s contention that the author was administratively sanctioned in accordance with the requirements of national legislation for having breached the procedure for </w:t>
      </w:r>
      <w:r>
        <w:rPr>
          <w:lang w:val="en-US"/>
        </w:rPr>
        <w:t>organizing</w:t>
      </w:r>
      <w:r w:rsidRPr="00AB38BE">
        <w:rPr>
          <w:lang w:val="en-US"/>
        </w:rPr>
        <w:t xml:space="preserve"> and holding a mass event. </w:t>
      </w:r>
      <w:r>
        <w:rPr>
          <w:lang w:val="en-US"/>
        </w:rPr>
        <w:t>In the present case, t</w:t>
      </w:r>
      <w:r w:rsidRPr="00AB38BE">
        <w:rPr>
          <w:lang w:val="en-US"/>
        </w:rPr>
        <w:t xml:space="preserve">he Committee has to consider whether the restrictions imposed on the author’s right to freedom of expression are justified under any of the criteria set out in article 19, paragraph 3. </w:t>
      </w:r>
    </w:p>
    <w:p w:rsidR="00BC69EC" w:rsidRPr="00AB38BE" w:rsidRDefault="00BC69EC" w:rsidP="00BC69EC">
      <w:pPr>
        <w:pStyle w:val="SingleTxtG"/>
      </w:pPr>
      <w:r w:rsidRPr="00AB38BE">
        <w:rPr>
          <w:lang w:val="en-US"/>
        </w:rPr>
        <w:t xml:space="preserve">9.3 </w:t>
      </w:r>
      <w:r>
        <w:rPr>
          <w:lang w:val="en-US"/>
        </w:rPr>
        <w:tab/>
      </w:r>
      <w:r w:rsidRPr="00AB38BE">
        <w:rPr>
          <w:lang w:val="en-US"/>
        </w:rPr>
        <w:t xml:space="preserve">The Committee observes that article 19, paragraph 3, of the Covenant provides for certain restrictions only as provided by law and necessary: (a) for respect of the rights </w:t>
      </w:r>
      <w:r>
        <w:rPr>
          <w:lang w:val="en-US"/>
        </w:rPr>
        <w:t>or</w:t>
      </w:r>
      <w:r w:rsidRPr="00AB38BE">
        <w:rPr>
          <w:lang w:val="en-US"/>
        </w:rPr>
        <w:t xml:space="preserve"> </w:t>
      </w:r>
      <w:r w:rsidRPr="00B440D6">
        <w:rPr>
          <w:lang w:val="en-US"/>
        </w:rPr>
        <w:t>reputations of others; and (b) for the protection of national security or of public order (ordre public), or of public health or morals. It recalls that freedom of opinion and freedom of expression are indispensable conditions for the full development of the person</w:t>
      </w:r>
      <w:r>
        <w:rPr>
          <w:lang w:val="en-US"/>
        </w:rPr>
        <w:t>, and that</w:t>
      </w:r>
      <w:r w:rsidRPr="00B440D6">
        <w:rPr>
          <w:lang w:val="en-US"/>
        </w:rPr>
        <w:t xml:space="preserve"> such freedoms are essential for any society and constitute the foundation stone for every free and democratic society.</w:t>
      </w:r>
      <w:r w:rsidRPr="00B440D6">
        <w:rPr>
          <w:rStyle w:val="FootnoteReference"/>
        </w:rPr>
        <w:footnoteReference w:id="5"/>
      </w:r>
      <w:r w:rsidRPr="00B440D6">
        <w:rPr>
          <w:lang w:val="en-US"/>
        </w:rPr>
        <w:t xml:space="preserve"> Any r</w:t>
      </w:r>
      <w:r w:rsidRPr="00AB38BE">
        <w:rPr>
          <w:lang w:val="en-US"/>
        </w:rPr>
        <w:t xml:space="preserve">estrictions </w:t>
      </w:r>
      <w:r>
        <w:rPr>
          <w:lang w:val="en-US"/>
        </w:rPr>
        <w:t>on</w:t>
      </w:r>
      <w:r w:rsidRPr="00AB38BE">
        <w:rPr>
          <w:lang w:val="en-US"/>
        </w:rPr>
        <w:t xml:space="preserve"> the exercise of such freedoms must conform</w:t>
      </w:r>
      <w:r w:rsidRPr="00AB38BE">
        <w:t xml:space="preserve"> to strict tests of necessity and proportion</w:t>
      </w:r>
      <w:r w:rsidRPr="00B440D6">
        <w:t>ality and “must be applied only</w:t>
      </w:r>
      <w:r w:rsidRPr="00AB38BE">
        <w:t xml:space="preserve"> for those purposes for which they were prescribed and must be directly related to the specific need on which they are predica</w:t>
      </w:r>
      <w:r w:rsidRPr="00AA5716">
        <w:t>ted.</w:t>
      </w:r>
      <w:r>
        <w:t>”</w:t>
      </w:r>
      <w:r w:rsidRPr="00AA5716">
        <w:rPr>
          <w:rStyle w:val="FootnoteReference"/>
        </w:rPr>
        <w:footnoteReference w:id="6"/>
      </w:r>
      <w:r w:rsidRPr="00AB38BE">
        <w:t xml:space="preserve"> </w:t>
      </w:r>
    </w:p>
    <w:p w:rsidR="00BC69EC" w:rsidRPr="00AB38BE" w:rsidRDefault="00BC69EC" w:rsidP="00BC69EC">
      <w:pPr>
        <w:pStyle w:val="SingleTxtG"/>
      </w:pPr>
      <w:r w:rsidRPr="00AB38BE">
        <w:t>9.4</w:t>
      </w:r>
      <w:r w:rsidRPr="00AB38BE">
        <w:tab/>
      </w:r>
      <w:r>
        <w:t>The Committee notes that the author took part in a small gathering in front of a monument. The author was arrested in this context. He was found guilty of organizing an un</w:t>
      </w:r>
      <w:r w:rsidR="00D4238A">
        <w:t>authorized</w:t>
      </w:r>
      <w:r>
        <w:t xml:space="preserve"> mass event and was sentenced to seven days of administrative arrest. In this connection, t</w:t>
      </w:r>
      <w:r w:rsidRPr="00AB38BE">
        <w:t>he Committee notes the State party’s</w:t>
      </w:r>
      <w:r>
        <w:t xml:space="preserve"> </w:t>
      </w:r>
      <w:r w:rsidRPr="00AB38BE">
        <w:t>explanation that the Law on Mass Events is aimed at creating conditions for the reali</w:t>
      </w:r>
      <w:r>
        <w:t>z</w:t>
      </w:r>
      <w:r w:rsidRPr="00AB38BE">
        <w:t xml:space="preserve">ation of citizens’ constitutional rights and freedoms and </w:t>
      </w:r>
      <w:r>
        <w:t xml:space="preserve">for </w:t>
      </w:r>
      <w:r w:rsidRPr="00AB38BE">
        <w:t>the protection of public safety and public order during the holding of public events on streets</w:t>
      </w:r>
      <w:r>
        <w:t xml:space="preserve"> and</w:t>
      </w:r>
      <w:r w:rsidRPr="00AB38BE">
        <w:t xml:space="preserve"> squares and </w:t>
      </w:r>
      <w:r>
        <w:t xml:space="preserve">in </w:t>
      </w:r>
      <w:r w:rsidRPr="00AB38BE">
        <w:t>other public locations</w:t>
      </w:r>
      <w:r>
        <w:t>, and that the author was administratively sanctioned for having breached the procedure provided for in the above-mentioned law.</w:t>
      </w:r>
      <w:r w:rsidRPr="00AB38BE">
        <w:t xml:space="preserve"> </w:t>
      </w:r>
      <w:r>
        <w:t>The Committee</w:t>
      </w:r>
      <w:r w:rsidRPr="00AB38BE">
        <w:t xml:space="preserve"> notes, however, that</w:t>
      </w:r>
      <w:r>
        <w:t xml:space="preserve"> the State party does not argue, and nothing in the case file suggests, that the event that took place on 23 March 2008 was in conflict with the twenty-fifth republic-wide marathon. In this regard, it notes that </w:t>
      </w:r>
      <w:r w:rsidRPr="00AB38BE">
        <w:t xml:space="preserve">the State party has not </w:t>
      </w:r>
      <w:r>
        <w:t>sufficiently demonstrated</w:t>
      </w:r>
      <w:r w:rsidRPr="00AB38BE">
        <w:t xml:space="preserve"> </w:t>
      </w:r>
      <w:r>
        <w:t>in what way it was necessary to detain and punish the author,</w:t>
      </w:r>
      <w:r w:rsidRPr="00C80E64">
        <w:t xml:space="preserve"> </w:t>
      </w:r>
      <w:r>
        <w:t>in light of his</w:t>
      </w:r>
      <w:r w:rsidRPr="00AB38BE">
        <w:t xml:space="preserve"> concrete acts</w:t>
      </w:r>
      <w:r>
        <w:t xml:space="preserve"> on 23 March 2008,</w:t>
      </w:r>
      <w:r w:rsidRPr="00600ED7">
        <w:rPr>
          <w:rStyle w:val="FootnoteReference"/>
        </w:rPr>
        <w:footnoteReference w:id="7"/>
      </w:r>
      <w:r>
        <w:t xml:space="preserve"> </w:t>
      </w:r>
      <w:r w:rsidRPr="00AB38BE">
        <w:t>under article 19, paragraph 3, of the Covenant</w:t>
      </w:r>
      <w:r>
        <w:t>, and how it was justified to impose on him a seven-day administrative arrest</w:t>
      </w:r>
      <w:r w:rsidRPr="00AB38BE">
        <w:t>.</w:t>
      </w:r>
      <w:r>
        <w:t xml:space="preserve"> In this context, t</w:t>
      </w:r>
      <w:r w:rsidRPr="00AB38BE">
        <w:t xml:space="preserve">he Committee recalls that it is </w:t>
      </w:r>
      <w:r>
        <w:t>up to</w:t>
      </w:r>
      <w:r w:rsidRPr="00AB38BE">
        <w:t xml:space="preserve"> the State party to show that the </w:t>
      </w:r>
      <w:r w:rsidRPr="00AB38BE">
        <w:lastRenderedPageBreak/>
        <w:t>restrictions on the author’s right under article 19 are necessary</w:t>
      </w:r>
      <w:r>
        <w:t>,</w:t>
      </w:r>
      <w:r w:rsidRPr="00AB38BE">
        <w:t xml:space="preserve"> and that</w:t>
      </w:r>
      <w:r>
        <w:t>,</w:t>
      </w:r>
      <w:r w:rsidRPr="00AB38BE">
        <w:t xml:space="preserve"> even if a State party </w:t>
      </w:r>
      <w:r>
        <w:t>introduces</w:t>
      </w:r>
      <w:r w:rsidRPr="00AB38BE">
        <w:t xml:space="preserve"> a system </w:t>
      </w:r>
      <w:r>
        <w:t>aimed at striking</w:t>
      </w:r>
      <w:r w:rsidRPr="00AB38BE">
        <w:t xml:space="preserve"> a balance between an individual’s freedom to impart information and the general interest in maintaining public order in a certain area, such a system must not operate in a way that is incompatible with article 19 of the Covenant. It therefore concludes that in the circumstances of the present case, the author’s rights under article 19, paragraph 2, of the Covenant, have been violated. </w:t>
      </w:r>
    </w:p>
    <w:p w:rsidR="00BC69EC" w:rsidRPr="00AB38BE" w:rsidRDefault="00BC69EC" w:rsidP="00BC69EC">
      <w:pPr>
        <w:pStyle w:val="SingleTxtG"/>
      </w:pPr>
      <w:r w:rsidRPr="00AB38BE">
        <w:t>9.5</w:t>
      </w:r>
      <w:r w:rsidRPr="00AB38BE">
        <w:tab/>
        <w:t>In view of this conclusion, the Committee decides not to examine separately the author’s claim under article 21 of the Covenant.</w:t>
      </w:r>
      <w:r w:rsidRPr="00600ED7">
        <w:rPr>
          <w:rStyle w:val="FootnoteReference"/>
        </w:rPr>
        <w:footnoteReference w:id="8"/>
      </w:r>
    </w:p>
    <w:p w:rsidR="00BC69EC" w:rsidRPr="00AB38BE" w:rsidRDefault="00BC69EC" w:rsidP="00BC69EC">
      <w:pPr>
        <w:pStyle w:val="SingleTxtG"/>
      </w:pPr>
      <w:r w:rsidRPr="00AB38BE">
        <w:t>10.</w:t>
      </w:r>
      <w:r w:rsidRPr="00AB38BE">
        <w:tab/>
        <w:t>The Human Rights Committee, acting under article 5, paragraph 4, of the Optional Protocol to the International Covenant on Civil and Political Rights, is of the view that the State party has violated the author’s rights under article 19, paragraph 2, of the International Covenant on Civil and Political Rights.</w:t>
      </w:r>
    </w:p>
    <w:p w:rsidR="00BC69EC" w:rsidRPr="00AB38BE" w:rsidRDefault="00BC69EC" w:rsidP="00BC69EC">
      <w:pPr>
        <w:pStyle w:val="SingleTxtG"/>
        <w:rPr>
          <w:lang w:val="en-US"/>
        </w:rPr>
      </w:pPr>
      <w:r w:rsidRPr="00AB38BE">
        <w:t>11.</w:t>
      </w:r>
      <w:r w:rsidRPr="00AB38BE">
        <w:tab/>
        <w:t xml:space="preserve">In accordance with article 2, paragraph 3 (a), of the Covenant, the State party is under an obligation to provide </w:t>
      </w:r>
      <w:r w:rsidRPr="00394FDE">
        <w:t>the author with an effective remedy, including reimbursement of any legal costs incurred by the author, together with adequate compensation. The State party is also under an obligation to take steps to preve</w:t>
      </w:r>
      <w:r w:rsidRPr="00AB38BE">
        <w:t>nt similar violations in the future.</w:t>
      </w:r>
    </w:p>
    <w:p w:rsidR="00BC69EC" w:rsidRPr="00AB38BE" w:rsidRDefault="00BC69EC" w:rsidP="00BC69EC">
      <w:pPr>
        <w:pStyle w:val="SingleTxtG"/>
      </w:pPr>
      <w:r w:rsidRPr="00AB38BE">
        <w:t>12.</w:t>
      </w:r>
      <w:r w:rsidRPr="00AB38BE">
        <w:tab/>
        <w:t xml:space="preserve">Bearing in mind that, by becoming a party to the Optional Protocol, the State party has recognized the competence of the Committee to determine whether </w:t>
      </w:r>
      <w:r>
        <w:t xml:space="preserve">or not </w:t>
      </w:r>
      <w:r w:rsidRPr="00AB38BE">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t>when</w:t>
      </w:r>
      <w:r w:rsidRPr="00AB38BE">
        <w:t xml:space="preserv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BC69EC" w:rsidRPr="00AB38BE" w:rsidRDefault="00BC69EC" w:rsidP="00BC69EC">
      <w:pPr>
        <w:pStyle w:val="SingleTxtG"/>
      </w:pPr>
      <w:r w:rsidRPr="00AB38BE">
        <w:t xml:space="preserve">[Adopted in English, French and Spanish, the English text being the original version. Subsequently to be issued also in Arabic, Chinese and Russian as part of </w:t>
      </w:r>
      <w:r>
        <w:t>the Committee’</w:t>
      </w:r>
      <w:r w:rsidRPr="00AB38BE">
        <w:t>s annual report to the General Assembly.]</w:t>
      </w:r>
    </w:p>
    <w:p w:rsidR="00BC69EC" w:rsidRPr="00AB38BE" w:rsidRDefault="00BC69EC" w:rsidP="00BC69EC">
      <w:pPr>
        <w:spacing w:before="240"/>
        <w:ind w:left="1134" w:right="1134"/>
        <w:jc w:val="center"/>
        <w:rPr>
          <w:u w:val="single"/>
        </w:rPr>
      </w:pPr>
      <w:r>
        <w:rPr>
          <w:u w:val="single"/>
        </w:rPr>
        <w:tab/>
      </w:r>
      <w:r>
        <w:rPr>
          <w:u w:val="single"/>
        </w:rPr>
        <w:tab/>
      </w:r>
      <w:r>
        <w:rPr>
          <w:u w:val="single"/>
        </w:rPr>
        <w:tab/>
      </w:r>
    </w:p>
    <w:sectPr w:rsidR="00BC69EC" w:rsidRPr="00AB38BE" w:rsidSect="00BC69E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A3" w:rsidRDefault="00315EA3"/>
  </w:endnote>
  <w:endnote w:type="continuationSeparator" w:id="0">
    <w:p w:rsidR="00315EA3" w:rsidRDefault="00315EA3"/>
  </w:endnote>
  <w:endnote w:type="continuationNotice" w:id="1">
    <w:p w:rsidR="00315EA3" w:rsidRDefault="0031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DD" w:rsidRPr="00AB38BE" w:rsidRDefault="00A73CDD" w:rsidP="00BC69EC">
    <w:pPr>
      <w:pStyle w:val="Footer"/>
      <w:tabs>
        <w:tab w:val="right" w:pos="9638"/>
      </w:tabs>
    </w:pPr>
    <w:r w:rsidRPr="00AB38BE">
      <w:rPr>
        <w:b/>
        <w:sz w:val="18"/>
      </w:rPr>
      <w:fldChar w:fldCharType="begin"/>
    </w:r>
    <w:r w:rsidRPr="00AB38BE">
      <w:rPr>
        <w:b/>
        <w:sz w:val="18"/>
      </w:rPr>
      <w:instrText xml:space="preserve"> PAGE  \* MERGEFORMAT </w:instrText>
    </w:r>
    <w:r w:rsidRPr="00AB38BE">
      <w:rPr>
        <w:b/>
        <w:sz w:val="18"/>
      </w:rPr>
      <w:fldChar w:fldCharType="separate"/>
    </w:r>
    <w:r w:rsidR="00E05EBB">
      <w:rPr>
        <w:b/>
        <w:noProof/>
        <w:sz w:val="18"/>
      </w:rPr>
      <w:t>2</w:t>
    </w:r>
    <w:r w:rsidRPr="00AB38B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DD" w:rsidRPr="00AB38BE" w:rsidRDefault="00A73CDD" w:rsidP="00BC69EC">
    <w:pPr>
      <w:pStyle w:val="Footer"/>
      <w:tabs>
        <w:tab w:val="right" w:pos="9638"/>
      </w:tabs>
      <w:rPr>
        <w:b/>
        <w:sz w:val="18"/>
      </w:rPr>
    </w:pPr>
    <w:r>
      <w:tab/>
    </w:r>
    <w:r w:rsidRPr="00AB38BE">
      <w:rPr>
        <w:b/>
        <w:sz w:val="18"/>
      </w:rPr>
      <w:fldChar w:fldCharType="begin"/>
    </w:r>
    <w:r w:rsidRPr="00AB38BE">
      <w:rPr>
        <w:b/>
        <w:sz w:val="18"/>
      </w:rPr>
      <w:instrText xml:space="preserve"> PAGE  \* MERGEFORMAT </w:instrText>
    </w:r>
    <w:r w:rsidRPr="00AB38BE">
      <w:rPr>
        <w:b/>
        <w:sz w:val="18"/>
      </w:rPr>
      <w:fldChar w:fldCharType="separate"/>
    </w:r>
    <w:r w:rsidR="00E05EBB">
      <w:rPr>
        <w:b/>
        <w:noProof/>
        <w:sz w:val="18"/>
      </w:rPr>
      <w:t>3</w:t>
    </w:r>
    <w:r w:rsidRPr="00AB38B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DD" w:rsidRPr="00AB38BE" w:rsidRDefault="00315EA3" w:rsidP="00BC69E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A73CDD">
      <w:t>GE.14-40604</w:t>
    </w:r>
    <w:r w:rsidR="00A73CDD">
      <w:br/>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r w:rsidR="00A73CDD" w:rsidRPr="00F47B0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A3" w:rsidRPr="000B175B" w:rsidRDefault="00315EA3" w:rsidP="00BC69EC">
      <w:pPr>
        <w:tabs>
          <w:tab w:val="right" w:pos="2155"/>
        </w:tabs>
        <w:spacing w:after="80"/>
        <w:ind w:left="680"/>
        <w:rPr>
          <w:u w:val="single"/>
        </w:rPr>
      </w:pPr>
      <w:r>
        <w:rPr>
          <w:u w:val="single"/>
        </w:rPr>
        <w:tab/>
      </w:r>
    </w:p>
  </w:footnote>
  <w:footnote w:type="continuationSeparator" w:id="0">
    <w:p w:rsidR="00315EA3" w:rsidRPr="00FC68B7" w:rsidRDefault="00315EA3" w:rsidP="00BC69EC">
      <w:pPr>
        <w:tabs>
          <w:tab w:val="left" w:pos="2155"/>
        </w:tabs>
        <w:spacing w:after="80"/>
        <w:ind w:left="680"/>
        <w:rPr>
          <w:u w:val="single"/>
        </w:rPr>
      </w:pPr>
      <w:r>
        <w:rPr>
          <w:u w:val="single"/>
        </w:rPr>
        <w:tab/>
      </w:r>
    </w:p>
  </w:footnote>
  <w:footnote w:type="continuationNotice" w:id="1">
    <w:p w:rsidR="00315EA3" w:rsidRDefault="00315EA3"/>
  </w:footnote>
  <w:footnote w:id="2">
    <w:p w:rsidR="00A73CDD" w:rsidRPr="00876B03" w:rsidRDefault="00A73CDD" w:rsidP="00BC69EC">
      <w:pPr>
        <w:pStyle w:val="FootnoteText"/>
      </w:pPr>
      <w:r>
        <w:rPr>
          <w:rStyle w:val="FootnoteReference"/>
        </w:rPr>
        <w:tab/>
      </w:r>
      <w:r w:rsidRPr="006D0DE5">
        <w:rPr>
          <w:rStyle w:val="FootnoteReference"/>
          <w:sz w:val="20"/>
          <w:vertAlign w:val="baseline"/>
        </w:rPr>
        <w:t>*</w:t>
      </w:r>
      <w:r>
        <w:tab/>
      </w:r>
      <w:r w:rsidRPr="002251B8">
        <w:rPr>
          <w:szCs w:val="18"/>
        </w:rPr>
        <w:t>The following</w:t>
      </w:r>
      <w:r>
        <w:rPr>
          <w:szCs w:val="18"/>
        </w:rPr>
        <w:t xml:space="preserve"> Committee</w:t>
      </w:r>
      <w:r w:rsidRPr="002251B8">
        <w:rPr>
          <w:szCs w:val="18"/>
        </w:rPr>
        <w:t xml:space="preserve"> members participated in the examination of the present communication: </w:t>
      </w:r>
      <w:r>
        <w:rPr>
          <w:szCs w:val="18"/>
        </w:rPr>
        <w:t>Mr. </w:t>
      </w:r>
      <w:r w:rsidRPr="005F622A">
        <w:rPr>
          <w:szCs w:val="18"/>
        </w:rPr>
        <w:t xml:space="preserve">Yadh Ben Achour, </w:t>
      </w:r>
      <w:r>
        <w:rPr>
          <w:szCs w:val="18"/>
        </w:rPr>
        <w:t xml:space="preserve">Mr. Lazhari Bouzid, </w:t>
      </w:r>
      <w:r w:rsidRPr="005F622A">
        <w:rPr>
          <w:bCs/>
          <w:szCs w:val="18"/>
        </w:rPr>
        <w:t>Mr. Ahmad Amin Fathalla, Mr.</w:t>
      </w:r>
      <w:r>
        <w:rPr>
          <w:bCs/>
          <w:szCs w:val="18"/>
        </w:rPr>
        <w:t> Cornelis Flinterman, Mr. Yuji Iwasawa, Mr. Walter K</w:t>
      </w:r>
      <w:r w:rsidRPr="00F33E93">
        <w:rPr>
          <w:bCs/>
          <w:szCs w:val="18"/>
        </w:rPr>
        <w:t>ä</w:t>
      </w:r>
      <w:r>
        <w:rPr>
          <w:bCs/>
          <w:szCs w:val="18"/>
        </w:rPr>
        <w:t xml:space="preserve">lin, </w:t>
      </w:r>
      <w:r w:rsidRPr="002E7A63">
        <w:rPr>
          <w:bCs/>
          <w:szCs w:val="18"/>
        </w:rPr>
        <w:t>Ms. Zonke Zanele Majodina</w:t>
      </w:r>
      <w:r>
        <w:rPr>
          <w:bCs/>
          <w:szCs w:val="18"/>
        </w:rPr>
        <w:t xml:space="preserve">, Mr. </w:t>
      </w:r>
      <w:r w:rsidRPr="005F622A">
        <w:rPr>
          <w:bCs/>
          <w:szCs w:val="18"/>
        </w:rPr>
        <w:t>Kheshoe Parsad Matadeen</w:t>
      </w:r>
      <w:r>
        <w:rPr>
          <w:bCs/>
          <w:szCs w:val="18"/>
          <w:lang w:val="en-US"/>
        </w:rPr>
        <w:t xml:space="preserve">, </w:t>
      </w:r>
      <w:r>
        <w:rPr>
          <w:bCs/>
          <w:szCs w:val="18"/>
        </w:rPr>
        <w:t>Mr. Gerald L. Neuman,</w:t>
      </w:r>
      <w:r w:rsidRPr="005F622A">
        <w:rPr>
          <w:bCs/>
          <w:szCs w:val="18"/>
        </w:rPr>
        <w:t xml:space="preserve"> </w:t>
      </w:r>
      <w:r>
        <w:rPr>
          <w:bCs/>
          <w:szCs w:val="18"/>
        </w:rPr>
        <w:t>Sir Nigel Rodley, Mr. V</w:t>
      </w:r>
      <w:r w:rsidRPr="00F33E93">
        <w:rPr>
          <w:bCs/>
          <w:szCs w:val="18"/>
        </w:rPr>
        <w:t>í</w:t>
      </w:r>
      <w:r>
        <w:rPr>
          <w:bCs/>
          <w:szCs w:val="18"/>
        </w:rPr>
        <w:t xml:space="preserve">ctor Manuel Rodríguez Rescia, </w:t>
      </w:r>
      <w:r w:rsidRPr="005F622A">
        <w:rPr>
          <w:bCs/>
          <w:szCs w:val="18"/>
          <w:lang w:val="en-US"/>
        </w:rPr>
        <w:t xml:space="preserve">Mr. Fabián Omar Salvioli, </w:t>
      </w:r>
      <w:r>
        <w:rPr>
          <w:bCs/>
          <w:szCs w:val="18"/>
          <w:lang w:val="en-US"/>
        </w:rPr>
        <w:t xml:space="preserve">Ms. Anja Seibert-Fohr, </w:t>
      </w:r>
      <w:r w:rsidRPr="005F622A">
        <w:rPr>
          <w:bCs/>
          <w:szCs w:val="18"/>
          <w:lang w:val="en-US"/>
        </w:rPr>
        <w:t>Mr. Yuval Shany,</w:t>
      </w:r>
      <w:r>
        <w:rPr>
          <w:bCs/>
          <w:szCs w:val="18"/>
          <w:lang w:val="en-US"/>
        </w:rPr>
        <w:t xml:space="preserve"> </w:t>
      </w:r>
      <w:r w:rsidRPr="005F622A">
        <w:rPr>
          <w:bCs/>
          <w:szCs w:val="18"/>
          <w:lang w:val="en-US"/>
        </w:rPr>
        <w:t>Mr.</w:t>
      </w:r>
      <w:r>
        <w:rPr>
          <w:bCs/>
          <w:szCs w:val="18"/>
          <w:lang w:val="en-US"/>
        </w:rPr>
        <w:t> </w:t>
      </w:r>
      <w:r w:rsidRPr="005F622A">
        <w:rPr>
          <w:bCs/>
          <w:szCs w:val="18"/>
          <w:lang w:val="en-US"/>
        </w:rPr>
        <w:t>Konstantine Vardzelashvili</w:t>
      </w:r>
      <w:r>
        <w:rPr>
          <w:bCs/>
          <w:szCs w:val="18"/>
          <w:lang w:val="en-US"/>
        </w:rPr>
        <w:t xml:space="preserve">, </w:t>
      </w:r>
      <w:r w:rsidRPr="009131F3">
        <w:rPr>
          <w:bCs/>
          <w:szCs w:val="18"/>
          <w:lang w:val="en-US"/>
        </w:rPr>
        <w:t xml:space="preserve">and </w:t>
      </w:r>
      <w:r>
        <w:rPr>
          <w:bCs/>
          <w:szCs w:val="18"/>
        </w:rPr>
        <w:t>Ms. </w:t>
      </w:r>
      <w:r w:rsidRPr="009131F3">
        <w:rPr>
          <w:bCs/>
          <w:szCs w:val="18"/>
        </w:rPr>
        <w:t>Margo Waterval.</w:t>
      </w:r>
    </w:p>
  </w:footnote>
  <w:footnote w:id="3">
    <w:p w:rsidR="00A73CDD" w:rsidRPr="004A0BA2" w:rsidRDefault="00A73CDD" w:rsidP="00BC69EC">
      <w:pPr>
        <w:pStyle w:val="FootnoteText"/>
        <w:jc w:val="both"/>
      </w:pPr>
      <w:r>
        <w:tab/>
      </w:r>
      <w:r>
        <w:rPr>
          <w:rStyle w:val="FootnoteReference"/>
        </w:rPr>
        <w:footnoteRef/>
      </w:r>
      <w:r>
        <w:tab/>
      </w:r>
      <w:r w:rsidRPr="00AB38BE">
        <w:t>The Optional Protocol entered into force for the State party on 30 December 1992.</w:t>
      </w:r>
    </w:p>
  </w:footnote>
  <w:footnote w:id="4">
    <w:p w:rsidR="00A73CDD" w:rsidRPr="00F214DD" w:rsidRDefault="00A73CDD" w:rsidP="00BC69EC">
      <w:pPr>
        <w:pStyle w:val="FootnoteText"/>
        <w:rPr>
          <w:szCs w:val="18"/>
        </w:rPr>
      </w:pPr>
      <w:r w:rsidRPr="00F214DD">
        <w:rPr>
          <w:szCs w:val="18"/>
        </w:rPr>
        <w:tab/>
      </w:r>
      <w:r w:rsidRPr="00CD47F4">
        <w:rPr>
          <w:rStyle w:val="FootnoteReference"/>
          <w:szCs w:val="18"/>
        </w:rPr>
        <w:footnoteRef/>
      </w:r>
      <w:r w:rsidRPr="00CD47F4">
        <w:rPr>
          <w:szCs w:val="18"/>
        </w:rPr>
        <w:tab/>
        <w:t>See, for example, communication</w:t>
      </w:r>
      <w:r>
        <w:rPr>
          <w:szCs w:val="18"/>
        </w:rPr>
        <w:t xml:space="preserve"> No.</w:t>
      </w:r>
      <w:r w:rsidRPr="00CD47F4">
        <w:rPr>
          <w:szCs w:val="18"/>
        </w:rPr>
        <w:t xml:space="preserve"> 1785/2008, </w:t>
      </w:r>
      <w:r w:rsidRPr="00CD47F4">
        <w:rPr>
          <w:i/>
          <w:szCs w:val="18"/>
        </w:rPr>
        <w:t xml:space="preserve">Olechkevitch </w:t>
      </w:r>
      <w:r w:rsidRPr="00CD47F4">
        <w:rPr>
          <w:szCs w:val="18"/>
        </w:rPr>
        <w:t>v.</w:t>
      </w:r>
      <w:r w:rsidRPr="00CD47F4">
        <w:rPr>
          <w:i/>
          <w:szCs w:val="18"/>
        </w:rPr>
        <w:t xml:space="preserve"> Belarus</w:t>
      </w:r>
      <w:r w:rsidRPr="00E30FAA">
        <w:rPr>
          <w:szCs w:val="18"/>
        </w:rPr>
        <w:t>,</w:t>
      </w:r>
      <w:r w:rsidRPr="00CD47F4">
        <w:rPr>
          <w:i/>
          <w:szCs w:val="18"/>
        </w:rPr>
        <w:t xml:space="preserve"> </w:t>
      </w:r>
      <w:r w:rsidRPr="00CD47F4">
        <w:rPr>
          <w:szCs w:val="18"/>
        </w:rPr>
        <w:t xml:space="preserve">Views adopted on 18 March 2013, para 7.3; communication No. 1784/2008, </w:t>
      </w:r>
      <w:r w:rsidRPr="00CD47F4">
        <w:rPr>
          <w:i/>
          <w:szCs w:val="18"/>
        </w:rPr>
        <w:t xml:space="preserve">Schumilin </w:t>
      </w:r>
      <w:r w:rsidRPr="00CD47F4">
        <w:rPr>
          <w:szCs w:val="18"/>
        </w:rPr>
        <w:t>v.</w:t>
      </w:r>
      <w:r w:rsidRPr="00CD47F4">
        <w:rPr>
          <w:i/>
          <w:szCs w:val="18"/>
        </w:rPr>
        <w:t xml:space="preserve"> Belarus</w:t>
      </w:r>
      <w:r w:rsidRPr="00CD47F4">
        <w:rPr>
          <w:szCs w:val="18"/>
        </w:rPr>
        <w:t xml:space="preserve">, Views adopted on 23 July 2012, para. 8.3; communication No. </w:t>
      </w:r>
      <w:r>
        <w:rPr>
          <w:szCs w:val="18"/>
        </w:rPr>
        <w:t>1814</w:t>
      </w:r>
      <w:r w:rsidRPr="00CD47F4">
        <w:rPr>
          <w:szCs w:val="18"/>
        </w:rPr>
        <w:t xml:space="preserve">/2008, </w:t>
      </w:r>
      <w:r w:rsidRPr="00CD47F4">
        <w:rPr>
          <w:i/>
          <w:szCs w:val="18"/>
        </w:rPr>
        <w:t xml:space="preserve">P.L. </w:t>
      </w:r>
      <w:r w:rsidRPr="00CD47F4">
        <w:rPr>
          <w:szCs w:val="18"/>
        </w:rPr>
        <w:t>v.</w:t>
      </w:r>
      <w:r w:rsidRPr="00CD47F4">
        <w:rPr>
          <w:i/>
          <w:szCs w:val="18"/>
        </w:rPr>
        <w:t xml:space="preserve"> Belarus</w:t>
      </w:r>
      <w:r w:rsidRPr="00CD47F4">
        <w:rPr>
          <w:szCs w:val="18"/>
        </w:rPr>
        <w:t>, Decision o</w:t>
      </w:r>
      <w:r>
        <w:rPr>
          <w:szCs w:val="18"/>
        </w:rPr>
        <w:t>f</w:t>
      </w:r>
      <w:r w:rsidRPr="00CD47F4">
        <w:rPr>
          <w:szCs w:val="18"/>
        </w:rPr>
        <w:t xml:space="preserve"> inadmissibility</w:t>
      </w:r>
      <w:r>
        <w:rPr>
          <w:szCs w:val="18"/>
        </w:rPr>
        <w:t>,</w:t>
      </w:r>
      <w:r w:rsidRPr="00CD47F4">
        <w:rPr>
          <w:szCs w:val="18"/>
        </w:rPr>
        <w:t xml:space="preserve"> </w:t>
      </w:r>
      <w:r>
        <w:rPr>
          <w:szCs w:val="18"/>
        </w:rPr>
        <w:t xml:space="preserve">adopted on </w:t>
      </w:r>
      <w:r w:rsidRPr="00CD47F4">
        <w:rPr>
          <w:szCs w:val="18"/>
        </w:rPr>
        <w:t>26 July 2011, para. 6.2.</w:t>
      </w:r>
    </w:p>
  </w:footnote>
  <w:footnote w:id="5">
    <w:p w:rsidR="00A73CDD" w:rsidRPr="009F20E2" w:rsidRDefault="00A73CDD" w:rsidP="00BC69EC">
      <w:pPr>
        <w:pStyle w:val="FootnoteText"/>
        <w:rPr>
          <w:szCs w:val="18"/>
        </w:rPr>
      </w:pPr>
      <w:r w:rsidRPr="00F214DD">
        <w:rPr>
          <w:szCs w:val="18"/>
        </w:rPr>
        <w:tab/>
      </w:r>
      <w:r w:rsidRPr="009F20E2">
        <w:rPr>
          <w:rStyle w:val="FootnoteReference"/>
          <w:szCs w:val="18"/>
        </w:rPr>
        <w:footnoteRef/>
      </w:r>
      <w:r w:rsidRPr="009F20E2">
        <w:rPr>
          <w:szCs w:val="18"/>
        </w:rPr>
        <w:tab/>
        <w:t xml:space="preserve">See the Committee’s general comment No. 34 (2011) on freedoms of opinion and expression, para. 2, </w:t>
      </w:r>
      <w:r w:rsidRPr="009F20E2">
        <w:rPr>
          <w:i/>
          <w:szCs w:val="18"/>
        </w:rPr>
        <w:t>Official Records of the General Assembly, Sixty-sixth Session, Supplement No. 40</w:t>
      </w:r>
      <w:r w:rsidRPr="009F20E2">
        <w:rPr>
          <w:szCs w:val="18"/>
        </w:rPr>
        <w:t>, vol. I</w:t>
      </w:r>
      <w:r>
        <w:rPr>
          <w:szCs w:val="18"/>
        </w:rPr>
        <w:br/>
      </w:r>
      <w:r w:rsidRPr="009F20E2">
        <w:rPr>
          <w:szCs w:val="18"/>
        </w:rPr>
        <w:t>(A/66/40 (Vol. I)), annex V.</w:t>
      </w:r>
    </w:p>
  </w:footnote>
  <w:footnote w:id="6">
    <w:p w:rsidR="00A73CDD" w:rsidRPr="00B440D6" w:rsidRDefault="00A73CDD" w:rsidP="00BC69EC">
      <w:pPr>
        <w:pStyle w:val="FootnoteText"/>
        <w:rPr>
          <w:szCs w:val="18"/>
        </w:rPr>
      </w:pPr>
      <w:r w:rsidRPr="009F20E2">
        <w:rPr>
          <w:szCs w:val="18"/>
        </w:rPr>
        <w:tab/>
      </w:r>
      <w:r w:rsidRPr="009F20E2">
        <w:rPr>
          <w:rStyle w:val="FootnoteReference"/>
          <w:szCs w:val="18"/>
        </w:rPr>
        <w:footnoteRef/>
      </w:r>
      <w:r w:rsidRPr="009F20E2">
        <w:rPr>
          <w:szCs w:val="18"/>
        </w:rPr>
        <w:tab/>
        <w:t>Ibid., para. 22.</w:t>
      </w:r>
    </w:p>
  </w:footnote>
  <w:footnote w:id="7">
    <w:p w:rsidR="00A73CDD" w:rsidRPr="00F214DD" w:rsidRDefault="00A73CDD" w:rsidP="00BC69EC">
      <w:pPr>
        <w:pStyle w:val="FootnoteText"/>
        <w:rPr>
          <w:szCs w:val="18"/>
        </w:rPr>
      </w:pPr>
      <w:r w:rsidRPr="00B440D6">
        <w:rPr>
          <w:szCs w:val="18"/>
        </w:rPr>
        <w:tab/>
      </w:r>
      <w:r w:rsidRPr="00B440D6">
        <w:rPr>
          <w:rStyle w:val="FootnoteReference"/>
          <w:szCs w:val="18"/>
        </w:rPr>
        <w:footnoteRef/>
      </w:r>
      <w:r w:rsidRPr="00B440D6">
        <w:rPr>
          <w:szCs w:val="18"/>
        </w:rPr>
        <w:tab/>
        <w:t>See paragraphs 2.1, 2.5 and 2.6 above.</w:t>
      </w:r>
    </w:p>
  </w:footnote>
  <w:footnote w:id="8">
    <w:p w:rsidR="00A73CDD" w:rsidRPr="00F214DD" w:rsidRDefault="00A73CDD" w:rsidP="00BC69EC">
      <w:pPr>
        <w:pStyle w:val="FootnoteText"/>
        <w:rPr>
          <w:szCs w:val="18"/>
        </w:rPr>
      </w:pPr>
      <w:r>
        <w:rPr>
          <w:szCs w:val="18"/>
        </w:rPr>
        <w:tab/>
      </w:r>
      <w:r w:rsidRPr="009F20E2">
        <w:rPr>
          <w:rStyle w:val="FootnoteReference"/>
          <w:szCs w:val="18"/>
        </w:rPr>
        <w:footnoteRef/>
      </w:r>
      <w:r w:rsidRPr="009F20E2">
        <w:rPr>
          <w:szCs w:val="18"/>
        </w:rPr>
        <w:tab/>
        <w:t>See, for example, communication</w:t>
      </w:r>
      <w:r>
        <w:rPr>
          <w:szCs w:val="18"/>
        </w:rPr>
        <w:t xml:space="preserve"> No.</w:t>
      </w:r>
      <w:r w:rsidRPr="009F20E2">
        <w:rPr>
          <w:szCs w:val="18"/>
        </w:rPr>
        <w:t xml:space="preserve"> 1830/2008, </w:t>
      </w:r>
      <w:r w:rsidRPr="009F20E2">
        <w:rPr>
          <w:i/>
          <w:szCs w:val="18"/>
        </w:rPr>
        <w:t xml:space="preserve">Pivonos </w:t>
      </w:r>
      <w:r w:rsidRPr="009F20E2">
        <w:rPr>
          <w:szCs w:val="18"/>
        </w:rPr>
        <w:t>v.</w:t>
      </w:r>
      <w:r w:rsidRPr="009F20E2">
        <w:rPr>
          <w:i/>
          <w:szCs w:val="18"/>
        </w:rPr>
        <w:t xml:space="preserve"> Belarus</w:t>
      </w:r>
      <w:r w:rsidRPr="00E30FAA">
        <w:rPr>
          <w:szCs w:val="18"/>
        </w:rPr>
        <w:t xml:space="preserve">, </w:t>
      </w:r>
      <w:r w:rsidRPr="009F20E2">
        <w:rPr>
          <w:szCs w:val="18"/>
        </w:rPr>
        <w:t>Views adopted on 2</w:t>
      </w:r>
      <w:r>
        <w:rPr>
          <w:szCs w:val="18"/>
        </w:rPr>
        <w:t>9</w:t>
      </w:r>
      <w:r w:rsidRPr="009F20E2">
        <w:rPr>
          <w:szCs w:val="18"/>
        </w:rPr>
        <w:t xml:space="preserve"> October 2012, para 9.4.</w:t>
      </w:r>
      <w:r w:rsidRPr="00F214DD">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DD" w:rsidRPr="00AB38BE" w:rsidRDefault="00A73CDD" w:rsidP="00BC69EC">
    <w:pPr>
      <w:pStyle w:val="Header"/>
      <w:tabs>
        <w:tab w:val="right" w:pos="9639"/>
      </w:tabs>
    </w:pPr>
    <w:r>
      <w:t>CCPR/C/109/D/1839/2008</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CDD" w:rsidRPr="00AB38BE" w:rsidRDefault="00A73CDD" w:rsidP="00BC69EC">
    <w:pPr>
      <w:pStyle w:val="Header"/>
      <w:tabs>
        <w:tab w:val="right" w:pos="9639"/>
      </w:tabs>
    </w:pPr>
    <w:r>
      <w:tab/>
      <w:t>CCPR/C/109/D/1839/2008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8BE"/>
    <w:rsid w:val="000571C8"/>
    <w:rsid w:val="00057717"/>
    <w:rsid w:val="00105902"/>
    <w:rsid w:val="00247856"/>
    <w:rsid w:val="00284A32"/>
    <w:rsid w:val="00297301"/>
    <w:rsid w:val="00315EA3"/>
    <w:rsid w:val="003519A7"/>
    <w:rsid w:val="0040093F"/>
    <w:rsid w:val="004119E5"/>
    <w:rsid w:val="00421A4B"/>
    <w:rsid w:val="00425F0D"/>
    <w:rsid w:val="00435425"/>
    <w:rsid w:val="00472DEE"/>
    <w:rsid w:val="004B7198"/>
    <w:rsid w:val="004F137C"/>
    <w:rsid w:val="00552A9F"/>
    <w:rsid w:val="00566F7A"/>
    <w:rsid w:val="00575FF7"/>
    <w:rsid w:val="005B1274"/>
    <w:rsid w:val="00654633"/>
    <w:rsid w:val="00663005"/>
    <w:rsid w:val="00677907"/>
    <w:rsid w:val="00741C8A"/>
    <w:rsid w:val="007E1344"/>
    <w:rsid w:val="00833507"/>
    <w:rsid w:val="00863A7B"/>
    <w:rsid w:val="008B7CD0"/>
    <w:rsid w:val="0096225D"/>
    <w:rsid w:val="009C6853"/>
    <w:rsid w:val="009D0659"/>
    <w:rsid w:val="00A73CDD"/>
    <w:rsid w:val="00AB38BE"/>
    <w:rsid w:val="00B219D5"/>
    <w:rsid w:val="00BC69EC"/>
    <w:rsid w:val="00C6263D"/>
    <w:rsid w:val="00C72CD6"/>
    <w:rsid w:val="00CA05A2"/>
    <w:rsid w:val="00CA1671"/>
    <w:rsid w:val="00CC068C"/>
    <w:rsid w:val="00CF1DEB"/>
    <w:rsid w:val="00D4238A"/>
    <w:rsid w:val="00D67E2F"/>
    <w:rsid w:val="00E05EBB"/>
    <w:rsid w:val="00E30FAA"/>
    <w:rsid w:val="00F47B04"/>
    <w:rsid w:val="00F8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63577632-F134-4EB5-A9D1-71C6697E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AB38BE"/>
    <w:rPr>
      <w:sz w:val="18"/>
      <w:lang w:eastAsia="en-US"/>
    </w:rPr>
  </w:style>
  <w:style w:type="paragraph" w:styleId="BalloonText">
    <w:name w:val="Balloon Text"/>
    <w:basedOn w:val="Normal"/>
    <w:link w:val="BalloonTextChar"/>
    <w:rsid w:val="00914581"/>
    <w:pPr>
      <w:spacing w:line="240" w:lineRule="auto"/>
    </w:pPr>
    <w:rPr>
      <w:rFonts w:ascii="Tahoma" w:hAnsi="Tahoma"/>
      <w:sz w:val="16"/>
      <w:szCs w:val="16"/>
    </w:rPr>
  </w:style>
  <w:style w:type="character" w:customStyle="1" w:styleId="BalloonTextChar">
    <w:name w:val="Balloon Text Char"/>
    <w:link w:val="BalloonText"/>
    <w:rsid w:val="00914581"/>
    <w:rPr>
      <w:rFonts w:ascii="Tahoma" w:hAnsi="Tahoma" w:cs="Tahoma"/>
      <w:sz w:val="16"/>
      <w:szCs w:val="16"/>
      <w:lang w:eastAsia="en-US"/>
    </w:rPr>
  </w:style>
  <w:style w:type="character" w:styleId="CommentReference">
    <w:name w:val="annotation reference"/>
    <w:semiHidden/>
    <w:rsid w:val="00C3210F"/>
    <w:rPr>
      <w:sz w:val="16"/>
      <w:szCs w:val="16"/>
    </w:rPr>
  </w:style>
  <w:style w:type="paragraph" w:styleId="CommentText">
    <w:name w:val="annotation text"/>
    <w:basedOn w:val="Normal"/>
    <w:semiHidden/>
    <w:rsid w:val="00C3210F"/>
  </w:style>
  <w:style w:type="paragraph" w:styleId="CommentSubject">
    <w:name w:val="annotation subject"/>
    <w:basedOn w:val="CommentText"/>
    <w:next w:val="CommentText"/>
    <w:semiHidden/>
    <w:rsid w:val="00C32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2014-02-05T15:29:00Z</cp:lastPrinted>
  <dcterms:created xsi:type="dcterms:W3CDTF">2017-01-24T17:51:00Z</dcterms:created>
  <dcterms:modified xsi:type="dcterms:W3CDTF">2017-01-24T17:51:00Z</dcterms:modified>
</cp:coreProperties>
</file>