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9435E" w:rsidTr="00B6553F">
        <w:trPr>
          <w:cantSplit/>
          <w:trHeight w:hRule="exact" w:val="851"/>
        </w:trPr>
        <w:tc>
          <w:tcPr>
            <w:tcW w:w="1276" w:type="dxa"/>
            <w:tcBorders>
              <w:bottom w:val="single" w:sz="4" w:space="0" w:color="auto"/>
            </w:tcBorders>
            <w:vAlign w:val="bottom"/>
          </w:tcPr>
          <w:p w:rsidR="0069435E" w:rsidRDefault="0069435E" w:rsidP="00B6553F">
            <w:pPr>
              <w:spacing w:after="80"/>
            </w:pPr>
            <w:bookmarkStart w:id="0" w:name="_GoBack"/>
            <w:bookmarkEnd w:id="0"/>
          </w:p>
        </w:tc>
        <w:tc>
          <w:tcPr>
            <w:tcW w:w="2268" w:type="dxa"/>
            <w:tcBorders>
              <w:bottom w:val="single" w:sz="4" w:space="0" w:color="auto"/>
            </w:tcBorders>
            <w:vAlign w:val="bottom"/>
          </w:tcPr>
          <w:p w:rsidR="0069435E" w:rsidRPr="00B97172" w:rsidRDefault="0069435E"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69435E" w:rsidRPr="00D47EEA" w:rsidRDefault="0069435E" w:rsidP="00183D40">
            <w:pPr>
              <w:jc w:val="right"/>
            </w:pPr>
            <w:r w:rsidRPr="000E6770">
              <w:rPr>
                <w:sz w:val="40"/>
              </w:rPr>
              <w:t>CCPR</w:t>
            </w:r>
            <w:r>
              <w:t>/C/116/D/2092/2011</w:t>
            </w:r>
          </w:p>
        </w:tc>
      </w:tr>
      <w:tr w:rsidR="0069435E" w:rsidTr="00B6553F">
        <w:trPr>
          <w:cantSplit/>
          <w:trHeight w:hRule="exact" w:val="2835"/>
        </w:trPr>
        <w:tc>
          <w:tcPr>
            <w:tcW w:w="1276" w:type="dxa"/>
            <w:tcBorders>
              <w:top w:val="single" w:sz="4" w:space="0" w:color="auto"/>
              <w:bottom w:val="single" w:sz="12" w:space="0" w:color="auto"/>
            </w:tcBorders>
          </w:tcPr>
          <w:p w:rsidR="0069435E" w:rsidRDefault="003E59DC" w:rsidP="00B6553F">
            <w:pPr>
              <w:spacing w:before="120"/>
            </w:pPr>
            <w:r>
              <w:rPr>
                <w:noProof/>
                <w:lang w:val="en-US"/>
              </w:rPr>
              <w:drawing>
                <wp:inline distT="0" distB="0" distL="0" distR="0" wp14:anchorId="1AE16464" wp14:editId="53D50035">
                  <wp:extent cx="716915" cy="592455"/>
                  <wp:effectExtent l="0" t="0" r="698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92129" w:rsidRPr="0010012C" w:rsidRDefault="0069435E" w:rsidP="00267F5F">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69435E" w:rsidRPr="00463B9A" w:rsidRDefault="0069435E" w:rsidP="00143A2B">
            <w:pPr>
              <w:spacing w:before="240" w:line="240" w:lineRule="exact"/>
            </w:pPr>
            <w:r w:rsidRPr="00463B9A">
              <w:t xml:space="preserve">Distr.: </w:t>
            </w:r>
            <w:r w:rsidR="00183D40">
              <w:t>General</w:t>
            </w:r>
          </w:p>
          <w:p w:rsidR="0069435E" w:rsidRPr="00463B9A" w:rsidRDefault="00606782" w:rsidP="00143A2B">
            <w:pPr>
              <w:spacing w:line="240" w:lineRule="exact"/>
            </w:pPr>
            <w:r w:rsidRPr="0010012C">
              <w:t>11 May</w:t>
            </w:r>
            <w:r w:rsidR="0069435E" w:rsidRPr="00C12BD1">
              <w:t xml:space="preserve"> 2016</w:t>
            </w:r>
          </w:p>
          <w:p w:rsidR="0069435E" w:rsidRPr="00463B9A" w:rsidRDefault="0069435E" w:rsidP="00143A2B">
            <w:pPr>
              <w:spacing w:line="240" w:lineRule="exact"/>
            </w:pPr>
          </w:p>
          <w:p w:rsidR="0069435E" w:rsidRPr="00463B9A" w:rsidRDefault="0069435E" w:rsidP="00143A2B">
            <w:pPr>
              <w:spacing w:line="240" w:lineRule="exact"/>
            </w:pPr>
            <w:r w:rsidRPr="00463B9A">
              <w:t>Original: English</w:t>
            </w:r>
          </w:p>
          <w:p w:rsidR="0069435E" w:rsidRDefault="0069435E" w:rsidP="0010012C"/>
        </w:tc>
      </w:tr>
    </w:tbl>
    <w:p w:rsidR="0069435E" w:rsidRPr="005D48B0" w:rsidRDefault="0069435E" w:rsidP="005D48B0">
      <w:pPr>
        <w:spacing w:line="20" w:lineRule="exact"/>
        <w:rPr>
          <w:b/>
          <w:sz w:val="2"/>
          <w:szCs w:val="24"/>
          <w:lang w:val="en-US"/>
        </w:rPr>
      </w:pPr>
    </w:p>
    <w:p w:rsidR="0069435E" w:rsidRPr="008216A5" w:rsidRDefault="0069435E" w:rsidP="00143A2B">
      <w:pPr>
        <w:spacing w:before="120"/>
        <w:rPr>
          <w:b/>
          <w:sz w:val="24"/>
          <w:szCs w:val="24"/>
          <w:lang w:val="en-US"/>
        </w:rPr>
      </w:pPr>
      <w:r w:rsidRPr="008216A5">
        <w:rPr>
          <w:b/>
          <w:sz w:val="24"/>
          <w:szCs w:val="24"/>
          <w:lang w:val="en-US"/>
        </w:rPr>
        <w:t>Human Rights Committee</w:t>
      </w:r>
    </w:p>
    <w:p w:rsidR="00F11CD6" w:rsidRPr="0010012C" w:rsidRDefault="0069435E" w:rsidP="0010012C">
      <w:pPr>
        <w:pStyle w:val="HChG"/>
        <w:rPr>
          <w:bCs/>
        </w:rPr>
      </w:pPr>
      <w:r w:rsidRPr="000E6770">
        <w:tab/>
      </w:r>
      <w:r w:rsidRPr="000E6770">
        <w:tab/>
      </w:r>
      <w:r w:rsidR="00E92129" w:rsidRPr="00E92129">
        <w:t>Views adopted by the Committee under article 5</w:t>
      </w:r>
      <w:r w:rsidR="006832FE">
        <w:t xml:space="preserve"> </w:t>
      </w:r>
      <w:r w:rsidR="00E92129" w:rsidRPr="00E92129">
        <w:t>(4) of the Optional Protocol, concerning communication No.</w:t>
      </w:r>
      <w:r w:rsidR="005B1189">
        <w:t> </w:t>
      </w:r>
      <w:r w:rsidR="00E92129" w:rsidRPr="00E92129">
        <w:t>209</w:t>
      </w:r>
      <w:r w:rsidR="00E92129">
        <w:t>2</w:t>
      </w:r>
      <w:r w:rsidR="00E92129" w:rsidRPr="00E92129">
        <w:t>/2011</w:t>
      </w:r>
      <w:r w:rsidR="00E92129" w:rsidRPr="00D9186F">
        <w:rPr>
          <w:rStyle w:val="FootnoteReference"/>
          <w:b w:val="0"/>
          <w:bCs/>
          <w:sz w:val="20"/>
          <w:vertAlign w:val="baseline"/>
        </w:rPr>
        <w:footnoteReference w:customMarkFollows="1" w:id="2"/>
        <w:t>*</w:t>
      </w:r>
      <w:r w:rsidR="0025030E" w:rsidRPr="00D9186F">
        <w:rPr>
          <w:b w:val="0"/>
          <w:bCs/>
          <w:position w:val="4"/>
          <w:sz w:val="20"/>
        </w:rPr>
        <w:t>,</w:t>
      </w:r>
      <w:r w:rsidR="00E92129" w:rsidRPr="00D9186F">
        <w:rPr>
          <w:rStyle w:val="FootnoteReference"/>
          <w:b w:val="0"/>
          <w:bCs/>
          <w:sz w:val="20"/>
          <w:vertAlign w:val="baseline"/>
        </w:rPr>
        <w:t xml:space="preserve"> </w:t>
      </w:r>
      <w:r w:rsidR="00E92129" w:rsidRPr="00D9186F">
        <w:rPr>
          <w:rStyle w:val="FootnoteReference"/>
          <w:b w:val="0"/>
          <w:bCs/>
          <w:sz w:val="20"/>
          <w:vertAlign w:val="baseline"/>
        </w:rPr>
        <w:footnoteReference w:customMarkFollows="1" w:id="3"/>
        <w:t>**</w:t>
      </w:r>
      <w:r w:rsidR="005B1189">
        <w:rPr>
          <w:b w:val="0"/>
          <w:sz w:val="20"/>
        </w:rPr>
        <w:t xml:space="preserve"> </w:t>
      </w:r>
    </w:p>
    <w:p w:rsidR="0069435E" w:rsidRPr="0010012C" w:rsidRDefault="00A90368" w:rsidP="00143A2B">
      <w:pPr>
        <w:pStyle w:val="SingleTxtG"/>
        <w:ind w:left="4536" w:hanging="3402"/>
        <w:jc w:val="left"/>
        <w:rPr>
          <w:i/>
          <w:lang w:val="en-GB"/>
        </w:rPr>
      </w:pPr>
      <w:r>
        <w:rPr>
          <w:i/>
          <w:lang w:val="en-GB"/>
        </w:rPr>
        <w:t xml:space="preserve">Communication </w:t>
      </w:r>
      <w:r w:rsidR="00624F6B" w:rsidRPr="00A503F8">
        <w:rPr>
          <w:i/>
          <w:lang w:val="en-GB"/>
        </w:rPr>
        <w:t>s</w:t>
      </w:r>
      <w:r w:rsidR="0069435E" w:rsidRPr="00A503F8">
        <w:rPr>
          <w:i/>
          <w:lang w:val="en-GB"/>
        </w:rPr>
        <w:t>ubmitted by:</w:t>
      </w:r>
      <w:r w:rsidR="0069435E" w:rsidRPr="0010012C">
        <w:rPr>
          <w:i/>
          <w:lang w:val="en-GB"/>
        </w:rPr>
        <w:tab/>
      </w:r>
      <w:r w:rsidR="0069435E" w:rsidRPr="00A503F8">
        <w:rPr>
          <w:lang w:val="en-GB"/>
        </w:rPr>
        <w:t>Sergei Androsenko (not represented by counsel)</w:t>
      </w:r>
    </w:p>
    <w:p w:rsidR="0069435E" w:rsidRPr="009845EF" w:rsidRDefault="0069435E" w:rsidP="00143A2B">
      <w:pPr>
        <w:pStyle w:val="SingleTxtG"/>
        <w:ind w:left="4536" w:hanging="3402"/>
        <w:jc w:val="left"/>
        <w:rPr>
          <w:lang w:val="en-GB"/>
        </w:rPr>
      </w:pPr>
      <w:r w:rsidRPr="009845EF">
        <w:rPr>
          <w:i/>
          <w:lang w:val="en-GB"/>
        </w:rPr>
        <w:t>Alleged victim:</w:t>
      </w:r>
      <w:r w:rsidRPr="00173844">
        <w:rPr>
          <w:lang w:val="en-GB"/>
        </w:rPr>
        <w:tab/>
      </w:r>
      <w:r w:rsidRPr="009845EF">
        <w:rPr>
          <w:lang w:val="en-GB"/>
        </w:rPr>
        <w:t>The author</w:t>
      </w:r>
    </w:p>
    <w:p w:rsidR="0069435E" w:rsidRPr="009845EF" w:rsidRDefault="0069435E" w:rsidP="00143A2B">
      <w:pPr>
        <w:pStyle w:val="SingleTxtG"/>
        <w:ind w:left="4536" w:hanging="3402"/>
        <w:jc w:val="left"/>
        <w:rPr>
          <w:lang w:val="en-GB"/>
        </w:rPr>
      </w:pPr>
      <w:r w:rsidRPr="009845EF">
        <w:rPr>
          <w:i/>
          <w:lang w:val="en-GB"/>
        </w:rPr>
        <w:t>State party:</w:t>
      </w:r>
      <w:r w:rsidRPr="00173844">
        <w:rPr>
          <w:lang w:val="en-GB"/>
        </w:rPr>
        <w:tab/>
      </w:r>
      <w:r w:rsidRPr="009845EF">
        <w:rPr>
          <w:lang w:val="en-GB"/>
        </w:rPr>
        <w:t>Belarus</w:t>
      </w:r>
    </w:p>
    <w:p w:rsidR="0069435E" w:rsidRPr="009845EF" w:rsidRDefault="0069435E" w:rsidP="000E6770">
      <w:pPr>
        <w:pStyle w:val="SingleTxtG"/>
        <w:ind w:left="4536" w:hanging="3402"/>
        <w:rPr>
          <w:lang w:val="en-GB"/>
        </w:rPr>
      </w:pPr>
      <w:r w:rsidRPr="009845EF">
        <w:rPr>
          <w:i/>
          <w:lang w:val="en-GB"/>
        </w:rPr>
        <w:t>Date of communication:</w:t>
      </w:r>
      <w:r w:rsidRPr="00173844">
        <w:rPr>
          <w:lang w:val="en-GB"/>
        </w:rPr>
        <w:tab/>
      </w:r>
      <w:r w:rsidRPr="009845EF">
        <w:rPr>
          <w:lang w:val="en-GB"/>
        </w:rPr>
        <w:t>20 June 2010 (initial submission)</w:t>
      </w:r>
    </w:p>
    <w:p w:rsidR="0069435E" w:rsidRPr="009845EF" w:rsidRDefault="0069435E" w:rsidP="00143A2B">
      <w:pPr>
        <w:pStyle w:val="SingleTxtG"/>
        <w:ind w:left="4536" w:hanging="3402"/>
        <w:jc w:val="left"/>
        <w:rPr>
          <w:lang w:val="en-GB"/>
        </w:rPr>
      </w:pPr>
      <w:r w:rsidRPr="009845EF">
        <w:rPr>
          <w:i/>
          <w:lang w:val="en-GB"/>
        </w:rPr>
        <w:t>Document references:</w:t>
      </w:r>
      <w:r w:rsidRPr="00173844">
        <w:rPr>
          <w:lang w:val="en-GB"/>
        </w:rPr>
        <w:tab/>
      </w:r>
      <w:r w:rsidR="00E92129" w:rsidRPr="0010012C">
        <w:rPr>
          <w:lang w:val="en-US"/>
        </w:rPr>
        <w:t>Decision taken pursuant</w:t>
      </w:r>
      <w:r w:rsidR="00E92129">
        <w:t xml:space="preserve"> </w:t>
      </w:r>
      <w:r w:rsidR="00E92129" w:rsidRPr="0010012C">
        <w:rPr>
          <w:lang w:val="en-US"/>
        </w:rPr>
        <w:t xml:space="preserve">to </w:t>
      </w:r>
      <w:r w:rsidR="00E92129">
        <w:rPr>
          <w:lang w:val="en-GB"/>
        </w:rPr>
        <w:t>rule</w:t>
      </w:r>
      <w:r w:rsidR="00E92129" w:rsidRPr="009E31DB">
        <w:t xml:space="preserve"> 97</w:t>
      </w:r>
      <w:r w:rsidR="00E92129" w:rsidRPr="0010012C">
        <w:rPr>
          <w:lang w:val="en-US"/>
        </w:rPr>
        <w:t xml:space="preserve"> </w:t>
      </w:r>
      <w:r w:rsidR="00E92129">
        <w:t>of the Committee’s rules of procedure</w:t>
      </w:r>
      <w:r w:rsidRPr="009845EF">
        <w:rPr>
          <w:lang w:val="en-GB"/>
        </w:rPr>
        <w:t>, transmitted to the State party on 30 March 2010 (not issued in document form)</w:t>
      </w:r>
    </w:p>
    <w:p w:rsidR="0069435E" w:rsidRDefault="0069435E" w:rsidP="000E6770">
      <w:pPr>
        <w:pStyle w:val="SingleTxtG"/>
        <w:ind w:left="4536" w:hanging="3402"/>
        <w:rPr>
          <w:lang w:val="en-GB"/>
        </w:rPr>
      </w:pPr>
      <w:r w:rsidRPr="009845EF">
        <w:rPr>
          <w:i/>
          <w:lang w:val="en-GB"/>
        </w:rPr>
        <w:t>Date of adoption of Views:</w:t>
      </w:r>
      <w:r w:rsidRPr="00173844">
        <w:rPr>
          <w:lang w:val="en-GB"/>
        </w:rPr>
        <w:tab/>
      </w:r>
      <w:r w:rsidR="00183D40">
        <w:rPr>
          <w:lang w:val="en-GB"/>
        </w:rPr>
        <w:t>30</w:t>
      </w:r>
      <w:r w:rsidRPr="009845EF">
        <w:rPr>
          <w:lang w:val="en-GB"/>
        </w:rPr>
        <w:t xml:space="preserve"> March 2016</w:t>
      </w:r>
    </w:p>
    <w:p w:rsidR="00247B42" w:rsidRPr="009845EF" w:rsidRDefault="00247B42" w:rsidP="000E6770">
      <w:pPr>
        <w:pStyle w:val="SingleTxtG"/>
        <w:ind w:left="4536" w:hanging="3402"/>
        <w:rPr>
          <w:lang w:val="en-GB"/>
        </w:rPr>
      </w:pPr>
      <w:r w:rsidRPr="009845EF">
        <w:rPr>
          <w:i/>
          <w:iCs/>
          <w:lang w:val="en-GB"/>
        </w:rPr>
        <w:t>Subject matter:</w:t>
      </w:r>
      <w:r w:rsidRPr="00173844">
        <w:rPr>
          <w:lang w:val="en-GB"/>
        </w:rPr>
        <w:tab/>
      </w:r>
      <w:r w:rsidRPr="009845EF">
        <w:rPr>
          <w:lang w:val="en-GB"/>
        </w:rPr>
        <w:t>Imposition of a fine for holding a peaceful assembly without prior authori</w:t>
      </w:r>
      <w:r w:rsidR="00624F6B">
        <w:rPr>
          <w:lang w:val="en-GB"/>
        </w:rPr>
        <w:t>z</w:t>
      </w:r>
      <w:r w:rsidRPr="009845EF">
        <w:rPr>
          <w:lang w:val="en-GB"/>
        </w:rPr>
        <w:t>ation</w:t>
      </w:r>
    </w:p>
    <w:p w:rsidR="0069435E" w:rsidRDefault="0069435E" w:rsidP="00143A2B">
      <w:pPr>
        <w:pStyle w:val="SingleTxtG"/>
        <w:ind w:left="4536" w:hanging="3402"/>
        <w:jc w:val="left"/>
        <w:rPr>
          <w:lang w:val="en-GB"/>
        </w:rPr>
      </w:pPr>
      <w:r w:rsidRPr="009845EF">
        <w:rPr>
          <w:i/>
          <w:iCs/>
          <w:lang w:val="en-GB"/>
        </w:rPr>
        <w:t>Procedural issue</w:t>
      </w:r>
      <w:r w:rsidR="00624F6B">
        <w:rPr>
          <w:i/>
          <w:iCs/>
          <w:lang w:val="en-GB"/>
        </w:rPr>
        <w:t>s</w:t>
      </w:r>
      <w:r w:rsidRPr="009845EF">
        <w:rPr>
          <w:i/>
          <w:iCs/>
          <w:lang w:val="en-GB"/>
        </w:rPr>
        <w:t xml:space="preserve">: </w:t>
      </w:r>
      <w:r w:rsidRPr="00173844">
        <w:rPr>
          <w:i/>
          <w:iCs/>
          <w:lang w:val="en-GB"/>
        </w:rPr>
        <w:tab/>
      </w:r>
      <w:r w:rsidRPr="009845EF">
        <w:rPr>
          <w:iCs/>
          <w:lang w:val="en-GB"/>
        </w:rPr>
        <w:t>E</w:t>
      </w:r>
      <w:r w:rsidRPr="009845EF">
        <w:rPr>
          <w:lang w:val="en-GB"/>
        </w:rPr>
        <w:t>xhaustion of domestic remedies</w:t>
      </w:r>
    </w:p>
    <w:p w:rsidR="00F31325" w:rsidRPr="009845EF" w:rsidRDefault="00F31325" w:rsidP="00143A2B">
      <w:pPr>
        <w:pStyle w:val="SingleTxtG"/>
        <w:ind w:left="4536" w:hanging="3402"/>
        <w:jc w:val="left"/>
        <w:rPr>
          <w:lang w:val="en-GB"/>
        </w:rPr>
      </w:pPr>
      <w:r w:rsidRPr="009845EF">
        <w:rPr>
          <w:i/>
          <w:iCs/>
          <w:lang w:val="en-GB"/>
        </w:rPr>
        <w:t xml:space="preserve">Substantive issues: </w:t>
      </w:r>
      <w:r w:rsidRPr="00173844">
        <w:rPr>
          <w:i/>
          <w:iCs/>
          <w:lang w:val="en-GB"/>
        </w:rPr>
        <w:tab/>
      </w:r>
      <w:r w:rsidRPr="009845EF">
        <w:rPr>
          <w:lang w:val="en-GB"/>
        </w:rPr>
        <w:t>Right to freedom of expression; right of peaceful assembly</w:t>
      </w:r>
    </w:p>
    <w:p w:rsidR="0069435E" w:rsidRPr="009845EF" w:rsidRDefault="0069435E" w:rsidP="00143A2B">
      <w:pPr>
        <w:pStyle w:val="SingleTxtG"/>
        <w:ind w:left="4536" w:hanging="3402"/>
        <w:jc w:val="left"/>
        <w:rPr>
          <w:lang w:val="en-GB"/>
        </w:rPr>
      </w:pPr>
      <w:r w:rsidRPr="009845EF">
        <w:rPr>
          <w:i/>
          <w:iCs/>
          <w:lang w:val="en-GB"/>
        </w:rPr>
        <w:t>Articles of the Covenant:</w:t>
      </w:r>
      <w:r w:rsidRPr="009845EF">
        <w:rPr>
          <w:lang w:val="en-GB"/>
        </w:rPr>
        <w:t xml:space="preserve"> </w:t>
      </w:r>
      <w:r w:rsidRPr="00173844">
        <w:rPr>
          <w:lang w:val="en-GB"/>
        </w:rPr>
        <w:tab/>
      </w:r>
      <w:r w:rsidRPr="009845EF">
        <w:rPr>
          <w:lang w:val="en-GB"/>
        </w:rPr>
        <w:t>19 and 21</w:t>
      </w:r>
    </w:p>
    <w:p w:rsidR="0069435E" w:rsidRPr="009845EF" w:rsidRDefault="0069435E" w:rsidP="00143A2B">
      <w:pPr>
        <w:pStyle w:val="SingleTxtG"/>
        <w:ind w:left="4536" w:hanging="3402"/>
        <w:jc w:val="left"/>
        <w:rPr>
          <w:lang w:val="en-GB"/>
        </w:rPr>
      </w:pPr>
      <w:r w:rsidRPr="009845EF">
        <w:rPr>
          <w:i/>
          <w:iCs/>
          <w:lang w:val="en-GB"/>
        </w:rPr>
        <w:t>Article</w:t>
      </w:r>
      <w:r w:rsidR="00624F6B">
        <w:rPr>
          <w:i/>
          <w:iCs/>
          <w:lang w:val="en-GB"/>
        </w:rPr>
        <w:t>s</w:t>
      </w:r>
      <w:r w:rsidRPr="009845EF">
        <w:rPr>
          <w:i/>
          <w:iCs/>
          <w:lang w:val="en-GB"/>
        </w:rPr>
        <w:t xml:space="preserve"> of the Optional Protocol:</w:t>
      </w:r>
      <w:r w:rsidRPr="00173844">
        <w:rPr>
          <w:i/>
          <w:iCs/>
          <w:lang w:val="en-GB"/>
        </w:rPr>
        <w:tab/>
      </w:r>
      <w:r w:rsidRPr="009845EF">
        <w:rPr>
          <w:lang w:val="en-GB"/>
        </w:rPr>
        <w:t>5</w:t>
      </w:r>
      <w:r w:rsidR="00624F6B">
        <w:rPr>
          <w:lang w:val="en-GB"/>
        </w:rPr>
        <w:t xml:space="preserve"> (</w:t>
      </w:r>
      <w:r w:rsidRPr="009845EF">
        <w:rPr>
          <w:lang w:val="en-GB"/>
        </w:rPr>
        <w:t>2</w:t>
      </w:r>
      <w:r w:rsidR="00624F6B">
        <w:rPr>
          <w:lang w:val="en-GB"/>
        </w:rPr>
        <w:t>)</w:t>
      </w:r>
      <w:r w:rsidRPr="009845EF">
        <w:rPr>
          <w:lang w:val="en-GB"/>
        </w:rPr>
        <w:t xml:space="preserve"> (b)</w:t>
      </w:r>
    </w:p>
    <w:p w:rsidR="0069435E" w:rsidRPr="009845EF" w:rsidRDefault="0069435E" w:rsidP="0010012C">
      <w:pPr>
        <w:pStyle w:val="SingleTxtG"/>
        <w:rPr>
          <w:bCs/>
          <w:iCs/>
          <w:lang w:val="en-GB"/>
        </w:rPr>
      </w:pPr>
    </w:p>
    <w:p w:rsidR="0069435E" w:rsidRPr="009845EF" w:rsidRDefault="0069435E">
      <w:pPr>
        <w:pStyle w:val="SingleTxtG"/>
        <w:rPr>
          <w:lang w:val="en-GB"/>
        </w:rPr>
      </w:pPr>
      <w:r w:rsidRPr="000E6770">
        <w:br w:type="page"/>
      </w:r>
      <w:r w:rsidRPr="009845EF">
        <w:rPr>
          <w:lang w:val="en-GB"/>
        </w:rPr>
        <w:lastRenderedPageBreak/>
        <w:t>1.</w:t>
      </w:r>
      <w:r w:rsidRPr="00173844">
        <w:rPr>
          <w:lang w:val="en-GB"/>
        </w:rPr>
        <w:tab/>
      </w:r>
      <w:r w:rsidRPr="009845EF">
        <w:rPr>
          <w:lang w:val="en-GB"/>
        </w:rPr>
        <w:t xml:space="preserve">The author of the communication is Sergei Androsenko, a national </w:t>
      </w:r>
      <w:r w:rsidR="007D1F6E">
        <w:rPr>
          <w:lang w:val="en-GB"/>
        </w:rPr>
        <w:t xml:space="preserve">of Belarus </w:t>
      </w:r>
      <w:r w:rsidRPr="009845EF">
        <w:rPr>
          <w:lang w:val="en-GB"/>
        </w:rPr>
        <w:t xml:space="preserve">born in 1988. He claims </w:t>
      </w:r>
      <w:r w:rsidR="007D1F6E">
        <w:rPr>
          <w:lang w:val="en-GB"/>
        </w:rPr>
        <w:t xml:space="preserve">that </w:t>
      </w:r>
      <w:r w:rsidR="00A04B06">
        <w:rPr>
          <w:lang w:val="en-GB"/>
        </w:rPr>
        <w:t>t</w:t>
      </w:r>
      <w:r w:rsidR="007D1F6E">
        <w:rPr>
          <w:lang w:val="en-GB"/>
        </w:rPr>
        <w:t>he State party violated</w:t>
      </w:r>
      <w:r w:rsidRPr="009845EF">
        <w:rPr>
          <w:lang w:val="en-GB"/>
        </w:rPr>
        <w:t xml:space="preserve"> his rights under articles 19 (2) and 21 of the Covenant. The Optional Protocol entered into force for the State party on 30 December 1992. The author is </w:t>
      </w:r>
      <w:r w:rsidR="007D1F6E">
        <w:rPr>
          <w:lang w:val="en-GB"/>
        </w:rPr>
        <w:t xml:space="preserve">not </w:t>
      </w:r>
      <w:r w:rsidRPr="009845EF">
        <w:rPr>
          <w:lang w:val="en-GB"/>
        </w:rPr>
        <w:t>represented</w:t>
      </w:r>
      <w:r w:rsidR="007D1F6E">
        <w:rPr>
          <w:lang w:val="en-GB"/>
        </w:rPr>
        <w:t xml:space="preserve"> by counsel</w:t>
      </w:r>
      <w:r w:rsidRPr="009845EF">
        <w:rPr>
          <w:lang w:val="en-GB"/>
        </w:rPr>
        <w:t xml:space="preserve">. </w:t>
      </w:r>
    </w:p>
    <w:p w:rsidR="0069435E" w:rsidRPr="008216A5" w:rsidRDefault="0069435E" w:rsidP="00D4204C">
      <w:pPr>
        <w:pStyle w:val="H23G"/>
      </w:pPr>
      <w:r w:rsidRPr="008216A5">
        <w:tab/>
      </w:r>
      <w:r w:rsidRPr="008216A5">
        <w:tab/>
        <w:t xml:space="preserve">The facts as </w:t>
      </w:r>
      <w:r>
        <w:t>submitted</w:t>
      </w:r>
      <w:r w:rsidRPr="008216A5">
        <w:t xml:space="preserve"> by the author</w:t>
      </w:r>
    </w:p>
    <w:p w:rsidR="0069435E" w:rsidRPr="002E1360" w:rsidRDefault="0069435E">
      <w:pPr>
        <w:pStyle w:val="SingleTxtG"/>
        <w:rPr>
          <w:lang w:val="en-US"/>
        </w:rPr>
      </w:pPr>
      <w:r w:rsidRPr="002E1360">
        <w:rPr>
          <w:lang w:val="en-US"/>
        </w:rPr>
        <w:t>2.1</w:t>
      </w:r>
      <w:r w:rsidRPr="002E1360">
        <w:rPr>
          <w:lang w:val="en-US"/>
        </w:rPr>
        <w:tab/>
        <w:t>On 16 December 2009, the author</w:t>
      </w:r>
      <w:r w:rsidR="006926C4">
        <w:rPr>
          <w:lang w:val="en-US"/>
        </w:rPr>
        <w:t>,</w:t>
      </w:r>
      <w:r>
        <w:rPr>
          <w:lang w:val="en-US"/>
        </w:rPr>
        <w:t xml:space="preserve"> together with other activists</w:t>
      </w:r>
      <w:r w:rsidR="006926C4">
        <w:rPr>
          <w:lang w:val="en-US"/>
        </w:rPr>
        <w:t>,</w:t>
      </w:r>
      <w:r>
        <w:rPr>
          <w:lang w:val="en-US"/>
        </w:rPr>
        <w:t xml:space="preserve"> handed a petition to representatives of the </w:t>
      </w:r>
      <w:r w:rsidR="006926C4">
        <w:rPr>
          <w:lang w:val="en-US"/>
        </w:rPr>
        <w:t>e</w:t>
      </w:r>
      <w:r>
        <w:rPr>
          <w:lang w:val="en-US"/>
        </w:rPr>
        <w:t xml:space="preserve">mbassy </w:t>
      </w:r>
      <w:r w:rsidR="006926C4">
        <w:rPr>
          <w:lang w:val="en-US"/>
        </w:rPr>
        <w:t xml:space="preserve">of the Islamic Republic of Iran </w:t>
      </w:r>
      <w:r>
        <w:rPr>
          <w:lang w:val="en-US"/>
        </w:rPr>
        <w:t xml:space="preserve">in Minsk calling </w:t>
      </w:r>
      <w:r w:rsidR="000F566B">
        <w:rPr>
          <w:lang w:val="en-US"/>
        </w:rPr>
        <w:t>for</w:t>
      </w:r>
      <w:r>
        <w:rPr>
          <w:lang w:val="en-US"/>
        </w:rPr>
        <w:t xml:space="preserve"> an end </w:t>
      </w:r>
      <w:r w:rsidR="000F566B">
        <w:rPr>
          <w:lang w:val="en-US"/>
        </w:rPr>
        <w:t>to</w:t>
      </w:r>
      <w:r>
        <w:rPr>
          <w:lang w:val="en-US"/>
        </w:rPr>
        <w:t xml:space="preserve"> punishment </w:t>
      </w:r>
      <w:r w:rsidR="006832FE">
        <w:rPr>
          <w:lang w:val="en-US"/>
        </w:rPr>
        <w:t xml:space="preserve">of </w:t>
      </w:r>
      <w:r>
        <w:rPr>
          <w:lang w:val="en-US"/>
        </w:rPr>
        <w:t xml:space="preserve">homosexuals in </w:t>
      </w:r>
      <w:r w:rsidR="006926C4">
        <w:rPr>
          <w:lang w:val="en-US"/>
        </w:rPr>
        <w:t>that country</w:t>
      </w:r>
      <w:r>
        <w:rPr>
          <w:lang w:val="en-US"/>
        </w:rPr>
        <w:t>.</w:t>
      </w:r>
      <w:r>
        <w:rPr>
          <w:rStyle w:val="FootnoteReference"/>
          <w:lang w:val="en-US"/>
        </w:rPr>
        <w:footnoteReference w:id="4"/>
      </w:r>
      <w:r>
        <w:rPr>
          <w:lang w:val="en-US"/>
        </w:rPr>
        <w:t xml:space="preserve"> </w:t>
      </w:r>
      <w:r w:rsidR="006926C4">
        <w:rPr>
          <w:lang w:val="en-US"/>
        </w:rPr>
        <w:t>After the petition was delivered</w:t>
      </w:r>
      <w:r>
        <w:rPr>
          <w:lang w:val="en-US"/>
        </w:rPr>
        <w:t xml:space="preserve">, </w:t>
      </w:r>
      <w:r w:rsidR="006926C4">
        <w:rPr>
          <w:lang w:val="en-US"/>
        </w:rPr>
        <w:t xml:space="preserve">the author, </w:t>
      </w:r>
      <w:r>
        <w:rPr>
          <w:lang w:val="en-US"/>
        </w:rPr>
        <w:t>together with others</w:t>
      </w:r>
      <w:r w:rsidR="006926C4">
        <w:rPr>
          <w:lang w:val="en-US"/>
        </w:rPr>
        <w:t>,</w:t>
      </w:r>
      <w:r>
        <w:rPr>
          <w:lang w:val="en-US"/>
        </w:rPr>
        <w:t xml:space="preserve"> </w:t>
      </w:r>
      <w:r w:rsidR="006926C4">
        <w:rPr>
          <w:lang w:val="en-US"/>
        </w:rPr>
        <w:t>held</w:t>
      </w:r>
      <w:r w:rsidR="006926C4" w:rsidRPr="002E1360">
        <w:rPr>
          <w:lang w:val="en-US"/>
        </w:rPr>
        <w:t xml:space="preserve"> </w:t>
      </w:r>
      <w:r w:rsidRPr="002E1360">
        <w:rPr>
          <w:lang w:val="en-US"/>
        </w:rPr>
        <w:t xml:space="preserve">a peaceful </w:t>
      </w:r>
      <w:r>
        <w:rPr>
          <w:lang w:val="en-US"/>
        </w:rPr>
        <w:t>assembly (</w:t>
      </w:r>
      <w:r w:rsidRPr="002E1360">
        <w:rPr>
          <w:lang w:val="en-US"/>
        </w:rPr>
        <w:t>demonstration</w:t>
      </w:r>
      <w:r>
        <w:rPr>
          <w:lang w:val="en-US"/>
        </w:rPr>
        <w:t>)</w:t>
      </w:r>
      <w:r w:rsidR="006926C4">
        <w:rPr>
          <w:lang w:val="en-US"/>
        </w:rPr>
        <w:t xml:space="preserve"> during which he held up</w:t>
      </w:r>
      <w:r w:rsidRPr="002E1360">
        <w:rPr>
          <w:lang w:val="en-US"/>
        </w:rPr>
        <w:t xml:space="preserve"> a poster that read “Stop</w:t>
      </w:r>
      <w:r>
        <w:rPr>
          <w:lang w:val="en-US"/>
        </w:rPr>
        <w:t xml:space="preserve"> </w:t>
      </w:r>
      <w:r w:rsidRPr="002E1360">
        <w:rPr>
          <w:lang w:val="en-US"/>
        </w:rPr>
        <w:t>killing</w:t>
      </w:r>
      <w:r>
        <w:rPr>
          <w:lang w:val="en-US"/>
        </w:rPr>
        <w:t>s</w:t>
      </w:r>
      <w:r w:rsidRPr="002E1360">
        <w:rPr>
          <w:lang w:val="en-US"/>
        </w:rPr>
        <w:t xml:space="preserve"> </w:t>
      </w:r>
      <w:r>
        <w:rPr>
          <w:lang w:val="en-US"/>
        </w:rPr>
        <w:t xml:space="preserve">of gays </w:t>
      </w:r>
      <w:r w:rsidRPr="002E1360">
        <w:rPr>
          <w:lang w:val="en-US"/>
        </w:rPr>
        <w:t>in Iran”</w:t>
      </w:r>
      <w:r>
        <w:rPr>
          <w:lang w:val="en-US"/>
        </w:rPr>
        <w:t xml:space="preserve">. In about </w:t>
      </w:r>
      <w:r w:rsidR="006926C4">
        <w:rPr>
          <w:lang w:val="en-US"/>
        </w:rPr>
        <w:t xml:space="preserve">15 </w:t>
      </w:r>
      <w:r>
        <w:rPr>
          <w:lang w:val="en-US"/>
        </w:rPr>
        <w:t>minutes</w:t>
      </w:r>
      <w:r w:rsidR="006926C4">
        <w:rPr>
          <w:lang w:val="en-US"/>
        </w:rPr>
        <w:t>,</w:t>
      </w:r>
      <w:r>
        <w:rPr>
          <w:lang w:val="en-US"/>
        </w:rPr>
        <w:t xml:space="preserve"> the author </w:t>
      </w:r>
      <w:r w:rsidRPr="002E1360">
        <w:rPr>
          <w:lang w:val="en-US"/>
        </w:rPr>
        <w:t xml:space="preserve">was </w:t>
      </w:r>
      <w:r>
        <w:rPr>
          <w:lang w:val="en-US"/>
        </w:rPr>
        <w:t xml:space="preserve">apprehended by the police and taken to </w:t>
      </w:r>
      <w:r w:rsidR="006926C4">
        <w:rPr>
          <w:lang w:val="en-US"/>
        </w:rPr>
        <w:t xml:space="preserve">the </w:t>
      </w:r>
      <w:r>
        <w:rPr>
          <w:lang w:val="en-US"/>
        </w:rPr>
        <w:t>Department of Internal Affairs of the Soviet District</w:t>
      </w:r>
      <w:r w:rsidR="000F566B">
        <w:rPr>
          <w:lang w:val="en-US"/>
        </w:rPr>
        <w:t>,</w:t>
      </w:r>
      <w:r>
        <w:rPr>
          <w:lang w:val="en-US"/>
        </w:rPr>
        <w:t xml:space="preserve"> where h</w:t>
      </w:r>
      <w:r w:rsidRPr="009845EF">
        <w:rPr>
          <w:lang w:val="en-GB"/>
        </w:rPr>
        <w:t xml:space="preserve">e was charged </w:t>
      </w:r>
      <w:r w:rsidR="006926C4">
        <w:rPr>
          <w:lang w:val="en-GB"/>
        </w:rPr>
        <w:t>with</w:t>
      </w:r>
      <w:r w:rsidR="006926C4" w:rsidRPr="009845EF">
        <w:rPr>
          <w:lang w:val="en-GB"/>
        </w:rPr>
        <w:t xml:space="preserve"> </w:t>
      </w:r>
      <w:r w:rsidRPr="009845EF">
        <w:rPr>
          <w:lang w:val="en-GB"/>
        </w:rPr>
        <w:t xml:space="preserve">an administrative offence under article 23.34, paragraph 2, of the Code of Administrative Offences of Belarus </w:t>
      </w:r>
      <w:r w:rsidR="006832FE">
        <w:rPr>
          <w:lang w:val="en-GB"/>
        </w:rPr>
        <w:t>(</w:t>
      </w:r>
      <w:r w:rsidRPr="009845EF">
        <w:rPr>
          <w:lang w:val="en-GB"/>
        </w:rPr>
        <w:t>conduct of a public gathering</w:t>
      </w:r>
      <w:r w:rsidR="006832FE">
        <w:rPr>
          <w:lang w:val="en-GB"/>
        </w:rPr>
        <w:t>), accused</w:t>
      </w:r>
      <w:r w:rsidR="006926C4">
        <w:rPr>
          <w:lang w:val="en-GB"/>
        </w:rPr>
        <w:t xml:space="preserve"> of being </w:t>
      </w:r>
      <w:r w:rsidRPr="009845EF">
        <w:rPr>
          <w:lang w:val="en-GB"/>
        </w:rPr>
        <w:t xml:space="preserve">in violation of the established procedure on </w:t>
      </w:r>
      <w:r w:rsidR="006926C4">
        <w:rPr>
          <w:lang w:val="en-GB"/>
        </w:rPr>
        <w:t xml:space="preserve">the </w:t>
      </w:r>
      <w:r w:rsidRPr="009845EF">
        <w:rPr>
          <w:lang w:val="en-GB"/>
        </w:rPr>
        <w:t xml:space="preserve">organization of gatherings </w:t>
      </w:r>
      <w:r w:rsidR="006926C4">
        <w:rPr>
          <w:lang w:val="en-GB"/>
        </w:rPr>
        <w:t>under</w:t>
      </w:r>
      <w:r w:rsidR="006926C4" w:rsidRPr="009845EF">
        <w:rPr>
          <w:lang w:val="en-GB"/>
        </w:rPr>
        <w:t xml:space="preserve"> </w:t>
      </w:r>
      <w:r w:rsidRPr="009845EF">
        <w:rPr>
          <w:lang w:val="en-GB"/>
        </w:rPr>
        <w:t xml:space="preserve">the Law </w:t>
      </w:r>
      <w:r w:rsidR="00A90368">
        <w:rPr>
          <w:lang w:val="en-GB"/>
        </w:rPr>
        <w:t>o</w:t>
      </w:r>
      <w:r w:rsidRPr="009845EF">
        <w:rPr>
          <w:lang w:val="en-GB"/>
        </w:rPr>
        <w:t>n mass events in the Republic of Belarus</w:t>
      </w:r>
      <w:r w:rsidR="006926C4">
        <w:rPr>
          <w:lang w:val="en-GB"/>
        </w:rPr>
        <w:t xml:space="preserve"> of </w:t>
      </w:r>
      <w:r w:rsidR="006926C4" w:rsidRPr="009845EF">
        <w:rPr>
          <w:lang w:val="en-GB"/>
        </w:rPr>
        <w:t>1997</w:t>
      </w:r>
      <w:r w:rsidRPr="009845EF">
        <w:rPr>
          <w:lang w:val="en-GB"/>
        </w:rPr>
        <w:t xml:space="preserve">. Under that </w:t>
      </w:r>
      <w:r w:rsidR="006926C4">
        <w:rPr>
          <w:lang w:val="en-GB"/>
        </w:rPr>
        <w:t>l</w:t>
      </w:r>
      <w:r w:rsidRPr="009845EF">
        <w:rPr>
          <w:lang w:val="en-GB"/>
        </w:rPr>
        <w:t xml:space="preserve">aw, organizers of public events are required to obtain permission </w:t>
      </w:r>
      <w:r w:rsidR="006926C4" w:rsidRPr="009845EF">
        <w:rPr>
          <w:lang w:val="en-GB"/>
        </w:rPr>
        <w:t xml:space="preserve">to conduct a gathering </w:t>
      </w:r>
      <w:r w:rsidRPr="009845EF">
        <w:rPr>
          <w:lang w:val="en-GB"/>
        </w:rPr>
        <w:t>from the local executive authorities 15 days before the holding of the event</w:t>
      </w:r>
      <w:r w:rsidR="006832FE">
        <w:rPr>
          <w:lang w:val="en-GB"/>
        </w:rPr>
        <w:t>.</w:t>
      </w:r>
      <w:r w:rsidR="000F566B">
        <w:rPr>
          <w:lang w:val="en-GB"/>
        </w:rPr>
        <w:t xml:space="preserve"> </w:t>
      </w:r>
      <w:r w:rsidR="006832FE">
        <w:rPr>
          <w:lang w:val="en-GB"/>
        </w:rPr>
        <w:t>T</w:t>
      </w:r>
      <w:r w:rsidRPr="009845EF">
        <w:rPr>
          <w:lang w:val="en-GB"/>
        </w:rPr>
        <w:t>he author</w:t>
      </w:r>
      <w:r w:rsidR="006832FE">
        <w:rPr>
          <w:lang w:val="en-GB"/>
        </w:rPr>
        <w:t xml:space="preserve"> had</w:t>
      </w:r>
      <w:r w:rsidRPr="009845EF">
        <w:rPr>
          <w:lang w:val="en-GB"/>
        </w:rPr>
        <w:t xml:space="preserve"> </w:t>
      </w:r>
      <w:r w:rsidR="006926C4">
        <w:rPr>
          <w:lang w:val="en-GB"/>
        </w:rPr>
        <w:t>failed to request</w:t>
      </w:r>
      <w:r w:rsidRPr="009845EF">
        <w:rPr>
          <w:lang w:val="en-GB"/>
        </w:rPr>
        <w:t xml:space="preserve"> such permission. </w:t>
      </w:r>
    </w:p>
    <w:p w:rsidR="0069435E" w:rsidRPr="002E1360" w:rsidRDefault="0069435E" w:rsidP="00143A2B">
      <w:pPr>
        <w:pStyle w:val="SingleTxtG"/>
        <w:rPr>
          <w:lang w:val="en-US"/>
        </w:rPr>
      </w:pPr>
      <w:r>
        <w:rPr>
          <w:lang w:val="en-US"/>
        </w:rPr>
        <w:t>2.2</w:t>
      </w:r>
      <w:r w:rsidRPr="002E1360">
        <w:rPr>
          <w:lang w:val="en-US"/>
        </w:rPr>
        <w:tab/>
        <w:t xml:space="preserve">On 23 December 2009, </w:t>
      </w:r>
      <w:r>
        <w:rPr>
          <w:lang w:val="en-US"/>
        </w:rPr>
        <w:t xml:space="preserve">the </w:t>
      </w:r>
      <w:r w:rsidRPr="002E1360">
        <w:rPr>
          <w:lang w:val="en-US"/>
        </w:rPr>
        <w:t>Court of the Soviet District</w:t>
      </w:r>
      <w:r>
        <w:rPr>
          <w:lang w:val="en-US"/>
        </w:rPr>
        <w:t xml:space="preserve"> in</w:t>
      </w:r>
      <w:r w:rsidRPr="002E1360">
        <w:rPr>
          <w:lang w:val="en-US"/>
        </w:rPr>
        <w:t xml:space="preserve"> Minsk found the author </w:t>
      </w:r>
      <w:r>
        <w:rPr>
          <w:lang w:val="en-US"/>
        </w:rPr>
        <w:t xml:space="preserve">guilty of an </w:t>
      </w:r>
      <w:r w:rsidRPr="002E1360">
        <w:rPr>
          <w:lang w:val="en-US"/>
        </w:rPr>
        <w:t xml:space="preserve">administrative </w:t>
      </w:r>
      <w:r>
        <w:rPr>
          <w:lang w:val="en-US"/>
        </w:rPr>
        <w:t xml:space="preserve">offence under article 23.34 of the Code of Administrative Offences </w:t>
      </w:r>
      <w:r w:rsidRPr="002E1360">
        <w:rPr>
          <w:lang w:val="en-US"/>
        </w:rPr>
        <w:t>and fine</w:t>
      </w:r>
      <w:r>
        <w:rPr>
          <w:lang w:val="en-US"/>
        </w:rPr>
        <w:t>d him 875,000 Belarusian roubles</w:t>
      </w:r>
      <w:r w:rsidR="00C601D8">
        <w:rPr>
          <w:lang w:val="en-US"/>
        </w:rPr>
        <w:t>.</w:t>
      </w:r>
      <w:r>
        <w:rPr>
          <w:rStyle w:val="FootnoteReference"/>
          <w:lang w:val="en-US"/>
        </w:rPr>
        <w:footnoteReference w:id="5"/>
      </w:r>
      <w:r>
        <w:rPr>
          <w:lang w:val="en-US"/>
        </w:rPr>
        <w:t xml:space="preserve"> The court found that the author and the other participants had taken part in an unauthorized mass event without obtaining prior authorization </w:t>
      </w:r>
      <w:r w:rsidR="006926C4">
        <w:rPr>
          <w:lang w:val="en-US"/>
        </w:rPr>
        <w:t>as required by</w:t>
      </w:r>
      <w:r>
        <w:rPr>
          <w:lang w:val="en-US"/>
        </w:rPr>
        <w:t xml:space="preserve"> article 5 of the Law on </w:t>
      </w:r>
      <w:r w:rsidR="00F31325">
        <w:rPr>
          <w:lang w:val="en-US"/>
        </w:rPr>
        <w:t>m</w:t>
      </w:r>
      <w:r>
        <w:rPr>
          <w:lang w:val="en-US"/>
        </w:rPr>
        <w:t xml:space="preserve">ass </w:t>
      </w:r>
      <w:r w:rsidR="00F31325">
        <w:rPr>
          <w:lang w:val="en-US"/>
        </w:rPr>
        <w:t>e</w:t>
      </w:r>
      <w:r>
        <w:rPr>
          <w:lang w:val="en-US"/>
        </w:rPr>
        <w:t>vents.</w:t>
      </w:r>
      <w:r w:rsidR="009845EF">
        <w:rPr>
          <w:lang w:val="en-US"/>
        </w:rPr>
        <w:t xml:space="preserve"> </w:t>
      </w:r>
    </w:p>
    <w:p w:rsidR="0069435E" w:rsidRPr="002E1360" w:rsidRDefault="0069435E" w:rsidP="00143A2B">
      <w:pPr>
        <w:pStyle w:val="SingleTxtG"/>
        <w:rPr>
          <w:lang w:val="en-US"/>
        </w:rPr>
      </w:pPr>
      <w:r w:rsidRPr="002E1360">
        <w:rPr>
          <w:lang w:val="en-US"/>
        </w:rPr>
        <w:t>2.3</w:t>
      </w:r>
      <w:r w:rsidRPr="002E1360">
        <w:rPr>
          <w:lang w:val="en-US"/>
        </w:rPr>
        <w:tab/>
        <w:t xml:space="preserve">On 30 December 2009, the author filed a cassation appeal against the </w:t>
      </w:r>
      <w:r>
        <w:rPr>
          <w:lang w:val="en-US"/>
        </w:rPr>
        <w:t xml:space="preserve">decision of the </w:t>
      </w:r>
      <w:r w:rsidRPr="002E1360">
        <w:rPr>
          <w:lang w:val="en-US"/>
        </w:rPr>
        <w:t xml:space="preserve">Court </w:t>
      </w:r>
      <w:r>
        <w:rPr>
          <w:lang w:val="en-US"/>
        </w:rPr>
        <w:t xml:space="preserve">of the </w:t>
      </w:r>
      <w:r w:rsidRPr="002E1360">
        <w:rPr>
          <w:lang w:val="en-US"/>
        </w:rPr>
        <w:t xml:space="preserve">Soviet District before the City Court of Minsk. On 19 January 2010, the City Court of Minsk confirmed the </w:t>
      </w:r>
      <w:r>
        <w:rPr>
          <w:lang w:val="en-US"/>
        </w:rPr>
        <w:t xml:space="preserve">district court’s </w:t>
      </w:r>
      <w:r w:rsidRPr="002E1360">
        <w:rPr>
          <w:lang w:val="en-US"/>
        </w:rPr>
        <w:t xml:space="preserve">decision and rejected the author’s appeal. </w:t>
      </w:r>
    </w:p>
    <w:p w:rsidR="0069435E" w:rsidRPr="009845EF" w:rsidRDefault="0069435E" w:rsidP="00143A2B">
      <w:pPr>
        <w:pStyle w:val="SingleTxtG"/>
        <w:rPr>
          <w:lang w:val="en-GB"/>
        </w:rPr>
      </w:pPr>
      <w:r w:rsidRPr="002E1360">
        <w:rPr>
          <w:lang w:val="en-US"/>
        </w:rPr>
        <w:t>2.4</w:t>
      </w:r>
      <w:r w:rsidRPr="002E1360">
        <w:rPr>
          <w:lang w:val="en-US"/>
        </w:rPr>
        <w:tab/>
        <w:t xml:space="preserve">On 17 February 2010, the author </w:t>
      </w:r>
      <w:r>
        <w:rPr>
          <w:lang w:val="en-US"/>
        </w:rPr>
        <w:t xml:space="preserve">applied for a supervisory review of the lower courts’ decisions </w:t>
      </w:r>
      <w:r w:rsidRPr="002E1360">
        <w:rPr>
          <w:lang w:val="en-US"/>
        </w:rPr>
        <w:t xml:space="preserve">to the Supreme Court of Belarus. </w:t>
      </w:r>
      <w:r>
        <w:rPr>
          <w:lang w:val="en-US"/>
        </w:rPr>
        <w:t>B</w:t>
      </w:r>
      <w:r w:rsidRPr="002E1360">
        <w:rPr>
          <w:lang w:val="en-US"/>
        </w:rPr>
        <w:t>y letter</w:t>
      </w:r>
      <w:r>
        <w:rPr>
          <w:lang w:val="en-US"/>
        </w:rPr>
        <w:t xml:space="preserve"> of </w:t>
      </w:r>
      <w:r w:rsidRPr="002E1360">
        <w:rPr>
          <w:lang w:val="en-US"/>
        </w:rPr>
        <w:t>7 April 2010</w:t>
      </w:r>
      <w:r>
        <w:rPr>
          <w:lang w:val="en-US"/>
        </w:rPr>
        <w:t>, the Deputy Chair of the Supreme Court informed the author that his application was dismissed.</w:t>
      </w:r>
      <w:r w:rsidRPr="009845EF">
        <w:rPr>
          <w:lang w:val="en-GB"/>
        </w:rPr>
        <w:t xml:space="preserve"> The author submits that he has thus exhausted all available domestic remedies.</w:t>
      </w:r>
    </w:p>
    <w:p w:rsidR="0069435E" w:rsidRPr="00D2276A" w:rsidRDefault="0069435E" w:rsidP="00D4204C">
      <w:pPr>
        <w:pStyle w:val="H23G"/>
      </w:pPr>
      <w:r>
        <w:tab/>
      </w:r>
      <w:r>
        <w:tab/>
      </w:r>
      <w:r w:rsidRPr="00D2276A">
        <w:t>The complaint</w:t>
      </w:r>
    </w:p>
    <w:p w:rsidR="0069435E" w:rsidRPr="00832FBA" w:rsidRDefault="0069435E" w:rsidP="00832FBA">
      <w:pPr>
        <w:spacing w:after="120"/>
        <w:ind w:left="1134" w:right="1134"/>
        <w:jc w:val="both"/>
      </w:pPr>
      <w:r w:rsidRPr="00832FBA">
        <w:t>3.1</w:t>
      </w:r>
      <w:r w:rsidRPr="00832FBA">
        <w:tab/>
        <w:t>The author claims that the facts as presented amount to a violation of his rights under article</w:t>
      </w:r>
      <w:r>
        <w:t xml:space="preserve"> </w:t>
      </w:r>
      <w:r w:rsidRPr="00832FBA">
        <w:t xml:space="preserve">21 of the Covenant, </w:t>
      </w:r>
      <w:r w:rsidR="00E43152">
        <w:t>as</w:t>
      </w:r>
      <w:r w:rsidR="00E43152" w:rsidRPr="00832FBA">
        <w:t xml:space="preserve"> </w:t>
      </w:r>
      <w:r w:rsidRPr="00832FBA">
        <w:t xml:space="preserve">the authorities did not provide any justification for the restriction of his rights and for his apprehension. He further claims that the imposed restrictions </w:t>
      </w:r>
      <w:r w:rsidR="00E55345">
        <w:t>are</w:t>
      </w:r>
      <w:r w:rsidR="00E55345" w:rsidRPr="00832FBA">
        <w:t xml:space="preserve"> </w:t>
      </w:r>
      <w:r w:rsidRPr="00832FBA">
        <w:t>not necessary in a democratic society in the interest of national security or public safety, public order, the protection of public health or morals or the protection of the rights and freedom of others. While he admits that he did not request prior authorization to participate in the demonstration, he claims that the legal regime in Belarus, under which prior permission is required before holding such a demonstration, imposes unacceptable restrictions on th</w:t>
      </w:r>
      <w:r w:rsidR="006832FE">
        <w:t>e</w:t>
      </w:r>
      <w:r w:rsidRPr="00832FBA">
        <w:t xml:space="preserve"> freedoms guaranteed under article 21. According to article 5 of the </w:t>
      </w:r>
      <w:r w:rsidRPr="00F31325">
        <w:t xml:space="preserve">Law on </w:t>
      </w:r>
      <w:r w:rsidR="00F31325">
        <w:t>m</w:t>
      </w:r>
      <w:r w:rsidRPr="00F31325">
        <w:t xml:space="preserve">ass </w:t>
      </w:r>
      <w:r w:rsidR="00F31325">
        <w:t>e</w:t>
      </w:r>
      <w:r w:rsidRPr="00F31325">
        <w:t>vents</w:t>
      </w:r>
      <w:r w:rsidRPr="00832FBA">
        <w:t xml:space="preserve">, organizers of demonstrations are required to establish a contract with the Department of the Interior of the District Administration to ensure that public order is maintained during the demonstration; a contract with the Health Department to ensure that medical care is provided; and a contract with the Utilities Department to ensure that the </w:t>
      </w:r>
      <w:r w:rsidRPr="00832FBA">
        <w:lastRenderedPageBreak/>
        <w:t>area where the demonstration is to take place is cleaned following the event. Demonstrations are also forbidden within 50 metres of diplomatic premises, which the author considers unacceptable in his case, since holding the demonstration at any other location would have defeated its purpose.</w:t>
      </w:r>
    </w:p>
    <w:p w:rsidR="0069435E" w:rsidRPr="009845EF" w:rsidRDefault="0069435E" w:rsidP="009845EF">
      <w:pPr>
        <w:spacing w:after="120"/>
        <w:ind w:left="1134" w:right="1134"/>
        <w:jc w:val="both"/>
      </w:pPr>
      <w:r w:rsidRPr="00832FBA">
        <w:t>3.2</w:t>
      </w:r>
      <w:r w:rsidRPr="00832FBA">
        <w:tab/>
        <w:t xml:space="preserve">The author also claims that his </w:t>
      </w:r>
      <w:r w:rsidR="00E43152">
        <w:t>arrest</w:t>
      </w:r>
      <w:r w:rsidR="00E43152" w:rsidRPr="00832FBA">
        <w:t xml:space="preserve"> </w:t>
      </w:r>
      <w:r w:rsidRPr="00832FBA">
        <w:t>and conviction amount to a violation of his right to freedom of expression under article 19 of the Covenant. He refers to the Committee’s Views</w:t>
      </w:r>
      <w:r w:rsidRPr="00832FBA">
        <w:rPr>
          <w:sz w:val="18"/>
          <w:vertAlign w:val="superscript"/>
        </w:rPr>
        <w:footnoteReference w:id="6"/>
      </w:r>
      <w:r w:rsidRPr="00832FBA">
        <w:t xml:space="preserve"> in which it found a violation of article 19 despite the fact that the national courts in question had acted in accordance with domestic legislation, and its Views</w:t>
      </w:r>
      <w:r w:rsidRPr="00832FBA">
        <w:rPr>
          <w:sz w:val="18"/>
          <w:vertAlign w:val="superscript"/>
        </w:rPr>
        <w:footnoteReference w:id="7"/>
      </w:r>
      <w:r w:rsidRPr="00832FBA">
        <w:t xml:space="preserve"> in which it found it incompatible with the Covenant that the State party had given priority to the application of its national law over its obligations under the Covenant. The author further submits that Belarus has not submitted a notification under article 4 </w:t>
      </w:r>
      <w:r w:rsidR="00E43152">
        <w:t>(</w:t>
      </w:r>
      <w:r w:rsidRPr="00832FBA">
        <w:t>3</w:t>
      </w:r>
      <w:r w:rsidR="00E43152">
        <w:t>)</w:t>
      </w:r>
      <w:r w:rsidRPr="00832FBA">
        <w:t xml:space="preserve"> of the Covenant to avail itself of the right </w:t>
      </w:r>
      <w:r w:rsidR="00E43152">
        <w:t>to derogate from</w:t>
      </w:r>
      <w:r w:rsidRPr="00832FBA">
        <w:t xml:space="preserve"> certain rights </w:t>
      </w:r>
      <w:r w:rsidR="00E43152">
        <w:t>on the grounds of</w:t>
      </w:r>
      <w:r w:rsidRPr="00832FBA">
        <w:t xml:space="preserve"> a public emergency.</w:t>
      </w:r>
    </w:p>
    <w:p w:rsidR="0069435E" w:rsidRPr="008216A5" w:rsidRDefault="0069435E" w:rsidP="00143A2B">
      <w:pPr>
        <w:pStyle w:val="H23G"/>
      </w:pPr>
      <w:r w:rsidRPr="008216A5">
        <w:tab/>
      </w:r>
      <w:r w:rsidRPr="008216A5">
        <w:tab/>
        <w:t>State party</w:t>
      </w:r>
      <w:r>
        <w:t>’s</w:t>
      </w:r>
      <w:r w:rsidRPr="008216A5">
        <w:t xml:space="preserve"> </w:t>
      </w:r>
      <w:r w:rsidRPr="00143A2B">
        <w:t>observations</w:t>
      </w:r>
      <w:r w:rsidRPr="008216A5">
        <w:t xml:space="preserve"> on </w:t>
      </w:r>
      <w:r>
        <w:t xml:space="preserve">admissibility and </w:t>
      </w:r>
      <w:r w:rsidR="00E43152">
        <w:t xml:space="preserve">the </w:t>
      </w:r>
      <w:r>
        <w:t>merits</w:t>
      </w:r>
    </w:p>
    <w:p w:rsidR="0069435E" w:rsidRPr="009845EF" w:rsidRDefault="0069435E">
      <w:pPr>
        <w:pStyle w:val="SingleTxtG"/>
        <w:rPr>
          <w:lang w:val="en-GB"/>
        </w:rPr>
      </w:pPr>
      <w:r>
        <w:rPr>
          <w:lang w:val="en-US"/>
        </w:rPr>
        <w:t>4</w:t>
      </w:r>
      <w:r w:rsidRPr="008216A5">
        <w:rPr>
          <w:lang w:val="en-US"/>
        </w:rPr>
        <w:t>.1</w:t>
      </w:r>
      <w:r w:rsidRPr="008216A5">
        <w:rPr>
          <w:lang w:val="en-US"/>
        </w:rPr>
        <w:tab/>
      </w:r>
      <w:r w:rsidR="00E43152">
        <w:rPr>
          <w:lang w:val="en-US"/>
        </w:rPr>
        <w:t xml:space="preserve">In a communication dated </w:t>
      </w:r>
      <w:r>
        <w:rPr>
          <w:lang w:val="en-US"/>
        </w:rPr>
        <w:t xml:space="preserve">14 February 2012, </w:t>
      </w:r>
      <w:r w:rsidRPr="008216A5">
        <w:rPr>
          <w:lang w:val="en-US"/>
        </w:rPr>
        <w:t>the State party</w:t>
      </w:r>
      <w:r>
        <w:rPr>
          <w:lang w:val="en-US"/>
        </w:rPr>
        <w:t xml:space="preserve"> challenged the registration of the communication and its admissibility. It</w:t>
      </w:r>
      <w:r w:rsidRPr="009845EF">
        <w:rPr>
          <w:lang w:val="en-GB"/>
        </w:rPr>
        <w:t xml:space="preserve"> argue</w:t>
      </w:r>
      <w:r w:rsidR="00E43152">
        <w:rPr>
          <w:lang w:val="en-GB"/>
        </w:rPr>
        <w:t>s</w:t>
      </w:r>
      <w:r w:rsidRPr="009845EF">
        <w:rPr>
          <w:lang w:val="en-GB"/>
        </w:rPr>
        <w:t xml:space="preserve"> that the author failed to exhaust all available domestic remedies as he </w:t>
      </w:r>
      <w:r w:rsidR="00E43152">
        <w:rPr>
          <w:lang w:val="en-GB"/>
        </w:rPr>
        <w:t>did</w:t>
      </w:r>
      <w:r w:rsidR="00E43152" w:rsidRPr="009845EF">
        <w:rPr>
          <w:lang w:val="en-GB"/>
        </w:rPr>
        <w:t xml:space="preserve"> </w:t>
      </w:r>
      <w:r w:rsidRPr="009845EF">
        <w:rPr>
          <w:lang w:val="en-GB"/>
        </w:rPr>
        <w:t>not appl</w:t>
      </w:r>
      <w:r w:rsidR="00E43152">
        <w:rPr>
          <w:lang w:val="en-GB"/>
        </w:rPr>
        <w:t>y</w:t>
      </w:r>
      <w:r w:rsidRPr="009845EF">
        <w:rPr>
          <w:lang w:val="en-GB"/>
        </w:rPr>
        <w:t xml:space="preserve"> for supervisory review of the domestic courts</w:t>
      </w:r>
      <w:r w:rsidRPr="00173844">
        <w:rPr>
          <w:lang w:val="en-GB"/>
        </w:rPr>
        <w:t>’</w:t>
      </w:r>
      <w:r w:rsidRPr="009845EF">
        <w:rPr>
          <w:lang w:val="en-GB"/>
        </w:rPr>
        <w:t xml:space="preserve"> decisions. In particular, the State party state</w:t>
      </w:r>
      <w:r w:rsidR="00E43152">
        <w:rPr>
          <w:lang w:val="en-GB"/>
        </w:rPr>
        <w:t>s</w:t>
      </w:r>
      <w:r w:rsidRPr="009845EF">
        <w:rPr>
          <w:lang w:val="en-GB"/>
        </w:rPr>
        <w:t xml:space="preserve"> that the author </w:t>
      </w:r>
      <w:r w:rsidR="00E43152">
        <w:rPr>
          <w:lang w:val="en-GB"/>
        </w:rPr>
        <w:t>did</w:t>
      </w:r>
      <w:r w:rsidR="00E43152" w:rsidRPr="009845EF">
        <w:rPr>
          <w:lang w:val="en-GB"/>
        </w:rPr>
        <w:t xml:space="preserve"> </w:t>
      </w:r>
      <w:r w:rsidRPr="009845EF">
        <w:rPr>
          <w:lang w:val="en-GB"/>
        </w:rPr>
        <w:t>not appl</w:t>
      </w:r>
      <w:r w:rsidR="00E43152">
        <w:rPr>
          <w:lang w:val="en-GB"/>
        </w:rPr>
        <w:t>y</w:t>
      </w:r>
      <w:r w:rsidRPr="009845EF">
        <w:rPr>
          <w:lang w:val="en-GB"/>
        </w:rPr>
        <w:t xml:space="preserve"> to the Chair of the Supreme Court after having received the answer from the Deputy Chair under article 12.11 of the Procedural Executive Code on Administrative Offences. </w:t>
      </w:r>
      <w:r w:rsidR="00E43152">
        <w:rPr>
          <w:lang w:val="en-GB"/>
        </w:rPr>
        <w:t>T</w:t>
      </w:r>
      <w:r w:rsidRPr="009845EF">
        <w:rPr>
          <w:lang w:val="en-GB"/>
        </w:rPr>
        <w:t xml:space="preserve">he State party submits that there are no legal grounds for the consideration by the State party of the communication </w:t>
      </w:r>
      <w:r w:rsidR="00E43152">
        <w:rPr>
          <w:lang w:val="en-GB"/>
        </w:rPr>
        <w:t>either</w:t>
      </w:r>
      <w:r w:rsidR="00E43152" w:rsidRPr="009845EF">
        <w:rPr>
          <w:lang w:val="en-GB"/>
        </w:rPr>
        <w:t xml:space="preserve"> </w:t>
      </w:r>
      <w:r w:rsidRPr="009845EF">
        <w:rPr>
          <w:lang w:val="en-GB"/>
        </w:rPr>
        <w:t xml:space="preserve">on admissibility </w:t>
      </w:r>
      <w:r w:rsidR="00E43152">
        <w:rPr>
          <w:lang w:val="en-GB"/>
        </w:rPr>
        <w:t>or on</w:t>
      </w:r>
      <w:r w:rsidR="00E43152" w:rsidRPr="009845EF">
        <w:rPr>
          <w:lang w:val="en-GB"/>
        </w:rPr>
        <w:t xml:space="preserve"> </w:t>
      </w:r>
      <w:r w:rsidRPr="009845EF">
        <w:rPr>
          <w:lang w:val="en-GB"/>
        </w:rPr>
        <w:t xml:space="preserve">the merits. </w:t>
      </w:r>
    </w:p>
    <w:p w:rsidR="0069435E" w:rsidRPr="009845EF" w:rsidRDefault="0069435E">
      <w:pPr>
        <w:pStyle w:val="SingleTxtG"/>
        <w:rPr>
          <w:lang w:val="en-GB"/>
        </w:rPr>
      </w:pPr>
      <w:r w:rsidRPr="009845EF">
        <w:rPr>
          <w:lang w:val="en-GB"/>
        </w:rPr>
        <w:t>4.2</w:t>
      </w:r>
      <w:r w:rsidRPr="00173844">
        <w:rPr>
          <w:lang w:val="en-GB"/>
        </w:rPr>
        <w:tab/>
      </w:r>
      <w:r w:rsidRPr="009845EF">
        <w:rPr>
          <w:lang w:val="en-GB"/>
        </w:rPr>
        <w:t xml:space="preserve">By </w:t>
      </w:r>
      <w:r w:rsidR="00E43152">
        <w:rPr>
          <w:lang w:val="en-GB"/>
        </w:rPr>
        <w:t xml:space="preserve">a </w:t>
      </w:r>
      <w:r w:rsidRPr="009845EF">
        <w:rPr>
          <w:lang w:val="en-GB"/>
        </w:rPr>
        <w:t xml:space="preserve">note verbale </w:t>
      </w:r>
      <w:r w:rsidR="00E43152">
        <w:rPr>
          <w:lang w:val="en-GB"/>
        </w:rPr>
        <w:t>dated</w:t>
      </w:r>
      <w:r w:rsidR="00E43152" w:rsidRPr="009845EF">
        <w:rPr>
          <w:lang w:val="en-GB"/>
        </w:rPr>
        <w:t xml:space="preserve"> </w:t>
      </w:r>
      <w:r w:rsidRPr="009845EF">
        <w:rPr>
          <w:lang w:val="en-GB"/>
        </w:rPr>
        <w:t xml:space="preserve">4 January 2013, the State party reiterated its position </w:t>
      </w:r>
      <w:r w:rsidRPr="00CD2360">
        <w:rPr>
          <w:lang w:val="en-US"/>
        </w:rPr>
        <w:t>regarding the admissibility of the communication.</w:t>
      </w:r>
      <w:r w:rsidRPr="009845EF">
        <w:rPr>
          <w:lang w:val="en-GB"/>
        </w:rPr>
        <w:t xml:space="preserve"> </w:t>
      </w:r>
    </w:p>
    <w:p w:rsidR="0069435E" w:rsidRPr="00C02080" w:rsidRDefault="0069435E" w:rsidP="00143A2B">
      <w:pPr>
        <w:pStyle w:val="H23G"/>
      </w:pPr>
      <w:r>
        <w:tab/>
      </w:r>
      <w:r>
        <w:tab/>
      </w:r>
      <w:r w:rsidRPr="00C02080">
        <w:t>Authors’ comments on the State party’s observations</w:t>
      </w:r>
    </w:p>
    <w:p w:rsidR="0069435E" w:rsidRPr="009845EF" w:rsidRDefault="0069435E">
      <w:pPr>
        <w:pStyle w:val="SingleTxtG"/>
        <w:rPr>
          <w:lang w:val="en-GB"/>
        </w:rPr>
      </w:pPr>
      <w:r w:rsidRPr="009845EF">
        <w:rPr>
          <w:lang w:val="en-GB"/>
        </w:rPr>
        <w:t>5.</w:t>
      </w:r>
      <w:r w:rsidRPr="00173844">
        <w:rPr>
          <w:lang w:val="en-GB"/>
        </w:rPr>
        <w:tab/>
      </w:r>
      <w:r w:rsidR="00E43152">
        <w:rPr>
          <w:lang w:val="en-GB"/>
        </w:rPr>
        <w:t xml:space="preserve">In a communication dated </w:t>
      </w:r>
      <w:r w:rsidRPr="009845EF">
        <w:rPr>
          <w:lang w:val="en-GB"/>
        </w:rPr>
        <w:t xml:space="preserve">6 September 2012, the author </w:t>
      </w:r>
      <w:r w:rsidR="00E43152">
        <w:rPr>
          <w:lang w:val="en-GB"/>
        </w:rPr>
        <w:t>stated</w:t>
      </w:r>
      <w:r w:rsidR="00E43152" w:rsidRPr="009845EF">
        <w:rPr>
          <w:lang w:val="en-GB"/>
        </w:rPr>
        <w:t xml:space="preserve"> </w:t>
      </w:r>
      <w:r w:rsidRPr="009845EF">
        <w:rPr>
          <w:lang w:val="en-GB"/>
        </w:rPr>
        <w:t xml:space="preserve">that the </w:t>
      </w:r>
      <w:r w:rsidR="00E43152">
        <w:rPr>
          <w:lang w:val="en-GB"/>
        </w:rPr>
        <w:t xml:space="preserve">decision </w:t>
      </w:r>
      <w:r w:rsidR="00E43152" w:rsidRPr="009845EF">
        <w:rPr>
          <w:lang w:val="en-GB"/>
        </w:rPr>
        <w:t>on cassation</w:t>
      </w:r>
      <w:r w:rsidR="00E43152">
        <w:rPr>
          <w:lang w:val="en-GB"/>
        </w:rPr>
        <w:t xml:space="preserve"> of the </w:t>
      </w:r>
      <w:r w:rsidRPr="009845EF">
        <w:rPr>
          <w:lang w:val="en-GB"/>
        </w:rPr>
        <w:t xml:space="preserve">Minsk City Court </w:t>
      </w:r>
      <w:r w:rsidR="00E43152">
        <w:rPr>
          <w:lang w:val="en-GB"/>
        </w:rPr>
        <w:t>had</w:t>
      </w:r>
      <w:r w:rsidRPr="009845EF">
        <w:rPr>
          <w:lang w:val="en-GB"/>
        </w:rPr>
        <w:t xml:space="preserve"> bec</w:t>
      </w:r>
      <w:r w:rsidR="00E43152">
        <w:rPr>
          <w:lang w:val="en-GB"/>
        </w:rPr>
        <w:t>o</w:t>
      </w:r>
      <w:r w:rsidRPr="009845EF">
        <w:rPr>
          <w:lang w:val="en-GB"/>
        </w:rPr>
        <w:t xml:space="preserve">me executory. He argues that the supervisory review procedure cannot be considered an effective domestic remedy because an appeal submitted under </w:t>
      </w:r>
      <w:r w:rsidR="00E43152">
        <w:rPr>
          <w:lang w:val="en-GB"/>
        </w:rPr>
        <w:t>the</w:t>
      </w:r>
      <w:r w:rsidR="00E43152" w:rsidRPr="009845EF">
        <w:rPr>
          <w:lang w:val="en-GB"/>
        </w:rPr>
        <w:t xml:space="preserve"> </w:t>
      </w:r>
      <w:r w:rsidRPr="009845EF">
        <w:rPr>
          <w:lang w:val="en-GB"/>
        </w:rPr>
        <w:t xml:space="preserve">procedure would not automatically result in the repeal of the court decision. Public officials would consider such an appeal unilaterally and in the absence of the individual </w:t>
      </w:r>
      <w:r w:rsidR="00F35502">
        <w:rPr>
          <w:lang w:val="en-GB"/>
        </w:rPr>
        <w:t>who was the subject of</w:t>
      </w:r>
      <w:r w:rsidRPr="009845EF">
        <w:rPr>
          <w:lang w:val="en-GB"/>
        </w:rPr>
        <w:t xml:space="preserve"> the administrative procedures in question. The author refers </w:t>
      </w:r>
      <w:r w:rsidR="00F35502">
        <w:rPr>
          <w:lang w:val="en-GB"/>
        </w:rPr>
        <w:t xml:space="preserve">to </w:t>
      </w:r>
      <w:r w:rsidRPr="009845EF">
        <w:rPr>
          <w:lang w:val="en-GB"/>
        </w:rPr>
        <w:t>the Committee</w:t>
      </w:r>
      <w:r w:rsidR="000F566B">
        <w:rPr>
          <w:lang w:val="en-GB"/>
        </w:rPr>
        <w:t>’s</w:t>
      </w:r>
      <w:r w:rsidRPr="009845EF">
        <w:rPr>
          <w:lang w:val="en-GB"/>
        </w:rPr>
        <w:t xml:space="preserve"> jurisprudence</w:t>
      </w:r>
      <w:r>
        <w:rPr>
          <w:rStyle w:val="FootnoteReference"/>
        </w:rPr>
        <w:footnoteReference w:id="8"/>
      </w:r>
      <w:r w:rsidR="000F566B">
        <w:t>,</w:t>
      </w:r>
      <w:r w:rsidRPr="009845EF">
        <w:rPr>
          <w:lang w:val="en-GB"/>
        </w:rPr>
        <w:t xml:space="preserve"> </w:t>
      </w:r>
      <w:r w:rsidR="00F35502">
        <w:rPr>
          <w:lang w:val="en-GB"/>
        </w:rPr>
        <w:t>in which it stated</w:t>
      </w:r>
      <w:r w:rsidR="00E43152">
        <w:rPr>
          <w:lang w:val="en-GB"/>
        </w:rPr>
        <w:t xml:space="preserve"> that</w:t>
      </w:r>
      <w:r w:rsidRPr="009845EF">
        <w:rPr>
          <w:lang w:val="en-GB"/>
        </w:rPr>
        <w:t xml:space="preserve"> the supervisory review </w:t>
      </w:r>
      <w:r w:rsidR="00C05D9C">
        <w:rPr>
          <w:lang w:val="en-GB"/>
        </w:rPr>
        <w:t>was</w:t>
      </w:r>
      <w:r w:rsidR="00C05D9C" w:rsidRPr="009845EF">
        <w:rPr>
          <w:lang w:val="en-GB"/>
        </w:rPr>
        <w:t xml:space="preserve"> </w:t>
      </w:r>
      <w:r w:rsidRPr="009845EF">
        <w:rPr>
          <w:lang w:val="en-GB"/>
        </w:rPr>
        <w:t>a discretionary review process common in former Soviet Republics, which the Committee ha</w:t>
      </w:r>
      <w:r w:rsidR="003831CD">
        <w:rPr>
          <w:lang w:val="en-GB"/>
        </w:rPr>
        <w:t>d</w:t>
      </w:r>
      <w:r w:rsidRPr="009845EF">
        <w:rPr>
          <w:lang w:val="en-GB"/>
        </w:rPr>
        <w:t xml:space="preserve"> previously considered not to constitute an effective remedy for the purposes of exhaustion of domestic remedies.</w:t>
      </w:r>
      <w:r w:rsidR="0010012C">
        <w:rPr>
          <w:rStyle w:val="CommentReference"/>
        </w:rPr>
        <w:t xml:space="preserve"> </w:t>
      </w:r>
      <w:r w:rsidRPr="009845EF">
        <w:rPr>
          <w:lang w:val="en-GB"/>
        </w:rPr>
        <w:t xml:space="preserve"> He recalls in this regard that his appeals to the Chair of the Minsk City Court and the Chair of the Supreme Court under the supervisory review procedure </w:t>
      </w:r>
      <w:r w:rsidR="00C05D9C">
        <w:rPr>
          <w:lang w:val="en-GB"/>
        </w:rPr>
        <w:t>were</w:t>
      </w:r>
      <w:r w:rsidRPr="009845EF">
        <w:rPr>
          <w:lang w:val="en-GB"/>
        </w:rPr>
        <w:t xml:space="preserve"> rejected.</w:t>
      </w:r>
      <w:r w:rsidR="009845EF">
        <w:rPr>
          <w:lang w:val="en-GB"/>
        </w:rPr>
        <w:t xml:space="preserve"> </w:t>
      </w:r>
      <w:r w:rsidRPr="009845EF">
        <w:rPr>
          <w:lang w:val="en-GB"/>
        </w:rPr>
        <w:t xml:space="preserve">He notes in particular that </w:t>
      </w:r>
      <w:r w:rsidR="008C4E4D">
        <w:rPr>
          <w:lang w:val="en-GB"/>
        </w:rPr>
        <w:t>the</w:t>
      </w:r>
      <w:r w:rsidR="008C4E4D" w:rsidRPr="009845EF">
        <w:rPr>
          <w:lang w:val="en-GB"/>
        </w:rPr>
        <w:t xml:space="preserve"> </w:t>
      </w:r>
      <w:r w:rsidRPr="009845EF">
        <w:rPr>
          <w:lang w:val="en-GB"/>
        </w:rPr>
        <w:t>reply from the Supreme Court was signed by the Deputy Chair</w:t>
      </w:r>
      <w:r w:rsidR="000F566B">
        <w:rPr>
          <w:lang w:val="en-GB"/>
        </w:rPr>
        <w:t>,</w:t>
      </w:r>
      <w:r w:rsidRPr="009845EF">
        <w:rPr>
          <w:lang w:val="en-GB"/>
        </w:rPr>
        <w:t xml:space="preserve"> despite the fact that the appeal </w:t>
      </w:r>
      <w:r w:rsidR="00C05D9C">
        <w:rPr>
          <w:lang w:val="en-GB"/>
        </w:rPr>
        <w:t>had been addressed</w:t>
      </w:r>
      <w:r w:rsidR="00C05D9C" w:rsidRPr="009845EF">
        <w:rPr>
          <w:lang w:val="en-GB"/>
        </w:rPr>
        <w:t xml:space="preserve"> </w:t>
      </w:r>
      <w:r w:rsidRPr="009845EF">
        <w:rPr>
          <w:lang w:val="en-GB"/>
        </w:rPr>
        <w:t>specifically to the Chair. The author considers that in these circumstances, repeated appeal</w:t>
      </w:r>
      <w:r w:rsidR="00C05D9C">
        <w:rPr>
          <w:lang w:val="en-GB"/>
        </w:rPr>
        <w:t>s</w:t>
      </w:r>
      <w:r w:rsidRPr="009845EF">
        <w:rPr>
          <w:lang w:val="en-GB"/>
        </w:rPr>
        <w:t xml:space="preserve"> to the Chair of the Court would stand little chance of success. As to the State party</w:t>
      </w:r>
      <w:r w:rsidRPr="00173844">
        <w:rPr>
          <w:lang w:val="en-GB"/>
        </w:rPr>
        <w:t>’</w:t>
      </w:r>
      <w:r w:rsidRPr="009845EF">
        <w:rPr>
          <w:lang w:val="en-GB"/>
        </w:rPr>
        <w:t xml:space="preserve">s reference to article 12.11 of the Procedural Executive Code on Administrative Offences, the author states that the provision does not establish a requirement of a consecutive appeal first to the Deputy </w:t>
      </w:r>
      <w:r w:rsidRPr="009845EF">
        <w:rPr>
          <w:lang w:val="en-GB"/>
        </w:rPr>
        <w:lastRenderedPageBreak/>
        <w:t xml:space="preserve">Chair and then to the Chair of the Court. He concludes that all available and effective domestic remedies have been exhausted in his case. </w:t>
      </w:r>
    </w:p>
    <w:p w:rsidR="0069435E" w:rsidRPr="00BD7612" w:rsidRDefault="0069435E" w:rsidP="00D4204C">
      <w:pPr>
        <w:pStyle w:val="H23G"/>
      </w:pPr>
      <w:r w:rsidRPr="00BD7612">
        <w:tab/>
      </w:r>
      <w:r w:rsidRPr="00BD7612">
        <w:tab/>
        <w:t>Issues and proceedings before the Committee</w:t>
      </w:r>
    </w:p>
    <w:p w:rsidR="0069435E" w:rsidRPr="008216A5" w:rsidRDefault="0069435E" w:rsidP="00D4204C">
      <w:pPr>
        <w:pStyle w:val="H4G"/>
      </w:pPr>
      <w:r w:rsidRPr="008216A5">
        <w:tab/>
      </w:r>
      <w:r w:rsidRPr="008216A5">
        <w:tab/>
        <w:t>Consideration of admissibility</w:t>
      </w:r>
    </w:p>
    <w:p w:rsidR="0069435E" w:rsidRPr="009845EF" w:rsidRDefault="007C142F" w:rsidP="00D4204C">
      <w:pPr>
        <w:pStyle w:val="SingleTxtG"/>
        <w:rPr>
          <w:bCs/>
          <w:lang w:val="en-GB"/>
        </w:rPr>
      </w:pPr>
      <w:r>
        <w:rPr>
          <w:bCs/>
          <w:lang w:val="en-GB"/>
        </w:rPr>
        <w:t>6</w:t>
      </w:r>
      <w:r w:rsidR="0069435E" w:rsidRPr="009845EF">
        <w:rPr>
          <w:bCs/>
          <w:lang w:val="en-GB"/>
        </w:rPr>
        <w:t>.1</w:t>
      </w:r>
      <w:r w:rsidR="0069435E" w:rsidRPr="00173844">
        <w:rPr>
          <w:bCs/>
          <w:lang w:val="en-GB"/>
        </w:rPr>
        <w:tab/>
      </w:r>
      <w:r w:rsidR="0069435E" w:rsidRPr="009845EF">
        <w:rPr>
          <w:bCs/>
          <w:lang w:val="en-GB"/>
        </w:rPr>
        <w:t>Before considering any claim contained in a communication, the Committee must</w:t>
      </w:r>
      <w:r w:rsidR="00C05D9C">
        <w:rPr>
          <w:bCs/>
          <w:lang w:val="en-GB"/>
        </w:rPr>
        <w:t xml:space="preserve"> </w:t>
      </w:r>
      <w:r w:rsidR="00C05D9C" w:rsidRPr="009845EF">
        <w:rPr>
          <w:bCs/>
          <w:lang w:val="en-GB"/>
        </w:rPr>
        <w:t>decide</w:t>
      </w:r>
      <w:r w:rsidR="0069435E" w:rsidRPr="009845EF">
        <w:rPr>
          <w:bCs/>
          <w:lang w:val="en-GB"/>
        </w:rPr>
        <w:t>, in accordance with rule 93 of its rules of procedure, whether the communication is admissible under the Optional Protocol.</w:t>
      </w:r>
    </w:p>
    <w:p w:rsidR="0069435E" w:rsidRPr="009845EF" w:rsidRDefault="007C142F" w:rsidP="00D4204C">
      <w:pPr>
        <w:pStyle w:val="SingleTxtG"/>
        <w:rPr>
          <w:lang w:val="en-GB"/>
        </w:rPr>
      </w:pPr>
      <w:r>
        <w:rPr>
          <w:lang w:val="en-GB"/>
        </w:rPr>
        <w:t>6</w:t>
      </w:r>
      <w:r w:rsidR="0069435E" w:rsidRPr="009845EF">
        <w:rPr>
          <w:lang w:val="en-GB"/>
        </w:rPr>
        <w:t>.2</w:t>
      </w:r>
      <w:r w:rsidR="0069435E" w:rsidRPr="00173844">
        <w:rPr>
          <w:lang w:val="en-GB"/>
        </w:rPr>
        <w:tab/>
      </w:r>
      <w:r w:rsidR="0069435E" w:rsidRPr="009845EF">
        <w:rPr>
          <w:lang w:val="en-GB"/>
        </w:rPr>
        <w:t xml:space="preserve">The Committee has ascertained, as required under article 5 </w:t>
      </w:r>
      <w:r w:rsidR="00C05D9C">
        <w:rPr>
          <w:lang w:val="en-GB"/>
        </w:rPr>
        <w:t>(</w:t>
      </w:r>
      <w:r w:rsidR="0069435E" w:rsidRPr="009845EF">
        <w:rPr>
          <w:lang w:val="en-GB"/>
        </w:rPr>
        <w:t>2</w:t>
      </w:r>
      <w:r w:rsidR="00C05D9C">
        <w:rPr>
          <w:lang w:val="en-GB"/>
        </w:rPr>
        <w:t>)</w:t>
      </w:r>
      <w:r w:rsidR="0069435E" w:rsidRPr="009845EF">
        <w:rPr>
          <w:lang w:val="en-GB"/>
        </w:rPr>
        <w:t xml:space="preserve"> (a) of the Optional Protocol, that the same matter is not being examined under another procedure of international investigation or settlement. </w:t>
      </w:r>
    </w:p>
    <w:p w:rsidR="0069435E" w:rsidRPr="009845EF" w:rsidRDefault="007C142F" w:rsidP="00D4204C">
      <w:pPr>
        <w:pStyle w:val="SingleTxtG"/>
        <w:rPr>
          <w:lang w:val="en-GB"/>
        </w:rPr>
      </w:pPr>
      <w:r>
        <w:rPr>
          <w:lang w:val="en-GB"/>
        </w:rPr>
        <w:t>6</w:t>
      </w:r>
      <w:r w:rsidR="0069435E" w:rsidRPr="009845EF">
        <w:rPr>
          <w:lang w:val="en-GB"/>
        </w:rPr>
        <w:t>.3</w:t>
      </w:r>
      <w:r w:rsidR="0069435E" w:rsidRPr="00173844">
        <w:rPr>
          <w:lang w:val="en-GB"/>
        </w:rPr>
        <w:tab/>
      </w:r>
      <w:r w:rsidR="0069435E" w:rsidRPr="009845EF">
        <w:rPr>
          <w:lang w:val="en-GB"/>
        </w:rPr>
        <w:t>T</w:t>
      </w:r>
      <w:r w:rsidR="0069435E" w:rsidRPr="008216A5">
        <w:rPr>
          <w:lang w:val="en-US"/>
        </w:rPr>
        <w:t xml:space="preserve">he Committee takes note </w:t>
      </w:r>
      <w:r w:rsidR="004A1377">
        <w:rPr>
          <w:lang w:val="en-US"/>
        </w:rPr>
        <w:t>that</w:t>
      </w:r>
      <w:r w:rsidR="0069435E" w:rsidRPr="008216A5">
        <w:rPr>
          <w:lang w:val="en-US"/>
        </w:rPr>
        <w:t xml:space="preserve"> the State party</w:t>
      </w:r>
      <w:r w:rsidR="004A1377">
        <w:rPr>
          <w:lang w:val="en-US"/>
        </w:rPr>
        <w:t xml:space="preserve"> has challenged the admissibility</w:t>
      </w:r>
      <w:r w:rsidR="00905481">
        <w:rPr>
          <w:lang w:val="en-US"/>
        </w:rPr>
        <w:t xml:space="preserve"> of the communication</w:t>
      </w:r>
      <w:r w:rsidR="00C05D9C">
        <w:rPr>
          <w:lang w:val="en-US"/>
        </w:rPr>
        <w:t>,</w:t>
      </w:r>
      <w:r w:rsidR="004A1377">
        <w:rPr>
          <w:lang w:val="en-US"/>
        </w:rPr>
        <w:t xml:space="preserve"> claiming</w:t>
      </w:r>
      <w:r w:rsidR="00905481">
        <w:rPr>
          <w:lang w:val="en-US"/>
        </w:rPr>
        <w:t xml:space="preserve"> </w:t>
      </w:r>
      <w:r w:rsidR="0069435E" w:rsidRPr="008216A5">
        <w:rPr>
          <w:lang w:val="en-US"/>
        </w:rPr>
        <w:t>that</w:t>
      </w:r>
      <w:r w:rsidR="00C05D9C" w:rsidRPr="00C05D9C">
        <w:rPr>
          <w:lang w:val="en-US"/>
        </w:rPr>
        <w:t xml:space="preserve"> </w:t>
      </w:r>
      <w:r w:rsidR="00C05D9C">
        <w:rPr>
          <w:lang w:val="en-US"/>
        </w:rPr>
        <w:t>under the supervisory review proceedings before the Supreme Court,</w:t>
      </w:r>
      <w:r w:rsidR="0069435E" w:rsidRPr="008216A5">
        <w:rPr>
          <w:lang w:val="en-US"/>
        </w:rPr>
        <w:t xml:space="preserve"> the author </w:t>
      </w:r>
      <w:r w:rsidR="0069435E">
        <w:rPr>
          <w:lang w:val="en-US"/>
        </w:rPr>
        <w:t>sh</w:t>
      </w:r>
      <w:r w:rsidR="0069435E" w:rsidRPr="008216A5">
        <w:rPr>
          <w:lang w:val="en-US"/>
        </w:rPr>
        <w:t>ou</w:t>
      </w:r>
      <w:r w:rsidR="0069435E">
        <w:rPr>
          <w:lang w:val="en-US"/>
        </w:rPr>
        <w:t xml:space="preserve">ld have requested </w:t>
      </w:r>
      <w:r w:rsidR="00C05D9C">
        <w:rPr>
          <w:lang w:val="en-US"/>
        </w:rPr>
        <w:t xml:space="preserve">a </w:t>
      </w:r>
      <w:r w:rsidR="000F566B">
        <w:rPr>
          <w:lang w:val="en-US"/>
        </w:rPr>
        <w:t xml:space="preserve">review by </w:t>
      </w:r>
      <w:r w:rsidR="0069435E">
        <w:rPr>
          <w:lang w:val="en-US"/>
        </w:rPr>
        <w:t xml:space="preserve">the Chair of the Court </w:t>
      </w:r>
      <w:r w:rsidR="00C05D9C">
        <w:rPr>
          <w:lang w:val="en-US"/>
        </w:rPr>
        <w:t xml:space="preserve">after he had </w:t>
      </w:r>
      <w:r w:rsidR="0069435E">
        <w:rPr>
          <w:lang w:val="en-US"/>
        </w:rPr>
        <w:t xml:space="preserve">received </w:t>
      </w:r>
      <w:r w:rsidR="00C05D9C">
        <w:rPr>
          <w:lang w:val="en-US"/>
        </w:rPr>
        <w:t xml:space="preserve">an </w:t>
      </w:r>
      <w:r w:rsidR="0069435E">
        <w:rPr>
          <w:lang w:val="en-US"/>
        </w:rPr>
        <w:t>answer from the Deputy Chair</w:t>
      </w:r>
      <w:r w:rsidR="0069435E" w:rsidRPr="009845EF">
        <w:rPr>
          <w:lang w:val="en-GB"/>
        </w:rPr>
        <w:t xml:space="preserve">. </w:t>
      </w:r>
      <w:r w:rsidR="004A1377">
        <w:rPr>
          <w:lang w:val="en-GB"/>
        </w:rPr>
        <w:t xml:space="preserve">From the documents on file, </w:t>
      </w:r>
      <w:r w:rsidR="00905481">
        <w:rPr>
          <w:lang w:val="en-GB"/>
        </w:rPr>
        <w:t xml:space="preserve">however, </w:t>
      </w:r>
      <w:r w:rsidR="004A1377">
        <w:rPr>
          <w:lang w:val="en-GB"/>
        </w:rPr>
        <w:t xml:space="preserve">it transpires that the author </w:t>
      </w:r>
      <w:r w:rsidR="00A2109D">
        <w:rPr>
          <w:lang w:val="en-GB"/>
        </w:rPr>
        <w:t>did</w:t>
      </w:r>
      <w:r w:rsidR="004A1377">
        <w:rPr>
          <w:lang w:val="en-GB"/>
        </w:rPr>
        <w:t xml:space="preserve"> indeed </w:t>
      </w:r>
      <w:r w:rsidR="00EF449F">
        <w:rPr>
          <w:lang w:val="en-GB"/>
        </w:rPr>
        <w:t>a</w:t>
      </w:r>
      <w:r w:rsidR="00A2109D">
        <w:rPr>
          <w:lang w:val="en-GB"/>
        </w:rPr>
        <w:t>ddress</w:t>
      </w:r>
      <w:r w:rsidR="00EF449F">
        <w:rPr>
          <w:lang w:val="en-GB"/>
        </w:rPr>
        <w:t xml:space="preserve"> </w:t>
      </w:r>
      <w:r w:rsidR="004A1377">
        <w:rPr>
          <w:lang w:val="en-GB"/>
        </w:rPr>
        <w:t xml:space="preserve">his </w:t>
      </w:r>
      <w:r w:rsidR="00EF449F">
        <w:rPr>
          <w:lang w:val="en-GB"/>
        </w:rPr>
        <w:t>application</w:t>
      </w:r>
      <w:r w:rsidR="004A1377">
        <w:rPr>
          <w:lang w:val="en-GB"/>
        </w:rPr>
        <w:t xml:space="preserve"> </w:t>
      </w:r>
      <w:r w:rsidR="00A2109D">
        <w:rPr>
          <w:lang w:val="en-GB"/>
        </w:rPr>
        <w:t xml:space="preserve">for supervisory review </w:t>
      </w:r>
      <w:r w:rsidR="004A1377">
        <w:rPr>
          <w:lang w:val="en-GB"/>
        </w:rPr>
        <w:t>to the Chair of the Supreme Court</w:t>
      </w:r>
      <w:r w:rsidR="00C05D9C">
        <w:rPr>
          <w:lang w:val="en-GB"/>
        </w:rPr>
        <w:t>,</w:t>
      </w:r>
      <w:r w:rsidR="004A1377">
        <w:rPr>
          <w:lang w:val="en-GB"/>
        </w:rPr>
        <w:t xml:space="preserve"> </w:t>
      </w:r>
      <w:r w:rsidR="00C05D9C">
        <w:rPr>
          <w:lang w:val="en-GB"/>
        </w:rPr>
        <w:t>although</w:t>
      </w:r>
      <w:r w:rsidR="00905481">
        <w:rPr>
          <w:lang w:val="en-GB"/>
        </w:rPr>
        <w:t xml:space="preserve"> </w:t>
      </w:r>
      <w:r w:rsidR="004A1377">
        <w:rPr>
          <w:lang w:val="en-GB"/>
        </w:rPr>
        <w:t xml:space="preserve">the </w:t>
      </w:r>
      <w:r w:rsidR="00EF449F">
        <w:rPr>
          <w:lang w:val="en-GB"/>
        </w:rPr>
        <w:t xml:space="preserve">letter dismissing his application </w:t>
      </w:r>
      <w:r w:rsidR="004A1377">
        <w:rPr>
          <w:lang w:val="en-GB"/>
        </w:rPr>
        <w:t>was signed by the Deputy Chair.</w:t>
      </w:r>
      <w:r w:rsidR="0069435E" w:rsidRPr="00123B12">
        <w:rPr>
          <w:vertAlign w:val="superscript"/>
        </w:rPr>
        <w:footnoteReference w:id="9"/>
      </w:r>
      <w:r w:rsidR="0069435E" w:rsidRPr="009845EF">
        <w:rPr>
          <w:lang w:val="en-GB"/>
        </w:rPr>
        <w:t xml:space="preserve"> In the circumstances, the Committee considers that it is not precluded by article 5</w:t>
      </w:r>
      <w:r w:rsidR="004556AA">
        <w:rPr>
          <w:lang w:val="en-GB"/>
        </w:rPr>
        <w:t> </w:t>
      </w:r>
      <w:r w:rsidR="00C05D9C">
        <w:rPr>
          <w:lang w:val="en-GB"/>
        </w:rPr>
        <w:t>(</w:t>
      </w:r>
      <w:r w:rsidR="0069435E" w:rsidRPr="009845EF">
        <w:rPr>
          <w:lang w:val="en-GB"/>
        </w:rPr>
        <w:t>2</w:t>
      </w:r>
      <w:r w:rsidR="00C05D9C">
        <w:rPr>
          <w:lang w:val="en-GB"/>
        </w:rPr>
        <w:t>)</w:t>
      </w:r>
      <w:r w:rsidR="0069435E" w:rsidRPr="009845EF">
        <w:rPr>
          <w:lang w:val="en-GB"/>
        </w:rPr>
        <w:t xml:space="preserve"> (b) of the Optional Protocol from examining the present communication.</w:t>
      </w:r>
    </w:p>
    <w:p w:rsidR="0069435E" w:rsidRPr="008216A5" w:rsidRDefault="007C142F" w:rsidP="00D4204C">
      <w:pPr>
        <w:pStyle w:val="SingleTxtG"/>
        <w:rPr>
          <w:lang w:val="en-US"/>
        </w:rPr>
      </w:pPr>
      <w:r>
        <w:rPr>
          <w:lang w:val="en-GB"/>
        </w:rPr>
        <w:t>6</w:t>
      </w:r>
      <w:r w:rsidR="0069435E" w:rsidRPr="009845EF">
        <w:rPr>
          <w:lang w:val="en-GB"/>
        </w:rPr>
        <w:t>.4</w:t>
      </w:r>
      <w:r w:rsidR="0069435E" w:rsidRPr="00173844">
        <w:rPr>
          <w:lang w:val="en-GB"/>
        </w:rPr>
        <w:tab/>
      </w:r>
      <w:r w:rsidR="0069435E" w:rsidRPr="008216A5">
        <w:rPr>
          <w:lang w:val="en-US"/>
        </w:rPr>
        <w:t>The Committee considers that the author has sufficiently substantiated his claim</w:t>
      </w:r>
      <w:r w:rsidR="0069435E">
        <w:rPr>
          <w:lang w:val="en-US"/>
        </w:rPr>
        <w:t>s</w:t>
      </w:r>
      <w:r w:rsidR="0069435E" w:rsidRPr="008216A5">
        <w:rPr>
          <w:lang w:val="en-US"/>
        </w:rPr>
        <w:t xml:space="preserve"> under article</w:t>
      </w:r>
      <w:r w:rsidR="0069435E">
        <w:rPr>
          <w:lang w:val="en-US"/>
        </w:rPr>
        <w:t>s</w:t>
      </w:r>
      <w:r w:rsidR="0069435E" w:rsidRPr="008216A5">
        <w:rPr>
          <w:lang w:val="en-US"/>
        </w:rPr>
        <w:t xml:space="preserve"> </w:t>
      </w:r>
      <w:r w:rsidR="0069435E">
        <w:rPr>
          <w:lang w:val="en-US"/>
        </w:rPr>
        <w:t xml:space="preserve">19 </w:t>
      </w:r>
      <w:r w:rsidR="00A503F8">
        <w:rPr>
          <w:lang w:val="en-US"/>
        </w:rPr>
        <w:t>(</w:t>
      </w:r>
      <w:r w:rsidR="0069435E">
        <w:rPr>
          <w:lang w:val="en-US"/>
        </w:rPr>
        <w:t>2</w:t>
      </w:r>
      <w:r w:rsidR="00A503F8">
        <w:rPr>
          <w:lang w:val="en-US"/>
        </w:rPr>
        <w:t>)</w:t>
      </w:r>
      <w:r w:rsidR="0069435E">
        <w:rPr>
          <w:lang w:val="en-US"/>
        </w:rPr>
        <w:t xml:space="preserve"> </w:t>
      </w:r>
      <w:r w:rsidR="0069435E" w:rsidRPr="009845EF">
        <w:rPr>
          <w:lang w:val="en-GB"/>
        </w:rPr>
        <w:t xml:space="preserve">and 21 </w:t>
      </w:r>
      <w:r w:rsidR="0069435E" w:rsidRPr="008216A5">
        <w:rPr>
          <w:lang w:val="en-US"/>
        </w:rPr>
        <w:t xml:space="preserve">of the Covenant for purposes of admissibility. </w:t>
      </w:r>
      <w:r w:rsidR="00A503F8">
        <w:rPr>
          <w:lang w:val="en-US"/>
        </w:rPr>
        <w:t>It therefore</w:t>
      </w:r>
      <w:r w:rsidR="0069435E" w:rsidRPr="008216A5">
        <w:rPr>
          <w:lang w:val="en-US"/>
        </w:rPr>
        <w:t xml:space="preserve"> declares </w:t>
      </w:r>
      <w:r w:rsidR="0069435E">
        <w:rPr>
          <w:lang w:val="en-US"/>
        </w:rPr>
        <w:t>them</w:t>
      </w:r>
      <w:r w:rsidR="0069435E" w:rsidRPr="008216A5">
        <w:rPr>
          <w:lang w:val="en-US"/>
        </w:rPr>
        <w:t xml:space="preserve"> admissible and proceeds </w:t>
      </w:r>
      <w:r w:rsidR="00A503F8">
        <w:rPr>
          <w:lang w:val="en-US"/>
        </w:rPr>
        <w:t>with</w:t>
      </w:r>
      <w:r w:rsidR="00A503F8" w:rsidRPr="008216A5">
        <w:rPr>
          <w:lang w:val="en-US"/>
        </w:rPr>
        <w:t xml:space="preserve"> </w:t>
      </w:r>
      <w:r w:rsidR="00A503F8">
        <w:rPr>
          <w:lang w:val="en-US"/>
        </w:rPr>
        <w:t>its</w:t>
      </w:r>
      <w:r w:rsidR="00A503F8" w:rsidRPr="008216A5">
        <w:rPr>
          <w:lang w:val="en-US"/>
        </w:rPr>
        <w:t xml:space="preserve"> </w:t>
      </w:r>
      <w:r w:rsidR="0069435E" w:rsidRPr="008216A5">
        <w:rPr>
          <w:lang w:val="en-US"/>
        </w:rPr>
        <w:t xml:space="preserve">examination </w:t>
      </w:r>
      <w:r w:rsidR="0069435E" w:rsidRPr="00606782">
        <w:rPr>
          <w:lang w:val="en-US"/>
        </w:rPr>
        <w:t>o</w:t>
      </w:r>
      <w:r w:rsidR="004556AA" w:rsidRPr="00CF3CAC">
        <w:rPr>
          <w:lang w:val="en-US"/>
        </w:rPr>
        <w:t>f</w:t>
      </w:r>
      <w:r w:rsidR="0069435E" w:rsidRPr="008216A5">
        <w:rPr>
          <w:lang w:val="en-US"/>
        </w:rPr>
        <w:t xml:space="preserve"> the merits. </w:t>
      </w:r>
    </w:p>
    <w:p w:rsidR="0069435E" w:rsidRPr="008216A5" w:rsidRDefault="0069435E" w:rsidP="00D4204C">
      <w:pPr>
        <w:pStyle w:val="H4G"/>
      </w:pPr>
      <w:r w:rsidRPr="008216A5">
        <w:tab/>
      </w:r>
      <w:r w:rsidRPr="008216A5">
        <w:tab/>
        <w:t>Consideration of the merits</w:t>
      </w:r>
    </w:p>
    <w:p w:rsidR="0069435E" w:rsidRPr="009845EF" w:rsidRDefault="007C142F" w:rsidP="00D4204C">
      <w:pPr>
        <w:pStyle w:val="SingleTxtG"/>
        <w:rPr>
          <w:lang w:val="en-GB"/>
        </w:rPr>
      </w:pPr>
      <w:r>
        <w:rPr>
          <w:lang w:val="en-GB"/>
        </w:rPr>
        <w:t>7</w:t>
      </w:r>
      <w:r w:rsidR="0069435E" w:rsidRPr="009845EF">
        <w:rPr>
          <w:lang w:val="en-GB"/>
        </w:rPr>
        <w:t>.1</w:t>
      </w:r>
      <w:r w:rsidR="0069435E" w:rsidRPr="00173844">
        <w:rPr>
          <w:lang w:val="en-GB"/>
        </w:rPr>
        <w:tab/>
      </w:r>
      <w:r w:rsidR="0069435E" w:rsidRPr="009845EF">
        <w:rPr>
          <w:lang w:val="en-GB"/>
        </w:rPr>
        <w:t xml:space="preserve">The Committee has considered the communication in </w:t>
      </w:r>
      <w:r w:rsidR="00A503F8">
        <w:rPr>
          <w:lang w:val="en-GB"/>
        </w:rPr>
        <w:t xml:space="preserve">the </w:t>
      </w:r>
      <w:r w:rsidR="0069435E" w:rsidRPr="009845EF">
        <w:rPr>
          <w:lang w:val="en-GB"/>
        </w:rPr>
        <w:t xml:space="preserve">light of all the information made available to it by the parties, as provided under article 5 </w:t>
      </w:r>
      <w:r w:rsidR="00A503F8">
        <w:rPr>
          <w:lang w:val="en-GB"/>
        </w:rPr>
        <w:t>(</w:t>
      </w:r>
      <w:r w:rsidR="0069435E" w:rsidRPr="009845EF">
        <w:rPr>
          <w:lang w:val="en-GB"/>
        </w:rPr>
        <w:t>1</w:t>
      </w:r>
      <w:r w:rsidR="00A503F8">
        <w:rPr>
          <w:lang w:val="en-GB"/>
        </w:rPr>
        <w:t>)</w:t>
      </w:r>
      <w:r w:rsidR="0069435E" w:rsidRPr="009845EF">
        <w:rPr>
          <w:lang w:val="en-GB"/>
        </w:rPr>
        <w:t xml:space="preserve"> of the Optional Protocol.</w:t>
      </w:r>
    </w:p>
    <w:p w:rsidR="0069435E" w:rsidRDefault="007C142F" w:rsidP="00D25DAE">
      <w:pPr>
        <w:pStyle w:val="SingleTxtG"/>
        <w:rPr>
          <w:lang w:val="en-GB"/>
        </w:rPr>
      </w:pPr>
      <w:r>
        <w:rPr>
          <w:lang w:val="en-GB"/>
        </w:rPr>
        <w:t>7</w:t>
      </w:r>
      <w:r w:rsidR="0069435E" w:rsidRPr="009845EF">
        <w:rPr>
          <w:lang w:val="en-GB"/>
        </w:rPr>
        <w:t>.2</w:t>
      </w:r>
      <w:r w:rsidR="00C601D8">
        <w:rPr>
          <w:lang w:val="en-GB"/>
        </w:rPr>
        <w:tab/>
      </w:r>
      <w:r w:rsidR="0069435E" w:rsidRPr="009845EF">
        <w:rPr>
          <w:lang w:val="en-GB"/>
        </w:rPr>
        <w:t>The Committee notes the author</w:t>
      </w:r>
      <w:r w:rsidR="0069435E" w:rsidRPr="00173844">
        <w:rPr>
          <w:lang w:val="en-GB"/>
        </w:rPr>
        <w:t>’</w:t>
      </w:r>
      <w:r w:rsidR="0069435E" w:rsidRPr="009845EF">
        <w:rPr>
          <w:lang w:val="en-GB"/>
        </w:rPr>
        <w:t xml:space="preserve">s claim that his apprehension and conviction for his participation in a peaceful demonstration </w:t>
      </w:r>
      <w:r w:rsidR="00A503F8">
        <w:rPr>
          <w:lang w:val="en-GB"/>
        </w:rPr>
        <w:t>held</w:t>
      </w:r>
      <w:r w:rsidR="00A503F8" w:rsidRPr="009845EF">
        <w:rPr>
          <w:lang w:val="en-GB"/>
        </w:rPr>
        <w:t xml:space="preserve"> </w:t>
      </w:r>
      <w:r w:rsidR="0069435E" w:rsidRPr="009845EF">
        <w:rPr>
          <w:lang w:val="en-GB"/>
        </w:rPr>
        <w:t>without prior authorization constitute an unjustified restriction on his rights to freedom of expression and to freedom of assembly as protected by article</w:t>
      </w:r>
      <w:r w:rsidR="00A503F8">
        <w:rPr>
          <w:lang w:val="en-GB"/>
        </w:rPr>
        <w:t>s</w:t>
      </w:r>
      <w:r w:rsidR="0069435E" w:rsidRPr="00173844">
        <w:rPr>
          <w:lang w:val="en-GB"/>
        </w:rPr>
        <w:t> </w:t>
      </w:r>
      <w:r w:rsidR="0069435E" w:rsidRPr="009845EF">
        <w:rPr>
          <w:lang w:val="en-GB"/>
        </w:rPr>
        <w:t>19</w:t>
      </w:r>
      <w:r w:rsidR="0069435E" w:rsidRPr="00173844">
        <w:rPr>
          <w:lang w:val="en-GB"/>
        </w:rPr>
        <w:t> </w:t>
      </w:r>
      <w:r w:rsidR="00A503F8">
        <w:rPr>
          <w:lang w:val="en-GB"/>
        </w:rPr>
        <w:t>(</w:t>
      </w:r>
      <w:r w:rsidR="0069435E" w:rsidRPr="009845EF">
        <w:rPr>
          <w:lang w:val="en-GB"/>
        </w:rPr>
        <w:t>2</w:t>
      </w:r>
      <w:r w:rsidR="00A503F8">
        <w:rPr>
          <w:lang w:val="en-GB"/>
        </w:rPr>
        <w:t>)</w:t>
      </w:r>
      <w:r w:rsidR="0069435E" w:rsidRPr="009845EF">
        <w:rPr>
          <w:lang w:val="en-GB"/>
        </w:rPr>
        <w:t xml:space="preserve"> and 21 of the Covenant.</w:t>
      </w:r>
      <w:r w:rsidR="0069435E" w:rsidRPr="009845EF" w:rsidDel="003D71C2">
        <w:rPr>
          <w:lang w:val="en-GB"/>
        </w:rPr>
        <w:t xml:space="preserve"> </w:t>
      </w:r>
      <w:r w:rsidR="0069435E" w:rsidRPr="009845EF">
        <w:rPr>
          <w:lang w:val="en-GB"/>
        </w:rPr>
        <w:t>The Committee must therefore consider whether the restriction imposed on the author</w:t>
      </w:r>
      <w:r w:rsidR="0069435E" w:rsidRPr="00173844">
        <w:rPr>
          <w:lang w:val="en-GB"/>
        </w:rPr>
        <w:t>’</w:t>
      </w:r>
      <w:r w:rsidR="0069435E" w:rsidRPr="009845EF">
        <w:rPr>
          <w:lang w:val="en-GB"/>
        </w:rPr>
        <w:t xml:space="preserve">s rights in the present </w:t>
      </w:r>
      <w:r w:rsidR="00A503F8">
        <w:rPr>
          <w:lang w:val="en-GB"/>
        </w:rPr>
        <w:t>case</w:t>
      </w:r>
      <w:r w:rsidR="00A503F8" w:rsidRPr="009845EF">
        <w:rPr>
          <w:lang w:val="en-GB"/>
        </w:rPr>
        <w:t xml:space="preserve"> </w:t>
      </w:r>
      <w:r w:rsidR="0069435E" w:rsidRPr="009845EF">
        <w:rPr>
          <w:lang w:val="en-GB"/>
        </w:rPr>
        <w:t>are justified under any of the criteria set out in article</w:t>
      </w:r>
      <w:r w:rsidR="0069435E" w:rsidRPr="00173844">
        <w:rPr>
          <w:lang w:val="en-GB"/>
        </w:rPr>
        <w:t> </w:t>
      </w:r>
      <w:r w:rsidR="0069435E" w:rsidRPr="009845EF">
        <w:rPr>
          <w:lang w:val="en-GB"/>
        </w:rPr>
        <w:t>19</w:t>
      </w:r>
      <w:r w:rsidR="0069435E" w:rsidRPr="00173844">
        <w:rPr>
          <w:lang w:val="en-GB"/>
        </w:rPr>
        <w:t> </w:t>
      </w:r>
      <w:r w:rsidR="00A503F8">
        <w:rPr>
          <w:lang w:val="en-GB"/>
        </w:rPr>
        <w:t>(</w:t>
      </w:r>
      <w:r w:rsidR="0069435E" w:rsidRPr="009845EF">
        <w:rPr>
          <w:lang w:val="en-GB"/>
        </w:rPr>
        <w:t>3</w:t>
      </w:r>
      <w:r w:rsidR="00A503F8">
        <w:rPr>
          <w:lang w:val="en-GB"/>
        </w:rPr>
        <w:t>)</w:t>
      </w:r>
      <w:r w:rsidR="0069435E" w:rsidRPr="009845EF">
        <w:rPr>
          <w:lang w:val="en-GB"/>
        </w:rPr>
        <w:t xml:space="preserve"> and in the second sentence of article</w:t>
      </w:r>
      <w:r w:rsidR="0069435E" w:rsidRPr="00173844">
        <w:rPr>
          <w:lang w:val="en-GB"/>
        </w:rPr>
        <w:t> </w:t>
      </w:r>
      <w:r w:rsidR="0069435E" w:rsidRPr="009845EF">
        <w:rPr>
          <w:lang w:val="en-GB"/>
        </w:rPr>
        <w:t xml:space="preserve">21 of the Covenant. </w:t>
      </w:r>
    </w:p>
    <w:p w:rsidR="0069435E" w:rsidRPr="009845EF" w:rsidRDefault="007C142F">
      <w:pPr>
        <w:pStyle w:val="SingleTxtG"/>
        <w:rPr>
          <w:lang w:val="en-GB"/>
        </w:rPr>
      </w:pPr>
      <w:r>
        <w:rPr>
          <w:lang w:val="en-GB"/>
        </w:rPr>
        <w:t>7</w:t>
      </w:r>
      <w:r w:rsidR="0069435E">
        <w:rPr>
          <w:lang w:val="en-GB"/>
        </w:rPr>
        <w:t>.3</w:t>
      </w:r>
      <w:r w:rsidR="00C601D8">
        <w:rPr>
          <w:lang w:val="en-GB"/>
        </w:rPr>
        <w:tab/>
      </w:r>
      <w:r w:rsidR="0069435E" w:rsidRPr="009845EF">
        <w:rPr>
          <w:lang w:val="en-GB"/>
        </w:rPr>
        <w:t>The Committee recalls</w:t>
      </w:r>
      <w:r w:rsidR="00A503F8">
        <w:rPr>
          <w:lang w:val="en-GB"/>
        </w:rPr>
        <w:t xml:space="preserve"> </w:t>
      </w:r>
      <w:r w:rsidR="0069435E" w:rsidRPr="009845EF">
        <w:rPr>
          <w:lang w:val="en-GB"/>
        </w:rPr>
        <w:t>that article 19 (3) of the Covenant allows certain restrictions only as provided by law and necessary for the respect of the rights and reputation of others and for the protection of national security or public order (</w:t>
      </w:r>
      <w:r w:rsidR="0069435E" w:rsidRPr="009845EF">
        <w:rPr>
          <w:i/>
          <w:lang w:val="en-GB"/>
        </w:rPr>
        <w:t>ordre public</w:t>
      </w:r>
      <w:r w:rsidR="0069435E" w:rsidRPr="009845EF">
        <w:rPr>
          <w:lang w:val="en-GB"/>
        </w:rPr>
        <w:t xml:space="preserve">) or public health or morals. The Committee refers to its general comment No. 34 (2011) on the freedoms of opinion and expression, </w:t>
      </w:r>
      <w:r w:rsidR="00A503F8">
        <w:rPr>
          <w:lang w:val="en-GB"/>
        </w:rPr>
        <w:t xml:space="preserve">in </w:t>
      </w:r>
      <w:r w:rsidR="0069435E" w:rsidRPr="009845EF">
        <w:rPr>
          <w:lang w:val="en-GB"/>
        </w:rPr>
        <w:t xml:space="preserve">which </w:t>
      </w:r>
      <w:r w:rsidR="00A503F8">
        <w:rPr>
          <w:lang w:val="en-GB"/>
        </w:rPr>
        <w:t xml:space="preserve">it </w:t>
      </w:r>
      <w:r w:rsidR="0069435E" w:rsidRPr="009845EF">
        <w:rPr>
          <w:lang w:val="en-GB"/>
        </w:rPr>
        <w:t>state</w:t>
      </w:r>
      <w:r w:rsidR="00A503F8">
        <w:rPr>
          <w:lang w:val="en-GB"/>
        </w:rPr>
        <w:t>d</w:t>
      </w:r>
      <w:r w:rsidR="0069435E" w:rsidRPr="009845EF">
        <w:rPr>
          <w:lang w:val="en-GB"/>
        </w:rPr>
        <w:t xml:space="preserve"> that those freedoms </w:t>
      </w:r>
      <w:r w:rsidR="00A503F8">
        <w:rPr>
          <w:lang w:val="en-GB"/>
        </w:rPr>
        <w:t>were</w:t>
      </w:r>
      <w:r w:rsidR="00A503F8" w:rsidRPr="009845EF">
        <w:rPr>
          <w:lang w:val="en-GB"/>
        </w:rPr>
        <w:t xml:space="preserve"> </w:t>
      </w:r>
      <w:r w:rsidR="0069435E" w:rsidRPr="009845EF">
        <w:rPr>
          <w:lang w:val="en-GB"/>
        </w:rPr>
        <w:t xml:space="preserve">indispensable conditions for the full development of the person and </w:t>
      </w:r>
      <w:r w:rsidR="00A503F8">
        <w:rPr>
          <w:lang w:val="en-GB"/>
        </w:rPr>
        <w:t>were</w:t>
      </w:r>
      <w:r w:rsidR="00A503F8" w:rsidRPr="009845EF">
        <w:rPr>
          <w:lang w:val="en-GB"/>
        </w:rPr>
        <w:t xml:space="preserve"> </w:t>
      </w:r>
      <w:r w:rsidR="0069435E" w:rsidRPr="009845EF">
        <w:rPr>
          <w:lang w:val="en-GB"/>
        </w:rPr>
        <w:t>essential for any society. They constitute</w:t>
      </w:r>
      <w:r w:rsidR="00A503F8">
        <w:rPr>
          <w:lang w:val="en-GB"/>
        </w:rPr>
        <w:t>d</w:t>
      </w:r>
      <w:r w:rsidR="0069435E" w:rsidRPr="009845EF">
        <w:rPr>
          <w:lang w:val="en-GB"/>
        </w:rPr>
        <w:t xml:space="preserve"> the foundation stone for every free and democratic society.</w:t>
      </w:r>
      <w:r w:rsidR="0069435E" w:rsidRPr="009845EF">
        <w:rPr>
          <w:sz w:val="16"/>
          <w:szCs w:val="16"/>
          <w:lang w:val="en-GB"/>
        </w:rPr>
        <w:t xml:space="preserve"> </w:t>
      </w:r>
      <w:r w:rsidR="0069435E" w:rsidRPr="009845EF">
        <w:rPr>
          <w:lang w:val="en-GB"/>
        </w:rPr>
        <w:t xml:space="preserve">Any restriction on the exercise of those freedoms must conform to the strict tests of necessity and </w:t>
      </w:r>
      <w:r w:rsidR="0069435E" w:rsidRPr="009845EF">
        <w:rPr>
          <w:lang w:val="en-GB"/>
        </w:rPr>
        <w:lastRenderedPageBreak/>
        <w:t xml:space="preserve">proportionality. Restrictions must be applied only for those purposes for which they were prescribed and must be directly related to the specific need on which they </w:t>
      </w:r>
      <w:r w:rsidR="00A503F8">
        <w:rPr>
          <w:lang w:val="en-GB"/>
        </w:rPr>
        <w:t>were</w:t>
      </w:r>
      <w:r w:rsidR="00A503F8" w:rsidRPr="009845EF">
        <w:rPr>
          <w:lang w:val="en-GB"/>
        </w:rPr>
        <w:t xml:space="preserve"> </w:t>
      </w:r>
      <w:r w:rsidR="0069435E" w:rsidRPr="009845EF">
        <w:rPr>
          <w:lang w:val="en-GB"/>
        </w:rPr>
        <w:t>predicated. The Committee recalls</w:t>
      </w:r>
      <w:r w:rsidR="0069435E">
        <w:rPr>
          <w:rStyle w:val="FootnoteReference"/>
        </w:rPr>
        <w:footnoteReference w:id="10"/>
      </w:r>
      <w:r w:rsidR="0069435E" w:rsidRPr="009845EF">
        <w:rPr>
          <w:sz w:val="16"/>
          <w:szCs w:val="16"/>
          <w:lang w:val="en-GB"/>
        </w:rPr>
        <w:t xml:space="preserve"> </w:t>
      </w:r>
      <w:r w:rsidR="0069435E" w:rsidRPr="009845EF">
        <w:rPr>
          <w:lang w:val="en-GB"/>
        </w:rPr>
        <w:t>that it is for the State party to demonstrate that the restrictions on the author</w:t>
      </w:r>
      <w:r w:rsidR="0069435E" w:rsidRPr="00173844">
        <w:rPr>
          <w:lang w:val="en-GB"/>
        </w:rPr>
        <w:t>’</w:t>
      </w:r>
      <w:r w:rsidR="0069435E" w:rsidRPr="009845EF">
        <w:rPr>
          <w:lang w:val="en-GB"/>
        </w:rPr>
        <w:t>s rights under article 19 were necessary and proportionate</w:t>
      </w:r>
      <w:r w:rsidR="000F566B">
        <w:rPr>
          <w:lang w:val="en-GB"/>
        </w:rPr>
        <w:t>.</w:t>
      </w:r>
    </w:p>
    <w:p w:rsidR="0069435E" w:rsidRDefault="007C142F" w:rsidP="00173844">
      <w:pPr>
        <w:pStyle w:val="SingleTxtG"/>
        <w:rPr>
          <w:lang w:val="en-GB"/>
        </w:rPr>
      </w:pPr>
      <w:r>
        <w:rPr>
          <w:lang w:val="en-GB"/>
        </w:rPr>
        <w:t>7</w:t>
      </w:r>
      <w:r w:rsidR="0069435E" w:rsidRPr="009845EF">
        <w:rPr>
          <w:lang w:val="en-GB"/>
        </w:rPr>
        <w:t>.4</w:t>
      </w:r>
      <w:r w:rsidR="0069435E" w:rsidRPr="00173844">
        <w:rPr>
          <w:lang w:val="en-GB"/>
        </w:rPr>
        <w:tab/>
      </w:r>
      <w:r w:rsidR="0069435E" w:rsidRPr="009845EF">
        <w:rPr>
          <w:lang w:val="en-GB"/>
        </w:rPr>
        <w:t xml:space="preserve">The Committee </w:t>
      </w:r>
      <w:r w:rsidR="00A503F8">
        <w:rPr>
          <w:lang w:val="en-GB"/>
        </w:rPr>
        <w:t xml:space="preserve">also </w:t>
      </w:r>
      <w:r w:rsidR="0069435E" w:rsidRPr="009845EF">
        <w:rPr>
          <w:lang w:val="en-GB"/>
        </w:rPr>
        <w:t xml:space="preserve">recalls that the right of peaceful assembly, as guaranteed under article 21 of the Covenant, is a fundamental human right that is essential for </w:t>
      </w:r>
      <w:r w:rsidR="00A503F8">
        <w:rPr>
          <w:lang w:val="en-GB"/>
        </w:rPr>
        <w:t xml:space="preserve">the </w:t>
      </w:r>
      <w:r w:rsidR="0069435E" w:rsidRPr="009845EF">
        <w:rPr>
          <w:lang w:val="en-GB"/>
        </w:rPr>
        <w:t>public expression of one</w:t>
      </w:r>
      <w:r w:rsidR="0069435E" w:rsidRPr="00173844">
        <w:rPr>
          <w:lang w:val="en-GB"/>
        </w:rPr>
        <w:t>’</w:t>
      </w:r>
      <w:r w:rsidR="0069435E" w:rsidRPr="009845EF">
        <w:rPr>
          <w:lang w:val="en-GB"/>
        </w:rPr>
        <w:t xml:space="preserve">s views and opinions and </w:t>
      </w:r>
      <w:r w:rsidR="00A503F8">
        <w:rPr>
          <w:lang w:val="en-GB"/>
        </w:rPr>
        <w:t xml:space="preserve">is </w:t>
      </w:r>
      <w:r w:rsidR="0069435E" w:rsidRPr="009845EF">
        <w:rPr>
          <w:lang w:val="en-GB"/>
        </w:rPr>
        <w:t xml:space="preserve">indispensable in a democratic society. This right entails the possibility of organizing and participating in a peaceful assembly, including the right to a stationary assembly (such as a picket) in a public location. The organizers of an assembly generally have the right to choose a location within sight and </w:t>
      </w:r>
      <w:r w:rsidR="00A503F8">
        <w:rPr>
          <w:lang w:val="en-GB"/>
        </w:rPr>
        <w:t>hearing</w:t>
      </w:r>
      <w:r w:rsidR="00A503F8" w:rsidRPr="009845EF">
        <w:rPr>
          <w:lang w:val="en-GB"/>
        </w:rPr>
        <w:t xml:space="preserve"> </w:t>
      </w:r>
      <w:r w:rsidR="0069435E" w:rsidRPr="009845EF">
        <w:rPr>
          <w:lang w:val="en-GB"/>
        </w:rPr>
        <w:t>of their target audience</w:t>
      </w:r>
      <w:r w:rsidR="00A503F8">
        <w:rPr>
          <w:lang w:val="en-GB"/>
        </w:rPr>
        <w:t>;</w:t>
      </w:r>
      <w:r w:rsidR="0069435E" w:rsidRPr="009845EF">
        <w:rPr>
          <w:lang w:val="en-GB"/>
        </w:rPr>
        <w:t xml:space="preserve"> no restriction to this right is permissible unless it </w:t>
      </w:r>
      <w:r w:rsidR="00A503F8">
        <w:rPr>
          <w:lang w:val="en-GB"/>
        </w:rPr>
        <w:t>is</w:t>
      </w:r>
      <w:r w:rsidR="0069435E" w:rsidRPr="009845EF">
        <w:rPr>
          <w:lang w:val="en-GB"/>
        </w:rPr>
        <w:t xml:space="preserve"> imposed in conformity with the law</w:t>
      </w:r>
      <w:r w:rsidR="00A503F8">
        <w:rPr>
          <w:lang w:val="en-GB"/>
        </w:rPr>
        <w:t xml:space="preserve"> and</w:t>
      </w:r>
      <w:r w:rsidR="0069435E" w:rsidRPr="009845EF">
        <w:rPr>
          <w:lang w:val="en-GB"/>
        </w:rPr>
        <w:t xml:space="preserve"> is necessary in a democratic society, in the interests of national security or public safety, public order, protection of public health or morals or protection of the rights and freedoms of others. The State party is thus under the obligation to justify the limitation of the right protected by article 21 of the Covenant</w:t>
      </w:r>
      <w:r w:rsidR="00CF1B81">
        <w:rPr>
          <w:lang w:val="en-GB"/>
        </w:rPr>
        <w:t>.</w:t>
      </w:r>
    </w:p>
    <w:p w:rsidR="0069435E" w:rsidRPr="009845EF" w:rsidRDefault="007C142F" w:rsidP="00D25DAE">
      <w:pPr>
        <w:pStyle w:val="SingleTxtG"/>
        <w:rPr>
          <w:lang w:val="en-GB"/>
        </w:rPr>
      </w:pPr>
      <w:r>
        <w:rPr>
          <w:lang w:val="en-US"/>
        </w:rPr>
        <w:t>7</w:t>
      </w:r>
      <w:r w:rsidR="0069435E">
        <w:rPr>
          <w:lang w:val="en-US"/>
        </w:rPr>
        <w:t>.5</w:t>
      </w:r>
      <w:r w:rsidR="00C601D8">
        <w:rPr>
          <w:lang w:val="en-US"/>
        </w:rPr>
        <w:tab/>
      </w:r>
      <w:r w:rsidR="0069435E" w:rsidRPr="009845EF">
        <w:rPr>
          <w:lang w:val="en-GB"/>
        </w:rPr>
        <w:t>The Committee notes the author</w:t>
      </w:r>
      <w:r w:rsidR="0069435E" w:rsidRPr="00211B93">
        <w:rPr>
          <w:lang w:val="en-GB"/>
        </w:rPr>
        <w:t>’</w:t>
      </w:r>
      <w:r w:rsidR="0069435E" w:rsidRPr="009845EF">
        <w:rPr>
          <w:lang w:val="en-GB"/>
        </w:rPr>
        <w:t xml:space="preserve">s allegations that he was apprehended and brought to a police station for participating in a peaceful but unauthorized demonstration and for holding a poster that read “Stop killings of gays in Iran” in front of the </w:t>
      </w:r>
      <w:r w:rsidR="00621825">
        <w:rPr>
          <w:lang w:val="en-GB"/>
        </w:rPr>
        <w:t>e</w:t>
      </w:r>
      <w:r w:rsidR="0069435E" w:rsidRPr="009845EF">
        <w:rPr>
          <w:lang w:val="en-GB"/>
        </w:rPr>
        <w:t>mbassy of the Islamic Republic of Iran in Minsk. He later received an administrative fine for the violation of article</w:t>
      </w:r>
      <w:r w:rsidR="0069435E" w:rsidRPr="00211B93">
        <w:rPr>
          <w:lang w:val="en-GB"/>
        </w:rPr>
        <w:t> </w:t>
      </w:r>
      <w:r w:rsidR="0069435E" w:rsidRPr="009845EF">
        <w:rPr>
          <w:lang w:val="en-GB"/>
        </w:rPr>
        <w:t>23.34, paragraph</w:t>
      </w:r>
      <w:r w:rsidR="0069435E" w:rsidRPr="00211B93">
        <w:rPr>
          <w:lang w:val="en-GB"/>
        </w:rPr>
        <w:t> </w:t>
      </w:r>
      <w:r w:rsidR="0069435E" w:rsidRPr="009845EF">
        <w:rPr>
          <w:lang w:val="en-GB"/>
        </w:rPr>
        <w:t>1, of the Belarus Code of Administrative Offences.</w:t>
      </w:r>
      <w:r w:rsidR="000F566B">
        <w:rPr>
          <w:lang w:val="en-GB"/>
        </w:rPr>
        <w:t xml:space="preserve"> </w:t>
      </w:r>
    </w:p>
    <w:p w:rsidR="0069435E" w:rsidRPr="00AC3445" w:rsidRDefault="007C142F" w:rsidP="009845EF">
      <w:pPr>
        <w:pStyle w:val="SingleTxtG"/>
      </w:pPr>
      <w:r>
        <w:rPr>
          <w:lang w:val="en-US"/>
        </w:rPr>
        <w:t>7</w:t>
      </w:r>
      <w:r w:rsidR="0069435E">
        <w:rPr>
          <w:lang w:val="en-US"/>
        </w:rPr>
        <w:t>.6</w:t>
      </w:r>
      <w:r w:rsidR="00C601D8">
        <w:rPr>
          <w:lang w:val="en-US"/>
        </w:rPr>
        <w:tab/>
      </w:r>
      <w:r w:rsidR="0069435E">
        <w:rPr>
          <w:lang w:val="en-US"/>
        </w:rPr>
        <w:t xml:space="preserve">The Committee notes the </w:t>
      </w:r>
      <w:r w:rsidR="0069435E" w:rsidRPr="009845EF">
        <w:rPr>
          <w:lang w:val="en-GB"/>
        </w:rPr>
        <w:t>author</w:t>
      </w:r>
      <w:r w:rsidR="0069435E" w:rsidRPr="00173844">
        <w:rPr>
          <w:lang w:val="en-GB"/>
        </w:rPr>
        <w:t>’</w:t>
      </w:r>
      <w:r w:rsidR="0069435E" w:rsidRPr="009845EF">
        <w:rPr>
          <w:lang w:val="en-GB"/>
        </w:rPr>
        <w:t xml:space="preserve">s claim that he was unable to request prior authorization to participate in the demonstration owing to the stringent regime of the </w:t>
      </w:r>
      <w:r w:rsidR="0069435E" w:rsidRPr="00F31325">
        <w:rPr>
          <w:lang w:val="en-GB"/>
        </w:rPr>
        <w:t xml:space="preserve">Law on </w:t>
      </w:r>
      <w:r w:rsidR="00F31325">
        <w:rPr>
          <w:lang w:val="en-GB"/>
        </w:rPr>
        <w:t>m</w:t>
      </w:r>
      <w:r w:rsidR="0069435E" w:rsidRPr="00F31325">
        <w:rPr>
          <w:lang w:val="en-GB"/>
        </w:rPr>
        <w:t xml:space="preserve">ass </w:t>
      </w:r>
      <w:r w:rsidR="00F31325">
        <w:rPr>
          <w:lang w:val="en-GB"/>
        </w:rPr>
        <w:t>e</w:t>
      </w:r>
      <w:r w:rsidR="0069435E" w:rsidRPr="00F31325">
        <w:rPr>
          <w:lang w:val="en-GB"/>
        </w:rPr>
        <w:t>vent</w:t>
      </w:r>
      <w:r w:rsidR="0069435E" w:rsidRPr="009845EF">
        <w:rPr>
          <w:lang w:val="en-GB"/>
        </w:rPr>
        <w:t>s, which imposes unreasonable restrictions on the right guaranteed by article</w:t>
      </w:r>
      <w:r w:rsidR="0069435E" w:rsidRPr="00173844">
        <w:rPr>
          <w:lang w:val="en-GB"/>
        </w:rPr>
        <w:t> </w:t>
      </w:r>
      <w:r w:rsidR="0069435E" w:rsidRPr="009845EF">
        <w:rPr>
          <w:lang w:val="en-GB"/>
        </w:rPr>
        <w:t>21 of the Covenant.</w:t>
      </w:r>
      <w:r w:rsidR="009845EF">
        <w:rPr>
          <w:lang w:val="en-GB"/>
        </w:rPr>
        <w:t xml:space="preserve"> </w:t>
      </w:r>
      <w:r w:rsidR="0069435E" w:rsidRPr="00AC3445">
        <w:t xml:space="preserve">The Committee recalls that, while imposing restrictions </w:t>
      </w:r>
      <w:r w:rsidR="008C4E4D">
        <w:t>on</w:t>
      </w:r>
      <w:r w:rsidR="008C4E4D" w:rsidRPr="00AC3445">
        <w:t xml:space="preserve"> </w:t>
      </w:r>
      <w:r w:rsidR="0069435E" w:rsidRPr="00AC3445">
        <w:t xml:space="preserve">the right of freedom of peaceful assembly, the State party should be guided by the </w:t>
      </w:r>
      <w:r w:rsidR="00621825">
        <w:t>aim of</w:t>
      </w:r>
      <w:r w:rsidR="0069435E" w:rsidRPr="00AC3445">
        <w:t xml:space="preserve"> facilitat</w:t>
      </w:r>
      <w:r w:rsidR="00621825">
        <w:t>ing</w:t>
      </w:r>
      <w:r w:rsidR="0069435E" w:rsidRPr="00AC3445">
        <w:t xml:space="preserve"> the right, rather than seeking unnecessary or disproportionate limitations to it</w:t>
      </w:r>
      <w:r w:rsidR="0069435E" w:rsidRPr="00AC3445">
        <w:rPr>
          <w:lang w:val="en-US"/>
        </w:rPr>
        <w:t>.</w:t>
      </w:r>
      <w:r w:rsidR="0069435E" w:rsidRPr="00AC3445">
        <w:rPr>
          <w:sz w:val="18"/>
          <w:vertAlign w:val="superscript"/>
        </w:rPr>
        <w:footnoteReference w:id="11"/>
      </w:r>
      <w:r w:rsidR="0069435E" w:rsidRPr="00AC3445">
        <w:t xml:space="preserve"> In that regard, the Committee notes that, while the restrictions imposed in the author’s case were in accordance with the law, the State party has not attempted to explain why such restrictions were necessary and whether they were proportionate for one of the legitimate purposes set out in the second sentence of article 21 of the Covenant. Nor did the State party explain how, in practice in the present case, the author’s participation in a peaceful demonstration in which only a few persons participated could have violated the rights and freedoms of others or posed a threat to the protection of public safety or public order or of public health or morals. </w:t>
      </w:r>
      <w:r w:rsidR="0069435E" w:rsidRPr="00AC3445">
        <w:rPr>
          <w:lang w:val="en-US"/>
        </w:rPr>
        <w:t xml:space="preserve">The Committee observes that, while ensuring the security and safety of the embassy of </w:t>
      </w:r>
      <w:r w:rsidR="008C4E4D">
        <w:rPr>
          <w:lang w:val="en-US"/>
        </w:rPr>
        <w:t>a</w:t>
      </w:r>
      <w:r w:rsidR="008C4E4D" w:rsidRPr="00AC3445">
        <w:rPr>
          <w:lang w:val="en-US"/>
        </w:rPr>
        <w:t xml:space="preserve"> </w:t>
      </w:r>
      <w:r w:rsidR="0069435E" w:rsidRPr="00AC3445">
        <w:rPr>
          <w:lang w:val="en-US"/>
        </w:rPr>
        <w:t xml:space="preserve">foreign State may be regarded as a legitimate purpose for restricting the right to peaceful assembly, the State party must justify </w:t>
      </w:r>
      <w:r w:rsidR="00621825">
        <w:rPr>
          <w:lang w:val="en-US"/>
        </w:rPr>
        <w:t xml:space="preserve">that the </w:t>
      </w:r>
      <w:r w:rsidR="0069435E" w:rsidRPr="009845EF">
        <w:rPr>
          <w:lang w:val="en-US"/>
        </w:rPr>
        <w:t xml:space="preserve">apprehension </w:t>
      </w:r>
      <w:r w:rsidR="0069435E" w:rsidRPr="00AC3445">
        <w:rPr>
          <w:lang w:val="en-US"/>
        </w:rPr>
        <w:t xml:space="preserve">of the author </w:t>
      </w:r>
      <w:r w:rsidR="0069435E" w:rsidRPr="009845EF">
        <w:rPr>
          <w:lang w:val="en-US"/>
        </w:rPr>
        <w:t xml:space="preserve">and </w:t>
      </w:r>
      <w:r w:rsidR="00621825">
        <w:rPr>
          <w:lang w:val="en-US"/>
        </w:rPr>
        <w:t xml:space="preserve">the </w:t>
      </w:r>
      <w:r w:rsidR="0069435E" w:rsidRPr="009845EF">
        <w:rPr>
          <w:lang w:val="en-US"/>
        </w:rPr>
        <w:t xml:space="preserve">imposition on him </w:t>
      </w:r>
      <w:r w:rsidR="0069435E" w:rsidRPr="00AC3445">
        <w:rPr>
          <w:lang w:val="en-US"/>
        </w:rPr>
        <w:t xml:space="preserve">of an administrative fine were necessary and proportionate to that purpose. </w:t>
      </w:r>
      <w:r w:rsidR="0069435E" w:rsidRPr="00AC3445">
        <w:t xml:space="preserve">Therefore, in the absence of any pertinent explanation from the State party, the Committee considers that due weight must be given to the author’s allegations. </w:t>
      </w:r>
    </w:p>
    <w:p w:rsidR="0069435E" w:rsidRPr="00AC3445" w:rsidRDefault="007C142F" w:rsidP="00AC3445">
      <w:pPr>
        <w:spacing w:after="120"/>
        <w:ind w:left="1134" w:right="1134"/>
        <w:jc w:val="both"/>
      </w:pPr>
      <w:r>
        <w:t>7</w:t>
      </w:r>
      <w:r w:rsidR="0069435E" w:rsidRPr="00AC3445">
        <w:t>.</w:t>
      </w:r>
      <w:r w:rsidR="000F566B">
        <w:t>7</w:t>
      </w:r>
      <w:r w:rsidR="0069435E" w:rsidRPr="00AC3445">
        <w:tab/>
        <w:t>The Committee notes that the author was apprehended and given an administrative fine in accordance with article 23.34, paragraph 1, of the Code of Administrative Offences</w:t>
      </w:r>
      <w:r w:rsidR="008C4E4D">
        <w:t xml:space="preserve"> of Belarus</w:t>
      </w:r>
      <w:r w:rsidR="0069435E" w:rsidRPr="00AC3445">
        <w:t xml:space="preserve"> because of his participation in </w:t>
      </w:r>
      <w:r w:rsidR="008C4E4D">
        <w:t>an</w:t>
      </w:r>
      <w:r w:rsidR="008C4E4D" w:rsidRPr="00AC3445">
        <w:t xml:space="preserve"> </w:t>
      </w:r>
      <w:r w:rsidR="0069435E" w:rsidRPr="00AC3445">
        <w:t xml:space="preserve">unauthorized demonstration. The Committee notes that the State party has failed to demonstrate that the apprehension and fine imposed </w:t>
      </w:r>
      <w:r w:rsidR="0069435E" w:rsidRPr="00AC3445">
        <w:lastRenderedPageBreak/>
        <w:t xml:space="preserve">on the author, although </w:t>
      </w:r>
      <w:r w:rsidR="00621825">
        <w:t>based in</w:t>
      </w:r>
      <w:r w:rsidR="0069435E" w:rsidRPr="00AC3445">
        <w:t xml:space="preserve"> law, </w:t>
      </w:r>
      <w:r w:rsidR="00621825">
        <w:t>were</w:t>
      </w:r>
      <w:r w:rsidR="00621825" w:rsidRPr="00AC3445">
        <w:t xml:space="preserve"> </w:t>
      </w:r>
      <w:r w:rsidR="0069435E" w:rsidRPr="00AC3445">
        <w:t>necessary and proportionate to achieve one of the legitimate purposes under the second sentence of article 21 of the Covenant. The Committee therefore concludes that the facts as submitted reveal a violation by the State party of the author’s rights under article 21 of the Covenant.</w:t>
      </w:r>
    </w:p>
    <w:p w:rsidR="003262B7" w:rsidRDefault="007C142F" w:rsidP="00143A2B">
      <w:pPr>
        <w:pStyle w:val="SingleTxtG"/>
        <w:rPr>
          <w:lang w:val="en-GB"/>
        </w:rPr>
      </w:pPr>
      <w:r>
        <w:rPr>
          <w:lang w:val="en-GB"/>
        </w:rPr>
        <w:t>7</w:t>
      </w:r>
      <w:r w:rsidR="0069435E" w:rsidRPr="009845EF">
        <w:rPr>
          <w:lang w:val="en-GB"/>
        </w:rPr>
        <w:t>.</w:t>
      </w:r>
      <w:r w:rsidR="000F566B">
        <w:rPr>
          <w:lang w:val="en-GB"/>
        </w:rPr>
        <w:t>8</w:t>
      </w:r>
      <w:r w:rsidR="0069435E" w:rsidRPr="00173844">
        <w:rPr>
          <w:lang w:val="en-GB"/>
        </w:rPr>
        <w:tab/>
      </w:r>
      <w:r w:rsidR="0069435E">
        <w:rPr>
          <w:lang w:val="en-GB"/>
        </w:rPr>
        <w:t>Likewise, in the absence of any pertinent information from the State party to justify the restrictions imposed contrary to the provisions of article 19 (3) of the Covenant, the Committee concludes that the author’s rights under article 19 (2) of the Covenant have been violated.</w:t>
      </w:r>
    </w:p>
    <w:p w:rsidR="0069435E" w:rsidRPr="009845EF" w:rsidRDefault="007C142F" w:rsidP="00143A2B">
      <w:pPr>
        <w:pStyle w:val="SingleTxtG"/>
        <w:rPr>
          <w:lang w:val="en-GB"/>
        </w:rPr>
      </w:pPr>
      <w:r>
        <w:rPr>
          <w:lang w:val="en-GB"/>
        </w:rPr>
        <w:t>8</w:t>
      </w:r>
      <w:r w:rsidR="0069435E" w:rsidRPr="009845EF">
        <w:rPr>
          <w:lang w:val="en-GB"/>
        </w:rPr>
        <w:t>.</w:t>
      </w:r>
      <w:r w:rsidR="0069435E" w:rsidRPr="00173844">
        <w:rPr>
          <w:lang w:val="en-GB"/>
        </w:rPr>
        <w:tab/>
      </w:r>
      <w:r w:rsidR="0069435E" w:rsidRPr="009845EF">
        <w:rPr>
          <w:lang w:val="en-GB"/>
        </w:rPr>
        <w:t xml:space="preserve">The Committee, acting under article 5 </w:t>
      </w:r>
      <w:r w:rsidR="00621825">
        <w:rPr>
          <w:lang w:val="en-GB"/>
        </w:rPr>
        <w:t>(</w:t>
      </w:r>
      <w:r w:rsidR="0069435E" w:rsidRPr="009845EF">
        <w:rPr>
          <w:lang w:val="en-GB"/>
        </w:rPr>
        <w:t>4</w:t>
      </w:r>
      <w:r w:rsidR="00621825">
        <w:rPr>
          <w:lang w:val="en-GB"/>
        </w:rPr>
        <w:t>)</w:t>
      </w:r>
      <w:r w:rsidR="0069435E" w:rsidRPr="009845EF">
        <w:rPr>
          <w:lang w:val="en-GB"/>
        </w:rPr>
        <w:t xml:space="preserve"> of the Optional Protocol, is of the view that the State party has violated the author</w:t>
      </w:r>
      <w:r w:rsidR="0069435E" w:rsidRPr="00173844">
        <w:rPr>
          <w:lang w:val="en-GB"/>
        </w:rPr>
        <w:t>’</w:t>
      </w:r>
      <w:r w:rsidR="0069435E" w:rsidRPr="009845EF">
        <w:rPr>
          <w:lang w:val="en-GB"/>
        </w:rPr>
        <w:t xml:space="preserve">s rights under articles 19 </w:t>
      </w:r>
      <w:r w:rsidR="00621825">
        <w:rPr>
          <w:lang w:val="en-GB"/>
        </w:rPr>
        <w:t>(</w:t>
      </w:r>
      <w:r w:rsidR="0069435E" w:rsidRPr="009845EF">
        <w:rPr>
          <w:lang w:val="en-GB"/>
        </w:rPr>
        <w:t>2</w:t>
      </w:r>
      <w:r w:rsidR="00621825">
        <w:rPr>
          <w:lang w:val="en-GB"/>
        </w:rPr>
        <w:t>)</w:t>
      </w:r>
      <w:r w:rsidR="0069435E" w:rsidRPr="009845EF">
        <w:rPr>
          <w:lang w:val="en-GB"/>
        </w:rPr>
        <w:t xml:space="preserve"> and 21 of the Covenant.</w:t>
      </w:r>
    </w:p>
    <w:p w:rsidR="0069435E" w:rsidRPr="009845EF" w:rsidRDefault="007C142F" w:rsidP="00143A2B">
      <w:pPr>
        <w:pStyle w:val="SingleTxtG"/>
        <w:rPr>
          <w:lang w:val="en-GB"/>
        </w:rPr>
      </w:pPr>
      <w:r>
        <w:rPr>
          <w:lang w:val="en-GB"/>
        </w:rPr>
        <w:t>9</w:t>
      </w:r>
      <w:r w:rsidR="0069435E" w:rsidRPr="009845EF">
        <w:rPr>
          <w:lang w:val="en-GB"/>
        </w:rPr>
        <w:t>.</w:t>
      </w:r>
      <w:r w:rsidR="0069435E" w:rsidRPr="00173844">
        <w:rPr>
          <w:lang w:val="en-GB"/>
        </w:rPr>
        <w:tab/>
      </w:r>
      <w:r w:rsidR="0069435E" w:rsidRPr="009845EF">
        <w:rPr>
          <w:lang w:val="en-GB"/>
        </w:rPr>
        <w:t xml:space="preserve">In accordance with article 2 </w:t>
      </w:r>
      <w:r w:rsidR="00621825">
        <w:rPr>
          <w:lang w:val="en-GB"/>
        </w:rPr>
        <w:t>(</w:t>
      </w:r>
      <w:r w:rsidR="0069435E" w:rsidRPr="009845EF">
        <w:rPr>
          <w:lang w:val="en-GB"/>
        </w:rPr>
        <w:t>3</w:t>
      </w:r>
      <w:r w:rsidR="00621825">
        <w:rPr>
          <w:lang w:val="en-GB"/>
        </w:rPr>
        <w:t xml:space="preserve">) </w:t>
      </w:r>
      <w:r w:rsidR="0069435E" w:rsidRPr="009845EF">
        <w:rPr>
          <w:lang w:val="en-GB"/>
        </w:rPr>
        <w:t xml:space="preserve">(a) of the Covenant, the State party is under an obligation to provide the author with an effective remedy. This requires it to make full reparation to individuals whose Covenant rights have been violated. Accordingly, the State party is obligated, inter alia, to provide </w:t>
      </w:r>
      <w:r w:rsidR="00621825">
        <w:rPr>
          <w:lang w:val="en-GB"/>
        </w:rPr>
        <w:t>the author with</w:t>
      </w:r>
      <w:r w:rsidR="00621825" w:rsidRPr="009845EF">
        <w:rPr>
          <w:lang w:val="en-GB"/>
        </w:rPr>
        <w:t xml:space="preserve"> </w:t>
      </w:r>
      <w:r w:rsidR="0069435E" w:rsidRPr="009845EF">
        <w:rPr>
          <w:lang w:val="en-GB"/>
        </w:rPr>
        <w:t xml:space="preserve">adequate compensation. The State party is also under an obligation to take steps to prevent similar violations in the future. In this connection, the Committee reiterates that the State party should review its legislation, in particular the </w:t>
      </w:r>
      <w:r w:rsidR="0069435E" w:rsidRPr="00F31325">
        <w:rPr>
          <w:lang w:val="en-GB"/>
        </w:rPr>
        <w:t xml:space="preserve">Law on </w:t>
      </w:r>
      <w:r w:rsidR="00F31325">
        <w:rPr>
          <w:lang w:val="en-GB"/>
        </w:rPr>
        <w:t>m</w:t>
      </w:r>
      <w:r w:rsidR="0069435E" w:rsidRPr="00F31325">
        <w:rPr>
          <w:lang w:val="en-GB"/>
        </w:rPr>
        <w:t xml:space="preserve">ass </w:t>
      </w:r>
      <w:r w:rsidR="00F31325">
        <w:rPr>
          <w:lang w:val="en-GB"/>
        </w:rPr>
        <w:t>e</w:t>
      </w:r>
      <w:r w:rsidR="0069435E" w:rsidRPr="00F31325">
        <w:rPr>
          <w:lang w:val="en-GB"/>
        </w:rPr>
        <w:t>vents</w:t>
      </w:r>
      <w:r w:rsidR="0069435E" w:rsidRPr="009845EF">
        <w:rPr>
          <w:lang w:val="en-GB"/>
        </w:rPr>
        <w:t xml:space="preserve"> of 30 December 1997, as it was applied in the present case, with a view to ensuring that the rights under articles 19 and 21 of the Covenant </w:t>
      </w:r>
      <w:r w:rsidR="00621825">
        <w:rPr>
          <w:lang w:val="en-GB"/>
        </w:rPr>
        <w:t>can</w:t>
      </w:r>
      <w:r w:rsidR="00621825" w:rsidRPr="009845EF">
        <w:rPr>
          <w:lang w:val="en-GB"/>
        </w:rPr>
        <w:t xml:space="preserve"> </w:t>
      </w:r>
      <w:r w:rsidR="0069435E" w:rsidRPr="009845EF">
        <w:rPr>
          <w:lang w:val="en-GB"/>
        </w:rPr>
        <w:t>be fully enjoyed in the State party.</w:t>
      </w:r>
      <w:r w:rsidR="0069435E" w:rsidRPr="008216A5">
        <w:rPr>
          <w:vertAlign w:val="superscript"/>
        </w:rPr>
        <w:footnoteReference w:id="12"/>
      </w:r>
      <w:r w:rsidR="00CF1B81" w:rsidRPr="00CF1B81">
        <w:rPr>
          <w:rStyle w:val="FootnoteReference"/>
        </w:rPr>
        <w:t xml:space="preserve"> </w:t>
      </w:r>
    </w:p>
    <w:p w:rsidR="0069435E" w:rsidRPr="009845EF" w:rsidRDefault="007C142F" w:rsidP="00143A2B">
      <w:pPr>
        <w:pStyle w:val="SingleTxtG"/>
        <w:rPr>
          <w:lang w:val="en-GB"/>
        </w:rPr>
      </w:pPr>
      <w:r w:rsidRPr="009845EF">
        <w:rPr>
          <w:lang w:val="en-GB"/>
        </w:rPr>
        <w:t>1</w:t>
      </w:r>
      <w:r>
        <w:rPr>
          <w:lang w:val="en-GB"/>
        </w:rPr>
        <w:t>0</w:t>
      </w:r>
      <w:r w:rsidR="0069435E" w:rsidRPr="009845EF">
        <w:rPr>
          <w:lang w:val="en-GB"/>
        </w:rPr>
        <w:t>.</w:t>
      </w:r>
      <w:r w:rsidR="0069435E" w:rsidRPr="00173844">
        <w:rPr>
          <w:lang w:val="en-GB"/>
        </w:rPr>
        <w:tab/>
      </w:r>
      <w:r w:rsidR="0069435E" w:rsidRPr="009845EF">
        <w:rPr>
          <w:lang w:val="en-GB"/>
        </w:rPr>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69435E" w:rsidRPr="00173844">
        <w:rPr>
          <w:lang w:val="en-GB"/>
        </w:rPr>
        <w:t>’</w:t>
      </w:r>
      <w:r w:rsidR="0069435E" w:rsidRPr="009845EF">
        <w:rPr>
          <w:lang w:val="en-GB"/>
        </w:rPr>
        <w:t xml:space="preserve">s Views. The State party is also requested to publish the present Views and </w:t>
      </w:r>
      <w:r w:rsidR="0069435E" w:rsidRPr="008216A5">
        <w:rPr>
          <w:lang w:val="en-US"/>
        </w:rPr>
        <w:t xml:space="preserve">to have them widely disseminated </w:t>
      </w:r>
      <w:r w:rsidR="00621825" w:rsidRPr="008216A5">
        <w:rPr>
          <w:lang w:val="en-US"/>
        </w:rPr>
        <w:t xml:space="preserve">in the State party </w:t>
      </w:r>
      <w:r w:rsidR="0069435E" w:rsidRPr="008216A5">
        <w:rPr>
          <w:lang w:val="en-US"/>
        </w:rPr>
        <w:t>in Belarusian and Russian</w:t>
      </w:r>
      <w:r w:rsidR="0069435E" w:rsidRPr="009845EF">
        <w:rPr>
          <w:lang w:val="en-GB"/>
        </w:rPr>
        <w:t>.</w:t>
      </w:r>
    </w:p>
    <w:p w:rsidR="0069435E" w:rsidRPr="009845EF" w:rsidRDefault="0069435E" w:rsidP="00D4204C">
      <w:pPr>
        <w:pStyle w:val="SingleTxtG"/>
        <w:spacing w:before="240" w:after="0"/>
        <w:jc w:val="center"/>
        <w:rPr>
          <w:u w:val="single"/>
          <w:lang w:val="en-GB"/>
        </w:rPr>
      </w:pPr>
      <w:r w:rsidRPr="00173844">
        <w:rPr>
          <w:u w:val="single"/>
          <w:lang w:val="en-GB"/>
        </w:rPr>
        <w:tab/>
      </w:r>
      <w:r w:rsidRPr="00173844">
        <w:rPr>
          <w:u w:val="single"/>
          <w:lang w:val="en-GB"/>
        </w:rPr>
        <w:tab/>
      </w:r>
      <w:r w:rsidRPr="00173844">
        <w:rPr>
          <w:u w:val="single"/>
          <w:lang w:val="en-GB"/>
        </w:rPr>
        <w:tab/>
      </w:r>
    </w:p>
    <w:sectPr w:rsidR="0069435E" w:rsidRPr="009845EF" w:rsidSect="0010012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D97" w:rsidRDefault="00732D97"/>
  </w:endnote>
  <w:endnote w:type="continuationSeparator" w:id="0">
    <w:p w:rsidR="00732D97" w:rsidRDefault="00732D97"/>
  </w:endnote>
  <w:endnote w:type="continuationNotice" w:id="1">
    <w:p w:rsidR="00732D97" w:rsidRDefault="00732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5E" w:rsidRPr="000E6770" w:rsidRDefault="0069435E" w:rsidP="000E6770">
    <w:pPr>
      <w:pStyle w:val="Footer"/>
      <w:tabs>
        <w:tab w:val="right" w:pos="9638"/>
      </w:tabs>
    </w:pPr>
    <w:r w:rsidRPr="000E6770">
      <w:rPr>
        <w:b/>
        <w:sz w:val="18"/>
      </w:rPr>
      <w:fldChar w:fldCharType="begin"/>
    </w:r>
    <w:r w:rsidRPr="000E6770">
      <w:rPr>
        <w:b/>
        <w:sz w:val="18"/>
      </w:rPr>
      <w:instrText xml:space="preserve"> PAGE  \* MERGEFORMAT </w:instrText>
    </w:r>
    <w:r w:rsidRPr="000E6770">
      <w:rPr>
        <w:b/>
        <w:sz w:val="18"/>
      </w:rPr>
      <w:fldChar w:fldCharType="separate"/>
    </w:r>
    <w:r w:rsidR="00B71843">
      <w:rPr>
        <w:b/>
        <w:noProof/>
        <w:sz w:val="18"/>
      </w:rPr>
      <w:t>2</w:t>
    </w:r>
    <w:r w:rsidRPr="000E677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5E" w:rsidRPr="000E6770" w:rsidRDefault="0069435E" w:rsidP="000E6770">
    <w:pPr>
      <w:pStyle w:val="Footer"/>
      <w:tabs>
        <w:tab w:val="right" w:pos="9638"/>
      </w:tabs>
      <w:rPr>
        <w:b/>
        <w:sz w:val="18"/>
      </w:rPr>
    </w:pPr>
    <w:r>
      <w:rPr>
        <w:sz w:val="20"/>
      </w:rPr>
      <w:tab/>
    </w:r>
    <w:r w:rsidRPr="000E6770">
      <w:rPr>
        <w:b/>
        <w:sz w:val="18"/>
      </w:rPr>
      <w:fldChar w:fldCharType="begin"/>
    </w:r>
    <w:r w:rsidRPr="000E6770">
      <w:rPr>
        <w:b/>
        <w:sz w:val="18"/>
      </w:rPr>
      <w:instrText xml:space="preserve"> PAGE  \* MERGEFORMAT </w:instrText>
    </w:r>
    <w:r w:rsidRPr="000E6770">
      <w:rPr>
        <w:b/>
        <w:sz w:val="18"/>
      </w:rPr>
      <w:fldChar w:fldCharType="separate"/>
    </w:r>
    <w:r w:rsidR="00B71843">
      <w:rPr>
        <w:b/>
        <w:noProof/>
        <w:sz w:val="18"/>
      </w:rPr>
      <w:t>3</w:t>
    </w:r>
    <w:r w:rsidRPr="000E677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BD" w:rsidRDefault="008261BD" w:rsidP="008261BD">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261BD" w:rsidRDefault="008261BD" w:rsidP="008261BD">
    <w:pPr>
      <w:pStyle w:val="Footer"/>
      <w:ind w:right="1134"/>
      <w:rPr>
        <w:sz w:val="20"/>
      </w:rPr>
    </w:pPr>
    <w:r>
      <w:rPr>
        <w:sz w:val="20"/>
      </w:rPr>
      <w:t>GE.16-07651(E)</w:t>
    </w:r>
  </w:p>
  <w:p w:rsidR="008261BD" w:rsidRPr="008261BD" w:rsidRDefault="008261BD" w:rsidP="008261B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1" name="Picture 1" descr="http://undocs.org/m2/QRCode.ashx?DS=CCPR/C/116/D/2092/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092/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D97" w:rsidRPr="000B175B" w:rsidRDefault="00732D97" w:rsidP="000B175B">
      <w:pPr>
        <w:tabs>
          <w:tab w:val="right" w:pos="2155"/>
        </w:tabs>
        <w:spacing w:after="80"/>
        <w:ind w:left="680"/>
        <w:rPr>
          <w:u w:val="single"/>
        </w:rPr>
      </w:pPr>
      <w:r>
        <w:rPr>
          <w:u w:val="single"/>
        </w:rPr>
        <w:tab/>
      </w:r>
    </w:p>
  </w:footnote>
  <w:footnote w:type="continuationSeparator" w:id="0">
    <w:p w:rsidR="00732D97" w:rsidRPr="00FC68B7" w:rsidRDefault="00732D97" w:rsidP="00FC68B7">
      <w:pPr>
        <w:tabs>
          <w:tab w:val="left" w:pos="2155"/>
        </w:tabs>
        <w:spacing w:after="80"/>
        <w:ind w:left="680"/>
        <w:rPr>
          <w:u w:val="single"/>
        </w:rPr>
      </w:pPr>
      <w:r>
        <w:rPr>
          <w:u w:val="single"/>
        </w:rPr>
        <w:tab/>
      </w:r>
    </w:p>
  </w:footnote>
  <w:footnote w:type="continuationNotice" w:id="1">
    <w:p w:rsidR="00732D97" w:rsidRDefault="00732D97"/>
  </w:footnote>
  <w:footnote w:id="2">
    <w:p w:rsidR="00E92129" w:rsidRPr="0010012C" w:rsidRDefault="00E92129" w:rsidP="00E92129">
      <w:pPr>
        <w:pStyle w:val="FootnoteText"/>
      </w:pPr>
      <w:r>
        <w:rPr>
          <w:rStyle w:val="FootnoteReference"/>
        </w:rPr>
        <w:tab/>
      </w:r>
      <w:r w:rsidRPr="0010012C">
        <w:rPr>
          <w:rStyle w:val="FootnoteReference"/>
          <w:sz w:val="20"/>
          <w:vertAlign w:val="baseline"/>
        </w:rPr>
        <w:t>*</w:t>
      </w:r>
      <w:r w:rsidRPr="00624F6B">
        <w:rPr>
          <w:rStyle w:val="FootnoteReference"/>
          <w:vertAlign w:val="baseline"/>
        </w:rPr>
        <w:tab/>
      </w:r>
      <w:r>
        <w:t xml:space="preserve">Adopted by the Committee </w:t>
      </w:r>
      <w:r w:rsidRPr="009E4187">
        <w:t xml:space="preserve">at its </w:t>
      </w:r>
      <w:r w:rsidRPr="0010012C">
        <w:t>116th</w:t>
      </w:r>
      <w:r w:rsidRPr="009E4187">
        <w:t xml:space="preserve"> session (</w:t>
      </w:r>
      <w:r w:rsidRPr="0010012C">
        <w:t>7-31 March 2016</w:t>
      </w:r>
      <w:r w:rsidRPr="009E4187">
        <w:t>).</w:t>
      </w:r>
    </w:p>
  </w:footnote>
  <w:footnote w:id="3">
    <w:p w:rsidR="00E92129" w:rsidRPr="0010012C" w:rsidRDefault="00E92129" w:rsidP="00E92129">
      <w:pPr>
        <w:pStyle w:val="FootnoteText"/>
      </w:pPr>
      <w:r w:rsidRPr="0010012C">
        <w:rPr>
          <w:rStyle w:val="FootnoteReference"/>
          <w:sz w:val="20"/>
          <w:vertAlign w:val="baseline"/>
        </w:rPr>
        <w:tab/>
        <w:t>**</w:t>
      </w:r>
      <w:r w:rsidRPr="0010012C">
        <w:tab/>
      </w:r>
      <w:r>
        <w:t>The following members of the Committee participated in the examination of the communication:</w:t>
      </w:r>
      <w:r w:rsidRPr="00465BDB">
        <w:t xml:space="preserve"> </w:t>
      </w:r>
      <w:r w:rsidRPr="00C455EA">
        <w:rPr>
          <w:szCs w:val="18"/>
        </w:rPr>
        <w:t xml:space="preserve">Yadh </w:t>
      </w:r>
      <w:r>
        <w:rPr>
          <w:szCs w:val="18"/>
        </w:rPr>
        <w:t xml:space="preserve">Ben Achour, </w:t>
      </w:r>
      <w:r w:rsidRPr="00C455EA">
        <w:rPr>
          <w:szCs w:val="18"/>
        </w:rPr>
        <w:t>Lazhari Bouzid</w:t>
      </w:r>
      <w:r>
        <w:rPr>
          <w:szCs w:val="18"/>
        </w:rPr>
        <w:t xml:space="preserve">, </w:t>
      </w:r>
      <w:r w:rsidRPr="00C455EA">
        <w:rPr>
          <w:szCs w:val="18"/>
        </w:rPr>
        <w:t>Sarah Cleveland</w:t>
      </w:r>
      <w:r>
        <w:rPr>
          <w:szCs w:val="18"/>
        </w:rPr>
        <w:t xml:space="preserve">, </w:t>
      </w:r>
      <w:r w:rsidRPr="00C455EA">
        <w:rPr>
          <w:szCs w:val="18"/>
        </w:rPr>
        <w:t>Ahmed Amin Fathalla</w:t>
      </w:r>
      <w:r>
        <w:rPr>
          <w:szCs w:val="18"/>
        </w:rPr>
        <w:t xml:space="preserve">, </w:t>
      </w:r>
      <w:r w:rsidR="00624F6B">
        <w:rPr>
          <w:szCs w:val="18"/>
        </w:rPr>
        <w:t xml:space="preserve">Olivier de Frouville, </w:t>
      </w:r>
      <w:r w:rsidRPr="00C455EA">
        <w:rPr>
          <w:szCs w:val="18"/>
        </w:rPr>
        <w:t>Yuji Iwasawa</w:t>
      </w:r>
      <w:r>
        <w:rPr>
          <w:szCs w:val="18"/>
        </w:rPr>
        <w:t>, Ivana Jeli</w:t>
      </w:r>
      <w:r w:rsidR="00624F6B">
        <w:rPr>
          <w:szCs w:val="18"/>
        </w:rPr>
        <w:t>ć</w:t>
      </w:r>
      <w:r>
        <w:rPr>
          <w:szCs w:val="18"/>
        </w:rPr>
        <w:t xml:space="preserve">, </w:t>
      </w:r>
      <w:r w:rsidRPr="00C455EA">
        <w:rPr>
          <w:szCs w:val="18"/>
        </w:rPr>
        <w:t xml:space="preserve">Duncan </w:t>
      </w:r>
      <w:r w:rsidR="00624F6B" w:rsidRPr="00C455EA">
        <w:rPr>
          <w:szCs w:val="18"/>
        </w:rPr>
        <w:t xml:space="preserve">Laki </w:t>
      </w:r>
      <w:r w:rsidRPr="00C455EA">
        <w:rPr>
          <w:szCs w:val="18"/>
        </w:rPr>
        <w:t>Muhumuza</w:t>
      </w:r>
      <w:r>
        <w:rPr>
          <w:szCs w:val="18"/>
        </w:rPr>
        <w:t xml:space="preserve">, </w:t>
      </w:r>
      <w:r w:rsidRPr="00C455EA">
        <w:rPr>
          <w:szCs w:val="18"/>
        </w:rPr>
        <w:t>Photini Pazartzis</w:t>
      </w:r>
      <w:r>
        <w:rPr>
          <w:szCs w:val="18"/>
        </w:rPr>
        <w:t xml:space="preserve">, </w:t>
      </w:r>
      <w:r>
        <w:rPr>
          <w:bCs/>
          <w:szCs w:val="18"/>
        </w:rPr>
        <w:t>Sir</w:t>
      </w:r>
      <w:r>
        <w:rPr>
          <w:szCs w:val="18"/>
        </w:rPr>
        <w:t xml:space="preserve"> Nigel Rodley, </w:t>
      </w:r>
      <w:r w:rsidRPr="00C455EA">
        <w:rPr>
          <w:szCs w:val="18"/>
        </w:rPr>
        <w:t>V</w:t>
      </w:r>
      <w:r w:rsidR="00624F6B">
        <w:rPr>
          <w:szCs w:val="18"/>
        </w:rPr>
        <w:t>í</w:t>
      </w:r>
      <w:r w:rsidRPr="00C455EA">
        <w:rPr>
          <w:szCs w:val="18"/>
        </w:rPr>
        <w:t>ctor</w:t>
      </w:r>
      <w:r w:rsidR="0025030E">
        <w:rPr>
          <w:szCs w:val="18"/>
        </w:rPr>
        <w:t> </w:t>
      </w:r>
      <w:r w:rsidRPr="00C455EA">
        <w:rPr>
          <w:szCs w:val="18"/>
        </w:rPr>
        <w:t>Manuel Rodríguez-Rescia</w:t>
      </w:r>
      <w:r>
        <w:rPr>
          <w:szCs w:val="18"/>
        </w:rPr>
        <w:t xml:space="preserve">, </w:t>
      </w:r>
      <w:r w:rsidRPr="00C455EA">
        <w:rPr>
          <w:szCs w:val="18"/>
        </w:rPr>
        <w:t>Fabián Omar Salvioli</w:t>
      </w:r>
      <w:r>
        <w:rPr>
          <w:szCs w:val="18"/>
        </w:rPr>
        <w:t xml:space="preserve">, </w:t>
      </w:r>
      <w:r w:rsidRPr="00C455EA">
        <w:rPr>
          <w:szCs w:val="18"/>
        </w:rPr>
        <w:t>Dheerujlall Seetulsingh</w:t>
      </w:r>
      <w:r>
        <w:rPr>
          <w:szCs w:val="18"/>
        </w:rPr>
        <w:t xml:space="preserve">, </w:t>
      </w:r>
      <w:r w:rsidRPr="00C455EA">
        <w:rPr>
          <w:szCs w:val="18"/>
        </w:rPr>
        <w:t>Anja Seibert-Fohr</w:t>
      </w:r>
      <w:r>
        <w:rPr>
          <w:szCs w:val="18"/>
        </w:rPr>
        <w:t xml:space="preserve">, </w:t>
      </w:r>
      <w:r w:rsidRPr="00C455EA">
        <w:rPr>
          <w:szCs w:val="18"/>
        </w:rPr>
        <w:t>Yuval Shany</w:t>
      </w:r>
      <w:r>
        <w:rPr>
          <w:szCs w:val="18"/>
        </w:rPr>
        <w:t xml:space="preserve">, </w:t>
      </w:r>
      <w:r w:rsidRPr="00C455EA">
        <w:rPr>
          <w:szCs w:val="18"/>
        </w:rPr>
        <w:t>Konstantine Vardzelashvili</w:t>
      </w:r>
      <w:r>
        <w:rPr>
          <w:szCs w:val="18"/>
        </w:rPr>
        <w:t xml:space="preserve"> and </w:t>
      </w:r>
      <w:r w:rsidRPr="00C455EA">
        <w:rPr>
          <w:szCs w:val="18"/>
        </w:rPr>
        <w:t>Margo Waterval</w:t>
      </w:r>
      <w:r w:rsidRPr="00686139">
        <w:t>.</w:t>
      </w:r>
    </w:p>
  </w:footnote>
  <w:footnote w:id="4">
    <w:p w:rsidR="0069435E" w:rsidRDefault="0069435E">
      <w:pPr>
        <w:pStyle w:val="FootnoteText"/>
      </w:pPr>
      <w:r w:rsidRPr="00173844">
        <w:rPr>
          <w:lang w:val="en-GB"/>
        </w:rPr>
        <w:tab/>
      </w:r>
      <w:r>
        <w:rPr>
          <w:rStyle w:val="FootnoteReference"/>
        </w:rPr>
        <w:footnoteRef/>
      </w:r>
      <w:r w:rsidRPr="00173844">
        <w:rPr>
          <w:lang w:val="en-GB"/>
        </w:rPr>
        <w:tab/>
      </w:r>
      <w:r w:rsidRPr="009845EF">
        <w:rPr>
          <w:lang w:val="en-GB"/>
        </w:rPr>
        <w:t xml:space="preserve">The </w:t>
      </w:r>
      <w:r w:rsidRPr="00031AD2">
        <w:t xml:space="preserve">author is the head of </w:t>
      </w:r>
      <w:r w:rsidR="0010012C">
        <w:t xml:space="preserve">the </w:t>
      </w:r>
      <w:r w:rsidR="00606782">
        <w:t>lesbian, gay, bisexual and transgender h</w:t>
      </w:r>
      <w:r w:rsidRPr="00031AD2">
        <w:t>uma</w:t>
      </w:r>
      <w:r>
        <w:t xml:space="preserve">n </w:t>
      </w:r>
      <w:r w:rsidR="00606782">
        <w:t>r</w:t>
      </w:r>
      <w:r>
        <w:t xml:space="preserve">ights project </w:t>
      </w:r>
      <w:r w:rsidR="00BB588E">
        <w:t>“</w:t>
      </w:r>
      <w:r>
        <w:t>Gay</w:t>
      </w:r>
      <w:r w:rsidR="00606782">
        <w:t xml:space="preserve"> </w:t>
      </w:r>
      <w:r>
        <w:t>Belarus</w:t>
      </w:r>
      <w:r w:rsidR="00BB588E">
        <w:t>”</w:t>
      </w:r>
      <w:r w:rsidR="00183D40">
        <w:t>.</w:t>
      </w:r>
    </w:p>
  </w:footnote>
  <w:footnote w:id="5">
    <w:p w:rsidR="0069435E" w:rsidRDefault="00C601D8">
      <w:pPr>
        <w:pStyle w:val="FootnoteText"/>
      </w:pPr>
      <w:r>
        <w:rPr>
          <w:lang w:val="en-GB"/>
        </w:rPr>
        <w:tab/>
      </w:r>
      <w:r w:rsidR="0069435E">
        <w:rPr>
          <w:rStyle w:val="FootnoteReference"/>
        </w:rPr>
        <w:footnoteRef/>
      </w:r>
      <w:r>
        <w:rPr>
          <w:lang w:val="en-GB"/>
        </w:rPr>
        <w:tab/>
      </w:r>
      <w:r w:rsidR="0069435E" w:rsidRPr="009845EF">
        <w:rPr>
          <w:lang w:val="en-GB"/>
        </w:rPr>
        <w:t xml:space="preserve">The equivalent of </w:t>
      </w:r>
      <w:r w:rsidR="00606782">
        <w:rPr>
          <w:lang w:val="en-GB"/>
        </w:rPr>
        <w:t>€</w:t>
      </w:r>
      <w:r w:rsidR="0069435E" w:rsidRPr="009845EF">
        <w:rPr>
          <w:lang w:val="en-GB"/>
        </w:rPr>
        <w:t>212.38.</w:t>
      </w:r>
    </w:p>
  </w:footnote>
  <w:footnote w:id="6">
    <w:p w:rsidR="0069435E" w:rsidRDefault="0069435E" w:rsidP="00832FBA">
      <w:pPr>
        <w:pStyle w:val="FootnoteText"/>
      </w:pPr>
      <w:r w:rsidRPr="00173844">
        <w:rPr>
          <w:lang w:val="en-GB"/>
        </w:rPr>
        <w:tab/>
      </w:r>
      <w:r w:rsidRPr="00680B8C">
        <w:rPr>
          <w:rStyle w:val="FootnoteReference"/>
        </w:rPr>
        <w:footnoteRef/>
      </w:r>
      <w:r w:rsidRPr="00173844">
        <w:rPr>
          <w:lang w:val="en-GB"/>
        </w:rPr>
        <w:tab/>
      </w:r>
      <w:r w:rsidR="00606782">
        <w:rPr>
          <w:lang w:val="en-GB"/>
        </w:rPr>
        <w:t>See c</w:t>
      </w:r>
      <w:r w:rsidRPr="009845EF">
        <w:rPr>
          <w:lang w:val="en-GB"/>
        </w:rPr>
        <w:t>ommunication No.</w:t>
      </w:r>
      <w:r w:rsidRPr="00173844">
        <w:rPr>
          <w:lang w:val="en-GB"/>
        </w:rPr>
        <w:t> </w:t>
      </w:r>
      <w:r w:rsidRPr="009845EF">
        <w:rPr>
          <w:lang w:val="en-GB"/>
        </w:rPr>
        <w:t xml:space="preserve">1022/2001, </w:t>
      </w:r>
      <w:r w:rsidRPr="009845EF">
        <w:rPr>
          <w:i/>
          <w:iCs/>
          <w:lang w:val="en-GB"/>
        </w:rPr>
        <w:t>Velichkin</w:t>
      </w:r>
      <w:r w:rsidRPr="009845EF">
        <w:rPr>
          <w:lang w:val="en-GB"/>
        </w:rPr>
        <w:t xml:space="preserve"> </w:t>
      </w:r>
      <w:r w:rsidRPr="0010012C">
        <w:rPr>
          <w:i/>
          <w:iCs/>
        </w:rPr>
        <w:t>v.</w:t>
      </w:r>
      <w:r w:rsidRPr="009845EF">
        <w:rPr>
          <w:lang w:val="en-GB"/>
        </w:rPr>
        <w:t xml:space="preserve"> </w:t>
      </w:r>
      <w:r w:rsidRPr="009845EF">
        <w:rPr>
          <w:i/>
          <w:iCs/>
          <w:lang w:val="en-GB"/>
        </w:rPr>
        <w:t>Belarus</w:t>
      </w:r>
      <w:r w:rsidRPr="009845EF">
        <w:rPr>
          <w:lang w:val="en-GB"/>
        </w:rPr>
        <w:t>, Views adopted on 20 October 2005, para.</w:t>
      </w:r>
      <w:r w:rsidRPr="00173844">
        <w:rPr>
          <w:lang w:val="en-GB"/>
        </w:rPr>
        <w:t> </w:t>
      </w:r>
      <w:r w:rsidRPr="009845EF">
        <w:rPr>
          <w:lang w:val="en-GB"/>
        </w:rPr>
        <w:t>7.2.</w:t>
      </w:r>
    </w:p>
  </w:footnote>
  <w:footnote w:id="7">
    <w:p w:rsidR="0069435E" w:rsidRDefault="0069435E" w:rsidP="00832FBA">
      <w:pPr>
        <w:pStyle w:val="FootnoteText"/>
      </w:pPr>
      <w:r w:rsidRPr="00173844">
        <w:rPr>
          <w:lang w:val="en-GB"/>
        </w:rPr>
        <w:tab/>
      </w:r>
      <w:r w:rsidRPr="00680B8C">
        <w:rPr>
          <w:rStyle w:val="FootnoteReference"/>
        </w:rPr>
        <w:footnoteRef/>
      </w:r>
      <w:r w:rsidRPr="00173844">
        <w:rPr>
          <w:lang w:val="en-GB"/>
        </w:rPr>
        <w:tab/>
      </w:r>
      <w:r w:rsidR="00606782">
        <w:rPr>
          <w:lang w:val="en-GB"/>
        </w:rPr>
        <w:t>See c</w:t>
      </w:r>
      <w:r w:rsidRPr="009845EF">
        <w:rPr>
          <w:lang w:val="en-GB"/>
        </w:rPr>
        <w:t>ommunication No.</w:t>
      </w:r>
      <w:r w:rsidRPr="00173844">
        <w:rPr>
          <w:lang w:val="en-GB"/>
        </w:rPr>
        <w:t> </w:t>
      </w:r>
      <w:r w:rsidRPr="009845EF">
        <w:rPr>
          <w:lang w:val="en-GB"/>
        </w:rPr>
        <w:t xml:space="preserve">628/1995, </w:t>
      </w:r>
      <w:r w:rsidRPr="009845EF">
        <w:rPr>
          <w:i/>
          <w:iCs/>
          <w:lang w:val="en-GB"/>
        </w:rPr>
        <w:t>Tae Hoon Park</w:t>
      </w:r>
      <w:r w:rsidRPr="009845EF">
        <w:rPr>
          <w:lang w:val="en-GB"/>
        </w:rPr>
        <w:t xml:space="preserve"> </w:t>
      </w:r>
      <w:r w:rsidRPr="0010012C">
        <w:rPr>
          <w:i/>
          <w:iCs/>
        </w:rPr>
        <w:t>v.</w:t>
      </w:r>
      <w:r w:rsidRPr="009845EF">
        <w:rPr>
          <w:lang w:val="en-GB"/>
        </w:rPr>
        <w:t xml:space="preserve"> </w:t>
      </w:r>
      <w:r w:rsidRPr="009845EF">
        <w:rPr>
          <w:i/>
          <w:iCs/>
          <w:lang w:val="en-GB"/>
        </w:rPr>
        <w:t>Republic of Korea</w:t>
      </w:r>
      <w:r w:rsidRPr="009845EF">
        <w:rPr>
          <w:lang w:val="en-GB"/>
        </w:rPr>
        <w:t xml:space="preserve">, Views adopted on </w:t>
      </w:r>
      <w:r w:rsidR="00606782">
        <w:rPr>
          <w:lang w:val="en-GB"/>
        </w:rPr>
        <w:t>3 November</w:t>
      </w:r>
      <w:r w:rsidRPr="009845EF">
        <w:rPr>
          <w:lang w:val="en-GB"/>
        </w:rPr>
        <w:t xml:space="preserve"> 1998, para.</w:t>
      </w:r>
      <w:r w:rsidRPr="00173844">
        <w:rPr>
          <w:lang w:val="en-GB"/>
        </w:rPr>
        <w:t> </w:t>
      </w:r>
      <w:r w:rsidRPr="009845EF">
        <w:rPr>
          <w:lang w:val="en-GB"/>
        </w:rPr>
        <w:t>10.4.</w:t>
      </w:r>
    </w:p>
  </w:footnote>
  <w:footnote w:id="8">
    <w:p w:rsidR="0069435E" w:rsidRDefault="0069435E">
      <w:pPr>
        <w:pStyle w:val="FootnoteText"/>
      </w:pPr>
      <w:r w:rsidRPr="00173844">
        <w:rPr>
          <w:lang w:val="en-GB"/>
        </w:rPr>
        <w:tab/>
      </w:r>
      <w:r>
        <w:rPr>
          <w:rStyle w:val="FootnoteReference"/>
        </w:rPr>
        <w:footnoteRef/>
      </w:r>
      <w:r w:rsidRPr="00173844">
        <w:rPr>
          <w:lang w:val="en-GB"/>
        </w:rPr>
        <w:tab/>
      </w:r>
      <w:r w:rsidRPr="009845EF">
        <w:rPr>
          <w:lang w:val="en-GB"/>
        </w:rPr>
        <w:t xml:space="preserve">See communication No. 1418/2005, </w:t>
      </w:r>
      <w:r w:rsidRPr="009845EF">
        <w:rPr>
          <w:i/>
          <w:lang w:val="en-GB"/>
        </w:rPr>
        <w:t xml:space="preserve">Iskiyaev v. Uzbekistan, </w:t>
      </w:r>
      <w:r w:rsidRPr="009845EF">
        <w:rPr>
          <w:lang w:val="en-GB"/>
        </w:rPr>
        <w:t xml:space="preserve">Views adopted on 20 March 2009, </w:t>
      </w:r>
      <w:r w:rsidR="00606782">
        <w:rPr>
          <w:lang w:val="en-GB"/>
        </w:rPr>
        <w:t>note</w:t>
      </w:r>
      <w:r w:rsidR="000763D5">
        <w:rPr>
          <w:lang w:val="en-GB"/>
        </w:rPr>
        <w:t xml:space="preserve"> </w:t>
      </w:r>
      <w:r w:rsidRPr="009845EF">
        <w:rPr>
          <w:lang w:val="en-GB"/>
        </w:rPr>
        <w:t>7</w:t>
      </w:r>
      <w:r w:rsidR="00BB588E">
        <w:rPr>
          <w:lang w:val="en-GB"/>
        </w:rPr>
        <w:t>.</w:t>
      </w:r>
    </w:p>
  </w:footnote>
  <w:footnote w:id="9">
    <w:p w:rsidR="0069435E" w:rsidRDefault="0069435E" w:rsidP="00123B12">
      <w:pPr>
        <w:pStyle w:val="FootnoteText"/>
      </w:pPr>
      <w:r w:rsidRPr="00173844">
        <w:rPr>
          <w:lang w:val="en-GB"/>
        </w:rPr>
        <w:tab/>
      </w:r>
      <w:r>
        <w:rPr>
          <w:rStyle w:val="FootnoteReference"/>
        </w:rPr>
        <w:footnoteRef/>
      </w:r>
      <w:r w:rsidRPr="009845EF">
        <w:rPr>
          <w:lang w:val="en-GB"/>
        </w:rPr>
        <w:t xml:space="preserve"> </w:t>
      </w:r>
      <w:r w:rsidRPr="00173844">
        <w:rPr>
          <w:lang w:val="en-GB"/>
        </w:rPr>
        <w:tab/>
        <w:t> </w:t>
      </w:r>
      <w:r w:rsidR="00CF3CAC">
        <w:rPr>
          <w:lang w:val="en-GB"/>
        </w:rPr>
        <w:t>See c</w:t>
      </w:r>
      <w:r w:rsidRPr="009845EF">
        <w:rPr>
          <w:lang w:val="en-GB"/>
        </w:rPr>
        <w:t>ommunication</w:t>
      </w:r>
      <w:r w:rsidR="00CF3CAC">
        <w:rPr>
          <w:lang w:val="en-GB"/>
        </w:rPr>
        <w:t>s</w:t>
      </w:r>
      <w:r w:rsidRPr="009845EF">
        <w:rPr>
          <w:lang w:val="en-GB"/>
        </w:rPr>
        <w:t xml:space="preserve"> No. 836/1998, </w:t>
      </w:r>
      <w:r w:rsidRPr="009845EF">
        <w:rPr>
          <w:i/>
          <w:lang w:val="en-GB"/>
        </w:rPr>
        <w:t>Gelazauskas</w:t>
      </w:r>
      <w:r w:rsidRPr="00173844">
        <w:rPr>
          <w:i/>
          <w:lang w:val="en-GB"/>
        </w:rPr>
        <w:t> </w:t>
      </w:r>
      <w:r w:rsidRPr="009845EF">
        <w:rPr>
          <w:i/>
          <w:lang w:val="en-GB"/>
        </w:rPr>
        <w:t>v. Lithuania</w:t>
      </w:r>
      <w:r w:rsidRPr="009845EF">
        <w:rPr>
          <w:lang w:val="en-GB"/>
        </w:rPr>
        <w:t xml:space="preserve">, </w:t>
      </w:r>
      <w:r w:rsidR="00CF3CAC">
        <w:rPr>
          <w:lang w:val="en-GB"/>
        </w:rPr>
        <w:t xml:space="preserve">Views adopted on 17 March 2003, </w:t>
      </w:r>
      <w:r w:rsidRPr="009845EF">
        <w:rPr>
          <w:lang w:val="en-GB"/>
        </w:rPr>
        <w:t xml:space="preserve">para 7.4; </w:t>
      </w:r>
      <w:r w:rsidR="000763D5">
        <w:rPr>
          <w:lang w:val="en-GB"/>
        </w:rPr>
        <w:t>No.</w:t>
      </w:r>
      <w:r w:rsidRPr="009845EF">
        <w:rPr>
          <w:lang w:val="en-GB"/>
        </w:rPr>
        <w:t xml:space="preserve"> 1851/2008, </w:t>
      </w:r>
      <w:r w:rsidR="00CF3CAC" w:rsidRPr="0010012C">
        <w:rPr>
          <w:i/>
          <w:lang w:val="en-GB"/>
        </w:rPr>
        <w:t>Serkerko v. Belarus</w:t>
      </w:r>
      <w:r w:rsidR="00CF3CAC">
        <w:rPr>
          <w:lang w:val="en-GB"/>
        </w:rPr>
        <w:t xml:space="preserve">, Views adopted on 28 October 2013, </w:t>
      </w:r>
      <w:r w:rsidR="000763D5">
        <w:rPr>
          <w:lang w:val="en-GB"/>
        </w:rPr>
        <w:t>para 8.3</w:t>
      </w:r>
      <w:r w:rsidRPr="009845EF">
        <w:rPr>
          <w:lang w:val="en-GB"/>
        </w:rPr>
        <w:t xml:space="preserve">; </w:t>
      </w:r>
      <w:r w:rsidR="00CF3CAC">
        <w:rPr>
          <w:lang w:val="en-GB"/>
        </w:rPr>
        <w:t xml:space="preserve"> Nos. 1919-1920/2009, </w:t>
      </w:r>
      <w:r w:rsidRPr="009845EF">
        <w:rPr>
          <w:i/>
          <w:lang w:val="en-GB"/>
        </w:rPr>
        <w:t>Protsko and Tolchin</w:t>
      </w:r>
      <w:r w:rsidR="00CF3CAC">
        <w:rPr>
          <w:i/>
          <w:lang w:val="en-GB"/>
        </w:rPr>
        <w:t xml:space="preserve"> v. Belarus</w:t>
      </w:r>
      <w:r w:rsidRPr="009845EF">
        <w:rPr>
          <w:lang w:val="en-GB"/>
        </w:rPr>
        <w:t xml:space="preserve">, </w:t>
      </w:r>
      <w:r w:rsidR="001628AD">
        <w:rPr>
          <w:lang w:val="en-GB"/>
        </w:rPr>
        <w:t xml:space="preserve">Views adopted on 1 November 2013, </w:t>
      </w:r>
      <w:r w:rsidRPr="009845EF">
        <w:rPr>
          <w:lang w:val="en-GB"/>
        </w:rPr>
        <w:t xml:space="preserve">para. 6.5; </w:t>
      </w:r>
      <w:r w:rsidRPr="009845EF">
        <w:rPr>
          <w:szCs w:val="18"/>
          <w:lang w:val="en-GB"/>
        </w:rPr>
        <w:t xml:space="preserve">No. 1784/2008, </w:t>
      </w:r>
      <w:r w:rsidRPr="009845EF">
        <w:rPr>
          <w:i/>
          <w:szCs w:val="18"/>
          <w:lang w:val="en-GB"/>
        </w:rPr>
        <w:t>Schumilin v. Belarus</w:t>
      </w:r>
      <w:r w:rsidRPr="009845EF">
        <w:rPr>
          <w:szCs w:val="18"/>
          <w:lang w:val="en-GB"/>
        </w:rPr>
        <w:t xml:space="preserve">, Views adopted on 23 July 2012, para. 8.3; No. 1814/2008, </w:t>
      </w:r>
      <w:r w:rsidRPr="009845EF">
        <w:rPr>
          <w:i/>
          <w:szCs w:val="18"/>
          <w:lang w:val="en-GB"/>
        </w:rPr>
        <w:t>P.L. v. Belarus</w:t>
      </w:r>
      <w:r w:rsidRPr="009845EF">
        <w:rPr>
          <w:szCs w:val="18"/>
          <w:lang w:val="en-GB"/>
        </w:rPr>
        <w:t>, decision of inadmissibility</w:t>
      </w:r>
      <w:r w:rsidR="001628AD">
        <w:rPr>
          <w:szCs w:val="18"/>
          <w:lang w:val="en-GB"/>
        </w:rPr>
        <w:t xml:space="preserve"> adopted on </w:t>
      </w:r>
      <w:r w:rsidRPr="009845EF">
        <w:rPr>
          <w:szCs w:val="18"/>
          <w:lang w:val="en-GB"/>
        </w:rPr>
        <w:t>26 July 2011, para. 6.2</w:t>
      </w:r>
      <w:r w:rsidR="001628AD">
        <w:rPr>
          <w:szCs w:val="18"/>
          <w:lang w:val="en-GB"/>
        </w:rPr>
        <w:t>;</w:t>
      </w:r>
      <w:r w:rsidRPr="009845EF">
        <w:rPr>
          <w:szCs w:val="18"/>
          <w:lang w:val="en-GB"/>
        </w:rPr>
        <w:t xml:space="preserve"> and No. 20</w:t>
      </w:r>
      <w:r w:rsidR="001628AD">
        <w:rPr>
          <w:szCs w:val="18"/>
          <w:lang w:val="en-GB"/>
        </w:rPr>
        <w:t>41</w:t>
      </w:r>
      <w:r w:rsidRPr="009845EF">
        <w:rPr>
          <w:szCs w:val="18"/>
          <w:lang w:val="en-GB"/>
        </w:rPr>
        <w:t xml:space="preserve">/2011, </w:t>
      </w:r>
      <w:r w:rsidRPr="009845EF">
        <w:rPr>
          <w:i/>
          <w:lang w:val="en-GB"/>
        </w:rPr>
        <w:t>Dorofeev v. Russian Federation</w:t>
      </w:r>
      <w:r w:rsidRPr="009845EF">
        <w:rPr>
          <w:lang w:val="en-GB"/>
        </w:rPr>
        <w:t>, Views adopted on 11 July 2014, para 8.6.</w:t>
      </w:r>
    </w:p>
  </w:footnote>
  <w:footnote w:id="10">
    <w:p w:rsidR="0069435E" w:rsidRDefault="0069435E">
      <w:pPr>
        <w:pStyle w:val="FootnoteText"/>
      </w:pPr>
      <w:r w:rsidRPr="00A47A90">
        <w:rPr>
          <w:szCs w:val="18"/>
        </w:rPr>
        <w:tab/>
      </w:r>
      <w:r w:rsidRPr="00E10347">
        <w:rPr>
          <w:rStyle w:val="FootnoteReference"/>
          <w:szCs w:val="18"/>
        </w:rPr>
        <w:footnoteRef/>
      </w:r>
      <w:r w:rsidRPr="00173844">
        <w:rPr>
          <w:szCs w:val="18"/>
          <w:lang w:val="en-GB"/>
        </w:rPr>
        <w:tab/>
      </w:r>
      <w:r w:rsidRPr="009845EF">
        <w:rPr>
          <w:szCs w:val="18"/>
          <w:lang w:val="en-GB"/>
        </w:rPr>
        <w:t xml:space="preserve">See, for example, communications No. 1830/2008, </w:t>
      </w:r>
      <w:r w:rsidRPr="009845EF">
        <w:rPr>
          <w:i/>
          <w:iCs/>
          <w:szCs w:val="18"/>
          <w:lang w:val="en-GB"/>
        </w:rPr>
        <w:t xml:space="preserve">Pivonos v. Belarus, </w:t>
      </w:r>
      <w:r w:rsidRPr="009845EF">
        <w:rPr>
          <w:szCs w:val="18"/>
          <w:lang w:val="en-GB"/>
        </w:rPr>
        <w:t>Views adopted on 2</w:t>
      </w:r>
      <w:r w:rsidR="00C12BD1">
        <w:rPr>
          <w:szCs w:val="18"/>
          <w:lang w:val="en-GB"/>
        </w:rPr>
        <w:t>9</w:t>
      </w:r>
      <w:r w:rsidRPr="009845EF">
        <w:rPr>
          <w:szCs w:val="18"/>
          <w:lang w:val="en-GB"/>
        </w:rPr>
        <w:t xml:space="preserve"> October 2012, para. 9.3 and No. 1785/2008, </w:t>
      </w:r>
      <w:r w:rsidRPr="009845EF">
        <w:rPr>
          <w:i/>
          <w:iCs/>
          <w:szCs w:val="18"/>
          <w:lang w:val="en-GB"/>
        </w:rPr>
        <w:t xml:space="preserve">Olechkevitch v. Belarus, </w:t>
      </w:r>
      <w:r w:rsidRPr="009845EF">
        <w:rPr>
          <w:szCs w:val="18"/>
          <w:lang w:val="en-GB"/>
        </w:rPr>
        <w:t xml:space="preserve">Views adopted on 18 March 2013, para. </w:t>
      </w:r>
      <w:r w:rsidR="004529B5">
        <w:rPr>
          <w:szCs w:val="18"/>
          <w:lang w:val="en-GB"/>
        </w:rPr>
        <w:t> </w:t>
      </w:r>
      <w:r w:rsidRPr="00A47A90">
        <w:rPr>
          <w:szCs w:val="18"/>
        </w:rPr>
        <w:t>8.5.</w:t>
      </w:r>
      <w:r>
        <w:rPr>
          <w:szCs w:val="18"/>
        </w:rPr>
        <w:t xml:space="preserve"> </w:t>
      </w:r>
    </w:p>
  </w:footnote>
  <w:footnote w:id="11">
    <w:p w:rsidR="0069435E" w:rsidRDefault="0069435E" w:rsidP="00AC3445">
      <w:pPr>
        <w:pStyle w:val="FootnoteText"/>
      </w:pPr>
      <w:r w:rsidRPr="00173844">
        <w:rPr>
          <w:lang w:val="en-GB"/>
        </w:rPr>
        <w:tab/>
      </w:r>
      <w:r w:rsidRPr="00680B8C">
        <w:rPr>
          <w:rStyle w:val="FootnoteReference"/>
        </w:rPr>
        <w:footnoteRef/>
      </w:r>
      <w:r w:rsidRPr="00173844">
        <w:rPr>
          <w:lang w:val="en-GB"/>
        </w:rPr>
        <w:tab/>
      </w:r>
      <w:r w:rsidRPr="009845EF">
        <w:rPr>
          <w:lang w:val="en-GB"/>
        </w:rPr>
        <w:t xml:space="preserve">See </w:t>
      </w:r>
      <w:r w:rsidR="00C12BD1">
        <w:rPr>
          <w:lang w:val="en-GB"/>
        </w:rPr>
        <w:t xml:space="preserve">communication No. 1948/2010, </w:t>
      </w:r>
      <w:r w:rsidRPr="009845EF">
        <w:rPr>
          <w:i/>
          <w:iCs/>
          <w:lang w:val="en-GB"/>
        </w:rPr>
        <w:t xml:space="preserve">Turchenyak et al. </w:t>
      </w:r>
      <w:r w:rsidRPr="0010012C">
        <w:rPr>
          <w:i/>
          <w:iCs/>
        </w:rPr>
        <w:t>v.</w:t>
      </w:r>
      <w:r w:rsidRPr="009845EF">
        <w:rPr>
          <w:i/>
          <w:iCs/>
          <w:lang w:val="en-GB"/>
        </w:rPr>
        <w:t xml:space="preserve"> Belarus</w:t>
      </w:r>
      <w:r w:rsidR="00C12BD1">
        <w:rPr>
          <w:iCs/>
          <w:lang w:val="en-GB"/>
        </w:rPr>
        <w:t>, Views adopted on 24 July 2013</w:t>
      </w:r>
      <w:r w:rsidR="0010012C">
        <w:rPr>
          <w:iCs/>
          <w:lang w:val="en-GB"/>
        </w:rPr>
        <w:t>, para. 7.4</w:t>
      </w:r>
      <w:r w:rsidRPr="009845EF">
        <w:rPr>
          <w:lang w:val="en-GB"/>
        </w:rPr>
        <w:t>.</w:t>
      </w:r>
    </w:p>
  </w:footnote>
  <w:footnote w:id="12">
    <w:p w:rsidR="0069435E" w:rsidRDefault="0069435E" w:rsidP="00D4204C">
      <w:pPr>
        <w:pStyle w:val="FootnoteText"/>
      </w:pPr>
      <w:r w:rsidRPr="00173844">
        <w:rPr>
          <w:lang w:val="en-GB"/>
        </w:rPr>
        <w:tab/>
      </w:r>
      <w:r>
        <w:rPr>
          <w:rStyle w:val="FootnoteReference"/>
        </w:rPr>
        <w:footnoteRef/>
      </w:r>
      <w:r w:rsidRPr="00173844">
        <w:rPr>
          <w:lang w:val="en-GB"/>
        </w:rPr>
        <w:tab/>
      </w:r>
      <w:r w:rsidRPr="009845EF">
        <w:rPr>
          <w:lang w:val="en-GB"/>
        </w:rPr>
        <w:t xml:space="preserve">See, for example, </w:t>
      </w:r>
      <w:r w:rsidRPr="009845EF">
        <w:rPr>
          <w:i/>
          <w:lang w:val="en-GB"/>
        </w:rPr>
        <w:t xml:space="preserve">Sekerko </w:t>
      </w:r>
      <w:r w:rsidRPr="0010012C">
        <w:rPr>
          <w:i/>
        </w:rPr>
        <w:t>v.</w:t>
      </w:r>
      <w:r w:rsidRPr="009845EF">
        <w:rPr>
          <w:i/>
          <w:lang w:val="en-GB"/>
        </w:rPr>
        <w:t xml:space="preserve"> Belarus</w:t>
      </w:r>
      <w:r w:rsidRPr="009845EF">
        <w:rPr>
          <w:lang w:val="en-GB"/>
        </w:rPr>
        <w:t>, para. 11</w:t>
      </w:r>
      <w:r w:rsidR="00C12BD1">
        <w:rPr>
          <w:lang w:val="en-GB"/>
        </w:rPr>
        <w:t xml:space="preserve"> and</w:t>
      </w:r>
      <w:r w:rsidRPr="009845EF">
        <w:rPr>
          <w:lang w:val="en-GB"/>
        </w:rPr>
        <w:t xml:space="preserve"> </w:t>
      </w:r>
      <w:r w:rsidRPr="009845EF">
        <w:rPr>
          <w:i/>
          <w:lang w:val="en-GB"/>
        </w:rPr>
        <w:t xml:space="preserve">Turchenyak et al. </w:t>
      </w:r>
      <w:r w:rsidRPr="0010012C">
        <w:rPr>
          <w:i/>
          <w:iCs/>
        </w:rPr>
        <w:t>v.</w:t>
      </w:r>
      <w:r w:rsidRPr="009845EF">
        <w:rPr>
          <w:i/>
          <w:lang w:val="en-GB"/>
        </w:rPr>
        <w:t xml:space="preserve"> Belarus</w:t>
      </w:r>
      <w:r w:rsidR="00C12BD1">
        <w:rPr>
          <w:i/>
          <w:lang w:val="en-GB"/>
        </w:rPr>
        <w:t>,</w:t>
      </w:r>
      <w:r w:rsidRPr="009845EF">
        <w:rPr>
          <w:i/>
          <w:lang w:val="en-GB"/>
        </w:rPr>
        <w:t xml:space="preserve"> </w:t>
      </w:r>
      <w:r w:rsidRPr="009845EF">
        <w:rPr>
          <w:lang w:val="en-GB"/>
        </w:rPr>
        <w:t xml:space="preserve">para. 9; and </w:t>
      </w:r>
      <w:r w:rsidR="00C12BD1">
        <w:rPr>
          <w:lang w:val="en-GB"/>
        </w:rPr>
        <w:t xml:space="preserve">communications </w:t>
      </w:r>
      <w:r w:rsidRPr="009845EF">
        <w:rPr>
          <w:lang w:val="en-GB"/>
        </w:rPr>
        <w:t>No.</w:t>
      </w:r>
      <w:r w:rsidRPr="00173844">
        <w:rPr>
          <w:lang w:val="en-GB"/>
        </w:rPr>
        <w:t> </w:t>
      </w:r>
      <w:r w:rsidRPr="009845EF">
        <w:rPr>
          <w:lang w:val="en-GB"/>
        </w:rPr>
        <w:t xml:space="preserve">1790/2008, </w:t>
      </w:r>
      <w:r w:rsidRPr="009845EF">
        <w:rPr>
          <w:i/>
          <w:lang w:val="en-GB"/>
        </w:rPr>
        <w:t xml:space="preserve">Govsha, Syritsa and Mezyak </w:t>
      </w:r>
      <w:r w:rsidRPr="0010012C">
        <w:rPr>
          <w:i/>
          <w:iCs/>
        </w:rPr>
        <w:t>v.</w:t>
      </w:r>
      <w:r w:rsidRPr="009845EF">
        <w:rPr>
          <w:lang w:val="en-GB"/>
        </w:rPr>
        <w:t xml:space="preserve"> </w:t>
      </w:r>
      <w:r w:rsidRPr="009845EF">
        <w:rPr>
          <w:i/>
          <w:lang w:val="en-GB"/>
        </w:rPr>
        <w:t>Belarus,</w:t>
      </w:r>
      <w:r w:rsidRPr="009845EF">
        <w:rPr>
          <w:lang w:val="en-GB"/>
        </w:rPr>
        <w:t xml:space="preserve"> Views adopted on 27 July 2012, para.</w:t>
      </w:r>
      <w:r w:rsidRPr="00173844">
        <w:rPr>
          <w:lang w:val="en-GB"/>
        </w:rPr>
        <w:t> </w:t>
      </w:r>
      <w:r w:rsidRPr="009845EF">
        <w:rPr>
          <w:lang w:val="en-GB"/>
        </w:rPr>
        <w:t xml:space="preserve">11 and No. 1934/2010, </w:t>
      </w:r>
      <w:r w:rsidRPr="009845EF">
        <w:rPr>
          <w:i/>
          <w:lang w:val="en-GB"/>
        </w:rPr>
        <w:t>Bazarov v</w:t>
      </w:r>
      <w:r w:rsidR="002B44C4">
        <w:rPr>
          <w:i/>
          <w:lang w:val="en-GB"/>
        </w:rPr>
        <w:t>.</w:t>
      </w:r>
      <w:r w:rsidRPr="009845EF">
        <w:rPr>
          <w:i/>
          <w:lang w:val="en-GB"/>
        </w:rPr>
        <w:t xml:space="preserve"> Belarus, </w:t>
      </w:r>
      <w:r w:rsidRPr="009845EF">
        <w:rPr>
          <w:lang w:val="en-GB"/>
        </w:rPr>
        <w:t>Views adopted on 24 July 2014, para.</w:t>
      </w:r>
      <w:r w:rsidR="002B44C4">
        <w:rPr>
          <w:lang w:val="en-GB"/>
        </w:rPr>
        <w:t xml:space="preserve"> </w:t>
      </w:r>
      <w:r w:rsidRPr="009845EF">
        <w:rPr>
          <w:lang w:val="en-GB"/>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5E" w:rsidRPr="000E6770" w:rsidRDefault="0069435E" w:rsidP="000E6770">
    <w:pPr>
      <w:pStyle w:val="Header"/>
    </w:pPr>
    <w:r>
      <w:t>CCPR/C/116/D/2092/2011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5E" w:rsidRPr="000E6770" w:rsidRDefault="0069435E" w:rsidP="000E6770">
    <w:pPr>
      <w:pStyle w:val="Header"/>
      <w:jc w:val="right"/>
    </w:pPr>
    <w:r>
      <w:t>CCPR/C/116/D/2092/2011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70"/>
    <w:rsid w:val="00004361"/>
    <w:rsid w:val="00007E12"/>
    <w:rsid w:val="0001407D"/>
    <w:rsid w:val="000230D6"/>
    <w:rsid w:val="000272B3"/>
    <w:rsid w:val="00027A45"/>
    <w:rsid w:val="00031AD2"/>
    <w:rsid w:val="00033EA1"/>
    <w:rsid w:val="00037F9A"/>
    <w:rsid w:val="00050F6B"/>
    <w:rsid w:val="00057E97"/>
    <w:rsid w:val="00060C3A"/>
    <w:rsid w:val="00072C8C"/>
    <w:rsid w:val="000733B5"/>
    <w:rsid w:val="000763D5"/>
    <w:rsid w:val="00081815"/>
    <w:rsid w:val="000931C0"/>
    <w:rsid w:val="000B175B"/>
    <w:rsid w:val="000B3A0F"/>
    <w:rsid w:val="000B4EF7"/>
    <w:rsid w:val="000C2C03"/>
    <w:rsid w:val="000C2D2E"/>
    <w:rsid w:val="000D055A"/>
    <w:rsid w:val="000D79D1"/>
    <w:rsid w:val="000E0415"/>
    <w:rsid w:val="000E6770"/>
    <w:rsid w:val="000F566B"/>
    <w:rsid w:val="0010012C"/>
    <w:rsid w:val="001103AA"/>
    <w:rsid w:val="00123B12"/>
    <w:rsid w:val="00143A2B"/>
    <w:rsid w:val="00160860"/>
    <w:rsid w:val="001613B3"/>
    <w:rsid w:val="001628AD"/>
    <w:rsid w:val="00165F3A"/>
    <w:rsid w:val="00173844"/>
    <w:rsid w:val="0017632F"/>
    <w:rsid w:val="00183968"/>
    <w:rsid w:val="00183D40"/>
    <w:rsid w:val="00191C40"/>
    <w:rsid w:val="001A62AB"/>
    <w:rsid w:val="001A6686"/>
    <w:rsid w:val="001B4B04"/>
    <w:rsid w:val="001C6663"/>
    <w:rsid w:val="001C67C8"/>
    <w:rsid w:val="001C7895"/>
    <w:rsid w:val="001D0C8C"/>
    <w:rsid w:val="001D26DF"/>
    <w:rsid w:val="001D3A03"/>
    <w:rsid w:val="001F2627"/>
    <w:rsid w:val="002012C3"/>
    <w:rsid w:val="002027E3"/>
    <w:rsid w:val="00202DA8"/>
    <w:rsid w:val="00211B93"/>
    <w:rsid w:val="00211E0B"/>
    <w:rsid w:val="0023210C"/>
    <w:rsid w:val="00247B42"/>
    <w:rsid w:val="0025030E"/>
    <w:rsid w:val="002645FC"/>
    <w:rsid w:val="00264628"/>
    <w:rsid w:val="00267F5F"/>
    <w:rsid w:val="00270E89"/>
    <w:rsid w:val="00286B4D"/>
    <w:rsid w:val="0029643E"/>
    <w:rsid w:val="002B44C4"/>
    <w:rsid w:val="002C6F77"/>
    <w:rsid w:val="002D334C"/>
    <w:rsid w:val="002E1243"/>
    <w:rsid w:val="002E1360"/>
    <w:rsid w:val="002E5FE1"/>
    <w:rsid w:val="002E6EAB"/>
    <w:rsid w:val="002F175C"/>
    <w:rsid w:val="00301AE5"/>
    <w:rsid w:val="003156C1"/>
    <w:rsid w:val="003229D8"/>
    <w:rsid w:val="00326200"/>
    <w:rsid w:val="003262B7"/>
    <w:rsid w:val="00352709"/>
    <w:rsid w:val="00365C85"/>
    <w:rsid w:val="00367567"/>
    <w:rsid w:val="00371178"/>
    <w:rsid w:val="00374FD6"/>
    <w:rsid w:val="003831CD"/>
    <w:rsid w:val="0038336C"/>
    <w:rsid w:val="003A6810"/>
    <w:rsid w:val="003C2CC4"/>
    <w:rsid w:val="003C7585"/>
    <w:rsid w:val="003D4B23"/>
    <w:rsid w:val="003D71C2"/>
    <w:rsid w:val="003E59DC"/>
    <w:rsid w:val="003F199F"/>
    <w:rsid w:val="00401F51"/>
    <w:rsid w:val="00410C89"/>
    <w:rsid w:val="00425099"/>
    <w:rsid w:val="00426B9B"/>
    <w:rsid w:val="004325CB"/>
    <w:rsid w:val="00436B33"/>
    <w:rsid w:val="00442A83"/>
    <w:rsid w:val="00451398"/>
    <w:rsid w:val="004529B5"/>
    <w:rsid w:val="0045495B"/>
    <w:rsid w:val="004556AA"/>
    <w:rsid w:val="00461321"/>
    <w:rsid w:val="00463B9A"/>
    <w:rsid w:val="00487488"/>
    <w:rsid w:val="004A1377"/>
    <w:rsid w:val="004A4782"/>
    <w:rsid w:val="004C2C3F"/>
    <w:rsid w:val="004D4853"/>
    <w:rsid w:val="004F5E3E"/>
    <w:rsid w:val="00502DA3"/>
    <w:rsid w:val="00506AAE"/>
    <w:rsid w:val="00506E62"/>
    <w:rsid w:val="0052136D"/>
    <w:rsid w:val="005223BC"/>
    <w:rsid w:val="0052775E"/>
    <w:rsid w:val="005420F2"/>
    <w:rsid w:val="005628B6"/>
    <w:rsid w:val="00562B41"/>
    <w:rsid w:val="00576269"/>
    <w:rsid w:val="00583815"/>
    <w:rsid w:val="005848B3"/>
    <w:rsid w:val="00586BF0"/>
    <w:rsid w:val="00590F87"/>
    <w:rsid w:val="00592C4A"/>
    <w:rsid w:val="005B1189"/>
    <w:rsid w:val="005B3DB3"/>
    <w:rsid w:val="005D0C28"/>
    <w:rsid w:val="005D48B0"/>
    <w:rsid w:val="005F20E3"/>
    <w:rsid w:val="005F4852"/>
    <w:rsid w:val="005F615A"/>
    <w:rsid w:val="005F7717"/>
    <w:rsid w:val="005F7B75"/>
    <w:rsid w:val="006001EE"/>
    <w:rsid w:val="00605042"/>
    <w:rsid w:val="00605E30"/>
    <w:rsid w:val="00606782"/>
    <w:rsid w:val="0061186F"/>
    <w:rsid w:val="00611FC4"/>
    <w:rsid w:val="006176FB"/>
    <w:rsid w:val="00621825"/>
    <w:rsid w:val="00621BF1"/>
    <w:rsid w:val="00624677"/>
    <w:rsid w:val="00624F6B"/>
    <w:rsid w:val="00640B26"/>
    <w:rsid w:val="006410E5"/>
    <w:rsid w:val="00652D0A"/>
    <w:rsid w:val="00662BB6"/>
    <w:rsid w:val="00680B8C"/>
    <w:rsid w:val="006832FE"/>
    <w:rsid w:val="00684C21"/>
    <w:rsid w:val="00685FA6"/>
    <w:rsid w:val="006926C4"/>
    <w:rsid w:val="0069435E"/>
    <w:rsid w:val="006A6DC5"/>
    <w:rsid w:val="006D37AF"/>
    <w:rsid w:val="006D51D0"/>
    <w:rsid w:val="006E3134"/>
    <w:rsid w:val="006E564B"/>
    <w:rsid w:val="006E7191"/>
    <w:rsid w:val="006E7D60"/>
    <w:rsid w:val="00703577"/>
    <w:rsid w:val="00713EE3"/>
    <w:rsid w:val="00715CC4"/>
    <w:rsid w:val="00720D7C"/>
    <w:rsid w:val="0072632A"/>
    <w:rsid w:val="007327D5"/>
    <w:rsid w:val="00732D97"/>
    <w:rsid w:val="00735F4E"/>
    <w:rsid w:val="00740E38"/>
    <w:rsid w:val="007453E5"/>
    <w:rsid w:val="007629C8"/>
    <w:rsid w:val="007639B0"/>
    <w:rsid w:val="007727B8"/>
    <w:rsid w:val="00781C83"/>
    <w:rsid w:val="00786F91"/>
    <w:rsid w:val="007B3302"/>
    <w:rsid w:val="007B6BA5"/>
    <w:rsid w:val="007C142F"/>
    <w:rsid w:val="007C3390"/>
    <w:rsid w:val="007C4F4B"/>
    <w:rsid w:val="007C6CEA"/>
    <w:rsid w:val="007C7813"/>
    <w:rsid w:val="007C784F"/>
    <w:rsid w:val="007D1F6E"/>
    <w:rsid w:val="007E0B2D"/>
    <w:rsid w:val="007E38DF"/>
    <w:rsid w:val="007F2EAD"/>
    <w:rsid w:val="007F6611"/>
    <w:rsid w:val="00807799"/>
    <w:rsid w:val="008105B8"/>
    <w:rsid w:val="008112B3"/>
    <w:rsid w:val="008216A5"/>
    <w:rsid w:val="0082420A"/>
    <w:rsid w:val="008242D7"/>
    <w:rsid w:val="008257B1"/>
    <w:rsid w:val="008261BD"/>
    <w:rsid w:val="00831C0F"/>
    <w:rsid w:val="00832FBA"/>
    <w:rsid w:val="00836112"/>
    <w:rsid w:val="00842117"/>
    <w:rsid w:val="00843767"/>
    <w:rsid w:val="008553A5"/>
    <w:rsid w:val="00856D8F"/>
    <w:rsid w:val="00861A2C"/>
    <w:rsid w:val="008679D9"/>
    <w:rsid w:val="008979B1"/>
    <w:rsid w:val="008A1DB2"/>
    <w:rsid w:val="008A4716"/>
    <w:rsid w:val="008A6B25"/>
    <w:rsid w:val="008A6C4F"/>
    <w:rsid w:val="008B2335"/>
    <w:rsid w:val="008C4E4D"/>
    <w:rsid w:val="008C578D"/>
    <w:rsid w:val="008C743E"/>
    <w:rsid w:val="008D147A"/>
    <w:rsid w:val="008E0678"/>
    <w:rsid w:val="008E41DD"/>
    <w:rsid w:val="008E647B"/>
    <w:rsid w:val="008F0B7D"/>
    <w:rsid w:val="00905481"/>
    <w:rsid w:val="00907CF0"/>
    <w:rsid w:val="00910F40"/>
    <w:rsid w:val="00912C08"/>
    <w:rsid w:val="009223CA"/>
    <w:rsid w:val="00940F93"/>
    <w:rsid w:val="009411AC"/>
    <w:rsid w:val="009457A1"/>
    <w:rsid w:val="0095347F"/>
    <w:rsid w:val="00964867"/>
    <w:rsid w:val="00966640"/>
    <w:rsid w:val="00966D7C"/>
    <w:rsid w:val="009760F3"/>
    <w:rsid w:val="009845EF"/>
    <w:rsid w:val="00984DFA"/>
    <w:rsid w:val="009909F5"/>
    <w:rsid w:val="00994B47"/>
    <w:rsid w:val="009A0E8D"/>
    <w:rsid w:val="009A7317"/>
    <w:rsid w:val="009B02FF"/>
    <w:rsid w:val="009B26E7"/>
    <w:rsid w:val="009B409C"/>
    <w:rsid w:val="009C6087"/>
    <w:rsid w:val="009D04AC"/>
    <w:rsid w:val="009D6AA6"/>
    <w:rsid w:val="009F47CC"/>
    <w:rsid w:val="00A00A3F"/>
    <w:rsid w:val="00A01489"/>
    <w:rsid w:val="00A04B06"/>
    <w:rsid w:val="00A12364"/>
    <w:rsid w:val="00A2109D"/>
    <w:rsid w:val="00A338F1"/>
    <w:rsid w:val="00A33985"/>
    <w:rsid w:val="00A44615"/>
    <w:rsid w:val="00A4600E"/>
    <w:rsid w:val="00A47A90"/>
    <w:rsid w:val="00A503F8"/>
    <w:rsid w:val="00A60430"/>
    <w:rsid w:val="00A71C22"/>
    <w:rsid w:val="00A72D6C"/>
    <w:rsid w:val="00A72F22"/>
    <w:rsid w:val="00A7360F"/>
    <w:rsid w:val="00A748A6"/>
    <w:rsid w:val="00A769F4"/>
    <w:rsid w:val="00A776B4"/>
    <w:rsid w:val="00A90368"/>
    <w:rsid w:val="00A92779"/>
    <w:rsid w:val="00A94361"/>
    <w:rsid w:val="00A94D54"/>
    <w:rsid w:val="00AA293C"/>
    <w:rsid w:val="00AA4A58"/>
    <w:rsid w:val="00AA6A99"/>
    <w:rsid w:val="00AC3445"/>
    <w:rsid w:val="00B13E9B"/>
    <w:rsid w:val="00B17CE0"/>
    <w:rsid w:val="00B30179"/>
    <w:rsid w:val="00B31EAF"/>
    <w:rsid w:val="00B339A7"/>
    <w:rsid w:val="00B56362"/>
    <w:rsid w:val="00B56E4A"/>
    <w:rsid w:val="00B56E9C"/>
    <w:rsid w:val="00B64B1F"/>
    <w:rsid w:val="00B6553F"/>
    <w:rsid w:val="00B66E5E"/>
    <w:rsid w:val="00B676F2"/>
    <w:rsid w:val="00B71843"/>
    <w:rsid w:val="00B77D05"/>
    <w:rsid w:val="00B81206"/>
    <w:rsid w:val="00B81E12"/>
    <w:rsid w:val="00B9067B"/>
    <w:rsid w:val="00B9191D"/>
    <w:rsid w:val="00B97172"/>
    <w:rsid w:val="00BA4F7E"/>
    <w:rsid w:val="00BB588E"/>
    <w:rsid w:val="00BC0348"/>
    <w:rsid w:val="00BC2C23"/>
    <w:rsid w:val="00BC74E9"/>
    <w:rsid w:val="00BD56FC"/>
    <w:rsid w:val="00BD7612"/>
    <w:rsid w:val="00BF078F"/>
    <w:rsid w:val="00BF68A8"/>
    <w:rsid w:val="00C02080"/>
    <w:rsid w:val="00C05D9C"/>
    <w:rsid w:val="00C11A03"/>
    <w:rsid w:val="00C12BD1"/>
    <w:rsid w:val="00C15217"/>
    <w:rsid w:val="00C361D8"/>
    <w:rsid w:val="00C463DD"/>
    <w:rsid w:val="00C4724C"/>
    <w:rsid w:val="00C50F84"/>
    <w:rsid w:val="00C5390A"/>
    <w:rsid w:val="00C601D8"/>
    <w:rsid w:val="00C629A0"/>
    <w:rsid w:val="00C745C3"/>
    <w:rsid w:val="00C81409"/>
    <w:rsid w:val="00C84A03"/>
    <w:rsid w:val="00C903E1"/>
    <w:rsid w:val="00C915E4"/>
    <w:rsid w:val="00CA6AE4"/>
    <w:rsid w:val="00CC664C"/>
    <w:rsid w:val="00CD2360"/>
    <w:rsid w:val="00CE4A8F"/>
    <w:rsid w:val="00CF09B5"/>
    <w:rsid w:val="00CF1B81"/>
    <w:rsid w:val="00CF2ADD"/>
    <w:rsid w:val="00CF3CAC"/>
    <w:rsid w:val="00D0360D"/>
    <w:rsid w:val="00D0488E"/>
    <w:rsid w:val="00D2031B"/>
    <w:rsid w:val="00D21FF5"/>
    <w:rsid w:val="00D2276A"/>
    <w:rsid w:val="00D25DAE"/>
    <w:rsid w:val="00D25FE2"/>
    <w:rsid w:val="00D35CE9"/>
    <w:rsid w:val="00D4204C"/>
    <w:rsid w:val="00D42AC0"/>
    <w:rsid w:val="00D43252"/>
    <w:rsid w:val="00D44FC8"/>
    <w:rsid w:val="00D471E0"/>
    <w:rsid w:val="00D47EEA"/>
    <w:rsid w:val="00D504B0"/>
    <w:rsid w:val="00D56D52"/>
    <w:rsid w:val="00D80B06"/>
    <w:rsid w:val="00D9186F"/>
    <w:rsid w:val="00D95303"/>
    <w:rsid w:val="00D978C6"/>
    <w:rsid w:val="00DA01D0"/>
    <w:rsid w:val="00DA0FB7"/>
    <w:rsid w:val="00DA3111"/>
    <w:rsid w:val="00DA3C1C"/>
    <w:rsid w:val="00DB0C79"/>
    <w:rsid w:val="00DB7B0D"/>
    <w:rsid w:val="00DC10BD"/>
    <w:rsid w:val="00DF469D"/>
    <w:rsid w:val="00E055E8"/>
    <w:rsid w:val="00E05C91"/>
    <w:rsid w:val="00E10347"/>
    <w:rsid w:val="00E20C09"/>
    <w:rsid w:val="00E27346"/>
    <w:rsid w:val="00E41167"/>
    <w:rsid w:val="00E43152"/>
    <w:rsid w:val="00E55345"/>
    <w:rsid w:val="00E71BC8"/>
    <w:rsid w:val="00E7260F"/>
    <w:rsid w:val="00E779FC"/>
    <w:rsid w:val="00E92129"/>
    <w:rsid w:val="00E94088"/>
    <w:rsid w:val="00E96630"/>
    <w:rsid w:val="00EA5889"/>
    <w:rsid w:val="00EB2581"/>
    <w:rsid w:val="00ED06EC"/>
    <w:rsid w:val="00ED7A2A"/>
    <w:rsid w:val="00ED7D3C"/>
    <w:rsid w:val="00EE593E"/>
    <w:rsid w:val="00EF1D7F"/>
    <w:rsid w:val="00EF449F"/>
    <w:rsid w:val="00EF4C9D"/>
    <w:rsid w:val="00F029FF"/>
    <w:rsid w:val="00F11CD6"/>
    <w:rsid w:val="00F13708"/>
    <w:rsid w:val="00F13A74"/>
    <w:rsid w:val="00F20C3D"/>
    <w:rsid w:val="00F31325"/>
    <w:rsid w:val="00F35502"/>
    <w:rsid w:val="00F3594B"/>
    <w:rsid w:val="00F412CF"/>
    <w:rsid w:val="00F43E9E"/>
    <w:rsid w:val="00F54126"/>
    <w:rsid w:val="00F9057C"/>
    <w:rsid w:val="00F906D7"/>
    <w:rsid w:val="00F93781"/>
    <w:rsid w:val="00F95A8B"/>
    <w:rsid w:val="00FB613B"/>
    <w:rsid w:val="00FC2B79"/>
    <w:rsid w:val="00FC68B7"/>
    <w:rsid w:val="00FD75F2"/>
    <w:rsid w:val="00FE106A"/>
    <w:rsid w:val="00FE4B10"/>
    <w:rsid w:val="00FE6F56"/>
    <w:rsid w:val="00FF16B7"/>
    <w:rsid w:val="00FF31BC"/>
    <w:rsid w:val="00FF3543"/>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D07C126-09C4-4755-AD51-F38BF1F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pacing w:line="240" w:lineRule="auto"/>
      <w:outlineLvl w:val="1"/>
    </w:pPr>
  </w:style>
  <w:style w:type="paragraph" w:styleId="Heading3">
    <w:name w:val="heading 3"/>
    <w:basedOn w:val="Normal"/>
    <w:next w:val="Normal"/>
    <w:link w:val="Heading3Char"/>
    <w:uiPriority w:val="99"/>
    <w:qFormat/>
    <w:rsid w:val="000272B3"/>
    <w:pPr>
      <w:spacing w:line="240" w:lineRule="auto"/>
      <w:outlineLvl w:val="2"/>
    </w:pPr>
  </w:style>
  <w:style w:type="paragraph" w:styleId="Heading4">
    <w:name w:val="heading 4"/>
    <w:basedOn w:val="Normal"/>
    <w:next w:val="Normal"/>
    <w:link w:val="Heading4Char"/>
    <w:uiPriority w:val="99"/>
    <w:qFormat/>
    <w:rsid w:val="000272B3"/>
    <w:pPr>
      <w:spacing w:line="240" w:lineRule="auto"/>
      <w:outlineLvl w:val="3"/>
    </w:pPr>
  </w:style>
  <w:style w:type="paragraph" w:styleId="Heading5">
    <w:name w:val="heading 5"/>
    <w:basedOn w:val="Normal"/>
    <w:next w:val="Normal"/>
    <w:link w:val="Heading5Char"/>
    <w:uiPriority w:val="99"/>
    <w:qFormat/>
    <w:rsid w:val="000272B3"/>
    <w:pPr>
      <w:spacing w:line="240" w:lineRule="auto"/>
      <w:outlineLvl w:val="4"/>
    </w:pPr>
  </w:style>
  <w:style w:type="paragraph" w:styleId="Heading6">
    <w:name w:val="heading 6"/>
    <w:basedOn w:val="Normal"/>
    <w:next w:val="Normal"/>
    <w:link w:val="Heading6Char"/>
    <w:uiPriority w:val="99"/>
    <w:qFormat/>
    <w:rsid w:val="000272B3"/>
    <w:pPr>
      <w:spacing w:line="240" w:lineRule="auto"/>
      <w:outlineLvl w:val="5"/>
    </w:pPr>
  </w:style>
  <w:style w:type="paragraph" w:styleId="Heading7">
    <w:name w:val="heading 7"/>
    <w:basedOn w:val="Normal"/>
    <w:next w:val="Normal"/>
    <w:link w:val="Heading7Char"/>
    <w:uiPriority w:val="99"/>
    <w:qFormat/>
    <w:rsid w:val="000272B3"/>
    <w:pPr>
      <w:spacing w:line="240" w:lineRule="auto"/>
      <w:outlineLvl w:val="6"/>
    </w:pPr>
  </w:style>
  <w:style w:type="paragraph" w:styleId="Heading8">
    <w:name w:val="heading 8"/>
    <w:basedOn w:val="Normal"/>
    <w:next w:val="Normal"/>
    <w:link w:val="Heading8Char"/>
    <w:uiPriority w:val="99"/>
    <w:qFormat/>
    <w:rsid w:val="000272B3"/>
    <w:pPr>
      <w:spacing w:line="240" w:lineRule="auto"/>
      <w:outlineLvl w:val="7"/>
    </w:pPr>
  </w:style>
  <w:style w:type="paragraph" w:styleId="Heading9">
    <w:name w:val="heading 9"/>
    <w:basedOn w:val="Normal"/>
    <w:next w:val="Normal"/>
    <w:link w:val="Heading9Char"/>
    <w:uiPriority w:val="99"/>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252F32"/>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252F32"/>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252F32"/>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252F32"/>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252F32"/>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252F32"/>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252F32"/>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252F32"/>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252F32"/>
    <w:rPr>
      <w:rFonts w:asciiTheme="majorHAnsi" w:eastAsiaTheme="majorEastAsia" w:hAnsiTheme="majorHAnsi" w:cstheme="majorBidi"/>
      <w:lang w:val="en-GB" w:eastAsia="en-US"/>
    </w:rPr>
  </w:style>
  <w:style w:type="paragraph" w:customStyle="1" w:styleId="SingleTxtG">
    <w:name w:val="_ Single Txt_G"/>
    <w:basedOn w:val="Normal"/>
    <w:link w:val="SingleTxtGChar"/>
    <w:uiPriority w:val="99"/>
    <w:rsid w:val="000272B3"/>
    <w:pPr>
      <w:spacing w:after="120"/>
      <w:ind w:left="1134" w:right="1134"/>
      <w:jc w:val="both"/>
    </w:pPr>
    <w:rPr>
      <w:lang w:val="de-DE"/>
    </w:r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252F32"/>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
    <w:basedOn w:val="Normal"/>
    <w:link w:val="FootnoteTextChar"/>
    <w:qFormat/>
    <w:rsid w:val="0025030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5_G Char"/>
    <w:basedOn w:val="DefaultParagraphFont"/>
    <w:link w:val="FootnoteText"/>
    <w:locked/>
    <w:rsid w:val="002027E3"/>
    <w:rPr>
      <w:rFonts w:eastAsia="SimSun"/>
      <w:sz w:val="18"/>
      <w:szCs w:val="20"/>
      <w:lang w:val="en-US" w:eastAsia="zh-CN"/>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252F32"/>
    <w:rPr>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FootnoteReference">
    <w:name w:val="footnote reference"/>
    <w:aliases w:val="4_G"/>
    <w:qFormat/>
    <w:rsid w:val="0025030E"/>
    <w:rPr>
      <w:rFonts w:ascii="Times New Roman" w:hAnsi="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character" w:customStyle="1" w:styleId="FooterChar">
    <w:name w:val="Footer Char"/>
    <w:aliases w:val="3_G Char"/>
    <w:basedOn w:val="DefaultParagraphFont"/>
    <w:link w:val="Footer"/>
    <w:uiPriority w:val="99"/>
    <w:semiHidden/>
    <w:rsid w:val="00252F32"/>
    <w:rPr>
      <w:sz w:val="20"/>
      <w:szCs w:val="20"/>
      <w:lang w:val="en-GB"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uiPriority w:val="99"/>
    <w:locked/>
    <w:rsid w:val="00D4204C"/>
    <w:rPr>
      <w:lang w:eastAsia="en-US"/>
    </w:rPr>
  </w:style>
  <w:style w:type="paragraph" w:styleId="BalloonText">
    <w:name w:val="Balloon Text"/>
    <w:basedOn w:val="Normal"/>
    <w:link w:val="BalloonTextChar"/>
    <w:uiPriority w:val="99"/>
    <w:rsid w:val="00D4204C"/>
    <w:pPr>
      <w:spacing w:line="240" w:lineRule="auto"/>
    </w:pPr>
    <w:rPr>
      <w:rFonts w:ascii="Tahoma" w:hAnsi="Tahoma"/>
      <w:sz w:val="16"/>
      <w:szCs w:val="16"/>
      <w:lang w:val="de-DE"/>
    </w:rPr>
  </w:style>
  <w:style w:type="character" w:customStyle="1" w:styleId="BalloonTextChar">
    <w:name w:val="Balloon Text Char"/>
    <w:basedOn w:val="DefaultParagraphFont"/>
    <w:link w:val="BalloonText"/>
    <w:uiPriority w:val="99"/>
    <w:locked/>
    <w:rsid w:val="00D4204C"/>
    <w:rPr>
      <w:rFonts w:ascii="Tahoma" w:hAnsi="Tahoma"/>
      <w:sz w:val="16"/>
      <w:lang w:eastAsia="en-US"/>
    </w:rPr>
  </w:style>
  <w:style w:type="character" w:styleId="CommentReference">
    <w:name w:val="annotation reference"/>
    <w:basedOn w:val="DefaultParagraphFont"/>
    <w:uiPriority w:val="99"/>
    <w:rsid w:val="00B31EAF"/>
    <w:rPr>
      <w:rFonts w:cs="Times New Roman"/>
      <w:sz w:val="16"/>
    </w:rPr>
  </w:style>
  <w:style w:type="paragraph" w:styleId="CommentText">
    <w:name w:val="annotation text"/>
    <w:basedOn w:val="Normal"/>
    <w:link w:val="CommentTextChar"/>
    <w:uiPriority w:val="99"/>
    <w:rsid w:val="00B31EAF"/>
    <w:rPr>
      <w:lang w:val="de-DE"/>
    </w:rPr>
  </w:style>
  <w:style w:type="character" w:customStyle="1" w:styleId="CommentTextChar">
    <w:name w:val="Comment Text Char"/>
    <w:basedOn w:val="DefaultParagraphFont"/>
    <w:link w:val="CommentText"/>
    <w:uiPriority w:val="99"/>
    <w:locked/>
    <w:rsid w:val="00B31EAF"/>
    <w:rPr>
      <w:lang w:eastAsia="en-US"/>
    </w:rPr>
  </w:style>
  <w:style w:type="paragraph" w:styleId="CommentSubject">
    <w:name w:val="annotation subject"/>
    <w:basedOn w:val="CommentText"/>
    <w:next w:val="CommentText"/>
    <w:link w:val="CommentSubjectChar"/>
    <w:uiPriority w:val="99"/>
    <w:rsid w:val="00B31EAF"/>
    <w:rPr>
      <w:b/>
      <w:bCs/>
    </w:rPr>
  </w:style>
  <w:style w:type="character" w:customStyle="1" w:styleId="CommentSubjectChar">
    <w:name w:val="Comment Subject Char"/>
    <w:basedOn w:val="CommentTextChar"/>
    <w:link w:val="CommentSubject"/>
    <w:uiPriority w:val="99"/>
    <w:locked/>
    <w:rsid w:val="00B31EAF"/>
    <w:rPr>
      <w:b/>
      <w:lang w:eastAsia="en-US"/>
    </w:rPr>
  </w:style>
  <w:style w:type="paragraph" w:styleId="Revision">
    <w:name w:val="Revision"/>
    <w:hidden/>
    <w:uiPriority w:val="99"/>
    <w:semiHidden/>
    <w:rsid w:val="00A503F8"/>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37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944E-1EB5-40C5-9B25-696F1835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6</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1607651</vt:lpstr>
    </vt:vector>
  </TitlesOfParts>
  <Company>CSD</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1607651</dc:title>
  <dc:subject>CCPR/C/116/D/2092/2011</dc:subject>
  <dc:creator>Ivaylo PETROV</dc:creator>
  <cp:keywords/>
  <dc:description/>
  <cp:lastModifiedBy>Sarah Willig</cp:lastModifiedBy>
  <cp:revision>2</cp:revision>
  <cp:lastPrinted>2016-04-14T13:21:00Z</cp:lastPrinted>
  <dcterms:created xsi:type="dcterms:W3CDTF">2017-03-28T19:57:00Z</dcterms:created>
  <dcterms:modified xsi:type="dcterms:W3CDTF">2017-03-28T19:57:00Z</dcterms:modified>
</cp:coreProperties>
</file>