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521FD" w:rsidRPr="007B0775">
        <w:trPr>
          <w:cantSplit/>
          <w:trHeight w:hRule="exact" w:val="851"/>
        </w:trPr>
        <w:tc>
          <w:tcPr>
            <w:tcW w:w="1276" w:type="dxa"/>
            <w:tcBorders>
              <w:bottom w:val="single" w:sz="4" w:space="0" w:color="auto"/>
            </w:tcBorders>
            <w:vAlign w:val="bottom"/>
          </w:tcPr>
          <w:p w:rsidR="003521FD" w:rsidRDefault="003521FD" w:rsidP="003521FD">
            <w:pPr>
              <w:spacing w:after="80"/>
            </w:pPr>
            <w:bookmarkStart w:id="0" w:name="_GoBack"/>
            <w:bookmarkEnd w:id="0"/>
          </w:p>
        </w:tc>
        <w:tc>
          <w:tcPr>
            <w:tcW w:w="2268" w:type="dxa"/>
            <w:tcBorders>
              <w:bottom w:val="single" w:sz="4" w:space="0" w:color="auto"/>
            </w:tcBorders>
            <w:vAlign w:val="bottom"/>
          </w:tcPr>
          <w:p w:rsidR="003521FD" w:rsidRPr="007B0775" w:rsidRDefault="003521FD" w:rsidP="003521FD">
            <w:pPr>
              <w:spacing w:after="80" w:line="300" w:lineRule="exact"/>
              <w:rPr>
                <w:b/>
                <w:sz w:val="24"/>
                <w:szCs w:val="24"/>
              </w:rPr>
            </w:pPr>
            <w:r w:rsidRPr="007B0775">
              <w:rPr>
                <w:sz w:val="28"/>
                <w:szCs w:val="28"/>
              </w:rPr>
              <w:t>United Nations</w:t>
            </w:r>
          </w:p>
        </w:tc>
        <w:tc>
          <w:tcPr>
            <w:tcW w:w="6095" w:type="dxa"/>
            <w:gridSpan w:val="2"/>
            <w:tcBorders>
              <w:bottom w:val="single" w:sz="4" w:space="0" w:color="auto"/>
            </w:tcBorders>
            <w:vAlign w:val="bottom"/>
          </w:tcPr>
          <w:p w:rsidR="003521FD" w:rsidRPr="007B0775" w:rsidRDefault="003521FD" w:rsidP="00830A1F">
            <w:pPr>
              <w:jc w:val="right"/>
            </w:pPr>
            <w:r w:rsidRPr="007B0775">
              <w:rPr>
                <w:sz w:val="40"/>
              </w:rPr>
              <w:t>CCPR</w:t>
            </w:r>
            <w:r w:rsidRPr="007B0775">
              <w:t>/C/</w:t>
            </w:r>
            <w:r w:rsidR="00BB4732" w:rsidRPr="007B0775">
              <w:t>11</w:t>
            </w:r>
            <w:r w:rsidR="00E256DA" w:rsidRPr="007B0775">
              <w:t>6</w:t>
            </w:r>
            <w:r w:rsidRPr="007B0775">
              <w:t>/D/</w:t>
            </w:r>
            <w:r w:rsidR="007A5D6C" w:rsidRPr="007B0775">
              <w:t>2</w:t>
            </w:r>
            <w:r w:rsidR="00F562E8" w:rsidRPr="007B0775">
              <w:t>314</w:t>
            </w:r>
            <w:r w:rsidR="00E724E6" w:rsidRPr="007B0775">
              <w:t>/201</w:t>
            </w:r>
            <w:r w:rsidR="00F562E8" w:rsidRPr="007B0775">
              <w:t>3</w:t>
            </w:r>
          </w:p>
        </w:tc>
      </w:tr>
      <w:tr w:rsidR="003521FD" w:rsidRPr="007B0775">
        <w:trPr>
          <w:cantSplit/>
          <w:trHeight w:hRule="exact" w:val="2835"/>
        </w:trPr>
        <w:tc>
          <w:tcPr>
            <w:tcW w:w="1276" w:type="dxa"/>
            <w:tcBorders>
              <w:top w:val="single" w:sz="4" w:space="0" w:color="auto"/>
              <w:bottom w:val="single" w:sz="12" w:space="0" w:color="auto"/>
            </w:tcBorders>
          </w:tcPr>
          <w:p w:rsidR="003521FD" w:rsidRPr="007B0775" w:rsidRDefault="00E11E97" w:rsidP="003521FD">
            <w:pPr>
              <w:spacing w:before="120"/>
            </w:pPr>
            <w:r w:rsidRPr="007B0775">
              <w:rPr>
                <w:noProof/>
                <w:lang w:val="en-US"/>
              </w:rPr>
              <w:drawing>
                <wp:inline distT="0" distB="0" distL="0" distR="0" wp14:anchorId="30A0EE3B" wp14:editId="28E01032">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615431" w:rsidRPr="007B0775" w:rsidRDefault="003521FD" w:rsidP="003521FD">
            <w:pPr>
              <w:spacing w:before="120" w:line="380" w:lineRule="exact"/>
              <w:rPr>
                <w:b/>
                <w:sz w:val="34"/>
                <w:szCs w:val="40"/>
              </w:rPr>
            </w:pPr>
            <w:r w:rsidRPr="007B0775">
              <w:rPr>
                <w:b/>
                <w:sz w:val="34"/>
                <w:szCs w:val="40"/>
              </w:rPr>
              <w:t>International Covenant on</w:t>
            </w:r>
            <w:r w:rsidRPr="007B0775">
              <w:rPr>
                <w:b/>
                <w:sz w:val="34"/>
                <w:szCs w:val="40"/>
              </w:rPr>
              <w:br/>
              <w:t>Civil and Political Rights</w:t>
            </w:r>
          </w:p>
        </w:tc>
        <w:tc>
          <w:tcPr>
            <w:tcW w:w="2835" w:type="dxa"/>
            <w:tcBorders>
              <w:top w:val="single" w:sz="4" w:space="0" w:color="auto"/>
              <w:bottom w:val="single" w:sz="12" w:space="0" w:color="auto"/>
            </w:tcBorders>
          </w:tcPr>
          <w:p w:rsidR="0081766B" w:rsidRPr="007B0775" w:rsidRDefault="0081766B" w:rsidP="0081766B">
            <w:pPr>
              <w:spacing w:before="240" w:line="240" w:lineRule="exact"/>
            </w:pPr>
            <w:r w:rsidRPr="007B0775">
              <w:t xml:space="preserve">Distr.: </w:t>
            </w:r>
            <w:r w:rsidR="00015D8D" w:rsidRPr="007B0775">
              <w:t xml:space="preserve">General </w:t>
            </w:r>
          </w:p>
          <w:p w:rsidR="0081766B" w:rsidRPr="007B0775" w:rsidRDefault="00115E3A" w:rsidP="00115E3A">
            <w:pPr>
              <w:spacing w:line="240" w:lineRule="exact"/>
            </w:pPr>
            <w:r w:rsidRPr="007B0775">
              <w:t>25</w:t>
            </w:r>
            <w:r w:rsidR="008F1CDB" w:rsidRPr="007B0775">
              <w:t xml:space="preserve"> May</w:t>
            </w:r>
            <w:r w:rsidR="0081766B" w:rsidRPr="007B0775">
              <w:t xml:space="preserve"> 2016</w:t>
            </w:r>
          </w:p>
          <w:p w:rsidR="0081766B" w:rsidRPr="007B0775" w:rsidRDefault="0081766B" w:rsidP="0081766B">
            <w:pPr>
              <w:spacing w:line="240" w:lineRule="exact"/>
            </w:pPr>
          </w:p>
          <w:p w:rsidR="0081766B" w:rsidRPr="007B0775" w:rsidRDefault="0081766B" w:rsidP="0081766B">
            <w:pPr>
              <w:spacing w:line="240" w:lineRule="exact"/>
            </w:pPr>
            <w:r w:rsidRPr="007B0775">
              <w:t>Original: English</w:t>
            </w:r>
          </w:p>
          <w:p w:rsidR="003521FD" w:rsidRPr="007B0775" w:rsidRDefault="003521FD" w:rsidP="0081766B">
            <w:pPr>
              <w:spacing w:line="240" w:lineRule="exact"/>
            </w:pPr>
          </w:p>
        </w:tc>
      </w:tr>
    </w:tbl>
    <w:p w:rsidR="001C692C" w:rsidRPr="007B0775" w:rsidRDefault="001C692C" w:rsidP="001C692C">
      <w:pPr>
        <w:spacing w:line="20" w:lineRule="exact"/>
        <w:rPr>
          <w:b/>
          <w:sz w:val="2"/>
          <w:szCs w:val="24"/>
          <w:lang w:val="en-US"/>
        </w:rPr>
      </w:pPr>
    </w:p>
    <w:p w:rsidR="003521FD" w:rsidRPr="007B0775" w:rsidRDefault="0081766B" w:rsidP="00BE3429">
      <w:pPr>
        <w:spacing w:before="120"/>
        <w:rPr>
          <w:bCs/>
        </w:rPr>
      </w:pPr>
      <w:r w:rsidRPr="007B0775">
        <w:rPr>
          <w:b/>
          <w:sz w:val="24"/>
          <w:szCs w:val="24"/>
          <w:lang w:val="en-US"/>
        </w:rPr>
        <w:t>Human Rights Committee</w:t>
      </w:r>
    </w:p>
    <w:p w:rsidR="003521FD" w:rsidRPr="007B0775" w:rsidRDefault="003521FD" w:rsidP="00BE3429">
      <w:pPr>
        <w:pStyle w:val="HChG"/>
      </w:pPr>
      <w:r w:rsidRPr="007B0775">
        <w:tab/>
      </w:r>
      <w:r w:rsidRPr="007B0775">
        <w:tab/>
      </w:r>
      <w:r w:rsidR="00D672AA" w:rsidRPr="007B0775">
        <w:t xml:space="preserve">Views adopted by the Committee </w:t>
      </w:r>
      <w:r w:rsidR="008851B8" w:rsidRPr="007B0775">
        <w:t xml:space="preserve">under </w:t>
      </w:r>
      <w:r w:rsidR="00F37604" w:rsidRPr="007B0775">
        <w:t xml:space="preserve">article 5 (4) </w:t>
      </w:r>
      <w:r w:rsidR="00C265D6" w:rsidRPr="007B0775">
        <w:br/>
      </w:r>
      <w:r w:rsidR="00F37604" w:rsidRPr="007B0775">
        <w:t>of the Optional Protocol, concerning communication No.</w:t>
      </w:r>
      <w:r w:rsidR="000C7253" w:rsidRPr="007B0775">
        <w:t> </w:t>
      </w:r>
      <w:r w:rsidR="00F37604" w:rsidRPr="007B0775">
        <w:t>2314/2013</w:t>
      </w:r>
      <w:r w:rsidR="00615431" w:rsidRPr="007B0775">
        <w:rPr>
          <w:rStyle w:val="FootnoteReference"/>
          <w:b w:val="0"/>
          <w:bCs/>
          <w:sz w:val="20"/>
          <w:vertAlign w:val="baseline"/>
        </w:rPr>
        <w:footnoteReference w:customMarkFollows="1" w:id="2"/>
        <w:t>*</w:t>
      </w:r>
      <w:r w:rsidR="00D876DC" w:rsidRPr="007B0775">
        <w:rPr>
          <w:rStyle w:val="FootnoteReference"/>
          <w:b w:val="0"/>
          <w:bCs/>
          <w:position w:val="4"/>
          <w:sz w:val="20"/>
          <w:vertAlign w:val="baseline"/>
        </w:rPr>
        <w:t>,</w:t>
      </w:r>
      <w:r w:rsidR="00615431" w:rsidRPr="007B0775">
        <w:rPr>
          <w:b w:val="0"/>
          <w:sz w:val="20"/>
        </w:rPr>
        <w:t xml:space="preserve"> </w:t>
      </w:r>
      <w:r w:rsidR="00615431" w:rsidRPr="007B0775">
        <w:rPr>
          <w:rStyle w:val="FootnoteReference"/>
          <w:b w:val="0"/>
          <w:bCs/>
          <w:sz w:val="20"/>
          <w:vertAlign w:val="baseline"/>
        </w:rPr>
        <w:footnoteReference w:customMarkFollows="1" w:id="3"/>
        <w:t>**</w:t>
      </w:r>
      <w:r w:rsidR="00D876DC" w:rsidRPr="007B0775">
        <w:rPr>
          <w:b w:val="0"/>
          <w:bCs/>
        </w:rPr>
        <w:t xml:space="preserve"> </w:t>
      </w:r>
    </w:p>
    <w:p w:rsidR="008D6E86" w:rsidRPr="007B0775" w:rsidRDefault="00F37604" w:rsidP="00200FDE">
      <w:pPr>
        <w:pStyle w:val="SingleTxtG"/>
        <w:ind w:left="4536" w:hanging="3402"/>
        <w:jc w:val="left"/>
      </w:pPr>
      <w:r w:rsidRPr="007B0775">
        <w:rPr>
          <w:i/>
        </w:rPr>
        <w:t>Communication s</w:t>
      </w:r>
      <w:r w:rsidR="003521FD" w:rsidRPr="007B0775">
        <w:rPr>
          <w:i/>
        </w:rPr>
        <w:t>ubmitted by:</w:t>
      </w:r>
      <w:r w:rsidR="003521FD" w:rsidRPr="007B0775">
        <w:tab/>
      </w:r>
      <w:r w:rsidR="00424C4D" w:rsidRPr="007B0775">
        <w:t>Y</w:t>
      </w:r>
      <w:r w:rsidR="009F6D6B" w:rsidRPr="007B0775">
        <w:t xml:space="preserve"> (r</w:t>
      </w:r>
      <w:r w:rsidR="003A1820" w:rsidRPr="007B0775">
        <w:t xml:space="preserve">epresented by </w:t>
      </w:r>
      <w:r w:rsidR="00C265D6" w:rsidRPr="007B0775">
        <w:t>c</w:t>
      </w:r>
      <w:r w:rsidR="00D35EFD" w:rsidRPr="007B0775">
        <w:t>ounsel Arash Banakar</w:t>
      </w:r>
      <w:r w:rsidR="003A1820" w:rsidRPr="007B0775">
        <w:t>)</w:t>
      </w:r>
    </w:p>
    <w:p w:rsidR="003521FD" w:rsidRPr="007B0775" w:rsidRDefault="003521FD">
      <w:pPr>
        <w:pStyle w:val="SingleTxtG"/>
        <w:ind w:left="4536" w:hanging="3402"/>
        <w:jc w:val="left"/>
      </w:pPr>
      <w:r w:rsidRPr="007B0775">
        <w:rPr>
          <w:i/>
        </w:rPr>
        <w:t>Alleged victim:</w:t>
      </w:r>
      <w:r w:rsidRPr="007B0775">
        <w:tab/>
        <w:t>Th</w:t>
      </w:r>
      <w:r w:rsidR="00F71FEB" w:rsidRPr="007B0775">
        <w:t>e author</w:t>
      </w:r>
    </w:p>
    <w:p w:rsidR="003521FD" w:rsidRPr="007B0775" w:rsidRDefault="003521FD" w:rsidP="00BE3429">
      <w:pPr>
        <w:pStyle w:val="SingleTxtG"/>
        <w:ind w:left="4536" w:hanging="3402"/>
        <w:jc w:val="left"/>
        <w:rPr>
          <w:lang w:val="en-US"/>
        </w:rPr>
      </w:pPr>
      <w:r w:rsidRPr="007B0775">
        <w:rPr>
          <w:i/>
        </w:rPr>
        <w:t xml:space="preserve">State </w:t>
      </w:r>
      <w:r w:rsidR="00BF6F98" w:rsidRPr="007B0775">
        <w:rPr>
          <w:i/>
        </w:rPr>
        <w:t>p</w:t>
      </w:r>
      <w:r w:rsidRPr="007B0775">
        <w:rPr>
          <w:i/>
        </w:rPr>
        <w:t>arty:</w:t>
      </w:r>
      <w:r w:rsidRPr="007B0775">
        <w:tab/>
      </w:r>
      <w:r w:rsidR="00D35EFD" w:rsidRPr="007B0775">
        <w:t>Canada</w:t>
      </w:r>
    </w:p>
    <w:p w:rsidR="003521FD" w:rsidRPr="007B0775" w:rsidRDefault="003521FD" w:rsidP="00200FDE">
      <w:pPr>
        <w:pStyle w:val="SingleTxtG"/>
        <w:ind w:left="4536" w:hanging="3402"/>
        <w:jc w:val="left"/>
      </w:pPr>
      <w:r w:rsidRPr="007B0775">
        <w:rPr>
          <w:i/>
        </w:rPr>
        <w:t>Date of communication:</w:t>
      </w:r>
      <w:r w:rsidRPr="007B0775">
        <w:tab/>
      </w:r>
      <w:r w:rsidR="00D35EFD" w:rsidRPr="007B0775">
        <w:t>6</w:t>
      </w:r>
      <w:r w:rsidR="00EB1D3F" w:rsidRPr="007B0775">
        <w:t xml:space="preserve"> </w:t>
      </w:r>
      <w:r w:rsidR="00D35EFD" w:rsidRPr="007B0775">
        <w:t>December</w:t>
      </w:r>
      <w:r w:rsidR="00EB1D3F" w:rsidRPr="007B0775">
        <w:t xml:space="preserve"> 201</w:t>
      </w:r>
      <w:r w:rsidR="00D35EFD" w:rsidRPr="007B0775">
        <w:t>3</w:t>
      </w:r>
      <w:r w:rsidR="009F6D6B" w:rsidRPr="007B0775">
        <w:t xml:space="preserve"> </w:t>
      </w:r>
      <w:r w:rsidR="009F6D6B" w:rsidRPr="007B0775">
        <w:rPr>
          <w:lang w:val="x-none"/>
        </w:rPr>
        <w:t>(initial submission)</w:t>
      </w:r>
    </w:p>
    <w:p w:rsidR="003521FD" w:rsidRPr="007B0775" w:rsidRDefault="003521FD">
      <w:pPr>
        <w:pStyle w:val="SingleTxtG"/>
        <w:ind w:left="4536" w:hanging="3402"/>
        <w:jc w:val="left"/>
      </w:pPr>
      <w:r w:rsidRPr="007B0775">
        <w:rPr>
          <w:i/>
        </w:rPr>
        <w:t>Document references:</w:t>
      </w:r>
      <w:r w:rsidRPr="007B0775">
        <w:tab/>
      </w:r>
      <w:r w:rsidR="00615431" w:rsidRPr="007B0775">
        <w:t xml:space="preserve">Decision taken pursuant to </w:t>
      </w:r>
      <w:r w:rsidRPr="007B0775">
        <w:t xml:space="preserve">rule 97 </w:t>
      </w:r>
      <w:r w:rsidR="00615431" w:rsidRPr="007B0775">
        <w:t>of the Committee’s rules of procedure</w:t>
      </w:r>
      <w:r w:rsidRPr="007B0775">
        <w:t xml:space="preserve">, transmitted to the State party on </w:t>
      </w:r>
      <w:r w:rsidR="00D35EFD" w:rsidRPr="007B0775">
        <w:t xml:space="preserve">9 December 2013 </w:t>
      </w:r>
      <w:r w:rsidRPr="007B0775">
        <w:t>(not issued in document form)</w:t>
      </w:r>
    </w:p>
    <w:p w:rsidR="0081766B" w:rsidRPr="007B0775" w:rsidRDefault="003521FD">
      <w:pPr>
        <w:pStyle w:val="SingleTxtG"/>
        <w:ind w:left="4536" w:hanging="3402"/>
        <w:jc w:val="left"/>
      </w:pPr>
      <w:r w:rsidRPr="007B0775">
        <w:rPr>
          <w:i/>
        </w:rPr>
        <w:t>Date of adoption of Views:</w:t>
      </w:r>
      <w:r w:rsidR="00D672AA" w:rsidRPr="007B0775">
        <w:tab/>
        <w:t>22</w:t>
      </w:r>
      <w:r w:rsidR="00C265D6" w:rsidRPr="007B0775">
        <w:t xml:space="preserve"> </w:t>
      </w:r>
      <w:r w:rsidR="00DA1199" w:rsidRPr="007B0775">
        <w:t>March</w:t>
      </w:r>
      <w:r w:rsidR="00D27EA6" w:rsidRPr="007B0775">
        <w:t xml:space="preserve"> 201</w:t>
      </w:r>
      <w:r w:rsidR="00DA1199" w:rsidRPr="007B0775">
        <w:t>6</w:t>
      </w:r>
    </w:p>
    <w:p w:rsidR="003521FD" w:rsidRPr="007B0775" w:rsidRDefault="0081766B">
      <w:pPr>
        <w:pStyle w:val="SingleTxtG"/>
        <w:ind w:left="4536" w:hanging="3402"/>
        <w:jc w:val="left"/>
      </w:pPr>
      <w:r w:rsidRPr="007B0775">
        <w:rPr>
          <w:i/>
          <w:iCs/>
        </w:rPr>
        <w:t>Subject matter:</w:t>
      </w:r>
      <w:r w:rsidR="003521FD" w:rsidRPr="007B0775">
        <w:rPr>
          <w:i/>
          <w:iCs/>
        </w:rPr>
        <w:tab/>
      </w:r>
      <w:r w:rsidR="00E53E9A" w:rsidRPr="007B0775">
        <w:rPr>
          <w:iCs/>
        </w:rPr>
        <w:t>Deportation to Sri Lanka</w:t>
      </w:r>
    </w:p>
    <w:p w:rsidR="00B3389D" w:rsidRPr="007B0775" w:rsidRDefault="003521FD">
      <w:pPr>
        <w:pStyle w:val="SingleTxtG"/>
        <w:ind w:left="4536" w:hanging="3402"/>
        <w:jc w:val="left"/>
        <w:rPr>
          <w:iCs/>
        </w:rPr>
      </w:pPr>
      <w:r w:rsidRPr="007B0775">
        <w:rPr>
          <w:i/>
          <w:iCs/>
          <w:lang w:val="en-US"/>
        </w:rPr>
        <w:t>Procedural issues</w:t>
      </w:r>
      <w:r w:rsidRPr="007B0775">
        <w:rPr>
          <w:lang w:val="en-US"/>
        </w:rPr>
        <w:t>:</w:t>
      </w:r>
      <w:r w:rsidRPr="007B0775">
        <w:rPr>
          <w:lang w:val="en-US"/>
        </w:rPr>
        <w:tab/>
      </w:r>
      <w:r w:rsidR="00D35EFD" w:rsidRPr="007B0775">
        <w:rPr>
          <w:iCs/>
        </w:rPr>
        <w:t>Exhaustion</w:t>
      </w:r>
      <w:r w:rsidR="00D35EFD" w:rsidRPr="007B0775">
        <w:rPr>
          <w:lang w:val="en-US"/>
        </w:rPr>
        <w:t xml:space="preserve"> of domestic remedies</w:t>
      </w:r>
    </w:p>
    <w:p w:rsidR="003521FD" w:rsidRPr="007B0775" w:rsidRDefault="003521FD">
      <w:pPr>
        <w:pStyle w:val="SingleTxtG"/>
        <w:ind w:left="4536" w:hanging="3402"/>
        <w:jc w:val="left"/>
        <w:rPr>
          <w:lang w:val="en-US"/>
        </w:rPr>
      </w:pPr>
      <w:r w:rsidRPr="007B0775">
        <w:rPr>
          <w:i/>
          <w:lang w:val="en-US"/>
        </w:rPr>
        <w:t>Substantive issues:</w:t>
      </w:r>
      <w:r w:rsidRPr="007B0775">
        <w:rPr>
          <w:i/>
          <w:lang w:val="en-US"/>
        </w:rPr>
        <w:tab/>
      </w:r>
      <w:r w:rsidR="00424C4D" w:rsidRPr="007B0775">
        <w:rPr>
          <w:lang w:val="en-US"/>
        </w:rPr>
        <w:t>Right to life;</w:t>
      </w:r>
      <w:r w:rsidR="00D35EFD" w:rsidRPr="007B0775">
        <w:rPr>
          <w:lang w:val="en-US"/>
        </w:rPr>
        <w:t xml:space="preserve"> t</w:t>
      </w:r>
      <w:r w:rsidR="00D27EA6" w:rsidRPr="007B0775">
        <w:rPr>
          <w:lang w:val="en-US"/>
        </w:rPr>
        <w:t>orture</w:t>
      </w:r>
      <w:r w:rsidR="000F30FF" w:rsidRPr="007B0775">
        <w:rPr>
          <w:lang w:val="en-US"/>
        </w:rPr>
        <w:t>,</w:t>
      </w:r>
      <w:r w:rsidR="00D27EA6" w:rsidRPr="007B0775">
        <w:rPr>
          <w:lang w:val="en-US"/>
        </w:rPr>
        <w:t xml:space="preserve"> cruel, inhuman or degrading treatment or punishment</w:t>
      </w:r>
      <w:r w:rsidR="00424C4D" w:rsidRPr="007B0775">
        <w:rPr>
          <w:lang w:val="en-US"/>
        </w:rPr>
        <w:t>;</w:t>
      </w:r>
      <w:r w:rsidR="00D35EFD" w:rsidRPr="007B0775">
        <w:rPr>
          <w:lang w:val="en-US"/>
        </w:rPr>
        <w:t xml:space="preserve"> and arbitrary detention</w:t>
      </w:r>
      <w:r w:rsidR="005F1B59" w:rsidRPr="007B0775">
        <w:rPr>
          <w:lang w:val="en-US"/>
        </w:rPr>
        <w:t xml:space="preserve"> </w:t>
      </w:r>
    </w:p>
    <w:p w:rsidR="003521FD" w:rsidRPr="007B0775" w:rsidRDefault="0081766B">
      <w:pPr>
        <w:pStyle w:val="SingleTxtG"/>
        <w:ind w:left="4536" w:hanging="3402"/>
        <w:jc w:val="left"/>
      </w:pPr>
      <w:r w:rsidRPr="007B0775">
        <w:rPr>
          <w:i/>
          <w:iCs/>
        </w:rPr>
        <w:t>Articles of the Covenant:</w:t>
      </w:r>
      <w:r w:rsidR="003521FD" w:rsidRPr="007B0775">
        <w:rPr>
          <w:i/>
          <w:iCs/>
        </w:rPr>
        <w:tab/>
      </w:r>
      <w:r w:rsidR="00D35EFD" w:rsidRPr="007B0775">
        <w:rPr>
          <w:iCs/>
        </w:rPr>
        <w:t xml:space="preserve">6 (1), </w:t>
      </w:r>
      <w:r w:rsidR="00B3389D" w:rsidRPr="007B0775">
        <w:rPr>
          <w:iCs/>
        </w:rPr>
        <w:t>7</w:t>
      </w:r>
      <w:r w:rsidR="001D1C3A" w:rsidRPr="007B0775">
        <w:rPr>
          <w:iCs/>
        </w:rPr>
        <w:t xml:space="preserve"> </w:t>
      </w:r>
      <w:r w:rsidR="00D35EFD" w:rsidRPr="007B0775">
        <w:rPr>
          <w:iCs/>
        </w:rPr>
        <w:t xml:space="preserve">and 9 (1) </w:t>
      </w:r>
    </w:p>
    <w:p w:rsidR="00D646B7" w:rsidRPr="007B0775" w:rsidRDefault="003521FD">
      <w:pPr>
        <w:pStyle w:val="SingleTxtG"/>
        <w:ind w:left="4536" w:hanging="3402"/>
        <w:jc w:val="left"/>
      </w:pPr>
      <w:r w:rsidRPr="007B0775">
        <w:rPr>
          <w:i/>
          <w:iCs/>
        </w:rPr>
        <w:t xml:space="preserve">Articles of the Optional Protocol: </w:t>
      </w:r>
      <w:r w:rsidRPr="007B0775">
        <w:rPr>
          <w:i/>
          <w:iCs/>
        </w:rPr>
        <w:tab/>
      </w:r>
      <w:r w:rsidR="003D6988" w:rsidRPr="007B0775">
        <w:rPr>
          <w:lang w:val="en-US"/>
        </w:rPr>
        <w:t>2</w:t>
      </w:r>
    </w:p>
    <w:p w:rsidR="003521FD" w:rsidRPr="007B0775" w:rsidRDefault="0081766B" w:rsidP="00BE3429">
      <w:pPr>
        <w:pStyle w:val="SingleTxtG"/>
        <w:rPr>
          <w:b/>
        </w:rPr>
      </w:pPr>
      <w:r w:rsidRPr="007B0775">
        <w:tab/>
      </w:r>
    </w:p>
    <w:p w:rsidR="00D34E23" w:rsidRPr="007B0775" w:rsidRDefault="003521FD" w:rsidP="00200FDE">
      <w:pPr>
        <w:pStyle w:val="SingleTxtG"/>
      </w:pPr>
      <w:r w:rsidRPr="007B0775">
        <w:lastRenderedPageBreak/>
        <w:br w:type="page"/>
      </w:r>
      <w:r w:rsidR="00342D33" w:rsidRPr="007B0775">
        <w:lastRenderedPageBreak/>
        <w:t>1.1.</w:t>
      </w:r>
      <w:r w:rsidR="00342D33" w:rsidRPr="007B0775">
        <w:tab/>
        <w:t>The author of the communication</w:t>
      </w:r>
      <w:r w:rsidR="0009146B" w:rsidRPr="007B0775">
        <w:t xml:space="preserve">, Y, is a Sri Lankan national, born on 25 July 1986 and residing in Canada. He is </w:t>
      </w:r>
      <w:r w:rsidR="00342D33" w:rsidRPr="007B0775">
        <w:t>subject to deportation</w:t>
      </w:r>
      <w:r w:rsidR="00085C20" w:rsidRPr="007B0775">
        <w:t xml:space="preserve"> to</w:t>
      </w:r>
      <w:r w:rsidR="0009146B" w:rsidRPr="007B0775">
        <w:t xml:space="preserve"> Sri Lanka</w:t>
      </w:r>
      <w:r w:rsidR="00085C20" w:rsidRPr="007B0775">
        <w:t xml:space="preserve">, </w:t>
      </w:r>
      <w:r w:rsidR="0009146B" w:rsidRPr="007B0775">
        <w:t>following the rejection of his</w:t>
      </w:r>
      <w:r w:rsidR="00342D33" w:rsidRPr="007B0775">
        <w:t xml:space="preserve"> application for refugee status in</w:t>
      </w:r>
      <w:r w:rsidR="0009146B" w:rsidRPr="007B0775">
        <w:t xml:space="preserve"> Canada. He</w:t>
      </w:r>
      <w:r w:rsidR="00342D33" w:rsidRPr="007B0775">
        <w:t xml:space="preserve"> </w:t>
      </w:r>
      <w:r w:rsidR="00784544" w:rsidRPr="007B0775">
        <w:t>claim</w:t>
      </w:r>
      <w:r w:rsidR="0009146B" w:rsidRPr="007B0775">
        <w:t>s</w:t>
      </w:r>
      <w:r w:rsidR="00085C20" w:rsidRPr="007B0775">
        <w:t xml:space="preserve"> that</w:t>
      </w:r>
      <w:r w:rsidR="00200FDE" w:rsidRPr="007B0775">
        <w:t>,</w:t>
      </w:r>
      <w:r w:rsidR="00085C20" w:rsidRPr="007B0775">
        <w:t xml:space="preserve"> </w:t>
      </w:r>
      <w:r w:rsidR="00ED014D" w:rsidRPr="007B0775">
        <w:t xml:space="preserve">by forcibly deporting </w:t>
      </w:r>
      <w:r w:rsidR="0009146B" w:rsidRPr="007B0775">
        <w:t xml:space="preserve">him </w:t>
      </w:r>
      <w:r w:rsidR="00ED014D" w:rsidRPr="007B0775">
        <w:t>to</w:t>
      </w:r>
      <w:r w:rsidR="0009146B" w:rsidRPr="007B0775">
        <w:t xml:space="preserve"> Sri Lanka</w:t>
      </w:r>
      <w:r w:rsidR="00ED014D" w:rsidRPr="007B0775">
        <w:t xml:space="preserve">, </w:t>
      </w:r>
      <w:r w:rsidR="0009146B" w:rsidRPr="007B0775">
        <w:t>Canada would violate his</w:t>
      </w:r>
      <w:r w:rsidR="00ED014D" w:rsidRPr="007B0775">
        <w:t xml:space="preserve"> rights under article</w:t>
      </w:r>
      <w:r w:rsidR="0009146B" w:rsidRPr="007B0775">
        <w:t xml:space="preserve">s 6 (1), </w:t>
      </w:r>
      <w:r w:rsidR="00ED014D" w:rsidRPr="007B0775">
        <w:t>7</w:t>
      </w:r>
      <w:r w:rsidR="0009146B" w:rsidRPr="007B0775">
        <w:t xml:space="preserve"> and 9 (1)</w:t>
      </w:r>
      <w:r w:rsidR="00ED014D" w:rsidRPr="007B0775">
        <w:t xml:space="preserve"> of the International Covenant on Civil and Political Rights.</w:t>
      </w:r>
      <w:r w:rsidR="00342D33" w:rsidRPr="007B0775">
        <w:t xml:space="preserve"> The author</w:t>
      </w:r>
      <w:r w:rsidR="0009146B" w:rsidRPr="007B0775">
        <w:t xml:space="preserve"> is</w:t>
      </w:r>
      <w:r w:rsidR="00342D33" w:rsidRPr="007B0775">
        <w:t xml:space="preserve"> represented by</w:t>
      </w:r>
      <w:r w:rsidR="0009146B" w:rsidRPr="007B0775">
        <w:t xml:space="preserve"> counsel</w:t>
      </w:r>
      <w:r w:rsidR="00342D33" w:rsidRPr="007B0775">
        <w:t>. The Optional Protocol entered into force</w:t>
      </w:r>
      <w:r w:rsidR="00D34E23" w:rsidRPr="007B0775">
        <w:t xml:space="preserve"> for </w:t>
      </w:r>
      <w:r w:rsidR="0009146B" w:rsidRPr="007B0775">
        <w:t xml:space="preserve">Canada </w:t>
      </w:r>
      <w:r w:rsidR="00D34E23" w:rsidRPr="007B0775">
        <w:t>on</w:t>
      </w:r>
      <w:r w:rsidR="0009146B" w:rsidRPr="007B0775">
        <w:t xml:space="preserve"> 19</w:t>
      </w:r>
      <w:r w:rsidR="00085C20" w:rsidRPr="007B0775">
        <w:t xml:space="preserve"> </w:t>
      </w:r>
      <w:r w:rsidR="0009146B" w:rsidRPr="007B0775">
        <w:t>May 1976</w:t>
      </w:r>
      <w:r w:rsidR="00D34E23" w:rsidRPr="007B0775">
        <w:t>.</w:t>
      </w:r>
    </w:p>
    <w:p w:rsidR="00ED014D" w:rsidRPr="007B0775" w:rsidRDefault="00D34E23" w:rsidP="00A42FEB">
      <w:pPr>
        <w:pStyle w:val="SingleTxtG"/>
      </w:pPr>
      <w:r w:rsidRPr="007B0775">
        <w:t>1.2</w:t>
      </w:r>
      <w:r w:rsidRPr="007B0775">
        <w:tab/>
      </w:r>
      <w:r w:rsidR="003D485C" w:rsidRPr="007B0775">
        <w:t xml:space="preserve">On </w:t>
      </w:r>
      <w:r w:rsidR="00E708AA" w:rsidRPr="007B0775">
        <w:t>9 December 2013</w:t>
      </w:r>
      <w:r w:rsidR="003D485C" w:rsidRPr="007B0775">
        <w:t xml:space="preserve">, </w:t>
      </w:r>
      <w:r w:rsidR="00ED014D" w:rsidRPr="007B0775">
        <w:t xml:space="preserve">pursuant to rule 92 of the Committee’s rules of procedure, the Committee, acting through its Special Rapporteur on new communications and interim measures, requested the State party not to deport the author to </w:t>
      </w:r>
      <w:r w:rsidR="00E708AA" w:rsidRPr="007B0775">
        <w:t xml:space="preserve">Sri Lanka while his </w:t>
      </w:r>
      <w:r w:rsidR="00ED014D" w:rsidRPr="007B0775">
        <w:t xml:space="preserve">case was under consideration by the Committee. </w:t>
      </w:r>
    </w:p>
    <w:p w:rsidR="003521FD" w:rsidRPr="007B0775" w:rsidRDefault="003521FD" w:rsidP="00FE60E4">
      <w:pPr>
        <w:pStyle w:val="H23G"/>
      </w:pPr>
      <w:r w:rsidRPr="007B0775">
        <w:tab/>
      </w:r>
      <w:r w:rsidRPr="007B0775">
        <w:tab/>
      </w:r>
      <w:r w:rsidR="00F5438C" w:rsidRPr="007B0775">
        <w:t>Factual background</w:t>
      </w:r>
      <w:r w:rsidR="001704EC" w:rsidRPr="007B0775">
        <w:t xml:space="preserve"> </w:t>
      </w:r>
    </w:p>
    <w:p w:rsidR="00D32C4F" w:rsidRPr="007B0775" w:rsidRDefault="002731ED" w:rsidP="00BF6F98">
      <w:pPr>
        <w:pStyle w:val="SingleTxtG"/>
      </w:pPr>
      <w:r w:rsidRPr="007B0775">
        <w:t>2.1</w:t>
      </w:r>
      <w:r w:rsidR="003521FD" w:rsidRPr="007B0775">
        <w:tab/>
      </w:r>
      <w:r w:rsidR="007E6022" w:rsidRPr="007B0775">
        <w:t xml:space="preserve">Y </w:t>
      </w:r>
      <w:r w:rsidR="007E6022" w:rsidRPr="007B0775">
        <w:rPr>
          <w:lang w:val="en-US"/>
        </w:rPr>
        <w:t>is an ethnic Tamil and Hindu by faith from the Northern Province of Sri Lanka (Jaffna). He claims that</w:t>
      </w:r>
      <w:r w:rsidR="00200FDE" w:rsidRPr="007B0775">
        <w:rPr>
          <w:lang w:val="en-US"/>
        </w:rPr>
        <w:t>,</w:t>
      </w:r>
      <w:r w:rsidR="007E6022" w:rsidRPr="007B0775">
        <w:rPr>
          <w:lang w:val="en-US"/>
        </w:rPr>
        <w:t xml:space="preserve"> during the civil war</w:t>
      </w:r>
      <w:r w:rsidR="00200FDE" w:rsidRPr="007B0775">
        <w:rPr>
          <w:lang w:val="en-US"/>
        </w:rPr>
        <w:t xml:space="preserve"> in Sri Lanka</w:t>
      </w:r>
      <w:r w:rsidR="007E6022" w:rsidRPr="007B0775">
        <w:rPr>
          <w:lang w:val="en-US"/>
        </w:rPr>
        <w:t xml:space="preserve">, he was assaulted on several occasions as a result of his activities </w:t>
      </w:r>
      <w:r w:rsidR="00713929" w:rsidRPr="007B0775">
        <w:rPr>
          <w:lang w:val="en-US"/>
        </w:rPr>
        <w:t xml:space="preserve">as a </w:t>
      </w:r>
      <w:r w:rsidR="007E6022" w:rsidRPr="007B0775">
        <w:rPr>
          <w:lang w:val="en-US"/>
        </w:rPr>
        <w:t>newspaper photograph</w:t>
      </w:r>
      <w:r w:rsidR="000C6262" w:rsidRPr="007B0775">
        <w:rPr>
          <w:lang w:val="en-US"/>
        </w:rPr>
        <w:t>er</w:t>
      </w:r>
      <w:r w:rsidR="007E6022" w:rsidRPr="007B0775">
        <w:rPr>
          <w:lang w:val="en-US"/>
        </w:rPr>
        <w:t xml:space="preserve"> documenting </w:t>
      </w:r>
      <w:r w:rsidR="00BB77AB" w:rsidRPr="007B0775">
        <w:t xml:space="preserve">public events and celebrations </w:t>
      </w:r>
      <w:r w:rsidR="00200FDE" w:rsidRPr="007B0775">
        <w:t xml:space="preserve">and </w:t>
      </w:r>
      <w:r w:rsidR="00BB77AB" w:rsidRPr="007B0775">
        <w:t>the human tragedies that were occurring daily for the Tamil people, such as abductions, death threats, shootings and white van kidnappings</w:t>
      </w:r>
      <w:r w:rsidR="007E6022" w:rsidRPr="007B0775">
        <w:rPr>
          <w:lang w:val="en-US"/>
        </w:rPr>
        <w:t>.</w:t>
      </w:r>
      <w:r w:rsidR="00713929" w:rsidRPr="007B0775">
        <w:rPr>
          <w:lang w:val="en-US"/>
        </w:rPr>
        <w:t xml:space="preserve"> He indicates that</w:t>
      </w:r>
      <w:r w:rsidR="00200FDE" w:rsidRPr="007B0775">
        <w:rPr>
          <w:lang w:val="en-US"/>
        </w:rPr>
        <w:t>,</w:t>
      </w:r>
      <w:r w:rsidR="00713929" w:rsidRPr="007B0775">
        <w:rPr>
          <w:lang w:val="en-US"/>
        </w:rPr>
        <w:t xml:space="preserve"> </w:t>
      </w:r>
      <w:r w:rsidR="008442EA" w:rsidRPr="007B0775">
        <w:rPr>
          <w:lang w:val="en-US"/>
        </w:rPr>
        <w:t xml:space="preserve">from October 2006, </w:t>
      </w:r>
      <w:r w:rsidR="00713929" w:rsidRPr="007B0775">
        <w:rPr>
          <w:lang w:val="en-US"/>
        </w:rPr>
        <w:t xml:space="preserve">he took photographs for the </w:t>
      </w:r>
      <w:r w:rsidR="00713929" w:rsidRPr="007B0775">
        <w:rPr>
          <w:i/>
          <w:lang w:val="en-US"/>
        </w:rPr>
        <w:t>Uthayan</w:t>
      </w:r>
      <w:r w:rsidR="00713929" w:rsidRPr="007B0775">
        <w:rPr>
          <w:lang w:val="en-US"/>
        </w:rPr>
        <w:t xml:space="preserve"> newspaper in the Valikamam district (</w:t>
      </w:r>
      <w:r w:rsidR="00BF6F98" w:rsidRPr="007B0775">
        <w:rPr>
          <w:lang w:val="en-US"/>
        </w:rPr>
        <w:t>w</w:t>
      </w:r>
      <w:r w:rsidR="00713929" w:rsidRPr="007B0775">
        <w:rPr>
          <w:lang w:val="en-US"/>
        </w:rPr>
        <w:t xml:space="preserve">est </w:t>
      </w:r>
      <w:r w:rsidR="00BF6F98" w:rsidRPr="007B0775">
        <w:rPr>
          <w:lang w:val="en-US"/>
        </w:rPr>
        <w:t>a</w:t>
      </w:r>
      <w:r w:rsidR="00713929" w:rsidRPr="007B0775">
        <w:rPr>
          <w:lang w:val="en-US"/>
        </w:rPr>
        <w:t>rea)</w:t>
      </w:r>
      <w:r w:rsidR="00713929" w:rsidRPr="007B0775">
        <w:rPr>
          <w:rStyle w:val="FootnoteReference"/>
          <w:lang w:val="en-US"/>
        </w:rPr>
        <w:footnoteReference w:id="4"/>
      </w:r>
      <w:r w:rsidR="00713929" w:rsidRPr="007B0775">
        <w:rPr>
          <w:lang w:val="en-US"/>
        </w:rPr>
        <w:t xml:space="preserve"> and that he also sold photographs to the </w:t>
      </w:r>
      <w:r w:rsidR="00713929" w:rsidRPr="007B0775">
        <w:rPr>
          <w:i/>
          <w:lang w:val="en-US"/>
        </w:rPr>
        <w:t>Namathi Eelandu</w:t>
      </w:r>
      <w:r w:rsidR="00713929" w:rsidRPr="007B0775">
        <w:rPr>
          <w:lang w:val="en-US"/>
        </w:rPr>
        <w:t xml:space="preserve"> </w:t>
      </w:r>
      <w:r w:rsidR="00200FDE" w:rsidRPr="007B0775">
        <w:rPr>
          <w:lang w:val="en-US"/>
        </w:rPr>
        <w:t>n</w:t>
      </w:r>
      <w:r w:rsidR="00713929" w:rsidRPr="007B0775">
        <w:rPr>
          <w:lang w:val="en-US"/>
        </w:rPr>
        <w:t>ewspaper.</w:t>
      </w:r>
      <w:r w:rsidR="000C6262" w:rsidRPr="007B0775">
        <w:rPr>
          <w:lang w:val="en-US"/>
        </w:rPr>
        <w:t xml:space="preserve"> </w:t>
      </w:r>
      <w:r w:rsidR="00D32C4F" w:rsidRPr="007B0775">
        <w:rPr>
          <w:lang w:val="en-US"/>
        </w:rPr>
        <w:t xml:space="preserve">This activity drew the attention of the government authorities, including the Eelam People’s Democratic Party. </w:t>
      </w:r>
      <w:r w:rsidR="008442EA" w:rsidRPr="007B0775">
        <w:rPr>
          <w:lang w:val="en-US"/>
        </w:rPr>
        <w:t>The author alleges</w:t>
      </w:r>
      <w:r w:rsidR="00A90D23" w:rsidRPr="007B0775">
        <w:rPr>
          <w:lang w:val="en-US"/>
        </w:rPr>
        <w:t xml:space="preserve"> that he </w:t>
      </w:r>
      <w:r w:rsidR="00D32C4F" w:rsidRPr="007B0775">
        <w:rPr>
          <w:lang w:val="en-US"/>
        </w:rPr>
        <w:t xml:space="preserve">was first arrested in February 2007 at a demonstration </w:t>
      </w:r>
      <w:r w:rsidR="00BF6F98" w:rsidRPr="007B0775">
        <w:rPr>
          <w:lang w:val="en-US"/>
        </w:rPr>
        <w:t xml:space="preserve">held in protest </w:t>
      </w:r>
      <w:r w:rsidR="00D32C4F" w:rsidRPr="007B0775">
        <w:rPr>
          <w:lang w:val="en-US"/>
        </w:rPr>
        <w:t xml:space="preserve">against abductions and killings. His camera was taken </w:t>
      </w:r>
      <w:r w:rsidR="00DF25F9" w:rsidRPr="007B0775">
        <w:rPr>
          <w:lang w:val="en-US"/>
        </w:rPr>
        <w:t xml:space="preserve">and </w:t>
      </w:r>
      <w:r w:rsidR="00DF25F9" w:rsidRPr="007B0775">
        <w:t xml:space="preserve">he was locked up in an army camp in Uduvil. He states that he was interrogated regarding his connections </w:t>
      </w:r>
      <w:r w:rsidR="00BF6F98" w:rsidRPr="007B0775">
        <w:t xml:space="preserve">to the Liberation Tigers of Tamil Eelam </w:t>
      </w:r>
      <w:r w:rsidR="00DF25F9" w:rsidRPr="007B0775">
        <w:t xml:space="preserve">and journalism work, warned to not get involved in sensitive events and </w:t>
      </w:r>
      <w:r w:rsidR="00BF6F98" w:rsidRPr="007B0775">
        <w:t xml:space="preserve">told </w:t>
      </w:r>
      <w:r w:rsidR="008442EA" w:rsidRPr="007B0775">
        <w:t xml:space="preserve">that he </w:t>
      </w:r>
      <w:r w:rsidR="00DF25F9" w:rsidRPr="007B0775">
        <w:t xml:space="preserve">should </w:t>
      </w:r>
      <w:r w:rsidR="008442EA" w:rsidRPr="007B0775">
        <w:t xml:space="preserve">only </w:t>
      </w:r>
      <w:r w:rsidR="00DF25F9" w:rsidRPr="007B0775">
        <w:t xml:space="preserve">photograph public events like opening ceremonies. </w:t>
      </w:r>
      <w:r w:rsidR="008442EA" w:rsidRPr="007B0775">
        <w:t>During this detention, the author</w:t>
      </w:r>
      <w:r w:rsidR="00DF25F9" w:rsidRPr="007B0775">
        <w:t xml:space="preserve"> was savagely assaulted, hit and kicked</w:t>
      </w:r>
      <w:r w:rsidR="00E53E9A" w:rsidRPr="007B0775">
        <w:t>.</w:t>
      </w:r>
      <w:r w:rsidR="008442EA" w:rsidRPr="007B0775">
        <w:t xml:space="preserve"> H</w:t>
      </w:r>
      <w:r w:rsidR="00DF25F9" w:rsidRPr="007B0775">
        <w:t>is right arm was fractured and he fainted because of the pain</w:t>
      </w:r>
      <w:r w:rsidR="00AA1260" w:rsidRPr="007B0775">
        <w:t xml:space="preserve"> he was suffering</w:t>
      </w:r>
      <w:r w:rsidR="00DF25F9" w:rsidRPr="007B0775">
        <w:t>.</w:t>
      </w:r>
      <w:r w:rsidR="00456547" w:rsidRPr="007B0775">
        <w:t xml:space="preserve"> </w:t>
      </w:r>
      <w:r w:rsidR="008442EA" w:rsidRPr="007B0775">
        <w:t>On an unknown date</w:t>
      </w:r>
      <w:r w:rsidR="00456547" w:rsidRPr="007B0775">
        <w:t xml:space="preserve">, </w:t>
      </w:r>
      <w:r w:rsidR="008442EA" w:rsidRPr="007B0775">
        <w:t xml:space="preserve">the author </w:t>
      </w:r>
      <w:r w:rsidR="00456547" w:rsidRPr="007B0775">
        <w:t xml:space="preserve">was left </w:t>
      </w:r>
      <w:r w:rsidR="008442EA" w:rsidRPr="007B0775">
        <w:t xml:space="preserve">on </w:t>
      </w:r>
      <w:r w:rsidR="00456547" w:rsidRPr="007B0775">
        <w:t>a road.</w:t>
      </w:r>
    </w:p>
    <w:p w:rsidR="00325F0B" w:rsidRPr="007B0775" w:rsidRDefault="00325F0B" w:rsidP="00BF6F98">
      <w:pPr>
        <w:pStyle w:val="SingleTxtG"/>
        <w:rPr>
          <w:lang w:val="en-US"/>
        </w:rPr>
      </w:pPr>
      <w:r w:rsidRPr="007B0775">
        <w:rPr>
          <w:lang w:val="en-US"/>
        </w:rPr>
        <w:t>2.2</w:t>
      </w:r>
      <w:r w:rsidRPr="007B0775">
        <w:rPr>
          <w:lang w:val="en-US"/>
        </w:rPr>
        <w:tab/>
        <w:t xml:space="preserve">The author continued to take photographs of acts of brutality in the area. These photographs were published under aliases. </w:t>
      </w:r>
      <w:r w:rsidR="00F5048E" w:rsidRPr="007B0775">
        <w:rPr>
          <w:lang w:val="en-US"/>
        </w:rPr>
        <w:t>On 19 December</w:t>
      </w:r>
      <w:r w:rsidRPr="007B0775">
        <w:rPr>
          <w:lang w:val="en-US"/>
        </w:rPr>
        <w:t xml:space="preserve"> 2007,</w:t>
      </w:r>
      <w:r w:rsidR="00F5048E" w:rsidRPr="007B0775">
        <w:rPr>
          <w:lang w:val="en-US"/>
        </w:rPr>
        <w:t xml:space="preserve"> he was stopped </w:t>
      </w:r>
      <w:r w:rsidR="008442EA" w:rsidRPr="007B0775">
        <w:rPr>
          <w:lang w:val="en-US"/>
        </w:rPr>
        <w:t xml:space="preserve">by three men on </w:t>
      </w:r>
      <w:r w:rsidR="00F5048E" w:rsidRPr="007B0775">
        <w:rPr>
          <w:lang w:val="en-US"/>
        </w:rPr>
        <w:t>his way back home</w:t>
      </w:r>
      <w:r w:rsidR="00BB77AB" w:rsidRPr="007B0775">
        <w:rPr>
          <w:lang w:val="en-US"/>
        </w:rPr>
        <w:t>.</w:t>
      </w:r>
      <w:r w:rsidR="00F5048E" w:rsidRPr="007B0775">
        <w:rPr>
          <w:lang w:val="en-US"/>
        </w:rPr>
        <w:t xml:space="preserve"> </w:t>
      </w:r>
      <w:r w:rsidR="00BB77AB" w:rsidRPr="007B0775">
        <w:rPr>
          <w:lang w:val="en-US"/>
        </w:rPr>
        <w:t xml:space="preserve">They </w:t>
      </w:r>
      <w:r w:rsidR="00F5048E" w:rsidRPr="007B0775">
        <w:rPr>
          <w:lang w:val="en-US"/>
        </w:rPr>
        <w:t>took him by force to an army camp, where he was threatened with a gun in his head.</w:t>
      </w:r>
      <w:r w:rsidR="00153376" w:rsidRPr="007B0775">
        <w:rPr>
          <w:rStyle w:val="FootnoteReference"/>
          <w:lang w:val="en-US"/>
        </w:rPr>
        <w:footnoteReference w:id="5"/>
      </w:r>
      <w:r w:rsidR="00F5048E" w:rsidRPr="007B0775">
        <w:rPr>
          <w:lang w:val="en-US"/>
        </w:rPr>
        <w:t xml:space="preserve"> </w:t>
      </w:r>
      <w:r w:rsidR="00BB77AB" w:rsidRPr="007B0775">
        <w:rPr>
          <w:lang w:val="en-US"/>
        </w:rPr>
        <w:t xml:space="preserve">The author </w:t>
      </w:r>
      <w:r w:rsidR="00E53E9A" w:rsidRPr="007B0775">
        <w:rPr>
          <w:lang w:val="en-US"/>
        </w:rPr>
        <w:t>was held</w:t>
      </w:r>
      <w:r w:rsidR="001B7E49" w:rsidRPr="007B0775">
        <w:rPr>
          <w:lang w:val="en-US"/>
        </w:rPr>
        <w:t xml:space="preserve"> </w:t>
      </w:r>
      <w:r w:rsidR="00F5048E" w:rsidRPr="007B0775">
        <w:rPr>
          <w:lang w:val="en-US"/>
        </w:rPr>
        <w:t xml:space="preserve">there </w:t>
      </w:r>
      <w:r w:rsidRPr="007B0775">
        <w:rPr>
          <w:lang w:val="en-US"/>
        </w:rPr>
        <w:t>for six days</w:t>
      </w:r>
      <w:r w:rsidR="00F5048E" w:rsidRPr="007B0775">
        <w:rPr>
          <w:lang w:val="en-US"/>
        </w:rPr>
        <w:t xml:space="preserve">, during which </w:t>
      </w:r>
      <w:r w:rsidR="00BF6F98" w:rsidRPr="007B0775">
        <w:rPr>
          <w:lang w:val="en-US"/>
        </w:rPr>
        <w:t xml:space="preserve">time </w:t>
      </w:r>
      <w:r w:rsidR="00F5048E" w:rsidRPr="007B0775">
        <w:rPr>
          <w:lang w:val="en-US"/>
        </w:rPr>
        <w:t>he</w:t>
      </w:r>
      <w:r w:rsidRPr="007B0775">
        <w:rPr>
          <w:lang w:val="en-US"/>
        </w:rPr>
        <w:t xml:space="preserve"> was </w:t>
      </w:r>
      <w:r w:rsidRPr="007B0775">
        <w:t>interrogated</w:t>
      </w:r>
      <w:r w:rsidRPr="007B0775">
        <w:rPr>
          <w:lang w:val="en-US"/>
        </w:rPr>
        <w:t xml:space="preserve"> and </w:t>
      </w:r>
      <w:r w:rsidR="00F5048E" w:rsidRPr="007B0775">
        <w:rPr>
          <w:lang w:val="en-US"/>
        </w:rPr>
        <w:t xml:space="preserve">threatened. He was then </w:t>
      </w:r>
      <w:r w:rsidRPr="007B0775">
        <w:rPr>
          <w:lang w:val="en-US"/>
        </w:rPr>
        <w:t xml:space="preserve">released </w:t>
      </w:r>
      <w:r w:rsidR="00F5048E" w:rsidRPr="007B0775">
        <w:rPr>
          <w:lang w:val="en-US"/>
        </w:rPr>
        <w:t>with the help of his mother</w:t>
      </w:r>
      <w:r w:rsidR="00796DDB" w:rsidRPr="007B0775">
        <w:rPr>
          <w:lang w:val="en-US"/>
        </w:rPr>
        <w:t>.</w:t>
      </w:r>
      <w:r w:rsidR="00796DDB" w:rsidRPr="007B0775">
        <w:rPr>
          <w:rStyle w:val="FootnoteReference"/>
          <w:lang w:val="en-US"/>
        </w:rPr>
        <w:footnoteReference w:id="6"/>
      </w:r>
      <w:r w:rsidRPr="007B0775">
        <w:rPr>
          <w:lang w:val="en-US"/>
        </w:rPr>
        <w:t xml:space="preserve"> </w:t>
      </w:r>
      <w:r w:rsidR="00D73502" w:rsidRPr="007B0775">
        <w:rPr>
          <w:lang w:val="en-US"/>
        </w:rPr>
        <w:t xml:space="preserve">In 2008, he applied </w:t>
      </w:r>
      <w:r w:rsidR="00E53E9A" w:rsidRPr="007B0775">
        <w:rPr>
          <w:lang w:val="en-US"/>
        </w:rPr>
        <w:t>for</w:t>
      </w:r>
      <w:r w:rsidR="00D73502" w:rsidRPr="007B0775">
        <w:rPr>
          <w:lang w:val="en-US"/>
        </w:rPr>
        <w:t xml:space="preserve"> a pass to leave </w:t>
      </w:r>
      <w:r w:rsidR="00374FAC" w:rsidRPr="007B0775">
        <w:rPr>
          <w:lang w:val="en-US"/>
        </w:rPr>
        <w:t xml:space="preserve">the country </w:t>
      </w:r>
      <w:r w:rsidR="00D73502" w:rsidRPr="007B0775">
        <w:rPr>
          <w:lang w:val="en-US"/>
        </w:rPr>
        <w:t xml:space="preserve">but </w:t>
      </w:r>
      <w:r w:rsidR="00BF6F98" w:rsidRPr="007B0775">
        <w:rPr>
          <w:lang w:val="en-US"/>
        </w:rPr>
        <w:t xml:space="preserve">that application </w:t>
      </w:r>
      <w:r w:rsidR="00D73502" w:rsidRPr="007B0775">
        <w:rPr>
          <w:lang w:val="en-US"/>
        </w:rPr>
        <w:t xml:space="preserve">was rejected. </w:t>
      </w:r>
      <w:r w:rsidRPr="007B0775">
        <w:rPr>
          <w:lang w:val="en-US"/>
        </w:rPr>
        <w:t xml:space="preserve">He </w:t>
      </w:r>
      <w:r w:rsidR="00D73502" w:rsidRPr="007B0775">
        <w:rPr>
          <w:lang w:val="en-US"/>
        </w:rPr>
        <w:t xml:space="preserve">therefore </w:t>
      </w:r>
      <w:r w:rsidRPr="007B0775">
        <w:rPr>
          <w:lang w:val="en-US"/>
        </w:rPr>
        <w:t>contin</w:t>
      </w:r>
      <w:r w:rsidR="00E71487" w:rsidRPr="007B0775">
        <w:rPr>
          <w:lang w:val="en-US"/>
        </w:rPr>
        <w:t>ued to work</w:t>
      </w:r>
      <w:r w:rsidR="00BB77AB" w:rsidRPr="007B0775">
        <w:rPr>
          <w:lang w:val="en-US"/>
        </w:rPr>
        <w:t xml:space="preserve"> but was</w:t>
      </w:r>
      <w:r w:rsidR="00D73502" w:rsidRPr="007B0775">
        <w:rPr>
          <w:lang w:val="en-US"/>
        </w:rPr>
        <w:t xml:space="preserve"> in constant fear</w:t>
      </w:r>
      <w:r w:rsidRPr="007B0775">
        <w:rPr>
          <w:lang w:val="en-US"/>
        </w:rPr>
        <w:t xml:space="preserve">. In September 2009, his home was raided and he was forced to report to the police once </w:t>
      </w:r>
      <w:r w:rsidR="00BF6F98" w:rsidRPr="007B0775">
        <w:rPr>
          <w:lang w:val="en-US"/>
        </w:rPr>
        <w:t xml:space="preserve">a </w:t>
      </w:r>
      <w:r w:rsidRPr="007B0775">
        <w:rPr>
          <w:lang w:val="en-US"/>
        </w:rPr>
        <w:t xml:space="preserve">week. </w:t>
      </w:r>
      <w:r w:rsidR="00663D99" w:rsidRPr="007B0775">
        <w:rPr>
          <w:lang w:val="en-US"/>
        </w:rPr>
        <w:t>The author claims that</w:t>
      </w:r>
      <w:r w:rsidR="00BB77AB" w:rsidRPr="007B0775">
        <w:rPr>
          <w:lang w:val="en-US"/>
        </w:rPr>
        <w:t>, every time he reported to the police station,</w:t>
      </w:r>
      <w:r w:rsidR="00663D99" w:rsidRPr="007B0775">
        <w:rPr>
          <w:lang w:val="en-US"/>
        </w:rPr>
        <w:t xml:space="preserve"> he was harassed and threatened </w:t>
      </w:r>
      <w:r w:rsidR="007979D3" w:rsidRPr="007B0775">
        <w:rPr>
          <w:lang w:val="en-US"/>
        </w:rPr>
        <w:t xml:space="preserve">by the police and members </w:t>
      </w:r>
      <w:r w:rsidR="00200FDE" w:rsidRPr="007B0775">
        <w:rPr>
          <w:lang w:val="en-US"/>
        </w:rPr>
        <w:t xml:space="preserve">of the Eelam People’s Democratic Party </w:t>
      </w:r>
      <w:r w:rsidR="007979D3" w:rsidRPr="007B0775">
        <w:rPr>
          <w:lang w:val="en-US"/>
        </w:rPr>
        <w:t>present there</w:t>
      </w:r>
      <w:r w:rsidR="00663D99" w:rsidRPr="007B0775">
        <w:rPr>
          <w:lang w:val="en-US"/>
        </w:rPr>
        <w:t xml:space="preserve">. </w:t>
      </w:r>
      <w:r w:rsidRPr="007B0775">
        <w:rPr>
          <w:lang w:val="en-US"/>
        </w:rPr>
        <w:t>Th</w:t>
      </w:r>
      <w:r w:rsidR="00374FAC" w:rsidRPr="007B0775">
        <w:rPr>
          <w:lang w:val="en-US"/>
        </w:rPr>
        <w:t xml:space="preserve">e obligation to report to the police </w:t>
      </w:r>
      <w:r w:rsidR="00BF6F98" w:rsidRPr="007B0775">
        <w:rPr>
          <w:lang w:val="en-US"/>
        </w:rPr>
        <w:t xml:space="preserve">every week </w:t>
      </w:r>
      <w:r w:rsidRPr="007B0775">
        <w:rPr>
          <w:lang w:val="en-US"/>
        </w:rPr>
        <w:t>ended in April 2011. In May 2011, men in plain</w:t>
      </w:r>
      <w:r w:rsidR="00BF6F98" w:rsidRPr="007B0775">
        <w:rPr>
          <w:lang w:val="en-US"/>
        </w:rPr>
        <w:t xml:space="preserve"> </w:t>
      </w:r>
      <w:r w:rsidRPr="007B0775">
        <w:rPr>
          <w:lang w:val="en-US"/>
        </w:rPr>
        <w:t xml:space="preserve">clothes attempted to </w:t>
      </w:r>
      <w:r w:rsidR="006D7489" w:rsidRPr="007B0775">
        <w:rPr>
          <w:lang w:val="en-US"/>
        </w:rPr>
        <w:t xml:space="preserve">abduct </w:t>
      </w:r>
      <w:r w:rsidRPr="007B0775">
        <w:rPr>
          <w:lang w:val="en-US"/>
        </w:rPr>
        <w:t xml:space="preserve">him </w:t>
      </w:r>
      <w:r w:rsidR="006D7489" w:rsidRPr="007B0775">
        <w:rPr>
          <w:lang w:val="en-US"/>
        </w:rPr>
        <w:t xml:space="preserve">at his home </w:t>
      </w:r>
      <w:r w:rsidRPr="007B0775">
        <w:rPr>
          <w:lang w:val="en-US"/>
        </w:rPr>
        <w:t xml:space="preserve">but stopped when neighbors intervened. The men told him to stop working for the newspaper. Fearing for his life, the </w:t>
      </w:r>
      <w:r w:rsidR="004B4E7B" w:rsidRPr="007B0775">
        <w:rPr>
          <w:lang w:val="en-US"/>
        </w:rPr>
        <w:t xml:space="preserve">author </w:t>
      </w:r>
      <w:r w:rsidR="00FE60E4" w:rsidRPr="007B0775">
        <w:rPr>
          <w:lang w:val="en-US"/>
        </w:rPr>
        <w:t>left Sri Lanka in July 2011.</w:t>
      </w:r>
    </w:p>
    <w:p w:rsidR="00FD4B85" w:rsidRPr="007B0775" w:rsidRDefault="000453D2" w:rsidP="00306BE6">
      <w:pPr>
        <w:pStyle w:val="SingleTxtG"/>
        <w:rPr>
          <w:lang w:val="en-US"/>
        </w:rPr>
      </w:pPr>
      <w:r w:rsidRPr="007B0775">
        <w:rPr>
          <w:lang w:val="en-US"/>
        </w:rPr>
        <w:lastRenderedPageBreak/>
        <w:t>2.3</w:t>
      </w:r>
      <w:r w:rsidRPr="007B0775">
        <w:rPr>
          <w:lang w:val="en-US"/>
        </w:rPr>
        <w:tab/>
        <w:t xml:space="preserve">The author arrived </w:t>
      </w:r>
      <w:r w:rsidR="00F46213" w:rsidRPr="007B0775">
        <w:rPr>
          <w:lang w:val="en-US"/>
        </w:rPr>
        <w:t xml:space="preserve">in </w:t>
      </w:r>
      <w:r w:rsidRPr="007B0775">
        <w:rPr>
          <w:lang w:val="en-US"/>
        </w:rPr>
        <w:t>Canada on 17 October 2011 and filed an asylum claim.</w:t>
      </w:r>
      <w:r w:rsidRPr="007B0775">
        <w:rPr>
          <w:rStyle w:val="FootnoteReference"/>
          <w:lang w:val="en-US"/>
        </w:rPr>
        <w:footnoteReference w:id="7"/>
      </w:r>
      <w:r w:rsidRPr="007B0775">
        <w:rPr>
          <w:lang w:val="en-US"/>
        </w:rPr>
        <w:t xml:space="preserve"> </w:t>
      </w:r>
      <w:r w:rsidR="00582393" w:rsidRPr="007B0775">
        <w:rPr>
          <w:lang w:val="en-US"/>
        </w:rPr>
        <w:t xml:space="preserve">On 12 February 2013, the Immigration Refugee Board dismissed his asylum request. </w:t>
      </w:r>
      <w:r w:rsidR="008C4689" w:rsidRPr="007B0775">
        <w:rPr>
          <w:lang w:val="en-US"/>
        </w:rPr>
        <w:t xml:space="preserve">The </w:t>
      </w:r>
      <w:r w:rsidR="00BF6F98" w:rsidRPr="007B0775">
        <w:rPr>
          <w:lang w:val="en-US"/>
        </w:rPr>
        <w:t>Board</w:t>
      </w:r>
      <w:r w:rsidR="008C4689" w:rsidRPr="007B0775">
        <w:rPr>
          <w:lang w:val="en-US"/>
        </w:rPr>
        <w:t xml:space="preserve"> considered that </w:t>
      </w:r>
      <w:r w:rsidR="002721A7" w:rsidRPr="007B0775">
        <w:rPr>
          <w:lang w:val="en-US"/>
        </w:rPr>
        <w:t>the author was not credible in various aspects of his account</w:t>
      </w:r>
      <w:r w:rsidR="00F46213" w:rsidRPr="007B0775">
        <w:rPr>
          <w:lang w:val="en-US"/>
        </w:rPr>
        <w:t xml:space="preserve">. First, </w:t>
      </w:r>
      <w:r w:rsidR="008E1830" w:rsidRPr="007B0775">
        <w:rPr>
          <w:lang w:val="en-US"/>
        </w:rPr>
        <w:t>h</w:t>
      </w:r>
      <w:r w:rsidR="002721A7" w:rsidRPr="007B0775">
        <w:rPr>
          <w:lang w:val="en-US"/>
        </w:rPr>
        <w:t xml:space="preserve">e could not establish that he </w:t>
      </w:r>
      <w:r w:rsidR="00F46213" w:rsidRPr="007B0775">
        <w:rPr>
          <w:lang w:val="en-US"/>
        </w:rPr>
        <w:t xml:space="preserve">had been </w:t>
      </w:r>
      <w:r w:rsidR="002721A7" w:rsidRPr="007B0775">
        <w:rPr>
          <w:lang w:val="en-US"/>
        </w:rPr>
        <w:t xml:space="preserve">a journalist or a professional photographer, could not demonstrate that he </w:t>
      </w:r>
      <w:r w:rsidR="00F46213" w:rsidRPr="007B0775">
        <w:rPr>
          <w:lang w:val="en-US"/>
        </w:rPr>
        <w:t xml:space="preserve">had </w:t>
      </w:r>
      <w:r w:rsidR="002721A7" w:rsidRPr="007B0775">
        <w:rPr>
          <w:lang w:val="en-US"/>
        </w:rPr>
        <w:t xml:space="preserve">earned the photography </w:t>
      </w:r>
      <w:r w:rsidR="00FD4B85" w:rsidRPr="007B0775">
        <w:rPr>
          <w:lang w:val="en-US"/>
        </w:rPr>
        <w:t>awards he claimed</w:t>
      </w:r>
      <w:r w:rsidR="002721A7" w:rsidRPr="007B0775">
        <w:rPr>
          <w:lang w:val="en-US"/>
        </w:rPr>
        <w:t xml:space="preserve"> he </w:t>
      </w:r>
      <w:r w:rsidR="00F46213" w:rsidRPr="007B0775">
        <w:rPr>
          <w:lang w:val="en-US"/>
        </w:rPr>
        <w:t xml:space="preserve">had </w:t>
      </w:r>
      <w:r w:rsidR="002721A7" w:rsidRPr="007B0775">
        <w:rPr>
          <w:lang w:val="en-US"/>
        </w:rPr>
        <w:t>won and c</w:t>
      </w:r>
      <w:r w:rsidR="00D41046" w:rsidRPr="007B0775">
        <w:rPr>
          <w:lang w:val="en-US"/>
        </w:rPr>
        <w:t>ould not respond to questions related to</w:t>
      </w:r>
      <w:r w:rsidR="002721A7" w:rsidRPr="007B0775">
        <w:rPr>
          <w:lang w:val="en-US"/>
        </w:rPr>
        <w:t xml:space="preserve"> basic knowledge of photography, which had a negative impact on his </w:t>
      </w:r>
      <w:r w:rsidR="002721A7" w:rsidRPr="007B0775">
        <w:rPr>
          <w:iCs/>
          <w:lang w:val="en-US"/>
        </w:rPr>
        <w:t>bona fides</w:t>
      </w:r>
      <w:r w:rsidR="002721A7" w:rsidRPr="007B0775">
        <w:rPr>
          <w:lang w:val="en-US"/>
        </w:rPr>
        <w:t xml:space="preserve">. For example, the author was not able to respond </w:t>
      </w:r>
      <w:r w:rsidR="00E53E9A" w:rsidRPr="007B0775">
        <w:rPr>
          <w:lang w:val="en-US"/>
        </w:rPr>
        <w:t xml:space="preserve">to </w:t>
      </w:r>
      <w:r w:rsidR="002721A7" w:rsidRPr="007B0775">
        <w:rPr>
          <w:lang w:val="en-US"/>
        </w:rPr>
        <w:t xml:space="preserve">a question on how to take a photograph with low light. Although the </w:t>
      </w:r>
      <w:r w:rsidR="00BF6F98" w:rsidRPr="007B0775">
        <w:rPr>
          <w:lang w:val="en-US"/>
        </w:rPr>
        <w:t>Immigration Refugee Board</w:t>
      </w:r>
      <w:r w:rsidR="002721A7" w:rsidRPr="007B0775">
        <w:rPr>
          <w:lang w:val="en-US"/>
        </w:rPr>
        <w:t xml:space="preserve"> acknowledges that there were problems of translation </w:t>
      </w:r>
      <w:r w:rsidR="00F46213" w:rsidRPr="007B0775">
        <w:rPr>
          <w:lang w:val="en-US"/>
        </w:rPr>
        <w:t xml:space="preserve">owing </w:t>
      </w:r>
      <w:r w:rsidR="002721A7" w:rsidRPr="007B0775">
        <w:rPr>
          <w:lang w:val="en-US"/>
        </w:rPr>
        <w:t>to the technical terms used in these questions, it conclude</w:t>
      </w:r>
      <w:r w:rsidR="00BF2C31" w:rsidRPr="007B0775">
        <w:rPr>
          <w:lang w:val="en-US"/>
        </w:rPr>
        <w:t>s</w:t>
      </w:r>
      <w:r w:rsidR="002721A7" w:rsidRPr="007B0775">
        <w:rPr>
          <w:lang w:val="en-US"/>
        </w:rPr>
        <w:t xml:space="preserve"> that </w:t>
      </w:r>
      <w:r w:rsidR="00FD4B85" w:rsidRPr="007B0775">
        <w:rPr>
          <w:lang w:val="en-US"/>
        </w:rPr>
        <w:t>the author’s answers did not support his allegation of being a professional photographer</w:t>
      </w:r>
      <w:r w:rsidR="00F46213" w:rsidRPr="007B0775">
        <w:rPr>
          <w:lang w:val="en-US"/>
        </w:rPr>
        <w:t>.</w:t>
      </w:r>
      <w:r w:rsidR="00FD4B85" w:rsidRPr="007B0775">
        <w:rPr>
          <w:lang w:val="en-US"/>
        </w:rPr>
        <w:t xml:space="preserve"> </w:t>
      </w:r>
      <w:r w:rsidR="00F46213" w:rsidRPr="007B0775">
        <w:rPr>
          <w:lang w:val="en-US"/>
        </w:rPr>
        <w:t xml:space="preserve">Second, </w:t>
      </w:r>
      <w:r w:rsidR="00BF2C31" w:rsidRPr="007B0775">
        <w:rPr>
          <w:lang w:val="en-US"/>
        </w:rPr>
        <w:t xml:space="preserve">the </w:t>
      </w:r>
      <w:r w:rsidR="00BF6F98" w:rsidRPr="007B0775">
        <w:rPr>
          <w:lang w:val="en-US"/>
        </w:rPr>
        <w:t xml:space="preserve">Board </w:t>
      </w:r>
      <w:r w:rsidR="00BF2C31" w:rsidRPr="007B0775">
        <w:rPr>
          <w:lang w:val="en-US"/>
        </w:rPr>
        <w:t xml:space="preserve">found that it was probable that the author </w:t>
      </w:r>
      <w:r w:rsidR="00F46213" w:rsidRPr="007B0775">
        <w:rPr>
          <w:lang w:val="en-US"/>
        </w:rPr>
        <w:t xml:space="preserve">had </w:t>
      </w:r>
      <w:r w:rsidR="00BF2C31" w:rsidRPr="007B0775">
        <w:rPr>
          <w:lang w:val="en-US"/>
        </w:rPr>
        <w:t xml:space="preserve">not </w:t>
      </w:r>
      <w:r w:rsidR="00F46213" w:rsidRPr="007B0775">
        <w:rPr>
          <w:lang w:val="en-US"/>
        </w:rPr>
        <w:t xml:space="preserve">been </w:t>
      </w:r>
      <w:r w:rsidR="00BF2C31" w:rsidRPr="007B0775">
        <w:rPr>
          <w:lang w:val="en-US"/>
        </w:rPr>
        <w:t xml:space="preserve">living in Sri Lanka at the end of the civil war, as he could not give a detailed account of the events </w:t>
      </w:r>
      <w:r w:rsidR="00F46213" w:rsidRPr="007B0775">
        <w:rPr>
          <w:lang w:val="en-US"/>
        </w:rPr>
        <w:t xml:space="preserve">that had </w:t>
      </w:r>
      <w:r w:rsidR="00BF2C31" w:rsidRPr="007B0775">
        <w:rPr>
          <w:lang w:val="en-US"/>
        </w:rPr>
        <w:t xml:space="preserve">occurred in the country during this period, including the </w:t>
      </w:r>
      <w:r w:rsidR="00F46213" w:rsidRPr="007B0775">
        <w:rPr>
          <w:lang w:val="en-US"/>
        </w:rPr>
        <w:t>p</w:t>
      </w:r>
      <w:r w:rsidR="00BF2C31" w:rsidRPr="007B0775">
        <w:rPr>
          <w:lang w:val="en-US"/>
        </w:rPr>
        <w:t xml:space="preserve">residential and </w:t>
      </w:r>
      <w:r w:rsidR="00F46213" w:rsidRPr="007B0775">
        <w:rPr>
          <w:lang w:val="en-US"/>
        </w:rPr>
        <w:t>l</w:t>
      </w:r>
      <w:r w:rsidR="00BF2C31" w:rsidRPr="007B0775">
        <w:rPr>
          <w:lang w:val="en-US"/>
        </w:rPr>
        <w:t xml:space="preserve">egislative elections of 2010. </w:t>
      </w:r>
      <w:r w:rsidR="008D76F5" w:rsidRPr="007B0775">
        <w:rPr>
          <w:lang w:val="en-US"/>
        </w:rPr>
        <w:t>T</w:t>
      </w:r>
      <w:r w:rsidR="00BF2C31" w:rsidRPr="007B0775">
        <w:rPr>
          <w:lang w:val="en-US"/>
        </w:rPr>
        <w:t xml:space="preserve">he </w:t>
      </w:r>
      <w:r w:rsidR="00BF6F98" w:rsidRPr="007B0775">
        <w:rPr>
          <w:lang w:val="en-US"/>
        </w:rPr>
        <w:t>Board</w:t>
      </w:r>
      <w:r w:rsidR="008D76F5" w:rsidRPr="007B0775">
        <w:rPr>
          <w:lang w:val="en-US"/>
        </w:rPr>
        <w:t xml:space="preserve"> considered that</w:t>
      </w:r>
      <w:r w:rsidR="00F46213" w:rsidRPr="007B0775">
        <w:rPr>
          <w:lang w:val="en-US"/>
        </w:rPr>
        <w:t>,</w:t>
      </w:r>
      <w:r w:rsidR="008D76F5" w:rsidRPr="007B0775">
        <w:rPr>
          <w:lang w:val="en-US"/>
        </w:rPr>
        <w:t xml:space="preserve"> </w:t>
      </w:r>
      <w:r w:rsidR="00BF2C31" w:rsidRPr="007B0775">
        <w:rPr>
          <w:lang w:val="en-US"/>
        </w:rPr>
        <w:t xml:space="preserve">if he </w:t>
      </w:r>
      <w:r w:rsidR="00F46213" w:rsidRPr="007B0775">
        <w:rPr>
          <w:lang w:val="en-US"/>
        </w:rPr>
        <w:t xml:space="preserve">had been </w:t>
      </w:r>
      <w:r w:rsidR="00BF2C31" w:rsidRPr="007B0775">
        <w:rPr>
          <w:lang w:val="en-US"/>
        </w:rPr>
        <w:t>a photographer</w:t>
      </w:r>
      <w:r w:rsidR="008D76F5" w:rsidRPr="007B0775">
        <w:rPr>
          <w:lang w:val="en-US"/>
        </w:rPr>
        <w:t>,</w:t>
      </w:r>
      <w:r w:rsidR="00BF2C31" w:rsidRPr="007B0775">
        <w:rPr>
          <w:lang w:val="en-US"/>
        </w:rPr>
        <w:t xml:space="preserve"> he should be aware of th</w:t>
      </w:r>
      <w:r w:rsidR="00F46213" w:rsidRPr="007B0775">
        <w:rPr>
          <w:lang w:val="en-US"/>
        </w:rPr>
        <w:t>o</w:t>
      </w:r>
      <w:r w:rsidR="00BF2C31" w:rsidRPr="007B0775">
        <w:rPr>
          <w:lang w:val="en-US"/>
        </w:rPr>
        <w:t>se events</w:t>
      </w:r>
      <w:r w:rsidR="00F46213" w:rsidRPr="007B0775">
        <w:rPr>
          <w:lang w:val="en-US"/>
        </w:rPr>
        <w:t>.</w:t>
      </w:r>
      <w:r w:rsidR="00BF2C31" w:rsidRPr="007B0775">
        <w:rPr>
          <w:rStyle w:val="FootnoteReference"/>
          <w:lang w:val="en-US"/>
        </w:rPr>
        <w:footnoteReference w:id="8"/>
      </w:r>
      <w:r w:rsidR="00BF2C31" w:rsidRPr="007B0775">
        <w:rPr>
          <w:lang w:val="en-US"/>
        </w:rPr>
        <w:t xml:space="preserve"> </w:t>
      </w:r>
      <w:r w:rsidR="00F46213" w:rsidRPr="007B0775">
        <w:rPr>
          <w:lang w:val="en-US"/>
        </w:rPr>
        <w:t xml:space="preserve">Third, </w:t>
      </w:r>
      <w:r w:rsidR="008E1830" w:rsidRPr="007B0775">
        <w:rPr>
          <w:lang w:val="en-US"/>
        </w:rPr>
        <w:t>t</w:t>
      </w:r>
      <w:r w:rsidR="008D76F5" w:rsidRPr="007B0775">
        <w:rPr>
          <w:lang w:val="en-US"/>
        </w:rPr>
        <w:t xml:space="preserve">he author </w:t>
      </w:r>
      <w:r w:rsidR="008172D7" w:rsidRPr="007B0775">
        <w:rPr>
          <w:lang w:val="en-US"/>
        </w:rPr>
        <w:t xml:space="preserve">could not identify any specific problem he had with the </w:t>
      </w:r>
      <w:r w:rsidR="00200FDE" w:rsidRPr="007B0775">
        <w:rPr>
          <w:lang w:val="en-US"/>
        </w:rPr>
        <w:t>Eelam People’s Democratic Party</w:t>
      </w:r>
      <w:r w:rsidR="006B26A7" w:rsidRPr="007B0775">
        <w:rPr>
          <w:lang w:val="en-US"/>
        </w:rPr>
        <w:t xml:space="preserve">, as he only claimed that </w:t>
      </w:r>
      <w:r w:rsidR="00200FDE" w:rsidRPr="007B0775">
        <w:rPr>
          <w:lang w:val="en-US"/>
        </w:rPr>
        <w:t xml:space="preserve">Party </w:t>
      </w:r>
      <w:r w:rsidR="006B26A7" w:rsidRPr="007B0775">
        <w:rPr>
          <w:lang w:val="en-US"/>
        </w:rPr>
        <w:t>members</w:t>
      </w:r>
      <w:r w:rsidR="008172D7" w:rsidRPr="007B0775">
        <w:rPr>
          <w:lang w:val="en-US"/>
        </w:rPr>
        <w:t xml:space="preserve"> did not like th</w:t>
      </w:r>
      <w:r w:rsidR="00BF15AA" w:rsidRPr="007B0775">
        <w:rPr>
          <w:lang w:val="en-US"/>
        </w:rPr>
        <w:t>at he took photographs for the n</w:t>
      </w:r>
      <w:r w:rsidR="008172D7" w:rsidRPr="007B0775">
        <w:rPr>
          <w:lang w:val="en-US"/>
        </w:rPr>
        <w:t xml:space="preserve">ewspaper. Although the </w:t>
      </w:r>
      <w:r w:rsidR="00BF6F98" w:rsidRPr="007B0775">
        <w:rPr>
          <w:lang w:val="en-US"/>
        </w:rPr>
        <w:t>Board</w:t>
      </w:r>
      <w:r w:rsidR="008172D7" w:rsidRPr="007B0775">
        <w:rPr>
          <w:lang w:val="en-US"/>
        </w:rPr>
        <w:t xml:space="preserve"> recognized that being a journalist was a very dangerous profession in Jaffna, the author was at best a photographer of dead people in one area of Jaffna who did not question government policies or actions. Therefore, the </w:t>
      </w:r>
      <w:r w:rsidR="00BF6F98" w:rsidRPr="007B0775">
        <w:rPr>
          <w:lang w:val="en-US"/>
        </w:rPr>
        <w:t>Board</w:t>
      </w:r>
      <w:r w:rsidR="008172D7" w:rsidRPr="007B0775">
        <w:rPr>
          <w:lang w:val="en-US"/>
        </w:rPr>
        <w:t xml:space="preserve"> expected the author to </w:t>
      </w:r>
      <w:r w:rsidR="008079A9" w:rsidRPr="007B0775">
        <w:rPr>
          <w:lang w:val="en-US"/>
        </w:rPr>
        <w:t>demo</w:t>
      </w:r>
      <w:r w:rsidR="008172D7" w:rsidRPr="007B0775">
        <w:rPr>
          <w:lang w:val="en-US"/>
        </w:rPr>
        <w:t>n</w:t>
      </w:r>
      <w:r w:rsidR="008079A9" w:rsidRPr="007B0775">
        <w:rPr>
          <w:lang w:val="en-US"/>
        </w:rPr>
        <w:t>s</w:t>
      </w:r>
      <w:r w:rsidR="008172D7" w:rsidRPr="007B0775">
        <w:rPr>
          <w:lang w:val="en-US"/>
        </w:rPr>
        <w:t>trate his allegations with corroborative evidence</w:t>
      </w:r>
      <w:r w:rsidR="00BF15AA" w:rsidRPr="007B0775">
        <w:rPr>
          <w:lang w:val="en-US"/>
        </w:rPr>
        <w:t>, such as a do</w:t>
      </w:r>
      <w:r w:rsidR="00ED1E47" w:rsidRPr="007B0775">
        <w:rPr>
          <w:lang w:val="en-US"/>
        </w:rPr>
        <w:t xml:space="preserve">cumental proof that he </w:t>
      </w:r>
      <w:r w:rsidR="00F46213" w:rsidRPr="007B0775">
        <w:rPr>
          <w:lang w:val="en-US"/>
        </w:rPr>
        <w:t xml:space="preserve">had </w:t>
      </w:r>
      <w:r w:rsidR="00ED1E47" w:rsidRPr="007B0775">
        <w:rPr>
          <w:lang w:val="en-US"/>
        </w:rPr>
        <w:t>worked for</w:t>
      </w:r>
      <w:r w:rsidR="00DD67BC" w:rsidRPr="007B0775">
        <w:rPr>
          <w:lang w:val="en-US"/>
        </w:rPr>
        <w:t xml:space="preserve"> the </w:t>
      </w:r>
      <w:r w:rsidR="00DD67BC" w:rsidRPr="007B0775">
        <w:rPr>
          <w:i/>
          <w:iCs/>
          <w:lang w:val="en-US"/>
        </w:rPr>
        <w:t>Uthayan</w:t>
      </w:r>
      <w:r w:rsidR="00DD67BC" w:rsidRPr="007B0775">
        <w:rPr>
          <w:lang w:val="en-US"/>
        </w:rPr>
        <w:t xml:space="preserve">, </w:t>
      </w:r>
      <w:r w:rsidR="003A36DE" w:rsidRPr="007B0775">
        <w:rPr>
          <w:lang w:val="en-US"/>
        </w:rPr>
        <w:t xml:space="preserve">including </w:t>
      </w:r>
      <w:r w:rsidR="00BF15AA" w:rsidRPr="007B0775">
        <w:rPr>
          <w:lang w:val="en-US"/>
        </w:rPr>
        <w:t xml:space="preserve">a letter from the </w:t>
      </w:r>
      <w:r w:rsidR="00ED1E47" w:rsidRPr="007B0775">
        <w:rPr>
          <w:lang w:val="en-US"/>
        </w:rPr>
        <w:t xml:space="preserve">newspaper as his </w:t>
      </w:r>
      <w:r w:rsidR="00BF15AA" w:rsidRPr="007B0775">
        <w:rPr>
          <w:lang w:val="en-US"/>
        </w:rPr>
        <w:t>employer, bills from the newspaper paying his salary or published photographs under his name</w:t>
      </w:r>
      <w:r w:rsidR="006B26A7" w:rsidRPr="007B0775">
        <w:rPr>
          <w:lang w:val="en-US"/>
        </w:rPr>
        <w:t xml:space="preserve">, which </w:t>
      </w:r>
      <w:r w:rsidR="00F46213" w:rsidRPr="007B0775">
        <w:rPr>
          <w:lang w:val="en-US"/>
        </w:rPr>
        <w:t xml:space="preserve">he </w:t>
      </w:r>
      <w:r w:rsidR="008D76F5" w:rsidRPr="007B0775">
        <w:rPr>
          <w:lang w:val="en-US"/>
        </w:rPr>
        <w:t xml:space="preserve">had </w:t>
      </w:r>
      <w:r w:rsidR="006B26A7" w:rsidRPr="007B0775">
        <w:rPr>
          <w:lang w:val="en-US"/>
        </w:rPr>
        <w:t>not provide</w:t>
      </w:r>
      <w:r w:rsidR="008D76F5" w:rsidRPr="007B0775">
        <w:rPr>
          <w:lang w:val="en-US"/>
        </w:rPr>
        <w:t>d</w:t>
      </w:r>
      <w:r w:rsidR="00BF15AA" w:rsidRPr="007B0775">
        <w:rPr>
          <w:lang w:val="en-US"/>
        </w:rPr>
        <w:t xml:space="preserve">. </w:t>
      </w:r>
      <w:r w:rsidR="005B26AF" w:rsidRPr="007B0775">
        <w:t xml:space="preserve">The </w:t>
      </w:r>
      <w:r w:rsidR="00BF6F98" w:rsidRPr="007B0775">
        <w:rPr>
          <w:lang w:val="en-US"/>
        </w:rPr>
        <w:t>Board</w:t>
      </w:r>
      <w:r w:rsidR="005B26AF" w:rsidRPr="007B0775">
        <w:t xml:space="preserve"> did not give weigh</w:t>
      </w:r>
      <w:r w:rsidR="00124B30" w:rsidRPr="007B0775">
        <w:t>t</w:t>
      </w:r>
      <w:r w:rsidR="005B26AF" w:rsidRPr="007B0775">
        <w:t xml:space="preserve"> to </w:t>
      </w:r>
      <w:r w:rsidR="008D76F5" w:rsidRPr="007B0775">
        <w:t>the author’s press identity card</w:t>
      </w:r>
      <w:r w:rsidR="00F46213" w:rsidRPr="007B0775">
        <w:t>,</w:t>
      </w:r>
      <w:r w:rsidR="008D76F5" w:rsidRPr="007B0775">
        <w:t xml:space="preserve"> considering that</w:t>
      </w:r>
      <w:r w:rsidR="005B26AF" w:rsidRPr="007B0775">
        <w:t xml:space="preserve"> </w:t>
      </w:r>
      <w:r w:rsidR="008D76F5" w:rsidRPr="007B0775">
        <w:t xml:space="preserve">these </w:t>
      </w:r>
      <w:r w:rsidR="005B26AF" w:rsidRPr="007B0775">
        <w:t>documents are often forged in Sri Lanka.</w:t>
      </w:r>
      <w:r w:rsidR="005B26AF" w:rsidRPr="007B0775">
        <w:rPr>
          <w:rStyle w:val="FootnoteReference"/>
        </w:rPr>
        <w:footnoteReference w:id="9"/>
      </w:r>
    </w:p>
    <w:p w:rsidR="00203B38" w:rsidRPr="007B0775" w:rsidRDefault="003A36DE" w:rsidP="00F46213">
      <w:pPr>
        <w:pStyle w:val="SingleTxtG"/>
        <w:rPr>
          <w:lang w:val="en-US"/>
        </w:rPr>
      </w:pPr>
      <w:r w:rsidRPr="007B0775">
        <w:rPr>
          <w:lang w:val="en-US"/>
        </w:rPr>
        <w:t>2.4</w:t>
      </w:r>
      <w:r w:rsidRPr="007B0775">
        <w:rPr>
          <w:lang w:val="en-US"/>
        </w:rPr>
        <w:tab/>
      </w:r>
      <w:r w:rsidR="0020620A" w:rsidRPr="007B0775">
        <w:rPr>
          <w:lang w:val="en-US"/>
        </w:rPr>
        <w:t xml:space="preserve">The </w:t>
      </w:r>
      <w:r w:rsidR="00BF6F98" w:rsidRPr="007B0775">
        <w:rPr>
          <w:lang w:val="en-US"/>
        </w:rPr>
        <w:t>Immigration Refugee Board</w:t>
      </w:r>
      <w:r w:rsidR="0020620A" w:rsidRPr="007B0775">
        <w:rPr>
          <w:lang w:val="en-US"/>
        </w:rPr>
        <w:t xml:space="preserve"> also stated that</w:t>
      </w:r>
      <w:r w:rsidR="00F46213" w:rsidRPr="007B0775">
        <w:rPr>
          <w:lang w:val="en-US"/>
        </w:rPr>
        <w:t>,</w:t>
      </w:r>
      <w:r w:rsidR="0020620A" w:rsidRPr="007B0775">
        <w:rPr>
          <w:lang w:val="en-US"/>
        </w:rPr>
        <w:t xml:space="preserve"> even if it considered the author’s allegations </w:t>
      </w:r>
      <w:r w:rsidR="00F46213" w:rsidRPr="007B0775">
        <w:rPr>
          <w:lang w:val="en-US"/>
        </w:rPr>
        <w:t xml:space="preserve">to be </w:t>
      </w:r>
      <w:r w:rsidR="0020620A" w:rsidRPr="007B0775">
        <w:rPr>
          <w:lang w:val="en-US"/>
        </w:rPr>
        <w:t xml:space="preserve">true, he would not be granted refugee status, as he could not establish that his work was of a profile that could attract </w:t>
      </w:r>
      <w:r w:rsidR="003E242D" w:rsidRPr="007B0775">
        <w:rPr>
          <w:lang w:val="en-US"/>
        </w:rPr>
        <w:t>t</w:t>
      </w:r>
      <w:r w:rsidR="0020620A" w:rsidRPr="007B0775">
        <w:rPr>
          <w:lang w:val="en-US"/>
        </w:rPr>
        <w:t>he attention</w:t>
      </w:r>
      <w:r w:rsidR="00BF6F98" w:rsidRPr="007B0775">
        <w:rPr>
          <w:lang w:val="en-US"/>
        </w:rPr>
        <w:t xml:space="preserve"> of the Government</w:t>
      </w:r>
      <w:r w:rsidR="0020620A" w:rsidRPr="007B0775">
        <w:rPr>
          <w:lang w:val="en-US"/>
        </w:rPr>
        <w:t xml:space="preserve">. The </w:t>
      </w:r>
      <w:r w:rsidR="00BF6F98" w:rsidRPr="007B0775">
        <w:rPr>
          <w:lang w:val="en-US"/>
        </w:rPr>
        <w:t>Board</w:t>
      </w:r>
      <w:r w:rsidR="0020620A" w:rsidRPr="007B0775">
        <w:rPr>
          <w:lang w:val="en-US"/>
        </w:rPr>
        <w:t xml:space="preserve"> quoted reports indicating that </w:t>
      </w:r>
      <w:r w:rsidR="006F240F" w:rsidRPr="007B0775">
        <w:rPr>
          <w:lang w:val="en-US"/>
        </w:rPr>
        <w:t>only journalists perceived</w:t>
      </w:r>
      <w:r w:rsidR="003E242D" w:rsidRPr="007B0775">
        <w:rPr>
          <w:lang w:val="en-US"/>
        </w:rPr>
        <w:t xml:space="preserve"> by the </w:t>
      </w:r>
      <w:r w:rsidR="00BF6F98" w:rsidRPr="007B0775">
        <w:rPr>
          <w:lang w:val="en-US"/>
        </w:rPr>
        <w:t xml:space="preserve">Government of </w:t>
      </w:r>
      <w:r w:rsidR="003E242D" w:rsidRPr="007B0775">
        <w:rPr>
          <w:lang w:val="en-US"/>
        </w:rPr>
        <w:t xml:space="preserve">Sri Lanka </w:t>
      </w:r>
      <w:r w:rsidR="008D76F5" w:rsidRPr="007B0775">
        <w:rPr>
          <w:lang w:val="en-US"/>
        </w:rPr>
        <w:t>as</w:t>
      </w:r>
      <w:r w:rsidR="006F240F" w:rsidRPr="007B0775">
        <w:rPr>
          <w:lang w:val="en-US"/>
        </w:rPr>
        <w:t xml:space="preserve"> active or in an influential position would be at risk of being persecuted if returned there,</w:t>
      </w:r>
      <w:r w:rsidR="006F240F" w:rsidRPr="007B0775">
        <w:rPr>
          <w:rStyle w:val="FootnoteReference"/>
          <w:lang w:val="en-US"/>
        </w:rPr>
        <w:footnoteReference w:id="10"/>
      </w:r>
      <w:r w:rsidR="006F240F" w:rsidRPr="007B0775">
        <w:rPr>
          <w:lang w:val="en-US"/>
        </w:rPr>
        <w:t xml:space="preserve"> which was not the author’s case.</w:t>
      </w:r>
      <w:r w:rsidR="004033DE" w:rsidRPr="007B0775">
        <w:rPr>
          <w:lang w:val="en-US"/>
        </w:rPr>
        <w:t xml:space="preserve"> Furthermore, being a Tamil from Jaffna and failed asylum seeker would not constitute a basis to grant him refugee status, as reports indicate</w:t>
      </w:r>
      <w:r w:rsidR="00BD7B1E" w:rsidRPr="007B0775">
        <w:rPr>
          <w:lang w:val="en-US"/>
        </w:rPr>
        <w:t>d</w:t>
      </w:r>
      <w:r w:rsidR="004033DE" w:rsidRPr="007B0775">
        <w:rPr>
          <w:lang w:val="en-US"/>
        </w:rPr>
        <w:t xml:space="preserve"> that</w:t>
      </w:r>
      <w:r w:rsidR="00F46213" w:rsidRPr="007B0775">
        <w:rPr>
          <w:lang w:val="en-US"/>
        </w:rPr>
        <w:t>,</w:t>
      </w:r>
      <w:r w:rsidR="004033DE" w:rsidRPr="007B0775">
        <w:rPr>
          <w:lang w:val="en-US"/>
        </w:rPr>
        <w:t xml:space="preserve"> after the end of the hostilities,</w:t>
      </w:r>
      <w:r w:rsidR="00BD7B1E" w:rsidRPr="007B0775">
        <w:rPr>
          <w:lang w:val="en-US"/>
        </w:rPr>
        <w:t xml:space="preserve"> </w:t>
      </w:r>
      <w:r w:rsidR="004033DE" w:rsidRPr="007B0775">
        <w:rPr>
          <w:lang w:val="en-US"/>
        </w:rPr>
        <w:t>the Sri Lankans originating from the north of the country were no longer in need of protection</w:t>
      </w:r>
      <w:r w:rsidR="00BD7B1E" w:rsidRPr="007B0775">
        <w:rPr>
          <w:rStyle w:val="FootnoteReference"/>
          <w:lang w:val="en-US"/>
        </w:rPr>
        <w:footnoteReference w:id="11"/>
      </w:r>
      <w:r w:rsidR="004033DE" w:rsidRPr="007B0775">
        <w:rPr>
          <w:lang w:val="en-US"/>
        </w:rPr>
        <w:t xml:space="preserve"> and</w:t>
      </w:r>
      <w:r w:rsidR="00F46213" w:rsidRPr="007B0775">
        <w:rPr>
          <w:lang w:val="en-US"/>
        </w:rPr>
        <w:t>,</w:t>
      </w:r>
      <w:r w:rsidR="004033DE" w:rsidRPr="007B0775">
        <w:rPr>
          <w:lang w:val="en-US"/>
        </w:rPr>
        <w:t xml:space="preserve"> </w:t>
      </w:r>
      <w:r w:rsidR="00BD7B1E" w:rsidRPr="007B0775">
        <w:rPr>
          <w:lang w:val="en-US"/>
        </w:rPr>
        <w:t xml:space="preserve">by then, </w:t>
      </w:r>
      <w:r w:rsidR="004033DE" w:rsidRPr="007B0775">
        <w:rPr>
          <w:lang w:val="en-US"/>
        </w:rPr>
        <w:t>thousands of failed asylum seekers ha</w:t>
      </w:r>
      <w:r w:rsidR="00BD7B1E" w:rsidRPr="007B0775">
        <w:rPr>
          <w:lang w:val="en-US"/>
        </w:rPr>
        <w:t xml:space="preserve">d </w:t>
      </w:r>
      <w:r w:rsidR="00C54C7C" w:rsidRPr="007B0775">
        <w:rPr>
          <w:lang w:val="en-US"/>
        </w:rPr>
        <w:t xml:space="preserve">been </w:t>
      </w:r>
      <w:r w:rsidR="004033DE" w:rsidRPr="007B0775">
        <w:rPr>
          <w:lang w:val="en-US"/>
        </w:rPr>
        <w:t xml:space="preserve">returned </w:t>
      </w:r>
      <w:r w:rsidR="00BD7B1E" w:rsidRPr="007B0775">
        <w:rPr>
          <w:lang w:val="en-US"/>
        </w:rPr>
        <w:t xml:space="preserve">in </w:t>
      </w:r>
      <w:r w:rsidR="008D76F5" w:rsidRPr="007B0775">
        <w:rPr>
          <w:lang w:val="en-US"/>
        </w:rPr>
        <w:t>“</w:t>
      </w:r>
      <w:r w:rsidR="00BD7B1E" w:rsidRPr="007B0775">
        <w:rPr>
          <w:lang w:val="en-US"/>
        </w:rPr>
        <w:t>generally safe conditions</w:t>
      </w:r>
      <w:r w:rsidR="008D76F5" w:rsidRPr="007B0775">
        <w:rPr>
          <w:lang w:val="en-US"/>
        </w:rPr>
        <w:t>”</w:t>
      </w:r>
      <w:r w:rsidR="00FE60E4" w:rsidRPr="007B0775">
        <w:rPr>
          <w:lang w:val="en-US"/>
        </w:rPr>
        <w:t>.</w:t>
      </w:r>
      <w:r w:rsidR="00BD7B1E" w:rsidRPr="007B0775">
        <w:rPr>
          <w:rStyle w:val="FootnoteReference"/>
          <w:lang w:val="en-US"/>
        </w:rPr>
        <w:footnoteReference w:id="12"/>
      </w:r>
    </w:p>
    <w:p w:rsidR="006A26A9" w:rsidRPr="007B0775" w:rsidRDefault="00CB67A7" w:rsidP="00F46213">
      <w:pPr>
        <w:pStyle w:val="SingleTxtG"/>
      </w:pPr>
      <w:r w:rsidRPr="007B0775">
        <w:lastRenderedPageBreak/>
        <w:t>2.</w:t>
      </w:r>
      <w:r w:rsidR="00AA77D8" w:rsidRPr="007B0775">
        <w:t>5</w:t>
      </w:r>
      <w:r w:rsidR="003B7DD4" w:rsidRPr="007B0775">
        <w:tab/>
        <w:t xml:space="preserve">The author </w:t>
      </w:r>
      <w:r w:rsidR="00124B30" w:rsidRPr="007B0775">
        <w:t>submits</w:t>
      </w:r>
      <w:r w:rsidR="00C22118" w:rsidRPr="007B0775">
        <w:t xml:space="preserve"> that he</w:t>
      </w:r>
      <w:r w:rsidR="006C59A7" w:rsidRPr="007B0775">
        <w:t xml:space="preserve"> ha</w:t>
      </w:r>
      <w:r w:rsidR="00C22118" w:rsidRPr="007B0775">
        <w:t>s</w:t>
      </w:r>
      <w:r w:rsidR="003B7DD4" w:rsidRPr="007B0775">
        <w:t xml:space="preserve"> exhausted all available domestic remedies</w:t>
      </w:r>
      <w:r w:rsidR="00980909" w:rsidRPr="007B0775">
        <w:t>, as</w:t>
      </w:r>
      <w:r w:rsidR="00986F01" w:rsidRPr="007B0775">
        <w:t xml:space="preserve"> </w:t>
      </w:r>
      <w:r w:rsidR="00C22118" w:rsidRPr="007B0775">
        <w:t>the</w:t>
      </w:r>
      <w:r w:rsidR="00626F0C" w:rsidRPr="007B0775">
        <w:t xml:space="preserve"> only remedy open to him was the appeal to the Federal Court</w:t>
      </w:r>
      <w:r w:rsidR="00124B30" w:rsidRPr="007B0775">
        <w:t>,</w:t>
      </w:r>
      <w:r w:rsidR="00626F0C" w:rsidRPr="007B0775">
        <w:t xml:space="preserve"> which</w:t>
      </w:r>
      <w:r w:rsidR="00C54C7C" w:rsidRPr="007B0775">
        <w:t>, on 29 July 2013,</w:t>
      </w:r>
      <w:r w:rsidR="00626F0C" w:rsidRPr="007B0775">
        <w:t xml:space="preserve"> </w:t>
      </w:r>
      <w:r w:rsidR="00C22118" w:rsidRPr="007B0775">
        <w:t>d</w:t>
      </w:r>
      <w:r w:rsidR="00124B30" w:rsidRPr="007B0775">
        <w:t>enied</w:t>
      </w:r>
      <w:r w:rsidR="00C22118" w:rsidRPr="007B0775">
        <w:t xml:space="preserve"> his permission to commence </w:t>
      </w:r>
      <w:r w:rsidR="00F46213" w:rsidRPr="007B0775">
        <w:t xml:space="preserve">a </w:t>
      </w:r>
      <w:r w:rsidR="00C22118" w:rsidRPr="007B0775">
        <w:t xml:space="preserve">judicial review </w:t>
      </w:r>
      <w:r w:rsidR="008A7050" w:rsidRPr="007B0775">
        <w:t>of the decision</w:t>
      </w:r>
      <w:r w:rsidR="00BF6F98" w:rsidRPr="007B0775">
        <w:t xml:space="preserve"> of the </w:t>
      </w:r>
      <w:r w:rsidR="00BF6F98" w:rsidRPr="007B0775">
        <w:rPr>
          <w:lang w:val="en-US"/>
        </w:rPr>
        <w:t>Immigration Refugee Board</w:t>
      </w:r>
      <w:r w:rsidR="008A7050" w:rsidRPr="007B0775">
        <w:t xml:space="preserve">. He also </w:t>
      </w:r>
      <w:r w:rsidR="00124B30" w:rsidRPr="007B0775">
        <w:t xml:space="preserve">claims </w:t>
      </w:r>
      <w:r w:rsidR="008A7050" w:rsidRPr="007B0775">
        <w:t>that</w:t>
      </w:r>
      <w:r w:rsidR="00F46213" w:rsidRPr="007B0775">
        <w:t>,</w:t>
      </w:r>
      <w:r w:rsidR="008A7050" w:rsidRPr="007B0775">
        <w:t xml:space="preserve"> at the time he </w:t>
      </w:r>
      <w:r w:rsidR="008D76F5" w:rsidRPr="007B0775">
        <w:t>submitted his</w:t>
      </w:r>
      <w:r w:rsidR="008A7050" w:rsidRPr="007B0775">
        <w:t xml:space="preserve"> complaint to the Committee, he was ineligible to </w:t>
      </w:r>
      <w:r w:rsidR="00124B30" w:rsidRPr="007B0775">
        <w:t xml:space="preserve">file </w:t>
      </w:r>
      <w:r w:rsidR="008A7050" w:rsidRPr="007B0775">
        <w:t xml:space="preserve">applications for </w:t>
      </w:r>
      <w:r w:rsidR="006B232B" w:rsidRPr="007B0775">
        <w:t xml:space="preserve">a </w:t>
      </w:r>
      <w:r w:rsidR="00F46213" w:rsidRPr="007B0775">
        <w:t>p</w:t>
      </w:r>
      <w:r w:rsidR="008A7050" w:rsidRPr="007B0775">
        <w:t>re-</w:t>
      </w:r>
      <w:r w:rsidR="00F46213" w:rsidRPr="007B0775">
        <w:t>r</w:t>
      </w:r>
      <w:r w:rsidR="008A7050" w:rsidRPr="007B0775">
        <w:t xml:space="preserve">emoval </w:t>
      </w:r>
      <w:r w:rsidR="00F46213" w:rsidRPr="007B0775">
        <w:t>r</w:t>
      </w:r>
      <w:r w:rsidR="008A7050" w:rsidRPr="007B0775">
        <w:t xml:space="preserve">isk </w:t>
      </w:r>
      <w:r w:rsidR="00F46213" w:rsidRPr="007B0775">
        <w:t>a</w:t>
      </w:r>
      <w:r w:rsidR="008A7050" w:rsidRPr="007B0775">
        <w:t>ssessment and for permanent residence on humanitarian and compassionate grounds, under a legislative provision barring such applications within one year of a negative asylum decision.</w:t>
      </w:r>
      <w:r w:rsidR="008A7050" w:rsidRPr="007B0775">
        <w:rPr>
          <w:vertAlign w:val="superscript"/>
        </w:rPr>
        <w:footnoteReference w:id="13"/>
      </w:r>
      <w:r w:rsidR="008A7050" w:rsidRPr="007B0775">
        <w:t xml:space="preserve"> </w:t>
      </w:r>
    </w:p>
    <w:p w:rsidR="007509CB" w:rsidRPr="007B0775" w:rsidRDefault="006A26A9" w:rsidP="006B232B">
      <w:pPr>
        <w:pStyle w:val="SingleTxtG"/>
      </w:pPr>
      <w:r w:rsidRPr="007B0775">
        <w:t>2.6</w:t>
      </w:r>
      <w:r w:rsidRPr="007B0775">
        <w:tab/>
        <w:t xml:space="preserve">On 12 February 2014, the author became eligible for </w:t>
      </w:r>
      <w:r w:rsidR="006B232B" w:rsidRPr="007B0775">
        <w:t xml:space="preserve">a </w:t>
      </w:r>
      <w:r w:rsidR="00F46213" w:rsidRPr="007B0775">
        <w:t>pre-removal risk assessment</w:t>
      </w:r>
      <w:r w:rsidRPr="007B0775">
        <w:t xml:space="preserve">. He submitted his application on 19 March 2014, which was rejected on 17 April 2014. </w:t>
      </w:r>
      <w:r w:rsidR="00340AC0" w:rsidRPr="007B0775">
        <w:t xml:space="preserve">The </w:t>
      </w:r>
      <w:r w:rsidR="00F46213" w:rsidRPr="007B0775">
        <w:t>pre-removal risk assessment</w:t>
      </w:r>
      <w:r w:rsidR="00340AC0" w:rsidRPr="007B0775">
        <w:t xml:space="preserve"> officer considered that the author had repeated many of the allegations made before the </w:t>
      </w:r>
      <w:r w:rsidR="00BF6F98" w:rsidRPr="007B0775">
        <w:rPr>
          <w:lang w:val="en-US"/>
        </w:rPr>
        <w:t>Immigration Refugee Board</w:t>
      </w:r>
      <w:r w:rsidR="00340AC0" w:rsidRPr="007B0775">
        <w:t xml:space="preserve">. He also rejected most of the evidence presented by the author, </w:t>
      </w:r>
      <w:r w:rsidR="00FE3D18" w:rsidRPr="007B0775">
        <w:t>considering</w:t>
      </w:r>
      <w:r w:rsidR="00340AC0" w:rsidRPr="007B0775">
        <w:t xml:space="preserve"> that</w:t>
      </w:r>
      <w:r w:rsidR="00B96BE5" w:rsidRPr="007B0775">
        <w:t xml:space="preserve"> some of it</w:t>
      </w:r>
      <w:r w:rsidR="00340AC0" w:rsidRPr="007B0775">
        <w:t xml:space="preserve"> </w:t>
      </w:r>
      <w:r w:rsidR="00B96BE5" w:rsidRPr="007B0775">
        <w:t xml:space="preserve">had already been presented to the </w:t>
      </w:r>
      <w:r w:rsidR="00BF6F98" w:rsidRPr="007B0775">
        <w:rPr>
          <w:lang w:val="en-US"/>
        </w:rPr>
        <w:t>Board</w:t>
      </w:r>
      <w:r w:rsidR="00B96BE5" w:rsidRPr="007B0775">
        <w:t xml:space="preserve">, or that it </w:t>
      </w:r>
      <w:r w:rsidR="006B232B" w:rsidRPr="007B0775">
        <w:t xml:space="preserve">had </w:t>
      </w:r>
      <w:r w:rsidR="00B96BE5" w:rsidRPr="007B0775">
        <w:t>predat</w:t>
      </w:r>
      <w:r w:rsidR="00A82F63" w:rsidRPr="007B0775">
        <w:t>ed</w:t>
      </w:r>
      <w:r w:rsidR="00B96BE5" w:rsidRPr="007B0775">
        <w:t xml:space="preserve"> the decision</w:t>
      </w:r>
      <w:r w:rsidR="00BF6F98" w:rsidRPr="007B0775">
        <w:t xml:space="preserve"> of the Board</w:t>
      </w:r>
      <w:r w:rsidR="00B96BE5" w:rsidRPr="007B0775">
        <w:t xml:space="preserve">, or that no satisfactory explanation for a late submission </w:t>
      </w:r>
      <w:r w:rsidR="006B232B" w:rsidRPr="007B0775">
        <w:t xml:space="preserve">had been </w:t>
      </w:r>
      <w:r w:rsidR="00B96BE5" w:rsidRPr="007B0775">
        <w:t>given</w:t>
      </w:r>
      <w:r w:rsidR="00103A87" w:rsidRPr="007B0775">
        <w:t xml:space="preserve">, or that it was irrelevant, and could therefore not be taken into account in the context of a </w:t>
      </w:r>
      <w:r w:rsidR="00F46213" w:rsidRPr="007B0775">
        <w:t>pre-removal risk assessment</w:t>
      </w:r>
      <w:r w:rsidR="00B96BE5" w:rsidRPr="007B0775">
        <w:t xml:space="preserve">. In </w:t>
      </w:r>
      <w:r w:rsidR="006B232B" w:rsidRPr="007B0775">
        <w:t xml:space="preserve">that </w:t>
      </w:r>
      <w:r w:rsidR="00B96BE5" w:rsidRPr="007B0775">
        <w:t xml:space="preserve">connection, the State party refers to: (a) a medical certificate dated 12 March 2007 </w:t>
      </w:r>
      <w:r w:rsidR="006B232B" w:rsidRPr="007B0775">
        <w:t xml:space="preserve">that </w:t>
      </w:r>
      <w:r w:rsidR="00B96BE5" w:rsidRPr="007B0775">
        <w:t xml:space="preserve">indicates that the author </w:t>
      </w:r>
      <w:r w:rsidR="006B232B" w:rsidRPr="007B0775">
        <w:t xml:space="preserve">had </w:t>
      </w:r>
      <w:r w:rsidR="00B96BE5" w:rsidRPr="007B0775">
        <w:t xml:space="preserve">received treatment in a hospital in Jaffna, following an attack </w:t>
      </w:r>
      <w:r w:rsidR="006B232B" w:rsidRPr="007B0775">
        <w:t xml:space="preserve">that had </w:t>
      </w:r>
      <w:r w:rsidR="00B96BE5" w:rsidRPr="007B0775">
        <w:t>resulted in injuries and a fractured arm; (b) photographs of the au</w:t>
      </w:r>
      <w:r w:rsidR="00D02B48" w:rsidRPr="007B0775">
        <w:t>th</w:t>
      </w:r>
      <w:r w:rsidR="00B96BE5" w:rsidRPr="007B0775">
        <w:t>or’s injuries; (c) an affidavit from the author’s mother dated 23 November 2012 confirming the incidents he claimed as basis for his asylum request; and</w:t>
      </w:r>
      <w:r w:rsidR="0072227E" w:rsidRPr="007B0775">
        <w:t xml:space="preserve"> </w:t>
      </w:r>
      <w:r w:rsidR="006B232B" w:rsidRPr="007B0775">
        <w:t xml:space="preserve">(d) </w:t>
      </w:r>
      <w:r w:rsidR="00B96BE5" w:rsidRPr="007B0775">
        <w:t>an undated letter from Ms. S. stating that she knew the autho</w:t>
      </w:r>
      <w:r w:rsidR="00D02B48" w:rsidRPr="007B0775">
        <w:t>r from his school days and that</w:t>
      </w:r>
      <w:r w:rsidR="00B96BE5" w:rsidRPr="007B0775">
        <w:t xml:space="preserve"> he was an honest man with no links to anti-social or anti-</w:t>
      </w:r>
      <w:r w:rsidR="00BF6F98" w:rsidRPr="007B0775">
        <w:t>G</w:t>
      </w:r>
      <w:r w:rsidR="00B96BE5" w:rsidRPr="007B0775">
        <w:t>overnment activities and who used to work as a media photographer</w:t>
      </w:r>
      <w:r w:rsidR="00340AC0" w:rsidRPr="007B0775">
        <w:t xml:space="preserve">. </w:t>
      </w:r>
      <w:r w:rsidR="00483A42" w:rsidRPr="007B0775">
        <w:t xml:space="preserve">Only two new </w:t>
      </w:r>
      <w:r w:rsidR="003938D6" w:rsidRPr="007B0775">
        <w:t>pieces of evidence</w:t>
      </w:r>
      <w:r w:rsidR="00483A42" w:rsidRPr="007B0775">
        <w:t xml:space="preserve"> were accepted: a letter </w:t>
      </w:r>
      <w:r w:rsidR="003938D6" w:rsidRPr="007B0775">
        <w:t xml:space="preserve">dated 20 </w:t>
      </w:r>
      <w:r w:rsidR="006B232B" w:rsidRPr="007B0775">
        <w:t>M</w:t>
      </w:r>
      <w:r w:rsidR="003938D6" w:rsidRPr="007B0775">
        <w:t>ay 2013</w:t>
      </w:r>
      <w:r w:rsidR="007509CB" w:rsidRPr="007B0775">
        <w:t xml:space="preserve"> signed by the Chief Editor</w:t>
      </w:r>
      <w:r w:rsidR="00FE3D18" w:rsidRPr="007B0775">
        <w:t xml:space="preserve"> of the </w:t>
      </w:r>
      <w:r w:rsidR="00FE3D18" w:rsidRPr="007B0775">
        <w:rPr>
          <w:i/>
          <w:iCs/>
        </w:rPr>
        <w:t>Uthayan</w:t>
      </w:r>
      <w:r w:rsidR="003938D6" w:rsidRPr="007B0775">
        <w:t xml:space="preserve">, certifying that the author </w:t>
      </w:r>
      <w:r w:rsidR="006B232B" w:rsidRPr="007B0775">
        <w:t xml:space="preserve">had </w:t>
      </w:r>
      <w:r w:rsidR="003938D6" w:rsidRPr="007B0775">
        <w:t xml:space="preserve">worked for the newspaper </w:t>
      </w:r>
      <w:r w:rsidR="006B232B" w:rsidRPr="007B0775">
        <w:t xml:space="preserve">as a photojournalist </w:t>
      </w:r>
      <w:r w:rsidR="00E424F4" w:rsidRPr="007B0775">
        <w:t xml:space="preserve">from </w:t>
      </w:r>
      <w:r w:rsidR="003938D6" w:rsidRPr="007B0775">
        <w:t xml:space="preserve">October 2006 </w:t>
      </w:r>
      <w:r w:rsidR="00E424F4" w:rsidRPr="007B0775">
        <w:t xml:space="preserve">to </w:t>
      </w:r>
      <w:r w:rsidR="003938D6" w:rsidRPr="007B0775">
        <w:t>May 2011</w:t>
      </w:r>
      <w:r w:rsidR="00E424F4" w:rsidRPr="007B0775">
        <w:t>,</w:t>
      </w:r>
      <w:r w:rsidR="003938D6" w:rsidRPr="007B0775">
        <w:t xml:space="preserve"> and a letter from the Human Rights Commission </w:t>
      </w:r>
      <w:r w:rsidR="006B232B" w:rsidRPr="007B0775">
        <w:t xml:space="preserve">of Sri Lanka </w:t>
      </w:r>
      <w:r w:rsidR="003938D6" w:rsidRPr="007B0775">
        <w:t xml:space="preserve">dated 6 December 2013, regarding a complaint made by </w:t>
      </w:r>
      <w:r w:rsidR="006B232B" w:rsidRPr="007B0775">
        <w:t xml:space="preserve">the author’s </w:t>
      </w:r>
      <w:r w:rsidR="003938D6" w:rsidRPr="007B0775">
        <w:t>mother on 27 September 2013</w:t>
      </w:r>
      <w:r w:rsidR="007509CB" w:rsidRPr="007B0775">
        <w:t>,</w:t>
      </w:r>
      <w:r w:rsidR="003938D6" w:rsidRPr="007B0775">
        <w:t xml:space="preserve"> according to which soldiers and “boys with weapons” </w:t>
      </w:r>
      <w:r w:rsidR="006B232B" w:rsidRPr="007B0775">
        <w:t xml:space="preserve">had come </w:t>
      </w:r>
      <w:r w:rsidR="003938D6" w:rsidRPr="007B0775">
        <w:t xml:space="preserve">to her house </w:t>
      </w:r>
      <w:r w:rsidR="007B3520" w:rsidRPr="007B0775">
        <w:t xml:space="preserve">the day before </w:t>
      </w:r>
      <w:r w:rsidR="006B232B" w:rsidRPr="007B0775">
        <w:t xml:space="preserve">and had asked about </w:t>
      </w:r>
      <w:r w:rsidR="00E424F4" w:rsidRPr="007B0775">
        <w:t xml:space="preserve">the author’s </w:t>
      </w:r>
      <w:r w:rsidR="003938D6" w:rsidRPr="007B0775">
        <w:t xml:space="preserve">whereabouts. </w:t>
      </w:r>
      <w:r w:rsidR="00E424F4" w:rsidRPr="007B0775">
        <w:t>Th</w:t>
      </w:r>
      <w:r w:rsidR="006B232B" w:rsidRPr="007B0775">
        <w:t>e</w:t>
      </w:r>
      <w:r w:rsidR="00E424F4" w:rsidRPr="007B0775">
        <w:t xml:space="preserve"> </w:t>
      </w:r>
      <w:r w:rsidR="003938D6" w:rsidRPr="007B0775">
        <w:t xml:space="preserve">letter states that it is not advisable </w:t>
      </w:r>
      <w:r w:rsidR="006B232B" w:rsidRPr="007B0775">
        <w:t xml:space="preserve">for </w:t>
      </w:r>
      <w:r w:rsidR="003938D6" w:rsidRPr="007B0775">
        <w:t xml:space="preserve">the author </w:t>
      </w:r>
      <w:r w:rsidR="006B232B" w:rsidRPr="007B0775">
        <w:t xml:space="preserve">to </w:t>
      </w:r>
      <w:r w:rsidR="003938D6" w:rsidRPr="007B0775">
        <w:t xml:space="preserve">return to Sri Lanka as he would be </w:t>
      </w:r>
      <w:r w:rsidR="007509CB" w:rsidRPr="007B0775">
        <w:t>“</w:t>
      </w:r>
      <w:r w:rsidR="003938D6" w:rsidRPr="007B0775">
        <w:t xml:space="preserve">definitely identified by the security forces and </w:t>
      </w:r>
      <w:r w:rsidR="007509CB" w:rsidRPr="007B0775">
        <w:t>taken to serious task”</w:t>
      </w:r>
      <w:r w:rsidR="003938D6" w:rsidRPr="007B0775">
        <w:t xml:space="preserve">. </w:t>
      </w:r>
    </w:p>
    <w:p w:rsidR="006C59A7" w:rsidRPr="007B0775" w:rsidRDefault="007509CB" w:rsidP="00823E1E">
      <w:pPr>
        <w:pStyle w:val="SingleTxtG"/>
      </w:pPr>
      <w:r w:rsidRPr="007B0775">
        <w:t>2.7</w:t>
      </w:r>
      <w:r w:rsidRPr="007B0775">
        <w:tab/>
      </w:r>
      <w:r w:rsidR="005B6957" w:rsidRPr="007B0775">
        <w:t xml:space="preserve">The </w:t>
      </w:r>
      <w:r w:rsidR="00F46213" w:rsidRPr="007B0775">
        <w:t>pre-removal risk assessment</w:t>
      </w:r>
      <w:r w:rsidRPr="007B0775">
        <w:t xml:space="preserve"> officer</w:t>
      </w:r>
      <w:r w:rsidR="005B6957" w:rsidRPr="007B0775">
        <w:t xml:space="preserve"> considered that the country conditions had not significantly changed after the decision</w:t>
      </w:r>
      <w:r w:rsidR="00BF6F98" w:rsidRPr="007B0775">
        <w:t xml:space="preserve"> of the Board</w:t>
      </w:r>
      <w:r w:rsidR="005B6957" w:rsidRPr="007B0775">
        <w:t xml:space="preserve"> </w:t>
      </w:r>
      <w:r w:rsidR="00FD432D" w:rsidRPr="007B0775">
        <w:t>and</w:t>
      </w:r>
      <w:r w:rsidR="005B6957" w:rsidRPr="007B0775">
        <w:t xml:space="preserve"> that only perceived critics or opponents to the </w:t>
      </w:r>
      <w:r w:rsidR="00BF6F98" w:rsidRPr="007B0775">
        <w:t>G</w:t>
      </w:r>
      <w:r w:rsidR="005B6957" w:rsidRPr="007B0775">
        <w:t xml:space="preserve">overnment would face a risk if returned. </w:t>
      </w:r>
      <w:r w:rsidR="00FD432D" w:rsidRPr="007B0775">
        <w:t>T</w:t>
      </w:r>
      <w:r w:rsidR="005B6957" w:rsidRPr="007B0775">
        <w:t xml:space="preserve">he question for the officer was </w:t>
      </w:r>
      <w:r w:rsidR="00FD432D" w:rsidRPr="007B0775">
        <w:t xml:space="preserve">therefore </w:t>
      </w:r>
      <w:r w:rsidR="005B6957" w:rsidRPr="007B0775">
        <w:t>wh</w:t>
      </w:r>
      <w:r w:rsidR="00483A42" w:rsidRPr="007B0775">
        <w:t>e</w:t>
      </w:r>
      <w:r w:rsidR="005B6957" w:rsidRPr="007B0775">
        <w:t xml:space="preserve">ther the author had demonstrated that he personally was </w:t>
      </w:r>
      <w:r w:rsidR="00483A42" w:rsidRPr="007B0775">
        <w:t xml:space="preserve">an actual or perceived critic of the </w:t>
      </w:r>
      <w:r w:rsidR="00BF6F98" w:rsidRPr="007B0775">
        <w:t>G</w:t>
      </w:r>
      <w:r w:rsidR="00FD432D" w:rsidRPr="007B0775">
        <w:t>overnment</w:t>
      </w:r>
      <w:r w:rsidR="00483A42" w:rsidRPr="007B0775">
        <w:t>. The officer concluded that the evidence submitted</w:t>
      </w:r>
      <w:r w:rsidR="00FD432D" w:rsidRPr="007B0775">
        <w:t xml:space="preserve"> did not demonstrate such </w:t>
      </w:r>
      <w:r w:rsidR="006B232B" w:rsidRPr="007B0775">
        <w:t xml:space="preserve">a </w:t>
      </w:r>
      <w:r w:rsidR="00FD432D" w:rsidRPr="007B0775">
        <w:t>profile</w:t>
      </w:r>
      <w:r w:rsidR="00483A42" w:rsidRPr="007B0775">
        <w:t xml:space="preserve">. </w:t>
      </w:r>
      <w:r w:rsidRPr="007B0775">
        <w:t xml:space="preserve">He considered that the letter from the </w:t>
      </w:r>
      <w:r w:rsidRPr="007B0775">
        <w:rPr>
          <w:i/>
          <w:iCs/>
        </w:rPr>
        <w:t>Uthayan</w:t>
      </w:r>
      <w:r w:rsidRPr="007B0775">
        <w:t xml:space="preserve"> was not reliable </w:t>
      </w:r>
      <w:r w:rsidR="00FD432D" w:rsidRPr="007B0775">
        <w:t xml:space="preserve">because </w:t>
      </w:r>
      <w:r w:rsidRPr="007B0775">
        <w:t>the author did not plausibly explain why he was not able to get it before. The officer also considered that</w:t>
      </w:r>
      <w:r w:rsidR="006B232B" w:rsidRPr="007B0775">
        <w:t>,</w:t>
      </w:r>
      <w:r w:rsidRPr="007B0775">
        <w:t xml:space="preserve"> even if </w:t>
      </w:r>
      <w:r w:rsidR="000E442E" w:rsidRPr="007B0775">
        <w:t xml:space="preserve">the letter was genuine, it did </w:t>
      </w:r>
      <w:r w:rsidRPr="007B0775">
        <w:t xml:space="preserve">not establish the author’s allegations of risk, as it did not indicate that the author would be perceived as a critic or opponent to the </w:t>
      </w:r>
      <w:r w:rsidR="00BF6F98" w:rsidRPr="007B0775">
        <w:t>G</w:t>
      </w:r>
      <w:r w:rsidRPr="007B0775">
        <w:t>overnment</w:t>
      </w:r>
      <w:r w:rsidR="000E442E" w:rsidRPr="007B0775">
        <w:t xml:space="preserve"> who would be exposed to a real</w:t>
      </w:r>
      <w:r w:rsidRPr="007B0775">
        <w:t xml:space="preserve"> risk in Sri Lanka. As </w:t>
      </w:r>
      <w:r w:rsidR="00823E1E" w:rsidRPr="007B0775">
        <w:t xml:space="preserve">for </w:t>
      </w:r>
      <w:r w:rsidRPr="007B0775">
        <w:t>the letter from the Human Rights Commission</w:t>
      </w:r>
      <w:r w:rsidR="00823E1E" w:rsidRPr="007B0775">
        <w:t xml:space="preserve"> of Sri Lanka</w:t>
      </w:r>
      <w:r w:rsidRPr="007B0775">
        <w:t xml:space="preserve">, the </w:t>
      </w:r>
      <w:r w:rsidR="000E442E" w:rsidRPr="007B0775">
        <w:t>officer doubted that it was genuine because its tone was not professional</w:t>
      </w:r>
      <w:r w:rsidR="00D951EB" w:rsidRPr="007B0775">
        <w:t xml:space="preserve"> </w:t>
      </w:r>
      <w:r w:rsidR="00FD432D" w:rsidRPr="007B0775">
        <w:t>and it</w:t>
      </w:r>
      <w:r w:rsidR="00D951EB" w:rsidRPr="007B0775">
        <w:t xml:space="preserve"> failed to establish that the author would be at risk if returned.</w:t>
      </w:r>
      <w:r w:rsidR="00370C2A" w:rsidRPr="007B0775">
        <w:t xml:space="preserve"> Finally, the officer </w:t>
      </w:r>
      <w:r w:rsidR="00EC3261" w:rsidRPr="007B0775">
        <w:t>reiterated</w:t>
      </w:r>
      <w:r w:rsidR="00370C2A" w:rsidRPr="007B0775">
        <w:t xml:space="preserve"> the </w:t>
      </w:r>
      <w:r w:rsidR="00EC3261" w:rsidRPr="007B0775">
        <w:t xml:space="preserve">assessment </w:t>
      </w:r>
      <w:r w:rsidR="00DC1E12" w:rsidRPr="007B0775">
        <w:t xml:space="preserve">of the </w:t>
      </w:r>
      <w:r w:rsidR="00DC1E12" w:rsidRPr="007B0775">
        <w:rPr>
          <w:lang w:val="en-US"/>
        </w:rPr>
        <w:t xml:space="preserve">Immigration Refugee Board </w:t>
      </w:r>
      <w:r w:rsidR="00EC3261" w:rsidRPr="007B0775">
        <w:t>that</w:t>
      </w:r>
      <w:r w:rsidR="00370C2A" w:rsidRPr="007B0775">
        <w:t xml:space="preserve"> being a Tamil male from northern Sri Lanka </w:t>
      </w:r>
      <w:r w:rsidR="00BB62BB" w:rsidRPr="007B0775">
        <w:t>was no longer a risk factor.</w:t>
      </w:r>
      <w:r w:rsidR="000E442E" w:rsidRPr="007B0775">
        <w:t xml:space="preserve"> </w:t>
      </w:r>
      <w:r w:rsidR="00922F8E" w:rsidRPr="007B0775">
        <w:t>On 19 June 2014, the author</w:t>
      </w:r>
      <w:r w:rsidR="006A26A9" w:rsidRPr="007B0775">
        <w:t xml:space="preserve"> applied to the Federal Court for leave to commence </w:t>
      </w:r>
      <w:r w:rsidR="00823E1E" w:rsidRPr="007B0775">
        <w:t xml:space="preserve">a </w:t>
      </w:r>
      <w:r w:rsidR="006A26A9" w:rsidRPr="007B0775">
        <w:t>judicial review</w:t>
      </w:r>
      <w:r w:rsidR="006773D5" w:rsidRPr="007B0775">
        <w:t xml:space="preserve"> of the negative decision</w:t>
      </w:r>
      <w:r w:rsidR="00F46213" w:rsidRPr="007B0775">
        <w:t xml:space="preserve"> concerning the pre-removal risk assessment</w:t>
      </w:r>
      <w:r w:rsidR="006773D5" w:rsidRPr="007B0775">
        <w:t>. The Court</w:t>
      </w:r>
      <w:r w:rsidR="006A26A9" w:rsidRPr="007B0775">
        <w:t xml:space="preserve"> dismissed</w:t>
      </w:r>
      <w:r w:rsidR="006773D5" w:rsidRPr="007B0775">
        <w:t xml:space="preserve"> </w:t>
      </w:r>
      <w:r w:rsidR="00823E1E" w:rsidRPr="007B0775">
        <w:t xml:space="preserve">the application </w:t>
      </w:r>
      <w:r w:rsidR="00EC3261" w:rsidRPr="007B0775">
        <w:t>without</w:t>
      </w:r>
      <w:r w:rsidR="00045B37" w:rsidRPr="007B0775">
        <w:t xml:space="preserve"> reason</w:t>
      </w:r>
      <w:r w:rsidR="006A26A9" w:rsidRPr="007B0775">
        <w:t xml:space="preserve"> on 7 October 2014.</w:t>
      </w:r>
    </w:p>
    <w:p w:rsidR="00CA60E3" w:rsidRPr="007B0775" w:rsidRDefault="00CA60E3" w:rsidP="00F73624">
      <w:pPr>
        <w:pStyle w:val="SingleTxtG"/>
      </w:pPr>
      <w:r w:rsidRPr="007B0775">
        <w:lastRenderedPageBreak/>
        <w:t>2.8</w:t>
      </w:r>
      <w:r w:rsidRPr="007B0775">
        <w:tab/>
        <w:t xml:space="preserve">After the </w:t>
      </w:r>
      <w:r w:rsidR="00F46213" w:rsidRPr="007B0775">
        <w:t>pre-removal risk assessment</w:t>
      </w:r>
      <w:r w:rsidRPr="007B0775">
        <w:t xml:space="preserve"> application was rejected, the author was advised by the </w:t>
      </w:r>
      <w:r w:rsidR="00823E1E" w:rsidRPr="007B0775">
        <w:t>Canada Border Service Agency</w:t>
      </w:r>
      <w:r w:rsidRPr="007B0775">
        <w:t xml:space="preserve"> to apply for a new passport. He </w:t>
      </w:r>
      <w:r w:rsidR="00F65BEA" w:rsidRPr="007B0775">
        <w:t xml:space="preserve">went to the </w:t>
      </w:r>
      <w:r w:rsidR="00A02CC6" w:rsidRPr="007B0775">
        <w:t>Sri Lanka High Commission</w:t>
      </w:r>
      <w:r w:rsidRPr="007B0775">
        <w:t xml:space="preserve"> </w:t>
      </w:r>
      <w:r w:rsidR="00F65BEA" w:rsidRPr="007B0775">
        <w:t xml:space="preserve">in Ottawa </w:t>
      </w:r>
      <w:r w:rsidRPr="007B0775">
        <w:t xml:space="preserve">and requested a new passport, but his request was rejected because the </w:t>
      </w:r>
      <w:r w:rsidR="00285A48" w:rsidRPr="007B0775">
        <w:t>High Commission</w:t>
      </w:r>
      <w:r w:rsidRPr="007B0775">
        <w:t xml:space="preserve"> does not provide documents to persons holding certain types of work permits</w:t>
      </w:r>
      <w:r w:rsidR="00937421" w:rsidRPr="007B0775">
        <w:t xml:space="preserve"> linked to asylum proceedings</w:t>
      </w:r>
      <w:r w:rsidRPr="007B0775">
        <w:t>, as the author had</w:t>
      </w:r>
      <w:r w:rsidR="00796DDB" w:rsidRPr="007B0775">
        <w:t>. He</w:t>
      </w:r>
      <w:r w:rsidRPr="007B0775">
        <w:t xml:space="preserve"> was informed that only the </w:t>
      </w:r>
      <w:r w:rsidR="00823E1E" w:rsidRPr="007B0775">
        <w:t>Canada Border Service Agency</w:t>
      </w:r>
      <w:r w:rsidRPr="007B0775">
        <w:t xml:space="preserve"> could request </w:t>
      </w:r>
      <w:r w:rsidR="00937421" w:rsidRPr="007B0775">
        <w:t>a passport</w:t>
      </w:r>
      <w:r w:rsidRPr="007B0775">
        <w:t xml:space="preserve"> </w:t>
      </w:r>
      <w:r w:rsidR="00937421" w:rsidRPr="007B0775">
        <w:t xml:space="preserve">for persons in </w:t>
      </w:r>
      <w:r w:rsidR="00261B89" w:rsidRPr="007B0775">
        <w:t xml:space="preserve">such a </w:t>
      </w:r>
      <w:r w:rsidR="00937421" w:rsidRPr="007B0775">
        <w:t xml:space="preserve">situation. On 15 October 2013, </w:t>
      </w:r>
      <w:r w:rsidR="00261B89" w:rsidRPr="007B0775">
        <w:t xml:space="preserve">the author met </w:t>
      </w:r>
      <w:r w:rsidR="00937421" w:rsidRPr="007B0775">
        <w:t xml:space="preserve">with </w:t>
      </w:r>
      <w:r w:rsidR="00261B89" w:rsidRPr="007B0775">
        <w:t xml:space="preserve">representatives of </w:t>
      </w:r>
      <w:r w:rsidR="00937421" w:rsidRPr="007B0775">
        <w:t xml:space="preserve">the </w:t>
      </w:r>
      <w:r w:rsidR="00823E1E" w:rsidRPr="007B0775">
        <w:t xml:space="preserve">Agency </w:t>
      </w:r>
      <w:r w:rsidR="00261B89" w:rsidRPr="007B0775">
        <w:t xml:space="preserve">and </w:t>
      </w:r>
      <w:r w:rsidR="00937421" w:rsidRPr="007B0775">
        <w:t xml:space="preserve">was informed that </w:t>
      </w:r>
      <w:r w:rsidR="00823E1E" w:rsidRPr="007B0775">
        <w:t xml:space="preserve">it </w:t>
      </w:r>
      <w:r w:rsidR="00937421" w:rsidRPr="007B0775">
        <w:t>would apply for a travel document on his behalf</w:t>
      </w:r>
      <w:r w:rsidR="00B96BE5" w:rsidRPr="007B0775">
        <w:t xml:space="preserve"> before the Sri Lankan authorities</w:t>
      </w:r>
      <w:r w:rsidR="00937421" w:rsidRPr="007B0775">
        <w:t xml:space="preserve">. </w:t>
      </w:r>
    </w:p>
    <w:p w:rsidR="003521FD" w:rsidRPr="007B0775" w:rsidRDefault="003521FD" w:rsidP="006358CB">
      <w:pPr>
        <w:pStyle w:val="H23G"/>
        <w:spacing w:line="240" w:lineRule="auto"/>
      </w:pPr>
      <w:r w:rsidRPr="007B0775">
        <w:tab/>
      </w:r>
      <w:r w:rsidRPr="007B0775">
        <w:tab/>
        <w:t>The complaint</w:t>
      </w:r>
    </w:p>
    <w:p w:rsidR="005411BD" w:rsidRPr="007B0775" w:rsidRDefault="003521FD" w:rsidP="00391D88">
      <w:pPr>
        <w:pStyle w:val="SingleTxtG"/>
        <w:rPr>
          <w:lang w:val="en-US"/>
        </w:rPr>
      </w:pPr>
      <w:r w:rsidRPr="007B0775">
        <w:t>3.1</w:t>
      </w:r>
      <w:r w:rsidRPr="007B0775">
        <w:tab/>
      </w:r>
      <w:r w:rsidR="00DA43F7" w:rsidRPr="007B0775">
        <w:t>The author submit</w:t>
      </w:r>
      <w:r w:rsidR="00AA1EDA" w:rsidRPr="007B0775">
        <w:t>s</w:t>
      </w:r>
      <w:r w:rsidR="00DA43F7" w:rsidRPr="007B0775">
        <w:t xml:space="preserve"> that, by forcibly returning </w:t>
      </w:r>
      <w:r w:rsidR="00AA1EDA" w:rsidRPr="007B0775">
        <w:t xml:space="preserve">him </w:t>
      </w:r>
      <w:r w:rsidR="00DA43F7" w:rsidRPr="007B0775">
        <w:t>to</w:t>
      </w:r>
      <w:r w:rsidR="00AA1EDA" w:rsidRPr="007B0775">
        <w:t xml:space="preserve"> Sri Lanka</w:t>
      </w:r>
      <w:r w:rsidR="00DA43F7" w:rsidRPr="007B0775">
        <w:t xml:space="preserve">, the </w:t>
      </w:r>
      <w:r w:rsidR="00AA1EDA" w:rsidRPr="007B0775">
        <w:t>Canadian authorities would violate his</w:t>
      </w:r>
      <w:r w:rsidR="00DA43F7" w:rsidRPr="007B0775">
        <w:t xml:space="preserve"> rights under article</w:t>
      </w:r>
      <w:r w:rsidR="00AA1EDA" w:rsidRPr="007B0775">
        <w:t>s 6 (1),</w:t>
      </w:r>
      <w:r w:rsidR="00DA43F7" w:rsidRPr="007B0775">
        <w:t xml:space="preserve"> 7</w:t>
      </w:r>
      <w:r w:rsidR="00AA1EDA" w:rsidRPr="007B0775">
        <w:t xml:space="preserve"> and 9 (1)</w:t>
      </w:r>
      <w:r w:rsidR="00DA43F7" w:rsidRPr="007B0775">
        <w:t xml:space="preserve"> of the Covenant</w:t>
      </w:r>
      <w:r w:rsidR="00DF14D6" w:rsidRPr="007B0775">
        <w:t>.</w:t>
      </w:r>
      <w:r w:rsidR="0060052F" w:rsidRPr="007B0775">
        <w:rPr>
          <w:rStyle w:val="FootnoteReference"/>
        </w:rPr>
        <w:footnoteReference w:id="14"/>
      </w:r>
      <w:r w:rsidR="005411BD" w:rsidRPr="007B0775">
        <w:t xml:space="preserve"> He asserts that he </w:t>
      </w:r>
      <w:r w:rsidR="00391D88" w:rsidRPr="007B0775">
        <w:t xml:space="preserve">would </w:t>
      </w:r>
      <w:r w:rsidR="005411BD" w:rsidRPr="007B0775">
        <w:t xml:space="preserve">be subjected to mistreatment on </w:t>
      </w:r>
      <w:r w:rsidR="00391D88" w:rsidRPr="007B0775">
        <w:t xml:space="preserve">the basis of </w:t>
      </w:r>
      <w:r w:rsidR="005411BD" w:rsidRPr="007B0775">
        <w:t xml:space="preserve">his profile, characterized by the following features: </w:t>
      </w:r>
      <w:r w:rsidR="00391D88" w:rsidRPr="007B0775">
        <w:t>(</w:t>
      </w:r>
      <w:r w:rsidR="005411BD" w:rsidRPr="007B0775">
        <w:t xml:space="preserve">a) </w:t>
      </w:r>
      <w:r w:rsidR="008E1830" w:rsidRPr="007B0775">
        <w:rPr>
          <w:lang w:val="en-US"/>
        </w:rPr>
        <w:t>h</w:t>
      </w:r>
      <w:r w:rsidR="005411BD" w:rsidRPr="007B0775">
        <w:rPr>
          <w:lang w:val="en-US"/>
        </w:rPr>
        <w:t>e is an ethnic Tamil from Jaffna</w:t>
      </w:r>
      <w:r w:rsidR="005411BD" w:rsidRPr="007B0775">
        <w:t xml:space="preserve">; </w:t>
      </w:r>
      <w:r w:rsidR="00391D88" w:rsidRPr="007B0775">
        <w:t>(</w:t>
      </w:r>
      <w:r w:rsidR="005411BD" w:rsidRPr="007B0775">
        <w:rPr>
          <w:lang w:val="en-US"/>
        </w:rPr>
        <w:t>b) he is a failed asylum seeker</w:t>
      </w:r>
      <w:r w:rsidR="005411BD" w:rsidRPr="007B0775">
        <w:t xml:space="preserve">; </w:t>
      </w:r>
      <w:r w:rsidR="00391D88" w:rsidRPr="007B0775">
        <w:t>(</w:t>
      </w:r>
      <w:r w:rsidR="005411BD" w:rsidRPr="007B0775">
        <w:rPr>
          <w:lang w:val="en-US"/>
        </w:rPr>
        <w:t xml:space="preserve">c) he was a </w:t>
      </w:r>
      <w:r w:rsidR="00D41C59" w:rsidRPr="007B0775">
        <w:rPr>
          <w:lang w:val="en-US"/>
        </w:rPr>
        <w:t xml:space="preserve">journalist </w:t>
      </w:r>
      <w:r w:rsidR="005411BD" w:rsidRPr="007B0775">
        <w:rPr>
          <w:lang w:val="en-US"/>
        </w:rPr>
        <w:t xml:space="preserve">photographer for the </w:t>
      </w:r>
      <w:r w:rsidR="005411BD" w:rsidRPr="007B0775">
        <w:rPr>
          <w:i/>
          <w:lang w:val="en-US"/>
        </w:rPr>
        <w:t>Uthayan</w:t>
      </w:r>
      <w:r w:rsidR="005411BD" w:rsidRPr="007B0775">
        <w:rPr>
          <w:lang w:val="en-US"/>
        </w:rPr>
        <w:t xml:space="preserve">, which is perceived to be critical of the </w:t>
      </w:r>
      <w:r w:rsidR="00BF6F98" w:rsidRPr="007B0775">
        <w:rPr>
          <w:lang w:val="en-US"/>
        </w:rPr>
        <w:t>G</w:t>
      </w:r>
      <w:r w:rsidR="005411BD" w:rsidRPr="007B0775">
        <w:rPr>
          <w:lang w:val="en-US"/>
        </w:rPr>
        <w:t>overnment and has been repeatedly targeted for this reason</w:t>
      </w:r>
      <w:r w:rsidR="005411BD" w:rsidRPr="007B0775">
        <w:t xml:space="preserve">; </w:t>
      </w:r>
      <w:r w:rsidR="00391D88" w:rsidRPr="007B0775">
        <w:t>(</w:t>
      </w:r>
      <w:r w:rsidR="005411BD" w:rsidRPr="007B0775">
        <w:rPr>
          <w:lang w:val="en-US"/>
        </w:rPr>
        <w:t>d) he was assaulted during several incidents during the Sri Lankan civil war</w:t>
      </w:r>
      <w:r w:rsidR="005411BD" w:rsidRPr="007B0775">
        <w:t xml:space="preserve">; </w:t>
      </w:r>
      <w:r w:rsidR="00391D88" w:rsidRPr="007B0775">
        <w:t>(</w:t>
      </w:r>
      <w:r w:rsidR="005411BD" w:rsidRPr="007B0775">
        <w:rPr>
          <w:lang w:val="en-US"/>
        </w:rPr>
        <w:t xml:space="preserve">e) he </w:t>
      </w:r>
      <w:r w:rsidR="00391D88" w:rsidRPr="007B0775">
        <w:rPr>
          <w:lang w:val="en-US"/>
        </w:rPr>
        <w:t xml:space="preserve">would </w:t>
      </w:r>
      <w:r w:rsidR="005411BD" w:rsidRPr="007B0775">
        <w:rPr>
          <w:lang w:val="en-US"/>
        </w:rPr>
        <w:t xml:space="preserve">be forcibly removed to Sri Lanka with a travel document issued by the Sri Lanka High Commission </w:t>
      </w:r>
      <w:r w:rsidR="00391D88" w:rsidRPr="007B0775">
        <w:rPr>
          <w:lang w:val="en-US"/>
        </w:rPr>
        <w:t xml:space="preserve">at the </w:t>
      </w:r>
      <w:r w:rsidR="005411BD" w:rsidRPr="007B0775">
        <w:rPr>
          <w:lang w:val="en-US"/>
        </w:rPr>
        <w:t>request of the Canadian authorities.</w:t>
      </w:r>
      <w:r w:rsidR="00796DDB" w:rsidRPr="007B0775" w:rsidDel="00796DDB">
        <w:rPr>
          <w:rStyle w:val="FootnoteReference"/>
          <w:lang w:val="en-US"/>
        </w:rPr>
        <w:t xml:space="preserve"> </w:t>
      </w:r>
    </w:p>
    <w:p w:rsidR="00C85B69" w:rsidRPr="007B0775" w:rsidRDefault="00D41046" w:rsidP="00391D88">
      <w:pPr>
        <w:pStyle w:val="SingleTxtG"/>
        <w:rPr>
          <w:lang w:val="en-US"/>
        </w:rPr>
      </w:pPr>
      <w:r w:rsidRPr="007B0775">
        <w:rPr>
          <w:lang w:val="en-US"/>
        </w:rPr>
        <w:t>3.2</w:t>
      </w:r>
      <w:r w:rsidRPr="007B0775">
        <w:rPr>
          <w:lang w:val="en-US"/>
        </w:rPr>
        <w:tab/>
      </w:r>
      <w:r w:rsidR="009A1CA6" w:rsidRPr="007B0775">
        <w:rPr>
          <w:lang w:val="en-US"/>
        </w:rPr>
        <w:t xml:space="preserve">The author asserts that the </w:t>
      </w:r>
      <w:r w:rsidR="00DC1E12" w:rsidRPr="007B0775">
        <w:rPr>
          <w:lang w:val="en-US"/>
        </w:rPr>
        <w:t>Immigration Refugee Board</w:t>
      </w:r>
      <w:r w:rsidR="009A1CA6" w:rsidRPr="007B0775">
        <w:rPr>
          <w:lang w:val="en-US"/>
        </w:rPr>
        <w:t xml:space="preserve"> was unreasonable and procedurally unfair in finding that he had not established that he </w:t>
      </w:r>
      <w:r w:rsidR="00391D88" w:rsidRPr="007B0775">
        <w:rPr>
          <w:lang w:val="en-US"/>
        </w:rPr>
        <w:t xml:space="preserve">had been </w:t>
      </w:r>
      <w:r w:rsidR="009A1CA6" w:rsidRPr="007B0775">
        <w:rPr>
          <w:lang w:val="en-US"/>
        </w:rPr>
        <w:t xml:space="preserve">a </w:t>
      </w:r>
      <w:r w:rsidR="00D41C59" w:rsidRPr="007B0775">
        <w:rPr>
          <w:lang w:val="en-US"/>
        </w:rPr>
        <w:t xml:space="preserve">journalist </w:t>
      </w:r>
      <w:r w:rsidR="009A1CA6" w:rsidRPr="007B0775">
        <w:rPr>
          <w:lang w:val="en-US"/>
        </w:rPr>
        <w:t xml:space="preserve">photographer for </w:t>
      </w:r>
      <w:r w:rsidR="00306BE6" w:rsidRPr="007B0775">
        <w:rPr>
          <w:lang w:val="en-US"/>
        </w:rPr>
        <w:t xml:space="preserve">the </w:t>
      </w:r>
      <w:r w:rsidR="009A1CA6" w:rsidRPr="007B0775">
        <w:rPr>
          <w:i/>
          <w:iCs/>
          <w:lang w:val="en-US"/>
        </w:rPr>
        <w:t>Uthayan</w:t>
      </w:r>
      <w:r w:rsidR="009A1CA6" w:rsidRPr="007B0775">
        <w:rPr>
          <w:lang w:val="en-US"/>
        </w:rPr>
        <w:t xml:space="preserve"> or another newspaper because he had an unsatisfactory knowledge of cameras and photography. The author states that the </w:t>
      </w:r>
      <w:r w:rsidR="00DC1E12" w:rsidRPr="007B0775">
        <w:rPr>
          <w:lang w:val="en-US"/>
        </w:rPr>
        <w:t>Board</w:t>
      </w:r>
      <w:r w:rsidR="004F281C" w:rsidRPr="007B0775">
        <w:rPr>
          <w:lang w:val="en-US"/>
        </w:rPr>
        <w:t xml:space="preserve"> m</w:t>
      </w:r>
      <w:r w:rsidR="009A1CA6" w:rsidRPr="007B0775">
        <w:rPr>
          <w:lang w:val="en-US"/>
        </w:rPr>
        <w:t xml:space="preserve">ember </w:t>
      </w:r>
      <w:r w:rsidR="00391D88" w:rsidRPr="007B0775">
        <w:rPr>
          <w:lang w:val="en-US"/>
        </w:rPr>
        <w:t xml:space="preserve">who had asked the </w:t>
      </w:r>
      <w:r w:rsidR="009A1CA6" w:rsidRPr="007B0775">
        <w:rPr>
          <w:lang w:val="en-US"/>
        </w:rPr>
        <w:t>questions on this issue was using terms that the interpreter could not translate in</w:t>
      </w:r>
      <w:r w:rsidR="00630343" w:rsidRPr="007B0775">
        <w:rPr>
          <w:lang w:val="en-US"/>
        </w:rPr>
        <w:t>to</w:t>
      </w:r>
      <w:r w:rsidR="009A1CA6" w:rsidRPr="007B0775">
        <w:rPr>
          <w:lang w:val="en-US"/>
        </w:rPr>
        <w:t xml:space="preserve"> Tamil. </w:t>
      </w:r>
      <w:r w:rsidR="0065631E" w:rsidRPr="007B0775">
        <w:rPr>
          <w:lang w:val="en-US"/>
        </w:rPr>
        <w:t xml:space="preserve">He </w:t>
      </w:r>
      <w:r w:rsidR="004F281C" w:rsidRPr="007B0775">
        <w:rPr>
          <w:lang w:val="en-US"/>
        </w:rPr>
        <w:t xml:space="preserve">indicates that the </w:t>
      </w:r>
      <w:r w:rsidR="00DC1E12" w:rsidRPr="007B0775">
        <w:rPr>
          <w:lang w:val="en-US"/>
        </w:rPr>
        <w:t>Board</w:t>
      </w:r>
      <w:r w:rsidR="009A1CA6" w:rsidRPr="007B0775">
        <w:rPr>
          <w:lang w:val="en-US"/>
        </w:rPr>
        <w:t xml:space="preserve"> acknowledge</w:t>
      </w:r>
      <w:r w:rsidR="0065631E" w:rsidRPr="007B0775">
        <w:rPr>
          <w:lang w:val="en-US"/>
        </w:rPr>
        <w:t>d</w:t>
      </w:r>
      <w:r w:rsidR="009A1CA6" w:rsidRPr="007B0775">
        <w:rPr>
          <w:lang w:val="en-US"/>
        </w:rPr>
        <w:t xml:space="preserve"> </w:t>
      </w:r>
      <w:r w:rsidR="0065631E" w:rsidRPr="007B0775">
        <w:rPr>
          <w:lang w:val="en-US"/>
        </w:rPr>
        <w:t>these</w:t>
      </w:r>
      <w:r w:rsidR="009A1CA6" w:rsidRPr="007B0775">
        <w:rPr>
          <w:lang w:val="en-US"/>
        </w:rPr>
        <w:t xml:space="preserve"> interpretation problems </w:t>
      </w:r>
      <w:r w:rsidR="0065631E" w:rsidRPr="007B0775">
        <w:rPr>
          <w:lang w:val="en-US"/>
        </w:rPr>
        <w:t>in its decision</w:t>
      </w:r>
      <w:r w:rsidR="009A1CA6" w:rsidRPr="007B0775">
        <w:rPr>
          <w:lang w:val="en-US"/>
        </w:rPr>
        <w:t xml:space="preserve"> and </w:t>
      </w:r>
      <w:r w:rsidR="004F281C" w:rsidRPr="007B0775">
        <w:rPr>
          <w:lang w:val="en-US"/>
        </w:rPr>
        <w:t xml:space="preserve">that </w:t>
      </w:r>
      <w:r w:rsidR="009A1CA6" w:rsidRPr="007B0775">
        <w:rPr>
          <w:lang w:val="en-US"/>
        </w:rPr>
        <w:t xml:space="preserve">he </w:t>
      </w:r>
      <w:r w:rsidR="0065631E" w:rsidRPr="007B0775">
        <w:rPr>
          <w:lang w:val="en-US"/>
        </w:rPr>
        <w:t>could have replied to the questions if he had understood them</w:t>
      </w:r>
      <w:r w:rsidR="009A1CA6" w:rsidRPr="007B0775">
        <w:rPr>
          <w:lang w:val="en-US"/>
        </w:rPr>
        <w:t xml:space="preserve">. The author also maintains that the </w:t>
      </w:r>
      <w:r w:rsidR="00DC1E12" w:rsidRPr="007B0775">
        <w:rPr>
          <w:lang w:val="en-US"/>
        </w:rPr>
        <w:t>Board</w:t>
      </w:r>
      <w:r w:rsidR="009A1CA6" w:rsidRPr="007B0775">
        <w:rPr>
          <w:lang w:val="en-US"/>
        </w:rPr>
        <w:t xml:space="preserve"> </w:t>
      </w:r>
      <w:r w:rsidR="00391D88" w:rsidRPr="007B0775">
        <w:rPr>
          <w:lang w:val="en-US"/>
        </w:rPr>
        <w:t xml:space="preserve">had made an error when </w:t>
      </w:r>
      <w:r w:rsidR="009A1CA6" w:rsidRPr="007B0775">
        <w:rPr>
          <w:lang w:val="en-US"/>
        </w:rPr>
        <w:t>questioning his credibility</w:t>
      </w:r>
      <w:r w:rsidR="006C6F68" w:rsidRPr="007B0775">
        <w:rPr>
          <w:lang w:val="en-US"/>
        </w:rPr>
        <w:t>. As</w:t>
      </w:r>
      <w:r w:rsidR="005C5887" w:rsidRPr="007B0775">
        <w:t xml:space="preserve"> he </w:t>
      </w:r>
      <w:r w:rsidR="004F281C" w:rsidRPr="007B0775">
        <w:t xml:space="preserve">claimed before the </w:t>
      </w:r>
      <w:r w:rsidR="00DC1E12" w:rsidRPr="007B0775">
        <w:rPr>
          <w:lang w:val="en-US"/>
        </w:rPr>
        <w:t>Board</w:t>
      </w:r>
      <w:r w:rsidR="006C6F68" w:rsidRPr="007B0775">
        <w:t>,</w:t>
      </w:r>
      <w:r w:rsidR="004F281C" w:rsidRPr="007B0775">
        <w:t xml:space="preserve"> his photos </w:t>
      </w:r>
      <w:r w:rsidR="00391D88" w:rsidRPr="007B0775">
        <w:t xml:space="preserve">had been </w:t>
      </w:r>
      <w:r w:rsidR="004F281C" w:rsidRPr="007B0775">
        <w:t>published under different alias</w:t>
      </w:r>
      <w:r w:rsidR="00391D88" w:rsidRPr="007B0775">
        <w:t>es</w:t>
      </w:r>
      <w:r w:rsidR="004F281C" w:rsidRPr="007B0775">
        <w:t xml:space="preserve"> for security reasons </w:t>
      </w:r>
      <w:r w:rsidR="006C6F68" w:rsidRPr="007B0775">
        <w:t xml:space="preserve">and </w:t>
      </w:r>
      <w:r w:rsidR="004F281C" w:rsidRPr="007B0775">
        <w:t>he</w:t>
      </w:r>
      <w:r w:rsidR="008F4AB7" w:rsidRPr="007B0775">
        <w:t xml:space="preserve"> did not have any receipts f</w:t>
      </w:r>
      <w:r w:rsidR="004F281C" w:rsidRPr="007B0775">
        <w:t>r</w:t>
      </w:r>
      <w:r w:rsidR="008F4AB7" w:rsidRPr="007B0775">
        <w:t>o</w:t>
      </w:r>
      <w:r w:rsidR="004F281C" w:rsidRPr="007B0775">
        <w:t>m the newspaper because</w:t>
      </w:r>
      <w:r w:rsidR="006C6F68" w:rsidRPr="007B0775">
        <w:t>, according to the practice of the newspaper,</w:t>
      </w:r>
      <w:r w:rsidR="004F281C" w:rsidRPr="007B0775">
        <w:t xml:space="preserve"> he was paid </w:t>
      </w:r>
      <w:r w:rsidR="008F4AB7" w:rsidRPr="007B0775">
        <w:t xml:space="preserve">in </w:t>
      </w:r>
      <w:r w:rsidR="004F281C" w:rsidRPr="007B0775">
        <w:t>cash</w:t>
      </w:r>
      <w:r w:rsidR="006C6F68" w:rsidRPr="007B0775">
        <w:t>.</w:t>
      </w:r>
      <w:r w:rsidR="004F281C" w:rsidRPr="007B0775">
        <w:t xml:space="preserve"> </w:t>
      </w:r>
      <w:r w:rsidR="006C6F68" w:rsidRPr="007B0775">
        <w:t xml:space="preserve">He further submits that </w:t>
      </w:r>
      <w:r w:rsidR="004F281C" w:rsidRPr="007B0775">
        <w:t xml:space="preserve">he </w:t>
      </w:r>
      <w:r w:rsidR="008F4AB7" w:rsidRPr="007B0775">
        <w:t xml:space="preserve">had not been able to </w:t>
      </w:r>
      <w:r w:rsidR="004F281C" w:rsidRPr="007B0775">
        <w:t>get a letter from the news</w:t>
      </w:r>
      <w:r w:rsidR="008F4AB7" w:rsidRPr="007B0775">
        <w:t xml:space="preserve">paper </w:t>
      </w:r>
      <w:r w:rsidR="006C6F68" w:rsidRPr="007B0775">
        <w:t>before</w:t>
      </w:r>
      <w:r w:rsidR="008F4AB7" w:rsidRPr="007B0775">
        <w:t xml:space="preserve"> the hearing</w:t>
      </w:r>
      <w:r w:rsidR="00C54C7C" w:rsidRPr="007B0775">
        <w:t xml:space="preserve"> before the </w:t>
      </w:r>
      <w:r w:rsidR="00DC1E12" w:rsidRPr="007B0775">
        <w:rPr>
          <w:lang w:val="en-US"/>
        </w:rPr>
        <w:t>Board</w:t>
      </w:r>
      <w:r w:rsidR="008F4AB7" w:rsidRPr="007B0775">
        <w:t xml:space="preserve"> </w:t>
      </w:r>
      <w:r w:rsidR="004F281C" w:rsidRPr="007B0775">
        <w:t xml:space="preserve">because </w:t>
      </w:r>
      <w:r w:rsidR="005C5887" w:rsidRPr="007B0775">
        <w:t>the head of the photography department was no longer working</w:t>
      </w:r>
      <w:r w:rsidR="00C2443D" w:rsidRPr="007B0775">
        <w:t xml:space="preserve"> there</w:t>
      </w:r>
      <w:r w:rsidR="00D8087D" w:rsidRPr="007B0775">
        <w:t xml:space="preserve">. The author explained </w:t>
      </w:r>
      <w:r w:rsidR="00C54C7C" w:rsidRPr="007B0775">
        <w:t xml:space="preserve">to the </w:t>
      </w:r>
      <w:r w:rsidR="00DC1E12" w:rsidRPr="007B0775">
        <w:rPr>
          <w:lang w:val="en-US"/>
        </w:rPr>
        <w:t>Board</w:t>
      </w:r>
      <w:r w:rsidR="00C54C7C" w:rsidRPr="007B0775">
        <w:t xml:space="preserve"> </w:t>
      </w:r>
      <w:r w:rsidR="008F4AB7" w:rsidRPr="007B0775">
        <w:t xml:space="preserve">that </w:t>
      </w:r>
      <w:r w:rsidR="005C5887" w:rsidRPr="007B0775">
        <w:t xml:space="preserve">he </w:t>
      </w:r>
      <w:r w:rsidR="006C6F68" w:rsidRPr="007B0775">
        <w:t xml:space="preserve">had </w:t>
      </w:r>
      <w:r w:rsidR="00391D88" w:rsidRPr="007B0775">
        <w:t xml:space="preserve">tried unsuccessfully </w:t>
      </w:r>
      <w:r w:rsidR="008F4AB7" w:rsidRPr="007B0775">
        <w:t xml:space="preserve">to </w:t>
      </w:r>
      <w:r w:rsidR="00391D88" w:rsidRPr="007B0775">
        <w:t xml:space="preserve">call </w:t>
      </w:r>
      <w:r w:rsidR="008F4AB7" w:rsidRPr="007B0775">
        <w:t xml:space="preserve">the newspaper </w:t>
      </w:r>
      <w:r w:rsidR="00C85B69" w:rsidRPr="007B0775">
        <w:t xml:space="preserve">and </w:t>
      </w:r>
      <w:r w:rsidR="008F4AB7" w:rsidRPr="007B0775">
        <w:t xml:space="preserve">that </w:t>
      </w:r>
      <w:r w:rsidR="004F281C" w:rsidRPr="007B0775">
        <w:t xml:space="preserve">his sister and mother </w:t>
      </w:r>
      <w:r w:rsidR="00391D88" w:rsidRPr="007B0775">
        <w:t xml:space="preserve">had gone </w:t>
      </w:r>
      <w:r w:rsidR="004F281C" w:rsidRPr="007B0775">
        <w:t xml:space="preserve">to </w:t>
      </w:r>
      <w:r w:rsidR="00306BE6" w:rsidRPr="007B0775">
        <w:t xml:space="preserve">the </w:t>
      </w:r>
      <w:r w:rsidR="004F281C" w:rsidRPr="007B0775">
        <w:t xml:space="preserve">offices </w:t>
      </w:r>
      <w:r w:rsidR="00306BE6" w:rsidRPr="007B0775">
        <w:t xml:space="preserve">of the </w:t>
      </w:r>
      <w:r w:rsidR="00306BE6" w:rsidRPr="007B0775">
        <w:rPr>
          <w:i/>
          <w:iCs/>
        </w:rPr>
        <w:t>Uthayan</w:t>
      </w:r>
      <w:r w:rsidR="00306BE6" w:rsidRPr="007B0775">
        <w:t xml:space="preserve"> </w:t>
      </w:r>
      <w:r w:rsidR="004F281C" w:rsidRPr="007B0775">
        <w:t>to ask for a work certificate</w:t>
      </w:r>
      <w:r w:rsidR="00391D88" w:rsidRPr="007B0775">
        <w:t>,</w:t>
      </w:r>
      <w:r w:rsidR="004F281C" w:rsidRPr="007B0775">
        <w:t xml:space="preserve"> but two policemen </w:t>
      </w:r>
      <w:r w:rsidR="00391D88" w:rsidRPr="007B0775">
        <w:t xml:space="preserve">had </w:t>
      </w:r>
      <w:r w:rsidR="004F281C" w:rsidRPr="007B0775">
        <w:t>not let them in.</w:t>
      </w:r>
      <w:r w:rsidR="00C85B69" w:rsidRPr="007B0775">
        <w:rPr>
          <w:lang w:val="en-US"/>
        </w:rPr>
        <w:t xml:space="preserve"> </w:t>
      </w:r>
      <w:r w:rsidR="00391D88" w:rsidRPr="007B0775">
        <w:rPr>
          <w:lang w:val="en-US"/>
        </w:rPr>
        <w:t>H</w:t>
      </w:r>
      <w:r w:rsidR="00D9378A" w:rsidRPr="007B0775">
        <w:rPr>
          <w:lang w:val="en-US"/>
        </w:rPr>
        <w:t xml:space="preserve">e provided a letter from one of his </w:t>
      </w:r>
      <w:r w:rsidR="00391D88" w:rsidRPr="007B0775">
        <w:rPr>
          <w:lang w:val="en-US"/>
        </w:rPr>
        <w:t xml:space="preserve">former </w:t>
      </w:r>
      <w:r w:rsidR="00D9378A" w:rsidRPr="007B0775">
        <w:rPr>
          <w:lang w:val="en-US"/>
        </w:rPr>
        <w:t xml:space="preserve">colleagues from the </w:t>
      </w:r>
      <w:r w:rsidR="00D9378A" w:rsidRPr="007B0775">
        <w:rPr>
          <w:i/>
          <w:iCs/>
          <w:lang w:val="en-US"/>
        </w:rPr>
        <w:t>Uthayan</w:t>
      </w:r>
      <w:r w:rsidR="00D9378A" w:rsidRPr="007B0775">
        <w:rPr>
          <w:lang w:val="en-US"/>
        </w:rPr>
        <w:t xml:space="preserve"> confirming that he </w:t>
      </w:r>
      <w:r w:rsidR="00391D88" w:rsidRPr="007B0775">
        <w:rPr>
          <w:lang w:val="en-US"/>
        </w:rPr>
        <w:t xml:space="preserve">had </w:t>
      </w:r>
      <w:r w:rsidR="00D9378A" w:rsidRPr="007B0775">
        <w:rPr>
          <w:lang w:val="en-US"/>
        </w:rPr>
        <w:t>worked there</w:t>
      </w:r>
      <w:r w:rsidR="006C6F68" w:rsidRPr="007B0775">
        <w:rPr>
          <w:lang w:val="en-US"/>
        </w:rPr>
        <w:t xml:space="preserve">, but </w:t>
      </w:r>
      <w:r w:rsidR="00391D88" w:rsidRPr="007B0775">
        <w:rPr>
          <w:lang w:val="en-US"/>
        </w:rPr>
        <w:t xml:space="preserve">that had </w:t>
      </w:r>
      <w:r w:rsidR="00D9378A" w:rsidRPr="007B0775">
        <w:rPr>
          <w:lang w:val="en-US"/>
        </w:rPr>
        <w:t xml:space="preserve">not </w:t>
      </w:r>
      <w:r w:rsidR="00391D88" w:rsidRPr="007B0775">
        <w:rPr>
          <w:lang w:val="en-US"/>
        </w:rPr>
        <w:t xml:space="preserve">been </w:t>
      </w:r>
      <w:r w:rsidR="00D9378A" w:rsidRPr="007B0775">
        <w:rPr>
          <w:lang w:val="en-US"/>
        </w:rPr>
        <w:t>mentioned in the decision</w:t>
      </w:r>
      <w:r w:rsidR="00DC1E12" w:rsidRPr="007B0775">
        <w:rPr>
          <w:lang w:val="en-US"/>
        </w:rPr>
        <w:t xml:space="preserve"> of the Board</w:t>
      </w:r>
      <w:r w:rsidR="00D9378A" w:rsidRPr="007B0775">
        <w:rPr>
          <w:lang w:val="en-US"/>
        </w:rPr>
        <w:t>.</w:t>
      </w:r>
      <w:r w:rsidR="00D9378A" w:rsidRPr="007B0775">
        <w:rPr>
          <w:rStyle w:val="FootnoteReference"/>
          <w:lang w:val="en-US"/>
        </w:rPr>
        <w:footnoteReference w:id="15"/>
      </w:r>
      <w:r w:rsidR="00D9378A" w:rsidRPr="007B0775">
        <w:rPr>
          <w:lang w:val="en-US"/>
        </w:rPr>
        <w:t xml:space="preserve"> </w:t>
      </w:r>
    </w:p>
    <w:p w:rsidR="00850AB4" w:rsidRPr="007B0775" w:rsidRDefault="00ED0892" w:rsidP="00391D88">
      <w:pPr>
        <w:pStyle w:val="SingleTxtG"/>
        <w:rPr>
          <w:lang w:val="en-US"/>
        </w:rPr>
      </w:pPr>
      <w:r w:rsidRPr="007B0775">
        <w:rPr>
          <w:lang w:val="en-US"/>
        </w:rPr>
        <w:t>3.3</w:t>
      </w:r>
      <w:r w:rsidRPr="007B0775">
        <w:rPr>
          <w:lang w:val="en-US"/>
        </w:rPr>
        <w:tab/>
      </w:r>
      <w:r w:rsidR="00850AB4" w:rsidRPr="007B0775">
        <w:rPr>
          <w:lang w:val="en-US"/>
        </w:rPr>
        <w:t xml:space="preserve">The author considers </w:t>
      </w:r>
      <w:r w:rsidR="00391D88" w:rsidRPr="007B0775">
        <w:rPr>
          <w:lang w:val="en-US"/>
        </w:rPr>
        <w:t xml:space="preserve">as insufficient </w:t>
      </w:r>
      <w:r w:rsidR="00850AB4" w:rsidRPr="007B0775">
        <w:rPr>
          <w:lang w:val="en-US"/>
        </w:rPr>
        <w:t xml:space="preserve">the </w:t>
      </w:r>
      <w:r w:rsidR="00391D88" w:rsidRPr="007B0775">
        <w:rPr>
          <w:lang w:val="en-US"/>
        </w:rPr>
        <w:t xml:space="preserve">argument of the </w:t>
      </w:r>
      <w:r w:rsidR="00DC1E12" w:rsidRPr="007B0775">
        <w:rPr>
          <w:lang w:val="en-US"/>
        </w:rPr>
        <w:t>Immigration Refugee Board</w:t>
      </w:r>
      <w:r w:rsidR="00850AB4" w:rsidRPr="007B0775">
        <w:rPr>
          <w:lang w:val="en-US"/>
        </w:rPr>
        <w:t xml:space="preserve"> that his press </w:t>
      </w:r>
      <w:r w:rsidR="00391D88" w:rsidRPr="007B0775">
        <w:rPr>
          <w:lang w:val="en-US"/>
        </w:rPr>
        <w:t xml:space="preserve">credentials had been </w:t>
      </w:r>
      <w:r w:rsidR="00850AB4" w:rsidRPr="007B0775">
        <w:rPr>
          <w:lang w:val="en-US"/>
        </w:rPr>
        <w:t xml:space="preserve">forged because </w:t>
      </w:r>
      <w:r w:rsidR="00391D88" w:rsidRPr="007B0775">
        <w:rPr>
          <w:lang w:val="en-US"/>
        </w:rPr>
        <w:t xml:space="preserve">such </w:t>
      </w:r>
      <w:r w:rsidR="00850AB4" w:rsidRPr="007B0775">
        <w:rPr>
          <w:lang w:val="en-US"/>
        </w:rPr>
        <w:t>documents are often forged in Sri Lanka</w:t>
      </w:r>
      <w:r w:rsidR="00391D88" w:rsidRPr="007B0775">
        <w:rPr>
          <w:lang w:val="en-US"/>
        </w:rPr>
        <w:t>.</w:t>
      </w:r>
      <w:r w:rsidR="00850AB4" w:rsidRPr="007B0775">
        <w:rPr>
          <w:lang w:val="en-US"/>
        </w:rPr>
        <w:t xml:space="preserve"> </w:t>
      </w:r>
      <w:r w:rsidR="00391D88" w:rsidRPr="007B0775">
        <w:rPr>
          <w:lang w:val="en-US"/>
        </w:rPr>
        <w:t xml:space="preserve">He states that </w:t>
      </w:r>
      <w:r w:rsidR="00850AB4" w:rsidRPr="007B0775">
        <w:rPr>
          <w:lang w:val="en-US"/>
        </w:rPr>
        <w:t xml:space="preserve">even the </w:t>
      </w:r>
      <w:r w:rsidR="00DC1E12" w:rsidRPr="007B0775">
        <w:rPr>
          <w:lang w:val="en-US"/>
        </w:rPr>
        <w:t>Board</w:t>
      </w:r>
      <w:r w:rsidR="00850AB4" w:rsidRPr="007B0775">
        <w:rPr>
          <w:lang w:val="en-US"/>
        </w:rPr>
        <w:t xml:space="preserve">’s jurisprudence recognizes that evidence of </w:t>
      </w:r>
      <w:r w:rsidR="00391D88" w:rsidRPr="007B0775">
        <w:rPr>
          <w:lang w:val="en-US"/>
        </w:rPr>
        <w:t xml:space="preserve">the </w:t>
      </w:r>
      <w:r w:rsidR="00850AB4" w:rsidRPr="007B0775">
        <w:rPr>
          <w:lang w:val="en-US"/>
        </w:rPr>
        <w:t xml:space="preserve">widespread availability of fraudulent documents is not, by itself, sufficient </w:t>
      </w:r>
      <w:r w:rsidR="00391D88" w:rsidRPr="007B0775">
        <w:rPr>
          <w:lang w:val="en-US"/>
        </w:rPr>
        <w:t xml:space="preserve">grounds on </w:t>
      </w:r>
      <w:r w:rsidR="00391D88" w:rsidRPr="007B0775">
        <w:rPr>
          <w:lang w:val="en-US"/>
        </w:rPr>
        <w:lastRenderedPageBreak/>
        <w:t xml:space="preserve">which </w:t>
      </w:r>
      <w:r w:rsidR="00850AB4" w:rsidRPr="007B0775">
        <w:rPr>
          <w:lang w:val="en-US"/>
        </w:rPr>
        <w:t>to reject documents.</w:t>
      </w:r>
      <w:r w:rsidR="00850AB4" w:rsidRPr="007B0775">
        <w:rPr>
          <w:vertAlign w:val="superscript"/>
          <w:lang w:val="en-US"/>
        </w:rPr>
        <w:footnoteReference w:id="16"/>
      </w:r>
      <w:r w:rsidR="00FE60E4" w:rsidRPr="007B0775">
        <w:rPr>
          <w:lang w:val="en-US"/>
        </w:rPr>
        <w:t xml:space="preserve"> </w:t>
      </w:r>
      <w:r w:rsidR="00850AB4" w:rsidRPr="007B0775">
        <w:rPr>
          <w:lang w:val="en-US"/>
        </w:rPr>
        <w:t>He also co</w:t>
      </w:r>
      <w:r w:rsidR="00635DF6" w:rsidRPr="007B0775">
        <w:rPr>
          <w:lang w:val="en-US"/>
        </w:rPr>
        <w:t>ntests</w:t>
      </w:r>
      <w:r w:rsidR="00850AB4" w:rsidRPr="007B0775">
        <w:rPr>
          <w:lang w:val="en-US"/>
        </w:rPr>
        <w:t xml:space="preserve"> the </w:t>
      </w:r>
      <w:r w:rsidR="00902952" w:rsidRPr="007B0775">
        <w:rPr>
          <w:lang w:val="en-US"/>
        </w:rPr>
        <w:t xml:space="preserve">conclusion </w:t>
      </w:r>
      <w:r w:rsidR="00DC1E12" w:rsidRPr="007B0775">
        <w:rPr>
          <w:lang w:val="en-US"/>
        </w:rPr>
        <w:t xml:space="preserve">of the Board </w:t>
      </w:r>
      <w:r w:rsidR="00902952" w:rsidRPr="007B0775">
        <w:rPr>
          <w:lang w:val="en-US"/>
        </w:rPr>
        <w:t xml:space="preserve">that he did not have the profile of someone who would be targeted by the </w:t>
      </w:r>
      <w:r w:rsidR="00200FDE" w:rsidRPr="007B0775">
        <w:rPr>
          <w:lang w:val="en-US"/>
        </w:rPr>
        <w:t>Eelam People’s Democratic Party</w:t>
      </w:r>
      <w:r w:rsidR="00902952" w:rsidRPr="007B0775">
        <w:rPr>
          <w:lang w:val="en-US"/>
        </w:rPr>
        <w:t xml:space="preserve"> or the </w:t>
      </w:r>
      <w:r w:rsidR="00391D88" w:rsidRPr="007B0775">
        <w:rPr>
          <w:lang w:val="en-US"/>
        </w:rPr>
        <w:t>p</w:t>
      </w:r>
      <w:r w:rsidR="00902952" w:rsidRPr="007B0775">
        <w:rPr>
          <w:lang w:val="en-US"/>
        </w:rPr>
        <w:t>olice</w:t>
      </w:r>
      <w:r w:rsidR="00745B7E" w:rsidRPr="007B0775">
        <w:rPr>
          <w:lang w:val="en-US"/>
        </w:rPr>
        <w:t xml:space="preserve"> if returned to Sri Lanka</w:t>
      </w:r>
      <w:r w:rsidR="00850AB4" w:rsidRPr="007B0775">
        <w:rPr>
          <w:lang w:val="en-US"/>
        </w:rPr>
        <w:t xml:space="preserve">. He states that the </w:t>
      </w:r>
      <w:r w:rsidR="00DC1E12" w:rsidRPr="007B0775">
        <w:rPr>
          <w:lang w:val="en-US"/>
        </w:rPr>
        <w:t>Board</w:t>
      </w:r>
      <w:r w:rsidR="00850AB4" w:rsidRPr="007B0775">
        <w:rPr>
          <w:lang w:val="en-US"/>
        </w:rPr>
        <w:t xml:space="preserve"> failed to take into account the fact that he had been targeted</w:t>
      </w:r>
      <w:r w:rsidR="00902952" w:rsidRPr="007B0775">
        <w:rPr>
          <w:lang w:val="en-US"/>
        </w:rPr>
        <w:t xml:space="preserve"> because he</w:t>
      </w:r>
      <w:r w:rsidR="00850AB4" w:rsidRPr="007B0775">
        <w:rPr>
          <w:lang w:val="en-US"/>
        </w:rPr>
        <w:t xml:space="preserve"> work</w:t>
      </w:r>
      <w:r w:rsidR="00902952" w:rsidRPr="007B0775">
        <w:rPr>
          <w:lang w:val="en-US"/>
        </w:rPr>
        <w:t>ed</w:t>
      </w:r>
      <w:r w:rsidR="00850AB4" w:rsidRPr="007B0775">
        <w:rPr>
          <w:lang w:val="en-US"/>
        </w:rPr>
        <w:t xml:space="preserve"> for a newspaper </w:t>
      </w:r>
      <w:r w:rsidR="00391D88" w:rsidRPr="007B0775">
        <w:rPr>
          <w:lang w:val="en-US"/>
        </w:rPr>
        <w:t xml:space="preserve">that is </w:t>
      </w:r>
      <w:r w:rsidR="00850AB4" w:rsidRPr="007B0775">
        <w:rPr>
          <w:lang w:val="en-US"/>
        </w:rPr>
        <w:t xml:space="preserve">perceived to be critical </w:t>
      </w:r>
      <w:r w:rsidR="00391D88" w:rsidRPr="007B0775">
        <w:rPr>
          <w:lang w:val="en-US"/>
        </w:rPr>
        <w:t xml:space="preserve">of </w:t>
      </w:r>
      <w:r w:rsidR="00850AB4" w:rsidRPr="007B0775">
        <w:rPr>
          <w:lang w:val="en-US"/>
        </w:rPr>
        <w:t xml:space="preserve">the </w:t>
      </w:r>
      <w:r w:rsidR="00BF6F98" w:rsidRPr="007B0775">
        <w:rPr>
          <w:lang w:val="en-US"/>
        </w:rPr>
        <w:t>G</w:t>
      </w:r>
      <w:r w:rsidR="00850AB4" w:rsidRPr="007B0775">
        <w:rPr>
          <w:lang w:val="en-US"/>
        </w:rPr>
        <w:t xml:space="preserve">overnment and </w:t>
      </w:r>
      <w:r w:rsidR="00391D88" w:rsidRPr="007B0775">
        <w:rPr>
          <w:lang w:val="en-US"/>
        </w:rPr>
        <w:t xml:space="preserve">that has </w:t>
      </w:r>
      <w:r w:rsidR="00850AB4" w:rsidRPr="007B0775">
        <w:rPr>
          <w:lang w:val="en-US"/>
        </w:rPr>
        <w:t>been repeatedly</w:t>
      </w:r>
      <w:r w:rsidR="00902952" w:rsidRPr="007B0775">
        <w:rPr>
          <w:lang w:val="en-US"/>
        </w:rPr>
        <w:t xml:space="preserve"> targeted </w:t>
      </w:r>
      <w:r w:rsidR="00391D88" w:rsidRPr="007B0775">
        <w:rPr>
          <w:lang w:val="en-US"/>
        </w:rPr>
        <w:t>for that reason</w:t>
      </w:r>
      <w:r w:rsidR="00902952" w:rsidRPr="007B0775">
        <w:rPr>
          <w:lang w:val="en-US"/>
        </w:rPr>
        <w:t xml:space="preserve">, dismissing </w:t>
      </w:r>
      <w:r w:rsidR="00391D88" w:rsidRPr="007B0775">
        <w:rPr>
          <w:lang w:val="en-US"/>
        </w:rPr>
        <w:t xml:space="preserve">in this regard </w:t>
      </w:r>
      <w:r w:rsidR="00902952" w:rsidRPr="007B0775">
        <w:rPr>
          <w:lang w:val="en-US"/>
        </w:rPr>
        <w:t>the author</w:t>
      </w:r>
      <w:r w:rsidR="001B2A2C" w:rsidRPr="007B0775">
        <w:rPr>
          <w:lang w:val="en-US"/>
        </w:rPr>
        <w:t>’s claims</w:t>
      </w:r>
      <w:r w:rsidR="00DC24C1" w:rsidRPr="007B0775">
        <w:rPr>
          <w:lang w:val="en-US"/>
        </w:rPr>
        <w:t xml:space="preserve"> </w:t>
      </w:r>
      <w:r w:rsidR="00C54C7C" w:rsidRPr="007B0775">
        <w:rPr>
          <w:lang w:val="en-US"/>
        </w:rPr>
        <w:t>duly supported with evidence</w:t>
      </w:r>
      <w:r w:rsidR="00902952" w:rsidRPr="007B0775">
        <w:rPr>
          <w:lang w:val="en-US"/>
        </w:rPr>
        <w:t>.</w:t>
      </w:r>
      <w:r w:rsidR="007E2A7B" w:rsidRPr="007B0775">
        <w:rPr>
          <w:rStyle w:val="FootnoteReference"/>
          <w:lang w:val="en-US"/>
        </w:rPr>
        <w:footnoteReference w:id="17"/>
      </w:r>
    </w:p>
    <w:p w:rsidR="00CF199D" w:rsidRPr="007B0775" w:rsidRDefault="003B3EA1" w:rsidP="00F73624">
      <w:pPr>
        <w:pStyle w:val="SingleTxtG"/>
      </w:pPr>
      <w:r w:rsidRPr="007B0775">
        <w:rPr>
          <w:lang w:val="en-US"/>
        </w:rPr>
        <w:t>3.4</w:t>
      </w:r>
      <w:r w:rsidRPr="007B0775">
        <w:rPr>
          <w:lang w:val="en-US"/>
        </w:rPr>
        <w:tab/>
      </w:r>
      <w:r w:rsidRPr="007B0775">
        <w:t>The author maintains that</w:t>
      </w:r>
      <w:r w:rsidR="00391D88" w:rsidRPr="007B0775">
        <w:t>,</w:t>
      </w:r>
      <w:r w:rsidRPr="007B0775">
        <w:t xml:space="preserve"> despite the civil war</w:t>
      </w:r>
      <w:r w:rsidR="00391D88" w:rsidRPr="007B0775">
        <w:t xml:space="preserve"> having come to an end</w:t>
      </w:r>
      <w:r w:rsidRPr="007B0775">
        <w:t>, arbitrary arrests and detention, kidnapping, extortion, torture and murder continue to be widespread in Sri Lanka</w:t>
      </w:r>
      <w:r w:rsidR="00F73624" w:rsidRPr="007B0775">
        <w:t>,</w:t>
      </w:r>
      <w:r w:rsidRPr="007B0775">
        <w:t xml:space="preserve"> and persons with </w:t>
      </w:r>
      <w:r w:rsidR="009C22AB" w:rsidRPr="007B0775">
        <w:t>his</w:t>
      </w:r>
      <w:r w:rsidRPr="007B0775">
        <w:t xml:space="preserve"> profile</w:t>
      </w:r>
      <w:r w:rsidR="00F73624" w:rsidRPr="007B0775">
        <w:t xml:space="preserve"> continue to be targeted</w:t>
      </w:r>
      <w:r w:rsidRPr="007B0775">
        <w:t>.</w:t>
      </w:r>
      <w:r w:rsidR="009C2096" w:rsidRPr="007B0775">
        <w:rPr>
          <w:rStyle w:val="FootnoteReference"/>
        </w:rPr>
        <w:footnoteReference w:id="18"/>
      </w:r>
      <w:r w:rsidRPr="007B0775">
        <w:t xml:space="preserve"> </w:t>
      </w:r>
      <w:r w:rsidR="00412C1A" w:rsidRPr="007B0775">
        <w:t>He s</w:t>
      </w:r>
      <w:r w:rsidR="00342EBF" w:rsidRPr="007B0775">
        <w:t>pecifically</w:t>
      </w:r>
      <w:r w:rsidRPr="007B0775">
        <w:t xml:space="preserve"> </w:t>
      </w:r>
      <w:r w:rsidR="0020170D" w:rsidRPr="007B0775">
        <w:t>cites</w:t>
      </w:r>
      <w:r w:rsidRPr="007B0775">
        <w:t xml:space="preserve"> </w:t>
      </w:r>
      <w:r w:rsidR="00412C1A" w:rsidRPr="007B0775">
        <w:t>report</w:t>
      </w:r>
      <w:r w:rsidR="0020170D" w:rsidRPr="007B0775">
        <w:t>s</w:t>
      </w:r>
      <w:r w:rsidR="00412C1A" w:rsidRPr="007B0775">
        <w:t xml:space="preserve"> </w:t>
      </w:r>
      <w:r w:rsidR="006E18BA" w:rsidRPr="007B0775">
        <w:t xml:space="preserve">from Reporters </w:t>
      </w:r>
      <w:r w:rsidR="00F73624" w:rsidRPr="007B0775">
        <w:t>W</w:t>
      </w:r>
      <w:r w:rsidR="006E18BA" w:rsidRPr="007B0775">
        <w:t>ithout Borders</w:t>
      </w:r>
      <w:r w:rsidR="0020170D" w:rsidRPr="007B0775">
        <w:rPr>
          <w:rStyle w:val="FootnoteReference"/>
        </w:rPr>
        <w:footnoteReference w:id="19"/>
      </w:r>
      <w:r w:rsidR="006E18BA" w:rsidRPr="007B0775">
        <w:t xml:space="preserve"> </w:t>
      </w:r>
      <w:r w:rsidR="00412C1A" w:rsidRPr="007B0775">
        <w:t xml:space="preserve">and press </w:t>
      </w:r>
      <w:r w:rsidRPr="007B0775">
        <w:t>article</w:t>
      </w:r>
      <w:r w:rsidR="00412C1A" w:rsidRPr="007B0775">
        <w:t>s</w:t>
      </w:r>
      <w:r w:rsidRPr="007B0775">
        <w:t xml:space="preserve"> stating that media workers are at serious r</w:t>
      </w:r>
      <w:r w:rsidR="00412C1A" w:rsidRPr="007B0775">
        <w:t>isk of being attacked or killed</w:t>
      </w:r>
      <w:r w:rsidR="003B4F1D" w:rsidRPr="007B0775">
        <w:t xml:space="preserve"> in Sri Lanka</w:t>
      </w:r>
      <w:r w:rsidR="001070D6" w:rsidRPr="007B0775">
        <w:t>.</w:t>
      </w:r>
      <w:r w:rsidR="00C008B5" w:rsidRPr="007B0775">
        <w:rPr>
          <w:rStyle w:val="FootnoteReference"/>
        </w:rPr>
        <w:footnoteReference w:id="20"/>
      </w:r>
      <w:r w:rsidRPr="007B0775">
        <w:t xml:space="preserve"> The author asserts that these acts go unpunished and that the mere existence of a democratic government and legal system cannot </w:t>
      </w:r>
      <w:r w:rsidR="00AE3E27" w:rsidRPr="007B0775">
        <w:t xml:space="preserve">be </w:t>
      </w:r>
      <w:r w:rsidR="00477892" w:rsidRPr="007B0775">
        <w:t>viewed</w:t>
      </w:r>
      <w:r w:rsidR="00E94FAE" w:rsidRPr="007B0775">
        <w:t xml:space="preserve"> as </w:t>
      </w:r>
      <w:r w:rsidRPr="007B0775">
        <w:t>provid</w:t>
      </w:r>
      <w:r w:rsidR="00E94FAE" w:rsidRPr="007B0775">
        <w:t>ing</w:t>
      </w:r>
      <w:r w:rsidRPr="007B0775">
        <w:t xml:space="preserve"> any protection. The author further asserts that Tamil males who are deported to Sri Lanka </w:t>
      </w:r>
      <w:r w:rsidR="00F73624" w:rsidRPr="007B0775">
        <w:t xml:space="preserve">are at a </w:t>
      </w:r>
      <w:r w:rsidRPr="007B0775">
        <w:t xml:space="preserve">particularly </w:t>
      </w:r>
      <w:r w:rsidR="00F73624" w:rsidRPr="007B0775">
        <w:t xml:space="preserve">high </w:t>
      </w:r>
      <w:r w:rsidRPr="007B0775">
        <w:t>risk of persecution.</w:t>
      </w:r>
      <w:r w:rsidR="009C2096" w:rsidRPr="007B0775">
        <w:rPr>
          <w:rStyle w:val="FootnoteReference"/>
        </w:rPr>
        <w:footnoteReference w:id="21"/>
      </w:r>
      <w:r w:rsidRPr="007B0775">
        <w:t xml:space="preserve"> </w:t>
      </w:r>
      <w:r w:rsidR="00011075" w:rsidRPr="007B0775">
        <w:t>He further submits that the risk</w:t>
      </w:r>
      <w:r w:rsidR="00477892" w:rsidRPr="007B0775">
        <w:t xml:space="preserve"> </w:t>
      </w:r>
      <w:r w:rsidR="00011075" w:rsidRPr="007B0775">
        <w:t xml:space="preserve">of </w:t>
      </w:r>
      <w:r w:rsidR="00F73624" w:rsidRPr="007B0775">
        <w:t xml:space="preserve">his </w:t>
      </w:r>
      <w:r w:rsidR="00011075" w:rsidRPr="007B0775">
        <w:t xml:space="preserve">being detained upon arrival and </w:t>
      </w:r>
      <w:r w:rsidR="00F73624" w:rsidRPr="007B0775">
        <w:t xml:space="preserve">subjected to </w:t>
      </w:r>
      <w:r w:rsidR="00011075" w:rsidRPr="007B0775">
        <w:t>ill-treat</w:t>
      </w:r>
      <w:r w:rsidR="007F3F88" w:rsidRPr="007B0775">
        <w:t>ment</w:t>
      </w:r>
      <w:r w:rsidR="00011075" w:rsidRPr="007B0775">
        <w:t xml:space="preserve"> or torture</w:t>
      </w:r>
      <w:r w:rsidR="00477892" w:rsidRPr="007B0775">
        <w:t xml:space="preserve"> </w:t>
      </w:r>
      <w:r w:rsidR="00AF56CB" w:rsidRPr="007B0775">
        <w:t xml:space="preserve">is </w:t>
      </w:r>
      <w:r w:rsidR="00F73624" w:rsidRPr="007B0775">
        <w:t xml:space="preserve">even greater given </w:t>
      </w:r>
      <w:r w:rsidR="00477892" w:rsidRPr="007B0775">
        <w:t xml:space="preserve">the way the Canadian authorities have dealt with </w:t>
      </w:r>
      <w:r w:rsidR="009C22AB" w:rsidRPr="007B0775">
        <w:t xml:space="preserve">his </w:t>
      </w:r>
      <w:r w:rsidR="00477892" w:rsidRPr="007B0775">
        <w:t xml:space="preserve">case, </w:t>
      </w:r>
      <w:r w:rsidR="00F73624" w:rsidRPr="007B0775">
        <w:t xml:space="preserve">that is, by the fact that </w:t>
      </w:r>
      <w:r w:rsidR="00477892" w:rsidRPr="007B0775">
        <w:t>the</w:t>
      </w:r>
      <w:r w:rsidR="00011075" w:rsidRPr="007B0775">
        <w:t xml:space="preserve"> </w:t>
      </w:r>
      <w:r w:rsidR="00F73624" w:rsidRPr="007B0775">
        <w:t>Canada Border Services Agency</w:t>
      </w:r>
      <w:r w:rsidR="00011075" w:rsidRPr="007B0775">
        <w:t xml:space="preserve"> contacted the </w:t>
      </w:r>
      <w:r w:rsidR="00285A48" w:rsidRPr="007B0775">
        <w:t>Sri Lanka High Commission</w:t>
      </w:r>
      <w:r w:rsidR="00AF56CB" w:rsidRPr="007B0775">
        <w:t xml:space="preserve"> in Ottawa </w:t>
      </w:r>
      <w:r w:rsidR="00011075" w:rsidRPr="007B0775">
        <w:t xml:space="preserve">to </w:t>
      </w:r>
      <w:r w:rsidR="00F73624" w:rsidRPr="007B0775">
        <w:t xml:space="preserve">arrange for him to obtain </w:t>
      </w:r>
      <w:r w:rsidR="00477892" w:rsidRPr="007B0775">
        <w:t>a travel document.</w:t>
      </w:r>
    </w:p>
    <w:p w:rsidR="00267717" w:rsidRPr="007B0775" w:rsidRDefault="00CF199D" w:rsidP="00A42FEB">
      <w:pPr>
        <w:pStyle w:val="SingleTxtG"/>
      </w:pPr>
      <w:r w:rsidRPr="007B0775">
        <w:t>3.5</w:t>
      </w:r>
      <w:r w:rsidRPr="007B0775">
        <w:tab/>
        <w:t xml:space="preserve">The author states that his application to commence </w:t>
      </w:r>
      <w:r w:rsidR="00A42FEB" w:rsidRPr="007B0775">
        <w:t>a j</w:t>
      </w:r>
      <w:r w:rsidRPr="007B0775">
        <w:t xml:space="preserve">udicial </w:t>
      </w:r>
      <w:r w:rsidR="00A42FEB" w:rsidRPr="007B0775">
        <w:t>r</w:t>
      </w:r>
      <w:r w:rsidRPr="007B0775">
        <w:t xml:space="preserve">eview of the negative decision </w:t>
      </w:r>
      <w:r w:rsidR="00DC1E12" w:rsidRPr="007B0775">
        <w:t xml:space="preserve">of the </w:t>
      </w:r>
      <w:r w:rsidR="00DC1E12" w:rsidRPr="007B0775">
        <w:rPr>
          <w:lang w:val="en-US"/>
        </w:rPr>
        <w:t xml:space="preserve">Immigration Refugee Board </w:t>
      </w:r>
      <w:r w:rsidRPr="007B0775">
        <w:t xml:space="preserve">was denied without </w:t>
      </w:r>
      <w:r w:rsidR="00A42FEB" w:rsidRPr="007B0775">
        <w:t xml:space="preserve">reason </w:t>
      </w:r>
      <w:r w:rsidRPr="007B0775">
        <w:t>and with no possibility for appeal. The author therefore maintains that he was never given a fair opportunity to contest the merits of the decision</w:t>
      </w:r>
      <w:r w:rsidR="00C118D2" w:rsidRPr="007B0775">
        <w:t xml:space="preserve"> </w:t>
      </w:r>
      <w:r w:rsidR="00DC1E12" w:rsidRPr="007B0775">
        <w:t xml:space="preserve">of the Board </w:t>
      </w:r>
      <w:r w:rsidR="00C118D2" w:rsidRPr="007B0775">
        <w:t xml:space="preserve">and to provide all the relevant </w:t>
      </w:r>
      <w:r w:rsidR="00C118D2" w:rsidRPr="007B0775">
        <w:lastRenderedPageBreak/>
        <w:t>documentation to support his claims</w:t>
      </w:r>
      <w:r w:rsidRPr="007B0775">
        <w:t xml:space="preserve">, and </w:t>
      </w:r>
      <w:r w:rsidR="00C118D2" w:rsidRPr="007B0775">
        <w:t>that he could not</w:t>
      </w:r>
      <w:r w:rsidRPr="007B0775">
        <w:t xml:space="preserve"> file a </w:t>
      </w:r>
      <w:r w:rsidR="00F46213" w:rsidRPr="007B0775">
        <w:t>pre-removal risk assessment</w:t>
      </w:r>
      <w:r w:rsidRPr="007B0775">
        <w:t xml:space="preserve"> application </w:t>
      </w:r>
      <w:r w:rsidR="00A42FEB" w:rsidRPr="007B0775">
        <w:t xml:space="preserve">owing </w:t>
      </w:r>
      <w:r w:rsidRPr="007B0775">
        <w:t xml:space="preserve">to statutory time limitation restrictions. </w:t>
      </w:r>
    </w:p>
    <w:p w:rsidR="003521FD" w:rsidRPr="007B0775" w:rsidRDefault="003521FD" w:rsidP="00A42FEB">
      <w:pPr>
        <w:pStyle w:val="H23G"/>
      </w:pPr>
      <w:r w:rsidRPr="007B0775">
        <w:tab/>
      </w:r>
      <w:r w:rsidRPr="007B0775">
        <w:tab/>
        <w:t>State party’s observations on admissibility and merits</w:t>
      </w:r>
    </w:p>
    <w:p w:rsidR="00003126" w:rsidRPr="007B0775" w:rsidRDefault="003521FD" w:rsidP="00D06DE9">
      <w:pPr>
        <w:pStyle w:val="SingleTxtG"/>
      </w:pPr>
      <w:r w:rsidRPr="007B0775">
        <w:t>4.1</w:t>
      </w:r>
      <w:r w:rsidRPr="007B0775">
        <w:tab/>
      </w:r>
      <w:r w:rsidR="000931D3" w:rsidRPr="007B0775">
        <w:t>On</w:t>
      </w:r>
      <w:r w:rsidRPr="007B0775">
        <w:t xml:space="preserve"> </w:t>
      </w:r>
      <w:r w:rsidR="00F80E8A" w:rsidRPr="007B0775">
        <w:t>19</w:t>
      </w:r>
      <w:r w:rsidR="000931D3" w:rsidRPr="007B0775">
        <w:t xml:space="preserve"> </w:t>
      </w:r>
      <w:r w:rsidR="0000558A" w:rsidRPr="007B0775">
        <w:t>December</w:t>
      </w:r>
      <w:r w:rsidR="00373E44" w:rsidRPr="007B0775">
        <w:t xml:space="preserve"> </w:t>
      </w:r>
      <w:r w:rsidR="000931D3" w:rsidRPr="007B0775">
        <w:t>2014</w:t>
      </w:r>
      <w:r w:rsidRPr="007B0775">
        <w:t xml:space="preserve">, the State party submitted its observations on </w:t>
      </w:r>
      <w:r w:rsidR="000931D3" w:rsidRPr="007B0775">
        <w:t xml:space="preserve">the </w:t>
      </w:r>
      <w:r w:rsidRPr="007B0775">
        <w:t>admissibility</w:t>
      </w:r>
      <w:r w:rsidR="000931D3" w:rsidRPr="007B0775">
        <w:t xml:space="preserve"> </w:t>
      </w:r>
      <w:r w:rsidR="00EC53FB" w:rsidRPr="007B0775">
        <w:t xml:space="preserve">and merits </w:t>
      </w:r>
      <w:r w:rsidR="000931D3" w:rsidRPr="007B0775">
        <w:t>of the communication</w:t>
      </w:r>
      <w:r w:rsidRPr="007B0775">
        <w:t>.</w:t>
      </w:r>
      <w:r w:rsidR="000931D3" w:rsidRPr="007B0775">
        <w:t xml:space="preserve"> </w:t>
      </w:r>
      <w:r w:rsidR="0090494B" w:rsidRPr="007B0775">
        <w:t>It</w:t>
      </w:r>
      <w:r w:rsidR="0011544F" w:rsidRPr="007B0775">
        <w:t xml:space="preserve"> </w:t>
      </w:r>
      <w:r w:rsidR="003212D6" w:rsidRPr="007B0775">
        <w:t>considers that the communication should be declared inadmissible because</w:t>
      </w:r>
      <w:r w:rsidR="00A42FEB" w:rsidRPr="007B0775">
        <w:t>:</w:t>
      </w:r>
      <w:r w:rsidR="003212D6" w:rsidRPr="007B0775">
        <w:t xml:space="preserve"> </w:t>
      </w:r>
      <w:r w:rsidR="00A42FEB" w:rsidRPr="007B0775">
        <w:t>(</w:t>
      </w:r>
      <w:r w:rsidR="0013111E" w:rsidRPr="007B0775">
        <w:t xml:space="preserve">a) the author has failed to exhaust </w:t>
      </w:r>
      <w:r w:rsidR="00A42FEB" w:rsidRPr="007B0775">
        <w:t xml:space="preserve">all </w:t>
      </w:r>
      <w:r w:rsidR="0090494B" w:rsidRPr="007B0775">
        <w:t xml:space="preserve">available </w:t>
      </w:r>
      <w:r w:rsidR="0013111E" w:rsidRPr="007B0775">
        <w:t>domestic remedies</w:t>
      </w:r>
      <w:r w:rsidR="00A42FEB" w:rsidRPr="007B0775">
        <w:t>;</w:t>
      </w:r>
      <w:r w:rsidR="0013111E" w:rsidRPr="007B0775">
        <w:t xml:space="preserve"> </w:t>
      </w:r>
      <w:r w:rsidR="00A42FEB" w:rsidRPr="007B0775">
        <w:t>(</w:t>
      </w:r>
      <w:r w:rsidR="0013111E" w:rsidRPr="007B0775">
        <w:t xml:space="preserve">b) </w:t>
      </w:r>
      <w:r w:rsidR="0090494B" w:rsidRPr="007B0775">
        <w:t>his</w:t>
      </w:r>
      <w:r w:rsidR="0013111E" w:rsidRPr="007B0775">
        <w:t xml:space="preserve"> allegation that his removal to Sri Lanka would violate article 9 (1) of the Covenant is inc</w:t>
      </w:r>
      <w:r w:rsidR="00357827" w:rsidRPr="007B0775">
        <w:t>ompatible with the scope of this</w:t>
      </w:r>
      <w:r w:rsidR="0013111E" w:rsidRPr="007B0775">
        <w:t xml:space="preserve"> provision, in contravention of article 3 of the Optional Protocol and </w:t>
      </w:r>
      <w:r w:rsidR="00A42FEB" w:rsidRPr="007B0775">
        <w:t>r</w:t>
      </w:r>
      <w:r w:rsidR="0013111E" w:rsidRPr="007B0775">
        <w:t>ule 96 (d)</w:t>
      </w:r>
      <w:r w:rsidR="00A42FEB" w:rsidRPr="007B0775">
        <w:t xml:space="preserve"> of the Committee’s rules of procedure;</w:t>
      </w:r>
      <w:r w:rsidR="0013111E" w:rsidRPr="007B0775">
        <w:t xml:space="preserve"> </w:t>
      </w:r>
      <w:r w:rsidR="00A42FEB" w:rsidRPr="007B0775">
        <w:t>(</w:t>
      </w:r>
      <w:r w:rsidR="0013111E" w:rsidRPr="007B0775">
        <w:t>c) the author’s allegations under two international instru</w:t>
      </w:r>
      <w:r w:rsidR="00357827" w:rsidRPr="007B0775">
        <w:t>ments other than the Covenant are</w:t>
      </w:r>
      <w:r w:rsidR="0013111E" w:rsidRPr="007B0775">
        <w:t xml:space="preserve"> incompatible with </w:t>
      </w:r>
      <w:r w:rsidR="00357827" w:rsidRPr="007B0775">
        <w:t xml:space="preserve">article 3 of </w:t>
      </w:r>
      <w:r w:rsidR="0013111E" w:rsidRPr="007B0775">
        <w:t xml:space="preserve">the Optional Protocol and </w:t>
      </w:r>
      <w:r w:rsidR="00A42FEB" w:rsidRPr="007B0775">
        <w:t>r</w:t>
      </w:r>
      <w:r w:rsidR="0013111E" w:rsidRPr="007B0775">
        <w:t>ule 96 (d)</w:t>
      </w:r>
      <w:r w:rsidR="00D06DE9" w:rsidRPr="007B0775">
        <w:t>;</w:t>
      </w:r>
      <w:r w:rsidR="0013111E" w:rsidRPr="007B0775">
        <w:t xml:space="preserve"> </w:t>
      </w:r>
      <w:r w:rsidR="0073311B" w:rsidRPr="007B0775">
        <w:t xml:space="preserve">and </w:t>
      </w:r>
      <w:r w:rsidR="00D06DE9" w:rsidRPr="007B0775">
        <w:t>(</w:t>
      </w:r>
      <w:r w:rsidR="0073311B" w:rsidRPr="007B0775">
        <w:t>d)</w:t>
      </w:r>
      <w:r w:rsidR="0013111E" w:rsidRPr="007B0775">
        <w:t xml:space="preserve"> </w:t>
      </w:r>
      <w:r w:rsidR="000D39B9" w:rsidRPr="007B0775">
        <w:t>the author’s claims are</w:t>
      </w:r>
      <w:r w:rsidR="000C4872" w:rsidRPr="007B0775">
        <w:t xml:space="preserve"> ill founded. The State </w:t>
      </w:r>
      <w:r w:rsidR="00BF6F98" w:rsidRPr="007B0775">
        <w:t>p</w:t>
      </w:r>
      <w:r w:rsidR="000C4872" w:rsidRPr="007B0775">
        <w:t>arty also considers that it is generally for domestic authorities to eval</w:t>
      </w:r>
      <w:r w:rsidR="00DB1079" w:rsidRPr="007B0775">
        <w:t>uate facts and evidence and</w:t>
      </w:r>
      <w:r w:rsidR="000C4872" w:rsidRPr="007B0775">
        <w:t xml:space="preserve"> </w:t>
      </w:r>
      <w:r w:rsidR="00DB1079" w:rsidRPr="007B0775">
        <w:t xml:space="preserve">indicates that </w:t>
      </w:r>
      <w:r w:rsidR="000C4872" w:rsidRPr="007B0775">
        <w:t>the author has not provided any</w:t>
      </w:r>
      <w:r w:rsidR="00DB1079" w:rsidRPr="007B0775">
        <w:t xml:space="preserve"> evidence to the Committee that has not been provided to </w:t>
      </w:r>
      <w:r w:rsidR="000C4872" w:rsidRPr="007B0775">
        <w:t>the Canadian authorities</w:t>
      </w:r>
      <w:r w:rsidR="00DB1079" w:rsidRPr="007B0775">
        <w:t xml:space="preserve"> during the asylum proceedings</w:t>
      </w:r>
      <w:r w:rsidR="000C4872" w:rsidRPr="007B0775">
        <w:t>.</w:t>
      </w:r>
      <w:r w:rsidR="0072227E" w:rsidRPr="007B0775">
        <w:t xml:space="preserve"> </w:t>
      </w:r>
    </w:p>
    <w:p w:rsidR="003C5706" w:rsidRPr="007B0775" w:rsidRDefault="003C5706" w:rsidP="00D06DE9">
      <w:pPr>
        <w:pStyle w:val="SingleTxtG"/>
      </w:pPr>
      <w:r w:rsidRPr="007B0775">
        <w:t>4.2</w:t>
      </w:r>
      <w:r w:rsidRPr="007B0775">
        <w:tab/>
      </w:r>
      <w:r w:rsidR="00E35AAF" w:rsidRPr="007B0775">
        <w:t xml:space="preserve">The State party </w:t>
      </w:r>
      <w:r w:rsidR="0090494B" w:rsidRPr="007B0775">
        <w:t xml:space="preserve">considers </w:t>
      </w:r>
      <w:r w:rsidR="00E35AAF" w:rsidRPr="007B0775">
        <w:t xml:space="preserve">that the author </w:t>
      </w:r>
      <w:r w:rsidR="00D06DE9" w:rsidRPr="007B0775">
        <w:t xml:space="preserve">has </w:t>
      </w:r>
      <w:r w:rsidR="00E35AAF" w:rsidRPr="007B0775">
        <w:t>not exhaust</w:t>
      </w:r>
      <w:r w:rsidR="00D06DE9" w:rsidRPr="007B0775">
        <w:t>ed</w:t>
      </w:r>
      <w:r w:rsidR="00E35AAF" w:rsidRPr="007B0775">
        <w:t xml:space="preserve"> domestic remedies, as he did not apply for permanent residence on </w:t>
      </w:r>
      <w:r w:rsidR="00F46213" w:rsidRPr="007B0775">
        <w:t>h</w:t>
      </w:r>
      <w:r w:rsidR="00E35AAF" w:rsidRPr="007B0775">
        <w:t xml:space="preserve">umanitarian and </w:t>
      </w:r>
      <w:r w:rsidR="00F46213" w:rsidRPr="007B0775">
        <w:t>c</w:t>
      </w:r>
      <w:r w:rsidR="00E35AAF" w:rsidRPr="007B0775">
        <w:t xml:space="preserve">ompassionate grounds, despite the fact it became available </w:t>
      </w:r>
      <w:r w:rsidR="00D06DE9" w:rsidRPr="007B0775">
        <w:t xml:space="preserve">to </w:t>
      </w:r>
      <w:r w:rsidR="00E35AAF" w:rsidRPr="007B0775">
        <w:t xml:space="preserve">the author on 12 February 2014. </w:t>
      </w:r>
      <w:r w:rsidR="00DE15D2" w:rsidRPr="007B0775">
        <w:t xml:space="preserve">The State party submits that </w:t>
      </w:r>
      <w:r w:rsidR="00306BE6" w:rsidRPr="007B0775">
        <w:t>humanitarian and compassionate grounds</w:t>
      </w:r>
      <w:r w:rsidR="00DE15D2" w:rsidRPr="007B0775">
        <w:t xml:space="preserve"> is an effective remedy that offers a reasonable prospect of redress, as it is a broad and discretionary review by a decision-maker who can determine whether a person can be granted permanent resi</w:t>
      </w:r>
      <w:r w:rsidR="00A119AE" w:rsidRPr="007B0775">
        <w:t>dence i</w:t>
      </w:r>
      <w:r w:rsidR="00103A87" w:rsidRPr="007B0775">
        <w:t>n cases where the applicant would</w:t>
      </w:r>
      <w:r w:rsidR="00A119AE" w:rsidRPr="007B0775">
        <w:t xml:space="preserve"> suffer unusual and undeserved hardship</w:t>
      </w:r>
      <w:r w:rsidR="00103A87" w:rsidRPr="007B0775">
        <w:t xml:space="preserve"> because of the need to apply for</w:t>
      </w:r>
      <w:r w:rsidR="009B22A0" w:rsidRPr="007B0775">
        <w:t xml:space="preserve"> a permanent visa outside Canada. </w:t>
      </w:r>
      <w:r w:rsidR="00A119AE" w:rsidRPr="007B0775">
        <w:t xml:space="preserve">These decisions are reviewable, with leave, by the Federal Court. The State party indicates that the author could have used this recourse to demonstrate his family ties in Canada </w:t>
      </w:r>
      <w:r w:rsidR="00B53ADA" w:rsidRPr="007B0775">
        <w:t>—</w:t>
      </w:r>
      <w:r w:rsidR="00D06DE9" w:rsidRPr="007B0775">
        <w:t> </w:t>
      </w:r>
      <w:r w:rsidR="00A119AE" w:rsidRPr="007B0775">
        <w:t>he has an uncle there</w:t>
      </w:r>
      <w:r w:rsidR="00D06DE9" w:rsidRPr="007B0775">
        <w:t> </w:t>
      </w:r>
      <w:r w:rsidR="00B53ADA" w:rsidRPr="007B0775">
        <w:t>—</w:t>
      </w:r>
      <w:r w:rsidR="00A119AE" w:rsidRPr="007B0775">
        <w:t>, and to describe hardships he could experience</w:t>
      </w:r>
      <w:r w:rsidR="00404E59" w:rsidRPr="007B0775">
        <w:t xml:space="preserve"> if removed to </w:t>
      </w:r>
      <w:r w:rsidR="00A119AE" w:rsidRPr="007B0775">
        <w:t>Sri Lanka</w:t>
      </w:r>
      <w:r w:rsidR="00404E59" w:rsidRPr="007B0775">
        <w:t>.</w:t>
      </w:r>
      <w:r w:rsidR="00404E59" w:rsidRPr="007B0775">
        <w:rPr>
          <w:rStyle w:val="FootnoteReference"/>
        </w:rPr>
        <w:footnoteReference w:id="22"/>
      </w:r>
      <w:r w:rsidR="00404E59" w:rsidRPr="007B0775">
        <w:t xml:space="preserve"> </w:t>
      </w:r>
      <w:r w:rsidR="007C399B" w:rsidRPr="007B0775">
        <w:t>The State party indicates that</w:t>
      </w:r>
      <w:r w:rsidR="00D06DE9" w:rsidRPr="007B0775">
        <w:t>,</w:t>
      </w:r>
      <w:r w:rsidR="007C399B" w:rsidRPr="007B0775">
        <w:t xml:space="preserve"> although the </w:t>
      </w:r>
      <w:r w:rsidR="00306BE6" w:rsidRPr="007B0775">
        <w:t>humanitarian and compassionate grounds</w:t>
      </w:r>
      <w:r w:rsidR="007C399B" w:rsidRPr="007B0775">
        <w:t xml:space="preserve"> would not lead to an automatic stay of removal, the author </w:t>
      </w:r>
      <w:r w:rsidR="00D06DE9" w:rsidRPr="007B0775">
        <w:t xml:space="preserve">could </w:t>
      </w:r>
      <w:r w:rsidR="007C399B" w:rsidRPr="007B0775">
        <w:t>apply to the Federal Court for a judicial stay of removal pending the outcome of the assessment of his request.</w:t>
      </w:r>
      <w:r w:rsidR="007C399B" w:rsidRPr="007B0775">
        <w:rPr>
          <w:rStyle w:val="FootnoteReference"/>
        </w:rPr>
        <w:footnoteReference w:id="23"/>
      </w:r>
      <w:r w:rsidR="007C399B" w:rsidRPr="007B0775">
        <w:t xml:space="preserve"> </w:t>
      </w:r>
      <w:r w:rsidR="00667483" w:rsidRPr="007B0775">
        <w:t>The State party regrets the Views recently adopted by the Committee</w:t>
      </w:r>
      <w:r w:rsidR="00D32244" w:rsidRPr="007B0775">
        <w:t>,</w:t>
      </w:r>
      <w:r w:rsidR="00667483" w:rsidRPr="007B0775">
        <w:t xml:space="preserve"> </w:t>
      </w:r>
      <w:r w:rsidR="00D06DE9" w:rsidRPr="007B0775">
        <w:t xml:space="preserve">in </w:t>
      </w:r>
      <w:r w:rsidR="00667483" w:rsidRPr="007B0775">
        <w:t xml:space="preserve">which </w:t>
      </w:r>
      <w:r w:rsidR="00D06DE9" w:rsidRPr="007B0775">
        <w:t xml:space="preserve">the Committee has </w:t>
      </w:r>
      <w:r w:rsidR="00667483" w:rsidRPr="007B0775">
        <w:t xml:space="preserve">considered that applications </w:t>
      </w:r>
      <w:r w:rsidR="00306BE6" w:rsidRPr="007B0775">
        <w:t xml:space="preserve">made on humanitarian and compassionate grounds </w:t>
      </w:r>
      <w:r w:rsidR="00667483" w:rsidRPr="007B0775">
        <w:t>are not remedies that should be exhausted for admissibility purposes</w:t>
      </w:r>
      <w:r w:rsidR="005446D6" w:rsidRPr="007B0775">
        <w:t>.</w:t>
      </w:r>
      <w:r w:rsidR="00A051E5" w:rsidRPr="007B0775">
        <w:rPr>
          <w:rStyle w:val="FootnoteReference"/>
        </w:rPr>
        <w:footnoteReference w:id="24"/>
      </w:r>
      <w:r w:rsidR="00667483" w:rsidRPr="007B0775">
        <w:t xml:space="preserve"> </w:t>
      </w:r>
    </w:p>
    <w:p w:rsidR="002730F8" w:rsidRPr="007B0775" w:rsidRDefault="00784009" w:rsidP="006113A0">
      <w:pPr>
        <w:pStyle w:val="SingleTxtG"/>
        <w:rPr>
          <w:iCs/>
        </w:rPr>
      </w:pPr>
      <w:r w:rsidRPr="007B0775">
        <w:t>4.3</w:t>
      </w:r>
      <w:r w:rsidRPr="007B0775">
        <w:tab/>
      </w:r>
      <w:r w:rsidR="00B87A98" w:rsidRPr="007B0775">
        <w:t xml:space="preserve">The State party </w:t>
      </w:r>
      <w:r w:rsidR="002A393B" w:rsidRPr="007B0775">
        <w:t>submits</w:t>
      </w:r>
      <w:r w:rsidR="00B87A98" w:rsidRPr="007B0775">
        <w:t xml:space="preserve"> that the author’s claim that article 9</w:t>
      </w:r>
      <w:r w:rsidR="00D06DE9" w:rsidRPr="007B0775">
        <w:t> </w:t>
      </w:r>
      <w:r w:rsidR="00B87A98" w:rsidRPr="007B0775">
        <w:t>(1) of the Covenant would be violated if he is removed to Sri Lanka is inadmissible</w:t>
      </w:r>
      <w:r w:rsidR="00501669" w:rsidRPr="007B0775">
        <w:t>,</w:t>
      </w:r>
      <w:r w:rsidR="00B87A98" w:rsidRPr="007B0775">
        <w:t xml:space="preserve"> as it is incompatible with </w:t>
      </w:r>
      <w:r w:rsidR="005934DF" w:rsidRPr="007B0775">
        <w:t>the article’s</w:t>
      </w:r>
      <w:r w:rsidR="00501669" w:rsidRPr="007B0775">
        <w:t xml:space="preserve"> scope. </w:t>
      </w:r>
      <w:r w:rsidR="002A393B" w:rsidRPr="007B0775">
        <w:t>It argues</w:t>
      </w:r>
      <w:r w:rsidR="00501669" w:rsidRPr="007B0775">
        <w:t xml:space="preserve"> that article 9 (1) does not impose an obligation on States to refrain from removing individuals who face a real risk of arbitrary detention in the receiving State.</w:t>
      </w:r>
      <w:r w:rsidR="005934DF" w:rsidRPr="007B0775">
        <w:t xml:space="preserve"> Therefore, even if the author demonstrates that he would be subject</w:t>
      </w:r>
      <w:r w:rsidR="002A393B" w:rsidRPr="007B0775">
        <w:t>ed</w:t>
      </w:r>
      <w:r w:rsidR="005934DF" w:rsidRPr="007B0775">
        <w:t xml:space="preserve"> to detention </w:t>
      </w:r>
      <w:r w:rsidR="00231ED4" w:rsidRPr="007B0775">
        <w:t xml:space="preserve">contrary to </w:t>
      </w:r>
      <w:r w:rsidR="005934DF" w:rsidRPr="007B0775">
        <w:t>article 9 (1)</w:t>
      </w:r>
      <w:r w:rsidR="002A393B" w:rsidRPr="007B0775">
        <w:t xml:space="preserve"> in Sri Lanka</w:t>
      </w:r>
      <w:r w:rsidR="00501669" w:rsidRPr="007B0775">
        <w:t xml:space="preserve"> </w:t>
      </w:r>
      <w:r w:rsidR="00B53ADA" w:rsidRPr="007B0775">
        <w:t>—</w:t>
      </w:r>
      <w:r w:rsidR="00D06DE9" w:rsidRPr="007B0775">
        <w:t> </w:t>
      </w:r>
      <w:r w:rsidR="005934DF" w:rsidRPr="007B0775">
        <w:t>which is denied</w:t>
      </w:r>
      <w:r w:rsidR="00D06DE9" w:rsidRPr="007B0775">
        <w:t> </w:t>
      </w:r>
      <w:r w:rsidR="00B53ADA" w:rsidRPr="007B0775">
        <w:t>—</w:t>
      </w:r>
      <w:r w:rsidR="005934DF" w:rsidRPr="007B0775">
        <w:t xml:space="preserve">, the responsibility of </w:t>
      </w:r>
      <w:r w:rsidR="005934DF" w:rsidRPr="007B0775">
        <w:lastRenderedPageBreak/>
        <w:t>Canada would not be engaged.</w:t>
      </w:r>
      <w:r w:rsidR="00A271D2" w:rsidRPr="007B0775">
        <w:rPr>
          <w:rStyle w:val="FootnoteReference"/>
        </w:rPr>
        <w:footnoteReference w:id="25"/>
      </w:r>
      <w:r w:rsidR="004A30C5" w:rsidRPr="007B0775">
        <w:t xml:space="preserve"> </w:t>
      </w:r>
      <w:r w:rsidR="002F4BD6" w:rsidRPr="007B0775">
        <w:rPr>
          <w:iCs/>
        </w:rPr>
        <w:t xml:space="preserve">The State party </w:t>
      </w:r>
      <w:r w:rsidR="002A393B" w:rsidRPr="007B0775">
        <w:rPr>
          <w:iCs/>
        </w:rPr>
        <w:t xml:space="preserve">argues that </w:t>
      </w:r>
      <w:r w:rsidR="002F4BD6" w:rsidRPr="007B0775">
        <w:rPr>
          <w:iCs/>
        </w:rPr>
        <w:t xml:space="preserve">that it is not aware of any decision of the Committee </w:t>
      </w:r>
      <w:r w:rsidR="002A393B" w:rsidRPr="007B0775">
        <w:rPr>
          <w:iCs/>
        </w:rPr>
        <w:t>according to which the</w:t>
      </w:r>
      <w:r w:rsidR="002F4BD6" w:rsidRPr="007B0775">
        <w:rPr>
          <w:iCs/>
        </w:rPr>
        <w:t xml:space="preserve"> removal of a person could violate any right contained in the Covena</w:t>
      </w:r>
      <w:r w:rsidR="00D32D24" w:rsidRPr="007B0775">
        <w:rPr>
          <w:iCs/>
        </w:rPr>
        <w:t>n</w:t>
      </w:r>
      <w:r w:rsidR="002F4BD6" w:rsidRPr="007B0775">
        <w:rPr>
          <w:iCs/>
        </w:rPr>
        <w:t>t, different from those established in articles 6 and 7</w:t>
      </w:r>
      <w:r w:rsidR="001615CC" w:rsidRPr="007B0775">
        <w:rPr>
          <w:iCs/>
        </w:rPr>
        <w:t>,</w:t>
      </w:r>
      <w:r w:rsidR="002A393B" w:rsidRPr="007B0775">
        <w:rPr>
          <w:iCs/>
        </w:rPr>
        <w:t xml:space="preserve"> and therefore considers that the Committee should </w:t>
      </w:r>
      <w:r w:rsidR="006113A0" w:rsidRPr="007B0775">
        <w:rPr>
          <w:iCs/>
        </w:rPr>
        <w:t xml:space="preserve">hold </w:t>
      </w:r>
      <w:r w:rsidR="002A393B" w:rsidRPr="007B0775">
        <w:rPr>
          <w:iCs/>
        </w:rPr>
        <w:t>the author’s allegation</w:t>
      </w:r>
      <w:r w:rsidR="001615CC" w:rsidRPr="007B0775">
        <w:rPr>
          <w:iCs/>
        </w:rPr>
        <w:t xml:space="preserve"> u</w:t>
      </w:r>
      <w:r w:rsidR="00960DD9" w:rsidRPr="007B0775">
        <w:rPr>
          <w:iCs/>
        </w:rPr>
        <w:t>nder article 9 (1) inadmissible</w:t>
      </w:r>
      <w:r w:rsidR="00E37CEF" w:rsidRPr="007B0775">
        <w:rPr>
          <w:iCs/>
        </w:rPr>
        <w:t>.</w:t>
      </w:r>
      <w:r w:rsidR="00960DD9" w:rsidRPr="007B0775">
        <w:rPr>
          <w:rStyle w:val="FootnoteReference"/>
          <w:iCs/>
        </w:rPr>
        <w:footnoteReference w:id="26"/>
      </w:r>
    </w:p>
    <w:p w:rsidR="00C562CC" w:rsidRPr="007B0775" w:rsidRDefault="00577539" w:rsidP="006113A0">
      <w:pPr>
        <w:pStyle w:val="SingleTxtG"/>
      </w:pPr>
      <w:r w:rsidRPr="007B0775">
        <w:t>4.4</w:t>
      </w:r>
      <w:r w:rsidRPr="007B0775">
        <w:tab/>
      </w:r>
      <w:r w:rsidR="006E10D0" w:rsidRPr="007B0775">
        <w:t xml:space="preserve">The State party </w:t>
      </w:r>
      <w:r w:rsidR="002A393B" w:rsidRPr="007B0775">
        <w:t xml:space="preserve">further argues </w:t>
      </w:r>
      <w:r w:rsidR="006E10D0" w:rsidRPr="007B0775">
        <w:t xml:space="preserve">that the communication should be declared inadmissible because the author’s allegations are manifestly unfounded. </w:t>
      </w:r>
      <w:r w:rsidR="002A393B" w:rsidRPr="007B0775">
        <w:t>It submits</w:t>
      </w:r>
      <w:r w:rsidR="006003BB" w:rsidRPr="007B0775">
        <w:t xml:space="preserve"> that it is generally for the domestic authorities to evaluate facts and evidence, unless it can be ascertained that the conduct of the proceedings at issue or the evaluation of the facts and evidence </w:t>
      </w:r>
      <w:r w:rsidR="006113A0" w:rsidRPr="007B0775">
        <w:t xml:space="preserve">are </w:t>
      </w:r>
      <w:r w:rsidR="006003BB" w:rsidRPr="007B0775">
        <w:t>manifestly arbitrary or amou</w:t>
      </w:r>
      <w:r w:rsidR="001855BF" w:rsidRPr="007B0775">
        <w:t>nted to a denial of justice,</w:t>
      </w:r>
      <w:r w:rsidR="00D82F03" w:rsidRPr="007B0775">
        <w:rPr>
          <w:rStyle w:val="FootnoteReference"/>
          <w:iCs/>
        </w:rPr>
        <w:footnoteReference w:id="27"/>
      </w:r>
      <w:r w:rsidR="001855BF" w:rsidRPr="007B0775">
        <w:t xml:space="preserve"> which is not</w:t>
      </w:r>
      <w:r w:rsidR="006003BB" w:rsidRPr="007B0775">
        <w:t xml:space="preserve"> </w:t>
      </w:r>
      <w:r w:rsidR="001855BF" w:rsidRPr="007B0775">
        <w:t>the case in the present communication. All the evidence presented to the Committee was previously reviewed by the domestic authorities</w:t>
      </w:r>
      <w:r w:rsidR="006113A0" w:rsidRPr="007B0775">
        <w:t>,</w:t>
      </w:r>
      <w:r w:rsidR="001855BF" w:rsidRPr="007B0775">
        <w:t xml:space="preserve"> </w:t>
      </w:r>
      <w:r w:rsidR="002A393B" w:rsidRPr="007B0775">
        <w:t xml:space="preserve">and </w:t>
      </w:r>
      <w:r w:rsidR="001855BF" w:rsidRPr="007B0775">
        <w:t xml:space="preserve">the author did not present any new evidence or facts to the Committee </w:t>
      </w:r>
      <w:r w:rsidR="006113A0" w:rsidRPr="007B0775">
        <w:t xml:space="preserve">that </w:t>
      </w:r>
      <w:r w:rsidR="001855BF" w:rsidRPr="007B0775">
        <w:t xml:space="preserve">could demonstrate that he would be at real risk if returned to Sri Lanka. </w:t>
      </w:r>
      <w:r w:rsidR="00B75F64" w:rsidRPr="007B0775">
        <w:t>The State party considers that the Committee should</w:t>
      </w:r>
      <w:r w:rsidR="002A393B" w:rsidRPr="007B0775">
        <w:t xml:space="preserve"> give</w:t>
      </w:r>
      <w:r w:rsidR="00B75F64" w:rsidRPr="007B0775">
        <w:t xml:space="preserve"> weigh</w:t>
      </w:r>
      <w:r w:rsidR="00D32244" w:rsidRPr="007B0775">
        <w:t>t</w:t>
      </w:r>
      <w:r w:rsidR="00B75F64" w:rsidRPr="007B0775">
        <w:t xml:space="preserve"> to the decisions </w:t>
      </w:r>
      <w:r w:rsidR="008A586A" w:rsidRPr="007B0775">
        <w:t>of</w:t>
      </w:r>
      <w:r w:rsidR="00B75F64" w:rsidRPr="007B0775">
        <w:t xml:space="preserve"> domestic authorities, in particular the </w:t>
      </w:r>
      <w:r w:rsidR="00DC1E12" w:rsidRPr="007B0775">
        <w:rPr>
          <w:lang w:val="en-US"/>
        </w:rPr>
        <w:t>Immigration Refugee Board</w:t>
      </w:r>
      <w:r w:rsidR="006113A0" w:rsidRPr="007B0775">
        <w:rPr>
          <w:lang w:val="en-US"/>
        </w:rPr>
        <w:t>,</w:t>
      </w:r>
      <w:r w:rsidR="00B75F64" w:rsidRPr="007B0775">
        <w:t xml:space="preserve"> which considered that the author </w:t>
      </w:r>
      <w:r w:rsidR="006113A0" w:rsidRPr="007B0775">
        <w:t xml:space="preserve">had </w:t>
      </w:r>
      <w:r w:rsidR="00B75F64" w:rsidRPr="007B0775">
        <w:t>failed to substantiate</w:t>
      </w:r>
      <w:r w:rsidR="00146903" w:rsidRPr="007B0775">
        <w:t xml:space="preserve"> most of </w:t>
      </w:r>
      <w:r w:rsidR="00B75F64" w:rsidRPr="007B0775">
        <w:t>his allegations regarding his past experience</w:t>
      </w:r>
      <w:r w:rsidR="00146903" w:rsidRPr="007B0775">
        <w:t>s</w:t>
      </w:r>
      <w:r w:rsidR="00B75F64" w:rsidRPr="007B0775">
        <w:t xml:space="preserve"> in Sri Lanka. </w:t>
      </w:r>
    </w:p>
    <w:p w:rsidR="002D78D0" w:rsidRPr="007B0775" w:rsidRDefault="00146903" w:rsidP="006113A0">
      <w:pPr>
        <w:pStyle w:val="SingleTxtG"/>
      </w:pPr>
      <w:r w:rsidRPr="007B0775">
        <w:t>4.</w:t>
      </w:r>
      <w:r w:rsidR="00577539" w:rsidRPr="007B0775">
        <w:t>5</w:t>
      </w:r>
      <w:r w:rsidRPr="007B0775">
        <w:tab/>
      </w:r>
      <w:r w:rsidR="00F024A6" w:rsidRPr="007B0775">
        <w:t xml:space="preserve">The State party indicates that the most plausible view of the author’s account is that he did some photography work for the </w:t>
      </w:r>
      <w:r w:rsidR="00F024A6" w:rsidRPr="007B0775">
        <w:rPr>
          <w:i/>
          <w:iCs/>
        </w:rPr>
        <w:t>Uthayan</w:t>
      </w:r>
      <w:r w:rsidR="00F024A6" w:rsidRPr="007B0775">
        <w:t xml:space="preserve"> for several months beginning late 2006. The author may also have been mistreated by soldiers of the Sri Lankan Army in February 2007. However, </w:t>
      </w:r>
      <w:r w:rsidR="008A586A" w:rsidRPr="007B0775">
        <w:t>he</w:t>
      </w:r>
      <w:r w:rsidR="00F024A6" w:rsidRPr="007B0775">
        <w:t xml:space="preserve"> was unable to provide any proof of his work</w:t>
      </w:r>
      <w:r w:rsidR="00D35336" w:rsidRPr="007B0775">
        <w:t xml:space="preserve"> as a professional photographer</w:t>
      </w:r>
      <w:r w:rsidR="00F024A6" w:rsidRPr="007B0775">
        <w:t xml:space="preserve">. The State party </w:t>
      </w:r>
      <w:r w:rsidR="00D35336" w:rsidRPr="007B0775">
        <w:t xml:space="preserve">considers </w:t>
      </w:r>
      <w:r w:rsidR="006113A0" w:rsidRPr="007B0775">
        <w:t xml:space="preserve">that </w:t>
      </w:r>
      <w:r w:rsidR="00D35336" w:rsidRPr="007B0775">
        <w:t>none of the submitted documents</w:t>
      </w:r>
      <w:r w:rsidR="00F024A6" w:rsidRPr="007B0775">
        <w:t xml:space="preserve"> provide</w:t>
      </w:r>
      <w:r w:rsidR="00D35336" w:rsidRPr="007B0775">
        <w:t>d</w:t>
      </w:r>
      <w:r w:rsidR="00F024A6" w:rsidRPr="007B0775">
        <w:t xml:space="preserve"> reliable </w:t>
      </w:r>
      <w:r w:rsidR="00D35336" w:rsidRPr="007B0775">
        <w:t>evidence of his work</w:t>
      </w:r>
      <w:r w:rsidR="0001182D" w:rsidRPr="007B0775">
        <w:t xml:space="preserve"> for </w:t>
      </w:r>
      <w:r w:rsidR="00306BE6" w:rsidRPr="007B0775">
        <w:t xml:space="preserve">the </w:t>
      </w:r>
      <w:r w:rsidR="0001182D" w:rsidRPr="007B0775">
        <w:rPr>
          <w:i/>
          <w:iCs/>
        </w:rPr>
        <w:t>Uthayan</w:t>
      </w:r>
      <w:r w:rsidR="00B37CC2" w:rsidRPr="007B0775">
        <w:t xml:space="preserve"> between 2006 and 2011</w:t>
      </w:r>
      <w:r w:rsidR="006113A0" w:rsidRPr="007B0775">
        <w:t>.</w:t>
      </w:r>
      <w:r w:rsidR="00B37CC2" w:rsidRPr="007B0775">
        <w:t xml:space="preserve"> </w:t>
      </w:r>
      <w:r w:rsidR="00FA0BC6" w:rsidRPr="007B0775">
        <w:t>Regarding</w:t>
      </w:r>
      <w:r w:rsidR="00B37CC2" w:rsidRPr="007B0775">
        <w:t xml:space="preserve"> </w:t>
      </w:r>
      <w:r w:rsidR="00D35336" w:rsidRPr="007B0775">
        <w:t xml:space="preserve">the </w:t>
      </w:r>
      <w:r w:rsidR="006113A0" w:rsidRPr="007B0775">
        <w:t>p</w:t>
      </w:r>
      <w:r w:rsidR="00B37CC2" w:rsidRPr="007B0775">
        <w:t xml:space="preserve">ress </w:t>
      </w:r>
      <w:r w:rsidR="006113A0" w:rsidRPr="007B0775">
        <w:t xml:space="preserve">credentials </w:t>
      </w:r>
      <w:r w:rsidR="00B37CC2" w:rsidRPr="007B0775">
        <w:t xml:space="preserve">issued by </w:t>
      </w:r>
      <w:r w:rsidR="00306BE6" w:rsidRPr="007B0775">
        <w:t xml:space="preserve">the </w:t>
      </w:r>
      <w:r w:rsidR="00B37CC2" w:rsidRPr="007B0775">
        <w:rPr>
          <w:i/>
          <w:iCs/>
        </w:rPr>
        <w:t>Uthayan</w:t>
      </w:r>
      <w:r w:rsidR="00B37CC2" w:rsidRPr="007B0775">
        <w:t xml:space="preserve"> dated 1 January 2011</w:t>
      </w:r>
      <w:r w:rsidR="008756F3" w:rsidRPr="007B0775">
        <w:t>,</w:t>
      </w:r>
      <w:r w:rsidR="00FA0BC6" w:rsidRPr="007B0775">
        <w:t xml:space="preserve"> the State party submits that it </w:t>
      </w:r>
      <w:r w:rsidR="00B37CC2" w:rsidRPr="007B0775">
        <w:t xml:space="preserve">is likely a forgery and </w:t>
      </w:r>
      <w:r w:rsidR="00FA0BC6" w:rsidRPr="007B0775">
        <w:t xml:space="preserve">that </w:t>
      </w:r>
      <w:r w:rsidR="00B37CC2" w:rsidRPr="007B0775">
        <w:t>it is not consistent with the author’s claims that he worked through an intermediary</w:t>
      </w:r>
      <w:r w:rsidR="00FA0BC6" w:rsidRPr="007B0775">
        <w:t>. Regarding t</w:t>
      </w:r>
      <w:r w:rsidR="00D35336" w:rsidRPr="007B0775">
        <w:t xml:space="preserve">he </w:t>
      </w:r>
      <w:r w:rsidR="00B37CC2" w:rsidRPr="007B0775">
        <w:t>photographs of the author receiving an award in 2006</w:t>
      </w:r>
      <w:r w:rsidR="008756F3" w:rsidRPr="007B0775">
        <w:t>,</w:t>
      </w:r>
      <w:r w:rsidR="006C7376" w:rsidRPr="007B0775">
        <w:t xml:space="preserve"> </w:t>
      </w:r>
      <w:r w:rsidR="00FA0BC6" w:rsidRPr="007B0775">
        <w:t xml:space="preserve">the State party submits that they </w:t>
      </w:r>
      <w:r w:rsidR="006C7376" w:rsidRPr="007B0775">
        <w:t xml:space="preserve">do not </w:t>
      </w:r>
      <w:r w:rsidR="00FA0BC6" w:rsidRPr="007B0775">
        <w:t>demonstrate</w:t>
      </w:r>
      <w:r w:rsidR="006C7376" w:rsidRPr="007B0775">
        <w:t xml:space="preserve"> that the</w:t>
      </w:r>
      <w:r w:rsidR="00FA0BC6" w:rsidRPr="007B0775">
        <w:t xml:space="preserve"> author was granted an</w:t>
      </w:r>
      <w:r w:rsidR="006C7376" w:rsidRPr="007B0775">
        <w:t xml:space="preserve"> award </w:t>
      </w:r>
      <w:r w:rsidR="00FA0BC6" w:rsidRPr="007B0775">
        <w:t>for his work as a photographer. As to t</w:t>
      </w:r>
      <w:r w:rsidR="00D35336" w:rsidRPr="007B0775">
        <w:t xml:space="preserve">he </w:t>
      </w:r>
      <w:r w:rsidR="0080445B" w:rsidRPr="007B0775">
        <w:t>l</w:t>
      </w:r>
      <w:r w:rsidR="005E4AEF" w:rsidRPr="007B0775">
        <w:t xml:space="preserve">etter dated 20 May 2015 signed by </w:t>
      </w:r>
      <w:r w:rsidR="00306BE6" w:rsidRPr="007B0775">
        <w:t xml:space="preserve">the </w:t>
      </w:r>
      <w:r w:rsidR="005E4AEF" w:rsidRPr="007B0775">
        <w:t xml:space="preserve">Chief Editor </w:t>
      </w:r>
      <w:r w:rsidR="00306BE6" w:rsidRPr="007B0775">
        <w:t xml:space="preserve">of the of the </w:t>
      </w:r>
      <w:r w:rsidR="00306BE6" w:rsidRPr="007B0775">
        <w:rPr>
          <w:i/>
          <w:iCs/>
        </w:rPr>
        <w:t>Uthayan</w:t>
      </w:r>
      <w:r w:rsidR="00306BE6" w:rsidRPr="007B0775">
        <w:t xml:space="preserve"> </w:t>
      </w:r>
      <w:r w:rsidR="005E4AEF" w:rsidRPr="007B0775">
        <w:t>indicating that th</w:t>
      </w:r>
      <w:r w:rsidR="006F5B2D" w:rsidRPr="007B0775">
        <w:t xml:space="preserve">e author </w:t>
      </w:r>
      <w:r w:rsidR="006113A0" w:rsidRPr="007B0775">
        <w:t xml:space="preserve">had </w:t>
      </w:r>
      <w:r w:rsidR="006F5B2D" w:rsidRPr="007B0775">
        <w:t>worked for the newspap</w:t>
      </w:r>
      <w:r w:rsidR="005E4AEF" w:rsidRPr="007B0775">
        <w:t xml:space="preserve">er as a photojournalist from 8 October 2006 to </w:t>
      </w:r>
      <w:r w:rsidR="006F5B2D" w:rsidRPr="007B0775">
        <w:t>3 May 2011</w:t>
      </w:r>
      <w:r w:rsidR="00FA0BC6" w:rsidRPr="007B0775">
        <w:t>,</w:t>
      </w:r>
      <w:r w:rsidR="00B37CC2" w:rsidRPr="007B0775">
        <w:t xml:space="preserve"> </w:t>
      </w:r>
      <w:r w:rsidR="00FA0BC6" w:rsidRPr="007B0775">
        <w:t xml:space="preserve">the State party considers it </w:t>
      </w:r>
      <w:r w:rsidR="00850BDD" w:rsidRPr="007B0775">
        <w:t>is not a reliable document because</w:t>
      </w:r>
      <w:r w:rsidR="00D35336" w:rsidRPr="007B0775">
        <w:t xml:space="preserve">, </w:t>
      </w:r>
      <w:r w:rsidR="006113A0" w:rsidRPr="007B0775">
        <w:t xml:space="preserve">given that </w:t>
      </w:r>
      <w:r w:rsidR="00FA0BC6" w:rsidRPr="007B0775">
        <w:t xml:space="preserve">the author allegedly </w:t>
      </w:r>
      <w:r w:rsidR="002E127C" w:rsidRPr="007B0775">
        <w:t xml:space="preserve">worked under an alias and through an intermediary, </w:t>
      </w:r>
      <w:r w:rsidR="00FA0BC6" w:rsidRPr="007B0775">
        <w:t xml:space="preserve">it is unlikely that the Chief Editor would know him, and the letter does not provide any explanation </w:t>
      </w:r>
      <w:r w:rsidR="006113A0" w:rsidRPr="007B0775">
        <w:t xml:space="preserve">in </w:t>
      </w:r>
      <w:r w:rsidR="00FA0BC6" w:rsidRPr="007B0775">
        <w:t>that regard</w:t>
      </w:r>
      <w:r w:rsidR="002E127C" w:rsidRPr="007B0775">
        <w:t>.</w:t>
      </w:r>
      <w:r w:rsidR="006C2AC2" w:rsidRPr="007B0775">
        <w:t xml:space="preserve"> In addition, the author did not give a plausible explanation </w:t>
      </w:r>
      <w:r w:rsidR="006729AC" w:rsidRPr="007B0775">
        <w:t>as to</w:t>
      </w:r>
      <w:r w:rsidR="006C2AC2" w:rsidRPr="007B0775">
        <w:t xml:space="preserve"> why </w:t>
      </w:r>
      <w:r w:rsidR="006113A0" w:rsidRPr="007B0775">
        <w:t xml:space="preserve">the </w:t>
      </w:r>
      <w:r w:rsidR="006C2AC2" w:rsidRPr="007B0775">
        <w:t>letter was not provided to the Canadian authorities</w:t>
      </w:r>
      <w:r w:rsidR="00247049" w:rsidRPr="007B0775">
        <w:t xml:space="preserve"> at </w:t>
      </w:r>
      <w:r w:rsidR="00247049" w:rsidRPr="007B0775">
        <w:lastRenderedPageBreak/>
        <w:t>the first stage of the asylum proceedings</w:t>
      </w:r>
      <w:r w:rsidR="009F555E" w:rsidRPr="007B0775">
        <w:t xml:space="preserve">. It is further submitted that </w:t>
      </w:r>
      <w:r w:rsidR="006113A0" w:rsidRPr="007B0775">
        <w:t xml:space="preserve">the </w:t>
      </w:r>
      <w:r w:rsidR="00E067A9" w:rsidRPr="007B0775">
        <w:t>letter is likely a forgery prepared to address the author’s lack of credibility</w:t>
      </w:r>
      <w:r w:rsidR="00E61B90" w:rsidRPr="007B0775">
        <w:t xml:space="preserve"> and corroboration issues that had been identified by</w:t>
      </w:r>
      <w:r w:rsidR="00E067A9" w:rsidRPr="007B0775">
        <w:t xml:space="preserve"> the </w:t>
      </w:r>
      <w:r w:rsidR="00DC1E12" w:rsidRPr="007B0775">
        <w:rPr>
          <w:lang w:val="en-US"/>
        </w:rPr>
        <w:t>Immigration Refugee Board</w:t>
      </w:r>
      <w:r w:rsidR="006729AC" w:rsidRPr="007B0775">
        <w:t xml:space="preserve">. As </w:t>
      </w:r>
      <w:r w:rsidR="006113A0" w:rsidRPr="007B0775">
        <w:t xml:space="preserve">regards </w:t>
      </w:r>
      <w:r w:rsidR="00D35336" w:rsidRPr="007B0775">
        <w:t xml:space="preserve">the </w:t>
      </w:r>
      <w:r w:rsidR="0080445B" w:rsidRPr="007B0775">
        <w:t>letter from N.R. dated 21 November 2012</w:t>
      </w:r>
      <w:r w:rsidR="00E61881" w:rsidRPr="007B0775">
        <w:t xml:space="preserve"> indicating that </w:t>
      </w:r>
      <w:r w:rsidR="00D35336" w:rsidRPr="007B0775">
        <w:t>he</w:t>
      </w:r>
      <w:r w:rsidR="00E61881" w:rsidRPr="007B0775">
        <w:t xml:space="preserve"> </w:t>
      </w:r>
      <w:r w:rsidR="006113A0" w:rsidRPr="007B0775">
        <w:t xml:space="preserve">had </w:t>
      </w:r>
      <w:r w:rsidR="00E61881" w:rsidRPr="007B0775">
        <w:t xml:space="preserve">worked with the author for </w:t>
      </w:r>
      <w:r w:rsidR="00306BE6" w:rsidRPr="007B0775">
        <w:t xml:space="preserve">the </w:t>
      </w:r>
      <w:r w:rsidR="00E61881" w:rsidRPr="007B0775">
        <w:rPr>
          <w:i/>
          <w:iCs/>
        </w:rPr>
        <w:t>Uthayan</w:t>
      </w:r>
      <w:r w:rsidR="00E61881" w:rsidRPr="007B0775">
        <w:t xml:space="preserve"> between late 2006 and August 2007, </w:t>
      </w:r>
      <w:r w:rsidR="008756F3" w:rsidRPr="007B0775">
        <w:t>t</w:t>
      </w:r>
      <w:r w:rsidR="00E61881" w:rsidRPr="007B0775">
        <w:t xml:space="preserve">he State party </w:t>
      </w:r>
      <w:r w:rsidR="006729AC" w:rsidRPr="007B0775">
        <w:t xml:space="preserve">considers </w:t>
      </w:r>
      <w:r w:rsidR="00E61881" w:rsidRPr="007B0775">
        <w:t xml:space="preserve">that </w:t>
      </w:r>
      <w:r w:rsidR="006113A0" w:rsidRPr="007B0775">
        <w:t xml:space="preserve">it </w:t>
      </w:r>
      <w:r w:rsidR="00E61881" w:rsidRPr="007B0775">
        <w:t xml:space="preserve">may be genuine but </w:t>
      </w:r>
      <w:r w:rsidR="006729AC" w:rsidRPr="007B0775">
        <w:t>submits</w:t>
      </w:r>
      <w:r w:rsidR="00D35336" w:rsidRPr="007B0775">
        <w:t xml:space="preserve"> that it would only demonstrate that</w:t>
      </w:r>
      <w:r w:rsidR="00E61881" w:rsidRPr="007B0775">
        <w:t xml:space="preserve"> the author </w:t>
      </w:r>
      <w:r w:rsidR="006113A0" w:rsidRPr="007B0775">
        <w:t xml:space="preserve">had </w:t>
      </w:r>
      <w:r w:rsidR="00E61881" w:rsidRPr="007B0775">
        <w:t>worked for the newspaper for</w:t>
      </w:r>
      <w:r w:rsidR="00D35336" w:rsidRPr="007B0775">
        <w:t xml:space="preserve"> a</w:t>
      </w:r>
      <w:r w:rsidR="00E61881" w:rsidRPr="007B0775">
        <w:t xml:space="preserve"> few months</w:t>
      </w:r>
      <w:r w:rsidR="00F229E7" w:rsidRPr="007B0775">
        <w:t xml:space="preserve"> between 2006 and 2007</w:t>
      </w:r>
      <w:r w:rsidR="00E61881" w:rsidRPr="007B0775">
        <w:t xml:space="preserve">, </w:t>
      </w:r>
      <w:r w:rsidR="00FA0BC6" w:rsidRPr="007B0775">
        <w:t>but not</w:t>
      </w:r>
      <w:r w:rsidR="00E61881" w:rsidRPr="007B0775">
        <w:t xml:space="preserve"> beyond mid-2007</w:t>
      </w:r>
      <w:r w:rsidR="00FA0BC6" w:rsidRPr="007B0775">
        <w:t xml:space="preserve">. </w:t>
      </w:r>
      <w:r w:rsidR="00FD5208" w:rsidRPr="007B0775">
        <w:t>As</w:t>
      </w:r>
      <w:r w:rsidR="00FA0BC6" w:rsidRPr="007B0775">
        <w:t xml:space="preserve"> </w:t>
      </w:r>
      <w:r w:rsidR="006113A0" w:rsidRPr="007B0775">
        <w:t xml:space="preserve">regards </w:t>
      </w:r>
      <w:r w:rsidR="00FA0BC6" w:rsidRPr="007B0775">
        <w:t xml:space="preserve">the </w:t>
      </w:r>
      <w:r w:rsidR="005B015C" w:rsidRPr="007B0775">
        <w:t>affidavit signed by the author’s mother dated 23 November 2012 confirming most of the author’s claims</w:t>
      </w:r>
      <w:r w:rsidR="00FD5208" w:rsidRPr="007B0775">
        <w:t>, t</w:t>
      </w:r>
      <w:r w:rsidR="005701CD" w:rsidRPr="007B0775">
        <w:t>he Stat</w:t>
      </w:r>
      <w:r w:rsidR="006113A0" w:rsidRPr="007B0775">
        <w:t>e</w:t>
      </w:r>
      <w:r w:rsidR="005701CD" w:rsidRPr="007B0775">
        <w:t xml:space="preserve"> party considers </w:t>
      </w:r>
      <w:r w:rsidR="00FD5208" w:rsidRPr="007B0775">
        <w:t xml:space="preserve">that </w:t>
      </w:r>
      <w:r w:rsidR="005701CD" w:rsidRPr="007B0775">
        <w:t xml:space="preserve">this document </w:t>
      </w:r>
      <w:r w:rsidR="00FD5208" w:rsidRPr="007B0775">
        <w:t xml:space="preserve">is </w:t>
      </w:r>
      <w:r w:rsidR="005701CD" w:rsidRPr="007B0775">
        <w:t xml:space="preserve">not reliable, as it does not provide any independent substantiation and no plausible explanation regarding the reasons why it was provided at the later stage of the asylum proceedings. The State party submits that it is likely a forgery </w:t>
      </w:r>
      <w:r w:rsidR="00712699" w:rsidRPr="007B0775">
        <w:t xml:space="preserve">prepared </w:t>
      </w:r>
      <w:r w:rsidR="005701CD" w:rsidRPr="007B0775">
        <w:t xml:space="preserve">to support the author’s claims, </w:t>
      </w:r>
      <w:r w:rsidR="00712699" w:rsidRPr="007B0775">
        <w:t xml:space="preserve">following what he stated in </w:t>
      </w:r>
      <w:r w:rsidR="005701CD" w:rsidRPr="007B0775">
        <w:t xml:space="preserve">his </w:t>
      </w:r>
      <w:r w:rsidR="006113A0" w:rsidRPr="007B0775">
        <w:t>personal information form</w:t>
      </w:r>
      <w:r w:rsidR="00FD5208" w:rsidRPr="007B0775">
        <w:t>. The State party finally submits that the</w:t>
      </w:r>
      <w:r w:rsidR="00712699" w:rsidRPr="007B0775">
        <w:t xml:space="preserve"> undated letter by Ms. S.</w:t>
      </w:r>
      <w:r w:rsidR="00380FF9" w:rsidRPr="007B0775">
        <w:t xml:space="preserve"> stating that she knew the author and that he was a photojournalist</w:t>
      </w:r>
      <w:r w:rsidR="00A97C7E" w:rsidRPr="007B0775">
        <w:t xml:space="preserve"> is also likely a forgery prepared to support the author’s claims.</w:t>
      </w:r>
    </w:p>
    <w:p w:rsidR="00146903" w:rsidRPr="007B0775" w:rsidRDefault="002D78D0" w:rsidP="006113A0">
      <w:pPr>
        <w:pStyle w:val="SingleTxtG"/>
      </w:pPr>
      <w:r w:rsidRPr="007B0775">
        <w:t>4.</w:t>
      </w:r>
      <w:r w:rsidR="00E37CEF" w:rsidRPr="007B0775">
        <w:t>6</w:t>
      </w:r>
      <w:r w:rsidRPr="007B0775">
        <w:tab/>
      </w:r>
      <w:r w:rsidR="00FD5208" w:rsidRPr="007B0775">
        <w:t>T</w:t>
      </w:r>
      <w:r w:rsidR="00376FC4" w:rsidRPr="007B0775">
        <w:t>he State party acknowledges that the author appears to have suffered some injuries in February 2007,</w:t>
      </w:r>
      <w:r w:rsidR="00376FC4" w:rsidRPr="007B0775">
        <w:rPr>
          <w:rStyle w:val="FootnoteReference"/>
          <w:iCs/>
        </w:rPr>
        <w:footnoteReference w:id="28"/>
      </w:r>
      <w:r w:rsidR="00376FC4" w:rsidRPr="007B0775">
        <w:t xml:space="preserve"> possibly inflicted by soldiers</w:t>
      </w:r>
      <w:r w:rsidR="006113A0" w:rsidRPr="007B0775">
        <w:t xml:space="preserve"> of the Sri Lankan Army</w:t>
      </w:r>
      <w:r w:rsidR="00376FC4" w:rsidRPr="007B0775">
        <w:t xml:space="preserve">. However, </w:t>
      </w:r>
      <w:r w:rsidR="00FD5208" w:rsidRPr="007B0775">
        <w:t xml:space="preserve">it considers that </w:t>
      </w:r>
      <w:r w:rsidR="00376FC4" w:rsidRPr="007B0775">
        <w:t>nothing demonstrates that these injuries were the result of the author’s work as photographer for the newspap</w:t>
      </w:r>
      <w:r w:rsidR="00FF0569" w:rsidRPr="007B0775">
        <w:t>er and</w:t>
      </w:r>
      <w:r w:rsidR="006113A0" w:rsidRPr="007B0775">
        <w:t>,</w:t>
      </w:r>
      <w:r w:rsidR="00FF0569" w:rsidRPr="007B0775">
        <w:t xml:space="preserve"> even if the injuries were serious, they </w:t>
      </w:r>
      <w:r w:rsidR="00FD5208" w:rsidRPr="007B0775">
        <w:t>did not amount to</w:t>
      </w:r>
      <w:r w:rsidR="00FF0569" w:rsidRPr="007B0775">
        <w:t xml:space="preserve"> torture. In addition, the State party submits that the author did not substantiate his allegations of harassment, detention and mistreatment by various State officials or associated groups from December 2007 to July </w:t>
      </w:r>
      <w:r w:rsidR="007B6E9A" w:rsidRPr="007B0775">
        <w:t xml:space="preserve">2011, as he did not provide any </w:t>
      </w:r>
      <w:r w:rsidR="00FD5208" w:rsidRPr="007B0775">
        <w:t xml:space="preserve">supporting evidence, such as a </w:t>
      </w:r>
      <w:r w:rsidR="007B6E9A" w:rsidRPr="007B0775">
        <w:t xml:space="preserve">medical certificate or documents proving that he had to report </w:t>
      </w:r>
      <w:r w:rsidR="006113A0" w:rsidRPr="007B0775">
        <w:t xml:space="preserve">every week </w:t>
      </w:r>
      <w:r w:rsidR="007B6E9A" w:rsidRPr="007B0775">
        <w:t xml:space="preserve">to the police station for over 18 months. </w:t>
      </w:r>
      <w:r w:rsidR="00FD5208" w:rsidRPr="007B0775">
        <w:t>The State party considers that the author’s</w:t>
      </w:r>
      <w:r w:rsidR="008B365C" w:rsidRPr="007B0775">
        <w:t xml:space="preserve"> account</w:t>
      </w:r>
      <w:r w:rsidR="00FF0569" w:rsidRPr="007B0775">
        <w:t xml:space="preserve"> </w:t>
      </w:r>
      <w:r w:rsidR="008B365C" w:rsidRPr="007B0775">
        <w:t>relat</w:t>
      </w:r>
      <w:r w:rsidR="006113A0" w:rsidRPr="007B0775">
        <w:t>ing</w:t>
      </w:r>
      <w:r w:rsidR="008B365C" w:rsidRPr="007B0775">
        <w:t xml:space="preserve"> to this period lacks detail</w:t>
      </w:r>
      <w:r w:rsidR="00FD5208" w:rsidRPr="007B0775">
        <w:t>s</w:t>
      </w:r>
      <w:r w:rsidR="008B365C" w:rsidRPr="007B0775">
        <w:t xml:space="preserve">, as he only mentioned that he had to live in different places </w:t>
      </w:r>
      <w:r w:rsidR="006113A0" w:rsidRPr="007B0775">
        <w:t xml:space="preserve">owing </w:t>
      </w:r>
      <w:r w:rsidR="008B365C" w:rsidRPr="007B0775">
        <w:t xml:space="preserve">to security reasons. The State party </w:t>
      </w:r>
      <w:r w:rsidR="00FD5208" w:rsidRPr="007B0775">
        <w:t xml:space="preserve">considers </w:t>
      </w:r>
      <w:r w:rsidR="006113A0" w:rsidRPr="007B0775">
        <w:t xml:space="preserve">that </w:t>
      </w:r>
      <w:r w:rsidR="00FD5208" w:rsidRPr="007B0775">
        <w:t xml:space="preserve">doubts can be raised </w:t>
      </w:r>
      <w:r w:rsidR="006113A0" w:rsidRPr="007B0775">
        <w:t xml:space="preserve">as to </w:t>
      </w:r>
      <w:r w:rsidR="00FD5208" w:rsidRPr="007B0775">
        <w:t xml:space="preserve">the actual stay of the author </w:t>
      </w:r>
      <w:r w:rsidR="008B365C" w:rsidRPr="007B0775">
        <w:t xml:space="preserve">in Jaffna </w:t>
      </w:r>
      <w:r w:rsidR="00B53ADA" w:rsidRPr="007B0775">
        <w:t>—</w:t>
      </w:r>
      <w:r w:rsidR="006113A0" w:rsidRPr="007B0775">
        <w:t> </w:t>
      </w:r>
      <w:r w:rsidR="008B365C" w:rsidRPr="007B0775">
        <w:t>or Sri Lanka</w:t>
      </w:r>
      <w:r w:rsidR="006113A0" w:rsidRPr="007B0775">
        <w:t> </w:t>
      </w:r>
      <w:r w:rsidR="00B53ADA" w:rsidRPr="007B0775">
        <w:t>—</w:t>
      </w:r>
      <w:r w:rsidR="008B365C" w:rsidRPr="007B0775">
        <w:t xml:space="preserve"> after 2007 or 2008 at the latest.</w:t>
      </w:r>
      <w:r w:rsidR="0072227E" w:rsidRPr="007B0775">
        <w:t xml:space="preserve"> </w:t>
      </w:r>
    </w:p>
    <w:p w:rsidR="00784E1F" w:rsidRPr="007B0775" w:rsidRDefault="00784E1F" w:rsidP="00AF4269">
      <w:pPr>
        <w:pStyle w:val="SingleTxtG"/>
      </w:pPr>
      <w:r w:rsidRPr="007B0775">
        <w:t>4.</w:t>
      </w:r>
      <w:r w:rsidR="00E37CEF" w:rsidRPr="007B0775">
        <w:t>7</w:t>
      </w:r>
      <w:r w:rsidRPr="007B0775">
        <w:tab/>
      </w:r>
      <w:r w:rsidR="00E05838" w:rsidRPr="007B0775">
        <w:t>The State party</w:t>
      </w:r>
      <w:r w:rsidR="00810A63" w:rsidRPr="007B0775">
        <w:t xml:space="preserve"> submits that it</w:t>
      </w:r>
      <w:r w:rsidR="00E05838" w:rsidRPr="007B0775">
        <w:t xml:space="preserve"> does not dispute that journalists currently working in Sri Lanka </w:t>
      </w:r>
      <w:r w:rsidR="005E69D6" w:rsidRPr="007B0775">
        <w:t>are in danger</w:t>
      </w:r>
      <w:r w:rsidR="002A070C" w:rsidRPr="007B0775">
        <w:t>,</w:t>
      </w:r>
      <w:r w:rsidR="002A070C" w:rsidRPr="007B0775">
        <w:rPr>
          <w:rStyle w:val="FootnoteReference"/>
          <w:iCs/>
        </w:rPr>
        <w:footnoteReference w:id="29"/>
      </w:r>
      <w:r w:rsidR="002A070C" w:rsidRPr="007B0775">
        <w:t xml:space="preserve"> including those working for </w:t>
      </w:r>
      <w:r w:rsidR="00306BE6" w:rsidRPr="007B0775">
        <w:t xml:space="preserve">the </w:t>
      </w:r>
      <w:r w:rsidR="002A070C" w:rsidRPr="007B0775">
        <w:rPr>
          <w:i/>
          <w:iCs/>
        </w:rPr>
        <w:t>Uthayan</w:t>
      </w:r>
      <w:r w:rsidR="005E69D6" w:rsidRPr="007B0775">
        <w:t>. However,</w:t>
      </w:r>
      <w:r w:rsidR="00810A63" w:rsidRPr="007B0775">
        <w:t xml:space="preserve"> it considers that</w:t>
      </w:r>
      <w:r w:rsidR="005E69D6" w:rsidRPr="007B0775">
        <w:t xml:space="preserve"> the author has not substantiated that his </w:t>
      </w:r>
      <w:r w:rsidR="007D39B5" w:rsidRPr="007B0775">
        <w:t>locally</w:t>
      </w:r>
      <w:r w:rsidR="006113A0" w:rsidRPr="007B0775">
        <w:t xml:space="preserve"> </w:t>
      </w:r>
      <w:r w:rsidR="007D39B5" w:rsidRPr="007B0775">
        <w:t>focused work for this newspaper</w:t>
      </w:r>
      <w:r w:rsidR="005E69D6" w:rsidRPr="007B0775">
        <w:t xml:space="preserve"> could attract the attention of the national a</w:t>
      </w:r>
      <w:r w:rsidR="002A070C" w:rsidRPr="007B0775">
        <w:t>uthorities, in particular if he published his photographs under an alias</w:t>
      </w:r>
      <w:r w:rsidR="006C31CD" w:rsidRPr="007B0775">
        <w:t xml:space="preserve">. In addition, </w:t>
      </w:r>
      <w:r w:rsidR="00172936" w:rsidRPr="007B0775">
        <w:t xml:space="preserve">the </w:t>
      </w:r>
      <w:r w:rsidR="006C31CD" w:rsidRPr="007B0775">
        <w:t>background material</w:t>
      </w:r>
      <w:r w:rsidR="00172936" w:rsidRPr="007B0775">
        <w:t xml:space="preserve"> consulted by the State party</w:t>
      </w:r>
      <w:r w:rsidR="006C31CD" w:rsidRPr="007B0775">
        <w:t xml:space="preserve"> does not suggest that individuals who have worked in the past for </w:t>
      </w:r>
      <w:r w:rsidR="00306BE6" w:rsidRPr="007B0775">
        <w:t xml:space="preserve">the </w:t>
      </w:r>
      <w:r w:rsidR="006C31CD" w:rsidRPr="007B0775">
        <w:rPr>
          <w:i/>
          <w:iCs/>
        </w:rPr>
        <w:t>Uthayan</w:t>
      </w:r>
      <w:r w:rsidR="006C31CD" w:rsidRPr="007B0775">
        <w:t xml:space="preserve"> </w:t>
      </w:r>
      <w:r w:rsidR="00172936" w:rsidRPr="007B0775">
        <w:t xml:space="preserve">would be </w:t>
      </w:r>
      <w:r w:rsidR="006C31CD" w:rsidRPr="007B0775">
        <w:t>at risk</w:t>
      </w:r>
      <w:r w:rsidR="00172936" w:rsidRPr="007B0775">
        <w:t xml:space="preserve"> if returned to Sri Lanka</w:t>
      </w:r>
      <w:r w:rsidR="006C31CD" w:rsidRPr="007B0775">
        <w:t xml:space="preserve">, as the country reports </w:t>
      </w:r>
      <w:r w:rsidR="00FC1F66" w:rsidRPr="007B0775">
        <w:t xml:space="preserve">state </w:t>
      </w:r>
      <w:r w:rsidR="006C31CD" w:rsidRPr="007B0775">
        <w:t>that only journalists currently working in Sri Lanka are</w:t>
      </w:r>
      <w:r w:rsidR="00172936" w:rsidRPr="007B0775">
        <w:t xml:space="preserve"> in danger</w:t>
      </w:r>
      <w:r w:rsidR="006C31CD" w:rsidRPr="007B0775">
        <w:t>.</w:t>
      </w:r>
      <w:r w:rsidR="00172936" w:rsidRPr="007B0775">
        <w:t xml:space="preserve"> Therefore, the author would not face a real risk</w:t>
      </w:r>
      <w:r w:rsidR="00897E1F" w:rsidRPr="007B0775">
        <w:t>,</w:t>
      </w:r>
      <w:r w:rsidR="00172936" w:rsidRPr="007B0775">
        <w:t xml:space="preserve"> as he allegedly contributed to the newspaper years ago</w:t>
      </w:r>
      <w:r w:rsidR="00897E1F" w:rsidRPr="007B0775">
        <w:t>.</w:t>
      </w:r>
      <w:r w:rsidR="00172936" w:rsidRPr="007B0775">
        <w:t xml:space="preserve"> </w:t>
      </w:r>
      <w:r w:rsidR="003F58C5" w:rsidRPr="007B0775">
        <w:t>T</w:t>
      </w:r>
      <w:r w:rsidR="00A86AF9" w:rsidRPr="007B0775">
        <w:t xml:space="preserve">he State party </w:t>
      </w:r>
      <w:r w:rsidR="003F58C5" w:rsidRPr="007B0775">
        <w:t xml:space="preserve">also </w:t>
      </w:r>
      <w:r w:rsidR="00A86AF9" w:rsidRPr="007B0775">
        <w:t>affirms that the author did not provide any evidence that he would still be sought by the authorities because of his work with the newspaper</w:t>
      </w:r>
      <w:r w:rsidR="00BC049A" w:rsidRPr="007B0775">
        <w:t>,</w:t>
      </w:r>
      <w:r w:rsidR="00A86AF9" w:rsidRPr="007B0775">
        <w:t xml:space="preserve"> and </w:t>
      </w:r>
      <w:r w:rsidR="003F58C5" w:rsidRPr="007B0775">
        <w:t xml:space="preserve">considers that </w:t>
      </w:r>
      <w:r w:rsidR="00A86AF9" w:rsidRPr="007B0775">
        <w:t>the letter by the Human Rights Commission</w:t>
      </w:r>
      <w:r w:rsidR="009B50DE" w:rsidRPr="007B0775">
        <w:t xml:space="preserve"> of Sri Lanka</w:t>
      </w:r>
      <w:r w:rsidR="003F58C5" w:rsidRPr="007B0775">
        <w:t xml:space="preserve"> stating that soldiers </w:t>
      </w:r>
      <w:r w:rsidR="006113A0" w:rsidRPr="007B0775">
        <w:t xml:space="preserve">of the Sri Lankan Army </w:t>
      </w:r>
      <w:r w:rsidR="003F58C5" w:rsidRPr="007B0775">
        <w:t>came to the author’s home asking for his whereabouts in September 2013</w:t>
      </w:r>
      <w:r w:rsidR="00A86AF9" w:rsidRPr="007B0775">
        <w:t xml:space="preserve"> is a mere recitation of information allegedly provided to the Commission by the author’s mother.</w:t>
      </w:r>
      <w:r w:rsidR="004B54F7" w:rsidRPr="007B0775">
        <w:t xml:space="preserve"> </w:t>
      </w:r>
    </w:p>
    <w:p w:rsidR="00AF5F33" w:rsidRPr="007B0775" w:rsidRDefault="007038AC" w:rsidP="00FC1F66">
      <w:pPr>
        <w:pStyle w:val="SingleTxtG"/>
      </w:pPr>
      <w:r w:rsidRPr="007B0775">
        <w:lastRenderedPageBreak/>
        <w:t>4.</w:t>
      </w:r>
      <w:r w:rsidR="00E37CEF" w:rsidRPr="007B0775">
        <w:t>8</w:t>
      </w:r>
      <w:r w:rsidRPr="007B0775">
        <w:tab/>
      </w:r>
      <w:r w:rsidR="008249DF" w:rsidRPr="007B0775">
        <w:t xml:space="preserve">The State party also considers that the author has not substantiated </w:t>
      </w:r>
      <w:r w:rsidR="00331EBA" w:rsidRPr="007B0775">
        <w:t>h</w:t>
      </w:r>
      <w:r w:rsidR="008249DF" w:rsidRPr="007B0775">
        <w:t xml:space="preserve">is allegation that he would be at risk if forcibly returned to Sri Lanka </w:t>
      </w:r>
      <w:r w:rsidR="00FC1F66" w:rsidRPr="007B0775">
        <w:t xml:space="preserve">owing </w:t>
      </w:r>
      <w:r w:rsidR="008249DF" w:rsidRPr="007B0775">
        <w:t>to his profile</w:t>
      </w:r>
      <w:r w:rsidR="001818CE" w:rsidRPr="007B0775">
        <w:t xml:space="preserve"> </w:t>
      </w:r>
      <w:r w:rsidR="00AF5F33" w:rsidRPr="007B0775">
        <w:t>as</w:t>
      </w:r>
      <w:r w:rsidR="008249DF" w:rsidRPr="007B0775">
        <w:t xml:space="preserve"> a young Tamil from the North </w:t>
      </w:r>
      <w:r w:rsidR="00331EBA" w:rsidRPr="007B0775">
        <w:t xml:space="preserve">and </w:t>
      </w:r>
      <w:r w:rsidR="00FC1F66" w:rsidRPr="007B0775">
        <w:t xml:space="preserve">a </w:t>
      </w:r>
      <w:r w:rsidR="00331EBA" w:rsidRPr="007B0775">
        <w:t>failed asylum seeker</w:t>
      </w:r>
      <w:r w:rsidR="00F8380A" w:rsidRPr="007B0775">
        <w:t>,</w:t>
      </w:r>
      <w:r w:rsidR="00331EBA" w:rsidRPr="007B0775">
        <w:t xml:space="preserve"> </w:t>
      </w:r>
      <w:r w:rsidR="00FC1F66" w:rsidRPr="007B0775">
        <w:t xml:space="preserve">and that such a profile would </w:t>
      </w:r>
      <w:r w:rsidR="0088768B" w:rsidRPr="007B0775">
        <w:t>le</w:t>
      </w:r>
      <w:r w:rsidR="00BB24D2" w:rsidRPr="007B0775">
        <w:t>a</w:t>
      </w:r>
      <w:r w:rsidR="0088768B" w:rsidRPr="007B0775">
        <w:t xml:space="preserve">d the authorities to believe that he </w:t>
      </w:r>
      <w:r w:rsidR="00F8380A" w:rsidRPr="007B0775">
        <w:t>had or has connections</w:t>
      </w:r>
      <w:r w:rsidR="0088768B" w:rsidRPr="007B0775">
        <w:t xml:space="preserve"> </w:t>
      </w:r>
      <w:r w:rsidR="00F8380A" w:rsidRPr="007B0775">
        <w:t>with</w:t>
      </w:r>
      <w:r w:rsidR="0088768B" w:rsidRPr="007B0775">
        <w:t xml:space="preserve"> the </w:t>
      </w:r>
      <w:r w:rsidR="00BF6F98" w:rsidRPr="007B0775">
        <w:t>Liberation Tigers of Tamil Eelam</w:t>
      </w:r>
      <w:r w:rsidR="0088768B" w:rsidRPr="007B0775">
        <w:t xml:space="preserve">. </w:t>
      </w:r>
      <w:r w:rsidR="00FF31D5" w:rsidRPr="007B0775">
        <w:t xml:space="preserve">The State party </w:t>
      </w:r>
      <w:r w:rsidR="005E6966" w:rsidRPr="007B0775">
        <w:t xml:space="preserve">notes that the author has never claimed to </w:t>
      </w:r>
      <w:r w:rsidR="00AD7B5C" w:rsidRPr="007B0775">
        <w:t>h</w:t>
      </w:r>
      <w:r w:rsidR="000E6A0A" w:rsidRPr="007B0775">
        <w:t>ave</w:t>
      </w:r>
      <w:r w:rsidR="00AD7B5C" w:rsidRPr="007B0775">
        <w:t xml:space="preserve"> any </w:t>
      </w:r>
      <w:r w:rsidR="000E6A0A" w:rsidRPr="007B0775">
        <w:t xml:space="preserve">ties to </w:t>
      </w:r>
      <w:r w:rsidR="00BF6F98" w:rsidRPr="007B0775">
        <w:t xml:space="preserve">that group </w:t>
      </w:r>
      <w:r w:rsidR="005E6966" w:rsidRPr="007B0775">
        <w:t xml:space="preserve">and </w:t>
      </w:r>
      <w:r w:rsidR="00FF31D5" w:rsidRPr="007B0775">
        <w:t xml:space="preserve">states that the </w:t>
      </w:r>
      <w:r w:rsidR="000A7223" w:rsidRPr="007B0775">
        <w:t xml:space="preserve">mere </w:t>
      </w:r>
      <w:r w:rsidR="00FF31D5" w:rsidRPr="007B0775">
        <w:t xml:space="preserve">fact of being a Tamil </w:t>
      </w:r>
      <w:r w:rsidR="00AF5F33" w:rsidRPr="007B0775">
        <w:t xml:space="preserve">from </w:t>
      </w:r>
      <w:r w:rsidR="00FF31D5" w:rsidRPr="007B0775">
        <w:t xml:space="preserve">the North would not expose </w:t>
      </w:r>
      <w:r w:rsidR="000E6A0A" w:rsidRPr="007B0775">
        <w:t xml:space="preserve">him </w:t>
      </w:r>
      <w:r w:rsidR="00FF31D5" w:rsidRPr="007B0775">
        <w:t>to a real risk</w:t>
      </w:r>
      <w:r w:rsidR="000A7223" w:rsidRPr="007B0775">
        <w:t>.</w:t>
      </w:r>
      <w:r w:rsidR="00FF31D5" w:rsidRPr="007B0775">
        <w:rPr>
          <w:rStyle w:val="FootnoteReference"/>
          <w:iCs/>
        </w:rPr>
        <w:footnoteReference w:id="30"/>
      </w:r>
      <w:r w:rsidR="00FF31D5" w:rsidRPr="007B0775">
        <w:t xml:space="preserve"> </w:t>
      </w:r>
      <w:r w:rsidR="000A7223" w:rsidRPr="007B0775">
        <w:t>Further</w:t>
      </w:r>
      <w:r w:rsidR="00FC1F66" w:rsidRPr="007B0775">
        <w:t>more</w:t>
      </w:r>
      <w:r w:rsidR="000A7223" w:rsidRPr="007B0775">
        <w:t xml:space="preserve">, </w:t>
      </w:r>
      <w:r w:rsidR="00FC1F66" w:rsidRPr="007B0775">
        <w:t xml:space="preserve">the only consequence of </w:t>
      </w:r>
      <w:r w:rsidR="000A7223" w:rsidRPr="007B0775">
        <w:t>b</w:t>
      </w:r>
      <w:r w:rsidR="00FF31D5" w:rsidRPr="007B0775">
        <w:t xml:space="preserve">eing a failed asylum seeker may </w:t>
      </w:r>
      <w:r w:rsidR="000E6A0A" w:rsidRPr="007B0775">
        <w:t xml:space="preserve">only </w:t>
      </w:r>
      <w:r w:rsidR="00FC1F66" w:rsidRPr="007B0775">
        <w:t xml:space="preserve">be </w:t>
      </w:r>
      <w:r w:rsidR="00FF31D5" w:rsidRPr="007B0775">
        <w:t>that he is subject to additional questioning.</w:t>
      </w:r>
      <w:r w:rsidR="00B404DC" w:rsidRPr="007B0775">
        <w:rPr>
          <w:rStyle w:val="FootnoteReference"/>
          <w:iCs/>
        </w:rPr>
        <w:footnoteReference w:id="31"/>
      </w:r>
      <w:r w:rsidR="00FF31D5" w:rsidRPr="007B0775">
        <w:t xml:space="preserve"> </w:t>
      </w:r>
      <w:r w:rsidR="00731BD3" w:rsidRPr="007B0775">
        <w:t>Th</w:t>
      </w:r>
      <w:r w:rsidR="000A7223" w:rsidRPr="007B0775">
        <w:t xml:space="preserve">e State party states that </w:t>
      </w:r>
      <w:r w:rsidR="008510F6" w:rsidRPr="007B0775">
        <w:t xml:space="preserve">the author would not be suspected of having significant connections to the </w:t>
      </w:r>
      <w:r w:rsidR="00BF6F98" w:rsidRPr="007B0775">
        <w:t>Liberation Tigers of Tamil Eelam</w:t>
      </w:r>
      <w:r w:rsidR="008510F6" w:rsidRPr="007B0775">
        <w:t xml:space="preserve">, </w:t>
      </w:r>
      <w:r w:rsidR="00AF5F33" w:rsidRPr="007B0775">
        <w:t xml:space="preserve">as </w:t>
      </w:r>
      <w:r w:rsidR="00736439" w:rsidRPr="007B0775">
        <w:t>he has never claimed so</w:t>
      </w:r>
      <w:r w:rsidR="006C04CD" w:rsidRPr="007B0775">
        <w:t>,</w:t>
      </w:r>
      <w:r w:rsidR="00736439" w:rsidRPr="007B0775">
        <w:t xml:space="preserve"> and </w:t>
      </w:r>
      <w:r w:rsidR="008510F6" w:rsidRPr="007B0775">
        <w:t xml:space="preserve">the only time </w:t>
      </w:r>
      <w:r w:rsidR="00736439" w:rsidRPr="007B0775">
        <w:t xml:space="preserve">that </w:t>
      </w:r>
      <w:r w:rsidR="008510F6" w:rsidRPr="007B0775">
        <w:t>he</w:t>
      </w:r>
      <w:r w:rsidR="00736439" w:rsidRPr="007B0775">
        <w:t xml:space="preserve"> has </w:t>
      </w:r>
      <w:r w:rsidR="008510F6" w:rsidRPr="007B0775">
        <w:t xml:space="preserve">mentioned </w:t>
      </w:r>
      <w:r w:rsidR="000E6A0A" w:rsidRPr="007B0775">
        <w:t xml:space="preserve">it </w:t>
      </w:r>
      <w:r w:rsidR="008510F6" w:rsidRPr="007B0775">
        <w:t xml:space="preserve">was </w:t>
      </w:r>
      <w:r w:rsidR="00DA7D66" w:rsidRPr="007B0775">
        <w:t>during his detention</w:t>
      </w:r>
      <w:r w:rsidR="008510F6" w:rsidRPr="007B0775">
        <w:t xml:space="preserve"> in February 2007 by the </w:t>
      </w:r>
      <w:r w:rsidR="006113A0" w:rsidRPr="007B0775">
        <w:t>Sri Lankan Army</w:t>
      </w:r>
      <w:r w:rsidR="00736439" w:rsidRPr="007B0775">
        <w:t xml:space="preserve">. </w:t>
      </w:r>
      <w:r w:rsidR="00AF5F33" w:rsidRPr="007B0775">
        <w:t xml:space="preserve">On </w:t>
      </w:r>
      <w:r w:rsidR="00736439" w:rsidRPr="007B0775">
        <w:t>that occasion, the soldiers</w:t>
      </w:r>
      <w:r w:rsidR="00BB24D2" w:rsidRPr="007B0775">
        <w:t xml:space="preserve"> allegedly </w:t>
      </w:r>
      <w:r w:rsidR="00736439" w:rsidRPr="007B0775">
        <w:t>as</w:t>
      </w:r>
      <w:r w:rsidR="006C04CD" w:rsidRPr="007B0775">
        <w:t>ked</w:t>
      </w:r>
      <w:r w:rsidR="00736439" w:rsidRPr="007B0775">
        <w:t xml:space="preserve"> him if he </w:t>
      </w:r>
      <w:r w:rsidR="000E6A0A" w:rsidRPr="007B0775">
        <w:t xml:space="preserve">had any connections to the </w:t>
      </w:r>
      <w:r w:rsidR="00BF6F98" w:rsidRPr="007B0775">
        <w:t>Liberation Tigers of Tamil Eelam</w:t>
      </w:r>
      <w:r w:rsidR="00BB24D2" w:rsidRPr="007B0775">
        <w:t xml:space="preserve">, </w:t>
      </w:r>
      <w:r w:rsidR="006C04CD" w:rsidRPr="007B0775">
        <w:t>which he denied. The State party states that</w:t>
      </w:r>
      <w:r w:rsidR="00FC1F66" w:rsidRPr="007B0775">
        <w:t>,</w:t>
      </w:r>
      <w:r w:rsidR="006C04CD" w:rsidRPr="007B0775">
        <w:t xml:space="preserve"> even if this account was accepted as credible, nothing indicates that the Sri Lankan authorities would seriously consider that the author had links to the </w:t>
      </w:r>
      <w:r w:rsidR="00BF6F98" w:rsidRPr="007B0775">
        <w:t>group</w:t>
      </w:r>
      <w:r w:rsidR="006C04CD" w:rsidRPr="007B0775">
        <w:t>.</w:t>
      </w:r>
      <w:r w:rsidR="00B404DC" w:rsidRPr="007B0775">
        <w:t xml:space="preserve"> Therefore</w:t>
      </w:r>
      <w:r w:rsidR="00FC1F66" w:rsidRPr="007B0775">
        <w:t>,</w:t>
      </w:r>
      <w:r w:rsidR="00B404DC" w:rsidRPr="007B0775">
        <w:t xml:space="preserve"> the State party’</w:t>
      </w:r>
      <w:r w:rsidR="00B75698" w:rsidRPr="007B0775">
        <w:t xml:space="preserve">s </w:t>
      </w:r>
      <w:r w:rsidR="00AF5F33" w:rsidRPr="007B0775">
        <w:t>considers that</w:t>
      </w:r>
      <w:r w:rsidR="00B75698" w:rsidRPr="007B0775">
        <w:t xml:space="preserve"> the</w:t>
      </w:r>
      <w:r w:rsidR="00B404DC" w:rsidRPr="007B0775">
        <w:t xml:space="preserve"> claim</w:t>
      </w:r>
      <w:r w:rsidR="00B75698" w:rsidRPr="007B0775">
        <w:t xml:space="preserve"> on this matter</w:t>
      </w:r>
      <w:r w:rsidR="00B404DC" w:rsidRPr="007B0775">
        <w:t xml:space="preserve"> is prospective only. </w:t>
      </w:r>
    </w:p>
    <w:p w:rsidR="007038AC" w:rsidRPr="007B0775" w:rsidRDefault="00AF5F33" w:rsidP="00FC1F66">
      <w:pPr>
        <w:pStyle w:val="SingleTxtG"/>
      </w:pPr>
      <w:r w:rsidRPr="007B0775">
        <w:t>4.</w:t>
      </w:r>
      <w:r w:rsidR="00E37CEF" w:rsidRPr="007B0775">
        <w:t>9</w:t>
      </w:r>
      <w:r w:rsidRPr="007B0775">
        <w:tab/>
      </w:r>
      <w:r w:rsidR="00663B74" w:rsidRPr="007B0775">
        <w:t>Regarding the aut</w:t>
      </w:r>
      <w:r w:rsidR="00994FB8" w:rsidRPr="007B0775">
        <w:t>h</w:t>
      </w:r>
      <w:r w:rsidR="00663B74" w:rsidRPr="007B0775">
        <w:t xml:space="preserve">or’s claim that </w:t>
      </w:r>
      <w:r w:rsidR="00D02B48" w:rsidRPr="007B0775">
        <w:t xml:space="preserve">the fact that </w:t>
      </w:r>
      <w:r w:rsidR="00213ACE" w:rsidRPr="007B0775">
        <w:t>his</w:t>
      </w:r>
      <w:r w:rsidR="00994FB8" w:rsidRPr="007B0775">
        <w:t xml:space="preserve"> travel document </w:t>
      </w:r>
      <w:r w:rsidR="00D02B48" w:rsidRPr="007B0775">
        <w:t xml:space="preserve">was </w:t>
      </w:r>
      <w:r w:rsidR="00994FB8" w:rsidRPr="007B0775">
        <w:t xml:space="preserve">issued by </w:t>
      </w:r>
      <w:r w:rsidR="00D02B48" w:rsidRPr="007B0775">
        <w:t xml:space="preserve">the </w:t>
      </w:r>
      <w:r w:rsidR="00994FB8" w:rsidRPr="007B0775">
        <w:t>Sri Lanka</w:t>
      </w:r>
      <w:r w:rsidR="000E6A0A" w:rsidRPr="007B0775">
        <w:t xml:space="preserve">n authorities at the request of </w:t>
      </w:r>
      <w:r w:rsidR="00D02B48" w:rsidRPr="007B0775">
        <w:t xml:space="preserve">the </w:t>
      </w:r>
      <w:r w:rsidR="00994FB8" w:rsidRPr="007B0775">
        <w:t>Canadian authorities</w:t>
      </w:r>
      <w:r w:rsidR="00B75698" w:rsidRPr="007B0775">
        <w:t xml:space="preserve"> expose</w:t>
      </w:r>
      <w:r w:rsidR="00D02B48" w:rsidRPr="007B0775">
        <w:t>s</w:t>
      </w:r>
      <w:r w:rsidR="00B75698" w:rsidRPr="007B0775">
        <w:t xml:space="preserve"> him to a further risk, the State party </w:t>
      </w:r>
      <w:r w:rsidR="00D02B48" w:rsidRPr="007B0775">
        <w:t>refers</w:t>
      </w:r>
      <w:r w:rsidR="00B75698" w:rsidRPr="007B0775">
        <w:t xml:space="preserve"> to country reports</w:t>
      </w:r>
      <w:r w:rsidR="00FC1F66" w:rsidRPr="007B0775">
        <w:t>,</w:t>
      </w:r>
      <w:r w:rsidR="00B75698" w:rsidRPr="007B0775">
        <w:t xml:space="preserve"> </w:t>
      </w:r>
      <w:r w:rsidR="00D02B48" w:rsidRPr="007B0775">
        <w:t xml:space="preserve">according to which </w:t>
      </w:r>
      <w:r w:rsidR="00B75698" w:rsidRPr="007B0775">
        <w:t>the issuance of such document</w:t>
      </w:r>
      <w:r w:rsidR="00D02B48" w:rsidRPr="007B0775">
        <w:t>s</w:t>
      </w:r>
      <w:r w:rsidR="00B75698" w:rsidRPr="007B0775">
        <w:t xml:space="preserve"> </w:t>
      </w:r>
      <w:r w:rsidR="00D02B48" w:rsidRPr="007B0775">
        <w:t>is not a risk factor</w:t>
      </w:r>
      <w:r w:rsidR="00B75698" w:rsidRPr="007B0775">
        <w:t xml:space="preserve">. According to such reports, </w:t>
      </w:r>
      <w:r w:rsidR="00EE4EBF" w:rsidRPr="007B0775">
        <w:t xml:space="preserve">once </w:t>
      </w:r>
      <w:r w:rsidR="00B75698" w:rsidRPr="007B0775">
        <w:t xml:space="preserve">Sri Lankan authorities </w:t>
      </w:r>
      <w:r w:rsidR="00EE4EBF" w:rsidRPr="007B0775">
        <w:t xml:space="preserve">receive the request to issue the travel document, they </w:t>
      </w:r>
      <w:r w:rsidR="00B75698" w:rsidRPr="007B0775">
        <w:t xml:space="preserve">may review their records to assess </w:t>
      </w:r>
      <w:r w:rsidR="00EE4EBF" w:rsidRPr="007B0775">
        <w:t xml:space="preserve">if the person in question has any </w:t>
      </w:r>
      <w:r w:rsidR="006E6987" w:rsidRPr="007B0775">
        <w:t xml:space="preserve">current </w:t>
      </w:r>
      <w:r w:rsidR="00EE4EBF" w:rsidRPr="007B0775">
        <w:t xml:space="preserve">links to the </w:t>
      </w:r>
      <w:r w:rsidR="00BF6F98" w:rsidRPr="007B0775">
        <w:t>Liberation Tigers of Tamil Eelam</w:t>
      </w:r>
      <w:r w:rsidR="00EE4EBF" w:rsidRPr="007B0775">
        <w:t xml:space="preserve">, but they only </w:t>
      </w:r>
      <w:r w:rsidR="002D7598" w:rsidRPr="007B0775">
        <w:t xml:space="preserve">focus </w:t>
      </w:r>
      <w:r w:rsidR="00485A39" w:rsidRPr="007B0775">
        <w:t>on</w:t>
      </w:r>
      <w:r w:rsidR="00EE4EBF" w:rsidRPr="007B0775">
        <w:t xml:space="preserve"> those individuals who pose a real risk </w:t>
      </w:r>
      <w:r w:rsidR="002D7598" w:rsidRPr="007B0775">
        <w:t>to the unitary Sri Lankan State</w:t>
      </w:r>
      <w:r w:rsidR="00EE4EBF" w:rsidRPr="007B0775">
        <w:t xml:space="preserve"> or the </w:t>
      </w:r>
      <w:r w:rsidR="00BF6F98" w:rsidRPr="007B0775">
        <w:t>G</w:t>
      </w:r>
      <w:r w:rsidR="00EE4EBF" w:rsidRPr="007B0775">
        <w:t>overnment</w:t>
      </w:r>
      <w:r w:rsidR="002D7598" w:rsidRPr="007B0775">
        <w:t>.</w:t>
      </w:r>
      <w:r w:rsidR="002D7598" w:rsidRPr="007B0775">
        <w:rPr>
          <w:rStyle w:val="FootnoteReference"/>
          <w:iCs/>
        </w:rPr>
        <w:footnoteReference w:id="32"/>
      </w:r>
      <w:r w:rsidR="00EE4EBF" w:rsidRPr="007B0775">
        <w:t xml:space="preserve"> </w:t>
      </w:r>
      <w:r w:rsidR="00485A39" w:rsidRPr="007B0775">
        <w:t xml:space="preserve">As the author does not </w:t>
      </w:r>
      <w:r w:rsidR="00D23CD5" w:rsidRPr="007B0775">
        <w:t>fall</w:t>
      </w:r>
      <w:r w:rsidR="000E6A0A" w:rsidRPr="007B0775">
        <w:t xml:space="preserve"> under </w:t>
      </w:r>
      <w:r w:rsidR="00D23CD5" w:rsidRPr="007B0775">
        <w:t>these categories</w:t>
      </w:r>
      <w:r w:rsidR="00485A39" w:rsidRPr="007B0775">
        <w:t>, he would not be subject</w:t>
      </w:r>
      <w:r w:rsidR="00213ACE" w:rsidRPr="007B0775">
        <w:t>ed</w:t>
      </w:r>
      <w:r w:rsidR="00485A39" w:rsidRPr="007B0775">
        <w:t xml:space="preserve"> to </w:t>
      </w:r>
      <w:r w:rsidR="006E6987" w:rsidRPr="007B0775">
        <w:t>additional</w:t>
      </w:r>
      <w:r w:rsidR="00485A39" w:rsidRPr="007B0775">
        <w:t xml:space="preserve"> scrutiny.</w:t>
      </w:r>
      <w:r w:rsidR="0044534F" w:rsidRPr="007B0775">
        <w:t xml:space="preserve"> Regarding the author’s claim that he would be targeted by members</w:t>
      </w:r>
      <w:r w:rsidR="003D21F8" w:rsidRPr="007B0775">
        <w:t xml:space="preserve"> </w:t>
      </w:r>
      <w:r w:rsidR="00200FDE" w:rsidRPr="007B0775">
        <w:t xml:space="preserve">of the </w:t>
      </w:r>
      <w:r w:rsidR="00200FDE" w:rsidRPr="007B0775">
        <w:rPr>
          <w:lang w:val="en-US"/>
        </w:rPr>
        <w:t xml:space="preserve">Eelam People’s Democratic Party </w:t>
      </w:r>
      <w:r w:rsidR="003D21F8" w:rsidRPr="007B0775">
        <w:t>if returned to Sri Lanka</w:t>
      </w:r>
      <w:r w:rsidR="0044534F" w:rsidRPr="007B0775">
        <w:t>, the State party indicates that</w:t>
      </w:r>
      <w:r w:rsidR="00FC1F66" w:rsidRPr="007B0775">
        <w:t>,</w:t>
      </w:r>
      <w:r w:rsidR="0044534F" w:rsidRPr="007B0775">
        <w:t xml:space="preserve"> </w:t>
      </w:r>
      <w:r w:rsidR="00D23CD5" w:rsidRPr="007B0775">
        <w:t>after the end of the conflict, p</w:t>
      </w:r>
      <w:r w:rsidR="0044534F" w:rsidRPr="007B0775">
        <w:t xml:space="preserve">aramilitary groups, including the </w:t>
      </w:r>
      <w:r w:rsidR="00200FDE" w:rsidRPr="007B0775">
        <w:t>Party</w:t>
      </w:r>
      <w:r w:rsidR="00213ACE" w:rsidRPr="007B0775">
        <w:t>,</w:t>
      </w:r>
      <w:r w:rsidR="0044534F" w:rsidRPr="007B0775">
        <w:t xml:space="preserve"> have turned into criminal gangs</w:t>
      </w:r>
      <w:r w:rsidR="00D23CD5" w:rsidRPr="007B0775">
        <w:t xml:space="preserve"> whose main tool is extortion.</w:t>
      </w:r>
      <w:r w:rsidR="0044534F" w:rsidRPr="007B0775">
        <w:rPr>
          <w:rStyle w:val="FootnoteReference"/>
          <w:iCs/>
        </w:rPr>
        <w:footnoteReference w:id="33"/>
      </w:r>
      <w:r w:rsidR="00D23CD5" w:rsidRPr="007B0775">
        <w:t xml:space="preserve"> As the </w:t>
      </w:r>
      <w:r w:rsidR="00200FDE" w:rsidRPr="007B0775">
        <w:t xml:space="preserve">Party </w:t>
      </w:r>
      <w:r w:rsidR="00D23CD5" w:rsidRPr="007B0775">
        <w:t>seems to focus its operations in the North of Sri Lanka, the State party considers that</w:t>
      </w:r>
      <w:r w:rsidR="00FC1F66" w:rsidRPr="007B0775">
        <w:t>,</w:t>
      </w:r>
      <w:r w:rsidR="00D23CD5" w:rsidRPr="007B0775">
        <w:t xml:space="preserve"> </w:t>
      </w:r>
      <w:r w:rsidR="00213ACE" w:rsidRPr="007B0775">
        <w:t xml:space="preserve">in </w:t>
      </w:r>
      <w:r w:rsidR="00FC1F66" w:rsidRPr="007B0775">
        <w:t xml:space="preserve">the event that he was </w:t>
      </w:r>
      <w:r w:rsidR="00D23CD5" w:rsidRPr="007B0775">
        <w:t xml:space="preserve">harassed or extorted by the </w:t>
      </w:r>
      <w:r w:rsidR="00200FDE" w:rsidRPr="007B0775">
        <w:t>Party</w:t>
      </w:r>
      <w:r w:rsidR="00D23CD5" w:rsidRPr="007B0775">
        <w:t xml:space="preserve">, </w:t>
      </w:r>
      <w:r w:rsidR="00213ACE" w:rsidRPr="007B0775">
        <w:t xml:space="preserve">the author </w:t>
      </w:r>
      <w:r w:rsidR="00D23CD5" w:rsidRPr="007B0775">
        <w:t xml:space="preserve">could move to another part of the country, </w:t>
      </w:r>
      <w:r w:rsidR="00213ACE" w:rsidRPr="007B0775">
        <w:t>such as</w:t>
      </w:r>
      <w:r w:rsidR="00DF14D6" w:rsidRPr="007B0775">
        <w:t xml:space="preserve"> Colombo.</w:t>
      </w:r>
    </w:p>
    <w:p w:rsidR="0044534F" w:rsidRPr="007B0775" w:rsidRDefault="0044534F" w:rsidP="00FC1F66">
      <w:pPr>
        <w:pStyle w:val="SingleTxtG"/>
      </w:pPr>
      <w:r w:rsidRPr="007B0775">
        <w:t>4.10</w:t>
      </w:r>
      <w:r w:rsidRPr="007B0775">
        <w:tab/>
        <w:t>The State party submits that</w:t>
      </w:r>
      <w:r w:rsidR="00FC1F66" w:rsidRPr="007B0775">
        <w:t xml:space="preserve"> any decision by </w:t>
      </w:r>
      <w:r w:rsidR="007D6D9A" w:rsidRPr="007B0775">
        <w:t xml:space="preserve">the Committee </w:t>
      </w:r>
      <w:r w:rsidR="00FC1F66" w:rsidRPr="007B0775">
        <w:t xml:space="preserve">to </w:t>
      </w:r>
      <w:r w:rsidR="007D6D9A" w:rsidRPr="007B0775">
        <w:t>consider the communication admissible</w:t>
      </w:r>
      <w:r w:rsidR="008F7E5B" w:rsidRPr="007B0775">
        <w:t xml:space="preserve"> </w:t>
      </w:r>
      <w:r w:rsidR="00FC1F66" w:rsidRPr="007B0775">
        <w:t xml:space="preserve">would be </w:t>
      </w:r>
      <w:r w:rsidR="008F7E5B" w:rsidRPr="007B0775">
        <w:t xml:space="preserve">entirely without merit. </w:t>
      </w:r>
      <w:r w:rsidR="00644D27" w:rsidRPr="007B0775">
        <w:t>The State party reiterates its arguments regarding the lack of substa</w:t>
      </w:r>
      <w:r w:rsidR="00BC049A" w:rsidRPr="007B0775">
        <w:t>ntiation of the author’s claims,</w:t>
      </w:r>
      <w:r w:rsidR="00644D27" w:rsidRPr="007B0775">
        <w:t xml:space="preserve"> due to the lack of credibility</w:t>
      </w:r>
      <w:r w:rsidR="00213ACE" w:rsidRPr="007B0775">
        <w:t>, and</w:t>
      </w:r>
      <w:r w:rsidR="00644D27" w:rsidRPr="007B0775">
        <w:t xml:space="preserve"> of corroborative evidence. The State party reiterates that</w:t>
      </w:r>
      <w:r w:rsidR="00FC1F66" w:rsidRPr="007B0775">
        <w:t>,</w:t>
      </w:r>
      <w:r w:rsidR="00644D27" w:rsidRPr="007B0775">
        <w:t xml:space="preserve"> at best, the author contributed with some photographs to </w:t>
      </w:r>
      <w:r w:rsidR="00306BE6" w:rsidRPr="007B0775">
        <w:t xml:space="preserve">the </w:t>
      </w:r>
      <w:r w:rsidR="00644D27" w:rsidRPr="007B0775">
        <w:rPr>
          <w:i/>
          <w:iCs/>
        </w:rPr>
        <w:t>Uthayan</w:t>
      </w:r>
      <w:r w:rsidR="00644D27" w:rsidRPr="007B0775">
        <w:t xml:space="preserve"> between the end of October 2006 and 2007 and that he may have been detained and mistreated in 2007. However, he was not able to demonstrate that he was detained by soldiers </w:t>
      </w:r>
      <w:r w:rsidR="006113A0" w:rsidRPr="007B0775">
        <w:t xml:space="preserve">of the Sri Lankan Army </w:t>
      </w:r>
      <w:r w:rsidR="00FC1F66" w:rsidRPr="007B0775">
        <w:t xml:space="preserve">owing </w:t>
      </w:r>
      <w:r w:rsidR="00644D27" w:rsidRPr="007B0775">
        <w:t>to his work for the newspaper</w:t>
      </w:r>
      <w:r w:rsidR="00213ACE" w:rsidRPr="007B0775">
        <w:t>, and</w:t>
      </w:r>
      <w:r w:rsidR="00644D27" w:rsidRPr="007B0775">
        <w:t xml:space="preserve"> that he </w:t>
      </w:r>
      <w:r w:rsidR="00FC1F66" w:rsidRPr="007B0775">
        <w:t xml:space="preserve">had </w:t>
      </w:r>
      <w:r w:rsidR="00644D27" w:rsidRPr="007B0775">
        <w:t xml:space="preserve">lived in Sri Lanka </w:t>
      </w:r>
      <w:r w:rsidR="00FC1F66" w:rsidRPr="007B0775">
        <w:t xml:space="preserve">from </w:t>
      </w:r>
      <w:r w:rsidR="00644D27" w:rsidRPr="007B0775">
        <w:t>2007</w:t>
      </w:r>
      <w:r w:rsidR="00FC1F66" w:rsidRPr="007B0775">
        <w:t xml:space="preserve"> to </w:t>
      </w:r>
      <w:r w:rsidR="00644D27" w:rsidRPr="007B0775">
        <w:t xml:space="preserve">2008 and </w:t>
      </w:r>
      <w:r w:rsidR="00FC1F66" w:rsidRPr="007B0775">
        <w:t xml:space="preserve">in </w:t>
      </w:r>
      <w:r w:rsidR="00644D27" w:rsidRPr="007B0775">
        <w:t xml:space="preserve">2011. </w:t>
      </w:r>
      <w:r w:rsidR="00213ACE" w:rsidRPr="007B0775">
        <w:t xml:space="preserve">The </w:t>
      </w:r>
      <w:r w:rsidR="00213ACE" w:rsidRPr="007B0775">
        <w:lastRenderedPageBreak/>
        <w:t>State party considers that</w:t>
      </w:r>
      <w:r w:rsidR="00644D27" w:rsidRPr="007B0775">
        <w:t xml:space="preserve">, even if the Committee accepts the author’s version of the facts, the communication would still </w:t>
      </w:r>
      <w:r w:rsidR="00EC65B7" w:rsidRPr="007B0775">
        <w:t xml:space="preserve">be </w:t>
      </w:r>
      <w:r w:rsidR="00644D27" w:rsidRPr="007B0775">
        <w:t xml:space="preserve">without merit, as there is no reason to believe that whatever work he did for the newspaper would put him at risk if returned now, many years after. </w:t>
      </w:r>
      <w:r w:rsidR="00EA0183" w:rsidRPr="007B0775">
        <w:t>His claims relat</w:t>
      </w:r>
      <w:r w:rsidR="00FC1F66" w:rsidRPr="007B0775">
        <w:t>ing</w:t>
      </w:r>
      <w:r w:rsidR="00EA0183" w:rsidRPr="007B0775">
        <w:t xml:space="preserve"> to his profile are not accepted either, as being a Tamil from the North and a failed asylum seeker would not </w:t>
      </w:r>
      <w:r w:rsidR="00FC1F66" w:rsidRPr="007B0775">
        <w:t xml:space="preserve">in themselves </w:t>
      </w:r>
      <w:r w:rsidR="00EA0183" w:rsidRPr="007B0775">
        <w:t>put him at risk of irreparable harm</w:t>
      </w:r>
      <w:r w:rsidR="006117FF" w:rsidRPr="007B0775">
        <w:t xml:space="preserve"> because</w:t>
      </w:r>
      <w:r w:rsidR="00EA0183" w:rsidRPr="007B0775">
        <w:t xml:space="preserve"> he has no suspected or real links to the </w:t>
      </w:r>
      <w:r w:rsidR="00BF6F98" w:rsidRPr="007B0775">
        <w:t>Liberation Tigers of Tamil Eelam</w:t>
      </w:r>
      <w:r w:rsidR="00EA0183" w:rsidRPr="007B0775">
        <w:t>.</w:t>
      </w:r>
    </w:p>
    <w:p w:rsidR="00387AC4" w:rsidRPr="007B0775" w:rsidRDefault="00387AC4" w:rsidP="00FC1F66">
      <w:pPr>
        <w:pStyle w:val="SingleTxtG"/>
      </w:pPr>
      <w:r w:rsidRPr="007B0775">
        <w:t>4.11</w:t>
      </w:r>
      <w:r w:rsidRPr="007B0775">
        <w:tab/>
      </w:r>
      <w:r w:rsidR="001C6023" w:rsidRPr="007B0775">
        <w:t xml:space="preserve">Finally, the State party submits that the author’s allegation related to the lack of fairness of the asylum proceedings, in particular the impossibility </w:t>
      </w:r>
      <w:r w:rsidR="00FC1F66" w:rsidRPr="007B0775">
        <w:t xml:space="preserve">of reviewing </w:t>
      </w:r>
      <w:r w:rsidR="001C6023" w:rsidRPr="007B0775">
        <w:t xml:space="preserve">the merits of </w:t>
      </w:r>
      <w:r w:rsidR="00FC1F66" w:rsidRPr="007B0775">
        <w:t xml:space="preserve">the decision of </w:t>
      </w:r>
      <w:r w:rsidR="001C6023" w:rsidRPr="007B0775">
        <w:t xml:space="preserve">the </w:t>
      </w:r>
      <w:r w:rsidR="00DC1E12" w:rsidRPr="007B0775">
        <w:rPr>
          <w:lang w:val="en-US"/>
        </w:rPr>
        <w:t>Immigration Refugee Board</w:t>
      </w:r>
      <w:r w:rsidR="001C6023" w:rsidRPr="007B0775">
        <w:t>, are out of the scope of the Covenant because it concerns the general effectiveness of asylum proceedings. In addition, these allegations are unfounded because the judicial review by the Federal Court has been recognized by the Committee as a</w:t>
      </w:r>
      <w:r w:rsidR="00FA4A2A" w:rsidRPr="007B0775">
        <w:t>n effective</w:t>
      </w:r>
      <w:r w:rsidR="001C6023" w:rsidRPr="007B0775">
        <w:t xml:space="preserve"> domestic remedy</w:t>
      </w:r>
      <w:r w:rsidR="001C6023" w:rsidRPr="007B0775">
        <w:rPr>
          <w:rStyle w:val="FootnoteReference"/>
          <w:iCs/>
        </w:rPr>
        <w:footnoteReference w:id="34"/>
      </w:r>
      <w:r w:rsidR="00DA7D66" w:rsidRPr="007B0775">
        <w:t xml:space="preserve"> </w:t>
      </w:r>
      <w:r w:rsidR="00FA4A2A" w:rsidRPr="007B0775">
        <w:t>that should therefore have been exhausted by</w:t>
      </w:r>
      <w:r w:rsidR="001C6023" w:rsidRPr="007B0775">
        <w:t xml:space="preserve"> the author. </w:t>
      </w:r>
    </w:p>
    <w:p w:rsidR="003521FD" w:rsidRPr="007B0775" w:rsidRDefault="003521FD" w:rsidP="00DF14D6">
      <w:pPr>
        <w:pStyle w:val="H23G"/>
      </w:pPr>
      <w:r w:rsidRPr="007B0775">
        <w:tab/>
      </w:r>
      <w:r w:rsidRPr="007B0775">
        <w:tab/>
        <w:t>Authors</w:t>
      </w:r>
      <w:r w:rsidR="00697DB9" w:rsidRPr="007B0775">
        <w:t>’</w:t>
      </w:r>
      <w:r w:rsidRPr="007B0775">
        <w:t xml:space="preserve"> comments on the State party’s observations</w:t>
      </w:r>
    </w:p>
    <w:p w:rsidR="00D53EA4" w:rsidRPr="007B0775" w:rsidRDefault="00C764DF" w:rsidP="00306BE6">
      <w:pPr>
        <w:pStyle w:val="SingleTxtG"/>
      </w:pPr>
      <w:r w:rsidRPr="007B0775">
        <w:t>5.1</w:t>
      </w:r>
      <w:r w:rsidRPr="007B0775">
        <w:tab/>
      </w:r>
      <w:r w:rsidR="00322809" w:rsidRPr="007B0775">
        <w:t xml:space="preserve">On </w:t>
      </w:r>
      <w:r w:rsidR="005A2108" w:rsidRPr="007B0775">
        <w:t>11</w:t>
      </w:r>
      <w:r w:rsidR="00F617E1" w:rsidRPr="007B0775">
        <w:t xml:space="preserve"> </w:t>
      </w:r>
      <w:r w:rsidR="00C803C5" w:rsidRPr="007B0775">
        <w:t xml:space="preserve">January </w:t>
      </w:r>
      <w:r w:rsidR="00322809" w:rsidRPr="007B0775">
        <w:t>201</w:t>
      </w:r>
      <w:r w:rsidR="005A2108" w:rsidRPr="007B0775">
        <w:t>6</w:t>
      </w:r>
      <w:r w:rsidR="00322809" w:rsidRPr="007B0775">
        <w:t xml:space="preserve">, </w:t>
      </w:r>
      <w:r w:rsidR="003521FD" w:rsidRPr="007B0775">
        <w:t xml:space="preserve">the author submitted </w:t>
      </w:r>
      <w:r w:rsidR="00E72165" w:rsidRPr="007B0775">
        <w:t>his</w:t>
      </w:r>
      <w:r w:rsidR="00C9200B" w:rsidRPr="007B0775">
        <w:t xml:space="preserve"> </w:t>
      </w:r>
      <w:r w:rsidR="003521FD" w:rsidRPr="007B0775">
        <w:t>comments on the State party’</w:t>
      </w:r>
      <w:r w:rsidR="00D336E4" w:rsidRPr="007B0775">
        <w:t>s observations</w:t>
      </w:r>
      <w:r w:rsidR="00D44383" w:rsidRPr="007B0775">
        <w:t xml:space="preserve">. </w:t>
      </w:r>
      <w:r w:rsidR="00E72165" w:rsidRPr="007B0775">
        <w:t xml:space="preserve">He challenges the State’s party affirmation that he has not exhausted </w:t>
      </w:r>
      <w:r w:rsidR="0066709C" w:rsidRPr="007B0775">
        <w:t xml:space="preserve">all available </w:t>
      </w:r>
      <w:r w:rsidR="00E72165" w:rsidRPr="007B0775">
        <w:t xml:space="preserve">domestic remedies because he did not apply for an </w:t>
      </w:r>
      <w:r w:rsidR="00306BE6" w:rsidRPr="007B0775">
        <w:t>application on humanitarian and compassionate grounds</w:t>
      </w:r>
      <w:r w:rsidR="00E72165" w:rsidRPr="007B0775">
        <w:t xml:space="preserve">. The author considers that this remedy is not </w:t>
      </w:r>
      <w:r w:rsidR="00BC0F8E" w:rsidRPr="007B0775">
        <w:t>relevant for purposes of</w:t>
      </w:r>
      <w:r w:rsidR="00125D35" w:rsidRPr="007B0775">
        <w:t xml:space="preserve"> admissibility </w:t>
      </w:r>
      <w:r w:rsidR="0074512B" w:rsidRPr="007B0775">
        <w:t>because</w:t>
      </w:r>
      <w:r w:rsidR="00E64187" w:rsidRPr="007B0775">
        <w:t>,</w:t>
      </w:r>
      <w:r w:rsidR="0074512B" w:rsidRPr="007B0775">
        <w:t xml:space="preserve"> as </w:t>
      </w:r>
      <w:r w:rsidR="001D3CE2" w:rsidRPr="007B0775">
        <w:t>stat</w:t>
      </w:r>
      <w:r w:rsidR="00E72165" w:rsidRPr="007B0775">
        <w:t xml:space="preserve">ed by the Committee in </w:t>
      </w:r>
      <w:r w:rsidR="00E72165" w:rsidRPr="007B0775">
        <w:rPr>
          <w:i/>
        </w:rPr>
        <w:t>Shakeel v. Canada</w:t>
      </w:r>
      <w:r w:rsidR="00E72165" w:rsidRPr="007B0775">
        <w:t>,</w:t>
      </w:r>
      <w:r w:rsidR="00A15223" w:rsidRPr="007B0775">
        <w:t xml:space="preserve"> an </w:t>
      </w:r>
      <w:r w:rsidR="00306BE6" w:rsidRPr="007B0775">
        <w:t>application made on humanitarian and compassionate grounds “</w:t>
      </w:r>
      <w:r w:rsidR="00A15223" w:rsidRPr="007B0775">
        <w:t>does not shield the author from deportation, and therefore cannot be described as offering him an effective remedy”.</w:t>
      </w:r>
      <w:r w:rsidR="00E72165" w:rsidRPr="007B0775">
        <w:rPr>
          <w:rStyle w:val="FootnoteReference"/>
        </w:rPr>
        <w:footnoteReference w:id="35"/>
      </w:r>
    </w:p>
    <w:p w:rsidR="00010EAE" w:rsidRPr="007B0775" w:rsidRDefault="00010EAE" w:rsidP="00E64187">
      <w:pPr>
        <w:pStyle w:val="SingleTxtG"/>
      </w:pPr>
      <w:r w:rsidRPr="007B0775">
        <w:t>5.2</w:t>
      </w:r>
      <w:r w:rsidRPr="007B0775">
        <w:tab/>
      </w:r>
      <w:r w:rsidR="00363216" w:rsidRPr="007B0775">
        <w:t>Regarding the State party’s allegation that the communication is manifestly unfounded, the author</w:t>
      </w:r>
      <w:r w:rsidR="005B6F76" w:rsidRPr="007B0775">
        <w:t xml:space="preserve"> reiterates his arguments related to</w:t>
      </w:r>
      <w:r w:rsidR="00363216" w:rsidRPr="007B0775">
        <w:t xml:space="preserve"> the risk </w:t>
      </w:r>
      <w:r w:rsidR="005B6F76" w:rsidRPr="007B0775">
        <w:t xml:space="preserve">that </w:t>
      </w:r>
      <w:r w:rsidR="00363216" w:rsidRPr="007B0775">
        <w:t>he would face if returned to Sri Lanka</w:t>
      </w:r>
      <w:r w:rsidR="00E64187" w:rsidRPr="007B0775">
        <w:t>, namely, that</w:t>
      </w:r>
      <w:r w:rsidR="00363216" w:rsidRPr="007B0775">
        <w:t xml:space="preserve">: </w:t>
      </w:r>
      <w:r w:rsidR="00E64187" w:rsidRPr="007B0775">
        <w:t>(</w:t>
      </w:r>
      <w:r w:rsidR="00363216" w:rsidRPr="007B0775">
        <w:t xml:space="preserve">a) </w:t>
      </w:r>
      <w:r w:rsidR="009C6FBE" w:rsidRPr="007B0775">
        <w:t>he worked</w:t>
      </w:r>
      <w:r w:rsidR="00363216" w:rsidRPr="007B0775">
        <w:t xml:space="preserve"> for </w:t>
      </w:r>
      <w:r w:rsidR="00306BE6" w:rsidRPr="007B0775">
        <w:t xml:space="preserve">the </w:t>
      </w:r>
      <w:r w:rsidR="00363216" w:rsidRPr="007B0775">
        <w:rPr>
          <w:i/>
          <w:iCs/>
        </w:rPr>
        <w:t>Uthayan</w:t>
      </w:r>
      <w:r w:rsidR="009C6FBE" w:rsidRPr="007B0775">
        <w:t>, which is</w:t>
      </w:r>
      <w:r w:rsidR="005B6F76" w:rsidRPr="007B0775">
        <w:t xml:space="preserve"> considered to be the “mouthpiece” of the </w:t>
      </w:r>
      <w:r w:rsidR="00BF6F98" w:rsidRPr="007B0775">
        <w:t>Liberation Tigers of Tamil Eelam</w:t>
      </w:r>
      <w:r w:rsidR="00363216" w:rsidRPr="007B0775">
        <w:t xml:space="preserve">; </w:t>
      </w:r>
      <w:r w:rsidR="00E64187" w:rsidRPr="007B0775">
        <w:t>(</w:t>
      </w:r>
      <w:r w:rsidR="00363216" w:rsidRPr="007B0775">
        <w:t>b)</w:t>
      </w:r>
      <w:r w:rsidR="005B6F76" w:rsidRPr="007B0775">
        <w:t xml:space="preserve"> he is an ethnic Tamil</w:t>
      </w:r>
      <w:r w:rsidR="00E64187" w:rsidRPr="007B0775">
        <w:t>;</w:t>
      </w:r>
      <w:r w:rsidR="005B6F76" w:rsidRPr="007B0775">
        <w:t xml:space="preserve"> </w:t>
      </w:r>
      <w:r w:rsidR="00E64187" w:rsidRPr="007B0775">
        <w:t>(</w:t>
      </w:r>
      <w:r w:rsidR="005B6F76" w:rsidRPr="007B0775">
        <w:t xml:space="preserve">c) </w:t>
      </w:r>
      <w:r w:rsidR="009C6FBE" w:rsidRPr="007B0775">
        <w:t xml:space="preserve">he </w:t>
      </w:r>
      <w:r w:rsidR="005B6F76" w:rsidRPr="007B0775">
        <w:t xml:space="preserve">is 30 years old; </w:t>
      </w:r>
      <w:r w:rsidR="00E64187" w:rsidRPr="007B0775">
        <w:t>(</w:t>
      </w:r>
      <w:r w:rsidR="005B6F76" w:rsidRPr="007B0775">
        <w:t xml:space="preserve">d) </w:t>
      </w:r>
      <w:r w:rsidR="009C6FBE" w:rsidRPr="007B0775">
        <w:t xml:space="preserve">he </w:t>
      </w:r>
      <w:r w:rsidR="005B6F76" w:rsidRPr="007B0775">
        <w:t xml:space="preserve">is from the </w:t>
      </w:r>
      <w:r w:rsidR="00E64187" w:rsidRPr="007B0775">
        <w:t>n</w:t>
      </w:r>
      <w:r w:rsidR="005B6F76" w:rsidRPr="007B0775">
        <w:t xml:space="preserve">orthern province of Sri Lanka; </w:t>
      </w:r>
      <w:r w:rsidR="00E64187" w:rsidRPr="007B0775">
        <w:t>(</w:t>
      </w:r>
      <w:r w:rsidR="005B6F76" w:rsidRPr="007B0775">
        <w:t xml:space="preserve">e) </w:t>
      </w:r>
      <w:r w:rsidR="009C6FBE" w:rsidRPr="007B0775">
        <w:t xml:space="preserve">he </w:t>
      </w:r>
      <w:r w:rsidR="005B6F76" w:rsidRPr="007B0775">
        <w:t xml:space="preserve">is a failed asylum seeker; </w:t>
      </w:r>
      <w:r w:rsidR="00E64187" w:rsidRPr="007B0775">
        <w:t>and (</w:t>
      </w:r>
      <w:r w:rsidR="005B6F76" w:rsidRPr="007B0775">
        <w:t xml:space="preserve">f) </w:t>
      </w:r>
      <w:r w:rsidR="009C6FBE" w:rsidRPr="007B0775">
        <w:t xml:space="preserve">he </w:t>
      </w:r>
      <w:r w:rsidR="00E64187" w:rsidRPr="007B0775">
        <w:t xml:space="preserve">would </w:t>
      </w:r>
      <w:r w:rsidR="005B6F76" w:rsidRPr="007B0775">
        <w:t xml:space="preserve">be forcibly removed to Sri Lanka with an emergency travel document obtained through the </w:t>
      </w:r>
      <w:r w:rsidR="00285A48" w:rsidRPr="007B0775">
        <w:t>Sri Lanka High Commission</w:t>
      </w:r>
      <w:r w:rsidR="00E513A6" w:rsidRPr="007B0775">
        <w:t xml:space="preserve"> </w:t>
      </w:r>
      <w:r w:rsidR="005B6F76" w:rsidRPr="007B0775">
        <w:t>in Ottawa. The author states that he relies on his previous submissions to the Committee</w:t>
      </w:r>
      <w:r w:rsidR="00433388" w:rsidRPr="007B0775">
        <w:t xml:space="preserve"> and</w:t>
      </w:r>
      <w:r w:rsidR="0057705F" w:rsidRPr="007B0775">
        <w:t xml:space="preserve"> adds </w:t>
      </w:r>
      <w:r w:rsidR="005B6F76" w:rsidRPr="007B0775">
        <w:t>information</w:t>
      </w:r>
      <w:r w:rsidR="0057705F" w:rsidRPr="007B0775">
        <w:t xml:space="preserve"> </w:t>
      </w:r>
      <w:r w:rsidR="00E64187" w:rsidRPr="007B0775">
        <w:t xml:space="preserve">that </w:t>
      </w:r>
      <w:r w:rsidR="005B6F76" w:rsidRPr="007B0775">
        <w:t xml:space="preserve">became available after he </w:t>
      </w:r>
      <w:r w:rsidR="00D11BBC" w:rsidRPr="007B0775">
        <w:t xml:space="preserve">submitted </w:t>
      </w:r>
      <w:r w:rsidR="005B6F76" w:rsidRPr="007B0775">
        <w:t xml:space="preserve">his complaint. </w:t>
      </w:r>
    </w:p>
    <w:p w:rsidR="007D7BD8" w:rsidRPr="007B0775" w:rsidRDefault="005B6F76" w:rsidP="00E64187">
      <w:pPr>
        <w:pStyle w:val="SingleTxtG"/>
      </w:pPr>
      <w:r w:rsidRPr="007B0775">
        <w:t>5.3</w:t>
      </w:r>
      <w:r w:rsidRPr="007B0775">
        <w:tab/>
        <w:t xml:space="preserve">The author </w:t>
      </w:r>
      <w:r w:rsidR="00433388" w:rsidRPr="007B0775">
        <w:t xml:space="preserve">states that </w:t>
      </w:r>
      <w:r w:rsidR="00134B9F" w:rsidRPr="007B0775">
        <w:t xml:space="preserve">there is documentary evidence that Tamils are still suffering grave human rights violations in Sri Lanka, </w:t>
      </w:r>
      <w:r w:rsidR="00D11BBC" w:rsidRPr="007B0775">
        <w:t xml:space="preserve">even </w:t>
      </w:r>
      <w:r w:rsidR="00E64187" w:rsidRPr="007B0775">
        <w:t xml:space="preserve">though </w:t>
      </w:r>
      <w:r w:rsidR="00134B9F" w:rsidRPr="007B0775">
        <w:t xml:space="preserve">the conflict has ended. He states that it </w:t>
      </w:r>
      <w:r w:rsidR="00E64187" w:rsidRPr="007B0775">
        <w:t xml:space="preserve">has been </w:t>
      </w:r>
      <w:r w:rsidR="00134B9F" w:rsidRPr="007B0775">
        <w:t xml:space="preserve">proven that young and middle aged Tamils, especially in the </w:t>
      </w:r>
      <w:r w:rsidR="00E64187" w:rsidRPr="007B0775">
        <w:t>n</w:t>
      </w:r>
      <w:r w:rsidR="00134B9F" w:rsidRPr="007B0775">
        <w:t xml:space="preserve">orth and </w:t>
      </w:r>
      <w:r w:rsidR="00E64187" w:rsidRPr="007B0775">
        <w:t>e</w:t>
      </w:r>
      <w:r w:rsidR="00134B9F" w:rsidRPr="007B0775">
        <w:t>ast, continue to suffer frequent harassment by security forces and paramilitary groups.</w:t>
      </w:r>
      <w:r w:rsidR="00397722" w:rsidRPr="007B0775">
        <w:rPr>
          <w:rStyle w:val="FootnoteReference"/>
        </w:rPr>
        <w:footnoteReference w:id="36"/>
      </w:r>
      <w:r w:rsidR="00134B9F" w:rsidRPr="007B0775">
        <w:t xml:space="preserve"> T</w:t>
      </w:r>
      <w:r w:rsidR="0081135B" w:rsidRPr="007B0775">
        <w:t>amils are also disproportionately affected by a</w:t>
      </w:r>
      <w:r w:rsidR="00134B9F" w:rsidRPr="007B0775">
        <w:t xml:space="preserve">rbitrary detentions, extrajudicial executions, enforced disappearances, </w:t>
      </w:r>
      <w:r w:rsidR="00397722" w:rsidRPr="007B0775">
        <w:t>custodial rape, torture and prolonged detention without trial.</w:t>
      </w:r>
      <w:r w:rsidR="0081135B" w:rsidRPr="007B0775">
        <w:rPr>
          <w:rStyle w:val="FootnoteReference"/>
        </w:rPr>
        <w:footnoteReference w:id="37"/>
      </w:r>
      <w:r w:rsidR="007D7BD8" w:rsidRPr="007B0775">
        <w:t xml:space="preserve"> The author further states that</w:t>
      </w:r>
      <w:r w:rsidR="00A15223" w:rsidRPr="007B0775">
        <w:t>,</w:t>
      </w:r>
      <w:r w:rsidR="007D7BD8" w:rsidRPr="007B0775">
        <w:t xml:space="preserve"> although being Tamil is not sufficient to demonstrate a well-founded fear of persecution, </w:t>
      </w:r>
      <w:r w:rsidR="00A15223" w:rsidRPr="007B0775">
        <w:t xml:space="preserve">when </w:t>
      </w:r>
      <w:r w:rsidR="007D7BD8" w:rsidRPr="007B0775">
        <w:t xml:space="preserve">combined with other factors, </w:t>
      </w:r>
      <w:r w:rsidR="00D13E2C" w:rsidRPr="007B0775">
        <w:t xml:space="preserve">it </w:t>
      </w:r>
      <w:r w:rsidR="00E630E2" w:rsidRPr="007B0775">
        <w:t xml:space="preserve">gives a strong basis to the claim </w:t>
      </w:r>
      <w:r w:rsidR="00755058" w:rsidRPr="007B0775">
        <w:t>that he would be exposed to a real</w:t>
      </w:r>
      <w:r w:rsidR="007D7BD8" w:rsidRPr="007B0775">
        <w:t xml:space="preserve"> risk if returned to Sri Lanka.</w:t>
      </w:r>
    </w:p>
    <w:p w:rsidR="00C508A7" w:rsidRPr="007B0775" w:rsidRDefault="0081766B" w:rsidP="00E64187">
      <w:pPr>
        <w:pStyle w:val="SingleTxtG"/>
      </w:pPr>
      <w:r w:rsidRPr="007B0775">
        <w:t>5.4</w:t>
      </w:r>
      <w:r w:rsidRPr="007B0775">
        <w:tab/>
      </w:r>
      <w:r w:rsidR="00E64187" w:rsidRPr="007B0775">
        <w:t>One s</w:t>
      </w:r>
      <w:r w:rsidR="00A15223" w:rsidRPr="007B0775">
        <w:t>uch other</w:t>
      </w:r>
      <w:r w:rsidR="005E165C" w:rsidRPr="007B0775">
        <w:t xml:space="preserve"> factor is that he is a failed asylum seeker. He </w:t>
      </w:r>
      <w:r w:rsidR="009C7CAA" w:rsidRPr="007B0775">
        <w:t>indicates</w:t>
      </w:r>
      <w:r w:rsidR="005E165C" w:rsidRPr="007B0775">
        <w:t xml:space="preserve"> that Tamils who have been returned to Sri Lan</w:t>
      </w:r>
      <w:r w:rsidR="00070191" w:rsidRPr="007B0775">
        <w:t xml:space="preserve">ka, forcibly or voluntary, </w:t>
      </w:r>
      <w:r w:rsidR="005E165C" w:rsidRPr="007B0775">
        <w:t>have been subject</w:t>
      </w:r>
      <w:r w:rsidR="00214955" w:rsidRPr="007B0775">
        <w:t>ed</w:t>
      </w:r>
      <w:r w:rsidR="005E165C" w:rsidRPr="007B0775">
        <w:t xml:space="preserve"> to ill-</w:t>
      </w:r>
      <w:r w:rsidR="005E165C" w:rsidRPr="007B0775">
        <w:lastRenderedPageBreak/>
        <w:t>treatment and torture.</w:t>
      </w:r>
      <w:r w:rsidR="00070191" w:rsidRPr="007B0775">
        <w:rPr>
          <w:rStyle w:val="FootnoteReference"/>
        </w:rPr>
        <w:footnoteReference w:id="38"/>
      </w:r>
      <w:r w:rsidR="005E165C" w:rsidRPr="007B0775">
        <w:t xml:space="preserve"> </w:t>
      </w:r>
      <w:r w:rsidR="00304A70" w:rsidRPr="007B0775">
        <w:t xml:space="preserve">The author quotes a report from </w:t>
      </w:r>
      <w:r w:rsidR="00E64187" w:rsidRPr="007B0775">
        <w:t xml:space="preserve">a non-governmental organization </w:t>
      </w:r>
      <w:r w:rsidR="00304A70" w:rsidRPr="007B0775">
        <w:t>that has documented cases of torture</w:t>
      </w:r>
      <w:r w:rsidR="003B7359" w:rsidRPr="007B0775">
        <w:t xml:space="preserve"> in Sri Lanka, </w:t>
      </w:r>
      <w:r w:rsidR="00E64187" w:rsidRPr="007B0775">
        <w:t xml:space="preserve">even </w:t>
      </w:r>
      <w:r w:rsidR="003B7359" w:rsidRPr="007B0775">
        <w:t>after the conflict ended.</w:t>
      </w:r>
      <w:r w:rsidR="009F052B" w:rsidRPr="007B0775">
        <w:t xml:space="preserve"> </w:t>
      </w:r>
      <w:r w:rsidR="003B7359" w:rsidRPr="007B0775">
        <w:t>A</w:t>
      </w:r>
      <w:r w:rsidR="009F052B" w:rsidRPr="007B0775">
        <w:t>ccording to</w:t>
      </w:r>
      <w:r w:rsidR="003B7359" w:rsidRPr="007B0775">
        <w:t xml:space="preserve"> </w:t>
      </w:r>
      <w:r w:rsidR="00E64187" w:rsidRPr="007B0775">
        <w:t xml:space="preserve">the </w:t>
      </w:r>
      <w:r w:rsidR="003B7359" w:rsidRPr="007B0775">
        <w:t xml:space="preserve">report, </w:t>
      </w:r>
      <w:r w:rsidR="00E64187" w:rsidRPr="007B0775">
        <w:t xml:space="preserve">the </w:t>
      </w:r>
      <w:r w:rsidR="003B7359" w:rsidRPr="007B0775">
        <w:t xml:space="preserve">forms of torture used included blunt force trauma, burning, sexual torture, suffocation and asphyxiation, restraint, hanging, suspension </w:t>
      </w:r>
      <w:r w:rsidR="00E64187" w:rsidRPr="007B0775">
        <w:t xml:space="preserve">and </w:t>
      </w:r>
      <w:r w:rsidR="003B7359" w:rsidRPr="007B0775">
        <w:t xml:space="preserve">psychological torture. </w:t>
      </w:r>
      <w:r w:rsidR="00E64187" w:rsidRPr="007B0775">
        <w:t xml:space="preserve">In total, </w:t>
      </w:r>
      <w:r w:rsidR="009F052B" w:rsidRPr="007B0775">
        <w:t>96</w:t>
      </w:r>
      <w:r w:rsidR="00E64187" w:rsidRPr="007B0775">
        <w:t xml:space="preserve"> per cent</w:t>
      </w:r>
      <w:r w:rsidR="003B7359" w:rsidRPr="007B0775">
        <w:t xml:space="preserve"> of the cases </w:t>
      </w:r>
      <w:r w:rsidR="00E64187" w:rsidRPr="007B0775">
        <w:t xml:space="preserve">of such forms of torture </w:t>
      </w:r>
      <w:r w:rsidR="003B7359" w:rsidRPr="007B0775">
        <w:t>involved T</w:t>
      </w:r>
      <w:r w:rsidR="00304A70" w:rsidRPr="007B0775">
        <w:t>amils</w:t>
      </w:r>
      <w:r w:rsidR="003B7359" w:rsidRPr="007B0775">
        <w:t xml:space="preserve"> who had a real or perceived connection to the </w:t>
      </w:r>
      <w:r w:rsidR="00BF6F98" w:rsidRPr="007B0775">
        <w:t>Liberation Tigers of Tamil Eelam</w:t>
      </w:r>
      <w:r w:rsidR="003B7359" w:rsidRPr="007B0775">
        <w:t>. The report concludes that people of Tamil ethnicity</w:t>
      </w:r>
      <w:r w:rsidR="00214955" w:rsidRPr="007B0775">
        <w:t>,</w:t>
      </w:r>
      <w:r w:rsidR="003B7359" w:rsidRPr="007B0775">
        <w:t xml:space="preserve"> eve</w:t>
      </w:r>
      <w:r w:rsidR="00304A70" w:rsidRPr="007B0775">
        <w:t xml:space="preserve">n with minimal or merely suspected links to the </w:t>
      </w:r>
      <w:r w:rsidR="00BF6F98" w:rsidRPr="007B0775">
        <w:t>group</w:t>
      </w:r>
      <w:r w:rsidR="00214955" w:rsidRPr="007B0775">
        <w:t>,</w:t>
      </w:r>
      <w:r w:rsidR="00304A70" w:rsidRPr="007B0775">
        <w:t xml:space="preserve"> have been detained and tortured.</w:t>
      </w:r>
      <w:r w:rsidR="00304A70" w:rsidRPr="007B0775">
        <w:rPr>
          <w:rStyle w:val="FootnoteReference"/>
        </w:rPr>
        <w:footnoteReference w:id="39"/>
      </w:r>
      <w:r w:rsidR="00FD1DCA" w:rsidRPr="007B0775">
        <w:t xml:space="preserve"> </w:t>
      </w:r>
    </w:p>
    <w:p w:rsidR="005B6F76" w:rsidRPr="007B0775" w:rsidRDefault="00C508A7" w:rsidP="00E64187">
      <w:pPr>
        <w:pStyle w:val="SingleTxtG"/>
      </w:pPr>
      <w:r w:rsidRPr="007B0775">
        <w:t>5.5</w:t>
      </w:r>
      <w:r w:rsidRPr="007B0775">
        <w:tab/>
      </w:r>
      <w:r w:rsidR="00FD1DCA" w:rsidRPr="007B0775">
        <w:t>The author also refers to the “screening process” of returned Tamils at the airport</w:t>
      </w:r>
      <w:r w:rsidR="00F45140" w:rsidRPr="007B0775">
        <w:t xml:space="preserve"> where the </w:t>
      </w:r>
      <w:r w:rsidR="00A02CC6" w:rsidRPr="007B0775">
        <w:t>Criminal Investigation Department</w:t>
      </w:r>
      <w:r w:rsidR="00F45140" w:rsidRPr="007B0775">
        <w:t xml:space="preserve"> has </w:t>
      </w:r>
      <w:r w:rsidR="004942D3" w:rsidRPr="007B0775">
        <w:t xml:space="preserve">a </w:t>
      </w:r>
      <w:r w:rsidR="00F45140" w:rsidRPr="007B0775">
        <w:t>24</w:t>
      </w:r>
      <w:r w:rsidR="00A15223" w:rsidRPr="007B0775">
        <w:t>-</w:t>
      </w:r>
      <w:r w:rsidR="00F45140" w:rsidRPr="007B0775">
        <w:t>hour presence</w:t>
      </w:r>
      <w:r w:rsidR="00FD1DCA" w:rsidRPr="007B0775">
        <w:t xml:space="preserve">. </w:t>
      </w:r>
      <w:r w:rsidR="00F45140" w:rsidRPr="007B0775">
        <w:t>According to the background material referred</w:t>
      </w:r>
      <w:r w:rsidR="00E64187" w:rsidRPr="007B0775">
        <w:t xml:space="preserve"> to</w:t>
      </w:r>
      <w:r w:rsidR="00F45140" w:rsidRPr="007B0775">
        <w:t xml:space="preserve">, the </w:t>
      </w:r>
      <w:r w:rsidR="00285A48" w:rsidRPr="007B0775">
        <w:t>Sri Lanka High Commissions</w:t>
      </w:r>
      <w:r w:rsidR="00E513A6" w:rsidRPr="007B0775">
        <w:t xml:space="preserve"> </w:t>
      </w:r>
      <w:r w:rsidR="00F45140" w:rsidRPr="007B0775">
        <w:t>abroad send the details of those being removed to Colombo.</w:t>
      </w:r>
      <w:r w:rsidR="00F45140" w:rsidRPr="007B0775">
        <w:rPr>
          <w:rStyle w:val="FootnoteReference"/>
        </w:rPr>
        <w:footnoteReference w:id="40"/>
      </w:r>
      <w:r w:rsidR="00F45140" w:rsidRPr="007B0775">
        <w:t xml:space="preserve"> Suspicious individuals are first interrogated at the airport, where officials do not hesitate to use violence. Once it is discovered that the individual has applied for asylum</w:t>
      </w:r>
      <w:r w:rsidR="00214955" w:rsidRPr="007B0775">
        <w:t>,</w:t>
      </w:r>
      <w:r w:rsidR="00F45140" w:rsidRPr="007B0775">
        <w:t xml:space="preserve"> </w:t>
      </w:r>
      <w:r w:rsidR="00C365ED" w:rsidRPr="007B0775">
        <w:t xml:space="preserve">he or she </w:t>
      </w:r>
      <w:r w:rsidR="00F45140" w:rsidRPr="007B0775">
        <w:t>would be considered a</w:t>
      </w:r>
      <w:r w:rsidR="00C365ED" w:rsidRPr="007B0775">
        <w:t xml:space="preserve"> traitor and even if released, he or she </w:t>
      </w:r>
      <w:r w:rsidR="00F45140" w:rsidRPr="007B0775">
        <w:t>will be under surveillance and can be arrested at any time.</w:t>
      </w:r>
      <w:r w:rsidR="00E513A6" w:rsidRPr="007B0775">
        <w:t xml:space="preserve"> Those who are suspected </w:t>
      </w:r>
      <w:r w:rsidR="00214955" w:rsidRPr="007B0775">
        <w:t xml:space="preserve">to have </w:t>
      </w:r>
      <w:r w:rsidR="00E513A6" w:rsidRPr="007B0775">
        <w:t xml:space="preserve">links to the </w:t>
      </w:r>
      <w:r w:rsidR="00BF6F98" w:rsidRPr="007B0775">
        <w:t>Liberation Tigers of Tamil Eelam</w:t>
      </w:r>
      <w:r w:rsidR="00E513A6" w:rsidRPr="007B0775">
        <w:t xml:space="preserve"> or the media are </w:t>
      </w:r>
      <w:r w:rsidR="00214955" w:rsidRPr="007B0775">
        <w:t>at</w:t>
      </w:r>
      <w:r w:rsidR="00E513A6" w:rsidRPr="007B0775">
        <w:t xml:space="preserve"> high risk of being imprisoned. Tamils from the </w:t>
      </w:r>
      <w:r w:rsidR="00E64187" w:rsidRPr="007B0775">
        <w:t>n</w:t>
      </w:r>
      <w:r w:rsidR="00E513A6" w:rsidRPr="007B0775">
        <w:t xml:space="preserve">orth and </w:t>
      </w:r>
      <w:r w:rsidR="00E64187" w:rsidRPr="007B0775">
        <w:t>e</w:t>
      </w:r>
      <w:r w:rsidR="00E513A6" w:rsidRPr="007B0775">
        <w:t>ast and persons between the ages of 20 and 40 undergo even more checks.</w:t>
      </w:r>
      <w:r w:rsidR="00E513A6" w:rsidRPr="007B0775">
        <w:rPr>
          <w:rStyle w:val="FootnoteReference"/>
        </w:rPr>
        <w:footnoteReference w:id="41"/>
      </w:r>
      <w:r w:rsidR="00DF14D6" w:rsidRPr="007B0775">
        <w:t xml:space="preserve"> </w:t>
      </w:r>
      <w:r w:rsidR="00214955" w:rsidRPr="007B0775">
        <w:t>I</w:t>
      </w:r>
      <w:r w:rsidR="0086075E" w:rsidRPr="007B0775">
        <w:t xml:space="preserve">t </w:t>
      </w:r>
      <w:r w:rsidR="00E64187" w:rsidRPr="007B0775">
        <w:t xml:space="preserve">has been </w:t>
      </w:r>
      <w:r w:rsidR="0086075E" w:rsidRPr="007B0775">
        <w:t>proven that many Tamils have been arrested after returning from abroad and that arrests are most often accompanied by torture. Therefore,</w:t>
      </w:r>
      <w:r w:rsidR="00214955" w:rsidRPr="007B0775">
        <w:t xml:space="preserve"> the author</w:t>
      </w:r>
      <w:r w:rsidR="0086075E" w:rsidRPr="007B0775">
        <w:t xml:space="preserve"> considers that he would face a real risk in violation of articles 6 (1), 7 and 9 (1) of the Covenant</w:t>
      </w:r>
      <w:r w:rsidR="00214955" w:rsidRPr="007B0775">
        <w:t xml:space="preserve"> in case of return to Sri Lanka</w:t>
      </w:r>
      <w:r w:rsidR="0086075E" w:rsidRPr="007B0775">
        <w:t xml:space="preserve">. </w:t>
      </w:r>
    </w:p>
    <w:p w:rsidR="003521FD" w:rsidRPr="007B0775" w:rsidRDefault="003521FD" w:rsidP="006358CB">
      <w:pPr>
        <w:pStyle w:val="H23G"/>
        <w:spacing w:line="240" w:lineRule="auto"/>
      </w:pPr>
      <w:r w:rsidRPr="007B0775">
        <w:tab/>
      </w:r>
      <w:r w:rsidRPr="007B0775">
        <w:tab/>
        <w:t>Issues and proceedings before the Committee</w:t>
      </w:r>
    </w:p>
    <w:p w:rsidR="003521FD" w:rsidRPr="007B0775" w:rsidRDefault="003521FD" w:rsidP="006358CB">
      <w:pPr>
        <w:pStyle w:val="H4G"/>
        <w:spacing w:line="240" w:lineRule="auto"/>
        <w:rPr>
          <w:lang w:val="en-US"/>
        </w:rPr>
      </w:pPr>
      <w:r w:rsidRPr="007B0775">
        <w:rPr>
          <w:lang w:val="en-US"/>
        </w:rPr>
        <w:tab/>
      </w:r>
      <w:r w:rsidRPr="007B0775">
        <w:rPr>
          <w:lang w:val="en-US"/>
        </w:rPr>
        <w:tab/>
        <w:t>Consideration of admissibility</w:t>
      </w:r>
    </w:p>
    <w:p w:rsidR="003521FD" w:rsidRPr="007B0775" w:rsidRDefault="00D92F83" w:rsidP="00200FDE">
      <w:pPr>
        <w:pStyle w:val="SingleTxtG"/>
        <w:rPr>
          <w:lang w:val="en-US"/>
        </w:rPr>
      </w:pPr>
      <w:r w:rsidRPr="007B0775">
        <w:rPr>
          <w:lang w:val="en-US"/>
        </w:rPr>
        <w:t>6</w:t>
      </w:r>
      <w:r w:rsidR="00DF14D6" w:rsidRPr="007B0775">
        <w:rPr>
          <w:lang w:val="en-US"/>
        </w:rPr>
        <w:t>.1</w:t>
      </w:r>
      <w:r w:rsidR="003521FD" w:rsidRPr="007B0775">
        <w:rPr>
          <w:lang w:val="en-US"/>
        </w:rPr>
        <w:tab/>
        <w:t>Before considering any claims contained in a communication, the Committee must, in accordance with rule 93 of its rules of procedure, decide whether or not it is admissible under the Optional Protocol.</w:t>
      </w:r>
    </w:p>
    <w:p w:rsidR="00D26131" w:rsidRPr="007B0775" w:rsidRDefault="00D92F83" w:rsidP="00E64187">
      <w:pPr>
        <w:pStyle w:val="SingleTxtG"/>
      </w:pPr>
      <w:r w:rsidRPr="007B0775">
        <w:rPr>
          <w:lang w:val="en-US"/>
        </w:rPr>
        <w:t>6</w:t>
      </w:r>
      <w:r w:rsidR="00DF14D6" w:rsidRPr="007B0775">
        <w:rPr>
          <w:lang w:val="en-US"/>
        </w:rPr>
        <w:t>.2</w:t>
      </w:r>
      <w:r w:rsidR="003521FD" w:rsidRPr="007B0775">
        <w:rPr>
          <w:lang w:val="en-US"/>
        </w:rPr>
        <w:tab/>
      </w:r>
      <w:r w:rsidR="00D26131" w:rsidRPr="007B0775">
        <w:t xml:space="preserve">The Committee </w:t>
      </w:r>
      <w:r w:rsidR="00E64187" w:rsidRPr="007B0775">
        <w:t>has ascertained</w:t>
      </w:r>
      <w:r w:rsidR="00D26131" w:rsidRPr="007B0775">
        <w:t xml:space="preserve">, as required </w:t>
      </w:r>
      <w:r w:rsidR="00E64187" w:rsidRPr="007B0775">
        <w:t xml:space="preserve">under </w:t>
      </w:r>
      <w:r w:rsidR="00D26131" w:rsidRPr="007B0775">
        <w:t xml:space="preserve">article 5 </w:t>
      </w:r>
      <w:r w:rsidR="00C265D6" w:rsidRPr="007B0775">
        <w:t>(</w:t>
      </w:r>
      <w:r w:rsidR="00D26131" w:rsidRPr="007B0775">
        <w:t>2</w:t>
      </w:r>
      <w:r w:rsidR="00C265D6" w:rsidRPr="007B0775">
        <w:t>)</w:t>
      </w:r>
      <w:r w:rsidR="00D26131" w:rsidRPr="007B0775">
        <w:t xml:space="preserve"> (a) of the Optional Protocol, that the same matter is not being examined under </w:t>
      </w:r>
      <w:r w:rsidR="00E64187" w:rsidRPr="007B0775">
        <w:t>an</w:t>
      </w:r>
      <w:r w:rsidR="00D26131" w:rsidRPr="007B0775">
        <w:t xml:space="preserve">other procedure of </w:t>
      </w:r>
      <w:r w:rsidR="00E64187" w:rsidRPr="007B0775">
        <w:t xml:space="preserve">international </w:t>
      </w:r>
      <w:r w:rsidR="00D26131" w:rsidRPr="007B0775">
        <w:t xml:space="preserve">investigation or settlement. </w:t>
      </w:r>
    </w:p>
    <w:p w:rsidR="00BC233F" w:rsidRPr="007B0775" w:rsidRDefault="00BC233F" w:rsidP="00E64187">
      <w:pPr>
        <w:pStyle w:val="SingleTxtG"/>
      </w:pPr>
      <w:r w:rsidRPr="007B0775">
        <w:lastRenderedPageBreak/>
        <w:t>6.3</w:t>
      </w:r>
      <w:r w:rsidRPr="007B0775">
        <w:tab/>
      </w:r>
      <w:r w:rsidR="002C421E" w:rsidRPr="007B0775">
        <w:rPr>
          <w:lang w:eastAsia="en-GB"/>
        </w:rPr>
        <w:t xml:space="preserve">The Committee recalls its jurisprudence to the effect that authors must avail themselves of all judicial remedies in order to fulfil the requirement of article 5 </w:t>
      </w:r>
      <w:r w:rsidR="00C265D6" w:rsidRPr="007B0775">
        <w:rPr>
          <w:lang w:eastAsia="en-GB"/>
        </w:rPr>
        <w:t>(</w:t>
      </w:r>
      <w:r w:rsidR="002C421E" w:rsidRPr="007B0775">
        <w:rPr>
          <w:lang w:eastAsia="en-GB"/>
        </w:rPr>
        <w:t>2</w:t>
      </w:r>
      <w:r w:rsidR="00C265D6" w:rsidRPr="007B0775">
        <w:rPr>
          <w:lang w:eastAsia="en-GB"/>
        </w:rPr>
        <w:t>)</w:t>
      </w:r>
      <w:r w:rsidR="002C421E" w:rsidRPr="007B0775">
        <w:rPr>
          <w:lang w:eastAsia="en-GB"/>
        </w:rPr>
        <w:t xml:space="preserve"> (b) of the Optional Protocol, insofar as such remedies appear to be effective in the given case and are de facto available to them.</w:t>
      </w:r>
      <w:r w:rsidR="002C421E" w:rsidRPr="007B0775">
        <w:rPr>
          <w:vertAlign w:val="superscript"/>
          <w:lang w:eastAsia="en-GB"/>
        </w:rPr>
        <w:footnoteReference w:id="42"/>
      </w:r>
      <w:r w:rsidR="002C421E" w:rsidRPr="007B0775">
        <w:rPr>
          <w:lang w:eastAsia="en-GB"/>
        </w:rPr>
        <w:t xml:space="preserve"> </w:t>
      </w:r>
      <w:r w:rsidRPr="007B0775">
        <w:rPr>
          <w:lang w:eastAsia="en-GB"/>
        </w:rPr>
        <w:t>The Committee notes the author’</w:t>
      </w:r>
      <w:r w:rsidR="00BE61E6" w:rsidRPr="007B0775">
        <w:rPr>
          <w:lang w:eastAsia="en-GB"/>
        </w:rPr>
        <w:t>s</w:t>
      </w:r>
      <w:r w:rsidRPr="007B0775">
        <w:rPr>
          <w:lang w:eastAsia="en-GB"/>
        </w:rPr>
        <w:t xml:space="preserve"> claim that </w:t>
      </w:r>
      <w:r w:rsidR="00BE61E6" w:rsidRPr="007B0775">
        <w:rPr>
          <w:lang w:eastAsia="en-GB"/>
        </w:rPr>
        <w:t>he</w:t>
      </w:r>
      <w:r w:rsidRPr="007B0775">
        <w:rPr>
          <w:lang w:eastAsia="en-GB"/>
        </w:rPr>
        <w:t xml:space="preserve"> ha</w:t>
      </w:r>
      <w:r w:rsidR="00BE61E6" w:rsidRPr="007B0775">
        <w:rPr>
          <w:lang w:eastAsia="en-GB"/>
        </w:rPr>
        <w:t>s</w:t>
      </w:r>
      <w:r w:rsidRPr="007B0775">
        <w:rPr>
          <w:lang w:eastAsia="en-GB"/>
        </w:rPr>
        <w:t xml:space="preserve"> exhausted all effective domestic remedies available to </w:t>
      </w:r>
      <w:r w:rsidR="00BE61E6" w:rsidRPr="007B0775">
        <w:rPr>
          <w:lang w:eastAsia="en-GB"/>
        </w:rPr>
        <w:t>him</w:t>
      </w:r>
      <w:r w:rsidRPr="007B0775">
        <w:rPr>
          <w:lang w:eastAsia="en-GB"/>
        </w:rPr>
        <w:t xml:space="preserve">. </w:t>
      </w:r>
      <w:r w:rsidR="00BE61E6" w:rsidRPr="007B0775">
        <w:rPr>
          <w:lang w:eastAsia="en-GB"/>
        </w:rPr>
        <w:t xml:space="preserve">The Committee also notes the State party’s argument that the author has not exhausted all domestic remedies, as he did not apply for an </w:t>
      </w:r>
      <w:r w:rsidR="00306BE6" w:rsidRPr="007B0775">
        <w:t>application made on humanitarian and compassionate grounds</w:t>
      </w:r>
      <w:r w:rsidR="002C421E" w:rsidRPr="007B0775">
        <w:rPr>
          <w:lang w:eastAsia="en-GB"/>
        </w:rPr>
        <w:t>,</w:t>
      </w:r>
      <w:r w:rsidR="00BE61E6" w:rsidRPr="007B0775">
        <w:rPr>
          <w:lang w:eastAsia="en-GB"/>
        </w:rPr>
        <w:t xml:space="preserve"> which became available to him in February 2014. </w:t>
      </w:r>
      <w:r w:rsidR="009C5474" w:rsidRPr="007B0775">
        <w:rPr>
          <w:lang w:eastAsia="en-GB"/>
        </w:rPr>
        <w:t xml:space="preserve">However, the Committee notes that the </w:t>
      </w:r>
      <w:r w:rsidR="00306BE6" w:rsidRPr="007B0775">
        <w:t xml:space="preserve">application </w:t>
      </w:r>
      <w:r w:rsidR="009C5474" w:rsidRPr="007B0775">
        <w:rPr>
          <w:lang w:eastAsia="en-GB"/>
        </w:rPr>
        <w:t xml:space="preserve">does not shield the author from deportation to Sri Lanka and </w:t>
      </w:r>
      <w:r w:rsidR="00676DEF" w:rsidRPr="007B0775">
        <w:rPr>
          <w:lang w:eastAsia="en-GB"/>
        </w:rPr>
        <w:t>therefore cannot be described as offering him an effective remedy.</w:t>
      </w:r>
      <w:r w:rsidR="000B6221" w:rsidRPr="007B0775">
        <w:rPr>
          <w:rStyle w:val="FootnoteReference"/>
          <w:color w:val="000000"/>
          <w:lang w:eastAsia="en-GB"/>
        </w:rPr>
        <w:footnoteReference w:id="43"/>
      </w:r>
      <w:r w:rsidR="00676DEF" w:rsidRPr="007B0775">
        <w:rPr>
          <w:lang w:eastAsia="en-GB"/>
        </w:rPr>
        <w:t xml:space="preserve"> Therefore, the Committee considers that it is not precluded by the requirements of article 5</w:t>
      </w:r>
      <w:r w:rsidR="00FF22A4" w:rsidRPr="007B0775">
        <w:rPr>
          <w:lang w:eastAsia="en-GB"/>
        </w:rPr>
        <w:t xml:space="preserve"> (</w:t>
      </w:r>
      <w:r w:rsidR="00676DEF" w:rsidRPr="007B0775">
        <w:rPr>
          <w:lang w:eastAsia="en-GB"/>
        </w:rPr>
        <w:t>2</w:t>
      </w:r>
      <w:r w:rsidR="00FF22A4" w:rsidRPr="007B0775">
        <w:rPr>
          <w:lang w:eastAsia="en-GB"/>
        </w:rPr>
        <w:t>)</w:t>
      </w:r>
      <w:r w:rsidR="00676DEF" w:rsidRPr="007B0775">
        <w:rPr>
          <w:lang w:eastAsia="en-GB"/>
        </w:rPr>
        <w:t xml:space="preserve"> (b) of the Optional Protocol from examining the present communication.</w:t>
      </w:r>
    </w:p>
    <w:p w:rsidR="00877A81" w:rsidRPr="007B0775" w:rsidRDefault="00A10F46" w:rsidP="0081766B">
      <w:pPr>
        <w:pStyle w:val="SingleTxtG"/>
      </w:pPr>
      <w:r w:rsidRPr="007B0775">
        <w:t>6.</w:t>
      </w:r>
      <w:r w:rsidR="00BC233F" w:rsidRPr="007B0775">
        <w:t>4</w:t>
      </w:r>
      <w:r w:rsidRPr="007B0775">
        <w:tab/>
        <w:t xml:space="preserve">The Committee </w:t>
      </w:r>
      <w:r w:rsidR="00FF22A4" w:rsidRPr="007B0775">
        <w:t>further takes note of</w:t>
      </w:r>
      <w:r w:rsidRPr="007B0775">
        <w:t xml:space="preserve"> the State party’s </w:t>
      </w:r>
      <w:r w:rsidR="00FF22A4" w:rsidRPr="007B0775">
        <w:t xml:space="preserve">argument </w:t>
      </w:r>
      <w:r w:rsidRPr="007B0775">
        <w:t>that the author</w:t>
      </w:r>
      <w:r w:rsidR="00FF22A4" w:rsidRPr="007B0775">
        <w:t>’</w:t>
      </w:r>
      <w:r w:rsidRPr="007B0775">
        <w:t>s claims under article</w:t>
      </w:r>
      <w:r w:rsidR="00585EF5" w:rsidRPr="007B0775">
        <w:t>s</w:t>
      </w:r>
      <w:r w:rsidRPr="007B0775">
        <w:t xml:space="preserve"> </w:t>
      </w:r>
      <w:r w:rsidR="004335A4" w:rsidRPr="007B0775">
        <w:t>6</w:t>
      </w:r>
      <w:r w:rsidR="00E64187" w:rsidRPr="007B0775">
        <w:t> </w:t>
      </w:r>
      <w:r w:rsidR="00585EF5" w:rsidRPr="007B0775">
        <w:t>(1)</w:t>
      </w:r>
      <w:r w:rsidR="00877A81" w:rsidRPr="007B0775">
        <w:t xml:space="preserve"> and</w:t>
      </w:r>
      <w:r w:rsidR="00585EF5" w:rsidRPr="007B0775">
        <w:t xml:space="preserve"> </w:t>
      </w:r>
      <w:r w:rsidRPr="007B0775">
        <w:t xml:space="preserve">7 of the Covenant </w:t>
      </w:r>
      <w:r w:rsidR="00FF22A4" w:rsidRPr="007B0775">
        <w:t>should be declared inadmissible as</w:t>
      </w:r>
      <w:r w:rsidRPr="007B0775">
        <w:t xml:space="preserve"> manifestly ill-founded. </w:t>
      </w:r>
      <w:r w:rsidR="00877A81" w:rsidRPr="007B0775">
        <w:t xml:space="preserve">The Committee notes that the author has explained the reasons </w:t>
      </w:r>
      <w:r w:rsidR="00FF22A4" w:rsidRPr="007B0775">
        <w:t>why he fears to be returned to Sri Lanka</w:t>
      </w:r>
      <w:r w:rsidR="00AD3320" w:rsidRPr="007B0775">
        <w:t>, based on the events prior to his departure from Sri Lanka, his profile as Tamil and failed asylum seeker</w:t>
      </w:r>
      <w:r w:rsidR="00C21D0E" w:rsidRPr="007B0775">
        <w:t>.</w:t>
      </w:r>
      <w:r w:rsidR="00AD3320" w:rsidRPr="007B0775">
        <w:t xml:space="preserve"> </w:t>
      </w:r>
      <w:r w:rsidR="00C21D0E" w:rsidRPr="007B0775">
        <w:t>The Committee considers that</w:t>
      </w:r>
      <w:r w:rsidR="00AD3320" w:rsidRPr="007B0775">
        <w:t>, for the purposes of admissibility,</w:t>
      </w:r>
      <w:r w:rsidR="00C21D0E" w:rsidRPr="007B0775">
        <w:t xml:space="preserve"> the author has provided sufficient details and documentary evidence regarding his personal risk of facing death, ill-treatment or torture and finds th</w:t>
      </w:r>
      <w:r w:rsidR="00AD3320" w:rsidRPr="007B0775">
        <w:t>is part of</w:t>
      </w:r>
      <w:r w:rsidR="00C21D0E" w:rsidRPr="007B0775">
        <w:t xml:space="preserve"> the communication admissible. </w:t>
      </w:r>
    </w:p>
    <w:p w:rsidR="00AD3320" w:rsidRPr="007B0775" w:rsidRDefault="008540B8" w:rsidP="00CA4D3A">
      <w:pPr>
        <w:pStyle w:val="SingleTxtG"/>
        <w:rPr>
          <w:lang w:val="en-US"/>
        </w:rPr>
      </w:pPr>
      <w:r w:rsidRPr="007B0775">
        <w:t>6.5</w:t>
      </w:r>
      <w:r w:rsidRPr="007B0775">
        <w:tab/>
      </w:r>
      <w:r w:rsidR="00161F81" w:rsidRPr="007B0775">
        <w:t xml:space="preserve">With regard to the author’s claims under article 9(1) of the Covenant, the Committee notes the State party’s argument that its </w:t>
      </w:r>
      <w:r w:rsidR="00161F81" w:rsidRPr="007B0775">
        <w:rPr>
          <w:iCs/>
        </w:rPr>
        <w:t>non-refoulement</w:t>
      </w:r>
      <w:r w:rsidR="00161F81" w:rsidRPr="007B0775">
        <w:t xml:space="preserve"> obligations do not exten</w:t>
      </w:r>
      <w:r w:rsidR="006009B5" w:rsidRPr="007B0775">
        <w:t>d to potential breaches of this</w:t>
      </w:r>
      <w:r w:rsidR="00161F81" w:rsidRPr="007B0775">
        <w:t xml:space="preserve"> provision and that these claims are therefore inadmissible</w:t>
      </w:r>
      <w:r w:rsidR="006009B5" w:rsidRPr="007B0775">
        <w:t xml:space="preserve"> because they are incompatible with </w:t>
      </w:r>
      <w:r w:rsidR="004335A4" w:rsidRPr="007B0775">
        <w:t xml:space="preserve">the scope of </w:t>
      </w:r>
      <w:r w:rsidR="00EB1D8B" w:rsidRPr="007B0775">
        <w:t>this provision</w:t>
      </w:r>
      <w:r w:rsidR="006009B5" w:rsidRPr="007B0775">
        <w:t xml:space="preserve">. </w:t>
      </w:r>
      <w:r w:rsidR="009C26A2" w:rsidRPr="007B0775">
        <w:t>The Committee</w:t>
      </w:r>
      <w:r w:rsidR="00F04500" w:rsidRPr="007B0775">
        <w:t xml:space="preserve"> considers</w:t>
      </w:r>
      <w:r w:rsidR="009C26A2" w:rsidRPr="007B0775">
        <w:t xml:space="preserve"> </w:t>
      </w:r>
      <w:r w:rsidR="00F04500" w:rsidRPr="007B0775">
        <w:t xml:space="preserve">that the author has not clearly articulated how his removal to Sri Lanka would violate the State’s obligations under this article. Accordingly, the Committee finds </w:t>
      </w:r>
      <w:r w:rsidR="009C26A2" w:rsidRPr="007B0775">
        <w:t xml:space="preserve">that the author failed to substantiate, for </w:t>
      </w:r>
      <w:r w:rsidR="00CA4D3A" w:rsidRPr="007B0775">
        <w:t xml:space="preserve">the </w:t>
      </w:r>
      <w:r w:rsidR="009C26A2" w:rsidRPr="007B0775">
        <w:t xml:space="preserve">purposes of admissibility, his allegations under articles </w:t>
      </w:r>
      <w:r w:rsidR="009C26A2" w:rsidRPr="007B0775">
        <w:rPr>
          <w:lang w:val="en-US"/>
        </w:rPr>
        <w:t>9 (1)</w:t>
      </w:r>
      <w:r w:rsidR="009C26A2" w:rsidRPr="007B0775">
        <w:rPr>
          <w:rFonts w:eastAsia="MS Mincho"/>
          <w:lang w:val="en-US"/>
        </w:rPr>
        <w:t xml:space="preserve"> and </w:t>
      </w:r>
      <w:r w:rsidR="009C26A2" w:rsidRPr="007B0775">
        <w:rPr>
          <w:lang w:val="en-US"/>
        </w:rPr>
        <w:t>declares this part of the communication inadmissible under article 2 of the Optional Protocol.</w:t>
      </w:r>
      <w:r w:rsidR="00280021" w:rsidRPr="007B0775">
        <w:rPr>
          <w:rStyle w:val="FootnoteReference"/>
          <w:lang w:val="en-US"/>
        </w:rPr>
        <w:footnoteReference w:id="44"/>
      </w:r>
      <w:r w:rsidR="009C26A2" w:rsidRPr="007B0775">
        <w:rPr>
          <w:lang w:val="en-US"/>
        </w:rPr>
        <w:t xml:space="preserve"> </w:t>
      </w:r>
    </w:p>
    <w:p w:rsidR="009438FB" w:rsidRPr="007B0775" w:rsidRDefault="006614FA" w:rsidP="00CA4D3A">
      <w:pPr>
        <w:pStyle w:val="SingleTxtG"/>
        <w:rPr>
          <w:iCs/>
        </w:rPr>
      </w:pPr>
      <w:r w:rsidRPr="007B0775">
        <w:rPr>
          <w:iCs/>
        </w:rPr>
        <w:t>6.6</w:t>
      </w:r>
      <w:r w:rsidRPr="007B0775">
        <w:rPr>
          <w:iCs/>
        </w:rPr>
        <w:tab/>
      </w:r>
      <w:r w:rsidR="008E1A6A" w:rsidRPr="007B0775">
        <w:rPr>
          <w:iCs/>
        </w:rPr>
        <w:t xml:space="preserve">The Committee therefore declares the communication admissible </w:t>
      </w:r>
      <w:r w:rsidR="00A10F46" w:rsidRPr="007B0775">
        <w:t>insofar as it appears to raise issues under article</w:t>
      </w:r>
      <w:r w:rsidR="008E1A6A" w:rsidRPr="007B0775">
        <w:t>s 6</w:t>
      </w:r>
      <w:r w:rsidR="00CA4D3A" w:rsidRPr="007B0775">
        <w:t> </w:t>
      </w:r>
      <w:r w:rsidR="008E1A6A" w:rsidRPr="007B0775">
        <w:t>(1) and</w:t>
      </w:r>
      <w:r w:rsidR="00A10F46" w:rsidRPr="007B0775">
        <w:t xml:space="preserve"> 7 of the Covenant and proceeds to their consideration on the merits.</w:t>
      </w:r>
    </w:p>
    <w:p w:rsidR="003A591C" w:rsidRPr="007B0775" w:rsidRDefault="0081766B" w:rsidP="0081766B">
      <w:pPr>
        <w:pStyle w:val="H4G"/>
      </w:pPr>
      <w:r w:rsidRPr="007B0775">
        <w:tab/>
      </w:r>
      <w:r w:rsidRPr="007B0775">
        <w:tab/>
      </w:r>
      <w:r w:rsidR="003A591C" w:rsidRPr="007B0775">
        <w:t>Consideration on the merits</w:t>
      </w:r>
    </w:p>
    <w:p w:rsidR="003A591C" w:rsidRPr="007B0775" w:rsidRDefault="003A591C" w:rsidP="00CA4D3A">
      <w:pPr>
        <w:pStyle w:val="SingleTxtG"/>
      </w:pPr>
      <w:r w:rsidRPr="007B0775">
        <w:t>7.1</w:t>
      </w:r>
      <w:r w:rsidRPr="007B0775">
        <w:tab/>
        <w:t xml:space="preserve">The Committee has considered the communication in the light of all the information made available to it by the parties, as provided for under article 5 </w:t>
      </w:r>
      <w:r w:rsidR="00C265D6" w:rsidRPr="007B0775">
        <w:t>(</w:t>
      </w:r>
      <w:r w:rsidRPr="007B0775">
        <w:t>1</w:t>
      </w:r>
      <w:r w:rsidR="00C265D6" w:rsidRPr="007B0775">
        <w:t>)</w:t>
      </w:r>
      <w:r w:rsidRPr="007B0775">
        <w:t xml:space="preserve"> of the Optional Protocol. </w:t>
      </w:r>
    </w:p>
    <w:p w:rsidR="00E97C4D" w:rsidRPr="007B0775" w:rsidRDefault="004B682D" w:rsidP="00B0305D">
      <w:pPr>
        <w:pStyle w:val="SingleTxtG"/>
      </w:pPr>
      <w:r w:rsidRPr="007B0775">
        <w:t>7.2</w:t>
      </w:r>
      <w:r w:rsidR="00E97C4D" w:rsidRPr="007B0775">
        <w:tab/>
        <w:t xml:space="preserve">The Committee recalls its general comment No. 31 </w:t>
      </w:r>
      <w:r w:rsidR="000B02E2" w:rsidRPr="007B0775">
        <w:t xml:space="preserve">(2004) </w:t>
      </w:r>
      <w:r w:rsidR="00822C02" w:rsidRPr="007B0775">
        <w:t xml:space="preserve">on the </w:t>
      </w:r>
      <w:r w:rsidR="000B02E2" w:rsidRPr="007B0775">
        <w:t>n</w:t>
      </w:r>
      <w:r w:rsidR="00822C02" w:rsidRPr="007B0775">
        <w:t xml:space="preserve">ature of the </w:t>
      </w:r>
      <w:r w:rsidR="000B02E2" w:rsidRPr="007B0775">
        <w:t xml:space="preserve">general legal obligation imposed </w:t>
      </w:r>
      <w:r w:rsidR="00822C02" w:rsidRPr="007B0775">
        <w:t xml:space="preserve">on States </w:t>
      </w:r>
      <w:r w:rsidR="000B02E2" w:rsidRPr="007B0775">
        <w:t xml:space="preserve">parties </w:t>
      </w:r>
      <w:r w:rsidR="00822C02" w:rsidRPr="007B0775">
        <w:t xml:space="preserve">to the Covenant, </w:t>
      </w:r>
      <w:r w:rsidR="00E97C4D" w:rsidRPr="007B0775">
        <w:t xml:space="preserve">in which it refers to the obligation of States parties not to extradite, deport, expel or otherwise remove a person from their territory when there are substantial grounds for believing that there is a real risk </w:t>
      </w:r>
      <w:r w:rsidR="00E97C4D" w:rsidRPr="007B0775">
        <w:lastRenderedPageBreak/>
        <w:t>of irreparable harm</w:t>
      </w:r>
      <w:r w:rsidR="00822C02" w:rsidRPr="007B0775">
        <w:t>,</w:t>
      </w:r>
      <w:r w:rsidR="00E97C4D" w:rsidRPr="007B0775">
        <w:t xml:space="preserve"> such as that contemplated by articles 6 and 7 of the Covenant.</w:t>
      </w:r>
      <w:r w:rsidR="00E97C4D" w:rsidRPr="007B0775">
        <w:rPr>
          <w:vertAlign w:val="superscript"/>
        </w:rPr>
        <w:footnoteReference w:id="45"/>
      </w:r>
      <w:r w:rsidR="00E97C4D" w:rsidRPr="007B0775">
        <w:t xml:space="preserve"> The Committee has also indicated that the risk must be personal</w:t>
      </w:r>
      <w:r w:rsidR="00E97C4D" w:rsidRPr="007B0775">
        <w:rPr>
          <w:vertAlign w:val="superscript"/>
        </w:rPr>
        <w:footnoteReference w:id="46"/>
      </w:r>
      <w:r w:rsidR="00E97C4D" w:rsidRPr="007B0775">
        <w:t xml:space="preserve"> and that there is a high threshold for providing substantial grounds to establish that a real risk of irreparable harm exists. Thus, all relevant facts and circumstances must be considered, including the general human rights situation in the author’s country of origin.</w:t>
      </w:r>
      <w:r w:rsidR="00E97C4D" w:rsidRPr="007B0775">
        <w:rPr>
          <w:vertAlign w:val="superscript"/>
        </w:rPr>
        <w:footnoteReference w:id="47"/>
      </w:r>
      <w:r w:rsidR="00E97C4D" w:rsidRPr="007B0775">
        <w:t xml:space="preserve"> </w:t>
      </w:r>
    </w:p>
    <w:p w:rsidR="00E97C4D" w:rsidRPr="007B0775" w:rsidRDefault="004B682D" w:rsidP="00BD6EC1">
      <w:pPr>
        <w:pStyle w:val="SingleTxtG"/>
        <w:rPr>
          <w:lang w:val="en-US"/>
        </w:rPr>
      </w:pPr>
      <w:r w:rsidRPr="007B0775">
        <w:t>7.3</w:t>
      </w:r>
      <w:r w:rsidR="004D19D8" w:rsidRPr="007B0775">
        <w:tab/>
      </w:r>
      <w:r w:rsidR="00E97C4D" w:rsidRPr="007B0775">
        <w:rPr>
          <w:lang w:val="en-US"/>
        </w:rPr>
        <w:t>The Committee recalls its jurisprudence that significant weight should be given to the assessment conducted by the State party and that it is generally for the organs of States parties to examine the facts and evidence of the case</w:t>
      </w:r>
      <w:r w:rsidR="00E97C4D" w:rsidRPr="007B0775">
        <w:rPr>
          <w:b/>
          <w:lang w:val="en-US"/>
        </w:rPr>
        <w:t xml:space="preserve"> </w:t>
      </w:r>
      <w:r w:rsidR="00E97C4D" w:rsidRPr="007B0775">
        <w:rPr>
          <w:lang w:val="en-US"/>
        </w:rPr>
        <w:t>in order to determine whether such a risk exists, unless it can be established that the assessment was arbitrary or amounted to a manifest error or denial of justice.</w:t>
      </w:r>
      <w:r w:rsidR="00E97C4D" w:rsidRPr="007B0775">
        <w:rPr>
          <w:vertAlign w:val="superscript"/>
        </w:rPr>
        <w:footnoteReference w:id="48"/>
      </w:r>
    </w:p>
    <w:p w:rsidR="00D2517D" w:rsidRPr="007B0775" w:rsidRDefault="003A591C">
      <w:pPr>
        <w:pStyle w:val="SingleTxtG"/>
      </w:pPr>
      <w:r w:rsidRPr="007B0775">
        <w:t>7.</w:t>
      </w:r>
      <w:r w:rsidR="004B682D" w:rsidRPr="007B0775">
        <w:t>4</w:t>
      </w:r>
      <w:r w:rsidR="0081766B" w:rsidRPr="007B0775">
        <w:tab/>
      </w:r>
      <w:r w:rsidR="00695C44" w:rsidRPr="007B0775">
        <w:t>The Committee notes the author’s allegation that the State party failed to take into account that the risk he would face if removed to Sri Lanka is the result of a combination of factors that cannot be considered in an isolated manner. He is a Tamil f</w:t>
      </w:r>
      <w:r w:rsidR="00DB24F5" w:rsidRPr="007B0775">
        <w:t>ro</w:t>
      </w:r>
      <w:r w:rsidR="00695C44" w:rsidRPr="007B0775">
        <w:t xml:space="preserve">m the </w:t>
      </w:r>
      <w:r w:rsidR="000D5BA5" w:rsidRPr="007B0775">
        <w:t>n</w:t>
      </w:r>
      <w:r w:rsidR="00695C44" w:rsidRPr="007B0775">
        <w:t xml:space="preserve">orth and a failed asylum seeker who used to work for a newspaper perceived as supporter of the </w:t>
      </w:r>
      <w:r w:rsidR="00BF6F98" w:rsidRPr="007B0775">
        <w:t>Liberation Tigers of Tamil Eelam</w:t>
      </w:r>
      <w:r w:rsidR="00695C44" w:rsidRPr="007B0775">
        <w:t xml:space="preserve"> and critic of the </w:t>
      </w:r>
      <w:r w:rsidR="00BF6F98" w:rsidRPr="007B0775">
        <w:t>G</w:t>
      </w:r>
      <w:r w:rsidR="00695C44" w:rsidRPr="007B0775">
        <w:t>overnment</w:t>
      </w:r>
      <w:r w:rsidR="004B682D" w:rsidRPr="007B0775">
        <w:t xml:space="preserve"> and </w:t>
      </w:r>
      <w:r w:rsidR="000D5BA5" w:rsidRPr="007B0775">
        <w:t xml:space="preserve">had been </w:t>
      </w:r>
      <w:r w:rsidR="00695C44" w:rsidRPr="007B0775">
        <w:t xml:space="preserve">victim of several violations of his rights in the past, </w:t>
      </w:r>
      <w:r w:rsidR="000D5BA5" w:rsidRPr="007B0775">
        <w:t xml:space="preserve">owing </w:t>
      </w:r>
      <w:r w:rsidR="00695C44" w:rsidRPr="007B0775">
        <w:t xml:space="preserve">to his work as a photojournalist. </w:t>
      </w:r>
      <w:r w:rsidR="0028692C" w:rsidRPr="007B0775">
        <w:t>The Committee notes that the author’</w:t>
      </w:r>
      <w:r w:rsidR="00696622" w:rsidRPr="007B0775">
        <w:t xml:space="preserve">s claims mainly rely on the </w:t>
      </w:r>
      <w:r w:rsidR="0028692C" w:rsidRPr="007B0775">
        <w:t>asses</w:t>
      </w:r>
      <w:r w:rsidR="00ED1C7D" w:rsidRPr="007B0775">
        <w:t>s</w:t>
      </w:r>
      <w:r w:rsidR="0028692C" w:rsidRPr="007B0775">
        <w:t>ment of evidence by the State authorities</w:t>
      </w:r>
      <w:r w:rsidR="00F17CB9" w:rsidRPr="007B0775">
        <w:t xml:space="preserve">, arguing that </w:t>
      </w:r>
      <w:r w:rsidR="007C0C6C" w:rsidRPr="007B0775">
        <w:t>it was not adequately taken into account.</w:t>
      </w:r>
      <w:r w:rsidR="000C5115" w:rsidRPr="007B0775">
        <w:t xml:space="preserve"> </w:t>
      </w:r>
    </w:p>
    <w:p w:rsidR="00ED1C7D" w:rsidRPr="007B0775" w:rsidRDefault="00D2517D">
      <w:pPr>
        <w:pStyle w:val="SingleTxtG"/>
        <w:rPr>
          <w:lang w:val="en-US"/>
        </w:rPr>
      </w:pPr>
      <w:r w:rsidRPr="007B0775">
        <w:t>7.5</w:t>
      </w:r>
      <w:r w:rsidR="00C207C5" w:rsidRPr="007B0775">
        <w:tab/>
      </w:r>
      <w:r w:rsidR="004C1297" w:rsidRPr="007B0775">
        <w:t xml:space="preserve">In this regard, the Committee notes that the State party does not dispute that the author is a Tamil from the </w:t>
      </w:r>
      <w:r w:rsidR="000D5BA5" w:rsidRPr="007B0775">
        <w:t>n</w:t>
      </w:r>
      <w:r w:rsidR="004C1297" w:rsidRPr="007B0775">
        <w:t>orth who would be returned to Sri Lanka with an emergency document issued upon request of the Canadian authorities.</w:t>
      </w:r>
      <w:r w:rsidR="00B64DD3" w:rsidRPr="007B0775">
        <w:t xml:space="preserve"> The Committee further notes that </w:t>
      </w:r>
      <w:r w:rsidR="00B64DD3" w:rsidRPr="007B0775">
        <w:rPr>
          <w:lang w:val="en-US"/>
        </w:rPr>
        <w:t xml:space="preserve">the State party does not dispute that journalists currently working in Sri Lanka are in danger, including those working for the </w:t>
      </w:r>
      <w:r w:rsidR="00B64DD3" w:rsidRPr="007B0775">
        <w:rPr>
          <w:i/>
          <w:iCs/>
          <w:lang w:val="en-US"/>
        </w:rPr>
        <w:t>Uthayan</w:t>
      </w:r>
      <w:r w:rsidR="00ED1C7D" w:rsidRPr="007B0775">
        <w:rPr>
          <w:lang w:val="en-US"/>
        </w:rPr>
        <w:t xml:space="preserve"> (see para. 4.7)</w:t>
      </w:r>
      <w:r w:rsidR="00B64DD3" w:rsidRPr="007B0775">
        <w:rPr>
          <w:lang w:val="en-US"/>
        </w:rPr>
        <w:t>.</w:t>
      </w:r>
      <w:r w:rsidR="00B64DD3" w:rsidRPr="007B0775">
        <w:rPr>
          <w:rStyle w:val="FootnoteReference"/>
          <w:lang w:val="en-US"/>
        </w:rPr>
        <w:footnoteReference w:id="49"/>
      </w:r>
      <w:r w:rsidR="00B64DD3" w:rsidRPr="007B0775">
        <w:rPr>
          <w:lang w:val="en-US"/>
        </w:rPr>
        <w:t xml:space="preserve"> However, the State party contends that the author did not demonstrate that he worked for the </w:t>
      </w:r>
      <w:r w:rsidR="00B64DD3" w:rsidRPr="007B0775">
        <w:rPr>
          <w:i/>
          <w:iCs/>
          <w:lang w:val="en-US"/>
        </w:rPr>
        <w:t>Uthayan</w:t>
      </w:r>
      <w:r w:rsidR="00B64DD3" w:rsidRPr="007B0775">
        <w:rPr>
          <w:lang w:val="en-US"/>
        </w:rPr>
        <w:t xml:space="preserve"> </w:t>
      </w:r>
      <w:r w:rsidR="000D5BA5" w:rsidRPr="007B0775">
        <w:rPr>
          <w:lang w:val="en-US"/>
        </w:rPr>
        <w:t xml:space="preserve">from </w:t>
      </w:r>
      <w:r w:rsidR="00B64DD3" w:rsidRPr="007B0775">
        <w:rPr>
          <w:lang w:val="en-US"/>
        </w:rPr>
        <w:t>2007</w:t>
      </w:r>
      <w:r w:rsidR="000D5BA5" w:rsidRPr="007B0775">
        <w:rPr>
          <w:lang w:val="en-US"/>
        </w:rPr>
        <w:t xml:space="preserve"> to </w:t>
      </w:r>
      <w:r w:rsidR="00B64DD3" w:rsidRPr="007B0775">
        <w:rPr>
          <w:lang w:val="en-US"/>
        </w:rPr>
        <w:t xml:space="preserve">2008 and </w:t>
      </w:r>
      <w:r w:rsidR="000D5BA5" w:rsidRPr="007B0775">
        <w:rPr>
          <w:lang w:val="en-US"/>
        </w:rPr>
        <w:t xml:space="preserve">in </w:t>
      </w:r>
      <w:r w:rsidR="00B64DD3" w:rsidRPr="007B0775">
        <w:rPr>
          <w:lang w:val="en-US"/>
        </w:rPr>
        <w:t>2011 and that</w:t>
      </w:r>
      <w:r w:rsidR="000D5BA5" w:rsidRPr="007B0775">
        <w:rPr>
          <w:lang w:val="en-US"/>
        </w:rPr>
        <w:t>,</w:t>
      </w:r>
      <w:r w:rsidR="00B64DD3" w:rsidRPr="007B0775">
        <w:rPr>
          <w:lang w:val="en-US"/>
        </w:rPr>
        <w:t xml:space="preserve"> even if the Committee accept</w:t>
      </w:r>
      <w:r w:rsidR="000D5BA5" w:rsidRPr="007B0775">
        <w:rPr>
          <w:lang w:val="en-US"/>
        </w:rPr>
        <w:t>ed</w:t>
      </w:r>
      <w:r w:rsidR="00B64DD3" w:rsidRPr="007B0775">
        <w:rPr>
          <w:lang w:val="en-US"/>
        </w:rPr>
        <w:t xml:space="preserve"> the author’s account regarding his work for the newspaper, he did not prove that </w:t>
      </w:r>
      <w:r w:rsidR="00B64DD3" w:rsidRPr="007B0775">
        <w:t>his locally</w:t>
      </w:r>
      <w:r w:rsidR="000D5BA5" w:rsidRPr="007B0775">
        <w:t xml:space="preserve"> </w:t>
      </w:r>
      <w:r w:rsidR="00B64DD3" w:rsidRPr="007B0775">
        <w:t xml:space="preserve">focused work could attract the attention of the national authorities, years after he </w:t>
      </w:r>
      <w:r w:rsidR="000D5BA5" w:rsidRPr="007B0775">
        <w:t xml:space="preserve">had </w:t>
      </w:r>
      <w:r w:rsidR="00B64DD3" w:rsidRPr="007B0775">
        <w:t xml:space="preserve">published his photographs under an alias. </w:t>
      </w:r>
      <w:r w:rsidR="00B64DD3" w:rsidRPr="007B0775">
        <w:rPr>
          <w:lang w:val="en-US"/>
        </w:rPr>
        <w:t xml:space="preserve">The Committee notes that the Canadian domestic authorities did not accept as reliable evidence several documents submitted by the author to the </w:t>
      </w:r>
      <w:r w:rsidR="00DC1E12" w:rsidRPr="007B0775">
        <w:rPr>
          <w:lang w:val="en-US"/>
        </w:rPr>
        <w:t>Immigration Refugee Board</w:t>
      </w:r>
      <w:r w:rsidR="00B64DD3" w:rsidRPr="007B0775">
        <w:rPr>
          <w:lang w:val="en-US"/>
        </w:rPr>
        <w:t>,</w:t>
      </w:r>
      <w:r w:rsidR="00B64DD3" w:rsidRPr="007B0775">
        <w:rPr>
          <w:vertAlign w:val="superscript"/>
          <w:lang w:val="en-US"/>
        </w:rPr>
        <w:footnoteReference w:id="50"/>
      </w:r>
      <w:r w:rsidR="00B64DD3" w:rsidRPr="007B0775">
        <w:rPr>
          <w:lang w:val="en-US"/>
        </w:rPr>
        <w:t xml:space="preserve"> </w:t>
      </w:r>
      <w:r w:rsidR="000D5BA5" w:rsidRPr="007B0775">
        <w:rPr>
          <w:lang w:val="en-US"/>
        </w:rPr>
        <w:t xml:space="preserve">and </w:t>
      </w:r>
      <w:r w:rsidR="00B64DD3" w:rsidRPr="007B0775">
        <w:rPr>
          <w:lang w:val="en-US"/>
        </w:rPr>
        <w:t xml:space="preserve">evidence submitted to the </w:t>
      </w:r>
      <w:r w:rsidR="00F46213" w:rsidRPr="007B0775">
        <w:t>pre-removal risk assessment</w:t>
      </w:r>
      <w:r w:rsidR="00B64DD3" w:rsidRPr="007B0775">
        <w:rPr>
          <w:lang w:val="en-US"/>
        </w:rPr>
        <w:t xml:space="preserve"> officer,</w:t>
      </w:r>
      <w:r w:rsidR="00B64DD3" w:rsidRPr="007B0775">
        <w:rPr>
          <w:rStyle w:val="FootnoteReference"/>
          <w:lang w:val="en-US"/>
        </w:rPr>
        <w:footnoteReference w:id="51"/>
      </w:r>
      <w:r w:rsidR="00B64DD3" w:rsidRPr="007B0775">
        <w:rPr>
          <w:lang w:val="en-US"/>
        </w:rPr>
        <w:t xml:space="preserve"> aimed at establishing </w:t>
      </w:r>
      <w:r w:rsidR="00B64DD3" w:rsidRPr="007B0775">
        <w:rPr>
          <w:lang w:val="en-US"/>
        </w:rPr>
        <w:lastRenderedPageBreak/>
        <w:t xml:space="preserve">that the author </w:t>
      </w:r>
      <w:r w:rsidR="000D5BA5" w:rsidRPr="007B0775">
        <w:rPr>
          <w:lang w:val="en-US"/>
        </w:rPr>
        <w:t xml:space="preserve">had </w:t>
      </w:r>
      <w:r w:rsidR="00B64DD3" w:rsidRPr="007B0775">
        <w:rPr>
          <w:lang w:val="en-US"/>
        </w:rPr>
        <w:t xml:space="preserve">worked for </w:t>
      </w:r>
      <w:r w:rsidR="00306BE6" w:rsidRPr="007B0775">
        <w:rPr>
          <w:lang w:val="en-US"/>
        </w:rPr>
        <w:t xml:space="preserve">the </w:t>
      </w:r>
      <w:r w:rsidR="00B64DD3" w:rsidRPr="007B0775">
        <w:rPr>
          <w:i/>
          <w:iCs/>
          <w:lang w:val="en-US"/>
        </w:rPr>
        <w:t>Uthayan</w:t>
      </w:r>
      <w:r w:rsidR="00B64DD3" w:rsidRPr="007B0775">
        <w:rPr>
          <w:lang w:val="en-US"/>
        </w:rPr>
        <w:t xml:space="preserve"> for several years</w:t>
      </w:r>
      <w:r w:rsidR="000D5BA5" w:rsidRPr="007B0775">
        <w:rPr>
          <w:lang w:val="en-US"/>
        </w:rPr>
        <w:t>,</w:t>
      </w:r>
      <w:r w:rsidR="00B64DD3" w:rsidRPr="007B0775">
        <w:rPr>
          <w:lang w:val="en-US"/>
        </w:rPr>
        <w:t xml:space="preserve"> during which </w:t>
      </w:r>
      <w:r w:rsidR="000D5BA5" w:rsidRPr="007B0775">
        <w:rPr>
          <w:lang w:val="en-US"/>
        </w:rPr>
        <w:t xml:space="preserve">time </w:t>
      </w:r>
      <w:r w:rsidR="00B64DD3" w:rsidRPr="007B0775">
        <w:rPr>
          <w:lang w:val="en-US"/>
        </w:rPr>
        <w:t xml:space="preserve">he </w:t>
      </w:r>
      <w:r w:rsidR="000D5BA5" w:rsidRPr="007B0775">
        <w:rPr>
          <w:lang w:val="en-US"/>
        </w:rPr>
        <w:t xml:space="preserve">had been </w:t>
      </w:r>
      <w:r w:rsidR="00B64DD3" w:rsidRPr="007B0775">
        <w:rPr>
          <w:lang w:val="en-US"/>
        </w:rPr>
        <w:t>repeatedly attacked because of his work.</w:t>
      </w:r>
    </w:p>
    <w:p w:rsidR="00ED1C7D" w:rsidRPr="007B0775" w:rsidRDefault="00ED1C7D">
      <w:pPr>
        <w:pStyle w:val="SingleTxtG"/>
      </w:pPr>
      <w:r w:rsidRPr="007B0775">
        <w:t>7.6</w:t>
      </w:r>
      <w:r w:rsidR="00C207C5" w:rsidRPr="007B0775">
        <w:tab/>
      </w:r>
      <w:r w:rsidRPr="007B0775">
        <w:t xml:space="preserve">The Committee takes note that the State party’s authorities, after examining the evidence provided for by the author </w:t>
      </w:r>
      <w:r w:rsidR="000D5BA5" w:rsidRPr="007B0775">
        <w:t xml:space="preserve">and </w:t>
      </w:r>
      <w:r w:rsidRPr="007B0775">
        <w:t>reports</w:t>
      </w:r>
      <w:r w:rsidR="0054103D" w:rsidRPr="007B0775">
        <w:t xml:space="preserve"> by States and </w:t>
      </w:r>
      <w:r w:rsidR="000D5BA5" w:rsidRPr="007B0775">
        <w:t xml:space="preserve">non-governmental organizations </w:t>
      </w:r>
      <w:r w:rsidRPr="007B0775">
        <w:t xml:space="preserve">providing information on the situation of Tamils in Sri Lanka at the time of the examination of his request, refused his application since they considered that that the author </w:t>
      </w:r>
      <w:r w:rsidR="000D5BA5" w:rsidRPr="007B0775">
        <w:t xml:space="preserve">had </w:t>
      </w:r>
      <w:r w:rsidRPr="007B0775">
        <w:rPr>
          <w:iCs/>
        </w:rPr>
        <w:t>failed to substantiate the real risk he would be exposed to</w:t>
      </w:r>
      <w:r w:rsidRPr="007B0775">
        <w:t xml:space="preserve"> if removed to Sri Lanka, because he failed to provide reliable evidence to corroborate his account and because </w:t>
      </w:r>
      <w:r w:rsidRPr="007B0775">
        <w:rPr>
          <w:iCs/>
        </w:rPr>
        <w:t xml:space="preserve">being a Tamil from the </w:t>
      </w:r>
      <w:r w:rsidR="000D5BA5" w:rsidRPr="007B0775">
        <w:rPr>
          <w:iCs/>
        </w:rPr>
        <w:t>n</w:t>
      </w:r>
      <w:r w:rsidRPr="007B0775">
        <w:rPr>
          <w:iCs/>
        </w:rPr>
        <w:t>orth and a failed asylum seeker would not, by itself, expose him to a real and personal risk.</w:t>
      </w:r>
      <w:r w:rsidR="00EE3A21" w:rsidRPr="007B0775">
        <w:rPr>
          <w:iCs/>
        </w:rPr>
        <w:t xml:space="preserve"> </w:t>
      </w:r>
      <w:r w:rsidR="00D42254" w:rsidRPr="007B0775">
        <w:rPr>
          <w:iCs/>
        </w:rPr>
        <w:t>T</w:t>
      </w:r>
      <w:r w:rsidR="00D42254" w:rsidRPr="007B0775">
        <w:t>he Committee considers that the author has not identified any irregularity in the decision-making process or any risk factor that the State party authorities failed to properly take into account. The Committee considers that</w:t>
      </w:r>
      <w:r w:rsidR="000D5BA5" w:rsidRPr="007B0775">
        <w:t>,</w:t>
      </w:r>
      <w:r w:rsidR="00D42254" w:rsidRPr="007B0775">
        <w:t xml:space="preserve"> while the author disagrees with the factual conclusions of the State party’s authorities, he has failed to show that they were arbitrary or manifestly erroneous or amounted to a denial of justice. In </w:t>
      </w:r>
      <w:r w:rsidR="000D5BA5" w:rsidRPr="007B0775">
        <w:t xml:space="preserve">the </w:t>
      </w:r>
      <w:r w:rsidR="00D42254" w:rsidRPr="007B0775">
        <w:t>light of the above, the Committee cannot conclude that the information before it shows that the author would face a personal and real risk of treatment contrary to articles 6 (1) or 7 of the Covenant if he were returned to Sri Lanka.</w:t>
      </w:r>
    </w:p>
    <w:p w:rsidR="003521FD" w:rsidRPr="007B0775" w:rsidRDefault="00DF14D6" w:rsidP="00200FDE">
      <w:pPr>
        <w:pStyle w:val="SingleTxtG"/>
        <w:keepNext/>
        <w:keepLines/>
      </w:pPr>
      <w:r w:rsidRPr="007B0775">
        <w:t>8.</w:t>
      </w:r>
      <w:r w:rsidR="00C207C5" w:rsidRPr="007B0775">
        <w:tab/>
      </w:r>
      <w:r w:rsidR="00376D95" w:rsidRPr="007B0775">
        <w:t>T</w:t>
      </w:r>
      <w:r w:rsidR="00EE3A21" w:rsidRPr="007B0775">
        <w:t>he Committee, acting under article 5 (4) of the Optional Protocol, is of the view that the author’s removal to Sri Lanka would not violate his rights under articles 6</w:t>
      </w:r>
      <w:r w:rsidR="00103EC2" w:rsidRPr="007B0775">
        <w:t xml:space="preserve"> </w:t>
      </w:r>
      <w:r w:rsidR="00EE3A21" w:rsidRPr="007B0775">
        <w:t>(1) and 7 of the Covenant</w:t>
      </w:r>
      <w:r w:rsidR="00103EC2" w:rsidRPr="007B0775">
        <w:t>.</w:t>
      </w:r>
    </w:p>
    <w:p w:rsidR="00205849" w:rsidRPr="007B0775" w:rsidRDefault="00205849" w:rsidP="008168BE">
      <w:pPr>
        <w:pStyle w:val="SingleTxtG"/>
        <w:keepNext/>
        <w:keepLines/>
        <w:sectPr w:rsidR="00205849" w:rsidRPr="007B0775" w:rsidSect="00BE342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205849" w:rsidRPr="007B0775" w:rsidRDefault="00205849" w:rsidP="00205849">
      <w:pPr>
        <w:keepNext/>
        <w:keepLines/>
        <w:tabs>
          <w:tab w:val="right" w:pos="851"/>
        </w:tabs>
        <w:spacing w:before="360" w:after="240" w:line="300" w:lineRule="exact"/>
        <w:ind w:left="1134" w:right="1134" w:hanging="1134"/>
        <w:rPr>
          <w:b/>
          <w:sz w:val="28"/>
        </w:rPr>
      </w:pPr>
      <w:r w:rsidRPr="007B0775">
        <w:rPr>
          <w:b/>
          <w:sz w:val="28"/>
        </w:rPr>
        <w:lastRenderedPageBreak/>
        <w:t>Appendix</w:t>
      </w:r>
    </w:p>
    <w:p w:rsidR="00205849" w:rsidRPr="007B0775" w:rsidRDefault="00205849" w:rsidP="00205849">
      <w:pPr>
        <w:pStyle w:val="H1G"/>
        <w:rPr>
          <w:lang w:eastAsia="en-GB"/>
        </w:rPr>
      </w:pPr>
      <w:r w:rsidRPr="007B0775">
        <w:rPr>
          <w:lang w:eastAsia="en-GB"/>
        </w:rPr>
        <w:tab/>
      </w:r>
      <w:r w:rsidRPr="007B0775">
        <w:rPr>
          <w:lang w:eastAsia="en-GB"/>
        </w:rPr>
        <w:tab/>
        <w:t>Individual opinion of Committee member</w:t>
      </w:r>
      <w:r w:rsidRPr="007B0775">
        <w:rPr>
          <w:szCs w:val="24"/>
          <w:lang w:eastAsia="de-DE"/>
        </w:rPr>
        <w:t xml:space="preserve"> </w:t>
      </w:r>
      <w:r w:rsidRPr="007B0775">
        <w:t>Dheerujlall Seetulsingh (dissenting)</w:t>
      </w:r>
    </w:p>
    <w:p w:rsidR="00205849" w:rsidRPr="007B0775" w:rsidRDefault="00205849" w:rsidP="00BE3429">
      <w:pPr>
        <w:pStyle w:val="SingleTxtG"/>
        <w:rPr>
          <w:iCs/>
        </w:rPr>
      </w:pPr>
      <w:r w:rsidRPr="007B0775">
        <w:t>1.</w:t>
      </w:r>
      <w:r w:rsidRPr="007B0775">
        <w:tab/>
        <w:t xml:space="preserve">The State </w:t>
      </w:r>
      <w:r w:rsidR="00BF6F98" w:rsidRPr="007B0775">
        <w:t>p</w:t>
      </w:r>
      <w:r w:rsidRPr="007B0775">
        <w:t xml:space="preserve">arty asserts most forcefully </w:t>
      </w:r>
      <w:r w:rsidR="00C6746B" w:rsidRPr="007B0775">
        <w:t xml:space="preserve">in </w:t>
      </w:r>
      <w:r w:rsidRPr="007B0775">
        <w:t xml:space="preserve">paragraph 4.2, as set out in the Views of the majority, that the author has not exhausted local remedies and that he still has the opportunity of obtaining an effective remedy under </w:t>
      </w:r>
      <w:r w:rsidR="00C6746B" w:rsidRPr="007B0775">
        <w:t>h</w:t>
      </w:r>
      <w:r w:rsidRPr="007B0775">
        <w:t xml:space="preserve">umanitarian and </w:t>
      </w:r>
      <w:r w:rsidR="00C6746B" w:rsidRPr="007B0775">
        <w:t>c</w:t>
      </w:r>
      <w:r w:rsidRPr="007B0775">
        <w:t xml:space="preserve">ompassionate grounds. The State </w:t>
      </w:r>
      <w:r w:rsidR="00BF6F98" w:rsidRPr="007B0775">
        <w:t>p</w:t>
      </w:r>
      <w:r w:rsidRPr="007B0775">
        <w:t xml:space="preserve">arty enlarges the scope of remedies regarding applications for refugee status by calling the </w:t>
      </w:r>
      <w:r w:rsidR="00C6746B" w:rsidRPr="007B0775">
        <w:t xml:space="preserve">humanitarian and compassionate application </w:t>
      </w:r>
      <w:r w:rsidRPr="007B0775">
        <w:rPr>
          <w:iCs/>
        </w:rPr>
        <w:t xml:space="preserve">“an effective remedy that offers a reasonable prospect of redress </w:t>
      </w:r>
      <w:r w:rsidR="00A06D91" w:rsidRPr="007B0775">
        <w:rPr>
          <w:iCs/>
        </w:rPr>
        <w:t>…</w:t>
      </w:r>
      <w:r w:rsidRPr="007B0775">
        <w:rPr>
          <w:iCs/>
        </w:rPr>
        <w:t xml:space="preserve"> in cases where an applicant would suffer an unusual and undeserved hardship”.</w:t>
      </w:r>
    </w:p>
    <w:p w:rsidR="00205849" w:rsidRPr="007B0775" w:rsidRDefault="00205849" w:rsidP="00BE3429">
      <w:pPr>
        <w:pStyle w:val="SingleTxtG"/>
        <w:rPr>
          <w:i/>
        </w:rPr>
      </w:pPr>
      <w:r w:rsidRPr="007B0775">
        <w:t>2.</w:t>
      </w:r>
      <w:r w:rsidRPr="007B0775">
        <w:tab/>
        <w:t xml:space="preserve">The State </w:t>
      </w:r>
      <w:r w:rsidR="00BF6F98" w:rsidRPr="007B0775">
        <w:t>p</w:t>
      </w:r>
      <w:r w:rsidRPr="007B0775">
        <w:t xml:space="preserve">arty goes as far as to regret that the Human Rights Committee has in the past adopted Views that </w:t>
      </w:r>
      <w:r w:rsidR="00C6746B" w:rsidRPr="007B0775">
        <w:t>humanitarian and compassionate</w:t>
      </w:r>
      <w:r w:rsidRPr="007B0775">
        <w:rPr>
          <w:iCs/>
        </w:rPr>
        <w:t xml:space="preserve"> applications </w:t>
      </w:r>
      <w:r w:rsidR="00C6746B" w:rsidRPr="007B0775">
        <w:rPr>
          <w:iCs/>
        </w:rPr>
        <w:t>“</w:t>
      </w:r>
      <w:r w:rsidRPr="007B0775">
        <w:rPr>
          <w:iCs/>
        </w:rPr>
        <w:t xml:space="preserve">are not remedies that should be exhausted for admissibility purposes”. The stand taken by the majority of the Committee at para. 6.3 in its Views is that the </w:t>
      </w:r>
      <w:r w:rsidR="00C6746B" w:rsidRPr="007B0775">
        <w:t xml:space="preserve">humanitarian and compassionate application </w:t>
      </w:r>
      <w:r w:rsidR="00C6746B" w:rsidRPr="007B0775">
        <w:rPr>
          <w:iCs/>
        </w:rPr>
        <w:t>“</w:t>
      </w:r>
      <w:r w:rsidRPr="007B0775">
        <w:rPr>
          <w:iCs/>
        </w:rPr>
        <w:t>does not shield the author from deportation to Sri Lanka and therefore cannot be described as offering him an effective remedy”</w:t>
      </w:r>
      <w:r w:rsidR="00C6746B" w:rsidRPr="007B0775">
        <w:rPr>
          <w:iCs/>
        </w:rPr>
        <w:t>.</w:t>
      </w:r>
    </w:p>
    <w:p w:rsidR="00205849" w:rsidRPr="007B0775" w:rsidRDefault="00205849" w:rsidP="00BE3429">
      <w:pPr>
        <w:pStyle w:val="SingleTxtG"/>
      </w:pPr>
      <w:r w:rsidRPr="007B0775">
        <w:t>3.</w:t>
      </w:r>
      <w:r w:rsidRPr="007B0775">
        <w:tab/>
        <w:t>In this particular case</w:t>
      </w:r>
      <w:r w:rsidR="00A06D91" w:rsidRPr="007B0775">
        <w:t>,</w:t>
      </w:r>
      <w:r w:rsidRPr="007B0775">
        <w:t xml:space="preserve"> where the majority finds a non-violation, the stand taken by the majority weakens the chances of the author in a prospective </w:t>
      </w:r>
      <w:r w:rsidR="00C6746B" w:rsidRPr="007B0775">
        <w:t xml:space="preserve">humanitarian and compassionate </w:t>
      </w:r>
      <w:r w:rsidRPr="007B0775">
        <w:t xml:space="preserve">application. It is true that the author himself, because of the previous Views of the Committee, claims that he has exhausted local remedies so as to render his communication admissible under the Optional Protocol. However, in the general context of Canadian law and the rules of procedure in relation to applications for permanent residence and in the particular circumstances of </w:t>
      </w:r>
      <w:r w:rsidR="00A06D91" w:rsidRPr="007B0775">
        <w:t xml:space="preserve">the present </w:t>
      </w:r>
      <w:r w:rsidRPr="007B0775">
        <w:t>case</w:t>
      </w:r>
      <w:r w:rsidR="00A06D91" w:rsidRPr="007B0775">
        <w:t>,</w:t>
      </w:r>
      <w:r w:rsidRPr="007B0775">
        <w:t xml:space="preserve"> where the State </w:t>
      </w:r>
      <w:r w:rsidR="00BF6F98" w:rsidRPr="007B0775">
        <w:t>p</w:t>
      </w:r>
      <w:r w:rsidRPr="007B0775">
        <w:t xml:space="preserve">arty is taking a very open, generous and liberal stand, the author’s Communication should have been considered inadmissible, thereby enabling the author to make a </w:t>
      </w:r>
      <w:r w:rsidR="00C6746B" w:rsidRPr="007B0775">
        <w:t xml:space="preserve">humanitarian and compassionate </w:t>
      </w:r>
      <w:r w:rsidRPr="007B0775">
        <w:t>application.</w:t>
      </w:r>
    </w:p>
    <w:p w:rsidR="00205849" w:rsidRPr="007B0775" w:rsidRDefault="00205849" w:rsidP="00BE3429">
      <w:pPr>
        <w:pStyle w:val="SingleTxtG"/>
      </w:pPr>
      <w:r w:rsidRPr="007B0775">
        <w:t>4.</w:t>
      </w:r>
      <w:r w:rsidRPr="007B0775">
        <w:tab/>
        <w:t xml:space="preserve">Our Committee is a Human Rights Committee and not a Court of Appeal or a quasi-judicial body. It need not in all circumstances always be bound by previous Views. It has the discretion and the flexibility to vary its findings, basing itself on the specific circumstances of each case and a constantly changing situation, </w:t>
      </w:r>
      <w:r w:rsidR="009412B9" w:rsidRPr="007B0775">
        <w:t>e</w:t>
      </w:r>
      <w:r w:rsidRPr="007B0775">
        <w:t>specially as regards applications for refugee status, while reinforcing the rights to protection enshrined in the Covenant and adhering strictly to the principles applicable under the Optional Protocol as to exhaustion of local remedies. At paragraph 4.2</w:t>
      </w:r>
      <w:r w:rsidR="00A06D91" w:rsidRPr="007B0775">
        <w:t>,</w:t>
      </w:r>
      <w:r w:rsidRPr="007B0775">
        <w:t xml:space="preserve"> the State </w:t>
      </w:r>
      <w:r w:rsidR="00BF6F98" w:rsidRPr="007B0775">
        <w:t>p</w:t>
      </w:r>
      <w:r w:rsidRPr="007B0775">
        <w:t xml:space="preserve">arty takes the stand that it would not object to an application by the author for a judicial stay of removal pending the outcome of the assessment of </w:t>
      </w:r>
      <w:r w:rsidR="00A06D91" w:rsidRPr="007B0775">
        <w:t xml:space="preserve">a humanitarian and compassionate </w:t>
      </w:r>
      <w:r w:rsidRPr="007B0775">
        <w:t xml:space="preserve">application, if any. The State </w:t>
      </w:r>
      <w:r w:rsidR="00BF6F98" w:rsidRPr="007B0775">
        <w:t>p</w:t>
      </w:r>
      <w:r w:rsidRPr="007B0775">
        <w:t>arty even mentions the grounds the author may rely upon, that is, a demonstration of his family ties in Canada and the hardship he may suffer in Sri Lanka.</w:t>
      </w:r>
    </w:p>
    <w:p w:rsidR="00205849" w:rsidRDefault="00205849" w:rsidP="00BE3429">
      <w:pPr>
        <w:pStyle w:val="SingleTxtG"/>
      </w:pPr>
      <w:r w:rsidRPr="007B0775">
        <w:t>5.</w:t>
      </w:r>
      <w:r w:rsidRPr="007B0775">
        <w:tab/>
        <w:t xml:space="preserve">I am of the view that the State </w:t>
      </w:r>
      <w:r w:rsidR="00BF6F98" w:rsidRPr="007B0775">
        <w:t>p</w:t>
      </w:r>
      <w:r w:rsidRPr="007B0775">
        <w:t xml:space="preserve">arty, having demonstrated clearly its willingness to do so, should allow the author to make a </w:t>
      </w:r>
      <w:r w:rsidR="00C6746B" w:rsidRPr="007B0775">
        <w:t xml:space="preserve">humanitarian and compassionate </w:t>
      </w:r>
      <w:r w:rsidRPr="007B0775">
        <w:t>application if he wishes to proceed with such an application.</w:t>
      </w:r>
    </w:p>
    <w:p w:rsidR="00DF14D6" w:rsidRPr="00DF14D6" w:rsidRDefault="00DF14D6" w:rsidP="00DF14D6">
      <w:pPr>
        <w:pStyle w:val="SingleTxtG"/>
        <w:spacing w:before="240" w:after="0"/>
        <w:jc w:val="center"/>
        <w:rPr>
          <w:u w:val="single"/>
        </w:rPr>
      </w:pPr>
      <w:r>
        <w:rPr>
          <w:u w:val="single"/>
        </w:rPr>
        <w:tab/>
      </w:r>
      <w:r>
        <w:rPr>
          <w:u w:val="single"/>
        </w:rPr>
        <w:tab/>
      </w:r>
      <w:r>
        <w:rPr>
          <w:u w:val="single"/>
        </w:rPr>
        <w:tab/>
      </w:r>
    </w:p>
    <w:sectPr w:rsidR="00DF14D6" w:rsidRPr="00DF14D6" w:rsidSect="00BE3429">
      <w:endnotePr>
        <w:numFmt w:val="decimal"/>
      </w:endnotePr>
      <w:pgSz w:w="11907" w:h="16840" w:code="9"/>
      <w:pgMar w:top="1701" w:right="1134" w:bottom="2268" w:left="1134" w:header="1134" w:footer="141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34" w:rsidRDefault="00CF4A34"/>
  </w:endnote>
  <w:endnote w:type="continuationSeparator" w:id="0">
    <w:p w:rsidR="00CF4A34" w:rsidRDefault="00CF4A34"/>
  </w:endnote>
  <w:endnote w:type="continuationNotice" w:id="1">
    <w:p w:rsidR="00CF4A34" w:rsidRDefault="00CF4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29" w:rsidRPr="00A36331" w:rsidRDefault="00BE3429" w:rsidP="003521FD">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951B04">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29" w:rsidRPr="00A36331" w:rsidRDefault="00BE3429" w:rsidP="003521FD">
    <w:pPr>
      <w:pStyle w:val="Footer"/>
      <w:tabs>
        <w:tab w:val="right" w:pos="9638"/>
      </w:tabs>
      <w:rPr>
        <w:sz w:val="18"/>
      </w:rPr>
    </w:pPr>
    <w:r>
      <w:rPr>
        <w:b/>
        <w:sz w:val="18"/>
      </w:rPr>
      <w:tab/>
    </w:r>
    <w:r w:rsidRPr="00A36331">
      <w:rPr>
        <w:sz w:val="18"/>
      </w:rPr>
      <w:fldChar w:fldCharType="begin"/>
    </w:r>
    <w:r w:rsidRPr="00A36331">
      <w:rPr>
        <w:sz w:val="18"/>
      </w:rPr>
      <w:instrText xml:space="preserve"> </w:instrText>
    </w:r>
    <w:r>
      <w:rPr>
        <w:sz w:val="18"/>
      </w:rPr>
      <w:instrText>PAGE</w:instrText>
    </w:r>
    <w:r w:rsidRPr="00A36331">
      <w:rPr>
        <w:sz w:val="18"/>
      </w:rPr>
      <w:instrText xml:space="preserve">  \* MERGEFORMAT </w:instrText>
    </w:r>
    <w:r w:rsidRPr="00A36331">
      <w:rPr>
        <w:sz w:val="18"/>
      </w:rPr>
      <w:fldChar w:fldCharType="separate"/>
    </w:r>
    <w:r w:rsidR="00951B04">
      <w:rPr>
        <w:noProof/>
        <w:sz w:val="18"/>
      </w:rPr>
      <w:t>3</w:t>
    </w:r>
    <w:r w:rsidRPr="00A36331">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72" w:rsidRDefault="00CB2572" w:rsidP="00CB2572">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7EE85E30" wp14:editId="33724A61">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CB2572" w:rsidRDefault="00CB2572" w:rsidP="00CB2572">
    <w:pPr>
      <w:pStyle w:val="Footer"/>
      <w:ind w:right="1134"/>
      <w:rPr>
        <w:sz w:val="20"/>
      </w:rPr>
    </w:pPr>
    <w:r>
      <w:rPr>
        <w:sz w:val="20"/>
      </w:rPr>
      <w:t>GE.16-08087(E)</w:t>
    </w:r>
  </w:p>
  <w:p w:rsidR="00CB2572" w:rsidRPr="00CB2572" w:rsidRDefault="00CB2572" w:rsidP="00CB257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55037B8" wp14:editId="31766284">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6/D/2314/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314/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34" w:rsidRPr="000B175B" w:rsidRDefault="00CF4A34" w:rsidP="003521FD">
      <w:pPr>
        <w:tabs>
          <w:tab w:val="right" w:pos="2155"/>
        </w:tabs>
        <w:spacing w:after="80"/>
        <w:ind w:left="680"/>
        <w:rPr>
          <w:u w:val="single"/>
        </w:rPr>
      </w:pPr>
      <w:r>
        <w:rPr>
          <w:u w:val="single"/>
        </w:rPr>
        <w:tab/>
      </w:r>
    </w:p>
  </w:footnote>
  <w:footnote w:type="continuationSeparator" w:id="0">
    <w:p w:rsidR="00CF4A34" w:rsidRPr="00FC68B7" w:rsidRDefault="00CF4A34" w:rsidP="003521FD">
      <w:pPr>
        <w:tabs>
          <w:tab w:val="left" w:pos="2155"/>
        </w:tabs>
        <w:spacing w:after="80"/>
        <w:ind w:left="680"/>
        <w:rPr>
          <w:u w:val="single"/>
        </w:rPr>
      </w:pPr>
      <w:r>
        <w:rPr>
          <w:u w:val="single"/>
        </w:rPr>
        <w:tab/>
      </w:r>
    </w:p>
  </w:footnote>
  <w:footnote w:type="continuationNotice" w:id="1">
    <w:p w:rsidR="00CF4A34" w:rsidRDefault="00CF4A34"/>
  </w:footnote>
  <w:footnote w:id="2">
    <w:p w:rsidR="00BE3429" w:rsidRPr="007B0775" w:rsidRDefault="00BE3429" w:rsidP="00615431">
      <w:pPr>
        <w:pStyle w:val="FootnoteText"/>
        <w:rPr>
          <w:lang w:val="en-GB"/>
        </w:rPr>
      </w:pPr>
      <w:r w:rsidRPr="00BE3429">
        <w:rPr>
          <w:rStyle w:val="FootnoteReference"/>
          <w:sz w:val="20"/>
          <w:vertAlign w:val="baseline"/>
          <w:lang w:val="en-GB"/>
        </w:rPr>
        <w:tab/>
      </w:r>
      <w:r w:rsidRPr="007B0775">
        <w:rPr>
          <w:rStyle w:val="FootnoteReference"/>
          <w:sz w:val="20"/>
          <w:vertAlign w:val="baseline"/>
          <w:lang w:val="en-GB"/>
        </w:rPr>
        <w:t>*</w:t>
      </w:r>
      <w:r w:rsidRPr="007B0775">
        <w:rPr>
          <w:rStyle w:val="FootnoteReference"/>
          <w:sz w:val="20"/>
          <w:vertAlign w:val="baseline"/>
          <w:lang w:val="en-GB"/>
        </w:rPr>
        <w:tab/>
      </w:r>
      <w:r w:rsidRPr="007B0775">
        <w:rPr>
          <w:lang w:val="en-GB"/>
        </w:rPr>
        <w:t>Adopted by the Committee at its 116th session (7-31 March 2016).</w:t>
      </w:r>
    </w:p>
  </w:footnote>
  <w:footnote w:id="3">
    <w:p w:rsidR="00BE3429" w:rsidRPr="007B0775" w:rsidRDefault="00BE3429" w:rsidP="00200FDE">
      <w:pPr>
        <w:pStyle w:val="FootnoteText"/>
        <w:rPr>
          <w:lang w:val="en-GB"/>
        </w:rPr>
      </w:pPr>
      <w:r w:rsidRPr="007B0775">
        <w:rPr>
          <w:rStyle w:val="FootnoteReference"/>
          <w:sz w:val="20"/>
          <w:vertAlign w:val="baseline"/>
          <w:lang w:val="en-GB"/>
        </w:rPr>
        <w:tab/>
        <w:t>**</w:t>
      </w:r>
      <w:r w:rsidRPr="007B0775">
        <w:rPr>
          <w:lang w:val="en-GB"/>
        </w:rPr>
        <w:tab/>
        <w:t xml:space="preserve">The following members of the Committee participated in the examination of the communication: </w:t>
      </w:r>
      <w:r w:rsidRPr="007B0775">
        <w:rPr>
          <w:szCs w:val="18"/>
          <w:lang w:val="en-GB"/>
        </w:rPr>
        <w:t>Yadh Ben Achour, Lazhari Bouzid, Sarah Cleveland, Olivier de Frouville, Yuji Iwasawa, Ivana Jeli</w:t>
      </w:r>
      <w:r w:rsidRPr="007B0775">
        <w:rPr>
          <w:lang w:val="en-GB"/>
        </w:rPr>
        <w:t>ć</w:t>
      </w:r>
      <w:r w:rsidRPr="007B0775">
        <w:rPr>
          <w:szCs w:val="18"/>
          <w:lang w:val="en-GB"/>
        </w:rPr>
        <w:t xml:space="preserve">, Duncan Muhumuza Laki, Photini Pazartzis, Mauro Politi, </w:t>
      </w:r>
      <w:r w:rsidRPr="007B0775">
        <w:rPr>
          <w:bCs/>
          <w:szCs w:val="18"/>
          <w:lang w:val="en-GB"/>
        </w:rPr>
        <w:t>Sir</w:t>
      </w:r>
      <w:r w:rsidRPr="007B0775">
        <w:rPr>
          <w:szCs w:val="18"/>
          <w:lang w:val="en-GB"/>
        </w:rPr>
        <w:t xml:space="preserve"> Nigel Rodley, Victor Manuel Rodríguez-Rescia, Fabián Omar Salvioli, Dheerujlall Seetulsingh, Anja Seibert-Fohr, Yuval Shany, Konstantine Vardzelashvili and Margo Waterval</w:t>
      </w:r>
      <w:r w:rsidRPr="007B0775">
        <w:rPr>
          <w:lang w:val="en-GB"/>
        </w:rPr>
        <w:t>.</w:t>
      </w:r>
    </w:p>
    <w:p w:rsidR="00BE3429" w:rsidRPr="007B0775" w:rsidRDefault="00BE3429" w:rsidP="00615431">
      <w:pPr>
        <w:pStyle w:val="FootnoteText"/>
        <w:rPr>
          <w:lang w:val="en-GB"/>
        </w:rPr>
      </w:pPr>
      <w:r w:rsidRPr="007B0775">
        <w:rPr>
          <w:lang w:val="en-GB"/>
        </w:rPr>
        <w:tab/>
      </w:r>
      <w:r w:rsidRPr="007B0775">
        <w:rPr>
          <w:lang w:val="en-GB"/>
        </w:rPr>
        <w:tab/>
        <w:t>Individual opinion by Committee member Dheerujlall Seetulsingh (dissenting) is appended to the present Views.</w:t>
      </w:r>
    </w:p>
  </w:footnote>
  <w:footnote w:id="4">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date when the author ended his work with </w:t>
      </w:r>
      <w:r w:rsidRPr="007B0775">
        <w:rPr>
          <w:i/>
          <w:lang w:val="en-GB"/>
        </w:rPr>
        <w:t>Uthayan</w:t>
      </w:r>
      <w:r w:rsidRPr="007B0775">
        <w:rPr>
          <w:lang w:val="en-GB"/>
        </w:rPr>
        <w:t xml:space="preserve"> newspaper is not specified. However, he provides a copy of a one-year press identity card under his name issued on 1 January 2011 by the “New Uthayan Publication”. </w:t>
      </w:r>
    </w:p>
  </w:footnote>
  <w:footnote w:id="5">
    <w:p w:rsidR="00BE3429" w:rsidRPr="007B0775" w:rsidRDefault="00BE3429" w:rsidP="00200FDE">
      <w:pPr>
        <w:pStyle w:val="FootnoteText"/>
        <w:rPr>
          <w:lang w:val="en-GB"/>
        </w:rPr>
      </w:pPr>
      <w:r w:rsidRPr="007B0775">
        <w:rPr>
          <w:lang w:val="en-GB"/>
        </w:rPr>
        <w:tab/>
      </w:r>
      <w:r w:rsidRPr="007B0775">
        <w:rPr>
          <w:rStyle w:val="FootnoteReference"/>
          <w:lang w:val="en-GB"/>
        </w:rPr>
        <w:footnoteRef/>
      </w:r>
      <w:r w:rsidRPr="007B0775">
        <w:rPr>
          <w:lang w:val="en-GB"/>
        </w:rPr>
        <w:tab/>
        <w:t>The author indicates that he believes that the men were members of the Eelam People’s Democratic Party.</w:t>
      </w:r>
    </w:p>
  </w:footnote>
  <w:footnote w:id="6">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No further information is provided on that issue.</w:t>
      </w:r>
    </w:p>
  </w:footnote>
  <w:footnote w:id="7">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complaint indicates that the author was detained in the United States of America before arriving in Canada. When he arrived, the Canadian Border Service Agency seized from him documents confirming his identity as a Tamil male from the Northern Province of Sri Lanka (his national identity card and his birth certificate); the originals of these documents were returned to him. </w:t>
      </w:r>
    </w:p>
  </w:footnote>
  <w:footnote w:id="8">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w:t>
      </w:r>
      <w:r w:rsidRPr="007B0775">
        <w:t xml:space="preserve">Immigration Refugee Board </w:t>
      </w:r>
      <w:r w:rsidRPr="007B0775">
        <w:rPr>
          <w:lang w:val="en-GB"/>
        </w:rPr>
        <w:t xml:space="preserve">questions that the author had lived in Sri Lanka between the end of 2007 and the beginning of 2008, as his passport dates from 2007, and he left school in 2007 owing to his “parents’ wishes”. The </w:t>
      </w:r>
      <w:r w:rsidRPr="007B0775">
        <w:t xml:space="preserve">Board </w:t>
      </w:r>
      <w:r w:rsidRPr="007B0775">
        <w:rPr>
          <w:lang w:val="en-GB"/>
        </w:rPr>
        <w:t>considers that this denotes a preparation to leave the country.</w:t>
      </w:r>
    </w:p>
  </w:footnote>
  <w:footnote w:id="9">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See above, footnote 1.</w:t>
      </w:r>
    </w:p>
  </w:footnote>
  <w:footnote w:id="10">
    <w:p w:rsidR="00BE3429" w:rsidRPr="007B0775" w:rsidRDefault="00BE3429" w:rsidP="00AF4269">
      <w:pPr>
        <w:pStyle w:val="FootnoteText"/>
        <w:rPr>
          <w:lang w:val="en-GB"/>
        </w:rPr>
      </w:pPr>
      <w:r w:rsidRPr="007B0775">
        <w:rPr>
          <w:lang w:val="en-GB"/>
        </w:rPr>
        <w:tab/>
      </w:r>
      <w:r w:rsidRPr="007B0775">
        <w:rPr>
          <w:rStyle w:val="FootnoteReference"/>
          <w:lang w:val="en-GB"/>
        </w:rPr>
        <w:footnoteRef/>
      </w:r>
      <w:r w:rsidRPr="007B0775">
        <w:rPr>
          <w:lang w:val="en-GB"/>
        </w:rPr>
        <w:tab/>
        <w:t>See United Kingdom of Great Britain and Northern Ireland Home Office, operational guidance note on Sri Lanka (April 2012), available from www.gov.uk/government/uploads/system/uploads/attachment_data/file/310200/Sri_Lanka_operational_guidance_2013.pdf</w:t>
      </w:r>
    </w:p>
  </w:footnote>
  <w:footnote w:id="11">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The State party quotes the UNHCR Eligibility Guidelines for Assessing the International Protection Needs of Asylum Seekers from Sri Lanka, available from http://unhcr.org.ua/attachments/article/349/LKA_EG_Dec%202012.pdf.</w:t>
      </w:r>
    </w:p>
  </w:footnote>
  <w:footnote w:id="12">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The State party quotes the operational guidance note on Sri Lanka (see note 7 above).</w:t>
      </w:r>
    </w:p>
  </w:footnote>
  <w:footnote w:id="13">
    <w:p w:rsidR="00BE3429" w:rsidRPr="007B0775" w:rsidRDefault="00BE3429">
      <w:pPr>
        <w:pStyle w:val="FootnoteText"/>
        <w:rPr>
          <w:rStyle w:val="FootnoteReference"/>
          <w:szCs w:val="18"/>
          <w:vertAlign w:val="baseline"/>
          <w:lang w:val="en-GB"/>
        </w:rPr>
      </w:pPr>
      <w:r w:rsidRPr="007B0775">
        <w:rPr>
          <w:lang w:val="en-GB"/>
        </w:rPr>
        <w:tab/>
      </w:r>
      <w:r w:rsidRPr="007B0775">
        <w:rPr>
          <w:rStyle w:val="FootnoteReference"/>
          <w:szCs w:val="18"/>
          <w:lang w:val="en-GB"/>
        </w:rPr>
        <w:footnoteRef/>
      </w:r>
      <w:r w:rsidRPr="007B0775">
        <w:rPr>
          <w:rStyle w:val="FootnoteReference"/>
          <w:szCs w:val="18"/>
          <w:lang w:val="en-GB"/>
        </w:rPr>
        <w:t xml:space="preserve"> </w:t>
      </w:r>
      <w:r w:rsidRPr="007B0775">
        <w:rPr>
          <w:szCs w:val="18"/>
          <w:lang w:val="en-GB"/>
        </w:rPr>
        <w:tab/>
        <w:t xml:space="preserve">The author cites the Canada Immigration and Refugee Protection Act, subsection 25 (1.2) (c) and article 112 (2) (c). The decision of the </w:t>
      </w:r>
      <w:r w:rsidRPr="007B0775">
        <w:t xml:space="preserve">Immigration Refugee Board </w:t>
      </w:r>
      <w:r w:rsidRPr="007B0775">
        <w:rPr>
          <w:szCs w:val="18"/>
          <w:lang w:val="en-GB"/>
        </w:rPr>
        <w:t xml:space="preserve">was issued on 12 February 2013 and the complaint was presented to the Committee on 6 December 2013. </w:t>
      </w:r>
    </w:p>
  </w:footnote>
  <w:footnote w:id="14">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The author also refers to article 3 of the Convention against Torture and Other Cruel, Inhuman or Degrading Treatment or Punishment, and the Convention</w:t>
      </w:r>
      <w:r w:rsidRPr="007B0775">
        <w:rPr>
          <w:iCs/>
          <w:lang w:val="en-GB"/>
        </w:rPr>
        <w:t xml:space="preserve"> relating to the Status of Refugees.</w:t>
      </w:r>
    </w:p>
  </w:footnote>
  <w:footnote w:id="15">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letter is signed by N. R., who states that he worked as a photographer for the </w:t>
      </w:r>
      <w:r w:rsidRPr="007B0775">
        <w:rPr>
          <w:i/>
          <w:iCs/>
          <w:lang w:val="en-GB"/>
        </w:rPr>
        <w:t>Uthayan</w:t>
      </w:r>
      <w:r w:rsidRPr="007B0775">
        <w:rPr>
          <w:lang w:val="en-GB"/>
        </w:rPr>
        <w:t xml:space="preserve"> newspaper from 2004 to the first half of 2007 and that the author had joined his team by the end of 2006. The letter is not dated but indicates that it was issued at the request of the author and confirms the author’s account of his arrest by the army during a demonstration in 2007.</w:t>
      </w:r>
    </w:p>
  </w:footnote>
  <w:footnote w:id="16">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author quotes and provides a legal document of the </w:t>
      </w:r>
      <w:r w:rsidRPr="007B0775">
        <w:t>Immigration Refugee Board</w:t>
      </w:r>
      <w:r w:rsidRPr="007B0775">
        <w:rPr>
          <w:lang w:val="en-GB"/>
        </w:rPr>
        <w:t>, namely, an assessment of credibility in claims for refugee protection, dated 31 January 2004, p. 71.</w:t>
      </w:r>
    </w:p>
  </w:footnote>
  <w:footnote w:id="17">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author mentions several attacks to the </w:t>
      </w:r>
      <w:r w:rsidRPr="007B0775">
        <w:rPr>
          <w:i/>
          <w:iCs/>
          <w:lang w:val="en-GB"/>
        </w:rPr>
        <w:t>Uthayan</w:t>
      </w:r>
      <w:r w:rsidRPr="007B0775">
        <w:rPr>
          <w:lang w:val="en-GB"/>
        </w:rPr>
        <w:t xml:space="preserve"> newspaper. In May 2006, armed men entered the newspaper’s offices and opened fire, killing two people and injuring others; in June and July 2009, staff were threatened; in March 2011, a police officer claiming to be from the </w:t>
      </w:r>
      <w:r w:rsidRPr="007B0775">
        <w:t xml:space="preserve">Eelam People’s Democratic Party </w:t>
      </w:r>
      <w:r w:rsidRPr="007B0775">
        <w:rPr>
          <w:lang w:val="en-GB"/>
        </w:rPr>
        <w:t xml:space="preserve">went to the newspaper’s officers and intimidated staff; in May 2011, a member of staff was attacked; and in July 2011, the Chief news editor was attacked. The author provided copies of press articles supporting these affirmations. </w:t>
      </w:r>
    </w:p>
  </w:footnote>
  <w:footnote w:id="18">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author cites, inter alia, Amnesty International, “Media briefing: human rights in Sri Lanka” (5 November 2013); </w:t>
      </w:r>
      <w:r w:rsidRPr="007B0775">
        <w:t>Immigration Refugee Board of Canada</w:t>
      </w:r>
      <w:r w:rsidRPr="007B0775">
        <w:rPr>
          <w:lang w:val="en-GB"/>
        </w:rPr>
        <w:t>, “Sri Lanka: Treatment of Tamil returnees to Sri Lanka, including failed refugee applicants; information on specific asylum cases” (12 February 2013); UNHCR, Eligibility Guidelines (see note 8 above); International Crisis Group, “Sri Lanka’s Potemkin Peace: Democracy Under Fire”, Asia report No. 253 (13 November 2013); Freedom from Torture, “Sri Lankan Tamils tortured on return from the UK” (13 September 2012);</w:t>
      </w:r>
      <w:r w:rsidRPr="007B0775">
        <w:rPr>
          <w:sz w:val="20"/>
          <w:lang w:val="en-GB"/>
        </w:rPr>
        <w:t xml:space="preserve"> </w:t>
      </w:r>
      <w:r w:rsidRPr="007B0775">
        <w:rPr>
          <w:lang w:val="en-GB"/>
        </w:rPr>
        <w:t xml:space="preserve">Human Rights Watch, “UK: Suspend Deportations of Tamils to Sri Lanka - Further Reports of Torture of Returnees Highlight Extent of Problem” (29 May 2012). </w:t>
      </w:r>
    </w:p>
  </w:footnote>
  <w:footnote w:id="19">
    <w:p w:rsidR="00BE3429" w:rsidRPr="007B0775" w:rsidRDefault="00BE3429" w:rsidP="00B0305D">
      <w:pPr>
        <w:pStyle w:val="FootnoteText"/>
        <w:rPr>
          <w:lang w:val="en-GB"/>
        </w:rPr>
      </w:pPr>
      <w:r w:rsidRPr="007B0775">
        <w:rPr>
          <w:lang w:val="en-GB"/>
        </w:rPr>
        <w:tab/>
      </w:r>
      <w:r w:rsidRPr="007B0775">
        <w:rPr>
          <w:rStyle w:val="FootnoteReference"/>
          <w:lang w:val="en-GB"/>
        </w:rPr>
        <w:footnoteRef/>
      </w:r>
      <w:r w:rsidRPr="007B0775">
        <w:rPr>
          <w:lang w:val="en-GB"/>
        </w:rPr>
        <w:tab/>
        <w:t xml:space="preserve">Reporters Without Borders, “Detention of IFJ Directors reflects dreadful state of media freedom in Sri Lanka” (4 November 2013). </w:t>
      </w:r>
    </w:p>
  </w:footnote>
  <w:footnote w:id="20">
    <w:p w:rsidR="00BE3429" w:rsidRPr="007B0775" w:rsidRDefault="00BE3429" w:rsidP="00B0305D">
      <w:pPr>
        <w:pStyle w:val="FootnoteText"/>
        <w:rPr>
          <w:lang w:val="en-GB"/>
        </w:rPr>
      </w:pPr>
      <w:r w:rsidRPr="007B0775">
        <w:rPr>
          <w:lang w:val="en-GB"/>
        </w:rPr>
        <w:tab/>
      </w:r>
      <w:r w:rsidRPr="007B0775">
        <w:rPr>
          <w:rStyle w:val="FootnoteReference"/>
          <w:lang w:val="en-GB"/>
        </w:rPr>
        <w:footnoteRef/>
      </w:r>
      <w:r w:rsidRPr="007B0775">
        <w:rPr>
          <w:lang w:val="en-GB"/>
        </w:rPr>
        <w:tab/>
        <w:t xml:space="preserve">The author provides a copy of two press articles dated 13 April 2013 indicating that the </w:t>
      </w:r>
      <w:r w:rsidRPr="007B0775">
        <w:rPr>
          <w:i/>
          <w:iCs/>
          <w:lang w:val="en-GB"/>
        </w:rPr>
        <w:t>Uthayan</w:t>
      </w:r>
      <w:r w:rsidRPr="007B0775">
        <w:rPr>
          <w:lang w:val="en-GB"/>
        </w:rPr>
        <w:t xml:space="preserve"> printing press was burned by an unidentified group of armed men, allegedly belonging to the Sri Lankan military intelligence (Lankasri News, “Uthayan printing press torched” and Tamilnet, “Armed squad attacks Tamil paper office in Jaffna setting ablaze press machines”). He also refer to Tamilnet, “Attacks on media escalate in Jaffna, newspapers burnt by alleged SL military squad” (7 February 2013) and  Lankasri News, “Vampuri newspaper journalist attacked” (9 March 2013). </w:t>
      </w:r>
    </w:p>
  </w:footnote>
  <w:footnote w:id="21">
    <w:p w:rsidR="00BE3429" w:rsidRPr="007B0775" w:rsidRDefault="00BE3429" w:rsidP="00B0305D">
      <w:pPr>
        <w:pStyle w:val="FootnoteText"/>
        <w:rPr>
          <w:lang w:val="en-GB"/>
        </w:rPr>
      </w:pPr>
      <w:r w:rsidRPr="007B0775">
        <w:rPr>
          <w:lang w:val="en-GB"/>
        </w:rPr>
        <w:tab/>
      </w:r>
      <w:r w:rsidRPr="007B0775">
        <w:rPr>
          <w:rStyle w:val="FootnoteReference"/>
          <w:lang w:val="en-GB"/>
        </w:rPr>
        <w:footnoteRef/>
      </w:r>
      <w:r w:rsidRPr="007B0775">
        <w:rPr>
          <w:lang w:val="en-GB"/>
        </w:rPr>
        <w:tab/>
        <w:t xml:space="preserve">The author cites, among others, National Post, “Suspected organizer of MV Sun Sea human smuggling operation believed killed in Sri Lanka” (8 October 2013); CTV News, “Second migrant deported by Canada jailed in Sri Lanka” (10 October 2013); Tamilnet, “Tamil from Australia tortured, abused by Sri Lankan forces during visit to island” (25 April 2013). The author also refers to reports on human rights violations in Sri Lanka. </w:t>
      </w:r>
    </w:p>
  </w:footnote>
  <w:footnote w:id="22">
    <w:p w:rsidR="00BE3429" w:rsidRPr="007B0775" w:rsidRDefault="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State Party indicates that, following a legislative reform in 2010, applications made on humanitarian and compassionate grounds are no longer based on the kinds of risks that are already assessed within the </w:t>
      </w:r>
      <w:r w:rsidRPr="007B0775">
        <w:t xml:space="preserve">Immigration Refugee Board </w:t>
      </w:r>
      <w:r w:rsidRPr="007B0775">
        <w:rPr>
          <w:lang w:val="en-GB"/>
        </w:rPr>
        <w:t xml:space="preserve">and </w:t>
      </w:r>
      <w:r w:rsidRPr="007B0775">
        <w:t xml:space="preserve">pre-removal risk assessment </w:t>
      </w:r>
      <w:r w:rsidRPr="007B0775">
        <w:rPr>
          <w:lang w:val="en-GB"/>
        </w:rPr>
        <w:t>processes. See the Immigration and Refugee Protection Act, section 25 (1.3).</w:t>
      </w:r>
    </w:p>
  </w:footnote>
  <w:footnote w:id="23">
    <w:p w:rsidR="00BE3429" w:rsidRPr="007B0775" w:rsidRDefault="00BE3429" w:rsidP="00B0305D">
      <w:pPr>
        <w:pStyle w:val="FootnoteText"/>
        <w:rPr>
          <w:lang w:val="en-GB"/>
        </w:rPr>
      </w:pPr>
      <w:r w:rsidRPr="007B0775">
        <w:rPr>
          <w:lang w:val="en-GB"/>
        </w:rPr>
        <w:tab/>
      </w:r>
      <w:r w:rsidRPr="007B0775">
        <w:rPr>
          <w:rStyle w:val="FootnoteReference"/>
          <w:lang w:val="en-GB"/>
        </w:rPr>
        <w:footnoteRef/>
      </w:r>
      <w:r w:rsidRPr="007B0775">
        <w:rPr>
          <w:lang w:val="en-GB"/>
        </w:rPr>
        <w:tab/>
        <w:t xml:space="preserve">The State Party quotes communication No. 1578/2007, </w:t>
      </w:r>
      <w:r w:rsidRPr="007B0775">
        <w:rPr>
          <w:i/>
          <w:lang w:val="en-GB"/>
        </w:rPr>
        <w:t>Dastgir v. Canada,</w:t>
      </w:r>
      <w:r w:rsidRPr="007B0775">
        <w:rPr>
          <w:lang w:val="en-GB"/>
        </w:rPr>
        <w:t xml:space="preserve"> Views adopted on 30 October 2008, in which the Committee considered that an </w:t>
      </w:r>
      <w:r w:rsidRPr="007B0775">
        <w:t>application made on humanitarian and compassionate grounds</w:t>
      </w:r>
      <w:r w:rsidRPr="007B0775">
        <w:rPr>
          <w:lang w:val="en-GB"/>
        </w:rPr>
        <w:t xml:space="preserve"> was among the domestic remedies available to bring effective relief to the authors. </w:t>
      </w:r>
    </w:p>
  </w:footnote>
  <w:footnote w:id="24">
    <w:p w:rsidR="00BE3429" w:rsidRPr="007B0775" w:rsidRDefault="00BE3429" w:rsidP="00B0305D">
      <w:pPr>
        <w:pStyle w:val="FootnoteText"/>
        <w:rPr>
          <w:lang w:val="en-GB"/>
        </w:rPr>
      </w:pPr>
      <w:r w:rsidRPr="007B0775">
        <w:rPr>
          <w:lang w:val="en-GB"/>
        </w:rPr>
        <w:tab/>
      </w:r>
      <w:r w:rsidRPr="007B0775">
        <w:rPr>
          <w:rStyle w:val="FootnoteReference"/>
          <w:lang w:val="en-GB"/>
        </w:rPr>
        <w:footnoteRef/>
      </w:r>
      <w:r w:rsidRPr="007B0775">
        <w:rPr>
          <w:lang w:val="en-GB"/>
        </w:rPr>
        <w:tab/>
        <w:t xml:space="preserve">The State party cites, among others, communication No. 1959/2010, </w:t>
      </w:r>
      <w:r w:rsidRPr="007B0775">
        <w:rPr>
          <w:i/>
          <w:lang w:val="en-GB"/>
        </w:rPr>
        <w:t>Warsame v. Canada</w:t>
      </w:r>
      <w:r w:rsidRPr="007B0775">
        <w:rPr>
          <w:lang w:val="en-GB"/>
        </w:rPr>
        <w:t xml:space="preserve">, Views adopted on 21 July 2011, and Committee against Torture communication No. 520/2012, </w:t>
      </w:r>
      <w:r w:rsidRPr="007B0775">
        <w:rPr>
          <w:i/>
          <w:iCs/>
          <w:lang w:val="en-GB"/>
        </w:rPr>
        <w:t>W.G.D. v. Canada</w:t>
      </w:r>
      <w:r w:rsidRPr="007B0775">
        <w:rPr>
          <w:lang w:val="en-GB"/>
        </w:rPr>
        <w:t xml:space="preserve">, decision adopted on 26 November 2014. </w:t>
      </w:r>
    </w:p>
  </w:footnote>
  <w:footnote w:id="25">
    <w:p w:rsidR="00BE3429" w:rsidRPr="007B0775" w:rsidRDefault="00BE3429" w:rsidP="000D764D">
      <w:pPr>
        <w:pStyle w:val="FootnoteText"/>
        <w:rPr>
          <w:iCs/>
          <w:lang w:val="en-GB"/>
        </w:rPr>
      </w:pPr>
      <w:r w:rsidRPr="007B0775">
        <w:rPr>
          <w:lang w:val="en-GB"/>
        </w:rPr>
        <w:tab/>
      </w:r>
      <w:r w:rsidRPr="007B0775">
        <w:rPr>
          <w:rStyle w:val="FootnoteReference"/>
          <w:lang w:val="en-GB"/>
        </w:rPr>
        <w:footnoteRef/>
      </w:r>
      <w:r w:rsidRPr="007B0775">
        <w:rPr>
          <w:lang w:val="en-GB"/>
        </w:rPr>
        <w:tab/>
        <w:t xml:space="preserve">The State party notes that the Committee has considered on an exceptional basis that the Covenant has an extraterritorial application. It quotes general comment No. 31 (2004) </w:t>
      </w:r>
      <w:r w:rsidRPr="007B0775">
        <w:rPr>
          <w:szCs w:val="18"/>
          <w:lang w:val="en-GB"/>
        </w:rPr>
        <w:t xml:space="preserve">on the nature of the general legal obligation imposed on States parties to the Covenant, </w:t>
      </w:r>
      <w:r w:rsidRPr="007B0775">
        <w:rPr>
          <w:lang w:val="en-GB"/>
        </w:rPr>
        <w:t xml:space="preserve">which states that article 2 of the Covenant entails an obligation not to remove a person where there are substantial grounds for believing that there is a real risk of irreparable harm, such as that contemplated by articles 6 and 7 of the Covenant in the receiving State (see </w:t>
      </w:r>
      <w:r w:rsidRPr="007B0775">
        <w:rPr>
          <w:lang w:val="en-GB"/>
        </w:rPr>
        <w:fldChar w:fldCharType="begin"/>
      </w:r>
      <w:r w:rsidRPr="007B0775">
        <w:rPr>
          <w:lang w:val="en-GB"/>
        </w:rPr>
        <w:instrText xml:space="preserve"> FILLIN "Symbol" \* MERGEFORMAT </w:instrText>
      </w:r>
      <w:r w:rsidRPr="007B0775">
        <w:rPr>
          <w:lang w:val="en-GB"/>
        </w:rPr>
        <w:fldChar w:fldCharType="separate"/>
      </w:r>
      <w:r w:rsidRPr="007B0775">
        <w:rPr>
          <w:lang w:val="en-GB"/>
        </w:rPr>
        <w:t>CCPR/C/21/Rev.1/</w:t>
      </w:r>
      <w:r w:rsidRPr="007B0775">
        <w:rPr>
          <w:lang w:val="en-GB"/>
        </w:rPr>
        <w:fldChar w:fldCharType="end"/>
      </w:r>
      <w:r w:rsidRPr="007B0775">
        <w:rPr>
          <w:lang w:val="en-GB"/>
        </w:rPr>
        <w:t xml:space="preserve">Add. 13, para. 12). It also quotes general comment No. 35 (2014) on article 9, which establishes that </w:t>
      </w:r>
      <w:r w:rsidRPr="007B0775">
        <w:rPr>
          <w:iCs/>
          <w:lang w:val="en-GB"/>
        </w:rPr>
        <w:t>returning an individual to a country where there are substantial grounds for believing that the individual faces a real risk of a severe violation of liberty or security of person, such as prolonged arbitrary detention, may amount to inhuman treatment prohibited by article 7 of the Covenant (see CCPR/C/GC/35, para. 57).</w:t>
      </w:r>
    </w:p>
  </w:footnote>
  <w:footnote w:id="26">
    <w:p w:rsidR="00BE3429" w:rsidRPr="007B0775" w:rsidRDefault="00BE3429" w:rsidP="007B0775">
      <w:pPr>
        <w:pStyle w:val="FootnoteText"/>
        <w:jc w:val="right"/>
        <w:rPr>
          <w:lang w:val="en-GB"/>
        </w:rPr>
      </w:pPr>
      <w:r w:rsidRPr="007B0775">
        <w:rPr>
          <w:lang w:val="en-GB"/>
        </w:rPr>
        <w:tab/>
      </w:r>
      <w:r w:rsidRPr="007B0775">
        <w:rPr>
          <w:rStyle w:val="FootnoteReference"/>
          <w:lang w:val="en-GB"/>
        </w:rPr>
        <w:footnoteRef/>
      </w:r>
      <w:r w:rsidRPr="007B0775">
        <w:rPr>
          <w:lang w:val="en-GB"/>
        </w:rPr>
        <w:tab/>
        <w:t xml:space="preserve">Reference is made to communication No. 1881/2009, </w:t>
      </w:r>
      <w:r w:rsidRPr="007B0775">
        <w:rPr>
          <w:i/>
          <w:lang w:val="en-GB"/>
        </w:rPr>
        <w:t>Shakeel v. Canada</w:t>
      </w:r>
      <w:r w:rsidRPr="007B0775">
        <w:rPr>
          <w:lang w:val="en-GB"/>
        </w:rPr>
        <w:t xml:space="preserve">, Views adopted on 24 July 2013 and to the European Court of Human Rights jurisprudence, in particular regarding the views of the Court on the territorial applicability of the European Convention for the Protection of Human Rights and Fundamental Freedoms, Application No. 14038/88, </w:t>
      </w:r>
      <w:r w:rsidRPr="007B0775">
        <w:rPr>
          <w:i/>
          <w:lang w:val="en-GB"/>
        </w:rPr>
        <w:t>Soering v. the United Kingdom</w:t>
      </w:r>
      <w:r w:rsidRPr="007B0775">
        <w:rPr>
          <w:lang w:val="en-GB"/>
        </w:rPr>
        <w:t>, 7 July 1989, para. 86.</w:t>
      </w:r>
    </w:p>
  </w:footnote>
  <w:footnote w:id="27">
    <w:p w:rsidR="00BE3429" w:rsidRPr="007B0775" w:rsidRDefault="00BE3429" w:rsidP="001C458A">
      <w:pPr>
        <w:pStyle w:val="FootnoteText"/>
        <w:rPr>
          <w:lang w:val="en-GB"/>
        </w:rPr>
      </w:pPr>
      <w:r w:rsidRPr="007B0775">
        <w:rPr>
          <w:lang w:val="en-GB"/>
        </w:rPr>
        <w:tab/>
      </w:r>
      <w:r w:rsidRPr="007B0775">
        <w:rPr>
          <w:rStyle w:val="FootnoteReference"/>
          <w:lang w:val="en-GB"/>
        </w:rPr>
        <w:footnoteRef/>
      </w:r>
      <w:r w:rsidRPr="007B0775">
        <w:rPr>
          <w:lang w:val="en-GB"/>
        </w:rPr>
        <w:tab/>
        <w:t xml:space="preserve">Reference is made to several communications of the Committee, including No. 1455/2006, </w:t>
      </w:r>
      <w:r w:rsidRPr="007B0775">
        <w:rPr>
          <w:i/>
          <w:lang w:val="en-GB"/>
        </w:rPr>
        <w:t>Kaur v. Canada</w:t>
      </w:r>
      <w:r w:rsidRPr="007B0775">
        <w:rPr>
          <w:lang w:val="en-GB"/>
        </w:rPr>
        <w:t xml:space="preserve">, decision adopted on 30 October 2008. </w:t>
      </w:r>
    </w:p>
  </w:footnote>
  <w:footnote w:id="28">
    <w:p w:rsidR="00BE3429" w:rsidRPr="007B0775" w:rsidRDefault="00BE3429" w:rsidP="00376FC4">
      <w:pPr>
        <w:pStyle w:val="FootnoteText"/>
        <w:rPr>
          <w:iCs/>
          <w:lang w:val="en-GB"/>
        </w:rPr>
      </w:pPr>
      <w:r w:rsidRPr="007B0775">
        <w:rPr>
          <w:lang w:val="en-GB"/>
        </w:rPr>
        <w:tab/>
      </w:r>
      <w:r w:rsidRPr="007B0775">
        <w:rPr>
          <w:rStyle w:val="FootnoteReference"/>
          <w:lang w:val="en-GB"/>
        </w:rPr>
        <w:footnoteRef/>
      </w:r>
      <w:r w:rsidRPr="007B0775">
        <w:rPr>
          <w:lang w:val="en-GB"/>
        </w:rPr>
        <w:tab/>
      </w:r>
      <w:r w:rsidRPr="007B0775">
        <w:rPr>
          <w:iCs/>
          <w:lang w:val="en-GB"/>
        </w:rPr>
        <w:t xml:space="preserve">As stated by the medical certificate provided by the author and as confirmed by Mr. N.R in his letter. </w:t>
      </w:r>
    </w:p>
  </w:footnote>
  <w:footnote w:id="29">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The State party cites several sources, including the c</w:t>
      </w:r>
      <w:r w:rsidRPr="007B0775">
        <w:t xml:space="preserve">oncluding observations of </w:t>
      </w:r>
      <w:r w:rsidRPr="007B0775">
        <w:rPr>
          <w:lang w:val="en-GB"/>
        </w:rPr>
        <w:t xml:space="preserve">the Committee against Torture on Sri Lanka (CAT/C/LKA/CO/3-4); UNHCR, Eligibility Guidelines (see note 8 above); United States Department of State, Country Reports on Human Rights Practices for 2013: Sri Lanka (27 February 2014), available from </w:t>
      </w:r>
      <w:hyperlink w:history="1"/>
      <w:r w:rsidRPr="007B0775">
        <w:rPr>
          <w:rStyle w:val="Hyperlink"/>
          <w:lang w:val="en-GB"/>
        </w:rPr>
        <w:t>www.state.gov/j/drl/rls/hrrpt/2013/sca/220404.htm</w:t>
      </w:r>
      <w:r w:rsidRPr="007B0775">
        <w:rPr>
          <w:lang w:val="en-GB"/>
        </w:rPr>
        <w:t xml:space="preserve">; Human Rights Watch, “World Report 2014 – Sri Lanka”, available from </w:t>
      </w:r>
      <w:hyperlink r:id="rId1" w:history="1">
        <w:r w:rsidRPr="007B0775">
          <w:rPr>
            <w:rStyle w:val="Hyperlink"/>
            <w:lang w:val="en-GB"/>
          </w:rPr>
          <w:t>www.hrw.org/world-report/2014/country-chapters/sri-lanka</w:t>
        </w:r>
      </w:hyperlink>
      <w:r w:rsidRPr="007B0775">
        <w:rPr>
          <w:lang w:val="en-GB"/>
        </w:rPr>
        <w:t>; operational guidance note on Sri Lanka (see note 7 above); United Kingdom Immigration and Asylum Chamber, GJ and others (post-civil war: returnees) Sri Lanka CG [2013] UKUT 00319 (IAC), available from www.refworld.org/pdfid/51da951c4.pdf.</w:t>
      </w:r>
    </w:p>
  </w:footnote>
  <w:footnote w:id="30">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State party quotes, among others, UNHCR Eligibility Guidelines (see note 8 above), which state that “originating from an area that was previously controlled by the </w:t>
      </w:r>
      <w:r w:rsidRPr="007B0775">
        <w:t xml:space="preserve">Liberation Tigers of Tamil Eelam </w:t>
      </w:r>
      <w:r w:rsidRPr="007B0775">
        <w:rPr>
          <w:lang w:val="en-GB"/>
        </w:rPr>
        <w:t xml:space="preserve">does not in itself result in a need for international refugee protection in the sense of the 1951 Convention and its 1967 Protocol”. </w:t>
      </w:r>
    </w:p>
  </w:footnote>
  <w:footnote w:id="31">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The State party indicates that, according to the UNHCR Eligibility Guidelines (see note 8 above), the police or the military in certain areas may interview and/or detain some returning Tamil individuals within the first weeks after arrival. Ibid, pp.7 and 8. Reference is also made to United Kingdom Immigration and Asylum Chamber, GJ and others (post-civil war: returnees) Sri Lanka CG [2013] UKUT 00319 (IAC), available from www.refworld.org/pdfid/51da951c4.pdf. </w:t>
      </w:r>
    </w:p>
  </w:footnote>
  <w:footnote w:id="32">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 xml:space="preserve"> </w:t>
      </w:r>
      <w:r w:rsidRPr="007B0775">
        <w:rPr>
          <w:lang w:val="en-GB"/>
        </w:rPr>
        <w:tab/>
        <w:t>See United Kingdom Immigration and Asylum Chamber, GJ and others (post-civil war: returnees) Sri Lanka CG [2013] UKUT 00319 (IAC), available from www.refworld.org/pdfid/51da951c4.pdf.</w:t>
      </w:r>
    </w:p>
  </w:footnote>
  <w:footnote w:id="33">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See United States Department of State, Country Reports on Human Rights Practices for 2013: Sri Lanka (27 February 2014), available from </w:t>
      </w:r>
      <w:hyperlink w:history="1"/>
      <w:r w:rsidRPr="007B0775">
        <w:rPr>
          <w:rStyle w:val="Hyperlink"/>
          <w:lang w:val="en-GB"/>
        </w:rPr>
        <w:t>www.state.gov/j/drl/rls/hrrpt/2013/sca/220404.htm</w:t>
      </w:r>
      <w:r w:rsidRPr="007B0775">
        <w:rPr>
          <w:lang w:val="en-GB"/>
        </w:rPr>
        <w:t>.</w:t>
      </w:r>
    </w:p>
  </w:footnote>
  <w:footnote w:id="34">
    <w:p w:rsidR="00BE3429" w:rsidRPr="007B0775" w:rsidRDefault="00BE3429" w:rsidP="00AF4269">
      <w:pPr>
        <w:pStyle w:val="FootnoteText"/>
        <w:rPr>
          <w:lang w:val="en-GB"/>
        </w:rPr>
      </w:pPr>
      <w:r w:rsidRPr="007B0775">
        <w:rPr>
          <w:lang w:val="en-GB"/>
        </w:rPr>
        <w:tab/>
      </w:r>
      <w:r w:rsidRPr="007B0775">
        <w:rPr>
          <w:rStyle w:val="FootnoteReference"/>
          <w:lang w:val="en-GB"/>
        </w:rPr>
        <w:footnoteRef/>
      </w:r>
      <w:r w:rsidRPr="007B0775">
        <w:rPr>
          <w:lang w:val="en-GB"/>
        </w:rPr>
        <w:tab/>
        <w:t xml:space="preserve">The State party cites, for example, communication No. 1578/2007, </w:t>
      </w:r>
      <w:r w:rsidRPr="007B0775">
        <w:rPr>
          <w:i/>
          <w:lang w:val="en-GB"/>
        </w:rPr>
        <w:t>Dastgir v. Canada</w:t>
      </w:r>
      <w:r w:rsidRPr="007B0775">
        <w:rPr>
          <w:lang w:val="en-GB"/>
        </w:rPr>
        <w:t xml:space="preserve">, decision adopted on 30 October 2008. </w:t>
      </w:r>
    </w:p>
  </w:footnote>
  <w:footnote w:id="35">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 xml:space="preserve">See </w:t>
      </w:r>
      <w:r w:rsidRPr="007B0775">
        <w:rPr>
          <w:i/>
          <w:lang w:val="en-GB"/>
        </w:rPr>
        <w:t>Shakeel v. Canada</w:t>
      </w:r>
      <w:r w:rsidRPr="007B0775">
        <w:rPr>
          <w:lang w:val="en-GB"/>
        </w:rPr>
        <w:t>, (note 23 above), para. 7.4.</w:t>
      </w:r>
    </w:p>
  </w:footnote>
  <w:footnote w:id="36">
    <w:p w:rsidR="00BE3429" w:rsidRPr="007B0775" w:rsidRDefault="00BE3429" w:rsidP="00542854">
      <w:pPr>
        <w:pStyle w:val="FootnoteText"/>
        <w:rPr>
          <w:lang w:val="en-GB"/>
        </w:rPr>
      </w:pPr>
      <w:r w:rsidRPr="007B0775">
        <w:rPr>
          <w:lang w:val="en-GB"/>
        </w:rPr>
        <w:tab/>
      </w:r>
      <w:r w:rsidRPr="007B0775">
        <w:rPr>
          <w:rStyle w:val="FootnoteReference"/>
          <w:lang w:val="en-GB"/>
        </w:rPr>
        <w:footnoteRef/>
      </w:r>
      <w:r w:rsidRPr="007B0775">
        <w:rPr>
          <w:lang w:val="en-GB"/>
        </w:rPr>
        <w:tab/>
        <w:t>The author cites United States Department of State, 2014 Human Rights Reports: Sri Lanka (25 June 2015), available from www.state.gov/j/drl/rls/hrrpt/humanrightsreport/index.htm#wrapper.</w:t>
      </w:r>
    </w:p>
  </w:footnote>
  <w:footnote w:id="37">
    <w:p w:rsidR="00BE3429" w:rsidRPr="007B0775" w:rsidRDefault="00BE3429" w:rsidP="00542854">
      <w:pPr>
        <w:pStyle w:val="FootnoteText"/>
        <w:rPr>
          <w:lang w:val="en-GB"/>
        </w:rPr>
      </w:pPr>
      <w:r w:rsidRPr="007B0775">
        <w:rPr>
          <w:lang w:val="en-GB"/>
        </w:rPr>
        <w:tab/>
      </w:r>
      <w:r w:rsidRPr="007B0775">
        <w:rPr>
          <w:rStyle w:val="FootnoteReference"/>
          <w:lang w:val="en-GB"/>
        </w:rPr>
        <w:footnoteRef/>
      </w:r>
      <w:r w:rsidRPr="007B0775">
        <w:rPr>
          <w:lang w:val="en-GB"/>
        </w:rPr>
        <w:tab/>
        <w:t xml:space="preserve">Ibid. </w:t>
      </w:r>
    </w:p>
  </w:footnote>
  <w:footnote w:id="38">
    <w:p w:rsidR="00BE3429" w:rsidRPr="007B0775" w:rsidRDefault="00BE3429" w:rsidP="00542854">
      <w:pPr>
        <w:pStyle w:val="FootnoteText"/>
        <w:jc w:val="both"/>
        <w:rPr>
          <w:lang w:val="en-GB"/>
        </w:rPr>
      </w:pPr>
      <w:r w:rsidRPr="007B0775">
        <w:rPr>
          <w:lang w:val="en-GB"/>
        </w:rPr>
        <w:tab/>
      </w:r>
      <w:r w:rsidRPr="007B0775">
        <w:rPr>
          <w:rStyle w:val="FootnoteReference"/>
          <w:lang w:val="en-GB"/>
        </w:rPr>
        <w:footnoteRef/>
      </w:r>
      <w:r w:rsidRPr="007B0775">
        <w:rPr>
          <w:lang w:val="en-GB"/>
        </w:rPr>
        <w:tab/>
        <w:t>See Asylum Research Consultancy, Sri Lanka COI Query Response (19 August 2014), available from http://www.refworld.org/docid/542e89fc4.html. The report states that the United Kingdom Bar Human Rights Committee of England and Wales and the International Truth and Justice Project on Torture and Sexual Violence in Sri Lanka 2009-2014, which is based on 40 sworn statements from witnesses, supported by medical and psychiatric records in 32 cases, found that “some witnesses whose previous asylum applications were unsuccessful reported being abducted upon their return to Sri Lanka by the security forces, who knew of their failed asylum applications. Once in detention, they were subsequently repeatedly tortured and sexually assaulted until (…) bribes could be used to procure release and they managed to leave the country again”.</w:t>
      </w:r>
    </w:p>
  </w:footnote>
  <w:footnote w:id="39">
    <w:p w:rsidR="00BE3429" w:rsidRPr="007B0775" w:rsidRDefault="00BE3429" w:rsidP="00542854">
      <w:pPr>
        <w:pStyle w:val="FootnoteText"/>
        <w:rPr>
          <w:lang w:val="en-GB"/>
        </w:rPr>
      </w:pPr>
      <w:r w:rsidRPr="007B0775">
        <w:rPr>
          <w:lang w:val="en-GB"/>
        </w:rPr>
        <w:tab/>
      </w:r>
      <w:r w:rsidRPr="007B0775">
        <w:rPr>
          <w:rStyle w:val="FootnoteReference"/>
          <w:lang w:val="en-GB"/>
        </w:rPr>
        <w:footnoteRef/>
      </w:r>
      <w:r w:rsidRPr="007B0775">
        <w:rPr>
          <w:lang w:val="en-GB"/>
        </w:rPr>
        <w:tab/>
        <w:t>Freedom from Torture, submission to the Committee (October 2014), p. 7. See http://tbinternet.ohchr.org/Treaties/CCPR/Shared%20Documents/LKA/INT_CCPR_CSS_LKA_18229_E.pdf.</w:t>
      </w:r>
    </w:p>
  </w:footnote>
  <w:footnote w:id="40">
    <w:p w:rsidR="00BE3429" w:rsidRPr="007B0775" w:rsidRDefault="00BE3429" w:rsidP="00BE3429">
      <w:pPr>
        <w:pStyle w:val="FootnoteText"/>
        <w:rPr>
          <w:lang w:val="en-GB"/>
        </w:rPr>
      </w:pPr>
      <w:r w:rsidRPr="007B0775">
        <w:rPr>
          <w:lang w:val="en-GB"/>
        </w:rPr>
        <w:tab/>
      </w:r>
      <w:r w:rsidRPr="007B0775">
        <w:rPr>
          <w:rStyle w:val="FootnoteReference"/>
          <w:lang w:val="en-GB"/>
        </w:rPr>
        <w:footnoteRef/>
      </w:r>
      <w:r w:rsidRPr="007B0775">
        <w:rPr>
          <w:lang w:val="en-GB"/>
        </w:rPr>
        <w:tab/>
        <w:t>See Asylum Research Consultancy, Sri Lanka COI Query Response (19 August 2014), available from http://www.refworld.org/docid/542e89fc4.html.</w:t>
      </w:r>
    </w:p>
  </w:footnote>
  <w:footnote w:id="41">
    <w:p w:rsidR="00BE3429" w:rsidRPr="007B0775" w:rsidRDefault="00BE3429" w:rsidP="00542854">
      <w:pPr>
        <w:pStyle w:val="FootnoteText"/>
        <w:rPr>
          <w:lang w:val="en-GB"/>
        </w:rPr>
      </w:pPr>
      <w:r w:rsidRPr="007B0775">
        <w:rPr>
          <w:lang w:val="en-GB"/>
        </w:rPr>
        <w:tab/>
      </w:r>
      <w:r w:rsidRPr="007B0775">
        <w:rPr>
          <w:rStyle w:val="FootnoteReference"/>
          <w:lang w:val="en-GB"/>
        </w:rPr>
        <w:footnoteRef/>
      </w:r>
      <w:r w:rsidRPr="007B0775">
        <w:rPr>
          <w:lang w:val="en-GB"/>
        </w:rPr>
        <w:tab/>
        <w:t>The author quotes a report by the Swiss Refugee Council, entitled “Sri Lanka: dangers liés au renvoi des personnes d’origine tamoule” (June 2015). Available in French from www.osar.ch/assets/herkunftslaender/asien-pazifik/sri-lanka/150616-lka-rueckfuehrungtamilischerpersonen-f.pdf.</w:t>
      </w:r>
    </w:p>
  </w:footnote>
  <w:footnote w:id="42">
    <w:p w:rsidR="00BE3429" w:rsidRPr="007B0775" w:rsidRDefault="00BE3429" w:rsidP="007B0775">
      <w:pPr>
        <w:pStyle w:val="FootnoteText"/>
        <w:rPr>
          <w:szCs w:val="18"/>
          <w:lang w:val="en-GB"/>
        </w:rPr>
      </w:pPr>
      <w:r w:rsidRPr="007B0775">
        <w:rPr>
          <w:szCs w:val="18"/>
          <w:lang w:val="en-GB"/>
        </w:rPr>
        <w:tab/>
      </w:r>
      <w:r w:rsidRPr="007B0775">
        <w:rPr>
          <w:rStyle w:val="FootnoteReference"/>
          <w:szCs w:val="18"/>
          <w:lang w:val="en-GB"/>
        </w:rPr>
        <w:footnoteRef/>
      </w:r>
      <w:r w:rsidRPr="007B0775">
        <w:rPr>
          <w:szCs w:val="18"/>
          <w:lang w:val="en-GB"/>
        </w:rPr>
        <w:tab/>
        <w:t xml:space="preserve">See </w:t>
      </w:r>
      <w:r w:rsidRPr="007B0775">
        <w:rPr>
          <w:i/>
          <w:szCs w:val="18"/>
          <w:lang w:val="en-GB"/>
        </w:rPr>
        <w:t>Warsame</w:t>
      </w:r>
      <w:r w:rsidRPr="007B0775">
        <w:rPr>
          <w:szCs w:val="18"/>
          <w:lang w:val="en-GB"/>
        </w:rPr>
        <w:t xml:space="preserve"> </w:t>
      </w:r>
      <w:r w:rsidRPr="007B0775">
        <w:rPr>
          <w:i/>
          <w:iCs/>
          <w:szCs w:val="18"/>
          <w:lang w:val="en-GB"/>
        </w:rPr>
        <w:t>v.</w:t>
      </w:r>
      <w:r w:rsidRPr="007B0775">
        <w:rPr>
          <w:szCs w:val="18"/>
          <w:lang w:val="en-GB"/>
        </w:rPr>
        <w:t xml:space="preserve"> </w:t>
      </w:r>
      <w:r w:rsidRPr="007B0775">
        <w:rPr>
          <w:i/>
          <w:szCs w:val="18"/>
          <w:lang w:val="en-GB"/>
        </w:rPr>
        <w:t>Canada</w:t>
      </w:r>
      <w:r w:rsidRPr="007B0775">
        <w:rPr>
          <w:iCs/>
          <w:szCs w:val="18"/>
          <w:lang w:val="en-GB"/>
        </w:rPr>
        <w:t xml:space="preserve"> (note </w:t>
      </w:r>
      <w:r w:rsidR="007B0775" w:rsidRPr="007B0775">
        <w:rPr>
          <w:iCs/>
          <w:szCs w:val="18"/>
          <w:lang w:val="en-GB"/>
        </w:rPr>
        <w:t xml:space="preserve">21 </w:t>
      </w:r>
      <w:r w:rsidRPr="007B0775">
        <w:rPr>
          <w:iCs/>
          <w:szCs w:val="18"/>
          <w:lang w:val="en-GB"/>
        </w:rPr>
        <w:t>above)</w:t>
      </w:r>
      <w:r w:rsidRPr="007B0775">
        <w:rPr>
          <w:szCs w:val="18"/>
          <w:lang w:val="en-GB"/>
        </w:rPr>
        <w:t xml:space="preserve">, para. 7.4; and communication No. 1003/2001, </w:t>
      </w:r>
      <w:r w:rsidRPr="007B0775">
        <w:rPr>
          <w:i/>
          <w:szCs w:val="18"/>
          <w:lang w:val="en-GB"/>
        </w:rPr>
        <w:t>P.L</w:t>
      </w:r>
      <w:r w:rsidRPr="007B0775">
        <w:rPr>
          <w:szCs w:val="18"/>
          <w:lang w:val="en-GB"/>
        </w:rPr>
        <w:t xml:space="preserve">. </w:t>
      </w:r>
      <w:r w:rsidRPr="007B0775">
        <w:rPr>
          <w:i/>
          <w:iCs/>
          <w:szCs w:val="18"/>
          <w:lang w:val="en-GB"/>
        </w:rPr>
        <w:t>v.</w:t>
      </w:r>
      <w:r w:rsidRPr="007B0775">
        <w:rPr>
          <w:szCs w:val="18"/>
          <w:lang w:val="en-GB"/>
        </w:rPr>
        <w:t xml:space="preserve"> </w:t>
      </w:r>
      <w:r w:rsidRPr="007B0775">
        <w:rPr>
          <w:i/>
          <w:szCs w:val="18"/>
          <w:lang w:val="en-GB"/>
        </w:rPr>
        <w:t>Germany</w:t>
      </w:r>
      <w:r w:rsidRPr="007B0775">
        <w:rPr>
          <w:szCs w:val="18"/>
          <w:lang w:val="en-GB"/>
        </w:rPr>
        <w:t>, decision of inadmissibility adopted on 22 October 2003, para. 6.5.</w:t>
      </w:r>
    </w:p>
  </w:footnote>
  <w:footnote w:id="43">
    <w:p w:rsidR="00BE3429" w:rsidRPr="007B0775" w:rsidRDefault="00BE3429" w:rsidP="007B0775">
      <w:pPr>
        <w:pStyle w:val="FootnoteText"/>
        <w:rPr>
          <w:lang w:val="en-GB"/>
        </w:rPr>
      </w:pPr>
      <w:r w:rsidRPr="007B0775">
        <w:rPr>
          <w:lang w:val="en-GB"/>
        </w:rPr>
        <w:tab/>
      </w:r>
      <w:r w:rsidRPr="007B0775">
        <w:rPr>
          <w:rStyle w:val="FootnoteReference"/>
          <w:lang w:val="en-GB"/>
        </w:rPr>
        <w:footnoteRef/>
      </w:r>
      <w:r w:rsidRPr="007B0775">
        <w:rPr>
          <w:lang w:val="en-GB"/>
        </w:rPr>
        <w:tab/>
        <w:t xml:space="preserve">See communications No. 2366/2014, </w:t>
      </w:r>
      <w:r w:rsidRPr="007B0775">
        <w:rPr>
          <w:i/>
          <w:iCs/>
          <w:lang w:val="en-GB"/>
        </w:rPr>
        <w:t>X v. Canada</w:t>
      </w:r>
      <w:r w:rsidRPr="007B0775">
        <w:rPr>
          <w:lang w:val="en-GB"/>
        </w:rPr>
        <w:t xml:space="preserve">, Views adopted on 5 November 2015, para. 8.3, No.1898/2009, </w:t>
      </w:r>
      <w:r w:rsidRPr="007B0775">
        <w:rPr>
          <w:i/>
          <w:lang w:val="en-GB"/>
        </w:rPr>
        <w:t>Choudhary v. Canada</w:t>
      </w:r>
      <w:r w:rsidRPr="007B0775">
        <w:rPr>
          <w:lang w:val="en-GB"/>
        </w:rPr>
        <w:t xml:space="preserve">, Views adopted on 28 October 2013, para. 8.3; and </w:t>
      </w:r>
      <w:r w:rsidRPr="007B0775">
        <w:rPr>
          <w:i/>
          <w:lang w:val="en-GB"/>
        </w:rPr>
        <w:t xml:space="preserve">Warsame v. Canada </w:t>
      </w:r>
      <w:r w:rsidRPr="007B0775">
        <w:rPr>
          <w:iCs/>
          <w:szCs w:val="18"/>
          <w:lang w:val="en-GB"/>
        </w:rPr>
        <w:t xml:space="preserve">(note </w:t>
      </w:r>
      <w:r w:rsidR="007B0775" w:rsidRPr="007B0775">
        <w:rPr>
          <w:iCs/>
          <w:szCs w:val="18"/>
          <w:lang w:val="en-GB"/>
        </w:rPr>
        <w:t xml:space="preserve">21 </w:t>
      </w:r>
      <w:r w:rsidRPr="007B0775">
        <w:rPr>
          <w:iCs/>
          <w:szCs w:val="18"/>
          <w:lang w:val="en-GB"/>
        </w:rPr>
        <w:t>above)</w:t>
      </w:r>
      <w:r w:rsidRPr="007B0775">
        <w:rPr>
          <w:lang w:val="en-GB"/>
        </w:rPr>
        <w:t xml:space="preserve">. </w:t>
      </w:r>
    </w:p>
  </w:footnote>
  <w:footnote w:id="44">
    <w:p w:rsidR="00BE3429" w:rsidRPr="007B0775" w:rsidRDefault="00BE3429" w:rsidP="007B0775">
      <w:pPr>
        <w:pStyle w:val="FootnoteText"/>
        <w:rPr>
          <w:lang w:val="en-GB"/>
        </w:rPr>
      </w:pPr>
      <w:r w:rsidRPr="007B0775">
        <w:rPr>
          <w:lang w:val="en-GB"/>
        </w:rPr>
        <w:tab/>
      </w:r>
      <w:r w:rsidRPr="007B0775">
        <w:rPr>
          <w:rStyle w:val="FootnoteReference"/>
          <w:lang w:val="en-GB"/>
        </w:rPr>
        <w:footnoteRef/>
      </w:r>
      <w:r w:rsidRPr="007B0775">
        <w:rPr>
          <w:lang w:val="en-GB"/>
        </w:rPr>
        <w:tab/>
        <w:t xml:space="preserve">See communications No. 2280/2013, </w:t>
      </w:r>
      <w:r w:rsidRPr="007B0775">
        <w:rPr>
          <w:i/>
          <w:lang w:val="en-GB"/>
        </w:rPr>
        <w:t>Y v. Canada</w:t>
      </w:r>
      <w:r w:rsidRPr="007B0775">
        <w:rPr>
          <w:lang w:val="en-GB"/>
        </w:rPr>
        <w:t xml:space="preserve">, Views adopted on 22 July 2015, para. 6.5, and </w:t>
      </w:r>
      <w:r w:rsidRPr="007B0775">
        <w:rPr>
          <w:i/>
          <w:lang w:val="en-GB"/>
        </w:rPr>
        <w:t xml:space="preserve">X v. Canada </w:t>
      </w:r>
      <w:r w:rsidRPr="007B0775">
        <w:rPr>
          <w:iCs/>
          <w:szCs w:val="18"/>
          <w:lang w:val="en-GB"/>
        </w:rPr>
        <w:t xml:space="preserve">(note </w:t>
      </w:r>
      <w:r w:rsidR="007B0775" w:rsidRPr="007B0775">
        <w:rPr>
          <w:iCs/>
          <w:szCs w:val="18"/>
          <w:lang w:val="en-GB"/>
        </w:rPr>
        <w:t xml:space="preserve">40 </w:t>
      </w:r>
      <w:r w:rsidRPr="007B0775">
        <w:rPr>
          <w:iCs/>
          <w:szCs w:val="18"/>
          <w:lang w:val="en-GB"/>
        </w:rPr>
        <w:t>above)</w:t>
      </w:r>
      <w:r w:rsidRPr="007B0775">
        <w:rPr>
          <w:lang w:val="en-GB"/>
        </w:rPr>
        <w:t>.</w:t>
      </w:r>
    </w:p>
  </w:footnote>
  <w:footnote w:id="45">
    <w:p w:rsidR="00BE3429" w:rsidRPr="007B0775" w:rsidRDefault="00BE3429" w:rsidP="00B0305D">
      <w:pPr>
        <w:pStyle w:val="FootnoteText"/>
        <w:rPr>
          <w:szCs w:val="18"/>
          <w:lang w:val="en-GB"/>
        </w:rPr>
      </w:pPr>
      <w:r w:rsidRPr="007B0775">
        <w:rPr>
          <w:szCs w:val="18"/>
          <w:lang w:val="en-GB"/>
        </w:rPr>
        <w:tab/>
      </w:r>
      <w:r w:rsidRPr="007B0775">
        <w:rPr>
          <w:rStyle w:val="FootnoteReference"/>
          <w:szCs w:val="18"/>
          <w:lang w:val="en-GB"/>
        </w:rPr>
        <w:footnoteRef/>
      </w:r>
      <w:r w:rsidRPr="007B0775">
        <w:rPr>
          <w:szCs w:val="18"/>
          <w:lang w:val="en-GB"/>
        </w:rPr>
        <w:tab/>
        <w:t>See general comment No. 31 (2004), para. 12.</w:t>
      </w:r>
    </w:p>
  </w:footnote>
  <w:footnote w:id="46">
    <w:p w:rsidR="00BE3429" w:rsidRPr="007B0775" w:rsidRDefault="00BE3429" w:rsidP="007B0775">
      <w:pPr>
        <w:pStyle w:val="FootnoteText"/>
        <w:rPr>
          <w:szCs w:val="18"/>
          <w:lang w:val="en-GB"/>
        </w:rPr>
      </w:pPr>
      <w:r w:rsidRPr="007B0775">
        <w:rPr>
          <w:szCs w:val="18"/>
          <w:lang w:val="en-GB"/>
        </w:rPr>
        <w:tab/>
      </w:r>
      <w:r w:rsidRPr="007B0775">
        <w:rPr>
          <w:rStyle w:val="FootnoteReference"/>
          <w:szCs w:val="18"/>
          <w:lang w:val="en-GB"/>
        </w:rPr>
        <w:footnoteRef/>
      </w:r>
      <w:r w:rsidRPr="007B0775">
        <w:rPr>
          <w:szCs w:val="18"/>
          <w:lang w:val="en-GB"/>
        </w:rPr>
        <w:tab/>
        <w:t xml:space="preserve">See, inter alia, </w:t>
      </w:r>
      <w:r w:rsidRPr="007B0775">
        <w:rPr>
          <w:i/>
          <w:szCs w:val="18"/>
          <w:lang w:val="en-GB"/>
        </w:rPr>
        <w:t xml:space="preserve">Y. v. Canada </w:t>
      </w:r>
      <w:r w:rsidRPr="007B0775">
        <w:rPr>
          <w:iCs/>
          <w:szCs w:val="18"/>
          <w:lang w:val="en-GB"/>
        </w:rPr>
        <w:t xml:space="preserve">(note </w:t>
      </w:r>
      <w:r w:rsidR="007B0775" w:rsidRPr="007B0775">
        <w:rPr>
          <w:iCs/>
          <w:szCs w:val="18"/>
          <w:lang w:val="en-GB"/>
        </w:rPr>
        <w:t xml:space="preserve">41 </w:t>
      </w:r>
      <w:r w:rsidRPr="007B0775">
        <w:rPr>
          <w:iCs/>
          <w:szCs w:val="18"/>
          <w:lang w:val="en-GB"/>
        </w:rPr>
        <w:t>above)</w:t>
      </w:r>
      <w:r w:rsidRPr="007B0775">
        <w:rPr>
          <w:szCs w:val="18"/>
          <w:lang w:val="en-GB"/>
        </w:rPr>
        <w:t xml:space="preserve">, para. 7.2; communication No. 2272/2013, </w:t>
      </w:r>
      <w:r w:rsidRPr="007B0775">
        <w:rPr>
          <w:i/>
          <w:szCs w:val="18"/>
          <w:lang w:val="en-GB"/>
        </w:rPr>
        <w:t>P.T. v. Denmark</w:t>
      </w:r>
      <w:r w:rsidRPr="007B0775">
        <w:rPr>
          <w:szCs w:val="18"/>
          <w:lang w:val="en-GB"/>
        </w:rPr>
        <w:t xml:space="preserve">, Views adopted on 1 April 2015, para. 7.2; and No. 2007/2010, </w:t>
      </w:r>
      <w:r w:rsidRPr="007B0775">
        <w:rPr>
          <w:i/>
          <w:szCs w:val="18"/>
          <w:lang w:val="en-GB"/>
        </w:rPr>
        <w:t>X v. Denmark</w:t>
      </w:r>
      <w:r w:rsidRPr="007B0775">
        <w:rPr>
          <w:szCs w:val="18"/>
          <w:lang w:val="en-GB"/>
        </w:rPr>
        <w:t>,</w:t>
      </w:r>
      <w:r w:rsidRPr="007B0775">
        <w:rPr>
          <w:i/>
          <w:szCs w:val="18"/>
          <w:lang w:val="en-GB"/>
        </w:rPr>
        <w:t xml:space="preserve"> </w:t>
      </w:r>
      <w:r w:rsidRPr="007B0775">
        <w:rPr>
          <w:szCs w:val="18"/>
          <w:lang w:val="en-GB"/>
        </w:rPr>
        <w:t>Views adopted on 26 March 2014</w:t>
      </w:r>
      <w:r w:rsidRPr="007B0775">
        <w:rPr>
          <w:iCs/>
          <w:szCs w:val="18"/>
          <w:lang w:val="en-GB"/>
        </w:rPr>
        <w:t>,</w:t>
      </w:r>
      <w:r w:rsidRPr="007B0775">
        <w:rPr>
          <w:i/>
          <w:szCs w:val="18"/>
          <w:lang w:val="en-GB"/>
        </w:rPr>
        <w:t xml:space="preserve"> </w:t>
      </w:r>
      <w:r w:rsidRPr="007B0775">
        <w:rPr>
          <w:szCs w:val="18"/>
          <w:lang w:val="en-GB"/>
        </w:rPr>
        <w:t>para. 9.2.</w:t>
      </w:r>
    </w:p>
  </w:footnote>
  <w:footnote w:id="47">
    <w:p w:rsidR="00BE3429" w:rsidRPr="007B0775" w:rsidRDefault="00BE3429" w:rsidP="007B0775">
      <w:pPr>
        <w:pStyle w:val="FootnoteText"/>
        <w:rPr>
          <w:szCs w:val="18"/>
          <w:lang w:val="en-GB"/>
        </w:rPr>
      </w:pPr>
      <w:r w:rsidRPr="007B0775">
        <w:rPr>
          <w:szCs w:val="18"/>
          <w:lang w:val="en-GB"/>
        </w:rPr>
        <w:tab/>
      </w:r>
      <w:r w:rsidRPr="007B0775">
        <w:rPr>
          <w:rStyle w:val="FootnoteReference"/>
          <w:szCs w:val="18"/>
          <w:lang w:val="en-GB"/>
        </w:rPr>
        <w:footnoteRef/>
      </w:r>
      <w:r w:rsidRPr="007B0775">
        <w:rPr>
          <w:szCs w:val="18"/>
          <w:lang w:val="en-GB"/>
        </w:rPr>
        <w:tab/>
        <w:t>See</w:t>
      </w:r>
      <w:r w:rsidRPr="007B0775">
        <w:rPr>
          <w:i/>
          <w:iCs/>
          <w:szCs w:val="18"/>
          <w:lang w:val="en-GB"/>
        </w:rPr>
        <w:t xml:space="preserve"> Y v. Canada</w:t>
      </w:r>
      <w:r w:rsidR="007B0775" w:rsidRPr="007B0775">
        <w:rPr>
          <w:i/>
          <w:iCs/>
          <w:szCs w:val="18"/>
          <w:lang w:val="en-GB"/>
        </w:rPr>
        <w:t xml:space="preserve"> </w:t>
      </w:r>
      <w:r w:rsidR="007B0775" w:rsidRPr="007B0775">
        <w:rPr>
          <w:iCs/>
          <w:szCs w:val="18"/>
          <w:lang w:val="en-GB"/>
        </w:rPr>
        <w:t>(note 41 above)</w:t>
      </w:r>
      <w:r w:rsidRPr="007B0775">
        <w:rPr>
          <w:iCs/>
          <w:szCs w:val="18"/>
          <w:lang w:val="en-GB"/>
        </w:rPr>
        <w:t>, para. 7.2,</w:t>
      </w:r>
      <w:r w:rsidRPr="007B0775">
        <w:rPr>
          <w:i/>
          <w:iCs/>
          <w:szCs w:val="18"/>
          <w:lang w:val="en-GB"/>
        </w:rPr>
        <w:t xml:space="preserve"> X v. Denmark</w:t>
      </w:r>
      <w:r w:rsidRPr="007B0775">
        <w:rPr>
          <w:szCs w:val="18"/>
          <w:lang w:val="en-GB"/>
        </w:rPr>
        <w:t>, para. 9.2; communication No. 1833/2008</w:t>
      </w:r>
      <w:r w:rsidRPr="007B0775">
        <w:rPr>
          <w:i/>
          <w:szCs w:val="18"/>
          <w:lang w:val="en-GB"/>
        </w:rPr>
        <w:t>, X v. Sweden</w:t>
      </w:r>
      <w:r w:rsidRPr="007B0775">
        <w:rPr>
          <w:szCs w:val="18"/>
          <w:lang w:val="en-GB"/>
        </w:rPr>
        <w:t xml:space="preserve">, Views adopted on 1 November 2011, para. 5.18. </w:t>
      </w:r>
    </w:p>
  </w:footnote>
  <w:footnote w:id="48">
    <w:p w:rsidR="00BE3429" w:rsidRPr="007B0775" w:rsidRDefault="00BE3429" w:rsidP="007B0775">
      <w:pPr>
        <w:pStyle w:val="FootnoteText"/>
        <w:rPr>
          <w:szCs w:val="18"/>
          <w:lang w:val="en-GB"/>
        </w:rPr>
      </w:pPr>
      <w:r w:rsidRPr="007B0775">
        <w:rPr>
          <w:szCs w:val="18"/>
          <w:lang w:val="en-GB"/>
        </w:rPr>
        <w:tab/>
      </w:r>
      <w:r w:rsidRPr="007B0775">
        <w:rPr>
          <w:rStyle w:val="FootnoteReference"/>
          <w:szCs w:val="18"/>
          <w:lang w:val="en-GB"/>
        </w:rPr>
        <w:footnoteRef/>
      </w:r>
      <w:r w:rsidRPr="007B0775">
        <w:rPr>
          <w:szCs w:val="18"/>
          <w:lang w:val="en-GB"/>
        </w:rPr>
        <w:tab/>
        <w:t xml:space="preserve">See, inter alia, </w:t>
      </w:r>
      <w:r w:rsidRPr="007B0775">
        <w:rPr>
          <w:i/>
          <w:szCs w:val="18"/>
          <w:lang w:val="en-GB"/>
        </w:rPr>
        <w:t xml:space="preserve">Y v. Canada </w:t>
      </w:r>
      <w:r w:rsidRPr="007B0775">
        <w:rPr>
          <w:iCs/>
          <w:szCs w:val="18"/>
          <w:lang w:val="en-GB"/>
        </w:rPr>
        <w:t xml:space="preserve">(note </w:t>
      </w:r>
      <w:r w:rsidR="007B0775" w:rsidRPr="007B0775">
        <w:rPr>
          <w:iCs/>
          <w:szCs w:val="18"/>
          <w:lang w:val="en-GB"/>
        </w:rPr>
        <w:t xml:space="preserve">41 </w:t>
      </w:r>
      <w:r w:rsidRPr="007B0775">
        <w:rPr>
          <w:iCs/>
          <w:szCs w:val="18"/>
          <w:lang w:val="en-GB"/>
        </w:rPr>
        <w:t>above)</w:t>
      </w:r>
      <w:r w:rsidRPr="007B0775">
        <w:rPr>
          <w:szCs w:val="18"/>
          <w:lang w:val="en-GB"/>
        </w:rPr>
        <w:t xml:space="preserve">, para. 7.5; </w:t>
      </w:r>
      <w:r w:rsidRPr="007B0775">
        <w:rPr>
          <w:iCs/>
          <w:szCs w:val="18"/>
          <w:lang w:val="en-GB"/>
        </w:rPr>
        <w:t>communication No.</w:t>
      </w:r>
      <w:r w:rsidRPr="007B0775">
        <w:rPr>
          <w:i/>
          <w:szCs w:val="18"/>
          <w:lang w:val="en-GB"/>
        </w:rPr>
        <w:t> </w:t>
      </w:r>
      <w:r w:rsidRPr="007B0775">
        <w:rPr>
          <w:szCs w:val="18"/>
          <w:lang w:val="en-GB"/>
        </w:rPr>
        <w:t xml:space="preserve">2258/2013, </w:t>
      </w:r>
      <w:r w:rsidRPr="007B0775">
        <w:rPr>
          <w:i/>
          <w:szCs w:val="18"/>
          <w:lang w:val="en-GB"/>
        </w:rPr>
        <w:t>Rasappu v. Canada</w:t>
      </w:r>
      <w:r w:rsidRPr="007B0775">
        <w:rPr>
          <w:szCs w:val="18"/>
          <w:lang w:val="en-GB"/>
        </w:rPr>
        <w:t>,</w:t>
      </w:r>
      <w:r w:rsidRPr="007B0775">
        <w:rPr>
          <w:i/>
          <w:szCs w:val="18"/>
          <w:lang w:val="en-GB"/>
        </w:rPr>
        <w:t xml:space="preserve"> </w:t>
      </w:r>
      <w:r w:rsidRPr="007B0775">
        <w:rPr>
          <w:szCs w:val="18"/>
          <w:lang w:val="en-GB"/>
        </w:rPr>
        <w:t xml:space="preserve">Views adopted on 4 November 2015, para. 7.3; and </w:t>
      </w:r>
      <w:r w:rsidRPr="007B0775">
        <w:rPr>
          <w:i/>
          <w:szCs w:val="18"/>
          <w:lang w:val="en-GB"/>
        </w:rPr>
        <w:t>X v. Canada</w:t>
      </w:r>
      <w:r w:rsidRPr="007B0775">
        <w:rPr>
          <w:szCs w:val="18"/>
          <w:lang w:val="en-GB"/>
        </w:rPr>
        <w:t xml:space="preserve"> </w:t>
      </w:r>
      <w:r w:rsidRPr="007B0775">
        <w:rPr>
          <w:iCs/>
          <w:szCs w:val="18"/>
          <w:lang w:val="en-GB"/>
        </w:rPr>
        <w:t xml:space="preserve">(note </w:t>
      </w:r>
      <w:r w:rsidR="007B0775" w:rsidRPr="007B0775">
        <w:rPr>
          <w:iCs/>
          <w:szCs w:val="18"/>
          <w:lang w:val="en-GB"/>
        </w:rPr>
        <w:t xml:space="preserve">40 </w:t>
      </w:r>
      <w:r w:rsidRPr="007B0775">
        <w:rPr>
          <w:iCs/>
          <w:szCs w:val="18"/>
          <w:lang w:val="en-GB"/>
        </w:rPr>
        <w:t xml:space="preserve">above), </w:t>
      </w:r>
      <w:r w:rsidRPr="007B0775">
        <w:rPr>
          <w:szCs w:val="18"/>
          <w:lang w:val="en-GB"/>
        </w:rPr>
        <w:t>para. 9.3.</w:t>
      </w:r>
    </w:p>
  </w:footnote>
  <w:footnote w:id="49">
    <w:p w:rsidR="00BE3429" w:rsidRPr="007B0775" w:rsidRDefault="00BE3429" w:rsidP="00480269">
      <w:pPr>
        <w:pStyle w:val="FootnoteText"/>
        <w:rPr>
          <w:lang w:val="en-GB"/>
        </w:rPr>
      </w:pPr>
      <w:r w:rsidRPr="007B0775">
        <w:rPr>
          <w:lang w:val="en-GB"/>
        </w:rPr>
        <w:tab/>
      </w:r>
      <w:r w:rsidRPr="007B0775">
        <w:rPr>
          <w:rStyle w:val="FootnoteReference"/>
          <w:lang w:val="en-GB"/>
        </w:rPr>
        <w:footnoteRef/>
      </w:r>
      <w:r w:rsidRPr="007B0775">
        <w:rPr>
          <w:lang w:val="en-GB"/>
        </w:rPr>
        <w:tab/>
      </w:r>
      <w:r w:rsidRPr="007B0775">
        <w:rPr>
          <w:i/>
          <w:iCs/>
          <w:lang w:val="en-GB"/>
        </w:rPr>
        <w:t>Uthayan,</w:t>
      </w:r>
      <w:r w:rsidRPr="007B0775">
        <w:rPr>
          <w:lang w:val="en-GB"/>
        </w:rPr>
        <w:t xml:space="preserve"> founded in 1985, has been the target of several attacks throughout its history, including two attacks in April 2013. Six of its journalists have been killed in connection with their work. According to the World Press Freedom Index 2014 of Reporters without Borders, “</w:t>
      </w:r>
      <w:r w:rsidRPr="007B0775">
        <w:rPr>
          <w:i/>
          <w:iCs/>
          <w:lang w:val="en-GB"/>
        </w:rPr>
        <w:t>Uthayan</w:t>
      </w:r>
      <w:r w:rsidRPr="007B0775">
        <w:rPr>
          <w:lang w:val="en-GB"/>
        </w:rPr>
        <w:t xml:space="preserve"> does not hesitate to criticize the Government’s authoritarian methods and continues to pay a high price for not kowtowing to either the military or the Government”. </w:t>
      </w:r>
      <w:hyperlink w:history="1"/>
      <w:r w:rsidRPr="007B0775">
        <w:rPr>
          <w:lang w:val="en-GB"/>
        </w:rPr>
        <w:t xml:space="preserve"> Wouldn’t be better to leave the source?</w:t>
      </w:r>
    </w:p>
  </w:footnote>
  <w:footnote w:id="50">
    <w:p w:rsidR="00BE3429" w:rsidRPr="007B0775" w:rsidRDefault="00BE3429" w:rsidP="00480269">
      <w:pPr>
        <w:pStyle w:val="FootnoteText"/>
        <w:rPr>
          <w:lang w:val="en-GB"/>
        </w:rPr>
      </w:pPr>
      <w:r w:rsidRPr="007B0775">
        <w:rPr>
          <w:lang w:val="en-GB"/>
        </w:rPr>
        <w:tab/>
      </w:r>
      <w:r w:rsidRPr="007B0775">
        <w:rPr>
          <w:rStyle w:val="FootnoteReference"/>
          <w:lang w:val="en-GB"/>
        </w:rPr>
        <w:footnoteRef/>
      </w:r>
      <w:r w:rsidRPr="007B0775">
        <w:rPr>
          <w:lang w:val="en-GB"/>
        </w:rPr>
        <w:tab/>
        <w:t xml:space="preserve">Including the press credentials dated 1 January 2011, photographs showing the author receiving a photography award in 2006, a letter by Mr. N.R. stating that he worked with the author for </w:t>
      </w:r>
      <w:r w:rsidRPr="007B0775">
        <w:rPr>
          <w:i/>
          <w:iCs/>
          <w:lang w:val="en-GB"/>
        </w:rPr>
        <w:t>Uthayan</w:t>
      </w:r>
      <w:r w:rsidRPr="007B0775">
        <w:rPr>
          <w:lang w:val="en-GB"/>
        </w:rPr>
        <w:t xml:space="preserve"> between the end of 2006 and 2007.</w:t>
      </w:r>
    </w:p>
  </w:footnote>
  <w:footnote w:id="51">
    <w:p w:rsidR="00BE3429" w:rsidRPr="00BE3429" w:rsidRDefault="00BE3429" w:rsidP="00480269">
      <w:pPr>
        <w:pStyle w:val="FootnoteText"/>
        <w:rPr>
          <w:lang w:val="en-GB"/>
        </w:rPr>
      </w:pPr>
      <w:r w:rsidRPr="007B0775">
        <w:rPr>
          <w:lang w:val="en-GB"/>
        </w:rPr>
        <w:tab/>
      </w:r>
      <w:r w:rsidRPr="007B0775">
        <w:rPr>
          <w:rStyle w:val="FootnoteReference"/>
          <w:lang w:val="en-GB"/>
        </w:rPr>
        <w:footnoteRef/>
      </w:r>
      <w:r w:rsidRPr="007B0775">
        <w:rPr>
          <w:lang w:val="en-GB"/>
        </w:rPr>
        <w:tab/>
        <w:t xml:space="preserve">The </w:t>
      </w:r>
      <w:r w:rsidRPr="007B0775">
        <w:t xml:space="preserve">pre-removal risk assessment </w:t>
      </w:r>
      <w:r w:rsidRPr="007B0775">
        <w:rPr>
          <w:lang w:val="en-GB"/>
        </w:rPr>
        <w:t xml:space="preserve">officer did not accept as reliable an affidavit signed by the author’s mother dated </w:t>
      </w:r>
      <w:r w:rsidRPr="007B0775">
        <w:rPr>
          <w:iCs/>
          <w:lang w:val="en-GB"/>
        </w:rPr>
        <w:t xml:space="preserve">23 November 2012 </w:t>
      </w:r>
      <w:r w:rsidRPr="007B0775">
        <w:rPr>
          <w:lang w:val="en-GB"/>
        </w:rPr>
        <w:t xml:space="preserve">confirming most of his claims, an undated letter by Ms. S indicating that he had been a photojournalist, a letter dated 3 May 2013 signed by the Chief Editor of </w:t>
      </w:r>
      <w:r w:rsidRPr="007B0775">
        <w:rPr>
          <w:i/>
          <w:iCs/>
          <w:lang w:val="en-GB"/>
        </w:rPr>
        <w:t>Uthayan</w:t>
      </w:r>
      <w:r w:rsidRPr="007B0775">
        <w:rPr>
          <w:lang w:val="en-GB"/>
        </w:rPr>
        <w:t xml:space="preserve"> confirming that the author had worked for the newspaper between October 2006 and May 2011, and a letter by the Sri Lanka Human Rights Commission on a complaint made by the author’s mother indicating that SLA officers had come to her home on 27 September 2013 and had asked about her son’s whereabouts.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29" w:rsidRPr="00A36331" w:rsidRDefault="00BE3429" w:rsidP="003521FD">
    <w:pPr>
      <w:pStyle w:val="Header"/>
    </w:pPr>
    <w:r>
      <w:t>CCPR/C/116/D/2314/2013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29" w:rsidRPr="00A36331" w:rsidRDefault="00BE3429" w:rsidP="001B6457">
    <w:pPr>
      <w:pStyle w:val="Header"/>
      <w:jc w:val="right"/>
    </w:pPr>
    <w:r>
      <w:t>CCPR/C/116/D/2314</w:t>
    </w:r>
    <w:r w:rsidRPr="00482F72">
      <w:t>/201</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912A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726B1"/>
    <w:multiLevelType w:val="hybridMultilevel"/>
    <w:tmpl w:val="F1004364"/>
    <w:lvl w:ilvl="0" w:tplc="8F149F0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5B3675FD"/>
    <w:multiLevelType w:val="multilevel"/>
    <w:tmpl w:val="71AEAA1E"/>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66535B0D"/>
    <w:multiLevelType w:val="multilevel"/>
    <w:tmpl w:val="7C460354"/>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F35FAF"/>
    <w:multiLevelType w:val="multilevel"/>
    <w:tmpl w:val="FB302C2C"/>
    <w:lvl w:ilvl="0">
      <w:start w:val="1"/>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1"/>
  </w:num>
  <w:num w:numId="2">
    <w:abstractNumId w:val="6"/>
  </w:num>
  <w:num w:numId="3">
    <w:abstractNumId w:val="2"/>
  </w:num>
  <w:num w:numId="4">
    <w:abstractNumId w:val="0"/>
  </w:num>
  <w:num w:numId="5">
    <w:abstractNumId w:val="7"/>
  </w:num>
  <w:num w:numId="6">
    <w:abstractNumId w:val="5"/>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3126"/>
    <w:rsid w:val="00005042"/>
    <w:rsid w:val="0000558A"/>
    <w:rsid w:val="000107CF"/>
    <w:rsid w:val="00010EAE"/>
    <w:rsid w:val="00011075"/>
    <w:rsid w:val="0001160D"/>
    <w:rsid w:val="0001182D"/>
    <w:rsid w:val="00014573"/>
    <w:rsid w:val="00014C5A"/>
    <w:rsid w:val="00015C9A"/>
    <w:rsid w:val="00015D8D"/>
    <w:rsid w:val="00016E95"/>
    <w:rsid w:val="00020C90"/>
    <w:rsid w:val="00021B82"/>
    <w:rsid w:val="00022F2F"/>
    <w:rsid w:val="00023B1A"/>
    <w:rsid w:val="000247D4"/>
    <w:rsid w:val="00024EAC"/>
    <w:rsid w:val="000253E0"/>
    <w:rsid w:val="00027624"/>
    <w:rsid w:val="00027E4D"/>
    <w:rsid w:val="0003198D"/>
    <w:rsid w:val="000322DA"/>
    <w:rsid w:val="000344FA"/>
    <w:rsid w:val="0003615D"/>
    <w:rsid w:val="00036372"/>
    <w:rsid w:val="0003669A"/>
    <w:rsid w:val="0003797F"/>
    <w:rsid w:val="00037ADA"/>
    <w:rsid w:val="00040E9D"/>
    <w:rsid w:val="000413BC"/>
    <w:rsid w:val="000420A5"/>
    <w:rsid w:val="0004296D"/>
    <w:rsid w:val="000453D2"/>
    <w:rsid w:val="00045B37"/>
    <w:rsid w:val="00047068"/>
    <w:rsid w:val="000500CF"/>
    <w:rsid w:val="00051111"/>
    <w:rsid w:val="00052B78"/>
    <w:rsid w:val="00053402"/>
    <w:rsid w:val="0005371B"/>
    <w:rsid w:val="0005393C"/>
    <w:rsid w:val="00054A2F"/>
    <w:rsid w:val="00055344"/>
    <w:rsid w:val="00057C3C"/>
    <w:rsid w:val="00060323"/>
    <w:rsid w:val="00060948"/>
    <w:rsid w:val="000639BD"/>
    <w:rsid w:val="000647D6"/>
    <w:rsid w:val="000665FF"/>
    <w:rsid w:val="00067476"/>
    <w:rsid w:val="00067BB1"/>
    <w:rsid w:val="00070191"/>
    <w:rsid w:val="00070207"/>
    <w:rsid w:val="000720A1"/>
    <w:rsid w:val="00073383"/>
    <w:rsid w:val="000739DC"/>
    <w:rsid w:val="00073DBA"/>
    <w:rsid w:val="00074338"/>
    <w:rsid w:val="00076283"/>
    <w:rsid w:val="00076DB4"/>
    <w:rsid w:val="0007777E"/>
    <w:rsid w:val="00077853"/>
    <w:rsid w:val="00077BA8"/>
    <w:rsid w:val="000823B7"/>
    <w:rsid w:val="00082B88"/>
    <w:rsid w:val="0008411F"/>
    <w:rsid w:val="000841F3"/>
    <w:rsid w:val="00085C20"/>
    <w:rsid w:val="00085F87"/>
    <w:rsid w:val="0008640C"/>
    <w:rsid w:val="00087319"/>
    <w:rsid w:val="00087525"/>
    <w:rsid w:val="00090081"/>
    <w:rsid w:val="0009146B"/>
    <w:rsid w:val="000929A8"/>
    <w:rsid w:val="000931D3"/>
    <w:rsid w:val="00093876"/>
    <w:rsid w:val="00094AA5"/>
    <w:rsid w:val="00096D17"/>
    <w:rsid w:val="000970A9"/>
    <w:rsid w:val="000A1004"/>
    <w:rsid w:val="000A2910"/>
    <w:rsid w:val="000A2FED"/>
    <w:rsid w:val="000A3191"/>
    <w:rsid w:val="000A5DCA"/>
    <w:rsid w:val="000A7223"/>
    <w:rsid w:val="000B02E2"/>
    <w:rsid w:val="000B196A"/>
    <w:rsid w:val="000B36F8"/>
    <w:rsid w:val="000B3796"/>
    <w:rsid w:val="000B4F14"/>
    <w:rsid w:val="000B58A4"/>
    <w:rsid w:val="000B5E58"/>
    <w:rsid w:val="000B6221"/>
    <w:rsid w:val="000B7E50"/>
    <w:rsid w:val="000C02F4"/>
    <w:rsid w:val="000C0718"/>
    <w:rsid w:val="000C0928"/>
    <w:rsid w:val="000C132E"/>
    <w:rsid w:val="000C25B2"/>
    <w:rsid w:val="000C260E"/>
    <w:rsid w:val="000C4872"/>
    <w:rsid w:val="000C5115"/>
    <w:rsid w:val="000C6262"/>
    <w:rsid w:val="000C7253"/>
    <w:rsid w:val="000D3993"/>
    <w:rsid w:val="000D39B9"/>
    <w:rsid w:val="000D3E8A"/>
    <w:rsid w:val="000D4EE0"/>
    <w:rsid w:val="000D5BA5"/>
    <w:rsid w:val="000D6110"/>
    <w:rsid w:val="000D671D"/>
    <w:rsid w:val="000D764D"/>
    <w:rsid w:val="000D7C47"/>
    <w:rsid w:val="000E0AC8"/>
    <w:rsid w:val="000E17C5"/>
    <w:rsid w:val="000E2AF0"/>
    <w:rsid w:val="000E40F7"/>
    <w:rsid w:val="000E442E"/>
    <w:rsid w:val="000E5F86"/>
    <w:rsid w:val="000E6A0A"/>
    <w:rsid w:val="000E7DCB"/>
    <w:rsid w:val="000E7F30"/>
    <w:rsid w:val="000F106F"/>
    <w:rsid w:val="000F30FF"/>
    <w:rsid w:val="000F397B"/>
    <w:rsid w:val="000F3E52"/>
    <w:rsid w:val="000F52F8"/>
    <w:rsid w:val="000F54A0"/>
    <w:rsid w:val="000F6923"/>
    <w:rsid w:val="000F722B"/>
    <w:rsid w:val="00101C5A"/>
    <w:rsid w:val="00102233"/>
    <w:rsid w:val="001026EC"/>
    <w:rsid w:val="00103A87"/>
    <w:rsid w:val="00103EC2"/>
    <w:rsid w:val="00104C19"/>
    <w:rsid w:val="00106484"/>
    <w:rsid w:val="00106A05"/>
    <w:rsid w:val="001070D6"/>
    <w:rsid w:val="00107297"/>
    <w:rsid w:val="00107C28"/>
    <w:rsid w:val="001106A5"/>
    <w:rsid w:val="00113DF2"/>
    <w:rsid w:val="0011544F"/>
    <w:rsid w:val="00115E3A"/>
    <w:rsid w:val="00116483"/>
    <w:rsid w:val="001178D0"/>
    <w:rsid w:val="00117F05"/>
    <w:rsid w:val="00124B30"/>
    <w:rsid w:val="00125B24"/>
    <w:rsid w:val="00125D35"/>
    <w:rsid w:val="0012672F"/>
    <w:rsid w:val="00127D8E"/>
    <w:rsid w:val="0013111E"/>
    <w:rsid w:val="001313EE"/>
    <w:rsid w:val="00132D6B"/>
    <w:rsid w:val="001344A6"/>
    <w:rsid w:val="001346C3"/>
    <w:rsid w:val="00134B9F"/>
    <w:rsid w:val="0013566D"/>
    <w:rsid w:val="00136DC6"/>
    <w:rsid w:val="00137E6A"/>
    <w:rsid w:val="00141567"/>
    <w:rsid w:val="00143AC2"/>
    <w:rsid w:val="001449DF"/>
    <w:rsid w:val="00146903"/>
    <w:rsid w:val="001479E0"/>
    <w:rsid w:val="00150023"/>
    <w:rsid w:val="00150ABA"/>
    <w:rsid w:val="00150CC2"/>
    <w:rsid w:val="00151013"/>
    <w:rsid w:val="00151A60"/>
    <w:rsid w:val="00151BD5"/>
    <w:rsid w:val="00151EAF"/>
    <w:rsid w:val="00153376"/>
    <w:rsid w:val="00153AA5"/>
    <w:rsid w:val="00153E1F"/>
    <w:rsid w:val="0015528F"/>
    <w:rsid w:val="00155382"/>
    <w:rsid w:val="00157ABB"/>
    <w:rsid w:val="00157E42"/>
    <w:rsid w:val="00160847"/>
    <w:rsid w:val="001615CC"/>
    <w:rsid w:val="00161F81"/>
    <w:rsid w:val="001621E2"/>
    <w:rsid w:val="00163940"/>
    <w:rsid w:val="00165320"/>
    <w:rsid w:val="00166CD5"/>
    <w:rsid w:val="001704EC"/>
    <w:rsid w:val="00170ADC"/>
    <w:rsid w:val="00171DEA"/>
    <w:rsid w:val="00172936"/>
    <w:rsid w:val="00176CDF"/>
    <w:rsid w:val="00176EA2"/>
    <w:rsid w:val="0017774C"/>
    <w:rsid w:val="0017783F"/>
    <w:rsid w:val="0017796D"/>
    <w:rsid w:val="00180257"/>
    <w:rsid w:val="00180F17"/>
    <w:rsid w:val="001818CE"/>
    <w:rsid w:val="00182C97"/>
    <w:rsid w:val="001855BF"/>
    <w:rsid w:val="00185783"/>
    <w:rsid w:val="00186BD1"/>
    <w:rsid w:val="00191D93"/>
    <w:rsid w:val="001920D8"/>
    <w:rsid w:val="0019222B"/>
    <w:rsid w:val="00193BB8"/>
    <w:rsid w:val="00193E25"/>
    <w:rsid w:val="00196DAD"/>
    <w:rsid w:val="001A089D"/>
    <w:rsid w:val="001A1341"/>
    <w:rsid w:val="001A2983"/>
    <w:rsid w:val="001A641F"/>
    <w:rsid w:val="001A6780"/>
    <w:rsid w:val="001A6F20"/>
    <w:rsid w:val="001B0B2A"/>
    <w:rsid w:val="001B2A2C"/>
    <w:rsid w:val="001B5D1A"/>
    <w:rsid w:val="001B6457"/>
    <w:rsid w:val="001B7E49"/>
    <w:rsid w:val="001C0484"/>
    <w:rsid w:val="001C168B"/>
    <w:rsid w:val="001C1890"/>
    <w:rsid w:val="001C1F57"/>
    <w:rsid w:val="001C2261"/>
    <w:rsid w:val="001C2D69"/>
    <w:rsid w:val="001C4133"/>
    <w:rsid w:val="001C458A"/>
    <w:rsid w:val="001C4993"/>
    <w:rsid w:val="001C5029"/>
    <w:rsid w:val="001C6023"/>
    <w:rsid w:val="001C692C"/>
    <w:rsid w:val="001C6B0A"/>
    <w:rsid w:val="001D0348"/>
    <w:rsid w:val="001D1C3A"/>
    <w:rsid w:val="001D3CE2"/>
    <w:rsid w:val="001D593C"/>
    <w:rsid w:val="001E61B3"/>
    <w:rsid w:val="001E7A0C"/>
    <w:rsid w:val="001F0456"/>
    <w:rsid w:val="001F0BCE"/>
    <w:rsid w:val="001F1884"/>
    <w:rsid w:val="001F3E15"/>
    <w:rsid w:val="001F4512"/>
    <w:rsid w:val="001F50C7"/>
    <w:rsid w:val="001F54B0"/>
    <w:rsid w:val="001F6867"/>
    <w:rsid w:val="002006F8"/>
    <w:rsid w:val="002007F6"/>
    <w:rsid w:val="00200A85"/>
    <w:rsid w:val="00200BE4"/>
    <w:rsid w:val="00200FDE"/>
    <w:rsid w:val="002016F8"/>
    <w:rsid w:val="0020170D"/>
    <w:rsid w:val="00201E40"/>
    <w:rsid w:val="00202D1A"/>
    <w:rsid w:val="00203B38"/>
    <w:rsid w:val="00203FD5"/>
    <w:rsid w:val="0020482B"/>
    <w:rsid w:val="00205849"/>
    <w:rsid w:val="00205987"/>
    <w:rsid w:val="0020620A"/>
    <w:rsid w:val="00206509"/>
    <w:rsid w:val="00207969"/>
    <w:rsid w:val="00207DF3"/>
    <w:rsid w:val="002108FF"/>
    <w:rsid w:val="00211D65"/>
    <w:rsid w:val="00213ACE"/>
    <w:rsid w:val="00214955"/>
    <w:rsid w:val="00220996"/>
    <w:rsid w:val="0022261C"/>
    <w:rsid w:val="00222B06"/>
    <w:rsid w:val="00223E8F"/>
    <w:rsid w:val="00223FCD"/>
    <w:rsid w:val="0022676B"/>
    <w:rsid w:val="00227516"/>
    <w:rsid w:val="00231ED4"/>
    <w:rsid w:val="002339FA"/>
    <w:rsid w:val="002352E8"/>
    <w:rsid w:val="00235A8E"/>
    <w:rsid w:val="002360AB"/>
    <w:rsid w:val="00236F58"/>
    <w:rsid w:val="00240333"/>
    <w:rsid w:val="00240B24"/>
    <w:rsid w:val="00240BBF"/>
    <w:rsid w:val="00240C8A"/>
    <w:rsid w:val="00242301"/>
    <w:rsid w:val="00245B01"/>
    <w:rsid w:val="00247049"/>
    <w:rsid w:val="002473A3"/>
    <w:rsid w:val="0025075F"/>
    <w:rsid w:val="00250CDB"/>
    <w:rsid w:val="00252AC9"/>
    <w:rsid w:val="00252DC7"/>
    <w:rsid w:val="00254321"/>
    <w:rsid w:val="00254CE8"/>
    <w:rsid w:val="00255B42"/>
    <w:rsid w:val="00255F48"/>
    <w:rsid w:val="00256BD9"/>
    <w:rsid w:val="00260F3A"/>
    <w:rsid w:val="00261982"/>
    <w:rsid w:val="00261B89"/>
    <w:rsid w:val="00261D5A"/>
    <w:rsid w:val="002624CC"/>
    <w:rsid w:val="002654C7"/>
    <w:rsid w:val="00267717"/>
    <w:rsid w:val="00271448"/>
    <w:rsid w:val="00271E5F"/>
    <w:rsid w:val="002721A7"/>
    <w:rsid w:val="002723D7"/>
    <w:rsid w:val="002730F8"/>
    <w:rsid w:val="002731ED"/>
    <w:rsid w:val="00273728"/>
    <w:rsid w:val="0027541A"/>
    <w:rsid w:val="00276CF3"/>
    <w:rsid w:val="0027701C"/>
    <w:rsid w:val="002775CA"/>
    <w:rsid w:val="00277E6E"/>
    <w:rsid w:val="00280021"/>
    <w:rsid w:val="0028332A"/>
    <w:rsid w:val="00283349"/>
    <w:rsid w:val="00283ED5"/>
    <w:rsid w:val="00285917"/>
    <w:rsid w:val="00285A48"/>
    <w:rsid w:val="00285A55"/>
    <w:rsid w:val="00286040"/>
    <w:rsid w:val="0028692C"/>
    <w:rsid w:val="00286BDD"/>
    <w:rsid w:val="0029109D"/>
    <w:rsid w:val="002952B5"/>
    <w:rsid w:val="00295A1F"/>
    <w:rsid w:val="00297387"/>
    <w:rsid w:val="002A04F9"/>
    <w:rsid w:val="002A070C"/>
    <w:rsid w:val="002A0C34"/>
    <w:rsid w:val="002A33F1"/>
    <w:rsid w:val="002A3706"/>
    <w:rsid w:val="002A393B"/>
    <w:rsid w:val="002A66DC"/>
    <w:rsid w:val="002A7975"/>
    <w:rsid w:val="002B004A"/>
    <w:rsid w:val="002B0A6F"/>
    <w:rsid w:val="002B17EA"/>
    <w:rsid w:val="002B2E9E"/>
    <w:rsid w:val="002B2ECD"/>
    <w:rsid w:val="002B3E08"/>
    <w:rsid w:val="002B6A77"/>
    <w:rsid w:val="002B74D0"/>
    <w:rsid w:val="002B7589"/>
    <w:rsid w:val="002C0B16"/>
    <w:rsid w:val="002C2931"/>
    <w:rsid w:val="002C293D"/>
    <w:rsid w:val="002C4175"/>
    <w:rsid w:val="002C421E"/>
    <w:rsid w:val="002C5445"/>
    <w:rsid w:val="002C566A"/>
    <w:rsid w:val="002C6551"/>
    <w:rsid w:val="002D4903"/>
    <w:rsid w:val="002D70B8"/>
    <w:rsid w:val="002D7598"/>
    <w:rsid w:val="002D78D0"/>
    <w:rsid w:val="002E127C"/>
    <w:rsid w:val="002E132B"/>
    <w:rsid w:val="002E28BD"/>
    <w:rsid w:val="002E30E8"/>
    <w:rsid w:val="002E5C5C"/>
    <w:rsid w:val="002E667A"/>
    <w:rsid w:val="002E7927"/>
    <w:rsid w:val="002F0FC2"/>
    <w:rsid w:val="002F11D6"/>
    <w:rsid w:val="002F1734"/>
    <w:rsid w:val="002F208E"/>
    <w:rsid w:val="002F2640"/>
    <w:rsid w:val="002F4BD6"/>
    <w:rsid w:val="002F7A2B"/>
    <w:rsid w:val="002F7DAA"/>
    <w:rsid w:val="00301D34"/>
    <w:rsid w:val="00304913"/>
    <w:rsid w:val="00304A70"/>
    <w:rsid w:val="00304B54"/>
    <w:rsid w:val="00306BE6"/>
    <w:rsid w:val="0031381F"/>
    <w:rsid w:val="003140C8"/>
    <w:rsid w:val="00314B1B"/>
    <w:rsid w:val="00315FE9"/>
    <w:rsid w:val="003163D6"/>
    <w:rsid w:val="003175C8"/>
    <w:rsid w:val="0031798D"/>
    <w:rsid w:val="00317A80"/>
    <w:rsid w:val="00317A9E"/>
    <w:rsid w:val="003212D6"/>
    <w:rsid w:val="00321552"/>
    <w:rsid w:val="00322809"/>
    <w:rsid w:val="00323AE1"/>
    <w:rsid w:val="00325F0B"/>
    <w:rsid w:val="0032634D"/>
    <w:rsid w:val="0032700A"/>
    <w:rsid w:val="0032766E"/>
    <w:rsid w:val="003305D4"/>
    <w:rsid w:val="00330FCC"/>
    <w:rsid w:val="00331EBA"/>
    <w:rsid w:val="00334EAF"/>
    <w:rsid w:val="0033580E"/>
    <w:rsid w:val="00335B00"/>
    <w:rsid w:val="003368E0"/>
    <w:rsid w:val="00340AC0"/>
    <w:rsid w:val="00342D33"/>
    <w:rsid w:val="00342EBF"/>
    <w:rsid w:val="00343625"/>
    <w:rsid w:val="00343E82"/>
    <w:rsid w:val="00346004"/>
    <w:rsid w:val="00346E72"/>
    <w:rsid w:val="003509A5"/>
    <w:rsid w:val="00351F06"/>
    <w:rsid w:val="003521FD"/>
    <w:rsid w:val="0035291A"/>
    <w:rsid w:val="003535BE"/>
    <w:rsid w:val="0035381D"/>
    <w:rsid w:val="003538C1"/>
    <w:rsid w:val="00354F3D"/>
    <w:rsid w:val="003550A6"/>
    <w:rsid w:val="00355B25"/>
    <w:rsid w:val="00357827"/>
    <w:rsid w:val="00361A7A"/>
    <w:rsid w:val="003628C0"/>
    <w:rsid w:val="00363216"/>
    <w:rsid w:val="00363C65"/>
    <w:rsid w:val="0036406A"/>
    <w:rsid w:val="0036419D"/>
    <w:rsid w:val="0036583C"/>
    <w:rsid w:val="00370953"/>
    <w:rsid w:val="00370C2A"/>
    <w:rsid w:val="00372E4D"/>
    <w:rsid w:val="00373E44"/>
    <w:rsid w:val="003741D5"/>
    <w:rsid w:val="00374FAC"/>
    <w:rsid w:val="00376D95"/>
    <w:rsid w:val="00376FC4"/>
    <w:rsid w:val="00380FF9"/>
    <w:rsid w:val="003817BA"/>
    <w:rsid w:val="00383B95"/>
    <w:rsid w:val="00383CB3"/>
    <w:rsid w:val="00384C18"/>
    <w:rsid w:val="0038722E"/>
    <w:rsid w:val="003878C6"/>
    <w:rsid w:val="00387AC4"/>
    <w:rsid w:val="00391D88"/>
    <w:rsid w:val="00391F31"/>
    <w:rsid w:val="00392406"/>
    <w:rsid w:val="003938D6"/>
    <w:rsid w:val="00394388"/>
    <w:rsid w:val="00394CC6"/>
    <w:rsid w:val="00394D49"/>
    <w:rsid w:val="00397722"/>
    <w:rsid w:val="00397E07"/>
    <w:rsid w:val="003A1820"/>
    <w:rsid w:val="003A2B3B"/>
    <w:rsid w:val="003A36DE"/>
    <w:rsid w:val="003A4FB7"/>
    <w:rsid w:val="003A591C"/>
    <w:rsid w:val="003A6558"/>
    <w:rsid w:val="003A72D1"/>
    <w:rsid w:val="003B3EA1"/>
    <w:rsid w:val="003B4F1D"/>
    <w:rsid w:val="003B539C"/>
    <w:rsid w:val="003B6191"/>
    <w:rsid w:val="003B7359"/>
    <w:rsid w:val="003B785A"/>
    <w:rsid w:val="003B7AB3"/>
    <w:rsid w:val="003B7DD4"/>
    <w:rsid w:val="003C040D"/>
    <w:rsid w:val="003C26AE"/>
    <w:rsid w:val="003C279E"/>
    <w:rsid w:val="003C444F"/>
    <w:rsid w:val="003C5706"/>
    <w:rsid w:val="003C62B6"/>
    <w:rsid w:val="003C62CC"/>
    <w:rsid w:val="003C74DD"/>
    <w:rsid w:val="003C7956"/>
    <w:rsid w:val="003D0114"/>
    <w:rsid w:val="003D0740"/>
    <w:rsid w:val="003D17BA"/>
    <w:rsid w:val="003D1BC1"/>
    <w:rsid w:val="003D21F8"/>
    <w:rsid w:val="003D34C3"/>
    <w:rsid w:val="003D485C"/>
    <w:rsid w:val="003D53DD"/>
    <w:rsid w:val="003D5DBF"/>
    <w:rsid w:val="003D6988"/>
    <w:rsid w:val="003D704C"/>
    <w:rsid w:val="003E17AC"/>
    <w:rsid w:val="003E242D"/>
    <w:rsid w:val="003E26CC"/>
    <w:rsid w:val="003E30BE"/>
    <w:rsid w:val="003E3878"/>
    <w:rsid w:val="003E4D1D"/>
    <w:rsid w:val="003E6481"/>
    <w:rsid w:val="003E7A58"/>
    <w:rsid w:val="003F0371"/>
    <w:rsid w:val="003F3297"/>
    <w:rsid w:val="003F36E2"/>
    <w:rsid w:val="003F3D5E"/>
    <w:rsid w:val="003F58C5"/>
    <w:rsid w:val="003F5D49"/>
    <w:rsid w:val="003F60D8"/>
    <w:rsid w:val="003F74C0"/>
    <w:rsid w:val="003F7991"/>
    <w:rsid w:val="004009FB"/>
    <w:rsid w:val="00401413"/>
    <w:rsid w:val="0040273E"/>
    <w:rsid w:val="00402A9F"/>
    <w:rsid w:val="004033DE"/>
    <w:rsid w:val="00403EBA"/>
    <w:rsid w:val="00404E59"/>
    <w:rsid w:val="0040699C"/>
    <w:rsid w:val="00406C38"/>
    <w:rsid w:val="004070DE"/>
    <w:rsid w:val="00407404"/>
    <w:rsid w:val="00407C21"/>
    <w:rsid w:val="004103F9"/>
    <w:rsid w:val="00410917"/>
    <w:rsid w:val="00411E67"/>
    <w:rsid w:val="00411F53"/>
    <w:rsid w:val="00412884"/>
    <w:rsid w:val="00412C1A"/>
    <w:rsid w:val="004130A4"/>
    <w:rsid w:val="00414083"/>
    <w:rsid w:val="00414FB9"/>
    <w:rsid w:val="004150DE"/>
    <w:rsid w:val="004171BE"/>
    <w:rsid w:val="004205B7"/>
    <w:rsid w:val="00422EBE"/>
    <w:rsid w:val="00423075"/>
    <w:rsid w:val="00423B64"/>
    <w:rsid w:val="00424792"/>
    <w:rsid w:val="00424C4D"/>
    <w:rsid w:val="00424F03"/>
    <w:rsid w:val="00425C22"/>
    <w:rsid w:val="004269BD"/>
    <w:rsid w:val="00427149"/>
    <w:rsid w:val="00427912"/>
    <w:rsid w:val="00427B04"/>
    <w:rsid w:val="0043026B"/>
    <w:rsid w:val="00430737"/>
    <w:rsid w:val="0043191D"/>
    <w:rsid w:val="00432EA7"/>
    <w:rsid w:val="00433388"/>
    <w:rsid w:val="004335A4"/>
    <w:rsid w:val="0043426D"/>
    <w:rsid w:val="004370F4"/>
    <w:rsid w:val="004408E9"/>
    <w:rsid w:val="00440D71"/>
    <w:rsid w:val="0044534F"/>
    <w:rsid w:val="00445D05"/>
    <w:rsid w:val="004468FE"/>
    <w:rsid w:val="0045055A"/>
    <w:rsid w:val="00450952"/>
    <w:rsid w:val="004514F6"/>
    <w:rsid w:val="00451C91"/>
    <w:rsid w:val="004530F9"/>
    <w:rsid w:val="004532F9"/>
    <w:rsid w:val="00453457"/>
    <w:rsid w:val="00454F5B"/>
    <w:rsid w:val="004554FD"/>
    <w:rsid w:val="00456547"/>
    <w:rsid w:val="00456F36"/>
    <w:rsid w:val="00457329"/>
    <w:rsid w:val="00460224"/>
    <w:rsid w:val="00461235"/>
    <w:rsid w:val="00461A69"/>
    <w:rsid w:val="00461E68"/>
    <w:rsid w:val="004637F3"/>
    <w:rsid w:val="0046394E"/>
    <w:rsid w:val="004653A2"/>
    <w:rsid w:val="004655EC"/>
    <w:rsid w:val="00465BB9"/>
    <w:rsid w:val="00466E98"/>
    <w:rsid w:val="00467410"/>
    <w:rsid w:val="004702F6"/>
    <w:rsid w:val="00477892"/>
    <w:rsid w:val="00480269"/>
    <w:rsid w:val="00482F72"/>
    <w:rsid w:val="00483A42"/>
    <w:rsid w:val="00484DEF"/>
    <w:rsid w:val="00485A39"/>
    <w:rsid w:val="0049035A"/>
    <w:rsid w:val="00490584"/>
    <w:rsid w:val="004906D6"/>
    <w:rsid w:val="0049101A"/>
    <w:rsid w:val="004942D3"/>
    <w:rsid w:val="00495158"/>
    <w:rsid w:val="0049667A"/>
    <w:rsid w:val="0049689B"/>
    <w:rsid w:val="004A076D"/>
    <w:rsid w:val="004A146C"/>
    <w:rsid w:val="004A2ED0"/>
    <w:rsid w:val="004A30C5"/>
    <w:rsid w:val="004A326B"/>
    <w:rsid w:val="004A3303"/>
    <w:rsid w:val="004A491F"/>
    <w:rsid w:val="004A593B"/>
    <w:rsid w:val="004B04CD"/>
    <w:rsid w:val="004B1A99"/>
    <w:rsid w:val="004B363B"/>
    <w:rsid w:val="004B3E49"/>
    <w:rsid w:val="004B4C8F"/>
    <w:rsid w:val="004B4E7B"/>
    <w:rsid w:val="004B5150"/>
    <w:rsid w:val="004B54F7"/>
    <w:rsid w:val="004B682D"/>
    <w:rsid w:val="004B6BD2"/>
    <w:rsid w:val="004B70E4"/>
    <w:rsid w:val="004B7189"/>
    <w:rsid w:val="004C0794"/>
    <w:rsid w:val="004C1297"/>
    <w:rsid w:val="004C1B8D"/>
    <w:rsid w:val="004C1FBD"/>
    <w:rsid w:val="004C25D1"/>
    <w:rsid w:val="004C3710"/>
    <w:rsid w:val="004C3B9D"/>
    <w:rsid w:val="004C4D3E"/>
    <w:rsid w:val="004C5A9B"/>
    <w:rsid w:val="004C61CE"/>
    <w:rsid w:val="004C6B44"/>
    <w:rsid w:val="004C6E5E"/>
    <w:rsid w:val="004D19D8"/>
    <w:rsid w:val="004D3321"/>
    <w:rsid w:val="004D33E0"/>
    <w:rsid w:val="004D46B4"/>
    <w:rsid w:val="004D6C66"/>
    <w:rsid w:val="004E01B1"/>
    <w:rsid w:val="004E0CBC"/>
    <w:rsid w:val="004E1918"/>
    <w:rsid w:val="004E19CF"/>
    <w:rsid w:val="004E1F4F"/>
    <w:rsid w:val="004E3357"/>
    <w:rsid w:val="004E38D2"/>
    <w:rsid w:val="004E4E36"/>
    <w:rsid w:val="004E593E"/>
    <w:rsid w:val="004E5C13"/>
    <w:rsid w:val="004E6D17"/>
    <w:rsid w:val="004E786F"/>
    <w:rsid w:val="004F09D9"/>
    <w:rsid w:val="004F0D35"/>
    <w:rsid w:val="004F25F8"/>
    <w:rsid w:val="004F281C"/>
    <w:rsid w:val="005014F4"/>
    <w:rsid w:val="00501669"/>
    <w:rsid w:val="0050180D"/>
    <w:rsid w:val="005028F4"/>
    <w:rsid w:val="0050407D"/>
    <w:rsid w:val="005042E1"/>
    <w:rsid w:val="00505F84"/>
    <w:rsid w:val="00507CCB"/>
    <w:rsid w:val="00510ABA"/>
    <w:rsid w:val="00511A47"/>
    <w:rsid w:val="00512990"/>
    <w:rsid w:val="00514AB4"/>
    <w:rsid w:val="00515EC0"/>
    <w:rsid w:val="00520A9E"/>
    <w:rsid w:val="00521FC9"/>
    <w:rsid w:val="00522B02"/>
    <w:rsid w:val="0052450C"/>
    <w:rsid w:val="005277ED"/>
    <w:rsid w:val="0053002A"/>
    <w:rsid w:val="00531B86"/>
    <w:rsid w:val="005336E2"/>
    <w:rsid w:val="005353EF"/>
    <w:rsid w:val="00535560"/>
    <w:rsid w:val="005357B9"/>
    <w:rsid w:val="00535DA8"/>
    <w:rsid w:val="005377AA"/>
    <w:rsid w:val="0054103D"/>
    <w:rsid w:val="005411BD"/>
    <w:rsid w:val="005417AE"/>
    <w:rsid w:val="00541D7A"/>
    <w:rsid w:val="00542854"/>
    <w:rsid w:val="005432B5"/>
    <w:rsid w:val="00543A80"/>
    <w:rsid w:val="00543BA4"/>
    <w:rsid w:val="00544238"/>
    <w:rsid w:val="005446D6"/>
    <w:rsid w:val="00546C25"/>
    <w:rsid w:val="00550043"/>
    <w:rsid w:val="00553850"/>
    <w:rsid w:val="0055730A"/>
    <w:rsid w:val="005607A9"/>
    <w:rsid w:val="00565777"/>
    <w:rsid w:val="005663B7"/>
    <w:rsid w:val="005665C1"/>
    <w:rsid w:val="00566EAC"/>
    <w:rsid w:val="00567A5C"/>
    <w:rsid w:val="005701CD"/>
    <w:rsid w:val="00572084"/>
    <w:rsid w:val="00573931"/>
    <w:rsid w:val="0057556D"/>
    <w:rsid w:val="005762E2"/>
    <w:rsid w:val="0057705F"/>
    <w:rsid w:val="0057740D"/>
    <w:rsid w:val="0057749E"/>
    <w:rsid w:val="00577539"/>
    <w:rsid w:val="00582393"/>
    <w:rsid w:val="00582E85"/>
    <w:rsid w:val="00583A8C"/>
    <w:rsid w:val="00583D29"/>
    <w:rsid w:val="005840C6"/>
    <w:rsid w:val="0058490C"/>
    <w:rsid w:val="005852CA"/>
    <w:rsid w:val="005854DE"/>
    <w:rsid w:val="00585530"/>
    <w:rsid w:val="00585EF5"/>
    <w:rsid w:val="0059048E"/>
    <w:rsid w:val="005934DF"/>
    <w:rsid w:val="00593CB6"/>
    <w:rsid w:val="005971C3"/>
    <w:rsid w:val="00597BD6"/>
    <w:rsid w:val="005A1B2D"/>
    <w:rsid w:val="005A2108"/>
    <w:rsid w:val="005A237D"/>
    <w:rsid w:val="005A2A6A"/>
    <w:rsid w:val="005A2EE0"/>
    <w:rsid w:val="005A403D"/>
    <w:rsid w:val="005A4DD5"/>
    <w:rsid w:val="005A705E"/>
    <w:rsid w:val="005A71B0"/>
    <w:rsid w:val="005A7E06"/>
    <w:rsid w:val="005B015C"/>
    <w:rsid w:val="005B0FF6"/>
    <w:rsid w:val="005B26AF"/>
    <w:rsid w:val="005B2C34"/>
    <w:rsid w:val="005B5257"/>
    <w:rsid w:val="005B6957"/>
    <w:rsid w:val="005B6F76"/>
    <w:rsid w:val="005C19E3"/>
    <w:rsid w:val="005C1D49"/>
    <w:rsid w:val="005C28F2"/>
    <w:rsid w:val="005C3DC3"/>
    <w:rsid w:val="005C4116"/>
    <w:rsid w:val="005C4267"/>
    <w:rsid w:val="005C5887"/>
    <w:rsid w:val="005C5A67"/>
    <w:rsid w:val="005C6A25"/>
    <w:rsid w:val="005D1011"/>
    <w:rsid w:val="005D2E39"/>
    <w:rsid w:val="005D541E"/>
    <w:rsid w:val="005D5FB0"/>
    <w:rsid w:val="005D6304"/>
    <w:rsid w:val="005E014B"/>
    <w:rsid w:val="005E0BA3"/>
    <w:rsid w:val="005E165C"/>
    <w:rsid w:val="005E24C0"/>
    <w:rsid w:val="005E3C13"/>
    <w:rsid w:val="005E4AEF"/>
    <w:rsid w:val="005E5AA6"/>
    <w:rsid w:val="005E6966"/>
    <w:rsid w:val="005E69D6"/>
    <w:rsid w:val="005F0547"/>
    <w:rsid w:val="005F1B59"/>
    <w:rsid w:val="005F219D"/>
    <w:rsid w:val="005F2AF7"/>
    <w:rsid w:val="005F39EB"/>
    <w:rsid w:val="005F5D23"/>
    <w:rsid w:val="005F6893"/>
    <w:rsid w:val="005F7529"/>
    <w:rsid w:val="005F7F3F"/>
    <w:rsid w:val="006003BB"/>
    <w:rsid w:val="0060052F"/>
    <w:rsid w:val="006009B5"/>
    <w:rsid w:val="00602F70"/>
    <w:rsid w:val="006030F7"/>
    <w:rsid w:val="006038D4"/>
    <w:rsid w:val="00603953"/>
    <w:rsid w:val="00603AA3"/>
    <w:rsid w:val="006075B8"/>
    <w:rsid w:val="00607C8C"/>
    <w:rsid w:val="0061068E"/>
    <w:rsid w:val="006113A0"/>
    <w:rsid w:val="006117FF"/>
    <w:rsid w:val="00613DD1"/>
    <w:rsid w:val="00614A96"/>
    <w:rsid w:val="00614CA7"/>
    <w:rsid w:val="00614FF1"/>
    <w:rsid w:val="00615431"/>
    <w:rsid w:val="0061653D"/>
    <w:rsid w:val="006165A8"/>
    <w:rsid w:val="00622ADC"/>
    <w:rsid w:val="00623937"/>
    <w:rsid w:val="00624781"/>
    <w:rsid w:val="00625A04"/>
    <w:rsid w:val="00626F0C"/>
    <w:rsid w:val="0062757F"/>
    <w:rsid w:val="00630343"/>
    <w:rsid w:val="00630DAB"/>
    <w:rsid w:val="00630DFA"/>
    <w:rsid w:val="006317F2"/>
    <w:rsid w:val="006337C9"/>
    <w:rsid w:val="0063476A"/>
    <w:rsid w:val="0063486D"/>
    <w:rsid w:val="006358CB"/>
    <w:rsid w:val="00635DF6"/>
    <w:rsid w:val="00640E68"/>
    <w:rsid w:val="00641531"/>
    <w:rsid w:val="006415D4"/>
    <w:rsid w:val="00641FF1"/>
    <w:rsid w:val="00642054"/>
    <w:rsid w:val="00643F32"/>
    <w:rsid w:val="00644D0B"/>
    <w:rsid w:val="00644D27"/>
    <w:rsid w:val="006460BC"/>
    <w:rsid w:val="00646816"/>
    <w:rsid w:val="00647C9D"/>
    <w:rsid w:val="00647E2B"/>
    <w:rsid w:val="00650C1A"/>
    <w:rsid w:val="006515AF"/>
    <w:rsid w:val="0065184E"/>
    <w:rsid w:val="00652DEA"/>
    <w:rsid w:val="00653467"/>
    <w:rsid w:val="0065361C"/>
    <w:rsid w:val="00653D61"/>
    <w:rsid w:val="00655051"/>
    <w:rsid w:val="00656287"/>
    <w:rsid w:val="0065631E"/>
    <w:rsid w:val="00656555"/>
    <w:rsid w:val="00660089"/>
    <w:rsid w:val="00661370"/>
    <w:rsid w:val="006614FA"/>
    <w:rsid w:val="0066165A"/>
    <w:rsid w:val="0066200B"/>
    <w:rsid w:val="00662DB8"/>
    <w:rsid w:val="00663B74"/>
    <w:rsid w:val="00663D99"/>
    <w:rsid w:val="006640E0"/>
    <w:rsid w:val="0066709C"/>
    <w:rsid w:val="00667483"/>
    <w:rsid w:val="0067205F"/>
    <w:rsid w:val="006723B1"/>
    <w:rsid w:val="0067293A"/>
    <w:rsid w:val="006729AC"/>
    <w:rsid w:val="006733CF"/>
    <w:rsid w:val="00673498"/>
    <w:rsid w:val="00674333"/>
    <w:rsid w:val="00676DEF"/>
    <w:rsid w:val="006773D5"/>
    <w:rsid w:val="00682715"/>
    <w:rsid w:val="00684FFF"/>
    <w:rsid w:val="00685D06"/>
    <w:rsid w:val="006861FD"/>
    <w:rsid w:val="006911C4"/>
    <w:rsid w:val="00691B63"/>
    <w:rsid w:val="00691F5A"/>
    <w:rsid w:val="0069454D"/>
    <w:rsid w:val="00695203"/>
    <w:rsid w:val="00695C44"/>
    <w:rsid w:val="00696622"/>
    <w:rsid w:val="006977DA"/>
    <w:rsid w:val="00697DB9"/>
    <w:rsid w:val="006A26A9"/>
    <w:rsid w:val="006A2ABA"/>
    <w:rsid w:val="006A3970"/>
    <w:rsid w:val="006A4AD4"/>
    <w:rsid w:val="006A4B28"/>
    <w:rsid w:val="006A7658"/>
    <w:rsid w:val="006A7D8B"/>
    <w:rsid w:val="006B03AB"/>
    <w:rsid w:val="006B232B"/>
    <w:rsid w:val="006B26A7"/>
    <w:rsid w:val="006B5433"/>
    <w:rsid w:val="006B763D"/>
    <w:rsid w:val="006B7B80"/>
    <w:rsid w:val="006C04CD"/>
    <w:rsid w:val="006C0A80"/>
    <w:rsid w:val="006C0A91"/>
    <w:rsid w:val="006C10ED"/>
    <w:rsid w:val="006C1BFE"/>
    <w:rsid w:val="006C2AC2"/>
    <w:rsid w:val="006C31CD"/>
    <w:rsid w:val="006C4FA0"/>
    <w:rsid w:val="006C59A7"/>
    <w:rsid w:val="006C680A"/>
    <w:rsid w:val="006C6F68"/>
    <w:rsid w:val="006C7376"/>
    <w:rsid w:val="006D1362"/>
    <w:rsid w:val="006D25E7"/>
    <w:rsid w:val="006D2C8D"/>
    <w:rsid w:val="006D2D35"/>
    <w:rsid w:val="006D37EF"/>
    <w:rsid w:val="006D4CCC"/>
    <w:rsid w:val="006D7489"/>
    <w:rsid w:val="006E08D3"/>
    <w:rsid w:val="006E0F7C"/>
    <w:rsid w:val="006E10D0"/>
    <w:rsid w:val="006E18BA"/>
    <w:rsid w:val="006E1DE9"/>
    <w:rsid w:val="006E21FD"/>
    <w:rsid w:val="006E2F4E"/>
    <w:rsid w:val="006E37BE"/>
    <w:rsid w:val="006E39F9"/>
    <w:rsid w:val="006E4C01"/>
    <w:rsid w:val="006E4E5E"/>
    <w:rsid w:val="006E5110"/>
    <w:rsid w:val="006E52B2"/>
    <w:rsid w:val="006E6987"/>
    <w:rsid w:val="006E6A91"/>
    <w:rsid w:val="006F169A"/>
    <w:rsid w:val="006F1B59"/>
    <w:rsid w:val="006F240F"/>
    <w:rsid w:val="006F2470"/>
    <w:rsid w:val="006F2B9E"/>
    <w:rsid w:val="006F336E"/>
    <w:rsid w:val="006F4594"/>
    <w:rsid w:val="006F53C9"/>
    <w:rsid w:val="006F5B2D"/>
    <w:rsid w:val="006F5FC3"/>
    <w:rsid w:val="006F673D"/>
    <w:rsid w:val="007022BA"/>
    <w:rsid w:val="007038AC"/>
    <w:rsid w:val="00704624"/>
    <w:rsid w:val="00704F37"/>
    <w:rsid w:val="00705368"/>
    <w:rsid w:val="00711170"/>
    <w:rsid w:val="00711B13"/>
    <w:rsid w:val="00711EA4"/>
    <w:rsid w:val="00712699"/>
    <w:rsid w:val="00713929"/>
    <w:rsid w:val="00713C79"/>
    <w:rsid w:val="00715506"/>
    <w:rsid w:val="007156C1"/>
    <w:rsid w:val="00716191"/>
    <w:rsid w:val="007165EE"/>
    <w:rsid w:val="00717A6D"/>
    <w:rsid w:val="0072161B"/>
    <w:rsid w:val="0072227E"/>
    <w:rsid w:val="00723E3B"/>
    <w:rsid w:val="007248A3"/>
    <w:rsid w:val="00725BB7"/>
    <w:rsid w:val="007270AC"/>
    <w:rsid w:val="00727FFE"/>
    <w:rsid w:val="007302A1"/>
    <w:rsid w:val="00731983"/>
    <w:rsid w:val="00731BD3"/>
    <w:rsid w:val="00732076"/>
    <w:rsid w:val="00732457"/>
    <w:rsid w:val="0073311B"/>
    <w:rsid w:val="00733AA2"/>
    <w:rsid w:val="00733C1F"/>
    <w:rsid w:val="00736439"/>
    <w:rsid w:val="0073701A"/>
    <w:rsid w:val="00743E75"/>
    <w:rsid w:val="0074512B"/>
    <w:rsid w:val="00745B7E"/>
    <w:rsid w:val="00750359"/>
    <w:rsid w:val="007509CB"/>
    <w:rsid w:val="007522B8"/>
    <w:rsid w:val="00753432"/>
    <w:rsid w:val="00753455"/>
    <w:rsid w:val="007547EF"/>
    <w:rsid w:val="00755058"/>
    <w:rsid w:val="0075531F"/>
    <w:rsid w:val="007560D3"/>
    <w:rsid w:val="00756194"/>
    <w:rsid w:val="007570F5"/>
    <w:rsid w:val="00757C7C"/>
    <w:rsid w:val="007604A0"/>
    <w:rsid w:val="00760A71"/>
    <w:rsid w:val="007632F5"/>
    <w:rsid w:val="007668B7"/>
    <w:rsid w:val="00766D8C"/>
    <w:rsid w:val="00766FBA"/>
    <w:rsid w:val="00773656"/>
    <w:rsid w:val="00774C81"/>
    <w:rsid w:val="00775194"/>
    <w:rsid w:val="0077731B"/>
    <w:rsid w:val="00781168"/>
    <w:rsid w:val="007812FA"/>
    <w:rsid w:val="00782C72"/>
    <w:rsid w:val="00782F0F"/>
    <w:rsid w:val="0078397A"/>
    <w:rsid w:val="00784009"/>
    <w:rsid w:val="00784544"/>
    <w:rsid w:val="00784A6E"/>
    <w:rsid w:val="00784C28"/>
    <w:rsid w:val="00784E1F"/>
    <w:rsid w:val="00785502"/>
    <w:rsid w:val="00785BDA"/>
    <w:rsid w:val="00786892"/>
    <w:rsid w:val="00790652"/>
    <w:rsid w:val="0079103A"/>
    <w:rsid w:val="00791420"/>
    <w:rsid w:val="00796BD0"/>
    <w:rsid w:val="00796DDB"/>
    <w:rsid w:val="007979D3"/>
    <w:rsid w:val="007A06CB"/>
    <w:rsid w:val="007A130B"/>
    <w:rsid w:val="007A1454"/>
    <w:rsid w:val="007A2800"/>
    <w:rsid w:val="007A2D4A"/>
    <w:rsid w:val="007A32EC"/>
    <w:rsid w:val="007A5396"/>
    <w:rsid w:val="007A5D6C"/>
    <w:rsid w:val="007A6029"/>
    <w:rsid w:val="007A6099"/>
    <w:rsid w:val="007A7569"/>
    <w:rsid w:val="007A7CFE"/>
    <w:rsid w:val="007B051D"/>
    <w:rsid w:val="007B0775"/>
    <w:rsid w:val="007B0DFA"/>
    <w:rsid w:val="007B0F55"/>
    <w:rsid w:val="007B0FBB"/>
    <w:rsid w:val="007B3203"/>
    <w:rsid w:val="007B3520"/>
    <w:rsid w:val="007B4AFF"/>
    <w:rsid w:val="007B587A"/>
    <w:rsid w:val="007B6E9A"/>
    <w:rsid w:val="007C0C6C"/>
    <w:rsid w:val="007C30B3"/>
    <w:rsid w:val="007C38CE"/>
    <w:rsid w:val="007C399B"/>
    <w:rsid w:val="007C5CE6"/>
    <w:rsid w:val="007C6B60"/>
    <w:rsid w:val="007C7D52"/>
    <w:rsid w:val="007D028F"/>
    <w:rsid w:val="007D0B44"/>
    <w:rsid w:val="007D12F2"/>
    <w:rsid w:val="007D39B5"/>
    <w:rsid w:val="007D6D9A"/>
    <w:rsid w:val="007D72BA"/>
    <w:rsid w:val="007D7BD8"/>
    <w:rsid w:val="007E0247"/>
    <w:rsid w:val="007E0D09"/>
    <w:rsid w:val="007E137A"/>
    <w:rsid w:val="007E20F0"/>
    <w:rsid w:val="007E2A7B"/>
    <w:rsid w:val="007E308C"/>
    <w:rsid w:val="007E328C"/>
    <w:rsid w:val="007E34E2"/>
    <w:rsid w:val="007E3F6D"/>
    <w:rsid w:val="007E43EB"/>
    <w:rsid w:val="007E4918"/>
    <w:rsid w:val="007E6022"/>
    <w:rsid w:val="007E6035"/>
    <w:rsid w:val="007E69E7"/>
    <w:rsid w:val="007F05D2"/>
    <w:rsid w:val="007F1354"/>
    <w:rsid w:val="007F1757"/>
    <w:rsid w:val="007F23AC"/>
    <w:rsid w:val="007F2DAC"/>
    <w:rsid w:val="007F318C"/>
    <w:rsid w:val="007F3F88"/>
    <w:rsid w:val="007F4363"/>
    <w:rsid w:val="007F4A31"/>
    <w:rsid w:val="00801601"/>
    <w:rsid w:val="00801DAB"/>
    <w:rsid w:val="0080445B"/>
    <w:rsid w:val="00804B17"/>
    <w:rsid w:val="00805DA7"/>
    <w:rsid w:val="008079A9"/>
    <w:rsid w:val="008101B1"/>
    <w:rsid w:val="00810A63"/>
    <w:rsid w:val="0081135B"/>
    <w:rsid w:val="0081228D"/>
    <w:rsid w:val="008168BE"/>
    <w:rsid w:val="008172D7"/>
    <w:rsid w:val="0081732B"/>
    <w:rsid w:val="0081766B"/>
    <w:rsid w:val="00820D59"/>
    <w:rsid w:val="00822C02"/>
    <w:rsid w:val="00823E1E"/>
    <w:rsid w:val="00824476"/>
    <w:rsid w:val="008249DF"/>
    <w:rsid w:val="00825617"/>
    <w:rsid w:val="00826F91"/>
    <w:rsid w:val="008279B5"/>
    <w:rsid w:val="00830A1F"/>
    <w:rsid w:val="008310E6"/>
    <w:rsid w:val="00831A5C"/>
    <w:rsid w:val="008333CA"/>
    <w:rsid w:val="008350F9"/>
    <w:rsid w:val="00835AED"/>
    <w:rsid w:val="00840BA6"/>
    <w:rsid w:val="0084113C"/>
    <w:rsid w:val="00841575"/>
    <w:rsid w:val="0084264C"/>
    <w:rsid w:val="00843C7F"/>
    <w:rsid w:val="00843C8B"/>
    <w:rsid w:val="008442EA"/>
    <w:rsid w:val="00845258"/>
    <w:rsid w:val="00847264"/>
    <w:rsid w:val="00847A72"/>
    <w:rsid w:val="00850AB4"/>
    <w:rsid w:val="00850BDD"/>
    <w:rsid w:val="008510F6"/>
    <w:rsid w:val="00851321"/>
    <w:rsid w:val="00853FE4"/>
    <w:rsid w:val="008540B8"/>
    <w:rsid w:val="008558E1"/>
    <w:rsid w:val="008559B3"/>
    <w:rsid w:val="00856743"/>
    <w:rsid w:val="00856949"/>
    <w:rsid w:val="0086027F"/>
    <w:rsid w:val="0086075E"/>
    <w:rsid w:val="00860BBC"/>
    <w:rsid w:val="00861FFA"/>
    <w:rsid w:val="00862825"/>
    <w:rsid w:val="00864993"/>
    <w:rsid w:val="00865104"/>
    <w:rsid w:val="008662FA"/>
    <w:rsid w:val="00866765"/>
    <w:rsid w:val="00870551"/>
    <w:rsid w:val="008712C4"/>
    <w:rsid w:val="0087233B"/>
    <w:rsid w:val="00873A23"/>
    <w:rsid w:val="00874152"/>
    <w:rsid w:val="00875162"/>
    <w:rsid w:val="008756F3"/>
    <w:rsid w:val="00877A81"/>
    <w:rsid w:val="00880464"/>
    <w:rsid w:val="00881E61"/>
    <w:rsid w:val="00882227"/>
    <w:rsid w:val="00882E4B"/>
    <w:rsid w:val="00883C55"/>
    <w:rsid w:val="00884D72"/>
    <w:rsid w:val="008851B8"/>
    <w:rsid w:val="00885296"/>
    <w:rsid w:val="00885B7D"/>
    <w:rsid w:val="00885BC3"/>
    <w:rsid w:val="008864B7"/>
    <w:rsid w:val="008870CB"/>
    <w:rsid w:val="00887388"/>
    <w:rsid w:val="0088768B"/>
    <w:rsid w:val="00890498"/>
    <w:rsid w:val="00890EB7"/>
    <w:rsid w:val="00891380"/>
    <w:rsid w:val="008925C3"/>
    <w:rsid w:val="008938FC"/>
    <w:rsid w:val="008939EA"/>
    <w:rsid w:val="00895060"/>
    <w:rsid w:val="00896C35"/>
    <w:rsid w:val="00897D68"/>
    <w:rsid w:val="00897E1F"/>
    <w:rsid w:val="008A0E62"/>
    <w:rsid w:val="008A12BC"/>
    <w:rsid w:val="008A1572"/>
    <w:rsid w:val="008A1763"/>
    <w:rsid w:val="008A3B5F"/>
    <w:rsid w:val="008A586A"/>
    <w:rsid w:val="008A5CC7"/>
    <w:rsid w:val="008A6350"/>
    <w:rsid w:val="008A6590"/>
    <w:rsid w:val="008A6745"/>
    <w:rsid w:val="008A69EB"/>
    <w:rsid w:val="008A7050"/>
    <w:rsid w:val="008A7ABE"/>
    <w:rsid w:val="008B19E5"/>
    <w:rsid w:val="008B365C"/>
    <w:rsid w:val="008B375F"/>
    <w:rsid w:val="008B40DB"/>
    <w:rsid w:val="008B50E3"/>
    <w:rsid w:val="008B5FE0"/>
    <w:rsid w:val="008C0596"/>
    <w:rsid w:val="008C1FC7"/>
    <w:rsid w:val="008C221F"/>
    <w:rsid w:val="008C2883"/>
    <w:rsid w:val="008C3142"/>
    <w:rsid w:val="008C4689"/>
    <w:rsid w:val="008C4D92"/>
    <w:rsid w:val="008C63FE"/>
    <w:rsid w:val="008C7327"/>
    <w:rsid w:val="008D1AE2"/>
    <w:rsid w:val="008D1E0C"/>
    <w:rsid w:val="008D210D"/>
    <w:rsid w:val="008D3EF9"/>
    <w:rsid w:val="008D668B"/>
    <w:rsid w:val="008D6E86"/>
    <w:rsid w:val="008D76F5"/>
    <w:rsid w:val="008E093B"/>
    <w:rsid w:val="008E09C0"/>
    <w:rsid w:val="008E1830"/>
    <w:rsid w:val="008E1A6A"/>
    <w:rsid w:val="008E6267"/>
    <w:rsid w:val="008E77FD"/>
    <w:rsid w:val="008F0838"/>
    <w:rsid w:val="008F1CDB"/>
    <w:rsid w:val="008F2ABD"/>
    <w:rsid w:val="008F2C3C"/>
    <w:rsid w:val="008F350C"/>
    <w:rsid w:val="008F4AB7"/>
    <w:rsid w:val="008F6B3E"/>
    <w:rsid w:val="008F7C0C"/>
    <w:rsid w:val="008F7C78"/>
    <w:rsid w:val="008F7E5B"/>
    <w:rsid w:val="008F7F35"/>
    <w:rsid w:val="00900886"/>
    <w:rsid w:val="00901FA4"/>
    <w:rsid w:val="00902952"/>
    <w:rsid w:val="0090494B"/>
    <w:rsid w:val="00907490"/>
    <w:rsid w:val="00911297"/>
    <w:rsid w:val="00911DE5"/>
    <w:rsid w:val="00911EF3"/>
    <w:rsid w:val="009125FE"/>
    <w:rsid w:val="009128CB"/>
    <w:rsid w:val="00914C00"/>
    <w:rsid w:val="0091505D"/>
    <w:rsid w:val="00916C3D"/>
    <w:rsid w:val="009174B8"/>
    <w:rsid w:val="00920598"/>
    <w:rsid w:val="00922F8E"/>
    <w:rsid w:val="00925C4B"/>
    <w:rsid w:val="00927B0C"/>
    <w:rsid w:val="00930BB4"/>
    <w:rsid w:val="00930F28"/>
    <w:rsid w:val="00933BEE"/>
    <w:rsid w:val="009346F8"/>
    <w:rsid w:val="00935695"/>
    <w:rsid w:val="00936BF3"/>
    <w:rsid w:val="00937421"/>
    <w:rsid w:val="00937531"/>
    <w:rsid w:val="009412B9"/>
    <w:rsid w:val="00942716"/>
    <w:rsid w:val="0094343E"/>
    <w:rsid w:val="009438FB"/>
    <w:rsid w:val="00943BE7"/>
    <w:rsid w:val="00944501"/>
    <w:rsid w:val="009449EA"/>
    <w:rsid w:val="00946229"/>
    <w:rsid w:val="009479F2"/>
    <w:rsid w:val="00951B04"/>
    <w:rsid w:val="00953FCB"/>
    <w:rsid w:val="00954186"/>
    <w:rsid w:val="009545FB"/>
    <w:rsid w:val="00957840"/>
    <w:rsid w:val="00960DD9"/>
    <w:rsid w:val="00962222"/>
    <w:rsid w:val="00964671"/>
    <w:rsid w:val="009647AF"/>
    <w:rsid w:val="00964F38"/>
    <w:rsid w:val="009667F1"/>
    <w:rsid w:val="009679BD"/>
    <w:rsid w:val="00967A1C"/>
    <w:rsid w:val="00967C70"/>
    <w:rsid w:val="00967ED5"/>
    <w:rsid w:val="009704DE"/>
    <w:rsid w:val="00971076"/>
    <w:rsid w:val="009715A4"/>
    <w:rsid w:val="0097276A"/>
    <w:rsid w:val="00973F74"/>
    <w:rsid w:val="00975E42"/>
    <w:rsid w:val="00980909"/>
    <w:rsid w:val="00980D5D"/>
    <w:rsid w:val="0098171E"/>
    <w:rsid w:val="00981ADD"/>
    <w:rsid w:val="0098230D"/>
    <w:rsid w:val="00982679"/>
    <w:rsid w:val="00982C12"/>
    <w:rsid w:val="0098376B"/>
    <w:rsid w:val="00985016"/>
    <w:rsid w:val="009861BB"/>
    <w:rsid w:val="00986F01"/>
    <w:rsid w:val="00990F5A"/>
    <w:rsid w:val="00994FB8"/>
    <w:rsid w:val="0099708D"/>
    <w:rsid w:val="00997BA6"/>
    <w:rsid w:val="00997CC3"/>
    <w:rsid w:val="009A0D69"/>
    <w:rsid w:val="009A0DB5"/>
    <w:rsid w:val="009A1CA6"/>
    <w:rsid w:val="009A2B9F"/>
    <w:rsid w:val="009A3007"/>
    <w:rsid w:val="009A492A"/>
    <w:rsid w:val="009A49C4"/>
    <w:rsid w:val="009A5ED1"/>
    <w:rsid w:val="009A62AE"/>
    <w:rsid w:val="009B00C6"/>
    <w:rsid w:val="009B159E"/>
    <w:rsid w:val="009B1C23"/>
    <w:rsid w:val="009B217D"/>
    <w:rsid w:val="009B22A0"/>
    <w:rsid w:val="009B50DE"/>
    <w:rsid w:val="009B57DC"/>
    <w:rsid w:val="009B5BE0"/>
    <w:rsid w:val="009B5DC3"/>
    <w:rsid w:val="009B6F79"/>
    <w:rsid w:val="009B7C46"/>
    <w:rsid w:val="009C0FB4"/>
    <w:rsid w:val="009C133C"/>
    <w:rsid w:val="009C2096"/>
    <w:rsid w:val="009C22AB"/>
    <w:rsid w:val="009C26A2"/>
    <w:rsid w:val="009C31C6"/>
    <w:rsid w:val="009C50C8"/>
    <w:rsid w:val="009C50D4"/>
    <w:rsid w:val="009C537B"/>
    <w:rsid w:val="009C5460"/>
    <w:rsid w:val="009C5474"/>
    <w:rsid w:val="009C5B9B"/>
    <w:rsid w:val="009C6170"/>
    <w:rsid w:val="009C6FBE"/>
    <w:rsid w:val="009C7CAA"/>
    <w:rsid w:val="009C7F9A"/>
    <w:rsid w:val="009D13F0"/>
    <w:rsid w:val="009D27F7"/>
    <w:rsid w:val="009D28B1"/>
    <w:rsid w:val="009D4215"/>
    <w:rsid w:val="009D4A89"/>
    <w:rsid w:val="009D5C22"/>
    <w:rsid w:val="009D6B5B"/>
    <w:rsid w:val="009D6E85"/>
    <w:rsid w:val="009D6F4F"/>
    <w:rsid w:val="009E190A"/>
    <w:rsid w:val="009E25C7"/>
    <w:rsid w:val="009E3884"/>
    <w:rsid w:val="009E4CB2"/>
    <w:rsid w:val="009E74B2"/>
    <w:rsid w:val="009E7CE2"/>
    <w:rsid w:val="009F052B"/>
    <w:rsid w:val="009F071D"/>
    <w:rsid w:val="009F0DC1"/>
    <w:rsid w:val="009F36CC"/>
    <w:rsid w:val="009F3C5B"/>
    <w:rsid w:val="009F555E"/>
    <w:rsid w:val="009F58AB"/>
    <w:rsid w:val="009F6D6B"/>
    <w:rsid w:val="00A00D09"/>
    <w:rsid w:val="00A02CC6"/>
    <w:rsid w:val="00A049F0"/>
    <w:rsid w:val="00A04D18"/>
    <w:rsid w:val="00A04D3C"/>
    <w:rsid w:val="00A051E5"/>
    <w:rsid w:val="00A06D91"/>
    <w:rsid w:val="00A10F46"/>
    <w:rsid w:val="00A119AE"/>
    <w:rsid w:val="00A1253D"/>
    <w:rsid w:val="00A12AE1"/>
    <w:rsid w:val="00A13DFD"/>
    <w:rsid w:val="00A14293"/>
    <w:rsid w:val="00A1481D"/>
    <w:rsid w:val="00A14AD5"/>
    <w:rsid w:val="00A14C30"/>
    <w:rsid w:val="00A15223"/>
    <w:rsid w:val="00A179C7"/>
    <w:rsid w:val="00A17F1F"/>
    <w:rsid w:val="00A20AE0"/>
    <w:rsid w:val="00A23454"/>
    <w:rsid w:val="00A24C5B"/>
    <w:rsid w:val="00A265C8"/>
    <w:rsid w:val="00A271D2"/>
    <w:rsid w:val="00A3065A"/>
    <w:rsid w:val="00A30F77"/>
    <w:rsid w:val="00A31022"/>
    <w:rsid w:val="00A32505"/>
    <w:rsid w:val="00A339CB"/>
    <w:rsid w:val="00A33BA3"/>
    <w:rsid w:val="00A34DE4"/>
    <w:rsid w:val="00A36331"/>
    <w:rsid w:val="00A365D4"/>
    <w:rsid w:val="00A36FF4"/>
    <w:rsid w:val="00A37449"/>
    <w:rsid w:val="00A37BD7"/>
    <w:rsid w:val="00A4019D"/>
    <w:rsid w:val="00A4169F"/>
    <w:rsid w:val="00A42FEB"/>
    <w:rsid w:val="00A438FA"/>
    <w:rsid w:val="00A44388"/>
    <w:rsid w:val="00A44510"/>
    <w:rsid w:val="00A45103"/>
    <w:rsid w:val="00A456FA"/>
    <w:rsid w:val="00A50902"/>
    <w:rsid w:val="00A509AD"/>
    <w:rsid w:val="00A5160E"/>
    <w:rsid w:val="00A52F19"/>
    <w:rsid w:val="00A53310"/>
    <w:rsid w:val="00A57F05"/>
    <w:rsid w:val="00A60EF8"/>
    <w:rsid w:val="00A62065"/>
    <w:rsid w:val="00A62454"/>
    <w:rsid w:val="00A62D75"/>
    <w:rsid w:val="00A639F0"/>
    <w:rsid w:val="00A63DAE"/>
    <w:rsid w:val="00A64223"/>
    <w:rsid w:val="00A66801"/>
    <w:rsid w:val="00A71264"/>
    <w:rsid w:val="00A72DF1"/>
    <w:rsid w:val="00A736D5"/>
    <w:rsid w:val="00A82F63"/>
    <w:rsid w:val="00A8389B"/>
    <w:rsid w:val="00A84D4F"/>
    <w:rsid w:val="00A84FB2"/>
    <w:rsid w:val="00A86744"/>
    <w:rsid w:val="00A86AF9"/>
    <w:rsid w:val="00A875E2"/>
    <w:rsid w:val="00A879A8"/>
    <w:rsid w:val="00A90D23"/>
    <w:rsid w:val="00A913F1"/>
    <w:rsid w:val="00A940D6"/>
    <w:rsid w:val="00A94878"/>
    <w:rsid w:val="00A94F21"/>
    <w:rsid w:val="00A95258"/>
    <w:rsid w:val="00A9749F"/>
    <w:rsid w:val="00A97C7E"/>
    <w:rsid w:val="00AA1260"/>
    <w:rsid w:val="00AA1EDA"/>
    <w:rsid w:val="00AA20C8"/>
    <w:rsid w:val="00AA215D"/>
    <w:rsid w:val="00AA21A4"/>
    <w:rsid w:val="00AA22C1"/>
    <w:rsid w:val="00AA33D1"/>
    <w:rsid w:val="00AA3FE2"/>
    <w:rsid w:val="00AA4700"/>
    <w:rsid w:val="00AA48A5"/>
    <w:rsid w:val="00AA52DE"/>
    <w:rsid w:val="00AA7702"/>
    <w:rsid w:val="00AA77D8"/>
    <w:rsid w:val="00AB0FA2"/>
    <w:rsid w:val="00AB1810"/>
    <w:rsid w:val="00AB47C3"/>
    <w:rsid w:val="00AC12F3"/>
    <w:rsid w:val="00AC1530"/>
    <w:rsid w:val="00AC2349"/>
    <w:rsid w:val="00AC4990"/>
    <w:rsid w:val="00AC4A47"/>
    <w:rsid w:val="00AC64A2"/>
    <w:rsid w:val="00AC658F"/>
    <w:rsid w:val="00AC6CEC"/>
    <w:rsid w:val="00AC6EAF"/>
    <w:rsid w:val="00AD01FB"/>
    <w:rsid w:val="00AD0D51"/>
    <w:rsid w:val="00AD1FB4"/>
    <w:rsid w:val="00AD326D"/>
    <w:rsid w:val="00AD3320"/>
    <w:rsid w:val="00AD50AB"/>
    <w:rsid w:val="00AD5A37"/>
    <w:rsid w:val="00AD5DA8"/>
    <w:rsid w:val="00AD719F"/>
    <w:rsid w:val="00AD765B"/>
    <w:rsid w:val="00AD7B5C"/>
    <w:rsid w:val="00AD7D18"/>
    <w:rsid w:val="00AE1AA9"/>
    <w:rsid w:val="00AE3E27"/>
    <w:rsid w:val="00AE4465"/>
    <w:rsid w:val="00AE4EDE"/>
    <w:rsid w:val="00AF03E7"/>
    <w:rsid w:val="00AF38A6"/>
    <w:rsid w:val="00AF3F37"/>
    <w:rsid w:val="00AF4269"/>
    <w:rsid w:val="00AF44B5"/>
    <w:rsid w:val="00AF50E0"/>
    <w:rsid w:val="00AF56C7"/>
    <w:rsid w:val="00AF56CB"/>
    <w:rsid w:val="00AF5F33"/>
    <w:rsid w:val="00AF6062"/>
    <w:rsid w:val="00B013C3"/>
    <w:rsid w:val="00B0305D"/>
    <w:rsid w:val="00B03988"/>
    <w:rsid w:val="00B045E0"/>
    <w:rsid w:val="00B125D9"/>
    <w:rsid w:val="00B12C95"/>
    <w:rsid w:val="00B1664E"/>
    <w:rsid w:val="00B17DAC"/>
    <w:rsid w:val="00B20552"/>
    <w:rsid w:val="00B21933"/>
    <w:rsid w:val="00B22CC1"/>
    <w:rsid w:val="00B23126"/>
    <w:rsid w:val="00B256DB"/>
    <w:rsid w:val="00B25B4B"/>
    <w:rsid w:val="00B2676A"/>
    <w:rsid w:val="00B26D11"/>
    <w:rsid w:val="00B2780A"/>
    <w:rsid w:val="00B27A0C"/>
    <w:rsid w:val="00B27A98"/>
    <w:rsid w:val="00B30C01"/>
    <w:rsid w:val="00B310AF"/>
    <w:rsid w:val="00B311E1"/>
    <w:rsid w:val="00B315D4"/>
    <w:rsid w:val="00B33590"/>
    <w:rsid w:val="00B3389D"/>
    <w:rsid w:val="00B354BC"/>
    <w:rsid w:val="00B37033"/>
    <w:rsid w:val="00B37CC2"/>
    <w:rsid w:val="00B404DC"/>
    <w:rsid w:val="00B4151F"/>
    <w:rsid w:val="00B4202C"/>
    <w:rsid w:val="00B435B2"/>
    <w:rsid w:val="00B44303"/>
    <w:rsid w:val="00B44C6E"/>
    <w:rsid w:val="00B4597C"/>
    <w:rsid w:val="00B46948"/>
    <w:rsid w:val="00B504B3"/>
    <w:rsid w:val="00B51D38"/>
    <w:rsid w:val="00B52262"/>
    <w:rsid w:val="00B53ADA"/>
    <w:rsid w:val="00B5562B"/>
    <w:rsid w:val="00B55743"/>
    <w:rsid w:val="00B5602D"/>
    <w:rsid w:val="00B5617D"/>
    <w:rsid w:val="00B5634E"/>
    <w:rsid w:val="00B56509"/>
    <w:rsid w:val="00B56A4D"/>
    <w:rsid w:val="00B602D4"/>
    <w:rsid w:val="00B624BA"/>
    <w:rsid w:val="00B63CD7"/>
    <w:rsid w:val="00B64D6D"/>
    <w:rsid w:val="00B64DD3"/>
    <w:rsid w:val="00B67B38"/>
    <w:rsid w:val="00B718C1"/>
    <w:rsid w:val="00B72765"/>
    <w:rsid w:val="00B72E5D"/>
    <w:rsid w:val="00B72F9E"/>
    <w:rsid w:val="00B73601"/>
    <w:rsid w:val="00B736DE"/>
    <w:rsid w:val="00B74F7F"/>
    <w:rsid w:val="00B75698"/>
    <w:rsid w:val="00B75F64"/>
    <w:rsid w:val="00B76D27"/>
    <w:rsid w:val="00B80B4D"/>
    <w:rsid w:val="00B83B3C"/>
    <w:rsid w:val="00B84D6F"/>
    <w:rsid w:val="00B86826"/>
    <w:rsid w:val="00B87A98"/>
    <w:rsid w:val="00B96BE5"/>
    <w:rsid w:val="00B97112"/>
    <w:rsid w:val="00B97184"/>
    <w:rsid w:val="00BA0B78"/>
    <w:rsid w:val="00BA1204"/>
    <w:rsid w:val="00BA1AD3"/>
    <w:rsid w:val="00BA20F5"/>
    <w:rsid w:val="00BA36EA"/>
    <w:rsid w:val="00BA452B"/>
    <w:rsid w:val="00BA5F83"/>
    <w:rsid w:val="00BA67F8"/>
    <w:rsid w:val="00BB0D99"/>
    <w:rsid w:val="00BB0F3C"/>
    <w:rsid w:val="00BB24D2"/>
    <w:rsid w:val="00BB2A18"/>
    <w:rsid w:val="00BB4732"/>
    <w:rsid w:val="00BB58A1"/>
    <w:rsid w:val="00BB62BB"/>
    <w:rsid w:val="00BB6668"/>
    <w:rsid w:val="00BB6C0F"/>
    <w:rsid w:val="00BB77AB"/>
    <w:rsid w:val="00BB79C6"/>
    <w:rsid w:val="00BC049A"/>
    <w:rsid w:val="00BC099C"/>
    <w:rsid w:val="00BC0D9B"/>
    <w:rsid w:val="00BC0F8E"/>
    <w:rsid w:val="00BC19FB"/>
    <w:rsid w:val="00BC233F"/>
    <w:rsid w:val="00BC349C"/>
    <w:rsid w:val="00BC3BBC"/>
    <w:rsid w:val="00BC4196"/>
    <w:rsid w:val="00BC5525"/>
    <w:rsid w:val="00BC66CA"/>
    <w:rsid w:val="00BD1DE3"/>
    <w:rsid w:val="00BD4016"/>
    <w:rsid w:val="00BD6EC1"/>
    <w:rsid w:val="00BD746E"/>
    <w:rsid w:val="00BD7926"/>
    <w:rsid w:val="00BD7B1E"/>
    <w:rsid w:val="00BE03E7"/>
    <w:rsid w:val="00BE3429"/>
    <w:rsid w:val="00BE3A93"/>
    <w:rsid w:val="00BE41FA"/>
    <w:rsid w:val="00BE4D5A"/>
    <w:rsid w:val="00BE551E"/>
    <w:rsid w:val="00BE61E6"/>
    <w:rsid w:val="00BF0296"/>
    <w:rsid w:val="00BF070C"/>
    <w:rsid w:val="00BF12B6"/>
    <w:rsid w:val="00BF159B"/>
    <w:rsid w:val="00BF15AA"/>
    <w:rsid w:val="00BF20EE"/>
    <w:rsid w:val="00BF2768"/>
    <w:rsid w:val="00BF2C31"/>
    <w:rsid w:val="00BF2EB6"/>
    <w:rsid w:val="00BF50F1"/>
    <w:rsid w:val="00BF570D"/>
    <w:rsid w:val="00BF5C17"/>
    <w:rsid w:val="00BF6F98"/>
    <w:rsid w:val="00BF7BA6"/>
    <w:rsid w:val="00C008B5"/>
    <w:rsid w:val="00C0120F"/>
    <w:rsid w:val="00C01655"/>
    <w:rsid w:val="00C01DB8"/>
    <w:rsid w:val="00C0224F"/>
    <w:rsid w:val="00C03EB1"/>
    <w:rsid w:val="00C0494B"/>
    <w:rsid w:val="00C066C4"/>
    <w:rsid w:val="00C06826"/>
    <w:rsid w:val="00C079A4"/>
    <w:rsid w:val="00C117D7"/>
    <w:rsid w:val="00C118D2"/>
    <w:rsid w:val="00C120AC"/>
    <w:rsid w:val="00C13C92"/>
    <w:rsid w:val="00C15F3D"/>
    <w:rsid w:val="00C16C39"/>
    <w:rsid w:val="00C17883"/>
    <w:rsid w:val="00C207C5"/>
    <w:rsid w:val="00C21D0E"/>
    <w:rsid w:val="00C22118"/>
    <w:rsid w:val="00C2295B"/>
    <w:rsid w:val="00C229AB"/>
    <w:rsid w:val="00C23AF6"/>
    <w:rsid w:val="00C23FCF"/>
    <w:rsid w:val="00C2443D"/>
    <w:rsid w:val="00C257D7"/>
    <w:rsid w:val="00C25A3F"/>
    <w:rsid w:val="00C265D6"/>
    <w:rsid w:val="00C26ED0"/>
    <w:rsid w:val="00C302BF"/>
    <w:rsid w:val="00C31C91"/>
    <w:rsid w:val="00C32679"/>
    <w:rsid w:val="00C35EBB"/>
    <w:rsid w:val="00C365ED"/>
    <w:rsid w:val="00C37446"/>
    <w:rsid w:val="00C40193"/>
    <w:rsid w:val="00C42E93"/>
    <w:rsid w:val="00C43646"/>
    <w:rsid w:val="00C467E6"/>
    <w:rsid w:val="00C508A7"/>
    <w:rsid w:val="00C51EE8"/>
    <w:rsid w:val="00C522A5"/>
    <w:rsid w:val="00C54C7C"/>
    <w:rsid w:val="00C5547F"/>
    <w:rsid w:val="00C55C68"/>
    <w:rsid w:val="00C562CC"/>
    <w:rsid w:val="00C5784F"/>
    <w:rsid w:val="00C57CE4"/>
    <w:rsid w:val="00C6140B"/>
    <w:rsid w:val="00C61CEB"/>
    <w:rsid w:val="00C6230B"/>
    <w:rsid w:val="00C649E2"/>
    <w:rsid w:val="00C65EDD"/>
    <w:rsid w:val="00C665FC"/>
    <w:rsid w:val="00C6711E"/>
    <w:rsid w:val="00C6746B"/>
    <w:rsid w:val="00C71427"/>
    <w:rsid w:val="00C71FB4"/>
    <w:rsid w:val="00C721B2"/>
    <w:rsid w:val="00C725AE"/>
    <w:rsid w:val="00C755D7"/>
    <w:rsid w:val="00C764DF"/>
    <w:rsid w:val="00C7755E"/>
    <w:rsid w:val="00C77B3E"/>
    <w:rsid w:val="00C803C5"/>
    <w:rsid w:val="00C80EA5"/>
    <w:rsid w:val="00C81F8D"/>
    <w:rsid w:val="00C828B3"/>
    <w:rsid w:val="00C8429E"/>
    <w:rsid w:val="00C85938"/>
    <w:rsid w:val="00C85B69"/>
    <w:rsid w:val="00C9055D"/>
    <w:rsid w:val="00C9200B"/>
    <w:rsid w:val="00C92F41"/>
    <w:rsid w:val="00C93811"/>
    <w:rsid w:val="00C97F06"/>
    <w:rsid w:val="00CA10D1"/>
    <w:rsid w:val="00CA1F79"/>
    <w:rsid w:val="00CA301C"/>
    <w:rsid w:val="00CA348C"/>
    <w:rsid w:val="00CA3C76"/>
    <w:rsid w:val="00CA3F40"/>
    <w:rsid w:val="00CA4196"/>
    <w:rsid w:val="00CA423B"/>
    <w:rsid w:val="00CA4D3A"/>
    <w:rsid w:val="00CA53EE"/>
    <w:rsid w:val="00CA57A6"/>
    <w:rsid w:val="00CA60E3"/>
    <w:rsid w:val="00CB0C33"/>
    <w:rsid w:val="00CB1528"/>
    <w:rsid w:val="00CB2572"/>
    <w:rsid w:val="00CB3390"/>
    <w:rsid w:val="00CB3BC6"/>
    <w:rsid w:val="00CB62BE"/>
    <w:rsid w:val="00CB67A7"/>
    <w:rsid w:val="00CB6FDB"/>
    <w:rsid w:val="00CB727F"/>
    <w:rsid w:val="00CC057F"/>
    <w:rsid w:val="00CC3F2D"/>
    <w:rsid w:val="00CC401C"/>
    <w:rsid w:val="00CC5171"/>
    <w:rsid w:val="00CC6717"/>
    <w:rsid w:val="00CD1EFF"/>
    <w:rsid w:val="00CD2E30"/>
    <w:rsid w:val="00CD724B"/>
    <w:rsid w:val="00CD7A0A"/>
    <w:rsid w:val="00CE0EE0"/>
    <w:rsid w:val="00CE23C4"/>
    <w:rsid w:val="00CE3533"/>
    <w:rsid w:val="00CE3C06"/>
    <w:rsid w:val="00CE4597"/>
    <w:rsid w:val="00CE4B3B"/>
    <w:rsid w:val="00CF0022"/>
    <w:rsid w:val="00CF199D"/>
    <w:rsid w:val="00CF1B44"/>
    <w:rsid w:val="00CF2FE4"/>
    <w:rsid w:val="00CF3889"/>
    <w:rsid w:val="00CF4A34"/>
    <w:rsid w:val="00CF612C"/>
    <w:rsid w:val="00CF7884"/>
    <w:rsid w:val="00CF7A97"/>
    <w:rsid w:val="00D002FB"/>
    <w:rsid w:val="00D00ED9"/>
    <w:rsid w:val="00D013B0"/>
    <w:rsid w:val="00D02B48"/>
    <w:rsid w:val="00D02CB6"/>
    <w:rsid w:val="00D056E0"/>
    <w:rsid w:val="00D06DE9"/>
    <w:rsid w:val="00D0721A"/>
    <w:rsid w:val="00D0745E"/>
    <w:rsid w:val="00D10281"/>
    <w:rsid w:val="00D11BBC"/>
    <w:rsid w:val="00D139E6"/>
    <w:rsid w:val="00D13E2C"/>
    <w:rsid w:val="00D14875"/>
    <w:rsid w:val="00D15F91"/>
    <w:rsid w:val="00D171EE"/>
    <w:rsid w:val="00D1765A"/>
    <w:rsid w:val="00D1769C"/>
    <w:rsid w:val="00D20889"/>
    <w:rsid w:val="00D21B0B"/>
    <w:rsid w:val="00D22541"/>
    <w:rsid w:val="00D22B7C"/>
    <w:rsid w:val="00D23CD5"/>
    <w:rsid w:val="00D23FB0"/>
    <w:rsid w:val="00D24346"/>
    <w:rsid w:val="00D24D12"/>
    <w:rsid w:val="00D2517D"/>
    <w:rsid w:val="00D2607B"/>
    <w:rsid w:val="00D26131"/>
    <w:rsid w:val="00D26642"/>
    <w:rsid w:val="00D270C2"/>
    <w:rsid w:val="00D27EA6"/>
    <w:rsid w:val="00D27EAD"/>
    <w:rsid w:val="00D30E32"/>
    <w:rsid w:val="00D31896"/>
    <w:rsid w:val="00D32244"/>
    <w:rsid w:val="00D324A4"/>
    <w:rsid w:val="00D32C4F"/>
    <w:rsid w:val="00D32D24"/>
    <w:rsid w:val="00D32EBA"/>
    <w:rsid w:val="00D330A9"/>
    <w:rsid w:val="00D336E4"/>
    <w:rsid w:val="00D3479E"/>
    <w:rsid w:val="00D3488E"/>
    <w:rsid w:val="00D34E23"/>
    <w:rsid w:val="00D35336"/>
    <w:rsid w:val="00D35EFD"/>
    <w:rsid w:val="00D37554"/>
    <w:rsid w:val="00D37FEE"/>
    <w:rsid w:val="00D40FD7"/>
    <w:rsid w:val="00D41046"/>
    <w:rsid w:val="00D41C59"/>
    <w:rsid w:val="00D42254"/>
    <w:rsid w:val="00D4401C"/>
    <w:rsid w:val="00D44383"/>
    <w:rsid w:val="00D44AA2"/>
    <w:rsid w:val="00D44E79"/>
    <w:rsid w:val="00D46016"/>
    <w:rsid w:val="00D50A23"/>
    <w:rsid w:val="00D50A66"/>
    <w:rsid w:val="00D51E05"/>
    <w:rsid w:val="00D52137"/>
    <w:rsid w:val="00D53B80"/>
    <w:rsid w:val="00D53EA4"/>
    <w:rsid w:val="00D57C61"/>
    <w:rsid w:val="00D60010"/>
    <w:rsid w:val="00D60E57"/>
    <w:rsid w:val="00D61B49"/>
    <w:rsid w:val="00D6209D"/>
    <w:rsid w:val="00D626D7"/>
    <w:rsid w:val="00D63EED"/>
    <w:rsid w:val="00D64590"/>
    <w:rsid w:val="00D646B7"/>
    <w:rsid w:val="00D64B94"/>
    <w:rsid w:val="00D66612"/>
    <w:rsid w:val="00D672AA"/>
    <w:rsid w:val="00D67B21"/>
    <w:rsid w:val="00D67E2C"/>
    <w:rsid w:val="00D73502"/>
    <w:rsid w:val="00D737EB"/>
    <w:rsid w:val="00D74147"/>
    <w:rsid w:val="00D744ED"/>
    <w:rsid w:val="00D7694F"/>
    <w:rsid w:val="00D76D10"/>
    <w:rsid w:val="00D775C4"/>
    <w:rsid w:val="00D8087D"/>
    <w:rsid w:val="00D80A97"/>
    <w:rsid w:val="00D81207"/>
    <w:rsid w:val="00D825B0"/>
    <w:rsid w:val="00D82F03"/>
    <w:rsid w:val="00D84FA4"/>
    <w:rsid w:val="00D86413"/>
    <w:rsid w:val="00D8682E"/>
    <w:rsid w:val="00D876DC"/>
    <w:rsid w:val="00D92F83"/>
    <w:rsid w:val="00D933AF"/>
    <w:rsid w:val="00D9378A"/>
    <w:rsid w:val="00D93808"/>
    <w:rsid w:val="00D951EB"/>
    <w:rsid w:val="00D95300"/>
    <w:rsid w:val="00DA1015"/>
    <w:rsid w:val="00DA1199"/>
    <w:rsid w:val="00DA1854"/>
    <w:rsid w:val="00DA3907"/>
    <w:rsid w:val="00DA43F7"/>
    <w:rsid w:val="00DA4751"/>
    <w:rsid w:val="00DA55C7"/>
    <w:rsid w:val="00DA5A64"/>
    <w:rsid w:val="00DA5FE3"/>
    <w:rsid w:val="00DA78C1"/>
    <w:rsid w:val="00DA7D66"/>
    <w:rsid w:val="00DB0443"/>
    <w:rsid w:val="00DB1079"/>
    <w:rsid w:val="00DB1A06"/>
    <w:rsid w:val="00DB24F5"/>
    <w:rsid w:val="00DB4B16"/>
    <w:rsid w:val="00DB6130"/>
    <w:rsid w:val="00DB627C"/>
    <w:rsid w:val="00DB6F7C"/>
    <w:rsid w:val="00DB78C9"/>
    <w:rsid w:val="00DC0760"/>
    <w:rsid w:val="00DC0CD3"/>
    <w:rsid w:val="00DC1CF4"/>
    <w:rsid w:val="00DC1E12"/>
    <w:rsid w:val="00DC24C1"/>
    <w:rsid w:val="00DC2E31"/>
    <w:rsid w:val="00DC2F1A"/>
    <w:rsid w:val="00DC5D4E"/>
    <w:rsid w:val="00DD134C"/>
    <w:rsid w:val="00DD14AA"/>
    <w:rsid w:val="00DD1AFD"/>
    <w:rsid w:val="00DD28A2"/>
    <w:rsid w:val="00DD391E"/>
    <w:rsid w:val="00DD57CB"/>
    <w:rsid w:val="00DD57E0"/>
    <w:rsid w:val="00DD67BC"/>
    <w:rsid w:val="00DD6C10"/>
    <w:rsid w:val="00DD781A"/>
    <w:rsid w:val="00DE11CB"/>
    <w:rsid w:val="00DE15D2"/>
    <w:rsid w:val="00DE3B58"/>
    <w:rsid w:val="00DE56B4"/>
    <w:rsid w:val="00DF06CD"/>
    <w:rsid w:val="00DF14D6"/>
    <w:rsid w:val="00DF25F9"/>
    <w:rsid w:val="00DF2B05"/>
    <w:rsid w:val="00DF3DAF"/>
    <w:rsid w:val="00DF41E0"/>
    <w:rsid w:val="00DF4808"/>
    <w:rsid w:val="00DF5E11"/>
    <w:rsid w:val="00DF7E82"/>
    <w:rsid w:val="00E017B9"/>
    <w:rsid w:val="00E01E03"/>
    <w:rsid w:val="00E02AC2"/>
    <w:rsid w:val="00E04F0B"/>
    <w:rsid w:val="00E05838"/>
    <w:rsid w:val="00E05F63"/>
    <w:rsid w:val="00E06224"/>
    <w:rsid w:val="00E062FF"/>
    <w:rsid w:val="00E067A9"/>
    <w:rsid w:val="00E0701D"/>
    <w:rsid w:val="00E11E97"/>
    <w:rsid w:val="00E11EFA"/>
    <w:rsid w:val="00E13C5B"/>
    <w:rsid w:val="00E13DE9"/>
    <w:rsid w:val="00E151E7"/>
    <w:rsid w:val="00E16D5E"/>
    <w:rsid w:val="00E20BEC"/>
    <w:rsid w:val="00E21117"/>
    <w:rsid w:val="00E23533"/>
    <w:rsid w:val="00E23DB4"/>
    <w:rsid w:val="00E24DA8"/>
    <w:rsid w:val="00E25419"/>
    <w:rsid w:val="00E256DA"/>
    <w:rsid w:val="00E263E7"/>
    <w:rsid w:val="00E2691A"/>
    <w:rsid w:val="00E2709A"/>
    <w:rsid w:val="00E314C2"/>
    <w:rsid w:val="00E31D5E"/>
    <w:rsid w:val="00E35AAF"/>
    <w:rsid w:val="00E36591"/>
    <w:rsid w:val="00E3661C"/>
    <w:rsid w:val="00E37CEF"/>
    <w:rsid w:val="00E406AF"/>
    <w:rsid w:val="00E41625"/>
    <w:rsid w:val="00E420FA"/>
    <w:rsid w:val="00E424D7"/>
    <w:rsid w:val="00E424F4"/>
    <w:rsid w:val="00E43260"/>
    <w:rsid w:val="00E44D25"/>
    <w:rsid w:val="00E44DC9"/>
    <w:rsid w:val="00E46239"/>
    <w:rsid w:val="00E468D5"/>
    <w:rsid w:val="00E46902"/>
    <w:rsid w:val="00E46E50"/>
    <w:rsid w:val="00E50DEF"/>
    <w:rsid w:val="00E51294"/>
    <w:rsid w:val="00E513A6"/>
    <w:rsid w:val="00E51FF2"/>
    <w:rsid w:val="00E53E9A"/>
    <w:rsid w:val="00E54D55"/>
    <w:rsid w:val="00E55A31"/>
    <w:rsid w:val="00E575CB"/>
    <w:rsid w:val="00E5761E"/>
    <w:rsid w:val="00E60377"/>
    <w:rsid w:val="00E60D9F"/>
    <w:rsid w:val="00E610A3"/>
    <w:rsid w:val="00E61881"/>
    <w:rsid w:val="00E61B90"/>
    <w:rsid w:val="00E625B4"/>
    <w:rsid w:val="00E630E2"/>
    <w:rsid w:val="00E64187"/>
    <w:rsid w:val="00E64803"/>
    <w:rsid w:val="00E64F65"/>
    <w:rsid w:val="00E65BE9"/>
    <w:rsid w:val="00E65EAD"/>
    <w:rsid w:val="00E6771D"/>
    <w:rsid w:val="00E708AA"/>
    <w:rsid w:val="00E713BB"/>
    <w:rsid w:val="00E71487"/>
    <w:rsid w:val="00E717F2"/>
    <w:rsid w:val="00E71F73"/>
    <w:rsid w:val="00E72165"/>
    <w:rsid w:val="00E724E6"/>
    <w:rsid w:val="00E72F5A"/>
    <w:rsid w:val="00E73CFF"/>
    <w:rsid w:val="00E74019"/>
    <w:rsid w:val="00E76A70"/>
    <w:rsid w:val="00E770F9"/>
    <w:rsid w:val="00E77B05"/>
    <w:rsid w:val="00E837C5"/>
    <w:rsid w:val="00E8442B"/>
    <w:rsid w:val="00E904EC"/>
    <w:rsid w:val="00E91671"/>
    <w:rsid w:val="00E9201A"/>
    <w:rsid w:val="00E924DF"/>
    <w:rsid w:val="00E93473"/>
    <w:rsid w:val="00E93975"/>
    <w:rsid w:val="00E93BDC"/>
    <w:rsid w:val="00E94003"/>
    <w:rsid w:val="00E9422F"/>
    <w:rsid w:val="00E947E0"/>
    <w:rsid w:val="00E94FAE"/>
    <w:rsid w:val="00E95DA2"/>
    <w:rsid w:val="00E97C4D"/>
    <w:rsid w:val="00EA0183"/>
    <w:rsid w:val="00EA01EE"/>
    <w:rsid w:val="00EA0218"/>
    <w:rsid w:val="00EA0832"/>
    <w:rsid w:val="00EA1C2B"/>
    <w:rsid w:val="00EA2D97"/>
    <w:rsid w:val="00EA37BE"/>
    <w:rsid w:val="00EA64BB"/>
    <w:rsid w:val="00EB13E1"/>
    <w:rsid w:val="00EB1D3F"/>
    <w:rsid w:val="00EB1D8B"/>
    <w:rsid w:val="00EB2376"/>
    <w:rsid w:val="00EB27C7"/>
    <w:rsid w:val="00EB3E08"/>
    <w:rsid w:val="00EB482B"/>
    <w:rsid w:val="00EB48D4"/>
    <w:rsid w:val="00EB5DC6"/>
    <w:rsid w:val="00EB6A8A"/>
    <w:rsid w:val="00EC273C"/>
    <w:rsid w:val="00EC2A95"/>
    <w:rsid w:val="00EC3261"/>
    <w:rsid w:val="00EC422B"/>
    <w:rsid w:val="00EC45AF"/>
    <w:rsid w:val="00EC53FB"/>
    <w:rsid w:val="00EC65B7"/>
    <w:rsid w:val="00ED014D"/>
    <w:rsid w:val="00ED028C"/>
    <w:rsid w:val="00ED0892"/>
    <w:rsid w:val="00ED0B9F"/>
    <w:rsid w:val="00ED16E2"/>
    <w:rsid w:val="00ED1C7D"/>
    <w:rsid w:val="00ED1E47"/>
    <w:rsid w:val="00ED2EE9"/>
    <w:rsid w:val="00ED335E"/>
    <w:rsid w:val="00ED394B"/>
    <w:rsid w:val="00ED5EAA"/>
    <w:rsid w:val="00ED6478"/>
    <w:rsid w:val="00ED6558"/>
    <w:rsid w:val="00ED689D"/>
    <w:rsid w:val="00EE02A4"/>
    <w:rsid w:val="00EE02BD"/>
    <w:rsid w:val="00EE2339"/>
    <w:rsid w:val="00EE35E1"/>
    <w:rsid w:val="00EE3850"/>
    <w:rsid w:val="00EE3A21"/>
    <w:rsid w:val="00EE3B90"/>
    <w:rsid w:val="00EE4EBF"/>
    <w:rsid w:val="00EE6823"/>
    <w:rsid w:val="00EE7795"/>
    <w:rsid w:val="00EE78B5"/>
    <w:rsid w:val="00EF2511"/>
    <w:rsid w:val="00EF45DE"/>
    <w:rsid w:val="00EF5E11"/>
    <w:rsid w:val="00EF6ADA"/>
    <w:rsid w:val="00EF7924"/>
    <w:rsid w:val="00F024A6"/>
    <w:rsid w:val="00F02C07"/>
    <w:rsid w:val="00F0342A"/>
    <w:rsid w:val="00F040E3"/>
    <w:rsid w:val="00F04500"/>
    <w:rsid w:val="00F04F89"/>
    <w:rsid w:val="00F05337"/>
    <w:rsid w:val="00F07397"/>
    <w:rsid w:val="00F07AE4"/>
    <w:rsid w:val="00F13AA2"/>
    <w:rsid w:val="00F1486B"/>
    <w:rsid w:val="00F15CDE"/>
    <w:rsid w:val="00F17110"/>
    <w:rsid w:val="00F174E1"/>
    <w:rsid w:val="00F17CB9"/>
    <w:rsid w:val="00F20C01"/>
    <w:rsid w:val="00F2169E"/>
    <w:rsid w:val="00F2272C"/>
    <w:rsid w:val="00F229E7"/>
    <w:rsid w:val="00F24FA2"/>
    <w:rsid w:val="00F2537F"/>
    <w:rsid w:val="00F274E4"/>
    <w:rsid w:val="00F3019B"/>
    <w:rsid w:val="00F3033D"/>
    <w:rsid w:val="00F311A1"/>
    <w:rsid w:val="00F31A06"/>
    <w:rsid w:val="00F36293"/>
    <w:rsid w:val="00F3690C"/>
    <w:rsid w:val="00F36C18"/>
    <w:rsid w:val="00F37604"/>
    <w:rsid w:val="00F40A7F"/>
    <w:rsid w:val="00F41C28"/>
    <w:rsid w:val="00F44588"/>
    <w:rsid w:val="00F44BE9"/>
    <w:rsid w:val="00F44C37"/>
    <w:rsid w:val="00F45140"/>
    <w:rsid w:val="00F45849"/>
    <w:rsid w:val="00F46213"/>
    <w:rsid w:val="00F465A5"/>
    <w:rsid w:val="00F5048E"/>
    <w:rsid w:val="00F511F2"/>
    <w:rsid w:val="00F533B8"/>
    <w:rsid w:val="00F53574"/>
    <w:rsid w:val="00F54212"/>
    <w:rsid w:val="00F5438C"/>
    <w:rsid w:val="00F55C20"/>
    <w:rsid w:val="00F562E8"/>
    <w:rsid w:val="00F6094E"/>
    <w:rsid w:val="00F60F53"/>
    <w:rsid w:val="00F617E1"/>
    <w:rsid w:val="00F637AC"/>
    <w:rsid w:val="00F63BCE"/>
    <w:rsid w:val="00F63DD8"/>
    <w:rsid w:val="00F641B9"/>
    <w:rsid w:val="00F655CA"/>
    <w:rsid w:val="00F65BEA"/>
    <w:rsid w:val="00F71FEB"/>
    <w:rsid w:val="00F72244"/>
    <w:rsid w:val="00F73340"/>
    <w:rsid w:val="00F7350F"/>
    <w:rsid w:val="00F73624"/>
    <w:rsid w:val="00F740BE"/>
    <w:rsid w:val="00F74337"/>
    <w:rsid w:val="00F74732"/>
    <w:rsid w:val="00F74B1F"/>
    <w:rsid w:val="00F75036"/>
    <w:rsid w:val="00F7533C"/>
    <w:rsid w:val="00F76206"/>
    <w:rsid w:val="00F77DAC"/>
    <w:rsid w:val="00F77FBA"/>
    <w:rsid w:val="00F80E8A"/>
    <w:rsid w:val="00F8104E"/>
    <w:rsid w:val="00F818EC"/>
    <w:rsid w:val="00F82529"/>
    <w:rsid w:val="00F8380A"/>
    <w:rsid w:val="00F84E98"/>
    <w:rsid w:val="00F85B4E"/>
    <w:rsid w:val="00F8637A"/>
    <w:rsid w:val="00F87137"/>
    <w:rsid w:val="00F91221"/>
    <w:rsid w:val="00F913F0"/>
    <w:rsid w:val="00F92149"/>
    <w:rsid w:val="00F928B3"/>
    <w:rsid w:val="00F93BF8"/>
    <w:rsid w:val="00F93F84"/>
    <w:rsid w:val="00F94A19"/>
    <w:rsid w:val="00F95517"/>
    <w:rsid w:val="00F95F78"/>
    <w:rsid w:val="00F9691B"/>
    <w:rsid w:val="00F96A62"/>
    <w:rsid w:val="00F96C34"/>
    <w:rsid w:val="00F97B07"/>
    <w:rsid w:val="00FA03CA"/>
    <w:rsid w:val="00FA0729"/>
    <w:rsid w:val="00FA0BC6"/>
    <w:rsid w:val="00FA20C2"/>
    <w:rsid w:val="00FA32A7"/>
    <w:rsid w:val="00FA3B20"/>
    <w:rsid w:val="00FA3C05"/>
    <w:rsid w:val="00FA45A7"/>
    <w:rsid w:val="00FA4A2A"/>
    <w:rsid w:val="00FA631C"/>
    <w:rsid w:val="00FB17B9"/>
    <w:rsid w:val="00FB181D"/>
    <w:rsid w:val="00FB2606"/>
    <w:rsid w:val="00FB3BE0"/>
    <w:rsid w:val="00FB705E"/>
    <w:rsid w:val="00FB7952"/>
    <w:rsid w:val="00FC0A22"/>
    <w:rsid w:val="00FC1F66"/>
    <w:rsid w:val="00FC224F"/>
    <w:rsid w:val="00FC2F63"/>
    <w:rsid w:val="00FC47EB"/>
    <w:rsid w:val="00FC4DD8"/>
    <w:rsid w:val="00FC4EF0"/>
    <w:rsid w:val="00FC5185"/>
    <w:rsid w:val="00FD0797"/>
    <w:rsid w:val="00FD0860"/>
    <w:rsid w:val="00FD13B9"/>
    <w:rsid w:val="00FD14B8"/>
    <w:rsid w:val="00FD1A98"/>
    <w:rsid w:val="00FD1DCA"/>
    <w:rsid w:val="00FD432D"/>
    <w:rsid w:val="00FD4B85"/>
    <w:rsid w:val="00FD5208"/>
    <w:rsid w:val="00FD5F28"/>
    <w:rsid w:val="00FD7F15"/>
    <w:rsid w:val="00FE092C"/>
    <w:rsid w:val="00FE21A7"/>
    <w:rsid w:val="00FE2A45"/>
    <w:rsid w:val="00FE3D18"/>
    <w:rsid w:val="00FE4415"/>
    <w:rsid w:val="00FE60E4"/>
    <w:rsid w:val="00FE6E15"/>
    <w:rsid w:val="00FF0569"/>
    <w:rsid w:val="00FF1FCC"/>
    <w:rsid w:val="00FF22A4"/>
    <w:rsid w:val="00FF22BB"/>
    <w:rsid w:val="00FF31D5"/>
    <w:rsid w:val="00FF31F4"/>
    <w:rsid w:val="00FF5DEC"/>
    <w:rsid w:val="00FF6537"/>
    <w:rsid w:val="00FF66EF"/>
    <w:rsid w:val="00FF682A"/>
    <w:rsid w:val="00FF68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960952F-2EAB-4C81-A13C-301251DB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D876D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D876D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US" w:eastAsia="zh-CN"/>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customStyle="1" w:styleId="LightList-Accent31">
    <w:name w:val="Light List - Accent 31"/>
    <w:hidden/>
    <w:uiPriority w:val="99"/>
    <w:semiHidden/>
    <w:rsid w:val="00094AA5"/>
    <w:rPr>
      <w:lang w:eastAsia="en-US"/>
    </w:rPr>
  </w:style>
  <w:style w:type="paragraph" w:customStyle="1" w:styleId="MediumGrid2-Accent11">
    <w:name w:val="Medium Grid 2 - Accent 11"/>
    <w:uiPriority w:val="1"/>
    <w:qFormat/>
    <w:rsid w:val="007E6022"/>
    <w:rPr>
      <w:rFonts w:ascii="Calibri" w:eastAsia="Calibri" w:hAnsi="Calibri"/>
      <w:sz w:val="22"/>
      <w:szCs w:val="22"/>
      <w:lang w:eastAsia="en-US"/>
    </w:rPr>
  </w:style>
  <w:style w:type="paragraph" w:styleId="NormalWeb">
    <w:name w:val="Normal (Web)"/>
    <w:basedOn w:val="Normal"/>
    <w:uiPriority w:val="99"/>
    <w:unhideWhenUsed/>
    <w:rsid w:val="00882227"/>
    <w:pPr>
      <w:suppressAutoHyphens w:val="0"/>
      <w:spacing w:before="100" w:beforeAutospacing="1" w:after="100" w:afterAutospacing="1" w:line="240" w:lineRule="auto"/>
    </w:pPr>
    <w:rPr>
      <w:rFonts w:ascii="Times" w:hAnsi="Times"/>
      <w:lang w:val="en-US"/>
    </w:rPr>
  </w:style>
  <w:style w:type="paragraph" w:styleId="Revision">
    <w:name w:val="Revision"/>
    <w:hidden/>
    <w:uiPriority w:val="99"/>
    <w:semiHidden/>
    <w:rsid w:val="00200FDE"/>
    <w:rPr>
      <w:lang w:eastAsia="en-US"/>
    </w:rPr>
  </w:style>
  <w:style w:type="character" w:styleId="Emphasis">
    <w:name w:val="Emphasis"/>
    <w:basedOn w:val="DefaultParagraphFont"/>
    <w:uiPriority w:val="20"/>
    <w:qFormat/>
    <w:rsid w:val="00F73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 w:id="1036933828">
      <w:bodyDiv w:val="1"/>
      <w:marLeft w:val="0"/>
      <w:marRight w:val="0"/>
      <w:marTop w:val="0"/>
      <w:marBottom w:val="0"/>
      <w:divBdr>
        <w:top w:val="none" w:sz="0" w:space="0" w:color="auto"/>
        <w:left w:val="none" w:sz="0" w:space="0" w:color="auto"/>
        <w:bottom w:val="none" w:sz="0" w:space="0" w:color="auto"/>
        <w:right w:val="none" w:sz="0" w:space="0" w:color="auto"/>
      </w:divBdr>
      <w:divsChild>
        <w:div w:id="739182764">
          <w:marLeft w:val="0"/>
          <w:marRight w:val="0"/>
          <w:marTop w:val="0"/>
          <w:marBottom w:val="0"/>
          <w:divBdr>
            <w:top w:val="none" w:sz="0" w:space="0" w:color="auto"/>
            <w:left w:val="none" w:sz="0" w:space="0" w:color="auto"/>
            <w:bottom w:val="none" w:sz="0" w:space="0" w:color="auto"/>
            <w:right w:val="none" w:sz="0" w:space="0" w:color="auto"/>
          </w:divBdr>
          <w:divsChild>
            <w:div w:id="792939540">
              <w:marLeft w:val="0"/>
              <w:marRight w:val="0"/>
              <w:marTop w:val="0"/>
              <w:marBottom w:val="0"/>
              <w:divBdr>
                <w:top w:val="none" w:sz="0" w:space="0" w:color="auto"/>
                <w:left w:val="none" w:sz="0" w:space="0" w:color="auto"/>
                <w:bottom w:val="none" w:sz="0" w:space="0" w:color="auto"/>
                <w:right w:val="none" w:sz="0" w:space="0" w:color="auto"/>
              </w:divBdr>
              <w:divsChild>
                <w:div w:id="817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65839">
      <w:bodyDiv w:val="1"/>
      <w:marLeft w:val="0"/>
      <w:marRight w:val="0"/>
      <w:marTop w:val="0"/>
      <w:marBottom w:val="0"/>
      <w:divBdr>
        <w:top w:val="none" w:sz="0" w:space="0" w:color="auto"/>
        <w:left w:val="none" w:sz="0" w:space="0" w:color="auto"/>
        <w:bottom w:val="none" w:sz="0" w:space="0" w:color="auto"/>
        <w:right w:val="none" w:sz="0" w:space="0" w:color="auto"/>
      </w:divBdr>
    </w:div>
    <w:div w:id="1708993263">
      <w:bodyDiv w:val="1"/>
      <w:marLeft w:val="0"/>
      <w:marRight w:val="0"/>
      <w:marTop w:val="0"/>
      <w:marBottom w:val="0"/>
      <w:divBdr>
        <w:top w:val="none" w:sz="0" w:space="0" w:color="auto"/>
        <w:left w:val="none" w:sz="0" w:space="0" w:color="auto"/>
        <w:bottom w:val="none" w:sz="0" w:space="0" w:color="auto"/>
        <w:right w:val="none" w:sz="0" w:space="0" w:color="auto"/>
      </w:divBdr>
    </w:div>
    <w:div w:id="1942495574">
      <w:bodyDiv w:val="1"/>
      <w:marLeft w:val="0"/>
      <w:marRight w:val="0"/>
      <w:marTop w:val="0"/>
      <w:marBottom w:val="0"/>
      <w:divBdr>
        <w:top w:val="none" w:sz="0" w:space="0" w:color="auto"/>
        <w:left w:val="none" w:sz="0" w:space="0" w:color="auto"/>
        <w:bottom w:val="none" w:sz="0" w:space="0" w:color="auto"/>
        <w:right w:val="none" w:sz="0" w:space="0" w:color="auto"/>
      </w:divBdr>
      <w:divsChild>
        <w:div w:id="1644238419">
          <w:marLeft w:val="0"/>
          <w:marRight w:val="0"/>
          <w:marTop w:val="0"/>
          <w:marBottom w:val="0"/>
          <w:divBdr>
            <w:top w:val="none" w:sz="0" w:space="0" w:color="auto"/>
            <w:left w:val="none" w:sz="0" w:space="0" w:color="auto"/>
            <w:bottom w:val="none" w:sz="0" w:space="0" w:color="auto"/>
            <w:right w:val="none" w:sz="0" w:space="0" w:color="auto"/>
          </w:divBdr>
          <w:divsChild>
            <w:div w:id="578514961">
              <w:marLeft w:val="0"/>
              <w:marRight w:val="0"/>
              <w:marTop w:val="0"/>
              <w:marBottom w:val="0"/>
              <w:divBdr>
                <w:top w:val="none" w:sz="0" w:space="0" w:color="auto"/>
                <w:left w:val="none" w:sz="0" w:space="0" w:color="auto"/>
                <w:bottom w:val="none" w:sz="0" w:space="0" w:color="auto"/>
                <w:right w:val="none" w:sz="0" w:space="0" w:color="auto"/>
              </w:divBdr>
              <w:divsChild>
                <w:div w:id="1155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file:///C:\Users\vivian.lozano\AppData\Local\Temp\notes8EBBE4\www.hrw.org\world-report\2014\country-chapters\sri-lan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4C61-40A1-4E32-AA1B-4B4A5863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17</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1608087</vt:lpstr>
    </vt:vector>
  </TitlesOfParts>
  <Company>CSD</Company>
  <LinksUpToDate>false</LinksUpToDate>
  <CharactersWithSpaces>46104</CharactersWithSpaces>
  <SharedDoc>false</SharedDoc>
  <HLinks>
    <vt:vector size="24" baseType="variant">
      <vt:variant>
        <vt:i4>5767249</vt:i4>
      </vt:variant>
      <vt:variant>
        <vt:i4>12</vt:i4>
      </vt:variant>
      <vt:variant>
        <vt:i4>0</vt:i4>
      </vt:variant>
      <vt:variant>
        <vt:i4>5</vt:i4>
      </vt:variant>
      <vt:variant>
        <vt:lpwstr>http://www.refworld.org/publisher, ARCON,542e89fc4,0.html</vt:lpwstr>
      </vt:variant>
      <vt:variant>
        <vt:lpwstr/>
      </vt:variant>
      <vt:variant>
        <vt:i4>1114148</vt:i4>
      </vt:variant>
      <vt:variant>
        <vt:i4>9</vt:i4>
      </vt:variant>
      <vt:variant>
        <vt:i4>0</vt:i4>
      </vt:variant>
      <vt:variant>
        <vt:i4>5</vt:i4>
      </vt:variant>
      <vt:variant>
        <vt:lpwstr>https://www.gov.uk/government/uploads/system/uploads/attachment_data/file/310200/Sri_Lanka_operational_guidance_2013.pdf</vt:lpwstr>
      </vt:variant>
      <vt:variant>
        <vt:lpwstr/>
      </vt:variant>
      <vt:variant>
        <vt:i4>1835016</vt:i4>
      </vt:variant>
      <vt:variant>
        <vt:i4>6</vt:i4>
      </vt:variant>
      <vt:variant>
        <vt:i4>0</vt:i4>
      </vt:variant>
      <vt:variant>
        <vt:i4>5</vt:i4>
      </vt:variant>
      <vt:variant>
        <vt:lpwstr>https://www.hrw.org/world-report/2014/country-chapters/sri-lanka</vt:lpwstr>
      </vt:variant>
      <vt:variant>
        <vt:lpwstr/>
      </vt:variant>
      <vt:variant>
        <vt:i4>4194369</vt:i4>
      </vt:variant>
      <vt:variant>
        <vt:i4>3</vt:i4>
      </vt:variant>
      <vt:variant>
        <vt:i4>0</vt:i4>
      </vt:variant>
      <vt:variant>
        <vt:i4>5</vt:i4>
      </vt:variant>
      <vt:variant>
        <vt:lpwstr>http://www.state.gov/j/drl/rls/hrrpt/humanrightsreport/</vt:lpwstr>
      </vt:variant>
      <vt:variant>
        <vt:lpwstr>wrapper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1608087</dc:title>
  <dc:subject>CCPR/C/116/D/2314/2013</dc:subject>
  <dc:creator>temp Neogi</dc:creator>
  <cp:keywords/>
  <dc:description/>
  <cp:lastModifiedBy>Sarah Willig</cp:lastModifiedBy>
  <cp:revision>2</cp:revision>
  <cp:lastPrinted>2016-01-28T12:34:00Z</cp:lastPrinted>
  <dcterms:created xsi:type="dcterms:W3CDTF">2017-04-05T17:59:00Z</dcterms:created>
  <dcterms:modified xsi:type="dcterms:W3CDTF">2017-04-05T17:59:00Z</dcterms:modified>
</cp:coreProperties>
</file>