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trPr>
          <w:trHeight w:hRule="exact" w:val="851"/>
        </w:trPr>
        <w:tc>
          <w:tcPr>
            <w:tcW w:w="1276" w:type="dxa"/>
            <w:tcBorders>
              <w:bottom w:val="single" w:sz="4" w:space="0" w:color="auto"/>
            </w:tcBorders>
            <w:vAlign w:val="bottom"/>
          </w:tcPr>
          <w:p w:rsidR="00890D9A" w:rsidRPr="007E74A5" w:rsidRDefault="00890D9A" w:rsidP="006B4FA1">
            <w:pPr>
              <w:spacing w:line="20" w:lineRule="exact"/>
              <w:rPr>
                <w:u w:val="single"/>
              </w:rPr>
            </w:pPr>
            <w:bookmarkStart w:id="0" w:name="_GoBack"/>
            <w:bookmarkEnd w:id="0"/>
          </w:p>
        </w:tc>
        <w:tc>
          <w:tcPr>
            <w:tcW w:w="1985" w:type="dxa"/>
            <w:tcBorders>
              <w:bottom w:val="single" w:sz="4" w:space="0" w:color="auto"/>
            </w:tcBorders>
            <w:vAlign w:val="bottom"/>
          </w:tcPr>
          <w:p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rsidR="004876DE" w:rsidRPr="00C07884" w:rsidRDefault="004876DE" w:rsidP="00E25BBD">
            <w:pPr>
              <w:jc w:val="right"/>
            </w:pPr>
            <w:r w:rsidRPr="00C07884">
              <w:rPr>
                <w:sz w:val="40"/>
              </w:rPr>
              <w:t>CAT</w:t>
            </w:r>
            <w:r w:rsidR="007A5D50" w:rsidRPr="00C07884">
              <w:t>/C/5</w:t>
            </w:r>
            <w:r w:rsidR="00F86222">
              <w:t>7</w:t>
            </w:r>
            <w:r w:rsidR="007A5D50" w:rsidRPr="00C07884">
              <w:t>/D/</w:t>
            </w:r>
            <w:r w:rsidR="001F1B7A">
              <w:t>628</w:t>
            </w:r>
            <w:r w:rsidR="007A5D50" w:rsidRPr="00C07884">
              <w:t>/201</w:t>
            </w:r>
            <w:r w:rsidR="001F1B7A">
              <w:t>4</w:t>
            </w:r>
          </w:p>
        </w:tc>
      </w:tr>
      <w:tr w:rsidR="004876DE" w:rsidRPr="00C07884">
        <w:trPr>
          <w:cantSplit/>
          <w:trHeight w:hRule="exact" w:val="2835"/>
        </w:trPr>
        <w:tc>
          <w:tcPr>
            <w:tcW w:w="1276" w:type="dxa"/>
            <w:tcBorders>
              <w:top w:val="single" w:sz="4" w:space="0" w:color="auto"/>
              <w:bottom w:val="single" w:sz="12" w:space="0" w:color="auto"/>
            </w:tcBorders>
          </w:tcPr>
          <w:p w:rsidR="004876DE" w:rsidRPr="00C07884" w:rsidRDefault="00090A37" w:rsidP="004876DE">
            <w:pPr>
              <w:spacing w:before="120"/>
            </w:pPr>
            <w:r>
              <w:rPr>
                <w:noProof/>
                <w:lang w:val="en-US"/>
              </w:rPr>
              <w:drawing>
                <wp:inline distT="0" distB="0" distL="0" distR="0" wp14:anchorId="6374B876" wp14:editId="0FD5739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Pr="00C07884" w:rsidRDefault="004876DE" w:rsidP="004876DE">
            <w:pPr>
              <w:spacing w:before="120" w:line="380" w:lineRule="exact"/>
              <w:rPr>
                <w:sz w:val="34"/>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tc>
        <w:tc>
          <w:tcPr>
            <w:tcW w:w="2835" w:type="dxa"/>
            <w:tcBorders>
              <w:top w:val="single" w:sz="4" w:space="0" w:color="auto"/>
              <w:bottom w:val="single" w:sz="12" w:space="0" w:color="auto"/>
            </w:tcBorders>
          </w:tcPr>
          <w:p w:rsidR="004876DE" w:rsidRPr="00C07884" w:rsidRDefault="004876DE" w:rsidP="004876DE">
            <w:pPr>
              <w:spacing w:before="240" w:line="240" w:lineRule="exact"/>
            </w:pPr>
            <w:r w:rsidRPr="00C07884">
              <w:t xml:space="preserve">Distr.: </w:t>
            </w:r>
            <w:r w:rsidR="00E25BBD">
              <w:t>General</w:t>
            </w:r>
          </w:p>
          <w:p w:rsidR="004876DE" w:rsidRPr="00C07884" w:rsidRDefault="008C4528" w:rsidP="001C5704">
            <w:pPr>
              <w:spacing w:line="240" w:lineRule="exact"/>
            </w:pPr>
            <w:r>
              <w:t>1</w:t>
            </w:r>
            <w:r w:rsidR="00392845">
              <w:t>2</w:t>
            </w:r>
            <w:r w:rsidR="0094490C">
              <w:t xml:space="preserve"> August</w:t>
            </w:r>
            <w:r w:rsidR="00703393">
              <w:t xml:space="preserve"> </w:t>
            </w:r>
            <w:r w:rsidR="007A5D50" w:rsidRPr="00C07884">
              <w:t>201</w:t>
            </w:r>
            <w:r w:rsidR="00F86222">
              <w:t>6</w:t>
            </w:r>
          </w:p>
          <w:p w:rsidR="004876DE" w:rsidRPr="00C07884" w:rsidRDefault="004876DE" w:rsidP="004876DE">
            <w:pPr>
              <w:spacing w:line="240" w:lineRule="exact"/>
            </w:pPr>
          </w:p>
          <w:p w:rsidR="004876DE" w:rsidRDefault="004876DE" w:rsidP="004876DE">
            <w:pPr>
              <w:spacing w:line="240" w:lineRule="exact"/>
            </w:pPr>
            <w:r w:rsidRPr="00C07884">
              <w:t>Original: English</w:t>
            </w:r>
          </w:p>
          <w:p w:rsidR="004876DE" w:rsidRPr="00C07884" w:rsidRDefault="004876DE" w:rsidP="004876DE">
            <w:pPr>
              <w:spacing w:line="240" w:lineRule="exact"/>
            </w:pPr>
          </w:p>
          <w:p w:rsidR="004876DE" w:rsidRPr="00C07884" w:rsidRDefault="004876DE" w:rsidP="004876DE">
            <w:pPr>
              <w:spacing w:line="240" w:lineRule="exact"/>
            </w:pPr>
          </w:p>
        </w:tc>
      </w:tr>
    </w:tbl>
    <w:p w:rsidR="004876DE" w:rsidRPr="00C07884" w:rsidRDefault="004876DE" w:rsidP="004876DE">
      <w:pPr>
        <w:spacing w:before="120"/>
        <w:rPr>
          <w:b/>
          <w:sz w:val="24"/>
          <w:szCs w:val="24"/>
        </w:rPr>
      </w:pPr>
      <w:r w:rsidRPr="00C07884">
        <w:rPr>
          <w:b/>
          <w:sz w:val="24"/>
          <w:szCs w:val="24"/>
        </w:rPr>
        <w:t>Committee against Torture</w:t>
      </w:r>
    </w:p>
    <w:p w:rsidR="00FF32D6" w:rsidRPr="00C737E6" w:rsidRDefault="004876DE" w:rsidP="00C737E6">
      <w:pPr>
        <w:pStyle w:val="HChG"/>
      </w:pPr>
      <w:r w:rsidRPr="006B7173">
        <w:rPr>
          <w:bCs/>
        </w:rPr>
        <w:tab/>
      </w:r>
      <w:r w:rsidRPr="006B7173">
        <w:rPr>
          <w:bCs/>
        </w:rPr>
        <w:tab/>
      </w:r>
      <w:r w:rsidR="00FF32D6" w:rsidRPr="00C737E6">
        <w:t>Decision adopted by the Committee under article 22 of the Convention, concerning c</w:t>
      </w:r>
      <w:r w:rsidRPr="00C737E6">
        <w:t xml:space="preserve">ommunication No. </w:t>
      </w:r>
      <w:r w:rsidR="001F1B7A" w:rsidRPr="00C737E6">
        <w:t>628/2014</w:t>
      </w:r>
      <w:r w:rsidR="00FF32D6" w:rsidRPr="00C737E6">
        <w:rPr>
          <w:rStyle w:val="FootnoteReference"/>
          <w:b w:val="0"/>
          <w:bCs/>
          <w:sz w:val="20"/>
          <w:vertAlign w:val="baseline"/>
        </w:rPr>
        <w:footnoteReference w:customMarkFollows="1" w:id="2"/>
        <w:t>*</w:t>
      </w:r>
      <w:r w:rsidR="00FF32D6" w:rsidRPr="00C737E6">
        <w:rPr>
          <w:b w:val="0"/>
          <w:bCs/>
          <w:position w:val="4"/>
          <w:sz w:val="20"/>
          <w:lang w:eastAsia="zh-CN"/>
        </w:rPr>
        <w:t>,</w:t>
      </w:r>
      <w:r w:rsidR="00FF32D6" w:rsidRPr="00C737E6">
        <w:rPr>
          <w:b w:val="0"/>
          <w:bCs/>
          <w:sz w:val="20"/>
          <w:lang w:eastAsia="zh-CN"/>
        </w:rPr>
        <w:t xml:space="preserve"> </w:t>
      </w:r>
      <w:r w:rsidR="00FF32D6" w:rsidRPr="00C737E6">
        <w:rPr>
          <w:rStyle w:val="FootnoteReference"/>
          <w:b w:val="0"/>
          <w:bCs/>
          <w:sz w:val="20"/>
          <w:vertAlign w:val="baseline"/>
          <w:lang w:eastAsia="zh-CN"/>
        </w:rPr>
        <w:footnoteReference w:customMarkFollows="1" w:id="3"/>
        <w:t>**</w:t>
      </w:r>
      <w:r w:rsidR="007B239B">
        <w:rPr>
          <w:b w:val="0"/>
          <w:bCs/>
          <w:sz w:val="20"/>
          <w:lang w:eastAsia="zh-CN"/>
        </w:rPr>
        <w:t xml:space="preserve"> </w:t>
      </w:r>
    </w:p>
    <w:p w:rsidR="00712926" w:rsidRPr="00C737E6" w:rsidRDefault="00392845" w:rsidP="00C737E6">
      <w:pPr>
        <w:pStyle w:val="SingleTxtG"/>
        <w:ind w:left="4536" w:hanging="3402"/>
        <w:jc w:val="left"/>
        <w:rPr>
          <w:bCs/>
          <w:lang w:val="en-GB"/>
        </w:rPr>
      </w:pPr>
      <w:r>
        <w:rPr>
          <w:i/>
          <w:lang w:val="en-GB"/>
        </w:rPr>
        <w:t xml:space="preserve">Communication </w:t>
      </w:r>
      <w:r w:rsidR="006D5C50" w:rsidRPr="00392845">
        <w:rPr>
          <w:i/>
          <w:lang w:val="en-GB"/>
        </w:rPr>
        <w:t>s</w:t>
      </w:r>
      <w:r w:rsidR="004876DE" w:rsidRPr="00392845">
        <w:rPr>
          <w:i/>
          <w:lang w:val="en-GB"/>
        </w:rPr>
        <w:t>ubmitted</w:t>
      </w:r>
      <w:r w:rsidR="004876DE" w:rsidRPr="00C737E6">
        <w:rPr>
          <w:bCs/>
          <w:i/>
          <w:lang w:val="en-GB"/>
        </w:rPr>
        <w:t xml:space="preserve"> by:</w:t>
      </w:r>
      <w:r w:rsidR="004876DE" w:rsidRPr="00C737E6">
        <w:rPr>
          <w:bCs/>
          <w:i/>
          <w:lang w:val="en-GB"/>
        </w:rPr>
        <w:tab/>
      </w:r>
      <w:r w:rsidR="001F1B7A" w:rsidRPr="00C737E6">
        <w:rPr>
          <w:bCs/>
          <w:lang w:val="en-GB"/>
        </w:rPr>
        <w:t>J</w:t>
      </w:r>
      <w:r w:rsidR="005F62E9" w:rsidRPr="00C737E6">
        <w:rPr>
          <w:bCs/>
          <w:lang w:val="en-GB"/>
        </w:rPr>
        <w:t>.</w:t>
      </w:r>
      <w:r w:rsidR="001F1B7A" w:rsidRPr="00C737E6">
        <w:rPr>
          <w:bCs/>
          <w:lang w:val="en-GB"/>
        </w:rPr>
        <w:t xml:space="preserve"> N</w:t>
      </w:r>
      <w:r w:rsidR="005F62E9" w:rsidRPr="00C737E6">
        <w:rPr>
          <w:bCs/>
          <w:lang w:val="en-GB"/>
        </w:rPr>
        <w:t>.</w:t>
      </w:r>
      <w:r w:rsidR="00CF6197" w:rsidRPr="00C737E6">
        <w:rPr>
          <w:bCs/>
          <w:lang w:val="en-GB"/>
        </w:rPr>
        <w:t xml:space="preserve"> </w:t>
      </w:r>
      <w:r w:rsidR="00712926" w:rsidRPr="00C737E6">
        <w:rPr>
          <w:bCs/>
          <w:lang w:val="en-GB"/>
        </w:rPr>
        <w:t>(represented by counsel</w:t>
      </w:r>
      <w:r w:rsidR="00B055A7" w:rsidRPr="00C737E6">
        <w:rPr>
          <w:bCs/>
          <w:lang w:val="en-GB"/>
        </w:rPr>
        <w:t xml:space="preserve"> </w:t>
      </w:r>
      <w:r w:rsidR="001F1B7A" w:rsidRPr="005A69A1">
        <w:rPr>
          <w:bCs/>
          <w:lang w:val="en-US"/>
        </w:rPr>
        <w:t>Michala Bendixen</w:t>
      </w:r>
      <w:r w:rsidR="00712926" w:rsidRPr="00C737E6">
        <w:rPr>
          <w:bCs/>
          <w:lang w:val="en-GB"/>
        </w:rPr>
        <w:t>)</w:t>
      </w:r>
    </w:p>
    <w:p w:rsidR="004876DE" w:rsidRPr="00C737E6" w:rsidRDefault="00243943" w:rsidP="00C737E6">
      <w:pPr>
        <w:pStyle w:val="SingleTxtG"/>
        <w:ind w:left="4536" w:hanging="3402"/>
        <w:jc w:val="left"/>
        <w:rPr>
          <w:bCs/>
          <w:lang w:val="en-GB"/>
        </w:rPr>
      </w:pPr>
      <w:r w:rsidRPr="00C737E6">
        <w:rPr>
          <w:bCs/>
          <w:i/>
          <w:lang w:val="en-GB"/>
        </w:rPr>
        <w:t>Alleged victim</w:t>
      </w:r>
      <w:r w:rsidR="004876DE" w:rsidRPr="00C737E6">
        <w:rPr>
          <w:bCs/>
          <w:i/>
          <w:lang w:val="en-GB"/>
        </w:rPr>
        <w:t>:</w:t>
      </w:r>
      <w:r w:rsidR="004876DE" w:rsidRPr="00C737E6">
        <w:rPr>
          <w:bCs/>
          <w:i/>
          <w:lang w:val="en-GB"/>
        </w:rPr>
        <w:tab/>
      </w:r>
      <w:r w:rsidR="004876DE" w:rsidRPr="00C737E6">
        <w:rPr>
          <w:bCs/>
          <w:lang w:val="en-GB"/>
        </w:rPr>
        <w:t>The complainant</w:t>
      </w:r>
    </w:p>
    <w:p w:rsidR="004876DE" w:rsidRPr="00C737E6" w:rsidRDefault="004876DE" w:rsidP="00C737E6">
      <w:pPr>
        <w:pStyle w:val="SingleTxtG"/>
        <w:ind w:left="4536" w:hanging="3402"/>
        <w:jc w:val="left"/>
        <w:rPr>
          <w:bCs/>
          <w:lang w:val="en-GB"/>
        </w:rPr>
      </w:pPr>
      <w:r w:rsidRPr="00C737E6">
        <w:rPr>
          <w:bCs/>
          <w:i/>
          <w:lang w:val="en-GB"/>
        </w:rPr>
        <w:t>State party:</w:t>
      </w:r>
      <w:r w:rsidRPr="00C737E6">
        <w:rPr>
          <w:bCs/>
          <w:i/>
          <w:lang w:val="en-GB"/>
        </w:rPr>
        <w:tab/>
      </w:r>
      <w:r w:rsidR="001F1B7A" w:rsidRPr="00C737E6">
        <w:rPr>
          <w:bCs/>
          <w:lang w:val="en-GB"/>
        </w:rPr>
        <w:t>Denmark</w:t>
      </w:r>
    </w:p>
    <w:p w:rsidR="004876DE" w:rsidRPr="00C737E6" w:rsidRDefault="004876DE" w:rsidP="00C737E6">
      <w:pPr>
        <w:pStyle w:val="SingleTxtG"/>
        <w:ind w:left="4536" w:hanging="3402"/>
        <w:jc w:val="left"/>
        <w:rPr>
          <w:bCs/>
          <w:lang w:val="en-GB"/>
        </w:rPr>
      </w:pPr>
      <w:r w:rsidRPr="00C737E6">
        <w:rPr>
          <w:bCs/>
          <w:i/>
          <w:lang w:val="en-GB"/>
        </w:rPr>
        <w:t>Date of complaint:</w:t>
      </w:r>
      <w:r w:rsidRPr="00C737E6">
        <w:rPr>
          <w:bCs/>
          <w:i/>
          <w:lang w:val="en-GB"/>
        </w:rPr>
        <w:tab/>
      </w:r>
      <w:r w:rsidR="001F1B7A" w:rsidRPr="00C737E6">
        <w:rPr>
          <w:bCs/>
          <w:lang w:val="en-GB"/>
        </w:rPr>
        <w:t>15 September 2014</w:t>
      </w:r>
      <w:r w:rsidR="00055198" w:rsidRPr="00C737E6">
        <w:rPr>
          <w:bCs/>
          <w:lang w:val="en-GB"/>
        </w:rPr>
        <w:t xml:space="preserve"> </w:t>
      </w:r>
      <w:r w:rsidRPr="00C737E6">
        <w:rPr>
          <w:bCs/>
          <w:lang w:val="en-GB"/>
        </w:rPr>
        <w:t>(initial submission)</w:t>
      </w:r>
    </w:p>
    <w:p w:rsidR="004876DE" w:rsidRPr="00C737E6" w:rsidRDefault="004876DE" w:rsidP="00C737E6">
      <w:pPr>
        <w:pStyle w:val="SingleTxtG"/>
        <w:ind w:left="4536" w:hanging="3402"/>
        <w:jc w:val="left"/>
        <w:rPr>
          <w:bCs/>
          <w:lang w:val="en-GB"/>
        </w:rPr>
      </w:pPr>
      <w:r w:rsidRPr="00C737E6">
        <w:rPr>
          <w:bCs/>
          <w:i/>
          <w:lang w:val="en-GB"/>
        </w:rPr>
        <w:t>Date of present decision:</w:t>
      </w:r>
      <w:r w:rsidRPr="00C737E6">
        <w:rPr>
          <w:bCs/>
          <w:i/>
          <w:lang w:val="en-GB"/>
        </w:rPr>
        <w:tab/>
      </w:r>
      <w:r w:rsidR="00E25BBD" w:rsidRPr="00C737E6">
        <w:rPr>
          <w:bCs/>
          <w:lang w:val="en-GB"/>
        </w:rPr>
        <w:t xml:space="preserve">13 May </w:t>
      </w:r>
      <w:r w:rsidR="00CF6197" w:rsidRPr="00C737E6">
        <w:rPr>
          <w:bCs/>
          <w:lang w:val="en-GB"/>
        </w:rPr>
        <w:t>201</w:t>
      </w:r>
      <w:r w:rsidR="00F86222" w:rsidRPr="00C737E6">
        <w:rPr>
          <w:bCs/>
          <w:lang w:val="en-GB"/>
        </w:rPr>
        <w:t>6</w:t>
      </w:r>
    </w:p>
    <w:p w:rsidR="004876DE" w:rsidRPr="00C737E6" w:rsidRDefault="004876DE" w:rsidP="00C737E6">
      <w:pPr>
        <w:pStyle w:val="SingleTxtG"/>
        <w:ind w:left="4536" w:hanging="3402"/>
        <w:jc w:val="left"/>
        <w:rPr>
          <w:bCs/>
          <w:lang w:val="en-GB"/>
        </w:rPr>
      </w:pPr>
      <w:r w:rsidRPr="00C737E6">
        <w:rPr>
          <w:bCs/>
          <w:i/>
          <w:iCs/>
          <w:lang w:val="en-GB"/>
        </w:rPr>
        <w:t>Subject matter:</w:t>
      </w:r>
      <w:r w:rsidRPr="00C737E6">
        <w:rPr>
          <w:bCs/>
          <w:i/>
          <w:lang w:val="en-GB"/>
        </w:rPr>
        <w:tab/>
      </w:r>
      <w:r w:rsidR="004F499F" w:rsidRPr="00C737E6">
        <w:rPr>
          <w:bCs/>
          <w:lang w:val="en-GB"/>
        </w:rPr>
        <w:t xml:space="preserve">Deportation to </w:t>
      </w:r>
      <w:r w:rsidR="001F1B7A" w:rsidRPr="00C737E6">
        <w:rPr>
          <w:bCs/>
          <w:lang w:val="en-GB"/>
        </w:rPr>
        <w:t>Sri Lanka</w:t>
      </w:r>
    </w:p>
    <w:p w:rsidR="00843211" w:rsidRPr="00C737E6" w:rsidRDefault="00843211" w:rsidP="00C737E6">
      <w:pPr>
        <w:pStyle w:val="SingleTxtG"/>
        <w:ind w:left="4536" w:hanging="3402"/>
        <w:jc w:val="left"/>
        <w:rPr>
          <w:bCs/>
          <w:iCs/>
          <w:lang w:val="en-GB"/>
        </w:rPr>
      </w:pPr>
      <w:r w:rsidRPr="00C737E6">
        <w:rPr>
          <w:bCs/>
          <w:i/>
          <w:iCs/>
          <w:lang w:val="en-GB"/>
        </w:rPr>
        <w:t>Substantive issue:</w:t>
      </w:r>
      <w:r w:rsidRPr="00C737E6">
        <w:rPr>
          <w:bCs/>
          <w:i/>
          <w:iCs/>
          <w:lang w:val="en-GB"/>
        </w:rPr>
        <w:tab/>
      </w:r>
      <w:r w:rsidRPr="00C737E6">
        <w:rPr>
          <w:bCs/>
          <w:iCs/>
          <w:lang w:val="en-GB"/>
        </w:rPr>
        <w:t>Non-refoulement</w:t>
      </w:r>
    </w:p>
    <w:p w:rsidR="004876DE" w:rsidRPr="00C737E6" w:rsidRDefault="004876DE" w:rsidP="00C737E6">
      <w:pPr>
        <w:pStyle w:val="SingleTxtG"/>
        <w:ind w:left="4536" w:hanging="3402"/>
        <w:jc w:val="left"/>
        <w:rPr>
          <w:bCs/>
          <w:lang w:val="en-GB"/>
        </w:rPr>
      </w:pPr>
      <w:r w:rsidRPr="00C737E6">
        <w:rPr>
          <w:bCs/>
          <w:i/>
          <w:iCs/>
          <w:lang w:val="en-GB"/>
        </w:rPr>
        <w:t>Procedural issue</w:t>
      </w:r>
      <w:r w:rsidRPr="00C737E6">
        <w:rPr>
          <w:bCs/>
          <w:i/>
          <w:lang w:val="en-GB"/>
        </w:rPr>
        <w:t>:</w:t>
      </w:r>
      <w:r w:rsidRPr="00C737E6">
        <w:rPr>
          <w:bCs/>
          <w:i/>
          <w:iCs/>
          <w:lang w:val="en-GB"/>
        </w:rPr>
        <w:tab/>
      </w:r>
      <w:r w:rsidR="00B26A2E" w:rsidRPr="00C737E6">
        <w:rPr>
          <w:bCs/>
          <w:iCs/>
          <w:lang w:val="en-GB"/>
        </w:rPr>
        <w:t>L</w:t>
      </w:r>
      <w:r w:rsidR="00456C15" w:rsidRPr="00C737E6">
        <w:rPr>
          <w:bCs/>
          <w:iCs/>
          <w:lang w:val="en-GB"/>
        </w:rPr>
        <w:t>ack of substantiation</w:t>
      </w:r>
    </w:p>
    <w:p w:rsidR="004876DE" w:rsidRPr="00C737E6" w:rsidRDefault="004876DE" w:rsidP="00C737E6">
      <w:pPr>
        <w:pStyle w:val="SingleTxtG"/>
        <w:ind w:left="4536" w:hanging="3402"/>
        <w:jc w:val="left"/>
        <w:rPr>
          <w:b/>
          <w:bCs/>
        </w:rPr>
      </w:pPr>
      <w:r w:rsidRPr="00C737E6">
        <w:rPr>
          <w:bCs/>
          <w:i/>
          <w:iCs/>
        </w:rPr>
        <w:t>Article</w:t>
      </w:r>
      <w:r w:rsidR="00E9345C" w:rsidRPr="00C737E6">
        <w:rPr>
          <w:bCs/>
          <w:i/>
          <w:iCs/>
        </w:rPr>
        <w:t>s</w:t>
      </w:r>
      <w:r w:rsidRPr="00C737E6">
        <w:rPr>
          <w:bCs/>
          <w:i/>
          <w:iCs/>
        </w:rPr>
        <w:t xml:space="preserve"> of the Convention</w:t>
      </w:r>
      <w:r w:rsidRPr="00C737E6">
        <w:rPr>
          <w:bCs/>
          <w:i/>
        </w:rPr>
        <w:t>:</w:t>
      </w:r>
      <w:r w:rsidRPr="00C737E6">
        <w:rPr>
          <w:bCs/>
          <w:i/>
          <w:iCs/>
        </w:rPr>
        <w:tab/>
      </w:r>
      <w:r w:rsidR="00E47195" w:rsidRPr="00C737E6">
        <w:rPr>
          <w:bCs/>
          <w:iCs/>
        </w:rPr>
        <w:t>3</w:t>
      </w:r>
      <w:r w:rsidR="00843211" w:rsidRPr="00C737E6">
        <w:rPr>
          <w:bCs/>
          <w:lang w:val="en-GB"/>
        </w:rPr>
        <w:t xml:space="preserve"> and</w:t>
      </w:r>
      <w:r w:rsidR="002C2092" w:rsidRPr="00C737E6">
        <w:rPr>
          <w:bCs/>
          <w:lang w:val="en-GB"/>
        </w:rPr>
        <w:t xml:space="preserve"> </w:t>
      </w:r>
      <w:r w:rsidR="002C2092" w:rsidRPr="00C737E6">
        <w:rPr>
          <w:bCs/>
          <w:iCs/>
          <w:lang w:val="en-GB"/>
        </w:rPr>
        <w:t>22</w:t>
      </w:r>
    </w:p>
    <w:p w:rsidR="00733E69" w:rsidRPr="00C737E6" w:rsidRDefault="00733E69" w:rsidP="00B174AA">
      <w:pPr>
        <w:pStyle w:val="H1G"/>
        <w:spacing w:before="0" w:after="0"/>
        <w:rPr>
          <w:b w:val="0"/>
          <w:bCs/>
        </w:rPr>
      </w:pPr>
    </w:p>
    <w:p w:rsidR="00B055A7" w:rsidRPr="00B055A7" w:rsidRDefault="004C07A2">
      <w:pPr>
        <w:pStyle w:val="SingleTxtG"/>
      </w:pPr>
      <w:r w:rsidRPr="00C737E6">
        <w:rPr>
          <w:bCs/>
        </w:rPr>
        <w:t>1.1</w:t>
      </w:r>
      <w:r w:rsidRPr="00C737E6">
        <w:rPr>
          <w:bCs/>
        </w:rPr>
        <w:tab/>
      </w:r>
      <w:r w:rsidR="00F271F5" w:rsidRPr="00C737E6">
        <w:rPr>
          <w:bCs/>
        </w:rPr>
        <w:t>The compl</w:t>
      </w:r>
      <w:r w:rsidR="002959BA" w:rsidRPr="00C737E6">
        <w:rPr>
          <w:bCs/>
        </w:rPr>
        <w:t>ainant</w:t>
      </w:r>
      <w:r w:rsidR="00F271F5" w:rsidRPr="00C737E6">
        <w:rPr>
          <w:bCs/>
        </w:rPr>
        <w:t xml:space="preserve"> </w:t>
      </w:r>
      <w:r w:rsidR="002959BA" w:rsidRPr="00C737E6">
        <w:rPr>
          <w:bCs/>
          <w:lang w:val="en-GB"/>
        </w:rPr>
        <w:t>is</w:t>
      </w:r>
      <w:r w:rsidR="00F271F5" w:rsidRPr="00C737E6">
        <w:rPr>
          <w:bCs/>
        </w:rPr>
        <w:t xml:space="preserve"> </w:t>
      </w:r>
      <w:r w:rsidR="002959BA" w:rsidRPr="00C737E6">
        <w:rPr>
          <w:bCs/>
          <w:lang w:val="en-GB"/>
        </w:rPr>
        <w:t>J</w:t>
      </w:r>
      <w:r w:rsidR="005F62E9" w:rsidRPr="00C737E6">
        <w:rPr>
          <w:bCs/>
          <w:lang w:val="en-GB"/>
        </w:rPr>
        <w:t>.</w:t>
      </w:r>
      <w:r w:rsidR="002959BA" w:rsidRPr="00C737E6">
        <w:rPr>
          <w:bCs/>
          <w:lang w:val="en-GB"/>
        </w:rPr>
        <w:t>N</w:t>
      </w:r>
      <w:r w:rsidR="005F62E9" w:rsidRPr="00C737E6">
        <w:rPr>
          <w:bCs/>
          <w:lang w:val="en-GB"/>
        </w:rPr>
        <w:t>.</w:t>
      </w:r>
      <w:r w:rsidR="00B055A7" w:rsidRPr="00C737E6">
        <w:rPr>
          <w:bCs/>
        </w:rPr>
        <w:t>,</w:t>
      </w:r>
      <w:r w:rsidR="002959BA" w:rsidRPr="00C737E6">
        <w:rPr>
          <w:bCs/>
          <w:lang w:val="en-GB"/>
        </w:rPr>
        <w:t xml:space="preserve"> a </w:t>
      </w:r>
      <w:r w:rsidR="00545FF4" w:rsidRPr="00C737E6">
        <w:rPr>
          <w:bCs/>
          <w:lang w:val="en-GB"/>
        </w:rPr>
        <w:t xml:space="preserve">national of </w:t>
      </w:r>
      <w:r w:rsidR="002959BA" w:rsidRPr="00C737E6">
        <w:rPr>
          <w:bCs/>
          <w:lang w:val="en-GB"/>
        </w:rPr>
        <w:t xml:space="preserve">Sri Lanka </w:t>
      </w:r>
      <w:r w:rsidR="00B055A7" w:rsidRPr="00C737E6">
        <w:rPr>
          <w:bCs/>
        </w:rPr>
        <w:t xml:space="preserve">born in </w:t>
      </w:r>
      <w:r w:rsidR="002959BA" w:rsidRPr="00C737E6">
        <w:rPr>
          <w:bCs/>
          <w:lang w:val="en-GB"/>
        </w:rPr>
        <w:t>1960</w:t>
      </w:r>
      <w:r w:rsidR="00B055A7" w:rsidRPr="00C737E6">
        <w:rPr>
          <w:bCs/>
        </w:rPr>
        <w:t xml:space="preserve">. </w:t>
      </w:r>
      <w:r w:rsidR="002959BA" w:rsidRPr="00C737E6">
        <w:rPr>
          <w:bCs/>
        </w:rPr>
        <w:t>His request for asylum in Denmark was rejected and</w:t>
      </w:r>
      <w:r w:rsidR="0094490C" w:rsidRPr="00C737E6">
        <w:rPr>
          <w:bCs/>
          <w:lang w:val="en-US"/>
        </w:rPr>
        <w:t>,</w:t>
      </w:r>
      <w:r w:rsidR="002959BA" w:rsidRPr="00C737E6">
        <w:rPr>
          <w:bCs/>
        </w:rPr>
        <w:t xml:space="preserve"> at the time of submission of the complaint</w:t>
      </w:r>
      <w:r w:rsidR="002959BA" w:rsidRPr="005571B4">
        <w:t xml:space="preserve">, he was in detention awaiting deportation to </w:t>
      </w:r>
      <w:r w:rsidR="002959BA" w:rsidRPr="005571B4">
        <w:rPr>
          <w:lang w:val="en-GB"/>
        </w:rPr>
        <w:t>Sri Lanka</w:t>
      </w:r>
      <w:r w:rsidR="002959BA" w:rsidRPr="005571B4">
        <w:t xml:space="preserve">. He claims </w:t>
      </w:r>
      <w:r w:rsidR="002959BA" w:rsidRPr="005571B4">
        <w:rPr>
          <w:lang w:val="en-GB"/>
        </w:rPr>
        <w:t xml:space="preserve">that </w:t>
      </w:r>
      <w:r w:rsidR="002959BA" w:rsidRPr="005571B4">
        <w:t>his deportation would be contrary to article 3 of the Convention</w:t>
      </w:r>
      <w:r w:rsidR="0094490C">
        <w:rPr>
          <w:lang w:val="en-US"/>
        </w:rPr>
        <w:t>,</w:t>
      </w:r>
      <w:r w:rsidR="002959BA" w:rsidRPr="005571B4">
        <w:t xml:space="preserve"> as he would be at risk of being subjected to torture</w:t>
      </w:r>
      <w:r w:rsidR="00B06F8A" w:rsidRPr="00795053">
        <w:rPr>
          <w:lang w:val="en-GB"/>
        </w:rPr>
        <w:t xml:space="preserve"> in Sri Lanka</w:t>
      </w:r>
      <w:r w:rsidR="002959BA" w:rsidRPr="005571B4">
        <w:t>. No date has been set for his deportation.</w:t>
      </w:r>
      <w:r w:rsidR="002959BA">
        <w:t xml:space="preserve"> The complainant is represented by </w:t>
      </w:r>
      <w:r w:rsidR="00B055A7">
        <w:t>counsel</w:t>
      </w:r>
      <w:r w:rsidR="00B055A7" w:rsidRPr="00B055A7">
        <w:t xml:space="preserve">. </w:t>
      </w:r>
    </w:p>
    <w:p w:rsidR="00EA13B1" w:rsidRPr="00253A06" w:rsidRDefault="004C07A2">
      <w:pPr>
        <w:pStyle w:val="SingleTxtG"/>
        <w:rPr>
          <w:lang w:val="en-GB"/>
        </w:rPr>
      </w:pPr>
      <w:r w:rsidRPr="00C876E4">
        <w:rPr>
          <w:bCs/>
        </w:rPr>
        <w:t>1.2</w:t>
      </w:r>
      <w:r w:rsidRPr="00C876E4">
        <w:rPr>
          <w:bCs/>
        </w:rPr>
        <w:tab/>
      </w:r>
      <w:r w:rsidR="00EA13B1" w:rsidRPr="00C876E4">
        <w:t xml:space="preserve">On </w:t>
      </w:r>
      <w:r w:rsidR="002959BA" w:rsidRPr="00C876E4">
        <w:rPr>
          <w:lang w:val="en-GB"/>
        </w:rPr>
        <w:t>17 September 2014</w:t>
      </w:r>
      <w:r w:rsidR="00EA13B1" w:rsidRPr="00C876E4">
        <w:t xml:space="preserve">, </w:t>
      </w:r>
      <w:r w:rsidR="00843211">
        <w:rPr>
          <w:lang w:val="en-GB"/>
        </w:rPr>
        <w:t>in application of</w:t>
      </w:r>
      <w:r w:rsidR="00843211" w:rsidRPr="00C737E6">
        <w:rPr>
          <w:lang w:val="en-GB"/>
        </w:rPr>
        <w:t xml:space="preserve"> </w:t>
      </w:r>
      <w:r w:rsidR="00EA13B1" w:rsidRPr="00C876E4">
        <w:t>rule 114, paragraph 1</w:t>
      </w:r>
      <w:r w:rsidR="00B06F8A" w:rsidRPr="00C876E4">
        <w:rPr>
          <w:lang w:val="en-GB"/>
        </w:rPr>
        <w:t>,</w:t>
      </w:r>
      <w:r w:rsidR="00EA13B1" w:rsidRPr="00C876E4">
        <w:t xml:space="preserve"> of its rules of procedure, the Committee requested the State party not to </w:t>
      </w:r>
      <w:r w:rsidR="00B055A7" w:rsidRPr="00C876E4">
        <w:rPr>
          <w:lang w:val="en-GB"/>
        </w:rPr>
        <w:t>deport</w:t>
      </w:r>
      <w:r w:rsidR="00EA13B1" w:rsidRPr="00C876E4">
        <w:t xml:space="preserve"> the complainant to </w:t>
      </w:r>
      <w:r w:rsidR="002959BA" w:rsidRPr="00C876E4">
        <w:rPr>
          <w:lang w:val="en-GB"/>
        </w:rPr>
        <w:t>Sri Lanka</w:t>
      </w:r>
      <w:r w:rsidR="00EA13B1" w:rsidRPr="00C876E4">
        <w:t xml:space="preserve"> while the communication was being considered by the Committee.</w:t>
      </w:r>
    </w:p>
    <w:p w:rsidR="004C07A2" w:rsidRPr="004C07A2" w:rsidRDefault="008D3DC2" w:rsidP="008D3DC2">
      <w:pPr>
        <w:pStyle w:val="H23G"/>
      </w:pPr>
      <w:r>
        <w:lastRenderedPageBreak/>
        <w:tab/>
      </w:r>
      <w:r w:rsidR="00DE5AEA">
        <w:tab/>
      </w:r>
      <w:r w:rsidR="004C07A2" w:rsidRPr="004C07A2">
        <w:t>Facts as presented by the complainant</w:t>
      </w:r>
    </w:p>
    <w:p w:rsidR="00624F19" w:rsidRPr="009665B3" w:rsidRDefault="00762424">
      <w:pPr>
        <w:pStyle w:val="SingleTxtG"/>
        <w:rPr>
          <w:lang w:val="en-GB"/>
        </w:rPr>
      </w:pPr>
      <w:r>
        <w:t xml:space="preserve">2.1 </w:t>
      </w:r>
      <w:r>
        <w:tab/>
        <w:t xml:space="preserve">The complainant was born in Jaffna, Sri Lanka. He is married and has two sons and two daughters. His brother </w:t>
      </w:r>
      <w:r w:rsidR="00835B64">
        <w:rPr>
          <w:lang w:val="en-US"/>
        </w:rPr>
        <w:t>lives</w:t>
      </w:r>
      <w:r>
        <w:t xml:space="preserve"> in Norway, where he was granted asylum </w:t>
      </w:r>
      <w:r w:rsidR="007508BE" w:rsidRPr="00795053">
        <w:rPr>
          <w:lang w:val="en-GB"/>
        </w:rPr>
        <w:t>based on his</w:t>
      </w:r>
      <w:r>
        <w:t xml:space="preserve"> connections with the </w:t>
      </w:r>
      <w:r w:rsidR="0098553A">
        <w:rPr>
          <w:lang w:val="en-US"/>
        </w:rPr>
        <w:t xml:space="preserve">Liberation Tigers </w:t>
      </w:r>
      <w:r w:rsidR="0098553A" w:rsidRPr="0098553A">
        <w:rPr>
          <w:lang w:val="en-US"/>
        </w:rPr>
        <w:t>of Tamil Eelam (</w:t>
      </w:r>
      <w:r w:rsidRPr="0098553A">
        <w:t>LTTE</w:t>
      </w:r>
      <w:r w:rsidR="0098553A" w:rsidRPr="0098553A">
        <w:rPr>
          <w:lang w:val="en-US"/>
        </w:rPr>
        <w:t>)</w:t>
      </w:r>
      <w:r w:rsidRPr="0098553A">
        <w:t>. In the past</w:t>
      </w:r>
      <w:r w:rsidR="007508BE" w:rsidRPr="0098553A">
        <w:rPr>
          <w:lang w:val="en-GB"/>
        </w:rPr>
        <w:t>,</w:t>
      </w:r>
      <w:r w:rsidRPr="0098553A">
        <w:t xml:space="preserve"> the complainant helped the Sea Tigers (part of LTTE)</w:t>
      </w:r>
      <w:r w:rsidR="003D5642">
        <w:rPr>
          <w:lang w:val="en-US"/>
        </w:rPr>
        <w:t>,</w:t>
      </w:r>
      <w:r w:rsidRPr="0098553A">
        <w:t xml:space="preserve"> using his </w:t>
      </w:r>
      <w:r w:rsidRPr="009E4486">
        <w:t xml:space="preserve">boat in connection </w:t>
      </w:r>
      <w:r w:rsidR="009E4486" w:rsidRPr="009E4486">
        <w:rPr>
          <w:lang w:val="en-US"/>
        </w:rPr>
        <w:t>with</w:t>
      </w:r>
      <w:r w:rsidR="009E4486" w:rsidRPr="009E4486">
        <w:t xml:space="preserve"> </w:t>
      </w:r>
      <w:r w:rsidR="007508BE" w:rsidRPr="009E4486">
        <w:t>fighting</w:t>
      </w:r>
      <w:r w:rsidRPr="009E4486">
        <w:t xml:space="preserve">. However, the main reason for </w:t>
      </w:r>
      <w:r w:rsidR="007508BE" w:rsidRPr="009E4486">
        <w:rPr>
          <w:lang w:val="en-GB"/>
        </w:rPr>
        <w:t xml:space="preserve">the </w:t>
      </w:r>
      <w:r w:rsidR="007508BE" w:rsidRPr="00C876E4">
        <w:rPr>
          <w:lang w:val="en-GB"/>
        </w:rPr>
        <w:t xml:space="preserve">complainant’s </w:t>
      </w:r>
      <w:r w:rsidRPr="00C876E4">
        <w:t xml:space="preserve">asylum claim is a conflict </w:t>
      </w:r>
      <w:r w:rsidR="00835B64" w:rsidRPr="00C876E4">
        <w:rPr>
          <w:lang w:val="en-GB"/>
        </w:rPr>
        <w:t xml:space="preserve">with </w:t>
      </w:r>
      <w:r w:rsidRPr="00C876E4">
        <w:t>the Eelam People</w:t>
      </w:r>
      <w:r w:rsidR="006525E0">
        <w:rPr>
          <w:lang w:val="fr-CH"/>
        </w:rPr>
        <w:t>’</w:t>
      </w:r>
      <w:r w:rsidRPr="00C876E4">
        <w:t>s Democratic Party (EP</w:t>
      </w:r>
      <w:r w:rsidR="00624F19" w:rsidRPr="00C876E4">
        <w:t xml:space="preserve">DP) </w:t>
      </w:r>
      <w:r w:rsidR="007508BE" w:rsidRPr="00C876E4">
        <w:rPr>
          <w:lang w:val="en-GB"/>
        </w:rPr>
        <w:t xml:space="preserve">in connection </w:t>
      </w:r>
      <w:r w:rsidR="00545FF4" w:rsidRPr="00C876E4">
        <w:rPr>
          <w:lang w:val="en-GB"/>
        </w:rPr>
        <w:t>with</w:t>
      </w:r>
      <w:r w:rsidR="007508BE" w:rsidRPr="00C876E4">
        <w:rPr>
          <w:lang w:val="en-GB"/>
        </w:rPr>
        <w:t xml:space="preserve"> </w:t>
      </w:r>
      <w:r w:rsidR="00624F19" w:rsidRPr="00C876E4">
        <w:t>his son V</w:t>
      </w:r>
      <w:r w:rsidRPr="00C876E4">
        <w:t>. Both his sons were forced to train with</w:t>
      </w:r>
      <w:r>
        <w:t xml:space="preserve"> LTTE for a period of 15 days in 2004 in return for support provided after the tsunami. In 2008</w:t>
      </w:r>
      <w:r w:rsidR="00624F19" w:rsidRPr="00624F19">
        <w:rPr>
          <w:lang w:val="en-GB"/>
        </w:rPr>
        <w:t xml:space="preserve">, </w:t>
      </w:r>
      <w:r w:rsidRPr="00C876E4">
        <w:t>EPDP found out about t</w:t>
      </w:r>
      <w:r w:rsidR="00624F19" w:rsidRPr="00C876E4">
        <w:t xml:space="preserve">his, took </w:t>
      </w:r>
      <w:r w:rsidR="007508BE" w:rsidRPr="00C876E4">
        <w:rPr>
          <w:lang w:val="en-GB"/>
        </w:rPr>
        <w:t>his son</w:t>
      </w:r>
      <w:r w:rsidR="00624F19" w:rsidRPr="00C876E4">
        <w:t xml:space="preserve"> V</w:t>
      </w:r>
      <w:r w:rsidR="00624F19" w:rsidRPr="00C876E4">
        <w:rPr>
          <w:lang w:val="en-GB"/>
        </w:rPr>
        <w:t>.</w:t>
      </w:r>
      <w:r w:rsidRPr="00C876E4">
        <w:t xml:space="preserve"> for interrogation and tortured him. </w:t>
      </w:r>
      <w:r w:rsidR="007508BE" w:rsidRPr="00C876E4">
        <w:rPr>
          <w:lang w:val="en-GB"/>
        </w:rPr>
        <w:t>V.</w:t>
      </w:r>
      <w:r w:rsidRPr="00C876E4">
        <w:t xml:space="preserve"> was released in very bad </w:t>
      </w:r>
      <w:r w:rsidR="00835B64" w:rsidRPr="00C876E4">
        <w:rPr>
          <w:lang w:val="en-US"/>
        </w:rPr>
        <w:t>shape</w:t>
      </w:r>
      <w:r w:rsidR="00835B64" w:rsidRPr="00C737E6">
        <w:rPr>
          <w:lang w:val="en-US"/>
        </w:rPr>
        <w:t xml:space="preserve"> </w:t>
      </w:r>
      <w:r w:rsidRPr="00C876E4">
        <w:t xml:space="preserve">and could hardly walk. After his son was treated in a hospital, the complainant brought him to </w:t>
      </w:r>
      <w:r w:rsidR="009E4486" w:rsidRPr="00C876E4">
        <w:rPr>
          <w:lang w:val="en-US"/>
        </w:rPr>
        <w:t xml:space="preserve">a camp run by </w:t>
      </w:r>
      <w:r w:rsidRPr="00C876E4">
        <w:t xml:space="preserve">the Human Rights </w:t>
      </w:r>
      <w:r w:rsidR="005571B4" w:rsidRPr="00C876E4">
        <w:rPr>
          <w:lang w:val="en-GB"/>
        </w:rPr>
        <w:t>Commission</w:t>
      </w:r>
      <w:r w:rsidR="00624F19" w:rsidRPr="00C876E4">
        <w:rPr>
          <w:lang w:val="en-GB"/>
        </w:rPr>
        <w:t xml:space="preserve"> </w:t>
      </w:r>
      <w:r w:rsidR="006D5C50">
        <w:rPr>
          <w:lang w:val="en-US"/>
        </w:rPr>
        <w:t>of</w:t>
      </w:r>
      <w:r w:rsidR="009E4486" w:rsidRPr="00C876E4">
        <w:rPr>
          <w:lang w:val="en-US"/>
        </w:rPr>
        <w:t xml:space="preserve"> Sri Lanka</w:t>
      </w:r>
      <w:r w:rsidRPr="00C876E4">
        <w:t xml:space="preserve">. </w:t>
      </w:r>
      <w:r w:rsidR="00624F19" w:rsidRPr="00C876E4">
        <w:rPr>
          <w:lang w:val="en-GB"/>
        </w:rPr>
        <w:t>The complainant visited V. in the camp 15 days later</w:t>
      </w:r>
      <w:r w:rsidR="0094490C" w:rsidRPr="00C876E4">
        <w:rPr>
          <w:lang w:val="en-GB"/>
        </w:rPr>
        <w:t>,</w:t>
      </w:r>
      <w:r w:rsidR="00624F19" w:rsidRPr="00C876E4">
        <w:rPr>
          <w:lang w:val="en-GB"/>
        </w:rPr>
        <w:t xml:space="preserve"> but thereafter lost a</w:t>
      </w:r>
      <w:r w:rsidR="0094490C" w:rsidRPr="00C876E4">
        <w:rPr>
          <w:lang w:val="en-GB"/>
        </w:rPr>
        <w:t>ll</w:t>
      </w:r>
      <w:r w:rsidR="00624F19" w:rsidRPr="00C876E4">
        <w:rPr>
          <w:lang w:val="en-GB"/>
        </w:rPr>
        <w:t xml:space="preserve"> contact with him. </w:t>
      </w:r>
      <w:r w:rsidRPr="00C876E4">
        <w:t xml:space="preserve">A couple of months later, in March 2008, the complainant was </w:t>
      </w:r>
      <w:r w:rsidR="00835B64" w:rsidRPr="00C876E4">
        <w:rPr>
          <w:lang w:val="en-US"/>
        </w:rPr>
        <w:t>summoned to</w:t>
      </w:r>
      <w:r w:rsidR="00835B64" w:rsidRPr="00C737E6">
        <w:rPr>
          <w:lang w:val="en-US"/>
        </w:rPr>
        <w:t xml:space="preserve"> </w:t>
      </w:r>
      <w:r w:rsidRPr="00C876E4">
        <w:t>a meeting in the EPDP camp, where he was interrogated about his son and beaten</w:t>
      </w:r>
      <w:r w:rsidR="00941F25" w:rsidRPr="00C876E4">
        <w:rPr>
          <w:lang w:val="en-GB"/>
        </w:rPr>
        <w:t xml:space="preserve"> 10 times </w:t>
      </w:r>
      <w:r w:rsidR="0094490C" w:rsidRPr="00C876E4">
        <w:rPr>
          <w:lang w:val="en-GB"/>
        </w:rPr>
        <w:t>o</w:t>
      </w:r>
      <w:r w:rsidR="00941F25" w:rsidRPr="00C876E4">
        <w:rPr>
          <w:lang w:val="en-GB"/>
        </w:rPr>
        <w:t xml:space="preserve">n different parts of </w:t>
      </w:r>
      <w:r w:rsidR="0094490C" w:rsidRPr="00C876E4">
        <w:rPr>
          <w:lang w:val="en-GB"/>
        </w:rPr>
        <w:t>his</w:t>
      </w:r>
      <w:r w:rsidR="00941F25" w:rsidRPr="00C876E4">
        <w:rPr>
          <w:lang w:val="en-GB"/>
        </w:rPr>
        <w:t xml:space="preserve"> body</w:t>
      </w:r>
      <w:r w:rsidRPr="00C876E4">
        <w:t>. He was released because he promised to turn his son over to EPDP. After this</w:t>
      </w:r>
      <w:r w:rsidR="00624F19" w:rsidRPr="00C876E4">
        <w:rPr>
          <w:lang w:val="en-GB"/>
        </w:rPr>
        <w:t>,</w:t>
      </w:r>
      <w:r w:rsidRPr="00C876E4">
        <w:t xml:space="preserve"> EPDP searched</w:t>
      </w:r>
      <w:r>
        <w:t xml:space="preserve"> his house </w:t>
      </w:r>
      <w:r w:rsidR="0094490C">
        <w:rPr>
          <w:lang w:val="en-US"/>
        </w:rPr>
        <w:t>three or four</w:t>
      </w:r>
      <w:r w:rsidR="0094490C" w:rsidRPr="00C737E6">
        <w:rPr>
          <w:lang w:val="en-US"/>
        </w:rPr>
        <w:t xml:space="preserve"> </w:t>
      </w:r>
      <w:r>
        <w:t xml:space="preserve">times, the </w:t>
      </w:r>
      <w:r w:rsidR="00545FF4">
        <w:rPr>
          <w:lang w:val="en-US"/>
        </w:rPr>
        <w:t>final</w:t>
      </w:r>
      <w:r w:rsidR="00545FF4" w:rsidRPr="00C737E6">
        <w:rPr>
          <w:lang w:val="en-US"/>
        </w:rPr>
        <w:t xml:space="preserve"> </w:t>
      </w:r>
      <w:r>
        <w:t xml:space="preserve">time on 2 October 2008. EPDP requested that the complainant </w:t>
      </w:r>
      <w:r w:rsidR="00624F19" w:rsidRPr="00624F19">
        <w:rPr>
          <w:lang w:val="en-GB"/>
        </w:rPr>
        <w:t>bring V.</w:t>
      </w:r>
      <w:r w:rsidR="005676C0">
        <w:rPr>
          <w:lang w:val="en-GB"/>
        </w:rPr>
        <w:t xml:space="preserve"> to them</w:t>
      </w:r>
      <w:r>
        <w:t xml:space="preserve"> by 31 October 2008</w:t>
      </w:r>
      <w:r w:rsidR="005676C0">
        <w:rPr>
          <w:lang w:val="en-US"/>
        </w:rPr>
        <w:t xml:space="preserve"> and</w:t>
      </w:r>
      <w:r>
        <w:t xml:space="preserve"> </w:t>
      </w:r>
      <w:r w:rsidR="00624F19" w:rsidRPr="00624F19">
        <w:rPr>
          <w:lang w:val="en-GB"/>
        </w:rPr>
        <w:t>threaten</w:t>
      </w:r>
      <w:r w:rsidR="005676C0">
        <w:rPr>
          <w:lang w:val="en-GB"/>
        </w:rPr>
        <w:t>ed</w:t>
      </w:r>
      <w:r w:rsidR="00624F19" w:rsidRPr="00624F19">
        <w:rPr>
          <w:lang w:val="en-GB"/>
        </w:rPr>
        <w:t xml:space="preserve"> that the complainant would be executed</w:t>
      </w:r>
      <w:r w:rsidR="005676C0">
        <w:rPr>
          <w:lang w:val="en-GB"/>
        </w:rPr>
        <w:t xml:space="preserve"> if he did not do so</w:t>
      </w:r>
      <w:r>
        <w:t xml:space="preserve">. </w:t>
      </w:r>
    </w:p>
    <w:p w:rsidR="00B055A7" w:rsidRPr="00E34589" w:rsidRDefault="00624F19" w:rsidP="006D4286">
      <w:pPr>
        <w:pStyle w:val="SingleTxtG"/>
        <w:rPr>
          <w:lang w:val="en-GB"/>
        </w:rPr>
      </w:pPr>
      <w:r w:rsidRPr="00624F19">
        <w:rPr>
          <w:lang w:val="en-GB"/>
        </w:rPr>
        <w:t xml:space="preserve">2.2 </w:t>
      </w:r>
      <w:r w:rsidR="00C0449D">
        <w:rPr>
          <w:lang w:val="en-GB"/>
        </w:rPr>
        <w:tab/>
      </w:r>
      <w:r w:rsidRPr="00624F19">
        <w:rPr>
          <w:lang w:val="en-GB"/>
        </w:rPr>
        <w:t>O</w:t>
      </w:r>
      <w:r>
        <w:t>n 11 November 2008</w:t>
      </w:r>
      <w:r w:rsidRPr="00624F19">
        <w:rPr>
          <w:lang w:val="en-GB"/>
        </w:rPr>
        <w:t>,</w:t>
      </w:r>
      <w:r w:rsidR="00C96009">
        <w:rPr>
          <w:lang w:val="en-GB"/>
        </w:rPr>
        <w:t xml:space="preserve"> </w:t>
      </w:r>
      <w:r w:rsidRPr="00624F19">
        <w:rPr>
          <w:lang w:val="en-GB"/>
        </w:rPr>
        <w:t>t</w:t>
      </w:r>
      <w:r w:rsidR="00762424">
        <w:t xml:space="preserve">he complainant left Sri Lanka illegally with the help of an agent. He has never had a passport issued by the authorities. </w:t>
      </w:r>
      <w:r w:rsidRPr="00624F19">
        <w:rPr>
          <w:lang w:val="en-GB"/>
        </w:rPr>
        <w:t xml:space="preserve">He arrived in </w:t>
      </w:r>
      <w:r w:rsidRPr="00437DFC">
        <w:rPr>
          <w:lang w:val="en-GB"/>
        </w:rPr>
        <w:t>Denmark on 16 November and applied for asylum in A</w:t>
      </w:r>
      <w:r w:rsidR="009E4486" w:rsidRPr="006B7173">
        <w:rPr>
          <w:lang w:val="en-GB"/>
        </w:rPr>
        <w:t>a</w:t>
      </w:r>
      <w:r w:rsidRPr="00437DFC">
        <w:rPr>
          <w:lang w:val="en-GB"/>
        </w:rPr>
        <w:t xml:space="preserve">rhus on the same day on </w:t>
      </w:r>
      <w:r w:rsidR="00835B64" w:rsidRPr="00437DFC">
        <w:rPr>
          <w:lang w:val="en-GB"/>
        </w:rPr>
        <w:t xml:space="preserve">the </w:t>
      </w:r>
      <w:r w:rsidRPr="00437DFC">
        <w:rPr>
          <w:lang w:val="en-GB"/>
        </w:rPr>
        <w:t>grounds o</w:t>
      </w:r>
      <w:r w:rsidR="00762424" w:rsidRPr="00437DFC">
        <w:t>f having a conflict with EPDP. On 10 February 2010</w:t>
      </w:r>
      <w:r w:rsidRPr="00437DFC">
        <w:rPr>
          <w:lang w:val="en-GB"/>
        </w:rPr>
        <w:t>,</w:t>
      </w:r>
      <w:r w:rsidR="00762424" w:rsidRPr="00437DFC">
        <w:t xml:space="preserve"> his asylum request was rejected by the </w:t>
      </w:r>
      <w:r w:rsidR="00B26A2E" w:rsidRPr="00437DFC">
        <w:rPr>
          <w:lang w:val="en-GB"/>
        </w:rPr>
        <w:t xml:space="preserve">Danish </w:t>
      </w:r>
      <w:r w:rsidR="00762424" w:rsidRPr="00437DFC">
        <w:t>Immigration Service. On 8 June 2010</w:t>
      </w:r>
      <w:r w:rsidRPr="00437DFC">
        <w:rPr>
          <w:lang w:val="en-GB"/>
        </w:rPr>
        <w:t>,</w:t>
      </w:r>
      <w:r w:rsidR="00762424" w:rsidRPr="00437DFC">
        <w:t xml:space="preserve"> the Refugee Appeals Board had</w:t>
      </w:r>
      <w:r w:rsidR="00762424">
        <w:t xml:space="preserve"> a hearing but postponed the decision</w:t>
      </w:r>
      <w:r w:rsidR="00545FF4">
        <w:rPr>
          <w:lang w:val="en-US"/>
        </w:rPr>
        <w:t>,</w:t>
      </w:r>
      <w:r w:rsidRPr="00624F19">
        <w:rPr>
          <w:lang w:val="en-GB"/>
        </w:rPr>
        <w:t xml:space="preserve"> as it was awaiting information from </w:t>
      </w:r>
      <w:r w:rsidRPr="009E4486">
        <w:rPr>
          <w:lang w:val="en-GB"/>
        </w:rPr>
        <w:t xml:space="preserve">the </w:t>
      </w:r>
      <w:r w:rsidR="009E4486" w:rsidRPr="009E4486">
        <w:rPr>
          <w:lang w:val="en-GB"/>
        </w:rPr>
        <w:t>International Committee of the Red Cross</w:t>
      </w:r>
      <w:r w:rsidRPr="00624F19">
        <w:rPr>
          <w:lang w:val="en-GB"/>
        </w:rPr>
        <w:t xml:space="preserve"> and the Human Rights Commission in Sri Lanka</w:t>
      </w:r>
      <w:r w:rsidR="00762424">
        <w:t>. On 13 March 2012</w:t>
      </w:r>
      <w:r w:rsidRPr="00624F19">
        <w:rPr>
          <w:lang w:val="en-GB"/>
        </w:rPr>
        <w:t>,</w:t>
      </w:r>
      <w:r w:rsidR="00762424">
        <w:t xml:space="preserve"> the Refugee Appeals Board rejected the appeal and ordered the complainant to leave the country within </w:t>
      </w:r>
      <w:r w:rsidRPr="00624F19">
        <w:rPr>
          <w:lang w:val="en-GB"/>
        </w:rPr>
        <w:t>two</w:t>
      </w:r>
      <w:r w:rsidR="00762424">
        <w:t xml:space="preserve"> weeks.</w:t>
      </w:r>
      <w:r w:rsidR="006525E0">
        <w:t xml:space="preserve"> </w:t>
      </w:r>
      <w:r w:rsidR="00857FEB" w:rsidRPr="00857FEB">
        <w:rPr>
          <w:lang w:val="en-GB"/>
        </w:rPr>
        <w:t xml:space="preserve">On 11 April 2012, the complainant requested </w:t>
      </w:r>
      <w:r w:rsidR="00857FEB" w:rsidRPr="009E4486">
        <w:rPr>
          <w:lang w:val="en-GB"/>
        </w:rPr>
        <w:t>the immigration authorities to reconsider his case</w:t>
      </w:r>
      <w:r w:rsidR="00A76D71" w:rsidRPr="009E4486">
        <w:rPr>
          <w:lang w:val="en-GB"/>
        </w:rPr>
        <w:t>,</w:t>
      </w:r>
      <w:r w:rsidR="00857FEB" w:rsidRPr="009E4486">
        <w:rPr>
          <w:lang w:val="en-GB"/>
        </w:rPr>
        <w:t xml:space="preserve"> but on 11 May 2012 the Refugee Appeals Board informed </w:t>
      </w:r>
      <w:r w:rsidR="007508BE" w:rsidRPr="009E4486">
        <w:rPr>
          <w:lang w:val="en-GB"/>
        </w:rPr>
        <w:t xml:space="preserve">him </w:t>
      </w:r>
      <w:r w:rsidR="00857FEB" w:rsidRPr="009E4486">
        <w:rPr>
          <w:lang w:val="en-GB"/>
        </w:rPr>
        <w:t>that his request would not suspend his deportation and that the tim</w:t>
      </w:r>
      <w:r w:rsidR="0070733D" w:rsidRPr="009E4486">
        <w:rPr>
          <w:lang w:val="en-GB"/>
        </w:rPr>
        <w:t>e</w:t>
      </w:r>
      <w:r w:rsidR="00A76D71" w:rsidRPr="009E4486">
        <w:rPr>
          <w:lang w:val="en-GB"/>
        </w:rPr>
        <w:t xml:space="preserve"> </w:t>
      </w:r>
      <w:r w:rsidR="0070733D" w:rsidRPr="009E4486">
        <w:rPr>
          <w:lang w:val="en-GB"/>
        </w:rPr>
        <w:t>frame for the Board’s reply was</w:t>
      </w:r>
      <w:r w:rsidR="00857FEB" w:rsidRPr="009E4486">
        <w:rPr>
          <w:lang w:val="en-GB"/>
        </w:rPr>
        <w:t xml:space="preserve"> 9</w:t>
      </w:r>
      <w:r w:rsidR="008D62FD">
        <w:rPr>
          <w:lang w:val="en-GB"/>
        </w:rPr>
        <w:t>-</w:t>
      </w:r>
      <w:r w:rsidR="00857FEB" w:rsidRPr="009E4486">
        <w:rPr>
          <w:lang w:val="en-GB"/>
        </w:rPr>
        <w:t xml:space="preserve">10 months. </w:t>
      </w:r>
      <w:r w:rsidR="00762424" w:rsidRPr="009E4486">
        <w:t>After this</w:t>
      </w:r>
      <w:r w:rsidR="007508BE" w:rsidRPr="009E4486">
        <w:rPr>
          <w:lang w:val="en-GB"/>
        </w:rPr>
        <w:t>,</w:t>
      </w:r>
      <w:r w:rsidR="00762424" w:rsidRPr="009E4486">
        <w:t xml:space="preserve"> the complainant left Denmark and </w:t>
      </w:r>
      <w:r w:rsidR="001971CA" w:rsidRPr="009E4486">
        <w:rPr>
          <w:lang w:val="en-GB"/>
        </w:rPr>
        <w:t>lived in</w:t>
      </w:r>
      <w:r w:rsidR="00762424" w:rsidRPr="009E4486">
        <w:t xml:space="preserve"> France for 14 months and </w:t>
      </w:r>
      <w:r w:rsidR="001971CA" w:rsidRPr="009E4486">
        <w:rPr>
          <w:lang w:val="en-GB"/>
        </w:rPr>
        <w:t xml:space="preserve">in </w:t>
      </w:r>
      <w:r w:rsidR="00762424" w:rsidRPr="009E4486">
        <w:t xml:space="preserve">Switzerland for </w:t>
      </w:r>
      <w:r w:rsidR="00835B64" w:rsidRPr="00C737E6">
        <w:rPr>
          <w:lang w:val="en-US"/>
        </w:rPr>
        <w:t>8</w:t>
      </w:r>
      <w:r w:rsidR="00762424" w:rsidRPr="009E4486">
        <w:t xml:space="preserve"> months. He returned to Denmark in May 2014. On 4 September 2014</w:t>
      </w:r>
      <w:r w:rsidR="001971CA" w:rsidRPr="009E4486">
        <w:rPr>
          <w:lang w:val="en-GB"/>
        </w:rPr>
        <w:t>,</w:t>
      </w:r>
      <w:r w:rsidR="00762424" w:rsidRPr="009E4486">
        <w:t xml:space="preserve"> he was summoned </w:t>
      </w:r>
      <w:r w:rsidR="008D62FD">
        <w:rPr>
          <w:lang w:val="en-US"/>
        </w:rPr>
        <w:t>t</w:t>
      </w:r>
      <w:r w:rsidR="00762424" w:rsidRPr="009E4486">
        <w:t xml:space="preserve">o a meeting with the Danish Immigration police and </w:t>
      </w:r>
      <w:r w:rsidR="007508BE" w:rsidRPr="009E4486">
        <w:rPr>
          <w:lang w:val="en-GB"/>
        </w:rPr>
        <w:t>placed in immigration detention</w:t>
      </w:r>
      <w:r w:rsidR="00E13598" w:rsidRPr="009E4486">
        <w:t xml:space="preserve"> while his deportation </w:t>
      </w:r>
      <w:r w:rsidR="00E13598" w:rsidRPr="009E4486">
        <w:rPr>
          <w:lang w:val="en-GB"/>
        </w:rPr>
        <w:t>was</w:t>
      </w:r>
      <w:r w:rsidR="00762424" w:rsidRPr="009E4486">
        <w:t xml:space="preserve"> being prepared.</w:t>
      </w:r>
      <w:r w:rsidR="00857FEB" w:rsidRPr="009E4486">
        <w:rPr>
          <w:lang w:val="en-GB"/>
        </w:rPr>
        <w:t xml:space="preserve"> The</w:t>
      </w:r>
      <w:r w:rsidR="00857FEB">
        <w:rPr>
          <w:lang w:val="en-GB"/>
        </w:rPr>
        <w:t xml:space="preserve"> complainant asserts that the Refugee Appeals Board did not consider his request for reconsideration of his case</w:t>
      </w:r>
      <w:r w:rsidR="00A76D71">
        <w:rPr>
          <w:lang w:val="en-GB"/>
        </w:rPr>
        <w:t>,</w:t>
      </w:r>
      <w:r w:rsidR="00857FEB">
        <w:rPr>
          <w:lang w:val="en-GB"/>
        </w:rPr>
        <w:t xml:space="preserve"> as he was not </w:t>
      </w:r>
      <w:r w:rsidR="00857FEB" w:rsidRPr="00E34589">
        <w:rPr>
          <w:lang w:val="en-GB"/>
        </w:rPr>
        <w:t>in Denmark at that time.</w:t>
      </w:r>
    </w:p>
    <w:p w:rsidR="00624F19" w:rsidRPr="00624F19" w:rsidRDefault="00624F19">
      <w:pPr>
        <w:pStyle w:val="SingleTxtG"/>
        <w:rPr>
          <w:lang w:val="en-GB"/>
        </w:rPr>
      </w:pPr>
      <w:r w:rsidRPr="00E34589">
        <w:rPr>
          <w:lang w:val="en-GB"/>
        </w:rPr>
        <w:t xml:space="preserve">2.3 </w:t>
      </w:r>
      <w:r w:rsidR="00C0449D" w:rsidRPr="00E34589">
        <w:rPr>
          <w:lang w:val="en-GB"/>
        </w:rPr>
        <w:tab/>
      </w:r>
      <w:r w:rsidRPr="00E34589">
        <w:t>After the final rejection from the Refugee Appeals Board, the complainant established contact with his wife, who had to change her place of residence in Sri Lanka. He has also learned that his son V</w:t>
      </w:r>
      <w:r w:rsidR="008F227D" w:rsidRPr="00E34589">
        <w:rPr>
          <w:lang w:val="en-GB"/>
        </w:rPr>
        <w:t>.</w:t>
      </w:r>
      <w:r w:rsidRPr="00E34589">
        <w:t xml:space="preserve"> </w:t>
      </w:r>
      <w:r w:rsidR="00A76D71" w:rsidRPr="00E34589">
        <w:rPr>
          <w:lang w:val="en-US"/>
        </w:rPr>
        <w:t>had been</w:t>
      </w:r>
      <w:r w:rsidR="00A76D71" w:rsidRPr="00C737E6">
        <w:rPr>
          <w:lang w:val="en-US"/>
        </w:rPr>
        <w:t xml:space="preserve"> </w:t>
      </w:r>
      <w:r w:rsidRPr="00E34589">
        <w:t>sent from the Human Rights Commission camp to a refugee camp in India.</w:t>
      </w:r>
    </w:p>
    <w:p w:rsidR="00B055A7" w:rsidRPr="00B055A7" w:rsidRDefault="008D3DC2" w:rsidP="008D3DC2">
      <w:pPr>
        <w:pStyle w:val="H23G"/>
        <w:rPr>
          <w:lang w:val="en-US"/>
        </w:rPr>
      </w:pPr>
      <w:r>
        <w:rPr>
          <w:lang w:val="en-US"/>
        </w:rPr>
        <w:tab/>
      </w:r>
      <w:r>
        <w:rPr>
          <w:lang w:val="en-US"/>
        </w:rPr>
        <w:tab/>
      </w:r>
      <w:r w:rsidR="00B055A7" w:rsidRPr="00B055A7">
        <w:rPr>
          <w:lang w:val="en-US"/>
        </w:rPr>
        <w:t>The complaint</w:t>
      </w:r>
    </w:p>
    <w:p w:rsidR="00C31ED2" w:rsidRPr="00CC0CCF" w:rsidRDefault="00C31ED2" w:rsidP="008D62FD">
      <w:pPr>
        <w:pStyle w:val="SingleTxtG"/>
        <w:rPr>
          <w:lang w:val="en-GB"/>
        </w:rPr>
      </w:pPr>
      <w:r w:rsidRPr="00C31ED2">
        <w:rPr>
          <w:lang w:val="en-GB"/>
        </w:rPr>
        <w:t>3</w:t>
      </w:r>
      <w:r w:rsidR="005571B4">
        <w:t>.</w:t>
      </w:r>
      <w:r>
        <w:t xml:space="preserve"> </w:t>
      </w:r>
      <w:r w:rsidR="00C0449D" w:rsidRPr="00253A06">
        <w:rPr>
          <w:lang w:val="en-GB"/>
        </w:rPr>
        <w:tab/>
      </w:r>
      <w:r>
        <w:t xml:space="preserve">The complainant </w:t>
      </w:r>
      <w:r w:rsidR="007508BE" w:rsidRPr="00795053">
        <w:rPr>
          <w:lang w:val="en-GB"/>
        </w:rPr>
        <w:t xml:space="preserve">claims </w:t>
      </w:r>
      <w:r>
        <w:t>that</w:t>
      </w:r>
      <w:r w:rsidR="00350D40">
        <w:rPr>
          <w:lang w:val="en-US"/>
        </w:rPr>
        <w:t>,</w:t>
      </w:r>
      <w:r>
        <w:t xml:space="preserve"> if returned to Sri Lanka</w:t>
      </w:r>
      <w:r w:rsidR="007508BE" w:rsidRPr="00795053">
        <w:rPr>
          <w:lang w:val="en-GB"/>
        </w:rPr>
        <w:t>,</w:t>
      </w:r>
      <w:r>
        <w:t xml:space="preserve"> he </w:t>
      </w:r>
      <w:r w:rsidR="007508BE" w:rsidRPr="00795053">
        <w:rPr>
          <w:lang w:val="en-GB"/>
        </w:rPr>
        <w:t xml:space="preserve">would </w:t>
      </w:r>
      <w:r>
        <w:t xml:space="preserve">face a risk of torture, inhuman or degrading treatment by EPDP, who </w:t>
      </w:r>
      <w:r w:rsidR="008D62FD">
        <w:rPr>
          <w:lang w:val="en-US"/>
        </w:rPr>
        <w:t xml:space="preserve">has </w:t>
      </w:r>
      <w:r>
        <w:t>threatened him with death. He alleges that he would be at ris</w:t>
      </w:r>
      <w:r w:rsidR="00CC0CCF">
        <w:t>k of torture by the authorities</w:t>
      </w:r>
      <w:r w:rsidR="00350D40">
        <w:rPr>
          <w:lang w:val="en-US"/>
        </w:rPr>
        <w:t>.</w:t>
      </w:r>
      <w:r>
        <w:t xml:space="preserve"> </w:t>
      </w:r>
      <w:r w:rsidR="00350D40">
        <w:rPr>
          <w:lang w:val="en-GB"/>
        </w:rPr>
        <w:t>A</w:t>
      </w:r>
      <w:r>
        <w:t>s a Tamil returning from abroad</w:t>
      </w:r>
      <w:r w:rsidR="00350D40">
        <w:rPr>
          <w:lang w:val="en-US"/>
        </w:rPr>
        <w:t>,</w:t>
      </w:r>
      <w:r>
        <w:t xml:space="preserve"> he would automatically be suspected </w:t>
      </w:r>
      <w:r w:rsidR="00A76D71">
        <w:rPr>
          <w:lang w:val="en-GB"/>
        </w:rPr>
        <w:t xml:space="preserve">of being </w:t>
      </w:r>
      <w:r w:rsidR="00E13598" w:rsidRPr="00E13598">
        <w:rPr>
          <w:lang w:val="en-GB"/>
        </w:rPr>
        <w:t>connected</w:t>
      </w:r>
      <w:r>
        <w:t xml:space="preserve"> with </w:t>
      </w:r>
      <w:r w:rsidR="00CC0CCF">
        <w:t>LTTE</w:t>
      </w:r>
      <w:r w:rsidR="00CC0CCF" w:rsidRPr="00CC0CCF">
        <w:rPr>
          <w:lang w:val="en-GB"/>
        </w:rPr>
        <w:t>.</w:t>
      </w:r>
      <w:r w:rsidR="00A573D3">
        <w:rPr>
          <w:lang w:val="en-GB"/>
        </w:rPr>
        <w:t xml:space="preserve"> </w:t>
      </w:r>
      <w:r w:rsidR="007508BE">
        <w:rPr>
          <w:lang w:val="en-GB"/>
        </w:rPr>
        <w:t>H</w:t>
      </w:r>
      <w:r w:rsidR="00A573D3" w:rsidRPr="00A573D3">
        <w:rPr>
          <w:lang w:val="en-GB"/>
        </w:rPr>
        <w:t xml:space="preserve">e </w:t>
      </w:r>
      <w:r w:rsidR="00A30B46">
        <w:rPr>
          <w:lang w:val="en-GB"/>
        </w:rPr>
        <w:t xml:space="preserve">refers to </w:t>
      </w:r>
      <w:r w:rsidR="007508BE">
        <w:rPr>
          <w:lang w:val="en-GB"/>
        </w:rPr>
        <w:t>media</w:t>
      </w:r>
      <w:r w:rsidR="00A573D3" w:rsidRPr="00A573D3">
        <w:rPr>
          <w:lang w:val="en-GB"/>
        </w:rPr>
        <w:t xml:space="preserve"> and government</w:t>
      </w:r>
      <w:r w:rsidR="007508BE">
        <w:rPr>
          <w:lang w:val="en-GB"/>
        </w:rPr>
        <w:t>al</w:t>
      </w:r>
      <w:r w:rsidR="00A573D3" w:rsidRPr="00A573D3">
        <w:rPr>
          <w:lang w:val="en-GB"/>
        </w:rPr>
        <w:t xml:space="preserve"> reports to substantiate the risk </w:t>
      </w:r>
      <w:r w:rsidR="007508BE">
        <w:rPr>
          <w:lang w:val="en-GB"/>
        </w:rPr>
        <w:t xml:space="preserve">faced by </w:t>
      </w:r>
      <w:r w:rsidR="00A573D3" w:rsidRPr="00A573D3">
        <w:rPr>
          <w:lang w:val="en-GB"/>
        </w:rPr>
        <w:t>returning Tamils in Sri Lanka</w:t>
      </w:r>
      <w:r w:rsidR="00A76D71">
        <w:rPr>
          <w:lang w:val="en-GB"/>
        </w:rPr>
        <w:t>,</w:t>
      </w:r>
      <w:r w:rsidR="00A573D3" w:rsidRPr="00A573D3">
        <w:rPr>
          <w:lang w:val="en-GB"/>
        </w:rPr>
        <w:t xml:space="preserve"> and the murder</w:t>
      </w:r>
      <w:r w:rsidR="00A76D71">
        <w:rPr>
          <w:lang w:val="en-GB"/>
        </w:rPr>
        <w:t>s</w:t>
      </w:r>
      <w:r w:rsidR="00A573D3" w:rsidRPr="00A573D3">
        <w:rPr>
          <w:lang w:val="en-GB"/>
        </w:rPr>
        <w:t>, abduction</w:t>
      </w:r>
      <w:r w:rsidR="00A76D71">
        <w:rPr>
          <w:lang w:val="en-GB"/>
        </w:rPr>
        <w:t>s</w:t>
      </w:r>
      <w:r w:rsidR="00A573D3" w:rsidRPr="00A573D3">
        <w:rPr>
          <w:lang w:val="en-GB"/>
        </w:rPr>
        <w:t xml:space="preserve"> and extortion by </w:t>
      </w:r>
      <w:r w:rsidR="00350D40">
        <w:rPr>
          <w:lang w:val="en-GB"/>
        </w:rPr>
        <w:t>EPDP</w:t>
      </w:r>
      <w:r w:rsidR="00AC7A8E" w:rsidRPr="00AC7A8E">
        <w:rPr>
          <w:lang w:val="en-GB"/>
        </w:rPr>
        <w:t xml:space="preserve"> </w:t>
      </w:r>
      <w:r w:rsidR="00AC7A8E" w:rsidRPr="00A573D3">
        <w:rPr>
          <w:lang w:val="en-GB"/>
        </w:rPr>
        <w:t>in Jaffna</w:t>
      </w:r>
      <w:r w:rsidR="00A573D3" w:rsidRPr="00A573D3">
        <w:rPr>
          <w:lang w:val="en-GB"/>
        </w:rPr>
        <w:t xml:space="preserve">, </w:t>
      </w:r>
      <w:r w:rsidR="00835B64">
        <w:rPr>
          <w:lang w:val="en-GB"/>
        </w:rPr>
        <w:t xml:space="preserve">which are </w:t>
      </w:r>
      <w:r w:rsidR="00A573D3" w:rsidRPr="00A573D3">
        <w:rPr>
          <w:lang w:val="en-GB"/>
        </w:rPr>
        <w:t>often covered up or supported by public security forces.</w:t>
      </w:r>
    </w:p>
    <w:p w:rsidR="007A1B5B" w:rsidRPr="00C07884" w:rsidRDefault="008D3DC2" w:rsidP="008D3DC2">
      <w:pPr>
        <w:pStyle w:val="H23G"/>
      </w:pPr>
      <w:r>
        <w:lastRenderedPageBreak/>
        <w:tab/>
      </w:r>
      <w:r>
        <w:tab/>
      </w:r>
      <w:r w:rsidR="004876DE" w:rsidRPr="00C07884">
        <w:t xml:space="preserve">State party’s observations on </w:t>
      </w:r>
      <w:r w:rsidR="002848E1">
        <w:t>the</w:t>
      </w:r>
      <w:r w:rsidR="00F8456D" w:rsidRPr="00C07884">
        <w:t xml:space="preserve"> merits</w:t>
      </w:r>
    </w:p>
    <w:p w:rsidR="00806543" w:rsidRDefault="00904885" w:rsidP="00C737E6">
      <w:pPr>
        <w:pStyle w:val="SingleTxtG"/>
      </w:pPr>
      <w:r w:rsidRPr="00C876E4">
        <w:t>4.1</w:t>
      </w:r>
      <w:r w:rsidRPr="00C876E4">
        <w:tab/>
      </w:r>
      <w:bookmarkStart w:id="1" w:name="_Toc391279811"/>
      <w:r w:rsidR="00806543" w:rsidRPr="00C876E4">
        <w:t xml:space="preserve">On </w:t>
      </w:r>
      <w:r w:rsidR="00F47579" w:rsidRPr="00C876E4">
        <w:t>17 March 2015</w:t>
      </w:r>
      <w:r w:rsidR="00806543" w:rsidRPr="00C876E4">
        <w:t xml:space="preserve">, the State party </w:t>
      </w:r>
      <w:r w:rsidR="00F47579" w:rsidRPr="00C876E4">
        <w:t>submit</w:t>
      </w:r>
      <w:r w:rsidR="00350D40" w:rsidRPr="00C876E4">
        <w:t>ted</w:t>
      </w:r>
      <w:r w:rsidR="00074E8D" w:rsidRPr="00C876E4">
        <w:t>, first</w:t>
      </w:r>
      <w:r w:rsidR="00835B64" w:rsidRPr="00C876E4">
        <w:t>ly</w:t>
      </w:r>
      <w:r w:rsidR="00074E8D" w:rsidRPr="00C876E4">
        <w:t>,</w:t>
      </w:r>
      <w:r w:rsidR="00F47579" w:rsidRPr="00C876E4">
        <w:t xml:space="preserve"> that the communication </w:t>
      </w:r>
      <w:r w:rsidR="00350D40" w:rsidRPr="00C876E4">
        <w:t>was</w:t>
      </w:r>
      <w:r w:rsidR="00F47579" w:rsidRPr="00C876E4">
        <w:t xml:space="preserve"> inadmissible and without merit</w:t>
      </w:r>
      <w:r w:rsidR="00E23965" w:rsidRPr="00C876E4">
        <w:t>.</w:t>
      </w:r>
      <w:r w:rsidR="00074E8D" w:rsidRPr="00C876E4">
        <w:t xml:space="preserve"> </w:t>
      </w:r>
      <w:r w:rsidR="00835B64" w:rsidRPr="00C876E4">
        <w:t>Secondly</w:t>
      </w:r>
      <w:r w:rsidR="00074E8D" w:rsidRPr="00C876E4">
        <w:t xml:space="preserve">, it </w:t>
      </w:r>
      <w:r w:rsidR="004667B2" w:rsidRPr="00C876E4">
        <w:t>describe</w:t>
      </w:r>
      <w:r w:rsidR="00350D40" w:rsidRPr="00C876E4">
        <w:t>d</w:t>
      </w:r>
      <w:r w:rsidR="004667B2" w:rsidRPr="00C876E4">
        <w:t xml:space="preserve"> the structure and composition of the Refugee </w:t>
      </w:r>
      <w:r w:rsidR="00350D40" w:rsidRPr="00C876E4">
        <w:t>A</w:t>
      </w:r>
      <w:r w:rsidR="004667B2" w:rsidRPr="00C876E4">
        <w:t>ppeals Board</w:t>
      </w:r>
      <w:r w:rsidR="00FD7575" w:rsidRPr="00C876E4">
        <w:t xml:space="preserve">. The </w:t>
      </w:r>
      <w:r w:rsidR="004667B2" w:rsidRPr="00C876E4">
        <w:t xml:space="preserve">activities </w:t>
      </w:r>
      <w:r w:rsidR="00350D40" w:rsidRPr="00C876E4">
        <w:t xml:space="preserve">of the Board </w:t>
      </w:r>
      <w:r w:rsidR="004667B2" w:rsidRPr="00C876E4">
        <w:t>are based on section 53a of the Aliens Act</w:t>
      </w:r>
      <w:r w:rsidR="00FD7575" w:rsidRPr="00C876E4">
        <w:t>. D</w:t>
      </w:r>
      <w:r w:rsidR="004667B2" w:rsidRPr="00C876E4">
        <w:t xml:space="preserve">ecisions of the Danish Immigration Service refusing asylum are automatically appealed to the Board unless the </w:t>
      </w:r>
      <w:r w:rsidR="008D62FD" w:rsidRPr="00C876E4">
        <w:t xml:space="preserve">Service has considered the </w:t>
      </w:r>
      <w:r w:rsidR="004667B2" w:rsidRPr="00C876E4">
        <w:t xml:space="preserve">application </w:t>
      </w:r>
      <w:r w:rsidR="008D62FD" w:rsidRPr="00C876E4">
        <w:t>to be</w:t>
      </w:r>
      <w:r w:rsidR="004667B2" w:rsidRPr="00C876E4">
        <w:t xml:space="preserve"> manifestly unfounded. </w:t>
      </w:r>
      <w:r w:rsidR="00844CC6" w:rsidRPr="00C876E4">
        <w:t>A</w:t>
      </w:r>
      <w:r w:rsidR="004667B2" w:rsidRPr="00C876E4">
        <w:t>ppeal to the Board stay</w:t>
      </w:r>
      <w:r w:rsidR="00350D40" w:rsidRPr="00C876E4">
        <w:t>s the</w:t>
      </w:r>
      <w:r w:rsidR="004667B2" w:rsidRPr="00C876E4">
        <w:t xml:space="preserve"> execution of </w:t>
      </w:r>
      <w:r w:rsidR="00350D40" w:rsidRPr="00C876E4">
        <w:t xml:space="preserve">a </w:t>
      </w:r>
      <w:r w:rsidR="00FD7575" w:rsidRPr="00C876E4">
        <w:t>deportation</w:t>
      </w:r>
      <w:r w:rsidR="00835B64" w:rsidRPr="00C876E4">
        <w:t xml:space="preserve"> order</w:t>
      </w:r>
      <w:r w:rsidR="004667B2" w:rsidRPr="00C876E4">
        <w:t xml:space="preserve">. The </w:t>
      </w:r>
      <w:r w:rsidR="00350D40" w:rsidRPr="00C876E4">
        <w:t>Board</w:t>
      </w:r>
      <w:r w:rsidR="004667B2" w:rsidRPr="00C876E4">
        <w:t xml:space="preserve"> is an independent, quasi-judicial body and is considered a court within the meaning of </w:t>
      </w:r>
      <w:r w:rsidR="003D5642" w:rsidRPr="00C876E4">
        <w:t>a</w:t>
      </w:r>
      <w:r w:rsidR="004667B2" w:rsidRPr="00C876E4">
        <w:t xml:space="preserve">rticle 39 of Council </w:t>
      </w:r>
      <w:r w:rsidR="00E34589" w:rsidRPr="006B7173">
        <w:t xml:space="preserve">of the European Union </w:t>
      </w:r>
      <w:r w:rsidR="004667B2" w:rsidRPr="00C876E4">
        <w:t xml:space="preserve">Directive </w:t>
      </w:r>
      <w:r w:rsidR="00E34589" w:rsidRPr="006B7173">
        <w:t xml:space="preserve">2005/85/EC of 1 December 2005 </w:t>
      </w:r>
      <w:r w:rsidR="004667B2" w:rsidRPr="00C876E4">
        <w:t xml:space="preserve">on minimum standards on procedures in Member States for granting and withdrawing refugee status. </w:t>
      </w:r>
      <w:r w:rsidR="00CE57AF" w:rsidRPr="00C876E4">
        <w:t xml:space="preserve">Under the Danish Aliens Act, </w:t>
      </w:r>
      <w:r w:rsidR="00350D40" w:rsidRPr="00C876E4">
        <w:t>Board</w:t>
      </w:r>
      <w:r w:rsidR="00CE57AF" w:rsidRPr="00C876E4">
        <w:t xml:space="preserve"> members are independent and cannot seek direction from the appointing or nominating authority.</w:t>
      </w:r>
      <w:r w:rsidR="00FD7575" w:rsidRPr="00C876E4">
        <w:t xml:space="preserve"> </w:t>
      </w:r>
      <w:r w:rsidR="00350D40" w:rsidRPr="00C876E4">
        <w:t>Board</w:t>
      </w:r>
      <w:r w:rsidR="00FD7575" w:rsidRPr="00C876E4">
        <w:t xml:space="preserve"> decisions</w:t>
      </w:r>
      <w:r w:rsidR="00CE57AF" w:rsidRPr="00C876E4">
        <w:t xml:space="preserve"> are final. Aliens may, however, bring an appeal before the ordinary courts, which have the authority to adjudicate any matter concerning limits to the competence of a public authority. As established by the Supreme Court, the ordinary courts’ review of decisions made by the Refugee Appeals Board is limited to a review on points of law, including any inadequacy in the basis for the relevant decision and the unlawful exercise of discretion, whereas the Board’s assessment of evidence is not subject to review.</w:t>
      </w:r>
    </w:p>
    <w:p w:rsidR="00CE57AF" w:rsidRPr="00C737E6" w:rsidRDefault="00CE57AF" w:rsidP="00C737E6">
      <w:pPr>
        <w:pStyle w:val="SingleTxtG"/>
      </w:pPr>
      <w:r w:rsidRPr="00593080">
        <w:t xml:space="preserve">4.2 </w:t>
      </w:r>
      <w:r w:rsidR="00C0449D" w:rsidRPr="00253A06">
        <w:rPr>
          <w:lang w:val="en-GB"/>
        </w:rPr>
        <w:tab/>
      </w:r>
      <w:r w:rsidR="00283889" w:rsidRPr="00593080">
        <w:t xml:space="preserve">The State party indicates that a residence permit can be granted to an alien if </w:t>
      </w:r>
      <w:r w:rsidR="00835B64">
        <w:rPr>
          <w:lang w:val="en-US"/>
        </w:rPr>
        <w:t>his or her</w:t>
      </w:r>
      <w:r w:rsidR="00835B64" w:rsidRPr="00C737E6">
        <w:rPr>
          <w:lang w:val="en-US"/>
        </w:rPr>
        <w:t xml:space="preserve"> </w:t>
      </w:r>
      <w:r w:rsidR="00283889" w:rsidRPr="00593080">
        <w:t>circumstances fall with</w:t>
      </w:r>
      <w:r w:rsidR="00283889" w:rsidRPr="00CA52AC">
        <w:t xml:space="preserve">in the provisions of the </w:t>
      </w:r>
      <w:r w:rsidR="00835B64">
        <w:rPr>
          <w:lang w:val="en-US"/>
        </w:rPr>
        <w:t xml:space="preserve">1951 </w:t>
      </w:r>
      <w:r w:rsidR="00283889" w:rsidRPr="00CA52AC">
        <w:t>Convention relating to the Status of Refugees. Article 1 (A) of th</w:t>
      </w:r>
      <w:r w:rsidR="00835B64">
        <w:rPr>
          <w:lang w:val="en-US"/>
        </w:rPr>
        <w:t>e 1951</w:t>
      </w:r>
      <w:r w:rsidR="00283889" w:rsidRPr="00CA52AC">
        <w:t xml:space="preserve"> Convention </w:t>
      </w:r>
      <w:r w:rsidR="003152D3" w:rsidRPr="00CA52AC">
        <w:t>i</w:t>
      </w:r>
      <w:r w:rsidR="00283889" w:rsidRPr="00CA52AC">
        <w:t xml:space="preserve">s incorporated into Danish law. </w:t>
      </w:r>
      <w:r w:rsidR="00074E8D" w:rsidRPr="00CA52AC">
        <w:t>A</w:t>
      </w:r>
      <w:r w:rsidR="00283889" w:rsidRPr="00CA52AC">
        <w:t xml:space="preserve"> residence permit w</w:t>
      </w:r>
      <w:r w:rsidR="00283889" w:rsidRPr="00593080">
        <w:t xml:space="preserve">ill further be issued to an alien upon application if </w:t>
      </w:r>
      <w:r w:rsidR="00D73CE4">
        <w:t>he</w:t>
      </w:r>
      <w:r w:rsidR="00283889" w:rsidRPr="00593080">
        <w:t xml:space="preserve"> </w:t>
      </w:r>
      <w:r w:rsidR="003D5642">
        <w:rPr>
          <w:lang w:val="en-US"/>
        </w:rPr>
        <w:t xml:space="preserve">or she </w:t>
      </w:r>
      <w:r w:rsidR="003815DD">
        <w:rPr>
          <w:lang w:val="en-US"/>
        </w:rPr>
        <w:t>is at risk of facing</w:t>
      </w:r>
      <w:r w:rsidR="003815DD" w:rsidRPr="00C737E6">
        <w:rPr>
          <w:lang w:val="en-US"/>
        </w:rPr>
        <w:t xml:space="preserve"> </w:t>
      </w:r>
      <w:r w:rsidR="00283889" w:rsidRPr="00593080">
        <w:t xml:space="preserve">the death penalty or being subjected to torture or </w:t>
      </w:r>
      <w:r w:rsidR="00D73CE4">
        <w:t>other serious ill-treatment</w:t>
      </w:r>
      <w:r w:rsidR="00283889" w:rsidRPr="00593080">
        <w:t xml:space="preserve"> or punishment in </w:t>
      </w:r>
      <w:r w:rsidR="003D5642">
        <w:rPr>
          <w:lang w:val="en-US"/>
        </w:rPr>
        <w:t>the event</w:t>
      </w:r>
      <w:r w:rsidR="00283889" w:rsidRPr="00593080">
        <w:t xml:space="preserve"> of return to his</w:t>
      </w:r>
      <w:r w:rsidR="003D5642" w:rsidRPr="00C737E6">
        <w:rPr>
          <w:lang w:val="en-US"/>
        </w:rPr>
        <w:t xml:space="preserve"> </w:t>
      </w:r>
      <w:r w:rsidR="003D5642">
        <w:rPr>
          <w:lang w:val="en-US"/>
        </w:rPr>
        <w:t xml:space="preserve">or her </w:t>
      </w:r>
      <w:r w:rsidR="00283889" w:rsidRPr="00593080">
        <w:t xml:space="preserve">country of origin (protection status). </w:t>
      </w:r>
      <w:r w:rsidR="00D73CE4">
        <w:t>S</w:t>
      </w:r>
      <w:r w:rsidR="00283889" w:rsidRPr="00593080">
        <w:t>ection</w:t>
      </w:r>
      <w:r w:rsidR="003D5642">
        <w:rPr>
          <w:lang w:val="en-US"/>
        </w:rPr>
        <w:t> </w:t>
      </w:r>
      <w:r w:rsidR="00283889" w:rsidRPr="00593080">
        <w:t>7</w:t>
      </w:r>
      <w:r w:rsidR="003D5642">
        <w:rPr>
          <w:lang w:val="en-US"/>
        </w:rPr>
        <w:t> </w:t>
      </w:r>
      <w:r w:rsidR="00283889" w:rsidRPr="00593080">
        <w:t>(2) of the Aliens Act is very similar to article 3 of the European Convention on Human Rights</w:t>
      </w:r>
      <w:r w:rsidR="00593080">
        <w:t xml:space="preserve"> and</w:t>
      </w:r>
      <w:r w:rsidR="003D5642">
        <w:rPr>
          <w:lang w:val="en-US"/>
        </w:rPr>
        <w:t>,</w:t>
      </w:r>
      <w:r w:rsidR="00283889" w:rsidRPr="00593080">
        <w:t xml:space="preserve"> </w:t>
      </w:r>
      <w:r w:rsidR="00593080">
        <w:t>a</w:t>
      </w:r>
      <w:r w:rsidR="00283889" w:rsidRPr="00593080">
        <w:t xml:space="preserve">ccording to the explanatory notes </w:t>
      </w:r>
      <w:r w:rsidR="003152D3">
        <w:t xml:space="preserve">on </w:t>
      </w:r>
      <w:r w:rsidR="00D73CE4">
        <w:t>th</w:t>
      </w:r>
      <w:r w:rsidR="003815DD">
        <w:rPr>
          <w:lang w:val="en-US"/>
        </w:rPr>
        <w:t>at</w:t>
      </w:r>
      <w:r w:rsidR="00D73CE4" w:rsidRPr="00593080">
        <w:t xml:space="preserve"> </w:t>
      </w:r>
      <w:r w:rsidR="00283889" w:rsidRPr="00593080">
        <w:t xml:space="preserve">section, the immigration authorities </w:t>
      </w:r>
      <w:r w:rsidR="00593080">
        <w:t>must</w:t>
      </w:r>
      <w:r w:rsidR="00283889" w:rsidRPr="00593080">
        <w:t xml:space="preserve"> comply with the case</w:t>
      </w:r>
      <w:r w:rsidR="00B66E19">
        <w:rPr>
          <w:lang w:val="en-US"/>
        </w:rPr>
        <w:t xml:space="preserve"> </w:t>
      </w:r>
      <w:r w:rsidR="00283889" w:rsidRPr="00593080">
        <w:t xml:space="preserve">law of the European Court of Human Rights </w:t>
      </w:r>
      <w:r w:rsidR="00593080">
        <w:t xml:space="preserve">and </w:t>
      </w:r>
      <w:r w:rsidR="003152D3">
        <w:t>the State party’s</w:t>
      </w:r>
      <w:r w:rsidR="00593080">
        <w:t xml:space="preserve"> international obligations when applying this</w:t>
      </w:r>
      <w:r w:rsidR="00283889" w:rsidRPr="00593080">
        <w:t xml:space="preserve"> provision. In practice, the Refugee Appeals Board will generally consider the conditions for issuing a residence permit to be met when there are specific and individual factors substantiating that the asylum</w:t>
      </w:r>
      <w:r w:rsidR="00B66E19">
        <w:rPr>
          <w:lang w:val="en-US"/>
        </w:rPr>
        <w:t xml:space="preserve"> </w:t>
      </w:r>
      <w:r w:rsidR="00283889" w:rsidRPr="00593080">
        <w:t xml:space="preserve">seeker will be exposed to a real risk of the death penalty or </w:t>
      </w:r>
      <w:r w:rsidR="00D73CE4">
        <w:t>ill-treatment upon return</w:t>
      </w:r>
      <w:r w:rsidR="00283889" w:rsidRPr="00593080">
        <w:t xml:space="preserve">. </w:t>
      </w:r>
      <w:r w:rsidR="00593080">
        <w:t>Furthermore</w:t>
      </w:r>
      <w:r w:rsidR="00283889" w:rsidRPr="00593080">
        <w:t>, pursuant to section 31</w:t>
      </w:r>
      <w:r w:rsidR="003815DD">
        <w:rPr>
          <w:lang w:val="en-US"/>
        </w:rPr>
        <w:t> </w:t>
      </w:r>
      <w:r w:rsidR="00283889" w:rsidRPr="00593080">
        <w:t xml:space="preserve">(1) of the Aliens Act, an alien may not be returned to a country where he will be at risk of </w:t>
      </w:r>
      <w:r w:rsidR="003815DD">
        <w:rPr>
          <w:lang w:val="en-US"/>
        </w:rPr>
        <w:t xml:space="preserve">facing </w:t>
      </w:r>
      <w:r w:rsidR="00283889" w:rsidRPr="00593080">
        <w:t xml:space="preserve">the death penalty or of being subjected </w:t>
      </w:r>
      <w:r w:rsidR="00283889" w:rsidRPr="00350D40">
        <w:t xml:space="preserve">to </w:t>
      </w:r>
      <w:r w:rsidR="00D73CE4" w:rsidRPr="00350D40">
        <w:t>serious ill-treatment</w:t>
      </w:r>
      <w:r w:rsidR="00283889" w:rsidRPr="00350D40">
        <w:t xml:space="preserve">, or where the alien will not be protected against being sent on to such </w:t>
      </w:r>
      <w:r w:rsidR="003815DD">
        <w:rPr>
          <w:lang w:val="en-US"/>
        </w:rPr>
        <w:t>a</w:t>
      </w:r>
      <w:r w:rsidR="003815DD" w:rsidRPr="00C737E6">
        <w:rPr>
          <w:lang w:val="en-US"/>
        </w:rPr>
        <w:t xml:space="preserve"> </w:t>
      </w:r>
      <w:r w:rsidR="00283889" w:rsidRPr="00350D40">
        <w:t xml:space="preserve">country (the principle of </w:t>
      </w:r>
      <w:r w:rsidR="00283889" w:rsidRPr="00C737E6">
        <w:t>non-refoulement</w:t>
      </w:r>
      <w:r w:rsidR="00283889" w:rsidRPr="00350D40">
        <w:t>). Th</w:t>
      </w:r>
      <w:r w:rsidR="00D73CE4" w:rsidRPr="00350D40">
        <w:t>is</w:t>
      </w:r>
      <w:r w:rsidR="00283889" w:rsidRPr="00350D40">
        <w:t xml:space="preserve"> </w:t>
      </w:r>
      <w:r w:rsidR="00D73CE4" w:rsidRPr="00350D40">
        <w:t xml:space="preserve">obligation </w:t>
      </w:r>
      <w:r w:rsidR="00283889" w:rsidRPr="00350D40">
        <w:t xml:space="preserve">is absolute and protects all aliens. </w:t>
      </w:r>
      <w:r w:rsidR="00D73CE4" w:rsidRPr="00350D40">
        <w:t>In this connection, the State party notes that</w:t>
      </w:r>
      <w:r w:rsidR="00283889" w:rsidRPr="00350D40">
        <w:t xml:space="preserve"> the Refugee Appeals Board and the Danish Immigration Service </w:t>
      </w:r>
      <w:r w:rsidR="00283889" w:rsidRPr="00B66E19">
        <w:t xml:space="preserve">have jointly </w:t>
      </w:r>
      <w:r w:rsidR="00283889" w:rsidRPr="00E34589">
        <w:t>drafted a number of memorand</w:t>
      </w:r>
      <w:r w:rsidR="003815DD" w:rsidRPr="00E34589">
        <w:rPr>
          <w:lang w:val="en-US"/>
        </w:rPr>
        <w:t>ums</w:t>
      </w:r>
      <w:r w:rsidR="00283889" w:rsidRPr="00E34589">
        <w:t xml:space="preserve"> describing in detail the legal protection of asylum</w:t>
      </w:r>
      <w:r w:rsidR="003815DD" w:rsidRPr="00E34589">
        <w:rPr>
          <w:lang w:val="en-US"/>
        </w:rPr>
        <w:t xml:space="preserve"> </w:t>
      </w:r>
      <w:r w:rsidR="00283889" w:rsidRPr="00E34589">
        <w:t xml:space="preserve">seekers afforded by international law, in particular the </w:t>
      </w:r>
      <w:r w:rsidR="00CA52AC" w:rsidRPr="006B7173">
        <w:rPr>
          <w:lang w:val="en-US"/>
        </w:rPr>
        <w:t>1951</w:t>
      </w:r>
      <w:r w:rsidR="00CA52AC" w:rsidRPr="00E34589">
        <w:t xml:space="preserve"> </w:t>
      </w:r>
      <w:r w:rsidR="00283889" w:rsidRPr="00E34589">
        <w:t xml:space="preserve">Convention, </w:t>
      </w:r>
      <w:r w:rsidR="00B66E19" w:rsidRPr="00C737E6">
        <w:rPr>
          <w:lang w:val="en-US"/>
        </w:rPr>
        <w:t xml:space="preserve">the </w:t>
      </w:r>
      <w:r w:rsidR="00B66E19" w:rsidRPr="006B7173">
        <w:rPr>
          <w:lang w:val="en-US"/>
        </w:rPr>
        <w:t>Convention against Torture</w:t>
      </w:r>
      <w:r w:rsidR="00B66E19" w:rsidRPr="00C737E6">
        <w:rPr>
          <w:lang w:val="en-US"/>
        </w:rPr>
        <w:t xml:space="preserve"> and </w:t>
      </w:r>
      <w:r w:rsidR="00B66E19" w:rsidRPr="006B7173">
        <w:rPr>
          <w:lang w:val="en-US"/>
        </w:rPr>
        <w:t>Other Cruel, Inhuman or Degrading Treatment or Punishment</w:t>
      </w:r>
      <w:r w:rsidR="00283889" w:rsidRPr="00E34589">
        <w:t xml:space="preserve">, the </w:t>
      </w:r>
      <w:r w:rsidR="00E34589" w:rsidRPr="006B7173">
        <w:rPr>
          <w:lang w:val="en-US"/>
        </w:rPr>
        <w:t>European Convention on Human Rights</w:t>
      </w:r>
      <w:r w:rsidR="00E34589" w:rsidRPr="00E34589">
        <w:t xml:space="preserve"> </w:t>
      </w:r>
      <w:r w:rsidR="00283889" w:rsidRPr="00E34589">
        <w:t xml:space="preserve">and the </w:t>
      </w:r>
      <w:r w:rsidR="00B66E19" w:rsidRPr="006B7173">
        <w:rPr>
          <w:lang w:val="en-US"/>
        </w:rPr>
        <w:t>International Covenant on Civil and Political Rights</w:t>
      </w:r>
      <w:r w:rsidR="00283889" w:rsidRPr="00E34589">
        <w:t>.</w:t>
      </w:r>
    </w:p>
    <w:p w:rsidR="00593080" w:rsidRPr="00C737E6" w:rsidRDefault="00593080" w:rsidP="00C737E6">
      <w:pPr>
        <w:pStyle w:val="SingleTxtG"/>
      </w:pPr>
      <w:r w:rsidRPr="00B63EAF">
        <w:t xml:space="preserve">4.3 </w:t>
      </w:r>
      <w:r w:rsidR="00C0449D" w:rsidRPr="00253A06">
        <w:rPr>
          <w:lang w:val="en-GB"/>
        </w:rPr>
        <w:tab/>
      </w:r>
      <w:r w:rsidR="00E13CEE" w:rsidRPr="00B63EAF">
        <w:t>The Refugee Appeals Board assigns counsel free of charge in all cases</w:t>
      </w:r>
      <w:r w:rsidR="00B66E19">
        <w:rPr>
          <w:lang w:val="en-US"/>
        </w:rPr>
        <w:t>,</w:t>
      </w:r>
      <w:r w:rsidR="00E13CEE" w:rsidRPr="00B63EAF">
        <w:t xml:space="preserve"> and all the case materials and documents </w:t>
      </w:r>
      <w:r w:rsidR="00D73CE4">
        <w:t xml:space="preserve">are sent to counsel </w:t>
      </w:r>
      <w:r w:rsidR="00E13CEE" w:rsidRPr="00B63EAF">
        <w:t xml:space="preserve">well in advance </w:t>
      </w:r>
      <w:r w:rsidR="0010178F">
        <w:rPr>
          <w:lang w:val="en-US"/>
        </w:rPr>
        <w:t>of</w:t>
      </w:r>
      <w:r w:rsidR="0010178F" w:rsidRPr="00C737E6">
        <w:rPr>
          <w:lang w:val="en-US"/>
        </w:rPr>
        <w:t xml:space="preserve"> </w:t>
      </w:r>
      <w:r w:rsidR="00E13CEE" w:rsidRPr="00B63EAF">
        <w:t>the hearing. Proceedings before the</w:t>
      </w:r>
      <w:r w:rsidR="005403CA" w:rsidRPr="00B63EAF">
        <w:t xml:space="preserve"> Board are oral and</w:t>
      </w:r>
      <w:r w:rsidR="00D73CE4">
        <w:t>, inter alia</w:t>
      </w:r>
      <w:r w:rsidR="00B66E19">
        <w:rPr>
          <w:lang w:val="en-US"/>
        </w:rPr>
        <w:t>,</w:t>
      </w:r>
      <w:r w:rsidR="005403CA" w:rsidRPr="00B63EAF">
        <w:t xml:space="preserve"> </w:t>
      </w:r>
      <w:r w:rsidR="007C2CE7">
        <w:t>an</w:t>
      </w:r>
      <w:r w:rsidR="005403CA" w:rsidRPr="00B63EAF">
        <w:t xml:space="preserve"> asylum</w:t>
      </w:r>
      <w:r w:rsidR="00B66E19">
        <w:rPr>
          <w:lang w:val="en-US"/>
        </w:rPr>
        <w:t xml:space="preserve"> </w:t>
      </w:r>
      <w:r w:rsidR="005403CA" w:rsidRPr="00B63EAF">
        <w:t xml:space="preserve">seeker, </w:t>
      </w:r>
      <w:r w:rsidR="00D73CE4">
        <w:t>his</w:t>
      </w:r>
      <w:r w:rsidR="00B66E19">
        <w:rPr>
          <w:lang w:val="en-US"/>
        </w:rPr>
        <w:t xml:space="preserve"> or </w:t>
      </w:r>
      <w:r w:rsidR="00D73CE4">
        <w:t xml:space="preserve">her </w:t>
      </w:r>
      <w:r w:rsidR="00E13CEE" w:rsidRPr="00B63EAF">
        <w:t xml:space="preserve">counsel </w:t>
      </w:r>
      <w:r w:rsidR="00D73CE4">
        <w:t>and</w:t>
      </w:r>
      <w:r w:rsidR="00E13CEE" w:rsidRPr="00B63EAF">
        <w:t xml:space="preserve"> an interpreter </w:t>
      </w:r>
      <w:r w:rsidR="00D73CE4">
        <w:t>are present</w:t>
      </w:r>
      <w:r w:rsidR="00E13CEE" w:rsidRPr="00B63EAF">
        <w:t xml:space="preserve">. At the hearing, </w:t>
      </w:r>
      <w:r w:rsidR="007C2CE7">
        <w:t>an</w:t>
      </w:r>
      <w:r w:rsidR="00E13CEE" w:rsidRPr="00B63EAF">
        <w:t xml:space="preserve"> asylum</w:t>
      </w:r>
      <w:r w:rsidR="00B66E19">
        <w:rPr>
          <w:lang w:val="en-US"/>
        </w:rPr>
        <w:t xml:space="preserve"> </w:t>
      </w:r>
      <w:r w:rsidR="00E13CEE" w:rsidRPr="00B63EAF">
        <w:t xml:space="preserve">seeker is allowed to make a statement and answer questions. </w:t>
      </w:r>
      <w:r w:rsidR="00D73CE4">
        <w:t>After the closing statements of the</w:t>
      </w:r>
      <w:r w:rsidR="00E13CEE" w:rsidRPr="00B63EAF">
        <w:t xml:space="preserve"> </w:t>
      </w:r>
      <w:r w:rsidR="00E13CEE" w:rsidRPr="00CB70AF">
        <w:t>counsel and the representative of the Danish Immigration Service</w:t>
      </w:r>
      <w:r w:rsidR="00D73CE4">
        <w:t xml:space="preserve">, </w:t>
      </w:r>
      <w:r w:rsidR="007C2CE7">
        <w:t>an</w:t>
      </w:r>
      <w:r w:rsidR="00E13CEE" w:rsidRPr="00CB70AF">
        <w:t xml:space="preserve"> asylum</w:t>
      </w:r>
      <w:r w:rsidR="00B66E19">
        <w:rPr>
          <w:lang w:val="en-US"/>
        </w:rPr>
        <w:t xml:space="preserve"> </w:t>
      </w:r>
      <w:r w:rsidR="00E13CEE" w:rsidRPr="00CB70AF">
        <w:t>seeker can make a final statement. The Board</w:t>
      </w:r>
      <w:r w:rsidR="00B63EAF" w:rsidRPr="00CB70AF">
        <w:t>’</w:t>
      </w:r>
      <w:r w:rsidR="00E13CEE" w:rsidRPr="00CB70AF">
        <w:t xml:space="preserve">s decision will normally be served </w:t>
      </w:r>
      <w:r w:rsidR="006367F5">
        <w:rPr>
          <w:lang w:val="en-US"/>
        </w:rPr>
        <w:t>on</w:t>
      </w:r>
      <w:r w:rsidR="006367F5" w:rsidRPr="00CB70AF">
        <w:t xml:space="preserve"> </w:t>
      </w:r>
      <w:r w:rsidR="007C2CE7">
        <w:t>an</w:t>
      </w:r>
      <w:r w:rsidR="007C2CE7" w:rsidRPr="00CB70AF">
        <w:t xml:space="preserve"> </w:t>
      </w:r>
      <w:r w:rsidR="00E13CEE" w:rsidRPr="00CB70AF">
        <w:t>asylum</w:t>
      </w:r>
      <w:r w:rsidR="00B66E19">
        <w:rPr>
          <w:lang w:val="en-US"/>
        </w:rPr>
        <w:t xml:space="preserve"> </w:t>
      </w:r>
      <w:r w:rsidR="00E13CEE" w:rsidRPr="00CB70AF">
        <w:t xml:space="preserve">seeker immediately after the hearing and, at the same time, the </w:t>
      </w:r>
      <w:r w:rsidR="00B66E19">
        <w:rPr>
          <w:lang w:val="en-US"/>
        </w:rPr>
        <w:t xml:space="preserve">person </w:t>
      </w:r>
      <w:r w:rsidR="00E13CEE" w:rsidRPr="00CB70AF">
        <w:t>chair</w:t>
      </w:r>
      <w:r w:rsidR="00B66E19">
        <w:rPr>
          <w:lang w:val="en-US"/>
        </w:rPr>
        <w:t>ing</w:t>
      </w:r>
      <w:r w:rsidR="00E13CEE" w:rsidRPr="00CB70AF">
        <w:t xml:space="preserve"> the hearing will briefly explain the reasoning </w:t>
      </w:r>
      <w:r w:rsidR="00B66E19">
        <w:rPr>
          <w:lang w:val="en-US"/>
        </w:rPr>
        <w:t>behind</w:t>
      </w:r>
      <w:r w:rsidR="00E13CEE" w:rsidRPr="00CB70AF">
        <w:t xml:space="preserve"> the decision.</w:t>
      </w:r>
      <w:r w:rsidR="00CB70AF" w:rsidRPr="00CB70AF">
        <w:t xml:space="preserve"> The State party notes that decisions are based on an individual and specific assessment of the relevant case and that </w:t>
      </w:r>
      <w:r w:rsidR="007C2CE7">
        <w:t>an</w:t>
      </w:r>
      <w:r w:rsidR="007C2CE7" w:rsidRPr="00CB70AF">
        <w:t xml:space="preserve"> </w:t>
      </w:r>
      <w:r w:rsidR="00CB70AF" w:rsidRPr="00CB70AF">
        <w:t>asylum</w:t>
      </w:r>
      <w:r w:rsidR="00B66E19">
        <w:rPr>
          <w:lang w:val="en-US"/>
        </w:rPr>
        <w:t xml:space="preserve"> </w:t>
      </w:r>
      <w:r w:rsidR="00CB70AF" w:rsidRPr="00CB70AF">
        <w:t xml:space="preserve">seeker’s statements regarding his </w:t>
      </w:r>
      <w:r w:rsidR="006367F5">
        <w:rPr>
          <w:lang w:val="en-US"/>
        </w:rPr>
        <w:t xml:space="preserve">or her </w:t>
      </w:r>
      <w:r w:rsidR="00CB70AF" w:rsidRPr="00CB70AF">
        <w:t xml:space="preserve">grounds for asylum are assessed in </w:t>
      </w:r>
      <w:r w:rsidR="00B66E19">
        <w:rPr>
          <w:lang w:val="en-US"/>
        </w:rPr>
        <w:t xml:space="preserve">the </w:t>
      </w:r>
      <w:r w:rsidR="00CB70AF" w:rsidRPr="00CB70AF">
        <w:t xml:space="preserve">light of all relevant </w:t>
      </w:r>
      <w:r w:rsidR="00CB70AF" w:rsidRPr="00CB70AF">
        <w:lastRenderedPageBreak/>
        <w:t xml:space="preserve">evidence, </w:t>
      </w:r>
      <w:r w:rsidR="00CB70AF" w:rsidRPr="00AB3DC6">
        <w:t>including background information on the respective country of origin.</w:t>
      </w:r>
      <w:r w:rsidR="00AB3DC6" w:rsidRPr="00AB3DC6">
        <w:t xml:space="preserve"> Background reports are obtained from various sources, including the Danish Refugee Council, other </w:t>
      </w:r>
      <w:r w:rsidR="00B66E19">
        <w:rPr>
          <w:lang w:val="en-US"/>
        </w:rPr>
        <w:t>G</w:t>
      </w:r>
      <w:r w:rsidR="00AB3DC6" w:rsidRPr="00AB3DC6">
        <w:t>overnments, the Office of the United Nations High Commissioner for Refugees, Amnesty International</w:t>
      </w:r>
      <w:r w:rsidR="00B66E19">
        <w:rPr>
          <w:lang w:val="en-US"/>
        </w:rPr>
        <w:t xml:space="preserve"> and</w:t>
      </w:r>
      <w:r w:rsidR="0021520A">
        <w:t xml:space="preserve"> </w:t>
      </w:r>
      <w:r w:rsidR="00AB3DC6" w:rsidRPr="00AB3DC6">
        <w:t>Human Rights Watch.</w:t>
      </w:r>
    </w:p>
    <w:p w:rsidR="00B63EAF" w:rsidRPr="00C737E6" w:rsidRDefault="00B63EAF" w:rsidP="00C737E6">
      <w:pPr>
        <w:pStyle w:val="SingleTxtG"/>
      </w:pPr>
      <w:r w:rsidRPr="00900E6D">
        <w:t xml:space="preserve">4.4 </w:t>
      </w:r>
      <w:r w:rsidR="00C0449D" w:rsidRPr="00253A06">
        <w:rPr>
          <w:lang w:val="en-GB"/>
        </w:rPr>
        <w:tab/>
      </w:r>
      <w:r w:rsidR="007C2CE7">
        <w:t xml:space="preserve">In </w:t>
      </w:r>
      <w:r w:rsidR="00B66E19">
        <w:rPr>
          <w:lang w:val="en-US"/>
        </w:rPr>
        <w:t xml:space="preserve">the </w:t>
      </w:r>
      <w:r w:rsidR="007C2CE7">
        <w:t xml:space="preserve">light of the above, the State party notes </w:t>
      </w:r>
      <w:r w:rsidR="00F3474B" w:rsidRPr="00900E6D">
        <w:t>that an asylum</w:t>
      </w:r>
      <w:r w:rsidR="00B66E19">
        <w:rPr>
          <w:lang w:val="en-US"/>
        </w:rPr>
        <w:t xml:space="preserve"> </w:t>
      </w:r>
      <w:r w:rsidR="00F3474B" w:rsidRPr="00900E6D">
        <w:t xml:space="preserve">seeker must provide all required information in order to be able to decide whether </w:t>
      </w:r>
      <w:r w:rsidR="006367F5" w:rsidRPr="00C737E6">
        <w:rPr>
          <w:lang w:val="en-US"/>
        </w:rPr>
        <w:t>he</w:t>
      </w:r>
      <w:r w:rsidR="006367F5">
        <w:rPr>
          <w:lang w:val="en-US"/>
        </w:rPr>
        <w:t xml:space="preserve"> or she</w:t>
      </w:r>
      <w:r w:rsidR="006367F5" w:rsidRPr="00C737E6">
        <w:rPr>
          <w:lang w:val="en-US"/>
        </w:rPr>
        <w:t xml:space="preserve"> </w:t>
      </w:r>
      <w:r w:rsidR="00F3474B" w:rsidRPr="00900E6D">
        <w:t>falls within section 7 of the Aliens Act</w:t>
      </w:r>
      <w:r w:rsidR="008535D3">
        <w:rPr>
          <w:lang w:val="en-US"/>
        </w:rPr>
        <w:t>. I</w:t>
      </w:r>
      <w:r w:rsidR="00F3474B" w:rsidRPr="00900E6D">
        <w:t>t is thus incumbent upon an asylum</w:t>
      </w:r>
      <w:r w:rsidR="00B66E19">
        <w:rPr>
          <w:lang w:val="en-US"/>
        </w:rPr>
        <w:t xml:space="preserve"> </w:t>
      </w:r>
      <w:r w:rsidR="00F3474B" w:rsidRPr="00900E6D">
        <w:t xml:space="preserve">seeker to substantiate that the conditions for granting asylum are met. </w:t>
      </w:r>
      <w:r w:rsidR="00900E6D" w:rsidRPr="00900E6D">
        <w:t xml:space="preserve">The Board may also hear </w:t>
      </w:r>
      <w:r w:rsidR="006367F5">
        <w:rPr>
          <w:lang w:val="en-US"/>
        </w:rPr>
        <w:t xml:space="preserve">from </w:t>
      </w:r>
      <w:r w:rsidR="00900E6D" w:rsidRPr="00900E6D">
        <w:t xml:space="preserve">witnesses. If </w:t>
      </w:r>
      <w:r w:rsidR="007C2CE7">
        <w:t>an</w:t>
      </w:r>
      <w:r w:rsidR="00900E6D" w:rsidRPr="00900E6D">
        <w:t xml:space="preserve"> asylum</w:t>
      </w:r>
      <w:r w:rsidR="00B66E19">
        <w:rPr>
          <w:lang w:val="en-US"/>
        </w:rPr>
        <w:t xml:space="preserve"> </w:t>
      </w:r>
      <w:r w:rsidR="00900E6D" w:rsidRPr="00900E6D">
        <w:t xml:space="preserve">seeker’s statements </w:t>
      </w:r>
      <w:r w:rsidR="008535D3" w:rsidRPr="00900E6D">
        <w:t xml:space="preserve">throughout the proceedings </w:t>
      </w:r>
      <w:r w:rsidR="00900E6D" w:rsidRPr="00900E6D">
        <w:t xml:space="preserve">appear coherent and consistent, the Board will normally </w:t>
      </w:r>
      <w:r w:rsidR="0021520A">
        <w:t>consider</w:t>
      </w:r>
      <w:r w:rsidR="00900E6D" w:rsidRPr="00900E6D">
        <w:t xml:space="preserve"> them as fact</w:t>
      </w:r>
      <w:r w:rsidR="008535D3">
        <w:rPr>
          <w:lang w:val="en-US"/>
        </w:rPr>
        <w:t>;</w:t>
      </w:r>
      <w:r w:rsidR="00900E6D" w:rsidRPr="00900E6D">
        <w:t xml:space="preserve"> </w:t>
      </w:r>
      <w:r w:rsidR="008535D3">
        <w:rPr>
          <w:lang w:val="en-US"/>
        </w:rPr>
        <w:t xml:space="preserve">if the </w:t>
      </w:r>
      <w:r w:rsidR="00900E6D" w:rsidRPr="00900E6D">
        <w:t xml:space="preserve">statements are </w:t>
      </w:r>
      <w:r w:rsidR="007C2CE7">
        <w:t>inconsistent</w:t>
      </w:r>
      <w:r w:rsidR="00900E6D" w:rsidRPr="00900E6D">
        <w:t xml:space="preserve">, the Board will seek </w:t>
      </w:r>
      <w:r w:rsidR="007C2CE7" w:rsidRPr="000B005C">
        <w:t>clarifications</w:t>
      </w:r>
      <w:r w:rsidR="00900E6D" w:rsidRPr="000B005C">
        <w:t xml:space="preserve">. However, inconsistent statements about crucial parts of </w:t>
      </w:r>
      <w:r w:rsidR="007C2CE7" w:rsidRPr="000B005C">
        <w:t>an asylum</w:t>
      </w:r>
      <w:r w:rsidR="00B66E19" w:rsidRPr="000B005C">
        <w:rPr>
          <w:lang w:val="en-US"/>
        </w:rPr>
        <w:t xml:space="preserve"> </w:t>
      </w:r>
      <w:r w:rsidR="007C2CE7" w:rsidRPr="000B005C">
        <w:t xml:space="preserve">seeker’s </w:t>
      </w:r>
      <w:r w:rsidR="00900E6D" w:rsidRPr="000B005C">
        <w:t xml:space="preserve">grounds for seeking asylum may weaken </w:t>
      </w:r>
      <w:r w:rsidR="007C2CE7" w:rsidRPr="000B005C">
        <w:t>his</w:t>
      </w:r>
      <w:r w:rsidR="00B66E19" w:rsidRPr="000B005C">
        <w:rPr>
          <w:lang w:val="en-US"/>
        </w:rPr>
        <w:t xml:space="preserve"> or </w:t>
      </w:r>
      <w:r w:rsidR="007C2CE7" w:rsidRPr="000B005C">
        <w:t>her</w:t>
      </w:r>
      <w:r w:rsidR="00900E6D" w:rsidRPr="000B005C">
        <w:t xml:space="preserve"> credibility. </w:t>
      </w:r>
      <w:r w:rsidR="007C2CE7" w:rsidRPr="000B005C">
        <w:t>In line with</w:t>
      </w:r>
      <w:r w:rsidR="00900E6D" w:rsidRPr="000B005C">
        <w:t xml:space="preserve"> the </w:t>
      </w:r>
      <w:r w:rsidR="00900E6D" w:rsidRPr="00C737E6">
        <w:t>UNHCR Handbook on Procedures and Criteria for Determining Refugee Status</w:t>
      </w:r>
      <w:r w:rsidR="00900E6D" w:rsidRPr="000B005C">
        <w:t xml:space="preserve">, the Refugee Appeals Board will generally be less demanding when it comes to the burden of proof in cases </w:t>
      </w:r>
      <w:r w:rsidR="006367F5" w:rsidRPr="000B005C">
        <w:rPr>
          <w:lang w:val="en-US"/>
        </w:rPr>
        <w:t>involving</w:t>
      </w:r>
      <w:r w:rsidR="00900E6D" w:rsidRPr="000B005C">
        <w:t xml:space="preserve"> minor asylum</w:t>
      </w:r>
      <w:r w:rsidR="006367F5" w:rsidRPr="000B005C">
        <w:rPr>
          <w:lang w:val="en-US"/>
        </w:rPr>
        <w:t xml:space="preserve"> </w:t>
      </w:r>
      <w:r w:rsidR="00900E6D" w:rsidRPr="000B005C">
        <w:t>seekers or asylum</w:t>
      </w:r>
      <w:r w:rsidR="006367F5" w:rsidRPr="000B005C">
        <w:rPr>
          <w:lang w:val="en-US"/>
        </w:rPr>
        <w:t xml:space="preserve"> </w:t>
      </w:r>
      <w:r w:rsidR="00900E6D" w:rsidRPr="000B005C">
        <w:t xml:space="preserve">seekers with a mental disorder or impairment. </w:t>
      </w:r>
      <w:r w:rsidR="007C2CE7" w:rsidRPr="000B005C">
        <w:t>In addition</w:t>
      </w:r>
      <w:r w:rsidR="00900E6D" w:rsidRPr="000B005C">
        <w:t xml:space="preserve">, </w:t>
      </w:r>
      <w:r w:rsidR="007C2CE7" w:rsidRPr="000B005C">
        <w:t>if there are doubts as</w:t>
      </w:r>
      <w:r w:rsidR="007C2CE7">
        <w:t xml:space="preserve"> to the credibility of an asylum</w:t>
      </w:r>
      <w:r w:rsidR="006367F5">
        <w:rPr>
          <w:lang w:val="en-US"/>
        </w:rPr>
        <w:t xml:space="preserve"> </w:t>
      </w:r>
      <w:r w:rsidR="007C2CE7">
        <w:t xml:space="preserve">seeker’s story, </w:t>
      </w:r>
      <w:r w:rsidR="00900E6D" w:rsidRPr="00900E6D">
        <w:t xml:space="preserve">the Board will always assess to what extent the principle of the benefit of the doubt </w:t>
      </w:r>
      <w:r w:rsidR="007C2CE7">
        <w:t>could</w:t>
      </w:r>
      <w:r w:rsidR="007C2CE7" w:rsidRPr="00900E6D">
        <w:t xml:space="preserve"> </w:t>
      </w:r>
      <w:r w:rsidR="00900E6D" w:rsidRPr="00900E6D">
        <w:t>be applied.</w:t>
      </w:r>
    </w:p>
    <w:p w:rsidR="007B2EAA" w:rsidRPr="00046E00" w:rsidRDefault="00072B33" w:rsidP="006D4286">
      <w:pPr>
        <w:pStyle w:val="SingleTxtG"/>
      </w:pPr>
      <w:r w:rsidRPr="00430EF2">
        <w:t xml:space="preserve">4.5 </w:t>
      </w:r>
      <w:r w:rsidR="00C0449D" w:rsidRPr="00253A06">
        <w:rPr>
          <w:lang w:val="en-GB"/>
        </w:rPr>
        <w:tab/>
      </w:r>
      <w:r w:rsidR="00755D70" w:rsidRPr="00430EF2">
        <w:t xml:space="preserve">The State party further </w:t>
      </w:r>
      <w:r w:rsidR="00755D70" w:rsidRPr="00CA52AC">
        <w:t>notes that</w:t>
      </w:r>
      <w:r w:rsidR="00F6254E" w:rsidRPr="00CA52AC">
        <w:t xml:space="preserve"> </w:t>
      </w:r>
      <w:r w:rsidR="00755D70" w:rsidRPr="00CA52AC">
        <w:t xml:space="preserve">article 1 </w:t>
      </w:r>
      <w:r w:rsidR="008535D3">
        <w:rPr>
          <w:lang w:val="en-US"/>
        </w:rPr>
        <w:t>(</w:t>
      </w:r>
      <w:r w:rsidR="00755D70" w:rsidRPr="00CA52AC">
        <w:t>A</w:t>
      </w:r>
      <w:r w:rsidR="008535D3">
        <w:rPr>
          <w:lang w:val="en-US"/>
        </w:rPr>
        <w:t>)</w:t>
      </w:r>
      <w:r w:rsidR="00755D70" w:rsidRPr="00CA52AC">
        <w:t xml:space="preserve"> of the </w:t>
      </w:r>
      <w:r w:rsidR="00CA52AC" w:rsidRPr="006B7173">
        <w:rPr>
          <w:lang w:val="en-US"/>
        </w:rPr>
        <w:t>1951</w:t>
      </w:r>
      <w:r w:rsidR="00CA52AC" w:rsidRPr="00CA52AC">
        <w:t xml:space="preserve"> </w:t>
      </w:r>
      <w:r w:rsidR="00755D70" w:rsidRPr="00CA52AC">
        <w:t>Convention does not list</w:t>
      </w:r>
      <w:r w:rsidR="00755D70" w:rsidRPr="00430EF2">
        <w:t xml:space="preserve"> torture as one of the grounds warranting asylum</w:t>
      </w:r>
      <w:r w:rsidR="00916CA5">
        <w:t>; however</w:t>
      </w:r>
      <w:r w:rsidR="00700F0F">
        <w:rPr>
          <w:lang w:val="en-US"/>
        </w:rPr>
        <w:t>,</w:t>
      </w:r>
      <w:r w:rsidR="00755D70" w:rsidRPr="00430EF2">
        <w:t xml:space="preserve"> </w:t>
      </w:r>
      <w:r w:rsidR="00916CA5">
        <w:t>t</w:t>
      </w:r>
      <w:r w:rsidR="00755D70" w:rsidRPr="00430EF2">
        <w:t>he fact that an asylum</w:t>
      </w:r>
      <w:r w:rsidR="00700F0F">
        <w:rPr>
          <w:lang w:val="en-US"/>
        </w:rPr>
        <w:t xml:space="preserve"> </w:t>
      </w:r>
      <w:r w:rsidR="00755D70" w:rsidRPr="00430EF2">
        <w:t xml:space="preserve">seeker has been subjected to torture or similar </w:t>
      </w:r>
      <w:r w:rsidR="0092568E">
        <w:t>ill-</w:t>
      </w:r>
      <w:r w:rsidR="00755D70" w:rsidRPr="00430EF2">
        <w:t xml:space="preserve">treatment in his country of origin may be essential </w:t>
      </w:r>
      <w:r w:rsidR="00916CA5">
        <w:t>in</w:t>
      </w:r>
      <w:r w:rsidR="00755D70" w:rsidRPr="00430EF2">
        <w:t xml:space="preserve"> the assessment of whether the conditions for granting </w:t>
      </w:r>
      <w:r w:rsidR="008535D3">
        <w:rPr>
          <w:lang w:val="en-US"/>
        </w:rPr>
        <w:t>him or her</w:t>
      </w:r>
      <w:r w:rsidR="008535D3" w:rsidRPr="00C737E6">
        <w:rPr>
          <w:lang w:val="en-US"/>
        </w:rPr>
        <w:t xml:space="preserve"> </w:t>
      </w:r>
      <w:r w:rsidR="00755D70" w:rsidRPr="00430EF2">
        <w:t>residence under section 7</w:t>
      </w:r>
      <w:r w:rsidR="00700F0F">
        <w:rPr>
          <w:lang w:val="en-US"/>
        </w:rPr>
        <w:t> </w:t>
      </w:r>
      <w:r w:rsidR="00755D70" w:rsidRPr="00430EF2">
        <w:t xml:space="preserve">(1) of the Aliens Act are met. </w:t>
      </w:r>
      <w:r w:rsidR="00916CA5">
        <w:t>In this regard, the State party notes that</w:t>
      </w:r>
      <w:r w:rsidR="00700F0F">
        <w:rPr>
          <w:lang w:val="en-US"/>
        </w:rPr>
        <w:t>,</w:t>
      </w:r>
      <w:r w:rsidR="00755D70" w:rsidRPr="00430EF2">
        <w:t xml:space="preserve"> according to the case</w:t>
      </w:r>
      <w:r w:rsidR="00700F0F">
        <w:rPr>
          <w:lang w:val="en-US"/>
        </w:rPr>
        <w:t xml:space="preserve"> </w:t>
      </w:r>
      <w:r w:rsidR="00755D70" w:rsidRPr="00430EF2">
        <w:t xml:space="preserve">law of the Refugee Appeals Board, the conditions for granting asylum or protection status cannot be considered </w:t>
      </w:r>
      <w:r w:rsidR="0092568E">
        <w:t>to be satisfied</w:t>
      </w:r>
      <w:r w:rsidR="00755D70" w:rsidRPr="00430EF2">
        <w:t xml:space="preserve"> in all cases </w:t>
      </w:r>
      <w:r w:rsidR="00700F0F">
        <w:rPr>
          <w:lang w:val="en-US"/>
        </w:rPr>
        <w:t>in which</w:t>
      </w:r>
      <w:r w:rsidR="00700F0F" w:rsidRPr="00C737E6">
        <w:rPr>
          <w:lang w:val="en-US"/>
        </w:rPr>
        <w:t xml:space="preserve"> </w:t>
      </w:r>
      <w:r w:rsidR="00755D70" w:rsidRPr="00430EF2">
        <w:t>an asylum</w:t>
      </w:r>
      <w:r w:rsidR="00700F0F">
        <w:rPr>
          <w:lang w:val="en-US"/>
        </w:rPr>
        <w:t xml:space="preserve"> </w:t>
      </w:r>
      <w:r w:rsidR="00755D70" w:rsidRPr="00430EF2">
        <w:t>seeker has been subjected to torture in h</w:t>
      </w:r>
      <w:r w:rsidR="0092568E">
        <w:t xml:space="preserve">is country of origin. This approach is also supported by the </w:t>
      </w:r>
      <w:r w:rsidR="00755D70" w:rsidRPr="00430EF2">
        <w:t>practice of the Committee.</w:t>
      </w:r>
      <w:r w:rsidR="00E37573">
        <w:rPr>
          <w:rStyle w:val="FootnoteReference"/>
        </w:rPr>
        <w:footnoteReference w:id="4"/>
      </w:r>
      <w:r w:rsidR="00D10B2E" w:rsidRPr="00430EF2">
        <w:t xml:space="preserve"> Whe</w:t>
      </w:r>
      <w:r w:rsidR="00700F0F">
        <w:rPr>
          <w:lang w:val="en-US"/>
        </w:rPr>
        <w:t>n</w:t>
      </w:r>
      <w:r w:rsidR="00D10B2E" w:rsidRPr="00430EF2">
        <w:t xml:space="preserve"> the Refugee Appeals Board considers it a</w:t>
      </w:r>
      <w:r w:rsidR="008535D3">
        <w:rPr>
          <w:lang w:val="en-US"/>
        </w:rPr>
        <w:t>s</w:t>
      </w:r>
      <w:r w:rsidR="00D10B2E" w:rsidRPr="00430EF2">
        <w:t xml:space="preserve"> fact that an asylum</w:t>
      </w:r>
      <w:r w:rsidR="00700F0F">
        <w:rPr>
          <w:lang w:val="en-US"/>
        </w:rPr>
        <w:t xml:space="preserve"> </w:t>
      </w:r>
      <w:r w:rsidR="00D10B2E" w:rsidRPr="00430EF2">
        <w:t xml:space="preserve">seeker has been subjected to torture and risks being subjected to torture in connection with persecution for reasons falling within the </w:t>
      </w:r>
      <w:r w:rsidR="00CA52AC">
        <w:rPr>
          <w:lang w:val="en-US"/>
        </w:rPr>
        <w:t>1951</w:t>
      </w:r>
      <w:r w:rsidR="00CA52AC" w:rsidRPr="00430EF2">
        <w:t xml:space="preserve"> </w:t>
      </w:r>
      <w:r w:rsidR="00D10B2E" w:rsidRPr="00430EF2">
        <w:t xml:space="preserve">Convention in </w:t>
      </w:r>
      <w:r w:rsidR="00700F0F">
        <w:rPr>
          <w:lang w:val="en-US"/>
        </w:rPr>
        <w:t>the event</w:t>
      </w:r>
      <w:r w:rsidR="00700F0F" w:rsidRPr="00C737E6">
        <w:rPr>
          <w:lang w:val="en-US"/>
        </w:rPr>
        <w:t xml:space="preserve"> </w:t>
      </w:r>
      <w:r w:rsidR="00D10B2E" w:rsidRPr="00430EF2">
        <w:t>of return to his country of origin, the Board will grant residence under section</w:t>
      </w:r>
      <w:r w:rsidR="00700F0F">
        <w:rPr>
          <w:lang w:val="en-US"/>
        </w:rPr>
        <w:t> </w:t>
      </w:r>
      <w:r w:rsidR="00D10B2E" w:rsidRPr="00430EF2">
        <w:t>7</w:t>
      </w:r>
      <w:r w:rsidR="00700F0F">
        <w:rPr>
          <w:lang w:val="en-US"/>
        </w:rPr>
        <w:t> </w:t>
      </w:r>
      <w:r w:rsidR="00D10B2E" w:rsidRPr="00430EF2">
        <w:t>(1) of the Aliens Act (Convention status).</w:t>
      </w:r>
      <w:r w:rsidR="00D10B2E" w:rsidRPr="00046E00">
        <w:t xml:space="preserve"> </w:t>
      </w:r>
      <w:r w:rsidR="00F135B2">
        <w:t>In addition</w:t>
      </w:r>
      <w:r w:rsidR="00D10B2E" w:rsidRPr="00046E00">
        <w:t>, the Board will find that the conditions for granting residence under section 7</w:t>
      </w:r>
      <w:r w:rsidR="00700F0F">
        <w:rPr>
          <w:lang w:val="en-US"/>
        </w:rPr>
        <w:t> </w:t>
      </w:r>
      <w:r w:rsidR="00D10B2E" w:rsidRPr="00046E00">
        <w:t>(2) of the Aliens Act (protection status) are met if specific and individual factors render it probable that the asylum</w:t>
      </w:r>
      <w:r w:rsidR="00700F0F">
        <w:rPr>
          <w:lang w:val="en-US"/>
        </w:rPr>
        <w:t xml:space="preserve"> </w:t>
      </w:r>
      <w:r w:rsidR="00D10B2E" w:rsidRPr="00046E00">
        <w:t xml:space="preserve">seeker would be at a real risk of being subjected to torture in </w:t>
      </w:r>
      <w:r w:rsidR="00700F0F">
        <w:rPr>
          <w:lang w:val="en-US"/>
        </w:rPr>
        <w:t>the event</w:t>
      </w:r>
      <w:r w:rsidR="00D10B2E" w:rsidRPr="00046E00">
        <w:t xml:space="preserve"> of return to his </w:t>
      </w:r>
      <w:r w:rsidR="00700F0F">
        <w:rPr>
          <w:lang w:val="en-US"/>
        </w:rPr>
        <w:t>or her</w:t>
      </w:r>
      <w:r w:rsidR="00700F0F" w:rsidRPr="00C737E6">
        <w:rPr>
          <w:lang w:val="en-US"/>
        </w:rPr>
        <w:t xml:space="preserve"> </w:t>
      </w:r>
      <w:r w:rsidR="00D10B2E" w:rsidRPr="00046E00">
        <w:t>country of origin.</w:t>
      </w:r>
      <w:r w:rsidR="00CC6A43" w:rsidRPr="00046E00">
        <w:t xml:space="preserve"> </w:t>
      </w:r>
    </w:p>
    <w:p w:rsidR="00072B33" w:rsidRPr="00046E00" w:rsidRDefault="007B2EAA">
      <w:pPr>
        <w:pStyle w:val="SingleTxtG"/>
      </w:pPr>
      <w:r w:rsidRPr="00046E00">
        <w:t>4.6</w:t>
      </w:r>
      <w:r w:rsidR="00BB2D21">
        <w:t xml:space="preserve"> </w:t>
      </w:r>
      <w:r w:rsidR="00C0449D" w:rsidRPr="00253A06">
        <w:rPr>
          <w:lang w:val="en-GB"/>
        </w:rPr>
        <w:tab/>
      </w:r>
      <w:r w:rsidR="00F135B2">
        <w:t>W</w:t>
      </w:r>
      <w:r w:rsidR="00CC6A43" w:rsidRPr="00046E00">
        <w:t>he</w:t>
      </w:r>
      <w:r w:rsidR="00700F0F">
        <w:rPr>
          <w:lang w:val="en-US"/>
        </w:rPr>
        <w:t>n</w:t>
      </w:r>
      <w:r w:rsidR="00CC6A43" w:rsidRPr="00046E00">
        <w:t xml:space="preserve"> torture is invoked as one of </w:t>
      </w:r>
      <w:r w:rsidR="00CC6A43" w:rsidRPr="00700F0F">
        <w:t xml:space="preserve">the grounds for asylum, the Board may sometimes find it necessary to obtain further details </w:t>
      </w:r>
      <w:r w:rsidR="00F135B2" w:rsidRPr="00700F0F">
        <w:t>in that regard</w:t>
      </w:r>
      <w:r w:rsidR="00CC6A43" w:rsidRPr="00700F0F">
        <w:t xml:space="preserve">. As part of the appeals procedure, the Board may, </w:t>
      </w:r>
      <w:r w:rsidR="006D4286">
        <w:rPr>
          <w:lang w:val="en-US"/>
        </w:rPr>
        <w:t>for example</w:t>
      </w:r>
      <w:r w:rsidR="00CC6A43" w:rsidRPr="00700F0F">
        <w:t xml:space="preserve">, order an examination of </w:t>
      </w:r>
      <w:r w:rsidR="00F135B2" w:rsidRPr="00700F0F">
        <w:t>an</w:t>
      </w:r>
      <w:r w:rsidR="00CC6A43" w:rsidRPr="00700F0F">
        <w:t xml:space="preserve"> asylum</w:t>
      </w:r>
      <w:r w:rsidR="00700F0F">
        <w:rPr>
          <w:lang w:val="en-US"/>
        </w:rPr>
        <w:t xml:space="preserve"> </w:t>
      </w:r>
      <w:r w:rsidR="00CC6A43" w:rsidRPr="00046E00">
        <w:t xml:space="preserve">seeker for signs of torture. The Board normally does not order an examination </w:t>
      </w:r>
      <w:r w:rsidR="00F135B2">
        <w:t>if an</w:t>
      </w:r>
      <w:r w:rsidR="00CC6A43" w:rsidRPr="00046E00">
        <w:t xml:space="preserve"> asylum</w:t>
      </w:r>
      <w:r w:rsidR="00700F0F">
        <w:rPr>
          <w:lang w:val="en-US"/>
        </w:rPr>
        <w:t xml:space="preserve"> </w:t>
      </w:r>
      <w:r w:rsidR="00CC6A43" w:rsidRPr="00046E00">
        <w:t>seeker</w:t>
      </w:r>
      <w:r w:rsidR="00F135B2">
        <w:t>’s st</w:t>
      </w:r>
      <w:r w:rsidR="00F135B2" w:rsidRPr="006D4286">
        <w:t>ory</w:t>
      </w:r>
      <w:r w:rsidR="00CC6A43" w:rsidRPr="006D4286">
        <w:t xml:space="preserve"> lacked credibility throughout the proceedings and the Board</w:t>
      </w:r>
      <w:r w:rsidR="00F135B2" w:rsidRPr="006D4286">
        <w:t xml:space="preserve"> had to reject </w:t>
      </w:r>
      <w:r w:rsidR="006D4286" w:rsidRPr="006D4286">
        <w:rPr>
          <w:lang w:val="en-US"/>
        </w:rPr>
        <w:t xml:space="preserve">a </w:t>
      </w:r>
      <w:r w:rsidR="00F135B2" w:rsidRPr="006D4286">
        <w:t xml:space="preserve">claim of torture </w:t>
      </w:r>
      <w:r w:rsidR="00CC6A43" w:rsidRPr="006D4286">
        <w:t>in its entirety</w:t>
      </w:r>
      <w:r w:rsidR="00430EF2" w:rsidRPr="006D4286">
        <w:t>.</w:t>
      </w:r>
      <w:r w:rsidR="006B1700" w:rsidRPr="006D4286">
        <w:t xml:space="preserve"> In this regard, the State party refers to the </w:t>
      </w:r>
      <w:r w:rsidR="00F135B2" w:rsidRPr="006D4286">
        <w:t xml:space="preserve">Committee’s </w:t>
      </w:r>
      <w:r w:rsidR="005D24F0">
        <w:rPr>
          <w:lang w:val="en-US"/>
        </w:rPr>
        <w:t>decision</w:t>
      </w:r>
      <w:r w:rsidR="000B005C" w:rsidRPr="006B7173">
        <w:rPr>
          <w:lang w:val="en-US"/>
        </w:rPr>
        <w:t xml:space="preserve"> in</w:t>
      </w:r>
      <w:r w:rsidR="000B005C" w:rsidRPr="00C737E6">
        <w:rPr>
          <w:lang w:val="en-US"/>
        </w:rPr>
        <w:t xml:space="preserve"> </w:t>
      </w:r>
      <w:r w:rsidR="006B1700" w:rsidRPr="006D4286">
        <w:rPr>
          <w:i/>
          <w:iCs/>
        </w:rPr>
        <w:t>Milo Otman v. Denmark</w:t>
      </w:r>
      <w:r w:rsidR="006B1700" w:rsidRPr="00C737E6">
        <w:t>,</w:t>
      </w:r>
      <w:r w:rsidR="00E37573" w:rsidRPr="00C737E6">
        <w:rPr>
          <w:rStyle w:val="FootnoteReference"/>
        </w:rPr>
        <w:footnoteReference w:id="5"/>
      </w:r>
      <w:r w:rsidR="006B1700" w:rsidRPr="006D4286">
        <w:rPr>
          <w:i/>
          <w:iCs/>
        </w:rPr>
        <w:t xml:space="preserve"> </w:t>
      </w:r>
      <w:r w:rsidR="00700F0F" w:rsidRPr="006D4286">
        <w:rPr>
          <w:iCs/>
          <w:lang w:val="en-US"/>
        </w:rPr>
        <w:t>in which</w:t>
      </w:r>
      <w:r w:rsidR="00700F0F" w:rsidRPr="00C737E6">
        <w:rPr>
          <w:lang w:val="en-US"/>
        </w:rPr>
        <w:t xml:space="preserve"> </w:t>
      </w:r>
      <w:r w:rsidR="006B1700" w:rsidRPr="006D4286">
        <w:t>the complainant’s statements on torture and the m</w:t>
      </w:r>
      <w:r w:rsidR="006B1700" w:rsidRPr="00046E00">
        <w:t xml:space="preserve">edical information provided were set aside due to the complainant’s general lack of credibility. The State party also refers to </w:t>
      </w:r>
      <w:r w:rsidR="006B1700" w:rsidRPr="00046E00">
        <w:rPr>
          <w:i/>
          <w:iCs/>
        </w:rPr>
        <w:t>Nicmeddin Alp v. Denmark</w:t>
      </w:r>
      <w:r w:rsidR="00616084" w:rsidRPr="00046E00">
        <w:rPr>
          <w:iCs/>
        </w:rPr>
        <w:t>,</w:t>
      </w:r>
      <w:r w:rsidR="00E37573">
        <w:rPr>
          <w:rStyle w:val="FootnoteReference"/>
          <w:iCs/>
        </w:rPr>
        <w:footnoteReference w:id="6"/>
      </w:r>
      <w:r w:rsidR="00616084" w:rsidRPr="00046E00">
        <w:rPr>
          <w:iCs/>
        </w:rPr>
        <w:t xml:space="preserve"> </w:t>
      </w:r>
      <w:r w:rsidR="00700F0F">
        <w:rPr>
          <w:iCs/>
          <w:lang w:val="en-US"/>
        </w:rPr>
        <w:t>in which</w:t>
      </w:r>
      <w:r w:rsidR="00700F0F" w:rsidRPr="00C737E6">
        <w:rPr>
          <w:lang w:val="en-US"/>
        </w:rPr>
        <w:t xml:space="preserve"> </w:t>
      </w:r>
      <w:r w:rsidR="00616084" w:rsidRPr="00046E00">
        <w:t xml:space="preserve">the Committee noted that the State </w:t>
      </w:r>
      <w:r w:rsidR="00BB2D21">
        <w:t>p</w:t>
      </w:r>
      <w:r w:rsidR="00616084" w:rsidRPr="00046E00">
        <w:t xml:space="preserve">arty’s authorities </w:t>
      </w:r>
      <w:r w:rsidR="00700F0F">
        <w:rPr>
          <w:lang w:val="en-US"/>
        </w:rPr>
        <w:t>had</w:t>
      </w:r>
      <w:r w:rsidR="00700F0F" w:rsidRPr="00C737E6">
        <w:rPr>
          <w:lang w:val="en-US"/>
        </w:rPr>
        <w:t xml:space="preserve"> </w:t>
      </w:r>
      <w:r w:rsidR="00616084" w:rsidRPr="00046E00">
        <w:t>thoroughly evaluated all the evidence presented by the complainant</w:t>
      </w:r>
      <w:r w:rsidR="00CB691F">
        <w:t xml:space="preserve"> even though the authorities</w:t>
      </w:r>
      <w:r w:rsidR="00616084" w:rsidRPr="00046E00">
        <w:t xml:space="preserve"> did not consider it necessary to order a medical examination</w:t>
      </w:r>
      <w:r w:rsidR="00700F0F">
        <w:rPr>
          <w:lang w:val="en-US"/>
        </w:rPr>
        <w:t>,</w:t>
      </w:r>
      <w:r w:rsidR="00CB691F">
        <w:t xml:space="preserve"> </w:t>
      </w:r>
      <w:r w:rsidR="007D4392">
        <w:t xml:space="preserve">as </w:t>
      </w:r>
      <w:r w:rsidR="007D4392">
        <w:lastRenderedPageBreak/>
        <w:t>the complaina</w:t>
      </w:r>
      <w:r w:rsidR="00BB2D21">
        <w:t>n</w:t>
      </w:r>
      <w:r w:rsidR="007D4392">
        <w:t>t</w:t>
      </w:r>
      <w:r w:rsidR="00CB691F">
        <w:t xml:space="preserve"> lacked credibility</w:t>
      </w:r>
      <w:r w:rsidR="00616084" w:rsidRPr="00046E00">
        <w:t>.</w:t>
      </w:r>
      <w:r w:rsidR="00467811" w:rsidRPr="00046E00">
        <w:t xml:space="preserve"> </w:t>
      </w:r>
      <w:r w:rsidR="00664A01">
        <w:t>In this connection, t</w:t>
      </w:r>
      <w:r w:rsidR="00467811" w:rsidRPr="00046E00">
        <w:t xml:space="preserve">he State party also refers to the </w:t>
      </w:r>
      <w:r w:rsidR="002A7B5A">
        <w:t xml:space="preserve">pertinent </w:t>
      </w:r>
      <w:r w:rsidR="00467811" w:rsidRPr="00046E00">
        <w:t>jurisprudence of the European Court of Human Rights.</w:t>
      </w:r>
    </w:p>
    <w:p w:rsidR="00467811" w:rsidRDefault="00467811" w:rsidP="00B174AA">
      <w:pPr>
        <w:pStyle w:val="SingleTxtG"/>
      </w:pPr>
      <w:r w:rsidRPr="00046E00">
        <w:t xml:space="preserve">4.7 </w:t>
      </w:r>
      <w:r w:rsidR="00C0449D" w:rsidRPr="00253A06">
        <w:rPr>
          <w:lang w:val="en-GB"/>
        </w:rPr>
        <w:tab/>
      </w:r>
      <w:r w:rsidRPr="00046E00">
        <w:t xml:space="preserve">The State party further notes the case of </w:t>
      </w:r>
      <w:r w:rsidRPr="00046E00">
        <w:rPr>
          <w:i/>
          <w:iCs/>
        </w:rPr>
        <w:t>X, Y and Z v. Sweden</w:t>
      </w:r>
      <w:r w:rsidRPr="00C737E6">
        <w:t>,</w:t>
      </w:r>
      <w:r w:rsidR="00E37573" w:rsidRPr="00C737E6">
        <w:rPr>
          <w:rStyle w:val="FootnoteReference"/>
        </w:rPr>
        <w:footnoteReference w:id="7"/>
      </w:r>
      <w:r w:rsidRPr="00C737E6">
        <w:t xml:space="preserve"> </w:t>
      </w:r>
      <w:r w:rsidR="008C4A2D">
        <w:rPr>
          <w:lang w:val="en-US"/>
        </w:rPr>
        <w:t>in which</w:t>
      </w:r>
      <w:r w:rsidR="008C4A2D" w:rsidRPr="00C737E6">
        <w:rPr>
          <w:lang w:val="en-US"/>
        </w:rPr>
        <w:t xml:space="preserve"> </w:t>
      </w:r>
      <w:r w:rsidRPr="00046E00">
        <w:rPr>
          <w:iCs/>
        </w:rPr>
        <w:t xml:space="preserve">the Committee </w:t>
      </w:r>
      <w:r w:rsidR="00524E94">
        <w:rPr>
          <w:iCs/>
        </w:rPr>
        <w:t xml:space="preserve">observed that </w:t>
      </w:r>
      <w:r w:rsidRPr="00046E00">
        <w:t>“</w:t>
      </w:r>
      <w:r w:rsidRPr="00467811">
        <w:t xml:space="preserve">past torture is one of the elements to be taken into account by the Committee when examining a claim concerning article 3 of the Convention, but that the aim of the Committee’s examination of the communication is to find whether the authors would risk being subjected to torture now, if returned </w:t>
      </w:r>
      <w:r w:rsidR="00A800BF">
        <w:rPr>
          <w:lang w:val="en-US"/>
        </w:rPr>
        <w:t>[</w:t>
      </w:r>
      <w:r w:rsidRPr="006D4286">
        <w:t xml:space="preserve">to the </w:t>
      </w:r>
      <w:r w:rsidR="006D4286" w:rsidRPr="006D4286">
        <w:rPr>
          <w:lang w:val="en-US"/>
        </w:rPr>
        <w:t>country</w:t>
      </w:r>
      <w:r w:rsidR="006D4286" w:rsidRPr="00B174AA">
        <w:rPr>
          <w:lang w:val="en-US"/>
        </w:rPr>
        <w:t xml:space="preserve"> of </w:t>
      </w:r>
      <w:r w:rsidR="006D4286">
        <w:rPr>
          <w:lang w:val="en-US"/>
        </w:rPr>
        <w:t>origin]</w:t>
      </w:r>
      <w:r w:rsidRPr="00467811">
        <w:t xml:space="preserve">”. </w:t>
      </w:r>
      <w:r w:rsidRPr="00467811">
        <w:rPr>
          <w:iCs/>
        </w:rPr>
        <w:t>In this regard, it also notes the case</w:t>
      </w:r>
      <w:r w:rsidR="006D4286" w:rsidRPr="00C737E6">
        <w:rPr>
          <w:lang w:val="en-US"/>
        </w:rPr>
        <w:t xml:space="preserve"> </w:t>
      </w:r>
      <w:r w:rsidR="006D4286">
        <w:rPr>
          <w:iCs/>
          <w:lang w:val="en-US"/>
        </w:rPr>
        <w:t xml:space="preserve">of </w:t>
      </w:r>
      <w:r w:rsidRPr="00467811">
        <w:rPr>
          <w:i/>
          <w:iCs/>
        </w:rPr>
        <w:t>M.C.M.V.F. v. Sweden</w:t>
      </w:r>
      <w:r w:rsidRPr="00467811">
        <w:rPr>
          <w:iCs/>
        </w:rPr>
        <w:t>,</w:t>
      </w:r>
      <w:r w:rsidR="00E37573">
        <w:rPr>
          <w:rStyle w:val="FootnoteReference"/>
          <w:iCs/>
        </w:rPr>
        <w:footnoteReference w:id="8"/>
      </w:r>
      <w:r w:rsidRPr="00467811">
        <w:rPr>
          <w:iCs/>
        </w:rPr>
        <w:t xml:space="preserve"> </w:t>
      </w:r>
      <w:r w:rsidR="008C4A2D">
        <w:rPr>
          <w:iCs/>
          <w:lang w:val="en-US"/>
        </w:rPr>
        <w:t>in which</w:t>
      </w:r>
      <w:r w:rsidR="008C4A2D" w:rsidRPr="00C737E6">
        <w:rPr>
          <w:lang w:val="en-US"/>
        </w:rPr>
        <w:t xml:space="preserve"> </w:t>
      </w:r>
      <w:r w:rsidRPr="00467811">
        <w:rPr>
          <w:iCs/>
        </w:rPr>
        <w:t xml:space="preserve">the Committee </w:t>
      </w:r>
      <w:r w:rsidR="00664A01">
        <w:rPr>
          <w:iCs/>
        </w:rPr>
        <w:t>noted</w:t>
      </w:r>
      <w:r w:rsidRPr="00467811">
        <w:rPr>
          <w:iCs/>
        </w:rPr>
        <w:t xml:space="preserve"> that </w:t>
      </w:r>
      <w:r w:rsidRPr="00467811">
        <w:t xml:space="preserve">the crucial point </w:t>
      </w:r>
      <w:r w:rsidR="00EF28F2">
        <w:rPr>
          <w:lang w:val="en-US"/>
        </w:rPr>
        <w:t>was</w:t>
      </w:r>
      <w:r w:rsidR="00EF28F2" w:rsidRPr="00467811">
        <w:t xml:space="preserve"> </w:t>
      </w:r>
      <w:r w:rsidRPr="00467811">
        <w:t>the situation in the country of origin at the time of the potential return of the asylum</w:t>
      </w:r>
      <w:r w:rsidR="00700F0F">
        <w:rPr>
          <w:lang w:val="en-US"/>
        </w:rPr>
        <w:t xml:space="preserve"> </w:t>
      </w:r>
      <w:r w:rsidRPr="00467811">
        <w:t>seeker to th</w:t>
      </w:r>
      <w:r w:rsidR="006D4286">
        <w:rPr>
          <w:lang w:val="en-US"/>
        </w:rPr>
        <w:t>at</w:t>
      </w:r>
      <w:r w:rsidRPr="00467811">
        <w:t xml:space="preserve"> country.</w:t>
      </w:r>
    </w:p>
    <w:p w:rsidR="00BF5BA0" w:rsidRDefault="00BF5BA0" w:rsidP="006D4286">
      <w:pPr>
        <w:pStyle w:val="SingleTxtG"/>
      </w:pPr>
      <w:r w:rsidRPr="00FD6D03">
        <w:t xml:space="preserve">4.8 </w:t>
      </w:r>
      <w:r w:rsidR="002818C3" w:rsidRPr="00253A06">
        <w:rPr>
          <w:lang w:val="en-GB"/>
        </w:rPr>
        <w:tab/>
      </w:r>
      <w:r w:rsidR="00FE08DB">
        <w:t>The State party further recalls the facts of the case</w:t>
      </w:r>
      <w:r w:rsidR="008607FB">
        <w:t xml:space="preserve"> and adds </w:t>
      </w:r>
      <w:r w:rsidR="00C800E4" w:rsidRPr="00FD6D03">
        <w:t xml:space="preserve">that at the national level the complainant claimed that his sons </w:t>
      </w:r>
      <w:r w:rsidR="00826A96">
        <w:rPr>
          <w:lang w:val="en-US"/>
        </w:rPr>
        <w:t>had been</w:t>
      </w:r>
      <w:r w:rsidR="00826A96" w:rsidRPr="00C737E6">
        <w:rPr>
          <w:lang w:val="en-US"/>
        </w:rPr>
        <w:t xml:space="preserve"> </w:t>
      </w:r>
      <w:r w:rsidR="00C800E4" w:rsidRPr="00FD6D03">
        <w:t xml:space="preserve">forced to undertake </w:t>
      </w:r>
      <w:r w:rsidR="00FE08DB">
        <w:t>a</w:t>
      </w:r>
      <w:r w:rsidR="00C800E4" w:rsidRPr="00FD6D03">
        <w:t xml:space="preserve"> 15-day training by </w:t>
      </w:r>
      <w:r w:rsidR="00350D40">
        <w:t>LTTE</w:t>
      </w:r>
      <w:r w:rsidR="00C800E4" w:rsidRPr="00FD6D03">
        <w:t xml:space="preserve"> in 2006</w:t>
      </w:r>
      <w:r w:rsidR="00826A96">
        <w:rPr>
          <w:lang w:val="en-US"/>
        </w:rPr>
        <w:t>,</w:t>
      </w:r>
      <w:r w:rsidR="00C800E4" w:rsidRPr="00FD6D03">
        <w:t xml:space="preserve"> not in 2004 as stated by him before the Committee. It also notes that</w:t>
      </w:r>
      <w:r w:rsidR="008C4A2D">
        <w:rPr>
          <w:lang w:val="en-US"/>
        </w:rPr>
        <w:t>,</w:t>
      </w:r>
      <w:r w:rsidR="00C800E4" w:rsidRPr="00FD6D03">
        <w:t xml:space="preserve"> contrary to what the complainant claims, the Human Rights Commission in Sri Lanka did not provide any information </w:t>
      </w:r>
      <w:r w:rsidR="00C800E4" w:rsidRPr="00350D40">
        <w:t xml:space="preserve">whatsoever. The State party further maintains that </w:t>
      </w:r>
      <w:r w:rsidR="00FD6D03" w:rsidRPr="00350D40">
        <w:t xml:space="preserve">the complainant has failed to establish a </w:t>
      </w:r>
      <w:r w:rsidR="00FD6D03" w:rsidRPr="00C737E6">
        <w:t xml:space="preserve">prima facie </w:t>
      </w:r>
      <w:r w:rsidR="00FD6D03" w:rsidRPr="00350D40">
        <w:t>case for the purpose of admissibility of his complaint under article 3 of the Convention</w:t>
      </w:r>
      <w:r w:rsidR="008C4A2D">
        <w:rPr>
          <w:lang w:val="en-US"/>
        </w:rPr>
        <w:t>,</w:t>
      </w:r>
      <w:r w:rsidR="00FD6D03" w:rsidRPr="00350D40">
        <w:t xml:space="preserve"> as it has not been sufficiently substantiated that there are substantial grounds for believing that he</w:t>
      </w:r>
      <w:r w:rsidR="00FD6D03" w:rsidRPr="00FD6D03">
        <w:t xml:space="preserve"> </w:t>
      </w:r>
      <w:r w:rsidR="00FE08DB">
        <w:t>would be</w:t>
      </w:r>
      <w:r w:rsidR="00FD6D03" w:rsidRPr="00FD6D03">
        <w:t xml:space="preserve"> </w:t>
      </w:r>
      <w:r w:rsidR="00FD6D03" w:rsidRPr="001E0B21">
        <w:t>in danger of being subjected to torture if returned to Sri Lanka. The complaint is therefore manifestly unfounded and should be declared inadmissible.</w:t>
      </w:r>
      <w:r w:rsidR="001E0B21" w:rsidRPr="001E0B21">
        <w:t xml:space="preserve"> Should the Committee find the complaint admissible, the State party submits that the complainant has not sufficiently established that </w:t>
      </w:r>
      <w:r w:rsidR="00FE08DB">
        <w:t xml:space="preserve">his return to Sri Lanka </w:t>
      </w:r>
      <w:r w:rsidR="00826A96">
        <w:rPr>
          <w:lang w:val="en-US"/>
        </w:rPr>
        <w:t>would</w:t>
      </w:r>
      <w:r w:rsidR="00826A96" w:rsidRPr="001E0B21">
        <w:t xml:space="preserve"> </w:t>
      </w:r>
      <w:r w:rsidR="001E0B21" w:rsidRPr="001E0B21">
        <w:t xml:space="preserve">constitute a violation of article 3 of </w:t>
      </w:r>
      <w:r w:rsidR="00FE08DB">
        <w:t>the Convention</w:t>
      </w:r>
      <w:r w:rsidR="001E0B21" w:rsidRPr="001E0B21">
        <w:t>.</w:t>
      </w:r>
    </w:p>
    <w:p w:rsidR="00FD6D03" w:rsidRPr="007A6A26" w:rsidRDefault="00FD6D03" w:rsidP="00B174AA">
      <w:pPr>
        <w:pStyle w:val="SingleTxtG"/>
      </w:pPr>
      <w:r w:rsidRPr="007A6A26">
        <w:t xml:space="preserve">4.9 </w:t>
      </w:r>
      <w:r w:rsidR="002818C3" w:rsidRPr="00253A06">
        <w:rPr>
          <w:lang w:val="en-GB"/>
        </w:rPr>
        <w:tab/>
      </w:r>
      <w:r w:rsidR="008607FB" w:rsidRPr="007A6A26">
        <w:t>The State party observes that no new information has been provided in the complainant’s com</w:t>
      </w:r>
      <w:r w:rsidR="00BE3658">
        <w:t>munication</w:t>
      </w:r>
      <w:r w:rsidR="008607FB" w:rsidRPr="007A6A26">
        <w:t xml:space="preserve"> to the Committee on his or his son’s </w:t>
      </w:r>
      <w:r w:rsidR="00A800BF">
        <w:rPr>
          <w:lang w:val="en-US"/>
        </w:rPr>
        <w:t>problems</w:t>
      </w:r>
      <w:r w:rsidR="00A800BF" w:rsidRPr="007A6A26">
        <w:t xml:space="preserve"> </w:t>
      </w:r>
      <w:r w:rsidR="008607FB" w:rsidRPr="007A6A26">
        <w:t xml:space="preserve">in </w:t>
      </w:r>
      <w:r w:rsidR="003C6AED">
        <w:t>Sri Lanka</w:t>
      </w:r>
      <w:r w:rsidR="008607FB" w:rsidRPr="007A6A26">
        <w:t>.</w:t>
      </w:r>
      <w:r w:rsidR="00856931" w:rsidRPr="007A6A26">
        <w:t xml:space="preserve"> It notes that</w:t>
      </w:r>
      <w:r w:rsidR="00826A96">
        <w:rPr>
          <w:lang w:val="en-US"/>
        </w:rPr>
        <w:t>,</w:t>
      </w:r>
      <w:r w:rsidR="00856931" w:rsidRPr="007A6A26">
        <w:t xml:space="preserve"> according to the practice of the Refugee Appeals Board, the </w:t>
      </w:r>
      <w:r w:rsidR="00826A96">
        <w:rPr>
          <w:lang w:val="en-US"/>
        </w:rPr>
        <w:t>fact</w:t>
      </w:r>
      <w:r w:rsidR="00826A96" w:rsidRPr="00C737E6">
        <w:rPr>
          <w:lang w:val="en-US"/>
        </w:rPr>
        <w:t xml:space="preserve"> </w:t>
      </w:r>
      <w:r w:rsidR="00856931" w:rsidRPr="007A6A26">
        <w:t>that an asylum</w:t>
      </w:r>
      <w:r w:rsidR="00700F0F">
        <w:rPr>
          <w:lang w:val="en-US"/>
        </w:rPr>
        <w:t xml:space="preserve"> </w:t>
      </w:r>
      <w:r w:rsidR="00856931" w:rsidRPr="007A6A26">
        <w:t>seeker has been subjected to torture in his country of origin does not lead to</w:t>
      </w:r>
      <w:r w:rsidR="00524E94">
        <w:t xml:space="preserve"> </w:t>
      </w:r>
      <w:r w:rsidR="006D4286">
        <w:rPr>
          <w:lang w:val="en-US"/>
        </w:rPr>
        <w:t xml:space="preserve">the </w:t>
      </w:r>
      <w:r w:rsidR="00524E94">
        <w:t xml:space="preserve">granting </w:t>
      </w:r>
      <w:r w:rsidR="006D4286">
        <w:rPr>
          <w:lang w:val="en-US"/>
        </w:rPr>
        <w:t>of</w:t>
      </w:r>
      <w:r w:rsidR="006D4286" w:rsidRPr="00C737E6">
        <w:rPr>
          <w:lang w:val="en-US"/>
        </w:rPr>
        <w:t xml:space="preserve"> </w:t>
      </w:r>
      <w:r w:rsidR="00524E94">
        <w:t>asylum or protection status</w:t>
      </w:r>
      <w:r w:rsidR="00856931" w:rsidRPr="007A6A26">
        <w:t xml:space="preserve"> in all cases. The decisive factor in an assessment is whether the respective asylum</w:t>
      </w:r>
      <w:r w:rsidR="00700F0F">
        <w:rPr>
          <w:lang w:val="en-US"/>
        </w:rPr>
        <w:t xml:space="preserve"> </w:t>
      </w:r>
      <w:r w:rsidR="00856931" w:rsidRPr="007A6A26">
        <w:t xml:space="preserve">seeker </w:t>
      </w:r>
      <w:r w:rsidR="00826A96">
        <w:rPr>
          <w:lang w:val="en-US"/>
        </w:rPr>
        <w:t>is at risk of</w:t>
      </w:r>
      <w:r w:rsidR="00826A96" w:rsidRPr="00C737E6">
        <w:rPr>
          <w:lang w:val="en-US"/>
        </w:rPr>
        <w:t xml:space="preserve"> </w:t>
      </w:r>
      <w:r w:rsidR="00856931" w:rsidRPr="007A6A26">
        <w:t>torture upon return to his country of origin.</w:t>
      </w:r>
      <w:r w:rsidR="00111A3E" w:rsidRPr="007A6A26">
        <w:t xml:space="preserve"> In this connection, </w:t>
      </w:r>
      <w:r w:rsidR="00524E94">
        <w:t>the State party</w:t>
      </w:r>
      <w:r w:rsidR="00111A3E" w:rsidRPr="007A6A26">
        <w:t xml:space="preserve"> observes that</w:t>
      </w:r>
      <w:r w:rsidR="00826A96">
        <w:rPr>
          <w:lang w:val="en-US"/>
        </w:rPr>
        <w:t>,</w:t>
      </w:r>
      <w:r w:rsidR="00111A3E" w:rsidRPr="007A6A26">
        <w:t xml:space="preserve"> in its decision o</w:t>
      </w:r>
      <w:r w:rsidR="00242017">
        <w:rPr>
          <w:lang w:val="en-US"/>
        </w:rPr>
        <w:t>f</w:t>
      </w:r>
      <w:r w:rsidR="00111A3E" w:rsidRPr="007A6A26">
        <w:t xml:space="preserve"> </w:t>
      </w:r>
      <w:r w:rsidR="00CD5B27">
        <w:t xml:space="preserve">13 </w:t>
      </w:r>
      <w:r w:rsidR="00111A3E" w:rsidRPr="007A6A26">
        <w:t>March 2012, the Refugee Appeals Board essentially found the complainant</w:t>
      </w:r>
      <w:r w:rsidR="00AD2564" w:rsidRPr="007A6A26">
        <w:t>’</w:t>
      </w:r>
      <w:r w:rsidR="00111A3E" w:rsidRPr="007A6A26">
        <w:t>s statement as fact but</w:t>
      </w:r>
      <w:r w:rsidR="00826A96">
        <w:rPr>
          <w:lang w:val="en-US"/>
        </w:rPr>
        <w:t>,</w:t>
      </w:r>
      <w:r w:rsidR="00111A3E" w:rsidRPr="007A6A26">
        <w:t xml:space="preserve"> in view of the background information </w:t>
      </w:r>
      <w:r w:rsidR="00AD2564" w:rsidRPr="007A6A26">
        <w:t>concerning the</w:t>
      </w:r>
      <w:r w:rsidR="00111A3E" w:rsidRPr="007A6A26">
        <w:t xml:space="preserve"> change in the </w:t>
      </w:r>
      <w:r w:rsidR="00524E94">
        <w:t>situation</w:t>
      </w:r>
      <w:r w:rsidR="00524E94" w:rsidRPr="007A6A26">
        <w:t xml:space="preserve"> </w:t>
      </w:r>
      <w:r w:rsidR="00111A3E" w:rsidRPr="007A6A26">
        <w:t>in Sri Lanka after the complainant</w:t>
      </w:r>
      <w:r w:rsidR="00AD2564" w:rsidRPr="007A6A26">
        <w:t>’</w:t>
      </w:r>
      <w:r w:rsidR="00111A3E" w:rsidRPr="007A6A26">
        <w:t xml:space="preserve">s departure in November 2008, including the fact that </w:t>
      </w:r>
      <w:r w:rsidR="00350D40">
        <w:t>EPDP</w:t>
      </w:r>
      <w:r w:rsidR="00111A3E" w:rsidRPr="007A6A26">
        <w:t xml:space="preserve"> ha</w:t>
      </w:r>
      <w:r w:rsidR="00524E94">
        <w:t>d</w:t>
      </w:r>
      <w:r w:rsidR="00111A3E" w:rsidRPr="007A6A26">
        <w:t xml:space="preserve"> ceased </w:t>
      </w:r>
      <w:r w:rsidR="00524E94">
        <w:t>to be</w:t>
      </w:r>
      <w:r w:rsidR="00524E94" w:rsidRPr="007A6A26">
        <w:t xml:space="preserve"> </w:t>
      </w:r>
      <w:r w:rsidR="00111A3E" w:rsidRPr="007A6A26">
        <w:t>an element of the polic</w:t>
      </w:r>
      <w:r w:rsidR="00CD5B27">
        <w:t xml:space="preserve">y of the </w:t>
      </w:r>
      <w:r w:rsidR="00826A96">
        <w:rPr>
          <w:lang w:val="en-US"/>
        </w:rPr>
        <w:t>G</w:t>
      </w:r>
      <w:r w:rsidR="00CD5B27">
        <w:t>overnment</w:t>
      </w:r>
      <w:r w:rsidR="00826A96">
        <w:rPr>
          <w:lang w:val="en-US"/>
        </w:rPr>
        <w:t xml:space="preserve"> of </w:t>
      </w:r>
      <w:r w:rsidR="00826A96" w:rsidRPr="00C737E6">
        <w:rPr>
          <w:lang w:val="en-US"/>
        </w:rPr>
        <w:t xml:space="preserve">Sri </w:t>
      </w:r>
      <w:r w:rsidR="00826A96">
        <w:rPr>
          <w:lang w:val="en-US"/>
        </w:rPr>
        <w:t>Lanka</w:t>
      </w:r>
      <w:r w:rsidR="00111A3E" w:rsidRPr="007A6A26">
        <w:t>, the Board foun</w:t>
      </w:r>
      <w:r w:rsidR="00CD5B27">
        <w:t>d that the complainant would</w:t>
      </w:r>
      <w:r w:rsidR="00AD2564" w:rsidRPr="007A6A26">
        <w:t xml:space="preserve"> not</w:t>
      </w:r>
      <w:r w:rsidR="00111A3E" w:rsidRPr="007A6A26">
        <w:t xml:space="preserve"> risk </w:t>
      </w:r>
      <w:r w:rsidR="00AD2564" w:rsidRPr="007A6A26">
        <w:t xml:space="preserve">being subjected to </w:t>
      </w:r>
      <w:r w:rsidR="00111A3E" w:rsidRPr="007A6A26">
        <w:t xml:space="preserve">persecution </w:t>
      </w:r>
      <w:r w:rsidR="00AD2564" w:rsidRPr="007A6A26">
        <w:t xml:space="preserve">or ill-treatment within the meaning of </w:t>
      </w:r>
      <w:r w:rsidR="00111A3E" w:rsidRPr="007A6A26">
        <w:t>section 7</w:t>
      </w:r>
      <w:r w:rsidR="00AD2564" w:rsidRPr="007A6A26">
        <w:t xml:space="preserve"> </w:t>
      </w:r>
      <w:r w:rsidR="00111A3E" w:rsidRPr="007A6A26">
        <w:t xml:space="preserve">of the Aliens Act </w:t>
      </w:r>
      <w:r w:rsidR="00AD2564" w:rsidRPr="007A6A26">
        <w:t>upon</w:t>
      </w:r>
      <w:r w:rsidR="00111A3E" w:rsidRPr="007A6A26">
        <w:t xml:space="preserve"> return.</w:t>
      </w:r>
      <w:r w:rsidR="00D362A0" w:rsidRPr="007A6A26">
        <w:t xml:space="preserve"> </w:t>
      </w:r>
      <w:r w:rsidR="00BE3658">
        <w:t>E</w:t>
      </w:r>
      <w:r w:rsidR="00D362A0" w:rsidRPr="007A6A26">
        <w:t xml:space="preserve">ven though the complainant satisfied the conditions for being granted residence under section 7 of </w:t>
      </w:r>
      <w:r w:rsidR="00D362A0" w:rsidRPr="00E34589">
        <w:t>the Aliens Act at the time of his departure in November 2008, th</w:t>
      </w:r>
      <w:r w:rsidR="00826A96" w:rsidRPr="00E34589">
        <w:rPr>
          <w:lang w:val="en-US"/>
        </w:rPr>
        <w:t>at</w:t>
      </w:r>
      <w:r w:rsidR="00D362A0" w:rsidRPr="00E34589">
        <w:t xml:space="preserve"> does not </w:t>
      </w:r>
      <w:r w:rsidR="00E34589" w:rsidRPr="00E34589">
        <w:rPr>
          <w:lang w:val="en-US"/>
        </w:rPr>
        <w:t>mean</w:t>
      </w:r>
      <w:r w:rsidR="000B005C" w:rsidRPr="00C737E6">
        <w:rPr>
          <w:lang w:val="en-US"/>
        </w:rPr>
        <w:t xml:space="preserve"> </w:t>
      </w:r>
      <w:r w:rsidR="00D362A0" w:rsidRPr="00E34589">
        <w:t>that he would automatically be eligible for residence under this provision at the time when the Danish Immigration</w:t>
      </w:r>
      <w:r w:rsidR="00D362A0" w:rsidRPr="007A6A26">
        <w:t xml:space="preserve"> Service or the Refugee Appeals Board </w:t>
      </w:r>
      <w:r w:rsidR="00524E94">
        <w:t>rendered the</w:t>
      </w:r>
      <w:r w:rsidR="00D362A0" w:rsidRPr="007A6A26">
        <w:t xml:space="preserve"> decision</w:t>
      </w:r>
      <w:r w:rsidR="00826A96">
        <w:rPr>
          <w:lang w:val="en-US"/>
        </w:rPr>
        <w:t>,</w:t>
      </w:r>
      <w:r w:rsidR="00D362A0" w:rsidRPr="007A6A26">
        <w:t xml:space="preserve"> </w:t>
      </w:r>
      <w:r w:rsidR="007A2E98" w:rsidRPr="007A6A26">
        <w:t>given that</w:t>
      </w:r>
      <w:r w:rsidR="00D362A0" w:rsidRPr="007A6A26">
        <w:t xml:space="preserve"> the conditions for residence were no longer met </w:t>
      </w:r>
      <w:r w:rsidR="007A2E98" w:rsidRPr="007A6A26">
        <w:t xml:space="preserve">and </w:t>
      </w:r>
      <w:r w:rsidR="00826A96">
        <w:rPr>
          <w:lang w:val="en-US"/>
        </w:rPr>
        <w:t xml:space="preserve">had </w:t>
      </w:r>
      <w:r w:rsidR="007A2E98" w:rsidRPr="007A6A26">
        <w:t>ceased to exist</w:t>
      </w:r>
      <w:r w:rsidR="00D362A0" w:rsidRPr="007A6A26">
        <w:t>.</w:t>
      </w:r>
      <w:r w:rsidR="007A6A26" w:rsidRPr="007A6A26">
        <w:t xml:space="preserve"> In other words, the basis for the assessment</w:t>
      </w:r>
      <w:r w:rsidR="00826A96" w:rsidRPr="00C737E6">
        <w:rPr>
          <w:lang w:val="en-US"/>
        </w:rPr>
        <w:t xml:space="preserve"> </w:t>
      </w:r>
      <w:r w:rsidR="00826A96">
        <w:rPr>
          <w:lang w:val="en-US"/>
        </w:rPr>
        <w:t>of</w:t>
      </w:r>
      <w:r w:rsidR="007A6A26" w:rsidRPr="007A6A26">
        <w:t xml:space="preserve"> whether an alien </w:t>
      </w:r>
      <w:r w:rsidR="00826A96">
        <w:rPr>
          <w:lang w:val="en-US"/>
        </w:rPr>
        <w:t>is at risk of</w:t>
      </w:r>
      <w:r w:rsidR="00826A96" w:rsidRPr="00C737E6">
        <w:rPr>
          <w:lang w:val="en-US"/>
        </w:rPr>
        <w:t xml:space="preserve"> </w:t>
      </w:r>
      <w:r w:rsidR="007A6A26" w:rsidRPr="007A6A26">
        <w:t xml:space="preserve">persecution or abuse justifying asylum is the information available at the time </w:t>
      </w:r>
      <w:r w:rsidR="00524E94">
        <w:t>when the respective decision is made</w:t>
      </w:r>
      <w:r w:rsidR="007A6A26" w:rsidRPr="007A6A26">
        <w:t>.</w:t>
      </w:r>
    </w:p>
    <w:p w:rsidR="007A6A26" w:rsidRDefault="007A6A26">
      <w:pPr>
        <w:pStyle w:val="SingleTxtG"/>
      </w:pPr>
      <w:r w:rsidRPr="006252FC">
        <w:t>4.10</w:t>
      </w:r>
      <w:r w:rsidR="002A715A" w:rsidRPr="006252FC">
        <w:t xml:space="preserve"> </w:t>
      </w:r>
      <w:r w:rsidR="00FD104A" w:rsidRPr="00253A06">
        <w:rPr>
          <w:lang w:val="en-GB"/>
        </w:rPr>
        <w:tab/>
      </w:r>
      <w:r w:rsidR="002A715A" w:rsidRPr="006252FC">
        <w:t xml:space="preserve">In </w:t>
      </w:r>
      <w:r w:rsidR="00826A96">
        <w:rPr>
          <w:lang w:val="en-US"/>
        </w:rPr>
        <w:t xml:space="preserve">the </w:t>
      </w:r>
      <w:r w:rsidR="002A715A" w:rsidRPr="006252FC">
        <w:t xml:space="preserve">light of the </w:t>
      </w:r>
      <w:r w:rsidR="00C876E4">
        <w:rPr>
          <w:lang w:val="en-US"/>
        </w:rPr>
        <w:t xml:space="preserve">information </w:t>
      </w:r>
      <w:r w:rsidR="002A715A" w:rsidRPr="006252FC">
        <w:t>mentioned</w:t>
      </w:r>
      <w:r w:rsidR="00C876E4">
        <w:rPr>
          <w:lang w:val="en-US"/>
        </w:rPr>
        <w:t xml:space="preserve"> above</w:t>
      </w:r>
      <w:r w:rsidR="002A715A" w:rsidRPr="006252FC">
        <w:t xml:space="preserve">, the State party </w:t>
      </w:r>
      <w:r w:rsidR="002A715A" w:rsidRPr="00A6551C">
        <w:t>refers to the conclusions</w:t>
      </w:r>
      <w:r w:rsidR="0022460A" w:rsidRPr="00C737E6">
        <w:rPr>
          <w:lang w:val="en-US"/>
        </w:rPr>
        <w:t xml:space="preserve"> </w:t>
      </w:r>
      <w:r w:rsidR="0022460A">
        <w:rPr>
          <w:lang w:val="en-US"/>
        </w:rPr>
        <w:t>of the European Court of Human Rights</w:t>
      </w:r>
      <w:r w:rsidR="002A715A" w:rsidRPr="00A6551C">
        <w:t xml:space="preserve"> in </w:t>
      </w:r>
      <w:r w:rsidR="002A715A" w:rsidRPr="00A6551C">
        <w:rPr>
          <w:i/>
          <w:iCs/>
        </w:rPr>
        <w:t xml:space="preserve">Ashkan Panjeheighalehei </w:t>
      </w:r>
      <w:r w:rsidR="00A6551C" w:rsidRPr="006B7173">
        <w:rPr>
          <w:i/>
          <w:iCs/>
          <w:lang w:val="en-US"/>
        </w:rPr>
        <w:t>v.</w:t>
      </w:r>
      <w:r w:rsidR="00A6551C" w:rsidRPr="00A6551C">
        <w:rPr>
          <w:i/>
          <w:iCs/>
        </w:rPr>
        <w:t xml:space="preserve"> </w:t>
      </w:r>
      <w:r w:rsidR="002A715A" w:rsidRPr="00A6551C">
        <w:rPr>
          <w:i/>
          <w:iCs/>
        </w:rPr>
        <w:t>Denmark</w:t>
      </w:r>
      <w:r w:rsidR="00966D7E" w:rsidRPr="006B7173">
        <w:rPr>
          <w:lang w:val="en-US"/>
        </w:rPr>
        <w:t>,</w:t>
      </w:r>
      <w:r w:rsidR="00717108" w:rsidRPr="00C737E6">
        <w:rPr>
          <w:rStyle w:val="FootnoteReference"/>
        </w:rPr>
        <w:footnoteReference w:id="9"/>
      </w:r>
      <w:r w:rsidR="002A715A" w:rsidRPr="00A6551C">
        <w:t xml:space="preserve"> </w:t>
      </w:r>
      <w:r w:rsidR="00966D7E" w:rsidRPr="00A6551C">
        <w:rPr>
          <w:lang w:val="en-US"/>
        </w:rPr>
        <w:t>in which</w:t>
      </w:r>
      <w:r w:rsidR="00966D7E" w:rsidRPr="00C737E6">
        <w:rPr>
          <w:lang w:val="en-US"/>
        </w:rPr>
        <w:t xml:space="preserve"> </w:t>
      </w:r>
      <w:r w:rsidR="002A715A" w:rsidRPr="00A6551C">
        <w:t xml:space="preserve">the Court </w:t>
      </w:r>
      <w:r w:rsidR="006252FC" w:rsidRPr="00A6551C">
        <w:t xml:space="preserve">stated </w:t>
      </w:r>
      <w:r w:rsidR="002A715A" w:rsidRPr="00A6551C">
        <w:t>that “</w:t>
      </w:r>
      <w:r w:rsidR="006A4C6F" w:rsidRPr="00A6551C">
        <w:t>t</w:t>
      </w:r>
      <w:r w:rsidR="002A715A" w:rsidRPr="00A6551C">
        <w:t>he existence of the risk</w:t>
      </w:r>
      <w:r w:rsidR="006A4C6F" w:rsidRPr="00A6551C">
        <w:t xml:space="preserve"> (of being subjected to </w:t>
      </w:r>
      <w:r w:rsidR="006A4C6F" w:rsidRPr="00A6551C">
        <w:lastRenderedPageBreak/>
        <w:t>torture or to inhuman or</w:t>
      </w:r>
      <w:r w:rsidR="006A4C6F">
        <w:t xml:space="preserve"> degrading treatment)</w:t>
      </w:r>
      <w:r w:rsidR="002A715A" w:rsidRPr="006252FC">
        <w:t xml:space="preserve"> must be assessed primarily with reference to those facts which were known or ought to have been known to the Contracting State at the time of the expulsion […] and should not be evaluated with the wisdom of hindsight”</w:t>
      </w:r>
      <w:r w:rsidR="00966D7E">
        <w:rPr>
          <w:lang w:val="en-US"/>
        </w:rPr>
        <w:t>.</w:t>
      </w:r>
      <w:r w:rsidR="002A715A" w:rsidRPr="006252FC">
        <w:t xml:space="preserve"> In this context, </w:t>
      </w:r>
      <w:r w:rsidR="0044425E">
        <w:t xml:space="preserve">the State party further relies </w:t>
      </w:r>
      <w:r w:rsidR="00B77C19">
        <w:t>on the jurisprudence of the European Court of Human Rights</w:t>
      </w:r>
      <w:r w:rsidR="0044425E" w:rsidRPr="006252FC">
        <w:rPr>
          <w:rStyle w:val="FootnoteReference"/>
          <w:sz w:val="20"/>
        </w:rPr>
        <w:footnoteReference w:id="10"/>
      </w:r>
      <w:r w:rsidR="00B77C19">
        <w:t xml:space="preserve"> and the Committee’s decision in </w:t>
      </w:r>
      <w:r w:rsidR="002A715A" w:rsidRPr="006252FC">
        <w:rPr>
          <w:i/>
        </w:rPr>
        <w:t>A.A.R. v. Denmark</w:t>
      </w:r>
      <w:r w:rsidR="002A715A" w:rsidRPr="006252FC">
        <w:rPr>
          <w:rStyle w:val="FootnoteReference"/>
          <w:sz w:val="20"/>
        </w:rPr>
        <w:footnoteReference w:id="11"/>
      </w:r>
      <w:r w:rsidR="002A715A" w:rsidRPr="006252FC">
        <w:t xml:space="preserve"> and asserts that</w:t>
      </w:r>
      <w:r w:rsidR="00966D7E">
        <w:rPr>
          <w:lang w:val="en-US"/>
        </w:rPr>
        <w:t>,</w:t>
      </w:r>
      <w:r w:rsidR="006252FC" w:rsidRPr="006252FC">
        <w:t xml:space="preserve"> in the present case</w:t>
      </w:r>
      <w:r w:rsidR="00966D7E">
        <w:rPr>
          <w:lang w:val="en-US"/>
        </w:rPr>
        <w:t>,</w:t>
      </w:r>
      <w:r w:rsidR="006252FC" w:rsidRPr="006252FC">
        <w:t xml:space="preserve"> when assessing the complainant’s actual risk upon his return to Sri Lanka, the Refugee Appeals Board took into account the information on the complainant’s personal circumstances, including </w:t>
      </w:r>
      <w:r w:rsidR="0044425E">
        <w:t xml:space="preserve">his and his family’s </w:t>
      </w:r>
      <w:r w:rsidR="006252FC" w:rsidRPr="006252FC">
        <w:t xml:space="preserve">profiling </w:t>
      </w:r>
      <w:r w:rsidR="00A82426">
        <w:t xml:space="preserve">in </w:t>
      </w:r>
      <w:r w:rsidR="00966D7E">
        <w:rPr>
          <w:lang w:val="en-US"/>
        </w:rPr>
        <w:t>the</w:t>
      </w:r>
      <w:r w:rsidR="00966D7E" w:rsidRPr="00C737E6">
        <w:rPr>
          <w:lang w:val="en-US"/>
        </w:rPr>
        <w:t xml:space="preserve"> </w:t>
      </w:r>
      <w:r w:rsidR="00A82426">
        <w:t xml:space="preserve">light of </w:t>
      </w:r>
      <w:r w:rsidR="006252FC" w:rsidRPr="006252FC">
        <w:t xml:space="preserve">the available background information on the conditions of Tamils in Sri Lanka. This assessment was made in accordance with the principles set out by the European Court in </w:t>
      </w:r>
      <w:r w:rsidR="006252FC" w:rsidRPr="006252FC">
        <w:rPr>
          <w:i/>
          <w:iCs/>
        </w:rPr>
        <w:t>N</w:t>
      </w:r>
      <w:r w:rsidR="00733B34">
        <w:rPr>
          <w:i/>
          <w:iCs/>
        </w:rPr>
        <w:t>.</w:t>
      </w:r>
      <w:r w:rsidR="006252FC" w:rsidRPr="006252FC">
        <w:rPr>
          <w:i/>
          <w:iCs/>
        </w:rPr>
        <w:t xml:space="preserve">A. v. the United Kingdom </w:t>
      </w:r>
      <w:r w:rsidR="006252FC" w:rsidRPr="006252FC">
        <w:t xml:space="preserve">(application No. 25904/07), </w:t>
      </w:r>
      <w:r w:rsidR="00966D7E">
        <w:rPr>
          <w:lang w:val="en-US"/>
        </w:rPr>
        <w:t>in which</w:t>
      </w:r>
      <w:r w:rsidR="00966D7E" w:rsidRPr="00C737E6">
        <w:rPr>
          <w:lang w:val="en-US"/>
        </w:rPr>
        <w:t xml:space="preserve"> </w:t>
      </w:r>
      <w:r w:rsidR="006252FC" w:rsidRPr="006252FC">
        <w:t>the Court stated</w:t>
      </w:r>
      <w:r w:rsidR="006252FC" w:rsidRPr="00350D40">
        <w:t xml:space="preserve">, </w:t>
      </w:r>
      <w:r w:rsidR="006252FC" w:rsidRPr="00C737E6">
        <w:t>inter alia</w:t>
      </w:r>
      <w:r w:rsidR="006252FC" w:rsidRPr="00350D40">
        <w:t>, that</w:t>
      </w:r>
      <w:r w:rsidR="00966D7E">
        <w:rPr>
          <w:lang w:val="en-US"/>
        </w:rPr>
        <w:t>,</w:t>
      </w:r>
      <w:r w:rsidR="006252FC" w:rsidRPr="00350D40">
        <w:t xml:space="preserve"> regardless of the deterioration of the security situation in Sri Lanka and the resulting increase in human rights violations</w:t>
      </w:r>
      <w:r w:rsidR="00966D7E">
        <w:rPr>
          <w:lang w:val="en-US"/>
        </w:rPr>
        <w:t>,</w:t>
      </w:r>
      <w:r w:rsidR="006252FC" w:rsidRPr="00350D40">
        <w:t xml:space="preserve"> this did not create a general risk to all Tamils returning to Sri Lanka. The Court further concluded that </w:t>
      </w:r>
      <w:r w:rsidR="0022460A">
        <w:rPr>
          <w:lang w:val="en-US"/>
        </w:rPr>
        <w:t>an</w:t>
      </w:r>
      <w:r w:rsidR="0022460A" w:rsidRPr="00C737E6">
        <w:rPr>
          <w:lang w:val="en-US"/>
        </w:rPr>
        <w:t xml:space="preserve"> </w:t>
      </w:r>
      <w:r w:rsidR="006252FC" w:rsidRPr="00350D40">
        <w:t xml:space="preserve">assessment of </w:t>
      </w:r>
      <w:r w:rsidR="0022460A">
        <w:rPr>
          <w:lang w:val="en-US"/>
        </w:rPr>
        <w:t xml:space="preserve">both </w:t>
      </w:r>
      <w:r w:rsidR="006252FC" w:rsidRPr="00350D40">
        <w:t xml:space="preserve">the risk to ethnic Tamils with certain characteristics and </w:t>
      </w:r>
      <w:r w:rsidR="0022460A" w:rsidRPr="00C737E6">
        <w:rPr>
          <w:lang w:val="en-US"/>
        </w:rPr>
        <w:t xml:space="preserve">of </w:t>
      </w:r>
      <w:r w:rsidR="006252FC" w:rsidRPr="00350D40">
        <w:t>whether individual acts of harassment</w:t>
      </w:r>
      <w:r w:rsidR="006252FC" w:rsidRPr="006252FC">
        <w:t xml:space="preserve"> could cumulatively amount to a serious violation of human rights had to be made specifically and individually in every case</w:t>
      </w:r>
      <w:r w:rsidR="006252FC">
        <w:t>.</w:t>
      </w:r>
    </w:p>
    <w:p w:rsidR="006252FC" w:rsidRPr="0022460A" w:rsidRDefault="006252FC" w:rsidP="0022460A">
      <w:pPr>
        <w:pStyle w:val="SingleTxtG"/>
      </w:pPr>
      <w:r w:rsidRPr="003334F9">
        <w:t>4.11</w:t>
      </w:r>
      <w:r w:rsidR="00855CA2">
        <w:t xml:space="preserve"> </w:t>
      </w:r>
      <w:r w:rsidR="00FD104A" w:rsidRPr="00253A06">
        <w:rPr>
          <w:lang w:val="en-GB"/>
        </w:rPr>
        <w:tab/>
      </w:r>
      <w:r w:rsidR="001C4AF5" w:rsidRPr="003334F9">
        <w:t xml:space="preserve">The State party further notes five </w:t>
      </w:r>
      <w:r w:rsidR="00EA0F08">
        <w:t>cases</w:t>
      </w:r>
      <w:r w:rsidR="00EA0F08" w:rsidRPr="003334F9">
        <w:t xml:space="preserve"> </w:t>
      </w:r>
      <w:r w:rsidR="001C4AF5" w:rsidRPr="003334F9">
        <w:t>submitted by ethnic Tamils from Sri Lanka against Denmark,</w:t>
      </w:r>
      <w:r w:rsidR="00483E02">
        <w:rPr>
          <w:rStyle w:val="FootnoteReference"/>
        </w:rPr>
        <w:footnoteReference w:id="12"/>
      </w:r>
      <w:r w:rsidR="001C4AF5" w:rsidRPr="003334F9">
        <w:t xml:space="preserve"> </w:t>
      </w:r>
      <w:r w:rsidR="002C72B9">
        <w:rPr>
          <w:lang w:val="en-US"/>
        </w:rPr>
        <w:t>in which</w:t>
      </w:r>
      <w:r w:rsidR="002C72B9">
        <w:t xml:space="preserve"> </w:t>
      </w:r>
      <w:r w:rsidR="001C4AF5" w:rsidRPr="003334F9">
        <w:t xml:space="preserve">the </w:t>
      </w:r>
      <w:r w:rsidR="003177C0" w:rsidRPr="003334F9">
        <w:t>European Court of Human Rights</w:t>
      </w:r>
      <w:r w:rsidR="001C4AF5" w:rsidRPr="003334F9">
        <w:t xml:space="preserve"> </w:t>
      </w:r>
      <w:r w:rsidR="00EA0F08">
        <w:t xml:space="preserve">reached </w:t>
      </w:r>
      <w:r w:rsidR="002C72B9">
        <w:rPr>
          <w:lang w:val="en-US"/>
        </w:rPr>
        <w:t>the</w:t>
      </w:r>
      <w:r w:rsidR="00EA0F08">
        <w:t xml:space="preserve"> conclusion</w:t>
      </w:r>
      <w:r w:rsidR="00EA0F08" w:rsidRPr="003334F9">
        <w:t xml:space="preserve"> </w:t>
      </w:r>
      <w:r w:rsidR="004513D6" w:rsidRPr="003334F9">
        <w:t>that</w:t>
      </w:r>
      <w:r w:rsidR="003177C0" w:rsidRPr="003334F9">
        <w:t xml:space="preserve"> returning the applicants to Sri Lanka would not constitute a violation of the European Convention on Human Rights. </w:t>
      </w:r>
      <w:r w:rsidR="00316A63">
        <w:t>T</w:t>
      </w:r>
      <w:r w:rsidR="003177C0" w:rsidRPr="003334F9">
        <w:t>he European Co</w:t>
      </w:r>
      <w:r w:rsidR="00855CA2">
        <w:t>urt maintained its conclusion from</w:t>
      </w:r>
      <w:r w:rsidR="003177C0" w:rsidRPr="003334F9">
        <w:t xml:space="preserve"> </w:t>
      </w:r>
      <w:r w:rsidR="003177C0" w:rsidRPr="003334F9">
        <w:rPr>
          <w:i/>
          <w:iCs/>
        </w:rPr>
        <w:t>N</w:t>
      </w:r>
      <w:r w:rsidR="00903466">
        <w:rPr>
          <w:i/>
          <w:iCs/>
        </w:rPr>
        <w:t>.</w:t>
      </w:r>
      <w:r w:rsidR="003177C0" w:rsidRPr="003334F9">
        <w:rPr>
          <w:i/>
          <w:iCs/>
        </w:rPr>
        <w:t xml:space="preserve">A. v. the United Kingdom </w:t>
      </w:r>
      <w:r w:rsidR="003177C0" w:rsidRPr="003334F9">
        <w:t xml:space="preserve">that ethnic Tamils could not be considered </w:t>
      </w:r>
      <w:r w:rsidR="002C72B9">
        <w:rPr>
          <w:lang w:val="en-US"/>
        </w:rPr>
        <w:t>a</w:t>
      </w:r>
      <w:r w:rsidR="003177C0" w:rsidRPr="003334F9">
        <w:t xml:space="preserve">t risk </w:t>
      </w:r>
      <w:r w:rsidR="002C72B9">
        <w:rPr>
          <w:lang w:val="en-US"/>
        </w:rPr>
        <w:t>of</w:t>
      </w:r>
      <w:r w:rsidR="002C72B9" w:rsidRPr="00C737E6">
        <w:rPr>
          <w:lang w:val="en-US"/>
        </w:rPr>
        <w:t xml:space="preserve"> </w:t>
      </w:r>
      <w:r w:rsidR="003177C0" w:rsidRPr="003334F9">
        <w:t>ill-treatment if returned to Sri Lanka</w:t>
      </w:r>
      <w:r w:rsidR="00DF0C31" w:rsidRPr="003334F9">
        <w:t xml:space="preserve"> and</w:t>
      </w:r>
      <w:r w:rsidR="003177C0" w:rsidRPr="003334F9">
        <w:t xml:space="preserve"> found that the background material concerning the situation in Sri Lanka was not of such </w:t>
      </w:r>
      <w:r w:rsidR="002C72B9">
        <w:rPr>
          <w:lang w:val="en-US"/>
        </w:rPr>
        <w:t xml:space="preserve">a </w:t>
      </w:r>
      <w:r w:rsidR="003177C0" w:rsidRPr="003334F9">
        <w:t xml:space="preserve">nature that any returning Tamil would risk ill-treatment. The Court </w:t>
      </w:r>
      <w:r w:rsidR="00DF0C31" w:rsidRPr="003334F9">
        <w:t>also</w:t>
      </w:r>
      <w:r w:rsidR="003177C0" w:rsidRPr="003334F9">
        <w:t xml:space="preserve"> stated that protection under </w:t>
      </w:r>
      <w:r w:rsidR="00DF0C31" w:rsidRPr="003334F9">
        <w:t>a</w:t>
      </w:r>
      <w:r w:rsidR="003177C0" w:rsidRPr="003334F9">
        <w:t xml:space="preserve">rticle 3 of the </w:t>
      </w:r>
      <w:r w:rsidR="00DF0C31" w:rsidRPr="003334F9">
        <w:t>European Convention</w:t>
      </w:r>
      <w:r w:rsidR="003177C0" w:rsidRPr="003334F9">
        <w:t xml:space="preserve"> would only </w:t>
      </w:r>
      <w:r w:rsidR="00DF0C31" w:rsidRPr="003334F9">
        <w:t>be applicable</w:t>
      </w:r>
      <w:r w:rsidR="003177C0" w:rsidRPr="003334F9">
        <w:t xml:space="preserve"> when </w:t>
      </w:r>
      <w:r w:rsidR="003334F9">
        <w:t>an</w:t>
      </w:r>
      <w:r w:rsidR="003177C0" w:rsidRPr="003334F9">
        <w:t xml:space="preserve"> applicant could establish that there were serious reasons to believe that </w:t>
      </w:r>
      <w:r w:rsidR="003334F9">
        <w:t>s</w:t>
      </w:r>
      <w:r w:rsidR="003177C0" w:rsidRPr="003334F9">
        <w:t xml:space="preserve">he </w:t>
      </w:r>
      <w:r w:rsidR="002C72B9">
        <w:rPr>
          <w:lang w:val="en-US"/>
        </w:rPr>
        <w:t xml:space="preserve">or </w:t>
      </w:r>
      <w:r w:rsidR="002C72B9" w:rsidRPr="00C737E6">
        <w:rPr>
          <w:lang w:val="en-US"/>
        </w:rPr>
        <w:t xml:space="preserve">he </w:t>
      </w:r>
      <w:r w:rsidR="003177C0" w:rsidRPr="003334F9">
        <w:t>would be of sufficient interest to th</w:t>
      </w:r>
      <w:r w:rsidR="003334F9">
        <w:t xml:space="preserve">e </w:t>
      </w:r>
      <w:r w:rsidR="003334F9" w:rsidRPr="00350D40">
        <w:t xml:space="preserve">authorities </w:t>
      </w:r>
      <w:r w:rsidR="008B7988" w:rsidRPr="00350D40">
        <w:t xml:space="preserve">and would be </w:t>
      </w:r>
      <w:r w:rsidR="00316A63" w:rsidRPr="00350D40">
        <w:t xml:space="preserve">detained and </w:t>
      </w:r>
      <w:r w:rsidR="00316A63" w:rsidRPr="0022460A">
        <w:t>interrogated</w:t>
      </w:r>
      <w:r w:rsidR="003177C0" w:rsidRPr="0022460A">
        <w:t xml:space="preserve"> </w:t>
      </w:r>
      <w:r w:rsidR="00AD2084" w:rsidRPr="0022460A">
        <w:t>upon</w:t>
      </w:r>
      <w:r w:rsidR="003177C0" w:rsidRPr="0022460A">
        <w:t xml:space="preserve"> </w:t>
      </w:r>
      <w:r w:rsidR="00AD2084" w:rsidRPr="0022460A">
        <w:t>return</w:t>
      </w:r>
      <w:r w:rsidR="008B7988" w:rsidRPr="0022460A">
        <w:t xml:space="preserve"> on that account</w:t>
      </w:r>
      <w:r w:rsidR="003177C0" w:rsidRPr="0022460A">
        <w:t>.</w:t>
      </w:r>
    </w:p>
    <w:p w:rsidR="0072116E" w:rsidRDefault="0072116E" w:rsidP="00B174AA">
      <w:pPr>
        <w:pStyle w:val="SingleTxtG"/>
      </w:pPr>
      <w:r w:rsidRPr="0022460A">
        <w:t xml:space="preserve">4.12 </w:t>
      </w:r>
      <w:r w:rsidR="00FD104A" w:rsidRPr="0022460A">
        <w:rPr>
          <w:lang w:val="en-GB"/>
        </w:rPr>
        <w:tab/>
      </w:r>
      <w:r w:rsidR="00903132" w:rsidRPr="0022460A">
        <w:t>In</w:t>
      </w:r>
      <w:r w:rsidR="005C2197" w:rsidRPr="00350D40">
        <w:t xml:space="preserve"> the present case, </w:t>
      </w:r>
      <w:r w:rsidR="00903132" w:rsidRPr="00350D40">
        <w:t>according to its decision of 11 November 2013,</w:t>
      </w:r>
      <w:r w:rsidR="00804944" w:rsidRPr="00350D40">
        <w:t xml:space="preserve"> the Refugee Appeals Board also assessed the matter in </w:t>
      </w:r>
      <w:r w:rsidR="00804944" w:rsidRPr="000B005C">
        <w:t xml:space="preserve">the light of the most recent background information on conditions in Sri Lanka at that time, including the information in the </w:t>
      </w:r>
      <w:r w:rsidR="00804944" w:rsidRPr="00C737E6">
        <w:t>UNHCR Eligibility Guidelines for Assessing the International Protection Needs of Asylum</w:t>
      </w:r>
      <w:r w:rsidR="000B005C">
        <w:rPr>
          <w:lang w:val="en-US"/>
        </w:rPr>
        <w:noBreakHyphen/>
      </w:r>
      <w:r w:rsidR="00804944" w:rsidRPr="00C737E6">
        <w:t>Seekers from Sri Lanka</w:t>
      </w:r>
      <w:r w:rsidR="002C72B9" w:rsidRPr="000B005C">
        <w:rPr>
          <w:lang w:val="en-US"/>
        </w:rPr>
        <w:t>,</w:t>
      </w:r>
      <w:r w:rsidR="00804944" w:rsidRPr="000B005C">
        <w:t xml:space="preserve"> which lists certain groups of persons with particular connections to </w:t>
      </w:r>
      <w:r w:rsidR="00350D40" w:rsidRPr="000B005C">
        <w:t>LTTE</w:t>
      </w:r>
      <w:r w:rsidR="00804944" w:rsidRPr="000B005C">
        <w:t xml:space="preserve"> who may need international protection. In this connection, the State party notes </w:t>
      </w:r>
      <w:r w:rsidR="00B730FF" w:rsidRPr="000B005C">
        <w:t xml:space="preserve">that </w:t>
      </w:r>
      <w:r w:rsidR="00804944" w:rsidRPr="000B005C">
        <w:t xml:space="preserve">the complainant stated before the State party’s authorities that he </w:t>
      </w:r>
      <w:r w:rsidR="0022460A">
        <w:rPr>
          <w:lang w:val="en-US"/>
        </w:rPr>
        <w:t>had been</w:t>
      </w:r>
      <w:r w:rsidR="0022460A" w:rsidRPr="00C737E6">
        <w:rPr>
          <w:lang w:val="en-US"/>
        </w:rPr>
        <w:t xml:space="preserve"> </w:t>
      </w:r>
      <w:r w:rsidR="00804944" w:rsidRPr="000B005C">
        <w:t xml:space="preserve">a member of the Sea Tigers, the naval unit of </w:t>
      </w:r>
      <w:r w:rsidR="00350D40" w:rsidRPr="000B005C">
        <w:t>LTTE</w:t>
      </w:r>
      <w:r w:rsidR="00804944" w:rsidRPr="000B005C">
        <w:t xml:space="preserve">, from 1992 to 2000 and that </w:t>
      </w:r>
      <w:r w:rsidR="00492E1B" w:rsidRPr="000B005C">
        <w:t>this</w:t>
      </w:r>
      <w:r w:rsidR="00804944" w:rsidRPr="000B005C">
        <w:t xml:space="preserve"> ha</w:t>
      </w:r>
      <w:r w:rsidR="005B406B" w:rsidRPr="000B005C">
        <w:rPr>
          <w:lang w:val="en-US"/>
        </w:rPr>
        <w:t>d</w:t>
      </w:r>
      <w:r w:rsidR="00804944" w:rsidRPr="000B005C">
        <w:t xml:space="preserve"> not caused </w:t>
      </w:r>
      <w:r w:rsidR="002C72B9" w:rsidRPr="000B005C">
        <w:rPr>
          <w:lang w:val="en-US"/>
        </w:rPr>
        <w:t xml:space="preserve">him </w:t>
      </w:r>
      <w:r w:rsidR="00804944" w:rsidRPr="000B005C">
        <w:t xml:space="preserve">any problems. </w:t>
      </w:r>
      <w:r w:rsidR="00750392" w:rsidRPr="000B005C">
        <w:t xml:space="preserve">Further, </w:t>
      </w:r>
      <w:r w:rsidR="00804944" w:rsidRPr="000B005C">
        <w:t>none of the complainant’s sons ha</w:t>
      </w:r>
      <w:r w:rsidR="0022460A">
        <w:rPr>
          <w:lang w:val="en-US"/>
        </w:rPr>
        <w:t>d</w:t>
      </w:r>
      <w:r w:rsidR="00804944" w:rsidRPr="000B005C">
        <w:t xml:space="preserve"> been a </w:t>
      </w:r>
      <w:r w:rsidR="00450607" w:rsidRPr="000B005C">
        <w:t>member</w:t>
      </w:r>
      <w:r w:rsidR="00804944" w:rsidRPr="000B005C">
        <w:t xml:space="preserve"> of </w:t>
      </w:r>
      <w:r w:rsidR="00350D40" w:rsidRPr="000B005C">
        <w:t>LTTE</w:t>
      </w:r>
      <w:r w:rsidR="00804944" w:rsidRPr="00350D40">
        <w:t xml:space="preserve"> and they </w:t>
      </w:r>
      <w:r w:rsidR="0022460A">
        <w:rPr>
          <w:lang w:val="en-US"/>
        </w:rPr>
        <w:t>had</w:t>
      </w:r>
      <w:r w:rsidR="0022460A" w:rsidRPr="00C737E6">
        <w:rPr>
          <w:lang w:val="en-US"/>
        </w:rPr>
        <w:t xml:space="preserve"> </w:t>
      </w:r>
      <w:r w:rsidR="00804944" w:rsidRPr="00350D40">
        <w:t xml:space="preserve">received military training for </w:t>
      </w:r>
      <w:r w:rsidR="0022460A">
        <w:rPr>
          <w:lang w:val="en-US"/>
        </w:rPr>
        <w:t xml:space="preserve">only </w:t>
      </w:r>
      <w:r w:rsidR="00804944" w:rsidRPr="00350D40">
        <w:t>two weeks as consideration for</w:t>
      </w:r>
      <w:r w:rsidR="00804944" w:rsidRPr="007E3893">
        <w:t xml:space="preserve"> the aid received from </w:t>
      </w:r>
      <w:r w:rsidR="00350D40">
        <w:t>LTTE</w:t>
      </w:r>
      <w:r w:rsidR="00804944" w:rsidRPr="007E3893">
        <w:t xml:space="preserve"> in connection with the tsunami in 2004.</w:t>
      </w:r>
      <w:r w:rsidR="00450607" w:rsidRPr="007E3893">
        <w:t xml:space="preserve"> As regards his brother’s situation, the complainant had </w:t>
      </w:r>
      <w:r w:rsidR="00450607" w:rsidRPr="0022460A">
        <w:t xml:space="preserve">stated </w:t>
      </w:r>
      <w:r w:rsidR="0022460A" w:rsidRPr="0022460A">
        <w:rPr>
          <w:lang w:val="en-US"/>
        </w:rPr>
        <w:t>to</w:t>
      </w:r>
      <w:r w:rsidR="0022460A" w:rsidRPr="00C737E6">
        <w:rPr>
          <w:lang w:val="en-US"/>
        </w:rPr>
        <w:t xml:space="preserve"> the </w:t>
      </w:r>
      <w:r w:rsidR="0022460A" w:rsidRPr="0022460A">
        <w:rPr>
          <w:lang w:val="en-US"/>
        </w:rPr>
        <w:t>authorities</w:t>
      </w:r>
      <w:r w:rsidR="0022460A">
        <w:rPr>
          <w:lang w:val="en-US"/>
        </w:rPr>
        <w:t xml:space="preserve"> of </w:t>
      </w:r>
      <w:r w:rsidR="00A800BF">
        <w:rPr>
          <w:lang w:val="en-US"/>
        </w:rPr>
        <w:t>Denmark</w:t>
      </w:r>
      <w:r w:rsidR="0022460A" w:rsidRPr="00C737E6">
        <w:rPr>
          <w:lang w:val="en-US"/>
        </w:rPr>
        <w:t xml:space="preserve"> </w:t>
      </w:r>
      <w:r w:rsidR="00450607" w:rsidRPr="007E3893">
        <w:t xml:space="preserve">that his brother </w:t>
      </w:r>
      <w:r w:rsidR="0022460A">
        <w:rPr>
          <w:lang w:val="en-US"/>
        </w:rPr>
        <w:t>had been</w:t>
      </w:r>
      <w:r w:rsidR="0022460A" w:rsidRPr="007E3893">
        <w:t xml:space="preserve"> </w:t>
      </w:r>
      <w:r w:rsidR="00450607" w:rsidRPr="007E3893">
        <w:t xml:space="preserve">a member of </w:t>
      </w:r>
      <w:r w:rsidR="00350D40">
        <w:t>LTTE</w:t>
      </w:r>
      <w:r w:rsidR="00450607" w:rsidRPr="007E3893">
        <w:t xml:space="preserve">, but </w:t>
      </w:r>
      <w:r w:rsidR="00F33092">
        <w:rPr>
          <w:lang w:val="en-US"/>
        </w:rPr>
        <w:t xml:space="preserve">had </w:t>
      </w:r>
      <w:r w:rsidR="00450607" w:rsidRPr="007E3893">
        <w:t>experienced some problems when Indian troops arrived in Sri Lanka in 1987</w:t>
      </w:r>
      <w:r w:rsidR="005B406B">
        <w:rPr>
          <w:lang w:val="en-US"/>
        </w:rPr>
        <w:t>,</w:t>
      </w:r>
      <w:r w:rsidR="00450607" w:rsidRPr="007E3893">
        <w:t xml:space="preserve"> </w:t>
      </w:r>
      <w:r w:rsidR="00450607" w:rsidRPr="00B46230">
        <w:t xml:space="preserve">and that he </w:t>
      </w:r>
      <w:r w:rsidR="00F33092">
        <w:rPr>
          <w:lang w:val="en-US"/>
        </w:rPr>
        <w:t xml:space="preserve">had </w:t>
      </w:r>
      <w:r w:rsidR="00450607" w:rsidRPr="00B46230">
        <w:t xml:space="preserve">then fled and subsequently </w:t>
      </w:r>
      <w:r w:rsidR="00F33092">
        <w:rPr>
          <w:lang w:val="en-US"/>
        </w:rPr>
        <w:t xml:space="preserve">been </w:t>
      </w:r>
      <w:r w:rsidR="00450607" w:rsidRPr="00B46230">
        <w:t xml:space="preserve">granted asylum in Norway. </w:t>
      </w:r>
      <w:r w:rsidR="00450607" w:rsidRPr="00B46230">
        <w:lastRenderedPageBreak/>
        <w:t xml:space="preserve">In this regard, the State party observes that the complainant stated that his family had </w:t>
      </w:r>
      <w:r w:rsidR="005B406B" w:rsidRPr="00C737E6">
        <w:rPr>
          <w:lang w:val="en-US"/>
        </w:rPr>
        <w:t xml:space="preserve">had </w:t>
      </w:r>
      <w:r w:rsidR="00450607" w:rsidRPr="00B46230">
        <w:t xml:space="preserve">no problems when his brother left the country. In addition, the complainant did not </w:t>
      </w:r>
      <w:r w:rsidR="00FA041D" w:rsidRPr="00B46230">
        <w:t>invoke</w:t>
      </w:r>
      <w:r w:rsidR="00450607" w:rsidRPr="00B46230">
        <w:t xml:space="preserve"> his brother’s situation during </w:t>
      </w:r>
      <w:r w:rsidR="00FA041D" w:rsidRPr="00B46230">
        <w:t>the</w:t>
      </w:r>
      <w:r w:rsidR="00450607" w:rsidRPr="00B46230">
        <w:t xml:space="preserve"> asylum proceedings.</w:t>
      </w:r>
      <w:r w:rsidR="00B46230" w:rsidRPr="00B46230">
        <w:t xml:space="preserve"> Consequently, the State party supports the assessment made by the Refugee Appeals Board that the complainant would not be a high-profile individual to the Sri Lankan authorities because of his own or other family members’ connection</w:t>
      </w:r>
      <w:r w:rsidR="00B46230" w:rsidRPr="0074075D">
        <w:t xml:space="preserve">s to </w:t>
      </w:r>
      <w:r w:rsidR="00350D40">
        <w:t>LTTE</w:t>
      </w:r>
      <w:r w:rsidR="00B46230" w:rsidRPr="0074075D">
        <w:t>.</w:t>
      </w:r>
    </w:p>
    <w:p w:rsidR="002330BD" w:rsidRDefault="00B46230" w:rsidP="006B7173">
      <w:pPr>
        <w:pStyle w:val="SingleTxtG"/>
      </w:pPr>
      <w:r w:rsidRPr="00CD7C7B">
        <w:t xml:space="preserve">4.13 </w:t>
      </w:r>
      <w:r w:rsidR="00FD104A" w:rsidRPr="00253A06">
        <w:rPr>
          <w:lang w:val="en-GB"/>
        </w:rPr>
        <w:tab/>
      </w:r>
      <w:r w:rsidR="00A573D3" w:rsidRPr="00CD7C7B">
        <w:t xml:space="preserve">As regards the </w:t>
      </w:r>
      <w:r w:rsidR="008A71BB" w:rsidRPr="00CD7C7B">
        <w:t>news and reports</w:t>
      </w:r>
      <w:r w:rsidR="00A573D3" w:rsidRPr="00CD7C7B">
        <w:t xml:space="preserve"> referred to </w:t>
      </w:r>
      <w:r w:rsidR="008A71BB" w:rsidRPr="00CD7C7B">
        <w:t>by the complainant</w:t>
      </w:r>
      <w:r w:rsidR="00A573D3" w:rsidRPr="00CD7C7B">
        <w:t xml:space="preserve"> about acts of abuse committed by the Sri Lankan security forces against Tamils</w:t>
      </w:r>
      <w:r w:rsidR="008A71BB" w:rsidRPr="00CD7C7B">
        <w:t>,</w:t>
      </w:r>
      <w:r w:rsidR="00A573D3" w:rsidRPr="00CD7C7B">
        <w:t xml:space="preserve"> the </w:t>
      </w:r>
      <w:r w:rsidR="008A71BB" w:rsidRPr="00CD7C7B">
        <w:t>State party</w:t>
      </w:r>
      <w:r w:rsidR="00A573D3" w:rsidRPr="00CD7C7B">
        <w:t xml:space="preserve"> </w:t>
      </w:r>
      <w:r w:rsidR="00492E1B">
        <w:t>reiterates</w:t>
      </w:r>
      <w:r w:rsidR="00492E1B" w:rsidRPr="00CD7C7B">
        <w:t xml:space="preserve"> </w:t>
      </w:r>
      <w:r w:rsidR="00A573D3" w:rsidRPr="00CD7C7B">
        <w:t xml:space="preserve">that the complainant and his family </w:t>
      </w:r>
      <w:r w:rsidR="00492E1B">
        <w:t xml:space="preserve">members </w:t>
      </w:r>
      <w:r w:rsidR="00A573D3" w:rsidRPr="00CD7C7B">
        <w:t>are not high-profile individuals, and there is no information that the complainant</w:t>
      </w:r>
      <w:r w:rsidR="008A71BB" w:rsidRPr="00CD7C7B">
        <w:t>’</w:t>
      </w:r>
      <w:r w:rsidR="00A573D3" w:rsidRPr="00CD7C7B">
        <w:t xml:space="preserve">s family living in Sri Lanka, including his spouse or his children, have experienced any </w:t>
      </w:r>
      <w:r w:rsidR="0039171B" w:rsidRPr="00CD7C7B">
        <w:t>ill-treatment</w:t>
      </w:r>
      <w:r w:rsidR="00A573D3" w:rsidRPr="00CD7C7B">
        <w:t xml:space="preserve"> </w:t>
      </w:r>
      <w:r w:rsidR="009E2B64">
        <w:rPr>
          <w:lang w:val="en-US"/>
        </w:rPr>
        <w:t>since</w:t>
      </w:r>
      <w:r w:rsidR="009E2B64" w:rsidRPr="00C737E6">
        <w:rPr>
          <w:lang w:val="en-US"/>
        </w:rPr>
        <w:t xml:space="preserve"> </w:t>
      </w:r>
      <w:r w:rsidR="00A573D3" w:rsidRPr="00CD7C7B">
        <w:t>the complainant</w:t>
      </w:r>
      <w:r w:rsidR="008A71BB" w:rsidRPr="00CD7C7B">
        <w:t>’</w:t>
      </w:r>
      <w:r w:rsidR="00A573D3" w:rsidRPr="00CD7C7B">
        <w:t>s departure.</w:t>
      </w:r>
      <w:r w:rsidR="0039171B" w:rsidRPr="00CD7C7B">
        <w:t xml:space="preserve"> </w:t>
      </w:r>
      <w:r w:rsidR="002A7B5A">
        <w:t>T</w:t>
      </w:r>
      <w:r w:rsidR="0039171B" w:rsidRPr="00CD7C7B">
        <w:t xml:space="preserve">he State party </w:t>
      </w:r>
      <w:r w:rsidR="002A7B5A">
        <w:t>also reiterates</w:t>
      </w:r>
      <w:r w:rsidR="002A7B5A" w:rsidRPr="00CD7C7B">
        <w:t xml:space="preserve"> </w:t>
      </w:r>
      <w:r w:rsidR="00CD7C7B" w:rsidRPr="00CD7C7B">
        <w:t xml:space="preserve">that </w:t>
      </w:r>
      <w:r w:rsidR="00350D40">
        <w:t>EPDP</w:t>
      </w:r>
      <w:r w:rsidR="0039171B" w:rsidRPr="00CD7C7B">
        <w:t xml:space="preserve"> no longer serves any military function in Sri Lanka, but </w:t>
      </w:r>
      <w:r w:rsidR="00AB49E3">
        <w:rPr>
          <w:lang w:val="en-US"/>
        </w:rPr>
        <w:t>rather</w:t>
      </w:r>
      <w:r w:rsidR="00AB49E3" w:rsidRPr="00C737E6">
        <w:rPr>
          <w:lang w:val="en-US"/>
        </w:rPr>
        <w:t xml:space="preserve"> </w:t>
      </w:r>
      <w:r w:rsidR="0039171B" w:rsidRPr="00CD7C7B">
        <w:t xml:space="preserve">has, to an increasing extent, taken on the characteristics of </w:t>
      </w:r>
      <w:r w:rsidR="005676C0">
        <w:t xml:space="preserve">a </w:t>
      </w:r>
      <w:r w:rsidR="0039171B" w:rsidRPr="00CD7C7B">
        <w:t>criminal gang, committing extortion and corruption and performing violence agains</w:t>
      </w:r>
      <w:r w:rsidR="00CD7C7B" w:rsidRPr="00CD7C7B">
        <w:t>t civilians in the Jaffna area.</w:t>
      </w:r>
      <w:r w:rsidR="002330BD">
        <w:t xml:space="preserve"> </w:t>
      </w:r>
      <w:r w:rsidR="00463341" w:rsidRPr="002330BD">
        <w:t xml:space="preserve">Accordingly, the State party maintains </w:t>
      </w:r>
      <w:r w:rsidR="00463341" w:rsidRPr="00C876E4">
        <w:t>that the complainant has not rendered probable that he face</w:t>
      </w:r>
      <w:r w:rsidR="00AB49E3" w:rsidRPr="00C876E4">
        <w:rPr>
          <w:lang w:val="en-US"/>
        </w:rPr>
        <w:t>s</w:t>
      </w:r>
      <w:r w:rsidR="00463341" w:rsidRPr="00C876E4">
        <w:t xml:space="preserve"> a real risk of being ill-treated by </w:t>
      </w:r>
      <w:r w:rsidR="00350D40" w:rsidRPr="00C876E4">
        <w:t>EPDP</w:t>
      </w:r>
      <w:r w:rsidR="00463341" w:rsidRPr="00C876E4">
        <w:t xml:space="preserve"> because o</w:t>
      </w:r>
      <w:r w:rsidR="001079A2" w:rsidRPr="00C876E4">
        <w:t xml:space="preserve">f his son’s training by </w:t>
      </w:r>
      <w:r w:rsidR="00350D40" w:rsidRPr="00C876E4">
        <w:t>LTTE</w:t>
      </w:r>
      <w:r w:rsidR="001079A2" w:rsidRPr="00C876E4">
        <w:t xml:space="preserve"> in</w:t>
      </w:r>
      <w:r w:rsidR="00463341" w:rsidRPr="00C876E4">
        <w:t xml:space="preserve"> 2006</w:t>
      </w:r>
      <w:r w:rsidR="00AB49E3" w:rsidRPr="00C876E4">
        <w:rPr>
          <w:lang w:val="en-US"/>
        </w:rPr>
        <w:t>,</w:t>
      </w:r>
      <w:r w:rsidR="00463341" w:rsidRPr="00C876E4">
        <w:t xml:space="preserve"> at the time when the Refugee Appeals Board rendered its decision, or that he faces any such risk currently.</w:t>
      </w:r>
      <w:r w:rsidR="00463341" w:rsidRPr="002330BD">
        <w:t xml:space="preserve"> </w:t>
      </w:r>
    </w:p>
    <w:p w:rsidR="002330BD" w:rsidRPr="001F787E" w:rsidRDefault="002330BD" w:rsidP="00B174AA">
      <w:pPr>
        <w:pStyle w:val="SingleTxtG"/>
        <w:rPr>
          <w:b/>
        </w:rPr>
      </w:pPr>
      <w:r>
        <w:t xml:space="preserve">4.14 </w:t>
      </w:r>
      <w:r w:rsidR="00CA526D" w:rsidRPr="00253A06">
        <w:rPr>
          <w:lang w:val="en-GB"/>
        </w:rPr>
        <w:tab/>
      </w:r>
      <w:r w:rsidR="002A7B5A">
        <w:t>Moreover, t</w:t>
      </w:r>
      <w:r>
        <w:t xml:space="preserve">he State party notes inconsistencies in the </w:t>
      </w:r>
      <w:r w:rsidRPr="00C876E4">
        <w:t xml:space="preserve">complainant’s story. In particular, during </w:t>
      </w:r>
      <w:r w:rsidR="00E25A18" w:rsidRPr="00C876E4">
        <w:t xml:space="preserve">the interview of 24 November 2008, the complainant stated that he had travelled from the village of Inparuddy to Colombo on 31 October 2008, that he had experienced no problems </w:t>
      </w:r>
      <w:r w:rsidR="0074075D" w:rsidRPr="00C876E4">
        <w:t xml:space="preserve">during </w:t>
      </w:r>
      <w:r w:rsidR="00E25A18" w:rsidRPr="00C876E4">
        <w:t xml:space="preserve">his journey, that he </w:t>
      </w:r>
      <w:r w:rsidR="00826CDC" w:rsidRPr="00C737E6">
        <w:rPr>
          <w:lang w:val="en-US"/>
        </w:rPr>
        <w:t xml:space="preserve">had </w:t>
      </w:r>
      <w:r w:rsidR="00E25A18" w:rsidRPr="00C876E4">
        <w:t>in his possession a temporary ID card, which he had presented to the Sri Lankan authorities during his</w:t>
      </w:r>
      <w:r w:rsidR="00E25A18" w:rsidRPr="00363D1A">
        <w:t xml:space="preserve"> journey, and that he had departed from </w:t>
      </w:r>
      <w:r w:rsidR="009E4486">
        <w:rPr>
          <w:lang w:val="en-US"/>
        </w:rPr>
        <w:t xml:space="preserve">the </w:t>
      </w:r>
      <w:r w:rsidR="00E25A18" w:rsidRPr="00363D1A">
        <w:t xml:space="preserve">Colombo </w:t>
      </w:r>
      <w:r w:rsidR="009E4486">
        <w:rPr>
          <w:lang w:val="en-US"/>
        </w:rPr>
        <w:t>a</w:t>
      </w:r>
      <w:r w:rsidR="00E25A18" w:rsidRPr="00363D1A">
        <w:t xml:space="preserve">irport on 12 November 2008 using </w:t>
      </w:r>
      <w:r w:rsidR="0074075D">
        <w:t>a</w:t>
      </w:r>
      <w:r w:rsidR="00E25A18" w:rsidRPr="00363D1A">
        <w:t xml:space="preserve"> temporary Sri Lankan</w:t>
      </w:r>
      <w:r w:rsidR="0074075D">
        <w:t xml:space="preserve"> </w:t>
      </w:r>
      <w:r w:rsidR="00E25A18" w:rsidRPr="00363D1A">
        <w:t>passport issued in his own name. The complainant then stated in his asylum application form of 4 December 2008</w:t>
      </w:r>
      <w:r w:rsidR="00826CDC">
        <w:rPr>
          <w:lang w:val="en-US"/>
        </w:rPr>
        <w:t>,</w:t>
      </w:r>
      <w:r w:rsidR="00E25A18" w:rsidRPr="00363D1A">
        <w:t xml:space="preserve"> and </w:t>
      </w:r>
      <w:r w:rsidR="0074075D">
        <w:t>whe</w:t>
      </w:r>
      <w:r w:rsidR="00F57CEC" w:rsidRPr="00062CE8">
        <w:rPr>
          <w:lang w:val="en-GB"/>
        </w:rPr>
        <w:t>n</w:t>
      </w:r>
      <w:r w:rsidR="0074075D">
        <w:t xml:space="preserve"> </w:t>
      </w:r>
      <w:r w:rsidR="00E25A18" w:rsidRPr="00363D1A">
        <w:t>interview</w:t>
      </w:r>
      <w:r w:rsidR="0074075D">
        <w:t>ed</w:t>
      </w:r>
      <w:r w:rsidR="00E25A18" w:rsidRPr="00363D1A">
        <w:t xml:space="preserve"> on 14 November 2009</w:t>
      </w:r>
      <w:r w:rsidR="00826CDC">
        <w:rPr>
          <w:lang w:val="en-US"/>
        </w:rPr>
        <w:t>,</w:t>
      </w:r>
      <w:r w:rsidR="00E25A18" w:rsidRPr="00363D1A">
        <w:t xml:space="preserve"> that he had departed from </w:t>
      </w:r>
      <w:r w:rsidR="009E4486">
        <w:rPr>
          <w:lang w:val="en-US"/>
        </w:rPr>
        <w:t xml:space="preserve">the </w:t>
      </w:r>
      <w:r w:rsidR="00E25A18" w:rsidRPr="00363D1A">
        <w:t xml:space="preserve">Colombo </w:t>
      </w:r>
      <w:r w:rsidR="009E4486">
        <w:rPr>
          <w:lang w:val="en-US"/>
        </w:rPr>
        <w:t>a</w:t>
      </w:r>
      <w:r w:rsidR="00E25A18" w:rsidRPr="00363D1A">
        <w:t>irport on 12 November 2008 and that he had used a passport issued in a different name.</w:t>
      </w:r>
      <w:r w:rsidR="00363D1A" w:rsidRPr="00363D1A">
        <w:t xml:space="preserve"> In addition, during the Board</w:t>
      </w:r>
      <w:r w:rsidR="0074075D">
        <w:t>’s</w:t>
      </w:r>
      <w:r w:rsidR="00363D1A" w:rsidRPr="00363D1A">
        <w:t xml:space="preserve"> hearing on 8 June 2010, the complainant stated that he had </w:t>
      </w:r>
      <w:r w:rsidR="00B00C68">
        <w:rPr>
          <w:lang w:val="en-US"/>
        </w:rPr>
        <w:t>remained</w:t>
      </w:r>
      <w:r w:rsidR="00B00C68" w:rsidRPr="00C737E6">
        <w:rPr>
          <w:lang w:val="en-US"/>
        </w:rPr>
        <w:t xml:space="preserve"> </w:t>
      </w:r>
      <w:r w:rsidR="00363D1A" w:rsidRPr="00363D1A">
        <w:t xml:space="preserve">with </w:t>
      </w:r>
      <w:r w:rsidR="00350D40">
        <w:t>LTTE</w:t>
      </w:r>
      <w:r w:rsidR="00363D1A" w:rsidRPr="00363D1A">
        <w:t xml:space="preserve"> on the Jaffna </w:t>
      </w:r>
      <w:r w:rsidR="00B00C68">
        <w:rPr>
          <w:lang w:val="en-US"/>
        </w:rPr>
        <w:t>p</w:t>
      </w:r>
      <w:r w:rsidR="00363D1A" w:rsidRPr="00363D1A">
        <w:t xml:space="preserve">eninsula for about 20 or 21 days after </w:t>
      </w:r>
      <w:r w:rsidR="00826CDC" w:rsidRPr="00C737E6">
        <w:rPr>
          <w:lang w:val="en-US"/>
        </w:rPr>
        <w:t xml:space="preserve">the </w:t>
      </w:r>
      <w:r w:rsidR="00363D1A" w:rsidRPr="00363D1A">
        <w:t xml:space="preserve">last visit </w:t>
      </w:r>
      <w:r w:rsidR="00826CDC">
        <w:rPr>
          <w:lang w:val="en-US"/>
        </w:rPr>
        <w:t xml:space="preserve">of </w:t>
      </w:r>
      <w:r w:rsidR="00826CDC">
        <w:t>EPDP</w:t>
      </w:r>
      <w:r w:rsidR="00826CDC">
        <w:rPr>
          <w:lang w:val="en-US"/>
        </w:rPr>
        <w:t xml:space="preserve"> </w:t>
      </w:r>
      <w:r w:rsidR="00363D1A" w:rsidRPr="00363D1A">
        <w:t xml:space="preserve">on 20 October 2008, and that he had then been accompanied by someone </w:t>
      </w:r>
      <w:r w:rsidR="00363D1A" w:rsidRPr="00C876E4">
        <w:t>to Mamadu</w:t>
      </w:r>
      <w:r w:rsidR="00A800BF">
        <w:rPr>
          <w:lang w:val="en-US"/>
        </w:rPr>
        <w:t>/</w:t>
      </w:r>
      <w:r w:rsidR="00363D1A" w:rsidRPr="00C876E4">
        <w:t>Vavuni</w:t>
      </w:r>
      <w:r w:rsidR="00826CDC" w:rsidRPr="006B7173">
        <w:rPr>
          <w:lang w:val="en-US"/>
        </w:rPr>
        <w:t>y</w:t>
      </w:r>
      <w:r w:rsidR="00363D1A" w:rsidRPr="00C876E4">
        <w:t>a</w:t>
      </w:r>
      <w:r w:rsidR="00826CDC" w:rsidRPr="00C876E4">
        <w:rPr>
          <w:lang w:val="en-US"/>
        </w:rPr>
        <w:t>,</w:t>
      </w:r>
      <w:r w:rsidR="00363D1A" w:rsidRPr="00C876E4">
        <w:t xml:space="preserve"> from where he had continued his journey to Colombo.</w:t>
      </w:r>
      <w:r w:rsidR="001F787E" w:rsidRPr="00C876E4">
        <w:t xml:space="preserve"> </w:t>
      </w:r>
      <w:r w:rsidR="0074075D" w:rsidRPr="00C876E4">
        <w:t>Thus</w:t>
      </w:r>
      <w:r w:rsidR="001F787E" w:rsidRPr="00C876E4">
        <w:t xml:space="preserve">, the State party maintains that the complainant, who left Sri Lanka more than six years ago and </w:t>
      </w:r>
      <w:r w:rsidR="001F787E" w:rsidRPr="001F787E">
        <w:t xml:space="preserve">is not a high-profile individual, will not </w:t>
      </w:r>
      <w:r w:rsidR="00B00C68">
        <w:rPr>
          <w:lang w:val="en-US"/>
        </w:rPr>
        <w:t xml:space="preserve">be at </w:t>
      </w:r>
      <w:r w:rsidR="001F787E" w:rsidRPr="001F787E">
        <w:t xml:space="preserve">risk </w:t>
      </w:r>
      <w:r w:rsidR="00B00C68">
        <w:rPr>
          <w:lang w:val="en-US"/>
        </w:rPr>
        <w:t>of</w:t>
      </w:r>
      <w:r w:rsidR="00B00C68" w:rsidRPr="00C737E6">
        <w:rPr>
          <w:lang w:val="en-US"/>
        </w:rPr>
        <w:t xml:space="preserve"> </w:t>
      </w:r>
      <w:r w:rsidR="00427AFE">
        <w:t>being subjected to ill-treatment</w:t>
      </w:r>
      <w:r w:rsidR="001F787E" w:rsidRPr="001F787E">
        <w:t xml:space="preserve"> </w:t>
      </w:r>
      <w:r w:rsidR="00427AFE">
        <w:t>in violation of article</w:t>
      </w:r>
      <w:r w:rsidR="001F787E" w:rsidRPr="001F787E">
        <w:t xml:space="preserve"> 3 of </w:t>
      </w:r>
      <w:r w:rsidR="00427AFE">
        <w:t>the Convention</w:t>
      </w:r>
      <w:r w:rsidR="00650074">
        <w:t xml:space="preserve"> if returned to Sri Lanka</w:t>
      </w:r>
      <w:r w:rsidR="001F787E" w:rsidRPr="001F787E">
        <w:t>.</w:t>
      </w:r>
    </w:p>
    <w:bookmarkEnd w:id="1"/>
    <w:p w:rsidR="00356045" w:rsidRPr="00CA526D" w:rsidRDefault="007265AF" w:rsidP="00CA526D">
      <w:pPr>
        <w:pStyle w:val="H23G"/>
      </w:pPr>
      <w:r>
        <w:tab/>
      </w:r>
      <w:r>
        <w:tab/>
      </w:r>
      <w:r w:rsidR="0045646B" w:rsidRPr="00CA526D">
        <w:t>F</w:t>
      </w:r>
      <w:r w:rsidR="00B116A8" w:rsidRPr="00CA526D">
        <w:t xml:space="preserve">urther </w:t>
      </w:r>
      <w:r w:rsidR="0045646B" w:rsidRPr="00CA526D">
        <w:t>submissions by the parties</w:t>
      </w:r>
      <w:r w:rsidR="00B116A8" w:rsidRPr="00CA526D">
        <w:t xml:space="preserve"> </w:t>
      </w:r>
    </w:p>
    <w:p w:rsidR="00E86F11" w:rsidRDefault="00356045">
      <w:pPr>
        <w:pStyle w:val="SingleTxtG"/>
      </w:pPr>
      <w:r w:rsidRPr="00E312AC">
        <w:rPr>
          <w:rStyle w:val="SingleTxtGChar"/>
        </w:rPr>
        <w:t>5.</w:t>
      </w:r>
      <w:r w:rsidR="0045646B">
        <w:rPr>
          <w:rStyle w:val="SingleTxtGChar"/>
        </w:rPr>
        <w:t>1</w:t>
      </w:r>
      <w:r w:rsidR="00541A15">
        <w:rPr>
          <w:rStyle w:val="SingleTxtGChar"/>
        </w:rPr>
        <w:t xml:space="preserve"> </w:t>
      </w:r>
      <w:r w:rsidR="00CA526D">
        <w:rPr>
          <w:rStyle w:val="SingleTxtGChar"/>
        </w:rPr>
        <w:tab/>
      </w:r>
      <w:r w:rsidR="00710B1D">
        <w:rPr>
          <w:rStyle w:val="SingleTxtGChar"/>
        </w:rPr>
        <w:t xml:space="preserve">On </w:t>
      </w:r>
      <w:r w:rsidR="00B116A8">
        <w:rPr>
          <w:rStyle w:val="SingleTxtGChar"/>
        </w:rPr>
        <w:t>29 June 2015</w:t>
      </w:r>
      <w:r w:rsidR="00710B1D">
        <w:rPr>
          <w:rStyle w:val="SingleTxtGChar"/>
        </w:rPr>
        <w:t>, the complainant submitted that</w:t>
      </w:r>
      <w:r w:rsidR="00541A15">
        <w:t xml:space="preserve"> he disagrees with the State party</w:t>
      </w:r>
      <w:r w:rsidR="003D3089">
        <w:t>’s assertion</w:t>
      </w:r>
      <w:r w:rsidR="00541A15">
        <w:t xml:space="preserve"> that his complaint is inadmissible. </w:t>
      </w:r>
      <w:r w:rsidR="0074075D">
        <w:t>C</w:t>
      </w:r>
      <w:r w:rsidR="00541A15">
        <w:t>oncerning the m</w:t>
      </w:r>
      <w:r w:rsidR="001079A2">
        <w:t>erits</w:t>
      </w:r>
      <w:r w:rsidR="0074075D">
        <w:t>, he</w:t>
      </w:r>
      <w:r w:rsidR="0045646B">
        <w:t xml:space="preserve"> acknowledges that he has not presented any new information to the Committee</w:t>
      </w:r>
      <w:r w:rsidR="001079A2">
        <w:t xml:space="preserve">; however, </w:t>
      </w:r>
      <w:r w:rsidR="0074075D">
        <w:t>he</w:t>
      </w:r>
      <w:r w:rsidR="0045646B">
        <w:t xml:space="preserve"> </w:t>
      </w:r>
      <w:r w:rsidR="00541A15">
        <w:t xml:space="preserve">refers to a number of reports </w:t>
      </w:r>
      <w:r w:rsidR="00B15D1C">
        <w:t>which confirm</w:t>
      </w:r>
      <w:r w:rsidR="00541A15">
        <w:t xml:space="preserve"> that </w:t>
      </w:r>
      <w:r w:rsidR="003D3089">
        <w:t>Tamils are still being subjected to ill-treatment in Sri Lanka.</w:t>
      </w:r>
      <w:r w:rsidR="00483E02">
        <w:rPr>
          <w:rStyle w:val="FootnoteReference"/>
        </w:rPr>
        <w:footnoteReference w:id="13"/>
      </w:r>
      <w:r w:rsidR="00B15D1C">
        <w:t xml:space="preserve"> The complainant further notes that </w:t>
      </w:r>
      <w:r w:rsidR="0074075D">
        <w:t>even if</w:t>
      </w:r>
      <w:r w:rsidR="00B15D1C">
        <w:t xml:space="preserve"> he is not a “high-profile person” in Sri Lanka, he </w:t>
      </w:r>
      <w:r w:rsidR="00826CDC">
        <w:rPr>
          <w:lang w:val="en-US"/>
        </w:rPr>
        <w:t>was</w:t>
      </w:r>
      <w:r w:rsidR="00B15D1C">
        <w:t xml:space="preserve"> arrested, interrogated and beaten by </w:t>
      </w:r>
      <w:r w:rsidR="00350D40">
        <w:t>EPDP</w:t>
      </w:r>
      <w:r w:rsidR="00826CDC">
        <w:rPr>
          <w:lang w:val="en-US"/>
        </w:rPr>
        <w:t>,</w:t>
      </w:r>
      <w:r w:rsidR="00B15D1C">
        <w:t xml:space="preserve"> and was released only after he promised to hand over his son. He failed to do so and therefore was threatened </w:t>
      </w:r>
      <w:r w:rsidR="00826CDC">
        <w:rPr>
          <w:lang w:val="en-US"/>
        </w:rPr>
        <w:t>with being</w:t>
      </w:r>
      <w:r w:rsidR="00826CDC" w:rsidRPr="00C737E6">
        <w:rPr>
          <w:lang w:val="en-US"/>
        </w:rPr>
        <w:t xml:space="preserve"> </w:t>
      </w:r>
      <w:r w:rsidR="00B15D1C">
        <w:t xml:space="preserve">killed. Consequently, he fled Sri Lanka illegally with a passport which was not issued in his </w:t>
      </w:r>
      <w:r w:rsidR="00B15D1C">
        <w:lastRenderedPageBreak/>
        <w:t>name. For these reasons</w:t>
      </w:r>
      <w:r w:rsidR="00826CDC">
        <w:rPr>
          <w:lang w:val="en-US"/>
        </w:rPr>
        <w:t>,</w:t>
      </w:r>
      <w:r w:rsidR="00B15D1C">
        <w:t xml:space="preserve"> he has a well-founded fear that he would be ill-treated upon return. The complainant further submits that the domestic authorities actually found that he was in need of protection at the time when he left Sri Lanka in 2008 and that only on </w:t>
      </w:r>
      <w:r w:rsidR="003C558D">
        <w:t xml:space="preserve">account of the fact that </w:t>
      </w:r>
      <w:r w:rsidR="00350D40">
        <w:t>EPDP</w:t>
      </w:r>
      <w:r w:rsidR="001E704D">
        <w:t xml:space="preserve"> </w:t>
      </w:r>
      <w:r w:rsidR="00B15D1C">
        <w:t>had lost its influence in Jaffna</w:t>
      </w:r>
      <w:r w:rsidR="00086CFA">
        <w:rPr>
          <w:lang w:val="en-US"/>
        </w:rPr>
        <w:t xml:space="preserve"> had</w:t>
      </w:r>
      <w:r w:rsidR="003C558D">
        <w:t xml:space="preserve"> the authorities concluded that he no longer require</w:t>
      </w:r>
      <w:r w:rsidR="00086CFA">
        <w:rPr>
          <w:lang w:val="en-US"/>
        </w:rPr>
        <w:t>d</w:t>
      </w:r>
      <w:r w:rsidR="003C558D">
        <w:t xml:space="preserve"> protection. He also adds that </w:t>
      </w:r>
      <w:r w:rsidR="00350D40">
        <w:t>EPDP</w:t>
      </w:r>
      <w:r w:rsidR="001E704D">
        <w:t xml:space="preserve"> </w:t>
      </w:r>
      <w:r w:rsidR="003C558D">
        <w:t xml:space="preserve">is still active as a paramilitary group and exerts control in Jaffna with </w:t>
      </w:r>
      <w:r w:rsidR="00086CFA">
        <w:rPr>
          <w:lang w:val="en-US"/>
        </w:rPr>
        <w:t>the</w:t>
      </w:r>
      <w:r w:rsidR="00086CFA" w:rsidRPr="00C737E6">
        <w:rPr>
          <w:lang w:val="en-US"/>
        </w:rPr>
        <w:t xml:space="preserve"> </w:t>
      </w:r>
      <w:r w:rsidR="003C558D">
        <w:t>tacit approval of the Sri Lankan army</w:t>
      </w:r>
      <w:r w:rsidR="00483E02" w:rsidRPr="00253A06">
        <w:rPr>
          <w:lang w:val="en-GB"/>
        </w:rPr>
        <w:t>.</w:t>
      </w:r>
      <w:r w:rsidR="00483E02">
        <w:rPr>
          <w:rStyle w:val="FootnoteReference"/>
        </w:rPr>
        <w:footnoteReference w:id="14"/>
      </w:r>
    </w:p>
    <w:p w:rsidR="00CE5EF3" w:rsidRDefault="0045646B">
      <w:pPr>
        <w:pStyle w:val="SingleTxtG"/>
      </w:pPr>
      <w:r w:rsidRPr="00DE7523">
        <w:t xml:space="preserve">5.2 </w:t>
      </w:r>
      <w:r w:rsidR="00FD104A" w:rsidRPr="00DE7523">
        <w:rPr>
          <w:lang w:val="en-GB"/>
        </w:rPr>
        <w:tab/>
      </w:r>
      <w:r w:rsidRPr="00DE7523">
        <w:t xml:space="preserve">On 24 February 2016, the State party </w:t>
      </w:r>
      <w:r w:rsidR="00A649BB" w:rsidRPr="00DE7523">
        <w:t xml:space="preserve">reiterated its view </w:t>
      </w:r>
      <w:r w:rsidR="00122DD6" w:rsidRPr="00DE7523">
        <w:t xml:space="preserve">that the present complaint is inadmissible due to lack of substantiation </w:t>
      </w:r>
      <w:r w:rsidR="006F7FCE" w:rsidRPr="00DE7523">
        <w:t xml:space="preserve">and is </w:t>
      </w:r>
      <w:r w:rsidR="00122DD6" w:rsidRPr="00DE7523">
        <w:t xml:space="preserve">without merit. It </w:t>
      </w:r>
      <w:r w:rsidRPr="00DE7523">
        <w:t>observes that</w:t>
      </w:r>
      <w:r w:rsidR="00086CFA" w:rsidRPr="00DE7523">
        <w:rPr>
          <w:lang w:val="en-US"/>
        </w:rPr>
        <w:t>,</w:t>
      </w:r>
      <w:r w:rsidRPr="00DE7523">
        <w:t xml:space="preserve"> in his comments of 29 June 2015, the complainant confirmed that he ha</w:t>
      </w:r>
      <w:r w:rsidR="00064D75" w:rsidRPr="00DE7523">
        <w:rPr>
          <w:lang w:val="en-US"/>
        </w:rPr>
        <w:t>d</w:t>
      </w:r>
      <w:r w:rsidRPr="00DE7523">
        <w:t xml:space="preserve"> not provided any new information in the context of his complaint before the Committee. It further notes that it appears that the complainant claims that he left Sri Lanka illegally. In this regard, the State party notes that the complainant travelled to Colombo without experiencing any problems</w:t>
      </w:r>
      <w:r w:rsidR="00064D75" w:rsidRPr="00DE7523">
        <w:rPr>
          <w:lang w:val="en-US"/>
        </w:rPr>
        <w:t>,</w:t>
      </w:r>
      <w:r w:rsidRPr="00DE7523">
        <w:t xml:space="preserve"> that he left Colombo </w:t>
      </w:r>
      <w:r w:rsidR="000B005C" w:rsidRPr="00C737E6">
        <w:rPr>
          <w:lang w:val="en-US"/>
        </w:rPr>
        <w:t>a</w:t>
      </w:r>
      <w:r w:rsidRPr="00DE7523">
        <w:t xml:space="preserve">irport without any difficulty and that he </w:t>
      </w:r>
      <w:r w:rsidR="00A71E9A" w:rsidRPr="00DE7523">
        <w:rPr>
          <w:lang w:val="en-US"/>
        </w:rPr>
        <w:t>was able to</w:t>
      </w:r>
      <w:r w:rsidR="00A71E9A" w:rsidRPr="00C737E6">
        <w:rPr>
          <w:lang w:val="en-US"/>
        </w:rPr>
        <w:t xml:space="preserve"> </w:t>
      </w:r>
      <w:r w:rsidRPr="00DE7523">
        <w:t xml:space="preserve">stay in Colombo prior to his departure without experiencing any problems. As regards the </w:t>
      </w:r>
      <w:r w:rsidR="00CE3652" w:rsidRPr="00DE7523">
        <w:t>background</w:t>
      </w:r>
      <w:r w:rsidRPr="00DE7523">
        <w:t xml:space="preserve"> information on Sri Lanka, the State party notes that the current background information does not provide any basis for reaching a different assessment of the complainant’s asylum case.</w:t>
      </w:r>
      <w:r w:rsidR="00C513AB" w:rsidRPr="00DE7523">
        <w:t xml:space="preserve"> In this respect, the </w:t>
      </w:r>
      <w:r w:rsidR="00800F23" w:rsidRPr="00DE7523">
        <w:t>State party</w:t>
      </w:r>
      <w:r w:rsidR="00C513AB" w:rsidRPr="00DE7523">
        <w:t xml:space="preserve"> refers to </w:t>
      </w:r>
      <w:r w:rsidR="00DE7523" w:rsidRPr="006B7173">
        <w:rPr>
          <w:lang w:val="en-US"/>
        </w:rPr>
        <w:t>c</w:t>
      </w:r>
      <w:r w:rsidR="00C513AB" w:rsidRPr="006B7173">
        <w:t xml:space="preserve">ountry </w:t>
      </w:r>
      <w:r w:rsidR="00DE7523" w:rsidRPr="006B7173">
        <w:rPr>
          <w:lang w:val="en-US"/>
        </w:rPr>
        <w:t>i</w:t>
      </w:r>
      <w:r w:rsidR="00C513AB" w:rsidRPr="006B7173">
        <w:t>nformation</w:t>
      </w:r>
      <w:r w:rsidR="00C513AB" w:rsidRPr="00C737E6">
        <w:t xml:space="preserve"> and </w:t>
      </w:r>
      <w:r w:rsidR="00DE7523" w:rsidRPr="006B7173">
        <w:rPr>
          <w:lang w:val="en-US"/>
        </w:rPr>
        <w:t>g</w:t>
      </w:r>
      <w:r w:rsidR="00C513AB" w:rsidRPr="006B7173">
        <w:t>uidance</w:t>
      </w:r>
      <w:r w:rsidR="00DE7523" w:rsidRPr="006B7173">
        <w:rPr>
          <w:lang w:val="en-US"/>
        </w:rPr>
        <w:t xml:space="preserve"> on</w:t>
      </w:r>
      <w:r w:rsidR="00DE7523" w:rsidRPr="00C737E6">
        <w:rPr>
          <w:lang w:val="en-US"/>
        </w:rPr>
        <w:t xml:space="preserve"> </w:t>
      </w:r>
      <w:r w:rsidR="00C513AB" w:rsidRPr="00C737E6">
        <w:t>Sri Lanka</w:t>
      </w:r>
      <w:r w:rsidR="00DE7523" w:rsidRPr="006B7173">
        <w:rPr>
          <w:lang w:val="en-US"/>
        </w:rPr>
        <w:t xml:space="preserve"> </w:t>
      </w:r>
      <w:r w:rsidR="00B00C68">
        <w:rPr>
          <w:lang w:val="en-US"/>
        </w:rPr>
        <w:t>of</w:t>
      </w:r>
      <w:r w:rsidR="00DE7523" w:rsidRPr="006B7173">
        <w:rPr>
          <w:lang w:val="en-US"/>
        </w:rPr>
        <w:t xml:space="preserve"> the </w:t>
      </w:r>
      <w:r w:rsidR="00800F23" w:rsidRPr="00DE7523">
        <w:t>Home Office</w:t>
      </w:r>
      <w:r w:rsidR="00C723DB">
        <w:rPr>
          <w:lang w:val="en-US"/>
        </w:rPr>
        <w:t xml:space="preserve"> of the United Kingdom of Great Britain and Northern Ireland</w:t>
      </w:r>
      <w:r w:rsidR="00C513AB" w:rsidRPr="00DE7523">
        <w:t>,</w:t>
      </w:r>
      <w:r w:rsidR="00DE7523" w:rsidRPr="006B7173">
        <w:rPr>
          <w:rStyle w:val="FootnoteReference"/>
        </w:rPr>
        <w:footnoteReference w:id="15"/>
      </w:r>
      <w:r w:rsidR="00C513AB" w:rsidRPr="00DE7523">
        <w:t xml:space="preserve"> </w:t>
      </w:r>
      <w:r w:rsidR="00A71E9A" w:rsidRPr="00DE7523">
        <w:t>in which</w:t>
      </w:r>
      <w:r w:rsidR="00800F23" w:rsidRPr="00DE7523">
        <w:t xml:space="preserve"> it is stated </w:t>
      </w:r>
      <w:r w:rsidR="00C513AB" w:rsidRPr="00DE7523">
        <w:t xml:space="preserve">that a Tamil’s low-level membership of or participation in </w:t>
      </w:r>
      <w:r w:rsidR="00350D40" w:rsidRPr="00DE7523">
        <w:t>LTTE</w:t>
      </w:r>
      <w:r w:rsidR="00C513AB" w:rsidRPr="00DE7523">
        <w:t xml:space="preserve"> is not sufficient to create a real risk or a reasonable degree of likelihood that the relevant person would attract adverse attention on his return to Sri Lanka.</w:t>
      </w:r>
      <w:r w:rsidR="00800F23" w:rsidRPr="00DE7523">
        <w:t xml:space="preserve"> Further, according to the thematic memorandum published by the Norwegian Country of Origin Information Centre </w:t>
      </w:r>
      <w:r w:rsidR="000B005C" w:rsidRPr="00DE7523">
        <w:rPr>
          <w:lang w:val="en-US"/>
        </w:rPr>
        <w:t xml:space="preserve">(Landinfo) </w:t>
      </w:r>
      <w:r w:rsidR="00800F23" w:rsidRPr="00DE7523">
        <w:t>on 3 July 2015,</w:t>
      </w:r>
      <w:r w:rsidR="00FD104A" w:rsidRPr="00DE7523">
        <w:rPr>
          <w:rStyle w:val="FootnoteReference"/>
        </w:rPr>
        <w:footnoteReference w:id="16"/>
      </w:r>
      <w:r w:rsidR="00800F23" w:rsidRPr="00DE7523">
        <w:t xml:space="preserve"> the overall security situation in Sri Lanka has significantly improved since May 2009, although the country is still under tight military control, and Landinfo has not received any information that Tamils returning to Sri Lanka have been exposed to particular security arrangements, subjected to torture or other</w:t>
      </w:r>
      <w:r w:rsidR="00A649BB" w:rsidRPr="00DE7523">
        <w:t>wise</w:t>
      </w:r>
      <w:r w:rsidR="00800F23" w:rsidRPr="00DE7523">
        <w:t xml:space="preserve"> ill-treat</w:t>
      </w:r>
      <w:r w:rsidR="00A649BB" w:rsidRPr="00DE7523">
        <w:t>ed</w:t>
      </w:r>
      <w:r w:rsidR="00800F23" w:rsidRPr="00DE7523">
        <w:t>.</w:t>
      </w:r>
      <w:r w:rsidR="00800F23">
        <w:t xml:space="preserve"> </w:t>
      </w:r>
    </w:p>
    <w:p w:rsidR="0045646B" w:rsidRPr="00C737E6" w:rsidRDefault="00CE5EF3">
      <w:pPr>
        <w:pStyle w:val="SingleTxtG"/>
        <w:rPr>
          <w:lang w:val="en-US"/>
        </w:rPr>
      </w:pPr>
      <w:r>
        <w:t xml:space="preserve">5.3 </w:t>
      </w:r>
      <w:r w:rsidR="00CA526D" w:rsidRPr="00253A06">
        <w:rPr>
          <w:lang w:val="en-GB"/>
        </w:rPr>
        <w:tab/>
      </w:r>
      <w:r w:rsidR="00A71E9A">
        <w:rPr>
          <w:lang w:val="en-GB"/>
        </w:rPr>
        <w:t>Finally, i</w:t>
      </w:r>
      <w:r w:rsidR="00E67D1A">
        <w:t>n support of its assertion that the present complaint is unfounded and without merit, t</w:t>
      </w:r>
      <w:r>
        <w:t xml:space="preserve">he </w:t>
      </w:r>
      <w:r w:rsidRPr="00745FEE">
        <w:t xml:space="preserve">State party refers to the recent jurisprudence of the Human Rights Committee. In </w:t>
      </w:r>
      <w:r w:rsidRPr="00745FEE">
        <w:rPr>
          <w:i/>
        </w:rPr>
        <w:t>P.T. v. Denmark</w:t>
      </w:r>
      <w:r w:rsidRPr="00745FEE">
        <w:t>, th</w:t>
      </w:r>
      <w:r w:rsidR="00A71E9A">
        <w:rPr>
          <w:lang w:val="en-US"/>
        </w:rPr>
        <w:t>e</w:t>
      </w:r>
      <w:r w:rsidRPr="00745FEE">
        <w:t xml:space="preserve"> Committee noted that “important weight should be given to the assessment conducted by the State party, unless it is found that the evaluation was clearly arbitrary or amounted to a denial of justice”.</w:t>
      </w:r>
      <w:r w:rsidR="00FD104A">
        <w:rPr>
          <w:rStyle w:val="FootnoteReference"/>
        </w:rPr>
        <w:footnoteReference w:id="17"/>
      </w:r>
      <w:r w:rsidR="00C96009" w:rsidRPr="00253A06">
        <w:rPr>
          <w:lang w:val="en-GB"/>
        </w:rPr>
        <w:t xml:space="preserve"> </w:t>
      </w:r>
      <w:r w:rsidRPr="00745FEE">
        <w:t xml:space="preserve">Further, in </w:t>
      </w:r>
      <w:r w:rsidRPr="00745FEE">
        <w:rPr>
          <w:i/>
        </w:rPr>
        <w:t>K. v. Denmark</w:t>
      </w:r>
      <w:r w:rsidRPr="00745FEE">
        <w:t xml:space="preserve">, </w:t>
      </w:r>
      <w:r w:rsidR="00A71E9A">
        <w:rPr>
          <w:lang w:val="en-US"/>
        </w:rPr>
        <w:t>the Committee</w:t>
      </w:r>
      <w:r w:rsidRPr="00745FEE">
        <w:t xml:space="preserve"> stated that the Danish Refugee Appeals Board </w:t>
      </w:r>
      <w:r w:rsidR="00542FC6" w:rsidRPr="00745FEE">
        <w:t>“</w:t>
      </w:r>
      <w:r w:rsidRPr="00745FEE">
        <w:t xml:space="preserve">thoroughly examined each of the author’s claims, and particularly analysed the alleged threats allegedly received by the author in </w:t>
      </w:r>
      <w:r w:rsidR="00A649BB">
        <w:t>[his country of origin]</w:t>
      </w:r>
      <w:r w:rsidRPr="00745FEE">
        <w:t>, and found them to be inconsistent and implausible on several grounds. The author challenges the assessment of evidence and the factual conclusions reached by the RAB, but he does not explain why that assessment would be arbitrary or otherwise amount to a denial of justice”.</w:t>
      </w:r>
      <w:r w:rsidR="00FD104A">
        <w:rPr>
          <w:rStyle w:val="FootnoteReference"/>
        </w:rPr>
        <w:footnoteReference w:id="18"/>
      </w:r>
      <w:r w:rsidRPr="00745FEE">
        <w:t xml:space="preserve"> In addition, in </w:t>
      </w:r>
      <w:r w:rsidRPr="001079A2">
        <w:rPr>
          <w:i/>
        </w:rPr>
        <w:t>N. v. Denmark</w:t>
      </w:r>
      <w:r w:rsidRPr="00745FEE">
        <w:t>, the Human Rights Committee concluded that “</w:t>
      </w:r>
      <w:r w:rsidR="00745FEE" w:rsidRPr="00745FEE">
        <w:t>t</w:t>
      </w:r>
      <w:r w:rsidRPr="00745FEE">
        <w:t xml:space="preserve">he author has not explained why the decision by the Refugee Appeals Board would be contrary to this standard, nor has he provided substantial grounds to support his claim that his removal to the Islamic Republic of Iran would expose him to a real risk of irreparable harm in violation of article 7 of the Covenant. </w:t>
      </w:r>
      <w:r w:rsidRPr="00745FEE">
        <w:lastRenderedPageBreak/>
        <w:t>The Committee accordingly concludes that the author has failed to sufficiently substantiate his claim of</w:t>
      </w:r>
      <w:r w:rsidR="00C65835">
        <w:t xml:space="preserve"> violation of article 7 for </w:t>
      </w:r>
      <w:r w:rsidR="00A71E9A">
        <w:rPr>
          <w:lang w:val="en-US"/>
        </w:rPr>
        <w:t xml:space="preserve">the </w:t>
      </w:r>
      <w:r w:rsidR="00C65835">
        <w:t>pur</w:t>
      </w:r>
      <w:r w:rsidRPr="00745FEE">
        <w:t>poses of admissibility and finds his communication inadmissible pursuant to article 2 of the Optional Protocol.”</w:t>
      </w:r>
      <w:r w:rsidR="00FD104A">
        <w:rPr>
          <w:rStyle w:val="FootnoteReference"/>
        </w:rPr>
        <w:footnoteReference w:id="19"/>
      </w:r>
      <w:r w:rsidR="00F90868">
        <w:t xml:space="preserve"> </w:t>
      </w:r>
    </w:p>
    <w:p w:rsidR="00253A06" w:rsidRDefault="00253A06" w:rsidP="00C737E6">
      <w:pPr>
        <w:pStyle w:val="SingleTxtG"/>
      </w:pPr>
      <w:r w:rsidRPr="007D7232">
        <w:t>5.4</w:t>
      </w:r>
      <w:r w:rsidR="007B239B">
        <w:rPr>
          <w:lang w:val="fr-CH"/>
        </w:rPr>
        <w:tab/>
      </w:r>
      <w:r>
        <w:t xml:space="preserve">On 22 March 2016, the complainant submitted that his complaint </w:t>
      </w:r>
      <w:r w:rsidR="00A71E9A">
        <w:t>was</w:t>
      </w:r>
      <w:r>
        <w:t xml:space="preserve"> admissible. He maintain</w:t>
      </w:r>
      <w:r w:rsidR="00F12D81">
        <w:t>ed</w:t>
      </w:r>
      <w:r>
        <w:t xml:space="preserve"> that he ha</w:t>
      </w:r>
      <w:r w:rsidR="00F12D81">
        <w:t>d</w:t>
      </w:r>
      <w:r>
        <w:t xml:space="preserve"> well-founded fear</w:t>
      </w:r>
      <w:r w:rsidR="00F25656">
        <w:t>s</w:t>
      </w:r>
      <w:r>
        <w:t xml:space="preserve"> that he would risk being subjected to torture upon return to Sri Lanka and note</w:t>
      </w:r>
      <w:r w:rsidR="00F12D81">
        <w:t>d</w:t>
      </w:r>
      <w:r>
        <w:t xml:space="preserve"> that the State party’s authorities </w:t>
      </w:r>
      <w:r w:rsidR="00F12D81">
        <w:t xml:space="preserve">had </w:t>
      </w:r>
      <w:r>
        <w:t>based the decision to deport him on “outdated and insufficient background information”</w:t>
      </w:r>
      <w:r w:rsidR="00A71E9A">
        <w:t>,</w:t>
      </w:r>
      <w:r>
        <w:t xml:space="preserve"> failing to reopen his asylum case when “new reports and recommendations came forward after March 2012”. The complainant further note</w:t>
      </w:r>
      <w:r w:rsidR="00F12D81">
        <w:t>d</w:t>
      </w:r>
      <w:r>
        <w:t xml:space="preserve"> that the decision of the </w:t>
      </w:r>
      <w:r w:rsidRPr="00C262E3">
        <w:t>Danish Refugee Appeals Board</w:t>
      </w:r>
      <w:r>
        <w:t xml:space="preserve"> </w:t>
      </w:r>
      <w:r w:rsidR="00F12D81">
        <w:t>was</w:t>
      </w:r>
      <w:r>
        <w:t xml:space="preserve"> not subjected to further appeal</w:t>
      </w:r>
      <w:r w:rsidR="00A71E9A">
        <w:t>,</w:t>
      </w:r>
      <w:r>
        <w:t xml:space="preserve"> and submit</w:t>
      </w:r>
      <w:r w:rsidR="00F12D81">
        <w:t>ted</w:t>
      </w:r>
      <w:r>
        <w:t xml:space="preserve"> that it was based on “information which was later proved to be wrong” and thereby amounted to “denial of justice” in the complainant’s case. In this connection, the complainant submit</w:t>
      </w:r>
      <w:r w:rsidR="00F12D81">
        <w:t>ted</w:t>
      </w:r>
      <w:r>
        <w:t xml:space="preserve"> that his explanations before the State party’s authorities in general were considered to be consistent and credible</w:t>
      </w:r>
      <w:r w:rsidR="00795B0C">
        <w:t>,</w:t>
      </w:r>
      <w:r>
        <w:t xml:space="preserve"> and </w:t>
      </w:r>
      <w:r w:rsidR="00795B0C">
        <w:t xml:space="preserve">that </w:t>
      </w:r>
      <w:r>
        <w:t xml:space="preserve">he </w:t>
      </w:r>
      <w:r w:rsidR="00F12D81">
        <w:t xml:space="preserve">had </w:t>
      </w:r>
      <w:r>
        <w:t xml:space="preserve">actually </w:t>
      </w:r>
      <w:r w:rsidR="00F12D81">
        <w:t xml:space="preserve">been </w:t>
      </w:r>
      <w:r>
        <w:t xml:space="preserve">found to be in need of protection when he left Sri Lanka in 2008. </w:t>
      </w:r>
    </w:p>
    <w:p w:rsidR="00253A06" w:rsidRDefault="00253A06" w:rsidP="00C737E6">
      <w:pPr>
        <w:pStyle w:val="SingleTxtG"/>
      </w:pPr>
      <w:r>
        <w:t>5.5</w:t>
      </w:r>
      <w:r w:rsidR="007B239B">
        <w:rPr>
          <w:lang w:val="fr-CH"/>
        </w:rPr>
        <w:tab/>
      </w:r>
      <w:r>
        <w:t>The complainant state</w:t>
      </w:r>
      <w:r w:rsidR="00380BB4">
        <w:t>d</w:t>
      </w:r>
      <w:r>
        <w:t xml:space="preserve"> that the State party’s immigration authorities </w:t>
      </w:r>
      <w:r w:rsidR="00380BB4">
        <w:t xml:space="preserve">had </w:t>
      </w:r>
      <w:r>
        <w:t xml:space="preserve">decided to reject his asylum application on </w:t>
      </w:r>
      <w:r w:rsidR="00795B0C">
        <w:t xml:space="preserve">the </w:t>
      </w:r>
      <w:r>
        <w:t xml:space="preserve">grounds that </w:t>
      </w:r>
      <w:r w:rsidR="00350D40">
        <w:t>EPDP</w:t>
      </w:r>
      <w:r>
        <w:t xml:space="preserve"> was no longer connected to the Sri Lankan authorities and that the general risk of torture of returned Tamils was at the time considered to be low. However, he argue</w:t>
      </w:r>
      <w:r w:rsidR="00380BB4">
        <w:t>d</w:t>
      </w:r>
      <w:r>
        <w:t xml:space="preserve"> that “many reports have later proved both [grounds] to be questionable”. Therefore, the State party’s immigration authorities should reopen his asylum case and examine his application in light of the most recent background information on Sri Lanka. The complainant maintain</w:t>
      </w:r>
      <w:r w:rsidR="00380BB4">
        <w:t>ed</w:t>
      </w:r>
      <w:r>
        <w:t xml:space="preserve"> that there ha</w:t>
      </w:r>
      <w:r w:rsidR="00380BB4">
        <w:t>d</w:t>
      </w:r>
      <w:r>
        <w:t xml:space="preserve"> been “no change of power” in Sri Lanka </w:t>
      </w:r>
      <w:r w:rsidR="00795B0C">
        <w:t xml:space="preserve">since </w:t>
      </w:r>
      <w:r>
        <w:t>he left the country and that “the Board” ha</w:t>
      </w:r>
      <w:r w:rsidR="00380BB4">
        <w:t>d</w:t>
      </w:r>
      <w:r>
        <w:t xml:space="preserve"> not presented any evidence that he would not face any danger upon return. In th</w:t>
      </w:r>
      <w:r w:rsidR="00380BB4">
        <w:t>at</w:t>
      </w:r>
      <w:r>
        <w:t xml:space="preserve"> regard, the complainant submit</w:t>
      </w:r>
      <w:r w:rsidR="00380BB4">
        <w:t>ted</w:t>
      </w:r>
      <w:r>
        <w:t xml:space="preserve"> that in 2013 and 2014 the State party </w:t>
      </w:r>
      <w:r w:rsidR="00380BB4">
        <w:t xml:space="preserve">had </w:t>
      </w:r>
      <w:r>
        <w:t xml:space="preserve">granted asylum to “10 out of 16 asylum seekers from Sri Lanka”; five rejections </w:t>
      </w:r>
      <w:r w:rsidR="00380BB4">
        <w:t xml:space="preserve">had been </w:t>
      </w:r>
      <w:r>
        <w:t>based on lack of credibility, which, according to the complainant, indicate</w:t>
      </w:r>
      <w:r w:rsidR="00380BB4">
        <w:t>d</w:t>
      </w:r>
      <w:r>
        <w:t xml:space="preserve"> that “the Board in similar cases now acknowledges a strong need for protection”.</w:t>
      </w:r>
    </w:p>
    <w:p w:rsidR="00C43394" w:rsidRPr="00B174AA" w:rsidRDefault="00253A06" w:rsidP="00C737E6">
      <w:pPr>
        <w:pStyle w:val="SingleTxtG"/>
        <w:rPr>
          <w:lang w:val="en-US"/>
        </w:rPr>
      </w:pPr>
      <w:r>
        <w:t>5.6</w:t>
      </w:r>
      <w:r w:rsidR="007B239B">
        <w:rPr>
          <w:lang w:val="fr-CH"/>
        </w:rPr>
        <w:tab/>
      </w:r>
      <w:r>
        <w:t>The complainant submit</w:t>
      </w:r>
      <w:r w:rsidR="00380BB4">
        <w:t>ted</w:t>
      </w:r>
      <w:r>
        <w:t xml:space="preserve"> that torture and other forms of ill-treatment </w:t>
      </w:r>
      <w:r w:rsidR="00380BB4">
        <w:t>were</w:t>
      </w:r>
      <w:r>
        <w:t xml:space="preserve"> still widespread in Sri Lanka and</w:t>
      </w:r>
      <w:r w:rsidR="00795B0C">
        <w:t>,</w:t>
      </w:r>
      <w:r>
        <w:t xml:space="preserve"> given his background, he </w:t>
      </w:r>
      <w:r w:rsidR="00380BB4">
        <w:t>was</w:t>
      </w:r>
      <w:r>
        <w:t xml:space="preserve"> at risk of being subjected to torture or other degrading treatment upon return. He add</w:t>
      </w:r>
      <w:r w:rsidR="00380BB4">
        <w:t>ed</w:t>
      </w:r>
      <w:r>
        <w:t xml:space="preserve"> that</w:t>
      </w:r>
      <w:r w:rsidR="00795B0C">
        <w:t>,</w:t>
      </w:r>
      <w:r>
        <w:t xml:space="preserve"> </w:t>
      </w:r>
      <w:r w:rsidRPr="0051693A">
        <w:t xml:space="preserve">in its submission to the Committee, the State party </w:t>
      </w:r>
      <w:r w:rsidR="00380BB4">
        <w:t xml:space="preserve">had </w:t>
      </w:r>
      <w:r w:rsidRPr="0051693A">
        <w:t>omitted important facts. According to Landinfo</w:t>
      </w:r>
      <w:r w:rsidR="0051693A" w:rsidRPr="006B7173">
        <w:t>, in</w:t>
      </w:r>
      <w:r w:rsidRPr="0051693A">
        <w:t xml:space="preserve"> 2015</w:t>
      </w:r>
      <w:r w:rsidR="0051693A" w:rsidRPr="0051693A">
        <w:t xml:space="preserve"> </w:t>
      </w:r>
      <w:r w:rsidRPr="0051693A">
        <w:t xml:space="preserve">“arbitrary arrests and detention are still reported and that the Sri Lankan government still considers </w:t>
      </w:r>
      <w:r w:rsidR="00350D40" w:rsidRPr="0051693A">
        <w:t>LTTE</w:t>
      </w:r>
      <w:r w:rsidRPr="0051693A">
        <w:t xml:space="preserve"> as </w:t>
      </w:r>
      <w:r w:rsidR="009E4486" w:rsidRPr="006B7173">
        <w:t>‘</w:t>
      </w:r>
      <w:r w:rsidRPr="0051693A">
        <w:t>a security risk</w:t>
      </w:r>
      <w:r w:rsidR="009E4486" w:rsidRPr="006B7173">
        <w:t>’</w:t>
      </w:r>
      <w:r w:rsidRPr="0051693A">
        <w:t>”. According to Freedom from Torture</w:t>
      </w:r>
      <w:r w:rsidR="00F22170" w:rsidRPr="0051693A">
        <w:t>, an organization based in the United Kingdom</w:t>
      </w:r>
      <w:r>
        <w:t>, it ha</w:t>
      </w:r>
      <w:r w:rsidR="00380BB4">
        <w:t>d</w:t>
      </w:r>
      <w:r>
        <w:t xml:space="preserve"> gathered “evidence of 160 (torture) cases up (until) September 2014”. The complainant further provide</w:t>
      </w:r>
      <w:r w:rsidR="00380BB4">
        <w:t>d</w:t>
      </w:r>
      <w:r>
        <w:t xml:space="preserve"> extracts from </w:t>
      </w:r>
      <w:r w:rsidRPr="0032403D">
        <w:t>a number of “sources”</w:t>
      </w:r>
      <w:r w:rsidR="00F22170" w:rsidRPr="0032403D">
        <w:t>,</w:t>
      </w:r>
      <w:r w:rsidRPr="0032403D">
        <w:rPr>
          <w:rStyle w:val="FootnoteReference"/>
        </w:rPr>
        <w:footnoteReference w:id="20"/>
      </w:r>
      <w:r w:rsidRPr="0032403D">
        <w:t xml:space="preserve"> demonstrating a “different picture” of Sri Lanka than the one provided by the State party. The complainant reiterate</w:t>
      </w:r>
      <w:r w:rsidR="00380BB4" w:rsidRPr="0032403D">
        <w:t>d</w:t>
      </w:r>
      <w:r w:rsidRPr="0032403D">
        <w:t xml:space="preserve"> that he was not a “high profile person” in Sri Lanka, but that he had assisted the LTTE Sea Tigers. In th</w:t>
      </w:r>
      <w:r w:rsidR="00380BB4" w:rsidRPr="0032403D">
        <w:t>at</w:t>
      </w:r>
      <w:r w:rsidRPr="0032403D">
        <w:t xml:space="preserve"> regard, he reiterate</w:t>
      </w:r>
      <w:r w:rsidR="00380BB4" w:rsidRPr="0032403D">
        <w:t>d</w:t>
      </w:r>
      <w:r w:rsidRPr="0032403D">
        <w:t xml:space="preserve"> his story</w:t>
      </w:r>
      <w:r w:rsidRPr="0032403D">
        <w:rPr>
          <w:rStyle w:val="FootnoteReference"/>
        </w:rPr>
        <w:footnoteReference w:id="21"/>
      </w:r>
      <w:r w:rsidRPr="0032403D">
        <w:t xml:space="preserve"> and submit</w:t>
      </w:r>
      <w:r w:rsidR="00380BB4" w:rsidRPr="0032403D">
        <w:t>ted</w:t>
      </w:r>
      <w:r w:rsidRPr="0032403D">
        <w:t xml:space="preserve"> that he had left Sri Lanka illegally and that he </w:t>
      </w:r>
      <w:r w:rsidR="00380BB4" w:rsidRPr="0032403D">
        <w:t xml:space="preserve">had been </w:t>
      </w:r>
      <w:r w:rsidRPr="0032403D">
        <w:t xml:space="preserve">able to leave Sri Lanka without any problems as he was not a “highly </w:t>
      </w:r>
      <w:r w:rsidR="005A69A1" w:rsidRPr="0032403D">
        <w:t>[</w:t>
      </w:r>
      <w:r w:rsidR="005A69A1" w:rsidRPr="00C737E6">
        <w:rPr>
          <w:i/>
          <w:iCs/>
        </w:rPr>
        <w:t>sic</w:t>
      </w:r>
      <w:r w:rsidR="005A69A1" w:rsidRPr="0032403D">
        <w:t xml:space="preserve">] </w:t>
      </w:r>
      <w:r w:rsidRPr="0032403D">
        <w:t>profile person”. In conclusion, he note</w:t>
      </w:r>
      <w:r w:rsidR="00380BB4" w:rsidRPr="0032403D">
        <w:t>d</w:t>
      </w:r>
      <w:r w:rsidRPr="0032403D">
        <w:t xml:space="preserve"> that all returnees in Sri Lanka </w:t>
      </w:r>
      <w:r w:rsidR="00380BB4" w:rsidRPr="0032403D">
        <w:t>we</w:t>
      </w:r>
      <w:r w:rsidRPr="0032403D">
        <w:t>re thoroughly questioned upon return and later detained</w:t>
      </w:r>
      <w:r w:rsidR="00F22170" w:rsidRPr="005A69A1">
        <w:t>,</w:t>
      </w:r>
      <w:r w:rsidRPr="005A69A1">
        <w:t xml:space="preserve"> and that a mere suspicion of being connected to </w:t>
      </w:r>
      <w:r w:rsidR="00350D40" w:rsidRPr="005A69A1">
        <w:t>LTTE</w:t>
      </w:r>
      <w:r w:rsidRPr="005A69A1">
        <w:t xml:space="preserve"> c</w:t>
      </w:r>
      <w:r w:rsidR="00380BB4" w:rsidRPr="005A69A1">
        <w:t>ould</w:t>
      </w:r>
      <w:r w:rsidRPr="005A69A1">
        <w:t xml:space="preserve"> lead to “severe torture and degrading treatment”.</w:t>
      </w:r>
    </w:p>
    <w:p w:rsidR="00C43394" w:rsidRPr="00C737E6" w:rsidRDefault="00C43394">
      <w:pPr>
        <w:pStyle w:val="SingleTxtG"/>
      </w:pPr>
      <w:r w:rsidRPr="005D13DC">
        <w:t>5.7</w:t>
      </w:r>
      <w:r w:rsidR="007B239B">
        <w:rPr>
          <w:lang w:val="fr-CH"/>
        </w:rPr>
        <w:tab/>
      </w:r>
      <w:r w:rsidRPr="005D13DC">
        <w:t xml:space="preserve">On </w:t>
      </w:r>
      <w:r>
        <w:t>19 April</w:t>
      </w:r>
      <w:r w:rsidRPr="005D13DC">
        <w:t xml:space="preserve"> 2016, the </w:t>
      </w:r>
      <w:r w:rsidRPr="00350D40">
        <w:t>State party submitted further observations. It refer</w:t>
      </w:r>
      <w:r w:rsidR="00380BB4">
        <w:rPr>
          <w:lang w:val="en-US"/>
        </w:rPr>
        <w:t>red</w:t>
      </w:r>
      <w:r w:rsidRPr="00350D40">
        <w:t xml:space="preserve"> to its previous observations and specific argumentation concerning the present case and reiterate</w:t>
      </w:r>
      <w:r w:rsidR="00380BB4">
        <w:rPr>
          <w:lang w:val="en-US"/>
        </w:rPr>
        <w:t>d</w:t>
      </w:r>
      <w:r w:rsidRPr="00350D40">
        <w:t xml:space="preserve"> </w:t>
      </w:r>
      <w:r w:rsidRPr="00350D40">
        <w:lastRenderedPageBreak/>
        <w:t>that the complainant ha</w:t>
      </w:r>
      <w:r w:rsidR="00380BB4">
        <w:rPr>
          <w:lang w:val="en-US"/>
        </w:rPr>
        <w:t>d</w:t>
      </w:r>
      <w:r w:rsidRPr="00350D40">
        <w:t xml:space="preserve"> failed to establish a </w:t>
      </w:r>
      <w:r w:rsidRPr="00B174AA">
        <w:t xml:space="preserve">prima facie </w:t>
      </w:r>
      <w:r w:rsidRPr="00350D40">
        <w:t xml:space="preserve">case for the purpose of admissibility of his complaint under article 3 of Convention and that the complaint </w:t>
      </w:r>
      <w:r w:rsidR="00380BB4">
        <w:rPr>
          <w:lang w:val="en-US"/>
        </w:rPr>
        <w:t>wa</w:t>
      </w:r>
      <w:r w:rsidRPr="00350D40">
        <w:t>s therefore manifestly ill-founded and should be considered inadmissible. In the alternative, the State party maintain</w:t>
      </w:r>
      <w:r w:rsidR="00380BB4">
        <w:rPr>
          <w:lang w:val="en-US"/>
        </w:rPr>
        <w:t>ed</w:t>
      </w:r>
      <w:r w:rsidRPr="00350D40">
        <w:t xml:space="preserve"> that it has not been established that there </w:t>
      </w:r>
      <w:r w:rsidR="00380BB4">
        <w:rPr>
          <w:lang w:val="en-US"/>
        </w:rPr>
        <w:t>were</w:t>
      </w:r>
      <w:r w:rsidRPr="00350D40">
        <w:t xml:space="preserve"> substantial grounds for believing that the author’s return to Sri Lanka would constitute a violation of article 3 of the Convention. The State party further refer</w:t>
      </w:r>
      <w:r w:rsidR="00380BB4">
        <w:rPr>
          <w:lang w:val="en-US"/>
        </w:rPr>
        <w:t>red</w:t>
      </w:r>
      <w:r w:rsidRPr="00350D40">
        <w:t xml:space="preserve"> to the case</w:t>
      </w:r>
      <w:r w:rsidR="00F22170">
        <w:rPr>
          <w:lang w:val="en-US"/>
        </w:rPr>
        <w:t xml:space="preserve"> </w:t>
      </w:r>
      <w:r w:rsidRPr="00350D40">
        <w:t>law of the Danish immigration authorities</w:t>
      </w:r>
      <w:r w:rsidR="00F22170">
        <w:rPr>
          <w:lang w:val="en-US"/>
        </w:rPr>
        <w:t>,</w:t>
      </w:r>
      <w:r w:rsidRPr="00350D40">
        <w:t xml:space="preserve"> which demonstrate</w:t>
      </w:r>
      <w:r w:rsidR="00380BB4">
        <w:rPr>
          <w:lang w:val="en-US"/>
        </w:rPr>
        <w:t>d</w:t>
      </w:r>
      <w:r w:rsidR="00F22170">
        <w:rPr>
          <w:lang w:val="en-US"/>
        </w:rPr>
        <w:t>,</w:t>
      </w:r>
      <w:r w:rsidRPr="00350D40">
        <w:t xml:space="preserve"> </w:t>
      </w:r>
      <w:r w:rsidRPr="00B174AA">
        <w:t>inter alia</w:t>
      </w:r>
      <w:r w:rsidR="00F22170">
        <w:rPr>
          <w:lang w:val="en-US"/>
        </w:rPr>
        <w:t>,</w:t>
      </w:r>
      <w:r w:rsidRPr="00350D40">
        <w:t xml:space="preserve"> the high recognition rates for asylum claims between 2013 and 2015.</w:t>
      </w:r>
    </w:p>
    <w:p w:rsidR="004876DE" w:rsidRPr="00350D40" w:rsidRDefault="008D3DC2" w:rsidP="008D3DC2">
      <w:pPr>
        <w:pStyle w:val="H23G"/>
      </w:pPr>
      <w:r w:rsidRPr="00350D40">
        <w:rPr>
          <w:lang w:val="en-CA"/>
        </w:rPr>
        <w:tab/>
      </w:r>
      <w:r w:rsidRPr="00350D40">
        <w:rPr>
          <w:lang w:val="en-CA"/>
        </w:rPr>
        <w:tab/>
      </w:r>
      <w:r w:rsidR="004876DE" w:rsidRPr="00350D40">
        <w:t>Issues and proceedings before the Committee</w:t>
      </w:r>
    </w:p>
    <w:p w:rsidR="004876DE" w:rsidRPr="00C737E6" w:rsidRDefault="007B239B" w:rsidP="00C737E6">
      <w:pPr>
        <w:pStyle w:val="H4G"/>
      </w:pPr>
      <w:r>
        <w:tab/>
      </w:r>
      <w:r>
        <w:tab/>
      </w:r>
      <w:r w:rsidR="004876DE" w:rsidRPr="00C07884">
        <w:t>Consideration of admissibility</w:t>
      </w:r>
    </w:p>
    <w:p w:rsidR="00603589" w:rsidRPr="00EC7ABC" w:rsidRDefault="00603589" w:rsidP="00C737E6">
      <w:pPr>
        <w:pStyle w:val="SingleTxtG"/>
        <w:rPr>
          <w:lang w:eastAsia="zh-CN"/>
        </w:rPr>
      </w:pPr>
      <w:r>
        <w:rPr>
          <w:lang w:eastAsia="zh-CN"/>
        </w:rPr>
        <w:t>6.1</w:t>
      </w:r>
      <w:r>
        <w:rPr>
          <w:lang w:eastAsia="zh-CN"/>
        </w:rPr>
        <w:tab/>
      </w:r>
      <w:r w:rsidRPr="00EC7ABC">
        <w:rPr>
          <w:lang w:eastAsia="zh-CN"/>
        </w:rPr>
        <w:t xml:space="preserve">Before considering any claim </w:t>
      </w:r>
      <w:r w:rsidR="00916A46">
        <w:rPr>
          <w:lang w:eastAsia="zh-CN"/>
        </w:rPr>
        <w:t>submitted in a communication</w:t>
      </w:r>
      <w:r>
        <w:rPr>
          <w:lang w:eastAsia="zh-CN"/>
        </w:rPr>
        <w:t xml:space="preserve">, </w:t>
      </w:r>
      <w:r w:rsidRPr="00EC7ABC">
        <w:rPr>
          <w:lang w:eastAsia="zh-CN"/>
        </w:rPr>
        <w:t xml:space="preserve">the Committee must decide whether </w:t>
      </w:r>
      <w:r w:rsidR="00916A46">
        <w:rPr>
          <w:lang w:eastAsia="zh-CN"/>
        </w:rPr>
        <w:t xml:space="preserve">it </w:t>
      </w:r>
      <w:r w:rsidRPr="00EC7ABC">
        <w:rPr>
          <w:lang w:eastAsia="zh-CN"/>
        </w:rPr>
        <w:t xml:space="preserve">is admissible under article 22 of the Convention. The Committee has ascertained, as it is required to do under article 22 </w:t>
      </w:r>
      <w:r w:rsidR="00F22170">
        <w:rPr>
          <w:lang w:eastAsia="zh-CN"/>
        </w:rPr>
        <w:t>(</w:t>
      </w:r>
      <w:r w:rsidRPr="00EC7ABC">
        <w:rPr>
          <w:lang w:eastAsia="zh-CN"/>
        </w:rPr>
        <w:t>5</w:t>
      </w:r>
      <w:r w:rsidR="00F22170">
        <w:rPr>
          <w:lang w:eastAsia="zh-CN"/>
        </w:rPr>
        <w:t>)</w:t>
      </w:r>
      <w:r w:rsidRPr="00EC7ABC">
        <w:rPr>
          <w:lang w:eastAsia="zh-CN"/>
        </w:rPr>
        <w:t xml:space="preserve"> (a) of the Convention, that the same matter has not been</w:t>
      </w:r>
      <w:r>
        <w:rPr>
          <w:lang w:eastAsia="zh-CN"/>
        </w:rPr>
        <w:t xml:space="preserve">, </w:t>
      </w:r>
      <w:r w:rsidRPr="00EC7ABC">
        <w:rPr>
          <w:lang w:eastAsia="zh-CN"/>
        </w:rPr>
        <w:t>and is not being</w:t>
      </w:r>
      <w:r>
        <w:rPr>
          <w:lang w:eastAsia="zh-CN"/>
        </w:rPr>
        <w:t xml:space="preserve">, </w:t>
      </w:r>
      <w:r w:rsidRPr="00EC7ABC">
        <w:rPr>
          <w:lang w:eastAsia="zh-CN"/>
        </w:rPr>
        <w:t xml:space="preserve">examined under another procedure of international investigation or settlement. </w:t>
      </w:r>
    </w:p>
    <w:p w:rsidR="00603589" w:rsidRPr="00C737E6" w:rsidRDefault="00603589" w:rsidP="00C737E6">
      <w:pPr>
        <w:pStyle w:val="SingleTxtG"/>
      </w:pPr>
      <w:r>
        <w:rPr>
          <w:lang w:eastAsia="zh-CN"/>
        </w:rPr>
        <w:t>6</w:t>
      </w:r>
      <w:r w:rsidRPr="00EC7ABC">
        <w:rPr>
          <w:lang w:eastAsia="zh-CN"/>
        </w:rPr>
        <w:t>.2</w:t>
      </w:r>
      <w:r w:rsidRPr="00EC7ABC">
        <w:rPr>
          <w:lang w:eastAsia="zh-CN"/>
        </w:rPr>
        <w:tab/>
        <w:t xml:space="preserve">The Committee recalls that, in accordance with article 22 </w:t>
      </w:r>
      <w:r w:rsidR="00F22170">
        <w:rPr>
          <w:lang w:val="en-US" w:eastAsia="zh-CN"/>
        </w:rPr>
        <w:t>(</w:t>
      </w:r>
      <w:r w:rsidRPr="00EC7ABC">
        <w:rPr>
          <w:lang w:eastAsia="zh-CN"/>
        </w:rPr>
        <w:t>5</w:t>
      </w:r>
      <w:r w:rsidR="00F22170">
        <w:rPr>
          <w:lang w:val="en-US" w:eastAsia="zh-CN"/>
        </w:rPr>
        <w:t>)</w:t>
      </w:r>
      <w:r w:rsidRPr="00EC7ABC">
        <w:rPr>
          <w:lang w:eastAsia="zh-CN"/>
        </w:rPr>
        <w:t xml:space="preserve"> (b) of the Convention, it shall not consider any </w:t>
      </w:r>
      <w:r w:rsidR="00843211">
        <w:rPr>
          <w:lang w:val="en-US" w:eastAsia="zh-CN"/>
        </w:rPr>
        <w:t>communication from an individual</w:t>
      </w:r>
      <w:r w:rsidR="00843211">
        <w:rPr>
          <w:lang w:eastAsia="zh-CN"/>
        </w:rPr>
        <w:t xml:space="preserve"> </w:t>
      </w:r>
      <w:r w:rsidRPr="00EC7ABC">
        <w:rPr>
          <w:lang w:eastAsia="zh-CN"/>
        </w:rPr>
        <w:t xml:space="preserve">unless it has ascertained that </w:t>
      </w:r>
      <w:r w:rsidR="00843211">
        <w:rPr>
          <w:lang w:val="en-US" w:eastAsia="zh-CN"/>
        </w:rPr>
        <w:t xml:space="preserve">the individual has exhausted </w:t>
      </w:r>
      <w:r w:rsidRPr="00EC7ABC">
        <w:rPr>
          <w:lang w:eastAsia="zh-CN"/>
        </w:rPr>
        <w:t xml:space="preserve">all available domestic remedies. The Committee notes that, in the </w:t>
      </w:r>
      <w:r w:rsidR="00843211">
        <w:rPr>
          <w:lang w:val="en-US" w:eastAsia="zh-CN"/>
        </w:rPr>
        <w:t>instant</w:t>
      </w:r>
      <w:r w:rsidR="00843211" w:rsidRPr="00EC7ABC">
        <w:rPr>
          <w:lang w:eastAsia="zh-CN"/>
        </w:rPr>
        <w:t xml:space="preserve"> </w:t>
      </w:r>
      <w:r w:rsidRPr="00EC7ABC">
        <w:rPr>
          <w:lang w:eastAsia="zh-CN"/>
        </w:rPr>
        <w:t xml:space="preserve">case, the State party </w:t>
      </w:r>
      <w:r>
        <w:rPr>
          <w:lang w:eastAsia="zh-CN"/>
        </w:rPr>
        <w:t>has not challenged the admissibility of the complaint on this ground</w:t>
      </w:r>
      <w:r w:rsidRPr="005700FF">
        <w:rPr>
          <w:lang w:eastAsia="zh-CN"/>
        </w:rPr>
        <w:t xml:space="preserve">. </w:t>
      </w:r>
    </w:p>
    <w:p w:rsidR="00603589" w:rsidRPr="00A47D70" w:rsidRDefault="00603589" w:rsidP="00C737E6">
      <w:pPr>
        <w:pStyle w:val="SingleTxtG"/>
        <w:rPr>
          <w:kern w:val="3"/>
          <w:lang w:eastAsia="zh-CN"/>
        </w:rPr>
      </w:pPr>
      <w:r>
        <w:rPr>
          <w:kern w:val="3"/>
          <w:lang w:eastAsia="zh-CN"/>
        </w:rPr>
        <w:t>6</w:t>
      </w:r>
      <w:r w:rsidRPr="00EC7ABC">
        <w:rPr>
          <w:kern w:val="3"/>
          <w:lang w:eastAsia="zh-CN"/>
        </w:rPr>
        <w:t>.3</w:t>
      </w:r>
      <w:r w:rsidRPr="00EC7ABC">
        <w:rPr>
          <w:kern w:val="3"/>
          <w:lang w:eastAsia="zh-CN"/>
        </w:rPr>
        <w:tab/>
        <w:t xml:space="preserve">The </w:t>
      </w:r>
      <w:r>
        <w:rPr>
          <w:kern w:val="3"/>
          <w:lang w:eastAsia="zh-CN"/>
        </w:rPr>
        <w:t xml:space="preserve">Committee notes the </w:t>
      </w:r>
      <w:r w:rsidRPr="00EC7ABC">
        <w:rPr>
          <w:kern w:val="3"/>
          <w:lang w:eastAsia="zh-CN"/>
        </w:rPr>
        <w:t>State party</w:t>
      </w:r>
      <w:r>
        <w:rPr>
          <w:kern w:val="3"/>
          <w:lang w:eastAsia="zh-CN"/>
        </w:rPr>
        <w:t>’s</w:t>
      </w:r>
      <w:r w:rsidRPr="00EC7ABC">
        <w:rPr>
          <w:kern w:val="3"/>
          <w:lang w:eastAsia="zh-CN"/>
        </w:rPr>
        <w:t xml:space="preserve"> </w:t>
      </w:r>
      <w:r>
        <w:rPr>
          <w:kern w:val="3"/>
          <w:lang w:eastAsia="zh-CN"/>
        </w:rPr>
        <w:t xml:space="preserve">argument </w:t>
      </w:r>
      <w:r w:rsidRPr="00EC7ABC">
        <w:rPr>
          <w:kern w:val="3"/>
          <w:lang w:eastAsia="zh-CN"/>
        </w:rPr>
        <w:t>that the com</w:t>
      </w:r>
      <w:r>
        <w:rPr>
          <w:kern w:val="3"/>
          <w:lang w:eastAsia="zh-CN"/>
        </w:rPr>
        <w:t xml:space="preserve">plaint should be held </w:t>
      </w:r>
      <w:r w:rsidRPr="00EC7ABC">
        <w:rPr>
          <w:kern w:val="3"/>
          <w:lang w:eastAsia="zh-CN"/>
        </w:rPr>
        <w:t xml:space="preserve">inadmissible </w:t>
      </w:r>
      <w:r>
        <w:rPr>
          <w:kern w:val="3"/>
          <w:lang w:eastAsia="zh-CN"/>
        </w:rPr>
        <w:t>for lack of substantiation</w:t>
      </w:r>
      <w:r w:rsidR="0024594B">
        <w:rPr>
          <w:kern w:val="3"/>
          <w:lang w:eastAsia="zh-CN"/>
        </w:rPr>
        <w:t>. T</w:t>
      </w:r>
      <w:r>
        <w:t xml:space="preserve">he Committee, however, </w:t>
      </w:r>
      <w:r w:rsidRPr="00BE3814">
        <w:t xml:space="preserve">considers that </w:t>
      </w:r>
      <w:r>
        <w:t>the com</w:t>
      </w:r>
      <w:r w:rsidR="0024594B">
        <w:t>munication</w:t>
      </w:r>
      <w:r>
        <w:t xml:space="preserve"> </w:t>
      </w:r>
      <w:r w:rsidRPr="00A76BD3">
        <w:t xml:space="preserve">has been sufficiently substantiated for </w:t>
      </w:r>
      <w:r w:rsidR="0024594B">
        <w:t xml:space="preserve">the </w:t>
      </w:r>
      <w:r w:rsidRPr="00A76BD3">
        <w:t>purposes of admissibility</w:t>
      </w:r>
      <w:r w:rsidR="0024594B">
        <w:t>, as</w:t>
      </w:r>
      <w:r>
        <w:t xml:space="preserve"> </w:t>
      </w:r>
      <w:r w:rsidR="000C6AFD">
        <w:t>the</w:t>
      </w:r>
      <w:r>
        <w:t xml:space="preserve"> allegations of a risk of torture or ill-treatment in </w:t>
      </w:r>
      <w:r w:rsidR="00F22170">
        <w:t>the event</w:t>
      </w:r>
      <w:r>
        <w:t xml:space="preserve"> of </w:t>
      </w:r>
      <w:r w:rsidR="0024594B">
        <w:t xml:space="preserve">the complainant’s </w:t>
      </w:r>
      <w:r>
        <w:t>forced removal to Sri Lanka raise issues under article 3 of the Convention</w:t>
      </w:r>
      <w:r w:rsidRPr="00BE3814">
        <w:t xml:space="preserve">. </w:t>
      </w:r>
      <w:r w:rsidRPr="001B67CF">
        <w:t xml:space="preserve">As the Committee finds no further obstacles to admissibility, it declares the </w:t>
      </w:r>
      <w:r>
        <w:t xml:space="preserve">present complaint </w:t>
      </w:r>
      <w:r w:rsidRPr="001B67CF">
        <w:t>admissible.</w:t>
      </w:r>
      <w:r w:rsidR="00136BCA">
        <w:t xml:space="preserve"> </w:t>
      </w:r>
    </w:p>
    <w:p w:rsidR="00603589" w:rsidRDefault="007B239B" w:rsidP="00C737E6">
      <w:pPr>
        <w:pStyle w:val="H4G"/>
        <w:rPr>
          <w:lang w:eastAsia="zh-CN"/>
        </w:rPr>
      </w:pPr>
      <w:r>
        <w:rPr>
          <w:lang w:eastAsia="zh-CN"/>
        </w:rPr>
        <w:tab/>
      </w:r>
      <w:r>
        <w:rPr>
          <w:lang w:eastAsia="zh-CN"/>
        </w:rPr>
        <w:tab/>
      </w:r>
      <w:r w:rsidR="00603589" w:rsidRPr="00F164D6">
        <w:rPr>
          <w:lang w:eastAsia="zh-CN"/>
        </w:rPr>
        <w:t>Consideration of the merits</w:t>
      </w:r>
    </w:p>
    <w:p w:rsidR="00603589" w:rsidRPr="00C737E6" w:rsidRDefault="00282DB9" w:rsidP="00C737E6">
      <w:pPr>
        <w:pStyle w:val="SingleTxtG"/>
      </w:pPr>
      <w:r w:rsidRPr="00282DB9">
        <w:rPr>
          <w:lang w:val="en-GB"/>
        </w:rPr>
        <w:t>7</w:t>
      </w:r>
      <w:r w:rsidR="00603589" w:rsidRPr="00BE3814">
        <w:t>.1</w:t>
      </w:r>
      <w:r w:rsidR="00603589" w:rsidRPr="00BE3814">
        <w:tab/>
        <w:t xml:space="preserve">The Committee has considered the </w:t>
      </w:r>
      <w:r w:rsidR="00916A46">
        <w:rPr>
          <w:lang w:val="en-US"/>
        </w:rPr>
        <w:t>communication</w:t>
      </w:r>
      <w:r w:rsidR="00603589">
        <w:t xml:space="preserve"> </w:t>
      </w:r>
      <w:r w:rsidR="00603589" w:rsidRPr="00BE3814">
        <w:t xml:space="preserve">in the light of all </w:t>
      </w:r>
      <w:r w:rsidR="00916A46">
        <w:rPr>
          <w:lang w:val="en-US"/>
        </w:rPr>
        <w:t xml:space="preserve">the </w:t>
      </w:r>
      <w:r w:rsidR="00603589" w:rsidRPr="00BE3814">
        <w:t>information made available to it by the parties, in accordance with article 22</w:t>
      </w:r>
      <w:r w:rsidR="00F22170">
        <w:rPr>
          <w:lang w:val="en-US"/>
        </w:rPr>
        <w:t xml:space="preserve"> (</w:t>
      </w:r>
      <w:r w:rsidR="00603589" w:rsidRPr="00BE3814">
        <w:t>4</w:t>
      </w:r>
      <w:r w:rsidR="00F22170">
        <w:rPr>
          <w:lang w:val="en-US"/>
        </w:rPr>
        <w:t>)</w:t>
      </w:r>
      <w:r w:rsidR="00603589" w:rsidRPr="00BE3814">
        <w:t xml:space="preserve"> of the Convention.</w:t>
      </w:r>
    </w:p>
    <w:p w:rsidR="00603589" w:rsidRPr="00C737E6" w:rsidRDefault="00282DB9" w:rsidP="00C737E6">
      <w:pPr>
        <w:pStyle w:val="SingleTxtG"/>
      </w:pPr>
      <w:r w:rsidRPr="00282DB9">
        <w:rPr>
          <w:lang w:val="en-GB"/>
        </w:rPr>
        <w:t>7</w:t>
      </w:r>
      <w:r w:rsidR="00603589" w:rsidRPr="00BE3814">
        <w:t>.2</w:t>
      </w:r>
      <w:r w:rsidR="00603589" w:rsidRPr="00BE3814">
        <w:tab/>
      </w:r>
      <w:r w:rsidR="00916A46">
        <w:rPr>
          <w:lang w:val="en-US"/>
        </w:rPr>
        <w:t>In the present case, t</w:t>
      </w:r>
      <w:r w:rsidR="00603589" w:rsidRPr="00BE3814">
        <w:t xml:space="preserve">he issue before the Committee is whether the </w:t>
      </w:r>
      <w:r w:rsidR="00603589" w:rsidRPr="001010DC">
        <w:t>forced removal</w:t>
      </w:r>
      <w:r w:rsidR="00916A46">
        <w:rPr>
          <w:lang w:val="en-US"/>
        </w:rPr>
        <w:t xml:space="preserve"> of the </w:t>
      </w:r>
      <w:r w:rsidR="0024594B" w:rsidRPr="00903466">
        <w:rPr>
          <w:lang w:val="en-GB"/>
        </w:rPr>
        <w:t>complainant</w:t>
      </w:r>
      <w:r w:rsidR="0024594B" w:rsidRPr="00C737E6">
        <w:rPr>
          <w:lang w:val="en-GB"/>
        </w:rPr>
        <w:t xml:space="preserve"> </w:t>
      </w:r>
      <w:r w:rsidR="00603589" w:rsidRPr="00BE3814">
        <w:t xml:space="preserve">to </w:t>
      </w:r>
      <w:r w:rsidR="00603589">
        <w:t xml:space="preserve">Sri Lanka </w:t>
      </w:r>
      <w:r w:rsidR="00603589" w:rsidRPr="00BE3814">
        <w:t xml:space="preserve">would constitute a violation of </w:t>
      </w:r>
      <w:r w:rsidR="00603589" w:rsidRPr="00C876E4">
        <w:t>the State party’s obligation under article 3 of the Convention not to expel or to return (</w:t>
      </w:r>
      <w:r w:rsidR="00A85A9C">
        <w:rPr>
          <w:lang w:val="en-US"/>
        </w:rPr>
        <w:t>“</w:t>
      </w:r>
      <w:r w:rsidR="00603589" w:rsidRPr="00C876E4">
        <w:t>refouler</w:t>
      </w:r>
      <w:r w:rsidR="00A85A9C">
        <w:t>”</w:t>
      </w:r>
      <w:r w:rsidR="00603589" w:rsidRPr="00C876E4">
        <w:t xml:space="preserve">) a person to another State </w:t>
      </w:r>
      <w:r w:rsidR="00916A46" w:rsidRPr="00C737E6">
        <w:rPr>
          <w:lang w:val="en-US"/>
        </w:rPr>
        <w:t xml:space="preserve">where </w:t>
      </w:r>
      <w:r w:rsidR="00603589" w:rsidRPr="00C876E4">
        <w:t xml:space="preserve">there are substantial grounds for believing that he </w:t>
      </w:r>
      <w:r w:rsidR="00F22170" w:rsidRPr="00C876E4">
        <w:rPr>
          <w:lang w:val="en-US"/>
        </w:rPr>
        <w:t>or she</w:t>
      </w:r>
      <w:r w:rsidR="00F22170" w:rsidRPr="00C737E6">
        <w:rPr>
          <w:lang w:val="en-US"/>
        </w:rPr>
        <w:t xml:space="preserve"> </w:t>
      </w:r>
      <w:r w:rsidR="00603589" w:rsidRPr="00C876E4">
        <w:t>would be in danger of being subjected to torture.</w:t>
      </w:r>
    </w:p>
    <w:p w:rsidR="00603589" w:rsidRPr="00C737E6" w:rsidRDefault="00282DB9" w:rsidP="00C737E6">
      <w:pPr>
        <w:pStyle w:val="SingleTxtG"/>
      </w:pPr>
      <w:r w:rsidRPr="00282DB9">
        <w:rPr>
          <w:lang w:val="en-GB"/>
        </w:rPr>
        <w:t>7</w:t>
      </w:r>
      <w:r w:rsidR="00603589" w:rsidRPr="00BE3814">
        <w:t>.3</w:t>
      </w:r>
      <w:r w:rsidR="00603589" w:rsidRPr="00BE3814">
        <w:tab/>
        <w:t xml:space="preserve">The Committee must </w:t>
      </w:r>
      <w:r w:rsidR="00916A46" w:rsidRPr="00C737E6">
        <w:rPr>
          <w:lang w:val="en-GB"/>
        </w:rPr>
        <w:t>evaluate</w:t>
      </w:r>
      <w:r w:rsidR="00603589" w:rsidRPr="00BE3814">
        <w:t xml:space="preserve"> whether there are substantial grounds for believing that the complainant would be personally in danger of being subjected to torture upon return to </w:t>
      </w:r>
      <w:r w:rsidR="00603589">
        <w:t xml:space="preserve">Sri Lanka. </w:t>
      </w:r>
      <w:r w:rsidR="00603589" w:rsidRPr="00BE3814">
        <w:t>In assessing th</w:t>
      </w:r>
      <w:r w:rsidR="00916A46">
        <w:rPr>
          <w:lang w:val="en-US"/>
        </w:rPr>
        <w:t>at</w:t>
      </w:r>
      <w:r w:rsidR="00603589" w:rsidRPr="00BE3814">
        <w:t xml:space="preserve"> risk, the Committee must take into account all relevant considerations, pursuant to article 3</w:t>
      </w:r>
      <w:r w:rsidR="00F22170">
        <w:rPr>
          <w:lang w:val="en-US"/>
        </w:rPr>
        <w:t xml:space="preserve"> (</w:t>
      </w:r>
      <w:r w:rsidR="00603589" w:rsidRPr="00BE3814">
        <w:t>2</w:t>
      </w:r>
      <w:r w:rsidR="00F22170">
        <w:rPr>
          <w:lang w:val="en-US"/>
        </w:rPr>
        <w:t>)</w:t>
      </w:r>
      <w:r w:rsidR="00603589" w:rsidRPr="00BE3814">
        <w:t xml:space="preserve"> of the Convention, including the existence of a consistent pattern of gross, flagrant or mass violations of human rights. </w:t>
      </w:r>
      <w:r w:rsidR="00916A46">
        <w:rPr>
          <w:lang w:val="en-US"/>
        </w:rPr>
        <w:t>However, t</w:t>
      </w:r>
      <w:r w:rsidR="00603589" w:rsidRPr="00BE3814">
        <w:t xml:space="preserve">he Committee recalls that the aim of such determination is to establish whether the individual concerned would be personally at a foreseeable and real risk of being subjected to torture in the country to which he or she would </w:t>
      </w:r>
      <w:r w:rsidR="00916A46">
        <w:rPr>
          <w:lang w:val="en-US"/>
        </w:rPr>
        <w:t xml:space="preserve">be </w:t>
      </w:r>
      <w:r w:rsidR="00603589" w:rsidRPr="00BE3814">
        <w:t>return</w:t>
      </w:r>
      <w:r w:rsidR="00916A46">
        <w:rPr>
          <w:lang w:val="en-US"/>
        </w:rPr>
        <w:t>ed</w:t>
      </w:r>
      <w:r w:rsidR="00603589" w:rsidRPr="00BE3814">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w:t>
      </w:r>
      <w:r w:rsidR="00603589" w:rsidRPr="00BE3814">
        <w:lastRenderedPageBreak/>
        <w:t>consistent pattern of flagrant violations of human rights does not mean that a person might not be subjected to torture in his or her specific circumstances.</w:t>
      </w:r>
      <w:r w:rsidR="00603589">
        <w:rPr>
          <w:rStyle w:val="FootnoteReference"/>
        </w:rPr>
        <w:footnoteReference w:id="22"/>
      </w:r>
    </w:p>
    <w:p w:rsidR="00603589" w:rsidRPr="00C876E4" w:rsidRDefault="00282DB9">
      <w:pPr>
        <w:pStyle w:val="SingleTxtG"/>
        <w:rPr>
          <w:lang w:val="en-GB"/>
        </w:rPr>
      </w:pPr>
      <w:r w:rsidRPr="00282DB9">
        <w:rPr>
          <w:lang w:val="en-GB"/>
        </w:rPr>
        <w:t>7</w:t>
      </w:r>
      <w:r w:rsidR="00603589" w:rsidRPr="00BE3814">
        <w:t>.4</w:t>
      </w:r>
      <w:r w:rsidR="00603589" w:rsidRPr="00BE3814">
        <w:tab/>
        <w:t xml:space="preserve">The Committee recalls its general comment No. 1 (1997) on the implementation of article 3 of the Convention, </w:t>
      </w:r>
      <w:r w:rsidR="00916A46" w:rsidRPr="00C876E4">
        <w:rPr>
          <w:lang w:val="en-US"/>
        </w:rPr>
        <w:t>according to</w:t>
      </w:r>
      <w:r w:rsidR="00916A46" w:rsidRPr="00C737E6">
        <w:rPr>
          <w:lang w:val="en-US"/>
        </w:rPr>
        <w:t xml:space="preserve"> which </w:t>
      </w:r>
      <w:r w:rsidR="00603589" w:rsidRPr="00C876E4">
        <w:t xml:space="preserve">the risk of torture must be assessed on grounds that go beyond mere theory or suspicion. </w:t>
      </w:r>
      <w:r w:rsidR="00916A46" w:rsidRPr="00C876E4">
        <w:rPr>
          <w:lang w:val="en-US"/>
        </w:rPr>
        <w:t>While</w:t>
      </w:r>
      <w:r w:rsidR="00916A46" w:rsidRPr="00C737E6">
        <w:rPr>
          <w:lang w:val="en-US"/>
        </w:rPr>
        <w:t xml:space="preserve"> </w:t>
      </w:r>
      <w:r w:rsidR="00603589" w:rsidRPr="00C876E4">
        <w:t>the risk does not have to meet the test of being highly probable</w:t>
      </w:r>
      <w:r w:rsidR="00916A46" w:rsidRPr="00C876E4">
        <w:rPr>
          <w:lang w:val="en-US"/>
        </w:rPr>
        <w:t xml:space="preserve"> (para. 6)</w:t>
      </w:r>
      <w:r w:rsidR="00603589" w:rsidRPr="00C876E4">
        <w:t xml:space="preserve">, </w:t>
      </w:r>
      <w:r w:rsidR="00916A46" w:rsidRPr="00C737E6">
        <w:rPr>
          <w:lang w:val="en-US"/>
        </w:rPr>
        <w:t xml:space="preserve">the </w:t>
      </w:r>
      <w:r w:rsidR="00916A46" w:rsidRPr="00C876E4">
        <w:rPr>
          <w:lang w:val="en-US"/>
        </w:rPr>
        <w:t xml:space="preserve">Committee recalls that </w:t>
      </w:r>
      <w:r w:rsidR="00603589" w:rsidRPr="00C876E4">
        <w:t xml:space="preserve">the burden of proof </w:t>
      </w:r>
      <w:r w:rsidR="00916A46" w:rsidRPr="00C876E4">
        <w:rPr>
          <w:lang w:val="en-US"/>
        </w:rPr>
        <w:t>generally</w:t>
      </w:r>
      <w:r w:rsidR="00916A46" w:rsidRPr="00C737E6">
        <w:rPr>
          <w:lang w:val="en-US"/>
        </w:rPr>
        <w:t xml:space="preserve"> </w:t>
      </w:r>
      <w:r w:rsidR="00603589" w:rsidRPr="00C876E4">
        <w:t xml:space="preserve">falls on the complainant, who must present an arguable case that he or she </w:t>
      </w:r>
      <w:r w:rsidR="00916A46" w:rsidRPr="00C876E4">
        <w:rPr>
          <w:lang w:val="en-US"/>
        </w:rPr>
        <w:t>faces</w:t>
      </w:r>
      <w:r w:rsidR="00916A46" w:rsidRPr="00C876E4">
        <w:t xml:space="preserve"> </w:t>
      </w:r>
      <w:r w:rsidR="00603589" w:rsidRPr="00C876E4">
        <w:t>a foreseeable, real and personal risk</w:t>
      </w:r>
      <w:r w:rsidR="00603589" w:rsidRPr="006D5C50">
        <w:t xml:space="preserve">. </w:t>
      </w:r>
      <w:r w:rsidR="00916A46" w:rsidRPr="006D5C50">
        <w:rPr>
          <w:lang w:val="en-US"/>
        </w:rPr>
        <w:t>Although, under the terms of its general comment No. 1, the Committee is free to assess the facts on the basis of the full set of circumstances in every case,</w:t>
      </w:r>
      <w:r w:rsidR="00916A46" w:rsidRPr="00C737E6">
        <w:rPr>
          <w:lang w:val="en-US"/>
        </w:rPr>
        <w:t xml:space="preserve"> considerable weight </w:t>
      </w:r>
      <w:r w:rsidR="00916A46" w:rsidRPr="006D5C50">
        <w:rPr>
          <w:lang w:val="en-US"/>
        </w:rPr>
        <w:t xml:space="preserve">is given </w:t>
      </w:r>
      <w:r w:rsidR="00916A46" w:rsidRPr="00C737E6">
        <w:rPr>
          <w:lang w:val="en-US"/>
        </w:rPr>
        <w:t>to</w:t>
      </w:r>
      <w:r w:rsidR="00916A46" w:rsidRPr="006D5C50">
        <w:rPr>
          <w:lang w:val="en-US"/>
        </w:rPr>
        <w:t xml:space="preserve"> the</w:t>
      </w:r>
      <w:r w:rsidR="00916A46" w:rsidRPr="00C737E6">
        <w:rPr>
          <w:lang w:val="en-US"/>
        </w:rPr>
        <w:t xml:space="preserve"> </w:t>
      </w:r>
      <w:r w:rsidR="00603589" w:rsidRPr="006D5C50">
        <w:t>findings of fact that are made by organs of the State party concerned</w:t>
      </w:r>
      <w:r w:rsidR="00C876E4" w:rsidRPr="006D5C50">
        <w:rPr>
          <w:lang w:val="en-US"/>
        </w:rPr>
        <w:t xml:space="preserve"> (para. 9)</w:t>
      </w:r>
      <w:r w:rsidR="00603589" w:rsidRPr="006D5C50">
        <w:t>.</w:t>
      </w:r>
      <w:r w:rsidR="006525E0">
        <w:t xml:space="preserve"> </w:t>
      </w:r>
    </w:p>
    <w:p w:rsidR="005902B4" w:rsidRDefault="005902B4">
      <w:pPr>
        <w:pStyle w:val="SingleTxtG"/>
        <w:rPr>
          <w:lang w:val="en-GB"/>
        </w:rPr>
      </w:pPr>
      <w:r w:rsidRPr="00C876E4">
        <w:rPr>
          <w:lang w:val="en-GB"/>
        </w:rPr>
        <w:t>7</w:t>
      </w:r>
      <w:r w:rsidRPr="00C876E4">
        <w:t>.5</w:t>
      </w:r>
      <w:r w:rsidRPr="00C876E4">
        <w:tab/>
        <w:t>The Committee notes the complainant’s claim</w:t>
      </w:r>
      <w:r w:rsidRPr="007E6C6C">
        <w:t xml:space="preserve"> that his forcible removal would amount to a violation of his rights under article 3 of the Convention</w:t>
      </w:r>
      <w:r w:rsidR="004D04C2">
        <w:rPr>
          <w:lang w:val="en-US"/>
        </w:rPr>
        <w:t>,</w:t>
      </w:r>
      <w:r w:rsidRPr="007E6C6C">
        <w:t xml:space="preserve"> as he would be exposed to a risk of being tortured in Sri Lanka</w:t>
      </w:r>
      <w:r>
        <w:rPr>
          <w:lang w:val="en-US"/>
        </w:rPr>
        <w:t xml:space="preserve">. </w:t>
      </w:r>
      <w:r w:rsidRPr="00C737E6">
        <w:rPr>
          <w:lang w:val="en-US"/>
        </w:rPr>
        <w:t xml:space="preserve">The Committee </w:t>
      </w:r>
      <w:r w:rsidR="00E52E3F" w:rsidRPr="00C737E6">
        <w:rPr>
          <w:lang w:val="en-US"/>
        </w:rPr>
        <w:t>also</w:t>
      </w:r>
      <w:r w:rsidR="00E52E3F">
        <w:rPr>
          <w:lang w:val="en-US"/>
        </w:rPr>
        <w:t xml:space="preserve"> </w:t>
      </w:r>
      <w:r>
        <w:rPr>
          <w:lang w:val="en-US"/>
        </w:rPr>
        <w:t>notes the complainant’s claim, which the State party has accepted, that in 2008 he was detained and beaten</w:t>
      </w:r>
      <w:r w:rsidRPr="007E6C6C">
        <w:t xml:space="preserve"> </w:t>
      </w:r>
      <w:r>
        <w:rPr>
          <w:lang w:val="en-US"/>
        </w:rPr>
        <w:t xml:space="preserve">by members of </w:t>
      </w:r>
      <w:r w:rsidRPr="007E6C6C">
        <w:t xml:space="preserve">the </w:t>
      </w:r>
      <w:r>
        <w:rPr>
          <w:lang w:val="en-GB"/>
        </w:rPr>
        <w:t>EPDP paramilitary group</w:t>
      </w:r>
      <w:r w:rsidR="004D04C2">
        <w:rPr>
          <w:lang w:val="en-GB"/>
        </w:rPr>
        <w:t>,</w:t>
      </w:r>
      <w:r>
        <w:rPr>
          <w:lang w:val="en-GB"/>
        </w:rPr>
        <w:t xml:space="preserve"> who sought information about his son’s whereabouts and prior association with </w:t>
      </w:r>
      <w:r w:rsidR="00350D40">
        <w:rPr>
          <w:lang w:val="en-GB"/>
        </w:rPr>
        <w:t>LTTE</w:t>
      </w:r>
      <w:r>
        <w:rPr>
          <w:lang w:val="en-GB"/>
        </w:rPr>
        <w:t xml:space="preserve">. The </w:t>
      </w:r>
      <w:r w:rsidR="00E52E3F">
        <w:rPr>
          <w:lang w:val="en-GB"/>
        </w:rPr>
        <w:t xml:space="preserve">complainant also claimed </w:t>
      </w:r>
      <w:r>
        <w:rPr>
          <w:lang w:val="en-GB"/>
        </w:rPr>
        <w:t xml:space="preserve">that he was personally associated with the LTTE Sea Tigers from 1992 to 2000, although he did not participate in </w:t>
      </w:r>
      <w:r w:rsidR="00E52E3F">
        <w:rPr>
          <w:lang w:val="en-GB"/>
        </w:rPr>
        <w:t xml:space="preserve">any </w:t>
      </w:r>
      <w:r>
        <w:rPr>
          <w:lang w:val="en-GB"/>
        </w:rPr>
        <w:t>combat.</w:t>
      </w:r>
    </w:p>
    <w:p w:rsidR="005902B4" w:rsidRPr="00C737E6" w:rsidRDefault="004D41AF">
      <w:pPr>
        <w:pStyle w:val="SingleTxtG"/>
        <w:rPr>
          <w:lang w:val="en-US"/>
        </w:rPr>
      </w:pPr>
      <w:r>
        <w:rPr>
          <w:lang w:val="en-US"/>
        </w:rPr>
        <w:t>7.6</w:t>
      </w:r>
      <w:r w:rsidR="005902B4">
        <w:rPr>
          <w:lang w:val="en-US"/>
        </w:rPr>
        <w:t xml:space="preserve"> </w:t>
      </w:r>
      <w:r w:rsidR="00326FF3">
        <w:rPr>
          <w:lang w:val="en-US"/>
        </w:rPr>
        <w:tab/>
      </w:r>
      <w:r w:rsidR="005902B4">
        <w:rPr>
          <w:lang w:val="en-US"/>
        </w:rPr>
        <w:t>The Committee notes that</w:t>
      </w:r>
      <w:r w:rsidR="004D04C2">
        <w:rPr>
          <w:lang w:val="en-US"/>
        </w:rPr>
        <w:t>,</w:t>
      </w:r>
      <w:r w:rsidR="005902B4">
        <w:rPr>
          <w:lang w:val="en-US"/>
        </w:rPr>
        <w:t xml:space="preserve"> </w:t>
      </w:r>
      <w:r w:rsidR="005902B4" w:rsidRPr="007A6A26">
        <w:t>in its decision o</w:t>
      </w:r>
      <w:r w:rsidR="00813370">
        <w:rPr>
          <w:lang w:val="en-US"/>
        </w:rPr>
        <w:t>f</w:t>
      </w:r>
      <w:r w:rsidR="005902B4" w:rsidRPr="007A6A26">
        <w:t xml:space="preserve"> </w:t>
      </w:r>
      <w:r w:rsidR="005902B4">
        <w:t xml:space="preserve">13 </w:t>
      </w:r>
      <w:r w:rsidR="005902B4" w:rsidRPr="007A6A26">
        <w:t xml:space="preserve">March 2012, the </w:t>
      </w:r>
      <w:r>
        <w:rPr>
          <w:lang w:val="en-US"/>
        </w:rPr>
        <w:t xml:space="preserve">State party’s </w:t>
      </w:r>
      <w:r w:rsidR="005902B4" w:rsidRPr="007A6A26">
        <w:t xml:space="preserve">Refugee Appeals Board </w:t>
      </w:r>
      <w:r w:rsidR="005902B4">
        <w:rPr>
          <w:lang w:val="en-US"/>
        </w:rPr>
        <w:t>considered</w:t>
      </w:r>
      <w:r w:rsidR="005902B4" w:rsidRPr="007A6A26">
        <w:t xml:space="preserve"> the complainant’s </w:t>
      </w:r>
      <w:r w:rsidR="005902B4">
        <w:rPr>
          <w:lang w:val="en-US"/>
        </w:rPr>
        <w:t xml:space="preserve">claims regarding his prior abuse by members of </w:t>
      </w:r>
      <w:r w:rsidR="00350D40">
        <w:rPr>
          <w:lang w:val="en-US"/>
        </w:rPr>
        <w:t>EPDP</w:t>
      </w:r>
      <w:r w:rsidR="005902B4">
        <w:rPr>
          <w:lang w:val="en-US"/>
        </w:rPr>
        <w:t xml:space="preserve"> and affiliation with the Sea Tigers to be facts</w:t>
      </w:r>
      <w:r w:rsidR="004D04C2">
        <w:rPr>
          <w:lang w:val="en-US"/>
        </w:rPr>
        <w:t>.</w:t>
      </w:r>
      <w:r w:rsidR="005902B4">
        <w:rPr>
          <w:lang w:val="en-US"/>
        </w:rPr>
        <w:t xml:space="preserve"> </w:t>
      </w:r>
      <w:r w:rsidR="004D04C2">
        <w:rPr>
          <w:lang w:val="en-US"/>
        </w:rPr>
        <w:t>N</w:t>
      </w:r>
      <w:r w:rsidR="005902B4">
        <w:rPr>
          <w:lang w:val="en-US"/>
        </w:rPr>
        <w:t>evertheless</w:t>
      </w:r>
      <w:r w:rsidR="00E52E3F">
        <w:rPr>
          <w:lang w:val="en-US"/>
        </w:rPr>
        <w:t>, the Board</w:t>
      </w:r>
      <w:r w:rsidR="005902B4">
        <w:rPr>
          <w:lang w:val="en-US"/>
        </w:rPr>
        <w:t xml:space="preserve"> determined that th</w:t>
      </w:r>
      <w:r w:rsidR="004D04C2">
        <w:rPr>
          <w:lang w:val="en-US"/>
        </w:rPr>
        <w:t>o</w:t>
      </w:r>
      <w:r w:rsidR="005902B4">
        <w:rPr>
          <w:lang w:val="en-US"/>
        </w:rPr>
        <w:t xml:space="preserve">se factors </w:t>
      </w:r>
      <w:r w:rsidR="001D1B1C">
        <w:rPr>
          <w:lang w:val="en-US"/>
        </w:rPr>
        <w:t xml:space="preserve">no longer </w:t>
      </w:r>
      <w:r w:rsidR="005902B4">
        <w:rPr>
          <w:lang w:val="en-US"/>
        </w:rPr>
        <w:t>g</w:t>
      </w:r>
      <w:r w:rsidR="001D1B1C">
        <w:rPr>
          <w:lang w:val="en-US"/>
        </w:rPr>
        <w:t>a</w:t>
      </w:r>
      <w:r w:rsidR="005902B4">
        <w:rPr>
          <w:lang w:val="en-US"/>
        </w:rPr>
        <w:t xml:space="preserve">ve rise to a real risk that he would be subjected to torture </w:t>
      </w:r>
      <w:r w:rsidR="00F6253F">
        <w:rPr>
          <w:lang w:val="en-US"/>
        </w:rPr>
        <w:t>if returned to</w:t>
      </w:r>
      <w:r w:rsidR="005902B4">
        <w:rPr>
          <w:lang w:val="en-US"/>
        </w:rPr>
        <w:t xml:space="preserve"> Sri Lanka. </w:t>
      </w:r>
      <w:r w:rsidR="006A542D">
        <w:rPr>
          <w:lang w:val="en-US"/>
        </w:rPr>
        <w:t>In this connection, the Committee observes that t</w:t>
      </w:r>
      <w:r w:rsidR="005902B4">
        <w:rPr>
          <w:lang w:val="en-US"/>
        </w:rPr>
        <w:t xml:space="preserve">he </w:t>
      </w:r>
      <w:r w:rsidR="009665B3">
        <w:rPr>
          <w:lang w:val="en-US"/>
        </w:rPr>
        <w:t>Board</w:t>
      </w:r>
      <w:r w:rsidR="005902B4">
        <w:rPr>
          <w:lang w:val="en-US"/>
        </w:rPr>
        <w:t xml:space="preserve"> considered that </w:t>
      </w:r>
      <w:r w:rsidR="00350D40">
        <w:rPr>
          <w:lang w:val="en-US"/>
        </w:rPr>
        <w:t>EPDP</w:t>
      </w:r>
      <w:r w:rsidR="005902B4">
        <w:rPr>
          <w:lang w:val="en-US"/>
        </w:rPr>
        <w:t xml:space="preserve"> </w:t>
      </w:r>
      <w:r w:rsidR="004D04C2">
        <w:rPr>
          <w:lang w:val="en-US"/>
        </w:rPr>
        <w:t>was</w:t>
      </w:r>
      <w:r w:rsidR="005902B4">
        <w:rPr>
          <w:lang w:val="en-US"/>
        </w:rPr>
        <w:t xml:space="preserve"> no longer affiliated with the </w:t>
      </w:r>
      <w:r w:rsidR="004D04C2">
        <w:rPr>
          <w:lang w:val="en-US"/>
        </w:rPr>
        <w:t>G</w:t>
      </w:r>
      <w:r w:rsidR="005902B4">
        <w:rPr>
          <w:lang w:val="en-US"/>
        </w:rPr>
        <w:t>overnment as a paramilitary force but rather ha</w:t>
      </w:r>
      <w:r w:rsidR="004D04C2">
        <w:rPr>
          <w:lang w:val="en-US"/>
        </w:rPr>
        <w:t>d</w:t>
      </w:r>
      <w:r w:rsidR="005902B4">
        <w:rPr>
          <w:lang w:val="en-US"/>
        </w:rPr>
        <w:t xml:space="preserve"> lost influence and h</w:t>
      </w:r>
      <w:r w:rsidR="004D04C2">
        <w:rPr>
          <w:lang w:val="en-US"/>
        </w:rPr>
        <w:t>el</w:t>
      </w:r>
      <w:r w:rsidR="005902B4">
        <w:rPr>
          <w:lang w:val="en-US"/>
        </w:rPr>
        <w:t xml:space="preserve">d a status akin to that of a criminal gang, and therefore </w:t>
      </w:r>
      <w:r w:rsidR="004D04C2">
        <w:rPr>
          <w:lang w:val="en-US"/>
        </w:rPr>
        <w:t xml:space="preserve">did </w:t>
      </w:r>
      <w:r w:rsidR="005902B4">
        <w:rPr>
          <w:lang w:val="en-US"/>
        </w:rPr>
        <w:t xml:space="preserve">not pose the same threat to the complainant as </w:t>
      </w:r>
      <w:r w:rsidR="001D1B1C">
        <w:rPr>
          <w:lang w:val="en-US"/>
        </w:rPr>
        <w:t xml:space="preserve">it might have </w:t>
      </w:r>
      <w:r w:rsidR="005902B4">
        <w:rPr>
          <w:lang w:val="en-US"/>
        </w:rPr>
        <w:t xml:space="preserve">in the past. Moreover, in the view of the State party, the complainant’s </w:t>
      </w:r>
      <w:r w:rsidR="001D1B1C">
        <w:rPr>
          <w:lang w:val="en-US"/>
        </w:rPr>
        <w:t xml:space="preserve">prior </w:t>
      </w:r>
      <w:r w:rsidR="005902B4">
        <w:rPr>
          <w:lang w:val="en-US"/>
        </w:rPr>
        <w:t xml:space="preserve">low-level </w:t>
      </w:r>
      <w:r w:rsidR="001D1B1C">
        <w:rPr>
          <w:lang w:val="en-US"/>
        </w:rPr>
        <w:t xml:space="preserve">affiliation with </w:t>
      </w:r>
      <w:r w:rsidR="005902B4">
        <w:rPr>
          <w:lang w:val="en-US"/>
        </w:rPr>
        <w:t xml:space="preserve">the LTTE Sea Tigers </w:t>
      </w:r>
      <w:r w:rsidR="001D1B1C">
        <w:rPr>
          <w:lang w:val="en-US"/>
        </w:rPr>
        <w:t>was</w:t>
      </w:r>
      <w:r w:rsidR="005902B4">
        <w:rPr>
          <w:lang w:val="en-US"/>
        </w:rPr>
        <w:t xml:space="preserve"> insufficient to create a reasonable likelihood that he would attract adverse attention upon his return to Sri Lanka.</w:t>
      </w:r>
      <w:r w:rsidR="006525E0">
        <w:rPr>
          <w:lang w:val="en-US"/>
        </w:rPr>
        <w:t xml:space="preserve"> </w:t>
      </w:r>
      <w:r w:rsidR="005902B4">
        <w:rPr>
          <w:lang w:val="en-US"/>
        </w:rPr>
        <w:t xml:space="preserve">The Committee also </w:t>
      </w:r>
      <w:r w:rsidR="001D1B1C">
        <w:rPr>
          <w:lang w:val="en-US"/>
        </w:rPr>
        <w:t>recalls</w:t>
      </w:r>
      <w:r w:rsidR="005902B4">
        <w:rPr>
          <w:lang w:val="en-US"/>
        </w:rPr>
        <w:t xml:space="preserve"> that the State party has raised concerns about </w:t>
      </w:r>
      <w:r>
        <w:rPr>
          <w:lang w:val="en-US"/>
        </w:rPr>
        <w:t xml:space="preserve">several alleged </w:t>
      </w:r>
      <w:r w:rsidR="005902B4">
        <w:rPr>
          <w:lang w:val="en-US"/>
        </w:rPr>
        <w:t>inconsistencies</w:t>
      </w:r>
      <w:r>
        <w:rPr>
          <w:lang w:val="en-US"/>
        </w:rPr>
        <w:t xml:space="preserve"> and omissions</w:t>
      </w:r>
      <w:r w:rsidR="005902B4">
        <w:rPr>
          <w:lang w:val="en-US"/>
        </w:rPr>
        <w:t xml:space="preserve"> in the complainant’s claims</w:t>
      </w:r>
      <w:r>
        <w:rPr>
          <w:lang w:val="en-US"/>
        </w:rPr>
        <w:t xml:space="preserve"> to its asylum authorities</w:t>
      </w:r>
      <w:r w:rsidR="005902B4">
        <w:rPr>
          <w:lang w:val="en-US"/>
        </w:rPr>
        <w:t>.</w:t>
      </w:r>
    </w:p>
    <w:p w:rsidR="00EC7D62" w:rsidRDefault="00EC7D62" w:rsidP="00C737E6">
      <w:pPr>
        <w:pStyle w:val="SingleTxtG"/>
        <w:rPr>
          <w:lang w:val="en-US"/>
        </w:rPr>
      </w:pPr>
      <w:r w:rsidRPr="00EC7D62">
        <w:rPr>
          <w:lang w:val="en-GB"/>
        </w:rPr>
        <w:t>7</w:t>
      </w:r>
      <w:r w:rsidRPr="00C737E6">
        <w:rPr>
          <w:lang w:val="en-GB"/>
        </w:rPr>
        <w:t>.</w:t>
      </w:r>
      <w:r>
        <w:rPr>
          <w:lang w:val="en-GB"/>
        </w:rPr>
        <w:t>7</w:t>
      </w:r>
      <w:r w:rsidRPr="00EC7D62">
        <w:rPr>
          <w:lang w:val="en-GB"/>
        </w:rPr>
        <w:t xml:space="preserve"> </w:t>
      </w:r>
      <w:r w:rsidR="005A69A1">
        <w:rPr>
          <w:lang w:val="en-GB"/>
        </w:rPr>
        <w:tab/>
      </w:r>
      <w:r w:rsidR="00702DED">
        <w:rPr>
          <w:lang w:val="en-GB"/>
        </w:rPr>
        <w:t>In this connection</w:t>
      </w:r>
      <w:r>
        <w:rPr>
          <w:lang w:val="en-GB"/>
        </w:rPr>
        <w:t>, the Committee</w:t>
      </w:r>
      <w:r w:rsidR="00813370">
        <w:rPr>
          <w:lang w:val="en-GB"/>
        </w:rPr>
        <w:t>, while</w:t>
      </w:r>
      <w:r>
        <w:rPr>
          <w:lang w:val="en-GB"/>
        </w:rPr>
        <w:t xml:space="preserve"> not</w:t>
      </w:r>
      <w:r w:rsidR="00813370">
        <w:rPr>
          <w:lang w:val="en-GB"/>
        </w:rPr>
        <w:t>ing</w:t>
      </w:r>
      <w:r>
        <w:rPr>
          <w:lang w:val="en-GB"/>
        </w:rPr>
        <w:t xml:space="preserve"> that the State party’s asylum authorities have considered the complainant’s allegations and have concluded that the complainant </w:t>
      </w:r>
      <w:r>
        <w:t>would</w:t>
      </w:r>
      <w:r w:rsidRPr="007A6A26">
        <w:t xml:space="preserve"> not </w:t>
      </w:r>
      <w:r w:rsidR="004D04C2">
        <w:rPr>
          <w:lang w:val="en-US"/>
        </w:rPr>
        <w:t xml:space="preserve">be at </w:t>
      </w:r>
      <w:r w:rsidR="004D04C2" w:rsidRPr="00B174AA">
        <w:rPr>
          <w:lang w:val="en-US"/>
        </w:rPr>
        <w:t>risk</w:t>
      </w:r>
      <w:r w:rsidR="004D04C2">
        <w:rPr>
          <w:lang w:val="en-US"/>
        </w:rPr>
        <w:t xml:space="preserve"> of</w:t>
      </w:r>
      <w:r w:rsidRPr="007A6A26">
        <w:t xml:space="preserve"> being subjected to persecution or ill-treatment</w:t>
      </w:r>
      <w:r w:rsidR="006B303D">
        <w:rPr>
          <w:lang w:val="en-US"/>
        </w:rPr>
        <w:t xml:space="preserve"> upon return to Sri Lanka</w:t>
      </w:r>
      <w:r w:rsidR="00813370">
        <w:rPr>
          <w:lang w:val="en-US"/>
        </w:rPr>
        <w:t>,</w:t>
      </w:r>
      <w:r>
        <w:rPr>
          <w:lang w:val="en-US"/>
        </w:rPr>
        <w:t xml:space="preserve"> recalls that</w:t>
      </w:r>
      <w:r w:rsidR="004D04C2">
        <w:rPr>
          <w:lang w:val="en-US"/>
        </w:rPr>
        <w:t>,</w:t>
      </w:r>
      <w:r>
        <w:rPr>
          <w:lang w:val="en-US"/>
        </w:rPr>
        <w:t xml:space="preserve"> while it</w:t>
      </w:r>
      <w:r>
        <w:t xml:space="preserve"> gives considerable weight to findings of fact that are made by organs of the State party concerned, it is not bound by such findings and instead ha</w:t>
      </w:r>
      <w:r>
        <w:rPr>
          <w:lang w:val="en-US"/>
        </w:rPr>
        <w:t>s</w:t>
      </w:r>
      <w:r>
        <w:t xml:space="preserve"> the power, provided by article 22</w:t>
      </w:r>
      <w:r w:rsidR="004D04C2">
        <w:rPr>
          <w:lang w:val="en-US"/>
        </w:rPr>
        <w:t xml:space="preserve"> (</w:t>
      </w:r>
      <w:r>
        <w:t>4</w:t>
      </w:r>
      <w:r w:rsidR="004D04C2">
        <w:rPr>
          <w:lang w:val="en-US"/>
        </w:rPr>
        <w:t>)</w:t>
      </w:r>
      <w:r>
        <w:t xml:space="preserve"> of the Convention, of free assessment of the facts based upon the full set of circumstances in every case.</w:t>
      </w:r>
      <w:r>
        <w:rPr>
          <w:rStyle w:val="FootnoteReference"/>
        </w:rPr>
        <w:footnoteReference w:id="23"/>
      </w:r>
      <w:r w:rsidRPr="00BE3814">
        <w:t xml:space="preserve"> </w:t>
      </w:r>
    </w:p>
    <w:p w:rsidR="006D7B4F" w:rsidRDefault="005902B4" w:rsidP="008705CC">
      <w:pPr>
        <w:pStyle w:val="SingleTxtG"/>
        <w:rPr>
          <w:lang w:val="en-US"/>
        </w:rPr>
      </w:pPr>
      <w:r w:rsidRPr="007E6C6C">
        <w:rPr>
          <w:lang w:val="en-GB"/>
        </w:rPr>
        <w:t>7</w:t>
      </w:r>
      <w:r w:rsidRPr="007E6C6C">
        <w:t>.</w:t>
      </w:r>
      <w:r w:rsidR="00F33E20">
        <w:rPr>
          <w:lang w:val="en-GB"/>
        </w:rPr>
        <w:t>8</w:t>
      </w:r>
      <w:r w:rsidR="00326FF3">
        <w:rPr>
          <w:lang w:val="en-GB"/>
        </w:rPr>
        <w:tab/>
      </w:r>
      <w:r w:rsidR="00702DED" w:rsidRPr="00702DED">
        <w:rPr>
          <w:lang w:val="en-GB"/>
        </w:rPr>
        <w:t>Fu</w:t>
      </w:r>
      <w:r w:rsidR="00702DED">
        <w:rPr>
          <w:lang w:val="en-GB"/>
        </w:rPr>
        <w:t xml:space="preserve">rther, </w:t>
      </w:r>
      <w:r w:rsidR="00702DED" w:rsidRPr="00702DED">
        <w:rPr>
          <w:lang w:val="en-GB"/>
        </w:rPr>
        <w:t>a</w:t>
      </w:r>
      <w:r w:rsidRPr="007E6C6C">
        <w:t xml:space="preserve">s to the complainant’s general claim that he risks </w:t>
      </w:r>
      <w:r>
        <w:t>be</w:t>
      </w:r>
      <w:r w:rsidR="004D04C2">
        <w:rPr>
          <w:lang w:val="en-US"/>
        </w:rPr>
        <w:t>ing</w:t>
      </w:r>
      <w:r w:rsidRPr="007E6C6C">
        <w:t xml:space="preserve"> subjected to torture upon return to Sri Lanka</w:t>
      </w:r>
      <w:r w:rsidR="004D04C2">
        <w:rPr>
          <w:lang w:val="en-US"/>
        </w:rPr>
        <w:t>,</w:t>
      </w:r>
      <w:r w:rsidRPr="007E6C6C">
        <w:t xml:space="preserve"> </w:t>
      </w:r>
      <w:r w:rsidRPr="007E6C6C">
        <w:rPr>
          <w:lang w:val="en-GB"/>
        </w:rPr>
        <w:t xml:space="preserve">as all returning Tamils are automatically considered to be linked to </w:t>
      </w:r>
      <w:r w:rsidR="00350D40">
        <w:rPr>
          <w:lang w:val="en-GB"/>
        </w:rPr>
        <w:t>LTTE</w:t>
      </w:r>
      <w:r w:rsidRPr="007E6C6C">
        <w:t>, the Committee recalls that the occurrence of</w:t>
      </w:r>
      <w:r>
        <w:rPr>
          <w:lang w:val="en-US"/>
        </w:rPr>
        <w:t xml:space="preserve"> a consistent pattern</w:t>
      </w:r>
      <w:r w:rsidRPr="007E6C6C">
        <w:t xml:space="preserve"> </w:t>
      </w:r>
      <w:r>
        <w:rPr>
          <w:lang w:val="en-US"/>
        </w:rPr>
        <w:t xml:space="preserve">of gross </w:t>
      </w:r>
      <w:r w:rsidRPr="007E6C6C">
        <w:t>human rights violations in his</w:t>
      </w:r>
      <w:r w:rsidR="004D04C2">
        <w:rPr>
          <w:lang w:val="en-US"/>
        </w:rPr>
        <w:t xml:space="preserve"> or </w:t>
      </w:r>
      <w:r w:rsidRPr="007E6C6C">
        <w:t xml:space="preserve">her country of origin is not sufficient in itself </w:t>
      </w:r>
      <w:r w:rsidRPr="007E6C6C">
        <w:rPr>
          <w:lang w:val="en-US"/>
        </w:rPr>
        <w:t xml:space="preserve">for </w:t>
      </w:r>
      <w:r w:rsidR="00296B2E">
        <w:rPr>
          <w:lang w:val="en-US"/>
        </w:rPr>
        <w:t>concluding</w:t>
      </w:r>
      <w:r w:rsidR="00296B2E" w:rsidRPr="00C737E6">
        <w:rPr>
          <w:lang w:val="en-US"/>
        </w:rPr>
        <w:t xml:space="preserve"> </w:t>
      </w:r>
      <w:r w:rsidRPr="007E6C6C">
        <w:t xml:space="preserve">that a complainant runs a </w:t>
      </w:r>
      <w:r w:rsidRPr="007E6C6C">
        <w:rPr>
          <w:lang w:val="en-US"/>
        </w:rPr>
        <w:t xml:space="preserve">personal </w:t>
      </w:r>
      <w:r w:rsidRPr="007E6C6C">
        <w:t>risk of torture</w:t>
      </w:r>
      <w:r w:rsidRPr="00F612BA">
        <w:rPr>
          <w:lang w:val="en-GB"/>
        </w:rPr>
        <w:t xml:space="preserve"> t</w:t>
      </w:r>
      <w:r>
        <w:rPr>
          <w:lang w:val="en-GB"/>
        </w:rPr>
        <w:t>here</w:t>
      </w:r>
      <w:r w:rsidRPr="004B077D">
        <w:t>.</w:t>
      </w:r>
      <w:r w:rsidR="00DD5B88">
        <w:rPr>
          <w:rStyle w:val="FootnoteReference"/>
        </w:rPr>
        <w:footnoteReference w:id="24"/>
      </w:r>
      <w:r w:rsidRPr="00C737E6">
        <w:t xml:space="preserve"> </w:t>
      </w:r>
      <w:r w:rsidR="00642CDD">
        <w:rPr>
          <w:bCs/>
          <w:lang w:val="en-GB"/>
        </w:rPr>
        <w:t xml:space="preserve">In this context, the Committee </w:t>
      </w:r>
      <w:r w:rsidR="001A015A">
        <w:rPr>
          <w:bCs/>
          <w:lang w:val="en-GB"/>
        </w:rPr>
        <w:t xml:space="preserve">refers to </w:t>
      </w:r>
      <w:r w:rsidR="001A015A">
        <w:rPr>
          <w:bCs/>
          <w:lang w:val="en-GB"/>
        </w:rPr>
        <w:lastRenderedPageBreak/>
        <w:t xml:space="preserve">its </w:t>
      </w:r>
      <w:r w:rsidR="00B8064C">
        <w:rPr>
          <w:bCs/>
          <w:lang w:val="en-GB"/>
        </w:rPr>
        <w:t xml:space="preserve">concluding observations </w:t>
      </w:r>
      <w:r w:rsidR="001A015A">
        <w:rPr>
          <w:bCs/>
          <w:lang w:val="en-GB"/>
        </w:rPr>
        <w:t xml:space="preserve">following </w:t>
      </w:r>
      <w:r w:rsidR="00B70089">
        <w:rPr>
          <w:bCs/>
          <w:lang w:val="en-GB"/>
        </w:rPr>
        <w:t>its</w:t>
      </w:r>
      <w:r w:rsidR="001A015A">
        <w:rPr>
          <w:bCs/>
          <w:lang w:val="en-GB"/>
        </w:rPr>
        <w:t xml:space="preserve"> </w:t>
      </w:r>
      <w:r w:rsidR="00B70089">
        <w:rPr>
          <w:bCs/>
          <w:lang w:val="en-GB"/>
        </w:rPr>
        <w:t xml:space="preserve">2011 </w:t>
      </w:r>
      <w:r w:rsidR="001A015A">
        <w:rPr>
          <w:bCs/>
          <w:lang w:val="en-GB"/>
        </w:rPr>
        <w:t xml:space="preserve">examination of the </w:t>
      </w:r>
      <w:r w:rsidR="00F612BA">
        <w:rPr>
          <w:bCs/>
          <w:lang w:val="en-GB"/>
        </w:rPr>
        <w:t>combined third and fourth</w:t>
      </w:r>
      <w:r w:rsidR="001A015A">
        <w:rPr>
          <w:bCs/>
          <w:lang w:val="en-GB"/>
        </w:rPr>
        <w:t xml:space="preserve"> periodic report</w:t>
      </w:r>
      <w:r w:rsidR="00F6253F">
        <w:rPr>
          <w:bCs/>
          <w:lang w:val="en-GB"/>
        </w:rPr>
        <w:t>s</w:t>
      </w:r>
      <w:r w:rsidR="001A015A">
        <w:rPr>
          <w:bCs/>
          <w:lang w:val="en-GB"/>
        </w:rPr>
        <w:t xml:space="preserve"> </w:t>
      </w:r>
      <w:r w:rsidR="00B8064C">
        <w:rPr>
          <w:bCs/>
          <w:lang w:val="en-GB"/>
        </w:rPr>
        <w:t>o</w:t>
      </w:r>
      <w:r w:rsidR="00B70089">
        <w:rPr>
          <w:bCs/>
          <w:lang w:val="en-GB"/>
        </w:rPr>
        <w:t>f</w:t>
      </w:r>
      <w:r w:rsidR="00B8064C">
        <w:rPr>
          <w:bCs/>
          <w:lang w:val="en-GB"/>
        </w:rPr>
        <w:t xml:space="preserve"> Sri Lanka</w:t>
      </w:r>
      <w:r w:rsidR="00F612BA">
        <w:rPr>
          <w:bCs/>
          <w:lang w:val="en-GB"/>
        </w:rPr>
        <w:t>,</w:t>
      </w:r>
      <w:r w:rsidR="00B70089">
        <w:rPr>
          <w:bCs/>
          <w:lang w:val="en-GB"/>
        </w:rPr>
        <w:t xml:space="preserve"> </w:t>
      </w:r>
      <w:r w:rsidR="00A71E9A">
        <w:rPr>
          <w:bCs/>
          <w:lang w:val="en-GB"/>
        </w:rPr>
        <w:t xml:space="preserve">in which </w:t>
      </w:r>
      <w:r w:rsidR="00F6253F">
        <w:rPr>
          <w:lang w:val="en-GB"/>
        </w:rPr>
        <w:t>it</w:t>
      </w:r>
      <w:r w:rsidR="00B70089">
        <w:rPr>
          <w:lang w:val="en-GB"/>
        </w:rPr>
        <w:t xml:space="preserve"> expressed</w:t>
      </w:r>
      <w:r w:rsidR="00642CDD">
        <w:t xml:space="preserve"> serious concern about</w:t>
      </w:r>
      <w:r w:rsidR="00B70089">
        <w:rPr>
          <w:lang w:val="en-US"/>
        </w:rPr>
        <w:t xml:space="preserve"> </w:t>
      </w:r>
      <w:r w:rsidR="00642CDD">
        <w:t>reports suggest</w:t>
      </w:r>
      <w:r w:rsidR="00B70089">
        <w:rPr>
          <w:lang w:val="en-US"/>
        </w:rPr>
        <w:t>ing</w:t>
      </w:r>
      <w:r w:rsidR="00642CDD">
        <w:t xml:space="preserve"> that torture and ill-treatment perpetrated by State actors</w:t>
      </w:r>
      <w:r w:rsidR="00456088" w:rsidRPr="00456088">
        <w:rPr>
          <w:lang w:val="en-GB"/>
        </w:rPr>
        <w:t xml:space="preserve"> in Sri Lanka</w:t>
      </w:r>
      <w:r w:rsidR="00642CDD">
        <w:t>, both the military and the police, h</w:t>
      </w:r>
      <w:r w:rsidR="00B70089">
        <w:rPr>
          <w:lang w:val="en-US"/>
        </w:rPr>
        <w:t>ad</w:t>
      </w:r>
      <w:r w:rsidR="00642CDD">
        <w:t xml:space="preserve"> continued in many parts of the country after</w:t>
      </w:r>
      <w:r w:rsidR="00456088">
        <w:t xml:space="preserve"> the conflict</w:t>
      </w:r>
      <w:r w:rsidR="00B70089">
        <w:rPr>
          <w:lang w:val="en-US"/>
        </w:rPr>
        <w:t xml:space="preserve"> with </w:t>
      </w:r>
      <w:r w:rsidR="00350D40">
        <w:rPr>
          <w:lang w:val="en-US"/>
        </w:rPr>
        <w:t>LTTE</w:t>
      </w:r>
      <w:r w:rsidR="00456088">
        <w:t xml:space="preserve"> ended in May 2009</w:t>
      </w:r>
      <w:r w:rsidR="00456088" w:rsidRPr="00456088">
        <w:rPr>
          <w:lang w:val="en-GB"/>
        </w:rPr>
        <w:t>.</w:t>
      </w:r>
      <w:r w:rsidR="00503739">
        <w:rPr>
          <w:rStyle w:val="FootnoteReference"/>
          <w:lang w:val="en-GB"/>
        </w:rPr>
        <w:footnoteReference w:id="25"/>
      </w:r>
      <w:r w:rsidR="00B70089">
        <w:rPr>
          <w:lang w:val="en-GB"/>
        </w:rPr>
        <w:t xml:space="preserve"> The Committee also refers to its concluding observations following its 2013 examination of the fifth periodic report of the United Kingdom of Great Britain and Northern Ireland, in which the Committee noted </w:t>
      </w:r>
      <w:r w:rsidR="00B70089">
        <w:t>evidence that some Sri Lankan Tamils ha</w:t>
      </w:r>
      <w:r w:rsidR="00B70089">
        <w:rPr>
          <w:lang w:val="en-US"/>
        </w:rPr>
        <w:t>d</w:t>
      </w:r>
      <w:r w:rsidR="00B70089">
        <w:t xml:space="preserve"> been victims of torture and ill-treatment following their forced or voluntary removal from the State party</w:t>
      </w:r>
      <w:r w:rsidR="00E10461" w:rsidRPr="00E10461">
        <w:rPr>
          <w:lang w:val="en-GB"/>
        </w:rPr>
        <w:t xml:space="preserve"> </w:t>
      </w:r>
      <w:r w:rsidR="00E10461">
        <w:rPr>
          <w:lang w:val="en-GB"/>
        </w:rPr>
        <w:t>to Sri Lanka</w:t>
      </w:r>
      <w:r w:rsidR="00B70089">
        <w:rPr>
          <w:lang w:val="en-US"/>
        </w:rPr>
        <w:t>.</w:t>
      </w:r>
      <w:r w:rsidR="00503739">
        <w:rPr>
          <w:rStyle w:val="FootnoteReference"/>
          <w:lang w:val="en-US"/>
        </w:rPr>
        <w:footnoteReference w:id="26"/>
      </w:r>
      <w:r w:rsidR="00B70089">
        <w:rPr>
          <w:lang w:val="en-US"/>
        </w:rPr>
        <w:t xml:space="preserve"> </w:t>
      </w:r>
      <w:r w:rsidR="00BB0FB7">
        <w:rPr>
          <w:lang w:val="en-US"/>
        </w:rPr>
        <w:t>T</w:t>
      </w:r>
      <w:r w:rsidR="006D7B4F">
        <w:rPr>
          <w:lang w:val="en-US"/>
        </w:rPr>
        <w:t xml:space="preserve">he Committee further refers to the </w:t>
      </w:r>
      <w:r w:rsidR="004D04C2">
        <w:rPr>
          <w:lang w:val="en-US"/>
        </w:rPr>
        <w:t>p</w:t>
      </w:r>
      <w:r w:rsidR="006D7B4F">
        <w:rPr>
          <w:lang w:val="en-US"/>
        </w:rPr>
        <w:t>reliminary observations and recommendations of the Special Rapporteur on torture and other cruel, inhuman and degrading treatment or punishment following the official joint visit</w:t>
      </w:r>
      <w:r w:rsidR="00B768D7">
        <w:rPr>
          <w:lang w:val="en-US"/>
        </w:rPr>
        <w:t xml:space="preserve"> with the Special Rapporteur on the independence of judges and lawyers</w:t>
      </w:r>
      <w:r w:rsidR="006D7B4F">
        <w:rPr>
          <w:lang w:val="en-US"/>
        </w:rPr>
        <w:t xml:space="preserve"> to Sri Lanka from 29 April to 7 May 2016, wherein it was noted that “torture is a common practice” and that the “current legal framework and the lack of reform within the structures of the armed forces, police, Attorney-General’s Office and judiciary perpetuate the real risk that the practice of torture will continue”</w:t>
      </w:r>
      <w:r w:rsidR="004D04C2">
        <w:rPr>
          <w:lang w:val="en-US"/>
        </w:rPr>
        <w:t>.</w:t>
      </w:r>
      <w:r w:rsidR="006D7B4F">
        <w:rPr>
          <w:rStyle w:val="FootnoteReference"/>
          <w:lang w:val="en-US"/>
        </w:rPr>
        <w:footnoteReference w:id="27"/>
      </w:r>
    </w:p>
    <w:p w:rsidR="00B70089" w:rsidRDefault="006D7B4F">
      <w:pPr>
        <w:pStyle w:val="SingleTxtG"/>
        <w:rPr>
          <w:lang w:val="en-US"/>
        </w:rPr>
      </w:pPr>
      <w:r>
        <w:rPr>
          <w:lang w:val="en-US"/>
        </w:rPr>
        <w:t>7.9</w:t>
      </w:r>
      <w:r w:rsidR="007B239B">
        <w:rPr>
          <w:lang w:val="en-US"/>
        </w:rPr>
        <w:tab/>
      </w:r>
      <w:r w:rsidR="00B70089">
        <w:rPr>
          <w:lang w:val="en-US"/>
        </w:rPr>
        <w:t>The Committee further notes that a credible report published by a non-governmental organization in 2015 document</w:t>
      </w:r>
      <w:r w:rsidR="00FD5558">
        <w:rPr>
          <w:lang w:val="en-US"/>
        </w:rPr>
        <w:t>ed</w:t>
      </w:r>
      <w:r w:rsidR="00B70089">
        <w:rPr>
          <w:lang w:val="en-US"/>
        </w:rPr>
        <w:t xml:space="preserve"> 55 cases in which individuals who </w:t>
      </w:r>
      <w:r w:rsidR="00FD5558">
        <w:rPr>
          <w:lang w:val="en-US"/>
        </w:rPr>
        <w:t xml:space="preserve">had </w:t>
      </w:r>
      <w:r w:rsidR="00B70089">
        <w:rPr>
          <w:lang w:val="en-US"/>
        </w:rPr>
        <w:t xml:space="preserve">returned to Sri Lanka from the United Kingdom </w:t>
      </w:r>
      <w:r w:rsidR="00FD5558">
        <w:rPr>
          <w:lang w:val="en-US"/>
        </w:rPr>
        <w:t xml:space="preserve">during the </w:t>
      </w:r>
      <w:r w:rsidR="00B70089">
        <w:rPr>
          <w:lang w:val="en-US"/>
        </w:rPr>
        <w:t xml:space="preserve">2009-2015 </w:t>
      </w:r>
      <w:r w:rsidR="00FD5558">
        <w:rPr>
          <w:lang w:val="en-US"/>
        </w:rPr>
        <w:t xml:space="preserve">period had </w:t>
      </w:r>
      <w:r w:rsidR="00B70089">
        <w:rPr>
          <w:lang w:val="en-US"/>
        </w:rPr>
        <w:t xml:space="preserve">alleged that they were </w:t>
      </w:r>
      <w:r w:rsidR="004D41AF">
        <w:rPr>
          <w:lang w:val="en-US"/>
        </w:rPr>
        <w:t>subsequently detained and</w:t>
      </w:r>
      <w:r w:rsidR="00B70089">
        <w:rPr>
          <w:lang w:val="en-US"/>
        </w:rPr>
        <w:t xml:space="preserve"> torture</w:t>
      </w:r>
      <w:r w:rsidR="004D41AF">
        <w:rPr>
          <w:lang w:val="en-US"/>
        </w:rPr>
        <w:t xml:space="preserve">d by </w:t>
      </w:r>
      <w:r w:rsidR="00F25656">
        <w:rPr>
          <w:lang w:val="en-US"/>
        </w:rPr>
        <w:t xml:space="preserve">the </w:t>
      </w:r>
      <w:r w:rsidR="004D41AF">
        <w:rPr>
          <w:lang w:val="en-US"/>
        </w:rPr>
        <w:t>Sri Lankan authorities</w:t>
      </w:r>
      <w:r w:rsidR="00B70089">
        <w:rPr>
          <w:lang w:val="en-US"/>
        </w:rPr>
        <w:t>, and</w:t>
      </w:r>
      <w:r w:rsidR="004D41AF">
        <w:rPr>
          <w:lang w:val="en-US"/>
        </w:rPr>
        <w:t xml:space="preserve"> notes</w:t>
      </w:r>
      <w:r w:rsidR="00B70089">
        <w:rPr>
          <w:lang w:val="en-US"/>
        </w:rPr>
        <w:t xml:space="preserve"> that in 54 of the 55 cases </w:t>
      </w:r>
      <w:r w:rsidR="00B70089">
        <w:t xml:space="preserve">a past connection with </w:t>
      </w:r>
      <w:r w:rsidR="00350D40">
        <w:t>LTTE</w:t>
      </w:r>
      <w:r w:rsidR="004D41AF">
        <w:rPr>
          <w:lang w:val="en-US"/>
        </w:rPr>
        <w:t>,</w:t>
      </w:r>
      <w:r w:rsidR="00B70089">
        <w:rPr>
          <w:lang w:val="en-US"/>
        </w:rPr>
        <w:t xml:space="preserve"> </w:t>
      </w:r>
      <w:r w:rsidR="004D41AF">
        <w:rPr>
          <w:lang w:val="en-US"/>
        </w:rPr>
        <w:t>either low</w:t>
      </w:r>
      <w:r w:rsidR="00296B2E">
        <w:rPr>
          <w:lang w:val="en-US"/>
        </w:rPr>
        <w:t xml:space="preserve"> </w:t>
      </w:r>
      <w:r w:rsidR="004D41AF">
        <w:rPr>
          <w:lang w:val="en-US"/>
        </w:rPr>
        <w:t>level or high</w:t>
      </w:r>
      <w:r w:rsidR="00296B2E">
        <w:rPr>
          <w:lang w:val="en-US"/>
        </w:rPr>
        <w:t xml:space="preserve"> </w:t>
      </w:r>
      <w:r w:rsidR="004D41AF">
        <w:rPr>
          <w:lang w:val="en-US"/>
        </w:rPr>
        <w:t>level</w:t>
      </w:r>
      <w:r w:rsidR="00296B2E">
        <w:rPr>
          <w:lang w:val="en-US"/>
        </w:rPr>
        <w:t>,</w:t>
      </w:r>
      <w:r w:rsidR="00B70089">
        <w:rPr>
          <w:lang w:val="en-US"/>
        </w:rPr>
        <w:t xml:space="preserve"> and either directly or through a family member or acquaintance</w:t>
      </w:r>
      <w:r w:rsidR="004D41AF">
        <w:rPr>
          <w:lang w:val="en-US"/>
        </w:rPr>
        <w:t>,</w:t>
      </w:r>
      <w:r w:rsidR="00B70089">
        <w:rPr>
          <w:lang w:val="en-US"/>
        </w:rPr>
        <w:t xml:space="preserve"> appeared to have been at least a contributory factor in their detention</w:t>
      </w:r>
      <w:r w:rsidR="00FD5558">
        <w:rPr>
          <w:lang w:val="en-US"/>
        </w:rPr>
        <w:t>.</w:t>
      </w:r>
      <w:r w:rsidR="006B303D">
        <w:rPr>
          <w:rStyle w:val="FootnoteReference"/>
          <w:lang w:val="en-US"/>
        </w:rPr>
        <w:footnoteReference w:id="28"/>
      </w:r>
      <w:r w:rsidR="00B70089">
        <w:rPr>
          <w:lang w:val="en-US"/>
        </w:rPr>
        <w:t xml:space="preserve"> The report </w:t>
      </w:r>
      <w:r w:rsidR="004D41AF">
        <w:rPr>
          <w:lang w:val="en-US"/>
        </w:rPr>
        <w:t xml:space="preserve">also notes that the fact that the victims had returned from abroad might have particularly attracted the attention of the authorities. </w:t>
      </w:r>
      <w:r w:rsidR="00B2264A">
        <w:rPr>
          <w:lang w:val="en-US"/>
        </w:rPr>
        <w:t xml:space="preserve">This report is consistent with other non-governmental reports published in recent years, including one documenting 40 cases in which individuals connected or perceived as having been connected to </w:t>
      </w:r>
      <w:r w:rsidR="00350D40">
        <w:rPr>
          <w:lang w:val="en-US"/>
        </w:rPr>
        <w:t>LTTE</w:t>
      </w:r>
      <w:r w:rsidR="00B2264A">
        <w:rPr>
          <w:lang w:val="en-US"/>
        </w:rPr>
        <w:t xml:space="preserve"> were subjected to</w:t>
      </w:r>
      <w:r w:rsidR="00B2264A">
        <w:t xml:space="preserve"> </w:t>
      </w:r>
      <w:r w:rsidR="00B2264A">
        <w:rPr>
          <w:lang w:val="en-US"/>
        </w:rPr>
        <w:t xml:space="preserve">abduction, </w:t>
      </w:r>
      <w:r w:rsidR="00B2264A">
        <w:t>arbitrary detention, torture, rape and sexual violence</w:t>
      </w:r>
      <w:r w:rsidR="00B2264A">
        <w:rPr>
          <w:lang w:val="en-US"/>
        </w:rPr>
        <w:t xml:space="preserve"> by Sri Lankan authorities between 2009 and 2014 for the purpose of extracting confessions and/or information about </w:t>
      </w:r>
      <w:r w:rsidR="00350D40">
        <w:rPr>
          <w:lang w:val="en-US"/>
        </w:rPr>
        <w:t>LTTE</w:t>
      </w:r>
      <w:r w:rsidR="00B2264A">
        <w:rPr>
          <w:lang w:val="en-US"/>
        </w:rPr>
        <w:t xml:space="preserve"> and to punish the victims for their involvement with the organization.</w:t>
      </w:r>
      <w:r w:rsidR="00503739">
        <w:rPr>
          <w:rStyle w:val="FootnoteReference"/>
          <w:lang w:val="en-US"/>
        </w:rPr>
        <w:footnoteReference w:id="29"/>
      </w:r>
      <w:r w:rsidR="00B2264A">
        <w:rPr>
          <w:lang w:val="en-US"/>
        </w:rPr>
        <w:t xml:space="preserve"> </w:t>
      </w:r>
      <w:r w:rsidR="006B303D">
        <w:rPr>
          <w:lang w:val="en-US"/>
        </w:rPr>
        <w:t>In addition, a</w:t>
      </w:r>
      <w:r w:rsidR="00F6253F">
        <w:rPr>
          <w:lang w:val="en-US"/>
        </w:rPr>
        <w:t xml:space="preserve">ccording to </w:t>
      </w:r>
      <w:r w:rsidR="006B303D">
        <w:rPr>
          <w:lang w:val="en-US"/>
        </w:rPr>
        <w:t xml:space="preserve">the </w:t>
      </w:r>
      <w:r w:rsidR="00DB24F3">
        <w:rPr>
          <w:lang w:val="en-US"/>
        </w:rPr>
        <w:t xml:space="preserve">latter </w:t>
      </w:r>
      <w:r w:rsidR="00B2264A">
        <w:rPr>
          <w:lang w:val="en-US"/>
        </w:rPr>
        <w:t>report</w:t>
      </w:r>
      <w:r w:rsidR="00F6253F">
        <w:rPr>
          <w:lang w:val="en-US"/>
        </w:rPr>
        <w:t xml:space="preserve">, </w:t>
      </w:r>
      <w:r w:rsidR="00350D40">
        <w:rPr>
          <w:lang w:val="en-US"/>
        </w:rPr>
        <w:t>EPDP</w:t>
      </w:r>
      <w:r w:rsidR="00B2264A">
        <w:rPr>
          <w:lang w:val="en-US"/>
        </w:rPr>
        <w:t xml:space="preserve"> remains involved in cases of torture perpetrated by the authorities, often brokering the release of persons detained by the authorities in exchange for money.</w:t>
      </w:r>
      <w:r w:rsidR="00503739">
        <w:rPr>
          <w:rStyle w:val="FootnoteReference"/>
          <w:lang w:val="en-US"/>
        </w:rPr>
        <w:footnoteReference w:id="30"/>
      </w:r>
      <w:r w:rsidR="00B2264A">
        <w:rPr>
          <w:lang w:val="en-US"/>
        </w:rPr>
        <w:t xml:space="preserve"> </w:t>
      </w:r>
      <w:r w:rsidR="004D41AF">
        <w:rPr>
          <w:lang w:val="en-US"/>
        </w:rPr>
        <w:t>The</w:t>
      </w:r>
      <w:r w:rsidR="001D1B1C">
        <w:rPr>
          <w:lang w:val="en-US"/>
        </w:rPr>
        <w:t xml:space="preserve"> Committee considers</w:t>
      </w:r>
      <w:r w:rsidR="00073FE8">
        <w:rPr>
          <w:lang w:val="en-US"/>
        </w:rPr>
        <w:t xml:space="preserve"> </w:t>
      </w:r>
      <w:r w:rsidR="001D1B1C">
        <w:rPr>
          <w:lang w:val="en-US"/>
        </w:rPr>
        <w:t xml:space="preserve">that </w:t>
      </w:r>
      <w:r w:rsidR="006B303D">
        <w:rPr>
          <w:lang w:val="en-US"/>
        </w:rPr>
        <w:t>all the above</w:t>
      </w:r>
      <w:r w:rsidR="001D1B1C">
        <w:rPr>
          <w:lang w:val="en-US"/>
        </w:rPr>
        <w:t xml:space="preserve"> </w:t>
      </w:r>
      <w:r w:rsidR="006B303D">
        <w:rPr>
          <w:lang w:val="en-US"/>
        </w:rPr>
        <w:t>shows</w:t>
      </w:r>
      <w:r w:rsidR="001D1B1C">
        <w:rPr>
          <w:lang w:val="en-US"/>
        </w:rPr>
        <w:t xml:space="preserve"> that </w:t>
      </w:r>
      <w:r w:rsidR="00B2264A">
        <w:rPr>
          <w:lang w:val="en-US"/>
        </w:rPr>
        <w:t>Sri Lankans</w:t>
      </w:r>
      <w:r w:rsidR="004D41AF">
        <w:rPr>
          <w:lang w:val="en-US"/>
        </w:rPr>
        <w:t xml:space="preserve"> of Tamil ethnicity with a prior personal or familial connection to </w:t>
      </w:r>
      <w:r w:rsidR="00350D40">
        <w:rPr>
          <w:lang w:val="en-US"/>
        </w:rPr>
        <w:t>LTTE</w:t>
      </w:r>
      <w:r w:rsidR="001D1B1C">
        <w:rPr>
          <w:lang w:val="en-US"/>
        </w:rPr>
        <w:t xml:space="preserve"> facing forcible return to Sri Lanka</w:t>
      </w:r>
      <w:r w:rsidR="00F25656">
        <w:rPr>
          <w:lang w:val="en-US"/>
        </w:rPr>
        <w:t xml:space="preserve"> may</w:t>
      </w:r>
      <w:r w:rsidR="001D1B1C">
        <w:rPr>
          <w:lang w:val="en-US"/>
        </w:rPr>
        <w:t xml:space="preserve"> </w:t>
      </w:r>
      <w:r w:rsidR="00FD5558">
        <w:rPr>
          <w:lang w:val="en-US"/>
        </w:rPr>
        <w:t xml:space="preserve">be at </w:t>
      </w:r>
      <w:r w:rsidR="001D1B1C">
        <w:rPr>
          <w:lang w:val="en-US"/>
        </w:rPr>
        <w:t>risk of torture</w:t>
      </w:r>
      <w:r w:rsidR="00FD5558">
        <w:rPr>
          <w:lang w:val="en-US"/>
        </w:rPr>
        <w:t>.</w:t>
      </w:r>
    </w:p>
    <w:p w:rsidR="002C0A5A" w:rsidRDefault="004D41AF">
      <w:pPr>
        <w:pStyle w:val="SingleTxtG"/>
        <w:rPr>
          <w:lang w:val="en-US"/>
        </w:rPr>
      </w:pPr>
      <w:r>
        <w:rPr>
          <w:lang w:val="en-GB"/>
        </w:rPr>
        <w:lastRenderedPageBreak/>
        <w:t>7.</w:t>
      </w:r>
      <w:r w:rsidR="00456AF1">
        <w:rPr>
          <w:lang w:val="en-GB"/>
        </w:rPr>
        <w:t>10</w:t>
      </w:r>
      <w:r>
        <w:rPr>
          <w:lang w:val="en-GB"/>
        </w:rPr>
        <w:t xml:space="preserve"> </w:t>
      </w:r>
      <w:r>
        <w:rPr>
          <w:lang w:val="en-GB"/>
        </w:rPr>
        <w:tab/>
      </w:r>
      <w:r w:rsidR="00F33E20">
        <w:rPr>
          <w:lang w:val="en-US"/>
        </w:rPr>
        <w:t>In the</w:t>
      </w:r>
      <w:r w:rsidR="00F25656">
        <w:rPr>
          <w:lang w:val="en-US"/>
        </w:rPr>
        <w:t xml:space="preserve"> </w:t>
      </w:r>
      <w:r w:rsidR="00F33E20">
        <w:rPr>
          <w:lang w:val="en-US"/>
        </w:rPr>
        <w:t>present case, the complainant has alleged</w:t>
      </w:r>
      <w:r w:rsidR="00FD5558">
        <w:rPr>
          <w:lang w:val="en-US"/>
        </w:rPr>
        <w:t>—</w:t>
      </w:r>
      <w:r w:rsidR="00F33E20">
        <w:rPr>
          <w:lang w:val="en-US"/>
        </w:rPr>
        <w:t xml:space="preserve">and </w:t>
      </w:r>
      <w:r w:rsidR="00F6253F">
        <w:rPr>
          <w:lang w:val="en-US"/>
        </w:rPr>
        <w:t>this remained</w:t>
      </w:r>
      <w:r w:rsidR="00F33E20">
        <w:rPr>
          <w:lang w:val="en-US"/>
        </w:rPr>
        <w:t xml:space="preserve"> </w:t>
      </w:r>
      <w:r w:rsidR="00F6253F">
        <w:rPr>
          <w:lang w:val="en-US"/>
        </w:rPr>
        <w:t>un</w:t>
      </w:r>
      <w:r w:rsidR="00F33E20">
        <w:rPr>
          <w:lang w:val="en-US"/>
        </w:rPr>
        <w:t>refuted by the State party</w:t>
      </w:r>
      <w:r w:rsidR="00FD5558">
        <w:rPr>
          <w:lang w:val="en-US"/>
        </w:rPr>
        <w:t>—</w:t>
      </w:r>
      <w:r w:rsidR="00F33E20">
        <w:rPr>
          <w:lang w:val="en-US"/>
        </w:rPr>
        <w:t xml:space="preserve">that he has both a prior personal and a prior </w:t>
      </w:r>
      <w:r w:rsidR="006B303D">
        <w:rPr>
          <w:lang w:val="en-US"/>
        </w:rPr>
        <w:t>family</w:t>
      </w:r>
      <w:r w:rsidR="00F33E20">
        <w:rPr>
          <w:lang w:val="en-US"/>
        </w:rPr>
        <w:t xml:space="preserve"> connection to </w:t>
      </w:r>
      <w:r w:rsidR="00350D40">
        <w:rPr>
          <w:lang w:val="en-US"/>
        </w:rPr>
        <w:t>LTTE</w:t>
      </w:r>
      <w:r w:rsidR="00F33E20">
        <w:rPr>
          <w:lang w:val="en-US"/>
        </w:rPr>
        <w:t xml:space="preserve">, and that he previously was detained and tortured by a paramilitary group associated with the Sri Lankan authorities because of the perceived </w:t>
      </w:r>
      <w:r w:rsidR="00F6253F">
        <w:rPr>
          <w:lang w:val="en-US"/>
        </w:rPr>
        <w:t xml:space="preserve">LTTE </w:t>
      </w:r>
      <w:r w:rsidR="006B303D">
        <w:rPr>
          <w:lang w:val="en-US"/>
        </w:rPr>
        <w:t>family</w:t>
      </w:r>
      <w:r w:rsidR="00F33E20">
        <w:rPr>
          <w:lang w:val="en-US"/>
        </w:rPr>
        <w:t xml:space="preserve"> connection. </w:t>
      </w:r>
      <w:r w:rsidR="00F46609" w:rsidRPr="00530B3B">
        <w:t xml:space="preserve">Accordingly, the Committee finds that, </w:t>
      </w:r>
      <w:r w:rsidR="00F46609">
        <w:t>taking into account</w:t>
      </w:r>
      <w:r w:rsidR="00F46609" w:rsidRPr="00530B3B">
        <w:t xml:space="preserve"> all the factors in this particular case</w:t>
      </w:r>
      <w:r w:rsidR="00BE35EC" w:rsidRPr="00D3078B">
        <w:rPr>
          <w:lang w:val="en-GB"/>
        </w:rPr>
        <w:t xml:space="preserve"> read as a whole</w:t>
      </w:r>
      <w:r w:rsidR="00F46609" w:rsidRPr="00F46609">
        <w:rPr>
          <w:lang w:val="en-GB"/>
        </w:rPr>
        <w:t xml:space="preserve">, </w:t>
      </w:r>
      <w:r w:rsidR="00BE35EC">
        <w:rPr>
          <w:lang w:val="en-GB"/>
        </w:rPr>
        <w:t>and</w:t>
      </w:r>
      <w:r w:rsidR="00D3078B">
        <w:rPr>
          <w:lang w:val="en-GB"/>
        </w:rPr>
        <w:t xml:space="preserve"> </w:t>
      </w:r>
      <w:r w:rsidR="00F46609" w:rsidRPr="00F46609">
        <w:rPr>
          <w:lang w:val="en-GB"/>
        </w:rPr>
        <w:t>in</w:t>
      </w:r>
      <w:r w:rsidR="00F46609">
        <w:rPr>
          <w:lang w:val="en-GB"/>
        </w:rPr>
        <w:t xml:space="preserve"> </w:t>
      </w:r>
      <w:r w:rsidR="00FE7849">
        <w:rPr>
          <w:lang w:val="en-GB"/>
        </w:rPr>
        <w:t xml:space="preserve">the </w:t>
      </w:r>
      <w:r w:rsidR="00F46609">
        <w:rPr>
          <w:lang w:val="en-GB"/>
        </w:rPr>
        <w:t>light of the</w:t>
      </w:r>
      <w:r w:rsidR="00F46609" w:rsidRPr="00D84171">
        <w:rPr>
          <w:lang w:val="en-GB"/>
        </w:rPr>
        <w:t xml:space="preserve"> </w:t>
      </w:r>
      <w:r w:rsidR="00F46609" w:rsidRPr="00C64BF7">
        <w:t xml:space="preserve">reports regarding the </w:t>
      </w:r>
      <w:r w:rsidR="00BE35EC" w:rsidRPr="00D3078B">
        <w:rPr>
          <w:lang w:val="en-GB"/>
        </w:rPr>
        <w:t xml:space="preserve">current </w:t>
      </w:r>
      <w:r w:rsidR="00F46609" w:rsidRPr="00C64BF7">
        <w:t xml:space="preserve">human rights situation in </w:t>
      </w:r>
      <w:r w:rsidR="00F46609">
        <w:rPr>
          <w:lang w:val="en-GB"/>
        </w:rPr>
        <w:t>Sri Lanka</w:t>
      </w:r>
      <w:r w:rsidR="005D7168">
        <w:rPr>
          <w:lang w:val="en-GB"/>
        </w:rPr>
        <w:t xml:space="preserve">, </w:t>
      </w:r>
      <w:r w:rsidR="00BE35EC">
        <w:rPr>
          <w:lang w:val="en-GB"/>
        </w:rPr>
        <w:t xml:space="preserve">which do not </w:t>
      </w:r>
      <w:r w:rsidR="006B303D">
        <w:rPr>
          <w:lang w:val="en-GB"/>
        </w:rPr>
        <w:t>appear</w:t>
      </w:r>
      <w:r w:rsidR="00BE35EC">
        <w:rPr>
          <w:lang w:val="en-GB"/>
        </w:rPr>
        <w:t xml:space="preserve"> to have been sufficiently taken into account by the State party’s authorities</w:t>
      </w:r>
      <w:r w:rsidR="006B303D">
        <w:rPr>
          <w:lang w:val="en-GB"/>
        </w:rPr>
        <w:t>, including in the context of the present communication,</w:t>
      </w:r>
      <w:r w:rsidR="00F46609" w:rsidRPr="00B174AA">
        <w:t xml:space="preserve"> </w:t>
      </w:r>
      <w:r w:rsidR="00F46609" w:rsidRPr="00F612BA">
        <w:rPr>
          <w:lang w:val="en-GB"/>
        </w:rPr>
        <w:t xml:space="preserve">and given </w:t>
      </w:r>
      <w:r w:rsidR="00F46609">
        <w:rPr>
          <w:lang w:val="en-GB"/>
        </w:rPr>
        <w:t>the complainant’s</w:t>
      </w:r>
      <w:r w:rsidR="00F46609" w:rsidRPr="00C64BF7">
        <w:t xml:space="preserve"> previous </w:t>
      </w:r>
      <w:r w:rsidR="00F46609" w:rsidRPr="00DC638F">
        <w:rPr>
          <w:lang w:val="en-GB"/>
        </w:rPr>
        <w:t>ill-</w:t>
      </w:r>
      <w:r w:rsidR="00F46609">
        <w:rPr>
          <w:lang w:val="en-GB"/>
        </w:rPr>
        <w:t>treatment in Sri L</w:t>
      </w:r>
      <w:r w:rsidR="00F46609" w:rsidRPr="00DC638F">
        <w:rPr>
          <w:lang w:val="en-GB"/>
        </w:rPr>
        <w:t>anka</w:t>
      </w:r>
      <w:r w:rsidR="00F46609" w:rsidRPr="00C64BF7">
        <w:t xml:space="preserve"> </w:t>
      </w:r>
      <w:r w:rsidR="00F46609" w:rsidRPr="00DC638F">
        <w:rPr>
          <w:lang w:val="en-GB"/>
        </w:rPr>
        <w:t>in 2008</w:t>
      </w:r>
      <w:r w:rsidR="00F46609" w:rsidRPr="00530B3B">
        <w:t>,</w:t>
      </w:r>
      <w:r w:rsidR="006525E0">
        <w:t xml:space="preserve"> </w:t>
      </w:r>
      <w:r w:rsidR="002C0A5A" w:rsidRPr="00C64BF7">
        <w:t xml:space="preserve">there are substantial grounds for believing that the complainant </w:t>
      </w:r>
      <w:r w:rsidR="00F46609" w:rsidRPr="00F46609">
        <w:rPr>
          <w:lang w:val="en-GB"/>
        </w:rPr>
        <w:t xml:space="preserve">would </w:t>
      </w:r>
      <w:r>
        <w:rPr>
          <w:lang w:val="en-GB"/>
        </w:rPr>
        <w:t>face a real, personal and substantial</w:t>
      </w:r>
      <w:r w:rsidR="00E307D8" w:rsidRPr="00F612BA">
        <w:rPr>
          <w:lang w:val="en-GB"/>
        </w:rPr>
        <w:t xml:space="preserve"> </w:t>
      </w:r>
      <w:r w:rsidR="002C0A5A" w:rsidRPr="00C64BF7">
        <w:t>risk</w:t>
      </w:r>
      <w:r w:rsidR="00E307D8" w:rsidRPr="00F612BA">
        <w:rPr>
          <w:lang w:val="en-GB"/>
        </w:rPr>
        <w:t xml:space="preserve"> </w:t>
      </w:r>
      <w:r>
        <w:rPr>
          <w:lang w:val="en-GB"/>
        </w:rPr>
        <w:t>of</w:t>
      </w:r>
      <w:r w:rsidR="00E307D8" w:rsidRPr="00F612BA">
        <w:rPr>
          <w:lang w:val="en-GB"/>
        </w:rPr>
        <w:t xml:space="preserve"> be</w:t>
      </w:r>
      <w:r>
        <w:rPr>
          <w:lang w:val="en-GB"/>
        </w:rPr>
        <w:t xml:space="preserve">ing </w:t>
      </w:r>
      <w:r w:rsidR="002C0A5A" w:rsidRPr="00C64BF7">
        <w:t>subjected to torture i</w:t>
      </w:r>
      <w:r w:rsidR="00E307D8" w:rsidRPr="00F612BA">
        <w:rPr>
          <w:lang w:val="en-GB"/>
        </w:rPr>
        <w:t xml:space="preserve">n </w:t>
      </w:r>
      <w:r w:rsidR="00FE7849">
        <w:rPr>
          <w:lang w:val="en-GB"/>
        </w:rPr>
        <w:t>the event</w:t>
      </w:r>
      <w:r w:rsidR="00E307D8" w:rsidRPr="00F612BA">
        <w:rPr>
          <w:lang w:val="en-GB"/>
        </w:rPr>
        <w:t xml:space="preserve"> of forcible </w:t>
      </w:r>
      <w:r w:rsidR="002C0A5A" w:rsidRPr="00C64BF7">
        <w:t xml:space="preserve">return to </w:t>
      </w:r>
      <w:r w:rsidR="00E1622E">
        <w:rPr>
          <w:lang w:val="en-GB"/>
        </w:rPr>
        <w:t>Sri Lanka</w:t>
      </w:r>
      <w:r w:rsidR="002C0A5A" w:rsidRPr="00C737E6">
        <w:t xml:space="preserve">. </w:t>
      </w:r>
    </w:p>
    <w:p w:rsidR="002C0A5A" w:rsidRPr="00C64BF7" w:rsidRDefault="00E1622E">
      <w:pPr>
        <w:pStyle w:val="SingleTxtG"/>
      </w:pPr>
      <w:r w:rsidRPr="00E1622E">
        <w:rPr>
          <w:lang w:val="en-GB"/>
        </w:rPr>
        <w:t>8</w:t>
      </w:r>
      <w:r w:rsidR="006D7B4F" w:rsidRPr="00C737E6">
        <w:rPr>
          <w:lang w:val="en-GB"/>
        </w:rPr>
        <w:t>.</w:t>
      </w:r>
      <w:r w:rsidR="002C0A5A" w:rsidRPr="00C64BF7">
        <w:tab/>
        <w:t xml:space="preserve">The Committee, acting under article 22 </w:t>
      </w:r>
      <w:r w:rsidR="00FE7849">
        <w:rPr>
          <w:lang w:val="en-US"/>
        </w:rPr>
        <w:t>(</w:t>
      </w:r>
      <w:r w:rsidR="002C0A5A" w:rsidRPr="00C64BF7">
        <w:t>7</w:t>
      </w:r>
      <w:r w:rsidR="00FE7849">
        <w:rPr>
          <w:lang w:val="en-US"/>
        </w:rPr>
        <w:t>)</w:t>
      </w:r>
      <w:r w:rsidR="002C0A5A" w:rsidRPr="00C64BF7">
        <w:t xml:space="preserve"> of the Convention, concludes that there are substantial grounds for believing that the complainant would face a foreseeable, real and personal risk of being subjected to torture by </w:t>
      </w:r>
      <w:r w:rsidR="00DC6E8B" w:rsidRPr="005425D0">
        <w:rPr>
          <w:lang w:val="en-GB"/>
        </w:rPr>
        <w:t xml:space="preserve">the </w:t>
      </w:r>
      <w:r w:rsidRPr="00E1622E">
        <w:rPr>
          <w:lang w:val="en-GB"/>
        </w:rPr>
        <w:t>authorities</w:t>
      </w:r>
      <w:r w:rsidR="002C0A5A" w:rsidRPr="00C64BF7">
        <w:t xml:space="preserve"> if returned to </w:t>
      </w:r>
      <w:r>
        <w:rPr>
          <w:lang w:val="en-GB"/>
        </w:rPr>
        <w:t>Sri Lanka</w:t>
      </w:r>
      <w:r w:rsidR="002C0A5A" w:rsidRPr="00C64BF7">
        <w:t xml:space="preserve">. The Committee therefore </w:t>
      </w:r>
      <w:r w:rsidR="00433952">
        <w:rPr>
          <w:lang w:val="en-US"/>
        </w:rPr>
        <w:t>decides</w:t>
      </w:r>
      <w:r w:rsidR="00433952" w:rsidRPr="00C737E6">
        <w:rPr>
          <w:lang w:val="en-US"/>
        </w:rPr>
        <w:t xml:space="preserve"> </w:t>
      </w:r>
      <w:r w:rsidR="002C0A5A" w:rsidRPr="00C64BF7">
        <w:t xml:space="preserve">that the deportation of the complainant to </w:t>
      </w:r>
      <w:r>
        <w:rPr>
          <w:lang w:val="en-GB"/>
        </w:rPr>
        <w:t>Sri Lanka</w:t>
      </w:r>
      <w:r w:rsidR="002C0A5A" w:rsidRPr="00C64BF7">
        <w:t xml:space="preserve"> would amount to a breach of article 3 of the Convention</w:t>
      </w:r>
      <w:r w:rsidR="006B303D" w:rsidRPr="006B303D">
        <w:rPr>
          <w:lang w:val="en-GB"/>
        </w:rPr>
        <w:t xml:space="preserve"> by the State party</w:t>
      </w:r>
      <w:r w:rsidR="002C0A5A" w:rsidRPr="00C64BF7">
        <w:t xml:space="preserve">. </w:t>
      </w:r>
    </w:p>
    <w:p w:rsidR="002C0A5A" w:rsidRPr="00253A06" w:rsidRDefault="00F45D3D" w:rsidP="00A85A9C">
      <w:pPr>
        <w:pStyle w:val="SingleTxtG"/>
        <w:rPr>
          <w:lang w:val="en-GB"/>
        </w:rPr>
      </w:pPr>
      <w:r>
        <w:rPr>
          <w:lang w:val="en-GB"/>
        </w:rPr>
        <w:t>9</w:t>
      </w:r>
      <w:r w:rsidR="006D7B4F" w:rsidRPr="00C737E6">
        <w:rPr>
          <w:lang w:val="en-GB"/>
        </w:rPr>
        <w:t>.</w:t>
      </w:r>
      <w:r w:rsidR="002C0A5A" w:rsidRPr="00C64BF7">
        <w:tab/>
        <w:t xml:space="preserve">The Committee </w:t>
      </w:r>
      <w:r w:rsidR="002C0A5A">
        <w:rPr>
          <w:lang w:val="en-GB"/>
        </w:rPr>
        <w:t>is of the view</w:t>
      </w:r>
      <w:r w:rsidR="002C0A5A" w:rsidRPr="00C64BF7">
        <w:t xml:space="preserve"> that the State party has an obligation</w:t>
      </w:r>
      <w:r w:rsidR="002C0A5A">
        <w:rPr>
          <w:lang w:val="en-GB"/>
        </w:rPr>
        <w:t>, in accordance with article 3 of the Convention,</w:t>
      </w:r>
      <w:r w:rsidR="002C0A5A" w:rsidRPr="00C64BF7">
        <w:t xml:space="preserve"> to refrain from forcibly returning the complainant to </w:t>
      </w:r>
      <w:r w:rsidR="00E1622E">
        <w:rPr>
          <w:lang w:val="en-GB"/>
        </w:rPr>
        <w:t>Sri Lanka</w:t>
      </w:r>
      <w:r w:rsidR="002C0A5A" w:rsidRPr="00C64BF7">
        <w:t xml:space="preserve"> or to any other country where there is a real risk of him being expelled or returned to </w:t>
      </w:r>
      <w:r w:rsidR="00E1622E">
        <w:rPr>
          <w:lang w:val="en-GB"/>
        </w:rPr>
        <w:t>Sri Lanka</w:t>
      </w:r>
      <w:r w:rsidR="002C0A5A" w:rsidRPr="00C64BF7">
        <w:t>. Pursuant to rule 118, paragraph 5, of its rules of procedure, the Committee invites the State party to inform it, within 90 days from the date of the transmittal of the present decision, of the steps it has taken in response</w:t>
      </w:r>
      <w:r w:rsidR="00433952" w:rsidRPr="00C737E6">
        <w:rPr>
          <w:lang w:val="en-US"/>
        </w:rPr>
        <w:t xml:space="preserve"> </w:t>
      </w:r>
      <w:r w:rsidR="00A85A9C">
        <w:rPr>
          <w:lang w:val="en-US"/>
        </w:rPr>
        <w:t>there</w:t>
      </w:r>
      <w:r w:rsidR="00433952" w:rsidRPr="00C737E6">
        <w:rPr>
          <w:lang w:val="en-US"/>
        </w:rPr>
        <w:t>to</w:t>
      </w:r>
      <w:r w:rsidR="002C0A5A" w:rsidRPr="00C64BF7">
        <w:t>.</w:t>
      </w:r>
    </w:p>
    <w:p w:rsidR="002C0A5A" w:rsidRPr="00623C97" w:rsidRDefault="002C0A5A" w:rsidP="002C0A5A">
      <w:pPr>
        <w:pStyle w:val="SingleTxtG"/>
        <w:jc w:val="center"/>
        <w:rPr>
          <w:u w:val="single"/>
          <w:lang w:val="en-GB"/>
        </w:rPr>
      </w:pPr>
      <w:r w:rsidRPr="00623C97">
        <w:rPr>
          <w:u w:val="single"/>
          <w:lang w:val="en-GB"/>
        </w:rPr>
        <w:tab/>
      </w:r>
      <w:r w:rsidRPr="00623C97">
        <w:rPr>
          <w:u w:val="single"/>
          <w:lang w:val="en-GB"/>
        </w:rPr>
        <w:tab/>
      </w:r>
      <w:r w:rsidRPr="00623C97">
        <w:rPr>
          <w:u w:val="single"/>
          <w:lang w:val="en-GB"/>
        </w:rPr>
        <w:tab/>
      </w:r>
    </w:p>
    <w:p w:rsidR="002C0A5A" w:rsidRPr="002C0A5A" w:rsidRDefault="002C0A5A" w:rsidP="006447F0">
      <w:pPr>
        <w:pStyle w:val="SingleTxtG"/>
        <w:rPr>
          <w:lang w:val="en-GB"/>
        </w:rPr>
      </w:pPr>
    </w:p>
    <w:p w:rsidR="00DD26AE" w:rsidRPr="00737E88" w:rsidRDefault="00DD26AE" w:rsidP="00C1476E">
      <w:pPr>
        <w:pStyle w:val="SingleTxtG"/>
        <w:spacing w:before="240" w:after="0"/>
        <w:jc w:val="center"/>
        <w:rPr>
          <w:bCs/>
          <w:u w:val="single"/>
          <w:lang w:val="en-GB"/>
        </w:rPr>
      </w:pPr>
    </w:p>
    <w:sectPr w:rsidR="00DD26AE" w:rsidRPr="00737E88" w:rsidSect="00C737E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09" w:rsidRDefault="00350A09"/>
  </w:endnote>
  <w:endnote w:type="continuationSeparator" w:id="0">
    <w:p w:rsidR="00350A09" w:rsidRDefault="00350A09"/>
  </w:endnote>
  <w:endnote w:type="continuationNotice" w:id="1">
    <w:p w:rsidR="00350A09" w:rsidRDefault="0035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F5" w:rsidRPr="00116B35" w:rsidRDefault="001C4AF5"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9F4E0F">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F5" w:rsidRPr="00116B35" w:rsidRDefault="001C4AF5"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9F4E0F">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B0D" w:rsidRDefault="00E21B0D" w:rsidP="00E21B0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21B0D" w:rsidRDefault="00E21B0D" w:rsidP="00E21B0D">
    <w:pPr>
      <w:pStyle w:val="Footer"/>
      <w:ind w:right="1134"/>
      <w:rPr>
        <w:sz w:val="20"/>
      </w:rPr>
    </w:pPr>
    <w:r>
      <w:rPr>
        <w:sz w:val="20"/>
      </w:rPr>
      <w:t>GE.16-14000(E)</w:t>
    </w:r>
  </w:p>
  <w:p w:rsidR="00E21B0D" w:rsidRPr="00E21B0D" w:rsidRDefault="00E21B0D" w:rsidP="00E21B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57/D/62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62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09" w:rsidRPr="000B175B" w:rsidRDefault="00350A09" w:rsidP="004876DE">
      <w:pPr>
        <w:tabs>
          <w:tab w:val="right" w:pos="2155"/>
        </w:tabs>
        <w:spacing w:after="80"/>
        <w:ind w:left="680"/>
        <w:rPr>
          <w:u w:val="single"/>
        </w:rPr>
      </w:pPr>
      <w:r>
        <w:rPr>
          <w:u w:val="single"/>
        </w:rPr>
        <w:tab/>
      </w:r>
    </w:p>
  </w:footnote>
  <w:footnote w:type="continuationSeparator" w:id="0">
    <w:p w:rsidR="00350A09" w:rsidRPr="00FC68B7" w:rsidRDefault="00350A09" w:rsidP="004876DE">
      <w:pPr>
        <w:tabs>
          <w:tab w:val="left" w:pos="2155"/>
        </w:tabs>
        <w:spacing w:after="80"/>
        <w:ind w:left="680"/>
        <w:rPr>
          <w:u w:val="single"/>
        </w:rPr>
      </w:pPr>
      <w:r>
        <w:rPr>
          <w:u w:val="single"/>
        </w:rPr>
        <w:tab/>
      </w:r>
    </w:p>
  </w:footnote>
  <w:footnote w:type="continuationNotice" w:id="1">
    <w:p w:rsidR="00350A09" w:rsidRDefault="00350A09"/>
  </w:footnote>
  <w:footnote w:id="2">
    <w:p w:rsidR="00FF32D6" w:rsidRPr="008C0D73" w:rsidRDefault="00FF32D6" w:rsidP="001B1B77">
      <w:pPr>
        <w:pStyle w:val="FootnoteText"/>
        <w:rPr>
          <w:szCs w:val="18"/>
          <w:lang w:val="en-US"/>
        </w:rPr>
      </w:pPr>
      <w:r w:rsidRPr="008C0D73">
        <w:rPr>
          <w:rStyle w:val="FootnoteReference"/>
          <w:sz w:val="20"/>
          <w:lang w:val="en-US"/>
        </w:rPr>
        <w:tab/>
      </w:r>
      <w:r w:rsidRPr="00C737E6">
        <w:rPr>
          <w:rStyle w:val="FootnoteReference"/>
          <w:sz w:val="20"/>
          <w:vertAlign w:val="baseline"/>
          <w:lang w:val="en-US"/>
        </w:rPr>
        <w:t>*</w:t>
      </w:r>
      <w:r w:rsidRPr="006B7173">
        <w:rPr>
          <w:rStyle w:val="FootnoteReference"/>
          <w:szCs w:val="18"/>
          <w:lang w:val="en-US"/>
        </w:rPr>
        <w:tab/>
      </w:r>
      <w:r w:rsidRPr="008C0D73">
        <w:rPr>
          <w:rStyle w:val="FootnoteReference"/>
          <w:szCs w:val="18"/>
          <w:vertAlign w:val="baseline"/>
        </w:rPr>
        <w:t>Adopted by the Committee at its fifty-seventh session</w:t>
      </w:r>
      <w:r w:rsidRPr="008C0D73">
        <w:rPr>
          <w:szCs w:val="18"/>
          <w:lang w:val="en-US"/>
        </w:rPr>
        <w:t xml:space="preserve"> </w:t>
      </w:r>
      <w:r w:rsidRPr="008C0D73">
        <w:rPr>
          <w:rStyle w:val="FootnoteReference"/>
          <w:szCs w:val="18"/>
          <w:vertAlign w:val="baseline"/>
        </w:rPr>
        <w:t>(18 April-13 May 2016).</w:t>
      </w:r>
    </w:p>
  </w:footnote>
  <w:footnote w:id="3">
    <w:p w:rsidR="00FF32D6" w:rsidRPr="0054325E" w:rsidRDefault="00FF32D6" w:rsidP="001B1B77">
      <w:pPr>
        <w:pStyle w:val="FootnoteText"/>
        <w:rPr>
          <w:rStyle w:val="FootnoteReference"/>
          <w:sz w:val="20"/>
          <w:vertAlign w:val="baseline"/>
          <w:lang w:val="en-US"/>
        </w:rPr>
      </w:pPr>
      <w:r w:rsidRPr="00C737E6">
        <w:rPr>
          <w:rStyle w:val="FootnoteReference"/>
          <w:sz w:val="20"/>
          <w:vertAlign w:val="baseline"/>
          <w:lang w:val="en-US"/>
        </w:rPr>
        <w:tab/>
        <w:t>**</w:t>
      </w:r>
      <w:r w:rsidRPr="008C0D73">
        <w:rPr>
          <w:sz w:val="20"/>
          <w:lang w:val="en-US"/>
        </w:rPr>
        <w:tab/>
      </w:r>
      <w:r w:rsidRPr="006B7173">
        <w:rPr>
          <w:szCs w:val="18"/>
          <w:lang w:val="en-US"/>
        </w:rPr>
        <w:t xml:space="preserve">The following members of the Committee participated in the examination of the present communication: Essadia Belmir, Alessio Bruni, Felice Gaer, Abdelwahab Hani, Sapana Pradhan-Malla, </w:t>
      </w:r>
      <w:r w:rsidRPr="006B7173">
        <w:rPr>
          <w:bCs/>
          <w:szCs w:val="18"/>
          <w:lang w:val="en-US"/>
        </w:rPr>
        <w:t xml:space="preserve">Ana Racu, Claude Heller Rouassant and </w:t>
      </w:r>
      <w:r w:rsidRPr="006B7173">
        <w:rPr>
          <w:szCs w:val="18"/>
          <w:lang w:val="en-US"/>
        </w:rPr>
        <w:t>Kening Zhang. Pursuant to rule 109 of the Committee’s rules of procedure, Jens Modvig did not participate in the consideration of the present communication.</w:t>
      </w:r>
    </w:p>
  </w:footnote>
  <w:footnote w:id="4">
    <w:p w:rsidR="00E37573" w:rsidRPr="00636EFC" w:rsidRDefault="00E37573" w:rsidP="001B1B77">
      <w:pPr>
        <w:pStyle w:val="FootnoteText"/>
        <w:widowControl w:val="0"/>
        <w:tabs>
          <w:tab w:val="clear" w:pos="1021"/>
          <w:tab w:val="right" w:pos="1020"/>
        </w:tabs>
      </w:pPr>
      <w:r w:rsidRPr="008C0D73">
        <w:tab/>
      </w:r>
      <w:r w:rsidRPr="008C0D73">
        <w:rPr>
          <w:rStyle w:val="FootnoteReference"/>
        </w:rPr>
        <w:footnoteRef/>
      </w:r>
      <w:r w:rsidRPr="008C0D73">
        <w:tab/>
      </w:r>
      <w:r w:rsidRPr="008C0D73">
        <w:rPr>
          <w:szCs w:val="18"/>
        </w:rPr>
        <w:t xml:space="preserve">The State party refers to </w:t>
      </w:r>
      <w:r w:rsidR="00E27B76" w:rsidRPr="008C0D73">
        <w:rPr>
          <w:szCs w:val="18"/>
        </w:rPr>
        <w:t>communication</w:t>
      </w:r>
      <w:r w:rsidR="00E27B76" w:rsidRPr="008C0D73">
        <w:rPr>
          <w:szCs w:val="18"/>
          <w:lang w:val="en-US"/>
        </w:rPr>
        <w:t>s</w:t>
      </w:r>
      <w:r w:rsidR="00E27B76" w:rsidRPr="008C0D73">
        <w:rPr>
          <w:szCs w:val="18"/>
        </w:rPr>
        <w:t xml:space="preserve"> No. 2</w:t>
      </w:r>
      <w:r w:rsidR="001B1B77" w:rsidRPr="006B7173">
        <w:rPr>
          <w:szCs w:val="18"/>
          <w:lang w:val="en-US"/>
        </w:rPr>
        <w:t>7</w:t>
      </w:r>
      <w:r w:rsidR="00E27B76" w:rsidRPr="008C0D73">
        <w:rPr>
          <w:szCs w:val="18"/>
        </w:rPr>
        <w:t>7/2005</w:t>
      </w:r>
      <w:r w:rsidR="00E27B76" w:rsidRPr="008C0D73">
        <w:rPr>
          <w:szCs w:val="18"/>
          <w:lang w:val="en-US"/>
        </w:rPr>
        <w:t xml:space="preserve">, </w:t>
      </w:r>
      <w:r w:rsidRPr="008C0D73">
        <w:rPr>
          <w:i/>
          <w:iCs/>
          <w:szCs w:val="18"/>
        </w:rPr>
        <w:t>N.Z.S. v. Sweden</w:t>
      </w:r>
      <w:r w:rsidR="00E27B76" w:rsidRPr="008C0D73">
        <w:rPr>
          <w:szCs w:val="18"/>
          <w:lang w:val="en-US"/>
        </w:rPr>
        <w:t>,</w:t>
      </w:r>
      <w:r w:rsidR="00E27B76" w:rsidRPr="00C737E6">
        <w:rPr>
          <w:lang w:val="en-US"/>
        </w:rPr>
        <w:t xml:space="preserve"> </w:t>
      </w:r>
      <w:r w:rsidR="00187FEB" w:rsidRPr="00C737E6">
        <w:rPr>
          <w:lang w:val="en-US"/>
        </w:rPr>
        <w:t>decision</w:t>
      </w:r>
      <w:r w:rsidR="00E27B76" w:rsidRPr="00C737E6">
        <w:rPr>
          <w:lang w:val="en-US"/>
        </w:rPr>
        <w:t xml:space="preserve"> adopted on </w:t>
      </w:r>
      <w:r w:rsidR="001B1B77" w:rsidRPr="006B7173">
        <w:rPr>
          <w:szCs w:val="18"/>
          <w:lang w:val="en-US"/>
        </w:rPr>
        <w:t>22</w:t>
      </w:r>
      <w:r w:rsidR="00C737E6">
        <w:rPr>
          <w:szCs w:val="18"/>
        </w:rPr>
        <w:t> </w:t>
      </w:r>
      <w:r w:rsidR="00E27B76" w:rsidRPr="008C0D73">
        <w:rPr>
          <w:szCs w:val="18"/>
        </w:rPr>
        <w:t>November 2006</w:t>
      </w:r>
      <w:r w:rsidR="00E27B76" w:rsidRPr="008C0D73">
        <w:rPr>
          <w:szCs w:val="18"/>
          <w:lang w:val="en-US"/>
        </w:rPr>
        <w:t>;</w:t>
      </w:r>
      <w:r w:rsidR="00E27B76" w:rsidRPr="00C737E6">
        <w:rPr>
          <w:lang w:val="en-US"/>
        </w:rPr>
        <w:t xml:space="preserve"> </w:t>
      </w:r>
      <w:r w:rsidRPr="008C0D73">
        <w:rPr>
          <w:szCs w:val="18"/>
        </w:rPr>
        <w:t xml:space="preserve">and </w:t>
      </w:r>
      <w:r w:rsidR="00E27B76" w:rsidRPr="006B7173">
        <w:rPr>
          <w:szCs w:val="18"/>
        </w:rPr>
        <w:t>No. 466/2011</w:t>
      </w:r>
      <w:r w:rsidRPr="00636EFC">
        <w:rPr>
          <w:szCs w:val="18"/>
        </w:rPr>
        <w:t xml:space="preserve"> </w:t>
      </w:r>
      <w:r w:rsidRPr="00636EFC">
        <w:rPr>
          <w:i/>
          <w:iCs/>
          <w:szCs w:val="18"/>
        </w:rPr>
        <w:t>Nicmeddin Alp v. Denmark</w:t>
      </w:r>
      <w:r w:rsidR="00E27B76" w:rsidRPr="006B7173">
        <w:rPr>
          <w:szCs w:val="18"/>
          <w:lang w:val="en-US"/>
        </w:rPr>
        <w:t>,</w:t>
      </w:r>
      <w:r w:rsidR="00E27B76" w:rsidRPr="00C737E6">
        <w:rPr>
          <w:lang w:val="en-US"/>
        </w:rPr>
        <w:t xml:space="preserve"> </w:t>
      </w:r>
      <w:r w:rsidR="00187FEB" w:rsidRPr="00C737E6">
        <w:rPr>
          <w:lang w:val="en-US"/>
        </w:rPr>
        <w:t>decision</w:t>
      </w:r>
      <w:r w:rsidR="00E27B76" w:rsidRPr="00C737E6">
        <w:rPr>
          <w:lang w:val="en-US"/>
        </w:rPr>
        <w:t xml:space="preserve"> adopted on </w:t>
      </w:r>
      <w:r w:rsidR="00E27B76" w:rsidRPr="006B7173">
        <w:rPr>
          <w:szCs w:val="18"/>
        </w:rPr>
        <w:t>14 May 2014</w:t>
      </w:r>
      <w:r w:rsidRPr="00636EFC">
        <w:rPr>
          <w:szCs w:val="18"/>
        </w:rPr>
        <w:t>.</w:t>
      </w:r>
      <w:r w:rsidRPr="00636EFC">
        <w:t xml:space="preserve"> </w:t>
      </w:r>
    </w:p>
  </w:footnote>
  <w:footnote w:id="5">
    <w:p w:rsidR="00E37573" w:rsidRPr="008C0D73" w:rsidRDefault="00E37573">
      <w:pPr>
        <w:pStyle w:val="FootnoteText"/>
        <w:widowControl w:val="0"/>
        <w:tabs>
          <w:tab w:val="clear" w:pos="1021"/>
          <w:tab w:val="right" w:pos="1020"/>
        </w:tabs>
      </w:pPr>
      <w:r w:rsidRPr="00636EFC">
        <w:tab/>
      </w:r>
      <w:r w:rsidRPr="00636EFC">
        <w:rPr>
          <w:rStyle w:val="FootnoteReference"/>
        </w:rPr>
        <w:footnoteRef/>
      </w:r>
      <w:r w:rsidRPr="00636EFC">
        <w:tab/>
      </w:r>
      <w:r w:rsidR="00E27B76" w:rsidRPr="006B7173">
        <w:rPr>
          <w:lang w:val="en-US"/>
        </w:rPr>
        <w:t xml:space="preserve">See </w:t>
      </w:r>
      <w:r w:rsidR="00C723DB" w:rsidRPr="00636EFC">
        <w:rPr>
          <w:szCs w:val="18"/>
        </w:rPr>
        <w:t>c</w:t>
      </w:r>
      <w:r w:rsidRPr="00636EFC">
        <w:rPr>
          <w:szCs w:val="18"/>
        </w:rPr>
        <w:t xml:space="preserve">ommunication No. 209/2002, </w:t>
      </w:r>
      <w:r w:rsidRPr="00636EFC">
        <w:rPr>
          <w:i/>
          <w:iCs/>
          <w:szCs w:val="18"/>
        </w:rPr>
        <w:t>M</w:t>
      </w:r>
      <w:r w:rsidR="007024DC" w:rsidRPr="00636EFC">
        <w:rPr>
          <w:i/>
          <w:iCs/>
          <w:szCs w:val="18"/>
          <w:lang w:val="en-US"/>
        </w:rPr>
        <w:t>.</w:t>
      </w:r>
      <w:r w:rsidRPr="00636EFC">
        <w:rPr>
          <w:i/>
          <w:iCs/>
          <w:szCs w:val="18"/>
        </w:rPr>
        <w:t xml:space="preserve"> O</w:t>
      </w:r>
      <w:r w:rsidR="007024DC" w:rsidRPr="00636EFC">
        <w:rPr>
          <w:i/>
          <w:iCs/>
          <w:szCs w:val="18"/>
          <w:lang w:val="en-US"/>
        </w:rPr>
        <w:t>.</w:t>
      </w:r>
      <w:r w:rsidRPr="00636EFC">
        <w:rPr>
          <w:i/>
          <w:iCs/>
          <w:szCs w:val="18"/>
        </w:rPr>
        <w:t xml:space="preserve"> v. Denmark, </w:t>
      </w:r>
      <w:r w:rsidR="00187FEB">
        <w:rPr>
          <w:iCs/>
          <w:szCs w:val="18"/>
        </w:rPr>
        <w:t>decision</w:t>
      </w:r>
      <w:r w:rsidR="00C723DB" w:rsidRPr="00636EFC">
        <w:rPr>
          <w:iCs/>
          <w:szCs w:val="18"/>
        </w:rPr>
        <w:t xml:space="preserve"> adopted on</w:t>
      </w:r>
      <w:r w:rsidR="00C723DB" w:rsidRPr="009126BD">
        <w:t xml:space="preserve"> </w:t>
      </w:r>
      <w:r w:rsidRPr="00636EFC">
        <w:rPr>
          <w:szCs w:val="18"/>
        </w:rPr>
        <w:t>12</w:t>
      </w:r>
      <w:r w:rsidRPr="008C0D73">
        <w:rPr>
          <w:szCs w:val="18"/>
        </w:rPr>
        <w:t xml:space="preserve"> November 2003, paras</w:t>
      </w:r>
      <w:r w:rsidR="00C737E6">
        <w:rPr>
          <w:szCs w:val="18"/>
        </w:rPr>
        <w:t>.</w:t>
      </w:r>
      <w:r w:rsidR="00C723DB">
        <w:rPr>
          <w:szCs w:val="18"/>
          <w:lang w:val="en-US"/>
        </w:rPr>
        <w:t> </w:t>
      </w:r>
      <w:r w:rsidRPr="008C0D73">
        <w:rPr>
          <w:szCs w:val="18"/>
        </w:rPr>
        <w:t>6.4-6.6.</w:t>
      </w:r>
      <w:r w:rsidRPr="008C0D73">
        <w:t xml:space="preserve"> </w:t>
      </w:r>
    </w:p>
  </w:footnote>
  <w:footnote w:id="6">
    <w:p w:rsidR="00E37573" w:rsidRPr="008C0D73" w:rsidRDefault="00E37573" w:rsidP="001B1B77">
      <w:pPr>
        <w:pStyle w:val="FootnoteText"/>
        <w:widowControl w:val="0"/>
        <w:tabs>
          <w:tab w:val="clear" w:pos="1021"/>
          <w:tab w:val="right" w:pos="1020"/>
        </w:tabs>
      </w:pPr>
      <w:r w:rsidRPr="008C0D73">
        <w:tab/>
      </w:r>
      <w:r w:rsidRPr="008C0D73">
        <w:rPr>
          <w:rStyle w:val="FootnoteReference"/>
        </w:rPr>
        <w:footnoteRef/>
      </w:r>
      <w:r w:rsidRPr="008C0D73">
        <w:tab/>
      </w:r>
      <w:r w:rsidRPr="008C0D73">
        <w:rPr>
          <w:i/>
          <w:iCs/>
          <w:szCs w:val="18"/>
        </w:rPr>
        <w:t>Nicmeddin Alp v. Denmark</w:t>
      </w:r>
      <w:r w:rsidRPr="008C0D73">
        <w:rPr>
          <w:szCs w:val="18"/>
        </w:rPr>
        <w:t>.</w:t>
      </w:r>
      <w:r w:rsidRPr="008C0D73">
        <w:t xml:space="preserve"> </w:t>
      </w:r>
    </w:p>
  </w:footnote>
  <w:footnote w:id="7">
    <w:p w:rsidR="00E37573" w:rsidRPr="001010DC" w:rsidRDefault="00E37573" w:rsidP="001B1B77">
      <w:pPr>
        <w:pStyle w:val="FootnoteText"/>
        <w:widowControl w:val="0"/>
        <w:tabs>
          <w:tab w:val="clear" w:pos="1021"/>
          <w:tab w:val="right" w:pos="1020"/>
        </w:tabs>
      </w:pPr>
      <w:r w:rsidRPr="008C0D73">
        <w:tab/>
      </w:r>
      <w:r w:rsidRPr="008C0D73">
        <w:rPr>
          <w:rStyle w:val="FootnoteReference"/>
        </w:rPr>
        <w:footnoteRef/>
      </w:r>
      <w:r w:rsidRPr="008C0D73">
        <w:tab/>
      </w:r>
      <w:r w:rsidR="00E27B76" w:rsidRPr="008C0D73">
        <w:rPr>
          <w:lang w:val="en-US"/>
        </w:rPr>
        <w:t>See c</w:t>
      </w:r>
      <w:r w:rsidRPr="008C0D73">
        <w:rPr>
          <w:szCs w:val="18"/>
        </w:rPr>
        <w:t xml:space="preserve">ommunication No. 61/1996, </w:t>
      </w:r>
      <w:r w:rsidRPr="008C0D73">
        <w:rPr>
          <w:i/>
          <w:iCs/>
          <w:szCs w:val="18"/>
        </w:rPr>
        <w:t xml:space="preserve">X, Y and Z v. </w:t>
      </w:r>
      <w:r w:rsidRPr="001010DC">
        <w:rPr>
          <w:i/>
          <w:iCs/>
          <w:szCs w:val="18"/>
        </w:rPr>
        <w:t xml:space="preserve">Sweden, </w:t>
      </w:r>
      <w:r w:rsidRPr="001010DC">
        <w:rPr>
          <w:iCs/>
          <w:szCs w:val="18"/>
        </w:rPr>
        <w:t xml:space="preserve">Views </w:t>
      </w:r>
      <w:r w:rsidR="00E27B76" w:rsidRPr="001010DC">
        <w:rPr>
          <w:iCs/>
          <w:szCs w:val="18"/>
        </w:rPr>
        <w:t>adopted on</w:t>
      </w:r>
      <w:r w:rsidRPr="001010DC">
        <w:rPr>
          <w:szCs w:val="18"/>
        </w:rPr>
        <w:t xml:space="preserve"> 6 May 1998, para. 11.2.</w:t>
      </w:r>
      <w:r w:rsidRPr="001010DC">
        <w:t xml:space="preserve"> </w:t>
      </w:r>
    </w:p>
  </w:footnote>
  <w:footnote w:id="8">
    <w:p w:rsidR="00E37573" w:rsidRPr="008C0D73" w:rsidRDefault="00E37573" w:rsidP="001B1B77">
      <w:pPr>
        <w:pStyle w:val="FootnoteText"/>
        <w:widowControl w:val="0"/>
        <w:tabs>
          <w:tab w:val="clear" w:pos="1021"/>
          <w:tab w:val="right" w:pos="1020"/>
        </w:tabs>
      </w:pPr>
      <w:r w:rsidRPr="001010DC">
        <w:tab/>
      </w:r>
      <w:r w:rsidRPr="001010DC">
        <w:rPr>
          <w:rStyle w:val="FootnoteReference"/>
        </w:rPr>
        <w:footnoteRef/>
      </w:r>
      <w:r w:rsidRPr="001010DC">
        <w:tab/>
      </w:r>
      <w:r w:rsidR="00E27B76" w:rsidRPr="001010DC">
        <w:rPr>
          <w:szCs w:val="18"/>
        </w:rPr>
        <w:t>See c</w:t>
      </w:r>
      <w:r w:rsidRPr="001010DC">
        <w:rPr>
          <w:szCs w:val="18"/>
        </w:rPr>
        <w:t xml:space="preserve">ommunication No. 237/2003, </w:t>
      </w:r>
      <w:r w:rsidRPr="001010DC">
        <w:rPr>
          <w:i/>
          <w:iCs/>
          <w:szCs w:val="18"/>
        </w:rPr>
        <w:t>M.C.M.V.F. v. Sweden</w:t>
      </w:r>
      <w:r w:rsidRPr="001010DC">
        <w:rPr>
          <w:szCs w:val="18"/>
        </w:rPr>
        <w:t xml:space="preserve">, </w:t>
      </w:r>
      <w:r w:rsidR="00187FEB" w:rsidRPr="001010DC">
        <w:rPr>
          <w:szCs w:val="18"/>
        </w:rPr>
        <w:t>decision</w:t>
      </w:r>
      <w:r w:rsidR="00E27B76" w:rsidRPr="001010DC">
        <w:rPr>
          <w:szCs w:val="18"/>
        </w:rPr>
        <w:t xml:space="preserve"> adopted on </w:t>
      </w:r>
      <w:r w:rsidR="00EF28F2" w:rsidRPr="001010DC">
        <w:rPr>
          <w:szCs w:val="18"/>
          <w:lang w:val="en-US"/>
        </w:rPr>
        <w:t xml:space="preserve">14 </w:t>
      </w:r>
      <w:r w:rsidR="00EF28F2" w:rsidRPr="001010DC">
        <w:rPr>
          <w:szCs w:val="18"/>
        </w:rPr>
        <w:t>November</w:t>
      </w:r>
      <w:r w:rsidR="00EF28F2" w:rsidRPr="00C737E6">
        <w:rPr>
          <w:lang w:val="en-US"/>
        </w:rPr>
        <w:t xml:space="preserve"> </w:t>
      </w:r>
      <w:r w:rsidRPr="001010DC">
        <w:rPr>
          <w:szCs w:val="18"/>
        </w:rPr>
        <w:t>2005, para</w:t>
      </w:r>
      <w:r w:rsidR="007B239B">
        <w:rPr>
          <w:szCs w:val="18"/>
        </w:rPr>
        <w:t>.</w:t>
      </w:r>
      <w:r w:rsidRPr="001010DC">
        <w:rPr>
          <w:szCs w:val="18"/>
        </w:rPr>
        <w:t xml:space="preserve"> 6.4.</w:t>
      </w:r>
      <w:r w:rsidRPr="008C0D73">
        <w:t xml:space="preserve"> </w:t>
      </w:r>
    </w:p>
  </w:footnote>
  <w:footnote w:id="9">
    <w:p w:rsidR="00717108" w:rsidRPr="008C0D73" w:rsidRDefault="00717108">
      <w:pPr>
        <w:pStyle w:val="FootnoteText"/>
        <w:widowControl w:val="0"/>
        <w:tabs>
          <w:tab w:val="clear" w:pos="1021"/>
          <w:tab w:val="right" w:pos="1020"/>
        </w:tabs>
      </w:pPr>
      <w:r w:rsidRPr="008C0D73">
        <w:tab/>
      </w:r>
      <w:r w:rsidRPr="008C0D73">
        <w:rPr>
          <w:rStyle w:val="FootnoteReference"/>
        </w:rPr>
        <w:footnoteRef/>
      </w:r>
      <w:r w:rsidRPr="008C0D73">
        <w:tab/>
      </w:r>
      <w:r w:rsidRPr="008C0D73">
        <w:rPr>
          <w:iCs/>
          <w:szCs w:val="18"/>
        </w:rPr>
        <w:t xml:space="preserve">European Court of Human Rights, </w:t>
      </w:r>
      <w:r w:rsidR="00A6551C" w:rsidRPr="006B7173">
        <w:rPr>
          <w:i/>
          <w:iCs/>
          <w:szCs w:val="18"/>
        </w:rPr>
        <w:t xml:space="preserve">Ashkan Panjeheighalehei </w:t>
      </w:r>
      <w:r w:rsidR="00A6551C" w:rsidRPr="006B7173">
        <w:rPr>
          <w:i/>
          <w:iCs/>
          <w:szCs w:val="18"/>
          <w:lang w:val="en-US"/>
        </w:rPr>
        <w:t>v.</w:t>
      </w:r>
      <w:r w:rsidR="00A6551C" w:rsidRPr="006B7173">
        <w:rPr>
          <w:i/>
          <w:iCs/>
          <w:szCs w:val="18"/>
        </w:rPr>
        <w:t xml:space="preserve"> Denmark</w:t>
      </w:r>
      <w:r w:rsidR="00A6551C" w:rsidRPr="00C737E6">
        <w:rPr>
          <w:lang w:val="en-US"/>
        </w:rPr>
        <w:t>,</w:t>
      </w:r>
      <w:r w:rsidR="00A6551C" w:rsidRPr="00C737E6">
        <w:rPr>
          <w:i/>
          <w:lang w:val="en-US"/>
        </w:rPr>
        <w:t xml:space="preserve"> </w:t>
      </w:r>
      <w:r w:rsidR="00A6551C" w:rsidRPr="008C0D73">
        <w:rPr>
          <w:iCs/>
          <w:szCs w:val="18"/>
        </w:rPr>
        <w:t xml:space="preserve">decision as to the admissibility of </w:t>
      </w:r>
      <w:r w:rsidRPr="008C0D73">
        <w:rPr>
          <w:iCs/>
          <w:szCs w:val="18"/>
        </w:rPr>
        <w:t>application No.</w:t>
      </w:r>
      <w:r w:rsidR="00A6551C" w:rsidRPr="008C0D73">
        <w:rPr>
          <w:iCs/>
          <w:szCs w:val="18"/>
        </w:rPr>
        <w:t> </w:t>
      </w:r>
      <w:r w:rsidRPr="008C0D73">
        <w:rPr>
          <w:iCs/>
          <w:szCs w:val="18"/>
        </w:rPr>
        <w:t xml:space="preserve">11230/07 </w:t>
      </w:r>
      <w:r w:rsidR="00A6551C" w:rsidRPr="008C0D73">
        <w:rPr>
          <w:iCs/>
          <w:szCs w:val="18"/>
        </w:rPr>
        <w:t>(</w:t>
      </w:r>
      <w:r w:rsidRPr="008C0D73">
        <w:rPr>
          <w:szCs w:val="18"/>
          <w:lang w:eastAsia="en-GB"/>
        </w:rPr>
        <w:t>13 October 2009</w:t>
      </w:r>
      <w:r w:rsidR="00A6551C" w:rsidRPr="008C0D73">
        <w:rPr>
          <w:szCs w:val="18"/>
          <w:lang w:val="en-US" w:eastAsia="en-GB"/>
        </w:rPr>
        <w:t>)</w:t>
      </w:r>
      <w:r w:rsidRPr="008C0D73">
        <w:rPr>
          <w:szCs w:val="18"/>
          <w:lang w:eastAsia="en-GB"/>
        </w:rPr>
        <w:t>.</w:t>
      </w:r>
      <w:r w:rsidRPr="008C0D73">
        <w:t xml:space="preserve"> </w:t>
      </w:r>
    </w:p>
  </w:footnote>
  <w:footnote w:id="10">
    <w:p w:rsidR="0044425E" w:rsidRPr="006D5C50" w:rsidRDefault="0044425E" w:rsidP="00A6551C">
      <w:pPr>
        <w:pStyle w:val="FootnoteText"/>
        <w:widowControl w:val="0"/>
        <w:tabs>
          <w:tab w:val="clear" w:pos="1021"/>
          <w:tab w:val="right" w:pos="1020"/>
        </w:tabs>
      </w:pPr>
      <w:r w:rsidRPr="008C0D73">
        <w:tab/>
      </w:r>
      <w:r w:rsidRPr="008C0D73">
        <w:rPr>
          <w:rStyle w:val="FootnoteReference"/>
        </w:rPr>
        <w:footnoteRef/>
      </w:r>
      <w:r w:rsidRPr="008C0D73">
        <w:tab/>
        <w:t>See</w:t>
      </w:r>
      <w:r w:rsidR="00A6551C" w:rsidRPr="008C0D73">
        <w:t xml:space="preserve"> European Court of </w:t>
      </w:r>
      <w:r w:rsidR="00A6551C" w:rsidRPr="006D5C50">
        <w:t>Human Rights,</w:t>
      </w:r>
      <w:r w:rsidRPr="006D5C50">
        <w:t xml:space="preserve"> </w:t>
      </w:r>
      <w:r w:rsidRPr="006D5C50">
        <w:rPr>
          <w:i/>
        </w:rPr>
        <w:t>Cruz Varas and Others v. Sweden</w:t>
      </w:r>
      <w:r w:rsidRPr="006D5C50">
        <w:t>, application No. 15576/89, judgment of 20 March 199</w:t>
      </w:r>
      <w:r w:rsidR="00A6551C" w:rsidRPr="006B7173">
        <w:t>1</w:t>
      </w:r>
      <w:r w:rsidRPr="006D5C50">
        <w:t>, paras. 77-82</w:t>
      </w:r>
      <w:r w:rsidRPr="006B7173">
        <w:rPr>
          <w:szCs w:val="18"/>
        </w:rPr>
        <w:t>;</w:t>
      </w:r>
      <w:r w:rsidR="00C723DB">
        <w:rPr>
          <w:szCs w:val="18"/>
        </w:rPr>
        <w:t xml:space="preserve"> and</w:t>
      </w:r>
      <w:r w:rsidRPr="006D5C50">
        <w:rPr>
          <w:i/>
          <w:iCs/>
          <w:szCs w:val="18"/>
        </w:rPr>
        <w:t xml:space="preserve"> Vilvarajah and Others v. the United Kingdom</w:t>
      </w:r>
      <w:r w:rsidRPr="00C737E6">
        <w:rPr>
          <w:i/>
        </w:rPr>
        <w:t xml:space="preserve">, </w:t>
      </w:r>
      <w:r w:rsidRPr="006D5C50">
        <w:rPr>
          <w:iCs/>
          <w:szCs w:val="18"/>
        </w:rPr>
        <w:t>applications Nos.</w:t>
      </w:r>
      <w:r w:rsidRPr="006D5C50">
        <w:rPr>
          <w:szCs w:val="18"/>
        </w:rPr>
        <w:t xml:space="preserve"> 13163/87, 13164/87, 13165/87, 13447/87 and 13448/87, judgment of 30 October 1991, para.</w:t>
      </w:r>
      <w:r w:rsidR="00A6551C" w:rsidRPr="006D5C50">
        <w:rPr>
          <w:szCs w:val="18"/>
        </w:rPr>
        <w:t> </w:t>
      </w:r>
      <w:r w:rsidRPr="006D5C50">
        <w:rPr>
          <w:szCs w:val="18"/>
        </w:rPr>
        <w:t>107.</w:t>
      </w:r>
    </w:p>
  </w:footnote>
  <w:footnote w:id="11">
    <w:p w:rsidR="001C4AF5" w:rsidRPr="006D5C50" w:rsidRDefault="001C4AF5">
      <w:pPr>
        <w:pStyle w:val="FootnoteText"/>
        <w:widowControl w:val="0"/>
        <w:tabs>
          <w:tab w:val="clear" w:pos="1021"/>
          <w:tab w:val="right" w:pos="1020"/>
        </w:tabs>
      </w:pPr>
      <w:r w:rsidRPr="006D5C50">
        <w:tab/>
      </w:r>
      <w:r w:rsidRPr="006D5C50">
        <w:rPr>
          <w:rStyle w:val="FootnoteReference"/>
        </w:rPr>
        <w:footnoteRef/>
      </w:r>
      <w:r w:rsidRPr="006D5C50">
        <w:tab/>
      </w:r>
      <w:r w:rsidR="00C723DB">
        <w:t>C</w:t>
      </w:r>
      <w:r w:rsidRPr="006D5C50">
        <w:t xml:space="preserve">ommunication No. 412/2010, </w:t>
      </w:r>
      <w:r w:rsidRPr="006D5C50">
        <w:rPr>
          <w:i/>
        </w:rPr>
        <w:t>A.A. v. Denmark</w:t>
      </w:r>
      <w:r w:rsidRPr="006D5C50">
        <w:t xml:space="preserve">, </w:t>
      </w:r>
      <w:r w:rsidR="00187FEB">
        <w:t>decision</w:t>
      </w:r>
      <w:r w:rsidR="00E27B76" w:rsidRPr="006D5C50">
        <w:t xml:space="preserve"> </w:t>
      </w:r>
      <w:r w:rsidRPr="006D5C50">
        <w:t xml:space="preserve">adopted on 13 November 2012. </w:t>
      </w:r>
    </w:p>
  </w:footnote>
  <w:footnote w:id="12">
    <w:p w:rsidR="00483E02" w:rsidRPr="00920DB6" w:rsidRDefault="00483E02" w:rsidP="008C0D73">
      <w:pPr>
        <w:pStyle w:val="FootnoteText"/>
        <w:widowControl w:val="0"/>
        <w:tabs>
          <w:tab w:val="clear" w:pos="1021"/>
          <w:tab w:val="right" w:pos="1020"/>
        </w:tabs>
      </w:pPr>
      <w:r w:rsidRPr="006D5C50">
        <w:tab/>
      </w:r>
      <w:r w:rsidRPr="006D5C50">
        <w:rPr>
          <w:rStyle w:val="FootnoteReference"/>
        </w:rPr>
        <w:footnoteRef/>
      </w:r>
      <w:r w:rsidRPr="006D5C50">
        <w:tab/>
      </w:r>
      <w:r w:rsidR="008C0D73" w:rsidRPr="006B7173">
        <w:rPr>
          <w:lang w:val="en-US"/>
        </w:rPr>
        <w:t xml:space="preserve">European Court of Human Rights, </w:t>
      </w:r>
      <w:r w:rsidRPr="006D5C50">
        <w:rPr>
          <w:i/>
          <w:iCs/>
          <w:szCs w:val="18"/>
        </w:rPr>
        <w:t xml:space="preserve">N.S. v. Denmark </w:t>
      </w:r>
      <w:r w:rsidRPr="006D5C50">
        <w:rPr>
          <w:szCs w:val="18"/>
        </w:rPr>
        <w:t xml:space="preserve">(application No. 58359/08), </w:t>
      </w:r>
      <w:r w:rsidRPr="006D5C50">
        <w:rPr>
          <w:i/>
          <w:iCs/>
          <w:szCs w:val="18"/>
        </w:rPr>
        <w:t xml:space="preserve">P.K. v. Denmark </w:t>
      </w:r>
      <w:r w:rsidRPr="006D5C50">
        <w:rPr>
          <w:szCs w:val="18"/>
        </w:rPr>
        <w:t>(application No. 54705/08</w:t>
      </w:r>
      <w:r w:rsidRPr="00920DB6">
        <w:rPr>
          <w:szCs w:val="18"/>
        </w:rPr>
        <w:t xml:space="preserve">), </w:t>
      </w:r>
      <w:r w:rsidRPr="00920DB6">
        <w:rPr>
          <w:i/>
          <w:iCs/>
          <w:szCs w:val="18"/>
        </w:rPr>
        <w:t xml:space="preserve">S.S. and Others v. Denmark </w:t>
      </w:r>
      <w:r w:rsidRPr="00920DB6">
        <w:rPr>
          <w:szCs w:val="18"/>
        </w:rPr>
        <w:t xml:space="preserve">(application No. 54703/08), </w:t>
      </w:r>
      <w:r w:rsidRPr="00920DB6">
        <w:rPr>
          <w:i/>
          <w:iCs/>
          <w:szCs w:val="18"/>
        </w:rPr>
        <w:t>T.N. and S.N. v.</w:t>
      </w:r>
      <w:r w:rsidR="007B239B">
        <w:rPr>
          <w:i/>
          <w:iCs/>
          <w:szCs w:val="18"/>
        </w:rPr>
        <w:t> </w:t>
      </w:r>
      <w:r w:rsidRPr="00920DB6">
        <w:rPr>
          <w:i/>
          <w:iCs/>
          <w:szCs w:val="18"/>
        </w:rPr>
        <w:t xml:space="preserve">Denmark </w:t>
      </w:r>
      <w:r w:rsidRPr="00920DB6">
        <w:rPr>
          <w:szCs w:val="18"/>
        </w:rPr>
        <w:t xml:space="preserve">(application No. 36517/08) and </w:t>
      </w:r>
      <w:r w:rsidRPr="00920DB6">
        <w:rPr>
          <w:i/>
          <w:iCs/>
          <w:szCs w:val="18"/>
        </w:rPr>
        <w:t xml:space="preserve">T.N. v. Denmark </w:t>
      </w:r>
      <w:r w:rsidRPr="00920DB6">
        <w:rPr>
          <w:szCs w:val="18"/>
        </w:rPr>
        <w:t>(application No. 20594/08)</w:t>
      </w:r>
      <w:r w:rsidR="008C0D73" w:rsidRPr="00920DB6">
        <w:rPr>
          <w:szCs w:val="18"/>
        </w:rPr>
        <w:t>.</w:t>
      </w:r>
      <w:r w:rsidRPr="00920DB6">
        <w:t xml:space="preserve"> </w:t>
      </w:r>
    </w:p>
  </w:footnote>
  <w:footnote w:id="13">
    <w:p w:rsidR="00483E02" w:rsidRPr="008C0D73" w:rsidRDefault="00483E02">
      <w:pPr>
        <w:pStyle w:val="FootnoteText"/>
        <w:widowControl w:val="0"/>
        <w:tabs>
          <w:tab w:val="clear" w:pos="1021"/>
          <w:tab w:val="right" w:pos="1020"/>
        </w:tabs>
      </w:pPr>
      <w:r w:rsidRPr="006B7173">
        <w:rPr>
          <w:szCs w:val="18"/>
        </w:rPr>
        <w:tab/>
      </w:r>
      <w:r w:rsidRPr="006B7173">
        <w:rPr>
          <w:rStyle w:val="FootnoteReference"/>
          <w:szCs w:val="18"/>
        </w:rPr>
        <w:footnoteRef/>
      </w:r>
      <w:r w:rsidR="001B1B77" w:rsidRPr="00C737E6">
        <w:rPr>
          <w:lang w:val="en-US"/>
        </w:rPr>
        <w:tab/>
      </w:r>
      <w:r w:rsidR="001B1B77" w:rsidRPr="00920DB6">
        <w:rPr>
          <w:szCs w:val="18"/>
        </w:rPr>
        <w:t xml:space="preserve">The </w:t>
      </w:r>
      <w:r w:rsidR="001B1B77" w:rsidRPr="006B7173">
        <w:t>complainant</w:t>
      </w:r>
      <w:r w:rsidR="001B1B77" w:rsidRPr="00920DB6">
        <w:rPr>
          <w:szCs w:val="18"/>
        </w:rPr>
        <w:t xml:space="preserve"> refers to </w:t>
      </w:r>
      <w:r w:rsidR="001B1B77" w:rsidRPr="00920DB6">
        <w:rPr>
          <w:szCs w:val="18"/>
          <w:lang w:eastAsia="en-GB"/>
        </w:rPr>
        <w:t>Human Rights Watch “</w:t>
      </w:r>
      <w:r w:rsidR="001B1B77" w:rsidRPr="00920DB6">
        <w:rPr>
          <w:i/>
          <w:iCs/>
          <w:szCs w:val="18"/>
          <w:lang w:eastAsia="en-GB"/>
        </w:rPr>
        <w:t>We Will Teach You a Lesson</w:t>
      </w:r>
      <w:r w:rsidR="001B1B77" w:rsidRPr="00920DB6">
        <w:rPr>
          <w:szCs w:val="18"/>
          <w:lang w:eastAsia="en-GB"/>
        </w:rPr>
        <w:t>”</w:t>
      </w:r>
      <w:r w:rsidR="001B1B77" w:rsidRPr="00920DB6">
        <w:rPr>
          <w:i/>
          <w:iCs/>
          <w:szCs w:val="18"/>
          <w:lang w:eastAsia="en-GB"/>
        </w:rPr>
        <w:t>: Sexual Violence against Tamils by Sri Lankan Security Forces</w:t>
      </w:r>
      <w:r w:rsidR="001B1B77" w:rsidRPr="00920DB6">
        <w:rPr>
          <w:szCs w:val="18"/>
          <w:lang w:eastAsia="en-GB"/>
        </w:rPr>
        <w:t xml:space="preserve"> (26 February 2013); N. Sivathasan, “</w:t>
      </w:r>
      <w:r w:rsidR="001B1B77" w:rsidRPr="00C737E6">
        <w:t>Tamil political prisoners in Sri Lanka</w:t>
      </w:r>
      <w:r w:rsidR="001B1B77" w:rsidRPr="00920DB6">
        <w:rPr>
          <w:szCs w:val="18"/>
          <w:lang w:eastAsia="en-GB"/>
        </w:rPr>
        <w:t>” (Sri Lanka Campaign for Peace and Justice</w:t>
      </w:r>
      <w:r w:rsidR="001B1B77" w:rsidRPr="00C737E6">
        <w:t>, March 2013</w:t>
      </w:r>
      <w:r w:rsidR="001B1B77" w:rsidRPr="00920DB6">
        <w:rPr>
          <w:szCs w:val="18"/>
          <w:lang w:eastAsia="en-GB"/>
        </w:rPr>
        <w:t>); UNHCR Eligibility Guidelines for Assessing the International Protection Needs of Asylum-Seekers from Sri Lanka (21</w:t>
      </w:r>
      <w:r w:rsidR="007B239B">
        <w:rPr>
          <w:szCs w:val="18"/>
          <w:lang w:eastAsia="en-GB"/>
        </w:rPr>
        <w:t> </w:t>
      </w:r>
      <w:r w:rsidR="001B1B77" w:rsidRPr="00920DB6">
        <w:rPr>
          <w:szCs w:val="18"/>
          <w:lang w:eastAsia="en-GB"/>
        </w:rPr>
        <w:t>December 2012); and United Kingdom</w:t>
      </w:r>
      <w:r w:rsidR="001B1B77" w:rsidRPr="008C0D73">
        <w:rPr>
          <w:szCs w:val="18"/>
          <w:lang w:eastAsia="en-GB"/>
        </w:rPr>
        <w:t xml:space="preserve"> Home Office, “Operational guidance note: Sri Lanka” (July 2013).</w:t>
      </w:r>
      <w:r w:rsidR="001B1B77" w:rsidRPr="006B7173">
        <w:rPr>
          <w:szCs w:val="18"/>
        </w:rPr>
        <w:t xml:space="preserve"> </w:t>
      </w:r>
      <w:r w:rsidRPr="008C0D73">
        <w:t xml:space="preserve"> </w:t>
      </w:r>
    </w:p>
  </w:footnote>
  <w:footnote w:id="14">
    <w:p w:rsidR="00483E02" w:rsidRPr="00C737E6" w:rsidRDefault="00483E02" w:rsidP="001B1B77">
      <w:pPr>
        <w:pStyle w:val="FootnoteText"/>
        <w:widowControl w:val="0"/>
        <w:tabs>
          <w:tab w:val="clear" w:pos="1021"/>
          <w:tab w:val="right" w:pos="1020"/>
        </w:tabs>
        <w:rPr>
          <w:lang w:val="en-US"/>
        </w:rPr>
      </w:pPr>
      <w:r w:rsidRPr="008C0D73">
        <w:tab/>
      </w:r>
      <w:r w:rsidRPr="008C0D73">
        <w:rPr>
          <w:rStyle w:val="FootnoteReference"/>
        </w:rPr>
        <w:footnoteRef/>
      </w:r>
      <w:r w:rsidRPr="008C0D73">
        <w:tab/>
      </w:r>
      <w:r w:rsidRPr="008C0D73">
        <w:rPr>
          <w:szCs w:val="18"/>
        </w:rPr>
        <w:t xml:space="preserve">The complainant refers to </w:t>
      </w:r>
      <w:r w:rsidR="0051693A" w:rsidRPr="008C0D73">
        <w:rPr>
          <w:szCs w:val="18"/>
          <w:lang w:val="en-US"/>
        </w:rPr>
        <w:t>the following</w:t>
      </w:r>
      <w:r w:rsidR="0051693A" w:rsidRPr="008C0D73">
        <w:rPr>
          <w:szCs w:val="18"/>
        </w:rPr>
        <w:t xml:space="preserve"> </w:t>
      </w:r>
      <w:r w:rsidRPr="008C0D73">
        <w:rPr>
          <w:szCs w:val="18"/>
        </w:rPr>
        <w:t>article</w:t>
      </w:r>
      <w:r w:rsidR="0051693A" w:rsidRPr="008C0D73">
        <w:rPr>
          <w:szCs w:val="18"/>
          <w:lang w:val="en-US"/>
        </w:rPr>
        <w:t xml:space="preserve">: </w:t>
      </w:r>
      <w:r w:rsidR="0051693A" w:rsidRPr="008C0D73">
        <w:rPr>
          <w:lang w:val="en-US"/>
        </w:rPr>
        <w:t xml:space="preserve">“WikiLeaks: EPDP’s </w:t>
      </w:r>
      <w:r w:rsidR="0051693A" w:rsidRPr="00C737E6">
        <w:rPr>
          <w:lang w:val="en-US"/>
        </w:rPr>
        <w:t>targeted</w:t>
      </w:r>
      <w:r w:rsidR="0051693A" w:rsidRPr="008C0D73">
        <w:rPr>
          <w:lang w:val="en-US"/>
        </w:rPr>
        <w:t xml:space="preserve"> </w:t>
      </w:r>
      <w:r w:rsidR="0051693A" w:rsidRPr="00C737E6">
        <w:rPr>
          <w:lang w:val="en-US"/>
        </w:rPr>
        <w:t>killing</w:t>
      </w:r>
      <w:r w:rsidR="0051693A" w:rsidRPr="008C0D73">
        <w:rPr>
          <w:lang w:val="en-US"/>
        </w:rPr>
        <w:t xml:space="preserve"> </w:t>
      </w:r>
      <w:r w:rsidR="0051693A" w:rsidRPr="00C737E6">
        <w:rPr>
          <w:lang w:val="en-US"/>
        </w:rPr>
        <w:t>method</w:t>
      </w:r>
      <w:r w:rsidR="0051693A" w:rsidRPr="008C0D73">
        <w:rPr>
          <w:lang w:val="en-US"/>
        </w:rPr>
        <w:t xml:space="preserve"> </w:t>
      </w:r>
      <w:r w:rsidR="0051693A" w:rsidRPr="00C737E6">
        <w:rPr>
          <w:lang w:val="en-US"/>
        </w:rPr>
        <w:t>with</w:t>
      </w:r>
      <w:r w:rsidR="0051693A" w:rsidRPr="008C0D73">
        <w:rPr>
          <w:lang w:val="en-US"/>
        </w:rPr>
        <w:t xml:space="preserve"> Govt Military – Jaffna </w:t>
      </w:r>
      <w:r w:rsidR="0051693A" w:rsidRPr="00C737E6">
        <w:rPr>
          <w:lang w:val="en-US"/>
        </w:rPr>
        <w:t>government</w:t>
      </w:r>
      <w:r w:rsidR="0051693A" w:rsidRPr="008C0D73">
        <w:rPr>
          <w:lang w:val="en-US"/>
        </w:rPr>
        <w:t xml:space="preserve"> </w:t>
      </w:r>
      <w:r w:rsidR="0051693A" w:rsidRPr="00C737E6">
        <w:rPr>
          <w:lang w:val="en-US"/>
        </w:rPr>
        <w:t>agent</w:t>
      </w:r>
      <w:r w:rsidR="0051693A" w:rsidRPr="008C0D73">
        <w:rPr>
          <w:lang w:val="en-US"/>
        </w:rPr>
        <w:t xml:space="preserve"> </w:t>
      </w:r>
      <w:r w:rsidR="0051693A" w:rsidRPr="00C737E6">
        <w:rPr>
          <w:lang w:val="en-US"/>
        </w:rPr>
        <w:t>reveals</w:t>
      </w:r>
      <w:r w:rsidR="0051693A" w:rsidRPr="008C0D73">
        <w:rPr>
          <w:lang w:val="en-US"/>
        </w:rPr>
        <w:t xml:space="preserve"> </w:t>
      </w:r>
      <w:r w:rsidR="0051693A" w:rsidRPr="00C737E6">
        <w:rPr>
          <w:lang w:val="en-US"/>
        </w:rPr>
        <w:t>secrets</w:t>
      </w:r>
      <w:r w:rsidR="0051693A" w:rsidRPr="008C0D73">
        <w:rPr>
          <w:lang w:val="en-US"/>
        </w:rPr>
        <w:t xml:space="preserve">”, </w:t>
      </w:r>
      <w:r w:rsidR="0051693A" w:rsidRPr="006B7173">
        <w:rPr>
          <w:i/>
          <w:iCs/>
          <w:lang w:val="en-US"/>
        </w:rPr>
        <w:t>Colombo Herald</w:t>
      </w:r>
      <w:r w:rsidR="0051693A" w:rsidRPr="008C0D73">
        <w:rPr>
          <w:lang w:val="en-US"/>
        </w:rPr>
        <w:t xml:space="preserve"> (17 September 2013).</w:t>
      </w:r>
    </w:p>
  </w:footnote>
  <w:footnote w:id="15">
    <w:p w:rsidR="00DE7523" w:rsidRPr="006B7173" w:rsidRDefault="00DE7523" w:rsidP="00C737E6">
      <w:pPr>
        <w:pStyle w:val="FootnoteText"/>
        <w:rPr>
          <w:lang w:val="en-US"/>
        </w:rPr>
      </w:pPr>
      <w:r w:rsidRPr="008C0D73">
        <w:rPr>
          <w:lang w:val="en-US"/>
        </w:rPr>
        <w:tab/>
      </w:r>
      <w:r w:rsidRPr="008C0D73">
        <w:rPr>
          <w:rStyle w:val="FootnoteReference"/>
        </w:rPr>
        <w:footnoteRef/>
      </w:r>
      <w:r w:rsidRPr="008C0D73">
        <w:rPr>
          <w:lang w:val="en-US"/>
        </w:rPr>
        <w:tab/>
      </w:r>
      <w:r w:rsidR="007B239B">
        <w:rPr>
          <w:lang w:val="en-US"/>
        </w:rPr>
        <w:t>“</w:t>
      </w:r>
      <w:r w:rsidRPr="006B7173">
        <w:t xml:space="preserve">Country </w:t>
      </w:r>
      <w:r w:rsidRPr="006B7173">
        <w:rPr>
          <w:lang w:val="en-US"/>
        </w:rPr>
        <w:t>i</w:t>
      </w:r>
      <w:r w:rsidRPr="006B7173">
        <w:t xml:space="preserve">nformation and </w:t>
      </w:r>
      <w:r w:rsidRPr="006B7173">
        <w:rPr>
          <w:lang w:val="en-US"/>
        </w:rPr>
        <w:t>g</w:t>
      </w:r>
      <w:r w:rsidRPr="006B7173">
        <w:t>uidance</w:t>
      </w:r>
      <w:r w:rsidRPr="006B7173">
        <w:rPr>
          <w:lang w:val="en-US"/>
        </w:rPr>
        <w:t xml:space="preserve">: </w:t>
      </w:r>
      <w:r w:rsidRPr="006B7173">
        <w:t xml:space="preserve">Sri Lanka—Tamil </w:t>
      </w:r>
      <w:r w:rsidRPr="006B7173">
        <w:rPr>
          <w:lang w:val="en-US"/>
        </w:rPr>
        <w:t>s</w:t>
      </w:r>
      <w:r w:rsidRPr="006B7173">
        <w:t>eparatism</w:t>
      </w:r>
      <w:r w:rsidR="007B239B">
        <w:rPr>
          <w:lang w:val="en-US"/>
        </w:rPr>
        <w:t>”</w:t>
      </w:r>
      <w:r w:rsidRPr="006B7173">
        <w:t xml:space="preserve"> (</w:t>
      </w:r>
      <w:r w:rsidRPr="006B7173">
        <w:rPr>
          <w:lang w:val="en-US"/>
        </w:rPr>
        <w:t>United Kingdom</w:t>
      </w:r>
      <w:r w:rsidRPr="006B7173">
        <w:t xml:space="preserve"> Home Office, 28 August 2014)</w:t>
      </w:r>
      <w:r w:rsidRPr="008C0D73">
        <w:rPr>
          <w:lang w:val="en-US"/>
        </w:rPr>
        <w:t>.</w:t>
      </w:r>
      <w:r w:rsidRPr="00DE7523">
        <w:t xml:space="preserve"> </w:t>
      </w:r>
    </w:p>
  </w:footnote>
  <w:footnote w:id="16">
    <w:p w:rsidR="00FD104A" w:rsidRPr="000B005C" w:rsidRDefault="00FD104A" w:rsidP="001B1B77">
      <w:pPr>
        <w:pStyle w:val="FootnoteText"/>
        <w:widowControl w:val="0"/>
        <w:tabs>
          <w:tab w:val="clear" w:pos="1021"/>
          <w:tab w:val="right" w:pos="1020"/>
        </w:tabs>
      </w:pPr>
      <w:r w:rsidRPr="000B005C">
        <w:tab/>
      </w:r>
      <w:r w:rsidRPr="00437DFC">
        <w:rPr>
          <w:rStyle w:val="FootnoteReference"/>
        </w:rPr>
        <w:footnoteRef/>
      </w:r>
      <w:r w:rsidRPr="00437DFC">
        <w:tab/>
      </w:r>
      <w:r w:rsidR="000B005C" w:rsidRPr="00437DFC">
        <w:t>“</w:t>
      </w:r>
      <w:r w:rsidRPr="00C737E6">
        <w:t xml:space="preserve">Sri Lanka: Sikkerhetssituasjonen, LTTE og retur til </w:t>
      </w:r>
      <w:r w:rsidRPr="006B7173">
        <w:rPr>
          <w:szCs w:val="18"/>
        </w:rPr>
        <w:t>hjemlandet</w:t>
      </w:r>
      <w:r w:rsidR="000B005C" w:rsidRPr="00437DFC">
        <w:rPr>
          <w:szCs w:val="18"/>
        </w:rPr>
        <w:t>”</w:t>
      </w:r>
      <w:r w:rsidRPr="00C737E6">
        <w:t xml:space="preserve"> </w:t>
      </w:r>
      <w:r w:rsidRPr="006B7173">
        <w:rPr>
          <w:szCs w:val="18"/>
        </w:rPr>
        <w:t xml:space="preserve">(Sri Lanka: </w:t>
      </w:r>
      <w:r w:rsidR="000B005C" w:rsidRPr="00437DFC">
        <w:rPr>
          <w:szCs w:val="18"/>
          <w:lang w:val="en-US"/>
        </w:rPr>
        <w:t>s</w:t>
      </w:r>
      <w:r w:rsidRPr="00437DFC">
        <w:rPr>
          <w:szCs w:val="18"/>
        </w:rPr>
        <w:t xml:space="preserve">ecurity </w:t>
      </w:r>
      <w:r w:rsidR="000B005C" w:rsidRPr="00437DFC">
        <w:rPr>
          <w:szCs w:val="18"/>
          <w:lang w:val="en-US"/>
        </w:rPr>
        <w:t>s</w:t>
      </w:r>
      <w:r w:rsidRPr="00437DFC">
        <w:rPr>
          <w:szCs w:val="18"/>
        </w:rPr>
        <w:t xml:space="preserve">ituation, the LTTE and </w:t>
      </w:r>
      <w:r w:rsidR="000B005C" w:rsidRPr="00437DFC">
        <w:rPr>
          <w:szCs w:val="18"/>
          <w:lang w:val="en-US"/>
        </w:rPr>
        <w:t>r</w:t>
      </w:r>
      <w:r w:rsidRPr="00437DFC">
        <w:rPr>
          <w:szCs w:val="18"/>
        </w:rPr>
        <w:t xml:space="preserve">eturn to </w:t>
      </w:r>
      <w:r w:rsidR="000B005C" w:rsidRPr="00437DFC">
        <w:rPr>
          <w:szCs w:val="18"/>
          <w:lang w:val="en-US"/>
        </w:rPr>
        <w:t>c</w:t>
      </w:r>
      <w:r w:rsidRPr="00437DFC">
        <w:rPr>
          <w:szCs w:val="18"/>
        </w:rPr>
        <w:t xml:space="preserve">ountry of </w:t>
      </w:r>
      <w:r w:rsidR="000B005C" w:rsidRPr="00437DFC">
        <w:rPr>
          <w:szCs w:val="18"/>
          <w:lang w:val="en-US"/>
        </w:rPr>
        <w:t>o</w:t>
      </w:r>
      <w:r w:rsidRPr="00437DFC">
        <w:rPr>
          <w:szCs w:val="18"/>
        </w:rPr>
        <w:t xml:space="preserve">rigin) </w:t>
      </w:r>
      <w:r w:rsidR="000B005C" w:rsidRPr="00437DFC">
        <w:rPr>
          <w:szCs w:val="18"/>
        </w:rPr>
        <w:t>(</w:t>
      </w:r>
      <w:r w:rsidRPr="00437DFC">
        <w:rPr>
          <w:szCs w:val="18"/>
        </w:rPr>
        <w:t>3 July 2015</w:t>
      </w:r>
      <w:r w:rsidR="000B005C" w:rsidRPr="00437DFC">
        <w:rPr>
          <w:szCs w:val="18"/>
        </w:rPr>
        <w:t>)</w:t>
      </w:r>
      <w:r w:rsidRPr="00437DFC">
        <w:rPr>
          <w:szCs w:val="18"/>
        </w:rPr>
        <w:t>.</w:t>
      </w:r>
      <w:r w:rsidRPr="000B005C">
        <w:t xml:space="preserve"> </w:t>
      </w:r>
    </w:p>
  </w:footnote>
  <w:footnote w:id="17">
    <w:p w:rsidR="00FD104A" w:rsidRPr="008C0D73" w:rsidRDefault="00FD104A" w:rsidP="001B1B77">
      <w:pPr>
        <w:pStyle w:val="FootnoteText"/>
        <w:widowControl w:val="0"/>
        <w:tabs>
          <w:tab w:val="clear" w:pos="1021"/>
          <w:tab w:val="right" w:pos="1020"/>
        </w:tabs>
      </w:pPr>
      <w:r>
        <w:tab/>
      </w:r>
      <w:r w:rsidRPr="008C0D73">
        <w:rPr>
          <w:rStyle w:val="FootnoteReference"/>
        </w:rPr>
        <w:footnoteRef/>
      </w:r>
      <w:r w:rsidRPr="008C0D73">
        <w:tab/>
      </w:r>
      <w:r w:rsidR="00E27B76" w:rsidRPr="008C0D73">
        <w:rPr>
          <w:szCs w:val="18"/>
        </w:rPr>
        <w:t>See</w:t>
      </w:r>
      <w:r w:rsidR="00E27B76" w:rsidRPr="009126BD">
        <w:t xml:space="preserve"> </w:t>
      </w:r>
      <w:r w:rsidRPr="008C0D73">
        <w:rPr>
          <w:szCs w:val="18"/>
        </w:rPr>
        <w:t>Human Rights Committee communication No. 2272/2013,</w:t>
      </w:r>
      <w:r w:rsidRPr="008C0D73">
        <w:rPr>
          <w:i/>
          <w:iCs/>
          <w:szCs w:val="18"/>
        </w:rPr>
        <w:t xml:space="preserve"> P.T. v. Denmark</w:t>
      </w:r>
      <w:r w:rsidRPr="008C0D73">
        <w:rPr>
          <w:szCs w:val="18"/>
        </w:rPr>
        <w:t xml:space="preserve">, </w:t>
      </w:r>
      <w:r w:rsidR="00187FEB">
        <w:rPr>
          <w:szCs w:val="18"/>
        </w:rPr>
        <w:t>decision</w:t>
      </w:r>
      <w:r w:rsidR="00E27B76" w:rsidRPr="008C0D73">
        <w:rPr>
          <w:szCs w:val="18"/>
        </w:rPr>
        <w:t xml:space="preserve"> adopted </w:t>
      </w:r>
      <w:r w:rsidRPr="008C0D73">
        <w:rPr>
          <w:szCs w:val="18"/>
        </w:rPr>
        <w:t>on 1 April 2015, para. 7.3.</w:t>
      </w:r>
      <w:r w:rsidRPr="008C0D73">
        <w:t xml:space="preserve"> </w:t>
      </w:r>
    </w:p>
  </w:footnote>
  <w:footnote w:id="18">
    <w:p w:rsidR="00FD104A" w:rsidRPr="008C0D73" w:rsidRDefault="00FD104A" w:rsidP="001B1B77">
      <w:pPr>
        <w:pStyle w:val="FootnoteText"/>
        <w:widowControl w:val="0"/>
        <w:tabs>
          <w:tab w:val="clear" w:pos="1021"/>
          <w:tab w:val="right" w:pos="1020"/>
        </w:tabs>
      </w:pPr>
      <w:r w:rsidRPr="008C0D73">
        <w:tab/>
      </w:r>
      <w:r w:rsidRPr="008C0D73">
        <w:rPr>
          <w:rStyle w:val="FootnoteReference"/>
        </w:rPr>
        <w:footnoteRef/>
      </w:r>
      <w:r w:rsidRPr="008C0D73">
        <w:tab/>
      </w:r>
      <w:r w:rsidR="00E27B76" w:rsidRPr="008C0D73">
        <w:rPr>
          <w:lang w:val="en-US"/>
        </w:rPr>
        <w:t xml:space="preserve">See </w:t>
      </w:r>
      <w:r w:rsidR="00E27B76" w:rsidRPr="008C0D73">
        <w:rPr>
          <w:szCs w:val="18"/>
        </w:rPr>
        <w:t>c</w:t>
      </w:r>
      <w:r w:rsidRPr="008C0D73">
        <w:rPr>
          <w:szCs w:val="18"/>
        </w:rPr>
        <w:t xml:space="preserve">ommunication No. 2393/2014, </w:t>
      </w:r>
      <w:r w:rsidRPr="008C0D73">
        <w:rPr>
          <w:i/>
          <w:iCs/>
          <w:szCs w:val="18"/>
        </w:rPr>
        <w:t>K</w:t>
      </w:r>
      <w:r w:rsidR="00C723DB">
        <w:rPr>
          <w:i/>
          <w:iCs/>
          <w:szCs w:val="18"/>
          <w:lang w:val="en-US"/>
        </w:rPr>
        <w:t>.</w:t>
      </w:r>
      <w:r w:rsidRPr="008C0D73">
        <w:rPr>
          <w:i/>
          <w:iCs/>
          <w:szCs w:val="18"/>
        </w:rPr>
        <w:t xml:space="preserve"> v. Denmark</w:t>
      </w:r>
      <w:r w:rsidRPr="008C0D73">
        <w:rPr>
          <w:iCs/>
          <w:szCs w:val="18"/>
        </w:rPr>
        <w:t xml:space="preserve">, </w:t>
      </w:r>
      <w:r w:rsidR="00187FEB">
        <w:rPr>
          <w:iCs/>
          <w:szCs w:val="18"/>
        </w:rPr>
        <w:t>decision</w:t>
      </w:r>
      <w:r w:rsidR="00E27B76" w:rsidRPr="008C0D73">
        <w:rPr>
          <w:iCs/>
          <w:szCs w:val="18"/>
        </w:rPr>
        <w:t xml:space="preserve"> </w:t>
      </w:r>
      <w:r w:rsidRPr="008C0D73">
        <w:rPr>
          <w:iCs/>
          <w:szCs w:val="18"/>
        </w:rPr>
        <w:t xml:space="preserve">adopted </w:t>
      </w:r>
      <w:r w:rsidRPr="008C0D73">
        <w:rPr>
          <w:szCs w:val="18"/>
        </w:rPr>
        <w:t>on 16 July 2015, para</w:t>
      </w:r>
      <w:r w:rsidR="00E27B76" w:rsidRPr="008C0D73">
        <w:rPr>
          <w:szCs w:val="18"/>
          <w:lang w:val="en-US"/>
        </w:rPr>
        <w:t>.</w:t>
      </w:r>
      <w:r w:rsidRPr="008C0D73">
        <w:rPr>
          <w:szCs w:val="18"/>
        </w:rPr>
        <w:t xml:space="preserve"> 7.5.</w:t>
      </w:r>
      <w:r w:rsidR="007B239B">
        <w:rPr>
          <w:szCs w:val="18"/>
        </w:rPr>
        <w:t xml:space="preserve"> </w:t>
      </w:r>
    </w:p>
  </w:footnote>
  <w:footnote w:id="19">
    <w:p w:rsidR="00FD104A" w:rsidRPr="008C0D73" w:rsidRDefault="00FD104A" w:rsidP="001B1B77">
      <w:pPr>
        <w:pStyle w:val="FootnoteText"/>
        <w:widowControl w:val="0"/>
        <w:tabs>
          <w:tab w:val="clear" w:pos="1021"/>
          <w:tab w:val="right" w:pos="1020"/>
        </w:tabs>
      </w:pPr>
      <w:r w:rsidRPr="008C0D73">
        <w:tab/>
      </w:r>
      <w:r w:rsidRPr="008C0D73">
        <w:rPr>
          <w:rStyle w:val="FootnoteReference"/>
        </w:rPr>
        <w:footnoteRef/>
      </w:r>
      <w:r w:rsidRPr="008C0D73">
        <w:tab/>
      </w:r>
      <w:r w:rsidR="00E27B76" w:rsidRPr="008C0D73">
        <w:rPr>
          <w:lang w:val="en-US"/>
        </w:rPr>
        <w:t>See c</w:t>
      </w:r>
      <w:r w:rsidRPr="006B7173">
        <w:t>ommunication</w:t>
      </w:r>
      <w:r w:rsidRPr="008C0D73">
        <w:rPr>
          <w:szCs w:val="18"/>
        </w:rPr>
        <w:t xml:space="preserve"> No. 2426/2014, </w:t>
      </w:r>
      <w:r w:rsidRPr="008C0D73">
        <w:rPr>
          <w:i/>
          <w:iCs/>
          <w:szCs w:val="18"/>
        </w:rPr>
        <w:t>N</w:t>
      </w:r>
      <w:r w:rsidR="00C723DB">
        <w:rPr>
          <w:i/>
          <w:iCs/>
          <w:szCs w:val="18"/>
          <w:lang w:val="en-US"/>
        </w:rPr>
        <w:t>.</w:t>
      </w:r>
      <w:r w:rsidRPr="008C0D73">
        <w:rPr>
          <w:i/>
          <w:iCs/>
          <w:szCs w:val="18"/>
        </w:rPr>
        <w:t xml:space="preserve"> v. Denmark</w:t>
      </w:r>
      <w:r w:rsidRPr="00C737E6">
        <w:t>,</w:t>
      </w:r>
      <w:r w:rsidRPr="006B7173">
        <w:rPr>
          <w:szCs w:val="18"/>
        </w:rPr>
        <w:t xml:space="preserve"> </w:t>
      </w:r>
      <w:r w:rsidR="00187FEB">
        <w:rPr>
          <w:iCs/>
          <w:szCs w:val="18"/>
        </w:rPr>
        <w:t>decision</w:t>
      </w:r>
      <w:r w:rsidR="00E27B76" w:rsidRPr="008C0D73">
        <w:rPr>
          <w:iCs/>
          <w:szCs w:val="18"/>
        </w:rPr>
        <w:t xml:space="preserve"> </w:t>
      </w:r>
      <w:r w:rsidRPr="008C0D73">
        <w:rPr>
          <w:iCs/>
          <w:szCs w:val="18"/>
        </w:rPr>
        <w:t>adopted</w:t>
      </w:r>
      <w:r w:rsidRPr="008C0D73">
        <w:rPr>
          <w:i/>
          <w:iCs/>
          <w:szCs w:val="18"/>
        </w:rPr>
        <w:t xml:space="preserve"> </w:t>
      </w:r>
      <w:r w:rsidRPr="008C0D73">
        <w:rPr>
          <w:szCs w:val="18"/>
        </w:rPr>
        <w:t>on 23 July 2015, para. 6.6.</w:t>
      </w:r>
      <w:r w:rsidRPr="008C0D73">
        <w:t xml:space="preserve"> </w:t>
      </w:r>
    </w:p>
  </w:footnote>
  <w:footnote w:id="20">
    <w:p w:rsidR="00253A06" w:rsidRPr="00A85A9C" w:rsidRDefault="00E27B76">
      <w:pPr>
        <w:pStyle w:val="FootnoteText"/>
        <w:widowControl w:val="0"/>
      </w:pPr>
      <w:r w:rsidRPr="006B7173">
        <w:tab/>
      </w:r>
      <w:r w:rsidR="00253A06" w:rsidRPr="00B174AA">
        <w:rPr>
          <w:vertAlign w:val="superscript"/>
        </w:rPr>
        <w:footnoteRef/>
      </w:r>
      <w:r w:rsidRPr="006B7173">
        <w:tab/>
      </w:r>
      <w:r w:rsidR="00253A06" w:rsidRPr="00B174AA">
        <w:t xml:space="preserve">Amnesty International, </w:t>
      </w:r>
      <w:r w:rsidR="00A800BF" w:rsidRPr="00A85A9C">
        <w:rPr>
          <w:lang w:val="en-US"/>
        </w:rPr>
        <w:t xml:space="preserve">the </w:t>
      </w:r>
      <w:r w:rsidR="00253A06" w:rsidRPr="00A85A9C">
        <w:t xml:space="preserve">Swiss Refugee Council, </w:t>
      </w:r>
      <w:r w:rsidR="00A800BF" w:rsidRPr="00A85A9C">
        <w:rPr>
          <w:lang w:val="en-US"/>
        </w:rPr>
        <w:t xml:space="preserve">the </w:t>
      </w:r>
      <w:r w:rsidR="008705CC" w:rsidRPr="00A85A9C">
        <w:rPr>
          <w:lang w:val="en-US"/>
        </w:rPr>
        <w:t>a</w:t>
      </w:r>
      <w:r w:rsidR="00253A06" w:rsidRPr="00A85A9C">
        <w:t>uthorities</w:t>
      </w:r>
      <w:r w:rsidR="008705CC" w:rsidRPr="00A85A9C">
        <w:rPr>
          <w:lang w:val="en-US"/>
        </w:rPr>
        <w:t xml:space="preserve"> of Canada</w:t>
      </w:r>
      <w:r w:rsidR="00253A06" w:rsidRPr="00A85A9C">
        <w:t xml:space="preserve">, </w:t>
      </w:r>
      <w:r w:rsidR="00A800BF" w:rsidRPr="00A85A9C">
        <w:rPr>
          <w:lang w:val="en-US"/>
        </w:rPr>
        <w:t xml:space="preserve">the </w:t>
      </w:r>
      <w:r w:rsidR="008705CC" w:rsidRPr="00A85A9C">
        <w:rPr>
          <w:lang w:val="en-US"/>
        </w:rPr>
        <w:t xml:space="preserve">Office of the United Nations High Commissioner for Refugees and </w:t>
      </w:r>
      <w:r w:rsidR="00253A06" w:rsidRPr="00A85A9C">
        <w:t>Human Rights Watch</w:t>
      </w:r>
      <w:r w:rsidR="000C31E8">
        <w:rPr>
          <w:lang w:val="en-US"/>
        </w:rPr>
        <w:t>, among others</w:t>
      </w:r>
      <w:r w:rsidR="00253A06" w:rsidRPr="00A85A9C">
        <w:t>.</w:t>
      </w:r>
    </w:p>
  </w:footnote>
  <w:footnote w:id="21">
    <w:p w:rsidR="00253A06" w:rsidRPr="00B174AA" w:rsidRDefault="00E27B76" w:rsidP="00B174AA">
      <w:pPr>
        <w:pStyle w:val="FootnoteText"/>
        <w:widowControl w:val="0"/>
      </w:pPr>
      <w:r w:rsidRPr="00A85A9C">
        <w:tab/>
      </w:r>
      <w:r w:rsidR="00253A06" w:rsidRPr="00A85A9C">
        <w:rPr>
          <w:vertAlign w:val="superscript"/>
        </w:rPr>
        <w:footnoteRef/>
      </w:r>
      <w:r w:rsidRPr="00A85A9C">
        <w:rPr>
          <w:vertAlign w:val="superscript"/>
        </w:rPr>
        <w:tab/>
      </w:r>
      <w:r w:rsidR="00253A06" w:rsidRPr="00A85A9C">
        <w:t>See paras</w:t>
      </w:r>
      <w:r w:rsidR="00C737E6">
        <w:t>.</w:t>
      </w:r>
      <w:r w:rsidR="00253A06" w:rsidRPr="00A85A9C">
        <w:t xml:space="preserve"> 2.1 and 2.2 above.</w:t>
      </w:r>
    </w:p>
  </w:footnote>
  <w:footnote w:id="22">
    <w:p w:rsidR="00603589" w:rsidRPr="00EC7E8E" w:rsidRDefault="001B1B77" w:rsidP="00C737E6">
      <w:pPr>
        <w:pStyle w:val="FootnoteText"/>
        <w:rPr>
          <w:lang w:val="en-US"/>
        </w:rPr>
      </w:pPr>
      <w:r w:rsidRPr="006B7173">
        <w:rPr>
          <w:lang w:val="en-US"/>
        </w:rPr>
        <w:tab/>
      </w:r>
      <w:r w:rsidR="00603589" w:rsidRPr="008C0D73">
        <w:rPr>
          <w:rStyle w:val="FootnoteReference"/>
        </w:rPr>
        <w:footnoteRef/>
      </w:r>
      <w:r w:rsidRPr="006B7173">
        <w:rPr>
          <w:lang w:val="en-US"/>
        </w:rPr>
        <w:tab/>
      </w:r>
      <w:r w:rsidR="00603589" w:rsidRPr="008C0D73">
        <w:t>See e.g. communication</w:t>
      </w:r>
      <w:r w:rsidR="00F31DD7" w:rsidRPr="008C0D73">
        <w:rPr>
          <w:lang w:val="en-US"/>
        </w:rPr>
        <w:t>s</w:t>
      </w:r>
      <w:r w:rsidR="00603589" w:rsidRPr="008C0D73">
        <w:t xml:space="preserve"> No. 467/2011, </w:t>
      </w:r>
      <w:r w:rsidR="00603589" w:rsidRPr="008C0D73">
        <w:rPr>
          <w:i/>
        </w:rPr>
        <w:t>Y.B.F., S.A.Q. and Y.Y. v. Switzerland</w:t>
      </w:r>
      <w:r w:rsidR="00603589" w:rsidRPr="008C0D73">
        <w:t xml:space="preserve">, </w:t>
      </w:r>
      <w:r w:rsidR="00187FEB" w:rsidRPr="00C737E6">
        <w:rPr>
          <w:lang w:val="en-US"/>
        </w:rPr>
        <w:t>decision</w:t>
      </w:r>
      <w:r w:rsidR="00F31DD7" w:rsidRPr="008C0D73">
        <w:t xml:space="preserve"> </w:t>
      </w:r>
      <w:r w:rsidR="00603589" w:rsidRPr="008C0D73">
        <w:t>adopted on 31 May 2013, para. 7.2</w:t>
      </w:r>
      <w:r w:rsidR="00F31DD7" w:rsidRPr="008C0D73">
        <w:rPr>
          <w:lang w:val="en-US"/>
        </w:rPr>
        <w:t>;</w:t>
      </w:r>
      <w:r w:rsidR="00603589" w:rsidRPr="008C0D73">
        <w:t xml:space="preserve"> No. 392/2009, </w:t>
      </w:r>
      <w:r w:rsidR="00603589" w:rsidRPr="008C0D73">
        <w:rPr>
          <w:i/>
        </w:rPr>
        <w:t>R.S.M. v. Canada</w:t>
      </w:r>
      <w:r w:rsidR="00603589" w:rsidRPr="008C0D73">
        <w:t xml:space="preserve">, </w:t>
      </w:r>
      <w:r w:rsidR="00187FEB" w:rsidRPr="00C737E6">
        <w:rPr>
          <w:lang w:val="en-US"/>
        </w:rPr>
        <w:t>decision</w:t>
      </w:r>
      <w:r w:rsidR="00F31DD7" w:rsidRPr="00C737E6">
        <w:rPr>
          <w:lang w:val="en-US"/>
        </w:rPr>
        <w:t xml:space="preserve"> </w:t>
      </w:r>
      <w:r w:rsidR="00603589" w:rsidRPr="008C0D73">
        <w:t>adopted on 24 May 2013, para.</w:t>
      </w:r>
      <w:r w:rsidR="00F31DD7" w:rsidRPr="008C0D73">
        <w:rPr>
          <w:lang w:val="en-US"/>
        </w:rPr>
        <w:t> </w:t>
      </w:r>
      <w:r w:rsidR="00603589" w:rsidRPr="008C0D73">
        <w:t>7.3</w:t>
      </w:r>
      <w:r w:rsidR="00F31DD7" w:rsidRPr="008C0D73">
        <w:rPr>
          <w:lang w:val="en-US"/>
        </w:rPr>
        <w:t>;</w:t>
      </w:r>
      <w:r w:rsidR="00603589" w:rsidRPr="008C0D73">
        <w:t xml:space="preserve"> </w:t>
      </w:r>
      <w:r w:rsidR="00F31DD7" w:rsidRPr="008C0D73">
        <w:rPr>
          <w:lang w:val="en-US"/>
        </w:rPr>
        <w:t>and</w:t>
      </w:r>
      <w:r w:rsidR="00F31DD7" w:rsidRPr="00C737E6">
        <w:rPr>
          <w:lang w:val="en-US"/>
        </w:rPr>
        <w:t xml:space="preserve"> </w:t>
      </w:r>
      <w:r w:rsidR="00603589" w:rsidRPr="008C0D73">
        <w:t xml:space="preserve">No. 213/2002, </w:t>
      </w:r>
      <w:r w:rsidR="00603589" w:rsidRPr="008C0D73">
        <w:rPr>
          <w:i/>
        </w:rPr>
        <w:t>E.J.V.M. v. Sweden</w:t>
      </w:r>
      <w:r w:rsidR="00603589" w:rsidRPr="008C0D73">
        <w:t xml:space="preserve">, </w:t>
      </w:r>
      <w:r w:rsidR="00187FEB" w:rsidRPr="00C737E6">
        <w:rPr>
          <w:lang w:val="en-US"/>
        </w:rPr>
        <w:t>decision</w:t>
      </w:r>
      <w:r w:rsidR="00F31DD7" w:rsidRPr="00C737E6">
        <w:rPr>
          <w:lang w:val="en-US"/>
        </w:rPr>
        <w:t xml:space="preserve"> </w:t>
      </w:r>
      <w:r w:rsidR="00603589" w:rsidRPr="008C0D73">
        <w:t>adopted on 14 November 2003, para. 8.3.</w:t>
      </w:r>
      <w:r w:rsidR="00603589">
        <w:t xml:space="preserve"> </w:t>
      </w:r>
    </w:p>
  </w:footnote>
  <w:footnote w:id="23">
    <w:p w:rsidR="00EC7D62" w:rsidRPr="00253A06" w:rsidRDefault="00EC7D62" w:rsidP="001B1B77">
      <w:pPr>
        <w:pStyle w:val="FootnoteText"/>
        <w:widowControl w:val="0"/>
        <w:tabs>
          <w:tab w:val="clear" w:pos="1021"/>
          <w:tab w:val="right" w:pos="1020"/>
        </w:tabs>
      </w:pPr>
      <w:r w:rsidRPr="006D5C50">
        <w:tab/>
      </w:r>
      <w:r w:rsidRPr="006D5C50">
        <w:rPr>
          <w:rStyle w:val="FootnoteReference"/>
        </w:rPr>
        <w:footnoteRef/>
      </w:r>
      <w:r w:rsidRPr="006D5C50">
        <w:tab/>
      </w:r>
      <w:r w:rsidR="00F31DD7" w:rsidRPr="006D5C50">
        <w:rPr>
          <w:lang w:val="en-US"/>
        </w:rPr>
        <w:t>Ibid</w:t>
      </w:r>
      <w:r w:rsidRPr="006D5C50">
        <w:t>.</w:t>
      </w:r>
      <w:r w:rsidR="007B239B">
        <w:t xml:space="preserve"> </w:t>
      </w:r>
    </w:p>
  </w:footnote>
  <w:footnote w:id="24">
    <w:p w:rsidR="00DD5B88" w:rsidRPr="008C0D73" w:rsidRDefault="00DD5B88">
      <w:pPr>
        <w:pStyle w:val="FootnoteText"/>
        <w:widowControl w:val="0"/>
        <w:tabs>
          <w:tab w:val="clear" w:pos="1021"/>
          <w:tab w:val="right" w:pos="1020"/>
        </w:tabs>
      </w:pPr>
      <w:r>
        <w:tab/>
      </w:r>
      <w:r w:rsidRPr="008C0D73">
        <w:rPr>
          <w:rStyle w:val="FootnoteReference"/>
        </w:rPr>
        <w:footnoteRef/>
      </w:r>
      <w:r w:rsidRPr="008C0D73">
        <w:tab/>
      </w:r>
      <w:r w:rsidRPr="008C0D73">
        <w:rPr>
          <w:szCs w:val="18"/>
        </w:rPr>
        <w:t xml:space="preserve">See for example </w:t>
      </w:r>
      <w:r w:rsidR="00F31DD7" w:rsidRPr="008C0D73">
        <w:rPr>
          <w:szCs w:val="18"/>
          <w:lang w:val="en-US"/>
        </w:rPr>
        <w:t xml:space="preserve">communications </w:t>
      </w:r>
      <w:r w:rsidRPr="008C0D73">
        <w:rPr>
          <w:szCs w:val="18"/>
        </w:rPr>
        <w:t xml:space="preserve">No. 426/2010, </w:t>
      </w:r>
      <w:r w:rsidRPr="008C0D73">
        <w:rPr>
          <w:i/>
          <w:iCs/>
          <w:szCs w:val="18"/>
        </w:rPr>
        <w:t xml:space="preserve">R.D. </w:t>
      </w:r>
      <w:r w:rsidRPr="00C737E6">
        <w:rPr>
          <w:i/>
          <w:iCs/>
          <w:szCs w:val="18"/>
        </w:rPr>
        <w:t>v.</w:t>
      </w:r>
      <w:r w:rsidRPr="008C0D73">
        <w:rPr>
          <w:i/>
          <w:iCs/>
          <w:szCs w:val="18"/>
        </w:rPr>
        <w:t xml:space="preserve"> Switzerland</w:t>
      </w:r>
      <w:r w:rsidRPr="008C0D73">
        <w:rPr>
          <w:szCs w:val="18"/>
        </w:rPr>
        <w:t xml:space="preserve">, </w:t>
      </w:r>
      <w:r w:rsidRPr="00510162">
        <w:rPr>
          <w:szCs w:val="18"/>
        </w:rPr>
        <w:t>decisio</w:t>
      </w:r>
      <w:r>
        <w:rPr>
          <w:szCs w:val="18"/>
        </w:rPr>
        <w:t xml:space="preserve">n </w:t>
      </w:r>
      <w:r w:rsidR="00F31DD7" w:rsidRPr="008C0D73">
        <w:rPr>
          <w:szCs w:val="18"/>
          <w:lang w:val="en-US"/>
        </w:rPr>
        <w:t>adopted on</w:t>
      </w:r>
      <w:r w:rsidR="00F31DD7" w:rsidRPr="00C737E6">
        <w:rPr>
          <w:lang w:val="en-US"/>
        </w:rPr>
        <w:t xml:space="preserve"> </w:t>
      </w:r>
      <w:r w:rsidRPr="008C0D73">
        <w:rPr>
          <w:szCs w:val="18"/>
        </w:rPr>
        <w:t>8</w:t>
      </w:r>
      <w:r w:rsidR="007B239B">
        <w:rPr>
          <w:szCs w:val="18"/>
        </w:rPr>
        <w:t> </w:t>
      </w:r>
      <w:r w:rsidRPr="008C0D73">
        <w:rPr>
          <w:szCs w:val="18"/>
        </w:rPr>
        <w:t xml:space="preserve">November 2013, para. 9.2; </w:t>
      </w:r>
      <w:r w:rsidR="00F31DD7" w:rsidRPr="008C0D73">
        <w:rPr>
          <w:szCs w:val="18"/>
        </w:rPr>
        <w:t xml:space="preserve">and </w:t>
      </w:r>
      <w:r w:rsidRPr="008C0D73">
        <w:rPr>
          <w:szCs w:val="18"/>
        </w:rPr>
        <w:t>No.</w:t>
      </w:r>
      <w:r w:rsidR="00F31DD7" w:rsidRPr="008C0D73">
        <w:rPr>
          <w:szCs w:val="18"/>
        </w:rPr>
        <w:t> </w:t>
      </w:r>
      <w:r w:rsidRPr="008C0D73">
        <w:rPr>
          <w:szCs w:val="18"/>
        </w:rPr>
        <w:t xml:space="preserve">591/2014, </w:t>
      </w:r>
      <w:r w:rsidRPr="008C0D73">
        <w:rPr>
          <w:i/>
          <w:szCs w:val="18"/>
        </w:rPr>
        <w:t>K. v. Australia</w:t>
      </w:r>
      <w:r w:rsidRPr="008C0D73">
        <w:rPr>
          <w:szCs w:val="18"/>
        </w:rPr>
        <w:t xml:space="preserve">, </w:t>
      </w:r>
      <w:r w:rsidRPr="002456E4">
        <w:rPr>
          <w:szCs w:val="18"/>
        </w:rPr>
        <w:t xml:space="preserve">decision </w:t>
      </w:r>
      <w:r w:rsidR="00F31DD7" w:rsidRPr="008C0D73">
        <w:rPr>
          <w:szCs w:val="18"/>
        </w:rPr>
        <w:t xml:space="preserve">adopted on </w:t>
      </w:r>
      <w:r w:rsidRPr="008C0D73">
        <w:rPr>
          <w:szCs w:val="18"/>
        </w:rPr>
        <w:t>25 November 2015, para.</w:t>
      </w:r>
      <w:r w:rsidR="008705CC" w:rsidRPr="008C0D73">
        <w:rPr>
          <w:szCs w:val="18"/>
        </w:rPr>
        <w:t> </w:t>
      </w:r>
      <w:r w:rsidRPr="008C0D73">
        <w:rPr>
          <w:szCs w:val="18"/>
        </w:rPr>
        <w:t>10.11.</w:t>
      </w:r>
      <w:r w:rsidRPr="008C0D73">
        <w:t xml:space="preserve"> </w:t>
      </w:r>
    </w:p>
  </w:footnote>
  <w:footnote w:id="25">
    <w:p w:rsidR="00503739" w:rsidRPr="008C0D73" w:rsidRDefault="00503739" w:rsidP="001B1B77">
      <w:pPr>
        <w:pStyle w:val="FootnoteText"/>
        <w:widowControl w:val="0"/>
        <w:tabs>
          <w:tab w:val="clear" w:pos="1021"/>
          <w:tab w:val="right" w:pos="1020"/>
        </w:tabs>
      </w:pPr>
      <w:r w:rsidRPr="008C0D73">
        <w:tab/>
      </w:r>
      <w:r w:rsidRPr="008C0D73">
        <w:rPr>
          <w:rStyle w:val="FootnoteReference"/>
        </w:rPr>
        <w:footnoteRef/>
      </w:r>
      <w:r w:rsidRPr="008C0D73">
        <w:tab/>
      </w:r>
      <w:r w:rsidR="00DD6E8C" w:rsidRPr="008C0D73">
        <w:rPr>
          <w:lang w:val="en-US"/>
        </w:rPr>
        <w:t xml:space="preserve">See </w:t>
      </w:r>
      <w:r w:rsidR="00DD6E8C" w:rsidRPr="008C0D73">
        <w:rPr>
          <w:bCs/>
          <w:szCs w:val="18"/>
        </w:rPr>
        <w:t>CAT/C/LKA/CO/3-4</w:t>
      </w:r>
      <w:r w:rsidRPr="008C0D73">
        <w:rPr>
          <w:bCs/>
          <w:szCs w:val="18"/>
        </w:rPr>
        <w:t>, para</w:t>
      </w:r>
      <w:r w:rsidR="00F31DD7" w:rsidRPr="008C0D73">
        <w:rPr>
          <w:bCs/>
          <w:szCs w:val="18"/>
          <w:lang w:val="en-US"/>
        </w:rPr>
        <w:t>.</w:t>
      </w:r>
      <w:r w:rsidRPr="008C0D73">
        <w:rPr>
          <w:bCs/>
          <w:szCs w:val="18"/>
        </w:rPr>
        <w:t xml:space="preserve"> 6.</w:t>
      </w:r>
      <w:r w:rsidRPr="008C0D73">
        <w:t xml:space="preserve"> </w:t>
      </w:r>
    </w:p>
  </w:footnote>
  <w:footnote w:id="26">
    <w:p w:rsidR="00503739" w:rsidRPr="008C0D73" w:rsidRDefault="00503739" w:rsidP="001B1B77">
      <w:pPr>
        <w:pStyle w:val="FootnoteText"/>
        <w:widowControl w:val="0"/>
        <w:tabs>
          <w:tab w:val="clear" w:pos="1021"/>
          <w:tab w:val="right" w:pos="1020"/>
        </w:tabs>
      </w:pPr>
      <w:r w:rsidRPr="008C0D73">
        <w:tab/>
      </w:r>
      <w:r w:rsidRPr="008C0D73">
        <w:rPr>
          <w:rStyle w:val="FootnoteReference"/>
        </w:rPr>
        <w:footnoteRef/>
      </w:r>
      <w:r w:rsidRPr="008C0D73">
        <w:tab/>
      </w:r>
      <w:r w:rsidRPr="008C0D73">
        <w:rPr>
          <w:szCs w:val="18"/>
        </w:rPr>
        <w:t xml:space="preserve">See </w:t>
      </w:r>
      <w:r w:rsidRPr="008C0D73">
        <w:rPr>
          <w:bCs/>
          <w:szCs w:val="18"/>
        </w:rPr>
        <w:t>CAT/C/GBR/CO/5, p</w:t>
      </w:r>
      <w:r w:rsidR="00DD6E8C" w:rsidRPr="006B7173">
        <w:rPr>
          <w:bCs/>
          <w:szCs w:val="18"/>
          <w:lang w:val="en-US"/>
        </w:rPr>
        <w:t>ara</w:t>
      </w:r>
      <w:r w:rsidRPr="008C0D73">
        <w:rPr>
          <w:bCs/>
          <w:szCs w:val="18"/>
        </w:rPr>
        <w:t>. 2</w:t>
      </w:r>
      <w:r w:rsidR="00DD6E8C" w:rsidRPr="006B7173">
        <w:rPr>
          <w:bCs/>
          <w:szCs w:val="18"/>
          <w:lang w:val="en-US"/>
        </w:rPr>
        <w:t>0</w:t>
      </w:r>
      <w:r w:rsidRPr="008C0D73">
        <w:rPr>
          <w:bCs/>
          <w:szCs w:val="18"/>
        </w:rPr>
        <w:t>.</w:t>
      </w:r>
      <w:r w:rsidRPr="008C0D73">
        <w:t xml:space="preserve"> </w:t>
      </w:r>
    </w:p>
  </w:footnote>
  <w:footnote w:id="27">
    <w:p w:rsidR="006D7B4F" w:rsidRPr="00B174AA" w:rsidRDefault="00041588" w:rsidP="00B174AA">
      <w:pPr>
        <w:pStyle w:val="FootnoteText"/>
        <w:widowControl w:val="0"/>
        <w:rPr>
          <w:lang w:val="en-US"/>
        </w:rPr>
      </w:pPr>
      <w:r w:rsidRPr="008C0D73">
        <w:rPr>
          <w:lang w:val="en-US"/>
        </w:rPr>
        <w:tab/>
      </w:r>
      <w:r w:rsidR="006D7B4F" w:rsidRPr="00B174AA">
        <w:rPr>
          <w:vertAlign w:val="superscript"/>
        </w:rPr>
        <w:footnoteRef/>
      </w:r>
      <w:r w:rsidRPr="006B7173">
        <w:rPr>
          <w:vertAlign w:val="superscript"/>
          <w:lang w:val="en-US"/>
        </w:rPr>
        <w:tab/>
      </w:r>
      <w:r w:rsidR="006D7B4F" w:rsidRPr="00B174AA">
        <w:t xml:space="preserve">Preliminary observations and recommendations of the Special Rapporteur on torture and other cruel, inhuman and degrading treatment or punishment, Mr. Juan E. Mendez, on the </w:t>
      </w:r>
      <w:r w:rsidR="00DD6E8C" w:rsidRPr="008C0D73">
        <w:rPr>
          <w:lang w:val="en-US"/>
        </w:rPr>
        <w:t>o</w:t>
      </w:r>
      <w:r w:rsidR="006D7B4F" w:rsidRPr="006B7173">
        <w:t>fficial</w:t>
      </w:r>
      <w:r w:rsidR="006D7B4F" w:rsidRPr="00B174AA">
        <w:t xml:space="preserve"> joint visit to Sri Lanka </w:t>
      </w:r>
      <w:r w:rsidR="00DD6E8C" w:rsidRPr="008C0D73">
        <w:rPr>
          <w:lang w:val="en-US"/>
        </w:rPr>
        <w:t xml:space="preserve">from </w:t>
      </w:r>
      <w:r w:rsidR="006D7B4F" w:rsidRPr="00B174AA">
        <w:t>29 April</w:t>
      </w:r>
      <w:r w:rsidR="00DD6E8C" w:rsidRPr="008C0D73">
        <w:rPr>
          <w:lang w:val="en-US"/>
        </w:rPr>
        <w:t xml:space="preserve"> to </w:t>
      </w:r>
      <w:r w:rsidR="006D7B4F" w:rsidRPr="00B174AA">
        <w:t>7 May 2016</w:t>
      </w:r>
      <w:r w:rsidR="006D7B4F" w:rsidRPr="006B7173">
        <w:t xml:space="preserve"> </w:t>
      </w:r>
      <w:r w:rsidR="00DD6E8C" w:rsidRPr="008C0D73">
        <w:rPr>
          <w:lang w:val="en-US"/>
        </w:rPr>
        <w:t>(</w:t>
      </w:r>
      <w:r w:rsidR="006D7B4F" w:rsidRPr="00B174AA">
        <w:t>Colombo, 7 May 2016</w:t>
      </w:r>
      <w:r w:rsidR="00DD6E8C" w:rsidRPr="008C0D73">
        <w:rPr>
          <w:lang w:val="en-US"/>
        </w:rPr>
        <w:t>)</w:t>
      </w:r>
      <w:r w:rsidR="006D7B4F" w:rsidRPr="006B7173">
        <w:t>.</w:t>
      </w:r>
      <w:r w:rsidR="00DD6E8C" w:rsidRPr="008C0D73">
        <w:rPr>
          <w:lang w:val="en-US"/>
        </w:rPr>
        <w:t xml:space="preserve"> Available from www.ohchr.org/EN/NewsEvents/Pages/DisplayNews.aspx?NewsID=19943&amp;LangID=E</w:t>
      </w:r>
      <w:r w:rsidR="008705CC" w:rsidRPr="008C0D73">
        <w:rPr>
          <w:lang w:val="en-US"/>
        </w:rPr>
        <w:t>.</w:t>
      </w:r>
    </w:p>
  </w:footnote>
  <w:footnote w:id="28">
    <w:p w:rsidR="006B303D" w:rsidRPr="00B174AA" w:rsidRDefault="006B303D" w:rsidP="001B1B77">
      <w:pPr>
        <w:pStyle w:val="FootnoteText"/>
        <w:widowControl w:val="0"/>
        <w:tabs>
          <w:tab w:val="clear" w:pos="1021"/>
          <w:tab w:val="right" w:pos="1020"/>
        </w:tabs>
        <w:rPr>
          <w:lang w:val="en-US"/>
        </w:rPr>
      </w:pPr>
      <w:r w:rsidRPr="008C0D73">
        <w:tab/>
      </w:r>
      <w:r w:rsidRPr="008C0D73">
        <w:rPr>
          <w:rStyle w:val="FootnoteReference"/>
        </w:rPr>
        <w:footnoteRef/>
      </w:r>
      <w:r w:rsidRPr="008C0D73">
        <w:tab/>
      </w:r>
      <w:r w:rsidRPr="008C0D73">
        <w:rPr>
          <w:bCs/>
          <w:szCs w:val="18"/>
        </w:rPr>
        <w:t>Freedom from Torture</w:t>
      </w:r>
      <w:r w:rsidRPr="008C0D73">
        <w:rPr>
          <w:bCs/>
          <w:szCs w:val="18"/>
          <w:lang w:val="en-US"/>
        </w:rPr>
        <w:t>,</w:t>
      </w:r>
      <w:r w:rsidRPr="008C0D73">
        <w:rPr>
          <w:bCs/>
          <w:szCs w:val="18"/>
        </w:rPr>
        <w:t xml:space="preserve"> </w:t>
      </w:r>
      <w:r w:rsidR="002219FD" w:rsidRPr="006B7173">
        <w:rPr>
          <w:lang w:val="en-US"/>
        </w:rPr>
        <w:t>“</w:t>
      </w:r>
      <w:r w:rsidRPr="00B174AA">
        <w:t xml:space="preserve">Tainted </w:t>
      </w:r>
      <w:r w:rsidR="002219FD" w:rsidRPr="006B7173">
        <w:rPr>
          <w:bCs/>
          <w:szCs w:val="18"/>
          <w:lang w:val="en-US"/>
        </w:rPr>
        <w:t>p</w:t>
      </w:r>
      <w:r w:rsidRPr="006B7173">
        <w:rPr>
          <w:bCs/>
          <w:szCs w:val="18"/>
        </w:rPr>
        <w:t xml:space="preserve">eace: </w:t>
      </w:r>
      <w:r w:rsidR="002219FD" w:rsidRPr="006B7173">
        <w:rPr>
          <w:bCs/>
          <w:szCs w:val="18"/>
          <w:lang w:val="en-US"/>
        </w:rPr>
        <w:t>t</w:t>
      </w:r>
      <w:r w:rsidRPr="006B7173">
        <w:rPr>
          <w:bCs/>
          <w:szCs w:val="18"/>
        </w:rPr>
        <w:t>orture</w:t>
      </w:r>
      <w:r w:rsidRPr="00B174AA">
        <w:t xml:space="preserve"> in Sri Lanka since May 2009</w:t>
      </w:r>
      <w:r w:rsidR="002219FD" w:rsidRPr="006B7173">
        <w:rPr>
          <w:lang w:val="en-US"/>
        </w:rPr>
        <w:t>”</w:t>
      </w:r>
      <w:r w:rsidRPr="008C0D73">
        <w:rPr>
          <w:bCs/>
          <w:szCs w:val="18"/>
        </w:rPr>
        <w:t xml:space="preserve"> </w:t>
      </w:r>
      <w:r w:rsidR="002219FD" w:rsidRPr="008C0D73">
        <w:rPr>
          <w:bCs/>
          <w:szCs w:val="18"/>
          <w:lang w:val="en-US"/>
        </w:rPr>
        <w:t>(</w:t>
      </w:r>
      <w:r w:rsidRPr="008C0D73">
        <w:rPr>
          <w:bCs/>
          <w:szCs w:val="18"/>
        </w:rPr>
        <w:t>August 2015</w:t>
      </w:r>
      <w:r w:rsidR="002219FD" w:rsidRPr="008C0D73">
        <w:rPr>
          <w:bCs/>
          <w:szCs w:val="18"/>
          <w:lang w:val="en-US"/>
        </w:rPr>
        <w:t>)</w:t>
      </w:r>
      <w:r w:rsidRPr="008C0D73">
        <w:rPr>
          <w:bCs/>
          <w:szCs w:val="18"/>
        </w:rPr>
        <w:t xml:space="preserve">, available </w:t>
      </w:r>
      <w:r w:rsidR="002219FD" w:rsidRPr="008C0D73">
        <w:rPr>
          <w:bCs/>
          <w:szCs w:val="18"/>
          <w:lang w:val="en-US"/>
        </w:rPr>
        <w:t xml:space="preserve">from </w:t>
      </w:r>
      <w:r w:rsidRPr="006B7173">
        <w:t>www.freedomfromtorture.org/sites/default/files/documents/sl_report_a4_-_final-f-b-web.pdf</w:t>
      </w:r>
      <w:r w:rsidR="002219FD" w:rsidRPr="008C0D73">
        <w:rPr>
          <w:lang w:val="en-US"/>
        </w:rPr>
        <w:t>.</w:t>
      </w:r>
    </w:p>
  </w:footnote>
  <w:footnote w:id="29">
    <w:p w:rsidR="00503739" w:rsidRPr="008C0D73" w:rsidRDefault="00503739" w:rsidP="001B1B77">
      <w:pPr>
        <w:pStyle w:val="FootnoteText"/>
        <w:widowControl w:val="0"/>
        <w:tabs>
          <w:tab w:val="clear" w:pos="1021"/>
          <w:tab w:val="right" w:pos="1020"/>
        </w:tabs>
      </w:pPr>
      <w:r w:rsidRPr="008C0D73">
        <w:tab/>
      </w:r>
      <w:r w:rsidRPr="008C0D73">
        <w:rPr>
          <w:rStyle w:val="FootnoteReference"/>
        </w:rPr>
        <w:footnoteRef/>
      </w:r>
      <w:r w:rsidRPr="008C0D73">
        <w:tab/>
      </w:r>
      <w:r w:rsidRPr="008C0D73">
        <w:rPr>
          <w:lang w:val="en-US"/>
        </w:rPr>
        <w:t xml:space="preserve">Yasmin Sooka, The Bar Human Rights Committee of England and Wales and </w:t>
      </w:r>
      <w:r w:rsidR="002219FD" w:rsidRPr="008C0D73">
        <w:rPr>
          <w:lang w:val="en-US"/>
        </w:rPr>
        <w:t>t</w:t>
      </w:r>
      <w:r w:rsidRPr="008C0D73">
        <w:rPr>
          <w:lang w:val="en-US"/>
        </w:rPr>
        <w:t xml:space="preserve">he International Truth and Justice Project </w:t>
      </w:r>
      <w:r w:rsidR="002219FD" w:rsidRPr="008C0D73">
        <w:rPr>
          <w:lang w:val="en-US"/>
        </w:rPr>
        <w:t>(</w:t>
      </w:r>
      <w:r w:rsidRPr="008C0D73">
        <w:rPr>
          <w:lang w:val="en-US"/>
        </w:rPr>
        <w:t>Sri Lanka</w:t>
      </w:r>
      <w:r w:rsidR="002219FD" w:rsidRPr="008C0D73">
        <w:rPr>
          <w:lang w:val="en-US"/>
        </w:rPr>
        <w:t>),</w:t>
      </w:r>
      <w:r w:rsidRPr="008C0D73">
        <w:rPr>
          <w:lang w:val="en-US"/>
        </w:rPr>
        <w:t xml:space="preserve"> </w:t>
      </w:r>
      <w:r w:rsidR="002219FD" w:rsidRPr="008C0D73">
        <w:rPr>
          <w:lang w:val="en-US"/>
        </w:rPr>
        <w:t>“</w:t>
      </w:r>
      <w:r w:rsidRPr="00C737E6">
        <w:rPr>
          <w:lang w:val="en-US"/>
        </w:rPr>
        <w:t xml:space="preserve">An </w:t>
      </w:r>
      <w:r w:rsidR="002219FD" w:rsidRPr="006B7173">
        <w:rPr>
          <w:lang w:val="en-US"/>
        </w:rPr>
        <w:t>u</w:t>
      </w:r>
      <w:r w:rsidRPr="006B7173">
        <w:rPr>
          <w:lang w:val="en-US"/>
        </w:rPr>
        <w:t xml:space="preserve">nfinished </w:t>
      </w:r>
      <w:r w:rsidR="002219FD" w:rsidRPr="006B7173">
        <w:rPr>
          <w:lang w:val="en-US"/>
        </w:rPr>
        <w:t>w</w:t>
      </w:r>
      <w:r w:rsidRPr="006B7173">
        <w:rPr>
          <w:lang w:val="en-US"/>
        </w:rPr>
        <w:t>ar</w:t>
      </w:r>
      <w:r w:rsidR="002219FD" w:rsidRPr="006B7173">
        <w:rPr>
          <w:lang w:val="en-US"/>
        </w:rPr>
        <w:t>:</w:t>
      </w:r>
      <w:r w:rsidRPr="006B7173">
        <w:rPr>
          <w:lang w:val="en-US"/>
        </w:rPr>
        <w:t xml:space="preserve"> </w:t>
      </w:r>
      <w:r w:rsidR="002219FD" w:rsidRPr="006B7173">
        <w:rPr>
          <w:lang w:val="en-US"/>
        </w:rPr>
        <w:t>t</w:t>
      </w:r>
      <w:r w:rsidRPr="006B7173">
        <w:rPr>
          <w:lang w:val="en-US"/>
        </w:rPr>
        <w:t>orture</w:t>
      </w:r>
      <w:r w:rsidRPr="00C737E6">
        <w:rPr>
          <w:lang w:val="en-US"/>
        </w:rPr>
        <w:t xml:space="preserve"> and </w:t>
      </w:r>
      <w:r w:rsidR="002219FD" w:rsidRPr="006B7173">
        <w:rPr>
          <w:lang w:val="en-US"/>
        </w:rPr>
        <w:t>s</w:t>
      </w:r>
      <w:r w:rsidRPr="006B7173">
        <w:rPr>
          <w:lang w:val="en-US"/>
        </w:rPr>
        <w:t xml:space="preserve">exual </w:t>
      </w:r>
      <w:r w:rsidR="002219FD" w:rsidRPr="006B7173">
        <w:rPr>
          <w:lang w:val="en-US"/>
        </w:rPr>
        <w:t>v</w:t>
      </w:r>
      <w:r w:rsidRPr="006B7173">
        <w:rPr>
          <w:lang w:val="en-US"/>
        </w:rPr>
        <w:t>iolence</w:t>
      </w:r>
      <w:r w:rsidRPr="00C737E6">
        <w:rPr>
          <w:lang w:val="en-US"/>
        </w:rPr>
        <w:t xml:space="preserve"> in Sri Lanka</w:t>
      </w:r>
      <w:r w:rsidR="002219FD" w:rsidRPr="006B7173">
        <w:rPr>
          <w:lang w:val="en-US"/>
        </w:rPr>
        <w:t>—</w:t>
      </w:r>
      <w:r w:rsidRPr="00C737E6">
        <w:rPr>
          <w:lang w:val="en-US"/>
        </w:rPr>
        <w:t>2009-2014</w:t>
      </w:r>
      <w:r w:rsidR="002219FD" w:rsidRPr="006B7173">
        <w:rPr>
          <w:lang w:val="en-US"/>
        </w:rPr>
        <w:t>”</w:t>
      </w:r>
      <w:r w:rsidRPr="008C0D73">
        <w:rPr>
          <w:lang w:val="en-US"/>
        </w:rPr>
        <w:t xml:space="preserve"> </w:t>
      </w:r>
      <w:r w:rsidR="002219FD" w:rsidRPr="008C0D73">
        <w:rPr>
          <w:lang w:val="en-US"/>
        </w:rPr>
        <w:t>(</w:t>
      </w:r>
      <w:r w:rsidRPr="008C0D73">
        <w:rPr>
          <w:lang w:val="en-US"/>
        </w:rPr>
        <w:t>March 2014</w:t>
      </w:r>
      <w:r w:rsidR="002219FD" w:rsidRPr="008C0D73">
        <w:rPr>
          <w:lang w:val="en-US"/>
        </w:rPr>
        <w:t>)</w:t>
      </w:r>
      <w:r w:rsidRPr="008C0D73">
        <w:rPr>
          <w:lang w:val="en-US"/>
        </w:rPr>
        <w:t xml:space="preserve">, available </w:t>
      </w:r>
      <w:r w:rsidR="00041588" w:rsidRPr="008C0D73">
        <w:rPr>
          <w:lang w:val="en-US"/>
        </w:rPr>
        <w:t>from www.barhumanrights.org.uk/unfinished-war-torture-and-sexual-violence-sri-lanka-2009-2014</w:t>
      </w:r>
      <w:r w:rsidRPr="008C0D73">
        <w:rPr>
          <w:lang w:val="en-US"/>
        </w:rPr>
        <w:t>.</w:t>
      </w:r>
      <w:r w:rsidR="007B239B">
        <w:rPr>
          <w:lang w:val="en-US"/>
        </w:rPr>
        <w:t xml:space="preserve"> </w:t>
      </w:r>
    </w:p>
  </w:footnote>
  <w:footnote w:id="30">
    <w:p w:rsidR="00503739" w:rsidRPr="00253A06" w:rsidRDefault="00503739" w:rsidP="001B1B77">
      <w:pPr>
        <w:pStyle w:val="FootnoteText"/>
        <w:widowControl w:val="0"/>
        <w:tabs>
          <w:tab w:val="clear" w:pos="1021"/>
          <w:tab w:val="right" w:pos="1020"/>
        </w:tabs>
      </w:pPr>
      <w:r w:rsidRPr="008C0D73">
        <w:tab/>
      </w:r>
      <w:r w:rsidRPr="008C0D73">
        <w:rPr>
          <w:rStyle w:val="FootnoteReference"/>
        </w:rPr>
        <w:footnoteRef/>
      </w:r>
      <w:r w:rsidRPr="008C0D73">
        <w:tab/>
      </w:r>
      <w:r w:rsidRPr="008C0D73">
        <w:rPr>
          <w:lang w:val="en-US"/>
        </w:rPr>
        <w:t>Ibid., p. 31.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F5" w:rsidRPr="00116B35" w:rsidRDefault="001C4AF5">
    <w:pPr>
      <w:pStyle w:val="Header"/>
    </w:pPr>
    <w:r>
      <w:t>CAT/C/57/D/628/2014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F5" w:rsidRPr="00116B35" w:rsidRDefault="001C4AF5" w:rsidP="004876DE">
    <w:pPr>
      <w:pStyle w:val="Header"/>
      <w:jc w:val="right"/>
    </w:pPr>
    <w:r>
      <w:t>CAT/C/57/D/628/2014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B3"/>
    <w:multiLevelType w:val="hybridMultilevel"/>
    <w:tmpl w:val="E026B234"/>
    <w:lvl w:ilvl="0" w:tplc="0809000F">
      <w:start w:val="1"/>
      <w:numFmt w:val="decimal"/>
      <w:lvlText w:val="%1."/>
      <w:lvlJc w:val="left"/>
      <w:pPr>
        <w:ind w:left="720" w:hanging="360"/>
      </w:pPr>
    </w:lvl>
    <w:lvl w:ilvl="1" w:tplc="26B67568">
      <w:start w:val="1"/>
      <w:numFmt w:val="lowerRoman"/>
      <w:lvlText w:val="%2)"/>
      <w:lvlJc w:val="left"/>
      <w:pPr>
        <w:ind w:left="1800" w:hanging="72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1257A"/>
    <w:multiLevelType w:val="hybridMultilevel"/>
    <w:tmpl w:val="E5D6D59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2162616A"/>
    <w:multiLevelType w:val="hybridMultilevel"/>
    <w:tmpl w:val="BAF4DD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3856720"/>
    <w:multiLevelType w:val="hybridMultilevel"/>
    <w:tmpl w:val="14DE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873055"/>
    <w:multiLevelType w:val="multilevel"/>
    <w:tmpl w:val="952AFE6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475EE"/>
    <w:multiLevelType w:val="hybridMultilevel"/>
    <w:tmpl w:val="9F249C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BF50FF"/>
    <w:multiLevelType w:val="hybridMultilevel"/>
    <w:tmpl w:val="1396A454"/>
    <w:lvl w:ilvl="0" w:tplc="F1225446">
      <w:start w:val="1"/>
      <w:numFmt w:val="decimal"/>
      <w:lvlText w:val="%1."/>
      <w:lvlJc w:val="left"/>
      <w:pPr>
        <w:ind w:left="1110" w:hanging="360"/>
      </w:pPr>
    </w:lvl>
    <w:lvl w:ilvl="1" w:tplc="10090019">
      <w:start w:val="1"/>
      <w:numFmt w:val="lowerLetter"/>
      <w:lvlText w:val="%2."/>
      <w:lvlJc w:val="left"/>
      <w:pPr>
        <w:ind w:left="1830" w:hanging="360"/>
      </w:pPr>
    </w:lvl>
    <w:lvl w:ilvl="2" w:tplc="1009001B">
      <w:start w:val="1"/>
      <w:numFmt w:val="lowerRoman"/>
      <w:lvlText w:val="%3."/>
      <w:lvlJc w:val="right"/>
      <w:pPr>
        <w:ind w:left="2550" w:hanging="180"/>
      </w:pPr>
    </w:lvl>
    <w:lvl w:ilvl="3" w:tplc="1009000F">
      <w:start w:val="1"/>
      <w:numFmt w:val="decimal"/>
      <w:lvlText w:val="%4."/>
      <w:lvlJc w:val="left"/>
      <w:pPr>
        <w:ind w:left="3270" w:hanging="360"/>
      </w:pPr>
    </w:lvl>
    <w:lvl w:ilvl="4" w:tplc="10090019">
      <w:start w:val="1"/>
      <w:numFmt w:val="lowerLetter"/>
      <w:lvlText w:val="%5."/>
      <w:lvlJc w:val="left"/>
      <w:pPr>
        <w:ind w:left="3990" w:hanging="360"/>
      </w:pPr>
    </w:lvl>
    <w:lvl w:ilvl="5" w:tplc="1009001B">
      <w:start w:val="1"/>
      <w:numFmt w:val="lowerRoman"/>
      <w:lvlText w:val="%6."/>
      <w:lvlJc w:val="right"/>
      <w:pPr>
        <w:ind w:left="4710" w:hanging="180"/>
      </w:pPr>
    </w:lvl>
    <w:lvl w:ilvl="6" w:tplc="1009000F">
      <w:start w:val="1"/>
      <w:numFmt w:val="decimal"/>
      <w:lvlText w:val="%7."/>
      <w:lvlJc w:val="left"/>
      <w:pPr>
        <w:ind w:left="5430" w:hanging="360"/>
      </w:pPr>
    </w:lvl>
    <w:lvl w:ilvl="7" w:tplc="10090019">
      <w:start w:val="1"/>
      <w:numFmt w:val="lowerLetter"/>
      <w:lvlText w:val="%8."/>
      <w:lvlJc w:val="left"/>
      <w:pPr>
        <w:ind w:left="6150" w:hanging="360"/>
      </w:pPr>
    </w:lvl>
    <w:lvl w:ilvl="8" w:tplc="1009001B">
      <w:start w:val="1"/>
      <w:numFmt w:val="lowerRoman"/>
      <w:lvlText w:val="%9."/>
      <w:lvlJc w:val="right"/>
      <w:pPr>
        <w:ind w:left="6870" w:hanging="180"/>
      </w:pPr>
    </w:lvl>
  </w:abstractNum>
  <w:abstractNum w:abstractNumId="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80561"/>
    <w:multiLevelType w:val="hybridMultilevel"/>
    <w:tmpl w:val="7416F10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D30346"/>
    <w:multiLevelType w:val="hybridMultilevel"/>
    <w:tmpl w:val="69FEADE8"/>
    <w:lvl w:ilvl="0" w:tplc="10090001">
      <w:start w:val="1"/>
      <w:numFmt w:val="bullet"/>
      <w:lvlText w:val=""/>
      <w:lvlJc w:val="left"/>
      <w:pPr>
        <w:ind w:left="1875" w:hanging="360"/>
      </w:pPr>
      <w:rPr>
        <w:rFonts w:ascii="Symbol" w:hAnsi="Symbol" w:hint="default"/>
      </w:rPr>
    </w:lvl>
    <w:lvl w:ilvl="1" w:tplc="10090003" w:tentative="1">
      <w:start w:val="1"/>
      <w:numFmt w:val="bullet"/>
      <w:lvlText w:val="o"/>
      <w:lvlJc w:val="left"/>
      <w:pPr>
        <w:ind w:left="2595" w:hanging="360"/>
      </w:pPr>
      <w:rPr>
        <w:rFonts w:ascii="Courier New" w:hAnsi="Courier New" w:cs="Courier New" w:hint="default"/>
      </w:rPr>
    </w:lvl>
    <w:lvl w:ilvl="2" w:tplc="10090005" w:tentative="1">
      <w:start w:val="1"/>
      <w:numFmt w:val="bullet"/>
      <w:lvlText w:val=""/>
      <w:lvlJc w:val="left"/>
      <w:pPr>
        <w:ind w:left="3315" w:hanging="360"/>
      </w:pPr>
      <w:rPr>
        <w:rFonts w:ascii="Wingdings" w:hAnsi="Wingdings" w:hint="default"/>
      </w:rPr>
    </w:lvl>
    <w:lvl w:ilvl="3" w:tplc="10090001" w:tentative="1">
      <w:start w:val="1"/>
      <w:numFmt w:val="bullet"/>
      <w:lvlText w:val=""/>
      <w:lvlJc w:val="left"/>
      <w:pPr>
        <w:ind w:left="4035" w:hanging="360"/>
      </w:pPr>
      <w:rPr>
        <w:rFonts w:ascii="Symbol" w:hAnsi="Symbol" w:hint="default"/>
      </w:rPr>
    </w:lvl>
    <w:lvl w:ilvl="4" w:tplc="10090003" w:tentative="1">
      <w:start w:val="1"/>
      <w:numFmt w:val="bullet"/>
      <w:lvlText w:val="o"/>
      <w:lvlJc w:val="left"/>
      <w:pPr>
        <w:ind w:left="4755" w:hanging="360"/>
      </w:pPr>
      <w:rPr>
        <w:rFonts w:ascii="Courier New" w:hAnsi="Courier New" w:cs="Courier New" w:hint="default"/>
      </w:rPr>
    </w:lvl>
    <w:lvl w:ilvl="5" w:tplc="10090005" w:tentative="1">
      <w:start w:val="1"/>
      <w:numFmt w:val="bullet"/>
      <w:lvlText w:val=""/>
      <w:lvlJc w:val="left"/>
      <w:pPr>
        <w:ind w:left="5475" w:hanging="360"/>
      </w:pPr>
      <w:rPr>
        <w:rFonts w:ascii="Wingdings" w:hAnsi="Wingdings" w:hint="default"/>
      </w:rPr>
    </w:lvl>
    <w:lvl w:ilvl="6" w:tplc="10090001" w:tentative="1">
      <w:start w:val="1"/>
      <w:numFmt w:val="bullet"/>
      <w:lvlText w:val=""/>
      <w:lvlJc w:val="left"/>
      <w:pPr>
        <w:ind w:left="6195" w:hanging="360"/>
      </w:pPr>
      <w:rPr>
        <w:rFonts w:ascii="Symbol" w:hAnsi="Symbol" w:hint="default"/>
      </w:rPr>
    </w:lvl>
    <w:lvl w:ilvl="7" w:tplc="10090003" w:tentative="1">
      <w:start w:val="1"/>
      <w:numFmt w:val="bullet"/>
      <w:lvlText w:val="o"/>
      <w:lvlJc w:val="left"/>
      <w:pPr>
        <w:ind w:left="6915" w:hanging="360"/>
      </w:pPr>
      <w:rPr>
        <w:rFonts w:ascii="Courier New" w:hAnsi="Courier New" w:cs="Courier New" w:hint="default"/>
      </w:rPr>
    </w:lvl>
    <w:lvl w:ilvl="8" w:tplc="10090005" w:tentative="1">
      <w:start w:val="1"/>
      <w:numFmt w:val="bullet"/>
      <w:lvlText w:val=""/>
      <w:lvlJc w:val="left"/>
      <w:pPr>
        <w:ind w:left="7635"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12"/>
  </w:num>
  <w:num w:numId="6">
    <w:abstractNumId w:val="3"/>
  </w:num>
  <w:num w:numId="7">
    <w:abstractNumId w:val="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0"/>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3C23"/>
    <w:rsid w:val="00006231"/>
    <w:rsid w:val="000067C6"/>
    <w:rsid w:val="0001238B"/>
    <w:rsid w:val="00012AA2"/>
    <w:rsid w:val="00012FF8"/>
    <w:rsid w:val="00015564"/>
    <w:rsid w:val="00016A42"/>
    <w:rsid w:val="00017BF8"/>
    <w:rsid w:val="00021F09"/>
    <w:rsid w:val="00025234"/>
    <w:rsid w:val="00026ABA"/>
    <w:rsid w:val="00030EF4"/>
    <w:rsid w:val="000328DF"/>
    <w:rsid w:val="000330BE"/>
    <w:rsid w:val="00033255"/>
    <w:rsid w:val="0003755B"/>
    <w:rsid w:val="00041588"/>
    <w:rsid w:val="000440FB"/>
    <w:rsid w:val="00044A46"/>
    <w:rsid w:val="0004561D"/>
    <w:rsid w:val="00046E00"/>
    <w:rsid w:val="000506A9"/>
    <w:rsid w:val="00051479"/>
    <w:rsid w:val="00053629"/>
    <w:rsid w:val="00053B1D"/>
    <w:rsid w:val="000547E8"/>
    <w:rsid w:val="00055198"/>
    <w:rsid w:val="00057316"/>
    <w:rsid w:val="000617F0"/>
    <w:rsid w:val="00062CE8"/>
    <w:rsid w:val="00064D75"/>
    <w:rsid w:val="0006658F"/>
    <w:rsid w:val="00070DA2"/>
    <w:rsid w:val="00072973"/>
    <w:rsid w:val="00072B33"/>
    <w:rsid w:val="00073FE8"/>
    <w:rsid w:val="00074E8D"/>
    <w:rsid w:val="00076DE6"/>
    <w:rsid w:val="00081A19"/>
    <w:rsid w:val="0008234B"/>
    <w:rsid w:val="00082F02"/>
    <w:rsid w:val="0008372E"/>
    <w:rsid w:val="00086CFA"/>
    <w:rsid w:val="000870D2"/>
    <w:rsid w:val="00090A37"/>
    <w:rsid w:val="000923A7"/>
    <w:rsid w:val="00095BB2"/>
    <w:rsid w:val="0009769D"/>
    <w:rsid w:val="000A50BE"/>
    <w:rsid w:val="000A5443"/>
    <w:rsid w:val="000A6406"/>
    <w:rsid w:val="000B005C"/>
    <w:rsid w:val="000B09B3"/>
    <w:rsid w:val="000B3580"/>
    <w:rsid w:val="000B4D51"/>
    <w:rsid w:val="000B584F"/>
    <w:rsid w:val="000B7A13"/>
    <w:rsid w:val="000C10D9"/>
    <w:rsid w:val="000C123A"/>
    <w:rsid w:val="000C12E7"/>
    <w:rsid w:val="000C1F92"/>
    <w:rsid w:val="000C31E8"/>
    <w:rsid w:val="000C4C55"/>
    <w:rsid w:val="000C4EB8"/>
    <w:rsid w:val="000C56A1"/>
    <w:rsid w:val="000C6AFD"/>
    <w:rsid w:val="000C6C5C"/>
    <w:rsid w:val="000D2BE3"/>
    <w:rsid w:val="000D7749"/>
    <w:rsid w:val="000D7BBF"/>
    <w:rsid w:val="000D7C60"/>
    <w:rsid w:val="000D7F10"/>
    <w:rsid w:val="000E29BF"/>
    <w:rsid w:val="000E2BC4"/>
    <w:rsid w:val="000E3E83"/>
    <w:rsid w:val="000E6472"/>
    <w:rsid w:val="000F1A06"/>
    <w:rsid w:val="000F50D2"/>
    <w:rsid w:val="000F730F"/>
    <w:rsid w:val="000F7666"/>
    <w:rsid w:val="001010DC"/>
    <w:rsid w:val="0010178F"/>
    <w:rsid w:val="00103BA5"/>
    <w:rsid w:val="00104BB4"/>
    <w:rsid w:val="00105CDB"/>
    <w:rsid w:val="001064AA"/>
    <w:rsid w:val="00106D73"/>
    <w:rsid w:val="001078B7"/>
    <w:rsid w:val="001079A2"/>
    <w:rsid w:val="00110701"/>
    <w:rsid w:val="00111A3E"/>
    <w:rsid w:val="00117924"/>
    <w:rsid w:val="00120A8D"/>
    <w:rsid w:val="00121896"/>
    <w:rsid w:val="00122DD6"/>
    <w:rsid w:val="0012341C"/>
    <w:rsid w:val="00124A98"/>
    <w:rsid w:val="00125EF0"/>
    <w:rsid w:val="00126BF5"/>
    <w:rsid w:val="00127405"/>
    <w:rsid w:val="0013226D"/>
    <w:rsid w:val="00133372"/>
    <w:rsid w:val="0013557C"/>
    <w:rsid w:val="0013619D"/>
    <w:rsid w:val="00136BCA"/>
    <w:rsid w:val="00140051"/>
    <w:rsid w:val="001420BA"/>
    <w:rsid w:val="00146905"/>
    <w:rsid w:val="00146CF9"/>
    <w:rsid w:val="00151854"/>
    <w:rsid w:val="00152CDE"/>
    <w:rsid w:val="00153D74"/>
    <w:rsid w:val="001549D6"/>
    <w:rsid w:val="00155992"/>
    <w:rsid w:val="00155C13"/>
    <w:rsid w:val="00161F02"/>
    <w:rsid w:val="00163614"/>
    <w:rsid w:val="001646AA"/>
    <w:rsid w:val="00164E86"/>
    <w:rsid w:val="00165AB6"/>
    <w:rsid w:val="0016602D"/>
    <w:rsid w:val="00167C2A"/>
    <w:rsid w:val="001704A9"/>
    <w:rsid w:val="00170CBA"/>
    <w:rsid w:val="00175B8A"/>
    <w:rsid w:val="00182368"/>
    <w:rsid w:val="00182694"/>
    <w:rsid w:val="001846DE"/>
    <w:rsid w:val="00184731"/>
    <w:rsid w:val="00185070"/>
    <w:rsid w:val="00187FEB"/>
    <w:rsid w:val="00190800"/>
    <w:rsid w:val="00190BD3"/>
    <w:rsid w:val="001919B7"/>
    <w:rsid w:val="0019563D"/>
    <w:rsid w:val="001961BD"/>
    <w:rsid w:val="001971CA"/>
    <w:rsid w:val="001A015A"/>
    <w:rsid w:val="001A0DD8"/>
    <w:rsid w:val="001A121D"/>
    <w:rsid w:val="001B1B77"/>
    <w:rsid w:val="001B1D2E"/>
    <w:rsid w:val="001B389D"/>
    <w:rsid w:val="001B5613"/>
    <w:rsid w:val="001B6413"/>
    <w:rsid w:val="001C2411"/>
    <w:rsid w:val="001C2BA0"/>
    <w:rsid w:val="001C31D7"/>
    <w:rsid w:val="001C4AF5"/>
    <w:rsid w:val="001C4BB5"/>
    <w:rsid w:val="001C5704"/>
    <w:rsid w:val="001C6D1C"/>
    <w:rsid w:val="001C6E6F"/>
    <w:rsid w:val="001D13EE"/>
    <w:rsid w:val="001D1B1C"/>
    <w:rsid w:val="001E0B21"/>
    <w:rsid w:val="001E27D3"/>
    <w:rsid w:val="001E2959"/>
    <w:rsid w:val="001E5567"/>
    <w:rsid w:val="001E6075"/>
    <w:rsid w:val="001E6C7A"/>
    <w:rsid w:val="001E6F98"/>
    <w:rsid w:val="001E704D"/>
    <w:rsid w:val="001F1302"/>
    <w:rsid w:val="001F15B9"/>
    <w:rsid w:val="001F1B7A"/>
    <w:rsid w:val="001F787E"/>
    <w:rsid w:val="002010BA"/>
    <w:rsid w:val="00204D5C"/>
    <w:rsid w:val="00205CC5"/>
    <w:rsid w:val="0020639B"/>
    <w:rsid w:val="00206A95"/>
    <w:rsid w:val="0021273F"/>
    <w:rsid w:val="00213F80"/>
    <w:rsid w:val="0021520A"/>
    <w:rsid w:val="00215F64"/>
    <w:rsid w:val="002219FD"/>
    <w:rsid w:val="002232A3"/>
    <w:rsid w:val="0022460A"/>
    <w:rsid w:val="002254F4"/>
    <w:rsid w:val="002271F4"/>
    <w:rsid w:val="00227332"/>
    <w:rsid w:val="00227B87"/>
    <w:rsid w:val="00231742"/>
    <w:rsid w:val="00231744"/>
    <w:rsid w:val="002330BD"/>
    <w:rsid w:val="002333F7"/>
    <w:rsid w:val="002349A7"/>
    <w:rsid w:val="002369D4"/>
    <w:rsid w:val="00240781"/>
    <w:rsid w:val="00241BD0"/>
    <w:rsid w:val="00242017"/>
    <w:rsid w:val="00243943"/>
    <w:rsid w:val="002456E4"/>
    <w:rsid w:val="0024594B"/>
    <w:rsid w:val="00245EA8"/>
    <w:rsid w:val="00247EC6"/>
    <w:rsid w:val="00250998"/>
    <w:rsid w:val="00250ED8"/>
    <w:rsid w:val="002522CC"/>
    <w:rsid w:val="00252C9C"/>
    <w:rsid w:val="00253A06"/>
    <w:rsid w:val="002544FE"/>
    <w:rsid w:val="002557E4"/>
    <w:rsid w:val="00262F26"/>
    <w:rsid w:val="00266256"/>
    <w:rsid w:val="002664BE"/>
    <w:rsid w:val="00271C26"/>
    <w:rsid w:val="00273DB0"/>
    <w:rsid w:val="00281330"/>
    <w:rsid w:val="002818C3"/>
    <w:rsid w:val="002827C5"/>
    <w:rsid w:val="00282A6A"/>
    <w:rsid w:val="00282DB9"/>
    <w:rsid w:val="0028326A"/>
    <w:rsid w:val="00283889"/>
    <w:rsid w:val="002848E1"/>
    <w:rsid w:val="00290530"/>
    <w:rsid w:val="0029217E"/>
    <w:rsid w:val="00293752"/>
    <w:rsid w:val="00293DD3"/>
    <w:rsid w:val="002959BA"/>
    <w:rsid w:val="00296342"/>
    <w:rsid w:val="00296B2E"/>
    <w:rsid w:val="00297787"/>
    <w:rsid w:val="002A1560"/>
    <w:rsid w:val="002A3474"/>
    <w:rsid w:val="002A3823"/>
    <w:rsid w:val="002A715A"/>
    <w:rsid w:val="002A7175"/>
    <w:rsid w:val="002A7B5A"/>
    <w:rsid w:val="002B12B0"/>
    <w:rsid w:val="002B1CDC"/>
    <w:rsid w:val="002B2F38"/>
    <w:rsid w:val="002B359C"/>
    <w:rsid w:val="002B4667"/>
    <w:rsid w:val="002B533E"/>
    <w:rsid w:val="002B5476"/>
    <w:rsid w:val="002B72C8"/>
    <w:rsid w:val="002C0A4E"/>
    <w:rsid w:val="002C0A5A"/>
    <w:rsid w:val="002C0F75"/>
    <w:rsid w:val="002C1D2C"/>
    <w:rsid w:val="002C2092"/>
    <w:rsid w:val="002C6477"/>
    <w:rsid w:val="002C6C0C"/>
    <w:rsid w:val="002C72B9"/>
    <w:rsid w:val="002C7466"/>
    <w:rsid w:val="002D0F08"/>
    <w:rsid w:val="002D3F3F"/>
    <w:rsid w:val="002D4E1B"/>
    <w:rsid w:val="002D601F"/>
    <w:rsid w:val="002D64CF"/>
    <w:rsid w:val="002D65E8"/>
    <w:rsid w:val="002D6671"/>
    <w:rsid w:val="002D7B91"/>
    <w:rsid w:val="002E14B1"/>
    <w:rsid w:val="002E3A06"/>
    <w:rsid w:val="002E4502"/>
    <w:rsid w:val="002E7045"/>
    <w:rsid w:val="002E77F6"/>
    <w:rsid w:val="002E79DE"/>
    <w:rsid w:val="002F2D68"/>
    <w:rsid w:val="002F3151"/>
    <w:rsid w:val="002F735B"/>
    <w:rsid w:val="002F7F67"/>
    <w:rsid w:val="00302956"/>
    <w:rsid w:val="00305B61"/>
    <w:rsid w:val="00306456"/>
    <w:rsid w:val="003075D0"/>
    <w:rsid w:val="00312662"/>
    <w:rsid w:val="00312BDD"/>
    <w:rsid w:val="00312C64"/>
    <w:rsid w:val="00313D73"/>
    <w:rsid w:val="00314FE7"/>
    <w:rsid w:val="003152D3"/>
    <w:rsid w:val="00316A63"/>
    <w:rsid w:val="00316ADD"/>
    <w:rsid w:val="003177C0"/>
    <w:rsid w:val="00317B2C"/>
    <w:rsid w:val="00321426"/>
    <w:rsid w:val="0032403D"/>
    <w:rsid w:val="00326922"/>
    <w:rsid w:val="00326FF3"/>
    <w:rsid w:val="003273AE"/>
    <w:rsid w:val="00332523"/>
    <w:rsid w:val="003334F9"/>
    <w:rsid w:val="00333A8B"/>
    <w:rsid w:val="00334199"/>
    <w:rsid w:val="0033529C"/>
    <w:rsid w:val="00337D1B"/>
    <w:rsid w:val="00337E80"/>
    <w:rsid w:val="00340937"/>
    <w:rsid w:val="003426C5"/>
    <w:rsid w:val="00343657"/>
    <w:rsid w:val="0034760C"/>
    <w:rsid w:val="00350A09"/>
    <w:rsid w:val="00350D40"/>
    <w:rsid w:val="00350F9C"/>
    <w:rsid w:val="003527BE"/>
    <w:rsid w:val="00353130"/>
    <w:rsid w:val="00355858"/>
    <w:rsid w:val="00355AC1"/>
    <w:rsid w:val="00356045"/>
    <w:rsid w:val="003627B6"/>
    <w:rsid w:val="00363C48"/>
    <w:rsid w:val="00363D1A"/>
    <w:rsid w:val="00366DA8"/>
    <w:rsid w:val="00372E7C"/>
    <w:rsid w:val="00373E3B"/>
    <w:rsid w:val="003743F9"/>
    <w:rsid w:val="00374433"/>
    <w:rsid w:val="00374999"/>
    <w:rsid w:val="00375469"/>
    <w:rsid w:val="00376DB5"/>
    <w:rsid w:val="00380BB4"/>
    <w:rsid w:val="00380BE5"/>
    <w:rsid w:val="00380F33"/>
    <w:rsid w:val="003815DD"/>
    <w:rsid w:val="00381DFA"/>
    <w:rsid w:val="003831E5"/>
    <w:rsid w:val="00384102"/>
    <w:rsid w:val="00384C87"/>
    <w:rsid w:val="00387764"/>
    <w:rsid w:val="0039171B"/>
    <w:rsid w:val="00392845"/>
    <w:rsid w:val="00392C24"/>
    <w:rsid w:val="00396B0C"/>
    <w:rsid w:val="0039729C"/>
    <w:rsid w:val="003A2191"/>
    <w:rsid w:val="003A2DF0"/>
    <w:rsid w:val="003A424D"/>
    <w:rsid w:val="003A7217"/>
    <w:rsid w:val="003A7609"/>
    <w:rsid w:val="003A7E96"/>
    <w:rsid w:val="003B01C7"/>
    <w:rsid w:val="003B062F"/>
    <w:rsid w:val="003B6C1A"/>
    <w:rsid w:val="003C030A"/>
    <w:rsid w:val="003C4ADA"/>
    <w:rsid w:val="003C558D"/>
    <w:rsid w:val="003C6AED"/>
    <w:rsid w:val="003C6E23"/>
    <w:rsid w:val="003C7F1D"/>
    <w:rsid w:val="003D3089"/>
    <w:rsid w:val="003D5642"/>
    <w:rsid w:val="003D59E6"/>
    <w:rsid w:val="003D5A7E"/>
    <w:rsid w:val="003D6133"/>
    <w:rsid w:val="003D6638"/>
    <w:rsid w:val="003D6AC5"/>
    <w:rsid w:val="003E1B79"/>
    <w:rsid w:val="003E2486"/>
    <w:rsid w:val="003E4373"/>
    <w:rsid w:val="003E4E10"/>
    <w:rsid w:val="003E50D7"/>
    <w:rsid w:val="003E6E47"/>
    <w:rsid w:val="003F2069"/>
    <w:rsid w:val="003F59B7"/>
    <w:rsid w:val="003F753E"/>
    <w:rsid w:val="003F7EF6"/>
    <w:rsid w:val="00400B3B"/>
    <w:rsid w:val="0040270C"/>
    <w:rsid w:val="00404F3A"/>
    <w:rsid w:val="00405504"/>
    <w:rsid w:val="004065DF"/>
    <w:rsid w:val="00410324"/>
    <w:rsid w:val="00413DB0"/>
    <w:rsid w:val="00415145"/>
    <w:rsid w:val="004157D8"/>
    <w:rsid w:val="00415F11"/>
    <w:rsid w:val="00420853"/>
    <w:rsid w:val="00422A68"/>
    <w:rsid w:val="00427AFE"/>
    <w:rsid w:val="00430EF2"/>
    <w:rsid w:val="004310B2"/>
    <w:rsid w:val="00431968"/>
    <w:rsid w:val="0043272D"/>
    <w:rsid w:val="00432D27"/>
    <w:rsid w:val="00433952"/>
    <w:rsid w:val="00435847"/>
    <w:rsid w:val="00435A57"/>
    <w:rsid w:val="00436424"/>
    <w:rsid w:val="00437DFC"/>
    <w:rsid w:val="0044350E"/>
    <w:rsid w:val="0044425E"/>
    <w:rsid w:val="00444EA3"/>
    <w:rsid w:val="00445118"/>
    <w:rsid w:val="0044561F"/>
    <w:rsid w:val="00450607"/>
    <w:rsid w:val="004513D6"/>
    <w:rsid w:val="0045185A"/>
    <w:rsid w:val="004528E2"/>
    <w:rsid w:val="00455AE8"/>
    <w:rsid w:val="00456088"/>
    <w:rsid w:val="0045646B"/>
    <w:rsid w:val="00456658"/>
    <w:rsid w:val="00456AF1"/>
    <w:rsid w:val="00456C15"/>
    <w:rsid w:val="004571F6"/>
    <w:rsid w:val="004621C6"/>
    <w:rsid w:val="00462621"/>
    <w:rsid w:val="00463341"/>
    <w:rsid w:val="004667B2"/>
    <w:rsid w:val="00467811"/>
    <w:rsid w:val="004708EA"/>
    <w:rsid w:val="00474513"/>
    <w:rsid w:val="0047491A"/>
    <w:rsid w:val="00476218"/>
    <w:rsid w:val="00481704"/>
    <w:rsid w:val="004825F6"/>
    <w:rsid w:val="00483E02"/>
    <w:rsid w:val="00485C73"/>
    <w:rsid w:val="004876DE"/>
    <w:rsid w:val="004879C9"/>
    <w:rsid w:val="00490652"/>
    <w:rsid w:val="00491416"/>
    <w:rsid w:val="004916D8"/>
    <w:rsid w:val="00491D4F"/>
    <w:rsid w:val="004928EE"/>
    <w:rsid w:val="00492E1B"/>
    <w:rsid w:val="0049357A"/>
    <w:rsid w:val="004938A2"/>
    <w:rsid w:val="00494147"/>
    <w:rsid w:val="0049663F"/>
    <w:rsid w:val="00497A78"/>
    <w:rsid w:val="004A068B"/>
    <w:rsid w:val="004A1963"/>
    <w:rsid w:val="004A1BB0"/>
    <w:rsid w:val="004A3668"/>
    <w:rsid w:val="004A5B0D"/>
    <w:rsid w:val="004A6004"/>
    <w:rsid w:val="004A777C"/>
    <w:rsid w:val="004B0FA2"/>
    <w:rsid w:val="004B5354"/>
    <w:rsid w:val="004B57A2"/>
    <w:rsid w:val="004B6094"/>
    <w:rsid w:val="004C07A2"/>
    <w:rsid w:val="004C4CEA"/>
    <w:rsid w:val="004C56AF"/>
    <w:rsid w:val="004C68A5"/>
    <w:rsid w:val="004C7FEB"/>
    <w:rsid w:val="004D04C2"/>
    <w:rsid w:val="004D0991"/>
    <w:rsid w:val="004D0E3B"/>
    <w:rsid w:val="004D2430"/>
    <w:rsid w:val="004D41AF"/>
    <w:rsid w:val="004D5705"/>
    <w:rsid w:val="004E0886"/>
    <w:rsid w:val="004E2C2F"/>
    <w:rsid w:val="004E38B8"/>
    <w:rsid w:val="004E3BE1"/>
    <w:rsid w:val="004E405C"/>
    <w:rsid w:val="004E5A05"/>
    <w:rsid w:val="004E6DC5"/>
    <w:rsid w:val="004F087D"/>
    <w:rsid w:val="004F0B91"/>
    <w:rsid w:val="004F33B9"/>
    <w:rsid w:val="004F3673"/>
    <w:rsid w:val="004F499F"/>
    <w:rsid w:val="004F4E9D"/>
    <w:rsid w:val="00501F7C"/>
    <w:rsid w:val="0050337B"/>
    <w:rsid w:val="00503739"/>
    <w:rsid w:val="00503F29"/>
    <w:rsid w:val="00505616"/>
    <w:rsid w:val="00505794"/>
    <w:rsid w:val="0051033F"/>
    <w:rsid w:val="005105CC"/>
    <w:rsid w:val="00510C47"/>
    <w:rsid w:val="0051168E"/>
    <w:rsid w:val="005118CE"/>
    <w:rsid w:val="0051693A"/>
    <w:rsid w:val="0052006C"/>
    <w:rsid w:val="00520C1B"/>
    <w:rsid w:val="00522200"/>
    <w:rsid w:val="005222ED"/>
    <w:rsid w:val="00524E94"/>
    <w:rsid w:val="00525AF9"/>
    <w:rsid w:val="00527D1E"/>
    <w:rsid w:val="00532835"/>
    <w:rsid w:val="00532A35"/>
    <w:rsid w:val="00532A4D"/>
    <w:rsid w:val="005344BC"/>
    <w:rsid w:val="0053509A"/>
    <w:rsid w:val="00535C68"/>
    <w:rsid w:val="005379F7"/>
    <w:rsid w:val="005403CA"/>
    <w:rsid w:val="00541A15"/>
    <w:rsid w:val="005425D0"/>
    <w:rsid w:val="00542FC6"/>
    <w:rsid w:val="0054325E"/>
    <w:rsid w:val="00543722"/>
    <w:rsid w:val="00544E30"/>
    <w:rsid w:val="00545729"/>
    <w:rsid w:val="00545D17"/>
    <w:rsid w:val="00545FF4"/>
    <w:rsid w:val="00547DDE"/>
    <w:rsid w:val="0055175E"/>
    <w:rsid w:val="005525B5"/>
    <w:rsid w:val="0055307A"/>
    <w:rsid w:val="0055412A"/>
    <w:rsid w:val="00554527"/>
    <w:rsid w:val="005571B4"/>
    <w:rsid w:val="005573E8"/>
    <w:rsid w:val="00557BEE"/>
    <w:rsid w:val="00561EC0"/>
    <w:rsid w:val="00562882"/>
    <w:rsid w:val="005671D7"/>
    <w:rsid w:val="005676C0"/>
    <w:rsid w:val="00567985"/>
    <w:rsid w:val="0057318D"/>
    <w:rsid w:val="005742BB"/>
    <w:rsid w:val="00576177"/>
    <w:rsid w:val="00577BF3"/>
    <w:rsid w:val="00582D72"/>
    <w:rsid w:val="00583DAE"/>
    <w:rsid w:val="005846C6"/>
    <w:rsid w:val="00587B71"/>
    <w:rsid w:val="005902B4"/>
    <w:rsid w:val="00590513"/>
    <w:rsid w:val="00590F08"/>
    <w:rsid w:val="00593080"/>
    <w:rsid w:val="0059686E"/>
    <w:rsid w:val="005A3C66"/>
    <w:rsid w:val="005A41F3"/>
    <w:rsid w:val="005A6300"/>
    <w:rsid w:val="005A6783"/>
    <w:rsid w:val="005A69A1"/>
    <w:rsid w:val="005A6E87"/>
    <w:rsid w:val="005B2DCE"/>
    <w:rsid w:val="005B406B"/>
    <w:rsid w:val="005B415D"/>
    <w:rsid w:val="005B465C"/>
    <w:rsid w:val="005B49CF"/>
    <w:rsid w:val="005C02F0"/>
    <w:rsid w:val="005C2172"/>
    <w:rsid w:val="005C2197"/>
    <w:rsid w:val="005C430B"/>
    <w:rsid w:val="005C4A4F"/>
    <w:rsid w:val="005D1302"/>
    <w:rsid w:val="005D2315"/>
    <w:rsid w:val="005D24D1"/>
    <w:rsid w:val="005D24F0"/>
    <w:rsid w:val="005D2F38"/>
    <w:rsid w:val="005D3322"/>
    <w:rsid w:val="005D4E5F"/>
    <w:rsid w:val="005D5A2D"/>
    <w:rsid w:val="005D6813"/>
    <w:rsid w:val="005D7168"/>
    <w:rsid w:val="005E0F23"/>
    <w:rsid w:val="005E1D62"/>
    <w:rsid w:val="005E2984"/>
    <w:rsid w:val="005E2FB1"/>
    <w:rsid w:val="005E763E"/>
    <w:rsid w:val="005F3C2B"/>
    <w:rsid w:val="005F4004"/>
    <w:rsid w:val="005F62E9"/>
    <w:rsid w:val="00601144"/>
    <w:rsid w:val="00603589"/>
    <w:rsid w:val="00606111"/>
    <w:rsid w:val="006067CC"/>
    <w:rsid w:val="00607636"/>
    <w:rsid w:val="00611C2C"/>
    <w:rsid w:val="00613FD4"/>
    <w:rsid w:val="00616084"/>
    <w:rsid w:val="00620CE5"/>
    <w:rsid w:val="00621A61"/>
    <w:rsid w:val="006230ED"/>
    <w:rsid w:val="0062360B"/>
    <w:rsid w:val="0062479A"/>
    <w:rsid w:val="00624F19"/>
    <w:rsid w:val="00625000"/>
    <w:rsid w:val="006252FC"/>
    <w:rsid w:val="006265A2"/>
    <w:rsid w:val="00627C22"/>
    <w:rsid w:val="00632740"/>
    <w:rsid w:val="006328BE"/>
    <w:rsid w:val="00632C74"/>
    <w:rsid w:val="00633889"/>
    <w:rsid w:val="006363B6"/>
    <w:rsid w:val="006367F5"/>
    <w:rsid w:val="0063683E"/>
    <w:rsid w:val="00636EFC"/>
    <w:rsid w:val="00637B34"/>
    <w:rsid w:val="006402F6"/>
    <w:rsid w:val="0064086C"/>
    <w:rsid w:val="00640B72"/>
    <w:rsid w:val="00642CDD"/>
    <w:rsid w:val="006447F0"/>
    <w:rsid w:val="00650074"/>
    <w:rsid w:val="00650437"/>
    <w:rsid w:val="00650C5C"/>
    <w:rsid w:val="00650FF2"/>
    <w:rsid w:val="00652361"/>
    <w:rsid w:val="006525E0"/>
    <w:rsid w:val="006536F6"/>
    <w:rsid w:val="0065411B"/>
    <w:rsid w:val="00655015"/>
    <w:rsid w:val="0065504D"/>
    <w:rsid w:val="006560C9"/>
    <w:rsid w:val="00660538"/>
    <w:rsid w:val="0066206D"/>
    <w:rsid w:val="00664A01"/>
    <w:rsid w:val="006732F7"/>
    <w:rsid w:val="00675694"/>
    <w:rsid w:val="0068085A"/>
    <w:rsid w:val="00691489"/>
    <w:rsid w:val="00692E6E"/>
    <w:rsid w:val="00695377"/>
    <w:rsid w:val="006966D5"/>
    <w:rsid w:val="00696F93"/>
    <w:rsid w:val="006A13B3"/>
    <w:rsid w:val="006A4C6F"/>
    <w:rsid w:val="006A4ED2"/>
    <w:rsid w:val="006A5234"/>
    <w:rsid w:val="006A542D"/>
    <w:rsid w:val="006A5765"/>
    <w:rsid w:val="006A6A65"/>
    <w:rsid w:val="006A7730"/>
    <w:rsid w:val="006B05E1"/>
    <w:rsid w:val="006B087A"/>
    <w:rsid w:val="006B0FB8"/>
    <w:rsid w:val="006B1700"/>
    <w:rsid w:val="006B1BB1"/>
    <w:rsid w:val="006B2AA2"/>
    <w:rsid w:val="006B2C3B"/>
    <w:rsid w:val="006B303D"/>
    <w:rsid w:val="006B4FA1"/>
    <w:rsid w:val="006B52DA"/>
    <w:rsid w:val="006B7173"/>
    <w:rsid w:val="006B72CF"/>
    <w:rsid w:val="006B78D4"/>
    <w:rsid w:val="006C2FF9"/>
    <w:rsid w:val="006C34B4"/>
    <w:rsid w:val="006C4F53"/>
    <w:rsid w:val="006C7D6A"/>
    <w:rsid w:val="006D01B6"/>
    <w:rsid w:val="006D165A"/>
    <w:rsid w:val="006D329F"/>
    <w:rsid w:val="006D4286"/>
    <w:rsid w:val="006D4AF6"/>
    <w:rsid w:val="006D4E3C"/>
    <w:rsid w:val="006D5C50"/>
    <w:rsid w:val="006D6861"/>
    <w:rsid w:val="006D6E98"/>
    <w:rsid w:val="006D7B4F"/>
    <w:rsid w:val="006E359E"/>
    <w:rsid w:val="006E3839"/>
    <w:rsid w:val="006F15FE"/>
    <w:rsid w:val="006F230E"/>
    <w:rsid w:val="006F3C4A"/>
    <w:rsid w:val="006F45D4"/>
    <w:rsid w:val="006F5ABD"/>
    <w:rsid w:val="006F7FCE"/>
    <w:rsid w:val="00700F0F"/>
    <w:rsid w:val="007010A5"/>
    <w:rsid w:val="007024DC"/>
    <w:rsid w:val="007029D1"/>
    <w:rsid w:val="00702DED"/>
    <w:rsid w:val="00703393"/>
    <w:rsid w:val="00705F10"/>
    <w:rsid w:val="00706B96"/>
    <w:rsid w:val="00706EE7"/>
    <w:rsid w:val="0070733D"/>
    <w:rsid w:val="00707A71"/>
    <w:rsid w:val="00710B1D"/>
    <w:rsid w:val="00712926"/>
    <w:rsid w:val="00714C14"/>
    <w:rsid w:val="007150D6"/>
    <w:rsid w:val="00715132"/>
    <w:rsid w:val="007153C6"/>
    <w:rsid w:val="00715944"/>
    <w:rsid w:val="00717108"/>
    <w:rsid w:val="0071718B"/>
    <w:rsid w:val="0072061C"/>
    <w:rsid w:val="00720F47"/>
    <w:rsid w:val="0072116E"/>
    <w:rsid w:val="007222CC"/>
    <w:rsid w:val="00722F5E"/>
    <w:rsid w:val="007265AF"/>
    <w:rsid w:val="00731DF6"/>
    <w:rsid w:val="00731FE8"/>
    <w:rsid w:val="0073290D"/>
    <w:rsid w:val="00732ACF"/>
    <w:rsid w:val="00733B34"/>
    <w:rsid w:val="00733E69"/>
    <w:rsid w:val="0073753C"/>
    <w:rsid w:val="00737E88"/>
    <w:rsid w:val="0074075D"/>
    <w:rsid w:val="0074182E"/>
    <w:rsid w:val="00741FEE"/>
    <w:rsid w:val="00745FEE"/>
    <w:rsid w:val="00746890"/>
    <w:rsid w:val="00750392"/>
    <w:rsid w:val="007508BE"/>
    <w:rsid w:val="00750ABA"/>
    <w:rsid w:val="00753C18"/>
    <w:rsid w:val="00754A6A"/>
    <w:rsid w:val="00755D70"/>
    <w:rsid w:val="007565B6"/>
    <w:rsid w:val="00761067"/>
    <w:rsid w:val="00762424"/>
    <w:rsid w:val="007662FC"/>
    <w:rsid w:val="00770227"/>
    <w:rsid w:val="00771A57"/>
    <w:rsid w:val="00771F56"/>
    <w:rsid w:val="007749C6"/>
    <w:rsid w:val="00774B9A"/>
    <w:rsid w:val="00774FD2"/>
    <w:rsid w:val="00780050"/>
    <w:rsid w:val="007809F5"/>
    <w:rsid w:val="00782E70"/>
    <w:rsid w:val="00784EBC"/>
    <w:rsid w:val="007863A8"/>
    <w:rsid w:val="007873A0"/>
    <w:rsid w:val="00787D8C"/>
    <w:rsid w:val="0079361D"/>
    <w:rsid w:val="0079493B"/>
    <w:rsid w:val="00794BA6"/>
    <w:rsid w:val="00795053"/>
    <w:rsid w:val="00795B0C"/>
    <w:rsid w:val="0079607F"/>
    <w:rsid w:val="00797444"/>
    <w:rsid w:val="007A1AA3"/>
    <w:rsid w:val="007A1B5B"/>
    <w:rsid w:val="007A2195"/>
    <w:rsid w:val="007A2E98"/>
    <w:rsid w:val="007A3AAD"/>
    <w:rsid w:val="007A4D05"/>
    <w:rsid w:val="007A5D50"/>
    <w:rsid w:val="007A681F"/>
    <w:rsid w:val="007A6A26"/>
    <w:rsid w:val="007A6FB3"/>
    <w:rsid w:val="007B0756"/>
    <w:rsid w:val="007B0E41"/>
    <w:rsid w:val="007B13A9"/>
    <w:rsid w:val="007B239B"/>
    <w:rsid w:val="007B2EAA"/>
    <w:rsid w:val="007B3317"/>
    <w:rsid w:val="007B5093"/>
    <w:rsid w:val="007C0B23"/>
    <w:rsid w:val="007C2CE7"/>
    <w:rsid w:val="007C333F"/>
    <w:rsid w:val="007C4A8D"/>
    <w:rsid w:val="007C614C"/>
    <w:rsid w:val="007C68A5"/>
    <w:rsid w:val="007C6E22"/>
    <w:rsid w:val="007C736A"/>
    <w:rsid w:val="007D0633"/>
    <w:rsid w:val="007D1788"/>
    <w:rsid w:val="007D4392"/>
    <w:rsid w:val="007E14C8"/>
    <w:rsid w:val="007E3006"/>
    <w:rsid w:val="007E3893"/>
    <w:rsid w:val="007E3E44"/>
    <w:rsid w:val="007E7383"/>
    <w:rsid w:val="007E74A5"/>
    <w:rsid w:val="007F065D"/>
    <w:rsid w:val="007F09C5"/>
    <w:rsid w:val="007F30FE"/>
    <w:rsid w:val="007F31B0"/>
    <w:rsid w:val="007F3F53"/>
    <w:rsid w:val="007F4178"/>
    <w:rsid w:val="007F4425"/>
    <w:rsid w:val="00800F23"/>
    <w:rsid w:val="008011C1"/>
    <w:rsid w:val="0080487E"/>
    <w:rsid w:val="00804944"/>
    <w:rsid w:val="00806543"/>
    <w:rsid w:val="00806908"/>
    <w:rsid w:val="00810F67"/>
    <w:rsid w:val="00813370"/>
    <w:rsid w:val="0081361D"/>
    <w:rsid w:val="008156CE"/>
    <w:rsid w:val="00816917"/>
    <w:rsid w:val="00817490"/>
    <w:rsid w:val="0082352A"/>
    <w:rsid w:val="00826A96"/>
    <w:rsid w:val="00826C7D"/>
    <w:rsid w:val="00826CDC"/>
    <w:rsid w:val="00827D3C"/>
    <w:rsid w:val="00832361"/>
    <w:rsid w:val="00834280"/>
    <w:rsid w:val="008346B6"/>
    <w:rsid w:val="00835531"/>
    <w:rsid w:val="00835B64"/>
    <w:rsid w:val="008375F9"/>
    <w:rsid w:val="00837F2C"/>
    <w:rsid w:val="00840352"/>
    <w:rsid w:val="00843211"/>
    <w:rsid w:val="008448A7"/>
    <w:rsid w:val="00844CC6"/>
    <w:rsid w:val="00845BB6"/>
    <w:rsid w:val="00847D43"/>
    <w:rsid w:val="0085195F"/>
    <w:rsid w:val="008535D3"/>
    <w:rsid w:val="00853BFA"/>
    <w:rsid w:val="00854D18"/>
    <w:rsid w:val="00855CA2"/>
    <w:rsid w:val="00856931"/>
    <w:rsid w:val="00857CBB"/>
    <w:rsid w:val="00857FEB"/>
    <w:rsid w:val="008607FB"/>
    <w:rsid w:val="008705CC"/>
    <w:rsid w:val="00872847"/>
    <w:rsid w:val="00872C0E"/>
    <w:rsid w:val="008733C4"/>
    <w:rsid w:val="00873F97"/>
    <w:rsid w:val="00875209"/>
    <w:rsid w:val="008821CE"/>
    <w:rsid w:val="0088231B"/>
    <w:rsid w:val="00884892"/>
    <w:rsid w:val="00884F29"/>
    <w:rsid w:val="00890D9A"/>
    <w:rsid w:val="00891A91"/>
    <w:rsid w:val="00892CC4"/>
    <w:rsid w:val="008936AF"/>
    <w:rsid w:val="00893ED8"/>
    <w:rsid w:val="008941FF"/>
    <w:rsid w:val="008A12BD"/>
    <w:rsid w:val="008A292F"/>
    <w:rsid w:val="008A3412"/>
    <w:rsid w:val="008A506F"/>
    <w:rsid w:val="008A5CBA"/>
    <w:rsid w:val="008A6477"/>
    <w:rsid w:val="008A65CE"/>
    <w:rsid w:val="008A6CE7"/>
    <w:rsid w:val="008A71BB"/>
    <w:rsid w:val="008A7F7E"/>
    <w:rsid w:val="008B0D58"/>
    <w:rsid w:val="008B0FA1"/>
    <w:rsid w:val="008B19B3"/>
    <w:rsid w:val="008B2925"/>
    <w:rsid w:val="008B51FF"/>
    <w:rsid w:val="008B638A"/>
    <w:rsid w:val="008B7220"/>
    <w:rsid w:val="008B75A9"/>
    <w:rsid w:val="008B7988"/>
    <w:rsid w:val="008C0386"/>
    <w:rsid w:val="008C0D73"/>
    <w:rsid w:val="008C1349"/>
    <w:rsid w:val="008C14E9"/>
    <w:rsid w:val="008C18DE"/>
    <w:rsid w:val="008C3629"/>
    <w:rsid w:val="008C44E8"/>
    <w:rsid w:val="008C4528"/>
    <w:rsid w:val="008C4A2D"/>
    <w:rsid w:val="008C4D14"/>
    <w:rsid w:val="008C5EDB"/>
    <w:rsid w:val="008C6F76"/>
    <w:rsid w:val="008C709F"/>
    <w:rsid w:val="008D1FEA"/>
    <w:rsid w:val="008D273C"/>
    <w:rsid w:val="008D3DC2"/>
    <w:rsid w:val="008D62FD"/>
    <w:rsid w:val="008D65E0"/>
    <w:rsid w:val="008E0916"/>
    <w:rsid w:val="008E226E"/>
    <w:rsid w:val="008E24FD"/>
    <w:rsid w:val="008E312D"/>
    <w:rsid w:val="008E5F0F"/>
    <w:rsid w:val="008E7BA2"/>
    <w:rsid w:val="008F227D"/>
    <w:rsid w:val="008F452A"/>
    <w:rsid w:val="008F4A6D"/>
    <w:rsid w:val="008F7BD0"/>
    <w:rsid w:val="00900E6D"/>
    <w:rsid w:val="00901599"/>
    <w:rsid w:val="00901C11"/>
    <w:rsid w:val="00902E20"/>
    <w:rsid w:val="00903132"/>
    <w:rsid w:val="00903466"/>
    <w:rsid w:val="009043A6"/>
    <w:rsid w:val="00904885"/>
    <w:rsid w:val="00905610"/>
    <w:rsid w:val="00905F83"/>
    <w:rsid w:val="009126BD"/>
    <w:rsid w:val="009133DB"/>
    <w:rsid w:val="00916A46"/>
    <w:rsid w:val="00916CA5"/>
    <w:rsid w:val="009177D9"/>
    <w:rsid w:val="009202B1"/>
    <w:rsid w:val="00920DB6"/>
    <w:rsid w:val="0092163E"/>
    <w:rsid w:val="0092568E"/>
    <w:rsid w:val="00926616"/>
    <w:rsid w:val="00927F27"/>
    <w:rsid w:val="00927F5F"/>
    <w:rsid w:val="009301F4"/>
    <w:rsid w:val="00941F25"/>
    <w:rsid w:val="0094490C"/>
    <w:rsid w:val="00944FB7"/>
    <w:rsid w:val="00945B83"/>
    <w:rsid w:val="009460E6"/>
    <w:rsid w:val="00946E31"/>
    <w:rsid w:val="009476DF"/>
    <w:rsid w:val="00947F46"/>
    <w:rsid w:val="00951F52"/>
    <w:rsid w:val="00952ADB"/>
    <w:rsid w:val="0095303B"/>
    <w:rsid w:val="00954AB4"/>
    <w:rsid w:val="00954C16"/>
    <w:rsid w:val="00954F6D"/>
    <w:rsid w:val="00956893"/>
    <w:rsid w:val="00962F7C"/>
    <w:rsid w:val="009644A5"/>
    <w:rsid w:val="009665B3"/>
    <w:rsid w:val="0096698B"/>
    <w:rsid w:val="00966D7E"/>
    <w:rsid w:val="00967849"/>
    <w:rsid w:val="00970945"/>
    <w:rsid w:val="00971804"/>
    <w:rsid w:val="00973118"/>
    <w:rsid w:val="00973AA4"/>
    <w:rsid w:val="00975614"/>
    <w:rsid w:val="00975980"/>
    <w:rsid w:val="00975F9C"/>
    <w:rsid w:val="0097746D"/>
    <w:rsid w:val="00977F15"/>
    <w:rsid w:val="00980DF1"/>
    <w:rsid w:val="009833A5"/>
    <w:rsid w:val="00984771"/>
    <w:rsid w:val="0098553A"/>
    <w:rsid w:val="00987500"/>
    <w:rsid w:val="0099194F"/>
    <w:rsid w:val="00991D64"/>
    <w:rsid w:val="00993B5E"/>
    <w:rsid w:val="009942C0"/>
    <w:rsid w:val="009947A2"/>
    <w:rsid w:val="00995030"/>
    <w:rsid w:val="009A0592"/>
    <w:rsid w:val="009A0774"/>
    <w:rsid w:val="009A7A05"/>
    <w:rsid w:val="009B1B0A"/>
    <w:rsid w:val="009B1D65"/>
    <w:rsid w:val="009B2030"/>
    <w:rsid w:val="009B3627"/>
    <w:rsid w:val="009B394A"/>
    <w:rsid w:val="009B5377"/>
    <w:rsid w:val="009B559C"/>
    <w:rsid w:val="009C039A"/>
    <w:rsid w:val="009C111D"/>
    <w:rsid w:val="009C39B2"/>
    <w:rsid w:val="009C4E67"/>
    <w:rsid w:val="009D465B"/>
    <w:rsid w:val="009D5107"/>
    <w:rsid w:val="009D7554"/>
    <w:rsid w:val="009D7832"/>
    <w:rsid w:val="009E06DC"/>
    <w:rsid w:val="009E2B64"/>
    <w:rsid w:val="009E4486"/>
    <w:rsid w:val="009E59F3"/>
    <w:rsid w:val="009E7102"/>
    <w:rsid w:val="009F1463"/>
    <w:rsid w:val="009F3AD4"/>
    <w:rsid w:val="009F4E0F"/>
    <w:rsid w:val="009F6C1B"/>
    <w:rsid w:val="009F7218"/>
    <w:rsid w:val="00A01736"/>
    <w:rsid w:val="00A025BA"/>
    <w:rsid w:val="00A052AB"/>
    <w:rsid w:val="00A07BB7"/>
    <w:rsid w:val="00A07BF3"/>
    <w:rsid w:val="00A07F18"/>
    <w:rsid w:val="00A1218F"/>
    <w:rsid w:val="00A1279B"/>
    <w:rsid w:val="00A13375"/>
    <w:rsid w:val="00A1394A"/>
    <w:rsid w:val="00A141AD"/>
    <w:rsid w:val="00A14B8B"/>
    <w:rsid w:val="00A15BBB"/>
    <w:rsid w:val="00A169FC"/>
    <w:rsid w:val="00A209ED"/>
    <w:rsid w:val="00A215E8"/>
    <w:rsid w:val="00A21918"/>
    <w:rsid w:val="00A242F4"/>
    <w:rsid w:val="00A25F7B"/>
    <w:rsid w:val="00A30B46"/>
    <w:rsid w:val="00A32E72"/>
    <w:rsid w:val="00A33252"/>
    <w:rsid w:val="00A35187"/>
    <w:rsid w:val="00A40A78"/>
    <w:rsid w:val="00A429ED"/>
    <w:rsid w:val="00A42BE3"/>
    <w:rsid w:val="00A439D4"/>
    <w:rsid w:val="00A4426E"/>
    <w:rsid w:val="00A456F8"/>
    <w:rsid w:val="00A50ECD"/>
    <w:rsid w:val="00A51329"/>
    <w:rsid w:val="00A53818"/>
    <w:rsid w:val="00A5447C"/>
    <w:rsid w:val="00A547B2"/>
    <w:rsid w:val="00A54E99"/>
    <w:rsid w:val="00A565AB"/>
    <w:rsid w:val="00A573D3"/>
    <w:rsid w:val="00A62AEC"/>
    <w:rsid w:val="00A643FB"/>
    <w:rsid w:val="00A649BB"/>
    <w:rsid w:val="00A651DA"/>
    <w:rsid w:val="00A6551C"/>
    <w:rsid w:val="00A6586B"/>
    <w:rsid w:val="00A66227"/>
    <w:rsid w:val="00A70D2D"/>
    <w:rsid w:val="00A71E9A"/>
    <w:rsid w:val="00A739F7"/>
    <w:rsid w:val="00A73CC7"/>
    <w:rsid w:val="00A7414B"/>
    <w:rsid w:val="00A76D71"/>
    <w:rsid w:val="00A773E7"/>
    <w:rsid w:val="00A773E8"/>
    <w:rsid w:val="00A77594"/>
    <w:rsid w:val="00A77F24"/>
    <w:rsid w:val="00A80065"/>
    <w:rsid w:val="00A800BF"/>
    <w:rsid w:val="00A82426"/>
    <w:rsid w:val="00A824C6"/>
    <w:rsid w:val="00A82A58"/>
    <w:rsid w:val="00A84280"/>
    <w:rsid w:val="00A85A9C"/>
    <w:rsid w:val="00A86B5D"/>
    <w:rsid w:val="00A87341"/>
    <w:rsid w:val="00A8759C"/>
    <w:rsid w:val="00A91A7D"/>
    <w:rsid w:val="00A91BDF"/>
    <w:rsid w:val="00A91FC2"/>
    <w:rsid w:val="00A95DCA"/>
    <w:rsid w:val="00AA0068"/>
    <w:rsid w:val="00AA031B"/>
    <w:rsid w:val="00AA0EA6"/>
    <w:rsid w:val="00AA1084"/>
    <w:rsid w:val="00AA4305"/>
    <w:rsid w:val="00AA6DDC"/>
    <w:rsid w:val="00AB07D0"/>
    <w:rsid w:val="00AB340F"/>
    <w:rsid w:val="00AB3DC6"/>
    <w:rsid w:val="00AB49E3"/>
    <w:rsid w:val="00AB500F"/>
    <w:rsid w:val="00AB5B96"/>
    <w:rsid w:val="00AC0CAD"/>
    <w:rsid w:val="00AC40CD"/>
    <w:rsid w:val="00AC5A4F"/>
    <w:rsid w:val="00AC7A8E"/>
    <w:rsid w:val="00AD051D"/>
    <w:rsid w:val="00AD068D"/>
    <w:rsid w:val="00AD0DC4"/>
    <w:rsid w:val="00AD2084"/>
    <w:rsid w:val="00AD2564"/>
    <w:rsid w:val="00AD630B"/>
    <w:rsid w:val="00AD788D"/>
    <w:rsid w:val="00AE01D4"/>
    <w:rsid w:val="00AE3E48"/>
    <w:rsid w:val="00AE53D9"/>
    <w:rsid w:val="00AE554D"/>
    <w:rsid w:val="00AE5A5E"/>
    <w:rsid w:val="00AE6BCB"/>
    <w:rsid w:val="00AE7905"/>
    <w:rsid w:val="00AF26E4"/>
    <w:rsid w:val="00AF2B28"/>
    <w:rsid w:val="00AF3B0C"/>
    <w:rsid w:val="00AF4525"/>
    <w:rsid w:val="00B00C68"/>
    <w:rsid w:val="00B00D2F"/>
    <w:rsid w:val="00B01298"/>
    <w:rsid w:val="00B0267D"/>
    <w:rsid w:val="00B0359E"/>
    <w:rsid w:val="00B055A7"/>
    <w:rsid w:val="00B06F8A"/>
    <w:rsid w:val="00B106FD"/>
    <w:rsid w:val="00B112D3"/>
    <w:rsid w:val="00B116A8"/>
    <w:rsid w:val="00B13B09"/>
    <w:rsid w:val="00B14F14"/>
    <w:rsid w:val="00B15D1C"/>
    <w:rsid w:val="00B16528"/>
    <w:rsid w:val="00B174AA"/>
    <w:rsid w:val="00B21D80"/>
    <w:rsid w:val="00B2264A"/>
    <w:rsid w:val="00B26A2E"/>
    <w:rsid w:val="00B373DA"/>
    <w:rsid w:val="00B40496"/>
    <w:rsid w:val="00B46230"/>
    <w:rsid w:val="00B46667"/>
    <w:rsid w:val="00B469B9"/>
    <w:rsid w:val="00B52981"/>
    <w:rsid w:val="00B52B5E"/>
    <w:rsid w:val="00B531F0"/>
    <w:rsid w:val="00B56305"/>
    <w:rsid w:val="00B570F4"/>
    <w:rsid w:val="00B57207"/>
    <w:rsid w:val="00B5785D"/>
    <w:rsid w:val="00B61451"/>
    <w:rsid w:val="00B63EAF"/>
    <w:rsid w:val="00B645CC"/>
    <w:rsid w:val="00B65E48"/>
    <w:rsid w:val="00B6618B"/>
    <w:rsid w:val="00B66535"/>
    <w:rsid w:val="00B66E19"/>
    <w:rsid w:val="00B70089"/>
    <w:rsid w:val="00B7204D"/>
    <w:rsid w:val="00B730FF"/>
    <w:rsid w:val="00B7443A"/>
    <w:rsid w:val="00B768D7"/>
    <w:rsid w:val="00B76CDF"/>
    <w:rsid w:val="00B76F15"/>
    <w:rsid w:val="00B77C19"/>
    <w:rsid w:val="00B80468"/>
    <w:rsid w:val="00B8064C"/>
    <w:rsid w:val="00B82CA8"/>
    <w:rsid w:val="00B840CB"/>
    <w:rsid w:val="00B85DE6"/>
    <w:rsid w:val="00B87F42"/>
    <w:rsid w:val="00B902DC"/>
    <w:rsid w:val="00B929D3"/>
    <w:rsid w:val="00B93CC7"/>
    <w:rsid w:val="00B93F00"/>
    <w:rsid w:val="00B94D01"/>
    <w:rsid w:val="00B9531C"/>
    <w:rsid w:val="00B95AF5"/>
    <w:rsid w:val="00B97E9B"/>
    <w:rsid w:val="00BA146A"/>
    <w:rsid w:val="00BA302B"/>
    <w:rsid w:val="00BA3102"/>
    <w:rsid w:val="00BA7B90"/>
    <w:rsid w:val="00BB0FB7"/>
    <w:rsid w:val="00BB2D21"/>
    <w:rsid w:val="00BB560C"/>
    <w:rsid w:val="00BB5D0E"/>
    <w:rsid w:val="00BC164E"/>
    <w:rsid w:val="00BC1E6E"/>
    <w:rsid w:val="00BD1EBC"/>
    <w:rsid w:val="00BD2810"/>
    <w:rsid w:val="00BD3984"/>
    <w:rsid w:val="00BD3A88"/>
    <w:rsid w:val="00BE15E1"/>
    <w:rsid w:val="00BE35EC"/>
    <w:rsid w:val="00BE3658"/>
    <w:rsid w:val="00BE38BD"/>
    <w:rsid w:val="00BE689F"/>
    <w:rsid w:val="00BF0875"/>
    <w:rsid w:val="00BF0C58"/>
    <w:rsid w:val="00BF17CF"/>
    <w:rsid w:val="00BF4A2A"/>
    <w:rsid w:val="00BF5BA0"/>
    <w:rsid w:val="00BF5D49"/>
    <w:rsid w:val="00BF64CF"/>
    <w:rsid w:val="00BF6D74"/>
    <w:rsid w:val="00BF71D4"/>
    <w:rsid w:val="00C014DD"/>
    <w:rsid w:val="00C0380C"/>
    <w:rsid w:val="00C0449D"/>
    <w:rsid w:val="00C054F8"/>
    <w:rsid w:val="00C07884"/>
    <w:rsid w:val="00C10701"/>
    <w:rsid w:val="00C10840"/>
    <w:rsid w:val="00C12002"/>
    <w:rsid w:val="00C1476E"/>
    <w:rsid w:val="00C150FB"/>
    <w:rsid w:val="00C1534B"/>
    <w:rsid w:val="00C1567E"/>
    <w:rsid w:val="00C1636F"/>
    <w:rsid w:val="00C21EF7"/>
    <w:rsid w:val="00C31ED2"/>
    <w:rsid w:val="00C32089"/>
    <w:rsid w:val="00C3290D"/>
    <w:rsid w:val="00C33159"/>
    <w:rsid w:val="00C34686"/>
    <w:rsid w:val="00C40215"/>
    <w:rsid w:val="00C428C8"/>
    <w:rsid w:val="00C42D1E"/>
    <w:rsid w:val="00C43372"/>
    <w:rsid w:val="00C43394"/>
    <w:rsid w:val="00C4775F"/>
    <w:rsid w:val="00C50849"/>
    <w:rsid w:val="00C513AB"/>
    <w:rsid w:val="00C5156B"/>
    <w:rsid w:val="00C53285"/>
    <w:rsid w:val="00C53E8B"/>
    <w:rsid w:val="00C61F13"/>
    <w:rsid w:val="00C65835"/>
    <w:rsid w:val="00C6659F"/>
    <w:rsid w:val="00C67C89"/>
    <w:rsid w:val="00C723DB"/>
    <w:rsid w:val="00C72535"/>
    <w:rsid w:val="00C7302A"/>
    <w:rsid w:val="00C737E6"/>
    <w:rsid w:val="00C74209"/>
    <w:rsid w:val="00C75484"/>
    <w:rsid w:val="00C76E27"/>
    <w:rsid w:val="00C800E4"/>
    <w:rsid w:val="00C82C50"/>
    <w:rsid w:val="00C875B8"/>
    <w:rsid w:val="00C876E4"/>
    <w:rsid w:val="00C9109D"/>
    <w:rsid w:val="00C91D7B"/>
    <w:rsid w:val="00C92FB3"/>
    <w:rsid w:val="00C9419C"/>
    <w:rsid w:val="00C96009"/>
    <w:rsid w:val="00C967B2"/>
    <w:rsid w:val="00C97355"/>
    <w:rsid w:val="00CA3E09"/>
    <w:rsid w:val="00CA413B"/>
    <w:rsid w:val="00CA526D"/>
    <w:rsid w:val="00CA52AC"/>
    <w:rsid w:val="00CB0B9A"/>
    <w:rsid w:val="00CB0E8D"/>
    <w:rsid w:val="00CB1DD8"/>
    <w:rsid w:val="00CB1F02"/>
    <w:rsid w:val="00CB21A5"/>
    <w:rsid w:val="00CB3230"/>
    <w:rsid w:val="00CB4AFF"/>
    <w:rsid w:val="00CB4C5B"/>
    <w:rsid w:val="00CB60BF"/>
    <w:rsid w:val="00CB691F"/>
    <w:rsid w:val="00CB70AF"/>
    <w:rsid w:val="00CC023E"/>
    <w:rsid w:val="00CC0CCF"/>
    <w:rsid w:val="00CC2C06"/>
    <w:rsid w:val="00CC33C7"/>
    <w:rsid w:val="00CC5405"/>
    <w:rsid w:val="00CC6A43"/>
    <w:rsid w:val="00CD01BC"/>
    <w:rsid w:val="00CD5B27"/>
    <w:rsid w:val="00CD6E84"/>
    <w:rsid w:val="00CD7C7B"/>
    <w:rsid w:val="00CE3652"/>
    <w:rsid w:val="00CE3865"/>
    <w:rsid w:val="00CE57AF"/>
    <w:rsid w:val="00CE5EF3"/>
    <w:rsid w:val="00CE630E"/>
    <w:rsid w:val="00CF0BE4"/>
    <w:rsid w:val="00CF468B"/>
    <w:rsid w:val="00CF492B"/>
    <w:rsid w:val="00CF51C1"/>
    <w:rsid w:val="00CF6197"/>
    <w:rsid w:val="00CF6F32"/>
    <w:rsid w:val="00CF765A"/>
    <w:rsid w:val="00D0443C"/>
    <w:rsid w:val="00D0559B"/>
    <w:rsid w:val="00D0646E"/>
    <w:rsid w:val="00D10B2E"/>
    <w:rsid w:val="00D11573"/>
    <w:rsid w:val="00D11652"/>
    <w:rsid w:val="00D12BA7"/>
    <w:rsid w:val="00D1487E"/>
    <w:rsid w:val="00D1577F"/>
    <w:rsid w:val="00D158E8"/>
    <w:rsid w:val="00D15ECF"/>
    <w:rsid w:val="00D2009B"/>
    <w:rsid w:val="00D2285B"/>
    <w:rsid w:val="00D22DAF"/>
    <w:rsid w:val="00D23A49"/>
    <w:rsid w:val="00D3078B"/>
    <w:rsid w:val="00D313FE"/>
    <w:rsid w:val="00D346CD"/>
    <w:rsid w:val="00D35B7B"/>
    <w:rsid w:val="00D362A0"/>
    <w:rsid w:val="00D36A03"/>
    <w:rsid w:val="00D40059"/>
    <w:rsid w:val="00D421CA"/>
    <w:rsid w:val="00D50569"/>
    <w:rsid w:val="00D522F5"/>
    <w:rsid w:val="00D5397C"/>
    <w:rsid w:val="00D53E43"/>
    <w:rsid w:val="00D54DC8"/>
    <w:rsid w:val="00D564B7"/>
    <w:rsid w:val="00D5661B"/>
    <w:rsid w:val="00D57BB0"/>
    <w:rsid w:val="00D60112"/>
    <w:rsid w:val="00D6227C"/>
    <w:rsid w:val="00D629A8"/>
    <w:rsid w:val="00D6565D"/>
    <w:rsid w:val="00D679DF"/>
    <w:rsid w:val="00D73744"/>
    <w:rsid w:val="00D73CE4"/>
    <w:rsid w:val="00D73DEE"/>
    <w:rsid w:val="00D74138"/>
    <w:rsid w:val="00D7739E"/>
    <w:rsid w:val="00D779C8"/>
    <w:rsid w:val="00D80537"/>
    <w:rsid w:val="00D807AA"/>
    <w:rsid w:val="00D81158"/>
    <w:rsid w:val="00D8135D"/>
    <w:rsid w:val="00D831C8"/>
    <w:rsid w:val="00D87295"/>
    <w:rsid w:val="00D90656"/>
    <w:rsid w:val="00D92346"/>
    <w:rsid w:val="00D9263B"/>
    <w:rsid w:val="00D942CB"/>
    <w:rsid w:val="00D94331"/>
    <w:rsid w:val="00D95268"/>
    <w:rsid w:val="00DA58D4"/>
    <w:rsid w:val="00DA62D3"/>
    <w:rsid w:val="00DB1A69"/>
    <w:rsid w:val="00DB24F3"/>
    <w:rsid w:val="00DB5524"/>
    <w:rsid w:val="00DB5ABC"/>
    <w:rsid w:val="00DB6D56"/>
    <w:rsid w:val="00DC182D"/>
    <w:rsid w:val="00DC277D"/>
    <w:rsid w:val="00DC4217"/>
    <w:rsid w:val="00DC56F4"/>
    <w:rsid w:val="00DC638F"/>
    <w:rsid w:val="00DC6C69"/>
    <w:rsid w:val="00DC6E8B"/>
    <w:rsid w:val="00DD1350"/>
    <w:rsid w:val="00DD26AE"/>
    <w:rsid w:val="00DD2D77"/>
    <w:rsid w:val="00DD37C8"/>
    <w:rsid w:val="00DD50E8"/>
    <w:rsid w:val="00DD5B88"/>
    <w:rsid w:val="00DD6677"/>
    <w:rsid w:val="00DD6E7F"/>
    <w:rsid w:val="00DD6E8C"/>
    <w:rsid w:val="00DE1955"/>
    <w:rsid w:val="00DE296B"/>
    <w:rsid w:val="00DE3BA7"/>
    <w:rsid w:val="00DE523B"/>
    <w:rsid w:val="00DE5AEA"/>
    <w:rsid w:val="00DE6783"/>
    <w:rsid w:val="00DE6CF5"/>
    <w:rsid w:val="00DE7523"/>
    <w:rsid w:val="00DE7F30"/>
    <w:rsid w:val="00DF0C31"/>
    <w:rsid w:val="00DF0E4C"/>
    <w:rsid w:val="00DF18AE"/>
    <w:rsid w:val="00DF3E8D"/>
    <w:rsid w:val="00DF4D7E"/>
    <w:rsid w:val="00DF6FE8"/>
    <w:rsid w:val="00E00D62"/>
    <w:rsid w:val="00E00EB7"/>
    <w:rsid w:val="00E01B5C"/>
    <w:rsid w:val="00E03623"/>
    <w:rsid w:val="00E06462"/>
    <w:rsid w:val="00E07D89"/>
    <w:rsid w:val="00E10461"/>
    <w:rsid w:val="00E121C9"/>
    <w:rsid w:val="00E12B80"/>
    <w:rsid w:val="00E13394"/>
    <w:rsid w:val="00E13598"/>
    <w:rsid w:val="00E13CEE"/>
    <w:rsid w:val="00E14CD6"/>
    <w:rsid w:val="00E1622E"/>
    <w:rsid w:val="00E1760F"/>
    <w:rsid w:val="00E17947"/>
    <w:rsid w:val="00E17B97"/>
    <w:rsid w:val="00E20348"/>
    <w:rsid w:val="00E21B0D"/>
    <w:rsid w:val="00E23965"/>
    <w:rsid w:val="00E2493B"/>
    <w:rsid w:val="00E24D70"/>
    <w:rsid w:val="00E25746"/>
    <w:rsid w:val="00E25A18"/>
    <w:rsid w:val="00E25BBD"/>
    <w:rsid w:val="00E25FFD"/>
    <w:rsid w:val="00E27B76"/>
    <w:rsid w:val="00E307D8"/>
    <w:rsid w:val="00E312AC"/>
    <w:rsid w:val="00E34589"/>
    <w:rsid w:val="00E37570"/>
    <w:rsid w:val="00E37573"/>
    <w:rsid w:val="00E423F9"/>
    <w:rsid w:val="00E42B9E"/>
    <w:rsid w:val="00E43705"/>
    <w:rsid w:val="00E43D61"/>
    <w:rsid w:val="00E44CB6"/>
    <w:rsid w:val="00E45194"/>
    <w:rsid w:val="00E45797"/>
    <w:rsid w:val="00E47195"/>
    <w:rsid w:val="00E47B60"/>
    <w:rsid w:val="00E506B7"/>
    <w:rsid w:val="00E52E3F"/>
    <w:rsid w:val="00E540F3"/>
    <w:rsid w:val="00E55C8F"/>
    <w:rsid w:val="00E6054E"/>
    <w:rsid w:val="00E645CF"/>
    <w:rsid w:val="00E6795D"/>
    <w:rsid w:val="00E67D1A"/>
    <w:rsid w:val="00E70FDE"/>
    <w:rsid w:val="00E73276"/>
    <w:rsid w:val="00E7362D"/>
    <w:rsid w:val="00E73A6F"/>
    <w:rsid w:val="00E75444"/>
    <w:rsid w:val="00E8448A"/>
    <w:rsid w:val="00E84585"/>
    <w:rsid w:val="00E86F11"/>
    <w:rsid w:val="00E8786C"/>
    <w:rsid w:val="00E90191"/>
    <w:rsid w:val="00E91A29"/>
    <w:rsid w:val="00E9345C"/>
    <w:rsid w:val="00E957F7"/>
    <w:rsid w:val="00E95D98"/>
    <w:rsid w:val="00E96706"/>
    <w:rsid w:val="00E9726C"/>
    <w:rsid w:val="00E97F44"/>
    <w:rsid w:val="00EA0A9A"/>
    <w:rsid w:val="00EA0F08"/>
    <w:rsid w:val="00EA13B1"/>
    <w:rsid w:val="00EA23D3"/>
    <w:rsid w:val="00EA3E54"/>
    <w:rsid w:val="00EB1478"/>
    <w:rsid w:val="00EB1AB1"/>
    <w:rsid w:val="00EB43B0"/>
    <w:rsid w:val="00EB4C9D"/>
    <w:rsid w:val="00EC02B7"/>
    <w:rsid w:val="00EC0390"/>
    <w:rsid w:val="00EC0915"/>
    <w:rsid w:val="00EC176F"/>
    <w:rsid w:val="00EC2DFA"/>
    <w:rsid w:val="00EC30BB"/>
    <w:rsid w:val="00EC7D62"/>
    <w:rsid w:val="00ED0C3F"/>
    <w:rsid w:val="00ED220E"/>
    <w:rsid w:val="00ED3798"/>
    <w:rsid w:val="00ED37F0"/>
    <w:rsid w:val="00ED678E"/>
    <w:rsid w:val="00ED7569"/>
    <w:rsid w:val="00ED7DB1"/>
    <w:rsid w:val="00EE2091"/>
    <w:rsid w:val="00EE39B7"/>
    <w:rsid w:val="00EF28F2"/>
    <w:rsid w:val="00EF3450"/>
    <w:rsid w:val="00EF6691"/>
    <w:rsid w:val="00F029DF"/>
    <w:rsid w:val="00F02B75"/>
    <w:rsid w:val="00F046A7"/>
    <w:rsid w:val="00F12D81"/>
    <w:rsid w:val="00F1350C"/>
    <w:rsid w:val="00F135B2"/>
    <w:rsid w:val="00F14731"/>
    <w:rsid w:val="00F15875"/>
    <w:rsid w:val="00F16390"/>
    <w:rsid w:val="00F17F69"/>
    <w:rsid w:val="00F20AD6"/>
    <w:rsid w:val="00F21E58"/>
    <w:rsid w:val="00F21ECD"/>
    <w:rsid w:val="00F22170"/>
    <w:rsid w:val="00F22A7D"/>
    <w:rsid w:val="00F25656"/>
    <w:rsid w:val="00F25BA6"/>
    <w:rsid w:val="00F263AF"/>
    <w:rsid w:val="00F26D15"/>
    <w:rsid w:val="00F271F5"/>
    <w:rsid w:val="00F27821"/>
    <w:rsid w:val="00F27C8F"/>
    <w:rsid w:val="00F27E27"/>
    <w:rsid w:val="00F27F58"/>
    <w:rsid w:val="00F31DD7"/>
    <w:rsid w:val="00F32CA0"/>
    <w:rsid w:val="00F32D0E"/>
    <w:rsid w:val="00F33092"/>
    <w:rsid w:val="00F33E20"/>
    <w:rsid w:val="00F34632"/>
    <w:rsid w:val="00F3474B"/>
    <w:rsid w:val="00F36122"/>
    <w:rsid w:val="00F37840"/>
    <w:rsid w:val="00F41335"/>
    <w:rsid w:val="00F445C7"/>
    <w:rsid w:val="00F455A2"/>
    <w:rsid w:val="00F45D3D"/>
    <w:rsid w:val="00F46609"/>
    <w:rsid w:val="00F47579"/>
    <w:rsid w:val="00F50BF1"/>
    <w:rsid w:val="00F52A89"/>
    <w:rsid w:val="00F5310E"/>
    <w:rsid w:val="00F543F3"/>
    <w:rsid w:val="00F54F55"/>
    <w:rsid w:val="00F56C85"/>
    <w:rsid w:val="00F57B05"/>
    <w:rsid w:val="00F57CEC"/>
    <w:rsid w:val="00F612BA"/>
    <w:rsid w:val="00F622C8"/>
    <w:rsid w:val="00F6253F"/>
    <w:rsid w:val="00F6254E"/>
    <w:rsid w:val="00F64B40"/>
    <w:rsid w:val="00F65B0D"/>
    <w:rsid w:val="00F6666F"/>
    <w:rsid w:val="00F66A96"/>
    <w:rsid w:val="00F71104"/>
    <w:rsid w:val="00F74060"/>
    <w:rsid w:val="00F74209"/>
    <w:rsid w:val="00F74218"/>
    <w:rsid w:val="00F77518"/>
    <w:rsid w:val="00F82E0D"/>
    <w:rsid w:val="00F832CE"/>
    <w:rsid w:val="00F83B50"/>
    <w:rsid w:val="00F840DB"/>
    <w:rsid w:val="00F8456D"/>
    <w:rsid w:val="00F858A6"/>
    <w:rsid w:val="00F86222"/>
    <w:rsid w:val="00F86F6C"/>
    <w:rsid w:val="00F902C1"/>
    <w:rsid w:val="00F90868"/>
    <w:rsid w:val="00F91D3D"/>
    <w:rsid w:val="00F92879"/>
    <w:rsid w:val="00F93CDE"/>
    <w:rsid w:val="00F93DBD"/>
    <w:rsid w:val="00F94BC9"/>
    <w:rsid w:val="00F95490"/>
    <w:rsid w:val="00FA041D"/>
    <w:rsid w:val="00FA4942"/>
    <w:rsid w:val="00FA4AEA"/>
    <w:rsid w:val="00FA4F05"/>
    <w:rsid w:val="00FA55EB"/>
    <w:rsid w:val="00FA6E13"/>
    <w:rsid w:val="00FA7012"/>
    <w:rsid w:val="00FA7AD0"/>
    <w:rsid w:val="00FB411E"/>
    <w:rsid w:val="00FB5491"/>
    <w:rsid w:val="00FB6576"/>
    <w:rsid w:val="00FC1585"/>
    <w:rsid w:val="00FC3A98"/>
    <w:rsid w:val="00FC5228"/>
    <w:rsid w:val="00FC652A"/>
    <w:rsid w:val="00FC6D68"/>
    <w:rsid w:val="00FD104A"/>
    <w:rsid w:val="00FD2B7E"/>
    <w:rsid w:val="00FD34F2"/>
    <w:rsid w:val="00FD404C"/>
    <w:rsid w:val="00FD5558"/>
    <w:rsid w:val="00FD5DBA"/>
    <w:rsid w:val="00FD6D03"/>
    <w:rsid w:val="00FD7575"/>
    <w:rsid w:val="00FE08DB"/>
    <w:rsid w:val="00FE505F"/>
    <w:rsid w:val="00FE7234"/>
    <w:rsid w:val="00FE7849"/>
    <w:rsid w:val="00FF32D6"/>
    <w:rsid w:val="00FF616E"/>
    <w:rsid w:val="00FF62F2"/>
    <w:rsid w:val="00FF6A31"/>
    <w:rsid w:val="00FF78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BFA15-E417-41D9-BF0D-57947B1E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FE505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FE505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269">
      <w:bodyDiv w:val="1"/>
      <w:marLeft w:val="0"/>
      <w:marRight w:val="0"/>
      <w:marTop w:val="0"/>
      <w:marBottom w:val="0"/>
      <w:divBdr>
        <w:top w:val="none" w:sz="0" w:space="0" w:color="auto"/>
        <w:left w:val="none" w:sz="0" w:space="0" w:color="auto"/>
        <w:bottom w:val="none" w:sz="0" w:space="0" w:color="auto"/>
        <w:right w:val="none" w:sz="0" w:space="0" w:color="auto"/>
      </w:divBdr>
    </w:div>
    <w:div w:id="184252159">
      <w:bodyDiv w:val="1"/>
      <w:marLeft w:val="0"/>
      <w:marRight w:val="0"/>
      <w:marTop w:val="0"/>
      <w:marBottom w:val="0"/>
      <w:divBdr>
        <w:top w:val="none" w:sz="0" w:space="0" w:color="auto"/>
        <w:left w:val="none" w:sz="0" w:space="0" w:color="auto"/>
        <w:bottom w:val="none" w:sz="0" w:space="0" w:color="auto"/>
        <w:right w:val="none" w:sz="0" w:space="0" w:color="auto"/>
      </w:divBdr>
    </w:div>
    <w:div w:id="188688777">
      <w:bodyDiv w:val="1"/>
      <w:marLeft w:val="0"/>
      <w:marRight w:val="0"/>
      <w:marTop w:val="0"/>
      <w:marBottom w:val="0"/>
      <w:divBdr>
        <w:top w:val="none" w:sz="0" w:space="0" w:color="auto"/>
        <w:left w:val="none" w:sz="0" w:space="0" w:color="auto"/>
        <w:bottom w:val="none" w:sz="0" w:space="0" w:color="auto"/>
        <w:right w:val="none" w:sz="0" w:space="0" w:color="auto"/>
      </w:divBdr>
    </w:div>
    <w:div w:id="32054419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47374533">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99010656">
      <w:bodyDiv w:val="1"/>
      <w:marLeft w:val="0"/>
      <w:marRight w:val="0"/>
      <w:marTop w:val="0"/>
      <w:marBottom w:val="0"/>
      <w:divBdr>
        <w:top w:val="none" w:sz="0" w:space="0" w:color="auto"/>
        <w:left w:val="none" w:sz="0" w:space="0" w:color="auto"/>
        <w:bottom w:val="none" w:sz="0" w:space="0" w:color="auto"/>
        <w:right w:val="none" w:sz="0" w:space="0" w:color="auto"/>
      </w:divBdr>
      <w:divsChild>
        <w:div w:id="741485005">
          <w:marLeft w:val="0"/>
          <w:marRight w:val="0"/>
          <w:marTop w:val="0"/>
          <w:marBottom w:val="0"/>
          <w:divBdr>
            <w:top w:val="none" w:sz="0" w:space="0" w:color="auto"/>
            <w:left w:val="none" w:sz="0" w:space="0" w:color="auto"/>
            <w:bottom w:val="none" w:sz="0" w:space="0" w:color="auto"/>
            <w:right w:val="none" w:sz="0" w:space="0" w:color="auto"/>
          </w:divBdr>
          <w:divsChild>
            <w:div w:id="621427290">
              <w:marLeft w:val="0"/>
              <w:marRight w:val="0"/>
              <w:marTop w:val="0"/>
              <w:marBottom w:val="0"/>
              <w:divBdr>
                <w:top w:val="none" w:sz="0" w:space="0" w:color="auto"/>
                <w:left w:val="none" w:sz="0" w:space="0" w:color="auto"/>
                <w:bottom w:val="none" w:sz="0" w:space="0" w:color="auto"/>
                <w:right w:val="none" w:sz="0" w:space="0" w:color="auto"/>
              </w:divBdr>
              <w:divsChild>
                <w:div w:id="1616131560">
                  <w:marLeft w:val="0"/>
                  <w:marRight w:val="0"/>
                  <w:marTop w:val="0"/>
                  <w:marBottom w:val="0"/>
                  <w:divBdr>
                    <w:top w:val="none" w:sz="0" w:space="0" w:color="auto"/>
                    <w:left w:val="none" w:sz="0" w:space="0" w:color="auto"/>
                    <w:bottom w:val="none" w:sz="0" w:space="0" w:color="auto"/>
                    <w:right w:val="none" w:sz="0" w:space="0" w:color="auto"/>
                  </w:divBdr>
                  <w:divsChild>
                    <w:div w:id="620768335">
                      <w:marLeft w:val="0"/>
                      <w:marRight w:val="0"/>
                      <w:marTop w:val="0"/>
                      <w:marBottom w:val="0"/>
                      <w:divBdr>
                        <w:top w:val="none" w:sz="0" w:space="0" w:color="auto"/>
                        <w:left w:val="none" w:sz="0" w:space="0" w:color="auto"/>
                        <w:bottom w:val="none" w:sz="0" w:space="0" w:color="auto"/>
                        <w:right w:val="none" w:sz="0" w:space="0" w:color="auto"/>
                      </w:divBdr>
                      <w:divsChild>
                        <w:div w:id="178354369">
                          <w:marLeft w:val="0"/>
                          <w:marRight w:val="0"/>
                          <w:marTop w:val="0"/>
                          <w:marBottom w:val="0"/>
                          <w:divBdr>
                            <w:top w:val="none" w:sz="0" w:space="0" w:color="auto"/>
                            <w:left w:val="none" w:sz="0" w:space="0" w:color="auto"/>
                            <w:bottom w:val="none" w:sz="0" w:space="0" w:color="auto"/>
                            <w:right w:val="none" w:sz="0" w:space="0" w:color="auto"/>
                          </w:divBdr>
                          <w:divsChild>
                            <w:div w:id="6517655">
                              <w:marLeft w:val="0"/>
                              <w:marRight w:val="0"/>
                              <w:marTop w:val="0"/>
                              <w:marBottom w:val="0"/>
                              <w:divBdr>
                                <w:top w:val="none" w:sz="0" w:space="0" w:color="auto"/>
                                <w:left w:val="none" w:sz="0" w:space="0" w:color="auto"/>
                                <w:bottom w:val="none" w:sz="0" w:space="0" w:color="auto"/>
                                <w:right w:val="none" w:sz="0" w:space="0" w:color="auto"/>
                              </w:divBdr>
                              <w:divsChild>
                                <w:div w:id="1664891661">
                                  <w:marLeft w:val="0"/>
                                  <w:marRight w:val="-100"/>
                                  <w:marTop w:val="0"/>
                                  <w:marBottom w:val="0"/>
                                  <w:divBdr>
                                    <w:top w:val="none" w:sz="0" w:space="0" w:color="auto"/>
                                    <w:left w:val="none" w:sz="0" w:space="0" w:color="auto"/>
                                    <w:bottom w:val="none" w:sz="0" w:space="0" w:color="auto"/>
                                    <w:right w:val="none" w:sz="0" w:space="0" w:color="auto"/>
                                  </w:divBdr>
                                  <w:divsChild>
                                    <w:div w:id="135341311">
                                      <w:marLeft w:val="0"/>
                                      <w:marRight w:val="0"/>
                                      <w:marTop w:val="0"/>
                                      <w:marBottom w:val="0"/>
                                      <w:divBdr>
                                        <w:top w:val="none" w:sz="0" w:space="0" w:color="auto"/>
                                        <w:left w:val="none" w:sz="0" w:space="0" w:color="auto"/>
                                        <w:bottom w:val="none" w:sz="0" w:space="0" w:color="auto"/>
                                        <w:right w:val="none" w:sz="0" w:space="0" w:color="auto"/>
                                      </w:divBdr>
                                      <w:divsChild>
                                        <w:div w:id="1284919355">
                                          <w:marLeft w:val="0"/>
                                          <w:marRight w:val="0"/>
                                          <w:marTop w:val="0"/>
                                          <w:marBottom w:val="0"/>
                                          <w:divBdr>
                                            <w:top w:val="none" w:sz="0" w:space="0" w:color="auto"/>
                                            <w:left w:val="none" w:sz="0" w:space="0" w:color="auto"/>
                                            <w:bottom w:val="none" w:sz="0" w:space="0" w:color="auto"/>
                                            <w:right w:val="none" w:sz="0" w:space="0" w:color="auto"/>
                                          </w:divBdr>
                                        </w:div>
                                        <w:div w:id="1926498864">
                                          <w:marLeft w:val="0"/>
                                          <w:marRight w:val="0"/>
                                          <w:marTop w:val="0"/>
                                          <w:marBottom w:val="0"/>
                                          <w:divBdr>
                                            <w:top w:val="none" w:sz="0" w:space="0" w:color="auto"/>
                                            <w:left w:val="none" w:sz="0" w:space="0" w:color="auto"/>
                                            <w:bottom w:val="none" w:sz="0" w:space="0" w:color="auto"/>
                                            <w:right w:val="none" w:sz="0" w:space="0" w:color="auto"/>
                                          </w:divBdr>
                                          <w:divsChild>
                                            <w:div w:id="1303190583">
                                              <w:marLeft w:val="0"/>
                                              <w:marRight w:val="0"/>
                                              <w:marTop w:val="0"/>
                                              <w:marBottom w:val="0"/>
                                              <w:divBdr>
                                                <w:top w:val="none" w:sz="0" w:space="0" w:color="auto"/>
                                                <w:left w:val="none" w:sz="0" w:space="0" w:color="auto"/>
                                                <w:bottom w:val="none" w:sz="0" w:space="0" w:color="auto"/>
                                                <w:right w:val="none" w:sz="0" w:space="0" w:color="auto"/>
                                              </w:divBdr>
                                              <w:divsChild>
                                                <w:div w:id="474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96625668">
      <w:bodyDiv w:val="1"/>
      <w:marLeft w:val="0"/>
      <w:marRight w:val="0"/>
      <w:marTop w:val="0"/>
      <w:marBottom w:val="0"/>
      <w:divBdr>
        <w:top w:val="none" w:sz="0" w:space="0" w:color="auto"/>
        <w:left w:val="none" w:sz="0" w:space="0" w:color="auto"/>
        <w:bottom w:val="none" w:sz="0" w:space="0" w:color="auto"/>
        <w:right w:val="none" w:sz="0" w:space="0" w:color="auto"/>
      </w:divBdr>
      <w:divsChild>
        <w:div w:id="872614577">
          <w:marLeft w:val="0"/>
          <w:marRight w:val="0"/>
          <w:marTop w:val="0"/>
          <w:marBottom w:val="0"/>
          <w:divBdr>
            <w:top w:val="none" w:sz="0" w:space="0" w:color="auto"/>
            <w:left w:val="none" w:sz="0" w:space="0" w:color="auto"/>
            <w:bottom w:val="none" w:sz="0" w:space="0" w:color="auto"/>
            <w:right w:val="none" w:sz="0" w:space="0" w:color="auto"/>
          </w:divBdr>
          <w:divsChild>
            <w:div w:id="1268194567">
              <w:marLeft w:val="0"/>
              <w:marRight w:val="0"/>
              <w:marTop w:val="0"/>
              <w:marBottom w:val="0"/>
              <w:divBdr>
                <w:top w:val="none" w:sz="0" w:space="0" w:color="auto"/>
                <w:left w:val="none" w:sz="0" w:space="0" w:color="auto"/>
                <w:bottom w:val="none" w:sz="0" w:space="0" w:color="auto"/>
                <w:right w:val="none" w:sz="0" w:space="0" w:color="auto"/>
              </w:divBdr>
              <w:divsChild>
                <w:div w:id="1147669834">
                  <w:marLeft w:val="0"/>
                  <w:marRight w:val="0"/>
                  <w:marTop w:val="0"/>
                  <w:marBottom w:val="0"/>
                  <w:divBdr>
                    <w:top w:val="none" w:sz="0" w:space="0" w:color="auto"/>
                    <w:left w:val="none" w:sz="0" w:space="0" w:color="auto"/>
                    <w:bottom w:val="none" w:sz="0" w:space="0" w:color="auto"/>
                    <w:right w:val="none" w:sz="0" w:space="0" w:color="auto"/>
                  </w:divBdr>
                  <w:divsChild>
                    <w:div w:id="312032379">
                      <w:marLeft w:val="0"/>
                      <w:marRight w:val="0"/>
                      <w:marTop w:val="0"/>
                      <w:marBottom w:val="0"/>
                      <w:divBdr>
                        <w:top w:val="none" w:sz="0" w:space="0" w:color="auto"/>
                        <w:left w:val="none" w:sz="0" w:space="0" w:color="auto"/>
                        <w:bottom w:val="none" w:sz="0" w:space="0" w:color="auto"/>
                        <w:right w:val="none" w:sz="0" w:space="0" w:color="auto"/>
                      </w:divBdr>
                      <w:divsChild>
                        <w:div w:id="872771816">
                          <w:marLeft w:val="0"/>
                          <w:marRight w:val="0"/>
                          <w:marTop w:val="0"/>
                          <w:marBottom w:val="0"/>
                          <w:divBdr>
                            <w:top w:val="none" w:sz="0" w:space="0" w:color="auto"/>
                            <w:left w:val="none" w:sz="0" w:space="0" w:color="auto"/>
                            <w:bottom w:val="none" w:sz="0" w:space="0" w:color="auto"/>
                            <w:right w:val="none" w:sz="0" w:space="0" w:color="auto"/>
                          </w:divBdr>
                          <w:divsChild>
                            <w:div w:id="1895433414">
                              <w:marLeft w:val="0"/>
                              <w:marRight w:val="0"/>
                              <w:marTop w:val="0"/>
                              <w:marBottom w:val="0"/>
                              <w:divBdr>
                                <w:top w:val="none" w:sz="0" w:space="0" w:color="auto"/>
                                <w:left w:val="none" w:sz="0" w:space="0" w:color="auto"/>
                                <w:bottom w:val="none" w:sz="0" w:space="0" w:color="auto"/>
                                <w:right w:val="none" w:sz="0" w:space="0" w:color="auto"/>
                              </w:divBdr>
                              <w:divsChild>
                                <w:div w:id="1299147914">
                                  <w:marLeft w:val="0"/>
                                  <w:marRight w:val="0"/>
                                  <w:marTop w:val="0"/>
                                  <w:marBottom w:val="0"/>
                                  <w:divBdr>
                                    <w:top w:val="none" w:sz="0" w:space="0" w:color="auto"/>
                                    <w:left w:val="none" w:sz="0" w:space="0" w:color="auto"/>
                                    <w:bottom w:val="none" w:sz="0" w:space="0" w:color="auto"/>
                                    <w:right w:val="none" w:sz="0" w:space="0" w:color="auto"/>
                                  </w:divBdr>
                                  <w:divsChild>
                                    <w:div w:id="289557428">
                                      <w:marLeft w:val="0"/>
                                      <w:marRight w:val="60"/>
                                      <w:marTop w:val="0"/>
                                      <w:marBottom w:val="0"/>
                                      <w:divBdr>
                                        <w:top w:val="none" w:sz="0" w:space="0" w:color="auto"/>
                                        <w:left w:val="none" w:sz="0" w:space="0" w:color="auto"/>
                                        <w:bottom w:val="none" w:sz="0" w:space="0" w:color="auto"/>
                                        <w:right w:val="none" w:sz="0" w:space="0" w:color="auto"/>
                                      </w:divBdr>
                                      <w:divsChild>
                                        <w:div w:id="286203701">
                                          <w:marLeft w:val="0"/>
                                          <w:marRight w:val="0"/>
                                          <w:marTop w:val="0"/>
                                          <w:marBottom w:val="0"/>
                                          <w:divBdr>
                                            <w:top w:val="none" w:sz="0" w:space="0" w:color="auto"/>
                                            <w:left w:val="none" w:sz="0" w:space="0" w:color="auto"/>
                                            <w:bottom w:val="none" w:sz="0" w:space="0" w:color="auto"/>
                                            <w:right w:val="none" w:sz="0" w:space="0" w:color="auto"/>
                                          </w:divBdr>
                                        </w:div>
                                        <w:div w:id="11813575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20228256">
                                              <w:marLeft w:val="0"/>
                                              <w:marRight w:val="0"/>
                                              <w:marTop w:val="0"/>
                                              <w:marBottom w:val="0"/>
                                              <w:divBdr>
                                                <w:top w:val="none" w:sz="0" w:space="0" w:color="auto"/>
                                                <w:left w:val="none" w:sz="0" w:space="0" w:color="auto"/>
                                                <w:bottom w:val="none" w:sz="0" w:space="0" w:color="auto"/>
                                                <w:right w:val="none" w:sz="0" w:space="0" w:color="auto"/>
                                              </w:divBdr>
                                            </w:div>
                                          </w:divsChild>
                                        </w:div>
                                        <w:div w:id="1912692383">
                                          <w:marLeft w:val="0"/>
                                          <w:marRight w:val="0"/>
                                          <w:marTop w:val="0"/>
                                          <w:marBottom w:val="0"/>
                                          <w:divBdr>
                                            <w:top w:val="none" w:sz="0" w:space="0" w:color="auto"/>
                                            <w:left w:val="none" w:sz="0" w:space="0" w:color="auto"/>
                                            <w:bottom w:val="none" w:sz="0" w:space="0" w:color="auto"/>
                                            <w:right w:val="none" w:sz="0" w:space="0" w:color="auto"/>
                                          </w:divBdr>
                                          <w:divsChild>
                                            <w:div w:id="18207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7797">
                                  <w:marLeft w:val="0"/>
                                  <w:marRight w:val="0"/>
                                  <w:marTop w:val="0"/>
                                  <w:marBottom w:val="0"/>
                                  <w:divBdr>
                                    <w:top w:val="none" w:sz="0" w:space="0" w:color="auto"/>
                                    <w:left w:val="none" w:sz="0" w:space="0" w:color="auto"/>
                                    <w:bottom w:val="none" w:sz="0" w:space="0" w:color="auto"/>
                                    <w:right w:val="none" w:sz="0" w:space="0" w:color="auto"/>
                                  </w:divBdr>
                                  <w:divsChild>
                                    <w:div w:id="579944575">
                                      <w:marLeft w:val="60"/>
                                      <w:marRight w:val="0"/>
                                      <w:marTop w:val="0"/>
                                      <w:marBottom w:val="0"/>
                                      <w:divBdr>
                                        <w:top w:val="none" w:sz="0" w:space="0" w:color="auto"/>
                                        <w:left w:val="none" w:sz="0" w:space="0" w:color="auto"/>
                                        <w:bottom w:val="none" w:sz="0" w:space="0" w:color="auto"/>
                                        <w:right w:val="none" w:sz="0" w:space="0" w:color="auto"/>
                                      </w:divBdr>
                                      <w:divsChild>
                                        <w:div w:id="266281170">
                                          <w:marLeft w:val="0"/>
                                          <w:marRight w:val="0"/>
                                          <w:marTop w:val="0"/>
                                          <w:marBottom w:val="0"/>
                                          <w:divBdr>
                                            <w:top w:val="none" w:sz="0" w:space="0" w:color="auto"/>
                                            <w:left w:val="none" w:sz="0" w:space="0" w:color="auto"/>
                                            <w:bottom w:val="none" w:sz="0" w:space="0" w:color="auto"/>
                                            <w:right w:val="none" w:sz="0" w:space="0" w:color="auto"/>
                                          </w:divBdr>
                                          <w:divsChild>
                                            <w:div w:id="942029718">
                                              <w:marLeft w:val="0"/>
                                              <w:marRight w:val="0"/>
                                              <w:marTop w:val="0"/>
                                              <w:marBottom w:val="120"/>
                                              <w:divBdr>
                                                <w:top w:val="single" w:sz="6" w:space="0" w:color="F5F5F5"/>
                                                <w:left w:val="single" w:sz="6" w:space="0" w:color="F5F5F5"/>
                                                <w:bottom w:val="single" w:sz="6" w:space="0" w:color="F5F5F5"/>
                                                <w:right w:val="single" w:sz="6" w:space="0" w:color="F5F5F5"/>
                                              </w:divBdr>
                                              <w:divsChild>
                                                <w:div w:id="1691176456">
                                                  <w:marLeft w:val="0"/>
                                                  <w:marRight w:val="0"/>
                                                  <w:marTop w:val="0"/>
                                                  <w:marBottom w:val="0"/>
                                                  <w:divBdr>
                                                    <w:top w:val="none" w:sz="0" w:space="0" w:color="auto"/>
                                                    <w:left w:val="none" w:sz="0" w:space="0" w:color="auto"/>
                                                    <w:bottom w:val="none" w:sz="0" w:space="0" w:color="auto"/>
                                                    <w:right w:val="none" w:sz="0" w:space="0" w:color="auto"/>
                                                  </w:divBdr>
                                                  <w:divsChild>
                                                    <w:div w:id="4130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57434240">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132">
      <w:bodyDiv w:val="1"/>
      <w:marLeft w:val="0"/>
      <w:marRight w:val="0"/>
      <w:marTop w:val="0"/>
      <w:marBottom w:val="0"/>
      <w:divBdr>
        <w:top w:val="none" w:sz="0" w:space="0" w:color="auto"/>
        <w:left w:val="none" w:sz="0" w:space="0" w:color="auto"/>
        <w:bottom w:val="none" w:sz="0" w:space="0" w:color="auto"/>
        <w:right w:val="none" w:sz="0" w:space="0" w:color="auto"/>
      </w:divBdr>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4298">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2060558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06831137">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863207751">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02654009">
      <w:bodyDiv w:val="1"/>
      <w:marLeft w:val="0"/>
      <w:marRight w:val="0"/>
      <w:marTop w:val="0"/>
      <w:marBottom w:val="0"/>
      <w:divBdr>
        <w:top w:val="none" w:sz="0" w:space="0" w:color="auto"/>
        <w:left w:val="none" w:sz="0" w:space="0" w:color="auto"/>
        <w:bottom w:val="none" w:sz="0" w:space="0" w:color="auto"/>
        <w:right w:val="none" w:sz="0" w:space="0" w:color="auto"/>
      </w:divBdr>
      <w:divsChild>
        <w:div w:id="1392536313">
          <w:marLeft w:val="0"/>
          <w:marRight w:val="0"/>
          <w:marTop w:val="0"/>
          <w:marBottom w:val="0"/>
          <w:divBdr>
            <w:top w:val="none" w:sz="0" w:space="0" w:color="auto"/>
            <w:left w:val="none" w:sz="0" w:space="0" w:color="auto"/>
            <w:bottom w:val="none" w:sz="0" w:space="0" w:color="auto"/>
            <w:right w:val="none" w:sz="0" w:space="0" w:color="auto"/>
          </w:divBdr>
          <w:divsChild>
            <w:div w:id="1063724660">
              <w:marLeft w:val="0"/>
              <w:marRight w:val="0"/>
              <w:marTop w:val="0"/>
              <w:marBottom w:val="0"/>
              <w:divBdr>
                <w:top w:val="none" w:sz="0" w:space="0" w:color="auto"/>
                <w:left w:val="none" w:sz="0" w:space="0" w:color="auto"/>
                <w:bottom w:val="none" w:sz="0" w:space="0" w:color="auto"/>
                <w:right w:val="none" w:sz="0" w:space="0" w:color="auto"/>
              </w:divBdr>
              <w:divsChild>
                <w:div w:id="967129674">
                  <w:marLeft w:val="0"/>
                  <w:marRight w:val="0"/>
                  <w:marTop w:val="0"/>
                  <w:marBottom w:val="0"/>
                  <w:divBdr>
                    <w:top w:val="none" w:sz="0" w:space="0" w:color="auto"/>
                    <w:left w:val="none" w:sz="0" w:space="0" w:color="auto"/>
                    <w:bottom w:val="none" w:sz="0" w:space="0" w:color="auto"/>
                    <w:right w:val="none" w:sz="0" w:space="0" w:color="auto"/>
                  </w:divBdr>
                  <w:divsChild>
                    <w:div w:id="45957920">
                      <w:marLeft w:val="0"/>
                      <w:marRight w:val="0"/>
                      <w:marTop w:val="0"/>
                      <w:marBottom w:val="0"/>
                      <w:divBdr>
                        <w:top w:val="single" w:sz="24" w:space="0" w:color="003366"/>
                        <w:left w:val="none" w:sz="0" w:space="0" w:color="auto"/>
                        <w:bottom w:val="none" w:sz="0" w:space="0" w:color="auto"/>
                        <w:right w:val="none" w:sz="0" w:space="0" w:color="auto"/>
                      </w:divBdr>
                      <w:divsChild>
                        <w:div w:id="3280200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0310-EE6D-4DA8-B4EF-603D7BB7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1614000</vt:lpstr>
    </vt:vector>
  </TitlesOfParts>
  <Company>CSD</Company>
  <LinksUpToDate>false</LinksUpToDate>
  <CharactersWithSpaces>44500</CharactersWithSpaces>
  <SharedDoc>false</SharedDoc>
  <HLinks>
    <vt:vector size="12" baseType="variant">
      <vt:variant>
        <vt:i4>7471108</vt:i4>
      </vt:variant>
      <vt:variant>
        <vt:i4>6</vt:i4>
      </vt:variant>
      <vt:variant>
        <vt:i4>0</vt:i4>
      </vt:variant>
      <vt:variant>
        <vt:i4>5</vt:i4>
      </vt:variant>
      <vt:variant>
        <vt:lpwstr>https://barhumanrights.org.uk/sites/default/files/documents/news/an_unfinihsed_war._torture_and_sexual_violence_in_sri_lanka_2009-2014_0.pdf</vt:lpwstr>
      </vt:variant>
      <vt:variant>
        <vt:lpwstr/>
      </vt:variant>
      <vt:variant>
        <vt:i4>8257663</vt:i4>
      </vt:variant>
      <vt:variant>
        <vt:i4>0</vt:i4>
      </vt:variant>
      <vt:variant>
        <vt:i4>0</vt:i4>
      </vt:variant>
      <vt:variant>
        <vt:i4>5</vt:i4>
      </vt:variant>
      <vt:variant>
        <vt:lpwstr>http://www.freedomfromtorture.org/sites/default/files/documents/sl_report_a4_-_final-f-b-web.pdf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1614000</dc:title>
  <dc:subject>CAT/C/57/D/628/2014</dc:subject>
  <dc:creator>default</dc:creator>
  <cp:keywords/>
  <dc:description/>
  <cp:lastModifiedBy>Sarah Willig</cp:lastModifiedBy>
  <cp:revision>2</cp:revision>
  <cp:lastPrinted>2016-03-14T12:15:00Z</cp:lastPrinted>
  <dcterms:created xsi:type="dcterms:W3CDTF">2017-04-10T17:45:00Z</dcterms:created>
  <dcterms:modified xsi:type="dcterms:W3CDTF">2017-04-10T17:45:00Z</dcterms:modified>
</cp:coreProperties>
</file>