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40BB7" w:rsidTr="00B6553F">
        <w:trPr>
          <w:cantSplit/>
          <w:trHeight w:hRule="exact" w:val="851"/>
        </w:trPr>
        <w:tc>
          <w:tcPr>
            <w:tcW w:w="1276" w:type="dxa"/>
            <w:tcBorders>
              <w:bottom w:val="single" w:sz="4" w:space="0" w:color="auto"/>
            </w:tcBorders>
            <w:vAlign w:val="bottom"/>
          </w:tcPr>
          <w:p w:rsidR="00B56E9C" w:rsidRPr="00A615F5" w:rsidRDefault="00A615F5" w:rsidP="00A615F5">
            <w:pPr>
              <w:spacing w:line="20" w:lineRule="exact"/>
              <w:rPr>
                <w:sz w:val="2"/>
              </w:rPr>
            </w:pPr>
            <w:r>
              <w:rPr>
                <w:rStyle w:val="CommentReference"/>
              </w:rPr>
              <w:commentReference w:id="0"/>
            </w:r>
            <w:bookmarkStart w:id="1" w:name="_GoBack"/>
            <w:bookmarkEnd w:id="1"/>
          </w:p>
          <w:p w:rsidR="00A615F5" w:rsidRPr="00340BB7" w:rsidRDefault="00A615F5" w:rsidP="00B6553F">
            <w:pPr>
              <w:spacing w:after="80"/>
            </w:pPr>
          </w:p>
        </w:tc>
        <w:tc>
          <w:tcPr>
            <w:tcW w:w="2268" w:type="dxa"/>
            <w:tcBorders>
              <w:bottom w:val="single" w:sz="4" w:space="0" w:color="auto"/>
            </w:tcBorders>
            <w:vAlign w:val="bottom"/>
          </w:tcPr>
          <w:p w:rsidR="00B56E9C" w:rsidRPr="00340BB7" w:rsidRDefault="00B56E9C" w:rsidP="00B6553F">
            <w:pPr>
              <w:spacing w:after="80" w:line="300" w:lineRule="exact"/>
              <w:rPr>
                <w:b/>
                <w:sz w:val="24"/>
                <w:szCs w:val="24"/>
              </w:rPr>
            </w:pPr>
            <w:r w:rsidRPr="00340BB7">
              <w:rPr>
                <w:sz w:val="28"/>
                <w:szCs w:val="28"/>
              </w:rPr>
              <w:t>United Nations</w:t>
            </w:r>
          </w:p>
        </w:tc>
        <w:tc>
          <w:tcPr>
            <w:tcW w:w="6095" w:type="dxa"/>
            <w:gridSpan w:val="2"/>
            <w:tcBorders>
              <w:bottom w:val="single" w:sz="4" w:space="0" w:color="auto"/>
            </w:tcBorders>
            <w:vAlign w:val="bottom"/>
          </w:tcPr>
          <w:p w:rsidR="00B56E9C" w:rsidRPr="00340BB7" w:rsidRDefault="00E0440B" w:rsidP="00EA7051">
            <w:pPr>
              <w:jc w:val="right"/>
            </w:pPr>
            <w:r w:rsidRPr="00340BB7">
              <w:rPr>
                <w:sz w:val="40"/>
              </w:rPr>
              <w:t>CCPR</w:t>
            </w:r>
            <w:r w:rsidR="009D2070" w:rsidRPr="00340BB7">
              <w:t>/C/114/D/2428</w:t>
            </w:r>
            <w:r w:rsidRPr="00340BB7">
              <w:t>/201</w:t>
            </w:r>
            <w:r w:rsidR="00EF73FA" w:rsidRPr="00340BB7">
              <w:t>4</w:t>
            </w:r>
          </w:p>
        </w:tc>
      </w:tr>
      <w:tr w:rsidR="00B56E9C" w:rsidRPr="00340BB7" w:rsidTr="00B6553F">
        <w:trPr>
          <w:cantSplit/>
          <w:trHeight w:hRule="exact" w:val="2835"/>
        </w:trPr>
        <w:tc>
          <w:tcPr>
            <w:tcW w:w="1276" w:type="dxa"/>
            <w:tcBorders>
              <w:top w:val="single" w:sz="4" w:space="0" w:color="auto"/>
              <w:bottom w:val="single" w:sz="12" w:space="0" w:color="auto"/>
            </w:tcBorders>
          </w:tcPr>
          <w:p w:rsidR="00B56E9C" w:rsidRPr="00340BB7" w:rsidRDefault="00F330F4" w:rsidP="00B6553F">
            <w:pPr>
              <w:spacing w:before="120"/>
            </w:pPr>
            <w:r w:rsidRPr="00340BB7">
              <w:rPr>
                <w:noProof/>
                <w:lang w:eastAsia="zh-CN"/>
              </w:rPr>
              <w:drawing>
                <wp:inline distT="0" distB="0" distL="0" distR="0" wp14:anchorId="4A2CD0A8" wp14:editId="344D887C">
                  <wp:extent cx="709295" cy="596265"/>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29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45561" w:rsidRPr="003B65B0" w:rsidRDefault="00B56E9C" w:rsidP="00267F5F">
            <w:pPr>
              <w:spacing w:before="120" w:line="380" w:lineRule="exact"/>
              <w:rPr>
                <w:b/>
                <w:sz w:val="34"/>
                <w:szCs w:val="40"/>
              </w:rPr>
            </w:pPr>
            <w:r w:rsidRPr="00340BB7">
              <w:rPr>
                <w:b/>
                <w:sz w:val="34"/>
                <w:szCs w:val="40"/>
              </w:rPr>
              <w:t xml:space="preserve">International </w:t>
            </w:r>
            <w:r w:rsidR="00060C3A" w:rsidRPr="00340BB7">
              <w:rPr>
                <w:b/>
                <w:sz w:val="34"/>
                <w:szCs w:val="40"/>
              </w:rPr>
              <w:t>Covenant on</w:t>
            </w:r>
            <w:r w:rsidR="00060C3A" w:rsidRPr="00340BB7">
              <w:rPr>
                <w:b/>
                <w:sz w:val="34"/>
                <w:szCs w:val="40"/>
              </w:rPr>
              <w:br/>
              <w:t>Civil and Political R</w:t>
            </w:r>
            <w:r w:rsidR="00703577" w:rsidRPr="00340BB7">
              <w:rPr>
                <w:b/>
                <w:sz w:val="34"/>
                <w:szCs w:val="40"/>
              </w:rPr>
              <w:t>ights</w:t>
            </w:r>
          </w:p>
        </w:tc>
        <w:tc>
          <w:tcPr>
            <w:tcW w:w="2835" w:type="dxa"/>
            <w:tcBorders>
              <w:top w:val="single" w:sz="4" w:space="0" w:color="auto"/>
              <w:bottom w:val="single" w:sz="12" w:space="0" w:color="auto"/>
            </w:tcBorders>
          </w:tcPr>
          <w:p w:rsidR="00B56E9C" w:rsidRPr="00340BB7" w:rsidRDefault="00E0440B" w:rsidP="00E0440B">
            <w:pPr>
              <w:spacing w:before="240" w:line="240" w:lineRule="exact"/>
            </w:pPr>
            <w:r w:rsidRPr="00340BB7">
              <w:t xml:space="preserve">Distr.: </w:t>
            </w:r>
            <w:r w:rsidR="00345561" w:rsidRPr="00340BB7">
              <w:t>General</w:t>
            </w:r>
          </w:p>
          <w:p w:rsidR="00E0440B" w:rsidRPr="00340BB7" w:rsidRDefault="005B03FB" w:rsidP="005B03FB">
            <w:pPr>
              <w:spacing w:line="240" w:lineRule="exact"/>
            </w:pPr>
            <w:r w:rsidRPr="003B65B0">
              <w:t>26</w:t>
            </w:r>
            <w:r w:rsidR="00BD49B8" w:rsidRPr="005B03FB">
              <w:t xml:space="preserve"> August</w:t>
            </w:r>
            <w:r w:rsidR="00EF73FA" w:rsidRPr="005B03FB">
              <w:t xml:space="preserve"> 2015</w:t>
            </w:r>
          </w:p>
          <w:p w:rsidR="00E0440B" w:rsidRPr="00340BB7" w:rsidRDefault="00E0440B" w:rsidP="00E0440B">
            <w:pPr>
              <w:spacing w:line="240" w:lineRule="exact"/>
            </w:pPr>
          </w:p>
          <w:p w:rsidR="00E0440B" w:rsidRPr="00340BB7" w:rsidRDefault="00E0440B" w:rsidP="00E0440B">
            <w:pPr>
              <w:spacing w:line="240" w:lineRule="exact"/>
            </w:pPr>
            <w:r w:rsidRPr="00340BB7">
              <w:t>Original: English</w:t>
            </w:r>
          </w:p>
          <w:p w:rsidR="00237314" w:rsidRPr="00340BB7" w:rsidRDefault="00237314" w:rsidP="00E0440B">
            <w:pPr>
              <w:spacing w:line="240" w:lineRule="exact"/>
            </w:pPr>
          </w:p>
        </w:tc>
      </w:tr>
    </w:tbl>
    <w:p w:rsidR="00CC3666" w:rsidRPr="00340BB7" w:rsidRDefault="00CC3666" w:rsidP="00CC3666">
      <w:pPr>
        <w:spacing w:before="120"/>
        <w:rPr>
          <w:b/>
          <w:sz w:val="24"/>
          <w:szCs w:val="24"/>
        </w:rPr>
      </w:pPr>
      <w:r w:rsidRPr="00340BB7">
        <w:rPr>
          <w:b/>
          <w:sz w:val="24"/>
          <w:szCs w:val="24"/>
        </w:rPr>
        <w:t>Human Rights Committee</w:t>
      </w:r>
    </w:p>
    <w:p w:rsidR="00F330F4" w:rsidRPr="00340BB7" w:rsidRDefault="00CC3666" w:rsidP="00F330F4">
      <w:pPr>
        <w:pStyle w:val="HChG"/>
      </w:pPr>
      <w:r w:rsidRPr="00340BB7">
        <w:tab/>
      </w:r>
      <w:r w:rsidRPr="00340BB7">
        <w:tab/>
        <w:t xml:space="preserve">Communication No. </w:t>
      </w:r>
      <w:r w:rsidR="009D2070" w:rsidRPr="00340BB7">
        <w:t>2428</w:t>
      </w:r>
      <w:r w:rsidRPr="00340BB7">
        <w:t>/201</w:t>
      </w:r>
      <w:r w:rsidR="00EF73FA" w:rsidRPr="00340BB7">
        <w:t>4</w:t>
      </w:r>
    </w:p>
    <w:p w:rsidR="00345561" w:rsidRPr="00340BB7" w:rsidRDefault="00F330F4" w:rsidP="00F330F4">
      <w:pPr>
        <w:pStyle w:val="HChG"/>
      </w:pPr>
      <w:r w:rsidRPr="00340BB7">
        <w:tab/>
      </w:r>
      <w:r w:rsidRPr="00340BB7">
        <w:tab/>
      </w:r>
      <w:r w:rsidR="00345561" w:rsidRPr="00340BB7">
        <w:t>Decision adopted by the Committee at its 114</w:t>
      </w:r>
      <w:r w:rsidR="00345561" w:rsidRPr="003B65B0">
        <w:t>th</w:t>
      </w:r>
      <w:r w:rsidR="00345561" w:rsidRPr="00340BB7">
        <w:t xml:space="preserve"> session </w:t>
      </w:r>
      <w:r w:rsidRPr="00340BB7">
        <w:br/>
      </w:r>
      <w:r w:rsidR="00345561" w:rsidRPr="00340BB7">
        <w:t>(</w:t>
      </w:r>
      <w:r w:rsidR="00345561" w:rsidRPr="00340BB7">
        <w:rPr>
          <w:bCs/>
        </w:rPr>
        <w:t>29 June–24 July 2015)</w:t>
      </w:r>
    </w:p>
    <w:p w:rsidR="00CC3666" w:rsidRPr="003B65B0" w:rsidRDefault="00CC3666">
      <w:pPr>
        <w:pStyle w:val="SingleTxtG"/>
        <w:ind w:left="4536" w:hanging="3402"/>
        <w:jc w:val="left"/>
        <w:rPr>
          <w:lang w:val="en-GB"/>
        </w:rPr>
      </w:pPr>
      <w:r w:rsidRPr="00340BB7">
        <w:rPr>
          <w:i/>
          <w:lang w:val="en-GB"/>
        </w:rPr>
        <w:t>Submitted by:</w:t>
      </w:r>
      <w:r w:rsidRPr="00340BB7">
        <w:rPr>
          <w:i/>
          <w:lang w:val="en-GB"/>
        </w:rPr>
        <w:tab/>
      </w:r>
      <w:r w:rsidR="00F330F4" w:rsidRPr="00340BB7">
        <w:rPr>
          <w:i/>
          <w:lang w:val="en-GB"/>
        </w:rPr>
        <w:tab/>
      </w:r>
      <w:r w:rsidR="00345561" w:rsidRPr="00340BB7">
        <w:rPr>
          <w:lang w:val="en-GB"/>
        </w:rPr>
        <w:t>I.A.A.</w:t>
      </w:r>
      <w:r w:rsidR="00F330F4" w:rsidRPr="00340BB7">
        <w:rPr>
          <w:lang w:val="en-GB"/>
        </w:rPr>
        <w:t xml:space="preserve"> </w:t>
      </w:r>
      <w:r w:rsidR="009D2070" w:rsidRPr="00340BB7">
        <w:rPr>
          <w:lang w:val="en-GB"/>
        </w:rPr>
        <w:t>et</w:t>
      </w:r>
      <w:r w:rsidR="00EF73FA" w:rsidRPr="00340BB7">
        <w:rPr>
          <w:lang w:val="en-GB"/>
        </w:rPr>
        <w:t xml:space="preserve"> al. </w:t>
      </w:r>
      <w:r w:rsidRPr="00340BB7">
        <w:rPr>
          <w:lang w:val="en-GB"/>
        </w:rPr>
        <w:t xml:space="preserve">(represented by </w:t>
      </w:r>
      <w:r w:rsidR="00AC61F3" w:rsidRPr="00340BB7">
        <w:rPr>
          <w:lang w:val="en-GB"/>
        </w:rPr>
        <w:t>the Danish Refugee Council</w:t>
      </w:r>
      <w:r w:rsidRPr="00340BB7">
        <w:rPr>
          <w:lang w:val="en-GB"/>
        </w:rPr>
        <w:t>)</w:t>
      </w:r>
    </w:p>
    <w:p w:rsidR="00CC3666" w:rsidRPr="00340BB7" w:rsidRDefault="00CC3666">
      <w:pPr>
        <w:pStyle w:val="SingleTxtG"/>
        <w:ind w:left="4536" w:hanging="3402"/>
        <w:jc w:val="left"/>
        <w:rPr>
          <w:i/>
          <w:lang w:val="en-GB"/>
        </w:rPr>
      </w:pPr>
      <w:r w:rsidRPr="00340BB7">
        <w:rPr>
          <w:i/>
          <w:lang w:val="en-GB"/>
        </w:rPr>
        <w:t>Alleged victim:</w:t>
      </w:r>
      <w:r w:rsidRPr="00340BB7">
        <w:rPr>
          <w:i/>
          <w:lang w:val="en-GB"/>
        </w:rPr>
        <w:tab/>
      </w:r>
      <w:r w:rsidRPr="00340BB7">
        <w:rPr>
          <w:lang w:val="en-GB"/>
        </w:rPr>
        <w:t>The author</w:t>
      </w:r>
    </w:p>
    <w:p w:rsidR="00CC3666" w:rsidRPr="00340BB7" w:rsidRDefault="00CC3666">
      <w:pPr>
        <w:pStyle w:val="SingleTxtG"/>
        <w:ind w:left="4536" w:hanging="3402"/>
        <w:jc w:val="left"/>
        <w:rPr>
          <w:i/>
          <w:lang w:val="en-GB"/>
        </w:rPr>
      </w:pPr>
      <w:r w:rsidRPr="00340BB7">
        <w:rPr>
          <w:i/>
          <w:lang w:val="en-GB"/>
        </w:rPr>
        <w:t>State Party:</w:t>
      </w:r>
      <w:r w:rsidRPr="00340BB7">
        <w:rPr>
          <w:i/>
          <w:lang w:val="en-GB"/>
        </w:rPr>
        <w:tab/>
      </w:r>
      <w:r w:rsidR="00AC61F3" w:rsidRPr="00340BB7">
        <w:rPr>
          <w:lang w:val="en-GB"/>
        </w:rPr>
        <w:t>Denmark</w:t>
      </w:r>
    </w:p>
    <w:p w:rsidR="00CC3666" w:rsidRPr="00340BB7" w:rsidRDefault="00CC3666">
      <w:pPr>
        <w:pStyle w:val="SingleTxtG"/>
        <w:ind w:left="4536" w:hanging="3402"/>
        <w:jc w:val="left"/>
        <w:rPr>
          <w:i/>
          <w:lang w:val="en-GB"/>
        </w:rPr>
      </w:pPr>
      <w:r w:rsidRPr="00340BB7">
        <w:rPr>
          <w:i/>
          <w:lang w:val="en-GB"/>
        </w:rPr>
        <w:t>Date of communication:</w:t>
      </w:r>
      <w:r w:rsidRPr="00340BB7">
        <w:rPr>
          <w:i/>
          <w:lang w:val="en-GB"/>
        </w:rPr>
        <w:tab/>
      </w:r>
      <w:r w:rsidR="00AC61F3" w:rsidRPr="00340BB7">
        <w:rPr>
          <w:lang w:val="en-GB"/>
        </w:rPr>
        <w:t xml:space="preserve">17 </w:t>
      </w:r>
      <w:r w:rsidR="009D2070" w:rsidRPr="00340BB7">
        <w:rPr>
          <w:lang w:val="en-GB"/>
        </w:rPr>
        <w:t>June</w:t>
      </w:r>
      <w:r w:rsidR="00AC61F3" w:rsidRPr="00340BB7">
        <w:rPr>
          <w:lang w:val="en-GB"/>
        </w:rPr>
        <w:t xml:space="preserve"> 2014</w:t>
      </w:r>
      <w:r w:rsidRPr="00340BB7">
        <w:rPr>
          <w:lang w:val="en-GB"/>
        </w:rPr>
        <w:t xml:space="preserve"> (initial submission)</w:t>
      </w:r>
    </w:p>
    <w:p w:rsidR="00CC3666" w:rsidRPr="00340BB7" w:rsidRDefault="00CC3666">
      <w:pPr>
        <w:pStyle w:val="SingleTxtG"/>
        <w:ind w:left="4536" w:hanging="3402"/>
        <w:jc w:val="left"/>
        <w:rPr>
          <w:i/>
          <w:lang w:val="en-GB"/>
        </w:rPr>
      </w:pPr>
      <w:r w:rsidRPr="00340BB7">
        <w:rPr>
          <w:i/>
          <w:lang w:val="en-GB"/>
        </w:rPr>
        <w:t>Document references:</w:t>
      </w:r>
      <w:r w:rsidRPr="00340BB7">
        <w:rPr>
          <w:i/>
          <w:lang w:val="en-GB"/>
        </w:rPr>
        <w:tab/>
      </w:r>
      <w:r w:rsidRPr="00340BB7">
        <w:rPr>
          <w:lang w:val="en-GB"/>
        </w:rPr>
        <w:t xml:space="preserve">Special Rapporteur’s rule 97 decision, transmitted to the State party on </w:t>
      </w:r>
      <w:r w:rsidR="00AC61F3" w:rsidRPr="00340BB7">
        <w:rPr>
          <w:lang w:val="en-GB"/>
        </w:rPr>
        <w:t xml:space="preserve">19 </w:t>
      </w:r>
      <w:r w:rsidR="009D2070" w:rsidRPr="00340BB7">
        <w:rPr>
          <w:lang w:val="en-GB"/>
        </w:rPr>
        <w:t>June</w:t>
      </w:r>
      <w:r w:rsidR="00AC61F3" w:rsidRPr="00340BB7">
        <w:rPr>
          <w:lang w:val="en-GB"/>
        </w:rPr>
        <w:t xml:space="preserve"> 2014</w:t>
      </w:r>
      <w:r w:rsidRPr="00340BB7">
        <w:rPr>
          <w:lang w:val="en-GB"/>
        </w:rPr>
        <w:t xml:space="preserve"> (not issued in document form)</w:t>
      </w:r>
    </w:p>
    <w:p w:rsidR="00CC3666" w:rsidRDefault="00CC3666">
      <w:pPr>
        <w:pStyle w:val="SingleTxtG"/>
        <w:ind w:left="4536" w:hanging="3402"/>
        <w:jc w:val="left"/>
        <w:rPr>
          <w:lang w:val="en-GB"/>
        </w:rPr>
      </w:pPr>
      <w:r w:rsidRPr="00340BB7">
        <w:rPr>
          <w:i/>
          <w:lang w:val="en-GB"/>
        </w:rPr>
        <w:t xml:space="preserve">Date of adoption of </w:t>
      </w:r>
      <w:r w:rsidR="00237314" w:rsidRPr="00340BB7">
        <w:rPr>
          <w:i/>
          <w:lang w:val="en-GB"/>
        </w:rPr>
        <w:t>decision</w:t>
      </w:r>
      <w:r w:rsidRPr="00340BB7">
        <w:rPr>
          <w:i/>
          <w:lang w:val="en-GB"/>
        </w:rPr>
        <w:t>:</w:t>
      </w:r>
      <w:r w:rsidRPr="00340BB7">
        <w:rPr>
          <w:i/>
          <w:lang w:val="en-GB"/>
        </w:rPr>
        <w:tab/>
      </w:r>
      <w:r w:rsidR="00F330F4" w:rsidRPr="00340BB7">
        <w:rPr>
          <w:lang w:val="en-GB"/>
        </w:rPr>
        <w:t>2</w:t>
      </w:r>
      <w:r w:rsidR="004930A8" w:rsidRPr="00340BB7">
        <w:rPr>
          <w:lang w:val="en-GB"/>
        </w:rPr>
        <w:t>3</w:t>
      </w:r>
      <w:r w:rsidR="00901CB3" w:rsidRPr="00340BB7">
        <w:rPr>
          <w:lang w:val="en-GB"/>
        </w:rPr>
        <w:t xml:space="preserve"> </w:t>
      </w:r>
      <w:r w:rsidR="00AC61F3" w:rsidRPr="00340BB7">
        <w:rPr>
          <w:lang w:val="en-GB"/>
        </w:rPr>
        <w:t>July</w:t>
      </w:r>
      <w:r w:rsidRPr="00340BB7">
        <w:rPr>
          <w:lang w:val="en-GB"/>
        </w:rPr>
        <w:t xml:space="preserve"> 2015</w:t>
      </w:r>
    </w:p>
    <w:p w:rsidR="00CC3666" w:rsidRPr="00340BB7" w:rsidRDefault="00340BB7" w:rsidP="003B65B0">
      <w:pPr>
        <w:pStyle w:val="SingleTxtG"/>
        <w:ind w:left="4536" w:hanging="3402"/>
        <w:jc w:val="left"/>
        <w:rPr>
          <w:iCs/>
          <w:lang w:val="en-GB"/>
        </w:rPr>
      </w:pPr>
      <w:r w:rsidRPr="00340BB7">
        <w:rPr>
          <w:i/>
          <w:lang w:val="en-GB"/>
        </w:rPr>
        <w:t xml:space="preserve">Subject matter: </w:t>
      </w:r>
      <w:r w:rsidRPr="00340BB7">
        <w:rPr>
          <w:i/>
          <w:lang w:val="en-GB"/>
        </w:rPr>
        <w:tab/>
      </w:r>
      <w:r w:rsidRPr="00340BB7">
        <w:rPr>
          <w:iCs/>
          <w:lang w:val="en-GB"/>
        </w:rPr>
        <w:t>Deportation from Denmark to Italy</w:t>
      </w:r>
    </w:p>
    <w:p w:rsidR="00D13B20" w:rsidRPr="00340BB7" w:rsidRDefault="00CC3666">
      <w:pPr>
        <w:pStyle w:val="SingleTxtG"/>
        <w:ind w:left="4536" w:hanging="3402"/>
        <w:jc w:val="left"/>
        <w:rPr>
          <w:lang w:val="en-GB"/>
        </w:rPr>
      </w:pPr>
      <w:r w:rsidRPr="00340BB7">
        <w:rPr>
          <w:i/>
          <w:lang w:val="en-GB"/>
        </w:rPr>
        <w:t>Procedural issue</w:t>
      </w:r>
      <w:r w:rsidR="00F239E8" w:rsidRPr="00340BB7">
        <w:rPr>
          <w:i/>
          <w:lang w:val="en-GB"/>
        </w:rPr>
        <w:t>s</w:t>
      </w:r>
      <w:r w:rsidRPr="00340BB7">
        <w:rPr>
          <w:i/>
          <w:lang w:val="en-GB"/>
        </w:rPr>
        <w:t>:</w:t>
      </w:r>
      <w:r w:rsidRPr="00340BB7">
        <w:rPr>
          <w:lang w:val="en-GB"/>
        </w:rPr>
        <w:t xml:space="preserve"> </w:t>
      </w:r>
      <w:r w:rsidRPr="00340BB7">
        <w:rPr>
          <w:lang w:val="en-GB"/>
        </w:rPr>
        <w:tab/>
      </w:r>
      <w:r w:rsidR="003055FC" w:rsidRPr="00340BB7">
        <w:rPr>
          <w:lang w:val="en-GB"/>
        </w:rPr>
        <w:t>Exhaustion of domestic remedies </w:t>
      </w:r>
    </w:p>
    <w:p w:rsidR="00BA7FB2" w:rsidRPr="00340BB7" w:rsidRDefault="00CC3666">
      <w:pPr>
        <w:pStyle w:val="SingleTxtG"/>
        <w:ind w:left="4536" w:hanging="3402"/>
        <w:jc w:val="left"/>
        <w:rPr>
          <w:lang w:val="en-GB"/>
        </w:rPr>
      </w:pPr>
      <w:r w:rsidRPr="00340BB7">
        <w:rPr>
          <w:i/>
          <w:lang w:val="en-GB"/>
        </w:rPr>
        <w:t>Substantive issues:</w:t>
      </w:r>
      <w:r w:rsidRPr="00340BB7">
        <w:rPr>
          <w:lang w:val="en-GB"/>
        </w:rPr>
        <w:t xml:space="preserve"> </w:t>
      </w:r>
      <w:r w:rsidRPr="00340BB7">
        <w:rPr>
          <w:lang w:val="en-GB"/>
        </w:rPr>
        <w:tab/>
      </w:r>
      <w:r w:rsidR="00BA7FB2" w:rsidRPr="00340BB7">
        <w:rPr>
          <w:lang w:val="en-GB"/>
        </w:rPr>
        <w:t>P</w:t>
      </w:r>
      <w:r w:rsidRPr="00340BB7">
        <w:rPr>
          <w:lang w:val="en-GB"/>
        </w:rPr>
        <w:t>rohibition of torture or cruel, inhuman or degrading treatment</w:t>
      </w:r>
    </w:p>
    <w:p w:rsidR="00BA7FB2" w:rsidRPr="00340BB7" w:rsidRDefault="00CC3666">
      <w:pPr>
        <w:pStyle w:val="SingleTxtG"/>
        <w:ind w:left="4536" w:hanging="3402"/>
        <w:jc w:val="left"/>
        <w:rPr>
          <w:lang w:val="en-GB"/>
        </w:rPr>
      </w:pPr>
      <w:r w:rsidRPr="00340BB7">
        <w:rPr>
          <w:i/>
          <w:lang w:val="en-GB"/>
        </w:rPr>
        <w:t>Articles of the Covenant:</w:t>
      </w:r>
      <w:r w:rsidRPr="00340BB7">
        <w:rPr>
          <w:lang w:val="en-GB"/>
        </w:rPr>
        <w:t xml:space="preserve"> </w:t>
      </w:r>
      <w:r w:rsidRPr="00340BB7">
        <w:rPr>
          <w:lang w:val="en-GB"/>
        </w:rPr>
        <w:tab/>
        <w:t>7</w:t>
      </w:r>
    </w:p>
    <w:p w:rsidR="00CC3666" w:rsidRPr="00340BB7" w:rsidRDefault="00CC3666">
      <w:pPr>
        <w:pStyle w:val="SingleTxtG"/>
        <w:ind w:left="4536" w:hanging="3402"/>
        <w:jc w:val="left"/>
        <w:rPr>
          <w:lang w:val="en-GB"/>
        </w:rPr>
      </w:pPr>
      <w:r w:rsidRPr="00340BB7">
        <w:rPr>
          <w:i/>
          <w:lang w:val="en-GB"/>
        </w:rPr>
        <w:t>Articles of the Optional Protocol:</w:t>
      </w:r>
      <w:r w:rsidRPr="00340BB7">
        <w:rPr>
          <w:lang w:val="en-GB"/>
        </w:rPr>
        <w:t xml:space="preserve"> </w:t>
      </w:r>
      <w:r w:rsidRPr="00340BB7">
        <w:rPr>
          <w:lang w:val="en-GB"/>
        </w:rPr>
        <w:tab/>
      </w:r>
      <w:r w:rsidR="003055FC" w:rsidRPr="00340BB7">
        <w:rPr>
          <w:lang w:val="en-GB"/>
        </w:rPr>
        <w:t>5 (2) (b)</w:t>
      </w:r>
    </w:p>
    <w:p w:rsidR="00CC3666" w:rsidRPr="00340BB7" w:rsidRDefault="00CC3666" w:rsidP="00CC3666">
      <w:pPr>
        <w:pStyle w:val="HChG"/>
      </w:pPr>
      <w:r w:rsidRPr="00340BB7">
        <w:br w:type="page"/>
      </w:r>
      <w:r w:rsidRPr="00340BB7">
        <w:lastRenderedPageBreak/>
        <w:t>Annex</w:t>
      </w:r>
    </w:p>
    <w:p w:rsidR="00CC3666" w:rsidRPr="00340BB7" w:rsidRDefault="00CC3666" w:rsidP="00CC3666">
      <w:pPr>
        <w:pStyle w:val="HChG"/>
        <w:rPr>
          <w:bCs/>
        </w:rPr>
      </w:pPr>
      <w:r w:rsidRPr="00340BB7">
        <w:tab/>
      </w:r>
      <w:r w:rsidRPr="00340BB7">
        <w:tab/>
      </w:r>
      <w:r w:rsidR="001A63D5" w:rsidRPr="00340BB7">
        <w:t xml:space="preserve">Decision </w:t>
      </w:r>
      <w:r w:rsidRPr="00340BB7">
        <w:t>of the Human Rights Committee under article 5, paragraph 4, of the Optional Protocol to the International Covenant on Civil and Political Rights</w:t>
      </w:r>
      <w:r w:rsidR="00B1244D">
        <w:t xml:space="preserve"> </w:t>
      </w:r>
      <w:r w:rsidRPr="00340BB7">
        <w:t>(</w:t>
      </w:r>
      <w:r w:rsidR="00F330F4" w:rsidRPr="00340BB7">
        <w:t>114</w:t>
      </w:r>
      <w:r w:rsidR="00F330F4" w:rsidRPr="00CD2B9D">
        <w:t>th</w:t>
      </w:r>
      <w:r w:rsidR="00F330F4" w:rsidRPr="00340BB7">
        <w:t xml:space="preserve"> session</w:t>
      </w:r>
      <w:r w:rsidRPr="00340BB7">
        <w:rPr>
          <w:bCs/>
        </w:rPr>
        <w:t>)</w:t>
      </w:r>
    </w:p>
    <w:p w:rsidR="00CC3666" w:rsidRPr="00340BB7" w:rsidRDefault="00CC3666" w:rsidP="00CC3666">
      <w:pPr>
        <w:pStyle w:val="SingleTxtG"/>
        <w:rPr>
          <w:lang w:val="en-GB"/>
        </w:rPr>
      </w:pPr>
      <w:r w:rsidRPr="00340BB7">
        <w:rPr>
          <w:lang w:val="en-GB"/>
        </w:rPr>
        <w:t>concerning</w:t>
      </w:r>
    </w:p>
    <w:p w:rsidR="00CC3666" w:rsidRPr="00340BB7" w:rsidRDefault="00CC3666" w:rsidP="00CC3666">
      <w:pPr>
        <w:pStyle w:val="H1G"/>
      </w:pPr>
      <w:r w:rsidRPr="00340BB7">
        <w:tab/>
      </w:r>
      <w:r w:rsidRPr="00340BB7">
        <w:tab/>
        <w:t>Communication No. 2</w:t>
      </w:r>
      <w:r w:rsidR="009222EC" w:rsidRPr="00340BB7">
        <w:t>428</w:t>
      </w:r>
      <w:r w:rsidRPr="00340BB7">
        <w:t>/201</w:t>
      </w:r>
      <w:r w:rsidR="002036B9" w:rsidRPr="00340BB7">
        <w:t>4</w:t>
      </w:r>
      <w:r w:rsidR="000B2F08" w:rsidRPr="003B65B0">
        <w:rPr>
          <w:rStyle w:val="FootnoteReference"/>
          <w:rFonts w:eastAsia="Calibri"/>
          <w:b w:val="0"/>
          <w:sz w:val="20"/>
          <w:vertAlign w:val="baseline"/>
        </w:rPr>
        <w:footnoteReference w:customMarkFollows="1" w:id="2"/>
        <w:t>*</w:t>
      </w:r>
    </w:p>
    <w:p w:rsidR="002036B9" w:rsidRPr="00340BB7" w:rsidRDefault="00CC3666" w:rsidP="002036B9">
      <w:pPr>
        <w:pStyle w:val="SingleTxtG"/>
        <w:ind w:left="4536" w:hanging="3402"/>
        <w:jc w:val="left"/>
        <w:rPr>
          <w:i/>
          <w:lang w:val="en-GB"/>
        </w:rPr>
      </w:pPr>
      <w:r w:rsidRPr="00340BB7">
        <w:rPr>
          <w:i/>
          <w:lang w:val="en-GB"/>
        </w:rPr>
        <w:t>Submitted by:</w:t>
      </w:r>
      <w:r w:rsidRPr="00340BB7">
        <w:rPr>
          <w:lang w:val="en-GB"/>
        </w:rPr>
        <w:tab/>
      </w:r>
      <w:r w:rsidR="00345561" w:rsidRPr="00340BB7">
        <w:rPr>
          <w:lang w:val="en-GB"/>
        </w:rPr>
        <w:t>I.A.A.</w:t>
      </w:r>
      <w:r w:rsidR="002036B9" w:rsidRPr="00340BB7">
        <w:rPr>
          <w:lang w:val="en-GB"/>
        </w:rPr>
        <w:t xml:space="preserve"> et al. (represented by the Danish Refugee Council)</w:t>
      </w:r>
    </w:p>
    <w:p w:rsidR="00CC3666" w:rsidRPr="00340BB7" w:rsidRDefault="00CC3666" w:rsidP="00CC3666">
      <w:pPr>
        <w:pStyle w:val="SingleTxtG"/>
        <w:ind w:left="4536" w:hanging="3402"/>
        <w:jc w:val="left"/>
        <w:rPr>
          <w:lang w:val="en-GB"/>
        </w:rPr>
      </w:pPr>
      <w:r w:rsidRPr="00340BB7">
        <w:rPr>
          <w:i/>
          <w:lang w:val="en-GB"/>
        </w:rPr>
        <w:t>Alleged victim:</w:t>
      </w:r>
      <w:r w:rsidRPr="00340BB7">
        <w:rPr>
          <w:lang w:val="en-GB"/>
        </w:rPr>
        <w:tab/>
        <w:t>The author</w:t>
      </w:r>
    </w:p>
    <w:p w:rsidR="00CC3666" w:rsidRPr="00340BB7" w:rsidRDefault="00CC3666" w:rsidP="00CC3666">
      <w:pPr>
        <w:pStyle w:val="SingleTxtG"/>
        <w:ind w:left="4536" w:hanging="3402"/>
        <w:jc w:val="left"/>
        <w:rPr>
          <w:lang w:val="en-GB"/>
        </w:rPr>
      </w:pPr>
      <w:r w:rsidRPr="00340BB7">
        <w:rPr>
          <w:i/>
          <w:lang w:val="en-GB"/>
        </w:rPr>
        <w:t>State Party:</w:t>
      </w:r>
      <w:r w:rsidRPr="00340BB7">
        <w:rPr>
          <w:lang w:val="en-GB"/>
        </w:rPr>
        <w:tab/>
      </w:r>
      <w:r w:rsidR="002036B9" w:rsidRPr="00340BB7">
        <w:rPr>
          <w:lang w:val="en-GB"/>
        </w:rPr>
        <w:t>Denmark</w:t>
      </w:r>
    </w:p>
    <w:p w:rsidR="00CC3666" w:rsidRPr="00340BB7" w:rsidRDefault="00CC3666" w:rsidP="00CC3666">
      <w:pPr>
        <w:pStyle w:val="SingleTxtG"/>
        <w:ind w:left="4536" w:hanging="3402"/>
        <w:jc w:val="left"/>
        <w:rPr>
          <w:lang w:val="en-GB"/>
        </w:rPr>
      </w:pPr>
      <w:r w:rsidRPr="00340BB7">
        <w:rPr>
          <w:i/>
          <w:lang w:val="en-GB"/>
        </w:rPr>
        <w:t>Date of communication:</w:t>
      </w:r>
      <w:r w:rsidRPr="00340BB7">
        <w:rPr>
          <w:lang w:val="en-GB"/>
        </w:rPr>
        <w:tab/>
      </w:r>
      <w:r w:rsidR="002036B9" w:rsidRPr="00340BB7">
        <w:rPr>
          <w:lang w:val="en-GB"/>
        </w:rPr>
        <w:t xml:space="preserve">17 </w:t>
      </w:r>
      <w:r w:rsidR="009222EC" w:rsidRPr="00340BB7">
        <w:rPr>
          <w:lang w:val="en-GB"/>
        </w:rPr>
        <w:t>June</w:t>
      </w:r>
      <w:r w:rsidR="002036B9" w:rsidRPr="00340BB7">
        <w:rPr>
          <w:lang w:val="en-GB"/>
        </w:rPr>
        <w:t xml:space="preserve"> 2014</w:t>
      </w:r>
      <w:r w:rsidRPr="00340BB7">
        <w:rPr>
          <w:lang w:val="en-GB"/>
        </w:rPr>
        <w:t xml:space="preserve"> (initial submission)</w:t>
      </w:r>
    </w:p>
    <w:p w:rsidR="00CC3666" w:rsidRPr="00340BB7" w:rsidRDefault="00CC3666" w:rsidP="00CC3666">
      <w:pPr>
        <w:pStyle w:val="SingleTxtG"/>
        <w:rPr>
          <w:lang w:val="en-GB"/>
        </w:rPr>
      </w:pPr>
      <w:r w:rsidRPr="00340BB7">
        <w:rPr>
          <w:lang w:val="en-GB"/>
        </w:rPr>
        <w:tab/>
      </w:r>
      <w:r w:rsidRPr="00340BB7">
        <w:rPr>
          <w:i/>
          <w:lang w:val="en-GB"/>
        </w:rPr>
        <w:t>The Human Rights Committee</w:t>
      </w:r>
      <w:r w:rsidRPr="00340BB7">
        <w:rPr>
          <w:lang w:val="en-GB"/>
        </w:rPr>
        <w:t xml:space="preserve">, established under article 28 of the International Covenant on Civil and Political Rights, </w:t>
      </w:r>
    </w:p>
    <w:p w:rsidR="00CC3666" w:rsidRPr="00340BB7" w:rsidRDefault="00CC3666" w:rsidP="00CC3666">
      <w:pPr>
        <w:pStyle w:val="SingleTxtG"/>
        <w:rPr>
          <w:lang w:val="en-GB"/>
        </w:rPr>
      </w:pPr>
      <w:r w:rsidRPr="00340BB7">
        <w:rPr>
          <w:lang w:val="en-GB"/>
        </w:rPr>
        <w:tab/>
      </w:r>
      <w:r w:rsidRPr="00340BB7">
        <w:rPr>
          <w:i/>
          <w:lang w:val="en-GB"/>
        </w:rPr>
        <w:t>Meeting</w:t>
      </w:r>
      <w:r w:rsidRPr="003B65B0">
        <w:rPr>
          <w:iCs/>
          <w:lang w:val="en-GB"/>
        </w:rPr>
        <w:t xml:space="preserve"> on</w:t>
      </w:r>
      <w:r w:rsidRPr="00340BB7">
        <w:rPr>
          <w:i/>
          <w:lang w:val="en-GB"/>
        </w:rPr>
        <w:t xml:space="preserve"> </w:t>
      </w:r>
      <w:r w:rsidR="00901CB3" w:rsidRPr="00340BB7">
        <w:rPr>
          <w:lang w:val="en-GB"/>
        </w:rPr>
        <w:t>2</w:t>
      </w:r>
      <w:r w:rsidR="004930A8" w:rsidRPr="00340BB7">
        <w:rPr>
          <w:lang w:val="en-GB"/>
        </w:rPr>
        <w:t>3</w:t>
      </w:r>
      <w:r w:rsidR="00901CB3" w:rsidRPr="003B65B0">
        <w:rPr>
          <w:lang w:val="en-GB"/>
        </w:rPr>
        <w:t xml:space="preserve"> </w:t>
      </w:r>
      <w:r w:rsidR="002036B9" w:rsidRPr="00340BB7">
        <w:rPr>
          <w:lang w:val="en-GB"/>
        </w:rPr>
        <w:t>July</w:t>
      </w:r>
      <w:r w:rsidRPr="00340BB7">
        <w:rPr>
          <w:lang w:val="en-GB"/>
        </w:rPr>
        <w:t xml:space="preserve"> 2015,</w:t>
      </w:r>
    </w:p>
    <w:p w:rsidR="00CC3666" w:rsidRPr="00340BB7" w:rsidRDefault="00CC3666" w:rsidP="00CC3666">
      <w:pPr>
        <w:pStyle w:val="SingleTxtG"/>
        <w:rPr>
          <w:lang w:val="en-GB"/>
        </w:rPr>
      </w:pPr>
      <w:r w:rsidRPr="00340BB7">
        <w:rPr>
          <w:lang w:val="en-GB"/>
        </w:rPr>
        <w:tab/>
      </w:r>
      <w:r w:rsidRPr="00340BB7">
        <w:rPr>
          <w:i/>
          <w:lang w:val="en-GB"/>
        </w:rPr>
        <w:t>Having concluded</w:t>
      </w:r>
      <w:r w:rsidRPr="00340BB7">
        <w:rPr>
          <w:lang w:val="en-GB"/>
        </w:rPr>
        <w:t xml:space="preserve"> its consideration of communication No. </w:t>
      </w:r>
      <w:r w:rsidR="009222EC" w:rsidRPr="00340BB7">
        <w:rPr>
          <w:lang w:val="en-GB"/>
        </w:rPr>
        <w:t>2428</w:t>
      </w:r>
      <w:r w:rsidRPr="00340BB7">
        <w:rPr>
          <w:lang w:val="en-GB"/>
        </w:rPr>
        <w:t>/201</w:t>
      </w:r>
      <w:r w:rsidR="002036B9" w:rsidRPr="00340BB7">
        <w:rPr>
          <w:lang w:val="en-GB"/>
        </w:rPr>
        <w:t>4</w:t>
      </w:r>
      <w:r w:rsidRPr="00340BB7">
        <w:rPr>
          <w:lang w:val="en-GB"/>
        </w:rPr>
        <w:t xml:space="preserve">, submitted to the Human Rights Committee on behalf of </w:t>
      </w:r>
      <w:r w:rsidR="009222EC" w:rsidRPr="00340BB7">
        <w:rPr>
          <w:lang w:val="en-GB"/>
        </w:rPr>
        <w:t xml:space="preserve">Ms. </w:t>
      </w:r>
      <w:r w:rsidR="00345561" w:rsidRPr="00340BB7">
        <w:rPr>
          <w:lang w:val="en-GB"/>
        </w:rPr>
        <w:t>I.A.A.</w:t>
      </w:r>
      <w:r w:rsidR="009222EC" w:rsidRPr="00340BB7">
        <w:rPr>
          <w:lang w:val="en-GB"/>
        </w:rPr>
        <w:t xml:space="preserve"> et al</w:t>
      </w:r>
      <w:r w:rsidR="002036B9" w:rsidRPr="00340BB7">
        <w:rPr>
          <w:lang w:val="en-GB"/>
        </w:rPr>
        <w:t>.</w:t>
      </w:r>
      <w:r w:rsidRPr="00340BB7">
        <w:rPr>
          <w:lang w:val="en-GB"/>
        </w:rPr>
        <w:t xml:space="preserve"> under the Optional Protocol to the International Covenant on Civil and Political Rights,</w:t>
      </w:r>
    </w:p>
    <w:p w:rsidR="00CC3666" w:rsidRPr="00340BB7" w:rsidRDefault="00CC3666" w:rsidP="00CD2B9D">
      <w:pPr>
        <w:pStyle w:val="SingleTxtG"/>
        <w:rPr>
          <w:lang w:val="en-GB"/>
        </w:rPr>
      </w:pPr>
      <w:r w:rsidRPr="00340BB7">
        <w:rPr>
          <w:lang w:val="en-GB"/>
        </w:rPr>
        <w:tab/>
      </w:r>
      <w:r w:rsidRPr="00340BB7">
        <w:rPr>
          <w:i/>
          <w:lang w:val="en-GB"/>
        </w:rPr>
        <w:t>Having taken into account</w:t>
      </w:r>
      <w:r w:rsidRPr="00340BB7">
        <w:rPr>
          <w:lang w:val="en-GB"/>
        </w:rPr>
        <w:t xml:space="preserve"> all written information made available to it by the author of the communication and the State party,</w:t>
      </w:r>
    </w:p>
    <w:p w:rsidR="00CC3666" w:rsidRPr="00340BB7" w:rsidRDefault="00CC3666" w:rsidP="00CC3666">
      <w:pPr>
        <w:pStyle w:val="SingleTxtG"/>
        <w:rPr>
          <w:bCs/>
          <w:lang w:val="en-GB"/>
        </w:rPr>
      </w:pPr>
      <w:r w:rsidRPr="00340BB7">
        <w:rPr>
          <w:bCs/>
          <w:lang w:val="en-GB"/>
        </w:rPr>
        <w:tab/>
      </w:r>
      <w:r w:rsidRPr="00340BB7">
        <w:rPr>
          <w:i/>
          <w:lang w:val="en-GB"/>
        </w:rPr>
        <w:t>Adopts</w:t>
      </w:r>
      <w:r w:rsidRPr="003B65B0">
        <w:rPr>
          <w:iCs/>
          <w:lang w:val="en-GB"/>
        </w:rPr>
        <w:t xml:space="preserve"> the following</w:t>
      </w:r>
      <w:r w:rsidRPr="003822BA">
        <w:rPr>
          <w:bCs/>
          <w:iCs/>
          <w:lang w:val="en-GB"/>
        </w:rPr>
        <w:t>:</w:t>
      </w:r>
    </w:p>
    <w:p w:rsidR="001A63D5" w:rsidRPr="00340BB7" w:rsidRDefault="00CC3666" w:rsidP="001A63D5">
      <w:pPr>
        <w:pStyle w:val="H1G"/>
      </w:pPr>
      <w:r w:rsidRPr="00340BB7">
        <w:tab/>
      </w:r>
      <w:r w:rsidRPr="00340BB7">
        <w:tab/>
      </w:r>
      <w:r w:rsidR="001A63D5" w:rsidRPr="00340BB7">
        <w:t>Decision on admissibility</w:t>
      </w:r>
    </w:p>
    <w:p w:rsidR="008C3A62" w:rsidRPr="00340BB7" w:rsidRDefault="00CC3666" w:rsidP="00CD2B9D">
      <w:pPr>
        <w:pStyle w:val="SingleTxtG"/>
        <w:rPr>
          <w:lang w:val="en-GB"/>
        </w:rPr>
      </w:pPr>
      <w:r w:rsidRPr="00340BB7">
        <w:rPr>
          <w:lang w:val="en-GB"/>
        </w:rPr>
        <w:t>1.1</w:t>
      </w:r>
      <w:r w:rsidRPr="00340BB7">
        <w:rPr>
          <w:lang w:val="en-GB"/>
        </w:rPr>
        <w:tab/>
      </w:r>
      <w:r w:rsidR="00B22F4B" w:rsidRPr="00340BB7">
        <w:rPr>
          <w:lang w:val="en-GB"/>
        </w:rPr>
        <w:t>The author of the communication</w:t>
      </w:r>
      <w:r w:rsidR="007D241B" w:rsidRPr="00340BB7">
        <w:rPr>
          <w:lang w:val="en-GB"/>
        </w:rPr>
        <w:t xml:space="preserve"> dated</w:t>
      </w:r>
      <w:r w:rsidR="00B22F4B" w:rsidRPr="00340BB7">
        <w:rPr>
          <w:lang w:val="en-GB"/>
        </w:rPr>
        <w:t xml:space="preserve"> 17 </w:t>
      </w:r>
      <w:r w:rsidR="007D241B" w:rsidRPr="00340BB7">
        <w:rPr>
          <w:lang w:val="en-GB"/>
        </w:rPr>
        <w:t xml:space="preserve">June 2014 is Ms. </w:t>
      </w:r>
      <w:r w:rsidR="00345561" w:rsidRPr="00340BB7">
        <w:rPr>
          <w:lang w:val="en-GB"/>
        </w:rPr>
        <w:t>I.A.A.</w:t>
      </w:r>
      <w:r w:rsidR="003F4071" w:rsidRPr="00340BB7">
        <w:rPr>
          <w:lang w:val="en-GB"/>
        </w:rPr>
        <w:t xml:space="preserve">, born on </w:t>
      </w:r>
      <w:r w:rsidR="00CB20AD" w:rsidRPr="00340BB7">
        <w:rPr>
          <w:lang w:val="en-GB"/>
        </w:rPr>
        <w:t xml:space="preserve">31 </w:t>
      </w:r>
      <w:r w:rsidR="003F4071" w:rsidRPr="00340BB7">
        <w:rPr>
          <w:lang w:val="en-GB"/>
        </w:rPr>
        <w:t>May 19</w:t>
      </w:r>
      <w:r w:rsidR="00CB20AD" w:rsidRPr="00340BB7">
        <w:rPr>
          <w:lang w:val="en-GB"/>
        </w:rPr>
        <w:t>84</w:t>
      </w:r>
      <w:r w:rsidR="00B22F4B" w:rsidRPr="00340BB7">
        <w:rPr>
          <w:lang w:val="en-GB"/>
        </w:rPr>
        <w:t>. She brings the complaint on behalf of herself and her t</w:t>
      </w:r>
      <w:r w:rsidR="00CB20AD" w:rsidRPr="00340BB7">
        <w:rPr>
          <w:lang w:val="en-GB"/>
        </w:rPr>
        <w:t xml:space="preserve">wo </w:t>
      </w:r>
      <w:r w:rsidR="00B22F4B" w:rsidRPr="00340BB7">
        <w:rPr>
          <w:lang w:val="en-GB"/>
        </w:rPr>
        <w:t xml:space="preserve">minor children: </w:t>
      </w:r>
      <w:r w:rsidR="00345561" w:rsidRPr="00340BB7">
        <w:rPr>
          <w:lang w:val="en-GB"/>
        </w:rPr>
        <w:t>F.A.A.</w:t>
      </w:r>
      <w:r w:rsidR="00862179">
        <w:rPr>
          <w:lang w:val="en-GB"/>
        </w:rPr>
        <w:t>,</w:t>
      </w:r>
      <w:r w:rsidR="00CB20AD" w:rsidRPr="00340BB7">
        <w:rPr>
          <w:lang w:val="en-GB"/>
        </w:rPr>
        <w:t xml:space="preserve"> </w:t>
      </w:r>
      <w:r w:rsidR="005B5567" w:rsidRPr="00340BB7">
        <w:rPr>
          <w:lang w:val="en-GB"/>
        </w:rPr>
        <w:t>born on 19 April 2005</w:t>
      </w:r>
      <w:r w:rsidR="00B22F4B" w:rsidRPr="00340BB7">
        <w:rPr>
          <w:lang w:val="en-GB"/>
        </w:rPr>
        <w:t xml:space="preserve">, </w:t>
      </w:r>
      <w:r w:rsidR="00CB20AD" w:rsidRPr="00340BB7">
        <w:rPr>
          <w:lang w:val="en-GB"/>
        </w:rPr>
        <w:t xml:space="preserve">and </w:t>
      </w:r>
      <w:r w:rsidR="00345561" w:rsidRPr="00340BB7">
        <w:rPr>
          <w:lang w:val="en-GB"/>
        </w:rPr>
        <w:t>M.A.H.H.</w:t>
      </w:r>
      <w:r w:rsidR="00862179">
        <w:rPr>
          <w:lang w:val="en-GB"/>
        </w:rPr>
        <w:t>,</w:t>
      </w:r>
      <w:r w:rsidR="00D96D78">
        <w:rPr>
          <w:lang w:val="en-GB"/>
        </w:rPr>
        <w:t xml:space="preserve"> </w:t>
      </w:r>
      <w:r w:rsidR="005B5567" w:rsidRPr="00340BB7">
        <w:rPr>
          <w:lang w:val="en-GB"/>
        </w:rPr>
        <w:t>born on 6 July 2012</w:t>
      </w:r>
      <w:r w:rsidR="00B22F4B" w:rsidRPr="00340BB7">
        <w:rPr>
          <w:lang w:val="en-GB"/>
        </w:rPr>
        <w:t>. They are Somali nationals residing in Denmark and</w:t>
      </w:r>
      <w:r w:rsidR="002F1DD7" w:rsidRPr="00340BB7">
        <w:rPr>
          <w:lang w:val="en-GB"/>
        </w:rPr>
        <w:t>,</w:t>
      </w:r>
      <w:r w:rsidR="00B22F4B" w:rsidRPr="00340BB7">
        <w:rPr>
          <w:lang w:val="en-GB"/>
        </w:rPr>
        <w:t xml:space="preserve"> </w:t>
      </w:r>
      <w:r w:rsidR="00895215" w:rsidRPr="00340BB7">
        <w:rPr>
          <w:lang w:val="en-GB"/>
        </w:rPr>
        <w:t>at the time of submission of their communication, were</w:t>
      </w:r>
      <w:r w:rsidR="00B22F4B" w:rsidRPr="00340BB7">
        <w:rPr>
          <w:lang w:val="en-GB"/>
        </w:rPr>
        <w:t xml:space="preserve"> subject to </w:t>
      </w:r>
      <w:r w:rsidR="00721BF5" w:rsidRPr="00340BB7">
        <w:rPr>
          <w:lang w:val="en-GB"/>
        </w:rPr>
        <w:t xml:space="preserve">a </w:t>
      </w:r>
      <w:r w:rsidR="00B22F4B" w:rsidRPr="00340BB7">
        <w:rPr>
          <w:lang w:val="en-GB"/>
        </w:rPr>
        <w:t xml:space="preserve">deportation </w:t>
      </w:r>
      <w:r w:rsidR="00721BF5" w:rsidRPr="00340BB7">
        <w:rPr>
          <w:lang w:val="en-GB"/>
        </w:rPr>
        <w:t xml:space="preserve">order </w:t>
      </w:r>
      <w:r w:rsidR="00B22F4B" w:rsidRPr="00340BB7">
        <w:rPr>
          <w:lang w:val="en-GB"/>
        </w:rPr>
        <w:t>to Italy</w:t>
      </w:r>
      <w:r w:rsidR="00721BF5" w:rsidRPr="00340BB7">
        <w:rPr>
          <w:lang w:val="en-GB"/>
        </w:rPr>
        <w:t>, scheduled on 20 June 2014</w:t>
      </w:r>
      <w:r w:rsidR="00237314" w:rsidRPr="00340BB7">
        <w:rPr>
          <w:lang w:val="en-GB"/>
        </w:rPr>
        <w:t>.</w:t>
      </w:r>
    </w:p>
    <w:p w:rsidR="00DF41C1" w:rsidRPr="00340BB7" w:rsidRDefault="008C3A62" w:rsidP="00CD2B9D">
      <w:pPr>
        <w:pStyle w:val="SingleTxtG"/>
        <w:rPr>
          <w:lang w:val="en-GB"/>
        </w:rPr>
      </w:pPr>
      <w:r w:rsidRPr="00340BB7">
        <w:rPr>
          <w:lang w:val="en-GB"/>
        </w:rPr>
        <w:t>1.2</w:t>
      </w:r>
      <w:r w:rsidRPr="00340BB7">
        <w:rPr>
          <w:lang w:val="en-GB"/>
        </w:rPr>
        <w:tab/>
      </w:r>
      <w:r w:rsidR="00B22F4B" w:rsidRPr="00340BB7">
        <w:rPr>
          <w:lang w:val="en-GB"/>
        </w:rPr>
        <w:t>The author claims that</w:t>
      </w:r>
      <w:r w:rsidR="00862179">
        <w:rPr>
          <w:lang w:val="en-GB"/>
        </w:rPr>
        <w:t>,</w:t>
      </w:r>
      <w:r w:rsidR="00B22F4B" w:rsidRPr="00340BB7">
        <w:rPr>
          <w:lang w:val="en-GB"/>
        </w:rPr>
        <w:t xml:space="preserve"> by forcibly deporting her and her children to Italy, Denmark would violate their rights under article 7 of the Covenant. The author is represented by </w:t>
      </w:r>
      <w:r w:rsidR="00DF41C1" w:rsidRPr="00340BB7">
        <w:rPr>
          <w:lang w:val="en-GB"/>
        </w:rPr>
        <w:t>the Danish Refugee Council</w:t>
      </w:r>
      <w:r w:rsidR="00B22F4B" w:rsidRPr="00340BB7">
        <w:rPr>
          <w:lang w:val="en-GB"/>
        </w:rPr>
        <w:t xml:space="preserve">. The Optional Protocol entered into force for Denmark on </w:t>
      </w:r>
      <w:r w:rsidR="00862179" w:rsidRPr="00340BB7">
        <w:rPr>
          <w:lang w:val="en-GB"/>
        </w:rPr>
        <w:t>23</w:t>
      </w:r>
      <w:r w:rsidR="00862179">
        <w:rPr>
          <w:lang w:val="en-GB"/>
        </w:rPr>
        <w:t> </w:t>
      </w:r>
      <w:r w:rsidR="00B22F4B" w:rsidRPr="00340BB7">
        <w:rPr>
          <w:lang w:val="en-GB"/>
        </w:rPr>
        <w:t xml:space="preserve">March 1976. </w:t>
      </w:r>
    </w:p>
    <w:p w:rsidR="00CC3666" w:rsidRPr="00340BB7" w:rsidRDefault="008C3A62" w:rsidP="00CD2B9D">
      <w:pPr>
        <w:pStyle w:val="SingleTxtG"/>
        <w:rPr>
          <w:lang w:val="en-GB"/>
        </w:rPr>
      </w:pPr>
      <w:r w:rsidRPr="00340BB7">
        <w:rPr>
          <w:lang w:val="en-GB"/>
        </w:rPr>
        <w:lastRenderedPageBreak/>
        <w:t>1.3</w:t>
      </w:r>
      <w:r w:rsidR="00CC3666" w:rsidRPr="00340BB7">
        <w:rPr>
          <w:lang w:val="en-GB"/>
        </w:rPr>
        <w:tab/>
        <w:t xml:space="preserve">On </w:t>
      </w:r>
      <w:r w:rsidR="002036B9" w:rsidRPr="00340BB7">
        <w:rPr>
          <w:lang w:val="en-GB"/>
        </w:rPr>
        <w:t xml:space="preserve">19 </w:t>
      </w:r>
      <w:r w:rsidR="004078D5" w:rsidRPr="00340BB7">
        <w:rPr>
          <w:lang w:val="en-GB"/>
        </w:rPr>
        <w:t>June</w:t>
      </w:r>
      <w:r w:rsidR="002036B9" w:rsidRPr="00340BB7">
        <w:rPr>
          <w:lang w:val="en-GB"/>
        </w:rPr>
        <w:t xml:space="preserve"> 2014</w:t>
      </w:r>
      <w:r w:rsidR="00CC3666" w:rsidRPr="00340BB7">
        <w:rPr>
          <w:lang w:val="en-GB"/>
        </w:rPr>
        <w:t xml:space="preserve">, pursuant to rule 92 of </w:t>
      </w:r>
      <w:r w:rsidR="00862179">
        <w:rPr>
          <w:lang w:val="en-GB"/>
        </w:rPr>
        <w:t>its r</w:t>
      </w:r>
      <w:r w:rsidR="00CC3666" w:rsidRPr="00340BB7">
        <w:rPr>
          <w:lang w:val="en-GB"/>
        </w:rPr>
        <w:t xml:space="preserve">ules of </w:t>
      </w:r>
      <w:r w:rsidR="00862179">
        <w:rPr>
          <w:lang w:val="en-GB"/>
        </w:rPr>
        <w:t>p</w:t>
      </w:r>
      <w:r w:rsidR="00CC3666" w:rsidRPr="00340BB7">
        <w:rPr>
          <w:lang w:val="en-GB"/>
        </w:rPr>
        <w:t xml:space="preserve">rocedure, the Committee, acting through its Special Rapporteur on </w:t>
      </w:r>
      <w:r w:rsidR="00862179">
        <w:rPr>
          <w:lang w:val="en-GB"/>
        </w:rPr>
        <w:t>n</w:t>
      </w:r>
      <w:r w:rsidR="00CC3666" w:rsidRPr="00340BB7">
        <w:rPr>
          <w:lang w:val="en-GB"/>
        </w:rPr>
        <w:t xml:space="preserve">ew </w:t>
      </w:r>
      <w:r w:rsidR="00862179">
        <w:rPr>
          <w:lang w:val="en-GB"/>
        </w:rPr>
        <w:t>c</w:t>
      </w:r>
      <w:r w:rsidR="00CC3666" w:rsidRPr="00340BB7">
        <w:rPr>
          <w:lang w:val="en-GB"/>
        </w:rPr>
        <w:t xml:space="preserve">ommunications and </w:t>
      </w:r>
      <w:r w:rsidR="00862179">
        <w:rPr>
          <w:lang w:val="en-GB"/>
        </w:rPr>
        <w:t>i</w:t>
      </w:r>
      <w:r w:rsidR="00CC3666" w:rsidRPr="00340BB7">
        <w:rPr>
          <w:lang w:val="en-GB"/>
        </w:rPr>
        <w:t xml:space="preserve">nterim </w:t>
      </w:r>
      <w:r w:rsidR="00862179">
        <w:rPr>
          <w:lang w:val="en-GB"/>
        </w:rPr>
        <w:t>m</w:t>
      </w:r>
      <w:r w:rsidR="00CC3666" w:rsidRPr="00340BB7">
        <w:rPr>
          <w:lang w:val="en-GB"/>
        </w:rPr>
        <w:t>easures, requested the State party not to deport the author</w:t>
      </w:r>
      <w:r w:rsidR="002036B9" w:rsidRPr="00340BB7">
        <w:rPr>
          <w:lang w:val="en-GB"/>
        </w:rPr>
        <w:t xml:space="preserve"> and her children</w:t>
      </w:r>
      <w:r w:rsidR="007337B8" w:rsidRPr="00340BB7">
        <w:rPr>
          <w:lang w:val="en-GB"/>
        </w:rPr>
        <w:t xml:space="preserve"> to Italy</w:t>
      </w:r>
      <w:r w:rsidR="002036B9" w:rsidRPr="00340BB7">
        <w:rPr>
          <w:lang w:val="en-GB"/>
        </w:rPr>
        <w:t xml:space="preserve"> while their</w:t>
      </w:r>
      <w:r w:rsidR="00CC3666" w:rsidRPr="00340BB7">
        <w:rPr>
          <w:lang w:val="en-GB"/>
        </w:rPr>
        <w:t xml:space="preserve"> case was under consideration by the Committee. </w:t>
      </w:r>
    </w:p>
    <w:p w:rsidR="00A55B4E" w:rsidRPr="00340BB7" w:rsidRDefault="008C3A62" w:rsidP="00CD2B9D">
      <w:pPr>
        <w:pStyle w:val="SingleTxtG"/>
        <w:rPr>
          <w:lang w:val="en-GB"/>
        </w:rPr>
      </w:pPr>
      <w:r w:rsidRPr="00340BB7">
        <w:rPr>
          <w:lang w:val="en-GB"/>
        </w:rPr>
        <w:t>1.4</w:t>
      </w:r>
      <w:r w:rsidR="00A55B4E" w:rsidRPr="00340BB7">
        <w:rPr>
          <w:lang w:val="en-GB"/>
        </w:rPr>
        <w:tab/>
        <w:t xml:space="preserve">On </w:t>
      </w:r>
      <w:r w:rsidR="004078D5" w:rsidRPr="00340BB7">
        <w:rPr>
          <w:lang w:val="en-GB"/>
        </w:rPr>
        <w:t>28 January 2015</w:t>
      </w:r>
      <w:r w:rsidR="00A55B4E" w:rsidRPr="00340BB7">
        <w:rPr>
          <w:lang w:val="en-GB"/>
        </w:rPr>
        <w:t xml:space="preserve">, </w:t>
      </w:r>
      <w:r w:rsidR="00F71CB9" w:rsidRPr="00340BB7">
        <w:rPr>
          <w:lang w:val="en-GB"/>
        </w:rPr>
        <w:t xml:space="preserve">the Committee, acting through its Special Rapporteur on </w:t>
      </w:r>
      <w:r w:rsidR="006F4EDB">
        <w:rPr>
          <w:lang w:val="en-GB"/>
        </w:rPr>
        <w:t>n</w:t>
      </w:r>
      <w:r w:rsidR="00F71CB9" w:rsidRPr="00340BB7">
        <w:rPr>
          <w:lang w:val="en-GB"/>
        </w:rPr>
        <w:t xml:space="preserve">ew </w:t>
      </w:r>
      <w:r w:rsidR="006F4EDB">
        <w:rPr>
          <w:lang w:val="en-GB"/>
        </w:rPr>
        <w:t>c</w:t>
      </w:r>
      <w:r w:rsidR="00F71CB9" w:rsidRPr="00340BB7">
        <w:rPr>
          <w:lang w:val="en-GB"/>
        </w:rPr>
        <w:t xml:space="preserve">ommunications and </w:t>
      </w:r>
      <w:r w:rsidR="006F4EDB">
        <w:rPr>
          <w:lang w:val="en-GB"/>
        </w:rPr>
        <w:t>i</w:t>
      </w:r>
      <w:r w:rsidR="00F71CB9" w:rsidRPr="00340BB7">
        <w:rPr>
          <w:lang w:val="en-GB"/>
        </w:rPr>
        <w:t xml:space="preserve">nterim </w:t>
      </w:r>
      <w:r w:rsidR="006F4EDB">
        <w:rPr>
          <w:lang w:val="en-GB"/>
        </w:rPr>
        <w:t>m</w:t>
      </w:r>
      <w:r w:rsidR="00F71CB9" w:rsidRPr="00340BB7">
        <w:rPr>
          <w:lang w:val="en-GB"/>
        </w:rPr>
        <w:t>easures, decided to deny the State party’s request of lifting the interim measures.</w:t>
      </w:r>
      <w:r w:rsidR="00F71CB9" w:rsidRPr="00340BB7">
        <w:rPr>
          <w:rStyle w:val="FootnoteReference"/>
          <w:lang w:val="en-GB"/>
        </w:rPr>
        <w:footnoteReference w:id="3"/>
      </w:r>
    </w:p>
    <w:p w:rsidR="00CC3666" w:rsidRPr="00340BB7" w:rsidRDefault="00CC3666" w:rsidP="00237314">
      <w:pPr>
        <w:pStyle w:val="H23G"/>
      </w:pPr>
      <w:r w:rsidRPr="00340BB7">
        <w:tab/>
      </w:r>
      <w:r w:rsidRPr="00340BB7">
        <w:tab/>
        <w:t>The facts as presented by the author</w:t>
      </w:r>
    </w:p>
    <w:p w:rsidR="004F4B07" w:rsidRPr="00340BB7" w:rsidRDefault="00237314" w:rsidP="00CD2B9D">
      <w:pPr>
        <w:pStyle w:val="SingleTxtG"/>
        <w:rPr>
          <w:lang w:val="en-GB"/>
        </w:rPr>
      </w:pPr>
      <w:r w:rsidRPr="00340BB7">
        <w:rPr>
          <w:lang w:val="en-GB"/>
        </w:rPr>
        <w:t>2.1</w:t>
      </w:r>
      <w:r w:rsidR="004F4B07" w:rsidRPr="00340BB7">
        <w:rPr>
          <w:lang w:val="en-GB"/>
        </w:rPr>
        <w:tab/>
        <w:t>The a</w:t>
      </w:r>
      <w:r w:rsidR="00BE6372" w:rsidRPr="00340BB7">
        <w:rPr>
          <w:lang w:val="en-GB"/>
        </w:rPr>
        <w:t>uthor</w:t>
      </w:r>
      <w:r w:rsidR="00A93A59" w:rsidRPr="00340BB7">
        <w:rPr>
          <w:lang w:val="en-GB"/>
        </w:rPr>
        <w:t xml:space="preserve"> originates from Mogadishu. She is 31 years old and belongs to the Habergidir </w:t>
      </w:r>
      <w:r w:rsidR="006F4EDB">
        <w:rPr>
          <w:lang w:val="en-GB"/>
        </w:rPr>
        <w:t>c</w:t>
      </w:r>
      <w:r w:rsidR="00A93A59" w:rsidRPr="00340BB7">
        <w:rPr>
          <w:lang w:val="en-GB"/>
        </w:rPr>
        <w:t xml:space="preserve">lan. She is </w:t>
      </w:r>
      <w:r w:rsidR="00910181" w:rsidRPr="00340BB7">
        <w:rPr>
          <w:lang w:val="en-GB"/>
        </w:rPr>
        <w:t>Muslim</w:t>
      </w:r>
      <w:r w:rsidR="00A93A59" w:rsidRPr="00340BB7">
        <w:rPr>
          <w:lang w:val="en-GB"/>
        </w:rPr>
        <w:t xml:space="preserve">. She has two daughters, </w:t>
      </w:r>
      <w:r w:rsidR="00345561" w:rsidRPr="00340BB7">
        <w:rPr>
          <w:lang w:val="en-GB"/>
        </w:rPr>
        <w:t>F.A.A.</w:t>
      </w:r>
      <w:r w:rsidR="006F4EDB">
        <w:rPr>
          <w:lang w:val="en-GB"/>
        </w:rPr>
        <w:t xml:space="preserve">, </w:t>
      </w:r>
      <w:r w:rsidR="006F4EDB" w:rsidRPr="00340BB7">
        <w:rPr>
          <w:lang w:val="en-GB"/>
        </w:rPr>
        <w:t>born on 19 April 2005, and M.A.H.H.</w:t>
      </w:r>
      <w:r w:rsidR="006F4EDB">
        <w:rPr>
          <w:lang w:val="en-GB"/>
        </w:rPr>
        <w:t xml:space="preserve">, </w:t>
      </w:r>
      <w:r w:rsidR="006F4EDB" w:rsidRPr="00340BB7">
        <w:rPr>
          <w:lang w:val="en-GB"/>
        </w:rPr>
        <w:t>born on 6 July 2012</w:t>
      </w:r>
      <w:r w:rsidR="006F4EDB">
        <w:rPr>
          <w:lang w:val="en-GB"/>
        </w:rPr>
        <w:t>.</w:t>
      </w:r>
      <w:r w:rsidR="00A93A59" w:rsidRPr="00340BB7">
        <w:rPr>
          <w:lang w:val="en-GB"/>
        </w:rPr>
        <w:t xml:space="preserve"> In 2006, she divorced her former husband, the father of </w:t>
      </w:r>
      <w:r w:rsidR="001C067E" w:rsidRPr="00340BB7">
        <w:rPr>
          <w:lang w:val="en-GB"/>
        </w:rPr>
        <w:t>F.A.</w:t>
      </w:r>
      <w:r w:rsidR="00345561" w:rsidRPr="00340BB7">
        <w:rPr>
          <w:lang w:val="en-GB"/>
        </w:rPr>
        <w:t>A</w:t>
      </w:r>
      <w:r w:rsidR="00A93A59" w:rsidRPr="00340BB7">
        <w:rPr>
          <w:lang w:val="en-GB"/>
        </w:rPr>
        <w:t>. She</w:t>
      </w:r>
      <w:r w:rsidR="004F4B07" w:rsidRPr="00340BB7">
        <w:rPr>
          <w:lang w:val="en-GB"/>
        </w:rPr>
        <w:t xml:space="preserve"> fled Somalia</w:t>
      </w:r>
      <w:r w:rsidR="00A93A59" w:rsidRPr="00340BB7">
        <w:rPr>
          <w:lang w:val="en-GB"/>
        </w:rPr>
        <w:t xml:space="preserve"> out of fear of the Al-Shab</w:t>
      </w:r>
      <w:r w:rsidR="00CD2B9D">
        <w:rPr>
          <w:lang w:val="en-GB"/>
        </w:rPr>
        <w:t>a</w:t>
      </w:r>
      <w:r w:rsidR="00A93A59" w:rsidRPr="00340BB7">
        <w:rPr>
          <w:lang w:val="en-GB"/>
        </w:rPr>
        <w:t xml:space="preserve">ab militia. The author sold tea at the Parkara market, in the government-controlled area of Mogadishu. In 2008, she was threatened by </w:t>
      </w:r>
      <w:r w:rsidR="006F4EDB">
        <w:rPr>
          <w:lang w:val="en-GB"/>
        </w:rPr>
        <w:t xml:space="preserve">members of </w:t>
      </w:r>
      <w:r w:rsidR="00A93A59" w:rsidRPr="00340BB7">
        <w:rPr>
          <w:lang w:val="en-GB"/>
        </w:rPr>
        <w:t>Al-Shab</w:t>
      </w:r>
      <w:r w:rsidR="00CD2B9D">
        <w:rPr>
          <w:lang w:val="en-GB"/>
        </w:rPr>
        <w:t>a</w:t>
      </w:r>
      <w:r w:rsidR="00A93A59" w:rsidRPr="00340BB7">
        <w:rPr>
          <w:lang w:val="en-GB"/>
        </w:rPr>
        <w:t xml:space="preserve">ab, </w:t>
      </w:r>
      <w:r w:rsidR="006F4EDB">
        <w:rPr>
          <w:lang w:val="en-GB"/>
        </w:rPr>
        <w:t xml:space="preserve">who </w:t>
      </w:r>
      <w:r w:rsidR="003822BA" w:rsidRPr="00340BB7">
        <w:rPr>
          <w:lang w:val="en-GB"/>
        </w:rPr>
        <w:t>accus</w:t>
      </w:r>
      <w:r w:rsidR="003822BA">
        <w:rPr>
          <w:lang w:val="en-GB"/>
        </w:rPr>
        <w:t>ed</w:t>
      </w:r>
      <w:r w:rsidR="003822BA" w:rsidRPr="00340BB7">
        <w:rPr>
          <w:lang w:val="en-GB"/>
        </w:rPr>
        <w:t xml:space="preserve"> </w:t>
      </w:r>
      <w:r w:rsidR="00A93A59" w:rsidRPr="00340BB7">
        <w:rPr>
          <w:lang w:val="en-GB"/>
        </w:rPr>
        <w:t xml:space="preserve">her of being a spy for the </w:t>
      </w:r>
      <w:r w:rsidR="006F4EDB">
        <w:rPr>
          <w:lang w:val="en-GB"/>
        </w:rPr>
        <w:t>G</w:t>
      </w:r>
      <w:r w:rsidR="00A93A59" w:rsidRPr="00340BB7">
        <w:rPr>
          <w:lang w:val="en-GB"/>
        </w:rPr>
        <w:t>overnment and demand</w:t>
      </w:r>
      <w:r w:rsidR="006F4EDB">
        <w:rPr>
          <w:lang w:val="en-GB"/>
        </w:rPr>
        <w:t>ed</w:t>
      </w:r>
      <w:r w:rsidR="00A93A59" w:rsidRPr="00340BB7">
        <w:rPr>
          <w:lang w:val="en-GB"/>
        </w:rPr>
        <w:t xml:space="preserve"> that she stop selling tea as women should </w:t>
      </w:r>
      <w:r w:rsidR="0048220F" w:rsidRPr="00340BB7">
        <w:rPr>
          <w:lang w:val="en-GB"/>
        </w:rPr>
        <w:t>not work in public plac</w:t>
      </w:r>
      <w:r w:rsidR="00F26795" w:rsidRPr="00340BB7">
        <w:rPr>
          <w:lang w:val="en-GB"/>
        </w:rPr>
        <w:t xml:space="preserve">es. </w:t>
      </w:r>
      <w:r w:rsidR="006F4EDB">
        <w:rPr>
          <w:lang w:val="en-GB"/>
        </w:rPr>
        <w:t xml:space="preserve">They </w:t>
      </w:r>
      <w:r w:rsidR="00A93A59" w:rsidRPr="00340BB7">
        <w:rPr>
          <w:lang w:val="en-GB"/>
        </w:rPr>
        <w:t xml:space="preserve">further threatened to pass an Islamic judgement against her. After the author fled Somalia, </w:t>
      </w:r>
      <w:r w:rsidR="006F4EDB">
        <w:rPr>
          <w:lang w:val="en-GB"/>
        </w:rPr>
        <w:t>A</w:t>
      </w:r>
      <w:r w:rsidR="00F26795" w:rsidRPr="00340BB7">
        <w:rPr>
          <w:lang w:val="en-GB"/>
        </w:rPr>
        <w:t>l-</w:t>
      </w:r>
      <w:r w:rsidR="006F4EDB">
        <w:rPr>
          <w:lang w:val="en-GB"/>
        </w:rPr>
        <w:t>S</w:t>
      </w:r>
      <w:r w:rsidR="00A93A59" w:rsidRPr="00340BB7">
        <w:rPr>
          <w:lang w:val="en-GB"/>
        </w:rPr>
        <w:t>hab</w:t>
      </w:r>
      <w:r w:rsidR="00CD2B9D">
        <w:rPr>
          <w:lang w:val="en-GB"/>
        </w:rPr>
        <w:t>a</w:t>
      </w:r>
      <w:r w:rsidR="00A93A59" w:rsidRPr="00340BB7">
        <w:rPr>
          <w:lang w:val="en-GB"/>
        </w:rPr>
        <w:t xml:space="preserve">ab looked for her and threatened her parents to give information about her current </w:t>
      </w:r>
      <w:r w:rsidR="00910181" w:rsidRPr="00340BB7">
        <w:rPr>
          <w:lang w:val="en-GB"/>
        </w:rPr>
        <w:t>whereabouts</w:t>
      </w:r>
      <w:r w:rsidR="00A93A59" w:rsidRPr="00340BB7">
        <w:rPr>
          <w:lang w:val="en-GB"/>
        </w:rPr>
        <w:t>.</w:t>
      </w:r>
    </w:p>
    <w:p w:rsidR="00470C8A" w:rsidRPr="00340BB7" w:rsidRDefault="004F4B07" w:rsidP="00CD2B9D">
      <w:pPr>
        <w:pStyle w:val="SingleTxtG"/>
        <w:rPr>
          <w:lang w:val="en-GB"/>
        </w:rPr>
      </w:pPr>
      <w:r w:rsidRPr="00340BB7">
        <w:rPr>
          <w:lang w:val="en-GB"/>
        </w:rPr>
        <w:t>2.2</w:t>
      </w:r>
      <w:r w:rsidRPr="00340BB7">
        <w:rPr>
          <w:lang w:val="en-GB"/>
        </w:rPr>
        <w:tab/>
      </w:r>
      <w:r w:rsidR="00103390" w:rsidRPr="00340BB7">
        <w:rPr>
          <w:lang w:val="en-GB"/>
        </w:rPr>
        <w:t>The author left Somalia alone,</w:t>
      </w:r>
      <w:r w:rsidR="004D2566" w:rsidRPr="00340BB7">
        <w:rPr>
          <w:lang w:val="en-GB"/>
        </w:rPr>
        <w:t xml:space="preserve"> leaving her daughter </w:t>
      </w:r>
      <w:r w:rsidR="00910181" w:rsidRPr="00340BB7">
        <w:rPr>
          <w:lang w:val="en-GB"/>
        </w:rPr>
        <w:t>behind</w:t>
      </w:r>
      <w:r w:rsidR="004D2566" w:rsidRPr="00340BB7">
        <w:rPr>
          <w:lang w:val="en-GB"/>
        </w:rPr>
        <w:t>,</w:t>
      </w:r>
      <w:r w:rsidR="00103390" w:rsidRPr="00340BB7">
        <w:rPr>
          <w:lang w:val="en-GB"/>
        </w:rPr>
        <w:t xml:space="preserve"> and reached Italy </w:t>
      </w:r>
      <w:r w:rsidR="00E1679B" w:rsidRPr="00340BB7">
        <w:rPr>
          <w:lang w:val="en-GB"/>
        </w:rPr>
        <w:t>on 13</w:t>
      </w:r>
      <w:r w:rsidR="00103390" w:rsidRPr="00340BB7">
        <w:rPr>
          <w:lang w:val="en-GB"/>
        </w:rPr>
        <w:t xml:space="preserve"> October 2008. </w:t>
      </w:r>
      <w:r w:rsidR="00A02546" w:rsidRPr="00340BB7">
        <w:rPr>
          <w:lang w:val="en-GB"/>
        </w:rPr>
        <w:t xml:space="preserve">Upon arrival, she was accommodated in </w:t>
      </w:r>
      <w:r w:rsidR="00910181" w:rsidRPr="00340BB7">
        <w:rPr>
          <w:lang w:val="en-GB"/>
        </w:rPr>
        <w:t xml:space="preserve">a </w:t>
      </w:r>
      <w:r w:rsidR="00A02546" w:rsidRPr="00340BB7">
        <w:rPr>
          <w:lang w:val="en-GB"/>
        </w:rPr>
        <w:t>reception camp</w:t>
      </w:r>
      <w:r w:rsidR="003455BA" w:rsidRPr="00340BB7">
        <w:rPr>
          <w:lang w:val="en-GB"/>
        </w:rPr>
        <w:t xml:space="preserve"> near Rome</w:t>
      </w:r>
      <w:r w:rsidR="00A02546" w:rsidRPr="00340BB7">
        <w:rPr>
          <w:lang w:val="en-GB"/>
        </w:rPr>
        <w:t>, where she lived until</w:t>
      </w:r>
      <w:r w:rsidR="003455BA" w:rsidRPr="00340BB7">
        <w:rPr>
          <w:lang w:val="en-GB"/>
        </w:rPr>
        <w:t xml:space="preserve"> April 2009, when</w:t>
      </w:r>
      <w:r w:rsidR="00A02546" w:rsidRPr="00340BB7">
        <w:rPr>
          <w:lang w:val="en-GB"/>
        </w:rPr>
        <w:t xml:space="preserve"> she received subsidiary protection and a corollary residence permit </w:t>
      </w:r>
      <w:r w:rsidR="00AC38F9" w:rsidRPr="00340BB7">
        <w:rPr>
          <w:lang w:val="en-GB"/>
        </w:rPr>
        <w:t>for three years, which was renewed in April 2012 un</w:t>
      </w:r>
      <w:r w:rsidR="00A02546" w:rsidRPr="00340BB7">
        <w:rPr>
          <w:lang w:val="en-GB"/>
        </w:rPr>
        <w:t xml:space="preserve">til 9 April 2015. </w:t>
      </w:r>
    </w:p>
    <w:p w:rsidR="00470C8A" w:rsidRPr="00340BB7" w:rsidRDefault="00470C8A" w:rsidP="00CD2B9D">
      <w:pPr>
        <w:pStyle w:val="SingleTxtG"/>
        <w:rPr>
          <w:lang w:val="en-GB"/>
        </w:rPr>
      </w:pPr>
      <w:r w:rsidRPr="00340BB7">
        <w:rPr>
          <w:lang w:val="en-GB"/>
        </w:rPr>
        <w:t>2.3</w:t>
      </w:r>
      <w:r w:rsidRPr="00340BB7">
        <w:rPr>
          <w:lang w:val="en-GB"/>
        </w:rPr>
        <w:tab/>
      </w:r>
      <w:r w:rsidR="00A02546" w:rsidRPr="00340BB7">
        <w:rPr>
          <w:lang w:val="en-GB"/>
        </w:rPr>
        <w:t xml:space="preserve">The day after she received her residence permit, the author was </w:t>
      </w:r>
      <w:r w:rsidRPr="00340BB7">
        <w:rPr>
          <w:lang w:val="en-GB"/>
        </w:rPr>
        <w:t xml:space="preserve">informed that she could no longer stay in the shelter and was </w:t>
      </w:r>
      <w:r w:rsidR="00A02546" w:rsidRPr="00340BB7">
        <w:rPr>
          <w:lang w:val="en-GB"/>
        </w:rPr>
        <w:t xml:space="preserve">asked to </w:t>
      </w:r>
      <w:r w:rsidRPr="00340BB7">
        <w:rPr>
          <w:lang w:val="en-GB"/>
        </w:rPr>
        <w:t>leave</w:t>
      </w:r>
      <w:r w:rsidR="004F4B07" w:rsidRPr="00340BB7">
        <w:rPr>
          <w:lang w:val="en-GB"/>
        </w:rPr>
        <w:t>.</w:t>
      </w:r>
      <w:r w:rsidRPr="00340BB7">
        <w:rPr>
          <w:lang w:val="en-GB"/>
        </w:rPr>
        <w:t xml:space="preserve"> </w:t>
      </w:r>
      <w:r w:rsidR="006F4EDB">
        <w:rPr>
          <w:lang w:val="en-GB"/>
        </w:rPr>
        <w:t xml:space="preserve">As she was offered neither an </w:t>
      </w:r>
      <w:r w:rsidRPr="00340BB7">
        <w:rPr>
          <w:lang w:val="en-GB"/>
        </w:rPr>
        <w:t>alternative solution or temporary shelter</w:t>
      </w:r>
      <w:r w:rsidR="006F4EDB">
        <w:rPr>
          <w:lang w:val="en-GB"/>
        </w:rPr>
        <w:t>,</w:t>
      </w:r>
      <w:r w:rsidRPr="00340BB7">
        <w:rPr>
          <w:lang w:val="en-GB"/>
        </w:rPr>
        <w:t xml:space="preserve"> nor any assistance finding work or more stable housing, the author was left homeless. On occasion</w:t>
      </w:r>
      <w:r w:rsidR="00910181" w:rsidRPr="00340BB7">
        <w:rPr>
          <w:lang w:val="en-GB"/>
        </w:rPr>
        <w:t>,</w:t>
      </w:r>
      <w:r w:rsidRPr="00340BB7">
        <w:rPr>
          <w:lang w:val="en-GB"/>
        </w:rPr>
        <w:t xml:space="preserve"> she would be hosted by private individuals </w:t>
      </w:r>
      <w:r w:rsidR="008B25D8">
        <w:rPr>
          <w:lang w:val="en-GB"/>
        </w:rPr>
        <w:t xml:space="preserve">or </w:t>
      </w:r>
      <w:r w:rsidRPr="00340BB7">
        <w:rPr>
          <w:lang w:val="en-GB"/>
        </w:rPr>
        <w:t>in churches near Sienna. In August 2009, she moved in</w:t>
      </w:r>
      <w:r w:rsidR="008B25D8">
        <w:rPr>
          <w:lang w:val="en-GB"/>
        </w:rPr>
        <w:t>to</w:t>
      </w:r>
      <w:r w:rsidRPr="00340BB7">
        <w:rPr>
          <w:lang w:val="en-GB"/>
        </w:rPr>
        <w:t xml:space="preserve"> an apartment</w:t>
      </w:r>
      <w:r w:rsidR="003455BA" w:rsidRPr="00340BB7">
        <w:rPr>
          <w:lang w:val="en-GB"/>
        </w:rPr>
        <w:t xml:space="preserve"> close to Florence</w:t>
      </w:r>
      <w:r w:rsidRPr="00340BB7">
        <w:rPr>
          <w:lang w:val="en-GB"/>
        </w:rPr>
        <w:t xml:space="preserve">, together with other Somali refugees, where she lived for three years. The apartment was overcrowded and, as the tenants could not afford to pay for electricity </w:t>
      </w:r>
      <w:r w:rsidR="008B25D8">
        <w:rPr>
          <w:lang w:val="en-GB"/>
        </w:rPr>
        <w:t xml:space="preserve">or </w:t>
      </w:r>
      <w:r w:rsidRPr="00340BB7">
        <w:rPr>
          <w:lang w:val="en-GB"/>
        </w:rPr>
        <w:t>water, the conditions were insalubrious and unhygienic.</w:t>
      </w:r>
    </w:p>
    <w:p w:rsidR="009E599D" w:rsidRPr="00340BB7" w:rsidRDefault="009E599D" w:rsidP="00237314">
      <w:pPr>
        <w:pStyle w:val="SingleTxtG"/>
        <w:rPr>
          <w:lang w:val="en-GB"/>
        </w:rPr>
      </w:pPr>
      <w:r w:rsidRPr="00340BB7">
        <w:rPr>
          <w:lang w:val="en-GB"/>
        </w:rPr>
        <w:t>2.4</w:t>
      </w:r>
      <w:r w:rsidR="00237314" w:rsidRPr="00340BB7">
        <w:rPr>
          <w:lang w:val="en-GB"/>
        </w:rPr>
        <w:tab/>
      </w:r>
      <w:r w:rsidRPr="00340BB7">
        <w:rPr>
          <w:lang w:val="en-GB"/>
        </w:rPr>
        <w:t>The author loo</w:t>
      </w:r>
      <w:r w:rsidR="00910181" w:rsidRPr="00340BB7">
        <w:rPr>
          <w:lang w:val="en-GB"/>
        </w:rPr>
        <w:t>ked for work on a daily basis. In August 2009, s</w:t>
      </w:r>
      <w:r w:rsidRPr="00340BB7">
        <w:rPr>
          <w:lang w:val="en-GB"/>
        </w:rPr>
        <w:t xml:space="preserve">he </w:t>
      </w:r>
      <w:r w:rsidR="00C61F7E" w:rsidRPr="00340BB7">
        <w:rPr>
          <w:lang w:val="en-GB"/>
        </w:rPr>
        <w:t>started working</w:t>
      </w:r>
      <w:r w:rsidR="004D2566" w:rsidRPr="00340BB7">
        <w:rPr>
          <w:lang w:val="en-GB"/>
        </w:rPr>
        <w:t xml:space="preserve"> as a </w:t>
      </w:r>
      <w:r w:rsidR="003455BA" w:rsidRPr="00340BB7">
        <w:rPr>
          <w:lang w:val="en-GB"/>
        </w:rPr>
        <w:t>cleaner</w:t>
      </w:r>
      <w:r w:rsidR="00C61F7E" w:rsidRPr="00340BB7">
        <w:rPr>
          <w:lang w:val="en-GB"/>
        </w:rPr>
        <w:t>,</w:t>
      </w:r>
      <w:r w:rsidR="00910181" w:rsidRPr="00340BB7">
        <w:rPr>
          <w:lang w:val="en-GB"/>
        </w:rPr>
        <w:t xml:space="preserve"> including in a biscuit factory</w:t>
      </w:r>
      <w:r w:rsidR="00C61F7E" w:rsidRPr="00340BB7">
        <w:rPr>
          <w:lang w:val="en-GB"/>
        </w:rPr>
        <w:t xml:space="preserve"> for six months. She then worked as a cleaner in </w:t>
      </w:r>
      <w:r w:rsidR="004D2566" w:rsidRPr="00340BB7">
        <w:rPr>
          <w:lang w:val="en-GB"/>
        </w:rPr>
        <w:t>private homes</w:t>
      </w:r>
      <w:r w:rsidR="00C61F7E" w:rsidRPr="00340BB7">
        <w:rPr>
          <w:lang w:val="en-GB"/>
        </w:rPr>
        <w:t xml:space="preserve"> from 2010 to 2012</w:t>
      </w:r>
      <w:r w:rsidR="004D2566" w:rsidRPr="00340BB7">
        <w:rPr>
          <w:lang w:val="en-GB"/>
        </w:rPr>
        <w:t xml:space="preserve">. During periods of unemployment, </w:t>
      </w:r>
      <w:r w:rsidR="003455BA" w:rsidRPr="00340BB7">
        <w:rPr>
          <w:lang w:val="en-GB"/>
        </w:rPr>
        <w:t>she would turn to the church for food assistance</w:t>
      </w:r>
      <w:r w:rsidR="004D2566" w:rsidRPr="00340BB7">
        <w:rPr>
          <w:lang w:val="en-GB"/>
        </w:rPr>
        <w:t xml:space="preserve">. </w:t>
      </w:r>
    </w:p>
    <w:p w:rsidR="004D2566" w:rsidRPr="00340BB7" w:rsidRDefault="004D2566" w:rsidP="00237314">
      <w:pPr>
        <w:pStyle w:val="SingleTxtG"/>
        <w:rPr>
          <w:lang w:val="en-GB"/>
        </w:rPr>
      </w:pPr>
      <w:r w:rsidRPr="00340BB7">
        <w:rPr>
          <w:lang w:val="en-GB"/>
        </w:rPr>
        <w:t>2.5</w:t>
      </w:r>
      <w:r w:rsidRPr="00340BB7">
        <w:rPr>
          <w:lang w:val="en-GB"/>
        </w:rPr>
        <w:tab/>
      </w:r>
      <w:r w:rsidR="004F4B07" w:rsidRPr="00340BB7">
        <w:rPr>
          <w:lang w:val="en-GB"/>
        </w:rPr>
        <w:t>In 2010</w:t>
      </w:r>
      <w:r w:rsidR="008B25D8">
        <w:rPr>
          <w:lang w:val="en-GB"/>
        </w:rPr>
        <w:t>,</w:t>
      </w:r>
      <w:r w:rsidR="004F4B07" w:rsidRPr="00340BB7">
        <w:rPr>
          <w:lang w:val="en-GB"/>
        </w:rPr>
        <w:t xml:space="preserve"> the author married her second husband, who resided in Ethiopia. </w:t>
      </w:r>
    </w:p>
    <w:p w:rsidR="004D2566" w:rsidRPr="00340BB7" w:rsidRDefault="004F4B07" w:rsidP="00CD2B9D">
      <w:pPr>
        <w:pStyle w:val="SingleTxtG"/>
        <w:rPr>
          <w:lang w:val="en-GB"/>
        </w:rPr>
      </w:pPr>
      <w:r w:rsidRPr="00340BB7">
        <w:rPr>
          <w:lang w:val="en-GB"/>
        </w:rPr>
        <w:t>2.</w:t>
      </w:r>
      <w:r w:rsidR="009E599D" w:rsidRPr="00340BB7">
        <w:rPr>
          <w:lang w:val="en-GB"/>
        </w:rPr>
        <w:t>6</w:t>
      </w:r>
      <w:r w:rsidRPr="00340BB7">
        <w:rPr>
          <w:lang w:val="en-GB"/>
        </w:rPr>
        <w:tab/>
        <w:t>In February 2011</w:t>
      </w:r>
      <w:r w:rsidR="008B25D8">
        <w:rPr>
          <w:lang w:val="en-GB"/>
        </w:rPr>
        <w:t>,</w:t>
      </w:r>
      <w:r w:rsidRPr="00340BB7">
        <w:rPr>
          <w:lang w:val="en-GB"/>
        </w:rPr>
        <w:t xml:space="preserve"> the author reunited with her daughter</w:t>
      </w:r>
      <w:r w:rsidR="004D2566" w:rsidRPr="00340BB7">
        <w:rPr>
          <w:lang w:val="en-GB"/>
        </w:rPr>
        <w:t>, with the help of a local Italian family and the Italian authorities</w:t>
      </w:r>
      <w:r w:rsidRPr="00340BB7">
        <w:rPr>
          <w:lang w:val="en-GB"/>
        </w:rPr>
        <w:t>.</w:t>
      </w:r>
      <w:r w:rsidRPr="00340BB7">
        <w:rPr>
          <w:rStyle w:val="FootnoteReference"/>
          <w:lang w:val="en-GB"/>
        </w:rPr>
        <w:t xml:space="preserve"> </w:t>
      </w:r>
      <w:r w:rsidR="003455BA" w:rsidRPr="00340BB7">
        <w:rPr>
          <w:lang w:val="en-GB"/>
        </w:rPr>
        <w:t>Her daughter was issued a residence permit</w:t>
      </w:r>
      <w:r w:rsidR="00B559C8" w:rsidRPr="00340BB7">
        <w:rPr>
          <w:lang w:val="en-GB"/>
        </w:rPr>
        <w:t xml:space="preserve"> with the same expiry date as the author’s</w:t>
      </w:r>
      <w:r w:rsidR="003455BA" w:rsidRPr="00340BB7">
        <w:rPr>
          <w:lang w:val="en-GB"/>
        </w:rPr>
        <w:t xml:space="preserve">. </w:t>
      </w:r>
      <w:r w:rsidRPr="00340BB7">
        <w:rPr>
          <w:lang w:val="en-GB"/>
        </w:rPr>
        <w:t xml:space="preserve">The author </w:t>
      </w:r>
      <w:r w:rsidR="004D2566" w:rsidRPr="00340BB7">
        <w:rPr>
          <w:lang w:val="en-GB"/>
        </w:rPr>
        <w:t xml:space="preserve">was informed by the </w:t>
      </w:r>
      <w:r w:rsidR="008B25D8">
        <w:rPr>
          <w:lang w:val="en-GB"/>
        </w:rPr>
        <w:t>m</w:t>
      </w:r>
      <w:r w:rsidR="004D2566" w:rsidRPr="00340BB7">
        <w:rPr>
          <w:lang w:val="en-GB"/>
        </w:rPr>
        <w:t xml:space="preserve">unicipality that she could not register her daughter </w:t>
      </w:r>
      <w:r w:rsidR="008B25D8">
        <w:rPr>
          <w:lang w:val="en-GB"/>
        </w:rPr>
        <w:t xml:space="preserve">in </w:t>
      </w:r>
      <w:r w:rsidR="004D2566" w:rsidRPr="00340BB7">
        <w:rPr>
          <w:lang w:val="en-GB"/>
        </w:rPr>
        <w:t xml:space="preserve">school, because </w:t>
      </w:r>
      <w:r w:rsidR="004C1F77" w:rsidRPr="00340BB7">
        <w:rPr>
          <w:lang w:val="en-GB"/>
        </w:rPr>
        <w:t>she</w:t>
      </w:r>
      <w:r w:rsidR="004D2566" w:rsidRPr="00340BB7">
        <w:rPr>
          <w:lang w:val="en-GB"/>
        </w:rPr>
        <w:t xml:space="preserve"> lacked a formal address </w:t>
      </w:r>
      <w:r w:rsidR="008B25D8">
        <w:rPr>
          <w:lang w:val="en-GB"/>
        </w:rPr>
        <w:t xml:space="preserve">and </w:t>
      </w:r>
      <w:r w:rsidR="004D2566" w:rsidRPr="00340BB7">
        <w:rPr>
          <w:lang w:val="en-GB"/>
        </w:rPr>
        <w:t>permanent housing. Furthermore, the author could not af</w:t>
      </w:r>
      <w:r w:rsidR="00594B5A" w:rsidRPr="00340BB7">
        <w:rPr>
          <w:lang w:val="en-GB"/>
        </w:rPr>
        <w:t xml:space="preserve">ford </w:t>
      </w:r>
      <w:r w:rsidR="008B25D8">
        <w:rPr>
          <w:lang w:val="en-GB"/>
        </w:rPr>
        <w:t xml:space="preserve">to </w:t>
      </w:r>
      <w:r w:rsidR="00594B5A" w:rsidRPr="00340BB7">
        <w:rPr>
          <w:lang w:val="en-GB"/>
        </w:rPr>
        <w:t>pay the school bus fare</w:t>
      </w:r>
      <w:r w:rsidR="004D2566" w:rsidRPr="00340BB7">
        <w:rPr>
          <w:lang w:val="en-GB"/>
        </w:rPr>
        <w:t>.</w:t>
      </w:r>
      <w:r w:rsidR="00237314" w:rsidRPr="00340BB7">
        <w:rPr>
          <w:lang w:val="en-GB"/>
        </w:rPr>
        <w:t xml:space="preserve"> </w:t>
      </w:r>
    </w:p>
    <w:p w:rsidR="00B85209" w:rsidRPr="00340BB7" w:rsidRDefault="00681B72" w:rsidP="00CD2B9D">
      <w:pPr>
        <w:pStyle w:val="SingleTxtG"/>
        <w:rPr>
          <w:lang w:val="en-GB"/>
        </w:rPr>
      </w:pPr>
      <w:r w:rsidRPr="00340BB7">
        <w:rPr>
          <w:lang w:val="en-GB"/>
        </w:rPr>
        <w:t>2.7</w:t>
      </w:r>
      <w:r w:rsidR="00237314" w:rsidRPr="00340BB7">
        <w:rPr>
          <w:lang w:val="en-GB"/>
        </w:rPr>
        <w:tab/>
      </w:r>
      <w:r w:rsidRPr="00340BB7">
        <w:rPr>
          <w:lang w:val="en-GB"/>
        </w:rPr>
        <w:t>As the author found the situation desperate in Italy, she travelled to Ethiopia in October 2011, to unite with her husband</w:t>
      </w:r>
      <w:r w:rsidR="008B1C6F" w:rsidRPr="00340BB7">
        <w:rPr>
          <w:lang w:val="en-GB"/>
        </w:rPr>
        <w:t xml:space="preserve">. She stayed in Ethiopia for two months, but returned to Italy to find employment. </w:t>
      </w:r>
      <w:r w:rsidR="00533A2C" w:rsidRPr="00340BB7">
        <w:rPr>
          <w:lang w:val="en-GB"/>
        </w:rPr>
        <w:t xml:space="preserve">Returning from Ethiopia, the author was pregnant. </w:t>
      </w:r>
      <w:r w:rsidR="00B85209" w:rsidRPr="00340BB7">
        <w:rPr>
          <w:lang w:val="en-GB"/>
        </w:rPr>
        <w:t>Living in Italy as a single, pregnant woman</w:t>
      </w:r>
      <w:r w:rsidR="00E973D6" w:rsidRPr="00340BB7">
        <w:rPr>
          <w:lang w:val="en-GB"/>
        </w:rPr>
        <w:t xml:space="preserve">, with only occasional work, </w:t>
      </w:r>
      <w:r w:rsidR="008B25D8">
        <w:rPr>
          <w:lang w:val="en-GB"/>
        </w:rPr>
        <w:t xml:space="preserve">while </w:t>
      </w:r>
      <w:r w:rsidR="00E973D6" w:rsidRPr="00340BB7">
        <w:rPr>
          <w:lang w:val="en-GB"/>
        </w:rPr>
        <w:t>caring for</w:t>
      </w:r>
      <w:r w:rsidR="00B85209" w:rsidRPr="00340BB7">
        <w:rPr>
          <w:lang w:val="en-GB"/>
        </w:rPr>
        <w:t xml:space="preserve"> a small daughter </w:t>
      </w:r>
      <w:r w:rsidR="008B25D8">
        <w:rPr>
          <w:lang w:val="en-GB"/>
        </w:rPr>
        <w:t xml:space="preserve">and </w:t>
      </w:r>
      <w:r w:rsidR="00B85209" w:rsidRPr="00340BB7">
        <w:rPr>
          <w:lang w:val="en-GB"/>
        </w:rPr>
        <w:t xml:space="preserve">without access to food, </w:t>
      </w:r>
      <w:r w:rsidR="00E973D6" w:rsidRPr="00340BB7">
        <w:rPr>
          <w:lang w:val="en-GB"/>
        </w:rPr>
        <w:t xml:space="preserve">was </w:t>
      </w:r>
      <w:r w:rsidR="00B85209" w:rsidRPr="00340BB7">
        <w:rPr>
          <w:lang w:val="en-GB"/>
        </w:rPr>
        <w:t xml:space="preserve">extremely difficult. She found the </w:t>
      </w:r>
      <w:r w:rsidR="008B25D8" w:rsidRPr="00340BB7">
        <w:rPr>
          <w:lang w:val="en-GB"/>
        </w:rPr>
        <w:t>sanitary conditions</w:t>
      </w:r>
      <w:r w:rsidR="008B25D8">
        <w:rPr>
          <w:lang w:val="en-GB"/>
        </w:rPr>
        <w:t xml:space="preserve"> in the </w:t>
      </w:r>
      <w:r w:rsidR="00B85209" w:rsidRPr="00340BB7">
        <w:rPr>
          <w:lang w:val="en-GB"/>
        </w:rPr>
        <w:t xml:space="preserve">apartment </w:t>
      </w:r>
      <w:r w:rsidR="008B25D8">
        <w:rPr>
          <w:lang w:val="en-GB"/>
        </w:rPr>
        <w:t xml:space="preserve">where </w:t>
      </w:r>
      <w:r w:rsidR="00B85209" w:rsidRPr="00340BB7">
        <w:rPr>
          <w:lang w:val="en-GB"/>
        </w:rPr>
        <w:t xml:space="preserve">she used to live </w:t>
      </w:r>
      <w:r w:rsidR="008B25D8">
        <w:rPr>
          <w:lang w:val="en-GB"/>
        </w:rPr>
        <w:t xml:space="preserve">had </w:t>
      </w:r>
      <w:r w:rsidR="00B85209" w:rsidRPr="00340BB7">
        <w:rPr>
          <w:lang w:val="en-GB"/>
        </w:rPr>
        <w:t>worsened. The author did not receive any medical assistance or examinations during her pregnancy</w:t>
      </w:r>
      <w:r w:rsidR="0042277C" w:rsidRPr="00340BB7">
        <w:rPr>
          <w:lang w:val="en-GB"/>
        </w:rPr>
        <w:t>, as she was informed that</w:t>
      </w:r>
      <w:r w:rsidR="008B25D8">
        <w:rPr>
          <w:lang w:val="en-GB"/>
        </w:rPr>
        <w:t>,</w:t>
      </w:r>
      <w:r w:rsidR="0042277C" w:rsidRPr="00340BB7">
        <w:rPr>
          <w:lang w:val="en-GB"/>
        </w:rPr>
        <w:t xml:space="preserve"> to do so, she would need</w:t>
      </w:r>
      <w:r w:rsidR="00DA06EA" w:rsidRPr="00340BB7">
        <w:rPr>
          <w:lang w:val="en-GB"/>
        </w:rPr>
        <w:t xml:space="preserve"> a permanent</w:t>
      </w:r>
      <w:r w:rsidR="0042277C" w:rsidRPr="00340BB7">
        <w:rPr>
          <w:lang w:val="en-GB"/>
        </w:rPr>
        <w:t xml:space="preserve"> address. </w:t>
      </w:r>
    </w:p>
    <w:p w:rsidR="004F4B07" w:rsidRPr="00340BB7" w:rsidRDefault="002E00C5" w:rsidP="00237314">
      <w:pPr>
        <w:pStyle w:val="SingleTxtG"/>
        <w:rPr>
          <w:lang w:val="en-GB"/>
        </w:rPr>
      </w:pPr>
      <w:r w:rsidRPr="00340BB7">
        <w:rPr>
          <w:lang w:val="en-GB"/>
        </w:rPr>
        <w:t>2.8</w:t>
      </w:r>
      <w:r w:rsidR="004F4B07" w:rsidRPr="00340BB7">
        <w:rPr>
          <w:lang w:val="en-GB"/>
        </w:rPr>
        <w:tab/>
        <w:t>Having failed to find a stable job, schooling for her child, decent accommodation and access to medical care in Italy</w:t>
      </w:r>
      <w:r w:rsidR="00391EB0" w:rsidRPr="00340BB7">
        <w:rPr>
          <w:lang w:val="en-GB"/>
        </w:rPr>
        <w:t>,</w:t>
      </w:r>
      <w:r w:rsidR="004F4B07" w:rsidRPr="00340BB7">
        <w:rPr>
          <w:lang w:val="en-GB"/>
        </w:rPr>
        <w:t xml:space="preserve"> the author </w:t>
      </w:r>
      <w:r w:rsidR="00391EB0" w:rsidRPr="00340BB7">
        <w:rPr>
          <w:lang w:val="en-GB"/>
        </w:rPr>
        <w:t>travelled</w:t>
      </w:r>
      <w:r w:rsidR="004F4B07" w:rsidRPr="00340BB7">
        <w:rPr>
          <w:lang w:val="en-GB"/>
        </w:rPr>
        <w:t xml:space="preserve"> to Denmark</w:t>
      </w:r>
      <w:r w:rsidR="00391EB0" w:rsidRPr="00340BB7">
        <w:rPr>
          <w:lang w:val="en-GB"/>
        </w:rPr>
        <w:t xml:space="preserve"> </w:t>
      </w:r>
      <w:r w:rsidR="004A4107" w:rsidRPr="00340BB7">
        <w:rPr>
          <w:lang w:val="en-GB"/>
        </w:rPr>
        <w:t>on 31 May 2012, w</w:t>
      </w:r>
      <w:r w:rsidR="00391EB0" w:rsidRPr="00340BB7">
        <w:rPr>
          <w:lang w:val="en-GB"/>
        </w:rPr>
        <w:t>here she</w:t>
      </w:r>
      <w:r w:rsidR="004F4B07" w:rsidRPr="00340BB7">
        <w:rPr>
          <w:lang w:val="en-GB"/>
        </w:rPr>
        <w:t xml:space="preserve"> applied for asylum </w:t>
      </w:r>
      <w:r w:rsidR="00391EB0" w:rsidRPr="00340BB7">
        <w:rPr>
          <w:lang w:val="en-GB"/>
        </w:rPr>
        <w:t xml:space="preserve">on </w:t>
      </w:r>
      <w:r w:rsidR="004A4107" w:rsidRPr="00340BB7">
        <w:rPr>
          <w:lang w:val="en-GB"/>
        </w:rPr>
        <w:t>the same day</w:t>
      </w:r>
      <w:r w:rsidR="004F4B07" w:rsidRPr="00340BB7">
        <w:rPr>
          <w:lang w:val="en-GB"/>
        </w:rPr>
        <w:t>. On 6 July 2012</w:t>
      </w:r>
      <w:r w:rsidR="008B25D8">
        <w:rPr>
          <w:lang w:val="en-GB"/>
        </w:rPr>
        <w:t>,</w:t>
      </w:r>
      <w:r w:rsidR="004F4B07" w:rsidRPr="00340BB7">
        <w:rPr>
          <w:lang w:val="en-GB"/>
        </w:rPr>
        <w:t xml:space="preserve"> she gave birth to her second child. </w:t>
      </w:r>
      <w:r w:rsidR="0072370E" w:rsidRPr="00340BB7">
        <w:rPr>
          <w:lang w:val="en-GB"/>
        </w:rPr>
        <w:t>The author had a disagreement with her husband, and she has not been in contact with him since 2012.</w:t>
      </w:r>
    </w:p>
    <w:p w:rsidR="00982114" w:rsidRPr="00340BB7" w:rsidRDefault="002E00C5" w:rsidP="00CD2B9D">
      <w:pPr>
        <w:pStyle w:val="SingleTxtG"/>
        <w:rPr>
          <w:lang w:val="en-GB"/>
        </w:rPr>
      </w:pPr>
      <w:r w:rsidRPr="00340BB7">
        <w:rPr>
          <w:lang w:val="en-GB"/>
        </w:rPr>
        <w:t>2.9</w:t>
      </w:r>
      <w:r w:rsidR="004F4B07" w:rsidRPr="00340BB7">
        <w:rPr>
          <w:lang w:val="en-GB"/>
        </w:rPr>
        <w:tab/>
        <w:t>In her asylum claim</w:t>
      </w:r>
      <w:r w:rsidRPr="00340BB7">
        <w:rPr>
          <w:lang w:val="en-GB"/>
        </w:rPr>
        <w:t>,</w:t>
      </w:r>
      <w:r w:rsidR="004F4B07" w:rsidRPr="00340BB7">
        <w:rPr>
          <w:lang w:val="en-GB"/>
        </w:rPr>
        <w:t xml:space="preserve"> the author sought protection against the situation in Somalia. On 12 October 2013</w:t>
      </w:r>
      <w:r w:rsidR="00901A34" w:rsidRPr="00340BB7">
        <w:rPr>
          <w:lang w:val="en-GB"/>
        </w:rPr>
        <w:t>,</w:t>
      </w:r>
      <w:r w:rsidR="004F4B07" w:rsidRPr="00340BB7">
        <w:rPr>
          <w:lang w:val="en-GB"/>
        </w:rPr>
        <w:t xml:space="preserve"> the Danish </w:t>
      </w:r>
      <w:r w:rsidR="002F005F">
        <w:rPr>
          <w:lang w:val="en-GB"/>
        </w:rPr>
        <w:t>i</w:t>
      </w:r>
      <w:r w:rsidR="004F4B07" w:rsidRPr="00340BB7">
        <w:rPr>
          <w:lang w:val="en-GB"/>
        </w:rPr>
        <w:t xml:space="preserve">mmigration </w:t>
      </w:r>
      <w:r w:rsidR="002F005F">
        <w:rPr>
          <w:lang w:val="en-GB"/>
        </w:rPr>
        <w:t>s</w:t>
      </w:r>
      <w:r w:rsidR="004F4B07" w:rsidRPr="00340BB7">
        <w:rPr>
          <w:lang w:val="en-GB"/>
        </w:rPr>
        <w:t>ervice rejected her application for asylum</w:t>
      </w:r>
      <w:r w:rsidR="006F3B67" w:rsidRPr="00340BB7">
        <w:rPr>
          <w:lang w:val="en-GB"/>
        </w:rPr>
        <w:t>, as it found the author to lack credibility. The</w:t>
      </w:r>
      <w:r w:rsidR="004F4B07" w:rsidRPr="00340BB7">
        <w:rPr>
          <w:lang w:val="en-GB"/>
        </w:rPr>
        <w:t xml:space="preserve"> decision was upheld by the </w:t>
      </w:r>
      <w:r w:rsidR="002F005F">
        <w:rPr>
          <w:lang w:val="en-GB"/>
        </w:rPr>
        <w:t>r</w:t>
      </w:r>
      <w:r w:rsidR="004F4B07" w:rsidRPr="00340BB7">
        <w:rPr>
          <w:lang w:val="en-GB"/>
        </w:rPr>
        <w:t xml:space="preserve">efugee </w:t>
      </w:r>
      <w:r w:rsidR="002F005F">
        <w:rPr>
          <w:lang w:val="en-GB"/>
        </w:rPr>
        <w:t>a</w:t>
      </w:r>
      <w:r w:rsidR="004F4B07" w:rsidRPr="00340BB7">
        <w:rPr>
          <w:lang w:val="en-GB"/>
        </w:rPr>
        <w:t xml:space="preserve">ppeals </w:t>
      </w:r>
      <w:r w:rsidR="002F005F">
        <w:rPr>
          <w:lang w:val="en-GB"/>
        </w:rPr>
        <w:t>b</w:t>
      </w:r>
      <w:r w:rsidR="004F4B07" w:rsidRPr="00340BB7">
        <w:rPr>
          <w:lang w:val="en-GB"/>
        </w:rPr>
        <w:t>oard on 15 November 2013</w:t>
      </w:r>
      <w:r w:rsidR="006F3B67" w:rsidRPr="00340BB7">
        <w:rPr>
          <w:lang w:val="en-GB"/>
        </w:rPr>
        <w:t>, and t</w:t>
      </w:r>
      <w:r w:rsidR="004F4B07" w:rsidRPr="00340BB7">
        <w:rPr>
          <w:lang w:val="en-GB"/>
        </w:rPr>
        <w:t xml:space="preserve">he author and her children were ordered to leave Denmark and return to Somalia. The asylum authorities did not address the author’s claim regarding the situation in Italy, although the author </w:t>
      </w:r>
      <w:r w:rsidR="00910181" w:rsidRPr="00340BB7">
        <w:rPr>
          <w:lang w:val="en-GB"/>
        </w:rPr>
        <w:t>had mentioned</w:t>
      </w:r>
      <w:r w:rsidR="004F4B07" w:rsidRPr="00340BB7">
        <w:rPr>
          <w:lang w:val="en-GB"/>
        </w:rPr>
        <w:t xml:space="preserve"> the harsh and degrading living conditions she faced there.</w:t>
      </w:r>
      <w:r w:rsidR="004F4B07" w:rsidRPr="00340BB7">
        <w:rPr>
          <w:rStyle w:val="FootnoteReference"/>
          <w:lang w:val="en-GB"/>
        </w:rPr>
        <w:t xml:space="preserve"> </w:t>
      </w:r>
      <w:r w:rsidR="004F4B07" w:rsidRPr="00340BB7">
        <w:rPr>
          <w:lang w:val="en-GB"/>
        </w:rPr>
        <w:t>On 6 March 2014</w:t>
      </w:r>
      <w:r w:rsidR="007D31DB" w:rsidRPr="00340BB7">
        <w:rPr>
          <w:lang w:val="en-GB"/>
        </w:rPr>
        <w:t>,</w:t>
      </w:r>
      <w:r w:rsidR="004F4B07" w:rsidRPr="00340BB7">
        <w:rPr>
          <w:lang w:val="en-GB"/>
        </w:rPr>
        <w:t xml:space="preserve"> the </w:t>
      </w:r>
      <w:r w:rsidR="007D31DB" w:rsidRPr="00340BB7">
        <w:rPr>
          <w:lang w:val="en-GB"/>
        </w:rPr>
        <w:t>author</w:t>
      </w:r>
      <w:r w:rsidR="004F4B07" w:rsidRPr="00340BB7">
        <w:rPr>
          <w:lang w:val="en-GB"/>
        </w:rPr>
        <w:t xml:space="preserve"> applied to the </w:t>
      </w:r>
      <w:r w:rsidR="002F005F">
        <w:rPr>
          <w:lang w:val="en-GB"/>
        </w:rPr>
        <w:t>r</w:t>
      </w:r>
      <w:r w:rsidR="007D31DB" w:rsidRPr="00340BB7">
        <w:rPr>
          <w:lang w:val="en-GB"/>
        </w:rPr>
        <w:t xml:space="preserve">efugees </w:t>
      </w:r>
      <w:r w:rsidR="002F005F">
        <w:rPr>
          <w:lang w:val="en-GB"/>
        </w:rPr>
        <w:t>a</w:t>
      </w:r>
      <w:r w:rsidR="004F4B07" w:rsidRPr="00340BB7">
        <w:rPr>
          <w:lang w:val="en-GB"/>
        </w:rPr>
        <w:t xml:space="preserve">ppeals </w:t>
      </w:r>
      <w:r w:rsidR="002F005F">
        <w:rPr>
          <w:lang w:val="en-GB"/>
        </w:rPr>
        <w:t>b</w:t>
      </w:r>
      <w:r w:rsidR="004F4B07" w:rsidRPr="00340BB7">
        <w:rPr>
          <w:lang w:val="en-GB"/>
        </w:rPr>
        <w:t xml:space="preserve">oard </w:t>
      </w:r>
      <w:r w:rsidR="002F005F">
        <w:rPr>
          <w:lang w:val="en-GB"/>
        </w:rPr>
        <w:t xml:space="preserve">for it to reopen </w:t>
      </w:r>
      <w:r w:rsidR="007D31DB" w:rsidRPr="00340BB7">
        <w:rPr>
          <w:lang w:val="en-GB"/>
        </w:rPr>
        <w:t>the case on the ground</w:t>
      </w:r>
      <w:r w:rsidR="002F005F">
        <w:rPr>
          <w:lang w:val="en-GB"/>
        </w:rPr>
        <w:t>s</w:t>
      </w:r>
      <w:r w:rsidR="007D31DB" w:rsidRPr="00340BB7">
        <w:rPr>
          <w:lang w:val="en-GB"/>
        </w:rPr>
        <w:t xml:space="preserve"> that</w:t>
      </w:r>
      <w:r w:rsidR="004F4B07" w:rsidRPr="00340BB7">
        <w:rPr>
          <w:lang w:val="en-GB"/>
        </w:rPr>
        <w:t xml:space="preserve"> its</w:t>
      </w:r>
      <w:r w:rsidR="007D31DB" w:rsidRPr="00340BB7">
        <w:rPr>
          <w:lang w:val="en-GB"/>
        </w:rPr>
        <w:t xml:space="preserve"> assessment of the case</w:t>
      </w:r>
      <w:r w:rsidR="004F4B07" w:rsidRPr="00340BB7">
        <w:rPr>
          <w:lang w:val="en-GB"/>
        </w:rPr>
        <w:t xml:space="preserve"> </w:t>
      </w:r>
      <w:r w:rsidR="002F005F">
        <w:rPr>
          <w:lang w:val="en-GB"/>
        </w:rPr>
        <w:t xml:space="preserve">had not been </w:t>
      </w:r>
      <w:r w:rsidR="004F4B07" w:rsidRPr="00340BB7">
        <w:rPr>
          <w:lang w:val="en-GB"/>
        </w:rPr>
        <w:t>consistent with other similar cases of Somali asylum seekers.</w:t>
      </w:r>
      <w:r w:rsidR="00910181" w:rsidRPr="00340BB7">
        <w:rPr>
          <w:lang w:val="en-GB"/>
        </w:rPr>
        <w:t xml:space="preserve"> This request was rejected on 16 June 2014.</w:t>
      </w:r>
      <w:r w:rsidR="004F4B07" w:rsidRPr="00340BB7">
        <w:rPr>
          <w:lang w:val="en-GB"/>
        </w:rPr>
        <w:t xml:space="preserve"> </w:t>
      </w:r>
    </w:p>
    <w:p w:rsidR="00F27966" w:rsidRPr="00340BB7" w:rsidRDefault="002E00C5" w:rsidP="00CD2B9D">
      <w:pPr>
        <w:pStyle w:val="SingleTxtG"/>
        <w:rPr>
          <w:lang w:val="en-GB"/>
        </w:rPr>
      </w:pPr>
      <w:r w:rsidRPr="00340BB7">
        <w:rPr>
          <w:lang w:val="en-GB"/>
        </w:rPr>
        <w:t>2.10</w:t>
      </w:r>
      <w:r w:rsidR="004F4B07" w:rsidRPr="00340BB7">
        <w:rPr>
          <w:lang w:val="en-GB"/>
        </w:rPr>
        <w:tab/>
        <w:t>Meanwhile</w:t>
      </w:r>
      <w:r w:rsidR="00DF0EAC" w:rsidRPr="00340BB7">
        <w:rPr>
          <w:lang w:val="en-GB"/>
        </w:rPr>
        <w:t>,</w:t>
      </w:r>
      <w:r w:rsidR="004F4B07" w:rsidRPr="00340BB7">
        <w:rPr>
          <w:lang w:val="en-GB"/>
        </w:rPr>
        <w:t xml:space="preserve"> the Danish National Police made arrangements </w:t>
      </w:r>
      <w:r w:rsidR="002F005F">
        <w:rPr>
          <w:lang w:val="en-GB"/>
        </w:rPr>
        <w:t xml:space="preserve">to </w:t>
      </w:r>
      <w:r w:rsidR="004F4B07" w:rsidRPr="00340BB7">
        <w:rPr>
          <w:lang w:val="en-GB"/>
        </w:rPr>
        <w:t xml:space="preserve">return the author to Italy under the </w:t>
      </w:r>
      <w:r w:rsidR="002F005F">
        <w:rPr>
          <w:lang w:val="en-GB"/>
        </w:rPr>
        <w:t xml:space="preserve">European Union </w:t>
      </w:r>
      <w:r w:rsidR="004F4B07" w:rsidRPr="00340BB7">
        <w:rPr>
          <w:lang w:val="en-GB"/>
        </w:rPr>
        <w:t>Return Directive</w:t>
      </w:r>
      <w:r w:rsidR="002866C0" w:rsidRPr="00340BB7">
        <w:rPr>
          <w:lang w:val="en-GB"/>
        </w:rPr>
        <w:t>.</w:t>
      </w:r>
      <w:r w:rsidR="00DF0EAC" w:rsidRPr="00340BB7">
        <w:rPr>
          <w:lang w:val="en-GB"/>
        </w:rPr>
        <w:t xml:space="preserve"> </w:t>
      </w:r>
    </w:p>
    <w:p w:rsidR="00F27966" w:rsidRPr="00340BB7" w:rsidRDefault="00901A34" w:rsidP="00CD2B9D">
      <w:pPr>
        <w:pStyle w:val="SingleTxtG"/>
        <w:rPr>
          <w:lang w:val="en-GB"/>
        </w:rPr>
      </w:pPr>
      <w:r w:rsidRPr="00340BB7">
        <w:rPr>
          <w:lang w:val="en-GB"/>
        </w:rPr>
        <w:t>2.11</w:t>
      </w:r>
      <w:r w:rsidR="00F27966" w:rsidRPr="00340BB7">
        <w:rPr>
          <w:lang w:val="en-GB"/>
        </w:rPr>
        <w:tab/>
        <w:t xml:space="preserve">The author claims that she has exhausted domestic remedies, as decisions of the Danish </w:t>
      </w:r>
      <w:r w:rsidR="002F005F">
        <w:rPr>
          <w:lang w:val="en-GB"/>
        </w:rPr>
        <w:t>r</w:t>
      </w:r>
      <w:r w:rsidR="00F27966" w:rsidRPr="00340BB7">
        <w:rPr>
          <w:lang w:val="en-GB"/>
        </w:rPr>
        <w:t xml:space="preserve">efugee </w:t>
      </w:r>
      <w:r w:rsidR="002F005F">
        <w:rPr>
          <w:lang w:val="en-GB"/>
        </w:rPr>
        <w:t>a</w:t>
      </w:r>
      <w:r w:rsidR="00F27966" w:rsidRPr="00340BB7">
        <w:rPr>
          <w:lang w:val="en-GB"/>
        </w:rPr>
        <w:t xml:space="preserve">ppeals </w:t>
      </w:r>
      <w:r w:rsidR="002F005F">
        <w:rPr>
          <w:lang w:val="en-GB"/>
        </w:rPr>
        <w:t>b</w:t>
      </w:r>
      <w:r w:rsidR="00F27966" w:rsidRPr="00340BB7">
        <w:rPr>
          <w:lang w:val="en-GB"/>
        </w:rPr>
        <w:t xml:space="preserve">oard cannot be appealed. The application for the reopening of the case lacks suspensive effect. </w:t>
      </w:r>
    </w:p>
    <w:p w:rsidR="00CC3666" w:rsidRPr="00340BB7" w:rsidRDefault="00D8286A" w:rsidP="00237314">
      <w:pPr>
        <w:pStyle w:val="H23G"/>
      </w:pPr>
      <w:r w:rsidRPr="00340BB7">
        <w:rPr>
          <w:rFonts w:eastAsia="Calibri"/>
          <w:b w:val="0"/>
        </w:rPr>
        <w:tab/>
      </w:r>
      <w:r w:rsidRPr="00340BB7">
        <w:rPr>
          <w:rFonts w:eastAsia="Calibri"/>
          <w:b w:val="0"/>
        </w:rPr>
        <w:tab/>
      </w:r>
      <w:r w:rsidR="00CC3666" w:rsidRPr="00340BB7">
        <w:t>The complaint</w:t>
      </w:r>
    </w:p>
    <w:p w:rsidR="00F738EF" w:rsidRPr="00340BB7" w:rsidRDefault="00010B81" w:rsidP="00CD2B9D">
      <w:pPr>
        <w:pStyle w:val="SingleTxtG"/>
        <w:rPr>
          <w:lang w:val="en-GB"/>
        </w:rPr>
      </w:pPr>
      <w:r w:rsidRPr="00340BB7">
        <w:rPr>
          <w:lang w:val="en-GB"/>
        </w:rPr>
        <w:t>3.1</w:t>
      </w:r>
      <w:r w:rsidR="00237314" w:rsidRPr="00340BB7">
        <w:rPr>
          <w:lang w:val="en-GB"/>
        </w:rPr>
        <w:tab/>
      </w:r>
      <w:r w:rsidRPr="00340BB7">
        <w:rPr>
          <w:lang w:val="en-GB"/>
        </w:rPr>
        <w:t>The author submits that</w:t>
      </w:r>
      <w:r w:rsidR="002F005F">
        <w:rPr>
          <w:lang w:val="en-GB"/>
        </w:rPr>
        <w:t>,</w:t>
      </w:r>
      <w:r w:rsidRPr="00340BB7">
        <w:rPr>
          <w:lang w:val="en-GB"/>
        </w:rPr>
        <w:t xml:space="preserve"> by forcibly returning her and her children to Italy, </w:t>
      </w:r>
      <w:r w:rsidR="002866C0" w:rsidRPr="00340BB7">
        <w:rPr>
          <w:lang w:val="en-GB"/>
        </w:rPr>
        <w:t xml:space="preserve">the State party </w:t>
      </w:r>
      <w:r w:rsidRPr="00340BB7">
        <w:rPr>
          <w:lang w:val="en-GB"/>
        </w:rPr>
        <w:t>would violate their rights under article 7 of the Covenant.</w:t>
      </w:r>
      <w:r w:rsidRPr="00340BB7">
        <w:rPr>
          <w:rStyle w:val="FootnoteReference"/>
          <w:sz w:val="20"/>
          <w:lang w:val="en-GB"/>
        </w:rPr>
        <w:footnoteReference w:id="4"/>
      </w:r>
      <w:r w:rsidRPr="00340BB7">
        <w:rPr>
          <w:lang w:val="en-GB"/>
        </w:rPr>
        <w:t xml:space="preserve"> </w:t>
      </w:r>
      <w:r w:rsidR="003A2452" w:rsidRPr="00340BB7">
        <w:rPr>
          <w:lang w:val="en-GB"/>
        </w:rPr>
        <w:t xml:space="preserve">Since she was requested to leave the reception centre after </w:t>
      </w:r>
      <w:r w:rsidR="002F005F">
        <w:rPr>
          <w:lang w:val="en-GB"/>
        </w:rPr>
        <w:t xml:space="preserve">being </w:t>
      </w:r>
      <w:r w:rsidR="003A2452" w:rsidRPr="00340BB7">
        <w:rPr>
          <w:lang w:val="en-GB"/>
        </w:rPr>
        <w:t xml:space="preserve">granted subsidiary protection, the author has been unable to find </w:t>
      </w:r>
      <w:r w:rsidR="002F005F">
        <w:rPr>
          <w:lang w:val="en-GB"/>
        </w:rPr>
        <w:t xml:space="preserve">either a </w:t>
      </w:r>
      <w:r w:rsidR="003A2452" w:rsidRPr="00340BB7">
        <w:rPr>
          <w:lang w:val="en-GB"/>
        </w:rPr>
        <w:t xml:space="preserve">durable housing solution or assistance </w:t>
      </w:r>
      <w:r w:rsidR="002F005F">
        <w:rPr>
          <w:lang w:val="en-GB"/>
        </w:rPr>
        <w:t xml:space="preserve">in finding </w:t>
      </w:r>
      <w:r w:rsidR="003A2452" w:rsidRPr="00340BB7">
        <w:rPr>
          <w:lang w:val="en-GB"/>
        </w:rPr>
        <w:t xml:space="preserve">employment, social benefits or access to education for her eldest daughter. </w:t>
      </w:r>
    </w:p>
    <w:p w:rsidR="004549AA" w:rsidRPr="00340BB7" w:rsidRDefault="0025516D" w:rsidP="00CD2B9D">
      <w:pPr>
        <w:pStyle w:val="SingleTxtG"/>
        <w:rPr>
          <w:lang w:val="en-GB"/>
        </w:rPr>
      </w:pPr>
      <w:r w:rsidRPr="00340BB7">
        <w:rPr>
          <w:lang w:val="en-GB"/>
        </w:rPr>
        <w:t>3.2</w:t>
      </w:r>
      <w:r w:rsidR="00237314" w:rsidRPr="00340BB7">
        <w:rPr>
          <w:lang w:val="en-GB"/>
        </w:rPr>
        <w:tab/>
      </w:r>
      <w:r w:rsidRPr="00340BB7">
        <w:rPr>
          <w:lang w:val="en-GB"/>
        </w:rPr>
        <w:t>The author</w:t>
      </w:r>
      <w:r w:rsidR="0046361F" w:rsidRPr="00340BB7">
        <w:rPr>
          <w:lang w:val="en-GB"/>
        </w:rPr>
        <w:t xml:space="preserve"> submits that</w:t>
      </w:r>
      <w:r w:rsidR="00010B81" w:rsidRPr="00340BB7">
        <w:rPr>
          <w:lang w:val="en-GB"/>
        </w:rPr>
        <w:t xml:space="preserve"> reception conditions in Italy and basic standards for refugees with valid or expired residence permits do not comply with international obligations of protection.</w:t>
      </w:r>
      <w:r w:rsidR="00010B81" w:rsidRPr="00340BB7">
        <w:rPr>
          <w:rStyle w:val="FootnoteReference"/>
          <w:sz w:val="20"/>
          <w:lang w:val="en-GB"/>
        </w:rPr>
        <w:footnoteReference w:id="5"/>
      </w:r>
      <w:r w:rsidR="00010B81" w:rsidRPr="00340BB7">
        <w:rPr>
          <w:lang w:val="en-GB"/>
        </w:rPr>
        <w:t xml:space="preserve"> On this issue, the author cites a report stating that</w:t>
      </w:r>
      <w:r w:rsidR="002F005F">
        <w:rPr>
          <w:lang w:val="en-GB"/>
        </w:rPr>
        <w:t>,</w:t>
      </w:r>
      <w:r w:rsidR="00010B81" w:rsidRPr="00340BB7">
        <w:rPr>
          <w:lang w:val="en-GB"/>
        </w:rPr>
        <w:t xml:space="preserve"> if international protection seekers returning to Italy have already been granted a form of protection and already enjoyed the reception system when they were in Italy, they have no more right to be accommodated in reception facilities in Italy.</w:t>
      </w:r>
      <w:r w:rsidR="00010B81" w:rsidRPr="00340BB7">
        <w:rPr>
          <w:rStyle w:val="FootnoteReference"/>
          <w:sz w:val="20"/>
          <w:lang w:val="en-GB"/>
        </w:rPr>
        <w:footnoteReference w:id="6"/>
      </w:r>
      <w:r w:rsidR="00010B81" w:rsidRPr="00340BB7">
        <w:rPr>
          <w:lang w:val="en-GB"/>
        </w:rPr>
        <w:t xml:space="preserve"> She asserts that asylum seekers in Italy experience severe difficulties </w:t>
      </w:r>
      <w:r w:rsidR="00101DE5">
        <w:rPr>
          <w:lang w:val="en-GB"/>
        </w:rPr>
        <w:t xml:space="preserve">gaining </w:t>
      </w:r>
      <w:r w:rsidR="00010B81" w:rsidRPr="00340BB7">
        <w:rPr>
          <w:lang w:val="en-GB"/>
        </w:rPr>
        <w:t xml:space="preserve">access </w:t>
      </w:r>
      <w:r w:rsidR="00101DE5">
        <w:rPr>
          <w:lang w:val="en-GB"/>
        </w:rPr>
        <w:t xml:space="preserve">to </w:t>
      </w:r>
      <w:r w:rsidR="00010B81" w:rsidRPr="00340BB7">
        <w:rPr>
          <w:lang w:val="en-GB"/>
        </w:rPr>
        <w:t>health services.</w:t>
      </w:r>
      <w:r w:rsidR="00010B81" w:rsidRPr="00340BB7">
        <w:rPr>
          <w:rStyle w:val="FootnoteReference"/>
          <w:sz w:val="20"/>
          <w:lang w:val="en-GB"/>
        </w:rPr>
        <w:footnoteReference w:id="7"/>
      </w:r>
      <w:r w:rsidR="00010B81" w:rsidRPr="00340BB7">
        <w:rPr>
          <w:lang w:val="en-GB"/>
        </w:rPr>
        <w:t xml:space="preserve"> </w:t>
      </w:r>
      <w:r w:rsidR="004D5662" w:rsidRPr="00340BB7">
        <w:rPr>
          <w:lang w:val="en-GB"/>
        </w:rPr>
        <w:t>I</w:t>
      </w:r>
      <w:r w:rsidR="00010B81" w:rsidRPr="00340BB7">
        <w:rPr>
          <w:lang w:val="en-GB"/>
        </w:rPr>
        <w:t>n view of this situation, Italy does not currently meet the necessary humanitarian standards for the principle of first country asylum to be applied.</w:t>
      </w:r>
    </w:p>
    <w:p w:rsidR="00944BDC" w:rsidRPr="00340BB7" w:rsidRDefault="00F738EF" w:rsidP="00CD2B9D">
      <w:pPr>
        <w:pStyle w:val="SingleTxtG"/>
        <w:rPr>
          <w:lang w:val="en-GB"/>
        </w:rPr>
      </w:pPr>
      <w:r w:rsidRPr="00340BB7">
        <w:rPr>
          <w:lang w:val="en-GB"/>
        </w:rPr>
        <w:t>3.3</w:t>
      </w:r>
      <w:r w:rsidR="004549AA" w:rsidRPr="00340BB7">
        <w:rPr>
          <w:lang w:val="en-GB"/>
        </w:rPr>
        <w:tab/>
      </w:r>
      <w:r w:rsidR="0046361F" w:rsidRPr="00340BB7">
        <w:rPr>
          <w:lang w:val="en-GB"/>
        </w:rPr>
        <w:t>The author adds that</w:t>
      </w:r>
      <w:r w:rsidR="00101DE5">
        <w:rPr>
          <w:lang w:val="en-GB"/>
        </w:rPr>
        <w:t>,</w:t>
      </w:r>
      <w:r w:rsidR="0046361F" w:rsidRPr="00340BB7">
        <w:rPr>
          <w:lang w:val="en-GB"/>
        </w:rPr>
        <w:t xml:space="preserve"> if they were to return to Italy, she and her children would be at a real risk of facing inhuman and degrading treatment</w:t>
      </w:r>
      <w:r w:rsidR="00101DE5">
        <w:rPr>
          <w:lang w:val="en-GB"/>
        </w:rPr>
        <w:t>,</w:t>
      </w:r>
      <w:r w:rsidR="0046361F" w:rsidRPr="00340BB7">
        <w:rPr>
          <w:lang w:val="en-GB"/>
        </w:rPr>
        <w:t xml:space="preserve"> because </w:t>
      </w:r>
      <w:r w:rsidR="00DF1E04" w:rsidRPr="00340BB7">
        <w:rPr>
          <w:lang w:val="en-GB"/>
        </w:rPr>
        <w:t>t</w:t>
      </w:r>
      <w:r w:rsidR="00D80B57" w:rsidRPr="00340BB7">
        <w:rPr>
          <w:lang w:val="en-GB"/>
        </w:rPr>
        <w:t>hey would</w:t>
      </w:r>
      <w:r w:rsidRPr="00340BB7">
        <w:rPr>
          <w:lang w:val="en-GB"/>
        </w:rPr>
        <w:t xml:space="preserve"> be f</w:t>
      </w:r>
      <w:r w:rsidR="00DF1E04" w:rsidRPr="00340BB7">
        <w:rPr>
          <w:lang w:val="en-GB"/>
        </w:rPr>
        <w:t>ully dependent on charity. T</w:t>
      </w:r>
      <w:r w:rsidRPr="00340BB7">
        <w:rPr>
          <w:lang w:val="en-GB"/>
        </w:rPr>
        <w:t xml:space="preserve">he author </w:t>
      </w:r>
      <w:r w:rsidR="003822BA">
        <w:rPr>
          <w:lang w:val="en-GB"/>
        </w:rPr>
        <w:t xml:space="preserve">further </w:t>
      </w:r>
      <w:r w:rsidRPr="00340BB7">
        <w:rPr>
          <w:lang w:val="en-GB"/>
        </w:rPr>
        <w:t xml:space="preserve">fears </w:t>
      </w:r>
      <w:r w:rsidR="00101DE5">
        <w:rPr>
          <w:lang w:val="en-GB"/>
        </w:rPr>
        <w:t xml:space="preserve">that she would </w:t>
      </w:r>
      <w:r w:rsidRPr="00340BB7">
        <w:rPr>
          <w:lang w:val="en-GB"/>
        </w:rPr>
        <w:t xml:space="preserve">be in a desperate situation </w:t>
      </w:r>
      <w:r w:rsidR="00DF1E04" w:rsidRPr="00340BB7">
        <w:rPr>
          <w:lang w:val="en-GB"/>
        </w:rPr>
        <w:t>w</w:t>
      </w:r>
      <w:r w:rsidRPr="00340BB7">
        <w:rPr>
          <w:lang w:val="en-GB"/>
        </w:rPr>
        <w:t xml:space="preserve">hereby she </w:t>
      </w:r>
      <w:r w:rsidR="00101DE5">
        <w:rPr>
          <w:lang w:val="en-GB"/>
        </w:rPr>
        <w:t xml:space="preserve">would </w:t>
      </w:r>
      <w:r w:rsidRPr="00340BB7">
        <w:rPr>
          <w:lang w:val="en-GB"/>
        </w:rPr>
        <w:t xml:space="preserve">not be able to provide </w:t>
      </w:r>
      <w:r w:rsidR="00101DE5">
        <w:rPr>
          <w:lang w:val="en-GB"/>
        </w:rPr>
        <w:t xml:space="preserve">her children with </w:t>
      </w:r>
      <w:r w:rsidRPr="00340BB7">
        <w:rPr>
          <w:lang w:val="en-GB"/>
        </w:rPr>
        <w:t xml:space="preserve">food </w:t>
      </w:r>
      <w:r w:rsidR="00101DE5">
        <w:rPr>
          <w:lang w:val="en-GB"/>
        </w:rPr>
        <w:t xml:space="preserve">or </w:t>
      </w:r>
      <w:r w:rsidRPr="00340BB7">
        <w:rPr>
          <w:lang w:val="en-GB"/>
        </w:rPr>
        <w:t>shelter</w:t>
      </w:r>
      <w:r w:rsidR="00101DE5">
        <w:rPr>
          <w:lang w:val="en-GB"/>
        </w:rPr>
        <w:t>.</w:t>
      </w:r>
      <w:r w:rsidRPr="00340BB7">
        <w:rPr>
          <w:lang w:val="en-GB"/>
        </w:rPr>
        <w:t xml:space="preserve"> </w:t>
      </w:r>
    </w:p>
    <w:p w:rsidR="00D80B57" w:rsidRPr="00340BB7" w:rsidRDefault="00237314" w:rsidP="00237314">
      <w:pPr>
        <w:pStyle w:val="H23G"/>
      </w:pPr>
      <w:r w:rsidRPr="00340BB7">
        <w:tab/>
      </w:r>
      <w:r w:rsidRPr="00340BB7">
        <w:tab/>
      </w:r>
      <w:r w:rsidR="00D80B57" w:rsidRPr="00340BB7">
        <w:t>State party’s observations on admissibility and merits</w:t>
      </w:r>
    </w:p>
    <w:p w:rsidR="00855E72" w:rsidRPr="00340BB7" w:rsidRDefault="00D80B57" w:rsidP="00CD2B9D">
      <w:pPr>
        <w:pStyle w:val="SingleTxtG"/>
        <w:rPr>
          <w:lang w:val="en-GB"/>
        </w:rPr>
      </w:pPr>
      <w:r w:rsidRPr="00340BB7">
        <w:rPr>
          <w:lang w:val="en-GB"/>
        </w:rPr>
        <w:t>4.</w:t>
      </w:r>
      <w:r w:rsidR="008946D5" w:rsidRPr="00340BB7">
        <w:rPr>
          <w:lang w:val="en-GB"/>
        </w:rPr>
        <w:t>1</w:t>
      </w:r>
      <w:r w:rsidR="00237314" w:rsidRPr="00340BB7">
        <w:rPr>
          <w:lang w:val="en-GB"/>
        </w:rPr>
        <w:tab/>
      </w:r>
      <w:r w:rsidRPr="00340BB7">
        <w:rPr>
          <w:lang w:val="en-GB"/>
        </w:rPr>
        <w:t>On 19 December</w:t>
      </w:r>
      <w:r w:rsidR="00F91041" w:rsidRPr="00340BB7">
        <w:rPr>
          <w:lang w:val="en-GB"/>
        </w:rPr>
        <w:t xml:space="preserve"> 2014, the State party </w:t>
      </w:r>
      <w:r w:rsidRPr="00340BB7">
        <w:rPr>
          <w:lang w:val="en-GB"/>
        </w:rPr>
        <w:t>submitted</w:t>
      </w:r>
      <w:r w:rsidR="00F91041" w:rsidRPr="00340BB7">
        <w:rPr>
          <w:lang w:val="en-GB"/>
        </w:rPr>
        <w:t xml:space="preserve"> that the communication</w:t>
      </w:r>
      <w:r w:rsidRPr="00340BB7">
        <w:rPr>
          <w:lang w:val="en-GB"/>
        </w:rPr>
        <w:t xml:space="preserve"> should be declared inadmissible as the author </w:t>
      </w:r>
      <w:r w:rsidR="00F26365">
        <w:rPr>
          <w:lang w:val="en-GB"/>
        </w:rPr>
        <w:t xml:space="preserve">had </w:t>
      </w:r>
      <w:r w:rsidRPr="00340BB7">
        <w:rPr>
          <w:lang w:val="en-GB"/>
        </w:rPr>
        <w:t>failed to exhaust domestic remedies or, alternatively, considered inadmissible as the author ha</w:t>
      </w:r>
      <w:r w:rsidR="00F26365">
        <w:rPr>
          <w:lang w:val="en-GB"/>
        </w:rPr>
        <w:t>d</w:t>
      </w:r>
      <w:r w:rsidRPr="00340BB7">
        <w:rPr>
          <w:lang w:val="en-GB"/>
        </w:rPr>
        <w:t xml:space="preserve"> failed to establish a </w:t>
      </w:r>
      <w:r w:rsidRPr="003B65B0">
        <w:rPr>
          <w:iCs/>
          <w:lang w:val="en-GB"/>
        </w:rPr>
        <w:t>prima facie</w:t>
      </w:r>
      <w:r w:rsidRPr="00340BB7">
        <w:rPr>
          <w:lang w:val="en-GB"/>
        </w:rPr>
        <w:t xml:space="preserve"> case.</w:t>
      </w:r>
      <w:r w:rsidR="00237314" w:rsidRPr="00340BB7">
        <w:rPr>
          <w:lang w:val="en-GB"/>
        </w:rPr>
        <w:t xml:space="preserve"> </w:t>
      </w:r>
      <w:r w:rsidRPr="00340BB7">
        <w:rPr>
          <w:lang w:val="en-GB"/>
        </w:rPr>
        <w:t>The State party informed the Committee that</w:t>
      </w:r>
      <w:r w:rsidR="006D0E00">
        <w:rPr>
          <w:lang w:val="en-GB"/>
        </w:rPr>
        <w:t>,</w:t>
      </w:r>
      <w:r w:rsidRPr="00340BB7">
        <w:rPr>
          <w:lang w:val="en-GB"/>
        </w:rPr>
        <w:t xml:space="preserve"> after the author’s asylum application was rejected </w:t>
      </w:r>
      <w:r w:rsidR="006D0E00">
        <w:rPr>
          <w:lang w:val="en-GB"/>
        </w:rPr>
        <w:t xml:space="preserve">— a </w:t>
      </w:r>
      <w:r w:rsidRPr="00340BB7">
        <w:rPr>
          <w:lang w:val="en-GB"/>
        </w:rPr>
        <w:t xml:space="preserve">decision </w:t>
      </w:r>
      <w:r w:rsidR="006D0E00">
        <w:rPr>
          <w:lang w:val="en-GB"/>
        </w:rPr>
        <w:t xml:space="preserve">that was </w:t>
      </w:r>
      <w:r w:rsidRPr="00340BB7">
        <w:rPr>
          <w:lang w:val="en-GB"/>
        </w:rPr>
        <w:t xml:space="preserve">confirmed by the </w:t>
      </w:r>
      <w:r w:rsidR="006D0E00">
        <w:rPr>
          <w:lang w:val="en-GB"/>
        </w:rPr>
        <w:t>r</w:t>
      </w:r>
      <w:r w:rsidRPr="00340BB7">
        <w:rPr>
          <w:lang w:val="en-GB"/>
        </w:rPr>
        <w:t xml:space="preserve">efugee </w:t>
      </w:r>
      <w:r w:rsidR="006D0E00">
        <w:rPr>
          <w:lang w:val="en-GB"/>
        </w:rPr>
        <w:t>a</w:t>
      </w:r>
      <w:r w:rsidRPr="00340BB7">
        <w:rPr>
          <w:lang w:val="en-GB"/>
        </w:rPr>
        <w:t xml:space="preserve">ppeals </w:t>
      </w:r>
      <w:r w:rsidR="006D0E00">
        <w:rPr>
          <w:lang w:val="en-GB"/>
        </w:rPr>
        <w:t>b</w:t>
      </w:r>
      <w:r w:rsidRPr="00340BB7">
        <w:rPr>
          <w:lang w:val="en-GB"/>
        </w:rPr>
        <w:t>oard</w:t>
      </w:r>
      <w:r w:rsidR="00A06F85" w:rsidRPr="00340BB7">
        <w:rPr>
          <w:lang w:val="en-GB"/>
        </w:rPr>
        <w:t xml:space="preserve"> </w:t>
      </w:r>
      <w:r w:rsidRPr="00340BB7">
        <w:rPr>
          <w:lang w:val="en-GB"/>
        </w:rPr>
        <w:t xml:space="preserve">on 15 November 2013 </w:t>
      </w:r>
      <w:r w:rsidR="006D0E00">
        <w:rPr>
          <w:lang w:val="en-GB"/>
        </w:rPr>
        <w:t xml:space="preserve">— </w:t>
      </w:r>
      <w:r w:rsidRPr="00340BB7">
        <w:rPr>
          <w:lang w:val="en-GB"/>
        </w:rPr>
        <w:t xml:space="preserve">the author informed the </w:t>
      </w:r>
      <w:r w:rsidR="002F005F">
        <w:rPr>
          <w:lang w:val="en-GB"/>
        </w:rPr>
        <w:t>n</w:t>
      </w:r>
      <w:r w:rsidRPr="00340BB7">
        <w:rPr>
          <w:lang w:val="en-GB"/>
        </w:rPr>
        <w:t xml:space="preserve">ational </w:t>
      </w:r>
      <w:r w:rsidR="002F005F">
        <w:rPr>
          <w:lang w:val="en-GB"/>
        </w:rPr>
        <w:t>p</w:t>
      </w:r>
      <w:r w:rsidRPr="00340BB7">
        <w:rPr>
          <w:lang w:val="en-GB"/>
        </w:rPr>
        <w:t xml:space="preserve">olice on 10 December 2013 that she did not want to return voluntarily to Somalia but </w:t>
      </w:r>
      <w:r w:rsidR="006D0E00">
        <w:rPr>
          <w:lang w:val="en-GB"/>
        </w:rPr>
        <w:t xml:space="preserve">instead </w:t>
      </w:r>
      <w:r w:rsidRPr="00340BB7">
        <w:rPr>
          <w:lang w:val="en-GB"/>
        </w:rPr>
        <w:t xml:space="preserve">wanted to return to Italy, a country which </w:t>
      </w:r>
      <w:r w:rsidR="006D0E00">
        <w:rPr>
          <w:lang w:val="en-GB"/>
        </w:rPr>
        <w:t xml:space="preserve">had </w:t>
      </w:r>
      <w:r w:rsidRPr="00340BB7">
        <w:rPr>
          <w:lang w:val="en-GB"/>
        </w:rPr>
        <w:t xml:space="preserve">issued her and her </w:t>
      </w:r>
      <w:r w:rsidR="006D0E00">
        <w:rPr>
          <w:lang w:val="en-GB"/>
        </w:rPr>
        <w:t>e</w:t>
      </w:r>
      <w:r w:rsidR="006D0E00" w:rsidRPr="00340BB7">
        <w:rPr>
          <w:lang w:val="en-GB"/>
        </w:rPr>
        <w:t xml:space="preserve">ldest </w:t>
      </w:r>
      <w:r w:rsidRPr="00340BB7">
        <w:rPr>
          <w:lang w:val="en-GB"/>
        </w:rPr>
        <w:t xml:space="preserve">child residence permits </w:t>
      </w:r>
      <w:r w:rsidR="006D0E00">
        <w:rPr>
          <w:lang w:val="en-GB"/>
        </w:rPr>
        <w:t xml:space="preserve">that were </w:t>
      </w:r>
      <w:r w:rsidRPr="00340BB7">
        <w:rPr>
          <w:lang w:val="en-GB"/>
        </w:rPr>
        <w:t xml:space="preserve">valid until 2015. </w:t>
      </w:r>
      <w:r w:rsidR="008946D5" w:rsidRPr="00340BB7">
        <w:rPr>
          <w:lang w:val="en-GB"/>
        </w:rPr>
        <w:t xml:space="preserve">Against this background, the </w:t>
      </w:r>
      <w:r w:rsidR="002F005F">
        <w:rPr>
          <w:lang w:val="en-GB"/>
        </w:rPr>
        <w:t>n</w:t>
      </w:r>
      <w:r w:rsidR="008946D5" w:rsidRPr="00340BB7">
        <w:rPr>
          <w:lang w:val="en-GB"/>
        </w:rPr>
        <w:t xml:space="preserve">ational </w:t>
      </w:r>
      <w:r w:rsidR="002F005F">
        <w:rPr>
          <w:lang w:val="en-GB"/>
        </w:rPr>
        <w:t>p</w:t>
      </w:r>
      <w:r w:rsidR="008946D5" w:rsidRPr="00340BB7">
        <w:rPr>
          <w:lang w:val="en-GB"/>
        </w:rPr>
        <w:t xml:space="preserve">olice contacted the Italian authorities, which confirmed that both the author and her </w:t>
      </w:r>
      <w:r w:rsidR="006D0E00">
        <w:rPr>
          <w:lang w:val="en-GB"/>
        </w:rPr>
        <w:t>e</w:t>
      </w:r>
      <w:r w:rsidR="008946D5" w:rsidRPr="00340BB7">
        <w:rPr>
          <w:lang w:val="en-GB"/>
        </w:rPr>
        <w:t xml:space="preserve">ldest daughter held valid residence permits, but that the author should contact the Italian authorities </w:t>
      </w:r>
      <w:r w:rsidR="001A7B12" w:rsidRPr="00340BB7">
        <w:rPr>
          <w:lang w:val="en-GB"/>
        </w:rPr>
        <w:t xml:space="preserve">in Sienna </w:t>
      </w:r>
      <w:r w:rsidR="008946D5" w:rsidRPr="00340BB7">
        <w:rPr>
          <w:lang w:val="en-GB"/>
        </w:rPr>
        <w:t xml:space="preserve">to apply for a permit for her youngest daughter. </w:t>
      </w:r>
    </w:p>
    <w:p w:rsidR="00C14D9A" w:rsidRPr="00340BB7" w:rsidRDefault="00855E72" w:rsidP="00CD2B9D">
      <w:pPr>
        <w:pStyle w:val="SingleTxtG"/>
        <w:rPr>
          <w:lang w:val="en-GB"/>
        </w:rPr>
      </w:pPr>
      <w:r w:rsidRPr="00340BB7">
        <w:rPr>
          <w:bCs/>
          <w:lang w:val="en-GB"/>
        </w:rPr>
        <w:t>4.2</w:t>
      </w:r>
      <w:r w:rsidRPr="00340BB7">
        <w:rPr>
          <w:bCs/>
          <w:lang w:val="en-GB"/>
        </w:rPr>
        <w:tab/>
        <w:t xml:space="preserve">By </w:t>
      </w:r>
      <w:r w:rsidR="006D0E00">
        <w:rPr>
          <w:bCs/>
          <w:lang w:val="en-GB"/>
        </w:rPr>
        <w:t xml:space="preserve">its </w:t>
      </w:r>
      <w:r w:rsidRPr="00340BB7">
        <w:rPr>
          <w:bCs/>
          <w:lang w:val="en-GB"/>
        </w:rPr>
        <w:t>letter of 6 March 2014, the author’s counsel applied for a reopening of the asylum proceedings in Denmark</w:t>
      </w:r>
      <w:r w:rsidR="001F3EF7" w:rsidRPr="00340BB7">
        <w:rPr>
          <w:lang w:val="en-GB"/>
        </w:rPr>
        <w:t xml:space="preserve">. </w:t>
      </w:r>
      <w:r w:rsidR="006D0E00">
        <w:rPr>
          <w:lang w:val="en-GB"/>
        </w:rPr>
        <w:t>The r</w:t>
      </w:r>
      <w:r w:rsidR="001F3EF7" w:rsidRPr="00340BB7">
        <w:rPr>
          <w:lang w:val="en-GB"/>
        </w:rPr>
        <w:t xml:space="preserve">easons put forward to reopen </w:t>
      </w:r>
      <w:r w:rsidR="006D0E00">
        <w:rPr>
          <w:lang w:val="en-GB"/>
        </w:rPr>
        <w:t xml:space="preserve">the </w:t>
      </w:r>
      <w:r w:rsidR="001F3EF7" w:rsidRPr="00340BB7">
        <w:rPr>
          <w:lang w:val="en-GB"/>
        </w:rPr>
        <w:t xml:space="preserve">proceedings were, </w:t>
      </w:r>
      <w:r w:rsidR="001F3EF7" w:rsidRPr="003B65B0">
        <w:rPr>
          <w:lang w:val="en-GB"/>
        </w:rPr>
        <w:t>inter alia</w:t>
      </w:r>
      <w:r w:rsidR="001F3EF7" w:rsidRPr="00340BB7">
        <w:rPr>
          <w:lang w:val="en-GB"/>
        </w:rPr>
        <w:t xml:space="preserve">, that the author would be at risk if returned to Somalia because there </w:t>
      </w:r>
      <w:r w:rsidR="006D0E00">
        <w:rPr>
          <w:lang w:val="en-GB"/>
        </w:rPr>
        <w:t xml:space="preserve">was </w:t>
      </w:r>
      <w:r w:rsidR="001F3EF7" w:rsidRPr="00340BB7">
        <w:rPr>
          <w:lang w:val="en-GB"/>
        </w:rPr>
        <w:t xml:space="preserve">still unrest, that she </w:t>
      </w:r>
      <w:r w:rsidR="006D0E00">
        <w:rPr>
          <w:lang w:val="en-GB"/>
        </w:rPr>
        <w:t xml:space="preserve">had been </w:t>
      </w:r>
      <w:r w:rsidR="001F3EF7" w:rsidRPr="00340BB7">
        <w:rPr>
          <w:lang w:val="en-GB"/>
        </w:rPr>
        <w:t xml:space="preserve">persecuted by </w:t>
      </w:r>
      <w:r w:rsidR="00CD2B9D">
        <w:rPr>
          <w:lang w:val="en-GB"/>
        </w:rPr>
        <w:t>A</w:t>
      </w:r>
      <w:r w:rsidR="001F3EF7" w:rsidRPr="00340BB7">
        <w:rPr>
          <w:lang w:val="en-GB"/>
        </w:rPr>
        <w:t>l-Shab</w:t>
      </w:r>
      <w:r w:rsidR="00CD2B9D">
        <w:rPr>
          <w:lang w:val="en-GB"/>
        </w:rPr>
        <w:t>a</w:t>
      </w:r>
      <w:r w:rsidR="001F3EF7" w:rsidRPr="00340BB7">
        <w:rPr>
          <w:lang w:val="en-GB"/>
        </w:rPr>
        <w:t xml:space="preserve">ab and that she would prefer to go to Italy if she had to be returned from Denmark. The author referred to </w:t>
      </w:r>
      <w:r w:rsidR="006D0E00">
        <w:rPr>
          <w:lang w:val="en-GB"/>
        </w:rPr>
        <w:t xml:space="preserve">the </w:t>
      </w:r>
      <w:r w:rsidR="001F3EF7" w:rsidRPr="00340BB7">
        <w:rPr>
          <w:lang w:val="en-GB"/>
        </w:rPr>
        <w:t xml:space="preserve">general conditions in Somalia, including </w:t>
      </w:r>
      <w:r w:rsidR="006D0E00">
        <w:rPr>
          <w:lang w:val="en-GB"/>
        </w:rPr>
        <w:t xml:space="preserve">the </w:t>
      </w:r>
      <w:r w:rsidR="001F3EF7" w:rsidRPr="00340BB7">
        <w:rPr>
          <w:lang w:val="en-GB"/>
        </w:rPr>
        <w:t xml:space="preserve">methods of attack used by </w:t>
      </w:r>
      <w:r w:rsidR="006D0E00">
        <w:rPr>
          <w:lang w:val="en-GB"/>
        </w:rPr>
        <w:t>A</w:t>
      </w:r>
      <w:r w:rsidR="001F3EF7" w:rsidRPr="00340BB7">
        <w:rPr>
          <w:lang w:val="en-GB"/>
        </w:rPr>
        <w:t>l-Shab</w:t>
      </w:r>
      <w:r w:rsidR="00CD2B9D">
        <w:rPr>
          <w:lang w:val="en-GB"/>
        </w:rPr>
        <w:t>a</w:t>
      </w:r>
      <w:r w:rsidR="001F3EF7" w:rsidRPr="00340BB7">
        <w:rPr>
          <w:lang w:val="en-GB"/>
        </w:rPr>
        <w:t xml:space="preserve">ab; to increases in </w:t>
      </w:r>
      <w:r w:rsidR="00F26795" w:rsidRPr="00340BB7">
        <w:rPr>
          <w:lang w:val="en-GB"/>
        </w:rPr>
        <w:t xml:space="preserve">attacks by </w:t>
      </w:r>
      <w:r w:rsidR="006D0E00">
        <w:rPr>
          <w:lang w:val="en-GB"/>
        </w:rPr>
        <w:t>A</w:t>
      </w:r>
      <w:r w:rsidR="00F26795" w:rsidRPr="00340BB7">
        <w:rPr>
          <w:lang w:val="en-GB"/>
        </w:rPr>
        <w:t>l-Shab</w:t>
      </w:r>
      <w:r w:rsidR="00CD2B9D">
        <w:rPr>
          <w:lang w:val="en-GB"/>
        </w:rPr>
        <w:t>a</w:t>
      </w:r>
      <w:r w:rsidR="001F3EF7" w:rsidRPr="00340BB7">
        <w:rPr>
          <w:lang w:val="en-GB"/>
        </w:rPr>
        <w:t>ab in 2013; and to the fact that the Somali authorities were unable to provide protection to civi</w:t>
      </w:r>
      <w:r w:rsidR="00F26795" w:rsidRPr="00340BB7">
        <w:rPr>
          <w:lang w:val="en-GB"/>
        </w:rPr>
        <w:t xml:space="preserve">lians persecuted by </w:t>
      </w:r>
      <w:r w:rsidR="006D0E00">
        <w:rPr>
          <w:lang w:val="en-GB"/>
        </w:rPr>
        <w:t>A</w:t>
      </w:r>
      <w:r w:rsidR="00F26795" w:rsidRPr="00340BB7">
        <w:rPr>
          <w:lang w:val="en-GB"/>
        </w:rPr>
        <w:t>l-Shab</w:t>
      </w:r>
      <w:r w:rsidR="00CD2B9D">
        <w:rPr>
          <w:lang w:val="en-GB"/>
        </w:rPr>
        <w:t>a</w:t>
      </w:r>
      <w:r w:rsidR="001F3EF7" w:rsidRPr="00340BB7">
        <w:rPr>
          <w:lang w:val="en-GB"/>
        </w:rPr>
        <w:t xml:space="preserve">ab in Mogadishu. </w:t>
      </w:r>
    </w:p>
    <w:p w:rsidR="00593A04" w:rsidRPr="00340BB7" w:rsidRDefault="00C14D9A" w:rsidP="00CD2B9D">
      <w:pPr>
        <w:pStyle w:val="SingleTxtG"/>
        <w:rPr>
          <w:lang w:val="en-GB"/>
        </w:rPr>
      </w:pPr>
      <w:r w:rsidRPr="00340BB7">
        <w:rPr>
          <w:lang w:val="en-GB"/>
        </w:rPr>
        <w:t>4.3</w:t>
      </w:r>
      <w:r w:rsidRPr="00340BB7">
        <w:rPr>
          <w:lang w:val="en-GB"/>
        </w:rPr>
        <w:tab/>
      </w:r>
      <w:r w:rsidR="00C7017B" w:rsidRPr="00340BB7">
        <w:rPr>
          <w:lang w:val="en-GB"/>
        </w:rPr>
        <w:t xml:space="preserve">On 2 June 2014, the author confirmed to the </w:t>
      </w:r>
      <w:r w:rsidR="002F005F">
        <w:rPr>
          <w:lang w:val="en-GB"/>
        </w:rPr>
        <w:t>n</w:t>
      </w:r>
      <w:r w:rsidR="00C7017B" w:rsidRPr="00340BB7">
        <w:rPr>
          <w:lang w:val="en-GB"/>
        </w:rPr>
        <w:t xml:space="preserve">ational </w:t>
      </w:r>
      <w:r w:rsidR="002F005F">
        <w:rPr>
          <w:lang w:val="en-GB"/>
        </w:rPr>
        <w:t>p</w:t>
      </w:r>
      <w:r w:rsidR="00C7017B" w:rsidRPr="00340BB7">
        <w:rPr>
          <w:lang w:val="en-GB"/>
        </w:rPr>
        <w:t xml:space="preserve">olice </w:t>
      </w:r>
      <w:r w:rsidR="00593A04" w:rsidRPr="00340BB7">
        <w:rPr>
          <w:lang w:val="en-GB"/>
        </w:rPr>
        <w:t xml:space="preserve">that she still wanted to leave </w:t>
      </w:r>
      <w:r w:rsidR="006D0E00">
        <w:rPr>
          <w:lang w:val="en-GB"/>
        </w:rPr>
        <w:t xml:space="preserve">for </w:t>
      </w:r>
      <w:r w:rsidR="00593A04" w:rsidRPr="00340BB7">
        <w:rPr>
          <w:lang w:val="en-GB"/>
        </w:rPr>
        <w:t xml:space="preserve">Italy. Accordingly, the </w:t>
      </w:r>
      <w:r w:rsidR="002F005F">
        <w:rPr>
          <w:lang w:val="en-GB"/>
        </w:rPr>
        <w:t xml:space="preserve">national </w:t>
      </w:r>
      <w:r w:rsidR="00593A04" w:rsidRPr="00340BB7">
        <w:rPr>
          <w:lang w:val="en-GB"/>
        </w:rPr>
        <w:t>police planned an assisted voluntary return of the author and her two children to Italy on 20 June 2014.</w:t>
      </w:r>
    </w:p>
    <w:p w:rsidR="00E7630C" w:rsidRPr="00340BB7" w:rsidRDefault="00593A04" w:rsidP="00CD2B9D">
      <w:pPr>
        <w:pStyle w:val="SingleTxtG"/>
        <w:rPr>
          <w:bCs/>
          <w:lang w:val="en-GB"/>
        </w:rPr>
      </w:pPr>
      <w:r w:rsidRPr="00340BB7">
        <w:rPr>
          <w:bCs/>
          <w:lang w:val="en-GB"/>
        </w:rPr>
        <w:t>4.</w:t>
      </w:r>
      <w:r w:rsidR="00C14D9A" w:rsidRPr="00340BB7">
        <w:rPr>
          <w:bCs/>
          <w:lang w:val="en-GB"/>
        </w:rPr>
        <w:t>4</w:t>
      </w:r>
      <w:r w:rsidRPr="00340BB7">
        <w:rPr>
          <w:bCs/>
          <w:lang w:val="en-GB"/>
        </w:rPr>
        <w:tab/>
        <w:t xml:space="preserve">On 16 June 2014, the </w:t>
      </w:r>
      <w:r w:rsidR="006D0E00">
        <w:rPr>
          <w:lang w:val="en-GB"/>
        </w:rPr>
        <w:t>r</w:t>
      </w:r>
      <w:r w:rsidR="006D0E00" w:rsidRPr="00340BB7">
        <w:rPr>
          <w:lang w:val="en-GB"/>
        </w:rPr>
        <w:t xml:space="preserve">efugee </w:t>
      </w:r>
      <w:r w:rsidR="006D0E00">
        <w:rPr>
          <w:lang w:val="en-GB"/>
        </w:rPr>
        <w:t>a</w:t>
      </w:r>
      <w:r w:rsidR="006D0E00" w:rsidRPr="00340BB7">
        <w:rPr>
          <w:lang w:val="en-GB"/>
        </w:rPr>
        <w:t xml:space="preserve">ppeals </w:t>
      </w:r>
      <w:r w:rsidR="006D0E00">
        <w:rPr>
          <w:lang w:val="en-GB"/>
        </w:rPr>
        <w:t>b</w:t>
      </w:r>
      <w:r w:rsidR="006D0E00" w:rsidRPr="00340BB7">
        <w:rPr>
          <w:lang w:val="en-GB"/>
        </w:rPr>
        <w:t>oard</w:t>
      </w:r>
      <w:r w:rsidRPr="00340BB7">
        <w:rPr>
          <w:bCs/>
          <w:lang w:val="en-GB"/>
        </w:rPr>
        <w:t xml:space="preserve"> refused to reopen the asylum proceedings</w:t>
      </w:r>
      <w:r w:rsidR="00C14D9A" w:rsidRPr="00340BB7">
        <w:rPr>
          <w:bCs/>
          <w:lang w:val="en-GB"/>
        </w:rPr>
        <w:t xml:space="preserve">, as it found </w:t>
      </w:r>
      <w:r w:rsidR="00C14D9A" w:rsidRPr="00340BB7">
        <w:rPr>
          <w:lang w:val="en-GB"/>
        </w:rPr>
        <w:t xml:space="preserve">no reason to do so, given that no substantial new information </w:t>
      </w:r>
      <w:r w:rsidR="006D0E00">
        <w:rPr>
          <w:lang w:val="en-GB"/>
        </w:rPr>
        <w:t xml:space="preserve">had been </w:t>
      </w:r>
      <w:r w:rsidR="00C14D9A" w:rsidRPr="00340BB7">
        <w:rPr>
          <w:lang w:val="en-GB"/>
        </w:rPr>
        <w:t xml:space="preserve">exposed, beyond the information available to the </w:t>
      </w:r>
      <w:r w:rsidR="006D0E00">
        <w:rPr>
          <w:lang w:val="en-GB"/>
        </w:rPr>
        <w:t>b</w:t>
      </w:r>
      <w:r w:rsidR="00C14D9A" w:rsidRPr="00340BB7">
        <w:rPr>
          <w:lang w:val="en-GB"/>
        </w:rPr>
        <w:t>oard at the time of the original hearing</w:t>
      </w:r>
      <w:r w:rsidRPr="00340BB7">
        <w:rPr>
          <w:bCs/>
          <w:lang w:val="en-GB"/>
        </w:rPr>
        <w:t>.</w:t>
      </w:r>
    </w:p>
    <w:p w:rsidR="000F6A32" w:rsidRPr="00340BB7" w:rsidRDefault="00C14D9A" w:rsidP="00CD2B9D">
      <w:pPr>
        <w:pStyle w:val="SingleTxtG"/>
        <w:rPr>
          <w:lang w:val="en-GB"/>
        </w:rPr>
      </w:pPr>
      <w:r w:rsidRPr="00340BB7">
        <w:rPr>
          <w:lang w:val="en-GB"/>
        </w:rPr>
        <w:t>4.5</w:t>
      </w:r>
      <w:r w:rsidR="00E7630C" w:rsidRPr="00340BB7">
        <w:rPr>
          <w:lang w:val="en-GB"/>
        </w:rPr>
        <w:tab/>
        <w:t xml:space="preserve">On 17 June 2014, the author brought the case before the Committee under article 7 of the Covenant, with a request for interim measures. Accordingly, on 19 June 2014, the </w:t>
      </w:r>
      <w:r w:rsidR="002F005F">
        <w:rPr>
          <w:lang w:val="en-GB"/>
        </w:rPr>
        <w:t>n</w:t>
      </w:r>
      <w:r w:rsidR="00E7630C" w:rsidRPr="00340BB7">
        <w:rPr>
          <w:lang w:val="en-GB"/>
        </w:rPr>
        <w:t xml:space="preserve">ational </w:t>
      </w:r>
      <w:r w:rsidR="002F005F">
        <w:rPr>
          <w:lang w:val="en-GB"/>
        </w:rPr>
        <w:t>p</w:t>
      </w:r>
      <w:r w:rsidR="00E7630C" w:rsidRPr="00340BB7">
        <w:rPr>
          <w:lang w:val="en-GB"/>
        </w:rPr>
        <w:t xml:space="preserve">olice suspended the time limit for the author’s and her daughters’ departure from Denmark until further notice, to comply with the Committee’s request. </w:t>
      </w:r>
    </w:p>
    <w:p w:rsidR="00C75C55" w:rsidRPr="00340BB7" w:rsidRDefault="00C14D9A" w:rsidP="00ED22CB">
      <w:pPr>
        <w:pStyle w:val="SingleTxtG"/>
        <w:rPr>
          <w:lang w:val="en-GB"/>
        </w:rPr>
      </w:pPr>
      <w:r w:rsidRPr="00340BB7">
        <w:rPr>
          <w:bCs/>
          <w:lang w:val="en-GB"/>
        </w:rPr>
        <w:t>4.6</w:t>
      </w:r>
      <w:r w:rsidR="000F6A32" w:rsidRPr="00340BB7">
        <w:rPr>
          <w:bCs/>
          <w:lang w:val="en-GB"/>
        </w:rPr>
        <w:tab/>
        <w:t xml:space="preserve">The State party recalled that the </w:t>
      </w:r>
      <w:r w:rsidR="006D0E00">
        <w:rPr>
          <w:lang w:val="en-GB"/>
        </w:rPr>
        <w:t>r</w:t>
      </w:r>
      <w:r w:rsidR="006D0E00" w:rsidRPr="00340BB7">
        <w:rPr>
          <w:lang w:val="en-GB"/>
        </w:rPr>
        <w:t xml:space="preserve">efugee </w:t>
      </w:r>
      <w:r w:rsidR="006D0E00">
        <w:rPr>
          <w:lang w:val="en-GB"/>
        </w:rPr>
        <w:t>a</w:t>
      </w:r>
      <w:r w:rsidR="006D0E00" w:rsidRPr="00340BB7">
        <w:rPr>
          <w:lang w:val="en-GB"/>
        </w:rPr>
        <w:t xml:space="preserve">ppeals </w:t>
      </w:r>
      <w:r w:rsidR="006D0E00">
        <w:rPr>
          <w:lang w:val="en-GB"/>
        </w:rPr>
        <w:t>b</w:t>
      </w:r>
      <w:r w:rsidR="006D0E00" w:rsidRPr="00340BB7">
        <w:rPr>
          <w:lang w:val="en-GB"/>
        </w:rPr>
        <w:t>oard</w:t>
      </w:r>
      <w:r w:rsidR="000F6A32" w:rsidRPr="00340BB7">
        <w:rPr>
          <w:bCs/>
          <w:lang w:val="en-GB"/>
        </w:rPr>
        <w:t xml:space="preserve">, in its decision of 15 November 2013, </w:t>
      </w:r>
      <w:r w:rsidR="006D0E00">
        <w:rPr>
          <w:bCs/>
          <w:lang w:val="en-GB"/>
        </w:rPr>
        <w:t xml:space="preserve">had </w:t>
      </w:r>
      <w:r w:rsidR="000F6A32" w:rsidRPr="00340BB7">
        <w:rPr>
          <w:bCs/>
          <w:lang w:val="en-GB"/>
        </w:rPr>
        <w:t xml:space="preserve">determined that the author had </w:t>
      </w:r>
      <w:r w:rsidR="000F6A32" w:rsidRPr="00340BB7">
        <w:rPr>
          <w:lang w:val="en-GB"/>
        </w:rPr>
        <w:t>not been a member of any political or religious association or organi</w:t>
      </w:r>
      <w:r w:rsidR="006D0E00">
        <w:rPr>
          <w:lang w:val="en-GB"/>
        </w:rPr>
        <w:t>z</w:t>
      </w:r>
      <w:r w:rsidR="000F6A32" w:rsidRPr="00340BB7">
        <w:rPr>
          <w:lang w:val="en-GB"/>
        </w:rPr>
        <w:t xml:space="preserve">ation. In its assessment, the </w:t>
      </w:r>
      <w:r w:rsidR="006D0E00">
        <w:rPr>
          <w:lang w:val="en-GB"/>
        </w:rPr>
        <w:t>r</w:t>
      </w:r>
      <w:r w:rsidR="006D0E00" w:rsidRPr="00340BB7">
        <w:rPr>
          <w:lang w:val="en-GB"/>
        </w:rPr>
        <w:t xml:space="preserve">efugee </w:t>
      </w:r>
      <w:r w:rsidR="006D0E00">
        <w:rPr>
          <w:lang w:val="en-GB"/>
        </w:rPr>
        <w:t>a</w:t>
      </w:r>
      <w:r w:rsidR="006D0E00" w:rsidRPr="00340BB7">
        <w:rPr>
          <w:lang w:val="en-GB"/>
        </w:rPr>
        <w:t xml:space="preserve">ppeals </w:t>
      </w:r>
      <w:r w:rsidR="006D0E00">
        <w:rPr>
          <w:lang w:val="en-GB"/>
        </w:rPr>
        <w:t>b</w:t>
      </w:r>
      <w:r w:rsidR="006D0E00" w:rsidRPr="00340BB7">
        <w:rPr>
          <w:lang w:val="en-GB"/>
        </w:rPr>
        <w:t>oard</w:t>
      </w:r>
      <w:r w:rsidR="000F6A32" w:rsidRPr="00340BB7">
        <w:rPr>
          <w:lang w:val="en-GB"/>
        </w:rPr>
        <w:t xml:space="preserve"> found that the applicant had made inconsistent and thus non-credible statements about her conflicts with </w:t>
      </w:r>
      <w:r w:rsidR="006D0E00">
        <w:rPr>
          <w:lang w:val="en-GB"/>
        </w:rPr>
        <w:t>A</w:t>
      </w:r>
      <w:r w:rsidR="000F6A32" w:rsidRPr="00340BB7">
        <w:rPr>
          <w:lang w:val="en-GB"/>
        </w:rPr>
        <w:t xml:space="preserve">l-Shabaab and that her statements appeared fabricated for the occasion. The </w:t>
      </w:r>
      <w:r w:rsidR="006D0E00">
        <w:rPr>
          <w:lang w:val="en-GB"/>
        </w:rPr>
        <w:t>r</w:t>
      </w:r>
      <w:r w:rsidR="006D0E00" w:rsidRPr="00340BB7">
        <w:rPr>
          <w:lang w:val="en-GB"/>
        </w:rPr>
        <w:t xml:space="preserve">efugee </w:t>
      </w:r>
      <w:r w:rsidR="006D0E00">
        <w:rPr>
          <w:lang w:val="en-GB"/>
        </w:rPr>
        <w:t>a</w:t>
      </w:r>
      <w:r w:rsidR="006D0E00" w:rsidRPr="00340BB7">
        <w:rPr>
          <w:lang w:val="en-GB"/>
        </w:rPr>
        <w:t xml:space="preserve">ppeals </w:t>
      </w:r>
      <w:r w:rsidR="006D0E00">
        <w:rPr>
          <w:lang w:val="en-GB"/>
        </w:rPr>
        <w:t>b</w:t>
      </w:r>
      <w:r w:rsidR="006D0E00" w:rsidRPr="00340BB7">
        <w:rPr>
          <w:lang w:val="en-GB"/>
        </w:rPr>
        <w:t>oard</w:t>
      </w:r>
      <w:r w:rsidR="00A06F85" w:rsidRPr="00340BB7">
        <w:rPr>
          <w:lang w:val="en-GB"/>
        </w:rPr>
        <w:t xml:space="preserve"> further</w:t>
      </w:r>
      <w:r w:rsidR="000F6A32" w:rsidRPr="00340BB7">
        <w:rPr>
          <w:lang w:val="en-GB"/>
        </w:rPr>
        <w:t xml:space="preserve"> found that </w:t>
      </w:r>
      <w:r w:rsidR="005A3767" w:rsidRPr="00340BB7">
        <w:rPr>
          <w:lang w:val="en-GB"/>
        </w:rPr>
        <w:t xml:space="preserve">it </w:t>
      </w:r>
      <w:r w:rsidR="006D0E00">
        <w:rPr>
          <w:lang w:val="en-GB"/>
        </w:rPr>
        <w:t xml:space="preserve">was </w:t>
      </w:r>
      <w:r w:rsidR="005A3767" w:rsidRPr="00340BB7">
        <w:rPr>
          <w:lang w:val="en-GB"/>
        </w:rPr>
        <w:t xml:space="preserve">unlikely that </w:t>
      </w:r>
      <w:r w:rsidR="006D0E00">
        <w:rPr>
          <w:lang w:val="en-GB"/>
        </w:rPr>
        <w:t>A</w:t>
      </w:r>
      <w:r w:rsidR="005A3767" w:rsidRPr="00340BB7">
        <w:rPr>
          <w:lang w:val="en-GB"/>
        </w:rPr>
        <w:t>l-Shab</w:t>
      </w:r>
      <w:r w:rsidR="00CD2B9D">
        <w:rPr>
          <w:lang w:val="en-GB"/>
        </w:rPr>
        <w:t>a</w:t>
      </w:r>
      <w:r w:rsidR="000F6A32" w:rsidRPr="00340BB7">
        <w:rPr>
          <w:lang w:val="en-GB"/>
        </w:rPr>
        <w:t xml:space="preserve">ab would continue </w:t>
      </w:r>
      <w:r w:rsidR="006D0E00">
        <w:rPr>
          <w:lang w:val="en-GB"/>
        </w:rPr>
        <w:t xml:space="preserve">to persecute </w:t>
      </w:r>
      <w:r w:rsidR="000F6A32" w:rsidRPr="00340BB7">
        <w:rPr>
          <w:lang w:val="en-GB"/>
        </w:rPr>
        <w:t xml:space="preserve">the </w:t>
      </w:r>
      <w:r w:rsidR="00A06F85" w:rsidRPr="00340BB7">
        <w:rPr>
          <w:lang w:val="en-GB"/>
        </w:rPr>
        <w:t>author c</w:t>
      </w:r>
      <w:r w:rsidR="000F6A32" w:rsidRPr="00340BB7">
        <w:rPr>
          <w:lang w:val="en-GB"/>
        </w:rPr>
        <w:t>onsi</w:t>
      </w:r>
      <w:r w:rsidR="00A06F85" w:rsidRPr="00340BB7">
        <w:rPr>
          <w:lang w:val="en-GB"/>
        </w:rPr>
        <w:t>dering her very modest role and that e</w:t>
      </w:r>
      <w:r w:rsidR="000F6A32" w:rsidRPr="00340BB7">
        <w:rPr>
          <w:lang w:val="en-GB"/>
        </w:rPr>
        <w:t xml:space="preserve">ven if part of the applicant’s statements was accepted as a fact, </w:t>
      </w:r>
      <w:r w:rsidR="00A06F85" w:rsidRPr="00340BB7">
        <w:rPr>
          <w:lang w:val="en-GB"/>
        </w:rPr>
        <w:t>the author</w:t>
      </w:r>
      <w:r w:rsidR="000F6A32" w:rsidRPr="00340BB7">
        <w:rPr>
          <w:lang w:val="en-GB"/>
        </w:rPr>
        <w:t xml:space="preserve"> would </w:t>
      </w:r>
      <w:r w:rsidR="00A06F85" w:rsidRPr="00340BB7">
        <w:rPr>
          <w:lang w:val="en-GB"/>
        </w:rPr>
        <w:t xml:space="preserve">no longer </w:t>
      </w:r>
      <w:r w:rsidR="000F6A32" w:rsidRPr="00340BB7">
        <w:rPr>
          <w:lang w:val="en-GB"/>
        </w:rPr>
        <w:t xml:space="preserve">be of </w:t>
      </w:r>
      <w:r w:rsidR="00A06F85" w:rsidRPr="00340BB7">
        <w:rPr>
          <w:lang w:val="en-GB"/>
        </w:rPr>
        <w:t>any</w:t>
      </w:r>
      <w:r w:rsidR="005A3767" w:rsidRPr="00340BB7">
        <w:rPr>
          <w:lang w:val="en-GB"/>
        </w:rPr>
        <w:t xml:space="preserve"> interest to </w:t>
      </w:r>
      <w:r w:rsidR="006D0E00">
        <w:rPr>
          <w:lang w:val="en-GB"/>
        </w:rPr>
        <w:t>A</w:t>
      </w:r>
      <w:r w:rsidR="005A3767" w:rsidRPr="00340BB7">
        <w:rPr>
          <w:lang w:val="en-GB"/>
        </w:rPr>
        <w:t>l-Shab</w:t>
      </w:r>
      <w:r w:rsidR="00CD2B9D">
        <w:rPr>
          <w:lang w:val="en-GB"/>
        </w:rPr>
        <w:t>a</w:t>
      </w:r>
      <w:r w:rsidR="000F6A32" w:rsidRPr="00340BB7">
        <w:rPr>
          <w:lang w:val="en-GB"/>
        </w:rPr>
        <w:t>ab</w:t>
      </w:r>
      <w:r w:rsidR="00A06F85" w:rsidRPr="00340BB7">
        <w:rPr>
          <w:lang w:val="en-GB"/>
        </w:rPr>
        <w:t xml:space="preserve">. </w:t>
      </w:r>
      <w:r w:rsidR="000F6A32" w:rsidRPr="00340BB7">
        <w:rPr>
          <w:lang w:val="en-GB"/>
        </w:rPr>
        <w:t xml:space="preserve">As regards the general situation in Mogadishu, the Board observed that it appeared from the background information available about Southern and Central Somalia that the security situation in the area had improved considerably since the European Court of Human Rights delivered </w:t>
      </w:r>
      <w:r w:rsidR="006D0E00">
        <w:rPr>
          <w:lang w:val="en-GB"/>
        </w:rPr>
        <w:t xml:space="preserve">its </w:t>
      </w:r>
      <w:r w:rsidR="000F6A32" w:rsidRPr="00340BB7">
        <w:rPr>
          <w:lang w:val="en-GB"/>
        </w:rPr>
        <w:t>judg</w:t>
      </w:r>
      <w:r w:rsidR="006D0E00">
        <w:rPr>
          <w:lang w:val="en-GB"/>
        </w:rPr>
        <w:t>e</w:t>
      </w:r>
      <w:r w:rsidR="000F6A32" w:rsidRPr="00340BB7">
        <w:rPr>
          <w:lang w:val="en-GB"/>
        </w:rPr>
        <w:t xml:space="preserve">ment in </w:t>
      </w:r>
      <w:r w:rsidR="000F6A32" w:rsidRPr="00340BB7">
        <w:rPr>
          <w:i/>
          <w:iCs/>
          <w:lang w:val="en-GB"/>
        </w:rPr>
        <w:t>Sufi and Elmi v. the United Kingdom</w:t>
      </w:r>
      <w:r w:rsidR="00A06F85" w:rsidRPr="00340BB7">
        <w:rPr>
          <w:lang w:val="en-GB"/>
        </w:rPr>
        <w:t>,</w:t>
      </w:r>
      <w:r w:rsidR="00F94F12" w:rsidRPr="00340BB7">
        <w:rPr>
          <w:rStyle w:val="FootnoteReference"/>
          <w:lang w:val="en-GB"/>
        </w:rPr>
        <w:footnoteReference w:id="8"/>
      </w:r>
      <w:r w:rsidR="00A06F85" w:rsidRPr="00340BB7">
        <w:rPr>
          <w:lang w:val="en-GB"/>
        </w:rPr>
        <w:t xml:space="preserve"> including </w:t>
      </w:r>
      <w:r w:rsidR="000F6A32" w:rsidRPr="00340BB7">
        <w:rPr>
          <w:lang w:val="en-GB"/>
        </w:rPr>
        <w:t>a reduction in the n</w:t>
      </w:r>
      <w:r w:rsidR="00A06F85" w:rsidRPr="00340BB7">
        <w:rPr>
          <w:lang w:val="en-GB"/>
        </w:rPr>
        <w:t xml:space="preserve">umber of attacks </w:t>
      </w:r>
      <w:r w:rsidR="0029406B">
        <w:rPr>
          <w:lang w:val="en-GB"/>
        </w:rPr>
        <w:t xml:space="preserve">on and </w:t>
      </w:r>
      <w:r w:rsidR="000F6A32" w:rsidRPr="00340BB7">
        <w:rPr>
          <w:lang w:val="en-GB"/>
        </w:rPr>
        <w:t xml:space="preserve">killings of civilians </w:t>
      </w:r>
      <w:r w:rsidR="0029406B">
        <w:rPr>
          <w:lang w:val="en-GB"/>
        </w:rPr>
        <w:t xml:space="preserve">and </w:t>
      </w:r>
      <w:r w:rsidR="000F6A32" w:rsidRPr="00340BB7">
        <w:rPr>
          <w:lang w:val="en-GB"/>
        </w:rPr>
        <w:t xml:space="preserve">a considerable reduction in armed fighting. The </w:t>
      </w:r>
      <w:r w:rsidR="006D0E00">
        <w:rPr>
          <w:lang w:val="en-GB"/>
        </w:rPr>
        <w:t>r</w:t>
      </w:r>
      <w:r w:rsidR="006D0E00" w:rsidRPr="00340BB7">
        <w:rPr>
          <w:lang w:val="en-GB"/>
        </w:rPr>
        <w:t xml:space="preserve">efugee </w:t>
      </w:r>
      <w:r w:rsidR="006D0E00">
        <w:rPr>
          <w:lang w:val="en-GB"/>
        </w:rPr>
        <w:t>a</w:t>
      </w:r>
      <w:r w:rsidR="006D0E00" w:rsidRPr="00340BB7">
        <w:rPr>
          <w:lang w:val="en-GB"/>
        </w:rPr>
        <w:t xml:space="preserve">ppeals </w:t>
      </w:r>
      <w:r w:rsidR="006D0E00">
        <w:rPr>
          <w:lang w:val="en-GB"/>
        </w:rPr>
        <w:t>b</w:t>
      </w:r>
      <w:r w:rsidR="006D0E00" w:rsidRPr="00340BB7">
        <w:rPr>
          <w:lang w:val="en-GB"/>
        </w:rPr>
        <w:t>oard</w:t>
      </w:r>
      <w:r w:rsidR="000F6A32" w:rsidRPr="00340BB7">
        <w:rPr>
          <w:lang w:val="en-GB"/>
        </w:rPr>
        <w:t xml:space="preserve"> therefore </w:t>
      </w:r>
      <w:r w:rsidR="00A06F85" w:rsidRPr="00340BB7">
        <w:rPr>
          <w:lang w:val="en-GB"/>
        </w:rPr>
        <w:t>determined that the author had</w:t>
      </w:r>
      <w:r w:rsidR="000F6A32" w:rsidRPr="00340BB7">
        <w:rPr>
          <w:lang w:val="en-GB"/>
        </w:rPr>
        <w:t xml:space="preserve"> failed to render probable that she </w:t>
      </w:r>
      <w:r w:rsidR="00A06F85" w:rsidRPr="00340BB7">
        <w:rPr>
          <w:lang w:val="en-GB"/>
        </w:rPr>
        <w:t xml:space="preserve">would </w:t>
      </w:r>
      <w:r w:rsidR="000F6A32" w:rsidRPr="00340BB7">
        <w:rPr>
          <w:lang w:val="en-GB"/>
        </w:rPr>
        <w:t xml:space="preserve">be at a real risk of persecution or abuse in </w:t>
      </w:r>
      <w:r w:rsidR="0029406B">
        <w:rPr>
          <w:lang w:val="en-GB"/>
        </w:rPr>
        <w:t xml:space="preserve">the event that she were returned </w:t>
      </w:r>
      <w:r w:rsidR="000F6A32" w:rsidRPr="00340BB7">
        <w:rPr>
          <w:lang w:val="en-GB"/>
        </w:rPr>
        <w:t>to Somalia.</w:t>
      </w:r>
      <w:r w:rsidR="00A06F85" w:rsidRPr="00340BB7">
        <w:rPr>
          <w:lang w:val="en-GB"/>
        </w:rPr>
        <w:t xml:space="preserve"> It further determined that the </w:t>
      </w:r>
      <w:r w:rsidR="0029406B">
        <w:rPr>
          <w:lang w:val="en-GB"/>
        </w:rPr>
        <w:t xml:space="preserve">fact </w:t>
      </w:r>
      <w:r w:rsidR="00A06F85" w:rsidRPr="00340BB7">
        <w:rPr>
          <w:lang w:val="en-GB"/>
        </w:rPr>
        <w:t xml:space="preserve">that she is </w:t>
      </w:r>
      <w:r w:rsidR="00215F06" w:rsidRPr="00340BB7">
        <w:rPr>
          <w:lang w:val="en-GB"/>
        </w:rPr>
        <w:t xml:space="preserve">a single woman with children could </w:t>
      </w:r>
      <w:r w:rsidR="00A06F85" w:rsidRPr="00340BB7">
        <w:rPr>
          <w:lang w:val="en-GB"/>
        </w:rPr>
        <w:t>not lead to a different assessment of the case.</w:t>
      </w:r>
    </w:p>
    <w:p w:rsidR="00A64FEC" w:rsidRPr="00340BB7" w:rsidRDefault="00C14D9A" w:rsidP="00CD2B9D">
      <w:pPr>
        <w:pStyle w:val="SingleTxtG"/>
        <w:rPr>
          <w:lang w:val="en-GB"/>
        </w:rPr>
      </w:pPr>
      <w:r w:rsidRPr="00340BB7">
        <w:rPr>
          <w:lang w:val="en-GB"/>
        </w:rPr>
        <w:t>4.</w:t>
      </w:r>
      <w:r w:rsidR="00295AB5" w:rsidRPr="00340BB7">
        <w:rPr>
          <w:lang w:val="en-GB"/>
        </w:rPr>
        <w:t>7</w:t>
      </w:r>
      <w:r w:rsidR="00C75C55" w:rsidRPr="00340BB7">
        <w:rPr>
          <w:lang w:val="en-GB"/>
        </w:rPr>
        <w:tab/>
        <w:t xml:space="preserve">The State party further informed </w:t>
      </w:r>
      <w:r w:rsidR="00F502EB">
        <w:rPr>
          <w:lang w:val="en-GB"/>
        </w:rPr>
        <w:t xml:space="preserve">the Committee </w:t>
      </w:r>
      <w:r w:rsidR="00C75C55" w:rsidRPr="00340BB7">
        <w:rPr>
          <w:lang w:val="en-GB"/>
        </w:rPr>
        <w:t>that</w:t>
      </w:r>
      <w:r w:rsidR="00F502EB">
        <w:rPr>
          <w:lang w:val="en-GB"/>
        </w:rPr>
        <w:t>,</w:t>
      </w:r>
      <w:r w:rsidR="00C75C55" w:rsidRPr="00340BB7">
        <w:rPr>
          <w:lang w:val="en-GB"/>
        </w:rPr>
        <w:t xml:space="preserve"> in response to a question from the </w:t>
      </w:r>
      <w:r w:rsidR="00F502EB">
        <w:rPr>
          <w:lang w:val="en-GB"/>
        </w:rPr>
        <w:t>i</w:t>
      </w:r>
      <w:r w:rsidR="00C75C55" w:rsidRPr="00340BB7">
        <w:rPr>
          <w:lang w:val="en-GB"/>
        </w:rPr>
        <w:t xml:space="preserve">mmigration and </w:t>
      </w:r>
      <w:r w:rsidR="00F502EB">
        <w:rPr>
          <w:lang w:val="en-GB"/>
        </w:rPr>
        <w:t>i</w:t>
      </w:r>
      <w:r w:rsidR="00C75C55" w:rsidRPr="00340BB7">
        <w:rPr>
          <w:lang w:val="en-GB"/>
        </w:rPr>
        <w:t xml:space="preserve">ntegration </w:t>
      </w:r>
      <w:r w:rsidR="00F502EB">
        <w:rPr>
          <w:lang w:val="en-GB"/>
        </w:rPr>
        <w:t>a</w:t>
      </w:r>
      <w:r w:rsidR="00C75C55" w:rsidRPr="00340BB7">
        <w:rPr>
          <w:lang w:val="en-GB"/>
        </w:rPr>
        <w:t xml:space="preserve">ffairs </w:t>
      </w:r>
      <w:r w:rsidR="00F502EB">
        <w:rPr>
          <w:lang w:val="en-GB"/>
        </w:rPr>
        <w:t>c</w:t>
      </w:r>
      <w:r w:rsidR="00C75C55" w:rsidRPr="00340BB7">
        <w:rPr>
          <w:lang w:val="en-GB"/>
        </w:rPr>
        <w:t xml:space="preserve">ommittee of the Danish </w:t>
      </w:r>
      <w:r w:rsidR="00F502EB">
        <w:rPr>
          <w:lang w:val="en-GB"/>
        </w:rPr>
        <w:t>p</w:t>
      </w:r>
      <w:r w:rsidR="00C75C55" w:rsidRPr="00340BB7">
        <w:rPr>
          <w:lang w:val="en-GB"/>
        </w:rPr>
        <w:t xml:space="preserve">arliament, the Ministry of Justice </w:t>
      </w:r>
      <w:r w:rsidR="00F502EB">
        <w:rPr>
          <w:lang w:val="en-GB"/>
        </w:rPr>
        <w:t xml:space="preserve">had </w:t>
      </w:r>
      <w:r w:rsidR="00C75C55" w:rsidRPr="00340BB7">
        <w:rPr>
          <w:lang w:val="en-GB"/>
        </w:rPr>
        <w:t xml:space="preserve">ordered the suspension of all pending forced returns under the Dublin Regulation from Denmark to Italy of families with minor children, where the family comprised either a child under five years old, or a family member with a serious physical or mental disorder, pending a decision in the </w:t>
      </w:r>
      <w:r w:rsidR="00C75C55" w:rsidRPr="00340BB7">
        <w:rPr>
          <w:i/>
          <w:lang w:val="en-GB"/>
        </w:rPr>
        <w:t>Tarakhel</w:t>
      </w:r>
      <w:r w:rsidR="00C75C55" w:rsidRPr="003822BA">
        <w:rPr>
          <w:i/>
          <w:iCs/>
          <w:lang w:val="en-GB"/>
        </w:rPr>
        <w:t xml:space="preserve"> v. </w:t>
      </w:r>
      <w:r w:rsidR="00C75C55" w:rsidRPr="00340BB7">
        <w:rPr>
          <w:i/>
          <w:lang w:val="en-GB"/>
        </w:rPr>
        <w:t>Switzerland</w:t>
      </w:r>
      <w:r w:rsidR="00C75C55" w:rsidRPr="00340BB7">
        <w:rPr>
          <w:lang w:val="en-GB"/>
        </w:rPr>
        <w:t xml:space="preserve"> case. </w:t>
      </w:r>
      <w:r w:rsidR="00F502EB">
        <w:rPr>
          <w:lang w:val="en-GB"/>
        </w:rPr>
        <w:t>However, t</w:t>
      </w:r>
      <w:r w:rsidR="00C75C55" w:rsidRPr="00340BB7">
        <w:rPr>
          <w:lang w:val="en-GB"/>
        </w:rPr>
        <w:t>he State party stresse</w:t>
      </w:r>
      <w:r w:rsidR="00F502EB">
        <w:rPr>
          <w:lang w:val="en-GB"/>
        </w:rPr>
        <w:t>d</w:t>
      </w:r>
      <w:r w:rsidR="00C75C55" w:rsidRPr="00340BB7">
        <w:rPr>
          <w:lang w:val="en-GB"/>
        </w:rPr>
        <w:t xml:space="preserve"> that</w:t>
      </w:r>
      <w:r w:rsidR="00F502EB">
        <w:rPr>
          <w:lang w:val="en-GB"/>
        </w:rPr>
        <w:t>,</w:t>
      </w:r>
      <w:r w:rsidR="00C75C55" w:rsidRPr="00340BB7">
        <w:rPr>
          <w:lang w:val="en-GB"/>
        </w:rPr>
        <w:t xml:space="preserve"> in the present case, the deportation decision was not to be undertaken under the Dublin Regulation and that the author had indicated</w:t>
      </w:r>
      <w:r w:rsidR="00D92BAD" w:rsidRPr="00340BB7">
        <w:rPr>
          <w:lang w:val="en-GB"/>
        </w:rPr>
        <w:t xml:space="preserve"> on </w:t>
      </w:r>
      <w:r w:rsidR="00D92BAD" w:rsidRPr="00340BB7">
        <w:rPr>
          <w:bCs/>
          <w:lang w:val="en-GB"/>
        </w:rPr>
        <w:t xml:space="preserve">10 December 2013 </w:t>
      </w:r>
      <w:r w:rsidR="00C75C55" w:rsidRPr="00340BB7">
        <w:rPr>
          <w:lang w:val="en-GB"/>
        </w:rPr>
        <w:t>that she voluntarily sought to go back to Italy</w:t>
      </w:r>
      <w:r w:rsidR="00D92BAD" w:rsidRPr="00340BB7">
        <w:rPr>
          <w:lang w:val="en-GB"/>
        </w:rPr>
        <w:t xml:space="preserve">, and </w:t>
      </w:r>
      <w:r w:rsidR="00F502EB">
        <w:rPr>
          <w:lang w:val="en-GB"/>
        </w:rPr>
        <w:t xml:space="preserve">had </w:t>
      </w:r>
      <w:r w:rsidR="00D92BAD" w:rsidRPr="00340BB7">
        <w:rPr>
          <w:lang w:val="en-GB"/>
        </w:rPr>
        <w:t>later confirmed this on 2 June 2014</w:t>
      </w:r>
      <w:r w:rsidR="00C75C55" w:rsidRPr="00340BB7">
        <w:rPr>
          <w:lang w:val="en-GB"/>
        </w:rPr>
        <w:t>.</w:t>
      </w:r>
    </w:p>
    <w:p w:rsidR="003D6CEA" w:rsidRPr="00340BB7" w:rsidRDefault="00C14D9A" w:rsidP="00237314">
      <w:pPr>
        <w:pStyle w:val="SingleTxtG"/>
        <w:rPr>
          <w:lang w:val="en-GB"/>
        </w:rPr>
      </w:pPr>
      <w:r w:rsidRPr="00340BB7">
        <w:rPr>
          <w:lang w:val="en-GB"/>
        </w:rPr>
        <w:t>4.</w:t>
      </w:r>
      <w:r w:rsidR="00295AB5" w:rsidRPr="00340BB7">
        <w:rPr>
          <w:lang w:val="en-GB"/>
        </w:rPr>
        <w:t>8</w:t>
      </w:r>
      <w:r w:rsidR="00A64FEC" w:rsidRPr="00340BB7">
        <w:rPr>
          <w:lang w:val="en-GB"/>
        </w:rPr>
        <w:tab/>
        <w:t xml:space="preserve">In </w:t>
      </w:r>
      <w:r w:rsidR="00F502EB">
        <w:rPr>
          <w:lang w:val="en-GB"/>
        </w:rPr>
        <w:t xml:space="preserve">the </w:t>
      </w:r>
      <w:r w:rsidR="00A64FEC" w:rsidRPr="00340BB7">
        <w:rPr>
          <w:lang w:val="en-GB"/>
        </w:rPr>
        <w:t>light of the author’s present communication before the Committee, in which she alleges that her deportation to Italy would constitute a breach of article 7 of the Covenant by Denmark, the State party deems her preliminary consent to return to Italy to have been withdrawn.</w:t>
      </w:r>
      <w:r w:rsidR="003D6CEA" w:rsidRPr="00340BB7">
        <w:rPr>
          <w:lang w:val="en-GB"/>
        </w:rPr>
        <w:t xml:space="preserve"> </w:t>
      </w:r>
    </w:p>
    <w:p w:rsidR="001647FD" w:rsidRPr="00340BB7" w:rsidRDefault="003D6CEA" w:rsidP="00CD2B9D">
      <w:pPr>
        <w:pStyle w:val="SingleTxtG"/>
        <w:rPr>
          <w:lang w:val="en-GB"/>
        </w:rPr>
      </w:pPr>
      <w:r w:rsidRPr="00340BB7">
        <w:rPr>
          <w:lang w:val="en-GB"/>
        </w:rPr>
        <w:t>4.</w:t>
      </w:r>
      <w:r w:rsidR="00295AB5" w:rsidRPr="00340BB7">
        <w:rPr>
          <w:lang w:val="en-GB"/>
        </w:rPr>
        <w:t>9</w:t>
      </w:r>
      <w:r w:rsidRPr="00340BB7">
        <w:rPr>
          <w:lang w:val="en-GB"/>
        </w:rPr>
        <w:tab/>
        <w:t xml:space="preserve">The State party first notes that the author has never claimed, before the Danish authorities, that her return to Italy would constitute a violation of article 7 of the Covenant. Thus, the State party authorities </w:t>
      </w:r>
      <w:r w:rsidR="00F502EB">
        <w:rPr>
          <w:lang w:val="en-GB"/>
        </w:rPr>
        <w:t xml:space="preserve">have </w:t>
      </w:r>
      <w:r w:rsidRPr="00340BB7">
        <w:rPr>
          <w:lang w:val="en-GB"/>
        </w:rPr>
        <w:t xml:space="preserve">never had the chance to rule upon this claim. Consequently, the State party submits that the communication should be declared inadmissible. </w:t>
      </w:r>
      <w:r w:rsidR="001647FD" w:rsidRPr="00340BB7">
        <w:rPr>
          <w:lang w:val="en-GB"/>
        </w:rPr>
        <w:t xml:space="preserve">Additionally, it should be declared manifestly ill-founded as the author has failed to sufficiently substantiate, for admissibility purposes, to be a victim of any of the Covenant rights in her communication. </w:t>
      </w:r>
    </w:p>
    <w:p w:rsidR="00F91041" w:rsidRPr="00340BB7" w:rsidRDefault="001647FD" w:rsidP="006D0E00">
      <w:pPr>
        <w:pStyle w:val="SingleTxtG"/>
        <w:rPr>
          <w:lang w:val="en-GB"/>
        </w:rPr>
      </w:pPr>
      <w:r w:rsidRPr="00340BB7">
        <w:rPr>
          <w:lang w:val="en-GB"/>
        </w:rPr>
        <w:t>4.1</w:t>
      </w:r>
      <w:r w:rsidR="00295AB5" w:rsidRPr="00340BB7">
        <w:rPr>
          <w:lang w:val="en-GB"/>
        </w:rPr>
        <w:t>0</w:t>
      </w:r>
      <w:r w:rsidRPr="00340BB7">
        <w:rPr>
          <w:lang w:val="en-GB"/>
        </w:rPr>
        <w:tab/>
        <w:t xml:space="preserve">On the merits, the State party </w:t>
      </w:r>
      <w:r w:rsidR="006C4D5F" w:rsidRPr="00340BB7">
        <w:rPr>
          <w:lang w:val="en-GB"/>
        </w:rPr>
        <w:t xml:space="preserve">submitted that the </w:t>
      </w:r>
      <w:r w:rsidR="006D0E00">
        <w:rPr>
          <w:lang w:val="en-GB"/>
        </w:rPr>
        <w:t>r</w:t>
      </w:r>
      <w:r w:rsidR="006D0E00" w:rsidRPr="00340BB7">
        <w:rPr>
          <w:lang w:val="en-GB"/>
        </w:rPr>
        <w:t xml:space="preserve">efugee </w:t>
      </w:r>
      <w:r w:rsidR="006D0E00">
        <w:rPr>
          <w:lang w:val="en-GB"/>
        </w:rPr>
        <w:t>a</w:t>
      </w:r>
      <w:r w:rsidR="006D0E00" w:rsidRPr="00340BB7">
        <w:rPr>
          <w:lang w:val="en-GB"/>
        </w:rPr>
        <w:t xml:space="preserve">ppeals </w:t>
      </w:r>
      <w:r w:rsidR="006D0E00">
        <w:rPr>
          <w:lang w:val="en-GB"/>
        </w:rPr>
        <w:t>b</w:t>
      </w:r>
      <w:r w:rsidR="006D0E00" w:rsidRPr="00340BB7">
        <w:rPr>
          <w:lang w:val="en-GB"/>
        </w:rPr>
        <w:t>oard</w:t>
      </w:r>
      <w:r w:rsidR="006C4D5F" w:rsidRPr="00340BB7">
        <w:rPr>
          <w:lang w:val="en-GB"/>
        </w:rPr>
        <w:t xml:space="preserve"> determined on 15 November 2013 that the author was not in need of protection</w:t>
      </w:r>
      <w:r w:rsidR="00C0160F" w:rsidRPr="00340BB7">
        <w:rPr>
          <w:lang w:val="en-GB"/>
        </w:rPr>
        <w:t xml:space="preserve"> with respect to the alleged risk faced in Somalia</w:t>
      </w:r>
      <w:r w:rsidR="006C4D5F" w:rsidRPr="00340BB7">
        <w:rPr>
          <w:lang w:val="en-GB"/>
        </w:rPr>
        <w:t xml:space="preserve">. </w:t>
      </w:r>
      <w:r w:rsidR="00C0160F" w:rsidRPr="00340BB7">
        <w:rPr>
          <w:lang w:val="en-GB"/>
        </w:rPr>
        <w:t xml:space="preserve">The author has not challenged this conclusion before the Committee. </w:t>
      </w:r>
      <w:r w:rsidR="006C4D5F" w:rsidRPr="00340BB7">
        <w:rPr>
          <w:lang w:val="en-GB"/>
        </w:rPr>
        <w:t>Furthermore, the author subsequently demanded to return to Italy. The State party authorities accordingly arranged her removal. Thus, the planned deportation of the author and her two children to Italy was not a consequence of the decision made by the State party authorities, nor because of the existence of the author</w:t>
      </w:r>
      <w:r w:rsidR="00340BB7" w:rsidRPr="00340BB7">
        <w:rPr>
          <w:lang w:val="en-GB"/>
        </w:rPr>
        <w:t>’</w:t>
      </w:r>
      <w:r w:rsidR="006C4D5F" w:rsidRPr="00340BB7">
        <w:rPr>
          <w:lang w:val="en-GB"/>
        </w:rPr>
        <w:t xml:space="preserve">s permit in Italy, and it is therefore not based upon the principle of </w:t>
      </w:r>
      <w:r w:rsidR="00340BB7">
        <w:rPr>
          <w:lang w:val="en-GB"/>
        </w:rPr>
        <w:t>“</w:t>
      </w:r>
      <w:r w:rsidR="006C4D5F" w:rsidRPr="00340BB7">
        <w:rPr>
          <w:lang w:val="en-GB"/>
        </w:rPr>
        <w:t>first country of asylum</w:t>
      </w:r>
      <w:r w:rsidR="00340BB7">
        <w:rPr>
          <w:lang w:val="en-GB"/>
        </w:rPr>
        <w:t>”</w:t>
      </w:r>
      <w:r w:rsidR="006C4D5F" w:rsidRPr="00340BB7">
        <w:rPr>
          <w:lang w:val="en-GB"/>
        </w:rPr>
        <w:t xml:space="preserve"> under the Dublin Regulation. The Danish authorities have taken steps to return the author and her children to Italy solely because the author herself </w:t>
      </w:r>
      <w:r w:rsidR="00F502EB">
        <w:rPr>
          <w:lang w:val="en-GB"/>
        </w:rPr>
        <w:t xml:space="preserve">had </w:t>
      </w:r>
      <w:r w:rsidR="006C4D5F" w:rsidRPr="00340BB7">
        <w:rPr>
          <w:lang w:val="en-GB"/>
        </w:rPr>
        <w:t xml:space="preserve">requested such return. </w:t>
      </w:r>
    </w:p>
    <w:p w:rsidR="00C0160F" w:rsidRPr="00340BB7" w:rsidRDefault="00C14D9A" w:rsidP="00CD2B9D">
      <w:pPr>
        <w:pStyle w:val="SingleTxtG"/>
        <w:rPr>
          <w:lang w:val="en-GB"/>
        </w:rPr>
      </w:pPr>
      <w:r w:rsidRPr="00340BB7">
        <w:rPr>
          <w:lang w:val="en-GB"/>
        </w:rPr>
        <w:t>4.1</w:t>
      </w:r>
      <w:r w:rsidR="00295AB5" w:rsidRPr="00340BB7">
        <w:rPr>
          <w:lang w:val="en-GB"/>
        </w:rPr>
        <w:t>1</w:t>
      </w:r>
      <w:r w:rsidR="00F91041" w:rsidRPr="00340BB7">
        <w:rPr>
          <w:lang w:val="en-GB"/>
        </w:rPr>
        <w:tab/>
        <w:t xml:space="preserve">In response to the author’s allegations concerning the humanitarian situation in Italy, the State party refers to the 2013 inadmissibility decision delivered by the European Court of Human Rights in </w:t>
      </w:r>
      <w:r w:rsidR="00F91041" w:rsidRPr="00340BB7">
        <w:rPr>
          <w:i/>
          <w:lang w:val="en-GB"/>
        </w:rPr>
        <w:t>Samsam Mohammed Hussein</w:t>
      </w:r>
      <w:r w:rsidR="00F91041" w:rsidRPr="00340BB7">
        <w:rPr>
          <w:lang w:val="en-GB"/>
        </w:rPr>
        <w:t>.</w:t>
      </w:r>
      <w:r w:rsidR="00F91041" w:rsidRPr="00340BB7">
        <w:rPr>
          <w:rStyle w:val="FootnoteReference"/>
          <w:bCs/>
          <w:sz w:val="20"/>
          <w:lang w:val="en-GB"/>
        </w:rPr>
        <w:footnoteReference w:id="9"/>
      </w:r>
      <w:r w:rsidR="00F91041" w:rsidRPr="00340BB7">
        <w:rPr>
          <w:lang w:val="en-GB"/>
        </w:rPr>
        <w:t xml:space="preserve"> </w:t>
      </w:r>
      <w:r w:rsidR="00F502EB" w:rsidRPr="00340BB7">
        <w:rPr>
          <w:lang w:val="en-GB"/>
        </w:rPr>
        <w:t xml:space="preserve">Taking into account the reports drawn up by both </w:t>
      </w:r>
      <w:r w:rsidR="00F502EB">
        <w:rPr>
          <w:lang w:val="en-GB"/>
        </w:rPr>
        <w:t>G</w:t>
      </w:r>
      <w:r w:rsidR="00F502EB" w:rsidRPr="00340BB7">
        <w:rPr>
          <w:lang w:val="en-GB"/>
        </w:rPr>
        <w:t xml:space="preserve">overnments and </w:t>
      </w:r>
      <w:r w:rsidR="00F502EB">
        <w:rPr>
          <w:lang w:val="en-GB"/>
        </w:rPr>
        <w:t>non-governmental organizations</w:t>
      </w:r>
      <w:r w:rsidR="00F502EB" w:rsidRPr="00340BB7">
        <w:rPr>
          <w:lang w:val="en-GB"/>
        </w:rPr>
        <w:t xml:space="preserve">, </w:t>
      </w:r>
      <w:r w:rsidR="00F502EB">
        <w:rPr>
          <w:lang w:val="en-GB"/>
        </w:rPr>
        <w:t>t</w:t>
      </w:r>
      <w:r w:rsidR="00F91041" w:rsidRPr="00340BB7">
        <w:rPr>
          <w:lang w:val="en-GB"/>
        </w:rPr>
        <w:t>he Court found that</w:t>
      </w:r>
      <w:r w:rsidR="00F502EB">
        <w:rPr>
          <w:lang w:val="en-GB"/>
        </w:rPr>
        <w:t>,</w:t>
      </w:r>
      <w:r w:rsidR="00F91041" w:rsidRPr="00340BB7">
        <w:rPr>
          <w:lang w:val="en-GB"/>
        </w:rPr>
        <w:t xml:space="preserve"> concerning </w:t>
      </w:r>
      <w:r w:rsidR="00F502EB">
        <w:rPr>
          <w:lang w:val="en-GB"/>
        </w:rPr>
        <w:t xml:space="preserve">the </w:t>
      </w:r>
      <w:r w:rsidR="00F91041" w:rsidRPr="00340BB7">
        <w:rPr>
          <w:lang w:val="en-GB"/>
        </w:rPr>
        <w:t xml:space="preserve">then-current conditions in Italy, “while the general situation and living conditions in Italy of asylum seekers, accepted refugees and aliens who have been granted a residence permit for international protection or humanitarian purposes may disclose some shortcomings, it has not been shown to disclose a systemic failure to provide support or facilities catering for asylum seekers as members of a particularly vulnerable group of people, as was the case in </w:t>
      </w:r>
      <w:r w:rsidR="00F91041" w:rsidRPr="00340BB7">
        <w:rPr>
          <w:i/>
          <w:lang w:val="en-GB"/>
        </w:rPr>
        <w:t>M.S.S.</w:t>
      </w:r>
      <w:r w:rsidR="00F91041" w:rsidRPr="00340BB7">
        <w:rPr>
          <w:lang w:val="en-GB"/>
        </w:rPr>
        <w:t xml:space="preserve"> </w:t>
      </w:r>
      <w:r w:rsidR="00F91041" w:rsidRPr="003B65B0">
        <w:rPr>
          <w:i/>
          <w:iCs/>
          <w:lang w:val="en-GB"/>
        </w:rPr>
        <w:t>v.</w:t>
      </w:r>
      <w:r w:rsidR="00F91041" w:rsidRPr="00340BB7">
        <w:rPr>
          <w:lang w:val="en-GB"/>
        </w:rPr>
        <w:t xml:space="preserve"> </w:t>
      </w:r>
      <w:r w:rsidR="00F91041" w:rsidRPr="00340BB7">
        <w:rPr>
          <w:i/>
          <w:lang w:val="en-GB"/>
        </w:rPr>
        <w:t>Belgium and Greece</w:t>
      </w:r>
      <w:r w:rsidR="00F91041" w:rsidRPr="00340BB7">
        <w:rPr>
          <w:lang w:val="en-GB"/>
        </w:rPr>
        <w:t>”</w:t>
      </w:r>
      <w:r w:rsidR="00F502EB">
        <w:rPr>
          <w:lang w:val="en-GB"/>
        </w:rPr>
        <w:t>.</w:t>
      </w:r>
      <w:r w:rsidR="00F91041" w:rsidRPr="00340BB7">
        <w:rPr>
          <w:lang w:val="en-GB"/>
        </w:rPr>
        <w:t xml:space="preserve"> The Court found that the applicant’s allegations </w:t>
      </w:r>
      <w:r w:rsidR="00F502EB">
        <w:rPr>
          <w:lang w:val="en-GB"/>
        </w:rPr>
        <w:t xml:space="preserve">had been </w:t>
      </w:r>
      <w:r w:rsidR="00F91041" w:rsidRPr="00340BB7">
        <w:rPr>
          <w:lang w:val="en-GB"/>
        </w:rPr>
        <w:t>therefore manifestly ill-founded and inadmissible and that the applicant could be returned to Italy. The State party considers that</w:t>
      </w:r>
      <w:r w:rsidR="00F502EB">
        <w:rPr>
          <w:lang w:val="en-GB"/>
        </w:rPr>
        <w:t>,</w:t>
      </w:r>
      <w:r w:rsidR="00F91041" w:rsidRPr="00340BB7">
        <w:rPr>
          <w:lang w:val="en-GB"/>
        </w:rPr>
        <w:t xml:space="preserve"> although the author has relied upon the Court’s finding in </w:t>
      </w:r>
      <w:r w:rsidR="00F91041" w:rsidRPr="00340BB7">
        <w:rPr>
          <w:i/>
          <w:lang w:val="en-GB"/>
        </w:rPr>
        <w:t>M.S.S.</w:t>
      </w:r>
      <w:r w:rsidR="00F91041" w:rsidRPr="00340BB7">
        <w:rPr>
          <w:lang w:val="en-GB"/>
        </w:rPr>
        <w:t xml:space="preserve"> </w:t>
      </w:r>
      <w:r w:rsidR="00F91041" w:rsidRPr="003B65B0">
        <w:rPr>
          <w:i/>
          <w:iCs/>
          <w:lang w:val="en-GB"/>
        </w:rPr>
        <w:t>v.</w:t>
      </w:r>
      <w:r w:rsidR="00F91041" w:rsidRPr="00340BB7">
        <w:rPr>
          <w:lang w:val="en-GB"/>
        </w:rPr>
        <w:t xml:space="preserve"> </w:t>
      </w:r>
      <w:r w:rsidR="00F91041" w:rsidRPr="00340BB7">
        <w:rPr>
          <w:i/>
          <w:lang w:val="en-GB"/>
        </w:rPr>
        <w:t>Belgium and Greece</w:t>
      </w:r>
      <w:r w:rsidR="00F91041" w:rsidRPr="00340BB7">
        <w:rPr>
          <w:lang w:val="en-GB"/>
        </w:rPr>
        <w:t xml:space="preserve"> (2011), the Court’s decision in the </w:t>
      </w:r>
      <w:r w:rsidR="00F91041" w:rsidRPr="00340BB7">
        <w:rPr>
          <w:i/>
          <w:lang w:val="en-GB"/>
        </w:rPr>
        <w:t>Hussein</w:t>
      </w:r>
      <w:r w:rsidR="00F91041" w:rsidRPr="00340BB7">
        <w:rPr>
          <w:lang w:val="en-GB"/>
        </w:rPr>
        <w:t xml:space="preserve"> case (2013) is more recent and specifically addresses the conditions in Italy. Indeed, </w:t>
      </w:r>
      <w:r w:rsidR="00F502EB">
        <w:rPr>
          <w:lang w:val="en-GB"/>
        </w:rPr>
        <w:t xml:space="preserve">in its </w:t>
      </w:r>
      <w:r w:rsidR="00F91041" w:rsidRPr="00340BB7">
        <w:rPr>
          <w:lang w:val="en-GB"/>
        </w:rPr>
        <w:t xml:space="preserve">decision in </w:t>
      </w:r>
      <w:r w:rsidR="00F91041" w:rsidRPr="00340BB7">
        <w:rPr>
          <w:i/>
          <w:lang w:val="en-GB"/>
        </w:rPr>
        <w:t>Hussein</w:t>
      </w:r>
      <w:r w:rsidR="00F502EB" w:rsidRPr="003B65B0">
        <w:rPr>
          <w:iCs/>
          <w:lang w:val="en-GB"/>
        </w:rPr>
        <w:t>,</w:t>
      </w:r>
      <w:r w:rsidR="00F91041" w:rsidRPr="00340BB7">
        <w:rPr>
          <w:lang w:val="en-GB"/>
        </w:rPr>
        <w:t xml:space="preserve"> </w:t>
      </w:r>
      <w:r w:rsidR="00F502EB" w:rsidRPr="00340BB7">
        <w:rPr>
          <w:lang w:val="en-GB"/>
        </w:rPr>
        <w:t xml:space="preserve">the Court </w:t>
      </w:r>
      <w:r w:rsidR="00F91041" w:rsidRPr="00340BB7">
        <w:rPr>
          <w:lang w:val="en-GB"/>
        </w:rPr>
        <w:t xml:space="preserve">noted that those who </w:t>
      </w:r>
      <w:r w:rsidR="00F502EB" w:rsidRPr="00340BB7">
        <w:rPr>
          <w:lang w:val="en-GB"/>
        </w:rPr>
        <w:t>ha</w:t>
      </w:r>
      <w:r w:rsidR="00F502EB">
        <w:rPr>
          <w:lang w:val="en-GB"/>
        </w:rPr>
        <w:t>d</w:t>
      </w:r>
      <w:r w:rsidR="00F502EB" w:rsidRPr="00340BB7">
        <w:rPr>
          <w:lang w:val="en-GB"/>
        </w:rPr>
        <w:t xml:space="preserve"> </w:t>
      </w:r>
      <w:r w:rsidR="00F91041" w:rsidRPr="00340BB7">
        <w:rPr>
          <w:lang w:val="en-GB"/>
        </w:rPr>
        <w:t xml:space="preserve">been granted subsidiary protection in Italy </w:t>
      </w:r>
      <w:r w:rsidR="00F502EB">
        <w:rPr>
          <w:lang w:val="en-GB"/>
        </w:rPr>
        <w:t xml:space="preserve">would </w:t>
      </w:r>
      <w:r w:rsidR="00F91041" w:rsidRPr="00340BB7">
        <w:rPr>
          <w:lang w:val="en-GB"/>
        </w:rPr>
        <w:t xml:space="preserve">be provided with a three-year renewable residence permit that allows the holder to work, obtain a travel document for aliens </w:t>
      </w:r>
      <w:r w:rsidR="00F502EB">
        <w:rPr>
          <w:lang w:val="en-GB"/>
        </w:rPr>
        <w:t xml:space="preserve">and </w:t>
      </w:r>
      <w:r w:rsidR="00F91041" w:rsidRPr="00340BB7">
        <w:rPr>
          <w:lang w:val="en-GB"/>
        </w:rPr>
        <w:t xml:space="preserve">benefit from family reunification and from the general schemes for social assistance, health care, social housing and education. </w:t>
      </w:r>
    </w:p>
    <w:p w:rsidR="00FC77C3" w:rsidRPr="00340BB7" w:rsidRDefault="00C14D9A" w:rsidP="00237314">
      <w:pPr>
        <w:pStyle w:val="SingleTxtG"/>
        <w:rPr>
          <w:lang w:val="en-GB"/>
        </w:rPr>
      </w:pPr>
      <w:r w:rsidRPr="00340BB7">
        <w:rPr>
          <w:lang w:val="en-GB"/>
        </w:rPr>
        <w:t>4.1</w:t>
      </w:r>
      <w:r w:rsidR="00295AB5" w:rsidRPr="00340BB7">
        <w:rPr>
          <w:lang w:val="en-GB"/>
        </w:rPr>
        <w:t>2</w:t>
      </w:r>
      <w:r w:rsidR="00C0160F" w:rsidRPr="00340BB7">
        <w:rPr>
          <w:lang w:val="en-GB"/>
        </w:rPr>
        <w:tab/>
        <w:t xml:space="preserve">According to the State party, the decision of </w:t>
      </w:r>
      <w:r w:rsidR="00C0160F" w:rsidRPr="00340BB7">
        <w:rPr>
          <w:i/>
          <w:lang w:val="en-GB"/>
        </w:rPr>
        <w:t>Tarakhel</w:t>
      </w:r>
      <w:r w:rsidR="00C0160F" w:rsidRPr="003822BA">
        <w:rPr>
          <w:i/>
          <w:iCs/>
          <w:lang w:val="en-GB"/>
        </w:rPr>
        <w:t xml:space="preserve"> v. </w:t>
      </w:r>
      <w:r w:rsidR="00C0160F" w:rsidRPr="00340BB7">
        <w:rPr>
          <w:i/>
          <w:lang w:val="en-GB"/>
        </w:rPr>
        <w:t xml:space="preserve">Switzerland </w:t>
      </w:r>
      <w:r w:rsidR="00C0160F" w:rsidRPr="00340BB7">
        <w:rPr>
          <w:lang w:val="en-GB"/>
        </w:rPr>
        <w:t>cannot be interpreted as implying that States should obtain individual guarantees from the Italian authorities where the applicants</w:t>
      </w:r>
      <w:r w:rsidR="00BA49AC" w:rsidRPr="00340BB7">
        <w:rPr>
          <w:lang w:val="en-GB"/>
        </w:rPr>
        <w:t>, like the author,</w:t>
      </w:r>
      <w:r w:rsidR="00C0160F" w:rsidRPr="00340BB7">
        <w:rPr>
          <w:lang w:val="en-GB"/>
        </w:rPr>
        <w:t xml:space="preserve"> hold a </w:t>
      </w:r>
      <w:r w:rsidR="00E52426" w:rsidRPr="00340BB7">
        <w:rPr>
          <w:lang w:val="en-GB"/>
        </w:rPr>
        <w:t xml:space="preserve">valid </w:t>
      </w:r>
      <w:r w:rsidR="00C0160F" w:rsidRPr="00340BB7">
        <w:rPr>
          <w:lang w:val="en-GB"/>
        </w:rPr>
        <w:t xml:space="preserve">residence permit, and are thus entitled to work and to social benefits. </w:t>
      </w:r>
    </w:p>
    <w:p w:rsidR="00F91041" w:rsidRPr="00340BB7" w:rsidRDefault="0007609C" w:rsidP="00CD2B9D">
      <w:pPr>
        <w:pStyle w:val="SingleTxtG"/>
        <w:rPr>
          <w:lang w:val="en-GB"/>
        </w:rPr>
      </w:pPr>
      <w:r w:rsidRPr="00340BB7">
        <w:rPr>
          <w:lang w:val="en-GB"/>
        </w:rPr>
        <w:t>4.1</w:t>
      </w:r>
      <w:r w:rsidR="00295AB5" w:rsidRPr="00340BB7">
        <w:rPr>
          <w:lang w:val="en-GB"/>
        </w:rPr>
        <w:t>3</w:t>
      </w:r>
      <w:r w:rsidR="00FC77C3" w:rsidRPr="00340BB7">
        <w:rPr>
          <w:lang w:val="en-GB"/>
        </w:rPr>
        <w:tab/>
        <w:t>Consequently, the State party concludes that it</w:t>
      </w:r>
      <w:r w:rsidR="00F91041" w:rsidRPr="00340BB7">
        <w:rPr>
          <w:lang w:val="en-GB"/>
        </w:rPr>
        <w:t xml:space="preserve"> will not constitute a breach of </w:t>
      </w:r>
      <w:r w:rsidR="000179A6" w:rsidRPr="00340BB7">
        <w:rPr>
          <w:lang w:val="en-GB"/>
        </w:rPr>
        <w:t>article</w:t>
      </w:r>
      <w:r w:rsidR="000179A6">
        <w:rPr>
          <w:lang w:val="en-GB"/>
        </w:rPr>
        <w:t> </w:t>
      </w:r>
      <w:r w:rsidR="00F91041" w:rsidRPr="00340BB7">
        <w:rPr>
          <w:lang w:val="en-GB"/>
        </w:rPr>
        <w:t xml:space="preserve">7 to deport the author and her children to Italy, </w:t>
      </w:r>
      <w:r w:rsidR="006C4D5F" w:rsidRPr="00340BB7">
        <w:rPr>
          <w:lang w:val="en-GB"/>
        </w:rPr>
        <w:t>which</w:t>
      </w:r>
      <w:r w:rsidR="00F91041" w:rsidRPr="00340BB7">
        <w:rPr>
          <w:lang w:val="en-GB"/>
        </w:rPr>
        <w:t xml:space="preserve"> the author </w:t>
      </w:r>
      <w:r w:rsidR="006C4D5F" w:rsidRPr="00340BB7">
        <w:rPr>
          <w:lang w:val="en-GB"/>
        </w:rPr>
        <w:t>herself has requested</w:t>
      </w:r>
      <w:r w:rsidR="00F91041" w:rsidRPr="00340BB7">
        <w:rPr>
          <w:lang w:val="en-GB"/>
        </w:rPr>
        <w:t>.</w:t>
      </w:r>
    </w:p>
    <w:p w:rsidR="00F91041" w:rsidRPr="00340BB7" w:rsidRDefault="00237314" w:rsidP="0016196E">
      <w:pPr>
        <w:pStyle w:val="H23G"/>
      </w:pPr>
      <w:r w:rsidRPr="00340BB7">
        <w:tab/>
      </w:r>
      <w:r w:rsidRPr="00340BB7">
        <w:tab/>
      </w:r>
      <w:r w:rsidR="00F91041" w:rsidRPr="00340BB7">
        <w:t xml:space="preserve">Author’s comments on the State party’s observations </w:t>
      </w:r>
    </w:p>
    <w:p w:rsidR="00E52426" w:rsidRPr="00340BB7" w:rsidRDefault="00237314" w:rsidP="00CD2B9D">
      <w:pPr>
        <w:pStyle w:val="SingleTxtG"/>
        <w:rPr>
          <w:bCs/>
          <w:lang w:val="en-GB"/>
        </w:rPr>
      </w:pPr>
      <w:r w:rsidRPr="00340BB7">
        <w:rPr>
          <w:lang w:val="en-GB"/>
        </w:rPr>
        <w:t>5.1</w:t>
      </w:r>
      <w:r w:rsidRPr="00340BB7">
        <w:rPr>
          <w:lang w:val="en-GB"/>
        </w:rPr>
        <w:tab/>
      </w:r>
      <w:r w:rsidR="00F91041" w:rsidRPr="00340BB7">
        <w:rPr>
          <w:lang w:val="en-GB"/>
        </w:rPr>
        <w:t xml:space="preserve">In her comments dated </w:t>
      </w:r>
      <w:r w:rsidR="00E52426" w:rsidRPr="00340BB7">
        <w:rPr>
          <w:lang w:val="en-GB"/>
        </w:rPr>
        <w:t>2</w:t>
      </w:r>
      <w:r w:rsidR="00F91041" w:rsidRPr="00340BB7">
        <w:rPr>
          <w:lang w:val="en-GB"/>
        </w:rPr>
        <w:t xml:space="preserve">3 </w:t>
      </w:r>
      <w:r w:rsidR="00E52426" w:rsidRPr="00340BB7">
        <w:rPr>
          <w:lang w:val="en-GB"/>
        </w:rPr>
        <w:t>February 2015</w:t>
      </w:r>
      <w:r w:rsidR="00F91041" w:rsidRPr="00340BB7">
        <w:rPr>
          <w:lang w:val="en-GB"/>
        </w:rPr>
        <w:t xml:space="preserve">, the author </w:t>
      </w:r>
      <w:r w:rsidR="00E52426" w:rsidRPr="00340BB7">
        <w:rPr>
          <w:lang w:val="en-GB"/>
        </w:rPr>
        <w:t>dispute</w:t>
      </w:r>
      <w:r w:rsidR="00844EDC">
        <w:rPr>
          <w:lang w:val="en-GB"/>
        </w:rPr>
        <w:t>s</w:t>
      </w:r>
      <w:r w:rsidR="00E52426" w:rsidRPr="00340BB7">
        <w:rPr>
          <w:lang w:val="en-GB"/>
        </w:rPr>
        <w:t xml:space="preserve"> the State party</w:t>
      </w:r>
      <w:r w:rsidR="00340BB7" w:rsidRPr="00340BB7">
        <w:rPr>
          <w:lang w:val="en-GB"/>
        </w:rPr>
        <w:t>’</w:t>
      </w:r>
      <w:r w:rsidR="00E52426" w:rsidRPr="00340BB7">
        <w:rPr>
          <w:lang w:val="en-GB"/>
        </w:rPr>
        <w:t xml:space="preserve">s statement that she had agreed to return </w:t>
      </w:r>
      <w:r w:rsidR="00340BB7">
        <w:rPr>
          <w:lang w:val="en-GB"/>
        </w:rPr>
        <w:t>“</w:t>
      </w:r>
      <w:r w:rsidR="00E52426" w:rsidRPr="00340BB7">
        <w:rPr>
          <w:lang w:val="en-GB"/>
        </w:rPr>
        <w:t>voluntarily</w:t>
      </w:r>
      <w:r w:rsidR="00340BB7">
        <w:rPr>
          <w:lang w:val="en-GB"/>
        </w:rPr>
        <w:t>”</w:t>
      </w:r>
      <w:r w:rsidR="00E52426" w:rsidRPr="00340BB7">
        <w:rPr>
          <w:lang w:val="en-GB"/>
        </w:rPr>
        <w:t xml:space="preserve"> to Italy</w:t>
      </w:r>
      <w:r w:rsidR="00844EDC">
        <w:rPr>
          <w:lang w:val="en-GB"/>
        </w:rPr>
        <w:t>,</w:t>
      </w:r>
      <w:r w:rsidR="005A3767" w:rsidRPr="00340BB7">
        <w:rPr>
          <w:lang w:val="en-GB"/>
        </w:rPr>
        <w:t xml:space="preserve"> </w:t>
      </w:r>
      <w:r w:rsidR="00844EDC">
        <w:rPr>
          <w:lang w:val="en-GB"/>
        </w:rPr>
        <w:t xml:space="preserve">and states that </w:t>
      </w:r>
      <w:r w:rsidR="005A3767" w:rsidRPr="00340BB7">
        <w:rPr>
          <w:lang w:val="en-GB"/>
        </w:rPr>
        <w:t>it</w:t>
      </w:r>
      <w:r w:rsidR="00E52426" w:rsidRPr="00340BB7">
        <w:rPr>
          <w:lang w:val="en-GB"/>
        </w:rPr>
        <w:t xml:space="preserve"> is not and was not the request of the </w:t>
      </w:r>
      <w:r w:rsidR="005A3767" w:rsidRPr="00340BB7">
        <w:rPr>
          <w:lang w:val="en-GB"/>
        </w:rPr>
        <w:t>author</w:t>
      </w:r>
      <w:r w:rsidR="00E52426" w:rsidRPr="00340BB7">
        <w:rPr>
          <w:lang w:val="en-GB"/>
        </w:rPr>
        <w:t xml:space="preserve"> to return to Italy, having sought protection in Denmark.</w:t>
      </w:r>
      <w:r w:rsidRPr="00340BB7">
        <w:rPr>
          <w:lang w:val="en-GB"/>
        </w:rPr>
        <w:t xml:space="preserve"> </w:t>
      </w:r>
      <w:r w:rsidR="005A3767" w:rsidRPr="00340BB7">
        <w:rPr>
          <w:lang w:val="en-GB"/>
        </w:rPr>
        <w:t xml:space="preserve">In practice, upon </w:t>
      </w:r>
      <w:r w:rsidR="00E52426" w:rsidRPr="00340BB7">
        <w:rPr>
          <w:lang w:val="en-GB"/>
        </w:rPr>
        <w:t>final rejection of asylum in Denmark</w:t>
      </w:r>
      <w:r w:rsidR="005A3767" w:rsidRPr="00340BB7">
        <w:rPr>
          <w:lang w:val="en-GB"/>
        </w:rPr>
        <w:t xml:space="preserve">, applicants are provided with a </w:t>
      </w:r>
      <w:r w:rsidR="00E52426" w:rsidRPr="00340BB7">
        <w:rPr>
          <w:lang w:val="en-GB"/>
        </w:rPr>
        <w:t xml:space="preserve">deadline </w:t>
      </w:r>
      <w:r w:rsidR="005A3767" w:rsidRPr="00340BB7">
        <w:rPr>
          <w:lang w:val="en-GB"/>
        </w:rPr>
        <w:t>to leave Denmark</w:t>
      </w:r>
      <w:r w:rsidR="00E52426" w:rsidRPr="00340BB7">
        <w:rPr>
          <w:lang w:val="en-GB"/>
        </w:rPr>
        <w:t xml:space="preserve">, typically </w:t>
      </w:r>
      <w:r w:rsidR="005A3767" w:rsidRPr="00340BB7">
        <w:rPr>
          <w:lang w:val="en-GB"/>
        </w:rPr>
        <w:t>within 15 days of the rejection</w:t>
      </w:r>
      <w:r w:rsidR="00E52426" w:rsidRPr="00340BB7">
        <w:rPr>
          <w:lang w:val="en-GB"/>
        </w:rPr>
        <w:t>.</w:t>
      </w:r>
      <w:r w:rsidRPr="00340BB7">
        <w:rPr>
          <w:lang w:val="en-GB"/>
        </w:rPr>
        <w:t xml:space="preserve"> </w:t>
      </w:r>
      <w:r w:rsidR="00E52426" w:rsidRPr="00340BB7">
        <w:rPr>
          <w:lang w:val="en-GB"/>
        </w:rPr>
        <w:t>If the asylum seeker does not leave voluntarily</w:t>
      </w:r>
      <w:r w:rsidR="005A3767" w:rsidRPr="00340BB7">
        <w:rPr>
          <w:lang w:val="en-GB"/>
        </w:rPr>
        <w:t>,</w:t>
      </w:r>
      <w:r w:rsidR="00E52426" w:rsidRPr="00340BB7">
        <w:rPr>
          <w:lang w:val="en-GB"/>
        </w:rPr>
        <w:t xml:space="preserve"> the </w:t>
      </w:r>
      <w:r w:rsidR="002F005F">
        <w:rPr>
          <w:lang w:val="en-GB"/>
        </w:rPr>
        <w:t>national p</w:t>
      </w:r>
      <w:r w:rsidR="00E52426" w:rsidRPr="00340BB7">
        <w:rPr>
          <w:lang w:val="en-GB"/>
        </w:rPr>
        <w:t xml:space="preserve">olice </w:t>
      </w:r>
      <w:r w:rsidR="005A3767" w:rsidRPr="00340BB7">
        <w:rPr>
          <w:lang w:val="en-GB"/>
        </w:rPr>
        <w:t>is</w:t>
      </w:r>
      <w:r w:rsidRPr="00340BB7">
        <w:rPr>
          <w:lang w:val="en-GB"/>
        </w:rPr>
        <w:t xml:space="preserve"> </w:t>
      </w:r>
      <w:r w:rsidR="00E52426" w:rsidRPr="00340BB7">
        <w:rPr>
          <w:lang w:val="en-GB"/>
        </w:rPr>
        <w:t>responsibl</w:t>
      </w:r>
      <w:r w:rsidR="005A3767" w:rsidRPr="00340BB7">
        <w:rPr>
          <w:lang w:val="en-GB"/>
        </w:rPr>
        <w:t>e for arranging the deportation, and the failed</w:t>
      </w:r>
      <w:r w:rsidRPr="00340BB7">
        <w:rPr>
          <w:lang w:val="en-GB"/>
        </w:rPr>
        <w:t xml:space="preserve"> </w:t>
      </w:r>
      <w:r w:rsidR="00E52426" w:rsidRPr="00340BB7">
        <w:rPr>
          <w:bCs/>
          <w:lang w:val="en-GB"/>
        </w:rPr>
        <w:t xml:space="preserve">asylum seeker </w:t>
      </w:r>
      <w:r w:rsidR="005A3767" w:rsidRPr="00340BB7">
        <w:rPr>
          <w:bCs/>
          <w:lang w:val="en-GB"/>
        </w:rPr>
        <w:t xml:space="preserve">is called </w:t>
      </w:r>
      <w:r w:rsidR="00E52426" w:rsidRPr="00340BB7">
        <w:rPr>
          <w:bCs/>
          <w:lang w:val="en-GB"/>
        </w:rPr>
        <w:t>for a hearing</w:t>
      </w:r>
      <w:r w:rsidR="005A3767" w:rsidRPr="00340BB7">
        <w:rPr>
          <w:bCs/>
          <w:lang w:val="en-GB"/>
        </w:rPr>
        <w:t>, during which</w:t>
      </w:r>
      <w:r w:rsidR="00E52426" w:rsidRPr="00340BB7">
        <w:rPr>
          <w:bCs/>
          <w:lang w:val="en-GB"/>
        </w:rPr>
        <w:t xml:space="preserve"> </w:t>
      </w:r>
      <w:r w:rsidR="005A3767" w:rsidRPr="00340BB7">
        <w:rPr>
          <w:bCs/>
          <w:lang w:val="en-GB"/>
        </w:rPr>
        <w:t xml:space="preserve">he </w:t>
      </w:r>
      <w:r w:rsidR="00844EDC">
        <w:rPr>
          <w:bCs/>
          <w:lang w:val="en-GB"/>
        </w:rPr>
        <w:t xml:space="preserve">or she </w:t>
      </w:r>
      <w:r w:rsidR="005A3767" w:rsidRPr="00340BB7">
        <w:rPr>
          <w:bCs/>
          <w:lang w:val="en-GB"/>
        </w:rPr>
        <w:t>is asked</w:t>
      </w:r>
      <w:r w:rsidR="00E52426" w:rsidRPr="00340BB7">
        <w:rPr>
          <w:bCs/>
          <w:lang w:val="en-GB"/>
        </w:rPr>
        <w:t xml:space="preserve"> whether he or she wishes to leave voluntarily.</w:t>
      </w:r>
      <w:r w:rsidR="005A3767" w:rsidRPr="00340BB7">
        <w:rPr>
          <w:bCs/>
          <w:lang w:val="en-GB"/>
        </w:rPr>
        <w:t xml:space="preserve"> The asylum seeker is asked to sign a “statement of cooperation”</w:t>
      </w:r>
      <w:r w:rsidR="00844EDC">
        <w:rPr>
          <w:bCs/>
          <w:lang w:val="en-GB"/>
        </w:rPr>
        <w:t>.</w:t>
      </w:r>
      <w:r w:rsidR="00E52426" w:rsidRPr="00340BB7">
        <w:rPr>
          <w:bCs/>
          <w:lang w:val="en-GB"/>
        </w:rPr>
        <w:t xml:space="preserve"> If the asylum seeker informs </w:t>
      </w:r>
      <w:r w:rsidR="00844EDC">
        <w:rPr>
          <w:bCs/>
          <w:lang w:val="en-GB"/>
        </w:rPr>
        <w:t xml:space="preserve">the hearing </w:t>
      </w:r>
      <w:r w:rsidR="00E52426" w:rsidRPr="00340BB7">
        <w:rPr>
          <w:bCs/>
          <w:lang w:val="en-GB"/>
        </w:rPr>
        <w:t xml:space="preserve">that he or she does not wish to leave voluntarily, the police </w:t>
      </w:r>
      <w:r w:rsidR="00844EDC">
        <w:rPr>
          <w:bCs/>
          <w:lang w:val="en-GB"/>
        </w:rPr>
        <w:t>the</w:t>
      </w:r>
      <w:r w:rsidR="00ED22CB">
        <w:rPr>
          <w:bCs/>
          <w:lang w:val="en-GB"/>
        </w:rPr>
        <w:t>n</w:t>
      </w:r>
      <w:r w:rsidR="00844EDC">
        <w:rPr>
          <w:bCs/>
          <w:lang w:val="en-GB"/>
        </w:rPr>
        <w:t xml:space="preserve"> </w:t>
      </w:r>
      <w:r w:rsidR="005A3767" w:rsidRPr="00340BB7">
        <w:rPr>
          <w:bCs/>
          <w:lang w:val="en-GB"/>
        </w:rPr>
        <w:t xml:space="preserve">informs </w:t>
      </w:r>
      <w:r w:rsidR="00844EDC" w:rsidRPr="00340BB7">
        <w:rPr>
          <w:bCs/>
          <w:lang w:val="en-GB"/>
        </w:rPr>
        <w:t xml:space="preserve">the asylum seekers </w:t>
      </w:r>
      <w:r w:rsidR="005A3767" w:rsidRPr="00340BB7">
        <w:rPr>
          <w:bCs/>
          <w:lang w:val="en-GB"/>
        </w:rPr>
        <w:t>of</w:t>
      </w:r>
      <w:r w:rsidR="00E52426" w:rsidRPr="00340BB7">
        <w:rPr>
          <w:bCs/>
          <w:lang w:val="en-GB"/>
        </w:rPr>
        <w:t xml:space="preserve"> the possibility of sanctions</w:t>
      </w:r>
      <w:r w:rsidR="005A3767" w:rsidRPr="00340BB7">
        <w:rPr>
          <w:bCs/>
          <w:lang w:val="en-GB"/>
        </w:rPr>
        <w:t>, such as</w:t>
      </w:r>
      <w:r w:rsidR="00E52426" w:rsidRPr="00340BB7">
        <w:rPr>
          <w:bCs/>
          <w:lang w:val="en-GB"/>
        </w:rPr>
        <w:t xml:space="preserve"> </w:t>
      </w:r>
      <w:r w:rsidR="005A3767" w:rsidRPr="00340BB7">
        <w:rPr>
          <w:bCs/>
          <w:lang w:val="en-GB"/>
        </w:rPr>
        <w:t>r</w:t>
      </w:r>
      <w:r w:rsidR="00E52426" w:rsidRPr="00340BB7">
        <w:rPr>
          <w:bCs/>
          <w:lang w:val="en-GB"/>
        </w:rPr>
        <w:t>educed or no</w:t>
      </w:r>
      <w:r w:rsidR="005A3767" w:rsidRPr="00340BB7">
        <w:rPr>
          <w:bCs/>
          <w:lang w:val="en-GB"/>
        </w:rPr>
        <w:t xml:space="preserve"> </w:t>
      </w:r>
      <w:r w:rsidR="00E52426" w:rsidRPr="00340BB7">
        <w:rPr>
          <w:bCs/>
          <w:lang w:val="en-GB"/>
        </w:rPr>
        <w:t xml:space="preserve">financial benefits, </w:t>
      </w:r>
      <w:r w:rsidR="00844EDC">
        <w:rPr>
          <w:bCs/>
          <w:lang w:val="en-GB"/>
        </w:rPr>
        <w:t xml:space="preserve">the </w:t>
      </w:r>
      <w:r w:rsidR="00E52426" w:rsidRPr="00340BB7">
        <w:rPr>
          <w:bCs/>
          <w:lang w:val="en-GB"/>
        </w:rPr>
        <w:t>duty to re</w:t>
      </w:r>
      <w:r w:rsidR="00340BB7">
        <w:rPr>
          <w:bCs/>
          <w:lang w:val="en-GB"/>
        </w:rPr>
        <w:t>port to the police or detention</w:t>
      </w:r>
      <w:r w:rsidR="00E52426" w:rsidRPr="00340BB7">
        <w:rPr>
          <w:bCs/>
          <w:lang w:val="en-GB"/>
        </w:rPr>
        <w:t>.</w:t>
      </w:r>
      <w:r w:rsidR="005A3767" w:rsidRPr="00340BB7">
        <w:rPr>
          <w:bCs/>
          <w:lang w:val="en-GB"/>
        </w:rPr>
        <w:t xml:space="preserve"> Therefore, although the author signed a </w:t>
      </w:r>
      <w:r w:rsidR="00295AB5" w:rsidRPr="00340BB7">
        <w:rPr>
          <w:bCs/>
          <w:lang w:val="en-GB"/>
        </w:rPr>
        <w:t>“</w:t>
      </w:r>
      <w:r w:rsidR="005A3767" w:rsidRPr="00340BB7">
        <w:rPr>
          <w:bCs/>
          <w:lang w:val="en-GB"/>
        </w:rPr>
        <w:t>statement of cooperation”</w:t>
      </w:r>
      <w:r w:rsidRPr="00340BB7">
        <w:rPr>
          <w:bCs/>
          <w:lang w:val="en-GB"/>
        </w:rPr>
        <w:t xml:space="preserve">, </w:t>
      </w:r>
      <w:r w:rsidR="005A3767" w:rsidRPr="00340BB7">
        <w:rPr>
          <w:bCs/>
          <w:lang w:val="en-GB"/>
        </w:rPr>
        <w:t xml:space="preserve">it is not possible to speak of a genuine </w:t>
      </w:r>
      <w:r w:rsidR="005A3767" w:rsidRPr="003B65B0">
        <w:rPr>
          <w:bCs/>
          <w:iCs/>
          <w:lang w:val="en-GB"/>
        </w:rPr>
        <w:t>voluntary</w:t>
      </w:r>
      <w:r w:rsidR="005A3767" w:rsidRPr="00340BB7">
        <w:rPr>
          <w:bCs/>
          <w:i/>
          <w:lang w:val="en-GB"/>
        </w:rPr>
        <w:t xml:space="preserve"> </w:t>
      </w:r>
      <w:r w:rsidR="005A3767" w:rsidRPr="00340BB7">
        <w:rPr>
          <w:bCs/>
          <w:lang w:val="en-GB"/>
        </w:rPr>
        <w:t>departure.</w:t>
      </w:r>
      <w:r w:rsidR="00C51566" w:rsidRPr="00340BB7">
        <w:rPr>
          <w:bCs/>
          <w:lang w:val="en-GB"/>
        </w:rPr>
        <w:t xml:space="preserve"> The author only wanted to cooperate with the authorities in order to be allowed to stay in her current asylum camp, where her oldest daughter went to school. Thus, she was signing to avoid detention. </w:t>
      </w:r>
    </w:p>
    <w:p w:rsidR="00E52426" w:rsidRPr="00340BB7" w:rsidRDefault="005A3767" w:rsidP="00CD2B9D">
      <w:pPr>
        <w:pStyle w:val="SingleTxtG"/>
        <w:rPr>
          <w:lang w:val="en-GB"/>
        </w:rPr>
      </w:pPr>
      <w:r w:rsidRPr="00340BB7">
        <w:rPr>
          <w:lang w:val="en-GB"/>
        </w:rPr>
        <w:t>5.2</w:t>
      </w:r>
      <w:r w:rsidRPr="00340BB7">
        <w:rPr>
          <w:lang w:val="en-GB"/>
        </w:rPr>
        <w:tab/>
      </w:r>
      <w:r w:rsidR="00E52426" w:rsidRPr="00340BB7">
        <w:rPr>
          <w:lang w:val="en-GB"/>
        </w:rPr>
        <w:t xml:space="preserve">On </w:t>
      </w:r>
      <w:r w:rsidR="00C51566" w:rsidRPr="00340BB7">
        <w:rPr>
          <w:lang w:val="en-GB"/>
        </w:rPr>
        <w:t xml:space="preserve">13 </w:t>
      </w:r>
      <w:r w:rsidR="00E52426" w:rsidRPr="00340BB7">
        <w:rPr>
          <w:lang w:val="en-GB"/>
        </w:rPr>
        <w:t>June 2013</w:t>
      </w:r>
      <w:r w:rsidR="00C51566" w:rsidRPr="00340BB7">
        <w:rPr>
          <w:lang w:val="en-GB"/>
        </w:rPr>
        <w:t>,</w:t>
      </w:r>
      <w:r w:rsidR="00E52426" w:rsidRPr="00340BB7">
        <w:rPr>
          <w:lang w:val="en-GB"/>
        </w:rPr>
        <w:t xml:space="preserve"> the </w:t>
      </w:r>
      <w:r w:rsidR="00C51566" w:rsidRPr="00340BB7">
        <w:rPr>
          <w:lang w:val="en-GB"/>
        </w:rPr>
        <w:t>author</w:t>
      </w:r>
      <w:r w:rsidR="00340BB7" w:rsidRPr="00340BB7">
        <w:rPr>
          <w:lang w:val="en-GB"/>
        </w:rPr>
        <w:t>’</w:t>
      </w:r>
      <w:r w:rsidR="00C51566" w:rsidRPr="00340BB7">
        <w:rPr>
          <w:lang w:val="en-GB"/>
        </w:rPr>
        <w:t>s counsel</w:t>
      </w:r>
      <w:r w:rsidR="00E52426" w:rsidRPr="00340BB7">
        <w:rPr>
          <w:lang w:val="en-GB"/>
        </w:rPr>
        <w:t xml:space="preserve"> was contacted by a social worker at the asylum camp</w:t>
      </w:r>
      <w:r w:rsidR="002B7CE2" w:rsidRPr="00340BB7">
        <w:rPr>
          <w:lang w:val="en-GB"/>
        </w:rPr>
        <w:t>, who reported that the author</w:t>
      </w:r>
      <w:r w:rsidR="00E52426" w:rsidRPr="00340BB7">
        <w:rPr>
          <w:lang w:val="en-GB"/>
        </w:rPr>
        <w:t xml:space="preserve"> did not wish to return to Italy. On </w:t>
      </w:r>
      <w:r w:rsidR="002B7CE2" w:rsidRPr="00340BB7">
        <w:rPr>
          <w:lang w:val="en-GB"/>
        </w:rPr>
        <w:t xml:space="preserve">16 </w:t>
      </w:r>
      <w:r w:rsidR="00E52426" w:rsidRPr="00340BB7">
        <w:rPr>
          <w:lang w:val="en-GB"/>
        </w:rPr>
        <w:t>June</w:t>
      </w:r>
      <w:r w:rsidR="00237314" w:rsidRPr="00340BB7">
        <w:rPr>
          <w:lang w:val="en-GB"/>
        </w:rPr>
        <w:t xml:space="preserve"> </w:t>
      </w:r>
      <w:r w:rsidR="00E52426" w:rsidRPr="00340BB7">
        <w:rPr>
          <w:lang w:val="en-GB"/>
        </w:rPr>
        <w:t>2014</w:t>
      </w:r>
      <w:r w:rsidR="002B7CE2" w:rsidRPr="00340BB7">
        <w:rPr>
          <w:lang w:val="en-GB"/>
        </w:rPr>
        <w:t>, the author</w:t>
      </w:r>
      <w:r w:rsidR="00340BB7" w:rsidRPr="00340BB7">
        <w:rPr>
          <w:lang w:val="en-GB"/>
        </w:rPr>
        <w:t>’</w:t>
      </w:r>
      <w:r w:rsidR="002B7CE2" w:rsidRPr="00340BB7">
        <w:rPr>
          <w:lang w:val="en-GB"/>
        </w:rPr>
        <w:t>s counsel</w:t>
      </w:r>
      <w:r w:rsidR="00E52426" w:rsidRPr="00340BB7">
        <w:rPr>
          <w:lang w:val="en-GB"/>
        </w:rPr>
        <w:t xml:space="preserve"> informed the </w:t>
      </w:r>
      <w:r w:rsidR="002F005F">
        <w:rPr>
          <w:lang w:val="en-GB"/>
        </w:rPr>
        <w:t>national p</w:t>
      </w:r>
      <w:r w:rsidR="00E52426" w:rsidRPr="00340BB7">
        <w:rPr>
          <w:lang w:val="en-GB"/>
        </w:rPr>
        <w:t xml:space="preserve">olice by phone that the </w:t>
      </w:r>
      <w:r w:rsidR="002B7CE2" w:rsidRPr="00340BB7">
        <w:rPr>
          <w:lang w:val="en-GB"/>
        </w:rPr>
        <w:t xml:space="preserve">author </w:t>
      </w:r>
      <w:r w:rsidR="00E52426" w:rsidRPr="00340BB7">
        <w:rPr>
          <w:lang w:val="en-GB"/>
        </w:rPr>
        <w:t xml:space="preserve">did not wish to leave voluntarily and that the planned deportation could not be regarded as a voluntarily departure. The police </w:t>
      </w:r>
      <w:r w:rsidR="002B7CE2" w:rsidRPr="00340BB7">
        <w:rPr>
          <w:lang w:val="en-GB"/>
        </w:rPr>
        <w:t xml:space="preserve">replied </w:t>
      </w:r>
      <w:r w:rsidR="00E52426" w:rsidRPr="00340BB7">
        <w:rPr>
          <w:lang w:val="en-GB"/>
        </w:rPr>
        <w:t>that they were planning to return the a</w:t>
      </w:r>
      <w:r w:rsidR="002B7CE2" w:rsidRPr="00340BB7">
        <w:rPr>
          <w:lang w:val="en-GB"/>
        </w:rPr>
        <w:t xml:space="preserve">uthor </w:t>
      </w:r>
      <w:r w:rsidR="00E52426" w:rsidRPr="00340BB7">
        <w:rPr>
          <w:lang w:val="en-GB"/>
        </w:rPr>
        <w:t xml:space="preserve">on </w:t>
      </w:r>
      <w:r w:rsidR="002B7CE2" w:rsidRPr="00340BB7">
        <w:rPr>
          <w:lang w:val="en-GB"/>
        </w:rPr>
        <w:t xml:space="preserve">20 </w:t>
      </w:r>
      <w:r w:rsidR="00E52426" w:rsidRPr="00340BB7">
        <w:rPr>
          <w:lang w:val="en-GB"/>
        </w:rPr>
        <w:t>June 2014</w:t>
      </w:r>
      <w:r w:rsidR="002B7CE2" w:rsidRPr="00340BB7">
        <w:rPr>
          <w:lang w:val="en-GB"/>
        </w:rPr>
        <w:t>,</w:t>
      </w:r>
      <w:r w:rsidR="00E52426" w:rsidRPr="00340BB7">
        <w:rPr>
          <w:lang w:val="en-GB"/>
        </w:rPr>
        <w:t xml:space="preserve"> regardless of the non-voluntary nature of the return.</w:t>
      </w:r>
    </w:p>
    <w:p w:rsidR="00E52426" w:rsidRPr="00340BB7" w:rsidRDefault="003F2728" w:rsidP="00CD2B9D">
      <w:pPr>
        <w:pStyle w:val="SingleTxtG"/>
        <w:rPr>
          <w:lang w:val="en-GB"/>
        </w:rPr>
      </w:pPr>
      <w:r w:rsidRPr="00340BB7">
        <w:rPr>
          <w:lang w:val="en-GB"/>
        </w:rPr>
        <w:t>5.3</w:t>
      </w:r>
      <w:r w:rsidRPr="00340BB7">
        <w:rPr>
          <w:lang w:val="en-GB"/>
        </w:rPr>
        <w:tab/>
        <w:t xml:space="preserve">The author reiterates that it is peculiar that the </w:t>
      </w:r>
      <w:r w:rsidR="00FD4EC3">
        <w:rPr>
          <w:lang w:val="en-GB"/>
        </w:rPr>
        <w:t>r</w:t>
      </w:r>
      <w:r w:rsidR="00E52426" w:rsidRPr="00340BB7">
        <w:rPr>
          <w:lang w:val="en-GB"/>
        </w:rPr>
        <w:t xml:space="preserve">efugee </w:t>
      </w:r>
      <w:r w:rsidR="00FD4EC3">
        <w:rPr>
          <w:lang w:val="en-GB"/>
        </w:rPr>
        <w:t>a</w:t>
      </w:r>
      <w:r w:rsidR="00E52426" w:rsidRPr="00340BB7">
        <w:rPr>
          <w:lang w:val="en-GB"/>
        </w:rPr>
        <w:t xml:space="preserve">ppeals </w:t>
      </w:r>
      <w:r w:rsidR="00FD4EC3">
        <w:rPr>
          <w:lang w:val="en-GB"/>
        </w:rPr>
        <w:t>b</w:t>
      </w:r>
      <w:r w:rsidR="00E52426" w:rsidRPr="00340BB7">
        <w:rPr>
          <w:lang w:val="en-GB"/>
        </w:rPr>
        <w:t xml:space="preserve">oard </w:t>
      </w:r>
      <w:r w:rsidRPr="00340BB7">
        <w:rPr>
          <w:lang w:val="en-GB"/>
        </w:rPr>
        <w:t>ruled</w:t>
      </w:r>
      <w:r w:rsidR="00E52426" w:rsidRPr="00340BB7">
        <w:rPr>
          <w:lang w:val="en-GB"/>
        </w:rPr>
        <w:t xml:space="preserve"> that </w:t>
      </w:r>
      <w:r w:rsidRPr="00340BB7">
        <w:rPr>
          <w:lang w:val="en-GB"/>
        </w:rPr>
        <w:t>the author</w:t>
      </w:r>
      <w:r w:rsidR="00E52426" w:rsidRPr="00340BB7">
        <w:rPr>
          <w:lang w:val="en-GB"/>
        </w:rPr>
        <w:t xml:space="preserve"> and her children </w:t>
      </w:r>
      <w:r w:rsidR="00FD4EC3">
        <w:rPr>
          <w:lang w:val="en-GB"/>
        </w:rPr>
        <w:t xml:space="preserve">could </w:t>
      </w:r>
      <w:r w:rsidRPr="00340BB7">
        <w:rPr>
          <w:lang w:val="en-GB"/>
        </w:rPr>
        <w:t xml:space="preserve">be </w:t>
      </w:r>
      <w:r w:rsidR="00FD4EC3" w:rsidRPr="00340BB7">
        <w:rPr>
          <w:lang w:val="en-GB"/>
        </w:rPr>
        <w:t>forc</w:t>
      </w:r>
      <w:r w:rsidR="00FD4EC3">
        <w:rPr>
          <w:lang w:val="en-GB"/>
        </w:rPr>
        <w:t>ibly</w:t>
      </w:r>
      <w:r w:rsidR="00FD4EC3" w:rsidRPr="00340BB7">
        <w:rPr>
          <w:lang w:val="en-GB"/>
        </w:rPr>
        <w:t xml:space="preserve"> </w:t>
      </w:r>
      <w:r w:rsidR="00E52426" w:rsidRPr="00340BB7">
        <w:rPr>
          <w:lang w:val="en-GB"/>
        </w:rPr>
        <w:t xml:space="preserve">deported to Somalia, </w:t>
      </w:r>
      <w:r w:rsidRPr="00340BB7">
        <w:rPr>
          <w:lang w:val="en-GB"/>
        </w:rPr>
        <w:t>although</w:t>
      </w:r>
      <w:r w:rsidR="00E52426" w:rsidRPr="00340BB7">
        <w:rPr>
          <w:lang w:val="en-GB"/>
        </w:rPr>
        <w:t xml:space="preserve"> the </w:t>
      </w:r>
      <w:r w:rsidR="002F005F">
        <w:rPr>
          <w:lang w:val="en-GB"/>
        </w:rPr>
        <w:t xml:space="preserve">national </w:t>
      </w:r>
      <w:r w:rsidR="00E52426" w:rsidRPr="00340BB7">
        <w:rPr>
          <w:lang w:val="en-GB"/>
        </w:rPr>
        <w:t xml:space="preserve">police were planning to deport her to Italy </w:t>
      </w:r>
      <w:r w:rsidR="00FD4EC3">
        <w:rPr>
          <w:lang w:val="en-GB"/>
        </w:rPr>
        <w:t xml:space="preserve">owing </w:t>
      </w:r>
      <w:r w:rsidR="00E52426" w:rsidRPr="00340BB7">
        <w:rPr>
          <w:lang w:val="en-GB"/>
        </w:rPr>
        <w:t xml:space="preserve">to her Italian residence permit. </w:t>
      </w:r>
      <w:r w:rsidRPr="00340BB7">
        <w:rPr>
          <w:lang w:val="en-GB"/>
        </w:rPr>
        <w:t>However, neither</w:t>
      </w:r>
      <w:r w:rsidR="00E52426" w:rsidRPr="00340BB7">
        <w:rPr>
          <w:lang w:val="en-GB"/>
        </w:rPr>
        <w:t xml:space="preserve"> the </w:t>
      </w:r>
      <w:r w:rsidR="00FD4EC3">
        <w:rPr>
          <w:lang w:val="en-GB"/>
        </w:rPr>
        <w:t>i</w:t>
      </w:r>
      <w:r w:rsidR="00E52426" w:rsidRPr="00340BB7">
        <w:rPr>
          <w:lang w:val="en-GB"/>
        </w:rPr>
        <w:t xml:space="preserve">mmigration </w:t>
      </w:r>
      <w:r w:rsidR="00FD4EC3">
        <w:rPr>
          <w:lang w:val="en-GB"/>
        </w:rPr>
        <w:t>s</w:t>
      </w:r>
      <w:r w:rsidR="00E52426" w:rsidRPr="00340BB7">
        <w:rPr>
          <w:lang w:val="en-GB"/>
        </w:rPr>
        <w:t xml:space="preserve">ervice </w:t>
      </w:r>
      <w:r w:rsidR="00FD4EC3">
        <w:rPr>
          <w:lang w:val="en-GB"/>
        </w:rPr>
        <w:t xml:space="preserve">nor </w:t>
      </w:r>
      <w:r w:rsidR="00E52426" w:rsidRPr="00340BB7">
        <w:rPr>
          <w:lang w:val="en-GB"/>
        </w:rPr>
        <w:t xml:space="preserve">the </w:t>
      </w:r>
      <w:r w:rsidR="00FD4EC3">
        <w:rPr>
          <w:lang w:val="en-GB"/>
        </w:rPr>
        <w:t>r</w:t>
      </w:r>
      <w:r w:rsidR="00E52426" w:rsidRPr="00340BB7">
        <w:rPr>
          <w:lang w:val="en-GB"/>
        </w:rPr>
        <w:t xml:space="preserve">efugee </w:t>
      </w:r>
      <w:r w:rsidR="00FD4EC3">
        <w:rPr>
          <w:lang w:val="en-GB"/>
        </w:rPr>
        <w:t>a</w:t>
      </w:r>
      <w:r w:rsidR="00E52426" w:rsidRPr="00340BB7">
        <w:rPr>
          <w:lang w:val="en-GB"/>
        </w:rPr>
        <w:t xml:space="preserve">ppeals </w:t>
      </w:r>
      <w:r w:rsidR="00FD4EC3">
        <w:rPr>
          <w:lang w:val="en-GB"/>
        </w:rPr>
        <w:t>b</w:t>
      </w:r>
      <w:r w:rsidR="00E52426" w:rsidRPr="00340BB7">
        <w:rPr>
          <w:lang w:val="en-GB"/>
        </w:rPr>
        <w:t xml:space="preserve">oard have approved the deportation to Italy or given the Italian </w:t>
      </w:r>
      <w:r w:rsidR="00FD4EC3">
        <w:rPr>
          <w:lang w:val="en-GB"/>
        </w:rPr>
        <w:t>i</w:t>
      </w:r>
      <w:r w:rsidR="00E52426" w:rsidRPr="00340BB7">
        <w:rPr>
          <w:lang w:val="en-GB"/>
        </w:rPr>
        <w:t xml:space="preserve">mmigration </w:t>
      </w:r>
      <w:r w:rsidR="00FD4EC3">
        <w:rPr>
          <w:lang w:val="en-GB"/>
        </w:rPr>
        <w:t>a</w:t>
      </w:r>
      <w:r w:rsidR="00E52426" w:rsidRPr="00340BB7">
        <w:rPr>
          <w:lang w:val="en-GB"/>
        </w:rPr>
        <w:t xml:space="preserve">uthorities prior notice of the deportation in order to secure basic reception facilities upon arrival. </w:t>
      </w:r>
    </w:p>
    <w:p w:rsidR="00E52426" w:rsidRPr="00340BB7" w:rsidRDefault="003F2728" w:rsidP="00CD2B9D">
      <w:pPr>
        <w:pStyle w:val="SingleTxtG"/>
        <w:rPr>
          <w:lang w:val="en-GB"/>
        </w:rPr>
      </w:pPr>
      <w:r w:rsidRPr="00340BB7">
        <w:rPr>
          <w:lang w:val="en-GB"/>
        </w:rPr>
        <w:t>5.4</w:t>
      </w:r>
      <w:r w:rsidRPr="00340BB7">
        <w:rPr>
          <w:lang w:val="en-GB"/>
        </w:rPr>
        <w:tab/>
        <w:t xml:space="preserve">With respect to </w:t>
      </w:r>
      <w:r w:rsidR="00E52426" w:rsidRPr="00340BB7">
        <w:rPr>
          <w:lang w:val="en-GB"/>
        </w:rPr>
        <w:t>exhaustion of national remedies</w:t>
      </w:r>
      <w:r w:rsidRPr="00340BB7">
        <w:rPr>
          <w:lang w:val="en-GB"/>
        </w:rPr>
        <w:t>, the author stresses that</w:t>
      </w:r>
      <w:r w:rsidR="00FD4EC3">
        <w:rPr>
          <w:lang w:val="en-GB"/>
        </w:rPr>
        <w:t>,</w:t>
      </w:r>
      <w:r w:rsidRPr="00340BB7">
        <w:rPr>
          <w:lang w:val="en-GB"/>
        </w:rPr>
        <w:t xml:space="preserve"> as </w:t>
      </w:r>
      <w:r w:rsidR="00E52426" w:rsidRPr="00340BB7">
        <w:rPr>
          <w:lang w:val="en-GB"/>
        </w:rPr>
        <w:t>an uneducated Somali woman</w:t>
      </w:r>
      <w:r w:rsidRPr="00340BB7">
        <w:rPr>
          <w:lang w:val="en-GB"/>
        </w:rPr>
        <w:t xml:space="preserve">, she </w:t>
      </w:r>
      <w:r w:rsidR="00E52426" w:rsidRPr="00340BB7">
        <w:rPr>
          <w:lang w:val="en-GB"/>
        </w:rPr>
        <w:t xml:space="preserve">has not in verbal or written form explicitly expressed her claim </w:t>
      </w:r>
      <w:r w:rsidRPr="00340BB7">
        <w:rPr>
          <w:lang w:val="en-GB"/>
        </w:rPr>
        <w:t xml:space="preserve">regarding article 7 of the </w:t>
      </w:r>
      <w:r w:rsidR="00FD4EC3">
        <w:rPr>
          <w:lang w:val="en-GB"/>
        </w:rPr>
        <w:t>Covenant</w:t>
      </w:r>
      <w:r w:rsidRPr="00340BB7">
        <w:rPr>
          <w:lang w:val="en-GB"/>
        </w:rPr>
        <w:t>. This</w:t>
      </w:r>
      <w:r w:rsidR="006A6215">
        <w:rPr>
          <w:lang w:val="en-GB"/>
        </w:rPr>
        <w:t>,</w:t>
      </w:r>
      <w:r w:rsidRPr="00340BB7">
        <w:rPr>
          <w:lang w:val="en-GB"/>
        </w:rPr>
        <w:t xml:space="preserve"> however</w:t>
      </w:r>
      <w:r w:rsidR="006A6215">
        <w:rPr>
          <w:lang w:val="en-GB"/>
        </w:rPr>
        <w:t>,</w:t>
      </w:r>
      <w:r w:rsidR="00E52426" w:rsidRPr="00340BB7">
        <w:rPr>
          <w:lang w:val="en-GB"/>
        </w:rPr>
        <w:t xml:space="preserve"> does not exempt the Danish authorities from their general responsibility and international obligations. The </w:t>
      </w:r>
      <w:r w:rsidRPr="00340BB7">
        <w:rPr>
          <w:lang w:val="en-GB"/>
        </w:rPr>
        <w:t xml:space="preserve">author </w:t>
      </w:r>
      <w:r w:rsidR="006A6215" w:rsidRPr="00340BB7">
        <w:rPr>
          <w:lang w:val="en-GB"/>
        </w:rPr>
        <w:t>ha</w:t>
      </w:r>
      <w:r w:rsidR="006A6215">
        <w:rPr>
          <w:lang w:val="en-GB"/>
        </w:rPr>
        <w:t>d</w:t>
      </w:r>
      <w:r w:rsidR="006A6215" w:rsidRPr="00340BB7">
        <w:rPr>
          <w:lang w:val="en-GB"/>
        </w:rPr>
        <w:t xml:space="preserve"> </w:t>
      </w:r>
      <w:r w:rsidR="00E52426" w:rsidRPr="00340BB7">
        <w:rPr>
          <w:lang w:val="en-GB"/>
        </w:rPr>
        <w:t xml:space="preserve">left Italy </w:t>
      </w:r>
      <w:r w:rsidR="006A6215">
        <w:rPr>
          <w:lang w:val="en-GB"/>
        </w:rPr>
        <w:t xml:space="preserve">owing </w:t>
      </w:r>
      <w:r w:rsidR="00E52426" w:rsidRPr="00340BB7">
        <w:rPr>
          <w:lang w:val="en-GB"/>
        </w:rPr>
        <w:t xml:space="preserve">to urgent humanitarian reasons and </w:t>
      </w:r>
      <w:r w:rsidR="006A6215">
        <w:rPr>
          <w:lang w:val="en-GB"/>
        </w:rPr>
        <w:t xml:space="preserve">had </w:t>
      </w:r>
      <w:r w:rsidR="00E52426" w:rsidRPr="00340BB7">
        <w:rPr>
          <w:lang w:val="en-GB"/>
        </w:rPr>
        <w:t>applied for asylum in Denmark</w:t>
      </w:r>
      <w:r w:rsidRPr="00340BB7">
        <w:rPr>
          <w:lang w:val="en-GB"/>
        </w:rPr>
        <w:t xml:space="preserve">. She </w:t>
      </w:r>
      <w:r w:rsidR="006A6215" w:rsidRPr="00340BB7">
        <w:rPr>
          <w:lang w:val="en-GB"/>
        </w:rPr>
        <w:t>ha</w:t>
      </w:r>
      <w:r w:rsidR="006A6215">
        <w:rPr>
          <w:lang w:val="en-GB"/>
        </w:rPr>
        <w:t>d</w:t>
      </w:r>
      <w:r w:rsidRPr="00340BB7">
        <w:rPr>
          <w:lang w:val="en-GB"/>
        </w:rPr>
        <w:t>, in</w:t>
      </w:r>
      <w:r w:rsidR="00E52426" w:rsidRPr="00340BB7">
        <w:rPr>
          <w:lang w:val="en-GB"/>
        </w:rPr>
        <w:t xml:space="preserve"> her own practical terms</w:t>
      </w:r>
      <w:r w:rsidRPr="00340BB7">
        <w:rPr>
          <w:lang w:val="en-GB"/>
        </w:rPr>
        <w:t>,</w:t>
      </w:r>
      <w:r w:rsidR="00E52426" w:rsidRPr="00340BB7">
        <w:rPr>
          <w:lang w:val="en-GB"/>
        </w:rPr>
        <w:t xml:space="preserve"> described her problems in Italy to the Danish </w:t>
      </w:r>
      <w:r w:rsidR="006A6215">
        <w:rPr>
          <w:lang w:val="en-GB"/>
        </w:rPr>
        <w:t>i</w:t>
      </w:r>
      <w:r w:rsidR="00E52426" w:rsidRPr="00340BB7">
        <w:rPr>
          <w:lang w:val="en-GB"/>
        </w:rPr>
        <w:t xml:space="preserve">mmigration </w:t>
      </w:r>
      <w:r w:rsidR="006A6215">
        <w:rPr>
          <w:lang w:val="en-GB"/>
        </w:rPr>
        <w:t>s</w:t>
      </w:r>
      <w:r w:rsidR="00E52426" w:rsidRPr="00340BB7">
        <w:rPr>
          <w:lang w:val="en-GB"/>
        </w:rPr>
        <w:t xml:space="preserve">ervice and </w:t>
      </w:r>
      <w:r w:rsidR="006A6215">
        <w:rPr>
          <w:lang w:val="en-GB"/>
        </w:rPr>
        <w:t>t</w:t>
      </w:r>
      <w:r w:rsidR="00E52426" w:rsidRPr="00340BB7">
        <w:rPr>
          <w:lang w:val="en-GB"/>
        </w:rPr>
        <w:t xml:space="preserve">he Danish </w:t>
      </w:r>
      <w:r w:rsidR="006A6215">
        <w:rPr>
          <w:lang w:val="en-GB"/>
        </w:rPr>
        <w:t>r</w:t>
      </w:r>
      <w:r w:rsidR="00E52426" w:rsidRPr="00340BB7">
        <w:rPr>
          <w:lang w:val="en-GB"/>
        </w:rPr>
        <w:t xml:space="preserve">efugee </w:t>
      </w:r>
      <w:r w:rsidR="006A6215">
        <w:rPr>
          <w:lang w:val="en-GB"/>
        </w:rPr>
        <w:t>a</w:t>
      </w:r>
      <w:r w:rsidR="00E52426" w:rsidRPr="00340BB7">
        <w:rPr>
          <w:lang w:val="en-GB"/>
        </w:rPr>
        <w:t xml:space="preserve">ppeals </w:t>
      </w:r>
      <w:r w:rsidR="006A6215">
        <w:rPr>
          <w:lang w:val="en-GB"/>
        </w:rPr>
        <w:t>b</w:t>
      </w:r>
      <w:r w:rsidR="00E52426" w:rsidRPr="00340BB7">
        <w:rPr>
          <w:lang w:val="en-GB"/>
        </w:rPr>
        <w:t>oard.</w:t>
      </w:r>
      <w:r w:rsidR="00237314" w:rsidRPr="00340BB7">
        <w:rPr>
          <w:lang w:val="en-GB"/>
        </w:rPr>
        <w:t xml:space="preserve"> </w:t>
      </w:r>
      <w:r w:rsidRPr="00340BB7">
        <w:rPr>
          <w:lang w:val="en-GB"/>
        </w:rPr>
        <w:t xml:space="preserve">It was </w:t>
      </w:r>
      <w:r w:rsidR="006A6215">
        <w:rPr>
          <w:lang w:val="en-GB"/>
        </w:rPr>
        <w:t xml:space="preserve">then </w:t>
      </w:r>
      <w:r w:rsidRPr="00340BB7">
        <w:rPr>
          <w:lang w:val="en-GB"/>
        </w:rPr>
        <w:t>incumbent on</w:t>
      </w:r>
      <w:r w:rsidR="00E52426" w:rsidRPr="00340BB7">
        <w:rPr>
          <w:lang w:val="en-GB"/>
        </w:rPr>
        <w:t xml:space="preserve"> the </w:t>
      </w:r>
      <w:r w:rsidR="006A4D0F">
        <w:rPr>
          <w:lang w:val="en-GB"/>
        </w:rPr>
        <w:t>b</w:t>
      </w:r>
      <w:r w:rsidR="00E52426" w:rsidRPr="00340BB7">
        <w:rPr>
          <w:lang w:val="en-GB"/>
        </w:rPr>
        <w:t xml:space="preserve">oard to make sure that the deportation to Italy </w:t>
      </w:r>
      <w:r w:rsidR="00351E38" w:rsidRPr="00340BB7">
        <w:rPr>
          <w:lang w:val="en-GB"/>
        </w:rPr>
        <w:t>would</w:t>
      </w:r>
      <w:r w:rsidR="00E52426" w:rsidRPr="00340BB7">
        <w:rPr>
          <w:lang w:val="en-GB"/>
        </w:rPr>
        <w:t xml:space="preserve"> not violate the international obligations of Denmark</w:t>
      </w:r>
      <w:r w:rsidR="006A4D0F">
        <w:rPr>
          <w:lang w:val="en-GB"/>
        </w:rPr>
        <w:t>,</w:t>
      </w:r>
      <w:r w:rsidR="00E52426" w:rsidRPr="00340BB7">
        <w:rPr>
          <w:lang w:val="en-GB"/>
        </w:rPr>
        <w:t xml:space="preserve"> regardless of whether the applicant explicitly invokes </w:t>
      </w:r>
      <w:r w:rsidR="00351E38" w:rsidRPr="00340BB7">
        <w:rPr>
          <w:lang w:val="en-GB"/>
        </w:rPr>
        <w:t>the relevant legal provisions.</w:t>
      </w:r>
    </w:p>
    <w:p w:rsidR="00E52426" w:rsidRPr="00340BB7" w:rsidRDefault="00237314" w:rsidP="00CD2B9D">
      <w:pPr>
        <w:pStyle w:val="SingleTxtG"/>
        <w:rPr>
          <w:lang w:val="en-GB"/>
        </w:rPr>
      </w:pPr>
      <w:r w:rsidRPr="00340BB7">
        <w:rPr>
          <w:lang w:val="en-GB"/>
        </w:rPr>
        <w:t>5.5</w:t>
      </w:r>
      <w:r w:rsidR="009A36E1" w:rsidRPr="00340BB7">
        <w:rPr>
          <w:lang w:val="en-GB"/>
        </w:rPr>
        <w:tab/>
      </w:r>
      <w:r w:rsidR="00351E38" w:rsidRPr="00340BB7">
        <w:rPr>
          <w:lang w:val="en-GB"/>
        </w:rPr>
        <w:t xml:space="preserve">With respect to the </w:t>
      </w:r>
      <w:r w:rsidR="00E52426" w:rsidRPr="00340BB7">
        <w:rPr>
          <w:lang w:val="en-GB"/>
        </w:rPr>
        <w:t>case</w:t>
      </w:r>
      <w:r w:rsidR="00CF1A98">
        <w:rPr>
          <w:lang w:val="en-GB"/>
        </w:rPr>
        <w:t> </w:t>
      </w:r>
      <w:r w:rsidR="00E52426" w:rsidRPr="00340BB7">
        <w:rPr>
          <w:lang w:val="en-GB"/>
        </w:rPr>
        <w:t xml:space="preserve">law from the European Court of Human Rights </w:t>
      </w:r>
      <w:r w:rsidR="00351E38" w:rsidRPr="00340BB7">
        <w:rPr>
          <w:lang w:val="en-GB"/>
        </w:rPr>
        <w:t xml:space="preserve">adduced by the State party, the author stresses that </w:t>
      </w:r>
      <w:r w:rsidR="00CF1A98">
        <w:rPr>
          <w:lang w:val="en-GB"/>
        </w:rPr>
        <w:t xml:space="preserve">the </w:t>
      </w:r>
      <w:r w:rsidR="00CF1A98" w:rsidRPr="00340BB7">
        <w:rPr>
          <w:lang w:val="en-GB"/>
        </w:rPr>
        <w:t xml:space="preserve">decision </w:t>
      </w:r>
      <w:r w:rsidR="00351E38" w:rsidRPr="00340BB7">
        <w:rPr>
          <w:lang w:val="en-GB"/>
        </w:rPr>
        <w:t xml:space="preserve">in </w:t>
      </w:r>
      <w:r w:rsidR="00E52426" w:rsidRPr="00340BB7">
        <w:rPr>
          <w:i/>
          <w:lang w:val="en-GB"/>
        </w:rPr>
        <w:t xml:space="preserve">Samsam Mohammed Hussein </w:t>
      </w:r>
      <w:r w:rsidR="00351E38" w:rsidRPr="00340BB7">
        <w:rPr>
          <w:lang w:val="en-GB"/>
        </w:rPr>
        <w:t xml:space="preserve">that a return to Italy would not constitute a breach of </w:t>
      </w:r>
      <w:r w:rsidR="00CF1A98">
        <w:rPr>
          <w:lang w:val="en-GB"/>
        </w:rPr>
        <w:t>a</w:t>
      </w:r>
      <w:r w:rsidR="00351E38" w:rsidRPr="00340BB7">
        <w:rPr>
          <w:lang w:val="en-GB"/>
        </w:rPr>
        <w:t xml:space="preserve">rticle 3 of the </w:t>
      </w:r>
      <w:r w:rsidR="00CF1A98" w:rsidRPr="00340BB7">
        <w:rPr>
          <w:lang w:val="en-GB"/>
        </w:rPr>
        <w:t xml:space="preserve">Convention </w:t>
      </w:r>
      <w:r w:rsidR="00CF1A98">
        <w:rPr>
          <w:lang w:val="en-GB"/>
        </w:rPr>
        <w:t xml:space="preserve">for the Protection of </w:t>
      </w:r>
      <w:r w:rsidR="00351E38" w:rsidRPr="00340BB7">
        <w:rPr>
          <w:lang w:val="en-GB"/>
        </w:rPr>
        <w:t xml:space="preserve">Human Rights </w:t>
      </w:r>
      <w:r w:rsidR="00CF1A98">
        <w:rPr>
          <w:lang w:val="en-GB"/>
        </w:rPr>
        <w:t xml:space="preserve">and Fundamental Freedoms </w:t>
      </w:r>
      <w:r w:rsidR="00351E38" w:rsidRPr="00340BB7">
        <w:rPr>
          <w:lang w:val="en-GB"/>
        </w:rPr>
        <w:t>wa</w:t>
      </w:r>
      <w:r w:rsidR="00E52426" w:rsidRPr="00340BB7">
        <w:rPr>
          <w:lang w:val="en-GB"/>
        </w:rPr>
        <w:t xml:space="preserve">s </w:t>
      </w:r>
      <w:r w:rsidR="00CF1A98">
        <w:rPr>
          <w:lang w:val="en-GB"/>
        </w:rPr>
        <w:t xml:space="preserve">made </w:t>
      </w:r>
      <w:r w:rsidR="00E52426" w:rsidRPr="00340BB7">
        <w:rPr>
          <w:lang w:val="en-GB"/>
        </w:rPr>
        <w:t xml:space="preserve">on </w:t>
      </w:r>
      <w:r w:rsidR="00351E38" w:rsidRPr="00340BB7">
        <w:rPr>
          <w:lang w:val="en-GB"/>
        </w:rPr>
        <w:t>the</w:t>
      </w:r>
      <w:r w:rsidR="00E52426" w:rsidRPr="00340BB7">
        <w:rPr>
          <w:lang w:val="en-GB"/>
        </w:rPr>
        <w:t xml:space="preserve"> assumption </w:t>
      </w:r>
      <w:r w:rsidR="00CF1A98">
        <w:rPr>
          <w:lang w:val="en-GB"/>
        </w:rPr>
        <w:t xml:space="preserve">that </w:t>
      </w:r>
      <w:r w:rsidR="00E52426" w:rsidRPr="00340BB7">
        <w:rPr>
          <w:lang w:val="en-GB"/>
        </w:rPr>
        <w:t xml:space="preserve">“the </w:t>
      </w:r>
      <w:r w:rsidR="00351E38" w:rsidRPr="00340BB7">
        <w:rPr>
          <w:lang w:val="en-GB"/>
        </w:rPr>
        <w:t>Netherlands authorities [would]</w:t>
      </w:r>
      <w:r w:rsidR="00E52426" w:rsidRPr="00340BB7">
        <w:rPr>
          <w:lang w:val="en-GB"/>
        </w:rPr>
        <w:t xml:space="preserve"> give prior notice to their Italian counterparts of the transfer of the applicant and her children, allowing the Italian authorities to prepare for their arrival” (paragraph 77). </w:t>
      </w:r>
      <w:r w:rsidR="00BE3143" w:rsidRPr="00340BB7">
        <w:rPr>
          <w:lang w:val="en-GB"/>
        </w:rPr>
        <w:t>The author referred to the</w:t>
      </w:r>
      <w:r w:rsidR="00E52426" w:rsidRPr="00340BB7">
        <w:rPr>
          <w:lang w:val="en-GB"/>
        </w:rPr>
        <w:t xml:space="preserve"> Grand Chamber of the European Court of Human Rights </w:t>
      </w:r>
      <w:r w:rsidR="00BE3143" w:rsidRPr="00340BB7">
        <w:rPr>
          <w:lang w:val="en-GB"/>
        </w:rPr>
        <w:t>decision of</w:t>
      </w:r>
      <w:r w:rsidR="00E52426" w:rsidRPr="00340BB7">
        <w:rPr>
          <w:lang w:val="en-GB"/>
        </w:rPr>
        <w:t xml:space="preserve"> </w:t>
      </w:r>
      <w:r w:rsidR="00BE3143" w:rsidRPr="00340BB7">
        <w:rPr>
          <w:lang w:val="en-GB"/>
        </w:rPr>
        <w:t xml:space="preserve">4 </w:t>
      </w:r>
      <w:r w:rsidR="00E52426" w:rsidRPr="00340BB7">
        <w:rPr>
          <w:lang w:val="en-GB"/>
        </w:rPr>
        <w:t xml:space="preserve">November 2014 in </w:t>
      </w:r>
      <w:r w:rsidR="00E52426" w:rsidRPr="00340BB7">
        <w:rPr>
          <w:i/>
          <w:lang w:val="en-GB"/>
        </w:rPr>
        <w:t>Tarakhel</w:t>
      </w:r>
      <w:r w:rsidR="00E52426" w:rsidRPr="003B65B0">
        <w:rPr>
          <w:i/>
          <w:iCs/>
          <w:lang w:val="en-GB"/>
        </w:rPr>
        <w:t xml:space="preserve"> v. </w:t>
      </w:r>
      <w:r w:rsidR="00E52426" w:rsidRPr="00340BB7">
        <w:rPr>
          <w:i/>
          <w:lang w:val="en-GB"/>
        </w:rPr>
        <w:t>Switzerland</w:t>
      </w:r>
      <w:r w:rsidR="00E52426" w:rsidRPr="00340BB7">
        <w:rPr>
          <w:lang w:val="en-GB"/>
        </w:rPr>
        <w:t xml:space="preserve"> regarding an asylum seeking family with six minor children, who were to be transferred to Italy from Switzerland in accordance with the Dublin Regulation. </w:t>
      </w:r>
      <w:r w:rsidR="00BE3143" w:rsidRPr="00340BB7">
        <w:rPr>
          <w:lang w:val="en-GB"/>
        </w:rPr>
        <w:t>T</w:t>
      </w:r>
      <w:r w:rsidR="00E52426" w:rsidRPr="00340BB7">
        <w:rPr>
          <w:lang w:val="en-GB"/>
        </w:rPr>
        <w:t xml:space="preserve">he living conditions and difficulties in finding shelter for asylum seekers and beneficiaries of international protection in Italy </w:t>
      </w:r>
      <w:r w:rsidR="00BE3143" w:rsidRPr="00340BB7">
        <w:rPr>
          <w:lang w:val="en-GB"/>
        </w:rPr>
        <w:t>is</w:t>
      </w:r>
      <w:r w:rsidR="00E52426" w:rsidRPr="00340BB7">
        <w:rPr>
          <w:lang w:val="en-GB"/>
        </w:rPr>
        <w:t xml:space="preserve"> relevant to the present case. </w:t>
      </w:r>
      <w:r w:rsidR="00BE3143" w:rsidRPr="00340BB7">
        <w:rPr>
          <w:lang w:val="en-GB"/>
        </w:rPr>
        <w:t>T</w:t>
      </w:r>
      <w:r w:rsidR="00E52426" w:rsidRPr="00340BB7">
        <w:rPr>
          <w:lang w:val="en-GB"/>
        </w:rPr>
        <w:t xml:space="preserve">he Court found that, even though the current situation in Italy </w:t>
      </w:r>
      <w:r w:rsidR="00CF1A98">
        <w:rPr>
          <w:lang w:val="en-GB"/>
        </w:rPr>
        <w:t xml:space="preserve">could not </w:t>
      </w:r>
      <w:r w:rsidR="00E52426" w:rsidRPr="00340BB7">
        <w:rPr>
          <w:lang w:val="en-GB"/>
        </w:rPr>
        <w:t>be compared to the situation in Greece at the time of the judg</w:t>
      </w:r>
      <w:r w:rsidR="006D0E00">
        <w:rPr>
          <w:lang w:val="en-GB"/>
        </w:rPr>
        <w:t>e</w:t>
      </w:r>
      <w:r w:rsidR="00E52426" w:rsidRPr="00340BB7">
        <w:rPr>
          <w:lang w:val="en-GB"/>
        </w:rPr>
        <w:t xml:space="preserve">ment in </w:t>
      </w:r>
      <w:r w:rsidR="00E52426" w:rsidRPr="00340BB7">
        <w:rPr>
          <w:i/>
          <w:lang w:val="en-GB"/>
        </w:rPr>
        <w:t>M.S.S.</w:t>
      </w:r>
      <w:r w:rsidR="00E52426" w:rsidRPr="003822BA">
        <w:rPr>
          <w:i/>
          <w:iCs/>
          <w:lang w:val="en-GB"/>
        </w:rPr>
        <w:t xml:space="preserve"> v. </w:t>
      </w:r>
      <w:r w:rsidR="00E52426" w:rsidRPr="00340BB7">
        <w:rPr>
          <w:i/>
          <w:lang w:val="en-GB"/>
        </w:rPr>
        <w:t>Belgium and Greece</w:t>
      </w:r>
      <w:r w:rsidR="00E52426" w:rsidRPr="00340BB7">
        <w:rPr>
          <w:lang w:val="en-GB"/>
        </w:rPr>
        <w:t>, a similar approach should be adopted</w:t>
      </w:r>
      <w:r w:rsidR="00BE3143" w:rsidRPr="00340BB7">
        <w:rPr>
          <w:lang w:val="en-GB"/>
        </w:rPr>
        <w:t xml:space="preserve">, </w:t>
      </w:r>
      <w:r w:rsidR="00CF1A98">
        <w:rPr>
          <w:lang w:val="en-GB"/>
        </w:rPr>
        <w:t>namely,</w:t>
      </w:r>
      <w:r w:rsidR="00BE3143" w:rsidRPr="00340BB7">
        <w:rPr>
          <w:lang w:val="en-GB"/>
        </w:rPr>
        <w:t xml:space="preserve"> t</w:t>
      </w:r>
      <w:r w:rsidR="00E52426" w:rsidRPr="00340BB7">
        <w:rPr>
          <w:lang w:val="en-GB"/>
        </w:rPr>
        <w:t>o examine “the applicant’s individual situation in the light of the overall situation prevailing in Greece at the relevant time” (</w:t>
      </w:r>
      <w:r w:rsidR="00CF1A98">
        <w:rPr>
          <w:lang w:val="en-GB"/>
        </w:rPr>
        <w:t>para.</w:t>
      </w:r>
      <w:r w:rsidR="00E52426" w:rsidRPr="00340BB7">
        <w:rPr>
          <w:lang w:val="en-GB"/>
        </w:rPr>
        <w:t xml:space="preserve"> 101).</w:t>
      </w:r>
    </w:p>
    <w:p w:rsidR="00E52426" w:rsidRPr="00340BB7" w:rsidRDefault="009A36E1" w:rsidP="00CD2B9D">
      <w:pPr>
        <w:pStyle w:val="SingleTxtG"/>
        <w:rPr>
          <w:lang w:val="en-GB"/>
        </w:rPr>
      </w:pPr>
      <w:r w:rsidRPr="00340BB7">
        <w:rPr>
          <w:lang w:val="en-GB"/>
        </w:rPr>
        <w:t>5.6</w:t>
      </w:r>
      <w:r w:rsidRPr="00340BB7">
        <w:rPr>
          <w:lang w:val="en-GB"/>
        </w:rPr>
        <w:tab/>
      </w:r>
      <w:r w:rsidR="00E52426" w:rsidRPr="00340BB7">
        <w:rPr>
          <w:lang w:val="en-GB"/>
        </w:rPr>
        <w:t>Regarding the current situation in Italy, the Court</w:t>
      </w:r>
      <w:r w:rsidR="00CF1A98">
        <w:rPr>
          <w:lang w:val="en-GB"/>
        </w:rPr>
        <w:t>,</w:t>
      </w:r>
      <w:r w:rsidR="00E52426" w:rsidRPr="00340BB7">
        <w:rPr>
          <w:lang w:val="en-GB"/>
        </w:rPr>
        <w:t xml:space="preserve"> still following the approach from the M.S.S. judg</w:t>
      </w:r>
      <w:r w:rsidR="006D0E00">
        <w:rPr>
          <w:lang w:val="en-GB"/>
        </w:rPr>
        <w:t>e</w:t>
      </w:r>
      <w:r w:rsidR="00E52426" w:rsidRPr="00340BB7">
        <w:rPr>
          <w:lang w:val="en-GB"/>
        </w:rPr>
        <w:t>ment</w:t>
      </w:r>
      <w:r w:rsidR="00CF1A98">
        <w:rPr>
          <w:lang w:val="en-GB"/>
        </w:rPr>
        <w:t>,</w:t>
      </w:r>
      <w:r w:rsidR="00E52426" w:rsidRPr="00340BB7">
        <w:rPr>
          <w:lang w:val="en-GB"/>
        </w:rPr>
        <w:t xml:space="preserve"> state</w:t>
      </w:r>
      <w:r w:rsidRPr="00340BB7">
        <w:rPr>
          <w:lang w:val="en-GB"/>
        </w:rPr>
        <w:t>d</w:t>
      </w:r>
      <w:r w:rsidR="00E52426" w:rsidRPr="00340BB7">
        <w:rPr>
          <w:lang w:val="en-GB"/>
        </w:rPr>
        <w:t xml:space="preserve"> that “the possibility that a significant number of asylum seekers may be left without accommodation or accommodated in overcrowded facilities without any privacy, or even in insalubrious or violent condi</w:t>
      </w:r>
      <w:r w:rsidRPr="00340BB7">
        <w:rPr>
          <w:lang w:val="en-GB"/>
        </w:rPr>
        <w:t xml:space="preserve">tions, [could] </w:t>
      </w:r>
      <w:r w:rsidR="00E52426" w:rsidRPr="00340BB7">
        <w:rPr>
          <w:lang w:val="en-GB"/>
        </w:rPr>
        <w:t>not be dismissed as unfounded” (</w:t>
      </w:r>
      <w:r w:rsidR="00CF1A98">
        <w:rPr>
          <w:lang w:val="en-GB"/>
        </w:rPr>
        <w:t>para. </w:t>
      </w:r>
      <w:r w:rsidR="00E52426" w:rsidRPr="00340BB7">
        <w:rPr>
          <w:lang w:val="en-GB"/>
        </w:rPr>
        <w:t>115)</w:t>
      </w:r>
      <w:r w:rsidR="005F496D" w:rsidRPr="00340BB7">
        <w:rPr>
          <w:lang w:val="en-GB"/>
        </w:rPr>
        <w:t>. The Court concluded</w:t>
      </w:r>
      <w:r w:rsidR="00E52426" w:rsidRPr="00340BB7">
        <w:rPr>
          <w:lang w:val="en-GB"/>
        </w:rPr>
        <w:t xml:space="preserve"> that</w:t>
      </w:r>
      <w:r w:rsidR="00CF1A98">
        <w:rPr>
          <w:lang w:val="en-GB"/>
        </w:rPr>
        <w:t>,</w:t>
      </w:r>
      <w:r w:rsidR="00E52426" w:rsidRPr="00340BB7">
        <w:rPr>
          <w:lang w:val="en-GB"/>
        </w:rPr>
        <w:t xml:space="preserve"> if </w:t>
      </w:r>
      <w:r w:rsidR="005F496D" w:rsidRPr="00340BB7">
        <w:rPr>
          <w:lang w:val="en-GB"/>
        </w:rPr>
        <w:t>no</w:t>
      </w:r>
      <w:r w:rsidR="00E52426" w:rsidRPr="00340BB7">
        <w:rPr>
          <w:lang w:val="en-GB"/>
        </w:rPr>
        <w:t xml:space="preserve"> proper reception facilities adapted to children </w:t>
      </w:r>
      <w:r w:rsidR="005F496D" w:rsidRPr="00340BB7">
        <w:rPr>
          <w:lang w:val="en-GB"/>
        </w:rPr>
        <w:t>were</w:t>
      </w:r>
      <w:r w:rsidR="00E52426" w:rsidRPr="00340BB7">
        <w:rPr>
          <w:lang w:val="en-GB"/>
        </w:rPr>
        <w:t xml:space="preserve"> available</w:t>
      </w:r>
      <w:r w:rsidR="005F496D" w:rsidRPr="00340BB7">
        <w:rPr>
          <w:lang w:val="en-GB"/>
        </w:rPr>
        <w:t>,</w:t>
      </w:r>
      <w:r w:rsidR="00E52426" w:rsidRPr="00340BB7">
        <w:rPr>
          <w:lang w:val="en-GB"/>
        </w:rPr>
        <w:t xml:space="preserve"> “the conditions in question would attain the threshold of severity required to come within the scope of the prohibition under </w:t>
      </w:r>
      <w:r w:rsidR="00CF1A98">
        <w:rPr>
          <w:lang w:val="en-GB"/>
        </w:rPr>
        <w:t>a</w:t>
      </w:r>
      <w:r w:rsidR="00E52426" w:rsidRPr="00340BB7">
        <w:rPr>
          <w:lang w:val="en-GB"/>
        </w:rPr>
        <w:t>rticle 3 of the Convention” (</w:t>
      </w:r>
      <w:r w:rsidR="00CF1A98">
        <w:rPr>
          <w:lang w:val="en-GB"/>
        </w:rPr>
        <w:t>para. </w:t>
      </w:r>
      <w:r w:rsidR="00E52426" w:rsidRPr="00340BB7">
        <w:rPr>
          <w:lang w:val="en-GB"/>
        </w:rPr>
        <w:t>119). Accordingly</w:t>
      </w:r>
      <w:r w:rsidR="00CF1A98">
        <w:rPr>
          <w:lang w:val="en-GB"/>
        </w:rPr>
        <w:t>,</w:t>
      </w:r>
      <w:r w:rsidR="00E52426" w:rsidRPr="00340BB7">
        <w:rPr>
          <w:lang w:val="en-GB"/>
        </w:rPr>
        <w:t xml:space="preserve"> the Court found it to be “incumbent on the Swiss authorities to obtain assurances from their Italian counterparts that</w:t>
      </w:r>
      <w:r w:rsidR="00F9075D">
        <w:rPr>
          <w:lang w:val="en-GB"/>
        </w:rPr>
        <w:t>,</w:t>
      </w:r>
      <w:r w:rsidR="00E52426" w:rsidRPr="00340BB7">
        <w:rPr>
          <w:lang w:val="en-GB"/>
        </w:rPr>
        <w:t xml:space="preserve"> on their arrival in Italy</w:t>
      </w:r>
      <w:r w:rsidR="00F9075D">
        <w:rPr>
          <w:lang w:val="en-GB"/>
        </w:rPr>
        <w:t>,</w:t>
      </w:r>
      <w:r w:rsidR="00E52426" w:rsidRPr="00340BB7">
        <w:rPr>
          <w:lang w:val="en-GB"/>
        </w:rPr>
        <w:t xml:space="preserve"> the applicants will be received in facilities and in conditions adap</w:t>
      </w:r>
      <w:r w:rsidR="00672548" w:rsidRPr="00340BB7">
        <w:rPr>
          <w:lang w:val="en-GB"/>
        </w:rPr>
        <w:t>ted to the age of the children” (</w:t>
      </w:r>
      <w:r w:rsidR="00F9075D">
        <w:rPr>
          <w:lang w:val="en-GB"/>
        </w:rPr>
        <w:t xml:space="preserve">para. </w:t>
      </w:r>
      <w:r w:rsidR="00E52426" w:rsidRPr="00340BB7">
        <w:rPr>
          <w:lang w:val="en-GB"/>
        </w:rPr>
        <w:t>120).</w:t>
      </w:r>
    </w:p>
    <w:p w:rsidR="00E52426" w:rsidRPr="00340BB7" w:rsidRDefault="005F496D" w:rsidP="00CD2B9D">
      <w:pPr>
        <w:pStyle w:val="SingleTxtG"/>
        <w:rPr>
          <w:lang w:val="en-GB"/>
        </w:rPr>
      </w:pPr>
      <w:r w:rsidRPr="00340BB7">
        <w:rPr>
          <w:lang w:val="en-GB"/>
        </w:rPr>
        <w:t>5.7</w:t>
      </w:r>
      <w:r w:rsidRPr="00340BB7">
        <w:rPr>
          <w:lang w:val="en-GB"/>
        </w:rPr>
        <w:tab/>
        <w:t>The author submits that the</w:t>
      </w:r>
      <w:r w:rsidR="00E52426" w:rsidRPr="00340BB7">
        <w:rPr>
          <w:lang w:val="en-GB"/>
        </w:rPr>
        <w:t xml:space="preserve"> </w:t>
      </w:r>
      <w:r w:rsidR="00E52426" w:rsidRPr="00340BB7">
        <w:rPr>
          <w:i/>
          <w:lang w:val="en-GB"/>
        </w:rPr>
        <w:t>Tarakhel</w:t>
      </w:r>
      <w:r w:rsidRPr="00340BB7">
        <w:rPr>
          <w:lang w:val="en-GB"/>
        </w:rPr>
        <w:t xml:space="preserve"> </w:t>
      </w:r>
      <w:r w:rsidR="00E52426" w:rsidRPr="00340BB7">
        <w:rPr>
          <w:lang w:val="en-GB"/>
        </w:rPr>
        <w:t>decision</w:t>
      </w:r>
      <w:r w:rsidRPr="00340BB7">
        <w:rPr>
          <w:lang w:val="en-GB"/>
        </w:rPr>
        <w:t xml:space="preserve"> is</w:t>
      </w:r>
      <w:r w:rsidR="00E52426" w:rsidRPr="00340BB7">
        <w:rPr>
          <w:lang w:val="en-GB"/>
        </w:rPr>
        <w:t xml:space="preserve"> relevant to </w:t>
      </w:r>
      <w:r w:rsidRPr="00340BB7">
        <w:rPr>
          <w:lang w:val="en-GB"/>
        </w:rPr>
        <w:t>her case</w:t>
      </w:r>
      <w:r w:rsidR="00E52426" w:rsidRPr="00340BB7">
        <w:rPr>
          <w:lang w:val="en-GB"/>
        </w:rPr>
        <w:t xml:space="preserve">, as the living conditions for asylum seekers and beneficiaries of international protection must be regarded as similar. Furthermore the Court’s reasoning regarding </w:t>
      </w:r>
      <w:r w:rsidR="00CF1A98">
        <w:rPr>
          <w:lang w:val="en-GB"/>
        </w:rPr>
        <w:t>a</w:t>
      </w:r>
      <w:r w:rsidR="00E52426" w:rsidRPr="00340BB7">
        <w:rPr>
          <w:lang w:val="en-GB"/>
        </w:rPr>
        <w:t>rticle 3</w:t>
      </w:r>
      <w:r w:rsidRPr="00340BB7">
        <w:rPr>
          <w:lang w:val="en-GB"/>
        </w:rPr>
        <w:t xml:space="preserve"> </w:t>
      </w:r>
      <w:r w:rsidR="00F9075D">
        <w:rPr>
          <w:lang w:val="en-GB"/>
        </w:rPr>
        <w:t xml:space="preserve">of the European </w:t>
      </w:r>
      <w:r w:rsidR="00F9075D" w:rsidRPr="00340BB7">
        <w:rPr>
          <w:lang w:val="en-GB"/>
        </w:rPr>
        <w:t xml:space="preserve">Convention </w:t>
      </w:r>
      <w:r w:rsidR="00F9075D">
        <w:rPr>
          <w:lang w:val="en-GB"/>
        </w:rPr>
        <w:t xml:space="preserve">on </w:t>
      </w:r>
      <w:r w:rsidR="00F9075D" w:rsidRPr="00340BB7">
        <w:rPr>
          <w:lang w:val="en-GB"/>
        </w:rPr>
        <w:t xml:space="preserve">Human Rights </w:t>
      </w:r>
      <w:r w:rsidR="00E52426" w:rsidRPr="00340BB7">
        <w:rPr>
          <w:lang w:val="en-GB"/>
        </w:rPr>
        <w:t>can be regarded as corresponding to article 7</w:t>
      </w:r>
      <w:r w:rsidR="00F9075D">
        <w:rPr>
          <w:lang w:val="en-GB"/>
        </w:rPr>
        <w:t xml:space="preserve"> of the Covenant</w:t>
      </w:r>
      <w:r w:rsidR="00E52426" w:rsidRPr="00340BB7">
        <w:rPr>
          <w:lang w:val="en-GB"/>
        </w:rPr>
        <w:t>.</w:t>
      </w:r>
      <w:r w:rsidR="00237314" w:rsidRPr="00340BB7">
        <w:rPr>
          <w:lang w:val="en-GB"/>
        </w:rPr>
        <w:t xml:space="preserve"> </w:t>
      </w:r>
      <w:r w:rsidRPr="00340BB7">
        <w:rPr>
          <w:lang w:val="en-GB"/>
        </w:rPr>
        <w:t>According to the author, t</w:t>
      </w:r>
      <w:r w:rsidR="00E52426" w:rsidRPr="00340BB7">
        <w:rPr>
          <w:lang w:val="en-GB"/>
        </w:rPr>
        <w:t xml:space="preserve">he </w:t>
      </w:r>
      <w:r w:rsidR="00E52426" w:rsidRPr="00340BB7">
        <w:rPr>
          <w:i/>
          <w:lang w:val="en-GB"/>
        </w:rPr>
        <w:t>Tarakhel</w:t>
      </w:r>
      <w:r w:rsidRPr="00340BB7">
        <w:rPr>
          <w:lang w:val="en-GB"/>
        </w:rPr>
        <w:t xml:space="preserve"> </w:t>
      </w:r>
      <w:r w:rsidR="00E52426" w:rsidRPr="00340BB7">
        <w:rPr>
          <w:lang w:val="en-GB"/>
        </w:rPr>
        <w:t xml:space="preserve">decision seems to indicate that the assumption premise laid out in the </w:t>
      </w:r>
      <w:r w:rsidR="00E52426" w:rsidRPr="00340BB7">
        <w:rPr>
          <w:i/>
          <w:lang w:val="en-GB"/>
        </w:rPr>
        <w:t>Hussein</w:t>
      </w:r>
      <w:r w:rsidRPr="00340BB7">
        <w:rPr>
          <w:lang w:val="en-GB"/>
        </w:rPr>
        <w:t xml:space="preserve"> </w:t>
      </w:r>
      <w:r w:rsidR="00E52426" w:rsidRPr="00340BB7">
        <w:rPr>
          <w:lang w:val="en-GB"/>
        </w:rPr>
        <w:t>decision can no longer be regarded as sufficient. On the contrary, individual guarantees</w:t>
      </w:r>
      <w:r w:rsidRPr="00340BB7">
        <w:rPr>
          <w:lang w:val="en-GB"/>
        </w:rPr>
        <w:t>,</w:t>
      </w:r>
      <w:r w:rsidR="00E52426" w:rsidRPr="00340BB7">
        <w:rPr>
          <w:lang w:val="en-GB"/>
        </w:rPr>
        <w:t xml:space="preserve"> especially </w:t>
      </w:r>
      <w:r w:rsidR="00F9075D">
        <w:rPr>
          <w:lang w:val="en-GB"/>
        </w:rPr>
        <w:t xml:space="preserve">to secure </w:t>
      </w:r>
      <w:r w:rsidR="00E52426" w:rsidRPr="00340BB7">
        <w:rPr>
          <w:lang w:val="en-GB"/>
        </w:rPr>
        <w:t xml:space="preserve">returning children from destitution </w:t>
      </w:r>
      <w:r w:rsidR="00F9075D">
        <w:rPr>
          <w:lang w:val="en-GB"/>
        </w:rPr>
        <w:t xml:space="preserve">or </w:t>
      </w:r>
      <w:r w:rsidR="00E52426" w:rsidRPr="00340BB7">
        <w:rPr>
          <w:lang w:val="en-GB"/>
        </w:rPr>
        <w:t xml:space="preserve">harsh accommodation conditions, are required according to the Court. </w:t>
      </w:r>
    </w:p>
    <w:p w:rsidR="00E52426" w:rsidRPr="00340BB7" w:rsidRDefault="00B054B0" w:rsidP="00CD2B9D">
      <w:pPr>
        <w:pStyle w:val="SingleTxtG"/>
        <w:rPr>
          <w:lang w:val="en-GB"/>
        </w:rPr>
      </w:pPr>
      <w:r w:rsidRPr="00340BB7">
        <w:rPr>
          <w:lang w:val="en-GB"/>
        </w:rPr>
        <w:t>5.8</w:t>
      </w:r>
      <w:r w:rsidRPr="00340BB7">
        <w:rPr>
          <w:lang w:val="en-GB"/>
        </w:rPr>
        <w:tab/>
        <w:t>The author reiterates that the fact that she m</w:t>
      </w:r>
      <w:r w:rsidR="00E52426" w:rsidRPr="00340BB7">
        <w:rPr>
          <w:lang w:val="en-GB"/>
        </w:rPr>
        <w:t xml:space="preserve">ight be able to renew her residence permit in Italy does not exclude the risk </w:t>
      </w:r>
      <w:r w:rsidR="00F9075D">
        <w:rPr>
          <w:lang w:val="en-GB"/>
        </w:rPr>
        <w:t xml:space="preserve">she or </w:t>
      </w:r>
      <w:r w:rsidR="00E52426" w:rsidRPr="00340BB7">
        <w:rPr>
          <w:lang w:val="en-GB"/>
        </w:rPr>
        <w:t xml:space="preserve">her children </w:t>
      </w:r>
      <w:r w:rsidR="00F9075D">
        <w:rPr>
          <w:lang w:val="en-GB"/>
        </w:rPr>
        <w:t xml:space="preserve">could be </w:t>
      </w:r>
      <w:r w:rsidR="00E52426" w:rsidRPr="00340BB7">
        <w:rPr>
          <w:lang w:val="en-GB"/>
        </w:rPr>
        <w:t>faced with harsh living conditions</w:t>
      </w:r>
      <w:r w:rsidRPr="00340BB7">
        <w:rPr>
          <w:lang w:val="en-GB"/>
        </w:rPr>
        <w:t>,</w:t>
      </w:r>
      <w:r w:rsidR="00E52426" w:rsidRPr="00340BB7">
        <w:rPr>
          <w:lang w:val="en-GB"/>
        </w:rPr>
        <w:t xml:space="preserve"> homelessness </w:t>
      </w:r>
      <w:r w:rsidR="00F9075D">
        <w:rPr>
          <w:lang w:val="en-GB"/>
        </w:rPr>
        <w:t xml:space="preserve">or </w:t>
      </w:r>
      <w:r w:rsidR="00E52426" w:rsidRPr="00340BB7">
        <w:rPr>
          <w:lang w:val="en-GB"/>
        </w:rPr>
        <w:t xml:space="preserve">destitution </w:t>
      </w:r>
      <w:r w:rsidRPr="00340BB7">
        <w:rPr>
          <w:lang w:val="en-GB"/>
        </w:rPr>
        <w:t xml:space="preserve">in Italy, as a single mother with two minor children without access to basic shelter, </w:t>
      </w:r>
      <w:r w:rsidR="00F9075D" w:rsidRPr="00340BB7">
        <w:rPr>
          <w:lang w:val="en-GB"/>
        </w:rPr>
        <w:t>sanita</w:t>
      </w:r>
      <w:r w:rsidR="00F9075D">
        <w:rPr>
          <w:lang w:val="en-GB"/>
        </w:rPr>
        <w:t>tion</w:t>
      </w:r>
      <w:r w:rsidR="00F9075D" w:rsidRPr="00340BB7">
        <w:rPr>
          <w:lang w:val="en-GB"/>
        </w:rPr>
        <w:t xml:space="preserve"> </w:t>
      </w:r>
      <w:r w:rsidRPr="00340BB7">
        <w:rPr>
          <w:lang w:val="en-GB"/>
        </w:rPr>
        <w:t>facilities, food or sufficient medical care</w:t>
      </w:r>
      <w:r w:rsidR="00E52426" w:rsidRPr="00340BB7">
        <w:rPr>
          <w:lang w:val="en-GB"/>
        </w:rPr>
        <w:t xml:space="preserve">, </w:t>
      </w:r>
      <w:r w:rsidRPr="00340BB7">
        <w:rPr>
          <w:lang w:val="en-GB"/>
        </w:rPr>
        <w:t xml:space="preserve">in </w:t>
      </w:r>
      <w:r w:rsidR="00E52426" w:rsidRPr="00340BB7">
        <w:rPr>
          <w:lang w:val="en-GB"/>
        </w:rPr>
        <w:t xml:space="preserve">breach of article 7 of the </w:t>
      </w:r>
      <w:r w:rsidR="00F9075D">
        <w:rPr>
          <w:lang w:val="en-GB"/>
        </w:rPr>
        <w:t>Covenant</w:t>
      </w:r>
      <w:r w:rsidR="00E52426" w:rsidRPr="00340BB7">
        <w:rPr>
          <w:lang w:val="en-GB"/>
        </w:rPr>
        <w:t>.</w:t>
      </w:r>
      <w:r w:rsidRPr="00340BB7">
        <w:rPr>
          <w:lang w:val="en-GB"/>
        </w:rPr>
        <w:t xml:space="preserve"> </w:t>
      </w:r>
      <w:r w:rsidR="00E52426" w:rsidRPr="00340BB7">
        <w:rPr>
          <w:lang w:val="en-GB"/>
        </w:rPr>
        <w:t>Finally</w:t>
      </w:r>
      <w:r w:rsidR="00F9075D">
        <w:rPr>
          <w:lang w:val="en-GB"/>
        </w:rPr>
        <w:t>,</w:t>
      </w:r>
      <w:r w:rsidR="00E52426" w:rsidRPr="00340BB7">
        <w:rPr>
          <w:lang w:val="en-GB"/>
        </w:rPr>
        <w:t xml:space="preserve"> the </w:t>
      </w:r>
      <w:r w:rsidRPr="00340BB7">
        <w:rPr>
          <w:lang w:val="en-GB"/>
        </w:rPr>
        <w:t>author adds</w:t>
      </w:r>
      <w:r w:rsidR="00E52426" w:rsidRPr="00340BB7">
        <w:rPr>
          <w:lang w:val="en-GB"/>
        </w:rPr>
        <w:t xml:space="preserve"> that returning families who have already been granted international protection might face </w:t>
      </w:r>
      <w:r w:rsidR="00F9075D" w:rsidRPr="00340BB7">
        <w:rPr>
          <w:lang w:val="en-GB"/>
        </w:rPr>
        <w:t xml:space="preserve">even </w:t>
      </w:r>
      <w:r w:rsidR="00E52426" w:rsidRPr="00340BB7">
        <w:rPr>
          <w:lang w:val="en-GB"/>
        </w:rPr>
        <w:t xml:space="preserve">greater difficulties in finding shelter, access to </w:t>
      </w:r>
      <w:r w:rsidR="00F9075D" w:rsidRPr="00340BB7">
        <w:rPr>
          <w:lang w:val="en-GB"/>
        </w:rPr>
        <w:t>sanita</w:t>
      </w:r>
      <w:r w:rsidR="00F9075D">
        <w:rPr>
          <w:lang w:val="en-GB"/>
        </w:rPr>
        <w:t>tion</w:t>
      </w:r>
      <w:r w:rsidR="00F9075D" w:rsidRPr="00340BB7">
        <w:rPr>
          <w:lang w:val="en-GB"/>
        </w:rPr>
        <w:t xml:space="preserve"> </w:t>
      </w:r>
      <w:r w:rsidR="00E52426" w:rsidRPr="00340BB7">
        <w:rPr>
          <w:lang w:val="en-GB"/>
        </w:rPr>
        <w:t xml:space="preserve">facilities </w:t>
      </w:r>
      <w:r w:rsidR="00F9075D">
        <w:rPr>
          <w:lang w:val="en-GB"/>
        </w:rPr>
        <w:t xml:space="preserve">or </w:t>
      </w:r>
      <w:r w:rsidR="00E52426" w:rsidRPr="00340BB7">
        <w:rPr>
          <w:lang w:val="en-GB"/>
        </w:rPr>
        <w:t xml:space="preserve">food </w:t>
      </w:r>
      <w:r w:rsidRPr="00340BB7">
        <w:rPr>
          <w:lang w:val="en-GB"/>
        </w:rPr>
        <w:t xml:space="preserve">in Italy </w:t>
      </w:r>
      <w:r w:rsidR="00E52426" w:rsidRPr="00340BB7">
        <w:rPr>
          <w:lang w:val="en-GB"/>
        </w:rPr>
        <w:t>than returning asylum seekers</w:t>
      </w:r>
      <w:r w:rsidRPr="00340BB7">
        <w:rPr>
          <w:lang w:val="en-GB"/>
        </w:rPr>
        <w:t>,</w:t>
      </w:r>
      <w:r w:rsidR="00E52426" w:rsidRPr="00340BB7">
        <w:rPr>
          <w:lang w:val="en-GB"/>
        </w:rPr>
        <w:t xml:space="preserve"> as the latter enjoy a minimum of protection within the Dublin Regulation system and </w:t>
      </w:r>
      <w:r w:rsidRPr="00340BB7">
        <w:rPr>
          <w:lang w:val="en-GB"/>
        </w:rPr>
        <w:t>may</w:t>
      </w:r>
      <w:r w:rsidR="00E52426" w:rsidRPr="00340BB7">
        <w:rPr>
          <w:lang w:val="en-GB"/>
        </w:rPr>
        <w:t xml:space="preserve"> have access to </w:t>
      </w:r>
      <w:r w:rsidR="00F9075D">
        <w:rPr>
          <w:lang w:val="en-GB"/>
        </w:rPr>
        <w:t>European Union</w:t>
      </w:r>
      <w:r w:rsidR="00E52426" w:rsidRPr="00340BB7">
        <w:rPr>
          <w:lang w:val="en-GB"/>
        </w:rPr>
        <w:t xml:space="preserve">-supported reception facilities. </w:t>
      </w:r>
    </w:p>
    <w:p w:rsidR="00CC3666" w:rsidRPr="00340BB7" w:rsidRDefault="00BD7747" w:rsidP="00BD7747">
      <w:pPr>
        <w:pStyle w:val="H23G"/>
        <w:ind w:left="0" w:firstLine="0"/>
      </w:pPr>
      <w:r w:rsidRPr="00340BB7">
        <w:rPr>
          <w:b w:val="0"/>
        </w:rPr>
        <w:tab/>
      </w:r>
      <w:r w:rsidRPr="00340BB7">
        <w:rPr>
          <w:b w:val="0"/>
        </w:rPr>
        <w:tab/>
      </w:r>
      <w:r w:rsidR="00CC3666" w:rsidRPr="00340BB7">
        <w:t>Issues and proceedings before the Committee</w:t>
      </w:r>
    </w:p>
    <w:p w:rsidR="00CC3666" w:rsidRPr="00340BB7" w:rsidRDefault="00CC3666" w:rsidP="00FE242F">
      <w:pPr>
        <w:pStyle w:val="H4G"/>
      </w:pPr>
      <w:r w:rsidRPr="00340BB7">
        <w:tab/>
      </w:r>
      <w:r w:rsidRPr="00340BB7">
        <w:tab/>
        <w:t>Consideration of admissibility</w:t>
      </w:r>
    </w:p>
    <w:p w:rsidR="00CC3666" w:rsidRPr="00340BB7" w:rsidRDefault="0016196E" w:rsidP="00CD2B9D">
      <w:pPr>
        <w:pStyle w:val="SingleTxtG"/>
        <w:rPr>
          <w:lang w:val="en-GB"/>
        </w:rPr>
      </w:pPr>
      <w:r w:rsidRPr="00340BB7">
        <w:rPr>
          <w:lang w:val="en-GB"/>
        </w:rPr>
        <w:t>6</w:t>
      </w:r>
      <w:r w:rsidR="00CC3666" w:rsidRPr="00340BB7">
        <w:rPr>
          <w:lang w:val="en-GB"/>
        </w:rPr>
        <w:t>.1</w:t>
      </w:r>
      <w:r w:rsidR="00CC3666" w:rsidRPr="00340BB7">
        <w:rPr>
          <w:lang w:val="en-GB"/>
        </w:rPr>
        <w:tab/>
        <w:t xml:space="preserve">Before considering any claim contained in a communication, the Human Rights Committee must, in accordance with article 93, of its </w:t>
      </w:r>
      <w:r w:rsidR="006B138B">
        <w:rPr>
          <w:lang w:val="en-GB"/>
        </w:rPr>
        <w:t>r</w:t>
      </w:r>
      <w:r w:rsidR="00CC3666" w:rsidRPr="00340BB7">
        <w:rPr>
          <w:lang w:val="en-GB"/>
        </w:rPr>
        <w:t xml:space="preserve">ules of </w:t>
      </w:r>
      <w:r w:rsidR="006B138B">
        <w:rPr>
          <w:lang w:val="en-GB"/>
        </w:rPr>
        <w:t>p</w:t>
      </w:r>
      <w:r w:rsidR="00CC3666" w:rsidRPr="00340BB7">
        <w:rPr>
          <w:lang w:val="en-GB"/>
        </w:rPr>
        <w:t xml:space="preserve">rocedure, decide whether or not it is admissible under the Optional Protocol to the Covenant. </w:t>
      </w:r>
    </w:p>
    <w:p w:rsidR="00CC3666" w:rsidRPr="00340BB7" w:rsidRDefault="0016196E" w:rsidP="00CC3666">
      <w:pPr>
        <w:pStyle w:val="SingleTxtG"/>
        <w:rPr>
          <w:lang w:val="en-GB"/>
        </w:rPr>
      </w:pPr>
      <w:r w:rsidRPr="00340BB7">
        <w:rPr>
          <w:lang w:val="en-GB"/>
        </w:rPr>
        <w:t>6</w:t>
      </w:r>
      <w:r w:rsidR="00FE242F" w:rsidRPr="00340BB7">
        <w:rPr>
          <w:lang w:val="en-GB"/>
        </w:rPr>
        <w:t>.2</w:t>
      </w:r>
      <w:r w:rsidR="00FE242F" w:rsidRPr="00340BB7">
        <w:rPr>
          <w:lang w:val="en-GB"/>
        </w:rPr>
        <w:tab/>
      </w:r>
      <w:r w:rsidR="00CC3666" w:rsidRPr="00340BB7">
        <w:rPr>
          <w:lang w:val="en-GB"/>
        </w:rPr>
        <w:t>As required under article 5, paragraph 2 (a), of the Optional Protocol, the Committee has ascertained that the same matter is not being examined under another procedure of international investigation or settlement.</w:t>
      </w:r>
    </w:p>
    <w:p w:rsidR="00F416CC" w:rsidRPr="00340BB7" w:rsidRDefault="0016196E" w:rsidP="00ED22CB">
      <w:pPr>
        <w:pStyle w:val="SingleTxtG"/>
        <w:rPr>
          <w:lang w:val="en-GB"/>
        </w:rPr>
      </w:pPr>
      <w:r w:rsidRPr="00340BB7">
        <w:rPr>
          <w:lang w:val="en-GB"/>
        </w:rPr>
        <w:t>6</w:t>
      </w:r>
      <w:r w:rsidR="00474E2B" w:rsidRPr="00340BB7">
        <w:rPr>
          <w:lang w:val="en-GB"/>
        </w:rPr>
        <w:t>.3</w:t>
      </w:r>
      <w:r w:rsidR="00CC3666" w:rsidRPr="00340BB7">
        <w:rPr>
          <w:lang w:val="en-GB"/>
        </w:rPr>
        <w:tab/>
        <w:t>The Committee notes the State party’s challenge</w:t>
      </w:r>
      <w:r w:rsidR="00046E75" w:rsidRPr="00340BB7">
        <w:rPr>
          <w:lang w:val="en-GB"/>
        </w:rPr>
        <w:t xml:space="preserve"> to the admissibility of the </w:t>
      </w:r>
      <w:r w:rsidR="00CC3666" w:rsidRPr="00340BB7">
        <w:rPr>
          <w:lang w:val="en-GB"/>
        </w:rPr>
        <w:t xml:space="preserve">communication on the ground </w:t>
      </w:r>
      <w:r w:rsidR="00D10C6C" w:rsidRPr="00340BB7">
        <w:rPr>
          <w:lang w:val="en-GB"/>
        </w:rPr>
        <w:t xml:space="preserve">that </w:t>
      </w:r>
      <w:r w:rsidR="00CC3666" w:rsidRPr="00340BB7">
        <w:rPr>
          <w:lang w:val="en-GB"/>
        </w:rPr>
        <w:t>the author</w:t>
      </w:r>
      <w:r w:rsidR="00A85E4E" w:rsidRPr="00340BB7">
        <w:rPr>
          <w:lang w:val="en-GB"/>
        </w:rPr>
        <w:t xml:space="preserve"> </w:t>
      </w:r>
      <w:r w:rsidR="00CD2B9D">
        <w:rPr>
          <w:lang w:val="en-GB"/>
        </w:rPr>
        <w:t xml:space="preserve">has </w:t>
      </w:r>
      <w:r w:rsidR="00A85E4E" w:rsidRPr="00340BB7">
        <w:rPr>
          <w:lang w:val="en-GB"/>
        </w:rPr>
        <w:t xml:space="preserve">failed to exhaust domestic </w:t>
      </w:r>
      <w:r w:rsidR="00C14D9A" w:rsidRPr="00340BB7">
        <w:rPr>
          <w:lang w:val="en-GB"/>
        </w:rPr>
        <w:t>remedies, as she did not invoke</w:t>
      </w:r>
      <w:r w:rsidR="00D10C6C" w:rsidRPr="00340BB7">
        <w:rPr>
          <w:lang w:val="en-GB"/>
        </w:rPr>
        <w:t xml:space="preserve"> claims </w:t>
      </w:r>
      <w:r w:rsidR="00957485" w:rsidRPr="00340BB7">
        <w:rPr>
          <w:lang w:val="en-GB"/>
        </w:rPr>
        <w:t>related to a possible violation of</w:t>
      </w:r>
      <w:r w:rsidR="00D10C6C" w:rsidRPr="00340BB7">
        <w:rPr>
          <w:lang w:val="en-GB"/>
        </w:rPr>
        <w:t xml:space="preserve"> </w:t>
      </w:r>
      <w:r w:rsidR="00CC3666" w:rsidRPr="00340BB7">
        <w:rPr>
          <w:lang w:val="en-GB"/>
        </w:rPr>
        <w:t>article</w:t>
      </w:r>
      <w:r w:rsidR="00150893" w:rsidRPr="00340BB7">
        <w:rPr>
          <w:lang w:val="en-GB"/>
        </w:rPr>
        <w:t xml:space="preserve"> </w:t>
      </w:r>
      <w:r w:rsidR="00CC3666" w:rsidRPr="00340BB7">
        <w:rPr>
          <w:lang w:val="en-GB"/>
        </w:rPr>
        <w:t>7</w:t>
      </w:r>
      <w:r w:rsidR="00150893" w:rsidRPr="00340BB7">
        <w:rPr>
          <w:lang w:val="en-GB"/>
        </w:rPr>
        <w:t xml:space="preserve"> </w:t>
      </w:r>
      <w:r w:rsidR="00CC3666" w:rsidRPr="00340BB7">
        <w:rPr>
          <w:lang w:val="en-GB"/>
        </w:rPr>
        <w:t>of the Covenant</w:t>
      </w:r>
      <w:r w:rsidR="00957485" w:rsidRPr="00340BB7">
        <w:rPr>
          <w:lang w:val="en-GB"/>
        </w:rPr>
        <w:t>, in relation to her return to Italy,</w:t>
      </w:r>
      <w:r w:rsidR="00BC7440" w:rsidRPr="00340BB7">
        <w:rPr>
          <w:lang w:val="en-GB"/>
        </w:rPr>
        <w:t xml:space="preserve"> before domestic authorities</w:t>
      </w:r>
      <w:r w:rsidR="00046E75" w:rsidRPr="00340BB7">
        <w:rPr>
          <w:lang w:val="en-GB"/>
        </w:rPr>
        <w:t xml:space="preserve">. </w:t>
      </w:r>
      <w:r w:rsidR="00CC3666" w:rsidRPr="00340BB7">
        <w:rPr>
          <w:lang w:val="en-GB"/>
        </w:rPr>
        <w:t xml:space="preserve">The Committee </w:t>
      </w:r>
      <w:r w:rsidR="00744CEB" w:rsidRPr="00340BB7">
        <w:rPr>
          <w:lang w:val="en-GB"/>
        </w:rPr>
        <w:t xml:space="preserve">observes that her claim before the </w:t>
      </w:r>
      <w:r w:rsidR="006D0E00">
        <w:rPr>
          <w:lang w:val="en-GB"/>
        </w:rPr>
        <w:t>r</w:t>
      </w:r>
      <w:r w:rsidR="00744CEB" w:rsidRPr="00340BB7">
        <w:rPr>
          <w:lang w:val="en-GB"/>
        </w:rPr>
        <w:t xml:space="preserve">efugee </w:t>
      </w:r>
      <w:r w:rsidR="006D0E00">
        <w:rPr>
          <w:lang w:val="en-GB"/>
        </w:rPr>
        <w:t>a</w:t>
      </w:r>
      <w:r w:rsidR="00744CEB" w:rsidRPr="00340BB7">
        <w:rPr>
          <w:lang w:val="en-GB"/>
        </w:rPr>
        <w:t xml:space="preserve">ppeals </w:t>
      </w:r>
      <w:r w:rsidR="006D0E00">
        <w:rPr>
          <w:lang w:val="en-GB"/>
        </w:rPr>
        <w:t>b</w:t>
      </w:r>
      <w:r w:rsidR="00744CEB" w:rsidRPr="00340BB7">
        <w:rPr>
          <w:lang w:val="en-GB"/>
        </w:rPr>
        <w:t>oard was that</w:t>
      </w:r>
      <w:r w:rsidR="00F22462">
        <w:rPr>
          <w:lang w:val="en-GB"/>
        </w:rPr>
        <w:t xml:space="preserve"> </w:t>
      </w:r>
      <w:r w:rsidR="009214E9" w:rsidRPr="00340BB7">
        <w:rPr>
          <w:lang w:val="en-GB"/>
        </w:rPr>
        <w:t>“</w:t>
      </w:r>
      <w:r w:rsidR="00744CEB" w:rsidRPr="00340BB7">
        <w:rPr>
          <w:lang w:val="en-GB"/>
        </w:rPr>
        <w:t>she</w:t>
      </w:r>
      <w:r w:rsidR="009214E9" w:rsidRPr="00340BB7">
        <w:rPr>
          <w:lang w:val="en-GB"/>
        </w:rPr>
        <w:t xml:space="preserve"> feared being killed by </w:t>
      </w:r>
      <w:r w:rsidR="00CD2B9D">
        <w:rPr>
          <w:lang w:val="en-GB"/>
        </w:rPr>
        <w:t>A</w:t>
      </w:r>
      <w:r w:rsidR="009214E9" w:rsidRPr="00340BB7">
        <w:rPr>
          <w:lang w:val="en-GB"/>
        </w:rPr>
        <w:t>l-</w:t>
      </w:r>
      <w:r w:rsidR="00CD2B9D">
        <w:rPr>
          <w:lang w:val="en-GB"/>
        </w:rPr>
        <w:t>S</w:t>
      </w:r>
      <w:r w:rsidR="00744CEB" w:rsidRPr="00340BB7">
        <w:rPr>
          <w:lang w:val="en-GB"/>
        </w:rPr>
        <w:t>hab</w:t>
      </w:r>
      <w:r w:rsidR="00CD2B9D">
        <w:rPr>
          <w:lang w:val="en-GB"/>
        </w:rPr>
        <w:t>a</w:t>
      </w:r>
      <w:r w:rsidR="00744CEB" w:rsidRPr="00340BB7">
        <w:rPr>
          <w:lang w:val="en-GB"/>
        </w:rPr>
        <w:t xml:space="preserve">ab in </w:t>
      </w:r>
      <w:r w:rsidR="00CD2B9D">
        <w:rPr>
          <w:lang w:val="en-GB"/>
        </w:rPr>
        <w:t xml:space="preserve">the event that she were returned </w:t>
      </w:r>
      <w:r w:rsidR="00744CEB" w:rsidRPr="00340BB7">
        <w:rPr>
          <w:lang w:val="en-GB"/>
        </w:rPr>
        <w:t>to Somalia</w:t>
      </w:r>
      <w:r w:rsidR="009214E9" w:rsidRPr="00340BB7">
        <w:rPr>
          <w:lang w:val="en-GB"/>
        </w:rPr>
        <w:t>,</w:t>
      </w:r>
      <w:r w:rsidR="00744CEB" w:rsidRPr="00340BB7">
        <w:rPr>
          <w:lang w:val="en-GB"/>
        </w:rPr>
        <w:t xml:space="preserve"> because she had run away from them</w:t>
      </w:r>
      <w:r w:rsidR="009214E9" w:rsidRPr="00340BB7">
        <w:rPr>
          <w:lang w:val="en-GB"/>
        </w:rPr>
        <w:t>”</w:t>
      </w:r>
      <w:r w:rsidR="00744CEB" w:rsidRPr="00340BB7">
        <w:rPr>
          <w:lang w:val="en-GB"/>
        </w:rPr>
        <w:t xml:space="preserve">. In addition, </w:t>
      </w:r>
      <w:r w:rsidR="00932E57" w:rsidRPr="00340BB7">
        <w:rPr>
          <w:lang w:val="en-GB"/>
        </w:rPr>
        <w:t>the Committee observes that</w:t>
      </w:r>
      <w:r w:rsidR="00CD2B9D">
        <w:rPr>
          <w:lang w:val="en-GB"/>
        </w:rPr>
        <w:t>,</w:t>
      </w:r>
      <w:r w:rsidR="00932E57" w:rsidRPr="00340BB7">
        <w:rPr>
          <w:lang w:val="en-GB"/>
        </w:rPr>
        <w:t xml:space="preserve"> in the author’s</w:t>
      </w:r>
      <w:r w:rsidR="00744CEB" w:rsidRPr="00340BB7">
        <w:rPr>
          <w:lang w:val="en-GB"/>
        </w:rPr>
        <w:t xml:space="preserve"> application </w:t>
      </w:r>
      <w:r w:rsidR="00CD2B9D">
        <w:rPr>
          <w:lang w:val="en-GB"/>
        </w:rPr>
        <w:t xml:space="preserve">to </w:t>
      </w:r>
      <w:r w:rsidR="00ED22CB">
        <w:rPr>
          <w:lang w:val="en-GB"/>
        </w:rPr>
        <w:t xml:space="preserve">appeal </w:t>
      </w:r>
      <w:r w:rsidR="00744CEB" w:rsidRPr="00340BB7">
        <w:rPr>
          <w:lang w:val="en-GB"/>
        </w:rPr>
        <w:t xml:space="preserve">the </w:t>
      </w:r>
      <w:r w:rsidR="006D0E00">
        <w:rPr>
          <w:lang w:val="en-GB"/>
        </w:rPr>
        <w:t>r</w:t>
      </w:r>
      <w:r w:rsidR="006D0E00" w:rsidRPr="00340BB7">
        <w:rPr>
          <w:lang w:val="en-GB"/>
        </w:rPr>
        <w:t xml:space="preserve">efugee </w:t>
      </w:r>
      <w:r w:rsidR="006D0E00">
        <w:rPr>
          <w:lang w:val="en-GB"/>
        </w:rPr>
        <w:t>a</w:t>
      </w:r>
      <w:r w:rsidR="006D0E00" w:rsidRPr="00340BB7">
        <w:rPr>
          <w:lang w:val="en-GB"/>
        </w:rPr>
        <w:t xml:space="preserve">ppeals </w:t>
      </w:r>
      <w:r w:rsidR="006D0E00">
        <w:rPr>
          <w:lang w:val="en-GB"/>
        </w:rPr>
        <w:t>b</w:t>
      </w:r>
      <w:r w:rsidR="006D0E00" w:rsidRPr="00340BB7">
        <w:rPr>
          <w:lang w:val="en-GB"/>
        </w:rPr>
        <w:t>oard</w:t>
      </w:r>
      <w:r w:rsidR="00744CEB" w:rsidRPr="00340BB7">
        <w:rPr>
          <w:lang w:val="en-GB"/>
        </w:rPr>
        <w:t xml:space="preserve"> decision of 15 November 2013</w:t>
      </w:r>
      <w:r w:rsidR="00932E57" w:rsidRPr="00340BB7">
        <w:rPr>
          <w:lang w:val="en-GB"/>
        </w:rPr>
        <w:t>, she reiterated</w:t>
      </w:r>
      <w:r w:rsidR="00744CEB" w:rsidRPr="00340BB7">
        <w:rPr>
          <w:lang w:val="en-GB"/>
        </w:rPr>
        <w:t xml:space="preserve"> that she faced persecution by </w:t>
      </w:r>
      <w:r w:rsidR="00CD2B9D">
        <w:rPr>
          <w:lang w:val="en-GB"/>
        </w:rPr>
        <w:t>A</w:t>
      </w:r>
      <w:r w:rsidR="00744CEB" w:rsidRPr="00340BB7">
        <w:rPr>
          <w:lang w:val="en-GB"/>
        </w:rPr>
        <w:t>l-</w:t>
      </w:r>
      <w:r w:rsidR="00CD2B9D">
        <w:rPr>
          <w:lang w:val="en-GB"/>
        </w:rPr>
        <w:t>S</w:t>
      </w:r>
      <w:r w:rsidR="00744CEB" w:rsidRPr="00340BB7">
        <w:rPr>
          <w:lang w:val="en-GB"/>
        </w:rPr>
        <w:t>haba</w:t>
      </w:r>
      <w:r w:rsidR="00CD2B9D">
        <w:rPr>
          <w:lang w:val="en-GB"/>
        </w:rPr>
        <w:t>a</w:t>
      </w:r>
      <w:r w:rsidR="00744CEB" w:rsidRPr="00340BB7">
        <w:rPr>
          <w:lang w:val="en-GB"/>
        </w:rPr>
        <w:t xml:space="preserve">b in Mogadishu, and thus would be at real risk of persecution or abuse </w:t>
      </w:r>
      <w:r w:rsidR="00F14034">
        <w:rPr>
          <w:lang w:val="en-GB"/>
        </w:rPr>
        <w:t xml:space="preserve">in </w:t>
      </w:r>
      <w:r w:rsidR="00CD2B9D">
        <w:rPr>
          <w:lang w:val="en-GB"/>
        </w:rPr>
        <w:t xml:space="preserve">the event that she were returned </w:t>
      </w:r>
      <w:r w:rsidR="00744CEB" w:rsidRPr="00340BB7">
        <w:rPr>
          <w:lang w:val="en-GB"/>
        </w:rPr>
        <w:t>to Somalia</w:t>
      </w:r>
      <w:r w:rsidR="004B5CF1" w:rsidRPr="00340BB7">
        <w:rPr>
          <w:lang w:val="en-GB"/>
        </w:rPr>
        <w:t xml:space="preserve"> (par</w:t>
      </w:r>
      <w:r w:rsidR="00F22462">
        <w:rPr>
          <w:lang w:val="en-GB"/>
        </w:rPr>
        <w:t>as</w:t>
      </w:r>
      <w:r w:rsidR="004B5CF1" w:rsidRPr="00340BB7">
        <w:rPr>
          <w:lang w:val="en-GB"/>
        </w:rPr>
        <w:t>. 2.</w:t>
      </w:r>
      <w:r w:rsidR="00755E18">
        <w:rPr>
          <w:lang w:val="en-GB"/>
        </w:rPr>
        <w:t>9</w:t>
      </w:r>
      <w:r w:rsidR="004B5CF1" w:rsidRPr="00340BB7">
        <w:rPr>
          <w:lang w:val="en-GB"/>
        </w:rPr>
        <w:t xml:space="preserve"> and 4.2)</w:t>
      </w:r>
      <w:r w:rsidR="00744CEB" w:rsidRPr="00340BB7">
        <w:rPr>
          <w:lang w:val="en-GB"/>
        </w:rPr>
        <w:t xml:space="preserve">. </w:t>
      </w:r>
      <w:r w:rsidR="009214E9" w:rsidRPr="00340BB7">
        <w:rPr>
          <w:lang w:val="en-GB"/>
        </w:rPr>
        <w:t>Once the decision to return her to Somalia became enforceable and the police contacted her for deportation arrangements, the author raised the preference to be returned to Italy on 10 December 2013 (par</w:t>
      </w:r>
      <w:r w:rsidR="00F22462">
        <w:rPr>
          <w:lang w:val="en-GB"/>
        </w:rPr>
        <w:t>a</w:t>
      </w:r>
      <w:r w:rsidR="009214E9" w:rsidRPr="00340BB7">
        <w:rPr>
          <w:lang w:val="en-GB"/>
        </w:rPr>
        <w:t>. 4.1), which she confirmed on 2 June 2014 (par</w:t>
      </w:r>
      <w:r w:rsidR="00F22462">
        <w:rPr>
          <w:lang w:val="en-GB"/>
        </w:rPr>
        <w:t>a</w:t>
      </w:r>
      <w:r w:rsidR="009214E9" w:rsidRPr="00340BB7">
        <w:rPr>
          <w:lang w:val="en-GB"/>
        </w:rPr>
        <w:t xml:space="preserve">. 4.3). </w:t>
      </w:r>
      <w:r w:rsidR="00CD2B9D">
        <w:rPr>
          <w:lang w:val="en-GB"/>
        </w:rPr>
        <w:t>O</w:t>
      </w:r>
      <w:r w:rsidR="00CD2B9D" w:rsidRPr="00340BB7">
        <w:rPr>
          <w:lang w:val="en-GB"/>
        </w:rPr>
        <w:t>n 6 March 2014</w:t>
      </w:r>
      <w:r w:rsidR="00CD2B9D">
        <w:rPr>
          <w:lang w:val="en-GB"/>
        </w:rPr>
        <w:t>, t</w:t>
      </w:r>
      <w:r w:rsidR="001874C4" w:rsidRPr="00340BB7">
        <w:rPr>
          <w:lang w:val="en-GB"/>
        </w:rPr>
        <w:t xml:space="preserve">he author sought </w:t>
      </w:r>
      <w:r w:rsidR="00CD2B9D">
        <w:rPr>
          <w:lang w:val="en-GB"/>
        </w:rPr>
        <w:t xml:space="preserve">that </w:t>
      </w:r>
      <w:r w:rsidR="001874C4" w:rsidRPr="00340BB7">
        <w:rPr>
          <w:lang w:val="en-GB"/>
        </w:rPr>
        <w:t xml:space="preserve">proceedings </w:t>
      </w:r>
      <w:r w:rsidR="00CD2B9D">
        <w:rPr>
          <w:lang w:val="en-GB"/>
        </w:rPr>
        <w:t xml:space="preserve">be reopened </w:t>
      </w:r>
      <w:r w:rsidR="001874C4" w:rsidRPr="00340BB7">
        <w:rPr>
          <w:lang w:val="en-GB"/>
        </w:rPr>
        <w:t xml:space="preserve">with respect to her deportation to Somalia, which was rejected on 16 June 2014. </w:t>
      </w:r>
      <w:r w:rsidR="00932E57" w:rsidRPr="00340BB7">
        <w:rPr>
          <w:lang w:val="en-GB"/>
        </w:rPr>
        <w:t>In this application, the author did not raise concerns with respect to living conditions in Italy.</w:t>
      </w:r>
    </w:p>
    <w:p w:rsidR="00CC3666" w:rsidRPr="00340BB7" w:rsidRDefault="0016196E" w:rsidP="00CD2B9D">
      <w:pPr>
        <w:pStyle w:val="SingleTxtG"/>
        <w:rPr>
          <w:lang w:val="en-GB"/>
        </w:rPr>
      </w:pPr>
      <w:r w:rsidRPr="00340BB7">
        <w:rPr>
          <w:lang w:val="en-GB"/>
        </w:rPr>
        <w:t>6</w:t>
      </w:r>
      <w:r w:rsidR="00F416CC" w:rsidRPr="00340BB7">
        <w:rPr>
          <w:lang w:val="en-GB"/>
        </w:rPr>
        <w:t>.4</w:t>
      </w:r>
      <w:r w:rsidR="00F416CC" w:rsidRPr="00340BB7">
        <w:rPr>
          <w:lang w:val="en-GB"/>
        </w:rPr>
        <w:tab/>
      </w:r>
      <w:r w:rsidR="001874C4" w:rsidRPr="00340BB7">
        <w:rPr>
          <w:lang w:val="en-GB"/>
        </w:rPr>
        <w:t xml:space="preserve">Immediately after, on 17 June 2014, the author brought the case before the Committee, raising allegations under article 7 of the Covenant with respect to living conditions in Italy, which were never formally brought </w:t>
      </w:r>
      <w:r w:rsidR="00C11108" w:rsidRPr="00340BB7">
        <w:rPr>
          <w:lang w:val="en-GB"/>
        </w:rPr>
        <w:t xml:space="preserve">as an asylum ground per se before </w:t>
      </w:r>
      <w:r w:rsidR="001874C4" w:rsidRPr="00340BB7">
        <w:rPr>
          <w:lang w:val="en-GB"/>
        </w:rPr>
        <w:t>the Danish authorities, even though the author was legally represented</w:t>
      </w:r>
      <w:r w:rsidR="00973478" w:rsidRPr="00340BB7">
        <w:rPr>
          <w:lang w:val="en-GB"/>
        </w:rPr>
        <w:t xml:space="preserve"> during domestic proceeding</w:t>
      </w:r>
      <w:r w:rsidR="001874C4" w:rsidRPr="00340BB7">
        <w:rPr>
          <w:lang w:val="en-GB"/>
        </w:rPr>
        <w:t xml:space="preserve">s. </w:t>
      </w:r>
      <w:r w:rsidR="00F416CC" w:rsidRPr="00340BB7">
        <w:rPr>
          <w:lang w:val="en-GB"/>
        </w:rPr>
        <w:t xml:space="preserve">The author has not challenged the availability or effectiveness of such recourse before the State party’s jurisdictions. </w:t>
      </w:r>
      <w:r w:rsidR="00973478" w:rsidRPr="00340BB7">
        <w:rPr>
          <w:w w:val="103"/>
          <w:lang w:val="en-GB"/>
        </w:rPr>
        <w:t xml:space="preserve">Consequently, the </w:t>
      </w:r>
      <w:r w:rsidR="00F416CC" w:rsidRPr="00340BB7">
        <w:rPr>
          <w:w w:val="103"/>
          <w:lang w:val="en-GB"/>
        </w:rPr>
        <w:t>latter</w:t>
      </w:r>
      <w:r w:rsidR="00973478" w:rsidRPr="00340BB7">
        <w:rPr>
          <w:w w:val="103"/>
          <w:lang w:val="en-GB"/>
        </w:rPr>
        <w:t xml:space="preserve"> </w:t>
      </w:r>
      <w:r w:rsidR="00F416CC" w:rsidRPr="00340BB7">
        <w:rPr>
          <w:w w:val="103"/>
          <w:lang w:val="en-GB"/>
        </w:rPr>
        <w:t>were deprived of the opportunity to examine such claims, whic</w:t>
      </w:r>
      <w:r w:rsidR="00973478" w:rsidRPr="00340BB7">
        <w:rPr>
          <w:w w:val="103"/>
          <w:lang w:val="en-GB"/>
        </w:rPr>
        <w:t xml:space="preserve">h are at the heart of </w:t>
      </w:r>
      <w:r w:rsidR="00F416CC" w:rsidRPr="00340BB7">
        <w:rPr>
          <w:w w:val="103"/>
          <w:lang w:val="en-GB"/>
        </w:rPr>
        <w:t>the author’s</w:t>
      </w:r>
      <w:r w:rsidR="00973478" w:rsidRPr="00340BB7">
        <w:rPr>
          <w:w w:val="103"/>
          <w:lang w:val="en-GB"/>
        </w:rPr>
        <w:t xml:space="preserve"> communication before the Committee. </w:t>
      </w:r>
      <w:r w:rsidR="00973478" w:rsidRPr="00340BB7">
        <w:rPr>
          <w:lang w:val="en-GB"/>
        </w:rPr>
        <w:t>Accordingly, the Committee finds that the author has failed to exhaust domestic remedies.</w:t>
      </w:r>
    </w:p>
    <w:p w:rsidR="00E528F1" w:rsidRPr="00340BB7" w:rsidRDefault="0016196E" w:rsidP="00E528F1">
      <w:pPr>
        <w:pStyle w:val="SingleTxtG"/>
        <w:rPr>
          <w:lang w:val="en-GB"/>
        </w:rPr>
      </w:pPr>
      <w:r w:rsidRPr="00340BB7">
        <w:rPr>
          <w:lang w:val="en-GB"/>
        </w:rPr>
        <w:t>7</w:t>
      </w:r>
      <w:r w:rsidR="00237314" w:rsidRPr="00340BB7">
        <w:rPr>
          <w:lang w:val="en-GB"/>
        </w:rPr>
        <w:t>.</w:t>
      </w:r>
      <w:r w:rsidR="00237314" w:rsidRPr="00340BB7">
        <w:rPr>
          <w:lang w:val="en-GB"/>
        </w:rPr>
        <w:tab/>
      </w:r>
      <w:r w:rsidR="00E528F1" w:rsidRPr="00340BB7">
        <w:rPr>
          <w:lang w:val="en-GB"/>
        </w:rPr>
        <w:t>The Human Rights Committee therefore decides:</w:t>
      </w:r>
    </w:p>
    <w:p w:rsidR="00E528F1" w:rsidRPr="00340BB7" w:rsidRDefault="00E528F1" w:rsidP="00237314">
      <w:pPr>
        <w:pStyle w:val="SingleTxtG"/>
        <w:rPr>
          <w:lang w:val="en-GB"/>
        </w:rPr>
      </w:pPr>
      <w:r w:rsidRPr="00340BB7">
        <w:rPr>
          <w:lang w:val="en-GB"/>
        </w:rPr>
        <w:tab/>
        <w:t>(a)</w:t>
      </w:r>
      <w:r w:rsidRPr="00340BB7">
        <w:rPr>
          <w:lang w:val="en-GB"/>
        </w:rPr>
        <w:tab/>
        <w:t>That the communication is inadmissible under article 5, paragraph 2 (b), of the Optional Protocol;</w:t>
      </w:r>
    </w:p>
    <w:p w:rsidR="00E528F1" w:rsidRPr="00340BB7" w:rsidRDefault="00E528F1" w:rsidP="0075729B">
      <w:pPr>
        <w:pStyle w:val="SingleTxtG"/>
        <w:rPr>
          <w:lang w:val="en-GB"/>
        </w:rPr>
      </w:pPr>
      <w:r w:rsidRPr="00340BB7">
        <w:rPr>
          <w:lang w:val="en-GB"/>
        </w:rPr>
        <w:tab/>
        <w:t>(b)</w:t>
      </w:r>
      <w:r w:rsidRPr="00340BB7">
        <w:rPr>
          <w:lang w:val="en-GB"/>
        </w:rPr>
        <w:tab/>
        <w:t xml:space="preserve">That </w:t>
      </w:r>
      <w:r w:rsidR="0075729B">
        <w:rPr>
          <w:lang w:val="en-GB"/>
        </w:rPr>
        <w:t xml:space="preserve">the present </w:t>
      </w:r>
      <w:r w:rsidRPr="00340BB7">
        <w:rPr>
          <w:lang w:val="en-GB"/>
        </w:rPr>
        <w:t>decision shall be communicated to the author and to the State party.</w:t>
      </w:r>
    </w:p>
    <w:p w:rsidR="00906E11" w:rsidRPr="00340BB7" w:rsidRDefault="00906E11" w:rsidP="00906E11">
      <w:pPr>
        <w:pStyle w:val="SingleTxtG"/>
        <w:spacing w:before="240" w:after="0"/>
        <w:jc w:val="center"/>
        <w:rPr>
          <w:u w:val="single"/>
          <w:lang w:val="en-GB"/>
        </w:rPr>
      </w:pPr>
      <w:r w:rsidRPr="00340BB7">
        <w:rPr>
          <w:u w:val="single"/>
          <w:lang w:val="en-GB"/>
        </w:rPr>
        <w:tab/>
      </w:r>
      <w:r w:rsidRPr="00340BB7">
        <w:rPr>
          <w:u w:val="single"/>
          <w:lang w:val="en-GB"/>
        </w:rPr>
        <w:tab/>
      </w:r>
      <w:r w:rsidRPr="00340BB7">
        <w:rPr>
          <w:u w:val="single"/>
          <w:lang w:val="en-GB"/>
        </w:rPr>
        <w:tab/>
      </w:r>
    </w:p>
    <w:sectPr w:rsidR="00906E11" w:rsidRPr="00340BB7" w:rsidSect="00A615F5">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8T08:37:00Z" w:initials="Start">
    <w:p w:rsidR="00A615F5" w:rsidRDefault="00A615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NO&gt;&gt;N1519244E&lt;&lt;ODS JOB NO&gt;&gt;</w:t>
      </w:r>
    </w:p>
    <w:p w:rsidR="00A615F5" w:rsidRDefault="00A615F5">
      <w:pPr>
        <w:pStyle w:val="CommentText"/>
      </w:pPr>
      <w:r>
        <w:t>&lt;&lt;ODS DOC SYMBOL1&gt;&gt;CCPR/C/114/D/2428/2014&lt;&lt;ODS DOC SYMBOL1&gt;&gt;</w:t>
      </w:r>
    </w:p>
    <w:p w:rsidR="00A615F5" w:rsidRDefault="00A615F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8B" w:rsidRDefault="006B138B"/>
  </w:endnote>
  <w:endnote w:type="continuationSeparator" w:id="0">
    <w:p w:rsidR="006B138B" w:rsidRDefault="006B138B"/>
  </w:endnote>
  <w:endnote w:type="continuationNotice" w:id="1">
    <w:p w:rsidR="006B138B" w:rsidRDefault="006B1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8B" w:rsidRPr="00E0440B" w:rsidRDefault="006B138B" w:rsidP="00E0440B">
    <w:pPr>
      <w:pStyle w:val="Footer"/>
      <w:tabs>
        <w:tab w:val="right" w:pos="9638"/>
      </w:tabs>
    </w:pPr>
    <w:r w:rsidRPr="00E0440B">
      <w:rPr>
        <w:b/>
        <w:sz w:val="18"/>
      </w:rPr>
      <w:fldChar w:fldCharType="begin"/>
    </w:r>
    <w:r w:rsidRPr="00E0440B">
      <w:rPr>
        <w:b/>
        <w:sz w:val="18"/>
      </w:rPr>
      <w:instrText xml:space="preserve"> PAGE  \* MERGEFORMAT </w:instrText>
    </w:r>
    <w:r w:rsidRPr="00E0440B">
      <w:rPr>
        <w:b/>
        <w:sz w:val="18"/>
      </w:rPr>
      <w:fldChar w:fldCharType="separate"/>
    </w:r>
    <w:r w:rsidR="00AF3088">
      <w:rPr>
        <w:b/>
        <w:noProof/>
        <w:sz w:val="18"/>
      </w:rPr>
      <w:t>10</w:t>
    </w:r>
    <w:r w:rsidRPr="00E0440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8B" w:rsidRPr="00E0440B" w:rsidRDefault="006B138B" w:rsidP="00E0440B">
    <w:pPr>
      <w:pStyle w:val="Footer"/>
      <w:tabs>
        <w:tab w:val="right" w:pos="9638"/>
      </w:tabs>
      <w:rPr>
        <w:b/>
        <w:sz w:val="18"/>
      </w:rPr>
    </w:pPr>
    <w:r>
      <w:tab/>
    </w:r>
    <w:r w:rsidRPr="00E0440B">
      <w:rPr>
        <w:b/>
        <w:sz w:val="18"/>
      </w:rPr>
      <w:fldChar w:fldCharType="begin"/>
    </w:r>
    <w:r w:rsidRPr="00E0440B">
      <w:rPr>
        <w:b/>
        <w:sz w:val="18"/>
      </w:rPr>
      <w:instrText xml:space="preserve"> PAGE  \* MERGEFORMAT </w:instrText>
    </w:r>
    <w:r w:rsidRPr="00E0440B">
      <w:rPr>
        <w:b/>
        <w:sz w:val="18"/>
      </w:rPr>
      <w:fldChar w:fldCharType="separate"/>
    </w:r>
    <w:r w:rsidR="00AF3088">
      <w:rPr>
        <w:b/>
        <w:noProof/>
        <w:sz w:val="18"/>
      </w:rPr>
      <w:t>9</w:t>
    </w:r>
    <w:r w:rsidRPr="00E0440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A615F5" w:rsidTr="00A615F5">
      <w:tc>
        <w:tcPr>
          <w:tcW w:w="3614" w:type="dxa"/>
          <w:shd w:val="clear" w:color="auto" w:fill="auto"/>
        </w:tcPr>
        <w:p w:rsidR="00A615F5" w:rsidRDefault="00A615F5" w:rsidP="00A615F5">
          <w:pPr>
            <w:pStyle w:val="Footer"/>
            <w:rPr>
              <w:sz w:val="20"/>
            </w:rPr>
          </w:pPr>
          <w:r>
            <w:rPr>
              <w:noProof/>
              <w:sz w:val="20"/>
              <w:lang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4/D/2428/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2428/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GE.15-14444(E)</w:t>
          </w:r>
        </w:p>
        <w:p w:rsidR="00A615F5" w:rsidRPr="00A615F5" w:rsidRDefault="00A615F5" w:rsidP="00A615F5">
          <w:pPr>
            <w:pStyle w:val="Footer"/>
            <w:rPr>
              <w:rFonts w:ascii="Barcode 3 of 9 by request" w:hAnsi="Barcode 3 of 9 by request"/>
              <w:sz w:val="24"/>
            </w:rPr>
          </w:pPr>
          <w:r>
            <w:rPr>
              <w:rFonts w:ascii="Barcode 3 of 9 by request" w:hAnsi="Barcode 3 of 9 by request"/>
              <w:sz w:val="24"/>
            </w:rPr>
            <w:t>*1514444*</w:t>
          </w:r>
        </w:p>
      </w:tc>
      <w:tc>
        <w:tcPr>
          <w:tcW w:w="4752" w:type="dxa"/>
          <w:shd w:val="clear" w:color="auto" w:fill="auto"/>
        </w:tcPr>
        <w:p w:rsidR="00A615F5" w:rsidRDefault="00A615F5" w:rsidP="00A615F5">
          <w:pPr>
            <w:pStyle w:val="Footer"/>
            <w:spacing w:line="240" w:lineRule="atLeast"/>
            <w:jc w:val="right"/>
            <w:rPr>
              <w:sz w:val="20"/>
            </w:rPr>
          </w:pPr>
          <w:r>
            <w:rPr>
              <w:noProof/>
              <w:sz w:val="20"/>
              <w:lang w:eastAsia="zh-CN"/>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A615F5" w:rsidRPr="00A615F5" w:rsidRDefault="00A615F5" w:rsidP="00A615F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8B" w:rsidRPr="000B175B" w:rsidRDefault="006B138B" w:rsidP="000B175B">
      <w:pPr>
        <w:tabs>
          <w:tab w:val="right" w:pos="2155"/>
        </w:tabs>
        <w:spacing w:after="80"/>
        <w:ind w:left="680"/>
        <w:rPr>
          <w:u w:val="single"/>
        </w:rPr>
      </w:pPr>
      <w:r>
        <w:rPr>
          <w:u w:val="single"/>
        </w:rPr>
        <w:tab/>
      </w:r>
    </w:p>
  </w:footnote>
  <w:footnote w:type="continuationSeparator" w:id="0">
    <w:p w:rsidR="006B138B" w:rsidRPr="00FC68B7" w:rsidRDefault="006B138B" w:rsidP="00FC68B7">
      <w:pPr>
        <w:tabs>
          <w:tab w:val="left" w:pos="2155"/>
        </w:tabs>
        <w:spacing w:after="80"/>
        <w:ind w:left="680"/>
        <w:rPr>
          <w:u w:val="single"/>
        </w:rPr>
      </w:pPr>
      <w:r>
        <w:rPr>
          <w:u w:val="single"/>
        </w:rPr>
        <w:tab/>
      </w:r>
    </w:p>
  </w:footnote>
  <w:footnote w:type="continuationNotice" w:id="1">
    <w:p w:rsidR="006B138B" w:rsidRDefault="006B138B"/>
  </w:footnote>
  <w:footnote w:id="2">
    <w:p w:rsidR="006B138B" w:rsidRPr="003B65B0" w:rsidRDefault="006B138B" w:rsidP="00862179">
      <w:pPr>
        <w:pStyle w:val="FootnoteText"/>
        <w:rPr>
          <w:lang w:val="en-GB"/>
        </w:rPr>
      </w:pPr>
      <w:r w:rsidRPr="003B65B0">
        <w:rPr>
          <w:rStyle w:val="FootnoteReference"/>
          <w:lang w:val="en-GB"/>
        </w:rPr>
        <w:tab/>
      </w:r>
      <w:r w:rsidRPr="003B65B0">
        <w:rPr>
          <w:rStyle w:val="FootnoteReference"/>
          <w:sz w:val="20"/>
          <w:vertAlign w:val="baseline"/>
          <w:lang w:val="en-GB"/>
        </w:rPr>
        <w:t>*</w:t>
      </w:r>
      <w:r w:rsidRPr="003B65B0">
        <w:rPr>
          <w:rStyle w:val="FootnoteReference"/>
          <w:sz w:val="20"/>
          <w:vertAlign w:val="baseline"/>
          <w:lang w:val="en-GB"/>
        </w:rPr>
        <w:tab/>
      </w:r>
      <w:r w:rsidRPr="003B65B0">
        <w:rPr>
          <w:lang w:val="en-GB"/>
        </w:rPr>
        <w:t>The following members of the Committee participated in the examination of the present communication: Yadh Ben Achour, Sarah Cleveland, Olivier de Frouville, Yuji Iwasawa, Ivana Jeli</w:t>
      </w:r>
      <w:r w:rsidRPr="00ED22CB">
        <w:rPr>
          <w:lang w:val="en-GB"/>
        </w:rPr>
        <w:t>ć</w:t>
      </w:r>
      <w:r w:rsidRPr="003B65B0">
        <w:rPr>
          <w:lang w:val="en-GB"/>
        </w:rPr>
        <w:t>, Duncan Laki Muhumuza, Photini Pazartzis, Mauro Politi, Sir Nigel Rodley, Victor Manuel Rodr</w:t>
      </w:r>
      <w:r w:rsidRPr="00ED22CB">
        <w:rPr>
          <w:bCs/>
          <w:szCs w:val="18"/>
          <w:lang w:val="en-GB"/>
        </w:rPr>
        <w:t>í</w:t>
      </w:r>
      <w:r w:rsidRPr="003B65B0">
        <w:rPr>
          <w:lang w:val="en-GB"/>
        </w:rPr>
        <w:t>guez-Rescia, Fabián Omar Salvioli, Dheerujlall B. Seetulsingh, Anja Seibert-Fohr, Yuval Shany, Konstantine Vardzelashvili and Margo Waterval.</w:t>
      </w:r>
    </w:p>
  </w:footnote>
  <w:footnote w:id="3">
    <w:p w:rsidR="006B138B" w:rsidRPr="003B65B0" w:rsidRDefault="006B138B">
      <w:pPr>
        <w:pStyle w:val="FootnoteText"/>
        <w:rPr>
          <w:lang w:val="en-GB"/>
        </w:rPr>
      </w:pPr>
      <w:r w:rsidRPr="003B65B0">
        <w:rPr>
          <w:lang w:val="en-GB"/>
        </w:rPr>
        <w:tab/>
      </w:r>
      <w:r w:rsidRPr="003B65B0">
        <w:rPr>
          <w:rStyle w:val="FootnoteReference"/>
          <w:sz w:val="20"/>
          <w:szCs w:val="22"/>
          <w:lang w:val="en-GB"/>
        </w:rPr>
        <w:footnoteRef/>
      </w:r>
      <w:r w:rsidRPr="00ED22CB">
        <w:rPr>
          <w:lang w:val="en-GB"/>
        </w:rPr>
        <w:tab/>
      </w:r>
      <w:r w:rsidRPr="003B65B0">
        <w:rPr>
          <w:lang w:val="en-GB"/>
        </w:rPr>
        <w:t xml:space="preserve">Communicated as part of the State party’s observations on admissibility and merits, dated </w:t>
      </w:r>
      <w:r w:rsidRPr="00ED22CB">
        <w:rPr>
          <w:lang w:val="en-GB"/>
        </w:rPr>
        <w:t xml:space="preserve">19 December </w:t>
      </w:r>
      <w:r w:rsidRPr="003B65B0">
        <w:rPr>
          <w:lang w:val="en-GB"/>
        </w:rPr>
        <w:t>2014.</w:t>
      </w:r>
    </w:p>
  </w:footnote>
  <w:footnote w:id="4">
    <w:p w:rsidR="006B138B" w:rsidRPr="003B65B0" w:rsidRDefault="006B138B" w:rsidP="00CD2B9D">
      <w:pPr>
        <w:pStyle w:val="FootnoteText"/>
        <w:rPr>
          <w:lang w:val="en-GB"/>
        </w:rPr>
      </w:pPr>
      <w:r w:rsidRPr="00ED22CB">
        <w:rPr>
          <w:lang w:val="en-GB"/>
        </w:rPr>
        <w:tab/>
      </w:r>
      <w:r w:rsidRPr="003B65B0">
        <w:rPr>
          <w:rStyle w:val="FootnoteReference"/>
          <w:lang w:val="en-GB"/>
        </w:rPr>
        <w:footnoteRef/>
      </w:r>
      <w:r w:rsidRPr="00ED22CB">
        <w:rPr>
          <w:lang w:val="en-GB"/>
        </w:rPr>
        <w:tab/>
      </w:r>
      <w:r w:rsidRPr="003B65B0">
        <w:rPr>
          <w:lang w:val="en-GB"/>
        </w:rPr>
        <w:t xml:space="preserve">The author also cites the following decisions of the European Court of Human Rights: </w:t>
      </w:r>
      <w:r w:rsidRPr="003B65B0">
        <w:rPr>
          <w:i/>
          <w:lang w:val="en-GB"/>
        </w:rPr>
        <w:t>M.S.S. v. Belgium and Greece</w:t>
      </w:r>
      <w:r w:rsidRPr="003B65B0">
        <w:rPr>
          <w:lang w:val="en-GB"/>
        </w:rPr>
        <w:t xml:space="preserve"> (30696/09); </w:t>
      </w:r>
      <w:r w:rsidRPr="003B65B0">
        <w:rPr>
          <w:i/>
          <w:lang w:val="en-GB"/>
        </w:rPr>
        <w:t>Samsam Mohammad Hussein and others v. the Netherlands and Italy</w:t>
      </w:r>
      <w:r w:rsidRPr="003B65B0">
        <w:rPr>
          <w:lang w:val="en-GB"/>
        </w:rPr>
        <w:t xml:space="preserve"> (27725/10).</w:t>
      </w:r>
    </w:p>
  </w:footnote>
  <w:footnote w:id="5">
    <w:p w:rsidR="006B138B" w:rsidRPr="003B65B0" w:rsidRDefault="006B138B" w:rsidP="00CD2B9D">
      <w:pPr>
        <w:pStyle w:val="FootnoteText"/>
        <w:rPr>
          <w:lang w:val="en-GB"/>
        </w:rPr>
      </w:pPr>
      <w:r w:rsidRPr="00ED22CB">
        <w:rPr>
          <w:lang w:val="en-GB"/>
        </w:rPr>
        <w:tab/>
      </w:r>
      <w:r w:rsidRPr="003B65B0">
        <w:rPr>
          <w:rStyle w:val="FootnoteReference"/>
          <w:lang w:val="en-GB"/>
        </w:rPr>
        <w:footnoteRef/>
      </w:r>
      <w:r w:rsidRPr="00ED22CB">
        <w:rPr>
          <w:lang w:val="en-GB"/>
        </w:rPr>
        <w:tab/>
      </w:r>
      <w:r w:rsidRPr="003B65B0">
        <w:rPr>
          <w:lang w:val="en-GB"/>
        </w:rPr>
        <w:t>The author refers to Organisation Suisse d’</w:t>
      </w:r>
      <w:r w:rsidRPr="00ED22CB">
        <w:rPr>
          <w:lang w:val="en-GB"/>
        </w:rPr>
        <w:t>a</w:t>
      </w:r>
      <w:r w:rsidRPr="003B65B0">
        <w:rPr>
          <w:lang w:val="en-GB"/>
        </w:rPr>
        <w:t xml:space="preserve">ide aux </w:t>
      </w:r>
      <w:r w:rsidRPr="00ED22CB">
        <w:rPr>
          <w:lang w:val="en-GB"/>
        </w:rPr>
        <w:t>r</w:t>
      </w:r>
      <w:r w:rsidRPr="003B65B0">
        <w:rPr>
          <w:lang w:val="en-GB"/>
        </w:rPr>
        <w:t>éfugiés, “Reception conditions in Italy – Report on the current situation of asylum seekers and beneficiaries of protection, in particular Dublin returnees”, October 2013, p. 11; Asylum Information Database, Country Report – Italy, May 2013, p. 34; and Council of Europe, Report by Nils Muiznieks, Commissioner for Human Rights of the Council of Europe, following his visit to Italy from 3 to 6 July 2012, 18 September 2012, p. 150.</w:t>
      </w:r>
    </w:p>
  </w:footnote>
  <w:footnote w:id="6">
    <w:p w:rsidR="006B138B" w:rsidRPr="003B65B0" w:rsidRDefault="006B138B" w:rsidP="00CD2B9D">
      <w:pPr>
        <w:pStyle w:val="FootnoteText"/>
        <w:rPr>
          <w:lang w:val="en-GB"/>
        </w:rPr>
      </w:pPr>
      <w:r w:rsidRPr="00ED22CB">
        <w:rPr>
          <w:lang w:val="en-GB"/>
        </w:rPr>
        <w:tab/>
      </w:r>
      <w:r w:rsidRPr="003B65B0">
        <w:rPr>
          <w:rStyle w:val="FootnoteReference"/>
          <w:lang w:val="en-GB"/>
        </w:rPr>
        <w:footnoteRef/>
      </w:r>
      <w:r w:rsidRPr="00ED22CB">
        <w:rPr>
          <w:lang w:val="en-GB"/>
        </w:rPr>
        <w:tab/>
      </w:r>
      <w:r w:rsidRPr="003B65B0">
        <w:rPr>
          <w:lang w:val="en-GB"/>
        </w:rPr>
        <w:t xml:space="preserve">The author cites European Network for technical cooperation of the application of the Dublin II Regulation, “Dublin II Regulation National Report on Italy”, available at: </w:t>
      </w:r>
      <w:hyperlink r:id="rId1" w:history="1">
        <w:r w:rsidRPr="003B65B0">
          <w:rPr>
            <w:rStyle w:val="Hyperlink"/>
            <w:lang w:val="en-GB"/>
          </w:rPr>
          <w:t>www.dublin-project.eu/dublin/Dublin-news/New-report-Dublin-II-regulation-lives-on-hold</w:t>
        </w:r>
      </w:hyperlink>
      <w:r w:rsidRPr="003B65B0">
        <w:rPr>
          <w:lang w:val="en-GB"/>
        </w:rPr>
        <w:t>. Regarding resettlement conditions in Italy for asylum seekers, the author also cites the Asylum Information Database, Country Report – Italy (May 2013), p. 37; the United States of America Department of State, 2012 Country Report on Human Rights Practices – Italy, 19 April 2013, available from www.refworld.org/docid/517e6e2214.html; Organisation Suisse d’aide aux réfugiés, “Reception Conditions in Italy</w:t>
      </w:r>
      <w:r w:rsidRPr="00ED22CB">
        <w:rPr>
          <w:lang w:val="en-GB"/>
        </w:rPr>
        <w:t xml:space="preserve"> </w:t>
      </w:r>
      <w:r w:rsidRPr="003B65B0">
        <w:rPr>
          <w:lang w:val="en-GB"/>
        </w:rPr>
        <w:t>– Report on the current situation of asylum seekers and beneficiaries of protection, in particular Dublin returnees”, October 2013, Sects. 4 and 5; and Jesuit Refugee Service, “Protection interrupted – The Dublin regulation’s impact on asylum seekers’ protection”, June 2013, pp. 152 and 161.</w:t>
      </w:r>
    </w:p>
  </w:footnote>
  <w:footnote w:id="7">
    <w:p w:rsidR="006B138B" w:rsidRPr="003B65B0" w:rsidRDefault="006B138B" w:rsidP="00CD2B9D">
      <w:pPr>
        <w:pStyle w:val="FootnoteText"/>
        <w:rPr>
          <w:lang w:val="en-GB"/>
        </w:rPr>
      </w:pPr>
      <w:r w:rsidRPr="00ED22CB">
        <w:rPr>
          <w:lang w:val="en-GB"/>
        </w:rPr>
        <w:tab/>
      </w:r>
      <w:r w:rsidRPr="003B65B0">
        <w:rPr>
          <w:rStyle w:val="FootnoteReference"/>
          <w:lang w:val="en-GB"/>
        </w:rPr>
        <w:footnoteRef/>
      </w:r>
      <w:r w:rsidRPr="00ED22CB">
        <w:rPr>
          <w:lang w:val="en-GB"/>
        </w:rPr>
        <w:tab/>
      </w:r>
      <w:r w:rsidRPr="003B65B0">
        <w:rPr>
          <w:lang w:val="en-GB"/>
        </w:rPr>
        <w:t xml:space="preserve">The author cites Council of Europe, Report by Nils Muiznieks, Commissioner for Human Rights of the Council of Europe, following his visit to Italy from 3 to 6 July 2012, 18 September 2012, p. 143; </w:t>
      </w:r>
      <w:r w:rsidRPr="00ED22CB">
        <w:rPr>
          <w:lang w:val="en-GB"/>
        </w:rPr>
        <w:t xml:space="preserve">and </w:t>
      </w:r>
      <w:r w:rsidRPr="003B65B0">
        <w:rPr>
          <w:lang w:val="en-GB"/>
        </w:rPr>
        <w:t>Organisation Suisse d’</w:t>
      </w:r>
      <w:r w:rsidRPr="00ED22CB">
        <w:rPr>
          <w:lang w:val="en-GB"/>
        </w:rPr>
        <w:t>a</w:t>
      </w:r>
      <w:r w:rsidRPr="003B65B0">
        <w:rPr>
          <w:lang w:val="en-GB"/>
        </w:rPr>
        <w:t xml:space="preserve">ide aux </w:t>
      </w:r>
      <w:r w:rsidRPr="00ED22CB">
        <w:rPr>
          <w:lang w:val="en-GB"/>
        </w:rPr>
        <w:t>r</w:t>
      </w:r>
      <w:r w:rsidRPr="003B65B0">
        <w:rPr>
          <w:lang w:val="en-GB"/>
        </w:rPr>
        <w:t>éfugiés, “Reception conditions in Italy – Report on the current situation of asylum seekers and beneficiaries of protection, in particular Dublin returnees”, October 2013.</w:t>
      </w:r>
    </w:p>
  </w:footnote>
  <w:footnote w:id="8">
    <w:p w:rsidR="006B138B" w:rsidRPr="00ED22CB" w:rsidRDefault="006B138B" w:rsidP="00CD2B9D">
      <w:pPr>
        <w:pStyle w:val="FootnoteText"/>
        <w:rPr>
          <w:lang w:val="en-GB"/>
        </w:rPr>
      </w:pPr>
      <w:r w:rsidRPr="00ED22CB">
        <w:rPr>
          <w:lang w:val="en-GB"/>
        </w:rPr>
        <w:tab/>
      </w:r>
      <w:r w:rsidRPr="003B65B0">
        <w:rPr>
          <w:rStyle w:val="FootnoteReference"/>
          <w:lang w:val="en-GB"/>
        </w:rPr>
        <w:footnoteRef/>
      </w:r>
      <w:r w:rsidRPr="003B65B0">
        <w:rPr>
          <w:lang w:val="en-GB"/>
        </w:rPr>
        <w:tab/>
      </w:r>
      <w:r w:rsidRPr="003B65B0">
        <w:rPr>
          <w:rStyle w:val="s6b621b36"/>
          <w:lang w:val="en-GB"/>
        </w:rPr>
        <w:t xml:space="preserve">Applications Nos. </w:t>
      </w:r>
      <w:hyperlink r:id="rId2" w:anchor="{&quot;appno&quot;:[&quot;8319/07&quot;]}" w:tgtFrame="_blank" w:history="1">
        <w:r w:rsidRPr="003B65B0">
          <w:rPr>
            <w:rStyle w:val="Hyperlink"/>
            <w:lang w:val="en-GB"/>
          </w:rPr>
          <w:t>8319/07</w:t>
        </w:r>
      </w:hyperlink>
      <w:r w:rsidRPr="003B65B0">
        <w:rPr>
          <w:rStyle w:val="s6b621b36"/>
          <w:lang w:val="en-GB"/>
        </w:rPr>
        <w:t xml:space="preserve"> and </w:t>
      </w:r>
      <w:hyperlink r:id="rId3" w:anchor="{&quot;appno&quot;:[&quot;11449/07&quot;]}" w:tgtFrame="_blank" w:history="1">
        <w:r w:rsidRPr="003B65B0">
          <w:rPr>
            <w:rStyle w:val="Hyperlink"/>
            <w:lang w:val="en-GB"/>
          </w:rPr>
          <w:t>11449/07</w:t>
        </w:r>
      </w:hyperlink>
      <w:r w:rsidRPr="00ED22CB">
        <w:rPr>
          <w:rStyle w:val="s6b621b36"/>
          <w:lang w:val="en-GB"/>
        </w:rPr>
        <w:t>. Judgement of 28 June 2011.</w:t>
      </w:r>
    </w:p>
  </w:footnote>
  <w:footnote w:id="9">
    <w:p w:rsidR="006B138B" w:rsidRPr="003B65B0" w:rsidRDefault="006B138B" w:rsidP="00CD2B9D">
      <w:pPr>
        <w:pStyle w:val="FootnoteText"/>
        <w:rPr>
          <w:lang w:val="en-GB"/>
        </w:rPr>
      </w:pPr>
      <w:r w:rsidRPr="00ED22CB">
        <w:rPr>
          <w:lang w:val="en-GB"/>
        </w:rPr>
        <w:tab/>
      </w:r>
      <w:r w:rsidRPr="003B65B0">
        <w:rPr>
          <w:rStyle w:val="FootnoteReference"/>
          <w:lang w:val="en-GB"/>
        </w:rPr>
        <w:footnoteRef/>
      </w:r>
      <w:r w:rsidRPr="003B65B0">
        <w:rPr>
          <w:lang w:val="en-GB"/>
        </w:rPr>
        <w:tab/>
      </w:r>
      <w:r w:rsidRPr="003B65B0">
        <w:rPr>
          <w:i/>
          <w:lang w:val="en-GB"/>
        </w:rPr>
        <w:t>Samsam Mohammad Hussein and others v. the Netherlands and Italy</w:t>
      </w:r>
      <w:r w:rsidRPr="003B65B0">
        <w:rPr>
          <w:lang w:val="en-GB"/>
        </w:rPr>
        <w:t xml:space="preserve"> (27725/10)</w:t>
      </w:r>
      <w:r w:rsidRPr="003B65B0">
        <w:rPr>
          <w:rStyle w:val="sb8d990e2"/>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8B" w:rsidRPr="00781C83" w:rsidRDefault="006B138B" w:rsidP="00345561">
    <w:pPr>
      <w:pStyle w:val="Header"/>
    </w:pPr>
    <w:r>
      <w:t>CCPR/C/114/D/2428/2014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8B" w:rsidRPr="00E0440B" w:rsidRDefault="006B138B" w:rsidP="00E0440B">
    <w:pPr>
      <w:pStyle w:val="Header"/>
      <w:jc w:val="right"/>
    </w:pPr>
    <w:r>
      <w:t>CCPR/C/114/D/2428/2014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0B"/>
    <w:rsid w:val="00010B81"/>
    <w:rsid w:val="000179A6"/>
    <w:rsid w:val="0002241C"/>
    <w:rsid w:val="000272B3"/>
    <w:rsid w:val="00033A6C"/>
    <w:rsid w:val="00043962"/>
    <w:rsid w:val="00046E75"/>
    <w:rsid w:val="00050F6B"/>
    <w:rsid w:val="00057E97"/>
    <w:rsid w:val="00060C3A"/>
    <w:rsid w:val="0006755C"/>
    <w:rsid w:val="00072C8C"/>
    <w:rsid w:val="000733B5"/>
    <w:rsid w:val="0007609C"/>
    <w:rsid w:val="000771C6"/>
    <w:rsid w:val="00081815"/>
    <w:rsid w:val="000931C0"/>
    <w:rsid w:val="000B175B"/>
    <w:rsid w:val="000B2F08"/>
    <w:rsid w:val="000B3A0F"/>
    <w:rsid w:val="000B4EF7"/>
    <w:rsid w:val="000C23BA"/>
    <w:rsid w:val="000C2C03"/>
    <w:rsid w:val="000C2D2E"/>
    <w:rsid w:val="000D416B"/>
    <w:rsid w:val="000D7F6A"/>
    <w:rsid w:val="000E0415"/>
    <w:rsid w:val="000E3E66"/>
    <w:rsid w:val="000F6A32"/>
    <w:rsid w:val="00101388"/>
    <w:rsid w:val="00101DE5"/>
    <w:rsid w:val="00103390"/>
    <w:rsid w:val="00105C8F"/>
    <w:rsid w:val="00106A42"/>
    <w:rsid w:val="001103AA"/>
    <w:rsid w:val="0012613B"/>
    <w:rsid w:val="00130B46"/>
    <w:rsid w:val="0014027C"/>
    <w:rsid w:val="00145BF9"/>
    <w:rsid w:val="00150893"/>
    <w:rsid w:val="00154958"/>
    <w:rsid w:val="00160006"/>
    <w:rsid w:val="0016196E"/>
    <w:rsid w:val="0016198F"/>
    <w:rsid w:val="001647FD"/>
    <w:rsid w:val="00165F3A"/>
    <w:rsid w:val="00166E4E"/>
    <w:rsid w:val="0017276C"/>
    <w:rsid w:val="00183968"/>
    <w:rsid w:val="001874C4"/>
    <w:rsid w:val="00194341"/>
    <w:rsid w:val="00194FD5"/>
    <w:rsid w:val="001A63D5"/>
    <w:rsid w:val="001A6686"/>
    <w:rsid w:val="001A7B12"/>
    <w:rsid w:val="001B309D"/>
    <w:rsid w:val="001B4B04"/>
    <w:rsid w:val="001C067E"/>
    <w:rsid w:val="001C6663"/>
    <w:rsid w:val="001C6F45"/>
    <w:rsid w:val="001C7895"/>
    <w:rsid w:val="001D0C8C"/>
    <w:rsid w:val="001D26DF"/>
    <w:rsid w:val="001D3A03"/>
    <w:rsid w:val="001F3EF7"/>
    <w:rsid w:val="00200505"/>
    <w:rsid w:val="00202DA8"/>
    <w:rsid w:val="002036B9"/>
    <w:rsid w:val="00205BC9"/>
    <w:rsid w:val="00211E0B"/>
    <w:rsid w:val="00215F06"/>
    <w:rsid w:val="002256EB"/>
    <w:rsid w:val="0023210C"/>
    <w:rsid w:val="0023332C"/>
    <w:rsid w:val="00237314"/>
    <w:rsid w:val="0024302C"/>
    <w:rsid w:val="0025217E"/>
    <w:rsid w:val="0025516D"/>
    <w:rsid w:val="00260BD7"/>
    <w:rsid w:val="00260ECF"/>
    <w:rsid w:val="002645B4"/>
    <w:rsid w:val="00267F5F"/>
    <w:rsid w:val="00274F67"/>
    <w:rsid w:val="00277E36"/>
    <w:rsid w:val="00280605"/>
    <w:rsid w:val="002866C0"/>
    <w:rsid w:val="00286B4D"/>
    <w:rsid w:val="0029406B"/>
    <w:rsid w:val="00295AB5"/>
    <w:rsid w:val="002964BD"/>
    <w:rsid w:val="00297F9C"/>
    <w:rsid w:val="002A3D82"/>
    <w:rsid w:val="002B267A"/>
    <w:rsid w:val="002B584F"/>
    <w:rsid w:val="002B7CE2"/>
    <w:rsid w:val="002D4957"/>
    <w:rsid w:val="002D6955"/>
    <w:rsid w:val="002E00C5"/>
    <w:rsid w:val="002E0DE8"/>
    <w:rsid w:val="002E5C38"/>
    <w:rsid w:val="002F005F"/>
    <w:rsid w:val="002F175C"/>
    <w:rsid w:val="002F1DD7"/>
    <w:rsid w:val="002F26D5"/>
    <w:rsid w:val="003055FC"/>
    <w:rsid w:val="00311EC1"/>
    <w:rsid w:val="00320241"/>
    <w:rsid w:val="003229D8"/>
    <w:rsid w:val="00340BB7"/>
    <w:rsid w:val="00340F4A"/>
    <w:rsid w:val="00345561"/>
    <w:rsid w:val="003455BA"/>
    <w:rsid w:val="003469A0"/>
    <w:rsid w:val="00351E38"/>
    <w:rsid w:val="00352709"/>
    <w:rsid w:val="00352CA5"/>
    <w:rsid w:val="00357DF5"/>
    <w:rsid w:val="00367567"/>
    <w:rsid w:val="00371178"/>
    <w:rsid w:val="00374052"/>
    <w:rsid w:val="003822BA"/>
    <w:rsid w:val="0038336C"/>
    <w:rsid w:val="00391EB0"/>
    <w:rsid w:val="003930BF"/>
    <w:rsid w:val="0039595D"/>
    <w:rsid w:val="00396063"/>
    <w:rsid w:val="003A2452"/>
    <w:rsid w:val="003A6810"/>
    <w:rsid w:val="003B65B0"/>
    <w:rsid w:val="003B7685"/>
    <w:rsid w:val="003C2CC4"/>
    <w:rsid w:val="003C70B8"/>
    <w:rsid w:val="003D4B23"/>
    <w:rsid w:val="003D6CEA"/>
    <w:rsid w:val="003E051C"/>
    <w:rsid w:val="003E1F5C"/>
    <w:rsid w:val="003F2728"/>
    <w:rsid w:val="003F4071"/>
    <w:rsid w:val="003F69AC"/>
    <w:rsid w:val="004078D5"/>
    <w:rsid w:val="00410C89"/>
    <w:rsid w:val="004150C0"/>
    <w:rsid w:val="0042277C"/>
    <w:rsid w:val="00426B9B"/>
    <w:rsid w:val="004325CB"/>
    <w:rsid w:val="00436B33"/>
    <w:rsid w:val="00441BB2"/>
    <w:rsid w:val="00442A83"/>
    <w:rsid w:val="0045495B"/>
    <w:rsid w:val="004549AA"/>
    <w:rsid w:val="0046361F"/>
    <w:rsid w:val="0046536D"/>
    <w:rsid w:val="004663C9"/>
    <w:rsid w:val="00470C8A"/>
    <w:rsid w:val="00474E2B"/>
    <w:rsid w:val="0048220F"/>
    <w:rsid w:val="0048294A"/>
    <w:rsid w:val="004844BF"/>
    <w:rsid w:val="00487488"/>
    <w:rsid w:val="004930A8"/>
    <w:rsid w:val="004971B7"/>
    <w:rsid w:val="004A4107"/>
    <w:rsid w:val="004B283C"/>
    <w:rsid w:val="004B5CF1"/>
    <w:rsid w:val="004C1F77"/>
    <w:rsid w:val="004D2566"/>
    <w:rsid w:val="004D5662"/>
    <w:rsid w:val="004E64EE"/>
    <w:rsid w:val="004F4B07"/>
    <w:rsid w:val="005015A9"/>
    <w:rsid w:val="005046BC"/>
    <w:rsid w:val="005072A0"/>
    <w:rsid w:val="005076B5"/>
    <w:rsid w:val="00512516"/>
    <w:rsid w:val="00512732"/>
    <w:rsid w:val="00516851"/>
    <w:rsid w:val="0052136D"/>
    <w:rsid w:val="0052775E"/>
    <w:rsid w:val="00533A2C"/>
    <w:rsid w:val="00541FAA"/>
    <w:rsid w:val="005420F2"/>
    <w:rsid w:val="0055060A"/>
    <w:rsid w:val="00550766"/>
    <w:rsid w:val="005628B6"/>
    <w:rsid w:val="005674C8"/>
    <w:rsid w:val="00567651"/>
    <w:rsid w:val="0057135D"/>
    <w:rsid w:val="00582D56"/>
    <w:rsid w:val="005848B3"/>
    <w:rsid w:val="0058676C"/>
    <w:rsid w:val="00590F87"/>
    <w:rsid w:val="00592C4A"/>
    <w:rsid w:val="00593A04"/>
    <w:rsid w:val="00594B5A"/>
    <w:rsid w:val="00595861"/>
    <w:rsid w:val="00596056"/>
    <w:rsid w:val="005A3767"/>
    <w:rsid w:val="005A4F75"/>
    <w:rsid w:val="005B03FB"/>
    <w:rsid w:val="005B3DB3"/>
    <w:rsid w:val="005B5567"/>
    <w:rsid w:val="005C529F"/>
    <w:rsid w:val="005D2438"/>
    <w:rsid w:val="005F1FA1"/>
    <w:rsid w:val="005F496D"/>
    <w:rsid w:val="005F7717"/>
    <w:rsid w:val="005F7B75"/>
    <w:rsid w:val="006001EE"/>
    <w:rsid w:val="00605042"/>
    <w:rsid w:val="0061052E"/>
    <w:rsid w:val="00611FC4"/>
    <w:rsid w:val="00614B4A"/>
    <w:rsid w:val="006176FB"/>
    <w:rsid w:val="00617784"/>
    <w:rsid w:val="006228B6"/>
    <w:rsid w:val="00625916"/>
    <w:rsid w:val="006325DC"/>
    <w:rsid w:val="00640B26"/>
    <w:rsid w:val="00642542"/>
    <w:rsid w:val="00652D0A"/>
    <w:rsid w:val="00662BB6"/>
    <w:rsid w:val="0066460E"/>
    <w:rsid w:val="00672548"/>
    <w:rsid w:val="00681B72"/>
    <w:rsid w:val="00681CF8"/>
    <w:rsid w:val="00684C21"/>
    <w:rsid w:val="006864CE"/>
    <w:rsid w:val="0069283C"/>
    <w:rsid w:val="0069496D"/>
    <w:rsid w:val="006A2908"/>
    <w:rsid w:val="006A4D0F"/>
    <w:rsid w:val="006A5DD6"/>
    <w:rsid w:val="006A6215"/>
    <w:rsid w:val="006B138B"/>
    <w:rsid w:val="006C4D5F"/>
    <w:rsid w:val="006C7A0E"/>
    <w:rsid w:val="006D0E00"/>
    <w:rsid w:val="006D1971"/>
    <w:rsid w:val="006D37AF"/>
    <w:rsid w:val="006D51D0"/>
    <w:rsid w:val="006E564B"/>
    <w:rsid w:val="006E7191"/>
    <w:rsid w:val="006F3B67"/>
    <w:rsid w:val="006F4EDB"/>
    <w:rsid w:val="006F7382"/>
    <w:rsid w:val="0070167F"/>
    <w:rsid w:val="00703577"/>
    <w:rsid w:val="007124D6"/>
    <w:rsid w:val="007130F1"/>
    <w:rsid w:val="00713B7C"/>
    <w:rsid w:val="00716FE4"/>
    <w:rsid w:val="00721BF5"/>
    <w:rsid w:val="0072370E"/>
    <w:rsid w:val="0072632A"/>
    <w:rsid w:val="00730906"/>
    <w:rsid w:val="007327D5"/>
    <w:rsid w:val="007337B8"/>
    <w:rsid w:val="00744CEB"/>
    <w:rsid w:val="007507AE"/>
    <w:rsid w:val="00755E18"/>
    <w:rsid w:val="0075729B"/>
    <w:rsid w:val="007629C8"/>
    <w:rsid w:val="007934C9"/>
    <w:rsid w:val="007A265D"/>
    <w:rsid w:val="007B6BA5"/>
    <w:rsid w:val="007C3390"/>
    <w:rsid w:val="007C4F4B"/>
    <w:rsid w:val="007C784F"/>
    <w:rsid w:val="007D241B"/>
    <w:rsid w:val="007D31DB"/>
    <w:rsid w:val="007D51E1"/>
    <w:rsid w:val="007E0B2D"/>
    <w:rsid w:val="007E4DF0"/>
    <w:rsid w:val="007F6611"/>
    <w:rsid w:val="008105B8"/>
    <w:rsid w:val="008242D7"/>
    <w:rsid w:val="008257B1"/>
    <w:rsid w:val="00843767"/>
    <w:rsid w:val="00844EDC"/>
    <w:rsid w:val="00845C41"/>
    <w:rsid w:val="00852DB8"/>
    <w:rsid w:val="00854FE1"/>
    <w:rsid w:val="00855E72"/>
    <w:rsid w:val="00862179"/>
    <w:rsid w:val="0086253C"/>
    <w:rsid w:val="008678C8"/>
    <w:rsid w:val="008679D9"/>
    <w:rsid w:val="008946D5"/>
    <w:rsid w:val="00895215"/>
    <w:rsid w:val="008979B1"/>
    <w:rsid w:val="008A1DB2"/>
    <w:rsid w:val="008A6B25"/>
    <w:rsid w:val="008A6C4F"/>
    <w:rsid w:val="008A748C"/>
    <w:rsid w:val="008B1C6F"/>
    <w:rsid w:val="008B2335"/>
    <w:rsid w:val="008B25D8"/>
    <w:rsid w:val="008C3A62"/>
    <w:rsid w:val="008D4C71"/>
    <w:rsid w:val="008E0678"/>
    <w:rsid w:val="008E4B3C"/>
    <w:rsid w:val="008F134D"/>
    <w:rsid w:val="009010E4"/>
    <w:rsid w:val="00901A34"/>
    <w:rsid w:val="00901CB3"/>
    <w:rsid w:val="00906DA8"/>
    <w:rsid w:val="00906E11"/>
    <w:rsid w:val="00910181"/>
    <w:rsid w:val="00910F40"/>
    <w:rsid w:val="00912C08"/>
    <w:rsid w:val="009214E9"/>
    <w:rsid w:val="009222EC"/>
    <w:rsid w:val="009223CA"/>
    <w:rsid w:val="00932E57"/>
    <w:rsid w:val="00940F93"/>
    <w:rsid w:val="00944BDC"/>
    <w:rsid w:val="0095347F"/>
    <w:rsid w:val="00957485"/>
    <w:rsid w:val="0096264B"/>
    <w:rsid w:val="00973478"/>
    <w:rsid w:val="009760F3"/>
    <w:rsid w:val="00982114"/>
    <w:rsid w:val="009909F5"/>
    <w:rsid w:val="0099211B"/>
    <w:rsid w:val="009A0E8D"/>
    <w:rsid w:val="009A36E1"/>
    <w:rsid w:val="009B26E7"/>
    <w:rsid w:val="009B4D58"/>
    <w:rsid w:val="009C189D"/>
    <w:rsid w:val="009C1BC7"/>
    <w:rsid w:val="009C2E38"/>
    <w:rsid w:val="009C6901"/>
    <w:rsid w:val="009D2070"/>
    <w:rsid w:val="009D35CC"/>
    <w:rsid w:val="009E01D8"/>
    <w:rsid w:val="009E3660"/>
    <w:rsid w:val="009E599D"/>
    <w:rsid w:val="009F22BE"/>
    <w:rsid w:val="009F3A64"/>
    <w:rsid w:val="00A00A3F"/>
    <w:rsid w:val="00A01489"/>
    <w:rsid w:val="00A02546"/>
    <w:rsid w:val="00A06F85"/>
    <w:rsid w:val="00A10FB7"/>
    <w:rsid w:val="00A1794C"/>
    <w:rsid w:val="00A218CE"/>
    <w:rsid w:val="00A32DCF"/>
    <w:rsid w:val="00A338F1"/>
    <w:rsid w:val="00A44615"/>
    <w:rsid w:val="00A520CE"/>
    <w:rsid w:val="00A543D9"/>
    <w:rsid w:val="00A5553F"/>
    <w:rsid w:val="00A55B4E"/>
    <w:rsid w:val="00A55BE9"/>
    <w:rsid w:val="00A615F5"/>
    <w:rsid w:val="00A64FEC"/>
    <w:rsid w:val="00A72F22"/>
    <w:rsid w:val="00A7360F"/>
    <w:rsid w:val="00A748A6"/>
    <w:rsid w:val="00A769F4"/>
    <w:rsid w:val="00A76EC5"/>
    <w:rsid w:val="00A776B4"/>
    <w:rsid w:val="00A85E4E"/>
    <w:rsid w:val="00A87E10"/>
    <w:rsid w:val="00A9090C"/>
    <w:rsid w:val="00A93171"/>
    <w:rsid w:val="00A93A59"/>
    <w:rsid w:val="00A94361"/>
    <w:rsid w:val="00AA293C"/>
    <w:rsid w:val="00AA7DD3"/>
    <w:rsid w:val="00AC0375"/>
    <w:rsid w:val="00AC0EA0"/>
    <w:rsid w:val="00AC2230"/>
    <w:rsid w:val="00AC38F9"/>
    <w:rsid w:val="00AC61F3"/>
    <w:rsid w:val="00AD1787"/>
    <w:rsid w:val="00AF3088"/>
    <w:rsid w:val="00B04262"/>
    <w:rsid w:val="00B054B0"/>
    <w:rsid w:val="00B05F48"/>
    <w:rsid w:val="00B1244D"/>
    <w:rsid w:val="00B13E9B"/>
    <w:rsid w:val="00B14ED2"/>
    <w:rsid w:val="00B17298"/>
    <w:rsid w:val="00B22F4B"/>
    <w:rsid w:val="00B23EB9"/>
    <w:rsid w:val="00B27147"/>
    <w:rsid w:val="00B30179"/>
    <w:rsid w:val="00B339A7"/>
    <w:rsid w:val="00B559C8"/>
    <w:rsid w:val="00B56E4A"/>
    <w:rsid w:val="00B56E9C"/>
    <w:rsid w:val="00B57616"/>
    <w:rsid w:val="00B61BF6"/>
    <w:rsid w:val="00B64B1F"/>
    <w:rsid w:val="00B6553F"/>
    <w:rsid w:val="00B66E5E"/>
    <w:rsid w:val="00B77D05"/>
    <w:rsid w:val="00B80F80"/>
    <w:rsid w:val="00B81206"/>
    <w:rsid w:val="00B81E12"/>
    <w:rsid w:val="00B82FB2"/>
    <w:rsid w:val="00B84432"/>
    <w:rsid w:val="00B85209"/>
    <w:rsid w:val="00B9067B"/>
    <w:rsid w:val="00B9590E"/>
    <w:rsid w:val="00BA38C4"/>
    <w:rsid w:val="00BA49AC"/>
    <w:rsid w:val="00BA7FB2"/>
    <w:rsid w:val="00BB2E9F"/>
    <w:rsid w:val="00BC0577"/>
    <w:rsid w:val="00BC2C23"/>
    <w:rsid w:val="00BC3AAB"/>
    <w:rsid w:val="00BC7440"/>
    <w:rsid w:val="00BC74E9"/>
    <w:rsid w:val="00BD49B8"/>
    <w:rsid w:val="00BD7747"/>
    <w:rsid w:val="00BE3143"/>
    <w:rsid w:val="00BE6372"/>
    <w:rsid w:val="00BF3E7A"/>
    <w:rsid w:val="00BF68A8"/>
    <w:rsid w:val="00C0160F"/>
    <w:rsid w:val="00C11108"/>
    <w:rsid w:val="00C11A03"/>
    <w:rsid w:val="00C143D4"/>
    <w:rsid w:val="00C14CF8"/>
    <w:rsid w:val="00C14D9A"/>
    <w:rsid w:val="00C17023"/>
    <w:rsid w:val="00C362FB"/>
    <w:rsid w:val="00C463DD"/>
    <w:rsid w:val="00C4724C"/>
    <w:rsid w:val="00C51566"/>
    <w:rsid w:val="00C61F7E"/>
    <w:rsid w:val="00C629A0"/>
    <w:rsid w:val="00C66F17"/>
    <w:rsid w:val="00C7017B"/>
    <w:rsid w:val="00C71532"/>
    <w:rsid w:val="00C732B9"/>
    <w:rsid w:val="00C745C3"/>
    <w:rsid w:val="00C75C55"/>
    <w:rsid w:val="00C83C70"/>
    <w:rsid w:val="00C95660"/>
    <w:rsid w:val="00C96592"/>
    <w:rsid w:val="00C96613"/>
    <w:rsid w:val="00CA744D"/>
    <w:rsid w:val="00CB108B"/>
    <w:rsid w:val="00CB20AD"/>
    <w:rsid w:val="00CB2380"/>
    <w:rsid w:val="00CB5FED"/>
    <w:rsid w:val="00CC3666"/>
    <w:rsid w:val="00CD2B9D"/>
    <w:rsid w:val="00CD45C0"/>
    <w:rsid w:val="00CD4667"/>
    <w:rsid w:val="00CE4A8F"/>
    <w:rsid w:val="00CF1A98"/>
    <w:rsid w:val="00D10C6C"/>
    <w:rsid w:val="00D12341"/>
    <w:rsid w:val="00D13B20"/>
    <w:rsid w:val="00D2031B"/>
    <w:rsid w:val="00D25592"/>
    <w:rsid w:val="00D25FE2"/>
    <w:rsid w:val="00D3268A"/>
    <w:rsid w:val="00D43252"/>
    <w:rsid w:val="00D47C75"/>
    <w:rsid w:val="00D47EEA"/>
    <w:rsid w:val="00D54B27"/>
    <w:rsid w:val="00D72FA0"/>
    <w:rsid w:val="00D738F9"/>
    <w:rsid w:val="00D80B57"/>
    <w:rsid w:val="00D8286A"/>
    <w:rsid w:val="00D92BAD"/>
    <w:rsid w:val="00D95303"/>
    <w:rsid w:val="00D96D78"/>
    <w:rsid w:val="00D978C6"/>
    <w:rsid w:val="00DA06EA"/>
    <w:rsid w:val="00DA206E"/>
    <w:rsid w:val="00DA3111"/>
    <w:rsid w:val="00DA3C1C"/>
    <w:rsid w:val="00DB0C79"/>
    <w:rsid w:val="00DB65E3"/>
    <w:rsid w:val="00DC5A78"/>
    <w:rsid w:val="00DC7053"/>
    <w:rsid w:val="00DF0EAC"/>
    <w:rsid w:val="00DF1E04"/>
    <w:rsid w:val="00DF41C1"/>
    <w:rsid w:val="00E0026C"/>
    <w:rsid w:val="00E0440B"/>
    <w:rsid w:val="00E1679B"/>
    <w:rsid w:val="00E27346"/>
    <w:rsid w:val="00E36F2F"/>
    <w:rsid w:val="00E44F29"/>
    <w:rsid w:val="00E45EC4"/>
    <w:rsid w:val="00E52426"/>
    <w:rsid w:val="00E528F1"/>
    <w:rsid w:val="00E66669"/>
    <w:rsid w:val="00E71BC8"/>
    <w:rsid w:val="00E7260F"/>
    <w:rsid w:val="00E73DAA"/>
    <w:rsid w:val="00E7630C"/>
    <w:rsid w:val="00E779FC"/>
    <w:rsid w:val="00E82B73"/>
    <w:rsid w:val="00E95D55"/>
    <w:rsid w:val="00E96630"/>
    <w:rsid w:val="00E973D6"/>
    <w:rsid w:val="00EA7051"/>
    <w:rsid w:val="00EB2581"/>
    <w:rsid w:val="00EC25E8"/>
    <w:rsid w:val="00ED22CB"/>
    <w:rsid w:val="00ED5E44"/>
    <w:rsid w:val="00ED7A2A"/>
    <w:rsid w:val="00EE045C"/>
    <w:rsid w:val="00EF017F"/>
    <w:rsid w:val="00EF1D7F"/>
    <w:rsid w:val="00EF73FA"/>
    <w:rsid w:val="00F14034"/>
    <w:rsid w:val="00F20C3D"/>
    <w:rsid w:val="00F22462"/>
    <w:rsid w:val="00F239E8"/>
    <w:rsid w:val="00F26365"/>
    <w:rsid w:val="00F26795"/>
    <w:rsid w:val="00F27966"/>
    <w:rsid w:val="00F330F4"/>
    <w:rsid w:val="00F37C7A"/>
    <w:rsid w:val="00F416CC"/>
    <w:rsid w:val="00F43E9E"/>
    <w:rsid w:val="00F4487D"/>
    <w:rsid w:val="00F45A76"/>
    <w:rsid w:val="00F47ADB"/>
    <w:rsid w:val="00F502EB"/>
    <w:rsid w:val="00F568C4"/>
    <w:rsid w:val="00F57351"/>
    <w:rsid w:val="00F71CB9"/>
    <w:rsid w:val="00F738EF"/>
    <w:rsid w:val="00F9057C"/>
    <w:rsid w:val="00F906D7"/>
    <w:rsid w:val="00F9075D"/>
    <w:rsid w:val="00F91041"/>
    <w:rsid w:val="00F92E4A"/>
    <w:rsid w:val="00F93781"/>
    <w:rsid w:val="00F94F12"/>
    <w:rsid w:val="00FA74B0"/>
    <w:rsid w:val="00FB613B"/>
    <w:rsid w:val="00FC1356"/>
    <w:rsid w:val="00FC21E2"/>
    <w:rsid w:val="00FC6593"/>
    <w:rsid w:val="00FC68B7"/>
    <w:rsid w:val="00FC6DD3"/>
    <w:rsid w:val="00FC77C3"/>
    <w:rsid w:val="00FC7EC9"/>
    <w:rsid w:val="00FD3F73"/>
    <w:rsid w:val="00FD4EC3"/>
    <w:rsid w:val="00FE106A"/>
    <w:rsid w:val="00FE242F"/>
    <w:rsid w:val="00FE4528"/>
    <w:rsid w:val="00FE5C77"/>
    <w:rsid w:val="00FF221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6A290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6A2908"/>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CC3666"/>
    <w:rPr>
      <w:rFonts w:eastAsia="SimSun"/>
      <w:sz w:val="18"/>
      <w:lang w:val="en-US" w:eastAsia="zh-CN"/>
    </w:rPr>
  </w:style>
  <w:style w:type="paragraph" w:styleId="BalloonText">
    <w:name w:val="Balloon Text"/>
    <w:basedOn w:val="Normal"/>
    <w:link w:val="BalloonTextChar"/>
    <w:rsid w:val="00CC3666"/>
    <w:pPr>
      <w:spacing w:line="240" w:lineRule="auto"/>
    </w:pPr>
    <w:rPr>
      <w:rFonts w:ascii="Tahoma" w:hAnsi="Tahoma"/>
      <w:sz w:val="16"/>
      <w:szCs w:val="16"/>
      <w:lang w:val="x-none"/>
    </w:rPr>
  </w:style>
  <w:style w:type="character" w:customStyle="1" w:styleId="BalloonTextChar">
    <w:name w:val="Balloon Text Char"/>
    <w:link w:val="BalloonText"/>
    <w:rsid w:val="00CC3666"/>
    <w:rPr>
      <w:rFonts w:ascii="Tahoma" w:hAnsi="Tahoma"/>
      <w:sz w:val="16"/>
      <w:szCs w:val="16"/>
      <w:lang w:eastAsia="en-US"/>
    </w:rPr>
  </w:style>
  <w:style w:type="character" w:customStyle="1" w:styleId="SingleTxtGChar">
    <w:name w:val="_ Single Txt_G Char"/>
    <w:link w:val="SingleTxtG"/>
    <w:rsid w:val="00CC3666"/>
    <w:rPr>
      <w:lang w:eastAsia="en-US"/>
    </w:rPr>
  </w:style>
  <w:style w:type="character" w:customStyle="1" w:styleId="sectionlabel">
    <w:name w:val="sectionlabel"/>
    <w:rsid w:val="00CC3666"/>
  </w:style>
  <w:style w:type="character" w:customStyle="1" w:styleId="canliisectionwithsubsection">
    <w:name w:val="canlii_section_with_subsection"/>
    <w:rsid w:val="00CC3666"/>
  </w:style>
  <w:style w:type="character" w:styleId="Emphasis">
    <w:name w:val="Emphasis"/>
    <w:uiPriority w:val="20"/>
    <w:qFormat/>
    <w:rsid w:val="00CC3666"/>
    <w:rPr>
      <w:b/>
      <w:bCs/>
      <w:i w:val="0"/>
      <w:iCs w:val="0"/>
    </w:rPr>
  </w:style>
  <w:style w:type="character" w:customStyle="1" w:styleId="st">
    <w:name w:val="st"/>
    <w:rsid w:val="00CC3666"/>
  </w:style>
  <w:style w:type="paragraph" w:styleId="NoSpacing">
    <w:name w:val="No Spacing"/>
    <w:uiPriority w:val="1"/>
    <w:qFormat/>
    <w:rsid w:val="00C96613"/>
    <w:rPr>
      <w:rFonts w:ascii="Calibri" w:eastAsia="Calibri" w:hAnsi="Calibri"/>
      <w:sz w:val="22"/>
      <w:szCs w:val="22"/>
      <w:lang w:eastAsia="en-US"/>
    </w:rPr>
  </w:style>
  <w:style w:type="character" w:customStyle="1" w:styleId="sb8d990e2">
    <w:name w:val="sb8d990e2"/>
    <w:rsid w:val="00F91041"/>
  </w:style>
  <w:style w:type="character" w:customStyle="1" w:styleId="s6b621b36">
    <w:name w:val="s6b621b36"/>
    <w:rsid w:val="00F91041"/>
  </w:style>
  <w:style w:type="paragraph" w:customStyle="1" w:styleId="Default">
    <w:name w:val="Default"/>
    <w:rsid w:val="00FF2214"/>
    <w:pPr>
      <w:autoSpaceDE w:val="0"/>
      <w:autoSpaceDN w:val="0"/>
      <w:adjustRightInd w:val="0"/>
    </w:pPr>
    <w:rPr>
      <w:rFonts w:eastAsia="Calibri"/>
      <w:color w:val="000000"/>
      <w:sz w:val="24"/>
      <w:szCs w:val="24"/>
    </w:rPr>
  </w:style>
  <w:style w:type="paragraph" w:customStyle="1" w:styleId="USSamtale-Brdtekst">
    <w:name w:val="US Samtale - Brødtekst"/>
    <w:basedOn w:val="Normal"/>
    <w:qFormat/>
    <w:rsid w:val="00744CEB"/>
    <w:pPr>
      <w:tabs>
        <w:tab w:val="left" w:pos="3402"/>
        <w:tab w:val="left" w:pos="6577"/>
      </w:tabs>
      <w:suppressAutoHyphens w:val="0"/>
      <w:spacing w:after="280" w:line="20" w:lineRule="atLeast"/>
      <w:ind w:left="283"/>
      <w:jc w:val="both"/>
    </w:pPr>
    <w:rPr>
      <w:sz w:val="24"/>
      <w:szCs w:val="24"/>
      <w:lang w:val="da-DK" w:eastAsia="da-DK"/>
    </w:rPr>
  </w:style>
  <w:style w:type="character" w:customStyle="1" w:styleId="HeaderChar">
    <w:name w:val="Header Char"/>
    <w:aliases w:val="6_G Char"/>
    <w:link w:val="Header"/>
    <w:uiPriority w:val="99"/>
    <w:rsid w:val="00345561"/>
    <w:rPr>
      <w:b/>
      <w:sz w:val="18"/>
      <w:lang w:eastAsia="en-US"/>
    </w:rPr>
  </w:style>
  <w:style w:type="character" w:customStyle="1" w:styleId="apple-converted-space">
    <w:name w:val="apple-converted-space"/>
    <w:basedOn w:val="DefaultParagraphFont"/>
    <w:rsid w:val="00854FE1"/>
  </w:style>
  <w:style w:type="character" w:styleId="CommentReference">
    <w:name w:val="annotation reference"/>
    <w:basedOn w:val="DefaultParagraphFont"/>
    <w:rsid w:val="00CD2B9D"/>
    <w:rPr>
      <w:sz w:val="16"/>
      <w:szCs w:val="16"/>
    </w:rPr>
  </w:style>
  <w:style w:type="paragraph" w:styleId="CommentText">
    <w:name w:val="annotation text"/>
    <w:basedOn w:val="Normal"/>
    <w:link w:val="CommentTextChar"/>
    <w:rsid w:val="00CD2B9D"/>
    <w:pPr>
      <w:spacing w:line="240" w:lineRule="auto"/>
    </w:pPr>
  </w:style>
  <w:style w:type="character" w:customStyle="1" w:styleId="CommentTextChar">
    <w:name w:val="Comment Text Char"/>
    <w:basedOn w:val="DefaultParagraphFont"/>
    <w:link w:val="CommentText"/>
    <w:rsid w:val="00CD2B9D"/>
    <w:rPr>
      <w:lang w:eastAsia="en-US"/>
    </w:rPr>
  </w:style>
  <w:style w:type="paragraph" w:styleId="CommentSubject">
    <w:name w:val="annotation subject"/>
    <w:basedOn w:val="CommentText"/>
    <w:next w:val="CommentText"/>
    <w:link w:val="CommentSubjectChar"/>
    <w:rsid w:val="00CD2B9D"/>
    <w:rPr>
      <w:b/>
      <w:bCs/>
    </w:rPr>
  </w:style>
  <w:style w:type="character" w:customStyle="1" w:styleId="CommentSubjectChar">
    <w:name w:val="Comment Subject Char"/>
    <w:basedOn w:val="CommentTextChar"/>
    <w:link w:val="CommentSubject"/>
    <w:rsid w:val="00CD2B9D"/>
    <w:rPr>
      <w:b/>
      <w:bCs/>
      <w:lang w:eastAsia="en-US"/>
    </w:rPr>
  </w:style>
  <w:style w:type="paragraph" w:styleId="Revision">
    <w:name w:val="Revision"/>
    <w:hidden/>
    <w:uiPriority w:val="99"/>
    <w:semiHidden/>
    <w:rsid w:val="00CD2B9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6A290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6A2908"/>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CC3666"/>
    <w:rPr>
      <w:rFonts w:eastAsia="SimSun"/>
      <w:sz w:val="18"/>
      <w:lang w:val="en-US" w:eastAsia="zh-CN"/>
    </w:rPr>
  </w:style>
  <w:style w:type="paragraph" w:styleId="BalloonText">
    <w:name w:val="Balloon Text"/>
    <w:basedOn w:val="Normal"/>
    <w:link w:val="BalloonTextChar"/>
    <w:rsid w:val="00CC3666"/>
    <w:pPr>
      <w:spacing w:line="240" w:lineRule="auto"/>
    </w:pPr>
    <w:rPr>
      <w:rFonts w:ascii="Tahoma" w:hAnsi="Tahoma"/>
      <w:sz w:val="16"/>
      <w:szCs w:val="16"/>
      <w:lang w:val="x-none"/>
    </w:rPr>
  </w:style>
  <w:style w:type="character" w:customStyle="1" w:styleId="BalloonTextChar">
    <w:name w:val="Balloon Text Char"/>
    <w:link w:val="BalloonText"/>
    <w:rsid w:val="00CC3666"/>
    <w:rPr>
      <w:rFonts w:ascii="Tahoma" w:hAnsi="Tahoma"/>
      <w:sz w:val="16"/>
      <w:szCs w:val="16"/>
      <w:lang w:eastAsia="en-US"/>
    </w:rPr>
  </w:style>
  <w:style w:type="character" w:customStyle="1" w:styleId="SingleTxtGChar">
    <w:name w:val="_ Single Txt_G Char"/>
    <w:link w:val="SingleTxtG"/>
    <w:rsid w:val="00CC3666"/>
    <w:rPr>
      <w:lang w:eastAsia="en-US"/>
    </w:rPr>
  </w:style>
  <w:style w:type="character" w:customStyle="1" w:styleId="sectionlabel">
    <w:name w:val="sectionlabel"/>
    <w:rsid w:val="00CC3666"/>
  </w:style>
  <w:style w:type="character" w:customStyle="1" w:styleId="canliisectionwithsubsection">
    <w:name w:val="canlii_section_with_subsection"/>
    <w:rsid w:val="00CC3666"/>
  </w:style>
  <w:style w:type="character" w:styleId="Emphasis">
    <w:name w:val="Emphasis"/>
    <w:uiPriority w:val="20"/>
    <w:qFormat/>
    <w:rsid w:val="00CC3666"/>
    <w:rPr>
      <w:b/>
      <w:bCs/>
      <w:i w:val="0"/>
      <w:iCs w:val="0"/>
    </w:rPr>
  </w:style>
  <w:style w:type="character" w:customStyle="1" w:styleId="st">
    <w:name w:val="st"/>
    <w:rsid w:val="00CC3666"/>
  </w:style>
  <w:style w:type="paragraph" w:styleId="NoSpacing">
    <w:name w:val="No Spacing"/>
    <w:uiPriority w:val="1"/>
    <w:qFormat/>
    <w:rsid w:val="00C96613"/>
    <w:rPr>
      <w:rFonts w:ascii="Calibri" w:eastAsia="Calibri" w:hAnsi="Calibri"/>
      <w:sz w:val="22"/>
      <w:szCs w:val="22"/>
      <w:lang w:eastAsia="en-US"/>
    </w:rPr>
  </w:style>
  <w:style w:type="character" w:customStyle="1" w:styleId="sb8d990e2">
    <w:name w:val="sb8d990e2"/>
    <w:rsid w:val="00F91041"/>
  </w:style>
  <w:style w:type="character" w:customStyle="1" w:styleId="s6b621b36">
    <w:name w:val="s6b621b36"/>
    <w:rsid w:val="00F91041"/>
  </w:style>
  <w:style w:type="paragraph" w:customStyle="1" w:styleId="Default">
    <w:name w:val="Default"/>
    <w:rsid w:val="00FF2214"/>
    <w:pPr>
      <w:autoSpaceDE w:val="0"/>
      <w:autoSpaceDN w:val="0"/>
      <w:adjustRightInd w:val="0"/>
    </w:pPr>
    <w:rPr>
      <w:rFonts w:eastAsia="Calibri"/>
      <w:color w:val="000000"/>
      <w:sz w:val="24"/>
      <w:szCs w:val="24"/>
    </w:rPr>
  </w:style>
  <w:style w:type="paragraph" w:customStyle="1" w:styleId="USSamtale-Brdtekst">
    <w:name w:val="US Samtale - Brødtekst"/>
    <w:basedOn w:val="Normal"/>
    <w:qFormat/>
    <w:rsid w:val="00744CEB"/>
    <w:pPr>
      <w:tabs>
        <w:tab w:val="left" w:pos="3402"/>
        <w:tab w:val="left" w:pos="6577"/>
      </w:tabs>
      <w:suppressAutoHyphens w:val="0"/>
      <w:spacing w:after="280" w:line="20" w:lineRule="atLeast"/>
      <w:ind w:left="283"/>
      <w:jc w:val="both"/>
    </w:pPr>
    <w:rPr>
      <w:sz w:val="24"/>
      <w:szCs w:val="24"/>
      <w:lang w:val="da-DK" w:eastAsia="da-DK"/>
    </w:rPr>
  </w:style>
  <w:style w:type="character" w:customStyle="1" w:styleId="HeaderChar">
    <w:name w:val="Header Char"/>
    <w:aliases w:val="6_G Char"/>
    <w:link w:val="Header"/>
    <w:uiPriority w:val="99"/>
    <w:rsid w:val="00345561"/>
    <w:rPr>
      <w:b/>
      <w:sz w:val="18"/>
      <w:lang w:eastAsia="en-US"/>
    </w:rPr>
  </w:style>
  <w:style w:type="character" w:customStyle="1" w:styleId="apple-converted-space">
    <w:name w:val="apple-converted-space"/>
    <w:basedOn w:val="DefaultParagraphFont"/>
    <w:rsid w:val="00854FE1"/>
  </w:style>
  <w:style w:type="character" w:styleId="CommentReference">
    <w:name w:val="annotation reference"/>
    <w:basedOn w:val="DefaultParagraphFont"/>
    <w:rsid w:val="00CD2B9D"/>
    <w:rPr>
      <w:sz w:val="16"/>
      <w:szCs w:val="16"/>
    </w:rPr>
  </w:style>
  <w:style w:type="paragraph" w:styleId="CommentText">
    <w:name w:val="annotation text"/>
    <w:basedOn w:val="Normal"/>
    <w:link w:val="CommentTextChar"/>
    <w:rsid w:val="00CD2B9D"/>
    <w:pPr>
      <w:spacing w:line="240" w:lineRule="auto"/>
    </w:pPr>
  </w:style>
  <w:style w:type="character" w:customStyle="1" w:styleId="CommentTextChar">
    <w:name w:val="Comment Text Char"/>
    <w:basedOn w:val="DefaultParagraphFont"/>
    <w:link w:val="CommentText"/>
    <w:rsid w:val="00CD2B9D"/>
    <w:rPr>
      <w:lang w:eastAsia="en-US"/>
    </w:rPr>
  </w:style>
  <w:style w:type="paragraph" w:styleId="CommentSubject">
    <w:name w:val="annotation subject"/>
    <w:basedOn w:val="CommentText"/>
    <w:next w:val="CommentText"/>
    <w:link w:val="CommentSubjectChar"/>
    <w:rsid w:val="00CD2B9D"/>
    <w:rPr>
      <w:b/>
      <w:bCs/>
    </w:rPr>
  </w:style>
  <w:style w:type="character" w:customStyle="1" w:styleId="CommentSubjectChar">
    <w:name w:val="Comment Subject Char"/>
    <w:basedOn w:val="CommentTextChar"/>
    <w:link w:val="CommentSubject"/>
    <w:rsid w:val="00CD2B9D"/>
    <w:rPr>
      <w:b/>
      <w:bCs/>
      <w:lang w:eastAsia="en-US"/>
    </w:rPr>
  </w:style>
  <w:style w:type="paragraph" w:styleId="Revision">
    <w:name w:val="Revision"/>
    <w:hidden/>
    <w:uiPriority w:val="99"/>
    <w:semiHidden/>
    <w:rsid w:val="00CD2B9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37274">
      <w:bodyDiv w:val="1"/>
      <w:marLeft w:val="0"/>
      <w:marRight w:val="0"/>
      <w:marTop w:val="0"/>
      <w:marBottom w:val="0"/>
      <w:divBdr>
        <w:top w:val="none" w:sz="0" w:space="0" w:color="auto"/>
        <w:left w:val="none" w:sz="0" w:space="0" w:color="auto"/>
        <w:bottom w:val="none" w:sz="0" w:space="0" w:color="auto"/>
        <w:right w:val="none" w:sz="0" w:space="0" w:color="auto"/>
      </w:divBdr>
    </w:div>
    <w:div w:id="167919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hudoc.echr.coe.int/sites/eng/pages/search.aspx" TargetMode="External"/><Relationship Id="rId2" Type="http://schemas.openxmlformats.org/officeDocument/2006/relationships/hyperlink" Target="http://hudoc.echr.coe.int/sites/eng/pages/search.aspx" TargetMode="External"/><Relationship Id="rId1" Type="http://schemas.openxmlformats.org/officeDocument/2006/relationships/hyperlink" Target="http://www.dublin-project.eu/dublin/Dublin-news/New-report-Dublin-II-regulation-lives-on-hol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D9CDA-40D0-4C52-946C-CAAE1D48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10</Pages>
  <Words>4178</Words>
  <Characters>23819</Characters>
  <Application>Microsoft Office Word</Application>
  <DocSecurity>0</DocSecurity>
  <Lines>198</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27942</CharactersWithSpaces>
  <SharedDoc>false</SharedDoc>
  <HLinks>
    <vt:vector size="18" baseType="variant">
      <vt:variant>
        <vt:i4>5636180</vt:i4>
      </vt:variant>
      <vt:variant>
        <vt:i4>6</vt:i4>
      </vt:variant>
      <vt:variant>
        <vt:i4>0</vt:i4>
      </vt:variant>
      <vt:variant>
        <vt:i4>5</vt:i4>
      </vt:variant>
      <vt:variant>
        <vt:lpwstr>http://hudoc.echr.coe.int/sites/eng/pages/search.aspx</vt:lpwstr>
      </vt:variant>
      <vt:variant>
        <vt:lpwstr>{"appno":["11449/07"]}</vt:lpwstr>
      </vt:variant>
      <vt:variant>
        <vt:i4>4784140</vt:i4>
      </vt:variant>
      <vt:variant>
        <vt:i4>3</vt:i4>
      </vt:variant>
      <vt:variant>
        <vt:i4>0</vt:i4>
      </vt:variant>
      <vt:variant>
        <vt:i4>5</vt:i4>
      </vt:variant>
      <vt:variant>
        <vt:lpwstr>http://hudoc.echr.coe.int/sites/eng/pages/search.aspx</vt:lpwstr>
      </vt:variant>
      <vt:variant>
        <vt:lpwstr>{"appno":["8319/07"]}</vt:lpwstr>
      </vt:variant>
      <vt:variant>
        <vt:i4>3866667</vt:i4>
      </vt:variant>
      <vt:variant>
        <vt:i4>0</vt:i4>
      </vt:variant>
      <vt:variant>
        <vt:i4>0</vt:i4>
      </vt:variant>
      <vt:variant>
        <vt:i4>5</vt:i4>
      </vt:variant>
      <vt:variant>
        <vt:lpwstr>http://www.dublin-project.eu/dublin/Dublin-news/New-report- Dublin-II-regulation-lives-on-hold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Viktoria Saprykina-Houdemer</dc:creator>
  <cp:lastModifiedBy>Ashley Bunting Seeber</cp:lastModifiedBy>
  <cp:revision>2</cp:revision>
  <cp:lastPrinted>2015-05-12T10:13:00Z</cp:lastPrinted>
  <dcterms:created xsi:type="dcterms:W3CDTF">2015-08-28T06:37:00Z</dcterms:created>
  <dcterms:modified xsi:type="dcterms:W3CDTF">2015-08-28T06:37:00Z</dcterms:modified>
</cp:coreProperties>
</file>