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66683F" w:rsidP="00B947AC">
            <w:pPr>
              <w:jc w:val="right"/>
            </w:pPr>
            <w:r w:rsidRPr="0066683F">
              <w:rPr>
                <w:sz w:val="40"/>
              </w:rPr>
              <w:t>CAT</w:t>
            </w:r>
            <w:r>
              <w:t>/C/52/D/483/2011</w:t>
            </w:r>
            <w:r w:rsidR="00B947AC">
              <w:t>-</w:t>
            </w:r>
            <w:r w:rsidR="008B2AD6">
              <w:t xml:space="preserve"> </w:t>
            </w:r>
            <w:r w:rsidR="00B947AC" w:rsidRPr="0066683F">
              <w:rPr>
                <w:sz w:val="40"/>
              </w:rPr>
              <w:t>CAT</w:t>
            </w:r>
            <w:r w:rsidR="00B947AC">
              <w:t>/C/52/D/</w:t>
            </w:r>
            <w:r w:rsidR="00502AFD">
              <w:t>485/2011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E7707E"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922A55" w:rsidRPr="00B1790C" w:rsidRDefault="0066683F" w:rsidP="00922A55">
            <w:pPr>
              <w:spacing w:before="240" w:line="240" w:lineRule="exact"/>
              <w:rPr>
                <w:rFonts w:eastAsia="SimSun"/>
                <w:sz w:val="24"/>
                <w:szCs w:val="24"/>
                <w:lang w:eastAsia="zh-CN"/>
              </w:rPr>
            </w:pPr>
            <w:r>
              <w:t xml:space="preserve">Distr.: </w:t>
            </w:r>
            <w:r w:rsidR="002B52BC">
              <w:t>General</w:t>
            </w:r>
          </w:p>
          <w:p w:rsidR="0066683F" w:rsidRDefault="00B947AC" w:rsidP="00102AEE">
            <w:pPr>
              <w:spacing w:line="240" w:lineRule="exact"/>
            </w:pPr>
            <w:r>
              <w:t>5 August</w:t>
            </w:r>
            <w:r w:rsidR="0066683F">
              <w:t xml:space="preserve"> 2014</w:t>
            </w:r>
          </w:p>
          <w:p w:rsidR="0066683F" w:rsidRDefault="0066683F" w:rsidP="0066683F">
            <w:pPr>
              <w:spacing w:line="240" w:lineRule="exact"/>
            </w:pPr>
          </w:p>
          <w:p w:rsidR="0066683F" w:rsidRDefault="0066683F" w:rsidP="0066683F">
            <w:pPr>
              <w:spacing w:line="240" w:lineRule="exact"/>
            </w:pPr>
            <w:r>
              <w:t>Original: English</w:t>
            </w:r>
          </w:p>
        </w:tc>
      </w:tr>
    </w:tbl>
    <w:p w:rsidR="00C11C69" w:rsidRPr="00DA41C2" w:rsidRDefault="00C11C69" w:rsidP="003E23DC">
      <w:pPr>
        <w:spacing w:before="120"/>
        <w:rPr>
          <w:b/>
          <w:sz w:val="24"/>
          <w:szCs w:val="24"/>
        </w:rPr>
      </w:pPr>
      <w:r w:rsidRPr="00DA41C2">
        <w:rPr>
          <w:b/>
          <w:sz w:val="24"/>
          <w:szCs w:val="24"/>
        </w:rPr>
        <w:t>Committee against Torture</w:t>
      </w:r>
      <w:r w:rsidR="00E7707E">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011&amp;Size=2 &amp;Lang=E"/>
            <w10:wrap anchorx="margin" anchory="margin"/>
          </v:shape>
        </w:pict>
      </w:r>
    </w:p>
    <w:p w:rsidR="00C11C69" w:rsidRPr="00DA41C2" w:rsidRDefault="00C11C69" w:rsidP="00C11C69">
      <w:pPr>
        <w:pStyle w:val="HChG"/>
      </w:pPr>
      <w:r w:rsidRPr="00DA41C2">
        <w:tab/>
      </w:r>
      <w:r w:rsidRPr="00DA41C2">
        <w:tab/>
        <w:t>Communication</w:t>
      </w:r>
      <w:r w:rsidR="00BD530F">
        <w:t>s</w:t>
      </w:r>
      <w:r w:rsidRPr="00DA41C2">
        <w:t xml:space="preserve"> No</w:t>
      </w:r>
      <w:r w:rsidR="00B947AC">
        <w:t>s</w:t>
      </w:r>
      <w:r w:rsidRPr="00DA41C2">
        <w:t xml:space="preserve">. </w:t>
      </w:r>
      <w:r>
        <w:t>483/2011 and</w:t>
      </w:r>
      <w:r w:rsidR="004B4A2B">
        <w:t xml:space="preserve"> </w:t>
      </w:r>
      <w:r>
        <w:t>485/2011</w:t>
      </w:r>
      <w:r w:rsidRPr="00DA41C2">
        <w:t xml:space="preserve"> </w:t>
      </w:r>
    </w:p>
    <w:p w:rsidR="0052490F" w:rsidRDefault="003E23DC" w:rsidP="00096A69">
      <w:pPr>
        <w:pStyle w:val="H1G"/>
      </w:pPr>
      <w:r>
        <w:tab/>
      </w:r>
      <w:r>
        <w:tab/>
      </w:r>
      <w:r w:rsidR="0052490F">
        <w:t xml:space="preserve">Decision adopted by the Committee at its fifty-second session </w:t>
      </w:r>
      <w:r w:rsidR="0052490F">
        <w:br/>
      </w:r>
      <w:r w:rsidR="00096A69">
        <w:t>(</w:t>
      </w:r>
      <w:r w:rsidR="0052490F">
        <w:t>28 April–23 May</w:t>
      </w:r>
      <w:r w:rsidR="00341033">
        <w:t xml:space="preserve"> 2014</w:t>
      </w:r>
      <w:r w:rsidR="00096A69">
        <w:t>)</w:t>
      </w:r>
    </w:p>
    <w:p w:rsidR="00C11C69" w:rsidRPr="00C11C69" w:rsidRDefault="00C11C69" w:rsidP="002A6A63">
      <w:pPr>
        <w:spacing w:after="120"/>
        <w:ind w:left="4536" w:right="1134" w:hanging="3402"/>
        <w:rPr>
          <w:rFonts w:eastAsia="SimSun"/>
          <w:lang w:eastAsia="zh-CN"/>
        </w:rPr>
      </w:pPr>
      <w:r w:rsidRPr="00C11C69">
        <w:rPr>
          <w:rFonts w:eastAsia="SimSun"/>
          <w:i/>
          <w:lang w:eastAsia="zh-CN"/>
        </w:rPr>
        <w:t>Submitted by:</w:t>
      </w:r>
      <w:r w:rsidRPr="00C11C69">
        <w:rPr>
          <w:rFonts w:eastAsia="SimSun"/>
          <w:i/>
          <w:lang w:eastAsia="zh-CN"/>
        </w:rPr>
        <w:tab/>
      </w:r>
      <w:r w:rsidRPr="00C11C69">
        <w:rPr>
          <w:rFonts w:eastAsia="SimSun"/>
          <w:lang w:eastAsia="zh-CN"/>
        </w:rPr>
        <w:t>Mr. X and Mr. Z</w:t>
      </w:r>
      <w:r w:rsidR="00102AEE">
        <w:rPr>
          <w:rFonts w:eastAsia="SimSun"/>
          <w:lang w:eastAsia="zh-CN"/>
        </w:rPr>
        <w:t>,</w:t>
      </w:r>
      <w:r w:rsidRPr="00C11C69">
        <w:rPr>
          <w:rFonts w:eastAsia="SimSun"/>
          <w:lang w:eastAsia="zh-CN"/>
        </w:rPr>
        <w:t xml:space="preserve"> both represented by Marjaana Laine of </w:t>
      </w:r>
      <w:r w:rsidR="002A6A63">
        <w:rPr>
          <w:rFonts w:eastAsia="SimSun"/>
          <w:lang w:eastAsia="zh-CN"/>
        </w:rPr>
        <w:t>t</w:t>
      </w:r>
      <w:r w:rsidRPr="00C11C69">
        <w:rPr>
          <w:rFonts w:eastAsia="SimSun"/>
          <w:lang w:eastAsia="zh-CN"/>
        </w:rPr>
        <w:t>he Refugee Advice Centr</w:t>
      </w:r>
      <w:r w:rsidR="002A6A63">
        <w:rPr>
          <w:rFonts w:eastAsia="SimSun"/>
          <w:lang w:eastAsia="zh-CN"/>
        </w:rPr>
        <w:t>e</w:t>
      </w:r>
    </w:p>
    <w:p w:rsidR="00C11C69" w:rsidRPr="00C11C69" w:rsidRDefault="00C11C69" w:rsidP="00235200">
      <w:pPr>
        <w:suppressAutoHyphens w:val="0"/>
        <w:spacing w:after="120" w:line="240" w:lineRule="exact"/>
        <w:ind w:left="4536" w:right="1134" w:hanging="3402"/>
        <w:jc w:val="both"/>
        <w:rPr>
          <w:rFonts w:eastAsia="SimSun"/>
          <w:lang w:val="en-US" w:eastAsia="zh-CN"/>
        </w:rPr>
      </w:pPr>
      <w:r w:rsidRPr="00C11C69">
        <w:rPr>
          <w:rFonts w:eastAsia="SimSun"/>
          <w:i/>
          <w:lang w:eastAsia="zh-CN"/>
        </w:rPr>
        <w:t>Alleged victim</w:t>
      </w:r>
      <w:r w:rsidR="00646C82">
        <w:rPr>
          <w:rFonts w:eastAsia="SimSun"/>
          <w:i/>
          <w:lang w:eastAsia="zh-CN"/>
        </w:rPr>
        <w:t>s</w:t>
      </w:r>
      <w:r w:rsidRPr="00C11C69">
        <w:rPr>
          <w:rFonts w:eastAsia="SimSun"/>
          <w:i/>
          <w:lang w:eastAsia="zh-CN"/>
        </w:rPr>
        <w:t>:</w:t>
      </w:r>
      <w:r w:rsidRPr="00C11C69">
        <w:rPr>
          <w:rFonts w:eastAsia="SimSun"/>
          <w:i/>
          <w:lang w:eastAsia="zh-CN"/>
        </w:rPr>
        <w:tab/>
      </w:r>
      <w:r w:rsidRPr="00C11C69">
        <w:rPr>
          <w:rFonts w:eastAsia="SimSun"/>
          <w:lang w:eastAsia="zh-CN"/>
        </w:rPr>
        <w:t>The complainant</w:t>
      </w:r>
      <w:r w:rsidRPr="00C11C69">
        <w:rPr>
          <w:rFonts w:eastAsia="SimSun"/>
          <w:lang w:val="en-US" w:eastAsia="zh-CN"/>
        </w:rPr>
        <w:t>s</w:t>
      </w:r>
    </w:p>
    <w:p w:rsidR="00C11C69" w:rsidRPr="00C11C69" w:rsidRDefault="00C11C69" w:rsidP="00C11C69">
      <w:pPr>
        <w:suppressAutoHyphens w:val="0"/>
        <w:spacing w:after="120" w:line="240" w:lineRule="exact"/>
        <w:ind w:left="4536" w:right="1134" w:hanging="3402"/>
        <w:jc w:val="both"/>
        <w:rPr>
          <w:rFonts w:eastAsia="SimSun"/>
          <w:lang w:eastAsia="zh-CN"/>
        </w:rPr>
      </w:pPr>
      <w:r w:rsidRPr="00C11C69">
        <w:rPr>
          <w:rFonts w:eastAsia="SimSun"/>
          <w:i/>
          <w:lang w:eastAsia="zh-CN"/>
        </w:rPr>
        <w:t>State party:</w:t>
      </w:r>
      <w:r w:rsidRPr="00C11C69">
        <w:rPr>
          <w:rFonts w:eastAsia="SimSun"/>
          <w:i/>
          <w:lang w:eastAsia="zh-CN"/>
        </w:rPr>
        <w:tab/>
      </w:r>
      <w:r w:rsidRPr="00C11C69">
        <w:rPr>
          <w:rFonts w:eastAsia="SimSun"/>
          <w:lang w:eastAsia="zh-CN"/>
        </w:rPr>
        <w:t>Finland</w:t>
      </w:r>
    </w:p>
    <w:p w:rsidR="00C11C69" w:rsidRPr="00C11C69" w:rsidRDefault="00C11C69" w:rsidP="00C11C69">
      <w:pPr>
        <w:suppressAutoHyphens w:val="0"/>
        <w:spacing w:after="120" w:line="240" w:lineRule="exact"/>
        <w:ind w:left="4536" w:right="1134" w:hanging="3402"/>
        <w:jc w:val="both"/>
        <w:rPr>
          <w:rFonts w:eastAsia="SimSun"/>
          <w:lang w:eastAsia="zh-CN"/>
        </w:rPr>
      </w:pPr>
      <w:r w:rsidRPr="00C11C69">
        <w:rPr>
          <w:rFonts w:eastAsia="SimSun"/>
          <w:i/>
          <w:lang w:eastAsia="zh-CN"/>
        </w:rPr>
        <w:t>Date of complaint:</w:t>
      </w:r>
      <w:r w:rsidRPr="00C11C69">
        <w:rPr>
          <w:rFonts w:eastAsia="SimSun"/>
          <w:i/>
          <w:lang w:eastAsia="zh-CN"/>
        </w:rPr>
        <w:tab/>
      </w:r>
      <w:r w:rsidRPr="00C11C69">
        <w:rPr>
          <w:rFonts w:eastAsia="SimSun"/>
          <w:lang w:eastAsia="zh-CN"/>
        </w:rPr>
        <w:t>14</w:t>
      </w:r>
      <w:r w:rsidRPr="00C11C69">
        <w:rPr>
          <w:rFonts w:eastAsia="SimSun"/>
          <w:lang w:val="en-US" w:eastAsia="zh-CN"/>
        </w:rPr>
        <w:t xml:space="preserve"> November 2011</w:t>
      </w:r>
      <w:r w:rsidRPr="00C11C69">
        <w:rPr>
          <w:rFonts w:eastAsia="SimSun"/>
          <w:lang w:eastAsia="zh-CN"/>
        </w:rPr>
        <w:t xml:space="preserve"> (initial submissions)</w:t>
      </w:r>
    </w:p>
    <w:p w:rsidR="00C11C69" w:rsidRPr="00C11C69" w:rsidRDefault="00C11C69" w:rsidP="00663DF3">
      <w:pPr>
        <w:suppressAutoHyphens w:val="0"/>
        <w:spacing w:after="120" w:line="240" w:lineRule="exact"/>
        <w:ind w:left="4536" w:right="1134" w:hanging="3402"/>
        <w:jc w:val="both"/>
        <w:rPr>
          <w:rFonts w:eastAsia="SimSun"/>
          <w:lang w:eastAsia="zh-CN"/>
        </w:rPr>
      </w:pPr>
      <w:r w:rsidRPr="00C11C69">
        <w:rPr>
          <w:rFonts w:eastAsia="SimSun"/>
          <w:i/>
          <w:lang w:eastAsia="zh-CN"/>
        </w:rPr>
        <w:t>Date of decision:</w:t>
      </w:r>
      <w:r w:rsidRPr="00C11C69">
        <w:rPr>
          <w:rFonts w:eastAsia="SimSun"/>
          <w:i/>
          <w:lang w:eastAsia="zh-CN"/>
        </w:rPr>
        <w:tab/>
      </w:r>
      <w:r w:rsidR="00663DF3">
        <w:rPr>
          <w:rFonts w:eastAsia="SimSun"/>
          <w:lang w:eastAsia="zh-CN"/>
        </w:rPr>
        <w:t>12</w:t>
      </w:r>
      <w:r w:rsidRPr="00C11C69">
        <w:rPr>
          <w:rFonts w:eastAsia="SimSun"/>
          <w:lang w:eastAsia="zh-CN"/>
        </w:rPr>
        <w:t xml:space="preserve"> May 2014</w:t>
      </w:r>
    </w:p>
    <w:p w:rsidR="00C11C69" w:rsidRPr="00C11C69" w:rsidRDefault="00C11C69" w:rsidP="00C11C69">
      <w:pPr>
        <w:suppressAutoHyphens w:val="0"/>
        <w:spacing w:after="120" w:line="240" w:lineRule="exact"/>
        <w:ind w:left="4536" w:right="1134" w:hanging="3402"/>
        <w:jc w:val="both"/>
        <w:rPr>
          <w:rFonts w:eastAsia="SimSun"/>
          <w:lang w:eastAsia="zh-CN"/>
        </w:rPr>
      </w:pPr>
      <w:r w:rsidRPr="00C11C69">
        <w:rPr>
          <w:rFonts w:eastAsia="SimSun"/>
          <w:i/>
          <w:iCs/>
          <w:lang w:eastAsia="zh-CN"/>
        </w:rPr>
        <w:t>Subject matter:</w:t>
      </w:r>
      <w:r w:rsidRPr="00C11C69">
        <w:rPr>
          <w:rFonts w:eastAsia="SimSun"/>
          <w:i/>
          <w:lang w:eastAsia="zh-CN"/>
        </w:rPr>
        <w:tab/>
      </w:r>
      <w:r w:rsidRPr="00C11C69">
        <w:rPr>
          <w:rFonts w:eastAsia="SimSun"/>
          <w:lang w:eastAsia="zh-CN"/>
        </w:rPr>
        <w:t xml:space="preserve">Deportation to </w:t>
      </w:r>
      <w:r w:rsidR="00606DF0">
        <w:rPr>
          <w:rFonts w:eastAsia="SimSun"/>
          <w:lang w:eastAsia="zh-CN"/>
        </w:rPr>
        <w:t>the Islamic Republic of</w:t>
      </w:r>
      <w:r w:rsidR="00606DF0" w:rsidRPr="00C11C69">
        <w:rPr>
          <w:rFonts w:eastAsia="SimSun"/>
          <w:lang w:val="en-US" w:eastAsia="zh-CN"/>
        </w:rPr>
        <w:t xml:space="preserve"> </w:t>
      </w:r>
      <w:r w:rsidRPr="00C11C69">
        <w:rPr>
          <w:rFonts w:eastAsia="SimSun"/>
          <w:lang w:val="en-US" w:eastAsia="zh-CN"/>
        </w:rPr>
        <w:t>Iran</w:t>
      </w:r>
    </w:p>
    <w:p w:rsidR="00C11C69" w:rsidRPr="00C4697E" w:rsidRDefault="00C11C69" w:rsidP="00C11C69">
      <w:pPr>
        <w:suppressAutoHyphens w:val="0"/>
        <w:spacing w:after="120" w:line="240" w:lineRule="exact"/>
        <w:ind w:left="4536" w:right="1134" w:hanging="3402"/>
        <w:jc w:val="both"/>
        <w:rPr>
          <w:rFonts w:eastAsia="SimSun"/>
          <w:iCs/>
          <w:lang w:eastAsia="zh-CN"/>
        </w:rPr>
      </w:pPr>
      <w:r w:rsidRPr="00C11C69">
        <w:rPr>
          <w:rFonts w:eastAsia="SimSun"/>
          <w:i/>
          <w:iCs/>
          <w:lang w:eastAsia="zh-CN"/>
        </w:rPr>
        <w:t>Procedural issues</w:t>
      </w:r>
      <w:r w:rsidRPr="00C11C69">
        <w:rPr>
          <w:rFonts w:eastAsia="SimSun"/>
          <w:i/>
          <w:lang w:eastAsia="zh-CN"/>
        </w:rPr>
        <w:t>:</w:t>
      </w:r>
      <w:r w:rsidRPr="00C11C69">
        <w:rPr>
          <w:rFonts w:eastAsia="SimSun"/>
          <w:i/>
          <w:lang w:eastAsia="zh-CN"/>
        </w:rPr>
        <w:tab/>
      </w:r>
      <w:r w:rsidR="00C4697E">
        <w:rPr>
          <w:rFonts w:eastAsia="SimSun"/>
          <w:iCs/>
          <w:lang w:eastAsia="zh-CN"/>
        </w:rPr>
        <w:t>–</w:t>
      </w:r>
    </w:p>
    <w:p w:rsidR="00C11C69" w:rsidRPr="00646C82" w:rsidRDefault="00C11C69" w:rsidP="00C11C69">
      <w:pPr>
        <w:suppressAutoHyphens w:val="0"/>
        <w:spacing w:after="120" w:line="240" w:lineRule="exact"/>
        <w:ind w:left="4536" w:right="1134" w:hanging="3402"/>
        <w:jc w:val="both"/>
        <w:rPr>
          <w:rFonts w:eastAsia="SimSun"/>
          <w:lang w:eastAsia="zh-CN"/>
        </w:rPr>
      </w:pPr>
      <w:r w:rsidRPr="00C11C69">
        <w:rPr>
          <w:rFonts w:eastAsia="SimSun"/>
          <w:i/>
          <w:iCs/>
          <w:lang w:eastAsia="zh-CN"/>
        </w:rPr>
        <w:t>Substantive issues:</w:t>
      </w:r>
      <w:r w:rsidRPr="00C11C69">
        <w:rPr>
          <w:rFonts w:eastAsia="SimSun"/>
          <w:i/>
          <w:iCs/>
          <w:lang w:eastAsia="zh-CN"/>
        </w:rPr>
        <w:tab/>
      </w:r>
      <w:r w:rsidRPr="00646C82">
        <w:rPr>
          <w:rFonts w:eastAsia="SimSun"/>
          <w:lang w:val="en-US" w:eastAsia="zh-CN"/>
        </w:rPr>
        <w:t>Non-refoulement</w:t>
      </w:r>
    </w:p>
    <w:p w:rsidR="00C11C69" w:rsidRPr="00C11C69" w:rsidRDefault="00C11C69" w:rsidP="00C11C69">
      <w:pPr>
        <w:suppressAutoHyphens w:val="0"/>
        <w:spacing w:after="120" w:line="240" w:lineRule="exact"/>
        <w:ind w:left="4536" w:right="1134" w:hanging="3402"/>
        <w:jc w:val="both"/>
        <w:rPr>
          <w:rFonts w:eastAsia="SimSun"/>
          <w:lang w:val="en-US" w:eastAsia="zh-CN"/>
        </w:rPr>
      </w:pPr>
      <w:r w:rsidRPr="00C11C69">
        <w:rPr>
          <w:rFonts w:eastAsia="SimSun"/>
          <w:i/>
          <w:iCs/>
          <w:lang w:eastAsia="zh-CN"/>
        </w:rPr>
        <w:t>Articles of the Convention</w:t>
      </w:r>
      <w:r w:rsidRPr="00C11C69">
        <w:rPr>
          <w:rFonts w:eastAsia="SimSun"/>
          <w:i/>
          <w:lang w:eastAsia="zh-CN"/>
        </w:rPr>
        <w:t>:</w:t>
      </w:r>
      <w:r w:rsidRPr="00C11C69">
        <w:rPr>
          <w:rFonts w:eastAsia="SimSun"/>
          <w:i/>
          <w:iCs/>
          <w:lang w:eastAsia="zh-CN"/>
        </w:rPr>
        <w:tab/>
      </w:r>
      <w:r w:rsidRPr="00C11C69">
        <w:rPr>
          <w:rFonts w:eastAsia="SimSun"/>
          <w:lang w:eastAsia="zh-CN"/>
        </w:rPr>
        <w:t>3</w:t>
      </w:r>
    </w:p>
    <w:p w:rsidR="00484DDB" w:rsidRPr="00484DDB" w:rsidRDefault="00DD3023" w:rsidP="00DD3023">
      <w:pPr>
        <w:pStyle w:val="HChG"/>
        <w:rPr>
          <w:rFonts w:eastAsia="SimSun"/>
          <w:lang w:eastAsia="zh-CN"/>
        </w:rPr>
      </w:pPr>
      <w:r>
        <w:br w:type="page"/>
      </w:r>
      <w:r w:rsidR="00484DDB" w:rsidRPr="00484DDB">
        <w:rPr>
          <w:rFonts w:eastAsia="SimSun"/>
          <w:lang w:eastAsia="zh-CN"/>
        </w:rPr>
        <w:lastRenderedPageBreak/>
        <w:t>Annex</w:t>
      </w:r>
    </w:p>
    <w:p w:rsidR="00484DDB" w:rsidRPr="00484DDB" w:rsidRDefault="00484DDB" w:rsidP="00646C82">
      <w:pPr>
        <w:pStyle w:val="HChG"/>
        <w:rPr>
          <w:rFonts w:eastAsia="SimSun"/>
          <w:szCs w:val="24"/>
          <w:lang w:eastAsia="zh-CN"/>
        </w:rPr>
      </w:pPr>
      <w:r w:rsidRPr="00484DDB">
        <w:rPr>
          <w:rFonts w:eastAsia="SimSun"/>
          <w:szCs w:val="24"/>
          <w:lang w:eastAsia="zh-CN"/>
        </w:rPr>
        <w:tab/>
      </w:r>
      <w:r w:rsidRPr="00484DDB">
        <w:rPr>
          <w:rFonts w:eastAsia="SimSun"/>
          <w:szCs w:val="24"/>
          <w:lang w:eastAsia="zh-CN"/>
        </w:rPr>
        <w:tab/>
      </w:r>
      <w:r w:rsidRPr="00484DDB">
        <w:rPr>
          <w:rFonts w:eastAsia="SimSun"/>
          <w:lang w:eastAsia="zh-CN"/>
        </w:rPr>
        <w:t xml:space="preserve">Decision of the Committee </w:t>
      </w:r>
      <w:r w:rsidR="00646C82">
        <w:rPr>
          <w:rFonts w:eastAsia="SimSun"/>
          <w:lang w:eastAsia="zh-CN"/>
        </w:rPr>
        <w:t>a</w:t>
      </w:r>
      <w:r w:rsidRPr="00484DDB">
        <w:rPr>
          <w:rFonts w:eastAsia="SimSun"/>
          <w:lang w:eastAsia="zh-CN"/>
        </w:rPr>
        <w:t xml:space="preserve">gainst Torture under article 22 of the Convention </w:t>
      </w:r>
      <w:r w:rsidR="001D2C5F">
        <w:rPr>
          <w:rFonts w:eastAsia="SimSun"/>
          <w:lang w:eastAsia="zh-CN"/>
        </w:rPr>
        <w:t>a</w:t>
      </w:r>
      <w:r w:rsidRPr="00484DDB">
        <w:rPr>
          <w:rFonts w:eastAsia="SimSun"/>
          <w:lang w:eastAsia="zh-CN"/>
        </w:rPr>
        <w:t xml:space="preserve">gainst Torture </w:t>
      </w:r>
      <w:r w:rsidR="001D2C5F">
        <w:rPr>
          <w:rFonts w:eastAsia="SimSun"/>
          <w:lang w:eastAsia="zh-CN"/>
        </w:rPr>
        <w:t>a</w:t>
      </w:r>
      <w:r w:rsidRPr="00484DDB">
        <w:rPr>
          <w:rFonts w:eastAsia="SimSun"/>
          <w:lang w:eastAsia="zh-CN"/>
        </w:rPr>
        <w:t xml:space="preserve">nd Other Cruel, Inhuman or Degrading Treatment or </w:t>
      </w:r>
      <w:r w:rsidRPr="00484DDB">
        <w:rPr>
          <w:rFonts w:eastAsia="SimSun"/>
          <w:szCs w:val="24"/>
          <w:lang w:eastAsia="zh-CN"/>
        </w:rPr>
        <w:t>Punishment (</w:t>
      </w:r>
      <w:r w:rsidR="00646C82">
        <w:rPr>
          <w:rFonts w:eastAsia="SimSun"/>
          <w:szCs w:val="24"/>
          <w:lang w:eastAsia="zh-CN"/>
        </w:rPr>
        <w:t>f</w:t>
      </w:r>
      <w:r w:rsidRPr="00484DDB">
        <w:rPr>
          <w:rFonts w:eastAsia="SimSun"/>
          <w:szCs w:val="24"/>
          <w:lang w:eastAsia="zh-CN"/>
        </w:rPr>
        <w:t>ifty-second session</w:t>
      </w:r>
      <w:r w:rsidRPr="00484DDB">
        <w:rPr>
          <w:rFonts w:eastAsia="SimSun"/>
          <w:lang w:eastAsia="zh-CN"/>
        </w:rPr>
        <w:t>)</w:t>
      </w:r>
    </w:p>
    <w:p w:rsidR="00484DDB" w:rsidRPr="00484DDB" w:rsidRDefault="00484DDB" w:rsidP="00484DDB">
      <w:pPr>
        <w:suppressAutoHyphens w:val="0"/>
        <w:spacing w:after="120" w:line="240" w:lineRule="exact"/>
        <w:ind w:left="1134" w:right="1134"/>
        <w:jc w:val="both"/>
        <w:rPr>
          <w:rFonts w:eastAsia="SimSun"/>
          <w:lang w:eastAsia="zh-CN"/>
        </w:rPr>
      </w:pPr>
      <w:r w:rsidRPr="00484DDB">
        <w:rPr>
          <w:rFonts w:eastAsia="SimSun"/>
          <w:lang w:eastAsia="zh-CN"/>
        </w:rPr>
        <w:t>concerning</w:t>
      </w:r>
    </w:p>
    <w:p w:rsidR="00484DDB" w:rsidRPr="00484DDB" w:rsidRDefault="00484DDB" w:rsidP="00DD3023">
      <w:pPr>
        <w:pStyle w:val="H1G"/>
        <w:rPr>
          <w:rFonts w:eastAsia="SimSun"/>
          <w:lang w:eastAsia="zh-CN"/>
        </w:rPr>
      </w:pPr>
      <w:r w:rsidRPr="00484DDB">
        <w:rPr>
          <w:rFonts w:eastAsia="SimSun"/>
          <w:lang w:eastAsia="zh-CN"/>
        </w:rPr>
        <w:tab/>
      </w:r>
      <w:r w:rsidRPr="00484DDB">
        <w:rPr>
          <w:rFonts w:eastAsia="SimSun"/>
          <w:lang w:eastAsia="zh-CN"/>
        </w:rPr>
        <w:tab/>
        <w:t>Communications No</w:t>
      </w:r>
      <w:r w:rsidR="002434CB">
        <w:rPr>
          <w:rFonts w:eastAsia="SimSun"/>
          <w:lang w:eastAsia="zh-CN"/>
        </w:rPr>
        <w:t>s</w:t>
      </w:r>
      <w:r w:rsidRPr="00484DDB">
        <w:rPr>
          <w:rFonts w:eastAsia="SimSun"/>
          <w:lang w:eastAsia="zh-CN"/>
        </w:rPr>
        <w:t>. 483/2011 and 485/2011</w:t>
      </w:r>
    </w:p>
    <w:p w:rsidR="00484DDB" w:rsidRPr="00484DDB" w:rsidRDefault="00484DDB" w:rsidP="002A6A63">
      <w:pPr>
        <w:suppressAutoHyphens w:val="0"/>
        <w:spacing w:after="120" w:line="240" w:lineRule="exact"/>
        <w:ind w:left="4536" w:right="1134" w:hanging="3402"/>
        <w:jc w:val="both"/>
        <w:rPr>
          <w:rFonts w:eastAsia="SimSun"/>
          <w:lang w:eastAsia="zh-CN"/>
        </w:rPr>
      </w:pPr>
      <w:r w:rsidRPr="00484DDB">
        <w:rPr>
          <w:rFonts w:eastAsia="SimSun"/>
          <w:i/>
          <w:lang w:eastAsia="zh-CN"/>
        </w:rPr>
        <w:t>Submitted by:</w:t>
      </w:r>
      <w:r w:rsidRPr="00484DDB">
        <w:rPr>
          <w:rFonts w:eastAsia="SimSun"/>
          <w:lang w:eastAsia="zh-CN"/>
        </w:rPr>
        <w:tab/>
        <w:t xml:space="preserve">Mr. X and Mr. Z, both represented by Marjaana Laine of </w:t>
      </w:r>
      <w:r w:rsidR="002A6A63">
        <w:rPr>
          <w:rFonts w:eastAsia="SimSun"/>
          <w:lang w:eastAsia="zh-CN"/>
        </w:rPr>
        <w:t>t</w:t>
      </w:r>
      <w:r w:rsidRPr="00484DDB">
        <w:rPr>
          <w:rFonts w:eastAsia="SimSun"/>
          <w:lang w:eastAsia="zh-CN"/>
        </w:rPr>
        <w:t>he Refugee Advice Centr</w:t>
      </w:r>
      <w:r w:rsidR="002A6A63">
        <w:rPr>
          <w:rFonts w:eastAsia="SimSun"/>
          <w:lang w:eastAsia="zh-CN"/>
        </w:rPr>
        <w:t>e</w:t>
      </w:r>
    </w:p>
    <w:p w:rsidR="00484DDB" w:rsidRPr="00484DDB" w:rsidRDefault="00484DDB" w:rsidP="00484DDB">
      <w:pPr>
        <w:suppressAutoHyphens w:val="0"/>
        <w:spacing w:after="120" w:line="240" w:lineRule="exact"/>
        <w:ind w:left="4536" w:right="1134" w:hanging="3402"/>
        <w:jc w:val="both"/>
        <w:rPr>
          <w:rFonts w:eastAsia="SimSun"/>
          <w:lang w:eastAsia="zh-CN"/>
        </w:rPr>
      </w:pPr>
      <w:r w:rsidRPr="00484DDB">
        <w:rPr>
          <w:rFonts w:eastAsia="SimSun"/>
          <w:i/>
          <w:lang w:eastAsia="zh-CN"/>
        </w:rPr>
        <w:t>Alleged victims:</w:t>
      </w:r>
      <w:r w:rsidRPr="00484DDB">
        <w:rPr>
          <w:rFonts w:eastAsia="SimSun"/>
          <w:lang w:eastAsia="zh-CN"/>
        </w:rPr>
        <w:tab/>
        <w:t>The complainants</w:t>
      </w:r>
    </w:p>
    <w:p w:rsidR="00484DDB" w:rsidRPr="00484DDB" w:rsidRDefault="00484DDB" w:rsidP="00484DDB">
      <w:pPr>
        <w:suppressAutoHyphens w:val="0"/>
        <w:spacing w:after="120" w:line="240" w:lineRule="exact"/>
        <w:ind w:left="4536" w:right="1134" w:hanging="3402"/>
        <w:jc w:val="both"/>
        <w:rPr>
          <w:rFonts w:eastAsia="SimSun"/>
          <w:lang w:eastAsia="zh-CN"/>
        </w:rPr>
      </w:pPr>
      <w:r w:rsidRPr="00484DDB">
        <w:rPr>
          <w:rFonts w:eastAsia="SimSun"/>
          <w:i/>
          <w:lang w:eastAsia="zh-CN"/>
        </w:rPr>
        <w:t>State party:</w:t>
      </w:r>
      <w:r w:rsidRPr="00484DDB">
        <w:rPr>
          <w:rFonts w:eastAsia="SimSun"/>
          <w:lang w:eastAsia="zh-CN"/>
        </w:rPr>
        <w:tab/>
      </w:r>
      <w:smartTag w:uri="urn:schemas-microsoft-com:office:smarttags" w:element="place">
        <w:smartTag w:uri="urn:schemas-microsoft-com:office:smarttags" w:element="country-region">
          <w:r w:rsidRPr="00484DDB">
            <w:rPr>
              <w:rFonts w:eastAsia="SimSun"/>
              <w:lang w:eastAsia="zh-CN"/>
            </w:rPr>
            <w:t>Finland</w:t>
          </w:r>
        </w:smartTag>
      </w:smartTag>
    </w:p>
    <w:p w:rsidR="00484DDB" w:rsidRPr="00484DDB" w:rsidRDefault="00484DDB" w:rsidP="00096A69">
      <w:pPr>
        <w:suppressAutoHyphens w:val="0"/>
        <w:spacing w:after="120" w:line="240" w:lineRule="exact"/>
        <w:ind w:left="4536" w:right="1134" w:hanging="3402"/>
        <w:jc w:val="both"/>
        <w:rPr>
          <w:rFonts w:eastAsia="SimSun"/>
          <w:lang w:eastAsia="zh-CN"/>
        </w:rPr>
      </w:pPr>
      <w:r w:rsidRPr="00484DDB">
        <w:rPr>
          <w:rFonts w:eastAsia="SimSun"/>
          <w:i/>
          <w:lang w:eastAsia="zh-CN"/>
        </w:rPr>
        <w:t>Date of complaint:</w:t>
      </w:r>
      <w:r w:rsidRPr="00484DDB">
        <w:rPr>
          <w:rFonts w:eastAsia="SimSun"/>
          <w:lang w:eastAsia="zh-CN"/>
        </w:rPr>
        <w:tab/>
        <w:t>14</w:t>
      </w:r>
      <w:r w:rsidRPr="00484DDB">
        <w:rPr>
          <w:rFonts w:eastAsia="SimSun"/>
          <w:lang w:val="en-US" w:eastAsia="zh-CN"/>
        </w:rPr>
        <w:t xml:space="preserve"> November 2011</w:t>
      </w:r>
      <w:r w:rsidRPr="00484DDB">
        <w:rPr>
          <w:rFonts w:eastAsia="SimSun"/>
          <w:lang w:eastAsia="zh-CN"/>
        </w:rPr>
        <w:t xml:space="preserve"> (initial submissions)</w:t>
      </w:r>
    </w:p>
    <w:p w:rsidR="00484DDB" w:rsidRPr="00484DDB" w:rsidRDefault="00484DDB" w:rsidP="00646C82">
      <w:pPr>
        <w:suppressAutoHyphens w:val="0"/>
        <w:spacing w:after="120" w:line="240" w:lineRule="exact"/>
        <w:ind w:left="1134" w:right="1134"/>
        <w:jc w:val="both"/>
        <w:rPr>
          <w:rFonts w:eastAsia="SimSun"/>
          <w:lang w:eastAsia="zh-CN"/>
        </w:rPr>
      </w:pPr>
      <w:r w:rsidRPr="00484DDB">
        <w:rPr>
          <w:rFonts w:eastAsia="SimSun"/>
          <w:lang w:eastAsia="zh-CN"/>
        </w:rPr>
        <w:tab/>
      </w:r>
      <w:r w:rsidRPr="00484DDB">
        <w:rPr>
          <w:rFonts w:eastAsia="SimSun"/>
          <w:i/>
          <w:iCs/>
          <w:lang w:eastAsia="zh-CN"/>
        </w:rPr>
        <w:t>The Committee against Torture</w:t>
      </w:r>
      <w:r w:rsidRPr="00484DDB">
        <w:rPr>
          <w:rFonts w:eastAsia="SimSun"/>
          <w:lang w:eastAsia="zh-CN"/>
        </w:rPr>
        <w:t xml:space="preserve">, established under </w:t>
      </w:r>
      <w:r w:rsidR="00646C82">
        <w:rPr>
          <w:rFonts w:eastAsia="SimSun"/>
          <w:lang w:eastAsia="zh-CN"/>
        </w:rPr>
        <w:t>a</w:t>
      </w:r>
      <w:r w:rsidRPr="00484DDB">
        <w:rPr>
          <w:rFonts w:eastAsia="SimSun"/>
          <w:lang w:eastAsia="zh-CN"/>
        </w:rPr>
        <w:t>rticle 17 of the Convention against Torture and Other Cruel, Inhuman or Degrading Treatment or Punishment,</w:t>
      </w:r>
    </w:p>
    <w:p w:rsidR="00484DDB" w:rsidRPr="00484DDB" w:rsidRDefault="00484DDB" w:rsidP="00663DF3">
      <w:pPr>
        <w:suppressAutoHyphens w:val="0"/>
        <w:spacing w:after="120" w:line="240" w:lineRule="exact"/>
        <w:ind w:left="1134" w:right="1134"/>
        <w:jc w:val="both"/>
        <w:rPr>
          <w:rFonts w:eastAsia="SimSun"/>
          <w:lang w:eastAsia="zh-CN"/>
        </w:rPr>
      </w:pPr>
      <w:r w:rsidRPr="00484DDB">
        <w:rPr>
          <w:rFonts w:eastAsia="SimSun"/>
          <w:lang w:eastAsia="zh-CN"/>
        </w:rPr>
        <w:tab/>
      </w:r>
      <w:r w:rsidRPr="00484DDB">
        <w:rPr>
          <w:rFonts w:eastAsia="SimSun"/>
          <w:i/>
          <w:iCs/>
          <w:lang w:eastAsia="zh-CN"/>
        </w:rPr>
        <w:t>Meeting</w:t>
      </w:r>
      <w:r w:rsidRPr="00484DDB">
        <w:rPr>
          <w:rFonts w:eastAsia="SimSun"/>
          <w:lang w:eastAsia="zh-CN"/>
        </w:rPr>
        <w:t xml:space="preserve"> on </w:t>
      </w:r>
      <w:r w:rsidR="00663DF3">
        <w:rPr>
          <w:rFonts w:eastAsia="SimSun"/>
          <w:lang w:eastAsia="zh-CN"/>
        </w:rPr>
        <w:t>12</w:t>
      </w:r>
      <w:r w:rsidR="00CA5201">
        <w:rPr>
          <w:rFonts w:eastAsia="SimSun"/>
          <w:lang w:eastAsia="zh-CN"/>
        </w:rPr>
        <w:t xml:space="preserve"> </w:t>
      </w:r>
      <w:r w:rsidRPr="00484DDB">
        <w:rPr>
          <w:rFonts w:eastAsia="SimSun"/>
          <w:lang w:eastAsia="zh-CN"/>
        </w:rPr>
        <w:t>May 2014,</w:t>
      </w:r>
    </w:p>
    <w:p w:rsidR="00484DDB" w:rsidRPr="00484DDB" w:rsidRDefault="00484DDB" w:rsidP="00484DDB">
      <w:pPr>
        <w:suppressAutoHyphens w:val="0"/>
        <w:spacing w:after="120" w:line="240" w:lineRule="exact"/>
        <w:ind w:left="1134" w:right="1134"/>
        <w:jc w:val="both"/>
        <w:rPr>
          <w:rFonts w:eastAsia="SimSun"/>
          <w:lang w:eastAsia="zh-CN"/>
        </w:rPr>
      </w:pPr>
      <w:r w:rsidRPr="00484DDB">
        <w:rPr>
          <w:rFonts w:eastAsia="SimSun"/>
          <w:lang w:eastAsia="zh-CN"/>
        </w:rPr>
        <w:tab/>
      </w:r>
      <w:r w:rsidRPr="00484DDB">
        <w:rPr>
          <w:rFonts w:eastAsia="SimSun"/>
          <w:i/>
          <w:iCs/>
          <w:lang w:eastAsia="zh-CN"/>
        </w:rPr>
        <w:t>Having concluded</w:t>
      </w:r>
      <w:r w:rsidRPr="00484DDB">
        <w:rPr>
          <w:rFonts w:eastAsia="SimSun"/>
          <w:lang w:eastAsia="zh-CN"/>
        </w:rPr>
        <w:t xml:space="preserve"> its consideration of complaints No. 483/2011 and </w:t>
      </w:r>
      <w:r w:rsidR="002872C0">
        <w:rPr>
          <w:rFonts w:eastAsia="SimSun"/>
          <w:lang w:eastAsia="zh-CN"/>
        </w:rPr>
        <w:t xml:space="preserve">No. </w:t>
      </w:r>
      <w:r w:rsidRPr="00484DDB">
        <w:rPr>
          <w:rFonts w:eastAsia="SimSun"/>
          <w:lang w:eastAsia="zh-CN"/>
        </w:rPr>
        <w:t>485/2011, submitted to the Committee against Torture by Mr. X and Mr. Z under article 22 of the Convention against Torture and Other Cruel, Inhuman or Degrading Treatment or Punishment,</w:t>
      </w:r>
    </w:p>
    <w:p w:rsidR="00484DDB" w:rsidRPr="00484DDB" w:rsidRDefault="00484DDB" w:rsidP="00484DDB">
      <w:pPr>
        <w:suppressAutoHyphens w:val="0"/>
        <w:spacing w:after="120" w:line="240" w:lineRule="exact"/>
        <w:ind w:left="1134" w:right="1134"/>
        <w:jc w:val="both"/>
        <w:rPr>
          <w:rFonts w:eastAsia="SimSun"/>
          <w:lang w:eastAsia="zh-CN"/>
        </w:rPr>
      </w:pPr>
      <w:r w:rsidRPr="00484DDB">
        <w:rPr>
          <w:rFonts w:eastAsia="SimSun"/>
          <w:lang w:eastAsia="zh-CN"/>
        </w:rPr>
        <w:tab/>
      </w:r>
      <w:r w:rsidRPr="00484DDB">
        <w:rPr>
          <w:rFonts w:eastAsia="SimSun"/>
          <w:i/>
          <w:iCs/>
          <w:lang w:eastAsia="zh-CN"/>
        </w:rPr>
        <w:t>Having taken into account</w:t>
      </w:r>
      <w:r w:rsidRPr="00484DDB">
        <w:rPr>
          <w:rFonts w:eastAsia="SimSun"/>
          <w:lang w:eastAsia="zh-CN"/>
        </w:rPr>
        <w:t xml:space="preserve"> all information made available to it by the complainants and the State party,</w:t>
      </w:r>
    </w:p>
    <w:p w:rsidR="00484DDB" w:rsidRPr="00484DDB" w:rsidRDefault="00484DDB" w:rsidP="00484DDB">
      <w:pPr>
        <w:suppressAutoHyphens w:val="0"/>
        <w:spacing w:after="120" w:line="240" w:lineRule="exact"/>
        <w:ind w:left="1134" w:right="1134"/>
        <w:jc w:val="both"/>
        <w:rPr>
          <w:rFonts w:eastAsia="SimSun"/>
          <w:lang w:eastAsia="zh-CN"/>
        </w:rPr>
      </w:pPr>
      <w:r w:rsidRPr="00484DDB">
        <w:rPr>
          <w:rFonts w:eastAsia="SimSun"/>
          <w:lang w:eastAsia="zh-CN"/>
        </w:rPr>
        <w:tab/>
      </w:r>
      <w:r w:rsidRPr="00484DDB">
        <w:rPr>
          <w:rFonts w:eastAsia="SimSun"/>
          <w:i/>
          <w:iCs/>
          <w:lang w:eastAsia="zh-CN"/>
        </w:rPr>
        <w:t>Adopts</w:t>
      </w:r>
      <w:r w:rsidRPr="00484DDB">
        <w:rPr>
          <w:rFonts w:eastAsia="SimSun"/>
          <w:lang w:eastAsia="zh-CN"/>
        </w:rPr>
        <w:t xml:space="preserve"> the following:</w:t>
      </w:r>
    </w:p>
    <w:p w:rsidR="00484DDB" w:rsidRPr="00484DDB" w:rsidRDefault="00484DDB" w:rsidP="00CA5201">
      <w:pPr>
        <w:pStyle w:val="H1G"/>
        <w:rPr>
          <w:rFonts w:eastAsia="SimSun"/>
          <w:lang w:eastAsia="zh-CN"/>
        </w:rPr>
      </w:pPr>
      <w:r w:rsidRPr="00484DDB">
        <w:rPr>
          <w:rFonts w:eastAsia="SimSun"/>
          <w:lang w:eastAsia="zh-CN"/>
        </w:rPr>
        <w:t xml:space="preserve"> </w:t>
      </w:r>
      <w:r w:rsidRPr="00484DDB">
        <w:rPr>
          <w:rFonts w:eastAsia="SimSun"/>
          <w:lang w:eastAsia="zh-CN"/>
        </w:rPr>
        <w:tab/>
      </w:r>
      <w:r w:rsidRPr="00484DDB">
        <w:rPr>
          <w:rFonts w:eastAsia="SimSun"/>
          <w:lang w:eastAsia="zh-CN"/>
        </w:rPr>
        <w:tab/>
        <w:t>Decision under article 22, paragraph 7, of the Convention against Torture</w:t>
      </w:r>
    </w:p>
    <w:p w:rsidR="00A2085D" w:rsidRPr="00E1105D" w:rsidRDefault="00A2085D" w:rsidP="00E1105D">
      <w:pPr>
        <w:pStyle w:val="SingleTxtG"/>
        <w:spacing w:line="240" w:lineRule="auto"/>
        <w:rPr>
          <w:rFonts w:eastAsia="SimSun"/>
          <w:lang w:eastAsia="zh-CN"/>
        </w:rPr>
      </w:pPr>
      <w:r w:rsidRPr="00E1105D">
        <w:rPr>
          <w:rFonts w:eastAsia="SimSun"/>
          <w:lang w:eastAsia="zh-CN"/>
        </w:rPr>
        <w:t>1.1</w:t>
      </w:r>
      <w:r w:rsidRPr="00E1105D">
        <w:rPr>
          <w:rFonts w:eastAsia="SimSun"/>
          <w:lang w:eastAsia="zh-CN"/>
        </w:rPr>
        <w:tab/>
        <w:t>The authors of the complaints dated 14 November 2011 and</w:t>
      </w:r>
      <w:r w:rsidR="00CD54B7" w:rsidRPr="00E1105D">
        <w:rPr>
          <w:rFonts w:eastAsia="SimSun"/>
          <w:lang w:eastAsia="zh-CN"/>
        </w:rPr>
        <w:t xml:space="preserve"> 16 November 2011 are siblings </w:t>
      </w:r>
      <w:r w:rsidR="00606DF0" w:rsidRPr="00E1105D">
        <w:rPr>
          <w:rFonts w:eastAsia="SimSun"/>
          <w:lang w:eastAsia="zh-CN"/>
        </w:rPr>
        <w:t>—</w:t>
      </w:r>
      <w:r w:rsidRPr="00E1105D">
        <w:rPr>
          <w:rFonts w:eastAsia="SimSun"/>
          <w:lang w:eastAsia="zh-CN"/>
        </w:rPr>
        <w:t xml:space="preserve"> Mr. X and Mr. Z, both Iranian nationals of Kurdish origin born in 1983 and 1984, respectively. Their asylum applications in </w:t>
      </w:r>
      <w:smartTag w:uri="urn:schemas-microsoft-com:office:smarttags" w:element="place">
        <w:smartTag w:uri="urn:schemas-microsoft-com:office:smarttags" w:element="country-region">
          <w:r w:rsidRPr="00E1105D">
            <w:rPr>
              <w:rFonts w:eastAsia="SimSun"/>
              <w:lang w:eastAsia="zh-CN"/>
            </w:rPr>
            <w:t>Finland</w:t>
          </w:r>
        </w:smartTag>
      </w:smartTag>
      <w:r w:rsidRPr="00E1105D">
        <w:rPr>
          <w:rFonts w:eastAsia="SimSun"/>
          <w:lang w:eastAsia="zh-CN"/>
        </w:rPr>
        <w:t xml:space="preserve"> have been rejected and they risk deportation to </w:t>
      </w:r>
      <w:r w:rsidR="00606DF0" w:rsidRPr="00E1105D">
        <w:rPr>
          <w:rFonts w:eastAsia="SimSun"/>
          <w:lang w:eastAsia="zh-CN"/>
        </w:rPr>
        <w:t xml:space="preserve">the Islamic Republic of </w:t>
      </w:r>
      <w:r w:rsidRPr="00E1105D">
        <w:rPr>
          <w:rFonts w:eastAsia="SimSun"/>
          <w:lang w:eastAsia="zh-CN"/>
        </w:rPr>
        <w:t xml:space="preserve">Iran. They claim that their deportation to </w:t>
      </w:r>
      <w:r w:rsidR="00606DF0" w:rsidRPr="00E1105D">
        <w:rPr>
          <w:rFonts w:eastAsia="SimSun"/>
          <w:lang w:eastAsia="zh-CN"/>
        </w:rPr>
        <w:t xml:space="preserve">the Islamic Republic of </w:t>
      </w:r>
      <w:r w:rsidRPr="00E1105D">
        <w:rPr>
          <w:rFonts w:eastAsia="SimSun"/>
          <w:lang w:eastAsia="zh-CN"/>
        </w:rPr>
        <w:t xml:space="preserve">Iran would constitute a breach by </w:t>
      </w:r>
      <w:smartTag w:uri="urn:schemas-microsoft-com:office:smarttags" w:element="place">
        <w:smartTag w:uri="urn:schemas-microsoft-com:office:smarttags" w:element="country-region">
          <w:r w:rsidRPr="00E1105D">
            <w:rPr>
              <w:rFonts w:eastAsia="SimSun"/>
              <w:lang w:eastAsia="zh-CN"/>
            </w:rPr>
            <w:t>Finland</w:t>
          </w:r>
        </w:smartTag>
      </w:smartTag>
      <w:r w:rsidRPr="00E1105D">
        <w:rPr>
          <w:rFonts w:eastAsia="SimSun"/>
          <w:lang w:eastAsia="zh-CN"/>
        </w:rPr>
        <w:t xml:space="preserve"> of article 3 of the Convention against Torture. The complainants are both represented by counsel, Marjaana Laine. </w:t>
      </w:r>
    </w:p>
    <w:p w:rsidR="00A2085D" w:rsidRPr="00E1105D" w:rsidRDefault="00A2085D" w:rsidP="00BA0B70">
      <w:pPr>
        <w:pStyle w:val="SingleTxtG"/>
        <w:spacing w:line="240" w:lineRule="auto"/>
        <w:rPr>
          <w:rFonts w:eastAsia="SimSun"/>
          <w:lang w:eastAsia="zh-CN"/>
        </w:rPr>
      </w:pPr>
      <w:r w:rsidRPr="00E1105D">
        <w:rPr>
          <w:rFonts w:eastAsia="SimSun"/>
          <w:lang w:eastAsia="zh-CN"/>
        </w:rPr>
        <w:t>1.2</w:t>
      </w:r>
      <w:r w:rsidRPr="00E1105D">
        <w:rPr>
          <w:rFonts w:eastAsia="SimSun"/>
          <w:lang w:eastAsia="zh-CN"/>
        </w:rPr>
        <w:tab/>
        <w:t>On 15 November 2011, the State party was requested, under rule 114, paragraph 1</w:t>
      </w:r>
      <w:r w:rsidR="00BA0B70">
        <w:rPr>
          <w:rFonts w:eastAsia="SimSun"/>
          <w:lang w:eastAsia="zh-CN"/>
        </w:rPr>
        <w:t>,</w:t>
      </w:r>
      <w:r w:rsidRPr="00E1105D">
        <w:rPr>
          <w:rFonts w:eastAsia="SimSun"/>
          <w:lang w:eastAsia="zh-CN"/>
        </w:rPr>
        <w:t xml:space="preserve"> (former rule 108, paragraph 1) of the Committee’s rules of procedure</w:t>
      </w:r>
      <w:r w:rsidR="00D44510" w:rsidRPr="00E1105D">
        <w:t xml:space="preserve"> (CAT/C/3/Rev.5)</w:t>
      </w:r>
      <w:r w:rsidRPr="00E1105D">
        <w:rPr>
          <w:rFonts w:eastAsia="SimSun"/>
          <w:lang w:eastAsia="zh-CN"/>
        </w:rPr>
        <w:t xml:space="preserve">, not to expel the complainants while their complaint </w:t>
      </w:r>
      <w:r w:rsidR="00193BD3" w:rsidRPr="00E1105D">
        <w:rPr>
          <w:rFonts w:eastAsia="SimSun"/>
          <w:lang w:eastAsia="zh-CN"/>
        </w:rPr>
        <w:t xml:space="preserve">was </w:t>
      </w:r>
      <w:r w:rsidRPr="00E1105D">
        <w:rPr>
          <w:rFonts w:eastAsia="SimSun"/>
          <w:lang w:eastAsia="zh-CN"/>
        </w:rPr>
        <w:t>under consideration by the Committee. On 12</w:t>
      </w:r>
      <w:r w:rsidR="00987137" w:rsidRPr="00E1105D">
        <w:rPr>
          <w:rFonts w:eastAsia="SimSun"/>
          <w:lang w:eastAsia="zh-CN"/>
        </w:rPr>
        <w:t> </w:t>
      </w:r>
      <w:r w:rsidRPr="00E1105D">
        <w:rPr>
          <w:rFonts w:eastAsia="SimSun"/>
          <w:lang w:eastAsia="zh-CN"/>
        </w:rPr>
        <w:t>January 2012, the State party informed the Committee that it ha</w:t>
      </w:r>
      <w:r w:rsidR="00193BD3" w:rsidRPr="00E1105D">
        <w:rPr>
          <w:rFonts w:eastAsia="SimSun"/>
          <w:lang w:eastAsia="zh-CN"/>
        </w:rPr>
        <w:t>d</w:t>
      </w:r>
      <w:r w:rsidRPr="00E1105D">
        <w:rPr>
          <w:rFonts w:eastAsia="SimSun"/>
          <w:lang w:eastAsia="zh-CN"/>
        </w:rPr>
        <w:t xml:space="preserve"> taken the necessary </w:t>
      </w:r>
      <w:r w:rsidR="00606DF0" w:rsidRPr="00E1105D">
        <w:rPr>
          <w:rFonts w:eastAsia="SimSun"/>
          <w:lang w:eastAsia="zh-CN"/>
        </w:rPr>
        <w:t>steps</w:t>
      </w:r>
      <w:r w:rsidRPr="00E1105D">
        <w:rPr>
          <w:rFonts w:eastAsia="SimSun"/>
          <w:lang w:eastAsia="zh-CN"/>
        </w:rPr>
        <w:t xml:space="preserve"> to comply with the Committee’s</w:t>
      </w:r>
      <w:r w:rsidR="00096A69" w:rsidRPr="00096A69">
        <w:rPr>
          <w:rFonts w:eastAsia="SimSun"/>
          <w:lang w:eastAsia="zh-CN"/>
        </w:rPr>
        <w:t xml:space="preserve"> </w:t>
      </w:r>
      <w:r w:rsidR="00096A69" w:rsidRPr="00E1105D">
        <w:rPr>
          <w:rFonts w:eastAsia="SimSun"/>
          <w:lang w:eastAsia="zh-CN"/>
        </w:rPr>
        <w:t>request</w:t>
      </w:r>
      <w:r w:rsidRPr="00E1105D">
        <w:rPr>
          <w:rFonts w:eastAsia="SimSun"/>
          <w:lang w:eastAsia="zh-CN"/>
        </w:rPr>
        <w:t xml:space="preserve"> </w:t>
      </w:r>
      <w:r w:rsidR="00096A69">
        <w:rPr>
          <w:rFonts w:eastAsia="SimSun"/>
          <w:lang w:eastAsia="zh-CN"/>
        </w:rPr>
        <w:t xml:space="preserve">for </w:t>
      </w:r>
      <w:r w:rsidRPr="00E1105D">
        <w:rPr>
          <w:rFonts w:eastAsia="SimSun"/>
          <w:lang w:eastAsia="zh-CN"/>
        </w:rPr>
        <w:t xml:space="preserve">interim </w:t>
      </w:r>
      <w:r w:rsidR="00096A69">
        <w:rPr>
          <w:rFonts w:eastAsia="SimSun"/>
          <w:lang w:eastAsia="zh-CN"/>
        </w:rPr>
        <w:t xml:space="preserve">protection </w:t>
      </w:r>
      <w:r w:rsidRPr="00E1105D">
        <w:rPr>
          <w:rFonts w:eastAsia="SimSun"/>
          <w:lang w:eastAsia="zh-CN"/>
        </w:rPr>
        <w:t>measures.</w:t>
      </w:r>
      <w:r w:rsidR="003E23DC" w:rsidRPr="00E1105D">
        <w:rPr>
          <w:rFonts w:eastAsia="SimSun"/>
          <w:lang w:eastAsia="zh-CN"/>
        </w:rPr>
        <w:t xml:space="preserve"> </w:t>
      </w:r>
    </w:p>
    <w:p w:rsidR="00A2085D" w:rsidRPr="00E1105D" w:rsidRDefault="00A2085D" w:rsidP="00E1105D">
      <w:pPr>
        <w:pStyle w:val="SingleTxtG"/>
        <w:spacing w:line="240" w:lineRule="auto"/>
        <w:rPr>
          <w:rFonts w:eastAsia="SimSun"/>
          <w:lang w:eastAsia="zh-CN"/>
        </w:rPr>
      </w:pPr>
      <w:r w:rsidRPr="00E1105D">
        <w:rPr>
          <w:rFonts w:eastAsia="SimSun"/>
          <w:lang w:eastAsia="zh-CN"/>
        </w:rPr>
        <w:t>1.3</w:t>
      </w:r>
      <w:r w:rsidR="00C673CC" w:rsidRPr="00E1105D">
        <w:rPr>
          <w:rFonts w:eastAsia="SimSun"/>
          <w:lang w:eastAsia="zh-CN"/>
        </w:rPr>
        <w:tab/>
      </w:r>
      <w:r w:rsidRPr="00E1105D">
        <w:rPr>
          <w:rFonts w:eastAsia="SimSun"/>
          <w:lang w:eastAsia="zh-CN"/>
        </w:rPr>
        <w:t>On</w:t>
      </w:r>
      <w:r w:rsidR="006168D6" w:rsidRPr="00E1105D">
        <w:rPr>
          <w:rFonts w:eastAsia="SimSun"/>
          <w:lang w:eastAsia="zh-CN"/>
        </w:rPr>
        <w:t xml:space="preserve"> 12 May</w:t>
      </w:r>
      <w:r w:rsidR="00193BD3" w:rsidRPr="00E1105D">
        <w:rPr>
          <w:rFonts w:eastAsia="SimSun"/>
          <w:lang w:eastAsia="zh-CN"/>
        </w:rPr>
        <w:t xml:space="preserve"> </w:t>
      </w:r>
      <w:r w:rsidRPr="00E1105D">
        <w:rPr>
          <w:rFonts w:eastAsia="SimSun"/>
          <w:lang w:eastAsia="zh-CN"/>
        </w:rPr>
        <w:t xml:space="preserve">2014, pursuant to </w:t>
      </w:r>
      <w:r w:rsidR="00193BD3" w:rsidRPr="00E1105D">
        <w:rPr>
          <w:rFonts w:eastAsia="SimSun"/>
          <w:lang w:eastAsia="zh-CN"/>
        </w:rPr>
        <w:t>r</w:t>
      </w:r>
      <w:r w:rsidRPr="00E1105D">
        <w:rPr>
          <w:rFonts w:eastAsia="SimSun"/>
          <w:lang w:eastAsia="zh-CN"/>
        </w:rPr>
        <w:t xml:space="preserve">ule 111, paragraph 4, of its </w:t>
      </w:r>
      <w:r w:rsidR="00193BD3" w:rsidRPr="00E1105D">
        <w:rPr>
          <w:rFonts w:eastAsia="SimSun"/>
          <w:lang w:eastAsia="zh-CN"/>
        </w:rPr>
        <w:t>updated r</w:t>
      </w:r>
      <w:r w:rsidRPr="00E1105D">
        <w:rPr>
          <w:rFonts w:eastAsia="SimSun"/>
          <w:lang w:eastAsia="zh-CN"/>
        </w:rPr>
        <w:t>ules of procedure (</w:t>
      </w:r>
      <w:r w:rsidR="00193BD3" w:rsidRPr="00E1105D">
        <w:rPr>
          <w:rFonts w:eastAsia="SimSun"/>
          <w:lang w:eastAsia="zh-CN"/>
        </w:rPr>
        <w:t>CAT/C/3/Rev.6</w:t>
      </w:r>
      <w:r w:rsidRPr="00E1105D">
        <w:rPr>
          <w:rFonts w:eastAsia="SimSun"/>
          <w:lang w:eastAsia="zh-CN"/>
        </w:rPr>
        <w:t>), the Committee decided to consider the present two communications jointly.</w:t>
      </w:r>
    </w:p>
    <w:p w:rsidR="00A2085D" w:rsidRPr="00E1105D" w:rsidRDefault="00987137" w:rsidP="00E1105D">
      <w:pPr>
        <w:pStyle w:val="H23G"/>
        <w:spacing w:line="240" w:lineRule="auto"/>
        <w:rPr>
          <w:rFonts w:eastAsia="SimSun"/>
          <w:lang w:eastAsia="zh-CN"/>
        </w:rPr>
      </w:pPr>
      <w:r w:rsidRPr="00E1105D">
        <w:rPr>
          <w:rFonts w:eastAsia="SimSun"/>
          <w:lang w:eastAsia="zh-CN"/>
        </w:rPr>
        <w:lastRenderedPageBreak/>
        <w:tab/>
      </w:r>
      <w:r w:rsidRPr="00E1105D">
        <w:rPr>
          <w:rFonts w:eastAsia="SimSun"/>
          <w:lang w:eastAsia="zh-CN"/>
        </w:rPr>
        <w:tab/>
      </w:r>
      <w:r w:rsidR="00A2085D" w:rsidRPr="00E1105D">
        <w:rPr>
          <w:rFonts w:eastAsia="SimSun"/>
          <w:lang w:eastAsia="zh-CN"/>
        </w:rPr>
        <w:t xml:space="preserve">The facts as presented by the complainants </w:t>
      </w:r>
    </w:p>
    <w:p w:rsidR="00A2085D" w:rsidRPr="00E1105D" w:rsidRDefault="00A2085D" w:rsidP="00E1105D">
      <w:pPr>
        <w:pStyle w:val="SingleTxtG"/>
        <w:spacing w:line="240" w:lineRule="auto"/>
        <w:rPr>
          <w:rFonts w:eastAsia="SimSun"/>
          <w:lang w:eastAsia="zh-CN"/>
        </w:rPr>
      </w:pPr>
      <w:r w:rsidRPr="00E1105D">
        <w:rPr>
          <w:rFonts w:eastAsia="SimSun"/>
          <w:lang w:eastAsia="zh-CN"/>
        </w:rPr>
        <w:t>2.1</w:t>
      </w:r>
      <w:r w:rsidRPr="00E1105D">
        <w:rPr>
          <w:rFonts w:eastAsia="SimSun"/>
          <w:lang w:eastAsia="zh-CN"/>
        </w:rPr>
        <w:tab/>
        <w:t xml:space="preserve">The complainants are brothers and are both Iranian nationals from Mahabad, belonging to the Kurdish minority. They both claim to have been politically active in </w:t>
      </w:r>
      <w:r w:rsidR="00606DF0" w:rsidRPr="00E1105D">
        <w:rPr>
          <w:rFonts w:eastAsia="SimSun"/>
          <w:lang w:eastAsia="zh-CN"/>
        </w:rPr>
        <w:t xml:space="preserve">the Islamic Republic of </w:t>
      </w:r>
      <w:r w:rsidRPr="00E1105D">
        <w:rPr>
          <w:rFonts w:eastAsia="SimSun"/>
          <w:lang w:eastAsia="zh-CN"/>
        </w:rPr>
        <w:t xml:space="preserve">Iran, </w:t>
      </w:r>
      <w:smartTag w:uri="urn:schemas-microsoft-com:office:smarttags" w:element="country-region">
        <w:r w:rsidRPr="00E1105D">
          <w:rPr>
            <w:rFonts w:eastAsia="SimSun"/>
            <w:lang w:eastAsia="zh-CN"/>
          </w:rPr>
          <w:t>Iraq</w:t>
        </w:r>
      </w:smartTag>
      <w:r w:rsidRPr="00E1105D">
        <w:rPr>
          <w:rFonts w:eastAsia="SimSun"/>
          <w:lang w:eastAsia="zh-CN"/>
        </w:rPr>
        <w:t xml:space="preserve"> and </w:t>
      </w:r>
      <w:smartTag w:uri="urn:schemas-microsoft-com:office:smarttags" w:element="place">
        <w:smartTag w:uri="urn:schemas-microsoft-com:office:smarttags" w:element="country-region">
          <w:r w:rsidRPr="00E1105D">
            <w:rPr>
              <w:rFonts w:eastAsia="SimSun"/>
              <w:lang w:eastAsia="zh-CN"/>
            </w:rPr>
            <w:t>Finland</w:t>
          </w:r>
        </w:smartTag>
      </w:smartTag>
      <w:r w:rsidRPr="00E1105D">
        <w:rPr>
          <w:rFonts w:eastAsia="SimSun"/>
          <w:lang w:eastAsia="zh-CN"/>
        </w:rPr>
        <w:t xml:space="preserve">. They come from a politically active and </w:t>
      </w:r>
      <w:r w:rsidR="00514AFE" w:rsidRPr="00E1105D">
        <w:rPr>
          <w:rFonts w:eastAsia="SimSun"/>
          <w:lang w:eastAsia="zh-CN"/>
        </w:rPr>
        <w:t>high-</w:t>
      </w:r>
      <w:r w:rsidRPr="00E1105D">
        <w:rPr>
          <w:rFonts w:eastAsia="SimSun"/>
          <w:lang w:eastAsia="zh-CN"/>
        </w:rPr>
        <w:t>profile family; their father and uncles have been members of the Komala</w:t>
      </w:r>
      <w:r w:rsidR="00193BD3" w:rsidRPr="00E1105D">
        <w:rPr>
          <w:rFonts w:eastAsia="SimSun"/>
          <w:lang w:eastAsia="zh-CN"/>
        </w:rPr>
        <w:t xml:space="preserve"> </w:t>
      </w:r>
      <w:r w:rsidRPr="00E1105D">
        <w:rPr>
          <w:rFonts w:eastAsia="SimSun"/>
          <w:lang w:eastAsia="zh-CN"/>
        </w:rPr>
        <w:t>party and have been persecuted because of their political opinions and activities. One uncle ha</w:t>
      </w:r>
      <w:r w:rsidR="00DE1717" w:rsidRPr="00E1105D">
        <w:rPr>
          <w:rFonts w:eastAsia="SimSun"/>
          <w:lang w:eastAsia="zh-CN"/>
        </w:rPr>
        <w:t>s</w:t>
      </w:r>
      <w:r w:rsidRPr="00E1105D">
        <w:rPr>
          <w:rFonts w:eastAsia="SimSun"/>
          <w:lang w:eastAsia="zh-CN"/>
        </w:rPr>
        <w:t xml:space="preserve"> been a </w:t>
      </w:r>
      <w:r w:rsidRPr="00E1105D">
        <w:rPr>
          <w:rFonts w:eastAsia="SimSun"/>
          <w:i/>
          <w:iCs/>
          <w:lang w:eastAsia="zh-CN"/>
        </w:rPr>
        <w:t>peshmerga</w:t>
      </w:r>
      <w:r w:rsidR="00606DF0" w:rsidRPr="00E1105D">
        <w:rPr>
          <w:rFonts w:eastAsia="SimSun"/>
          <w:lang w:eastAsia="zh-CN"/>
        </w:rPr>
        <w:t xml:space="preserve"> (armed Kurdish fighter) </w:t>
      </w:r>
      <w:r w:rsidRPr="00E1105D">
        <w:rPr>
          <w:rFonts w:eastAsia="SimSun"/>
          <w:lang w:eastAsia="zh-CN"/>
        </w:rPr>
        <w:t>and another uncle ha</w:t>
      </w:r>
      <w:r w:rsidR="00DE1717" w:rsidRPr="00E1105D">
        <w:rPr>
          <w:rFonts w:eastAsia="SimSun"/>
          <w:lang w:eastAsia="zh-CN"/>
        </w:rPr>
        <w:t>s</w:t>
      </w:r>
      <w:r w:rsidRPr="00E1105D">
        <w:rPr>
          <w:rFonts w:eastAsia="SimSun"/>
          <w:lang w:eastAsia="zh-CN"/>
        </w:rPr>
        <w:t xml:space="preserve"> been a member of the Central Committee of the Komala party. Their father and one of their uncles are now Finnish citizens and have received residence permits in </w:t>
      </w:r>
      <w:smartTag w:uri="urn:schemas-microsoft-com:office:smarttags" w:element="place">
        <w:smartTag w:uri="urn:schemas-microsoft-com:office:smarttags" w:element="country-region">
          <w:r w:rsidRPr="00E1105D">
            <w:rPr>
              <w:rFonts w:eastAsia="SimSun"/>
              <w:lang w:eastAsia="zh-CN"/>
            </w:rPr>
            <w:t>Finland</w:t>
          </w:r>
        </w:smartTag>
      </w:smartTag>
      <w:r w:rsidRPr="00E1105D">
        <w:rPr>
          <w:rFonts w:eastAsia="SimSun"/>
          <w:lang w:eastAsia="zh-CN"/>
        </w:rPr>
        <w:t xml:space="preserve"> because they needed international protection. </w:t>
      </w:r>
    </w:p>
    <w:p w:rsidR="00A2085D" w:rsidRPr="00E1105D" w:rsidRDefault="00A2085D" w:rsidP="00E1105D">
      <w:pPr>
        <w:pStyle w:val="SingleTxtG"/>
        <w:spacing w:line="240" w:lineRule="auto"/>
        <w:rPr>
          <w:rFonts w:eastAsia="SimSun"/>
        </w:rPr>
      </w:pPr>
      <w:r w:rsidRPr="00E1105D">
        <w:rPr>
          <w:rFonts w:eastAsia="SimSun"/>
        </w:rPr>
        <w:t>2.2</w:t>
      </w:r>
      <w:r w:rsidRPr="00E1105D">
        <w:rPr>
          <w:rFonts w:eastAsia="SimSun"/>
        </w:rPr>
        <w:tab/>
        <w:t>The complainants submit that</w:t>
      </w:r>
      <w:r w:rsidR="00DE1717" w:rsidRPr="00E1105D">
        <w:rPr>
          <w:rFonts w:eastAsia="SimSun"/>
        </w:rPr>
        <w:t>,</w:t>
      </w:r>
      <w:r w:rsidRPr="00E1105D">
        <w:rPr>
          <w:rFonts w:eastAsia="SimSun"/>
        </w:rPr>
        <w:t xml:space="preserve"> in 1999, when they were adolescents, they had to flee from </w:t>
      </w:r>
      <w:r w:rsidR="00606DF0" w:rsidRPr="00E1105D">
        <w:rPr>
          <w:rFonts w:eastAsia="SimSun"/>
          <w:lang w:eastAsia="zh-CN"/>
        </w:rPr>
        <w:t>the Islamic Republic of</w:t>
      </w:r>
      <w:r w:rsidR="00606DF0" w:rsidRPr="00E1105D">
        <w:rPr>
          <w:rFonts w:eastAsia="SimSun"/>
        </w:rPr>
        <w:t xml:space="preserve"> </w:t>
      </w:r>
      <w:r w:rsidRPr="00E1105D">
        <w:rPr>
          <w:rFonts w:eastAsia="SimSun"/>
        </w:rPr>
        <w:t xml:space="preserve">Iran with their family. The family sought asylum in </w:t>
      </w:r>
      <w:smartTag w:uri="urn:schemas-microsoft-com:office:smarttags" w:element="place">
        <w:smartTag w:uri="urn:schemas-microsoft-com:office:smarttags" w:element="country-region">
          <w:r w:rsidRPr="00E1105D">
            <w:rPr>
              <w:rFonts w:eastAsia="SimSun"/>
            </w:rPr>
            <w:t>Turkey</w:t>
          </w:r>
        </w:smartTag>
      </w:smartTag>
      <w:r w:rsidRPr="00E1105D">
        <w:rPr>
          <w:rFonts w:eastAsia="SimSun"/>
        </w:rPr>
        <w:t xml:space="preserve">. In 2003, their father travelled to </w:t>
      </w:r>
      <w:smartTag w:uri="urn:schemas-microsoft-com:office:smarttags" w:element="place">
        <w:smartTag w:uri="urn:schemas-microsoft-com:office:smarttags" w:element="country-region">
          <w:r w:rsidRPr="00E1105D">
            <w:rPr>
              <w:rFonts w:eastAsia="SimSun"/>
            </w:rPr>
            <w:t>Finland</w:t>
          </w:r>
        </w:smartTag>
      </w:smartTag>
      <w:r w:rsidRPr="00E1105D">
        <w:rPr>
          <w:rFonts w:eastAsia="SimSun"/>
        </w:rPr>
        <w:t xml:space="preserve"> and received protection status there. </w:t>
      </w:r>
      <w:r w:rsidR="00DE1717" w:rsidRPr="00E1105D">
        <w:rPr>
          <w:rFonts w:eastAsia="SimSun"/>
        </w:rPr>
        <w:t>The</w:t>
      </w:r>
      <w:r w:rsidRPr="00E1105D">
        <w:rPr>
          <w:rFonts w:eastAsia="SimSun"/>
        </w:rPr>
        <w:t xml:space="preserve"> authors of </w:t>
      </w:r>
      <w:r w:rsidR="00DE1717" w:rsidRPr="00E1105D">
        <w:rPr>
          <w:rFonts w:eastAsia="SimSun"/>
        </w:rPr>
        <w:t>both</w:t>
      </w:r>
      <w:r w:rsidRPr="00E1105D">
        <w:rPr>
          <w:rFonts w:eastAsia="SimSun"/>
        </w:rPr>
        <w:t xml:space="preserve"> com</w:t>
      </w:r>
      <w:r w:rsidR="00DE1717" w:rsidRPr="00E1105D">
        <w:rPr>
          <w:rFonts w:eastAsia="SimSun"/>
        </w:rPr>
        <w:t>plaints</w:t>
      </w:r>
      <w:r w:rsidRPr="00E1105D">
        <w:rPr>
          <w:rFonts w:eastAsia="SimSun"/>
        </w:rPr>
        <w:t xml:space="preserve"> and the rest of </w:t>
      </w:r>
      <w:r w:rsidR="00DE1717" w:rsidRPr="00E1105D">
        <w:rPr>
          <w:rFonts w:eastAsia="SimSun"/>
        </w:rPr>
        <w:t>their</w:t>
      </w:r>
      <w:r w:rsidRPr="00E1105D">
        <w:rPr>
          <w:rFonts w:eastAsia="SimSun"/>
        </w:rPr>
        <w:t xml:space="preserve"> family were returned to </w:t>
      </w:r>
      <w:r w:rsidR="00606DF0" w:rsidRPr="00E1105D">
        <w:rPr>
          <w:rFonts w:eastAsia="SimSun"/>
          <w:lang w:eastAsia="zh-CN"/>
        </w:rPr>
        <w:t>the Islamic Republic of</w:t>
      </w:r>
      <w:r w:rsidR="00606DF0" w:rsidRPr="00E1105D">
        <w:rPr>
          <w:rFonts w:eastAsia="SimSun"/>
        </w:rPr>
        <w:t xml:space="preserve"> </w:t>
      </w:r>
      <w:r w:rsidRPr="00E1105D">
        <w:rPr>
          <w:rFonts w:eastAsia="SimSun"/>
        </w:rPr>
        <w:t xml:space="preserve">Iran in 2004. Upon return, they were questioned by the Iranian authorities about the father’s whereabouts and about their asylum application in </w:t>
      </w:r>
      <w:smartTag w:uri="urn:schemas-microsoft-com:office:smarttags" w:element="place">
        <w:smartTag w:uri="urn:schemas-microsoft-com:office:smarttags" w:element="country-region">
          <w:r w:rsidRPr="00E1105D">
            <w:rPr>
              <w:rFonts w:eastAsia="SimSun"/>
            </w:rPr>
            <w:t>Turkey</w:t>
          </w:r>
        </w:smartTag>
      </w:smartTag>
      <w:r w:rsidRPr="00E1105D">
        <w:rPr>
          <w:rFonts w:eastAsia="SimSun"/>
        </w:rPr>
        <w:t xml:space="preserve">. They were imprisoned for one month and had to pay fines because they had left </w:t>
      </w:r>
      <w:r w:rsidR="00606DF0" w:rsidRPr="00E1105D">
        <w:rPr>
          <w:rFonts w:eastAsia="SimSun"/>
          <w:lang w:eastAsia="zh-CN"/>
        </w:rPr>
        <w:t>the Islamic Republic of</w:t>
      </w:r>
      <w:r w:rsidR="00606DF0" w:rsidRPr="00E1105D">
        <w:rPr>
          <w:rFonts w:eastAsia="SimSun"/>
        </w:rPr>
        <w:t xml:space="preserve"> </w:t>
      </w:r>
      <w:r w:rsidRPr="00E1105D">
        <w:rPr>
          <w:rFonts w:eastAsia="SimSun"/>
        </w:rPr>
        <w:t>Iran illegally without obtaining prior authori</w:t>
      </w:r>
      <w:r w:rsidR="009E63AC" w:rsidRPr="00E1105D">
        <w:rPr>
          <w:rFonts w:eastAsia="SimSun"/>
        </w:rPr>
        <w:t>z</w:t>
      </w:r>
      <w:r w:rsidRPr="00E1105D">
        <w:rPr>
          <w:rFonts w:eastAsia="SimSun"/>
        </w:rPr>
        <w:t>ation f</w:t>
      </w:r>
      <w:r w:rsidR="009E63AC" w:rsidRPr="00E1105D">
        <w:rPr>
          <w:rFonts w:eastAsia="SimSun"/>
        </w:rPr>
        <w:t>rom</w:t>
      </w:r>
      <w:r w:rsidRPr="00E1105D">
        <w:rPr>
          <w:rFonts w:eastAsia="SimSun"/>
        </w:rPr>
        <w:t xml:space="preserve"> the authorities. </w:t>
      </w:r>
    </w:p>
    <w:p w:rsidR="00CB7DDD" w:rsidRPr="00E1105D" w:rsidRDefault="00CB7DDD" w:rsidP="00096A69">
      <w:pPr>
        <w:pStyle w:val="SingleTxtG"/>
        <w:spacing w:line="240" w:lineRule="auto"/>
        <w:rPr>
          <w:rFonts w:eastAsia="SimSun"/>
          <w:lang w:eastAsia="zh-CN"/>
        </w:rPr>
      </w:pPr>
      <w:r w:rsidRPr="00E1105D">
        <w:rPr>
          <w:rFonts w:eastAsia="SimSun"/>
          <w:lang w:eastAsia="zh-CN"/>
        </w:rPr>
        <w:t>2.3</w:t>
      </w:r>
      <w:r w:rsidRPr="00E1105D">
        <w:rPr>
          <w:rFonts w:eastAsia="SimSun"/>
          <w:lang w:eastAsia="zh-CN"/>
        </w:rPr>
        <w:tab/>
        <w:t xml:space="preserve">The complainants claim that after their release they started their political activities in </w:t>
      </w:r>
      <w:r w:rsidR="00606DF0" w:rsidRPr="00E1105D">
        <w:rPr>
          <w:rFonts w:eastAsia="SimSun"/>
          <w:lang w:eastAsia="zh-CN"/>
        </w:rPr>
        <w:t xml:space="preserve">the Islamic Republic of </w:t>
      </w:r>
      <w:r w:rsidRPr="00E1105D">
        <w:rPr>
          <w:rFonts w:eastAsia="SimSun"/>
          <w:lang w:eastAsia="zh-CN"/>
        </w:rPr>
        <w:t>Iran</w:t>
      </w:r>
      <w:r w:rsidR="009E63AC" w:rsidRPr="00E1105D">
        <w:rPr>
          <w:rFonts w:eastAsia="SimSun"/>
          <w:lang w:eastAsia="zh-CN"/>
        </w:rPr>
        <w:t>,</w:t>
      </w:r>
      <w:r w:rsidRPr="00E1105D">
        <w:rPr>
          <w:rFonts w:eastAsia="SimSun"/>
          <w:lang w:eastAsia="zh-CN"/>
        </w:rPr>
        <w:t xml:space="preserve"> also join</w:t>
      </w:r>
      <w:r w:rsidR="009E63AC" w:rsidRPr="00E1105D">
        <w:rPr>
          <w:rFonts w:eastAsia="SimSun"/>
          <w:lang w:eastAsia="zh-CN"/>
        </w:rPr>
        <w:t>ing</w:t>
      </w:r>
      <w:r w:rsidRPr="00E1105D">
        <w:rPr>
          <w:rFonts w:eastAsia="SimSun"/>
          <w:lang w:eastAsia="zh-CN"/>
        </w:rPr>
        <w:t xml:space="preserve"> the illegal Komala party. Their tasks within the party consisted </w:t>
      </w:r>
      <w:r w:rsidR="009E63AC" w:rsidRPr="00E1105D">
        <w:rPr>
          <w:rFonts w:eastAsia="SimSun"/>
          <w:lang w:eastAsia="zh-CN"/>
        </w:rPr>
        <w:t>of</w:t>
      </w:r>
      <w:r w:rsidRPr="00E1105D">
        <w:rPr>
          <w:rFonts w:eastAsia="SimSun"/>
          <w:lang w:eastAsia="zh-CN"/>
        </w:rPr>
        <w:t xml:space="preserve"> distributing the party’s </w:t>
      </w:r>
      <w:r w:rsidR="009E63AC" w:rsidRPr="00E1105D">
        <w:rPr>
          <w:rFonts w:eastAsia="SimSun"/>
          <w:lang w:eastAsia="zh-CN"/>
        </w:rPr>
        <w:t>leaflets</w:t>
      </w:r>
      <w:r w:rsidRPr="00E1105D">
        <w:rPr>
          <w:rFonts w:eastAsia="SimSun"/>
          <w:lang w:eastAsia="zh-CN"/>
        </w:rPr>
        <w:t xml:space="preserve"> and other materials. </w:t>
      </w:r>
    </w:p>
    <w:p w:rsidR="00CB7DDD" w:rsidRPr="00E1105D" w:rsidRDefault="00CB7DDD" w:rsidP="00096A69">
      <w:pPr>
        <w:pStyle w:val="SingleTxtG"/>
        <w:spacing w:line="240" w:lineRule="auto"/>
        <w:rPr>
          <w:rFonts w:eastAsia="SimSun"/>
          <w:lang w:eastAsia="zh-CN"/>
        </w:rPr>
      </w:pPr>
      <w:r w:rsidRPr="00E1105D">
        <w:rPr>
          <w:rFonts w:eastAsia="SimSun"/>
          <w:lang w:eastAsia="zh-CN"/>
        </w:rPr>
        <w:t>2.4</w:t>
      </w:r>
      <w:r w:rsidRPr="00E1105D">
        <w:rPr>
          <w:rFonts w:eastAsia="SimSun"/>
          <w:lang w:eastAsia="zh-CN"/>
        </w:rPr>
        <w:tab/>
        <w:t xml:space="preserve">On 23 June 2007, the complainants were arrested by the Ettela’at intelligence forces in the city of </w:t>
      </w:r>
      <w:smartTag w:uri="urn:schemas-microsoft-com:office:smarttags" w:element="place">
        <w:smartTag w:uri="urn:schemas-microsoft-com:office:smarttags" w:element="City">
          <w:r w:rsidRPr="00E1105D">
            <w:rPr>
              <w:rFonts w:eastAsia="SimSun"/>
              <w:lang w:eastAsia="zh-CN"/>
            </w:rPr>
            <w:t>Mahabad</w:t>
          </w:r>
        </w:smartTag>
      </w:smartTag>
      <w:r w:rsidRPr="00E1105D">
        <w:rPr>
          <w:rFonts w:eastAsia="SimSun"/>
          <w:lang w:eastAsia="zh-CN"/>
        </w:rPr>
        <w:t xml:space="preserve">. They were blindfolded and taken to a detention centre. They were kept there for about </w:t>
      </w:r>
      <w:r w:rsidR="009E63AC" w:rsidRPr="00E1105D">
        <w:rPr>
          <w:rFonts w:eastAsia="SimSun"/>
          <w:lang w:eastAsia="zh-CN"/>
        </w:rPr>
        <w:t xml:space="preserve">two </w:t>
      </w:r>
      <w:r w:rsidRPr="00E1105D">
        <w:rPr>
          <w:rFonts w:eastAsia="SimSun"/>
          <w:lang w:eastAsia="zh-CN"/>
        </w:rPr>
        <w:t xml:space="preserve">months and were continuously interrogated about their father’s and their relatives’ political activities. The complainants were forced to confess </w:t>
      </w:r>
      <w:r w:rsidR="009E63AC" w:rsidRPr="00E1105D">
        <w:rPr>
          <w:rFonts w:eastAsia="SimSun"/>
          <w:lang w:eastAsia="zh-CN"/>
        </w:rPr>
        <w:t xml:space="preserve">that they </w:t>
      </w:r>
      <w:r w:rsidRPr="00E1105D">
        <w:rPr>
          <w:rFonts w:eastAsia="SimSun"/>
          <w:lang w:eastAsia="zh-CN"/>
        </w:rPr>
        <w:t>belong</w:t>
      </w:r>
      <w:r w:rsidR="009E63AC" w:rsidRPr="00E1105D">
        <w:rPr>
          <w:rFonts w:eastAsia="SimSun"/>
          <w:lang w:eastAsia="zh-CN"/>
        </w:rPr>
        <w:t>ed</w:t>
      </w:r>
      <w:r w:rsidRPr="00E1105D">
        <w:rPr>
          <w:rFonts w:eastAsia="SimSun"/>
          <w:lang w:eastAsia="zh-CN"/>
        </w:rPr>
        <w:t xml:space="preserve"> to the Komala party, provide information about the party’s activities and reveal </w:t>
      </w:r>
      <w:r w:rsidR="00DE1717" w:rsidRPr="00E1105D">
        <w:rPr>
          <w:rFonts w:eastAsia="SimSun"/>
          <w:lang w:eastAsia="zh-CN"/>
        </w:rPr>
        <w:t xml:space="preserve">the </w:t>
      </w:r>
      <w:r w:rsidRPr="00E1105D">
        <w:rPr>
          <w:rFonts w:eastAsia="SimSun"/>
          <w:lang w:eastAsia="zh-CN"/>
        </w:rPr>
        <w:t>names of other members. Between interrogations</w:t>
      </w:r>
      <w:r w:rsidR="00DE1717" w:rsidRPr="00E1105D">
        <w:rPr>
          <w:rFonts w:eastAsia="SimSun"/>
          <w:lang w:eastAsia="zh-CN"/>
        </w:rPr>
        <w:t>,</w:t>
      </w:r>
      <w:r w:rsidRPr="00E1105D">
        <w:rPr>
          <w:rFonts w:eastAsia="SimSun"/>
          <w:lang w:eastAsia="zh-CN"/>
        </w:rPr>
        <w:t xml:space="preserve"> they were </w:t>
      </w:r>
      <w:r w:rsidR="00DE1717" w:rsidRPr="00E1105D">
        <w:rPr>
          <w:rFonts w:eastAsia="SimSun"/>
          <w:lang w:eastAsia="zh-CN"/>
        </w:rPr>
        <w:t xml:space="preserve">both </w:t>
      </w:r>
      <w:r w:rsidRPr="00E1105D">
        <w:rPr>
          <w:rFonts w:eastAsia="SimSun"/>
          <w:lang w:eastAsia="zh-CN"/>
        </w:rPr>
        <w:t xml:space="preserve">kept in solitary confinement for prolonged periods. </w:t>
      </w:r>
    </w:p>
    <w:p w:rsidR="00CB7DDD" w:rsidRPr="00E1105D" w:rsidRDefault="00987137" w:rsidP="00E1105D">
      <w:pPr>
        <w:pStyle w:val="H4G"/>
        <w:spacing w:line="240" w:lineRule="auto"/>
        <w:rPr>
          <w:rFonts w:eastAsia="SimSun"/>
          <w:lang w:eastAsia="zh-CN"/>
        </w:rPr>
      </w:pPr>
      <w:r w:rsidRPr="00E1105D">
        <w:rPr>
          <w:rFonts w:eastAsia="SimSun"/>
          <w:lang w:eastAsia="zh-CN"/>
        </w:rPr>
        <w:tab/>
      </w:r>
      <w:r w:rsidRPr="00E1105D">
        <w:rPr>
          <w:rFonts w:eastAsia="SimSun"/>
          <w:lang w:eastAsia="zh-CN"/>
        </w:rPr>
        <w:tab/>
      </w:r>
      <w:r w:rsidR="00CB7DDD" w:rsidRPr="00E1105D">
        <w:rPr>
          <w:rFonts w:eastAsia="SimSun"/>
          <w:lang w:eastAsia="zh-CN"/>
        </w:rPr>
        <w:t>Alleged mistreatment of Mr. X</w:t>
      </w:r>
      <w:r w:rsidR="003E23DC" w:rsidRPr="00E1105D">
        <w:rPr>
          <w:rFonts w:eastAsia="SimSun"/>
          <w:lang w:eastAsia="zh-CN"/>
        </w:rPr>
        <w:t xml:space="preserve"> </w:t>
      </w:r>
    </w:p>
    <w:p w:rsidR="00CB7DDD" w:rsidRPr="00E1105D" w:rsidRDefault="00CB7DDD" w:rsidP="00096A69">
      <w:pPr>
        <w:pStyle w:val="SingleTxtG"/>
        <w:spacing w:line="240" w:lineRule="auto"/>
        <w:rPr>
          <w:rFonts w:eastAsia="SimSun"/>
          <w:lang w:eastAsia="zh-CN"/>
        </w:rPr>
      </w:pPr>
      <w:r w:rsidRPr="00E1105D">
        <w:rPr>
          <w:rFonts w:eastAsia="SimSun"/>
          <w:lang w:eastAsia="zh-CN"/>
        </w:rPr>
        <w:t>2.5</w:t>
      </w:r>
      <w:r w:rsidRPr="00E1105D">
        <w:rPr>
          <w:rFonts w:eastAsia="SimSun"/>
          <w:lang w:eastAsia="zh-CN"/>
        </w:rPr>
        <w:tab/>
        <w:t xml:space="preserve">During his detention, Mr. X was constantly subjected to torture and was physically and verbally abused. His clothes were </w:t>
      </w:r>
      <w:r w:rsidR="009E63AC" w:rsidRPr="00E1105D">
        <w:rPr>
          <w:rFonts w:eastAsia="SimSun"/>
          <w:lang w:eastAsia="zh-CN"/>
        </w:rPr>
        <w:t>removed</w:t>
      </w:r>
      <w:r w:rsidRPr="00E1105D">
        <w:rPr>
          <w:rFonts w:eastAsia="SimSun"/>
          <w:lang w:eastAsia="zh-CN"/>
        </w:rPr>
        <w:t xml:space="preserve"> and he had cold water thrown on him. He was also burned with a hot implement to the point </w:t>
      </w:r>
      <w:r w:rsidR="009E63AC" w:rsidRPr="00E1105D">
        <w:rPr>
          <w:rFonts w:eastAsia="SimSun"/>
          <w:lang w:eastAsia="zh-CN"/>
        </w:rPr>
        <w:t xml:space="preserve">that </w:t>
      </w:r>
      <w:r w:rsidRPr="00E1105D">
        <w:rPr>
          <w:rFonts w:eastAsia="SimSun"/>
          <w:lang w:eastAsia="zh-CN"/>
        </w:rPr>
        <w:t>he lost consciousness. The complainant was also suspended both from his hands and legs. The officers mistreated and tortured him, especially o</w:t>
      </w:r>
      <w:r w:rsidR="00096A69">
        <w:rPr>
          <w:rFonts w:eastAsia="SimSun"/>
          <w:lang w:eastAsia="zh-CN"/>
        </w:rPr>
        <w:t>n</w:t>
      </w:r>
      <w:r w:rsidRPr="00E1105D">
        <w:rPr>
          <w:rFonts w:eastAsia="SimSun"/>
          <w:lang w:eastAsia="zh-CN"/>
        </w:rPr>
        <w:t xml:space="preserve"> the left part of his body, saying that, as he was a communist</w:t>
      </w:r>
      <w:r w:rsidR="00096A69">
        <w:rPr>
          <w:rFonts w:eastAsia="SimSun"/>
          <w:lang w:eastAsia="zh-CN"/>
        </w:rPr>
        <w:t>,</w:t>
      </w:r>
      <w:r w:rsidRPr="00E1105D">
        <w:rPr>
          <w:rFonts w:eastAsia="SimSun"/>
          <w:lang w:eastAsia="zh-CN"/>
        </w:rPr>
        <w:t xml:space="preserve"> he had to lose </w:t>
      </w:r>
      <w:r w:rsidR="00096A69">
        <w:rPr>
          <w:rFonts w:eastAsia="SimSun"/>
          <w:lang w:eastAsia="zh-CN"/>
        </w:rPr>
        <w:t>the</w:t>
      </w:r>
      <w:r w:rsidRPr="00E1105D">
        <w:rPr>
          <w:rFonts w:eastAsia="SimSun"/>
          <w:lang w:eastAsia="zh-CN"/>
        </w:rPr>
        <w:t xml:space="preserve"> left side of h</w:t>
      </w:r>
      <w:r w:rsidR="00096A69">
        <w:rPr>
          <w:rFonts w:eastAsia="SimSun"/>
          <w:lang w:eastAsia="zh-CN"/>
        </w:rPr>
        <w:t>is</w:t>
      </w:r>
      <w:r w:rsidRPr="00E1105D">
        <w:rPr>
          <w:rFonts w:eastAsia="SimSun"/>
          <w:lang w:eastAsia="zh-CN"/>
        </w:rPr>
        <w:t xml:space="preserve"> body.</w:t>
      </w:r>
      <w:r w:rsidR="003E23DC" w:rsidRPr="00E1105D">
        <w:rPr>
          <w:rFonts w:eastAsia="SimSun"/>
          <w:lang w:eastAsia="zh-CN"/>
        </w:rPr>
        <w:t xml:space="preserve"> </w:t>
      </w:r>
    </w:p>
    <w:p w:rsidR="00CB7DDD" w:rsidRPr="00E1105D" w:rsidRDefault="00987137" w:rsidP="00E1105D">
      <w:pPr>
        <w:pStyle w:val="H4G"/>
        <w:spacing w:line="240" w:lineRule="auto"/>
        <w:rPr>
          <w:rFonts w:eastAsia="SimSun"/>
          <w:lang w:eastAsia="zh-CN"/>
        </w:rPr>
      </w:pPr>
      <w:r w:rsidRPr="00E1105D">
        <w:rPr>
          <w:rFonts w:eastAsia="SimSun"/>
          <w:lang w:eastAsia="zh-CN"/>
        </w:rPr>
        <w:tab/>
      </w:r>
      <w:r w:rsidRPr="00E1105D">
        <w:rPr>
          <w:rFonts w:eastAsia="SimSun"/>
          <w:lang w:eastAsia="zh-CN"/>
        </w:rPr>
        <w:tab/>
      </w:r>
      <w:r w:rsidR="00CB7DDD" w:rsidRPr="00E1105D">
        <w:rPr>
          <w:rFonts w:eastAsia="SimSun"/>
          <w:lang w:eastAsia="zh-CN"/>
        </w:rPr>
        <w:t xml:space="preserve">Alleged mistreatment of Mr. Z </w:t>
      </w:r>
    </w:p>
    <w:p w:rsidR="00CB7DDD" w:rsidRPr="00E1105D" w:rsidRDefault="00CB7DDD" w:rsidP="00E1105D">
      <w:pPr>
        <w:pStyle w:val="SingleTxtG"/>
        <w:spacing w:line="240" w:lineRule="auto"/>
        <w:rPr>
          <w:rFonts w:eastAsia="SimSun"/>
          <w:lang w:eastAsia="zh-CN"/>
        </w:rPr>
      </w:pPr>
      <w:r w:rsidRPr="00E1105D">
        <w:rPr>
          <w:rFonts w:eastAsia="SimSun"/>
          <w:lang w:eastAsia="zh-CN"/>
        </w:rPr>
        <w:t>2.6</w:t>
      </w:r>
      <w:r w:rsidRPr="00E1105D">
        <w:rPr>
          <w:rFonts w:eastAsia="SimSun"/>
          <w:lang w:eastAsia="zh-CN"/>
        </w:rPr>
        <w:tab/>
        <w:t xml:space="preserve">During his detention, Mr. Z was beaten extensively on his head. He was also threatened </w:t>
      </w:r>
      <w:r w:rsidR="009E63AC" w:rsidRPr="00E1105D">
        <w:rPr>
          <w:rFonts w:eastAsia="SimSun"/>
          <w:lang w:eastAsia="zh-CN"/>
        </w:rPr>
        <w:t xml:space="preserve">with </w:t>
      </w:r>
      <w:r w:rsidRPr="00E1105D">
        <w:rPr>
          <w:rFonts w:eastAsia="SimSun"/>
          <w:lang w:eastAsia="zh-CN"/>
        </w:rPr>
        <w:t xml:space="preserve">rape and </w:t>
      </w:r>
      <w:r w:rsidR="009E63AC" w:rsidRPr="00E1105D">
        <w:rPr>
          <w:rFonts w:eastAsia="SimSun"/>
          <w:lang w:eastAsia="zh-CN"/>
        </w:rPr>
        <w:t>death</w:t>
      </w:r>
      <w:r w:rsidRPr="00E1105D">
        <w:rPr>
          <w:rFonts w:eastAsia="SimSun"/>
          <w:lang w:eastAsia="zh-CN"/>
        </w:rPr>
        <w:t xml:space="preserve">. At one point, he was tied to a stick, his legs were raised higher than the rest of his body, and he had water poured into his nose. </w:t>
      </w:r>
      <w:r w:rsidR="00DE1717" w:rsidRPr="00E1105D">
        <w:rPr>
          <w:rFonts w:eastAsia="SimSun"/>
          <w:lang w:eastAsia="zh-CN"/>
        </w:rPr>
        <w:t xml:space="preserve">The </w:t>
      </w:r>
      <w:r w:rsidRPr="00E1105D">
        <w:rPr>
          <w:rFonts w:eastAsia="SimSun"/>
          <w:lang w:eastAsia="zh-CN"/>
        </w:rPr>
        <w:t>fingers o</w:t>
      </w:r>
      <w:r w:rsidR="00DE1717" w:rsidRPr="00E1105D">
        <w:rPr>
          <w:rFonts w:eastAsia="SimSun"/>
          <w:lang w:eastAsia="zh-CN"/>
        </w:rPr>
        <w:t>f</w:t>
      </w:r>
      <w:r w:rsidRPr="00E1105D">
        <w:rPr>
          <w:rFonts w:eastAsia="SimSun"/>
          <w:lang w:eastAsia="zh-CN"/>
        </w:rPr>
        <w:t xml:space="preserve"> </w:t>
      </w:r>
      <w:r w:rsidR="00DE1717" w:rsidRPr="00E1105D">
        <w:rPr>
          <w:rFonts w:eastAsia="SimSun"/>
          <w:lang w:eastAsia="zh-CN"/>
        </w:rPr>
        <w:t>his</w:t>
      </w:r>
      <w:r w:rsidRPr="00E1105D">
        <w:rPr>
          <w:rFonts w:eastAsia="SimSun"/>
          <w:lang w:eastAsia="zh-CN"/>
        </w:rPr>
        <w:t xml:space="preserve"> left hand were injured and he was taken to hospital for surgery before being returned to the detention centre. </w:t>
      </w:r>
    </w:p>
    <w:p w:rsidR="00CB7DDD" w:rsidRPr="00E1105D" w:rsidRDefault="00CB7DDD" w:rsidP="0025531A">
      <w:pPr>
        <w:pStyle w:val="SingleTxtG"/>
        <w:spacing w:line="240" w:lineRule="auto"/>
        <w:rPr>
          <w:rFonts w:eastAsia="SimSun"/>
        </w:rPr>
      </w:pPr>
      <w:r w:rsidRPr="00E1105D">
        <w:rPr>
          <w:rFonts w:eastAsia="SimSun"/>
          <w:lang w:eastAsia="zh-CN"/>
        </w:rPr>
        <w:t>2.7</w:t>
      </w:r>
      <w:r w:rsidRPr="00E1105D">
        <w:rPr>
          <w:rFonts w:eastAsia="SimSun"/>
          <w:lang w:eastAsia="zh-CN"/>
        </w:rPr>
        <w:tab/>
        <w:t>Both complainants further submit that</w:t>
      </w:r>
      <w:r w:rsidR="00096A69">
        <w:rPr>
          <w:rFonts w:eastAsia="SimSun"/>
          <w:lang w:eastAsia="zh-CN"/>
        </w:rPr>
        <w:t>,</w:t>
      </w:r>
      <w:r w:rsidRPr="00E1105D">
        <w:rPr>
          <w:rFonts w:eastAsia="SimSun"/>
          <w:lang w:eastAsia="zh-CN"/>
        </w:rPr>
        <w:t xml:space="preserve"> during their detention, they appeared three times before a court</w:t>
      </w:r>
      <w:r w:rsidR="00102AEE" w:rsidRPr="00E1105D">
        <w:rPr>
          <w:rFonts w:eastAsia="SimSun"/>
          <w:lang w:eastAsia="zh-CN"/>
        </w:rPr>
        <w:t>.</w:t>
      </w:r>
      <w:r w:rsidRPr="00E1105D">
        <w:rPr>
          <w:rStyle w:val="FootnoteReference"/>
          <w:rFonts w:eastAsia="SimSun"/>
          <w:sz w:val="20"/>
          <w:lang w:eastAsia="zh-CN"/>
        </w:rPr>
        <w:footnoteReference w:id="2"/>
      </w:r>
      <w:r w:rsidRPr="00E1105D">
        <w:rPr>
          <w:rFonts w:eastAsia="SimSun"/>
          <w:lang w:eastAsia="zh-CN"/>
        </w:rPr>
        <w:t xml:space="preserve"> </w:t>
      </w:r>
      <w:r w:rsidRPr="00E1105D">
        <w:rPr>
          <w:rFonts w:eastAsia="SimSun"/>
        </w:rPr>
        <w:t xml:space="preserve">They were </w:t>
      </w:r>
      <w:r w:rsidR="009E63AC" w:rsidRPr="00E1105D">
        <w:rPr>
          <w:rFonts w:eastAsia="SimSun"/>
        </w:rPr>
        <w:t xml:space="preserve">both </w:t>
      </w:r>
      <w:r w:rsidRPr="00E1105D">
        <w:rPr>
          <w:rFonts w:eastAsia="SimSun"/>
        </w:rPr>
        <w:t xml:space="preserve">charged and prosecuted for their membership and activities in the Komala party, for being communists and opponents </w:t>
      </w:r>
      <w:r w:rsidR="009E63AC" w:rsidRPr="00E1105D">
        <w:rPr>
          <w:rFonts w:eastAsia="SimSun"/>
        </w:rPr>
        <w:t>of</w:t>
      </w:r>
      <w:r w:rsidRPr="00E1105D">
        <w:rPr>
          <w:rFonts w:eastAsia="SimSun"/>
        </w:rPr>
        <w:t xml:space="preserve"> Islam, and for </w:t>
      </w:r>
      <w:r w:rsidR="005053C9" w:rsidRPr="00E1105D">
        <w:rPr>
          <w:rFonts w:eastAsia="SimSun"/>
        </w:rPr>
        <w:t xml:space="preserve">being </w:t>
      </w:r>
      <w:r w:rsidRPr="00E1105D">
        <w:rPr>
          <w:rFonts w:eastAsia="SimSun"/>
        </w:rPr>
        <w:t xml:space="preserve">so-called </w:t>
      </w:r>
      <w:r w:rsidR="00492E0E" w:rsidRPr="00E1105D">
        <w:rPr>
          <w:rFonts w:eastAsia="SimSun"/>
          <w:i/>
          <w:iCs/>
        </w:rPr>
        <w:t>mohareb</w:t>
      </w:r>
      <w:r w:rsidR="00492E0E" w:rsidRPr="00E1105D">
        <w:rPr>
          <w:rFonts w:eastAsia="SimSun"/>
        </w:rPr>
        <w:t xml:space="preserve"> </w:t>
      </w:r>
      <w:r w:rsidR="005053C9" w:rsidRPr="00E1105D">
        <w:rPr>
          <w:rFonts w:eastAsia="SimSun"/>
        </w:rPr>
        <w:t>(</w:t>
      </w:r>
      <w:r w:rsidR="003D1BF0" w:rsidRPr="00E1105D">
        <w:rPr>
          <w:rFonts w:eastAsia="SimSun"/>
        </w:rPr>
        <w:t>enemies of God)</w:t>
      </w:r>
      <w:r w:rsidR="00DE1717" w:rsidRPr="00E1105D">
        <w:rPr>
          <w:rFonts w:eastAsia="SimSun"/>
        </w:rPr>
        <w:t>.</w:t>
      </w:r>
      <w:r w:rsidRPr="00E1105D">
        <w:rPr>
          <w:rFonts w:eastAsia="SimSun"/>
        </w:rPr>
        <w:t xml:space="preserve"> After their third </w:t>
      </w:r>
      <w:r w:rsidR="003D1BF0" w:rsidRPr="00E1105D">
        <w:rPr>
          <w:rFonts w:eastAsia="SimSun"/>
        </w:rPr>
        <w:t xml:space="preserve">court </w:t>
      </w:r>
      <w:r w:rsidRPr="00E1105D">
        <w:rPr>
          <w:rFonts w:eastAsia="SimSun"/>
        </w:rPr>
        <w:t xml:space="preserve">appearance, they were taken to </w:t>
      </w:r>
      <w:r w:rsidR="003D1BF0" w:rsidRPr="00E1105D">
        <w:rPr>
          <w:rFonts w:eastAsia="SimSun"/>
        </w:rPr>
        <w:t xml:space="preserve">Mahabad </w:t>
      </w:r>
      <w:r w:rsidRPr="00E1105D">
        <w:rPr>
          <w:rFonts w:eastAsia="SimSun"/>
        </w:rPr>
        <w:t>prison, where they were detained for about a week</w:t>
      </w:r>
      <w:r w:rsidR="00721340" w:rsidRPr="00E1105D">
        <w:rPr>
          <w:rFonts w:eastAsia="SimSun"/>
        </w:rPr>
        <w:t>.</w:t>
      </w:r>
      <w:r w:rsidRPr="00E1105D">
        <w:rPr>
          <w:rFonts w:eastAsia="SimSun"/>
        </w:rPr>
        <w:t xml:space="preserve"> </w:t>
      </w:r>
      <w:r w:rsidR="00721340" w:rsidRPr="00E1105D">
        <w:rPr>
          <w:rFonts w:eastAsia="SimSun"/>
        </w:rPr>
        <w:t>T</w:t>
      </w:r>
      <w:r w:rsidRPr="00E1105D">
        <w:rPr>
          <w:rFonts w:eastAsia="SimSun"/>
        </w:rPr>
        <w:t xml:space="preserve">hereafter </w:t>
      </w:r>
      <w:r w:rsidR="00721340" w:rsidRPr="00E1105D">
        <w:rPr>
          <w:rFonts w:eastAsia="SimSun"/>
        </w:rPr>
        <w:t xml:space="preserve">they were </w:t>
      </w:r>
      <w:r w:rsidRPr="00E1105D">
        <w:rPr>
          <w:rFonts w:eastAsia="SimSun"/>
        </w:rPr>
        <w:t xml:space="preserve">released </w:t>
      </w:r>
      <w:r w:rsidRPr="00E1105D">
        <w:rPr>
          <w:rFonts w:eastAsia="SimSun"/>
        </w:rPr>
        <w:lastRenderedPageBreak/>
        <w:t>on bail</w:t>
      </w:r>
      <w:r w:rsidR="00721340" w:rsidRPr="00E1105D">
        <w:rPr>
          <w:rFonts w:eastAsia="SimSun"/>
        </w:rPr>
        <w:t xml:space="preserve">, after their uncle </w:t>
      </w:r>
      <w:r w:rsidR="00DE1717" w:rsidRPr="00E1105D">
        <w:rPr>
          <w:rFonts w:eastAsia="SimSun"/>
        </w:rPr>
        <w:t xml:space="preserve">had </w:t>
      </w:r>
      <w:r w:rsidR="00721340" w:rsidRPr="00E1105D">
        <w:rPr>
          <w:rFonts w:eastAsia="SimSun"/>
        </w:rPr>
        <w:t>paid the equivalent of €45,000,</w:t>
      </w:r>
      <w:r w:rsidRPr="00E1105D">
        <w:rPr>
          <w:rFonts w:eastAsia="SimSun"/>
        </w:rPr>
        <w:t xml:space="preserve"> until the next court </w:t>
      </w:r>
      <w:r w:rsidR="00DE1717" w:rsidRPr="00E1105D">
        <w:rPr>
          <w:rFonts w:eastAsia="SimSun"/>
        </w:rPr>
        <w:t>hearing</w:t>
      </w:r>
      <w:r w:rsidRPr="00E1105D">
        <w:rPr>
          <w:rFonts w:eastAsia="SimSun"/>
        </w:rPr>
        <w:t xml:space="preserve">. After their release they fled to </w:t>
      </w:r>
      <w:smartTag w:uri="urn:schemas-microsoft-com:office:smarttags" w:element="place">
        <w:smartTag w:uri="urn:schemas-microsoft-com:office:smarttags" w:element="country-region">
          <w:r w:rsidRPr="00E1105D">
            <w:rPr>
              <w:rFonts w:eastAsia="SimSun"/>
            </w:rPr>
            <w:t>Iraq</w:t>
          </w:r>
        </w:smartTag>
      </w:smartTag>
      <w:r w:rsidR="00721340" w:rsidRPr="00E1105D">
        <w:rPr>
          <w:rFonts w:eastAsia="SimSun"/>
        </w:rPr>
        <w:t>,</w:t>
      </w:r>
      <w:r w:rsidRPr="00E1105D">
        <w:rPr>
          <w:rFonts w:eastAsia="SimSun"/>
        </w:rPr>
        <w:t xml:space="preserve"> where they stayed in a </w:t>
      </w:r>
      <w:r w:rsidR="00721340" w:rsidRPr="00E1105D">
        <w:rPr>
          <w:rFonts w:eastAsia="SimSun"/>
        </w:rPr>
        <w:t>Komala</w:t>
      </w:r>
      <w:r w:rsidR="00721340" w:rsidRPr="00E1105D" w:rsidDel="003D1BF0">
        <w:rPr>
          <w:rFonts w:eastAsia="SimSun"/>
        </w:rPr>
        <w:t xml:space="preserve"> </w:t>
      </w:r>
      <w:r w:rsidR="003D1BF0" w:rsidRPr="00E1105D">
        <w:rPr>
          <w:rFonts w:eastAsia="SimSun"/>
          <w:i/>
          <w:iCs/>
        </w:rPr>
        <w:t>p</w:t>
      </w:r>
      <w:r w:rsidRPr="00E1105D">
        <w:rPr>
          <w:rFonts w:eastAsia="SimSun"/>
          <w:i/>
          <w:iCs/>
        </w:rPr>
        <w:t>eshmerga</w:t>
      </w:r>
      <w:r w:rsidRPr="00E1105D">
        <w:rPr>
          <w:rFonts w:eastAsia="SimSun"/>
        </w:rPr>
        <w:t xml:space="preserve"> camp for one year and 16 days. </w:t>
      </w:r>
    </w:p>
    <w:p w:rsidR="00467DD9" w:rsidRPr="00E1105D" w:rsidRDefault="00CB7DDD" w:rsidP="00E1105D">
      <w:pPr>
        <w:pStyle w:val="SingleTxtG"/>
        <w:spacing w:line="240" w:lineRule="auto"/>
        <w:rPr>
          <w:rFonts w:eastAsia="SimSun"/>
          <w:lang w:eastAsia="zh-CN"/>
        </w:rPr>
      </w:pPr>
      <w:r w:rsidRPr="00E1105D">
        <w:rPr>
          <w:rFonts w:eastAsia="SimSun"/>
          <w:lang w:eastAsia="zh-CN"/>
        </w:rPr>
        <w:t>2.8</w:t>
      </w:r>
      <w:r w:rsidRPr="00E1105D">
        <w:rPr>
          <w:rFonts w:eastAsia="SimSun"/>
          <w:lang w:eastAsia="zh-CN"/>
        </w:rPr>
        <w:tab/>
        <w:t xml:space="preserve">The complainants arrived in </w:t>
      </w:r>
      <w:smartTag w:uri="urn:schemas-microsoft-com:office:smarttags" w:element="place">
        <w:smartTag w:uri="urn:schemas-microsoft-com:office:smarttags" w:element="country-region">
          <w:r w:rsidRPr="00E1105D">
            <w:rPr>
              <w:rFonts w:eastAsia="SimSun"/>
              <w:lang w:eastAsia="zh-CN"/>
            </w:rPr>
            <w:t>Finland</w:t>
          </w:r>
        </w:smartTag>
      </w:smartTag>
      <w:r w:rsidR="003D1BF0" w:rsidRPr="00E1105D">
        <w:rPr>
          <w:rFonts w:eastAsia="SimSun"/>
          <w:lang w:eastAsia="zh-CN"/>
        </w:rPr>
        <w:t xml:space="preserve"> on 4 October 2008 and applied for asylum the next day.</w:t>
      </w:r>
      <w:r w:rsidR="00773B47" w:rsidRPr="00E1105D">
        <w:rPr>
          <w:rStyle w:val="FootnoteReference"/>
          <w:rFonts w:eastAsia="SimSun"/>
          <w:sz w:val="20"/>
          <w:lang w:eastAsia="zh-CN"/>
        </w:rPr>
        <w:footnoteReference w:id="3"/>
      </w:r>
      <w:r w:rsidRPr="00E1105D">
        <w:rPr>
          <w:rFonts w:eastAsia="SimSun"/>
          <w:lang w:eastAsia="zh-CN"/>
        </w:rPr>
        <w:t xml:space="preserve"> They submitted </w:t>
      </w:r>
      <w:r w:rsidR="00721340" w:rsidRPr="00E1105D">
        <w:rPr>
          <w:rFonts w:eastAsia="SimSun"/>
          <w:lang w:eastAsia="zh-CN"/>
        </w:rPr>
        <w:t xml:space="preserve">their original identity cards </w:t>
      </w:r>
      <w:r w:rsidRPr="00E1105D">
        <w:rPr>
          <w:rFonts w:eastAsia="SimSun"/>
          <w:lang w:eastAsia="zh-CN"/>
        </w:rPr>
        <w:t>to the Immigration Service in order to prove their identit</w:t>
      </w:r>
      <w:r w:rsidR="00721340" w:rsidRPr="00E1105D">
        <w:rPr>
          <w:rFonts w:eastAsia="SimSun"/>
          <w:lang w:eastAsia="zh-CN"/>
        </w:rPr>
        <w:t>ies</w:t>
      </w:r>
      <w:r w:rsidRPr="00E1105D">
        <w:rPr>
          <w:rFonts w:eastAsia="SimSun"/>
          <w:lang w:eastAsia="zh-CN"/>
        </w:rPr>
        <w:t xml:space="preserve"> and provided a statement </w:t>
      </w:r>
      <w:r w:rsidR="00721340" w:rsidRPr="00E1105D">
        <w:rPr>
          <w:rFonts w:eastAsia="SimSun"/>
          <w:lang w:eastAsia="zh-CN"/>
        </w:rPr>
        <w:t>from</w:t>
      </w:r>
      <w:r w:rsidRPr="00E1105D">
        <w:rPr>
          <w:rFonts w:eastAsia="SimSun"/>
          <w:lang w:eastAsia="zh-CN"/>
        </w:rPr>
        <w:t xml:space="preserve"> the Komala representation abroad in support of their claim </w:t>
      </w:r>
      <w:r w:rsidR="00721340" w:rsidRPr="00E1105D">
        <w:rPr>
          <w:rFonts w:eastAsia="SimSun"/>
          <w:lang w:eastAsia="zh-CN"/>
        </w:rPr>
        <w:t xml:space="preserve">to have taken part in </w:t>
      </w:r>
      <w:r w:rsidR="00467DD9" w:rsidRPr="00E1105D">
        <w:rPr>
          <w:rFonts w:eastAsia="SimSun"/>
          <w:lang w:eastAsia="zh-CN"/>
        </w:rPr>
        <w:t xml:space="preserve">political activities. A medical certificate </w:t>
      </w:r>
      <w:r w:rsidR="00721340" w:rsidRPr="00E1105D">
        <w:rPr>
          <w:rFonts w:eastAsia="SimSun"/>
          <w:lang w:eastAsia="zh-CN"/>
        </w:rPr>
        <w:t xml:space="preserve">dated 8 December 2008 </w:t>
      </w:r>
      <w:r w:rsidR="00467DD9" w:rsidRPr="00E1105D">
        <w:rPr>
          <w:rFonts w:eastAsia="SimSun"/>
          <w:lang w:eastAsia="zh-CN"/>
        </w:rPr>
        <w:t>was also submitted by the complainants to the Immigration Service.</w:t>
      </w:r>
      <w:r w:rsidR="00467DD9" w:rsidRPr="00E1105D">
        <w:rPr>
          <w:rStyle w:val="FootnoteReference"/>
          <w:rFonts w:eastAsia="SimSun"/>
          <w:sz w:val="20"/>
          <w:lang w:eastAsia="zh-CN"/>
        </w:rPr>
        <w:footnoteReference w:id="4"/>
      </w:r>
    </w:p>
    <w:p w:rsidR="00467DD9" w:rsidRPr="00E1105D" w:rsidRDefault="00467DD9" w:rsidP="0025531A">
      <w:pPr>
        <w:pStyle w:val="SingleTxtG"/>
        <w:spacing w:line="240" w:lineRule="auto"/>
        <w:rPr>
          <w:rFonts w:eastAsia="SimSun"/>
          <w:lang w:eastAsia="zh-CN"/>
        </w:rPr>
      </w:pPr>
      <w:r w:rsidRPr="00E1105D">
        <w:rPr>
          <w:rFonts w:eastAsia="SimSun"/>
          <w:lang w:eastAsia="zh-CN"/>
        </w:rPr>
        <w:t>2.</w:t>
      </w:r>
      <w:r w:rsidR="003E476A" w:rsidRPr="00E1105D">
        <w:rPr>
          <w:rFonts w:eastAsia="SimSun"/>
          <w:lang w:eastAsia="zh-CN"/>
        </w:rPr>
        <w:t>9</w:t>
      </w:r>
      <w:r w:rsidRPr="00E1105D">
        <w:rPr>
          <w:rFonts w:eastAsia="SimSun"/>
          <w:lang w:eastAsia="zh-CN"/>
        </w:rPr>
        <w:tab/>
        <w:t xml:space="preserve">On 5 May 2010, the Finnish Immigration Service rejected both asylum applications on </w:t>
      </w:r>
      <w:r w:rsidR="003E476A" w:rsidRPr="00E1105D">
        <w:rPr>
          <w:rFonts w:eastAsia="SimSun"/>
          <w:lang w:eastAsia="zh-CN"/>
        </w:rPr>
        <w:t xml:space="preserve">the </w:t>
      </w:r>
      <w:r w:rsidRPr="00E1105D">
        <w:rPr>
          <w:rFonts w:eastAsia="SimSun"/>
          <w:lang w:eastAsia="zh-CN"/>
        </w:rPr>
        <w:t>grounds that the account</w:t>
      </w:r>
      <w:r w:rsidR="0025531A">
        <w:rPr>
          <w:rFonts w:eastAsia="SimSun"/>
          <w:lang w:eastAsia="zh-CN"/>
        </w:rPr>
        <w:t>s</w:t>
      </w:r>
      <w:r w:rsidRPr="00E1105D">
        <w:rPr>
          <w:rFonts w:eastAsia="SimSun"/>
          <w:lang w:eastAsia="zh-CN"/>
        </w:rPr>
        <w:t xml:space="preserve"> of </w:t>
      </w:r>
      <w:r w:rsidR="003E476A" w:rsidRPr="00E1105D">
        <w:rPr>
          <w:rFonts w:eastAsia="SimSun"/>
          <w:lang w:eastAsia="zh-CN"/>
        </w:rPr>
        <w:t xml:space="preserve">the </w:t>
      </w:r>
      <w:r w:rsidRPr="00E1105D">
        <w:rPr>
          <w:rFonts w:eastAsia="SimSun"/>
          <w:lang w:eastAsia="zh-CN"/>
        </w:rPr>
        <w:t>facts provided by the complainants w</w:t>
      </w:r>
      <w:r w:rsidR="0025531A">
        <w:rPr>
          <w:rFonts w:eastAsia="SimSun"/>
          <w:lang w:eastAsia="zh-CN"/>
        </w:rPr>
        <w:t>ere</w:t>
      </w:r>
      <w:r w:rsidRPr="00E1105D">
        <w:rPr>
          <w:rFonts w:eastAsia="SimSun"/>
          <w:lang w:eastAsia="zh-CN"/>
        </w:rPr>
        <w:t xml:space="preserve"> not credible and </w:t>
      </w:r>
      <w:r w:rsidR="003E476A" w:rsidRPr="00E1105D">
        <w:rPr>
          <w:rFonts w:eastAsia="SimSun"/>
          <w:lang w:eastAsia="zh-CN"/>
        </w:rPr>
        <w:t xml:space="preserve">that </w:t>
      </w:r>
      <w:r w:rsidRPr="00E1105D">
        <w:rPr>
          <w:rFonts w:eastAsia="SimSun"/>
          <w:lang w:eastAsia="zh-CN"/>
        </w:rPr>
        <w:t>the</w:t>
      </w:r>
      <w:r w:rsidR="0025531A">
        <w:rPr>
          <w:rFonts w:eastAsia="SimSun"/>
          <w:lang w:eastAsia="zh-CN"/>
        </w:rPr>
        <w:t xml:space="preserve"> complainants</w:t>
      </w:r>
      <w:r w:rsidRPr="00E1105D">
        <w:rPr>
          <w:rFonts w:eastAsia="SimSun"/>
          <w:lang w:eastAsia="zh-CN"/>
        </w:rPr>
        <w:t xml:space="preserve"> had failed to produce any evidence in support of their allegations. The Immigration </w:t>
      </w:r>
      <w:r w:rsidR="003E476A" w:rsidRPr="00E1105D">
        <w:rPr>
          <w:rFonts w:eastAsia="SimSun"/>
          <w:lang w:eastAsia="zh-CN"/>
        </w:rPr>
        <w:t>S</w:t>
      </w:r>
      <w:r w:rsidRPr="00E1105D">
        <w:rPr>
          <w:rFonts w:eastAsia="SimSun"/>
          <w:lang w:eastAsia="zh-CN"/>
        </w:rPr>
        <w:t xml:space="preserve">ervice stated that the complainants had not provided any evidence to support their stories about their activities in the Komala party. On 2 July 2010, both complainants appealed to </w:t>
      </w:r>
      <w:smartTag w:uri="urn:schemas-microsoft-com:office:smarttags" w:element="Street">
        <w:smartTag w:uri="urn:schemas-microsoft-com:office:smarttags" w:element="address">
          <w:r w:rsidRPr="00E1105D">
            <w:rPr>
              <w:rFonts w:eastAsia="SimSun"/>
              <w:lang w:eastAsia="zh-CN"/>
            </w:rPr>
            <w:t>Helsinki Administrative Court</w:t>
          </w:r>
        </w:smartTag>
      </w:smartTag>
      <w:r w:rsidRPr="00E1105D">
        <w:rPr>
          <w:rFonts w:eastAsia="SimSun"/>
          <w:lang w:eastAsia="zh-CN"/>
        </w:rPr>
        <w:t xml:space="preserve">. </w:t>
      </w:r>
    </w:p>
    <w:p w:rsidR="00467DD9" w:rsidRPr="00E1105D" w:rsidRDefault="00467DD9" w:rsidP="00E1105D">
      <w:pPr>
        <w:pStyle w:val="SingleTxtG"/>
        <w:tabs>
          <w:tab w:val="left" w:pos="1710"/>
        </w:tabs>
        <w:spacing w:line="240" w:lineRule="auto"/>
        <w:rPr>
          <w:rFonts w:eastAsia="SimSun"/>
          <w:lang w:eastAsia="zh-CN"/>
        </w:rPr>
      </w:pPr>
      <w:r w:rsidRPr="00E1105D">
        <w:rPr>
          <w:rFonts w:eastAsia="SimSun"/>
          <w:lang w:eastAsia="zh-CN"/>
        </w:rPr>
        <w:t>2.</w:t>
      </w:r>
      <w:r w:rsidR="003E476A" w:rsidRPr="00E1105D">
        <w:rPr>
          <w:rFonts w:eastAsia="SimSun"/>
          <w:lang w:eastAsia="zh-CN"/>
        </w:rPr>
        <w:t>10</w:t>
      </w:r>
      <w:r w:rsidRPr="00E1105D">
        <w:rPr>
          <w:rFonts w:eastAsia="SimSun"/>
          <w:lang w:eastAsia="zh-CN"/>
        </w:rPr>
        <w:tab/>
        <w:t xml:space="preserve">In July 2010, Mr. X learned, via </w:t>
      </w:r>
      <w:r w:rsidR="00015656" w:rsidRPr="00E1105D">
        <w:rPr>
          <w:rFonts w:eastAsia="SimSun"/>
          <w:lang w:eastAsia="zh-CN"/>
        </w:rPr>
        <w:t>the I</w:t>
      </w:r>
      <w:r w:rsidRPr="00E1105D">
        <w:rPr>
          <w:rFonts w:eastAsia="SimSun"/>
          <w:lang w:eastAsia="zh-CN"/>
        </w:rPr>
        <w:t xml:space="preserve">nternet, that his friend and liaison person in the Komala party in </w:t>
      </w:r>
      <w:r w:rsidR="00606DF0" w:rsidRPr="00E1105D">
        <w:rPr>
          <w:rFonts w:eastAsia="SimSun"/>
          <w:lang w:eastAsia="zh-CN"/>
        </w:rPr>
        <w:t xml:space="preserve">the Islamic Republic of </w:t>
      </w:r>
      <w:r w:rsidRPr="00E1105D">
        <w:rPr>
          <w:rFonts w:eastAsia="SimSun"/>
          <w:lang w:eastAsia="zh-CN"/>
        </w:rPr>
        <w:t>Iran, O. N.</w:t>
      </w:r>
      <w:r w:rsidR="00102AEE" w:rsidRPr="00E1105D">
        <w:rPr>
          <w:rFonts w:eastAsia="SimSun"/>
          <w:lang w:eastAsia="zh-CN"/>
        </w:rPr>
        <w:t>,</w:t>
      </w:r>
      <w:r w:rsidR="00015656" w:rsidRPr="00E1105D">
        <w:rPr>
          <w:rFonts w:eastAsia="SimSun"/>
          <w:lang w:eastAsia="zh-CN"/>
        </w:rPr>
        <w:t xml:space="preserve"> had been executed in the Islamic Republic of Iran the same month.</w:t>
      </w:r>
      <w:r w:rsidRPr="00E1105D">
        <w:rPr>
          <w:rStyle w:val="FootnoteReference"/>
          <w:rFonts w:eastAsia="SimSun"/>
          <w:sz w:val="20"/>
          <w:lang w:eastAsia="zh-CN"/>
        </w:rPr>
        <w:footnoteReference w:id="5"/>
      </w:r>
      <w:r w:rsidRPr="00E1105D">
        <w:rPr>
          <w:rFonts w:eastAsia="SimSun"/>
          <w:lang w:eastAsia="zh-CN"/>
        </w:rPr>
        <w:t xml:space="preserve"> Afraid, the complainants decided to flee from </w:t>
      </w:r>
      <w:smartTag w:uri="urn:schemas-microsoft-com:office:smarttags" w:element="place">
        <w:smartTag w:uri="urn:schemas-microsoft-com:office:smarttags" w:element="country-region">
          <w:r w:rsidRPr="00E1105D">
            <w:rPr>
              <w:rFonts w:eastAsia="SimSun"/>
              <w:lang w:eastAsia="zh-CN"/>
            </w:rPr>
            <w:t>Finland</w:t>
          </w:r>
        </w:smartTag>
      </w:smartTag>
      <w:r w:rsidR="00015656" w:rsidRPr="00E1105D">
        <w:rPr>
          <w:rFonts w:eastAsia="SimSun"/>
          <w:lang w:eastAsia="zh-CN"/>
        </w:rPr>
        <w:t>,</w:t>
      </w:r>
      <w:r w:rsidRPr="00E1105D">
        <w:rPr>
          <w:rFonts w:eastAsia="SimSun"/>
          <w:lang w:eastAsia="zh-CN"/>
        </w:rPr>
        <w:t xml:space="preserve"> where their asylum applications </w:t>
      </w:r>
      <w:r w:rsidR="00015656" w:rsidRPr="00E1105D">
        <w:rPr>
          <w:rFonts w:eastAsia="SimSun"/>
          <w:lang w:eastAsia="zh-CN"/>
        </w:rPr>
        <w:t>had been</w:t>
      </w:r>
      <w:r w:rsidRPr="00E1105D">
        <w:rPr>
          <w:rFonts w:eastAsia="SimSun"/>
          <w:lang w:eastAsia="zh-CN"/>
        </w:rPr>
        <w:t xml:space="preserve"> rejected. They applied for asylum in </w:t>
      </w:r>
      <w:smartTag w:uri="urn:schemas-microsoft-com:office:smarttags" w:element="place">
        <w:smartTag w:uri="urn:schemas-microsoft-com:office:smarttags" w:element="country-region">
          <w:r w:rsidRPr="00E1105D">
            <w:rPr>
              <w:rFonts w:eastAsia="SimSun"/>
              <w:lang w:eastAsia="zh-CN"/>
            </w:rPr>
            <w:t>Denmark</w:t>
          </w:r>
        </w:smartTag>
      </w:smartTag>
      <w:r w:rsidRPr="00E1105D">
        <w:rPr>
          <w:rFonts w:eastAsia="SimSun"/>
          <w:lang w:eastAsia="zh-CN"/>
        </w:rPr>
        <w:t>. However, after having received information on the European Union Dublin Regulation</w:t>
      </w:r>
      <w:r w:rsidR="00102AEE" w:rsidRPr="00E1105D">
        <w:rPr>
          <w:rFonts w:eastAsia="SimSun"/>
          <w:lang w:eastAsia="zh-CN"/>
        </w:rPr>
        <w:t xml:space="preserve"> procedure,</w:t>
      </w:r>
      <w:r w:rsidR="002E0519" w:rsidRPr="00E1105D">
        <w:rPr>
          <w:rStyle w:val="FootnoteReference"/>
          <w:rFonts w:eastAsia="SimSun"/>
          <w:sz w:val="20"/>
          <w:lang w:eastAsia="zh-CN"/>
        </w:rPr>
        <w:footnoteReference w:id="6"/>
      </w:r>
      <w:r w:rsidRPr="00E1105D">
        <w:rPr>
          <w:rFonts w:eastAsia="SimSun"/>
          <w:lang w:eastAsia="zh-CN"/>
        </w:rPr>
        <w:t xml:space="preserve"> they both returned voluntarily to </w:t>
      </w:r>
      <w:smartTag w:uri="urn:schemas-microsoft-com:office:smarttags" w:element="place">
        <w:smartTag w:uri="urn:schemas-microsoft-com:office:smarttags" w:element="country-region">
          <w:r w:rsidRPr="00E1105D">
            <w:rPr>
              <w:rFonts w:eastAsia="SimSun"/>
              <w:lang w:eastAsia="zh-CN"/>
            </w:rPr>
            <w:t>Finland</w:t>
          </w:r>
        </w:smartTag>
      </w:smartTag>
      <w:r w:rsidRPr="00E1105D">
        <w:rPr>
          <w:rFonts w:eastAsia="SimSun"/>
          <w:lang w:eastAsia="zh-CN"/>
        </w:rPr>
        <w:t xml:space="preserve"> in November 2010. </w:t>
      </w:r>
    </w:p>
    <w:p w:rsidR="00467DD9" w:rsidRPr="00E1105D" w:rsidRDefault="00467DD9" w:rsidP="00E576D8">
      <w:pPr>
        <w:pStyle w:val="SingleTxtG"/>
        <w:spacing w:line="240" w:lineRule="auto"/>
        <w:rPr>
          <w:rFonts w:eastAsia="SimSun"/>
          <w:lang w:eastAsia="zh-CN"/>
        </w:rPr>
      </w:pPr>
      <w:r w:rsidRPr="00E1105D">
        <w:rPr>
          <w:rFonts w:eastAsia="SimSun"/>
          <w:lang w:eastAsia="zh-CN"/>
        </w:rPr>
        <w:t>2.</w:t>
      </w:r>
      <w:r w:rsidR="003E476A" w:rsidRPr="00E1105D">
        <w:rPr>
          <w:rFonts w:eastAsia="SimSun"/>
          <w:lang w:eastAsia="zh-CN"/>
        </w:rPr>
        <w:t>11</w:t>
      </w:r>
      <w:r w:rsidRPr="00E1105D">
        <w:rPr>
          <w:rFonts w:eastAsia="SimSun"/>
          <w:lang w:eastAsia="zh-CN"/>
        </w:rPr>
        <w:tab/>
        <w:t>Mr. X also submits that</w:t>
      </w:r>
      <w:r w:rsidR="000A49D8" w:rsidRPr="00E1105D">
        <w:rPr>
          <w:rFonts w:eastAsia="SimSun"/>
          <w:lang w:eastAsia="zh-CN"/>
        </w:rPr>
        <w:t>,</w:t>
      </w:r>
      <w:r w:rsidRPr="00E1105D">
        <w:rPr>
          <w:rFonts w:eastAsia="SimSun"/>
          <w:lang w:eastAsia="zh-CN"/>
        </w:rPr>
        <w:t xml:space="preserve"> on 4 February 2011 and 19 October 2011, two psychiatrists examined him and concluded that he continue</w:t>
      </w:r>
      <w:r w:rsidR="00E576D8">
        <w:rPr>
          <w:rFonts w:eastAsia="SimSun"/>
          <w:lang w:eastAsia="zh-CN"/>
        </w:rPr>
        <w:t>d</w:t>
      </w:r>
      <w:r w:rsidRPr="00E1105D">
        <w:rPr>
          <w:rFonts w:eastAsia="SimSun"/>
          <w:lang w:eastAsia="zh-CN"/>
        </w:rPr>
        <w:t xml:space="preserve"> to suffer from post-traumatic stress disorder and ha</w:t>
      </w:r>
      <w:r w:rsidR="00E576D8">
        <w:rPr>
          <w:rFonts w:eastAsia="SimSun"/>
          <w:lang w:eastAsia="zh-CN"/>
        </w:rPr>
        <w:t>d</w:t>
      </w:r>
      <w:r w:rsidRPr="00E1105D">
        <w:rPr>
          <w:rFonts w:eastAsia="SimSun"/>
          <w:lang w:eastAsia="zh-CN"/>
        </w:rPr>
        <w:t xml:space="preserve"> symptoms </w:t>
      </w:r>
      <w:r w:rsidR="007E4694" w:rsidRPr="00E1105D">
        <w:rPr>
          <w:rFonts w:eastAsia="SimSun"/>
          <w:lang w:eastAsia="zh-CN"/>
        </w:rPr>
        <w:t>consistent</w:t>
      </w:r>
      <w:r w:rsidRPr="00E1105D">
        <w:rPr>
          <w:rFonts w:eastAsia="SimSun"/>
          <w:lang w:eastAsia="zh-CN"/>
        </w:rPr>
        <w:t xml:space="preserve"> with severe depression. On 31 October 2011, a physiotherapist found that he suffered from pain</w:t>
      </w:r>
      <w:r w:rsidR="007E4694" w:rsidRPr="00E1105D">
        <w:rPr>
          <w:rFonts w:eastAsia="SimSun"/>
          <w:lang w:eastAsia="zh-CN"/>
        </w:rPr>
        <w:t>s</w:t>
      </w:r>
      <w:r w:rsidRPr="00E1105D">
        <w:rPr>
          <w:rFonts w:eastAsia="SimSun"/>
          <w:lang w:eastAsia="zh-CN"/>
        </w:rPr>
        <w:t xml:space="preserve"> in </w:t>
      </w:r>
      <w:r w:rsidR="007E4694" w:rsidRPr="00E1105D">
        <w:rPr>
          <w:rFonts w:eastAsia="SimSun"/>
          <w:lang w:eastAsia="zh-CN"/>
        </w:rPr>
        <w:t>the</w:t>
      </w:r>
      <w:r w:rsidRPr="00E1105D">
        <w:rPr>
          <w:rFonts w:eastAsia="SimSun"/>
          <w:lang w:eastAsia="zh-CN"/>
        </w:rPr>
        <w:t xml:space="preserve"> right side of </w:t>
      </w:r>
      <w:r w:rsidR="007E4694" w:rsidRPr="00E1105D">
        <w:rPr>
          <w:rFonts w:eastAsia="SimSun"/>
          <w:lang w:eastAsia="zh-CN"/>
        </w:rPr>
        <w:t xml:space="preserve">his </w:t>
      </w:r>
      <w:r w:rsidRPr="00E1105D">
        <w:rPr>
          <w:rFonts w:eastAsia="SimSun"/>
          <w:lang w:eastAsia="zh-CN"/>
        </w:rPr>
        <w:t xml:space="preserve">groin </w:t>
      </w:r>
      <w:r w:rsidR="007E4694" w:rsidRPr="00E1105D">
        <w:rPr>
          <w:rFonts w:eastAsia="SimSun"/>
          <w:lang w:eastAsia="zh-CN"/>
        </w:rPr>
        <w:t>and</w:t>
      </w:r>
      <w:r w:rsidRPr="00E1105D">
        <w:rPr>
          <w:rFonts w:eastAsia="SimSun"/>
          <w:lang w:eastAsia="zh-CN"/>
        </w:rPr>
        <w:t xml:space="preserve"> his left foot. According to the physiotherapist’s statement, the </w:t>
      </w:r>
      <w:r w:rsidR="007E4694" w:rsidRPr="00E1105D">
        <w:rPr>
          <w:rFonts w:eastAsia="SimSun"/>
          <w:lang w:eastAsia="zh-CN"/>
        </w:rPr>
        <w:t xml:space="preserve">pains </w:t>
      </w:r>
      <w:r w:rsidRPr="00E1105D">
        <w:rPr>
          <w:rFonts w:eastAsia="SimSun"/>
          <w:lang w:eastAsia="zh-CN"/>
        </w:rPr>
        <w:t xml:space="preserve">could be attributable to the torture methods described by the complainant. </w:t>
      </w:r>
      <w:r w:rsidR="000179F9" w:rsidRPr="00E1105D">
        <w:rPr>
          <w:rFonts w:eastAsia="SimSun"/>
          <w:lang w:eastAsia="zh-CN"/>
        </w:rPr>
        <w:t>Mr. Z submit</w:t>
      </w:r>
      <w:r w:rsidR="007E4694" w:rsidRPr="00E1105D">
        <w:rPr>
          <w:rFonts w:eastAsia="SimSun"/>
          <w:lang w:eastAsia="zh-CN"/>
        </w:rPr>
        <w:t>ted</w:t>
      </w:r>
      <w:r w:rsidR="000179F9" w:rsidRPr="00E1105D">
        <w:rPr>
          <w:rFonts w:eastAsia="SimSun"/>
          <w:lang w:eastAsia="zh-CN"/>
        </w:rPr>
        <w:t xml:space="preserve"> a statement from a g</w:t>
      </w:r>
      <w:r w:rsidR="00284EAF" w:rsidRPr="00E1105D">
        <w:rPr>
          <w:rFonts w:eastAsia="SimSun"/>
          <w:lang w:eastAsia="zh-CN"/>
        </w:rPr>
        <w:t>eneral practitioner which indicates</w:t>
      </w:r>
      <w:r w:rsidR="000179F9" w:rsidRPr="00E1105D">
        <w:rPr>
          <w:rFonts w:eastAsia="SimSun"/>
          <w:lang w:eastAsia="zh-CN"/>
        </w:rPr>
        <w:t xml:space="preserve"> that, “overall, </w:t>
      </w:r>
      <w:r w:rsidR="000179F9" w:rsidRPr="00E1105D">
        <w:t xml:space="preserve">while </w:t>
      </w:r>
      <w:r w:rsidR="000E3A66">
        <w:t xml:space="preserve">the </w:t>
      </w:r>
      <w:r w:rsidR="000179F9" w:rsidRPr="00E1105D">
        <w:t>injuries seen now are very slight</w:t>
      </w:r>
      <w:r w:rsidR="007E4694" w:rsidRPr="00E1105D">
        <w:t xml:space="preserve"> …</w:t>
      </w:r>
      <w:r w:rsidR="000179F9" w:rsidRPr="00E1105D">
        <w:t xml:space="preserve"> there is no reason to doubt</w:t>
      </w:r>
      <w:r w:rsidR="000179F9" w:rsidRPr="00E1105D">
        <w:rPr>
          <w:rFonts w:eastAsia="SimSun"/>
          <w:lang w:eastAsia="zh-CN"/>
        </w:rPr>
        <w:t xml:space="preserve"> </w:t>
      </w:r>
      <w:r w:rsidR="000179F9" w:rsidRPr="00E1105D">
        <w:t xml:space="preserve">that they could have been caused during a period of incarceration between April and May 2007, and torture suffered during the same period”. </w:t>
      </w:r>
    </w:p>
    <w:p w:rsidR="00467DD9" w:rsidRPr="00E1105D" w:rsidRDefault="00467DD9" w:rsidP="00E1105D">
      <w:pPr>
        <w:pStyle w:val="SingleTxtG"/>
        <w:tabs>
          <w:tab w:val="left" w:pos="1710"/>
        </w:tabs>
        <w:spacing w:line="240" w:lineRule="auto"/>
        <w:rPr>
          <w:rFonts w:eastAsia="SimSun"/>
          <w:lang w:eastAsia="zh-CN"/>
        </w:rPr>
      </w:pPr>
      <w:r w:rsidRPr="00E1105D">
        <w:rPr>
          <w:rFonts w:eastAsia="SimSun"/>
          <w:lang w:eastAsia="zh-CN"/>
        </w:rPr>
        <w:t>2.1</w:t>
      </w:r>
      <w:r w:rsidR="003E476A" w:rsidRPr="00E1105D">
        <w:rPr>
          <w:rFonts w:eastAsia="SimSun"/>
          <w:lang w:eastAsia="zh-CN"/>
        </w:rPr>
        <w:t>2</w:t>
      </w:r>
      <w:r w:rsidRPr="00E1105D">
        <w:rPr>
          <w:rFonts w:eastAsia="SimSun"/>
          <w:lang w:eastAsia="zh-CN"/>
        </w:rPr>
        <w:tab/>
        <w:t xml:space="preserve">Both complainants have continued their political activities while in </w:t>
      </w:r>
      <w:smartTag w:uri="urn:schemas-microsoft-com:office:smarttags" w:element="place">
        <w:smartTag w:uri="urn:schemas-microsoft-com:office:smarttags" w:element="country-region">
          <w:r w:rsidRPr="00E1105D">
            <w:rPr>
              <w:rFonts w:eastAsia="SimSun"/>
              <w:lang w:eastAsia="zh-CN"/>
            </w:rPr>
            <w:t>Finland</w:t>
          </w:r>
        </w:smartTag>
      </w:smartTag>
      <w:r w:rsidRPr="00E1105D">
        <w:rPr>
          <w:rFonts w:eastAsia="SimSun"/>
          <w:lang w:eastAsia="zh-CN"/>
        </w:rPr>
        <w:t xml:space="preserve">. They have regularly attended demonstrations against the regime in </w:t>
      </w:r>
      <w:r w:rsidR="00606DF0" w:rsidRPr="00E1105D">
        <w:rPr>
          <w:rFonts w:eastAsia="SimSun"/>
          <w:lang w:eastAsia="zh-CN"/>
        </w:rPr>
        <w:t xml:space="preserve">the Islamic Republic of </w:t>
      </w:r>
      <w:r w:rsidRPr="00E1105D">
        <w:rPr>
          <w:rFonts w:eastAsia="SimSun"/>
          <w:lang w:eastAsia="zh-CN"/>
        </w:rPr>
        <w:t xml:space="preserve">Iran, </w:t>
      </w:r>
      <w:r w:rsidR="007E4694" w:rsidRPr="00E1105D">
        <w:rPr>
          <w:rFonts w:eastAsia="SimSun"/>
          <w:lang w:eastAsia="zh-CN"/>
        </w:rPr>
        <w:t>repeatedly</w:t>
      </w:r>
      <w:r w:rsidRPr="00E1105D">
        <w:rPr>
          <w:rFonts w:eastAsia="SimSun"/>
          <w:lang w:eastAsia="zh-CN"/>
        </w:rPr>
        <w:t xml:space="preserve"> demonstrating in front of the Iranian Embassy in </w:t>
      </w:r>
      <w:smartTag w:uri="urn:schemas-microsoft-com:office:smarttags" w:element="place">
        <w:smartTag w:uri="urn:schemas-microsoft-com:office:smarttags" w:element="City">
          <w:r w:rsidRPr="00E1105D">
            <w:rPr>
              <w:rFonts w:eastAsia="SimSun"/>
              <w:lang w:eastAsia="zh-CN"/>
            </w:rPr>
            <w:t>Helsinki</w:t>
          </w:r>
        </w:smartTag>
      </w:smartTag>
      <w:r w:rsidR="007E4694" w:rsidRPr="00E1105D">
        <w:rPr>
          <w:rFonts w:eastAsia="SimSun"/>
          <w:lang w:eastAsia="zh-CN"/>
        </w:rPr>
        <w:t xml:space="preserve">, including </w:t>
      </w:r>
      <w:r w:rsidRPr="00E1105D">
        <w:rPr>
          <w:rFonts w:eastAsia="SimSun"/>
          <w:lang w:eastAsia="zh-CN"/>
        </w:rPr>
        <w:t>on 20 June 2011. They have carri</w:t>
      </w:r>
      <w:r w:rsidR="007E4694" w:rsidRPr="00E1105D">
        <w:rPr>
          <w:rFonts w:eastAsia="SimSun"/>
          <w:lang w:eastAsia="zh-CN"/>
        </w:rPr>
        <w:t>ed</w:t>
      </w:r>
      <w:r w:rsidRPr="00E1105D">
        <w:rPr>
          <w:rFonts w:eastAsia="SimSun"/>
          <w:lang w:eastAsia="zh-CN"/>
        </w:rPr>
        <w:t xml:space="preserve"> banners</w:t>
      </w:r>
      <w:r w:rsidR="007E4694" w:rsidRPr="00E1105D">
        <w:rPr>
          <w:rFonts w:eastAsia="SimSun"/>
          <w:lang w:eastAsia="zh-CN"/>
        </w:rPr>
        <w:t>,</w:t>
      </w:r>
      <w:r w:rsidRPr="00E1105D">
        <w:rPr>
          <w:rFonts w:eastAsia="SimSun"/>
          <w:lang w:eastAsia="zh-CN"/>
        </w:rPr>
        <w:t xml:space="preserve"> actively organiz</w:t>
      </w:r>
      <w:r w:rsidR="007E4694" w:rsidRPr="00E1105D">
        <w:rPr>
          <w:rFonts w:eastAsia="SimSun"/>
          <w:lang w:eastAsia="zh-CN"/>
        </w:rPr>
        <w:t>ed</w:t>
      </w:r>
      <w:r w:rsidRPr="00E1105D">
        <w:rPr>
          <w:rFonts w:eastAsia="SimSun"/>
          <w:lang w:eastAsia="zh-CN"/>
        </w:rPr>
        <w:t xml:space="preserve"> demonstrations and disseminat</w:t>
      </w:r>
      <w:r w:rsidR="007E4694" w:rsidRPr="00E1105D">
        <w:rPr>
          <w:rFonts w:eastAsia="SimSun"/>
          <w:lang w:eastAsia="zh-CN"/>
        </w:rPr>
        <w:t>ed</w:t>
      </w:r>
      <w:r w:rsidRPr="00E1105D">
        <w:rPr>
          <w:rFonts w:eastAsia="SimSun"/>
          <w:lang w:eastAsia="zh-CN"/>
        </w:rPr>
        <w:t xml:space="preserve"> information about the Komala party’s activities. Th</w:t>
      </w:r>
      <w:r w:rsidR="007E4694" w:rsidRPr="00E1105D">
        <w:rPr>
          <w:rFonts w:eastAsia="SimSun"/>
          <w:lang w:eastAsia="zh-CN"/>
        </w:rPr>
        <w:t>o</w:t>
      </w:r>
      <w:r w:rsidRPr="00E1105D">
        <w:rPr>
          <w:rFonts w:eastAsia="SimSun"/>
          <w:lang w:eastAsia="zh-CN"/>
        </w:rPr>
        <w:t xml:space="preserve">se clarifications were made available, on appeal, to </w:t>
      </w:r>
      <w:smartTag w:uri="urn:schemas-microsoft-com:office:smarttags" w:element="Street">
        <w:smartTag w:uri="urn:schemas-microsoft-com:office:smarttags" w:element="address">
          <w:r w:rsidRPr="00E1105D">
            <w:rPr>
              <w:rFonts w:eastAsia="SimSun"/>
              <w:lang w:eastAsia="zh-CN"/>
            </w:rPr>
            <w:t>Helsinki Administrative Court</w:t>
          </w:r>
        </w:smartTag>
      </w:smartTag>
      <w:r w:rsidRPr="00E1105D">
        <w:rPr>
          <w:rFonts w:eastAsia="SimSun"/>
          <w:lang w:eastAsia="zh-CN"/>
        </w:rPr>
        <w:t xml:space="preserve">. </w:t>
      </w:r>
    </w:p>
    <w:p w:rsidR="00223AC7" w:rsidRPr="00E1105D" w:rsidRDefault="00467DD9" w:rsidP="00E576D8">
      <w:pPr>
        <w:pStyle w:val="SingleTxtG"/>
        <w:spacing w:line="240" w:lineRule="auto"/>
        <w:rPr>
          <w:rFonts w:eastAsia="SimSun"/>
          <w:lang w:eastAsia="zh-CN"/>
        </w:rPr>
      </w:pPr>
      <w:r w:rsidRPr="00E1105D">
        <w:rPr>
          <w:rFonts w:eastAsia="SimSun"/>
          <w:lang w:eastAsia="zh-CN"/>
        </w:rPr>
        <w:t>2.1</w:t>
      </w:r>
      <w:r w:rsidR="003E476A" w:rsidRPr="00E1105D">
        <w:rPr>
          <w:rFonts w:eastAsia="SimSun"/>
          <w:lang w:eastAsia="zh-CN"/>
        </w:rPr>
        <w:t>3</w:t>
      </w:r>
      <w:r w:rsidRPr="00E1105D">
        <w:rPr>
          <w:rFonts w:eastAsia="SimSun"/>
          <w:lang w:eastAsia="zh-CN"/>
        </w:rPr>
        <w:tab/>
        <w:t xml:space="preserve">On 17 May 2011, </w:t>
      </w:r>
      <w:smartTag w:uri="urn:schemas-microsoft-com:office:smarttags" w:element="Street">
        <w:smartTag w:uri="urn:schemas-microsoft-com:office:smarttags" w:element="address">
          <w:r w:rsidRPr="00E1105D">
            <w:rPr>
              <w:rFonts w:eastAsia="SimSun"/>
              <w:lang w:eastAsia="zh-CN"/>
            </w:rPr>
            <w:t>Helsinki Administrative Court</w:t>
          </w:r>
        </w:smartTag>
      </w:smartTag>
      <w:r w:rsidRPr="00E1105D">
        <w:rPr>
          <w:rFonts w:eastAsia="SimSun"/>
          <w:lang w:eastAsia="zh-CN"/>
        </w:rPr>
        <w:t xml:space="preserve"> held an oral hearing and considered the complainants’ case. Their appeal was rejected by three votes to one on 23</w:t>
      </w:r>
      <w:r w:rsidR="00D70311" w:rsidRPr="00E1105D">
        <w:rPr>
          <w:rFonts w:eastAsia="SimSun"/>
          <w:lang w:eastAsia="zh-CN"/>
        </w:rPr>
        <w:t> </w:t>
      </w:r>
      <w:r w:rsidRPr="00E1105D">
        <w:rPr>
          <w:rFonts w:eastAsia="SimSun"/>
          <w:lang w:eastAsia="zh-CN"/>
        </w:rPr>
        <w:t xml:space="preserve">June 2011. </w:t>
      </w:r>
      <w:r w:rsidRPr="00E1105D">
        <w:rPr>
          <w:rFonts w:eastAsia="SimSun"/>
          <w:lang w:eastAsia="zh-CN"/>
        </w:rPr>
        <w:lastRenderedPageBreak/>
        <w:t>On 8 July 2011, the complainants</w:t>
      </w:r>
      <w:r w:rsidR="00223AC7" w:rsidRPr="00E1105D">
        <w:rPr>
          <w:rFonts w:eastAsia="SimSun"/>
          <w:lang w:eastAsia="zh-CN"/>
        </w:rPr>
        <w:t xml:space="preserve"> applied to the </w:t>
      </w:r>
      <w:smartTag w:uri="urn:schemas-microsoft-com:office:smarttags" w:element="Street">
        <w:smartTag w:uri="urn:schemas-microsoft-com:office:smarttags" w:element="address">
          <w:r w:rsidR="00223AC7" w:rsidRPr="00E1105D">
            <w:rPr>
              <w:rFonts w:eastAsia="SimSun"/>
              <w:lang w:eastAsia="zh-CN"/>
            </w:rPr>
            <w:t>Supreme Administrative Court</w:t>
          </w:r>
        </w:smartTag>
      </w:smartTag>
      <w:r w:rsidR="00223AC7" w:rsidRPr="00E1105D">
        <w:rPr>
          <w:rFonts w:eastAsia="SimSun"/>
          <w:lang w:eastAsia="zh-CN"/>
        </w:rPr>
        <w:t xml:space="preserve"> for leave to appeal</w:t>
      </w:r>
      <w:r w:rsidR="00E576D8">
        <w:rPr>
          <w:rFonts w:eastAsia="SimSun"/>
          <w:lang w:eastAsia="zh-CN"/>
        </w:rPr>
        <w:t>,</w:t>
      </w:r>
      <w:r w:rsidR="00223AC7" w:rsidRPr="00E1105D">
        <w:rPr>
          <w:rFonts w:eastAsia="SimSun"/>
          <w:lang w:eastAsia="zh-CN"/>
        </w:rPr>
        <w:t xml:space="preserve"> with a request for interim </w:t>
      </w:r>
      <w:r w:rsidR="007E4694" w:rsidRPr="00E1105D">
        <w:rPr>
          <w:rFonts w:eastAsia="SimSun"/>
          <w:lang w:eastAsia="zh-CN"/>
        </w:rPr>
        <w:t xml:space="preserve">protection </w:t>
      </w:r>
      <w:r w:rsidR="00223AC7" w:rsidRPr="00E1105D">
        <w:rPr>
          <w:rFonts w:eastAsia="SimSun"/>
          <w:lang w:eastAsia="zh-CN"/>
        </w:rPr>
        <w:t xml:space="preserve">measures. On 15 July 2011, the </w:t>
      </w:r>
      <w:smartTag w:uri="urn:schemas-microsoft-com:office:smarttags" w:element="Street">
        <w:smartTag w:uri="urn:schemas-microsoft-com:office:smarttags" w:element="address">
          <w:r w:rsidR="00223AC7" w:rsidRPr="00E1105D">
            <w:rPr>
              <w:rFonts w:eastAsia="SimSun"/>
              <w:lang w:eastAsia="zh-CN"/>
            </w:rPr>
            <w:t>Supreme Administrative Court</w:t>
          </w:r>
        </w:smartTag>
      </w:smartTag>
      <w:r w:rsidR="00223AC7" w:rsidRPr="00E1105D">
        <w:rPr>
          <w:rFonts w:eastAsia="SimSun"/>
          <w:lang w:eastAsia="zh-CN"/>
        </w:rPr>
        <w:t xml:space="preserve"> adopted a separate decision and suspended their deportation. However, the </w:t>
      </w:r>
      <w:smartTag w:uri="urn:schemas-microsoft-com:office:smarttags" w:element="Street">
        <w:smartTag w:uri="urn:schemas-microsoft-com:office:smarttags" w:element="address">
          <w:r w:rsidR="00223AC7" w:rsidRPr="00E1105D">
            <w:rPr>
              <w:rFonts w:eastAsia="SimSun"/>
              <w:lang w:eastAsia="zh-CN"/>
            </w:rPr>
            <w:t>Supreme Administrative Court</w:t>
          </w:r>
        </w:smartTag>
      </w:smartTag>
      <w:r w:rsidR="00223AC7" w:rsidRPr="00E1105D">
        <w:rPr>
          <w:rFonts w:eastAsia="SimSun"/>
          <w:lang w:eastAsia="zh-CN"/>
        </w:rPr>
        <w:t xml:space="preserve"> rejected their leave to appeal in a final decision of 26 October 2011. The complainants contend that all available domestic remedies have thus been exhausted. In the meantime, their deportation orders ha</w:t>
      </w:r>
      <w:r w:rsidR="00FD7A72" w:rsidRPr="00E1105D">
        <w:rPr>
          <w:rFonts w:eastAsia="SimSun"/>
          <w:lang w:eastAsia="zh-CN"/>
        </w:rPr>
        <w:t>ve</w:t>
      </w:r>
      <w:r w:rsidR="00223AC7" w:rsidRPr="00E1105D">
        <w:rPr>
          <w:rFonts w:eastAsia="SimSun"/>
          <w:lang w:eastAsia="zh-CN"/>
        </w:rPr>
        <w:t xml:space="preserve"> entered into </w:t>
      </w:r>
      <w:r w:rsidR="00E576D8">
        <w:rPr>
          <w:rFonts w:eastAsia="SimSun"/>
          <w:lang w:eastAsia="zh-CN"/>
        </w:rPr>
        <w:t>effect</w:t>
      </w:r>
      <w:r w:rsidR="00223AC7" w:rsidRPr="00E1105D">
        <w:rPr>
          <w:rFonts w:eastAsia="SimSun"/>
          <w:lang w:eastAsia="zh-CN"/>
        </w:rPr>
        <w:t xml:space="preserve"> and c</w:t>
      </w:r>
      <w:r w:rsidR="00FD7A72" w:rsidRPr="00E1105D">
        <w:rPr>
          <w:rFonts w:eastAsia="SimSun"/>
          <w:lang w:eastAsia="zh-CN"/>
        </w:rPr>
        <w:t>ould</w:t>
      </w:r>
      <w:r w:rsidR="00223AC7" w:rsidRPr="00E1105D">
        <w:rPr>
          <w:rFonts w:eastAsia="SimSun"/>
          <w:lang w:eastAsia="zh-CN"/>
        </w:rPr>
        <w:t xml:space="preserve"> be enforced at any time. </w:t>
      </w:r>
    </w:p>
    <w:p w:rsidR="00713A97" w:rsidRPr="00E1105D" w:rsidRDefault="00987137" w:rsidP="00E1105D">
      <w:pPr>
        <w:pStyle w:val="H23G"/>
        <w:spacing w:line="240" w:lineRule="auto"/>
        <w:rPr>
          <w:rFonts w:eastAsia="SimSun"/>
          <w:lang w:eastAsia="zh-CN"/>
        </w:rPr>
      </w:pPr>
      <w:r w:rsidRPr="00E1105D">
        <w:rPr>
          <w:rFonts w:eastAsia="SimSun"/>
          <w:lang w:eastAsia="zh-CN"/>
        </w:rPr>
        <w:tab/>
      </w:r>
      <w:r w:rsidRPr="00E1105D">
        <w:rPr>
          <w:rFonts w:eastAsia="SimSun"/>
          <w:lang w:eastAsia="zh-CN"/>
        </w:rPr>
        <w:tab/>
      </w:r>
      <w:r w:rsidR="00713A97" w:rsidRPr="00E1105D">
        <w:rPr>
          <w:rFonts w:eastAsia="SimSun"/>
          <w:lang w:eastAsia="zh-CN"/>
        </w:rPr>
        <w:t>The complaint</w:t>
      </w:r>
    </w:p>
    <w:p w:rsidR="00713A97" w:rsidRPr="00E1105D" w:rsidRDefault="00713A97" w:rsidP="00E1105D">
      <w:pPr>
        <w:suppressAutoHyphens w:val="0"/>
        <w:spacing w:after="120" w:line="240" w:lineRule="auto"/>
        <w:ind w:left="1134" w:right="1134"/>
        <w:jc w:val="both"/>
        <w:rPr>
          <w:rFonts w:eastAsia="SimSun"/>
          <w:lang w:eastAsia="zh-CN"/>
        </w:rPr>
      </w:pPr>
      <w:r w:rsidRPr="00E1105D">
        <w:rPr>
          <w:rStyle w:val="SingleTxtGChar"/>
          <w:rFonts w:eastAsia="SimSun"/>
          <w:lang w:eastAsia="zh-CN"/>
        </w:rPr>
        <w:t>3.</w:t>
      </w:r>
      <w:r w:rsidRPr="00E1105D">
        <w:rPr>
          <w:rStyle w:val="SingleTxtGChar"/>
          <w:rFonts w:eastAsia="SimSun"/>
          <w:lang w:eastAsia="zh-CN"/>
        </w:rPr>
        <w:tab/>
        <w:t xml:space="preserve">The complainants claim that their deportation to </w:t>
      </w:r>
      <w:r w:rsidR="00606DF0" w:rsidRPr="00E1105D">
        <w:rPr>
          <w:rFonts w:eastAsia="SimSun"/>
          <w:lang w:eastAsia="zh-CN"/>
        </w:rPr>
        <w:t>the Islamic Republic of</w:t>
      </w:r>
      <w:r w:rsidR="00606DF0" w:rsidRPr="00E1105D">
        <w:rPr>
          <w:rStyle w:val="SingleTxtGChar"/>
          <w:rFonts w:eastAsia="SimSun"/>
          <w:lang w:eastAsia="zh-CN"/>
        </w:rPr>
        <w:t xml:space="preserve"> </w:t>
      </w:r>
      <w:r w:rsidRPr="00E1105D">
        <w:rPr>
          <w:rStyle w:val="SingleTxtGChar"/>
          <w:rFonts w:eastAsia="SimSun"/>
          <w:lang w:eastAsia="zh-CN"/>
        </w:rPr>
        <w:t>Iran</w:t>
      </w:r>
      <w:r w:rsidR="00606DF0" w:rsidRPr="00E1105D">
        <w:rPr>
          <w:rStyle w:val="SingleTxtGChar"/>
          <w:rFonts w:eastAsia="SimSun"/>
          <w:lang w:eastAsia="zh-CN"/>
        </w:rPr>
        <w:t>,</w:t>
      </w:r>
      <w:r w:rsidRPr="00E1105D">
        <w:rPr>
          <w:rStyle w:val="SingleTxtGChar"/>
          <w:rFonts w:eastAsia="SimSun"/>
          <w:lang w:eastAsia="zh-CN"/>
        </w:rPr>
        <w:t xml:space="preserve"> where they have been tortured in the past and where, in their opinion, there are substantial grounds to believe that they would be subjected to torture</w:t>
      </w:r>
      <w:r w:rsidR="000A49D8" w:rsidRPr="00E1105D">
        <w:rPr>
          <w:rStyle w:val="SingleTxtGChar"/>
          <w:rFonts w:eastAsia="SimSun"/>
          <w:lang w:eastAsia="zh-CN"/>
        </w:rPr>
        <w:t xml:space="preserve"> again</w:t>
      </w:r>
      <w:r w:rsidR="00606DF0" w:rsidRPr="00E1105D">
        <w:rPr>
          <w:rStyle w:val="SingleTxtGChar"/>
          <w:rFonts w:eastAsia="SimSun"/>
          <w:lang w:eastAsia="zh-CN"/>
        </w:rPr>
        <w:t>,</w:t>
      </w:r>
      <w:r w:rsidRPr="00E1105D">
        <w:rPr>
          <w:rStyle w:val="SingleTxtGChar"/>
          <w:rFonts w:eastAsia="SimSun"/>
          <w:lang w:eastAsia="zh-CN"/>
        </w:rPr>
        <w:t xml:space="preserve"> would constitute a violation by Finland of their rights under article 3 of the Convention. They consider their claims credible and submit that their allegations are supported by documentary evidence, including regarding their political involvement with the Komala party, and by recent reports on the current human rights situation in </w:t>
      </w:r>
      <w:r w:rsidR="00606DF0" w:rsidRPr="00E1105D">
        <w:rPr>
          <w:rFonts w:eastAsia="SimSun"/>
          <w:lang w:eastAsia="zh-CN"/>
        </w:rPr>
        <w:t>the Islamic Republic of</w:t>
      </w:r>
      <w:r w:rsidR="00606DF0" w:rsidRPr="00E1105D">
        <w:rPr>
          <w:rStyle w:val="SingleTxtGChar"/>
          <w:rFonts w:eastAsia="SimSun"/>
          <w:lang w:eastAsia="zh-CN"/>
        </w:rPr>
        <w:t xml:space="preserve"> </w:t>
      </w:r>
      <w:r w:rsidRPr="00E1105D">
        <w:rPr>
          <w:rStyle w:val="SingleTxtGChar"/>
          <w:rFonts w:eastAsia="SimSun"/>
          <w:lang w:eastAsia="zh-CN"/>
        </w:rPr>
        <w:t>Iran</w:t>
      </w:r>
      <w:r w:rsidR="00FD7A72" w:rsidRPr="00E1105D">
        <w:rPr>
          <w:rStyle w:val="SingleTxtGChar"/>
          <w:rFonts w:eastAsia="SimSun"/>
          <w:lang w:eastAsia="zh-CN"/>
        </w:rPr>
        <w:t>.</w:t>
      </w:r>
      <w:r w:rsidRPr="00E1105D">
        <w:rPr>
          <w:rStyle w:val="FootnoteReference"/>
          <w:rFonts w:eastAsia="SimSun"/>
          <w:sz w:val="20"/>
          <w:lang w:eastAsia="zh-CN"/>
        </w:rPr>
        <w:footnoteReference w:id="7"/>
      </w:r>
      <w:r w:rsidRPr="00E1105D">
        <w:rPr>
          <w:rFonts w:eastAsia="SimSun"/>
          <w:lang w:eastAsia="zh-CN"/>
        </w:rPr>
        <w:t xml:space="preserve"> </w:t>
      </w:r>
    </w:p>
    <w:p w:rsidR="00713A97" w:rsidRPr="00E1105D" w:rsidRDefault="00987137" w:rsidP="00E1105D">
      <w:pPr>
        <w:pStyle w:val="H23G"/>
        <w:spacing w:line="240" w:lineRule="auto"/>
      </w:pPr>
      <w:r w:rsidRPr="00E1105D">
        <w:tab/>
      </w:r>
      <w:r w:rsidRPr="00E1105D">
        <w:tab/>
      </w:r>
      <w:r w:rsidR="00713A97" w:rsidRPr="00E1105D">
        <w:t>State party’s observations on the merits</w:t>
      </w:r>
    </w:p>
    <w:p w:rsidR="00484DDB" w:rsidRPr="00E1105D" w:rsidRDefault="00713A97" w:rsidP="00E1105D">
      <w:pPr>
        <w:pStyle w:val="SingleTxtG"/>
        <w:spacing w:line="240" w:lineRule="auto"/>
        <w:rPr>
          <w:rFonts w:eastAsia="SimSun"/>
        </w:rPr>
      </w:pPr>
      <w:r w:rsidRPr="00E1105D">
        <w:rPr>
          <w:rFonts w:eastAsia="SimSun"/>
          <w:lang w:eastAsia="zh-CN"/>
        </w:rPr>
        <w:t>4.1</w:t>
      </w:r>
      <w:r w:rsidRPr="00E1105D">
        <w:rPr>
          <w:rFonts w:eastAsia="SimSun"/>
          <w:lang w:eastAsia="zh-CN"/>
        </w:rPr>
        <w:tab/>
        <w:t xml:space="preserve">On 15 May 2012, the State party submitted its observations on the merits of the case. It recalls the facts of the case and also provides excerpts from relevant domestic legislation. The Aliens Act of the State party provides </w:t>
      </w:r>
      <w:r w:rsidR="000A49D8" w:rsidRPr="00E1105D">
        <w:rPr>
          <w:rFonts w:eastAsia="SimSun"/>
          <w:lang w:eastAsia="zh-CN"/>
        </w:rPr>
        <w:t xml:space="preserve">for the </w:t>
      </w:r>
      <w:r w:rsidRPr="00E1105D">
        <w:rPr>
          <w:rFonts w:eastAsia="SimSun"/>
          <w:lang w:eastAsia="zh-CN"/>
        </w:rPr>
        <w:t>protection of the applicant if there is a “real risk of being subjected to serious harm”</w:t>
      </w:r>
      <w:r w:rsidR="00004F04" w:rsidRPr="00E1105D">
        <w:rPr>
          <w:rFonts w:eastAsia="SimSun"/>
          <w:lang w:eastAsia="zh-CN"/>
        </w:rPr>
        <w:t>.</w:t>
      </w:r>
      <w:r w:rsidR="00991CE2" w:rsidRPr="00E1105D">
        <w:rPr>
          <w:rStyle w:val="FootnoteReference"/>
          <w:rFonts w:eastAsia="SimSun"/>
          <w:sz w:val="20"/>
          <w:lang w:eastAsia="zh-CN"/>
        </w:rPr>
        <w:footnoteReference w:id="8"/>
      </w:r>
      <w:r w:rsidRPr="00E1105D">
        <w:rPr>
          <w:rFonts w:eastAsia="SimSun"/>
          <w:lang w:eastAsia="zh-CN"/>
        </w:rPr>
        <w:t xml:space="preserve"> The law further defines “serious harm” as the death penalty or execution; torture or other inhuman or degrading treatment or punishment;</w:t>
      </w:r>
      <w:r w:rsidR="00991CE2" w:rsidRPr="00E1105D">
        <w:rPr>
          <w:rFonts w:eastAsia="SimSun"/>
        </w:rPr>
        <w:t xml:space="preserve"> </w:t>
      </w:r>
      <w:r w:rsidR="00E576D8">
        <w:rPr>
          <w:rFonts w:eastAsia="SimSun"/>
        </w:rPr>
        <w:t xml:space="preserve">and </w:t>
      </w:r>
      <w:r w:rsidR="00991CE2" w:rsidRPr="00E1105D">
        <w:rPr>
          <w:rFonts w:eastAsia="SimSun"/>
        </w:rPr>
        <w:t>serious and individual threat as a result of indiscriminate violence in situation</w:t>
      </w:r>
      <w:r w:rsidR="00004F04" w:rsidRPr="00E1105D">
        <w:rPr>
          <w:rFonts w:eastAsia="SimSun"/>
        </w:rPr>
        <w:t>s</w:t>
      </w:r>
      <w:r w:rsidR="00991CE2" w:rsidRPr="00E1105D">
        <w:rPr>
          <w:rFonts w:eastAsia="SimSun"/>
        </w:rPr>
        <w:t xml:space="preserve"> of international or internal armed conflicts.</w:t>
      </w:r>
    </w:p>
    <w:p w:rsidR="00991CE2" w:rsidRPr="00E1105D" w:rsidRDefault="00991CE2" w:rsidP="00E1105D">
      <w:pPr>
        <w:pStyle w:val="SingleTxtG"/>
        <w:spacing w:line="240" w:lineRule="auto"/>
        <w:rPr>
          <w:rFonts w:eastAsia="SimSun"/>
          <w:lang w:eastAsia="zh-CN"/>
        </w:rPr>
      </w:pPr>
      <w:r w:rsidRPr="00E1105D">
        <w:rPr>
          <w:rStyle w:val="SingleTxtGChar"/>
          <w:rFonts w:eastAsia="SimSun"/>
        </w:rPr>
        <w:t>4.2</w:t>
      </w:r>
      <w:r w:rsidRPr="00E1105D">
        <w:rPr>
          <w:rStyle w:val="SingleTxtGChar"/>
          <w:rFonts w:eastAsia="SimSun"/>
        </w:rPr>
        <w:tab/>
        <w:t xml:space="preserve">The State party submits that protection from removal from the country is offered if the authorities are “convinced of the veracity of the </w:t>
      </w:r>
      <w:r w:rsidRPr="00E1105D">
        <w:rPr>
          <w:rFonts w:eastAsia="SimSun"/>
        </w:rPr>
        <w:t>application”</w:t>
      </w:r>
      <w:r w:rsidR="00D70311" w:rsidRPr="00E1105D">
        <w:rPr>
          <w:rFonts w:eastAsia="SimSun"/>
        </w:rPr>
        <w:t>.</w:t>
      </w:r>
      <w:r w:rsidR="00E15923" w:rsidRPr="00E1105D">
        <w:rPr>
          <w:rStyle w:val="FootnoteReference"/>
          <w:rFonts w:eastAsia="SimSun"/>
          <w:sz w:val="20"/>
        </w:rPr>
        <w:footnoteReference w:id="9"/>
      </w:r>
      <w:r w:rsidRPr="00E1105D">
        <w:rPr>
          <w:rFonts w:eastAsia="SimSun"/>
        </w:rPr>
        <w:t xml:space="preserve"> </w:t>
      </w:r>
      <w:r w:rsidRPr="00E1105D">
        <w:rPr>
          <w:rFonts w:eastAsia="SimSun"/>
          <w:lang w:eastAsia="zh-CN"/>
        </w:rPr>
        <w:t xml:space="preserve">The authorities make such a finding by taking into account the applicant’s statements as well as “real time information of the circumstances </w:t>
      </w:r>
      <w:r w:rsidR="00057758" w:rsidRPr="00E1105D">
        <w:rPr>
          <w:rFonts w:eastAsia="SimSun"/>
          <w:lang w:eastAsia="zh-CN"/>
        </w:rPr>
        <w:t xml:space="preserve">… </w:t>
      </w:r>
      <w:r w:rsidRPr="00E1105D">
        <w:rPr>
          <w:rFonts w:eastAsia="SimSun"/>
          <w:lang w:eastAsia="zh-CN"/>
        </w:rPr>
        <w:t>obtained from various sources”</w:t>
      </w:r>
      <w:r w:rsidR="00D70311" w:rsidRPr="00E1105D">
        <w:rPr>
          <w:rFonts w:eastAsia="SimSun"/>
          <w:lang w:eastAsia="zh-CN"/>
        </w:rPr>
        <w:t>.</w:t>
      </w:r>
      <w:r w:rsidR="005F13BE" w:rsidRPr="00E1105D">
        <w:rPr>
          <w:rStyle w:val="FootnoteReference"/>
          <w:rFonts w:eastAsia="SimSun"/>
          <w:sz w:val="20"/>
          <w:lang w:eastAsia="zh-CN"/>
        </w:rPr>
        <w:footnoteReference w:id="10"/>
      </w:r>
    </w:p>
    <w:p w:rsidR="00991CE2" w:rsidRPr="00E1105D" w:rsidRDefault="00991CE2" w:rsidP="00E1105D">
      <w:pPr>
        <w:pStyle w:val="SingleTxtG"/>
        <w:spacing w:line="240" w:lineRule="auto"/>
        <w:rPr>
          <w:rFonts w:eastAsia="SimSun"/>
          <w:lang w:eastAsia="zh-CN"/>
        </w:rPr>
      </w:pPr>
      <w:r w:rsidRPr="00E1105D">
        <w:rPr>
          <w:rFonts w:eastAsia="SimSun"/>
          <w:lang w:eastAsia="zh-CN"/>
        </w:rPr>
        <w:t>4.3</w:t>
      </w:r>
      <w:r w:rsidRPr="00E1105D">
        <w:rPr>
          <w:rFonts w:eastAsia="SimSun"/>
          <w:lang w:eastAsia="zh-CN"/>
        </w:rPr>
        <w:tab/>
        <w:t>The State party</w:t>
      </w:r>
      <w:r w:rsidR="0086651F" w:rsidRPr="00E1105D">
        <w:rPr>
          <w:rFonts w:eastAsia="SimSun"/>
          <w:lang w:eastAsia="zh-CN"/>
        </w:rPr>
        <w:t>, after considering all the facts of the case,</w:t>
      </w:r>
      <w:r w:rsidRPr="00E1105D">
        <w:rPr>
          <w:rFonts w:eastAsia="SimSun"/>
          <w:lang w:eastAsia="zh-CN"/>
        </w:rPr>
        <w:t xml:space="preserve"> contends that its Immigration Service rejected the complainants’ asylum application</w:t>
      </w:r>
      <w:r w:rsidR="000E3A66">
        <w:rPr>
          <w:rFonts w:eastAsia="SimSun"/>
          <w:lang w:eastAsia="zh-CN"/>
        </w:rPr>
        <w:t>s</w:t>
      </w:r>
      <w:r w:rsidR="0086651F" w:rsidRPr="00E1105D">
        <w:rPr>
          <w:rFonts w:eastAsia="SimSun"/>
          <w:lang w:eastAsia="zh-CN"/>
        </w:rPr>
        <w:t xml:space="preserve"> as</w:t>
      </w:r>
      <w:r w:rsidRPr="00E1105D">
        <w:rPr>
          <w:rFonts w:eastAsia="SimSun"/>
          <w:lang w:eastAsia="zh-CN"/>
        </w:rPr>
        <w:t xml:space="preserve"> it found that the </w:t>
      </w:r>
      <w:r w:rsidRPr="00E1105D">
        <w:rPr>
          <w:rFonts w:eastAsia="SimSun"/>
          <w:lang w:eastAsia="zh-CN"/>
        </w:rPr>
        <w:lastRenderedPageBreak/>
        <w:t xml:space="preserve">political activities of </w:t>
      </w:r>
      <w:r w:rsidR="0086651F" w:rsidRPr="00E1105D">
        <w:rPr>
          <w:rFonts w:eastAsia="SimSun"/>
          <w:lang w:eastAsia="zh-CN"/>
        </w:rPr>
        <w:t xml:space="preserve">the </w:t>
      </w:r>
      <w:r w:rsidRPr="00E1105D">
        <w:rPr>
          <w:rFonts w:eastAsia="SimSun"/>
          <w:lang w:eastAsia="zh-CN"/>
        </w:rPr>
        <w:t xml:space="preserve">complainants were described only superficially, without </w:t>
      </w:r>
      <w:r w:rsidR="0086651F" w:rsidRPr="00E1105D">
        <w:rPr>
          <w:rFonts w:eastAsia="SimSun"/>
          <w:lang w:eastAsia="zh-CN"/>
        </w:rPr>
        <w:t xml:space="preserve">any </w:t>
      </w:r>
      <w:r w:rsidRPr="00E1105D">
        <w:rPr>
          <w:rFonts w:eastAsia="SimSun"/>
          <w:lang w:eastAsia="zh-CN"/>
        </w:rPr>
        <w:t>support</w:t>
      </w:r>
      <w:r w:rsidR="0086651F" w:rsidRPr="00E1105D">
        <w:rPr>
          <w:rFonts w:eastAsia="SimSun"/>
          <w:lang w:eastAsia="zh-CN"/>
        </w:rPr>
        <w:t>ing</w:t>
      </w:r>
      <w:r w:rsidRPr="00E1105D">
        <w:rPr>
          <w:rFonts w:eastAsia="SimSun"/>
          <w:lang w:eastAsia="zh-CN"/>
        </w:rPr>
        <w:t xml:space="preserve"> evidence. Similarly, regarding the accounts of torture, </w:t>
      </w:r>
      <w:r w:rsidR="001F6261" w:rsidRPr="00E1105D">
        <w:rPr>
          <w:rFonts w:eastAsia="SimSun"/>
          <w:lang w:eastAsia="zh-CN"/>
        </w:rPr>
        <w:t xml:space="preserve">the </w:t>
      </w:r>
      <w:r w:rsidRPr="00E1105D">
        <w:rPr>
          <w:rFonts w:eastAsia="SimSun"/>
          <w:lang w:eastAsia="zh-CN"/>
        </w:rPr>
        <w:t xml:space="preserve">judicial proceedings, </w:t>
      </w:r>
      <w:r w:rsidR="001F6261" w:rsidRPr="00E1105D">
        <w:rPr>
          <w:rFonts w:eastAsia="SimSun"/>
          <w:lang w:eastAsia="zh-CN"/>
        </w:rPr>
        <w:t xml:space="preserve">the </w:t>
      </w:r>
      <w:r w:rsidRPr="00E1105D">
        <w:rPr>
          <w:rFonts w:eastAsia="SimSun"/>
          <w:lang w:eastAsia="zh-CN"/>
        </w:rPr>
        <w:t xml:space="preserve">sentence and </w:t>
      </w:r>
      <w:r w:rsidR="001F6261" w:rsidRPr="00E1105D">
        <w:rPr>
          <w:rFonts w:eastAsia="SimSun"/>
          <w:lang w:eastAsia="zh-CN"/>
        </w:rPr>
        <w:t xml:space="preserve">the complainants’ </w:t>
      </w:r>
      <w:r w:rsidRPr="00E1105D">
        <w:rPr>
          <w:rFonts w:eastAsia="SimSun"/>
          <w:lang w:eastAsia="zh-CN"/>
        </w:rPr>
        <w:t xml:space="preserve">release on bail, </w:t>
      </w:r>
      <w:r w:rsidR="001F6261" w:rsidRPr="00E1105D">
        <w:rPr>
          <w:rFonts w:eastAsia="SimSun"/>
          <w:lang w:eastAsia="zh-CN"/>
        </w:rPr>
        <w:t>the</w:t>
      </w:r>
      <w:r w:rsidR="00376EAB" w:rsidRPr="00E1105D">
        <w:rPr>
          <w:rFonts w:eastAsia="SimSun"/>
          <w:lang w:eastAsia="zh-CN"/>
        </w:rPr>
        <w:t xml:space="preserve"> complainants</w:t>
      </w:r>
      <w:r w:rsidR="001F6261" w:rsidRPr="00E1105D">
        <w:rPr>
          <w:rFonts w:eastAsia="SimSun"/>
          <w:lang w:eastAsia="zh-CN"/>
        </w:rPr>
        <w:t xml:space="preserve"> </w:t>
      </w:r>
      <w:r w:rsidRPr="00E1105D">
        <w:rPr>
          <w:rFonts w:eastAsia="SimSun"/>
          <w:lang w:eastAsia="zh-CN"/>
        </w:rPr>
        <w:t xml:space="preserve">provided no evidence except their own account of events. </w:t>
      </w:r>
    </w:p>
    <w:p w:rsidR="00991CE2" w:rsidRPr="00E1105D" w:rsidRDefault="00991CE2" w:rsidP="00E576D8">
      <w:pPr>
        <w:pStyle w:val="SingleTxtG"/>
        <w:spacing w:line="240" w:lineRule="auto"/>
        <w:rPr>
          <w:rFonts w:eastAsia="SimSun"/>
          <w:lang w:eastAsia="zh-CN"/>
        </w:rPr>
      </w:pPr>
      <w:r w:rsidRPr="00E1105D">
        <w:rPr>
          <w:rFonts w:eastAsia="SimSun"/>
          <w:lang w:eastAsia="zh-CN"/>
        </w:rPr>
        <w:t>4.4</w:t>
      </w:r>
      <w:r w:rsidRPr="00E1105D">
        <w:rPr>
          <w:rFonts w:eastAsia="SimSun"/>
          <w:lang w:eastAsia="zh-CN"/>
        </w:rPr>
        <w:tab/>
        <w:t xml:space="preserve">The State party concedes that there are major issues with the human rights situation in </w:t>
      </w:r>
      <w:r w:rsidR="00606DF0" w:rsidRPr="00E1105D">
        <w:rPr>
          <w:rFonts w:eastAsia="SimSun"/>
          <w:lang w:eastAsia="zh-CN"/>
        </w:rPr>
        <w:t xml:space="preserve">the Islamic Republic of </w:t>
      </w:r>
      <w:r w:rsidRPr="00E1105D">
        <w:rPr>
          <w:rFonts w:eastAsia="SimSun"/>
          <w:lang w:eastAsia="zh-CN"/>
        </w:rPr>
        <w:t xml:space="preserve">Iran. It contends that members of the Komala party, which is illegal in </w:t>
      </w:r>
      <w:r w:rsidR="00606DF0" w:rsidRPr="00E1105D">
        <w:rPr>
          <w:rFonts w:eastAsia="SimSun"/>
          <w:lang w:eastAsia="zh-CN"/>
        </w:rPr>
        <w:t xml:space="preserve">the Islamic Republic of </w:t>
      </w:r>
      <w:r w:rsidRPr="00E1105D">
        <w:rPr>
          <w:rFonts w:eastAsia="SimSun"/>
          <w:lang w:eastAsia="zh-CN"/>
        </w:rPr>
        <w:t>Iran, can be subject to strict measures. It submits</w:t>
      </w:r>
      <w:r w:rsidR="001F6261" w:rsidRPr="00E1105D">
        <w:rPr>
          <w:rFonts w:eastAsia="SimSun"/>
          <w:lang w:eastAsia="zh-CN"/>
        </w:rPr>
        <w:t>, however,</w:t>
      </w:r>
      <w:r w:rsidRPr="00E1105D">
        <w:rPr>
          <w:rFonts w:eastAsia="SimSun"/>
          <w:lang w:eastAsia="zh-CN"/>
        </w:rPr>
        <w:t xml:space="preserve"> that the complainants failed to provide evidence of their membership </w:t>
      </w:r>
      <w:r w:rsidR="001F6261" w:rsidRPr="00E1105D">
        <w:rPr>
          <w:rFonts w:eastAsia="SimSun"/>
          <w:lang w:eastAsia="zh-CN"/>
        </w:rPr>
        <w:t>of</w:t>
      </w:r>
      <w:r w:rsidRPr="00E1105D">
        <w:rPr>
          <w:rFonts w:eastAsia="SimSun"/>
          <w:lang w:eastAsia="zh-CN"/>
        </w:rPr>
        <w:t xml:space="preserve"> Komala. They provided a certificate of membership from the party’s representative in </w:t>
      </w:r>
      <w:smartTag w:uri="urn:schemas-microsoft-com:office:smarttags" w:element="place">
        <w:smartTag w:uri="urn:schemas-microsoft-com:office:smarttags" w:element="country-region">
          <w:r w:rsidRPr="00E1105D">
            <w:rPr>
              <w:rFonts w:eastAsia="SimSun"/>
              <w:lang w:eastAsia="zh-CN"/>
            </w:rPr>
            <w:t>Sweden</w:t>
          </w:r>
        </w:smartTag>
      </w:smartTag>
      <w:r w:rsidRPr="00E1105D">
        <w:rPr>
          <w:rFonts w:eastAsia="SimSun"/>
          <w:lang w:eastAsia="zh-CN"/>
        </w:rPr>
        <w:t>, but th</w:t>
      </w:r>
      <w:r w:rsidR="001F6261" w:rsidRPr="00E1105D">
        <w:rPr>
          <w:rFonts w:eastAsia="SimSun"/>
          <w:lang w:eastAsia="zh-CN"/>
        </w:rPr>
        <w:t>e</w:t>
      </w:r>
      <w:r w:rsidRPr="00E1105D">
        <w:rPr>
          <w:rFonts w:eastAsia="SimSun"/>
          <w:lang w:eastAsia="zh-CN"/>
        </w:rPr>
        <w:t xml:space="preserve"> certificate does</w:t>
      </w:r>
      <w:r w:rsidR="001F6261" w:rsidRPr="00E1105D">
        <w:rPr>
          <w:rFonts w:eastAsia="SimSun"/>
          <w:lang w:eastAsia="zh-CN"/>
        </w:rPr>
        <w:t xml:space="preserve"> </w:t>
      </w:r>
      <w:r w:rsidRPr="00E1105D">
        <w:rPr>
          <w:rFonts w:eastAsia="SimSun"/>
          <w:lang w:eastAsia="zh-CN"/>
        </w:rPr>
        <w:t>n</w:t>
      </w:r>
      <w:r w:rsidR="001F6261" w:rsidRPr="00E1105D">
        <w:rPr>
          <w:rFonts w:eastAsia="SimSun"/>
          <w:lang w:eastAsia="zh-CN"/>
        </w:rPr>
        <w:t>o</w:t>
      </w:r>
      <w:r w:rsidRPr="00E1105D">
        <w:rPr>
          <w:rFonts w:eastAsia="SimSun"/>
          <w:lang w:eastAsia="zh-CN"/>
        </w:rPr>
        <w:t xml:space="preserve">t in itself </w:t>
      </w:r>
      <w:r w:rsidR="001F6261" w:rsidRPr="00E1105D">
        <w:rPr>
          <w:rFonts w:eastAsia="SimSun"/>
          <w:lang w:eastAsia="zh-CN"/>
        </w:rPr>
        <w:t xml:space="preserve">enable conclusions to be drawn </w:t>
      </w:r>
      <w:r w:rsidRPr="00E1105D">
        <w:rPr>
          <w:rFonts w:eastAsia="SimSun"/>
          <w:lang w:eastAsia="zh-CN"/>
        </w:rPr>
        <w:t xml:space="preserve">about the complainants’ position </w:t>
      </w:r>
      <w:r w:rsidR="00E576D8">
        <w:rPr>
          <w:rFonts w:eastAsia="SimSun"/>
          <w:lang w:eastAsia="zh-CN"/>
        </w:rPr>
        <w:t xml:space="preserve">and </w:t>
      </w:r>
      <w:r w:rsidRPr="00E1105D">
        <w:rPr>
          <w:rFonts w:eastAsia="SimSun"/>
          <w:lang w:eastAsia="zh-CN"/>
        </w:rPr>
        <w:t xml:space="preserve">activities, or </w:t>
      </w:r>
      <w:r w:rsidR="00AA3578" w:rsidRPr="00E1105D">
        <w:rPr>
          <w:rFonts w:eastAsia="SimSun"/>
          <w:lang w:eastAsia="zh-CN"/>
        </w:rPr>
        <w:t>the</w:t>
      </w:r>
      <w:r w:rsidRPr="00E1105D">
        <w:rPr>
          <w:rFonts w:eastAsia="SimSun"/>
          <w:lang w:eastAsia="zh-CN"/>
        </w:rPr>
        <w:t xml:space="preserve"> level of potential threat if </w:t>
      </w:r>
      <w:r w:rsidR="00AA3578" w:rsidRPr="00E1105D">
        <w:rPr>
          <w:rFonts w:eastAsia="SimSun"/>
          <w:lang w:eastAsia="zh-CN"/>
        </w:rPr>
        <w:t>the</w:t>
      </w:r>
      <w:r w:rsidR="00E576D8">
        <w:rPr>
          <w:rFonts w:eastAsia="SimSun"/>
          <w:lang w:eastAsia="zh-CN"/>
        </w:rPr>
        <w:t>ir</w:t>
      </w:r>
      <w:r w:rsidRPr="00E1105D">
        <w:rPr>
          <w:rFonts w:eastAsia="SimSun"/>
          <w:lang w:eastAsia="zh-CN"/>
        </w:rPr>
        <w:t xml:space="preserve"> membership became known to </w:t>
      </w:r>
      <w:r w:rsidR="00376EAB" w:rsidRPr="00E1105D">
        <w:rPr>
          <w:rFonts w:eastAsia="SimSun"/>
          <w:lang w:eastAsia="zh-CN"/>
        </w:rPr>
        <w:t xml:space="preserve">the </w:t>
      </w:r>
      <w:r w:rsidRPr="00E1105D">
        <w:rPr>
          <w:rFonts w:eastAsia="SimSun"/>
          <w:lang w:eastAsia="zh-CN"/>
        </w:rPr>
        <w:t xml:space="preserve">authorities in </w:t>
      </w:r>
      <w:r w:rsidR="00606DF0" w:rsidRPr="00E1105D">
        <w:rPr>
          <w:rFonts w:eastAsia="SimSun"/>
          <w:lang w:eastAsia="zh-CN"/>
        </w:rPr>
        <w:t xml:space="preserve">the Islamic Republic of </w:t>
      </w:r>
      <w:r w:rsidRPr="00E1105D">
        <w:rPr>
          <w:rFonts w:eastAsia="SimSun"/>
          <w:lang w:eastAsia="zh-CN"/>
        </w:rPr>
        <w:t xml:space="preserve">Iran. Even if the information provided by the complainants is considered to be true, they cannot be regarded as high-profile members of the party and would not </w:t>
      </w:r>
      <w:r w:rsidR="00AA3578" w:rsidRPr="00E1105D">
        <w:rPr>
          <w:rFonts w:eastAsia="SimSun"/>
          <w:lang w:eastAsia="zh-CN"/>
        </w:rPr>
        <w:t xml:space="preserve">attract </w:t>
      </w:r>
      <w:r w:rsidRPr="00E1105D">
        <w:rPr>
          <w:rFonts w:eastAsia="SimSun"/>
          <w:lang w:eastAsia="zh-CN"/>
        </w:rPr>
        <w:t xml:space="preserve">attention from </w:t>
      </w:r>
      <w:r w:rsidR="00376EAB" w:rsidRPr="00E1105D">
        <w:rPr>
          <w:rFonts w:eastAsia="SimSun"/>
          <w:lang w:eastAsia="zh-CN"/>
        </w:rPr>
        <w:t xml:space="preserve">the </w:t>
      </w:r>
      <w:r w:rsidRPr="00E1105D">
        <w:rPr>
          <w:rFonts w:eastAsia="SimSun"/>
          <w:lang w:eastAsia="zh-CN"/>
        </w:rPr>
        <w:t xml:space="preserve">Iranian authorities if returned home. </w:t>
      </w:r>
    </w:p>
    <w:p w:rsidR="00991CE2" w:rsidRPr="00E1105D" w:rsidRDefault="00991CE2" w:rsidP="00E1105D">
      <w:pPr>
        <w:pStyle w:val="SingleTxtG"/>
        <w:spacing w:line="240" w:lineRule="auto"/>
        <w:rPr>
          <w:rFonts w:eastAsia="SimSun"/>
          <w:lang w:eastAsia="zh-CN"/>
        </w:rPr>
      </w:pPr>
      <w:r w:rsidRPr="00E1105D">
        <w:rPr>
          <w:rFonts w:eastAsia="SimSun"/>
          <w:lang w:eastAsia="zh-CN"/>
        </w:rPr>
        <w:t>4.5</w:t>
      </w:r>
      <w:r w:rsidRPr="00E1105D">
        <w:rPr>
          <w:rFonts w:eastAsia="SimSun"/>
          <w:lang w:eastAsia="zh-CN"/>
        </w:rPr>
        <w:tab/>
        <w:t xml:space="preserve">The State party further submits that the medical statements </w:t>
      </w:r>
      <w:r w:rsidR="00376EAB" w:rsidRPr="00E1105D">
        <w:rPr>
          <w:rFonts w:eastAsia="SimSun"/>
          <w:lang w:eastAsia="zh-CN"/>
        </w:rPr>
        <w:t xml:space="preserve">the complainants </w:t>
      </w:r>
      <w:r w:rsidRPr="00E1105D">
        <w:rPr>
          <w:rFonts w:eastAsia="SimSun"/>
          <w:lang w:eastAsia="zh-CN"/>
        </w:rPr>
        <w:t xml:space="preserve">presented to the authorities </w:t>
      </w:r>
      <w:r w:rsidR="00376EAB" w:rsidRPr="00E1105D">
        <w:rPr>
          <w:rFonts w:eastAsia="SimSun"/>
          <w:lang w:eastAsia="zh-CN"/>
        </w:rPr>
        <w:t xml:space="preserve">provide evidence of </w:t>
      </w:r>
      <w:r w:rsidRPr="00E1105D">
        <w:rPr>
          <w:rFonts w:eastAsia="SimSun"/>
          <w:lang w:eastAsia="zh-CN"/>
        </w:rPr>
        <w:t xml:space="preserve">only minor injuries and </w:t>
      </w:r>
      <w:r w:rsidR="00B45619" w:rsidRPr="00E1105D">
        <w:rPr>
          <w:rFonts w:eastAsia="SimSun"/>
          <w:lang w:eastAsia="zh-CN"/>
        </w:rPr>
        <w:t xml:space="preserve">do </w:t>
      </w:r>
      <w:r w:rsidRPr="00E1105D">
        <w:rPr>
          <w:rFonts w:eastAsia="SimSun"/>
          <w:lang w:eastAsia="zh-CN"/>
        </w:rPr>
        <w:t xml:space="preserve">not definitively indicate whether the </w:t>
      </w:r>
      <w:r w:rsidR="00B45619" w:rsidRPr="00E1105D">
        <w:rPr>
          <w:rFonts w:eastAsia="SimSun"/>
          <w:lang w:eastAsia="zh-CN"/>
        </w:rPr>
        <w:t>injuries resulted from</w:t>
      </w:r>
      <w:r w:rsidRPr="00E1105D">
        <w:rPr>
          <w:rFonts w:eastAsia="SimSun"/>
          <w:lang w:eastAsia="zh-CN"/>
        </w:rPr>
        <w:t xml:space="preserve"> torture or </w:t>
      </w:r>
      <w:r w:rsidR="00376EAB" w:rsidRPr="00E1105D">
        <w:rPr>
          <w:rFonts w:eastAsia="SimSun"/>
          <w:lang w:eastAsia="zh-CN"/>
        </w:rPr>
        <w:t>ill-</w:t>
      </w:r>
      <w:r w:rsidRPr="00E1105D">
        <w:rPr>
          <w:rFonts w:eastAsia="SimSun"/>
          <w:lang w:eastAsia="zh-CN"/>
        </w:rPr>
        <w:t xml:space="preserve">treatment. The State party claims that the complainants in fact </w:t>
      </w:r>
      <w:r w:rsidR="00B45619" w:rsidRPr="00E1105D">
        <w:rPr>
          <w:rFonts w:eastAsia="SimSun"/>
          <w:lang w:eastAsia="zh-CN"/>
        </w:rPr>
        <w:t xml:space="preserve">travelled </w:t>
      </w:r>
      <w:r w:rsidRPr="00E1105D">
        <w:rPr>
          <w:rFonts w:eastAsia="SimSun"/>
          <w:lang w:eastAsia="zh-CN"/>
        </w:rPr>
        <w:t xml:space="preserve">to </w:t>
      </w:r>
      <w:smartTag w:uri="urn:schemas-microsoft-com:office:smarttags" w:element="place">
        <w:smartTag w:uri="urn:schemas-microsoft-com:office:smarttags" w:element="country-region">
          <w:r w:rsidRPr="00E1105D">
            <w:rPr>
              <w:rFonts w:eastAsia="SimSun"/>
              <w:lang w:eastAsia="zh-CN"/>
            </w:rPr>
            <w:t>Finland</w:t>
          </w:r>
        </w:smartTag>
      </w:smartTag>
      <w:r w:rsidRPr="00E1105D">
        <w:rPr>
          <w:rFonts w:eastAsia="SimSun"/>
          <w:lang w:eastAsia="zh-CN"/>
        </w:rPr>
        <w:t xml:space="preserve"> to reunite with their family </w:t>
      </w:r>
      <w:r w:rsidR="00B45619" w:rsidRPr="00E1105D">
        <w:rPr>
          <w:rFonts w:eastAsia="SimSun"/>
          <w:lang w:eastAsia="zh-CN"/>
        </w:rPr>
        <w:t xml:space="preserve">only, </w:t>
      </w:r>
      <w:r w:rsidRPr="00E1105D">
        <w:rPr>
          <w:rFonts w:eastAsia="SimSun"/>
          <w:lang w:eastAsia="zh-CN"/>
        </w:rPr>
        <w:t xml:space="preserve">not because they were concerned about being tortured in </w:t>
      </w:r>
      <w:r w:rsidR="00606DF0" w:rsidRPr="00E1105D">
        <w:rPr>
          <w:rFonts w:eastAsia="SimSun"/>
          <w:lang w:eastAsia="zh-CN"/>
        </w:rPr>
        <w:t xml:space="preserve">the Islamic Republic of </w:t>
      </w:r>
      <w:r w:rsidRPr="00E1105D">
        <w:rPr>
          <w:rFonts w:eastAsia="SimSun"/>
          <w:lang w:eastAsia="zh-CN"/>
        </w:rPr>
        <w:t xml:space="preserve">Iran. </w:t>
      </w:r>
    </w:p>
    <w:p w:rsidR="00B64D68" w:rsidRPr="00E1105D" w:rsidRDefault="00991CE2" w:rsidP="00EF5F61">
      <w:pPr>
        <w:pStyle w:val="SingleTxtG"/>
        <w:spacing w:line="240" w:lineRule="auto"/>
      </w:pPr>
      <w:r w:rsidRPr="00E1105D">
        <w:rPr>
          <w:rFonts w:eastAsia="SimSun"/>
          <w:lang w:eastAsia="zh-CN"/>
        </w:rPr>
        <w:t>4.6</w:t>
      </w:r>
      <w:r w:rsidRPr="00E1105D">
        <w:rPr>
          <w:rFonts w:eastAsia="SimSun"/>
          <w:lang w:eastAsia="zh-CN"/>
        </w:rPr>
        <w:tab/>
        <w:t>It further notes that</w:t>
      </w:r>
      <w:r w:rsidR="00010257" w:rsidRPr="00E1105D">
        <w:rPr>
          <w:rFonts w:eastAsia="SimSun"/>
          <w:lang w:eastAsia="zh-CN"/>
        </w:rPr>
        <w:t>,</w:t>
      </w:r>
      <w:r w:rsidRPr="00E1105D">
        <w:rPr>
          <w:rFonts w:eastAsia="SimSun"/>
          <w:lang w:eastAsia="zh-CN"/>
        </w:rPr>
        <w:t xml:space="preserve"> u</w:t>
      </w:r>
      <w:r w:rsidRPr="00E1105D">
        <w:rPr>
          <w:bCs/>
        </w:rPr>
        <w:t>nder</w:t>
      </w:r>
      <w:r w:rsidRPr="00E1105D">
        <w:t xml:space="preserve"> article 3 of the Convention, States parties are prohibited from expelling, returning or extraditing a person to another State where there </w:t>
      </w:r>
      <w:r w:rsidR="00010257" w:rsidRPr="00E1105D">
        <w:t>are</w:t>
      </w:r>
      <w:r w:rsidRPr="00E1105D">
        <w:t xml:space="preserve"> substantial grounds for believing that he or she would be </w:t>
      </w:r>
      <w:r w:rsidR="00010257" w:rsidRPr="00E1105D">
        <w:t xml:space="preserve">in danger of being </w:t>
      </w:r>
      <w:r w:rsidRPr="00E1105D">
        <w:t xml:space="preserve">subjected to torture. </w:t>
      </w:r>
      <w:r w:rsidRPr="00E1105D">
        <w:rPr>
          <w:bCs/>
        </w:rPr>
        <w:t>W</w:t>
      </w:r>
      <w:r w:rsidRPr="00E1105D">
        <w:t>ith reference to the Committee’s general comment No. 1</w:t>
      </w:r>
      <w:r w:rsidR="00010257" w:rsidRPr="00E1105D">
        <w:t xml:space="preserve"> (1996) on the implementation of article 3</w:t>
      </w:r>
      <w:r w:rsidRPr="00E1105D">
        <w:t xml:space="preserve">, the State party adds that the </w:t>
      </w:r>
      <w:r w:rsidR="00E576D8">
        <w:t>complainants</w:t>
      </w:r>
      <w:r w:rsidRPr="00E1105D">
        <w:t xml:space="preserve"> must establish the existence of a personal, present and real risk </w:t>
      </w:r>
      <w:r w:rsidR="00010257" w:rsidRPr="00E1105D">
        <w:t xml:space="preserve">of </w:t>
      </w:r>
      <w:r w:rsidRPr="00E1105D">
        <w:t>be</w:t>
      </w:r>
      <w:r w:rsidR="00010257" w:rsidRPr="00E1105D">
        <w:t>ing</w:t>
      </w:r>
      <w:r w:rsidRPr="00E1105D">
        <w:t xml:space="preserve"> subjected to torture upon return to the country of origin. The existence of such a risk must be assessed on grounds that go beyond mere theory or suspicion. Additional grounds must exist for the risk of torture to qualify as real.</w:t>
      </w:r>
      <w:r w:rsidR="00152B44" w:rsidRPr="00E1105D">
        <w:rPr>
          <w:rStyle w:val="FootnoteReference"/>
          <w:sz w:val="20"/>
        </w:rPr>
        <w:footnoteReference w:id="11"/>
      </w:r>
      <w:r w:rsidRPr="00E1105D">
        <w:t xml:space="preserve"> The following elements must be taken into account to assess the existence of such a risk: evidence of a consistent pattern of gross, flagrant or mass violations of human rights in the country of origin; allegations of torture or ill-treatment sustained by the</w:t>
      </w:r>
      <w:r w:rsidR="00B64D68" w:rsidRPr="00E1105D">
        <w:t xml:space="preserve"> author in the recent past and independent evidence thereof; political activity of the author within or outside the country of origin; evidence as to the credibility of the author; and factual inconsistencies in the claim of the author.</w:t>
      </w:r>
      <w:r w:rsidR="00B64D68" w:rsidRPr="00E1105D">
        <w:rPr>
          <w:vertAlign w:val="superscript"/>
        </w:rPr>
        <w:footnoteReference w:id="12"/>
      </w:r>
    </w:p>
    <w:p w:rsidR="00B64D68" w:rsidRPr="00E1105D" w:rsidRDefault="00B64D68" w:rsidP="00A27CE2">
      <w:pPr>
        <w:pStyle w:val="SingleTxtG"/>
        <w:spacing w:line="240" w:lineRule="auto"/>
        <w:rPr>
          <w:rFonts w:eastAsia="SimSun"/>
          <w:lang w:eastAsia="zh-CN"/>
        </w:rPr>
      </w:pPr>
      <w:r w:rsidRPr="00E1105D">
        <w:rPr>
          <w:rFonts w:eastAsia="SimSun"/>
          <w:lang w:eastAsia="zh-CN"/>
        </w:rPr>
        <w:t>4.7</w:t>
      </w:r>
      <w:r w:rsidRPr="00E1105D">
        <w:rPr>
          <w:rFonts w:eastAsia="SimSun"/>
          <w:lang w:eastAsia="zh-CN"/>
        </w:rPr>
        <w:tab/>
        <w:t>The State party refer</w:t>
      </w:r>
      <w:r w:rsidR="00BF7505" w:rsidRPr="00E1105D">
        <w:rPr>
          <w:rFonts w:eastAsia="SimSun"/>
          <w:lang w:eastAsia="zh-CN"/>
        </w:rPr>
        <w:t>s</w:t>
      </w:r>
      <w:r w:rsidRPr="00E1105D">
        <w:rPr>
          <w:rFonts w:eastAsia="SimSun"/>
          <w:lang w:eastAsia="zh-CN"/>
        </w:rPr>
        <w:t xml:space="preserve"> to the jurisprudence of the European Court of Human Rights, which also refers to </w:t>
      </w:r>
      <w:r w:rsidR="00BF7505" w:rsidRPr="00E1105D">
        <w:rPr>
          <w:rFonts w:eastAsia="SimSun"/>
          <w:lang w:eastAsia="zh-CN"/>
        </w:rPr>
        <w:t>the</w:t>
      </w:r>
      <w:r w:rsidRPr="00E1105D">
        <w:rPr>
          <w:rFonts w:eastAsia="SimSun"/>
          <w:lang w:eastAsia="zh-CN"/>
        </w:rPr>
        <w:t xml:space="preserve"> personal nature of risk necessary to trigger protection under the European Convention o</w:t>
      </w:r>
      <w:r w:rsidR="00A27CE2">
        <w:rPr>
          <w:rFonts w:eastAsia="SimSun"/>
          <w:lang w:eastAsia="zh-CN"/>
        </w:rPr>
        <w:t>n</w:t>
      </w:r>
      <w:r w:rsidRPr="00E1105D">
        <w:rPr>
          <w:rFonts w:eastAsia="SimSun"/>
          <w:lang w:eastAsia="zh-CN"/>
        </w:rPr>
        <w:t xml:space="preserve"> Human Rights</w:t>
      </w:r>
      <w:r w:rsidR="003F4AB9" w:rsidRPr="00E1105D">
        <w:rPr>
          <w:rFonts w:eastAsia="SimSun"/>
          <w:lang w:eastAsia="zh-CN"/>
        </w:rPr>
        <w:t>.</w:t>
      </w:r>
      <w:r w:rsidRPr="00E1105D">
        <w:rPr>
          <w:rFonts w:eastAsia="SimSun"/>
          <w:vertAlign w:val="superscript"/>
          <w:lang w:eastAsia="zh-CN"/>
        </w:rPr>
        <w:footnoteReference w:id="13"/>
      </w:r>
      <w:r w:rsidRPr="00E1105D">
        <w:rPr>
          <w:rFonts w:eastAsia="SimSun"/>
          <w:lang w:eastAsia="zh-CN"/>
        </w:rPr>
        <w:t xml:space="preserve"> </w:t>
      </w:r>
      <w:r w:rsidR="00BF7505" w:rsidRPr="00E1105D">
        <w:rPr>
          <w:rFonts w:eastAsia="SimSun"/>
          <w:lang w:eastAsia="zh-CN"/>
        </w:rPr>
        <w:t>The State party</w:t>
      </w:r>
      <w:r w:rsidRPr="00E1105D">
        <w:rPr>
          <w:rFonts w:eastAsia="SimSun"/>
          <w:lang w:eastAsia="zh-CN"/>
        </w:rPr>
        <w:t xml:space="preserve"> submits that there is no indication in th</w:t>
      </w:r>
      <w:r w:rsidR="00BF7505" w:rsidRPr="00E1105D">
        <w:rPr>
          <w:rFonts w:eastAsia="SimSun"/>
          <w:lang w:eastAsia="zh-CN"/>
        </w:rPr>
        <w:t>e present</w:t>
      </w:r>
      <w:r w:rsidRPr="00E1105D">
        <w:rPr>
          <w:rFonts w:eastAsia="SimSun"/>
          <w:lang w:eastAsia="zh-CN"/>
        </w:rPr>
        <w:t xml:space="preserve"> case that the complainants are currently wanted by the Iranian authorities. </w:t>
      </w:r>
    </w:p>
    <w:p w:rsidR="00B64D68" w:rsidRPr="00E1105D" w:rsidRDefault="00B64D68" w:rsidP="00E1105D">
      <w:pPr>
        <w:pStyle w:val="SingleTxtG"/>
        <w:spacing w:line="240" w:lineRule="auto"/>
        <w:rPr>
          <w:rFonts w:eastAsia="SimSun"/>
          <w:lang w:eastAsia="zh-CN"/>
        </w:rPr>
      </w:pPr>
      <w:r w:rsidRPr="00E1105D">
        <w:rPr>
          <w:rFonts w:eastAsia="SimSun"/>
          <w:lang w:eastAsia="zh-CN"/>
        </w:rPr>
        <w:t>4.8</w:t>
      </w:r>
      <w:r w:rsidRPr="00E1105D">
        <w:rPr>
          <w:rFonts w:eastAsia="SimSun"/>
          <w:lang w:eastAsia="zh-CN"/>
        </w:rPr>
        <w:tab/>
        <w:t xml:space="preserve">As to the statements from </w:t>
      </w:r>
      <w:r w:rsidR="00376EAB" w:rsidRPr="00E1105D">
        <w:rPr>
          <w:rFonts w:eastAsia="SimSun"/>
          <w:lang w:eastAsia="zh-CN"/>
        </w:rPr>
        <w:t xml:space="preserve">the </w:t>
      </w:r>
      <w:r w:rsidRPr="00E1105D">
        <w:rPr>
          <w:rFonts w:eastAsia="SimSun"/>
          <w:lang w:eastAsia="zh-CN"/>
        </w:rPr>
        <w:t xml:space="preserve">two psychiatrists and </w:t>
      </w:r>
      <w:r w:rsidR="00601869" w:rsidRPr="00E1105D">
        <w:rPr>
          <w:rFonts w:eastAsia="SimSun"/>
          <w:lang w:eastAsia="zh-CN"/>
        </w:rPr>
        <w:t>the</w:t>
      </w:r>
      <w:r w:rsidRPr="00E1105D">
        <w:rPr>
          <w:rFonts w:eastAsia="SimSun"/>
          <w:lang w:eastAsia="zh-CN"/>
        </w:rPr>
        <w:t xml:space="preserve"> physiotherapist who treated Mr. X, the State party recalls that the statements were not made available to the </w:t>
      </w:r>
      <w:smartTag w:uri="urn:schemas-microsoft-com:office:smarttags" w:element="Street">
        <w:smartTag w:uri="urn:schemas-microsoft-com:office:smarttags" w:element="address">
          <w:r w:rsidRPr="00E1105D">
            <w:rPr>
              <w:rFonts w:eastAsia="SimSun"/>
              <w:lang w:eastAsia="zh-CN"/>
            </w:rPr>
            <w:t>Supreme Administrative Court</w:t>
          </w:r>
        </w:smartTag>
      </w:smartTag>
      <w:r w:rsidRPr="00E1105D">
        <w:rPr>
          <w:rFonts w:eastAsia="SimSun"/>
          <w:lang w:eastAsia="zh-CN"/>
        </w:rPr>
        <w:t xml:space="preserve">. Mr. X provided the court with one medical statement </w:t>
      </w:r>
      <w:r w:rsidR="00376EAB" w:rsidRPr="00E1105D">
        <w:rPr>
          <w:rFonts w:eastAsia="SimSun"/>
          <w:lang w:eastAsia="zh-CN"/>
        </w:rPr>
        <w:t xml:space="preserve">only, </w:t>
      </w:r>
      <w:r w:rsidRPr="00E1105D">
        <w:rPr>
          <w:rFonts w:eastAsia="SimSun"/>
          <w:lang w:eastAsia="zh-CN"/>
        </w:rPr>
        <w:t>dated 8</w:t>
      </w:r>
      <w:r w:rsidR="003B119C" w:rsidRPr="00E1105D">
        <w:rPr>
          <w:rFonts w:eastAsia="SimSun"/>
          <w:lang w:eastAsia="zh-CN"/>
        </w:rPr>
        <w:t> </w:t>
      </w:r>
      <w:r w:rsidRPr="00E1105D">
        <w:rPr>
          <w:rFonts w:eastAsia="SimSun"/>
          <w:lang w:eastAsia="zh-CN"/>
        </w:rPr>
        <w:t>December 2008. According to th</w:t>
      </w:r>
      <w:r w:rsidR="00601869" w:rsidRPr="00E1105D">
        <w:rPr>
          <w:rFonts w:eastAsia="SimSun"/>
          <w:lang w:eastAsia="zh-CN"/>
        </w:rPr>
        <w:t>at</w:t>
      </w:r>
      <w:r w:rsidRPr="00E1105D">
        <w:rPr>
          <w:rFonts w:eastAsia="SimSun"/>
          <w:lang w:eastAsia="zh-CN"/>
        </w:rPr>
        <w:t xml:space="preserve"> statement, </w:t>
      </w:r>
      <w:r w:rsidR="00376EAB" w:rsidRPr="00E1105D">
        <w:rPr>
          <w:rFonts w:eastAsia="SimSun"/>
          <w:lang w:eastAsia="zh-CN"/>
        </w:rPr>
        <w:t xml:space="preserve">the cause of his injuries </w:t>
      </w:r>
      <w:r w:rsidRPr="00E1105D">
        <w:rPr>
          <w:rFonts w:eastAsia="SimSun"/>
          <w:lang w:eastAsia="zh-CN"/>
        </w:rPr>
        <w:t xml:space="preserve">cannot be definitively determined, and, in any event, the new medical statements do not add any new </w:t>
      </w:r>
      <w:r w:rsidR="00601869" w:rsidRPr="00E1105D">
        <w:rPr>
          <w:rFonts w:eastAsia="SimSun"/>
          <w:lang w:eastAsia="zh-CN"/>
        </w:rPr>
        <w:t>or</w:t>
      </w:r>
      <w:r w:rsidRPr="00E1105D">
        <w:rPr>
          <w:rFonts w:eastAsia="SimSun"/>
          <w:lang w:eastAsia="zh-CN"/>
        </w:rPr>
        <w:t xml:space="preserve"> significant evidence warranting a different assessment of the case. </w:t>
      </w:r>
    </w:p>
    <w:p w:rsidR="00B64D68" w:rsidRPr="00E1105D" w:rsidRDefault="00B64D68" w:rsidP="005A0390">
      <w:pPr>
        <w:pStyle w:val="H23G"/>
        <w:spacing w:line="240" w:lineRule="auto"/>
      </w:pPr>
      <w:r w:rsidRPr="00E1105D">
        <w:rPr>
          <w:rFonts w:eastAsia="SimSun"/>
          <w:lang w:eastAsia="zh-CN"/>
        </w:rPr>
        <w:lastRenderedPageBreak/>
        <w:tab/>
      </w:r>
      <w:r w:rsidRPr="00E1105D">
        <w:rPr>
          <w:rFonts w:eastAsia="SimSun"/>
          <w:lang w:eastAsia="zh-CN"/>
        </w:rPr>
        <w:tab/>
      </w:r>
      <w:r w:rsidR="005A0390">
        <w:t>C</w:t>
      </w:r>
      <w:r w:rsidRPr="00E1105D">
        <w:t>omplainants’ comments on the State party’s observations</w:t>
      </w:r>
    </w:p>
    <w:p w:rsidR="00B64D68" w:rsidRPr="00E1105D" w:rsidRDefault="00B64D68" w:rsidP="00E1105D">
      <w:pPr>
        <w:pStyle w:val="SingleTxtG"/>
        <w:spacing w:line="240" w:lineRule="auto"/>
        <w:rPr>
          <w:rFonts w:eastAsia="SimSun"/>
          <w:lang w:eastAsia="zh-CN"/>
        </w:rPr>
      </w:pPr>
      <w:r w:rsidRPr="00E1105D">
        <w:rPr>
          <w:rFonts w:eastAsia="SimSun"/>
          <w:lang w:eastAsia="zh-CN"/>
        </w:rPr>
        <w:t>5.1</w:t>
      </w:r>
      <w:r w:rsidRPr="00E1105D">
        <w:rPr>
          <w:rFonts w:eastAsia="SimSun"/>
          <w:lang w:eastAsia="zh-CN"/>
        </w:rPr>
        <w:tab/>
        <w:t>On 21 August 2012, in their comments on the State party’s observations, the complainants submit</w:t>
      </w:r>
      <w:r w:rsidR="00A27CE2">
        <w:rPr>
          <w:rFonts w:eastAsia="SimSun"/>
          <w:lang w:eastAsia="zh-CN"/>
        </w:rPr>
        <w:t>ted</w:t>
      </w:r>
      <w:r w:rsidRPr="00E1105D">
        <w:rPr>
          <w:rFonts w:eastAsia="SimSun"/>
          <w:lang w:eastAsia="zh-CN"/>
        </w:rPr>
        <w:t xml:space="preserve"> that there are no contradictions </w:t>
      </w:r>
      <w:r w:rsidR="00601869" w:rsidRPr="00E1105D">
        <w:rPr>
          <w:rFonts w:eastAsia="SimSun"/>
          <w:lang w:eastAsia="zh-CN"/>
        </w:rPr>
        <w:t>between</w:t>
      </w:r>
      <w:r w:rsidRPr="00E1105D">
        <w:rPr>
          <w:rFonts w:eastAsia="SimSun"/>
          <w:lang w:eastAsia="zh-CN"/>
        </w:rPr>
        <w:t xml:space="preserve"> the statements from the medical doctors and those of the complainants themselves. They </w:t>
      </w:r>
      <w:r w:rsidR="00601869" w:rsidRPr="00E1105D">
        <w:rPr>
          <w:rFonts w:eastAsia="SimSun"/>
          <w:lang w:eastAsia="zh-CN"/>
        </w:rPr>
        <w:t>also</w:t>
      </w:r>
      <w:r w:rsidRPr="00E1105D">
        <w:rPr>
          <w:rFonts w:eastAsia="SimSun"/>
          <w:lang w:eastAsia="zh-CN"/>
        </w:rPr>
        <w:t xml:space="preserve"> claim that they both made </w:t>
      </w:r>
      <w:r w:rsidR="00601869" w:rsidRPr="00E1105D">
        <w:rPr>
          <w:rFonts w:eastAsia="SimSun"/>
          <w:lang w:eastAsia="zh-CN"/>
        </w:rPr>
        <w:t>every</w:t>
      </w:r>
      <w:r w:rsidRPr="00E1105D">
        <w:rPr>
          <w:rFonts w:eastAsia="SimSun"/>
          <w:lang w:eastAsia="zh-CN"/>
        </w:rPr>
        <w:t xml:space="preserve"> effort to provide and clarify all </w:t>
      </w:r>
      <w:r w:rsidR="00376EAB" w:rsidRPr="00E1105D">
        <w:rPr>
          <w:rFonts w:eastAsia="SimSun"/>
          <w:lang w:eastAsia="zh-CN"/>
        </w:rPr>
        <w:t xml:space="preserve">the </w:t>
      </w:r>
      <w:r w:rsidRPr="00E1105D">
        <w:rPr>
          <w:rFonts w:eastAsia="SimSun"/>
          <w:lang w:eastAsia="zh-CN"/>
        </w:rPr>
        <w:t xml:space="preserve">necessary evidence to corroborate their </w:t>
      </w:r>
      <w:r w:rsidR="00601869" w:rsidRPr="00E1105D">
        <w:rPr>
          <w:rFonts w:eastAsia="SimSun"/>
          <w:lang w:eastAsia="zh-CN"/>
        </w:rPr>
        <w:t>account</w:t>
      </w:r>
      <w:r w:rsidR="00A27CE2">
        <w:rPr>
          <w:rFonts w:eastAsia="SimSun"/>
          <w:lang w:eastAsia="zh-CN"/>
        </w:rPr>
        <w:t>s</w:t>
      </w:r>
      <w:r w:rsidRPr="00E1105D">
        <w:rPr>
          <w:rFonts w:eastAsia="SimSun"/>
          <w:lang w:eastAsia="zh-CN"/>
        </w:rPr>
        <w:t xml:space="preserve">. </w:t>
      </w:r>
    </w:p>
    <w:p w:rsidR="00B64D68" w:rsidRPr="00E1105D" w:rsidRDefault="00B64D68" w:rsidP="000E3A66">
      <w:pPr>
        <w:pStyle w:val="SingleTxtG"/>
        <w:spacing w:line="240" w:lineRule="auto"/>
        <w:rPr>
          <w:rFonts w:eastAsia="SimSun"/>
          <w:lang w:eastAsia="zh-CN"/>
        </w:rPr>
      </w:pPr>
      <w:r w:rsidRPr="00E1105D">
        <w:rPr>
          <w:rFonts w:eastAsia="SimSun"/>
          <w:lang w:eastAsia="zh-CN"/>
        </w:rPr>
        <w:t>5.2</w:t>
      </w:r>
      <w:r w:rsidRPr="00E1105D">
        <w:rPr>
          <w:rFonts w:eastAsia="SimSun"/>
          <w:lang w:eastAsia="zh-CN"/>
        </w:rPr>
        <w:tab/>
        <w:t xml:space="preserve">The complainants agree that they cannot be regarded as high-profile members of the Komala party. </w:t>
      </w:r>
      <w:r w:rsidR="00601869" w:rsidRPr="00E1105D">
        <w:rPr>
          <w:rFonts w:eastAsia="SimSun"/>
          <w:lang w:eastAsia="zh-CN"/>
        </w:rPr>
        <w:t>However, t</w:t>
      </w:r>
      <w:r w:rsidRPr="00E1105D">
        <w:rPr>
          <w:rFonts w:eastAsia="SimSun"/>
          <w:lang w:eastAsia="zh-CN"/>
        </w:rPr>
        <w:t xml:space="preserve">hey refer to </w:t>
      </w:r>
      <w:r w:rsidR="008A4131" w:rsidRPr="00E1105D">
        <w:rPr>
          <w:rFonts w:eastAsia="SimSun"/>
          <w:lang w:eastAsia="zh-CN"/>
        </w:rPr>
        <w:t xml:space="preserve">the </w:t>
      </w:r>
      <w:r w:rsidR="00376EAB" w:rsidRPr="00E1105D">
        <w:rPr>
          <w:rFonts w:eastAsia="SimSun"/>
          <w:lang w:eastAsia="zh-CN"/>
        </w:rPr>
        <w:t>“</w:t>
      </w:r>
      <w:r w:rsidR="008A4131" w:rsidRPr="00E1105D">
        <w:rPr>
          <w:rFonts w:eastAsia="SimSun"/>
          <w:lang w:eastAsia="zh-CN"/>
        </w:rPr>
        <w:t xml:space="preserve">Operational </w:t>
      </w:r>
      <w:r w:rsidR="000E3A66">
        <w:rPr>
          <w:rFonts w:eastAsia="SimSun"/>
          <w:lang w:eastAsia="zh-CN"/>
        </w:rPr>
        <w:t>g</w:t>
      </w:r>
      <w:r w:rsidR="008A4131" w:rsidRPr="00E1105D">
        <w:rPr>
          <w:rFonts w:eastAsia="SimSun"/>
          <w:lang w:eastAsia="zh-CN"/>
        </w:rPr>
        <w:t xml:space="preserve">uidance </w:t>
      </w:r>
      <w:r w:rsidR="000E3A66">
        <w:rPr>
          <w:rFonts w:eastAsia="SimSun"/>
          <w:lang w:eastAsia="zh-CN"/>
        </w:rPr>
        <w:t>n</w:t>
      </w:r>
      <w:r w:rsidR="008A4131" w:rsidRPr="00E1105D">
        <w:rPr>
          <w:rFonts w:eastAsia="SimSun"/>
          <w:lang w:eastAsia="zh-CN"/>
        </w:rPr>
        <w:t>ote – Iran</w:t>
      </w:r>
      <w:r w:rsidR="00376EAB" w:rsidRPr="00E1105D">
        <w:rPr>
          <w:rFonts w:eastAsia="SimSun"/>
          <w:lang w:eastAsia="zh-CN"/>
        </w:rPr>
        <w:t>”</w:t>
      </w:r>
      <w:r w:rsidRPr="00E1105D">
        <w:rPr>
          <w:rFonts w:eastAsia="SimSun"/>
          <w:lang w:eastAsia="zh-CN"/>
        </w:rPr>
        <w:t xml:space="preserve"> publi</w:t>
      </w:r>
      <w:r w:rsidR="008A4131" w:rsidRPr="00E1105D">
        <w:rPr>
          <w:rFonts w:eastAsia="SimSun"/>
          <w:lang w:eastAsia="zh-CN"/>
        </w:rPr>
        <w:t>shed</w:t>
      </w:r>
      <w:r w:rsidRPr="00E1105D">
        <w:rPr>
          <w:rFonts w:eastAsia="SimSun"/>
          <w:lang w:eastAsia="zh-CN"/>
        </w:rPr>
        <w:t xml:space="preserve"> by the U</w:t>
      </w:r>
      <w:r w:rsidR="00601869" w:rsidRPr="00E1105D">
        <w:rPr>
          <w:rFonts w:eastAsia="SimSun"/>
          <w:lang w:eastAsia="zh-CN"/>
        </w:rPr>
        <w:t xml:space="preserve">nited </w:t>
      </w:r>
      <w:r w:rsidRPr="00E1105D">
        <w:rPr>
          <w:rFonts w:eastAsia="SimSun"/>
          <w:lang w:eastAsia="zh-CN"/>
        </w:rPr>
        <w:t>K</w:t>
      </w:r>
      <w:r w:rsidR="00601869" w:rsidRPr="00E1105D">
        <w:rPr>
          <w:rFonts w:eastAsia="SimSun"/>
          <w:lang w:eastAsia="zh-CN"/>
        </w:rPr>
        <w:t>ingdom</w:t>
      </w:r>
      <w:r w:rsidRPr="00E1105D">
        <w:rPr>
          <w:rFonts w:eastAsia="SimSun"/>
          <w:lang w:eastAsia="zh-CN"/>
        </w:rPr>
        <w:t xml:space="preserve"> Home Office, wh</w:t>
      </w:r>
      <w:r w:rsidR="00601869" w:rsidRPr="00E1105D">
        <w:rPr>
          <w:rFonts w:eastAsia="SimSun"/>
          <w:lang w:eastAsia="zh-CN"/>
        </w:rPr>
        <w:t>ich</w:t>
      </w:r>
      <w:r w:rsidRPr="00E1105D">
        <w:rPr>
          <w:rFonts w:eastAsia="SimSun"/>
          <w:lang w:eastAsia="zh-CN"/>
        </w:rPr>
        <w:t xml:space="preserve"> state</w:t>
      </w:r>
      <w:r w:rsidR="00601869" w:rsidRPr="00E1105D">
        <w:rPr>
          <w:rFonts w:eastAsia="SimSun"/>
          <w:lang w:eastAsia="zh-CN"/>
        </w:rPr>
        <w:t>s</w:t>
      </w:r>
      <w:r w:rsidRPr="00E1105D">
        <w:rPr>
          <w:rFonts w:eastAsia="SimSun"/>
          <w:lang w:eastAsia="zh-CN"/>
        </w:rPr>
        <w:t xml:space="preserve"> that “applicants who are able to demonstrate that they are members or supporters of </w:t>
      </w:r>
      <w:r w:rsidR="008A4131" w:rsidRPr="00E1105D">
        <w:rPr>
          <w:rFonts w:eastAsia="SimSun"/>
          <w:lang w:eastAsia="zh-CN"/>
        </w:rPr>
        <w:t xml:space="preserve">… </w:t>
      </w:r>
      <w:r w:rsidRPr="00E1105D">
        <w:rPr>
          <w:rFonts w:eastAsia="SimSun"/>
          <w:lang w:eastAsia="zh-CN"/>
        </w:rPr>
        <w:t>Komala</w:t>
      </w:r>
      <w:r w:rsidR="003F4AB9" w:rsidRPr="00E1105D">
        <w:rPr>
          <w:rFonts w:eastAsia="SimSun"/>
          <w:lang w:eastAsia="zh-CN"/>
        </w:rPr>
        <w:t xml:space="preserve"> </w:t>
      </w:r>
      <w:r w:rsidRPr="00E1105D">
        <w:rPr>
          <w:rFonts w:eastAsia="SimSun"/>
          <w:lang w:eastAsia="zh-CN"/>
        </w:rPr>
        <w:t>… and who are known to the authorities as such, will be at real risk of persecution”</w:t>
      </w:r>
      <w:r w:rsidR="003F4AB9" w:rsidRPr="00E1105D">
        <w:rPr>
          <w:rFonts w:eastAsia="SimSun"/>
          <w:lang w:eastAsia="zh-CN"/>
        </w:rPr>
        <w:t>.</w:t>
      </w:r>
      <w:r w:rsidR="008A4131" w:rsidRPr="00E1105D">
        <w:rPr>
          <w:rStyle w:val="FootnoteReference"/>
          <w:rFonts w:eastAsia="SimSun"/>
          <w:sz w:val="20"/>
          <w:lang w:eastAsia="zh-CN"/>
        </w:rPr>
        <w:footnoteReference w:id="14"/>
      </w:r>
    </w:p>
    <w:p w:rsidR="00B64D68" w:rsidRPr="00E1105D" w:rsidRDefault="00B64D68" w:rsidP="00E1105D">
      <w:pPr>
        <w:pStyle w:val="H23G"/>
        <w:spacing w:line="240" w:lineRule="auto"/>
      </w:pPr>
      <w:r w:rsidRPr="00E1105D">
        <w:rPr>
          <w:rFonts w:eastAsia="SimSun"/>
          <w:lang w:eastAsia="zh-CN"/>
        </w:rPr>
        <w:tab/>
      </w:r>
      <w:r w:rsidRPr="00E1105D">
        <w:rPr>
          <w:rFonts w:eastAsia="SimSun"/>
          <w:i/>
          <w:lang w:eastAsia="zh-CN"/>
        </w:rPr>
        <w:tab/>
      </w:r>
      <w:r w:rsidRPr="00E1105D">
        <w:t>Issues and proceedings before the Committee</w:t>
      </w:r>
    </w:p>
    <w:p w:rsidR="00B64D68" w:rsidRPr="00E1105D" w:rsidRDefault="00B64D68" w:rsidP="00E1105D">
      <w:pPr>
        <w:pStyle w:val="H4G"/>
        <w:spacing w:line="240" w:lineRule="auto"/>
      </w:pPr>
      <w:r w:rsidRPr="00E1105D">
        <w:tab/>
      </w:r>
      <w:r w:rsidRPr="00E1105D">
        <w:tab/>
        <w:t>Consideration of admissibility</w:t>
      </w:r>
    </w:p>
    <w:p w:rsidR="00B64D68" w:rsidRPr="00E1105D" w:rsidRDefault="00B64D68" w:rsidP="00E1105D">
      <w:pPr>
        <w:pStyle w:val="SingleTxtG"/>
        <w:spacing w:line="240" w:lineRule="auto"/>
      </w:pPr>
      <w:r w:rsidRPr="00E1105D">
        <w:t>6.1</w:t>
      </w:r>
      <w:r w:rsidRPr="00E1105D">
        <w:tab/>
        <w:t>Before considering a claim contained in a communication, the Committee must decide whether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w:t>
      </w:r>
    </w:p>
    <w:p w:rsidR="00712CEB" w:rsidRPr="00E1105D" w:rsidRDefault="00B64D68" w:rsidP="00E1105D">
      <w:pPr>
        <w:pStyle w:val="SingleTxtG"/>
        <w:spacing w:line="240" w:lineRule="auto"/>
      </w:pPr>
      <w:r w:rsidRPr="00E1105D">
        <w:t>6.2</w:t>
      </w:r>
      <w:r w:rsidRPr="00E1105D">
        <w:tab/>
        <w:t xml:space="preserve">The Committee recalls that, in accordance with article 22, paragraph 5 (b), of the Convention, it shall not consider any communication from an individual unless it has ascertained that the individual has exhausted all available domestic remedies. The Committee notes that in the </w:t>
      </w:r>
      <w:r w:rsidR="00D61903" w:rsidRPr="00E1105D">
        <w:t xml:space="preserve">present </w:t>
      </w:r>
      <w:r w:rsidRPr="00E1105D">
        <w:t>case</w:t>
      </w:r>
      <w:r w:rsidR="00D61903" w:rsidRPr="00E1105D">
        <w:t>,</w:t>
      </w:r>
      <w:r w:rsidRPr="00E1105D">
        <w:t xml:space="preserve"> the</w:t>
      </w:r>
      <w:r w:rsidR="00712CEB" w:rsidRPr="00E1105D">
        <w:t xml:space="preserve"> State party has recogni</w:t>
      </w:r>
      <w:r w:rsidR="00D61903" w:rsidRPr="00E1105D">
        <w:t>z</w:t>
      </w:r>
      <w:r w:rsidR="00712CEB" w:rsidRPr="00E1105D">
        <w:t>ed that the complainants have exhausted all available domestic remedies. Accordingly, the Committee finds no further obstacles to admissibility, it declares the communication admissible and proceeds with its examination on the merits.</w:t>
      </w:r>
    </w:p>
    <w:p w:rsidR="00712CEB" w:rsidRPr="00E1105D" w:rsidRDefault="00712CEB" w:rsidP="00E1105D">
      <w:pPr>
        <w:pStyle w:val="H4G"/>
        <w:spacing w:line="240" w:lineRule="auto"/>
      </w:pPr>
      <w:r w:rsidRPr="00E1105D">
        <w:tab/>
      </w:r>
      <w:r w:rsidRPr="00E1105D">
        <w:tab/>
        <w:t>Consideration of the merits</w:t>
      </w:r>
    </w:p>
    <w:p w:rsidR="00712CEB" w:rsidRPr="00E1105D" w:rsidRDefault="00712CEB" w:rsidP="00E1105D">
      <w:pPr>
        <w:pStyle w:val="SingleTxtG"/>
        <w:spacing w:line="240" w:lineRule="auto"/>
      </w:pPr>
      <w:r w:rsidRPr="00E1105D">
        <w:t>7</w:t>
      </w:r>
      <w:r w:rsidRPr="00E1105D">
        <w:rPr>
          <w:lang w:val="en-US"/>
        </w:rPr>
        <w:t>.1</w:t>
      </w:r>
      <w:r w:rsidRPr="00E1105D">
        <w:rPr>
          <w:lang w:val="en-US"/>
        </w:rPr>
        <w:tab/>
      </w:r>
      <w:r w:rsidRPr="00E1105D">
        <w:t xml:space="preserve">In accordance with article 22, paragraph 4, of the Convention, the Committee has considered the present communication in the light of all </w:t>
      </w:r>
      <w:r w:rsidR="00D61903" w:rsidRPr="00E1105D">
        <w:t xml:space="preserve">the </w:t>
      </w:r>
      <w:r w:rsidRPr="00E1105D">
        <w:t>information made available to it by the parties concerned.</w:t>
      </w:r>
    </w:p>
    <w:p w:rsidR="00712CEB" w:rsidRPr="00E1105D" w:rsidRDefault="00712CEB" w:rsidP="00E576D8">
      <w:pPr>
        <w:pStyle w:val="SingleTxtG"/>
        <w:spacing w:line="240" w:lineRule="auto"/>
        <w:rPr>
          <w:lang w:val="en-US"/>
        </w:rPr>
      </w:pPr>
      <w:r w:rsidRPr="00E1105D">
        <w:rPr>
          <w:lang w:val="en-US"/>
        </w:rPr>
        <w:t>7.2</w:t>
      </w:r>
      <w:r w:rsidRPr="00E1105D">
        <w:rPr>
          <w:lang w:val="en-US"/>
        </w:rPr>
        <w:tab/>
        <w:t xml:space="preserve">The issue before the Committee is whether the removal of the complainants to </w:t>
      </w:r>
      <w:r w:rsidR="00606DF0" w:rsidRPr="00E1105D">
        <w:rPr>
          <w:rFonts w:eastAsia="SimSun"/>
          <w:lang w:eastAsia="zh-CN"/>
        </w:rPr>
        <w:t>the Islamic Republic of</w:t>
      </w:r>
      <w:r w:rsidR="00606DF0" w:rsidRPr="00E1105D">
        <w:rPr>
          <w:lang w:val="en-US"/>
        </w:rPr>
        <w:t xml:space="preserve"> </w:t>
      </w:r>
      <w:r w:rsidRPr="00E1105D">
        <w:rPr>
          <w:lang w:val="en-US"/>
        </w:rPr>
        <w:t xml:space="preserve">Iran would violate the State party’s obligation under article 3 of the Convention not to expel or return </w:t>
      </w:r>
      <w:r w:rsidRPr="00E1105D">
        <w:t>(</w:t>
      </w:r>
      <w:r w:rsidRPr="00E1105D">
        <w:rPr>
          <w:i/>
          <w:iCs/>
        </w:rPr>
        <w:t>refouler</w:t>
      </w:r>
      <w:r w:rsidRPr="00E1105D">
        <w:t xml:space="preserve">) </w:t>
      </w:r>
      <w:r w:rsidRPr="00E1105D">
        <w:rPr>
          <w:lang w:val="en-US"/>
        </w:rPr>
        <w:t xml:space="preserve">a person to another State where there are substantial grounds for believing that he or she would be in danger of being subjected to torture. The Committee must evaluate whether there are substantial grounds for believing that the complainants would be personally in danger of being subjected to torture upon return to </w:t>
      </w:r>
      <w:r w:rsidR="00606DF0" w:rsidRPr="00E1105D">
        <w:rPr>
          <w:rFonts w:eastAsia="SimSun"/>
          <w:lang w:eastAsia="zh-CN"/>
        </w:rPr>
        <w:t>the Islamic Republic of</w:t>
      </w:r>
      <w:r w:rsidR="00606DF0" w:rsidRPr="00E1105D">
        <w:rPr>
          <w:lang w:val="en-US"/>
        </w:rPr>
        <w:t xml:space="preserve"> </w:t>
      </w:r>
      <w:r w:rsidRPr="00E1105D">
        <w:rPr>
          <w:lang w:val="en-US"/>
        </w:rPr>
        <w:t>Iran. In assessing th</w:t>
      </w:r>
      <w:r w:rsidR="00D61903" w:rsidRPr="00E1105D">
        <w:rPr>
          <w:lang w:val="en-US"/>
        </w:rPr>
        <w:t>at</w:t>
      </w:r>
      <w:r w:rsidRPr="00E1105D">
        <w:rPr>
          <w:lang w:val="en-US"/>
        </w:rPr>
        <w:t xml:space="preserve"> risk, the Committee must take into account all relevant considerations, pursuant to article 3, paragraph 2, of the Convention, including the existence of a consistent pattern of gross, flagrant or mass violations of human rights. </w:t>
      </w:r>
      <w:r w:rsidR="00E5053A" w:rsidRPr="00E1105D">
        <w:t xml:space="preserve">However, the existence of a pattern of gross, flagrant or mass violations of human rights in a country does not </w:t>
      </w:r>
      <w:r w:rsidR="00E576D8">
        <w:t>of itself</w:t>
      </w:r>
      <w:r w:rsidR="00E5053A" w:rsidRPr="00E1105D">
        <w:t xml:space="preserve"> constitute sufficient reason for determining that a particular person would be in danger of being subjected to torture on return to that country</w:t>
      </w:r>
      <w:r w:rsidR="00E15122" w:rsidRPr="00E1105D">
        <w:t>.</w:t>
      </w:r>
      <w:r w:rsidR="00E5053A" w:rsidRPr="00E1105D">
        <w:rPr>
          <w:lang w:val="en-US"/>
        </w:rPr>
        <w:t xml:space="preserve"> </w:t>
      </w:r>
      <w:r w:rsidR="00E15122" w:rsidRPr="00E1105D">
        <w:rPr>
          <w:lang w:val="en-US"/>
        </w:rPr>
        <w:t>T</w:t>
      </w:r>
      <w:r w:rsidRPr="00E1105D">
        <w:rPr>
          <w:lang w:val="en-US"/>
        </w:rPr>
        <w:t xml:space="preserve">he aim of such </w:t>
      </w:r>
      <w:r w:rsidR="00D61903" w:rsidRPr="00E1105D">
        <w:rPr>
          <w:lang w:val="en-US"/>
        </w:rPr>
        <w:t xml:space="preserve">a </w:t>
      </w:r>
      <w:r w:rsidRPr="00E1105D">
        <w:rPr>
          <w:lang w:val="en-US"/>
        </w:rPr>
        <w:t xml:space="preserve">determination is to establish whether the individual concerned would be personally at a foreseeable and real risk of being subjected to torture in the country to which he or she would return. </w:t>
      </w:r>
    </w:p>
    <w:p w:rsidR="00BE289B" w:rsidRPr="00E1105D" w:rsidRDefault="00BE289B" w:rsidP="00D92CA9">
      <w:pPr>
        <w:pStyle w:val="SingleTxtG"/>
        <w:spacing w:line="240" w:lineRule="auto"/>
        <w:rPr>
          <w:lang w:val="en-US"/>
        </w:rPr>
      </w:pPr>
      <w:r w:rsidRPr="00E1105D">
        <w:lastRenderedPageBreak/>
        <w:t>7.</w:t>
      </w:r>
      <w:r w:rsidR="008E0F9D" w:rsidRPr="00E1105D">
        <w:t>3</w:t>
      </w:r>
      <w:r w:rsidRPr="00E1105D">
        <w:tab/>
      </w:r>
      <w:r w:rsidR="00AE0680" w:rsidRPr="00E1105D">
        <w:t>T</w:t>
      </w:r>
      <w:r w:rsidRPr="00E1105D">
        <w:t>he Committee notes that the State party itself has recognized that the human rights situation in the Islamic Republic of Iran constitutes a matter of concern and that prominent political opponents of the regime are at risk of torture there. The Committee recalls its own findings regarding the extremely worrisome human rights situation in the Islamic Republic of Iran, particularly for individuals of Kurdish ethnicity</w:t>
      </w:r>
      <w:r w:rsidR="00D61903" w:rsidRPr="00E1105D">
        <w:t>,</w:t>
      </w:r>
      <w:r w:rsidRPr="00E1105D">
        <w:t xml:space="preserve"> since the elections held in the country in June 2009.</w:t>
      </w:r>
      <w:r w:rsidRPr="00E1105D">
        <w:rPr>
          <w:vertAlign w:val="superscript"/>
        </w:rPr>
        <w:footnoteReference w:id="15"/>
      </w:r>
      <w:r w:rsidRPr="00E1105D">
        <w:rPr>
          <w:lang w:eastAsia="en-GB"/>
        </w:rPr>
        <w:t xml:space="preserve"> In th</w:t>
      </w:r>
      <w:r w:rsidR="00D61903" w:rsidRPr="00E1105D">
        <w:rPr>
          <w:lang w:eastAsia="en-GB"/>
        </w:rPr>
        <w:t>at</w:t>
      </w:r>
      <w:r w:rsidRPr="00E1105D">
        <w:rPr>
          <w:lang w:eastAsia="en-GB"/>
        </w:rPr>
        <w:t xml:space="preserve"> regard, the Committee takes into consideration the </w:t>
      </w:r>
      <w:r w:rsidR="00D14C37" w:rsidRPr="00E1105D">
        <w:rPr>
          <w:lang w:eastAsia="en-GB"/>
        </w:rPr>
        <w:t>2014</w:t>
      </w:r>
      <w:r w:rsidRPr="00E1105D">
        <w:rPr>
          <w:lang w:eastAsia="en-GB"/>
        </w:rPr>
        <w:t xml:space="preserve"> </w:t>
      </w:r>
      <w:r w:rsidR="00D14C37" w:rsidRPr="00E1105D">
        <w:rPr>
          <w:color w:val="000000"/>
        </w:rPr>
        <w:t>r</w:t>
      </w:r>
      <w:r w:rsidRPr="00E1105D">
        <w:rPr>
          <w:color w:val="000000"/>
        </w:rPr>
        <w:t xml:space="preserve">eport of the </w:t>
      </w:r>
      <w:r w:rsidRPr="00E1105D">
        <w:rPr>
          <w:bCs/>
          <w:color w:val="000000"/>
        </w:rPr>
        <w:t xml:space="preserve">Special Rapporteur on the situation of human rights in the Islamic Republic of Iran </w:t>
      </w:r>
      <w:r w:rsidR="00D14C37" w:rsidRPr="00E1105D">
        <w:t xml:space="preserve">(A/HRC/25/61), </w:t>
      </w:r>
      <w:r w:rsidRPr="00E1105D">
        <w:rPr>
          <w:bCs/>
          <w:color w:val="000000"/>
        </w:rPr>
        <w:t xml:space="preserve">which cites </w:t>
      </w:r>
      <w:r w:rsidR="00D92CA9">
        <w:rPr>
          <w:bCs/>
          <w:color w:val="000000"/>
        </w:rPr>
        <w:t xml:space="preserve">the </w:t>
      </w:r>
      <w:r w:rsidRPr="00E1105D">
        <w:rPr>
          <w:bCs/>
          <w:color w:val="000000"/>
        </w:rPr>
        <w:t>persecution, imprisonment and execution of members of the Kurdish minority “in the absence of fair trial standards”</w:t>
      </w:r>
      <w:r w:rsidR="00D14C37" w:rsidRPr="00E1105D">
        <w:rPr>
          <w:bCs/>
          <w:color w:val="000000"/>
        </w:rPr>
        <w:t xml:space="preserve"> (</w:t>
      </w:r>
      <w:r w:rsidR="00D14C37" w:rsidRPr="00E1105D">
        <w:t xml:space="preserve">paras. </w:t>
      </w:r>
      <w:r w:rsidR="00511C50" w:rsidRPr="00E1105D">
        <w:t xml:space="preserve">45, </w:t>
      </w:r>
      <w:r w:rsidR="00D14C37" w:rsidRPr="00E1105D">
        <w:t>47, 51, 82 and 83)</w:t>
      </w:r>
      <w:r w:rsidR="00D61903" w:rsidRPr="00E1105D">
        <w:rPr>
          <w:bCs/>
          <w:color w:val="000000"/>
        </w:rPr>
        <w:t>.</w:t>
      </w:r>
      <w:r w:rsidRPr="00E1105D">
        <w:rPr>
          <w:bCs/>
          <w:color w:val="000000"/>
        </w:rPr>
        <w:t xml:space="preserve"> </w:t>
      </w:r>
      <w:r w:rsidR="000011A6" w:rsidRPr="00E1105D">
        <w:rPr>
          <w:bCs/>
          <w:color w:val="000000"/>
        </w:rPr>
        <w:t xml:space="preserve">The Committee </w:t>
      </w:r>
      <w:r w:rsidR="00511C50" w:rsidRPr="00E1105D">
        <w:rPr>
          <w:bCs/>
          <w:color w:val="000000"/>
        </w:rPr>
        <w:t>also</w:t>
      </w:r>
      <w:r w:rsidR="000011A6" w:rsidRPr="00E1105D">
        <w:rPr>
          <w:bCs/>
          <w:color w:val="000000"/>
        </w:rPr>
        <w:t xml:space="preserve"> notes the </w:t>
      </w:r>
      <w:r w:rsidR="00511C50" w:rsidRPr="00E1105D">
        <w:rPr>
          <w:bCs/>
          <w:color w:val="000000"/>
        </w:rPr>
        <w:t>2014 r</w:t>
      </w:r>
      <w:r w:rsidR="00511C50" w:rsidRPr="00E1105D">
        <w:t>eport of the Secretary-General on the situation of human rights in the Islamic Republic of Iran</w:t>
      </w:r>
      <w:r w:rsidR="00511C50" w:rsidRPr="00E1105D">
        <w:rPr>
          <w:bCs/>
          <w:color w:val="000000"/>
        </w:rPr>
        <w:t xml:space="preserve"> </w:t>
      </w:r>
      <w:r w:rsidR="00511C50" w:rsidRPr="00E1105D">
        <w:t>(A/HRC/25/26)</w:t>
      </w:r>
      <w:r w:rsidR="008E0F9D" w:rsidRPr="00E1105D">
        <w:rPr>
          <w:bCs/>
          <w:color w:val="000000"/>
        </w:rPr>
        <w:t xml:space="preserve">, </w:t>
      </w:r>
      <w:r w:rsidR="00E5053A" w:rsidRPr="00E1105D">
        <w:rPr>
          <w:bCs/>
          <w:color w:val="000000"/>
        </w:rPr>
        <w:t>which states</w:t>
      </w:r>
      <w:r w:rsidR="008E0F9D" w:rsidRPr="00E1105D">
        <w:rPr>
          <w:bCs/>
          <w:color w:val="000000"/>
        </w:rPr>
        <w:t xml:space="preserve"> that several Kurdish prisoners </w:t>
      </w:r>
      <w:r w:rsidR="00511C50" w:rsidRPr="00E1105D">
        <w:rPr>
          <w:bCs/>
          <w:color w:val="000000"/>
        </w:rPr>
        <w:t>were</w:t>
      </w:r>
      <w:r w:rsidR="008E0F9D" w:rsidRPr="00E1105D">
        <w:rPr>
          <w:bCs/>
          <w:color w:val="000000"/>
        </w:rPr>
        <w:t xml:space="preserve"> </w:t>
      </w:r>
      <w:r w:rsidR="00511C50" w:rsidRPr="00E1105D">
        <w:rPr>
          <w:bCs/>
          <w:color w:val="000000"/>
        </w:rPr>
        <w:t xml:space="preserve">allegedly executed after </w:t>
      </w:r>
      <w:r w:rsidR="00D92CA9">
        <w:rPr>
          <w:bCs/>
          <w:color w:val="000000"/>
        </w:rPr>
        <w:t>hav</w:t>
      </w:r>
      <w:r w:rsidR="00511C50" w:rsidRPr="00E1105D">
        <w:rPr>
          <w:bCs/>
          <w:color w:val="000000"/>
        </w:rPr>
        <w:t xml:space="preserve">ing </w:t>
      </w:r>
      <w:r w:rsidR="00D92CA9">
        <w:rPr>
          <w:bCs/>
          <w:color w:val="000000"/>
        </w:rPr>
        <w:t xml:space="preserve">been </w:t>
      </w:r>
      <w:r w:rsidR="008E0F9D" w:rsidRPr="00E1105D">
        <w:rPr>
          <w:bCs/>
          <w:color w:val="000000"/>
        </w:rPr>
        <w:t xml:space="preserve">sentenced to death for </w:t>
      </w:r>
      <w:r w:rsidR="00511C50" w:rsidRPr="00E1105D">
        <w:rPr>
          <w:bCs/>
          <w:color w:val="000000"/>
        </w:rPr>
        <w:t xml:space="preserve">charges including </w:t>
      </w:r>
      <w:r w:rsidR="00492E0E" w:rsidRPr="00E1105D">
        <w:rPr>
          <w:bCs/>
          <w:i/>
          <w:iCs/>
          <w:color w:val="000000"/>
        </w:rPr>
        <w:t>moharebeh</w:t>
      </w:r>
      <w:r w:rsidR="000B13DA" w:rsidRPr="00E1105D">
        <w:rPr>
          <w:bCs/>
          <w:color w:val="000000"/>
        </w:rPr>
        <w:t xml:space="preserve"> </w:t>
      </w:r>
      <w:r w:rsidR="008E0F9D" w:rsidRPr="00E1105D">
        <w:rPr>
          <w:bCs/>
          <w:color w:val="000000"/>
        </w:rPr>
        <w:t>(enmity against God) and for alleged links to political parties, including Komala</w:t>
      </w:r>
      <w:r w:rsidR="00511C50" w:rsidRPr="00E1105D">
        <w:t xml:space="preserve"> (para. 9)</w:t>
      </w:r>
      <w:r w:rsidR="008E0F9D" w:rsidRPr="00E1105D">
        <w:rPr>
          <w:bCs/>
          <w:color w:val="000000"/>
        </w:rPr>
        <w:t>.</w:t>
      </w:r>
    </w:p>
    <w:p w:rsidR="00712CEB" w:rsidRPr="00E1105D" w:rsidRDefault="00712CEB" w:rsidP="0025531A">
      <w:pPr>
        <w:pStyle w:val="SingleTxtG"/>
        <w:spacing w:line="240" w:lineRule="auto"/>
      </w:pPr>
      <w:r w:rsidRPr="00E1105D">
        <w:t>7.</w:t>
      </w:r>
      <w:r w:rsidR="00C673CC" w:rsidRPr="00E1105D">
        <w:t>4</w:t>
      </w:r>
      <w:r w:rsidRPr="00E1105D">
        <w:tab/>
        <w:t xml:space="preserve">The Committee </w:t>
      </w:r>
      <w:r w:rsidR="00511C50" w:rsidRPr="00E1105D">
        <w:t>also</w:t>
      </w:r>
      <w:r w:rsidR="00E5053A" w:rsidRPr="00E1105D">
        <w:t xml:space="preserve"> </w:t>
      </w:r>
      <w:r w:rsidRPr="00E1105D">
        <w:t>recalls its general comment No. 1, according to which the risk of torture must be assessed on grounds that go beyond mere theory or suspicion. While the risk does not have to meet the test of being “highly probable” (para. 6), the Committee notes that the burden of proof generally falls on the complainant, who must present an arguable case that he or she faces a foreseeable, real and personal risk.</w:t>
      </w:r>
      <w:r w:rsidR="00E5640C" w:rsidRPr="00E1105D">
        <w:rPr>
          <w:rStyle w:val="FootnoteReference"/>
          <w:sz w:val="20"/>
        </w:rPr>
        <w:footnoteReference w:id="16"/>
      </w:r>
      <w:r w:rsidRPr="00E1105D">
        <w:t xml:space="preserve"> The Committee further recalls that</w:t>
      </w:r>
      <w:r w:rsidR="00340127" w:rsidRPr="00E1105D">
        <w:t>,</w:t>
      </w:r>
      <w:r w:rsidRPr="00E1105D">
        <w:t xml:space="preserve"> in accordance with its general comment No. 1, it gives considerable weight to findings of fact that are made by organs of the State party concerned</w:t>
      </w:r>
      <w:r w:rsidR="00340127" w:rsidRPr="00E1105D">
        <w:t>,</w:t>
      </w:r>
      <w:r w:rsidRPr="00E1105D">
        <w:t xml:space="preserve"> while at the same time it is not bound by such findings and instead has the power, provided by article 22, paragraph 4, of the Convention, of free assessment of the facts based upon the full set of circumstances in every case</w:t>
      </w:r>
      <w:r w:rsidR="00514AFE" w:rsidRPr="00E1105D">
        <w:t xml:space="preserve"> (para. 9)</w:t>
      </w:r>
      <w:r w:rsidRPr="00E1105D">
        <w:t xml:space="preserve">. </w:t>
      </w:r>
    </w:p>
    <w:p w:rsidR="00712CEB" w:rsidRPr="00E1105D" w:rsidRDefault="00712CEB" w:rsidP="00924766">
      <w:pPr>
        <w:pStyle w:val="SingleTxtG"/>
        <w:spacing w:line="240" w:lineRule="auto"/>
      </w:pPr>
      <w:r w:rsidRPr="00E1105D">
        <w:rPr>
          <w:bCs/>
        </w:rPr>
        <w:t>7.</w:t>
      </w:r>
      <w:r w:rsidR="00C673CC" w:rsidRPr="00E1105D">
        <w:rPr>
          <w:bCs/>
        </w:rPr>
        <w:t>5</w:t>
      </w:r>
      <w:r w:rsidRPr="00E1105D">
        <w:rPr>
          <w:bCs/>
        </w:rPr>
        <w:tab/>
      </w:r>
      <w:r w:rsidRPr="00E1105D">
        <w:t xml:space="preserve">The Committee takes note of the conclusions of two psychiatric examinations as well as </w:t>
      </w:r>
      <w:r w:rsidR="00340127" w:rsidRPr="00E1105D">
        <w:t xml:space="preserve">the </w:t>
      </w:r>
      <w:r w:rsidRPr="00E1105D">
        <w:t>physiotherap</w:t>
      </w:r>
      <w:r w:rsidR="00340127" w:rsidRPr="00E1105D">
        <w:t>ist’s</w:t>
      </w:r>
      <w:r w:rsidRPr="00E1105D">
        <w:t xml:space="preserve"> statement regarding Mr. X, who, according to a medical doctor’s conclusion, suffers from post-traumatic stress disorder. The second complainant, Mr. Z, adduced a statement from a general practitioner who finds that “while </w:t>
      </w:r>
      <w:r w:rsidR="005450A9">
        <w:t xml:space="preserve">the </w:t>
      </w:r>
      <w:r w:rsidRPr="00E1105D">
        <w:t>injuries seen now are very slight</w:t>
      </w:r>
      <w:r w:rsidR="00340127" w:rsidRPr="00E1105D">
        <w:t xml:space="preserve"> … </w:t>
      </w:r>
      <w:r w:rsidRPr="00E1105D">
        <w:t xml:space="preserve">there is no reason to doubt that they could have been caused during a period of incarceration between April and May 2007” as described by Mr. Z. The Committee takes note of the submission by the State party that the injuries indicated in the medical statements are only minor and that the medical documentation in question does not establish, </w:t>
      </w:r>
      <w:r w:rsidR="007062B5" w:rsidRPr="00E1105D">
        <w:t>beyond</w:t>
      </w:r>
      <w:r w:rsidRPr="00E1105D">
        <w:t xml:space="preserve"> </w:t>
      </w:r>
      <w:r w:rsidRPr="00E1105D">
        <w:rPr>
          <w:bCs/>
        </w:rPr>
        <w:t>reasonable doubt,</w:t>
      </w:r>
      <w:r w:rsidRPr="00E1105D">
        <w:t xml:space="preserve"> </w:t>
      </w:r>
      <w:r w:rsidRPr="00E1105D">
        <w:rPr>
          <w:bCs/>
        </w:rPr>
        <w:t xml:space="preserve">whether the injuries were the consequence of torture or ill-treatment. </w:t>
      </w:r>
      <w:r w:rsidRPr="00E1105D">
        <w:t xml:space="preserve">The Committee observes, however, that the medical certificate provided by Mr. X states that the complainant’s medical symptoms are “compatible </w:t>
      </w:r>
      <w:r w:rsidR="00924766">
        <w:t>with</w:t>
      </w:r>
      <w:r w:rsidRPr="00E1105D">
        <w:t xml:space="preserve"> the symptoms” of someone who </w:t>
      </w:r>
      <w:r w:rsidR="00D92CA9">
        <w:t xml:space="preserve">has </w:t>
      </w:r>
      <w:r w:rsidRPr="00E1105D">
        <w:t xml:space="preserve">suffered torture. It also considers that the State party, </w:t>
      </w:r>
      <w:r w:rsidR="007062B5" w:rsidRPr="00E1105D">
        <w:t>in the light of those</w:t>
      </w:r>
      <w:r w:rsidRPr="00E1105D">
        <w:t xml:space="preserve"> doubts, could have ordered an additional examination of the complainant in order to </w:t>
      </w:r>
      <w:r w:rsidR="007062B5" w:rsidRPr="00E1105D">
        <w:t>reach</w:t>
      </w:r>
      <w:r w:rsidRPr="00E1105D">
        <w:t xml:space="preserve"> a fully informed conclusion on the matter.</w:t>
      </w:r>
      <w:r w:rsidR="003E23DC" w:rsidRPr="00E1105D">
        <w:t xml:space="preserve"> </w:t>
      </w:r>
    </w:p>
    <w:p w:rsidR="001F7239" w:rsidRPr="00E1105D" w:rsidRDefault="00C673CC" w:rsidP="005450A9">
      <w:pPr>
        <w:pStyle w:val="SingleTxtG"/>
        <w:spacing w:line="240" w:lineRule="auto"/>
      </w:pPr>
      <w:r w:rsidRPr="00E1105D">
        <w:rPr>
          <w:bCs/>
          <w:color w:val="000000"/>
        </w:rPr>
        <w:t>7.6</w:t>
      </w:r>
      <w:r w:rsidRPr="00E1105D">
        <w:rPr>
          <w:bCs/>
          <w:color w:val="000000"/>
        </w:rPr>
        <w:tab/>
      </w:r>
      <w:r w:rsidR="001F7239" w:rsidRPr="00E1105D">
        <w:t xml:space="preserve">The Committee notes that both complainants provided certificates of membership </w:t>
      </w:r>
      <w:r w:rsidR="007062B5" w:rsidRPr="00E1105D">
        <w:t>of</w:t>
      </w:r>
      <w:r w:rsidR="001F7239" w:rsidRPr="00E1105D">
        <w:t xml:space="preserve"> the Komala party, issued by the party’s office in </w:t>
      </w:r>
      <w:smartTag w:uri="urn:schemas-microsoft-com:office:smarttags" w:element="place">
        <w:smartTag w:uri="urn:schemas-microsoft-com:office:smarttags" w:element="country-region">
          <w:r w:rsidR="001F7239" w:rsidRPr="00E1105D">
            <w:t>Sweden</w:t>
          </w:r>
        </w:smartTag>
      </w:smartTag>
      <w:r w:rsidR="001F7239" w:rsidRPr="00E1105D">
        <w:t>. It also notes that the State party is not disputing the fact that the complainants are part of a politically active and high-profile family</w:t>
      </w:r>
      <w:r w:rsidR="007062B5" w:rsidRPr="00E1105D">
        <w:t>,</w:t>
      </w:r>
      <w:r w:rsidR="001F7239" w:rsidRPr="00E1105D">
        <w:t xml:space="preserve"> as their father and uncles have also been active in </w:t>
      </w:r>
      <w:r w:rsidR="005450A9">
        <w:t xml:space="preserve">the </w:t>
      </w:r>
      <w:r w:rsidR="001F7239" w:rsidRPr="00E1105D">
        <w:t>Komala party and</w:t>
      </w:r>
      <w:r w:rsidR="007062B5" w:rsidRPr="00E1105D">
        <w:t xml:space="preserve"> have been</w:t>
      </w:r>
      <w:r w:rsidR="001F7239" w:rsidRPr="00E1105D">
        <w:t xml:space="preserve"> persecuted by the Iranian authorities for their political views. The Committee observes that</w:t>
      </w:r>
      <w:r w:rsidR="007062B5" w:rsidRPr="00E1105D">
        <w:t>,</w:t>
      </w:r>
      <w:r w:rsidR="001F7239" w:rsidRPr="00E1105D">
        <w:t xml:space="preserve"> </w:t>
      </w:r>
      <w:r w:rsidR="007062B5" w:rsidRPr="00E1105D">
        <w:t>owing to</w:t>
      </w:r>
      <w:r w:rsidR="001F7239" w:rsidRPr="00E1105D">
        <w:t xml:space="preserve"> the complainants’ political activities, their family connections to political opposition activists, as well as their previous imprisonment, and notwithstanding the time elapsed since their departure from their country of origin, they are most likely to attract the </w:t>
      </w:r>
      <w:r w:rsidR="001F7239" w:rsidRPr="00E1105D">
        <w:lastRenderedPageBreak/>
        <w:t xml:space="preserve">attention of the authorities upon return </w:t>
      </w:r>
      <w:r w:rsidR="007062B5" w:rsidRPr="00E1105D">
        <w:t>to</w:t>
      </w:r>
      <w:r w:rsidR="001F7239" w:rsidRPr="00E1105D">
        <w:t xml:space="preserve"> </w:t>
      </w:r>
      <w:r w:rsidR="00606DF0" w:rsidRPr="00E1105D">
        <w:rPr>
          <w:rFonts w:eastAsia="SimSun"/>
          <w:lang w:eastAsia="zh-CN"/>
        </w:rPr>
        <w:t>the Islamic Republic of</w:t>
      </w:r>
      <w:r w:rsidR="00606DF0" w:rsidRPr="00E1105D">
        <w:t xml:space="preserve"> </w:t>
      </w:r>
      <w:r w:rsidR="001F7239" w:rsidRPr="00E1105D">
        <w:t>Iran</w:t>
      </w:r>
      <w:r w:rsidR="00E5053A" w:rsidRPr="00E1105D">
        <w:t xml:space="preserve">, thus significantly increasing the </w:t>
      </w:r>
      <w:r w:rsidR="00330E56" w:rsidRPr="00E1105D">
        <w:t>risk</w:t>
      </w:r>
      <w:r w:rsidR="00E5053A" w:rsidRPr="00E1105D">
        <w:t xml:space="preserve"> of them being arrested, tortured and sentenced to death, if returned</w:t>
      </w:r>
      <w:r w:rsidR="001F7239" w:rsidRPr="00E1105D">
        <w:t>.</w:t>
      </w:r>
      <w:r w:rsidR="003E23DC" w:rsidRPr="00E1105D">
        <w:t xml:space="preserve"> </w:t>
      </w:r>
    </w:p>
    <w:p w:rsidR="001F7239" w:rsidRPr="00E1105D" w:rsidRDefault="001F7239" w:rsidP="00D92CA9">
      <w:pPr>
        <w:pStyle w:val="SingleTxtG"/>
        <w:spacing w:line="240" w:lineRule="auto"/>
      </w:pPr>
      <w:r w:rsidRPr="00E1105D">
        <w:t>7.</w:t>
      </w:r>
      <w:r w:rsidR="00C673CC" w:rsidRPr="00E1105D">
        <w:t>7</w:t>
      </w:r>
      <w:r w:rsidR="0075154A" w:rsidRPr="00E1105D">
        <w:tab/>
      </w:r>
      <w:r w:rsidRPr="00E1105D">
        <w:t>Consequently, and in the light of the general human rights situation in the Islamic Republic of Iran</w:t>
      </w:r>
      <w:r w:rsidR="007062B5" w:rsidRPr="00E1105D">
        <w:t>,</w:t>
      </w:r>
      <w:r w:rsidRPr="00E1105D">
        <w:t xml:space="preserve"> </w:t>
      </w:r>
      <w:r w:rsidR="007062B5" w:rsidRPr="00E1105D">
        <w:t>which</w:t>
      </w:r>
      <w:r w:rsidRPr="00E1105D">
        <w:t xml:space="preserve"> particularly affects members of the opposition, and in view of the complainants’ political activities in both the Islamic Republic of Iran and abroad, their previous imprisonment and detailed description of torture and ill</w:t>
      </w:r>
      <w:r w:rsidR="007062B5" w:rsidRPr="00E1105D">
        <w:t>-</w:t>
      </w:r>
      <w:r w:rsidRPr="00E1105D">
        <w:t xml:space="preserve">treatment suffered there, supported by </w:t>
      </w:r>
      <w:r w:rsidR="00D92CA9" w:rsidRPr="00E1105D">
        <w:t>substantiatin</w:t>
      </w:r>
      <w:r w:rsidR="00D92CA9">
        <w:t>g</w:t>
      </w:r>
      <w:r w:rsidR="00D92CA9" w:rsidRPr="00E1105D">
        <w:t xml:space="preserve"> </w:t>
      </w:r>
      <w:r w:rsidRPr="00E1105D">
        <w:t xml:space="preserve">elements </w:t>
      </w:r>
      <w:r w:rsidR="00D92CA9" w:rsidRPr="00E1105D">
        <w:t xml:space="preserve">adduced as </w:t>
      </w:r>
      <w:r w:rsidRPr="00E1105D">
        <w:t>proof</w:t>
      </w:r>
      <w:r w:rsidR="00D92CA9">
        <w:t xml:space="preserve"> thereof</w:t>
      </w:r>
      <w:r w:rsidRPr="00E1105D">
        <w:t xml:space="preserve"> by the complainants, such as medical documentation, the Committee considers that the material before it is sufficient to conclude that there are substantial grounds for believing that the complainants risk being subjected to torture if returned to the Islamic Republic of Iran. </w:t>
      </w:r>
    </w:p>
    <w:p w:rsidR="001F7239" w:rsidRPr="00E1105D" w:rsidRDefault="001F7239" w:rsidP="00E1105D">
      <w:pPr>
        <w:pStyle w:val="SingleTxtG"/>
        <w:spacing w:line="240" w:lineRule="auto"/>
      </w:pPr>
      <w:r w:rsidRPr="00E1105D">
        <w:t>8</w:t>
      </w:r>
      <w:r w:rsidR="0075154A" w:rsidRPr="00E1105D">
        <w:t>.</w:t>
      </w:r>
      <w:r w:rsidRPr="00E1105D">
        <w:tab/>
        <w:t xml:space="preserve">The Committee against Torture, acting under article 22, paragraph 7, of the Convention against Torture and Other Cruel, Inhuman or Degrading Treatment or Punishment, concludes that there are substantial grounds for believing that the complainants would face a foreseeable, real and personal risk of being subjected to torture by </w:t>
      </w:r>
      <w:r w:rsidR="007062B5" w:rsidRPr="00E1105D">
        <w:t>g</w:t>
      </w:r>
      <w:r w:rsidRPr="00E1105D">
        <w:t xml:space="preserve">overnment officials if returned to the Islamic Republic of Iran. The Committee therefore concludes that the deportation of the complainants to the Islamic Republic of Iran would amount to a breach of article 3 of the Convention. </w:t>
      </w:r>
    </w:p>
    <w:p w:rsidR="001F7239" w:rsidRPr="00E1105D" w:rsidRDefault="001F7239" w:rsidP="00E1105D">
      <w:pPr>
        <w:pStyle w:val="SingleTxtG"/>
        <w:spacing w:line="240" w:lineRule="auto"/>
      </w:pPr>
      <w:r w:rsidRPr="00E1105D">
        <w:t>9.</w:t>
      </w:r>
      <w:r w:rsidRPr="00E1105D">
        <w:tab/>
        <w:t>The Committee is of the view that the State party has an obligation to refrain from forcibly returning the complainants to the Islamic Republic of Iran or to any other country where they run a real risk of being expelled or returned to the Islamic Republic of Iran. Pursuant to rule 118, paragraph 5, of its rules of procedure, the Committee invites the State party to inform it, within 90 days from the date of the transmittal of th</w:t>
      </w:r>
      <w:r w:rsidR="007062B5" w:rsidRPr="00E1105D">
        <w:t>e present</w:t>
      </w:r>
      <w:r w:rsidRPr="00E1105D">
        <w:t xml:space="preserve"> decision, of the steps it has taken </w:t>
      </w:r>
      <w:r w:rsidR="007062B5" w:rsidRPr="00E1105D">
        <w:t xml:space="preserve">in </w:t>
      </w:r>
      <w:r w:rsidRPr="00E1105D">
        <w:t>response to the present decision.</w:t>
      </w:r>
    </w:p>
    <w:p w:rsidR="001F7239" w:rsidRPr="00E1105D" w:rsidRDefault="001F7239" w:rsidP="00E1105D">
      <w:pPr>
        <w:pStyle w:val="SingleTxtG"/>
        <w:spacing w:after="0" w:line="240" w:lineRule="auto"/>
      </w:pPr>
      <w:r w:rsidRPr="00E1105D">
        <w:t>[Adopted in English, French and Spanish, the English text being the original version. Subsequently to be issued also in Arabic, Chinese and Russian as part of the Committee’s annual report to the General Assembly.]</w:t>
      </w:r>
    </w:p>
    <w:p w:rsidR="00991CE2" w:rsidRPr="00E1105D" w:rsidRDefault="001F7239" w:rsidP="00E1105D">
      <w:pPr>
        <w:pStyle w:val="SingleTxtG"/>
        <w:spacing w:before="240" w:after="0" w:line="240" w:lineRule="auto"/>
        <w:jc w:val="center"/>
      </w:pPr>
      <w:r w:rsidRPr="00E1105D">
        <w:rPr>
          <w:u w:val="single"/>
        </w:rPr>
        <w:tab/>
      </w:r>
      <w:r w:rsidRPr="00E1105D">
        <w:rPr>
          <w:u w:val="single"/>
        </w:rPr>
        <w:tab/>
      </w:r>
      <w:r w:rsidRPr="00E1105D">
        <w:rPr>
          <w:u w:val="single"/>
        </w:rPr>
        <w:tab/>
      </w:r>
    </w:p>
    <w:sectPr w:rsidR="00991CE2" w:rsidRPr="00E1105D" w:rsidSect="0066683F">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07E" w:rsidRDefault="00E7707E"/>
  </w:endnote>
  <w:endnote w:type="continuationSeparator" w:id="0">
    <w:p w:rsidR="00E7707E" w:rsidRDefault="00E7707E"/>
  </w:endnote>
  <w:endnote w:type="continuationNotice" w:id="1">
    <w:p w:rsidR="00E7707E" w:rsidRDefault="00E77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D6" w:rsidRPr="0066683F" w:rsidRDefault="00F547D6" w:rsidP="0066683F">
    <w:pPr>
      <w:pStyle w:val="Footer"/>
      <w:tabs>
        <w:tab w:val="right" w:pos="9638"/>
      </w:tabs>
    </w:pPr>
    <w:r w:rsidRPr="0066683F">
      <w:rPr>
        <w:b/>
        <w:sz w:val="18"/>
      </w:rPr>
      <w:fldChar w:fldCharType="begin"/>
    </w:r>
    <w:r w:rsidRPr="0066683F">
      <w:rPr>
        <w:b/>
        <w:sz w:val="18"/>
      </w:rPr>
      <w:instrText xml:space="preserve"> PAGE  \* MERGEFORMAT </w:instrText>
    </w:r>
    <w:r w:rsidRPr="0066683F">
      <w:rPr>
        <w:b/>
        <w:sz w:val="18"/>
      </w:rPr>
      <w:fldChar w:fldCharType="separate"/>
    </w:r>
    <w:r w:rsidR="00D23C45">
      <w:rPr>
        <w:b/>
        <w:noProof/>
        <w:sz w:val="18"/>
      </w:rPr>
      <w:t>2</w:t>
    </w:r>
    <w:r w:rsidRPr="0066683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D6" w:rsidRPr="0066683F" w:rsidRDefault="00F547D6" w:rsidP="0066683F">
    <w:pPr>
      <w:pStyle w:val="Footer"/>
      <w:tabs>
        <w:tab w:val="right" w:pos="9638"/>
      </w:tabs>
      <w:rPr>
        <w:b/>
        <w:sz w:val="18"/>
      </w:rPr>
    </w:pPr>
    <w:r>
      <w:tab/>
    </w:r>
    <w:r w:rsidRPr="0066683F">
      <w:rPr>
        <w:b/>
        <w:sz w:val="18"/>
      </w:rPr>
      <w:fldChar w:fldCharType="begin"/>
    </w:r>
    <w:r w:rsidRPr="0066683F">
      <w:rPr>
        <w:b/>
        <w:sz w:val="18"/>
      </w:rPr>
      <w:instrText xml:space="preserve"> PAGE  \* MERGEFORMAT </w:instrText>
    </w:r>
    <w:r w:rsidRPr="0066683F">
      <w:rPr>
        <w:b/>
        <w:sz w:val="18"/>
      </w:rPr>
      <w:fldChar w:fldCharType="separate"/>
    </w:r>
    <w:r w:rsidR="00D23C45">
      <w:rPr>
        <w:b/>
        <w:noProof/>
        <w:sz w:val="18"/>
      </w:rPr>
      <w:t>3</w:t>
    </w:r>
    <w:r w:rsidRPr="0066683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D6" w:rsidRPr="0066683F" w:rsidRDefault="00E7707E">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F547D6">
      <w:t>GE.14-10193  (E)</w:t>
    </w:r>
    <w:r w:rsidR="00F547D6">
      <w:br/>
    </w:r>
    <w:r w:rsidR="00F547D6" w:rsidRPr="00D608FD">
      <w:rPr>
        <w:rFonts w:ascii="C39T30Lfz" w:hAnsi="C39T30Lfz"/>
        <w:sz w:val="56"/>
      </w:rPr>
      <w:t></w:t>
    </w:r>
    <w:r w:rsidR="00F547D6" w:rsidRPr="00D608FD">
      <w:rPr>
        <w:rFonts w:ascii="C39T30Lfz" w:hAnsi="C39T30Lfz"/>
        <w:sz w:val="56"/>
      </w:rPr>
      <w:t></w:t>
    </w:r>
    <w:r w:rsidR="00F547D6" w:rsidRPr="00D608FD">
      <w:rPr>
        <w:rFonts w:ascii="C39T30Lfz" w:hAnsi="C39T30Lfz"/>
        <w:sz w:val="56"/>
      </w:rPr>
      <w:t></w:t>
    </w:r>
    <w:r w:rsidR="00F547D6" w:rsidRPr="00D608FD">
      <w:rPr>
        <w:rFonts w:ascii="C39T30Lfz" w:hAnsi="C39T30Lfz"/>
        <w:sz w:val="56"/>
      </w:rPr>
      <w:t></w:t>
    </w:r>
    <w:r w:rsidR="00F547D6" w:rsidRPr="00D608FD">
      <w:rPr>
        <w:rFonts w:ascii="C39T30Lfz" w:hAnsi="C39T30Lfz"/>
        <w:sz w:val="56"/>
      </w:rPr>
      <w:t></w:t>
    </w:r>
    <w:r w:rsidR="00F547D6" w:rsidRPr="00D608FD">
      <w:rPr>
        <w:rFonts w:ascii="C39T30Lfz" w:hAnsi="C39T30Lfz"/>
        <w:sz w:val="56"/>
      </w:rPr>
      <w:t></w:t>
    </w:r>
    <w:r w:rsidR="00F547D6" w:rsidRPr="00D608FD">
      <w:rPr>
        <w:rFonts w:ascii="C39T30Lfz" w:hAnsi="C39T30Lfz"/>
        <w:sz w:val="56"/>
      </w:rPr>
      <w:t></w:t>
    </w:r>
    <w:r w:rsidR="00F547D6" w:rsidRPr="00D608FD">
      <w:rPr>
        <w:rFonts w:ascii="C39T30Lfz" w:hAnsi="C39T30Lfz"/>
        <w:sz w:val="56"/>
      </w:rPr>
      <w:t></w:t>
    </w:r>
    <w:r w:rsidR="00F547D6" w:rsidRPr="00D608FD">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07E" w:rsidRPr="000B175B" w:rsidRDefault="00E7707E" w:rsidP="000B175B">
      <w:pPr>
        <w:tabs>
          <w:tab w:val="right" w:pos="2155"/>
        </w:tabs>
        <w:spacing w:after="80"/>
        <w:ind w:left="680"/>
        <w:rPr>
          <w:u w:val="single"/>
        </w:rPr>
      </w:pPr>
      <w:r>
        <w:rPr>
          <w:u w:val="single"/>
        </w:rPr>
        <w:tab/>
      </w:r>
    </w:p>
  </w:footnote>
  <w:footnote w:type="continuationSeparator" w:id="0">
    <w:p w:rsidR="00E7707E" w:rsidRPr="00FC68B7" w:rsidRDefault="00E7707E" w:rsidP="00FC68B7">
      <w:pPr>
        <w:tabs>
          <w:tab w:val="left" w:pos="2155"/>
        </w:tabs>
        <w:spacing w:after="80"/>
        <w:ind w:left="680"/>
        <w:rPr>
          <w:u w:val="single"/>
        </w:rPr>
      </w:pPr>
      <w:r>
        <w:rPr>
          <w:u w:val="single"/>
        </w:rPr>
        <w:tab/>
      </w:r>
    </w:p>
  </w:footnote>
  <w:footnote w:type="continuationNotice" w:id="1">
    <w:p w:rsidR="00E7707E" w:rsidRDefault="00E7707E"/>
  </w:footnote>
  <w:footnote w:id="2">
    <w:p w:rsidR="00F547D6" w:rsidRPr="008B2AD6" w:rsidRDefault="00F547D6" w:rsidP="00D44510">
      <w:pPr>
        <w:pStyle w:val="FootnoteText"/>
        <w:widowControl w:val="0"/>
        <w:tabs>
          <w:tab w:val="clear" w:pos="1021"/>
          <w:tab w:val="right" w:pos="1020"/>
        </w:tabs>
        <w:rPr>
          <w:lang w:val="en-US"/>
        </w:rPr>
      </w:pPr>
      <w:r>
        <w:tab/>
      </w:r>
      <w:r>
        <w:rPr>
          <w:rStyle w:val="FootnoteReference"/>
        </w:rPr>
        <w:footnoteRef/>
      </w:r>
      <w:r>
        <w:tab/>
        <w:t xml:space="preserve">It is not clear from the submissions to which court the complainants are referring. </w:t>
      </w:r>
    </w:p>
  </w:footnote>
  <w:footnote w:id="3">
    <w:p w:rsidR="00F547D6" w:rsidRPr="008B2AD6" w:rsidRDefault="00F547D6" w:rsidP="00773B47">
      <w:pPr>
        <w:pStyle w:val="FootnoteText"/>
        <w:widowControl w:val="0"/>
        <w:tabs>
          <w:tab w:val="clear" w:pos="1021"/>
          <w:tab w:val="right" w:pos="1020"/>
        </w:tabs>
        <w:rPr>
          <w:lang w:val="en-US"/>
        </w:rPr>
      </w:pPr>
      <w:r>
        <w:tab/>
      </w:r>
      <w:r>
        <w:rPr>
          <w:rStyle w:val="FootnoteReference"/>
        </w:rPr>
        <w:footnoteRef/>
      </w:r>
      <w:r>
        <w:tab/>
        <w:t xml:space="preserve">It is not clear from the submission how the complainants ended up in </w:t>
      </w:r>
      <w:smartTag w:uri="urn:schemas-microsoft-com:office:smarttags" w:element="place">
        <w:smartTag w:uri="urn:schemas-microsoft-com:office:smarttags" w:element="country-region">
          <w:r>
            <w:t>Finland</w:t>
          </w:r>
        </w:smartTag>
      </w:smartTag>
      <w:r>
        <w:t xml:space="preserve">. </w:t>
      </w:r>
    </w:p>
  </w:footnote>
  <w:footnote w:id="4">
    <w:p w:rsidR="00F547D6" w:rsidRPr="008B2AD6" w:rsidRDefault="00F547D6" w:rsidP="0025531A">
      <w:pPr>
        <w:pStyle w:val="FootnoteText"/>
        <w:widowControl w:val="0"/>
        <w:tabs>
          <w:tab w:val="clear" w:pos="1021"/>
          <w:tab w:val="right" w:pos="1020"/>
        </w:tabs>
        <w:rPr>
          <w:lang w:val="en-US"/>
        </w:rPr>
      </w:pPr>
      <w:r>
        <w:tab/>
      </w:r>
      <w:r>
        <w:rPr>
          <w:rStyle w:val="FootnoteReference"/>
        </w:rPr>
        <w:footnoteRef/>
      </w:r>
      <w:r>
        <w:tab/>
      </w:r>
      <w:r w:rsidRPr="00CB0771">
        <w:rPr>
          <w:szCs w:val="18"/>
        </w:rPr>
        <w:t xml:space="preserve">According to the medical report, </w:t>
      </w:r>
      <w:r>
        <w:rPr>
          <w:szCs w:val="18"/>
        </w:rPr>
        <w:t>Mr. X</w:t>
      </w:r>
      <w:r w:rsidRPr="00344D50">
        <w:rPr>
          <w:szCs w:val="18"/>
        </w:rPr>
        <w:t xml:space="preserve"> </w:t>
      </w:r>
      <w:r w:rsidRPr="00CB0771">
        <w:rPr>
          <w:szCs w:val="18"/>
        </w:rPr>
        <w:t xml:space="preserve">complained of pain in his left knee, particularly when it was </w:t>
      </w:r>
      <w:r w:rsidRPr="00BD1A3C">
        <w:rPr>
          <w:szCs w:val="18"/>
        </w:rPr>
        <w:t xml:space="preserve">bent. A scar was also discovered in the middle of </w:t>
      </w:r>
      <w:r>
        <w:rPr>
          <w:szCs w:val="18"/>
        </w:rPr>
        <w:t xml:space="preserve">the </w:t>
      </w:r>
      <w:r w:rsidRPr="00BD1A3C">
        <w:rPr>
          <w:szCs w:val="18"/>
        </w:rPr>
        <w:t xml:space="preserve">middle finger </w:t>
      </w:r>
      <w:r>
        <w:rPr>
          <w:szCs w:val="18"/>
        </w:rPr>
        <w:t xml:space="preserve">on </w:t>
      </w:r>
      <w:r w:rsidRPr="00BD1A3C">
        <w:rPr>
          <w:szCs w:val="18"/>
        </w:rPr>
        <w:t xml:space="preserve">his left </w:t>
      </w:r>
      <w:r>
        <w:rPr>
          <w:szCs w:val="18"/>
        </w:rPr>
        <w:t xml:space="preserve">hand </w:t>
      </w:r>
      <w:r w:rsidRPr="00BD1A3C">
        <w:rPr>
          <w:szCs w:val="18"/>
        </w:rPr>
        <w:t>and the author mentioned that, as a result</w:t>
      </w:r>
      <w:r w:rsidRPr="00CB0771">
        <w:rPr>
          <w:szCs w:val="18"/>
        </w:rPr>
        <w:t xml:space="preserve">, making a fist </w:t>
      </w:r>
      <w:r>
        <w:rPr>
          <w:szCs w:val="18"/>
        </w:rPr>
        <w:t>wa</w:t>
      </w:r>
      <w:r w:rsidRPr="00CB0771">
        <w:rPr>
          <w:szCs w:val="18"/>
        </w:rPr>
        <w:t xml:space="preserve">s painful. The doctor also noticed a large area of red skin at the base of </w:t>
      </w:r>
      <w:r>
        <w:rPr>
          <w:szCs w:val="18"/>
        </w:rPr>
        <w:t xml:space="preserve">Mr. X’s </w:t>
      </w:r>
      <w:r w:rsidRPr="00CB0771">
        <w:rPr>
          <w:szCs w:val="18"/>
        </w:rPr>
        <w:t xml:space="preserve">big toe </w:t>
      </w:r>
      <w:r>
        <w:rPr>
          <w:szCs w:val="18"/>
        </w:rPr>
        <w:t xml:space="preserve">on </w:t>
      </w:r>
      <w:r w:rsidRPr="00CB0771">
        <w:rPr>
          <w:szCs w:val="18"/>
        </w:rPr>
        <w:t xml:space="preserve">his left </w:t>
      </w:r>
      <w:r>
        <w:rPr>
          <w:szCs w:val="18"/>
        </w:rPr>
        <w:t xml:space="preserve">foot </w:t>
      </w:r>
      <w:r w:rsidRPr="00CB0771">
        <w:rPr>
          <w:szCs w:val="18"/>
        </w:rPr>
        <w:t>and on his left knee</w:t>
      </w:r>
      <w:r>
        <w:rPr>
          <w:szCs w:val="18"/>
        </w:rPr>
        <w:t>,</w:t>
      </w:r>
      <w:r w:rsidRPr="00CB0771">
        <w:rPr>
          <w:szCs w:val="18"/>
        </w:rPr>
        <w:t xml:space="preserve"> and stated that the</w:t>
      </w:r>
      <w:r>
        <w:rPr>
          <w:szCs w:val="18"/>
        </w:rPr>
        <w:t>y</w:t>
      </w:r>
      <w:r w:rsidRPr="00CB0771">
        <w:rPr>
          <w:szCs w:val="18"/>
        </w:rPr>
        <w:t xml:space="preserve"> were consistent with, for example, exposure to hot/icy water. According to the doctor, the author appeared to be in good mental health. Although the doctor concluded that the author’s injuries were slight, he found no reason to doubt that they were the result of torture inflicted on the author in the way he described</w:t>
      </w:r>
      <w:r>
        <w:rPr>
          <w:szCs w:val="18"/>
        </w:rPr>
        <w:t>.</w:t>
      </w:r>
      <w:r>
        <w:t xml:space="preserve"> </w:t>
      </w:r>
    </w:p>
  </w:footnote>
  <w:footnote w:id="5">
    <w:p w:rsidR="00F547D6" w:rsidRPr="008B2AD6" w:rsidRDefault="00F547D6" w:rsidP="00015656">
      <w:pPr>
        <w:pStyle w:val="FootnoteText"/>
        <w:widowControl w:val="0"/>
        <w:tabs>
          <w:tab w:val="clear" w:pos="1021"/>
          <w:tab w:val="right" w:pos="1020"/>
        </w:tabs>
        <w:rPr>
          <w:lang w:val="en-US"/>
        </w:rPr>
      </w:pPr>
      <w:r>
        <w:tab/>
      </w:r>
      <w:r>
        <w:rPr>
          <w:rStyle w:val="FootnoteReference"/>
        </w:rPr>
        <w:footnoteRef/>
      </w:r>
      <w:r>
        <w:tab/>
      </w:r>
      <w:r>
        <w:rPr>
          <w:szCs w:val="18"/>
        </w:rPr>
        <w:t>Mr. X</w:t>
      </w:r>
      <w:r w:rsidRPr="00CB0771">
        <w:rPr>
          <w:szCs w:val="18"/>
        </w:rPr>
        <w:t xml:space="preserve"> claims that he mentioned </w:t>
      </w:r>
      <w:r>
        <w:rPr>
          <w:szCs w:val="18"/>
        </w:rPr>
        <w:t xml:space="preserve">O. N.’s name </w:t>
      </w:r>
      <w:r w:rsidRPr="00CB0771">
        <w:rPr>
          <w:szCs w:val="18"/>
        </w:rPr>
        <w:t xml:space="preserve">during his asylum interview with the </w:t>
      </w:r>
      <w:r>
        <w:rPr>
          <w:szCs w:val="18"/>
        </w:rPr>
        <w:t xml:space="preserve">Finnish </w:t>
      </w:r>
      <w:r w:rsidRPr="00CB0771">
        <w:rPr>
          <w:szCs w:val="18"/>
        </w:rPr>
        <w:t>Immigration Service.</w:t>
      </w:r>
      <w:r>
        <w:t xml:space="preserve"> </w:t>
      </w:r>
    </w:p>
  </w:footnote>
  <w:footnote w:id="6">
    <w:p w:rsidR="00F547D6" w:rsidRPr="008B2AD6" w:rsidRDefault="00F547D6" w:rsidP="007E4694">
      <w:pPr>
        <w:pStyle w:val="FootnoteText"/>
        <w:widowControl w:val="0"/>
        <w:tabs>
          <w:tab w:val="clear" w:pos="1021"/>
          <w:tab w:val="right" w:pos="1020"/>
        </w:tabs>
        <w:rPr>
          <w:lang w:val="en-US"/>
        </w:rPr>
      </w:pPr>
      <w:r>
        <w:tab/>
      </w:r>
      <w:r>
        <w:rPr>
          <w:rStyle w:val="FootnoteReference"/>
        </w:rPr>
        <w:footnoteRef/>
      </w:r>
      <w:r>
        <w:tab/>
        <w:t xml:space="preserve">Council </w:t>
      </w:r>
      <w:r w:rsidRPr="00C1087D">
        <w:t xml:space="preserve">Regulation </w:t>
      </w:r>
      <w:r>
        <w:t xml:space="preserve">(EC) </w:t>
      </w:r>
      <w:r w:rsidRPr="00C1087D">
        <w:t>343/</w:t>
      </w:r>
      <w:r>
        <w:t xml:space="preserve">2003 of 18 February 2003 establishing the criteria and mechanisms for determining the </w:t>
      </w:r>
      <w:smartTag w:uri="urn:schemas-microsoft-com:office:smarttags" w:element="place">
        <w:smartTag w:uri="urn:schemas-microsoft-com:office:smarttags" w:element="PlaceName">
          <w:r>
            <w:t>Member</w:t>
          </w:r>
        </w:smartTag>
        <w:r>
          <w:t xml:space="preserve"> </w:t>
        </w:r>
        <w:smartTag w:uri="urn:schemas-microsoft-com:office:smarttags" w:element="PlaceType">
          <w:r>
            <w:t>State</w:t>
          </w:r>
        </w:smartTag>
      </w:smartTag>
      <w:r>
        <w:t xml:space="preserve"> responsible for examining an asylum application lodged in one of the Member States by a third-country national.</w:t>
      </w:r>
    </w:p>
  </w:footnote>
  <w:footnote w:id="7">
    <w:p w:rsidR="00F547D6" w:rsidRPr="008B2AD6" w:rsidRDefault="00F547D6" w:rsidP="000E3A66">
      <w:pPr>
        <w:pStyle w:val="FootnoteText"/>
        <w:widowControl w:val="0"/>
        <w:tabs>
          <w:tab w:val="clear" w:pos="1021"/>
          <w:tab w:val="right" w:pos="1020"/>
        </w:tabs>
        <w:rPr>
          <w:lang w:val="en-US"/>
        </w:rPr>
      </w:pPr>
      <w:r>
        <w:tab/>
      </w:r>
      <w:r>
        <w:rPr>
          <w:rStyle w:val="FootnoteReference"/>
        </w:rPr>
        <w:footnoteRef/>
      </w:r>
      <w:r>
        <w:tab/>
      </w:r>
      <w:r>
        <w:rPr>
          <w:szCs w:val="18"/>
        </w:rPr>
        <w:t>The complainants</w:t>
      </w:r>
      <w:r w:rsidRPr="0076465E">
        <w:rPr>
          <w:szCs w:val="18"/>
        </w:rPr>
        <w:t xml:space="preserve"> refer to </w:t>
      </w:r>
      <w:r w:rsidRPr="00193BD3">
        <w:rPr>
          <w:szCs w:val="18"/>
        </w:rPr>
        <w:t>c</w:t>
      </w:r>
      <w:r>
        <w:rPr>
          <w:szCs w:val="18"/>
        </w:rPr>
        <w:t>ommunication</w:t>
      </w:r>
      <w:r w:rsidRPr="0076465E">
        <w:rPr>
          <w:szCs w:val="18"/>
        </w:rPr>
        <w:t xml:space="preserve"> No. 357/2008, </w:t>
      </w:r>
      <w:r w:rsidRPr="0076465E">
        <w:rPr>
          <w:i/>
          <w:szCs w:val="18"/>
        </w:rPr>
        <w:t>Jahani v. Switzerland</w:t>
      </w:r>
      <w:r>
        <w:rPr>
          <w:iCs/>
          <w:szCs w:val="18"/>
        </w:rPr>
        <w:t>, decision adopted on</w:t>
      </w:r>
      <w:r w:rsidRPr="0076465E">
        <w:rPr>
          <w:szCs w:val="18"/>
        </w:rPr>
        <w:t xml:space="preserve"> </w:t>
      </w:r>
      <w:r>
        <w:rPr>
          <w:szCs w:val="18"/>
        </w:rPr>
        <w:t xml:space="preserve">23 May 2011, </w:t>
      </w:r>
      <w:r w:rsidRPr="0076465E">
        <w:rPr>
          <w:szCs w:val="18"/>
        </w:rPr>
        <w:t xml:space="preserve">and to </w:t>
      </w:r>
      <w:r w:rsidRPr="0076465E">
        <w:rPr>
          <w:i/>
          <w:szCs w:val="18"/>
        </w:rPr>
        <w:t>R.C. v. Sweden</w:t>
      </w:r>
      <w:r>
        <w:rPr>
          <w:iCs/>
          <w:szCs w:val="18"/>
        </w:rPr>
        <w:t>,</w:t>
      </w:r>
      <w:r w:rsidRPr="0076465E">
        <w:rPr>
          <w:szCs w:val="18"/>
        </w:rPr>
        <w:t xml:space="preserve"> E</w:t>
      </w:r>
      <w:r>
        <w:rPr>
          <w:szCs w:val="18"/>
        </w:rPr>
        <w:t>uropean Cour</w:t>
      </w:r>
      <w:r w:rsidRPr="0076465E">
        <w:rPr>
          <w:szCs w:val="18"/>
        </w:rPr>
        <w:t>t</w:t>
      </w:r>
      <w:r>
        <w:rPr>
          <w:szCs w:val="18"/>
        </w:rPr>
        <w:t xml:space="preserve"> of </w:t>
      </w:r>
      <w:r w:rsidRPr="0076465E">
        <w:rPr>
          <w:szCs w:val="18"/>
        </w:rPr>
        <w:t>H</w:t>
      </w:r>
      <w:r>
        <w:rPr>
          <w:szCs w:val="18"/>
        </w:rPr>
        <w:t xml:space="preserve">uman </w:t>
      </w:r>
      <w:r w:rsidRPr="0076465E">
        <w:rPr>
          <w:szCs w:val="18"/>
        </w:rPr>
        <w:t>R</w:t>
      </w:r>
      <w:r>
        <w:rPr>
          <w:szCs w:val="18"/>
        </w:rPr>
        <w:t xml:space="preserve">ights </w:t>
      </w:r>
      <w:r>
        <w:t>judgment of 9 June 2010</w:t>
      </w:r>
      <w:r w:rsidRPr="0076465E">
        <w:rPr>
          <w:szCs w:val="18"/>
        </w:rPr>
        <w:t xml:space="preserve">. </w:t>
      </w:r>
      <w:r>
        <w:rPr>
          <w:szCs w:val="18"/>
        </w:rPr>
        <w:t>They also</w:t>
      </w:r>
      <w:r w:rsidRPr="0076465E">
        <w:rPr>
          <w:szCs w:val="18"/>
        </w:rPr>
        <w:t xml:space="preserve"> </w:t>
      </w:r>
      <w:r>
        <w:rPr>
          <w:szCs w:val="18"/>
        </w:rPr>
        <w:t>refer to several</w:t>
      </w:r>
      <w:r w:rsidRPr="0076465E">
        <w:rPr>
          <w:szCs w:val="18"/>
        </w:rPr>
        <w:t xml:space="preserve"> international sources on the situation of human rights in </w:t>
      </w:r>
      <w:r>
        <w:rPr>
          <w:szCs w:val="18"/>
        </w:rPr>
        <w:t xml:space="preserve">the Islamic Republic of </w:t>
      </w:r>
      <w:r w:rsidRPr="0076465E">
        <w:rPr>
          <w:szCs w:val="18"/>
        </w:rPr>
        <w:t xml:space="preserve">Iran, </w:t>
      </w:r>
      <w:r>
        <w:rPr>
          <w:szCs w:val="18"/>
        </w:rPr>
        <w:t xml:space="preserve">such as </w:t>
      </w:r>
      <w:r w:rsidRPr="004F339F">
        <w:rPr>
          <w:i/>
          <w:szCs w:val="18"/>
        </w:rPr>
        <w:t>Country Advice</w:t>
      </w:r>
      <w:r>
        <w:rPr>
          <w:i/>
          <w:szCs w:val="18"/>
        </w:rPr>
        <w:t>:</w:t>
      </w:r>
      <w:r w:rsidRPr="004F339F">
        <w:rPr>
          <w:i/>
          <w:szCs w:val="18"/>
        </w:rPr>
        <w:t xml:space="preserve"> Iran</w:t>
      </w:r>
      <w:r w:rsidRPr="00277E23" w:rsidDel="004F339F">
        <w:rPr>
          <w:szCs w:val="18"/>
        </w:rPr>
        <w:t xml:space="preserve"> </w:t>
      </w:r>
      <w:r w:rsidRPr="00277E23">
        <w:rPr>
          <w:i/>
          <w:iCs/>
          <w:szCs w:val="18"/>
        </w:rPr>
        <w:t>2009</w:t>
      </w:r>
      <w:r>
        <w:rPr>
          <w:szCs w:val="18"/>
        </w:rPr>
        <w:t xml:space="preserve"> published by the</w:t>
      </w:r>
      <w:r w:rsidRPr="00277E23">
        <w:rPr>
          <w:szCs w:val="18"/>
        </w:rPr>
        <w:t xml:space="preserve"> </w:t>
      </w:r>
      <w:r w:rsidRPr="0076465E">
        <w:rPr>
          <w:szCs w:val="18"/>
        </w:rPr>
        <w:t>Australia</w:t>
      </w:r>
      <w:r>
        <w:rPr>
          <w:szCs w:val="18"/>
        </w:rPr>
        <w:t>n Government</w:t>
      </w:r>
      <w:r w:rsidRPr="0076465E">
        <w:rPr>
          <w:szCs w:val="18"/>
        </w:rPr>
        <w:t xml:space="preserve"> Refugee Review Tribunal on 19 August 2010,</w:t>
      </w:r>
      <w:r>
        <w:rPr>
          <w:szCs w:val="18"/>
        </w:rPr>
        <w:t xml:space="preserve"> available from </w:t>
      </w:r>
      <w:hyperlink r:id="rId1" w:history="1">
        <w:r w:rsidRPr="00732F63">
          <w:rPr>
            <w:rStyle w:val="Hyperlink"/>
            <w:szCs w:val="18"/>
          </w:rPr>
          <w:t>www.refworld.org/publisher,AUS_RRT,,IRN,4ec4d1d72,0.html</w:t>
        </w:r>
      </w:hyperlink>
      <w:r>
        <w:rPr>
          <w:szCs w:val="18"/>
        </w:rPr>
        <w:t xml:space="preserve">; </w:t>
      </w:r>
      <w:r w:rsidRPr="00EF5F61">
        <w:rPr>
          <w:szCs w:val="18"/>
        </w:rPr>
        <w:t xml:space="preserve">a report of the Iranian Intelligence Service; </w:t>
      </w:r>
      <w:r w:rsidRPr="00EF5F61">
        <w:rPr>
          <w:i/>
          <w:szCs w:val="18"/>
        </w:rPr>
        <w:t>B.A.</w:t>
      </w:r>
      <w:r w:rsidRPr="00EF5F61">
        <w:rPr>
          <w:i/>
          <w:iCs/>
        </w:rPr>
        <w:t xml:space="preserve"> (Demonstrators in Britain - risk on return)</w:t>
      </w:r>
      <w:r w:rsidRPr="00EF5F61">
        <w:rPr>
          <w:i/>
          <w:szCs w:val="18"/>
        </w:rPr>
        <w:t xml:space="preserve"> Iran v. Secretary of State for Home Department</w:t>
      </w:r>
      <w:r>
        <w:rPr>
          <w:iCs/>
          <w:szCs w:val="18"/>
        </w:rPr>
        <w:t>,</w:t>
      </w:r>
      <w:r w:rsidRPr="00EF5F61">
        <w:rPr>
          <w:szCs w:val="18"/>
        </w:rPr>
        <w:t xml:space="preserve"> </w:t>
      </w:r>
      <w:r w:rsidRPr="00EF5F61">
        <w:t>CG [2011] UKUT 36 (IAC), United Kingdom: Upper Tribunal (Immigration and Asylum Chamber), 1 February 2011, available from www.refworld.org/docid/4d5a8c7d2.html; and United Kingdom: Home Office, “Operational guidance note – Iran”, (IRAN OGN v6), 15 March 2011, available from www.refworld.org/docid/4d7f54a42.html.</w:t>
      </w:r>
      <w:r w:rsidRPr="00EF5F61">
        <w:rPr>
          <w:iCs/>
          <w:szCs w:val="18"/>
        </w:rPr>
        <w:t xml:space="preserve"> According to the reports, </w:t>
      </w:r>
      <w:r w:rsidRPr="00EF5F61">
        <w:rPr>
          <w:szCs w:val="18"/>
        </w:rPr>
        <w:t xml:space="preserve">members and supporters of Kurdish opposition groups, such as Komala, are in real danger of being persecuted. </w:t>
      </w:r>
      <w:r w:rsidRPr="00EF5F61">
        <w:t>Kurdish opposition groups suspected of separatist aspirations are brutally suppressed and individuals suspected of being members of those groups are arrested and imprisoned and some of them sentenced to death. Although the Iranian Constitution prohibits arbitrary arrest and detention, the prohibition is not respected. Suspected dissidents are frequently held in unofficial detention centres, and there are numerous credible reports alleging that members of the security forces and prison personnel torture detainees and prisoners.</w:t>
      </w:r>
      <w:r w:rsidRPr="00713A97">
        <w:t xml:space="preserve"> </w:t>
      </w:r>
    </w:p>
  </w:footnote>
  <w:footnote w:id="8">
    <w:p w:rsidR="00F547D6" w:rsidRPr="008B2AD6" w:rsidRDefault="00F547D6" w:rsidP="00057758">
      <w:pPr>
        <w:pStyle w:val="FootnoteText"/>
        <w:widowControl w:val="0"/>
        <w:tabs>
          <w:tab w:val="clear" w:pos="1021"/>
          <w:tab w:val="right" w:pos="1020"/>
        </w:tabs>
        <w:rPr>
          <w:lang w:val="en-US"/>
        </w:rPr>
      </w:pPr>
      <w:r>
        <w:tab/>
      </w:r>
      <w:r>
        <w:rPr>
          <w:rStyle w:val="FootnoteReference"/>
        </w:rPr>
        <w:footnoteRef/>
      </w:r>
      <w:r>
        <w:tab/>
        <w:t xml:space="preserve">Aliens Act (301/2004, amendments up to 549/2010 included) sect. 88 (1). </w:t>
      </w:r>
    </w:p>
  </w:footnote>
  <w:footnote w:id="9">
    <w:p w:rsidR="00F547D6" w:rsidRPr="008B2AD6" w:rsidRDefault="00F547D6" w:rsidP="00057758">
      <w:pPr>
        <w:pStyle w:val="FootnoteText"/>
        <w:widowControl w:val="0"/>
        <w:tabs>
          <w:tab w:val="clear" w:pos="1021"/>
          <w:tab w:val="right" w:pos="1020"/>
        </w:tabs>
        <w:rPr>
          <w:lang w:val="en-US"/>
        </w:rPr>
      </w:pPr>
      <w:r>
        <w:tab/>
      </w:r>
      <w:r>
        <w:rPr>
          <w:rStyle w:val="FootnoteReference"/>
        </w:rPr>
        <w:footnoteRef/>
      </w:r>
      <w:r>
        <w:tab/>
        <w:t xml:space="preserve">Ibid., sect. 98 (3). </w:t>
      </w:r>
    </w:p>
  </w:footnote>
  <w:footnote w:id="10">
    <w:p w:rsidR="00F547D6" w:rsidRPr="008B2AD6" w:rsidRDefault="00F547D6" w:rsidP="005F13BE">
      <w:pPr>
        <w:pStyle w:val="FootnoteText"/>
        <w:widowControl w:val="0"/>
        <w:tabs>
          <w:tab w:val="clear" w:pos="1021"/>
          <w:tab w:val="right" w:pos="1020"/>
        </w:tabs>
        <w:rPr>
          <w:lang w:val="en-US"/>
        </w:rPr>
      </w:pPr>
      <w:r>
        <w:tab/>
      </w:r>
      <w:r>
        <w:rPr>
          <w:rStyle w:val="FootnoteReference"/>
        </w:rPr>
        <w:footnoteRef/>
      </w:r>
      <w:r>
        <w:tab/>
      </w:r>
      <w:r w:rsidRPr="00D44510">
        <w:rPr>
          <w:iCs/>
        </w:rPr>
        <w:t>Ibid.</w:t>
      </w:r>
      <w:r>
        <w:rPr>
          <w:iCs/>
        </w:rPr>
        <w:t>, sect. 98 (2).</w:t>
      </w:r>
      <w:r>
        <w:t xml:space="preserve"> </w:t>
      </w:r>
    </w:p>
  </w:footnote>
  <w:footnote w:id="11">
    <w:p w:rsidR="00F547D6" w:rsidRPr="000E3A66" w:rsidRDefault="00F547D6" w:rsidP="000E3A66">
      <w:pPr>
        <w:pStyle w:val="FootnoteText"/>
        <w:widowControl w:val="0"/>
        <w:tabs>
          <w:tab w:val="clear" w:pos="1021"/>
          <w:tab w:val="right" w:pos="1020"/>
          <w:tab w:val="left" w:pos="5490"/>
        </w:tabs>
        <w:rPr>
          <w:lang w:val="en-US"/>
        </w:rPr>
      </w:pPr>
      <w:r>
        <w:tab/>
      </w:r>
      <w:r w:rsidRPr="002D165F">
        <w:rPr>
          <w:rStyle w:val="FootnoteReference"/>
        </w:rPr>
        <w:footnoteRef/>
      </w:r>
      <w:r w:rsidRPr="002D165F">
        <w:tab/>
      </w:r>
      <w:r w:rsidRPr="000E3A66">
        <w:t>G</w:t>
      </w:r>
      <w:r w:rsidRPr="000E3A66">
        <w:rPr>
          <w:szCs w:val="18"/>
        </w:rPr>
        <w:t xml:space="preserve">eneral comment No. 1 (1996) on the implementation of article 3, </w:t>
      </w:r>
      <w:r w:rsidRPr="000E3A66">
        <w:rPr>
          <w:i/>
          <w:szCs w:val="18"/>
        </w:rPr>
        <w:t>Official Records of the General Assembly, Fifty-third Session, Supplement No. 44</w:t>
      </w:r>
      <w:r w:rsidRPr="000E3A66">
        <w:rPr>
          <w:szCs w:val="18"/>
        </w:rPr>
        <w:t xml:space="preserve"> (A/53/44 and Corr. 1), annex IX, </w:t>
      </w:r>
      <w:r w:rsidRPr="000E3A66">
        <w:t>paras. 6 and 7</w:t>
      </w:r>
      <w:r w:rsidRPr="000E3A66">
        <w:rPr>
          <w:szCs w:val="18"/>
        </w:rPr>
        <w:t>.</w:t>
      </w:r>
      <w:r w:rsidRPr="000E3A66">
        <w:t xml:space="preserve"> </w:t>
      </w:r>
    </w:p>
  </w:footnote>
  <w:footnote w:id="12">
    <w:p w:rsidR="00F547D6" w:rsidRDefault="00F547D6" w:rsidP="000E3A66">
      <w:pPr>
        <w:pStyle w:val="FootnoteText"/>
      </w:pPr>
      <w:r w:rsidRPr="000E3A66">
        <w:tab/>
      </w:r>
      <w:r w:rsidRPr="000E3A66">
        <w:rPr>
          <w:rStyle w:val="FootnoteReference"/>
        </w:rPr>
        <w:footnoteRef/>
      </w:r>
      <w:r w:rsidRPr="000E3A66">
        <w:t xml:space="preserve"> </w:t>
      </w:r>
      <w:r w:rsidRPr="000E3A66">
        <w:tab/>
      </w:r>
      <w:r w:rsidRPr="000E3A66">
        <w:rPr>
          <w:szCs w:val="18"/>
        </w:rPr>
        <w:t xml:space="preserve">Ibid., </w:t>
      </w:r>
      <w:r w:rsidRPr="000E3A66">
        <w:t>para. 8</w:t>
      </w:r>
      <w:r w:rsidRPr="000E3A66">
        <w:rPr>
          <w:szCs w:val="18"/>
        </w:rPr>
        <w:t>.</w:t>
      </w:r>
    </w:p>
  </w:footnote>
  <w:footnote w:id="13">
    <w:p w:rsidR="00F547D6" w:rsidRDefault="00F547D6" w:rsidP="00177967">
      <w:pPr>
        <w:pStyle w:val="FootnoteText"/>
      </w:pPr>
      <w:r>
        <w:tab/>
      </w:r>
      <w:r>
        <w:rPr>
          <w:rStyle w:val="FootnoteReference"/>
        </w:rPr>
        <w:footnoteRef/>
      </w:r>
      <w:r>
        <w:t xml:space="preserve"> </w:t>
      </w:r>
      <w:r>
        <w:tab/>
        <w:t xml:space="preserve">The State party refers to </w:t>
      </w:r>
      <w:r w:rsidRPr="00D47CEF">
        <w:rPr>
          <w:i/>
        </w:rPr>
        <w:t>Vilvarajah and Others v. the United Kingdom</w:t>
      </w:r>
      <w:r>
        <w:t xml:space="preserve">, </w:t>
      </w:r>
      <w:r w:rsidRPr="0076465E">
        <w:rPr>
          <w:szCs w:val="18"/>
        </w:rPr>
        <w:t>E</w:t>
      </w:r>
      <w:r>
        <w:rPr>
          <w:szCs w:val="18"/>
        </w:rPr>
        <w:t>uropean Cour</w:t>
      </w:r>
      <w:r w:rsidRPr="0076465E">
        <w:rPr>
          <w:szCs w:val="18"/>
        </w:rPr>
        <w:t>t</w:t>
      </w:r>
      <w:r>
        <w:rPr>
          <w:szCs w:val="18"/>
        </w:rPr>
        <w:t xml:space="preserve"> of </w:t>
      </w:r>
      <w:r w:rsidRPr="0076465E">
        <w:rPr>
          <w:szCs w:val="18"/>
        </w:rPr>
        <w:t>H</w:t>
      </w:r>
      <w:r>
        <w:rPr>
          <w:szCs w:val="18"/>
        </w:rPr>
        <w:t xml:space="preserve">uman </w:t>
      </w:r>
      <w:r w:rsidRPr="0076465E">
        <w:rPr>
          <w:szCs w:val="18"/>
        </w:rPr>
        <w:t>R</w:t>
      </w:r>
      <w:r>
        <w:rPr>
          <w:szCs w:val="18"/>
        </w:rPr>
        <w:t>ights,</w:t>
      </w:r>
      <w:r>
        <w:t xml:space="preserve"> judgment of 30 October 1991. </w:t>
      </w:r>
    </w:p>
  </w:footnote>
  <w:footnote w:id="14">
    <w:p w:rsidR="00F547D6" w:rsidRPr="008A4131" w:rsidRDefault="00F547D6" w:rsidP="000E3A66">
      <w:pPr>
        <w:pStyle w:val="FootnoteText"/>
        <w:widowControl w:val="0"/>
        <w:tabs>
          <w:tab w:val="clear" w:pos="1021"/>
          <w:tab w:val="right" w:pos="1020"/>
        </w:tabs>
        <w:rPr>
          <w:lang w:val="en-US"/>
        </w:rPr>
      </w:pPr>
      <w:r>
        <w:tab/>
      </w:r>
      <w:r>
        <w:rPr>
          <w:rStyle w:val="FootnoteReference"/>
        </w:rPr>
        <w:footnoteRef/>
      </w:r>
      <w:r>
        <w:tab/>
        <w:t>See note 6 above.</w:t>
      </w:r>
    </w:p>
  </w:footnote>
  <w:footnote w:id="15">
    <w:p w:rsidR="00F547D6" w:rsidRPr="00B766BD" w:rsidRDefault="00F547D6" w:rsidP="002872C0">
      <w:pPr>
        <w:pStyle w:val="FootnoteText"/>
        <w:widowControl w:val="0"/>
        <w:spacing w:line="240" w:lineRule="auto"/>
      </w:pPr>
      <w:r>
        <w:tab/>
      </w:r>
      <w:r>
        <w:rPr>
          <w:rStyle w:val="FootnoteReference"/>
        </w:rPr>
        <w:footnoteRef/>
      </w:r>
      <w:r>
        <w:tab/>
        <w:t xml:space="preserve">See communications No. 357/2008, </w:t>
      </w:r>
      <w:r w:rsidRPr="00D44510">
        <w:rPr>
          <w:i/>
          <w:iCs/>
        </w:rPr>
        <w:t>Jahani v. Switzerland</w:t>
      </w:r>
      <w:r>
        <w:t xml:space="preserve">, decision adopted on 23 May 2011, para. 9.4, and No. 381/2009, </w:t>
      </w:r>
      <w:r w:rsidRPr="00D44510">
        <w:rPr>
          <w:i/>
          <w:iCs/>
        </w:rPr>
        <w:t>Faragollah et al v</w:t>
      </w:r>
      <w:r>
        <w:rPr>
          <w:i/>
          <w:iCs/>
        </w:rPr>
        <w:t>.</w:t>
      </w:r>
      <w:r w:rsidRPr="00D44510">
        <w:rPr>
          <w:i/>
          <w:iCs/>
        </w:rPr>
        <w:t xml:space="preserve"> </w:t>
      </w:r>
      <w:smartTag w:uri="urn:schemas-microsoft-com:office:smarttags" w:element="country-region">
        <w:smartTag w:uri="urn:schemas-microsoft-com:office:smarttags" w:element="place">
          <w:r w:rsidRPr="00D44510">
            <w:rPr>
              <w:i/>
              <w:iCs/>
            </w:rPr>
            <w:t>Switzerland</w:t>
          </w:r>
        </w:smartTag>
      </w:smartTag>
      <w:r>
        <w:t xml:space="preserve">, decision adopted on 21 November 2011, para. 9.4. </w:t>
      </w:r>
    </w:p>
  </w:footnote>
  <w:footnote w:id="16">
    <w:p w:rsidR="00F547D6" w:rsidRPr="008B2AD6" w:rsidRDefault="00F547D6" w:rsidP="002872C0">
      <w:pPr>
        <w:pStyle w:val="FootnoteText"/>
        <w:widowControl w:val="0"/>
        <w:tabs>
          <w:tab w:val="clear" w:pos="1021"/>
          <w:tab w:val="right" w:pos="1020"/>
        </w:tabs>
        <w:rPr>
          <w:lang w:val="en-US"/>
        </w:rPr>
      </w:pPr>
      <w:r>
        <w:tab/>
      </w:r>
      <w:r>
        <w:rPr>
          <w:rStyle w:val="FootnoteReference"/>
        </w:rPr>
        <w:footnoteRef/>
      </w:r>
      <w:r>
        <w:tab/>
      </w:r>
      <w:r w:rsidRPr="00E5640C">
        <w:t xml:space="preserve">See, inter alia, communications No. 203/2002, </w:t>
      </w:r>
      <w:r w:rsidRPr="00D44510">
        <w:rPr>
          <w:i/>
          <w:iCs/>
        </w:rPr>
        <w:t>A.R. v. Netherlands</w:t>
      </w:r>
      <w:r>
        <w:t>, decision adopted on 14 </w:t>
      </w:r>
      <w:r w:rsidRPr="00E5640C">
        <w:t>November 2003</w:t>
      </w:r>
      <w:r>
        <w:t>,</w:t>
      </w:r>
      <w:r w:rsidRPr="00E5640C">
        <w:t xml:space="preserve"> and No. 258/2004, </w:t>
      </w:r>
      <w:r w:rsidRPr="00D44510">
        <w:rPr>
          <w:i/>
          <w:iCs/>
        </w:rPr>
        <w:t>Dadar v. Canada</w:t>
      </w:r>
      <w:r w:rsidRPr="00E5640C">
        <w:t>, decision adopted on 23 November 2005.</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D6" w:rsidRPr="0066683F" w:rsidRDefault="00F547D6" w:rsidP="00275413">
    <w:pPr>
      <w:pStyle w:val="Header"/>
    </w:pPr>
    <w:r>
      <w:t>CAT/C/52/D/483/2011-CAT/C/52/D/485/2011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D6" w:rsidRPr="0066683F" w:rsidRDefault="00F547D6" w:rsidP="00275413">
    <w:pPr>
      <w:pStyle w:val="Header"/>
      <w:jc w:val="right"/>
    </w:pPr>
    <w:r>
      <w:t>CAT/C/52/D/483/2011-CAT/C/52/D/485/2011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683F"/>
    <w:rsid w:val="000011A6"/>
    <w:rsid w:val="0000248A"/>
    <w:rsid w:val="00004F04"/>
    <w:rsid w:val="00005D85"/>
    <w:rsid w:val="00010257"/>
    <w:rsid w:val="00015656"/>
    <w:rsid w:val="000179F9"/>
    <w:rsid w:val="000252DE"/>
    <w:rsid w:val="00042645"/>
    <w:rsid w:val="00050F6B"/>
    <w:rsid w:val="00056FA4"/>
    <w:rsid w:val="00057758"/>
    <w:rsid w:val="00057E97"/>
    <w:rsid w:val="00072C8C"/>
    <w:rsid w:val="000733B5"/>
    <w:rsid w:val="00081815"/>
    <w:rsid w:val="000931C0"/>
    <w:rsid w:val="00094B47"/>
    <w:rsid w:val="00096A69"/>
    <w:rsid w:val="000A49D8"/>
    <w:rsid w:val="000B13DA"/>
    <w:rsid w:val="000B175B"/>
    <w:rsid w:val="000B3A0F"/>
    <w:rsid w:val="000B4EF7"/>
    <w:rsid w:val="000C2C03"/>
    <w:rsid w:val="000C2D2E"/>
    <w:rsid w:val="000E0415"/>
    <w:rsid w:val="000E3A66"/>
    <w:rsid w:val="00102AEE"/>
    <w:rsid w:val="001103AA"/>
    <w:rsid w:val="00121EB7"/>
    <w:rsid w:val="001450BD"/>
    <w:rsid w:val="00147FF2"/>
    <w:rsid w:val="00152B44"/>
    <w:rsid w:val="00153179"/>
    <w:rsid w:val="00165F3A"/>
    <w:rsid w:val="00177967"/>
    <w:rsid w:val="00182C1A"/>
    <w:rsid w:val="00183227"/>
    <w:rsid w:val="00185D36"/>
    <w:rsid w:val="00193BD3"/>
    <w:rsid w:val="00197B02"/>
    <w:rsid w:val="001B1FE3"/>
    <w:rsid w:val="001B4B04"/>
    <w:rsid w:val="001C2706"/>
    <w:rsid w:val="001C6663"/>
    <w:rsid w:val="001C7895"/>
    <w:rsid w:val="001D0C8C"/>
    <w:rsid w:val="001D26DF"/>
    <w:rsid w:val="001D2C5F"/>
    <w:rsid w:val="001D3A03"/>
    <w:rsid w:val="001E2A28"/>
    <w:rsid w:val="001F6261"/>
    <w:rsid w:val="001F7239"/>
    <w:rsid w:val="00202DA8"/>
    <w:rsid w:val="002053C4"/>
    <w:rsid w:val="00211E0B"/>
    <w:rsid w:val="00223AC7"/>
    <w:rsid w:val="00235200"/>
    <w:rsid w:val="002434CB"/>
    <w:rsid w:val="0025531A"/>
    <w:rsid w:val="00256265"/>
    <w:rsid w:val="00256476"/>
    <w:rsid w:val="00262A20"/>
    <w:rsid w:val="00267CF0"/>
    <w:rsid w:val="00267F5F"/>
    <w:rsid w:val="0027311A"/>
    <w:rsid w:val="00275413"/>
    <w:rsid w:val="00277E23"/>
    <w:rsid w:val="002834B6"/>
    <w:rsid w:val="00284EAF"/>
    <w:rsid w:val="00286B4D"/>
    <w:rsid w:val="002872C0"/>
    <w:rsid w:val="00294B1C"/>
    <w:rsid w:val="002955D6"/>
    <w:rsid w:val="00297799"/>
    <w:rsid w:val="002A6A63"/>
    <w:rsid w:val="002B3C39"/>
    <w:rsid w:val="002B466B"/>
    <w:rsid w:val="002B52BC"/>
    <w:rsid w:val="002C0277"/>
    <w:rsid w:val="002D165F"/>
    <w:rsid w:val="002D713C"/>
    <w:rsid w:val="002E0519"/>
    <w:rsid w:val="002E6194"/>
    <w:rsid w:val="002F175C"/>
    <w:rsid w:val="002F1A00"/>
    <w:rsid w:val="002F4A6E"/>
    <w:rsid w:val="0030400E"/>
    <w:rsid w:val="003229D8"/>
    <w:rsid w:val="00330E56"/>
    <w:rsid w:val="00340127"/>
    <w:rsid w:val="00341033"/>
    <w:rsid w:val="00342122"/>
    <w:rsid w:val="00352709"/>
    <w:rsid w:val="00357667"/>
    <w:rsid w:val="003619B5"/>
    <w:rsid w:val="00371178"/>
    <w:rsid w:val="00376EAB"/>
    <w:rsid w:val="00393BFA"/>
    <w:rsid w:val="003A44C3"/>
    <w:rsid w:val="003A6810"/>
    <w:rsid w:val="003B119C"/>
    <w:rsid w:val="003B7635"/>
    <w:rsid w:val="003C2CC4"/>
    <w:rsid w:val="003C708C"/>
    <w:rsid w:val="003D1BF0"/>
    <w:rsid w:val="003D315D"/>
    <w:rsid w:val="003D4B23"/>
    <w:rsid w:val="003E23DC"/>
    <w:rsid w:val="003E476A"/>
    <w:rsid w:val="003F4AB9"/>
    <w:rsid w:val="00410C89"/>
    <w:rsid w:val="00416EAF"/>
    <w:rsid w:val="00426B9B"/>
    <w:rsid w:val="004325CB"/>
    <w:rsid w:val="00442A83"/>
    <w:rsid w:val="004437F2"/>
    <w:rsid w:val="0045495B"/>
    <w:rsid w:val="00467DD9"/>
    <w:rsid w:val="00470C20"/>
    <w:rsid w:val="00475072"/>
    <w:rsid w:val="00484DDB"/>
    <w:rsid w:val="00492E0E"/>
    <w:rsid w:val="004A3C18"/>
    <w:rsid w:val="004B4A2B"/>
    <w:rsid w:val="004B4C23"/>
    <w:rsid w:val="004B7802"/>
    <w:rsid w:val="004D0D0F"/>
    <w:rsid w:val="004F339F"/>
    <w:rsid w:val="00502AFD"/>
    <w:rsid w:val="005045AB"/>
    <w:rsid w:val="005053C9"/>
    <w:rsid w:val="00511C50"/>
    <w:rsid w:val="00514AFE"/>
    <w:rsid w:val="0052136D"/>
    <w:rsid w:val="0052490F"/>
    <w:rsid w:val="0052775E"/>
    <w:rsid w:val="005420F2"/>
    <w:rsid w:val="005450A9"/>
    <w:rsid w:val="005628B6"/>
    <w:rsid w:val="005A0390"/>
    <w:rsid w:val="005B3DB3"/>
    <w:rsid w:val="005D0FDF"/>
    <w:rsid w:val="005F13BE"/>
    <w:rsid w:val="005F7B75"/>
    <w:rsid w:val="006001EE"/>
    <w:rsid w:val="00601869"/>
    <w:rsid w:val="00605042"/>
    <w:rsid w:val="00606DF0"/>
    <w:rsid w:val="00611FC4"/>
    <w:rsid w:val="006168D6"/>
    <w:rsid w:val="006176FB"/>
    <w:rsid w:val="00640B26"/>
    <w:rsid w:val="0064140C"/>
    <w:rsid w:val="00642311"/>
    <w:rsid w:val="00646C82"/>
    <w:rsid w:val="00652D0A"/>
    <w:rsid w:val="00662BB6"/>
    <w:rsid w:val="00663DF3"/>
    <w:rsid w:val="0066683F"/>
    <w:rsid w:val="00684C21"/>
    <w:rsid w:val="006B2B77"/>
    <w:rsid w:val="006C19AB"/>
    <w:rsid w:val="006D37AF"/>
    <w:rsid w:val="006D51D0"/>
    <w:rsid w:val="006D7E5D"/>
    <w:rsid w:val="006E564B"/>
    <w:rsid w:val="006E7191"/>
    <w:rsid w:val="006F5689"/>
    <w:rsid w:val="00703577"/>
    <w:rsid w:val="007062B5"/>
    <w:rsid w:val="00712CEB"/>
    <w:rsid w:val="00713A97"/>
    <w:rsid w:val="00721340"/>
    <w:rsid w:val="0072632A"/>
    <w:rsid w:val="007327D5"/>
    <w:rsid w:val="007506BB"/>
    <w:rsid w:val="0075154A"/>
    <w:rsid w:val="007629C8"/>
    <w:rsid w:val="00773B47"/>
    <w:rsid w:val="00780492"/>
    <w:rsid w:val="007B6BA5"/>
    <w:rsid w:val="007C3390"/>
    <w:rsid w:val="007C36FB"/>
    <w:rsid w:val="007C4F4B"/>
    <w:rsid w:val="007D0A5E"/>
    <w:rsid w:val="007D6EFB"/>
    <w:rsid w:val="007E4694"/>
    <w:rsid w:val="007F22CE"/>
    <w:rsid w:val="007F6611"/>
    <w:rsid w:val="007F7A51"/>
    <w:rsid w:val="0080279E"/>
    <w:rsid w:val="00812A3B"/>
    <w:rsid w:val="008242D7"/>
    <w:rsid w:val="008257B1"/>
    <w:rsid w:val="00836A59"/>
    <w:rsid w:val="00843086"/>
    <w:rsid w:val="00843767"/>
    <w:rsid w:val="00861E13"/>
    <w:rsid w:val="00862C1A"/>
    <w:rsid w:val="0086651F"/>
    <w:rsid w:val="008679D9"/>
    <w:rsid w:val="008979B1"/>
    <w:rsid w:val="00897AF6"/>
    <w:rsid w:val="008A4131"/>
    <w:rsid w:val="008A6B25"/>
    <w:rsid w:val="008A6C4F"/>
    <w:rsid w:val="008B2335"/>
    <w:rsid w:val="008B2AD6"/>
    <w:rsid w:val="008E0678"/>
    <w:rsid w:val="008E0F9D"/>
    <w:rsid w:val="008E4285"/>
    <w:rsid w:val="0091043B"/>
    <w:rsid w:val="009223CA"/>
    <w:rsid w:val="00922A55"/>
    <w:rsid w:val="00924766"/>
    <w:rsid w:val="00940F93"/>
    <w:rsid w:val="00945D3C"/>
    <w:rsid w:val="00953625"/>
    <w:rsid w:val="009700BD"/>
    <w:rsid w:val="009760F3"/>
    <w:rsid w:val="00987137"/>
    <w:rsid w:val="00991CE2"/>
    <w:rsid w:val="009A0E8D"/>
    <w:rsid w:val="009B26E7"/>
    <w:rsid w:val="009B7DC5"/>
    <w:rsid w:val="009E63AC"/>
    <w:rsid w:val="009F28F0"/>
    <w:rsid w:val="00A00A3F"/>
    <w:rsid w:val="00A01489"/>
    <w:rsid w:val="00A069A6"/>
    <w:rsid w:val="00A1624D"/>
    <w:rsid w:val="00A2085D"/>
    <w:rsid w:val="00A27CE2"/>
    <w:rsid w:val="00A338F1"/>
    <w:rsid w:val="00A5214F"/>
    <w:rsid w:val="00A618E1"/>
    <w:rsid w:val="00A72F22"/>
    <w:rsid w:val="00A7360F"/>
    <w:rsid w:val="00A748A6"/>
    <w:rsid w:val="00A769F4"/>
    <w:rsid w:val="00A776B4"/>
    <w:rsid w:val="00A84106"/>
    <w:rsid w:val="00A94361"/>
    <w:rsid w:val="00A94975"/>
    <w:rsid w:val="00AA293C"/>
    <w:rsid w:val="00AA3578"/>
    <w:rsid w:val="00AA4588"/>
    <w:rsid w:val="00AA7E40"/>
    <w:rsid w:val="00AE0680"/>
    <w:rsid w:val="00B26E6B"/>
    <w:rsid w:val="00B30179"/>
    <w:rsid w:val="00B45619"/>
    <w:rsid w:val="00B47464"/>
    <w:rsid w:val="00B502F4"/>
    <w:rsid w:val="00B54F31"/>
    <w:rsid w:val="00B56E4A"/>
    <w:rsid w:val="00B56E9C"/>
    <w:rsid w:val="00B64B1F"/>
    <w:rsid w:val="00B64D68"/>
    <w:rsid w:val="00B6553F"/>
    <w:rsid w:val="00B707FC"/>
    <w:rsid w:val="00B77D05"/>
    <w:rsid w:val="00B81206"/>
    <w:rsid w:val="00B81E12"/>
    <w:rsid w:val="00B92937"/>
    <w:rsid w:val="00B947AC"/>
    <w:rsid w:val="00B94B54"/>
    <w:rsid w:val="00B97EE2"/>
    <w:rsid w:val="00BA0B70"/>
    <w:rsid w:val="00BA31A6"/>
    <w:rsid w:val="00BC74E9"/>
    <w:rsid w:val="00BD530F"/>
    <w:rsid w:val="00BD7079"/>
    <w:rsid w:val="00BE289B"/>
    <w:rsid w:val="00BF68A8"/>
    <w:rsid w:val="00BF7505"/>
    <w:rsid w:val="00C11A03"/>
    <w:rsid w:val="00C11C69"/>
    <w:rsid w:val="00C20E0C"/>
    <w:rsid w:val="00C42634"/>
    <w:rsid w:val="00C44117"/>
    <w:rsid w:val="00C463DD"/>
    <w:rsid w:val="00C4697E"/>
    <w:rsid w:val="00C4724C"/>
    <w:rsid w:val="00C54116"/>
    <w:rsid w:val="00C629A0"/>
    <w:rsid w:val="00C673CC"/>
    <w:rsid w:val="00C745C3"/>
    <w:rsid w:val="00CA5201"/>
    <w:rsid w:val="00CB7DDD"/>
    <w:rsid w:val="00CC2691"/>
    <w:rsid w:val="00CD54B7"/>
    <w:rsid w:val="00CE4A8F"/>
    <w:rsid w:val="00D011F6"/>
    <w:rsid w:val="00D14C37"/>
    <w:rsid w:val="00D2031B"/>
    <w:rsid w:val="00D21697"/>
    <w:rsid w:val="00D23C45"/>
    <w:rsid w:val="00D25FE2"/>
    <w:rsid w:val="00D30794"/>
    <w:rsid w:val="00D43252"/>
    <w:rsid w:val="00D44510"/>
    <w:rsid w:val="00D47706"/>
    <w:rsid w:val="00D47EEA"/>
    <w:rsid w:val="00D608FD"/>
    <w:rsid w:val="00D61903"/>
    <w:rsid w:val="00D70311"/>
    <w:rsid w:val="00D856F4"/>
    <w:rsid w:val="00D92CA9"/>
    <w:rsid w:val="00D93CC8"/>
    <w:rsid w:val="00D95303"/>
    <w:rsid w:val="00D978C6"/>
    <w:rsid w:val="00DA3C1C"/>
    <w:rsid w:val="00DC1764"/>
    <w:rsid w:val="00DD3023"/>
    <w:rsid w:val="00DE1717"/>
    <w:rsid w:val="00DF16C8"/>
    <w:rsid w:val="00E1105D"/>
    <w:rsid w:val="00E15122"/>
    <w:rsid w:val="00E15923"/>
    <w:rsid w:val="00E27346"/>
    <w:rsid w:val="00E32EFC"/>
    <w:rsid w:val="00E5053A"/>
    <w:rsid w:val="00E5640C"/>
    <w:rsid w:val="00E576D8"/>
    <w:rsid w:val="00E609F3"/>
    <w:rsid w:val="00E71BC8"/>
    <w:rsid w:val="00E7260F"/>
    <w:rsid w:val="00E7707E"/>
    <w:rsid w:val="00E823B7"/>
    <w:rsid w:val="00E96630"/>
    <w:rsid w:val="00ED7A2A"/>
    <w:rsid w:val="00EE2547"/>
    <w:rsid w:val="00EF1D7F"/>
    <w:rsid w:val="00EF5F61"/>
    <w:rsid w:val="00F167A8"/>
    <w:rsid w:val="00F34539"/>
    <w:rsid w:val="00F4436B"/>
    <w:rsid w:val="00F547D6"/>
    <w:rsid w:val="00F93781"/>
    <w:rsid w:val="00FA5869"/>
    <w:rsid w:val="00FB49DA"/>
    <w:rsid w:val="00FB58B9"/>
    <w:rsid w:val="00FB613B"/>
    <w:rsid w:val="00FC68B7"/>
    <w:rsid w:val="00FC6952"/>
    <w:rsid w:val="00FD7A72"/>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548B23E0-BCC8-4BB6-9718-0E6CC6DA2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Footnote number"/>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locked/>
    <w:rsid w:val="00922A55"/>
    <w:rPr>
      <w:sz w:val="18"/>
      <w:lang w:eastAsia="en-US"/>
    </w:rPr>
  </w:style>
  <w:style w:type="character" w:customStyle="1" w:styleId="SingleTxtGChar">
    <w:name w:val="_ Single Txt_G Char"/>
    <w:link w:val="SingleTxtG"/>
    <w:locked/>
    <w:rsid w:val="00467DD9"/>
    <w:rPr>
      <w:lang w:eastAsia="en-US"/>
    </w:rPr>
  </w:style>
  <w:style w:type="paragraph" w:styleId="NormalWeb">
    <w:name w:val="Normal (Web)"/>
    <w:basedOn w:val="Normal"/>
    <w:rsid w:val="00713A97"/>
    <w:rPr>
      <w:sz w:val="24"/>
      <w:szCs w:val="24"/>
    </w:rPr>
  </w:style>
  <w:style w:type="paragraph" w:styleId="BalloonText">
    <w:name w:val="Balloon Text"/>
    <w:basedOn w:val="Normal"/>
    <w:link w:val="BalloonTextChar"/>
    <w:rsid w:val="004B4A2B"/>
    <w:pPr>
      <w:spacing w:line="240" w:lineRule="auto"/>
    </w:pPr>
    <w:rPr>
      <w:rFonts w:ascii="Tahoma" w:hAnsi="Tahoma"/>
      <w:sz w:val="16"/>
      <w:szCs w:val="16"/>
    </w:rPr>
  </w:style>
  <w:style w:type="character" w:customStyle="1" w:styleId="BalloonTextChar">
    <w:name w:val="Balloon Text Char"/>
    <w:link w:val="BalloonText"/>
    <w:rsid w:val="004B4A2B"/>
    <w:rPr>
      <w:rFonts w:ascii="Tahoma" w:hAnsi="Tahoma" w:cs="Tahoma"/>
      <w:sz w:val="16"/>
      <w:szCs w:val="16"/>
      <w:lang w:eastAsia="en-US"/>
    </w:rPr>
  </w:style>
  <w:style w:type="character" w:styleId="CommentReference">
    <w:name w:val="annotation reference"/>
    <w:semiHidden/>
    <w:rsid w:val="00646C82"/>
    <w:rPr>
      <w:sz w:val="16"/>
      <w:szCs w:val="16"/>
    </w:rPr>
  </w:style>
  <w:style w:type="paragraph" w:styleId="CommentText">
    <w:name w:val="annotation text"/>
    <w:basedOn w:val="Normal"/>
    <w:semiHidden/>
    <w:rsid w:val="00646C82"/>
  </w:style>
  <w:style w:type="paragraph" w:styleId="CommentSubject">
    <w:name w:val="annotation subject"/>
    <w:basedOn w:val="CommentText"/>
    <w:next w:val="CommentText"/>
    <w:semiHidden/>
    <w:rsid w:val="00646C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91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refworld.org/publisher,AUS_RRT,,IRN,4ec4d1d72,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Template>
  <TotalTime>0</TotalTime>
  <Pages>9</Pages>
  <Words>3782</Words>
  <Characters>21563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25295</CharactersWithSpaces>
  <SharedDoc>false</SharedDoc>
  <HLinks>
    <vt:vector size="6" baseType="variant">
      <vt:variant>
        <vt:i4>5177466</vt:i4>
      </vt:variant>
      <vt:variant>
        <vt:i4>0</vt:i4>
      </vt:variant>
      <vt:variant>
        <vt:i4>0</vt:i4>
      </vt:variant>
      <vt:variant>
        <vt:i4>5</vt:i4>
      </vt:variant>
      <vt:variant>
        <vt:lpwstr>http://www.refworld.org/publisher,AUS_RRT,,IRN,4ec4d1d72,0.html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Anne Kawuki</dc:creator>
  <cp:keywords/>
  <cp:lastModifiedBy>Sarah Willig</cp:lastModifiedBy>
  <cp:revision>2</cp:revision>
  <cp:lastPrinted>2014-06-13T09:21:00Z</cp:lastPrinted>
  <dcterms:created xsi:type="dcterms:W3CDTF">2017-04-04T15:57:00Z</dcterms:created>
  <dcterms:modified xsi:type="dcterms:W3CDTF">2017-04-04T15:57:00Z</dcterms:modified>
</cp:coreProperties>
</file>