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4876DE" w:rsidRPr="00CE1CAD" w14:paraId="230B1D03" w14:textId="77777777">
        <w:trPr>
          <w:trHeight w:hRule="exact" w:val="851"/>
        </w:trPr>
        <w:tc>
          <w:tcPr>
            <w:tcW w:w="1276" w:type="dxa"/>
            <w:tcBorders>
              <w:bottom w:val="single" w:sz="4" w:space="0" w:color="auto"/>
            </w:tcBorders>
            <w:vAlign w:val="bottom"/>
          </w:tcPr>
          <w:p w14:paraId="25A73865" w14:textId="77777777" w:rsidR="004876DE" w:rsidRPr="00F45CC1" w:rsidRDefault="004876DE" w:rsidP="004876DE">
            <w:pPr>
              <w:spacing w:after="80"/>
              <w:rPr>
                <w:u w:val="single"/>
              </w:rPr>
            </w:pPr>
            <w:bookmarkStart w:id="0" w:name="_GoBack"/>
            <w:bookmarkEnd w:id="0"/>
          </w:p>
        </w:tc>
        <w:tc>
          <w:tcPr>
            <w:tcW w:w="1985" w:type="dxa"/>
            <w:tcBorders>
              <w:bottom w:val="single" w:sz="4" w:space="0" w:color="auto"/>
            </w:tcBorders>
            <w:vAlign w:val="bottom"/>
          </w:tcPr>
          <w:p w14:paraId="1B2B4745" w14:textId="77777777" w:rsidR="004876DE" w:rsidRPr="00CE1CAD" w:rsidRDefault="004876DE" w:rsidP="004876DE">
            <w:pPr>
              <w:spacing w:after="80" w:line="300" w:lineRule="exact"/>
              <w:rPr>
                <w:b/>
                <w:sz w:val="24"/>
                <w:szCs w:val="24"/>
              </w:rPr>
            </w:pPr>
            <w:r w:rsidRPr="00CE1CAD">
              <w:rPr>
                <w:sz w:val="28"/>
                <w:szCs w:val="28"/>
              </w:rPr>
              <w:t>United Nations</w:t>
            </w:r>
          </w:p>
        </w:tc>
        <w:tc>
          <w:tcPr>
            <w:tcW w:w="6378" w:type="dxa"/>
            <w:gridSpan w:val="2"/>
            <w:tcBorders>
              <w:bottom w:val="single" w:sz="4" w:space="0" w:color="auto"/>
            </w:tcBorders>
            <w:vAlign w:val="bottom"/>
          </w:tcPr>
          <w:p w14:paraId="6659EDF7" w14:textId="77777777" w:rsidR="004876DE" w:rsidRPr="00CE1CAD" w:rsidRDefault="004876DE" w:rsidP="00534EE6">
            <w:pPr>
              <w:jc w:val="right"/>
            </w:pPr>
            <w:r w:rsidRPr="00CE1CAD">
              <w:rPr>
                <w:sz w:val="40"/>
              </w:rPr>
              <w:t>CAT</w:t>
            </w:r>
            <w:r w:rsidR="00175F47" w:rsidRPr="00CE1CAD">
              <w:t>/C/5</w:t>
            </w:r>
            <w:r w:rsidR="002E78EF" w:rsidRPr="00CE1CAD">
              <w:t>6</w:t>
            </w:r>
            <w:r w:rsidR="007A5D50" w:rsidRPr="00CE1CAD">
              <w:t>/D/</w:t>
            </w:r>
            <w:r w:rsidR="00D53B47" w:rsidRPr="00CE1CAD">
              <w:t>671</w:t>
            </w:r>
            <w:r w:rsidR="007A5D50" w:rsidRPr="00CE1CAD">
              <w:t>/201</w:t>
            </w:r>
            <w:r w:rsidR="00D53B47" w:rsidRPr="00CE1CAD">
              <w:t>5</w:t>
            </w:r>
          </w:p>
        </w:tc>
      </w:tr>
      <w:tr w:rsidR="004876DE" w:rsidRPr="00CE1CAD" w14:paraId="173242D0" w14:textId="77777777">
        <w:trPr>
          <w:cantSplit/>
          <w:trHeight w:hRule="exact" w:val="2835"/>
        </w:trPr>
        <w:tc>
          <w:tcPr>
            <w:tcW w:w="1276" w:type="dxa"/>
            <w:tcBorders>
              <w:top w:val="single" w:sz="4" w:space="0" w:color="auto"/>
              <w:bottom w:val="single" w:sz="12" w:space="0" w:color="auto"/>
            </w:tcBorders>
          </w:tcPr>
          <w:p w14:paraId="7C64AE5D" w14:textId="77777777" w:rsidR="004876DE" w:rsidRPr="00CE1CAD" w:rsidRDefault="002851C9" w:rsidP="004876DE">
            <w:pPr>
              <w:spacing w:before="120"/>
            </w:pPr>
            <w:r w:rsidRPr="00CE1CAD">
              <w:rPr>
                <w:noProof/>
                <w:lang w:val="en-US"/>
              </w:rPr>
              <w:drawing>
                <wp:inline distT="0" distB="0" distL="0" distR="0" wp14:anchorId="7934C6B4" wp14:editId="78B7DA41">
                  <wp:extent cx="716280" cy="594360"/>
                  <wp:effectExtent l="0" t="0" r="762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82216B" w14:textId="77777777" w:rsidR="004876DE" w:rsidRPr="00CE1CAD" w:rsidRDefault="004876DE" w:rsidP="004876DE">
            <w:pPr>
              <w:spacing w:before="120" w:line="380" w:lineRule="exact"/>
              <w:rPr>
                <w:b/>
                <w:sz w:val="34"/>
                <w:szCs w:val="40"/>
              </w:rPr>
            </w:pPr>
            <w:r w:rsidRPr="00CE1CAD">
              <w:rPr>
                <w:b/>
                <w:sz w:val="34"/>
                <w:szCs w:val="40"/>
              </w:rPr>
              <w:t>Convention against Torture</w:t>
            </w:r>
            <w:r w:rsidRPr="00CE1CAD">
              <w:rPr>
                <w:b/>
                <w:sz w:val="34"/>
                <w:szCs w:val="40"/>
              </w:rPr>
              <w:br/>
              <w:t>and Other Cruel, Inhuman</w:t>
            </w:r>
            <w:r w:rsidRPr="00CE1CAD">
              <w:rPr>
                <w:b/>
                <w:sz w:val="34"/>
                <w:szCs w:val="40"/>
              </w:rPr>
              <w:br/>
              <w:t>or Degrading Treatment</w:t>
            </w:r>
            <w:r w:rsidRPr="00CE1CAD">
              <w:rPr>
                <w:b/>
                <w:sz w:val="34"/>
                <w:szCs w:val="40"/>
              </w:rPr>
              <w:br/>
              <w:t>or Punishment</w:t>
            </w:r>
          </w:p>
          <w:p w14:paraId="4448D49F" w14:textId="77777777" w:rsidR="00C6588B" w:rsidRPr="00CE1CAD" w:rsidRDefault="00C6588B" w:rsidP="004876DE">
            <w:pPr>
              <w:spacing w:before="120" w:line="380" w:lineRule="exact"/>
              <w:rPr>
                <w:sz w:val="34"/>
              </w:rPr>
            </w:pPr>
          </w:p>
        </w:tc>
        <w:tc>
          <w:tcPr>
            <w:tcW w:w="2835" w:type="dxa"/>
            <w:tcBorders>
              <w:top w:val="single" w:sz="4" w:space="0" w:color="auto"/>
              <w:bottom w:val="single" w:sz="12" w:space="0" w:color="auto"/>
            </w:tcBorders>
          </w:tcPr>
          <w:p w14:paraId="3911ADEE" w14:textId="77777777" w:rsidR="004876DE" w:rsidRPr="00CE1CAD" w:rsidRDefault="004876DE" w:rsidP="004876DE">
            <w:pPr>
              <w:spacing w:before="240" w:line="240" w:lineRule="exact"/>
            </w:pPr>
            <w:r w:rsidRPr="00CE1CAD">
              <w:t xml:space="preserve">Distr.: </w:t>
            </w:r>
            <w:r w:rsidR="00534EE6" w:rsidRPr="00CE1CAD">
              <w:t>General</w:t>
            </w:r>
          </w:p>
          <w:p w14:paraId="764A58F3" w14:textId="77777777" w:rsidR="004876DE" w:rsidRPr="00CE1CAD" w:rsidRDefault="002F2D08" w:rsidP="004876DE">
            <w:pPr>
              <w:spacing w:line="240" w:lineRule="exact"/>
            </w:pPr>
            <w:r w:rsidRPr="00CE1CAD">
              <w:t>10 February 2016</w:t>
            </w:r>
          </w:p>
          <w:p w14:paraId="1D436C26" w14:textId="77777777" w:rsidR="004876DE" w:rsidRPr="00CE1CAD" w:rsidRDefault="004876DE" w:rsidP="004876DE">
            <w:pPr>
              <w:spacing w:line="240" w:lineRule="exact"/>
            </w:pPr>
          </w:p>
          <w:p w14:paraId="3E98A9AC" w14:textId="77777777" w:rsidR="004876DE" w:rsidRPr="00CE1CAD" w:rsidRDefault="004876DE" w:rsidP="004876DE">
            <w:pPr>
              <w:spacing w:line="240" w:lineRule="exact"/>
            </w:pPr>
            <w:r w:rsidRPr="00CE1CAD">
              <w:t>Original: English</w:t>
            </w:r>
          </w:p>
          <w:p w14:paraId="01B20A59" w14:textId="77777777" w:rsidR="008D2B1B" w:rsidRPr="00CE1CAD" w:rsidRDefault="008D2B1B" w:rsidP="004876DE">
            <w:pPr>
              <w:spacing w:line="240" w:lineRule="exact"/>
            </w:pPr>
          </w:p>
          <w:p w14:paraId="2643AA29" w14:textId="77777777" w:rsidR="004876DE" w:rsidRPr="00CE1CAD" w:rsidRDefault="004876DE" w:rsidP="004876DE">
            <w:pPr>
              <w:spacing w:line="240" w:lineRule="exact"/>
            </w:pPr>
          </w:p>
          <w:p w14:paraId="0CE3B8B9" w14:textId="77777777" w:rsidR="004876DE" w:rsidRPr="00CE1CAD" w:rsidRDefault="004876DE" w:rsidP="004876DE">
            <w:pPr>
              <w:spacing w:line="240" w:lineRule="exact"/>
            </w:pPr>
          </w:p>
        </w:tc>
      </w:tr>
    </w:tbl>
    <w:p w14:paraId="7E39E27A" w14:textId="77777777" w:rsidR="00A63B24" w:rsidRPr="00A63B24" w:rsidRDefault="00A63B24" w:rsidP="00A63B24">
      <w:pPr>
        <w:spacing w:line="20" w:lineRule="exact"/>
        <w:rPr>
          <w:b/>
          <w:sz w:val="2"/>
          <w:szCs w:val="24"/>
        </w:rPr>
      </w:pPr>
      <w:r>
        <w:rPr>
          <w:rStyle w:val="CommentReference"/>
        </w:rPr>
        <w:commentReference w:id="1"/>
      </w:r>
    </w:p>
    <w:p w14:paraId="0DB25603" w14:textId="77777777" w:rsidR="004876DE" w:rsidRPr="00CE1CAD" w:rsidRDefault="004876DE" w:rsidP="004876DE">
      <w:pPr>
        <w:spacing w:before="120"/>
        <w:rPr>
          <w:b/>
          <w:sz w:val="24"/>
          <w:szCs w:val="24"/>
        </w:rPr>
      </w:pPr>
      <w:r w:rsidRPr="00CE1CAD">
        <w:rPr>
          <w:b/>
          <w:sz w:val="24"/>
          <w:szCs w:val="24"/>
        </w:rPr>
        <w:t>Committee against Torture</w:t>
      </w:r>
    </w:p>
    <w:p w14:paraId="0D9A75F4" w14:textId="77777777" w:rsidR="004876DE" w:rsidRPr="00CE1CAD" w:rsidRDefault="004876DE" w:rsidP="004876DE">
      <w:pPr>
        <w:pStyle w:val="HChG"/>
      </w:pPr>
      <w:r w:rsidRPr="00CE1CAD">
        <w:tab/>
      </w:r>
      <w:r w:rsidRPr="00CE1CAD">
        <w:tab/>
        <w:t xml:space="preserve">Communication No. </w:t>
      </w:r>
      <w:r w:rsidR="00D53B47" w:rsidRPr="00CE1CAD">
        <w:t>671</w:t>
      </w:r>
      <w:r w:rsidR="00DC526D" w:rsidRPr="00CE1CAD">
        <w:t>/201</w:t>
      </w:r>
      <w:r w:rsidR="00D53B47" w:rsidRPr="00CE1CAD">
        <w:t>5</w:t>
      </w:r>
      <w:r w:rsidRPr="00CE1CAD">
        <w:t xml:space="preserve"> </w:t>
      </w:r>
    </w:p>
    <w:p w14:paraId="79ABC257" w14:textId="77777777" w:rsidR="004876DE" w:rsidRPr="00CE1CAD" w:rsidRDefault="004876DE" w:rsidP="004876DE">
      <w:pPr>
        <w:pStyle w:val="H1G"/>
        <w:rPr>
          <w:vertAlign w:val="superscript"/>
        </w:rPr>
      </w:pPr>
      <w:r w:rsidRPr="00CE1CAD">
        <w:tab/>
      </w:r>
      <w:r w:rsidRPr="00CE1CAD">
        <w:tab/>
      </w:r>
      <w:r w:rsidR="00534EE6" w:rsidRPr="00CE1CAD">
        <w:t>Decision adopted by the Committee at its fifty-sixth session (9</w:t>
      </w:r>
      <w:r w:rsidR="008573CA" w:rsidRPr="00CE1CAD">
        <w:t> </w:t>
      </w:r>
      <w:r w:rsidR="00534EE6" w:rsidRPr="00CE1CAD">
        <w:t>November-9 December 2015)</w:t>
      </w:r>
    </w:p>
    <w:p w14:paraId="4D4B865B" w14:textId="77777777" w:rsidR="004876DE" w:rsidRPr="00CE1CAD" w:rsidRDefault="004876DE" w:rsidP="00CE1CAD">
      <w:pPr>
        <w:pStyle w:val="SingleTxtG"/>
        <w:ind w:left="4536" w:hanging="3402"/>
        <w:jc w:val="left"/>
        <w:rPr>
          <w:lang w:val="en-GB"/>
        </w:rPr>
      </w:pPr>
      <w:r w:rsidRPr="00CE1CAD">
        <w:rPr>
          <w:i/>
          <w:lang w:val="en-GB"/>
        </w:rPr>
        <w:t>Submitted by:</w:t>
      </w:r>
      <w:r w:rsidRPr="00CE1CAD">
        <w:rPr>
          <w:i/>
          <w:lang w:val="en-GB"/>
        </w:rPr>
        <w:tab/>
      </w:r>
      <w:r w:rsidR="00D53B47" w:rsidRPr="00CE1CAD">
        <w:rPr>
          <w:lang w:val="en-GB"/>
        </w:rPr>
        <w:t>D.I.S.</w:t>
      </w:r>
      <w:r w:rsidR="0010188D" w:rsidRPr="00CE1CAD">
        <w:rPr>
          <w:lang w:val="en-GB"/>
        </w:rPr>
        <w:t xml:space="preserve"> (represented by counsel</w:t>
      </w:r>
      <w:r w:rsidR="0014145F" w:rsidRPr="00CE1CAD">
        <w:rPr>
          <w:lang w:val="en-GB"/>
        </w:rPr>
        <w:t>,</w:t>
      </w:r>
      <w:r w:rsidR="0010188D" w:rsidRPr="00CE1CAD">
        <w:rPr>
          <w:lang w:val="en-GB"/>
        </w:rPr>
        <w:t xml:space="preserve"> </w:t>
      </w:r>
      <w:r w:rsidR="00D53B47" w:rsidRPr="00CE1CAD">
        <w:rPr>
          <w:lang w:val="en-GB"/>
        </w:rPr>
        <w:t>Jano Christopher Ugyved</w:t>
      </w:r>
      <w:r w:rsidR="0010188D" w:rsidRPr="00CE1CAD">
        <w:rPr>
          <w:lang w:val="en-GB"/>
        </w:rPr>
        <w:t>)</w:t>
      </w:r>
    </w:p>
    <w:p w14:paraId="656E298C" w14:textId="77777777" w:rsidR="004876DE" w:rsidRPr="00CE1CAD" w:rsidRDefault="00243943" w:rsidP="00CE1CAD">
      <w:pPr>
        <w:pStyle w:val="SingleTxtG"/>
        <w:ind w:left="4536" w:hanging="3402"/>
        <w:jc w:val="left"/>
        <w:rPr>
          <w:lang w:val="en-GB"/>
        </w:rPr>
      </w:pPr>
      <w:r w:rsidRPr="00CE1CAD">
        <w:rPr>
          <w:i/>
          <w:lang w:val="en-GB"/>
        </w:rPr>
        <w:t>Alleged victim</w:t>
      </w:r>
      <w:r w:rsidR="004876DE" w:rsidRPr="00CE1CAD">
        <w:rPr>
          <w:i/>
          <w:lang w:val="en-GB"/>
        </w:rPr>
        <w:t>:</w:t>
      </w:r>
      <w:r w:rsidR="004876DE" w:rsidRPr="00CE1CAD">
        <w:rPr>
          <w:i/>
          <w:lang w:val="en-GB"/>
        </w:rPr>
        <w:tab/>
      </w:r>
      <w:r w:rsidR="004876DE" w:rsidRPr="00CE1CAD">
        <w:rPr>
          <w:lang w:val="en-GB"/>
        </w:rPr>
        <w:t xml:space="preserve">The complainant </w:t>
      </w:r>
    </w:p>
    <w:p w14:paraId="4E3CCD8E" w14:textId="77777777" w:rsidR="004876DE" w:rsidRPr="00CE1CAD" w:rsidRDefault="004876DE" w:rsidP="00CE1CAD">
      <w:pPr>
        <w:pStyle w:val="SingleTxtG"/>
        <w:ind w:left="4536" w:hanging="3402"/>
        <w:jc w:val="left"/>
        <w:rPr>
          <w:lang w:val="en-GB"/>
        </w:rPr>
      </w:pPr>
      <w:r w:rsidRPr="00CE1CAD">
        <w:rPr>
          <w:i/>
          <w:lang w:val="en-GB"/>
        </w:rPr>
        <w:t>State party:</w:t>
      </w:r>
      <w:r w:rsidRPr="00CE1CAD">
        <w:rPr>
          <w:i/>
          <w:lang w:val="en-GB"/>
        </w:rPr>
        <w:tab/>
      </w:r>
      <w:r w:rsidR="00D53B47" w:rsidRPr="00CE1CAD">
        <w:rPr>
          <w:lang w:val="en-GB"/>
        </w:rPr>
        <w:t xml:space="preserve">Hungary </w:t>
      </w:r>
    </w:p>
    <w:p w14:paraId="0DA6976E" w14:textId="77777777" w:rsidR="004876DE" w:rsidRPr="00CE1CAD" w:rsidRDefault="004876DE" w:rsidP="00CE1CAD">
      <w:pPr>
        <w:pStyle w:val="SingleTxtG"/>
        <w:ind w:left="4536" w:hanging="3402"/>
        <w:jc w:val="left"/>
        <w:rPr>
          <w:lang w:val="en-GB"/>
        </w:rPr>
      </w:pPr>
      <w:r w:rsidRPr="00CE1CAD">
        <w:rPr>
          <w:i/>
          <w:lang w:val="en-GB"/>
        </w:rPr>
        <w:t>Date of complaint:</w:t>
      </w:r>
      <w:r w:rsidRPr="00CE1CAD">
        <w:rPr>
          <w:i/>
          <w:lang w:val="en-GB"/>
        </w:rPr>
        <w:tab/>
      </w:r>
      <w:r w:rsidR="00D53B47" w:rsidRPr="00CE1CAD">
        <w:rPr>
          <w:lang w:val="en-GB"/>
        </w:rPr>
        <w:t>3</w:t>
      </w:r>
      <w:r w:rsidR="002E78EF" w:rsidRPr="00CE1CAD">
        <w:rPr>
          <w:lang w:val="en-GB"/>
        </w:rPr>
        <w:t xml:space="preserve">1 </w:t>
      </w:r>
      <w:r w:rsidR="00D53B47" w:rsidRPr="00CE1CAD">
        <w:rPr>
          <w:lang w:val="en-GB"/>
        </w:rPr>
        <w:t>March</w:t>
      </w:r>
      <w:r w:rsidR="0010188D" w:rsidRPr="00CE1CAD">
        <w:rPr>
          <w:lang w:val="en-GB"/>
        </w:rPr>
        <w:t xml:space="preserve"> 201</w:t>
      </w:r>
      <w:r w:rsidR="00D53B47" w:rsidRPr="00CE1CAD">
        <w:rPr>
          <w:lang w:val="en-GB"/>
        </w:rPr>
        <w:t>5</w:t>
      </w:r>
      <w:r w:rsidR="0010188D" w:rsidRPr="00CE1CAD">
        <w:rPr>
          <w:lang w:val="en-GB"/>
        </w:rPr>
        <w:t xml:space="preserve"> </w:t>
      </w:r>
      <w:r w:rsidRPr="00CE1CAD">
        <w:rPr>
          <w:lang w:val="en-GB"/>
        </w:rPr>
        <w:t>(initial submission)</w:t>
      </w:r>
    </w:p>
    <w:p w14:paraId="4B0C1E71" w14:textId="77777777" w:rsidR="004876DE" w:rsidRPr="00CE1CAD" w:rsidRDefault="004876DE" w:rsidP="00CE1CAD">
      <w:pPr>
        <w:pStyle w:val="SingleTxtG"/>
        <w:ind w:left="4536" w:hanging="3402"/>
        <w:jc w:val="left"/>
        <w:rPr>
          <w:lang w:val="en-GB"/>
        </w:rPr>
      </w:pPr>
      <w:r w:rsidRPr="00CE1CAD">
        <w:rPr>
          <w:i/>
          <w:lang w:val="en-GB"/>
        </w:rPr>
        <w:t>Date of present decision:</w:t>
      </w:r>
      <w:r w:rsidRPr="00CE1CAD">
        <w:rPr>
          <w:i/>
          <w:lang w:val="en-GB"/>
        </w:rPr>
        <w:tab/>
      </w:r>
      <w:r w:rsidR="00FF539A" w:rsidRPr="00CE1CAD">
        <w:rPr>
          <w:lang w:val="en-GB"/>
        </w:rPr>
        <w:t>8 December</w:t>
      </w:r>
      <w:r w:rsidR="00534EE6" w:rsidRPr="00CE1CAD">
        <w:rPr>
          <w:lang w:val="en-GB"/>
        </w:rPr>
        <w:t xml:space="preserve"> </w:t>
      </w:r>
      <w:r w:rsidR="00DC526D" w:rsidRPr="00CE1CAD">
        <w:rPr>
          <w:lang w:val="en-GB"/>
        </w:rPr>
        <w:t>2015</w:t>
      </w:r>
    </w:p>
    <w:p w14:paraId="2AF8B9D5" w14:textId="77777777" w:rsidR="004876DE" w:rsidRPr="00CE1CAD" w:rsidRDefault="004876DE" w:rsidP="00CE1CAD">
      <w:pPr>
        <w:pStyle w:val="SingleTxtG"/>
        <w:ind w:left="4536" w:hanging="3402"/>
        <w:jc w:val="left"/>
        <w:rPr>
          <w:lang w:val="en-GB"/>
        </w:rPr>
      </w:pPr>
      <w:r w:rsidRPr="00CE1CAD">
        <w:rPr>
          <w:i/>
          <w:iCs/>
          <w:lang w:val="en-GB"/>
        </w:rPr>
        <w:t>Subject matter:</w:t>
      </w:r>
      <w:r w:rsidRPr="00CE1CAD">
        <w:rPr>
          <w:i/>
          <w:lang w:val="en-GB"/>
        </w:rPr>
        <w:tab/>
      </w:r>
      <w:r w:rsidR="003D257E" w:rsidRPr="00CE1CAD">
        <w:rPr>
          <w:lang w:val="en-GB"/>
        </w:rPr>
        <w:t xml:space="preserve">Extradition </w:t>
      </w:r>
      <w:r w:rsidR="00DC526D" w:rsidRPr="00CE1CAD">
        <w:rPr>
          <w:lang w:val="en-GB"/>
        </w:rPr>
        <w:t xml:space="preserve">to </w:t>
      </w:r>
      <w:r w:rsidR="00D53B47" w:rsidRPr="00CE1CAD">
        <w:rPr>
          <w:lang w:val="en-GB"/>
        </w:rPr>
        <w:t xml:space="preserve">the </w:t>
      </w:r>
      <w:r w:rsidR="0014145F" w:rsidRPr="00CE1CAD">
        <w:rPr>
          <w:lang w:val="en-GB"/>
        </w:rPr>
        <w:t>United States of America</w:t>
      </w:r>
      <w:r w:rsidR="00D53B47" w:rsidRPr="00CE1CAD">
        <w:rPr>
          <w:lang w:val="en-GB"/>
        </w:rPr>
        <w:t>.</w:t>
      </w:r>
      <w:r w:rsidR="008573CA" w:rsidRPr="00CE1CAD">
        <w:rPr>
          <w:lang w:val="en-GB"/>
        </w:rPr>
        <w:t xml:space="preserve"> </w:t>
      </w:r>
    </w:p>
    <w:p w14:paraId="22FDDF9F" w14:textId="77777777" w:rsidR="0014145F" w:rsidRPr="00CE1CAD" w:rsidRDefault="004876DE" w:rsidP="00CE1CAD">
      <w:pPr>
        <w:pStyle w:val="SingleTxtG"/>
        <w:ind w:left="4536" w:hanging="3402"/>
        <w:jc w:val="left"/>
        <w:rPr>
          <w:lang w:val="en-GB"/>
        </w:rPr>
      </w:pPr>
      <w:r w:rsidRPr="00CE1CAD">
        <w:rPr>
          <w:i/>
          <w:iCs/>
          <w:lang w:val="en-GB"/>
        </w:rPr>
        <w:t>Procedural issue</w:t>
      </w:r>
      <w:r w:rsidR="00E9345C" w:rsidRPr="00CE1CAD">
        <w:rPr>
          <w:i/>
          <w:iCs/>
          <w:lang w:val="en-GB"/>
        </w:rPr>
        <w:t>s</w:t>
      </w:r>
      <w:r w:rsidRPr="00CE1CAD">
        <w:rPr>
          <w:i/>
          <w:lang w:val="en-GB"/>
        </w:rPr>
        <w:t>:</w:t>
      </w:r>
      <w:r w:rsidRPr="00CE1CAD">
        <w:rPr>
          <w:i/>
          <w:iCs/>
          <w:lang w:val="en-GB"/>
        </w:rPr>
        <w:tab/>
      </w:r>
      <w:r w:rsidR="00B529C7" w:rsidRPr="00CE1CAD">
        <w:rPr>
          <w:iCs/>
          <w:lang w:val="en-GB"/>
        </w:rPr>
        <w:t xml:space="preserve">Admissibility </w:t>
      </w:r>
      <w:r w:rsidR="0014145F" w:rsidRPr="00CE1CAD">
        <w:rPr>
          <w:iCs/>
          <w:lang w:val="en-GB"/>
        </w:rPr>
        <w:t>—</w:t>
      </w:r>
      <w:r w:rsidR="00B529C7" w:rsidRPr="00CE1CAD">
        <w:rPr>
          <w:iCs/>
          <w:lang w:val="en-GB"/>
        </w:rPr>
        <w:t xml:space="preserve"> </w:t>
      </w:r>
      <w:r w:rsidR="0014145F" w:rsidRPr="00CE1CAD">
        <w:rPr>
          <w:iCs/>
          <w:lang w:val="en-GB"/>
        </w:rPr>
        <w:t>e</w:t>
      </w:r>
      <w:r w:rsidR="00534EE6" w:rsidRPr="00CE1CAD">
        <w:rPr>
          <w:iCs/>
          <w:lang w:val="en-GB"/>
        </w:rPr>
        <w:t xml:space="preserve">xamination by another procedure of international investigation or settlement; </w:t>
      </w:r>
      <w:r w:rsidR="00B529C7" w:rsidRPr="00CE1CAD">
        <w:rPr>
          <w:iCs/>
          <w:lang w:val="en-GB"/>
        </w:rPr>
        <w:t>manifestly ill-founded</w:t>
      </w:r>
      <w:r w:rsidR="00DA4DE4" w:rsidRPr="00CE1CAD">
        <w:rPr>
          <w:iCs/>
          <w:lang w:val="en-GB"/>
        </w:rPr>
        <w:t>; non-exhaustion of domestic remedies</w:t>
      </w:r>
      <w:r w:rsidR="00F817B1" w:rsidRPr="00CE1CAD">
        <w:rPr>
          <w:iCs/>
          <w:lang w:val="en-GB"/>
        </w:rPr>
        <w:t>; interim measures</w:t>
      </w:r>
    </w:p>
    <w:p w14:paraId="007895EE" w14:textId="77777777" w:rsidR="004876DE" w:rsidRPr="00CE1CAD" w:rsidRDefault="004876DE" w:rsidP="00CE1CAD">
      <w:pPr>
        <w:pStyle w:val="SingleTxtG"/>
        <w:ind w:left="4536" w:hanging="3402"/>
        <w:jc w:val="left"/>
        <w:rPr>
          <w:lang w:val="en-GB"/>
        </w:rPr>
      </w:pPr>
      <w:r w:rsidRPr="00CE1CAD">
        <w:rPr>
          <w:i/>
          <w:iCs/>
          <w:lang w:val="en-GB"/>
        </w:rPr>
        <w:t>Substantive issue</w:t>
      </w:r>
      <w:r w:rsidR="00E9345C" w:rsidRPr="00CE1CAD">
        <w:rPr>
          <w:i/>
          <w:iCs/>
          <w:lang w:val="en-GB"/>
        </w:rPr>
        <w:t>s</w:t>
      </w:r>
      <w:r w:rsidRPr="00CE1CAD">
        <w:rPr>
          <w:i/>
          <w:iCs/>
          <w:lang w:val="en-GB"/>
        </w:rPr>
        <w:t>:</w:t>
      </w:r>
      <w:r w:rsidRPr="00CE1CAD">
        <w:rPr>
          <w:i/>
          <w:iCs/>
          <w:lang w:val="en-GB"/>
        </w:rPr>
        <w:tab/>
      </w:r>
      <w:r w:rsidR="002E38D3" w:rsidRPr="00CE1CAD">
        <w:rPr>
          <w:lang w:val="en-GB"/>
        </w:rPr>
        <w:t xml:space="preserve">Non-refoulement; </w:t>
      </w:r>
      <w:r w:rsidR="0018594A" w:rsidRPr="00CE1CAD">
        <w:rPr>
          <w:lang w:val="en-GB"/>
        </w:rPr>
        <w:t>torture</w:t>
      </w:r>
      <w:r w:rsidR="00276F0D" w:rsidRPr="00CE1CAD">
        <w:rPr>
          <w:lang w:val="en-GB"/>
        </w:rPr>
        <w:t>; cruel, inhuman or degrading treatment or punishment</w:t>
      </w:r>
    </w:p>
    <w:p w14:paraId="2D1C83A9" w14:textId="77777777" w:rsidR="004876DE" w:rsidRPr="00CE1CAD" w:rsidRDefault="004876DE" w:rsidP="00CE1CAD">
      <w:pPr>
        <w:pStyle w:val="SingleTxtG"/>
        <w:ind w:left="4536" w:hanging="3402"/>
        <w:jc w:val="left"/>
        <w:rPr>
          <w:lang w:val="en-GB"/>
        </w:rPr>
      </w:pPr>
      <w:r w:rsidRPr="00CE1CAD">
        <w:rPr>
          <w:i/>
          <w:iCs/>
          <w:lang w:val="en-GB"/>
        </w:rPr>
        <w:t>Article</w:t>
      </w:r>
      <w:r w:rsidR="00E9345C" w:rsidRPr="00CE1CAD">
        <w:rPr>
          <w:i/>
          <w:iCs/>
          <w:lang w:val="en-GB"/>
        </w:rPr>
        <w:t>s</w:t>
      </w:r>
      <w:r w:rsidRPr="00CE1CAD">
        <w:rPr>
          <w:i/>
          <w:iCs/>
          <w:lang w:val="en-GB"/>
        </w:rPr>
        <w:t xml:space="preserve"> of the Convention</w:t>
      </w:r>
      <w:r w:rsidRPr="00CE1CAD">
        <w:rPr>
          <w:i/>
          <w:lang w:val="en-GB"/>
        </w:rPr>
        <w:t>:</w:t>
      </w:r>
      <w:r w:rsidRPr="00CE1CAD">
        <w:rPr>
          <w:i/>
          <w:iCs/>
          <w:lang w:val="en-GB"/>
        </w:rPr>
        <w:tab/>
      </w:r>
      <w:r w:rsidR="00D53B47" w:rsidRPr="00CE1CAD">
        <w:rPr>
          <w:iCs/>
          <w:lang w:val="en-GB"/>
        </w:rPr>
        <w:t xml:space="preserve">2, </w:t>
      </w:r>
      <w:r w:rsidRPr="00CE1CAD">
        <w:rPr>
          <w:lang w:val="en-GB"/>
        </w:rPr>
        <w:t>3</w:t>
      </w:r>
      <w:r w:rsidR="002E78EF" w:rsidRPr="00CE1CAD">
        <w:rPr>
          <w:lang w:val="en-GB"/>
        </w:rPr>
        <w:t>, 1</w:t>
      </w:r>
      <w:r w:rsidR="00D53B47" w:rsidRPr="00CE1CAD">
        <w:rPr>
          <w:lang w:val="en-GB"/>
        </w:rPr>
        <w:t>1</w:t>
      </w:r>
      <w:r w:rsidR="003D257E" w:rsidRPr="00CE1CAD">
        <w:rPr>
          <w:lang w:val="en-GB"/>
        </w:rPr>
        <w:t>,</w:t>
      </w:r>
      <w:r w:rsidR="002E78EF" w:rsidRPr="00CE1CAD">
        <w:rPr>
          <w:lang w:val="en-GB"/>
        </w:rPr>
        <w:t xml:space="preserve"> 16</w:t>
      </w:r>
      <w:r w:rsidR="003D257E" w:rsidRPr="00CE1CAD">
        <w:rPr>
          <w:lang w:val="en-GB"/>
        </w:rPr>
        <w:t xml:space="preserve"> </w:t>
      </w:r>
      <w:r w:rsidR="0014145F" w:rsidRPr="00CE1CAD">
        <w:rPr>
          <w:lang w:val="en-GB"/>
        </w:rPr>
        <w:t xml:space="preserve">and </w:t>
      </w:r>
      <w:r w:rsidR="003D257E" w:rsidRPr="00CE1CAD">
        <w:rPr>
          <w:lang w:val="en-GB"/>
        </w:rPr>
        <w:t>22</w:t>
      </w:r>
    </w:p>
    <w:p w14:paraId="39F3A6B7" w14:textId="77777777" w:rsidR="004876DE" w:rsidRPr="00CE1CAD" w:rsidRDefault="004876DE" w:rsidP="00F902C1">
      <w:pPr>
        <w:pStyle w:val="SingleTxtG"/>
        <w:jc w:val="center"/>
        <w:rPr>
          <w:lang w:val="en-GB"/>
        </w:rPr>
      </w:pPr>
    </w:p>
    <w:p w14:paraId="534F81EC" w14:textId="77777777" w:rsidR="00D0559B" w:rsidRPr="00CE1CAD" w:rsidRDefault="004876DE" w:rsidP="00AF38AA">
      <w:pPr>
        <w:pStyle w:val="HChG"/>
        <w:ind w:left="426" w:firstLine="0"/>
      </w:pPr>
      <w:r w:rsidRPr="00CE1CAD">
        <w:br w:type="page"/>
      </w:r>
      <w:r w:rsidR="00D0559B" w:rsidRPr="00CE1CAD">
        <w:lastRenderedPageBreak/>
        <w:t>Annex</w:t>
      </w:r>
    </w:p>
    <w:p w14:paraId="2C382F2D" w14:textId="77777777" w:rsidR="004876DE" w:rsidRPr="00CE1CAD" w:rsidRDefault="004876DE" w:rsidP="00D0559B">
      <w:pPr>
        <w:pStyle w:val="HChG"/>
        <w:ind w:firstLine="0"/>
      </w:pPr>
      <w:r w:rsidRPr="00CE1CAD">
        <w:t>Decision of the Committee against Torture under article 22 of the Convention against Torture and Other Cruel, Inhuman or Degrading T</w:t>
      </w:r>
      <w:r w:rsidR="00DC526D" w:rsidRPr="00CE1CAD">
        <w:t>reatment or Punishment (fifty-</w:t>
      </w:r>
      <w:r w:rsidR="002E78EF" w:rsidRPr="00CE1CAD">
        <w:t>six</w:t>
      </w:r>
      <w:r w:rsidR="00DC526D" w:rsidRPr="00CE1CAD">
        <w:t xml:space="preserve">th </w:t>
      </w:r>
      <w:r w:rsidRPr="00CE1CAD">
        <w:t>session)</w:t>
      </w:r>
    </w:p>
    <w:p w14:paraId="02768F2B" w14:textId="77777777" w:rsidR="004876DE" w:rsidRPr="00CE1CAD" w:rsidRDefault="004876DE" w:rsidP="004876DE">
      <w:pPr>
        <w:pStyle w:val="SingleTxtG"/>
        <w:rPr>
          <w:lang w:val="en-GB"/>
        </w:rPr>
      </w:pPr>
      <w:r w:rsidRPr="00CE1CAD">
        <w:rPr>
          <w:lang w:val="en-GB"/>
        </w:rPr>
        <w:t>concerning</w:t>
      </w:r>
    </w:p>
    <w:p w14:paraId="195F127B" w14:textId="77777777" w:rsidR="00534EE6" w:rsidRPr="00CE1CAD" w:rsidRDefault="004876DE" w:rsidP="00534EE6">
      <w:pPr>
        <w:pStyle w:val="H1G"/>
      </w:pPr>
      <w:r w:rsidRPr="00CE1CAD">
        <w:tab/>
      </w:r>
      <w:r w:rsidRPr="00CE1CAD">
        <w:tab/>
        <w:t xml:space="preserve">Communication No. </w:t>
      </w:r>
      <w:r w:rsidR="00D53B47" w:rsidRPr="00CE1CAD">
        <w:t>671</w:t>
      </w:r>
      <w:r w:rsidR="00DC526D" w:rsidRPr="00CE1CAD">
        <w:t>/201</w:t>
      </w:r>
      <w:r w:rsidR="00D53B47" w:rsidRPr="00CE1CAD">
        <w:t>5</w:t>
      </w:r>
      <w:r w:rsidR="00534EE6" w:rsidRPr="00CE1CAD">
        <w:rPr>
          <w:rStyle w:val="FootnoteReference"/>
          <w:b w:val="0"/>
          <w:bCs/>
          <w:sz w:val="20"/>
          <w:vertAlign w:val="baseline"/>
        </w:rPr>
        <w:footnoteReference w:customMarkFollows="1" w:id="2"/>
        <w:t>*</w:t>
      </w:r>
      <w:r w:rsidR="006203D1" w:rsidRPr="00CE1CAD">
        <w:rPr>
          <w:b w:val="0"/>
          <w:bCs/>
          <w:position w:val="4"/>
          <w:sz w:val="20"/>
        </w:rPr>
        <w:t>,</w:t>
      </w:r>
      <w:r w:rsidR="008573CA" w:rsidRPr="00CE1CAD">
        <w:rPr>
          <w:rStyle w:val="FootnoteReference"/>
          <w:b w:val="0"/>
          <w:bCs/>
          <w:sz w:val="20"/>
          <w:vertAlign w:val="baseline"/>
        </w:rPr>
        <w:t xml:space="preserve"> </w:t>
      </w:r>
      <w:r w:rsidR="006203D1" w:rsidRPr="00CE1CAD">
        <w:rPr>
          <w:rStyle w:val="FootnoteReference"/>
          <w:b w:val="0"/>
          <w:bCs/>
          <w:sz w:val="20"/>
          <w:vertAlign w:val="baseline"/>
        </w:rPr>
        <w:footnoteReference w:customMarkFollows="1" w:id="3"/>
        <w:t>**</w:t>
      </w:r>
    </w:p>
    <w:p w14:paraId="6F54B274" w14:textId="77777777" w:rsidR="00381DFA" w:rsidRPr="00CE1CAD" w:rsidRDefault="004876DE" w:rsidP="00CE1CAD">
      <w:pPr>
        <w:pStyle w:val="SingleTxtG"/>
        <w:ind w:left="4536" w:hanging="3402"/>
        <w:jc w:val="left"/>
        <w:rPr>
          <w:lang w:val="en-GB"/>
        </w:rPr>
      </w:pPr>
      <w:r w:rsidRPr="00CE1CAD">
        <w:rPr>
          <w:i/>
          <w:lang w:val="en-GB"/>
        </w:rPr>
        <w:t>Submitted by:</w:t>
      </w:r>
      <w:r w:rsidRPr="00CE1CAD">
        <w:rPr>
          <w:i/>
          <w:lang w:val="en-GB"/>
        </w:rPr>
        <w:tab/>
      </w:r>
      <w:r w:rsidR="00D53B47" w:rsidRPr="00CE1CAD">
        <w:rPr>
          <w:lang w:val="en-GB"/>
        </w:rPr>
        <w:t>D.I.S.</w:t>
      </w:r>
      <w:r w:rsidR="00381DFA" w:rsidRPr="00CE1CAD">
        <w:rPr>
          <w:lang w:val="en-GB"/>
        </w:rPr>
        <w:t xml:space="preserve"> (</w:t>
      </w:r>
      <w:r w:rsidR="0010188D" w:rsidRPr="00CE1CAD">
        <w:rPr>
          <w:lang w:val="en-GB"/>
        </w:rPr>
        <w:t>represented by counsel</w:t>
      </w:r>
      <w:r w:rsidR="0014145F" w:rsidRPr="00CE1CAD">
        <w:rPr>
          <w:lang w:val="en-GB"/>
        </w:rPr>
        <w:t>,</w:t>
      </w:r>
      <w:r w:rsidR="00D53B47" w:rsidRPr="00CE1CAD">
        <w:rPr>
          <w:lang w:val="en-GB"/>
        </w:rPr>
        <w:t xml:space="preserve"> Jano Christopher Ugyved</w:t>
      </w:r>
      <w:r w:rsidR="00381DFA" w:rsidRPr="00CE1CAD">
        <w:rPr>
          <w:lang w:val="en-GB"/>
        </w:rPr>
        <w:t>)</w:t>
      </w:r>
    </w:p>
    <w:p w14:paraId="1F4EFEB5" w14:textId="77777777" w:rsidR="004876DE" w:rsidRPr="00CE1CAD" w:rsidRDefault="004876DE" w:rsidP="00CE1CAD">
      <w:pPr>
        <w:pStyle w:val="SingleTxtG"/>
        <w:ind w:left="4536" w:hanging="3402"/>
        <w:jc w:val="left"/>
        <w:rPr>
          <w:lang w:val="en-GB"/>
        </w:rPr>
      </w:pPr>
      <w:r w:rsidRPr="00CE1CAD">
        <w:rPr>
          <w:i/>
          <w:lang w:val="en-GB"/>
        </w:rPr>
        <w:t>Alleged victim:</w:t>
      </w:r>
      <w:r w:rsidRPr="00CE1CAD">
        <w:rPr>
          <w:i/>
          <w:lang w:val="en-GB"/>
        </w:rPr>
        <w:tab/>
      </w:r>
      <w:r w:rsidR="00DC526D" w:rsidRPr="00CE1CAD">
        <w:rPr>
          <w:lang w:val="en-GB"/>
        </w:rPr>
        <w:t>T</w:t>
      </w:r>
      <w:r w:rsidR="008D1FEA" w:rsidRPr="00CE1CAD">
        <w:rPr>
          <w:lang w:val="en-GB"/>
        </w:rPr>
        <w:t>he complainant</w:t>
      </w:r>
      <w:r w:rsidRPr="00CE1CAD">
        <w:rPr>
          <w:lang w:val="en-GB"/>
        </w:rPr>
        <w:t xml:space="preserve"> </w:t>
      </w:r>
    </w:p>
    <w:p w14:paraId="348E3541" w14:textId="77777777" w:rsidR="004876DE" w:rsidRPr="00CE1CAD" w:rsidRDefault="004876DE" w:rsidP="00CE1CAD">
      <w:pPr>
        <w:pStyle w:val="SingleTxtG"/>
        <w:ind w:left="4536" w:hanging="3402"/>
        <w:jc w:val="left"/>
        <w:rPr>
          <w:lang w:val="en-GB"/>
        </w:rPr>
      </w:pPr>
      <w:r w:rsidRPr="00CE1CAD">
        <w:rPr>
          <w:i/>
          <w:lang w:val="en-GB"/>
        </w:rPr>
        <w:t>State party:</w:t>
      </w:r>
      <w:r w:rsidRPr="00CE1CAD">
        <w:rPr>
          <w:i/>
          <w:lang w:val="en-GB"/>
        </w:rPr>
        <w:tab/>
      </w:r>
      <w:r w:rsidR="00D53B47" w:rsidRPr="00CE1CAD">
        <w:rPr>
          <w:lang w:val="en-GB"/>
        </w:rPr>
        <w:t>Hungary</w:t>
      </w:r>
    </w:p>
    <w:p w14:paraId="4E9DCDBD" w14:textId="77777777" w:rsidR="004876DE" w:rsidRPr="00CE1CAD" w:rsidRDefault="004876DE" w:rsidP="00CE1CAD">
      <w:pPr>
        <w:pStyle w:val="SingleTxtG"/>
        <w:ind w:left="4536" w:hanging="3402"/>
        <w:jc w:val="left"/>
        <w:rPr>
          <w:lang w:val="en-GB"/>
        </w:rPr>
      </w:pPr>
      <w:r w:rsidRPr="00CE1CAD">
        <w:rPr>
          <w:i/>
          <w:lang w:val="en-GB"/>
        </w:rPr>
        <w:t>Date of complaint:</w:t>
      </w:r>
      <w:r w:rsidRPr="00CE1CAD">
        <w:rPr>
          <w:i/>
          <w:lang w:val="en-GB"/>
        </w:rPr>
        <w:tab/>
      </w:r>
      <w:r w:rsidR="00D53B47" w:rsidRPr="00CE1CAD">
        <w:rPr>
          <w:lang w:val="en-GB"/>
        </w:rPr>
        <w:t>3</w:t>
      </w:r>
      <w:r w:rsidR="002E78EF" w:rsidRPr="00CE1CAD">
        <w:rPr>
          <w:lang w:val="en-GB"/>
        </w:rPr>
        <w:t xml:space="preserve">1 </w:t>
      </w:r>
      <w:r w:rsidR="00D53B47" w:rsidRPr="00CE1CAD">
        <w:rPr>
          <w:lang w:val="en-GB"/>
        </w:rPr>
        <w:t>March</w:t>
      </w:r>
      <w:r w:rsidR="0010188D" w:rsidRPr="00CE1CAD">
        <w:rPr>
          <w:lang w:val="en-GB"/>
        </w:rPr>
        <w:t xml:space="preserve"> 201</w:t>
      </w:r>
      <w:r w:rsidR="00D53B47" w:rsidRPr="00CE1CAD">
        <w:rPr>
          <w:lang w:val="en-GB"/>
        </w:rPr>
        <w:t>5</w:t>
      </w:r>
      <w:r w:rsidR="00DC526D" w:rsidRPr="00CE1CAD">
        <w:rPr>
          <w:lang w:val="en-GB"/>
        </w:rPr>
        <w:t xml:space="preserve"> </w:t>
      </w:r>
      <w:r w:rsidRPr="00CE1CAD">
        <w:rPr>
          <w:lang w:val="en-GB"/>
        </w:rPr>
        <w:t>(initial submission)</w:t>
      </w:r>
    </w:p>
    <w:p w14:paraId="16EA9E4F" w14:textId="77777777" w:rsidR="004876DE" w:rsidRPr="00CE1CAD" w:rsidRDefault="004876DE" w:rsidP="004876DE">
      <w:pPr>
        <w:pStyle w:val="SingleTxtG"/>
        <w:rPr>
          <w:lang w:val="en-GB"/>
        </w:rPr>
      </w:pPr>
      <w:r w:rsidRPr="00CE1CAD">
        <w:rPr>
          <w:lang w:val="en-GB"/>
        </w:rPr>
        <w:tab/>
      </w:r>
      <w:r w:rsidRPr="00CE1CAD">
        <w:rPr>
          <w:i/>
          <w:iCs/>
          <w:lang w:val="en-GB"/>
        </w:rPr>
        <w:t>The Committee against Torture</w:t>
      </w:r>
      <w:r w:rsidRPr="00CE1CAD">
        <w:rPr>
          <w:lang w:val="en-GB"/>
        </w:rPr>
        <w:t>, established under article 17 of the Convention against Torture and Other Cruel, Inhuman or Degrading Treatment or Punishment,</w:t>
      </w:r>
    </w:p>
    <w:p w14:paraId="41C7FD96" w14:textId="77777777" w:rsidR="004876DE" w:rsidRPr="00CE1CAD" w:rsidRDefault="004876DE" w:rsidP="008E5AFE">
      <w:pPr>
        <w:pStyle w:val="SingleTxtG"/>
        <w:rPr>
          <w:lang w:val="en-GB"/>
        </w:rPr>
      </w:pPr>
      <w:r w:rsidRPr="00CE1CAD">
        <w:rPr>
          <w:lang w:val="en-GB"/>
        </w:rPr>
        <w:tab/>
      </w:r>
      <w:r w:rsidRPr="00CE1CAD">
        <w:rPr>
          <w:i/>
          <w:iCs/>
          <w:lang w:val="en-GB"/>
        </w:rPr>
        <w:t>Meeting</w:t>
      </w:r>
      <w:r w:rsidRPr="00CE1CAD">
        <w:rPr>
          <w:lang w:val="en-GB"/>
        </w:rPr>
        <w:t xml:space="preserve"> on </w:t>
      </w:r>
      <w:r w:rsidR="00534EE6" w:rsidRPr="00CE1CAD">
        <w:rPr>
          <w:lang w:val="en-GB"/>
        </w:rPr>
        <w:t>30 November</w:t>
      </w:r>
      <w:r w:rsidR="00DC526D" w:rsidRPr="00CE1CAD">
        <w:rPr>
          <w:lang w:val="en-GB"/>
        </w:rPr>
        <w:t xml:space="preserve"> 2015</w:t>
      </w:r>
      <w:r w:rsidRPr="00CE1CAD">
        <w:rPr>
          <w:lang w:val="en-GB"/>
        </w:rPr>
        <w:t>,</w:t>
      </w:r>
    </w:p>
    <w:p w14:paraId="305848DF" w14:textId="77777777" w:rsidR="004876DE" w:rsidRPr="00CE1CAD" w:rsidRDefault="004876DE" w:rsidP="008E5AFE">
      <w:pPr>
        <w:pStyle w:val="SingleTxtG"/>
        <w:rPr>
          <w:lang w:val="en-GB"/>
        </w:rPr>
      </w:pPr>
      <w:r w:rsidRPr="00CE1CAD">
        <w:rPr>
          <w:lang w:val="en-GB"/>
        </w:rPr>
        <w:tab/>
      </w:r>
      <w:r w:rsidRPr="00CE1CAD">
        <w:rPr>
          <w:i/>
          <w:iCs/>
          <w:lang w:val="en-GB"/>
        </w:rPr>
        <w:t>Having concluded</w:t>
      </w:r>
      <w:r w:rsidRPr="00CE1CAD">
        <w:rPr>
          <w:lang w:val="en-GB"/>
        </w:rPr>
        <w:t xml:space="preserve"> its consideration of complaint No. </w:t>
      </w:r>
      <w:r w:rsidR="00D53B47" w:rsidRPr="00CE1CAD">
        <w:rPr>
          <w:lang w:val="en-GB"/>
        </w:rPr>
        <w:t>671</w:t>
      </w:r>
      <w:r w:rsidR="00DC526D" w:rsidRPr="00CE1CAD">
        <w:rPr>
          <w:lang w:val="en-GB"/>
        </w:rPr>
        <w:t>/201</w:t>
      </w:r>
      <w:r w:rsidR="00D53B47" w:rsidRPr="00CE1CAD">
        <w:rPr>
          <w:lang w:val="en-GB"/>
        </w:rPr>
        <w:t>5</w:t>
      </w:r>
      <w:r w:rsidRPr="00CE1CAD">
        <w:rPr>
          <w:lang w:val="en-GB"/>
        </w:rPr>
        <w:t xml:space="preserve">, submitted to </w:t>
      </w:r>
      <w:r w:rsidR="0014145F" w:rsidRPr="00CE1CAD">
        <w:rPr>
          <w:lang w:val="en-GB"/>
        </w:rPr>
        <w:t>it</w:t>
      </w:r>
      <w:r w:rsidRPr="00CE1CAD">
        <w:rPr>
          <w:lang w:val="en-GB"/>
        </w:rPr>
        <w:t xml:space="preserve"> </w:t>
      </w:r>
      <w:r w:rsidR="00544E30" w:rsidRPr="00CE1CAD">
        <w:rPr>
          <w:lang w:val="en-GB"/>
        </w:rPr>
        <w:t xml:space="preserve">by </w:t>
      </w:r>
      <w:r w:rsidR="00D53B47" w:rsidRPr="00CE1CAD">
        <w:rPr>
          <w:lang w:val="en-GB"/>
        </w:rPr>
        <w:t>D.I.S.</w:t>
      </w:r>
      <w:r w:rsidR="003743F9" w:rsidRPr="00CE1CAD">
        <w:rPr>
          <w:lang w:val="en-GB"/>
        </w:rPr>
        <w:t xml:space="preserve"> </w:t>
      </w:r>
      <w:r w:rsidRPr="00CE1CAD">
        <w:rPr>
          <w:lang w:val="en-GB"/>
        </w:rPr>
        <w:t>under article 22 of the Convention,</w:t>
      </w:r>
    </w:p>
    <w:p w14:paraId="45F063A2" w14:textId="77777777" w:rsidR="004876DE" w:rsidRPr="00CE1CAD" w:rsidRDefault="004876DE" w:rsidP="004876DE">
      <w:pPr>
        <w:pStyle w:val="SingleTxtG"/>
        <w:rPr>
          <w:lang w:val="en-GB"/>
        </w:rPr>
      </w:pPr>
      <w:r w:rsidRPr="00CE1CAD">
        <w:rPr>
          <w:lang w:val="en-GB"/>
        </w:rPr>
        <w:tab/>
      </w:r>
      <w:r w:rsidRPr="00CE1CAD">
        <w:rPr>
          <w:i/>
          <w:iCs/>
          <w:lang w:val="en-GB"/>
        </w:rPr>
        <w:t>Having taken into account</w:t>
      </w:r>
      <w:r w:rsidRPr="00CE1CAD">
        <w:rPr>
          <w:lang w:val="en-GB"/>
        </w:rPr>
        <w:t xml:space="preserve"> all information made avai</w:t>
      </w:r>
      <w:r w:rsidR="00DC526D" w:rsidRPr="00CE1CAD">
        <w:rPr>
          <w:lang w:val="en-GB"/>
        </w:rPr>
        <w:t>lable to it by the complainant</w:t>
      </w:r>
      <w:r w:rsidR="009B4882" w:rsidRPr="00CE1CAD">
        <w:rPr>
          <w:lang w:val="en-GB"/>
        </w:rPr>
        <w:t xml:space="preserve"> </w:t>
      </w:r>
      <w:r w:rsidRPr="00CE1CAD">
        <w:rPr>
          <w:lang w:val="en-GB"/>
        </w:rPr>
        <w:t>and the State party,</w:t>
      </w:r>
    </w:p>
    <w:p w14:paraId="322B28C7" w14:textId="77777777" w:rsidR="004876DE" w:rsidRPr="00CE1CAD" w:rsidRDefault="004876DE" w:rsidP="004876DE">
      <w:pPr>
        <w:pStyle w:val="SingleTxtG"/>
        <w:rPr>
          <w:lang w:val="en-GB"/>
        </w:rPr>
      </w:pPr>
      <w:r w:rsidRPr="00CE1CAD">
        <w:rPr>
          <w:lang w:val="en-GB"/>
        </w:rPr>
        <w:tab/>
      </w:r>
      <w:r w:rsidRPr="00CE1CAD">
        <w:rPr>
          <w:i/>
          <w:iCs/>
          <w:lang w:val="en-GB"/>
        </w:rPr>
        <w:t xml:space="preserve">Adopts </w:t>
      </w:r>
      <w:r w:rsidRPr="00CE1CAD">
        <w:rPr>
          <w:lang w:val="en-GB"/>
        </w:rPr>
        <w:t>the following:</w:t>
      </w:r>
    </w:p>
    <w:p w14:paraId="3CC8157D" w14:textId="77777777" w:rsidR="004876DE" w:rsidRPr="00CE1CAD" w:rsidRDefault="004876DE" w:rsidP="008E5AFE">
      <w:pPr>
        <w:pStyle w:val="H1G"/>
      </w:pPr>
      <w:r w:rsidRPr="00CE1CAD">
        <w:tab/>
      </w:r>
      <w:r w:rsidRPr="00CE1CAD">
        <w:tab/>
        <w:t>Decision under article 22</w:t>
      </w:r>
      <w:r w:rsidR="0014145F" w:rsidRPr="00CE1CAD">
        <w:t xml:space="preserve"> (7)</w:t>
      </w:r>
      <w:r w:rsidRPr="00CE1CAD">
        <w:t xml:space="preserve"> of the Convention </w:t>
      </w:r>
    </w:p>
    <w:p w14:paraId="62ED22EA" w14:textId="77777777" w:rsidR="00DC05A1" w:rsidRPr="00CE1CAD" w:rsidRDefault="004876DE" w:rsidP="008E5AFE">
      <w:pPr>
        <w:pStyle w:val="SingleTxtG"/>
        <w:rPr>
          <w:lang w:val="en-GB"/>
        </w:rPr>
      </w:pPr>
      <w:r w:rsidRPr="00CE1CAD">
        <w:rPr>
          <w:lang w:val="en-GB"/>
        </w:rPr>
        <w:t>1.1</w:t>
      </w:r>
      <w:r w:rsidRPr="00CE1CAD">
        <w:rPr>
          <w:lang w:val="en-GB"/>
        </w:rPr>
        <w:tab/>
      </w:r>
      <w:r w:rsidR="00DC05A1" w:rsidRPr="00CE1CAD">
        <w:rPr>
          <w:lang w:val="en-GB"/>
        </w:rPr>
        <w:t xml:space="preserve">The complainant is </w:t>
      </w:r>
      <w:r w:rsidR="00D53B47" w:rsidRPr="00CE1CAD">
        <w:rPr>
          <w:lang w:val="en-GB"/>
        </w:rPr>
        <w:t>D.I.S.</w:t>
      </w:r>
      <w:r w:rsidR="00DC05A1" w:rsidRPr="00CE1CAD">
        <w:rPr>
          <w:lang w:val="en-GB"/>
        </w:rPr>
        <w:t xml:space="preserve">, </w:t>
      </w:r>
      <w:r w:rsidR="006B58FB" w:rsidRPr="00CE1CAD">
        <w:rPr>
          <w:lang w:val="en-GB"/>
        </w:rPr>
        <w:t xml:space="preserve">Canadian </w:t>
      </w:r>
      <w:r w:rsidR="00DC05A1" w:rsidRPr="00CE1CAD">
        <w:rPr>
          <w:lang w:val="en-GB"/>
        </w:rPr>
        <w:t xml:space="preserve">national of </w:t>
      </w:r>
      <w:r w:rsidR="00257AEB" w:rsidRPr="00CE1CAD">
        <w:rPr>
          <w:lang w:val="en-GB"/>
        </w:rPr>
        <w:t>Jewish</w:t>
      </w:r>
      <w:r w:rsidR="00582AFE" w:rsidRPr="00CE1CAD">
        <w:rPr>
          <w:lang w:val="en-GB"/>
        </w:rPr>
        <w:t xml:space="preserve"> faith</w:t>
      </w:r>
      <w:r w:rsidR="00DC05A1" w:rsidRPr="00CE1CAD">
        <w:rPr>
          <w:lang w:val="en-GB"/>
        </w:rPr>
        <w:t xml:space="preserve">, born </w:t>
      </w:r>
      <w:r w:rsidR="008232C3" w:rsidRPr="00CE1CAD">
        <w:rPr>
          <w:lang w:val="en-GB"/>
        </w:rPr>
        <w:t>i</w:t>
      </w:r>
      <w:r w:rsidR="00DC05A1" w:rsidRPr="00CE1CAD">
        <w:rPr>
          <w:lang w:val="en-GB"/>
        </w:rPr>
        <w:t>n 19</w:t>
      </w:r>
      <w:r w:rsidR="006B58FB" w:rsidRPr="00CE1CAD">
        <w:rPr>
          <w:lang w:val="en-GB"/>
        </w:rPr>
        <w:t>76</w:t>
      </w:r>
      <w:r w:rsidR="00DC05A1" w:rsidRPr="00CE1CAD">
        <w:rPr>
          <w:lang w:val="en-GB"/>
        </w:rPr>
        <w:t>.</w:t>
      </w:r>
      <w:r w:rsidR="00553A13" w:rsidRPr="00CE1CAD">
        <w:rPr>
          <w:rFonts w:eastAsia="Calibri"/>
          <w:sz w:val="22"/>
          <w:szCs w:val="22"/>
          <w:lang w:val="en-GB"/>
        </w:rPr>
        <w:t xml:space="preserve"> </w:t>
      </w:r>
      <w:r w:rsidR="00004FCC" w:rsidRPr="00CE1CAD">
        <w:rPr>
          <w:lang w:val="en-GB"/>
        </w:rPr>
        <w:t>A</w:t>
      </w:r>
      <w:r w:rsidR="00A140E9" w:rsidRPr="00CE1CAD">
        <w:rPr>
          <w:lang w:val="en-GB"/>
        </w:rPr>
        <w:t xml:space="preserve">t the moment of the initial submission, </w:t>
      </w:r>
      <w:r w:rsidR="00004FCC" w:rsidRPr="00CE1CAD">
        <w:rPr>
          <w:lang w:val="en-GB"/>
        </w:rPr>
        <w:t xml:space="preserve">he </w:t>
      </w:r>
      <w:r w:rsidR="00A140E9" w:rsidRPr="00CE1CAD">
        <w:rPr>
          <w:lang w:val="en-GB"/>
        </w:rPr>
        <w:t xml:space="preserve">was under extradition detention </w:t>
      </w:r>
      <w:r w:rsidR="00553A13" w:rsidRPr="00CE1CAD">
        <w:rPr>
          <w:lang w:val="en-GB"/>
        </w:rPr>
        <w:t>in Budapest awaiting extradition to the United States of America. He claim</w:t>
      </w:r>
      <w:r w:rsidR="00184B54" w:rsidRPr="00CE1CAD">
        <w:rPr>
          <w:lang w:val="en-GB"/>
        </w:rPr>
        <w:t>s</w:t>
      </w:r>
      <w:r w:rsidR="00553A13" w:rsidRPr="00CE1CAD">
        <w:rPr>
          <w:lang w:val="en-GB"/>
        </w:rPr>
        <w:t xml:space="preserve"> that his extradition would amount to a violation by Hungary of articles 2</w:t>
      </w:r>
      <w:r w:rsidR="004263AD" w:rsidRPr="00CE1CAD">
        <w:rPr>
          <w:lang w:val="en-GB"/>
        </w:rPr>
        <w:t>,</w:t>
      </w:r>
      <w:r w:rsidR="00553A13" w:rsidRPr="00CE1CAD">
        <w:rPr>
          <w:lang w:val="en-GB"/>
        </w:rPr>
        <w:t xml:space="preserve"> 3</w:t>
      </w:r>
      <w:r w:rsidR="004263AD" w:rsidRPr="00CE1CAD">
        <w:rPr>
          <w:lang w:val="en-GB"/>
        </w:rPr>
        <w:t>,</w:t>
      </w:r>
      <w:r w:rsidR="00553A13" w:rsidRPr="00CE1CAD">
        <w:rPr>
          <w:lang w:val="en-GB"/>
        </w:rPr>
        <w:t xml:space="preserve"> 11 and 16 of the Convention</w:t>
      </w:r>
      <w:r w:rsidR="00184B54" w:rsidRPr="00CE1CAD">
        <w:rPr>
          <w:lang w:val="en-GB"/>
        </w:rPr>
        <w:t>.</w:t>
      </w:r>
      <w:r w:rsidR="00553A13" w:rsidRPr="00CE1CAD">
        <w:rPr>
          <w:lang w:val="en-GB"/>
        </w:rPr>
        <w:t xml:space="preserve"> </w:t>
      </w:r>
      <w:r w:rsidR="00DC05A1" w:rsidRPr="00CE1CAD">
        <w:rPr>
          <w:lang w:val="en-GB"/>
        </w:rPr>
        <w:t xml:space="preserve">He is represented by counsel, </w:t>
      </w:r>
      <w:r w:rsidR="006B58FB" w:rsidRPr="00CE1CAD">
        <w:rPr>
          <w:lang w:val="en-GB"/>
        </w:rPr>
        <w:t>Jano Christopher Ugyved</w:t>
      </w:r>
      <w:r w:rsidR="00553A13" w:rsidRPr="00CE1CAD">
        <w:rPr>
          <w:lang w:val="en-GB"/>
        </w:rPr>
        <w:t>.</w:t>
      </w:r>
      <w:r w:rsidR="00DC05A1" w:rsidRPr="00CE1CAD">
        <w:rPr>
          <w:lang w:val="en-GB"/>
        </w:rPr>
        <w:t xml:space="preserve"> </w:t>
      </w:r>
    </w:p>
    <w:p w14:paraId="3E61684A" w14:textId="77777777" w:rsidR="00080300" w:rsidRPr="00CE1CAD" w:rsidRDefault="00080300" w:rsidP="008E5AFE">
      <w:pPr>
        <w:pStyle w:val="SingleTxtG"/>
        <w:rPr>
          <w:lang w:val="en-GB"/>
        </w:rPr>
      </w:pPr>
      <w:r w:rsidRPr="00CE1CAD">
        <w:rPr>
          <w:bCs/>
          <w:lang w:val="en-GB"/>
        </w:rPr>
        <w:t>1.2</w:t>
      </w:r>
      <w:r w:rsidRPr="00CE1CAD">
        <w:rPr>
          <w:bCs/>
          <w:lang w:val="en-GB"/>
        </w:rPr>
        <w:tab/>
      </w:r>
      <w:r w:rsidRPr="00CE1CAD">
        <w:rPr>
          <w:lang w:val="en-GB"/>
        </w:rPr>
        <w:t>On 7 April 2015, in application of rule 114</w:t>
      </w:r>
      <w:r w:rsidR="00184B54" w:rsidRPr="00CE1CAD">
        <w:rPr>
          <w:lang w:val="en-GB"/>
        </w:rPr>
        <w:t xml:space="preserve"> (1)</w:t>
      </w:r>
      <w:r w:rsidRPr="00CE1CAD">
        <w:rPr>
          <w:lang w:val="en-GB"/>
        </w:rPr>
        <w:t xml:space="preserve"> of its rules of procedure, the Committee requested the State party to re</w:t>
      </w:r>
      <w:r w:rsidR="00964489" w:rsidRPr="00CE1CAD">
        <w:rPr>
          <w:lang w:val="en-GB"/>
        </w:rPr>
        <w:t xml:space="preserve">frain from extraditing </w:t>
      </w:r>
      <w:r w:rsidRPr="00CE1CAD">
        <w:rPr>
          <w:lang w:val="en-GB"/>
        </w:rPr>
        <w:t xml:space="preserve">the complainant to the </w:t>
      </w:r>
      <w:r w:rsidR="0014145F" w:rsidRPr="00CE1CAD">
        <w:rPr>
          <w:lang w:val="en-GB"/>
        </w:rPr>
        <w:t>United States</w:t>
      </w:r>
      <w:r w:rsidRPr="00CE1CAD">
        <w:rPr>
          <w:lang w:val="en-GB"/>
        </w:rPr>
        <w:t xml:space="preserve"> while the communication was being considered by the Committee. </w:t>
      </w:r>
      <w:r w:rsidR="007161DE" w:rsidRPr="00CE1CAD">
        <w:rPr>
          <w:lang w:val="en-GB"/>
        </w:rPr>
        <w:t>The request was reiterated o</w:t>
      </w:r>
      <w:r w:rsidR="00313E47" w:rsidRPr="00CE1CAD">
        <w:rPr>
          <w:lang w:val="en-GB"/>
        </w:rPr>
        <w:t xml:space="preserve">n 27 April </w:t>
      </w:r>
      <w:r w:rsidR="006E686B" w:rsidRPr="00CE1CAD">
        <w:rPr>
          <w:lang w:val="en-GB"/>
        </w:rPr>
        <w:t xml:space="preserve">and on 3 June </w:t>
      </w:r>
      <w:r w:rsidR="00313E47" w:rsidRPr="00CE1CAD">
        <w:rPr>
          <w:lang w:val="en-GB"/>
        </w:rPr>
        <w:t>2015</w:t>
      </w:r>
      <w:r w:rsidR="00917E3D" w:rsidRPr="00CE1CAD">
        <w:rPr>
          <w:lang w:val="en-GB"/>
        </w:rPr>
        <w:t>.</w:t>
      </w:r>
      <w:r w:rsidR="0078481A" w:rsidRPr="00CE1CAD">
        <w:rPr>
          <w:rStyle w:val="FootnoteReference"/>
          <w:lang w:val="en-GB"/>
        </w:rPr>
        <w:footnoteReference w:id="4"/>
      </w:r>
    </w:p>
    <w:p w14:paraId="39EAAD55" w14:textId="77777777" w:rsidR="00080300" w:rsidRPr="00CE1CAD" w:rsidRDefault="006E686B" w:rsidP="008E5AFE">
      <w:pPr>
        <w:pStyle w:val="SingleTxtG"/>
        <w:rPr>
          <w:lang w:val="en-GB"/>
        </w:rPr>
      </w:pPr>
      <w:r w:rsidRPr="00CE1CAD">
        <w:rPr>
          <w:lang w:val="en-GB"/>
        </w:rPr>
        <w:lastRenderedPageBreak/>
        <w:t>1.3</w:t>
      </w:r>
      <w:r w:rsidRPr="00CE1CAD">
        <w:rPr>
          <w:lang w:val="en-GB"/>
        </w:rPr>
        <w:tab/>
        <w:t>On 3 June 2015, in accordance with rule 115</w:t>
      </w:r>
      <w:r w:rsidR="00184B54" w:rsidRPr="00CE1CAD">
        <w:rPr>
          <w:lang w:val="en-GB"/>
        </w:rPr>
        <w:t xml:space="preserve"> (3)</w:t>
      </w:r>
      <w:r w:rsidRPr="00CE1CAD">
        <w:rPr>
          <w:lang w:val="en-GB"/>
        </w:rPr>
        <w:t xml:space="preserve"> of its rules of procedure, the Committee decided to examine the admissibility of the complaint together with its merits. </w:t>
      </w:r>
    </w:p>
    <w:p w14:paraId="7B087688" w14:textId="77777777" w:rsidR="0025021C" w:rsidRPr="00CE1CAD" w:rsidRDefault="00824189" w:rsidP="00CE1CAD">
      <w:pPr>
        <w:pStyle w:val="H23G"/>
        <w:rPr>
          <w:b w:val="0"/>
        </w:rPr>
      </w:pPr>
      <w:r w:rsidRPr="00CE1CAD">
        <w:tab/>
      </w:r>
      <w:r w:rsidRPr="00CE1CAD">
        <w:tab/>
      </w:r>
      <w:r w:rsidR="0025021C" w:rsidRPr="00CE1CAD">
        <w:t>Fact</w:t>
      </w:r>
      <w:r w:rsidR="00F04307" w:rsidRPr="00CE1CAD">
        <w:t xml:space="preserve">s as presented by the complainant </w:t>
      </w:r>
    </w:p>
    <w:p w14:paraId="0EB84BC0" w14:textId="77777777" w:rsidR="00553A13" w:rsidRPr="00CE1CAD" w:rsidRDefault="00553A13" w:rsidP="008E5AFE">
      <w:pPr>
        <w:pStyle w:val="SingleTxtG"/>
        <w:rPr>
          <w:lang w:val="en-GB"/>
        </w:rPr>
      </w:pPr>
      <w:r w:rsidRPr="00CE1CAD">
        <w:rPr>
          <w:lang w:val="en-GB"/>
        </w:rPr>
        <w:t>2.1</w:t>
      </w:r>
      <w:r w:rsidRPr="00CE1CAD">
        <w:rPr>
          <w:lang w:val="en-GB"/>
        </w:rPr>
        <w:tab/>
        <w:t xml:space="preserve">The complainant is a legal resident of Hungary and has a Hungarian wife and a </w:t>
      </w:r>
      <w:r w:rsidR="00884B63" w:rsidRPr="00CE1CAD">
        <w:rPr>
          <w:lang w:val="en-GB"/>
        </w:rPr>
        <w:t>two</w:t>
      </w:r>
      <w:r w:rsidRPr="00CE1CAD">
        <w:rPr>
          <w:lang w:val="en-GB"/>
        </w:rPr>
        <w:t>-year</w:t>
      </w:r>
      <w:r w:rsidR="00884B63" w:rsidRPr="00CE1CAD">
        <w:rPr>
          <w:lang w:val="en-GB"/>
        </w:rPr>
        <w:t>-</w:t>
      </w:r>
      <w:r w:rsidRPr="00CE1CAD">
        <w:rPr>
          <w:lang w:val="en-GB"/>
        </w:rPr>
        <w:t xml:space="preserve">old child. </w:t>
      </w:r>
      <w:r w:rsidR="00CD2DC4" w:rsidRPr="00CE1CAD">
        <w:rPr>
          <w:lang w:val="en-GB"/>
        </w:rPr>
        <w:t xml:space="preserve">He owns property </w:t>
      </w:r>
      <w:r w:rsidR="00884B63" w:rsidRPr="00CE1CAD">
        <w:rPr>
          <w:lang w:val="en-GB"/>
        </w:rPr>
        <w:t xml:space="preserve">and </w:t>
      </w:r>
      <w:r w:rsidR="00CD2DC4" w:rsidRPr="00CE1CAD">
        <w:rPr>
          <w:lang w:val="en-GB"/>
        </w:rPr>
        <w:t xml:space="preserve">shares in several companies. </w:t>
      </w:r>
      <w:r w:rsidRPr="00CE1CAD">
        <w:rPr>
          <w:lang w:val="en-GB"/>
        </w:rPr>
        <w:t xml:space="preserve">On 21 March 2012, an international arrest warrant was issued by the </w:t>
      </w:r>
      <w:r w:rsidR="0014145F" w:rsidRPr="00CE1CAD">
        <w:rPr>
          <w:lang w:val="en-GB"/>
        </w:rPr>
        <w:t>United States</w:t>
      </w:r>
      <w:r w:rsidRPr="00CE1CAD">
        <w:rPr>
          <w:lang w:val="en-GB"/>
        </w:rPr>
        <w:t xml:space="preserve"> against the complainant for the criminal offences of fraud, money laundering, </w:t>
      </w:r>
      <w:r w:rsidR="00F659F9" w:rsidRPr="00CE1CAD">
        <w:rPr>
          <w:lang w:val="en-GB"/>
        </w:rPr>
        <w:t xml:space="preserve">forgery of private documents, </w:t>
      </w:r>
      <w:r w:rsidRPr="00CE1CAD">
        <w:rPr>
          <w:lang w:val="en-GB"/>
        </w:rPr>
        <w:t xml:space="preserve">obstruction of proceedings and making false statements to official authorities. </w:t>
      </w:r>
    </w:p>
    <w:p w14:paraId="4F3EC078" w14:textId="77777777" w:rsidR="00553A13" w:rsidRPr="00CE1CAD" w:rsidRDefault="00553A13">
      <w:pPr>
        <w:pStyle w:val="SingleTxtG"/>
        <w:rPr>
          <w:lang w:val="en-GB"/>
        </w:rPr>
      </w:pPr>
      <w:r w:rsidRPr="00CE1CAD">
        <w:rPr>
          <w:lang w:val="en-GB"/>
        </w:rPr>
        <w:t>2.2</w:t>
      </w:r>
      <w:r w:rsidRPr="00CE1CAD">
        <w:rPr>
          <w:lang w:val="en-GB"/>
        </w:rPr>
        <w:tab/>
        <w:t xml:space="preserve">The complainant was arrested on 15 February 2014 in Budapest and </w:t>
      </w:r>
      <w:r w:rsidR="00F659F9" w:rsidRPr="00CE1CAD">
        <w:rPr>
          <w:lang w:val="en-GB"/>
        </w:rPr>
        <w:t xml:space="preserve">placed under </w:t>
      </w:r>
      <w:r w:rsidRPr="00CE1CAD">
        <w:rPr>
          <w:lang w:val="en-GB"/>
        </w:rPr>
        <w:t xml:space="preserve">extraordinary detention </w:t>
      </w:r>
      <w:r w:rsidR="00F659F9" w:rsidRPr="00CE1CAD">
        <w:rPr>
          <w:lang w:val="en-GB"/>
        </w:rPr>
        <w:t xml:space="preserve">until </w:t>
      </w:r>
      <w:r w:rsidRPr="00CE1CAD">
        <w:rPr>
          <w:lang w:val="en-GB"/>
        </w:rPr>
        <w:t xml:space="preserve">17 February 2014, </w:t>
      </w:r>
      <w:r w:rsidR="00F659F9" w:rsidRPr="00CE1CAD">
        <w:rPr>
          <w:lang w:val="en-GB"/>
        </w:rPr>
        <w:t xml:space="preserve">when </w:t>
      </w:r>
      <w:r w:rsidRPr="00CE1CAD">
        <w:rPr>
          <w:lang w:val="en-GB"/>
        </w:rPr>
        <w:t xml:space="preserve">the Metropolitan Court of Budapest ordered </w:t>
      </w:r>
      <w:r w:rsidR="00F659F9" w:rsidRPr="00CE1CAD">
        <w:rPr>
          <w:lang w:val="en-GB"/>
        </w:rPr>
        <w:t>his</w:t>
      </w:r>
      <w:r w:rsidRPr="00CE1CAD">
        <w:rPr>
          <w:lang w:val="en-GB"/>
        </w:rPr>
        <w:t xml:space="preserve"> </w:t>
      </w:r>
      <w:r w:rsidR="002024B2" w:rsidRPr="00CE1CAD">
        <w:rPr>
          <w:lang w:val="en-GB"/>
        </w:rPr>
        <w:t>“</w:t>
      </w:r>
      <w:r w:rsidRPr="00CE1CAD">
        <w:rPr>
          <w:lang w:val="en-GB"/>
        </w:rPr>
        <w:t>temporary extradition arrest</w:t>
      </w:r>
      <w:r w:rsidR="002024B2" w:rsidRPr="00CE1CAD">
        <w:rPr>
          <w:lang w:val="en-GB"/>
        </w:rPr>
        <w:t>”</w:t>
      </w:r>
      <w:r w:rsidR="00F659F9" w:rsidRPr="00CE1CAD">
        <w:rPr>
          <w:lang w:val="en-GB"/>
        </w:rPr>
        <w:t>;</w:t>
      </w:r>
      <w:r w:rsidRPr="00CE1CAD">
        <w:rPr>
          <w:lang w:val="en-GB"/>
        </w:rPr>
        <w:t xml:space="preserve"> an ordinary detention of extradition </w:t>
      </w:r>
      <w:r w:rsidR="00CD2DC4" w:rsidRPr="00CE1CAD">
        <w:rPr>
          <w:lang w:val="en-GB"/>
        </w:rPr>
        <w:t xml:space="preserve">(extradition detention) </w:t>
      </w:r>
      <w:r w:rsidRPr="00CE1CAD">
        <w:rPr>
          <w:lang w:val="en-GB"/>
        </w:rPr>
        <w:t>was ordered 59 days later.</w:t>
      </w:r>
    </w:p>
    <w:p w14:paraId="356A8C84" w14:textId="77777777" w:rsidR="00553A13" w:rsidRPr="00CE1CAD" w:rsidRDefault="00553A13" w:rsidP="008E5AFE">
      <w:pPr>
        <w:pStyle w:val="SingleTxtG"/>
        <w:rPr>
          <w:lang w:val="en-GB"/>
        </w:rPr>
      </w:pPr>
      <w:r w:rsidRPr="00CE1CAD">
        <w:rPr>
          <w:lang w:val="en-GB"/>
        </w:rPr>
        <w:t>2.</w:t>
      </w:r>
      <w:r w:rsidR="002E0365" w:rsidRPr="00CE1CAD">
        <w:rPr>
          <w:lang w:val="en-GB"/>
        </w:rPr>
        <w:t>3</w:t>
      </w:r>
      <w:r w:rsidRPr="00CE1CAD">
        <w:rPr>
          <w:lang w:val="en-GB"/>
        </w:rPr>
        <w:tab/>
        <w:t>On 20 February 2014, the complainant filed an application for asylum to the Office of Immigration and Nationality of Hungary, requesting that the rule of non-refoulement prevails. The grounds of the request were that</w:t>
      </w:r>
      <w:r w:rsidR="00884B63" w:rsidRPr="00CE1CAD">
        <w:rPr>
          <w:lang w:val="en-GB"/>
        </w:rPr>
        <w:t>,</w:t>
      </w:r>
      <w:r w:rsidRPr="00CE1CAD">
        <w:rPr>
          <w:lang w:val="en-GB"/>
        </w:rPr>
        <w:t xml:space="preserve"> in the event of his extradition to the </w:t>
      </w:r>
      <w:r w:rsidR="0014145F" w:rsidRPr="00CE1CAD">
        <w:rPr>
          <w:lang w:val="en-GB"/>
        </w:rPr>
        <w:t>United States</w:t>
      </w:r>
      <w:r w:rsidRPr="00CE1CAD">
        <w:rPr>
          <w:lang w:val="en-GB"/>
        </w:rPr>
        <w:t xml:space="preserve"> </w:t>
      </w:r>
      <w:r w:rsidR="00B34C31" w:rsidRPr="00CE1CAD">
        <w:rPr>
          <w:lang w:val="en-GB"/>
        </w:rPr>
        <w:t xml:space="preserve">and imprisonment there, </w:t>
      </w:r>
      <w:r w:rsidRPr="00CE1CAD">
        <w:rPr>
          <w:lang w:val="en-GB"/>
        </w:rPr>
        <w:t xml:space="preserve">he would be </w:t>
      </w:r>
      <w:r w:rsidR="00361E86" w:rsidRPr="00CE1CAD">
        <w:rPr>
          <w:lang w:val="en-GB"/>
        </w:rPr>
        <w:t xml:space="preserve">subjected to rape, other types of sexual assaults and physical harm by inmates occurring in correlation with his Jewish faith. </w:t>
      </w:r>
      <w:r w:rsidRPr="00CE1CAD">
        <w:rPr>
          <w:lang w:val="en-GB"/>
        </w:rPr>
        <w:t xml:space="preserve">In addition, </w:t>
      </w:r>
      <w:r w:rsidR="00FE5177" w:rsidRPr="00CE1CAD">
        <w:rPr>
          <w:lang w:val="en-GB"/>
        </w:rPr>
        <w:t>the complainant alleged that</w:t>
      </w:r>
      <w:r w:rsidR="00884B63" w:rsidRPr="00CE1CAD">
        <w:rPr>
          <w:lang w:val="en-GB"/>
        </w:rPr>
        <w:t>,</w:t>
      </w:r>
      <w:r w:rsidR="00FE5177" w:rsidRPr="00CE1CAD">
        <w:rPr>
          <w:lang w:val="en-GB"/>
        </w:rPr>
        <w:t xml:space="preserve"> </w:t>
      </w:r>
      <w:r w:rsidRPr="00CE1CAD">
        <w:rPr>
          <w:lang w:val="en-GB"/>
        </w:rPr>
        <w:t xml:space="preserve">during his earlier imprisonment in six different penitentiary institutions from 2006 to 2010, he was raped </w:t>
      </w:r>
      <w:r w:rsidR="00884B63" w:rsidRPr="00CE1CAD">
        <w:rPr>
          <w:lang w:val="en-GB"/>
        </w:rPr>
        <w:t xml:space="preserve">6 </w:t>
      </w:r>
      <w:r w:rsidRPr="00CE1CAD">
        <w:rPr>
          <w:lang w:val="en-GB"/>
        </w:rPr>
        <w:t xml:space="preserve">times, subjected to other sexual abuse at least </w:t>
      </w:r>
      <w:r w:rsidR="00884B63" w:rsidRPr="00CE1CAD">
        <w:rPr>
          <w:lang w:val="en-GB"/>
        </w:rPr>
        <w:t xml:space="preserve">10 </w:t>
      </w:r>
      <w:r w:rsidRPr="00CE1CAD">
        <w:rPr>
          <w:lang w:val="en-GB"/>
        </w:rPr>
        <w:t xml:space="preserve">times and assaulted 25 times. </w:t>
      </w:r>
      <w:r w:rsidR="00A507B1" w:rsidRPr="00CE1CAD">
        <w:rPr>
          <w:lang w:val="en-GB"/>
        </w:rPr>
        <w:t>The</w:t>
      </w:r>
      <w:r w:rsidRPr="00CE1CAD">
        <w:rPr>
          <w:lang w:val="en-GB"/>
        </w:rPr>
        <w:t xml:space="preserve"> </w:t>
      </w:r>
      <w:r w:rsidR="003566CF" w:rsidRPr="00CE1CAD">
        <w:rPr>
          <w:lang w:val="en-GB"/>
        </w:rPr>
        <w:t xml:space="preserve">prison </w:t>
      </w:r>
      <w:r w:rsidRPr="00CE1CAD">
        <w:rPr>
          <w:lang w:val="en-GB"/>
        </w:rPr>
        <w:t>staff or other competent authorities did not take any measures to protect him</w:t>
      </w:r>
      <w:r w:rsidR="000C3706" w:rsidRPr="00CE1CAD">
        <w:rPr>
          <w:lang w:val="en-GB"/>
        </w:rPr>
        <w:t>, except to place him</w:t>
      </w:r>
      <w:r w:rsidRPr="00CE1CAD">
        <w:rPr>
          <w:lang w:val="en-GB"/>
        </w:rPr>
        <w:t xml:space="preserve"> in a small room without windows for </w:t>
      </w:r>
      <w:r w:rsidR="00884B63" w:rsidRPr="00CE1CAD">
        <w:rPr>
          <w:lang w:val="en-GB"/>
        </w:rPr>
        <w:t xml:space="preserve">13 </w:t>
      </w:r>
      <w:r w:rsidRPr="00CE1CAD">
        <w:rPr>
          <w:lang w:val="en-GB"/>
        </w:rPr>
        <w:t>month</w:t>
      </w:r>
      <w:r w:rsidR="00321AC2" w:rsidRPr="00CE1CAD">
        <w:rPr>
          <w:lang w:val="en-GB"/>
        </w:rPr>
        <w:t>s</w:t>
      </w:r>
      <w:r w:rsidRPr="00CE1CAD">
        <w:rPr>
          <w:lang w:val="en-GB"/>
        </w:rPr>
        <w:t>. As a result of th</w:t>
      </w:r>
      <w:r w:rsidR="00884B63" w:rsidRPr="00CE1CAD">
        <w:rPr>
          <w:lang w:val="en-GB"/>
        </w:rPr>
        <w:t>o</w:t>
      </w:r>
      <w:r w:rsidRPr="00CE1CAD">
        <w:rPr>
          <w:lang w:val="en-GB"/>
        </w:rPr>
        <w:t>se actions</w:t>
      </w:r>
      <w:r w:rsidR="00884B63" w:rsidRPr="00CE1CAD">
        <w:rPr>
          <w:lang w:val="en-GB"/>
        </w:rPr>
        <w:t>,</w:t>
      </w:r>
      <w:r w:rsidRPr="00CE1CAD">
        <w:rPr>
          <w:lang w:val="en-GB"/>
        </w:rPr>
        <w:t xml:space="preserve"> </w:t>
      </w:r>
      <w:r w:rsidR="00A507B1" w:rsidRPr="00CE1CAD">
        <w:rPr>
          <w:lang w:val="en-GB"/>
        </w:rPr>
        <w:t>the</w:t>
      </w:r>
      <w:r w:rsidRPr="00CE1CAD">
        <w:rPr>
          <w:lang w:val="en-GB"/>
        </w:rPr>
        <w:t xml:space="preserve"> </w:t>
      </w:r>
      <w:r w:rsidR="00F659F9" w:rsidRPr="00CE1CAD">
        <w:rPr>
          <w:lang w:val="en-GB"/>
        </w:rPr>
        <w:t xml:space="preserve">complainant </w:t>
      </w:r>
      <w:r w:rsidRPr="00CE1CAD">
        <w:rPr>
          <w:lang w:val="en-GB"/>
        </w:rPr>
        <w:t xml:space="preserve">suffers </w:t>
      </w:r>
      <w:r w:rsidR="000C3706" w:rsidRPr="00CE1CAD">
        <w:rPr>
          <w:lang w:val="en-GB"/>
        </w:rPr>
        <w:t xml:space="preserve">from </w:t>
      </w:r>
      <w:r w:rsidR="00884B63" w:rsidRPr="00CE1CAD">
        <w:rPr>
          <w:lang w:val="en-GB"/>
        </w:rPr>
        <w:t>p</w:t>
      </w:r>
      <w:r w:rsidRPr="00CE1CAD">
        <w:rPr>
          <w:lang w:val="en-GB"/>
        </w:rPr>
        <w:t>ost-</w:t>
      </w:r>
      <w:r w:rsidR="00884B63" w:rsidRPr="00CE1CAD">
        <w:rPr>
          <w:lang w:val="en-GB"/>
        </w:rPr>
        <w:t>t</w:t>
      </w:r>
      <w:r w:rsidRPr="00CE1CAD">
        <w:rPr>
          <w:lang w:val="en-GB"/>
        </w:rPr>
        <w:t xml:space="preserve">raumatic </w:t>
      </w:r>
      <w:r w:rsidR="00884B63" w:rsidRPr="00CE1CAD">
        <w:rPr>
          <w:lang w:val="en-GB"/>
        </w:rPr>
        <w:t>s</w:t>
      </w:r>
      <w:r w:rsidRPr="00CE1CAD">
        <w:rPr>
          <w:lang w:val="en-GB"/>
        </w:rPr>
        <w:t xml:space="preserve">tress </w:t>
      </w:r>
      <w:r w:rsidR="00884B63" w:rsidRPr="00CE1CAD">
        <w:rPr>
          <w:lang w:val="en-GB"/>
        </w:rPr>
        <w:t>d</w:t>
      </w:r>
      <w:r w:rsidRPr="00CE1CAD">
        <w:rPr>
          <w:lang w:val="en-GB"/>
        </w:rPr>
        <w:t>isorder</w:t>
      </w:r>
      <w:r w:rsidR="00F4362E" w:rsidRPr="00CE1CAD">
        <w:rPr>
          <w:lang w:val="en-GB"/>
        </w:rPr>
        <w:t>.</w:t>
      </w:r>
      <w:r w:rsidR="00F4362E" w:rsidRPr="00CE1CAD">
        <w:rPr>
          <w:rStyle w:val="FootnoteReference"/>
          <w:lang w:val="en-GB"/>
        </w:rPr>
        <w:footnoteReference w:id="5"/>
      </w:r>
    </w:p>
    <w:p w14:paraId="539D8463" w14:textId="77777777" w:rsidR="00553A13" w:rsidRPr="00CE1CAD" w:rsidRDefault="00553A13" w:rsidP="008E5AFE">
      <w:pPr>
        <w:pStyle w:val="SingleTxtG"/>
        <w:rPr>
          <w:lang w:val="en-GB"/>
        </w:rPr>
      </w:pPr>
      <w:r w:rsidRPr="00CE1CAD">
        <w:rPr>
          <w:lang w:val="en-GB"/>
        </w:rPr>
        <w:t>2.</w:t>
      </w:r>
      <w:r w:rsidR="002E0365" w:rsidRPr="00CE1CAD">
        <w:rPr>
          <w:lang w:val="en-GB"/>
        </w:rPr>
        <w:t>4</w:t>
      </w:r>
      <w:r w:rsidRPr="00CE1CAD">
        <w:rPr>
          <w:lang w:val="en-GB"/>
        </w:rPr>
        <w:tab/>
        <w:t xml:space="preserve">On 30 May 2014, his request for asylum and non-refoulement was rejected by the Office of Immigration and Nationality, </w:t>
      </w:r>
      <w:r w:rsidR="00FE5177" w:rsidRPr="00CE1CAD">
        <w:rPr>
          <w:lang w:val="en-GB"/>
        </w:rPr>
        <w:t xml:space="preserve">on </w:t>
      </w:r>
      <w:r w:rsidR="00884B63" w:rsidRPr="00CE1CAD">
        <w:rPr>
          <w:lang w:val="en-GB"/>
        </w:rPr>
        <w:t xml:space="preserve">the basis of </w:t>
      </w:r>
      <w:r w:rsidR="00FE5177" w:rsidRPr="00CE1CAD">
        <w:rPr>
          <w:lang w:val="en-GB"/>
        </w:rPr>
        <w:t xml:space="preserve">information provided by </w:t>
      </w:r>
      <w:r w:rsidRPr="00CE1CAD">
        <w:rPr>
          <w:lang w:val="en-GB"/>
        </w:rPr>
        <w:t xml:space="preserve">the </w:t>
      </w:r>
      <w:r w:rsidR="0014145F" w:rsidRPr="00CE1CAD">
        <w:rPr>
          <w:lang w:val="en-GB"/>
        </w:rPr>
        <w:t>United States</w:t>
      </w:r>
      <w:r w:rsidRPr="00CE1CAD">
        <w:rPr>
          <w:lang w:val="en-GB"/>
        </w:rPr>
        <w:t xml:space="preserve"> Embassy in Budapest. </w:t>
      </w:r>
      <w:r w:rsidR="00F659F9" w:rsidRPr="00CE1CAD">
        <w:rPr>
          <w:lang w:val="en-GB"/>
        </w:rPr>
        <w:t xml:space="preserve">According to </w:t>
      </w:r>
      <w:r w:rsidR="00FE5177" w:rsidRPr="00CE1CAD">
        <w:rPr>
          <w:lang w:val="en-GB"/>
        </w:rPr>
        <w:t>that information</w:t>
      </w:r>
      <w:r w:rsidRPr="00CE1CAD">
        <w:rPr>
          <w:lang w:val="en-GB"/>
        </w:rPr>
        <w:t xml:space="preserve">, every assault against him </w:t>
      </w:r>
      <w:r w:rsidR="00321AC2" w:rsidRPr="00CE1CAD">
        <w:rPr>
          <w:lang w:val="en-GB"/>
        </w:rPr>
        <w:t>ha</w:t>
      </w:r>
      <w:r w:rsidR="00884B63" w:rsidRPr="00CE1CAD">
        <w:rPr>
          <w:lang w:val="en-GB"/>
        </w:rPr>
        <w:t>d</w:t>
      </w:r>
      <w:r w:rsidR="00321AC2" w:rsidRPr="00CE1CAD">
        <w:rPr>
          <w:lang w:val="en-GB"/>
        </w:rPr>
        <w:t xml:space="preserve"> been duly investigated and</w:t>
      </w:r>
      <w:r w:rsidRPr="00CE1CAD">
        <w:rPr>
          <w:lang w:val="en-GB"/>
        </w:rPr>
        <w:t xml:space="preserve"> the assaults in question </w:t>
      </w:r>
      <w:r w:rsidR="00884B63" w:rsidRPr="00CE1CAD">
        <w:rPr>
          <w:lang w:val="en-GB"/>
        </w:rPr>
        <w:t xml:space="preserve">had been found not to relate </w:t>
      </w:r>
      <w:r w:rsidRPr="00CE1CAD">
        <w:rPr>
          <w:lang w:val="en-GB"/>
        </w:rPr>
        <w:t xml:space="preserve">to </w:t>
      </w:r>
      <w:r w:rsidR="00F659F9" w:rsidRPr="00CE1CAD">
        <w:rPr>
          <w:lang w:val="en-GB"/>
        </w:rPr>
        <w:t xml:space="preserve">the </w:t>
      </w:r>
      <w:r w:rsidRPr="00CE1CAD">
        <w:rPr>
          <w:lang w:val="en-GB"/>
        </w:rPr>
        <w:t xml:space="preserve">racist group </w:t>
      </w:r>
      <w:r w:rsidR="002024B2" w:rsidRPr="00CE1CAD">
        <w:rPr>
          <w:lang w:val="en-GB"/>
        </w:rPr>
        <w:t>“</w:t>
      </w:r>
      <w:r w:rsidRPr="00CE1CAD">
        <w:rPr>
          <w:lang w:val="en-GB"/>
        </w:rPr>
        <w:t xml:space="preserve">Aryan </w:t>
      </w:r>
      <w:r w:rsidR="00884B63" w:rsidRPr="00CE1CAD">
        <w:rPr>
          <w:lang w:val="en-GB"/>
        </w:rPr>
        <w:t>b</w:t>
      </w:r>
      <w:r w:rsidRPr="00CE1CAD">
        <w:rPr>
          <w:lang w:val="en-GB"/>
        </w:rPr>
        <w:t>rotherhood</w:t>
      </w:r>
      <w:r w:rsidR="002024B2" w:rsidRPr="00CE1CAD">
        <w:rPr>
          <w:lang w:val="en-GB"/>
        </w:rPr>
        <w:t>”</w:t>
      </w:r>
      <w:r w:rsidRPr="00CE1CAD">
        <w:rPr>
          <w:lang w:val="en-GB"/>
        </w:rPr>
        <w:t xml:space="preserve"> operating in prisons, since</w:t>
      </w:r>
      <w:r w:rsidR="00884B63" w:rsidRPr="00CE1CAD">
        <w:rPr>
          <w:lang w:val="en-GB"/>
        </w:rPr>
        <w:t>,</w:t>
      </w:r>
      <w:r w:rsidRPr="00CE1CAD">
        <w:rPr>
          <w:lang w:val="en-GB"/>
        </w:rPr>
        <w:t xml:space="preserve"> </w:t>
      </w:r>
      <w:r w:rsidR="00FE5177" w:rsidRPr="00CE1CAD">
        <w:rPr>
          <w:lang w:val="en-GB"/>
        </w:rPr>
        <w:t xml:space="preserve">while he was in the </w:t>
      </w:r>
      <w:r w:rsidR="0014145F" w:rsidRPr="00CE1CAD">
        <w:rPr>
          <w:lang w:val="en-GB"/>
        </w:rPr>
        <w:t>United States</w:t>
      </w:r>
      <w:r w:rsidR="00FE5177" w:rsidRPr="00CE1CAD">
        <w:rPr>
          <w:lang w:val="en-GB"/>
        </w:rPr>
        <w:t xml:space="preserve"> prisons</w:t>
      </w:r>
      <w:r w:rsidR="00884B63" w:rsidRPr="00CE1CAD">
        <w:rPr>
          <w:lang w:val="en-GB"/>
        </w:rPr>
        <w:t>,</w:t>
      </w:r>
      <w:r w:rsidR="00FE5177" w:rsidRPr="00CE1CAD">
        <w:rPr>
          <w:lang w:val="en-GB"/>
        </w:rPr>
        <w:t xml:space="preserve"> </w:t>
      </w:r>
      <w:r w:rsidRPr="00CE1CAD">
        <w:rPr>
          <w:lang w:val="en-GB"/>
        </w:rPr>
        <w:t xml:space="preserve">the complainant had not declared himself Jewish, but claimed to be Catholic. </w:t>
      </w:r>
    </w:p>
    <w:p w14:paraId="5CEC9B09" w14:textId="77777777" w:rsidR="00165B7B" w:rsidRPr="00CE1CAD" w:rsidRDefault="00553A13" w:rsidP="008E5AFE">
      <w:pPr>
        <w:pStyle w:val="SingleTxtG"/>
        <w:rPr>
          <w:lang w:val="en-GB"/>
        </w:rPr>
      </w:pPr>
      <w:r w:rsidRPr="00CE1CAD">
        <w:rPr>
          <w:lang w:val="en-GB"/>
        </w:rPr>
        <w:t>2.</w:t>
      </w:r>
      <w:r w:rsidR="002E0365" w:rsidRPr="00CE1CAD">
        <w:rPr>
          <w:lang w:val="en-GB"/>
        </w:rPr>
        <w:t>5</w:t>
      </w:r>
      <w:r w:rsidRPr="00CE1CAD">
        <w:rPr>
          <w:lang w:val="en-GB"/>
        </w:rPr>
        <w:tab/>
        <w:t xml:space="preserve">The complainant challenged </w:t>
      </w:r>
      <w:r w:rsidR="00884B63" w:rsidRPr="00CE1CAD">
        <w:rPr>
          <w:lang w:val="en-GB"/>
        </w:rPr>
        <w:t xml:space="preserve">that </w:t>
      </w:r>
      <w:r w:rsidRPr="00CE1CAD">
        <w:rPr>
          <w:lang w:val="en-GB"/>
        </w:rPr>
        <w:t xml:space="preserve">decision by appealing to the </w:t>
      </w:r>
      <w:r w:rsidR="002024B2" w:rsidRPr="00CE1CAD">
        <w:rPr>
          <w:lang w:val="en-GB"/>
        </w:rPr>
        <w:t>“</w:t>
      </w:r>
      <w:r w:rsidRPr="00CE1CAD">
        <w:rPr>
          <w:lang w:val="en-GB"/>
        </w:rPr>
        <w:t>competent Court of Administration and Labour Affairs</w:t>
      </w:r>
      <w:r w:rsidR="002024B2" w:rsidRPr="00CE1CAD">
        <w:rPr>
          <w:lang w:val="en-GB"/>
        </w:rPr>
        <w:t>”</w:t>
      </w:r>
      <w:r w:rsidRPr="00CE1CAD">
        <w:rPr>
          <w:lang w:val="en-GB"/>
        </w:rPr>
        <w:t xml:space="preserve">, claiming that the Office of Immigration </w:t>
      </w:r>
      <w:r w:rsidR="00884B63" w:rsidRPr="00CE1CAD">
        <w:rPr>
          <w:lang w:val="en-GB"/>
        </w:rPr>
        <w:t xml:space="preserve">and Nationality had </w:t>
      </w:r>
      <w:r w:rsidRPr="00CE1CAD">
        <w:rPr>
          <w:lang w:val="en-GB"/>
        </w:rPr>
        <w:t xml:space="preserve">based its decision </w:t>
      </w:r>
      <w:r w:rsidR="00884B63" w:rsidRPr="00CE1CAD">
        <w:rPr>
          <w:lang w:val="en-GB"/>
        </w:rPr>
        <w:t xml:space="preserve">unilaterally </w:t>
      </w:r>
      <w:r w:rsidRPr="00CE1CAD">
        <w:rPr>
          <w:lang w:val="en-GB"/>
        </w:rPr>
        <w:t xml:space="preserve">on the information provided by the </w:t>
      </w:r>
      <w:r w:rsidR="0014145F" w:rsidRPr="00CE1CAD">
        <w:rPr>
          <w:lang w:val="en-GB"/>
        </w:rPr>
        <w:t>United States</w:t>
      </w:r>
      <w:r w:rsidRPr="00CE1CAD">
        <w:rPr>
          <w:lang w:val="en-GB"/>
        </w:rPr>
        <w:t xml:space="preserve"> Embassy and </w:t>
      </w:r>
      <w:r w:rsidR="00884B63" w:rsidRPr="00CE1CAD">
        <w:rPr>
          <w:lang w:val="en-GB"/>
        </w:rPr>
        <w:t xml:space="preserve">had not taken </w:t>
      </w:r>
      <w:r w:rsidRPr="00CE1CAD">
        <w:rPr>
          <w:lang w:val="en-GB"/>
        </w:rPr>
        <w:t xml:space="preserve">into consideration the documents he </w:t>
      </w:r>
      <w:r w:rsidR="00884B63" w:rsidRPr="00CE1CAD">
        <w:rPr>
          <w:lang w:val="en-GB"/>
        </w:rPr>
        <w:t xml:space="preserve">had </w:t>
      </w:r>
      <w:r w:rsidRPr="00CE1CAD">
        <w:rPr>
          <w:lang w:val="en-GB"/>
        </w:rPr>
        <w:t>provided. The Court rejected the complainant’s appeal and upheld the decision of the Office of Immigration</w:t>
      </w:r>
      <w:r w:rsidR="00F659F9" w:rsidRPr="00CE1CAD">
        <w:rPr>
          <w:lang w:val="en-GB"/>
        </w:rPr>
        <w:t xml:space="preserve"> and Nationality</w:t>
      </w:r>
      <w:r w:rsidR="00884B63" w:rsidRPr="00CE1CAD">
        <w:rPr>
          <w:lang w:val="en-GB"/>
        </w:rPr>
        <w:t>.</w:t>
      </w:r>
    </w:p>
    <w:p w14:paraId="7C0496A3" w14:textId="77777777" w:rsidR="00553A13" w:rsidRPr="00CE1CAD" w:rsidRDefault="00553A13" w:rsidP="008E5AFE">
      <w:pPr>
        <w:pStyle w:val="SingleTxtG"/>
        <w:rPr>
          <w:lang w:val="en-GB"/>
        </w:rPr>
      </w:pPr>
      <w:r w:rsidRPr="00CE1CAD">
        <w:rPr>
          <w:lang w:val="en-GB"/>
        </w:rPr>
        <w:t>2.</w:t>
      </w:r>
      <w:r w:rsidR="002E0365" w:rsidRPr="00CE1CAD">
        <w:rPr>
          <w:lang w:val="en-GB"/>
        </w:rPr>
        <w:t>6</w:t>
      </w:r>
      <w:r w:rsidRPr="00CE1CAD">
        <w:rPr>
          <w:lang w:val="en-GB"/>
        </w:rPr>
        <w:tab/>
        <w:t>Within the extradition proceedings (see para 2.</w:t>
      </w:r>
      <w:r w:rsidR="00BA4512" w:rsidRPr="00CE1CAD">
        <w:rPr>
          <w:lang w:val="en-GB"/>
        </w:rPr>
        <w:t>2</w:t>
      </w:r>
      <w:r w:rsidRPr="00CE1CAD">
        <w:rPr>
          <w:lang w:val="en-GB"/>
        </w:rPr>
        <w:t xml:space="preserve"> above), on 11 August 2014, the Metropolitan Court </w:t>
      </w:r>
      <w:r w:rsidR="002E0365" w:rsidRPr="00CE1CAD">
        <w:rPr>
          <w:lang w:val="en-GB"/>
        </w:rPr>
        <w:t>decided</w:t>
      </w:r>
      <w:r w:rsidRPr="00CE1CAD">
        <w:rPr>
          <w:lang w:val="en-GB"/>
        </w:rPr>
        <w:t xml:space="preserve"> that the legal requirements </w:t>
      </w:r>
      <w:r w:rsidR="002E0365" w:rsidRPr="00CE1CAD">
        <w:rPr>
          <w:lang w:val="en-GB"/>
        </w:rPr>
        <w:t xml:space="preserve">for </w:t>
      </w:r>
      <w:r w:rsidRPr="00CE1CAD">
        <w:rPr>
          <w:lang w:val="en-GB"/>
        </w:rPr>
        <w:t xml:space="preserve">extradition </w:t>
      </w:r>
      <w:r w:rsidR="008E5AFE" w:rsidRPr="00CE1CAD">
        <w:rPr>
          <w:lang w:val="en-GB"/>
        </w:rPr>
        <w:t xml:space="preserve">had been </w:t>
      </w:r>
      <w:r w:rsidR="002E0365" w:rsidRPr="00CE1CAD">
        <w:rPr>
          <w:lang w:val="en-GB"/>
        </w:rPr>
        <w:t xml:space="preserve">met </w:t>
      </w:r>
      <w:r w:rsidRPr="00CE1CAD">
        <w:rPr>
          <w:lang w:val="en-GB"/>
        </w:rPr>
        <w:t xml:space="preserve">for </w:t>
      </w:r>
      <w:r w:rsidR="002E0365" w:rsidRPr="00CE1CAD">
        <w:rPr>
          <w:lang w:val="en-GB"/>
        </w:rPr>
        <w:t xml:space="preserve">the </w:t>
      </w:r>
      <w:r w:rsidRPr="00CE1CAD">
        <w:rPr>
          <w:lang w:val="en-GB"/>
        </w:rPr>
        <w:t>offences</w:t>
      </w:r>
      <w:r w:rsidR="002E0365" w:rsidRPr="00CE1CAD">
        <w:rPr>
          <w:lang w:val="en-GB"/>
        </w:rPr>
        <w:t xml:space="preserve"> of</w:t>
      </w:r>
      <w:r w:rsidRPr="00CE1CAD">
        <w:rPr>
          <w:lang w:val="en-GB"/>
        </w:rPr>
        <w:t xml:space="preserve"> fraud, money laundering and </w:t>
      </w:r>
      <w:r w:rsidR="00683B85" w:rsidRPr="00CE1CAD">
        <w:rPr>
          <w:lang w:val="en-GB"/>
        </w:rPr>
        <w:t>forgery of private documents</w:t>
      </w:r>
      <w:r w:rsidR="008E5AFE" w:rsidRPr="00CE1CAD">
        <w:rPr>
          <w:lang w:val="en-GB"/>
        </w:rPr>
        <w:t>,</w:t>
      </w:r>
      <w:r w:rsidRPr="00CE1CAD">
        <w:rPr>
          <w:lang w:val="en-GB"/>
        </w:rPr>
        <w:t xml:space="preserve"> but not in respect of </w:t>
      </w:r>
      <w:r w:rsidR="00683B85" w:rsidRPr="00CE1CAD">
        <w:rPr>
          <w:lang w:val="en-GB"/>
        </w:rPr>
        <w:t>giving false evidence</w:t>
      </w:r>
      <w:r w:rsidRPr="00CE1CAD">
        <w:rPr>
          <w:lang w:val="en-GB"/>
        </w:rPr>
        <w:t xml:space="preserve">. The complainant notes that he claimed that the rule of speciality would be violated by the fact that, according to </w:t>
      </w:r>
      <w:r w:rsidR="0014145F" w:rsidRPr="00CE1CAD">
        <w:rPr>
          <w:lang w:val="en-GB"/>
        </w:rPr>
        <w:t>United States</w:t>
      </w:r>
      <w:r w:rsidRPr="00CE1CAD">
        <w:rPr>
          <w:lang w:val="en-GB"/>
        </w:rPr>
        <w:t xml:space="preserve"> practice, in the sentencing </w:t>
      </w:r>
      <w:r w:rsidRPr="00CE1CAD">
        <w:rPr>
          <w:lang w:val="en-GB"/>
        </w:rPr>
        <w:lastRenderedPageBreak/>
        <w:t>process</w:t>
      </w:r>
      <w:r w:rsidR="008E5AFE" w:rsidRPr="00CE1CAD">
        <w:rPr>
          <w:lang w:val="en-GB"/>
        </w:rPr>
        <w:t>,</w:t>
      </w:r>
      <w:r w:rsidRPr="00CE1CAD">
        <w:rPr>
          <w:lang w:val="en-GB"/>
        </w:rPr>
        <w:t xml:space="preserve"> he would be punished for offences for which the extradition </w:t>
      </w:r>
      <w:r w:rsidR="008E5AFE" w:rsidRPr="00CE1CAD">
        <w:rPr>
          <w:lang w:val="en-GB"/>
        </w:rPr>
        <w:t xml:space="preserve">had </w:t>
      </w:r>
      <w:r w:rsidRPr="00CE1CAD">
        <w:rPr>
          <w:lang w:val="en-GB"/>
        </w:rPr>
        <w:t xml:space="preserve">not </w:t>
      </w:r>
      <w:r w:rsidR="008E5AFE" w:rsidRPr="00CE1CAD">
        <w:rPr>
          <w:lang w:val="en-GB"/>
        </w:rPr>
        <w:t xml:space="preserve">been </w:t>
      </w:r>
      <w:r w:rsidRPr="00CE1CAD">
        <w:rPr>
          <w:lang w:val="en-GB"/>
        </w:rPr>
        <w:t>approved by Hungarian courts.</w:t>
      </w:r>
    </w:p>
    <w:p w14:paraId="5713DA68" w14:textId="77777777" w:rsidR="00553A13" w:rsidRPr="00CE1CAD" w:rsidRDefault="00553A13" w:rsidP="0014145F">
      <w:pPr>
        <w:pStyle w:val="SingleTxtG"/>
        <w:rPr>
          <w:lang w:val="en-GB"/>
        </w:rPr>
      </w:pPr>
      <w:r w:rsidRPr="00CE1CAD">
        <w:rPr>
          <w:lang w:val="en-GB"/>
        </w:rPr>
        <w:t>2.</w:t>
      </w:r>
      <w:r w:rsidR="002E0365" w:rsidRPr="00CE1CAD">
        <w:rPr>
          <w:lang w:val="en-GB"/>
        </w:rPr>
        <w:t xml:space="preserve">7 </w:t>
      </w:r>
      <w:r w:rsidRPr="00CE1CAD">
        <w:rPr>
          <w:lang w:val="en-GB"/>
        </w:rPr>
        <w:tab/>
        <w:t>On 21 August 2014, the Court of Appeal upheld the decision of the Metropolitan Court. In its reasoning</w:t>
      </w:r>
      <w:r w:rsidR="008E5AFE" w:rsidRPr="00CE1CAD">
        <w:rPr>
          <w:lang w:val="en-GB"/>
        </w:rPr>
        <w:t>,</w:t>
      </w:r>
      <w:r w:rsidRPr="00CE1CAD">
        <w:rPr>
          <w:lang w:val="en-GB"/>
        </w:rPr>
        <w:t xml:space="preserve"> the Court </w:t>
      </w:r>
      <w:r w:rsidR="008E5AFE" w:rsidRPr="00CE1CAD">
        <w:rPr>
          <w:lang w:val="en-GB"/>
        </w:rPr>
        <w:t xml:space="preserve">of Appeal </w:t>
      </w:r>
      <w:r w:rsidRPr="00CE1CAD">
        <w:rPr>
          <w:lang w:val="en-GB"/>
        </w:rPr>
        <w:t xml:space="preserve">considered </w:t>
      </w:r>
      <w:r w:rsidR="002024B2" w:rsidRPr="00CE1CAD">
        <w:rPr>
          <w:lang w:val="en-GB"/>
        </w:rPr>
        <w:t>“</w:t>
      </w:r>
      <w:r w:rsidRPr="00CE1CAD">
        <w:rPr>
          <w:lang w:val="en-GB"/>
        </w:rPr>
        <w:t xml:space="preserve">the risk of systematic infringement of speciality on behalf of the </w:t>
      </w:r>
      <w:r w:rsidR="0014145F" w:rsidRPr="00CE1CAD">
        <w:rPr>
          <w:lang w:val="en-GB"/>
        </w:rPr>
        <w:t>United States</w:t>
      </w:r>
      <w:r w:rsidRPr="00CE1CAD">
        <w:rPr>
          <w:lang w:val="en-GB"/>
        </w:rPr>
        <w:t xml:space="preserve"> as a question beyond the scope of the court procedure</w:t>
      </w:r>
      <w:r w:rsidR="002024B2" w:rsidRPr="00CE1CAD">
        <w:rPr>
          <w:lang w:val="en-GB"/>
        </w:rPr>
        <w:t>”</w:t>
      </w:r>
      <w:r w:rsidRPr="00CE1CAD">
        <w:rPr>
          <w:lang w:val="en-GB"/>
        </w:rPr>
        <w:t xml:space="preserve">. </w:t>
      </w:r>
    </w:p>
    <w:p w14:paraId="2FAEB6E7" w14:textId="77777777" w:rsidR="00692F5A" w:rsidRPr="00CE1CAD" w:rsidRDefault="00553A13" w:rsidP="008E5AFE">
      <w:pPr>
        <w:pStyle w:val="SingleTxtG"/>
        <w:rPr>
          <w:lang w:val="en-GB"/>
        </w:rPr>
      </w:pPr>
      <w:r w:rsidRPr="00CE1CAD">
        <w:rPr>
          <w:lang w:val="en-GB"/>
        </w:rPr>
        <w:t>2.</w:t>
      </w:r>
      <w:r w:rsidR="002E0365" w:rsidRPr="00CE1CAD">
        <w:rPr>
          <w:lang w:val="en-GB"/>
        </w:rPr>
        <w:t>8</w:t>
      </w:r>
      <w:r w:rsidRPr="00CE1CAD">
        <w:rPr>
          <w:lang w:val="en-GB"/>
        </w:rPr>
        <w:tab/>
        <w:t>On 22 September 2014, the complainant submitted a second request for asylum, attach</w:t>
      </w:r>
      <w:r w:rsidR="002E0365" w:rsidRPr="00CE1CAD">
        <w:rPr>
          <w:lang w:val="en-GB"/>
        </w:rPr>
        <w:t>ing</w:t>
      </w:r>
      <w:r w:rsidRPr="00CE1CAD">
        <w:rPr>
          <w:lang w:val="en-GB"/>
        </w:rPr>
        <w:t xml:space="preserve"> a forensic psychiatric report confirming that his </w:t>
      </w:r>
      <w:r w:rsidR="008E5AFE" w:rsidRPr="00CE1CAD">
        <w:rPr>
          <w:lang w:val="en-GB"/>
        </w:rPr>
        <w:t>p</w:t>
      </w:r>
      <w:r w:rsidRPr="00CE1CAD">
        <w:rPr>
          <w:lang w:val="en-GB"/>
        </w:rPr>
        <w:t>ost-</w:t>
      </w:r>
      <w:r w:rsidR="008E5AFE" w:rsidRPr="00CE1CAD">
        <w:rPr>
          <w:lang w:val="en-GB"/>
        </w:rPr>
        <w:t>t</w:t>
      </w:r>
      <w:r w:rsidRPr="00CE1CAD">
        <w:rPr>
          <w:lang w:val="en-GB"/>
        </w:rPr>
        <w:t xml:space="preserve">raumatic </w:t>
      </w:r>
      <w:r w:rsidR="008E5AFE" w:rsidRPr="00CE1CAD">
        <w:rPr>
          <w:lang w:val="en-GB"/>
        </w:rPr>
        <w:t>s</w:t>
      </w:r>
      <w:r w:rsidRPr="00CE1CAD">
        <w:rPr>
          <w:lang w:val="en-GB"/>
        </w:rPr>
        <w:t xml:space="preserve">tress </w:t>
      </w:r>
      <w:r w:rsidR="008E5AFE" w:rsidRPr="00CE1CAD">
        <w:rPr>
          <w:lang w:val="en-GB"/>
        </w:rPr>
        <w:t>d</w:t>
      </w:r>
      <w:r w:rsidRPr="00CE1CAD">
        <w:rPr>
          <w:lang w:val="en-GB"/>
        </w:rPr>
        <w:t xml:space="preserve">isorder </w:t>
      </w:r>
      <w:r w:rsidR="008E5AFE" w:rsidRPr="00CE1CAD">
        <w:rPr>
          <w:lang w:val="en-GB"/>
        </w:rPr>
        <w:t xml:space="preserve">had </w:t>
      </w:r>
      <w:r w:rsidRPr="00CE1CAD">
        <w:rPr>
          <w:lang w:val="en-GB"/>
        </w:rPr>
        <w:t>originate</w:t>
      </w:r>
      <w:r w:rsidR="008E5AFE" w:rsidRPr="00CE1CAD">
        <w:rPr>
          <w:lang w:val="en-GB"/>
        </w:rPr>
        <w:t>d</w:t>
      </w:r>
      <w:r w:rsidRPr="00CE1CAD">
        <w:rPr>
          <w:lang w:val="en-GB"/>
        </w:rPr>
        <w:t xml:space="preserve"> from the assaults </w:t>
      </w:r>
      <w:r w:rsidR="008E5AFE" w:rsidRPr="00CE1CAD">
        <w:rPr>
          <w:lang w:val="en-GB"/>
        </w:rPr>
        <w:t xml:space="preserve">he had </w:t>
      </w:r>
      <w:r w:rsidRPr="00CE1CAD">
        <w:rPr>
          <w:lang w:val="en-GB"/>
        </w:rPr>
        <w:t xml:space="preserve">suffered in </w:t>
      </w:r>
      <w:r w:rsidR="0014145F" w:rsidRPr="00CE1CAD">
        <w:rPr>
          <w:lang w:val="en-GB"/>
        </w:rPr>
        <w:t>United States</w:t>
      </w:r>
      <w:r w:rsidRPr="00CE1CAD">
        <w:rPr>
          <w:lang w:val="en-GB"/>
        </w:rPr>
        <w:t xml:space="preserve"> prisons. </w:t>
      </w:r>
    </w:p>
    <w:p w14:paraId="5CAB7DB4" w14:textId="77777777" w:rsidR="007C485C" w:rsidRPr="00CE1CAD" w:rsidRDefault="00553A13" w:rsidP="008E5AFE">
      <w:pPr>
        <w:pStyle w:val="SingleTxtG"/>
        <w:rPr>
          <w:lang w:val="en-GB"/>
        </w:rPr>
      </w:pPr>
      <w:r w:rsidRPr="00CE1CAD">
        <w:rPr>
          <w:lang w:val="en-GB"/>
        </w:rPr>
        <w:t>2.</w:t>
      </w:r>
      <w:r w:rsidR="002E0365" w:rsidRPr="00CE1CAD">
        <w:rPr>
          <w:lang w:val="en-GB"/>
        </w:rPr>
        <w:t>9</w:t>
      </w:r>
      <w:r w:rsidRPr="00CE1CAD">
        <w:rPr>
          <w:lang w:val="en-GB"/>
        </w:rPr>
        <w:tab/>
        <w:t>On 20 October 2014</w:t>
      </w:r>
      <w:r w:rsidR="00F659F9" w:rsidRPr="00CE1CAD">
        <w:rPr>
          <w:lang w:val="en-GB"/>
        </w:rPr>
        <w:t>,</w:t>
      </w:r>
      <w:r w:rsidRPr="00CE1CAD">
        <w:rPr>
          <w:lang w:val="en-GB"/>
        </w:rPr>
        <w:t xml:space="preserve"> the Office of Immigration </w:t>
      </w:r>
      <w:r w:rsidR="008E5AFE" w:rsidRPr="00CE1CAD">
        <w:rPr>
          <w:lang w:val="en-GB"/>
        </w:rPr>
        <w:t xml:space="preserve">and Nationality </w:t>
      </w:r>
      <w:r w:rsidRPr="00CE1CAD">
        <w:rPr>
          <w:lang w:val="en-GB"/>
        </w:rPr>
        <w:t xml:space="preserve">once again rejected his request. The complainant </w:t>
      </w:r>
      <w:r w:rsidR="00E56B78" w:rsidRPr="00CE1CAD">
        <w:rPr>
          <w:lang w:val="en-GB"/>
        </w:rPr>
        <w:t xml:space="preserve">maintains </w:t>
      </w:r>
      <w:r w:rsidRPr="00CE1CAD">
        <w:rPr>
          <w:lang w:val="en-GB"/>
        </w:rPr>
        <w:t xml:space="preserve">that he </w:t>
      </w:r>
      <w:r w:rsidR="008E5AFE" w:rsidRPr="00CE1CAD">
        <w:rPr>
          <w:lang w:val="en-GB"/>
        </w:rPr>
        <w:t xml:space="preserve">has </w:t>
      </w:r>
      <w:r w:rsidRPr="00CE1CAD">
        <w:rPr>
          <w:lang w:val="en-GB"/>
        </w:rPr>
        <w:t>exhausted domestic remedies.</w:t>
      </w:r>
      <w:r w:rsidR="00D20208" w:rsidRPr="00CE1CAD">
        <w:rPr>
          <w:lang w:val="en-GB"/>
        </w:rPr>
        <w:t xml:space="preserve"> </w:t>
      </w:r>
    </w:p>
    <w:p w14:paraId="3A024EAA" w14:textId="77777777" w:rsidR="00553A13" w:rsidRPr="00CE1CAD" w:rsidRDefault="007C485C" w:rsidP="008E5AFE">
      <w:pPr>
        <w:pStyle w:val="SingleTxtG"/>
        <w:rPr>
          <w:lang w:val="en-GB"/>
        </w:rPr>
      </w:pPr>
      <w:r w:rsidRPr="00CE1CAD">
        <w:rPr>
          <w:lang w:val="en-GB"/>
        </w:rPr>
        <w:t>2.10</w:t>
      </w:r>
      <w:r w:rsidRPr="00CE1CAD">
        <w:rPr>
          <w:lang w:val="en-GB"/>
        </w:rPr>
        <w:tab/>
      </w:r>
      <w:r w:rsidR="00D20208" w:rsidRPr="00CE1CAD">
        <w:rPr>
          <w:lang w:val="en-GB"/>
        </w:rPr>
        <w:t xml:space="preserve">In October 2014, the complainant </w:t>
      </w:r>
      <w:r w:rsidR="00692F5A" w:rsidRPr="00CE1CAD">
        <w:rPr>
          <w:lang w:val="en-GB"/>
        </w:rPr>
        <w:t>report</w:t>
      </w:r>
      <w:r w:rsidR="008E5AFE" w:rsidRPr="00CE1CAD">
        <w:rPr>
          <w:lang w:val="en-GB"/>
        </w:rPr>
        <w:t>ed</w:t>
      </w:r>
      <w:r w:rsidR="00692F5A" w:rsidRPr="00CE1CAD">
        <w:rPr>
          <w:lang w:val="en-GB"/>
        </w:rPr>
        <w:t xml:space="preserve"> </w:t>
      </w:r>
      <w:r w:rsidR="008E5AFE" w:rsidRPr="00CE1CAD">
        <w:rPr>
          <w:lang w:val="en-GB"/>
        </w:rPr>
        <w:t xml:space="preserve">that he had twice </w:t>
      </w:r>
      <w:r w:rsidR="00D20208" w:rsidRPr="00CE1CAD">
        <w:rPr>
          <w:lang w:val="en-GB"/>
        </w:rPr>
        <w:t xml:space="preserve">received death threats in letters addressed </w:t>
      </w:r>
      <w:r w:rsidR="008E5AFE" w:rsidRPr="00CE1CAD">
        <w:rPr>
          <w:lang w:val="en-GB"/>
        </w:rPr>
        <w:t xml:space="preserve">to him </w:t>
      </w:r>
      <w:r w:rsidR="00D20208" w:rsidRPr="00CE1CAD">
        <w:rPr>
          <w:lang w:val="en-GB"/>
        </w:rPr>
        <w:t xml:space="preserve">from the </w:t>
      </w:r>
      <w:r w:rsidR="0014145F" w:rsidRPr="00CE1CAD">
        <w:rPr>
          <w:lang w:val="en-GB"/>
        </w:rPr>
        <w:t>United States</w:t>
      </w:r>
      <w:r w:rsidR="00D20208" w:rsidRPr="00CE1CAD">
        <w:rPr>
          <w:lang w:val="en-GB"/>
        </w:rPr>
        <w:t xml:space="preserve">. On 29 October 2014, he submitted a complaint to the </w:t>
      </w:r>
      <w:r w:rsidR="003D257E" w:rsidRPr="00CE1CAD">
        <w:rPr>
          <w:lang w:val="en-GB"/>
        </w:rPr>
        <w:t xml:space="preserve">Hungarian </w:t>
      </w:r>
      <w:r w:rsidR="008E5AFE" w:rsidRPr="00CE1CAD">
        <w:rPr>
          <w:lang w:val="en-GB"/>
        </w:rPr>
        <w:t>P</w:t>
      </w:r>
      <w:r w:rsidR="00D20208" w:rsidRPr="00CE1CAD">
        <w:rPr>
          <w:lang w:val="en-GB"/>
        </w:rPr>
        <w:t>olice</w:t>
      </w:r>
      <w:r w:rsidR="003D257E" w:rsidRPr="00CE1CAD">
        <w:rPr>
          <w:lang w:val="en-GB"/>
        </w:rPr>
        <w:t xml:space="preserve"> regarding the above threats</w:t>
      </w:r>
      <w:r w:rsidR="00D20208" w:rsidRPr="00CE1CAD">
        <w:rPr>
          <w:lang w:val="en-GB"/>
        </w:rPr>
        <w:t>.</w:t>
      </w:r>
    </w:p>
    <w:p w14:paraId="0590954C" w14:textId="77777777" w:rsidR="004876DE" w:rsidRPr="00CE1CAD" w:rsidRDefault="00824189" w:rsidP="00CE1CAD">
      <w:pPr>
        <w:pStyle w:val="H23G"/>
      </w:pPr>
      <w:r w:rsidRPr="00CE1CAD">
        <w:tab/>
      </w:r>
      <w:r w:rsidRPr="00CE1CAD">
        <w:tab/>
      </w:r>
      <w:r w:rsidR="004876DE" w:rsidRPr="00CE1CAD">
        <w:t>The complaint</w:t>
      </w:r>
    </w:p>
    <w:p w14:paraId="16BC274E" w14:textId="77777777" w:rsidR="00BC29B3" w:rsidRPr="00CE1CAD" w:rsidRDefault="00BC29B3" w:rsidP="00CE1CAD">
      <w:pPr>
        <w:pStyle w:val="SingleTxtG"/>
      </w:pPr>
      <w:r w:rsidRPr="00CE1CAD">
        <w:t>3.1</w:t>
      </w:r>
      <w:r w:rsidRPr="00CE1CAD">
        <w:tab/>
        <w:t xml:space="preserve">The complainant </w:t>
      </w:r>
      <w:r w:rsidR="003D257E" w:rsidRPr="00CE1CAD">
        <w:t xml:space="preserve">submits </w:t>
      </w:r>
      <w:r w:rsidRPr="00CE1CAD">
        <w:t xml:space="preserve">that his extradition to the </w:t>
      </w:r>
      <w:r w:rsidR="0014145F" w:rsidRPr="00CE1CAD">
        <w:rPr>
          <w:lang w:val="en-GB"/>
        </w:rPr>
        <w:t>United States</w:t>
      </w:r>
      <w:r w:rsidRPr="00CE1CAD">
        <w:t xml:space="preserve"> would amount to a violation by the State party of articles 2, 3, 11 </w:t>
      </w:r>
      <w:r w:rsidR="008E5AFE" w:rsidRPr="00CE1CAD">
        <w:rPr>
          <w:lang w:val="en-US"/>
        </w:rPr>
        <w:t xml:space="preserve">and </w:t>
      </w:r>
      <w:r w:rsidRPr="00CE1CAD">
        <w:t>16 of the Convention.</w:t>
      </w:r>
    </w:p>
    <w:p w14:paraId="4B3C92A2" w14:textId="77777777" w:rsidR="00BC29B3" w:rsidRPr="00CE1CAD" w:rsidRDefault="00BC29B3" w:rsidP="00CE1CAD">
      <w:pPr>
        <w:pStyle w:val="SingleTxtG"/>
      </w:pPr>
      <w:r w:rsidRPr="00CE1CAD">
        <w:t>3.2</w:t>
      </w:r>
      <w:r w:rsidRPr="00CE1CAD">
        <w:tab/>
        <w:t>The complainant maintains that</w:t>
      </w:r>
      <w:r w:rsidR="005062FF" w:rsidRPr="00CE1CAD">
        <w:rPr>
          <w:lang w:val="en-US"/>
        </w:rPr>
        <w:t>,</w:t>
      </w:r>
      <w:r w:rsidRPr="00CE1CAD">
        <w:t xml:space="preserve"> </w:t>
      </w:r>
      <w:r w:rsidR="005062FF" w:rsidRPr="00CE1CAD">
        <w:rPr>
          <w:lang w:val="en-US"/>
        </w:rPr>
        <w:t xml:space="preserve">if </w:t>
      </w:r>
      <w:r w:rsidRPr="00CE1CAD">
        <w:t xml:space="preserve">extradited to the </w:t>
      </w:r>
      <w:r w:rsidR="0014145F" w:rsidRPr="00CE1CAD">
        <w:rPr>
          <w:lang w:val="en-GB"/>
        </w:rPr>
        <w:t>United States</w:t>
      </w:r>
      <w:r w:rsidR="005062FF" w:rsidRPr="00CE1CAD">
        <w:rPr>
          <w:lang w:val="en-GB"/>
        </w:rPr>
        <w:t>,</w:t>
      </w:r>
      <w:r w:rsidRPr="00CE1CAD">
        <w:t xml:space="preserve"> there would be an imminent risk that he would be subjected to inhumane and degrading treatment in </w:t>
      </w:r>
      <w:r w:rsidR="0014145F" w:rsidRPr="00CE1CAD">
        <w:rPr>
          <w:lang w:val="en-GB"/>
        </w:rPr>
        <w:t>United States</w:t>
      </w:r>
      <w:r w:rsidRPr="00CE1CAD">
        <w:t xml:space="preserve"> prisons. He would again be subjected to rape, other types of sexual assaults and physical harm by inmates occurring in correlation with his Jewish faith and religion</w:t>
      </w:r>
      <w:r w:rsidR="005062FF" w:rsidRPr="00CE1CAD">
        <w:rPr>
          <w:lang w:val="en-US"/>
        </w:rPr>
        <w:t>,</w:t>
      </w:r>
      <w:r w:rsidR="003D257E" w:rsidRPr="00CE1CAD">
        <w:t xml:space="preserve"> and </w:t>
      </w:r>
      <w:r w:rsidRPr="00CE1CAD">
        <w:t xml:space="preserve">the </w:t>
      </w:r>
      <w:r w:rsidR="0014145F" w:rsidRPr="00CE1CAD">
        <w:rPr>
          <w:lang w:val="en-GB"/>
        </w:rPr>
        <w:t>United States</w:t>
      </w:r>
      <w:r w:rsidR="003D257E" w:rsidRPr="00CE1CAD">
        <w:t xml:space="preserve"> </w:t>
      </w:r>
      <w:r w:rsidRPr="00CE1CAD">
        <w:t xml:space="preserve">authorities would not provide </w:t>
      </w:r>
      <w:r w:rsidR="003D257E" w:rsidRPr="00CE1CAD">
        <w:t xml:space="preserve">him with </w:t>
      </w:r>
      <w:r w:rsidRPr="00CE1CAD">
        <w:t>sufficient protection.</w:t>
      </w:r>
      <w:r w:rsidR="00B9376A" w:rsidRPr="00CE1CAD">
        <w:rPr>
          <w:rStyle w:val="FootnoteReference"/>
        </w:rPr>
        <w:footnoteReference w:id="6"/>
      </w:r>
      <w:r w:rsidRPr="00CE1CAD">
        <w:t xml:space="preserve"> </w:t>
      </w:r>
    </w:p>
    <w:p w14:paraId="6DD22CA3" w14:textId="77777777" w:rsidR="00BC29B3" w:rsidRPr="00CE1CAD" w:rsidRDefault="00BC29B3" w:rsidP="00CE1CAD">
      <w:pPr>
        <w:pStyle w:val="SingleTxtG"/>
      </w:pPr>
      <w:r w:rsidRPr="00CE1CAD">
        <w:rPr>
          <w:lang w:val="en-GB"/>
        </w:rPr>
        <w:t>3.3</w:t>
      </w:r>
      <w:r w:rsidRPr="00CE1CAD">
        <w:rPr>
          <w:lang w:val="en-GB"/>
        </w:rPr>
        <w:tab/>
        <w:t xml:space="preserve">The complainant suffers from attested </w:t>
      </w:r>
      <w:r w:rsidR="00884B63" w:rsidRPr="00CE1CAD">
        <w:rPr>
          <w:lang w:val="en-GB"/>
        </w:rPr>
        <w:t>p</w:t>
      </w:r>
      <w:r w:rsidRPr="00CE1CAD">
        <w:rPr>
          <w:lang w:val="en-GB"/>
        </w:rPr>
        <w:t>ost-</w:t>
      </w:r>
      <w:r w:rsidR="00884B63" w:rsidRPr="00CE1CAD">
        <w:rPr>
          <w:lang w:val="en-GB"/>
        </w:rPr>
        <w:t>t</w:t>
      </w:r>
      <w:r w:rsidRPr="00CE1CAD">
        <w:rPr>
          <w:lang w:val="en-GB"/>
        </w:rPr>
        <w:t xml:space="preserve">raumatic </w:t>
      </w:r>
      <w:r w:rsidR="00884B63" w:rsidRPr="00CE1CAD">
        <w:rPr>
          <w:lang w:val="en-GB"/>
        </w:rPr>
        <w:t>s</w:t>
      </w:r>
      <w:r w:rsidRPr="00CE1CAD">
        <w:rPr>
          <w:lang w:val="en-GB"/>
        </w:rPr>
        <w:t xml:space="preserve">tress </w:t>
      </w:r>
      <w:r w:rsidR="00884B63" w:rsidRPr="00CE1CAD">
        <w:rPr>
          <w:lang w:val="en-GB"/>
        </w:rPr>
        <w:t>d</w:t>
      </w:r>
      <w:r w:rsidRPr="00CE1CAD">
        <w:rPr>
          <w:lang w:val="en-GB"/>
        </w:rPr>
        <w:t>isorder</w:t>
      </w:r>
      <w:r w:rsidR="00EF28B6" w:rsidRPr="00CE1CAD">
        <w:rPr>
          <w:lang w:val="en-GB"/>
        </w:rPr>
        <w:t xml:space="preserve"> </w:t>
      </w:r>
      <w:r w:rsidRPr="00CE1CAD">
        <w:rPr>
          <w:lang w:val="en-GB"/>
        </w:rPr>
        <w:t xml:space="preserve">and alleges that he </w:t>
      </w:r>
      <w:r w:rsidR="005062FF" w:rsidRPr="00CE1CAD">
        <w:rPr>
          <w:lang w:val="en-GB"/>
        </w:rPr>
        <w:t xml:space="preserve">had </w:t>
      </w:r>
      <w:r w:rsidRPr="00CE1CAD">
        <w:rPr>
          <w:lang w:val="en-GB"/>
        </w:rPr>
        <w:t xml:space="preserve">received insufficient medication and psychological treatment in </w:t>
      </w:r>
      <w:r w:rsidR="0014145F" w:rsidRPr="00CE1CAD">
        <w:rPr>
          <w:lang w:val="en-GB"/>
        </w:rPr>
        <w:t>United States</w:t>
      </w:r>
      <w:r w:rsidRPr="00CE1CAD">
        <w:rPr>
          <w:lang w:val="en-GB"/>
        </w:rPr>
        <w:t xml:space="preserve"> prisons.</w:t>
      </w:r>
    </w:p>
    <w:p w14:paraId="3307569C" w14:textId="77777777" w:rsidR="00BC29B3" w:rsidRPr="00CE1CAD" w:rsidRDefault="00BC29B3" w:rsidP="00CE1CAD">
      <w:pPr>
        <w:pStyle w:val="SingleTxtG"/>
      </w:pPr>
      <w:r w:rsidRPr="00CE1CAD">
        <w:rPr>
          <w:lang w:val="en-GB"/>
        </w:rPr>
        <w:t>3.4</w:t>
      </w:r>
      <w:r w:rsidRPr="00CE1CAD">
        <w:rPr>
          <w:lang w:val="en-GB"/>
        </w:rPr>
        <w:tab/>
      </w:r>
      <w:r w:rsidR="005062FF" w:rsidRPr="00CE1CAD">
        <w:rPr>
          <w:lang w:val="en-GB"/>
        </w:rPr>
        <w:t xml:space="preserve">Furthermore, the complainant asserts </w:t>
      </w:r>
      <w:r w:rsidRPr="00CE1CAD">
        <w:rPr>
          <w:lang w:val="en-GB"/>
        </w:rPr>
        <w:t xml:space="preserve">that he spent 13 months in solitary confinement. He refers to the statement of the Special Rapporteur on </w:t>
      </w:r>
      <w:r w:rsidR="005062FF" w:rsidRPr="00CE1CAD">
        <w:rPr>
          <w:lang w:val="en-GB"/>
        </w:rPr>
        <w:t>t</w:t>
      </w:r>
      <w:r w:rsidRPr="00CE1CAD">
        <w:rPr>
          <w:lang w:val="en-GB"/>
        </w:rPr>
        <w:t>orture</w:t>
      </w:r>
      <w:r w:rsidR="005062FF" w:rsidRPr="00CE1CAD">
        <w:rPr>
          <w:lang w:val="en-GB"/>
        </w:rPr>
        <w:t xml:space="preserve"> and other cruel, inhuman or degrading treatment or punishment</w:t>
      </w:r>
      <w:r w:rsidRPr="00CE1CAD">
        <w:rPr>
          <w:lang w:val="en-GB"/>
        </w:rPr>
        <w:t xml:space="preserve"> that solitary confinement in excess of 15 days is considered to be cruel and inhumane.</w:t>
      </w:r>
      <w:r w:rsidR="00B9376A" w:rsidRPr="00CE1CAD">
        <w:rPr>
          <w:rStyle w:val="FootnoteReference"/>
          <w:lang w:val="en-GB"/>
        </w:rPr>
        <w:footnoteReference w:id="7"/>
      </w:r>
      <w:r w:rsidRPr="00CE1CAD">
        <w:rPr>
          <w:lang w:val="en-GB"/>
        </w:rPr>
        <w:t xml:space="preserve"> The complainant claims that </w:t>
      </w:r>
      <w:r w:rsidR="0014145F" w:rsidRPr="00CE1CAD">
        <w:rPr>
          <w:lang w:val="en-GB"/>
        </w:rPr>
        <w:t>United States</w:t>
      </w:r>
      <w:r w:rsidRPr="00CE1CAD">
        <w:rPr>
          <w:lang w:val="en-GB"/>
        </w:rPr>
        <w:t xml:space="preserve"> </w:t>
      </w:r>
      <w:r w:rsidR="005062FF" w:rsidRPr="00CE1CAD">
        <w:rPr>
          <w:lang w:val="en-GB"/>
        </w:rPr>
        <w:t>g</w:t>
      </w:r>
      <w:r w:rsidRPr="00CE1CAD">
        <w:rPr>
          <w:lang w:val="en-GB"/>
        </w:rPr>
        <w:t xml:space="preserve">uidelines allow solitary confinement to last for </w:t>
      </w:r>
      <w:r w:rsidR="002E0365" w:rsidRPr="00CE1CAD">
        <w:rPr>
          <w:lang w:val="en-GB"/>
        </w:rPr>
        <w:t xml:space="preserve">up to </w:t>
      </w:r>
      <w:r w:rsidRPr="00CE1CAD">
        <w:rPr>
          <w:lang w:val="en-GB"/>
        </w:rPr>
        <w:t xml:space="preserve">18 </w:t>
      </w:r>
      <w:r w:rsidR="00165B7B" w:rsidRPr="00CE1CAD">
        <w:rPr>
          <w:lang w:val="en-GB"/>
        </w:rPr>
        <w:t>months;</w:t>
      </w:r>
      <w:r w:rsidRPr="00CE1CAD">
        <w:rPr>
          <w:lang w:val="en-GB"/>
        </w:rPr>
        <w:t xml:space="preserve"> however</w:t>
      </w:r>
      <w:r w:rsidR="00EF28B6" w:rsidRPr="00CE1CAD">
        <w:rPr>
          <w:lang w:val="en-GB"/>
        </w:rPr>
        <w:t>,</w:t>
      </w:r>
      <w:r w:rsidRPr="00CE1CAD">
        <w:rPr>
          <w:lang w:val="en-GB"/>
        </w:rPr>
        <w:t xml:space="preserve"> in reality</w:t>
      </w:r>
      <w:r w:rsidR="005062FF" w:rsidRPr="00CE1CAD">
        <w:rPr>
          <w:lang w:val="en-GB"/>
        </w:rPr>
        <w:t>,</w:t>
      </w:r>
      <w:r w:rsidRPr="00CE1CAD">
        <w:rPr>
          <w:lang w:val="en-GB"/>
        </w:rPr>
        <w:t xml:space="preserve"> it </w:t>
      </w:r>
      <w:r w:rsidR="005062FF" w:rsidRPr="00CE1CAD">
        <w:rPr>
          <w:lang w:val="en-GB"/>
        </w:rPr>
        <w:t xml:space="preserve">exceeds </w:t>
      </w:r>
      <w:r w:rsidRPr="00CE1CAD">
        <w:rPr>
          <w:lang w:val="en-GB"/>
        </w:rPr>
        <w:t>that limit.</w:t>
      </w:r>
      <w:r w:rsidR="00B9376A" w:rsidRPr="00CE1CAD">
        <w:rPr>
          <w:rStyle w:val="FootnoteReference"/>
          <w:lang w:val="en-GB"/>
        </w:rPr>
        <w:footnoteReference w:id="8"/>
      </w:r>
    </w:p>
    <w:p w14:paraId="3B928001" w14:textId="77777777" w:rsidR="00BC29B3" w:rsidRPr="00CE1CAD" w:rsidRDefault="00BC29B3" w:rsidP="00CE1CAD">
      <w:pPr>
        <w:pStyle w:val="SingleTxtG"/>
      </w:pPr>
      <w:r w:rsidRPr="00CE1CAD">
        <w:rPr>
          <w:lang w:val="en-GB"/>
        </w:rPr>
        <w:t>3.5</w:t>
      </w:r>
      <w:r w:rsidRPr="00CE1CAD">
        <w:rPr>
          <w:lang w:val="en-GB"/>
        </w:rPr>
        <w:tab/>
        <w:t>Finally, the complainant alleges that</w:t>
      </w:r>
      <w:r w:rsidR="005062FF" w:rsidRPr="00CE1CAD">
        <w:rPr>
          <w:lang w:val="en-GB"/>
        </w:rPr>
        <w:t>,</w:t>
      </w:r>
      <w:r w:rsidRPr="00CE1CAD">
        <w:rPr>
          <w:lang w:val="en-GB"/>
        </w:rPr>
        <w:t xml:space="preserve"> if extradited to the </w:t>
      </w:r>
      <w:r w:rsidR="0014145F" w:rsidRPr="00CE1CAD">
        <w:rPr>
          <w:lang w:val="en-GB"/>
        </w:rPr>
        <w:t>United States</w:t>
      </w:r>
      <w:r w:rsidR="005062FF" w:rsidRPr="00CE1CAD">
        <w:rPr>
          <w:lang w:val="en-GB"/>
        </w:rPr>
        <w:t>,</w:t>
      </w:r>
      <w:r w:rsidRPr="00CE1CAD">
        <w:rPr>
          <w:lang w:val="en-GB"/>
        </w:rPr>
        <w:t xml:space="preserve"> the concept of speciality (dual criminality) and his right to a fair trial would be violated. According to </w:t>
      </w:r>
      <w:r w:rsidR="0014145F" w:rsidRPr="00CE1CAD">
        <w:rPr>
          <w:lang w:val="en-GB"/>
        </w:rPr>
        <w:t>United States</w:t>
      </w:r>
      <w:r w:rsidRPr="00CE1CAD">
        <w:rPr>
          <w:lang w:val="en-GB"/>
        </w:rPr>
        <w:t xml:space="preserve"> criminal </w:t>
      </w:r>
      <w:r w:rsidR="002E0365" w:rsidRPr="00CE1CAD">
        <w:rPr>
          <w:lang w:val="en-GB"/>
        </w:rPr>
        <w:t xml:space="preserve">proceedings </w:t>
      </w:r>
      <w:r w:rsidRPr="00CE1CAD">
        <w:rPr>
          <w:lang w:val="en-GB"/>
        </w:rPr>
        <w:t xml:space="preserve">practice, </w:t>
      </w:r>
      <w:r w:rsidR="002E0365" w:rsidRPr="00CE1CAD">
        <w:rPr>
          <w:lang w:val="en-GB"/>
        </w:rPr>
        <w:t>the evidence regarding</w:t>
      </w:r>
      <w:r w:rsidRPr="00CE1CAD">
        <w:rPr>
          <w:lang w:val="en-GB"/>
        </w:rPr>
        <w:t xml:space="preserve"> the non-extraditable offences </w:t>
      </w:r>
      <w:r w:rsidR="002E0365" w:rsidRPr="00CE1CAD">
        <w:rPr>
          <w:lang w:val="en-GB"/>
        </w:rPr>
        <w:t xml:space="preserve">would </w:t>
      </w:r>
      <w:r w:rsidRPr="00CE1CAD">
        <w:rPr>
          <w:lang w:val="en-GB"/>
        </w:rPr>
        <w:t xml:space="preserve">not </w:t>
      </w:r>
      <w:r w:rsidR="002E0365" w:rsidRPr="00CE1CAD">
        <w:rPr>
          <w:lang w:val="en-GB"/>
        </w:rPr>
        <w:t xml:space="preserve">be </w:t>
      </w:r>
      <w:r w:rsidRPr="00CE1CAD">
        <w:rPr>
          <w:lang w:val="en-GB"/>
        </w:rPr>
        <w:t>examined, since th</w:t>
      </w:r>
      <w:r w:rsidR="005062FF" w:rsidRPr="00CE1CAD">
        <w:rPr>
          <w:lang w:val="en-GB"/>
        </w:rPr>
        <w:t>o</w:t>
      </w:r>
      <w:r w:rsidR="00692F5A" w:rsidRPr="00CE1CAD">
        <w:rPr>
          <w:lang w:val="en-GB"/>
        </w:rPr>
        <w:t>se</w:t>
      </w:r>
      <w:r w:rsidRPr="00CE1CAD">
        <w:rPr>
          <w:lang w:val="en-GB"/>
        </w:rPr>
        <w:t xml:space="preserve"> offences would not be part of the formal charges, but would be included in the “</w:t>
      </w:r>
      <w:r w:rsidR="005062FF" w:rsidRPr="00CE1CAD">
        <w:rPr>
          <w:lang w:val="en-GB"/>
        </w:rPr>
        <w:t>p</w:t>
      </w:r>
      <w:r w:rsidRPr="00CE1CAD">
        <w:rPr>
          <w:lang w:val="en-GB"/>
        </w:rPr>
        <w:t>re-</w:t>
      </w:r>
      <w:r w:rsidR="005062FF" w:rsidRPr="00CE1CAD">
        <w:rPr>
          <w:lang w:val="en-GB"/>
        </w:rPr>
        <w:t>s</w:t>
      </w:r>
      <w:r w:rsidRPr="00CE1CAD">
        <w:rPr>
          <w:lang w:val="en-GB"/>
        </w:rPr>
        <w:t xml:space="preserve">entence </w:t>
      </w:r>
      <w:r w:rsidR="005062FF" w:rsidRPr="00CE1CAD">
        <w:rPr>
          <w:lang w:val="en-GB"/>
        </w:rPr>
        <w:t>i</w:t>
      </w:r>
      <w:r w:rsidRPr="00CE1CAD">
        <w:rPr>
          <w:lang w:val="en-GB"/>
        </w:rPr>
        <w:t xml:space="preserve">nvestigation </w:t>
      </w:r>
      <w:r w:rsidR="005062FF" w:rsidRPr="00CE1CAD">
        <w:rPr>
          <w:lang w:val="en-GB"/>
        </w:rPr>
        <w:t>r</w:t>
      </w:r>
      <w:r w:rsidRPr="00CE1CAD">
        <w:rPr>
          <w:lang w:val="en-GB"/>
        </w:rPr>
        <w:t xml:space="preserve">eport” as </w:t>
      </w:r>
      <w:r w:rsidR="002024B2" w:rsidRPr="00CE1CAD">
        <w:rPr>
          <w:lang w:val="en-GB"/>
        </w:rPr>
        <w:t>“</w:t>
      </w:r>
      <w:r w:rsidRPr="00CE1CAD">
        <w:rPr>
          <w:lang w:val="en-GB"/>
        </w:rPr>
        <w:t>relevant conduct</w:t>
      </w:r>
      <w:r w:rsidR="002024B2" w:rsidRPr="00CE1CAD">
        <w:rPr>
          <w:lang w:val="en-GB"/>
        </w:rPr>
        <w:t>”</w:t>
      </w:r>
      <w:r w:rsidR="005062FF" w:rsidRPr="00CE1CAD">
        <w:rPr>
          <w:lang w:val="en-GB"/>
        </w:rPr>
        <w:t>,</w:t>
      </w:r>
      <w:r w:rsidRPr="00CE1CAD">
        <w:rPr>
          <w:lang w:val="en-GB"/>
        </w:rPr>
        <w:t xml:space="preserve"> which is not subject to any evidence process </w:t>
      </w:r>
      <w:r w:rsidR="002E0365" w:rsidRPr="00CE1CAD">
        <w:rPr>
          <w:lang w:val="en-GB"/>
        </w:rPr>
        <w:t xml:space="preserve">and would </w:t>
      </w:r>
      <w:r w:rsidRPr="00CE1CAD">
        <w:rPr>
          <w:lang w:val="en-GB"/>
        </w:rPr>
        <w:t>have a compounding effect on the complainant’s sentence.</w:t>
      </w:r>
    </w:p>
    <w:p w14:paraId="7E457E53" w14:textId="77777777" w:rsidR="004C44A0" w:rsidRPr="00CE1CAD" w:rsidRDefault="00824189" w:rsidP="00CE1CAD">
      <w:pPr>
        <w:pStyle w:val="H23G"/>
      </w:pPr>
      <w:r w:rsidRPr="00CE1CAD">
        <w:lastRenderedPageBreak/>
        <w:tab/>
      </w:r>
      <w:r w:rsidRPr="00CE1CAD">
        <w:tab/>
      </w:r>
      <w:r w:rsidR="004C44A0" w:rsidRPr="00CE1CAD">
        <w:t xml:space="preserve">State party’s observations on </w:t>
      </w:r>
      <w:r w:rsidR="002E0365" w:rsidRPr="00CE1CAD">
        <w:t>admissibility</w:t>
      </w:r>
    </w:p>
    <w:p w14:paraId="4B0C3FCC" w14:textId="77777777" w:rsidR="004C44A0" w:rsidRPr="00CE1CAD" w:rsidRDefault="004C44A0" w:rsidP="00CE1CAD">
      <w:pPr>
        <w:pStyle w:val="SingleTxtG"/>
        <w:rPr>
          <w:snapToGrid w:val="0"/>
        </w:rPr>
      </w:pPr>
      <w:r w:rsidRPr="00CE1CAD">
        <w:rPr>
          <w:lang w:val="en-GB"/>
        </w:rPr>
        <w:t>4.1</w:t>
      </w:r>
      <w:r w:rsidRPr="00CE1CAD">
        <w:rPr>
          <w:lang w:val="en-GB"/>
        </w:rPr>
        <w:tab/>
      </w:r>
      <w:r w:rsidRPr="00CE1CAD">
        <w:rPr>
          <w:snapToGrid w:val="0"/>
          <w:lang w:val="en-GB"/>
        </w:rPr>
        <w:t>On 15 April 2015, the State party challenge</w:t>
      </w:r>
      <w:r w:rsidR="0063157D" w:rsidRPr="00CE1CAD">
        <w:rPr>
          <w:snapToGrid w:val="0"/>
          <w:lang w:val="en-GB"/>
        </w:rPr>
        <w:t>d</w:t>
      </w:r>
      <w:r w:rsidRPr="00CE1CAD">
        <w:rPr>
          <w:snapToGrid w:val="0"/>
          <w:lang w:val="en-GB"/>
        </w:rPr>
        <w:t xml:space="preserve"> the admissibility of the complaint</w:t>
      </w:r>
      <w:r w:rsidR="0063157D" w:rsidRPr="00CE1CAD">
        <w:rPr>
          <w:snapToGrid w:val="0"/>
          <w:lang w:val="en-GB"/>
        </w:rPr>
        <w:t>,</w:t>
      </w:r>
      <w:r w:rsidRPr="00CE1CAD">
        <w:rPr>
          <w:snapToGrid w:val="0"/>
          <w:lang w:val="en-GB"/>
        </w:rPr>
        <w:t xml:space="preserve"> noting that the complainant has</w:t>
      </w:r>
      <w:r w:rsidR="00BC339F" w:rsidRPr="00CE1CAD">
        <w:rPr>
          <w:snapToGrid w:val="0"/>
          <w:lang w:val="en-GB"/>
        </w:rPr>
        <w:t xml:space="preserve"> submitted an application with the European Court of Human Rights also requesting the order of an interim measure under article 39 of the </w:t>
      </w:r>
      <w:r w:rsidR="0063157D" w:rsidRPr="00CE1CAD">
        <w:rPr>
          <w:snapToGrid w:val="0"/>
        </w:rPr>
        <w:t>Convention</w:t>
      </w:r>
      <w:r w:rsidR="0063157D" w:rsidRPr="00CE1CAD">
        <w:rPr>
          <w:snapToGrid w:val="0"/>
          <w:lang w:val="en-GB"/>
        </w:rPr>
        <w:t xml:space="preserve"> for the Protection of </w:t>
      </w:r>
      <w:r w:rsidR="0063157D" w:rsidRPr="00CE1CAD">
        <w:rPr>
          <w:snapToGrid w:val="0"/>
        </w:rPr>
        <w:t>Human</w:t>
      </w:r>
      <w:r w:rsidR="0063157D" w:rsidRPr="00CE1CAD">
        <w:rPr>
          <w:snapToGrid w:val="0"/>
          <w:lang w:val="en-GB"/>
        </w:rPr>
        <w:t xml:space="preserve"> </w:t>
      </w:r>
      <w:r w:rsidR="0063157D" w:rsidRPr="00CE1CAD">
        <w:rPr>
          <w:snapToGrid w:val="0"/>
        </w:rPr>
        <w:t>Rights</w:t>
      </w:r>
      <w:r w:rsidR="0063157D" w:rsidRPr="00CE1CAD">
        <w:rPr>
          <w:snapToGrid w:val="0"/>
          <w:lang w:val="en-GB"/>
        </w:rPr>
        <w:t xml:space="preserve"> and Fundamental Freedoms (</w:t>
      </w:r>
      <w:r w:rsidR="00BC339F" w:rsidRPr="00CE1CAD">
        <w:rPr>
          <w:snapToGrid w:val="0"/>
          <w:lang w:val="en-GB"/>
        </w:rPr>
        <w:t>European Convention on Human Rights</w:t>
      </w:r>
      <w:r w:rsidR="0063157D" w:rsidRPr="00CE1CAD">
        <w:rPr>
          <w:snapToGrid w:val="0"/>
          <w:lang w:val="en-GB"/>
        </w:rPr>
        <w:t>)</w:t>
      </w:r>
      <w:r w:rsidR="00BC339F" w:rsidRPr="00CE1CAD">
        <w:rPr>
          <w:snapToGrid w:val="0"/>
          <w:lang w:val="en-GB"/>
        </w:rPr>
        <w:t xml:space="preserve"> not to be extradited to the </w:t>
      </w:r>
      <w:r w:rsidR="0014145F" w:rsidRPr="00CE1CAD">
        <w:rPr>
          <w:lang w:val="en-GB"/>
        </w:rPr>
        <w:t>United States</w:t>
      </w:r>
      <w:r w:rsidR="00BC339F" w:rsidRPr="00CE1CAD">
        <w:rPr>
          <w:snapToGrid w:val="0"/>
          <w:lang w:val="en-GB"/>
        </w:rPr>
        <w:t>.</w:t>
      </w:r>
      <w:r w:rsidR="003C1797" w:rsidRPr="00CE1CAD">
        <w:rPr>
          <w:rStyle w:val="FootnoteReference"/>
          <w:snapToGrid w:val="0"/>
          <w:lang w:val="en-GB"/>
        </w:rPr>
        <w:footnoteReference w:id="9"/>
      </w:r>
      <w:r w:rsidR="00BC339F" w:rsidRPr="00CE1CAD">
        <w:rPr>
          <w:snapToGrid w:val="0"/>
          <w:lang w:val="en-GB"/>
        </w:rPr>
        <w:t xml:space="preserve"> It submit</w:t>
      </w:r>
      <w:r w:rsidR="00E62245" w:rsidRPr="00CE1CAD">
        <w:rPr>
          <w:snapToGrid w:val="0"/>
          <w:lang w:val="en-GB"/>
        </w:rPr>
        <w:t>s</w:t>
      </w:r>
      <w:r w:rsidR="00BC339F" w:rsidRPr="00CE1CAD">
        <w:rPr>
          <w:snapToGrid w:val="0"/>
          <w:lang w:val="en-GB"/>
        </w:rPr>
        <w:t xml:space="preserve"> a copy of the above</w:t>
      </w:r>
      <w:r w:rsidR="008F2ED7" w:rsidRPr="00CE1CAD">
        <w:rPr>
          <w:snapToGrid w:val="0"/>
          <w:lang w:val="en-GB"/>
        </w:rPr>
        <w:t>-</w:t>
      </w:r>
      <w:r w:rsidR="00BC339F" w:rsidRPr="00CE1CAD">
        <w:rPr>
          <w:snapToGrid w:val="0"/>
          <w:lang w:val="en-GB"/>
        </w:rPr>
        <w:t xml:space="preserve">mentioned application/request for interim measures </w:t>
      </w:r>
      <w:r w:rsidR="007826B3" w:rsidRPr="00CE1CAD">
        <w:rPr>
          <w:snapToGrid w:val="0"/>
          <w:lang w:val="en-GB"/>
        </w:rPr>
        <w:t xml:space="preserve">to the </w:t>
      </w:r>
      <w:r w:rsidR="008F2ED7" w:rsidRPr="00CE1CAD">
        <w:rPr>
          <w:snapToGrid w:val="0"/>
          <w:lang w:val="en-GB"/>
        </w:rPr>
        <w:t xml:space="preserve">European </w:t>
      </w:r>
      <w:r w:rsidR="009236AA" w:rsidRPr="00CE1CAD">
        <w:rPr>
          <w:snapToGrid w:val="0"/>
          <w:lang w:val="en-GB"/>
        </w:rPr>
        <w:t>Court</w:t>
      </w:r>
      <w:r w:rsidR="002E0365" w:rsidRPr="00CE1CAD">
        <w:rPr>
          <w:snapToGrid w:val="0"/>
          <w:lang w:val="en-GB"/>
        </w:rPr>
        <w:t>,</w:t>
      </w:r>
      <w:r w:rsidR="007826B3" w:rsidRPr="00CE1CAD">
        <w:rPr>
          <w:snapToGrid w:val="0"/>
          <w:lang w:val="en-GB"/>
        </w:rPr>
        <w:t xml:space="preserve"> </w:t>
      </w:r>
      <w:r w:rsidR="00BC339F" w:rsidRPr="00CE1CAD">
        <w:rPr>
          <w:snapToGrid w:val="0"/>
          <w:lang w:val="en-GB"/>
        </w:rPr>
        <w:t xml:space="preserve">dated </w:t>
      </w:r>
      <w:r w:rsidR="00A2405E" w:rsidRPr="00CE1CAD">
        <w:rPr>
          <w:snapToGrid w:val="0"/>
          <w:lang w:val="en-GB"/>
        </w:rPr>
        <w:t>6</w:t>
      </w:r>
      <w:r w:rsidR="00BC339F" w:rsidRPr="00CE1CAD">
        <w:rPr>
          <w:snapToGrid w:val="0"/>
          <w:lang w:val="en-GB"/>
        </w:rPr>
        <w:t xml:space="preserve"> November 2014</w:t>
      </w:r>
      <w:r w:rsidR="002E0365" w:rsidRPr="00CE1CAD">
        <w:rPr>
          <w:snapToGrid w:val="0"/>
          <w:lang w:val="en-GB"/>
        </w:rPr>
        <w:t>, noting</w:t>
      </w:r>
      <w:r w:rsidR="00BC339F" w:rsidRPr="00CE1CAD">
        <w:rPr>
          <w:snapToGrid w:val="0"/>
          <w:lang w:val="en-GB"/>
        </w:rPr>
        <w:t xml:space="preserve"> that it contains the same facts almost word</w:t>
      </w:r>
      <w:r w:rsidR="008F2ED7" w:rsidRPr="00CE1CAD">
        <w:rPr>
          <w:snapToGrid w:val="0"/>
          <w:lang w:val="en-GB"/>
        </w:rPr>
        <w:t>-for-</w:t>
      </w:r>
      <w:r w:rsidR="00BC339F" w:rsidRPr="00CE1CAD">
        <w:rPr>
          <w:snapToGrid w:val="0"/>
          <w:lang w:val="en-GB"/>
        </w:rPr>
        <w:t>word and refers to the same substantive rights. The State party maintain</w:t>
      </w:r>
      <w:r w:rsidR="00E62245" w:rsidRPr="00CE1CAD">
        <w:rPr>
          <w:snapToGrid w:val="0"/>
          <w:lang w:val="en-GB"/>
        </w:rPr>
        <w:t>s</w:t>
      </w:r>
      <w:r w:rsidR="00BC339F" w:rsidRPr="00CE1CAD">
        <w:rPr>
          <w:snapToGrid w:val="0"/>
          <w:lang w:val="en-GB"/>
        </w:rPr>
        <w:t xml:space="preserve"> that the procedure before the </w:t>
      </w:r>
      <w:r w:rsidR="007F1C98" w:rsidRPr="00CE1CAD">
        <w:rPr>
          <w:snapToGrid w:val="0"/>
          <w:lang w:val="en-GB"/>
        </w:rPr>
        <w:t xml:space="preserve">European </w:t>
      </w:r>
      <w:r w:rsidR="009236AA" w:rsidRPr="00CE1CAD">
        <w:rPr>
          <w:snapToGrid w:val="0"/>
          <w:lang w:val="en-GB"/>
        </w:rPr>
        <w:t>Court</w:t>
      </w:r>
      <w:r w:rsidR="00BC339F" w:rsidRPr="00CE1CAD">
        <w:rPr>
          <w:snapToGrid w:val="0"/>
          <w:lang w:val="en-GB"/>
        </w:rPr>
        <w:t xml:space="preserve"> </w:t>
      </w:r>
      <w:r w:rsidR="001026C6" w:rsidRPr="00CE1CAD">
        <w:rPr>
          <w:snapToGrid w:val="0"/>
          <w:lang w:val="en-GB"/>
        </w:rPr>
        <w:t xml:space="preserve">is </w:t>
      </w:r>
      <w:r w:rsidR="00BC339F" w:rsidRPr="00CE1CAD">
        <w:rPr>
          <w:snapToGrid w:val="0"/>
          <w:lang w:val="en-GB"/>
        </w:rPr>
        <w:t xml:space="preserve">related to the </w:t>
      </w:r>
      <w:r w:rsidR="002024B2" w:rsidRPr="00CE1CAD">
        <w:rPr>
          <w:snapToGrid w:val="0"/>
          <w:lang w:val="en-GB"/>
        </w:rPr>
        <w:t>“</w:t>
      </w:r>
      <w:r w:rsidR="00BC339F" w:rsidRPr="00CE1CAD">
        <w:rPr>
          <w:snapToGrid w:val="0"/>
          <w:lang w:val="en-GB"/>
        </w:rPr>
        <w:t>same matter</w:t>
      </w:r>
      <w:r w:rsidR="002024B2" w:rsidRPr="00CE1CAD">
        <w:rPr>
          <w:snapToGrid w:val="0"/>
          <w:lang w:val="en-GB"/>
        </w:rPr>
        <w:t>”</w:t>
      </w:r>
      <w:r w:rsidR="00BC339F" w:rsidRPr="00CE1CAD">
        <w:rPr>
          <w:snapToGrid w:val="0"/>
          <w:lang w:val="en-GB"/>
        </w:rPr>
        <w:t xml:space="preserve"> as prescribed by article 22</w:t>
      </w:r>
      <w:r w:rsidR="008F2ED7" w:rsidRPr="00CE1CAD">
        <w:rPr>
          <w:snapToGrid w:val="0"/>
          <w:lang w:val="en-GB"/>
        </w:rPr>
        <w:t xml:space="preserve"> (</w:t>
      </w:r>
      <w:r w:rsidR="00BC339F" w:rsidRPr="00CE1CAD">
        <w:rPr>
          <w:snapToGrid w:val="0"/>
          <w:lang w:val="en-GB"/>
        </w:rPr>
        <w:t>5</w:t>
      </w:r>
      <w:r w:rsidR="008F2ED7" w:rsidRPr="00CE1CAD">
        <w:rPr>
          <w:snapToGrid w:val="0"/>
          <w:lang w:val="en-GB"/>
        </w:rPr>
        <w:t>)</w:t>
      </w:r>
      <w:r w:rsidR="00BC339F" w:rsidRPr="00CE1CAD">
        <w:rPr>
          <w:snapToGrid w:val="0"/>
          <w:lang w:val="en-GB"/>
        </w:rPr>
        <w:t xml:space="preserve"> (a) of the Convention</w:t>
      </w:r>
      <w:r w:rsidR="001026C6" w:rsidRPr="00CE1CAD">
        <w:rPr>
          <w:snapToGrid w:val="0"/>
          <w:lang w:val="en-GB"/>
        </w:rPr>
        <w:t>,</w:t>
      </w:r>
      <w:r w:rsidR="00BC339F" w:rsidRPr="00CE1CAD">
        <w:rPr>
          <w:snapToGrid w:val="0"/>
          <w:lang w:val="en-GB"/>
        </w:rPr>
        <w:t xml:space="preserve"> considering that the application was submitted by the same complainant, was based on the same facts and related to the same substantive rights as those invoked in the present communication. </w:t>
      </w:r>
      <w:r w:rsidR="00471144" w:rsidRPr="00CE1CAD">
        <w:rPr>
          <w:snapToGrid w:val="0"/>
          <w:lang w:val="en-GB"/>
        </w:rPr>
        <w:t>The State party refer</w:t>
      </w:r>
      <w:r w:rsidR="00E62245" w:rsidRPr="00CE1CAD">
        <w:rPr>
          <w:snapToGrid w:val="0"/>
          <w:lang w:val="en-GB"/>
        </w:rPr>
        <w:t>s</w:t>
      </w:r>
      <w:r w:rsidR="00471144" w:rsidRPr="00CE1CAD">
        <w:rPr>
          <w:snapToGrid w:val="0"/>
          <w:lang w:val="en-GB"/>
        </w:rPr>
        <w:t xml:space="preserve"> to the </w:t>
      </w:r>
      <w:r w:rsidR="001026C6" w:rsidRPr="00CE1CAD">
        <w:rPr>
          <w:snapToGrid w:val="0"/>
          <w:lang w:val="en-GB"/>
        </w:rPr>
        <w:t xml:space="preserve">Committee’s </w:t>
      </w:r>
      <w:r w:rsidR="008F2ED7" w:rsidRPr="00CE1CAD">
        <w:rPr>
          <w:snapToGrid w:val="0"/>
          <w:lang w:val="en-GB"/>
        </w:rPr>
        <w:t xml:space="preserve">previous </w:t>
      </w:r>
      <w:r w:rsidR="001026C6" w:rsidRPr="00CE1CAD">
        <w:rPr>
          <w:snapToGrid w:val="0"/>
          <w:lang w:val="en-GB"/>
        </w:rPr>
        <w:t>decision</w:t>
      </w:r>
      <w:r w:rsidR="008F2ED7" w:rsidRPr="00CE1CAD">
        <w:rPr>
          <w:snapToGrid w:val="0"/>
          <w:lang w:val="en-GB"/>
        </w:rPr>
        <w:t>,</w:t>
      </w:r>
      <w:r w:rsidR="003C1797" w:rsidRPr="00CE1CAD">
        <w:rPr>
          <w:rStyle w:val="FootnoteReference"/>
          <w:i/>
          <w:snapToGrid w:val="0"/>
          <w:lang w:val="en-GB"/>
        </w:rPr>
        <w:footnoteReference w:id="10"/>
      </w:r>
      <w:r w:rsidR="00471144" w:rsidRPr="00CE1CAD">
        <w:rPr>
          <w:i/>
          <w:snapToGrid w:val="0"/>
          <w:lang w:val="en-GB"/>
        </w:rPr>
        <w:t xml:space="preserve"> </w:t>
      </w:r>
      <w:r w:rsidR="00471144" w:rsidRPr="00CE1CAD">
        <w:rPr>
          <w:snapToGrid w:val="0"/>
          <w:lang w:val="en-GB"/>
        </w:rPr>
        <w:t xml:space="preserve">in which </w:t>
      </w:r>
      <w:r w:rsidR="00F90B16" w:rsidRPr="00CE1CAD">
        <w:rPr>
          <w:snapToGrid w:val="0"/>
          <w:lang w:val="en-GB"/>
        </w:rPr>
        <w:t xml:space="preserve">it </w:t>
      </w:r>
      <w:r w:rsidR="00471144" w:rsidRPr="00CE1CAD">
        <w:rPr>
          <w:snapToGrid w:val="0"/>
          <w:lang w:val="en-GB"/>
        </w:rPr>
        <w:t>ruled that</w:t>
      </w:r>
      <w:r w:rsidR="008F2ED7" w:rsidRPr="00CE1CAD">
        <w:rPr>
          <w:snapToGrid w:val="0"/>
          <w:lang w:val="en-GB"/>
        </w:rPr>
        <w:t>,</w:t>
      </w:r>
      <w:r w:rsidR="00471144" w:rsidRPr="00CE1CAD">
        <w:rPr>
          <w:snapToGrid w:val="0"/>
          <w:lang w:val="en-GB"/>
        </w:rPr>
        <w:t xml:space="preserve"> in </w:t>
      </w:r>
      <w:r w:rsidR="008F2ED7" w:rsidRPr="00CE1CAD">
        <w:rPr>
          <w:snapToGrid w:val="0"/>
          <w:lang w:val="en-GB"/>
        </w:rPr>
        <w:t xml:space="preserve">the even where </w:t>
      </w:r>
      <w:r w:rsidR="00471144" w:rsidRPr="00CE1CAD">
        <w:rPr>
          <w:snapToGrid w:val="0"/>
          <w:lang w:val="en-GB"/>
        </w:rPr>
        <w:t xml:space="preserve">an application has been declared inadmissible before the </w:t>
      </w:r>
      <w:r w:rsidR="007F1C98" w:rsidRPr="00CE1CAD">
        <w:rPr>
          <w:snapToGrid w:val="0"/>
          <w:lang w:val="en-GB"/>
        </w:rPr>
        <w:t xml:space="preserve">European </w:t>
      </w:r>
      <w:r w:rsidR="009236AA" w:rsidRPr="00CE1CAD">
        <w:rPr>
          <w:snapToGrid w:val="0"/>
          <w:lang w:val="en-GB"/>
        </w:rPr>
        <w:t>Court</w:t>
      </w:r>
      <w:r w:rsidR="00471144" w:rsidRPr="00CE1CAD">
        <w:rPr>
          <w:snapToGrid w:val="0"/>
          <w:lang w:val="en-GB"/>
        </w:rPr>
        <w:t xml:space="preserve">, it shall be regarded as a complaint </w:t>
      </w:r>
      <w:r w:rsidR="008F2ED7" w:rsidRPr="00CE1CAD">
        <w:rPr>
          <w:snapToGrid w:val="0"/>
          <w:lang w:val="en-GB"/>
        </w:rPr>
        <w:t xml:space="preserve">that </w:t>
      </w:r>
      <w:r w:rsidR="00471144" w:rsidRPr="00CE1CAD">
        <w:rPr>
          <w:snapToGrid w:val="0"/>
          <w:lang w:val="en-GB"/>
        </w:rPr>
        <w:t xml:space="preserve">has been examined under another procedure of international investigation or settlement for the purposes of article 22 </w:t>
      </w:r>
      <w:r w:rsidR="008F2ED7" w:rsidRPr="00CE1CAD">
        <w:rPr>
          <w:snapToGrid w:val="0"/>
          <w:lang w:val="en-GB"/>
        </w:rPr>
        <w:t>(</w:t>
      </w:r>
      <w:r w:rsidR="00313E47" w:rsidRPr="00CE1CAD">
        <w:rPr>
          <w:snapToGrid w:val="0"/>
          <w:lang w:val="en-GB"/>
        </w:rPr>
        <w:t>5</w:t>
      </w:r>
      <w:r w:rsidR="008F2ED7" w:rsidRPr="00CE1CAD">
        <w:rPr>
          <w:snapToGrid w:val="0"/>
          <w:lang w:val="en-GB"/>
        </w:rPr>
        <w:t>)</w:t>
      </w:r>
      <w:r w:rsidR="00313E47" w:rsidRPr="00CE1CAD">
        <w:rPr>
          <w:snapToGrid w:val="0"/>
          <w:lang w:val="en-GB"/>
        </w:rPr>
        <w:t xml:space="preserve"> (a).</w:t>
      </w:r>
    </w:p>
    <w:p w14:paraId="2FF84283" w14:textId="77777777" w:rsidR="00313E47" w:rsidRPr="00CE1CAD" w:rsidRDefault="00313E47" w:rsidP="00CE1CAD">
      <w:pPr>
        <w:pStyle w:val="SingleTxtG"/>
      </w:pPr>
      <w:r w:rsidRPr="00CE1CAD">
        <w:rPr>
          <w:snapToGrid w:val="0"/>
          <w:lang w:val="en-GB"/>
        </w:rPr>
        <w:t>4.2</w:t>
      </w:r>
      <w:r w:rsidRPr="00CE1CAD">
        <w:rPr>
          <w:snapToGrid w:val="0"/>
          <w:lang w:val="en-GB"/>
        </w:rPr>
        <w:tab/>
        <w:t>The State party submit</w:t>
      </w:r>
      <w:r w:rsidR="001026C6" w:rsidRPr="00CE1CAD">
        <w:rPr>
          <w:snapToGrid w:val="0"/>
          <w:lang w:val="en-GB"/>
        </w:rPr>
        <w:t>s</w:t>
      </w:r>
      <w:r w:rsidRPr="00CE1CAD">
        <w:rPr>
          <w:snapToGrid w:val="0"/>
          <w:lang w:val="en-GB"/>
        </w:rPr>
        <w:t xml:space="preserve"> that the communication should be considered inadmissible under article 22</w:t>
      </w:r>
      <w:r w:rsidR="001026C6" w:rsidRPr="00CE1CAD">
        <w:rPr>
          <w:snapToGrid w:val="0"/>
          <w:lang w:val="en-GB"/>
        </w:rPr>
        <w:t xml:space="preserve"> </w:t>
      </w:r>
      <w:r w:rsidR="008F2ED7" w:rsidRPr="00CE1CAD">
        <w:rPr>
          <w:snapToGrid w:val="0"/>
          <w:lang w:val="en-GB"/>
        </w:rPr>
        <w:t>(</w:t>
      </w:r>
      <w:r w:rsidRPr="00CE1CAD">
        <w:rPr>
          <w:snapToGrid w:val="0"/>
          <w:lang w:val="en-GB"/>
        </w:rPr>
        <w:t>2</w:t>
      </w:r>
      <w:r w:rsidR="008F2ED7" w:rsidRPr="00CE1CAD">
        <w:rPr>
          <w:snapToGrid w:val="0"/>
          <w:lang w:val="en-GB"/>
        </w:rPr>
        <w:t>)</w:t>
      </w:r>
      <w:r w:rsidRPr="00CE1CAD">
        <w:rPr>
          <w:snapToGrid w:val="0"/>
          <w:lang w:val="en-GB"/>
        </w:rPr>
        <w:t xml:space="preserve"> of the Convention and </w:t>
      </w:r>
      <w:r w:rsidR="008F2ED7" w:rsidRPr="00CE1CAD">
        <w:rPr>
          <w:snapToGrid w:val="0"/>
          <w:lang w:val="en-GB"/>
        </w:rPr>
        <w:t>r</w:t>
      </w:r>
      <w:r w:rsidRPr="00CE1CAD">
        <w:rPr>
          <w:snapToGrid w:val="0"/>
          <w:lang w:val="en-GB"/>
        </w:rPr>
        <w:t xml:space="preserve">ule 113 (a) and (b) of the Committee’s </w:t>
      </w:r>
      <w:r w:rsidR="008F2ED7" w:rsidRPr="00CE1CAD">
        <w:rPr>
          <w:snapToGrid w:val="0"/>
          <w:lang w:val="en-GB"/>
        </w:rPr>
        <w:t>r</w:t>
      </w:r>
      <w:r w:rsidRPr="00CE1CAD">
        <w:rPr>
          <w:snapToGrid w:val="0"/>
          <w:lang w:val="en-GB"/>
        </w:rPr>
        <w:t xml:space="preserve">ules of </w:t>
      </w:r>
      <w:r w:rsidR="008F2ED7" w:rsidRPr="00CE1CAD">
        <w:rPr>
          <w:snapToGrid w:val="0"/>
          <w:lang w:val="en-GB"/>
        </w:rPr>
        <w:t>p</w:t>
      </w:r>
      <w:r w:rsidRPr="00CE1CAD">
        <w:rPr>
          <w:snapToGrid w:val="0"/>
          <w:lang w:val="en-GB"/>
        </w:rPr>
        <w:t xml:space="preserve">rocedure for being manifestly unfounded as </w:t>
      </w:r>
      <w:r w:rsidR="00FC4DE5" w:rsidRPr="00CE1CAD">
        <w:rPr>
          <w:snapToGrid w:val="0"/>
          <w:lang w:val="en-GB"/>
        </w:rPr>
        <w:t xml:space="preserve">regards </w:t>
      </w:r>
      <w:r w:rsidRPr="00CE1CAD">
        <w:rPr>
          <w:snapToGrid w:val="0"/>
          <w:lang w:val="en-GB"/>
        </w:rPr>
        <w:t xml:space="preserve">the alleged risk of torture and for being incompatible with the provisions of the Convention as </w:t>
      </w:r>
      <w:r w:rsidR="00FC4DE5" w:rsidRPr="00CE1CAD">
        <w:rPr>
          <w:snapToGrid w:val="0"/>
          <w:lang w:val="en-GB"/>
        </w:rPr>
        <w:t xml:space="preserve">regards </w:t>
      </w:r>
      <w:r w:rsidRPr="00CE1CAD">
        <w:rPr>
          <w:snapToGrid w:val="0"/>
          <w:lang w:val="en-GB"/>
        </w:rPr>
        <w:t>the alleged infringemen</w:t>
      </w:r>
      <w:r w:rsidR="00E62245" w:rsidRPr="00CE1CAD">
        <w:rPr>
          <w:snapToGrid w:val="0"/>
          <w:lang w:val="en-GB"/>
        </w:rPr>
        <w:t>t</w:t>
      </w:r>
      <w:r w:rsidRPr="00CE1CAD">
        <w:rPr>
          <w:snapToGrid w:val="0"/>
          <w:lang w:val="en-GB"/>
        </w:rPr>
        <w:t xml:space="preserve"> of fair trial rights. </w:t>
      </w:r>
    </w:p>
    <w:p w14:paraId="621C676A" w14:textId="77777777" w:rsidR="00E62245" w:rsidRPr="00CE1CAD" w:rsidRDefault="00E62245" w:rsidP="00CE1CAD">
      <w:pPr>
        <w:pStyle w:val="SingleTxtG"/>
      </w:pPr>
      <w:r w:rsidRPr="00CE1CAD">
        <w:rPr>
          <w:lang w:val="en-GB"/>
        </w:rPr>
        <w:t>4.3</w:t>
      </w:r>
      <w:r w:rsidRPr="00CE1CAD">
        <w:rPr>
          <w:lang w:val="en-GB"/>
        </w:rPr>
        <w:tab/>
        <w:t>On 30 April 2015, the State party reiterate</w:t>
      </w:r>
      <w:r w:rsidR="00FC4DE5" w:rsidRPr="00CE1CAD">
        <w:rPr>
          <w:lang w:val="en-GB"/>
        </w:rPr>
        <w:t>d</w:t>
      </w:r>
      <w:r w:rsidRPr="00CE1CAD">
        <w:rPr>
          <w:lang w:val="en-GB"/>
        </w:rPr>
        <w:t xml:space="preserve"> its </w:t>
      </w:r>
      <w:r w:rsidR="00BB6492" w:rsidRPr="00CE1CAD">
        <w:rPr>
          <w:lang w:val="en-GB"/>
        </w:rPr>
        <w:t>observations on the admissibility</w:t>
      </w:r>
      <w:r w:rsidR="001026C6" w:rsidRPr="00CE1CAD">
        <w:rPr>
          <w:lang w:val="en-GB"/>
        </w:rPr>
        <w:t xml:space="preserve"> and</w:t>
      </w:r>
      <w:r w:rsidR="008735B6" w:rsidRPr="00CE1CAD">
        <w:rPr>
          <w:lang w:val="en-GB"/>
        </w:rPr>
        <w:t xml:space="preserve"> inform</w:t>
      </w:r>
      <w:r w:rsidR="00FC4DE5" w:rsidRPr="00CE1CAD">
        <w:rPr>
          <w:lang w:val="en-GB"/>
        </w:rPr>
        <w:t>ed</w:t>
      </w:r>
      <w:r w:rsidR="008735B6" w:rsidRPr="00CE1CAD">
        <w:rPr>
          <w:lang w:val="en-GB"/>
        </w:rPr>
        <w:t xml:space="preserve"> the Committee that the extradition of the complainant to the </w:t>
      </w:r>
      <w:r w:rsidR="0014145F" w:rsidRPr="00CE1CAD">
        <w:rPr>
          <w:lang w:val="en-GB"/>
        </w:rPr>
        <w:t>United States</w:t>
      </w:r>
      <w:r w:rsidR="008735B6" w:rsidRPr="00CE1CAD">
        <w:rPr>
          <w:lang w:val="en-GB"/>
        </w:rPr>
        <w:t xml:space="preserve"> ha</w:t>
      </w:r>
      <w:r w:rsidR="00FC4DE5" w:rsidRPr="00CE1CAD">
        <w:rPr>
          <w:lang w:val="en-GB"/>
        </w:rPr>
        <w:t>d</w:t>
      </w:r>
      <w:r w:rsidR="008735B6" w:rsidRPr="00CE1CAD">
        <w:rPr>
          <w:lang w:val="en-GB"/>
        </w:rPr>
        <w:t xml:space="preserve"> been suspended in accordance with the Committee’s request for interim measures</w:t>
      </w:r>
      <w:r w:rsidR="00FC4DE5" w:rsidRPr="00CE1CAD">
        <w:rPr>
          <w:lang w:val="en-GB"/>
        </w:rPr>
        <w:t>;</w:t>
      </w:r>
      <w:r w:rsidR="008735B6" w:rsidRPr="00CE1CAD">
        <w:rPr>
          <w:lang w:val="en-GB"/>
        </w:rPr>
        <w:t xml:space="preserve"> </w:t>
      </w:r>
      <w:r w:rsidR="00FC4DE5" w:rsidRPr="00CE1CAD">
        <w:rPr>
          <w:lang w:val="en-GB"/>
        </w:rPr>
        <w:t>however,</w:t>
      </w:r>
      <w:r w:rsidR="008735B6" w:rsidRPr="00CE1CAD">
        <w:rPr>
          <w:lang w:val="en-GB"/>
        </w:rPr>
        <w:t xml:space="preserve"> </w:t>
      </w:r>
      <w:r w:rsidR="00BB6492" w:rsidRPr="00CE1CAD">
        <w:rPr>
          <w:lang w:val="en-GB"/>
        </w:rPr>
        <w:t>given the nature of the case</w:t>
      </w:r>
      <w:r w:rsidR="00FC4DE5" w:rsidRPr="00CE1CAD">
        <w:rPr>
          <w:lang w:val="en-GB"/>
        </w:rPr>
        <w:t>,</w:t>
      </w:r>
      <w:r w:rsidR="00BB6492" w:rsidRPr="00CE1CAD">
        <w:rPr>
          <w:lang w:val="en-GB"/>
        </w:rPr>
        <w:t xml:space="preserve"> </w:t>
      </w:r>
      <w:r w:rsidR="00FC4DE5" w:rsidRPr="00CE1CAD">
        <w:rPr>
          <w:lang w:val="en-GB"/>
        </w:rPr>
        <w:t xml:space="preserve">it </w:t>
      </w:r>
      <w:r w:rsidR="008735B6" w:rsidRPr="00CE1CAD">
        <w:rPr>
          <w:lang w:val="en-GB"/>
        </w:rPr>
        <w:t>urge</w:t>
      </w:r>
      <w:r w:rsidR="00FC4DE5" w:rsidRPr="00CE1CAD">
        <w:rPr>
          <w:lang w:val="en-GB"/>
        </w:rPr>
        <w:t>d</w:t>
      </w:r>
      <w:r w:rsidR="008735B6" w:rsidRPr="00CE1CAD">
        <w:rPr>
          <w:lang w:val="en-GB"/>
        </w:rPr>
        <w:t xml:space="preserve"> the Committee to issue its </w:t>
      </w:r>
      <w:r w:rsidR="00BB6492" w:rsidRPr="00CE1CAD">
        <w:rPr>
          <w:lang w:val="en-GB"/>
        </w:rPr>
        <w:t>decision in the near future.</w:t>
      </w:r>
      <w:r w:rsidR="008573CA" w:rsidRPr="00CE1CAD">
        <w:rPr>
          <w:lang w:val="en-GB"/>
        </w:rPr>
        <w:t xml:space="preserve"> </w:t>
      </w:r>
    </w:p>
    <w:p w14:paraId="76B846D0" w14:textId="77777777" w:rsidR="00CD2DC4" w:rsidRPr="00CE1CAD" w:rsidRDefault="00824189" w:rsidP="00CE1CAD">
      <w:pPr>
        <w:pStyle w:val="H23G"/>
      </w:pPr>
      <w:r w:rsidRPr="00CE1CAD">
        <w:tab/>
      </w:r>
      <w:r w:rsidRPr="00CE1CAD">
        <w:tab/>
      </w:r>
      <w:r w:rsidR="00CD2DC4" w:rsidRPr="00CE1CAD">
        <w:t xml:space="preserve">Complainant’s comments on the State party’s observations on admissibility </w:t>
      </w:r>
    </w:p>
    <w:p w14:paraId="16819CB1" w14:textId="77777777" w:rsidR="00CD2DC4" w:rsidRPr="00CE1CAD" w:rsidRDefault="00723E7C" w:rsidP="00195373">
      <w:pPr>
        <w:pStyle w:val="SingleTxtG"/>
        <w:rPr>
          <w:lang w:val="en-GB"/>
        </w:rPr>
      </w:pPr>
      <w:r w:rsidRPr="00CE1CAD">
        <w:rPr>
          <w:lang w:val="en-GB"/>
        </w:rPr>
        <w:t>5.1</w:t>
      </w:r>
      <w:r w:rsidRPr="00CE1CAD">
        <w:rPr>
          <w:lang w:val="en-GB"/>
        </w:rPr>
        <w:tab/>
      </w:r>
      <w:r w:rsidR="00CD2DC4" w:rsidRPr="00CE1CAD">
        <w:rPr>
          <w:lang w:val="en-GB"/>
        </w:rPr>
        <w:t xml:space="preserve">On </w:t>
      </w:r>
      <w:r w:rsidR="00DA3699" w:rsidRPr="00CE1CAD">
        <w:rPr>
          <w:lang w:val="en-GB"/>
        </w:rPr>
        <w:t>20</w:t>
      </w:r>
      <w:r w:rsidR="009405BC" w:rsidRPr="00CE1CAD">
        <w:rPr>
          <w:lang w:val="en-GB"/>
        </w:rPr>
        <w:t>,</w:t>
      </w:r>
      <w:r w:rsidR="00DA3699" w:rsidRPr="00CE1CAD">
        <w:rPr>
          <w:lang w:val="en-GB"/>
        </w:rPr>
        <w:t xml:space="preserve"> </w:t>
      </w:r>
      <w:r w:rsidR="00241AB3" w:rsidRPr="00CE1CAD">
        <w:rPr>
          <w:lang w:val="en-GB"/>
        </w:rPr>
        <w:t xml:space="preserve">22, </w:t>
      </w:r>
      <w:r w:rsidR="00CD2DC4" w:rsidRPr="00CE1CAD">
        <w:rPr>
          <w:lang w:val="en-GB"/>
        </w:rPr>
        <w:t>23</w:t>
      </w:r>
      <w:r w:rsidR="009405BC" w:rsidRPr="00CE1CAD">
        <w:rPr>
          <w:lang w:val="en-GB"/>
        </w:rPr>
        <w:t xml:space="preserve"> and 29</w:t>
      </w:r>
      <w:r w:rsidR="00CD2DC4" w:rsidRPr="00CE1CAD">
        <w:rPr>
          <w:lang w:val="en-GB"/>
        </w:rPr>
        <w:t xml:space="preserve"> April 2015</w:t>
      </w:r>
      <w:r w:rsidR="008D712E" w:rsidRPr="00CE1CAD">
        <w:rPr>
          <w:lang w:val="en-GB"/>
        </w:rPr>
        <w:t xml:space="preserve">, the complainant </w:t>
      </w:r>
      <w:r w:rsidR="00461C15" w:rsidRPr="00CE1CAD">
        <w:rPr>
          <w:lang w:val="en-GB"/>
        </w:rPr>
        <w:t>challenge</w:t>
      </w:r>
      <w:r w:rsidR="00195373" w:rsidRPr="00CE1CAD">
        <w:rPr>
          <w:lang w:val="en-GB"/>
        </w:rPr>
        <w:t>d</w:t>
      </w:r>
      <w:r w:rsidR="008D712E" w:rsidRPr="00CE1CAD">
        <w:rPr>
          <w:lang w:val="en-GB"/>
        </w:rPr>
        <w:t xml:space="preserve"> the State party</w:t>
      </w:r>
      <w:r w:rsidR="00461C15" w:rsidRPr="00CE1CAD">
        <w:rPr>
          <w:lang w:val="en-GB"/>
        </w:rPr>
        <w:t>’s</w:t>
      </w:r>
      <w:r w:rsidR="008D712E" w:rsidRPr="00CE1CAD">
        <w:rPr>
          <w:lang w:val="en-GB"/>
        </w:rPr>
        <w:t xml:space="preserve"> argument </w:t>
      </w:r>
      <w:r w:rsidR="00910BBC" w:rsidRPr="00CE1CAD">
        <w:rPr>
          <w:lang w:val="en-GB"/>
        </w:rPr>
        <w:t xml:space="preserve">that an application had been submitted to the </w:t>
      </w:r>
      <w:r w:rsidR="00461C15" w:rsidRPr="00CE1CAD">
        <w:rPr>
          <w:lang w:val="en-GB"/>
        </w:rPr>
        <w:t xml:space="preserve">European </w:t>
      </w:r>
      <w:r w:rsidR="009236AA" w:rsidRPr="00CE1CAD">
        <w:rPr>
          <w:lang w:val="en-GB"/>
        </w:rPr>
        <w:t>Court</w:t>
      </w:r>
      <w:r w:rsidR="00910BBC" w:rsidRPr="00CE1CAD">
        <w:rPr>
          <w:lang w:val="en-GB"/>
        </w:rPr>
        <w:t xml:space="preserve"> </w:t>
      </w:r>
      <w:r w:rsidR="007F1C98" w:rsidRPr="00CE1CAD">
        <w:rPr>
          <w:lang w:val="en-GB"/>
        </w:rPr>
        <w:t xml:space="preserve">of Human Rights </w:t>
      </w:r>
      <w:r w:rsidR="00910BBC" w:rsidRPr="00CE1CAD">
        <w:rPr>
          <w:lang w:val="en-GB"/>
        </w:rPr>
        <w:t xml:space="preserve">on the </w:t>
      </w:r>
      <w:r w:rsidR="002024B2" w:rsidRPr="00CE1CAD">
        <w:rPr>
          <w:lang w:val="en-GB"/>
        </w:rPr>
        <w:t>“</w:t>
      </w:r>
      <w:r w:rsidR="00910BBC" w:rsidRPr="00CE1CAD">
        <w:rPr>
          <w:lang w:val="en-GB"/>
        </w:rPr>
        <w:t>same matter</w:t>
      </w:r>
      <w:r w:rsidR="002024B2" w:rsidRPr="00CE1CAD">
        <w:rPr>
          <w:lang w:val="en-GB"/>
        </w:rPr>
        <w:t>”</w:t>
      </w:r>
      <w:r w:rsidR="00910BBC" w:rsidRPr="00CE1CAD">
        <w:rPr>
          <w:lang w:val="en-GB"/>
        </w:rPr>
        <w:t xml:space="preserve">. He </w:t>
      </w:r>
      <w:r w:rsidR="00461C15" w:rsidRPr="00CE1CAD">
        <w:rPr>
          <w:lang w:val="en-GB"/>
        </w:rPr>
        <w:t>submits</w:t>
      </w:r>
      <w:r w:rsidR="00910BBC" w:rsidRPr="00CE1CAD">
        <w:rPr>
          <w:lang w:val="en-GB"/>
        </w:rPr>
        <w:t xml:space="preserve"> that the basis of the application to the </w:t>
      </w:r>
      <w:r w:rsidR="007F1C98" w:rsidRPr="00CE1CAD">
        <w:rPr>
          <w:lang w:val="en-GB"/>
        </w:rPr>
        <w:t xml:space="preserve">European </w:t>
      </w:r>
      <w:r w:rsidR="009236AA" w:rsidRPr="00CE1CAD">
        <w:rPr>
          <w:lang w:val="en-GB"/>
        </w:rPr>
        <w:t xml:space="preserve">Court </w:t>
      </w:r>
      <w:r w:rsidR="00910BBC" w:rsidRPr="00CE1CAD">
        <w:rPr>
          <w:lang w:val="en-GB"/>
        </w:rPr>
        <w:t xml:space="preserve">was the fact that he risked not having a fair trial since the </w:t>
      </w:r>
      <w:r w:rsidR="0014145F" w:rsidRPr="00CE1CAD">
        <w:rPr>
          <w:lang w:val="en-GB"/>
        </w:rPr>
        <w:t>United States</w:t>
      </w:r>
      <w:r w:rsidR="00910BBC" w:rsidRPr="00CE1CAD">
        <w:rPr>
          <w:lang w:val="en-GB"/>
        </w:rPr>
        <w:t xml:space="preserve"> uses a so-called </w:t>
      </w:r>
      <w:r w:rsidR="00195373" w:rsidRPr="00CE1CAD">
        <w:rPr>
          <w:lang w:val="en-GB"/>
        </w:rPr>
        <w:t>p</w:t>
      </w:r>
      <w:r w:rsidR="00910BBC" w:rsidRPr="00CE1CAD">
        <w:rPr>
          <w:lang w:val="en-GB"/>
        </w:rPr>
        <w:t>re-</w:t>
      </w:r>
      <w:r w:rsidR="00195373" w:rsidRPr="00CE1CAD">
        <w:rPr>
          <w:lang w:val="en-GB"/>
        </w:rPr>
        <w:t>s</w:t>
      </w:r>
      <w:r w:rsidR="00910BBC" w:rsidRPr="00CE1CAD">
        <w:rPr>
          <w:lang w:val="en-GB"/>
        </w:rPr>
        <w:t xml:space="preserve">entence </w:t>
      </w:r>
      <w:r w:rsidR="00195373" w:rsidRPr="00CE1CAD">
        <w:rPr>
          <w:lang w:val="en-GB"/>
        </w:rPr>
        <w:t>r</w:t>
      </w:r>
      <w:r w:rsidR="00910BBC" w:rsidRPr="00CE1CAD">
        <w:rPr>
          <w:lang w:val="en-GB"/>
        </w:rPr>
        <w:t xml:space="preserve">eport in judicial proceedings, and </w:t>
      </w:r>
      <w:r w:rsidR="00195373" w:rsidRPr="00CE1CAD">
        <w:rPr>
          <w:lang w:val="en-GB"/>
        </w:rPr>
        <w:t xml:space="preserve">that that </w:t>
      </w:r>
      <w:r w:rsidR="00910BBC" w:rsidRPr="00CE1CAD">
        <w:rPr>
          <w:lang w:val="en-GB"/>
        </w:rPr>
        <w:t>in itself would violate the doctrine of speciality</w:t>
      </w:r>
      <w:r w:rsidR="00195373" w:rsidRPr="00CE1CAD">
        <w:rPr>
          <w:lang w:val="en-GB"/>
        </w:rPr>
        <w:t>,</w:t>
      </w:r>
      <w:r w:rsidR="00910BBC" w:rsidRPr="00CE1CAD">
        <w:rPr>
          <w:lang w:val="en-GB"/>
        </w:rPr>
        <w:t xml:space="preserve"> which is a fundamental aspect of the extradition treaty between the </w:t>
      </w:r>
      <w:r w:rsidR="0014145F" w:rsidRPr="00CE1CAD">
        <w:rPr>
          <w:lang w:val="en-GB"/>
        </w:rPr>
        <w:t>United States</w:t>
      </w:r>
      <w:r w:rsidR="00910BBC" w:rsidRPr="00CE1CAD">
        <w:rPr>
          <w:lang w:val="en-GB"/>
        </w:rPr>
        <w:t xml:space="preserve"> and Hungary</w:t>
      </w:r>
      <w:r w:rsidR="008D712E" w:rsidRPr="00CE1CAD">
        <w:rPr>
          <w:lang w:val="en-GB"/>
        </w:rPr>
        <w:t>.</w:t>
      </w:r>
      <w:r w:rsidR="00910BBC" w:rsidRPr="00CE1CAD">
        <w:rPr>
          <w:lang w:val="en-GB"/>
        </w:rPr>
        <w:t xml:space="preserve"> His mistreatment was mentioned as a background circumstance, </w:t>
      </w:r>
      <w:r w:rsidR="00195373" w:rsidRPr="00CE1CAD">
        <w:rPr>
          <w:lang w:val="en-GB"/>
        </w:rPr>
        <w:t xml:space="preserve">but </w:t>
      </w:r>
      <w:r w:rsidR="00910BBC" w:rsidRPr="00CE1CAD">
        <w:rPr>
          <w:lang w:val="en-GB"/>
        </w:rPr>
        <w:t>the essence of the application related to the fairness of his trial as being in contradiction with article 6.3 (d) of the European Convention o</w:t>
      </w:r>
      <w:r w:rsidR="0063157D" w:rsidRPr="00CE1CAD">
        <w:rPr>
          <w:lang w:val="en-GB"/>
        </w:rPr>
        <w:t>n</w:t>
      </w:r>
      <w:r w:rsidR="00910BBC" w:rsidRPr="00CE1CAD">
        <w:rPr>
          <w:lang w:val="en-GB"/>
        </w:rPr>
        <w:t xml:space="preserve"> Human Rights. The complainant </w:t>
      </w:r>
      <w:r w:rsidR="00910BBC" w:rsidRPr="00CE1CAD">
        <w:rPr>
          <w:lang w:val="en-GB"/>
        </w:rPr>
        <w:lastRenderedPageBreak/>
        <w:t xml:space="preserve">submits that there are new facts since the application to the </w:t>
      </w:r>
      <w:r w:rsidR="009236AA" w:rsidRPr="00CE1CAD">
        <w:rPr>
          <w:lang w:val="en-GB"/>
        </w:rPr>
        <w:t>Court</w:t>
      </w:r>
      <w:r w:rsidR="00910BBC" w:rsidRPr="00CE1CAD">
        <w:rPr>
          <w:lang w:val="en-GB"/>
        </w:rPr>
        <w:t xml:space="preserve">, notably that he has received </w:t>
      </w:r>
      <w:r w:rsidR="002024B2" w:rsidRPr="00CE1CAD">
        <w:rPr>
          <w:lang w:val="en-GB"/>
        </w:rPr>
        <w:t>“</w:t>
      </w:r>
      <w:r w:rsidR="00910BBC" w:rsidRPr="00CE1CAD">
        <w:rPr>
          <w:lang w:val="en-GB"/>
        </w:rPr>
        <w:t>virulent death threats</w:t>
      </w:r>
      <w:r w:rsidR="002024B2" w:rsidRPr="00CE1CAD">
        <w:rPr>
          <w:lang w:val="en-GB"/>
        </w:rPr>
        <w:t>”</w:t>
      </w:r>
      <w:r w:rsidR="00910BBC" w:rsidRPr="00CE1CAD">
        <w:rPr>
          <w:lang w:val="en-GB"/>
        </w:rPr>
        <w:t xml:space="preserve">. </w:t>
      </w:r>
    </w:p>
    <w:p w14:paraId="0564E0FC" w14:textId="77777777" w:rsidR="00133E4A" w:rsidRPr="00CE1CAD" w:rsidRDefault="00723E7C" w:rsidP="0083164F">
      <w:pPr>
        <w:pStyle w:val="SingleTxtG"/>
        <w:rPr>
          <w:lang w:val="en-GB"/>
        </w:rPr>
      </w:pPr>
      <w:r w:rsidRPr="00CE1CAD">
        <w:rPr>
          <w:lang w:val="en-GB"/>
        </w:rPr>
        <w:t>5.2</w:t>
      </w:r>
      <w:r w:rsidRPr="00CE1CAD">
        <w:rPr>
          <w:lang w:val="en-GB"/>
        </w:rPr>
        <w:tab/>
        <w:t xml:space="preserve">With regard to the State party’s view that his complaint is manifestly unfounded as concerns the alleged risk of torture, the complainant </w:t>
      </w:r>
      <w:r w:rsidR="00A140E9" w:rsidRPr="00CE1CAD">
        <w:rPr>
          <w:lang w:val="en-GB"/>
        </w:rPr>
        <w:t xml:space="preserve">objects to this statement as the State party provides no </w:t>
      </w:r>
      <w:r w:rsidR="0083164F" w:rsidRPr="00CE1CAD">
        <w:rPr>
          <w:lang w:val="en-GB"/>
        </w:rPr>
        <w:t xml:space="preserve">supporting </w:t>
      </w:r>
      <w:r w:rsidR="00A140E9" w:rsidRPr="00CE1CAD">
        <w:rPr>
          <w:lang w:val="en-GB"/>
        </w:rPr>
        <w:t>evidence. He</w:t>
      </w:r>
      <w:r w:rsidR="00C67055" w:rsidRPr="00CE1CAD">
        <w:rPr>
          <w:lang w:val="en-GB"/>
        </w:rPr>
        <w:t xml:space="preserve"> claims the State party has not investigated thoroughly his claims.</w:t>
      </w:r>
      <w:r w:rsidR="006F7BD1" w:rsidRPr="00CE1CAD">
        <w:rPr>
          <w:rStyle w:val="FootnoteReference"/>
          <w:lang w:val="en-GB"/>
        </w:rPr>
        <w:footnoteReference w:id="11"/>
      </w:r>
      <w:r w:rsidR="00C67055" w:rsidRPr="00CE1CAD">
        <w:rPr>
          <w:lang w:val="en-GB"/>
        </w:rPr>
        <w:t xml:space="preserve"> </w:t>
      </w:r>
      <w:r w:rsidR="00E56B78" w:rsidRPr="00CE1CAD">
        <w:rPr>
          <w:lang w:val="en-GB"/>
        </w:rPr>
        <w:t>The State party’s authorities c</w:t>
      </w:r>
      <w:r w:rsidR="00C67055" w:rsidRPr="00CE1CAD">
        <w:rPr>
          <w:lang w:val="en-GB"/>
        </w:rPr>
        <w:t>ontact</w:t>
      </w:r>
      <w:r w:rsidR="00E56B78" w:rsidRPr="00CE1CAD">
        <w:rPr>
          <w:lang w:val="en-GB"/>
        </w:rPr>
        <w:t>ed</w:t>
      </w:r>
      <w:r w:rsidR="00C67055" w:rsidRPr="00CE1CAD">
        <w:rPr>
          <w:lang w:val="en-GB"/>
        </w:rPr>
        <w:t xml:space="preserve"> the </w:t>
      </w:r>
      <w:r w:rsidR="0014145F" w:rsidRPr="00CE1CAD">
        <w:rPr>
          <w:lang w:val="en-GB"/>
        </w:rPr>
        <w:t xml:space="preserve">United States </w:t>
      </w:r>
      <w:r w:rsidR="00C67055" w:rsidRPr="00CE1CAD">
        <w:rPr>
          <w:lang w:val="en-GB"/>
        </w:rPr>
        <w:t>Embassy in Budapest, which responded that all of the complainant’s rights have been respected</w:t>
      </w:r>
      <w:r w:rsidR="0087663D" w:rsidRPr="00CE1CAD">
        <w:rPr>
          <w:lang w:val="en-GB"/>
        </w:rPr>
        <w:t>. Further</w:t>
      </w:r>
      <w:r w:rsidR="0083164F" w:rsidRPr="00CE1CAD">
        <w:rPr>
          <w:lang w:val="en-GB"/>
        </w:rPr>
        <w:t>more</w:t>
      </w:r>
      <w:r w:rsidR="0087663D" w:rsidRPr="00CE1CAD">
        <w:rPr>
          <w:lang w:val="en-GB"/>
        </w:rPr>
        <w:t>, he</w:t>
      </w:r>
      <w:r w:rsidR="00A140E9" w:rsidRPr="00CE1CAD">
        <w:rPr>
          <w:lang w:val="en-GB"/>
        </w:rPr>
        <w:t xml:space="preserve"> </w:t>
      </w:r>
      <w:r w:rsidRPr="00CE1CAD">
        <w:rPr>
          <w:lang w:val="en-GB"/>
        </w:rPr>
        <w:t>contend</w:t>
      </w:r>
      <w:r w:rsidR="001026C6" w:rsidRPr="00CE1CAD">
        <w:rPr>
          <w:lang w:val="en-GB"/>
        </w:rPr>
        <w:t>s</w:t>
      </w:r>
      <w:r w:rsidRPr="00CE1CAD">
        <w:rPr>
          <w:lang w:val="en-GB"/>
        </w:rPr>
        <w:t xml:space="preserve"> that he ha</w:t>
      </w:r>
      <w:r w:rsidR="001026C6" w:rsidRPr="00CE1CAD">
        <w:rPr>
          <w:lang w:val="en-GB"/>
        </w:rPr>
        <w:t>d</w:t>
      </w:r>
      <w:r w:rsidRPr="00CE1CAD">
        <w:rPr>
          <w:lang w:val="en-GB"/>
        </w:rPr>
        <w:t xml:space="preserve"> provided documentation about his own experiences and the circumstances of foreigners and minorities in </w:t>
      </w:r>
      <w:r w:rsidR="0014145F" w:rsidRPr="00CE1CAD">
        <w:rPr>
          <w:lang w:val="en-GB"/>
        </w:rPr>
        <w:t>United States</w:t>
      </w:r>
      <w:r w:rsidRPr="00CE1CAD">
        <w:rPr>
          <w:lang w:val="en-GB"/>
        </w:rPr>
        <w:t xml:space="preserve"> detention facilities. </w:t>
      </w:r>
      <w:r w:rsidR="00133E4A" w:rsidRPr="00CE1CAD">
        <w:rPr>
          <w:lang w:val="en-GB"/>
        </w:rPr>
        <w:t xml:space="preserve">Notably, he claims </w:t>
      </w:r>
      <w:r w:rsidR="0083164F" w:rsidRPr="00CE1CAD">
        <w:rPr>
          <w:lang w:val="en-GB"/>
        </w:rPr>
        <w:t xml:space="preserve">to have been </w:t>
      </w:r>
      <w:r w:rsidR="00133E4A" w:rsidRPr="00CE1CAD">
        <w:rPr>
          <w:lang w:val="en-GB"/>
        </w:rPr>
        <w:t xml:space="preserve">subjected to torture through pain, suffering, physical and mental abuse inflicted upon him by </w:t>
      </w:r>
      <w:r w:rsidR="0083164F" w:rsidRPr="00CE1CAD">
        <w:rPr>
          <w:lang w:val="en-GB"/>
        </w:rPr>
        <w:t>p</w:t>
      </w:r>
      <w:r w:rsidR="00133E4A" w:rsidRPr="00CE1CAD">
        <w:rPr>
          <w:lang w:val="en-GB"/>
        </w:rPr>
        <w:t xml:space="preserve">rison staff </w:t>
      </w:r>
      <w:r w:rsidR="0083164F" w:rsidRPr="00CE1CAD">
        <w:rPr>
          <w:lang w:val="en-GB"/>
        </w:rPr>
        <w:t xml:space="preserve">and </w:t>
      </w:r>
      <w:r w:rsidR="00133E4A" w:rsidRPr="00CE1CAD">
        <w:rPr>
          <w:lang w:val="en-GB"/>
        </w:rPr>
        <w:t>other official</w:t>
      </w:r>
      <w:r w:rsidR="0083164F" w:rsidRPr="00CE1CAD">
        <w:rPr>
          <w:lang w:val="en-GB"/>
        </w:rPr>
        <w:t>s</w:t>
      </w:r>
      <w:r w:rsidR="00133E4A" w:rsidRPr="00CE1CAD">
        <w:rPr>
          <w:lang w:val="en-GB"/>
        </w:rPr>
        <w:t>, as well as inmates. He submits that</w:t>
      </w:r>
      <w:r w:rsidR="0083164F" w:rsidRPr="00CE1CAD">
        <w:rPr>
          <w:lang w:val="en-GB"/>
        </w:rPr>
        <w:t>,</w:t>
      </w:r>
      <w:r w:rsidR="00133E4A" w:rsidRPr="00CE1CAD">
        <w:rPr>
          <w:lang w:val="en-GB"/>
        </w:rPr>
        <w:t xml:space="preserve"> despite his numerous letters to the </w:t>
      </w:r>
      <w:r w:rsidR="0083164F" w:rsidRPr="00CE1CAD">
        <w:rPr>
          <w:lang w:val="en-GB"/>
        </w:rPr>
        <w:t xml:space="preserve">United States </w:t>
      </w:r>
      <w:r w:rsidR="00133E4A" w:rsidRPr="00CE1CAD">
        <w:rPr>
          <w:lang w:val="en-GB"/>
        </w:rPr>
        <w:t xml:space="preserve">Federal Bureau of Prisons about the ongoing torture, he was not given any remedy but </w:t>
      </w:r>
      <w:r w:rsidR="00C95B33" w:rsidRPr="00CE1CAD">
        <w:rPr>
          <w:lang w:val="en-GB"/>
        </w:rPr>
        <w:t xml:space="preserve">was instead subjected to </w:t>
      </w:r>
      <w:r w:rsidR="00E87FD2" w:rsidRPr="00CE1CAD">
        <w:rPr>
          <w:lang w:val="en-GB"/>
        </w:rPr>
        <w:t xml:space="preserve">prolonged isolation. </w:t>
      </w:r>
      <w:r w:rsidR="007579BA" w:rsidRPr="00CE1CAD">
        <w:rPr>
          <w:lang w:val="en-GB"/>
        </w:rPr>
        <w:t xml:space="preserve">He claims that he filed court documents stating he </w:t>
      </w:r>
      <w:r w:rsidR="0083164F" w:rsidRPr="00CE1CAD">
        <w:rPr>
          <w:lang w:val="en-GB"/>
        </w:rPr>
        <w:t xml:space="preserve">wanted </w:t>
      </w:r>
      <w:r w:rsidR="007579BA" w:rsidRPr="00CE1CAD">
        <w:rPr>
          <w:lang w:val="en-GB"/>
        </w:rPr>
        <w:t xml:space="preserve">to bring criminal charges against the guards, but </w:t>
      </w:r>
      <w:r w:rsidR="0083164F" w:rsidRPr="00CE1CAD">
        <w:rPr>
          <w:lang w:val="en-GB"/>
        </w:rPr>
        <w:t xml:space="preserve">that they </w:t>
      </w:r>
      <w:r w:rsidR="007579BA" w:rsidRPr="00CE1CAD">
        <w:rPr>
          <w:lang w:val="en-GB"/>
        </w:rPr>
        <w:t xml:space="preserve">were never answered. </w:t>
      </w:r>
      <w:r w:rsidR="00E87FD2" w:rsidRPr="00CE1CAD">
        <w:rPr>
          <w:lang w:val="en-GB"/>
        </w:rPr>
        <w:t xml:space="preserve">Despite </w:t>
      </w:r>
      <w:r w:rsidR="00C65CC1" w:rsidRPr="00CE1CAD">
        <w:rPr>
          <w:lang w:val="en-GB"/>
        </w:rPr>
        <w:t xml:space="preserve">his </w:t>
      </w:r>
      <w:r w:rsidR="00C95B33" w:rsidRPr="00CE1CAD">
        <w:rPr>
          <w:lang w:val="en-GB"/>
        </w:rPr>
        <w:t>petitions</w:t>
      </w:r>
      <w:r w:rsidR="00E87FD2" w:rsidRPr="00CE1CAD">
        <w:rPr>
          <w:lang w:val="en-GB"/>
        </w:rPr>
        <w:t xml:space="preserve"> to the </w:t>
      </w:r>
      <w:r w:rsidR="00C95B33" w:rsidRPr="00CE1CAD">
        <w:rPr>
          <w:lang w:val="en-GB"/>
        </w:rPr>
        <w:t>j</w:t>
      </w:r>
      <w:r w:rsidR="00E87FD2" w:rsidRPr="00CE1CAD">
        <w:rPr>
          <w:lang w:val="en-GB"/>
        </w:rPr>
        <w:t xml:space="preserve">udge and prosecutor in his case, nothing was done to assist him. The complainant also asserts that </w:t>
      </w:r>
      <w:r w:rsidR="0083164F" w:rsidRPr="00CE1CAD">
        <w:rPr>
          <w:lang w:val="en-GB"/>
        </w:rPr>
        <w:t>long-</w:t>
      </w:r>
      <w:r w:rsidR="00E87FD2" w:rsidRPr="00CE1CAD">
        <w:rPr>
          <w:lang w:val="en-GB"/>
        </w:rPr>
        <w:t xml:space="preserve">term solitary confinement and lack of staff to provide mental health services are a practice in the </w:t>
      </w:r>
      <w:r w:rsidR="0014145F" w:rsidRPr="00CE1CAD">
        <w:rPr>
          <w:lang w:val="en-GB"/>
        </w:rPr>
        <w:t>United States</w:t>
      </w:r>
      <w:r w:rsidR="00E87FD2" w:rsidRPr="00CE1CAD">
        <w:rPr>
          <w:lang w:val="en-GB"/>
        </w:rPr>
        <w:t xml:space="preserve"> </w:t>
      </w:r>
      <w:r w:rsidR="00C95B33" w:rsidRPr="00CE1CAD">
        <w:rPr>
          <w:lang w:val="en-GB"/>
        </w:rPr>
        <w:t>p</w:t>
      </w:r>
      <w:r w:rsidR="00E87FD2" w:rsidRPr="00CE1CAD">
        <w:rPr>
          <w:lang w:val="en-GB"/>
        </w:rPr>
        <w:t>risons</w:t>
      </w:r>
      <w:r w:rsidR="00C95B33" w:rsidRPr="00CE1CAD">
        <w:rPr>
          <w:lang w:val="en-GB"/>
        </w:rPr>
        <w:t>’</w:t>
      </w:r>
      <w:r w:rsidR="00E87FD2" w:rsidRPr="00CE1CAD">
        <w:rPr>
          <w:lang w:val="en-GB"/>
        </w:rPr>
        <w:t xml:space="preserve"> system, referring to the Committee’s </w:t>
      </w:r>
      <w:r w:rsidR="0083164F" w:rsidRPr="00CE1CAD">
        <w:rPr>
          <w:lang w:val="en-GB"/>
        </w:rPr>
        <w:t>c</w:t>
      </w:r>
      <w:r w:rsidR="00E87FD2" w:rsidRPr="00CE1CAD">
        <w:rPr>
          <w:lang w:val="en-GB"/>
        </w:rPr>
        <w:t xml:space="preserve">oncluding </w:t>
      </w:r>
      <w:r w:rsidR="0083164F" w:rsidRPr="00CE1CAD">
        <w:rPr>
          <w:lang w:val="en-GB"/>
        </w:rPr>
        <w:t>o</w:t>
      </w:r>
      <w:r w:rsidR="00E87FD2" w:rsidRPr="00CE1CAD">
        <w:rPr>
          <w:lang w:val="en-GB"/>
        </w:rPr>
        <w:t xml:space="preserve">bservations on the combined third to fifth periodic reports of the </w:t>
      </w:r>
      <w:r w:rsidR="0014145F" w:rsidRPr="00CE1CAD">
        <w:rPr>
          <w:lang w:val="en-GB"/>
        </w:rPr>
        <w:t>United States</w:t>
      </w:r>
      <w:r w:rsidR="0083164F" w:rsidRPr="00CE1CAD">
        <w:rPr>
          <w:lang w:val="en-GB"/>
        </w:rPr>
        <w:t xml:space="preserve"> (CAT/C/USA/CO/3-5)</w:t>
      </w:r>
      <w:r w:rsidR="00E87FD2" w:rsidRPr="00CE1CAD">
        <w:rPr>
          <w:lang w:val="en-GB"/>
        </w:rPr>
        <w:t xml:space="preserve">. </w:t>
      </w:r>
    </w:p>
    <w:p w14:paraId="0A17DD3F" w14:textId="77777777" w:rsidR="00593932" w:rsidRPr="00CE1CAD" w:rsidRDefault="00133E4A" w:rsidP="00CE1CAD">
      <w:pPr>
        <w:pStyle w:val="SingleTxtG"/>
      </w:pPr>
      <w:r w:rsidRPr="00CE1CAD">
        <w:rPr>
          <w:lang w:val="en-GB"/>
        </w:rPr>
        <w:t>5.3</w:t>
      </w:r>
      <w:r w:rsidRPr="00CE1CAD">
        <w:rPr>
          <w:lang w:val="en-GB"/>
        </w:rPr>
        <w:tab/>
        <w:t>Further</w:t>
      </w:r>
      <w:r w:rsidR="0083164F" w:rsidRPr="00CE1CAD">
        <w:rPr>
          <w:lang w:val="en-GB"/>
        </w:rPr>
        <w:t>more</w:t>
      </w:r>
      <w:r w:rsidRPr="00CE1CAD">
        <w:rPr>
          <w:lang w:val="en-GB"/>
        </w:rPr>
        <w:t xml:space="preserve">, </w:t>
      </w:r>
      <w:r w:rsidR="00C95B33" w:rsidRPr="00CE1CAD">
        <w:rPr>
          <w:lang w:val="en-GB"/>
        </w:rPr>
        <w:t>the complainant submits that he</w:t>
      </w:r>
      <w:r w:rsidR="008B68A7" w:rsidRPr="00CE1CAD">
        <w:rPr>
          <w:lang w:val="en-GB"/>
        </w:rPr>
        <w:t xml:space="preserve"> </w:t>
      </w:r>
      <w:r w:rsidR="00723E7C" w:rsidRPr="00CE1CAD">
        <w:rPr>
          <w:lang w:val="en-GB"/>
        </w:rPr>
        <w:t>receiv</w:t>
      </w:r>
      <w:r w:rsidR="00C95B33" w:rsidRPr="00CE1CAD">
        <w:rPr>
          <w:lang w:val="en-GB"/>
        </w:rPr>
        <w:t>ed</w:t>
      </w:r>
      <w:r w:rsidR="00723E7C" w:rsidRPr="00CE1CAD">
        <w:rPr>
          <w:lang w:val="en-GB"/>
        </w:rPr>
        <w:t xml:space="preserve"> anti-Semitic death threats</w:t>
      </w:r>
      <w:r w:rsidR="008B68A7" w:rsidRPr="00CE1CAD">
        <w:rPr>
          <w:lang w:val="en-GB"/>
        </w:rPr>
        <w:t xml:space="preserve"> from the </w:t>
      </w:r>
      <w:r w:rsidR="0014145F" w:rsidRPr="00CE1CAD">
        <w:rPr>
          <w:lang w:val="en-GB"/>
        </w:rPr>
        <w:t>United States</w:t>
      </w:r>
      <w:r w:rsidR="008B68A7" w:rsidRPr="00CE1CAD">
        <w:rPr>
          <w:lang w:val="en-GB"/>
        </w:rPr>
        <w:t xml:space="preserve"> </w:t>
      </w:r>
      <w:r w:rsidR="00C65CC1" w:rsidRPr="00CE1CAD">
        <w:rPr>
          <w:lang w:val="en-GB"/>
        </w:rPr>
        <w:t xml:space="preserve">on two occasions </w:t>
      </w:r>
      <w:r w:rsidR="008B68A7" w:rsidRPr="00CE1CAD">
        <w:rPr>
          <w:lang w:val="en-GB"/>
        </w:rPr>
        <w:t>in November 2014</w:t>
      </w:r>
      <w:r w:rsidR="00723E7C" w:rsidRPr="00CE1CAD">
        <w:rPr>
          <w:lang w:val="en-GB"/>
        </w:rPr>
        <w:t xml:space="preserve"> </w:t>
      </w:r>
      <w:r w:rsidR="0083164F" w:rsidRPr="00CE1CAD">
        <w:rPr>
          <w:lang w:val="en-GB"/>
        </w:rPr>
        <w:t xml:space="preserve">aimed at </w:t>
      </w:r>
      <w:r w:rsidR="00723E7C" w:rsidRPr="00CE1CAD">
        <w:rPr>
          <w:lang w:val="en-GB"/>
        </w:rPr>
        <w:t>hi</w:t>
      </w:r>
      <w:r w:rsidR="001026C6" w:rsidRPr="00CE1CAD">
        <w:rPr>
          <w:lang w:val="en-GB"/>
        </w:rPr>
        <w:t xml:space="preserve">mself </w:t>
      </w:r>
      <w:r w:rsidR="00723E7C" w:rsidRPr="00CE1CAD">
        <w:rPr>
          <w:lang w:val="en-GB"/>
        </w:rPr>
        <w:t>and his family</w:t>
      </w:r>
      <w:r w:rsidR="0083164F" w:rsidRPr="00CE1CAD">
        <w:rPr>
          <w:lang w:val="en-GB"/>
        </w:rPr>
        <w:t>,</w:t>
      </w:r>
      <w:r w:rsidR="00723E7C" w:rsidRPr="00CE1CAD">
        <w:rPr>
          <w:lang w:val="en-GB"/>
        </w:rPr>
        <w:t xml:space="preserve"> which </w:t>
      </w:r>
      <w:r w:rsidR="0083164F" w:rsidRPr="00CE1CAD">
        <w:rPr>
          <w:lang w:val="en-GB"/>
        </w:rPr>
        <w:t xml:space="preserve">were </w:t>
      </w:r>
      <w:r w:rsidR="00723E7C" w:rsidRPr="00CE1CAD">
        <w:rPr>
          <w:lang w:val="en-GB"/>
        </w:rPr>
        <w:t>not investigated</w:t>
      </w:r>
      <w:r w:rsidR="003A4203" w:rsidRPr="00CE1CAD">
        <w:rPr>
          <w:lang w:val="en-GB"/>
        </w:rPr>
        <w:t xml:space="preserve"> by the State party</w:t>
      </w:r>
      <w:r w:rsidR="00723E7C" w:rsidRPr="00CE1CAD">
        <w:rPr>
          <w:lang w:val="en-GB"/>
        </w:rPr>
        <w:t xml:space="preserve"> for a period of several months. </w:t>
      </w:r>
      <w:r w:rsidR="00C65CC1" w:rsidRPr="00CE1CAD">
        <w:rPr>
          <w:lang w:val="en-GB"/>
        </w:rPr>
        <w:t xml:space="preserve">They were sent to him </w:t>
      </w:r>
      <w:r w:rsidR="0083164F" w:rsidRPr="00CE1CAD">
        <w:rPr>
          <w:lang w:val="en-GB"/>
        </w:rPr>
        <w:t xml:space="preserve">by </w:t>
      </w:r>
      <w:r w:rsidR="00C65CC1" w:rsidRPr="00CE1CAD">
        <w:rPr>
          <w:lang w:val="en-GB"/>
        </w:rPr>
        <w:t>post with his wife falsely marked as the sender. The</w:t>
      </w:r>
      <w:r w:rsidR="0083164F" w:rsidRPr="00CE1CAD">
        <w:rPr>
          <w:lang w:val="en-GB"/>
        </w:rPr>
        <w:t xml:space="preserve"> death threats</w:t>
      </w:r>
      <w:r w:rsidR="00C65CC1" w:rsidRPr="00CE1CAD">
        <w:rPr>
          <w:lang w:val="en-GB"/>
        </w:rPr>
        <w:t xml:space="preserve"> were addressed to him personally, in English </w:t>
      </w:r>
      <w:r w:rsidR="0083164F" w:rsidRPr="00CE1CAD">
        <w:rPr>
          <w:lang w:val="en-GB"/>
        </w:rPr>
        <w:t xml:space="preserve">and </w:t>
      </w:r>
      <w:r w:rsidR="00C65CC1" w:rsidRPr="00CE1CAD">
        <w:rPr>
          <w:lang w:val="en-GB"/>
        </w:rPr>
        <w:t>of an anti-Semitic nature, since they made direct references to his Jewish faith. Furthermore, the second letter was posted from the address of a Jewish cemetery in the sta</w:t>
      </w:r>
      <w:r w:rsidR="00593932" w:rsidRPr="00CE1CAD">
        <w:rPr>
          <w:lang w:val="en-GB"/>
        </w:rPr>
        <w:t xml:space="preserve">te </w:t>
      </w:r>
      <w:r w:rsidR="00F817B1" w:rsidRPr="00CE1CAD">
        <w:rPr>
          <w:lang w:val="en-GB"/>
        </w:rPr>
        <w:t>to</w:t>
      </w:r>
      <w:r w:rsidR="00593932" w:rsidRPr="00CE1CAD">
        <w:rPr>
          <w:lang w:val="en-GB"/>
        </w:rPr>
        <w:t xml:space="preserve"> which </w:t>
      </w:r>
      <w:r w:rsidR="00C65CC1" w:rsidRPr="00CE1CAD">
        <w:rPr>
          <w:lang w:val="en-GB"/>
        </w:rPr>
        <w:t xml:space="preserve">he is requested to be extradited. </w:t>
      </w:r>
      <w:r w:rsidR="00593932" w:rsidRPr="00CE1CAD">
        <w:rPr>
          <w:lang w:val="en-GB"/>
        </w:rPr>
        <w:t xml:space="preserve">The complainant submits that he presented </w:t>
      </w:r>
      <w:r w:rsidR="0083164F" w:rsidRPr="00CE1CAD">
        <w:rPr>
          <w:lang w:val="en-GB"/>
        </w:rPr>
        <w:t xml:space="preserve">this evidence </w:t>
      </w:r>
      <w:r w:rsidR="00593932" w:rsidRPr="00CE1CAD">
        <w:rPr>
          <w:lang w:val="en-GB"/>
        </w:rPr>
        <w:t>on both occasions to the prison guards and subsequently filed criminal charges with the State party</w:t>
      </w:r>
      <w:r w:rsidR="00A35755" w:rsidRPr="00CE1CAD">
        <w:rPr>
          <w:lang w:val="en-GB"/>
        </w:rPr>
        <w:t>’s</w:t>
      </w:r>
      <w:r w:rsidR="00593932" w:rsidRPr="00CE1CAD">
        <w:rPr>
          <w:lang w:val="en-GB"/>
        </w:rPr>
        <w:t xml:space="preserve"> police in the fall of 2014. He was called upon to give witness testimony by the police only six months later, on 3 April 2015. Furthermore, he has petitioned the State party to request mutual legal assistance from the </w:t>
      </w:r>
      <w:r w:rsidR="0014145F" w:rsidRPr="00CE1CAD">
        <w:rPr>
          <w:lang w:val="en-GB"/>
        </w:rPr>
        <w:t>United States</w:t>
      </w:r>
      <w:r w:rsidR="00593932" w:rsidRPr="00CE1CAD">
        <w:rPr>
          <w:lang w:val="en-GB"/>
        </w:rPr>
        <w:t xml:space="preserve"> in order to investigate the death threats, but his formal request was rejected.</w:t>
      </w:r>
      <w:r w:rsidR="0069582F" w:rsidRPr="00CE1CAD">
        <w:rPr>
          <w:lang w:val="en-GB"/>
        </w:rPr>
        <w:t xml:space="preserve"> On 17 April 2015, his complaint </w:t>
      </w:r>
      <w:r w:rsidR="0083164F" w:rsidRPr="00CE1CAD">
        <w:rPr>
          <w:lang w:val="en-GB"/>
        </w:rPr>
        <w:t xml:space="preserve">was </w:t>
      </w:r>
      <w:r w:rsidR="0069582F" w:rsidRPr="00CE1CAD">
        <w:rPr>
          <w:lang w:val="en-GB"/>
        </w:rPr>
        <w:t>dismissed by the Budapest police</w:t>
      </w:r>
      <w:r w:rsidR="0083164F" w:rsidRPr="00CE1CAD">
        <w:rPr>
          <w:lang w:val="en-GB"/>
        </w:rPr>
        <w:t>,</w:t>
      </w:r>
      <w:r w:rsidR="0069582F" w:rsidRPr="00CE1CAD">
        <w:rPr>
          <w:lang w:val="en-GB"/>
        </w:rPr>
        <w:t xml:space="preserve"> </w:t>
      </w:r>
      <w:r w:rsidR="0083164F" w:rsidRPr="00CE1CAD">
        <w:rPr>
          <w:lang w:val="en-GB"/>
        </w:rPr>
        <w:t xml:space="preserve">on the grounds that </w:t>
      </w:r>
      <w:r w:rsidR="0069582F" w:rsidRPr="00CE1CAD">
        <w:rPr>
          <w:lang w:val="en-GB"/>
        </w:rPr>
        <w:t xml:space="preserve">there </w:t>
      </w:r>
      <w:r w:rsidR="0083164F" w:rsidRPr="00CE1CAD">
        <w:rPr>
          <w:lang w:val="en-GB"/>
        </w:rPr>
        <w:t xml:space="preserve">was </w:t>
      </w:r>
      <w:r w:rsidR="0069582F" w:rsidRPr="00CE1CAD">
        <w:rPr>
          <w:lang w:val="en-GB"/>
        </w:rPr>
        <w:t xml:space="preserve">no realistic possibility of establishing the perpetrator of the crime. He was informed that the Budapest police </w:t>
      </w:r>
      <w:r w:rsidR="0083164F" w:rsidRPr="00CE1CAD">
        <w:rPr>
          <w:lang w:val="en-GB"/>
        </w:rPr>
        <w:t xml:space="preserve">has </w:t>
      </w:r>
      <w:r w:rsidR="0069582F" w:rsidRPr="00CE1CAD">
        <w:rPr>
          <w:lang w:val="en-GB"/>
        </w:rPr>
        <w:t xml:space="preserve">not been contacted by the competent authorities of the </w:t>
      </w:r>
      <w:r w:rsidR="0014145F" w:rsidRPr="00CE1CAD">
        <w:rPr>
          <w:lang w:val="en-GB"/>
        </w:rPr>
        <w:t>United States</w:t>
      </w:r>
      <w:r w:rsidR="0069582F" w:rsidRPr="00CE1CAD">
        <w:rPr>
          <w:lang w:val="en-GB"/>
        </w:rPr>
        <w:t xml:space="preserve"> regarding </w:t>
      </w:r>
      <w:r w:rsidR="0083164F" w:rsidRPr="00CE1CAD">
        <w:rPr>
          <w:lang w:val="en-GB"/>
        </w:rPr>
        <w:t xml:space="preserve">the </w:t>
      </w:r>
      <w:r w:rsidR="0069582F" w:rsidRPr="00CE1CAD">
        <w:rPr>
          <w:lang w:val="en-GB"/>
        </w:rPr>
        <w:t xml:space="preserve">matter. </w:t>
      </w:r>
      <w:r w:rsidR="003A587C" w:rsidRPr="00CE1CAD">
        <w:rPr>
          <w:lang w:val="en-GB"/>
        </w:rPr>
        <w:t xml:space="preserve">On 5 May 2015, he </w:t>
      </w:r>
      <w:r w:rsidR="0064477C" w:rsidRPr="00CE1CAD">
        <w:rPr>
          <w:lang w:val="en-GB"/>
        </w:rPr>
        <w:t xml:space="preserve">lodged </w:t>
      </w:r>
      <w:r w:rsidR="003A587C" w:rsidRPr="00CE1CAD">
        <w:rPr>
          <w:lang w:val="en-GB"/>
        </w:rPr>
        <w:t xml:space="preserve">a complaint against the </w:t>
      </w:r>
      <w:r w:rsidR="0064477C" w:rsidRPr="00CE1CAD">
        <w:rPr>
          <w:lang w:val="en-GB"/>
        </w:rPr>
        <w:t xml:space="preserve">decision of the </w:t>
      </w:r>
      <w:r w:rsidR="003A587C" w:rsidRPr="00CE1CAD">
        <w:rPr>
          <w:lang w:val="en-GB"/>
        </w:rPr>
        <w:t>police</w:t>
      </w:r>
      <w:r w:rsidR="0064477C" w:rsidRPr="00CE1CAD">
        <w:rPr>
          <w:lang w:val="en-GB"/>
        </w:rPr>
        <w:t>.</w:t>
      </w:r>
      <w:r w:rsidR="003A587C" w:rsidRPr="00CE1CAD">
        <w:rPr>
          <w:lang w:val="en-GB"/>
        </w:rPr>
        <w:t xml:space="preserve"> </w:t>
      </w:r>
    </w:p>
    <w:p w14:paraId="508F681E" w14:textId="77777777" w:rsidR="00CD2DC4" w:rsidRPr="00CE1CAD" w:rsidRDefault="00593932" w:rsidP="00CE1CAD">
      <w:pPr>
        <w:pStyle w:val="SingleTxtG"/>
      </w:pPr>
      <w:r w:rsidRPr="00CE1CAD">
        <w:rPr>
          <w:lang w:val="en-GB"/>
        </w:rPr>
        <w:t>5.4</w:t>
      </w:r>
      <w:r w:rsidRPr="00CE1CAD">
        <w:rPr>
          <w:lang w:val="en-GB"/>
        </w:rPr>
        <w:tab/>
      </w:r>
      <w:r w:rsidR="00723E7C" w:rsidRPr="00CE1CAD">
        <w:rPr>
          <w:lang w:val="en-GB"/>
        </w:rPr>
        <w:t xml:space="preserve">He maintains that he has provided expert forensic psychiatric evidence that his condition of </w:t>
      </w:r>
      <w:r w:rsidR="00884B63" w:rsidRPr="00CE1CAD">
        <w:rPr>
          <w:lang w:val="en-GB"/>
        </w:rPr>
        <w:t>post-traumatic stress disorder</w:t>
      </w:r>
      <w:r w:rsidR="00723E7C" w:rsidRPr="00CE1CAD">
        <w:rPr>
          <w:lang w:val="en-GB"/>
        </w:rPr>
        <w:t xml:space="preserve"> is a direct consequence of the mistreatment </w:t>
      </w:r>
      <w:r w:rsidR="00950A6D" w:rsidRPr="00CE1CAD">
        <w:rPr>
          <w:lang w:val="en-GB"/>
        </w:rPr>
        <w:t>and torture that he was submitted to while in</w:t>
      </w:r>
      <w:r w:rsidR="00723E7C" w:rsidRPr="00CE1CAD">
        <w:rPr>
          <w:lang w:val="en-GB"/>
        </w:rPr>
        <w:t xml:space="preserve"> </w:t>
      </w:r>
      <w:r w:rsidR="0014145F" w:rsidRPr="00CE1CAD">
        <w:rPr>
          <w:lang w:val="en-GB"/>
        </w:rPr>
        <w:t>United States</w:t>
      </w:r>
      <w:r w:rsidR="00950A6D" w:rsidRPr="00CE1CAD">
        <w:rPr>
          <w:lang w:val="en-GB"/>
        </w:rPr>
        <w:t xml:space="preserve"> custody. </w:t>
      </w:r>
    </w:p>
    <w:p w14:paraId="289A2383" w14:textId="77777777" w:rsidR="00692F5A" w:rsidRPr="00CE1CAD" w:rsidRDefault="00692F5A" w:rsidP="0083164F">
      <w:pPr>
        <w:pStyle w:val="SingleTxtG"/>
        <w:rPr>
          <w:lang w:val="en-GB"/>
        </w:rPr>
      </w:pPr>
      <w:r w:rsidRPr="00CE1CAD">
        <w:rPr>
          <w:lang w:val="en-GB"/>
        </w:rPr>
        <w:t>5.5</w:t>
      </w:r>
      <w:r w:rsidRPr="00CE1CAD">
        <w:rPr>
          <w:lang w:val="en-GB"/>
        </w:rPr>
        <w:tab/>
        <w:t>On 15 April 2015, the Metropolitan Court extended the complainant’s detention</w:t>
      </w:r>
      <w:r w:rsidR="0083164F" w:rsidRPr="00CE1CAD">
        <w:rPr>
          <w:lang w:val="en-GB"/>
        </w:rPr>
        <w:t>,</w:t>
      </w:r>
      <w:r w:rsidRPr="00CE1CAD">
        <w:rPr>
          <w:lang w:val="en-GB"/>
        </w:rPr>
        <w:t xml:space="preserve"> taking into consideration the Committee’s request for interim measures of protection. </w:t>
      </w:r>
    </w:p>
    <w:p w14:paraId="3C511F8C" w14:textId="77777777" w:rsidR="00171B58" w:rsidRPr="00CE1CAD" w:rsidRDefault="00171B58" w:rsidP="00CE1CAD">
      <w:pPr>
        <w:pStyle w:val="SingleTxtG"/>
      </w:pPr>
      <w:r w:rsidRPr="00CE1CAD">
        <w:rPr>
          <w:lang w:val="en-GB"/>
        </w:rPr>
        <w:lastRenderedPageBreak/>
        <w:t>5.6</w:t>
      </w:r>
      <w:r w:rsidRPr="00CE1CAD">
        <w:rPr>
          <w:lang w:val="en-GB"/>
        </w:rPr>
        <w:tab/>
        <w:t xml:space="preserve">The complainant further complains that his rights under article 16 of the Convention had been violated by the State party. </w:t>
      </w:r>
    </w:p>
    <w:p w14:paraId="0F34183A" w14:textId="77777777" w:rsidR="007A1B5B" w:rsidRPr="00CE1CAD" w:rsidRDefault="00F45CC1" w:rsidP="00CE1CAD">
      <w:pPr>
        <w:pStyle w:val="H23G"/>
      </w:pPr>
      <w:r w:rsidRPr="00CE1CAD">
        <w:tab/>
      </w:r>
      <w:r w:rsidRPr="00CE1CAD">
        <w:tab/>
      </w:r>
      <w:r w:rsidR="004876DE" w:rsidRPr="00CE1CAD">
        <w:t xml:space="preserve">State party’s </w:t>
      </w:r>
      <w:r w:rsidR="001026C6" w:rsidRPr="00CE1CAD">
        <w:t xml:space="preserve">further </w:t>
      </w:r>
      <w:r w:rsidR="004876DE" w:rsidRPr="00CE1CAD">
        <w:t>observations on admissibility</w:t>
      </w:r>
      <w:r w:rsidR="00F8456D" w:rsidRPr="00CE1CAD">
        <w:t xml:space="preserve"> and </w:t>
      </w:r>
      <w:r w:rsidR="001026C6" w:rsidRPr="00CE1CAD">
        <w:t xml:space="preserve">on the </w:t>
      </w:r>
      <w:r w:rsidR="00F8456D" w:rsidRPr="00CE1CAD">
        <w:t>merits</w:t>
      </w:r>
    </w:p>
    <w:p w14:paraId="5C921ECB" w14:textId="77777777" w:rsidR="00D90AEF" w:rsidRPr="00CE1CAD" w:rsidRDefault="006E686B" w:rsidP="00CE1CAD">
      <w:pPr>
        <w:pStyle w:val="SingleTxtG"/>
      </w:pPr>
      <w:r w:rsidRPr="00CE1CAD">
        <w:rPr>
          <w:lang w:val="en-GB"/>
        </w:rPr>
        <w:t>6</w:t>
      </w:r>
      <w:r w:rsidR="00CD4B6E" w:rsidRPr="00CE1CAD">
        <w:rPr>
          <w:lang w:val="en-GB"/>
        </w:rPr>
        <w:t>.1</w:t>
      </w:r>
      <w:r w:rsidR="00CD4B6E" w:rsidRPr="00CE1CAD">
        <w:rPr>
          <w:b/>
          <w:lang w:val="en-GB"/>
        </w:rPr>
        <w:tab/>
      </w:r>
      <w:r w:rsidR="00C81CE4" w:rsidRPr="00CE1CAD">
        <w:rPr>
          <w:lang w:val="en-GB"/>
        </w:rPr>
        <w:t xml:space="preserve">On </w:t>
      </w:r>
      <w:r w:rsidRPr="00CE1CAD">
        <w:rPr>
          <w:lang w:val="en-GB"/>
        </w:rPr>
        <w:t xml:space="preserve">3 August </w:t>
      </w:r>
      <w:r w:rsidR="00CD4B6E" w:rsidRPr="00CE1CAD">
        <w:rPr>
          <w:lang w:val="en-GB"/>
        </w:rPr>
        <w:t>201</w:t>
      </w:r>
      <w:r w:rsidRPr="00CE1CAD">
        <w:rPr>
          <w:lang w:val="en-GB"/>
        </w:rPr>
        <w:t>5</w:t>
      </w:r>
      <w:r w:rsidR="00CD4B6E" w:rsidRPr="00CE1CAD">
        <w:rPr>
          <w:lang w:val="en-GB"/>
        </w:rPr>
        <w:t xml:space="preserve">, </w:t>
      </w:r>
      <w:r w:rsidR="001C018C" w:rsidRPr="00CE1CAD">
        <w:rPr>
          <w:lang w:val="en-GB"/>
        </w:rPr>
        <w:t xml:space="preserve">the State party </w:t>
      </w:r>
      <w:r w:rsidR="00C81CE4" w:rsidRPr="00CE1CAD">
        <w:rPr>
          <w:lang w:val="en-GB"/>
        </w:rPr>
        <w:t>submit</w:t>
      </w:r>
      <w:r w:rsidR="00BD1E1A" w:rsidRPr="00CE1CAD">
        <w:rPr>
          <w:lang w:val="en-GB"/>
        </w:rPr>
        <w:t>ted</w:t>
      </w:r>
      <w:r w:rsidR="00C81CE4" w:rsidRPr="00CE1CAD">
        <w:rPr>
          <w:lang w:val="en-GB"/>
        </w:rPr>
        <w:t xml:space="preserve"> its observations on the merits of the complaint</w:t>
      </w:r>
      <w:r w:rsidR="0014581F" w:rsidRPr="00CE1CAD">
        <w:rPr>
          <w:lang w:val="en-GB"/>
        </w:rPr>
        <w:t xml:space="preserve"> and </w:t>
      </w:r>
      <w:r w:rsidR="00A35755" w:rsidRPr="00CE1CAD">
        <w:rPr>
          <w:lang w:val="en-GB"/>
        </w:rPr>
        <w:t>reiterate</w:t>
      </w:r>
      <w:r w:rsidR="00BD1E1A" w:rsidRPr="00CE1CAD">
        <w:rPr>
          <w:lang w:val="en-GB"/>
        </w:rPr>
        <w:t>d</w:t>
      </w:r>
      <w:r w:rsidR="00DF0508" w:rsidRPr="00CE1CAD">
        <w:rPr>
          <w:lang w:val="en-GB"/>
        </w:rPr>
        <w:t xml:space="preserve"> th</w:t>
      </w:r>
      <w:r w:rsidR="0014581F" w:rsidRPr="00CE1CAD">
        <w:rPr>
          <w:lang w:val="en-GB"/>
        </w:rPr>
        <w:t xml:space="preserve">e information provided in its observations on admissibility, notably that </w:t>
      </w:r>
      <w:r w:rsidR="00DF0508" w:rsidRPr="00CE1CAD">
        <w:rPr>
          <w:lang w:val="en-GB"/>
        </w:rPr>
        <w:t>substantially the same application ha</w:t>
      </w:r>
      <w:r w:rsidR="00BD1E1A" w:rsidRPr="00CE1CAD">
        <w:rPr>
          <w:lang w:val="en-GB"/>
        </w:rPr>
        <w:t>d</w:t>
      </w:r>
      <w:r w:rsidR="00DF0508" w:rsidRPr="00CE1CAD">
        <w:rPr>
          <w:lang w:val="en-GB"/>
        </w:rPr>
        <w:t xml:space="preserve"> been submitted by the same complainant</w:t>
      </w:r>
      <w:r w:rsidR="0014581F" w:rsidRPr="00CE1CAD">
        <w:rPr>
          <w:lang w:val="en-GB"/>
        </w:rPr>
        <w:t xml:space="preserve"> to the </w:t>
      </w:r>
      <w:r w:rsidR="00077961" w:rsidRPr="00CE1CAD">
        <w:rPr>
          <w:lang w:val="en-GB"/>
        </w:rPr>
        <w:t xml:space="preserve">European </w:t>
      </w:r>
      <w:r w:rsidR="0014581F" w:rsidRPr="00CE1CAD">
        <w:rPr>
          <w:lang w:val="en-GB"/>
        </w:rPr>
        <w:t>Court</w:t>
      </w:r>
      <w:r w:rsidR="00077961" w:rsidRPr="00CE1CAD">
        <w:rPr>
          <w:lang w:val="en-GB"/>
        </w:rPr>
        <w:t xml:space="preserve"> </w:t>
      </w:r>
      <w:r w:rsidR="00BD1E1A" w:rsidRPr="00CE1CAD">
        <w:rPr>
          <w:lang w:val="en-GB"/>
        </w:rPr>
        <w:t xml:space="preserve">of </w:t>
      </w:r>
      <w:r w:rsidR="00077961" w:rsidRPr="00CE1CAD">
        <w:rPr>
          <w:lang w:val="en-GB"/>
        </w:rPr>
        <w:t>Human Rights</w:t>
      </w:r>
      <w:r w:rsidR="00BD1E1A" w:rsidRPr="00CE1CAD">
        <w:rPr>
          <w:lang w:val="en-GB"/>
        </w:rPr>
        <w:t>,</w:t>
      </w:r>
      <w:r w:rsidR="00DF0508" w:rsidRPr="00CE1CAD">
        <w:rPr>
          <w:lang w:val="en-GB"/>
        </w:rPr>
        <w:t xml:space="preserve"> </w:t>
      </w:r>
      <w:r w:rsidR="00BD1E1A" w:rsidRPr="00CE1CAD">
        <w:rPr>
          <w:lang w:val="en-GB"/>
        </w:rPr>
        <w:t xml:space="preserve">in which he </w:t>
      </w:r>
      <w:r w:rsidR="00DF0508" w:rsidRPr="00CE1CAD">
        <w:rPr>
          <w:lang w:val="en-GB"/>
        </w:rPr>
        <w:t>also request</w:t>
      </w:r>
      <w:r w:rsidR="00BD1E1A" w:rsidRPr="00CE1CAD">
        <w:rPr>
          <w:lang w:val="en-GB"/>
        </w:rPr>
        <w:t>ed</w:t>
      </w:r>
      <w:r w:rsidR="00DF0508" w:rsidRPr="00CE1CAD">
        <w:rPr>
          <w:lang w:val="en-GB"/>
        </w:rPr>
        <w:t xml:space="preserve"> the order of an interim measure not to </w:t>
      </w:r>
      <w:r w:rsidR="0014581F" w:rsidRPr="00CE1CAD">
        <w:rPr>
          <w:lang w:val="en-GB"/>
        </w:rPr>
        <w:t xml:space="preserve">be </w:t>
      </w:r>
      <w:r w:rsidR="00DF0508" w:rsidRPr="00CE1CAD">
        <w:rPr>
          <w:lang w:val="en-GB"/>
        </w:rPr>
        <w:t>extradite</w:t>
      </w:r>
      <w:r w:rsidR="0014581F" w:rsidRPr="00CE1CAD">
        <w:rPr>
          <w:lang w:val="en-GB"/>
        </w:rPr>
        <w:t>d</w:t>
      </w:r>
      <w:r w:rsidR="00DF0508" w:rsidRPr="00CE1CAD">
        <w:rPr>
          <w:lang w:val="en-GB"/>
        </w:rPr>
        <w:t xml:space="preserve"> to the </w:t>
      </w:r>
      <w:r w:rsidR="0014145F" w:rsidRPr="00CE1CAD">
        <w:rPr>
          <w:lang w:val="en-GB"/>
        </w:rPr>
        <w:t>United States</w:t>
      </w:r>
      <w:r w:rsidR="00077961" w:rsidRPr="00CE1CAD">
        <w:rPr>
          <w:lang w:val="en-GB"/>
        </w:rPr>
        <w:t xml:space="preserve"> (see para 4.1</w:t>
      </w:r>
      <w:r w:rsidR="00BD1E1A" w:rsidRPr="00CE1CAD">
        <w:rPr>
          <w:lang w:val="en-GB"/>
        </w:rPr>
        <w:t xml:space="preserve"> above</w:t>
      </w:r>
      <w:r w:rsidR="00077961" w:rsidRPr="00CE1CAD">
        <w:rPr>
          <w:lang w:val="en-GB"/>
        </w:rPr>
        <w:t>)</w:t>
      </w:r>
      <w:r w:rsidR="00DF0508" w:rsidRPr="00CE1CAD">
        <w:rPr>
          <w:lang w:val="en-GB"/>
        </w:rPr>
        <w:t xml:space="preserve">. </w:t>
      </w:r>
      <w:r w:rsidR="00BD1E1A" w:rsidRPr="00CE1CAD">
        <w:rPr>
          <w:lang w:val="en-GB"/>
        </w:rPr>
        <w:t xml:space="preserve">The State party </w:t>
      </w:r>
      <w:r w:rsidR="00D90AEF" w:rsidRPr="00CE1CAD">
        <w:rPr>
          <w:lang w:val="en-GB"/>
        </w:rPr>
        <w:t>note</w:t>
      </w:r>
      <w:r w:rsidR="00BD1E1A" w:rsidRPr="00CE1CAD">
        <w:rPr>
          <w:lang w:val="en-GB"/>
        </w:rPr>
        <w:t>d</w:t>
      </w:r>
      <w:r w:rsidR="00D90AEF" w:rsidRPr="00CE1CAD">
        <w:rPr>
          <w:lang w:val="en-GB"/>
        </w:rPr>
        <w:t xml:space="preserve"> the decision of the Committee not to consider the issue of admissibility separately from the merits, </w:t>
      </w:r>
      <w:r w:rsidR="00A06F0F" w:rsidRPr="00CE1CAD">
        <w:rPr>
          <w:lang w:val="en-GB"/>
        </w:rPr>
        <w:t xml:space="preserve">presumably </w:t>
      </w:r>
      <w:r w:rsidR="0014581F" w:rsidRPr="00CE1CAD">
        <w:rPr>
          <w:lang w:val="en-GB"/>
        </w:rPr>
        <w:t xml:space="preserve">on the </w:t>
      </w:r>
      <w:r w:rsidR="00BD1E1A" w:rsidRPr="00CE1CAD">
        <w:rPr>
          <w:lang w:val="en-GB"/>
        </w:rPr>
        <w:t xml:space="preserve">basis </w:t>
      </w:r>
      <w:r w:rsidR="00D90AEF" w:rsidRPr="00CE1CAD">
        <w:rPr>
          <w:lang w:val="en-GB"/>
        </w:rPr>
        <w:t>that the decision delivered by the</w:t>
      </w:r>
      <w:r w:rsidR="009236AA" w:rsidRPr="00CE1CAD">
        <w:rPr>
          <w:lang w:val="en-GB"/>
        </w:rPr>
        <w:t xml:space="preserve"> </w:t>
      </w:r>
      <w:r w:rsidR="00285009" w:rsidRPr="00CE1CAD">
        <w:rPr>
          <w:lang w:val="en-GB"/>
        </w:rPr>
        <w:t xml:space="preserve">European </w:t>
      </w:r>
      <w:r w:rsidR="009236AA" w:rsidRPr="00CE1CAD">
        <w:rPr>
          <w:lang w:val="en-GB"/>
        </w:rPr>
        <w:t>Court</w:t>
      </w:r>
      <w:r w:rsidR="00285009" w:rsidRPr="00CE1CAD">
        <w:rPr>
          <w:lang w:val="en-GB"/>
        </w:rPr>
        <w:t xml:space="preserve"> of Human Rights</w:t>
      </w:r>
      <w:r w:rsidR="00D90AEF" w:rsidRPr="00CE1CAD">
        <w:rPr>
          <w:lang w:val="en-GB"/>
        </w:rPr>
        <w:t xml:space="preserve"> is of a procedural nature and not a decision on the merits. The State party does not contest that a mere procedural decision by another international body may not prevent a complaint from being declared admissible by the Committee. Nevertheless, it argues that a decision on the issue of admissibility by the </w:t>
      </w:r>
      <w:r w:rsidR="009236AA" w:rsidRPr="00CE1CAD">
        <w:rPr>
          <w:lang w:val="en-GB"/>
        </w:rPr>
        <w:t xml:space="preserve">Court </w:t>
      </w:r>
      <w:r w:rsidR="00D90AEF" w:rsidRPr="00CE1CAD">
        <w:rPr>
          <w:lang w:val="en-GB"/>
        </w:rPr>
        <w:t xml:space="preserve">in no way suggests that the presented case has </w:t>
      </w:r>
      <w:r w:rsidR="009236AA" w:rsidRPr="00CE1CAD">
        <w:rPr>
          <w:lang w:val="en-GB"/>
        </w:rPr>
        <w:t xml:space="preserve">not been examined on the merits. The State party maintains that the Court may declare an application inadmissible on the basis of </w:t>
      </w:r>
      <w:r w:rsidR="001026C6" w:rsidRPr="00CE1CAD">
        <w:rPr>
          <w:lang w:val="en-GB"/>
        </w:rPr>
        <w:t xml:space="preserve">it being </w:t>
      </w:r>
      <w:r w:rsidR="009236AA" w:rsidRPr="00CE1CAD">
        <w:rPr>
          <w:lang w:val="en-GB"/>
        </w:rPr>
        <w:t xml:space="preserve">manifestly ill-founded even in cases where a complaint is compatible with the European Convention on Human Rights and all formal/procedural criteria have been met. Such </w:t>
      </w:r>
      <w:r w:rsidR="00BD1E1A" w:rsidRPr="00CE1CAD">
        <w:rPr>
          <w:lang w:val="en-GB"/>
        </w:rPr>
        <w:t xml:space="preserve">a </w:t>
      </w:r>
      <w:r w:rsidR="009236AA" w:rsidRPr="00CE1CAD">
        <w:rPr>
          <w:lang w:val="en-GB"/>
        </w:rPr>
        <w:t>decision necessarily presupposes an examination on the merits of the case even according to the Court’s own interpretation.</w:t>
      </w:r>
      <w:r w:rsidR="00851CF2" w:rsidRPr="00CE1CAD">
        <w:rPr>
          <w:lang w:val="en-GB"/>
        </w:rPr>
        <w:t xml:space="preserve"> Given that none of the documents issued by the Registrar of the Court indicates the specific reason for the inadmissibility decision, the State party observes that it </w:t>
      </w:r>
      <w:r w:rsidR="00BD1E1A" w:rsidRPr="00CE1CAD">
        <w:rPr>
          <w:lang w:val="en-GB"/>
        </w:rPr>
        <w:t xml:space="preserve">cannot </w:t>
      </w:r>
      <w:r w:rsidR="00851CF2" w:rsidRPr="00CE1CAD">
        <w:rPr>
          <w:lang w:val="en-GB"/>
        </w:rPr>
        <w:t xml:space="preserve">be </w:t>
      </w:r>
      <w:r w:rsidR="001026C6" w:rsidRPr="00CE1CAD">
        <w:rPr>
          <w:lang w:val="en-GB"/>
        </w:rPr>
        <w:t>excluded</w:t>
      </w:r>
      <w:r w:rsidR="001C5D20" w:rsidRPr="00CE1CAD">
        <w:rPr>
          <w:lang w:val="en-GB"/>
        </w:rPr>
        <w:t xml:space="preserve"> </w:t>
      </w:r>
      <w:r w:rsidR="00BD1E1A" w:rsidRPr="00CE1CAD">
        <w:rPr>
          <w:lang w:val="en-GB"/>
        </w:rPr>
        <w:t xml:space="preserve">that </w:t>
      </w:r>
      <w:r w:rsidR="001C5D20" w:rsidRPr="00CE1CAD">
        <w:rPr>
          <w:lang w:val="en-GB"/>
        </w:rPr>
        <w:t xml:space="preserve">it </w:t>
      </w:r>
      <w:r w:rsidR="00BD1E1A" w:rsidRPr="00CE1CAD">
        <w:rPr>
          <w:lang w:val="en-GB"/>
        </w:rPr>
        <w:t xml:space="preserve">was due to </w:t>
      </w:r>
      <w:r w:rsidR="001C5D20" w:rsidRPr="00CE1CAD">
        <w:rPr>
          <w:lang w:val="en-GB"/>
        </w:rPr>
        <w:t>a decision on the merits (</w:t>
      </w:r>
      <w:r w:rsidR="00BD1E1A" w:rsidRPr="00CE1CAD">
        <w:rPr>
          <w:lang w:val="en-GB"/>
        </w:rPr>
        <w:t xml:space="preserve">i.e. that the complaint was </w:t>
      </w:r>
      <w:r w:rsidR="001C5D20" w:rsidRPr="00CE1CAD">
        <w:rPr>
          <w:lang w:val="en-GB"/>
        </w:rPr>
        <w:t>manifestly ill-founded). The State party refers to the jurisprudence of the Committee,</w:t>
      </w:r>
      <w:r w:rsidR="000D3E0B" w:rsidRPr="00CE1CAD">
        <w:rPr>
          <w:rStyle w:val="FootnoteReference"/>
          <w:lang w:val="en-GB"/>
        </w:rPr>
        <w:footnoteReference w:id="12"/>
      </w:r>
      <w:r w:rsidR="001C5D20" w:rsidRPr="00CE1CAD">
        <w:rPr>
          <w:lang w:val="en-GB"/>
        </w:rPr>
        <w:t xml:space="preserve"> </w:t>
      </w:r>
      <w:r w:rsidR="004E4779" w:rsidRPr="00CE1CAD">
        <w:rPr>
          <w:lang w:val="en-GB"/>
        </w:rPr>
        <w:t xml:space="preserve">in which it </w:t>
      </w:r>
      <w:r w:rsidR="001C5D20" w:rsidRPr="00CE1CAD">
        <w:rPr>
          <w:lang w:val="en-GB"/>
        </w:rPr>
        <w:t xml:space="preserve">declared the complaint inadmissible on the basis of an inadmissibility decision of the Court. </w:t>
      </w:r>
      <w:r w:rsidR="00BA535D" w:rsidRPr="00CE1CAD">
        <w:rPr>
          <w:lang w:val="en-GB"/>
        </w:rPr>
        <w:t>The State party concludes that the complaint should be dismissed under article 22</w:t>
      </w:r>
      <w:r w:rsidR="004E4779" w:rsidRPr="00CE1CAD">
        <w:rPr>
          <w:lang w:val="en-GB"/>
        </w:rPr>
        <w:t xml:space="preserve"> (</w:t>
      </w:r>
      <w:r w:rsidR="00BA535D" w:rsidRPr="00CE1CAD">
        <w:rPr>
          <w:lang w:val="en-GB"/>
        </w:rPr>
        <w:t>5</w:t>
      </w:r>
      <w:r w:rsidR="004E4779" w:rsidRPr="00CE1CAD">
        <w:rPr>
          <w:lang w:val="en-GB"/>
        </w:rPr>
        <w:t>)</w:t>
      </w:r>
      <w:r w:rsidR="00BA535D" w:rsidRPr="00CE1CAD">
        <w:rPr>
          <w:lang w:val="en-GB"/>
        </w:rPr>
        <w:t xml:space="preserve"> (a) of the Convention. </w:t>
      </w:r>
    </w:p>
    <w:p w14:paraId="6CB434A6" w14:textId="77777777" w:rsidR="001C5D20" w:rsidRPr="00CE1CAD" w:rsidRDefault="001C5D20">
      <w:pPr>
        <w:pStyle w:val="SingleTxtG"/>
        <w:rPr>
          <w:lang w:val="en-GB"/>
        </w:rPr>
      </w:pPr>
      <w:r w:rsidRPr="00CE1CAD">
        <w:rPr>
          <w:lang w:val="en-GB"/>
        </w:rPr>
        <w:t>6.2</w:t>
      </w:r>
      <w:r w:rsidRPr="00CE1CAD">
        <w:rPr>
          <w:lang w:val="en-GB"/>
        </w:rPr>
        <w:tab/>
      </w:r>
      <w:r w:rsidR="00D02048" w:rsidRPr="00CE1CAD">
        <w:rPr>
          <w:lang w:val="en-GB"/>
        </w:rPr>
        <w:t>R</w:t>
      </w:r>
      <w:r w:rsidR="0014581F" w:rsidRPr="00CE1CAD">
        <w:rPr>
          <w:lang w:val="en-GB"/>
        </w:rPr>
        <w:t xml:space="preserve">egarding the allegations of </w:t>
      </w:r>
      <w:r w:rsidR="00A06F0F" w:rsidRPr="00CE1CAD">
        <w:rPr>
          <w:lang w:val="en-GB"/>
        </w:rPr>
        <w:t xml:space="preserve">past </w:t>
      </w:r>
      <w:r w:rsidR="0014581F" w:rsidRPr="00CE1CAD">
        <w:rPr>
          <w:lang w:val="en-GB"/>
        </w:rPr>
        <w:t xml:space="preserve">torture, </w:t>
      </w:r>
      <w:r w:rsidRPr="00CE1CAD">
        <w:rPr>
          <w:lang w:val="en-GB"/>
        </w:rPr>
        <w:t xml:space="preserve">the State party </w:t>
      </w:r>
      <w:r w:rsidR="00A362EF" w:rsidRPr="00CE1CAD">
        <w:rPr>
          <w:lang w:val="en-GB"/>
        </w:rPr>
        <w:t>argue</w:t>
      </w:r>
      <w:r w:rsidR="00F90B16" w:rsidRPr="00CE1CAD">
        <w:rPr>
          <w:lang w:val="en-GB"/>
        </w:rPr>
        <w:t>s</w:t>
      </w:r>
      <w:r w:rsidR="00A362EF" w:rsidRPr="00CE1CAD">
        <w:rPr>
          <w:lang w:val="en-GB"/>
        </w:rPr>
        <w:t xml:space="preserve"> that</w:t>
      </w:r>
      <w:r w:rsidR="00712ED9" w:rsidRPr="00CE1CAD">
        <w:rPr>
          <w:lang w:val="en-GB"/>
        </w:rPr>
        <w:t xml:space="preserve"> the complainant failed to present a </w:t>
      </w:r>
      <w:r w:rsidR="00712ED9" w:rsidRPr="00CE1CAD">
        <w:rPr>
          <w:iCs/>
          <w:lang w:val="en-GB"/>
        </w:rPr>
        <w:t>prima facie</w:t>
      </w:r>
      <w:r w:rsidR="00712ED9" w:rsidRPr="00CE1CAD">
        <w:rPr>
          <w:lang w:val="en-GB"/>
        </w:rPr>
        <w:t xml:space="preserve"> case since the application lacks the minimum of substantiation</w:t>
      </w:r>
      <w:r w:rsidR="00BA535D" w:rsidRPr="00CE1CAD">
        <w:rPr>
          <w:lang w:val="en-GB"/>
        </w:rPr>
        <w:t xml:space="preserve"> and is manifestly unfounded</w:t>
      </w:r>
      <w:r w:rsidR="00712ED9" w:rsidRPr="00CE1CAD">
        <w:rPr>
          <w:lang w:val="en-GB"/>
        </w:rPr>
        <w:t>.</w:t>
      </w:r>
    </w:p>
    <w:p w14:paraId="5854BB84" w14:textId="77777777" w:rsidR="00712ED9" w:rsidRPr="00CE1CAD" w:rsidRDefault="00712ED9" w:rsidP="00CE1CAD">
      <w:pPr>
        <w:pStyle w:val="SingleTxtG"/>
      </w:pPr>
      <w:r w:rsidRPr="00CE1CAD">
        <w:rPr>
          <w:lang w:val="en-GB"/>
        </w:rPr>
        <w:t>6.3</w:t>
      </w:r>
      <w:r w:rsidRPr="00CE1CAD">
        <w:rPr>
          <w:lang w:val="en-GB"/>
        </w:rPr>
        <w:tab/>
        <w:t xml:space="preserve">As concerns the complaint </w:t>
      </w:r>
      <w:r w:rsidR="00A06F0F" w:rsidRPr="00CE1CAD">
        <w:rPr>
          <w:lang w:val="en-GB"/>
        </w:rPr>
        <w:t>under</w:t>
      </w:r>
      <w:r w:rsidRPr="00CE1CAD">
        <w:rPr>
          <w:lang w:val="en-GB"/>
        </w:rPr>
        <w:t xml:space="preserve"> article 16 of the Convention</w:t>
      </w:r>
      <w:r w:rsidR="00A362EF" w:rsidRPr="00CE1CAD">
        <w:rPr>
          <w:lang w:val="en-GB"/>
        </w:rPr>
        <w:t>, the State party challenge</w:t>
      </w:r>
      <w:r w:rsidR="00461C15" w:rsidRPr="00CE1CAD">
        <w:rPr>
          <w:lang w:val="en-GB"/>
        </w:rPr>
        <w:t>s</w:t>
      </w:r>
      <w:r w:rsidR="00A362EF" w:rsidRPr="00CE1CAD">
        <w:rPr>
          <w:lang w:val="en-GB"/>
        </w:rPr>
        <w:t xml:space="preserve"> the applicability of the invoked provision. It refers to the Committee’s </w:t>
      </w:r>
      <w:r w:rsidR="008B0F86" w:rsidRPr="00CE1CAD">
        <w:rPr>
          <w:lang w:val="en-GB"/>
        </w:rPr>
        <w:t>g</w:t>
      </w:r>
      <w:r w:rsidR="00A362EF" w:rsidRPr="00CE1CAD">
        <w:rPr>
          <w:lang w:val="en-GB"/>
        </w:rPr>
        <w:t xml:space="preserve">eneral </w:t>
      </w:r>
      <w:r w:rsidR="008B0F86" w:rsidRPr="00CE1CAD">
        <w:rPr>
          <w:lang w:val="en-GB"/>
        </w:rPr>
        <w:t>c</w:t>
      </w:r>
      <w:r w:rsidR="00A362EF" w:rsidRPr="00CE1CAD">
        <w:rPr>
          <w:lang w:val="en-GB"/>
        </w:rPr>
        <w:t xml:space="preserve">omment </w:t>
      </w:r>
      <w:r w:rsidR="008B0F86" w:rsidRPr="00CE1CAD">
        <w:rPr>
          <w:lang w:val="en-US"/>
        </w:rPr>
        <w:t xml:space="preserve">No. 1 (1997) </w:t>
      </w:r>
      <w:r w:rsidR="00A362EF" w:rsidRPr="00CE1CAD">
        <w:rPr>
          <w:lang w:val="en-GB"/>
        </w:rPr>
        <w:t>on the implementation of article 3</w:t>
      </w:r>
      <w:r w:rsidR="0014581F" w:rsidRPr="00CE1CAD">
        <w:rPr>
          <w:lang w:val="en-GB"/>
        </w:rPr>
        <w:t>,</w:t>
      </w:r>
      <w:r w:rsidR="00A362EF" w:rsidRPr="00CE1CAD">
        <w:rPr>
          <w:lang w:val="en-GB"/>
        </w:rPr>
        <w:t xml:space="preserve"> claiming </w:t>
      </w:r>
      <w:r w:rsidR="00C81CE4" w:rsidRPr="00CE1CAD">
        <w:rPr>
          <w:lang w:val="en-GB"/>
        </w:rPr>
        <w:t xml:space="preserve">that the obligation of a State party to refrain from returning a person to another State is only applicable if the person is in danger of being subjected to torture as defined in article 1 of the Convention. It notes that article 3 does not contain a reference to </w:t>
      </w:r>
      <w:r w:rsidR="002024B2" w:rsidRPr="00CE1CAD">
        <w:rPr>
          <w:lang w:val="en-GB"/>
        </w:rPr>
        <w:t>“</w:t>
      </w:r>
      <w:r w:rsidR="00C81CE4" w:rsidRPr="00CE1CAD">
        <w:rPr>
          <w:lang w:val="en-GB"/>
        </w:rPr>
        <w:t>other acts of cruel, inhuman or degrading treatment or punishment</w:t>
      </w:r>
      <w:r w:rsidR="002024B2" w:rsidRPr="00CE1CAD">
        <w:rPr>
          <w:lang w:val="en-GB"/>
        </w:rPr>
        <w:t>”</w:t>
      </w:r>
      <w:r w:rsidR="008B0F86" w:rsidRPr="00CE1CAD">
        <w:rPr>
          <w:lang w:val="en-GB"/>
        </w:rPr>
        <w:t>,</w:t>
      </w:r>
      <w:r w:rsidR="00C81CE4" w:rsidRPr="00CE1CAD">
        <w:rPr>
          <w:lang w:val="en-GB"/>
        </w:rPr>
        <w:t xml:space="preserve"> as </w:t>
      </w:r>
      <w:r w:rsidR="008B0F86" w:rsidRPr="00CE1CAD">
        <w:rPr>
          <w:lang w:val="en-GB"/>
        </w:rPr>
        <w:t xml:space="preserve">contained in </w:t>
      </w:r>
      <w:r w:rsidR="00C81CE4" w:rsidRPr="00CE1CAD">
        <w:rPr>
          <w:lang w:val="en-GB"/>
        </w:rPr>
        <w:t xml:space="preserve">article 16, nor does article 16 contain reference to article 3. </w:t>
      </w:r>
    </w:p>
    <w:p w14:paraId="45AA907E" w14:textId="77777777" w:rsidR="00C81CE4" w:rsidRPr="00CE1CAD" w:rsidRDefault="00C81CE4" w:rsidP="0014145F">
      <w:pPr>
        <w:pStyle w:val="SingleTxtG"/>
        <w:rPr>
          <w:lang w:val="en-GB"/>
        </w:rPr>
      </w:pPr>
      <w:r w:rsidRPr="00CE1CAD">
        <w:rPr>
          <w:lang w:val="en-GB"/>
        </w:rPr>
        <w:t>6.4</w:t>
      </w:r>
      <w:r w:rsidRPr="00CE1CAD">
        <w:rPr>
          <w:lang w:val="en-GB"/>
        </w:rPr>
        <w:tab/>
        <w:t xml:space="preserve">As to the allegations related to the potential infringements of fair trial rights in the </w:t>
      </w:r>
      <w:r w:rsidR="0014145F" w:rsidRPr="00CE1CAD">
        <w:rPr>
          <w:lang w:val="en-GB"/>
        </w:rPr>
        <w:t>United States</w:t>
      </w:r>
      <w:r w:rsidRPr="00CE1CAD">
        <w:rPr>
          <w:lang w:val="en-GB"/>
        </w:rPr>
        <w:t>, the State party submit</w:t>
      </w:r>
      <w:r w:rsidR="00461C15" w:rsidRPr="00CE1CAD">
        <w:rPr>
          <w:lang w:val="en-GB"/>
        </w:rPr>
        <w:t>s</w:t>
      </w:r>
      <w:r w:rsidRPr="00CE1CAD">
        <w:rPr>
          <w:lang w:val="en-GB"/>
        </w:rPr>
        <w:t xml:space="preserve"> that such </w:t>
      </w:r>
      <w:r w:rsidR="00461C15" w:rsidRPr="00CE1CAD">
        <w:rPr>
          <w:lang w:val="en-GB"/>
        </w:rPr>
        <w:t xml:space="preserve">a </w:t>
      </w:r>
      <w:r w:rsidRPr="00CE1CAD">
        <w:rPr>
          <w:lang w:val="en-GB"/>
        </w:rPr>
        <w:t>complaint fall</w:t>
      </w:r>
      <w:r w:rsidR="00461C15" w:rsidRPr="00CE1CAD">
        <w:rPr>
          <w:lang w:val="en-GB"/>
        </w:rPr>
        <w:t>s</w:t>
      </w:r>
      <w:r w:rsidRPr="00CE1CAD">
        <w:rPr>
          <w:lang w:val="en-GB"/>
        </w:rPr>
        <w:t xml:space="preserve"> outside the scope of the Convention and</w:t>
      </w:r>
      <w:r w:rsidR="008B0F86" w:rsidRPr="00CE1CAD">
        <w:rPr>
          <w:lang w:val="en-GB"/>
        </w:rPr>
        <w:t>,</w:t>
      </w:r>
      <w:r w:rsidRPr="00CE1CAD">
        <w:rPr>
          <w:lang w:val="en-GB"/>
        </w:rPr>
        <w:t xml:space="preserve"> accordingly, should be declared inadmissible as incompatible with the provisions of the Convention. </w:t>
      </w:r>
    </w:p>
    <w:p w14:paraId="3B760DF0" w14:textId="77777777" w:rsidR="0014581F" w:rsidRPr="00CE1CAD" w:rsidRDefault="0014581F" w:rsidP="008B0F86">
      <w:pPr>
        <w:pStyle w:val="SingleTxtG"/>
        <w:rPr>
          <w:lang w:val="en-GB"/>
        </w:rPr>
      </w:pPr>
      <w:r w:rsidRPr="00CE1CAD">
        <w:rPr>
          <w:lang w:val="en-GB"/>
        </w:rPr>
        <w:t>6.5</w:t>
      </w:r>
      <w:r w:rsidRPr="00CE1CAD">
        <w:rPr>
          <w:lang w:val="en-GB"/>
        </w:rPr>
        <w:tab/>
      </w:r>
      <w:r w:rsidR="00BA535D" w:rsidRPr="00CE1CAD">
        <w:rPr>
          <w:lang w:val="en-GB"/>
        </w:rPr>
        <w:t xml:space="preserve">The State party further </w:t>
      </w:r>
      <w:r w:rsidR="00461C15" w:rsidRPr="00CE1CAD">
        <w:rPr>
          <w:lang w:val="en-GB"/>
        </w:rPr>
        <w:t xml:space="preserve">maintains </w:t>
      </w:r>
      <w:r w:rsidR="00BA535D" w:rsidRPr="00CE1CAD">
        <w:rPr>
          <w:lang w:val="en-GB"/>
        </w:rPr>
        <w:t xml:space="preserve">that the Office of Immigration and Nationality </w:t>
      </w:r>
      <w:r w:rsidR="008B0F86" w:rsidRPr="00CE1CAD">
        <w:rPr>
          <w:lang w:val="en-GB"/>
        </w:rPr>
        <w:t xml:space="preserve">and </w:t>
      </w:r>
      <w:r w:rsidR="00BA535D" w:rsidRPr="00CE1CAD">
        <w:rPr>
          <w:lang w:val="en-GB"/>
        </w:rPr>
        <w:t xml:space="preserve">the judicial appellate bodies found that the complainant would not be personally at risk of being subjected to torture once returned to the </w:t>
      </w:r>
      <w:r w:rsidR="0014145F" w:rsidRPr="00CE1CAD">
        <w:rPr>
          <w:lang w:val="en-GB"/>
        </w:rPr>
        <w:t>United States</w:t>
      </w:r>
      <w:r w:rsidR="00BA535D" w:rsidRPr="00CE1CAD">
        <w:rPr>
          <w:lang w:val="en-GB"/>
        </w:rPr>
        <w:t xml:space="preserve"> since t</w:t>
      </w:r>
      <w:r w:rsidR="00D02048" w:rsidRPr="00CE1CAD">
        <w:rPr>
          <w:lang w:val="en-GB"/>
        </w:rPr>
        <w:t xml:space="preserve">he recipient State </w:t>
      </w:r>
      <w:r w:rsidR="00BA535D" w:rsidRPr="00CE1CAD">
        <w:rPr>
          <w:lang w:val="en-GB"/>
        </w:rPr>
        <w:t xml:space="preserve">meets the criteria of a safe third country. The State party asserts that its authorities have examined the country profile of the </w:t>
      </w:r>
      <w:r w:rsidR="0014145F" w:rsidRPr="00CE1CAD">
        <w:rPr>
          <w:lang w:val="en-GB"/>
        </w:rPr>
        <w:t>United States</w:t>
      </w:r>
      <w:r w:rsidR="00BA535D" w:rsidRPr="00CE1CAD">
        <w:rPr>
          <w:lang w:val="en-GB"/>
        </w:rPr>
        <w:t xml:space="preserve"> focusing in particular on prison conditions</w:t>
      </w:r>
      <w:r w:rsidR="00093D2B" w:rsidRPr="00CE1CAD">
        <w:rPr>
          <w:lang w:val="en-GB"/>
        </w:rPr>
        <w:t xml:space="preserve">, the </w:t>
      </w:r>
      <w:r w:rsidR="00093D2B" w:rsidRPr="00CE1CAD">
        <w:rPr>
          <w:lang w:val="en-GB"/>
        </w:rPr>
        <w:lastRenderedPageBreak/>
        <w:t xml:space="preserve">enforcement of defence rights and the execution of ratified human rights conventions. The </w:t>
      </w:r>
      <w:r w:rsidR="00F90B16" w:rsidRPr="00CE1CAD">
        <w:rPr>
          <w:lang w:val="en-GB"/>
        </w:rPr>
        <w:t>Office of Immigration and Nationality</w:t>
      </w:r>
      <w:r w:rsidR="00F90B16" w:rsidRPr="00CE1CAD" w:rsidDel="00F90B16">
        <w:rPr>
          <w:lang w:val="en-GB"/>
        </w:rPr>
        <w:t xml:space="preserve"> </w:t>
      </w:r>
      <w:r w:rsidR="00093D2B" w:rsidRPr="00CE1CAD">
        <w:rPr>
          <w:lang w:val="en-GB"/>
        </w:rPr>
        <w:t xml:space="preserve">has requested the assistance of the </w:t>
      </w:r>
      <w:r w:rsidR="0014145F" w:rsidRPr="00CE1CAD">
        <w:rPr>
          <w:lang w:val="en-GB"/>
        </w:rPr>
        <w:t>United States</w:t>
      </w:r>
      <w:r w:rsidR="00093D2B" w:rsidRPr="00CE1CAD">
        <w:rPr>
          <w:lang w:val="en-GB"/>
        </w:rPr>
        <w:t xml:space="preserve"> Attorney’s Office</w:t>
      </w:r>
      <w:r w:rsidR="008B0F86" w:rsidRPr="00CE1CAD">
        <w:rPr>
          <w:lang w:val="en-GB"/>
        </w:rPr>
        <w:t>,</w:t>
      </w:r>
      <w:r w:rsidR="00093D2B" w:rsidRPr="00CE1CAD">
        <w:rPr>
          <w:lang w:val="en-GB"/>
        </w:rPr>
        <w:t xml:space="preserve"> whose response revealed various inconsistences and false statements in the complainant’s submission.</w:t>
      </w:r>
      <w:r w:rsidR="003705F8" w:rsidRPr="00CE1CAD">
        <w:rPr>
          <w:rStyle w:val="FootnoteReference"/>
          <w:lang w:val="en-GB"/>
        </w:rPr>
        <w:footnoteReference w:id="13"/>
      </w:r>
      <w:r w:rsidR="00093D2B" w:rsidRPr="00CE1CAD">
        <w:rPr>
          <w:lang w:val="en-GB"/>
        </w:rPr>
        <w:t xml:space="preserve"> The State party notes that the burden of proof lies with the complainant to substantiate his claims. It states </w:t>
      </w:r>
      <w:r w:rsidR="00C45CFC" w:rsidRPr="00CE1CAD">
        <w:rPr>
          <w:lang w:val="en-GB"/>
        </w:rPr>
        <w:t>that it is</w:t>
      </w:r>
      <w:r w:rsidR="00093D2B" w:rsidRPr="00CE1CAD">
        <w:rPr>
          <w:lang w:val="en-GB"/>
        </w:rPr>
        <w:t xml:space="preserve"> aware of reports of brutality and use of excessive use of force by </w:t>
      </w:r>
      <w:r w:rsidR="0014145F" w:rsidRPr="00CE1CAD">
        <w:rPr>
          <w:lang w:val="en-GB"/>
        </w:rPr>
        <w:t>United States</w:t>
      </w:r>
      <w:r w:rsidR="00093D2B" w:rsidRPr="00CE1CAD">
        <w:rPr>
          <w:lang w:val="en-GB"/>
        </w:rPr>
        <w:t xml:space="preserve"> law</w:t>
      </w:r>
      <w:r w:rsidR="008B0F86" w:rsidRPr="00CE1CAD">
        <w:rPr>
          <w:lang w:val="en-GB"/>
        </w:rPr>
        <w:t xml:space="preserve"> </w:t>
      </w:r>
      <w:r w:rsidR="00093D2B" w:rsidRPr="00CE1CAD">
        <w:rPr>
          <w:lang w:val="en-GB"/>
        </w:rPr>
        <w:t xml:space="preserve">enforcement personnel. However, this cannot be decisive on its own. </w:t>
      </w:r>
    </w:p>
    <w:p w14:paraId="3B0173B3" w14:textId="77777777" w:rsidR="00093D2B" w:rsidRPr="00CE1CAD" w:rsidRDefault="00093D2B" w:rsidP="008B0F86">
      <w:pPr>
        <w:pStyle w:val="SingleTxtG"/>
        <w:rPr>
          <w:lang w:val="en-GB"/>
        </w:rPr>
      </w:pPr>
      <w:r w:rsidRPr="00CE1CAD">
        <w:rPr>
          <w:lang w:val="en-GB"/>
        </w:rPr>
        <w:t>6.6</w:t>
      </w:r>
      <w:r w:rsidRPr="00CE1CAD">
        <w:rPr>
          <w:lang w:val="en-GB"/>
        </w:rPr>
        <w:tab/>
        <w:t xml:space="preserve">The State party </w:t>
      </w:r>
      <w:r w:rsidR="00F90B16" w:rsidRPr="00CE1CAD">
        <w:rPr>
          <w:lang w:val="en-GB"/>
        </w:rPr>
        <w:t>refer</w:t>
      </w:r>
      <w:r w:rsidR="00461C15" w:rsidRPr="00CE1CAD">
        <w:rPr>
          <w:lang w:val="en-GB"/>
        </w:rPr>
        <w:t>s</w:t>
      </w:r>
      <w:r w:rsidRPr="00CE1CAD">
        <w:rPr>
          <w:lang w:val="en-GB"/>
        </w:rPr>
        <w:t xml:space="preserve"> to the Committee’</w:t>
      </w:r>
      <w:r w:rsidR="00E30898" w:rsidRPr="00CE1CAD">
        <w:rPr>
          <w:lang w:val="en-GB"/>
        </w:rPr>
        <w:t>s jurisprudence</w:t>
      </w:r>
      <w:r w:rsidR="000C45A5" w:rsidRPr="00CE1CAD">
        <w:rPr>
          <w:lang w:val="en-GB"/>
        </w:rPr>
        <w:t>,</w:t>
      </w:r>
      <w:r w:rsidR="003705F8" w:rsidRPr="00CE1CAD">
        <w:rPr>
          <w:rStyle w:val="FootnoteReference"/>
          <w:lang w:val="en-GB"/>
        </w:rPr>
        <w:footnoteReference w:id="14"/>
      </w:r>
      <w:r w:rsidR="00E30898" w:rsidRPr="00CE1CAD">
        <w:rPr>
          <w:lang w:val="en-GB"/>
        </w:rPr>
        <w:t xml:space="preserve"> arguing that the question at stake is whether the complainant risks torture upon return </w:t>
      </w:r>
      <w:r w:rsidR="008B0F86" w:rsidRPr="00CE1CAD">
        <w:rPr>
          <w:lang w:val="en-GB"/>
        </w:rPr>
        <w:t xml:space="preserve">to </w:t>
      </w:r>
      <w:r w:rsidR="00E30898" w:rsidRPr="00CE1CAD">
        <w:rPr>
          <w:lang w:val="en-GB"/>
        </w:rPr>
        <w:t xml:space="preserve">the </w:t>
      </w:r>
      <w:r w:rsidR="0014145F" w:rsidRPr="00CE1CAD">
        <w:rPr>
          <w:lang w:val="en-GB"/>
        </w:rPr>
        <w:t>United States</w:t>
      </w:r>
      <w:r w:rsidR="00E30898" w:rsidRPr="00CE1CAD">
        <w:rPr>
          <w:lang w:val="en-GB"/>
        </w:rPr>
        <w:t xml:space="preserve"> at present. With regard to the complainant’s allegations related to torture experienced in the past and subsequent </w:t>
      </w:r>
      <w:r w:rsidR="00884B63" w:rsidRPr="00CE1CAD">
        <w:rPr>
          <w:lang w:val="en-GB"/>
        </w:rPr>
        <w:t>post-traumatic stress disorder</w:t>
      </w:r>
      <w:r w:rsidR="00E30898" w:rsidRPr="00CE1CAD">
        <w:rPr>
          <w:lang w:val="en-GB"/>
        </w:rPr>
        <w:t xml:space="preserve">, the State party maintains that the expert opinion filed by the complainant is </w:t>
      </w:r>
      <w:r w:rsidR="002024B2" w:rsidRPr="00CE1CAD">
        <w:rPr>
          <w:lang w:val="en-GB"/>
        </w:rPr>
        <w:t>“</w:t>
      </w:r>
      <w:r w:rsidR="00E30898" w:rsidRPr="00CE1CAD">
        <w:rPr>
          <w:lang w:val="en-GB"/>
        </w:rPr>
        <w:t>not suitable for determining the real cause of the disease considering that it is only based on the assertions of the patient</w:t>
      </w:r>
      <w:r w:rsidR="002024B2" w:rsidRPr="00CE1CAD">
        <w:rPr>
          <w:lang w:val="en-GB"/>
        </w:rPr>
        <w:t>”</w:t>
      </w:r>
      <w:r w:rsidR="00E30898" w:rsidRPr="00CE1CAD">
        <w:rPr>
          <w:lang w:val="en-GB"/>
        </w:rPr>
        <w:t>. It further argues that</w:t>
      </w:r>
      <w:r w:rsidR="008B0F86" w:rsidRPr="00CE1CAD">
        <w:rPr>
          <w:lang w:val="en-GB"/>
        </w:rPr>
        <w:t>,</w:t>
      </w:r>
      <w:r w:rsidR="00E30898" w:rsidRPr="00CE1CAD">
        <w:rPr>
          <w:lang w:val="en-GB"/>
        </w:rPr>
        <w:t xml:space="preserve"> even accepting the alleged causal link between the complainant’s former imprisonment and his </w:t>
      </w:r>
      <w:r w:rsidR="00884B63" w:rsidRPr="00CE1CAD">
        <w:rPr>
          <w:lang w:val="en-GB"/>
        </w:rPr>
        <w:t>disorder</w:t>
      </w:r>
      <w:r w:rsidR="00E30898" w:rsidRPr="00CE1CAD">
        <w:rPr>
          <w:lang w:val="en-GB"/>
        </w:rPr>
        <w:t xml:space="preserve">, the execution of imprisonment in general may cause in itself depression, panic seizure or other trauma/disorder. Accordingly, the State party notes that the </w:t>
      </w:r>
      <w:r w:rsidR="00884B63" w:rsidRPr="00CE1CAD">
        <w:rPr>
          <w:lang w:val="en-GB"/>
        </w:rPr>
        <w:t>disorder</w:t>
      </w:r>
      <w:r w:rsidR="008B0F86" w:rsidRPr="00CE1CAD">
        <w:rPr>
          <w:lang w:val="en-GB"/>
        </w:rPr>
        <w:t>,</w:t>
      </w:r>
      <w:r w:rsidR="00E30898" w:rsidRPr="00CE1CAD">
        <w:rPr>
          <w:lang w:val="en-GB"/>
        </w:rPr>
        <w:t xml:space="preserve"> even if developed under prison conditions</w:t>
      </w:r>
      <w:r w:rsidR="008B0F86" w:rsidRPr="00CE1CAD">
        <w:rPr>
          <w:lang w:val="en-GB"/>
        </w:rPr>
        <w:t>,</w:t>
      </w:r>
      <w:r w:rsidR="00E30898" w:rsidRPr="00CE1CAD">
        <w:rPr>
          <w:lang w:val="en-GB"/>
        </w:rPr>
        <w:t xml:space="preserve"> does not presuppose the experience of torture. </w:t>
      </w:r>
    </w:p>
    <w:p w14:paraId="41C066C1" w14:textId="77777777" w:rsidR="00A059E6" w:rsidRPr="00CE1CAD" w:rsidRDefault="00A059E6" w:rsidP="00CE1CAD">
      <w:pPr>
        <w:pStyle w:val="SingleTxtG"/>
      </w:pPr>
      <w:r w:rsidRPr="00CE1CAD">
        <w:rPr>
          <w:lang w:val="en-GB"/>
        </w:rPr>
        <w:t>6.7</w:t>
      </w:r>
      <w:r w:rsidRPr="00CE1CAD">
        <w:rPr>
          <w:lang w:val="en-GB"/>
        </w:rPr>
        <w:tab/>
        <w:t xml:space="preserve">The State party </w:t>
      </w:r>
      <w:r w:rsidR="00461C15" w:rsidRPr="00CE1CAD">
        <w:rPr>
          <w:lang w:val="en-GB"/>
        </w:rPr>
        <w:t xml:space="preserve">submits </w:t>
      </w:r>
      <w:r w:rsidRPr="00CE1CAD">
        <w:rPr>
          <w:lang w:val="en-GB"/>
        </w:rPr>
        <w:t xml:space="preserve">that, at the request of its Ministry of Justice, the </w:t>
      </w:r>
      <w:r w:rsidR="0014145F" w:rsidRPr="00CE1CAD">
        <w:rPr>
          <w:lang w:val="en-GB"/>
        </w:rPr>
        <w:t>United States</w:t>
      </w:r>
      <w:r w:rsidRPr="00CE1CAD">
        <w:rPr>
          <w:lang w:val="en-GB"/>
        </w:rPr>
        <w:t xml:space="preserve"> Department of Justice gave its assurance that</w:t>
      </w:r>
      <w:r w:rsidR="008B0F86" w:rsidRPr="00CE1CAD">
        <w:rPr>
          <w:lang w:val="en-GB"/>
        </w:rPr>
        <w:t>,</w:t>
      </w:r>
      <w:r w:rsidRPr="00CE1CAD">
        <w:rPr>
          <w:lang w:val="en-GB"/>
        </w:rPr>
        <w:t xml:space="preserve"> should the complainant be incarcerated, the </w:t>
      </w:r>
      <w:r w:rsidR="0014145F" w:rsidRPr="00CE1CAD">
        <w:rPr>
          <w:lang w:val="en-GB"/>
        </w:rPr>
        <w:t>United States</w:t>
      </w:r>
      <w:r w:rsidRPr="00CE1CAD">
        <w:rPr>
          <w:lang w:val="en-GB"/>
        </w:rPr>
        <w:t xml:space="preserve"> Attorney’s Office will assist him by conveying any valid concerns demonstrated to the </w:t>
      </w:r>
      <w:r w:rsidR="0014145F" w:rsidRPr="00CE1CAD">
        <w:rPr>
          <w:lang w:val="en-GB"/>
        </w:rPr>
        <w:t>United States</w:t>
      </w:r>
      <w:r w:rsidRPr="00CE1CAD">
        <w:rPr>
          <w:lang w:val="en-GB"/>
        </w:rPr>
        <w:t xml:space="preserve"> </w:t>
      </w:r>
      <w:r w:rsidR="008B0F86" w:rsidRPr="00CE1CAD">
        <w:rPr>
          <w:lang w:val="en-GB"/>
        </w:rPr>
        <w:t xml:space="preserve">Federal </w:t>
      </w:r>
      <w:r w:rsidRPr="00CE1CAD">
        <w:rPr>
          <w:lang w:val="en-GB"/>
        </w:rPr>
        <w:t xml:space="preserve">Bureau of Prisons. </w:t>
      </w:r>
    </w:p>
    <w:p w14:paraId="0D32D3F5" w14:textId="77777777" w:rsidR="00A059E6" w:rsidRPr="00CE1CAD" w:rsidRDefault="00A059E6" w:rsidP="00CE1CAD">
      <w:pPr>
        <w:pStyle w:val="SingleTxtG"/>
      </w:pPr>
      <w:r w:rsidRPr="00CE1CAD">
        <w:rPr>
          <w:lang w:val="en-GB"/>
        </w:rPr>
        <w:t>6.8</w:t>
      </w:r>
      <w:r w:rsidRPr="00CE1CAD">
        <w:rPr>
          <w:lang w:val="en-GB"/>
        </w:rPr>
        <w:tab/>
        <w:t>The State party note</w:t>
      </w:r>
      <w:r w:rsidR="00461C15" w:rsidRPr="00CE1CAD">
        <w:rPr>
          <w:lang w:val="en-GB"/>
        </w:rPr>
        <w:t>s</w:t>
      </w:r>
      <w:r w:rsidR="00F90B16" w:rsidRPr="00CE1CAD">
        <w:rPr>
          <w:lang w:val="en-GB"/>
        </w:rPr>
        <w:t>,</w:t>
      </w:r>
      <w:r w:rsidRPr="00CE1CAD">
        <w:rPr>
          <w:lang w:val="en-GB"/>
        </w:rPr>
        <w:t xml:space="preserve"> as to the alleged past ill-treatment, that the prison file of the complainant, contrary to his assertions, indicates </w:t>
      </w:r>
      <w:r w:rsidR="006114B3" w:rsidRPr="00CE1CAD">
        <w:rPr>
          <w:lang w:val="en-GB"/>
        </w:rPr>
        <w:t xml:space="preserve">that he </w:t>
      </w:r>
      <w:r w:rsidRPr="00CE1CAD">
        <w:rPr>
          <w:lang w:val="en-GB"/>
        </w:rPr>
        <w:t xml:space="preserve">purportedly made false allegations while in prison and his transfers were largely a result of his own conduct. Additionally, according to information given by the </w:t>
      </w:r>
      <w:r w:rsidR="0014145F" w:rsidRPr="00CE1CAD">
        <w:rPr>
          <w:lang w:val="en-GB"/>
        </w:rPr>
        <w:t>United States</w:t>
      </w:r>
      <w:r w:rsidRPr="00CE1CAD">
        <w:rPr>
          <w:lang w:val="en-GB"/>
        </w:rPr>
        <w:t xml:space="preserve"> Attorney’s Office, there is no record </w:t>
      </w:r>
      <w:r w:rsidR="006114B3" w:rsidRPr="00CE1CAD">
        <w:rPr>
          <w:lang w:val="en-GB"/>
        </w:rPr>
        <w:t xml:space="preserve">either </w:t>
      </w:r>
      <w:r w:rsidRPr="00CE1CAD">
        <w:rPr>
          <w:lang w:val="en-GB"/>
        </w:rPr>
        <w:t>of any claim</w:t>
      </w:r>
      <w:r w:rsidR="005A4FAA" w:rsidRPr="00CE1CAD">
        <w:rPr>
          <w:lang w:val="en-GB"/>
        </w:rPr>
        <w:t xml:space="preserve"> that his Jewish faith had anything to do with the alleged attacks </w:t>
      </w:r>
      <w:r w:rsidR="006114B3" w:rsidRPr="00CE1CAD">
        <w:rPr>
          <w:lang w:val="en-GB"/>
        </w:rPr>
        <w:t xml:space="preserve">or </w:t>
      </w:r>
      <w:r w:rsidR="005A4FAA" w:rsidRPr="00CE1CAD">
        <w:rPr>
          <w:lang w:val="en-GB"/>
        </w:rPr>
        <w:t xml:space="preserve">of any allegations of anti-Semitism or comments related to his faith; </w:t>
      </w:r>
      <w:r w:rsidR="006114B3" w:rsidRPr="00CE1CAD">
        <w:rPr>
          <w:lang w:val="en-GB"/>
        </w:rPr>
        <w:t xml:space="preserve">on </w:t>
      </w:r>
      <w:r w:rsidR="005A4FAA" w:rsidRPr="00CE1CAD">
        <w:rPr>
          <w:lang w:val="en-GB"/>
        </w:rPr>
        <w:t xml:space="preserve">the contrary, the complainant repeatedly reported to prison officials that he was Catholic. </w:t>
      </w:r>
    </w:p>
    <w:p w14:paraId="71FA094F" w14:textId="77777777" w:rsidR="005A4FAA" w:rsidRPr="00CE1CAD" w:rsidRDefault="005A4FAA" w:rsidP="00CE1CAD">
      <w:pPr>
        <w:pStyle w:val="SingleTxtG"/>
      </w:pPr>
      <w:r w:rsidRPr="00CE1CAD">
        <w:rPr>
          <w:lang w:val="en-GB"/>
        </w:rPr>
        <w:t>6.9</w:t>
      </w:r>
      <w:r w:rsidRPr="00CE1CAD">
        <w:rPr>
          <w:lang w:val="en-GB"/>
        </w:rPr>
        <w:tab/>
        <w:t>As to the letters threatening the complainant’s life, the State party conte</w:t>
      </w:r>
      <w:r w:rsidR="00946911" w:rsidRPr="00CE1CAD">
        <w:rPr>
          <w:lang w:val="en-GB"/>
        </w:rPr>
        <w:t>st</w:t>
      </w:r>
      <w:r w:rsidR="00461C15" w:rsidRPr="00CE1CAD">
        <w:rPr>
          <w:lang w:val="en-GB"/>
        </w:rPr>
        <w:t>s</w:t>
      </w:r>
      <w:r w:rsidR="00946911" w:rsidRPr="00CE1CAD">
        <w:rPr>
          <w:lang w:val="en-GB"/>
        </w:rPr>
        <w:t xml:space="preserve"> their evidentiary </w:t>
      </w:r>
      <w:r w:rsidRPr="00CE1CAD">
        <w:rPr>
          <w:lang w:val="en-GB"/>
        </w:rPr>
        <w:t>value as the sender and the place of departure cannot be identified. Nevertheless, it argues that</w:t>
      </w:r>
      <w:r w:rsidR="006114B3" w:rsidRPr="00CE1CAD">
        <w:rPr>
          <w:lang w:val="en-GB"/>
        </w:rPr>
        <w:t>,</w:t>
      </w:r>
      <w:r w:rsidRPr="00CE1CAD">
        <w:rPr>
          <w:lang w:val="en-GB"/>
        </w:rPr>
        <w:t xml:space="preserve"> even if the </w:t>
      </w:r>
      <w:r w:rsidR="00946911" w:rsidRPr="00CE1CAD">
        <w:rPr>
          <w:lang w:val="en-GB"/>
        </w:rPr>
        <w:t>letters</w:t>
      </w:r>
      <w:r w:rsidRPr="00CE1CAD">
        <w:rPr>
          <w:lang w:val="en-GB"/>
        </w:rPr>
        <w:t xml:space="preserve"> would be admitted as </w:t>
      </w:r>
      <w:r w:rsidR="00946911" w:rsidRPr="00CE1CAD">
        <w:rPr>
          <w:lang w:val="en-GB"/>
        </w:rPr>
        <w:t>documents having probable value</w:t>
      </w:r>
      <w:r w:rsidRPr="00CE1CAD">
        <w:rPr>
          <w:lang w:val="en-GB"/>
        </w:rPr>
        <w:t>, the risk of being subjected to assault</w:t>
      </w:r>
      <w:r w:rsidR="00946911" w:rsidRPr="00CE1CAD">
        <w:rPr>
          <w:lang w:val="en-GB"/>
        </w:rPr>
        <w:t xml:space="preserve"> by private individuals falls outside the scope of article 3 of the Convention. </w:t>
      </w:r>
    </w:p>
    <w:p w14:paraId="20441B74" w14:textId="77777777" w:rsidR="001E105D" w:rsidRPr="00CE1CAD" w:rsidRDefault="001E105D" w:rsidP="00CE1CAD">
      <w:pPr>
        <w:pStyle w:val="SingleTxtG"/>
      </w:pPr>
      <w:r w:rsidRPr="00CE1CAD">
        <w:rPr>
          <w:lang w:val="en-GB"/>
        </w:rPr>
        <w:t>6.10</w:t>
      </w:r>
      <w:r w:rsidRPr="00CE1CAD">
        <w:rPr>
          <w:lang w:val="en-GB"/>
        </w:rPr>
        <w:tab/>
        <w:t xml:space="preserve">Concerning the allegations of solitary confinement, the State party </w:t>
      </w:r>
      <w:r w:rsidR="00D02048" w:rsidRPr="00CE1CAD">
        <w:rPr>
          <w:lang w:val="en-GB"/>
        </w:rPr>
        <w:t>submit</w:t>
      </w:r>
      <w:r w:rsidR="00461C15" w:rsidRPr="00CE1CAD">
        <w:rPr>
          <w:lang w:val="en-GB"/>
        </w:rPr>
        <w:t>s</w:t>
      </w:r>
      <w:r w:rsidRPr="00CE1CAD">
        <w:rPr>
          <w:lang w:val="en-GB"/>
        </w:rPr>
        <w:t xml:space="preserve"> </w:t>
      </w:r>
      <w:r w:rsidR="00D26376" w:rsidRPr="00CE1CAD">
        <w:rPr>
          <w:lang w:val="en-GB"/>
        </w:rPr>
        <w:t xml:space="preserve">that the claim is based on mere speculations as to what may occur if the complainant were convicted and sentenced to imprisonment and cannot amount to </w:t>
      </w:r>
      <w:r w:rsidR="00D26376" w:rsidRPr="00CE1CAD">
        <w:rPr>
          <w:iCs/>
          <w:lang w:val="en-GB"/>
        </w:rPr>
        <w:t>prima facie</w:t>
      </w:r>
      <w:r w:rsidR="00D26376" w:rsidRPr="00CE1CAD">
        <w:rPr>
          <w:lang w:val="en-GB"/>
        </w:rPr>
        <w:t xml:space="preserve"> evidence that the facts asserted will in fact occur. It also argues that</w:t>
      </w:r>
      <w:r w:rsidR="006C4CBB" w:rsidRPr="00CE1CAD">
        <w:rPr>
          <w:lang w:val="en-GB"/>
        </w:rPr>
        <w:t>,</w:t>
      </w:r>
      <w:r w:rsidR="00D26376" w:rsidRPr="00CE1CAD">
        <w:rPr>
          <w:lang w:val="en-GB"/>
        </w:rPr>
        <w:t xml:space="preserve"> even </w:t>
      </w:r>
      <w:r w:rsidR="006C4CBB" w:rsidRPr="00CE1CAD">
        <w:rPr>
          <w:lang w:val="en-GB"/>
        </w:rPr>
        <w:t xml:space="preserve">if </w:t>
      </w:r>
      <w:r w:rsidR="00D26376" w:rsidRPr="00CE1CAD">
        <w:rPr>
          <w:lang w:val="en-GB"/>
        </w:rPr>
        <w:t xml:space="preserve">substantiated, solitary confinement does not in itself constitute torture and must still meet the definition of article 1 of the Convention. The State party has no </w:t>
      </w:r>
      <w:r w:rsidR="006C4CBB" w:rsidRPr="00CE1CAD">
        <w:rPr>
          <w:lang w:val="en-GB"/>
        </w:rPr>
        <w:t xml:space="preserve">reason </w:t>
      </w:r>
      <w:r w:rsidR="00D26376" w:rsidRPr="00CE1CAD">
        <w:rPr>
          <w:lang w:val="en-GB"/>
        </w:rPr>
        <w:t xml:space="preserve">to believe that solitary confinement is used generally in </w:t>
      </w:r>
      <w:r w:rsidR="0014145F" w:rsidRPr="00CE1CAD">
        <w:rPr>
          <w:lang w:val="en-GB"/>
        </w:rPr>
        <w:t>the United States</w:t>
      </w:r>
      <w:r w:rsidR="00D26376" w:rsidRPr="00CE1CAD">
        <w:rPr>
          <w:lang w:val="en-GB"/>
        </w:rPr>
        <w:t xml:space="preserve"> or would be used in the complainant’s case as there is no evidence to suggest that </w:t>
      </w:r>
      <w:r w:rsidR="002024B2" w:rsidRPr="00CE1CAD">
        <w:rPr>
          <w:lang w:val="en-GB"/>
        </w:rPr>
        <w:t>“</w:t>
      </w:r>
      <w:r w:rsidR="00D26376" w:rsidRPr="00CE1CAD">
        <w:rPr>
          <w:lang w:val="en-GB"/>
        </w:rPr>
        <w:t>solitary confin</w:t>
      </w:r>
      <w:r w:rsidR="00D02048" w:rsidRPr="00CE1CAD">
        <w:rPr>
          <w:lang w:val="en-GB"/>
        </w:rPr>
        <w:t>e</w:t>
      </w:r>
      <w:r w:rsidR="00D26376" w:rsidRPr="00CE1CAD">
        <w:rPr>
          <w:lang w:val="en-GB"/>
        </w:rPr>
        <w:t>ment</w:t>
      </w:r>
      <w:r w:rsidR="002024B2" w:rsidRPr="00CE1CAD">
        <w:rPr>
          <w:lang w:val="en-GB"/>
        </w:rPr>
        <w:t>”</w:t>
      </w:r>
      <w:r w:rsidR="00D26376" w:rsidRPr="00CE1CAD">
        <w:rPr>
          <w:lang w:val="en-GB"/>
        </w:rPr>
        <w:t xml:space="preserve"> is used in </w:t>
      </w:r>
      <w:r w:rsidR="0014145F" w:rsidRPr="00CE1CAD">
        <w:rPr>
          <w:lang w:val="en-GB"/>
        </w:rPr>
        <w:t>United States</w:t>
      </w:r>
      <w:r w:rsidR="00D26376" w:rsidRPr="00CE1CAD">
        <w:rPr>
          <w:lang w:val="en-GB"/>
        </w:rPr>
        <w:t xml:space="preserve"> prisons in any way other than incidentally to lawful sanctions. </w:t>
      </w:r>
    </w:p>
    <w:p w14:paraId="6FDDFF70" w14:textId="77777777" w:rsidR="00D26376" w:rsidRPr="00CE1CAD" w:rsidRDefault="00D26376" w:rsidP="00CE1CAD">
      <w:pPr>
        <w:pStyle w:val="SingleTxtG"/>
      </w:pPr>
      <w:r w:rsidRPr="00CE1CAD">
        <w:rPr>
          <w:lang w:val="en-GB"/>
        </w:rPr>
        <w:t>6.11</w:t>
      </w:r>
      <w:r w:rsidRPr="00CE1CAD">
        <w:rPr>
          <w:lang w:val="en-GB"/>
        </w:rPr>
        <w:tab/>
      </w:r>
      <w:r w:rsidR="00461C15" w:rsidRPr="00CE1CAD">
        <w:rPr>
          <w:lang w:val="en-GB"/>
        </w:rPr>
        <w:t>The State party submits</w:t>
      </w:r>
      <w:r w:rsidR="00D02048" w:rsidRPr="00CE1CAD">
        <w:rPr>
          <w:lang w:val="en-GB"/>
        </w:rPr>
        <w:t xml:space="preserve"> that the </w:t>
      </w:r>
      <w:r w:rsidR="0014145F" w:rsidRPr="00CE1CAD">
        <w:rPr>
          <w:lang w:val="en-GB"/>
        </w:rPr>
        <w:t>United States</w:t>
      </w:r>
      <w:r w:rsidR="00D02048" w:rsidRPr="00CE1CAD">
        <w:rPr>
          <w:lang w:val="en-GB"/>
        </w:rPr>
        <w:t xml:space="preserve"> Department of Justice acknowledged </w:t>
      </w:r>
      <w:r w:rsidR="000F1F13" w:rsidRPr="00CE1CAD">
        <w:rPr>
          <w:lang w:val="en-GB"/>
        </w:rPr>
        <w:t xml:space="preserve">that </w:t>
      </w:r>
      <w:r w:rsidR="00D02048" w:rsidRPr="00CE1CAD">
        <w:rPr>
          <w:lang w:val="en-GB"/>
        </w:rPr>
        <w:t xml:space="preserve">the extradition </w:t>
      </w:r>
      <w:r w:rsidR="0056640F" w:rsidRPr="00CE1CAD">
        <w:rPr>
          <w:lang w:val="en-GB"/>
        </w:rPr>
        <w:t xml:space="preserve">is only </w:t>
      </w:r>
      <w:r w:rsidR="00D02048" w:rsidRPr="00CE1CAD">
        <w:rPr>
          <w:lang w:val="en-GB"/>
        </w:rPr>
        <w:t xml:space="preserve">for </w:t>
      </w:r>
      <w:r w:rsidR="0056640F" w:rsidRPr="00CE1CAD">
        <w:rPr>
          <w:lang w:val="en-GB"/>
        </w:rPr>
        <w:t xml:space="preserve">the charges of </w:t>
      </w:r>
      <w:r w:rsidR="00D02048" w:rsidRPr="00CE1CAD">
        <w:rPr>
          <w:lang w:val="en-GB"/>
        </w:rPr>
        <w:t xml:space="preserve">fraud, money laundering and forgery of private documents (indictment counts 1-3) </w:t>
      </w:r>
      <w:r w:rsidR="0056640F" w:rsidRPr="00CE1CAD">
        <w:rPr>
          <w:lang w:val="en-GB"/>
        </w:rPr>
        <w:t xml:space="preserve">and </w:t>
      </w:r>
      <w:r w:rsidR="00D02048" w:rsidRPr="00CE1CAD">
        <w:rPr>
          <w:lang w:val="en-GB"/>
        </w:rPr>
        <w:t xml:space="preserve">not </w:t>
      </w:r>
      <w:r w:rsidR="000F1F13" w:rsidRPr="00CE1CAD">
        <w:rPr>
          <w:lang w:val="en-GB"/>
        </w:rPr>
        <w:t xml:space="preserve">for </w:t>
      </w:r>
      <w:r w:rsidR="00D02048" w:rsidRPr="00CE1CAD">
        <w:rPr>
          <w:lang w:val="en-GB"/>
        </w:rPr>
        <w:t xml:space="preserve">the charge of giving false evidence. The </w:t>
      </w:r>
      <w:r w:rsidR="000F1F13" w:rsidRPr="00CE1CAD">
        <w:rPr>
          <w:lang w:val="en-GB"/>
        </w:rPr>
        <w:t xml:space="preserve">United States </w:t>
      </w:r>
      <w:r w:rsidR="00D02048" w:rsidRPr="00CE1CAD">
        <w:rPr>
          <w:lang w:val="en-GB"/>
        </w:rPr>
        <w:t xml:space="preserve">Attorney’s Office twice </w:t>
      </w:r>
      <w:r w:rsidR="000F1F13" w:rsidRPr="00CE1CAD">
        <w:rPr>
          <w:lang w:val="en-GB"/>
        </w:rPr>
        <w:t xml:space="preserve">gave </w:t>
      </w:r>
      <w:r w:rsidR="00D02048" w:rsidRPr="00CE1CAD">
        <w:rPr>
          <w:lang w:val="en-GB"/>
        </w:rPr>
        <w:t xml:space="preserve">its assurance that the </w:t>
      </w:r>
      <w:r w:rsidR="0014145F" w:rsidRPr="00CE1CAD">
        <w:rPr>
          <w:lang w:val="en-GB"/>
        </w:rPr>
        <w:t>United States</w:t>
      </w:r>
      <w:r w:rsidR="00D02048" w:rsidRPr="00CE1CAD">
        <w:rPr>
          <w:lang w:val="en-GB"/>
        </w:rPr>
        <w:t xml:space="preserve"> </w:t>
      </w:r>
      <w:r w:rsidR="002024B2" w:rsidRPr="00CE1CAD">
        <w:rPr>
          <w:lang w:val="en-GB"/>
        </w:rPr>
        <w:lastRenderedPageBreak/>
        <w:t>“</w:t>
      </w:r>
      <w:r w:rsidR="00C949C0" w:rsidRPr="00CE1CAD">
        <w:rPr>
          <w:lang w:val="en-GB"/>
        </w:rPr>
        <w:t>recognizes the limitations im</w:t>
      </w:r>
      <w:r w:rsidR="00D02048" w:rsidRPr="00CE1CAD">
        <w:rPr>
          <w:lang w:val="en-GB"/>
        </w:rPr>
        <w:t xml:space="preserve">posed by the </w:t>
      </w:r>
      <w:r w:rsidR="000F1F13" w:rsidRPr="00CE1CAD">
        <w:rPr>
          <w:lang w:val="en-GB"/>
        </w:rPr>
        <w:t>r</w:t>
      </w:r>
      <w:r w:rsidR="00D02048" w:rsidRPr="00CE1CAD">
        <w:rPr>
          <w:lang w:val="en-GB"/>
        </w:rPr>
        <w:t xml:space="preserve">ule of </w:t>
      </w:r>
      <w:r w:rsidR="000F1F13" w:rsidRPr="00CE1CAD">
        <w:rPr>
          <w:lang w:val="en-GB"/>
        </w:rPr>
        <w:t>s</w:t>
      </w:r>
      <w:r w:rsidR="00D02048" w:rsidRPr="00CE1CAD">
        <w:rPr>
          <w:lang w:val="en-GB"/>
        </w:rPr>
        <w:t xml:space="preserve">pecialty provision in article 17 of the </w:t>
      </w:r>
      <w:r w:rsidR="000F1F13" w:rsidRPr="00CE1CAD">
        <w:rPr>
          <w:lang w:val="en-GB"/>
        </w:rPr>
        <w:t>e</w:t>
      </w:r>
      <w:r w:rsidR="00D02048" w:rsidRPr="00CE1CAD">
        <w:rPr>
          <w:lang w:val="en-GB"/>
        </w:rPr>
        <w:t xml:space="preserve">xtradition </w:t>
      </w:r>
      <w:r w:rsidR="000F1F13" w:rsidRPr="00CE1CAD">
        <w:rPr>
          <w:lang w:val="en-GB"/>
        </w:rPr>
        <w:t>t</w:t>
      </w:r>
      <w:r w:rsidR="00D02048" w:rsidRPr="00CE1CAD">
        <w:rPr>
          <w:lang w:val="en-GB"/>
        </w:rPr>
        <w:t>reaty with Hungary and will not be seeking a conviction of the person concerned on the charges in counts 4 and 5</w:t>
      </w:r>
      <w:r w:rsidR="002024B2" w:rsidRPr="00CE1CAD">
        <w:rPr>
          <w:lang w:val="en-GB"/>
        </w:rPr>
        <w:t>”</w:t>
      </w:r>
      <w:r w:rsidR="00D02048" w:rsidRPr="00CE1CAD">
        <w:rPr>
          <w:lang w:val="en-GB"/>
        </w:rPr>
        <w:t xml:space="preserve">. </w:t>
      </w:r>
      <w:r w:rsidR="001648C6" w:rsidRPr="00CE1CAD">
        <w:rPr>
          <w:lang w:val="en-GB"/>
        </w:rPr>
        <w:t xml:space="preserve">The </w:t>
      </w:r>
      <w:r w:rsidR="00AC2602" w:rsidRPr="00CE1CAD">
        <w:rPr>
          <w:lang w:val="en-GB"/>
        </w:rPr>
        <w:t xml:space="preserve">State party submits that the </w:t>
      </w:r>
      <w:r w:rsidR="0014145F" w:rsidRPr="00CE1CAD">
        <w:rPr>
          <w:lang w:val="en-GB"/>
        </w:rPr>
        <w:t>United States</w:t>
      </w:r>
      <w:r w:rsidR="001648C6" w:rsidRPr="00CE1CAD">
        <w:rPr>
          <w:lang w:val="en-GB"/>
        </w:rPr>
        <w:t xml:space="preserve"> authorities have </w:t>
      </w:r>
      <w:r w:rsidR="00AC2602" w:rsidRPr="00CE1CAD">
        <w:rPr>
          <w:lang w:val="en-GB"/>
        </w:rPr>
        <w:t>“</w:t>
      </w:r>
      <w:r w:rsidR="001648C6" w:rsidRPr="00CE1CAD">
        <w:rPr>
          <w:lang w:val="en-GB"/>
        </w:rPr>
        <w:t>certified that the complainant will not be exposed to torture or any kind of ill-treatment</w:t>
      </w:r>
      <w:r w:rsidR="00AC2602" w:rsidRPr="00CE1CAD">
        <w:rPr>
          <w:lang w:val="en-GB"/>
        </w:rPr>
        <w:t xml:space="preserve">” and </w:t>
      </w:r>
      <w:r w:rsidR="001648C6" w:rsidRPr="00CE1CAD">
        <w:rPr>
          <w:lang w:val="en-GB"/>
        </w:rPr>
        <w:t xml:space="preserve">provided the State party with a </w:t>
      </w:r>
      <w:r w:rsidR="00AC2602" w:rsidRPr="00CE1CAD">
        <w:rPr>
          <w:lang w:val="en-GB"/>
        </w:rPr>
        <w:t>“</w:t>
      </w:r>
      <w:r w:rsidR="001648C6" w:rsidRPr="00CE1CAD">
        <w:rPr>
          <w:lang w:val="en-GB"/>
        </w:rPr>
        <w:t>legal assurance certifying the receipt of appropriate medical treatment should the complainant be imprisoned in the U</w:t>
      </w:r>
      <w:r w:rsidR="00AC2602" w:rsidRPr="00CE1CAD">
        <w:rPr>
          <w:lang w:val="en-GB"/>
        </w:rPr>
        <w:t>nited States”</w:t>
      </w:r>
      <w:r w:rsidR="001648C6" w:rsidRPr="00CE1CAD">
        <w:rPr>
          <w:lang w:val="en-GB"/>
        </w:rPr>
        <w:t>.</w:t>
      </w:r>
      <w:r w:rsidR="003A5024" w:rsidRPr="00CE1CAD">
        <w:rPr>
          <w:rStyle w:val="FootnoteReference"/>
          <w:lang w:val="en-GB"/>
        </w:rPr>
        <w:footnoteReference w:id="15"/>
      </w:r>
      <w:r w:rsidR="001648C6" w:rsidRPr="00CE1CAD">
        <w:rPr>
          <w:lang w:val="en-GB"/>
        </w:rPr>
        <w:t xml:space="preserve"> </w:t>
      </w:r>
    </w:p>
    <w:p w14:paraId="329D64C6" w14:textId="77777777" w:rsidR="00C949C0" w:rsidRPr="00CE1CAD" w:rsidRDefault="00C949C0" w:rsidP="00CE1CAD">
      <w:pPr>
        <w:pStyle w:val="SingleTxtG"/>
      </w:pPr>
      <w:r w:rsidRPr="00CE1CAD">
        <w:rPr>
          <w:lang w:val="en-GB"/>
        </w:rPr>
        <w:t>6.12</w:t>
      </w:r>
      <w:r w:rsidRPr="00CE1CAD">
        <w:rPr>
          <w:lang w:val="en-GB"/>
        </w:rPr>
        <w:tab/>
        <w:t xml:space="preserve">The State party </w:t>
      </w:r>
      <w:r w:rsidR="00461C15" w:rsidRPr="00CE1CAD">
        <w:rPr>
          <w:lang w:val="en-GB"/>
        </w:rPr>
        <w:t>further submits</w:t>
      </w:r>
      <w:r w:rsidRPr="00CE1CAD">
        <w:rPr>
          <w:lang w:val="en-GB"/>
        </w:rPr>
        <w:t xml:space="preserve"> </w:t>
      </w:r>
      <w:r w:rsidR="00461C15" w:rsidRPr="00CE1CAD">
        <w:rPr>
          <w:lang w:val="en-GB"/>
        </w:rPr>
        <w:t xml:space="preserve">that </w:t>
      </w:r>
      <w:r w:rsidRPr="00CE1CAD">
        <w:rPr>
          <w:lang w:val="en-GB"/>
        </w:rPr>
        <w:t xml:space="preserve">the </w:t>
      </w:r>
      <w:r w:rsidR="000F1F13" w:rsidRPr="00CE1CAD">
        <w:rPr>
          <w:lang w:val="en-GB"/>
        </w:rPr>
        <w:t>extradition t</w:t>
      </w:r>
      <w:r w:rsidRPr="00CE1CAD">
        <w:rPr>
          <w:lang w:val="en-GB"/>
        </w:rPr>
        <w:t>reaty between the Government of the United States of America and the Government of Hungary</w:t>
      </w:r>
      <w:r w:rsidR="000F1F13" w:rsidRPr="00CE1CAD">
        <w:rPr>
          <w:lang w:val="en-GB"/>
        </w:rPr>
        <w:t xml:space="preserve"> </w:t>
      </w:r>
      <w:r w:rsidR="00461C15" w:rsidRPr="00CE1CAD">
        <w:rPr>
          <w:lang w:val="en-GB"/>
        </w:rPr>
        <w:t xml:space="preserve">was </w:t>
      </w:r>
      <w:r w:rsidRPr="00CE1CAD">
        <w:rPr>
          <w:lang w:val="en-GB"/>
        </w:rPr>
        <w:t>signed on 1 December 1994 and promulgated by Act LXI of 1996.</w:t>
      </w:r>
      <w:r w:rsidR="00987F06" w:rsidRPr="00CE1CAD">
        <w:rPr>
          <w:lang w:val="en-GB"/>
        </w:rPr>
        <w:t xml:space="preserve"> It point</w:t>
      </w:r>
      <w:r w:rsidR="00461C15" w:rsidRPr="00CE1CAD">
        <w:rPr>
          <w:lang w:val="en-GB"/>
        </w:rPr>
        <w:t>s</w:t>
      </w:r>
      <w:r w:rsidR="00987F06" w:rsidRPr="00CE1CAD">
        <w:rPr>
          <w:lang w:val="en-GB"/>
        </w:rPr>
        <w:t xml:space="preserve"> out that the extradition has been suspended on account of the interim measures ordered by the Committee and the complainant </w:t>
      </w:r>
      <w:r w:rsidR="00461C15" w:rsidRPr="00CE1CAD">
        <w:rPr>
          <w:lang w:val="en-GB"/>
        </w:rPr>
        <w:t>will be</w:t>
      </w:r>
      <w:r w:rsidR="00987F06" w:rsidRPr="00CE1CAD">
        <w:rPr>
          <w:lang w:val="en-GB"/>
        </w:rPr>
        <w:t xml:space="preserve"> held in custody until 27 October 2015</w:t>
      </w:r>
      <w:r w:rsidR="000F1F13" w:rsidRPr="00CE1CAD">
        <w:rPr>
          <w:lang w:val="en-GB"/>
        </w:rPr>
        <w:t>,</w:t>
      </w:r>
      <w:r w:rsidR="00987F06" w:rsidRPr="00CE1CAD">
        <w:rPr>
          <w:lang w:val="en-GB"/>
        </w:rPr>
        <w:t xml:space="preserve"> in accordance with the final decision of the Appellate Court of Budapest. </w:t>
      </w:r>
    </w:p>
    <w:p w14:paraId="5B2FC7C9" w14:textId="77777777" w:rsidR="00987F06" w:rsidRPr="00CE1CAD" w:rsidRDefault="00987F06" w:rsidP="00CE1CAD">
      <w:pPr>
        <w:pStyle w:val="SingleTxtG"/>
      </w:pPr>
      <w:r w:rsidRPr="00CE1CAD">
        <w:rPr>
          <w:lang w:val="en-GB"/>
        </w:rPr>
        <w:t>6.13</w:t>
      </w:r>
      <w:r w:rsidRPr="00CE1CAD">
        <w:rPr>
          <w:lang w:val="en-GB"/>
        </w:rPr>
        <w:tab/>
        <w:t xml:space="preserve">The State party </w:t>
      </w:r>
      <w:r w:rsidR="00461C15" w:rsidRPr="00CE1CAD">
        <w:rPr>
          <w:lang w:val="en-GB"/>
        </w:rPr>
        <w:t>maintains</w:t>
      </w:r>
      <w:r w:rsidRPr="00CE1CAD">
        <w:rPr>
          <w:lang w:val="en-GB"/>
        </w:rPr>
        <w:t xml:space="preserve"> that the detention </w:t>
      </w:r>
      <w:r w:rsidR="000F1F13" w:rsidRPr="00CE1CAD">
        <w:rPr>
          <w:lang w:val="en-GB"/>
        </w:rPr>
        <w:t xml:space="preserve">of </w:t>
      </w:r>
      <w:r w:rsidRPr="00CE1CAD">
        <w:rPr>
          <w:lang w:val="en-GB"/>
        </w:rPr>
        <w:t xml:space="preserve">the complainant has the legitimate aim </w:t>
      </w:r>
      <w:r w:rsidR="000F1F13" w:rsidRPr="00CE1CAD">
        <w:rPr>
          <w:lang w:val="en-GB"/>
        </w:rPr>
        <w:t xml:space="preserve">of enabling </w:t>
      </w:r>
      <w:r w:rsidRPr="00CE1CAD">
        <w:rPr>
          <w:lang w:val="en-GB"/>
        </w:rPr>
        <w:t>the State party to comply with its international obligations, namely</w:t>
      </w:r>
      <w:r w:rsidR="000F1F13" w:rsidRPr="00CE1CAD">
        <w:rPr>
          <w:lang w:val="en-GB"/>
        </w:rPr>
        <w:t>,</w:t>
      </w:r>
      <w:r w:rsidRPr="00CE1CAD">
        <w:rPr>
          <w:lang w:val="en-GB"/>
        </w:rPr>
        <w:t xml:space="preserve"> to surrender the person concerned to the </w:t>
      </w:r>
      <w:r w:rsidR="0014145F" w:rsidRPr="00CE1CAD">
        <w:rPr>
          <w:lang w:val="en-GB"/>
        </w:rPr>
        <w:t>United States</w:t>
      </w:r>
      <w:r w:rsidRPr="00CE1CAD">
        <w:rPr>
          <w:lang w:val="en-GB"/>
        </w:rPr>
        <w:t>. At the same time</w:t>
      </w:r>
      <w:r w:rsidR="000F1F13" w:rsidRPr="00CE1CAD">
        <w:rPr>
          <w:lang w:val="en-GB"/>
        </w:rPr>
        <w:t>,</w:t>
      </w:r>
      <w:r w:rsidRPr="00CE1CAD">
        <w:rPr>
          <w:lang w:val="en-GB"/>
        </w:rPr>
        <w:t xml:space="preserve"> the State party acknowledge</w:t>
      </w:r>
      <w:r w:rsidR="00461C15" w:rsidRPr="00CE1CAD">
        <w:rPr>
          <w:lang w:val="en-GB"/>
        </w:rPr>
        <w:t>s</w:t>
      </w:r>
      <w:r w:rsidRPr="00CE1CAD">
        <w:rPr>
          <w:lang w:val="en-GB"/>
        </w:rPr>
        <w:t xml:space="preserve"> that</w:t>
      </w:r>
      <w:r w:rsidR="000F1F13" w:rsidRPr="00CE1CAD">
        <w:rPr>
          <w:lang w:val="en-GB"/>
        </w:rPr>
        <w:t>,</w:t>
      </w:r>
      <w:r w:rsidRPr="00CE1CAD">
        <w:rPr>
          <w:lang w:val="en-GB"/>
        </w:rPr>
        <w:t xml:space="preserve"> despite the above</w:t>
      </w:r>
      <w:r w:rsidR="000F1F13" w:rsidRPr="00CE1CAD">
        <w:rPr>
          <w:lang w:val="en-GB"/>
        </w:rPr>
        <w:t>-</w:t>
      </w:r>
      <w:r w:rsidRPr="00CE1CAD">
        <w:rPr>
          <w:lang w:val="en-GB"/>
        </w:rPr>
        <w:t>mentioned legitimate aim</w:t>
      </w:r>
      <w:r w:rsidR="000F1F13" w:rsidRPr="00CE1CAD">
        <w:rPr>
          <w:lang w:val="en-GB"/>
        </w:rPr>
        <w:t>,</w:t>
      </w:r>
      <w:r w:rsidRPr="00CE1CAD">
        <w:rPr>
          <w:lang w:val="en-GB"/>
        </w:rPr>
        <w:t xml:space="preserve"> no person shall be held in custody for an unlimited period of time. </w:t>
      </w:r>
    </w:p>
    <w:p w14:paraId="53104B47" w14:textId="77777777" w:rsidR="00987F06" w:rsidRPr="00CE1CAD" w:rsidRDefault="00987F06" w:rsidP="00CE1CAD">
      <w:pPr>
        <w:pStyle w:val="SingleTxtG"/>
      </w:pPr>
      <w:r w:rsidRPr="00CE1CAD">
        <w:rPr>
          <w:lang w:val="en-GB"/>
        </w:rPr>
        <w:t>6.14</w:t>
      </w:r>
      <w:r w:rsidRPr="00CE1CAD">
        <w:rPr>
          <w:lang w:val="en-GB"/>
        </w:rPr>
        <w:tab/>
        <w:t xml:space="preserve">The State party </w:t>
      </w:r>
      <w:r w:rsidR="00461C15" w:rsidRPr="00CE1CAD">
        <w:rPr>
          <w:lang w:val="en-GB"/>
        </w:rPr>
        <w:t xml:space="preserve">submits </w:t>
      </w:r>
      <w:r w:rsidRPr="00CE1CAD">
        <w:rPr>
          <w:lang w:val="en-GB"/>
        </w:rPr>
        <w:t>that</w:t>
      </w:r>
      <w:r w:rsidR="000F1F13" w:rsidRPr="00CE1CAD">
        <w:rPr>
          <w:lang w:val="en-GB"/>
        </w:rPr>
        <w:t>,</w:t>
      </w:r>
      <w:r w:rsidRPr="00CE1CAD">
        <w:rPr>
          <w:lang w:val="en-GB"/>
        </w:rPr>
        <w:t xml:space="preserve"> without prioritizing any of its obligations under international law that seem to collide in the present case, it will obey its obligations under the </w:t>
      </w:r>
      <w:r w:rsidR="000F1F13" w:rsidRPr="00CE1CAD">
        <w:rPr>
          <w:lang w:val="en-GB"/>
        </w:rPr>
        <w:t xml:space="preserve">Convention </w:t>
      </w:r>
      <w:r w:rsidRPr="00CE1CAD">
        <w:rPr>
          <w:lang w:val="en-GB"/>
        </w:rPr>
        <w:t xml:space="preserve">and execute the decision of the Committee irrespective of its outcome </w:t>
      </w:r>
      <w:r w:rsidR="00195937" w:rsidRPr="00CE1CAD">
        <w:rPr>
          <w:lang w:val="en-GB"/>
        </w:rPr>
        <w:t>should the Committee deliver its decision before the expiration of the deadline for the complainant’s release, namely</w:t>
      </w:r>
      <w:r w:rsidR="000F1F13" w:rsidRPr="00CE1CAD">
        <w:rPr>
          <w:lang w:val="en-GB"/>
        </w:rPr>
        <w:t>,</w:t>
      </w:r>
      <w:r w:rsidR="00195937" w:rsidRPr="00CE1CAD">
        <w:rPr>
          <w:lang w:val="en-GB"/>
        </w:rPr>
        <w:t xml:space="preserve"> 27 October 2015. However, if the Committee fails to reach a decision until the above</w:t>
      </w:r>
      <w:r w:rsidR="000F1F13" w:rsidRPr="00CE1CAD">
        <w:rPr>
          <w:lang w:val="en-GB"/>
        </w:rPr>
        <w:t>-</w:t>
      </w:r>
      <w:r w:rsidR="00195937" w:rsidRPr="00CE1CAD">
        <w:rPr>
          <w:lang w:val="en-GB"/>
        </w:rPr>
        <w:t>mentioned deadline, the State party will have no other choice but to extradite the complainant in compliance with the bilateral agreement</w:t>
      </w:r>
      <w:r w:rsidR="005E2809" w:rsidRPr="00CE1CAD">
        <w:rPr>
          <w:lang w:val="en-GB"/>
        </w:rPr>
        <w:t xml:space="preserve">. </w:t>
      </w:r>
      <w:r w:rsidR="00DE614E" w:rsidRPr="00CE1CAD">
        <w:rPr>
          <w:lang w:val="en-GB"/>
        </w:rPr>
        <w:t>The State party state</w:t>
      </w:r>
      <w:r w:rsidR="000F1F13" w:rsidRPr="00CE1CAD">
        <w:rPr>
          <w:lang w:val="en-GB"/>
        </w:rPr>
        <w:t>s</w:t>
      </w:r>
      <w:r w:rsidR="00DE614E" w:rsidRPr="00CE1CAD">
        <w:rPr>
          <w:lang w:val="en-GB"/>
        </w:rPr>
        <w:t xml:space="preserve"> </w:t>
      </w:r>
      <w:r w:rsidR="000F1F13" w:rsidRPr="00CE1CAD">
        <w:rPr>
          <w:lang w:val="en-GB"/>
        </w:rPr>
        <w:t xml:space="preserve">that </w:t>
      </w:r>
      <w:r w:rsidR="00DE614E" w:rsidRPr="00CE1CAD">
        <w:rPr>
          <w:lang w:val="en-GB"/>
        </w:rPr>
        <w:t xml:space="preserve">it does not wish to compromise the extradition procedure by releasing the complainant despite the </w:t>
      </w:r>
      <w:r w:rsidR="000F1F13" w:rsidRPr="00CE1CAD">
        <w:rPr>
          <w:lang w:val="en-GB"/>
        </w:rPr>
        <w:t xml:space="preserve">absence </w:t>
      </w:r>
      <w:r w:rsidR="00DE614E" w:rsidRPr="00CE1CAD">
        <w:rPr>
          <w:lang w:val="en-GB"/>
        </w:rPr>
        <w:t xml:space="preserve">of </w:t>
      </w:r>
      <w:r w:rsidR="000F1F13" w:rsidRPr="00CE1CAD">
        <w:rPr>
          <w:lang w:val="en-GB"/>
        </w:rPr>
        <w:t xml:space="preserve">a </w:t>
      </w:r>
      <w:r w:rsidR="00DE614E" w:rsidRPr="00CE1CAD">
        <w:rPr>
          <w:lang w:val="en-GB"/>
        </w:rPr>
        <w:t xml:space="preserve">final decision </w:t>
      </w:r>
      <w:r w:rsidR="000F1F13" w:rsidRPr="00CE1CAD">
        <w:rPr>
          <w:lang w:val="en-GB"/>
        </w:rPr>
        <w:t xml:space="preserve">of </w:t>
      </w:r>
      <w:r w:rsidR="00DE614E" w:rsidRPr="00CE1CAD">
        <w:rPr>
          <w:lang w:val="en-GB"/>
        </w:rPr>
        <w:t>the Committee, or to secure the extradition procedure at the expense of breaching human rights norms and continuously keeping the complainant in detention for an unpredictable period of time.</w:t>
      </w:r>
      <w:r w:rsidR="008573CA" w:rsidRPr="00CE1CAD">
        <w:rPr>
          <w:lang w:val="en-GB"/>
        </w:rPr>
        <w:t xml:space="preserve">  </w:t>
      </w:r>
    </w:p>
    <w:p w14:paraId="3324B3CB" w14:textId="77777777" w:rsidR="00F6152E" w:rsidRPr="00CE1CAD" w:rsidRDefault="00DE614E" w:rsidP="00CE1CAD">
      <w:pPr>
        <w:pStyle w:val="SingleTxtG"/>
      </w:pPr>
      <w:r w:rsidRPr="00CE1CAD">
        <w:rPr>
          <w:lang w:val="en-GB"/>
        </w:rPr>
        <w:t>6</w:t>
      </w:r>
      <w:r w:rsidR="0014723A" w:rsidRPr="00CE1CAD">
        <w:rPr>
          <w:lang w:val="en-GB"/>
        </w:rPr>
        <w:t>.</w:t>
      </w:r>
      <w:r w:rsidR="00164335" w:rsidRPr="00CE1CAD">
        <w:rPr>
          <w:lang w:val="en-GB"/>
        </w:rPr>
        <w:t>1</w:t>
      </w:r>
      <w:r w:rsidRPr="00CE1CAD">
        <w:rPr>
          <w:lang w:val="en-GB"/>
        </w:rPr>
        <w:t>5</w:t>
      </w:r>
      <w:r w:rsidR="00F6152E" w:rsidRPr="00CE1CAD">
        <w:rPr>
          <w:lang w:val="en-GB"/>
        </w:rPr>
        <w:tab/>
      </w:r>
      <w:r w:rsidR="00164335" w:rsidRPr="00CE1CAD">
        <w:rPr>
          <w:lang w:val="en-GB"/>
        </w:rPr>
        <w:t>For the reasons detailed above, the State party considers that the communication is without merit</w:t>
      </w:r>
      <w:r w:rsidRPr="00CE1CAD">
        <w:rPr>
          <w:lang w:val="en-GB"/>
        </w:rPr>
        <w:t xml:space="preserve"> and the complainant’s removal to the </w:t>
      </w:r>
      <w:r w:rsidR="0014145F" w:rsidRPr="00CE1CAD">
        <w:rPr>
          <w:lang w:val="en-GB"/>
        </w:rPr>
        <w:t>United States</w:t>
      </w:r>
      <w:r w:rsidRPr="00CE1CAD">
        <w:rPr>
          <w:lang w:val="en-GB"/>
        </w:rPr>
        <w:t xml:space="preserve"> would not constitute a breach of article 3 of the Convention.</w:t>
      </w:r>
      <w:r w:rsidR="008573CA" w:rsidRPr="00CE1CAD">
        <w:rPr>
          <w:lang w:val="en-GB"/>
        </w:rPr>
        <w:t xml:space="preserve">  </w:t>
      </w:r>
    </w:p>
    <w:p w14:paraId="221233C9" w14:textId="77777777" w:rsidR="0025021C" w:rsidRPr="00CE1CAD" w:rsidRDefault="00F45CC1" w:rsidP="00CE1CAD">
      <w:pPr>
        <w:pStyle w:val="H23G"/>
      </w:pPr>
      <w:r w:rsidRPr="00CE1CAD">
        <w:tab/>
      </w:r>
      <w:r w:rsidRPr="00CE1CAD">
        <w:tab/>
      </w:r>
      <w:r w:rsidR="004A6004" w:rsidRPr="00CE1CAD">
        <w:t>The c</w:t>
      </w:r>
      <w:r w:rsidR="00A07F18" w:rsidRPr="00CE1CAD">
        <w:t>omplainant</w:t>
      </w:r>
      <w:r w:rsidR="004A6004" w:rsidRPr="00CE1CAD">
        <w:t>’</w:t>
      </w:r>
      <w:r w:rsidR="00A07F18" w:rsidRPr="00CE1CAD">
        <w:t xml:space="preserve">s </w:t>
      </w:r>
      <w:r w:rsidR="00F90B16" w:rsidRPr="00CE1CAD">
        <w:t xml:space="preserve">further </w:t>
      </w:r>
      <w:r w:rsidR="00A07F18" w:rsidRPr="00CE1CAD">
        <w:t>comments</w:t>
      </w:r>
    </w:p>
    <w:p w14:paraId="2F5972F9" w14:textId="77777777" w:rsidR="0025108E" w:rsidRPr="00CE1CAD" w:rsidRDefault="00ED60D1" w:rsidP="00CE1CAD">
      <w:pPr>
        <w:pStyle w:val="SingleTxtG"/>
        <w:rPr>
          <w:lang w:val="en-GB"/>
        </w:rPr>
      </w:pPr>
      <w:r w:rsidRPr="00CE1CAD">
        <w:rPr>
          <w:lang w:val="en-GB"/>
        </w:rPr>
        <w:t>7</w:t>
      </w:r>
      <w:r w:rsidR="0025021C" w:rsidRPr="00CE1CAD">
        <w:rPr>
          <w:lang w:val="en-GB"/>
        </w:rPr>
        <w:t>.1</w:t>
      </w:r>
      <w:r w:rsidR="0025021C" w:rsidRPr="00CE1CAD">
        <w:rPr>
          <w:lang w:val="en-GB"/>
        </w:rPr>
        <w:tab/>
      </w:r>
      <w:r w:rsidR="00461C15" w:rsidRPr="00CE1CAD">
        <w:rPr>
          <w:lang w:val="en-GB"/>
        </w:rPr>
        <w:t>On</w:t>
      </w:r>
      <w:r w:rsidR="00105858" w:rsidRPr="00CE1CAD">
        <w:rPr>
          <w:lang w:val="en-GB"/>
        </w:rPr>
        <w:t xml:space="preserve"> </w:t>
      </w:r>
      <w:r w:rsidR="00AB2F3D" w:rsidRPr="00CE1CAD">
        <w:rPr>
          <w:lang w:val="en-GB"/>
        </w:rPr>
        <w:t>23 September</w:t>
      </w:r>
      <w:r w:rsidR="00EB3156" w:rsidRPr="00CE1CAD">
        <w:rPr>
          <w:lang w:val="en-GB"/>
        </w:rPr>
        <w:t xml:space="preserve"> 201</w:t>
      </w:r>
      <w:r w:rsidR="00AB2F3D" w:rsidRPr="00CE1CAD">
        <w:rPr>
          <w:lang w:val="en-GB"/>
        </w:rPr>
        <w:t>5</w:t>
      </w:r>
      <w:r w:rsidR="00EB3156" w:rsidRPr="00CE1CAD">
        <w:rPr>
          <w:lang w:val="en-GB"/>
        </w:rPr>
        <w:t xml:space="preserve">, the complainant </w:t>
      </w:r>
      <w:r w:rsidR="00461C15" w:rsidRPr="00CE1CAD">
        <w:rPr>
          <w:lang w:val="en-GB"/>
        </w:rPr>
        <w:t>submits</w:t>
      </w:r>
      <w:r w:rsidR="00C54FD8" w:rsidRPr="00CE1CAD">
        <w:rPr>
          <w:lang w:val="en-GB"/>
        </w:rPr>
        <w:t xml:space="preserve"> </w:t>
      </w:r>
      <w:r w:rsidR="0025108E" w:rsidRPr="00CE1CAD">
        <w:rPr>
          <w:lang w:val="en-GB"/>
        </w:rPr>
        <w:t xml:space="preserve">that the State party has given an ultimatum to the Committee </w:t>
      </w:r>
      <w:r w:rsidR="00C54FD8" w:rsidRPr="00CE1CAD">
        <w:rPr>
          <w:lang w:val="en-GB"/>
        </w:rPr>
        <w:t xml:space="preserve">by </w:t>
      </w:r>
      <w:r w:rsidR="0025108E" w:rsidRPr="00CE1CAD">
        <w:rPr>
          <w:lang w:val="en-GB"/>
        </w:rPr>
        <w:t>stating that</w:t>
      </w:r>
      <w:r w:rsidR="00F823D6" w:rsidRPr="00CE1CAD">
        <w:rPr>
          <w:lang w:val="en-GB"/>
        </w:rPr>
        <w:t>,</w:t>
      </w:r>
      <w:r w:rsidR="0025108E" w:rsidRPr="00CE1CAD">
        <w:rPr>
          <w:lang w:val="en-GB"/>
        </w:rPr>
        <w:t xml:space="preserve"> if the </w:t>
      </w:r>
      <w:r w:rsidR="00C54FD8" w:rsidRPr="00CE1CAD">
        <w:rPr>
          <w:lang w:val="en-GB"/>
        </w:rPr>
        <w:t xml:space="preserve">Committee does not issue its decision by </w:t>
      </w:r>
      <w:r w:rsidR="0025108E" w:rsidRPr="00CE1CAD">
        <w:rPr>
          <w:lang w:val="en-GB"/>
        </w:rPr>
        <w:t xml:space="preserve">27 October 2015, it will disregard the Committee’s request for interim measures and extradite the complainant to the </w:t>
      </w:r>
      <w:r w:rsidR="0014145F" w:rsidRPr="00CE1CAD">
        <w:rPr>
          <w:lang w:val="en-GB"/>
        </w:rPr>
        <w:t>United States</w:t>
      </w:r>
      <w:r w:rsidR="0025108E" w:rsidRPr="00CE1CAD">
        <w:rPr>
          <w:lang w:val="en-GB"/>
        </w:rPr>
        <w:t xml:space="preserve">. He </w:t>
      </w:r>
      <w:r w:rsidR="00C54FD8" w:rsidRPr="00CE1CAD">
        <w:rPr>
          <w:lang w:val="en-GB"/>
        </w:rPr>
        <w:t>notes</w:t>
      </w:r>
      <w:r w:rsidR="0025108E" w:rsidRPr="00CE1CAD">
        <w:rPr>
          <w:lang w:val="en-GB"/>
        </w:rPr>
        <w:t xml:space="preserve"> that an international convention on human rights and specifically against torture constitutes </w:t>
      </w:r>
      <w:r w:rsidR="00F823D6" w:rsidRPr="00CE1CAD">
        <w:rPr>
          <w:i/>
          <w:lang w:val="en-GB"/>
        </w:rPr>
        <w:t>j</w:t>
      </w:r>
      <w:r w:rsidR="0025108E" w:rsidRPr="00CE1CAD">
        <w:rPr>
          <w:i/>
          <w:lang w:val="en-GB"/>
        </w:rPr>
        <w:t xml:space="preserve">us </w:t>
      </w:r>
      <w:r w:rsidR="00461C15" w:rsidRPr="00CE1CAD">
        <w:rPr>
          <w:i/>
          <w:lang w:val="en-GB"/>
        </w:rPr>
        <w:t>c</w:t>
      </w:r>
      <w:r w:rsidR="0025108E" w:rsidRPr="00CE1CAD">
        <w:rPr>
          <w:i/>
          <w:lang w:val="en-GB"/>
        </w:rPr>
        <w:t>ogens</w:t>
      </w:r>
      <w:r w:rsidR="0025108E" w:rsidRPr="00CE1CAD">
        <w:rPr>
          <w:lang w:val="en-GB"/>
        </w:rPr>
        <w:t xml:space="preserve"> </w:t>
      </w:r>
      <w:r w:rsidR="00C54FD8" w:rsidRPr="00CE1CAD">
        <w:rPr>
          <w:lang w:val="en-GB"/>
        </w:rPr>
        <w:t>in international l</w:t>
      </w:r>
      <w:r w:rsidR="0025108E" w:rsidRPr="00CE1CAD">
        <w:rPr>
          <w:lang w:val="en-GB"/>
        </w:rPr>
        <w:t xml:space="preserve">aw, </w:t>
      </w:r>
      <w:r w:rsidR="0025108E" w:rsidRPr="00CE1CAD">
        <w:rPr>
          <w:lang w:val="en-GB"/>
        </w:rPr>
        <w:lastRenderedPageBreak/>
        <w:t xml:space="preserve">whereas a bilateral treaty between two </w:t>
      </w:r>
      <w:r w:rsidR="00D41546" w:rsidRPr="00CE1CAD">
        <w:rPr>
          <w:lang w:val="en-GB"/>
        </w:rPr>
        <w:t>S</w:t>
      </w:r>
      <w:r w:rsidR="0025108E" w:rsidRPr="00CE1CAD">
        <w:rPr>
          <w:lang w:val="en-GB"/>
        </w:rPr>
        <w:t xml:space="preserve">tates is of much lesser scope both in principle and pertinence. </w:t>
      </w:r>
    </w:p>
    <w:p w14:paraId="159C82D7" w14:textId="77777777" w:rsidR="00ED60D1" w:rsidRPr="00CE1CAD" w:rsidRDefault="009C53BF" w:rsidP="00CE1CAD">
      <w:pPr>
        <w:pStyle w:val="SingleTxtG"/>
        <w:rPr>
          <w:lang w:val="en-GB"/>
        </w:rPr>
      </w:pPr>
      <w:r w:rsidRPr="00CE1CAD">
        <w:rPr>
          <w:lang w:val="en-GB"/>
        </w:rPr>
        <w:t>7.2</w:t>
      </w:r>
      <w:r w:rsidRPr="00CE1CAD">
        <w:rPr>
          <w:lang w:val="en-GB"/>
        </w:rPr>
        <w:tab/>
      </w:r>
      <w:r w:rsidR="00C54FD8" w:rsidRPr="00CE1CAD">
        <w:rPr>
          <w:lang w:val="en-GB"/>
        </w:rPr>
        <w:t xml:space="preserve">On 28 September 2015, </w:t>
      </w:r>
      <w:r w:rsidR="00461C15" w:rsidRPr="00CE1CAD">
        <w:rPr>
          <w:lang w:val="en-GB"/>
        </w:rPr>
        <w:t>t</w:t>
      </w:r>
      <w:r w:rsidR="00C54FD8" w:rsidRPr="00CE1CAD">
        <w:rPr>
          <w:lang w:val="en-GB"/>
        </w:rPr>
        <w:t xml:space="preserve">he </w:t>
      </w:r>
      <w:r w:rsidR="00461C15" w:rsidRPr="00CE1CAD">
        <w:rPr>
          <w:lang w:val="en-GB"/>
        </w:rPr>
        <w:t xml:space="preserve">complainant </w:t>
      </w:r>
      <w:r w:rsidR="00C54FD8" w:rsidRPr="00CE1CAD">
        <w:rPr>
          <w:lang w:val="en-GB"/>
        </w:rPr>
        <w:t>contest</w:t>
      </w:r>
      <w:r w:rsidR="00E57008" w:rsidRPr="00CE1CAD">
        <w:rPr>
          <w:lang w:val="en-GB"/>
        </w:rPr>
        <w:t>ed</w:t>
      </w:r>
      <w:r w:rsidR="00C54FD8" w:rsidRPr="00CE1CAD">
        <w:rPr>
          <w:lang w:val="en-GB"/>
        </w:rPr>
        <w:t xml:space="preserve"> the </w:t>
      </w:r>
      <w:r w:rsidR="00461C15" w:rsidRPr="00CE1CAD">
        <w:rPr>
          <w:lang w:val="en-GB"/>
        </w:rPr>
        <w:t>S</w:t>
      </w:r>
      <w:r w:rsidR="00C54FD8" w:rsidRPr="00CE1CAD">
        <w:rPr>
          <w:lang w:val="en-GB"/>
        </w:rPr>
        <w:t>tate party</w:t>
      </w:r>
      <w:r w:rsidR="00461C15" w:rsidRPr="00CE1CAD">
        <w:rPr>
          <w:lang w:val="en-GB"/>
        </w:rPr>
        <w:t>’s</w:t>
      </w:r>
      <w:r w:rsidR="00C54FD8" w:rsidRPr="00CE1CAD">
        <w:rPr>
          <w:lang w:val="en-GB"/>
        </w:rPr>
        <w:t xml:space="preserve"> observations both </w:t>
      </w:r>
      <w:r w:rsidR="00E57008" w:rsidRPr="00CE1CAD">
        <w:rPr>
          <w:lang w:val="en-GB"/>
        </w:rPr>
        <w:t xml:space="preserve">on </w:t>
      </w:r>
      <w:r w:rsidR="00C54FD8" w:rsidRPr="00CE1CAD">
        <w:rPr>
          <w:lang w:val="en-GB"/>
        </w:rPr>
        <w:t xml:space="preserve">admissibility and </w:t>
      </w:r>
      <w:r w:rsidR="00E57008" w:rsidRPr="00CE1CAD">
        <w:rPr>
          <w:lang w:val="en-GB"/>
        </w:rPr>
        <w:t xml:space="preserve">the </w:t>
      </w:r>
      <w:r w:rsidR="00C54FD8" w:rsidRPr="00CE1CAD">
        <w:rPr>
          <w:lang w:val="en-GB"/>
        </w:rPr>
        <w:t>merits. He reiterate</w:t>
      </w:r>
      <w:r w:rsidR="00E57008" w:rsidRPr="00CE1CAD">
        <w:rPr>
          <w:lang w:val="en-GB"/>
        </w:rPr>
        <w:t>d</w:t>
      </w:r>
      <w:r w:rsidR="00C54FD8" w:rsidRPr="00CE1CAD">
        <w:rPr>
          <w:lang w:val="en-GB"/>
        </w:rPr>
        <w:t xml:space="preserve"> his argumentation concerning the admissibility of the complaint, pointing out again that </w:t>
      </w:r>
      <w:r w:rsidR="00AF239D" w:rsidRPr="00CE1CAD">
        <w:rPr>
          <w:lang w:val="en-GB"/>
        </w:rPr>
        <w:t xml:space="preserve">his application to the European Court had been rejected on procedural grounds and that the </w:t>
      </w:r>
      <w:r w:rsidR="0014145F" w:rsidRPr="00CE1CAD">
        <w:rPr>
          <w:lang w:val="en-GB"/>
        </w:rPr>
        <w:t>United States</w:t>
      </w:r>
      <w:r w:rsidR="00C54FD8" w:rsidRPr="00CE1CAD">
        <w:rPr>
          <w:lang w:val="en-GB"/>
        </w:rPr>
        <w:t xml:space="preserve"> authorities</w:t>
      </w:r>
      <w:r w:rsidR="00FC31A5" w:rsidRPr="00CE1CAD">
        <w:rPr>
          <w:lang w:val="en-GB"/>
        </w:rPr>
        <w:t xml:space="preserve"> ha</w:t>
      </w:r>
      <w:r w:rsidR="00E57008" w:rsidRPr="00CE1CAD">
        <w:rPr>
          <w:lang w:val="en-GB"/>
        </w:rPr>
        <w:t>d</w:t>
      </w:r>
      <w:r w:rsidR="00FC31A5" w:rsidRPr="00CE1CAD">
        <w:rPr>
          <w:lang w:val="en-GB"/>
        </w:rPr>
        <w:t xml:space="preserve"> not investigated his claims of torture and mistreatment </w:t>
      </w:r>
      <w:r w:rsidR="00C54FD8" w:rsidRPr="00CE1CAD">
        <w:rPr>
          <w:lang w:val="en-GB"/>
        </w:rPr>
        <w:t xml:space="preserve">in the </w:t>
      </w:r>
      <w:r w:rsidR="0014145F" w:rsidRPr="00CE1CAD">
        <w:rPr>
          <w:lang w:val="en-GB"/>
        </w:rPr>
        <w:t>United States</w:t>
      </w:r>
      <w:r w:rsidR="00C54FD8" w:rsidRPr="00CE1CAD">
        <w:rPr>
          <w:lang w:val="en-GB"/>
        </w:rPr>
        <w:t xml:space="preserve"> prisons. </w:t>
      </w:r>
      <w:r w:rsidR="00FC31A5" w:rsidRPr="00CE1CAD">
        <w:rPr>
          <w:lang w:val="en-GB"/>
        </w:rPr>
        <w:t xml:space="preserve">He </w:t>
      </w:r>
      <w:r w:rsidR="00E3634F" w:rsidRPr="00CE1CAD">
        <w:rPr>
          <w:lang w:val="en-GB"/>
        </w:rPr>
        <w:t>also reiterate</w:t>
      </w:r>
      <w:r w:rsidR="00E57008" w:rsidRPr="00CE1CAD">
        <w:rPr>
          <w:lang w:val="en-GB"/>
        </w:rPr>
        <w:t>d</w:t>
      </w:r>
      <w:r w:rsidR="00E3634F" w:rsidRPr="00CE1CAD">
        <w:rPr>
          <w:lang w:val="en-GB"/>
        </w:rPr>
        <w:t xml:space="preserve"> that the police, </w:t>
      </w:r>
      <w:r w:rsidR="00735BAC" w:rsidRPr="00CE1CAD">
        <w:rPr>
          <w:lang w:val="en-GB"/>
        </w:rPr>
        <w:t xml:space="preserve">the </w:t>
      </w:r>
      <w:r w:rsidR="00E3634F" w:rsidRPr="00CE1CAD">
        <w:rPr>
          <w:lang w:val="en-GB"/>
        </w:rPr>
        <w:t>prosecution</w:t>
      </w:r>
      <w:r w:rsidR="008573CA" w:rsidRPr="00CE1CAD">
        <w:rPr>
          <w:lang w:val="en-GB"/>
        </w:rPr>
        <w:t xml:space="preserve"> </w:t>
      </w:r>
      <w:r w:rsidR="00735BAC" w:rsidRPr="00CE1CAD">
        <w:rPr>
          <w:lang w:val="en-GB"/>
        </w:rPr>
        <w:t xml:space="preserve">and </w:t>
      </w:r>
      <w:r w:rsidR="00E3634F" w:rsidRPr="00CE1CAD">
        <w:rPr>
          <w:lang w:val="en-GB"/>
        </w:rPr>
        <w:t xml:space="preserve">the Ministry of Justice of the State party </w:t>
      </w:r>
      <w:r w:rsidR="00735BAC" w:rsidRPr="00CE1CAD">
        <w:rPr>
          <w:lang w:val="en-GB"/>
        </w:rPr>
        <w:t xml:space="preserve">did not </w:t>
      </w:r>
      <w:r w:rsidR="00AF239D" w:rsidRPr="00CE1CAD">
        <w:rPr>
          <w:lang w:val="en-GB"/>
        </w:rPr>
        <w:t>responded to</w:t>
      </w:r>
      <w:r w:rsidR="00E3634F" w:rsidRPr="00CE1CAD">
        <w:rPr>
          <w:lang w:val="en-GB"/>
        </w:rPr>
        <w:t xml:space="preserve"> his numerous requests to utilize the </w:t>
      </w:r>
      <w:r w:rsidR="00E57008" w:rsidRPr="00CE1CAD">
        <w:rPr>
          <w:lang w:val="en-GB"/>
        </w:rPr>
        <w:t>m</w:t>
      </w:r>
      <w:r w:rsidR="00E3634F" w:rsidRPr="00CE1CAD">
        <w:rPr>
          <w:lang w:val="en-GB"/>
        </w:rPr>
        <w:t xml:space="preserve">utual </w:t>
      </w:r>
      <w:r w:rsidR="00E57008" w:rsidRPr="00CE1CAD">
        <w:rPr>
          <w:lang w:val="en-GB"/>
        </w:rPr>
        <w:t>l</w:t>
      </w:r>
      <w:r w:rsidR="00E3634F" w:rsidRPr="00CE1CAD">
        <w:rPr>
          <w:lang w:val="en-GB"/>
        </w:rPr>
        <w:t xml:space="preserve">egal </w:t>
      </w:r>
      <w:r w:rsidR="00E57008" w:rsidRPr="00CE1CAD">
        <w:rPr>
          <w:lang w:val="en-GB"/>
        </w:rPr>
        <w:t>a</w:t>
      </w:r>
      <w:r w:rsidR="00E3634F" w:rsidRPr="00CE1CAD">
        <w:rPr>
          <w:lang w:val="en-GB"/>
        </w:rPr>
        <w:t xml:space="preserve">ssistance </w:t>
      </w:r>
      <w:r w:rsidR="00E57008" w:rsidRPr="00CE1CAD">
        <w:rPr>
          <w:lang w:val="en-GB"/>
        </w:rPr>
        <w:t>t</w:t>
      </w:r>
      <w:r w:rsidR="00E3634F" w:rsidRPr="00CE1CAD">
        <w:rPr>
          <w:lang w:val="en-GB"/>
        </w:rPr>
        <w:t xml:space="preserve">reaty in order to ask their </w:t>
      </w:r>
      <w:r w:rsidR="0014145F" w:rsidRPr="00CE1CAD">
        <w:rPr>
          <w:lang w:val="en-GB"/>
        </w:rPr>
        <w:t>United States</w:t>
      </w:r>
      <w:r w:rsidR="00E3634F" w:rsidRPr="00CE1CAD">
        <w:rPr>
          <w:lang w:val="en-GB"/>
        </w:rPr>
        <w:t xml:space="preserve"> counterparts for assistance in the investigation regarding the anti-Semitic death threats he </w:t>
      </w:r>
      <w:r w:rsidR="00E57008" w:rsidRPr="00CE1CAD">
        <w:rPr>
          <w:lang w:val="en-GB"/>
        </w:rPr>
        <w:t xml:space="preserve">had </w:t>
      </w:r>
      <w:r w:rsidR="00E3634F" w:rsidRPr="00CE1CAD">
        <w:rPr>
          <w:lang w:val="en-GB"/>
        </w:rPr>
        <w:t xml:space="preserve">received </w:t>
      </w:r>
      <w:r w:rsidR="00E57008" w:rsidRPr="00CE1CAD">
        <w:rPr>
          <w:lang w:val="en-GB"/>
        </w:rPr>
        <w:t xml:space="preserve">by post </w:t>
      </w:r>
      <w:r w:rsidR="00E3634F" w:rsidRPr="00CE1CAD">
        <w:rPr>
          <w:lang w:val="en-GB"/>
        </w:rPr>
        <w:t xml:space="preserve">from the </w:t>
      </w:r>
      <w:r w:rsidR="0014145F" w:rsidRPr="00CE1CAD">
        <w:rPr>
          <w:lang w:val="en-GB"/>
        </w:rPr>
        <w:t>United States</w:t>
      </w:r>
      <w:r w:rsidR="00E3634F" w:rsidRPr="00CE1CAD">
        <w:rPr>
          <w:lang w:val="en-GB"/>
        </w:rPr>
        <w:t xml:space="preserve">. </w:t>
      </w:r>
    </w:p>
    <w:p w14:paraId="3054376A" w14:textId="77777777" w:rsidR="0087276F" w:rsidRPr="00CE1CAD" w:rsidRDefault="002D221C" w:rsidP="00CE1CAD">
      <w:pPr>
        <w:pStyle w:val="SingleTxtG"/>
        <w:rPr>
          <w:lang w:val="en-GB"/>
        </w:rPr>
      </w:pPr>
      <w:r w:rsidRPr="00CE1CAD">
        <w:rPr>
          <w:lang w:val="en-GB"/>
        </w:rPr>
        <w:t>7.3</w:t>
      </w:r>
      <w:r w:rsidRPr="00CE1CAD">
        <w:rPr>
          <w:lang w:val="en-GB"/>
        </w:rPr>
        <w:tab/>
        <w:t>The complainant submit</w:t>
      </w:r>
      <w:r w:rsidR="00461C15" w:rsidRPr="00CE1CAD">
        <w:rPr>
          <w:lang w:val="en-GB"/>
        </w:rPr>
        <w:t>s</w:t>
      </w:r>
      <w:r w:rsidRPr="00CE1CAD">
        <w:rPr>
          <w:lang w:val="en-GB"/>
        </w:rPr>
        <w:t xml:space="preserve"> that the combination of official court documents he filed in the </w:t>
      </w:r>
      <w:r w:rsidR="0014145F" w:rsidRPr="00CE1CAD">
        <w:rPr>
          <w:lang w:val="en-GB"/>
        </w:rPr>
        <w:t>United States</w:t>
      </w:r>
      <w:r w:rsidRPr="00CE1CAD">
        <w:rPr>
          <w:lang w:val="en-GB"/>
        </w:rPr>
        <w:t xml:space="preserve"> and the death threats that the State party refused to investigate should justify a </w:t>
      </w:r>
      <w:r w:rsidR="00F11DFD" w:rsidRPr="00CE1CAD">
        <w:rPr>
          <w:lang w:val="en-GB"/>
        </w:rPr>
        <w:t xml:space="preserve">finding of </w:t>
      </w:r>
      <w:r w:rsidR="00E57008" w:rsidRPr="00CE1CAD">
        <w:rPr>
          <w:lang w:val="en-GB"/>
        </w:rPr>
        <w:t xml:space="preserve">a </w:t>
      </w:r>
      <w:r w:rsidRPr="00CE1CAD">
        <w:rPr>
          <w:lang w:val="en-GB"/>
        </w:rPr>
        <w:t xml:space="preserve">violation of article 3 of the Convention. He claims </w:t>
      </w:r>
      <w:r w:rsidR="00E57008" w:rsidRPr="00CE1CAD">
        <w:rPr>
          <w:lang w:val="en-GB"/>
        </w:rPr>
        <w:t xml:space="preserve">that he is </w:t>
      </w:r>
      <w:r w:rsidRPr="00CE1CAD">
        <w:rPr>
          <w:lang w:val="en-GB"/>
        </w:rPr>
        <w:t xml:space="preserve">a </w:t>
      </w:r>
      <w:r w:rsidR="00AF239D" w:rsidRPr="00CE1CAD">
        <w:rPr>
          <w:lang w:val="en-GB"/>
        </w:rPr>
        <w:t xml:space="preserve">member of a </w:t>
      </w:r>
      <w:r w:rsidRPr="00CE1CAD">
        <w:rPr>
          <w:lang w:val="en-GB"/>
        </w:rPr>
        <w:t xml:space="preserve">visible minority, </w:t>
      </w:r>
      <w:r w:rsidR="00E57008" w:rsidRPr="00CE1CAD">
        <w:rPr>
          <w:lang w:val="en-GB"/>
        </w:rPr>
        <w:t xml:space="preserve">namely, </w:t>
      </w:r>
      <w:r w:rsidRPr="00CE1CAD">
        <w:rPr>
          <w:lang w:val="en-GB"/>
        </w:rPr>
        <w:t xml:space="preserve">a Chassidic Jew. </w:t>
      </w:r>
      <w:r w:rsidR="004425F6" w:rsidRPr="00CE1CAD">
        <w:rPr>
          <w:lang w:val="en-GB"/>
        </w:rPr>
        <w:t>He objects to the State party</w:t>
      </w:r>
      <w:r w:rsidR="00F11DFD" w:rsidRPr="00CE1CAD">
        <w:rPr>
          <w:lang w:val="en-GB"/>
        </w:rPr>
        <w:t>’s</w:t>
      </w:r>
      <w:r w:rsidR="004425F6" w:rsidRPr="00CE1CAD">
        <w:rPr>
          <w:lang w:val="en-GB"/>
        </w:rPr>
        <w:t xml:space="preserve"> submission that he ha</w:t>
      </w:r>
      <w:r w:rsidR="00F11DFD" w:rsidRPr="00CE1CAD">
        <w:rPr>
          <w:lang w:val="en-GB"/>
        </w:rPr>
        <w:t>d</w:t>
      </w:r>
      <w:r w:rsidR="004425F6" w:rsidRPr="00CE1CAD">
        <w:rPr>
          <w:lang w:val="en-GB"/>
        </w:rPr>
        <w:t xml:space="preserve"> not substantiated the personal risk of being subject to torture and maintains </w:t>
      </w:r>
      <w:r w:rsidR="00E57008" w:rsidRPr="00CE1CAD">
        <w:rPr>
          <w:lang w:val="en-GB"/>
        </w:rPr>
        <w:t xml:space="preserve">that he was the </w:t>
      </w:r>
      <w:r w:rsidR="004425F6" w:rsidRPr="00CE1CAD">
        <w:rPr>
          <w:lang w:val="en-GB"/>
        </w:rPr>
        <w:t xml:space="preserve">victim </w:t>
      </w:r>
      <w:r w:rsidR="00E57008" w:rsidRPr="00CE1CAD">
        <w:rPr>
          <w:lang w:val="en-GB"/>
        </w:rPr>
        <w:t xml:space="preserve">on multiple occasions </w:t>
      </w:r>
      <w:r w:rsidR="004425F6" w:rsidRPr="00CE1CAD">
        <w:rPr>
          <w:lang w:val="en-GB"/>
        </w:rPr>
        <w:t>of gang rape, sodomy and oral rape. He notes that</w:t>
      </w:r>
      <w:r w:rsidR="00E57008" w:rsidRPr="00CE1CAD">
        <w:rPr>
          <w:lang w:val="en-GB"/>
        </w:rPr>
        <w:t>,</w:t>
      </w:r>
      <w:r w:rsidR="004425F6" w:rsidRPr="00CE1CAD">
        <w:rPr>
          <w:lang w:val="en-GB"/>
        </w:rPr>
        <w:t xml:space="preserve"> </w:t>
      </w:r>
      <w:r w:rsidR="001621BB" w:rsidRPr="00CE1CAD">
        <w:rPr>
          <w:lang w:val="en-GB"/>
        </w:rPr>
        <w:t>as a victim of rape</w:t>
      </w:r>
      <w:r w:rsidR="00E57008" w:rsidRPr="00CE1CAD">
        <w:rPr>
          <w:lang w:val="en-GB"/>
        </w:rPr>
        <w:t>,</w:t>
      </w:r>
      <w:r w:rsidR="001621BB" w:rsidRPr="00CE1CAD">
        <w:rPr>
          <w:lang w:val="en-GB"/>
        </w:rPr>
        <w:t xml:space="preserve"> </w:t>
      </w:r>
      <w:r w:rsidR="004425F6" w:rsidRPr="00CE1CAD">
        <w:rPr>
          <w:lang w:val="en-GB"/>
        </w:rPr>
        <w:t xml:space="preserve">he is in need of protection </w:t>
      </w:r>
      <w:r w:rsidR="001621BB" w:rsidRPr="00CE1CAD">
        <w:rPr>
          <w:lang w:val="en-GB"/>
        </w:rPr>
        <w:t>in order to prevent even a remote possible chance of re</w:t>
      </w:r>
      <w:r w:rsidR="00167E18" w:rsidRPr="00CE1CAD">
        <w:rPr>
          <w:lang w:val="en-GB"/>
        </w:rPr>
        <w:t>-</w:t>
      </w:r>
      <w:r w:rsidR="001621BB" w:rsidRPr="00CE1CAD">
        <w:rPr>
          <w:lang w:val="en-GB"/>
        </w:rPr>
        <w:t xml:space="preserve">victimization. Moreover, in a prison population dominated by white supremacists, the Aryan brotherhood and Muslim brotherhood, there is a high probability </w:t>
      </w:r>
      <w:r w:rsidR="00E57008" w:rsidRPr="00CE1CAD">
        <w:rPr>
          <w:lang w:val="en-GB"/>
        </w:rPr>
        <w:t xml:space="preserve">of </w:t>
      </w:r>
      <w:r w:rsidR="001621BB" w:rsidRPr="00CE1CAD">
        <w:rPr>
          <w:lang w:val="en-GB"/>
        </w:rPr>
        <w:t xml:space="preserve">him </w:t>
      </w:r>
      <w:r w:rsidR="00E57008" w:rsidRPr="00CE1CAD">
        <w:rPr>
          <w:lang w:val="en-GB"/>
        </w:rPr>
        <w:t xml:space="preserve">being </w:t>
      </w:r>
      <w:r w:rsidR="001621BB" w:rsidRPr="00CE1CAD">
        <w:rPr>
          <w:lang w:val="en-GB"/>
        </w:rPr>
        <w:t xml:space="preserve">re-victimized. The complainant claims </w:t>
      </w:r>
      <w:r w:rsidR="00E57008" w:rsidRPr="00CE1CAD">
        <w:rPr>
          <w:lang w:val="en-GB"/>
        </w:rPr>
        <w:t xml:space="preserve">that he was a victim of </w:t>
      </w:r>
      <w:r w:rsidR="001621BB" w:rsidRPr="00CE1CAD">
        <w:rPr>
          <w:lang w:val="en-GB"/>
        </w:rPr>
        <w:t>brutality by prison staff</w:t>
      </w:r>
      <w:r w:rsidR="00F11DFD" w:rsidRPr="00CE1CAD">
        <w:rPr>
          <w:lang w:val="en-GB"/>
        </w:rPr>
        <w:t xml:space="preserve">. </w:t>
      </w:r>
      <w:r w:rsidR="00E2087C" w:rsidRPr="00CE1CAD">
        <w:rPr>
          <w:lang w:val="en-GB"/>
        </w:rPr>
        <w:t>H</w:t>
      </w:r>
      <w:r w:rsidR="001621BB" w:rsidRPr="00CE1CAD">
        <w:rPr>
          <w:lang w:val="en-GB"/>
        </w:rPr>
        <w:t xml:space="preserve">e submits </w:t>
      </w:r>
      <w:r w:rsidR="00F11DFD" w:rsidRPr="00CE1CAD">
        <w:rPr>
          <w:lang w:val="en-GB"/>
        </w:rPr>
        <w:t>that</w:t>
      </w:r>
      <w:r w:rsidR="00E57008" w:rsidRPr="00CE1CAD">
        <w:rPr>
          <w:lang w:val="en-GB"/>
        </w:rPr>
        <w:t>,</w:t>
      </w:r>
      <w:r w:rsidR="00F11DFD" w:rsidRPr="00CE1CAD">
        <w:rPr>
          <w:lang w:val="en-GB"/>
        </w:rPr>
        <w:t xml:space="preserve"> </w:t>
      </w:r>
      <w:r w:rsidR="00E57008" w:rsidRPr="00CE1CAD">
        <w:rPr>
          <w:lang w:val="en-GB"/>
        </w:rPr>
        <w:t xml:space="preserve">having </w:t>
      </w:r>
      <w:r w:rsidR="001621BB" w:rsidRPr="00CE1CAD">
        <w:rPr>
          <w:lang w:val="en-GB"/>
        </w:rPr>
        <w:t>being raped multiple times</w:t>
      </w:r>
      <w:r w:rsidR="00E57008" w:rsidRPr="00CE1CAD">
        <w:rPr>
          <w:lang w:val="en-GB"/>
        </w:rPr>
        <w:t>,</w:t>
      </w:r>
      <w:r w:rsidR="001621BB" w:rsidRPr="00CE1CAD">
        <w:rPr>
          <w:lang w:val="en-GB"/>
        </w:rPr>
        <w:t xml:space="preserve"> he is scarred for life</w:t>
      </w:r>
      <w:r w:rsidR="0096771A" w:rsidRPr="00CE1CAD">
        <w:rPr>
          <w:lang w:val="en-GB"/>
        </w:rPr>
        <w:t xml:space="preserve"> and </w:t>
      </w:r>
      <w:r w:rsidR="00E57008" w:rsidRPr="00CE1CAD">
        <w:rPr>
          <w:lang w:val="en-GB"/>
        </w:rPr>
        <w:t xml:space="preserve">has been </w:t>
      </w:r>
      <w:r w:rsidR="0096771A" w:rsidRPr="00CE1CAD">
        <w:rPr>
          <w:lang w:val="en-GB"/>
        </w:rPr>
        <w:t xml:space="preserve">diagnosed with </w:t>
      </w:r>
      <w:r w:rsidR="00884B63" w:rsidRPr="00CE1CAD">
        <w:rPr>
          <w:lang w:val="en-GB"/>
        </w:rPr>
        <w:t>post-traumatic stress disorder</w:t>
      </w:r>
      <w:r w:rsidR="001621BB" w:rsidRPr="00CE1CAD">
        <w:rPr>
          <w:lang w:val="en-GB"/>
        </w:rPr>
        <w:t xml:space="preserve">. He claims he will be deprived of his medication </w:t>
      </w:r>
      <w:r w:rsidR="0096771A" w:rsidRPr="00CE1CAD">
        <w:rPr>
          <w:lang w:val="en-GB"/>
        </w:rPr>
        <w:t xml:space="preserve">for treatment of panic attacks </w:t>
      </w:r>
      <w:r w:rsidR="001621BB" w:rsidRPr="00CE1CAD">
        <w:rPr>
          <w:lang w:val="en-GB"/>
        </w:rPr>
        <w:t xml:space="preserve">(Benzodiazepines) and </w:t>
      </w:r>
      <w:r w:rsidR="00E2087C" w:rsidRPr="00CE1CAD">
        <w:rPr>
          <w:lang w:val="en-GB"/>
        </w:rPr>
        <w:t xml:space="preserve">that </w:t>
      </w:r>
      <w:r w:rsidR="001621BB" w:rsidRPr="00CE1CAD">
        <w:rPr>
          <w:lang w:val="en-GB"/>
        </w:rPr>
        <w:t xml:space="preserve">withdrawal </w:t>
      </w:r>
      <w:r w:rsidR="0096771A" w:rsidRPr="00CE1CAD">
        <w:rPr>
          <w:lang w:val="en-GB"/>
        </w:rPr>
        <w:t>from</w:t>
      </w:r>
      <w:r w:rsidR="001621BB" w:rsidRPr="00CE1CAD">
        <w:rPr>
          <w:lang w:val="en-GB"/>
        </w:rPr>
        <w:t xml:space="preserve"> this </w:t>
      </w:r>
      <w:r w:rsidR="0096771A" w:rsidRPr="00CE1CAD">
        <w:rPr>
          <w:lang w:val="en-GB"/>
        </w:rPr>
        <w:t>can</w:t>
      </w:r>
      <w:r w:rsidR="001621BB" w:rsidRPr="00CE1CAD">
        <w:rPr>
          <w:lang w:val="en-GB"/>
        </w:rPr>
        <w:t xml:space="preserve"> be fatal. </w:t>
      </w:r>
      <w:r w:rsidR="0096771A" w:rsidRPr="00CE1CAD">
        <w:rPr>
          <w:lang w:val="en-GB"/>
        </w:rPr>
        <w:t xml:space="preserve">He questions the assurances given by the </w:t>
      </w:r>
      <w:r w:rsidR="00167E18" w:rsidRPr="00CE1CAD">
        <w:rPr>
          <w:lang w:val="en-GB"/>
        </w:rPr>
        <w:t xml:space="preserve">Attorney’s Office on behalf of the </w:t>
      </w:r>
      <w:r w:rsidR="008B0F86" w:rsidRPr="00CE1CAD">
        <w:rPr>
          <w:lang w:val="en-GB"/>
        </w:rPr>
        <w:t xml:space="preserve">United States Federal </w:t>
      </w:r>
      <w:r w:rsidR="00167E18" w:rsidRPr="00CE1CAD">
        <w:rPr>
          <w:lang w:val="en-GB"/>
        </w:rPr>
        <w:t>Bureau of Prisons</w:t>
      </w:r>
      <w:r w:rsidR="008B0F86" w:rsidRPr="00CE1CAD">
        <w:rPr>
          <w:lang w:val="en-GB"/>
        </w:rPr>
        <w:t>,</w:t>
      </w:r>
      <w:r w:rsidR="00167E18" w:rsidRPr="00CE1CAD">
        <w:rPr>
          <w:lang w:val="en-GB"/>
        </w:rPr>
        <w:t xml:space="preserve"> </w:t>
      </w:r>
      <w:r w:rsidR="008B0F86" w:rsidRPr="00CE1CAD">
        <w:rPr>
          <w:lang w:val="en-GB"/>
        </w:rPr>
        <w:t xml:space="preserve">which </w:t>
      </w:r>
      <w:r w:rsidR="00167E18" w:rsidRPr="00CE1CAD">
        <w:rPr>
          <w:lang w:val="en-GB"/>
        </w:rPr>
        <w:t xml:space="preserve">is independent and will contest the use of </w:t>
      </w:r>
      <w:r w:rsidR="00E2087C" w:rsidRPr="00CE1CAD">
        <w:rPr>
          <w:lang w:val="en-GB"/>
        </w:rPr>
        <w:t>“</w:t>
      </w:r>
      <w:r w:rsidR="00167E18" w:rsidRPr="00CE1CAD">
        <w:rPr>
          <w:lang w:val="en-GB"/>
        </w:rPr>
        <w:t>non-formulary</w:t>
      </w:r>
      <w:r w:rsidR="00E2087C" w:rsidRPr="00CE1CAD">
        <w:rPr>
          <w:lang w:val="en-GB"/>
        </w:rPr>
        <w:t>”</w:t>
      </w:r>
      <w:r w:rsidR="00167E18" w:rsidRPr="00CE1CAD">
        <w:rPr>
          <w:lang w:val="en-GB"/>
        </w:rPr>
        <w:t xml:space="preserve"> drugs</w:t>
      </w:r>
      <w:r w:rsidR="00E2087C" w:rsidRPr="00CE1CAD">
        <w:rPr>
          <w:lang w:val="en-GB"/>
        </w:rPr>
        <w:t>, even if ordered by a judge</w:t>
      </w:r>
      <w:r w:rsidR="00E57008" w:rsidRPr="00CE1CAD">
        <w:rPr>
          <w:lang w:val="en-GB"/>
        </w:rPr>
        <w:t>,</w:t>
      </w:r>
      <w:r w:rsidR="00E2087C" w:rsidRPr="00CE1CAD">
        <w:rPr>
          <w:lang w:val="en-GB"/>
        </w:rPr>
        <w:t xml:space="preserve"> and </w:t>
      </w:r>
      <w:r w:rsidR="00E57008" w:rsidRPr="00CE1CAD">
        <w:rPr>
          <w:lang w:val="en-GB"/>
        </w:rPr>
        <w:t xml:space="preserve">claims </w:t>
      </w:r>
      <w:r w:rsidR="00E2087C" w:rsidRPr="00CE1CAD">
        <w:rPr>
          <w:lang w:val="en-GB"/>
        </w:rPr>
        <w:t xml:space="preserve">that the appeal proceedings </w:t>
      </w:r>
      <w:r w:rsidR="00E57008" w:rsidRPr="00CE1CAD">
        <w:rPr>
          <w:lang w:val="en-GB"/>
        </w:rPr>
        <w:t xml:space="preserve">can </w:t>
      </w:r>
      <w:r w:rsidR="00E2087C" w:rsidRPr="00CE1CAD">
        <w:rPr>
          <w:lang w:val="en-GB"/>
        </w:rPr>
        <w:t xml:space="preserve">last between </w:t>
      </w:r>
      <w:r w:rsidR="00E57008" w:rsidRPr="00CE1CAD">
        <w:rPr>
          <w:lang w:val="en-GB"/>
        </w:rPr>
        <w:t xml:space="preserve">6 </w:t>
      </w:r>
      <w:r w:rsidR="00E2087C" w:rsidRPr="00CE1CAD">
        <w:rPr>
          <w:lang w:val="en-GB"/>
        </w:rPr>
        <w:t>and 12 months</w:t>
      </w:r>
      <w:r w:rsidR="00167E18" w:rsidRPr="00CE1CAD">
        <w:rPr>
          <w:lang w:val="en-GB"/>
        </w:rPr>
        <w:t xml:space="preserve">. </w:t>
      </w:r>
    </w:p>
    <w:p w14:paraId="29DEB806" w14:textId="77777777" w:rsidR="00ED60D1" w:rsidRPr="00CE1CAD" w:rsidRDefault="00167E18" w:rsidP="00CE1CAD">
      <w:pPr>
        <w:pStyle w:val="SingleTxtG"/>
        <w:rPr>
          <w:lang w:val="en-GB"/>
        </w:rPr>
      </w:pPr>
      <w:r w:rsidRPr="00CE1CAD">
        <w:rPr>
          <w:lang w:val="en-GB"/>
        </w:rPr>
        <w:t>7.4</w:t>
      </w:r>
      <w:r w:rsidRPr="00CE1CAD">
        <w:rPr>
          <w:lang w:val="en-GB"/>
        </w:rPr>
        <w:tab/>
      </w:r>
      <w:r w:rsidR="0087276F" w:rsidRPr="00CE1CAD">
        <w:rPr>
          <w:lang w:val="en-GB"/>
        </w:rPr>
        <w:t xml:space="preserve">Furthermore, the complainant reiterates his claims of torture and </w:t>
      </w:r>
      <w:r w:rsidR="00E57008" w:rsidRPr="00CE1CAD">
        <w:rPr>
          <w:lang w:val="en-GB"/>
        </w:rPr>
        <w:t xml:space="preserve">having spent </w:t>
      </w:r>
      <w:r w:rsidR="0087276F" w:rsidRPr="00CE1CAD">
        <w:rPr>
          <w:lang w:val="en-GB"/>
        </w:rPr>
        <w:t xml:space="preserve">13 months </w:t>
      </w:r>
      <w:r w:rsidR="00E57008" w:rsidRPr="00CE1CAD">
        <w:rPr>
          <w:lang w:val="en-GB"/>
        </w:rPr>
        <w:t xml:space="preserve">in </w:t>
      </w:r>
      <w:r w:rsidR="0087276F" w:rsidRPr="00CE1CAD">
        <w:rPr>
          <w:lang w:val="en-GB"/>
        </w:rPr>
        <w:t>solitary confinement</w:t>
      </w:r>
      <w:r w:rsidR="00F11DFD" w:rsidRPr="00CE1CAD">
        <w:rPr>
          <w:lang w:val="en-GB"/>
        </w:rPr>
        <w:t>,</w:t>
      </w:r>
      <w:r w:rsidR="0087276F" w:rsidRPr="00CE1CAD">
        <w:rPr>
          <w:lang w:val="en-GB"/>
        </w:rPr>
        <w:t xml:space="preserve"> which he </w:t>
      </w:r>
      <w:r w:rsidR="00E57008" w:rsidRPr="00CE1CAD">
        <w:rPr>
          <w:lang w:val="en-GB"/>
        </w:rPr>
        <w:t xml:space="preserve">states </w:t>
      </w:r>
      <w:r w:rsidR="00F11DFD" w:rsidRPr="00CE1CAD">
        <w:rPr>
          <w:lang w:val="en-GB"/>
        </w:rPr>
        <w:t xml:space="preserve">constituted </w:t>
      </w:r>
      <w:r w:rsidR="002024B2" w:rsidRPr="00CE1CAD">
        <w:rPr>
          <w:lang w:val="en-GB"/>
        </w:rPr>
        <w:t>“</w:t>
      </w:r>
      <w:r w:rsidR="0087276F" w:rsidRPr="00CE1CAD">
        <w:rPr>
          <w:lang w:val="en-GB"/>
        </w:rPr>
        <w:t>revenge by extended isolation</w:t>
      </w:r>
      <w:r w:rsidR="002024B2" w:rsidRPr="00CE1CAD">
        <w:rPr>
          <w:lang w:val="en-GB"/>
        </w:rPr>
        <w:t>”</w:t>
      </w:r>
      <w:r w:rsidR="0087276F" w:rsidRPr="00CE1CAD">
        <w:rPr>
          <w:lang w:val="en-GB"/>
        </w:rPr>
        <w:t>. He objects to the State party</w:t>
      </w:r>
      <w:r w:rsidR="00F11DFD" w:rsidRPr="00CE1CAD">
        <w:rPr>
          <w:lang w:val="en-GB"/>
        </w:rPr>
        <w:t>’s position</w:t>
      </w:r>
      <w:r w:rsidR="0087276F" w:rsidRPr="00CE1CAD">
        <w:rPr>
          <w:lang w:val="en-GB"/>
        </w:rPr>
        <w:t xml:space="preserve"> that solitary confinement is not a torture in itself. </w:t>
      </w:r>
      <w:r w:rsidRPr="00CE1CAD">
        <w:rPr>
          <w:lang w:val="en-GB"/>
        </w:rPr>
        <w:t>The complainant claim</w:t>
      </w:r>
      <w:r w:rsidR="0087276F" w:rsidRPr="00CE1CAD">
        <w:rPr>
          <w:lang w:val="en-GB"/>
        </w:rPr>
        <w:t>s</w:t>
      </w:r>
      <w:r w:rsidRPr="00CE1CAD">
        <w:rPr>
          <w:lang w:val="en-GB"/>
        </w:rPr>
        <w:t xml:space="preserve"> </w:t>
      </w:r>
      <w:r w:rsidR="00E57008" w:rsidRPr="00CE1CAD">
        <w:rPr>
          <w:lang w:val="en-GB"/>
        </w:rPr>
        <w:t xml:space="preserve">to be </w:t>
      </w:r>
      <w:r w:rsidRPr="00CE1CAD">
        <w:rPr>
          <w:lang w:val="en-GB"/>
        </w:rPr>
        <w:t xml:space="preserve">on </w:t>
      </w:r>
      <w:r w:rsidR="00E57008" w:rsidRPr="00CE1CAD">
        <w:rPr>
          <w:lang w:val="en-GB"/>
        </w:rPr>
        <w:t xml:space="preserve">a target </w:t>
      </w:r>
      <w:r w:rsidRPr="00CE1CAD">
        <w:rPr>
          <w:lang w:val="en-GB"/>
        </w:rPr>
        <w:t>list of the Aryan brotherhood and that sometimes prison staff are also members</w:t>
      </w:r>
      <w:r w:rsidR="00E57008" w:rsidRPr="00CE1CAD">
        <w:rPr>
          <w:lang w:val="en-GB"/>
        </w:rPr>
        <w:t xml:space="preserve"> of that group</w:t>
      </w:r>
      <w:r w:rsidRPr="00CE1CAD">
        <w:rPr>
          <w:lang w:val="en-GB"/>
        </w:rPr>
        <w:t xml:space="preserve">. </w:t>
      </w:r>
      <w:r w:rsidR="0087276F" w:rsidRPr="00CE1CAD">
        <w:rPr>
          <w:lang w:val="en-GB"/>
        </w:rPr>
        <w:t>In sum</w:t>
      </w:r>
      <w:r w:rsidR="00E57008" w:rsidRPr="00CE1CAD">
        <w:rPr>
          <w:lang w:val="en-GB"/>
        </w:rPr>
        <w:t>mary</w:t>
      </w:r>
      <w:r w:rsidR="0087276F" w:rsidRPr="00CE1CAD">
        <w:rPr>
          <w:lang w:val="en-GB"/>
        </w:rPr>
        <w:t xml:space="preserve">, he concludes that his life </w:t>
      </w:r>
      <w:r w:rsidR="00F11DFD" w:rsidRPr="00CE1CAD">
        <w:rPr>
          <w:lang w:val="en-GB"/>
        </w:rPr>
        <w:t>would be</w:t>
      </w:r>
      <w:r w:rsidR="0087276F" w:rsidRPr="00CE1CAD">
        <w:rPr>
          <w:lang w:val="en-GB"/>
        </w:rPr>
        <w:t xml:space="preserve"> in danger </w:t>
      </w:r>
      <w:r w:rsidR="00E57008" w:rsidRPr="00CE1CAD">
        <w:rPr>
          <w:lang w:val="en-GB"/>
        </w:rPr>
        <w:t xml:space="preserve">if </w:t>
      </w:r>
      <w:r w:rsidR="00F11DFD" w:rsidRPr="00CE1CAD">
        <w:rPr>
          <w:lang w:val="en-GB"/>
        </w:rPr>
        <w:t>he is extradited.</w:t>
      </w:r>
    </w:p>
    <w:p w14:paraId="604681D7" w14:textId="77777777" w:rsidR="00ED60D1" w:rsidRPr="00CE1CAD" w:rsidRDefault="00F45CC1" w:rsidP="00CE1CAD">
      <w:pPr>
        <w:pStyle w:val="H23G"/>
        <w:rPr>
          <w:b w:val="0"/>
        </w:rPr>
      </w:pPr>
      <w:r w:rsidRPr="00CE1CAD">
        <w:rPr>
          <w:b w:val="0"/>
        </w:rPr>
        <w:tab/>
      </w:r>
      <w:r w:rsidRPr="00CE1CAD">
        <w:rPr>
          <w:b w:val="0"/>
        </w:rPr>
        <w:tab/>
      </w:r>
      <w:r w:rsidR="00ED60D1" w:rsidRPr="00CE1CAD">
        <w:t xml:space="preserve">Additional </w:t>
      </w:r>
      <w:r w:rsidR="00F11DFD" w:rsidRPr="00CE1CAD">
        <w:t xml:space="preserve">submissions </w:t>
      </w:r>
      <w:r w:rsidR="00ED60D1" w:rsidRPr="00CE1CAD">
        <w:t xml:space="preserve">by the </w:t>
      </w:r>
      <w:r w:rsidR="00F9683E" w:rsidRPr="00CE1CAD">
        <w:t>parties</w:t>
      </w:r>
      <w:r w:rsidR="00ED60D1" w:rsidRPr="00CE1CAD">
        <w:t xml:space="preserve"> </w:t>
      </w:r>
    </w:p>
    <w:p w14:paraId="0BEFEFC6" w14:textId="77777777" w:rsidR="00ED60D1" w:rsidRPr="00CE1CAD" w:rsidRDefault="00ED60D1" w:rsidP="00CE1CAD">
      <w:pPr>
        <w:pStyle w:val="SingleTxtG"/>
        <w:rPr>
          <w:lang w:val="en-GB"/>
        </w:rPr>
      </w:pPr>
      <w:r w:rsidRPr="00CE1CAD">
        <w:rPr>
          <w:lang w:val="en-GB"/>
        </w:rPr>
        <w:t>8.1</w:t>
      </w:r>
      <w:r w:rsidRPr="00CE1CAD">
        <w:rPr>
          <w:lang w:val="en-GB"/>
        </w:rPr>
        <w:tab/>
        <w:t xml:space="preserve">On 19 </w:t>
      </w:r>
      <w:r w:rsidR="00F9683E" w:rsidRPr="00CE1CAD">
        <w:rPr>
          <w:lang w:val="en-GB"/>
        </w:rPr>
        <w:t>October</w:t>
      </w:r>
      <w:r w:rsidRPr="00CE1CAD">
        <w:rPr>
          <w:lang w:val="en-GB"/>
        </w:rPr>
        <w:t xml:space="preserve"> 2015, the State party inform</w:t>
      </w:r>
      <w:r w:rsidR="00E57008" w:rsidRPr="00CE1CAD">
        <w:rPr>
          <w:lang w:val="en-GB"/>
        </w:rPr>
        <w:t>ed</w:t>
      </w:r>
      <w:r w:rsidRPr="00CE1CAD">
        <w:rPr>
          <w:lang w:val="en-GB"/>
        </w:rPr>
        <w:t xml:space="preserve"> the Committee that it</w:t>
      </w:r>
      <w:r w:rsidR="00F11DFD" w:rsidRPr="00CE1CAD">
        <w:rPr>
          <w:lang w:val="en-GB"/>
        </w:rPr>
        <w:t xml:space="preserve"> ha</w:t>
      </w:r>
      <w:r w:rsidR="00E57008" w:rsidRPr="00CE1CAD">
        <w:rPr>
          <w:lang w:val="en-GB"/>
        </w:rPr>
        <w:t>d</w:t>
      </w:r>
      <w:r w:rsidR="00C91229" w:rsidRPr="00CE1CAD">
        <w:rPr>
          <w:lang w:val="en-GB"/>
        </w:rPr>
        <w:t xml:space="preserve"> deci</w:t>
      </w:r>
      <w:r w:rsidR="00F11DFD" w:rsidRPr="00CE1CAD">
        <w:rPr>
          <w:lang w:val="en-GB"/>
        </w:rPr>
        <w:t>ded</w:t>
      </w:r>
      <w:r w:rsidRPr="00CE1CAD">
        <w:rPr>
          <w:lang w:val="en-GB"/>
        </w:rPr>
        <w:t xml:space="preserve"> to execute the extradition of the complainant to the </w:t>
      </w:r>
      <w:r w:rsidR="0014145F" w:rsidRPr="00CE1CAD">
        <w:rPr>
          <w:lang w:val="en-GB"/>
        </w:rPr>
        <w:t>United States</w:t>
      </w:r>
      <w:r w:rsidR="009B5E91" w:rsidRPr="00CE1CAD">
        <w:rPr>
          <w:lang w:val="en-GB"/>
        </w:rPr>
        <w:t>,</w:t>
      </w:r>
      <w:r w:rsidRPr="00CE1CAD">
        <w:rPr>
          <w:lang w:val="en-GB"/>
        </w:rPr>
        <w:t xml:space="preserve"> </w:t>
      </w:r>
      <w:r w:rsidR="00C91229" w:rsidRPr="00CE1CAD">
        <w:rPr>
          <w:lang w:val="en-GB"/>
        </w:rPr>
        <w:t xml:space="preserve">arguing </w:t>
      </w:r>
      <w:r w:rsidRPr="00CE1CAD">
        <w:rPr>
          <w:lang w:val="en-GB"/>
        </w:rPr>
        <w:t xml:space="preserve">that its laws </w:t>
      </w:r>
      <w:r w:rsidR="009B5E91" w:rsidRPr="00CE1CAD">
        <w:rPr>
          <w:lang w:val="en-GB"/>
        </w:rPr>
        <w:t xml:space="preserve">did </w:t>
      </w:r>
      <w:r w:rsidRPr="00CE1CAD">
        <w:rPr>
          <w:lang w:val="en-GB"/>
        </w:rPr>
        <w:t xml:space="preserve">not allow </w:t>
      </w:r>
      <w:r w:rsidR="00C91229" w:rsidRPr="00CE1CAD">
        <w:rPr>
          <w:lang w:val="en-GB"/>
        </w:rPr>
        <w:t>the extradition</w:t>
      </w:r>
      <w:r w:rsidRPr="00CE1CAD">
        <w:rPr>
          <w:lang w:val="en-GB"/>
        </w:rPr>
        <w:t xml:space="preserve"> </w:t>
      </w:r>
      <w:r w:rsidR="009B5E91" w:rsidRPr="00CE1CAD">
        <w:rPr>
          <w:lang w:val="en-GB"/>
        </w:rPr>
        <w:t xml:space="preserve">to be postponed further </w:t>
      </w:r>
      <w:r w:rsidRPr="00CE1CAD">
        <w:rPr>
          <w:lang w:val="en-GB"/>
        </w:rPr>
        <w:t>and</w:t>
      </w:r>
      <w:r w:rsidR="009B5E91" w:rsidRPr="00CE1CAD">
        <w:rPr>
          <w:lang w:val="en-GB"/>
        </w:rPr>
        <w:t>,</w:t>
      </w:r>
      <w:r w:rsidRPr="00CE1CAD">
        <w:rPr>
          <w:lang w:val="en-GB"/>
        </w:rPr>
        <w:t xml:space="preserve"> accordingly</w:t>
      </w:r>
      <w:r w:rsidR="009B5E91" w:rsidRPr="00CE1CAD">
        <w:rPr>
          <w:lang w:val="en-GB"/>
        </w:rPr>
        <w:t>,</w:t>
      </w:r>
      <w:r w:rsidRPr="00CE1CAD">
        <w:rPr>
          <w:lang w:val="en-GB"/>
        </w:rPr>
        <w:t xml:space="preserve"> the</w:t>
      </w:r>
      <w:r w:rsidR="00C91229" w:rsidRPr="00CE1CAD">
        <w:rPr>
          <w:lang w:val="en-GB"/>
        </w:rPr>
        <w:t xml:space="preserve"> Committee’s request </w:t>
      </w:r>
      <w:r w:rsidR="009B5E91" w:rsidRPr="00CE1CAD">
        <w:rPr>
          <w:lang w:val="en-GB"/>
        </w:rPr>
        <w:t xml:space="preserve">dated 7 April 2015 </w:t>
      </w:r>
      <w:r w:rsidR="00C91229" w:rsidRPr="00CE1CAD">
        <w:rPr>
          <w:lang w:val="en-GB"/>
        </w:rPr>
        <w:t>for</w:t>
      </w:r>
      <w:r w:rsidRPr="00CE1CAD">
        <w:rPr>
          <w:lang w:val="en-GB"/>
        </w:rPr>
        <w:t xml:space="preserve"> interim measure</w:t>
      </w:r>
      <w:r w:rsidR="00443A00" w:rsidRPr="00CE1CAD">
        <w:rPr>
          <w:lang w:val="en-GB"/>
        </w:rPr>
        <w:t>s</w:t>
      </w:r>
      <w:r w:rsidRPr="00CE1CAD">
        <w:rPr>
          <w:lang w:val="en-GB"/>
        </w:rPr>
        <w:t xml:space="preserve"> </w:t>
      </w:r>
      <w:r w:rsidR="009B5E91" w:rsidRPr="00CE1CAD">
        <w:rPr>
          <w:lang w:val="en-GB"/>
        </w:rPr>
        <w:t xml:space="preserve">could not </w:t>
      </w:r>
      <w:r w:rsidRPr="00CE1CAD">
        <w:rPr>
          <w:lang w:val="en-GB"/>
        </w:rPr>
        <w:t xml:space="preserve">be complied with any longer. </w:t>
      </w:r>
      <w:r w:rsidR="00F9683E" w:rsidRPr="00CE1CAD">
        <w:rPr>
          <w:lang w:val="en-GB"/>
        </w:rPr>
        <w:t>The State party reiterate</w:t>
      </w:r>
      <w:r w:rsidR="009B5E91" w:rsidRPr="00CE1CAD">
        <w:rPr>
          <w:lang w:val="en-GB"/>
        </w:rPr>
        <w:t>d</w:t>
      </w:r>
      <w:r w:rsidR="00F9683E" w:rsidRPr="00CE1CAD">
        <w:rPr>
          <w:lang w:val="en-GB"/>
        </w:rPr>
        <w:t xml:space="preserve"> its previous </w:t>
      </w:r>
      <w:r w:rsidR="00F11DFD" w:rsidRPr="00CE1CAD">
        <w:rPr>
          <w:lang w:val="en-GB"/>
        </w:rPr>
        <w:t>submissions</w:t>
      </w:r>
      <w:r w:rsidR="00C91229" w:rsidRPr="00CE1CAD">
        <w:rPr>
          <w:lang w:val="en-GB"/>
        </w:rPr>
        <w:t>. It</w:t>
      </w:r>
      <w:r w:rsidR="00F9683E" w:rsidRPr="00CE1CAD">
        <w:rPr>
          <w:lang w:val="en-GB"/>
        </w:rPr>
        <w:t xml:space="preserve"> assure</w:t>
      </w:r>
      <w:r w:rsidR="009B5E91" w:rsidRPr="00CE1CAD">
        <w:rPr>
          <w:lang w:val="en-GB"/>
        </w:rPr>
        <w:t>d</w:t>
      </w:r>
      <w:r w:rsidR="00F9683E" w:rsidRPr="00CE1CAD">
        <w:rPr>
          <w:lang w:val="en-GB"/>
        </w:rPr>
        <w:t xml:space="preserve"> the Committee that there </w:t>
      </w:r>
      <w:r w:rsidR="009B5E91" w:rsidRPr="00CE1CAD">
        <w:rPr>
          <w:lang w:val="en-GB"/>
        </w:rPr>
        <w:t xml:space="preserve">were </w:t>
      </w:r>
      <w:r w:rsidR="00F9683E" w:rsidRPr="00CE1CAD">
        <w:rPr>
          <w:lang w:val="en-GB"/>
        </w:rPr>
        <w:t>no grounds to b</w:t>
      </w:r>
      <w:r w:rsidR="00C91229" w:rsidRPr="00CE1CAD">
        <w:rPr>
          <w:lang w:val="en-GB"/>
        </w:rPr>
        <w:t xml:space="preserve">elieve </w:t>
      </w:r>
      <w:r w:rsidR="00F11DFD" w:rsidRPr="00CE1CAD">
        <w:rPr>
          <w:lang w:val="en-GB"/>
        </w:rPr>
        <w:t xml:space="preserve">that </w:t>
      </w:r>
      <w:r w:rsidR="00F9683E" w:rsidRPr="00CE1CAD">
        <w:rPr>
          <w:lang w:val="en-GB"/>
        </w:rPr>
        <w:t>the complainant would face a risk of torture upon his extradition</w:t>
      </w:r>
      <w:r w:rsidR="00C91229" w:rsidRPr="00CE1CAD">
        <w:rPr>
          <w:lang w:val="en-GB"/>
        </w:rPr>
        <w:t xml:space="preserve"> to </w:t>
      </w:r>
      <w:r w:rsidR="00184B54" w:rsidRPr="00CE1CAD">
        <w:rPr>
          <w:lang w:val="en-GB"/>
        </w:rPr>
        <w:t>the United States</w:t>
      </w:r>
      <w:r w:rsidR="00F9683E" w:rsidRPr="00CE1CAD">
        <w:rPr>
          <w:lang w:val="en-GB"/>
        </w:rPr>
        <w:t xml:space="preserve">. Moreover, the State </w:t>
      </w:r>
      <w:r w:rsidR="00C95B33" w:rsidRPr="00CE1CAD">
        <w:rPr>
          <w:lang w:val="en-GB"/>
        </w:rPr>
        <w:t>party pledge</w:t>
      </w:r>
      <w:r w:rsidR="009B5E91" w:rsidRPr="00CE1CAD">
        <w:rPr>
          <w:lang w:val="en-GB"/>
        </w:rPr>
        <w:t>d</w:t>
      </w:r>
      <w:r w:rsidR="00F9683E" w:rsidRPr="00CE1CAD">
        <w:rPr>
          <w:lang w:val="en-GB"/>
        </w:rPr>
        <w:t xml:space="preserve"> to monitor the complainant’s situation on regular intervals and to file reports with the Committee on the </w:t>
      </w:r>
      <w:r w:rsidR="00C91229" w:rsidRPr="00CE1CAD">
        <w:rPr>
          <w:lang w:val="en-GB"/>
        </w:rPr>
        <w:t xml:space="preserve">complainant’s </w:t>
      </w:r>
      <w:r w:rsidR="00F9683E" w:rsidRPr="00CE1CAD">
        <w:rPr>
          <w:lang w:val="en-GB"/>
        </w:rPr>
        <w:t xml:space="preserve">well-being. </w:t>
      </w:r>
    </w:p>
    <w:p w14:paraId="0ECE2A2B" w14:textId="77777777" w:rsidR="000C3706" w:rsidRPr="00CE1CAD" w:rsidRDefault="00F9683E" w:rsidP="00CE1CAD">
      <w:pPr>
        <w:pStyle w:val="SingleTxtG"/>
        <w:rPr>
          <w:lang w:val="en-GB"/>
        </w:rPr>
      </w:pPr>
      <w:r w:rsidRPr="00CE1CAD">
        <w:rPr>
          <w:lang w:val="en-GB"/>
        </w:rPr>
        <w:t>8.2</w:t>
      </w:r>
      <w:r w:rsidRPr="00CE1CAD">
        <w:rPr>
          <w:lang w:val="en-GB"/>
        </w:rPr>
        <w:tab/>
        <w:t xml:space="preserve">On 21 October 2015, the complainant </w:t>
      </w:r>
      <w:r w:rsidR="00F11DFD" w:rsidRPr="00CE1CAD">
        <w:rPr>
          <w:lang w:val="en-GB"/>
        </w:rPr>
        <w:t>submit</w:t>
      </w:r>
      <w:r w:rsidR="009B5E91" w:rsidRPr="00CE1CAD">
        <w:rPr>
          <w:lang w:val="en-GB"/>
        </w:rPr>
        <w:t>ted</w:t>
      </w:r>
      <w:r w:rsidRPr="00CE1CAD">
        <w:rPr>
          <w:lang w:val="en-GB"/>
        </w:rPr>
        <w:t xml:space="preserve"> that the execution of his extradition has been approved by the State party</w:t>
      </w:r>
      <w:r w:rsidR="00C91229" w:rsidRPr="00CE1CAD">
        <w:rPr>
          <w:lang w:val="en-GB"/>
        </w:rPr>
        <w:t xml:space="preserve"> and </w:t>
      </w:r>
      <w:r w:rsidR="009B5E91" w:rsidRPr="00CE1CAD">
        <w:rPr>
          <w:lang w:val="en-GB"/>
        </w:rPr>
        <w:t xml:space="preserve">was </w:t>
      </w:r>
      <w:r w:rsidR="00C91229" w:rsidRPr="00CE1CAD">
        <w:rPr>
          <w:lang w:val="en-GB"/>
        </w:rPr>
        <w:t>therefore imminent</w:t>
      </w:r>
      <w:r w:rsidRPr="00CE1CAD">
        <w:rPr>
          <w:lang w:val="en-GB"/>
        </w:rPr>
        <w:t xml:space="preserve">. </w:t>
      </w:r>
    </w:p>
    <w:p w14:paraId="16345FAF" w14:textId="77777777" w:rsidR="00C91229" w:rsidRPr="00CE1CAD" w:rsidRDefault="00C91229" w:rsidP="00CE1CAD">
      <w:pPr>
        <w:pStyle w:val="SingleTxtG"/>
        <w:rPr>
          <w:lang w:val="en-GB"/>
        </w:rPr>
      </w:pPr>
      <w:r w:rsidRPr="00CE1CAD">
        <w:rPr>
          <w:lang w:val="en-GB"/>
        </w:rPr>
        <w:t>8.3</w:t>
      </w:r>
      <w:r w:rsidRPr="00CE1CAD">
        <w:rPr>
          <w:lang w:val="en-GB"/>
        </w:rPr>
        <w:tab/>
        <w:t xml:space="preserve">On 26 October 2015, the State party further </w:t>
      </w:r>
      <w:r w:rsidR="00F11DFD" w:rsidRPr="00CE1CAD">
        <w:rPr>
          <w:lang w:val="en-GB"/>
        </w:rPr>
        <w:t>submit</w:t>
      </w:r>
      <w:r w:rsidR="009B5E91" w:rsidRPr="00CE1CAD">
        <w:rPr>
          <w:lang w:val="en-GB"/>
        </w:rPr>
        <w:t>ted</w:t>
      </w:r>
      <w:r w:rsidR="00F11DFD" w:rsidRPr="00CE1CAD">
        <w:rPr>
          <w:lang w:val="en-GB"/>
        </w:rPr>
        <w:t xml:space="preserve"> </w:t>
      </w:r>
      <w:r w:rsidR="003D4A2A" w:rsidRPr="00CE1CAD">
        <w:rPr>
          <w:lang w:val="en-GB"/>
        </w:rPr>
        <w:t>that the complainant</w:t>
      </w:r>
      <w:r w:rsidR="00F11DFD" w:rsidRPr="00CE1CAD">
        <w:rPr>
          <w:lang w:val="en-GB"/>
        </w:rPr>
        <w:t xml:space="preserve"> </w:t>
      </w:r>
      <w:r w:rsidR="009B5E91" w:rsidRPr="00CE1CAD">
        <w:rPr>
          <w:lang w:val="en-GB"/>
        </w:rPr>
        <w:t xml:space="preserve">had been </w:t>
      </w:r>
      <w:r w:rsidR="003D4A2A" w:rsidRPr="00CE1CAD">
        <w:rPr>
          <w:lang w:val="en-GB"/>
        </w:rPr>
        <w:t>extradit</w:t>
      </w:r>
      <w:r w:rsidR="00F11DFD" w:rsidRPr="00CE1CAD">
        <w:rPr>
          <w:lang w:val="en-GB"/>
        </w:rPr>
        <w:t>ed</w:t>
      </w:r>
      <w:r w:rsidR="003D4A2A" w:rsidRPr="00CE1CAD">
        <w:rPr>
          <w:lang w:val="en-GB"/>
        </w:rPr>
        <w:t xml:space="preserve"> on 23 October 2015. It also note</w:t>
      </w:r>
      <w:r w:rsidR="009B5E91" w:rsidRPr="00CE1CAD">
        <w:rPr>
          <w:lang w:val="en-GB"/>
        </w:rPr>
        <w:t>d</w:t>
      </w:r>
      <w:r w:rsidR="003D4A2A" w:rsidRPr="00CE1CAD">
        <w:rPr>
          <w:lang w:val="en-GB"/>
        </w:rPr>
        <w:t xml:space="preserve"> that the </w:t>
      </w:r>
      <w:r w:rsidR="00184B54" w:rsidRPr="00CE1CAD">
        <w:rPr>
          <w:lang w:val="en-GB"/>
        </w:rPr>
        <w:t>United States</w:t>
      </w:r>
      <w:r w:rsidR="003D4A2A" w:rsidRPr="00CE1CAD">
        <w:rPr>
          <w:lang w:val="en-GB"/>
        </w:rPr>
        <w:t xml:space="preserve"> authorities reaffirmed the</w:t>
      </w:r>
      <w:r w:rsidR="009B5E91" w:rsidRPr="00CE1CAD">
        <w:rPr>
          <w:lang w:val="en-GB"/>
        </w:rPr>
        <w:t>ir</w:t>
      </w:r>
      <w:r w:rsidR="003D4A2A" w:rsidRPr="00CE1CAD">
        <w:rPr>
          <w:lang w:val="en-GB"/>
        </w:rPr>
        <w:t xml:space="preserve"> guarantees not to expose the complainant to any treatment contrary to article 3 of the Co</w:t>
      </w:r>
      <w:r w:rsidR="001806A4" w:rsidRPr="00CE1CAD">
        <w:rPr>
          <w:lang w:val="en-GB"/>
        </w:rPr>
        <w:t>n</w:t>
      </w:r>
      <w:r w:rsidR="003D4A2A" w:rsidRPr="00CE1CAD">
        <w:rPr>
          <w:lang w:val="en-GB"/>
        </w:rPr>
        <w:t xml:space="preserve">vention. </w:t>
      </w:r>
    </w:p>
    <w:p w14:paraId="7247688E" w14:textId="77777777" w:rsidR="004876DE" w:rsidRPr="00CE1CAD" w:rsidRDefault="004876DE" w:rsidP="00CE1CAD">
      <w:pPr>
        <w:pStyle w:val="H23G"/>
      </w:pPr>
      <w:r w:rsidRPr="00CE1CAD">
        <w:lastRenderedPageBreak/>
        <w:tab/>
      </w:r>
      <w:r w:rsidRPr="00CE1CAD">
        <w:tab/>
        <w:t>Issues and proceedings before the Committee</w:t>
      </w:r>
    </w:p>
    <w:p w14:paraId="38830154" w14:textId="77777777" w:rsidR="00846DF6" w:rsidRPr="00CE1CAD" w:rsidRDefault="00F45CC1" w:rsidP="00CE1CAD">
      <w:pPr>
        <w:pStyle w:val="H4G"/>
      </w:pPr>
      <w:r w:rsidRPr="00CE1CAD">
        <w:tab/>
      </w:r>
      <w:r w:rsidRPr="00CE1CAD">
        <w:tab/>
      </w:r>
      <w:r w:rsidR="00846DF6" w:rsidRPr="00CE1CAD">
        <w:t>The State party’s failure to cooperate and to respect the Committee’s request for interim measures pursuant to rule 114 of its rules of procedures</w:t>
      </w:r>
    </w:p>
    <w:p w14:paraId="14D6C32B" w14:textId="77777777" w:rsidR="00846DF6" w:rsidRPr="00CE1CAD" w:rsidRDefault="00846DF6" w:rsidP="00CE1CAD">
      <w:pPr>
        <w:pStyle w:val="SingleTxtG"/>
        <w:rPr>
          <w:rStyle w:val="SingleTxtGChar"/>
        </w:rPr>
      </w:pPr>
      <w:r w:rsidRPr="00CE1CAD">
        <w:t>9.1</w:t>
      </w:r>
      <w:r w:rsidRPr="00CE1CAD">
        <w:tab/>
        <w:t>The Committee notes that the adoption of interim measures pursuant to rule 114 of its rules of procedure, in accordance with article 22 of the Convention, is vital to the role entrusted to the Committee under that article. Failure to respect the interim measure requested by the Committee, in particular through such irreparable action as extraditing an alleged victim, undermines the protection of the rights enshrined in the Convention.</w:t>
      </w:r>
      <w:r w:rsidRPr="00CE1CAD">
        <w:rPr>
          <w:sz w:val="18"/>
          <w:vertAlign w:val="superscript"/>
        </w:rPr>
        <w:footnoteReference w:id="16"/>
      </w:r>
      <w:r w:rsidRPr="00CE1CAD">
        <w:t xml:space="preserve"> </w:t>
      </w:r>
    </w:p>
    <w:p w14:paraId="0E09FF52" w14:textId="77777777" w:rsidR="00846DF6" w:rsidRPr="00CE1CAD" w:rsidRDefault="00846DF6" w:rsidP="00CE1CAD">
      <w:pPr>
        <w:pStyle w:val="SingleTxtG"/>
      </w:pPr>
      <w:r w:rsidRPr="00CE1CAD">
        <w:rPr>
          <w:lang w:val="en-GB"/>
        </w:rPr>
        <w:t>9.</w:t>
      </w:r>
      <w:r w:rsidR="00C02308" w:rsidRPr="00CE1CAD">
        <w:rPr>
          <w:lang w:val="en-GB"/>
        </w:rPr>
        <w:t>2</w:t>
      </w:r>
      <w:r w:rsidRPr="00CE1CAD">
        <w:rPr>
          <w:lang w:val="en-GB"/>
        </w:rPr>
        <w:tab/>
        <w:t>The Committee takes note of the State party’s argument that the maxim</w:t>
      </w:r>
      <w:r w:rsidR="005C2AFE" w:rsidRPr="00CE1CAD">
        <w:rPr>
          <w:lang w:val="en-GB"/>
        </w:rPr>
        <w:t>um</w:t>
      </w:r>
      <w:r w:rsidRPr="00CE1CAD">
        <w:rPr>
          <w:lang w:val="en-GB"/>
        </w:rPr>
        <w:t xml:space="preserve"> delay to keep the complainant in extradition detention expire</w:t>
      </w:r>
      <w:r w:rsidR="00A244FA" w:rsidRPr="00CE1CAD">
        <w:rPr>
          <w:lang w:val="en-GB"/>
        </w:rPr>
        <w:t>d</w:t>
      </w:r>
      <w:r w:rsidRPr="00CE1CAD">
        <w:rPr>
          <w:lang w:val="en-GB"/>
        </w:rPr>
        <w:t xml:space="preserve"> on 27 October 2015</w:t>
      </w:r>
      <w:r w:rsidR="005C2AFE" w:rsidRPr="00CE1CAD">
        <w:rPr>
          <w:lang w:val="en-GB"/>
        </w:rPr>
        <w:t>;</w:t>
      </w:r>
      <w:r w:rsidRPr="00CE1CAD">
        <w:rPr>
          <w:lang w:val="en-GB"/>
        </w:rPr>
        <w:t xml:space="preserve"> that, under domestic law, on </w:t>
      </w:r>
      <w:r w:rsidR="005C2AFE" w:rsidRPr="00CE1CAD">
        <w:rPr>
          <w:lang w:val="en-GB"/>
        </w:rPr>
        <w:t xml:space="preserve">that </w:t>
      </w:r>
      <w:r w:rsidRPr="00CE1CAD">
        <w:rPr>
          <w:lang w:val="en-GB"/>
        </w:rPr>
        <w:t>date the complainant should either have been released or extradited</w:t>
      </w:r>
      <w:r w:rsidR="005C2AFE" w:rsidRPr="00CE1CAD">
        <w:rPr>
          <w:lang w:val="en-GB"/>
        </w:rPr>
        <w:t>;</w:t>
      </w:r>
      <w:r w:rsidRPr="00CE1CAD">
        <w:rPr>
          <w:lang w:val="en-GB"/>
        </w:rPr>
        <w:t xml:space="preserve"> that release may </w:t>
      </w:r>
      <w:r w:rsidR="00A244FA" w:rsidRPr="00CE1CAD">
        <w:rPr>
          <w:lang w:val="en-GB"/>
        </w:rPr>
        <w:t xml:space="preserve">have </w:t>
      </w:r>
      <w:r w:rsidRPr="00CE1CAD">
        <w:rPr>
          <w:lang w:val="en-GB"/>
        </w:rPr>
        <w:t>compromise</w:t>
      </w:r>
      <w:r w:rsidR="00A244FA" w:rsidRPr="00CE1CAD">
        <w:rPr>
          <w:lang w:val="en-GB"/>
        </w:rPr>
        <w:t>d</w:t>
      </w:r>
      <w:r w:rsidRPr="00CE1CAD">
        <w:rPr>
          <w:lang w:val="en-GB"/>
        </w:rPr>
        <w:t xml:space="preserve"> the extradition procedure</w:t>
      </w:r>
      <w:r w:rsidR="005C2AFE" w:rsidRPr="00CE1CAD">
        <w:rPr>
          <w:lang w:val="en-GB"/>
        </w:rPr>
        <w:t>;</w:t>
      </w:r>
      <w:r w:rsidRPr="00CE1CAD">
        <w:rPr>
          <w:lang w:val="en-GB"/>
        </w:rPr>
        <w:t xml:space="preserve"> and that, therefore, a decision was taken to extradite the complainant to the </w:t>
      </w:r>
      <w:r w:rsidR="00184B54" w:rsidRPr="00CE1CAD">
        <w:rPr>
          <w:lang w:val="en-GB"/>
        </w:rPr>
        <w:t>United States</w:t>
      </w:r>
      <w:r w:rsidRPr="00CE1CAD">
        <w:rPr>
          <w:lang w:val="en-GB"/>
        </w:rPr>
        <w:t xml:space="preserve"> in accordance with the existing mutual assistance treaty. The Committee recalls that the non-refoulement principle codified in article 3 of the Convention is absolute.</w:t>
      </w:r>
      <w:r w:rsidRPr="00CE1CAD">
        <w:rPr>
          <w:sz w:val="18"/>
          <w:vertAlign w:val="superscript"/>
          <w:lang w:val="en-GB"/>
        </w:rPr>
        <w:footnoteReference w:id="17"/>
      </w:r>
      <w:r w:rsidRPr="00CE1CAD">
        <w:rPr>
          <w:lang w:val="en-GB"/>
        </w:rPr>
        <w:t xml:space="preserve"> The Committee refers to article 27 of the Vienna Convention on the Law of Treaties, according to which a party may not invoke the provisions of its internal law as justification for its failure to perform a treaty. </w:t>
      </w:r>
    </w:p>
    <w:p w14:paraId="3094B732" w14:textId="77777777" w:rsidR="00846DF6" w:rsidRPr="00CE1CAD" w:rsidRDefault="00846DF6" w:rsidP="00CE1CAD">
      <w:pPr>
        <w:pStyle w:val="SingleTxtG"/>
      </w:pPr>
      <w:r w:rsidRPr="00CE1CAD">
        <w:rPr>
          <w:lang w:val="en-GB"/>
        </w:rPr>
        <w:t>9.</w:t>
      </w:r>
      <w:r w:rsidR="00C02308" w:rsidRPr="00CE1CAD">
        <w:rPr>
          <w:lang w:val="en-GB"/>
        </w:rPr>
        <w:t>3</w:t>
      </w:r>
      <w:r w:rsidRPr="00CE1CAD">
        <w:rPr>
          <w:lang w:val="en-GB"/>
        </w:rPr>
        <w:tab/>
        <w:t>The Committee observes that any State party that has made a declaration under article 22 (1) of the Convention recognizes the competence of the Committee to receive and consider complaints from individuals who claim to be victims of violations of the provisions of the Convention. By making such a declaration, States parties implicitly undertake to cooperate with the Committee in good faith by providing it with the means to examine the complaints submitted to it and, after such examination, to communicate its comments to the State party and the complainant. By failing to respect the request for interim measures transmitted to the State party on 7 April 2015 and reiterated on two occasions, the State party seriously failed in its obligations under article 22 of the Convention</w:t>
      </w:r>
      <w:r w:rsidR="00F538D8" w:rsidRPr="00CE1CAD">
        <w:rPr>
          <w:lang w:val="en-GB"/>
        </w:rPr>
        <w:t xml:space="preserve">. </w:t>
      </w:r>
    </w:p>
    <w:p w14:paraId="5444BACD" w14:textId="77777777" w:rsidR="00477B38" w:rsidRPr="00CE1CAD" w:rsidRDefault="00F45CC1" w:rsidP="00CE1CAD">
      <w:pPr>
        <w:pStyle w:val="H4G"/>
      </w:pPr>
      <w:r w:rsidRPr="00CE1CAD">
        <w:tab/>
      </w:r>
      <w:r w:rsidRPr="00CE1CAD">
        <w:tab/>
      </w:r>
      <w:r w:rsidR="00477B38" w:rsidRPr="00CE1CAD">
        <w:t>Consideration of admissibility</w:t>
      </w:r>
    </w:p>
    <w:p w14:paraId="6BBF28CE" w14:textId="77777777" w:rsidR="00477B38" w:rsidRPr="00CE1CAD" w:rsidRDefault="00846DF6" w:rsidP="00CE1CAD">
      <w:pPr>
        <w:pStyle w:val="SingleTxtG"/>
        <w:rPr>
          <w:rFonts w:eastAsia="SimSun"/>
          <w:lang w:eastAsia="zh-CN"/>
        </w:rPr>
      </w:pPr>
      <w:r w:rsidRPr="00CE1CAD">
        <w:rPr>
          <w:rFonts w:eastAsia="SimSun"/>
          <w:lang w:val="en-GB" w:eastAsia="zh-CN"/>
        </w:rPr>
        <w:t>10</w:t>
      </w:r>
      <w:r w:rsidR="00477B38" w:rsidRPr="00CE1CAD">
        <w:rPr>
          <w:rFonts w:eastAsia="SimSun"/>
          <w:lang w:val="en-GB" w:eastAsia="zh-CN"/>
        </w:rPr>
        <w:t>.1</w:t>
      </w:r>
      <w:r w:rsidR="00477B38" w:rsidRPr="00CE1CAD">
        <w:rPr>
          <w:rFonts w:eastAsia="SimSun"/>
          <w:lang w:val="en-GB" w:eastAsia="zh-CN"/>
        </w:rPr>
        <w:tab/>
        <w:t xml:space="preserve">Before considering any claim </w:t>
      </w:r>
      <w:r w:rsidR="005C2AFE" w:rsidRPr="00CE1CAD">
        <w:rPr>
          <w:lang w:eastAsia="zh-CN"/>
        </w:rPr>
        <w:t>submitted in a communication</w:t>
      </w:r>
      <w:r w:rsidR="00477B38" w:rsidRPr="00CE1CAD">
        <w:rPr>
          <w:rFonts w:eastAsia="SimSun"/>
          <w:lang w:val="en-GB" w:eastAsia="zh-CN"/>
        </w:rPr>
        <w:t xml:space="preserve">, the Committee must decide whether or not it is admissible under article 22 of the Convention. </w:t>
      </w:r>
    </w:p>
    <w:p w14:paraId="1F8D5AFA" w14:textId="77777777" w:rsidR="00477B38" w:rsidRPr="00CE1CAD" w:rsidRDefault="00846DF6" w:rsidP="00CE1CAD">
      <w:pPr>
        <w:pStyle w:val="SingleTxtG"/>
        <w:rPr>
          <w:rFonts w:eastAsia="SimSun"/>
          <w:lang w:eastAsia="zh-CN"/>
        </w:rPr>
      </w:pPr>
      <w:r w:rsidRPr="00CE1CAD">
        <w:rPr>
          <w:rFonts w:eastAsia="SimSun"/>
          <w:lang w:val="en-GB" w:eastAsia="zh-CN"/>
        </w:rPr>
        <w:t>10</w:t>
      </w:r>
      <w:r w:rsidR="00477B38" w:rsidRPr="00CE1CAD">
        <w:rPr>
          <w:rFonts w:eastAsia="SimSun"/>
          <w:lang w:val="en-GB" w:eastAsia="zh-CN"/>
        </w:rPr>
        <w:t xml:space="preserve">.2 </w:t>
      </w:r>
      <w:r w:rsidR="00477B38" w:rsidRPr="00CE1CAD">
        <w:rPr>
          <w:rFonts w:eastAsia="SimSun"/>
          <w:lang w:val="en-GB" w:eastAsia="zh-CN"/>
        </w:rPr>
        <w:tab/>
        <w:t>The Committee note</w:t>
      </w:r>
      <w:r w:rsidR="000F2606" w:rsidRPr="00CE1CAD">
        <w:rPr>
          <w:rFonts w:eastAsia="SimSun"/>
          <w:lang w:val="en-GB" w:eastAsia="zh-CN"/>
        </w:rPr>
        <w:t>s</w:t>
      </w:r>
      <w:r w:rsidR="00477B38" w:rsidRPr="00CE1CAD">
        <w:rPr>
          <w:rFonts w:eastAsia="SimSun"/>
          <w:lang w:val="en-GB" w:eastAsia="zh-CN"/>
        </w:rPr>
        <w:t xml:space="preserve"> the State party’s objection that the complaint should be declared inadmissible under article 22</w:t>
      </w:r>
      <w:r w:rsidR="005C2AFE" w:rsidRPr="00CE1CAD">
        <w:rPr>
          <w:rFonts w:eastAsia="SimSun"/>
          <w:lang w:val="en-GB" w:eastAsia="zh-CN"/>
        </w:rPr>
        <w:t xml:space="preserve"> (5)</w:t>
      </w:r>
      <w:r w:rsidR="00477B38" w:rsidRPr="00CE1CAD">
        <w:rPr>
          <w:rFonts w:eastAsia="SimSun"/>
          <w:lang w:val="en-GB" w:eastAsia="zh-CN"/>
        </w:rPr>
        <w:t xml:space="preserve"> (a) of the Convention since the same matter was already </w:t>
      </w:r>
      <w:r w:rsidR="005C2AFE" w:rsidRPr="00CE1CAD">
        <w:rPr>
          <w:rFonts w:eastAsia="SimSun"/>
          <w:lang w:val="en-GB" w:eastAsia="zh-CN"/>
        </w:rPr>
        <w:t xml:space="preserve">being </w:t>
      </w:r>
      <w:r w:rsidR="00477B38" w:rsidRPr="00CE1CAD">
        <w:rPr>
          <w:rFonts w:eastAsia="SimSun"/>
          <w:lang w:val="en-GB" w:eastAsia="zh-CN"/>
        </w:rPr>
        <w:t xml:space="preserve">examined by the European Court of Human Rights. </w:t>
      </w:r>
      <w:r w:rsidR="00C008AB" w:rsidRPr="00CE1CAD">
        <w:rPr>
          <w:rFonts w:eastAsia="SimSun"/>
          <w:lang w:val="en-GB" w:eastAsia="zh-CN"/>
        </w:rPr>
        <w:t>The Committee also note</w:t>
      </w:r>
      <w:r w:rsidR="000F2606" w:rsidRPr="00CE1CAD">
        <w:rPr>
          <w:rFonts w:eastAsia="SimSun"/>
          <w:lang w:val="en-GB" w:eastAsia="zh-CN"/>
        </w:rPr>
        <w:t>s</w:t>
      </w:r>
      <w:r w:rsidR="00C008AB" w:rsidRPr="00CE1CAD">
        <w:rPr>
          <w:rFonts w:eastAsia="SimSun"/>
          <w:lang w:val="en-GB" w:eastAsia="zh-CN"/>
        </w:rPr>
        <w:t xml:space="preserve"> the complainant’s allegations that his application </w:t>
      </w:r>
      <w:r w:rsidR="005C2AFE" w:rsidRPr="00CE1CAD">
        <w:rPr>
          <w:rFonts w:eastAsia="SimSun"/>
          <w:lang w:val="en-GB" w:eastAsia="zh-CN"/>
        </w:rPr>
        <w:t xml:space="preserve">had been </w:t>
      </w:r>
      <w:r w:rsidR="002024B2" w:rsidRPr="00CE1CAD">
        <w:rPr>
          <w:rFonts w:eastAsia="SimSun"/>
          <w:lang w:val="en-GB" w:eastAsia="zh-CN"/>
        </w:rPr>
        <w:t>“</w:t>
      </w:r>
      <w:r w:rsidR="00C008AB" w:rsidRPr="00CE1CAD">
        <w:rPr>
          <w:rFonts w:eastAsia="SimSun"/>
          <w:lang w:val="en-GB" w:eastAsia="zh-CN"/>
        </w:rPr>
        <w:t>rejected on procedural grounds</w:t>
      </w:r>
      <w:r w:rsidR="002024B2" w:rsidRPr="00CE1CAD">
        <w:rPr>
          <w:rFonts w:eastAsia="SimSun"/>
          <w:lang w:val="en-GB" w:eastAsia="zh-CN"/>
        </w:rPr>
        <w:t>”</w:t>
      </w:r>
      <w:r w:rsidR="00C010F9" w:rsidRPr="00CE1CAD">
        <w:rPr>
          <w:rFonts w:eastAsia="SimSun"/>
          <w:lang w:val="en-GB" w:eastAsia="zh-CN"/>
        </w:rPr>
        <w:t xml:space="preserve"> </w:t>
      </w:r>
      <w:r w:rsidR="005C2AFE" w:rsidRPr="00CE1CAD">
        <w:rPr>
          <w:rFonts w:eastAsia="SimSun"/>
          <w:lang w:val="en-GB" w:eastAsia="zh-CN"/>
        </w:rPr>
        <w:t xml:space="preserve">and </w:t>
      </w:r>
      <w:r w:rsidR="00C008AB" w:rsidRPr="00CE1CAD">
        <w:rPr>
          <w:rFonts w:eastAsia="SimSun"/>
          <w:lang w:val="en-GB" w:eastAsia="zh-CN"/>
        </w:rPr>
        <w:t xml:space="preserve">therefore not examined by the </w:t>
      </w:r>
      <w:r w:rsidR="005C2AFE" w:rsidRPr="00CE1CAD">
        <w:rPr>
          <w:rFonts w:eastAsia="SimSun"/>
          <w:lang w:val="en-GB" w:eastAsia="zh-CN"/>
        </w:rPr>
        <w:t xml:space="preserve">European Court </w:t>
      </w:r>
      <w:r w:rsidR="00C008AB" w:rsidRPr="00CE1CAD">
        <w:rPr>
          <w:rFonts w:eastAsia="SimSun"/>
          <w:lang w:val="en-GB" w:eastAsia="zh-CN"/>
        </w:rPr>
        <w:t>since its inadmissibility decision only stated that the admissibility requirements set out in articles 34 and 35 of the Convention</w:t>
      </w:r>
      <w:r w:rsidR="00C010F9" w:rsidRPr="00CE1CAD">
        <w:rPr>
          <w:rFonts w:eastAsia="SimSun"/>
          <w:lang w:val="en-GB" w:eastAsia="zh-CN"/>
        </w:rPr>
        <w:t xml:space="preserve"> ha</w:t>
      </w:r>
      <w:r w:rsidR="000F2606" w:rsidRPr="00CE1CAD">
        <w:rPr>
          <w:rFonts w:eastAsia="SimSun"/>
          <w:lang w:val="en-GB" w:eastAsia="zh-CN"/>
        </w:rPr>
        <w:t>d</w:t>
      </w:r>
      <w:r w:rsidR="00C010F9" w:rsidRPr="00CE1CAD">
        <w:rPr>
          <w:rFonts w:eastAsia="SimSun"/>
          <w:lang w:val="en-GB" w:eastAsia="zh-CN"/>
        </w:rPr>
        <w:t xml:space="preserve"> not been met</w:t>
      </w:r>
      <w:r w:rsidR="00C008AB" w:rsidRPr="00CE1CAD">
        <w:rPr>
          <w:rFonts w:eastAsia="SimSun"/>
          <w:lang w:val="en-GB" w:eastAsia="zh-CN"/>
        </w:rPr>
        <w:t xml:space="preserve"> and that its limited reasoning </w:t>
      </w:r>
      <w:r w:rsidR="000F2606" w:rsidRPr="00CE1CAD">
        <w:rPr>
          <w:rFonts w:eastAsia="SimSun"/>
          <w:lang w:val="en-GB" w:eastAsia="zh-CN"/>
        </w:rPr>
        <w:t xml:space="preserve">did </w:t>
      </w:r>
      <w:r w:rsidR="00C008AB" w:rsidRPr="00CE1CAD">
        <w:rPr>
          <w:rFonts w:eastAsia="SimSun"/>
          <w:lang w:val="en-GB" w:eastAsia="zh-CN"/>
        </w:rPr>
        <w:t xml:space="preserve">not allow the Committee to conclude that it considered the merits of the case. </w:t>
      </w:r>
      <w:r w:rsidR="00477B38" w:rsidRPr="00CE1CAD">
        <w:rPr>
          <w:rFonts w:eastAsia="SimSun"/>
          <w:lang w:val="en-GB" w:eastAsia="zh-CN"/>
        </w:rPr>
        <w:t xml:space="preserve">The Committee </w:t>
      </w:r>
      <w:r w:rsidR="000F2606" w:rsidRPr="00CE1CAD">
        <w:rPr>
          <w:rFonts w:eastAsia="SimSun"/>
          <w:lang w:val="en-GB" w:eastAsia="zh-CN"/>
        </w:rPr>
        <w:t xml:space="preserve">further </w:t>
      </w:r>
      <w:r w:rsidR="00477B38" w:rsidRPr="00CE1CAD">
        <w:rPr>
          <w:rFonts w:eastAsia="SimSun"/>
          <w:lang w:val="en-GB" w:eastAsia="zh-CN"/>
        </w:rPr>
        <w:t>note</w:t>
      </w:r>
      <w:r w:rsidR="00C010F9" w:rsidRPr="00CE1CAD">
        <w:rPr>
          <w:rFonts w:eastAsia="SimSun"/>
          <w:lang w:val="en-GB" w:eastAsia="zh-CN"/>
        </w:rPr>
        <w:t>s</w:t>
      </w:r>
      <w:r w:rsidR="00477B38" w:rsidRPr="00CE1CAD">
        <w:rPr>
          <w:rFonts w:eastAsia="SimSun"/>
          <w:lang w:val="en-GB" w:eastAsia="zh-CN"/>
        </w:rPr>
        <w:t xml:space="preserve"> the complainant’s allegations that his application to the </w:t>
      </w:r>
      <w:r w:rsidR="005C2AFE" w:rsidRPr="00CE1CAD">
        <w:rPr>
          <w:rFonts w:eastAsia="SimSun"/>
          <w:lang w:val="en-GB" w:eastAsia="zh-CN"/>
        </w:rPr>
        <w:t xml:space="preserve">European Court </w:t>
      </w:r>
      <w:r w:rsidR="000F2606" w:rsidRPr="00CE1CAD">
        <w:rPr>
          <w:rFonts w:eastAsia="SimSun"/>
          <w:lang w:val="en-GB" w:eastAsia="zh-CN"/>
        </w:rPr>
        <w:t xml:space="preserve">had been </w:t>
      </w:r>
      <w:r w:rsidR="00477B38" w:rsidRPr="00CE1CAD">
        <w:rPr>
          <w:rFonts w:eastAsia="SimSun"/>
          <w:lang w:val="en-GB" w:eastAsia="zh-CN"/>
        </w:rPr>
        <w:t>based on article 6</w:t>
      </w:r>
      <w:r w:rsidR="00D829EA" w:rsidRPr="00CE1CAD">
        <w:rPr>
          <w:rFonts w:eastAsia="SimSun"/>
          <w:lang w:val="en-GB" w:eastAsia="zh-CN"/>
        </w:rPr>
        <w:t>.3</w:t>
      </w:r>
      <w:r w:rsidR="000F2606" w:rsidRPr="00CE1CAD">
        <w:rPr>
          <w:rFonts w:eastAsia="SimSun"/>
          <w:lang w:val="en-GB" w:eastAsia="zh-CN"/>
        </w:rPr>
        <w:t> </w:t>
      </w:r>
      <w:r w:rsidR="00477B38" w:rsidRPr="00CE1CAD">
        <w:rPr>
          <w:rFonts w:eastAsia="SimSun"/>
          <w:lang w:val="en-GB" w:eastAsia="zh-CN"/>
        </w:rPr>
        <w:t>(d) of the European Convention o</w:t>
      </w:r>
      <w:r w:rsidR="0063157D" w:rsidRPr="00CE1CAD">
        <w:rPr>
          <w:rFonts w:eastAsia="SimSun"/>
          <w:lang w:val="en-GB" w:eastAsia="zh-CN"/>
        </w:rPr>
        <w:t>n</w:t>
      </w:r>
      <w:r w:rsidR="00477B38" w:rsidRPr="00CE1CAD">
        <w:rPr>
          <w:rFonts w:eastAsia="SimSun"/>
          <w:lang w:val="en-GB" w:eastAsia="zh-CN"/>
        </w:rPr>
        <w:t xml:space="preserve"> Human Rights</w:t>
      </w:r>
      <w:r w:rsidR="00D829EA" w:rsidRPr="00CE1CAD">
        <w:rPr>
          <w:rFonts w:eastAsia="SimSun"/>
          <w:lang w:val="en-GB" w:eastAsia="zh-CN"/>
        </w:rPr>
        <w:t xml:space="preserve">, that his mistreatments violating article 3 of the European Convention </w:t>
      </w:r>
      <w:r w:rsidR="000F2606" w:rsidRPr="00CE1CAD">
        <w:rPr>
          <w:rFonts w:eastAsia="SimSun"/>
          <w:lang w:val="en-GB" w:eastAsia="zh-CN"/>
        </w:rPr>
        <w:t xml:space="preserve">had been </w:t>
      </w:r>
      <w:r w:rsidR="00D829EA" w:rsidRPr="00CE1CAD">
        <w:rPr>
          <w:rFonts w:eastAsia="SimSun"/>
          <w:lang w:val="en-GB" w:eastAsia="zh-CN"/>
        </w:rPr>
        <w:t>mentioned in his application as a background circumstance</w:t>
      </w:r>
      <w:r w:rsidR="00477B38" w:rsidRPr="00CE1CAD">
        <w:rPr>
          <w:rFonts w:eastAsia="SimSun"/>
          <w:lang w:val="en-GB" w:eastAsia="zh-CN"/>
        </w:rPr>
        <w:t xml:space="preserve"> </w:t>
      </w:r>
      <w:r w:rsidR="00D44A7D" w:rsidRPr="00CE1CAD">
        <w:rPr>
          <w:rFonts w:eastAsia="SimSun"/>
          <w:lang w:val="en-GB" w:eastAsia="zh-CN"/>
        </w:rPr>
        <w:t>and</w:t>
      </w:r>
      <w:r w:rsidR="00D829EA" w:rsidRPr="00CE1CAD">
        <w:rPr>
          <w:rFonts w:eastAsia="SimSun"/>
          <w:lang w:val="en-GB" w:eastAsia="zh-CN"/>
        </w:rPr>
        <w:t xml:space="preserve"> that,</w:t>
      </w:r>
      <w:r w:rsidR="00D44A7D" w:rsidRPr="00CE1CAD">
        <w:rPr>
          <w:rFonts w:eastAsia="SimSun"/>
          <w:lang w:val="en-GB" w:eastAsia="zh-CN"/>
        </w:rPr>
        <w:t xml:space="preserve"> therefore</w:t>
      </w:r>
      <w:r w:rsidR="00D829EA" w:rsidRPr="00CE1CAD">
        <w:rPr>
          <w:rFonts w:eastAsia="SimSun"/>
          <w:lang w:val="en-GB" w:eastAsia="zh-CN"/>
        </w:rPr>
        <w:t>,</w:t>
      </w:r>
      <w:r w:rsidR="00D44A7D" w:rsidRPr="00CE1CAD">
        <w:rPr>
          <w:rFonts w:eastAsia="SimSun"/>
          <w:lang w:val="en-GB" w:eastAsia="zh-CN"/>
        </w:rPr>
        <w:t xml:space="preserve"> </w:t>
      </w:r>
      <w:r w:rsidR="000F2606" w:rsidRPr="00CE1CAD">
        <w:rPr>
          <w:rFonts w:eastAsia="SimSun"/>
          <w:lang w:val="en-GB" w:eastAsia="zh-CN"/>
        </w:rPr>
        <w:t xml:space="preserve">the application was </w:t>
      </w:r>
      <w:r w:rsidR="00F45CC1" w:rsidRPr="00CE1CAD">
        <w:rPr>
          <w:rFonts w:eastAsia="SimSun"/>
          <w:lang w:val="en-GB" w:eastAsia="zh-CN"/>
        </w:rPr>
        <w:t>“</w:t>
      </w:r>
      <w:r w:rsidR="00D44A7D" w:rsidRPr="00CE1CAD">
        <w:rPr>
          <w:rFonts w:eastAsia="SimSun"/>
          <w:lang w:val="en-GB" w:eastAsia="zh-CN"/>
        </w:rPr>
        <w:t>different in nature</w:t>
      </w:r>
      <w:r w:rsidR="00F45CC1" w:rsidRPr="00CE1CAD">
        <w:rPr>
          <w:rFonts w:eastAsia="SimSun"/>
          <w:lang w:val="en-GB" w:eastAsia="zh-CN"/>
        </w:rPr>
        <w:t>”</w:t>
      </w:r>
      <w:r w:rsidR="00D44A7D" w:rsidRPr="00CE1CAD">
        <w:rPr>
          <w:rFonts w:eastAsia="SimSun"/>
          <w:lang w:val="en-GB" w:eastAsia="zh-CN"/>
        </w:rPr>
        <w:t>.</w:t>
      </w:r>
      <w:r w:rsidR="00477B38" w:rsidRPr="00CE1CAD">
        <w:rPr>
          <w:rFonts w:eastAsia="SimSun"/>
          <w:lang w:val="en-GB" w:eastAsia="zh-CN"/>
        </w:rPr>
        <w:t xml:space="preserve"> </w:t>
      </w:r>
    </w:p>
    <w:p w14:paraId="0CE7F148" w14:textId="77777777" w:rsidR="00477B38" w:rsidRPr="00CE1CAD" w:rsidRDefault="00846DF6" w:rsidP="00CE1CAD">
      <w:pPr>
        <w:pStyle w:val="SingleTxtG"/>
        <w:rPr>
          <w:rFonts w:eastAsia="SimSun"/>
          <w:lang w:eastAsia="zh-CN"/>
        </w:rPr>
      </w:pPr>
      <w:r w:rsidRPr="00CE1CAD">
        <w:rPr>
          <w:rFonts w:eastAsia="SimSun"/>
          <w:lang w:eastAsia="zh-CN"/>
        </w:rPr>
        <w:lastRenderedPageBreak/>
        <w:t>10</w:t>
      </w:r>
      <w:r w:rsidR="00477B38" w:rsidRPr="00CE1CAD">
        <w:rPr>
          <w:rFonts w:eastAsia="SimSun"/>
          <w:lang w:eastAsia="zh-CN"/>
        </w:rPr>
        <w:t xml:space="preserve">.3 </w:t>
      </w:r>
      <w:r w:rsidR="00477B38" w:rsidRPr="00CE1CAD">
        <w:rPr>
          <w:rFonts w:eastAsia="SimSun"/>
          <w:lang w:eastAsia="zh-CN"/>
        </w:rPr>
        <w:tab/>
        <w:t>The Committee recalls</w:t>
      </w:r>
      <w:r w:rsidR="00477B38" w:rsidRPr="00CE1CAD">
        <w:rPr>
          <w:rFonts w:eastAsia="SimSun"/>
          <w:sz w:val="18"/>
          <w:vertAlign w:val="superscript"/>
          <w:lang w:eastAsia="zh-CN"/>
        </w:rPr>
        <w:footnoteReference w:id="18"/>
      </w:r>
      <w:r w:rsidR="00477B38" w:rsidRPr="00CE1CAD">
        <w:rPr>
          <w:rFonts w:eastAsia="SimSun"/>
          <w:lang w:eastAsia="zh-CN"/>
        </w:rPr>
        <w:t xml:space="preserve"> its consistent jurisprudence that it shall not consider any complaint from an individual under article 22 </w:t>
      </w:r>
      <w:r w:rsidR="000F2606" w:rsidRPr="00CE1CAD">
        <w:rPr>
          <w:rFonts w:eastAsia="SimSun"/>
          <w:lang w:val="en-US" w:eastAsia="zh-CN"/>
        </w:rPr>
        <w:t>(</w:t>
      </w:r>
      <w:r w:rsidR="00477B38" w:rsidRPr="00CE1CAD">
        <w:rPr>
          <w:rFonts w:eastAsia="SimSun"/>
          <w:lang w:eastAsia="zh-CN"/>
        </w:rPr>
        <w:t>5</w:t>
      </w:r>
      <w:r w:rsidR="000F2606" w:rsidRPr="00CE1CAD">
        <w:rPr>
          <w:rFonts w:eastAsia="SimSun"/>
          <w:lang w:val="en-US" w:eastAsia="zh-CN"/>
        </w:rPr>
        <w:t>)</w:t>
      </w:r>
      <w:r w:rsidR="00477B38" w:rsidRPr="00CE1CAD">
        <w:rPr>
          <w:rFonts w:eastAsia="SimSun"/>
          <w:lang w:eastAsia="zh-CN"/>
        </w:rPr>
        <w:t xml:space="preserve"> (a) of the Convention, unless it has ascertained that the same matter has not been and is not being examined under another procedure of international investigation or settlement. The Committee considers that a complaint has been and is being examined by another procedure of international investigation or settlement if the examination by the procedure relates/related to the same matter within the meaning of article 22 </w:t>
      </w:r>
      <w:r w:rsidR="000F2606" w:rsidRPr="00CE1CAD">
        <w:rPr>
          <w:rFonts w:eastAsia="SimSun"/>
          <w:lang w:val="en-US" w:eastAsia="zh-CN"/>
        </w:rPr>
        <w:t>(</w:t>
      </w:r>
      <w:r w:rsidR="00477B38" w:rsidRPr="00CE1CAD">
        <w:rPr>
          <w:rFonts w:eastAsia="SimSun"/>
          <w:lang w:eastAsia="zh-CN"/>
        </w:rPr>
        <w:t>5</w:t>
      </w:r>
      <w:r w:rsidR="000F2606" w:rsidRPr="00CE1CAD">
        <w:rPr>
          <w:rFonts w:eastAsia="SimSun"/>
          <w:lang w:val="en-US" w:eastAsia="zh-CN"/>
        </w:rPr>
        <w:t>)</w:t>
      </w:r>
      <w:r w:rsidR="00477B38" w:rsidRPr="00CE1CAD">
        <w:rPr>
          <w:rFonts w:eastAsia="SimSun"/>
          <w:lang w:eastAsia="zh-CN"/>
        </w:rPr>
        <w:t xml:space="preserve"> (a)</w:t>
      </w:r>
      <w:r w:rsidR="000F2606" w:rsidRPr="00CE1CAD">
        <w:rPr>
          <w:rFonts w:eastAsia="SimSun"/>
          <w:lang w:val="en-US" w:eastAsia="zh-CN"/>
        </w:rPr>
        <w:t>,</w:t>
      </w:r>
      <w:r w:rsidR="00477B38" w:rsidRPr="00CE1CAD">
        <w:rPr>
          <w:rFonts w:eastAsia="SimSun"/>
          <w:lang w:eastAsia="zh-CN"/>
        </w:rPr>
        <w:t xml:space="preserve"> </w:t>
      </w:r>
      <w:r w:rsidR="000F2606" w:rsidRPr="00CE1CAD">
        <w:rPr>
          <w:rFonts w:eastAsia="SimSun"/>
          <w:lang w:val="en-US" w:eastAsia="zh-CN"/>
        </w:rPr>
        <w:t xml:space="preserve">which </w:t>
      </w:r>
      <w:r w:rsidR="00477B38" w:rsidRPr="00CE1CAD">
        <w:rPr>
          <w:rFonts w:eastAsia="SimSun"/>
          <w:lang w:eastAsia="zh-CN"/>
        </w:rPr>
        <w:t>must be understood as relating to the same parties, the same facts and the same substantive rights.</w:t>
      </w:r>
      <w:r w:rsidR="00477B38" w:rsidRPr="00CE1CAD">
        <w:rPr>
          <w:rFonts w:eastAsia="SimSun"/>
          <w:sz w:val="18"/>
          <w:vertAlign w:val="superscript"/>
          <w:lang w:eastAsia="zh-CN"/>
        </w:rPr>
        <w:footnoteReference w:id="19"/>
      </w:r>
    </w:p>
    <w:p w14:paraId="391FFD12" w14:textId="77777777" w:rsidR="00612E40" w:rsidRPr="00CE1CAD" w:rsidRDefault="00846DF6" w:rsidP="00CE1CAD">
      <w:pPr>
        <w:pStyle w:val="SingleTxtG"/>
        <w:rPr>
          <w:rFonts w:eastAsia="SimSun"/>
          <w:lang w:eastAsia="zh-CN"/>
        </w:rPr>
      </w:pPr>
      <w:r w:rsidRPr="00CE1CAD">
        <w:rPr>
          <w:rFonts w:eastAsia="SimSun"/>
          <w:lang w:eastAsia="zh-CN"/>
        </w:rPr>
        <w:t>10</w:t>
      </w:r>
      <w:r w:rsidR="00477B38" w:rsidRPr="00CE1CAD">
        <w:rPr>
          <w:rFonts w:eastAsia="SimSun"/>
          <w:lang w:eastAsia="zh-CN"/>
        </w:rPr>
        <w:t xml:space="preserve">.4 </w:t>
      </w:r>
      <w:r w:rsidR="00477B38" w:rsidRPr="00CE1CAD">
        <w:rPr>
          <w:rFonts w:eastAsia="SimSun"/>
          <w:lang w:eastAsia="zh-CN"/>
        </w:rPr>
        <w:tab/>
        <w:t xml:space="preserve">The Committee observes that the present complaint raises claims under article 3 of the Convention mainly in relation to the alleged risk of torture to which the complainant would be subjected if removed to </w:t>
      </w:r>
      <w:r w:rsidR="00D44A7D" w:rsidRPr="00CE1CAD">
        <w:rPr>
          <w:rFonts w:eastAsia="SimSun"/>
          <w:lang w:eastAsia="zh-CN"/>
        </w:rPr>
        <w:t xml:space="preserve">the </w:t>
      </w:r>
      <w:r w:rsidR="00184B54" w:rsidRPr="00CE1CAD">
        <w:rPr>
          <w:lang w:val="en-GB"/>
        </w:rPr>
        <w:t>United States</w:t>
      </w:r>
      <w:r w:rsidR="00477B38" w:rsidRPr="00CE1CAD">
        <w:rPr>
          <w:rFonts w:eastAsia="SimSun"/>
          <w:lang w:eastAsia="zh-CN"/>
        </w:rPr>
        <w:t>. It further observes that</w:t>
      </w:r>
      <w:r w:rsidR="000F2606" w:rsidRPr="00CE1CAD">
        <w:rPr>
          <w:rFonts w:eastAsia="SimSun"/>
          <w:lang w:val="en-US" w:eastAsia="zh-CN"/>
        </w:rPr>
        <w:t>,</w:t>
      </w:r>
      <w:r w:rsidR="00477B38" w:rsidRPr="00CE1CAD">
        <w:rPr>
          <w:rFonts w:eastAsia="SimSun"/>
          <w:lang w:eastAsia="zh-CN"/>
        </w:rPr>
        <w:t xml:space="preserve"> in his comments concerning the State party’s observations as to the admissibility, the complainant </w:t>
      </w:r>
      <w:r w:rsidR="00477B38" w:rsidRPr="00CE1CAD">
        <w:rPr>
          <w:rFonts w:eastAsia="SimSun"/>
          <w:color w:val="000000"/>
          <w:lang w:eastAsia="en-GB"/>
        </w:rPr>
        <w:t xml:space="preserve">confirmed that he had also applied to the </w:t>
      </w:r>
      <w:r w:rsidR="000F2606" w:rsidRPr="00CE1CAD">
        <w:rPr>
          <w:rFonts w:eastAsia="SimSun"/>
          <w:lang w:val="en-GB" w:eastAsia="zh-CN"/>
        </w:rPr>
        <w:t xml:space="preserve">European Court of Human Rights </w:t>
      </w:r>
      <w:r w:rsidR="00477B38" w:rsidRPr="00CE1CAD">
        <w:rPr>
          <w:rFonts w:eastAsia="SimSun"/>
          <w:color w:val="000000"/>
          <w:lang w:eastAsia="en-GB"/>
        </w:rPr>
        <w:t xml:space="preserve">and had also requested </w:t>
      </w:r>
      <w:r w:rsidR="000F2606" w:rsidRPr="00CE1CAD">
        <w:rPr>
          <w:rFonts w:eastAsia="SimSun"/>
          <w:color w:val="000000"/>
          <w:lang w:val="en-US" w:eastAsia="en-GB"/>
        </w:rPr>
        <w:t xml:space="preserve">that </w:t>
      </w:r>
      <w:r w:rsidR="00477B38" w:rsidRPr="00CE1CAD">
        <w:rPr>
          <w:rFonts w:eastAsia="SimSun"/>
          <w:color w:val="000000"/>
          <w:lang w:eastAsia="en-GB"/>
        </w:rPr>
        <w:t>his deportation t</w:t>
      </w:r>
      <w:r w:rsidR="00477B38" w:rsidRPr="00CE1CAD">
        <w:rPr>
          <w:rFonts w:eastAsia="SimSun"/>
          <w:lang w:eastAsia="zh-CN"/>
        </w:rPr>
        <w:t xml:space="preserve">o </w:t>
      </w:r>
      <w:r w:rsidR="00D44A7D" w:rsidRPr="00CE1CAD">
        <w:rPr>
          <w:rFonts w:eastAsia="SimSun"/>
          <w:lang w:eastAsia="zh-CN"/>
        </w:rPr>
        <w:t xml:space="preserve">the </w:t>
      </w:r>
      <w:r w:rsidR="00184B54" w:rsidRPr="00CE1CAD">
        <w:rPr>
          <w:lang w:val="en-GB"/>
        </w:rPr>
        <w:t>United States</w:t>
      </w:r>
      <w:r w:rsidR="000F2606" w:rsidRPr="00CE1CAD">
        <w:rPr>
          <w:lang w:val="en-GB"/>
        </w:rPr>
        <w:t xml:space="preserve"> be suspended</w:t>
      </w:r>
      <w:r w:rsidR="00477B38" w:rsidRPr="00CE1CAD">
        <w:rPr>
          <w:rFonts w:eastAsia="SimSun"/>
          <w:lang w:eastAsia="zh-CN"/>
        </w:rPr>
        <w:t xml:space="preserve">. Accordingly, in </w:t>
      </w:r>
      <w:r w:rsidR="000F2606" w:rsidRPr="00CE1CAD">
        <w:rPr>
          <w:rFonts w:eastAsia="SimSun"/>
          <w:lang w:val="en-US" w:eastAsia="zh-CN"/>
        </w:rPr>
        <w:t xml:space="preserve">the </w:t>
      </w:r>
      <w:r w:rsidR="00477B38" w:rsidRPr="00CE1CAD">
        <w:rPr>
          <w:rFonts w:eastAsia="SimSun"/>
          <w:lang w:eastAsia="zh-CN"/>
        </w:rPr>
        <w:t xml:space="preserve">light of the information contained in the case file, the Committee concludes that complainant’s application submitted to the </w:t>
      </w:r>
      <w:r w:rsidR="000F2606" w:rsidRPr="00CE1CAD">
        <w:rPr>
          <w:rFonts w:eastAsia="SimSun"/>
          <w:lang w:val="en-GB" w:eastAsia="zh-CN"/>
        </w:rPr>
        <w:t xml:space="preserve">European Court </w:t>
      </w:r>
      <w:r w:rsidR="00477B38" w:rsidRPr="00CE1CAD">
        <w:rPr>
          <w:rFonts w:eastAsia="SimSun"/>
          <w:lang w:eastAsia="zh-CN"/>
        </w:rPr>
        <w:t>on 6 November 2014 concerned the same person, was based on the same facts and related to the same substantive rights as those invoked in the present complaint.</w:t>
      </w:r>
      <w:r w:rsidR="00612E40" w:rsidRPr="00CE1CAD">
        <w:rPr>
          <w:rFonts w:eastAsia="SimSun"/>
          <w:lang w:eastAsia="zh-CN"/>
        </w:rPr>
        <w:t xml:space="preserve"> The Committee therefore considers that the complainant’s application to the </w:t>
      </w:r>
      <w:r w:rsidR="000F2606" w:rsidRPr="00CE1CAD">
        <w:rPr>
          <w:rFonts w:eastAsia="SimSun"/>
          <w:lang w:val="en-GB" w:eastAsia="zh-CN"/>
        </w:rPr>
        <w:t xml:space="preserve">European Court </w:t>
      </w:r>
      <w:r w:rsidR="00612E40" w:rsidRPr="00CE1CAD">
        <w:rPr>
          <w:rFonts w:eastAsia="SimSun"/>
          <w:lang w:eastAsia="zh-CN"/>
        </w:rPr>
        <w:t xml:space="preserve">was already </w:t>
      </w:r>
      <w:r w:rsidR="000F2606" w:rsidRPr="00CE1CAD">
        <w:rPr>
          <w:rFonts w:eastAsia="SimSun"/>
          <w:lang w:val="en-US" w:eastAsia="zh-CN"/>
        </w:rPr>
        <w:t xml:space="preserve">being </w:t>
      </w:r>
      <w:r w:rsidR="00612E40" w:rsidRPr="00CE1CAD">
        <w:rPr>
          <w:rFonts w:eastAsia="SimSun"/>
          <w:lang w:eastAsia="zh-CN"/>
        </w:rPr>
        <w:t xml:space="preserve">examined by </w:t>
      </w:r>
      <w:r w:rsidR="000F2606" w:rsidRPr="00CE1CAD">
        <w:rPr>
          <w:rFonts w:eastAsia="SimSun"/>
          <w:lang w:val="en-US" w:eastAsia="zh-CN"/>
        </w:rPr>
        <w:t xml:space="preserve">that </w:t>
      </w:r>
      <w:r w:rsidR="00612E40" w:rsidRPr="00CE1CAD">
        <w:rPr>
          <w:rFonts w:eastAsia="SimSun"/>
          <w:lang w:eastAsia="zh-CN"/>
        </w:rPr>
        <w:t xml:space="preserve">international procedure in the sense of article 22 </w:t>
      </w:r>
      <w:r w:rsidR="000F2606" w:rsidRPr="00CE1CAD">
        <w:rPr>
          <w:rFonts w:eastAsia="SimSun"/>
          <w:lang w:val="en-US" w:eastAsia="zh-CN"/>
        </w:rPr>
        <w:t>(</w:t>
      </w:r>
      <w:r w:rsidR="00612E40" w:rsidRPr="00CE1CAD">
        <w:rPr>
          <w:rFonts w:eastAsia="SimSun"/>
          <w:lang w:eastAsia="zh-CN"/>
        </w:rPr>
        <w:t>5</w:t>
      </w:r>
      <w:r w:rsidR="000F2606" w:rsidRPr="00CE1CAD">
        <w:rPr>
          <w:rFonts w:eastAsia="SimSun"/>
          <w:lang w:val="en-US" w:eastAsia="zh-CN"/>
        </w:rPr>
        <w:t>)</w:t>
      </w:r>
      <w:r w:rsidR="00612E40" w:rsidRPr="00CE1CAD">
        <w:rPr>
          <w:rFonts w:eastAsia="SimSun"/>
          <w:lang w:eastAsia="zh-CN"/>
        </w:rPr>
        <w:t xml:space="preserve"> (a) of the Convention and</w:t>
      </w:r>
      <w:r w:rsidR="000F2606" w:rsidRPr="00CE1CAD">
        <w:rPr>
          <w:rFonts w:eastAsia="SimSun"/>
          <w:lang w:val="en-US" w:eastAsia="zh-CN"/>
        </w:rPr>
        <w:t>,</w:t>
      </w:r>
      <w:r w:rsidR="00612E40" w:rsidRPr="00CE1CAD">
        <w:rPr>
          <w:rFonts w:eastAsia="SimSun"/>
          <w:lang w:eastAsia="zh-CN"/>
        </w:rPr>
        <w:t xml:space="preserve"> accordingly</w:t>
      </w:r>
      <w:r w:rsidR="000F2606" w:rsidRPr="00CE1CAD">
        <w:rPr>
          <w:rFonts w:eastAsia="SimSun"/>
          <w:lang w:val="en-US" w:eastAsia="zh-CN"/>
        </w:rPr>
        <w:t>,</w:t>
      </w:r>
      <w:r w:rsidR="00612E40" w:rsidRPr="00CE1CAD">
        <w:rPr>
          <w:rFonts w:eastAsia="SimSun"/>
          <w:lang w:eastAsia="zh-CN"/>
        </w:rPr>
        <w:t xml:space="preserve"> concludes that the </w:t>
      </w:r>
      <w:r w:rsidR="00C02308" w:rsidRPr="00CE1CAD">
        <w:rPr>
          <w:rFonts w:eastAsia="SimSun"/>
          <w:lang w:eastAsia="zh-CN"/>
        </w:rPr>
        <w:t xml:space="preserve">present </w:t>
      </w:r>
      <w:r w:rsidR="00211046" w:rsidRPr="00CE1CAD">
        <w:rPr>
          <w:rFonts w:eastAsia="SimSun"/>
          <w:lang w:eastAsia="zh-CN"/>
        </w:rPr>
        <w:t>communication</w:t>
      </w:r>
      <w:r w:rsidR="00C02308" w:rsidRPr="00CE1CAD">
        <w:rPr>
          <w:rFonts w:eastAsia="SimSun"/>
          <w:lang w:eastAsia="zh-CN"/>
        </w:rPr>
        <w:t xml:space="preserve"> is</w:t>
      </w:r>
      <w:r w:rsidR="00612E40" w:rsidRPr="00CE1CAD">
        <w:rPr>
          <w:rFonts w:eastAsia="SimSun"/>
          <w:lang w:eastAsia="zh-CN"/>
        </w:rPr>
        <w:t xml:space="preserve"> inadmissible in accordance with article 22 </w:t>
      </w:r>
      <w:r w:rsidR="000F2606" w:rsidRPr="00CE1CAD">
        <w:rPr>
          <w:rFonts w:eastAsia="SimSun"/>
          <w:lang w:val="en-US" w:eastAsia="zh-CN"/>
        </w:rPr>
        <w:t>(</w:t>
      </w:r>
      <w:r w:rsidR="00612E40" w:rsidRPr="00CE1CAD">
        <w:rPr>
          <w:rFonts w:eastAsia="SimSun"/>
          <w:lang w:eastAsia="zh-CN"/>
        </w:rPr>
        <w:t>5</w:t>
      </w:r>
      <w:r w:rsidR="000F2606" w:rsidRPr="00CE1CAD">
        <w:rPr>
          <w:rFonts w:eastAsia="SimSun"/>
          <w:lang w:val="en-US" w:eastAsia="zh-CN"/>
        </w:rPr>
        <w:t>)</w:t>
      </w:r>
      <w:r w:rsidR="00612E40" w:rsidRPr="00CE1CAD">
        <w:rPr>
          <w:rFonts w:eastAsia="SimSun"/>
          <w:lang w:eastAsia="zh-CN"/>
        </w:rPr>
        <w:t xml:space="preserve"> (a) of the Convention. </w:t>
      </w:r>
    </w:p>
    <w:p w14:paraId="1B3C71EF" w14:textId="77777777" w:rsidR="00846DF6" w:rsidRPr="00CE1CAD" w:rsidRDefault="00846DF6" w:rsidP="00A47974">
      <w:pPr>
        <w:pStyle w:val="SingleTxtG"/>
      </w:pPr>
      <w:r w:rsidRPr="00CE1CAD">
        <w:rPr>
          <w:lang w:val="en-GB"/>
        </w:rPr>
        <w:t>1</w:t>
      </w:r>
      <w:r w:rsidR="00A93FAE" w:rsidRPr="00CE1CAD">
        <w:rPr>
          <w:lang w:val="en-GB"/>
        </w:rPr>
        <w:t>1</w:t>
      </w:r>
      <w:r w:rsidRPr="00CE1CAD">
        <w:rPr>
          <w:lang w:val="en-GB"/>
        </w:rPr>
        <w:t>.</w:t>
      </w:r>
      <w:r w:rsidRPr="00CE1CAD">
        <w:rPr>
          <w:lang w:val="en-GB"/>
        </w:rPr>
        <w:tab/>
      </w:r>
      <w:r w:rsidR="00AC00F6" w:rsidRPr="00CE1CAD">
        <w:rPr>
          <w:lang w:val="en-GB"/>
        </w:rPr>
        <w:t xml:space="preserve">Regarding the matter of lack of compliance with the Committee’s request for interim measures, </w:t>
      </w:r>
      <w:r w:rsidRPr="00CE1CAD">
        <w:rPr>
          <w:lang w:val="en-GB"/>
        </w:rPr>
        <w:t xml:space="preserve">acting under article 22 </w:t>
      </w:r>
      <w:r w:rsidR="00A47974" w:rsidRPr="00CE1CAD">
        <w:rPr>
          <w:lang w:val="en-GB"/>
        </w:rPr>
        <w:t>(</w:t>
      </w:r>
      <w:r w:rsidRPr="00CE1CAD">
        <w:rPr>
          <w:lang w:val="en-GB"/>
        </w:rPr>
        <w:t>7</w:t>
      </w:r>
      <w:r w:rsidR="00A47974" w:rsidRPr="00CE1CAD">
        <w:rPr>
          <w:lang w:val="en-GB"/>
        </w:rPr>
        <w:t>)</w:t>
      </w:r>
      <w:r w:rsidRPr="00CE1CAD">
        <w:rPr>
          <w:lang w:val="en-GB"/>
        </w:rPr>
        <w:t xml:space="preserve"> of the Convention, </w:t>
      </w:r>
      <w:r w:rsidR="00AC00F6" w:rsidRPr="00CE1CAD">
        <w:rPr>
          <w:lang w:val="en-GB"/>
        </w:rPr>
        <w:t xml:space="preserve">the Committee </w:t>
      </w:r>
      <w:r w:rsidRPr="00CE1CAD">
        <w:rPr>
          <w:lang w:val="en-GB"/>
        </w:rPr>
        <w:t xml:space="preserve">decides that the facts before it constitute a breach by the State party of article 22 of the Convention. </w:t>
      </w:r>
    </w:p>
    <w:p w14:paraId="78EBA1DB" w14:textId="77777777" w:rsidR="00846DF6" w:rsidRPr="00CE1CAD" w:rsidRDefault="00846DF6">
      <w:pPr>
        <w:pStyle w:val="SingleTxtG"/>
        <w:rPr>
          <w:lang w:val="en-GB"/>
        </w:rPr>
      </w:pPr>
      <w:r w:rsidRPr="00CE1CAD">
        <w:rPr>
          <w:lang w:val="en-GB"/>
        </w:rPr>
        <w:t>1</w:t>
      </w:r>
      <w:r w:rsidR="00A93FAE" w:rsidRPr="00CE1CAD">
        <w:t>2</w:t>
      </w:r>
      <w:r w:rsidRPr="00CE1CAD">
        <w:rPr>
          <w:lang w:val="en-GB"/>
        </w:rPr>
        <w:t>.</w:t>
      </w:r>
      <w:r w:rsidRPr="00CE1CAD">
        <w:rPr>
          <w:lang w:val="en-GB"/>
        </w:rPr>
        <w:tab/>
        <w:t>The State party is under the obligation to take steps to prevent similar violations in the future</w:t>
      </w:r>
      <w:r w:rsidR="00F538D8" w:rsidRPr="00CE1CAD">
        <w:t>.</w:t>
      </w:r>
    </w:p>
    <w:p w14:paraId="02AD4C11" w14:textId="77777777" w:rsidR="0065411B" w:rsidRPr="00CE1CAD" w:rsidRDefault="00477B38" w:rsidP="00735BAC">
      <w:pPr>
        <w:pStyle w:val="SingleTxtG"/>
        <w:jc w:val="center"/>
        <w:rPr>
          <w:rFonts w:eastAsia="SimSun"/>
          <w:bCs/>
          <w:u w:val="single"/>
          <w:lang w:val="en-GB" w:eastAsia="zh-CN"/>
        </w:rPr>
      </w:pPr>
      <w:r w:rsidRPr="00CE1CAD">
        <w:rPr>
          <w:rFonts w:eastAsia="SimSun"/>
          <w:bCs/>
          <w:u w:val="single"/>
          <w:lang w:val="en-GB" w:eastAsia="zh-CN"/>
        </w:rPr>
        <w:tab/>
      </w:r>
      <w:r w:rsidRPr="00CE1CAD">
        <w:rPr>
          <w:rFonts w:eastAsia="SimSun"/>
          <w:bCs/>
          <w:u w:val="single"/>
          <w:lang w:val="en-GB" w:eastAsia="zh-CN"/>
        </w:rPr>
        <w:tab/>
      </w:r>
      <w:r w:rsidRPr="00CE1CAD">
        <w:rPr>
          <w:rFonts w:eastAsia="SimSun"/>
          <w:bCs/>
          <w:u w:val="single"/>
          <w:lang w:val="en-GB" w:eastAsia="zh-CN"/>
        </w:rPr>
        <w:tab/>
      </w:r>
    </w:p>
    <w:p w14:paraId="4D4BE53E" w14:textId="77777777" w:rsidR="00D74FD2" w:rsidRPr="00CE1CAD" w:rsidRDefault="00D74FD2" w:rsidP="00735BAC">
      <w:pPr>
        <w:pStyle w:val="SingleTxtG"/>
        <w:jc w:val="center"/>
        <w:rPr>
          <w:rFonts w:eastAsia="SimSun"/>
          <w:bCs/>
          <w:u w:val="single"/>
          <w:lang w:val="en-GB" w:eastAsia="zh-CN"/>
        </w:rPr>
      </w:pPr>
    </w:p>
    <w:p w14:paraId="73A656C9" w14:textId="77777777" w:rsidR="006203D1" w:rsidRPr="00CE1CAD" w:rsidRDefault="006203D1" w:rsidP="00735BAC">
      <w:pPr>
        <w:pStyle w:val="SingleTxtG"/>
        <w:jc w:val="center"/>
        <w:rPr>
          <w:u w:val="single"/>
          <w:lang w:val="en-GB"/>
        </w:rPr>
        <w:sectPr w:rsidR="006203D1" w:rsidRPr="00CE1CAD" w:rsidSect="00A63B24">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pPr>
    </w:p>
    <w:p w14:paraId="4F5C5701" w14:textId="77777777" w:rsidR="006203D1" w:rsidRPr="00CE1CAD" w:rsidRDefault="006203D1" w:rsidP="006203D1">
      <w:pPr>
        <w:pStyle w:val="HChG"/>
      </w:pPr>
      <w:r w:rsidRPr="00CE1CAD">
        <w:lastRenderedPageBreak/>
        <w:t>Appendix</w:t>
      </w:r>
    </w:p>
    <w:p w14:paraId="2482901D" w14:textId="77777777" w:rsidR="006203D1" w:rsidRPr="00CE1CAD" w:rsidRDefault="006203D1" w:rsidP="00CE1CAD">
      <w:pPr>
        <w:pStyle w:val="H1G"/>
      </w:pPr>
      <w:r w:rsidRPr="00CE1CAD">
        <w:tab/>
      </w:r>
      <w:r w:rsidR="00007FD4" w:rsidRPr="00CE1CAD">
        <w:tab/>
      </w:r>
      <w:r w:rsidRPr="00CE1CAD">
        <w:t>Individual dissenting opinion of Committee member Alessio Bruni</w:t>
      </w:r>
    </w:p>
    <w:p w14:paraId="3FDF7EB4" w14:textId="77777777" w:rsidR="006203D1" w:rsidRPr="00CE1CAD" w:rsidRDefault="006203D1" w:rsidP="00040BC5">
      <w:pPr>
        <w:pStyle w:val="SingleTxtG"/>
        <w:rPr>
          <w:rFonts w:eastAsia="Calibri"/>
          <w:lang w:val="en-GB"/>
        </w:rPr>
      </w:pPr>
      <w:r w:rsidRPr="00CE1CAD">
        <w:rPr>
          <w:rFonts w:eastAsia="Calibri"/>
          <w:lang w:val="en-GB"/>
        </w:rPr>
        <w:t>1.</w:t>
      </w:r>
      <w:r w:rsidRPr="00CE1CAD">
        <w:rPr>
          <w:rFonts w:eastAsia="Calibri"/>
          <w:lang w:val="en-GB"/>
        </w:rPr>
        <w:tab/>
        <w:t>The following sentence at the end of paragraph 9.</w:t>
      </w:r>
      <w:r w:rsidR="00040BC5" w:rsidRPr="00CE1CAD">
        <w:rPr>
          <w:rFonts w:eastAsia="Calibri"/>
          <w:lang w:val="en-GB"/>
        </w:rPr>
        <w:t>2</w:t>
      </w:r>
      <w:r w:rsidRPr="00CE1CAD">
        <w:rPr>
          <w:rFonts w:eastAsia="Calibri"/>
          <w:lang w:val="en-GB"/>
        </w:rPr>
        <w:t xml:space="preserve"> of the Committee’s decision on communication No</w:t>
      </w:r>
      <w:r w:rsidR="00356ACA" w:rsidRPr="00CE1CAD">
        <w:rPr>
          <w:rFonts w:eastAsia="Calibri"/>
          <w:lang w:val="en-GB"/>
        </w:rPr>
        <w:t>.</w:t>
      </w:r>
      <w:r w:rsidRPr="00CE1CAD">
        <w:rPr>
          <w:rFonts w:eastAsia="Calibri"/>
          <w:lang w:val="en-GB"/>
        </w:rPr>
        <w:t xml:space="preserve"> 671/2015</w:t>
      </w:r>
      <w:r w:rsidR="008573CA" w:rsidRPr="00CE1CAD">
        <w:rPr>
          <w:rFonts w:eastAsia="Calibri"/>
          <w:lang w:val="en-GB"/>
        </w:rPr>
        <w:t xml:space="preserve"> </w:t>
      </w:r>
      <w:r w:rsidRPr="00CE1CAD">
        <w:rPr>
          <w:rFonts w:eastAsia="Calibri"/>
          <w:lang w:val="en-GB"/>
        </w:rPr>
        <w:t xml:space="preserve">should be deleted: “The Committee refers to article 27 of the Vienna Convention </w:t>
      </w:r>
      <w:r w:rsidR="00040BC5" w:rsidRPr="00CE1CAD">
        <w:rPr>
          <w:rFonts w:eastAsia="Calibri"/>
          <w:lang w:val="en-GB"/>
        </w:rPr>
        <w:t xml:space="preserve">on </w:t>
      </w:r>
      <w:r w:rsidRPr="00CE1CAD">
        <w:rPr>
          <w:rFonts w:eastAsia="Calibri"/>
          <w:lang w:val="en-GB"/>
        </w:rPr>
        <w:t>the Law of Treaties, according to which a party may not invoke the provisions of its internal law as justification for its failure to perform a treaty”.</w:t>
      </w:r>
    </w:p>
    <w:p w14:paraId="7C0C94E1" w14:textId="77777777" w:rsidR="006203D1" w:rsidRPr="00CE1CAD" w:rsidRDefault="00007FD4" w:rsidP="00165B7B">
      <w:pPr>
        <w:pStyle w:val="SingleTxtG"/>
        <w:rPr>
          <w:rFonts w:eastAsia="Calibri"/>
          <w:lang w:val="en-GB"/>
        </w:rPr>
      </w:pPr>
      <w:r w:rsidRPr="00CE1CAD">
        <w:rPr>
          <w:rFonts w:eastAsia="Calibri"/>
          <w:lang w:val="en-GB"/>
        </w:rPr>
        <w:t>2.</w:t>
      </w:r>
      <w:r w:rsidRPr="00CE1CAD">
        <w:rPr>
          <w:rFonts w:eastAsia="Calibri"/>
          <w:lang w:val="en-GB"/>
        </w:rPr>
        <w:tab/>
      </w:r>
      <w:r w:rsidR="006203D1" w:rsidRPr="00CE1CAD">
        <w:rPr>
          <w:rFonts w:eastAsia="Calibri"/>
          <w:lang w:val="en-GB"/>
        </w:rPr>
        <w:t>The reference is wrong. The State party has invoked its obligations under an extradition treaty, not the provisions of its internal law.</w:t>
      </w:r>
    </w:p>
    <w:p w14:paraId="09B8859C" w14:textId="77777777" w:rsidR="006203D1" w:rsidRPr="00CE1CAD" w:rsidRDefault="00007FD4" w:rsidP="00040BC5">
      <w:pPr>
        <w:pStyle w:val="SingleTxtG"/>
        <w:rPr>
          <w:rFonts w:eastAsia="Calibri"/>
          <w:lang w:val="en-GB"/>
        </w:rPr>
      </w:pPr>
      <w:r w:rsidRPr="00CE1CAD">
        <w:rPr>
          <w:rFonts w:eastAsia="Calibri"/>
          <w:lang w:val="en-GB"/>
        </w:rPr>
        <w:t>3.</w:t>
      </w:r>
      <w:r w:rsidR="006203D1" w:rsidRPr="00CE1CAD">
        <w:rPr>
          <w:rFonts w:eastAsia="Calibri"/>
          <w:lang w:val="en-GB"/>
        </w:rPr>
        <w:tab/>
      </w:r>
      <w:r w:rsidR="00040BC5" w:rsidRPr="00CE1CAD">
        <w:rPr>
          <w:rFonts w:eastAsia="Calibri"/>
          <w:lang w:val="en-GB"/>
        </w:rPr>
        <w:t xml:space="preserve">In </w:t>
      </w:r>
      <w:r w:rsidR="006203D1" w:rsidRPr="00CE1CAD">
        <w:rPr>
          <w:rFonts w:eastAsia="Calibri"/>
          <w:lang w:val="en-GB"/>
        </w:rPr>
        <w:t>paragraph 9.</w:t>
      </w:r>
      <w:r w:rsidR="00040BC5" w:rsidRPr="00CE1CAD">
        <w:rPr>
          <w:rFonts w:eastAsia="Calibri"/>
          <w:lang w:val="en-GB"/>
        </w:rPr>
        <w:t>3</w:t>
      </w:r>
      <w:r w:rsidR="006203D1" w:rsidRPr="00CE1CAD">
        <w:rPr>
          <w:rFonts w:eastAsia="Calibri"/>
          <w:lang w:val="en-GB"/>
        </w:rPr>
        <w:t xml:space="preserve"> </w:t>
      </w:r>
      <w:r w:rsidR="00040BC5" w:rsidRPr="00CE1CAD">
        <w:rPr>
          <w:rFonts w:eastAsia="Calibri"/>
          <w:lang w:val="en-GB"/>
        </w:rPr>
        <w:t xml:space="preserve">of the decision, the words </w:t>
      </w:r>
      <w:r w:rsidR="006203D1" w:rsidRPr="00CE1CAD">
        <w:rPr>
          <w:rFonts w:eastAsia="Calibri"/>
          <w:lang w:val="en-GB"/>
        </w:rPr>
        <w:t xml:space="preserve">“the State party seriously failed in its obligations under article 22 of the Convention” should be replaced </w:t>
      </w:r>
      <w:r w:rsidR="00040BC5" w:rsidRPr="00CE1CAD">
        <w:rPr>
          <w:rFonts w:eastAsia="Calibri"/>
          <w:lang w:val="en-GB"/>
        </w:rPr>
        <w:t xml:space="preserve">with the words </w:t>
      </w:r>
      <w:r w:rsidR="006203D1" w:rsidRPr="00CE1CAD">
        <w:rPr>
          <w:rFonts w:eastAsia="Calibri"/>
          <w:lang w:val="en-GB"/>
        </w:rPr>
        <w:t>“the State party seriously failed in its expected cooperation in good faith with the Committee”.</w:t>
      </w:r>
    </w:p>
    <w:p w14:paraId="06EA6D8B" w14:textId="77777777" w:rsidR="006203D1" w:rsidRPr="00CE1CAD" w:rsidRDefault="00007FD4" w:rsidP="00040BC5">
      <w:pPr>
        <w:pStyle w:val="SingleTxtG"/>
        <w:rPr>
          <w:rFonts w:eastAsia="Calibri"/>
          <w:lang w:val="en-GB"/>
        </w:rPr>
      </w:pPr>
      <w:r w:rsidRPr="00CE1CAD">
        <w:rPr>
          <w:rFonts w:eastAsia="Calibri"/>
          <w:lang w:val="en-GB"/>
        </w:rPr>
        <w:t>4</w:t>
      </w:r>
      <w:r w:rsidR="006203D1" w:rsidRPr="00CE1CAD">
        <w:rPr>
          <w:rFonts w:eastAsia="Calibri"/>
          <w:lang w:val="en-GB"/>
        </w:rPr>
        <w:t>.</w:t>
      </w:r>
      <w:r w:rsidR="006203D1" w:rsidRPr="00CE1CAD">
        <w:rPr>
          <w:rFonts w:eastAsia="Calibri"/>
          <w:lang w:val="en-GB"/>
        </w:rPr>
        <w:tab/>
      </w:r>
      <w:r w:rsidR="00040BC5" w:rsidRPr="00CE1CAD">
        <w:rPr>
          <w:rFonts w:eastAsia="Calibri"/>
          <w:lang w:val="en-GB"/>
        </w:rPr>
        <w:t xml:space="preserve">In </w:t>
      </w:r>
      <w:r w:rsidR="006203D1" w:rsidRPr="00CE1CAD">
        <w:rPr>
          <w:rFonts w:eastAsia="Calibri"/>
          <w:lang w:val="en-GB"/>
        </w:rPr>
        <w:t>paragraph 11 of the decision, the words “acting under article 22</w:t>
      </w:r>
      <w:r w:rsidR="00040BC5" w:rsidRPr="00CE1CAD">
        <w:rPr>
          <w:rFonts w:eastAsia="Calibri"/>
          <w:lang w:val="en-GB"/>
        </w:rPr>
        <w:t xml:space="preserve"> (</w:t>
      </w:r>
      <w:r w:rsidR="006203D1" w:rsidRPr="00CE1CAD">
        <w:rPr>
          <w:rFonts w:eastAsia="Calibri"/>
          <w:lang w:val="en-GB"/>
        </w:rPr>
        <w:t>7</w:t>
      </w:r>
      <w:r w:rsidR="00040BC5" w:rsidRPr="00CE1CAD">
        <w:rPr>
          <w:rFonts w:eastAsia="Calibri"/>
          <w:lang w:val="en-GB"/>
        </w:rPr>
        <w:t>)</w:t>
      </w:r>
      <w:r w:rsidR="006203D1" w:rsidRPr="00CE1CAD">
        <w:rPr>
          <w:rFonts w:eastAsia="Calibri"/>
          <w:lang w:val="en-GB"/>
        </w:rPr>
        <w:t xml:space="preserve"> of the Convention” should be deleted</w:t>
      </w:r>
      <w:r w:rsidR="00040BC5" w:rsidRPr="00CE1CAD">
        <w:rPr>
          <w:rFonts w:eastAsia="Calibri"/>
          <w:lang w:val="en-GB"/>
        </w:rPr>
        <w:t>;</w:t>
      </w:r>
      <w:r w:rsidR="006203D1" w:rsidRPr="00CE1CAD">
        <w:rPr>
          <w:rFonts w:eastAsia="Calibri"/>
          <w:lang w:val="en-GB"/>
        </w:rPr>
        <w:t xml:space="preserve"> and the words “a breach by the State party of article 22 of the Convention” should be replaced </w:t>
      </w:r>
      <w:r w:rsidR="00040BC5" w:rsidRPr="00CE1CAD">
        <w:rPr>
          <w:rFonts w:eastAsia="Calibri"/>
          <w:lang w:val="en-GB"/>
        </w:rPr>
        <w:t xml:space="preserve">with the words </w:t>
      </w:r>
      <w:r w:rsidR="006203D1" w:rsidRPr="00CE1CAD">
        <w:rPr>
          <w:rFonts w:eastAsia="Calibri"/>
          <w:lang w:val="en-GB"/>
        </w:rPr>
        <w:t>“an evident lack of cooperation by the State party with the Committee and a serious obstacle to the Committee’s deliberation”</w:t>
      </w:r>
      <w:r w:rsidR="00040BC5" w:rsidRPr="00CE1CAD">
        <w:rPr>
          <w:rFonts w:eastAsia="Calibri"/>
          <w:lang w:val="en-GB"/>
        </w:rPr>
        <w:t>,</w:t>
      </w:r>
      <w:r w:rsidR="006203D1" w:rsidRPr="00CE1CAD">
        <w:rPr>
          <w:rFonts w:eastAsia="Calibri"/>
          <w:lang w:val="en-GB"/>
        </w:rPr>
        <w:t xml:space="preserve"> without reference to article 22 of the Convention.</w:t>
      </w:r>
    </w:p>
    <w:p w14:paraId="6A7925FD" w14:textId="77777777" w:rsidR="006203D1" w:rsidRPr="00CE1CAD" w:rsidRDefault="00007FD4" w:rsidP="00040BC5">
      <w:pPr>
        <w:pStyle w:val="SingleTxtG"/>
        <w:rPr>
          <w:rFonts w:eastAsia="Calibri"/>
          <w:lang w:val="en-GB"/>
        </w:rPr>
      </w:pPr>
      <w:r w:rsidRPr="00CE1CAD">
        <w:rPr>
          <w:rFonts w:eastAsia="Calibri"/>
          <w:lang w:val="en-GB"/>
        </w:rPr>
        <w:t>5</w:t>
      </w:r>
      <w:r w:rsidR="006203D1" w:rsidRPr="00CE1CAD">
        <w:rPr>
          <w:rFonts w:eastAsia="Calibri"/>
          <w:lang w:val="en-GB"/>
        </w:rPr>
        <w:t>.</w:t>
      </w:r>
      <w:r w:rsidR="006203D1" w:rsidRPr="00CE1CAD">
        <w:rPr>
          <w:rFonts w:eastAsia="Calibri"/>
          <w:lang w:val="en-GB"/>
        </w:rPr>
        <w:tab/>
        <w:t xml:space="preserve">Interim measures are contained in rule 114 of the </w:t>
      </w:r>
      <w:r w:rsidR="00040BC5" w:rsidRPr="00CE1CAD">
        <w:rPr>
          <w:rFonts w:eastAsia="Calibri"/>
          <w:lang w:val="en-GB"/>
        </w:rPr>
        <w:t>r</w:t>
      </w:r>
      <w:r w:rsidR="006203D1" w:rsidRPr="00CE1CAD">
        <w:rPr>
          <w:rFonts w:eastAsia="Calibri"/>
          <w:lang w:val="en-GB"/>
        </w:rPr>
        <w:t xml:space="preserve">ules of </w:t>
      </w:r>
      <w:r w:rsidR="00040BC5" w:rsidRPr="00CE1CAD">
        <w:rPr>
          <w:rFonts w:eastAsia="Calibri"/>
          <w:lang w:val="en-GB"/>
        </w:rPr>
        <w:t>p</w:t>
      </w:r>
      <w:r w:rsidR="006203D1" w:rsidRPr="00CE1CAD">
        <w:rPr>
          <w:rFonts w:eastAsia="Calibri"/>
          <w:lang w:val="en-GB"/>
        </w:rPr>
        <w:t>rocedure of the Committee</w:t>
      </w:r>
      <w:r w:rsidR="00040BC5" w:rsidRPr="00CE1CAD">
        <w:rPr>
          <w:rFonts w:eastAsia="Calibri"/>
          <w:lang w:val="en-GB"/>
        </w:rPr>
        <w:t>,</w:t>
      </w:r>
      <w:r w:rsidR="006203D1" w:rsidRPr="00CE1CAD">
        <w:rPr>
          <w:rFonts w:eastAsia="Calibri"/>
          <w:lang w:val="en-GB"/>
        </w:rPr>
        <w:t xml:space="preserve"> which have not been subscribed </w:t>
      </w:r>
      <w:r w:rsidR="00040BC5" w:rsidRPr="00CE1CAD">
        <w:rPr>
          <w:rFonts w:eastAsia="Calibri"/>
          <w:lang w:val="en-GB"/>
        </w:rPr>
        <w:t xml:space="preserve">to </w:t>
      </w:r>
      <w:r w:rsidR="006203D1" w:rsidRPr="00CE1CAD">
        <w:rPr>
          <w:rFonts w:eastAsia="Calibri"/>
          <w:lang w:val="en-GB"/>
        </w:rPr>
        <w:t>by the State party and are not contained in article 22 of the Convention</w:t>
      </w:r>
      <w:r w:rsidR="00040BC5" w:rsidRPr="00CE1CAD">
        <w:rPr>
          <w:rFonts w:eastAsia="Calibri"/>
          <w:lang w:val="en-GB"/>
        </w:rPr>
        <w:t>,</w:t>
      </w:r>
      <w:r w:rsidR="006203D1" w:rsidRPr="00CE1CAD">
        <w:rPr>
          <w:rFonts w:eastAsia="Calibri"/>
          <w:lang w:val="en-GB"/>
        </w:rPr>
        <w:t xml:space="preserve"> which, on the contrary, has been subscribed </w:t>
      </w:r>
      <w:r w:rsidR="00040BC5" w:rsidRPr="00CE1CAD">
        <w:rPr>
          <w:rFonts w:eastAsia="Calibri"/>
          <w:lang w:val="en-GB"/>
        </w:rPr>
        <w:t xml:space="preserve">to </w:t>
      </w:r>
      <w:r w:rsidR="006203D1" w:rsidRPr="00CE1CAD">
        <w:rPr>
          <w:rFonts w:eastAsia="Calibri"/>
          <w:lang w:val="en-GB"/>
        </w:rPr>
        <w:t>by the State party. The breach, therefore, concerns that rule and not article 22 of the Convention.</w:t>
      </w:r>
    </w:p>
    <w:p w14:paraId="44B35977" w14:textId="77777777" w:rsidR="006203D1" w:rsidRPr="00CE1CAD" w:rsidRDefault="00007FD4" w:rsidP="00040BC5">
      <w:pPr>
        <w:pStyle w:val="SingleTxtG"/>
        <w:rPr>
          <w:rFonts w:eastAsia="Calibri"/>
          <w:lang w:val="en-GB"/>
        </w:rPr>
      </w:pPr>
      <w:r w:rsidRPr="00CE1CAD">
        <w:rPr>
          <w:rFonts w:eastAsia="Calibri"/>
          <w:lang w:val="en-GB"/>
        </w:rPr>
        <w:t>6</w:t>
      </w:r>
      <w:r w:rsidR="006203D1" w:rsidRPr="00CE1CAD">
        <w:rPr>
          <w:rFonts w:eastAsia="Calibri"/>
          <w:lang w:val="en-GB"/>
        </w:rPr>
        <w:t>.</w:t>
      </w:r>
      <w:r w:rsidR="006203D1" w:rsidRPr="00CE1CAD">
        <w:rPr>
          <w:rFonts w:eastAsia="Calibri"/>
          <w:lang w:val="en-GB"/>
        </w:rPr>
        <w:tab/>
        <w:t xml:space="preserve">Interim measures are legally binding in </w:t>
      </w:r>
      <w:r w:rsidR="00040BC5" w:rsidRPr="00CE1CAD">
        <w:rPr>
          <w:rFonts w:eastAsia="Calibri"/>
          <w:lang w:val="en-GB"/>
        </w:rPr>
        <w:t xml:space="preserve">those </w:t>
      </w:r>
      <w:r w:rsidR="006203D1" w:rsidRPr="00CE1CAD">
        <w:rPr>
          <w:rFonts w:eastAsia="Calibri"/>
          <w:lang w:val="en-GB"/>
        </w:rPr>
        <w:t xml:space="preserve">treaties and protocols </w:t>
      </w:r>
      <w:r w:rsidR="00040BC5" w:rsidRPr="00CE1CAD">
        <w:rPr>
          <w:rFonts w:eastAsia="Calibri"/>
          <w:lang w:val="en-GB"/>
        </w:rPr>
        <w:t xml:space="preserve">that </w:t>
      </w:r>
      <w:r w:rsidR="006203D1" w:rsidRPr="00CE1CAD">
        <w:rPr>
          <w:rFonts w:eastAsia="Calibri"/>
          <w:lang w:val="en-GB"/>
        </w:rPr>
        <w:t>provide for them</w:t>
      </w:r>
      <w:r w:rsidR="00040BC5" w:rsidRPr="00CE1CAD">
        <w:rPr>
          <w:rFonts w:eastAsia="Calibri"/>
          <w:lang w:val="en-GB"/>
        </w:rPr>
        <w:t>,</w:t>
      </w:r>
      <w:r w:rsidR="006203D1" w:rsidRPr="00CE1CAD">
        <w:rPr>
          <w:rFonts w:eastAsia="Calibri"/>
          <w:lang w:val="en-GB"/>
        </w:rPr>
        <w:t xml:space="preserve"> and are freely adhered to by States. Treaties, such as the Convention against Torture, which do not contain such provision</w:t>
      </w:r>
      <w:r w:rsidR="00040BC5" w:rsidRPr="00CE1CAD">
        <w:rPr>
          <w:rFonts w:eastAsia="Calibri"/>
          <w:lang w:val="en-GB"/>
        </w:rPr>
        <w:t>s</w:t>
      </w:r>
      <w:r w:rsidR="006203D1" w:rsidRPr="00CE1CAD">
        <w:rPr>
          <w:rFonts w:eastAsia="Calibri"/>
          <w:lang w:val="en-GB"/>
        </w:rPr>
        <w:t>, should be amended in accordance with their amending mechanism in order to include the notion of legally binding interim measures.</w:t>
      </w:r>
    </w:p>
    <w:p w14:paraId="2F7BFC0E" w14:textId="77777777" w:rsidR="006203D1" w:rsidRPr="00007FD4" w:rsidRDefault="00007FD4" w:rsidP="00CE1CAD">
      <w:pPr>
        <w:spacing w:before="240"/>
        <w:ind w:left="1134" w:right="1134"/>
        <w:jc w:val="center"/>
        <w:rPr>
          <w:u w:val="single"/>
        </w:rPr>
      </w:pPr>
      <w:r>
        <w:rPr>
          <w:u w:val="single"/>
        </w:rPr>
        <w:tab/>
      </w:r>
      <w:r>
        <w:rPr>
          <w:u w:val="single"/>
        </w:rPr>
        <w:tab/>
      </w:r>
      <w:r>
        <w:rPr>
          <w:u w:val="single"/>
        </w:rPr>
        <w:tab/>
      </w:r>
    </w:p>
    <w:p w14:paraId="4281660D" w14:textId="77777777" w:rsidR="006203D1" w:rsidRPr="00F45CC1" w:rsidRDefault="006203D1">
      <w:pPr>
        <w:pStyle w:val="SingleTxtG"/>
        <w:spacing w:before="240" w:after="0"/>
        <w:jc w:val="center"/>
        <w:rPr>
          <w:u w:val="single"/>
          <w:lang w:val="en-GB"/>
        </w:rPr>
      </w:pPr>
    </w:p>
    <w:sectPr w:rsidR="006203D1" w:rsidRPr="00F45CC1" w:rsidSect="004876DE">
      <w:headerReference w:type="first" r:id="rId16"/>
      <w:footerReference w:type="first" r:id="rId17"/>
      <w:endnotePr>
        <w:numFmt w:val="decimal"/>
      </w:endnotePr>
      <w:pgSz w:w="11907" w:h="16840" w:code="9"/>
      <w:pgMar w:top="1701" w:right="1134" w:bottom="2268" w:left="1134" w:header="1134" w:footer="1701" w:gutter="0"/>
      <w:cols w:space="720"/>
      <w:titlePg/>
      <w:docGrid w:linePitch="2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6-02-11T14:54:00Z" w:initials="Start">
    <w:p w14:paraId="403CDAFC" w14:textId="77777777" w:rsidR="00A63B24" w:rsidRDefault="00A63B2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NO&gt;&gt;N1602246E&lt;&lt;ODS JOB NO&gt;&gt;</w:t>
      </w:r>
    </w:p>
    <w:p w14:paraId="79A9DA9F" w14:textId="77777777" w:rsidR="00A63B24" w:rsidRDefault="00A63B24">
      <w:pPr>
        <w:pStyle w:val="CommentText"/>
      </w:pPr>
      <w:r>
        <w:t>&lt;&lt;ODS DOC SYMBOL1&gt;&gt;CAT/C/56/D/671/2015&lt;&lt;ODS DOC SYMBOL1&gt;&gt;</w:t>
      </w:r>
    </w:p>
    <w:p w14:paraId="0435073E" w14:textId="77777777" w:rsidR="00A63B24" w:rsidRDefault="00A63B24">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3507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82F37" w14:textId="77777777" w:rsidR="00182E44" w:rsidRDefault="00182E44"/>
  </w:endnote>
  <w:endnote w:type="continuationSeparator" w:id="0">
    <w:p w14:paraId="60E98180" w14:textId="77777777" w:rsidR="00182E44" w:rsidRDefault="00182E44"/>
  </w:endnote>
  <w:endnote w:type="continuationNotice" w:id="1">
    <w:p w14:paraId="74266DC1" w14:textId="77777777" w:rsidR="00182E44" w:rsidRDefault="00182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A1992" w14:textId="77777777" w:rsidR="00E57008" w:rsidRPr="00116B35" w:rsidRDefault="00E57008" w:rsidP="004876DE">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A53706">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0ADD0" w14:textId="77777777" w:rsidR="00E57008" w:rsidRPr="00116B35" w:rsidRDefault="00E57008" w:rsidP="004876DE">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A53706">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A63B24" w14:paraId="4FFEB575" w14:textId="77777777" w:rsidTr="00A63B24">
      <w:tc>
        <w:tcPr>
          <w:tcW w:w="3758" w:type="dxa"/>
          <w:shd w:val="clear" w:color="auto" w:fill="auto"/>
        </w:tcPr>
        <w:p w14:paraId="3854A1BA" w14:textId="77777777" w:rsidR="00A63B24" w:rsidRDefault="00A63B24" w:rsidP="00A63B24">
          <w:pPr>
            <w:pStyle w:val="Footer"/>
            <w:rPr>
              <w:sz w:val="20"/>
            </w:rPr>
          </w:pPr>
          <w:r>
            <w:rPr>
              <w:noProof/>
              <w:sz w:val="20"/>
              <w:lang w:val="en-US"/>
            </w:rPr>
            <w:drawing>
              <wp:anchor distT="0" distB="0" distL="114300" distR="114300" simplePos="0" relativeHeight="251658240" behindDoc="0" locked="0" layoutInCell="1" allowOverlap="1" wp14:anchorId="6E914807" wp14:editId="568528AE">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CAT/C/56/D/671/201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6/D/671/201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GE.16-01830(E)</w:t>
          </w:r>
        </w:p>
        <w:p w14:paraId="21CD1B96" w14:textId="77777777" w:rsidR="00A63B24" w:rsidRPr="00A63B24" w:rsidRDefault="00A63B24" w:rsidP="00A63B24">
          <w:pPr>
            <w:pStyle w:val="Footer"/>
            <w:rPr>
              <w:rFonts w:ascii="Barcode 3 of 9 by request" w:hAnsi="Barcode 3 of 9 by request"/>
              <w:sz w:val="24"/>
            </w:rPr>
          </w:pPr>
          <w:r>
            <w:rPr>
              <w:rFonts w:ascii="Barcode 3 of 9 by request" w:hAnsi="Barcode 3 of 9 by request"/>
              <w:sz w:val="24"/>
            </w:rPr>
            <w:t>*1601830*</w:t>
          </w:r>
        </w:p>
      </w:tc>
      <w:tc>
        <w:tcPr>
          <w:tcW w:w="4928" w:type="dxa"/>
          <w:shd w:val="clear" w:color="auto" w:fill="auto"/>
        </w:tcPr>
        <w:p w14:paraId="54A81A1D" w14:textId="77777777" w:rsidR="00A63B24" w:rsidRDefault="00A63B24" w:rsidP="00A63B24">
          <w:pPr>
            <w:pStyle w:val="Footer"/>
            <w:spacing w:line="240" w:lineRule="atLeast"/>
            <w:jc w:val="right"/>
            <w:rPr>
              <w:sz w:val="20"/>
            </w:rPr>
          </w:pPr>
          <w:r>
            <w:rPr>
              <w:noProof/>
              <w:sz w:val="20"/>
              <w:lang w:val="en-US"/>
            </w:rPr>
            <w:drawing>
              <wp:inline distT="0" distB="0" distL="0" distR="0" wp14:anchorId="4D768A08" wp14:editId="579A212F">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79842B0F" w14:textId="77777777" w:rsidR="00A63B24" w:rsidRPr="00A63B24" w:rsidRDefault="00A63B24" w:rsidP="00A63B24">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284967"/>
      <w:docPartObj>
        <w:docPartGallery w:val="Page Numbers (Bottom of Page)"/>
        <w:docPartUnique/>
      </w:docPartObj>
    </w:sdtPr>
    <w:sdtEndPr>
      <w:rPr>
        <w:b/>
        <w:bCs/>
        <w:noProof/>
        <w:sz w:val="18"/>
        <w:szCs w:val="18"/>
      </w:rPr>
    </w:sdtEndPr>
    <w:sdtContent>
      <w:p w14:paraId="6F6AA270" w14:textId="77777777" w:rsidR="00E57008" w:rsidRPr="00CE1CAD" w:rsidRDefault="00E57008">
        <w:pPr>
          <w:pStyle w:val="Footer"/>
          <w:jc w:val="right"/>
          <w:rPr>
            <w:b/>
            <w:bCs/>
            <w:sz w:val="18"/>
            <w:szCs w:val="18"/>
          </w:rPr>
        </w:pPr>
        <w:r w:rsidRPr="00CE1CAD">
          <w:rPr>
            <w:b/>
            <w:bCs/>
            <w:sz w:val="18"/>
            <w:szCs w:val="18"/>
          </w:rPr>
          <w:fldChar w:fldCharType="begin"/>
        </w:r>
        <w:r w:rsidRPr="00CE1CAD">
          <w:rPr>
            <w:b/>
            <w:bCs/>
            <w:sz w:val="18"/>
            <w:szCs w:val="18"/>
          </w:rPr>
          <w:instrText xml:space="preserve"> PAGE   \* MERGEFORMAT </w:instrText>
        </w:r>
        <w:r w:rsidRPr="00CE1CAD">
          <w:rPr>
            <w:b/>
            <w:bCs/>
            <w:sz w:val="18"/>
            <w:szCs w:val="18"/>
          </w:rPr>
          <w:fldChar w:fldCharType="separate"/>
        </w:r>
        <w:r w:rsidR="00C23027">
          <w:rPr>
            <w:b/>
            <w:bCs/>
            <w:noProof/>
            <w:sz w:val="18"/>
            <w:szCs w:val="18"/>
          </w:rPr>
          <w:t>13</w:t>
        </w:r>
        <w:r w:rsidRPr="00CE1CAD">
          <w:rPr>
            <w:b/>
            <w:bCs/>
            <w:noProof/>
            <w:sz w:val="18"/>
            <w:szCs w:val="18"/>
          </w:rPr>
          <w:fldChar w:fldCharType="end"/>
        </w:r>
      </w:p>
    </w:sdtContent>
  </w:sdt>
  <w:p w14:paraId="68E6890A" w14:textId="77777777" w:rsidR="00E57008" w:rsidRDefault="00E57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3F162" w14:textId="77777777" w:rsidR="00182E44" w:rsidRPr="000B175B" w:rsidRDefault="00182E44" w:rsidP="004876DE">
      <w:pPr>
        <w:tabs>
          <w:tab w:val="right" w:pos="2155"/>
        </w:tabs>
        <w:spacing w:after="80"/>
        <w:ind w:left="680"/>
        <w:rPr>
          <w:u w:val="single"/>
        </w:rPr>
      </w:pPr>
      <w:r>
        <w:rPr>
          <w:u w:val="single"/>
        </w:rPr>
        <w:tab/>
      </w:r>
    </w:p>
  </w:footnote>
  <w:footnote w:type="continuationSeparator" w:id="0">
    <w:p w14:paraId="382AC8FC" w14:textId="77777777" w:rsidR="00182E44" w:rsidRPr="00FC68B7" w:rsidRDefault="00182E44" w:rsidP="004876DE">
      <w:pPr>
        <w:tabs>
          <w:tab w:val="left" w:pos="2155"/>
        </w:tabs>
        <w:spacing w:after="80"/>
        <w:ind w:left="680"/>
        <w:rPr>
          <w:u w:val="single"/>
        </w:rPr>
      </w:pPr>
      <w:r>
        <w:rPr>
          <w:u w:val="single"/>
        </w:rPr>
        <w:tab/>
      </w:r>
    </w:p>
  </w:footnote>
  <w:footnote w:type="continuationNotice" w:id="1">
    <w:p w14:paraId="665DD07F" w14:textId="77777777" w:rsidR="00182E44" w:rsidRDefault="00182E44"/>
  </w:footnote>
  <w:footnote w:id="2">
    <w:p w14:paraId="4EF7DE77" w14:textId="77777777" w:rsidR="00E57008" w:rsidRDefault="00E57008" w:rsidP="00534EE6">
      <w:pPr>
        <w:pStyle w:val="FootnoteText"/>
      </w:pPr>
      <w:r>
        <w:rPr>
          <w:rStyle w:val="FootnoteReference"/>
          <w:sz w:val="20"/>
        </w:rPr>
        <w:tab/>
      </w:r>
      <w:r w:rsidRPr="00BE66AA">
        <w:rPr>
          <w:rStyle w:val="FootnoteReference"/>
          <w:sz w:val="20"/>
          <w:vertAlign w:val="baseline"/>
        </w:rPr>
        <w:t>*</w:t>
      </w:r>
      <w:bookmarkStart w:id="2" w:name="OLE_LINK2"/>
      <w:bookmarkStart w:id="3" w:name="OLE_LINK1"/>
      <w:r w:rsidRPr="00BE66AA">
        <w:rPr>
          <w:rStyle w:val="FootnoteReference"/>
          <w:sz w:val="20"/>
          <w:vertAlign w:val="baseline"/>
        </w:rPr>
        <w:tab/>
      </w:r>
      <w:r>
        <w:t>The following members of the Committee participated in the consideration of the present communication:</w:t>
      </w:r>
      <w:bookmarkEnd w:id="2"/>
      <w:bookmarkEnd w:id="3"/>
      <w:r>
        <w:t xml:space="preserve"> Essadia Belmir, Alessio Bruni, Abdoulaye Gaye, </w:t>
      </w:r>
      <w:r w:rsidRPr="00165B7B">
        <w:rPr>
          <w:lang w:val="en-GB"/>
        </w:rPr>
        <w:t xml:space="preserve">Claudio Grossman, </w:t>
      </w:r>
      <w:r>
        <w:t xml:space="preserve">Sapana Pradhan-Malla, </w:t>
      </w:r>
      <w:r>
        <w:rPr>
          <w:bCs/>
        </w:rPr>
        <w:t xml:space="preserve">Jens Modvig, George Tugushi and </w:t>
      </w:r>
      <w:r>
        <w:t>Kening Zhang.</w:t>
      </w:r>
    </w:p>
  </w:footnote>
  <w:footnote w:id="3">
    <w:p w14:paraId="161E65A2" w14:textId="77777777" w:rsidR="00E57008" w:rsidRPr="0014704F" w:rsidRDefault="00E57008" w:rsidP="006203D1">
      <w:pPr>
        <w:pStyle w:val="FootnoteText"/>
        <w:spacing w:line="240" w:lineRule="auto"/>
      </w:pPr>
      <w:r w:rsidRPr="002B7A6C">
        <w:rPr>
          <w:rStyle w:val="FootnoteReference"/>
          <w:sz w:val="16"/>
          <w:szCs w:val="16"/>
        </w:rPr>
        <w:tab/>
      </w:r>
      <w:r w:rsidRPr="00CE1CAD">
        <w:rPr>
          <w:rStyle w:val="FootnoteReference"/>
          <w:sz w:val="20"/>
          <w:vertAlign w:val="baseline"/>
        </w:rPr>
        <w:t>**</w:t>
      </w:r>
      <w:r w:rsidRPr="008E5AFE">
        <w:rPr>
          <w:rStyle w:val="FootnoteReference"/>
          <w:sz w:val="20"/>
          <w:vertAlign w:val="baseline"/>
        </w:rPr>
        <w:tab/>
      </w:r>
      <w:r>
        <w:t>The text of an individual</w:t>
      </w:r>
      <w:r w:rsidRPr="00896611">
        <w:t xml:space="preserve"> </w:t>
      </w:r>
      <w:r>
        <w:t>opinion (dissenting) of Committee member Alessio Bruni is appended to the present decision.</w:t>
      </w:r>
    </w:p>
  </w:footnote>
  <w:footnote w:id="4">
    <w:p w14:paraId="272DA8A2" w14:textId="77777777" w:rsidR="00E57008" w:rsidRPr="00534EE6" w:rsidRDefault="00E57008" w:rsidP="008E5AFE">
      <w:pPr>
        <w:pStyle w:val="FootnoteText"/>
        <w:widowControl w:val="0"/>
        <w:tabs>
          <w:tab w:val="clear" w:pos="1021"/>
          <w:tab w:val="right" w:pos="1020"/>
        </w:tabs>
        <w:rPr>
          <w:lang w:val="en-GB"/>
        </w:rPr>
      </w:pPr>
      <w:r>
        <w:tab/>
      </w:r>
      <w:r>
        <w:rPr>
          <w:rStyle w:val="FootnoteReference"/>
        </w:rPr>
        <w:footnoteRef/>
      </w:r>
      <w:r>
        <w:tab/>
      </w:r>
      <w:r w:rsidRPr="00A507B1">
        <w:rPr>
          <w:lang w:val="en-GB"/>
        </w:rPr>
        <w:t xml:space="preserve">The State party </w:t>
      </w:r>
      <w:r>
        <w:rPr>
          <w:lang w:val="en-GB"/>
        </w:rPr>
        <w:t>submitted and reiterated its</w:t>
      </w:r>
      <w:r w:rsidRPr="00A507B1">
        <w:rPr>
          <w:lang w:val="en-GB"/>
        </w:rPr>
        <w:t xml:space="preserve"> request </w:t>
      </w:r>
      <w:r>
        <w:rPr>
          <w:lang w:val="en-GB"/>
        </w:rPr>
        <w:t xml:space="preserve">to lift </w:t>
      </w:r>
      <w:r w:rsidRPr="00A507B1">
        <w:rPr>
          <w:lang w:val="en-GB"/>
        </w:rPr>
        <w:t>the interim measures</w:t>
      </w:r>
      <w:r>
        <w:rPr>
          <w:lang w:val="en-GB"/>
        </w:rPr>
        <w:t>,</w:t>
      </w:r>
      <w:r w:rsidRPr="00A507B1">
        <w:rPr>
          <w:lang w:val="en-GB"/>
        </w:rPr>
        <w:t xml:space="preserve"> respectively</w:t>
      </w:r>
      <w:r>
        <w:rPr>
          <w:lang w:val="en-GB"/>
        </w:rPr>
        <w:t>,</w:t>
      </w:r>
      <w:r w:rsidRPr="00A507B1">
        <w:rPr>
          <w:lang w:val="en-GB"/>
        </w:rPr>
        <w:t xml:space="preserve"> on 15, 17</w:t>
      </w:r>
      <w:r>
        <w:rPr>
          <w:lang w:val="en-GB"/>
        </w:rPr>
        <w:t xml:space="preserve">, 21 and 23 </w:t>
      </w:r>
      <w:r w:rsidRPr="00A507B1">
        <w:rPr>
          <w:lang w:val="en-GB"/>
        </w:rPr>
        <w:t>April 2015.</w:t>
      </w:r>
      <w:r>
        <w:t xml:space="preserve"> </w:t>
      </w:r>
    </w:p>
  </w:footnote>
  <w:footnote w:id="5">
    <w:p w14:paraId="1DAB0BD8" w14:textId="77777777" w:rsidR="00E57008" w:rsidRPr="00534EE6" w:rsidRDefault="00E57008" w:rsidP="00FE4EC6">
      <w:pPr>
        <w:pStyle w:val="FootnoteText"/>
        <w:widowControl w:val="0"/>
        <w:tabs>
          <w:tab w:val="clear" w:pos="1021"/>
          <w:tab w:val="right" w:pos="1020"/>
        </w:tabs>
        <w:rPr>
          <w:lang w:val="en-GB"/>
        </w:rPr>
      </w:pPr>
      <w:r>
        <w:tab/>
      </w:r>
      <w:r>
        <w:rPr>
          <w:rStyle w:val="FootnoteReference"/>
        </w:rPr>
        <w:footnoteRef/>
      </w:r>
      <w:r>
        <w:tab/>
      </w:r>
      <w:r w:rsidRPr="00C95B33">
        <w:rPr>
          <w:lang w:val="en-GB"/>
        </w:rPr>
        <w:t xml:space="preserve">The complainant provided </w:t>
      </w:r>
      <w:r w:rsidR="0008117A">
        <w:rPr>
          <w:lang w:val="en-GB"/>
        </w:rPr>
        <w:t>as</w:t>
      </w:r>
      <w:r w:rsidR="0008117A" w:rsidRPr="00C95B33">
        <w:rPr>
          <w:lang w:val="en-GB"/>
        </w:rPr>
        <w:t xml:space="preserve"> </w:t>
      </w:r>
      <w:r w:rsidRPr="00C95B33">
        <w:rPr>
          <w:lang w:val="en-GB"/>
        </w:rPr>
        <w:t xml:space="preserve">evidence </w:t>
      </w:r>
      <w:r>
        <w:rPr>
          <w:lang w:val="en-GB"/>
        </w:rPr>
        <w:t>s</w:t>
      </w:r>
      <w:r w:rsidRPr="00321AC2">
        <w:rPr>
          <w:lang w:val="en-GB"/>
        </w:rPr>
        <w:t>everal psychiatri</w:t>
      </w:r>
      <w:r>
        <w:rPr>
          <w:lang w:val="en-GB"/>
        </w:rPr>
        <w:t>sts’</w:t>
      </w:r>
      <w:r w:rsidRPr="00321AC2">
        <w:rPr>
          <w:lang w:val="en-GB"/>
        </w:rPr>
        <w:t xml:space="preserve"> reports</w:t>
      </w:r>
      <w:r>
        <w:rPr>
          <w:lang w:val="en-GB"/>
        </w:rPr>
        <w:t>,</w:t>
      </w:r>
      <w:r w:rsidRPr="00321AC2">
        <w:rPr>
          <w:lang w:val="en-GB"/>
        </w:rPr>
        <w:t xml:space="preserve"> the most recent one dated 2</w:t>
      </w:r>
      <w:r>
        <w:rPr>
          <w:lang w:val="en-GB"/>
        </w:rPr>
        <w:t> </w:t>
      </w:r>
      <w:r w:rsidRPr="00321AC2">
        <w:rPr>
          <w:lang w:val="en-GB"/>
        </w:rPr>
        <w:t>April 2015</w:t>
      </w:r>
      <w:r>
        <w:rPr>
          <w:lang w:val="en-GB"/>
        </w:rPr>
        <w:t>; statements of Rabbi David Goldstein, a prison chaplain in the state of Texas, who provided religious guidance and counselling to him; a statement by Douglas McNabb, an attorney at law</w:t>
      </w:r>
      <w:r w:rsidR="0008117A">
        <w:rPr>
          <w:lang w:val="en-GB"/>
        </w:rPr>
        <w:t>,</w:t>
      </w:r>
      <w:r>
        <w:rPr>
          <w:lang w:val="en-GB"/>
        </w:rPr>
        <w:t xml:space="preserve"> who confirmed that </w:t>
      </w:r>
      <w:r w:rsidRPr="00C95B33">
        <w:rPr>
          <w:lang w:val="en-GB"/>
        </w:rPr>
        <w:t xml:space="preserve">the complainant </w:t>
      </w:r>
      <w:r>
        <w:rPr>
          <w:lang w:val="en-GB"/>
        </w:rPr>
        <w:t xml:space="preserve">had alleged on several occasions that he had been sexually assaulted and </w:t>
      </w:r>
      <w:r w:rsidR="0008117A">
        <w:rPr>
          <w:lang w:val="en-GB"/>
        </w:rPr>
        <w:t xml:space="preserve">that </w:t>
      </w:r>
      <w:r>
        <w:rPr>
          <w:lang w:val="en-GB"/>
        </w:rPr>
        <w:t xml:space="preserve">his complaints had gone “unchallenged” (on the basis of the review of the United States court docket sheet); and copies of several complaints to the judicial authorities in several </w:t>
      </w:r>
      <w:r w:rsidR="00FE4EC6">
        <w:rPr>
          <w:lang w:val="en-GB"/>
        </w:rPr>
        <w:t>s</w:t>
      </w:r>
      <w:r>
        <w:rPr>
          <w:lang w:val="en-GB"/>
        </w:rPr>
        <w:t>tates concerning threats and sexual assaults.</w:t>
      </w:r>
      <w:r>
        <w:t xml:space="preserve"> </w:t>
      </w:r>
    </w:p>
  </w:footnote>
  <w:footnote w:id="6">
    <w:p w14:paraId="45F231C3" w14:textId="77777777" w:rsidR="00E57008" w:rsidRPr="00534EE6" w:rsidRDefault="00E57008" w:rsidP="00093A2F">
      <w:pPr>
        <w:pStyle w:val="FootnoteText"/>
        <w:widowControl w:val="0"/>
        <w:tabs>
          <w:tab w:val="clear" w:pos="1021"/>
          <w:tab w:val="right" w:pos="1020"/>
        </w:tabs>
        <w:rPr>
          <w:lang w:val="en-GB"/>
        </w:rPr>
      </w:pPr>
      <w:r>
        <w:tab/>
      </w:r>
      <w:r>
        <w:rPr>
          <w:rStyle w:val="FootnoteReference"/>
        </w:rPr>
        <w:footnoteRef/>
      </w:r>
      <w:r>
        <w:tab/>
        <w:t xml:space="preserve">The complainant has attached a number of copies of his complaints to the United States authorities wherein he also mentions that he was sexually assaulted. Furthermore, he refers to several newspaper articles about inhumane conditions in United States prisons and about </w:t>
      </w:r>
      <w:r w:rsidRPr="008F53DB">
        <w:rPr>
          <w:lang w:val="en-GB"/>
        </w:rPr>
        <w:t>neo-</w:t>
      </w:r>
      <w:r>
        <w:t xml:space="preserve">Nazi organizations within those prisons. </w:t>
      </w:r>
    </w:p>
  </w:footnote>
  <w:footnote w:id="7">
    <w:p w14:paraId="776BECF0" w14:textId="77777777" w:rsidR="00E57008" w:rsidRPr="00534EE6" w:rsidRDefault="00E57008" w:rsidP="00093A2F">
      <w:pPr>
        <w:pStyle w:val="FootnoteText"/>
        <w:widowControl w:val="0"/>
        <w:tabs>
          <w:tab w:val="clear" w:pos="1021"/>
          <w:tab w:val="right" w:pos="1020"/>
        </w:tabs>
        <w:rPr>
          <w:lang w:val="en-GB"/>
        </w:rPr>
      </w:pPr>
      <w:r>
        <w:tab/>
      </w:r>
      <w:r>
        <w:rPr>
          <w:rStyle w:val="FootnoteReference"/>
        </w:rPr>
        <w:footnoteRef/>
      </w:r>
      <w:r>
        <w:tab/>
        <w:t>See the interim report of the Special Rapporteur of the Human Rights Council on torture and other cruel, inhuman or degrading treatment or punishment (</w:t>
      </w:r>
      <w:r w:rsidRPr="00BD6CBC">
        <w:t>A/66/268</w:t>
      </w:r>
      <w:r>
        <w:t xml:space="preserve">, para 76). </w:t>
      </w:r>
    </w:p>
  </w:footnote>
  <w:footnote w:id="8">
    <w:p w14:paraId="026DB0FF" w14:textId="77777777" w:rsidR="00E57008" w:rsidRPr="00534EE6" w:rsidRDefault="00E57008">
      <w:pPr>
        <w:pStyle w:val="FootnoteText"/>
        <w:widowControl w:val="0"/>
        <w:tabs>
          <w:tab w:val="clear" w:pos="1021"/>
          <w:tab w:val="right" w:pos="1020"/>
        </w:tabs>
        <w:rPr>
          <w:lang w:val="en-GB"/>
        </w:rPr>
      </w:pPr>
      <w:r>
        <w:tab/>
      </w:r>
      <w:r>
        <w:rPr>
          <w:rStyle w:val="FootnoteReference"/>
        </w:rPr>
        <w:footnoteRef/>
      </w:r>
      <w:r>
        <w:tab/>
      </w:r>
      <w:r w:rsidRPr="00FF5AA3">
        <w:rPr>
          <w:lang w:val="en-GB"/>
        </w:rPr>
        <w:t xml:space="preserve">The </w:t>
      </w:r>
      <w:r w:rsidRPr="00FB42C8">
        <w:rPr>
          <w:lang w:val="en-GB"/>
        </w:rPr>
        <w:t>complainant</w:t>
      </w:r>
      <w:r w:rsidRPr="00FF5AA3">
        <w:rPr>
          <w:lang w:val="en-GB"/>
        </w:rPr>
        <w:t xml:space="preserve"> does not provide information as to what guidelines he is referring to.</w:t>
      </w:r>
      <w:r>
        <w:t xml:space="preserve"> </w:t>
      </w:r>
    </w:p>
  </w:footnote>
  <w:footnote w:id="9">
    <w:p w14:paraId="452BD937" w14:textId="77777777" w:rsidR="00E57008" w:rsidRPr="00534EE6" w:rsidRDefault="00E57008" w:rsidP="00342B1C">
      <w:pPr>
        <w:pStyle w:val="FootnoteText"/>
        <w:widowControl w:val="0"/>
        <w:tabs>
          <w:tab w:val="clear" w:pos="1021"/>
          <w:tab w:val="right" w:pos="1020"/>
        </w:tabs>
        <w:rPr>
          <w:lang w:val="en-GB"/>
        </w:rPr>
      </w:pPr>
      <w:r>
        <w:tab/>
      </w:r>
      <w:r>
        <w:rPr>
          <w:rStyle w:val="FootnoteReference"/>
        </w:rPr>
        <w:footnoteRef/>
      </w:r>
      <w:r>
        <w:tab/>
      </w:r>
      <w:r>
        <w:rPr>
          <w:lang w:val="en-GB"/>
        </w:rPr>
        <w:t>T</w:t>
      </w:r>
      <w:r w:rsidRPr="00C95B33">
        <w:rPr>
          <w:lang w:val="en-GB"/>
        </w:rPr>
        <w:t>he complainant</w:t>
      </w:r>
      <w:r>
        <w:rPr>
          <w:lang w:val="en-GB"/>
        </w:rPr>
        <w:t>’s</w:t>
      </w:r>
      <w:r w:rsidRPr="00C95B33">
        <w:rPr>
          <w:lang w:val="en-GB"/>
        </w:rPr>
        <w:t xml:space="preserve"> application </w:t>
      </w:r>
      <w:r>
        <w:rPr>
          <w:lang w:val="en-GB"/>
        </w:rPr>
        <w:t>to</w:t>
      </w:r>
      <w:r w:rsidRPr="00C95B33">
        <w:rPr>
          <w:lang w:val="en-GB"/>
        </w:rPr>
        <w:t xml:space="preserve"> the </w:t>
      </w:r>
      <w:r>
        <w:rPr>
          <w:lang w:val="en-GB"/>
        </w:rPr>
        <w:t xml:space="preserve">European Court of Human Rights was registered under </w:t>
      </w:r>
      <w:r w:rsidR="005C2AFE">
        <w:rPr>
          <w:lang w:val="en-GB"/>
        </w:rPr>
        <w:t>N</w:t>
      </w:r>
      <w:r>
        <w:rPr>
          <w:lang w:val="en-GB"/>
        </w:rPr>
        <w:t>o</w:t>
      </w:r>
      <w:r w:rsidR="005C2AFE">
        <w:rPr>
          <w:lang w:val="en-GB"/>
        </w:rPr>
        <w:t>. </w:t>
      </w:r>
      <w:r>
        <w:rPr>
          <w:lang w:val="en-GB"/>
        </w:rPr>
        <w:t xml:space="preserve">71302/14. </w:t>
      </w:r>
      <w:r w:rsidR="00342B1C">
        <w:rPr>
          <w:lang w:val="en-GB"/>
        </w:rPr>
        <w:t xml:space="preserve">It concerned </w:t>
      </w:r>
      <w:r>
        <w:rPr>
          <w:lang w:val="en-GB"/>
        </w:rPr>
        <w:t xml:space="preserve">his pending extradition from Hungary to the </w:t>
      </w:r>
      <w:r w:rsidR="00342B1C">
        <w:rPr>
          <w:lang w:val="en-GB"/>
        </w:rPr>
        <w:t>United States</w:t>
      </w:r>
      <w:r>
        <w:rPr>
          <w:lang w:val="en-GB"/>
        </w:rPr>
        <w:t xml:space="preserve">, alleging that it would entail violations of articles 3, 6, 9 and 14 of the European Convention on Human Rights. He further requested the European Court to prevent his extradition by means of an interim measure. On 10 November 2014, after examining the request, the </w:t>
      </w:r>
      <w:r w:rsidR="00342B1C">
        <w:rPr>
          <w:lang w:val="en-GB"/>
        </w:rPr>
        <w:t>a</w:t>
      </w:r>
      <w:r>
        <w:rPr>
          <w:lang w:val="en-GB"/>
        </w:rPr>
        <w:t xml:space="preserve">cting </w:t>
      </w:r>
      <w:r w:rsidR="00342B1C">
        <w:rPr>
          <w:lang w:val="en-GB"/>
        </w:rPr>
        <w:t>p</w:t>
      </w:r>
      <w:r>
        <w:rPr>
          <w:lang w:val="en-GB"/>
        </w:rPr>
        <w:t xml:space="preserve">resident of the Court’s </w:t>
      </w:r>
      <w:r w:rsidR="00342B1C">
        <w:rPr>
          <w:lang w:val="en-GB"/>
        </w:rPr>
        <w:t>f</w:t>
      </w:r>
      <w:r>
        <w:rPr>
          <w:lang w:val="en-GB"/>
        </w:rPr>
        <w:t xml:space="preserve">iltering </w:t>
      </w:r>
      <w:r w:rsidR="00342B1C">
        <w:rPr>
          <w:lang w:val="en-GB"/>
        </w:rPr>
        <w:t>s</w:t>
      </w:r>
      <w:r>
        <w:rPr>
          <w:lang w:val="en-GB"/>
        </w:rPr>
        <w:t xml:space="preserve">ection decided not to indicate to the Government of Hungary the interim measure sought. Subsequently, the European Court, sitting in a single-judge formation </w:t>
      </w:r>
      <w:r w:rsidR="00342B1C">
        <w:rPr>
          <w:lang w:val="en-GB"/>
        </w:rPr>
        <w:t xml:space="preserve">from </w:t>
      </w:r>
      <w:r>
        <w:rPr>
          <w:lang w:val="en-GB"/>
        </w:rPr>
        <w:t xml:space="preserve">8 </w:t>
      </w:r>
      <w:r w:rsidR="00342B1C">
        <w:rPr>
          <w:lang w:val="en-GB"/>
        </w:rPr>
        <w:t xml:space="preserve">to </w:t>
      </w:r>
      <w:r>
        <w:rPr>
          <w:lang w:val="en-GB"/>
        </w:rPr>
        <w:t xml:space="preserve">22 January 2015, decided to declare the application inadmissible because, in the light of all the material in its possession and insofar as the </w:t>
      </w:r>
      <w:r w:rsidR="00342B1C">
        <w:rPr>
          <w:lang w:val="en-GB"/>
        </w:rPr>
        <w:t xml:space="preserve">subject of the complaint </w:t>
      </w:r>
      <w:r>
        <w:rPr>
          <w:lang w:val="en-GB"/>
        </w:rPr>
        <w:t>were within its competence, the admissibility criteria set out in articles 34 and 35 of the Convention had not been met.</w:t>
      </w:r>
      <w:r>
        <w:t xml:space="preserve"> </w:t>
      </w:r>
    </w:p>
  </w:footnote>
  <w:footnote w:id="10">
    <w:p w14:paraId="3E38DDC3" w14:textId="77777777" w:rsidR="00E57008" w:rsidRPr="00534EE6" w:rsidRDefault="00E57008" w:rsidP="00A47974">
      <w:pPr>
        <w:pStyle w:val="FootnoteText"/>
        <w:widowControl w:val="0"/>
        <w:tabs>
          <w:tab w:val="clear" w:pos="1021"/>
          <w:tab w:val="right" w:pos="1020"/>
        </w:tabs>
        <w:rPr>
          <w:lang w:val="en-GB"/>
        </w:rPr>
      </w:pPr>
      <w:r>
        <w:tab/>
      </w:r>
      <w:r>
        <w:rPr>
          <w:rStyle w:val="FootnoteReference"/>
        </w:rPr>
        <w:footnoteRef/>
      </w:r>
      <w:r>
        <w:tab/>
      </w:r>
      <w:r w:rsidRPr="00C6588B">
        <w:rPr>
          <w:lang w:val="en-GB"/>
        </w:rPr>
        <w:t>See</w:t>
      </w:r>
      <w:r w:rsidRPr="00471144">
        <w:rPr>
          <w:i/>
          <w:lang w:val="en-GB"/>
        </w:rPr>
        <w:t xml:space="preserve"> </w:t>
      </w:r>
      <w:r w:rsidRPr="00471144">
        <w:rPr>
          <w:lang w:val="en-GB"/>
        </w:rPr>
        <w:t>com</w:t>
      </w:r>
      <w:r>
        <w:rPr>
          <w:lang w:val="en-GB"/>
        </w:rPr>
        <w:t>munication N</w:t>
      </w:r>
      <w:r w:rsidRPr="00471144">
        <w:rPr>
          <w:lang w:val="en-GB"/>
        </w:rPr>
        <w:t xml:space="preserve">o. 247/2004, </w:t>
      </w:r>
      <w:r w:rsidRPr="00471144">
        <w:rPr>
          <w:i/>
          <w:lang w:val="en-GB"/>
        </w:rPr>
        <w:t>A.A. v. Azerbaijan</w:t>
      </w:r>
      <w:r>
        <w:rPr>
          <w:i/>
          <w:lang w:val="en-GB"/>
        </w:rPr>
        <w:t>,</w:t>
      </w:r>
      <w:r w:rsidRPr="00471144">
        <w:rPr>
          <w:lang w:val="en-GB"/>
        </w:rPr>
        <w:t xml:space="preserve"> decision adopted on 25</w:t>
      </w:r>
      <w:r>
        <w:rPr>
          <w:lang w:val="en-GB"/>
        </w:rPr>
        <w:t> </w:t>
      </w:r>
      <w:r w:rsidRPr="00471144">
        <w:rPr>
          <w:lang w:val="en-GB"/>
        </w:rPr>
        <w:t>November 2005</w:t>
      </w:r>
      <w:r>
        <w:t>.</w:t>
      </w:r>
    </w:p>
  </w:footnote>
  <w:footnote w:id="11">
    <w:p w14:paraId="26A056F6" w14:textId="77777777" w:rsidR="00E57008" w:rsidRPr="00534EE6" w:rsidRDefault="00E57008" w:rsidP="0029457B">
      <w:pPr>
        <w:pStyle w:val="FootnoteText"/>
        <w:widowControl w:val="0"/>
        <w:tabs>
          <w:tab w:val="clear" w:pos="1021"/>
          <w:tab w:val="right" w:pos="1020"/>
        </w:tabs>
        <w:rPr>
          <w:lang w:val="en-GB"/>
        </w:rPr>
      </w:pPr>
      <w:r>
        <w:tab/>
      </w:r>
      <w:r>
        <w:rPr>
          <w:rStyle w:val="FootnoteReference"/>
        </w:rPr>
        <w:footnoteRef/>
      </w:r>
      <w:r>
        <w:tab/>
      </w:r>
      <w:r w:rsidRPr="00FF5AA3">
        <w:rPr>
          <w:lang w:val="en-GB"/>
        </w:rPr>
        <w:t xml:space="preserve">The complainant refers to a correspondence </w:t>
      </w:r>
      <w:r>
        <w:rPr>
          <w:lang w:val="en-GB"/>
        </w:rPr>
        <w:t xml:space="preserve">dated 14 April 2015 from </w:t>
      </w:r>
      <w:r w:rsidRPr="007714B7">
        <w:rPr>
          <w:lang w:val="en-GB"/>
        </w:rPr>
        <w:t xml:space="preserve">the head of the International Criminal Law Department at the Ministry of Justice </w:t>
      </w:r>
      <w:r>
        <w:rPr>
          <w:lang w:val="en-GB"/>
        </w:rPr>
        <w:t xml:space="preserve">to </w:t>
      </w:r>
      <w:r w:rsidRPr="00FF5AA3">
        <w:rPr>
          <w:lang w:val="en-GB"/>
        </w:rPr>
        <w:t>the Metropolitan Court of Budapest</w:t>
      </w:r>
      <w:r>
        <w:rPr>
          <w:lang w:val="en-GB"/>
        </w:rPr>
        <w:t>,</w:t>
      </w:r>
      <w:r w:rsidRPr="00FF5AA3">
        <w:rPr>
          <w:lang w:val="en-GB"/>
        </w:rPr>
        <w:t xml:space="preserve"> </w:t>
      </w:r>
      <w:r>
        <w:rPr>
          <w:lang w:val="en-GB"/>
        </w:rPr>
        <w:t xml:space="preserve">stating </w:t>
      </w:r>
      <w:r w:rsidRPr="00FF5AA3">
        <w:rPr>
          <w:lang w:val="en-GB"/>
        </w:rPr>
        <w:t>that</w:t>
      </w:r>
      <w:r>
        <w:rPr>
          <w:lang w:val="en-GB"/>
        </w:rPr>
        <w:t>,</w:t>
      </w:r>
      <w:r w:rsidRPr="00FF5AA3">
        <w:rPr>
          <w:lang w:val="en-GB"/>
        </w:rPr>
        <w:t xml:space="preserve"> in </w:t>
      </w:r>
      <w:r>
        <w:rPr>
          <w:lang w:val="en-GB"/>
        </w:rPr>
        <w:t xml:space="preserve">its </w:t>
      </w:r>
      <w:r w:rsidRPr="00FF5AA3">
        <w:rPr>
          <w:lang w:val="en-GB"/>
        </w:rPr>
        <w:t>view</w:t>
      </w:r>
      <w:r>
        <w:rPr>
          <w:lang w:val="en-GB"/>
        </w:rPr>
        <w:t>,</w:t>
      </w:r>
      <w:r w:rsidRPr="00FF5AA3">
        <w:rPr>
          <w:lang w:val="en-GB"/>
        </w:rPr>
        <w:t xml:space="preserve"> </w:t>
      </w:r>
      <w:r>
        <w:rPr>
          <w:lang w:val="en-GB"/>
        </w:rPr>
        <w:t>“t</w:t>
      </w:r>
      <w:r w:rsidRPr="00FF5AA3">
        <w:rPr>
          <w:lang w:val="en-GB"/>
        </w:rPr>
        <w:t xml:space="preserve">he plaintiff </w:t>
      </w:r>
      <w:r>
        <w:rPr>
          <w:lang w:val="en-GB"/>
        </w:rPr>
        <w:t xml:space="preserve">is </w:t>
      </w:r>
      <w:r w:rsidRPr="00FF5AA3">
        <w:rPr>
          <w:lang w:val="en-GB"/>
        </w:rPr>
        <w:t xml:space="preserve">abusing the authority of the Committee since the concerns </w:t>
      </w:r>
      <w:r>
        <w:rPr>
          <w:lang w:val="en-GB"/>
        </w:rPr>
        <w:t xml:space="preserve">stated on his part have already been examined by the Hungarian authorities, and the United States authorities have provided sufficient guarantees to ensure that the plaintiff will not be subjected to torture and other humiliating treatment, and he can also freely practice his religious beliefs while incarcerated, furthermore his mental condition will be treated adequately”. </w:t>
      </w:r>
    </w:p>
  </w:footnote>
  <w:footnote w:id="12">
    <w:p w14:paraId="7034DC07" w14:textId="77777777" w:rsidR="00E57008" w:rsidRPr="00534EE6" w:rsidRDefault="00E57008" w:rsidP="00BD1E1A">
      <w:pPr>
        <w:pStyle w:val="FootnoteText"/>
        <w:widowControl w:val="0"/>
        <w:tabs>
          <w:tab w:val="clear" w:pos="1021"/>
          <w:tab w:val="right" w:pos="1020"/>
        </w:tabs>
        <w:rPr>
          <w:lang w:val="en-GB"/>
        </w:rPr>
      </w:pPr>
      <w:r>
        <w:tab/>
      </w:r>
      <w:r>
        <w:rPr>
          <w:rStyle w:val="FootnoteReference"/>
        </w:rPr>
        <w:footnoteRef/>
      </w:r>
      <w:r>
        <w:tab/>
        <w:t xml:space="preserve">See in particular </w:t>
      </w:r>
      <w:r w:rsidRPr="0084290F">
        <w:rPr>
          <w:i/>
          <w:lang w:val="en-GB"/>
        </w:rPr>
        <w:t xml:space="preserve">A.A. v. </w:t>
      </w:r>
      <w:r w:rsidRPr="00CE1CAD">
        <w:rPr>
          <w:i/>
          <w:lang w:val="en-GB"/>
        </w:rPr>
        <w:t>Azerbaijan</w:t>
      </w:r>
      <w:r w:rsidRPr="00CE1CAD">
        <w:rPr>
          <w:iCs/>
          <w:lang w:val="en-GB"/>
        </w:rPr>
        <w:t xml:space="preserve"> (</w:t>
      </w:r>
      <w:r w:rsidRPr="00911F0C">
        <w:rPr>
          <w:iCs/>
          <w:lang w:val="en-GB"/>
        </w:rPr>
        <w:t>note 7 above</w:t>
      </w:r>
      <w:r w:rsidRPr="00CE1CAD">
        <w:rPr>
          <w:iCs/>
          <w:lang w:val="en-GB"/>
        </w:rPr>
        <w:t>)</w:t>
      </w:r>
      <w:r w:rsidRPr="00CE1CAD">
        <w:rPr>
          <w:i/>
          <w:lang w:val="en-GB"/>
        </w:rPr>
        <w:t>.</w:t>
      </w:r>
    </w:p>
  </w:footnote>
  <w:footnote w:id="13">
    <w:p w14:paraId="36E9EF61" w14:textId="77777777" w:rsidR="00E57008" w:rsidRPr="00534EE6" w:rsidRDefault="00E57008">
      <w:pPr>
        <w:pStyle w:val="FootnoteText"/>
        <w:widowControl w:val="0"/>
        <w:tabs>
          <w:tab w:val="clear" w:pos="1021"/>
          <w:tab w:val="right" w:pos="1020"/>
        </w:tabs>
        <w:rPr>
          <w:lang w:val="en-GB"/>
        </w:rPr>
      </w:pPr>
      <w:r>
        <w:tab/>
      </w:r>
      <w:r>
        <w:rPr>
          <w:rStyle w:val="FootnoteReference"/>
        </w:rPr>
        <w:footnoteRef/>
      </w:r>
      <w:r>
        <w:tab/>
      </w:r>
      <w:r w:rsidRPr="00C95B33">
        <w:rPr>
          <w:lang w:val="en-GB"/>
        </w:rPr>
        <w:t>The State party does not elaborate further.</w:t>
      </w:r>
      <w:r>
        <w:rPr>
          <w:lang w:val="en-GB"/>
        </w:rPr>
        <w:t xml:space="preserve"> </w:t>
      </w:r>
    </w:p>
  </w:footnote>
  <w:footnote w:id="14">
    <w:p w14:paraId="47913960" w14:textId="77777777" w:rsidR="00E57008" w:rsidRPr="00534EE6" w:rsidRDefault="00E57008">
      <w:pPr>
        <w:pStyle w:val="FootnoteText"/>
        <w:widowControl w:val="0"/>
        <w:tabs>
          <w:tab w:val="clear" w:pos="1021"/>
          <w:tab w:val="right" w:pos="1020"/>
        </w:tabs>
        <w:rPr>
          <w:lang w:val="en-GB"/>
        </w:rPr>
      </w:pPr>
      <w:r>
        <w:tab/>
      </w:r>
      <w:r>
        <w:rPr>
          <w:rStyle w:val="FootnoteReference"/>
        </w:rPr>
        <w:footnoteRef/>
      </w:r>
      <w:r>
        <w:tab/>
      </w:r>
      <w:r w:rsidRPr="00C95B33">
        <w:rPr>
          <w:lang w:val="en-GB"/>
        </w:rPr>
        <w:t>Communication No</w:t>
      </w:r>
      <w:r>
        <w:rPr>
          <w:lang w:val="en-GB"/>
        </w:rPr>
        <w:t>.</w:t>
      </w:r>
      <w:r w:rsidRPr="00C95B33">
        <w:rPr>
          <w:lang w:val="en-GB"/>
        </w:rPr>
        <w:t xml:space="preserve"> 220/2002, </w:t>
      </w:r>
      <w:r w:rsidRPr="00C95B33">
        <w:rPr>
          <w:i/>
          <w:lang w:val="en-GB"/>
        </w:rPr>
        <w:t>M.M.K. v</w:t>
      </w:r>
      <w:r>
        <w:rPr>
          <w:i/>
          <w:lang w:val="en-GB"/>
        </w:rPr>
        <w:t>.</w:t>
      </w:r>
      <w:r w:rsidRPr="00C95B33">
        <w:rPr>
          <w:i/>
          <w:lang w:val="en-GB"/>
        </w:rPr>
        <w:t xml:space="preserve"> Sweden</w:t>
      </w:r>
      <w:r w:rsidRPr="00F90B16">
        <w:rPr>
          <w:lang w:val="en-GB"/>
        </w:rPr>
        <w:t>,</w:t>
      </w:r>
      <w:r w:rsidRPr="00C95B33">
        <w:rPr>
          <w:lang w:val="en-GB"/>
        </w:rPr>
        <w:t xml:space="preserve"> Decision adopted on</w:t>
      </w:r>
      <w:r>
        <w:rPr>
          <w:lang w:val="en-GB"/>
        </w:rPr>
        <w:t xml:space="preserve"> 2 May 2005,</w:t>
      </w:r>
      <w:r w:rsidRPr="00F90B16">
        <w:rPr>
          <w:lang w:val="en-GB"/>
        </w:rPr>
        <w:t xml:space="preserve"> para. </w:t>
      </w:r>
      <w:r>
        <w:rPr>
          <w:lang w:val="en-GB"/>
        </w:rPr>
        <w:t>8.5.</w:t>
      </w:r>
      <w:r>
        <w:t xml:space="preserve"> </w:t>
      </w:r>
    </w:p>
  </w:footnote>
  <w:footnote w:id="15">
    <w:p w14:paraId="2952E940" w14:textId="77777777" w:rsidR="00E57008" w:rsidRPr="00534EE6" w:rsidRDefault="00E57008" w:rsidP="00F823D6">
      <w:pPr>
        <w:pStyle w:val="FootnoteText"/>
        <w:widowControl w:val="0"/>
        <w:tabs>
          <w:tab w:val="clear" w:pos="1021"/>
          <w:tab w:val="right" w:pos="1020"/>
        </w:tabs>
        <w:rPr>
          <w:lang w:val="en-GB"/>
        </w:rPr>
      </w:pPr>
      <w:r>
        <w:tab/>
      </w:r>
      <w:r>
        <w:rPr>
          <w:rStyle w:val="FootnoteReference"/>
        </w:rPr>
        <w:footnoteRef/>
      </w:r>
      <w:r>
        <w:tab/>
      </w:r>
      <w:r w:rsidRPr="00A507B1">
        <w:rPr>
          <w:lang w:val="en-GB"/>
        </w:rPr>
        <w:t>The State party presents copies of the assurances</w:t>
      </w:r>
      <w:r>
        <w:rPr>
          <w:lang w:val="en-GB"/>
        </w:rPr>
        <w:t xml:space="preserve">, dated 9 October 2014 and 25 February and 5 March 2015, which (a) state that, in the event of his imprisonment, the location and conditions of the complainant’s incarceration will rest with the United States Bureau of Prisons; and (b) provide information about the functions of the above Bureau. The assurances also state that, should the complainant have any concerns while incarcerated, he should communicate those issues directly to his prison and to the Bureau and that, if necessary, the United States Attorney’s Office will assist by conveying any valid concerns that the complainant may demonstrate to the Bureau. They further state that the United States Attorney’s Office will </w:t>
      </w:r>
      <w:r w:rsidRPr="002229A0">
        <w:rPr>
          <w:lang w:val="en-GB"/>
        </w:rPr>
        <w:t xml:space="preserve">seek to ensure </w:t>
      </w:r>
      <w:r>
        <w:rPr>
          <w:lang w:val="en-GB"/>
        </w:rPr>
        <w:t xml:space="preserve">that </w:t>
      </w:r>
      <w:r w:rsidRPr="002229A0">
        <w:rPr>
          <w:lang w:val="en-GB"/>
        </w:rPr>
        <w:t>the complainant serves his prison sentence with appropriate accommodations to protect his well-being and religious practices</w:t>
      </w:r>
      <w:r>
        <w:rPr>
          <w:lang w:val="en-GB"/>
        </w:rPr>
        <w:t>.</w:t>
      </w:r>
      <w:r w:rsidRPr="002229A0">
        <w:rPr>
          <w:lang w:val="en-GB"/>
        </w:rPr>
        <w:t> </w:t>
      </w:r>
    </w:p>
  </w:footnote>
  <w:footnote w:id="16">
    <w:p w14:paraId="6CCAF9C4" w14:textId="77777777" w:rsidR="00E57008" w:rsidRPr="004C0DF7" w:rsidRDefault="00E57008" w:rsidP="00CE1CAD">
      <w:pPr>
        <w:pStyle w:val="FootnoteText"/>
        <w:widowControl w:val="0"/>
        <w:tabs>
          <w:tab w:val="clear" w:pos="1021"/>
          <w:tab w:val="right" w:pos="1020"/>
        </w:tabs>
      </w:pPr>
      <w:r>
        <w:rPr>
          <w:lang w:val="en-GB"/>
        </w:rPr>
        <w:tab/>
      </w:r>
      <w:r>
        <w:rPr>
          <w:rStyle w:val="FootnoteReference"/>
        </w:rPr>
        <w:footnoteRef/>
      </w:r>
      <w:r>
        <w:rPr>
          <w:lang w:val="en-GB"/>
        </w:rPr>
        <w:tab/>
      </w:r>
      <w:r w:rsidRPr="00545EEB">
        <w:rPr>
          <w:szCs w:val="18"/>
        </w:rPr>
        <w:t>See communication</w:t>
      </w:r>
      <w:r w:rsidR="000F2606">
        <w:rPr>
          <w:szCs w:val="18"/>
        </w:rPr>
        <w:t>s</w:t>
      </w:r>
      <w:r w:rsidRPr="00545EEB">
        <w:rPr>
          <w:szCs w:val="18"/>
        </w:rPr>
        <w:t xml:space="preserve"> No. 444/2010,</w:t>
      </w:r>
      <w:r>
        <w:rPr>
          <w:szCs w:val="18"/>
        </w:rPr>
        <w:t xml:space="preserve"> </w:t>
      </w:r>
      <w:r w:rsidRPr="00545EEB">
        <w:rPr>
          <w:i/>
          <w:szCs w:val="18"/>
        </w:rPr>
        <w:t>Abdussamatov et al. v. Kazakhstan</w:t>
      </w:r>
      <w:r w:rsidRPr="00545EEB">
        <w:rPr>
          <w:szCs w:val="18"/>
        </w:rPr>
        <w:t xml:space="preserve">, decision </w:t>
      </w:r>
      <w:r w:rsidR="00A47974">
        <w:rPr>
          <w:szCs w:val="18"/>
        </w:rPr>
        <w:t>adopted</w:t>
      </w:r>
      <w:r w:rsidR="000F2606">
        <w:rPr>
          <w:szCs w:val="18"/>
        </w:rPr>
        <w:t xml:space="preserve"> </w:t>
      </w:r>
      <w:r w:rsidR="002961AA">
        <w:rPr>
          <w:szCs w:val="18"/>
        </w:rPr>
        <w:t xml:space="preserve">on </w:t>
      </w:r>
      <w:r w:rsidR="000F2606">
        <w:rPr>
          <w:szCs w:val="18"/>
        </w:rPr>
        <w:t>1 June 2012</w:t>
      </w:r>
      <w:r w:rsidRPr="00545EEB">
        <w:rPr>
          <w:szCs w:val="18"/>
        </w:rPr>
        <w:t>, paras. 10.1 and 10.2</w:t>
      </w:r>
      <w:r w:rsidRPr="00C95B33">
        <w:rPr>
          <w:szCs w:val="18"/>
          <w:lang w:val="en-GB"/>
        </w:rPr>
        <w:t xml:space="preserve">; </w:t>
      </w:r>
      <w:r w:rsidR="000F2606">
        <w:rPr>
          <w:szCs w:val="18"/>
          <w:lang w:val="en-GB"/>
        </w:rPr>
        <w:t xml:space="preserve">and </w:t>
      </w:r>
      <w:r w:rsidRPr="00C95B33">
        <w:rPr>
          <w:szCs w:val="18"/>
          <w:lang w:val="en-GB"/>
        </w:rPr>
        <w:t>No. 5</w:t>
      </w:r>
      <w:r>
        <w:rPr>
          <w:szCs w:val="18"/>
          <w:lang w:val="en-GB"/>
        </w:rPr>
        <w:t xml:space="preserve">54/2013, </w:t>
      </w:r>
      <w:r>
        <w:rPr>
          <w:i/>
          <w:szCs w:val="18"/>
          <w:lang w:val="en-GB"/>
        </w:rPr>
        <w:t>X. v. Kazakhstan,</w:t>
      </w:r>
      <w:r>
        <w:rPr>
          <w:szCs w:val="18"/>
          <w:lang w:val="en-GB"/>
        </w:rPr>
        <w:t xml:space="preserve"> decision </w:t>
      </w:r>
      <w:r w:rsidR="00A47974">
        <w:rPr>
          <w:szCs w:val="18"/>
        </w:rPr>
        <w:t xml:space="preserve">adopted </w:t>
      </w:r>
      <w:r w:rsidR="002961AA">
        <w:rPr>
          <w:szCs w:val="18"/>
        </w:rPr>
        <w:t xml:space="preserve">on </w:t>
      </w:r>
      <w:r>
        <w:rPr>
          <w:szCs w:val="18"/>
          <w:lang w:val="en-GB"/>
        </w:rPr>
        <w:t>3 August 2015, para. 10.1.</w:t>
      </w:r>
      <w:r>
        <w:rPr>
          <w:sz w:val="16"/>
          <w:szCs w:val="16"/>
        </w:rPr>
        <w:t xml:space="preserve"> </w:t>
      </w:r>
    </w:p>
  </w:footnote>
  <w:footnote w:id="17">
    <w:p w14:paraId="41DCB2EA" w14:textId="77777777" w:rsidR="00E57008" w:rsidRPr="005D6D06" w:rsidRDefault="00E57008" w:rsidP="00CE1CAD">
      <w:pPr>
        <w:pStyle w:val="FootnoteText"/>
        <w:widowControl w:val="0"/>
      </w:pPr>
      <w:r>
        <w:tab/>
      </w:r>
      <w:r>
        <w:rPr>
          <w:rStyle w:val="FootnoteReference"/>
        </w:rPr>
        <w:footnoteRef/>
      </w:r>
      <w:r>
        <w:tab/>
      </w:r>
      <w:r w:rsidR="000F2606">
        <w:t xml:space="preserve">See </w:t>
      </w:r>
      <w:r w:rsidR="000F2606" w:rsidRPr="001A3D74">
        <w:rPr>
          <w:i/>
          <w:szCs w:val="18"/>
        </w:rPr>
        <w:t>Abdussamatov et al. v. Kazakhstan</w:t>
      </w:r>
      <w:r w:rsidR="000F2606" w:rsidRPr="00545389">
        <w:rPr>
          <w:szCs w:val="18"/>
        </w:rPr>
        <w:t xml:space="preserve">, </w:t>
      </w:r>
      <w:r w:rsidR="000F2606">
        <w:rPr>
          <w:szCs w:val="18"/>
        </w:rPr>
        <w:t>para. 13.7</w:t>
      </w:r>
      <w:r w:rsidR="000F2606" w:rsidRPr="00C95B33">
        <w:rPr>
          <w:szCs w:val="18"/>
          <w:lang w:val="en-GB"/>
        </w:rPr>
        <w:t xml:space="preserve">; </w:t>
      </w:r>
      <w:r w:rsidR="000F2606" w:rsidRPr="00757D08">
        <w:rPr>
          <w:i/>
          <w:szCs w:val="18"/>
          <w:lang w:val="en-GB"/>
        </w:rPr>
        <w:t>X</w:t>
      </w:r>
      <w:r w:rsidR="000F2606">
        <w:rPr>
          <w:i/>
          <w:szCs w:val="18"/>
          <w:lang w:val="en-GB"/>
        </w:rPr>
        <w:t>. </w:t>
      </w:r>
      <w:r w:rsidR="000F2606" w:rsidRPr="00757D08">
        <w:rPr>
          <w:i/>
          <w:szCs w:val="18"/>
          <w:lang w:val="en-GB"/>
        </w:rPr>
        <w:t>v. Kazakhstan,</w:t>
      </w:r>
      <w:r w:rsidR="000F2606" w:rsidRPr="00757D08">
        <w:rPr>
          <w:szCs w:val="18"/>
          <w:lang w:val="en-GB"/>
        </w:rPr>
        <w:t xml:space="preserve"> para. 10.</w:t>
      </w:r>
      <w:r w:rsidR="000F2606">
        <w:rPr>
          <w:szCs w:val="18"/>
          <w:lang w:val="en-GB"/>
        </w:rPr>
        <w:t xml:space="preserve">3; and communication </w:t>
      </w:r>
      <w:r w:rsidR="000F2606">
        <w:rPr>
          <w:szCs w:val="18"/>
        </w:rPr>
        <w:t xml:space="preserve">No. 39/1996, </w:t>
      </w:r>
      <w:r w:rsidR="000F2606">
        <w:rPr>
          <w:i/>
          <w:szCs w:val="18"/>
        </w:rPr>
        <w:t xml:space="preserve">Paez v. Sweden, </w:t>
      </w:r>
      <w:r w:rsidR="000F2606">
        <w:rPr>
          <w:szCs w:val="18"/>
        </w:rPr>
        <w:t xml:space="preserve">decision </w:t>
      </w:r>
      <w:r w:rsidR="00A47974">
        <w:rPr>
          <w:szCs w:val="18"/>
        </w:rPr>
        <w:t xml:space="preserve">adopted </w:t>
      </w:r>
      <w:r w:rsidR="002961AA">
        <w:rPr>
          <w:szCs w:val="18"/>
        </w:rPr>
        <w:t xml:space="preserve">on </w:t>
      </w:r>
      <w:r w:rsidR="000F2606">
        <w:rPr>
          <w:szCs w:val="18"/>
        </w:rPr>
        <w:t>28 April 1996, para. 14.5</w:t>
      </w:r>
      <w:r w:rsidR="000F2606" w:rsidRPr="00757D08">
        <w:rPr>
          <w:szCs w:val="18"/>
        </w:rPr>
        <w:t xml:space="preserve"> </w:t>
      </w:r>
      <w:r w:rsidR="000F2606" w:rsidRPr="00757D08">
        <w:rPr>
          <w:szCs w:val="18"/>
          <w:lang w:val="en-GB"/>
        </w:rPr>
        <w:t>.</w:t>
      </w:r>
      <w:r w:rsidR="000F2606">
        <w:rPr>
          <w:szCs w:val="18"/>
        </w:rPr>
        <w:t xml:space="preserve"> </w:t>
      </w:r>
    </w:p>
  </w:footnote>
  <w:footnote w:id="18">
    <w:p w14:paraId="4AC88543" w14:textId="77777777" w:rsidR="00E57008" w:rsidRPr="00A93BF8" w:rsidRDefault="00E57008" w:rsidP="00CE1CAD">
      <w:pPr>
        <w:pStyle w:val="FootnoteText"/>
      </w:pPr>
      <w:r>
        <w:tab/>
      </w:r>
      <w:r w:rsidRPr="00A93BF8">
        <w:rPr>
          <w:rStyle w:val="FootnoteReference"/>
        </w:rPr>
        <w:footnoteRef/>
      </w:r>
      <w:r>
        <w:tab/>
      </w:r>
      <w:r w:rsidRPr="00A93BF8">
        <w:t>See, for example, com</w:t>
      </w:r>
      <w:r>
        <w:t>munications</w:t>
      </w:r>
      <w:r w:rsidRPr="00A93BF8">
        <w:t xml:space="preserve"> No. 305/2006, </w:t>
      </w:r>
      <w:r w:rsidRPr="0019052A">
        <w:rPr>
          <w:i/>
        </w:rPr>
        <w:t>A.R.A. v. Sweden</w:t>
      </w:r>
      <w:r w:rsidRPr="00A93BF8">
        <w:t xml:space="preserve">, </w:t>
      </w:r>
      <w:r w:rsidRPr="00165B7B">
        <w:rPr>
          <w:lang w:val="en-GB"/>
        </w:rPr>
        <w:t>d</w:t>
      </w:r>
      <w:r w:rsidRPr="00A93BF8">
        <w:t>ecision adopted on 30 April 2007, para</w:t>
      </w:r>
      <w:r>
        <w:t>. 6.1; and No.</w:t>
      </w:r>
      <w:r w:rsidR="008D0C8E">
        <w:t xml:space="preserve"> </w:t>
      </w:r>
      <w:r>
        <w:t xml:space="preserve">642/2014, </w:t>
      </w:r>
      <w:r w:rsidRPr="00CE1CAD">
        <w:rPr>
          <w:i/>
          <w:iCs/>
        </w:rPr>
        <w:t>M.T. v. Sweden</w:t>
      </w:r>
      <w:r>
        <w:t xml:space="preserve">, decision adopted on 7 August 2015, para. 8.3. </w:t>
      </w:r>
    </w:p>
  </w:footnote>
  <w:footnote w:id="19">
    <w:p w14:paraId="09AD3568" w14:textId="77777777" w:rsidR="00E57008" w:rsidRPr="00C562CA" w:rsidRDefault="00E57008" w:rsidP="00CE1CAD">
      <w:pPr>
        <w:pStyle w:val="FootnoteText"/>
        <w:widowControl w:val="0"/>
        <w:tabs>
          <w:tab w:val="clear" w:pos="1021"/>
          <w:tab w:val="right" w:pos="1020"/>
        </w:tabs>
      </w:pPr>
      <w:r>
        <w:tab/>
      </w:r>
      <w:r>
        <w:rPr>
          <w:rStyle w:val="FootnoteReference"/>
        </w:rPr>
        <w:footnoteRef/>
      </w:r>
      <w:r>
        <w:tab/>
      </w:r>
      <w:r w:rsidRPr="00E20801">
        <w:t xml:space="preserve">See, for example, </w:t>
      </w:r>
      <w:r w:rsidRPr="0019052A">
        <w:rPr>
          <w:i/>
        </w:rPr>
        <w:t>A.A. v. Azerbaijan</w:t>
      </w:r>
      <w:r>
        <w:rPr>
          <w:i/>
        </w:rPr>
        <w:t xml:space="preserve"> </w:t>
      </w:r>
      <w:r w:rsidRPr="0098168F">
        <w:rPr>
          <w:iCs/>
          <w:lang w:val="en-GB"/>
        </w:rPr>
        <w:t>(note 7 above)</w:t>
      </w:r>
      <w:r w:rsidRPr="00A93BF8">
        <w:t>, paras</w:t>
      </w:r>
      <w:r>
        <w:t>.</w:t>
      </w:r>
      <w:r w:rsidRPr="00A93BF8">
        <w:t xml:space="preserve"> 6.</w:t>
      </w:r>
      <w:r>
        <w:t xml:space="preserve">8; and communications No. 479/2011, </w:t>
      </w:r>
      <w:r w:rsidRPr="009462A3">
        <w:rPr>
          <w:i/>
        </w:rPr>
        <w:t>E.E. v. the Russian Federation</w:t>
      </w:r>
      <w:r>
        <w:t xml:space="preserve">, inadmissibility </w:t>
      </w:r>
      <w:r w:rsidRPr="00165B7B">
        <w:rPr>
          <w:lang w:val="en-GB"/>
        </w:rPr>
        <w:t>d</w:t>
      </w:r>
      <w:r>
        <w:t xml:space="preserve">ecision adopted </w:t>
      </w:r>
      <w:r w:rsidR="008D0C8E">
        <w:t xml:space="preserve">on </w:t>
      </w:r>
      <w:r>
        <w:t xml:space="preserve">23 May 2013, para. 8.4; No.642/2014, </w:t>
      </w:r>
      <w:r w:rsidRPr="00FF539A">
        <w:rPr>
          <w:i/>
        </w:rPr>
        <w:t>M.T. v. Sweden</w:t>
      </w:r>
      <w:r>
        <w:t xml:space="preserve">, inadmissibility decision adopted </w:t>
      </w:r>
      <w:r w:rsidR="008D0C8E">
        <w:t xml:space="preserve">on </w:t>
      </w:r>
      <w:r>
        <w:t>7 August 2015, para. 8.3</w:t>
      </w:r>
      <w:r w:rsidRPr="00FF539A">
        <w:rPr>
          <w:lang w:val="en-GB"/>
        </w:rPr>
        <w:t xml:space="preserve"> and No. 643/2014, </w:t>
      </w:r>
      <w:r w:rsidRPr="00FF539A">
        <w:rPr>
          <w:i/>
          <w:lang w:val="en-GB"/>
        </w:rPr>
        <w:t xml:space="preserve">U v. </w:t>
      </w:r>
      <w:r>
        <w:rPr>
          <w:i/>
          <w:lang w:val="en-GB"/>
        </w:rPr>
        <w:t xml:space="preserve">Sweden, </w:t>
      </w:r>
      <w:r>
        <w:rPr>
          <w:lang w:val="en-GB"/>
        </w:rPr>
        <w:t xml:space="preserve">inadmissibility decision adopted </w:t>
      </w:r>
      <w:r w:rsidR="008D0C8E">
        <w:rPr>
          <w:lang w:val="en-GB"/>
        </w:rPr>
        <w:t xml:space="preserve">on </w:t>
      </w:r>
      <w:r>
        <w:rPr>
          <w:lang w:val="en-GB"/>
        </w:rPr>
        <w:t>23 November 2015, para.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1396A" w14:textId="77777777" w:rsidR="00E57008" w:rsidRPr="00116B35" w:rsidRDefault="00E57008">
    <w:pPr>
      <w:pStyle w:val="Header"/>
    </w:pPr>
    <w:r>
      <w:t xml:space="preserve">CAT/C/56/D/671/2015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D9AD4" w14:textId="77777777" w:rsidR="00E57008" w:rsidRPr="00116B35" w:rsidRDefault="00E57008" w:rsidP="004876DE">
    <w:pPr>
      <w:pStyle w:val="Header"/>
      <w:jc w:val="right"/>
    </w:pPr>
    <w:r>
      <w:t>CAT/C/56/D/671/2015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8DFC8" w14:textId="77777777" w:rsidR="00E57008" w:rsidRDefault="00E57008" w:rsidP="00CE1CAD">
    <w:pPr>
      <w:pStyle w:val="Header"/>
      <w:jc w:val="right"/>
    </w:pPr>
    <w:r>
      <w:t xml:space="preserve">CAT/C/56/D/671/2015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3DE"/>
    <w:multiLevelType w:val="multilevel"/>
    <w:tmpl w:val="DA3013B2"/>
    <w:lvl w:ilvl="0">
      <w:start w:val="2"/>
      <w:numFmt w:val="decimal"/>
      <w:lvlText w:val="%1"/>
      <w:lvlJc w:val="left"/>
      <w:pPr>
        <w:ind w:left="360" w:hanging="360"/>
      </w:pPr>
      <w:rPr>
        <w:rFonts w:hint="default"/>
        <w:b w:val="0"/>
      </w:rPr>
    </w:lvl>
    <w:lvl w:ilvl="1">
      <w:start w:val="23"/>
      <w:numFmt w:val="decimal"/>
      <w:lvlText w:val="%1.%2"/>
      <w:lvlJc w:val="left"/>
      <w:pPr>
        <w:ind w:left="1494"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A7707"/>
    <w:multiLevelType w:val="multilevel"/>
    <w:tmpl w:val="18FCDA84"/>
    <w:lvl w:ilvl="0">
      <w:start w:val="4"/>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0677354D"/>
    <w:multiLevelType w:val="singleLevel"/>
    <w:tmpl w:val="D1A077AC"/>
    <w:lvl w:ilvl="0">
      <w:start w:val="1"/>
      <w:numFmt w:val="upperRoman"/>
      <w:lvlText w:val="%1."/>
      <w:lvlJc w:val="left"/>
      <w:pPr>
        <w:tabs>
          <w:tab w:val="num" w:pos="720"/>
        </w:tabs>
        <w:ind w:left="720" w:hanging="720"/>
      </w:pPr>
      <w:rPr>
        <w:rFonts w:hint="default"/>
        <w:b/>
        <w:i w:val="0"/>
      </w:rPr>
    </w:lvl>
  </w:abstractNum>
  <w:abstractNum w:abstractNumId="4" w15:restartNumberingAfterBreak="0">
    <w:nsid w:val="09971E3D"/>
    <w:multiLevelType w:val="hybridMultilevel"/>
    <w:tmpl w:val="5AAA820C"/>
    <w:lvl w:ilvl="0" w:tplc="E136598A">
      <w:start w:val="4"/>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0A882598"/>
    <w:multiLevelType w:val="hybridMultilevel"/>
    <w:tmpl w:val="E95035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B171C39"/>
    <w:multiLevelType w:val="multilevel"/>
    <w:tmpl w:val="FAECFCB0"/>
    <w:lvl w:ilvl="0">
      <w:start w:val="2"/>
      <w:numFmt w:val="decimal"/>
      <w:lvlText w:val="%1"/>
      <w:lvlJc w:val="left"/>
      <w:pPr>
        <w:ind w:left="360" w:hanging="360"/>
      </w:pPr>
      <w:rPr>
        <w:rFonts w:hint="default"/>
      </w:rPr>
    </w:lvl>
    <w:lvl w:ilvl="1">
      <w:start w:val="3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0F1A7DE5"/>
    <w:multiLevelType w:val="multilevel"/>
    <w:tmpl w:val="FE56EF54"/>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1C7910FA"/>
    <w:multiLevelType w:val="hybridMultilevel"/>
    <w:tmpl w:val="16BA448E"/>
    <w:lvl w:ilvl="0" w:tplc="4BA4394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35352E2"/>
    <w:multiLevelType w:val="multilevel"/>
    <w:tmpl w:val="23421AE4"/>
    <w:lvl w:ilvl="0">
      <w:start w:val="6"/>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292B1A22"/>
    <w:multiLevelType w:val="multilevel"/>
    <w:tmpl w:val="170EE480"/>
    <w:lvl w:ilvl="0">
      <w:start w:val="5"/>
      <w:numFmt w:val="decimal"/>
      <w:lvlText w:val="%1"/>
      <w:lvlJc w:val="left"/>
      <w:pPr>
        <w:ind w:left="360" w:hanging="360"/>
      </w:pPr>
      <w:rPr>
        <w:rFonts w:hint="default"/>
      </w:rPr>
    </w:lvl>
    <w:lvl w:ilvl="1">
      <w:start w:val="1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2A2B6C11"/>
    <w:multiLevelType w:val="multilevel"/>
    <w:tmpl w:val="4A0C174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2EEF3475"/>
    <w:multiLevelType w:val="multilevel"/>
    <w:tmpl w:val="65C82AD0"/>
    <w:lvl w:ilvl="0">
      <w:start w:val="5"/>
      <w:numFmt w:val="decimal"/>
      <w:lvlText w:val="%1"/>
      <w:lvlJc w:val="left"/>
      <w:pPr>
        <w:ind w:left="360" w:hanging="360"/>
      </w:pPr>
      <w:rPr>
        <w:rFonts w:hint="default"/>
        <w:sz w:val="20"/>
      </w:rPr>
    </w:lvl>
    <w:lvl w:ilvl="1">
      <w:start w:val="1"/>
      <w:numFmt w:val="decimal"/>
      <w:lvlText w:val="%1.%2"/>
      <w:lvlJc w:val="left"/>
      <w:pPr>
        <w:ind w:left="1494" w:hanging="360"/>
      </w:pPr>
      <w:rPr>
        <w:rFonts w:hint="default"/>
        <w:sz w:val="20"/>
      </w:rPr>
    </w:lvl>
    <w:lvl w:ilvl="2">
      <w:start w:val="1"/>
      <w:numFmt w:val="decimal"/>
      <w:lvlText w:val="%1.%2.%3"/>
      <w:lvlJc w:val="left"/>
      <w:pPr>
        <w:ind w:left="2988" w:hanging="720"/>
      </w:pPr>
      <w:rPr>
        <w:rFonts w:hint="default"/>
        <w:sz w:val="20"/>
      </w:rPr>
    </w:lvl>
    <w:lvl w:ilvl="3">
      <w:start w:val="1"/>
      <w:numFmt w:val="decimal"/>
      <w:lvlText w:val="%1.%2.%3.%4"/>
      <w:lvlJc w:val="left"/>
      <w:pPr>
        <w:ind w:left="4122" w:hanging="720"/>
      </w:pPr>
      <w:rPr>
        <w:rFonts w:hint="default"/>
        <w:sz w:val="20"/>
      </w:rPr>
    </w:lvl>
    <w:lvl w:ilvl="4">
      <w:start w:val="1"/>
      <w:numFmt w:val="decimal"/>
      <w:lvlText w:val="%1.%2.%3.%4.%5"/>
      <w:lvlJc w:val="left"/>
      <w:pPr>
        <w:ind w:left="5616" w:hanging="1080"/>
      </w:pPr>
      <w:rPr>
        <w:rFonts w:hint="default"/>
        <w:sz w:val="20"/>
      </w:rPr>
    </w:lvl>
    <w:lvl w:ilvl="5">
      <w:start w:val="1"/>
      <w:numFmt w:val="decimal"/>
      <w:lvlText w:val="%1.%2.%3.%4.%5.%6"/>
      <w:lvlJc w:val="left"/>
      <w:pPr>
        <w:ind w:left="6750" w:hanging="1080"/>
      </w:pPr>
      <w:rPr>
        <w:rFonts w:hint="default"/>
        <w:sz w:val="20"/>
      </w:rPr>
    </w:lvl>
    <w:lvl w:ilvl="6">
      <w:start w:val="1"/>
      <w:numFmt w:val="decimal"/>
      <w:lvlText w:val="%1.%2.%3.%4.%5.%6.%7"/>
      <w:lvlJc w:val="left"/>
      <w:pPr>
        <w:ind w:left="8244" w:hanging="1440"/>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872" w:hanging="1800"/>
      </w:pPr>
      <w:rPr>
        <w:rFonts w:hint="default"/>
        <w:sz w:val="20"/>
      </w:rPr>
    </w:lvl>
  </w:abstractNum>
  <w:abstractNum w:abstractNumId="13" w15:restartNumberingAfterBreak="0">
    <w:nsid w:val="3A9A6FAA"/>
    <w:multiLevelType w:val="multilevel"/>
    <w:tmpl w:val="170EE480"/>
    <w:lvl w:ilvl="0">
      <w:start w:val="5"/>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3BE91D2C"/>
    <w:multiLevelType w:val="multilevel"/>
    <w:tmpl w:val="170EE480"/>
    <w:lvl w:ilvl="0">
      <w:start w:val="5"/>
      <w:numFmt w:val="decimal"/>
      <w:lvlText w:val="%1"/>
      <w:lvlJc w:val="left"/>
      <w:pPr>
        <w:ind w:left="360" w:hanging="360"/>
      </w:pPr>
      <w:rPr>
        <w:rFonts w:hint="default"/>
      </w:rPr>
    </w:lvl>
    <w:lvl w:ilvl="1">
      <w:start w:val="1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3E4527EE"/>
    <w:multiLevelType w:val="multilevel"/>
    <w:tmpl w:val="4A02A410"/>
    <w:lvl w:ilvl="0">
      <w:start w:val="6"/>
      <w:numFmt w:val="decimal"/>
      <w:lvlText w:val="%1"/>
      <w:lvlJc w:val="left"/>
      <w:pPr>
        <w:ind w:left="360" w:hanging="360"/>
      </w:pPr>
      <w:rPr>
        <w:rFonts w:hint="default"/>
      </w:rPr>
    </w:lvl>
    <w:lvl w:ilvl="1">
      <w:start w:val="1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3F513827"/>
    <w:multiLevelType w:val="multilevel"/>
    <w:tmpl w:val="EBA4A8A8"/>
    <w:lvl w:ilvl="0">
      <w:start w:val="6"/>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46CA7BBB"/>
    <w:multiLevelType w:val="singleLevel"/>
    <w:tmpl w:val="A976A090"/>
    <w:lvl w:ilvl="0">
      <w:start w:val="1"/>
      <w:numFmt w:val="decimal"/>
      <w:lvlText w:val="%1."/>
      <w:lvlJc w:val="left"/>
      <w:pPr>
        <w:tabs>
          <w:tab w:val="num" w:pos="720"/>
        </w:tabs>
        <w:ind w:left="720" w:hanging="720"/>
      </w:pPr>
      <w:rPr>
        <w:rFonts w:hint="default"/>
        <w:b w:val="0"/>
        <w:i w:val="0"/>
      </w:rPr>
    </w:lvl>
  </w:abstractNum>
  <w:abstractNum w:abstractNumId="18"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19" w15:restartNumberingAfterBreak="0">
    <w:nsid w:val="4E846D35"/>
    <w:multiLevelType w:val="hybridMultilevel"/>
    <w:tmpl w:val="9FE8131E"/>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20" w15:restartNumberingAfterBreak="0">
    <w:nsid w:val="50201B70"/>
    <w:multiLevelType w:val="hybridMultilevel"/>
    <w:tmpl w:val="E92490E4"/>
    <w:lvl w:ilvl="0" w:tplc="B37C38A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4BA1D88"/>
    <w:multiLevelType w:val="multilevel"/>
    <w:tmpl w:val="170EE480"/>
    <w:lvl w:ilvl="0">
      <w:start w:val="5"/>
      <w:numFmt w:val="decimal"/>
      <w:lvlText w:val="%1"/>
      <w:lvlJc w:val="left"/>
      <w:pPr>
        <w:ind w:left="360" w:hanging="360"/>
      </w:pPr>
      <w:rPr>
        <w:rFonts w:hint="default"/>
      </w:rPr>
    </w:lvl>
    <w:lvl w:ilvl="1">
      <w:start w:val="1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15:restartNumberingAfterBreak="0">
    <w:nsid w:val="56DE580B"/>
    <w:multiLevelType w:val="multilevel"/>
    <w:tmpl w:val="ACCE00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1C45DFB"/>
    <w:multiLevelType w:val="hybridMultilevel"/>
    <w:tmpl w:val="5EBCC8E6"/>
    <w:lvl w:ilvl="0" w:tplc="7ED41F3A">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2826C3B"/>
    <w:multiLevelType w:val="hybridMultilevel"/>
    <w:tmpl w:val="70BE8380"/>
    <w:lvl w:ilvl="0" w:tplc="364EC948">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0D4505"/>
    <w:multiLevelType w:val="multilevel"/>
    <w:tmpl w:val="170EE480"/>
    <w:lvl w:ilvl="0">
      <w:start w:val="5"/>
      <w:numFmt w:val="decimal"/>
      <w:lvlText w:val="%1"/>
      <w:lvlJc w:val="left"/>
      <w:pPr>
        <w:ind w:left="360" w:hanging="360"/>
      </w:pPr>
      <w:rPr>
        <w:rFonts w:hint="default"/>
      </w:rPr>
    </w:lvl>
    <w:lvl w:ilvl="1">
      <w:start w:val="1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6" w15:restartNumberingAfterBreak="0">
    <w:nsid w:val="65C218AB"/>
    <w:multiLevelType w:val="singleLevel"/>
    <w:tmpl w:val="32ECD4EA"/>
    <w:lvl w:ilvl="0">
      <w:start w:val="1"/>
      <w:numFmt w:val="lowerLetter"/>
      <w:lvlText w:val="%1)"/>
      <w:lvlJc w:val="left"/>
      <w:pPr>
        <w:tabs>
          <w:tab w:val="num" w:pos="1800"/>
        </w:tabs>
        <w:ind w:left="1800" w:hanging="360"/>
      </w:pPr>
      <w:rPr>
        <w:rFonts w:hint="default"/>
      </w:rPr>
    </w:lvl>
  </w:abstractNum>
  <w:abstractNum w:abstractNumId="27" w15:restartNumberingAfterBreak="0">
    <w:nsid w:val="66094184"/>
    <w:multiLevelType w:val="multilevel"/>
    <w:tmpl w:val="7A86FAE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7035B"/>
    <w:multiLevelType w:val="multilevel"/>
    <w:tmpl w:val="170EE480"/>
    <w:lvl w:ilvl="0">
      <w:start w:val="5"/>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0" w15:restartNumberingAfterBreak="0">
    <w:nsid w:val="6E7676AB"/>
    <w:multiLevelType w:val="hybridMultilevel"/>
    <w:tmpl w:val="EBD03A78"/>
    <w:lvl w:ilvl="0" w:tplc="8028021E">
      <w:start w:val="1"/>
      <w:numFmt w:val="upp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3880279"/>
    <w:multiLevelType w:val="hybridMultilevel"/>
    <w:tmpl w:val="F8D240C2"/>
    <w:lvl w:ilvl="0" w:tplc="79FC344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79FF73FD"/>
    <w:multiLevelType w:val="multilevel"/>
    <w:tmpl w:val="170EE480"/>
    <w:lvl w:ilvl="0">
      <w:start w:val="4"/>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3" w15:restartNumberingAfterBreak="0">
    <w:nsid w:val="7CE95D18"/>
    <w:multiLevelType w:val="hybridMultilevel"/>
    <w:tmpl w:val="BD06481C"/>
    <w:lvl w:ilvl="0" w:tplc="1ED4F1A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
  </w:num>
  <w:num w:numId="2">
    <w:abstractNumId w:val="28"/>
  </w:num>
  <w:num w:numId="3">
    <w:abstractNumId w:val="22"/>
  </w:num>
  <w:num w:numId="4">
    <w:abstractNumId w:val="18"/>
  </w:num>
  <w:num w:numId="5">
    <w:abstractNumId w:val="32"/>
  </w:num>
  <w:num w:numId="6">
    <w:abstractNumId w:val="12"/>
  </w:num>
  <w:num w:numId="7">
    <w:abstractNumId w:val="13"/>
  </w:num>
  <w:num w:numId="8">
    <w:abstractNumId w:val="10"/>
  </w:num>
  <w:num w:numId="9">
    <w:abstractNumId w:val="14"/>
  </w:num>
  <w:num w:numId="10">
    <w:abstractNumId w:val="21"/>
  </w:num>
  <w:num w:numId="11">
    <w:abstractNumId w:val="29"/>
  </w:num>
  <w:num w:numId="12">
    <w:abstractNumId w:val="25"/>
  </w:num>
  <w:num w:numId="13">
    <w:abstractNumId w:val="3"/>
  </w:num>
  <w:num w:numId="14">
    <w:abstractNumId w:val="17"/>
  </w:num>
  <w:num w:numId="15">
    <w:abstractNumId w:val="26"/>
  </w:num>
  <w:num w:numId="16">
    <w:abstractNumId w:val="5"/>
  </w:num>
  <w:num w:numId="17">
    <w:abstractNumId w:val="30"/>
  </w:num>
  <w:num w:numId="18">
    <w:abstractNumId w:val="20"/>
  </w:num>
  <w:num w:numId="19">
    <w:abstractNumId w:val="33"/>
  </w:num>
  <w:num w:numId="20">
    <w:abstractNumId w:val="31"/>
  </w:num>
  <w:num w:numId="21">
    <w:abstractNumId w:val="4"/>
  </w:num>
  <w:num w:numId="22">
    <w:abstractNumId w:val="27"/>
  </w:num>
  <w:num w:numId="23">
    <w:abstractNumId w:val="2"/>
  </w:num>
  <w:num w:numId="24">
    <w:abstractNumId w:val="7"/>
  </w:num>
  <w:num w:numId="25">
    <w:abstractNumId w:val="0"/>
  </w:num>
  <w:num w:numId="26">
    <w:abstractNumId w:val="6"/>
  </w:num>
  <w:num w:numId="27">
    <w:abstractNumId w:val="8"/>
  </w:num>
  <w:num w:numId="28">
    <w:abstractNumId w:val="19"/>
  </w:num>
  <w:num w:numId="29">
    <w:abstractNumId w:val="11"/>
  </w:num>
  <w:num w:numId="30">
    <w:abstractNumId w:val="16"/>
  </w:num>
  <w:num w:numId="31">
    <w:abstractNumId w:val="9"/>
  </w:num>
  <w:num w:numId="32">
    <w:abstractNumId w:val="23"/>
  </w:num>
  <w:num w:numId="33">
    <w:abstractNumId w:val="15"/>
  </w:num>
  <w:num w:numId="3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B2"/>
    <w:rsid w:val="00000334"/>
    <w:rsid w:val="00000D10"/>
    <w:rsid w:val="00004FCC"/>
    <w:rsid w:val="000063B8"/>
    <w:rsid w:val="00007216"/>
    <w:rsid w:val="00007FD4"/>
    <w:rsid w:val="000110C6"/>
    <w:rsid w:val="0001238B"/>
    <w:rsid w:val="00012A2D"/>
    <w:rsid w:val="00012FF8"/>
    <w:rsid w:val="00016112"/>
    <w:rsid w:val="0001631B"/>
    <w:rsid w:val="0002246B"/>
    <w:rsid w:val="00023B81"/>
    <w:rsid w:val="00023CB5"/>
    <w:rsid w:val="00023D64"/>
    <w:rsid w:val="00025234"/>
    <w:rsid w:val="00026ABA"/>
    <w:rsid w:val="00027C96"/>
    <w:rsid w:val="00030EF4"/>
    <w:rsid w:val="000325C0"/>
    <w:rsid w:val="000330BE"/>
    <w:rsid w:val="000344EF"/>
    <w:rsid w:val="0003709B"/>
    <w:rsid w:val="0004097B"/>
    <w:rsid w:val="00040BC5"/>
    <w:rsid w:val="0004101D"/>
    <w:rsid w:val="000416CB"/>
    <w:rsid w:val="00041EFF"/>
    <w:rsid w:val="000433FB"/>
    <w:rsid w:val="00043FD8"/>
    <w:rsid w:val="0004561D"/>
    <w:rsid w:val="00046F6A"/>
    <w:rsid w:val="00047199"/>
    <w:rsid w:val="00047FB8"/>
    <w:rsid w:val="000506A9"/>
    <w:rsid w:val="00051479"/>
    <w:rsid w:val="0005252A"/>
    <w:rsid w:val="00053629"/>
    <w:rsid w:val="000547E8"/>
    <w:rsid w:val="00055265"/>
    <w:rsid w:val="00055EC3"/>
    <w:rsid w:val="00057316"/>
    <w:rsid w:val="00057D6D"/>
    <w:rsid w:val="000617F0"/>
    <w:rsid w:val="00061D7C"/>
    <w:rsid w:val="00061DB9"/>
    <w:rsid w:val="0006658F"/>
    <w:rsid w:val="00070028"/>
    <w:rsid w:val="00071424"/>
    <w:rsid w:val="00071D52"/>
    <w:rsid w:val="00074268"/>
    <w:rsid w:val="00074E52"/>
    <w:rsid w:val="00076C90"/>
    <w:rsid w:val="0007725B"/>
    <w:rsid w:val="00077365"/>
    <w:rsid w:val="00077961"/>
    <w:rsid w:val="00080300"/>
    <w:rsid w:val="0008117A"/>
    <w:rsid w:val="00081A19"/>
    <w:rsid w:val="00081E41"/>
    <w:rsid w:val="0008234B"/>
    <w:rsid w:val="00082F02"/>
    <w:rsid w:val="00083368"/>
    <w:rsid w:val="00083F25"/>
    <w:rsid w:val="000847CF"/>
    <w:rsid w:val="00084CAE"/>
    <w:rsid w:val="000870D2"/>
    <w:rsid w:val="000923A7"/>
    <w:rsid w:val="00093A2F"/>
    <w:rsid w:val="00093D2B"/>
    <w:rsid w:val="0009769D"/>
    <w:rsid w:val="000976D6"/>
    <w:rsid w:val="00097A15"/>
    <w:rsid w:val="000A04FE"/>
    <w:rsid w:val="000A13D2"/>
    <w:rsid w:val="000A145C"/>
    <w:rsid w:val="000A3DE8"/>
    <w:rsid w:val="000A406F"/>
    <w:rsid w:val="000A42E0"/>
    <w:rsid w:val="000A4348"/>
    <w:rsid w:val="000A50BE"/>
    <w:rsid w:val="000A5F3E"/>
    <w:rsid w:val="000A7C77"/>
    <w:rsid w:val="000B09B3"/>
    <w:rsid w:val="000B1389"/>
    <w:rsid w:val="000B3A94"/>
    <w:rsid w:val="000B45D0"/>
    <w:rsid w:val="000B55A3"/>
    <w:rsid w:val="000B584F"/>
    <w:rsid w:val="000B62BA"/>
    <w:rsid w:val="000B6540"/>
    <w:rsid w:val="000B7A13"/>
    <w:rsid w:val="000C10D9"/>
    <w:rsid w:val="000C1114"/>
    <w:rsid w:val="000C16F1"/>
    <w:rsid w:val="000C1F92"/>
    <w:rsid w:val="000C299B"/>
    <w:rsid w:val="000C2EC5"/>
    <w:rsid w:val="000C3706"/>
    <w:rsid w:val="000C45A5"/>
    <w:rsid w:val="000C4C55"/>
    <w:rsid w:val="000C5895"/>
    <w:rsid w:val="000C592E"/>
    <w:rsid w:val="000C5E40"/>
    <w:rsid w:val="000D16CD"/>
    <w:rsid w:val="000D2494"/>
    <w:rsid w:val="000D2BE3"/>
    <w:rsid w:val="000D3E0B"/>
    <w:rsid w:val="000D4301"/>
    <w:rsid w:val="000D5809"/>
    <w:rsid w:val="000D5F34"/>
    <w:rsid w:val="000D620C"/>
    <w:rsid w:val="000D7120"/>
    <w:rsid w:val="000D7749"/>
    <w:rsid w:val="000D79DC"/>
    <w:rsid w:val="000E1435"/>
    <w:rsid w:val="000E29BF"/>
    <w:rsid w:val="000E2BC4"/>
    <w:rsid w:val="000E2D47"/>
    <w:rsid w:val="000E3E10"/>
    <w:rsid w:val="000E514C"/>
    <w:rsid w:val="000F1A06"/>
    <w:rsid w:val="000F1F13"/>
    <w:rsid w:val="000F2606"/>
    <w:rsid w:val="000F415B"/>
    <w:rsid w:val="000F50D2"/>
    <w:rsid w:val="000F53FB"/>
    <w:rsid w:val="000F55EE"/>
    <w:rsid w:val="000F64CA"/>
    <w:rsid w:val="000F6773"/>
    <w:rsid w:val="000F730F"/>
    <w:rsid w:val="00100784"/>
    <w:rsid w:val="0010188D"/>
    <w:rsid w:val="001026C6"/>
    <w:rsid w:val="00102B01"/>
    <w:rsid w:val="00104BB4"/>
    <w:rsid w:val="00105858"/>
    <w:rsid w:val="001060F0"/>
    <w:rsid w:val="00106D73"/>
    <w:rsid w:val="00106FF4"/>
    <w:rsid w:val="00110442"/>
    <w:rsid w:val="001106F9"/>
    <w:rsid w:val="00110701"/>
    <w:rsid w:val="001173A8"/>
    <w:rsid w:val="00117924"/>
    <w:rsid w:val="00120FB5"/>
    <w:rsid w:val="0012341C"/>
    <w:rsid w:val="0012503F"/>
    <w:rsid w:val="0012614C"/>
    <w:rsid w:val="00127405"/>
    <w:rsid w:val="00131537"/>
    <w:rsid w:val="00132171"/>
    <w:rsid w:val="00132895"/>
    <w:rsid w:val="00132F95"/>
    <w:rsid w:val="00133BC8"/>
    <w:rsid w:val="00133E4A"/>
    <w:rsid w:val="00134CFB"/>
    <w:rsid w:val="0013557C"/>
    <w:rsid w:val="00135B4E"/>
    <w:rsid w:val="00136111"/>
    <w:rsid w:val="001368A8"/>
    <w:rsid w:val="00140051"/>
    <w:rsid w:val="0014122D"/>
    <w:rsid w:val="0014145F"/>
    <w:rsid w:val="001419EF"/>
    <w:rsid w:val="00141E2B"/>
    <w:rsid w:val="001420A2"/>
    <w:rsid w:val="001439C1"/>
    <w:rsid w:val="0014581F"/>
    <w:rsid w:val="0014723A"/>
    <w:rsid w:val="00147B29"/>
    <w:rsid w:val="00150216"/>
    <w:rsid w:val="00151C4A"/>
    <w:rsid w:val="00151D5C"/>
    <w:rsid w:val="00152A8D"/>
    <w:rsid w:val="001535D4"/>
    <w:rsid w:val="00153D74"/>
    <w:rsid w:val="001549D6"/>
    <w:rsid w:val="00155992"/>
    <w:rsid w:val="00161F02"/>
    <w:rsid w:val="001621BB"/>
    <w:rsid w:val="001625B1"/>
    <w:rsid w:val="0016420A"/>
    <w:rsid w:val="00164335"/>
    <w:rsid w:val="00164732"/>
    <w:rsid w:val="001648C6"/>
    <w:rsid w:val="00164A2F"/>
    <w:rsid w:val="00164FA0"/>
    <w:rsid w:val="00165716"/>
    <w:rsid w:val="0016594A"/>
    <w:rsid w:val="00165B7B"/>
    <w:rsid w:val="0016602D"/>
    <w:rsid w:val="00167E18"/>
    <w:rsid w:val="001704A9"/>
    <w:rsid w:val="0017159F"/>
    <w:rsid w:val="00171B58"/>
    <w:rsid w:val="00171F25"/>
    <w:rsid w:val="00173157"/>
    <w:rsid w:val="001732C0"/>
    <w:rsid w:val="00175B8A"/>
    <w:rsid w:val="00175BF8"/>
    <w:rsid w:val="00175F47"/>
    <w:rsid w:val="00175F93"/>
    <w:rsid w:val="0017737E"/>
    <w:rsid w:val="001806A4"/>
    <w:rsid w:val="001818E8"/>
    <w:rsid w:val="00182694"/>
    <w:rsid w:val="00182E44"/>
    <w:rsid w:val="0018437C"/>
    <w:rsid w:val="001846DE"/>
    <w:rsid w:val="00184B54"/>
    <w:rsid w:val="001856F6"/>
    <w:rsid w:val="0018572A"/>
    <w:rsid w:val="0018594A"/>
    <w:rsid w:val="00185F9B"/>
    <w:rsid w:val="0019017C"/>
    <w:rsid w:val="0019047D"/>
    <w:rsid w:val="00190BD3"/>
    <w:rsid w:val="00192BAA"/>
    <w:rsid w:val="0019483A"/>
    <w:rsid w:val="00194A1F"/>
    <w:rsid w:val="00195373"/>
    <w:rsid w:val="00195937"/>
    <w:rsid w:val="001A0D3A"/>
    <w:rsid w:val="001A0DD8"/>
    <w:rsid w:val="001A1B3A"/>
    <w:rsid w:val="001A3CDA"/>
    <w:rsid w:val="001A4533"/>
    <w:rsid w:val="001A79DA"/>
    <w:rsid w:val="001B1D2E"/>
    <w:rsid w:val="001B24FF"/>
    <w:rsid w:val="001B61C8"/>
    <w:rsid w:val="001B653A"/>
    <w:rsid w:val="001C018C"/>
    <w:rsid w:val="001C2411"/>
    <w:rsid w:val="001C31D7"/>
    <w:rsid w:val="001C5D20"/>
    <w:rsid w:val="001D091A"/>
    <w:rsid w:val="001D39B5"/>
    <w:rsid w:val="001E105D"/>
    <w:rsid w:val="001E28AF"/>
    <w:rsid w:val="001E2959"/>
    <w:rsid w:val="001E3BA1"/>
    <w:rsid w:val="001E3BA5"/>
    <w:rsid w:val="001E54AA"/>
    <w:rsid w:val="001E5567"/>
    <w:rsid w:val="001E6A7F"/>
    <w:rsid w:val="001E6C7A"/>
    <w:rsid w:val="001E6F98"/>
    <w:rsid w:val="001F1302"/>
    <w:rsid w:val="001F15B9"/>
    <w:rsid w:val="001F17B9"/>
    <w:rsid w:val="001F3394"/>
    <w:rsid w:val="001F4D9F"/>
    <w:rsid w:val="001F5621"/>
    <w:rsid w:val="001F6379"/>
    <w:rsid w:val="001F6E96"/>
    <w:rsid w:val="002010BA"/>
    <w:rsid w:val="0020144A"/>
    <w:rsid w:val="00201E36"/>
    <w:rsid w:val="002024B2"/>
    <w:rsid w:val="00203281"/>
    <w:rsid w:val="00203896"/>
    <w:rsid w:val="002054FC"/>
    <w:rsid w:val="00205CC5"/>
    <w:rsid w:val="00206A95"/>
    <w:rsid w:val="002073E9"/>
    <w:rsid w:val="00207708"/>
    <w:rsid w:val="00211046"/>
    <w:rsid w:val="00211C8D"/>
    <w:rsid w:val="0021273F"/>
    <w:rsid w:val="00213F80"/>
    <w:rsid w:val="00215C05"/>
    <w:rsid w:val="002206A7"/>
    <w:rsid w:val="002229A0"/>
    <w:rsid w:val="0022362D"/>
    <w:rsid w:val="00227026"/>
    <w:rsid w:val="002271F4"/>
    <w:rsid w:val="00227CD2"/>
    <w:rsid w:val="0023093E"/>
    <w:rsid w:val="00231742"/>
    <w:rsid w:val="00231744"/>
    <w:rsid w:val="00231BDB"/>
    <w:rsid w:val="00231DEE"/>
    <w:rsid w:val="0023208A"/>
    <w:rsid w:val="002333F7"/>
    <w:rsid w:val="002339F4"/>
    <w:rsid w:val="002349A7"/>
    <w:rsid w:val="002369D4"/>
    <w:rsid w:val="00236B80"/>
    <w:rsid w:val="002372B7"/>
    <w:rsid w:val="00240781"/>
    <w:rsid w:val="00240AD4"/>
    <w:rsid w:val="00241AB3"/>
    <w:rsid w:val="00241BD0"/>
    <w:rsid w:val="002437EA"/>
    <w:rsid w:val="00243943"/>
    <w:rsid w:val="00244A15"/>
    <w:rsid w:val="00244C86"/>
    <w:rsid w:val="00245D2B"/>
    <w:rsid w:val="00245EA8"/>
    <w:rsid w:val="0025021C"/>
    <w:rsid w:val="0025072D"/>
    <w:rsid w:val="00250CC4"/>
    <w:rsid w:val="00250ED8"/>
    <w:rsid w:val="0025108E"/>
    <w:rsid w:val="002515F3"/>
    <w:rsid w:val="002522D5"/>
    <w:rsid w:val="00253514"/>
    <w:rsid w:val="00254E6A"/>
    <w:rsid w:val="0025596C"/>
    <w:rsid w:val="002576C6"/>
    <w:rsid w:val="00257AEB"/>
    <w:rsid w:val="00257E21"/>
    <w:rsid w:val="00262F26"/>
    <w:rsid w:val="00264288"/>
    <w:rsid w:val="00266488"/>
    <w:rsid w:val="002664BE"/>
    <w:rsid w:val="002668F6"/>
    <w:rsid w:val="0026761E"/>
    <w:rsid w:val="0027081B"/>
    <w:rsid w:val="00270D65"/>
    <w:rsid w:val="00272978"/>
    <w:rsid w:val="00273140"/>
    <w:rsid w:val="002732C0"/>
    <w:rsid w:val="00276A34"/>
    <w:rsid w:val="00276F0D"/>
    <w:rsid w:val="002774DA"/>
    <w:rsid w:val="002779CD"/>
    <w:rsid w:val="00281330"/>
    <w:rsid w:val="002813F1"/>
    <w:rsid w:val="002827C5"/>
    <w:rsid w:val="0028326A"/>
    <w:rsid w:val="00284BCA"/>
    <w:rsid w:val="00285009"/>
    <w:rsid w:val="002851C9"/>
    <w:rsid w:val="002922AA"/>
    <w:rsid w:val="00293752"/>
    <w:rsid w:val="0029457B"/>
    <w:rsid w:val="002953AE"/>
    <w:rsid w:val="002961AA"/>
    <w:rsid w:val="002962EB"/>
    <w:rsid w:val="00296342"/>
    <w:rsid w:val="00296E68"/>
    <w:rsid w:val="002976E3"/>
    <w:rsid w:val="00297787"/>
    <w:rsid w:val="00297D33"/>
    <w:rsid w:val="002A029E"/>
    <w:rsid w:val="002A0C29"/>
    <w:rsid w:val="002A2489"/>
    <w:rsid w:val="002A2AF8"/>
    <w:rsid w:val="002A3474"/>
    <w:rsid w:val="002A3E51"/>
    <w:rsid w:val="002A5B75"/>
    <w:rsid w:val="002A6F95"/>
    <w:rsid w:val="002A7175"/>
    <w:rsid w:val="002B1128"/>
    <w:rsid w:val="002B17BE"/>
    <w:rsid w:val="002B21B7"/>
    <w:rsid w:val="002B26ED"/>
    <w:rsid w:val="002B2F38"/>
    <w:rsid w:val="002B3002"/>
    <w:rsid w:val="002B344B"/>
    <w:rsid w:val="002B3C31"/>
    <w:rsid w:val="002B4667"/>
    <w:rsid w:val="002B4CED"/>
    <w:rsid w:val="002B4ECC"/>
    <w:rsid w:val="002B533E"/>
    <w:rsid w:val="002C0A4E"/>
    <w:rsid w:val="002C0E3E"/>
    <w:rsid w:val="002C0F75"/>
    <w:rsid w:val="002C1D2C"/>
    <w:rsid w:val="002C520B"/>
    <w:rsid w:val="002C6477"/>
    <w:rsid w:val="002C655A"/>
    <w:rsid w:val="002C72C1"/>
    <w:rsid w:val="002D221C"/>
    <w:rsid w:val="002D2CFA"/>
    <w:rsid w:val="002D3F3F"/>
    <w:rsid w:val="002D498D"/>
    <w:rsid w:val="002D4C2C"/>
    <w:rsid w:val="002D546E"/>
    <w:rsid w:val="002E0197"/>
    <w:rsid w:val="002E0365"/>
    <w:rsid w:val="002E05BA"/>
    <w:rsid w:val="002E07AD"/>
    <w:rsid w:val="002E38D3"/>
    <w:rsid w:val="002E3A06"/>
    <w:rsid w:val="002E3F74"/>
    <w:rsid w:val="002E4502"/>
    <w:rsid w:val="002E493D"/>
    <w:rsid w:val="002E4FD7"/>
    <w:rsid w:val="002E70E1"/>
    <w:rsid w:val="002E78EF"/>
    <w:rsid w:val="002E79DE"/>
    <w:rsid w:val="002E7A92"/>
    <w:rsid w:val="002E7D4A"/>
    <w:rsid w:val="002F009C"/>
    <w:rsid w:val="002F0AF5"/>
    <w:rsid w:val="002F1433"/>
    <w:rsid w:val="002F2D08"/>
    <w:rsid w:val="002F32E2"/>
    <w:rsid w:val="002F460F"/>
    <w:rsid w:val="00300993"/>
    <w:rsid w:val="00302423"/>
    <w:rsid w:val="00302956"/>
    <w:rsid w:val="00303A00"/>
    <w:rsid w:val="0030467C"/>
    <w:rsid w:val="00304A90"/>
    <w:rsid w:val="00304F5C"/>
    <w:rsid w:val="0030550C"/>
    <w:rsid w:val="00305B61"/>
    <w:rsid w:val="0030631D"/>
    <w:rsid w:val="00306456"/>
    <w:rsid w:val="00307515"/>
    <w:rsid w:val="003075D0"/>
    <w:rsid w:val="00307D56"/>
    <w:rsid w:val="00310278"/>
    <w:rsid w:val="00312662"/>
    <w:rsid w:val="0031294A"/>
    <w:rsid w:val="00312C64"/>
    <w:rsid w:val="00313E47"/>
    <w:rsid w:val="00314FE7"/>
    <w:rsid w:val="003158E6"/>
    <w:rsid w:val="0031624D"/>
    <w:rsid w:val="00316268"/>
    <w:rsid w:val="0031737A"/>
    <w:rsid w:val="00317B2C"/>
    <w:rsid w:val="00321AC2"/>
    <w:rsid w:val="00323136"/>
    <w:rsid w:val="00324194"/>
    <w:rsid w:val="003301D1"/>
    <w:rsid w:val="003307F0"/>
    <w:rsid w:val="00330AE1"/>
    <w:rsid w:val="00332523"/>
    <w:rsid w:val="003344D2"/>
    <w:rsid w:val="0033477E"/>
    <w:rsid w:val="0033594D"/>
    <w:rsid w:val="00335E2D"/>
    <w:rsid w:val="00340937"/>
    <w:rsid w:val="00341092"/>
    <w:rsid w:val="00342B1C"/>
    <w:rsid w:val="00343657"/>
    <w:rsid w:val="00344AB0"/>
    <w:rsid w:val="00344BFB"/>
    <w:rsid w:val="00350507"/>
    <w:rsid w:val="003527BE"/>
    <w:rsid w:val="00355858"/>
    <w:rsid w:val="00355AC1"/>
    <w:rsid w:val="003566CF"/>
    <w:rsid w:val="00356ACA"/>
    <w:rsid w:val="00357626"/>
    <w:rsid w:val="00361E86"/>
    <w:rsid w:val="003620C2"/>
    <w:rsid w:val="003627B6"/>
    <w:rsid w:val="003630AD"/>
    <w:rsid w:val="00363E18"/>
    <w:rsid w:val="00366DA8"/>
    <w:rsid w:val="003705F8"/>
    <w:rsid w:val="003731F2"/>
    <w:rsid w:val="00373E59"/>
    <w:rsid w:val="003743F9"/>
    <w:rsid w:val="00374433"/>
    <w:rsid w:val="00375469"/>
    <w:rsid w:val="003771AD"/>
    <w:rsid w:val="00380540"/>
    <w:rsid w:val="00380749"/>
    <w:rsid w:val="00380BE5"/>
    <w:rsid w:val="00380D62"/>
    <w:rsid w:val="00381193"/>
    <w:rsid w:val="00381DFA"/>
    <w:rsid w:val="00382FD2"/>
    <w:rsid w:val="00383F7F"/>
    <w:rsid w:val="00384102"/>
    <w:rsid w:val="0038575A"/>
    <w:rsid w:val="0038786D"/>
    <w:rsid w:val="00390C3E"/>
    <w:rsid w:val="00391574"/>
    <w:rsid w:val="00391797"/>
    <w:rsid w:val="00392B8C"/>
    <w:rsid w:val="00392C24"/>
    <w:rsid w:val="003944E0"/>
    <w:rsid w:val="00394753"/>
    <w:rsid w:val="0039729C"/>
    <w:rsid w:val="003A4203"/>
    <w:rsid w:val="003A424D"/>
    <w:rsid w:val="003A5024"/>
    <w:rsid w:val="003A587C"/>
    <w:rsid w:val="003A6C6F"/>
    <w:rsid w:val="003A7609"/>
    <w:rsid w:val="003A760F"/>
    <w:rsid w:val="003A7E0D"/>
    <w:rsid w:val="003B0403"/>
    <w:rsid w:val="003B4B0C"/>
    <w:rsid w:val="003B6C1A"/>
    <w:rsid w:val="003C12F9"/>
    <w:rsid w:val="003C1797"/>
    <w:rsid w:val="003C2461"/>
    <w:rsid w:val="003C6096"/>
    <w:rsid w:val="003C6571"/>
    <w:rsid w:val="003C6DF0"/>
    <w:rsid w:val="003C7F1D"/>
    <w:rsid w:val="003D1636"/>
    <w:rsid w:val="003D18DF"/>
    <w:rsid w:val="003D190D"/>
    <w:rsid w:val="003D1B52"/>
    <w:rsid w:val="003D257E"/>
    <w:rsid w:val="003D2780"/>
    <w:rsid w:val="003D303D"/>
    <w:rsid w:val="003D4189"/>
    <w:rsid w:val="003D4A2A"/>
    <w:rsid w:val="003D59E6"/>
    <w:rsid w:val="003D6133"/>
    <w:rsid w:val="003D6AC5"/>
    <w:rsid w:val="003E020D"/>
    <w:rsid w:val="003E1B79"/>
    <w:rsid w:val="003E2486"/>
    <w:rsid w:val="003E3798"/>
    <w:rsid w:val="003E4075"/>
    <w:rsid w:val="003E5DBE"/>
    <w:rsid w:val="003E6689"/>
    <w:rsid w:val="003E77E3"/>
    <w:rsid w:val="003F0C78"/>
    <w:rsid w:val="003F2D4B"/>
    <w:rsid w:val="003F52C3"/>
    <w:rsid w:val="003F5971"/>
    <w:rsid w:val="003F5A30"/>
    <w:rsid w:val="003F6B24"/>
    <w:rsid w:val="004017FC"/>
    <w:rsid w:val="00402E5B"/>
    <w:rsid w:val="00404F3A"/>
    <w:rsid w:val="00405296"/>
    <w:rsid w:val="004065DF"/>
    <w:rsid w:val="00406EA7"/>
    <w:rsid w:val="00410A8A"/>
    <w:rsid w:val="00410D1C"/>
    <w:rsid w:val="00411E81"/>
    <w:rsid w:val="004132E2"/>
    <w:rsid w:val="00415145"/>
    <w:rsid w:val="004210F0"/>
    <w:rsid w:val="00422A1E"/>
    <w:rsid w:val="004256F0"/>
    <w:rsid w:val="00425CA9"/>
    <w:rsid w:val="00425E0B"/>
    <w:rsid w:val="004263AD"/>
    <w:rsid w:val="00426F5B"/>
    <w:rsid w:val="00427FB7"/>
    <w:rsid w:val="004308E3"/>
    <w:rsid w:val="00430A53"/>
    <w:rsid w:val="004310B2"/>
    <w:rsid w:val="00431968"/>
    <w:rsid w:val="004321BE"/>
    <w:rsid w:val="0043272D"/>
    <w:rsid w:val="00434366"/>
    <w:rsid w:val="00435847"/>
    <w:rsid w:val="00435A57"/>
    <w:rsid w:val="00440ACB"/>
    <w:rsid w:val="004425A8"/>
    <w:rsid w:val="004425F6"/>
    <w:rsid w:val="00442C5C"/>
    <w:rsid w:val="0044350E"/>
    <w:rsid w:val="00443A00"/>
    <w:rsid w:val="00444424"/>
    <w:rsid w:val="004470C7"/>
    <w:rsid w:val="0044745E"/>
    <w:rsid w:val="00447B74"/>
    <w:rsid w:val="004528E2"/>
    <w:rsid w:val="00452A6C"/>
    <w:rsid w:val="00453FBB"/>
    <w:rsid w:val="00455AE8"/>
    <w:rsid w:val="004571F6"/>
    <w:rsid w:val="004607A5"/>
    <w:rsid w:val="00461C15"/>
    <w:rsid w:val="004621C6"/>
    <w:rsid w:val="00462621"/>
    <w:rsid w:val="00465393"/>
    <w:rsid w:val="00465F7F"/>
    <w:rsid w:val="00467F9B"/>
    <w:rsid w:val="004703FA"/>
    <w:rsid w:val="00471144"/>
    <w:rsid w:val="004760E5"/>
    <w:rsid w:val="00476218"/>
    <w:rsid w:val="00477B38"/>
    <w:rsid w:val="00480E26"/>
    <w:rsid w:val="00483207"/>
    <w:rsid w:val="00483AFC"/>
    <w:rsid w:val="00484394"/>
    <w:rsid w:val="004866BF"/>
    <w:rsid w:val="004876DE"/>
    <w:rsid w:val="00487983"/>
    <w:rsid w:val="004879C9"/>
    <w:rsid w:val="00490652"/>
    <w:rsid w:val="00491416"/>
    <w:rsid w:val="004919BE"/>
    <w:rsid w:val="00491D4F"/>
    <w:rsid w:val="0049357A"/>
    <w:rsid w:val="00494147"/>
    <w:rsid w:val="004948D1"/>
    <w:rsid w:val="004950E0"/>
    <w:rsid w:val="00497678"/>
    <w:rsid w:val="00497A78"/>
    <w:rsid w:val="004A068B"/>
    <w:rsid w:val="004A0CB9"/>
    <w:rsid w:val="004A2D18"/>
    <w:rsid w:val="004A3C75"/>
    <w:rsid w:val="004A4E56"/>
    <w:rsid w:val="004A6004"/>
    <w:rsid w:val="004A79FC"/>
    <w:rsid w:val="004B0FA2"/>
    <w:rsid w:val="004B3809"/>
    <w:rsid w:val="004B6094"/>
    <w:rsid w:val="004B70DC"/>
    <w:rsid w:val="004C01C3"/>
    <w:rsid w:val="004C15E2"/>
    <w:rsid w:val="004C22F0"/>
    <w:rsid w:val="004C264A"/>
    <w:rsid w:val="004C44A0"/>
    <w:rsid w:val="004C4FE6"/>
    <w:rsid w:val="004C5742"/>
    <w:rsid w:val="004D05BA"/>
    <w:rsid w:val="004D0991"/>
    <w:rsid w:val="004D0B7D"/>
    <w:rsid w:val="004D2C3E"/>
    <w:rsid w:val="004D3420"/>
    <w:rsid w:val="004D39A3"/>
    <w:rsid w:val="004D47C0"/>
    <w:rsid w:val="004D5D6A"/>
    <w:rsid w:val="004E1C60"/>
    <w:rsid w:val="004E25C9"/>
    <w:rsid w:val="004E38B8"/>
    <w:rsid w:val="004E405C"/>
    <w:rsid w:val="004E431E"/>
    <w:rsid w:val="004E4779"/>
    <w:rsid w:val="004E4ACA"/>
    <w:rsid w:val="004E522B"/>
    <w:rsid w:val="004E5A05"/>
    <w:rsid w:val="004E6E69"/>
    <w:rsid w:val="004E7E3A"/>
    <w:rsid w:val="004E7EC1"/>
    <w:rsid w:val="004F087D"/>
    <w:rsid w:val="004F1C43"/>
    <w:rsid w:val="004F33B9"/>
    <w:rsid w:val="004F3811"/>
    <w:rsid w:val="004F5B80"/>
    <w:rsid w:val="00501053"/>
    <w:rsid w:val="00501F7C"/>
    <w:rsid w:val="005025FA"/>
    <w:rsid w:val="0050337B"/>
    <w:rsid w:val="00503F29"/>
    <w:rsid w:val="005043B7"/>
    <w:rsid w:val="00505794"/>
    <w:rsid w:val="005062FF"/>
    <w:rsid w:val="0050669A"/>
    <w:rsid w:val="0050711C"/>
    <w:rsid w:val="0051033F"/>
    <w:rsid w:val="005105CC"/>
    <w:rsid w:val="00510AF4"/>
    <w:rsid w:val="00510C47"/>
    <w:rsid w:val="00510E03"/>
    <w:rsid w:val="005118CE"/>
    <w:rsid w:val="00512053"/>
    <w:rsid w:val="00516315"/>
    <w:rsid w:val="005174D4"/>
    <w:rsid w:val="005222ED"/>
    <w:rsid w:val="00523101"/>
    <w:rsid w:val="0052346F"/>
    <w:rsid w:val="00524F75"/>
    <w:rsid w:val="00525AF9"/>
    <w:rsid w:val="00525B31"/>
    <w:rsid w:val="005269EE"/>
    <w:rsid w:val="00530590"/>
    <w:rsid w:val="00530DE5"/>
    <w:rsid w:val="00532138"/>
    <w:rsid w:val="00532835"/>
    <w:rsid w:val="00532A35"/>
    <w:rsid w:val="00532A4D"/>
    <w:rsid w:val="00533C5C"/>
    <w:rsid w:val="005344BC"/>
    <w:rsid w:val="00534EE6"/>
    <w:rsid w:val="0053509A"/>
    <w:rsid w:val="005366D8"/>
    <w:rsid w:val="0053704D"/>
    <w:rsid w:val="00540A87"/>
    <w:rsid w:val="00540C4C"/>
    <w:rsid w:val="00542FAB"/>
    <w:rsid w:val="00544E30"/>
    <w:rsid w:val="0054664D"/>
    <w:rsid w:val="0055002E"/>
    <w:rsid w:val="005510D0"/>
    <w:rsid w:val="0055175E"/>
    <w:rsid w:val="0055307A"/>
    <w:rsid w:val="00553A13"/>
    <w:rsid w:val="0055412A"/>
    <w:rsid w:val="00554316"/>
    <w:rsid w:val="005547A2"/>
    <w:rsid w:val="00555AED"/>
    <w:rsid w:val="005561CB"/>
    <w:rsid w:val="005563CB"/>
    <w:rsid w:val="00557BEE"/>
    <w:rsid w:val="00560140"/>
    <w:rsid w:val="00562882"/>
    <w:rsid w:val="00562BD8"/>
    <w:rsid w:val="0056640F"/>
    <w:rsid w:val="00566450"/>
    <w:rsid w:val="005668C9"/>
    <w:rsid w:val="005672A3"/>
    <w:rsid w:val="00567336"/>
    <w:rsid w:val="00567C5B"/>
    <w:rsid w:val="00571CFB"/>
    <w:rsid w:val="00572769"/>
    <w:rsid w:val="0057318D"/>
    <w:rsid w:val="005742BB"/>
    <w:rsid w:val="0057542D"/>
    <w:rsid w:val="005767C6"/>
    <w:rsid w:val="00582AFE"/>
    <w:rsid w:val="00582D72"/>
    <w:rsid w:val="00583D46"/>
    <w:rsid w:val="00583DAE"/>
    <w:rsid w:val="005846C6"/>
    <w:rsid w:val="005851DF"/>
    <w:rsid w:val="00585BBB"/>
    <w:rsid w:val="00586F6A"/>
    <w:rsid w:val="00587B71"/>
    <w:rsid w:val="00591C0C"/>
    <w:rsid w:val="00592A68"/>
    <w:rsid w:val="00593932"/>
    <w:rsid w:val="0059686E"/>
    <w:rsid w:val="00596A01"/>
    <w:rsid w:val="00597B4F"/>
    <w:rsid w:val="005A3C66"/>
    <w:rsid w:val="005A41F3"/>
    <w:rsid w:val="005A47D0"/>
    <w:rsid w:val="005A4FAA"/>
    <w:rsid w:val="005A6300"/>
    <w:rsid w:val="005A6783"/>
    <w:rsid w:val="005A6E87"/>
    <w:rsid w:val="005A7BC4"/>
    <w:rsid w:val="005B0BF9"/>
    <w:rsid w:val="005B1BC1"/>
    <w:rsid w:val="005B277D"/>
    <w:rsid w:val="005B49CF"/>
    <w:rsid w:val="005B7B4C"/>
    <w:rsid w:val="005C02F0"/>
    <w:rsid w:val="005C07DB"/>
    <w:rsid w:val="005C1015"/>
    <w:rsid w:val="005C2172"/>
    <w:rsid w:val="005C2AFE"/>
    <w:rsid w:val="005D0B46"/>
    <w:rsid w:val="005D1B8B"/>
    <w:rsid w:val="005D204D"/>
    <w:rsid w:val="005D24D1"/>
    <w:rsid w:val="005D3322"/>
    <w:rsid w:val="005D3711"/>
    <w:rsid w:val="005D5A2D"/>
    <w:rsid w:val="005D6813"/>
    <w:rsid w:val="005D73A9"/>
    <w:rsid w:val="005E06A8"/>
    <w:rsid w:val="005E0D11"/>
    <w:rsid w:val="005E0F23"/>
    <w:rsid w:val="005E2809"/>
    <w:rsid w:val="005E2984"/>
    <w:rsid w:val="005E2EB8"/>
    <w:rsid w:val="005E2FB1"/>
    <w:rsid w:val="005E5DFF"/>
    <w:rsid w:val="005E6C66"/>
    <w:rsid w:val="005E763E"/>
    <w:rsid w:val="005F2EC9"/>
    <w:rsid w:val="005F3997"/>
    <w:rsid w:val="005F3C2B"/>
    <w:rsid w:val="005F56A4"/>
    <w:rsid w:val="005F6058"/>
    <w:rsid w:val="005F67DC"/>
    <w:rsid w:val="005F75A2"/>
    <w:rsid w:val="00601144"/>
    <w:rsid w:val="00602C80"/>
    <w:rsid w:val="006042E4"/>
    <w:rsid w:val="00605160"/>
    <w:rsid w:val="006052F9"/>
    <w:rsid w:val="00606111"/>
    <w:rsid w:val="006109F2"/>
    <w:rsid w:val="006114B3"/>
    <w:rsid w:val="00611C2C"/>
    <w:rsid w:val="00612E40"/>
    <w:rsid w:val="00613347"/>
    <w:rsid w:val="00613FD4"/>
    <w:rsid w:val="00616086"/>
    <w:rsid w:val="00616194"/>
    <w:rsid w:val="00616689"/>
    <w:rsid w:val="0061735E"/>
    <w:rsid w:val="006177C1"/>
    <w:rsid w:val="00617A75"/>
    <w:rsid w:val="006203D1"/>
    <w:rsid w:val="00620CD5"/>
    <w:rsid w:val="006210FE"/>
    <w:rsid w:val="00621BE3"/>
    <w:rsid w:val="00623173"/>
    <w:rsid w:val="00623D2A"/>
    <w:rsid w:val="0062456D"/>
    <w:rsid w:val="00625000"/>
    <w:rsid w:val="0063157D"/>
    <w:rsid w:val="00632C74"/>
    <w:rsid w:val="0063364A"/>
    <w:rsid w:val="00633889"/>
    <w:rsid w:val="006338EA"/>
    <w:rsid w:val="00635391"/>
    <w:rsid w:val="0063683E"/>
    <w:rsid w:val="00636DFA"/>
    <w:rsid w:val="006402F6"/>
    <w:rsid w:val="00640D64"/>
    <w:rsid w:val="00641BA3"/>
    <w:rsid w:val="006445DB"/>
    <w:rsid w:val="006445F4"/>
    <w:rsid w:val="0064477C"/>
    <w:rsid w:val="0065064D"/>
    <w:rsid w:val="00650C5C"/>
    <w:rsid w:val="00650DEE"/>
    <w:rsid w:val="00650FF2"/>
    <w:rsid w:val="00651D5B"/>
    <w:rsid w:val="006536F6"/>
    <w:rsid w:val="0065411B"/>
    <w:rsid w:val="00654791"/>
    <w:rsid w:val="00655015"/>
    <w:rsid w:val="0065504D"/>
    <w:rsid w:val="0065566C"/>
    <w:rsid w:val="00656B5A"/>
    <w:rsid w:val="006572F9"/>
    <w:rsid w:val="00657B13"/>
    <w:rsid w:val="00657D16"/>
    <w:rsid w:val="00661038"/>
    <w:rsid w:val="0066206D"/>
    <w:rsid w:val="00664A94"/>
    <w:rsid w:val="00665C84"/>
    <w:rsid w:val="00667A2F"/>
    <w:rsid w:val="00670B5C"/>
    <w:rsid w:val="00670C08"/>
    <w:rsid w:val="00672542"/>
    <w:rsid w:val="006733BF"/>
    <w:rsid w:val="00675694"/>
    <w:rsid w:val="0067666A"/>
    <w:rsid w:val="00682039"/>
    <w:rsid w:val="00682101"/>
    <w:rsid w:val="00683B85"/>
    <w:rsid w:val="00691489"/>
    <w:rsid w:val="00692F5A"/>
    <w:rsid w:val="00694800"/>
    <w:rsid w:val="0069582F"/>
    <w:rsid w:val="0069718F"/>
    <w:rsid w:val="006976DD"/>
    <w:rsid w:val="00697744"/>
    <w:rsid w:val="006A0F24"/>
    <w:rsid w:val="006A162E"/>
    <w:rsid w:val="006A192D"/>
    <w:rsid w:val="006A4ED2"/>
    <w:rsid w:val="006A5234"/>
    <w:rsid w:val="006A5765"/>
    <w:rsid w:val="006A7730"/>
    <w:rsid w:val="006B01C6"/>
    <w:rsid w:val="006B0E0B"/>
    <w:rsid w:val="006B0FB8"/>
    <w:rsid w:val="006B1012"/>
    <w:rsid w:val="006B2AA2"/>
    <w:rsid w:val="006B52DA"/>
    <w:rsid w:val="006B5892"/>
    <w:rsid w:val="006B58FB"/>
    <w:rsid w:val="006B5B87"/>
    <w:rsid w:val="006B6668"/>
    <w:rsid w:val="006B78D4"/>
    <w:rsid w:val="006C0B66"/>
    <w:rsid w:val="006C1C7D"/>
    <w:rsid w:val="006C2610"/>
    <w:rsid w:val="006C2FF9"/>
    <w:rsid w:val="006C34B4"/>
    <w:rsid w:val="006C4CBB"/>
    <w:rsid w:val="006C4F53"/>
    <w:rsid w:val="006D01B6"/>
    <w:rsid w:val="006D0509"/>
    <w:rsid w:val="006D329F"/>
    <w:rsid w:val="006D48B9"/>
    <w:rsid w:val="006D4E3C"/>
    <w:rsid w:val="006D5B82"/>
    <w:rsid w:val="006D6282"/>
    <w:rsid w:val="006D6E98"/>
    <w:rsid w:val="006E10D5"/>
    <w:rsid w:val="006E178B"/>
    <w:rsid w:val="006E1E99"/>
    <w:rsid w:val="006E3839"/>
    <w:rsid w:val="006E5D3F"/>
    <w:rsid w:val="006E686B"/>
    <w:rsid w:val="006E7B72"/>
    <w:rsid w:val="006F0A08"/>
    <w:rsid w:val="006F15FE"/>
    <w:rsid w:val="006F230E"/>
    <w:rsid w:val="006F3C4A"/>
    <w:rsid w:val="006F45D4"/>
    <w:rsid w:val="006F4DAE"/>
    <w:rsid w:val="006F7241"/>
    <w:rsid w:val="006F7BD1"/>
    <w:rsid w:val="00700059"/>
    <w:rsid w:val="00700ED5"/>
    <w:rsid w:val="007010A5"/>
    <w:rsid w:val="00701376"/>
    <w:rsid w:val="007013E6"/>
    <w:rsid w:val="00705732"/>
    <w:rsid w:val="00705F10"/>
    <w:rsid w:val="00706019"/>
    <w:rsid w:val="00706B96"/>
    <w:rsid w:val="00707A71"/>
    <w:rsid w:val="00710389"/>
    <w:rsid w:val="00712731"/>
    <w:rsid w:val="00712ED9"/>
    <w:rsid w:val="00715132"/>
    <w:rsid w:val="00715B0F"/>
    <w:rsid w:val="007161DE"/>
    <w:rsid w:val="0071718B"/>
    <w:rsid w:val="0072015E"/>
    <w:rsid w:val="00720F47"/>
    <w:rsid w:val="00723718"/>
    <w:rsid w:val="00723E7C"/>
    <w:rsid w:val="0072663C"/>
    <w:rsid w:val="007266B6"/>
    <w:rsid w:val="00730943"/>
    <w:rsid w:val="0073224F"/>
    <w:rsid w:val="007329D4"/>
    <w:rsid w:val="00732ACF"/>
    <w:rsid w:val="00735370"/>
    <w:rsid w:val="00735BAC"/>
    <w:rsid w:val="00735C52"/>
    <w:rsid w:val="007363AA"/>
    <w:rsid w:val="00736D00"/>
    <w:rsid w:val="00740F5F"/>
    <w:rsid w:val="007415B8"/>
    <w:rsid w:val="0074182E"/>
    <w:rsid w:val="00741A8F"/>
    <w:rsid w:val="007434C2"/>
    <w:rsid w:val="00743AF5"/>
    <w:rsid w:val="007458D0"/>
    <w:rsid w:val="00746890"/>
    <w:rsid w:val="007503C1"/>
    <w:rsid w:val="0075045A"/>
    <w:rsid w:val="00750ABA"/>
    <w:rsid w:val="00753C18"/>
    <w:rsid w:val="00755345"/>
    <w:rsid w:val="007579BA"/>
    <w:rsid w:val="00757D08"/>
    <w:rsid w:val="00761067"/>
    <w:rsid w:val="0076371F"/>
    <w:rsid w:val="00766216"/>
    <w:rsid w:val="007662FC"/>
    <w:rsid w:val="00770227"/>
    <w:rsid w:val="007734DF"/>
    <w:rsid w:val="007736C1"/>
    <w:rsid w:val="007749C6"/>
    <w:rsid w:val="00774B9A"/>
    <w:rsid w:val="00774CDD"/>
    <w:rsid w:val="00774FD2"/>
    <w:rsid w:val="0077518C"/>
    <w:rsid w:val="00780050"/>
    <w:rsid w:val="00780264"/>
    <w:rsid w:val="00781CA3"/>
    <w:rsid w:val="007826B3"/>
    <w:rsid w:val="00782E88"/>
    <w:rsid w:val="00783DD5"/>
    <w:rsid w:val="0078481A"/>
    <w:rsid w:val="00784B85"/>
    <w:rsid w:val="00784C2E"/>
    <w:rsid w:val="007863A8"/>
    <w:rsid w:val="00786B9D"/>
    <w:rsid w:val="007873A0"/>
    <w:rsid w:val="007874C8"/>
    <w:rsid w:val="007877D5"/>
    <w:rsid w:val="0079118C"/>
    <w:rsid w:val="00791206"/>
    <w:rsid w:val="00794801"/>
    <w:rsid w:val="0079493B"/>
    <w:rsid w:val="0079607F"/>
    <w:rsid w:val="007973E5"/>
    <w:rsid w:val="007A1AA3"/>
    <w:rsid w:val="007A1B5B"/>
    <w:rsid w:val="007A2195"/>
    <w:rsid w:val="007A4209"/>
    <w:rsid w:val="007A4D05"/>
    <w:rsid w:val="007A5D50"/>
    <w:rsid w:val="007A681F"/>
    <w:rsid w:val="007A6FB3"/>
    <w:rsid w:val="007A7D2B"/>
    <w:rsid w:val="007B0756"/>
    <w:rsid w:val="007B13A9"/>
    <w:rsid w:val="007B4E92"/>
    <w:rsid w:val="007B5093"/>
    <w:rsid w:val="007B53A9"/>
    <w:rsid w:val="007B57FD"/>
    <w:rsid w:val="007B7810"/>
    <w:rsid w:val="007C04D1"/>
    <w:rsid w:val="007C1484"/>
    <w:rsid w:val="007C231C"/>
    <w:rsid w:val="007C333F"/>
    <w:rsid w:val="007C41C5"/>
    <w:rsid w:val="007C485C"/>
    <w:rsid w:val="007C4A8D"/>
    <w:rsid w:val="007C69EC"/>
    <w:rsid w:val="007C6E22"/>
    <w:rsid w:val="007C736A"/>
    <w:rsid w:val="007C7431"/>
    <w:rsid w:val="007D0633"/>
    <w:rsid w:val="007D1788"/>
    <w:rsid w:val="007D40C7"/>
    <w:rsid w:val="007D5A44"/>
    <w:rsid w:val="007D5BDB"/>
    <w:rsid w:val="007E0B6A"/>
    <w:rsid w:val="007E14C8"/>
    <w:rsid w:val="007E1605"/>
    <w:rsid w:val="007E248A"/>
    <w:rsid w:val="007E3006"/>
    <w:rsid w:val="007E3C0D"/>
    <w:rsid w:val="007E533F"/>
    <w:rsid w:val="007E67F3"/>
    <w:rsid w:val="007E74A5"/>
    <w:rsid w:val="007F0731"/>
    <w:rsid w:val="007F09C5"/>
    <w:rsid w:val="007F14E2"/>
    <w:rsid w:val="007F1C98"/>
    <w:rsid w:val="007F3F53"/>
    <w:rsid w:val="007F43EB"/>
    <w:rsid w:val="007F4425"/>
    <w:rsid w:val="007F6A19"/>
    <w:rsid w:val="00804451"/>
    <w:rsid w:val="0080487E"/>
    <w:rsid w:val="00804C07"/>
    <w:rsid w:val="00805245"/>
    <w:rsid w:val="00805346"/>
    <w:rsid w:val="00807C53"/>
    <w:rsid w:val="0081133B"/>
    <w:rsid w:val="00813A1F"/>
    <w:rsid w:val="0081580D"/>
    <w:rsid w:val="00816917"/>
    <w:rsid w:val="00817490"/>
    <w:rsid w:val="00817BC6"/>
    <w:rsid w:val="00821E70"/>
    <w:rsid w:val="008222FE"/>
    <w:rsid w:val="008232C3"/>
    <w:rsid w:val="0082352A"/>
    <w:rsid w:val="00824189"/>
    <w:rsid w:val="00826C66"/>
    <w:rsid w:val="00830FCF"/>
    <w:rsid w:val="0083164F"/>
    <w:rsid w:val="00832361"/>
    <w:rsid w:val="008330FF"/>
    <w:rsid w:val="0083386F"/>
    <w:rsid w:val="00833CE8"/>
    <w:rsid w:val="00834280"/>
    <w:rsid w:val="00834603"/>
    <w:rsid w:val="0083623A"/>
    <w:rsid w:val="008375F9"/>
    <w:rsid w:val="00842372"/>
    <w:rsid w:val="0084290F"/>
    <w:rsid w:val="00842F81"/>
    <w:rsid w:val="00843609"/>
    <w:rsid w:val="008449BD"/>
    <w:rsid w:val="00846789"/>
    <w:rsid w:val="00846DF6"/>
    <w:rsid w:val="0085195F"/>
    <w:rsid w:val="00851CF2"/>
    <w:rsid w:val="00856709"/>
    <w:rsid w:val="00856B26"/>
    <w:rsid w:val="00856F85"/>
    <w:rsid w:val="00857177"/>
    <w:rsid w:val="008573CA"/>
    <w:rsid w:val="00857CBB"/>
    <w:rsid w:val="008676B9"/>
    <w:rsid w:val="008679C4"/>
    <w:rsid w:val="0087276F"/>
    <w:rsid w:val="00872C0E"/>
    <w:rsid w:val="00872D52"/>
    <w:rsid w:val="008735B6"/>
    <w:rsid w:val="00874A5D"/>
    <w:rsid w:val="00875209"/>
    <w:rsid w:val="0087663D"/>
    <w:rsid w:val="008771D9"/>
    <w:rsid w:val="00877B39"/>
    <w:rsid w:val="00881825"/>
    <w:rsid w:val="008821CE"/>
    <w:rsid w:val="0088231B"/>
    <w:rsid w:val="00884892"/>
    <w:rsid w:val="00884B63"/>
    <w:rsid w:val="00884C92"/>
    <w:rsid w:val="00884F29"/>
    <w:rsid w:val="00891A62"/>
    <w:rsid w:val="008928AE"/>
    <w:rsid w:val="00892CC4"/>
    <w:rsid w:val="008936AF"/>
    <w:rsid w:val="00893ED8"/>
    <w:rsid w:val="00897007"/>
    <w:rsid w:val="00897CDA"/>
    <w:rsid w:val="008A1608"/>
    <w:rsid w:val="008A4CEF"/>
    <w:rsid w:val="008A506F"/>
    <w:rsid w:val="008A5FBD"/>
    <w:rsid w:val="008A6477"/>
    <w:rsid w:val="008A65CE"/>
    <w:rsid w:val="008A70C1"/>
    <w:rsid w:val="008A7351"/>
    <w:rsid w:val="008A7F7E"/>
    <w:rsid w:val="008B0D58"/>
    <w:rsid w:val="008B0F86"/>
    <w:rsid w:val="008B0FA1"/>
    <w:rsid w:val="008B2218"/>
    <w:rsid w:val="008B2925"/>
    <w:rsid w:val="008B33CA"/>
    <w:rsid w:val="008B638A"/>
    <w:rsid w:val="008B68A7"/>
    <w:rsid w:val="008B7220"/>
    <w:rsid w:val="008B7A9D"/>
    <w:rsid w:val="008C0386"/>
    <w:rsid w:val="008C09D1"/>
    <w:rsid w:val="008C1349"/>
    <w:rsid w:val="008C14E9"/>
    <w:rsid w:val="008C3609"/>
    <w:rsid w:val="008C3629"/>
    <w:rsid w:val="008C44E8"/>
    <w:rsid w:val="008C4717"/>
    <w:rsid w:val="008C4D14"/>
    <w:rsid w:val="008C6F76"/>
    <w:rsid w:val="008C709F"/>
    <w:rsid w:val="008C725A"/>
    <w:rsid w:val="008D0C8E"/>
    <w:rsid w:val="008D1FEA"/>
    <w:rsid w:val="008D292C"/>
    <w:rsid w:val="008D2B1B"/>
    <w:rsid w:val="008D4AC6"/>
    <w:rsid w:val="008D5B26"/>
    <w:rsid w:val="008D65E0"/>
    <w:rsid w:val="008D6752"/>
    <w:rsid w:val="008D712E"/>
    <w:rsid w:val="008E11BC"/>
    <w:rsid w:val="008E312D"/>
    <w:rsid w:val="008E40EB"/>
    <w:rsid w:val="008E5AFE"/>
    <w:rsid w:val="008E5F0F"/>
    <w:rsid w:val="008E7BA2"/>
    <w:rsid w:val="008F11D6"/>
    <w:rsid w:val="008F2ED7"/>
    <w:rsid w:val="008F53DB"/>
    <w:rsid w:val="008F7BD0"/>
    <w:rsid w:val="00901599"/>
    <w:rsid w:val="00901C11"/>
    <w:rsid w:val="00902209"/>
    <w:rsid w:val="00902D11"/>
    <w:rsid w:val="00902E20"/>
    <w:rsid w:val="00903683"/>
    <w:rsid w:val="0090460A"/>
    <w:rsid w:val="00904CB2"/>
    <w:rsid w:val="00905610"/>
    <w:rsid w:val="009067A7"/>
    <w:rsid w:val="00910BBC"/>
    <w:rsid w:val="00911F0C"/>
    <w:rsid w:val="0091331B"/>
    <w:rsid w:val="00915EA6"/>
    <w:rsid w:val="009163EA"/>
    <w:rsid w:val="00916642"/>
    <w:rsid w:val="00917E3D"/>
    <w:rsid w:val="00917E46"/>
    <w:rsid w:val="00920CF6"/>
    <w:rsid w:val="00920DE3"/>
    <w:rsid w:val="00921607"/>
    <w:rsid w:val="0092163E"/>
    <w:rsid w:val="009236AA"/>
    <w:rsid w:val="00925C7C"/>
    <w:rsid w:val="00926144"/>
    <w:rsid w:val="009301F4"/>
    <w:rsid w:val="009357F7"/>
    <w:rsid w:val="00935B45"/>
    <w:rsid w:val="009405BC"/>
    <w:rsid w:val="00943B73"/>
    <w:rsid w:val="009445FE"/>
    <w:rsid w:val="00944DC6"/>
    <w:rsid w:val="00945B83"/>
    <w:rsid w:val="009460E6"/>
    <w:rsid w:val="00946911"/>
    <w:rsid w:val="00946E31"/>
    <w:rsid w:val="009476DF"/>
    <w:rsid w:val="00947F46"/>
    <w:rsid w:val="00950A6D"/>
    <w:rsid w:val="0095303B"/>
    <w:rsid w:val="0095346C"/>
    <w:rsid w:val="00954C16"/>
    <w:rsid w:val="00954C76"/>
    <w:rsid w:val="00954E0A"/>
    <w:rsid w:val="00954F6D"/>
    <w:rsid w:val="00956580"/>
    <w:rsid w:val="00956893"/>
    <w:rsid w:val="00962F7C"/>
    <w:rsid w:val="00964489"/>
    <w:rsid w:val="009644A5"/>
    <w:rsid w:val="00966176"/>
    <w:rsid w:val="0096698B"/>
    <w:rsid w:val="0096771A"/>
    <w:rsid w:val="00967849"/>
    <w:rsid w:val="00970945"/>
    <w:rsid w:val="009716EE"/>
    <w:rsid w:val="00971804"/>
    <w:rsid w:val="009723A7"/>
    <w:rsid w:val="009735CC"/>
    <w:rsid w:val="00973AA4"/>
    <w:rsid w:val="00975614"/>
    <w:rsid w:val="00975980"/>
    <w:rsid w:val="00976EB8"/>
    <w:rsid w:val="00985863"/>
    <w:rsid w:val="00987F06"/>
    <w:rsid w:val="00991B9F"/>
    <w:rsid w:val="00993B69"/>
    <w:rsid w:val="0099412F"/>
    <w:rsid w:val="009947A2"/>
    <w:rsid w:val="009A0592"/>
    <w:rsid w:val="009A0774"/>
    <w:rsid w:val="009A10E8"/>
    <w:rsid w:val="009A2C11"/>
    <w:rsid w:val="009A33D4"/>
    <w:rsid w:val="009A4174"/>
    <w:rsid w:val="009A4651"/>
    <w:rsid w:val="009A5CDB"/>
    <w:rsid w:val="009A7A05"/>
    <w:rsid w:val="009B0100"/>
    <w:rsid w:val="009B0268"/>
    <w:rsid w:val="009B1D65"/>
    <w:rsid w:val="009B2030"/>
    <w:rsid w:val="009B394A"/>
    <w:rsid w:val="009B4882"/>
    <w:rsid w:val="009B4BEF"/>
    <w:rsid w:val="009B5E91"/>
    <w:rsid w:val="009B6135"/>
    <w:rsid w:val="009C012C"/>
    <w:rsid w:val="009C39B2"/>
    <w:rsid w:val="009C3EA6"/>
    <w:rsid w:val="009C4E67"/>
    <w:rsid w:val="009C53BF"/>
    <w:rsid w:val="009C6AC7"/>
    <w:rsid w:val="009D0141"/>
    <w:rsid w:val="009D0EFA"/>
    <w:rsid w:val="009D105F"/>
    <w:rsid w:val="009D163F"/>
    <w:rsid w:val="009D465B"/>
    <w:rsid w:val="009D68D0"/>
    <w:rsid w:val="009E124D"/>
    <w:rsid w:val="009E2A53"/>
    <w:rsid w:val="009E7102"/>
    <w:rsid w:val="009F0FD9"/>
    <w:rsid w:val="009F2E05"/>
    <w:rsid w:val="009F39BC"/>
    <w:rsid w:val="009F3AD4"/>
    <w:rsid w:val="009F4E9B"/>
    <w:rsid w:val="009F6682"/>
    <w:rsid w:val="009F6C1B"/>
    <w:rsid w:val="009F6D04"/>
    <w:rsid w:val="009F7218"/>
    <w:rsid w:val="009F7D99"/>
    <w:rsid w:val="00A00DE3"/>
    <w:rsid w:val="00A029C0"/>
    <w:rsid w:val="00A0303B"/>
    <w:rsid w:val="00A052AB"/>
    <w:rsid w:val="00A05682"/>
    <w:rsid w:val="00A059E6"/>
    <w:rsid w:val="00A06F0F"/>
    <w:rsid w:val="00A0720E"/>
    <w:rsid w:val="00A072E4"/>
    <w:rsid w:val="00A074ED"/>
    <w:rsid w:val="00A07F18"/>
    <w:rsid w:val="00A07F3B"/>
    <w:rsid w:val="00A117C4"/>
    <w:rsid w:val="00A1279B"/>
    <w:rsid w:val="00A1394A"/>
    <w:rsid w:val="00A140E9"/>
    <w:rsid w:val="00A141AD"/>
    <w:rsid w:val="00A14B8B"/>
    <w:rsid w:val="00A160B5"/>
    <w:rsid w:val="00A16881"/>
    <w:rsid w:val="00A16BAC"/>
    <w:rsid w:val="00A209ED"/>
    <w:rsid w:val="00A23007"/>
    <w:rsid w:val="00A2405E"/>
    <w:rsid w:val="00A24489"/>
    <w:rsid w:val="00A244FA"/>
    <w:rsid w:val="00A24794"/>
    <w:rsid w:val="00A2525E"/>
    <w:rsid w:val="00A252F3"/>
    <w:rsid w:val="00A25656"/>
    <w:rsid w:val="00A27CE9"/>
    <w:rsid w:val="00A27CF7"/>
    <w:rsid w:val="00A27E98"/>
    <w:rsid w:val="00A3005B"/>
    <w:rsid w:val="00A32B15"/>
    <w:rsid w:val="00A33252"/>
    <w:rsid w:val="00A3497A"/>
    <w:rsid w:val="00A35755"/>
    <w:rsid w:val="00A35EE5"/>
    <w:rsid w:val="00A362EF"/>
    <w:rsid w:val="00A36E32"/>
    <w:rsid w:val="00A3728D"/>
    <w:rsid w:val="00A4094C"/>
    <w:rsid w:val="00A40A78"/>
    <w:rsid w:val="00A40F41"/>
    <w:rsid w:val="00A429ED"/>
    <w:rsid w:val="00A42BE3"/>
    <w:rsid w:val="00A42FCF"/>
    <w:rsid w:val="00A43472"/>
    <w:rsid w:val="00A439D4"/>
    <w:rsid w:val="00A43E7D"/>
    <w:rsid w:val="00A4426E"/>
    <w:rsid w:val="00A456F8"/>
    <w:rsid w:val="00A45E24"/>
    <w:rsid w:val="00A46535"/>
    <w:rsid w:val="00A47974"/>
    <w:rsid w:val="00A47AF7"/>
    <w:rsid w:val="00A507B1"/>
    <w:rsid w:val="00A50ECD"/>
    <w:rsid w:val="00A53706"/>
    <w:rsid w:val="00A54E99"/>
    <w:rsid w:val="00A56756"/>
    <w:rsid w:val="00A56CED"/>
    <w:rsid w:val="00A60E0F"/>
    <w:rsid w:val="00A61B20"/>
    <w:rsid w:val="00A62772"/>
    <w:rsid w:val="00A62AEC"/>
    <w:rsid w:val="00A63B24"/>
    <w:rsid w:val="00A651DA"/>
    <w:rsid w:val="00A66227"/>
    <w:rsid w:val="00A664D3"/>
    <w:rsid w:val="00A70D2D"/>
    <w:rsid w:val="00A73CC7"/>
    <w:rsid w:val="00A73FEC"/>
    <w:rsid w:val="00A746C1"/>
    <w:rsid w:val="00A773E7"/>
    <w:rsid w:val="00A773E8"/>
    <w:rsid w:val="00A824C6"/>
    <w:rsid w:val="00A8272D"/>
    <w:rsid w:val="00A84A77"/>
    <w:rsid w:val="00A86B5D"/>
    <w:rsid w:val="00A87341"/>
    <w:rsid w:val="00A91A7D"/>
    <w:rsid w:val="00A91BDF"/>
    <w:rsid w:val="00A91FC2"/>
    <w:rsid w:val="00A93FAE"/>
    <w:rsid w:val="00A95CE5"/>
    <w:rsid w:val="00A9603C"/>
    <w:rsid w:val="00A96D0F"/>
    <w:rsid w:val="00A96DA1"/>
    <w:rsid w:val="00A978C9"/>
    <w:rsid w:val="00AA0068"/>
    <w:rsid w:val="00AA1555"/>
    <w:rsid w:val="00AA45D1"/>
    <w:rsid w:val="00AA6DDC"/>
    <w:rsid w:val="00AA7AA8"/>
    <w:rsid w:val="00AB07D0"/>
    <w:rsid w:val="00AB1220"/>
    <w:rsid w:val="00AB2F3D"/>
    <w:rsid w:val="00AB500F"/>
    <w:rsid w:val="00AB54B5"/>
    <w:rsid w:val="00AB5CBC"/>
    <w:rsid w:val="00AB68C4"/>
    <w:rsid w:val="00AB6BA6"/>
    <w:rsid w:val="00AC00F6"/>
    <w:rsid w:val="00AC0C8B"/>
    <w:rsid w:val="00AC0CAD"/>
    <w:rsid w:val="00AC2602"/>
    <w:rsid w:val="00AC494A"/>
    <w:rsid w:val="00AC5718"/>
    <w:rsid w:val="00AC5A4F"/>
    <w:rsid w:val="00AC6C2C"/>
    <w:rsid w:val="00AD051D"/>
    <w:rsid w:val="00AD48FC"/>
    <w:rsid w:val="00AD630B"/>
    <w:rsid w:val="00AD788D"/>
    <w:rsid w:val="00AE5AA1"/>
    <w:rsid w:val="00AE7905"/>
    <w:rsid w:val="00AF239D"/>
    <w:rsid w:val="00AF26E4"/>
    <w:rsid w:val="00AF2B28"/>
    <w:rsid w:val="00AF38AA"/>
    <w:rsid w:val="00AF4525"/>
    <w:rsid w:val="00AF49C0"/>
    <w:rsid w:val="00B0177F"/>
    <w:rsid w:val="00B018A8"/>
    <w:rsid w:val="00B02A41"/>
    <w:rsid w:val="00B04EB7"/>
    <w:rsid w:val="00B05E32"/>
    <w:rsid w:val="00B0659E"/>
    <w:rsid w:val="00B07118"/>
    <w:rsid w:val="00B10651"/>
    <w:rsid w:val="00B13B09"/>
    <w:rsid w:val="00B154FC"/>
    <w:rsid w:val="00B22BEF"/>
    <w:rsid w:val="00B24363"/>
    <w:rsid w:val="00B24CB0"/>
    <w:rsid w:val="00B258D8"/>
    <w:rsid w:val="00B26998"/>
    <w:rsid w:val="00B313E6"/>
    <w:rsid w:val="00B31CA5"/>
    <w:rsid w:val="00B31FCC"/>
    <w:rsid w:val="00B32982"/>
    <w:rsid w:val="00B348D4"/>
    <w:rsid w:val="00B34C31"/>
    <w:rsid w:val="00B35A89"/>
    <w:rsid w:val="00B362E1"/>
    <w:rsid w:val="00B373DA"/>
    <w:rsid w:val="00B37736"/>
    <w:rsid w:val="00B40496"/>
    <w:rsid w:val="00B41072"/>
    <w:rsid w:val="00B448D1"/>
    <w:rsid w:val="00B46667"/>
    <w:rsid w:val="00B47983"/>
    <w:rsid w:val="00B505C9"/>
    <w:rsid w:val="00B529C7"/>
    <w:rsid w:val="00B52EA0"/>
    <w:rsid w:val="00B531F0"/>
    <w:rsid w:val="00B5528B"/>
    <w:rsid w:val="00B570F4"/>
    <w:rsid w:val="00B57207"/>
    <w:rsid w:val="00B5785D"/>
    <w:rsid w:val="00B578EB"/>
    <w:rsid w:val="00B61451"/>
    <w:rsid w:val="00B61BB4"/>
    <w:rsid w:val="00B6369C"/>
    <w:rsid w:val="00B648C5"/>
    <w:rsid w:val="00B65E48"/>
    <w:rsid w:val="00B66EB5"/>
    <w:rsid w:val="00B67EDE"/>
    <w:rsid w:val="00B70700"/>
    <w:rsid w:val="00B7443A"/>
    <w:rsid w:val="00B75205"/>
    <w:rsid w:val="00B75C51"/>
    <w:rsid w:val="00B76CDF"/>
    <w:rsid w:val="00B76F15"/>
    <w:rsid w:val="00B77465"/>
    <w:rsid w:val="00B80468"/>
    <w:rsid w:val="00B811A4"/>
    <w:rsid w:val="00B82CA8"/>
    <w:rsid w:val="00B8314C"/>
    <w:rsid w:val="00B8477F"/>
    <w:rsid w:val="00B85DE6"/>
    <w:rsid w:val="00B86A8C"/>
    <w:rsid w:val="00B91671"/>
    <w:rsid w:val="00B9190C"/>
    <w:rsid w:val="00B92869"/>
    <w:rsid w:val="00B9376A"/>
    <w:rsid w:val="00B93CC7"/>
    <w:rsid w:val="00B9531C"/>
    <w:rsid w:val="00B95772"/>
    <w:rsid w:val="00B96D9E"/>
    <w:rsid w:val="00B97E9B"/>
    <w:rsid w:val="00BA0E91"/>
    <w:rsid w:val="00BA146A"/>
    <w:rsid w:val="00BA302B"/>
    <w:rsid w:val="00BA42B8"/>
    <w:rsid w:val="00BA4512"/>
    <w:rsid w:val="00BA535D"/>
    <w:rsid w:val="00BA5967"/>
    <w:rsid w:val="00BA6CBC"/>
    <w:rsid w:val="00BB1A70"/>
    <w:rsid w:val="00BB560C"/>
    <w:rsid w:val="00BB5C0B"/>
    <w:rsid w:val="00BB5D0E"/>
    <w:rsid w:val="00BB6492"/>
    <w:rsid w:val="00BB722C"/>
    <w:rsid w:val="00BC160E"/>
    <w:rsid w:val="00BC164E"/>
    <w:rsid w:val="00BC1E6E"/>
    <w:rsid w:val="00BC29B3"/>
    <w:rsid w:val="00BC339F"/>
    <w:rsid w:val="00BC348B"/>
    <w:rsid w:val="00BD0E7B"/>
    <w:rsid w:val="00BD12AD"/>
    <w:rsid w:val="00BD1E1A"/>
    <w:rsid w:val="00BD261C"/>
    <w:rsid w:val="00BD2810"/>
    <w:rsid w:val="00BD5333"/>
    <w:rsid w:val="00BD7543"/>
    <w:rsid w:val="00BD75F9"/>
    <w:rsid w:val="00BD7E0E"/>
    <w:rsid w:val="00BE1126"/>
    <w:rsid w:val="00BE15E1"/>
    <w:rsid w:val="00BE1D49"/>
    <w:rsid w:val="00BE38BD"/>
    <w:rsid w:val="00BE5741"/>
    <w:rsid w:val="00BE66AA"/>
    <w:rsid w:val="00BE6840"/>
    <w:rsid w:val="00BE7B81"/>
    <w:rsid w:val="00BF0272"/>
    <w:rsid w:val="00BF2E2E"/>
    <w:rsid w:val="00BF43DB"/>
    <w:rsid w:val="00BF4A2A"/>
    <w:rsid w:val="00BF5D49"/>
    <w:rsid w:val="00BF66A4"/>
    <w:rsid w:val="00BF7BC4"/>
    <w:rsid w:val="00C008AB"/>
    <w:rsid w:val="00C010F9"/>
    <w:rsid w:val="00C02308"/>
    <w:rsid w:val="00C02E1A"/>
    <w:rsid w:val="00C03FF9"/>
    <w:rsid w:val="00C064C1"/>
    <w:rsid w:val="00C07884"/>
    <w:rsid w:val="00C1067E"/>
    <w:rsid w:val="00C10701"/>
    <w:rsid w:val="00C10B76"/>
    <w:rsid w:val="00C12002"/>
    <w:rsid w:val="00C12813"/>
    <w:rsid w:val="00C150FB"/>
    <w:rsid w:val="00C1534B"/>
    <w:rsid w:val="00C1567E"/>
    <w:rsid w:val="00C1636F"/>
    <w:rsid w:val="00C173F2"/>
    <w:rsid w:val="00C20664"/>
    <w:rsid w:val="00C20F11"/>
    <w:rsid w:val="00C21EF7"/>
    <w:rsid w:val="00C23027"/>
    <w:rsid w:val="00C232F0"/>
    <w:rsid w:val="00C23C9A"/>
    <w:rsid w:val="00C26CB7"/>
    <w:rsid w:val="00C311CF"/>
    <w:rsid w:val="00C314C6"/>
    <w:rsid w:val="00C3201A"/>
    <w:rsid w:val="00C32089"/>
    <w:rsid w:val="00C3290D"/>
    <w:rsid w:val="00C342F2"/>
    <w:rsid w:val="00C36E3A"/>
    <w:rsid w:val="00C37D57"/>
    <w:rsid w:val="00C428C8"/>
    <w:rsid w:val="00C42D1E"/>
    <w:rsid w:val="00C45CFC"/>
    <w:rsid w:val="00C45E86"/>
    <w:rsid w:val="00C4775F"/>
    <w:rsid w:val="00C53EE4"/>
    <w:rsid w:val="00C54FD8"/>
    <w:rsid w:val="00C55C16"/>
    <w:rsid w:val="00C57EBE"/>
    <w:rsid w:val="00C63458"/>
    <w:rsid w:val="00C636B4"/>
    <w:rsid w:val="00C63C12"/>
    <w:rsid w:val="00C64984"/>
    <w:rsid w:val="00C6588B"/>
    <w:rsid w:val="00C65CC1"/>
    <w:rsid w:val="00C6659F"/>
    <w:rsid w:val="00C67055"/>
    <w:rsid w:val="00C71A87"/>
    <w:rsid w:val="00C73F24"/>
    <w:rsid w:val="00C73F80"/>
    <w:rsid w:val="00C74314"/>
    <w:rsid w:val="00C74D20"/>
    <w:rsid w:val="00C75484"/>
    <w:rsid w:val="00C76E27"/>
    <w:rsid w:val="00C81CE4"/>
    <w:rsid w:val="00C82C50"/>
    <w:rsid w:val="00C82E7A"/>
    <w:rsid w:val="00C8423A"/>
    <w:rsid w:val="00C875B8"/>
    <w:rsid w:val="00C91229"/>
    <w:rsid w:val="00C91D7B"/>
    <w:rsid w:val="00C934F0"/>
    <w:rsid w:val="00C9419C"/>
    <w:rsid w:val="00C949C0"/>
    <w:rsid w:val="00C95B33"/>
    <w:rsid w:val="00C967B2"/>
    <w:rsid w:val="00C96F1C"/>
    <w:rsid w:val="00CA2F77"/>
    <w:rsid w:val="00CA41DF"/>
    <w:rsid w:val="00CA5F6F"/>
    <w:rsid w:val="00CB0E8D"/>
    <w:rsid w:val="00CB180D"/>
    <w:rsid w:val="00CB1DD8"/>
    <w:rsid w:val="00CB21A5"/>
    <w:rsid w:val="00CB286D"/>
    <w:rsid w:val="00CB2D6B"/>
    <w:rsid w:val="00CB6605"/>
    <w:rsid w:val="00CC04E9"/>
    <w:rsid w:val="00CC0660"/>
    <w:rsid w:val="00CC09FE"/>
    <w:rsid w:val="00CC1190"/>
    <w:rsid w:val="00CC29E8"/>
    <w:rsid w:val="00CC3393"/>
    <w:rsid w:val="00CC33C7"/>
    <w:rsid w:val="00CC5405"/>
    <w:rsid w:val="00CC63B0"/>
    <w:rsid w:val="00CC7025"/>
    <w:rsid w:val="00CC75E8"/>
    <w:rsid w:val="00CD2DC4"/>
    <w:rsid w:val="00CD4B6E"/>
    <w:rsid w:val="00CD6E84"/>
    <w:rsid w:val="00CD7B23"/>
    <w:rsid w:val="00CE12EE"/>
    <w:rsid w:val="00CE197C"/>
    <w:rsid w:val="00CE1CAD"/>
    <w:rsid w:val="00CE1D2A"/>
    <w:rsid w:val="00CE3726"/>
    <w:rsid w:val="00CE630E"/>
    <w:rsid w:val="00CE7F4B"/>
    <w:rsid w:val="00CF0BE4"/>
    <w:rsid w:val="00CF131C"/>
    <w:rsid w:val="00CF517D"/>
    <w:rsid w:val="00CF51C1"/>
    <w:rsid w:val="00CF765A"/>
    <w:rsid w:val="00CF7FDA"/>
    <w:rsid w:val="00D00856"/>
    <w:rsid w:val="00D0108E"/>
    <w:rsid w:val="00D01AD6"/>
    <w:rsid w:val="00D02048"/>
    <w:rsid w:val="00D03686"/>
    <w:rsid w:val="00D0443C"/>
    <w:rsid w:val="00D0559B"/>
    <w:rsid w:val="00D06C37"/>
    <w:rsid w:val="00D1087A"/>
    <w:rsid w:val="00D11573"/>
    <w:rsid w:val="00D11652"/>
    <w:rsid w:val="00D12BA7"/>
    <w:rsid w:val="00D15ECF"/>
    <w:rsid w:val="00D20208"/>
    <w:rsid w:val="00D21872"/>
    <w:rsid w:val="00D21E28"/>
    <w:rsid w:val="00D2285B"/>
    <w:rsid w:val="00D22DAF"/>
    <w:rsid w:val="00D24AF6"/>
    <w:rsid w:val="00D26376"/>
    <w:rsid w:val="00D26E17"/>
    <w:rsid w:val="00D27297"/>
    <w:rsid w:val="00D27DB4"/>
    <w:rsid w:val="00D27DDF"/>
    <w:rsid w:val="00D305C8"/>
    <w:rsid w:val="00D313FE"/>
    <w:rsid w:val="00D323B9"/>
    <w:rsid w:val="00D32D51"/>
    <w:rsid w:val="00D330E6"/>
    <w:rsid w:val="00D3557D"/>
    <w:rsid w:val="00D35B7B"/>
    <w:rsid w:val="00D35FEE"/>
    <w:rsid w:val="00D36494"/>
    <w:rsid w:val="00D37C68"/>
    <w:rsid w:val="00D41546"/>
    <w:rsid w:val="00D421CA"/>
    <w:rsid w:val="00D424E5"/>
    <w:rsid w:val="00D44A7D"/>
    <w:rsid w:val="00D45038"/>
    <w:rsid w:val="00D50569"/>
    <w:rsid w:val="00D51515"/>
    <w:rsid w:val="00D51538"/>
    <w:rsid w:val="00D522F5"/>
    <w:rsid w:val="00D530B0"/>
    <w:rsid w:val="00D5397C"/>
    <w:rsid w:val="00D53B47"/>
    <w:rsid w:val="00D5661B"/>
    <w:rsid w:val="00D57439"/>
    <w:rsid w:val="00D57BB0"/>
    <w:rsid w:val="00D6227C"/>
    <w:rsid w:val="00D6565D"/>
    <w:rsid w:val="00D66EE6"/>
    <w:rsid w:val="00D679DF"/>
    <w:rsid w:val="00D70583"/>
    <w:rsid w:val="00D7147B"/>
    <w:rsid w:val="00D71803"/>
    <w:rsid w:val="00D721B5"/>
    <w:rsid w:val="00D7239C"/>
    <w:rsid w:val="00D723FA"/>
    <w:rsid w:val="00D72861"/>
    <w:rsid w:val="00D73DEE"/>
    <w:rsid w:val="00D74138"/>
    <w:rsid w:val="00D74FD2"/>
    <w:rsid w:val="00D771A7"/>
    <w:rsid w:val="00D77601"/>
    <w:rsid w:val="00D77666"/>
    <w:rsid w:val="00D779C8"/>
    <w:rsid w:val="00D807AA"/>
    <w:rsid w:val="00D81039"/>
    <w:rsid w:val="00D81158"/>
    <w:rsid w:val="00D81897"/>
    <w:rsid w:val="00D829EA"/>
    <w:rsid w:val="00D831C8"/>
    <w:rsid w:val="00D84424"/>
    <w:rsid w:val="00D86D9F"/>
    <w:rsid w:val="00D87295"/>
    <w:rsid w:val="00D906E2"/>
    <w:rsid w:val="00D90AEF"/>
    <w:rsid w:val="00D9229D"/>
    <w:rsid w:val="00D92346"/>
    <w:rsid w:val="00D9260A"/>
    <w:rsid w:val="00D9263B"/>
    <w:rsid w:val="00D94331"/>
    <w:rsid w:val="00D9498F"/>
    <w:rsid w:val="00D95268"/>
    <w:rsid w:val="00DA3699"/>
    <w:rsid w:val="00DA4DE4"/>
    <w:rsid w:val="00DA58D4"/>
    <w:rsid w:val="00DA6FBB"/>
    <w:rsid w:val="00DB0CCB"/>
    <w:rsid w:val="00DB1A69"/>
    <w:rsid w:val="00DB2DC7"/>
    <w:rsid w:val="00DB45D6"/>
    <w:rsid w:val="00DB5524"/>
    <w:rsid w:val="00DB5ABC"/>
    <w:rsid w:val="00DB6072"/>
    <w:rsid w:val="00DB688E"/>
    <w:rsid w:val="00DB6D72"/>
    <w:rsid w:val="00DC05A1"/>
    <w:rsid w:val="00DC2427"/>
    <w:rsid w:val="00DC4217"/>
    <w:rsid w:val="00DC526D"/>
    <w:rsid w:val="00DD1350"/>
    <w:rsid w:val="00DD2EB8"/>
    <w:rsid w:val="00DD45BD"/>
    <w:rsid w:val="00DD4825"/>
    <w:rsid w:val="00DD49CF"/>
    <w:rsid w:val="00DD6677"/>
    <w:rsid w:val="00DD67AA"/>
    <w:rsid w:val="00DD68DD"/>
    <w:rsid w:val="00DD775C"/>
    <w:rsid w:val="00DD7B21"/>
    <w:rsid w:val="00DE296B"/>
    <w:rsid w:val="00DE37BB"/>
    <w:rsid w:val="00DE3A6F"/>
    <w:rsid w:val="00DE3BA7"/>
    <w:rsid w:val="00DE4FEA"/>
    <w:rsid w:val="00DE523B"/>
    <w:rsid w:val="00DE614E"/>
    <w:rsid w:val="00DE7F30"/>
    <w:rsid w:val="00DF0508"/>
    <w:rsid w:val="00DF0E4C"/>
    <w:rsid w:val="00DF18AE"/>
    <w:rsid w:val="00DF2699"/>
    <w:rsid w:val="00DF2D96"/>
    <w:rsid w:val="00DF3E8D"/>
    <w:rsid w:val="00DF4091"/>
    <w:rsid w:val="00DF4D7E"/>
    <w:rsid w:val="00DF6FE8"/>
    <w:rsid w:val="00E00D62"/>
    <w:rsid w:val="00E00EB7"/>
    <w:rsid w:val="00E05802"/>
    <w:rsid w:val="00E07D89"/>
    <w:rsid w:val="00E104C3"/>
    <w:rsid w:val="00E121C9"/>
    <w:rsid w:val="00E127A6"/>
    <w:rsid w:val="00E12B80"/>
    <w:rsid w:val="00E12EFC"/>
    <w:rsid w:val="00E13394"/>
    <w:rsid w:val="00E139A0"/>
    <w:rsid w:val="00E14CD6"/>
    <w:rsid w:val="00E1760F"/>
    <w:rsid w:val="00E17947"/>
    <w:rsid w:val="00E17B97"/>
    <w:rsid w:val="00E20348"/>
    <w:rsid w:val="00E2087C"/>
    <w:rsid w:val="00E21964"/>
    <w:rsid w:val="00E22968"/>
    <w:rsid w:val="00E2493B"/>
    <w:rsid w:val="00E257B8"/>
    <w:rsid w:val="00E25A24"/>
    <w:rsid w:val="00E25B33"/>
    <w:rsid w:val="00E25FFD"/>
    <w:rsid w:val="00E26F4E"/>
    <w:rsid w:val="00E30898"/>
    <w:rsid w:val="00E332B2"/>
    <w:rsid w:val="00E3467F"/>
    <w:rsid w:val="00E3634F"/>
    <w:rsid w:val="00E416D8"/>
    <w:rsid w:val="00E423F9"/>
    <w:rsid w:val="00E42B9E"/>
    <w:rsid w:val="00E45A9E"/>
    <w:rsid w:val="00E45EED"/>
    <w:rsid w:val="00E47890"/>
    <w:rsid w:val="00E47A60"/>
    <w:rsid w:val="00E47B60"/>
    <w:rsid w:val="00E506B7"/>
    <w:rsid w:val="00E53A0E"/>
    <w:rsid w:val="00E54451"/>
    <w:rsid w:val="00E56B78"/>
    <w:rsid w:val="00E57008"/>
    <w:rsid w:val="00E617AD"/>
    <w:rsid w:val="00E621C1"/>
    <w:rsid w:val="00E62245"/>
    <w:rsid w:val="00E633B7"/>
    <w:rsid w:val="00E645CF"/>
    <w:rsid w:val="00E663BF"/>
    <w:rsid w:val="00E70FDE"/>
    <w:rsid w:val="00E720D3"/>
    <w:rsid w:val="00E724CE"/>
    <w:rsid w:val="00E72841"/>
    <w:rsid w:val="00E7362D"/>
    <w:rsid w:val="00E73E61"/>
    <w:rsid w:val="00E75C85"/>
    <w:rsid w:val="00E760EA"/>
    <w:rsid w:val="00E84585"/>
    <w:rsid w:val="00E8472E"/>
    <w:rsid w:val="00E84FD7"/>
    <w:rsid w:val="00E84FF9"/>
    <w:rsid w:val="00E865BE"/>
    <w:rsid w:val="00E867C5"/>
    <w:rsid w:val="00E87936"/>
    <w:rsid w:val="00E87FD2"/>
    <w:rsid w:val="00E87FE2"/>
    <w:rsid w:val="00E90191"/>
    <w:rsid w:val="00E9345C"/>
    <w:rsid w:val="00E957F7"/>
    <w:rsid w:val="00E95D98"/>
    <w:rsid w:val="00E967C2"/>
    <w:rsid w:val="00EA0056"/>
    <w:rsid w:val="00EA23D3"/>
    <w:rsid w:val="00EA2504"/>
    <w:rsid w:val="00EA28F5"/>
    <w:rsid w:val="00EA376D"/>
    <w:rsid w:val="00EA388E"/>
    <w:rsid w:val="00EA3E54"/>
    <w:rsid w:val="00EA61E4"/>
    <w:rsid w:val="00EA7589"/>
    <w:rsid w:val="00EB0338"/>
    <w:rsid w:val="00EB1478"/>
    <w:rsid w:val="00EB1AB1"/>
    <w:rsid w:val="00EB3156"/>
    <w:rsid w:val="00EB3BFB"/>
    <w:rsid w:val="00EB3C99"/>
    <w:rsid w:val="00EB4891"/>
    <w:rsid w:val="00EC01DF"/>
    <w:rsid w:val="00EC02B7"/>
    <w:rsid w:val="00EC0390"/>
    <w:rsid w:val="00EC0915"/>
    <w:rsid w:val="00EC176F"/>
    <w:rsid w:val="00EC1EAD"/>
    <w:rsid w:val="00EC541A"/>
    <w:rsid w:val="00EC7C5B"/>
    <w:rsid w:val="00ED37F0"/>
    <w:rsid w:val="00ED60D1"/>
    <w:rsid w:val="00ED6264"/>
    <w:rsid w:val="00ED678E"/>
    <w:rsid w:val="00ED7569"/>
    <w:rsid w:val="00ED7DB1"/>
    <w:rsid w:val="00EE24C7"/>
    <w:rsid w:val="00EE39B7"/>
    <w:rsid w:val="00EE53ED"/>
    <w:rsid w:val="00EE5989"/>
    <w:rsid w:val="00EE67B1"/>
    <w:rsid w:val="00EE6A39"/>
    <w:rsid w:val="00EF28B6"/>
    <w:rsid w:val="00EF3450"/>
    <w:rsid w:val="00EF6691"/>
    <w:rsid w:val="00F00142"/>
    <w:rsid w:val="00F025C4"/>
    <w:rsid w:val="00F02B72"/>
    <w:rsid w:val="00F02B75"/>
    <w:rsid w:val="00F04307"/>
    <w:rsid w:val="00F046A7"/>
    <w:rsid w:val="00F05FE5"/>
    <w:rsid w:val="00F0608B"/>
    <w:rsid w:val="00F10433"/>
    <w:rsid w:val="00F10F94"/>
    <w:rsid w:val="00F11651"/>
    <w:rsid w:val="00F11DFD"/>
    <w:rsid w:val="00F131EF"/>
    <w:rsid w:val="00F1350C"/>
    <w:rsid w:val="00F14731"/>
    <w:rsid w:val="00F15875"/>
    <w:rsid w:val="00F16390"/>
    <w:rsid w:val="00F169F8"/>
    <w:rsid w:val="00F207B2"/>
    <w:rsid w:val="00F20AD6"/>
    <w:rsid w:val="00F20E3F"/>
    <w:rsid w:val="00F24F66"/>
    <w:rsid w:val="00F27C8F"/>
    <w:rsid w:val="00F27E27"/>
    <w:rsid w:val="00F27F58"/>
    <w:rsid w:val="00F30A86"/>
    <w:rsid w:val="00F32CA0"/>
    <w:rsid w:val="00F35087"/>
    <w:rsid w:val="00F3552E"/>
    <w:rsid w:val="00F36122"/>
    <w:rsid w:val="00F37840"/>
    <w:rsid w:val="00F40F53"/>
    <w:rsid w:val="00F4119C"/>
    <w:rsid w:val="00F41823"/>
    <w:rsid w:val="00F42F00"/>
    <w:rsid w:val="00F4362E"/>
    <w:rsid w:val="00F454F2"/>
    <w:rsid w:val="00F45596"/>
    <w:rsid w:val="00F455A2"/>
    <w:rsid w:val="00F45CC1"/>
    <w:rsid w:val="00F463FA"/>
    <w:rsid w:val="00F50BF1"/>
    <w:rsid w:val="00F51466"/>
    <w:rsid w:val="00F538D8"/>
    <w:rsid w:val="00F543F3"/>
    <w:rsid w:val="00F55710"/>
    <w:rsid w:val="00F6134D"/>
    <w:rsid w:val="00F6152E"/>
    <w:rsid w:val="00F65470"/>
    <w:rsid w:val="00F659F9"/>
    <w:rsid w:val="00F664C2"/>
    <w:rsid w:val="00F6666F"/>
    <w:rsid w:val="00F71104"/>
    <w:rsid w:val="00F731C1"/>
    <w:rsid w:val="00F737AD"/>
    <w:rsid w:val="00F73E9A"/>
    <w:rsid w:val="00F74218"/>
    <w:rsid w:val="00F7673F"/>
    <w:rsid w:val="00F77518"/>
    <w:rsid w:val="00F8028B"/>
    <w:rsid w:val="00F808C4"/>
    <w:rsid w:val="00F817B1"/>
    <w:rsid w:val="00F81EFA"/>
    <w:rsid w:val="00F823D6"/>
    <w:rsid w:val="00F825C0"/>
    <w:rsid w:val="00F83B50"/>
    <w:rsid w:val="00F83C20"/>
    <w:rsid w:val="00F8456D"/>
    <w:rsid w:val="00F854F3"/>
    <w:rsid w:val="00F858A6"/>
    <w:rsid w:val="00F86D6D"/>
    <w:rsid w:val="00F902C1"/>
    <w:rsid w:val="00F90B16"/>
    <w:rsid w:val="00F91D3D"/>
    <w:rsid w:val="00F92879"/>
    <w:rsid w:val="00F92E72"/>
    <w:rsid w:val="00F93C36"/>
    <w:rsid w:val="00F93DBD"/>
    <w:rsid w:val="00F940A2"/>
    <w:rsid w:val="00F94BC9"/>
    <w:rsid w:val="00F962B9"/>
    <w:rsid w:val="00F9683E"/>
    <w:rsid w:val="00F96979"/>
    <w:rsid w:val="00F971AB"/>
    <w:rsid w:val="00FA4942"/>
    <w:rsid w:val="00FA4AEA"/>
    <w:rsid w:val="00FA4F05"/>
    <w:rsid w:val="00FA5238"/>
    <w:rsid w:val="00FA53B1"/>
    <w:rsid w:val="00FA54A0"/>
    <w:rsid w:val="00FA55EB"/>
    <w:rsid w:val="00FA59CF"/>
    <w:rsid w:val="00FA5F51"/>
    <w:rsid w:val="00FA6E13"/>
    <w:rsid w:val="00FA7023"/>
    <w:rsid w:val="00FA7AD0"/>
    <w:rsid w:val="00FB31CF"/>
    <w:rsid w:val="00FB42C8"/>
    <w:rsid w:val="00FB4621"/>
    <w:rsid w:val="00FB4AEC"/>
    <w:rsid w:val="00FB4EAD"/>
    <w:rsid w:val="00FB5491"/>
    <w:rsid w:val="00FB6500"/>
    <w:rsid w:val="00FB6576"/>
    <w:rsid w:val="00FC1558"/>
    <w:rsid w:val="00FC1585"/>
    <w:rsid w:val="00FC31A5"/>
    <w:rsid w:val="00FC3458"/>
    <w:rsid w:val="00FC4CE0"/>
    <w:rsid w:val="00FC4DE5"/>
    <w:rsid w:val="00FC5228"/>
    <w:rsid w:val="00FC652A"/>
    <w:rsid w:val="00FD045C"/>
    <w:rsid w:val="00FD2B7E"/>
    <w:rsid w:val="00FD3034"/>
    <w:rsid w:val="00FD304B"/>
    <w:rsid w:val="00FD377E"/>
    <w:rsid w:val="00FD3C70"/>
    <w:rsid w:val="00FD49C5"/>
    <w:rsid w:val="00FD5DBA"/>
    <w:rsid w:val="00FE331F"/>
    <w:rsid w:val="00FE3C17"/>
    <w:rsid w:val="00FE4EC6"/>
    <w:rsid w:val="00FE5177"/>
    <w:rsid w:val="00FE729A"/>
    <w:rsid w:val="00FF0A6D"/>
    <w:rsid w:val="00FF539A"/>
    <w:rsid w:val="00FF5AA3"/>
    <w:rsid w:val="00FF5F4E"/>
    <w:rsid w:val="00FF616E"/>
    <w:rsid w:val="00FF62F2"/>
    <w:rsid w:val="00FF6A31"/>
    <w:rsid w:val="00FF6C8E"/>
    <w:rsid w:val="00FF6FE5"/>
    <w:rsid w:val="00FF7A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A261B"/>
  <w15:docId w15:val="{DCC110B3-6DC3-4F27-BCA1-95F3AF4B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style>
  <w:style w:type="paragraph" w:styleId="Heading3">
    <w:name w:val="heading 3"/>
    <w:basedOn w:val="Normal"/>
    <w:next w:val="Normal"/>
    <w:link w:val="Heading3Char"/>
    <w:uiPriority w:val="9"/>
    <w:qFormat/>
    <w:rsid w:val="00416EAF"/>
    <w:pPr>
      <w:spacing w:line="240" w:lineRule="auto"/>
      <w:outlineLvl w:val="2"/>
    </w:pPr>
  </w:style>
  <w:style w:type="paragraph" w:styleId="Heading4">
    <w:name w:val="heading 4"/>
    <w:basedOn w:val="Normal"/>
    <w:next w:val="Normal"/>
    <w:link w:val="Heading4Char"/>
    <w:uiPriority w:val="9"/>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8573C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uiPriority w:val="99"/>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uiPriority w:val="99"/>
    <w:rsid w:val="00416EAF"/>
    <w:rPr>
      <w:rFonts w:ascii="Times New Roman" w:hAnsi="Times New Roman"/>
      <w:sz w:val="18"/>
      <w:vertAlign w:val="superscript"/>
    </w:rPr>
  </w:style>
  <w:style w:type="character" w:styleId="FootnoteReference">
    <w:name w:val="footnote reference"/>
    <w:aliases w:val="4_G"/>
    <w:qFormat/>
    <w:rsid w:val="008573CA"/>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uiPriority w:val="99"/>
    <w:rsid w:val="00DB06DD"/>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8461AC"/>
    <w:rPr>
      <w:rFonts w:eastAsia="SimSun"/>
      <w:sz w:val="18"/>
      <w:lang w:val="en-US" w:eastAsia="zh-CN"/>
    </w:rPr>
  </w:style>
  <w:style w:type="paragraph" w:styleId="ListParagraph">
    <w:name w:val="List Paragraph"/>
    <w:basedOn w:val="Normal"/>
    <w:uiPriority w:val="34"/>
    <w:qFormat/>
    <w:rsid w:val="00110701"/>
    <w:pPr>
      <w:ind w:left="720"/>
    </w:pPr>
  </w:style>
  <w:style w:type="character" w:customStyle="1" w:styleId="Heading1Char">
    <w:name w:val="Heading 1 Char"/>
    <w:aliases w:val="Table_G Char"/>
    <w:link w:val="Heading1"/>
    <w:uiPriority w:val="1"/>
    <w:rsid w:val="00DA58D4"/>
    <w:rPr>
      <w:lang w:val="x-none"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aliases w:val="3_G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4"/>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DA58D4"/>
    <w:rPr>
      <w:sz w:val="18"/>
      <w:lang w:val="x-none" w:eastAsia="en-US"/>
    </w:rPr>
  </w:style>
  <w:style w:type="character" w:customStyle="1" w:styleId="CommentTextChar">
    <w:name w:val="Comment Text Char"/>
    <w:link w:val="CommentText"/>
    <w:uiPriority w:val="99"/>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styleId="Revision">
    <w:name w:val="Revision"/>
    <w:hidden/>
    <w:uiPriority w:val="99"/>
    <w:semiHidden/>
    <w:rsid w:val="00DA58D4"/>
    <w:rPr>
      <w:rFonts w:ascii="Calibri" w:eastAsia="Calibri" w:hAnsi="Calibri"/>
      <w:sz w:val="22"/>
      <w:szCs w:val="22"/>
      <w:lang w:val="en-AU" w:eastAsia="en-US"/>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aliases w:val="6_G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paragraph" w:styleId="NoSpacing">
    <w:name w:val="No Spacing"/>
    <w:uiPriority w:val="1"/>
    <w:qFormat/>
    <w:rsid w:val="0025021C"/>
    <w:rPr>
      <w:rFonts w:ascii="Calibri" w:eastAsia="Calibri" w:hAnsi="Calibri"/>
      <w:sz w:val="22"/>
      <w:szCs w:val="22"/>
      <w:lang w:val="en-US" w:eastAsia="en-US"/>
    </w:rPr>
  </w:style>
  <w:style w:type="paragraph" w:styleId="PlainText">
    <w:name w:val="Plain Text"/>
    <w:basedOn w:val="Normal"/>
    <w:link w:val="PlainTextChar"/>
    <w:rsid w:val="006B1012"/>
    <w:pPr>
      <w:suppressAutoHyphens w:val="0"/>
      <w:spacing w:line="240" w:lineRule="auto"/>
    </w:pPr>
    <w:rPr>
      <w:rFonts w:ascii="Courier New" w:hAnsi="Courier New" w:cs="Courier New"/>
      <w:lang w:val="da-DK" w:eastAsia="da-DK"/>
    </w:rPr>
  </w:style>
  <w:style w:type="character" w:customStyle="1" w:styleId="PlainTextChar">
    <w:name w:val="Plain Text Char"/>
    <w:link w:val="PlainText"/>
    <w:rsid w:val="006B1012"/>
    <w:rPr>
      <w:rFonts w:ascii="Courier New" w:hAnsi="Courier New" w:cs="Courier New"/>
      <w:lang w:val="da-DK" w:eastAsia="da-DK"/>
    </w:rPr>
  </w:style>
  <w:style w:type="character" w:styleId="Emphasis">
    <w:name w:val="Emphasis"/>
    <w:basedOn w:val="DefaultParagraphFont"/>
    <w:uiPriority w:val="20"/>
    <w:qFormat/>
    <w:rsid w:val="0063157D"/>
    <w:rPr>
      <w:i/>
      <w:iCs/>
    </w:rPr>
  </w:style>
  <w:style w:type="character" w:customStyle="1" w:styleId="apple-converted-space">
    <w:name w:val="apple-converted-space"/>
    <w:basedOn w:val="DefaultParagraphFont"/>
    <w:rsid w:val="00631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462">
      <w:bodyDiv w:val="1"/>
      <w:marLeft w:val="0"/>
      <w:marRight w:val="0"/>
      <w:marTop w:val="0"/>
      <w:marBottom w:val="0"/>
      <w:divBdr>
        <w:top w:val="none" w:sz="0" w:space="0" w:color="auto"/>
        <w:left w:val="none" w:sz="0" w:space="0" w:color="auto"/>
        <w:bottom w:val="none" w:sz="0" w:space="0" w:color="auto"/>
        <w:right w:val="none" w:sz="0" w:space="0" w:color="auto"/>
      </w:divBdr>
    </w:div>
    <w:div w:id="41175174">
      <w:bodyDiv w:val="1"/>
      <w:marLeft w:val="0"/>
      <w:marRight w:val="0"/>
      <w:marTop w:val="0"/>
      <w:marBottom w:val="0"/>
      <w:divBdr>
        <w:top w:val="none" w:sz="0" w:space="0" w:color="auto"/>
        <w:left w:val="none" w:sz="0" w:space="0" w:color="auto"/>
        <w:bottom w:val="none" w:sz="0" w:space="0" w:color="auto"/>
        <w:right w:val="none" w:sz="0" w:space="0" w:color="auto"/>
      </w:divBdr>
      <w:divsChild>
        <w:div w:id="1092506139">
          <w:marLeft w:val="0"/>
          <w:marRight w:val="0"/>
          <w:marTop w:val="0"/>
          <w:marBottom w:val="0"/>
          <w:divBdr>
            <w:top w:val="none" w:sz="0" w:space="0" w:color="auto"/>
            <w:left w:val="none" w:sz="0" w:space="0" w:color="auto"/>
            <w:bottom w:val="none" w:sz="0" w:space="0" w:color="auto"/>
            <w:right w:val="none" w:sz="0" w:space="0" w:color="auto"/>
          </w:divBdr>
          <w:divsChild>
            <w:div w:id="773477917">
              <w:marLeft w:val="0"/>
              <w:marRight w:val="0"/>
              <w:marTop w:val="0"/>
              <w:marBottom w:val="0"/>
              <w:divBdr>
                <w:top w:val="none" w:sz="0" w:space="0" w:color="auto"/>
                <w:left w:val="none" w:sz="0" w:space="0" w:color="auto"/>
                <w:bottom w:val="none" w:sz="0" w:space="0" w:color="auto"/>
                <w:right w:val="none" w:sz="0" w:space="0" w:color="auto"/>
              </w:divBdr>
              <w:divsChild>
                <w:div w:id="1119446608">
                  <w:marLeft w:val="0"/>
                  <w:marRight w:val="0"/>
                  <w:marTop w:val="0"/>
                  <w:marBottom w:val="0"/>
                  <w:divBdr>
                    <w:top w:val="none" w:sz="0" w:space="0" w:color="auto"/>
                    <w:left w:val="none" w:sz="0" w:space="0" w:color="auto"/>
                    <w:bottom w:val="none" w:sz="0" w:space="0" w:color="auto"/>
                    <w:right w:val="none" w:sz="0" w:space="0" w:color="auto"/>
                  </w:divBdr>
                  <w:divsChild>
                    <w:div w:id="882014525">
                      <w:marLeft w:val="0"/>
                      <w:marRight w:val="0"/>
                      <w:marTop w:val="0"/>
                      <w:marBottom w:val="0"/>
                      <w:divBdr>
                        <w:top w:val="none" w:sz="0" w:space="0" w:color="auto"/>
                        <w:left w:val="none" w:sz="0" w:space="0" w:color="auto"/>
                        <w:bottom w:val="none" w:sz="0" w:space="0" w:color="auto"/>
                        <w:right w:val="none" w:sz="0" w:space="0" w:color="auto"/>
                      </w:divBdr>
                      <w:divsChild>
                        <w:div w:id="19653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28829">
      <w:bodyDiv w:val="1"/>
      <w:marLeft w:val="0"/>
      <w:marRight w:val="0"/>
      <w:marTop w:val="0"/>
      <w:marBottom w:val="0"/>
      <w:divBdr>
        <w:top w:val="none" w:sz="0" w:space="0" w:color="auto"/>
        <w:left w:val="none" w:sz="0" w:space="0" w:color="auto"/>
        <w:bottom w:val="none" w:sz="0" w:space="0" w:color="auto"/>
        <w:right w:val="none" w:sz="0" w:space="0" w:color="auto"/>
      </w:divBdr>
    </w:div>
    <w:div w:id="198131340">
      <w:bodyDiv w:val="1"/>
      <w:marLeft w:val="0"/>
      <w:marRight w:val="0"/>
      <w:marTop w:val="0"/>
      <w:marBottom w:val="0"/>
      <w:divBdr>
        <w:top w:val="none" w:sz="0" w:space="0" w:color="auto"/>
        <w:left w:val="none" w:sz="0" w:space="0" w:color="auto"/>
        <w:bottom w:val="none" w:sz="0" w:space="0" w:color="auto"/>
        <w:right w:val="none" w:sz="0" w:space="0" w:color="auto"/>
      </w:divBdr>
    </w:div>
    <w:div w:id="247739503">
      <w:bodyDiv w:val="1"/>
      <w:marLeft w:val="0"/>
      <w:marRight w:val="0"/>
      <w:marTop w:val="0"/>
      <w:marBottom w:val="0"/>
      <w:divBdr>
        <w:top w:val="none" w:sz="0" w:space="0" w:color="auto"/>
        <w:left w:val="none" w:sz="0" w:space="0" w:color="auto"/>
        <w:bottom w:val="none" w:sz="0" w:space="0" w:color="auto"/>
        <w:right w:val="none" w:sz="0" w:space="0" w:color="auto"/>
      </w:divBdr>
    </w:div>
    <w:div w:id="383068657">
      <w:bodyDiv w:val="1"/>
      <w:marLeft w:val="0"/>
      <w:marRight w:val="0"/>
      <w:marTop w:val="0"/>
      <w:marBottom w:val="0"/>
      <w:divBdr>
        <w:top w:val="none" w:sz="0" w:space="0" w:color="auto"/>
        <w:left w:val="none" w:sz="0" w:space="0" w:color="auto"/>
        <w:bottom w:val="none" w:sz="0" w:space="0" w:color="auto"/>
        <w:right w:val="none" w:sz="0" w:space="0" w:color="auto"/>
      </w:divBdr>
    </w:div>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601425210">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679115984">
      <w:bodyDiv w:val="1"/>
      <w:marLeft w:val="0"/>
      <w:marRight w:val="0"/>
      <w:marTop w:val="0"/>
      <w:marBottom w:val="0"/>
      <w:divBdr>
        <w:top w:val="none" w:sz="0" w:space="0" w:color="auto"/>
        <w:left w:val="none" w:sz="0" w:space="0" w:color="auto"/>
        <w:bottom w:val="none" w:sz="0" w:space="0" w:color="auto"/>
        <w:right w:val="none" w:sz="0" w:space="0" w:color="auto"/>
      </w:divBdr>
      <w:divsChild>
        <w:div w:id="1122916609">
          <w:marLeft w:val="0"/>
          <w:marRight w:val="0"/>
          <w:marTop w:val="0"/>
          <w:marBottom w:val="0"/>
          <w:divBdr>
            <w:top w:val="none" w:sz="0" w:space="0" w:color="auto"/>
            <w:left w:val="none" w:sz="0" w:space="0" w:color="auto"/>
            <w:bottom w:val="none" w:sz="0" w:space="0" w:color="auto"/>
            <w:right w:val="none" w:sz="0" w:space="0" w:color="auto"/>
          </w:divBdr>
        </w:div>
      </w:divsChild>
    </w:div>
    <w:div w:id="716465884">
      <w:bodyDiv w:val="1"/>
      <w:marLeft w:val="0"/>
      <w:marRight w:val="0"/>
      <w:marTop w:val="0"/>
      <w:marBottom w:val="0"/>
      <w:divBdr>
        <w:top w:val="none" w:sz="0" w:space="0" w:color="auto"/>
        <w:left w:val="none" w:sz="0" w:space="0" w:color="auto"/>
        <w:bottom w:val="none" w:sz="0" w:space="0" w:color="auto"/>
        <w:right w:val="none" w:sz="0" w:space="0" w:color="auto"/>
      </w:divBdr>
    </w:div>
    <w:div w:id="744305962">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002316168">
      <w:bodyDiv w:val="1"/>
      <w:marLeft w:val="0"/>
      <w:marRight w:val="0"/>
      <w:marTop w:val="0"/>
      <w:marBottom w:val="0"/>
      <w:divBdr>
        <w:top w:val="none" w:sz="0" w:space="0" w:color="auto"/>
        <w:left w:val="none" w:sz="0" w:space="0" w:color="auto"/>
        <w:bottom w:val="none" w:sz="0" w:space="0" w:color="auto"/>
        <w:right w:val="none" w:sz="0" w:space="0" w:color="auto"/>
      </w:divBdr>
    </w:div>
    <w:div w:id="1122116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7355">
          <w:marLeft w:val="0"/>
          <w:marRight w:val="0"/>
          <w:marTop w:val="0"/>
          <w:marBottom w:val="0"/>
          <w:divBdr>
            <w:top w:val="none" w:sz="0" w:space="0" w:color="auto"/>
            <w:left w:val="none" w:sz="0" w:space="0" w:color="auto"/>
            <w:bottom w:val="none" w:sz="0" w:space="0" w:color="auto"/>
            <w:right w:val="none" w:sz="0" w:space="0" w:color="auto"/>
          </w:divBdr>
          <w:divsChild>
            <w:div w:id="1084185829">
              <w:marLeft w:val="0"/>
              <w:marRight w:val="0"/>
              <w:marTop w:val="0"/>
              <w:marBottom w:val="0"/>
              <w:divBdr>
                <w:top w:val="none" w:sz="0" w:space="0" w:color="auto"/>
                <w:left w:val="none" w:sz="0" w:space="0" w:color="auto"/>
                <w:bottom w:val="none" w:sz="0" w:space="0" w:color="auto"/>
                <w:right w:val="none" w:sz="0" w:space="0" w:color="auto"/>
              </w:divBdr>
              <w:divsChild>
                <w:div w:id="121583938">
                  <w:marLeft w:val="0"/>
                  <w:marRight w:val="0"/>
                  <w:marTop w:val="0"/>
                  <w:marBottom w:val="0"/>
                  <w:divBdr>
                    <w:top w:val="none" w:sz="0" w:space="0" w:color="auto"/>
                    <w:left w:val="none" w:sz="0" w:space="0" w:color="auto"/>
                    <w:bottom w:val="none" w:sz="0" w:space="0" w:color="auto"/>
                    <w:right w:val="none" w:sz="0" w:space="0" w:color="auto"/>
                  </w:divBdr>
                  <w:divsChild>
                    <w:div w:id="87703106">
                      <w:marLeft w:val="0"/>
                      <w:marRight w:val="0"/>
                      <w:marTop w:val="0"/>
                      <w:marBottom w:val="0"/>
                      <w:divBdr>
                        <w:top w:val="none" w:sz="0" w:space="0" w:color="auto"/>
                        <w:left w:val="none" w:sz="0" w:space="0" w:color="auto"/>
                        <w:bottom w:val="none" w:sz="0" w:space="0" w:color="auto"/>
                        <w:right w:val="none" w:sz="0" w:space="0" w:color="auto"/>
                      </w:divBdr>
                      <w:divsChild>
                        <w:div w:id="2031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745911753">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931767912">
      <w:bodyDiv w:val="1"/>
      <w:marLeft w:val="0"/>
      <w:marRight w:val="0"/>
      <w:marTop w:val="0"/>
      <w:marBottom w:val="0"/>
      <w:divBdr>
        <w:top w:val="none" w:sz="0" w:space="0" w:color="auto"/>
        <w:left w:val="none" w:sz="0" w:space="0" w:color="auto"/>
        <w:bottom w:val="none" w:sz="0" w:space="0" w:color="auto"/>
        <w:right w:val="none" w:sz="0" w:space="0" w:color="auto"/>
      </w:divBdr>
    </w:div>
    <w:div w:id="20691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EBA4-7735-4A8C-BE28-0EA9AEE5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5642</Words>
  <Characters>32161</Characters>
  <Application>Microsoft Office Word</Application>
  <DocSecurity>0</DocSecurity>
  <Lines>268</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Sarah Willig</cp:lastModifiedBy>
  <cp:revision>2</cp:revision>
  <cp:lastPrinted>2015-12-21T11:16:00Z</cp:lastPrinted>
  <dcterms:created xsi:type="dcterms:W3CDTF">2017-01-24T22:04:00Z</dcterms:created>
  <dcterms:modified xsi:type="dcterms:W3CDTF">2017-01-24T22:04:00Z</dcterms:modified>
</cp:coreProperties>
</file>